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304" w:line="184" w:lineRule="auto"/>
        <w:ind w:left="220"/>
        <w:outlineLvl w:val="0"/>
        <w:rPr>
          <w:rFonts w:ascii="微软雅黑" w:hAnsi="微软雅黑" w:eastAsia="微软雅黑" w:cs="微软雅黑"/>
          <w:sz w:val="71"/>
          <w:szCs w:val="71"/>
        </w:rPr>
      </w:pPr>
      <w:r>
        <w:rPr>
          <w:rFonts w:ascii="微软雅黑" w:hAnsi="微软雅黑" w:eastAsia="微软雅黑" w:cs="微软雅黑"/>
          <w:spacing w:val="15"/>
          <w:sz w:val="71"/>
          <w:szCs w:val="71"/>
        </w:rPr>
        <w:t>建</w:t>
      </w:r>
      <w:r>
        <w:rPr>
          <w:rFonts w:ascii="微软雅黑" w:hAnsi="微软雅黑" w:eastAsia="微软雅黑" w:cs="微软雅黑"/>
          <w:spacing w:val="8"/>
          <w:sz w:val="71"/>
          <w:szCs w:val="71"/>
        </w:rPr>
        <w:t>设项目环境影响报告表</w:t>
      </w:r>
    </w:p>
    <w:p>
      <w:pPr>
        <w:spacing w:before="291" w:line="218" w:lineRule="auto"/>
        <w:ind w:left="2491"/>
        <w:rPr>
          <w:rFonts w:ascii="楷体" w:hAnsi="楷体" w:eastAsia="楷体" w:cs="楷体"/>
          <w:sz w:val="47"/>
          <w:szCs w:val="47"/>
        </w:rPr>
      </w:pPr>
      <w:r>
        <w:rPr>
          <w:rFonts w:ascii="楷体" w:hAnsi="楷体" w:eastAsia="楷体" w:cs="楷体"/>
          <w:spacing w:val="42"/>
          <w:sz w:val="47"/>
          <w:szCs w:val="47"/>
        </w:rPr>
        <w:t>(生态影响类)</w:t>
      </w:r>
    </w:p>
    <w:p>
      <w:pPr>
        <w:spacing w:before="237" w:line="220" w:lineRule="auto"/>
        <w:ind w:left="3271"/>
        <w:rPr>
          <w:rFonts w:ascii="楷体" w:hAnsi="楷体" w:eastAsia="楷体" w:cs="楷体"/>
          <w:sz w:val="35"/>
          <w:szCs w:val="35"/>
        </w:rPr>
      </w:pPr>
      <w:r>
        <w:rPr>
          <w:rFonts w:ascii="楷体" w:hAnsi="楷体" w:eastAsia="楷体" w:cs="楷体"/>
          <w:spacing w:val="43"/>
          <w:sz w:val="35"/>
          <w:szCs w:val="35"/>
        </w:rPr>
        <w:t>(</w:t>
      </w:r>
      <w:r>
        <w:rPr>
          <w:rFonts w:hint="eastAsia" w:ascii="楷体" w:hAnsi="楷体" w:eastAsia="楷体" w:cs="楷体"/>
          <w:spacing w:val="43"/>
          <w:sz w:val="35"/>
          <w:szCs w:val="35"/>
          <w:lang w:val="en-US" w:eastAsia="zh-CN"/>
        </w:rPr>
        <w:t>公示本</w:t>
      </w:r>
      <w:r>
        <w:rPr>
          <w:rFonts w:ascii="楷体" w:hAnsi="楷体" w:eastAsia="楷体" w:cs="楷体"/>
          <w:spacing w:val="43"/>
          <w:sz w:val="35"/>
          <w:szCs w:val="35"/>
        </w:rPr>
        <w:t>)</w: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100" w:line="221" w:lineRule="auto"/>
        <w:ind w:left="606"/>
        <w:rPr>
          <w:rFonts w:ascii="仿宋" w:hAnsi="仿宋" w:eastAsia="仿宋" w:cs="仿宋"/>
          <w:sz w:val="31"/>
          <w:szCs w:val="31"/>
        </w:rPr>
      </w:pPr>
      <w:r>
        <w:rPr>
          <w:rFonts w:ascii="仿宋" w:hAnsi="仿宋" w:eastAsia="仿宋" w:cs="仿宋"/>
          <w:spacing w:val="19"/>
          <w:sz w:val="31"/>
          <w:szCs w:val="31"/>
        </w:rPr>
        <w:t>项</w:t>
      </w:r>
      <w:r>
        <w:rPr>
          <w:rFonts w:ascii="仿宋" w:hAnsi="仿宋" w:eastAsia="仿宋" w:cs="仿宋"/>
          <w:spacing w:val="15"/>
          <w:sz w:val="31"/>
          <w:szCs w:val="31"/>
        </w:rPr>
        <w:t xml:space="preserve"> 目 名 称 </w:t>
      </w:r>
      <w:r>
        <w:rPr>
          <w:rFonts w:ascii="Times New Roman" w:hAnsi="Times New Roman" w:eastAsia="Times New Roman" w:cs="Times New Roman"/>
          <w:spacing w:val="15"/>
          <w:sz w:val="31"/>
          <w:szCs w:val="31"/>
        </w:rPr>
        <w:t xml:space="preserve">: </w:t>
      </w:r>
      <w:r>
        <w:rPr>
          <w:rFonts w:ascii="仿宋" w:hAnsi="仿宋" w:eastAsia="仿宋" w:cs="仿宋"/>
          <w:spacing w:val="15"/>
          <w:sz w:val="31"/>
          <w:szCs w:val="31"/>
          <w:u w:val="single" w:color="auto"/>
        </w:rPr>
        <w:t xml:space="preserve">   达州市高家坝大桥建设项目</w:t>
      </w:r>
      <w:r>
        <w:rPr>
          <w:rFonts w:ascii="仿宋" w:hAnsi="仿宋" w:eastAsia="仿宋" w:cs="仿宋"/>
          <w:sz w:val="31"/>
          <w:szCs w:val="31"/>
          <w:u w:val="single" w:color="auto"/>
        </w:rPr>
        <w:t xml:space="preserve">   </w:t>
      </w:r>
    </w:p>
    <w:p>
      <w:pPr>
        <w:spacing w:line="473" w:lineRule="auto"/>
        <w:rPr>
          <w:rFonts w:ascii="Arial"/>
          <w:sz w:val="21"/>
        </w:rPr>
      </w:pPr>
    </w:p>
    <w:p>
      <w:pPr>
        <w:spacing w:before="102" w:line="270" w:lineRule="auto"/>
        <w:ind w:left="599"/>
        <w:rPr>
          <w:rFonts w:ascii="仿宋" w:hAnsi="仿宋" w:eastAsia="仿宋" w:cs="仿宋"/>
          <w:sz w:val="31"/>
          <w:szCs w:val="31"/>
        </w:rPr>
      </w:pPr>
      <w:r>
        <w:rPr>
          <w:rFonts w:ascii="仿宋" w:hAnsi="仿宋" w:eastAsia="仿宋" w:cs="仿宋"/>
          <w:spacing w:val="11"/>
          <w:sz w:val="31"/>
          <w:szCs w:val="31"/>
        </w:rPr>
        <w:t>建设单位</w:t>
      </w:r>
      <w:r>
        <w:rPr>
          <w:rFonts w:ascii="Times New Roman" w:hAnsi="Times New Roman" w:eastAsia="Times New Roman" w:cs="Times New Roman"/>
          <w:spacing w:val="11"/>
          <w:sz w:val="31"/>
          <w:szCs w:val="31"/>
        </w:rPr>
        <w:t>(</w:t>
      </w:r>
      <w:r>
        <w:rPr>
          <w:rFonts w:ascii="仿宋" w:hAnsi="仿宋" w:eastAsia="仿宋" w:cs="仿宋"/>
          <w:spacing w:val="11"/>
          <w:sz w:val="31"/>
          <w:szCs w:val="31"/>
        </w:rPr>
        <w:t>盖章</w:t>
      </w:r>
      <w:r>
        <w:rPr>
          <w:rFonts w:ascii="Times New Roman" w:hAnsi="Times New Roman" w:eastAsia="Times New Roman" w:cs="Times New Roman"/>
          <w:spacing w:val="11"/>
          <w:sz w:val="31"/>
          <w:szCs w:val="31"/>
        </w:rPr>
        <w:t>):</w:t>
      </w:r>
      <w:r>
        <w:rPr>
          <w:rFonts w:ascii="仿宋" w:hAnsi="仿宋" w:eastAsia="仿宋" w:cs="仿宋"/>
          <w:spacing w:val="11"/>
          <w:sz w:val="31"/>
          <w:szCs w:val="31"/>
          <w:u w:val="single" w:color="auto"/>
        </w:rPr>
        <w:t xml:space="preserve">  达州市重点工程建设管理中</w:t>
      </w:r>
      <w:r>
        <w:rPr>
          <w:rFonts w:ascii="仿宋" w:hAnsi="仿宋" w:eastAsia="仿宋" w:cs="仿宋"/>
          <w:spacing w:val="7"/>
          <w:sz w:val="31"/>
          <w:szCs w:val="31"/>
          <w:u w:val="single" w:color="auto"/>
        </w:rPr>
        <w:t>心</w:t>
      </w:r>
      <w:r>
        <w:rPr>
          <w:rFonts w:ascii="仿宋" w:hAnsi="仿宋" w:eastAsia="仿宋" w:cs="仿宋"/>
          <w:sz w:val="31"/>
          <w:szCs w:val="31"/>
          <w:u w:val="single" w:color="auto"/>
        </w:rPr>
        <w:t xml:space="preserve">  </w:t>
      </w:r>
    </w:p>
    <w:p>
      <w:pPr>
        <w:spacing w:line="255" w:lineRule="auto"/>
        <w:rPr>
          <w:rFonts w:ascii="Arial"/>
          <w:sz w:val="21"/>
        </w:rPr>
      </w:pPr>
    </w:p>
    <w:p>
      <w:pPr>
        <w:spacing w:line="255" w:lineRule="auto"/>
        <w:rPr>
          <w:rFonts w:ascii="Arial"/>
          <w:sz w:val="21"/>
        </w:rPr>
      </w:pPr>
    </w:p>
    <w:p>
      <w:pPr>
        <w:spacing w:before="101" w:line="223" w:lineRule="auto"/>
        <w:ind w:left="602"/>
        <w:rPr>
          <w:rFonts w:ascii="仿宋" w:hAnsi="仿宋" w:eastAsia="仿宋" w:cs="仿宋"/>
          <w:sz w:val="31"/>
          <w:szCs w:val="31"/>
        </w:rPr>
      </w:pPr>
      <w:r>
        <w:rPr>
          <w:rFonts w:ascii="仿宋" w:hAnsi="仿宋" w:eastAsia="仿宋" w:cs="仿宋"/>
          <w:spacing w:val="-18"/>
          <w:sz w:val="31"/>
          <w:szCs w:val="31"/>
        </w:rPr>
        <w:t>编</w:t>
      </w:r>
      <w:r>
        <w:rPr>
          <w:rFonts w:ascii="仿宋" w:hAnsi="仿宋" w:eastAsia="仿宋" w:cs="仿宋"/>
          <w:spacing w:val="-12"/>
          <w:sz w:val="31"/>
          <w:szCs w:val="31"/>
        </w:rPr>
        <w:t xml:space="preserve"> </w:t>
      </w:r>
      <w:r>
        <w:rPr>
          <w:rFonts w:ascii="仿宋" w:hAnsi="仿宋" w:eastAsia="仿宋" w:cs="仿宋"/>
          <w:spacing w:val="-9"/>
          <w:sz w:val="31"/>
          <w:szCs w:val="31"/>
        </w:rPr>
        <w:t xml:space="preserve">制 日 期 ：  </w:t>
      </w:r>
      <w:r>
        <w:rPr>
          <w:rFonts w:ascii="仿宋" w:hAnsi="仿宋" w:eastAsia="仿宋" w:cs="仿宋"/>
          <w:spacing w:val="-9"/>
          <w:sz w:val="31"/>
          <w:szCs w:val="31"/>
          <w:u w:val="single" w:color="auto"/>
        </w:rPr>
        <w:t xml:space="preserve">         二</w:t>
      </w:r>
      <w:r>
        <w:rPr>
          <w:rFonts w:ascii="宋体" w:hAnsi="宋体" w:eastAsia="宋体" w:cs="宋体"/>
          <w:spacing w:val="-9"/>
          <w:sz w:val="31"/>
          <w:szCs w:val="31"/>
          <w:u w:val="single" w:color="auto"/>
        </w:rPr>
        <w:t>〇</w:t>
      </w:r>
      <w:r>
        <w:rPr>
          <w:rFonts w:ascii="仿宋" w:hAnsi="仿宋" w:eastAsia="仿宋" w:cs="仿宋"/>
          <w:spacing w:val="-9"/>
          <w:sz w:val="31"/>
          <w:szCs w:val="31"/>
          <w:u w:val="single" w:color="auto"/>
        </w:rPr>
        <w:t>二三年五月</w:t>
      </w:r>
      <w:r>
        <w:rPr>
          <w:rFonts w:ascii="仿宋" w:hAnsi="仿宋" w:eastAsia="仿宋" w:cs="仿宋"/>
          <w:sz w:val="31"/>
          <w:szCs w:val="31"/>
          <w:u w:val="single" w:color="auto"/>
        </w:rPr>
        <w:t xml:space="preserve">        </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114" w:line="221" w:lineRule="auto"/>
        <w:ind w:left="1789"/>
        <w:rPr>
          <w:rFonts w:ascii="楷体" w:hAnsi="楷体" w:eastAsia="楷体" w:cs="楷体"/>
          <w:sz w:val="35"/>
          <w:szCs w:val="35"/>
        </w:rPr>
      </w:pPr>
      <w:r>
        <w:rPr>
          <w:rFonts w:ascii="楷体" w:hAnsi="楷体" w:eastAsia="楷体" w:cs="楷体"/>
          <w:spacing w:val="12"/>
          <w:sz w:val="35"/>
          <w:szCs w:val="35"/>
        </w:rPr>
        <w:t>中</w:t>
      </w:r>
      <w:r>
        <w:rPr>
          <w:rFonts w:ascii="楷体" w:hAnsi="楷体" w:eastAsia="楷体" w:cs="楷体"/>
          <w:spacing w:val="7"/>
          <w:sz w:val="35"/>
          <w:szCs w:val="35"/>
        </w:rPr>
        <w:t>华</w:t>
      </w:r>
      <w:r>
        <w:rPr>
          <w:rFonts w:ascii="楷体" w:hAnsi="楷体" w:eastAsia="楷体" w:cs="楷体"/>
          <w:spacing w:val="6"/>
          <w:sz w:val="35"/>
          <w:szCs w:val="35"/>
        </w:rPr>
        <w:t>人民共和国生态环境部 制</w:t>
      </w:r>
    </w:p>
    <w:p>
      <w:pPr>
        <w:sectPr>
          <w:pgSz w:w="11906" w:h="16839"/>
          <w:pgMar w:top="1431" w:right="1785" w:bottom="0" w:left="1785" w:header="0" w:footer="0" w:gutter="0"/>
          <w:cols w:space="720" w:num="1"/>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81" w:lineRule="auto"/>
        <w:rPr>
          <w:rFonts w:ascii="Arial"/>
          <w:sz w:val="21"/>
        </w:rPr>
      </w:pPr>
      <w:r>
        <w:pict>
          <v:rect id="_x0000_s1027" o:spid="_x0000_s1027" o:spt="1" style="position:absolute;left:0pt;margin-left:166.65pt;margin-top:503.05pt;height:248pt;width:0.5pt;mso-position-horizontal-relative:page;mso-position-vertical-relative:page;z-index:251660288;mso-width-relative:page;mso-height-relative:page;" fillcolor="#000000" filled="t" stroked="f" coordsize="21600,21600" o:allowincell="f">
            <v:path/>
            <v:fill on="t" focussize="0,0"/>
            <v:stroke on="f"/>
            <v:imagedata o:title=""/>
            <o:lock v:ext="edit"/>
          </v:rect>
        </w:pict>
      </w: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95" w:line="481" w:lineRule="exact"/>
        <w:ind w:left="2947"/>
        <w:outlineLvl w:val="0"/>
        <w:rPr>
          <w:rFonts w:ascii="黑体" w:hAnsi="黑体" w:eastAsia="黑体" w:cs="黑体"/>
          <w:sz w:val="29"/>
          <w:szCs w:val="29"/>
        </w:rPr>
      </w:pPr>
      <w:bookmarkStart w:id="0" w:name="_bookmark1"/>
      <w:bookmarkEnd w:id="0"/>
      <w:r>
        <w:rPr>
          <w:rFonts w:ascii="黑体" w:hAnsi="黑体" w:eastAsia="黑体" w:cs="黑体"/>
          <w:spacing w:val="11"/>
          <w:position w:val="4"/>
          <w:sz w:val="29"/>
          <w:szCs w:val="29"/>
        </w:rPr>
        <w:t>一</w:t>
      </w:r>
      <w:r>
        <w:rPr>
          <w:rFonts w:ascii="黑体" w:hAnsi="黑体" w:eastAsia="黑体" w:cs="黑体"/>
          <w:spacing w:val="8"/>
          <w:position w:val="4"/>
          <w:sz w:val="29"/>
          <w:szCs w:val="29"/>
        </w:rPr>
        <w:t>、建设项目基本情况</w:t>
      </w:r>
    </w:p>
    <w:p>
      <w:pPr>
        <w:spacing w:line="141" w:lineRule="exact"/>
      </w:pPr>
    </w:p>
    <w:tbl>
      <w:tblPr>
        <w:tblStyle w:val="4"/>
        <w:tblW w:w="893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89"/>
        <w:gridCol w:w="771"/>
        <w:gridCol w:w="1745"/>
        <w:gridCol w:w="1982"/>
        <w:gridCol w:w="613"/>
        <w:gridCol w:w="1329"/>
        <w:gridCol w:w="671"/>
        <w:gridCol w:w="1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689" w:type="dxa"/>
            <w:tcBorders>
              <w:left w:val="single" w:color="000000" w:sz="6" w:space="0"/>
            </w:tcBorders>
            <w:vAlign w:val="top"/>
          </w:tcPr>
          <w:p>
            <w:pPr>
              <w:spacing w:before="105" w:line="228" w:lineRule="auto"/>
              <w:ind w:left="216"/>
              <w:rPr>
                <w:rFonts w:ascii="宋体" w:hAnsi="宋体" w:eastAsia="宋体" w:cs="宋体"/>
                <w:sz w:val="20"/>
                <w:szCs w:val="20"/>
              </w:rPr>
            </w:pPr>
            <w:r>
              <w:rPr>
                <w:rFonts w:ascii="宋体" w:hAnsi="宋体" w:eastAsia="宋体" w:cs="宋体"/>
                <w:spacing w:val="8"/>
                <w:sz w:val="20"/>
                <w:szCs w:val="20"/>
              </w:rPr>
              <w:t>建设项目名</w:t>
            </w:r>
            <w:r>
              <w:rPr>
                <w:rFonts w:ascii="宋体" w:hAnsi="宋体" w:eastAsia="宋体" w:cs="宋体"/>
                <w:spacing w:val="7"/>
                <w:sz w:val="20"/>
                <w:szCs w:val="20"/>
              </w:rPr>
              <w:t>称</w:t>
            </w:r>
          </w:p>
        </w:tc>
        <w:tc>
          <w:tcPr>
            <w:tcW w:w="7246" w:type="dxa"/>
            <w:gridSpan w:val="7"/>
            <w:tcBorders>
              <w:right w:val="single" w:color="000000" w:sz="6" w:space="0"/>
            </w:tcBorders>
            <w:vAlign w:val="top"/>
          </w:tcPr>
          <w:p>
            <w:pPr>
              <w:spacing w:before="105" w:line="227" w:lineRule="auto"/>
              <w:ind w:left="2362"/>
              <w:rPr>
                <w:rFonts w:ascii="宋体" w:hAnsi="宋体" w:eastAsia="宋体" w:cs="宋体"/>
                <w:sz w:val="20"/>
                <w:szCs w:val="20"/>
              </w:rPr>
            </w:pPr>
            <w:r>
              <w:rPr>
                <w:rFonts w:ascii="宋体" w:hAnsi="宋体" w:eastAsia="宋体" w:cs="宋体"/>
                <w:spacing w:val="11"/>
                <w:sz w:val="20"/>
                <w:szCs w:val="20"/>
              </w:rPr>
              <w:t>达</w:t>
            </w:r>
            <w:r>
              <w:rPr>
                <w:rFonts w:ascii="宋体" w:hAnsi="宋体" w:eastAsia="宋体" w:cs="宋体"/>
                <w:spacing w:val="9"/>
                <w:sz w:val="20"/>
                <w:szCs w:val="20"/>
              </w:rPr>
              <w:t>州市高家坝大桥建设项目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1689" w:type="dxa"/>
            <w:tcBorders>
              <w:left w:val="single" w:color="000000" w:sz="6" w:space="0"/>
            </w:tcBorders>
            <w:vAlign w:val="top"/>
          </w:tcPr>
          <w:p>
            <w:pPr>
              <w:spacing w:before="89" w:line="228" w:lineRule="auto"/>
              <w:ind w:left="426"/>
              <w:rPr>
                <w:rFonts w:ascii="宋体" w:hAnsi="宋体" w:eastAsia="宋体" w:cs="宋体"/>
                <w:sz w:val="20"/>
                <w:szCs w:val="20"/>
              </w:rPr>
            </w:pPr>
            <w:r>
              <w:rPr>
                <w:rFonts w:ascii="宋体" w:hAnsi="宋体" w:eastAsia="宋体" w:cs="宋体"/>
                <w:spacing w:val="8"/>
                <w:sz w:val="20"/>
                <w:szCs w:val="20"/>
              </w:rPr>
              <w:t>项</w:t>
            </w:r>
            <w:r>
              <w:rPr>
                <w:rFonts w:ascii="宋体" w:hAnsi="宋体" w:eastAsia="宋体" w:cs="宋体"/>
                <w:spacing w:val="6"/>
                <w:sz w:val="20"/>
                <w:szCs w:val="20"/>
              </w:rPr>
              <w:t>目代码</w:t>
            </w:r>
          </w:p>
        </w:tc>
        <w:tc>
          <w:tcPr>
            <w:tcW w:w="7246" w:type="dxa"/>
            <w:gridSpan w:val="7"/>
            <w:tcBorders>
              <w:right w:val="single" w:color="000000" w:sz="6" w:space="0"/>
            </w:tcBorders>
            <w:vAlign w:val="top"/>
          </w:tcPr>
          <w:p>
            <w:pPr>
              <w:spacing w:before="125" w:line="195" w:lineRule="auto"/>
              <w:ind w:left="24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5"/>
                <w:sz w:val="20"/>
                <w:szCs w:val="20"/>
              </w:rPr>
              <w:t>0</w:t>
            </w:r>
            <w:r>
              <w:rPr>
                <w:rFonts w:ascii="Times New Roman" w:hAnsi="Times New Roman" w:eastAsia="Times New Roman" w:cs="Times New Roman"/>
                <w:spacing w:val="4"/>
                <w:sz w:val="20"/>
                <w:szCs w:val="20"/>
              </w:rPr>
              <w:t>20-511700-48-01-476608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689" w:type="dxa"/>
            <w:tcBorders>
              <w:left w:val="single" w:color="000000" w:sz="6" w:space="0"/>
            </w:tcBorders>
            <w:vAlign w:val="top"/>
          </w:tcPr>
          <w:p>
            <w:pPr>
              <w:spacing w:before="78" w:line="228" w:lineRule="auto"/>
              <w:ind w:left="111"/>
              <w:rPr>
                <w:rFonts w:ascii="宋体" w:hAnsi="宋体" w:eastAsia="宋体" w:cs="宋体"/>
                <w:sz w:val="20"/>
                <w:szCs w:val="20"/>
              </w:rPr>
            </w:pPr>
            <w:r>
              <w:rPr>
                <w:rFonts w:ascii="宋体" w:hAnsi="宋体" w:eastAsia="宋体" w:cs="宋体"/>
                <w:spacing w:val="10"/>
                <w:sz w:val="20"/>
                <w:szCs w:val="20"/>
              </w:rPr>
              <w:t>建</w:t>
            </w:r>
            <w:r>
              <w:rPr>
                <w:rFonts w:ascii="宋体" w:hAnsi="宋体" w:eastAsia="宋体" w:cs="宋体"/>
                <w:spacing w:val="8"/>
                <w:sz w:val="20"/>
                <w:szCs w:val="20"/>
              </w:rPr>
              <w:t>设单位联系人</w:t>
            </w:r>
          </w:p>
        </w:tc>
        <w:tc>
          <w:tcPr>
            <w:tcW w:w="2516" w:type="dxa"/>
            <w:gridSpan w:val="2"/>
            <w:vAlign w:val="top"/>
          </w:tcPr>
          <w:p>
            <w:pPr>
              <w:spacing w:before="78" w:line="227" w:lineRule="auto"/>
              <w:ind w:left="1061"/>
              <w:rPr>
                <w:rFonts w:ascii="宋体" w:hAnsi="宋体" w:eastAsia="宋体" w:cs="宋体"/>
                <w:sz w:val="20"/>
                <w:szCs w:val="20"/>
              </w:rPr>
            </w:pPr>
            <w:r>
              <w:rPr>
                <w:rFonts w:ascii="宋体" w:hAnsi="宋体" w:eastAsia="宋体" w:cs="宋体"/>
                <w:spacing w:val="-1"/>
                <w:sz w:val="20"/>
                <w:szCs w:val="20"/>
              </w:rPr>
              <w:t>陈伟</w:t>
            </w:r>
          </w:p>
        </w:tc>
        <w:tc>
          <w:tcPr>
            <w:tcW w:w="1982" w:type="dxa"/>
            <w:vAlign w:val="top"/>
          </w:tcPr>
          <w:p>
            <w:pPr>
              <w:spacing w:before="78" w:line="229" w:lineRule="auto"/>
              <w:ind w:left="577"/>
              <w:rPr>
                <w:rFonts w:ascii="宋体" w:hAnsi="宋体" w:eastAsia="宋体" w:cs="宋体"/>
                <w:sz w:val="20"/>
                <w:szCs w:val="20"/>
              </w:rPr>
            </w:pPr>
            <w:r>
              <w:rPr>
                <w:rFonts w:ascii="宋体" w:hAnsi="宋体" w:eastAsia="宋体" w:cs="宋体"/>
                <w:spacing w:val="7"/>
                <w:sz w:val="20"/>
                <w:szCs w:val="20"/>
              </w:rPr>
              <w:t>联系方式</w:t>
            </w:r>
          </w:p>
        </w:tc>
        <w:tc>
          <w:tcPr>
            <w:tcW w:w="2748" w:type="dxa"/>
            <w:gridSpan w:val="4"/>
            <w:tcBorders>
              <w:right w:val="single" w:color="000000" w:sz="6" w:space="0"/>
            </w:tcBorders>
            <w:vAlign w:val="top"/>
          </w:tcPr>
          <w:p>
            <w:pPr>
              <w:spacing w:before="114" w:line="195" w:lineRule="auto"/>
              <w:ind w:left="8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1580818353</w:t>
            </w:r>
            <w:r>
              <w:rPr>
                <w:rFonts w:ascii="Times New Roman" w:hAnsi="Times New Roman" w:eastAsia="Times New Roman" w:cs="Times New Roman"/>
                <w:spacing w:val="1"/>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689" w:type="dxa"/>
            <w:tcBorders>
              <w:left w:val="single" w:color="000000" w:sz="6" w:space="0"/>
            </w:tcBorders>
            <w:vAlign w:val="top"/>
          </w:tcPr>
          <w:p>
            <w:pPr>
              <w:spacing w:before="119" w:line="229" w:lineRule="auto"/>
              <w:ind w:left="425"/>
              <w:rPr>
                <w:rFonts w:ascii="宋体" w:hAnsi="宋体" w:eastAsia="宋体" w:cs="宋体"/>
                <w:sz w:val="20"/>
                <w:szCs w:val="20"/>
              </w:rPr>
            </w:pPr>
            <w:r>
              <w:rPr>
                <w:rFonts w:ascii="宋体" w:hAnsi="宋体" w:eastAsia="宋体" w:cs="宋体"/>
                <w:spacing w:val="9"/>
                <w:sz w:val="20"/>
                <w:szCs w:val="20"/>
              </w:rPr>
              <w:t>建</w:t>
            </w:r>
            <w:r>
              <w:rPr>
                <w:rFonts w:ascii="宋体" w:hAnsi="宋体" w:eastAsia="宋体" w:cs="宋体"/>
                <w:spacing w:val="6"/>
                <w:sz w:val="20"/>
                <w:szCs w:val="20"/>
              </w:rPr>
              <w:t>设地点</w:t>
            </w:r>
          </w:p>
        </w:tc>
        <w:tc>
          <w:tcPr>
            <w:tcW w:w="7246" w:type="dxa"/>
            <w:gridSpan w:val="7"/>
            <w:tcBorders>
              <w:right w:val="single" w:color="000000" w:sz="6" w:space="0"/>
            </w:tcBorders>
            <w:vAlign w:val="top"/>
          </w:tcPr>
          <w:p>
            <w:pPr>
              <w:spacing w:before="118" w:line="227" w:lineRule="auto"/>
              <w:ind w:left="911"/>
              <w:rPr>
                <w:rFonts w:ascii="宋体" w:hAnsi="宋体" w:eastAsia="宋体" w:cs="宋体"/>
                <w:sz w:val="20"/>
                <w:szCs w:val="20"/>
              </w:rPr>
            </w:pPr>
            <w:r>
              <w:rPr>
                <w:rFonts w:ascii="宋体" w:hAnsi="宋体" w:eastAsia="宋体" w:cs="宋体"/>
                <w:spacing w:val="9"/>
                <w:sz w:val="20"/>
                <w:szCs w:val="20"/>
              </w:rPr>
              <w:t>四川省达州市通川区北城滨江片区高家坝社区和张家坝社</w:t>
            </w:r>
            <w:r>
              <w:rPr>
                <w:rFonts w:ascii="宋体" w:hAnsi="宋体" w:eastAsia="宋体" w:cs="宋体"/>
                <w:spacing w:val="4"/>
                <w:sz w:val="20"/>
                <w:szCs w:val="20"/>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689" w:type="dxa"/>
            <w:tcBorders>
              <w:left w:val="single" w:color="000000" w:sz="6" w:space="0"/>
            </w:tcBorders>
            <w:vAlign w:val="top"/>
          </w:tcPr>
          <w:p>
            <w:pPr>
              <w:spacing w:before="233" w:line="228" w:lineRule="auto"/>
              <w:ind w:left="422"/>
              <w:rPr>
                <w:rFonts w:ascii="宋体" w:hAnsi="宋体" w:eastAsia="宋体" w:cs="宋体"/>
                <w:sz w:val="20"/>
                <w:szCs w:val="20"/>
              </w:rPr>
            </w:pPr>
            <w:r>
              <w:rPr>
                <w:rFonts w:ascii="宋体" w:hAnsi="宋体" w:eastAsia="宋体" w:cs="宋体"/>
                <w:spacing w:val="8"/>
                <w:sz w:val="20"/>
                <w:szCs w:val="20"/>
              </w:rPr>
              <w:t>地</w:t>
            </w:r>
            <w:r>
              <w:rPr>
                <w:rFonts w:ascii="宋体" w:hAnsi="宋体" w:eastAsia="宋体" w:cs="宋体"/>
                <w:spacing w:val="7"/>
                <w:sz w:val="20"/>
                <w:szCs w:val="20"/>
              </w:rPr>
              <w:t>理坐标</w:t>
            </w:r>
          </w:p>
        </w:tc>
        <w:tc>
          <w:tcPr>
            <w:tcW w:w="7246" w:type="dxa"/>
            <w:gridSpan w:val="7"/>
            <w:tcBorders>
              <w:right w:val="single" w:color="000000" w:sz="6" w:space="0"/>
            </w:tcBorders>
            <w:vAlign w:val="top"/>
          </w:tcPr>
          <w:p>
            <w:pPr>
              <w:spacing w:before="97" w:line="228" w:lineRule="auto"/>
              <w:ind w:left="892"/>
              <w:rPr>
                <w:rFonts w:ascii="宋体" w:hAnsi="宋体" w:eastAsia="宋体" w:cs="宋体"/>
                <w:sz w:val="20"/>
                <w:szCs w:val="20"/>
              </w:rPr>
            </w:pPr>
            <w:r>
              <w:rPr>
                <w:rFonts w:ascii="宋体" w:hAnsi="宋体" w:eastAsia="宋体" w:cs="宋体"/>
                <w:spacing w:val="8"/>
                <w:sz w:val="20"/>
                <w:szCs w:val="20"/>
              </w:rPr>
              <w:t>起点：</w:t>
            </w:r>
            <w:r>
              <w:rPr>
                <w:rFonts w:ascii="Times New Roman" w:hAnsi="Times New Roman" w:eastAsia="Times New Roman" w:cs="Times New Roman"/>
                <w:spacing w:val="8"/>
                <w:sz w:val="20"/>
                <w:szCs w:val="20"/>
                <w:u w:val="single" w:color="auto"/>
              </w:rPr>
              <w:t xml:space="preserve">  10</w:t>
            </w:r>
            <w:r>
              <w:rPr>
                <w:rFonts w:ascii="Times New Roman" w:hAnsi="Times New Roman" w:eastAsia="Times New Roman" w:cs="Times New Roman"/>
                <w:spacing w:val="7"/>
                <w:sz w:val="20"/>
                <w:szCs w:val="20"/>
                <w:u w:val="single" w:color="auto"/>
              </w:rPr>
              <w:t>7</w:t>
            </w:r>
            <w:r>
              <w:rPr>
                <w:rFonts w:ascii="Times New Roman" w:hAnsi="Times New Roman" w:eastAsia="Times New Roman" w:cs="Times New Roman"/>
                <w:spacing w:val="4"/>
                <w:sz w:val="20"/>
                <w:szCs w:val="20"/>
                <w:u w:val="single" w:color="auto"/>
              </w:rPr>
              <w:t xml:space="preserve">  </w:t>
            </w:r>
            <w:r>
              <w:rPr>
                <w:rFonts w:ascii="宋体" w:hAnsi="宋体" w:eastAsia="宋体" w:cs="宋体"/>
                <w:spacing w:val="4"/>
                <w:sz w:val="20"/>
                <w:szCs w:val="20"/>
              </w:rPr>
              <w:t>度</w:t>
            </w:r>
            <w:r>
              <w:rPr>
                <w:rFonts w:ascii="Times New Roman" w:hAnsi="Times New Roman" w:eastAsia="Times New Roman" w:cs="Times New Roman"/>
                <w:spacing w:val="4"/>
                <w:sz w:val="20"/>
                <w:szCs w:val="20"/>
                <w:u w:val="single" w:color="auto"/>
              </w:rPr>
              <w:t xml:space="preserve">  31  </w:t>
            </w:r>
            <w:r>
              <w:rPr>
                <w:rFonts w:ascii="宋体" w:hAnsi="宋体" w:eastAsia="宋体" w:cs="宋体"/>
                <w:spacing w:val="4"/>
                <w:sz w:val="20"/>
                <w:szCs w:val="20"/>
              </w:rPr>
              <w:t>分</w:t>
            </w:r>
            <w:r>
              <w:rPr>
                <w:rFonts w:ascii="Times New Roman" w:hAnsi="Times New Roman" w:eastAsia="Times New Roman" w:cs="Times New Roman"/>
                <w:spacing w:val="4"/>
                <w:sz w:val="20"/>
                <w:szCs w:val="20"/>
                <w:u w:val="single" w:color="auto"/>
              </w:rPr>
              <w:t xml:space="preserve">  18.544  </w:t>
            </w:r>
            <w:r>
              <w:rPr>
                <w:rFonts w:ascii="宋体" w:hAnsi="宋体" w:eastAsia="宋体" w:cs="宋体"/>
                <w:spacing w:val="4"/>
                <w:sz w:val="20"/>
                <w:szCs w:val="20"/>
              </w:rPr>
              <w:t>秒，</w:t>
            </w:r>
            <w:r>
              <w:rPr>
                <w:rFonts w:ascii="Times New Roman" w:hAnsi="Times New Roman" w:eastAsia="Times New Roman" w:cs="Times New Roman"/>
                <w:spacing w:val="4"/>
                <w:sz w:val="20"/>
                <w:szCs w:val="20"/>
                <w:u w:val="single" w:color="auto"/>
              </w:rPr>
              <w:t xml:space="preserve">  31  </w:t>
            </w:r>
            <w:r>
              <w:rPr>
                <w:rFonts w:ascii="宋体" w:hAnsi="宋体" w:eastAsia="宋体" w:cs="宋体"/>
                <w:spacing w:val="4"/>
                <w:sz w:val="20"/>
                <w:szCs w:val="20"/>
              </w:rPr>
              <w:t>度</w:t>
            </w:r>
            <w:r>
              <w:rPr>
                <w:rFonts w:ascii="Times New Roman" w:hAnsi="Times New Roman" w:eastAsia="Times New Roman" w:cs="Times New Roman"/>
                <w:spacing w:val="4"/>
                <w:sz w:val="20"/>
                <w:szCs w:val="20"/>
                <w:u w:val="single" w:color="auto"/>
              </w:rPr>
              <w:t xml:space="preserve">  15  </w:t>
            </w:r>
            <w:r>
              <w:rPr>
                <w:rFonts w:ascii="宋体" w:hAnsi="宋体" w:eastAsia="宋体" w:cs="宋体"/>
                <w:spacing w:val="4"/>
                <w:sz w:val="20"/>
                <w:szCs w:val="20"/>
              </w:rPr>
              <w:t>分</w:t>
            </w:r>
            <w:r>
              <w:rPr>
                <w:rFonts w:ascii="Times New Roman" w:hAnsi="Times New Roman" w:eastAsia="Times New Roman" w:cs="Times New Roman"/>
                <w:spacing w:val="4"/>
                <w:sz w:val="20"/>
                <w:szCs w:val="20"/>
                <w:u w:val="single" w:color="auto"/>
              </w:rPr>
              <w:t xml:space="preserve">  16.341  </w:t>
            </w:r>
            <w:r>
              <w:rPr>
                <w:rFonts w:ascii="宋体" w:hAnsi="宋体" w:eastAsia="宋体" w:cs="宋体"/>
                <w:spacing w:val="4"/>
                <w:sz w:val="20"/>
                <w:szCs w:val="20"/>
              </w:rPr>
              <w:t>秒</w:t>
            </w:r>
          </w:p>
          <w:p>
            <w:pPr>
              <w:spacing w:before="26" w:line="228" w:lineRule="auto"/>
              <w:ind w:left="947"/>
              <w:rPr>
                <w:rFonts w:ascii="宋体" w:hAnsi="宋体" w:eastAsia="宋体" w:cs="宋体"/>
                <w:sz w:val="20"/>
                <w:szCs w:val="20"/>
              </w:rPr>
            </w:pPr>
            <w:r>
              <w:rPr>
                <w:rFonts w:ascii="宋体" w:hAnsi="宋体" w:eastAsia="宋体" w:cs="宋体"/>
                <w:spacing w:val="8"/>
                <w:sz w:val="20"/>
                <w:szCs w:val="20"/>
              </w:rPr>
              <w:t>终点：</w:t>
            </w:r>
            <w:r>
              <w:rPr>
                <w:rFonts w:ascii="Times New Roman" w:hAnsi="Times New Roman" w:eastAsia="Times New Roman" w:cs="Times New Roman"/>
                <w:spacing w:val="8"/>
                <w:sz w:val="20"/>
                <w:szCs w:val="20"/>
                <w:u w:val="single" w:color="auto"/>
              </w:rPr>
              <w:t xml:space="preserve">  1</w:t>
            </w:r>
            <w:r>
              <w:rPr>
                <w:rFonts w:ascii="Times New Roman" w:hAnsi="Times New Roman" w:eastAsia="Times New Roman" w:cs="Times New Roman"/>
                <w:spacing w:val="7"/>
                <w:sz w:val="20"/>
                <w:szCs w:val="20"/>
                <w:u w:val="single" w:color="auto"/>
              </w:rPr>
              <w:t>0</w:t>
            </w:r>
            <w:r>
              <w:rPr>
                <w:rFonts w:ascii="Times New Roman" w:hAnsi="Times New Roman" w:eastAsia="Times New Roman" w:cs="Times New Roman"/>
                <w:spacing w:val="4"/>
                <w:sz w:val="20"/>
                <w:szCs w:val="20"/>
                <w:u w:val="single" w:color="auto"/>
              </w:rPr>
              <w:t xml:space="preserve">7  </w:t>
            </w:r>
            <w:r>
              <w:rPr>
                <w:rFonts w:ascii="宋体" w:hAnsi="宋体" w:eastAsia="宋体" w:cs="宋体"/>
                <w:spacing w:val="4"/>
                <w:sz w:val="20"/>
                <w:szCs w:val="20"/>
              </w:rPr>
              <w:t>度</w:t>
            </w:r>
            <w:r>
              <w:rPr>
                <w:rFonts w:ascii="Times New Roman" w:hAnsi="Times New Roman" w:eastAsia="Times New Roman" w:cs="Times New Roman"/>
                <w:spacing w:val="4"/>
                <w:sz w:val="20"/>
                <w:szCs w:val="20"/>
                <w:u w:val="single" w:color="auto"/>
              </w:rPr>
              <w:t xml:space="preserve">  31  </w:t>
            </w:r>
            <w:r>
              <w:rPr>
                <w:rFonts w:ascii="宋体" w:hAnsi="宋体" w:eastAsia="宋体" w:cs="宋体"/>
                <w:spacing w:val="4"/>
                <w:sz w:val="20"/>
                <w:szCs w:val="20"/>
              </w:rPr>
              <w:t>分</w:t>
            </w:r>
            <w:r>
              <w:rPr>
                <w:rFonts w:ascii="Times New Roman" w:hAnsi="Times New Roman" w:eastAsia="Times New Roman" w:cs="Times New Roman"/>
                <w:spacing w:val="4"/>
                <w:sz w:val="20"/>
                <w:szCs w:val="20"/>
                <w:u w:val="single" w:color="auto"/>
              </w:rPr>
              <w:t xml:space="preserve">  23.821  </w:t>
            </w:r>
            <w:r>
              <w:rPr>
                <w:rFonts w:ascii="宋体" w:hAnsi="宋体" w:eastAsia="宋体" w:cs="宋体"/>
                <w:spacing w:val="4"/>
                <w:sz w:val="20"/>
                <w:szCs w:val="20"/>
              </w:rPr>
              <w:t>秒，</w:t>
            </w:r>
            <w:r>
              <w:rPr>
                <w:rFonts w:ascii="Times New Roman" w:hAnsi="Times New Roman" w:eastAsia="Times New Roman" w:cs="Times New Roman"/>
                <w:spacing w:val="4"/>
                <w:sz w:val="20"/>
                <w:szCs w:val="20"/>
                <w:u w:val="single" w:color="auto"/>
              </w:rPr>
              <w:t xml:space="preserve">  31  </w:t>
            </w:r>
            <w:r>
              <w:rPr>
                <w:rFonts w:ascii="宋体" w:hAnsi="宋体" w:eastAsia="宋体" w:cs="宋体"/>
                <w:spacing w:val="4"/>
                <w:sz w:val="20"/>
                <w:szCs w:val="20"/>
              </w:rPr>
              <w:t>度</w:t>
            </w:r>
            <w:r>
              <w:rPr>
                <w:rFonts w:ascii="Times New Roman" w:hAnsi="Times New Roman" w:eastAsia="Times New Roman" w:cs="Times New Roman"/>
                <w:spacing w:val="4"/>
                <w:sz w:val="20"/>
                <w:szCs w:val="20"/>
                <w:u w:val="single" w:color="auto"/>
              </w:rPr>
              <w:t xml:space="preserve">  15  </w:t>
            </w:r>
            <w:r>
              <w:rPr>
                <w:rFonts w:ascii="宋体" w:hAnsi="宋体" w:eastAsia="宋体" w:cs="宋体"/>
                <w:spacing w:val="4"/>
                <w:sz w:val="20"/>
                <w:szCs w:val="20"/>
              </w:rPr>
              <w:t>分</w:t>
            </w:r>
            <w:r>
              <w:rPr>
                <w:rFonts w:ascii="Times New Roman" w:hAnsi="Times New Roman" w:eastAsia="Times New Roman" w:cs="Times New Roman"/>
                <w:spacing w:val="4"/>
                <w:sz w:val="20"/>
                <w:szCs w:val="20"/>
                <w:u w:val="single" w:color="auto"/>
              </w:rPr>
              <w:t xml:space="preserve">  9.851  </w:t>
            </w:r>
            <w:r>
              <w:rPr>
                <w:rFonts w:ascii="宋体" w:hAnsi="宋体" w:eastAsia="宋体" w:cs="宋体"/>
                <w:spacing w:val="4"/>
                <w:sz w:val="20"/>
                <w:szCs w:val="20"/>
              </w:rPr>
              <w:t>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1689" w:type="dxa"/>
            <w:tcBorders>
              <w:left w:val="single" w:color="000000" w:sz="6" w:space="0"/>
            </w:tcBorders>
            <w:vAlign w:val="top"/>
          </w:tcPr>
          <w:p>
            <w:pPr>
              <w:spacing w:before="185" w:line="271" w:lineRule="exact"/>
              <w:ind w:left="425"/>
              <w:rPr>
                <w:rFonts w:ascii="宋体" w:hAnsi="宋体" w:eastAsia="宋体" w:cs="宋体"/>
                <w:sz w:val="20"/>
                <w:szCs w:val="20"/>
              </w:rPr>
            </w:pPr>
            <w:r>
              <w:rPr>
                <w:rFonts w:ascii="宋体" w:hAnsi="宋体" w:eastAsia="宋体" w:cs="宋体"/>
                <w:spacing w:val="9"/>
                <w:position w:val="4"/>
                <w:sz w:val="20"/>
                <w:szCs w:val="20"/>
              </w:rPr>
              <w:t>建</w:t>
            </w:r>
            <w:r>
              <w:rPr>
                <w:rFonts w:ascii="宋体" w:hAnsi="宋体" w:eastAsia="宋体" w:cs="宋体"/>
                <w:spacing w:val="6"/>
                <w:position w:val="4"/>
                <w:sz w:val="20"/>
                <w:szCs w:val="20"/>
              </w:rPr>
              <w:t>设项目</w:t>
            </w:r>
          </w:p>
          <w:p>
            <w:pPr>
              <w:spacing w:line="227" w:lineRule="auto"/>
              <w:ind w:left="426"/>
              <w:rPr>
                <w:rFonts w:ascii="宋体" w:hAnsi="宋体" w:eastAsia="宋体" w:cs="宋体"/>
                <w:sz w:val="20"/>
                <w:szCs w:val="20"/>
              </w:rPr>
            </w:pPr>
            <w:r>
              <w:rPr>
                <w:rFonts w:ascii="宋体" w:hAnsi="宋体" w:eastAsia="宋体" w:cs="宋体"/>
                <w:spacing w:val="8"/>
                <w:sz w:val="20"/>
                <w:szCs w:val="20"/>
              </w:rPr>
              <w:t>行</w:t>
            </w:r>
            <w:r>
              <w:rPr>
                <w:rFonts w:ascii="宋体" w:hAnsi="宋体" w:eastAsia="宋体" w:cs="宋体"/>
                <w:spacing w:val="6"/>
                <w:sz w:val="20"/>
                <w:szCs w:val="20"/>
              </w:rPr>
              <w:t>业类别</w:t>
            </w:r>
          </w:p>
        </w:tc>
        <w:tc>
          <w:tcPr>
            <w:tcW w:w="2516" w:type="dxa"/>
            <w:gridSpan w:val="2"/>
            <w:vAlign w:val="top"/>
          </w:tcPr>
          <w:p>
            <w:pPr>
              <w:spacing w:before="184" w:line="265" w:lineRule="auto"/>
              <w:ind w:left="735" w:right="4" w:hanging="733"/>
              <w:rPr>
                <w:rFonts w:ascii="宋体" w:hAnsi="宋体" w:eastAsia="宋体" w:cs="宋体"/>
                <w:sz w:val="20"/>
                <w:szCs w:val="20"/>
              </w:rPr>
            </w:pPr>
            <w:r>
              <w:rPr>
                <w:rFonts w:ascii="Times New Roman" w:hAnsi="Times New Roman" w:eastAsia="Times New Roman" w:cs="Times New Roman"/>
                <w:sz w:val="20"/>
                <w:szCs w:val="20"/>
              </w:rPr>
              <w:t>E</w:t>
            </w:r>
            <w:r>
              <w:rPr>
                <w:rFonts w:ascii="Times New Roman" w:hAnsi="Times New Roman" w:eastAsia="Times New Roman" w:cs="Times New Roman"/>
                <w:spacing w:val="10"/>
                <w:sz w:val="20"/>
                <w:szCs w:val="20"/>
              </w:rPr>
              <w:t>4</w:t>
            </w:r>
            <w:r>
              <w:rPr>
                <w:rFonts w:ascii="Times New Roman" w:hAnsi="Times New Roman" w:eastAsia="Times New Roman" w:cs="Times New Roman"/>
                <w:spacing w:val="6"/>
                <w:sz w:val="20"/>
                <w:szCs w:val="20"/>
              </w:rPr>
              <w:t>8</w:t>
            </w:r>
            <w:r>
              <w:rPr>
                <w:rFonts w:ascii="Times New Roman" w:hAnsi="Times New Roman" w:eastAsia="Times New Roman" w:cs="Times New Roman"/>
                <w:spacing w:val="5"/>
                <w:sz w:val="20"/>
                <w:szCs w:val="20"/>
              </w:rPr>
              <w:t xml:space="preserve">19  </w:t>
            </w:r>
            <w:r>
              <w:rPr>
                <w:rFonts w:ascii="宋体" w:hAnsi="宋体" w:eastAsia="宋体" w:cs="宋体"/>
                <w:spacing w:val="5"/>
                <w:sz w:val="20"/>
                <w:szCs w:val="20"/>
              </w:rPr>
              <w:t>其他道路、隧道和桥</w:t>
            </w:r>
            <w:r>
              <w:rPr>
                <w:rFonts w:ascii="宋体" w:hAnsi="宋体" w:eastAsia="宋体" w:cs="宋体"/>
                <w:sz w:val="20"/>
                <w:szCs w:val="20"/>
              </w:rPr>
              <w:t xml:space="preserve"> </w:t>
            </w:r>
            <w:r>
              <w:rPr>
                <w:rFonts w:ascii="宋体" w:hAnsi="宋体" w:eastAsia="宋体" w:cs="宋体"/>
                <w:spacing w:val="8"/>
                <w:sz w:val="20"/>
                <w:szCs w:val="20"/>
              </w:rPr>
              <w:t>梁工程建筑</w:t>
            </w:r>
          </w:p>
        </w:tc>
        <w:tc>
          <w:tcPr>
            <w:tcW w:w="1982" w:type="dxa"/>
            <w:vAlign w:val="top"/>
          </w:tcPr>
          <w:p>
            <w:pPr>
              <w:spacing w:before="184" w:line="266" w:lineRule="auto"/>
              <w:ind w:left="46" w:right="46" w:firstLine="111"/>
              <w:rPr>
                <w:rFonts w:ascii="宋体" w:hAnsi="宋体" w:eastAsia="宋体" w:cs="宋体"/>
                <w:sz w:val="20"/>
                <w:szCs w:val="20"/>
              </w:rPr>
            </w:pPr>
            <w:r>
              <w:rPr>
                <w:rFonts w:ascii="宋体" w:hAnsi="宋体" w:eastAsia="宋体" w:cs="宋体"/>
                <w:spacing w:val="12"/>
                <w:sz w:val="20"/>
                <w:szCs w:val="20"/>
              </w:rPr>
              <w:t>用</w:t>
            </w:r>
            <w:r>
              <w:rPr>
                <w:rFonts w:ascii="宋体" w:hAnsi="宋体" w:eastAsia="宋体" w:cs="宋体"/>
                <w:spacing w:val="7"/>
                <w:sz w:val="20"/>
                <w:szCs w:val="20"/>
              </w:rPr>
              <w:t>地</w:t>
            </w:r>
            <w:r>
              <w:rPr>
                <w:rFonts w:ascii="宋体" w:hAnsi="宋体" w:eastAsia="宋体" w:cs="宋体"/>
                <w:spacing w:val="6"/>
                <w:sz w:val="20"/>
                <w:szCs w:val="20"/>
              </w:rPr>
              <w:t xml:space="preserve"> (用海) 面积</w:t>
            </w:r>
            <w:r>
              <w:rPr>
                <w:rFonts w:ascii="宋体" w:hAnsi="宋体" w:eastAsia="宋体" w:cs="宋体"/>
                <w:sz w:val="20"/>
                <w:szCs w:val="20"/>
              </w:rPr>
              <w:t xml:space="preserve"> </w:t>
            </w:r>
            <w:r>
              <w:rPr>
                <w:rFonts w:ascii="宋体" w:hAnsi="宋体" w:eastAsia="宋体" w:cs="宋体"/>
                <w:spacing w:val="10"/>
                <w:sz w:val="20"/>
                <w:szCs w:val="20"/>
              </w:rPr>
              <w:t>(</w:t>
            </w:r>
            <w:r>
              <w:rPr>
                <w:rFonts w:ascii="Times New Roman" w:hAnsi="Times New Roman" w:eastAsia="Times New Roman" w:cs="Times New Roman"/>
                <w:sz w:val="20"/>
                <w:szCs w:val="20"/>
              </w:rPr>
              <w:t>km</w:t>
            </w:r>
            <w:r>
              <w:rPr>
                <w:rFonts w:ascii="Times New Roman" w:hAnsi="Times New Roman" w:eastAsia="Times New Roman" w:cs="Times New Roman"/>
                <w:spacing w:val="9"/>
                <w:position w:val="6"/>
                <w:sz w:val="13"/>
                <w:szCs w:val="13"/>
              </w:rPr>
              <w:t>2</w:t>
            </w:r>
            <w:r>
              <w:rPr>
                <w:rFonts w:ascii="Times New Roman" w:hAnsi="Times New Roman" w:eastAsia="Times New Roman" w:cs="Times New Roman"/>
                <w:spacing w:val="5"/>
                <w:position w:val="6"/>
                <w:sz w:val="13"/>
                <w:szCs w:val="13"/>
              </w:rPr>
              <w:t xml:space="preserve"> </w:t>
            </w:r>
            <w:r>
              <w:rPr>
                <w:rFonts w:ascii="宋体" w:hAnsi="宋体" w:eastAsia="宋体" w:cs="宋体"/>
                <w:spacing w:val="5"/>
                <w:sz w:val="20"/>
                <w:szCs w:val="20"/>
              </w:rPr>
              <w:t xml:space="preserve">) </w:t>
            </w:r>
            <w:r>
              <w:rPr>
                <w:rFonts w:ascii="Times New Roman" w:hAnsi="Times New Roman" w:eastAsia="Times New Roman" w:cs="Times New Roman"/>
                <w:spacing w:val="5"/>
                <w:sz w:val="20"/>
                <w:szCs w:val="20"/>
              </w:rPr>
              <w:t>/</w:t>
            </w:r>
            <w:r>
              <w:rPr>
                <w:rFonts w:ascii="宋体" w:hAnsi="宋体" w:eastAsia="宋体" w:cs="宋体"/>
                <w:spacing w:val="5"/>
                <w:sz w:val="20"/>
                <w:szCs w:val="20"/>
              </w:rPr>
              <w:t>长度 (</w:t>
            </w:r>
            <w:r>
              <w:rPr>
                <w:rFonts w:ascii="Times New Roman" w:hAnsi="Times New Roman" w:eastAsia="Times New Roman" w:cs="Times New Roman"/>
                <w:sz w:val="20"/>
                <w:szCs w:val="20"/>
              </w:rPr>
              <w:t>km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w:t>
            </w:r>
          </w:p>
        </w:tc>
        <w:tc>
          <w:tcPr>
            <w:tcW w:w="2748" w:type="dxa"/>
            <w:gridSpan w:val="4"/>
            <w:tcBorders>
              <w:right w:val="single" w:color="000000" w:sz="6" w:space="0"/>
            </w:tcBorders>
            <w:vAlign w:val="top"/>
          </w:tcPr>
          <w:p>
            <w:pPr>
              <w:spacing w:before="48" w:line="234" w:lineRule="auto"/>
              <w:ind w:left="14" w:right="6" w:firstLine="26"/>
              <w:rPr>
                <w:rFonts w:ascii="宋体" w:hAnsi="宋体" w:eastAsia="宋体" w:cs="宋体"/>
                <w:sz w:val="20"/>
                <w:szCs w:val="20"/>
              </w:rPr>
            </w:pPr>
            <w:r>
              <w:rPr>
                <w:rFonts w:ascii="宋体" w:hAnsi="宋体" w:eastAsia="宋体" w:cs="宋体"/>
                <w:spacing w:val="10"/>
                <w:sz w:val="20"/>
                <w:szCs w:val="20"/>
              </w:rPr>
              <w:t>用地</w:t>
            </w:r>
            <w:r>
              <w:rPr>
                <w:rFonts w:ascii="宋体" w:hAnsi="宋体" w:eastAsia="宋体" w:cs="宋体"/>
                <w:spacing w:val="5"/>
                <w:sz w:val="20"/>
                <w:szCs w:val="20"/>
              </w:rPr>
              <w:t>面积：</w:t>
            </w:r>
            <w:r>
              <w:rPr>
                <w:rFonts w:ascii="Times New Roman" w:hAnsi="Times New Roman" w:eastAsia="Times New Roman" w:cs="Times New Roman"/>
                <w:spacing w:val="5"/>
                <w:sz w:val="20"/>
                <w:szCs w:val="20"/>
              </w:rPr>
              <w:t xml:space="preserve">0.032419  </w:t>
            </w:r>
            <w:r>
              <w:rPr>
                <w:rFonts w:ascii="宋体" w:hAnsi="宋体" w:eastAsia="宋体" w:cs="宋体"/>
                <w:spacing w:val="5"/>
                <w:sz w:val="20"/>
                <w:szCs w:val="20"/>
              </w:rPr>
              <w:t>(其中：</w:t>
            </w:r>
            <w:r>
              <w:rPr>
                <w:rFonts w:ascii="宋体" w:hAnsi="宋体" w:eastAsia="宋体" w:cs="宋体"/>
                <w:sz w:val="20"/>
                <w:szCs w:val="20"/>
              </w:rPr>
              <w:t xml:space="preserve"> </w:t>
            </w:r>
            <w:r>
              <w:rPr>
                <w:rFonts w:ascii="宋体" w:hAnsi="宋体" w:eastAsia="宋体" w:cs="宋体"/>
                <w:spacing w:val="1"/>
                <w:sz w:val="20"/>
                <w:szCs w:val="20"/>
              </w:rPr>
              <w:t xml:space="preserve">永久占地 </w:t>
            </w:r>
            <w:r>
              <w:rPr>
                <w:rFonts w:ascii="Times New Roman" w:hAnsi="Times New Roman" w:eastAsia="Times New Roman" w:cs="Times New Roman"/>
                <w:spacing w:val="1"/>
                <w:sz w:val="20"/>
                <w:szCs w:val="20"/>
              </w:rPr>
              <w:t xml:space="preserve">0.014019 </w:t>
            </w:r>
            <w:r>
              <w:rPr>
                <w:rFonts w:ascii="宋体" w:hAnsi="宋体" w:eastAsia="宋体" w:cs="宋体"/>
                <w:spacing w:val="1"/>
                <w:sz w:val="20"/>
                <w:szCs w:val="20"/>
              </w:rPr>
              <w:t>，临</w:t>
            </w:r>
            <w:r>
              <w:rPr>
                <w:rFonts w:ascii="宋体" w:hAnsi="宋体" w:eastAsia="宋体" w:cs="宋体"/>
                <w:sz w:val="20"/>
                <w:szCs w:val="20"/>
              </w:rPr>
              <w:t>时占地</w:t>
            </w:r>
          </w:p>
          <w:p>
            <w:pPr>
              <w:spacing w:line="281" w:lineRule="exact"/>
              <w:ind w:left="403"/>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0.0184</w:t>
            </w:r>
            <w:r>
              <w:rPr>
                <w:rFonts w:ascii="宋体" w:hAnsi="宋体" w:eastAsia="宋体" w:cs="宋体"/>
                <w:spacing w:val="5"/>
                <w:position w:val="1"/>
                <w:sz w:val="20"/>
                <w:szCs w:val="20"/>
              </w:rPr>
              <w:t xml:space="preserve">) </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长度：</w:t>
            </w:r>
            <w:r>
              <w:rPr>
                <w:rFonts w:ascii="Times New Roman" w:hAnsi="Times New Roman" w:eastAsia="Times New Roman" w:cs="Times New Roman"/>
                <w:spacing w:val="5"/>
                <w:position w:val="1"/>
                <w:sz w:val="20"/>
                <w:szCs w:val="20"/>
              </w:rPr>
              <w:t>0.29</w:t>
            </w:r>
            <w:r>
              <w:rPr>
                <w:rFonts w:ascii="Times New Roman" w:hAnsi="Times New Roman" w:eastAsia="Times New Roman" w:cs="Times New Roman"/>
                <w:spacing w:val="4"/>
                <w:position w:val="1"/>
                <w:sz w:val="20"/>
                <w:szCs w:val="20"/>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4" w:hRule="atLeast"/>
        </w:trPr>
        <w:tc>
          <w:tcPr>
            <w:tcW w:w="1689" w:type="dxa"/>
            <w:tcBorders>
              <w:left w:val="single" w:color="000000" w:sz="6" w:space="0"/>
            </w:tcBorders>
            <w:vAlign w:val="top"/>
          </w:tcPr>
          <w:p>
            <w:pPr>
              <w:spacing w:line="423" w:lineRule="auto"/>
              <w:rPr>
                <w:rFonts w:ascii="Arial"/>
                <w:sz w:val="21"/>
              </w:rPr>
            </w:pPr>
          </w:p>
          <w:p>
            <w:pPr>
              <w:spacing w:before="65" w:line="228" w:lineRule="auto"/>
              <w:ind w:left="425"/>
              <w:rPr>
                <w:rFonts w:ascii="宋体" w:hAnsi="宋体" w:eastAsia="宋体" w:cs="宋体"/>
                <w:sz w:val="20"/>
                <w:szCs w:val="20"/>
              </w:rPr>
            </w:pPr>
            <w:r>
              <w:rPr>
                <w:rFonts w:ascii="宋体" w:hAnsi="宋体" w:eastAsia="宋体" w:cs="宋体"/>
                <w:spacing w:val="9"/>
                <w:sz w:val="20"/>
                <w:szCs w:val="20"/>
              </w:rPr>
              <w:t>建</w:t>
            </w:r>
            <w:r>
              <w:rPr>
                <w:rFonts w:ascii="宋体" w:hAnsi="宋体" w:eastAsia="宋体" w:cs="宋体"/>
                <w:spacing w:val="6"/>
                <w:sz w:val="20"/>
                <w:szCs w:val="20"/>
              </w:rPr>
              <w:t>设性质</w:t>
            </w:r>
          </w:p>
        </w:tc>
        <w:tc>
          <w:tcPr>
            <w:tcW w:w="2516" w:type="dxa"/>
            <w:gridSpan w:val="2"/>
            <w:vAlign w:val="top"/>
          </w:tcPr>
          <w:p>
            <w:pPr>
              <w:spacing w:before="81" w:line="190" w:lineRule="auto"/>
              <w:ind w:left="46"/>
              <w:rPr>
                <w:rFonts w:ascii="宋体" w:hAnsi="宋体" w:eastAsia="宋体" w:cs="宋体"/>
                <w:sz w:val="20"/>
                <w:szCs w:val="20"/>
              </w:rPr>
            </w:pPr>
            <w:r>
              <w:rPr>
                <w:rFonts w:ascii="微软雅黑" w:hAnsi="微软雅黑" w:eastAsia="微软雅黑" w:cs="微软雅黑"/>
                <w:spacing w:val="4"/>
                <w:sz w:val="20"/>
                <w:szCs w:val="20"/>
              </w:rPr>
              <w:t>团</w:t>
            </w:r>
            <w:r>
              <w:rPr>
                <w:rFonts w:ascii="宋体" w:hAnsi="宋体" w:eastAsia="宋体" w:cs="宋体"/>
                <w:spacing w:val="2"/>
                <w:sz w:val="20"/>
                <w:szCs w:val="20"/>
              </w:rPr>
              <w:t>新建 (迁建)</w:t>
            </w:r>
          </w:p>
          <w:p>
            <w:pPr>
              <w:spacing w:before="1" w:line="222" w:lineRule="auto"/>
              <w:ind w:left="46"/>
              <w:rPr>
                <w:rFonts w:ascii="宋体" w:hAnsi="宋体" w:eastAsia="宋体" w:cs="宋体"/>
                <w:sz w:val="20"/>
                <w:szCs w:val="20"/>
              </w:rPr>
            </w:pPr>
            <w:r>
              <w:rPr>
                <w:rFonts w:ascii="宋体" w:hAnsi="宋体" w:eastAsia="宋体" w:cs="宋体"/>
                <w:position w:val="-4"/>
                <w:sz w:val="20"/>
                <w:szCs w:val="20"/>
              </w:rPr>
              <w:drawing>
                <wp:inline distT="0" distB="0" distL="0" distR="0">
                  <wp:extent cx="95885" cy="13970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51"/>
                          <a:stretch>
                            <a:fillRect/>
                          </a:stretch>
                        </pic:blipFill>
                        <pic:spPr>
                          <a:xfrm>
                            <a:off x="0" y="0"/>
                            <a:ext cx="95953" cy="139748"/>
                          </a:xfrm>
                          <a:prstGeom prst="rect">
                            <a:avLst/>
                          </a:prstGeom>
                        </pic:spPr>
                      </pic:pic>
                    </a:graphicData>
                  </a:graphic>
                </wp:inline>
              </w:drawing>
            </w:r>
            <w:r>
              <w:rPr>
                <w:rFonts w:ascii="宋体" w:hAnsi="宋体" w:eastAsia="宋体" w:cs="宋体"/>
                <w:spacing w:val="18"/>
                <w:sz w:val="20"/>
                <w:szCs w:val="20"/>
              </w:rPr>
              <w:t>改建</w:t>
            </w:r>
          </w:p>
          <w:p>
            <w:pPr>
              <w:spacing w:before="29" w:line="223" w:lineRule="auto"/>
              <w:ind w:left="46"/>
              <w:rPr>
                <w:rFonts w:ascii="宋体" w:hAnsi="宋体" w:eastAsia="宋体" w:cs="宋体"/>
                <w:sz w:val="20"/>
                <w:szCs w:val="20"/>
              </w:rPr>
            </w:pPr>
            <w:r>
              <w:rPr>
                <w:rFonts w:ascii="宋体" w:hAnsi="宋体" w:eastAsia="宋体" w:cs="宋体"/>
                <w:position w:val="-4"/>
                <w:sz w:val="20"/>
                <w:szCs w:val="20"/>
              </w:rPr>
              <w:drawing>
                <wp:inline distT="0" distB="0" distL="0" distR="0">
                  <wp:extent cx="95885" cy="139700"/>
                  <wp:effectExtent l="0" t="0" r="0" b="0"/>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152"/>
                          <a:stretch>
                            <a:fillRect/>
                          </a:stretch>
                        </pic:blipFill>
                        <pic:spPr>
                          <a:xfrm>
                            <a:off x="0" y="0"/>
                            <a:ext cx="95953" cy="139748"/>
                          </a:xfrm>
                          <a:prstGeom prst="rect">
                            <a:avLst/>
                          </a:prstGeom>
                        </pic:spPr>
                      </pic:pic>
                    </a:graphicData>
                  </a:graphic>
                </wp:inline>
              </w:drawing>
            </w:r>
            <w:r>
              <w:rPr>
                <w:rFonts w:ascii="宋体" w:hAnsi="宋体" w:eastAsia="宋体" w:cs="宋体"/>
                <w:spacing w:val="18"/>
                <w:sz w:val="20"/>
                <w:szCs w:val="20"/>
              </w:rPr>
              <w:t>扩建</w:t>
            </w:r>
          </w:p>
          <w:p>
            <w:pPr>
              <w:spacing w:before="32" w:line="223" w:lineRule="auto"/>
              <w:ind w:left="46"/>
              <w:rPr>
                <w:rFonts w:ascii="宋体" w:hAnsi="宋体" w:eastAsia="宋体" w:cs="宋体"/>
                <w:sz w:val="20"/>
                <w:szCs w:val="20"/>
              </w:rPr>
            </w:pPr>
            <w:r>
              <w:rPr>
                <w:rFonts w:ascii="宋体" w:hAnsi="宋体" w:eastAsia="宋体" w:cs="宋体"/>
                <w:position w:val="-4"/>
                <w:sz w:val="20"/>
                <w:szCs w:val="20"/>
              </w:rPr>
              <w:drawing>
                <wp:inline distT="0" distB="0" distL="0" distR="0">
                  <wp:extent cx="95885" cy="1397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52"/>
                          <a:stretch>
                            <a:fillRect/>
                          </a:stretch>
                        </pic:blipFill>
                        <pic:spPr>
                          <a:xfrm>
                            <a:off x="0" y="0"/>
                            <a:ext cx="95953" cy="139748"/>
                          </a:xfrm>
                          <a:prstGeom prst="rect">
                            <a:avLst/>
                          </a:prstGeom>
                        </pic:spPr>
                      </pic:pic>
                    </a:graphicData>
                  </a:graphic>
                </wp:inline>
              </w:drawing>
            </w:r>
            <w:r>
              <w:rPr>
                <w:rFonts w:ascii="宋体" w:hAnsi="宋体" w:eastAsia="宋体" w:cs="宋体"/>
                <w:spacing w:val="14"/>
                <w:sz w:val="20"/>
                <w:szCs w:val="20"/>
              </w:rPr>
              <w:t>技术改造</w:t>
            </w:r>
          </w:p>
        </w:tc>
        <w:tc>
          <w:tcPr>
            <w:tcW w:w="1982" w:type="dxa"/>
            <w:vAlign w:val="top"/>
          </w:tcPr>
          <w:p>
            <w:pPr>
              <w:spacing w:line="286" w:lineRule="auto"/>
              <w:rPr>
                <w:rFonts w:ascii="Arial"/>
                <w:sz w:val="21"/>
              </w:rPr>
            </w:pPr>
          </w:p>
          <w:p>
            <w:pPr>
              <w:spacing w:before="65" w:line="271" w:lineRule="exact"/>
              <w:ind w:left="579"/>
              <w:rPr>
                <w:rFonts w:ascii="宋体" w:hAnsi="宋体" w:eastAsia="宋体" w:cs="宋体"/>
                <w:sz w:val="20"/>
                <w:szCs w:val="20"/>
              </w:rPr>
            </w:pPr>
            <w:r>
              <w:rPr>
                <w:rFonts w:ascii="宋体" w:hAnsi="宋体" w:eastAsia="宋体" w:cs="宋体"/>
                <w:spacing w:val="9"/>
                <w:position w:val="4"/>
                <w:sz w:val="20"/>
                <w:szCs w:val="20"/>
              </w:rPr>
              <w:t>建</w:t>
            </w:r>
            <w:r>
              <w:rPr>
                <w:rFonts w:ascii="宋体" w:hAnsi="宋体" w:eastAsia="宋体" w:cs="宋体"/>
                <w:spacing w:val="6"/>
                <w:position w:val="4"/>
                <w:sz w:val="20"/>
                <w:szCs w:val="20"/>
              </w:rPr>
              <w:t>设项目</w:t>
            </w:r>
          </w:p>
          <w:p>
            <w:pPr>
              <w:spacing w:line="227" w:lineRule="auto"/>
              <w:ind w:left="603"/>
              <w:rPr>
                <w:rFonts w:ascii="宋体" w:hAnsi="宋体" w:eastAsia="宋体" w:cs="宋体"/>
                <w:sz w:val="20"/>
                <w:szCs w:val="20"/>
              </w:rPr>
            </w:pPr>
            <w:r>
              <w:rPr>
                <w:rFonts w:ascii="宋体" w:hAnsi="宋体" w:eastAsia="宋体" w:cs="宋体"/>
                <w:spacing w:val="1"/>
                <w:sz w:val="20"/>
                <w:szCs w:val="20"/>
              </w:rPr>
              <w:t>申报</w:t>
            </w:r>
            <w:r>
              <w:rPr>
                <w:rFonts w:ascii="宋体" w:hAnsi="宋体" w:eastAsia="宋体" w:cs="宋体"/>
                <w:sz w:val="20"/>
                <w:szCs w:val="20"/>
              </w:rPr>
              <w:t>情形</w:t>
            </w:r>
          </w:p>
        </w:tc>
        <w:tc>
          <w:tcPr>
            <w:tcW w:w="2748" w:type="dxa"/>
            <w:gridSpan w:val="4"/>
            <w:tcBorders>
              <w:right w:val="single" w:color="000000" w:sz="6" w:space="0"/>
            </w:tcBorders>
            <w:vAlign w:val="top"/>
          </w:tcPr>
          <w:p>
            <w:pPr>
              <w:spacing w:before="81" w:line="190" w:lineRule="auto"/>
              <w:ind w:left="55"/>
              <w:rPr>
                <w:rFonts w:ascii="宋体" w:hAnsi="宋体" w:eastAsia="宋体" w:cs="宋体"/>
                <w:sz w:val="20"/>
                <w:szCs w:val="20"/>
              </w:rPr>
            </w:pPr>
            <w:r>
              <w:rPr>
                <w:rFonts w:ascii="微软雅黑" w:hAnsi="微软雅黑" w:eastAsia="微软雅黑" w:cs="微软雅黑"/>
                <w:spacing w:val="4"/>
                <w:sz w:val="20"/>
                <w:szCs w:val="20"/>
              </w:rPr>
              <w:t>团</w:t>
            </w:r>
            <w:r>
              <w:rPr>
                <w:rFonts w:ascii="宋体" w:hAnsi="宋体" w:eastAsia="宋体" w:cs="宋体"/>
                <w:spacing w:val="4"/>
                <w:sz w:val="20"/>
                <w:szCs w:val="20"/>
              </w:rPr>
              <w:t>首次申报项</w:t>
            </w:r>
            <w:r>
              <w:rPr>
                <w:rFonts w:ascii="宋体" w:hAnsi="宋体" w:eastAsia="宋体" w:cs="宋体"/>
                <w:spacing w:val="3"/>
                <w:sz w:val="20"/>
                <w:szCs w:val="20"/>
              </w:rPr>
              <w:t>目</w:t>
            </w:r>
          </w:p>
          <w:p>
            <w:pPr>
              <w:spacing w:before="1" w:line="252" w:lineRule="auto"/>
              <w:ind w:left="55" w:right="203"/>
              <w:rPr>
                <w:rFonts w:ascii="宋体" w:hAnsi="宋体" w:eastAsia="宋体" w:cs="宋体"/>
                <w:sz w:val="20"/>
                <w:szCs w:val="20"/>
              </w:rPr>
            </w:pPr>
            <w:r>
              <w:rPr>
                <w:rFonts w:ascii="宋体" w:hAnsi="宋体" w:eastAsia="宋体" w:cs="宋体"/>
                <w:position w:val="-4"/>
                <w:sz w:val="20"/>
                <w:szCs w:val="20"/>
              </w:rPr>
              <w:drawing>
                <wp:inline distT="0" distB="0" distL="0" distR="0">
                  <wp:extent cx="95885" cy="139700"/>
                  <wp:effectExtent l="0" t="0" r="0" b="0"/>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151"/>
                          <a:stretch>
                            <a:fillRect/>
                          </a:stretch>
                        </pic:blipFill>
                        <pic:spPr>
                          <a:xfrm>
                            <a:off x="0" y="0"/>
                            <a:ext cx="95952" cy="139748"/>
                          </a:xfrm>
                          <a:prstGeom prst="rect">
                            <a:avLst/>
                          </a:prstGeom>
                        </pic:spPr>
                      </pic:pic>
                    </a:graphicData>
                  </a:graphic>
                </wp:inline>
              </w:drawing>
            </w:r>
            <w:r>
              <w:rPr>
                <w:rFonts w:ascii="宋体" w:hAnsi="宋体" w:eastAsia="宋体" w:cs="宋体"/>
                <w:spacing w:val="17"/>
                <w:sz w:val="20"/>
                <w:szCs w:val="20"/>
              </w:rPr>
              <w:t>不</w:t>
            </w:r>
            <w:r>
              <w:rPr>
                <w:rFonts w:ascii="宋体" w:hAnsi="宋体" w:eastAsia="宋体" w:cs="宋体"/>
                <w:spacing w:val="11"/>
                <w:sz w:val="20"/>
                <w:szCs w:val="20"/>
              </w:rPr>
              <w:t>予批准后再次申报项目</w:t>
            </w:r>
            <w:r>
              <w:rPr>
                <w:rFonts w:ascii="宋体" w:hAnsi="宋体" w:eastAsia="宋体" w:cs="宋体"/>
                <w:sz w:val="20"/>
                <w:szCs w:val="20"/>
              </w:rPr>
              <w:t xml:space="preserve"> </w:t>
            </w:r>
            <w:r>
              <w:rPr>
                <w:rFonts w:ascii="宋体" w:hAnsi="宋体" w:eastAsia="宋体" w:cs="宋体"/>
                <w:position w:val="-4"/>
                <w:sz w:val="20"/>
                <w:szCs w:val="20"/>
              </w:rPr>
              <w:drawing>
                <wp:inline distT="0" distB="0" distL="0" distR="0">
                  <wp:extent cx="95885" cy="1397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52"/>
                          <a:stretch>
                            <a:fillRect/>
                          </a:stretch>
                        </pic:blipFill>
                        <pic:spPr>
                          <a:xfrm>
                            <a:off x="0" y="0"/>
                            <a:ext cx="95952" cy="139748"/>
                          </a:xfrm>
                          <a:prstGeom prst="rect">
                            <a:avLst/>
                          </a:prstGeom>
                        </pic:spPr>
                      </pic:pic>
                    </a:graphicData>
                  </a:graphic>
                </wp:inline>
              </w:drawing>
            </w:r>
            <w:r>
              <w:rPr>
                <w:rFonts w:ascii="宋体" w:hAnsi="宋体" w:eastAsia="宋体" w:cs="宋体"/>
                <w:spacing w:val="12"/>
                <w:sz w:val="20"/>
                <w:szCs w:val="20"/>
              </w:rPr>
              <w:t>超五年重新审核项</w:t>
            </w:r>
            <w:r>
              <w:rPr>
                <w:rFonts w:ascii="宋体" w:hAnsi="宋体" w:eastAsia="宋体" w:cs="宋体"/>
                <w:spacing w:val="11"/>
                <w:sz w:val="20"/>
                <w:szCs w:val="20"/>
              </w:rPr>
              <w:t>目</w:t>
            </w:r>
            <w:r>
              <w:rPr>
                <w:rFonts w:ascii="宋体" w:hAnsi="宋体" w:eastAsia="宋体" w:cs="宋体"/>
                <w:sz w:val="20"/>
                <w:szCs w:val="20"/>
              </w:rPr>
              <w:t xml:space="preserve">    </w:t>
            </w:r>
            <w:r>
              <w:rPr>
                <w:rFonts w:ascii="宋体" w:hAnsi="宋体" w:eastAsia="宋体" w:cs="宋体"/>
                <w:position w:val="-4"/>
                <w:sz w:val="20"/>
                <w:szCs w:val="20"/>
              </w:rPr>
              <w:drawing>
                <wp:inline distT="0" distB="0" distL="0" distR="0">
                  <wp:extent cx="95885" cy="139700"/>
                  <wp:effectExtent l="0" t="0" r="0" b="0"/>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152"/>
                          <a:stretch>
                            <a:fillRect/>
                          </a:stretch>
                        </pic:blipFill>
                        <pic:spPr>
                          <a:xfrm>
                            <a:off x="0" y="0"/>
                            <a:ext cx="95952" cy="139748"/>
                          </a:xfrm>
                          <a:prstGeom prst="rect">
                            <a:avLst/>
                          </a:prstGeom>
                        </pic:spPr>
                      </pic:pic>
                    </a:graphicData>
                  </a:graphic>
                </wp:inline>
              </w:drawing>
            </w:r>
            <w:r>
              <w:rPr>
                <w:rFonts w:ascii="宋体" w:hAnsi="宋体" w:eastAsia="宋体" w:cs="宋体"/>
                <w:spacing w:val="17"/>
                <w:sz w:val="20"/>
                <w:szCs w:val="20"/>
              </w:rPr>
              <w:t>重</w:t>
            </w:r>
            <w:r>
              <w:rPr>
                <w:rFonts w:ascii="宋体" w:hAnsi="宋体" w:eastAsia="宋体" w:cs="宋体"/>
                <w:spacing w:val="11"/>
                <w:sz w:val="20"/>
                <w:szCs w:val="20"/>
              </w:rPr>
              <w:t>大变动重新报批项目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689" w:type="dxa"/>
            <w:tcBorders>
              <w:left w:val="single" w:color="000000" w:sz="6" w:space="0"/>
            </w:tcBorders>
            <w:vAlign w:val="top"/>
          </w:tcPr>
          <w:p>
            <w:pPr>
              <w:spacing w:before="51" w:line="263" w:lineRule="auto"/>
              <w:ind w:left="215" w:right="44" w:hanging="168"/>
              <w:rPr>
                <w:rFonts w:ascii="Times New Roman" w:hAnsi="Times New Roman" w:eastAsia="Times New Roman" w:cs="Times New Roman"/>
                <w:sz w:val="20"/>
                <w:szCs w:val="20"/>
              </w:rPr>
            </w:pPr>
            <w:r>
              <w:rPr>
                <w:rFonts w:ascii="宋体" w:hAnsi="宋体" w:eastAsia="宋体" w:cs="宋体"/>
                <w:spacing w:val="8"/>
                <w:sz w:val="20"/>
                <w:szCs w:val="20"/>
              </w:rPr>
              <w:t>项</w:t>
            </w:r>
            <w:r>
              <w:rPr>
                <w:rFonts w:ascii="宋体" w:hAnsi="宋体" w:eastAsia="宋体" w:cs="宋体"/>
                <w:spacing w:val="7"/>
                <w:sz w:val="20"/>
                <w:szCs w:val="20"/>
              </w:rPr>
              <w:t>目审批</w:t>
            </w:r>
            <w:r>
              <w:rPr>
                <w:rFonts w:ascii="Times New Roman" w:hAnsi="Times New Roman" w:eastAsia="Times New Roman" w:cs="Times New Roman"/>
                <w:spacing w:val="7"/>
                <w:sz w:val="20"/>
                <w:szCs w:val="20"/>
              </w:rPr>
              <w:t>(</w:t>
            </w:r>
            <w:r>
              <w:rPr>
                <w:rFonts w:ascii="宋体" w:hAnsi="宋体" w:eastAsia="宋体" w:cs="宋体"/>
                <w:spacing w:val="7"/>
                <w:sz w:val="20"/>
                <w:szCs w:val="20"/>
              </w:rPr>
              <w:t>核准</w:t>
            </w:r>
            <w:r>
              <w:rPr>
                <w:rFonts w:ascii="Times New Roman" w:hAnsi="Times New Roman" w:eastAsia="Times New Roman" w:cs="Times New Roman"/>
                <w:spacing w:val="7"/>
                <w:sz w:val="20"/>
                <w:szCs w:val="20"/>
              </w:rPr>
              <w:t>/</w:t>
            </w:r>
            <w:r>
              <w:rPr>
                <w:rFonts w:ascii="宋体" w:hAnsi="宋体" w:eastAsia="宋体" w:cs="宋体"/>
                <w:spacing w:val="7"/>
                <w:sz w:val="20"/>
                <w:szCs w:val="20"/>
              </w:rPr>
              <w:t>备</w:t>
            </w:r>
            <w:r>
              <w:rPr>
                <w:rFonts w:ascii="宋体" w:hAnsi="宋体" w:eastAsia="宋体" w:cs="宋体"/>
                <w:sz w:val="20"/>
                <w:szCs w:val="20"/>
              </w:rPr>
              <w:t xml:space="preserve"> </w:t>
            </w:r>
            <w:r>
              <w:rPr>
                <w:rFonts w:ascii="宋体" w:hAnsi="宋体" w:eastAsia="宋体" w:cs="宋体"/>
                <w:spacing w:val="6"/>
                <w:sz w:val="20"/>
                <w:szCs w:val="20"/>
              </w:rPr>
              <w:t>案</w:t>
            </w:r>
            <w:r>
              <w:rPr>
                <w:rFonts w:ascii="Times New Roman" w:hAnsi="Times New Roman" w:eastAsia="Times New Roman" w:cs="Times New Roman"/>
                <w:spacing w:val="6"/>
                <w:sz w:val="20"/>
                <w:szCs w:val="20"/>
              </w:rPr>
              <w:t>)</w:t>
            </w:r>
            <w:r>
              <w:rPr>
                <w:rFonts w:ascii="宋体" w:hAnsi="宋体" w:eastAsia="宋体" w:cs="宋体"/>
                <w:spacing w:val="6"/>
                <w:sz w:val="20"/>
                <w:szCs w:val="20"/>
              </w:rPr>
              <w:t>部门</w:t>
            </w:r>
            <w:r>
              <w:rPr>
                <w:rFonts w:ascii="Times New Roman" w:hAnsi="Times New Roman" w:eastAsia="Times New Roman" w:cs="Times New Roman"/>
                <w:spacing w:val="6"/>
                <w:sz w:val="20"/>
                <w:szCs w:val="20"/>
              </w:rPr>
              <w:t>(</w:t>
            </w:r>
            <w:r>
              <w:rPr>
                <w:rFonts w:ascii="宋体" w:hAnsi="宋体" w:eastAsia="宋体" w:cs="宋体"/>
                <w:spacing w:val="6"/>
                <w:sz w:val="20"/>
                <w:szCs w:val="20"/>
              </w:rPr>
              <w:t>选填</w:t>
            </w:r>
            <w:r>
              <w:rPr>
                <w:rFonts w:ascii="Times New Roman" w:hAnsi="Times New Roman" w:eastAsia="Times New Roman" w:cs="Times New Roman"/>
                <w:spacing w:val="5"/>
                <w:sz w:val="20"/>
                <w:szCs w:val="20"/>
              </w:rPr>
              <w:t>)</w:t>
            </w:r>
          </w:p>
        </w:tc>
        <w:tc>
          <w:tcPr>
            <w:tcW w:w="2516" w:type="dxa"/>
            <w:gridSpan w:val="2"/>
            <w:vAlign w:val="top"/>
          </w:tcPr>
          <w:p>
            <w:pPr>
              <w:spacing w:before="225" w:line="227" w:lineRule="auto"/>
              <w:ind w:left="103"/>
              <w:rPr>
                <w:rFonts w:ascii="宋体" w:hAnsi="宋体" w:eastAsia="宋体" w:cs="宋体"/>
                <w:sz w:val="20"/>
                <w:szCs w:val="20"/>
              </w:rPr>
            </w:pPr>
            <w:r>
              <w:rPr>
                <w:rFonts w:ascii="宋体" w:hAnsi="宋体" w:eastAsia="宋体" w:cs="宋体"/>
                <w:spacing w:val="11"/>
                <w:sz w:val="20"/>
                <w:szCs w:val="20"/>
              </w:rPr>
              <w:t>达</w:t>
            </w:r>
            <w:r>
              <w:rPr>
                <w:rFonts w:ascii="宋体" w:hAnsi="宋体" w:eastAsia="宋体" w:cs="宋体"/>
                <w:spacing w:val="9"/>
                <w:sz w:val="20"/>
                <w:szCs w:val="20"/>
              </w:rPr>
              <w:t>州市发展和改革委员会</w:t>
            </w:r>
          </w:p>
        </w:tc>
        <w:tc>
          <w:tcPr>
            <w:tcW w:w="1982" w:type="dxa"/>
            <w:vAlign w:val="top"/>
          </w:tcPr>
          <w:p>
            <w:pPr>
              <w:spacing w:before="51" w:line="270" w:lineRule="auto"/>
              <w:ind w:left="55" w:right="61" w:firstLine="180"/>
              <w:rPr>
                <w:rFonts w:ascii="宋体" w:hAnsi="宋体" w:eastAsia="宋体" w:cs="宋体"/>
                <w:sz w:val="20"/>
                <w:szCs w:val="20"/>
              </w:rPr>
            </w:pPr>
            <w:r>
              <w:rPr>
                <w:rFonts w:ascii="宋体" w:hAnsi="宋体" w:eastAsia="宋体" w:cs="宋体"/>
                <w:spacing w:val="7"/>
                <w:sz w:val="20"/>
                <w:szCs w:val="20"/>
              </w:rPr>
              <w:t>项目审批 (核准</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 xml:space="preserve">   </w:t>
            </w:r>
            <w:r>
              <w:rPr>
                <w:rFonts w:ascii="宋体" w:hAnsi="宋体" w:eastAsia="宋体" w:cs="宋体"/>
                <w:spacing w:val="9"/>
                <w:sz w:val="20"/>
                <w:szCs w:val="20"/>
              </w:rPr>
              <w:t>备</w:t>
            </w:r>
            <w:r>
              <w:rPr>
                <w:rFonts w:ascii="宋体" w:hAnsi="宋体" w:eastAsia="宋体" w:cs="宋体"/>
                <w:spacing w:val="5"/>
                <w:sz w:val="20"/>
                <w:szCs w:val="20"/>
              </w:rPr>
              <w:t>案) 文号 (选填)</w:t>
            </w:r>
          </w:p>
        </w:tc>
        <w:tc>
          <w:tcPr>
            <w:tcW w:w="2748" w:type="dxa"/>
            <w:gridSpan w:val="4"/>
            <w:tcBorders>
              <w:right w:val="single" w:color="000000" w:sz="6" w:space="0"/>
            </w:tcBorders>
            <w:vAlign w:val="top"/>
          </w:tcPr>
          <w:p>
            <w:pPr>
              <w:spacing w:before="225" w:line="228" w:lineRule="auto"/>
              <w:ind w:left="199"/>
              <w:rPr>
                <w:rFonts w:ascii="宋体" w:hAnsi="宋体" w:eastAsia="宋体" w:cs="宋体"/>
                <w:sz w:val="20"/>
                <w:szCs w:val="20"/>
              </w:rPr>
            </w:pPr>
            <w:r>
              <w:rPr>
                <w:rFonts w:ascii="宋体" w:hAnsi="宋体" w:eastAsia="宋体" w:cs="宋体"/>
                <w:spacing w:val="12"/>
                <w:sz w:val="20"/>
                <w:szCs w:val="20"/>
              </w:rPr>
              <w:t>达</w:t>
            </w:r>
            <w:r>
              <w:rPr>
                <w:rFonts w:ascii="宋体" w:hAnsi="宋体" w:eastAsia="宋体" w:cs="宋体"/>
                <w:spacing w:val="9"/>
                <w:sz w:val="20"/>
                <w:szCs w:val="20"/>
              </w:rPr>
              <w:t>市</w:t>
            </w:r>
            <w:r>
              <w:rPr>
                <w:rFonts w:ascii="宋体" w:hAnsi="宋体" w:eastAsia="宋体" w:cs="宋体"/>
                <w:spacing w:val="6"/>
                <w:sz w:val="20"/>
                <w:szCs w:val="20"/>
              </w:rPr>
              <w:t>发改审〔</w:t>
            </w:r>
            <w:r>
              <w:rPr>
                <w:rFonts w:ascii="Times New Roman" w:hAnsi="Times New Roman" w:eastAsia="Times New Roman" w:cs="Times New Roman"/>
                <w:spacing w:val="6"/>
                <w:sz w:val="20"/>
                <w:szCs w:val="20"/>
              </w:rPr>
              <w:t>2023</w:t>
            </w:r>
            <w:r>
              <w:rPr>
                <w:rFonts w:ascii="宋体" w:hAnsi="宋体" w:eastAsia="宋体" w:cs="宋体"/>
                <w:spacing w:val="6"/>
                <w:sz w:val="20"/>
                <w:szCs w:val="20"/>
              </w:rPr>
              <w:t>〕</w:t>
            </w:r>
            <w:r>
              <w:rPr>
                <w:rFonts w:ascii="Times New Roman" w:hAnsi="Times New Roman" w:eastAsia="Times New Roman" w:cs="Times New Roman"/>
                <w:spacing w:val="6"/>
                <w:sz w:val="20"/>
                <w:szCs w:val="20"/>
              </w:rPr>
              <w:t xml:space="preserve">11 </w:t>
            </w:r>
            <w:r>
              <w:rPr>
                <w:rFonts w:ascii="宋体" w:hAnsi="宋体" w:eastAsia="宋体" w:cs="宋体"/>
                <w:spacing w:val="6"/>
                <w:sz w:val="20"/>
                <w:szCs w:val="20"/>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1689" w:type="dxa"/>
            <w:tcBorders>
              <w:left w:val="single" w:color="000000" w:sz="6" w:space="0"/>
            </w:tcBorders>
            <w:vAlign w:val="top"/>
          </w:tcPr>
          <w:p>
            <w:pPr>
              <w:spacing w:before="90" w:line="228" w:lineRule="auto"/>
              <w:ind w:left="114"/>
              <w:rPr>
                <w:rFonts w:ascii="宋体" w:hAnsi="宋体" w:eastAsia="宋体" w:cs="宋体"/>
                <w:sz w:val="20"/>
                <w:szCs w:val="20"/>
              </w:rPr>
            </w:pPr>
            <w:r>
              <w:rPr>
                <w:rFonts w:ascii="宋体" w:hAnsi="宋体" w:eastAsia="宋体" w:cs="宋体"/>
                <w:spacing w:val="8"/>
                <w:sz w:val="20"/>
                <w:szCs w:val="20"/>
              </w:rPr>
              <w:t>总</w:t>
            </w:r>
            <w:r>
              <w:rPr>
                <w:rFonts w:ascii="宋体" w:hAnsi="宋体" w:eastAsia="宋体" w:cs="宋体"/>
                <w:spacing w:val="5"/>
                <w:sz w:val="20"/>
                <w:szCs w:val="20"/>
              </w:rPr>
              <w:t>投资 (万元)</w:t>
            </w:r>
          </w:p>
        </w:tc>
        <w:tc>
          <w:tcPr>
            <w:tcW w:w="2516" w:type="dxa"/>
            <w:gridSpan w:val="2"/>
            <w:vAlign w:val="top"/>
          </w:tcPr>
          <w:p>
            <w:pPr>
              <w:spacing w:before="126" w:line="195" w:lineRule="auto"/>
              <w:ind w:left="99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23028</w:t>
            </w:r>
          </w:p>
        </w:tc>
        <w:tc>
          <w:tcPr>
            <w:tcW w:w="1982" w:type="dxa"/>
            <w:vAlign w:val="top"/>
          </w:tcPr>
          <w:p>
            <w:pPr>
              <w:spacing w:before="90" w:line="228" w:lineRule="auto"/>
              <w:ind w:left="156"/>
              <w:rPr>
                <w:rFonts w:ascii="宋体" w:hAnsi="宋体" w:eastAsia="宋体" w:cs="宋体"/>
                <w:sz w:val="20"/>
                <w:szCs w:val="20"/>
              </w:rPr>
            </w:pPr>
            <w:r>
              <w:rPr>
                <w:rFonts w:ascii="宋体" w:hAnsi="宋体" w:eastAsia="宋体" w:cs="宋体"/>
                <w:spacing w:val="12"/>
                <w:sz w:val="20"/>
                <w:szCs w:val="20"/>
              </w:rPr>
              <w:t>环</w:t>
            </w:r>
            <w:r>
              <w:rPr>
                <w:rFonts w:ascii="宋体" w:hAnsi="宋体" w:eastAsia="宋体" w:cs="宋体"/>
                <w:spacing w:val="6"/>
                <w:sz w:val="20"/>
                <w:szCs w:val="20"/>
              </w:rPr>
              <w:t>保投资 (万元)</w:t>
            </w:r>
          </w:p>
        </w:tc>
        <w:tc>
          <w:tcPr>
            <w:tcW w:w="2748" w:type="dxa"/>
            <w:gridSpan w:val="4"/>
            <w:tcBorders>
              <w:right w:val="single" w:color="000000" w:sz="6" w:space="0"/>
            </w:tcBorders>
            <w:vAlign w:val="top"/>
          </w:tcPr>
          <w:p>
            <w:pPr>
              <w:spacing w:before="126" w:line="195" w:lineRule="auto"/>
              <w:ind w:left="12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689" w:type="dxa"/>
            <w:tcBorders>
              <w:left w:val="single" w:color="000000" w:sz="6" w:space="0"/>
            </w:tcBorders>
            <w:vAlign w:val="top"/>
          </w:tcPr>
          <w:p>
            <w:pPr>
              <w:spacing w:before="58" w:line="281" w:lineRule="exact"/>
              <w:ind w:left="26"/>
              <w:rPr>
                <w:rFonts w:ascii="宋体" w:hAnsi="宋体" w:eastAsia="宋体" w:cs="宋体"/>
                <w:sz w:val="20"/>
                <w:szCs w:val="20"/>
              </w:rPr>
            </w:pPr>
            <w:r>
              <w:rPr>
                <w:rFonts w:ascii="宋体" w:hAnsi="宋体" w:eastAsia="宋体" w:cs="宋体"/>
                <w:spacing w:val="-15"/>
                <w:position w:val="1"/>
                <w:sz w:val="20"/>
                <w:szCs w:val="20"/>
              </w:rPr>
              <w:t>环</w:t>
            </w:r>
            <w:r>
              <w:rPr>
                <w:rFonts w:ascii="宋体" w:hAnsi="宋体" w:eastAsia="宋体" w:cs="宋体"/>
                <w:spacing w:val="-11"/>
                <w:position w:val="1"/>
                <w:sz w:val="20"/>
                <w:szCs w:val="20"/>
              </w:rPr>
              <w:t>保投资占比 (</w:t>
            </w:r>
            <w:r>
              <w:rPr>
                <w:rFonts w:ascii="Times New Roman" w:hAnsi="Times New Roman" w:eastAsia="Times New Roman" w:cs="Times New Roman"/>
                <w:spacing w:val="-11"/>
                <w:position w:val="1"/>
                <w:sz w:val="20"/>
                <w:szCs w:val="20"/>
              </w:rPr>
              <w:t>%</w:t>
            </w:r>
            <w:r>
              <w:rPr>
                <w:rFonts w:ascii="宋体" w:hAnsi="宋体" w:eastAsia="宋体" w:cs="宋体"/>
                <w:spacing w:val="-11"/>
                <w:position w:val="1"/>
                <w:sz w:val="20"/>
                <w:szCs w:val="20"/>
              </w:rPr>
              <w:t>)</w:t>
            </w:r>
          </w:p>
        </w:tc>
        <w:tc>
          <w:tcPr>
            <w:tcW w:w="2516" w:type="dxa"/>
            <w:gridSpan w:val="2"/>
            <w:vAlign w:val="top"/>
          </w:tcPr>
          <w:p>
            <w:pPr>
              <w:spacing w:before="131" w:line="198" w:lineRule="auto"/>
              <w:ind w:left="10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64</w:t>
            </w:r>
          </w:p>
        </w:tc>
        <w:tc>
          <w:tcPr>
            <w:tcW w:w="1982" w:type="dxa"/>
            <w:vAlign w:val="top"/>
          </w:tcPr>
          <w:p>
            <w:pPr>
              <w:spacing w:before="96" w:line="228" w:lineRule="auto"/>
              <w:ind w:left="575"/>
              <w:rPr>
                <w:rFonts w:ascii="宋体" w:hAnsi="宋体" w:eastAsia="宋体" w:cs="宋体"/>
                <w:sz w:val="20"/>
                <w:szCs w:val="20"/>
              </w:rPr>
            </w:pPr>
            <w:r>
              <w:rPr>
                <w:rFonts w:ascii="宋体" w:hAnsi="宋体" w:eastAsia="宋体" w:cs="宋体"/>
                <w:spacing w:val="9"/>
                <w:sz w:val="20"/>
                <w:szCs w:val="20"/>
              </w:rPr>
              <w:t>施</w:t>
            </w:r>
            <w:r>
              <w:rPr>
                <w:rFonts w:ascii="宋体" w:hAnsi="宋体" w:eastAsia="宋体" w:cs="宋体"/>
                <w:spacing w:val="7"/>
                <w:sz w:val="20"/>
                <w:szCs w:val="20"/>
              </w:rPr>
              <w:t>工工期</w:t>
            </w:r>
          </w:p>
        </w:tc>
        <w:tc>
          <w:tcPr>
            <w:tcW w:w="2748" w:type="dxa"/>
            <w:gridSpan w:val="4"/>
            <w:tcBorders>
              <w:right w:val="single" w:color="000000" w:sz="6" w:space="0"/>
            </w:tcBorders>
            <w:vAlign w:val="top"/>
          </w:tcPr>
          <w:p>
            <w:pPr>
              <w:spacing w:before="95" w:line="228" w:lineRule="auto"/>
              <w:ind w:left="1035"/>
              <w:rPr>
                <w:rFonts w:ascii="宋体" w:hAnsi="宋体" w:eastAsia="宋体" w:cs="宋体"/>
                <w:sz w:val="20"/>
                <w:szCs w:val="20"/>
              </w:rPr>
            </w:pPr>
            <w:r>
              <w:rPr>
                <w:rFonts w:ascii="Times New Roman" w:hAnsi="Times New Roman" w:eastAsia="Times New Roman" w:cs="Times New Roman"/>
                <w:spacing w:val="4"/>
                <w:sz w:val="20"/>
                <w:szCs w:val="20"/>
              </w:rPr>
              <w:t xml:space="preserve">30 </w:t>
            </w:r>
            <w:r>
              <w:rPr>
                <w:rFonts w:ascii="宋体" w:hAnsi="宋体" w:eastAsia="宋体" w:cs="宋体"/>
                <w:spacing w:val="4"/>
                <w:sz w:val="20"/>
                <w:szCs w:val="20"/>
              </w:rPr>
              <w:t>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689" w:type="dxa"/>
            <w:tcBorders>
              <w:left w:val="single" w:color="000000" w:sz="6" w:space="0"/>
            </w:tcBorders>
            <w:vAlign w:val="top"/>
          </w:tcPr>
          <w:p>
            <w:pPr>
              <w:spacing w:before="224" w:line="228" w:lineRule="auto"/>
              <w:ind w:left="282"/>
              <w:rPr>
                <w:rFonts w:ascii="宋体" w:hAnsi="宋体" w:eastAsia="宋体" w:cs="宋体"/>
                <w:sz w:val="20"/>
                <w:szCs w:val="20"/>
              </w:rPr>
            </w:pPr>
            <w:r>
              <w:rPr>
                <w:rFonts w:ascii="宋体" w:hAnsi="宋体" w:eastAsia="宋体" w:cs="宋体"/>
                <w:spacing w:val="-12"/>
                <w:sz w:val="20"/>
                <w:szCs w:val="20"/>
              </w:rPr>
              <w:t>是</w:t>
            </w:r>
            <w:r>
              <w:rPr>
                <w:rFonts w:ascii="宋体" w:hAnsi="宋体" w:eastAsia="宋体" w:cs="宋体"/>
                <w:spacing w:val="-8"/>
                <w:sz w:val="20"/>
                <w:szCs w:val="20"/>
              </w:rPr>
              <w:t>否开工建设</w:t>
            </w:r>
          </w:p>
        </w:tc>
        <w:tc>
          <w:tcPr>
            <w:tcW w:w="7246" w:type="dxa"/>
            <w:gridSpan w:val="7"/>
            <w:tcBorders>
              <w:right w:val="single" w:color="000000" w:sz="6" w:space="0"/>
            </w:tcBorders>
            <w:vAlign w:val="top"/>
          </w:tcPr>
          <w:p>
            <w:pPr>
              <w:spacing w:before="87" w:line="191" w:lineRule="auto"/>
              <w:ind w:left="121"/>
              <w:rPr>
                <w:rFonts w:ascii="宋体" w:hAnsi="宋体" w:eastAsia="宋体" w:cs="宋体"/>
                <w:sz w:val="20"/>
                <w:szCs w:val="20"/>
              </w:rPr>
            </w:pPr>
            <w:r>
              <w:rPr>
                <w:rFonts w:ascii="微软雅黑" w:hAnsi="微软雅黑" w:eastAsia="微软雅黑" w:cs="微软雅黑"/>
                <w:spacing w:val="-12"/>
                <w:sz w:val="20"/>
                <w:szCs w:val="20"/>
              </w:rPr>
              <w:t>团</w:t>
            </w:r>
            <w:r>
              <w:rPr>
                <w:rFonts w:ascii="宋体" w:hAnsi="宋体" w:eastAsia="宋体" w:cs="宋体"/>
                <w:spacing w:val="-12"/>
                <w:sz w:val="20"/>
                <w:szCs w:val="20"/>
              </w:rPr>
              <w:t>否</w:t>
            </w:r>
          </w:p>
          <w:p>
            <w:pPr>
              <w:spacing w:line="220" w:lineRule="auto"/>
              <w:ind w:left="106"/>
              <w:rPr>
                <w:rFonts w:ascii="宋体" w:hAnsi="宋体" w:eastAsia="宋体" w:cs="宋体"/>
                <w:sz w:val="20"/>
                <w:szCs w:val="20"/>
              </w:rPr>
            </w:pPr>
            <w:r>
              <w:rPr>
                <w:rFonts w:ascii="宋体" w:hAnsi="宋体" w:eastAsia="宋体" w:cs="宋体"/>
                <w:position w:val="-4"/>
                <w:sz w:val="20"/>
                <w:szCs w:val="20"/>
              </w:rPr>
              <w:drawing>
                <wp:inline distT="0" distB="0" distL="0" distR="0">
                  <wp:extent cx="95885" cy="1397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53"/>
                          <a:stretch>
                            <a:fillRect/>
                          </a:stretch>
                        </pic:blipFill>
                        <pic:spPr>
                          <a:xfrm>
                            <a:off x="0" y="0"/>
                            <a:ext cx="95953" cy="139748"/>
                          </a:xfrm>
                          <a:prstGeom prst="rect">
                            <a:avLst/>
                          </a:prstGeom>
                        </pic:spPr>
                      </pic:pic>
                    </a:graphicData>
                  </a:graphic>
                </wp:inline>
              </w:drawing>
            </w:r>
            <w:r>
              <w:rPr>
                <w:rFonts w:ascii="宋体" w:hAnsi="宋体" w:eastAsia="宋体" w:cs="宋体"/>
                <w:spacing w:val="14"/>
                <w:sz w:val="20"/>
                <w:szCs w:val="20"/>
              </w:rPr>
              <w:t>是</w:t>
            </w:r>
            <w:r>
              <w:rPr>
                <w:rFonts w:ascii="宋体" w:hAnsi="宋体" w:eastAsia="宋体" w:cs="宋体"/>
                <w:spacing w:val="13"/>
                <w:sz w:val="20"/>
                <w:szCs w:val="20"/>
              </w:rPr>
              <w:t>：</w:t>
            </w:r>
            <w:r>
              <w:rPr>
                <w:rFonts w:ascii="宋体" w:hAnsi="宋体" w:eastAsia="宋体" w:cs="宋体"/>
                <w:sz w:val="20"/>
                <w:szCs w:val="20"/>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0" w:hRule="atLeast"/>
        </w:trPr>
        <w:tc>
          <w:tcPr>
            <w:tcW w:w="1689" w:type="dxa"/>
            <w:vMerge w:val="restart"/>
            <w:tcBorders>
              <w:left w:val="single" w:color="000000" w:sz="6" w:space="0"/>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5" w:line="273" w:lineRule="exact"/>
              <w:ind w:left="421"/>
              <w:rPr>
                <w:rFonts w:ascii="宋体" w:hAnsi="宋体" w:eastAsia="宋体" w:cs="宋体"/>
                <w:sz w:val="20"/>
                <w:szCs w:val="20"/>
              </w:rPr>
            </w:pPr>
            <w:r>
              <w:rPr>
                <w:rFonts w:ascii="宋体" w:hAnsi="宋体" w:eastAsia="宋体" w:cs="宋体"/>
                <w:spacing w:val="9"/>
                <w:position w:val="4"/>
                <w:sz w:val="20"/>
                <w:szCs w:val="20"/>
                <w14:textOutline w14:w="3795" w14:cap="sq" w14:cmpd="sng">
                  <w14:solidFill>
                    <w14:srgbClr w14:val="000000"/>
                  </w14:solidFill>
                  <w14:prstDash w14:val="solid"/>
                  <w14:bevel/>
                </w14:textOutline>
              </w:rPr>
              <w:t>专</w:t>
            </w:r>
            <w:r>
              <w:rPr>
                <w:rFonts w:ascii="宋体" w:hAnsi="宋体" w:eastAsia="宋体" w:cs="宋体"/>
                <w:spacing w:val="8"/>
                <w:position w:val="4"/>
                <w:sz w:val="20"/>
                <w:szCs w:val="20"/>
                <w14:textOutline w14:w="3795" w14:cap="sq" w14:cmpd="sng">
                  <w14:solidFill>
                    <w14:srgbClr w14:val="000000"/>
                  </w14:solidFill>
                  <w14:prstDash w14:val="solid"/>
                  <w14:bevel/>
                </w14:textOutline>
              </w:rPr>
              <w:t>项评价</w:t>
            </w:r>
          </w:p>
          <w:p>
            <w:pPr>
              <w:spacing w:line="228" w:lineRule="auto"/>
              <w:ind w:left="423"/>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设</w:t>
            </w:r>
            <w:r>
              <w:rPr>
                <w:rFonts w:ascii="宋体" w:hAnsi="宋体" w:eastAsia="宋体" w:cs="宋体"/>
                <w:spacing w:val="7"/>
                <w:sz w:val="20"/>
                <w:szCs w:val="20"/>
                <w14:textOutline w14:w="3795" w14:cap="sq" w14:cmpd="sng">
                  <w14:solidFill>
                    <w14:srgbClr w14:val="000000"/>
                  </w14:solidFill>
                  <w14:prstDash w14:val="solid"/>
                  <w14:bevel/>
                </w14:textOutline>
              </w:rPr>
              <w:t>置情况</w:t>
            </w:r>
          </w:p>
        </w:tc>
        <w:tc>
          <w:tcPr>
            <w:tcW w:w="7246" w:type="dxa"/>
            <w:gridSpan w:val="7"/>
            <w:tcBorders>
              <w:right w:val="single" w:color="000000" w:sz="6" w:space="0"/>
            </w:tcBorders>
            <w:vAlign w:val="top"/>
          </w:tcPr>
          <w:p>
            <w:pPr>
              <w:spacing w:before="159" w:line="228" w:lineRule="auto"/>
              <w:ind w:left="435"/>
              <w:rPr>
                <w:rFonts w:ascii="宋体" w:hAnsi="宋体" w:eastAsia="宋体" w:cs="宋体"/>
                <w:sz w:val="20"/>
                <w:szCs w:val="20"/>
              </w:rPr>
            </w:pPr>
            <w:r>
              <w:rPr>
                <w:rFonts w:ascii="宋体" w:hAnsi="宋体" w:eastAsia="宋体" w:cs="宋体"/>
                <w:spacing w:val="10"/>
                <w:sz w:val="20"/>
                <w:szCs w:val="20"/>
              </w:rPr>
              <w:t>根据《</w:t>
            </w:r>
            <w:r>
              <w:rPr>
                <w:rFonts w:ascii="宋体" w:hAnsi="宋体" w:eastAsia="宋体" w:cs="宋体"/>
                <w:spacing w:val="5"/>
                <w:sz w:val="20"/>
                <w:szCs w:val="20"/>
              </w:rPr>
              <w:t>建设项目环境影响报告表编制技术指南 (生态影响类)  (试行) 》，</w:t>
            </w:r>
          </w:p>
          <w:p>
            <w:pPr>
              <w:spacing w:before="151" w:line="226" w:lineRule="auto"/>
              <w:ind w:left="16"/>
              <w:rPr>
                <w:rFonts w:ascii="宋体" w:hAnsi="宋体" w:eastAsia="宋体" w:cs="宋体"/>
                <w:sz w:val="20"/>
                <w:szCs w:val="20"/>
              </w:rPr>
            </w:pPr>
            <w:r>
              <w:rPr>
                <w:rFonts w:ascii="宋体" w:hAnsi="宋体" w:eastAsia="宋体" w:cs="宋体"/>
                <w:spacing w:val="9"/>
                <w:sz w:val="20"/>
                <w:szCs w:val="20"/>
              </w:rPr>
              <w:t>本项目需设置噪声专项评价，对照情况见下表</w:t>
            </w:r>
            <w:r>
              <w:rPr>
                <w:rFonts w:ascii="宋体" w:hAnsi="宋体" w:eastAsia="宋体" w:cs="宋体"/>
                <w:spacing w:val="8"/>
                <w:sz w:val="20"/>
                <w:szCs w:val="20"/>
              </w:rPr>
              <w:t>。</w:t>
            </w:r>
          </w:p>
          <w:p>
            <w:pPr>
              <w:spacing w:before="133" w:line="230" w:lineRule="auto"/>
              <w:ind w:left="2478"/>
              <w:rPr>
                <w:rFonts w:ascii="黑体" w:hAnsi="黑体" w:eastAsia="黑体" w:cs="黑体"/>
                <w:sz w:val="19"/>
                <w:szCs w:val="19"/>
              </w:rPr>
            </w:pPr>
            <w:r>
              <w:rPr>
                <w:rFonts w:ascii="黑体" w:hAnsi="黑体" w:eastAsia="黑体" w:cs="黑体"/>
                <w:spacing w:val="11"/>
                <w:sz w:val="19"/>
                <w:szCs w:val="19"/>
              </w:rPr>
              <w:t>表</w:t>
            </w:r>
            <w:r>
              <w:rPr>
                <w:rFonts w:ascii="Times New Roman" w:hAnsi="Times New Roman" w:eastAsia="Times New Roman" w:cs="Times New Roman"/>
                <w:spacing w:val="7"/>
                <w:sz w:val="19"/>
                <w:szCs w:val="19"/>
              </w:rPr>
              <w:t xml:space="preserve">1    </w:t>
            </w:r>
            <w:r>
              <w:rPr>
                <w:rFonts w:ascii="黑体" w:hAnsi="黑体" w:eastAsia="黑体" w:cs="黑体"/>
                <w:spacing w:val="7"/>
                <w:sz w:val="19"/>
                <w:szCs w:val="19"/>
              </w:rPr>
              <w:t>专项评价设置情况对照表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689" w:type="dxa"/>
            <w:vMerge w:val="continue"/>
            <w:tcBorders>
              <w:top w:val="nil"/>
              <w:left w:val="single" w:color="000000" w:sz="6" w:space="0"/>
              <w:bottom w:val="nil"/>
            </w:tcBorders>
            <w:vAlign w:val="top"/>
          </w:tcPr>
          <w:p>
            <w:pPr>
              <w:rPr>
                <w:rFonts w:ascii="Arial"/>
                <w:sz w:val="21"/>
              </w:rPr>
            </w:pPr>
          </w:p>
        </w:tc>
        <w:tc>
          <w:tcPr>
            <w:tcW w:w="771" w:type="dxa"/>
            <w:vAlign w:val="top"/>
          </w:tcPr>
          <w:p>
            <w:pPr>
              <w:spacing w:before="31" w:line="239" w:lineRule="auto"/>
              <w:ind w:left="176" w:right="55"/>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专项评</w:t>
            </w:r>
            <w:r>
              <w:rPr>
                <w:rFonts w:ascii="宋体" w:hAnsi="宋体" w:eastAsia="宋体" w:cs="宋体"/>
                <w:sz w:val="17"/>
                <w:szCs w:val="17"/>
              </w:rPr>
              <w:t xml:space="preserve"> </w:t>
            </w:r>
            <w:r>
              <w:rPr>
                <w:rFonts w:ascii="宋体" w:hAnsi="宋体" w:eastAsia="宋体" w:cs="宋体"/>
                <w:spacing w:val="8"/>
                <w:sz w:val="17"/>
                <w:szCs w:val="17"/>
                <w14:textOutline w14:w="3268" w14:cap="sq" w14:cmpd="sng">
                  <w14:solidFill>
                    <w14:srgbClr w14:val="000000"/>
                  </w14:solidFill>
                  <w14:prstDash w14:val="solid"/>
                  <w14:bevel/>
                </w14:textOutline>
              </w:rPr>
              <w:t>价类别</w:t>
            </w:r>
          </w:p>
        </w:tc>
        <w:tc>
          <w:tcPr>
            <w:tcW w:w="4340" w:type="dxa"/>
            <w:gridSpan w:val="3"/>
            <w:vAlign w:val="top"/>
          </w:tcPr>
          <w:p>
            <w:pPr>
              <w:spacing w:before="147" w:line="230" w:lineRule="auto"/>
              <w:ind w:left="1633"/>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涉及项目类</w:t>
            </w:r>
            <w:r>
              <w:rPr>
                <w:rFonts w:ascii="宋体" w:hAnsi="宋体" w:eastAsia="宋体" w:cs="宋体"/>
                <w:spacing w:val="8"/>
                <w:sz w:val="17"/>
                <w:szCs w:val="17"/>
                <w14:textOutline w14:w="3268" w14:cap="sq" w14:cmpd="sng">
                  <w14:solidFill>
                    <w14:srgbClr w14:val="000000"/>
                  </w14:solidFill>
                  <w14:prstDash w14:val="solid"/>
                  <w14:bevel/>
                </w14:textOutline>
              </w:rPr>
              <w:t>别</w:t>
            </w:r>
          </w:p>
        </w:tc>
        <w:tc>
          <w:tcPr>
            <w:tcW w:w="1329" w:type="dxa"/>
            <w:vAlign w:val="top"/>
          </w:tcPr>
          <w:p>
            <w:pPr>
              <w:spacing w:before="147" w:line="229" w:lineRule="auto"/>
              <w:ind w:left="402"/>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本项目</w:t>
            </w:r>
          </w:p>
        </w:tc>
        <w:tc>
          <w:tcPr>
            <w:tcW w:w="671" w:type="dxa"/>
            <w:vAlign w:val="top"/>
          </w:tcPr>
          <w:p>
            <w:pPr>
              <w:spacing w:before="32" w:line="232" w:lineRule="exact"/>
              <w:ind w:left="167"/>
              <w:rPr>
                <w:rFonts w:ascii="宋体" w:hAnsi="宋体" w:eastAsia="宋体" w:cs="宋体"/>
                <w:sz w:val="17"/>
                <w:szCs w:val="17"/>
              </w:rPr>
            </w:pPr>
            <w:r>
              <w:rPr>
                <w:rFonts w:ascii="宋体" w:hAnsi="宋体" w:eastAsia="宋体" w:cs="宋体"/>
                <w:spacing w:val="5"/>
                <w:position w:val="4"/>
                <w:sz w:val="17"/>
                <w:szCs w:val="17"/>
                <w14:textOutline w14:w="3268" w14:cap="sq" w14:cmpd="sng">
                  <w14:solidFill>
                    <w14:srgbClr w14:val="000000"/>
                  </w14:solidFill>
                  <w14:prstDash w14:val="solid"/>
                  <w14:bevel/>
                </w14:textOutline>
              </w:rPr>
              <w:t>设置</w:t>
            </w:r>
          </w:p>
          <w:p>
            <w:pPr>
              <w:spacing w:line="224" w:lineRule="auto"/>
              <w:ind w:left="165"/>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情况</w:t>
            </w:r>
          </w:p>
        </w:tc>
        <w:tc>
          <w:tcPr>
            <w:tcW w:w="135"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1689" w:type="dxa"/>
            <w:vMerge w:val="continue"/>
            <w:tcBorders>
              <w:top w:val="nil"/>
              <w:left w:val="single" w:color="000000" w:sz="6" w:space="0"/>
              <w:bottom w:val="nil"/>
            </w:tcBorders>
            <w:vAlign w:val="top"/>
          </w:tcPr>
          <w:p>
            <w:pPr>
              <w:rPr>
                <w:rFonts w:ascii="Arial"/>
                <w:sz w:val="21"/>
              </w:rPr>
            </w:pPr>
          </w:p>
        </w:tc>
        <w:tc>
          <w:tcPr>
            <w:tcW w:w="771" w:type="dxa"/>
            <w:vAlign w:val="top"/>
          </w:tcPr>
          <w:p>
            <w:pPr>
              <w:spacing w:line="277" w:lineRule="auto"/>
              <w:rPr>
                <w:rFonts w:ascii="Arial"/>
                <w:sz w:val="21"/>
              </w:rPr>
            </w:pPr>
          </w:p>
          <w:p>
            <w:pPr>
              <w:spacing w:line="278" w:lineRule="auto"/>
              <w:rPr>
                <w:rFonts w:ascii="Arial"/>
                <w:sz w:val="21"/>
              </w:rPr>
            </w:pPr>
          </w:p>
          <w:p>
            <w:pPr>
              <w:spacing w:before="55" w:line="230" w:lineRule="auto"/>
              <w:ind w:left="177"/>
              <w:rPr>
                <w:rFonts w:ascii="宋体" w:hAnsi="宋体" w:eastAsia="宋体" w:cs="宋体"/>
                <w:sz w:val="17"/>
                <w:szCs w:val="17"/>
              </w:rPr>
            </w:pPr>
            <w:r>
              <w:rPr>
                <w:rFonts w:ascii="宋体" w:hAnsi="宋体" w:eastAsia="宋体" w:cs="宋体"/>
                <w:spacing w:val="8"/>
                <w:sz w:val="17"/>
                <w:szCs w:val="17"/>
              </w:rPr>
              <w:t>地</w:t>
            </w:r>
            <w:r>
              <w:rPr>
                <w:rFonts w:ascii="宋体" w:hAnsi="宋体" w:eastAsia="宋体" w:cs="宋体"/>
                <w:spacing w:val="7"/>
                <w:sz w:val="17"/>
                <w:szCs w:val="17"/>
              </w:rPr>
              <w:t>表水</w:t>
            </w:r>
          </w:p>
        </w:tc>
        <w:tc>
          <w:tcPr>
            <w:tcW w:w="4340" w:type="dxa"/>
            <w:gridSpan w:val="3"/>
            <w:vAlign w:val="top"/>
          </w:tcPr>
          <w:p>
            <w:pPr>
              <w:spacing w:before="30" w:line="253" w:lineRule="auto"/>
              <w:ind w:left="29" w:right="580"/>
              <w:rPr>
                <w:rFonts w:ascii="宋体" w:hAnsi="宋体" w:eastAsia="宋体" w:cs="宋体"/>
                <w:sz w:val="17"/>
                <w:szCs w:val="17"/>
              </w:rPr>
            </w:pPr>
            <w:r>
              <w:rPr>
                <w:rFonts w:ascii="宋体" w:hAnsi="宋体" w:eastAsia="宋体" w:cs="宋体"/>
                <w:spacing w:val="13"/>
                <w:sz w:val="17"/>
                <w:szCs w:val="17"/>
              </w:rPr>
              <w:t>水</w:t>
            </w:r>
            <w:r>
              <w:rPr>
                <w:rFonts w:ascii="宋体" w:hAnsi="宋体" w:eastAsia="宋体" w:cs="宋体"/>
                <w:spacing w:val="7"/>
                <w:sz w:val="17"/>
                <w:szCs w:val="17"/>
              </w:rPr>
              <w:t>力发电：引水式发电、涉及调峰发电的项目；</w:t>
            </w:r>
            <w:r>
              <w:rPr>
                <w:rFonts w:ascii="宋体" w:hAnsi="宋体" w:eastAsia="宋体" w:cs="宋体"/>
                <w:sz w:val="17"/>
                <w:szCs w:val="17"/>
              </w:rPr>
              <w:t xml:space="preserve"> </w:t>
            </w:r>
            <w:r>
              <w:rPr>
                <w:rFonts w:ascii="宋体" w:hAnsi="宋体" w:eastAsia="宋体" w:cs="宋体"/>
                <w:spacing w:val="13"/>
                <w:sz w:val="17"/>
                <w:szCs w:val="17"/>
              </w:rPr>
              <w:t>人</w:t>
            </w:r>
            <w:r>
              <w:rPr>
                <w:rFonts w:ascii="宋体" w:hAnsi="宋体" w:eastAsia="宋体" w:cs="宋体"/>
                <w:spacing w:val="8"/>
                <w:sz w:val="17"/>
                <w:szCs w:val="17"/>
              </w:rPr>
              <w:t>工湖、人工湿地：全部；</w:t>
            </w:r>
          </w:p>
          <w:p>
            <w:pPr>
              <w:spacing w:line="230" w:lineRule="auto"/>
              <w:ind w:left="30"/>
              <w:rPr>
                <w:rFonts w:ascii="宋体" w:hAnsi="宋体" w:eastAsia="宋体" w:cs="宋体"/>
                <w:sz w:val="17"/>
                <w:szCs w:val="17"/>
              </w:rPr>
            </w:pPr>
            <w:r>
              <w:rPr>
                <w:rFonts w:ascii="宋体" w:hAnsi="宋体" w:eastAsia="宋体" w:cs="宋体"/>
                <w:spacing w:val="7"/>
                <w:sz w:val="17"/>
                <w:szCs w:val="17"/>
              </w:rPr>
              <w:t>水库：全部</w:t>
            </w:r>
            <w:r>
              <w:rPr>
                <w:rFonts w:ascii="宋体" w:hAnsi="宋体" w:eastAsia="宋体" w:cs="宋体"/>
                <w:spacing w:val="5"/>
                <w:sz w:val="17"/>
                <w:szCs w:val="17"/>
              </w:rPr>
              <w:t>；</w:t>
            </w:r>
          </w:p>
          <w:p>
            <w:pPr>
              <w:spacing w:before="23" w:line="230" w:lineRule="auto"/>
              <w:ind w:left="41"/>
              <w:rPr>
                <w:rFonts w:ascii="宋体" w:hAnsi="宋体" w:eastAsia="宋体" w:cs="宋体"/>
                <w:sz w:val="17"/>
                <w:szCs w:val="17"/>
              </w:rPr>
            </w:pPr>
            <w:r>
              <w:rPr>
                <w:rFonts w:ascii="宋体" w:hAnsi="宋体" w:eastAsia="宋体" w:cs="宋体"/>
                <w:spacing w:val="14"/>
                <w:sz w:val="17"/>
                <w:szCs w:val="17"/>
              </w:rPr>
              <w:t>引水</w:t>
            </w:r>
            <w:r>
              <w:rPr>
                <w:rFonts w:ascii="宋体" w:hAnsi="宋体" w:eastAsia="宋体" w:cs="宋体"/>
                <w:spacing w:val="9"/>
                <w:sz w:val="17"/>
                <w:szCs w:val="17"/>
              </w:rPr>
              <w:t>工</w:t>
            </w:r>
            <w:r>
              <w:rPr>
                <w:rFonts w:ascii="宋体" w:hAnsi="宋体" w:eastAsia="宋体" w:cs="宋体"/>
                <w:spacing w:val="7"/>
                <w:sz w:val="17"/>
                <w:szCs w:val="17"/>
              </w:rPr>
              <w:t>程：全部 (配套的管线工程等除外) ；</w:t>
            </w:r>
          </w:p>
          <w:p>
            <w:pPr>
              <w:spacing w:before="21" w:line="230" w:lineRule="auto"/>
              <w:ind w:left="39"/>
              <w:rPr>
                <w:rFonts w:ascii="宋体" w:hAnsi="宋体" w:eastAsia="宋体" w:cs="宋体"/>
                <w:sz w:val="17"/>
                <w:szCs w:val="17"/>
              </w:rPr>
            </w:pPr>
            <w:r>
              <w:rPr>
                <w:rFonts w:ascii="宋体" w:hAnsi="宋体" w:eastAsia="宋体" w:cs="宋体"/>
                <w:spacing w:val="9"/>
                <w:sz w:val="17"/>
                <w:szCs w:val="17"/>
              </w:rPr>
              <w:t>防</w:t>
            </w:r>
            <w:r>
              <w:rPr>
                <w:rFonts w:ascii="宋体" w:hAnsi="宋体" w:eastAsia="宋体" w:cs="宋体"/>
                <w:spacing w:val="8"/>
                <w:sz w:val="17"/>
                <w:szCs w:val="17"/>
              </w:rPr>
              <w:t>洪除涝工程：包含水库的项目；</w:t>
            </w:r>
          </w:p>
          <w:p>
            <w:pPr>
              <w:spacing w:before="20" w:line="226" w:lineRule="auto"/>
              <w:ind w:left="27"/>
              <w:rPr>
                <w:rFonts w:ascii="宋体" w:hAnsi="宋体" w:eastAsia="宋体" w:cs="宋体"/>
                <w:sz w:val="17"/>
                <w:szCs w:val="17"/>
              </w:rPr>
            </w:pPr>
            <w:r>
              <w:rPr>
                <w:rFonts w:ascii="宋体" w:hAnsi="宋体" w:eastAsia="宋体" w:cs="宋体"/>
                <w:spacing w:val="15"/>
                <w:sz w:val="17"/>
                <w:szCs w:val="17"/>
              </w:rPr>
              <w:t>河</w:t>
            </w:r>
            <w:r>
              <w:rPr>
                <w:rFonts w:ascii="宋体" w:hAnsi="宋体" w:eastAsia="宋体" w:cs="宋体"/>
                <w:spacing w:val="9"/>
                <w:sz w:val="17"/>
                <w:szCs w:val="17"/>
              </w:rPr>
              <w:t>湖整治：涉及清淤且底泥存在重金属污染的项目。</w:t>
            </w:r>
          </w:p>
        </w:tc>
        <w:tc>
          <w:tcPr>
            <w:tcW w:w="1329" w:type="dxa"/>
            <w:vAlign w:val="top"/>
          </w:tcPr>
          <w:p>
            <w:pPr>
              <w:spacing w:line="277" w:lineRule="auto"/>
              <w:rPr>
                <w:rFonts w:ascii="Arial"/>
                <w:sz w:val="21"/>
              </w:rPr>
            </w:pPr>
          </w:p>
          <w:p>
            <w:pPr>
              <w:spacing w:line="277" w:lineRule="auto"/>
              <w:rPr>
                <w:rFonts w:ascii="Arial"/>
                <w:sz w:val="21"/>
              </w:rPr>
            </w:pPr>
          </w:p>
          <w:p>
            <w:pPr>
              <w:spacing w:before="56" w:line="231" w:lineRule="auto"/>
              <w:ind w:left="47"/>
              <w:rPr>
                <w:rFonts w:ascii="宋体" w:hAnsi="宋体" w:eastAsia="宋体" w:cs="宋体"/>
                <w:sz w:val="17"/>
                <w:szCs w:val="17"/>
              </w:rPr>
            </w:pPr>
            <w:r>
              <w:rPr>
                <w:rFonts w:ascii="宋体" w:hAnsi="宋体" w:eastAsia="宋体" w:cs="宋体"/>
                <w:spacing w:val="12"/>
                <w:sz w:val="17"/>
                <w:szCs w:val="17"/>
              </w:rPr>
              <w:t>不</w:t>
            </w:r>
            <w:r>
              <w:rPr>
                <w:rFonts w:ascii="宋体" w:hAnsi="宋体" w:eastAsia="宋体" w:cs="宋体"/>
                <w:spacing w:val="8"/>
                <w:sz w:val="17"/>
                <w:szCs w:val="17"/>
              </w:rPr>
              <w:t>属于所列行业</w:t>
            </w:r>
          </w:p>
        </w:tc>
        <w:tc>
          <w:tcPr>
            <w:tcW w:w="671" w:type="dxa"/>
            <w:vAlign w:val="top"/>
          </w:tcPr>
          <w:p>
            <w:pPr>
              <w:spacing w:line="277" w:lineRule="auto"/>
              <w:rPr>
                <w:rFonts w:ascii="Arial"/>
                <w:sz w:val="21"/>
              </w:rPr>
            </w:pPr>
          </w:p>
          <w:p>
            <w:pPr>
              <w:spacing w:line="277" w:lineRule="auto"/>
              <w:rPr>
                <w:rFonts w:ascii="Arial"/>
                <w:sz w:val="21"/>
              </w:rPr>
            </w:pPr>
          </w:p>
          <w:p>
            <w:pPr>
              <w:spacing w:before="55" w:line="232" w:lineRule="auto"/>
              <w:ind w:left="79"/>
              <w:rPr>
                <w:rFonts w:ascii="宋体" w:hAnsi="宋体" w:eastAsia="宋体" w:cs="宋体"/>
                <w:sz w:val="17"/>
                <w:szCs w:val="17"/>
              </w:rPr>
            </w:pPr>
            <w:r>
              <w:rPr>
                <w:rFonts w:ascii="宋体" w:hAnsi="宋体" w:eastAsia="宋体" w:cs="宋体"/>
                <w:spacing w:val="8"/>
                <w:sz w:val="17"/>
                <w:szCs w:val="17"/>
              </w:rPr>
              <w:t>不</w:t>
            </w:r>
            <w:r>
              <w:rPr>
                <w:rFonts w:ascii="宋体" w:hAnsi="宋体" w:eastAsia="宋体" w:cs="宋体"/>
                <w:spacing w:val="6"/>
                <w:sz w:val="17"/>
                <w:szCs w:val="17"/>
              </w:rPr>
              <w:t>设置</w:t>
            </w:r>
          </w:p>
        </w:tc>
        <w:tc>
          <w:tcPr>
            <w:tcW w:w="13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689" w:type="dxa"/>
            <w:vMerge w:val="continue"/>
            <w:tcBorders>
              <w:top w:val="nil"/>
              <w:left w:val="single" w:color="000000" w:sz="6" w:space="0"/>
              <w:bottom w:val="nil"/>
            </w:tcBorders>
            <w:vAlign w:val="top"/>
          </w:tcPr>
          <w:p>
            <w:pPr>
              <w:rPr>
                <w:rFonts w:ascii="Arial"/>
                <w:sz w:val="21"/>
              </w:rPr>
            </w:pPr>
          </w:p>
        </w:tc>
        <w:tc>
          <w:tcPr>
            <w:tcW w:w="771" w:type="dxa"/>
            <w:vAlign w:val="top"/>
          </w:tcPr>
          <w:p>
            <w:pPr>
              <w:spacing w:before="264" w:line="230" w:lineRule="auto"/>
              <w:ind w:left="177"/>
              <w:rPr>
                <w:rFonts w:ascii="宋体" w:hAnsi="宋体" w:eastAsia="宋体" w:cs="宋体"/>
                <w:sz w:val="17"/>
                <w:szCs w:val="17"/>
              </w:rPr>
            </w:pPr>
            <w:r>
              <w:rPr>
                <w:rFonts w:ascii="宋体" w:hAnsi="宋体" w:eastAsia="宋体" w:cs="宋体"/>
                <w:spacing w:val="8"/>
                <w:sz w:val="17"/>
                <w:szCs w:val="17"/>
              </w:rPr>
              <w:t>地</w:t>
            </w:r>
            <w:r>
              <w:rPr>
                <w:rFonts w:ascii="宋体" w:hAnsi="宋体" w:eastAsia="宋体" w:cs="宋体"/>
                <w:spacing w:val="7"/>
                <w:sz w:val="17"/>
                <w:szCs w:val="17"/>
              </w:rPr>
              <w:t>下水</w:t>
            </w:r>
          </w:p>
        </w:tc>
        <w:tc>
          <w:tcPr>
            <w:tcW w:w="4340" w:type="dxa"/>
            <w:gridSpan w:val="3"/>
            <w:vAlign w:val="top"/>
          </w:tcPr>
          <w:p>
            <w:pPr>
              <w:spacing w:before="31" w:line="229" w:lineRule="auto"/>
              <w:ind w:left="37"/>
              <w:rPr>
                <w:rFonts w:ascii="宋体" w:hAnsi="宋体" w:eastAsia="宋体" w:cs="宋体"/>
                <w:sz w:val="17"/>
                <w:szCs w:val="17"/>
              </w:rPr>
            </w:pPr>
            <w:r>
              <w:rPr>
                <w:rFonts w:ascii="宋体" w:hAnsi="宋体" w:eastAsia="宋体" w:cs="宋体"/>
                <w:spacing w:val="9"/>
                <w:sz w:val="17"/>
                <w:szCs w:val="17"/>
              </w:rPr>
              <w:t>陆</w:t>
            </w:r>
            <w:r>
              <w:rPr>
                <w:rFonts w:ascii="宋体" w:hAnsi="宋体" w:eastAsia="宋体" w:cs="宋体"/>
                <w:spacing w:val="8"/>
                <w:sz w:val="17"/>
                <w:szCs w:val="17"/>
              </w:rPr>
              <w:t>地石油和天然气开采：全部；</w:t>
            </w:r>
          </w:p>
          <w:p>
            <w:pPr>
              <w:spacing w:before="21" w:line="229" w:lineRule="auto"/>
              <w:ind w:left="28"/>
              <w:rPr>
                <w:rFonts w:ascii="宋体" w:hAnsi="宋体" w:eastAsia="宋体" w:cs="宋体"/>
                <w:sz w:val="17"/>
                <w:szCs w:val="17"/>
              </w:rPr>
            </w:pPr>
            <w:r>
              <w:rPr>
                <w:rFonts w:ascii="宋体" w:hAnsi="宋体" w:eastAsia="宋体" w:cs="宋体"/>
                <w:spacing w:val="8"/>
                <w:sz w:val="17"/>
                <w:szCs w:val="17"/>
              </w:rPr>
              <w:t>地下水 (含矿泉水) 开采：全部</w:t>
            </w:r>
            <w:r>
              <w:rPr>
                <w:rFonts w:ascii="宋体" w:hAnsi="宋体" w:eastAsia="宋体" w:cs="宋体"/>
                <w:spacing w:val="4"/>
                <w:sz w:val="17"/>
                <w:szCs w:val="17"/>
              </w:rPr>
              <w:t>；</w:t>
            </w:r>
          </w:p>
          <w:p>
            <w:pPr>
              <w:spacing w:before="21" w:line="226" w:lineRule="auto"/>
              <w:ind w:left="30"/>
              <w:rPr>
                <w:rFonts w:ascii="宋体" w:hAnsi="宋体" w:eastAsia="宋体" w:cs="宋体"/>
                <w:sz w:val="17"/>
                <w:szCs w:val="17"/>
              </w:rPr>
            </w:pPr>
            <w:r>
              <w:rPr>
                <w:rFonts w:ascii="宋体" w:hAnsi="宋体" w:eastAsia="宋体" w:cs="宋体"/>
                <w:spacing w:val="13"/>
                <w:sz w:val="17"/>
                <w:szCs w:val="17"/>
              </w:rPr>
              <w:t>水</w:t>
            </w:r>
            <w:r>
              <w:rPr>
                <w:rFonts w:ascii="宋体" w:hAnsi="宋体" w:eastAsia="宋体" w:cs="宋体"/>
                <w:spacing w:val="9"/>
                <w:sz w:val="17"/>
                <w:szCs w:val="17"/>
              </w:rPr>
              <w:t>利、水电、交通等：含穿越可溶岩地层隧道的项目。</w:t>
            </w:r>
          </w:p>
        </w:tc>
        <w:tc>
          <w:tcPr>
            <w:tcW w:w="1329" w:type="dxa"/>
            <w:vAlign w:val="top"/>
          </w:tcPr>
          <w:p>
            <w:pPr>
              <w:spacing w:before="264" w:line="231" w:lineRule="auto"/>
              <w:ind w:left="47"/>
              <w:rPr>
                <w:rFonts w:ascii="宋体" w:hAnsi="宋体" w:eastAsia="宋体" w:cs="宋体"/>
                <w:sz w:val="17"/>
                <w:szCs w:val="17"/>
              </w:rPr>
            </w:pPr>
            <w:r>
              <w:rPr>
                <w:rFonts w:ascii="宋体" w:hAnsi="宋体" w:eastAsia="宋体" w:cs="宋体"/>
                <w:spacing w:val="12"/>
                <w:sz w:val="17"/>
                <w:szCs w:val="17"/>
              </w:rPr>
              <w:t>不</w:t>
            </w:r>
            <w:r>
              <w:rPr>
                <w:rFonts w:ascii="宋体" w:hAnsi="宋体" w:eastAsia="宋体" w:cs="宋体"/>
                <w:spacing w:val="8"/>
                <w:sz w:val="17"/>
                <w:szCs w:val="17"/>
              </w:rPr>
              <w:t>属于所列行业</w:t>
            </w:r>
          </w:p>
        </w:tc>
        <w:tc>
          <w:tcPr>
            <w:tcW w:w="671" w:type="dxa"/>
            <w:vAlign w:val="top"/>
          </w:tcPr>
          <w:p>
            <w:pPr>
              <w:spacing w:before="264" w:line="232" w:lineRule="auto"/>
              <w:ind w:left="79"/>
              <w:rPr>
                <w:rFonts w:ascii="宋体" w:hAnsi="宋体" w:eastAsia="宋体" w:cs="宋体"/>
                <w:sz w:val="17"/>
                <w:szCs w:val="17"/>
              </w:rPr>
            </w:pPr>
            <w:r>
              <w:rPr>
                <w:rFonts w:ascii="宋体" w:hAnsi="宋体" w:eastAsia="宋体" w:cs="宋体"/>
                <w:spacing w:val="8"/>
                <w:sz w:val="17"/>
                <w:szCs w:val="17"/>
              </w:rPr>
              <w:t>不</w:t>
            </w:r>
            <w:r>
              <w:rPr>
                <w:rFonts w:ascii="宋体" w:hAnsi="宋体" w:eastAsia="宋体" w:cs="宋体"/>
                <w:spacing w:val="6"/>
                <w:sz w:val="17"/>
                <w:szCs w:val="17"/>
              </w:rPr>
              <w:t>设置</w:t>
            </w:r>
          </w:p>
        </w:tc>
        <w:tc>
          <w:tcPr>
            <w:tcW w:w="13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689" w:type="dxa"/>
            <w:vMerge w:val="continue"/>
            <w:tcBorders>
              <w:top w:val="nil"/>
              <w:left w:val="single" w:color="000000" w:sz="6" w:space="0"/>
              <w:bottom w:val="nil"/>
            </w:tcBorders>
            <w:vAlign w:val="top"/>
          </w:tcPr>
          <w:p>
            <w:pPr>
              <w:rPr>
                <w:rFonts w:ascii="Arial"/>
                <w:sz w:val="21"/>
              </w:rPr>
            </w:pPr>
          </w:p>
        </w:tc>
        <w:tc>
          <w:tcPr>
            <w:tcW w:w="771" w:type="dxa"/>
            <w:vAlign w:val="top"/>
          </w:tcPr>
          <w:p>
            <w:pPr>
              <w:spacing w:before="264" w:line="235" w:lineRule="auto"/>
              <w:ind w:left="268"/>
              <w:rPr>
                <w:rFonts w:ascii="宋体" w:hAnsi="宋体" w:eastAsia="宋体" w:cs="宋体"/>
                <w:sz w:val="17"/>
                <w:szCs w:val="17"/>
              </w:rPr>
            </w:pPr>
            <w:r>
              <w:rPr>
                <w:rFonts w:ascii="宋体" w:hAnsi="宋体" w:eastAsia="宋体" w:cs="宋体"/>
                <w:spacing w:val="6"/>
                <w:sz w:val="17"/>
                <w:szCs w:val="17"/>
              </w:rPr>
              <w:t>生</w:t>
            </w:r>
            <w:r>
              <w:rPr>
                <w:rFonts w:ascii="宋体" w:hAnsi="宋体" w:eastAsia="宋体" w:cs="宋体"/>
                <w:spacing w:val="5"/>
                <w:sz w:val="17"/>
                <w:szCs w:val="17"/>
              </w:rPr>
              <w:t>态</w:t>
            </w:r>
          </w:p>
        </w:tc>
        <w:tc>
          <w:tcPr>
            <w:tcW w:w="4340" w:type="dxa"/>
            <w:gridSpan w:val="3"/>
            <w:vAlign w:val="top"/>
          </w:tcPr>
          <w:p>
            <w:pPr>
              <w:spacing w:before="30" w:line="244" w:lineRule="auto"/>
              <w:ind w:left="29" w:right="22"/>
              <w:rPr>
                <w:rFonts w:ascii="宋体" w:hAnsi="宋体" w:eastAsia="宋体" w:cs="宋体"/>
                <w:sz w:val="17"/>
                <w:szCs w:val="17"/>
              </w:rPr>
            </w:pPr>
            <w:r>
              <w:rPr>
                <w:rFonts w:ascii="宋体" w:hAnsi="宋体" w:eastAsia="宋体" w:cs="宋体"/>
                <w:spacing w:val="8"/>
                <w:sz w:val="17"/>
                <w:szCs w:val="17"/>
              </w:rPr>
              <w:t>涉及环</w:t>
            </w:r>
            <w:r>
              <w:rPr>
                <w:rFonts w:ascii="宋体" w:hAnsi="宋体" w:eastAsia="宋体" w:cs="宋体"/>
                <w:spacing w:val="5"/>
                <w:sz w:val="17"/>
                <w:szCs w:val="17"/>
              </w:rPr>
              <w:t>境</w:t>
            </w:r>
            <w:r>
              <w:rPr>
                <w:rFonts w:ascii="宋体" w:hAnsi="宋体" w:eastAsia="宋体" w:cs="宋体"/>
                <w:spacing w:val="4"/>
                <w:sz w:val="17"/>
                <w:szCs w:val="17"/>
              </w:rPr>
              <w:t>敏感区 (不包括饮用水水源保护区， 以居住、</w:t>
            </w:r>
            <w:r>
              <w:rPr>
                <w:rFonts w:ascii="宋体" w:hAnsi="宋体" w:eastAsia="宋体" w:cs="宋体"/>
                <w:sz w:val="17"/>
                <w:szCs w:val="17"/>
              </w:rPr>
              <w:t xml:space="preserve"> </w:t>
            </w:r>
            <w:r>
              <w:rPr>
                <w:rFonts w:ascii="宋体" w:hAnsi="宋体" w:eastAsia="宋体" w:cs="宋体"/>
                <w:spacing w:val="16"/>
                <w:sz w:val="17"/>
                <w:szCs w:val="17"/>
              </w:rPr>
              <w:t>医</w:t>
            </w:r>
            <w:r>
              <w:rPr>
                <w:rFonts w:ascii="宋体" w:hAnsi="宋体" w:eastAsia="宋体" w:cs="宋体"/>
                <w:spacing w:val="11"/>
                <w:sz w:val="17"/>
                <w:szCs w:val="17"/>
              </w:rPr>
              <w:t>疗</w:t>
            </w:r>
            <w:r>
              <w:rPr>
                <w:rFonts w:ascii="宋体" w:hAnsi="宋体" w:eastAsia="宋体" w:cs="宋体"/>
                <w:spacing w:val="8"/>
                <w:sz w:val="17"/>
                <w:szCs w:val="17"/>
              </w:rPr>
              <w:t>卫生、文化教育、科研、行政办公为主要功能的区</w:t>
            </w:r>
            <w:r>
              <w:rPr>
                <w:rFonts w:ascii="宋体" w:hAnsi="宋体" w:eastAsia="宋体" w:cs="宋体"/>
                <w:sz w:val="17"/>
                <w:szCs w:val="17"/>
              </w:rPr>
              <w:t xml:space="preserve"> </w:t>
            </w:r>
            <w:r>
              <w:rPr>
                <w:rFonts w:ascii="宋体" w:hAnsi="宋体" w:eastAsia="宋体" w:cs="宋体"/>
                <w:spacing w:val="4"/>
                <w:sz w:val="17"/>
                <w:szCs w:val="17"/>
              </w:rPr>
              <w:t>域， 以及文</w:t>
            </w:r>
            <w:r>
              <w:rPr>
                <w:rFonts w:ascii="宋体" w:hAnsi="宋体" w:eastAsia="宋体" w:cs="宋体"/>
                <w:spacing w:val="3"/>
                <w:sz w:val="17"/>
                <w:szCs w:val="17"/>
              </w:rPr>
              <w:t>物</w:t>
            </w:r>
            <w:r>
              <w:rPr>
                <w:rFonts w:ascii="宋体" w:hAnsi="宋体" w:eastAsia="宋体" w:cs="宋体"/>
                <w:spacing w:val="2"/>
                <w:sz w:val="17"/>
                <w:szCs w:val="17"/>
              </w:rPr>
              <w:t>保护单位) 的项目。</w:t>
            </w:r>
          </w:p>
        </w:tc>
        <w:tc>
          <w:tcPr>
            <w:tcW w:w="1329" w:type="dxa"/>
            <w:vAlign w:val="top"/>
          </w:tcPr>
          <w:p>
            <w:pPr>
              <w:spacing w:before="147" w:line="270" w:lineRule="auto"/>
              <w:ind w:left="50" w:right="19" w:hanging="10"/>
              <w:rPr>
                <w:rFonts w:ascii="宋体" w:hAnsi="宋体" w:eastAsia="宋体" w:cs="宋体"/>
                <w:sz w:val="17"/>
                <w:szCs w:val="17"/>
              </w:rPr>
            </w:pPr>
            <w:r>
              <w:rPr>
                <w:rFonts w:ascii="宋体" w:hAnsi="宋体" w:eastAsia="宋体" w:cs="宋体"/>
                <w:spacing w:val="14"/>
                <w:sz w:val="17"/>
                <w:szCs w:val="17"/>
              </w:rPr>
              <w:t>不</w:t>
            </w:r>
            <w:r>
              <w:rPr>
                <w:rFonts w:ascii="宋体" w:hAnsi="宋体" w:eastAsia="宋体" w:cs="宋体"/>
                <w:spacing w:val="10"/>
                <w:sz w:val="17"/>
                <w:szCs w:val="17"/>
              </w:rPr>
              <w:t>涉及环境敏感</w:t>
            </w:r>
            <w:r>
              <w:rPr>
                <w:rFonts w:ascii="宋体" w:hAnsi="宋体" w:eastAsia="宋体" w:cs="宋体"/>
                <w:sz w:val="17"/>
                <w:szCs w:val="17"/>
              </w:rPr>
              <w:t xml:space="preserve"> 区</w:t>
            </w:r>
          </w:p>
        </w:tc>
        <w:tc>
          <w:tcPr>
            <w:tcW w:w="671" w:type="dxa"/>
            <w:vAlign w:val="top"/>
          </w:tcPr>
          <w:p>
            <w:pPr>
              <w:spacing w:before="264" w:line="232" w:lineRule="auto"/>
              <w:ind w:left="79"/>
              <w:rPr>
                <w:rFonts w:ascii="宋体" w:hAnsi="宋体" w:eastAsia="宋体" w:cs="宋体"/>
                <w:sz w:val="17"/>
                <w:szCs w:val="17"/>
              </w:rPr>
            </w:pPr>
            <w:r>
              <w:rPr>
                <w:rFonts w:ascii="宋体" w:hAnsi="宋体" w:eastAsia="宋体" w:cs="宋体"/>
                <w:spacing w:val="8"/>
                <w:sz w:val="17"/>
                <w:szCs w:val="17"/>
              </w:rPr>
              <w:t>不</w:t>
            </w:r>
            <w:r>
              <w:rPr>
                <w:rFonts w:ascii="宋体" w:hAnsi="宋体" w:eastAsia="宋体" w:cs="宋体"/>
                <w:spacing w:val="6"/>
                <w:sz w:val="17"/>
                <w:szCs w:val="17"/>
              </w:rPr>
              <w:t>设置</w:t>
            </w:r>
          </w:p>
        </w:tc>
        <w:tc>
          <w:tcPr>
            <w:tcW w:w="13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689" w:type="dxa"/>
            <w:vMerge w:val="continue"/>
            <w:tcBorders>
              <w:top w:val="nil"/>
              <w:left w:val="single" w:color="000000" w:sz="6" w:space="0"/>
              <w:bottom w:val="nil"/>
            </w:tcBorders>
            <w:vAlign w:val="top"/>
          </w:tcPr>
          <w:p>
            <w:pPr>
              <w:rPr>
                <w:rFonts w:ascii="Arial"/>
                <w:sz w:val="21"/>
              </w:rPr>
            </w:pPr>
          </w:p>
        </w:tc>
        <w:tc>
          <w:tcPr>
            <w:tcW w:w="771" w:type="dxa"/>
            <w:vAlign w:val="top"/>
          </w:tcPr>
          <w:p>
            <w:pPr>
              <w:spacing w:before="265" w:line="231" w:lineRule="auto"/>
              <w:ind w:left="268"/>
              <w:rPr>
                <w:rFonts w:ascii="宋体" w:hAnsi="宋体" w:eastAsia="宋体" w:cs="宋体"/>
                <w:sz w:val="17"/>
                <w:szCs w:val="17"/>
              </w:rPr>
            </w:pPr>
            <w:r>
              <w:rPr>
                <w:rFonts w:ascii="宋体" w:hAnsi="宋体" w:eastAsia="宋体" w:cs="宋体"/>
                <w:spacing w:val="5"/>
                <w:sz w:val="17"/>
                <w:szCs w:val="17"/>
              </w:rPr>
              <w:t>大气</w:t>
            </w:r>
          </w:p>
        </w:tc>
        <w:tc>
          <w:tcPr>
            <w:tcW w:w="4340" w:type="dxa"/>
            <w:gridSpan w:val="3"/>
            <w:vAlign w:val="top"/>
          </w:tcPr>
          <w:p>
            <w:pPr>
              <w:spacing w:before="32" w:line="232" w:lineRule="auto"/>
              <w:ind w:left="31"/>
              <w:rPr>
                <w:rFonts w:ascii="宋体" w:hAnsi="宋体" w:eastAsia="宋体" w:cs="宋体"/>
                <w:sz w:val="17"/>
                <w:szCs w:val="17"/>
              </w:rPr>
            </w:pPr>
            <w:r>
              <w:rPr>
                <w:rFonts w:ascii="宋体" w:hAnsi="宋体" w:eastAsia="宋体" w:cs="宋体"/>
                <w:spacing w:val="14"/>
                <w:sz w:val="17"/>
                <w:szCs w:val="17"/>
              </w:rPr>
              <w:t>油</w:t>
            </w:r>
            <w:r>
              <w:rPr>
                <w:rFonts w:ascii="宋体" w:hAnsi="宋体" w:eastAsia="宋体" w:cs="宋体"/>
                <w:spacing w:val="8"/>
                <w:sz w:val="17"/>
                <w:szCs w:val="17"/>
              </w:rPr>
              <w:t>气、液体化工码头：全部；</w:t>
            </w:r>
          </w:p>
          <w:p>
            <w:pPr>
              <w:spacing w:before="19" w:line="239" w:lineRule="auto"/>
              <w:ind w:left="29" w:right="40" w:hanging="2"/>
              <w:rPr>
                <w:rFonts w:ascii="宋体" w:hAnsi="宋体" w:eastAsia="宋体" w:cs="宋体"/>
                <w:sz w:val="17"/>
                <w:szCs w:val="17"/>
              </w:rPr>
            </w:pPr>
            <w:r>
              <w:rPr>
                <w:rFonts w:ascii="宋体" w:hAnsi="宋体" w:eastAsia="宋体" w:cs="宋体"/>
                <w:spacing w:val="12"/>
                <w:sz w:val="17"/>
                <w:szCs w:val="17"/>
              </w:rPr>
              <w:t>干</w:t>
            </w:r>
            <w:r>
              <w:rPr>
                <w:rFonts w:ascii="宋体" w:hAnsi="宋体" w:eastAsia="宋体" w:cs="宋体"/>
                <w:spacing w:val="7"/>
                <w:sz w:val="17"/>
                <w:szCs w:val="17"/>
              </w:rPr>
              <w:t>散货 (含煤炭、矿石) 、件杂、多用途、通用码头：</w:t>
            </w:r>
            <w:r>
              <w:rPr>
                <w:rFonts w:ascii="宋体" w:hAnsi="宋体" w:eastAsia="宋体" w:cs="宋体"/>
                <w:sz w:val="17"/>
                <w:szCs w:val="17"/>
              </w:rPr>
              <w:t xml:space="preserve"> </w:t>
            </w:r>
            <w:r>
              <w:rPr>
                <w:rFonts w:ascii="宋体" w:hAnsi="宋体" w:eastAsia="宋体" w:cs="宋体"/>
                <w:spacing w:val="16"/>
                <w:sz w:val="17"/>
                <w:szCs w:val="17"/>
              </w:rPr>
              <w:t>涉</w:t>
            </w:r>
            <w:r>
              <w:rPr>
                <w:rFonts w:ascii="宋体" w:hAnsi="宋体" w:eastAsia="宋体" w:cs="宋体"/>
                <w:spacing w:val="9"/>
                <w:sz w:val="17"/>
                <w:szCs w:val="17"/>
              </w:rPr>
              <w:t>及粉尘、挥发性有机物排放的项目</w:t>
            </w:r>
          </w:p>
        </w:tc>
        <w:tc>
          <w:tcPr>
            <w:tcW w:w="1329" w:type="dxa"/>
            <w:vAlign w:val="top"/>
          </w:tcPr>
          <w:p>
            <w:pPr>
              <w:spacing w:before="265" w:line="231" w:lineRule="auto"/>
              <w:ind w:left="47"/>
              <w:rPr>
                <w:rFonts w:ascii="宋体" w:hAnsi="宋体" w:eastAsia="宋体" w:cs="宋体"/>
                <w:sz w:val="17"/>
                <w:szCs w:val="17"/>
              </w:rPr>
            </w:pPr>
            <w:r>
              <w:rPr>
                <w:rFonts w:ascii="宋体" w:hAnsi="宋体" w:eastAsia="宋体" w:cs="宋体"/>
                <w:spacing w:val="12"/>
                <w:sz w:val="17"/>
                <w:szCs w:val="17"/>
              </w:rPr>
              <w:t>不</w:t>
            </w:r>
            <w:r>
              <w:rPr>
                <w:rFonts w:ascii="宋体" w:hAnsi="宋体" w:eastAsia="宋体" w:cs="宋体"/>
                <w:spacing w:val="8"/>
                <w:sz w:val="17"/>
                <w:szCs w:val="17"/>
              </w:rPr>
              <w:t>属于所列行业</w:t>
            </w:r>
          </w:p>
        </w:tc>
        <w:tc>
          <w:tcPr>
            <w:tcW w:w="671" w:type="dxa"/>
            <w:vAlign w:val="top"/>
          </w:tcPr>
          <w:p>
            <w:pPr>
              <w:spacing w:before="264" w:line="232" w:lineRule="auto"/>
              <w:ind w:left="79"/>
              <w:rPr>
                <w:rFonts w:ascii="宋体" w:hAnsi="宋体" w:eastAsia="宋体" w:cs="宋体"/>
                <w:sz w:val="17"/>
                <w:szCs w:val="17"/>
              </w:rPr>
            </w:pPr>
            <w:r>
              <w:rPr>
                <w:rFonts w:ascii="宋体" w:hAnsi="宋体" w:eastAsia="宋体" w:cs="宋体"/>
                <w:spacing w:val="8"/>
                <w:sz w:val="17"/>
                <w:szCs w:val="17"/>
              </w:rPr>
              <w:t>不</w:t>
            </w:r>
            <w:r>
              <w:rPr>
                <w:rFonts w:ascii="宋体" w:hAnsi="宋体" w:eastAsia="宋体" w:cs="宋体"/>
                <w:spacing w:val="6"/>
                <w:sz w:val="17"/>
                <w:szCs w:val="17"/>
              </w:rPr>
              <w:t>设置</w:t>
            </w:r>
          </w:p>
        </w:tc>
        <w:tc>
          <w:tcPr>
            <w:tcW w:w="13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1" w:hRule="atLeast"/>
        </w:trPr>
        <w:tc>
          <w:tcPr>
            <w:tcW w:w="1689" w:type="dxa"/>
            <w:vMerge w:val="continue"/>
            <w:tcBorders>
              <w:top w:val="nil"/>
              <w:left w:val="single" w:color="000000" w:sz="6" w:space="0"/>
            </w:tcBorders>
            <w:vAlign w:val="top"/>
          </w:tcPr>
          <w:p>
            <w:pPr>
              <w:rPr>
                <w:rFonts w:ascii="Arial"/>
                <w:sz w:val="21"/>
              </w:rPr>
            </w:pPr>
          </w:p>
        </w:tc>
        <w:tc>
          <w:tcPr>
            <w:tcW w:w="771" w:type="dxa"/>
            <w:vAlign w:val="top"/>
          </w:tcPr>
          <w:p>
            <w:pPr>
              <w:spacing w:line="323" w:lineRule="auto"/>
              <w:rPr>
                <w:rFonts w:ascii="Arial"/>
                <w:sz w:val="21"/>
              </w:rPr>
            </w:pPr>
          </w:p>
          <w:p>
            <w:pPr>
              <w:spacing w:before="55" w:line="231" w:lineRule="auto"/>
              <w:ind w:left="275"/>
              <w:rPr>
                <w:rFonts w:ascii="宋体" w:hAnsi="宋体" w:eastAsia="宋体" w:cs="宋体"/>
                <w:sz w:val="17"/>
                <w:szCs w:val="17"/>
              </w:rPr>
            </w:pPr>
            <w:r>
              <w:rPr>
                <w:rFonts w:ascii="宋体" w:hAnsi="宋体" w:eastAsia="宋体" w:cs="宋体"/>
                <w:spacing w:val="2"/>
                <w:sz w:val="17"/>
                <w:szCs w:val="17"/>
              </w:rPr>
              <w:t>噪声</w:t>
            </w:r>
          </w:p>
        </w:tc>
        <w:tc>
          <w:tcPr>
            <w:tcW w:w="4340" w:type="dxa"/>
            <w:gridSpan w:val="3"/>
            <w:vAlign w:val="top"/>
          </w:tcPr>
          <w:p>
            <w:pPr>
              <w:spacing w:before="32" w:line="253" w:lineRule="auto"/>
              <w:ind w:left="27" w:right="22" w:firstLine="6"/>
              <w:rPr>
                <w:rFonts w:ascii="宋体" w:hAnsi="宋体" w:eastAsia="宋体" w:cs="宋体"/>
                <w:sz w:val="17"/>
                <w:szCs w:val="17"/>
              </w:rPr>
            </w:pPr>
            <w:r>
              <w:rPr>
                <w:rFonts w:ascii="宋体" w:hAnsi="宋体" w:eastAsia="宋体" w:cs="宋体"/>
                <w:spacing w:val="8"/>
                <w:sz w:val="17"/>
                <w:szCs w:val="17"/>
              </w:rPr>
              <w:t>公路、铁路、机场等交通运输业涉及环境敏感区 (以</w:t>
            </w:r>
            <w:r>
              <w:rPr>
                <w:rFonts w:ascii="宋体" w:hAnsi="宋体" w:eastAsia="宋体" w:cs="宋体"/>
                <w:spacing w:val="6"/>
                <w:sz w:val="17"/>
                <w:szCs w:val="17"/>
              </w:rPr>
              <w:t>居</w:t>
            </w:r>
            <w:r>
              <w:rPr>
                <w:rFonts w:ascii="宋体" w:hAnsi="宋体" w:eastAsia="宋体" w:cs="宋体"/>
                <w:sz w:val="17"/>
                <w:szCs w:val="17"/>
              </w:rPr>
              <w:t xml:space="preserve"> </w:t>
            </w:r>
            <w:r>
              <w:rPr>
                <w:rFonts w:ascii="宋体" w:hAnsi="宋体" w:eastAsia="宋体" w:cs="宋体"/>
                <w:spacing w:val="16"/>
                <w:sz w:val="17"/>
                <w:szCs w:val="17"/>
              </w:rPr>
              <w:t>住</w:t>
            </w:r>
            <w:r>
              <w:rPr>
                <w:rFonts w:ascii="宋体" w:hAnsi="宋体" w:eastAsia="宋体" w:cs="宋体"/>
                <w:spacing w:val="12"/>
                <w:sz w:val="17"/>
                <w:szCs w:val="17"/>
              </w:rPr>
              <w:t>、</w:t>
            </w:r>
            <w:r>
              <w:rPr>
                <w:rFonts w:ascii="宋体" w:hAnsi="宋体" w:eastAsia="宋体" w:cs="宋体"/>
                <w:spacing w:val="8"/>
                <w:sz w:val="17"/>
                <w:szCs w:val="17"/>
              </w:rPr>
              <w:t>医疗卫生、文化教育、科研、行政办公为主要功能</w:t>
            </w:r>
            <w:r>
              <w:rPr>
                <w:rFonts w:ascii="宋体" w:hAnsi="宋体" w:eastAsia="宋体" w:cs="宋体"/>
                <w:sz w:val="17"/>
                <w:szCs w:val="17"/>
              </w:rPr>
              <w:t xml:space="preserve"> </w:t>
            </w:r>
            <w:r>
              <w:rPr>
                <w:rFonts w:ascii="宋体" w:hAnsi="宋体" w:eastAsia="宋体" w:cs="宋体"/>
                <w:spacing w:val="7"/>
                <w:sz w:val="17"/>
                <w:szCs w:val="17"/>
              </w:rPr>
              <w:t>的区域) 的项目；</w:t>
            </w:r>
          </w:p>
          <w:p>
            <w:pPr>
              <w:spacing w:line="230" w:lineRule="auto"/>
              <w:ind w:left="28"/>
              <w:rPr>
                <w:rFonts w:ascii="宋体" w:hAnsi="宋体" w:eastAsia="宋体" w:cs="宋体"/>
                <w:sz w:val="17"/>
                <w:szCs w:val="17"/>
              </w:rPr>
            </w:pPr>
            <w:r>
              <w:rPr>
                <w:rFonts w:ascii="宋体" w:hAnsi="宋体" w:eastAsia="宋体" w:cs="宋体"/>
                <w:spacing w:val="4"/>
                <w:sz w:val="17"/>
                <w:szCs w:val="17"/>
              </w:rPr>
              <w:t>城市</w:t>
            </w:r>
            <w:r>
              <w:rPr>
                <w:rFonts w:ascii="宋体" w:hAnsi="宋体" w:eastAsia="宋体" w:cs="宋体"/>
                <w:spacing w:val="2"/>
                <w:sz w:val="17"/>
                <w:szCs w:val="17"/>
              </w:rPr>
              <w:t>道路(不含维护，不含支路、人行天桥、人行地道)：</w:t>
            </w:r>
          </w:p>
        </w:tc>
        <w:tc>
          <w:tcPr>
            <w:tcW w:w="1329" w:type="dxa"/>
            <w:vAlign w:val="top"/>
          </w:tcPr>
          <w:p>
            <w:pPr>
              <w:spacing w:before="33" w:line="247" w:lineRule="auto"/>
              <w:ind w:left="37" w:right="19"/>
              <w:rPr>
                <w:rFonts w:ascii="宋体" w:hAnsi="宋体" w:eastAsia="宋体" w:cs="宋体"/>
                <w:sz w:val="17"/>
                <w:szCs w:val="17"/>
              </w:rPr>
            </w:pPr>
            <w:r>
              <w:rPr>
                <w:rFonts w:ascii="宋体" w:hAnsi="宋体" w:eastAsia="宋体" w:cs="宋体"/>
                <w:spacing w:val="11"/>
                <w:sz w:val="17"/>
                <w:szCs w:val="17"/>
              </w:rPr>
              <w:t>属于城市道路</w:t>
            </w:r>
            <w:r>
              <w:rPr>
                <w:rFonts w:ascii="宋体" w:hAnsi="宋体" w:eastAsia="宋体" w:cs="宋体"/>
                <w:spacing w:val="9"/>
                <w:sz w:val="17"/>
                <w:szCs w:val="17"/>
              </w:rPr>
              <w:t>，</w:t>
            </w:r>
            <w:r>
              <w:rPr>
                <w:rFonts w:ascii="宋体" w:hAnsi="宋体" w:eastAsia="宋体" w:cs="宋体"/>
                <w:sz w:val="17"/>
                <w:szCs w:val="17"/>
              </w:rPr>
              <w:t xml:space="preserve"> </w:t>
            </w:r>
            <w:r>
              <w:rPr>
                <w:rFonts w:ascii="宋体" w:hAnsi="宋体" w:eastAsia="宋体" w:cs="宋体"/>
                <w:spacing w:val="11"/>
                <w:sz w:val="17"/>
                <w:szCs w:val="17"/>
              </w:rPr>
              <w:t>涉及以居住为</w:t>
            </w:r>
            <w:r>
              <w:rPr>
                <w:rFonts w:ascii="宋体" w:hAnsi="宋体" w:eastAsia="宋体" w:cs="宋体"/>
                <w:spacing w:val="10"/>
                <w:sz w:val="17"/>
                <w:szCs w:val="17"/>
              </w:rPr>
              <w:t>主</w:t>
            </w:r>
            <w:r>
              <w:rPr>
                <w:rFonts w:ascii="宋体" w:hAnsi="宋体" w:eastAsia="宋体" w:cs="宋体"/>
                <w:sz w:val="17"/>
                <w:szCs w:val="17"/>
              </w:rPr>
              <w:t xml:space="preserve"> </w:t>
            </w:r>
            <w:r>
              <w:rPr>
                <w:rFonts w:ascii="宋体" w:hAnsi="宋体" w:eastAsia="宋体" w:cs="宋体"/>
                <w:spacing w:val="11"/>
                <w:sz w:val="17"/>
                <w:szCs w:val="17"/>
              </w:rPr>
              <w:t>要功能区的环</w:t>
            </w:r>
            <w:r>
              <w:rPr>
                <w:rFonts w:ascii="宋体" w:hAnsi="宋体" w:eastAsia="宋体" w:cs="宋体"/>
                <w:spacing w:val="10"/>
                <w:sz w:val="17"/>
                <w:szCs w:val="17"/>
              </w:rPr>
              <w:t>境</w:t>
            </w:r>
            <w:r>
              <w:rPr>
                <w:rFonts w:ascii="宋体" w:hAnsi="宋体" w:eastAsia="宋体" w:cs="宋体"/>
                <w:sz w:val="17"/>
                <w:szCs w:val="17"/>
              </w:rPr>
              <w:t xml:space="preserve"> </w:t>
            </w:r>
            <w:r>
              <w:rPr>
                <w:rFonts w:ascii="宋体" w:hAnsi="宋体" w:eastAsia="宋体" w:cs="宋体"/>
                <w:spacing w:val="7"/>
                <w:sz w:val="17"/>
                <w:szCs w:val="17"/>
              </w:rPr>
              <w:t>敏</w:t>
            </w:r>
            <w:r>
              <w:rPr>
                <w:rFonts w:ascii="宋体" w:hAnsi="宋体" w:eastAsia="宋体" w:cs="宋体"/>
                <w:spacing w:val="5"/>
                <w:sz w:val="17"/>
                <w:szCs w:val="17"/>
              </w:rPr>
              <w:t>感区。</w:t>
            </w:r>
          </w:p>
        </w:tc>
        <w:tc>
          <w:tcPr>
            <w:tcW w:w="671" w:type="dxa"/>
            <w:vAlign w:val="top"/>
          </w:tcPr>
          <w:p>
            <w:pPr>
              <w:spacing w:line="323" w:lineRule="auto"/>
              <w:rPr>
                <w:rFonts w:ascii="Arial"/>
                <w:sz w:val="21"/>
              </w:rPr>
            </w:pPr>
          </w:p>
          <w:p>
            <w:pPr>
              <w:spacing w:before="55" w:line="232" w:lineRule="auto"/>
              <w:ind w:left="167"/>
              <w:rPr>
                <w:rFonts w:ascii="宋体" w:hAnsi="宋体" w:eastAsia="宋体" w:cs="宋体"/>
                <w:sz w:val="17"/>
                <w:szCs w:val="17"/>
              </w:rPr>
            </w:pPr>
            <w:r>
              <w:rPr>
                <w:rFonts w:ascii="宋体" w:hAnsi="宋体" w:eastAsia="宋体" w:cs="宋体"/>
                <w:spacing w:val="5"/>
                <w:sz w:val="17"/>
                <w:szCs w:val="17"/>
                <w14:textOutline w14:w="3268" w14:cap="sq" w14:cmpd="sng">
                  <w14:solidFill>
                    <w14:srgbClr w14:val="000000"/>
                  </w14:solidFill>
                  <w14:prstDash w14:val="solid"/>
                  <w14:bevel/>
                </w14:textOutline>
              </w:rPr>
              <w:t>设置</w:t>
            </w:r>
          </w:p>
        </w:tc>
        <w:tc>
          <w:tcPr>
            <w:tcW w:w="135" w:type="dxa"/>
            <w:vMerge w:val="continue"/>
            <w:tcBorders>
              <w:top w:val="nil"/>
              <w:right w:val="single" w:color="000000" w:sz="6" w:space="0"/>
            </w:tcBorders>
            <w:vAlign w:val="top"/>
          </w:tcPr>
          <w:p>
            <w:pPr>
              <w:rPr>
                <w:rFonts w:ascii="Arial"/>
                <w:sz w:val="21"/>
              </w:rPr>
            </w:pPr>
          </w:p>
        </w:tc>
      </w:tr>
    </w:tbl>
    <w:p>
      <w:pPr>
        <w:rPr>
          <w:rFonts w:ascii="Arial"/>
          <w:sz w:val="21"/>
        </w:rPr>
      </w:pPr>
    </w:p>
    <w:p>
      <w:pPr>
        <w:sectPr>
          <w:headerReference r:id="rId5" w:type="default"/>
          <w:footerReference r:id="rId6" w:type="default"/>
          <w:pgSz w:w="11906" w:h="16839"/>
          <w:pgMar w:top="400" w:right="1434" w:bottom="1475" w:left="1521" w:header="0" w:footer="1315" w:gutter="0"/>
          <w:cols w:space="720" w:num="1"/>
        </w:sectPr>
      </w:pPr>
    </w:p>
    <w:p>
      <w:r>
        <w:pict>
          <v:rect id="_x0000_s1028" o:spid="_x0000_s1028" o:spt="1" style="position:absolute;left:0pt;margin-left:516.55pt;margin-top:81.1pt;height:106.5pt;width:0.5pt;mso-position-horizontal-relative:page;mso-position-vertical-relative:page;z-index:251663360;mso-width-relative:page;mso-height-relative:page;" fillcolor="#000000" filled="t" stroked="f" coordsize="21600,21600" o:allowincell="f">
            <v:path/>
            <v:fill on="t" focussize="0,0"/>
            <v:stroke on="f"/>
            <v:imagedata o:title=""/>
            <o:lock v:ext="edit"/>
          </v:rect>
        </w:pict>
      </w:r>
      <w:r>
        <w:pict>
          <v:rect id="_x0000_s1029" o:spid="_x0000_s1029" o:spt="1" style="position:absolute;left:0pt;margin-left:117.3pt;margin-top:647.4pt;height:109.4pt;width:0.5pt;mso-position-horizontal-relative:page;mso-position-vertical-relative:page;z-index:251661312;mso-width-relative:page;mso-height-relative:page;" fillcolor="#000000" filled="t" stroked="f" coordsize="21600,21600" o:allowincell="f">
            <v:path/>
            <v:fill on="t" focussize="0,0"/>
            <v:stroke on="f"/>
            <v:imagedata o:title=""/>
            <o:lock v:ext="edit"/>
          </v:rect>
        </w:pict>
      </w:r>
      <w:r>
        <w:pict>
          <v:rect id="_x0000_s1030" o:spid="_x0000_s1030" o:spt="1" style="position:absolute;left:0pt;margin-left:517.15pt;margin-top:647.4pt;height:109.4pt;width:0.5pt;mso-position-horizontal-relative:page;mso-position-vertical-relative:page;z-index:251662336;mso-width-relative:page;mso-height-relative:page;" fillcolor="#000000" filled="t" stroked="f" coordsize="21600,21600" o:allowincell="f">
            <v:path/>
            <v:fill on="t" focussize="0,0"/>
            <v:stroke on="f"/>
            <v:imagedata o:title=""/>
            <o:lock v:ext="edit"/>
          </v:rect>
        </w:pict>
      </w:r>
    </w:p>
    <w:p/>
    <w:p/>
    <w:p/>
    <w:p>
      <w:pPr>
        <w:spacing w:line="221" w:lineRule="exact"/>
      </w:pPr>
    </w:p>
    <w:tbl>
      <w:tblPr>
        <w:tblStyle w:val="4"/>
        <w:tblW w:w="893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4"/>
        <w:gridCol w:w="567"/>
        <w:gridCol w:w="407"/>
        <w:gridCol w:w="73"/>
        <w:gridCol w:w="52"/>
        <w:gridCol w:w="646"/>
        <w:gridCol w:w="3137"/>
        <w:gridCol w:w="1204"/>
        <w:gridCol w:w="1329"/>
        <w:gridCol w:w="66"/>
        <w:gridCol w:w="7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1688" w:type="dxa"/>
            <w:gridSpan w:val="3"/>
            <w:tcBorders>
              <w:left w:val="single" w:color="000000" w:sz="6" w:space="0"/>
              <w:bottom w:val="nil"/>
            </w:tcBorders>
            <w:vAlign w:val="top"/>
          </w:tcPr>
          <w:p>
            <w:pPr>
              <w:rPr>
                <w:rFonts w:ascii="Arial"/>
                <w:sz w:val="21"/>
              </w:rPr>
            </w:pPr>
          </w:p>
        </w:tc>
        <w:tc>
          <w:tcPr>
            <w:tcW w:w="125" w:type="dxa"/>
            <w:gridSpan w:val="2"/>
            <w:vMerge w:val="restart"/>
            <w:tcBorders>
              <w:bottom w:val="nil"/>
            </w:tcBorders>
            <w:vAlign w:val="top"/>
          </w:tcPr>
          <w:p>
            <w:pPr>
              <w:rPr>
                <w:rFonts w:ascii="Arial"/>
                <w:sz w:val="21"/>
              </w:rPr>
            </w:pPr>
          </w:p>
        </w:tc>
        <w:tc>
          <w:tcPr>
            <w:tcW w:w="646" w:type="dxa"/>
            <w:vAlign w:val="top"/>
          </w:tcPr>
          <w:p>
            <w:pPr>
              <w:rPr>
                <w:rFonts w:ascii="Arial"/>
                <w:sz w:val="21"/>
              </w:rPr>
            </w:pPr>
          </w:p>
        </w:tc>
        <w:tc>
          <w:tcPr>
            <w:tcW w:w="4341" w:type="dxa"/>
            <w:gridSpan w:val="2"/>
            <w:vAlign w:val="top"/>
          </w:tcPr>
          <w:p>
            <w:pPr>
              <w:spacing w:before="58" w:line="212" w:lineRule="auto"/>
              <w:ind w:left="29"/>
              <w:rPr>
                <w:rFonts w:ascii="宋体" w:hAnsi="宋体" w:eastAsia="宋体" w:cs="宋体"/>
                <w:sz w:val="17"/>
                <w:szCs w:val="17"/>
              </w:rPr>
            </w:pPr>
            <w:r>
              <w:rPr>
                <w:rFonts w:ascii="宋体" w:hAnsi="宋体" w:eastAsia="宋体" w:cs="宋体"/>
                <w:spacing w:val="4"/>
                <w:sz w:val="17"/>
                <w:szCs w:val="17"/>
              </w:rPr>
              <w:t>全部。</w:t>
            </w:r>
          </w:p>
        </w:tc>
        <w:tc>
          <w:tcPr>
            <w:tcW w:w="1329" w:type="dxa"/>
            <w:vAlign w:val="top"/>
          </w:tcPr>
          <w:p>
            <w:pPr>
              <w:rPr>
                <w:rFonts w:ascii="Arial"/>
                <w:sz w:val="21"/>
              </w:rPr>
            </w:pPr>
          </w:p>
        </w:tc>
        <w:tc>
          <w:tcPr>
            <w:tcW w:w="806"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7" w:hRule="atLeast"/>
        </w:trPr>
        <w:tc>
          <w:tcPr>
            <w:tcW w:w="1688" w:type="dxa"/>
            <w:gridSpan w:val="3"/>
            <w:vMerge w:val="restart"/>
            <w:tcBorders>
              <w:top w:val="nil"/>
              <w:left w:val="single" w:color="000000" w:sz="6" w:space="0"/>
              <w:bottom w:val="nil"/>
            </w:tcBorders>
            <w:vAlign w:val="top"/>
          </w:tcPr>
          <w:p>
            <w:pPr>
              <w:spacing w:line="345" w:lineRule="auto"/>
              <w:rPr>
                <w:rFonts w:ascii="Arial"/>
                <w:sz w:val="21"/>
              </w:rPr>
            </w:pPr>
          </w:p>
          <w:p>
            <w:pPr>
              <w:spacing w:line="345" w:lineRule="auto"/>
              <w:rPr>
                <w:rFonts w:ascii="Arial"/>
                <w:sz w:val="21"/>
              </w:rPr>
            </w:pPr>
          </w:p>
          <w:p>
            <w:pPr>
              <w:spacing w:before="65" w:line="271" w:lineRule="exact"/>
              <w:ind w:left="466"/>
              <w:rPr>
                <w:rFonts w:ascii="宋体" w:hAnsi="宋体" w:eastAsia="宋体" w:cs="宋体"/>
                <w:sz w:val="20"/>
                <w:szCs w:val="20"/>
              </w:rPr>
            </w:pPr>
            <w:r>
              <w:rPr>
                <w:rFonts w:ascii="宋体" w:hAnsi="宋体" w:eastAsia="宋体" w:cs="宋体"/>
                <w:spacing w:val="-6"/>
                <w:position w:val="4"/>
                <w:sz w:val="20"/>
                <w:szCs w:val="20"/>
                <w14:textOutline w14:w="3795" w14:cap="sq" w14:cmpd="sng">
                  <w14:solidFill>
                    <w14:srgbClr w14:val="000000"/>
                  </w14:solidFill>
                  <w14:prstDash w14:val="solid"/>
                  <w14:bevel/>
                </w14:textOutline>
              </w:rPr>
              <w:t>专项评价</w:t>
            </w:r>
          </w:p>
          <w:p>
            <w:pPr>
              <w:spacing w:line="228" w:lineRule="auto"/>
              <w:ind w:left="46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设</w:t>
            </w:r>
            <w:r>
              <w:rPr>
                <w:rFonts w:ascii="宋体" w:hAnsi="宋体" w:eastAsia="宋体" w:cs="宋体"/>
                <w:spacing w:val="-6"/>
                <w:sz w:val="20"/>
                <w:szCs w:val="20"/>
                <w14:textOutline w14:w="3795" w14:cap="sq" w14:cmpd="sng">
                  <w14:solidFill>
                    <w14:srgbClr w14:val="000000"/>
                  </w14:solidFill>
                  <w14:prstDash w14:val="solid"/>
                  <w14:bevel/>
                </w14:textOutline>
              </w:rPr>
              <w:t>置情况</w:t>
            </w:r>
          </w:p>
        </w:tc>
        <w:tc>
          <w:tcPr>
            <w:tcW w:w="125" w:type="dxa"/>
            <w:gridSpan w:val="2"/>
            <w:vMerge w:val="continue"/>
            <w:tcBorders>
              <w:top w:val="nil"/>
              <w:bottom w:val="nil"/>
            </w:tcBorders>
            <w:vAlign w:val="top"/>
          </w:tcPr>
          <w:p>
            <w:pPr>
              <w:rPr>
                <w:rFonts w:ascii="Arial"/>
                <w:sz w:val="21"/>
              </w:rPr>
            </w:pPr>
          </w:p>
        </w:tc>
        <w:tc>
          <w:tcPr>
            <w:tcW w:w="646" w:type="dxa"/>
            <w:vAlign w:val="top"/>
          </w:tcPr>
          <w:p>
            <w:pPr>
              <w:spacing w:line="335" w:lineRule="auto"/>
              <w:rPr>
                <w:rFonts w:ascii="Arial"/>
                <w:sz w:val="21"/>
              </w:rPr>
            </w:pPr>
          </w:p>
          <w:p>
            <w:pPr>
              <w:spacing w:before="55" w:line="268" w:lineRule="auto"/>
              <w:ind w:left="242" w:right="54" w:hanging="189"/>
              <w:rPr>
                <w:rFonts w:ascii="宋体" w:hAnsi="宋体" w:eastAsia="宋体" w:cs="宋体"/>
                <w:sz w:val="17"/>
                <w:szCs w:val="17"/>
              </w:rPr>
            </w:pPr>
            <w:r>
              <w:rPr>
                <w:rFonts w:ascii="宋体" w:hAnsi="宋体" w:eastAsia="宋体" w:cs="宋体"/>
                <w:spacing w:val="8"/>
                <w:sz w:val="17"/>
                <w:szCs w:val="17"/>
              </w:rPr>
              <w:t>环</w:t>
            </w:r>
            <w:r>
              <w:rPr>
                <w:rFonts w:ascii="宋体" w:hAnsi="宋体" w:eastAsia="宋体" w:cs="宋体"/>
                <w:spacing w:val="7"/>
                <w:sz w:val="17"/>
                <w:szCs w:val="17"/>
              </w:rPr>
              <w:t>境风</w:t>
            </w:r>
            <w:r>
              <w:rPr>
                <w:rFonts w:ascii="宋体" w:hAnsi="宋体" w:eastAsia="宋体" w:cs="宋体"/>
                <w:sz w:val="17"/>
                <w:szCs w:val="17"/>
              </w:rPr>
              <w:t xml:space="preserve"> 险</w:t>
            </w:r>
          </w:p>
        </w:tc>
        <w:tc>
          <w:tcPr>
            <w:tcW w:w="4341" w:type="dxa"/>
            <w:gridSpan w:val="2"/>
            <w:vAlign w:val="top"/>
          </w:tcPr>
          <w:p>
            <w:pPr>
              <w:spacing w:before="42" w:line="229" w:lineRule="auto"/>
              <w:ind w:left="30"/>
              <w:rPr>
                <w:rFonts w:ascii="宋体" w:hAnsi="宋体" w:eastAsia="宋体" w:cs="宋体"/>
                <w:sz w:val="17"/>
                <w:szCs w:val="17"/>
              </w:rPr>
            </w:pPr>
            <w:r>
              <w:rPr>
                <w:rFonts w:ascii="宋体" w:hAnsi="宋体" w:eastAsia="宋体" w:cs="宋体"/>
                <w:spacing w:val="14"/>
                <w:sz w:val="17"/>
                <w:szCs w:val="17"/>
              </w:rPr>
              <w:t>石</w:t>
            </w:r>
            <w:r>
              <w:rPr>
                <w:rFonts w:ascii="宋体" w:hAnsi="宋体" w:eastAsia="宋体" w:cs="宋体"/>
                <w:spacing w:val="8"/>
                <w:sz w:val="17"/>
                <w:szCs w:val="17"/>
              </w:rPr>
              <w:t>油和天然气开采：全部；</w:t>
            </w:r>
          </w:p>
          <w:p>
            <w:pPr>
              <w:spacing w:before="21" w:line="232" w:lineRule="auto"/>
              <w:ind w:left="32"/>
              <w:rPr>
                <w:rFonts w:ascii="宋体" w:hAnsi="宋体" w:eastAsia="宋体" w:cs="宋体"/>
                <w:sz w:val="17"/>
                <w:szCs w:val="17"/>
              </w:rPr>
            </w:pPr>
            <w:r>
              <w:rPr>
                <w:rFonts w:ascii="宋体" w:hAnsi="宋体" w:eastAsia="宋体" w:cs="宋体"/>
                <w:spacing w:val="14"/>
                <w:sz w:val="17"/>
                <w:szCs w:val="17"/>
              </w:rPr>
              <w:t>油</w:t>
            </w:r>
            <w:r>
              <w:rPr>
                <w:rFonts w:ascii="宋体" w:hAnsi="宋体" w:eastAsia="宋体" w:cs="宋体"/>
                <w:spacing w:val="8"/>
                <w:sz w:val="17"/>
                <w:szCs w:val="17"/>
              </w:rPr>
              <w:t>气、液体化工码头：全部；</w:t>
            </w:r>
          </w:p>
          <w:p>
            <w:pPr>
              <w:spacing w:before="18" w:line="246" w:lineRule="auto"/>
              <w:ind w:left="28" w:right="22" w:firstLine="5"/>
              <w:rPr>
                <w:rFonts w:ascii="宋体" w:hAnsi="宋体" w:eastAsia="宋体" w:cs="宋体"/>
                <w:sz w:val="17"/>
                <w:szCs w:val="17"/>
              </w:rPr>
            </w:pPr>
            <w:r>
              <w:rPr>
                <w:rFonts w:ascii="宋体" w:hAnsi="宋体" w:eastAsia="宋体" w:cs="宋体"/>
                <w:spacing w:val="8"/>
                <w:sz w:val="17"/>
                <w:szCs w:val="17"/>
              </w:rPr>
              <w:t>原油、成品油、天然气管线 (不含城镇天然气管线、</w:t>
            </w:r>
            <w:r>
              <w:rPr>
                <w:rFonts w:ascii="宋体" w:hAnsi="宋体" w:eastAsia="宋体" w:cs="宋体"/>
                <w:spacing w:val="7"/>
                <w:sz w:val="17"/>
                <w:szCs w:val="17"/>
              </w:rPr>
              <w:t>企</w:t>
            </w:r>
            <w:r>
              <w:rPr>
                <w:rFonts w:ascii="宋体" w:hAnsi="宋体" w:eastAsia="宋体" w:cs="宋体"/>
                <w:sz w:val="17"/>
                <w:szCs w:val="17"/>
              </w:rPr>
              <w:t xml:space="preserve"> </w:t>
            </w:r>
            <w:r>
              <w:rPr>
                <w:rFonts w:ascii="宋体" w:hAnsi="宋体" w:eastAsia="宋体" w:cs="宋体"/>
                <w:spacing w:val="8"/>
                <w:sz w:val="17"/>
                <w:szCs w:val="17"/>
              </w:rPr>
              <w:t>业厂区内管线) ，危险化学品输送管线 (不含企业厂</w:t>
            </w:r>
            <w:r>
              <w:rPr>
                <w:rFonts w:ascii="宋体" w:hAnsi="宋体" w:eastAsia="宋体" w:cs="宋体"/>
                <w:spacing w:val="4"/>
                <w:sz w:val="17"/>
                <w:szCs w:val="17"/>
              </w:rPr>
              <w:t>区</w:t>
            </w:r>
            <w:r>
              <w:rPr>
                <w:rFonts w:ascii="宋体" w:hAnsi="宋体" w:eastAsia="宋体" w:cs="宋体"/>
                <w:sz w:val="17"/>
                <w:szCs w:val="17"/>
              </w:rPr>
              <w:t xml:space="preserve"> </w:t>
            </w:r>
            <w:r>
              <w:rPr>
                <w:rFonts w:ascii="宋体" w:hAnsi="宋体" w:eastAsia="宋体" w:cs="宋体"/>
                <w:spacing w:val="8"/>
                <w:sz w:val="17"/>
                <w:szCs w:val="17"/>
              </w:rPr>
              <w:t>内管线) ：全</w:t>
            </w:r>
            <w:r>
              <w:rPr>
                <w:rFonts w:ascii="宋体" w:hAnsi="宋体" w:eastAsia="宋体" w:cs="宋体"/>
                <w:spacing w:val="7"/>
                <w:sz w:val="17"/>
                <w:szCs w:val="17"/>
              </w:rPr>
              <w:t>部</w:t>
            </w:r>
          </w:p>
        </w:tc>
        <w:tc>
          <w:tcPr>
            <w:tcW w:w="1329" w:type="dxa"/>
            <w:vAlign w:val="top"/>
          </w:tcPr>
          <w:p>
            <w:pPr>
              <w:spacing w:line="450" w:lineRule="auto"/>
              <w:rPr>
                <w:rFonts w:ascii="Arial"/>
                <w:sz w:val="21"/>
              </w:rPr>
            </w:pPr>
          </w:p>
          <w:p>
            <w:pPr>
              <w:spacing w:before="55" w:line="231" w:lineRule="auto"/>
              <w:ind w:left="47"/>
              <w:rPr>
                <w:rFonts w:ascii="宋体" w:hAnsi="宋体" w:eastAsia="宋体" w:cs="宋体"/>
                <w:sz w:val="17"/>
                <w:szCs w:val="17"/>
              </w:rPr>
            </w:pPr>
            <w:r>
              <w:rPr>
                <w:rFonts w:ascii="宋体" w:hAnsi="宋体" w:eastAsia="宋体" w:cs="宋体"/>
                <w:spacing w:val="12"/>
                <w:sz w:val="17"/>
                <w:szCs w:val="17"/>
              </w:rPr>
              <w:t>不</w:t>
            </w:r>
            <w:r>
              <w:rPr>
                <w:rFonts w:ascii="宋体" w:hAnsi="宋体" w:eastAsia="宋体" w:cs="宋体"/>
                <w:spacing w:val="8"/>
                <w:sz w:val="17"/>
                <w:szCs w:val="17"/>
              </w:rPr>
              <w:t>属于所列行业</w:t>
            </w:r>
          </w:p>
        </w:tc>
        <w:tc>
          <w:tcPr>
            <w:tcW w:w="806" w:type="dxa"/>
            <w:gridSpan w:val="2"/>
            <w:tcBorders>
              <w:right w:val="single" w:color="000000" w:sz="6" w:space="0"/>
            </w:tcBorders>
            <w:vAlign w:val="top"/>
          </w:tcPr>
          <w:p>
            <w:pPr>
              <w:spacing w:line="449" w:lineRule="auto"/>
              <w:rPr>
                <w:rFonts w:ascii="Arial"/>
                <w:sz w:val="21"/>
              </w:rPr>
            </w:pPr>
          </w:p>
          <w:p>
            <w:pPr>
              <w:spacing w:before="56" w:line="232" w:lineRule="auto"/>
              <w:ind w:left="79"/>
              <w:rPr>
                <w:rFonts w:ascii="宋体" w:hAnsi="宋体" w:eastAsia="宋体" w:cs="宋体"/>
                <w:sz w:val="17"/>
                <w:szCs w:val="17"/>
              </w:rPr>
            </w:pPr>
            <w:r>
              <w:rPr>
                <w:rFonts w:ascii="宋体" w:hAnsi="宋体" w:eastAsia="宋体" w:cs="宋体"/>
                <w:spacing w:val="8"/>
                <w:sz w:val="17"/>
                <w:szCs w:val="17"/>
              </w:rPr>
              <w:t>不</w:t>
            </w:r>
            <w:r>
              <w:rPr>
                <w:rFonts w:ascii="宋体" w:hAnsi="宋体" w:eastAsia="宋体" w:cs="宋体"/>
                <w:spacing w:val="6"/>
                <w:sz w:val="17"/>
                <w:szCs w:val="17"/>
              </w:rPr>
              <w:t>设置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07" w:hRule="atLeast"/>
        </w:trPr>
        <w:tc>
          <w:tcPr>
            <w:tcW w:w="1688" w:type="dxa"/>
            <w:gridSpan w:val="3"/>
            <w:vMerge w:val="continue"/>
            <w:tcBorders>
              <w:top w:val="nil"/>
              <w:left w:val="single" w:color="000000" w:sz="6" w:space="0"/>
            </w:tcBorders>
            <w:vAlign w:val="top"/>
          </w:tcPr>
          <w:p>
            <w:pPr>
              <w:rPr>
                <w:rFonts w:ascii="Arial"/>
                <w:sz w:val="21"/>
              </w:rPr>
            </w:pPr>
          </w:p>
        </w:tc>
        <w:tc>
          <w:tcPr>
            <w:tcW w:w="125" w:type="dxa"/>
            <w:gridSpan w:val="2"/>
            <w:vMerge w:val="continue"/>
            <w:tcBorders>
              <w:top w:val="nil"/>
            </w:tcBorders>
            <w:vAlign w:val="top"/>
          </w:tcPr>
          <w:p>
            <w:pPr>
              <w:rPr>
                <w:rFonts w:ascii="Arial"/>
                <w:sz w:val="21"/>
              </w:rPr>
            </w:pPr>
          </w:p>
        </w:tc>
        <w:tc>
          <w:tcPr>
            <w:tcW w:w="7122" w:type="dxa"/>
            <w:gridSpan w:val="6"/>
            <w:tcBorders>
              <w:right w:val="single" w:color="000000" w:sz="6" w:space="0"/>
            </w:tcBorders>
            <w:vAlign w:val="top"/>
          </w:tcPr>
          <w:p>
            <w:pPr>
              <w:spacing w:before="27" w:line="245" w:lineRule="auto"/>
              <w:ind w:left="29" w:right="71" w:hanging="2"/>
              <w:rPr>
                <w:rFonts w:ascii="宋体" w:hAnsi="宋体" w:eastAsia="宋体" w:cs="宋体"/>
                <w:sz w:val="17"/>
                <w:szCs w:val="17"/>
              </w:rPr>
            </w:pPr>
            <w:r>
              <w:rPr>
                <w:rFonts w:ascii="宋体" w:hAnsi="宋体" w:eastAsia="宋体" w:cs="宋体"/>
                <w:spacing w:val="10"/>
                <w:sz w:val="17"/>
                <w:szCs w:val="17"/>
              </w:rPr>
              <w:t>注</w:t>
            </w:r>
            <w:r>
              <w:rPr>
                <w:rFonts w:ascii="宋体" w:hAnsi="宋体" w:eastAsia="宋体" w:cs="宋体"/>
                <w:spacing w:val="7"/>
                <w:sz w:val="17"/>
                <w:szCs w:val="17"/>
              </w:rPr>
              <w:t>：</w:t>
            </w:r>
            <w:r>
              <w:rPr>
                <w:rFonts w:ascii="Times New Roman" w:hAnsi="Times New Roman" w:eastAsia="Times New Roman" w:cs="Times New Roman"/>
                <w:spacing w:val="5"/>
                <w:sz w:val="17"/>
                <w:szCs w:val="17"/>
              </w:rPr>
              <w:t>“</w:t>
            </w:r>
            <w:r>
              <w:rPr>
                <w:rFonts w:ascii="宋体" w:hAnsi="宋体" w:eastAsia="宋体" w:cs="宋体"/>
                <w:spacing w:val="5"/>
                <w:sz w:val="17"/>
                <w:szCs w:val="17"/>
              </w:rPr>
              <w:t>涉及环境敏感区</w:t>
            </w:r>
            <w:r>
              <w:rPr>
                <w:rFonts w:ascii="Times New Roman" w:hAnsi="Times New Roman" w:eastAsia="Times New Roman" w:cs="Times New Roman"/>
                <w:spacing w:val="5"/>
                <w:sz w:val="17"/>
                <w:szCs w:val="17"/>
              </w:rPr>
              <w:t>”</w:t>
            </w:r>
            <w:r>
              <w:rPr>
                <w:rFonts w:ascii="宋体" w:hAnsi="宋体" w:eastAsia="宋体" w:cs="宋体"/>
                <w:spacing w:val="5"/>
                <w:sz w:val="17"/>
                <w:szCs w:val="17"/>
              </w:rPr>
              <w:t>是指建设项目位于、穿 (跨) 越 (无害化通过的除外) 环境敏感区，</w:t>
            </w:r>
            <w:r>
              <w:rPr>
                <w:rFonts w:ascii="宋体" w:hAnsi="宋体" w:eastAsia="宋体" w:cs="宋体"/>
                <w:sz w:val="17"/>
                <w:szCs w:val="17"/>
              </w:rPr>
              <w:t xml:space="preserve"> </w:t>
            </w:r>
            <w:r>
              <w:rPr>
                <w:rFonts w:ascii="宋体" w:hAnsi="宋体" w:eastAsia="宋体" w:cs="宋体"/>
                <w:spacing w:val="10"/>
                <w:sz w:val="17"/>
                <w:szCs w:val="17"/>
              </w:rPr>
              <w:t>或环</w:t>
            </w:r>
            <w:r>
              <w:rPr>
                <w:rFonts w:ascii="宋体" w:hAnsi="宋体" w:eastAsia="宋体" w:cs="宋体"/>
                <w:spacing w:val="5"/>
                <w:sz w:val="17"/>
                <w:szCs w:val="17"/>
              </w:rPr>
              <w:t>境影响范围涵盖环境敏感区。环境敏感区是指《建设项目环境影响评价分类管理名录》</w:t>
            </w:r>
            <w:r>
              <w:rPr>
                <w:rFonts w:ascii="宋体" w:hAnsi="宋体" w:eastAsia="宋体" w:cs="宋体"/>
                <w:sz w:val="17"/>
                <w:szCs w:val="17"/>
              </w:rPr>
              <w:t xml:space="preserve"> </w:t>
            </w:r>
            <w:r>
              <w:rPr>
                <w:rFonts w:ascii="宋体" w:hAnsi="宋体" w:eastAsia="宋体" w:cs="宋体"/>
                <w:spacing w:val="16"/>
                <w:sz w:val="17"/>
                <w:szCs w:val="17"/>
              </w:rPr>
              <w:t>中</w:t>
            </w:r>
            <w:r>
              <w:rPr>
                <w:rFonts w:ascii="宋体" w:hAnsi="宋体" w:eastAsia="宋体" w:cs="宋体"/>
                <w:spacing w:val="8"/>
                <w:sz w:val="17"/>
                <w:szCs w:val="17"/>
              </w:rPr>
              <w:t>针对该类项目所列的敏感区。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8" w:hRule="atLeast"/>
        </w:trPr>
        <w:tc>
          <w:tcPr>
            <w:tcW w:w="714" w:type="dxa"/>
            <w:tcBorders>
              <w:left w:val="single" w:color="000000" w:sz="6" w:space="0"/>
            </w:tcBorders>
            <w:vAlign w:val="top"/>
          </w:tcPr>
          <w:p>
            <w:pPr>
              <w:spacing w:line="257" w:lineRule="auto"/>
              <w:rPr>
                <w:rFonts w:ascii="Arial"/>
                <w:sz w:val="21"/>
              </w:rPr>
            </w:pPr>
          </w:p>
          <w:p>
            <w:pPr>
              <w:spacing w:line="258" w:lineRule="auto"/>
              <w:rPr>
                <w:rFonts w:ascii="Arial"/>
                <w:sz w:val="21"/>
              </w:rPr>
            </w:pPr>
          </w:p>
          <w:p>
            <w:pPr>
              <w:spacing w:before="65" w:line="265" w:lineRule="auto"/>
              <w:ind w:left="251" w:right="41" w:hanging="212"/>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规</w:t>
            </w:r>
            <w:r>
              <w:rPr>
                <w:rFonts w:ascii="宋体" w:hAnsi="宋体" w:eastAsia="宋体" w:cs="宋体"/>
                <w:spacing w:val="7"/>
                <w:sz w:val="20"/>
                <w:szCs w:val="20"/>
                <w14:textOutline w14:w="3795" w14:cap="sq" w14:cmpd="sng">
                  <w14:solidFill>
                    <w14:srgbClr w14:val="000000"/>
                  </w14:solidFill>
                  <w14:prstDash w14:val="solid"/>
                  <w14:bevel/>
                </w14:textOutline>
              </w:rPr>
              <w:t>划情</w:t>
            </w:r>
            <w:r>
              <w:rPr>
                <w:rFonts w:ascii="宋体" w:hAnsi="宋体" w:eastAsia="宋体" w:cs="宋体"/>
                <w:sz w:val="20"/>
                <w:szCs w:val="20"/>
              </w:rPr>
              <w:t xml:space="preserve"> </w:t>
            </w:r>
            <w:r>
              <w:rPr>
                <w:rFonts w:ascii="宋体" w:hAnsi="宋体" w:eastAsia="宋体" w:cs="宋体"/>
                <w:sz w:val="20"/>
                <w:szCs w:val="20"/>
                <w14:textOutline w14:w="3795" w14:cap="sq" w14:cmpd="sng">
                  <w14:solidFill>
                    <w14:srgbClr w14:val="000000"/>
                  </w14:solidFill>
                  <w14:prstDash w14:val="solid"/>
                  <w14:bevel/>
                </w14:textOutline>
              </w:rPr>
              <w:t>况</w:t>
            </w:r>
          </w:p>
        </w:tc>
        <w:tc>
          <w:tcPr>
            <w:tcW w:w="8221" w:type="dxa"/>
            <w:gridSpan w:val="10"/>
            <w:tcBorders>
              <w:right w:val="single" w:color="000000" w:sz="6" w:space="0"/>
            </w:tcBorders>
            <w:vAlign w:val="top"/>
          </w:tcPr>
          <w:p>
            <w:pPr>
              <w:spacing w:before="163" w:line="401" w:lineRule="exact"/>
              <w:ind w:left="48"/>
              <w:rPr>
                <w:rFonts w:ascii="宋体" w:hAnsi="宋体" w:eastAsia="宋体" w:cs="宋体"/>
                <w:sz w:val="20"/>
                <w:szCs w:val="20"/>
              </w:rPr>
            </w:pPr>
            <w:r>
              <w:rPr>
                <w:rFonts w:ascii="宋体" w:hAnsi="宋体" w:eastAsia="宋体" w:cs="宋体"/>
                <w:spacing w:val="9"/>
                <w:position w:val="14"/>
                <w:sz w:val="20"/>
                <w:szCs w:val="20"/>
                <w14:textOutline w14:w="3795" w14:cap="sq" w14:cmpd="sng">
                  <w14:solidFill>
                    <w14:srgbClr w14:val="000000"/>
                  </w14:solidFill>
                  <w14:prstDash w14:val="solid"/>
                  <w14:bevel/>
                </w14:textOutline>
              </w:rPr>
              <w:t>规划名称</w:t>
            </w:r>
            <w:r>
              <w:rPr>
                <w:rFonts w:ascii="宋体" w:hAnsi="宋体" w:eastAsia="宋体" w:cs="宋体"/>
                <w:spacing w:val="9"/>
                <w:position w:val="14"/>
                <w:sz w:val="20"/>
                <w:szCs w:val="20"/>
              </w:rPr>
              <w:t>：达州市</w:t>
            </w:r>
            <w:r>
              <w:rPr>
                <w:rFonts w:ascii="Times New Roman" w:hAnsi="Times New Roman" w:eastAsia="Times New Roman" w:cs="Times New Roman"/>
                <w:spacing w:val="9"/>
                <w:position w:val="14"/>
                <w:sz w:val="20"/>
                <w:szCs w:val="20"/>
              </w:rPr>
              <w:t>“</w:t>
            </w:r>
            <w:r>
              <w:rPr>
                <w:rFonts w:ascii="宋体" w:hAnsi="宋体" w:eastAsia="宋体" w:cs="宋体"/>
                <w:spacing w:val="9"/>
                <w:position w:val="14"/>
                <w:sz w:val="20"/>
                <w:szCs w:val="20"/>
              </w:rPr>
              <w:t>十四五</w:t>
            </w:r>
            <w:r>
              <w:rPr>
                <w:rFonts w:ascii="Times New Roman" w:hAnsi="Times New Roman" w:eastAsia="Times New Roman" w:cs="Times New Roman"/>
                <w:spacing w:val="9"/>
                <w:position w:val="14"/>
                <w:sz w:val="20"/>
                <w:szCs w:val="20"/>
              </w:rPr>
              <w:t>”</w:t>
            </w:r>
            <w:r>
              <w:rPr>
                <w:rFonts w:ascii="宋体" w:hAnsi="宋体" w:eastAsia="宋体" w:cs="宋体"/>
                <w:spacing w:val="9"/>
                <w:position w:val="14"/>
                <w:sz w:val="20"/>
                <w:szCs w:val="20"/>
              </w:rPr>
              <w:t>交通运输发展规划</w:t>
            </w:r>
          </w:p>
          <w:p>
            <w:pPr>
              <w:spacing w:line="226" w:lineRule="auto"/>
              <w:ind w:left="58"/>
              <w:rPr>
                <w:rFonts w:ascii="宋体" w:hAnsi="宋体" w:eastAsia="宋体" w:cs="宋体"/>
                <w:sz w:val="20"/>
                <w:szCs w:val="20"/>
              </w:rPr>
            </w:pPr>
            <w:r>
              <w:rPr>
                <w:rFonts w:ascii="宋体" w:hAnsi="宋体" w:eastAsia="宋体" w:cs="宋体"/>
                <w:spacing w:val="13"/>
                <w:sz w:val="20"/>
                <w:szCs w:val="20"/>
                <w14:textOutline w14:w="3795" w14:cap="sq" w14:cmpd="sng">
                  <w14:solidFill>
                    <w14:srgbClr w14:val="000000"/>
                  </w14:solidFill>
                  <w14:prstDash w14:val="solid"/>
                  <w14:bevel/>
                </w14:textOutline>
              </w:rPr>
              <w:t>审</w:t>
            </w:r>
            <w:r>
              <w:rPr>
                <w:rFonts w:ascii="宋体" w:hAnsi="宋体" w:eastAsia="宋体" w:cs="宋体"/>
                <w:spacing w:val="8"/>
                <w:sz w:val="20"/>
                <w:szCs w:val="20"/>
                <w14:textOutline w14:w="3795" w14:cap="sq" w14:cmpd="sng">
                  <w14:solidFill>
                    <w14:srgbClr w14:val="000000"/>
                  </w14:solidFill>
                  <w14:prstDash w14:val="solid"/>
                  <w14:bevel/>
                </w14:textOutline>
              </w:rPr>
              <w:t>批机关</w:t>
            </w:r>
            <w:r>
              <w:rPr>
                <w:rFonts w:ascii="宋体" w:hAnsi="宋体" w:eastAsia="宋体" w:cs="宋体"/>
                <w:spacing w:val="8"/>
                <w:sz w:val="20"/>
                <w:szCs w:val="20"/>
              </w:rPr>
              <w:t>：达州市人民政府</w:t>
            </w:r>
          </w:p>
          <w:p>
            <w:pPr>
              <w:spacing w:before="154" w:line="228" w:lineRule="auto"/>
              <w:ind w:left="58"/>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审</w:t>
            </w:r>
            <w:r>
              <w:rPr>
                <w:rFonts w:ascii="宋体" w:hAnsi="宋体" w:eastAsia="宋体" w:cs="宋体"/>
                <w:spacing w:val="5"/>
                <w:sz w:val="20"/>
                <w:szCs w:val="20"/>
                <w14:textOutline w14:w="3795" w14:cap="sq" w14:cmpd="sng">
                  <w14:solidFill>
                    <w14:srgbClr w14:val="000000"/>
                  </w14:solidFill>
                  <w14:prstDash w14:val="solid"/>
                  <w14:bevel/>
                </w14:textOutline>
              </w:rPr>
              <w:t>批文件名称及文号</w:t>
            </w:r>
            <w:r>
              <w:rPr>
                <w:rFonts w:ascii="宋体" w:hAnsi="宋体" w:eastAsia="宋体" w:cs="宋体"/>
                <w:spacing w:val="5"/>
                <w:sz w:val="20"/>
                <w:szCs w:val="20"/>
              </w:rPr>
              <w:t>：《关于印发达州市“十四五”综合交通运输发展规划的通知》  (达</w:t>
            </w:r>
          </w:p>
          <w:p>
            <w:pPr>
              <w:spacing w:before="151" w:line="227" w:lineRule="auto"/>
              <w:ind w:left="53"/>
              <w:rPr>
                <w:rFonts w:ascii="宋体" w:hAnsi="宋体" w:eastAsia="宋体" w:cs="宋体"/>
                <w:sz w:val="20"/>
                <w:szCs w:val="20"/>
              </w:rPr>
            </w:pPr>
            <w:r>
              <w:rPr>
                <w:rFonts w:ascii="宋体" w:hAnsi="宋体" w:eastAsia="宋体" w:cs="宋体"/>
                <w:spacing w:val="10"/>
                <w:sz w:val="20"/>
                <w:szCs w:val="20"/>
              </w:rPr>
              <w:t>市府</w:t>
            </w:r>
            <w:r>
              <w:rPr>
                <w:rFonts w:ascii="宋体" w:hAnsi="宋体" w:eastAsia="宋体" w:cs="宋体"/>
                <w:spacing w:val="5"/>
                <w:sz w:val="20"/>
                <w:szCs w:val="20"/>
              </w:rPr>
              <w:t>发〔</w:t>
            </w:r>
            <w:r>
              <w:rPr>
                <w:rFonts w:ascii="Times New Roman" w:hAnsi="Times New Roman" w:eastAsia="Times New Roman" w:cs="Times New Roman"/>
                <w:spacing w:val="5"/>
                <w:sz w:val="20"/>
                <w:szCs w:val="20"/>
              </w:rPr>
              <w:t>2022</w:t>
            </w:r>
            <w:r>
              <w:rPr>
                <w:rFonts w:ascii="宋体" w:hAnsi="宋体" w:eastAsia="宋体" w:cs="宋体"/>
                <w:spacing w:val="5"/>
                <w:sz w:val="20"/>
                <w:szCs w:val="20"/>
              </w:rPr>
              <w:t>〕</w:t>
            </w:r>
            <w:r>
              <w:rPr>
                <w:rFonts w:ascii="Times New Roman" w:hAnsi="Times New Roman" w:eastAsia="Times New Roman" w:cs="Times New Roman"/>
                <w:spacing w:val="5"/>
                <w:sz w:val="20"/>
                <w:szCs w:val="20"/>
              </w:rPr>
              <w:t>15</w:t>
            </w:r>
            <w:r>
              <w:rPr>
                <w:rFonts w:ascii="宋体" w:hAnsi="宋体" w:eastAsia="宋体" w:cs="宋体"/>
                <w:spacing w:val="5"/>
                <w:sz w:val="20"/>
                <w:szCs w:val="20"/>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0" w:hRule="atLeast"/>
        </w:trPr>
        <w:tc>
          <w:tcPr>
            <w:tcW w:w="714" w:type="dxa"/>
            <w:tcBorders>
              <w:left w:val="single" w:color="000000" w:sz="6" w:space="0"/>
            </w:tcBorders>
            <w:vAlign w:val="top"/>
          </w:tcPr>
          <w:p>
            <w:pPr>
              <w:spacing w:before="303" w:line="230"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规</w:t>
            </w:r>
            <w:r>
              <w:rPr>
                <w:rFonts w:ascii="宋体" w:hAnsi="宋体" w:eastAsia="宋体" w:cs="宋体"/>
                <w:spacing w:val="7"/>
                <w:sz w:val="20"/>
                <w:szCs w:val="20"/>
                <w14:textOutline w14:w="3795" w14:cap="sq" w14:cmpd="sng">
                  <w14:solidFill>
                    <w14:srgbClr w14:val="000000"/>
                  </w14:solidFill>
                  <w14:prstDash w14:val="solid"/>
                  <w14:bevel/>
                </w14:textOutline>
              </w:rPr>
              <w:t>划环</w:t>
            </w:r>
          </w:p>
          <w:p>
            <w:pPr>
              <w:spacing w:before="22" w:line="228"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境</w:t>
            </w:r>
            <w:r>
              <w:rPr>
                <w:rFonts w:ascii="宋体" w:hAnsi="宋体" w:eastAsia="宋体" w:cs="宋体"/>
                <w:spacing w:val="7"/>
                <w:sz w:val="20"/>
                <w:szCs w:val="20"/>
                <w14:textOutline w14:w="3795" w14:cap="sq" w14:cmpd="sng">
                  <w14:solidFill>
                    <w14:srgbClr w14:val="000000"/>
                  </w14:solidFill>
                  <w14:prstDash w14:val="solid"/>
                  <w14:bevel/>
                </w14:textOutline>
              </w:rPr>
              <w:t>影响</w:t>
            </w:r>
          </w:p>
          <w:p>
            <w:pPr>
              <w:spacing w:before="24" w:line="226" w:lineRule="auto"/>
              <w:ind w:left="38"/>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评价情</w:t>
            </w:r>
          </w:p>
          <w:p>
            <w:pPr>
              <w:spacing w:before="28" w:line="228" w:lineRule="auto"/>
              <w:ind w:left="251"/>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况</w:t>
            </w:r>
          </w:p>
        </w:tc>
        <w:tc>
          <w:tcPr>
            <w:tcW w:w="8221" w:type="dxa"/>
            <w:gridSpan w:val="10"/>
            <w:tcBorders>
              <w:right w:val="single" w:color="000000" w:sz="6" w:space="0"/>
            </w:tcBorders>
            <w:vAlign w:val="top"/>
          </w:tcPr>
          <w:p>
            <w:pPr>
              <w:spacing w:before="157" w:line="226" w:lineRule="auto"/>
              <w:ind w:left="48"/>
              <w:rPr>
                <w:rFonts w:ascii="宋体" w:hAnsi="宋体" w:eastAsia="宋体" w:cs="宋体"/>
                <w:sz w:val="20"/>
                <w:szCs w:val="20"/>
              </w:rPr>
            </w:pPr>
            <w:r>
              <w:rPr>
                <w:rFonts w:ascii="宋体" w:hAnsi="宋体" w:eastAsia="宋体" w:cs="宋体"/>
                <w:spacing w:val="17"/>
                <w:sz w:val="20"/>
                <w:szCs w:val="20"/>
                <w14:textOutline w14:w="3795" w14:cap="sq" w14:cmpd="sng">
                  <w14:solidFill>
                    <w14:srgbClr w14:val="000000"/>
                  </w14:solidFill>
                  <w14:prstDash w14:val="solid"/>
                  <w14:bevel/>
                </w14:textOutline>
              </w:rPr>
              <w:t>规</w:t>
            </w:r>
            <w:r>
              <w:rPr>
                <w:rFonts w:ascii="宋体" w:hAnsi="宋体" w:eastAsia="宋体" w:cs="宋体"/>
                <w:spacing w:val="9"/>
                <w:sz w:val="20"/>
                <w:szCs w:val="20"/>
                <w14:textOutline w14:w="3795" w14:cap="sq" w14:cmpd="sng">
                  <w14:solidFill>
                    <w14:srgbClr w14:val="000000"/>
                  </w14:solidFill>
                  <w14:prstDash w14:val="solid"/>
                  <w14:bevel/>
                </w14:textOutline>
              </w:rPr>
              <w:t>划环评名称</w:t>
            </w:r>
            <w:r>
              <w:rPr>
                <w:rFonts w:ascii="宋体" w:hAnsi="宋体" w:eastAsia="宋体" w:cs="宋体"/>
                <w:spacing w:val="9"/>
                <w:sz w:val="20"/>
                <w:szCs w:val="20"/>
              </w:rPr>
              <w:t>：《达州市</w:t>
            </w:r>
            <w:r>
              <w:rPr>
                <w:rFonts w:ascii="Times New Roman" w:hAnsi="Times New Roman" w:eastAsia="Times New Roman" w:cs="Times New Roman"/>
                <w:spacing w:val="9"/>
                <w:sz w:val="20"/>
                <w:szCs w:val="20"/>
              </w:rPr>
              <w:t>“</w:t>
            </w:r>
            <w:r>
              <w:rPr>
                <w:rFonts w:ascii="宋体" w:hAnsi="宋体" w:eastAsia="宋体" w:cs="宋体"/>
                <w:spacing w:val="9"/>
                <w:sz w:val="20"/>
                <w:szCs w:val="20"/>
              </w:rPr>
              <w:t>十四五</w:t>
            </w:r>
            <w:r>
              <w:rPr>
                <w:rFonts w:ascii="Times New Roman" w:hAnsi="Times New Roman" w:eastAsia="Times New Roman" w:cs="Times New Roman"/>
                <w:spacing w:val="9"/>
                <w:sz w:val="20"/>
                <w:szCs w:val="20"/>
              </w:rPr>
              <w:t>”</w:t>
            </w:r>
            <w:r>
              <w:rPr>
                <w:rFonts w:ascii="宋体" w:hAnsi="宋体" w:eastAsia="宋体" w:cs="宋体"/>
                <w:spacing w:val="9"/>
                <w:sz w:val="20"/>
                <w:szCs w:val="20"/>
              </w:rPr>
              <w:t>综合交通运输发展规划环境影响报告书》</w:t>
            </w:r>
          </w:p>
          <w:p>
            <w:pPr>
              <w:spacing w:before="155" w:line="227" w:lineRule="auto"/>
              <w:ind w:left="55"/>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召集审查机关</w:t>
            </w:r>
            <w:r>
              <w:rPr>
                <w:rFonts w:ascii="宋体" w:hAnsi="宋体" w:eastAsia="宋体" w:cs="宋体"/>
                <w:spacing w:val="9"/>
                <w:sz w:val="20"/>
                <w:szCs w:val="20"/>
              </w:rPr>
              <w:t>：达州市生态环境局</w:t>
            </w:r>
          </w:p>
          <w:p>
            <w:pPr>
              <w:spacing w:before="152" w:line="401" w:lineRule="exact"/>
              <w:ind w:left="58"/>
              <w:rPr>
                <w:rFonts w:ascii="宋体" w:hAnsi="宋体" w:eastAsia="宋体" w:cs="宋体"/>
                <w:sz w:val="20"/>
                <w:szCs w:val="20"/>
              </w:rPr>
            </w:pPr>
            <w:r>
              <w:rPr>
                <w:rFonts w:ascii="宋体" w:hAnsi="宋体" w:eastAsia="宋体" w:cs="宋体"/>
                <w:spacing w:val="16"/>
                <w:position w:val="14"/>
                <w:sz w:val="20"/>
                <w:szCs w:val="20"/>
                <w14:textOutline w14:w="3795" w14:cap="sq" w14:cmpd="sng">
                  <w14:solidFill>
                    <w14:srgbClr w14:val="000000"/>
                  </w14:solidFill>
                  <w14:prstDash w14:val="solid"/>
                  <w14:bevel/>
                </w14:textOutline>
              </w:rPr>
              <w:t>审查文</w:t>
            </w:r>
            <w:r>
              <w:rPr>
                <w:rFonts w:ascii="宋体" w:hAnsi="宋体" w:eastAsia="宋体" w:cs="宋体"/>
                <w:spacing w:val="12"/>
                <w:position w:val="14"/>
                <w:sz w:val="20"/>
                <w:szCs w:val="20"/>
                <w14:textOutline w14:w="3795" w14:cap="sq" w14:cmpd="sng">
                  <w14:solidFill>
                    <w14:srgbClr w14:val="000000"/>
                  </w14:solidFill>
                  <w14:prstDash w14:val="solid"/>
                  <w14:bevel/>
                </w14:textOutline>
              </w:rPr>
              <w:t>件</w:t>
            </w:r>
            <w:r>
              <w:rPr>
                <w:rFonts w:ascii="宋体" w:hAnsi="宋体" w:eastAsia="宋体" w:cs="宋体"/>
                <w:spacing w:val="8"/>
                <w:position w:val="14"/>
                <w:sz w:val="20"/>
                <w:szCs w:val="20"/>
                <w14:textOutline w14:w="3795" w14:cap="sq" w14:cmpd="sng">
                  <w14:solidFill>
                    <w14:srgbClr w14:val="000000"/>
                  </w14:solidFill>
                  <w14:prstDash w14:val="solid"/>
                  <w14:bevel/>
                </w14:textOutline>
              </w:rPr>
              <w:t>名称及文号</w:t>
            </w:r>
            <w:r>
              <w:rPr>
                <w:rFonts w:ascii="宋体" w:hAnsi="宋体" w:eastAsia="宋体" w:cs="宋体"/>
                <w:spacing w:val="8"/>
                <w:position w:val="14"/>
                <w:sz w:val="20"/>
                <w:szCs w:val="20"/>
              </w:rPr>
              <w:t>：关于《达州市</w:t>
            </w:r>
            <w:r>
              <w:rPr>
                <w:rFonts w:ascii="Times New Roman" w:hAnsi="Times New Roman" w:eastAsia="Times New Roman" w:cs="Times New Roman"/>
                <w:spacing w:val="8"/>
                <w:position w:val="14"/>
                <w:sz w:val="20"/>
                <w:szCs w:val="20"/>
              </w:rPr>
              <w:t>“</w:t>
            </w:r>
            <w:r>
              <w:rPr>
                <w:rFonts w:ascii="宋体" w:hAnsi="宋体" w:eastAsia="宋体" w:cs="宋体"/>
                <w:spacing w:val="8"/>
                <w:position w:val="14"/>
                <w:sz w:val="20"/>
                <w:szCs w:val="20"/>
              </w:rPr>
              <w:t>十四五</w:t>
            </w:r>
            <w:r>
              <w:rPr>
                <w:rFonts w:ascii="Times New Roman" w:hAnsi="Times New Roman" w:eastAsia="Times New Roman" w:cs="Times New Roman"/>
                <w:spacing w:val="8"/>
                <w:position w:val="14"/>
                <w:sz w:val="20"/>
                <w:szCs w:val="20"/>
              </w:rPr>
              <w:t>”</w:t>
            </w:r>
            <w:r>
              <w:rPr>
                <w:rFonts w:ascii="宋体" w:hAnsi="宋体" w:eastAsia="宋体" w:cs="宋体"/>
                <w:spacing w:val="8"/>
                <w:position w:val="14"/>
                <w:sz w:val="20"/>
                <w:szCs w:val="20"/>
              </w:rPr>
              <w:t>综合交通运输发展规划环境影响报告书》的</w:t>
            </w:r>
          </w:p>
          <w:p>
            <w:pPr>
              <w:spacing w:line="227" w:lineRule="auto"/>
              <w:ind w:left="58"/>
              <w:rPr>
                <w:rFonts w:ascii="宋体" w:hAnsi="宋体" w:eastAsia="宋体" w:cs="宋体"/>
                <w:sz w:val="20"/>
                <w:szCs w:val="20"/>
              </w:rPr>
            </w:pPr>
            <w:r>
              <w:rPr>
                <w:rFonts w:ascii="宋体" w:hAnsi="宋体" w:eastAsia="宋体" w:cs="宋体"/>
                <w:spacing w:val="12"/>
                <w:sz w:val="20"/>
                <w:szCs w:val="20"/>
              </w:rPr>
              <w:t>审</w:t>
            </w:r>
            <w:r>
              <w:rPr>
                <w:rFonts w:ascii="宋体" w:hAnsi="宋体" w:eastAsia="宋体" w:cs="宋体"/>
                <w:spacing w:val="9"/>
                <w:sz w:val="20"/>
                <w:szCs w:val="20"/>
              </w:rPr>
              <w:t>查</w:t>
            </w:r>
            <w:r>
              <w:rPr>
                <w:rFonts w:ascii="宋体" w:hAnsi="宋体" w:eastAsia="宋体" w:cs="宋体"/>
                <w:spacing w:val="6"/>
                <w:sz w:val="20"/>
                <w:szCs w:val="20"/>
              </w:rPr>
              <w:t>意见 (达市环函〔</w:t>
            </w:r>
            <w:r>
              <w:rPr>
                <w:rFonts w:ascii="Times New Roman" w:hAnsi="Times New Roman" w:eastAsia="Times New Roman" w:cs="Times New Roman"/>
                <w:spacing w:val="6"/>
                <w:sz w:val="20"/>
                <w:szCs w:val="20"/>
              </w:rPr>
              <w:t>2021</w:t>
            </w:r>
            <w:r>
              <w:rPr>
                <w:rFonts w:ascii="宋体" w:hAnsi="宋体" w:eastAsia="宋体" w:cs="宋体"/>
                <w:spacing w:val="6"/>
                <w:sz w:val="20"/>
                <w:szCs w:val="20"/>
              </w:rPr>
              <w:t>〕</w:t>
            </w:r>
            <w:r>
              <w:rPr>
                <w:rFonts w:ascii="Times New Roman" w:hAnsi="Times New Roman" w:eastAsia="Times New Roman" w:cs="Times New Roman"/>
                <w:spacing w:val="6"/>
                <w:sz w:val="20"/>
                <w:szCs w:val="20"/>
              </w:rPr>
              <w:t>216</w:t>
            </w:r>
            <w:r>
              <w:rPr>
                <w:rFonts w:ascii="宋体" w:hAnsi="宋体" w:eastAsia="宋体" w:cs="宋体"/>
                <w:spacing w:val="6"/>
                <w:sz w:val="20"/>
                <w:szCs w:val="20"/>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5" w:hRule="atLeast"/>
        </w:trPr>
        <w:tc>
          <w:tcPr>
            <w:tcW w:w="714" w:type="dxa"/>
            <w:vMerge w:val="restart"/>
            <w:tcBorders>
              <w:left w:val="single" w:color="000000" w:sz="6" w:space="0"/>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5" w:line="230"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规</w:t>
            </w:r>
            <w:r>
              <w:rPr>
                <w:rFonts w:ascii="宋体" w:hAnsi="宋体" w:eastAsia="宋体" w:cs="宋体"/>
                <w:spacing w:val="7"/>
                <w:sz w:val="20"/>
                <w:szCs w:val="20"/>
                <w14:textOutline w14:w="3795" w14:cap="sq" w14:cmpd="sng">
                  <w14:solidFill>
                    <w14:srgbClr w14:val="000000"/>
                  </w14:solidFill>
                  <w14:prstDash w14:val="solid"/>
                  <w14:bevel/>
                </w14:textOutline>
              </w:rPr>
              <w:t>划及</w:t>
            </w:r>
          </w:p>
          <w:p>
            <w:pPr>
              <w:spacing w:before="22" w:line="230"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规</w:t>
            </w:r>
            <w:r>
              <w:rPr>
                <w:rFonts w:ascii="宋体" w:hAnsi="宋体" w:eastAsia="宋体" w:cs="宋体"/>
                <w:spacing w:val="7"/>
                <w:sz w:val="20"/>
                <w:szCs w:val="20"/>
                <w14:textOutline w14:w="3795" w14:cap="sq" w14:cmpd="sng">
                  <w14:solidFill>
                    <w14:srgbClr w14:val="000000"/>
                  </w14:solidFill>
                  <w14:prstDash w14:val="solid"/>
                  <w14:bevel/>
                </w14:textOutline>
              </w:rPr>
              <w:t>划环</w:t>
            </w:r>
          </w:p>
          <w:p>
            <w:pPr>
              <w:spacing w:before="22" w:line="228"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境</w:t>
            </w:r>
            <w:r>
              <w:rPr>
                <w:rFonts w:ascii="宋体" w:hAnsi="宋体" w:eastAsia="宋体" w:cs="宋体"/>
                <w:spacing w:val="7"/>
                <w:sz w:val="20"/>
                <w:szCs w:val="20"/>
                <w14:textOutline w14:w="3795" w14:cap="sq" w14:cmpd="sng">
                  <w14:solidFill>
                    <w14:srgbClr w14:val="000000"/>
                  </w14:solidFill>
                  <w14:prstDash w14:val="solid"/>
                  <w14:bevel/>
                </w14:textOutline>
              </w:rPr>
              <w:t>影响</w:t>
            </w:r>
          </w:p>
          <w:p>
            <w:pPr>
              <w:spacing w:before="26" w:line="226" w:lineRule="auto"/>
              <w:ind w:left="38"/>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评价符</w:t>
            </w:r>
          </w:p>
          <w:p>
            <w:pPr>
              <w:spacing w:before="26" w:line="228"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合</w:t>
            </w:r>
            <w:r>
              <w:rPr>
                <w:rFonts w:ascii="宋体" w:hAnsi="宋体" w:eastAsia="宋体" w:cs="宋体"/>
                <w:spacing w:val="7"/>
                <w:sz w:val="20"/>
                <w:szCs w:val="20"/>
                <w14:textOutline w14:w="3795" w14:cap="sq" w14:cmpd="sng">
                  <w14:solidFill>
                    <w14:srgbClr w14:val="000000"/>
                  </w14:solidFill>
                  <w14:prstDash w14:val="solid"/>
                  <w14:bevel/>
                </w14:textOutline>
              </w:rPr>
              <w:t>性分</w:t>
            </w:r>
          </w:p>
          <w:p>
            <w:pPr>
              <w:spacing w:before="27" w:line="228" w:lineRule="auto"/>
              <w:ind w:left="251"/>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析</w:t>
            </w:r>
          </w:p>
        </w:tc>
        <w:tc>
          <w:tcPr>
            <w:tcW w:w="8221" w:type="dxa"/>
            <w:gridSpan w:val="10"/>
            <w:tcBorders>
              <w:right w:val="single" w:color="000000" w:sz="6" w:space="0"/>
            </w:tcBorders>
            <w:vAlign w:val="top"/>
          </w:tcPr>
          <w:p>
            <w:pPr>
              <w:spacing w:before="194" w:line="234" w:lineRule="auto"/>
              <w:ind w:left="65"/>
              <w:rPr>
                <w:rFonts w:ascii="黑体" w:hAnsi="黑体" w:eastAsia="黑体" w:cs="黑体"/>
                <w:sz w:val="22"/>
                <w:szCs w:val="22"/>
              </w:rPr>
            </w:pPr>
            <w:r>
              <w:rPr>
                <w:rFonts w:ascii="Times New Roman" w:hAnsi="Times New Roman" w:eastAsia="Times New Roman" w:cs="Times New Roman"/>
                <w:spacing w:val="-8"/>
                <w:sz w:val="22"/>
                <w:szCs w:val="22"/>
              </w:rPr>
              <w:t xml:space="preserve">1 </w:t>
            </w:r>
            <w:r>
              <w:rPr>
                <w:rFonts w:ascii="黑体" w:hAnsi="黑体" w:eastAsia="黑体" w:cs="黑体"/>
                <w:spacing w:val="-8"/>
                <w:sz w:val="22"/>
                <w:szCs w:val="22"/>
              </w:rPr>
              <w:t>、规划符合性分</w:t>
            </w:r>
            <w:r>
              <w:rPr>
                <w:rFonts w:ascii="黑体" w:hAnsi="黑体" w:eastAsia="黑体" w:cs="黑体"/>
                <w:spacing w:val="-7"/>
                <w:sz w:val="22"/>
                <w:szCs w:val="22"/>
              </w:rPr>
              <w:t>析</w:t>
            </w:r>
          </w:p>
          <w:p>
            <w:pPr>
              <w:spacing w:before="130" w:line="369" w:lineRule="auto"/>
              <w:ind w:left="46" w:right="17" w:firstLine="426"/>
              <w:rPr>
                <w:rFonts w:ascii="宋体" w:hAnsi="宋体" w:eastAsia="宋体" w:cs="宋体"/>
                <w:sz w:val="20"/>
                <w:szCs w:val="20"/>
              </w:rPr>
            </w:pPr>
            <w:r>
              <w:rPr>
                <w:rFonts w:ascii="宋体" w:hAnsi="宋体" w:eastAsia="宋体" w:cs="宋体"/>
                <w:spacing w:val="16"/>
                <w:sz w:val="20"/>
                <w:szCs w:val="20"/>
              </w:rPr>
              <w:t>《达州</w:t>
            </w:r>
            <w:r>
              <w:rPr>
                <w:rFonts w:ascii="宋体" w:hAnsi="宋体" w:eastAsia="宋体" w:cs="宋体"/>
                <w:spacing w:val="8"/>
                <w:sz w:val="20"/>
                <w:szCs w:val="20"/>
              </w:rPr>
              <w:t>市“十四五”交通运输发展规划》中提出，加快建成“货畅秦巴、物通四海、</w:t>
            </w:r>
            <w:r>
              <w:rPr>
                <w:rFonts w:ascii="宋体" w:hAnsi="宋体" w:eastAsia="宋体" w:cs="宋体"/>
                <w:sz w:val="20"/>
                <w:szCs w:val="20"/>
              </w:rPr>
              <w:t xml:space="preserve"> </w:t>
            </w:r>
            <w:r>
              <w:rPr>
                <w:rFonts w:ascii="宋体" w:hAnsi="宋体" w:eastAsia="宋体" w:cs="宋体"/>
                <w:spacing w:val="16"/>
                <w:sz w:val="20"/>
                <w:szCs w:val="20"/>
              </w:rPr>
              <w:t>誉达八方</w:t>
            </w:r>
            <w:r>
              <w:rPr>
                <w:rFonts w:ascii="宋体" w:hAnsi="宋体" w:eastAsia="宋体" w:cs="宋体"/>
                <w:spacing w:val="9"/>
                <w:sz w:val="20"/>
                <w:szCs w:val="20"/>
              </w:rPr>
              <w:t>”</w:t>
            </w:r>
            <w:r>
              <w:rPr>
                <w:rFonts w:ascii="宋体" w:hAnsi="宋体" w:eastAsia="宋体" w:cs="宋体"/>
                <w:spacing w:val="8"/>
                <w:sz w:val="20"/>
                <w:szCs w:val="20"/>
              </w:rPr>
              <w:t xml:space="preserve">的交通物流中心。到 </w:t>
            </w:r>
            <w:r>
              <w:rPr>
                <w:rFonts w:ascii="Times New Roman" w:hAnsi="Times New Roman" w:eastAsia="Times New Roman" w:cs="Times New Roman"/>
                <w:spacing w:val="8"/>
                <w:sz w:val="20"/>
                <w:szCs w:val="20"/>
              </w:rPr>
              <w:t xml:space="preserve">2025 </w:t>
            </w:r>
            <w:r>
              <w:rPr>
                <w:rFonts w:ascii="宋体" w:hAnsi="宋体" w:eastAsia="宋体" w:cs="宋体"/>
                <w:spacing w:val="8"/>
                <w:sz w:val="20"/>
                <w:szCs w:val="20"/>
              </w:rPr>
              <w:t>年，建成四川东出北上综合交通枢纽，形成畅达东</w:t>
            </w:r>
            <w:r>
              <w:rPr>
                <w:rFonts w:ascii="宋体" w:hAnsi="宋体" w:eastAsia="宋体" w:cs="宋体"/>
                <w:sz w:val="20"/>
                <w:szCs w:val="20"/>
              </w:rPr>
              <w:t xml:space="preserve"> </w:t>
            </w:r>
            <w:r>
              <w:rPr>
                <w:rFonts w:ascii="宋体" w:hAnsi="宋体" w:eastAsia="宋体" w:cs="宋体"/>
                <w:spacing w:val="16"/>
                <w:sz w:val="20"/>
                <w:szCs w:val="20"/>
              </w:rPr>
              <w:t>西</w:t>
            </w:r>
            <w:r>
              <w:rPr>
                <w:rFonts w:ascii="宋体" w:hAnsi="宋体" w:eastAsia="宋体" w:cs="宋体"/>
                <w:spacing w:val="9"/>
                <w:sz w:val="20"/>
                <w:szCs w:val="20"/>
              </w:rPr>
              <w:t>、</w:t>
            </w:r>
            <w:r>
              <w:rPr>
                <w:rFonts w:ascii="宋体" w:hAnsi="宋体" w:eastAsia="宋体" w:cs="宋体"/>
                <w:spacing w:val="8"/>
                <w:sz w:val="20"/>
                <w:szCs w:val="20"/>
              </w:rPr>
              <w:t>贯通南北的综合交通走廊和四向通达的对外经济走廊，基本形成“人悦其行、货优其</w:t>
            </w:r>
            <w:r>
              <w:rPr>
                <w:rFonts w:ascii="宋体" w:hAnsi="宋体" w:eastAsia="宋体" w:cs="宋体"/>
                <w:sz w:val="20"/>
                <w:szCs w:val="20"/>
              </w:rPr>
              <w:t xml:space="preserve"> </w:t>
            </w:r>
            <w:r>
              <w:rPr>
                <w:rFonts w:ascii="宋体" w:hAnsi="宋体" w:eastAsia="宋体" w:cs="宋体"/>
                <w:spacing w:val="10"/>
                <w:sz w:val="20"/>
                <w:szCs w:val="20"/>
              </w:rPr>
              <w:t>流”的运输</w:t>
            </w:r>
            <w:r>
              <w:rPr>
                <w:rFonts w:ascii="宋体" w:hAnsi="宋体" w:eastAsia="宋体" w:cs="宋体"/>
                <w:spacing w:val="9"/>
                <w:sz w:val="20"/>
                <w:szCs w:val="20"/>
              </w:rPr>
              <w:t>服</w:t>
            </w:r>
            <w:r>
              <w:rPr>
                <w:rFonts w:ascii="宋体" w:hAnsi="宋体" w:eastAsia="宋体" w:cs="宋体"/>
                <w:spacing w:val="5"/>
                <w:sz w:val="20"/>
                <w:szCs w:val="20"/>
              </w:rPr>
              <w:t xml:space="preserve">务网络，实现市域 </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 xml:space="preserve">小时覆盖、万达开 </w:t>
            </w:r>
            <w:r>
              <w:rPr>
                <w:rFonts w:ascii="Times New Roman" w:hAnsi="Times New Roman" w:eastAsia="Times New Roman" w:cs="Times New Roman"/>
                <w:spacing w:val="5"/>
                <w:sz w:val="20"/>
                <w:szCs w:val="20"/>
              </w:rPr>
              <w:t xml:space="preserve">1.5  </w:t>
            </w:r>
            <w:r>
              <w:rPr>
                <w:rFonts w:ascii="宋体" w:hAnsi="宋体" w:eastAsia="宋体" w:cs="宋体"/>
                <w:spacing w:val="5"/>
                <w:sz w:val="20"/>
                <w:szCs w:val="20"/>
              </w:rPr>
              <w:t xml:space="preserve">小时互通、成渝双核 </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小时畅</w:t>
            </w:r>
            <w:r>
              <w:rPr>
                <w:rFonts w:ascii="宋体" w:hAnsi="宋体" w:eastAsia="宋体" w:cs="宋体"/>
                <w:sz w:val="20"/>
                <w:szCs w:val="20"/>
              </w:rPr>
              <w:t xml:space="preserve"> </w:t>
            </w:r>
            <w:r>
              <w:rPr>
                <w:rFonts w:ascii="宋体" w:hAnsi="宋体" w:eastAsia="宋体" w:cs="宋体"/>
                <w:spacing w:val="14"/>
                <w:sz w:val="20"/>
                <w:szCs w:val="20"/>
              </w:rPr>
              <w:t>达</w:t>
            </w:r>
            <w:r>
              <w:rPr>
                <w:rFonts w:ascii="宋体" w:hAnsi="宋体" w:eastAsia="宋体" w:cs="宋体"/>
                <w:spacing w:val="11"/>
                <w:sz w:val="20"/>
                <w:szCs w:val="20"/>
              </w:rPr>
              <w:t>、</w:t>
            </w:r>
            <w:r>
              <w:rPr>
                <w:rFonts w:ascii="宋体" w:hAnsi="宋体" w:eastAsia="宋体" w:cs="宋体"/>
                <w:spacing w:val="7"/>
                <w:sz w:val="20"/>
                <w:szCs w:val="20"/>
              </w:rPr>
              <w:t xml:space="preserve">国内主要经济节点城市 </w:t>
            </w: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小时通达，交通强市建设走在全省前列。</w:t>
            </w:r>
          </w:p>
          <w:p>
            <w:pPr>
              <w:spacing w:line="226" w:lineRule="auto"/>
              <w:ind w:left="468"/>
              <w:rPr>
                <w:rFonts w:ascii="宋体" w:hAnsi="宋体" w:eastAsia="宋体" w:cs="宋体"/>
                <w:sz w:val="20"/>
                <w:szCs w:val="20"/>
              </w:rPr>
            </w:pPr>
            <w:r>
              <w:rPr>
                <w:rFonts w:ascii="宋体" w:hAnsi="宋体" w:eastAsia="宋体" w:cs="宋体"/>
                <w:spacing w:val="9"/>
                <w:sz w:val="20"/>
                <w:szCs w:val="20"/>
              </w:rPr>
              <w:t>本</w:t>
            </w:r>
            <w:r>
              <w:rPr>
                <w:rFonts w:ascii="宋体" w:hAnsi="宋体" w:eastAsia="宋体" w:cs="宋体"/>
                <w:spacing w:val="8"/>
                <w:sz w:val="20"/>
                <w:szCs w:val="20"/>
              </w:rPr>
              <w:t>项目为连接高家坝片区和张家坝片区的桥梁工程，建成后将完善两个区域的交通路</w:t>
            </w:r>
          </w:p>
          <w:p>
            <w:pPr>
              <w:spacing w:before="154" w:line="233" w:lineRule="auto"/>
              <w:ind w:left="63"/>
              <w:rPr>
                <w:rFonts w:ascii="宋体" w:hAnsi="宋体" w:eastAsia="宋体" w:cs="宋体"/>
                <w:sz w:val="20"/>
                <w:szCs w:val="20"/>
              </w:rPr>
            </w:pPr>
            <w:r>
              <w:rPr>
                <w:rFonts w:ascii="宋体" w:hAnsi="宋体" w:eastAsia="宋体" w:cs="宋体"/>
                <w:spacing w:val="12"/>
                <w:sz w:val="20"/>
                <w:szCs w:val="20"/>
              </w:rPr>
              <w:t>网</w:t>
            </w:r>
            <w:r>
              <w:rPr>
                <w:rFonts w:ascii="宋体" w:hAnsi="宋体" w:eastAsia="宋体" w:cs="宋体"/>
                <w:spacing w:val="7"/>
                <w:sz w:val="20"/>
                <w:szCs w:val="20"/>
              </w:rPr>
              <w:t>，</w:t>
            </w:r>
            <w:r>
              <w:rPr>
                <w:rFonts w:ascii="宋体" w:hAnsi="宋体" w:eastAsia="宋体" w:cs="宋体"/>
                <w:spacing w:val="6"/>
                <w:sz w:val="20"/>
                <w:szCs w:val="20"/>
              </w:rPr>
              <w:t>促进区域经济发展。</w:t>
            </w:r>
          </w:p>
          <w:p>
            <w:pPr>
              <w:spacing w:before="139" w:line="234" w:lineRule="auto"/>
              <w:ind w:left="44"/>
              <w:rPr>
                <w:rFonts w:ascii="黑体" w:hAnsi="黑体" w:eastAsia="黑体" w:cs="黑体"/>
                <w:sz w:val="22"/>
                <w:szCs w:val="22"/>
              </w:rPr>
            </w:pPr>
            <w:r>
              <w:rPr>
                <w:rFonts w:ascii="Times New Roman" w:hAnsi="Times New Roman" w:eastAsia="Times New Roman" w:cs="Times New Roman"/>
                <w:spacing w:val="-6"/>
                <w:sz w:val="22"/>
                <w:szCs w:val="22"/>
              </w:rPr>
              <w:t xml:space="preserve">2 </w:t>
            </w:r>
            <w:r>
              <w:rPr>
                <w:rFonts w:ascii="黑体" w:hAnsi="黑体" w:eastAsia="黑体" w:cs="黑体"/>
                <w:spacing w:val="-3"/>
                <w:sz w:val="22"/>
                <w:szCs w:val="22"/>
              </w:rPr>
              <w:t>、与规划环评及批复的符合性分析</w:t>
            </w:r>
          </w:p>
          <w:p>
            <w:pPr>
              <w:tabs>
                <w:tab w:val="left" w:pos="156"/>
              </w:tabs>
              <w:spacing w:before="128" w:line="369" w:lineRule="auto"/>
              <w:ind w:left="1" w:firstLine="460"/>
              <w:rPr>
                <w:rFonts w:ascii="宋体" w:hAnsi="宋体" w:eastAsia="宋体" w:cs="宋体"/>
                <w:sz w:val="20"/>
                <w:szCs w:val="20"/>
              </w:rPr>
            </w:pPr>
            <w:r>
              <w:rPr>
                <w:rFonts w:ascii="Times New Roman" w:hAnsi="Times New Roman" w:eastAsia="Times New Roman" w:cs="Times New Roman"/>
                <w:spacing w:val="12"/>
                <w:sz w:val="20"/>
                <w:szCs w:val="20"/>
              </w:rPr>
              <w:t>202</w:t>
            </w:r>
            <w:r>
              <w:rPr>
                <w:rFonts w:ascii="Times New Roman" w:hAnsi="Times New Roman" w:eastAsia="Times New Roman" w:cs="Times New Roman"/>
                <w:spacing w:val="11"/>
                <w:sz w:val="20"/>
                <w:szCs w:val="20"/>
              </w:rPr>
              <w:t>1</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 xml:space="preserve">年 </w:t>
            </w:r>
            <w:r>
              <w:rPr>
                <w:rFonts w:ascii="Times New Roman" w:hAnsi="Times New Roman" w:eastAsia="Times New Roman" w:cs="Times New Roman"/>
                <w:spacing w:val="6"/>
                <w:sz w:val="20"/>
                <w:szCs w:val="20"/>
              </w:rPr>
              <w:t xml:space="preserve">10 </w:t>
            </w:r>
            <w:r>
              <w:rPr>
                <w:rFonts w:ascii="宋体" w:hAnsi="宋体" w:eastAsia="宋体" w:cs="宋体"/>
                <w:spacing w:val="6"/>
                <w:sz w:val="20"/>
                <w:szCs w:val="20"/>
              </w:rPr>
              <w:t>月，达州市交通运输局委托四川蓉创鼎锋环境科技有限公司编制《达州市</w:t>
            </w:r>
            <w:r>
              <w:rPr>
                <w:rFonts w:ascii="宋体" w:hAnsi="宋体" w:eastAsia="宋体" w:cs="宋体"/>
                <w:sz w:val="20"/>
                <w:szCs w:val="20"/>
              </w:rPr>
              <w:t xml:space="preserve"> </w:t>
            </w:r>
            <w:r>
              <w:rPr>
                <w:rFonts w:ascii="Times New Roman" w:hAnsi="Times New Roman" w:eastAsia="Times New Roman" w:cs="Times New Roman"/>
                <w:spacing w:val="12"/>
                <w:sz w:val="20"/>
                <w:szCs w:val="20"/>
              </w:rPr>
              <w:t>“</w:t>
            </w:r>
            <w:r>
              <w:rPr>
                <w:rFonts w:ascii="宋体" w:hAnsi="宋体" w:eastAsia="宋体" w:cs="宋体"/>
                <w:spacing w:val="12"/>
                <w:sz w:val="20"/>
                <w:szCs w:val="20"/>
              </w:rPr>
              <w:t>十四</w:t>
            </w:r>
            <w:r>
              <w:rPr>
                <w:rFonts w:ascii="宋体" w:hAnsi="宋体" w:eastAsia="宋体" w:cs="宋体"/>
                <w:spacing w:val="11"/>
                <w:sz w:val="20"/>
                <w:szCs w:val="20"/>
              </w:rPr>
              <w:t>五</w:t>
            </w:r>
            <w:r>
              <w:rPr>
                <w:rFonts w:ascii="Times New Roman" w:hAnsi="Times New Roman" w:eastAsia="Times New Roman" w:cs="Times New Roman"/>
                <w:spacing w:val="6"/>
                <w:sz w:val="20"/>
                <w:szCs w:val="20"/>
              </w:rPr>
              <w:t>”</w:t>
            </w:r>
            <w:r>
              <w:rPr>
                <w:rFonts w:ascii="宋体" w:hAnsi="宋体" w:eastAsia="宋体" w:cs="宋体"/>
                <w:spacing w:val="6"/>
                <w:sz w:val="20"/>
                <w:szCs w:val="20"/>
              </w:rPr>
              <w:t>综合交通运输发展规划环境影响报告书》，</w:t>
            </w:r>
            <w:r>
              <w:rPr>
                <w:rFonts w:ascii="Times New Roman" w:hAnsi="Times New Roman" w:eastAsia="Times New Roman" w:cs="Times New Roman"/>
                <w:spacing w:val="6"/>
                <w:sz w:val="20"/>
                <w:szCs w:val="20"/>
              </w:rPr>
              <w:t xml:space="preserve">2021 </w:t>
            </w:r>
            <w:r>
              <w:rPr>
                <w:rFonts w:ascii="宋体" w:hAnsi="宋体" w:eastAsia="宋体" w:cs="宋体"/>
                <w:spacing w:val="6"/>
                <w:sz w:val="20"/>
                <w:szCs w:val="20"/>
              </w:rPr>
              <w:t xml:space="preserve">年 </w:t>
            </w:r>
            <w:r>
              <w:rPr>
                <w:rFonts w:ascii="Times New Roman" w:hAnsi="Times New Roman" w:eastAsia="Times New Roman" w:cs="Times New Roman"/>
                <w:spacing w:val="6"/>
                <w:sz w:val="20"/>
                <w:szCs w:val="20"/>
              </w:rPr>
              <w:t xml:space="preserve">11 </w:t>
            </w:r>
            <w:r>
              <w:rPr>
                <w:rFonts w:ascii="宋体" w:hAnsi="宋体" w:eastAsia="宋体" w:cs="宋体"/>
                <w:spacing w:val="6"/>
                <w:sz w:val="20"/>
                <w:szCs w:val="20"/>
              </w:rPr>
              <w:t xml:space="preserve">月 </w:t>
            </w: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日，达州市生态环境</w:t>
            </w:r>
            <w:r>
              <w:rPr>
                <w:rFonts w:ascii="宋体" w:hAnsi="宋体" w:eastAsia="宋体" w:cs="宋体"/>
                <w:sz w:val="20"/>
                <w:szCs w:val="20"/>
              </w:rPr>
              <w:t xml:space="preserve"> </w:t>
            </w:r>
            <w:r>
              <w:rPr>
                <w:rFonts w:ascii="宋体" w:hAnsi="宋体" w:eastAsia="宋体" w:cs="宋体"/>
                <w:spacing w:val="18"/>
                <w:sz w:val="20"/>
                <w:szCs w:val="20"/>
              </w:rPr>
              <w:t>局印</w:t>
            </w:r>
            <w:r>
              <w:rPr>
                <w:rFonts w:ascii="宋体" w:hAnsi="宋体" w:eastAsia="宋体" w:cs="宋体"/>
                <w:spacing w:val="14"/>
                <w:sz w:val="20"/>
                <w:szCs w:val="20"/>
              </w:rPr>
              <w:t>发</w:t>
            </w:r>
            <w:r>
              <w:rPr>
                <w:rFonts w:ascii="宋体" w:hAnsi="宋体" w:eastAsia="宋体" w:cs="宋体"/>
                <w:spacing w:val="9"/>
                <w:sz w:val="20"/>
                <w:szCs w:val="20"/>
              </w:rPr>
              <w:t>了《关于</w:t>
            </w:r>
            <w:r>
              <w:rPr>
                <w:rFonts w:ascii="Times New Roman" w:hAnsi="Times New Roman" w:eastAsia="Times New Roman" w:cs="Times New Roman"/>
                <w:spacing w:val="9"/>
                <w:sz w:val="20"/>
                <w:szCs w:val="20"/>
              </w:rPr>
              <w:t>&lt;</w:t>
            </w:r>
            <w:r>
              <w:rPr>
                <w:rFonts w:ascii="宋体" w:hAnsi="宋体" w:eastAsia="宋体" w:cs="宋体"/>
                <w:spacing w:val="9"/>
                <w:sz w:val="20"/>
                <w:szCs w:val="20"/>
              </w:rPr>
              <w:t>达州市“十四五”综合交通运输发展规划环境影响报告书</w:t>
            </w:r>
            <w:r>
              <w:rPr>
                <w:rFonts w:ascii="Times New Roman" w:hAnsi="Times New Roman" w:eastAsia="Times New Roman" w:cs="Times New Roman"/>
                <w:spacing w:val="9"/>
                <w:sz w:val="20"/>
                <w:szCs w:val="20"/>
              </w:rPr>
              <w:t>&gt;</w:t>
            </w:r>
            <w:r>
              <w:rPr>
                <w:rFonts w:ascii="宋体" w:hAnsi="宋体" w:eastAsia="宋体" w:cs="宋体"/>
                <w:spacing w:val="9"/>
                <w:sz w:val="20"/>
                <w:szCs w:val="20"/>
              </w:rPr>
              <w:t>的审查意见》</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8"/>
                <w:sz w:val="20"/>
                <w:szCs w:val="20"/>
              </w:rPr>
              <w:t>(达市环函〔</w:t>
            </w:r>
            <w:r>
              <w:rPr>
                <w:rFonts w:ascii="Times New Roman" w:hAnsi="Times New Roman" w:eastAsia="Times New Roman" w:cs="Times New Roman"/>
                <w:spacing w:val="8"/>
                <w:sz w:val="20"/>
                <w:szCs w:val="20"/>
              </w:rPr>
              <w:t>2021</w:t>
            </w:r>
            <w:r>
              <w:rPr>
                <w:rFonts w:ascii="宋体" w:hAnsi="宋体" w:eastAsia="宋体" w:cs="宋体"/>
                <w:spacing w:val="8"/>
                <w:sz w:val="20"/>
                <w:szCs w:val="20"/>
              </w:rPr>
              <w:t>〕</w:t>
            </w:r>
            <w:r>
              <w:rPr>
                <w:rFonts w:ascii="Times New Roman" w:hAnsi="Times New Roman" w:eastAsia="Times New Roman" w:cs="Times New Roman"/>
                <w:spacing w:val="8"/>
                <w:sz w:val="20"/>
                <w:szCs w:val="20"/>
              </w:rPr>
              <w:t xml:space="preserve">216 </w:t>
            </w:r>
            <w:r>
              <w:rPr>
                <w:rFonts w:ascii="宋体" w:hAnsi="宋体" w:eastAsia="宋体" w:cs="宋体"/>
                <w:spacing w:val="8"/>
                <w:sz w:val="20"/>
                <w:szCs w:val="20"/>
              </w:rPr>
              <w:t>号) 。本工程与《达州市</w:t>
            </w:r>
            <w:r>
              <w:rPr>
                <w:rFonts w:ascii="Times New Roman" w:hAnsi="Times New Roman" w:eastAsia="Times New Roman" w:cs="Times New Roman"/>
                <w:spacing w:val="8"/>
                <w:sz w:val="20"/>
                <w:szCs w:val="20"/>
              </w:rPr>
              <w:t>“</w:t>
            </w:r>
            <w:r>
              <w:rPr>
                <w:rFonts w:ascii="宋体" w:hAnsi="宋体" w:eastAsia="宋体" w:cs="宋体"/>
                <w:spacing w:val="8"/>
                <w:sz w:val="20"/>
                <w:szCs w:val="20"/>
              </w:rPr>
              <w:t>十四五</w:t>
            </w:r>
            <w:r>
              <w:rPr>
                <w:rFonts w:ascii="Times New Roman" w:hAnsi="Times New Roman" w:eastAsia="Times New Roman" w:cs="Times New Roman"/>
                <w:spacing w:val="8"/>
                <w:sz w:val="20"/>
                <w:szCs w:val="20"/>
              </w:rPr>
              <w:t>”</w:t>
            </w:r>
            <w:r>
              <w:rPr>
                <w:rFonts w:ascii="宋体" w:hAnsi="宋体" w:eastAsia="宋体" w:cs="宋体"/>
                <w:spacing w:val="8"/>
                <w:sz w:val="20"/>
                <w:szCs w:val="20"/>
              </w:rPr>
              <w:t>综合交通运输发展规划环境</w:t>
            </w:r>
            <w:r>
              <w:rPr>
                <w:rFonts w:ascii="宋体" w:hAnsi="宋体" w:eastAsia="宋体" w:cs="宋体"/>
                <w:sz w:val="20"/>
                <w:szCs w:val="20"/>
              </w:rPr>
              <w:t>影</w:t>
            </w:r>
          </w:p>
          <w:p>
            <w:pPr>
              <w:spacing w:before="4" w:line="226" w:lineRule="auto"/>
              <w:ind w:left="58"/>
              <w:rPr>
                <w:rFonts w:ascii="宋体" w:hAnsi="宋体" w:eastAsia="宋体" w:cs="宋体"/>
                <w:sz w:val="20"/>
                <w:szCs w:val="20"/>
              </w:rPr>
            </w:pPr>
            <w:r>
              <w:rPr>
                <w:rFonts w:ascii="宋体" w:hAnsi="宋体" w:eastAsia="宋体" w:cs="宋体"/>
                <w:spacing w:val="14"/>
                <w:sz w:val="20"/>
                <w:szCs w:val="20"/>
              </w:rPr>
              <w:t>响</w:t>
            </w:r>
            <w:r>
              <w:rPr>
                <w:rFonts w:ascii="宋体" w:hAnsi="宋体" w:eastAsia="宋体" w:cs="宋体"/>
                <w:spacing w:val="8"/>
                <w:sz w:val="20"/>
                <w:szCs w:val="20"/>
              </w:rPr>
              <w:t>报告书》中相关环保要求相符性见下表。</w:t>
            </w:r>
          </w:p>
          <w:p>
            <w:pPr>
              <w:spacing w:before="45" w:line="222" w:lineRule="auto"/>
              <w:ind w:left="338"/>
              <w:rPr>
                <w:rFonts w:ascii="黑体" w:hAnsi="黑体" w:eastAsia="黑体" w:cs="黑体"/>
                <w:sz w:val="20"/>
                <w:szCs w:val="20"/>
              </w:rPr>
            </w:pPr>
            <w:r>
              <w:rPr>
                <w:rFonts w:ascii="黑体" w:hAnsi="黑体" w:eastAsia="黑体" w:cs="黑体"/>
                <w:spacing w:val="-11"/>
                <w:sz w:val="20"/>
                <w:szCs w:val="20"/>
              </w:rPr>
              <w:t>表</w:t>
            </w:r>
            <w:r>
              <w:rPr>
                <w:rFonts w:ascii="黑体" w:hAnsi="黑体" w:eastAsia="黑体" w:cs="黑体"/>
                <w:spacing w:val="-10"/>
                <w:sz w:val="20"/>
                <w:szCs w:val="20"/>
              </w:rPr>
              <w:t xml:space="preserve"> </w:t>
            </w:r>
            <w:r>
              <w:rPr>
                <w:rFonts w:ascii="Times New Roman" w:hAnsi="Times New Roman" w:eastAsia="Times New Roman" w:cs="Times New Roman"/>
                <w:spacing w:val="-10"/>
                <w:sz w:val="20"/>
                <w:szCs w:val="20"/>
              </w:rPr>
              <w:t xml:space="preserve">14-1    </w:t>
            </w:r>
            <w:r>
              <w:rPr>
                <w:rFonts w:ascii="黑体" w:hAnsi="黑体" w:eastAsia="黑体" w:cs="黑体"/>
                <w:spacing w:val="-10"/>
                <w:sz w:val="20"/>
                <w:szCs w:val="20"/>
              </w:rPr>
              <w:t>与《达州市</w:t>
            </w:r>
            <w:r>
              <w:rPr>
                <w:rFonts w:ascii="Times New Roman" w:hAnsi="Times New Roman" w:eastAsia="Times New Roman" w:cs="Times New Roman"/>
                <w:spacing w:val="-10"/>
                <w:sz w:val="20"/>
                <w:szCs w:val="20"/>
              </w:rPr>
              <w:t>“</w:t>
            </w:r>
            <w:r>
              <w:rPr>
                <w:rFonts w:ascii="黑体" w:hAnsi="黑体" w:eastAsia="黑体" w:cs="黑体"/>
                <w:spacing w:val="-10"/>
                <w:sz w:val="20"/>
                <w:szCs w:val="20"/>
              </w:rPr>
              <w:t>十四五</w:t>
            </w:r>
            <w:r>
              <w:rPr>
                <w:rFonts w:ascii="Times New Roman" w:hAnsi="Times New Roman" w:eastAsia="Times New Roman" w:cs="Times New Roman"/>
                <w:spacing w:val="-10"/>
                <w:sz w:val="20"/>
                <w:szCs w:val="20"/>
              </w:rPr>
              <w:t>”</w:t>
            </w:r>
            <w:r>
              <w:rPr>
                <w:rFonts w:ascii="黑体" w:hAnsi="黑体" w:eastAsia="黑体" w:cs="黑体"/>
                <w:spacing w:val="-10"/>
                <w:sz w:val="20"/>
                <w:szCs w:val="20"/>
              </w:rPr>
              <w:t>综合交通运输发展规划环境影响报告书》及批复的符合性分析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714" w:type="dxa"/>
            <w:vMerge w:val="continue"/>
            <w:tcBorders>
              <w:top w:val="nil"/>
              <w:left w:val="single" w:color="000000" w:sz="6" w:space="0"/>
              <w:bottom w:val="nil"/>
            </w:tcBorders>
            <w:vAlign w:val="top"/>
          </w:tcPr>
          <w:p>
            <w:pPr>
              <w:rPr>
                <w:rFonts w:ascii="Arial"/>
                <w:sz w:val="21"/>
              </w:rPr>
            </w:pPr>
          </w:p>
        </w:tc>
        <w:tc>
          <w:tcPr>
            <w:tcW w:w="567" w:type="dxa"/>
            <w:vAlign w:val="top"/>
          </w:tcPr>
          <w:p>
            <w:pPr>
              <w:spacing w:before="66" w:line="226" w:lineRule="auto"/>
              <w:ind w:left="158"/>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序</w:t>
            </w:r>
            <w:r>
              <w:rPr>
                <w:rFonts w:ascii="宋体" w:hAnsi="宋体" w:eastAsia="宋体" w:cs="宋体"/>
                <w:spacing w:val="6"/>
                <w:sz w:val="17"/>
                <w:szCs w:val="17"/>
                <w14:textOutline w14:w="3268" w14:cap="sq" w14:cmpd="sng">
                  <w14:solidFill>
                    <w14:srgbClr w14:val="000000"/>
                  </w14:solidFill>
                  <w14:prstDash w14:val="solid"/>
                  <w14:bevel/>
                </w14:textOutline>
              </w:rPr>
              <w:t>号</w:t>
            </w:r>
          </w:p>
        </w:tc>
        <w:tc>
          <w:tcPr>
            <w:tcW w:w="480" w:type="dxa"/>
            <w:gridSpan w:val="2"/>
            <w:vAlign w:val="top"/>
          </w:tcPr>
          <w:p>
            <w:pPr>
              <w:spacing w:before="66" w:line="226" w:lineRule="auto"/>
              <w:ind w:left="60"/>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类别</w:t>
            </w:r>
          </w:p>
        </w:tc>
        <w:tc>
          <w:tcPr>
            <w:tcW w:w="3835" w:type="dxa"/>
            <w:gridSpan w:val="3"/>
            <w:vAlign w:val="top"/>
          </w:tcPr>
          <w:p>
            <w:pPr>
              <w:spacing w:before="66" w:line="226" w:lineRule="auto"/>
              <w:ind w:left="927"/>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规划环评及批复相关要</w:t>
            </w:r>
            <w:r>
              <w:rPr>
                <w:rFonts w:ascii="宋体" w:hAnsi="宋体" w:eastAsia="宋体" w:cs="宋体"/>
                <w:spacing w:val="9"/>
                <w:sz w:val="17"/>
                <w:szCs w:val="17"/>
                <w14:textOutline w14:w="3268" w14:cap="sq" w14:cmpd="sng">
                  <w14:solidFill>
                    <w14:srgbClr w14:val="000000"/>
                  </w14:solidFill>
                  <w14:prstDash w14:val="solid"/>
                  <w14:bevel/>
                </w14:textOutline>
              </w:rPr>
              <w:t>求</w:t>
            </w:r>
          </w:p>
        </w:tc>
        <w:tc>
          <w:tcPr>
            <w:tcW w:w="2599" w:type="dxa"/>
            <w:gridSpan w:val="3"/>
            <w:vAlign w:val="top"/>
          </w:tcPr>
          <w:p>
            <w:pPr>
              <w:spacing w:before="66" w:line="226" w:lineRule="auto"/>
              <w:ind w:left="855"/>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本项目情</w:t>
            </w:r>
            <w:r>
              <w:rPr>
                <w:rFonts w:ascii="宋体" w:hAnsi="宋体" w:eastAsia="宋体" w:cs="宋体"/>
                <w:spacing w:val="8"/>
                <w:sz w:val="17"/>
                <w:szCs w:val="17"/>
                <w14:textOutline w14:w="3268" w14:cap="sq" w14:cmpd="sng">
                  <w14:solidFill>
                    <w14:srgbClr w14:val="000000"/>
                  </w14:solidFill>
                  <w14:prstDash w14:val="solid"/>
                  <w14:bevel/>
                </w14:textOutline>
              </w:rPr>
              <w:t>况</w:t>
            </w:r>
          </w:p>
        </w:tc>
        <w:tc>
          <w:tcPr>
            <w:tcW w:w="740" w:type="dxa"/>
            <w:tcBorders>
              <w:right w:val="single" w:color="000000" w:sz="6" w:space="0"/>
            </w:tcBorders>
            <w:vAlign w:val="top"/>
          </w:tcPr>
          <w:p>
            <w:pPr>
              <w:spacing w:before="66" w:line="226" w:lineRule="auto"/>
              <w:ind w:left="50"/>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符合</w:t>
            </w:r>
            <w:r>
              <w:rPr>
                <w:rFonts w:ascii="宋体" w:hAnsi="宋体" w:eastAsia="宋体" w:cs="宋体"/>
                <w:spacing w:val="7"/>
                <w:sz w:val="17"/>
                <w:szCs w:val="17"/>
                <w14:textOutline w14:w="3268" w14:cap="sq" w14:cmpd="sng">
                  <w14:solidFill>
                    <w14:srgbClr w14:val="000000"/>
                  </w14:solidFill>
                  <w14:prstDash w14:val="solid"/>
                  <w14:bevel/>
                </w14:textOutline>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5" w:hRule="atLeast"/>
        </w:trPr>
        <w:tc>
          <w:tcPr>
            <w:tcW w:w="714" w:type="dxa"/>
            <w:vMerge w:val="continue"/>
            <w:tcBorders>
              <w:top w:val="nil"/>
              <w:left w:val="single" w:color="000000" w:sz="6" w:space="0"/>
              <w:bottom w:val="nil"/>
            </w:tcBorders>
            <w:vAlign w:val="top"/>
          </w:tcPr>
          <w:p>
            <w:pPr>
              <w:rPr>
                <w:rFonts w:ascii="Arial"/>
                <w:sz w:val="21"/>
              </w:rPr>
            </w:pPr>
          </w:p>
        </w:tc>
        <w:tc>
          <w:tcPr>
            <w:tcW w:w="567" w:type="dxa"/>
            <w:vAlign w:val="top"/>
          </w:tcPr>
          <w:p>
            <w:pPr>
              <w:spacing w:before="233" w:line="197" w:lineRule="auto"/>
              <w:ind w:left="343"/>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480" w:type="dxa"/>
            <w:gridSpan w:val="2"/>
            <w:vAlign w:val="top"/>
          </w:tcPr>
          <w:p>
            <w:pPr>
              <w:spacing w:before="68" w:line="259" w:lineRule="auto"/>
              <w:ind w:left="60" w:right="61" w:firstLine="1"/>
              <w:rPr>
                <w:rFonts w:ascii="宋体" w:hAnsi="宋体" w:eastAsia="宋体" w:cs="宋体"/>
                <w:sz w:val="17"/>
                <w:szCs w:val="17"/>
              </w:rPr>
            </w:pPr>
            <w:r>
              <w:rPr>
                <w:rFonts w:ascii="宋体" w:hAnsi="宋体" w:eastAsia="宋体" w:cs="宋体"/>
                <w:spacing w:val="6"/>
                <w:sz w:val="17"/>
                <w:szCs w:val="17"/>
              </w:rPr>
              <w:t>社</w:t>
            </w:r>
            <w:r>
              <w:rPr>
                <w:rFonts w:ascii="宋体" w:hAnsi="宋体" w:eastAsia="宋体" w:cs="宋体"/>
                <w:spacing w:val="5"/>
                <w:sz w:val="17"/>
                <w:szCs w:val="17"/>
              </w:rPr>
              <w:t>会</w:t>
            </w:r>
            <w:r>
              <w:rPr>
                <w:rFonts w:ascii="宋体" w:hAnsi="宋体" w:eastAsia="宋体" w:cs="宋体"/>
                <w:sz w:val="17"/>
                <w:szCs w:val="17"/>
              </w:rPr>
              <w:t xml:space="preserve"> </w:t>
            </w:r>
            <w:r>
              <w:rPr>
                <w:rFonts w:ascii="宋体" w:hAnsi="宋体" w:eastAsia="宋体" w:cs="宋体"/>
                <w:spacing w:val="6"/>
                <w:sz w:val="17"/>
                <w:szCs w:val="17"/>
              </w:rPr>
              <w:t>环境</w:t>
            </w:r>
          </w:p>
        </w:tc>
        <w:tc>
          <w:tcPr>
            <w:tcW w:w="3835" w:type="dxa"/>
            <w:gridSpan w:val="3"/>
            <w:vAlign w:val="top"/>
          </w:tcPr>
          <w:p>
            <w:pPr>
              <w:spacing w:before="68" w:line="259" w:lineRule="auto"/>
              <w:ind w:left="39" w:right="63"/>
              <w:rPr>
                <w:rFonts w:ascii="宋体" w:hAnsi="宋体" w:eastAsia="宋体" w:cs="宋体"/>
                <w:sz w:val="17"/>
                <w:szCs w:val="17"/>
              </w:rPr>
            </w:pPr>
            <w:r>
              <w:rPr>
                <w:rFonts w:ascii="宋体" w:hAnsi="宋体" w:eastAsia="宋体" w:cs="宋体"/>
                <w:spacing w:val="14"/>
                <w:sz w:val="17"/>
                <w:szCs w:val="17"/>
              </w:rPr>
              <w:t>严</w:t>
            </w:r>
            <w:r>
              <w:rPr>
                <w:rFonts w:ascii="宋体" w:hAnsi="宋体" w:eastAsia="宋体" w:cs="宋体"/>
                <w:spacing w:val="10"/>
                <w:sz w:val="17"/>
                <w:szCs w:val="17"/>
              </w:rPr>
              <w:t>格</w:t>
            </w:r>
            <w:r>
              <w:rPr>
                <w:rFonts w:ascii="宋体" w:hAnsi="宋体" w:eastAsia="宋体" w:cs="宋体"/>
                <w:spacing w:val="7"/>
                <w:sz w:val="17"/>
                <w:szCs w:val="17"/>
              </w:rPr>
              <w:t>控制施工范围，节约土地，保护基本农田，</w:t>
            </w:r>
            <w:r>
              <w:rPr>
                <w:rFonts w:ascii="宋体" w:hAnsi="宋体" w:eastAsia="宋体" w:cs="宋体"/>
                <w:sz w:val="17"/>
                <w:szCs w:val="17"/>
              </w:rPr>
              <w:t xml:space="preserve"> </w:t>
            </w:r>
            <w:r>
              <w:rPr>
                <w:rFonts w:ascii="宋体" w:hAnsi="宋体" w:eastAsia="宋体" w:cs="宋体"/>
                <w:spacing w:val="16"/>
                <w:sz w:val="17"/>
                <w:szCs w:val="17"/>
              </w:rPr>
              <w:t>涉</w:t>
            </w:r>
            <w:r>
              <w:rPr>
                <w:rFonts w:ascii="宋体" w:hAnsi="宋体" w:eastAsia="宋体" w:cs="宋体"/>
                <w:spacing w:val="9"/>
                <w:sz w:val="17"/>
                <w:szCs w:val="17"/>
              </w:rPr>
              <w:t>及</w:t>
            </w:r>
            <w:r>
              <w:rPr>
                <w:rFonts w:ascii="宋体" w:hAnsi="宋体" w:eastAsia="宋体" w:cs="宋体"/>
                <w:spacing w:val="8"/>
                <w:sz w:val="17"/>
                <w:szCs w:val="17"/>
              </w:rPr>
              <w:t>搬迁应提出妥善安置方案。</w:t>
            </w:r>
          </w:p>
        </w:tc>
        <w:tc>
          <w:tcPr>
            <w:tcW w:w="2599" w:type="dxa"/>
            <w:gridSpan w:val="3"/>
            <w:vAlign w:val="top"/>
          </w:tcPr>
          <w:p>
            <w:pPr>
              <w:spacing w:before="68" w:line="259" w:lineRule="auto"/>
              <w:ind w:left="44" w:right="30"/>
              <w:rPr>
                <w:rFonts w:ascii="宋体" w:hAnsi="宋体" w:eastAsia="宋体" w:cs="宋体"/>
                <w:sz w:val="17"/>
                <w:szCs w:val="17"/>
              </w:rPr>
            </w:pPr>
            <w:r>
              <w:rPr>
                <w:rFonts w:ascii="宋体" w:hAnsi="宋体" w:eastAsia="宋体" w:cs="宋体"/>
                <w:spacing w:val="6"/>
                <w:sz w:val="17"/>
                <w:szCs w:val="17"/>
              </w:rPr>
              <w:t>严格控</w:t>
            </w:r>
            <w:r>
              <w:rPr>
                <w:rFonts w:ascii="宋体" w:hAnsi="宋体" w:eastAsia="宋体" w:cs="宋体"/>
                <w:spacing w:val="3"/>
                <w:sz w:val="17"/>
                <w:szCs w:val="17"/>
              </w:rPr>
              <w:t>制施工范围， 占地不涉及</w:t>
            </w:r>
            <w:r>
              <w:rPr>
                <w:rFonts w:ascii="宋体" w:hAnsi="宋体" w:eastAsia="宋体" w:cs="宋体"/>
                <w:sz w:val="17"/>
                <w:szCs w:val="17"/>
              </w:rPr>
              <w:t xml:space="preserve"> </w:t>
            </w:r>
            <w:r>
              <w:rPr>
                <w:rFonts w:ascii="宋体" w:hAnsi="宋体" w:eastAsia="宋体" w:cs="宋体"/>
                <w:spacing w:val="12"/>
                <w:sz w:val="17"/>
                <w:szCs w:val="17"/>
              </w:rPr>
              <w:t>永</w:t>
            </w:r>
            <w:r>
              <w:rPr>
                <w:rFonts w:ascii="宋体" w:hAnsi="宋体" w:eastAsia="宋体" w:cs="宋体"/>
                <w:spacing w:val="9"/>
                <w:sz w:val="17"/>
                <w:szCs w:val="17"/>
              </w:rPr>
              <w:t>久基本农田，不涉及拆迁</w:t>
            </w:r>
          </w:p>
        </w:tc>
        <w:tc>
          <w:tcPr>
            <w:tcW w:w="740" w:type="dxa"/>
            <w:tcBorders>
              <w:right w:val="single" w:color="000000" w:sz="6" w:space="0"/>
            </w:tcBorders>
            <w:vAlign w:val="top"/>
          </w:tcPr>
          <w:p>
            <w:pPr>
              <w:spacing w:before="202" w:line="230" w:lineRule="auto"/>
              <w:ind w:left="141"/>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5" w:hRule="atLeast"/>
        </w:trPr>
        <w:tc>
          <w:tcPr>
            <w:tcW w:w="714" w:type="dxa"/>
            <w:vMerge w:val="continue"/>
            <w:tcBorders>
              <w:top w:val="nil"/>
              <w:left w:val="single" w:color="000000" w:sz="6" w:space="0"/>
            </w:tcBorders>
            <w:vAlign w:val="top"/>
          </w:tcPr>
          <w:p>
            <w:pPr>
              <w:rPr>
                <w:rFonts w:ascii="Arial"/>
                <w:sz w:val="21"/>
              </w:rPr>
            </w:pPr>
          </w:p>
        </w:tc>
        <w:tc>
          <w:tcPr>
            <w:tcW w:w="567" w:type="dxa"/>
            <w:vAlign w:val="top"/>
          </w:tcPr>
          <w:p>
            <w:pPr>
              <w:spacing w:line="292" w:lineRule="auto"/>
              <w:rPr>
                <w:rFonts w:ascii="Arial"/>
                <w:sz w:val="21"/>
              </w:rPr>
            </w:pPr>
          </w:p>
          <w:p>
            <w:pPr>
              <w:spacing w:line="293" w:lineRule="auto"/>
              <w:rPr>
                <w:rFonts w:ascii="Arial"/>
                <w:sz w:val="21"/>
              </w:rPr>
            </w:pPr>
          </w:p>
          <w:p>
            <w:pPr>
              <w:spacing w:before="49" w:line="197" w:lineRule="auto"/>
              <w:ind w:left="32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480" w:type="dxa"/>
            <w:gridSpan w:val="2"/>
            <w:vAlign w:val="top"/>
          </w:tcPr>
          <w:p>
            <w:pPr>
              <w:spacing w:line="414" w:lineRule="auto"/>
              <w:rPr>
                <w:rFonts w:ascii="Arial"/>
                <w:sz w:val="21"/>
              </w:rPr>
            </w:pPr>
          </w:p>
          <w:p>
            <w:pPr>
              <w:spacing w:before="56" w:line="305" w:lineRule="auto"/>
              <w:ind w:left="60" w:right="61" w:firstLine="1"/>
              <w:rPr>
                <w:rFonts w:ascii="宋体" w:hAnsi="宋体" w:eastAsia="宋体" w:cs="宋体"/>
                <w:sz w:val="17"/>
                <w:szCs w:val="17"/>
              </w:rPr>
            </w:pPr>
            <w:r>
              <w:rPr>
                <w:rFonts w:ascii="宋体" w:hAnsi="宋体" w:eastAsia="宋体" w:cs="宋体"/>
                <w:spacing w:val="6"/>
                <w:sz w:val="17"/>
                <w:szCs w:val="17"/>
              </w:rPr>
              <w:t>生</w:t>
            </w:r>
            <w:r>
              <w:rPr>
                <w:rFonts w:ascii="宋体" w:hAnsi="宋体" w:eastAsia="宋体" w:cs="宋体"/>
                <w:spacing w:val="5"/>
                <w:sz w:val="17"/>
                <w:szCs w:val="17"/>
              </w:rPr>
              <w:t>态</w:t>
            </w:r>
            <w:r>
              <w:rPr>
                <w:rFonts w:ascii="宋体" w:hAnsi="宋体" w:eastAsia="宋体" w:cs="宋体"/>
                <w:sz w:val="17"/>
                <w:szCs w:val="17"/>
              </w:rPr>
              <w:t xml:space="preserve"> </w:t>
            </w:r>
            <w:r>
              <w:rPr>
                <w:rFonts w:ascii="宋体" w:hAnsi="宋体" w:eastAsia="宋体" w:cs="宋体"/>
                <w:spacing w:val="6"/>
                <w:sz w:val="17"/>
                <w:szCs w:val="17"/>
              </w:rPr>
              <w:t>环境</w:t>
            </w:r>
          </w:p>
        </w:tc>
        <w:tc>
          <w:tcPr>
            <w:tcW w:w="3835" w:type="dxa"/>
            <w:gridSpan w:val="3"/>
            <w:vAlign w:val="top"/>
          </w:tcPr>
          <w:p>
            <w:pPr>
              <w:spacing w:before="69" w:line="277" w:lineRule="auto"/>
              <w:ind w:left="37" w:right="32" w:firstLine="14"/>
              <w:rPr>
                <w:rFonts w:ascii="宋体" w:hAnsi="宋体" w:eastAsia="宋体" w:cs="宋体"/>
                <w:sz w:val="17"/>
                <w:szCs w:val="17"/>
              </w:rPr>
            </w:pPr>
            <w:r>
              <w:rPr>
                <w:rFonts w:ascii="宋体" w:hAnsi="宋体" w:eastAsia="宋体" w:cs="宋体"/>
                <w:spacing w:val="17"/>
                <w:sz w:val="17"/>
                <w:szCs w:val="17"/>
              </w:rPr>
              <w:t>1</w:t>
            </w:r>
            <w:r>
              <w:rPr>
                <w:rFonts w:ascii="宋体" w:hAnsi="宋体" w:eastAsia="宋体" w:cs="宋体"/>
                <w:spacing w:val="12"/>
                <w:sz w:val="17"/>
                <w:szCs w:val="17"/>
              </w:rPr>
              <w:t>、优化工程布置，严格控制施工范围，采用先</w:t>
            </w:r>
            <w:r>
              <w:rPr>
                <w:rFonts w:ascii="宋体" w:hAnsi="宋体" w:eastAsia="宋体" w:cs="宋体"/>
                <w:sz w:val="17"/>
                <w:szCs w:val="17"/>
              </w:rPr>
              <w:t xml:space="preserve"> </w:t>
            </w:r>
            <w:r>
              <w:rPr>
                <w:rFonts w:ascii="宋体" w:hAnsi="宋体" w:eastAsia="宋体" w:cs="宋体"/>
                <w:spacing w:val="10"/>
                <w:sz w:val="17"/>
                <w:szCs w:val="17"/>
              </w:rPr>
              <w:t>进</w:t>
            </w:r>
            <w:r>
              <w:rPr>
                <w:rFonts w:ascii="宋体" w:hAnsi="宋体" w:eastAsia="宋体" w:cs="宋体"/>
                <w:spacing w:val="9"/>
                <w:sz w:val="17"/>
                <w:szCs w:val="17"/>
              </w:rPr>
              <w:t>的施工工艺，加强水土保持设施建设，对临时</w:t>
            </w:r>
            <w:r>
              <w:rPr>
                <w:rFonts w:ascii="宋体" w:hAnsi="宋体" w:eastAsia="宋体" w:cs="宋体"/>
                <w:sz w:val="17"/>
                <w:szCs w:val="17"/>
              </w:rPr>
              <w:t xml:space="preserve"> </w:t>
            </w:r>
            <w:r>
              <w:rPr>
                <w:rFonts w:ascii="宋体" w:hAnsi="宋体" w:eastAsia="宋体" w:cs="宋体"/>
                <w:spacing w:val="10"/>
                <w:sz w:val="17"/>
                <w:szCs w:val="17"/>
              </w:rPr>
              <w:t>占</w:t>
            </w:r>
            <w:r>
              <w:rPr>
                <w:rFonts w:ascii="宋体" w:hAnsi="宋体" w:eastAsia="宋体" w:cs="宋体"/>
                <w:spacing w:val="9"/>
                <w:sz w:val="17"/>
                <w:szCs w:val="17"/>
              </w:rPr>
              <w:t>地及时进行生态恢复，减少植被破坏和水土流</w:t>
            </w:r>
            <w:r>
              <w:rPr>
                <w:rFonts w:ascii="宋体" w:hAnsi="宋体" w:eastAsia="宋体" w:cs="宋体"/>
                <w:sz w:val="17"/>
                <w:szCs w:val="17"/>
              </w:rPr>
              <w:t xml:space="preserve"> </w:t>
            </w:r>
            <w:r>
              <w:rPr>
                <w:rFonts w:ascii="宋体" w:hAnsi="宋体" w:eastAsia="宋体" w:cs="宋体"/>
                <w:spacing w:val="13"/>
                <w:sz w:val="17"/>
                <w:szCs w:val="17"/>
              </w:rPr>
              <w:t>失</w:t>
            </w:r>
            <w:r>
              <w:rPr>
                <w:rFonts w:ascii="宋体" w:hAnsi="宋体" w:eastAsia="宋体" w:cs="宋体"/>
                <w:spacing w:val="9"/>
                <w:sz w:val="17"/>
                <w:szCs w:val="17"/>
              </w:rPr>
              <w:t>，减缓施工对野生动植物及其生境的影响。</w:t>
            </w:r>
          </w:p>
          <w:p>
            <w:pPr>
              <w:spacing w:before="57" w:line="232" w:lineRule="exact"/>
              <w:ind w:left="40"/>
              <w:rPr>
                <w:rFonts w:ascii="宋体" w:hAnsi="宋体" w:eastAsia="宋体" w:cs="宋体"/>
                <w:sz w:val="17"/>
                <w:szCs w:val="17"/>
              </w:rPr>
            </w:pPr>
            <w:r>
              <w:rPr>
                <w:rFonts w:ascii="宋体" w:hAnsi="宋体" w:eastAsia="宋体" w:cs="宋体"/>
                <w:spacing w:val="13"/>
                <w:position w:val="1"/>
                <w:sz w:val="17"/>
                <w:szCs w:val="17"/>
              </w:rPr>
              <w:t>2、科学合理设置野生动物通道，减缓阻隔效</w:t>
            </w:r>
            <w:r>
              <w:rPr>
                <w:rFonts w:ascii="宋体" w:hAnsi="宋体" w:eastAsia="宋体" w:cs="宋体"/>
                <w:spacing w:val="8"/>
                <w:position w:val="1"/>
                <w:sz w:val="17"/>
                <w:szCs w:val="17"/>
              </w:rPr>
              <w:t>应</w:t>
            </w:r>
          </w:p>
        </w:tc>
        <w:tc>
          <w:tcPr>
            <w:tcW w:w="2599" w:type="dxa"/>
            <w:gridSpan w:val="3"/>
            <w:vAlign w:val="top"/>
          </w:tcPr>
          <w:p>
            <w:pPr>
              <w:spacing w:before="65" w:line="293" w:lineRule="auto"/>
              <w:ind w:left="42" w:right="27" w:firstLine="14"/>
              <w:rPr>
                <w:rFonts w:ascii="宋体" w:hAnsi="宋体" w:eastAsia="宋体" w:cs="宋体"/>
                <w:sz w:val="17"/>
                <w:szCs w:val="17"/>
              </w:rPr>
            </w:pPr>
            <w:r>
              <w:rPr>
                <w:rFonts w:ascii="宋体" w:hAnsi="宋体" w:eastAsia="宋体" w:cs="宋体"/>
                <w:spacing w:val="3"/>
                <w:sz w:val="17"/>
                <w:szCs w:val="17"/>
              </w:rPr>
              <w:t>1、项目将优化工程布置，严格</w:t>
            </w:r>
            <w:r>
              <w:rPr>
                <w:rFonts w:ascii="宋体" w:hAnsi="宋体" w:eastAsia="宋体" w:cs="宋体"/>
                <w:spacing w:val="2"/>
                <w:sz w:val="17"/>
                <w:szCs w:val="17"/>
              </w:rPr>
              <w:t>控</w:t>
            </w:r>
            <w:r>
              <w:rPr>
                <w:rFonts w:ascii="宋体" w:hAnsi="宋体" w:eastAsia="宋体" w:cs="宋体"/>
                <w:sz w:val="17"/>
                <w:szCs w:val="17"/>
              </w:rPr>
              <w:t xml:space="preserve"> </w:t>
            </w:r>
            <w:r>
              <w:rPr>
                <w:rFonts w:ascii="宋体" w:hAnsi="宋体" w:eastAsia="宋体" w:cs="宋体"/>
                <w:spacing w:val="13"/>
                <w:sz w:val="17"/>
                <w:szCs w:val="17"/>
              </w:rPr>
              <w:t>制</w:t>
            </w:r>
            <w:r>
              <w:rPr>
                <w:rFonts w:ascii="宋体" w:hAnsi="宋体" w:eastAsia="宋体" w:cs="宋体"/>
                <w:spacing w:val="10"/>
                <w:sz w:val="17"/>
                <w:szCs w:val="17"/>
              </w:rPr>
              <w:t>施工范围，采用先进的施工工</w:t>
            </w:r>
            <w:r>
              <w:rPr>
                <w:rFonts w:ascii="宋体" w:hAnsi="宋体" w:eastAsia="宋体" w:cs="宋体"/>
                <w:sz w:val="17"/>
                <w:szCs w:val="17"/>
              </w:rPr>
              <w:t xml:space="preserve"> </w:t>
            </w:r>
            <w:r>
              <w:rPr>
                <w:rFonts w:ascii="宋体" w:hAnsi="宋体" w:eastAsia="宋体" w:cs="宋体"/>
                <w:spacing w:val="13"/>
                <w:sz w:val="17"/>
                <w:szCs w:val="17"/>
              </w:rPr>
              <w:t>艺</w:t>
            </w:r>
            <w:r>
              <w:rPr>
                <w:rFonts w:ascii="宋体" w:hAnsi="宋体" w:eastAsia="宋体" w:cs="宋体"/>
                <w:spacing w:val="10"/>
                <w:sz w:val="17"/>
                <w:szCs w:val="17"/>
              </w:rPr>
              <w:t>，采取相应的水土保持措施，</w:t>
            </w:r>
            <w:r>
              <w:rPr>
                <w:rFonts w:ascii="宋体" w:hAnsi="宋体" w:eastAsia="宋体" w:cs="宋体"/>
                <w:sz w:val="17"/>
                <w:szCs w:val="17"/>
              </w:rPr>
              <w:t xml:space="preserve"> </w:t>
            </w:r>
            <w:r>
              <w:rPr>
                <w:rFonts w:ascii="宋体" w:hAnsi="宋体" w:eastAsia="宋体" w:cs="宋体"/>
                <w:spacing w:val="10"/>
                <w:sz w:val="17"/>
                <w:szCs w:val="17"/>
              </w:rPr>
              <w:t>施工结束后对临时占地及时进行</w:t>
            </w:r>
            <w:r>
              <w:rPr>
                <w:rFonts w:ascii="宋体" w:hAnsi="宋体" w:eastAsia="宋体" w:cs="宋体"/>
                <w:sz w:val="17"/>
                <w:szCs w:val="17"/>
              </w:rPr>
              <w:t xml:space="preserve"> </w:t>
            </w:r>
            <w:r>
              <w:rPr>
                <w:rFonts w:ascii="宋体" w:hAnsi="宋体" w:eastAsia="宋体" w:cs="宋体"/>
                <w:spacing w:val="9"/>
                <w:sz w:val="17"/>
                <w:szCs w:val="17"/>
              </w:rPr>
              <w:t>生</w:t>
            </w:r>
            <w:r>
              <w:rPr>
                <w:rFonts w:ascii="宋体" w:hAnsi="宋体" w:eastAsia="宋体" w:cs="宋体"/>
                <w:spacing w:val="6"/>
                <w:sz w:val="17"/>
                <w:szCs w:val="17"/>
              </w:rPr>
              <w:t>态恢复。</w:t>
            </w:r>
          </w:p>
        </w:tc>
        <w:tc>
          <w:tcPr>
            <w:tcW w:w="740" w:type="dxa"/>
            <w:tcBorders>
              <w:right w:val="single" w:color="000000" w:sz="6" w:space="0"/>
            </w:tcBorders>
            <w:vAlign w:val="top"/>
          </w:tcPr>
          <w:p>
            <w:pPr>
              <w:spacing w:line="274" w:lineRule="auto"/>
              <w:rPr>
                <w:rFonts w:ascii="Arial"/>
                <w:sz w:val="21"/>
              </w:rPr>
            </w:pPr>
          </w:p>
          <w:p>
            <w:pPr>
              <w:spacing w:line="274" w:lineRule="auto"/>
              <w:rPr>
                <w:rFonts w:ascii="Arial"/>
                <w:sz w:val="21"/>
              </w:rPr>
            </w:pPr>
          </w:p>
          <w:p>
            <w:pPr>
              <w:spacing w:before="56" w:line="230" w:lineRule="auto"/>
              <w:ind w:left="141"/>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bl>
    <w:p>
      <w:pPr>
        <w:spacing w:line="159" w:lineRule="exact"/>
        <w:rPr>
          <w:rFonts w:ascii="Arial"/>
          <w:sz w:val="13"/>
        </w:rPr>
      </w:pPr>
    </w:p>
    <w:p>
      <w:pPr>
        <w:sectPr>
          <w:footerReference r:id="rId7" w:type="default"/>
          <w:pgSz w:w="11906" w:h="16839"/>
          <w:pgMar w:top="400" w:right="1434" w:bottom="1475" w:left="1521" w:header="0" w:footer="1315" w:gutter="0"/>
          <w:cols w:space="720" w:num="1"/>
        </w:sectPr>
      </w:pPr>
    </w:p>
    <w:p>
      <w:r>
        <w:pict>
          <v:rect id="_x0000_s1031" o:spid="_x0000_s1031" o:spt="1" style="position:absolute;left:0pt;margin-left:517.15pt;margin-top:80.65pt;height:637.5pt;width:0.5pt;mso-position-horizontal-relative:page;mso-position-vertical-relative:page;z-index:251664384;mso-width-relative:page;mso-height-relative:page;" fillcolor="#000000" filled="t" stroked="f" coordsize="21600,21600" o:allowincell="f">
            <v:path/>
            <v:fill on="t" focussize="0,0"/>
            <v:stroke on="f"/>
            <v:imagedata o:title=""/>
            <o:lock v:ext="edit"/>
          </v:rect>
        </w:pict>
      </w:r>
    </w:p>
    <w:p/>
    <w:p/>
    <w:p/>
    <w:p>
      <w:pPr>
        <w:spacing w:line="221" w:lineRule="exact"/>
      </w:pPr>
    </w:p>
    <w:tbl>
      <w:tblPr>
        <w:tblStyle w:val="4"/>
        <w:tblW w:w="893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4"/>
        <w:gridCol w:w="114"/>
        <w:gridCol w:w="453"/>
        <w:gridCol w:w="480"/>
        <w:gridCol w:w="3835"/>
        <w:gridCol w:w="2599"/>
        <w:gridCol w:w="7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5" w:hRule="atLeast"/>
        </w:trPr>
        <w:tc>
          <w:tcPr>
            <w:tcW w:w="714" w:type="dxa"/>
            <w:vMerge w:val="restart"/>
            <w:tcBorders>
              <w:left w:val="single" w:color="000000" w:sz="6" w:space="0"/>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5" w:line="230"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规</w:t>
            </w:r>
            <w:r>
              <w:rPr>
                <w:rFonts w:ascii="宋体" w:hAnsi="宋体" w:eastAsia="宋体" w:cs="宋体"/>
                <w:spacing w:val="7"/>
                <w:sz w:val="20"/>
                <w:szCs w:val="20"/>
                <w14:textOutline w14:w="3795" w14:cap="sq" w14:cmpd="sng">
                  <w14:solidFill>
                    <w14:srgbClr w14:val="000000"/>
                  </w14:solidFill>
                  <w14:prstDash w14:val="solid"/>
                  <w14:bevel/>
                </w14:textOutline>
              </w:rPr>
              <w:t>划及</w:t>
            </w:r>
          </w:p>
          <w:p>
            <w:pPr>
              <w:spacing w:before="24" w:line="230"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规</w:t>
            </w:r>
            <w:r>
              <w:rPr>
                <w:rFonts w:ascii="宋体" w:hAnsi="宋体" w:eastAsia="宋体" w:cs="宋体"/>
                <w:spacing w:val="7"/>
                <w:sz w:val="20"/>
                <w:szCs w:val="20"/>
                <w14:textOutline w14:w="3795" w14:cap="sq" w14:cmpd="sng">
                  <w14:solidFill>
                    <w14:srgbClr w14:val="000000"/>
                  </w14:solidFill>
                  <w14:prstDash w14:val="solid"/>
                  <w14:bevel/>
                </w14:textOutline>
              </w:rPr>
              <w:t>划环</w:t>
            </w:r>
          </w:p>
          <w:p>
            <w:pPr>
              <w:spacing w:before="22" w:line="228"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境</w:t>
            </w:r>
            <w:r>
              <w:rPr>
                <w:rFonts w:ascii="宋体" w:hAnsi="宋体" w:eastAsia="宋体" w:cs="宋体"/>
                <w:spacing w:val="7"/>
                <w:sz w:val="20"/>
                <w:szCs w:val="20"/>
                <w14:textOutline w14:w="3795" w14:cap="sq" w14:cmpd="sng">
                  <w14:solidFill>
                    <w14:srgbClr w14:val="000000"/>
                  </w14:solidFill>
                  <w14:prstDash w14:val="solid"/>
                  <w14:bevel/>
                </w14:textOutline>
              </w:rPr>
              <w:t>影响</w:t>
            </w:r>
          </w:p>
          <w:p>
            <w:pPr>
              <w:spacing w:before="24" w:line="226" w:lineRule="auto"/>
              <w:ind w:left="38"/>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评价符</w:t>
            </w:r>
          </w:p>
          <w:p>
            <w:pPr>
              <w:spacing w:before="28" w:line="228"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合</w:t>
            </w:r>
            <w:r>
              <w:rPr>
                <w:rFonts w:ascii="宋体" w:hAnsi="宋体" w:eastAsia="宋体" w:cs="宋体"/>
                <w:spacing w:val="7"/>
                <w:sz w:val="20"/>
                <w:szCs w:val="20"/>
                <w14:textOutline w14:w="3795" w14:cap="sq" w14:cmpd="sng">
                  <w14:solidFill>
                    <w14:srgbClr w14:val="000000"/>
                  </w14:solidFill>
                  <w14:prstDash w14:val="solid"/>
                  <w14:bevel/>
                </w14:textOutline>
              </w:rPr>
              <w:t>性分</w:t>
            </w:r>
          </w:p>
          <w:p>
            <w:pPr>
              <w:spacing w:before="27" w:line="228" w:lineRule="auto"/>
              <w:ind w:left="251"/>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析</w:t>
            </w:r>
          </w:p>
        </w:tc>
        <w:tc>
          <w:tcPr>
            <w:tcW w:w="114" w:type="dxa"/>
            <w:vMerge w:val="restart"/>
            <w:tcBorders>
              <w:bottom w:val="nil"/>
            </w:tcBorders>
            <w:vAlign w:val="top"/>
          </w:tcPr>
          <w:p>
            <w:pPr>
              <w:rPr>
                <w:rFonts w:ascii="Arial"/>
                <w:sz w:val="21"/>
              </w:rPr>
            </w:pPr>
          </w:p>
        </w:tc>
        <w:tc>
          <w:tcPr>
            <w:tcW w:w="453" w:type="dxa"/>
            <w:vAlign w:val="top"/>
          </w:tcPr>
          <w:p>
            <w:pPr>
              <w:rPr>
                <w:rFonts w:ascii="Arial"/>
                <w:sz w:val="21"/>
              </w:rPr>
            </w:pPr>
          </w:p>
        </w:tc>
        <w:tc>
          <w:tcPr>
            <w:tcW w:w="480" w:type="dxa"/>
            <w:vAlign w:val="top"/>
          </w:tcPr>
          <w:p>
            <w:pPr>
              <w:rPr>
                <w:rFonts w:ascii="Arial"/>
                <w:sz w:val="21"/>
              </w:rPr>
            </w:pPr>
          </w:p>
        </w:tc>
        <w:tc>
          <w:tcPr>
            <w:tcW w:w="3835" w:type="dxa"/>
            <w:vAlign w:val="top"/>
          </w:tcPr>
          <w:p>
            <w:pPr>
              <w:spacing w:before="94" w:line="284" w:lineRule="auto"/>
              <w:ind w:left="37"/>
              <w:rPr>
                <w:rFonts w:ascii="宋体" w:hAnsi="宋体" w:eastAsia="宋体" w:cs="宋体"/>
                <w:sz w:val="17"/>
                <w:szCs w:val="17"/>
              </w:rPr>
            </w:pPr>
            <w:r>
              <w:rPr>
                <w:rFonts w:ascii="宋体" w:hAnsi="宋体" w:eastAsia="宋体" w:cs="宋体"/>
                <w:spacing w:val="15"/>
                <w:sz w:val="17"/>
                <w:szCs w:val="17"/>
              </w:rPr>
              <w:t>对</w:t>
            </w:r>
            <w:r>
              <w:rPr>
                <w:rFonts w:ascii="宋体" w:hAnsi="宋体" w:eastAsia="宋体" w:cs="宋体"/>
                <w:spacing w:val="9"/>
                <w:sz w:val="17"/>
                <w:szCs w:val="17"/>
              </w:rPr>
              <w:t>野生动物的影响。</w:t>
            </w:r>
            <w:r>
              <w:rPr>
                <w:rFonts w:ascii="宋体" w:hAnsi="宋体" w:eastAsia="宋体" w:cs="宋体"/>
                <w:sz w:val="17"/>
                <w:szCs w:val="17"/>
              </w:rPr>
              <w:t xml:space="preserve">                          </w:t>
            </w:r>
            <w:r>
              <w:rPr>
                <w:rFonts w:ascii="宋体" w:hAnsi="宋体" w:eastAsia="宋体" w:cs="宋体"/>
                <w:spacing w:val="13"/>
                <w:sz w:val="17"/>
                <w:szCs w:val="17"/>
              </w:rPr>
              <w:t>3</w:t>
            </w:r>
            <w:r>
              <w:rPr>
                <w:rFonts w:ascii="宋体" w:hAnsi="宋体" w:eastAsia="宋体" w:cs="宋体"/>
                <w:spacing w:val="7"/>
                <w:sz w:val="17"/>
                <w:szCs w:val="17"/>
              </w:rPr>
              <w:t>、针对涉及生态保护红线、 自然保护区等重要</w:t>
            </w:r>
            <w:r>
              <w:rPr>
                <w:rFonts w:ascii="宋体" w:hAnsi="宋体" w:eastAsia="宋体" w:cs="宋体"/>
                <w:sz w:val="17"/>
                <w:szCs w:val="17"/>
              </w:rPr>
              <w:t xml:space="preserve"> </w:t>
            </w:r>
            <w:r>
              <w:rPr>
                <w:rFonts w:ascii="宋体" w:hAnsi="宋体" w:eastAsia="宋体" w:cs="宋体"/>
                <w:spacing w:val="14"/>
                <w:sz w:val="17"/>
                <w:szCs w:val="17"/>
              </w:rPr>
              <w:t>生态</w:t>
            </w:r>
            <w:r>
              <w:rPr>
                <w:rFonts w:ascii="宋体" w:hAnsi="宋体" w:eastAsia="宋体" w:cs="宋体"/>
                <w:spacing w:val="9"/>
                <w:sz w:val="17"/>
                <w:szCs w:val="17"/>
              </w:rPr>
              <w:t>环</w:t>
            </w:r>
            <w:r>
              <w:rPr>
                <w:rFonts w:ascii="宋体" w:hAnsi="宋体" w:eastAsia="宋体" w:cs="宋体"/>
                <w:spacing w:val="7"/>
                <w:sz w:val="17"/>
                <w:szCs w:val="17"/>
              </w:rPr>
              <w:t>境敏感区的路段，在实施原则上应予以绕</w:t>
            </w:r>
            <w:r>
              <w:rPr>
                <w:rFonts w:ascii="宋体" w:hAnsi="宋体" w:eastAsia="宋体" w:cs="宋体"/>
                <w:sz w:val="17"/>
                <w:szCs w:val="17"/>
              </w:rPr>
              <w:t xml:space="preserve"> </w:t>
            </w:r>
            <w:r>
              <w:rPr>
                <w:rFonts w:ascii="宋体" w:hAnsi="宋体" w:eastAsia="宋体" w:cs="宋体"/>
                <w:spacing w:val="14"/>
                <w:sz w:val="17"/>
                <w:szCs w:val="17"/>
              </w:rPr>
              <w:t>避，</w:t>
            </w:r>
            <w:r>
              <w:rPr>
                <w:rFonts w:ascii="宋体" w:hAnsi="宋体" w:eastAsia="宋体" w:cs="宋体"/>
                <w:spacing w:val="9"/>
                <w:sz w:val="17"/>
                <w:szCs w:val="17"/>
              </w:rPr>
              <w:t>确</w:t>
            </w:r>
            <w:r>
              <w:rPr>
                <w:rFonts w:ascii="宋体" w:hAnsi="宋体" w:eastAsia="宋体" w:cs="宋体"/>
                <w:spacing w:val="7"/>
                <w:sz w:val="17"/>
                <w:szCs w:val="17"/>
              </w:rPr>
              <w:t>实无法绕避的，应依法依规按程序科学论</w:t>
            </w:r>
            <w:r>
              <w:rPr>
                <w:rFonts w:ascii="宋体" w:hAnsi="宋体" w:eastAsia="宋体" w:cs="宋体"/>
                <w:sz w:val="17"/>
                <w:szCs w:val="17"/>
              </w:rPr>
              <w:t xml:space="preserve"> </w:t>
            </w:r>
            <w:r>
              <w:rPr>
                <w:rFonts w:ascii="宋体" w:hAnsi="宋体" w:eastAsia="宋体" w:cs="宋体"/>
                <w:spacing w:val="15"/>
                <w:sz w:val="17"/>
                <w:szCs w:val="17"/>
              </w:rPr>
              <w:t>证</w:t>
            </w:r>
            <w:r>
              <w:rPr>
                <w:rFonts w:ascii="宋体" w:hAnsi="宋体" w:eastAsia="宋体" w:cs="宋体"/>
                <w:spacing w:val="9"/>
                <w:sz w:val="17"/>
                <w:szCs w:val="17"/>
              </w:rPr>
              <w:t>，严格控制生态环境影响。</w:t>
            </w:r>
            <w:r>
              <w:rPr>
                <w:rFonts w:ascii="宋体" w:hAnsi="宋体" w:eastAsia="宋体" w:cs="宋体"/>
                <w:sz w:val="17"/>
                <w:szCs w:val="17"/>
              </w:rPr>
              <w:t xml:space="preserve">                 </w:t>
            </w:r>
            <w:r>
              <w:rPr>
                <w:rFonts w:ascii="宋体" w:hAnsi="宋体" w:eastAsia="宋体" w:cs="宋体"/>
                <w:spacing w:val="22"/>
                <w:sz w:val="17"/>
                <w:szCs w:val="17"/>
              </w:rPr>
              <w:t>4</w:t>
            </w:r>
            <w:r>
              <w:rPr>
                <w:rFonts w:ascii="宋体" w:hAnsi="宋体" w:eastAsia="宋体" w:cs="宋体"/>
                <w:spacing w:val="14"/>
                <w:sz w:val="17"/>
                <w:szCs w:val="17"/>
              </w:rPr>
              <w:t>、</w:t>
            </w:r>
            <w:r>
              <w:rPr>
                <w:rFonts w:ascii="宋体" w:hAnsi="宋体" w:eastAsia="宋体" w:cs="宋体"/>
                <w:spacing w:val="11"/>
                <w:sz w:val="17"/>
                <w:szCs w:val="17"/>
              </w:rPr>
              <w:t>规划项目经地质灾害较多的区域，除了绕避</w:t>
            </w:r>
            <w:r>
              <w:rPr>
                <w:rFonts w:ascii="宋体" w:hAnsi="宋体" w:eastAsia="宋体" w:cs="宋体"/>
                <w:sz w:val="17"/>
                <w:szCs w:val="17"/>
              </w:rPr>
              <w:t xml:space="preserve"> </w:t>
            </w:r>
            <w:r>
              <w:rPr>
                <w:rFonts w:ascii="宋体" w:hAnsi="宋体" w:eastAsia="宋体" w:cs="宋体"/>
                <w:spacing w:val="4"/>
                <w:sz w:val="17"/>
                <w:szCs w:val="17"/>
              </w:rPr>
              <w:t>之外，应</w:t>
            </w:r>
            <w:r>
              <w:rPr>
                <w:rFonts w:ascii="宋体" w:hAnsi="宋体" w:eastAsia="宋体" w:cs="宋体"/>
                <w:spacing w:val="2"/>
                <w:sz w:val="17"/>
                <w:szCs w:val="17"/>
              </w:rPr>
              <w:t>开展深入的地质灾害、地震安全性评估。</w:t>
            </w:r>
          </w:p>
        </w:tc>
        <w:tc>
          <w:tcPr>
            <w:tcW w:w="2599" w:type="dxa"/>
            <w:vAlign w:val="top"/>
          </w:tcPr>
          <w:p>
            <w:pPr>
              <w:spacing w:before="94" w:line="298" w:lineRule="auto"/>
              <w:ind w:left="42" w:right="27" w:firstLine="2"/>
              <w:rPr>
                <w:rFonts w:ascii="宋体" w:hAnsi="宋体" w:eastAsia="宋体" w:cs="宋体"/>
                <w:sz w:val="17"/>
                <w:szCs w:val="17"/>
              </w:rPr>
            </w:pPr>
            <w:r>
              <w:rPr>
                <w:rFonts w:ascii="宋体" w:hAnsi="宋体" w:eastAsia="宋体" w:cs="宋体"/>
                <w:spacing w:val="10"/>
                <w:sz w:val="17"/>
                <w:szCs w:val="17"/>
              </w:rPr>
              <w:t>2、项目不涉及野生动物通道</w:t>
            </w:r>
            <w:r>
              <w:rPr>
                <w:rFonts w:ascii="宋体" w:hAnsi="宋体" w:eastAsia="宋体" w:cs="宋体"/>
                <w:spacing w:val="9"/>
                <w:sz w:val="17"/>
                <w:szCs w:val="17"/>
              </w:rPr>
              <w:t>。</w:t>
            </w:r>
            <w:r>
              <w:rPr>
                <w:rFonts w:ascii="宋体" w:hAnsi="宋体" w:eastAsia="宋体" w:cs="宋体"/>
                <w:sz w:val="17"/>
                <w:szCs w:val="17"/>
              </w:rPr>
              <w:t xml:space="preserve"> </w:t>
            </w:r>
            <w:r>
              <w:rPr>
                <w:rFonts w:ascii="宋体" w:hAnsi="宋体" w:eastAsia="宋体" w:cs="宋体"/>
                <w:spacing w:val="4"/>
                <w:sz w:val="17"/>
                <w:szCs w:val="17"/>
              </w:rPr>
              <w:t>3、不涉及生态保护红线、自然</w:t>
            </w:r>
            <w:r>
              <w:rPr>
                <w:rFonts w:ascii="宋体" w:hAnsi="宋体" w:eastAsia="宋体" w:cs="宋体"/>
                <w:spacing w:val="2"/>
                <w:sz w:val="17"/>
                <w:szCs w:val="17"/>
              </w:rPr>
              <w:t>保</w:t>
            </w:r>
            <w:r>
              <w:rPr>
                <w:rFonts w:ascii="宋体" w:hAnsi="宋体" w:eastAsia="宋体" w:cs="宋体"/>
                <w:sz w:val="17"/>
                <w:szCs w:val="17"/>
              </w:rPr>
              <w:t xml:space="preserve"> </w:t>
            </w:r>
            <w:r>
              <w:rPr>
                <w:rFonts w:ascii="宋体" w:hAnsi="宋体" w:eastAsia="宋体" w:cs="宋体"/>
                <w:spacing w:val="18"/>
                <w:sz w:val="17"/>
                <w:szCs w:val="17"/>
              </w:rPr>
              <w:t>护</w:t>
            </w:r>
            <w:r>
              <w:rPr>
                <w:rFonts w:ascii="宋体" w:hAnsi="宋体" w:eastAsia="宋体" w:cs="宋体"/>
                <w:spacing w:val="10"/>
                <w:sz w:val="17"/>
                <w:szCs w:val="17"/>
              </w:rPr>
              <w:t>区等重要生态环境敏感区。</w:t>
            </w:r>
            <w:r>
              <w:rPr>
                <w:rFonts w:ascii="宋体" w:hAnsi="宋体" w:eastAsia="宋体" w:cs="宋体"/>
                <w:sz w:val="17"/>
                <w:szCs w:val="17"/>
              </w:rPr>
              <w:t xml:space="preserve">  </w:t>
            </w:r>
            <w:r>
              <w:rPr>
                <w:rFonts w:ascii="宋体" w:hAnsi="宋体" w:eastAsia="宋体" w:cs="宋体"/>
                <w:spacing w:val="4"/>
                <w:sz w:val="17"/>
                <w:szCs w:val="17"/>
              </w:rPr>
              <w:t>4、项目桥址不属于地质灾害较</w:t>
            </w:r>
            <w:r>
              <w:rPr>
                <w:rFonts w:ascii="宋体" w:hAnsi="宋体" w:eastAsia="宋体" w:cs="宋体"/>
                <w:spacing w:val="2"/>
                <w:sz w:val="17"/>
                <w:szCs w:val="17"/>
              </w:rPr>
              <w:t>多</w:t>
            </w:r>
            <w:r>
              <w:rPr>
                <w:rFonts w:ascii="宋体" w:hAnsi="宋体" w:eastAsia="宋体" w:cs="宋体"/>
                <w:sz w:val="17"/>
                <w:szCs w:val="17"/>
              </w:rPr>
              <w:t xml:space="preserve"> </w:t>
            </w:r>
            <w:r>
              <w:rPr>
                <w:rFonts w:ascii="宋体" w:hAnsi="宋体" w:eastAsia="宋体" w:cs="宋体"/>
                <w:spacing w:val="6"/>
                <w:sz w:val="17"/>
                <w:szCs w:val="17"/>
              </w:rPr>
              <w:t>的区域</w:t>
            </w:r>
            <w:r>
              <w:rPr>
                <w:rFonts w:ascii="宋体" w:hAnsi="宋体" w:eastAsia="宋体" w:cs="宋体"/>
                <w:spacing w:val="5"/>
                <w:sz w:val="17"/>
                <w:szCs w:val="17"/>
              </w:rPr>
              <w:t>。</w:t>
            </w:r>
          </w:p>
        </w:tc>
        <w:tc>
          <w:tcPr>
            <w:tcW w:w="740"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4" w:hRule="atLeast"/>
        </w:trPr>
        <w:tc>
          <w:tcPr>
            <w:tcW w:w="714" w:type="dxa"/>
            <w:vMerge w:val="continue"/>
            <w:tcBorders>
              <w:top w:val="nil"/>
              <w:left w:val="single" w:color="000000" w:sz="6" w:space="0"/>
              <w:bottom w:val="nil"/>
            </w:tcBorders>
            <w:vAlign w:val="top"/>
          </w:tcPr>
          <w:p>
            <w:pPr>
              <w:rPr>
                <w:rFonts w:ascii="Arial"/>
                <w:sz w:val="21"/>
              </w:rPr>
            </w:pPr>
          </w:p>
        </w:tc>
        <w:tc>
          <w:tcPr>
            <w:tcW w:w="114" w:type="dxa"/>
            <w:vMerge w:val="continue"/>
            <w:tcBorders>
              <w:top w:val="nil"/>
              <w:bottom w:val="nil"/>
            </w:tcBorders>
            <w:vAlign w:val="top"/>
          </w:tcPr>
          <w:p>
            <w:pPr>
              <w:rPr>
                <w:rFonts w:ascii="Arial"/>
                <w:sz w:val="21"/>
              </w:rPr>
            </w:pPr>
          </w:p>
        </w:tc>
        <w:tc>
          <w:tcPr>
            <w:tcW w:w="453" w:type="dxa"/>
            <w:vAlign w:val="top"/>
          </w:tcPr>
          <w:p>
            <w:pPr>
              <w:spacing w:line="357" w:lineRule="auto"/>
              <w:rPr>
                <w:rFonts w:ascii="Arial"/>
                <w:sz w:val="21"/>
              </w:rPr>
            </w:pPr>
          </w:p>
          <w:p>
            <w:pPr>
              <w:spacing w:line="358" w:lineRule="auto"/>
              <w:rPr>
                <w:rFonts w:ascii="Arial"/>
                <w:sz w:val="21"/>
              </w:rPr>
            </w:pPr>
          </w:p>
          <w:p>
            <w:pPr>
              <w:spacing w:before="49" w:line="197" w:lineRule="auto"/>
              <w:ind w:left="215"/>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tc>
        <w:tc>
          <w:tcPr>
            <w:tcW w:w="480" w:type="dxa"/>
            <w:vAlign w:val="top"/>
          </w:tcPr>
          <w:p>
            <w:pPr>
              <w:spacing w:line="272" w:lineRule="auto"/>
              <w:rPr>
                <w:rFonts w:ascii="Arial"/>
                <w:sz w:val="21"/>
              </w:rPr>
            </w:pPr>
          </w:p>
          <w:p>
            <w:pPr>
              <w:spacing w:line="272" w:lineRule="auto"/>
              <w:rPr>
                <w:rFonts w:ascii="Arial"/>
                <w:sz w:val="21"/>
              </w:rPr>
            </w:pPr>
          </w:p>
          <w:p>
            <w:pPr>
              <w:spacing w:before="56" w:line="305" w:lineRule="auto"/>
              <w:ind w:left="60" w:right="61" w:firstLine="2"/>
              <w:rPr>
                <w:rFonts w:ascii="宋体" w:hAnsi="宋体" w:eastAsia="宋体" w:cs="宋体"/>
                <w:sz w:val="17"/>
                <w:szCs w:val="17"/>
              </w:rPr>
            </w:pPr>
            <w:r>
              <w:rPr>
                <w:rFonts w:ascii="宋体" w:hAnsi="宋体" w:eastAsia="宋体" w:cs="宋体"/>
                <w:spacing w:val="5"/>
                <w:sz w:val="17"/>
                <w:szCs w:val="17"/>
              </w:rPr>
              <w:t>大气</w:t>
            </w:r>
            <w:r>
              <w:rPr>
                <w:rFonts w:ascii="宋体" w:hAnsi="宋体" w:eastAsia="宋体" w:cs="宋体"/>
                <w:sz w:val="17"/>
                <w:szCs w:val="17"/>
              </w:rPr>
              <w:t xml:space="preserve"> </w:t>
            </w:r>
            <w:r>
              <w:rPr>
                <w:rFonts w:ascii="宋体" w:hAnsi="宋体" w:eastAsia="宋体" w:cs="宋体"/>
                <w:spacing w:val="6"/>
                <w:sz w:val="17"/>
                <w:szCs w:val="17"/>
              </w:rPr>
              <w:t>环境</w:t>
            </w:r>
          </w:p>
        </w:tc>
        <w:tc>
          <w:tcPr>
            <w:tcW w:w="3835" w:type="dxa"/>
            <w:vAlign w:val="top"/>
          </w:tcPr>
          <w:p>
            <w:pPr>
              <w:spacing w:before="195" w:line="299" w:lineRule="auto"/>
              <w:ind w:left="38" w:right="30"/>
              <w:rPr>
                <w:rFonts w:ascii="宋体" w:hAnsi="宋体" w:eastAsia="宋体" w:cs="宋体"/>
                <w:sz w:val="17"/>
                <w:szCs w:val="17"/>
              </w:rPr>
            </w:pPr>
            <w:r>
              <w:rPr>
                <w:rFonts w:ascii="宋体" w:hAnsi="宋体" w:eastAsia="宋体" w:cs="宋体"/>
                <w:spacing w:val="9"/>
                <w:sz w:val="17"/>
                <w:szCs w:val="17"/>
              </w:rPr>
              <w:t>合理规划设置施工场地，优化施工运输方案，</w:t>
            </w:r>
            <w:r>
              <w:rPr>
                <w:rFonts w:ascii="宋体" w:hAnsi="宋体" w:eastAsia="宋体" w:cs="宋体"/>
                <w:spacing w:val="7"/>
                <w:sz w:val="17"/>
                <w:szCs w:val="17"/>
              </w:rPr>
              <w:t>加</w:t>
            </w:r>
            <w:r>
              <w:rPr>
                <w:rFonts w:ascii="宋体" w:hAnsi="宋体" w:eastAsia="宋体" w:cs="宋体"/>
                <w:sz w:val="17"/>
                <w:szCs w:val="17"/>
              </w:rPr>
              <w:t xml:space="preserve"> </w:t>
            </w:r>
            <w:r>
              <w:rPr>
                <w:rFonts w:ascii="宋体" w:hAnsi="宋体" w:eastAsia="宋体" w:cs="宋体"/>
                <w:spacing w:val="9"/>
                <w:sz w:val="17"/>
                <w:szCs w:val="17"/>
              </w:rPr>
              <w:t>强施工扬尘治理；堆场粉尘采取抑尘措施，限</w:t>
            </w:r>
            <w:r>
              <w:rPr>
                <w:rFonts w:ascii="宋体" w:hAnsi="宋体" w:eastAsia="宋体" w:cs="宋体"/>
                <w:spacing w:val="8"/>
                <w:sz w:val="17"/>
                <w:szCs w:val="17"/>
              </w:rPr>
              <w:t>制</w:t>
            </w:r>
            <w:r>
              <w:rPr>
                <w:rFonts w:ascii="宋体" w:hAnsi="宋体" w:eastAsia="宋体" w:cs="宋体"/>
                <w:sz w:val="17"/>
                <w:szCs w:val="17"/>
              </w:rPr>
              <w:t xml:space="preserve"> </w:t>
            </w:r>
            <w:r>
              <w:rPr>
                <w:rFonts w:ascii="宋体" w:hAnsi="宋体" w:eastAsia="宋体" w:cs="宋体"/>
                <w:spacing w:val="9"/>
                <w:sz w:val="17"/>
                <w:szCs w:val="17"/>
              </w:rPr>
              <w:t>尾气排放超标车辆上路，加大环境管理力度，</w:t>
            </w:r>
            <w:r>
              <w:rPr>
                <w:rFonts w:ascii="宋体" w:hAnsi="宋体" w:eastAsia="宋体" w:cs="宋体"/>
                <w:spacing w:val="8"/>
                <w:sz w:val="17"/>
                <w:szCs w:val="17"/>
              </w:rPr>
              <w:t>定</w:t>
            </w:r>
            <w:r>
              <w:rPr>
                <w:rFonts w:ascii="宋体" w:hAnsi="宋体" w:eastAsia="宋体" w:cs="宋体"/>
                <w:sz w:val="17"/>
                <w:szCs w:val="17"/>
              </w:rPr>
              <w:t xml:space="preserve"> </w:t>
            </w:r>
            <w:r>
              <w:rPr>
                <w:rFonts w:ascii="宋体" w:hAnsi="宋体" w:eastAsia="宋体" w:cs="宋体"/>
                <w:spacing w:val="18"/>
                <w:sz w:val="17"/>
                <w:szCs w:val="17"/>
              </w:rPr>
              <w:t>期对项目环评中规定点位的环境空气质量跟踪</w:t>
            </w:r>
            <w:r>
              <w:rPr>
                <w:rFonts w:ascii="宋体" w:hAnsi="宋体" w:eastAsia="宋体" w:cs="宋体"/>
                <w:sz w:val="17"/>
                <w:szCs w:val="17"/>
              </w:rPr>
              <w:t xml:space="preserve"> </w:t>
            </w:r>
            <w:r>
              <w:rPr>
                <w:rFonts w:ascii="宋体" w:hAnsi="宋体" w:eastAsia="宋体" w:cs="宋体"/>
                <w:spacing w:val="4"/>
                <w:sz w:val="17"/>
                <w:szCs w:val="17"/>
              </w:rPr>
              <w:t>监测。</w:t>
            </w:r>
          </w:p>
        </w:tc>
        <w:tc>
          <w:tcPr>
            <w:tcW w:w="2599" w:type="dxa"/>
            <w:vAlign w:val="top"/>
          </w:tcPr>
          <w:p>
            <w:pPr>
              <w:spacing w:before="65" w:line="282" w:lineRule="auto"/>
              <w:ind w:left="42" w:right="27"/>
              <w:rPr>
                <w:rFonts w:ascii="宋体" w:hAnsi="宋体" w:eastAsia="宋体" w:cs="宋体"/>
                <w:sz w:val="17"/>
                <w:szCs w:val="17"/>
              </w:rPr>
            </w:pPr>
            <w:r>
              <w:rPr>
                <w:rFonts w:ascii="宋体" w:hAnsi="宋体" w:eastAsia="宋体" w:cs="宋体"/>
                <w:spacing w:val="10"/>
                <w:sz w:val="17"/>
                <w:szCs w:val="17"/>
              </w:rPr>
              <w:t>施工期间将合理规划设置施工场</w:t>
            </w:r>
            <w:r>
              <w:rPr>
                <w:rFonts w:ascii="宋体" w:hAnsi="宋体" w:eastAsia="宋体" w:cs="宋体"/>
                <w:sz w:val="17"/>
                <w:szCs w:val="17"/>
              </w:rPr>
              <w:t xml:space="preserve"> </w:t>
            </w:r>
            <w:r>
              <w:rPr>
                <w:rFonts w:ascii="宋体" w:hAnsi="宋体" w:eastAsia="宋体" w:cs="宋体"/>
                <w:spacing w:val="12"/>
                <w:sz w:val="17"/>
                <w:szCs w:val="17"/>
              </w:rPr>
              <w:t>地</w:t>
            </w:r>
            <w:r>
              <w:rPr>
                <w:rFonts w:ascii="宋体" w:hAnsi="宋体" w:eastAsia="宋体" w:cs="宋体"/>
                <w:spacing w:val="10"/>
                <w:sz w:val="17"/>
                <w:szCs w:val="17"/>
              </w:rPr>
              <w:t>，优化施工运输方案，采取打</w:t>
            </w:r>
            <w:r>
              <w:rPr>
                <w:rFonts w:ascii="宋体" w:hAnsi="宋体" w:eastAsia="宋体" w:cs="宋体"/>
                <w:sz w:val="17"/>
                <w:szCs w:val="17"/>
              </w:rPr>
              <w:t xml:space="preserve"> </w:t>
            </w:r>
            <w:r>
              <w:rPr>
                <w:rFonts w:ascii="宋体" w:hAnsi="宋体" w:eastAsia="宋体" w:cs="宋体"/>
                <w:spacing w:val="12"/>
                <w:sz w:val="17"/>
                <w:szCs w:val="17"/>
              </w:rPr>
              <w:t>围</w:t>
            </w:r>
            <w:r>
              <w:rPr>
                <w:rFonts w:ascii="宋体" w:hAnsi="宋体" w:eastAsia="宋体" w:cs="宋体"/>
                <w:spacing w:val="10"/>
                <w:sz w:val="17"/>
                <w:szCs w:val="17"/>
              </w:rPr>
              <w:t>施工、喷雾防尘，堆场覆盖及</w:t>
            </w:r>
            <w:r>
              <w:rPr>
                <w:rFonts w:ascii="宋体" w:hAnsi="宋体" w:eastAsia="宋体" w:cs="宋体"/>
                <w:sz w:val="17"/>
                <w:szCs w:val="17"/>
              </w:rPr>
              <w:t xml:space="preserve"> </w:t>
            </w:r>
            <w:r>
              <w:rPr>
                <w:rFonts w:ascii="宋体" w:hAnsi="宋体" w:eastAsia="宋体" w:cs="宋体"/>
                <w:spacing w:val="10"/>
                <w:sz w:val="17"/>
                <w:szCs w:val="17"/>
              </w:rPr>
              <w:t>洒水保湿等措施控制扬尘，限制</w:t>
            </w:r>
            <w:r>
              <w:rPr>
                <w:rFonts w:ascii="宋体" w:hAnsi="宋体" w:eastAsia="宋体" w:cs="宋体"/>
                <w:sz w:val="17"/>
                <w:szCs w:val="17"/>
              </w:rPr>
              <w:t xml:space="preserve"> </w:t>
            </w:r>
            <w:r>
              <w:rPr>
                <w:rFonts w:ascii="宋体" w:hAnsi="宋体" w:eastAsia="宋体" w:cs="宋体"/>
                <w:spacing w:val="12"/>
                <w:sz w:val="17"/>
                <w:szCs w:val="17"/>
              </w:rPr>
              <w:t>尾</w:t>
            </w:r>
            <w:r>
              <w:rPr>
                <w:rFonts w:ascii="宋体" w:hAnsi="宋体" w:eastAsia="宋体" w:cs="宋体"/>
                <w:spacing w:val="10"/>
                <w:sz w:val="17"/>
                <w:szCs w:val="17"/>
              </w:rPr>
              <w:t>气排放超标车辆上路，施工大</w:t>
            </w:r>
            <w:r>
              <w:rPr>
                <w:rFonts w:ascii="宋体" w:hAnsi="宋体" w:eastAsia="宋体" w:cs="宋体"/>
                <w:sz w:val="17"/>
                <w:szCs w:val="17"/>
              </w:rPr>
              <w:t xml:space="preserve"> </w:t>
            </w:r>
            <w:r>
              <w:rPr>
                <w:rFonts w:ascii="宋体" w:hAnsi="宋体" w:eastAsia="宋体" w:cs="宋体"/>
                <w:spacing w:val="16"/>
                <w:sz w:val="17"/>
                <w:szCs w:val="17"/>
              </w:rPr>
              <w:t>门</w:t>
            </w:r>
            <w:r>
              <w:rPr>
                <w:rFonts w:ascii="宋体" w:hAnsi="宋体" w:eastAsia="宋体" w:cs="宋体"/>
                <w:spacing w:val="8"/>
                <w:sz w:val="17"/>
                <w:szCs w:val="17"/>
              </w:rPr>
              <w:t>口设置空气实时监测器等。</w:t>
            </w:r>
          </w:p>
        </w:tc>
        <w:tc>
          <w:tcPr>
            <w:tcW w:w="740" w:type="dxa"/>
            <w:tcBorders>
              <w:right w:val="single" w:color="000000" w:sz="6" w:space="0"/>
            </w:tcBorders>
            <w:vAlign w:val="top"/>
          </w:tcPr>
          <w:p>
            <w:pPr>
              <w:spacing w:line="339" w:lineRule="auto"/>
              <w:rPr>
                <w:rFonts w:ascii="Arial"/>
                <w:sz w:val="21"/>
              </w:rPr>
            </w:pPr>
          </w:p>
          <w:p>
            <w:pPr>
              <w:spacing w:line="339" w:lineRule="auto"/>
              <w:rPr>
                <w:rFonts w:ascii="Arial"/>
                <w:sz w:val="21"/>
              </w:rPr>
            </w:pPr>
          </w:p>
          <w:p>
            <w:pPr>
              <w:spacing w:before="55" w:line="230" w:lineRule="auto"/>
              <w:ind w:left="141"/>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4" w:hRule="atLeast"/>
        </w:trPr>
        <w:tc>
          <w:tcPr>
            <w:tcW w:w="714" w:type="dxa"/>
            <w:vMerge w:val="continue"/>
            <w:tcBorders>
              <w:top w:val="nil"/>
              <w:left w:val="single" w:color="000000" w:sz="6" w:space="0"/>
              <w:bottom w:val="nil"/>
            </w:tcBorders>
            <w:vAlign w:val="top"/>
          </w:tcPr>
          <w:p>
            <w:pPr>
              <w:rPr>
                <w:rFonts w:ascii="Arial"/>
                <w:sz w:val="21"/>
              </w:rPr>
            </w:pPr>
          </w:p>
        </w:tc>
        <w:tc>
          <w:tcPr>
            <w:tcW w:w="114" w:type="dxa"/>
            <w:vMerge w:val="continue"/>
            <w:tcBorders>
              <w:top w:val="nil"/>
              <w:bottom w:val="nil"/>
            </w:tcBorders>
            <w:vAlign w:val="top"/>
          </w:tcPr>
          <w:p>
            <w:pPr>
              <w:rPr>
                <w:rFonts w:ascii="Arial"/>
                <w:sz w:val="21"/>
              </w:rPr>
            </w:pPr>
          </w:p>
        </w:tc>
        <w:tc>
          <w:tcPr>
            <w:tcW w:w="453"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49" w:line="197" w:lineRule="auto"/>
              <w:ind w:left="21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480"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56" w:line="307" w:lineRule="auto"/>
              <w:ind w:left="149" w:right="61" w:hanging="87"/>
              <w:rPr>
                <w:rFonts w:ascii="宋体" w:hAnsi="宋体" w:eastAsia="宋体" w:cs="宋体"/>
                <w:sz w:val="17"/>
                <w:szCs w:val="17"/>
              </w:rPr>
            </w:pPr>
            <w:r>
              <w:rPr>
                <w:rFonts w:ascii="宋体" w:hAnsi="宋体" w:eastAsia="宋体" w:cs="宋体"/>
                <w:spacing w:val="5"/>
                <w:sz w:val="17"/>
                <w:szCs w:val="17"/>
              </w:rPr>
              <w:t>水环</w:t>
            </w:r>
            <w:r>
              <w:rPr>
                <w:rFonts w:ascii="宋体" w:hAnsi="宋体" w:eastAsia="宋体" w:cs="宋体"/>
                <w:sz w:val="17"/>
                <w:szCs w:val="17"/>
              </w:rPr>
              <w:t xml:space="preserve"> </w:t>
            </w:r>
            <w:r>
              <w:rPr>
                <w:rFonts w:ascii="宋体" w:hAnsi="宋体" w:eastAsia="宋体" w:cs="宋体"/>
                <w:spacing w:val="2"/>
                <w:sz w:val="17"/>
                <w:szCs w:val="17"/>
              </w:rPr>
              <w:t>境</w:t>
            </w:r>
          </w:p>
        </w:tc>
        <w:tc>
          <w:tcPr>
            <w:tcW w:w="3835" w:type="dxa"/>
            <w:vAlign w:val="top"/>
          </w:tcPr>
          <w:p>
            <w:pPr>
              <w:spacing w:before="61" w:line="287" w:lineRule="auto"/>
              <w:ind w:left="38" w:firstLine="13"/>
              <w:rPr>
                <w:rFonts w:ascii="宋体" w:hAnsi="宋体" w:eastAsia="宋体" w:cs="宋体"/>
                <w:sz w:val="17"/>
                <w:szCs w:val="17"/>
              </w:rPr>
            </w:pPr>
            <w:r>
              <w:rPr>
                <w:rFonts w:ascii="宋体" w:hAnsi="宋体" w:eastAsia="宋体" w:cs="宋体"/>
                <w:spacing w:val="16"/>
                <w:sz w:val="17"/>
                <w:szCs w:val="17"/>
              </w:rPr>
              <w:t>1</w:t>
            </w:r>
            <w:r>
              <w:rPr>
                <w:rFonts w:ascii="宋体" w:hAnsi="宋体" w:eastAsia="宋体" w:cs="宋体"/>
                <w:spacing w:val="15"/>
                <w:sz w:val="17"/>
                <w:szCs w:val="17"/>
              </w:rPr>
              <w:t>、</w:t>
            </w:r>
            <w:r>
              <w:rPr>
                <w:rFonts w:ascii="宋体" w:hAnsi="宋体" w:eastAsia="宋体" w:cs="宋体"/>
                <w:spacing w:val="8"/>
                <w:sz w:val="17"/>
                <w:szCs w:val="17"/>
              </w:rPr>
              <w:t>规划项目选线选址尽量避绕敏感水体。</w:t>
            </w:r>
            <w:r>
              <w:rPr>
                <w:rFonts w:ascii="宋体" w:hAnsi="宋体" w:eastAsia="宋体" w:cs="宋体"/>
                <w:sz w:val="17"/>
                <w:szCs w:val="17"/>
              </w:rPr>
              <w:t xml:space="preserve">      </w:t>
            </w:r>
            <w:r>
              <w:rPr>
                <w:rFonts w:ascii="宋体" w:hAnsi="宋体" w:eastAsia="宋体" w:cs="宋体"/>
                <w:spacing w:val="17"/>
                <w:sz w:val="17"/>
                <w:szCs w:val="17"/>
              </w:rPr>
              <w:t>2</w:t>
            </w:r>
            <w:r>
              <w:rPr>
                <w:rFonts w:ascii="宋体" w:hAnsi="宋体" w:eastAsia="宋体" w:cs="宋体"/>
                <w:spacing w:val="12"/>
                <w:sz w:val="17"/>
                <w:szCs w:val="17"/>
              </w:rPr>
              <w:t>、严格施工管理，施工废水和生活污水集中收</w:t>
            </w:r>
            <w:r>
              <w:rPr>
                <w:rFonts w:ascii="宋体" w:hAnsi="宋体" w:eastAsia="宋体" w:cs="宋体"/>
                <w:sz w:val="17"/>
                <w:szCs w:val="17"/>
              </w:rPr>
              <w:t xml:space="preserve"> </w:t>
            </w:r>
            <w:r>
              <w:rPr>
                <w:rFonts w:ascii="宋体" w:hAnsi="宋体" w:eastAsia="宋体" w:cs="宋体"/>
                <w:spacing w:val="4"/>
                <w:sz w:val="17"/>
                <w:szCs w:val="17"/>
              </w:rPr>
              <w:t>集处理</w:t>
            </w:r>
            <w:r>
              <w:rPr>
                <w:rFonts w:ascii="宋体" w:hAnsi="宋体" w:eastAsia="宋体" w:cs="宋体"/>
                <w:spacing w:val="3"/>
                <w:sz w:val="17"/>
                <w:szCs w:val="17"/>
              </w:rPr>
              <w:t>，</w:t>
            </w:r>
            <w:r>
              <w:rPr>
                <w:rFonts w:ascii="宋体" w:hAnsi="宋体" w:eastAsia="宋体" w:cs="宋体"/>
                <w:spacing w:val="2"/>
                <w:sz w:val="17"/>
                <w:szCs w:val="17"/>
              </w:rPr>
              <w:t>严禁乱排，禁止施工弃渣弃土进入河道，</w:t>
            </w:r>
            <w:r>
              <w:rPr>
                <w:rFonts w:ascii="宋体" w:hAnsi="宋体" w:eastAsia="宋体" w:cs="宋体"/>
                <w:sz w:val="17"/>
                <w:szCs w:val="17"/>
              </w:rPr>
              <w:t xml:space="preserve"> </w:t>
            </w:r>
            <w:r>
              <w:rPr>
                <w:rFonts w:ascii="宋体" w:hAnsi="宋体" w:eastAsia="宋体" w:cs="宋体"/>
                <w:spacing w:val="16"/>
                <w:sz w:val="17"/>
                <w:szCs w:val="17"/>
              </w:rPr>
              <w:t>完</w:t>
            </w:r>
            <w:r>
              <w:rPr>
                <w:rFonts w:ascii="宋体" w:hAnsi="宋体" w:eastAsia="宋体" w:cs="宋体"/>
                <w:spacing w:val="14"/>
                <w:sz w:val="17"/>
                <w:szCs w:val="17"/>
              </w:rPr>
              <w:t>善</w:t>
            </w:r>
            <w:r>
              <w:rPr>
                <w:rFonts w:ascii="宋体" w:hAnsi="宋体" w:eastAsia="宋体" w:cs="宋体"/>
                <w:spacing w:val="8"/>
                <w:sz w:val="17"/>
                <w:szCs w:val="17"/>
              </w:rPr>
              <w:t>桥 (路) 面径流收集处理系统。</w:t>
            </w:r>
            <w:r>
              <w:rPr>
                <w:rFonts w:ascii="宋体" w:hAnsi="宋体" w:eastAsia="宋体" w:cs="宋体"/>
                <w:sz w:val="17"/>
                <w:szCs w:val="17"/>
              </w:rPr>
              <w:t xml:space="preserve">           </w:t>
            </w:r>
            <w:r>
              <w:rPr>
                <w:rFonts w:ascii="宋体" w:hAnsi="宋体" w:eastAsia="宋体" w:cs="宋体"/>
                <w:spacing w:val="17"/>
                <w:sz w:val="17"/>
                <w:szCs w:val="17"/>
              </w:rPr>
              <w:t>3</w:t>
            </w:r>
            <w:r>
              <w:rPr>
                <w:rFonts w:ascii="宋体" w:hAnsi="宋体" w:eastAsia="宋体" w:cs="宋体"/>
                <w:spacing w:val="12"/>
                <w:sz w:val="17"/>
                <w:szCs w:val="17"/>
              </w:rPr>
              <w:t>、项目运营阶段，加强公路路面排水系统和水</w:t>
            </w:r>
            <w:r>
              <w:rPr>
                <w:rFonts w:ascii="宋体" w:hAnsi="宋体" w:eastAsia="宋体" w:cs="宋体"/>
                <w:sz w:val="17"/>
                <w:szCs w:val="17"/>
              </w:rPr>
              <w:t xml:space="preserve"> </w:t>
            </w:r>
            <w:r>
              <w:rPr>
                <w:rFonts w:ascii="宋体" w:hAnsi="宋体" w:eastAsia="宋体" w:cs="宋体"/>
                <w:spacing w:val="15"/>
                <w:sz w:val="17"/>
                <w:szCs w:val="17"/>
              </w:rPr>
              <w:t>处</w:t>
            </w:r>
            <w:r>
              <w:rPr>
                <w:rFonts w:ascii="宋体" w:hAnsi="宋体" w:eastAsia="宋体" w:cs="宋体"/>
                <w:spacing w:val="8"/>
                <w:sz w:val="17"/>
                <w:szCs w:val="17"/>
              </w:rPr>
              <w:t>理设备的养护；港口码头、机场等废水应采用</w:t>
            </w:r>
            <w:r>
              <w:rPr>
                <w:rFonts w:ascii="宋体" w:hAnsi="宋体" w:eastAsia="宋体" w:cs="宋体"/>
                <w:sz w:val="17"/>
                <w:szCs w:val="17"/>
              </w:rPr>
              <w:t xml:space="preserve"> </w:t>
            </w:r>
            <w:r>
              <w:rPr>
                <w:rFonts w:ascii="宋体" w:hAnsi="宋体" w:eastAsia="宋体" w:cs="宋体"/>
                <w:spacing w:val="15"/>
                <w:sz w:val="17"/>
                <w:szCs w:val="17"/>
              </w:rPr>
              <w:t>分</w:t>
            </w:r>
            <w:r>
              <w:rPr>
                <w:rFonts w:ascii="宋体" w:hAnsi="宋体" w:eastAsia="宋体" w:cs="宋体"/>
                <w:spacing w:val="8"/>
                <w:sz w:val="17"/>
                <w:szCs w:val="17"/>
              </w:rPr>
              <w:t>类分流制排水系统，废水应优先纳入公共污水</w:t>
            </w:r>
            <w:r>
              <w:rPr>
                <w:rFonts w:ascii="宋体" w:hAnsi="宋体" w:eastAsia="宋体" w:cs="宋体"/>
                <w:sz w:val="17"/>
                <w:szCs w:val="17"/>
              </w:rPr>
              <w:t xml:space="preserve"> </w:t>
            </w:r>
            <w:r>
              <w:rPr>
                <w:rFonts w:ascii="宋体" w:hAnsi="宋体" w:eastAsia="宋体" w:cs="宋体"/>
                <w:spacing w:val="18"/>
                <w:sz w:val="17"/>
                <w:szCs w:val="17"/>
              </w:rPr>
              <w:t>处</w:t>
            </w:r>
            <w:r>
              <w:rPr>
                <w:rFonts w:ascii="宋体" w:hAnsi="宋体" w:eastAsia="宋体" w:cs="宋体"/>
                <w:spacing w:val="16"/>
                <w:sz w:val="17"/>
                <w:szCs w:val="17"/>
              </w:rPr>
              <w:t>理</w:t>
            </w:r>
            <w:r>
              <w:rPr>
                <w:rFonts w:ascii="宋体" w:hAnsi="宋体" w:eastAsia="宋体" w:cs="宋体"/>
                <w:spacing w:val="9"/>
                <w:sz w:val="17"/>
                <w:szCs w:val="17"/>
              </w:rPr>
              <w:t>系统，无法纳入时，应自建污水处理系统。</w:t>
            </w:r>
            <w:r>
              <w:rPr>
                <w:rFonts w:ascii="宋体" w:hAnsi="宋体" w:eastAsia="宋体" w:cs="宋体"/>
                <w:sz w:val="17"/>
                <w:szCs w:val="17"/>
              </w:rPr>
              <w:t xml:space="preserve"> </w:t>
            </w:r>
            <w:r>
              <w:rPr>
                <w:rFonts w:ascii="宋体" w:hAnsi="宋体" w:eastAsia="宋体" w:cs="宋体"/>
                <w:spacing w:val="24"/>
                <w:sz w:val="17"/>
                <w:szCs w:val="17"/>
              </w:rPr>
              <w:t>针</w:t>
            </w:r>
            <w:r>
              <w:rPr>
                <w:rFonts w:ascii="宋体" w:hAnsi="宋体" w:eastAsia="宋体" w:cs="宋体"/>
                <w:spacing w:val="17"/>
                <w:sz w:val="17"/>
                <w:szCs w:val="17"/>
              </w:rPr>
              <w:t>对污水处理设施设置长效运营监管机制和长</w:t>
            </w:r>
            <w:r>
              <w:rPr>
                <w:rFonts w:ascii="宋体" w:hAnsi="宋体" w:eastAsia="宋体" w:cs="宋体"/>
                <w:sz w:val="17"/>
                <w:szCs w:val="17"/>
              </w:rPr>
              <w:t xml:space="preserve"> </w:t>
            </w:r>
            <w:r>
              <w:rPr>
                <w:rFonts w:ascii="宋体" w:hAnsi="宋体" w:eastAsia="宋体" w:cs="宋体"/>
                <w:spacing w:val="16"/>
                <w:sz w:val="17"/>
                <w:szCs w:val="17"/>
              </w:rPr>
              <w:t>期</w:t>
            </w:r>
            <w:r>
              <w:rPr>
                <w:rFonts w:ascii="宋体" w:hAnsi="宋体" w:eastAsia="宋体" w:cs="宋体"/>
                <w:spacing w:val="9"/>
                <w:sz w:val="17"/>
                <w:szCs w:val="17"/>
              </w:rPr>
              <w:t>监</w:t>
            </w:r>
            <w:r>
              <w:rPr>
                <w:rFonts w:ascii="宋体" w:hAnsi="宋体" w:eastAsia="宋体" w:cs="宋体"/>
                <w:spacing w:val="8"/>
                <w:sz w:val="17"/>
                <w:szCs w:val="17"/>
              </w:rPr>
              <w:t>测方案，避免其对周边环境造成污染。</w:t>
            </w:r>
          </w:p>
        </w:tc>
        <w:tc>
          <w:tcPr>
            <w:tcW w:w="2599" w:type="dxa"/>
            <w:vAlign w:val="top"/>
          </w:tcPr>
          <w:p>
            <w:pPr>
              <w:spacing w:line="279" w:lineRule="auto"/>
              <w:rPr>
                <w:rFonts w:ascii="Arial"/>
                <w:sz w:val="21"/>
              </w:rPr>
            </w:pPr>
          </w:p>
          <w:p>
            <w:pPr>
              <w:spacing w:before="55" w:line="296" w:lineRule="auto"/>
              <w:ind w:left="42" w:right="27" w:firstLine="14"/>
              <w:rPr>
                <w:rFonts w:ascii="宋体" w:hAnsi="宋体" w:eastAsia="宋体" w:cs="宋体"/>
                <w:sz w:val="17"/>
                <w:szCs w:val="17"/>
              </w:rPr>
            </w:pPr>
            <w:r>
              <w:rPr>
                <w:rFonts w:ascii="宋体" w:hAnsi="宋体" w:eastAsia="宋体" w:cs="宋体"/>
                <w:spacing w:val="11"/>
                <w:sz w:val="17"/>
                <w:szCs w:val="17"/>
              </w:rPr>
              <w:t>1</w:t>
            </w:r>
            <w:r>
              <w:rPr>
                <w:rFonts w:ascii="宋体" w:hAnsi="宋体" w:eastAsia="宋体" w:cs="宋体"/>
                <w:spacing w:val="9"/>
                <w:sz w:val="17"/>
                <w:szCs w:val="17"/>
              </w:rPr>
              <w:t>、项目选址不属于敏感水体。</w:t>
            </w:r>
            <w:r>
              <w:rPr>
                <w:rFonts w:ascii="宋体" w:hAnsi="宋体" w:eastAsia="宋体" w:cs="宋体"/>
                <w:sz w:val="17"/>
                <w:szCs w:val="17"/>
              </w:rPr>
              <w:t xml:space="preserve"> </w:t>
            </w:r>
            <w:r>
              <w:rPr>
                <w:rFonts w:ascii="宋体" w:hAnsi="宋体" w:eastAsia="宋体" w:cs="宋体"/>
                <w:spacing w:val="4"/>
                <w:sz w:val="17"/>
                <w:szCs w:val="17"/>
              </w:rPr>
              <w:t>2、施工期间加强管理，施工废</w:t>
            </w:r>
            <w:r>
              <w:rPr>
                <w:rFonts w:ascii="宋体" w:hAnsi="宋体" w:eastAsia="宋体" w:cs="宋体"/>
                <w:spacing w:val="2"/>
                <w:sz w:val="17"/>
                <w:szCs w:val="17"/>
              </w:rPr>
              <w:t>水</w:t>
            </w:r>
            <w:r>
              <w:rPr>
                <w:rFonts w:ascii="宋体" w:hAnsi="宋体" w:eastAsia="宋体" w:cs="宋体"/>
                <w:sz w:val="17"/>
                <w:szCs w:val="17"/>
              </w:rPr>
              <w:t xml:space="preserve"> </w:t>
            </w:r>
            <w:r>
              <w:rPr>
                <w:rFonts w:ascii="宋体" w:hAnsi="宋体" w:eastAsia="宋体" w:cs="宋体"/>
                <w:spacing w:val="10"/>
                <w:sz w:val="17"/>
                <w:szCs w:val="17"/>
              </w:rPr>
              <w:t>和生活污水集中收集处理，委托</w:t>
            </w:r>
            <w:r>
              <w:rPr>
                <w:rFonts w:ascii="宋体" w:hAnsi="宋体" w:eastAsia="宋体" w:cs="宋体"/>
                <w:sz w:val="17"/>
                <w:szCs w:val="17"/>
              </w:rPr>
              <w:t xml:space="preserve"> </w:t>
            </w:r>
            <w:r>
              <w:rPr>
                <w:rFonts w:ascii="宋体" w:hAnsi="宋体" w:eastAsia="宋体" w:cs="宋体"/>
                <w:spacing w:val="10"/>
                <w:sz w:val="17"/>
                <w:szCs w:val="17"/>
              </w:rPr>
              <w:t>吸粪车定期抽拉；施工弃渣弃土</w:t>
            </w:r>
            <w:r>
              <w:rPr>
                <w:rFonts w:ascii="宋体" w:hAnsi="宋体" w:eastAsia="宋体" w:cs="宋体"/>
                <w:sz w:val="17"/>
                <w:szCs w:val="17"/>
              </w:rPr>
              <w:t xml:space="preserve"> </w:t>
            </w:r>
            <w:r>
              <w:rPr>
                <w:rFonts w:ascii="宋体" w:hAnsi="宋体" w:eastAsia="宋体" w:cs="宋体"/>
                <w:spacing w:val="6"/>
                <w:sz w:val="17"/>
                <w:szCs w:val="17"/>
              </w:rPr>
              <w:t>及时外</w:t>
            </w:r>
            <w:r>
              <w:rPr>
                <w:rFonts w:ascii="宋体" w:hAnsi="宋体" w:eastAsia="宋体" w:cs="宋体"/>
                <w:spacing w:val="4"/>
                <w:sz w:val="17"/>
                <w:szCs w:val="17"/>
              </w:rPr>
              <w:t>运</w:t>
            </w:r>
            <w:r>
              <w:rPr>
                <w:rFonts w:ascii="宋体" w:hAnsi="宋体" w:eastAsia="宋体" w:cs="宋体"/>
                <w:spacing w:val="3"/>
                <w:sz w:val="17"/>
                <w:szCs w:val="17"/>
              </w:rPr>
              <w:t>，禁止进入河道； 同时</w:t>
            </w:r>
            <w:r>
              <w:rPr>
                <w:rFonts w:ascii="宋体" w:hAnsi="宋体" w:eastAsia="宋体" w:cs="宋体"/>
                <w:sz w:val="17"/>
                <w:szCs w:val="17"/>
              </w:rPr>
              <w:t xml:space="preserve"> </w:t>
            </w:r>
            <w:r>
              <w:rPr>
                <w:rFonts w:ascii="宋体" w:hAnsi="宋体" w:eastAsia="宋体" w:cs="宋体"/>
                <w:spacing w:val="18"/>
                <w:sz w:val="17"/>
                <w:szCs w:val="17"/>
              </w:rPr>
              <w:t>配</w:t>
            </w:r>
            <w:r>
              <w:rPr>
                <w:rFonts w:ascii="宋体" w:hAnsi="宋体" w:eastAsia="宋体" w:cs="宋体"/>
                <w:spacing w:val="10"/>
                <w:sz w:val="17"/>
                <w:szCs w:val="17"/>
              </w:rPr>
              <w:t>套桥面径流收集处理系统。</w:t>
            </w:r>
            <w:r>
              <w:rPr>
                <w:rFonts w:ascii="宋体" w:hAnsi="宋体" w:eastAsia="宋体" w:cs="宋体"/>
                <w:sz w:val="17"/>
                <w:szCs w:val="17"/>
              </w:rPr>
              <w:t xml:space="preserve">  </w:t>
            </w:r>
            <w:r>
              <w:rPr>
                <w:rFonts w:ascii="宋体" w:hAnsi="宋体" w:eastAsia="宋体" w:cs="宋体"/>
                <w:spacing w:val="4"/>
                <w:sz w:val="17"/>
                <w:szCs w:val="17"/>
              </w:rPr>
              <w:t>3、项目运营阶段，加强公路路</w:t>
            </w:r>
            <w:r>
              <w:rPr>
                <w:rFonts w:ascii="宋体" w:hAnsi="宋体" w:eastAsia="宋体" w:cs="宋体"/>
                <w:spacing w:val="2"/>
                <w:sz w:val="17"/>
                <w:szCs w:val="17"/>
              </w:rPr>
              <w:t>面</w:t>
            </w:r>
            <w:r>
              <w:rPr>
                <w:rFonts w:ascii="宋体" w:hAnsi="宋体" w:eastAsia="宋体" w:cs="宋体"/>
                <w:sz w:val="17"/>
                <w:szCs w:val="17"/>
              </w:rPr>
              <w:t xml:space="preserve"> </w:t>
            </w:r>
            <w:r>
              <w:rPr>
                <w:rFonts w:ascii="宋体" w:hAnsi="宋体" w:eastAsia="宋体" w:cs="宋体"/>
                <w:spacing w:val="9"/>
                <w:sz w:val="17"/>
                <w:szCs w:val="17"/>
              </w:rPr>
              <w:t>排水系统和水处理设备的养护</w:t>
            </w:r>
            <w:r>
              <w:rPr>
                <w:rFonts w:ascii="宋体" w:hAnsi="宋体" w:eastAsia="宋体" w:cs="宋体"/>
                <w:spacing w:val="6"/>
                <w:sz w:val="17"/>
                <w:szCs w:val="17"/>
              </w:rPr>
              <w:t>。</w:t>
            </w:r>
          </w:p>
        </w:tc>
        <w:tc>
          <w:tcPr>
            <w:tcW w:w="740" w:type="dxa"/>
            <w:tcBorders>
              <w:right w:val="single" w:color="00000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6" w:line="230" w:lineRule="auto"/>
              <w:ind w:left="141"/>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4" w:hRule="atLeast"/>
        </w:trPr>
        <w:tc>
          <w:tcPr>
            <w:tcW w:w="714" w:type="dxa"/>
            <w:vMerge w:val="continue"/>
            <w:tcBorders>
              <w:top w:val="nil"/>
              <w:left w:val="single" w:color="000000" w:sz="6" w:space="0"/>
              <w:bottom w:val="nil"/>
            </w:tcBorders>
            <w:vAlign w:val="top"/>
          </w:tcPr>
          <w:p>
            <w:pPr>
              <w:rPr>
                <w:rFonts w:ascii="Arial"/>
                <w:sz w:val="21"/>
              </w:rPr>
            </w:pPr>
          </w:p>
        </w:tc>
        <w:tc>
          <w:tcPr>
            <w:tcW w:w="114" w:type="dxa"/>
            <w:vMerge w:val="continue"/>
            <w:tcBorders>
              <w:top w:val="nil"/>
              <w:bottom w:val="nil"/>
            </w:tcBorders>
            <w:vAlign w:val="top"/>
          </w:tcPr>
          <w:p>
            <w:pPr>
              <w:rPr>
                <w:rFonts w:ascii="Arial"/>
                <w:sz w:val="21"/>
              </w:rPr>
            </w:pPr>
          </w:p>
        </w:tc>
        <w:tc>
          <w:tcPr>
            <w:tcW w:w="453"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48" w:line="194" w:lineRule="auto"/>
              <w:ind w:left="217"/>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480"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56" w:line="305" w:lineRule="auto"/>
              <w:ind w:left="148" w:right="61" w:hanging="85"/>
              <w:rPr>
                <w:rFonts w:ascii="宋体" w:hAnsi="宋体" w:eastAsia="宋体" w:cs="宋体"/>
                <w:sz w:val="17"/>
                <w:szCs w:val="17"/>
              </w:rPr>
            </w:pPr>
            <w:r>
              <w:rPr>
                <w:rFonts w:ascii="宋体" w:hAnsi="宋体" w:eastAsia="宋体" w:cs="宋体"/>
                <w:spacing w:val="5"/>
                <w:sz w:val="17"/>
                <w:szCs w:val="17"/>
              </w:rPr>
              <w:t>声</w:t>
            </w:r>
            <w:r>
              <w:rPr>
                <w:rFonts w:ascii="宋体" w:hAnsi="宋体" w:eastAsia="宋体" w:cs="宋体"/>
                <w:spacing w:val="4"/>
                <w:sz w:val="17"/>
                <w:szCs w:val="17"/>
              </w:rPr>
              <w:t>环</w:t>
            </w:r>
            <w:r>
              <w:rPr>
                <w:rFonts w:ascii="宋体" w:hAnsi="宋体" w:eastAsia="宋体" w:cs="宋体"/>
                <w:sz w:val="17"/>
                <w:szCs w:val="17"/>
              </w:rPr>
              <w:t xml:space="preserve"> </w:t>
            </w:r>
            <w:r>
              <w:rPr>
                <w:rFonts w:ascii="宋体" w:hAnsi="宋体" w:eastAsia="宋体" w:cs="宋体"/>
                <w:spacing w:val="2"/>
                <w:sz w:val="17"/>
                <w:szCs w:val="17"/>
              </w:rPr>
              <w:t>境</w:t>
            </w:r>
          </w:p>
        </w:tc>
        <w:tc>
          <w:tcPr>
            <w:tcW w:w="3835" w:type="dxa"/>
            <w:vAlign w:val="top"/>
          </w:tcPr>
          <w:p>
            <w:pPr>
              <w:spacing w:before="64" w:line="232" w:lineRule="exact"/>
              <w:ind w:left="51"/>
              <w:rPr>
                <w:rFonts w:ascii="宋体" w:hAnsi="宋体" w:eastAsia="宋体" w:cs="宋体"/>
                <w:sz w:val="17"/>
                <w:szCs w:val="17"/>
              </w:rPr>
            </w:pPr>
            <w:r>
              <w:rPr>
                <w:rFonts w:ascii="宋体" w:hAnsi="宋体" w:eastAsia="宋体" w:cs="宋体"/>
                <w:spacing w:val="13"/>
                <w:position w:val="1"/>
                <w:sz w:val="17"/>
                <w:szCs w:val="17"/>
              </w:rPr>
              <w:t>1</w:t>
            </w:r>
            <w:r>
              <w:rPr>
                <w:rFonts w:ascii="宋体" w:hAnsi="宋体" w:eastAsia="宋体" w:cs="宋体"/>
                <w:spacing w:val="8"/>
                <w:position w:val="1"/>
                <w:sz w:val="17"/>
                <w:szCs w:val="17"/>
              </w:rPr>
              <w:t>、公路、铁路选线尽量远离声环境敏感目标。</w:t>
            </w:r>
          </w:p>
          <w:p>
            <w:pPr>
              <w:spacing w:before="39" w:line="261" w:lineRule="auto"/>
              <w:ind w:left="40" w:right="35"/>
              <w:rPr>
                <w:rFonts w:ascii="宋体" w:hAnsi="宋体" w:eastAsia="宋体" w:cs="宋体"/>
                <w:sz w:val="17"/>
                <w:szCs w:val="17"/>
              </w:rPr>
            </w:pPr>
            <w:r>
              <w:rPr>
                <w:rFonts w:ascii="宋体" w:hAnsi="宋体" w:eastAsia="宋体" w:cs="宋体"/>
                <w:spacing w:val="13"/>
                <w:sz w:val="17"/>
                <w:szCs w:val="17"/>
              </w:rPr>
              <w:t>2、合理安排施工时间，采取临时降噪措施，</w:t>
            </w:r>
            <w:r>
              <w:rPr>
                <w:rFonts w:ascii="宋体" w:hAnsi="宋体" w:eastAsia="宋体" w:cs="宋体"/>
                <w:spacing w:val="8"/>
                <w:sz w:val="17"/>
                <w:szCs w:val="17"/>
              </w:rPr>
              <w:t>减</w:t>
            </w:r>
            <w:r>
              <w:rPr>
                <w:rFonts w:ascii="宋体" w:hAnsi="宋体" w:eastAsia="宋体" w:cs="宋体"/>
                <w:sz w:val="17"/>
                <w:szCs w:val="17"/>
              </w:rPr>
              <w:t xml:space="preserve"> </w:t>
            </w:r>
            <w:r>
              <w:rPr>
                <w:rFonts w:ascii="宋体" w:hAnsi="宋体" w:eastAsia="宋体" w:cs="宋体"/>
                <w:spacing w:val="9"/>
                <w:sz w:val="17"/>
                <w:szCs w:val="17"/>
              </w:rPr>
              <w:t>缓施工噪声对周边噪声敏感点的影响</w:t>
            </w:r>
            <w:r>
              <w:rPr>
                <w:rFonts w:ascii="宋体" w:hAnsi="宋体" w:eastAsia="宋体" w:cs="宋体"/>
                <w:spacing w:val="6"/>
                <w:sz w:val="17"/>
                <w:szCs w:val="17"/>
              </w:rPr>
              <w:t>。</w:t>
            </w:r>
          </w:p>
          <w:p>
            <w:pPr>
              <w:spacing w:before="59" w:line="272" w:lineRule="auto"/>
              <w:ind w:left="39" w:right="32" w:firstLine="2"/>
              <w:rPr>
                <w:rFonts w:ascii="宋体" w:hAnsi="宋体" w:eastAsia="宋体" w:cs="宋体"/>
                <w:sz w:val="17"/>
                <w:szCs w:val="17"/>
              </w:rPr>
            </w:pPr>
            <w:r>
              <w:rPr>
                <w:rFonts w:ascii="宋体" w:hAnsi="宋体" w:eastAsia="宋体" w:cs="宋体"/>
                <w:spacing w:val="24"/>
                <w:sz w:val="17"/>
                <w:szCs w:val="17"/>
              </w:rPr>
              <w:t>3</w:t>
            </w:r>
            <w:r>
              <w:rPr>
                <w:rFonts w:ascii="宋体" w:hAnsi="宋体" w:eastAsia="宋体" w:cs="宋体"/>
                <w:spacing w:val="15"/>
                <w:sz w:val="17"/>
                <w:szCs w:val="17"/>
              </w:rPr>
              <w:t>、</w:t>
            </w:r>
            <w:r>
              <w:rPr>
                <w:rFonts w:ascii="宋体" w:hAnsi="宋体" w:eastAsia="宋体" w:cs="宋体"/>
                <w:spacing w:val="12"/>
                <w:sz w:val="17"/>
                <w:szCs w:val="17"/>
              </w:rPr>
              <w:t>合理规划公路两侧用地性质和功能布局，采</w:t>
            </w:r>
            <w:r>
              <w:rPr>
                <w:rFonts w:ascii="宋体" w:hAnsi="宋体" w:eastAsia="宋体" w:cs="宋体"/>
                <w:sz w:val="17"/>
                <w:szCs w:val="17"/>
              </w:rPr>
              <w:t xml:space="preserve"> </w:t>
            </w:r>
            <w:r>
              <w:rPr>
                <w:rFonts w:ascii="宋体" w:hAnsi="宋体" w:eastAsia="宋体" w:cs="宋体"/>
                <w:spacing w:val="9"/>
                <w:sz w:val="17"/>
                <w:szCs w:val="17"/>
              </w:rPr>
              <w:t>取声屏障等降噪措施，减缓交通噪声对周边噪</w:t>
            </w:r>
            <w:r>
              <w:rPr>
                <w:rFonts w:ascii="宋体" w:hAnsi="宋体" w:eastAsia="宋体" w:cs="宋体"/>
                <w:spacing w:val="7"/>
                <w:sz w:val="17"/>
                <w:szCs w:val="17"/>
              </w:rPr>
              <w:t>声</w:t>
            </w:r>
            <w:r>
              <w:rPr>
                <w:rFonts w:ascii="宋体" w:hAnsi="宋体" w:eastAsia="宋体" w:cs="宋体"/>
                <w:sz w:val="17"/>
                <w:szCs w:val="17"/>
              </w:rPr>
              <w:t xml:space="preserve"> </w:t>
            </w:r>
            <w:r>
              <w:rPr>
                <w:rFonts w:ascii="宋体" w:hAnsi="宋体" w:eastAsia="宋体" w:cs="宋体"/>
                <w:spacing w:val="10"/>
                <w:sz w:val="17"/>
                <w:szCs w:val="17"/>
              </w:rPr>
              <w:t>敏</w:t>
            </w:r>
            <w:r>
              <w:rPr>
                <w:rFonts w:ascii="宋体" w:hAnsi="宋体" w:eastAsia="宋体" w:cs="宋体"/>
                <w:spacing w:val="7"/>
                <w:sz w:val="17"/>
                <w:szCs w:val="17"/>
              </w:rPr>
              <w:t>感点的影响。</w:t>
            </w:r>
          </w:p>
          <w:p>
            <w:pPr>
              <w:spacing w:before="57" w:line="272" w:lineRule="auto"/>
              <w:ind w:left="51" w:right="32" w:hanging="14"/>
              <w:rPr>
                <w:rFonts w:ascii="宋体" w:hAnsi="宋体" w:eastAsia="宋体" w:cs="宋体"/>
                <w:sz w:val="17"/>
                <w:szCs w:val="17"/>
              </w:rPr>
            </w:pPr>
            <w:r>
              <w:rPr>
                <w:rFonts w:ascii="宋体" w:hAnsi="宋体" w:eastAsia="宋体" w:cs="宋体"/>
                <w:spacing w:val="13"/>
                <w:sz w:val="17"/>
                <w:szCs w:val="17"/>
              </w:rPr>
              <w:t>4、港口码头总平面布置应避免噪声对集中居</w:t>
            </w:r>
            <w:r>
              <w:rPr>
                <w:rFonts w:ascii="宋体" w:hAnsi="宋体" w:eastAsia="宋体" w:cs="宋体"/>
                <w:spacing w:val="11"/>
                <w:sz w:val="17"/>
                <w:szCs w:val="17"/>
              </w:rPr>
              <w:t>住</w:t>
            </w:r>
            <w:r>
              <w:rPr>
                <w:rFonts w:ascii="宋体" w:hAnsi="宋体" w:eastAsia="宋体" w:cs="宋体"/>
                <w:sz w:val="17"/>
                <w:szCs w:val="17"/>
              </w:rPr>
              <w:t xml:space="preserve"> </w:t>
            </w:r>
            <w:r>
              <w:rPr>
                <w:rFonts w:ascii="宋体" w:hAnsi="宋体" w:eastAsia="宋体" w:cs="宋体"/>
                <w:spacing w:val="15"/>
                <w:sz w:val="17"/>
                <w:szCs w:val="17"/>
              </w:rPr>
              <w:t>区</w:t>
            </w:r>
            <w:r>
              <w:rPr>
                <w:rFonts w:ascii="宋体" w:hAnsi="宋体" w:eastAsia="宋体" w:cs="宋体"/>
                <w:spacing w:val="8"/>
                <w:sz w:val="17"/>
                <w:szCs w:val="17"/>
              </w:rPr>
              <w:t>的影响，厂区内部高噪声作业区域宜远离居住</w:t>
            </w:r>
            <w:r>
              <w:rPr>
                <w:rFonts w:ascii="宋体" w:hAnsi="宋体" w:eastAsia="宋体" w:cs="宋体"/>
                <w:sz w:val="17"/>
                <w:szCs w:val="17"/>
              </w:rPr>
              <w:t xml:space="preserve"> </w:t>
            </w:r>
            <w:r>
              <w:rPr>
                <w:rFonts w:ascii="宋体" w:hAnsi="宋体" w:eastAsia="宋体" w:cs="宋体"/>
                <w:spacing w:val="9"/>
                <w:sz w:val="17"/>
                <w:szCs w:val="17"/>
              </w:rPr>
              <w:t>区</w:t>
            </w:r>
            <w:r>
              <w:rPr>
                <w:rFonts w:ascii="宋体" w:hAnsi="宋体" w:eastAsia="宋体" w:cs="宋体"/>
                <w:spacing w:val="6"/>
                <w:sz w:val="17"/>
                <w:szCs w:val="17"/>
              </w:rPr>
              <w:t>等敏感建筑</w:t>
            </w:r>
          </w:p>
          <w:p>
            <w:pPr>
              <w:spacing w:before="60" w:line="276" w:lineRule="auto"/>
              <w:ind w:left="37" w:right="32" w:firstLine="4"/>
              <w:rPr>
                <w:rFonts w:ascii="宋体" w:hAnsi="宋体" w:eastAsia="宋体" w:cs="宋体"/>
                <w:sz w:val="17"/>
                <w:szCs w:val="17"/>
              </w:rPr>
            </w:pPr>
            <w:r>
              <w:rPr>
                <w:rFonts w:ascii="宋体" w:hAnsi="宋体" w:eastAsia="宋体" w:cs="宋体"/>
                <w:spacing w:val="24"/>
                <w:sz w:val="17"/>
                <w:szCs w:val="17"/>
              </w:rPr>
              <w:t>5</w:t>
            </w:r>
            <w:r>
              <w:rPr>
                <w:rFonts w:ascii="宋体" w:hAnsi="宋体" w:eastAsia="宋体" w:cs="宋体"/>
                <w:spacing w:val="15"/>
                <w:sz w:val="17"/>
                <w:szCs w:val="17"/>
              </w:rPr>
              <w:t>、</w:t>
            </w:r>
            <w:r>
              <w:rPr>
                <w:rFonts w:ascii="宋体" w:hAnsi="宋体" w:eastAsia="宋体" w:cs="宋体"/>
                <w:spacing w:val="12"/>
                <w:sz w:val="17"/>
                <w:szCs w:val="17"/>
              </w:rPr>
              <w:t>机场飞机噪声源强较大，应尽量避免飞机噪</w:t>
            </w:r>
            <w:r>
              <w:rPr>
                <w:rFonts w:ascii="宋体" w:hAnsi="宋体" w:eastAsia="宋体" w:cs="宋体"/>
                <w:sz w:val="17"/>
                <w:szCs w:val="17"/>
              </w:rPr>
              <w:t xml:space="preserve"> </w:t>
            </w:r>
            <w:r>
              <w:rPr>
                <w:rFonts w:ascii="宋体" w:hAnsi="宋体" w:eastAsia="宋体" w:cs="宋体"/>
                <w:spacing w:val="9"/>
                <w:sz w:val="17"/>
                <w:szCs w:val="17"/>
              </w:rPr>
              <w:t>声对机场周边敏感点的影响。机场项目营运期需</w:t>
            </w:r>
            <w:r>
              <w:rPr>
                <w:rFonts w:ascii="宋体" w:hAnsi="宋体" w:eastAsia="宋体" w:cs="宋体"/>
                <w:sz w:val="17"/>
                <w:szCs w:val="17"/>
              </w:rPr>
              <w:t xml:space="preserve"> </w:t>
            </w:r>
            <w:r>
              <w:rPr>
                <w:rFonts w:ascii="宋体" w:hAnsi="宋体" w:eastAsia="宋体" w:cs="宋体"/>
                <w:spacing w:val="9"/>
                <w:sz w:val="17"/>
                <w:szCs w:val="17"/>
              </w:rPr>
              <w:t>开展噪声影响较大的村庄进行跟踪监测，若发现</w:t>
            </w:r>
            <w:r>
              <w:rPr>
                <w:rFonts w:ascii="宋体" w:hAnsi="宋体" w:eastAsia="宋体" w:cs="宋体"/>
                <w:sz w:val="17"/>
                <w:szCs w:val="17"/>
              </w:rPr>
              <w:t xml:space="preserve"> </w:t>
            </w:r>
            <w:r>
              <w:rPr>
                <w:rFonts w:ascii="宋体" w:hAnsi="宋体" w:eastAsia="宋体" w:cs="宋体"/>
                <w:spacing w:val="15"/>
                <w:sz w:val="17"/>
                <w:szCs w:val="17"/>
              </w:rPr>
              <w:t>超</w:t>
            </w:r>
            <w:r>
              <w:rPr>
                <w:rFonts w:ascii="宋体" w:hAnsi="宋体" w:eastAsia="宋体" w:cs="宋体"/>
                <w:spacing w:val="8"/>
                <w:sz w:val="17"/>
                <w:szCs w:val="17"/>
              </w:rPr>
              <w:t>标现象，及时采取措施。</w:t>
            </w:r>
          </w:p>
        </w:tc>
        <w:tc>
          <w:tcPr>
            <w:tcW w:w="2599" w:type="dxa"/>
            <w:vAlign w:val="top"/>
          </w:tcPr>
          <w:p>
            <w:pPr>
              <w:spacing w:line="274" w:lineRule="auto"/>
              <w:rPr>
                <w:rFonts w:ascii="Arial"/>
                <w:sz w:val="21"/>
              </w:rPr>
            </w:pPr>
          </w:p>
          <w:p>
            <w:pPr>
              <w:spacing w:line="274" w:lineRule="auto"/>
              <w:rPr>
                <w:rFonts w:ascii="Arial"/>
                <w:sz w:val="21"/>
              </w:rPr>
            </w:pPr>
          </w:p>
          <w:p>
            <w:pPr>
              <w:spacing w:before="56" w:line="296" w:lineRule="auto"/>
              <w:ind w:left="42" w:firstLine="13"/>
              <w:rPr>
                <w:rFonts w:ascii="宋体" w:hAnsi="宋体" w:eastAsia="宋体" w:cs="宋体"/>
                <w:sz w:val="17"/>
                <w:szCs w:val="17"/>
              </w:rPr>
            </w:pPr>
            <w:r>
              <w:rPr>
                <w:rFonts w:ascii="宋体" w:hAnsi="宋体" w:eastAsia="宋体" w:cs="宋体"/>
                <w:spacing w:val="1"/>
                <w:sz w:val="17"/>
                <w:szCs w:val="17"/>
              </w:rPr>
              <w:t>1、项目选线尽量远离了声环境敏</w:t>
            </w:r>
            <w:r>
              <w:rPr>
                <w:rFonts w:ascii="宋体" w:hAnsi="宋体" w:eastAsia="宋体" w:cs="宋体"/>
                <w:sz w:val="17"/>
                <w:szCs w:val="17"/>
              </w:rPr>
              <w:t xml:space="preserve"> </w:t>
            </w:r>
            <w:r>
              <w:rPr>
                <w:rFonts w:ascii="宋体" w:hAnsi="宋体" w:eastAsia="宋体" w:cs="宋体"/>
                <w:spacing w:val="11"/>
                <w:sz w:val="17"/>
                <w:szCs w:val="17"/>
              </w:rPr>
              <w:t>感</w:t>
            </w:r>
            <w:r>
              <w:rPr>
                <w:rFonts w:ascii="宋体" w:hAnsi="宋体" w:eastAsia="宋体" w:cs="宋体"/>
                <w:spacing w:val="10"/>
                <w:sz w:val="17"/>
                <w:szCs w:val="17"/>
              </w:rPr>
              <w:t>目标。</w:t>
            </w:r>
            <w:r>
              <w:rPr>
                <w:rFonts w:ascii="宋体" w:hAnsi="宋体" w:eastAsia="宋体" w:cs="宋体"/>
                <w:sz w:val="17"/>
                <w:szCs w:val="17"/>
              </w:rPr>
              <w:t xml:space="preserve">                      </w:t>
            </w:r>
            <w:r>
              <w:rPr>
                <w:rFonts w:ascii="宋体" w:hAnsi="宋体" w:eastAsia="宋体" w:cs="宋体"/>
                <w:spacing w:val="10"/>
                <w:sz w:val="17"/>
                <w:szCs w:val="17"/>
              </w:rPr>
              <w:t>2、</w:t>
            </w:r>
            <w:r>
              <w:rPr>
                <w:rFonts w:ascii="宋体" w:hAnsi="宋体" w:eastAsia="宋体" w:cs="宋体"/>
                <w:spacing w:val="6"/>
                <w:sz w:val="17"/>
                <w:szCs w:val="17"/>
              </w:rPr>
              <w:t>施</w:t>
            </w:r>
            <w:r>
              <w:rPr>
                <w:rFonts w:ascii="宋体" w:hAnsi="宋体" w:eastAsia="宋体" w:cs="宋体"/>
                <w:spacing w:val="5"/>
                <w:sz w:val="17"/>
                <w:szCs w:val="17"/>
              </w:rPr>
              <w:t>工期将合理安排施工时间，</w:t>
            </w:r>
            <w:r>
              <w:rPr>
                <w:rFonts w:ascii="宋体" w:hAnsi="宋体" w:eastAsia="宋体" w:cs="宋体"/>
                <w:sz w:val="17"/>
                <w:szCs w:val="17"/>
              </w:rPr>
              <w:t xml:space="preserve"> </w:t>
            </w:r>
            <w:r>
              <w:rPr>
                <w:rFonts w:ascii="宋体" w:hAnsi="宋体" w:eastAsia="宋体" w:cs="宋体"/>
                <w:spacing w:val="10"/>
                <w:sz w:val="17"/>
                <w:szCs w:val="17"/>
              </w:rPr>
              <w:t>采</w:t>
            </w:r>
            <w:r>
              <w:rPr>
                <w:rFonts w:ascii="宋体" w:hAnsi="宋体" w:eastAsia="宋体" w:cs="宋体"/>
                <w:spacing w:val="9"/>
                <w:sz w:val="17"/>
                <w:szCs w:val="17"/>
              </w:rPr>
              <w:t>取封闭施工等临时降噪措施，</w:t>
            </w:r>
            <w:r>
              <w:rPr>
                <w:rFonts w:ascii="宋体" w:hAnsi="宋体" w:eastAsia="宋体" w:cs="宋体"/>
                <w:sz w:val="17"/>
                <w:szCs w:val="17"/>
              </w:rPr>
              <w:t xml:space="preserve"> </w:t>
            </w:r>
            <w:r>
              <w:rPr>
                <w:rFonts w:ascii="宋体" w:hAnsi="宋体" w:eastAsia="宋体" w:cs="宋体"/>
                <w:spacing w:val="10"/>
                <w:sz w:val="17"/>
                <w:szCs w:val="17"/>
              </w:rPr>
              <w:t>减</w:t>
            </w:r>
            <w:r>
              <w:rPr>
                <w:rFonts w:ascii="宋体" w:hAnsi="宋体" w:eastAsia="宋体" w:cs="宋体"/>
                <w:spacing w:val="8"/>
                <w:sz w:val="17"/>
                <w:szCs w:val="17"/>
              </w:rPr>
              <w:t>缓施工噪声对周边噪声敏感点</w:t>
            </w:r>
            <w:r>
              <w:rPr>
                <w:rFonts w:ascii="宋体" w:hAnsi="宋体" w:eastAsia="宋体" w:cs="宋体"/>
                <w:sz w:val="17"/>
                <w:szCs w:val="17"/>
              </w:rPr>
              <w:t xml:space="preserve"> </w:t>
            </w:r>
            <w:r>
              <w:rPr>
                <w:rFonts w:ascii="宋体" w:hAnsi="宋体" w:eastAsia="宋体" w:cs="宋体"/>
                <w:spacing w:val="11"/>
                <w:sz w:val="17"/>
                <w:szCs w:val="17"/>
              </w:rPr>
              <w:t>的</w:t>
            </w:r>
            <w:r>
              <w:rPr>
                <w:rFonts w:ascii="宋体" w:hAnsi="宋体" w:eastAsia="宋体" w:cs="宋体"/>
                <w:spacing w:val="10"/>
                <w:sz w:val="17"/>
                <w:szCs w:val="17"/>
              </w:rPr>
              <w:t>影响。</w:t>
            </w:r>
            <w:r>
              <w:rPr>
                <w:rFonts w:ascii="宋体" w:hAnsi="宋体" w:eastAsia="宋体" w:cs="宋体"/>
                <w:sz w:val="17"/>
                <w:szCs w:val="17"/>
              </w:rPr>
              <w:t xml:space="preserve">                      </w:t>
            </w:r>
            <w:r>
              <w:rPr>
                <w:rFonts w:ascii="宋体" w:hAnsi="宋体" w:eastAsia="宋体" w:cs="宋体"/>
                <w:spacing w:val="16"/>
                <w:sz w:val="17"/>
                <w:szCs w:val="17"/>
              </w:rPr>
              <w:t>3</w:t>
            </w:r>
            <w:r>
              <w:rPr>
                <w:rFonts w:ascii="宋体" w:hAnsi="宋体" w:eastAsia="宋体" w:cs="宋体"/>
                <w:spacing w:val="14"/>
                <w:sz w:val="17"/>
                <w:szCs w:val="17"/>
              </w:rPr>
              <w:t>、拟建桥梁西端规划为商住用</w:t>
            </w:r>
            <w:r>
              <w:rPr>
                <w:rFonts w:ascii="宋体" w:hAnsi="宋体" w:eastAsia="宋体" w:cs="宋体"/>
                <w:sz w:val="17"/>
                <w:szCs w:val="17"/>
              </w:rPr>
              <w:t xml:space="preserve"> </w:t>
            </w:r>
            <w:r>
              <w:rPr>
                <w:rFonts w:ascii="宋体" w:hAnsi="宋体" w:eastAsia="宋体" w:cs="宋体"/>
                <w:spacing w:val="10"/>
                <w:sz w:val="17"/>
                <w:szCs w:val="17"/>
              </w:rPr>
              <w:t>地</w:t>
            </w:r>
            <w:r>
              <w:rPr>
                <w:rFonts w:ascii="宋体" w:hAnsi="宋体" w:eastAsia="宋体" w:cs="宋体"/>
                <w:spacing w:val="8"/>
                <w:sz w:val="17"/>
                <w:szCs w:val="17"/>
              </w:rPr>
              <w:t>，将采取限速、禁鸣等降噪措</w:t>
            </w:r>
            <w:r>
              <w:rPr>
                <w:rFonts w:ascii="宋体" w:hAnsi="宋体" w:eastAsia="宋体" w:cs="宋体"/>
                <w:sz w:val="17"/>
                <w:szCs w:val="17"/>
              </w:rPr>
              <w:t xml:space="preserve"> </w:t>
            </w:r>
            <w:r>
              <w:rPr>
                <w:rFonts w:ascii="宋体" w:hAnsi="宋体" w:eastAsia="宋体" w:cs="宋体"/>
                <w:spacing w:val="1"/>
                <w:sz w:val="17"/>
                <w:szCs w:val="17"/>
              </w:rPr>
              <w:t>施</w:t>
            </w:r>
            <w:r>
              <w:rPr>
                <w:rFonts w:ascii="宋体" w:hAnsi="宋体" w:eastAsia="宋体" w:cs="宋体"/>
                <w:sz w:val="17"/>
                <w:szCs w:val="17"/>
              </w:rPr>
              <w:t>，减缓交通噪声对住户的影响。</w:t>
            </w:r>
          </w:p>
        </w:tc>
        <w:tc>
          <w:tcPr>
            <w:tcW w:w="740" w:type="dxa"/>
            <w:tcBorders>
              <w:right w:val="single" w:color="000000" w:sz="6" w:space="0"/>
            </w:tcBorders>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55" w:line="230" w:lineRule="auto"/>
              <w:ind w:left="141"/>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714" w:type="dxa"/>
            <w:vMerge w:val="continue"/>
            <w:tcBorders>
              <w:top w:val="nil"/>
              <w:left w:val="single" w:color="000000" w:sz="6" w:space="0"/>
              <w:bottom w:val="nil"/>
            </w:tcBorders>
            <w:vAlign w:val="top"/>
          </w:tcPr>
          <w:p>
            <w:pPr>
              <w:rPr>
                <w:rFonts w:ascii="Arial"/>
                <w:sz w:val="21"/>
              </w:rPr>
            </w:pPr>
          </w:p>
        </w:tc>
        <w:tc>
          <w:tcPr>
            <w:tcW w:w="114" w:type="dxa"/>
            <w:vMerge w:val="continue"/>
            <w:tcBorders>
              <w:top w:val="nil"/>
              <w:bottom w:val="nil"/>
            </w:tcBorders>
            <w:vAlign w:val="top"/>
          </w:tcPr>
          <w:p>
            <w:pPr>
              <w:rPr>
                <w:rFonts w:ascii="Arial"/>
                <w:sz w:val="21"/>
              </w:rPr>
            </w:pPr>
          </w:p>
        </w:tc>
        <w:tc>
          <w:tcPr>
            <w:tcW w:w="453" w:type="dxa"/>
            <w:vAlign w:val="top"/>
          </w:tcPr>
          <w:p>
            <w:pPr>
              <w:spacing w:line="449" w:lineRule="auto"/>
              <w:rPr>
                <w:rFonts w:ascii="Arial"/>
                <w:sz w:val="21"/>
              </w:rPr>
            </w:pPr>
          </w:p>
          <w:p>
            <w:pPr>
              <w:spacing w:before="48" w:line="197" w:lineRule="auto"/>
              <w:ind w:left="216"/>
              <w:rPr>
                <w:rFonts w:ascii="Times New Roman" w:hAnsi="Times New Roman" w:eastAsia="Times New Roman" w:cs="Times New Roman"/>
                <w:sz w:val="17"/>
                <w:szCs w:val="17"/>
              </w:rPr>
            </w:pPr>
            <w:r>
              <w:rPr>
                <w:rFonts w:ascii="Times New Roman" w:hAnsi="Times New Roman" w:eastAsia="Times New Roman" w:cs="Times New Roman"/>
                <w:sz w:val="17"/>
                <w:szCs w:val="17"/>
              </w:rPr>
              <w:t>6</w:t>
            </w:r>
          </w:p>
        </w:tc>
        <w:tc>
          <w:tcPr>
            <w:tcW w:w="480" w:type="dxa"/>
            <w:vAlign w:val="top"/>
          </w:tcPr>
          <w:p>
            <w:pPr>
              <w:spacing w:line="279" w:lineRule="auto"/>
              <w:rPr>
                <w:rFonts w:ascii="Arial"/>
                <w:sz w:val="21"/>
              </w:rPr>
            </w:pPr>
          </w:p>
          <w:p>
            <w:pPr>
              <w:spacing w:before="55" w:line="307" w:lineRule="auto"/>
              <w:ind w:left="59" w:right="61" w:firstLine="16"/>
              <w:rPr>
                <w:rFonts w:ascii="宋体" w:hAnsi="宋体" w:eastAsia="宋体" w:cs="宋体"/>
                <w:sz w:val="17"/>
                <w:szCs w:val="17"/>
              </w:rPr>
            </w:pPr>
            <w:r>
              <w:rPr>
                <w:rFonts w:ascii="宋体" w:hAnsi="宋体" w:eastAsia="宋体" w:cs="宋体"/>
                <w:spacing w:val="-2"/>
                <w:sz w:val="17"/>
                <w:szCs w:val="17"/>
              </w:rPr>
              <w:t>固</w:t>
            </w:r>
            <w:r>
              <w:rPr>
                <w:rFonts w:ascii="宋体" w:hAnsi="宋体" w:eastAsia="宋体" w:cs="宋体"/>
                <w:spacing w:val="-1"/>
                <w:sz w:val="17"/>
                <w:szCs w:val="17"/>
              </w:rPr>
              <w:t>体</w:t>
            </w:r>
            <w:r>
              <w:rPr>
                <w:rFonts w:ascii="宋体" w:hAnsi="宋体" w:eastAsia="宋体" w:cs="宋体"/>
                <w:sz w:val="17"/>
                <w:szCs w:val="17"/>
              </w:rPr>
              <w:t xml:space="preserve"> </w:t>
            </w:r>
            <w:r>
              <w:rPr>
                <w:rFonts w:ascii="宋体" w:hAnsi="宋体" w:eastAsia="宋体" w:cs="宋体"/>
                <w:spacing w:val="7"/>
                <w:sz w:val="17"/>
                <w:szCs w:val="17"/>
              </w:rPr>
              <w:t>废</w:t>
            </w:r>
            <w:r>
              <w:rPr>
                <w:rFonts w:ascii="宋体" w:hAnsi="宋体" w:eastAsia="宋体" w:cs="宋体"/>
                <w:spacing w:val="6"/>
                <w:sz w:val="17"/>
                <w:szCs w:val="17"/>
              </w:rPr>
              <w:t>物</w:t>
            </w:r>
          </w:p>
        </w:tc>
        <w:tc>
          <w:tcPr>
            <w:tcW w:w="3835" w:type="dxa"/>
            <w:vAlign w:val="top"/>
          </w:tcPr>
          <w:p>
            <w:pPr>
              <w:spacing w:before="68" w:line="276" w:lineRule="auto"/>
              <w:ind w:left="37" w:right="35" w:firstLine="14"/>
              <w:rPr>
                <w:rFonts w:ascii="宋体" w:hAnsi="宋体" w:eastAsia="宋体" w:cs="宋体"/>
                <w:sz w:val="17"/>
                <w:szCs w:val="17"/>
              </w:rPr>
            </w:pPr>
            <w:r>
              <w:rPr>
                <w:rFonts w:ascii="宋体" w:hAnsi="宋体" w:eastAsia="宋体" w:cs="宋体"/>
                <w:spacing w:val="17"/>
                <w:sz w:val="17"/>
                <w:szCs w:val="17"/>
              </w:rPr>
              <w:t>1</w:t>
            </w:r>
            <w:r>
              <w:rPr>
                <w:rFonts w:ascii="宋体" w:hAnsi="宋体" w:eastAsia="宋体" w:cs="宋体"/>
                <w:spacing w:val="12"/>
                <w:sz w:val="17"/>
                <w:szCs w:val="17"/>
              </w:rPr>
              <w:t>、施工期弃渣、建渣指定地点集中堆放，满足</w:t>
            </w:r>
            <w:r>
              <w:rPr>
                <w:rFonts w:ascii="宋体" w:hAnsi="宋体" w:eastAsia="宋体" w:cs="宋体"/>
                <w:sz w:val="17"/>
                <w:szCs w:val="17"/>
              </w:rPr>
              <w:t xml:space="preserve"> </w:t>
            </w:r>
            <w:r>
              <w:rPr>
                <w:rFonts w:ascii="宋体" w:hAnsi="宋体" w:eastAsia="宋体" w:cs="宋体"/>
                <w:spacing w:val="14"/>
                <w:sz w:val="17"/>
                <w:szCs w:val="17"/>
              </w:rPr>
              <w:t>水</w:t>
            </w:r>
            <w:r>
              <w:rPr>
                <w:rFonts w:ascii="宋体" w:hAnsi="宋体" w:eastAsia="宋体" w:cs="宋体"/>
                <w:spacing w:val="11"/>
                <w:sz w:val="17"/>
                <w:szCs w:val="17"/>
              </w:rPr>
              <w:t>保要求。</w:t>
            </w:r>
            <w:r>
              <w:rPr>
                <w:rFonts w:ascii="宋体" w:hAnsi="宋体" w:eastAsia="宋体" w:cs="宋体"/>
                <w:sz w:val="17"/>
                <w:szCs w:val="17"/>
              </w:rPr>
              <w:t xml:space="preserve">                                  </w:t>
            </w:r>
            <w:r>
              <w:rPr>
                <w:rFonts w:ascii="宋体" w:hAnsi="宋体" w:eastAsia="宋体" w:cs="宋体"/>
                <w:spacing w:val="13"/>
                <w:sz w:val="17"/>
                <w:szCs w:val="17"/>
              </w:rPr>
              <w:t>2、港口码头应对生产垃圾进行分类收集，并</w:t>
            </w:r>
            <w:r>
              <w:rPr>
                <w:rFonts w:ascii="宋体" w:hAnsi="宋体" w:eastAsia="宋体" w:cs="宋体"/>
                <w:spacing w:val="11"/>
                <w:sz w:val="17"/>
                <w:szCs w:val="17"/>
              </w:rPr>
              <w:t>纳</w:t>
            </w:r>
            <w:r>
              <w:rPr>
                <w:rFonts w:ascii="宋体" w:hAnsi="宋体" w:eastAsia="宋体" w:cs="宋体"/>
                <w:sz w:val="17"/>
                <w:szCs w:val="17"/>
              </w:rPr>
              <w:t xml:space="preserve"> </w:t>
            </w:r>
            <w:r>
              <w:rPr>
                <w:rFonts w:ascii="宋体" w:hAnsi="宋体" w:eastAsia="宋体" w:cs="宋体"/>
                <w:spacing w:val="9"/>
                <w:sz w:val="17"/>
                <w:szCs w:val="17"/>
              </w:rPr>
              <w:t>入市政固体废物接收处置系统</w:t>
            </w:r>
            <w:r>
              <w:rPr>
                <w:rFonts w:ascii="宋体" w:hAnsi="宋体" w:eastAsia="宋体" w:cs="宋体"/>
                <w:spacing w:val="6"/>
                <w:sz w:val="17"/>
                <w:szCs w:val="17"/>
              </w:rPr>
              <w:t>。</w:t>
            </w:r>
          </w:p>
        </w:tc>
        <w:tc>
          <w:tcPr>
            <w:tcW w:w="2599" w:type="dxa"/>
            <w:vAlign w:val="top"/>
          </w:tcPr>
          <w:p>
            <w:pPr>
              <w:spacing w:line="278" w:lineRule="auto"/>
              <w:rPr>
                <w:rFonts w:ascii="Arial"/>
                <w:sz w:val="21"/>
              </w:rPr>
            </w:pPr>
          </w:p>
          <w:p>
            <w:pPr>
              <w:spacing w:before="55" w:line="307" w:lineRule="auto"/>
              <w:ind w:left="42" w:right="30"/>
              <w:rPr>
                <w:rFonts w:ascii="宋体" w:hAnsi="宋体" w:eastAsia="宋体" w:cs="宋体"/>
                <w:sz w:val="17"/>
                <w:szCs w:val="17"/>
              </w:rPr>
            </w:pPr>
            <w:r>
              <w:rPr>
                <w:rFonts w:ascii="宋体" w:hAnsi="宋体" w:eastAsia="宋体" w:cs="宋体"/>
                <w:spacing w:val="10"/>
                <w:sz w:val="17"/>
                <w:szCs w:val="17"/>
              </w:rPr>
              <w:t>施工期弃渣、建渣及时运至指定</w:t>
            </w:r>
            <w:r>
              <w:rPr>
                <w:rFonts w:ascii="宋体" w:hAnsi="宋体" w:eastAsia="宋体" w:cs="宋体"/>
                <w:sz w:val="17"/>
                <w:szCs w:val="17"/>
              </w:rPr>
              <w:t xml:space="preserve"> </w:t>
            </w:r>
            <w:r>
              <w:rPr>
                <w:rFonts w:ascii="宋体" w:hAnsi="宋体" w:eastAsia="宋体" w:cs="宋体"/>
                <w:spacing w:val="10"/>
                <w:sz w:val="17"/>
                <w:szCs w:val="17"/>
              </w:rPr>
              <w:t>地</w:t>
            </w:r>
            <w:r>
              <w:rPr>
                <w:rFonts w:ascii="宋体" w:hAnsi="宋体" w:eastAsia="宋体" w:cs="宋体"/>
                <w:spacing w:val="7"/>
                <w:sz w:val="17"/>
                <w:szCs w:val="17"/>
              </w:rPr>
              <w:t>点集中堆放。</w:t>
            </w:r>
          </w:p>
        </w:tc>
        <w:tc>
          <w:tcPr>
            <w:tcW w:w="740" w:type="dxa"/>
            <w:tcBorders>
              <w:right w:val="single" w:color="000000" w:sz="6" w:space="0"/>
            </w:tcBorders>
            <w:vAlign w:val="top"/>
          </w:tcPr>
          <w:p>
            <w:pPr>
              <w:spacing w:line="414" w:lineRule="auto"/>
              <w:rPr>
                <w:rFonts w:ascii="Arial"/>
                <w:sz w:val="21"/>
              </w:rPr>
            </w:pPr>
          </w:p>
          <w:p>
            <w:pPr>
              <w:spacing w:before="55" w:line="230" w:lineRule="auto"/>
              <w:ind w:left="141"/>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4" w:hRule="atLeast"/>
        </w:trPr>
        <w:tc>
          <w:tcPr>
            <w:tcW w:w="714" w:type="dxa"/>
            <w:vMerge w:val="continue"/>
            <w:tcBorders>
              <w:top w:val="nil"/>
              <w:left w:val="single" w:color="000000" w:sz="6" w:space="0"/>
              <w:bottom w:val="nil"/>
            </w:tcBorders>
            <w:vAlign w:val="top"/>
          </w:tcPr>
          <w:p>
            <w:pPr>
              <w:rPr>
                <w:rFonts w:ascii="Arial"/>
                <w:sz w:val="21"/>
              </w:rPr>
            </w:pPr>
          </w:p>
        </w:tc>
        <w:tc>
          <w:tcPr>
            <w:tcW w:w="114" w:type="dxa"/>
            <w:vMerge w:val="continue"/>
            <w:tcBorders>
              <w:top w:val="nil"/>
              <w:bottom w:val="nil"/>
            </w:tcBorders>
            <w:vAlign w:val="top"/>
          </w:tcPr>
          <w:p>
            <w:pPr>
              <w:rPr>
                <w:rFonts w:ascii="Arial"/>
                <w:sz w:val="21"/>
              </w:rPr>
            </w:pPr>
          </w:p>
        </w:tc>
        <w:tc>
          <w:tcPr>
            <w:tcW w:w="453"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49" w:line="194" w:lineRule="auto"/>
              <w:ind w:left="215"/>
              <w:rPr>
                <w:rFonts w:ascii="Times New Roman" w:hAnsi="Times New Roman" w:eastAsia="Times New Roman" w:cs="Times New Roman"/>
                <w:sz w:val="17"/>
                <w:szCs w:val="17"/>
              </w:rPr>
            </w:pPr>
            <w:r>
              <w:rPr>
                <w:rFonts w:ascii="Times New Roman" w:hAnsi="Times New Roman" w:eastAsia="Times New Roman" w:cs="Times New Roman"/>
                <w:sz w:val="17"/>
                <w:szCs w:val="17"/>
              </w:rPr>
              <w:t>7</w:t>
            </w:r>
          </w:p>
        </w:tc>
        <w:tc>
          <w:tcPr>
            <w:tcW w:w="480" w:type="dxa"/>
            <w:vAlign w:val="top"/>
          </w:tcPr>
          <w:p>
            <w:pPr>
              <w:spacing w:line="340" w:lineRule="auto"/>
              <w:rPr>
                <w:rFonts w:ascii="Arial"/>
                <w:sz w:val="21"/>
              </w:rPr>
            </w:pPr>
          </w:p>
          <w:p>
            <w:pPr>
              <w:spacing w:line="341" w:lineRule="auto"/>
              <w:rPr>
                <w:rFonts w:ascii="Arial"/>
                <w:sz w:val="21"/>
              </w:rPr>
            </w:pPr>
          </w:p>
          <w:p>
            <w:pPr>
              <w:spacing w:before="56" w:line="307" w:lineRule="auto"/>
              <w:ind w:left="60" w:right="61"/>
              <w:rPr>
                <w:rFonts w:ascii="宋体" w:hAnsi="宋体" w:eastAsia="宋体" w:cs="宋体"/>
                <w:sz w:val="17"/>
                <w:szCs w:val="17"/>
              </w:rPr>
            </w:pPr>
            <w:r>
              <w:rPr>
                <w:rFonts w:ascii="宋体" w:hAnsi="宋体" w:eastAsia="宋体" w:cs="宋体"/>
                <w:spacing w:val="6"/>
                <w:sz w:val="17"/>
                <w:szCs w:val="17"/>
              </w:rPr>
              <w:t>环境</w:t>
            </w:r>
            <w:r>
              <w:rPr>
                <w:rFonts w:ascii="宋体" w:hAnsi="宋体" w:eastAsia="宋体" w:cs="宋体"/>
                <w:sz w:val="17"/>
                <w:szCs w:val="17"/>
              </w:rPr>
              <w:t xml:space="preserve"> </w:t>
            </w:r>
            <w:r>
              <w:rPr>
                <w:rFonts w:ascii="宋体" w:hAnsi="宋体" w:eastAsia="宋体" w:cs="宋体"/>
                <w:spacing w:val="6"/>
                <w:sz w:val="17"/>
                <w:szCs w:val="17"/>
              </w:rPr>
              <w:t>风险</w:t>
            </w:r>
          </w:p>
        </w:tc>
        <w:tc>
          <w:tcPr>
            <w:tcW w:w="3835" w:type="dxa"/>
            <w:vAlign w:val="top"/>
          </w:tcPr>
          <w:p>
            <w:pPr>
              <w:spacing w:before="63" w:line="284" w:lineRule="auto"/>
              <w:ind w:left="37" w:right="32" w:firstLine="14"/>
              <w:rPr>
                <w:rFonts w:ascii="宋体" w:hAnsi="宋体" w:eastAsia="宋体" w:cs="宋体"/>
                <w:sz w:val="17"/>
                <w:szCs w:val="17"/>
              </w:rPr>
            </w:pPr>
            <w:r>
              <w:rPr>
                <w:rFonts w:ascii="宋体" w:hAnsi="宋体" w:eastAsia="宋体" w:cs="宋体"/>
                <w:spacing w:val="17"/>
                <w:sz w:val="17"/>
                <w:szCs w:val="17"/>
              </w:rPr>
              <w:t>1</w:t>
            </w:r>
            <w:r>
              <w:rPr>
                <w:rFonts w:ascii="宋体" w:hAnsi="宋体" w:eastAsia="宋体" w:cs="宋体"/>
                <w:spacing w:val="12"/>
                <w:sz w:val="17"/>
                <w:szCs w:val="17"/>
              </w:rPr>
              <w:t>、在跨水桥梁合理设置防撞设施、限速与禁止</w:t>
            </w:r>
            <w:r>
              <w:rPr>
                <w:rFonts w:ascii="宋体" w:hAnsi="宋体" w:eastAsia="宋体" w:cs="宋体"/>
                <w:sz w:val="17"/>
                <w:szCs w:val="17"/>
              </w:rPr>
              <w:t xml:space="preserve"> </w:t>
            </w:r>
            <w:r>
              <w:rPr>
                <w:rFonts w:ascii="宋体" w:hAnsi="宋体" w:eastAsia="宋体" w:cs="宋体"/>
                <w:spacing w:val="10"/>
                <w:sz w:val="17"/>
                <w:szCs w:val="17"/>
              </w:rPr>
              <w:t>超</w:t>
            </w:r>
            <w:r>
              <w:rPr>
                <w:rFonts w:ascii="宋体" w:hAnsi="宋体" w:eastAsia="宋体" w:cs="宋体"/>
                <w:spacing w:val="9"/>
                <w:sz w:val="17"/>
                <w:szCs w:val="17"/>
              </w:rPr>
              <w:t>车等警示标志、桥面径流收集处理系统、事故</w:t>
            </w:r>
            <w:r>
              <w:rPr>
                <w:rFonts w:ascii="宋体" w:hAnsi="宋体" w:eastAsia="宋体" w:cs="宋体"/>
                <w:sz w:val="17"/>
                <w:szCs w:val="17"/>
              </w:rPr>
              <w:t xml:space="preserve"> </w:t>
            </w:r>
            <w:r>
              <w:rPr>
                <w:rFonts w:ascii="宋体" w:hAnsi="宋体" w:eastAsia="宋体" w:cs="宋体"/>
                <w:spacing w:val="19"/>
                <w:sz w:val="17"/>
                <w:szCs w:val="17"/>
              </w:rPr>
              <w:t>池</w:t>
            </w:r>
            <w:r>
              <w:rPr>
                <w:rFonts w:ascii="宋体" w:hAnsi="宋体" w:eastAsia="宋体" w:cs="宋体"/>
                <w:spacing w:val="10"/>
                <w:sz w:val="17"/>
                <w:szCs w:val="17"/>
              </w:rPr>
              <w:t>、视频监控系统等环境风险防范设施。</w:t>
            </w:r>
            <w:r>
              <w:rPr>
                <w:rFonts w:ascii="宋体" w:hAnsi="宋体" w:eastAsia="宋体" w:cs="宋体"/>
                <w:sz w:val="17"/>
                <w:szCs w:val="17"/>
              </w:rPr>
              <w:t xml:space="preserve">      </w:t>
            </w:r>
            <w:r>
              <w:rPr>
                <w:rFonts w:ascii="宋体" w:hAnsi="宋体" w:eastAsia="宋体" w:cs="宋体"/>
                <w:spacing w:val="13"/>
                <w:sz w:val="17"/>
                <w:szCs w:val="17"/>
              </w:rPr>
              <w:t>2、港口码头及其交通项目严格落实环境风险</w:t>
            </w:r>
            <w:r>
              <w:rPr>
                <w:rFonts w:ascii="宋体" w:hAnsi="宋体" w:eastAsia="宋体" w:cs="宋体"/>
                <w:spacing w:val="12"/>
                <w:sz w:val="17"/>
                <w:szCs w:val="17"/>
              </w:rPr>
              <w:t>应</w:t>
            </w:r>
            <w:r>
              <w:rPr>
                <w:rFonts w:ascii="宋体" w:hAnsi="宋体" w:eastAsia="宋体" w:cs="宋体"/>
                <w:sz w:val="17"/>
                <w:szCs w:val="17"/>
              </w:rPr>
              <w:t xml:space="preserve"> </w:t>
            </w:r>
            <w:r>
              <w:rPr>
                <w:rFonts w:ascii="宋体" w:hAnsi="宋体" w:eastAsia="宋体" w:cs="宋体"/>
                <w:spacing w:val="10"/>
                <w:sz w:val="17"/>
                <w:szCs w:val="17"/>
              </w:rPr>
              <w:t>急</w:t>
            </w:r>
            <w:r>
              <w:rPr>
                <w:rFonts w:ascii="宋体" w:hAnsi="宋体" w:eastAsia="宋体" w:cs="宋体"/>
                <w:spacing w:val="9"/>
                <w:sz w:val="17"/>
                <w:szCs w:val="17"/>
              </w:rPr>
              <w:t>预案，降低和控制交通运输带来的环境风险，</w:t>
            </w:r>
            <w:r>
              <w:rPr>
                <w:rFonts w:ascii="宋体" w:hAnsi="宋体" w:eastAsia="宋体" w:cs="宋体"/>
                <w:sz w:val="17"/>
                <w:szCs w:val="17"/>
              </w:rPr>
              <w:t xml:space="preserve"> </w:t>
            </w:r>
            <w:r>
              <w:rPr>
                <w:rFonts w:ascii="宋体" w:hAnsi="宋体" w:eastAsia="宋体" w:cs="宋体"/>
                <w:spacing w:val="10"/>
                <w:sz w:val="17"/>
                <w:szCs w:val="17"/>
              </w:rPr>
              <w:t>避</w:t>
            </w:r>
            <w:r>
              <w:rPr>
                <w:rFonts w:ascii="宋体" w:hAnsi="宋体" w:eastAsia="宋体" w:cs="宋体"/>
                <w:spacing w:val="9"/>
                <w:sz w:val="17"/>
                <w:szCs w:val="17"/>
              </w:rPr>
              <w:t>免或最大程度减少有毒有害物质进入环境，确</w:t>
            </w:r>
            <w:r>
              <w:rPr>
                <w:rFonts w:ascii="宋体" w:hAnsi="宋体" w:eastAsia="宋体" w:cs="宋体"/>
                <w:sz w:val="17"/>
                <w:szCs w:val="17"/>
              </w:rPr>
              <w:t xml:space="preserve"> </w:t>
            </w:r>
            <w:r>
              <w:rPr>
                <w:rFonts w:ascii="宋体" w:hAnsi="宋体" w:eastAsia="宋体" w:cs="宋体"/>
                <w:spacing w:val="12"/>
                <w:sz w:val="17"/>
                <w:szCs w:val="17"/>
              </w:rPr>
              <w:t>保</w:t>
            </w:r>
            <w:r>
              <w:rPr>
                <w:rFonts w:ascii="宋体" w:hAnsi="宋体" w:eastAsia="宋体" w:cs="宋体"/>
                <w:spacing w:val="9"/>
                <w:sz w:val="17"/>
                <w:szCs w:val="17"/>
              </w:rPr>
              <w:t>环境安全，并定期开展应急培训和演练。</w:t>
            </w:r>
          </w:p>
        </w:tc>
        <w:tc>
          <w:tcPr>
            <w:tcW w:w="2599" w:type="dxa"/>
            <w:vAlign w:val="top"/>
          </w:tcPr>
          <w:p>
            <w:pPr>
              <w:spacing w:before="202" w:line="298" w:lineRule="auto"/>
              <w:ind w:left="42" w:right="27" w:firstLine="3"/>
              <w:rPr>
                <w:rFonts w:ascii="宋体" w:hAnsi="宋体" w:eastAsia="宋体" w:cs="宋体"/>
                <w:sz w:val="17"/>
                <w:szCs w:val="17"/>
              </w:rPr>
            </w:pPr>
            <w:r>
              <w:rPr>
                <w:rFonts w:ascii="宋体" w:hAnsi="宋体" w:eastAsia="宋体" w:cs="宋体"/>
                <w:spacing w:val="16"/>
                <w:sz w:val="17"/>
                <w:szCs w:val="17"/>
              </w:rPr>
              <w:t>项 目将在桥梁两侧设置防撞</w:t>
            </w:r>
            <w:r>
              <w:rPr>
                <w:rFonts w:ascii="宋体" w:hAnsi="宋体" w:eastAsia="宋体" w:cs="宋体"/>
                <w:spacing w:val="14"/>
                <w:sz w:val="17"/>
                <w:szCs w:val="17"/>
              </w:rPr>
              <w:t>设</w:t>
            </w:r>
            <w:r>
              <w:rPr>
                <w:rFonts w:ascii="宋体" w:hAnsi="宋体" w:eastAsia="宋体" w:cs="宋体"/>
                <w:sz w:val="17"/>
                <w:szCs w:val="17"/>
              </w:rPr>
              <w:t xml:space="preserve"> </w:t>
            </w:r>
            <w:r>
              <w:rPr>
                <w:rFonts w:ascii="宋体" w:hAnsi="宋体" w:eastAsia="宋体" w:cs="宋体"/>
                <w:spacing w:val="13"/>
                <w:sz w:val="17"/>
                <w:szCs w:val="17"/>
              </w:rPr>
              <w:t>施</w:t>
            </w:r>
            <w:r>
              <w:rPr>
                <w:rFonts w:ascii="宋体" w:hAnsi="宋体" w:eastAsia="宋体" w:cs="宋体"/>
                <w:spacing w:val="10"/>
                <w:sz w:val="17"/>
                <w:szCs w:val="17"/>
              </w:rPr>
              <w:t>、两端设置限速与禁止超车等</w:t>
            </w:r>
            <w:r>
              <w:rPr>
                <w:rFonts w:ascii="宋体" w:hAnsi="宋体" w:eastAsia="宋体" w:cs="宋体"/>
                <w:sz w:val="17"/>
                <w:szCs w:val="17"/>
              </w:rPr>
              <w:t xml:space="preserve"> </w:t>
            </w:r>
            <w:r>
              <w:rPr>
                <w:rFonts w:ascii="宋体" w:hAnsi="宋体" w:eastAsia="宋体" w:cs="宋体"/>
                <w:spacing w:val="10"/>
                <w:sz w:val="17"/>
                <w:szCs w:val="17"/>
              </w:rPr>
              <w:t>警示标志，并配套建设桥面径流</w:t>
            </w:r>
            <w:r>
              <w:rPr>
                <w:rFonts w:ascii="宋体" w:hAnsi="宋体" w:eastAsia="宋体" w:cs="宋体"/>
                <w:sz w:val="17"/>
                <w:szCs w:val="17"/>
              </w:rPr>
              <w:t xml:space="preserve"> </w:t>
            </w:r>
            <w:r>
              <w:rPr>
                <w:rFonts w:ascii="宋体" w:hAnsi="宋体" w:eastAsia="宋体" w:cs="宋体"/>
                <w:spacing w:val="13"/>
                <w:sz w:val="17"/>
                <w:szCs w:val="17"/>
              </w:rPr>
              <w:t>收</w:t>
            </w:r>
            <w:r>
              <w:rPr>
                <w:rFonts w:ascii="宋体" w:hAnsi="宋体" w:eastAsia="宋体" w:cs="宋体"/>
                <w:spacing w:val="10"/>
                <w:sz w:val="17"/>
                <w:szCs w:val="17"/>
              </w:rPr>
              <w:t>集处理系统、视频监控系统等</w:t>
            </w:r>
            <w:r>
              <w:rPr>
                <w:rFonts w:ascii="宋体" w:hAnsi="宋体" w:eastAsia="宋体" w:cs="宋体"/>
                <w:sz w:val="17"/>
                <w:szCs w:val="17"/>
              </w:rPr>
              <w:t xml:space="preserve"> </w:t>
            </w:r>
            <w:r>
              <w:rPr>
                <w:rFonts w:ascii="宋体" w:hAnsi="宋体" w:eastAsia="宋体" w:cs="宋体"/>
                <w:spacing w:val="9"/>
                <w:sz w:val="17"/>
                <w:szCs w:val="17"/>
              </w:rPr>
              <w:t>环</w:t>
            </w:r>
            <w:r>
              <w:rPr>
                <w:rFonts w:ascii="宋体" w:hAnsi="宋体" w:eastAsia="宋体" w:cs="宋体"/>
                <w:spacing w:val="8"/>
                <w:sz w:val="17"/>
                <w:szCs w:val="17"/>
              </w:rPr>
              <w:t>境风险防范设施。</w:t>
            </w:r>
          </w:p>
        </w:tc>
        <w:tc>
          <w:tcPr>
            <w:tcW w:w="740" w:type="dxa"/>
            <w:tcBorders>
              <w:right w:val="single" w:color="000000" w:sz="6" w:space="0"/>
            </w:tcBorders>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55" w:line="230" w:lineRule="auto"/>
              <w:ind w:left="141"/>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7" w:hRule="atLeast"/>
        </w:trPr>
        <w:tc>
          <w:tcPr>
            <w:tcW w:w="714" w:type="dxa"/>
            <w:vMerge w:val="continue"/>
            <w:tcBorders>
              <w:top w:val="nil"/>
              <w:left w:val="single" w:color="000000" w:sz="6" w:space="0"/>
            </w:tcBorders>
            <w:vAlign w:val="top"/>
          </w:tcPr>
          <w:p>
            <w:pPr>
              <w:rPr>
                <w:rFonts w:ascii="Arial"/>
                <w:sz w:val="21"/>
              </w:rPr>
            </w:pPr>
          </w:p>
        </w:tc>
        <w:tc>
          <w:tcPr>
            <w:tcW w:w="8221" w:type="dxa"/>
            <w:gridSpan w:val="6"/>
            <w:tcBorders>
              <w:right w:val="single" w:color="000000" w:sz="6" w:space="0"/>
            </w:tcBorders>
            <w:vAlign w:val="top"/>
          </w:tcPr>
          <w:p>
            <w:pPr>
              <w:spacing w:before="146" w:line="398" w:lineRule="exact"/>
              <w:ind w:left="467"/>
              <w:rPr>
                <w:rFonts w:ascii="宋体" w:hAnsi="宋体" w:eastAsia="宋体" w:cs="宋体"/>
                <w:sz w:val="20"/>
                <w:szCs w:val="20"/>
              </w:rPr>
            </w:pPr>
            <w:r>
              <w:rPr>
                <w:rFonts w:ascii="宋体" w:hAnsi="宋体" w:eastAsia="宋体" w:cs="宋体"/>
                <w:spacing w:val="8"/>
                <w:position w:val="14"/>
                <w:sz w:val="20"/>
                <w:szCs w:val="20"/>
              </w:rPr>
              <w:t>综上</w:t>
            </w:r>
            <w:r>
              <w:rPr>
                <w:rFonts w:ascii="宋体" w:hAnsi="宋体" w:eastAsia="宋体" w:cs="宋体"/>
                <w:spacing w:val="5"/>
                <w:position w:val="14"/>
                <w:sz w:val="20"/>
                <w:szCs w:val="20"/>
              </w:rPr>
              <w:t>分</w:t>
            </w:r>
            <w:r>
              <w:rPr>
                <w:rFonts w:ascii="宋体" w:hAnsi="宋体" w:eastAsia="宋体" w:cs="宋体"/>
                <w:spacing w:val="4"/>
                <w:position w:val="14"/>
                <w:sz w:val="20"/>
                <w:szCs w:val="20"/>
              </w:rPr>
              <w:t>析，本项目建设符合《达州市</w:t>
            </w:r>
            <w:r>
              <w:rPr>
                <w:rFonts w:ascii="Times New Roman" w:hAnsi="Times New Roman" w:eastAsia="Times New Roman" w:cs="Times New Roman"/>
                <w:spacing w:val="4"/>
                <w:position w:val="14"/>
                <w:sz w:val="20"/>
                <w:szCs w:val="20"/>
              </w:rPr>
              <w:t>“</w:t>
            </w:r>
            <w:r>
              <w:rPr>
                <w:rFonts w:ascii="宋体" w:hAnsi="宋体" w:eastAsia="宋体" w:cs="宋体"/>
                <w:spacing w:val="4"/>
                <w:position w:val="14"/>
                <w:sz w:val="20"/>
                <w:szCs w:val="20"/>
              </w:rPr>
              <w:t>十四五</w:t>
            </w:r>
            <w:r>
              <w:rPr>
                <w:rFonts w:ascii="Times New Roman" w:hAnsi="Times New Roman" w:eastAsia="Times New Roman" w:cs="Times New Roman"/>
                <w:spacing w:val="4"/>
                <w:position w:val="14"/>
                <w:sz w:val="20"/>
                <w:szCs w:val="20"/>
              </w:rPr>
              <w:t>”</w:t>
            </w:r>
            <w:r>
              <w:rPr>
                <w:rFonts w:ascii="宋体" w:hAnsi="宋体" w:eastAsia="宋体" w:cs="宋体"/>
                <w:spacing w:val="4"/>
                <w:position w:val="14"/>
                <w:sz w:val="20"/>
                <w:szCs w:val="20"/>
              </w:rPr>
              <w:t>综合交通运输发展规划环境影响报告书》</w:t>
            </w:r>
          </w:p>
          <w:p>
            <w:pPr>
              <w:spacing w:line="228" w:lineRule="auto"/>
              <w:ind w:left="46"/>
              <w:rPr>
                <w:rFonts w:ascii="宋体" w:hAnsi="宋体" w:eastAsia="宋体" w:cs="宋体"/>
                <w:sz w:val="20"/>
                <w:szCs w:val="20"/>
              </w:rPr>
            </w:pPr>
            <w:r>
              <w:rPr>
                <w:rFonts w:ascii="宋体" w:hAnsi="宋体" w:eastAsia="宋体" w:cs="宋体"/>
                <w:spacing w:val="9"/>
                <w:sz w:val="20"/>
                <w:szCs w:val="20"/>
              </w:rPr>
              <w:t>及</w:t>
            </w:r>
            <w:r>
              <w:rPr>
                <w:rFonts w:ascii="宋体" w:hAnsi="宋体" w:eastAsia="宋体" w:cs="宋体"/>
                <w:spacing w:val="6"/>
                <w:sz w:val="20"/>
                <w:szCs w:val="20"/>
              </w:rPr>
              <w:t>批复的要求。</w:t>
            </w:r>
          </w:p>
        </w:tc>
      </w:tr>
    </w:tbl>
    <w:p>
      <w:pPr>
        <w:spacing w:line="172" w:lineRule="exact"/>
        <w:rPr>
          <w:rFonts w:ascii="Arial"/>
          <w:sz w:val="14"/>
        </w:rPr>
      </w:pPr>
    </w:p>
    <w:p>
      <w:pPr>
        <w:sectPr>
          <w:footerReference r:id="rId8" w:type="default"/>
          <w:pgSz w:w="11906" w:h="16839"/>
          <w:pgMar w:top="400" w:right="1434" w:bottom="1475" w:left="1521" w:header="0" w:footer="1315" w:gutter="0"/>
          <w:cols w:space="720" w:num="1"/>
        </w:sectPr>
      </w:pPr>
    </w:p>
    <w:p/>
    <w:p/>
    <w:p/>
    <w:p/>
    <w:p>
      <w:pPr>
        <w:spacing w:line="221" w:lineRule="exact"/>
      </w:pPr>
    </w:p>
    <w:tbl>
      <w:tblPr>
        <w:tblStyle w:val="4"/>
        <w:tblW w:w="893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4"/>
        <w:gridCol w:w="82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3" w:hRule="atLeast"/>
        </w:trPr>
        <w:tc>
          <w:tcPr>
            <w:tcW w:w="714" w:type="dxa"/>
            <w:tcBorders>
              <w:left w:val="single" w:color="000000" w:sz="6"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5" w:line="228"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其</w:t>
            </w:r>
            <w:r>
              <w:rPr>
                <w:rFonts w:ascii="宋体" w:hAnsi="宋体" w:eastAsia="宋体" w:cs="宋体"/>
                <w:spacing w:val="7"/>
                <w:sz w:val="20"/>
                <w:szCs w:val="20"/>
                <w14:textOutline w14:w="3795" w14:cap="sq" w14:cmpd="sng">
                  <w14:solidFill>
                    <w14:srgbClr w14:val="000000"/>
                  </w14:solidFill>
                  <w14:prstDash w14:val="solid"/>
                  <w14:bevel/>
                </w14:textOutline>
              </w:rPr>
              <w:t>他符</w:t>
            </w:r>
          </w:p>
          <w:p>
            <w:pPr>
              <w:spacing w:before="164" w:line="228"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合</w:t>
            </w:r>
            <w:r>
              <w:rPr>
                <w:rFonts w:ascii="宋体" w:hAnsi="宋体" w:eastAsia="宋体" w:cs="宋体"/>
                <w:spacing w:val="7"/>
                <w:sz w:val="20"/>
                <w:szCs w:val="20"/>
                <w14:textOutline w14:w="3795" w14:cap="sq" w14:cmpd="sng">
                  <w14:solidFill>
                    <w14:srgbClr w14:val="000000"/>
                  </w14:solidFill>
                  <w14:prstDash w14:val="solid"/>
                  <w14:bevel/>
                </w14:textOutline>
              </w:rPr>
              <w:t>性分</w:t>
            </w:r>
          </w:p>
          <w:p>
            <w:pPr>
              <w:spacing w:before="160" w:line="228" w:lineRule="auto"/>
              <w:ind w:left="251"/>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析</w:t>
            </w:r>
          </w:p>
        </w:tc>
        <w:tc>
          <w:tcPr>
            <w:tcW w:w="8221" w:type="dxa"/>
            <w:tcBorders>
              <w:right w:val="single" w:color="000000" w:sz="6" w:space="0"/>
            </w:tcBorders>
            <w:vAlign w:val="top"/>
          </w:tcPr>
          <w:p>
            <w:pPr>
              <w:spacing w:before="170" w:line="242" w:lineRule="auto"/>
              <w:ind w:left="85"/>
              <w:rPr>
                <w:rFonts w:ascii="黑体" w:hAnsi="黑体" w:eastAsia="黑体" w:cs="黑体"/>
                <w:sz w:val="20"/>
                <w:szCs w:val="20"/>
              </w:rPr>
            </w:pPr>
            <w:r>
              <w:rPr>
                <w:rFonts w:ascii="Times New Roman" w:hAnsi="Times New Roman" w:eastAsia="Times New Roman" w:cs="Times New Roman"/>
                <w:spacing w:val="3"/>
                <w:sz w:val="20"/>
                <w:szCs w:val="20"/>
              </w:rPr>
              <w:t xml:space="preserve">1 </w:t>
            </w:r>
            <w:r>
              <w:rPr>
                <w:rFonts w:ascii="黑体" w:hAnsi="黑体" w:eastAsia="黑体" w:cs="黑体"/>
                <w:spacing w:val="3"/>
                <w:sz w:val="20"/>
                <w:szCs w:val="20"/>
              </w:rPr>
              <w:t>、产业政策的符合性分</w:t>
            </w:r>
            <w:r>
              <w:rPr>
                <w:rFonts w:ascii="黑体" w:hAnsi="黑体" w:eastAsia="黑体" w:cs="黑体"/>
                <w:spacing w:val="1"/>
                <w:sz w:val="20"/>
                <w:szCs w:val="20"/>
              </w:rPr>
              <w:t>析</w:t>
            </w:r>
          </w:p>
          <w:p>
            <w:pPr>
              <w:spacing w:before="140" w:line="369" w:lineRule="auto"/>
              <w:ind w:left="68" w:right="63" w:firstLine="421"/>
              <w:rPr>
                <w:rFonts w:ascii="宋体" w:hAnsi="宋体" w:eastAsia="宋体" w:cs="宋体"/>
                <w:sz w:val="20"/>
                <w:szCs w:val="20"/>
              </w:rPr>
            </w:pPr>
            <w:r>
              <w:rPr>
                <w:rFonts w:ascii="宋体" w:hAnsi="宋体" w:eastAsia="宋体" w:cs="宋体"/>
                <w:spacing w:val="6"/>
                <w:sz w:val="20"/>
                <w:szCs w:val="20"/>
              </w:rPr>
              <w:t>本项目为高家坝大桥建设项目，查阅《产业结构调整指导目录 (</w:t>
            </w:r>
            <w:r>
              <w:rPr>
                <w:rFonts w:ascii="Times New Roman" w:hAnsi="Times New Roman" w:eastAsia="Times New Roman" w:cs="Times New Roman"/>
                <w:spacing w:val="6"/>
                <w:sz w:val="20"/>
                <w:szCs w:val="20"/>
              </w:rPr>
              <w:t>2019</w:t>
            </w:r>
            <w:r>
              <w:rPr>
                <w:rFonts w:ascii="宋体" w:hAnsi="宋体" w:eastAsia="宋体" w:cs="宋体"/>
                <w:spacing w:val="6"/>
                <w:sz w:val="20"/>
                <w:szCs w:val="20"/>
              </w:rPr>
              <w:t>年本) 》 (</w:t>
            </w:r>
            <w:r>
              <w:rPr>
                <w:rFonts w:ascii="Times New Roman" w:hAnsi="Times New Roman" w:eastAsia="Times New Roman" w:cs="Times New Roman"/>
                <w:spacing w:val="6"/>
                <w:sz w:val="20"/>
                <w:szCs w:val="20"/>
              </w:rPr>
              <w:t>20</w:t>
            </w:r>
            <w:r>
              <w:rPr>
                <w:rFonts w:ascii="Times New Roman" w:hAnsi="Times New Roman" w:eastAsia="Times New Roman" w:cs="Times New Roman"/>
                <w:spacing w:val="5"/>
                <w:sz w:val="20"/>
                <w:szCs w:val="20"/>
              </w:rPr>
              <w:t>2</w:t>
            </w:r>
            <w:r>
              <w:rPr>
                <w:rFonts w:ascii="Times New Roman" w:hAnsi="Times New Roman" w:eastAsia="Times New Roman" w:cs="Times New Roman"/>
                <w:sz w:val="20"/>
                <w:szCs w:val="20"/>
              </w:rPr>
              <w:t xml:space="preserve">1 </w:t>
            </w:r>
            <w:r>
              <w:rPr>
                <w:rFonts w:ascii="宋体" w:hAnsi="宋体" w:eastAsia="宋体" w:cs="宋体"/>
                <w:spacing w:val="6"/>
                <w:sz w:val="20"/>
                <w:szCs w:val="20"/>
              </w:rPr>
              <w:t>年修订) ，本项目属于其中的</w:t>
            </w:r>
            <w:r>
              <w:rPr>
                <w:rFonts w:ascii="Times New Roman" w:hAnsi="Times New Roman" w:eastAsia="Times New Roman" w:cs="Times New Roman"/>
                <w:spacing w:val="6"/>
                <w:sz w:val="20"/>
                <w:szCs w:val="20"/>
              </w:rPr>
              <w:t>“</w:t>
            </w:r>
            <w:r>
              <w:rPr>
                <w:rFonts w:ascii="宋体" w:hAnsi="宋体" w:eastAsia="宋体" w:cs="宋体"/>
                <w:spacing w:val="6"/>
                <w:sz w:val="20"/>
                <w:szCs w:val="20"/>
                <w14:textOutline w14:w="3795" w14:cap="sq" w14:cmpd="sng">
                  <w14:solidFill>
                    <w14:srgbClr w14:val="000000"/>
                  </w14:solidFill>
                  <w14:prstDash w14:val="solid"/>
                  <w14:bevel/>
                </w14:textOutline>
              </w:rPr>
              <w:t>鼓励类</w:t>
            </w:r>
            <w:r>
              <w:rPr>
                <w:rFonts w:ascii="Times New Roman" w:hAnsi="Times New Roman" w:eastAsia="Times New Roman" w:cs="Times New Roman"/>
                <w:spacing w:val="6"/>
                <w:sz w:val="20"/>
                <w:szCs w:val="20"/>
              </w:rPr>
              <w:t>”</w:t>
            </w:r>
            <w:r>
              <w:rPr>
                <w:rFonts w:ascii="宋体" w:hAnsi="宋体" w:eastAsia="宋体" w:cs="宋体"/>
                <w:spacing w:val="6"/>
                <w:sz w:val="20"/>
                <w:szCs w:val="20"/>
              </w:rPr>
              <w:t>中“</w:t>
            </w:r>
            <w:r>
              <w:rPr>
                <w:rFonts w:ascii="宋体" w:hAnsi="宋体" w:eastAsia="宋体" w:cs="宋体"/>
                <w:spacing w:val="6"/>
                <w:sz w:val="20"/>
                <w:szCs w:val="20"/>
                <w14:textOutline w14:w="3795" w14:cap="sq" w14:cmpd="sng">
                  <w14:solidFill>
                    <w14:srgbClr w14:val="000000"/>
                  </w14:solidFill>
                  <w14:prstDash w14:val="solid"/>
                  <w14:bevel/>
                </w14:textOutline>
              </w:rPr>
              <w:t>二十二</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城市基础设施</w:t>
            </w:r>
            <w:r>
              <w:rPr>
                <w:rFonts w:ascii="宋体" w:hAnsi="宋体" w:eastAsia="宋体" w:cs="宋体"/>
                <w:spacing w:val="6"/>
                <w:sz w:val="20"/>
                <w:szCs w:val="20"/>
              </w:rPr>
              <w:t>”类别的“</w:t>
            </w:r>
            <w:r>
              <w:rPr>
                <w:rFonts w:ascii="Times New Roman" w:hAnsi="Times New Roman" w:eastAsia="Times New Roman" w:cs="Times New Roman"/>
                <w:b/>
                <w:bCs/>
                <w:spacing w:val="6"/>
                <w:sz w:val="20"/>
                <w:szCs w:val="20"/>
              </w:rPr>
              <w:t>4</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、城市</w:t>
            </w:r>
            <w:r>
              <w:rPr>
                <w:rFonts w:ascii="宋体" w:hAnsi="宋体" w:eastAsia="宋体" w:cs="宋体"/>
                <w:spacing w:val="4"/>
                <w:sz w:val="20"/>
                <w:szCs w:val="20"/>
                <w14:textOutline w14:w="3795" w14:cap="sq" w14:cmpd="sng">
                  <w14:solidFill>
                    <w14:srgbClr w14:val="000000"/>
                  </w14:solidFill>
                  <w14:prstDash w14:val="solid"/>
                  <w14:bevel/>
                </w14:textOutline>
              </w:rPr>
              <w:t>道</w:t>
            </w:r>
            <w:r>
              <w:rPr>
                <w:rFonts w:ascii="宋体" w:hAnsi="宋体" w:eastAsia="宋体" w:cs="宋体"/>
                <w:sz w:val="20"/>
                <w:szCs w:val="20"/>
                <w14:textOutline w14:w="3795" w14:cap="sq" w14:cmpd="sng">
                  <w14:solidFill>
                    <w14:srgbClr w14:val="000000"/>
                  </w14:solidFill>
                  <w14:prstDash w14:val="solid"/>
                  <w14:bevel/>
                </w14:textOutline>
              </w:rPr>
              <w:t>路</w:t>
            </w:r>
            <w:r>
              <w:rPr>
                <w:rFonts w:ascii="宋体" w:hAnsi="宋体" w:eastAsia="宋体" w:cs="宋体"/>
                <w:sz w:val="20"/>
                <w:szCs w:val="20"/>
              </w:rPr>
              <w:t xml:space="preserve"> </w:t>
            </w:r>
            <w:r>
              <w:rPr>
                <w:rFonts w:ascii="宋体" w:hAnsi="宋体" w:eastAsia="宋体" w:cs="宋体"/>
                <w:spacing w:val="10"/>
                <w:sz w:val="20"/>
                <w:szCs w:val="20"/>
                <w14:textOutline w14:w="3795" w14:cap="sq" w14:cmpd="sng">
                  <w14:solidFill>
                    <w14:srgbClr w14:val="000000"/>
                  </w14:solidFill>
                  <w14:prstDash w14:val="solid"/>
                  <w14:bevel/>
                </w14:textOutline>
              </w:rPr>
              <w:t>及智能交通体系建设</w:t>
            </w:r>
            <w:r>
              <w:rPr>
                <w:rFonts w:ascii="宋体" w:hAnsi="宋体" w:eastAsia="宋体" w:cs="宋体"/>
                <w:spacing w:val="10"/>
                <w:sz w:val="20"/>
                <w:szCs w:val="20"/>
              </w:rPr>
              <w:t>”的项目。项目建议书、可行性研究报告均已取得达州市发展和</w:t>
            </w:r>
            <w:r>
              <w:rPr>
                <w:rFonts w:ascii="宋体" w:hAnsi="宋体" w:eastAsia="宋体" w:cs="宋体"/>
                <w:spacing w:val="7"/>
                <w:sz w:val="20"/>
                <w:szCs w:val="20"/>
              </w:rPr>
              <w:t>改</w:t>
            </w:r>
            <w:r>
              <w:rPr>
                <w:rFonts w:ascii="宋体" w:hAnsi="宋体" w:eastAsia="宋体" w:cs="宋体"/>
                <w:sz w:val="20"/>
                <w:szCs w:val="20"/>
              </w:rPr>
              <w:t xml:space="preserve"> </w:t>
            </w:r>
            <w:r>
              <w:rPr>
                <w:rFonts w:ascii="宋体" w:hAnsi="宋体" w:eastAsia="宋体" w:cs="宋体"/>
                <w:spacing w:val="6"/>
                <w:sz w:val="20"/>
                <w:szCs w:val="20"/>
              </w:rPr>
              <w:t>革委员会的批复 (达市发改审〔</w:t>
            </w:r>
            <w:r>
              <w:rPr>
                <w:rFonts w:ascii="Times New Roman" w:hAnsi="Times New Roman" w:eastAsia="Times New Roman" w:cs="Times New Roman"/>
                <w:spacing w:val="6"/>
                <w:sz w:val="20"/>
                <w:szCs w:val="20"/>
              </w:rPr>
              <w:t>2020</w:t>
            </w:r>
            <w:r>
              <w:rPr>
                <w:rFonts w:ascii="宋体" w:hAnsi="宋体" w:eastAsia="宋体" w:cs="宋体"/>
                <w:spacing w:val="6"/>
                <w:sz w:val="20"/>
                <w:szCs w:val="20"/>
              </w:rPr>
              <w:t>〕</w:t>
            </w:r>
            <w:r>
              <w:rPr>
                <w:rFonts w:ascii="Times New Roman" w:hAnsi="Times New Roman" w:eastAsia="Times New Roman" w:cs="Times New Roman"/>
                <w:spacing w:val="6"/>
                <w:sz w:val="20"/>
                <w:szCs w:val="20"/>
              </w:rPr>
              <w:t>64</w:t>
            </w:r>
            <w:r>
              <w:rPr>
                <w:rFonts w:ascii="宋体" w:hAnsi="宋体" w:eastAsia="宋体" w:cs="宋体"/>
                <w:spacing w:val="6"/>
                <w:sz w:val="20"/>
                <w:szCs w:val="20"/>
              </w:rPr>
              <w:t>号、达市发改审〔</w:t>
            </w:r>
            <w:r>
              <w:rPr>
                <w:rFonts w:ascii="Times New Roman" w:hAnsi="Times New Roman" w:eastAsia="Times New Roman" w:cs="Times New Roman"/>
                <w:spacing w:val="6"/>
                <w:sz w:val="20"/>
                <w:szCs w:val="20"/>
              </w:rPr>
              <w:t>2023</w:t>
            </w:r>
            <w:r>
              <w:rPr>
                <w:rFonts w:ascii="宋体" w:hAnsi="宋体" w:eastAsia="宋体" w:cs="宋体"/>
                <w:spacing w:val="6"/>
                <w:sz w:val="20"/>
                <w:szCs w:val="20"/>
              </w:rPr>
              <w:t>〕</w:t>
            </w:r>
            <w:r>
              <w:rPr>
                <w:rFonts w:ascii="Times New Roman" w:hAnsi="Times New Roman" w:eastAsia="Times New Roman" w:cs="Times New Roman"/>
                <w:spacing w:val="6"/>
                <w:sz w:val="20"/>
                <w:szCs w:val="20"/>
              </w:rPr>
              <w:t>11</w:t>
            </w:r>
            <w:r>
              <w:rPr>
                <w:rFonts w:ascii="宋体" w:hAnsi="宋体" w:eastAsia="宋体" w:cs="宋体"/>
                <w:spacing w:val="6"/>
                <w:sz w:val="20"/>
                <w:szCs w:val="20"/>
              </w:rPr>
              <w:t>号) 。同时，本工</w:t>
            </w:r>
            <w:r>
              <w:rPr>
                <w:rFonts w:ascii="宋体" w:hAnsi="宋体" w:eastAsia="宋体" w:cs="宋体"/>
                <w:sz w:val="20"/>
                <w:szCs w:val="20"/>
              </w:rPr>
              <w:t xml:space="preserve">程 </w:t>
            </w:r>
            <w:r>
              <w:rPr>
                <w:rFonts w:ascii="宋体" w:hAnsi="宋体" w:eastAsia="宋体" w:cs="宋体"/>
                <w:spacing w:val="6"/>
                <w:sz w:val="20"/>
                <w:szCs w:val="20"/>
              </w:rPr>
              <w:t>不属于《限制用地项目目录 (</w:t>
            </w:r>
            <w:r>
              <w:rPr>
                <w:rFonts w:ascii="Times New Roman" w:hAnsi="Times New Roman" w:eastAsia="Times New Roman" w:cs="Times New Roman"/>
                <w:spacing w:val="6"/>
                <w:sz w:val="20"/>
                <w:szCs w:val="20"/>
              </w:rPr>
              <w:t>2012</w:t>
            </w:r>
            <w:r>
              <w:rPr>
                <w:rFonts w:ascii="宋体" w:hAnsi="宋体" w:eastAsia="宋体" w:cs="宋体"/>
                <w:spacing w:val="6"/>
                <w:sz w:val="20"/>
                <w:szCs w:val="20"/>
              </w:rPr>
              <w:t>年本) 》和《禁止用地项目目录 (</w:t>
            </w:r>
            <w:r>
              <w:rPr>
                <w:rFonts w:ascii="Times New Roman" w:hAnsi="Times New Roman" w:eastAsia="Times New Roman" w:cs="Times New Roman"/>
                <w:spacing w:val="6"/>
                <w:sz w:val="20"/>
                <w:szCs w:val="20"/>
              </w:rPr>
              <w:t>2012</w:t>
            </w:r>
            <w:r>
              <w:rPr>
                <w:rFonts w:ascii="宋体" w:hAnsi="宋体" w:eastAsia="宋体" w:cs="宋体"/>
                <w:spacing w:val="6"/>
                <w:sz w:val="20"/>
                <w:szCs w:val="20"/>
              </w:rPr>
              <w:t>年本) 》所列</w:t>
            </w:r>
            <w:r>
              <w:rPr>
                <w:rFonts w:ascii="宋体" w:hAnsi="宋体" w:eastAsia="宋体" w:cs="宋体"/>
                <w:spacing w:val="2"/>
                <w:sz w:val="20"/>
                <w:szCs w:val="20"/>
              </w:rPr>
              <w:t>的</w:t>
            </w:r>
            <w:r>
              <w:rPr>
                <w:rFonts w:ascii="宋体" w:hAnsi="宋体" w:eastAsia="宋体" w:cs="宋体"/>
                <w:sz w:val="20"/>
                <w:szCs w:val="20"/>
              </w:rPr>
              <w:t xml:space="preserve"> </w:t>
            </w:r>
            <w:r>
              <w:rPr>
                <w:rFonts w:ascii="宋体" w:hAnsi="宋体" w:eastAsia="宋体" w:cs="宋体"/>
                <w:spacing w:val="4"/>
                <w:sz w:val="20"/>
                <w:szCs w:val="20"/>
              </w:rPr>
              <w:t>项</w:t>
            </w:r>
            <w:r>
              <w:rPr>
                <w:rFonts w:ascii="宋体" w:hAnsi="宋体" w:eastAsia="宋体" w:cs="宋体"/>
                <w:spacing w:val="3"/>
                <w:sz w:val="20"/>
                <w:szCs w:val="20"/>
              </w:rPr>
              <w:t>目。</w:t>
            </w:r>
          </w:p>
          <w:p>
            <w:pPr>
              <w:spacing w:line="226" w:lineRule="auto"/>
              <w:ind w:left="488"/>
              <w:rPr>
                <w:rFonts w:ascii="宋体" w:hAnsi="宋体" w:eastAsia="宋体" w:cs="宋体"/>
                <w:sz w:val="20"/>
                <w:szCs w:val="20"/>
              </w:rPr>
            </w:pPr>
            <w:r>
              <w:rPr>
                <w:rFonts w:ascii="宋体" w:hAnsi="宋体" w:eastAsia="宋体" w:cs="宋体"/>
                <w:spacing w:val="9"/>
                <w:sz w:val="20"/>
                <w:szCs w:val="20"/>
              </w:rPr>
              <w:t>评价认为，本项目符合国家产业政策</w:t>
            </w:r>
            <w:r>
              <w:rPr>
                <w:rFonts w:ascii="宋体" w:hAnsi="宋体" w:eastAsia="宋体" w:cs="宋体"/>
                <w:spacing w:val="6"/>
                <w:sz w:val="20"/>
                <w:szCs w:val="20"/>
              </w:rPr>
              <w:t>。</w:t>
            </w:r>
          </w:p>
          <w:p>
            <w:pPr>
              <w:spacing w:before="152" w:line="242" w:lineRule="auto"/>
              <w:ind w:left="65"/>
              <w:rPr>
                <w:rFonts w:ascii="黑体" w:hAnsi="黑体" w:eastAsia="黑体" w:cs="黑体"/>
                <w:sz w:val="20"/>
                <w:szCs w:val="20"/>
              </w:rPr>
            </w:pPr>
            <w:r>
              <w:rPr>
                <w:rFonts w:ascii="Times New Roman" w:hAnsi="Times New Roman" w:eastAsia="Times New Roman" w:cs="Times New Roman"/>
                <w:spacing w:val="4"/>
                <w:sz w:val="20"/>
                <w:szCs w:val="20"/>
              </w:rPr>
              <w:t xml:space="preserve">2 </w:t>
            </w:r>
            <w:r>
              <w:rPr>
                <w:rFonts w:ascii="黑体" w:hAnsi="黑体" w:eastAsia="黑体" w:cs="黑体"/>
                <w:spacing w:val="4"/>
                <w:sz w:val="20"/>
                <w:szCs w:val="20"/>
              </w:rPr>
              <w:t>、土地利用符合性分析</w:t>
            </w:r>
          </w:p>
          <w:p>
            <w:pPr>
              <w:tabs>
                <w:tab w:val="left" w:pos="177"/>
              </w:tabs>
              <w:spacing w:before="140" w:line="369" w:lineRule="auto"/>
              <w:ind w:left="68" w:firstLine="419"/>
              <w:rPr>
                <w:rFonts w:ascii="宋体" w:hAnsi="宋体" w:eastAsia="宋体" w:cs="宋体"/>
                <w:sz w:val="20"/>
                <w:szCs w:val="20"/>
              </w:rPr>
            </w:pPr>
            <w:r>
              <w:rPr>
                <w:rFonts w:ascii="宋体" w:hAnsi="宋体" w:eastAsia="宋体" w:cs="宋体"/>
                <w:spacing w:val="12"/>
                <w:sz w:val="20"/>
                <w:szCs w:val="20"/>
              </w:rPr>
              <w:t>根</w:t>
            </w:r>
            <w:r>
              <w:rPr>
                <w:rFonts w:ascii="宋体" w:hAnsi="宋体" w:eastAsia="宋体" w:cs="宋体"/>
                <w:spacing w:val="8"/>
                <w:sz w:val="20"/>
                <w:szCs w:val="20"/>
              </w:rPr>
              <w:t>据</w:t>
            </w:r>
            <w:r>
              <w:rPr>
                <w:rFonts w:ascii="宋体" w:hAnsi="宋体" w:eastAsia="宋体" w:cs="宋体"/>
                <w:spacing w:val="6"/>
                <w:sz w:val="20"/>
                <w:szCs w:val="20"/>
              </w:rPr>
              <w:t>达州市自然资源和规划局出具的《土地利用项目规划审查图》，项目用地为高家</w:t>
            </w:r>
            <w:r>
              <w:rPr>
                <w:rFonts w:ascii="宋体" w:hAnsi="宋体" w:eastAsia="宋体" w:cs="宋体"/>
                <w:sz w:val="20"/>
                <w:szCs w:val="20"/>
              </w:rPr>
              <w:t xml:space="preserve"> </w:t>
            </w:r>
            <w:r>
              <w:rPr>
                <w:rFonts w:ascii="宋体" w:hAnsi="宋体" w:eastAsia="宋体" w:cs="宋体"/>
                <w:spacing w:val="12"/>
                <w:sz w:val="20"/>
                <w:szCs w:val="20"/>
              </w:rPr>
              <w:t>坝大桥</w:t>
            </w:r>
            <w:r>
              <w:rPr>
                <w:rFonts w:ascii="宋体" w:hAnsi="宋体" w:eastAsia="宋体" w:cs="宋体"/>
                <w:spacing w:val="8"/>
                <w:sz w:val="20"/>
                <w:szCs w:val="20"/>
              </w:rPr>
              <w:t>用</w:t>
            </w:r>
            <w:r>
              <w:rPr>
                <w:rFonts w:ascii="宋体" w:hAnsi="宋体" w:eastAsia="宋体" w:cs="宋体"/>
                <w:spacing w:val="6"/>
                <w:sz w:val="20"/>
                <w:szCs w:val="20"/>
              </w:rPr>
              <w:t xml:space="preserve">地，项目永久用地面积 </w:t>
            </w:r>
            <w:r>
              <w:rPr>
                <w:rFonts w:ascii="Times New Roman" w:hAnsi="Times New Roman" w:eastAsia="Times New Roman" w:cs="Times New Roman"/>
                <w:spacing w:val="6"/>
                <w:sz w:val="20"/>
                <w:szCs w:val="20"/>
              </w:rPr>
              <w:t xml:space="preserve">1.4019 </w:t>
            </w:r>
            <w:r>
              <w:rPr>
                <w:rFonts w:ascii="宋体" w:hAnsi="宋体" w:eastAsia="宋体" w:cs="宋体"/>
                <w:spacing w:val="6"/>
                <w:sz w:val="20"/>
                <w:szCs w:val="20"/>
              </w:rPr>
              <w:t>公顷，经套合《达州市土地利用图总体规划》</w:t>
            </w:r>
            <w:r>
              <w:rPr>
                <w:rFonts w:ascii="宋体" w:hAnsi="宋体" w:eastAsia="宋体" w:cs="宋体"/>
                <w:sz w:val="20"/>
                <w:szCs w:val="20"/>
              </w:rPr>
              <w:t xml:space="preserve">   </w:t>
            </w:r>
            <w:r>
              <w:rPr>
                <w:rFonts w:ascii="Times New Roman" w:hAnsi="Times New Roman" w:eastAsia="Times New Roman" w:cs="Times New Roman"/>
                <w:spacing w:val="6"/>
                <w:sz w:val="20"/>
                <w:szCs w:val="20"/>
              </w:rPr>
              <w:t>(2006-202</w:t>
            </w:r>
            <w:r>
              <w:rPr>
                <w:rFonts w:ascii="Times New Roman" w:hAnsi="Times New Roman" w:eastAsia="Times New Roman" w:cs="Times New Roman"/>
                <w:spacing w:val="5"/>
                <w:sz w:val="20"/>
                <w:szCs w:val="20"/>
              </w:rPr>
              <w:t>0</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年版) ，其中符合规划面积 </w:t>
            </w:r>
            <w:r>
              <w:rPr>
                <w:rFonts w:ascii="Times New Roman" w:hAnsi="Times New Roman" w:eastAsia="Times New Roman" w:cs="Times New Roman"/>
                <w:spacing w:val="3"/>
                <w:sz w:val="20"/>
                <w:szCs w:val="20"/>
              </w:rPr>
              <w:t xml:space="preserve">0.7126 </w:t>
            </w:r>
            <w:r>
              <w:rPr>
                <w:rFonts w:ascii="宋体" w:hAnsi="宋体" w:eastAsia="宋体" w:cs="宋体"/>
                <w:spacing w:val="3"/>
                <w:sz w:val="20"/>
                <w:szCs w:val="20"/>
              </w:rPr>
              <w:t xml:space="preserve">公顷；不符合规划面积 </w:t>
            </w:r>
            <w:r>
              <w:rPr>
                <w:rFonts w:ascii="Times New Roman" w:hAnsi="Times New Roman" w:eastAsia="Times New Roman" w:cs="Times New Roman"/>
                <w:spacing w:val="3"/>
                <w:sz w:val="20"/>
                <w:szCs w:val="20"/>
              </w:rPr>
              <w:t xml:space="preserve">0. 1956 </w:t>
            </w:r>
            <w:r>
              <w:rPr>
                <w:rFonts w:ascii="宋体" w:hAnsi="宋体" w:eastAsia="宋体" w:cs="宋体"/>
                <w:spacing w:val="3"/>
                <w:sz w:val="20"/>
                <w:szCs w:val="20"/>
              </w:rPr>
              <w:t>公顷；河流</w:t>
            </w:r>
            <w:r>
              <w:rPr>
                <w:rFonts w:ascii="宋体" w:hAnsi="宋体" w:eastAsia="宋体" w:cs="宋体"/>
                <w:sz w:val="20"/>
                <w:szCs w:val="20"/>
              </w:rPr>
              <w:t xml:space="preserve"> </w:t>
            </w:r>
            <w:r>
              <w:rPr>
                <w:rFonts w:ascii="宋体" w:hAnsi="宋体" w:eastAsia="宋体" w:cs="宋体"/>
                <w:spacing w:val="10"/>
                <w:sz w:val="20"/>
                <w:szCs w:val="20"/>
              </w:rPr>
              <w:t xml:space="preserve">水面 </w:t>
            </w:r>
            <w:r>
              <w:rPr>
                <w:rFonts w:ascii="Times New Roman" w:hAnsi="Times New Roman" w:eastAsia="Times New Roman" w:cs="Times New Roman"/>
                <w:spacing w:val="10"/>
                <w:sz w:val="20"/>
                <w:szCs w:val="20"/>
              </w:rPr>
              <w:t>0</w:t>
            </w:r>
            <w:r>
              <w:rPr>
                <w:rFonts w:ascii="Times New Roman" w:hAnsi="Times New Roman" w:eastAsia="Times New Roman" w:cs="Times New Roman"/>
                <w:spacing w:val="7"/>
                <w:sz w:val="20"/>
                <w:szCs w:val="20"/>
              </w:rPr>
              <w:t>.</w:t>
            </w:r>
            <w:r>
              <w:rPr>
                <w:rFonts w:ascii="Times New Roman" w:hAnsi="Times New Roman" w:eastAsia="Times New Roman" w:cs="Times New Roman"/>
                <w:spacing w:val="5"/>
                <w:sz w:val="20"/>
                <w:szCs w:val="20"/>
              </w:rPr>
              <w:t xml:space="preserve">4937 </w:t>
            </w:r>
            <w:r>
              <w:rPr>
                <w:rFonts w:ascii="宋体" w:hAnsi="宋体" w:eastAsia="宋体" w:cs="宋体"/>
                <w:spacing w:val="5"/>
                <w:sz w:val="20"/>
                <w:szCs w:val="20"/>
              </w:rPr>
              <w:t>公顷。《关于以“三调”成果为基础开展建设用地报批地类审查工作的通知》</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14"/>
                <w:sz w:val="20"/>
                <w:szCs w:val="20"/>
              </w:rPr>
              <w:t>(川自然</w:t>
            </w:r>
            <w:r>
              <w:rPr>
                <w:rFonts w:ascii="宋体" w:hAnsi="宋体" w:eastAsia="宋体" w:cs="宋体"/>
                <w:spacing w:val="10"/>
                <w:sz w:val="20"/>
                <w:szCs w:val="20"/>
              </w:rPr>
              <w:t>资</w:t>
            </w:r>
            <w:r>
              <w:rPr>
                <w:rFonts w:ascii="宋体" w:hAnsi="宋体" w:eastAsia="宋体" w:cs="宋体"/>
                <w:spacing w:val="7"/>
                <w:sz w:val="20"/>
                <w:szCs w:val="20"/>
              </w:rPr>
              <w:t>办函〔</w:t>
            </w:r>
            <w:r>
              <w:rPr>
                <w:rFonts w:ascii="Times New Roman" w:hAnsi="Times New Roman" w:eastAsia="Times New Roman" w:cs="Times New Roman"/>
                <w:spacing w:val="7"/>
                <w:sz w:val="20"/>
                <w:szCs w:val="20"/>
              </w:rPr>
              <w:t>2022</w:t>
            </w:r>
            <w:r>
              <w:rPr>
                <w:rFonts w:ascii="宋体" w:hAnsi="宋体" w:eastAsia="宋体" w:cs="宋体"/>
                <w:spacing w:val="7"/>
                <w:sz w:val="20"/>
                <w:szCs w:val="20"/>
              </w:rPr>
              <w:t>〕</w:t>
            </w:r>
            <w:r>
              <w:rPr>
                <w:rFonts w:ascii="Times New Roman" w:hAnsi="Times New Roman" w:eastAsia="Times New Roman" w:cs="Times New Roman"/>
                <w:spacing w:val="7"/>
                <w:sz w:val="20"/>
                <w:szCs w:val="20"/>
              </w:rPr>
              <w:t xml:space="preserve">69 </w:t>
            </w:r>
            <w:r>
              <w:rPr>
                <w:rFonts w:ascii="宋体" w:hAnsi="宋体" w:eastAsia="宋体" w:cs="宋体"/>
                <w:spacing w:val="7"/>
                <w:sz w:val="20"/>
                <w:szCs w:val="20"/>
              </w:rPr>
              <w:t>号) 文件要求，经套合“三调”成果底图，项目用地范围内</w:t>
            </w:r>
            <w:r>
              <w:rPr>
                <w:rFonts w:ascii="宋体" w:hAnsi="宋体" w:eastAsia="宋体" w:cs="宋体"/>
                <w:sz w:val="20"/>
                <w:szCs w:val="20"/>
              </w:rPr>
              <w:t xml:space="preserve"> </w:t>
            </w:r>
            <w:r>
              <w:rPr>
                <w:rFonts w:ascii="宋体" w:hAnsi="宋体" w:eastAsia="宋体" w:cs="宋体"/>
                <w:spacing w:val="3"/>
                <w:sz w:val="20"/>
                <w:szCs w:val="20"/>
              </w:rPr>
              <w:t xml:space="preserve">农用地面积 </w:t>
            </w:r>
            <w:r>
              <w:rPr>
                <w:rFonts w:ascii="Times New Roman" w:hAnsi="Times New Roman" w:eastAsia="Times New Roman" w:cs="Times New Roman"/>
                <w:spacing w:val="3"/>
                <w:sz w:val="20"/>
                <w:szCs w:val="20"/>
              </w:rPr>
              <w:t xml:space="preserve">0.0954 </w:t>
            </w:r>
            <w:r>
              <w:rPr>
                <w:rFonts w:ascii="宋体" w:hAnsi="宋体" w:eastAsia="宋体" w:cs="宋体"/>
                <w:spacing w:val="3"/>
                <w:sz w:val="20"/>
                <w:szCs w:val="20"/>
              </w:rPr>
              <w:t xml:space="preserve">公顷；未利用地面积 </w:t>
            </w:r>
            <w:r>
              <w:rPr>
                <w:rFonts w:ascii="Times New Roman" w:hAnsi="Times New Roman" w:eastAsia="Times New Roman" w:cs="Times New Roman"/>
                <w:spacing w:val="3"/>
                <w:sz w:val="20"/>
                <w:szCs w:val="20"/>
              </w:rPr>
              <w:t xml:space="preserve">0.5939 </w:t>
            </w:r>
            <w:r>
              <w:rPr>
                <w:rFonts w:ascii="宋体" w:hAnsi="宋体" w:eastAsia="宋体" w:cs="宋体"/>
                <w:spacing w:val="3"/>
                <w:sz w:val="20"/>
                <w:szCs w:val="20"/>
              </w:rPr>
              <w:t xml:space="preserve">公顷；建设用地面积 </w:t>
            </w:r>
            <w:r>
              <w:rPr>
                <w:rFonts w:ascii="Times New Roman" w:hAnsi="Times New Roman" w:eastAsia="Times New Roman" w:cs="Times New Roman"/>
                <w:spacing w:val="3"/>
                <w:sz w:val="20"/>
                <w:szCs w:val="20"/>
              </w:rPr>
              <w:t xml:space="preserve">0.7126 </w:t>
            </w:r>
            <w:r>
              <w:rPr>
                <w:rFonts w:ascii="宋体" w:hAnsi="宋体" w:eastAsia="宋体" w:cs="宋体"/>
                <w:spacing w:val="3"/>
                <w:sz w:val="20"/>
                <w:szCs w:val="20"/>
              </w:rPr>
              <w:t>公顷。</w:t>
            </w:r>
            <w:r>
              <w:rPr>
                <w:rFonts w:ascii="宋体" w:hAnsi="宋体" w:eastAsia="宋体" w:cs="宋体"/>
                <w:sz w:val="20"/>
                <w:szCs w:val="20"/>
              </w:rPr>
              <w:t xml:space="preserve">占用的 </w:t>
            </w:r>
            <w:r>
              <w:rPr>
                <w:rFonts w:ascii="宋体" w:hAnsi="宋体" w:eastAsia="宋体" w:cs="宋体"/>
                <w:spacing w:val="12"/>
                <w:sz w:val="20"/>
                <w:szCs w:val="20"/>
              </w:rPr>
              <w:t>非建</w:t>
            </w:r>
            <w:r>
              <w:rPr>
                <w:rFonts w:ascii="宋体" w:hAnsi="宋体" w:eastAsia="宋体" w:cs="宋体"/>
                <w:spacing w:val="10"/>
                <w:sz w:val="20"/>
                <w:szCs w:val="20"/>
              </w:rPr>
              <w:t>设</w:t>
            </w:r>
            <w:r>
              <w:rPr>
                <w:rFonts w:ascii="宋体" w:hAnsi="宋体" w:eastAsia="宋体" w:cs="宋体"/>
                <w:spacing w:val="6"/>
                <w:sz w:val="20"/>
                <w:szCs w:val="20"/>
              </w:rPr>
              <w:t>用地通过区域调整、缴纳土地补偿费等，实现占补平衡。项目用地已取得《用地预</w:t>
            </w:r>
            <w:r>
              <w:rPr>
                <w:rFonts w:ascii="宋体" w:hAnsi="宋体" w:eastAsia="宋体" w:cs="宋体"/>
                <w:sz w:val="20"/>
                <w:szCs w:val="20"/>
              </w:rPr>
              <w:t xml:space="preserve"> </w:t>
            </w:r>
            <w:r>
              <w:rPr>
                <w:rFonts w:ascii="宋体" w:hAnsi="宋体" w:eastAsia="宋体" w:cs="宋体"/>
                <w:spacing w:val="16"/>
                <w:sz w:val="20"/>
                <w:szCs w:val="20"/>
              </w:rPr>
              <w:t>审与选</w:t>
            </w:r>
            <w:r>
              <w:rPr>
                <w:rFonts w:ascii="宋体" w:hAnsi="宋体" w:eastAsia="宋体" w:cs="宋体"/>
                <w:spacing w:val="14"/>
                <w:sz w:val="20"/>
                <w:szCs w:val="20"/>
              </w:rPr>
              <w:t>址</w:t>
            </w:r>
            <w:r>
              <w:rPr>
                <w:rFonts w:ascii="宋体" w:hAnsi="宋体" w:eastAsia="宋体" w:cs="宋体"/>
                <w:spacing w:val="8"/>
                <w:sz w:val="20"/>
                <w:szCs w:val="20"/>
              </w:rPr>
              <w:t>意见书》，载明：经审核，本建设项目符合国土空间用途管制要求，核发此书。</w:t>
            </w:r>
          </w:p>
          <w:p>
            <w:pPr>
              <w:spacing w:before="3" w:line="369" w:lineRule="auto"/>
              <w:ind w:left="68" w:firstLine="420"/>
              <w:rPr>
                <w:rFonts w:ascii="黑体" w:hAnsi="黑体" w:eastAsia="黑体" w:cs="黑体"/>
                <w:sz w:val="20"/>
                <w:szCs w:val="20"/>
              </w:rPr>
            </w:pPr>
            <w:r>
              <w:rPr>
                <w:rFonts w:ascii="宋体" w:hAnsi="宋体" w:eastAsia="宋体" w:cs="宋体"/>
                <w:spacing w:val="6"/>
                <w:sz w:val="20"/>
                <w:szCs w:val="20"/>
              </w:rPr>
              <w:t xml:space="preserve">根据调查，项目不符合规划的 </w:t>
            </w:r>
            <w:r>
              <w:rPr>
                <w:rFonts w:ascii="Times New Roman" w:hAnsi="Times New Roman" w:eastAsia="Times New Roman" w:cs="Times New Roman"/>
                <w:spacing w:val="6"/>
                <w:sz w:val="20"/>
                <w:szCs w:val="20"/>
              </w:rPr>
              <w:t xml:space="preserve">0. 1956 </w:t>
            </w:r>
            <w:r>
              <w:rPr>
                <w:rFonts w:ascii="宋体" w:hAnsi="宋体" w:eastAsia="宋体" w:cs="宋体"/>
                <w:spacing w:val="6"/>
                <w:sz w:val="20"/>
                <w:szCs w:val="20"/>
              </w:rPr>
              <w:t>公顷为河岸两侧的农用地、绿地等，现状</w:t>
            </w:r>
            <w:r>
              <w:rPr>
                <w:rFonts w:ascii="宋体" w:hAnsi="宋体" w:eastAsia="宋体" w:cs="宋体"/>
                <w:spacing w:val="3"/>
                <w:sz w:val="20"/>
                <w:szCs w:val="20"/>
              </w:rPr>
              <w:t>为</w:t>
            </w:r>
            <w:r>
              <w:rPr>
                <w:rFonts w:ascii="宋体" w:hAnsi="宋体" w:eastAsia="宋体" w:cs="宋体"/>
                <w:sz w:val="20"/>
                <w:szCs w:val="20"/>
              </w:rPr>
              <w:t xml:space="preserve">城 </w:t>
            </w:r>
            <w:r>
              <w:rPr>
                <w:rFonts w:ascii="宋体" w:hAnsi="宋体" w:eastAsia="宋体" w:cs="宋体"/>
                <w:spacing w:val="6"/>
                <w:sz w:val="20"/>
                <w:szCs w:val="20"/>
              </w:rPr>
              <w:t>市绿地、河滩地</w:t>
            </w:r>
            <w:r>
              <w:rPr>
                <w:rFonts w:ascii="宋体" w:hAnsi="宋体" w:eastAsia="宋体" w:cs="宋体"/>
                <w:spacing w:val="4"/>
                <w:sz w:val="20"/>
                <w:szCs w:val="20"/>
              </w:rPr>
              <w:t>和</w:t>
            </w:r>
            <w:r>
              <w:rPr>
                <w:rFonts w:ascii="宋体" w:hAnsi="宋体" w:eastAsia="宋体" w:cs="宋体"/>
                <w:spacing w:val="3"/>
                <w:sz w:val="20"/>
                <w:szCs w:val="20"/>
              </w:rPr>
              <w:t>未利用土地，位于项目桥梁投影面以下，桥梁建成后，该处将进行绿化。</w:t>
            </w:r>
            <w:r>
              <w:rPr>
                <w:rFonts w:ascii="宋体" w:hAnsi="宋体" w:eastAsia="宋体" w:cs="宋体"/>
                <w:sz w:val="20"/>
                <w:szCs w:val="20"/>
              </w:rPr>
              <w:t xml:space="preserve"> </w:t>
            </w:r>
            <w:r>
              <w:rPr>
                <w:rFonts w:ascii="宋体" w:hAnsi="宋体" w:eastAsia="宋体" w:cs="宋体"/>
                <w:spacing w:val="5"/>
                <w:sz w:val="20"/>
                <w:szCs w:val="20"/>
              </w:rPr>
              <w:t xml:space="preserve">临时用地面积 </w:t>
            </w:r>
            <w:r>
              <w:rPr>
                <w:rFonts w:ascii="Times New Roman" w:hAnsi="Times New Roman" w:eastAsia="Times New Roman" w:cs="Times New Roman"/>
                <w:spacing w:val="5"/>
                <w:sz w:val="20"/>
                <w:szCs w:val="20"/>
              </w:rPr>
              <w:t xml:space="preserve">1.84 </w:t>
            </w:r>
            <w:r>
              <w:rPr>
                <w:rFonts w:ascii="宋体" w:hAnsi="宋体" w:eastAsia="宋体" w:cs="宋体"/>
                <w:spacing w:val="5"/>
                <w:sz w:val="20"/>
                <w:szCs w:val="20"/>
              </w:rPr>
              <w:t>公顷，主要为施工便道、临时场地等， 占地类型为水域用地、交通</w:t>
            </w:r>
            <w:r>
              <w:rPr>
                <w:rFonts w:ascii="宋体" w:hAnsi="宋体" w:eastAsia="宋体" w:cs="宋体"/>
                <w:spacing w:val="4"/>
                <w:sz w:val="20"/>
                <w:szCs w:val="20"/>
              </w:rPr>
              <w:t>运</w:t>
            </w:r>
            <w:r>
              <w:rPr>
                <w:rFonts w:ascii="宋体" w:hAnsi="宋体" w:eastAsia="宋体" w:cs="宋体"/>
                <w:sz w:val="20"/>
                <w:szCs w:val="20"/>
              </w:rPr>
              <w:t xml:space="preserve"> </w:t>
            </w:r>
            <w:r>
              <w:rPr>
                <w:rFonts w:ascii="宋体" w:hAnsi="宋体" w:eastAsia="宋体" w:cs="宋体"/>
                <w:spacing w:val="13"/>
                <w:sz w:val="20"/>
                <w:szCs w:val="20"/>
              </w:rPr>
              <w:t>输</w:t>
            </w:r>
            <w:r>
              <w:rPr>
                <w:rFonts w:ascii="宋体" w:hAnsi="宋体" w:eastAsia="宋体" w:cs="宋体"/>
                <w:spacing w:val="10"/>
                <w:sz w:val="20"/>
                <w:szCs w:val="20"/>
              </w:rPr>
              <w:t>用地、河滩地、未利用土地等，施工结束后立即恢复原状，不会改变土地利用性质。</w:t>
            </w:r>
            <w:r>
              <w:rPr>
                <w:rFonts w:ascii="宋体" w:hAnsi="宋体" w:eastAsia="宋体" w:cs="宋体"/>
                <w:sz w:val="20"/>
                <w:szCs w:val="20"/>
              </w:rPr>
              <w:t xml:space="preserve">  </w:t>
            </w:r>
            <w:r>
              <w:rPr>
                <w:rFonts w:ascii="Times New Roman" w:hAnsi="Times New Roman" w:eastAsia="Times New Roman" w:cs="Times New Roman"/>
                <w:spacing w:val="4"/>
                <w:sz w:val="20"/>
                <w:szCs w:val="20"/>
              </w:rPr>
              <w:t xml:space="preserve">3 </w:t>
            </w:r>
            <w:r>
              <w:rPr>
                <w:rFonts w:ascii="黑体" w:hAnsi="黑体" w:eastAsia="黑体" w:cs="黑体"/>
                <w:spacing w:val="4"/>
                <w:sz w:val="20"/>
                <w:szCs w:val="20"/>
              </w:rPr>
              <w:t>、</w:t>
            </w:r>
            <w:r>
              <w:rPr>
                <w:rFonts w:ascii="Times New Roman" w:hAnsi="Times New Roman" w:eastAsia="Times New Roman" w:cs="Times New Roman"/>
                <w:spacing w:val="4"/>
                <w:sz w:val="20"/>
                <w:szCs w:val="20"/>
              </w:rPr>
              <w:t>“</w:t>
            </w:r>
            <w:r>
              <w:rPr>
                <w:rFonts w:ascii="黑体" w:hAnsi="黑体" w:eastAsia="黑体" w:cs="黑体"/>
                <w:spacing w:val="4"/>
                <w:sz w:val="20"/>
                <w:szCs w:val="20"/>
              </w:rPr>
              <w:t>三线一单</w:t>
            </w:r>
            <w:r>
              <w:rPr>
                <w:rFonts w:ascii="Times New Roman" w:hAnsi="Times New Roman" w:eastAsia="Times New Roman" w:cs="Times New Roman"/>
                <w:spacing w:val="4"/>
                <w:sz w:val="20"/>
                <w:szCs w:val="20"/>
              </w:rPr>
              <w:t>”</w:t>
            </w:r>
            <w:r>
              <w:rPr>
                <w:rFonts w:ascii="黑体" w:hAnsi="黑体" w:eastAsia="黑体" w:cs="黑体"/>
                <w:spacing w:val="4"/>
                <w:sz w:val="20"/>
                <w:szCs w:val="20"/>
              </w:rPr>
              <w:t>符合性分</w:t>
            </w:r>
            <w:r>
              <w:rPr>
                <w:rFonts w:ascii="黑体" w:hAnsi="黑体" w:eastAsia="黑体" w:cs="黑体"/>
                <w:spacing w:val="1"/>
                <w:sz w:val="20"/>
                <w:szCs w:val="20"/>
              </w:rPr>
              <w:t>析</w:t>
            </w:r>
          </w:p>
          <w:p>
            <w:pPr>
              <w:spacing w:before="2" w:line="369" w:lineRule="auto"/>
              <w:ind w:left="69" w:right="12" w:firstLine="373"/>
              <w:rPr>
                <w:rFonts w:ascii="宋体" w:hAnsi="宋体" w:eastAsia="宋体" w:cs="宋体"/>
                <w:sz w:val="20"/>
                <w:szCs w:val="20"/>
              </w:rPr>
            </w:pPr>
            <w:r>
              <w:rPr>
                <w:rFonts w:ascii="Times New Roman" w:hAnsi="Times New Roman" w:eastAsia="Times New Roman" w:cs="Times New Roman"/>
                <w:spacing w:val="10"/>
                <w:sz w:val="20"/>
                <w:szCs w:val="20"/>
              </w:rPr>
              <w:t>“</w:t>
            </w:r>
            <w:r>
              <w:rPr>
                <w:rFonts w:ascii="宋体" w:hAnsi="宋体" w:eastAsia="宋体" w:cs="宋体"/>
                <w:spacing w:val="10"/>
                <w:sz w:val="20"/>
                <w:szCs w:val="20"/>
              </w:rPr>
              <w:t>三线一单</w:t>
            </w:r>
            <w:r>
              <w:rPr>
                <w:rFonts w:ascii="Times New Roman" w:hAnsi="Times New Roman" w:eastAsia="Times New Roman" w:cs="Times New Roman"/>
                <w:spacing w:val="10"/>
                <w:sz w:val="20"/>
                <w:szCs w:val="20"/>
              </w:rPr>
              <w:t>”</w:t>
            </w:r>
            <w:r>
              <w:rPr>
                <w:rFonts w:ascii="宋体" w:hAnsi="宋体" w:eastAsia="宋体" w:cs="宋体"/>
                <w:spacing w:val="10"/>
                <w:sz w:val="20"/>
                <w:szCs w:val="20"/>
              </w:rPr>
              <w:t>是指生态保护红线、环境质量底线、资源利用上线和生态环境准入清单</w:t>
            </w:r>
            <w:r>
              <w:rPr>
                <w:rFonts w:ascii="宋体" w:hAnsi="宋体" w:eastAsia="宋体" w:cs="宋体"/>
                <w:spacing w:val="7"/>
                <w:sz w:val="20"/>
                <w:szCs w:val="20"/>
              </w:rPr>
              <w:t>，</w:t>
            </w:r>
            <w:r>
              <w:rPr>
                <w:rFonts w:ascii="宋体" w:hAnsi="宋体" w:eastAsia="宋体" w:cs="宋体"/>
                <w:sz w:val="20"/>
                <w:szCs w:val="20"/>
              </w:rPr>
              <w:t xml:space="preserve"> </w:t>
            </w:r>
            <w:r>
              <w:rPr>
                <w:rFonts w:ascii="宋体" w:hAnsi="宋体" w:eastAsia="宋体" w:cs="宋体"/>
                <w:spacing w:val="10"/>
                <w:sz w:val="20"/>
                <w:szCs w:val="20"/>
              </w:rPr>
              <w:t>是</w:t>
            </w:r>
            <w:r>
              <w:rPr>
                <w:rFonts w:ascii="宋体" w:hAnsi="宋体" w:eastAsia="宋体" w:cs="宋体"/>
                <w:spacing w:val="7"/>
                <w:sz w:val="20"/>
                <w:szCs w:val="20"/>
              </w:rPr>
              <w:t>推进生态环境保护精细化管理、强化国土空间环境管控、推进绿色发展高质量发展的一</w:t>
            </w:r>
            <w:r>
              <w:rPr>
                <w:rFonts w:ascii="宋体" w:hAnsi="宋体" w:eastAsia="宋体" w:cs="宋体"/>
                <w:sz w:val="20"/>
                <w:szCs w:val="20"/>
              </w:rPr>
              <w:t xml:space="preserve"> </w:t>
            </w:r>
            <w:r>
              <w:rPr>
                <w:rFonts w:ascii="宋体" w:hAnsi="宋体" w:eastAsia="宋体" w:cs="宋体"/>
                <w:spacing w:val="10"/>
                <w:sz w:val="20"/>
                <w:szCs w:val="20"/>
              </w:rPr>
              <w:t>项</w:t>
            </w:r>
            <w:r>
              <w:rPr>
                <w:rFonts w:ascii="宋体" w:hAnsi="宋体" w:eastAsia="宋体" w:cs="宋体"/>
                <w:spacing w:val="7"/>
                <w:sz w:val="20"/>
                <w:szCs w:val="20"/>
              </w:rPr>
              <w:t>重要工作。生态保护红线指在生态空间范围内具有特殊重要生态功能、必须强制性严格</w:t>
            </w:r>
            <w:r>
              <w:rPr>
                <w:rFonts w:ascii="宋体" w:hAnsi="宋体" w:eastAsia="宋体" w:cs="宋体"/>
                <w:sz w:val="20"/>
                <w:szCs w:val="20"/>
              </w:rPr>
              <w:t xml:space="preserve"> </w:t>
            </w:r>
            <w:r>
              <w:rPr>
                <w:rFonts w:ascii="宋体" w:hAnsi="宋体" w:eastAsia="宋体" w:cs="宋体"/>
                <w:spacing w:val="10"/>
                <w:sz w:val="20"/>
                <w:szCs w:val="20"/>
              </w:rPr>
              <w:t>保</w:t>
            </w:r>
            <w:r>
              <w:rPr>
                <w:rFonts w:ascii="宋体" w:hAnsi="宋体" w:eastAsia="宋体" w:cs="宋体"/>
                <w:spacing w:val="7"/>
                <w:sz w:val="20"/>
                <w:szCs w:val="20"/>
              </w:rPr>
              <w:t>护的区域；环境质量底线指结合环境质量现状和相关规划、功能区划要求，确定的分区</w:t>
            </w:r>
            <w:r>
              <w:rPr>
                <w:rFonts w:ascii="宋体" w:hAnsi="宋体" w:eastAsia="宋体" w:cs="宋体"/>
                <w:sz w:val="20"/>
                <w:szCs w:val="20"/>
              </w:rPr>
              <w:t xml:space="preserve"> </w:t>
            </w:r>
            <w:r>
              <w:rPr>
                <w:rFonts w:ascii="宋体" w:hAnsi="宋体" w:eastAsia="宋体" w:cs="宋体"/>
                <w:spacing w:val="10"/>
                <w:sz w:val="20"/>
                <w:szCs w:val="20"/>
              </w:rPr>
              <w:t>域</w:t>
            </w:r>
            <w:r>
              <w:rPr>
                <w:rFonts w:ascii="宋体" w:hAnsi="宋体" w:eastAsia="宋体" w:cs="宋体"/>
                <w:spacing w:val="7"/>
                <w:sz w:val="20"/>
                <w:szCs w:val="20"/>
              </w:rPr>
              <w:t>分阶段环境质量目标及相应的环境管控、污染物排放控制等要求；资源利用上线以保障</w:t>
            </w:r>
            <w:r>
              <w:rPr>
                <w:rFonts w:ascii="宋体" w:hAnsi="宋体" w:eastAsia="宋体" w:cs="宋体"/>
                <w:sz w:val="20"/>
                <w:szCs w:val="20"/>
              </w:rPr>
              <w:t xml:space="preserve"> </w:t>
            </w:r>
            <w:r>
              <w:rPr>
                <w:rFonts w:ascii="宋体" w:hAnsi="宋体" w:eastAsia="宋体" w:cs="宋体"/>
                <w:spacing w:val="10"/>
                <w:sz w:val="20"/>
                <w:szCs w:val="20"/>
              </w:rPr>
              <w:t>生</w:t>
            </w:r>
            <w:r>
              <w:rPr>
                <w:rFonts w:ascii="宋体" w:hAnsi="宋体" w:eastAsia="宋体" w:cs="宋体"/>
                <w:spacing w:val="7"/>
                <w:sz w:val="20"/>
                <w:szCs w:val="20"/>
              </w:rPr>
              <w:t>态安全和改善环境质量为目的，结合自然资源开发管控，提出的分区域分阶段的资源开</w:t>
            </w:r>
            <w:r>
              <w:rPr>
                <w:rFonts w:ascii="宋体" w:hAnsi="宋体" w:eastAsia="宋体" w:cs="宋体"/>
                <w:sz w:val="20"/>
                <w:szCs w:val="20"/>
              </w:rPr>
              <w:t xml:space="preserve"> </w:t>
            </w:r>
            <w:r>
              <w:rPr>
                <w:rFonts w:ascii="宋体" w:hAnsi="宋体" w:eastAsia="宋体" w:cs="宋体"/>
                <w:spacing w:val="16"/>
                <w:sz w:val="20"/>
                <w:szCs w:val="20"/>
              </w:rPr>
              <w:t>发利</w:t>
            </w:r>
            <w:r>
              <w:rPr>
                <w:rFonts w:ascii="宋体" w:hAnsi="宋体" w:eastAsia="宋体" w:cs="宋体"/>
                <w:spacing w:val="8"/>
                <w:sz w:val="20"/>
                <w:szCs w:val="20"/>
              </w:rPr>
              <w:t>用总量、强度、效率等上线管控要求；生态环境准入清单则是指基于环境管控单元，</w:t>
            </w:r>
            <w:r>
              <w:rPr>
                <w:rFonts w:ascii="宋体" w:hAnsi="宋体" w:eastAsia="宋体" w:cs="宋体"/>
                <w:sz w:val="20"/>
                <w:szCs w:val="20"/>
              </w:rPr>
              <w:t xml:space="preserve"> </w:t>
            </w:r>
            <w:r>
              <w:rPr>
                <w:rFonts w:ascii="宋体" w:hAnsi="宋体" w:eastAsia="宋体" w:cs="宋体"/>
                <w:spacing w:val="14"/>
                <w:sz w:val="20"/>
                <w:szCs w:val="20"/>
              </w:rPr>
              <w:t>统筹</w:t>
            </w:r>
            <w:r>
              <w:rPr>
                <w:rFonts w:ascii="宋体" w:hAnsi="宋体" w:eastAsia="宋体" w:cs="宋体"/>
                <w:spacing w:val="12"/>
                <w:sz w:val="20"/>
                <w:szCs w:val="20"/>
              </w:rPr>
              <w:t>考</w:t>
            </w:r>
            <w:r>
              <w:rPr>
                <w:rFonts w:ascii="宋体" w:hAnsi="宋体" w:eastAsia="宋体" w:cs="宋体"/>
                <w:spacing w:val="7"/>
                <w:sz w:val="20"/>
                <w:szCs w:val="20"/>
              </w:rPr>
              <w:t>虑</w:t>
            </w:r>
            <w:r>
              <w:rPr>
                <w:rFonts w:ascii="Times New Roman" w:hAnsi="Times New Roman" w:eastAsia="Times New Roman" w:cs="Times New Roman"/>
                <w:spacing w:val="7"/>
                <w:sz w:val="20"/>
                <w:szCs w:val="20"/>
              </w:rPr>
              <w:t>“</w:t>
            </w:r>
            <w:r>
              <w:rPr>
                <w:rFonts w:ascii="宋体" w:hAnsi="宋体" w:eastAsia="宋体" w:cs="宋体"/>
                <w:spacing w:val="7"/>
                <w:sz w:val="20"/>
                <w:szCs w:val="20"/>
              </w:rPr>
              <w:t>三线</w:t>
            </w:r>
            <w:r>
              <w:rPr>
                <w:rFonts w:ascii="Times New Roman" w:hAnsi="Times New Roman" w:eastAsia="Times New Roman" w:cs="Times New Roman"/>
                <w:spacing w:val="7"/>
                <w:sz w:val="20"/>
                <w:szCs w:val="20"/>
              </w:rPr>
              <w:t>”</w:t>
            </w:r>
            <w:r>
              <w:rPr>
                <w:rFonts w:ascii="宋体" w:hAnsi="宋体" w:eastAsia="宋体" w:cs="宋体"/>
                <w:spacing w:val="7"/>
                <w:sz w:val="20"/>
                <w:szCs w:val="20"/>
              </w:rPr>
              <w:t>的管控要求，提出的空间布局、污染物排放、环境风险、资源开发利用等</w:t>
            </w:r>
            <w:r>
              <w:rPr>
                <w:rFonts w:ascii="宋体" w:hAnsi="宋体" w:eastAsia="宋体" w:cs="宋体"/>
                <w:sz w:val="20"/>
                <w:szCs w:val="20"/>
              </w:rPr>
              <w:t xml:space="preserve"> </w:t>
            </w:r>
            <w:r>
              <w:rPr>
                <w:rFonts w:ascii="宋体" w:hAnsi="宋体" w:eastAsia="宋体" w:cs="宋体"/>
                <w:spacing w:val="16"/>
                <w:sz w:val="20"/>
                <w:szCs w:val="20"/>
              </w:rPr>
              <w:t>方</w:t>
            </w:r>
            <w:r>
              <w:rPr>
                <w:rFonts w:ascii="宋体" w:hAnsi="宋体" w:eastAsia="宋体" w:cs="宋体"/>
                <w:spacing w:val="8"/>
                <w:sz w:val="20"/>
                <w:szCs w:val="20"/>
              </w:rPr>
              <w:t>面禁止和限制的环境准入要求。</w:t>
            </w:r>
          </w:p>
          <w:p>
            <w:pPr>
              <w:spacing w:before="1" w:line="228" w:lineRule="auto"/>
              <w:ind w:left="499"/>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8"/>
                <w:sz w:val="20"/>
                <w:szCs w:val="20"/>
              </w:rPr>
              <w:t>1</w:t>
            </w: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宋体" w:hAnsi="宋体" w:eastAsia="宋体" w:cs="宋体"/>
                <w:spacing w:val="18"/>
                <w:sz w:val="20"/>
                <w:szCs w:val="20"/>
              </w:rPr>
              <w:t xml:space="preserve"> </w:t>
            </w:r>
            <w:r>
              <w:rPr>
                <w:rFonts w:ascii="宋体" w:hAnsi="宋体" w:eastAsia="宋体" w:cs="宋体"/>
                <w:spacing w:val="18"/>
                <w:sz w:val="20"/>
                <w:szCs w:val="20"/>
                <w14:textOutline w14:w="3795" w14:cap="sq" w14:cmpd="sng">
                  <w14:solidFill>
                    <w14:srgbClr w14:val="000000"/>
                  </w14:solidFill>
                  <w14:prstDash w14:val="solid"/>
                  <w14:bevel/>
                </w14:textOutline>
              </w:rPr>
              <w:t>分析结构</w:t>
            </w:r>
          </w:p>
          <w:p>
            <w:pPr>
              <w:spacing w:before="113" w:line="322" w:lineRule="auto"/>
              <w:ind w:left="69" w:right="66" w:firstLine="419"/>
              <w:rPr>
                <w:rFonts w:ascii="宋体" w:hAnsi="宋体" w:eastAsia="宋体" w:cs="宋体"/>
                <w:sz w:val="20"/>
                <w:szCs w:val="20"/>
              </w:rPr>
            </w:pPr>
            <w:r>
              <w:rPr>
                <w:rFonts w:ascii="宋体" w:hAnsi="宋体" w:eastAsia="宋体" w:cs="宋体"/>
                <w:spacing w:val="18"/>
                <w:sz w:val="20"/>
                <w:szCs w:val="20"/>
              </w:rPr>
              <w:t>根</w:t>
            </w:r>
            <w:r>
              <w:rPr>
                <w:rFonts w:ascii="宋体" w:hAnsi="宋体" w:eastAsia="宋体" w:cs="宋体"/>
                <w:spacing w:val="10"/>
                <w:sz w:val="20"/>
                <w:szCs w:val="20"/>
              </w:rPr>
              <w:t>据</w:t>
            </w:r>
            <w:r>
              <w:rPr>
                <w:rFonts w:ascii="宋体" w:hAnsi="宋体" w:eastAsia="宋体" w:cs="宋体"/>
                <w:spacing w:val="9"/>
                <w:sz w:val="20"/>
                <w:szCs w:val="20"/>
              </w:rPr>
              <w:t>四川省生态环境厅办公室《关于印发</w:t>
            </w:r>
            <w:r>
              <w:rPr>
                <w:rFonts w:ascii="Times New Roman" w:hAnsi="Times New Roman" w:eastAsia="Times New Roman" w:cs="Times New Roman"/>
                <w:spacing w:val="9"/>
                <w:sz w:val="20"/>
                <w:szCs w:val="20"/>
              </w:rPr>
              <w:t>&lt;</w:t>
            </w:r>
            <w:r>
              <w:rPr>
                <w:rFonts w:ascii="宋体" w:hAnsi="宋体" w:eastAsia="宋体" w:cs="宋体"/>
                <w:spacing w:val="9"/>
                <w:sz w:val="20"/>
                <w:szCs w:val="20"/>
              </w:rPr>
              <w:t>产业园区规划环评</w:t>
            </w:r>
            <w:r>
              <w:rPr>
                <w:rFonts w:ascii="Times New Roman" w:hAnsi="Times New Roman" w:eastAsia="Times New Roman" w:cs="Times New Roman"/>
                <w:spacing w:val="9"/>
                <w:sz w:val="20"/>
                <w:szCs w:val="20"/>
              </w:rPr>
              <w:t>“</w:t>
            </w:r>
            <w:r>
              <w:rPr>
                <w:rFonts w:ascii="宋体" w:hAnsi="宋体" w:eastAsia="宋体" w:cs="宋体"/>
                <w:spacing w:val="9"/>
                <w:sz w:val="20"/>
                <w:szCs w:val="20"/>
              </w:rPr>
              <w:t>三线一单</w:t>
            </w:r>
            <w:r>
              <w:rPr>
                <w:rFonts w:ascii="Times New Roman" w:hAnsi="Times New Roman" w:eastAsia="Times New Roman" w:cs="Times New Roman"/>
                <w:spacing w:val="9"/>
                <w:sz w:val="20"/>
                <w:szCs w:val="20"/>
              </w:rPr>
              <w:t>”</w:t>
            </w:r>
            <w:r>
              <w:rPr>
                <w:rFonts w:ascii="宋体" w:hAnsi="宋体" w:eastAsia="宋体" w:cs="宋体"/>
                <w:spacing w:val="9"/>
                <w:sz w:val="20"/>
                <w:szCs w:val="20"/>
              </w:rPr>
              <w:t>符合性分析</w:t>
            </w:r>
            <w:r>
              <w:rPr>
                <w:rFonts w:ascii="宋体" w:hAnsi="宋体" w:eastAsia="宋体" w:cs="宋体"/>
                <w:sz w:val="20"/>
                <w:szCs w:val="20"/>
              </w:rPr>
              <w:t xml:space="preserve"> </w:t>
            </w:r>
            <w:r>
              <w:rPr>
                <w:rFonts w:ascii="宋体" w:hAnsi="宋体" w:eastAsia="宋体" w:cs="宋体"/>
                <w:spacing w:val="12"/>
                <w:sz w:val="20"/>
                <w:szCs w:val="20"/>
              </w:rPr>
              <w:t>技术要</w:t>
            </w:r>
            <w:r>
              <w:rPr>
                <w:rFonts w:ascii="宋体" w:hAnsi="宋体" w:eastAsia="宋体" w:cs="宋体"/>
                <w:spacing w:val="10"/>
                <w:sz w:val="20"/>
                <w:szCs w:val="20"/>
              </w:rPr>
              <w:t>点</w:t>
            </w:r>
            <w:r>
              <w:rPr>
                <w:rFonts w:ascii="Times New Roman" w:hAnsi="Times New Roman" w:eastAsia="Times New Roman" w:cs="Times New Roman"/>
                <w:spacing w:val="6"/>
                <w:sz w:val="20"/>
                <w:szCs w:val="20"/>
              </w:rPr>
              <w:t>(</w:t>
            </w:r>
            <w:r>
              <w:rPr>
                <w:rFonts w:ascii="宋体" w:hAnsi="宋体" w:eastAsia="宋体" w:cs="宋体"/>
                <w:spacing w:val="6"/>
                <w:sz w:val="20"/>
                <w:szCs w:val="20"/>
              </w:rPr>
              <w:t>试行</w:t>
            </w:r>
            <w:r>
              <w:rPr>
                <w:rFonts w:ascii="Times New Roman" w:hAnsi="Times New Roman" w:eastAsia="Times New Roman" w:cs="Times New Roman"/>
                <w:spacing w:val="6"/>
                <w:sz w:val="20"/>
                <w:szCs w:val="20"/>
              </w:rPr>
              <w:t>)&gt;</w:t>
            </w:r>
            <w:r>
              <w:rPr>
                <w:rFonts w:ascii="宋体" w:hAnsi="宋体" w:eastAsia="宋体" w:cs="宋体"/>
                <w:spacing w:val="6"/>
                <w:sz w:val="20"/>
                <w:szCs w:val="20"/>
              </w:rPr>
              <w:t>和</w:t>
            </w:r>
            <w:r>
              <w:rPr>
                <w:rFonts w:ascii="Times New Roman" w:hAnsi="Times New Roman" w:eastAsia="Times New Roman" w:cs="Times New Roman"/>
                <w:spacing w:val="6"/>
                <w:sz w:val="20"/>
                <w:szCs w:val="20"/>
              </w:rPr>
              <w:t>&lt;</w:t>
            </w:r>
            <w:r>
              <w:rPr>
                <w:rFonts w:ascii="宋体" w:hAnsi="宋体" w:eastAsia="宋体" w:cs="宋体"/>
                <w:spacing w:val="6"/>
                <w:sz w:val="20"/>
                <w:szCs w:val="20"/>
              </w:rPr>
              <w:t>项目环评</w:t>
            </w:r>
            <w:r>
              <w:rPr>
                <w:rFonts w:ascii="Times New Roman" w:hAnsi="Times New Roman" w:eastAsia="Times New Roman" w:cs="Times New Roman"/>
                <w:spacing w:val="6"/>
                <w:sz w:val="20"/>
                <w:szCs w:val="20"/>
              </w:rPr>
              <w:t>“</w:t>
            </w:r>
            <w:r>
              <w:rPr>
                <w:rFonts w:ascii="宋体" w:hAnsi="宋体" w:eastAsia="宋体" w:cs="宋体"/>
                <w:spacing w:val="6"/>
                <w:sz w:val="20"/>
                <w:szCs w:val="20"/>
              </w:rPr>
              <w:t>三线一单</w:t>
            </w:r>
            <w:r>
              <w:rPr>
                <w:rFonts w:ascii="Times New Roman" w:hAnsi="Times New Roman" w:eastAsia="Times New Roman" w:cs="Times New Roman"/>
                <w:spacing w:val="6"/>
                <w:sz w:val="20"/>
                <w:szCs w:val="20"/>
              </w:rPr>
              <w:t>”</w:t>
            </w:r>
            <w:r>
              <w:rPr>
                <w:rFonts w:ascii="宋体" w:hAnsi="宋体" w:eastAsia="宋体" w:cs="宋体"/>
                <w:spacing w:val="6"/>
                <w:sz w:val="20"/>
                <w:szCs w:val="20"/>
              </w:rPr>
              <w:t>符合性分析技术要点</w:t>
            </w:r>
            <w:r>
              <w:rPr>
                <w:rFonts w:ascii="Times New Roman" w:hAnsi="Times New Roman" w:eastAsia="Times New Roman" w:cs="Times New Roman"/>
                <w:spacing w:val="6"/>
                <w:sz w:val="20"/>
                <w:szCs w:val="20"/>
              </w:rPr>
              <w:t>(</w:t>
            </w:r>
            <w:r>
              <w:rPr>
                <w:rFonts w:ascii="宋体" w:hAnsi="宋体" w:eastAsia="宋体" w:cs="宋体"/>
                <w:spacing w:val="6"/>
                <w:sz w:val="20"/>
                <w:szCs w:val="20"/>
              </w:rPr>
              <w:t>试行</w:t>
            </w:r>
            <w:r>
              <w:rPr>
                <w:rFonts w:ascii="Times New Roman" w:hAnsi="Times New Roman" w:eastAsia="Times New Roman" w:cs="Times New Roman"/>
                <w:spacing w:val="6"/>
                <w:sz w:val="20"/>
                <w:szCs w:val="20"/>
              </w:rPr>
              <w:t>)&gt;</w:t>
            </w:r>
            <w:r>
              <w:rPr>
                <w:rFonts w:ascii="宋体" w:hAnsi="宋体" w:eastAsia="宋体" w:cs="宋体"/>
                <w:spacing w:val="6"/>
                <w:sz w:val="20"/>
                <w:szCs w:val="20"/>
              </w:rPr>
              <w:t>的通知》 (川环办函</w:t>
            </w:r>
          </w:p>
        </w:tc>
      </w:tr>
    </w:tbl>
    <w:p>
      <w:pPr>
        <w:spacing w:line="102" w:lineRule="exact"/>
        <w:rPr>
          <w:rFonts w:ascii="Arial"/>
          <w:sz w:val="8"/>
        </w:rPr>
      </w:pPr>
    </w:p>
    <w:p>
      <w:pPr>
        <w:sectPr>
          <w:footerReference r:id="rId9" w:type="default"/>
          <w:pgSz w:w="11906" w:h="16839"/>
          <w:pgMar w:top="400" w:right="1434" w:bottom="1475" w:left="1521" w:header="0" w:footer="1315" w:gutter="0"/>
          <w:cols w:space="720" w:num="1"/>
        </w:sectPr>
      </w:pPr>
    </w:p>
    <w:p/>
    <w:p/>
    <w:p/>
    <w:p/>
    <w:p>
      <w:pPr>
        <w:spacing w:line="221" w:lineRule="exact"/>
      </w:pPr>
    </w:p>
    <w:tbl>
      <w:tblPr>
        <w:tblStyle w:val="4"/>
        <w:tblW w:w="893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4"/>
        <w:gridCol w:w="82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04" w:hRule="atLeast"/>
        </w:trPr>
        <w:tc>
          <w:tcPr>
            <w:tcW w:w="714" w:type="dxa"/>
            <w:tcBorders>
              <w:left w:val="single" w:color="00000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5" w:line="228"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其</w:t>
            </w:r>
            <w:r>
              <w:rPr>
                <w:rFonts w:ascii="宋体" w:hAnsi="宋体" w:eastAsia="宋体" w:cs="宋体"/>
                <w:spacing w:val="7"/>
                <w:sz w:val="20"/>
                <w:szCs w:val="20"/>
                <w14:textOutline w14:w="3795" w14:cap="sq" w14:cmpd="sng">
                  <w14:solidFill>
                    <w14:srgbClr w14:val="000000"/>
                  </w14:solidFill>
                  <w14:prstDash w14:val="solid"/>
                  <w14:bevel/>
                </w14:textOutline>
              </w:rPr>
              <w:t>他符</w:t>
            </w:r>
          </w:p>
          <w:p>
            <w:pPr>
              <w:spacing w:before="164" w:line="228"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合</w:t>
            </w:r>
            <w:r>
              <w:rPr>
                <w:rFonts w:ascii="宋体" w:hAnsi="宋体" w:eastAsia="宋体" w:cs="宋体"/>
                <w:spacing w:val="7"/>
                <w:sz w:val="20"/>
                <w:szCs w:val="20"/>
                <w14:textOutline w14:w="3795" w14:cap="sq" w14:cmpd="sng">
                  <w14:solidFill>
                    <w14:srgbClr w14:val="000000"/>
                  </w14:solidFill>
                  <w14:prstDash w14:val="solid"/>
                  <w14:bevel/>
                </w14:textOutline>
              </w:rPr>
              <w:t>性分</w:t>
            </w:r>
          </w:p>
          <w:p>
            <w:pPr>
              <w:spacing w:before="160" w:line="228" w:lineRule="auto"/>
              <w:ind w:left="251"/>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析</w:t>
            </w:r>
          </w:p>
        </w:tc>
        <w:tc>
          <w:tcPr>
            <w:tcW w:w="8221" w:type="dxa"/>
            <w:tcBorders>
              <w:right w:val="single" w:color="000000" w:sz="6" w:space="0"/>
            </w:tcBorders>
            <w:vAlign w:val="top"/>
          </w:tcPr>
          <w:p>
            <w:pPr>
              <w:spacing w:before="172" w:line="369" w:lineRule="auto"/>
              <w:ind w:left="69" w:firstLine="26"/>
              <w:rPr>
                <w:rFonts w:ascii="宋体" w:hAnsi="宋体" w:eastAsia="宋体" w:cs="宋体"/>
                <w:sz w:val="20"/>
                <w:szCs w:val="20"/>
              </w:rPr>
            </w:pPr>
            <w:r>
              <w:rPr>
                <w:rFonts w:ascii="宋体" w:hAnsi="宋体" w:eastAsia="宋体" w:cs="宋体"/>
                <w:spacing w:val="5"/>
                <w:sz w:val="20"/>
                <w:szCs w:val="20"/>
              </w:rPr>
              <w:t>〔</w:t>
            </w:r>
            <w:r>
              <w:rPr>
                <w:rFonts w:ascii="Times New Roman" w:hAnsi="Times New Roman" w:eastAsia="Times New Roman" w:cs="Times New Roman"/>
                <w:spacing w:val="5"/>
                <w:sz w:val="20"/>
                <w:szCs w:val="20"/>
              </w:rPr>
              <w:t>2021</w:t>
            </w:r>
            <w:r>
              <w:rPr>
                <w:rFonts w:ascii="宋体" w:hAnsi="宋体" w:eastAsia="宋体" w:cs="宋体"/>
                <w:spacing w:val="5"/>
                <w:sz w:val="20"/>
                <w:szCs w:val="20"/>
              </w:rPr>
              <w:t>〕</w:t>
            </w:r>
            <w:r>
              <w:rPr>
                <w:rFonts w:ascii="Times New Roman" w:hAnsi="Times New Roman" w:eastAsia="Times New Roman" w:cs="Times New Roman"/>
                <w:spacing w:val="5"/>
                <w:sz w:val="20"/>
                <w:szCs w:val="20"/>
              </w:rPr>
              <w:t>469</w:t>
            </w:r>
            <w:r>
              <w:rPr>
                <w:rFonts w:ascii="宋体" w:hAnsi="宋体" w:eastAsia="宋体" w:cs="宋体"/>
                <w:spacing w:val="5"/>
                <w:sz w:val="20"/>
                <w:szCs w:val="20"/>
              </w:rPr>
              <w:t>号) ，本项目属于生态影响类建设项目，项目区域的上位空间开发规划《</w:t>
            </w:r>
            <w:r>
              <w:rPr>
                <w:rFonts w:ascii="宋体" w:hAnsi="宋体" w:eastAsia="宋体" w:cs="宋体"/>
                <w:spacing w:val="1"/>
                <w:sz w:val="20"/>
                <w:szCs w:val="20"/>
              </w:rPr>
              <w:t>达</w:t>
            </w:r>
            <w:r>
              <w:rPr>
                <w:rFonts w:ascii="宋体" w:hAnsi="宋体" w:eastAsia="宋体" w:cs="宋体"/>
                <w:sz w:val="20"/>
                <w:szCs w:val="20"/>
              </w:rPr>
              <w:t xml:space="preserve">  </w:t>
            </w:r>
            <w:r>
              <w:rPr>
                <w:rFonts w:ascii="宋体" w:hAnsi="宋体" w:eastAsia="宋体" w:cs="宋体"/>
                <w:spacing w:val="16"/>
                <w:sz w:val="20"/>
                <w:szCs w:val="20"/>
              </w:rPr>
              <w:t>州市“</w:t>
            </w:r>
            <w:r>
              <w:rPr>
                <w:rFonts w:ascii="宋体" w:hAnsi="宋体" w:eastAsia="宋体" w:cs="宋体"/>
                <w:spacing w:val="13"/>
                <w:sz w:val="20"/>
                <w:szCs w:val="20"/>
              </w:rPr>
              <w:t>十</w:t>
            </w:r>
            <w:r>
              <w:rPr>
                <w:rFonts w:ascii="宋体" w:hAnsi="宋体" w:eastAsia="宋体" w:cs="宋体"/>
                <w:spacing w:val="8"/>
                <w:sz w:val="20"/>
                <w:szCs w:val="20"/>
              </w:rPr>
              <w:t>四五”综合交通运输发展规划》已开展规划环评，并已分析规划与“三线一单”</w:t>
            </w:r>
            <w:r>
              <w:rPr>
                <w:rFonts w:ascii="宋体" w:hAnsi="宋体" w:eastAsia="宋体" w:cs="宋体"/>
                <w:sz w:val="20"/>
                <w:szCs w:val="20"/>
              </w:rPr>
              <w:t xml:space="preserve"> </w:t>
            </w:r>
            <w:r>
              <w:rPr>
                <w:rFonts w:ascii="宋体" w:hAnsi="宋体" w:eastAsia="宋体" w:cs="宋体"/>
                <w:spacing w:val="5"/>
                <w:sz w:val="20"/>
                <w:szCs w:val="20"/>
              </w:rPr>
              <w:t>符</w:t>
            </w:r>
            <w:r>
              <w:rPr>
                <w:rFonts w:ascii="宋体" w:hAnsi="宋体" w:eastAsia="宋体" w:cs="宋体"/>
                <w:spacing w:val="4"/>
                <w:sz w:val="20"/>
                <w:szCs w:val="20"/>
              </w:rPr>
              <w:t>合性、协调性，但规划中未包含本项目。因此，项目</w:t>
            </w:r>
            <w:r>
              <w:rPr>
                <w:rFonts w:ascii="Times New Roman" w:hAnsi="Times New Roman" w:eastAsia="Times New Roman" w:cs="Times New Roman"/>
                <w:spacing w:val="4"/>
                <w:sz w:val="20"/>
                <w:szCs w:val="20"/>
              </w:rPr>
              <w:t>“</w:t>
            </w:r>
            <w:r>
              <w:rPr>
                <w:rFonts w:ascii="宋体" w:hAnsi="宋体" w:eastAsia="宋体" w:cs="宋体"/>
                <w:spacing w:val="4"/>
                <w:sz w:val="20"/>
                <w:szCs w:val="20"/>
              </w:rPr>
              <w:t>三线一单</w:t>
            </w:r>
            <w:r>
              <w:rPr>
                <w:rFonts w:ascii="Times New Roman" w:hAnsi="Times New Roman" w:eastAsia="Times New Roman" w:cs="Times New Roman"/>
                <w:spacing w:val="4"/>
                <w:sz w:val="20"/>
                <w:szCs w:val="20"/>
              </w:rPr>
              <w:t>”</w:t>
            </w:r>
            <w:r>
              <w:rPr>
                <w:rFonts w:ascii="宋体" w:hAnsi="宋体" w:eastAsia="宋体" w:cs="宋体"/>
                <w:spacing w:val="4"/>
                <w:sz w:val="20"/>
                <w:szCs w:val="20"/>
              </w:rPr>
              <w:t>符合性分析应包括空间</w:t>
            </w:r>
            <w:r>
              <w:rPr>
                <w:rFonts w:ascii="宋体" w:hAnsi="宋体" w:eastAsia="宋体" w:cs="宋体"/>
                <w:sz w:val="20"/>
                <w:szCs w:val="20"/>
              </w:rPr>
              <w:t xml:space="preserve">  </w:t>
            </w:r>
            <w:r>
              <w:rPr>
                <w:rFonts w:ascii="宋体" w:hAnsi="宋体" w:eastAsia="宋体" w:cs="宋体"/>
                <w:spacing w:val="10"/>
                <w:sz w:val="20"/>
                <w:szCs w:val="20"/>
              </w:rPr>
              <w:t>符</w:t>
            </w:r>
            <w:r>
              <w:rPr>
                <w:rFonts w:ascii="宋体" w:hAnsi="宋体" w:eastAsia="宋体" w:cs="宋体"/>
                <w:spacing w:val="7"/>
                <w:sz w:val="20"/>
                <w:szCs w:val="20"/>
              </w:rPr>
              <w:t>合</w:t>
            </w:r>
            <w:r>
              <w:rPr>
                <w:rFonts w:ascii="宋体" w:hAnsi="宋体" w:eastAsia="宋体" w:cs="宋体"/>
                <w:spacing w:val="5"/>
                <w:sz w:val="20"/>
                <w:szCs w:val="20"/>
              </w:rPr>
              <w:t>性分析和管控要求符合性分析。</w:t>
            </w:r>
          </w:p>
          <w:p>
            <w:pPr>
              <w:spacing w:line="398" w:lineRule="exact"/>
              <w:ind w:left="499"/>
              <w:rPr>
                <w:rFonts w:ascii="宋体" w:hAnsi="宋体" w:eastAsia="宋体" w:cs="宋体"/>
                <w:sz w:val="20"/>
                <w:szCs w:val="20"/>
              </w:rPr>
            </w:pPr>
            <w:r>
              <w:rPr>
                <w:rFonts w:ascii="宋体" w:hAnsi="宋体" w:eastAsia="宋体" w:cs="宋体"/>
                <w:spacing w:val="23"/>
                <w:position w:val="14"/>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8"/>
                <w:position w:val="14"/>
                <w:sz w:val="20"/>
                <w:szCs w:val="20"/>
              </w:rPr>
              <w:t>2</w:t>
            </w:r>
            <w:r>
              <w:rPr>
                <w:rFonts w:ascii="宋体" w:hAnsi="宋体" w:eastAsia="宋体" w:cs="宋体"/>
                <w:spacing w:val="18"/>
                <w:position w:val="14"/>
                <w:sz w:val="20"/>
                <w:szCs w:val="20"/>
                <w14:textOutline w14:w="3795" w14:cap="sq" w14:cmpd="sng">
                  <w14:solidFill>
                    <w14:srgbClr w14:val="000000"/>
                  </w14:solidFill>
                  <w14:prstDash w14:val="solid"/>
                  <w14:bevel/>
                </w14:textOutline>
              </w:rPr>
              <w:t>)</w:t>
            </w:r>
            <w:r>
              <w:rPr>
                <w:rFonts w:ascii="宋体" w:hAnsi="宋体" w:eastAsia="宋体" w:cs="宋体"/>
                <w:spacing w:val="18"/>
                <w:position w:val="14"/>
                <w:sz w:val="20"/>
                <w:szCs w:val="20"/>
              </w:rPr>
              <w:t xml:space="preserve"> </w:t>
            </w:r>
            <w:r>
              <w:rPr>
                <w:rFonts w:ascii="宋体" w:hAnsi="宋体" w:eastAsia="宋体" w:cs="宋体"/>
                <w:spacing w:val="18"/>
                <w:position w:val="14"/>
                <w:sz w:val="20"/>
                <w:szCs w:val="20"/>
                <w14:textOutline w14:w="3795" w14:cap="sq" w14:cmpd="sng">
                  <w14:solidFill>
                    <w14:srgbClr w14:val="000000"/>
                  </w14:solidFill>
                  <w14:prstDash w14:val="solid"/>
                  <w14:bevel/>
                </w14:textOutline>
              </w:rPr>
              <w:t>分析要点</w:t>
            </w:r>
          </w:p>
          <w:p>
            <w:pPr>
              <w:tabs>
                <w:tab w:val="left" w:pos="507"/>
              </w:tabs>
              <w:spacing w:line="227" w:lineRule="auto"/>
              <w:ind w:left="427"/>
              <w:rPr>
                <w:rFonts w:ascii="宋体" w:hAnsi="宋体" w:eastAsia="宋体" w:cs="宋体"/>
                <w:sz w:val="20"/>
                <w:szCs w:val="20"/>
              </w:rPr>
            </w:pPr>
            <w:r>
              <w:rPr>
                <w:rFonts w:ascii="宋体" w:hAnsi="宋体" w:eastAsia="宋体" w:cs="宋体"/>
                <w:sz w:val="17"/>
                <w:szCs w:val="17"/>
              </w:rPr>
              <w:tab/>
            </w:r>
            <w:r>
              <w:rPr>
                <w:rFonts w:ascii="宋体" w:hAnsi="宋体" w:eastAsia="宋体" w:cs="宋体"/>
                <w:spacing w:val="4"/>
                <w:sz w:val="17"/>
                <w:szCs w:val="17"/>
                <w14:textOutline w14:w="3268" w14:cap="sq" w14:cmpd="sng">
                  <w14:solidFill>
                    <w14:srgbClr w14:val="000000"/>
                  </w14:solidFill>
                  <w14:prstDash w14:val="solid"/>
                  <w14:bevel/>
                </w14:textOutline>
              </w:rPr>
              <w:t>1</w:t>
            </w:r>
            <w:r>
              <w:rPr>
                <w:rFonts w:ascii="宋体" w:hAnsi="宋体" w:eastAsia="宋体" w:cs="宋体"/>
                <w:spacing w:val="4"/>
                <w:sz w:val="17"/>
                <w:szCs w:val="17"/>
              </w:rPr>
              <w:t xml:space="preserve"> </w:t>
            </w:r>
            <w:r>
              <w:rPr>
                <w:rFonts w:ascii="宋体" w:hAnsi="宋体" w:eastAsia="宋体" w:cs="宋体"/>
                <w:spacing w:val="3"/>
                <w:sz w:val="20"/>
                <w:szCs w:val="20"/>
                <w14:textOutline w14:w="3795" w14:cap="sq" w14:cmpd="sng">
                  <w14:solidFill>
                    <w14:srgbClr w14:val="000000"/>
                  </w14:solidFill>
                  <w14:prstDash w14:val="solid"/>
                  <w14:bevel/>
                </w14:textOutline>
              </w:rPr>
              <w:t>管</w:t>
            </w:r>
            <w:r>
              <w:rPr>
                <w:rFonts w:ascii="宋体" w:hAnsi="宋体" w:eastAsia="宋体" w:cs="宋体"/>
                <w:spacing w:val="2"/>
                <w:sz w:val="20"/>
                <w:szCs w:val="20"/>
                <w14:textOutline w14:w="3795" w14:cap="sq" w14:cmpd="sng">
                  <w14:solidFill>
                    <w14:srgbClr w14:val="000000"/>
                  </w14:solidFill>
                  <w14:prstDash w14:val="solid"/>
                  <w14:bevel/>
                </w14:textOutline>
              </w:rPr>
              <w:t>控单元类别</w:t>
            </w:r>
          </w:p>
          <w:p>
            <w:pPr>
              <w:spacing w:before="155" w:line="369" w:lineRule="auto"/>
              <w:ind w:left="68" w:right="64" w:firstLine="420"/>
              <w:rPr>
                <w:rFonts w:ascii="宋体" w:hAnsi="宋体" w:eastAsia="宋体" w:cs="宋体"/>
                <w:sz w:val="20"/>
                <w:szCs w:val="20"/>
              </w:rPr>
            </w:pPr>
            <w:r>
              <w:rPr>
                <w:rFonts w:ascii="宋体" w:hAnsi="宋体" w:eastAsia="宋体" w:cs="宋体"/>
                <w:spacing w:val="7"/>
                <w:sz w:val="20"/>
                <w:szCs w:val="20"/>
              </w:rPr>
              <w:t>根据达州市人民政府《关于落实生态保护红线、环境质量底线、资源利用上线制定</w:t>
            </w:r>
            <w:r>
              <w:rPr>
                <w:rFonts w:ascii="宋体" w:hAnsi="宋体" w:eastAsia="宋体" w:cs="宋体"/>
                <w:spacing w:val="5"/>
                <w:sz w:val="20"/>
                <w:szCs w:val="20"/>
              </w:rPr>
              <w:t>生</w:t>
            </w:r>
            <w:r>
              <w:rPr>
                <w:rFonts w:ascii="宋体" w:hAnsi="宋体" w:eastAsia="宋体" w:cs="宋体"/>
                <w:sz w:val="20"/>
                <w:szCs w:val="20"/>
              </w:rPr>
              <w:t xml:space="preserve"> </w:t>
            </w:r>
            <w:r>
              <w:rPr>
                <w:rFonts w:ascii="宋体" w:hAnsi="宋体" w:eastAsia="宋体" w:cs="宋体"/>
                <w:spacing w:val="12"/>
                <w:sz w:val="20"/>
                <w:szCs w:val="20"/>
              </w:rPr>
              <w:t>态环</w:t>
            </w:r>
            <w:r>
              <w:rPr>
                <w:rFonts w:ascii="宋体" w:hAnsi="宋体" w:eastAsia="宋体" w:cs="宋体"/>
                <w:spacing w:val="6"/>
                <w:sz w:val="20"/>
                <w:szCs w:val="20"/>
              </w:rPr>
              <w:t>境准入清单实施生态环境分区管控的通知》 (达市府发〔</w:t>
            </w:r>
            <w:r>
              <w:rPr>
                <w:rFonts w:ascii="Times New Roman" w:hAnsi="Times New Roman" w:eastAsia="Times New Roman" w:cs="Times New Roman"/>
                <w:spacing w:val="6"/>
                <w:sz w:val="20"/>
                <w:szCs w:val="20"/>
              </w:rPr>
              <w:t>2021</w:t>
            </w:r>
            <w:r>
              <w:rPr>
                <w:rFonts w:ascii="宋体" w:hAnsi="宋体" w:eastAsia="宋体" w:cs="宋体"/>
                <w:spacing w:val="6"/>
                <w:sz w:val="20"/>
                <w:szCs w:val="20"/>
              </w:rPr>
              <w:t>〕</w:t>
            </w:r>
            <w:r>
              <w:rPr>
                <w:rFonts w:ascii="Times New Roman" w:hAnsi="Times New Roman" w:eastAsia="Times New Roman" w:cs="Times New Roman"/>
                <w:spacing w:val="6"/>
                <w:sz w:val="20"/>
                <w:szCs w:val="20"/>
              </w:rPr>
              <w:t>17</w:t>
            </w:r>
            <w:r>
              <w:rPr>
                <w:rFonts w:ascii="宋体" w:hAnsi="宋体" w:eastAsia="宋体" w:cs="宋体"/>
                <w:spacing w:val="6"/>
                <w:sz w:val="20"/>
                <w:szCs w:val="20"/>
              </w:rPr>
              <w:t>号) ，全市行政区</w:t>
            </w:r>
            <w:r>
              <w:rPr>
                <w:rFonts w:ascii="宋体" w:hAnsi="宋体" w:eastAsia="宋体" w:cs="宋体"/>
                <w:sz w:val="20"/>
                <w:szCs w:val="20"/>
              </w:rPr>
              <w:t xml:space="preserve"> </w:t>
            </w:r>
            <w:r>
              <w:rPr>
                <w:rFonts w:ascii="宋体" w:hAnsi="宋体" w:eastAsia="宋体" w:cs="宋体"/>
                <w:spacing w:val="12"/>
                <w:sz w:val="20"/>
                <w:szCs w:val="20"/>
              </w:rPr>
              <w:t>域</w:t>
            </w:r>
            <w:r>
              <w:rPr>
                <w:rFonts w:ascii="宋体" w:hAnsi="宋体" w:eastAsia="宋体" w:cs="宋体"/>
                <w:spacing w:val="7"/>
                <w:sz w:val="20"/>
                <w:szCs w:val="20"/>
              </w:rPr>
              <w:t>从生态环境保护角度划分为优先保护、重点管控和一般管控三类环境管控单元，全市共</w:t>
            </w:r>
            <w:r>
              <w:rPr>
                <w:rFonts w:ascii="宋体" w:hAnsi="宋体" w:eastAsia="宋体" w:cs="宋体"/>
                <w:sz w:val="20"/>
                <w:szCs w:val="20"/>
              </w:rPr>
              <w:t xml:space="preserve"> </w:t>
            </w:r>
            <w:r>
              <w:rPr>
                <w:rFonts w:ascii="宋体" w:hAnsi="宋体" w:eastAsia="宋体" w:cs="宋体"/>
                <w:spacing w:val="8"/>
                <w:sz w:val="20"/>
                <w:szCs w:val="20"/>
              </w:rPr>
              <w:t>划定</w:t>
            </w:r>
            <w:r>
              <w:rPr>
                <w:rFonts w:ascii="Times New Roman" w:hAnsi="Times New Roman" w:eastAsia="Times New Roman" w:cs="Times New Roman"/>
                <w:spacing w:val="8"/>
                <w:sz w:val="20"/>
                <w:szCs w:val="20"/>
              </w:rPr>
              <w:t>46</w:t>
            </w:r>
            <w:r>
              <w:rPr>
                <w:rFonts w:ascii="宋体" w:hAnsi="宋体" w:eastAsia="宋体" w:cs="宋体"/>
                <w:spacing w:val="8"/>
                <w:sz w:val="20"/>
                <w:szCs w:val="20"/>
              </w:rPr>
              <w:t>个综合环境管控单元</w:t>
            </w:r>
            <w:r>
              <w:rPr>
                <w:rFonts w:ascii="宋体" w:hAnsi="宋体" w:eastAsia="宋体" w:cs="宋体"/>
                <w:spacing w:val="6"/>
                <w:sz w:val="20"/>
                <w:szCs w:val="20"/>
              </w:rPr>
              <w:t>。</w:t>
            </w:r>
          </w:p>
          <w:p>
            <w:pPr>
              <w:spacing w:before="2" w:line="368" w:lineRule="auto"/>
              <w:ind w:left="69" w:right="64" w:firstLine="419"/>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优</w:t>
            </w:r>
            <w:r>
              <w:rPr>
                <w:rFonts w:ascii="宋体" w:hAnsi="宋体" w:eastAsia="宋体" w:cs="宋体"/>
                <w:spacing w:val="16"/>
                <w:sz w:val="20"/>
                <w:szCs w:val="20"/>
                <w14:textOutline w14:w="3795" w14:cap="sq" w14:cmpd="sng">
                  <w14:solidFill>
                    <w14:srgbClr w14:val="000000"/>
                  </w14:solidFill>
                  <w14:prstDash w14:val="solid"/>
                  <w14:bevel/>
                </w14:textOutline>
              </w:rPr>
              <w:t>先</w:t>
            </w:r>
            <w:r>
              <w:rPr>
                <w:rFonts w:ascii="宋体" w:hAnsi="宋体" w:eastAsia="宋体" w:cs="宋体"/>
                <w:spacing w:val="9"/>
                <w:sz w:val="20"/>
                <w:szCs w:val="20"/>
                <w14:textOutline w14:w="3795" w14:cap="sq" w14:cmpd="sng">
                  <w14:solidFill>
                    <w14:srgbClr w14:val="000000"/>
                  </w14:solidFill>
                  <w14:prstDash w14:val="solid"/>
                  <w14:bevel/>
                </w14:textOutline>
              </w:rPr>
              <w:t>保护单元。</w:t>
            </w:r>
            <w:r>
              <w:rPr>
                <w:rFonts w:ascii="宋体" w:hAnsi="宋体" w:eastAsia="宋体" w:cs="宋体"/>
                <w:spacing w:val="9"/>
                <w:sz w:val="20"/>
                <w:szCs w:val="20"/>
              </w:rPr>
              <w:t xml:space="preserve"> 以生态环境保护为主的区域，全市划分优先保护单元</w:t>
            </w:r>
            <w:r>
              <w:rPr>
                <w:rFonts w:ascii="Times New Roman" w:hAnsi="Times New Roman" w:eastAsia="Times New Roman" w:cs="Times New Roman"/>
                <w:spacing w:val="9"/>
                <w:sz w:val="20"/>
                <w:szCs w:val="20"/>
              </w:rPr>
              <w:t>17</w:t>
            </w:r>
            <w:r>
              <w:rPr>
                <w:rFonts w:ascii="宋体" w:hAnsi="宋体" w:eastAsia="宋体" w:cs="宋体"/>
                <w:spacing w:val="9"/>
                <w:sz w:val="20"/>
                <w:szCs w:val="20"/>
              </w:rPr>
              <w:t>个，主要包</w:t>
            </w:r>
            <w:r>
              <w:rPr>
                <w:rFonts w:ascii="宋体" w:hAnsi="宋体" w:eastAsia="宋体" w:cs="宋体"/>
                <w:sz w:val="20"/>
                <w:szCs w:val="20"/>
              </w:rPr>
              <w:t xml:space="preserve"> </w:t>
            </w:r>
            <w:r>
              <w:rPr>
                <w:rFonts w:ascii="宋体" w:hAnsi="宋体" w:eastAsia="宋体" w:cs="宋体"/>
                <w:spacing w:val="5"/>
                <w:sz w:val="20"/>
                <w:szCs w:val="20"/>
              </w:rPr>
              <w:t>括生态保护红线、 自然保护地、饮用水水源保护区等</w:t>
            </w:r>
            <w:r>
              <w:rPr>
                <w:rFonts w:ascii="宋体" w:hAnsi="宋体" w:eastAsia="宋体" w:cs="宋体"/>
                <w:sz w:val="20"/>
                <w:szCs w:val="20"/>
              </w:rPr>
              <w:t>。</w:t>
            </w:r>
          </w:p>
          <w:p>
            <w:pPr>
              <w:spacing w:before="1" w:line="369" w:lineRule="auto"/>
              <w:ind w:left="68" w:right="64" w:firstLine="421"/>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重点</w:t>
            </w:r>
            <w:r>
              <w:rPr>
                <w:rFonts w:ascii="宋体" w:hAnsi="宋体" w:eastAsia="宋体" w:cs="宋体"/>
                <w:spacing w:val="14"/>
                <w:sz w:val="20"/>
                <w:szCs w:val="20"/>
                <w14:textOutline w14:w="3795" w14:cap="sq" w14:cmpd="sng">
                  <w14:solidFill>
                    <w14:srgbClr w14:val="000000"/>
                  </w14:solidFill>
                  <w14:prstDash w14:val="solid"/>
                  <w14:bevel/>
                </w14:textOutline>
              </w:rPr>
              <w:t>管</w:t>
            </w:r>
            <w:r>
              <w:rPr>
                <w:rFonts w:ascii="宋体" w:hAnsi="宋体" w:eastAsia="宋体" w:cs="宋体"/>
                <w:spacing w:val="9"/>
                <w:sz w:val="20"/>
                <w:szCs w:val="20"/>
                <w14:textOutline w14:w="3795" w14:cap="sq" w14:cmpd="sng">
                  <w14:solidFill>
                    <w14:srgbClr w14:val="000000"/>
                  </w14:solidFill>
                  <w14:prstDash w14:val="solid"/>
                  <w14:bevel/>
                </w14:textOutline>
              </w:rPr>
              <w:t>控单元。</w:t>
            </w:r>
            <w:r>
              <w:rPr>
                <w:rFonts w:ascii="宋体" w:hAnsi="宋体" w:eastAsia="宋体" w:cs="宋体"/>
                <w:spacing w:val="9"/>
                <w:sz w:val="20"/>
                <w:szCs w:val="20"/>
              </w:rPr>
              <w:t>涉及水、大气、土壤、 自然资源等资源环境要素重点管控的区域，</w:t>
            </w:r>
            <w:r>
              <w:rPr>
                <w:rFonts w:ascii="宋体" w:hAnsi="宋体" w:eastAsia="宋体" w:cs="宋体"/>
                <w:sz w:val="20"/>
                <w:szCs w:val="20"/>
              </w:rPr>
              <w:t xml:space="preserve"> </w:t>
            </w:r>
            <w:r>
              <w:rPr>
                <w:rFonts w:ascii="宋体" w:hAnsi="宋体" w:eastAsia="宋体" w:cs="宋体"/>
                <w:spacing w:val="12"/>
                <w:sz w:val="20"/>
                <w:szCs w:val="20"/>
              </w:rPr>
              <w:t>全市划分重</w:t>
            </w:r>
            <w:r>
              <w:rPr>
                <w:rFonts w:ascii="宋体" w:hAnsi="宋体" w:eastAsia="宋体" w:cs="宋体"/>
                <w:spacing w:val="8"/>
                <w:sz w:val="20"/>
                <w:szCs w:val="20"/>
              </w:rPr>
              <w:t>点</w:t>
            </w:r>
            <w:r>
              <w:rPr>
                <w:rFonts w:ascii="宋体" w:hAnsi="宋体" w:eastAsia="宋体" w:cs="宋体"/>
                <w:spacing w:val="6"/>
                <w:sz w:val="20"/>
                <w:szCs w:val="20"/>
              </w:rPr>
              <w:t>管控单元</w:t>
            </w:r>
            <w:r>
              <w:rPr>
                <w:rFonts w:ascii="Times New Roman" w:hAnsi="Times New Roman" w:eastAsia="Times New Roman" w:cs="Times New Roman"/>
                <w:spacing w:val="6"/>
                <w:sz w:val="20"/>
                <w:szCs w:val="20"/>
              </w:rPr>
              <w:t>22</w:t>
            </w:r>
            <w:r>
              <w:rPr>
                <w:rFonts w:ascii="宋体" w:hAnsi="宋体" w:eastAsia="宋体" w:cs="宋体"/>
                <w:spacing w:val="6"/>
                <w:sz w:val="20"/>
                <w:szCs w:val="20"/>
              </w:rPr>
              <w:t>个，主要包括人口密集的城镇规划区和产业集聚的工业园区 (工</w:t>
            </w:r>
            <w:r>
              <w:rPr>
                <w:rFonts w:ascii="宋体" w:hAnsi="宋体" w:eastAsia="宋体" w:cs="宋体"/>
                <w:sz w:val="20"/>
                <w:szCs w:val="20"/>
              </w:rPr>
              <w:t xml:space="preserve"> </w:t>
            </w:r>
            <w:r>
              <w:rPr>
                <w:rFonts w:ascii="宋体" w:hAnsi="宋体" w:eastAsia="宋体" w:cs="宋体"/>
                <w:spacing w:val="8"/>
                <w:sz w:val="20"/>
                <w:szCs w:val="20"/>
              </w:rPr>
              <w:t>业</w:t>
            </w:r>
            <w:r>
              <w:rPr>
                <w:rFonts w:ascii="宋体" w:hAnsi="宋体" w:eastAsia="宋体" w:cs="宋体"/>
                <w:spacing w:val="6"/>
                <w:sz w:val="20"/>
                <w:szCs w:val="20"/>
              </w:rPr>
              <w:t>集聚区) 等。</w:t>
            </w:r>
          </w:p>
          <w:p>
            <w:pPr>
              <w:spacing w:line="401" w:lineRule="exact"/>
              <w:ind w:left="492"/>
              <w:rPr>
                <w:rFonts w:ascii="宋体" w:hAnsi="宋体" w:eastAsia="宋体" w:cs="宋体"/>
                <w:sz w:val="20"/>
                <w:szCs w:val="20"/>
              </w:rPr>
            </w:pPr>
            <w:r>
              <w:rPr>
                <w:rFonts w:ascii="宋体" w:hAnsi="宋体" w:eastAsia="宋体" w:cs="宋体"/>
                <w:spacing w:val="24"/>
                <w:position w:val="14"/>
                <w:sz w:val="20"/>
                <w:szCs w:val="20"/>
                <w14:textOutline w14:w="3795" w14:cap="sq" w14:cmpd="sng">
                  <w14:solidFill>
                    <w14:srgbClr w14:val="000000"/>
                  </w14:solidFill>
                  <w14:prstDash w14:val="solid"/>
                  <w14:bevel/>
                </w14:textOutline>
              </w:rPr>
              <w:t>一</w:t>
            </w:r>
            <w:r>
              <w:rPr>
                <w:rFonts w:ascii="宋体" w:hAnsi="宋体" w:eastAsia="宋体" w:cs="宋体"/>
                <w:spacing w:val="22"/>
                <w:position w:val="14"/>
                <w:sz w:val="20"/>
                <w:szCs w:val="20"/>
                <w14:textOutline w14:w="3795" w14:cap="sq" w14:cmpd="sng">
                  <w14:solidFill>
                    <w14:srgbClr w14:val="000000"/>
                  </w14:solidFill>
                  <w14:prstDash w14:val="solid"/>
                  <w14:bevel/>
                </w14:textOutline>
              </w:rPr>
              <w:t>般</w:t>
            </w:r>
            <w:r>
              <w:rPr>
                <w:rFonts w:ascii="宋体" w:hAnsi="宋体" w:eastAsia="宋体" w:cs="宋体"/>
                <w:spacing w:val="12"/>
                <w:position w:val="14"/>
                <w:sz w:val="20"/>
                <w:szCs w:val="20"/>
                <w14:textOutline w14:w="3795" w14:cap="sq" w14:cmpd="sng">
                  <w14:solidFill>
                    <w14:srgbClr w14:val="000000"/>
                  </w14:solidFill>
                  <w14:prstDash w14:val="solid"/>
                  <w14:bevel/>
                </w14:textOutline>
              </w:rPr>
              <w:t>管控单元。</w:t>
            </w:r>
            <w:r>
              <w:rPr>
                <w:rFonts w:ascii="宋体" w:hAnsi="宋体" w:eastAsia="宋体" w:cs="宋体"/>
                <w:spacing w:val="12"/>
                <w:position w:val="14"/>
                <w:sz w:val="20"/>
                <w:szCs w:val="20"/>
              </w:rPr>
              <w:t>除优先保护单元和重点管控单元之外的其他区域，全市共划分一般</w:t>
            </w:r>
          </w:p>
          <w:p>
            <w:pPr>
              <w:spacing w:before="1" w:line="227" w:lineRule="auto"/>
              <w:ind w:left="74"/>
              <w:rPr>
                <w:rFonts w:ascii="宋体" w:hAnsi="宋体" w:eastAsia="宋体" w:cs="宋体"/>
                <w:sz w:val="20"/>
                <w:szCs w:val="20"/>
              </w:rPr>
            </w:pPr>
            <w:r>
              <w:rPr>
                <w:rFonts w:ascii="宋体" w:hAnsi="宋体" w:eastAsia="宋体" w:cs="宋体"/>
                <w:spacing w:val="6"/>
                <w:sz w:val="20"/>
                <w:szCs w:val="20"/>
              </w:rPr>
              <w:t>管控单元</w:t>
            </w:r>
            <w:r>
              <w:rPr>
                <w:rFonts w:ascii="Times New Roman" w:hAnsi="Times New Roman" w:eastAsia="Times New Roman" w:cs="Times New Roman"/>
                <w:spacing w:val="6"/>
                <w:sz w:val="20"/>
                <w:szCs w:val="20"/>
              </w:rPr>
              <w:t>7</w:t>
            </w:r>
            <w:r>
              <w:rPr>
                <w:rFonts w:ascii="宋体" w:hAnsi="宋体" w:eastAsia="宋体" w:cs="宋体"/>
                <w:spacing w:val="6"/>
                <w:sz w:val="20"/>
                <w:szCs w:val="20"/>
              </w:rPr>
              <w:t>个</w:t>
            </w:r>
            <w:r>
              <w:rPr>
                <w:rFonts w:ascii="宋体" w:hAnsi="宋体" w:eastAsia="宋体" w:cs="宋体"/>
                <w:spacing w:val="5"/>
                <w:sz w:val="20"/>
                <w:szCs w:val="20"/>
              </w:rPr>
              <w:t>。</w:t>
            </w:r>
          </w:p>
          <w:p>
            <w:pPr>
              <w:spacing w:before="120" w:line="227" w:lineRule="auto"/>
              <w:ind w:left="437"/>
              <w:rPr>
                <w:rFonts w:ascii="宋体" w:hAnsi="宋体" w:eastAsia="宋体" w:cs="宋体"/>
                <w:sz w:val="20"/>
                <w:szCs w:val="20"/>
              </w:rPr>
            </w:pPr>
            <w:r>
              <w:rPr>
                <w:rFonts w:ascii="宋体" w:hAnsi="宋体" w:eastAsia="宋体" w:cs="宋体"/>
                <w:spacing w:val="18"/>
                <w:sz w:val="20"/>
                <w:szCs w:val="20"/>
              </w:rPr>
              <w:t>本项目</w:t>
            </w:r>
            <w:r>
              <w:rPr>
                <w:rFonts w:ascii="宋体" w:hAnsi="宋体" w:eastAsia="宋体" w:cs="宋体"/>
                <w:spacing w:val="11"/>
                <w:sz w:val="20"/>
                <w:szCs w:val="20"/>
              </w:rPr>
              <w:t>位</w:t>
            </w:r>
            <w:r>
              <w:rPr>
                <w:rFonts w:ascii="宋体" w:hAnsi="宋体" w:eastAsia="宋体" w:cs="宋体"/>
                <w:spacing w:val="9"/>
                <w:sz w:val="20"/>
                <w:szCs w:val="20"/>
              </w:rPr>
              <w:t>于达州市通川区北城滨江片区高家坝社区和张家坝社区，查询四川政务服务</w:t>
            </w:r>
          </w:p>
          <w:p>
            <w:pPr>
              <w:spacing w:before="112" w:line="333" w:lineRule="auto"/>
              <w:ind w:right="11" w:firstLine="61"/>
              <w:rPr>
                <w:rFonts w:ascii="宋体" w:hAnsi="宋体" w:eastAsia="宋体" w:cs="宋体"/>
                <w:sz w:val="20"/>
                <w:szCs w:val="20"/>
              </w:rPr>
            </w:pPr>
            <w:r>
              <w:rPr>
                <w:rFonts w:ascii="宋体" w:hAnsi="宋体" w:eastAsia="宋体" w:cs="宋体"/>
                <w:spacing w:val="16"/>
                <w:sz w:val="20"/>
                <w:szCs w:val="20"/>
              </w:rPr>
              <w:t xml:space="preserve">网  </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 xml:space="preserve">四  川  省  生  态  环  境  厅  </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 xml:space="preserve">三  线  一  单  </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应  用  平  台</w:t>
            </w:r>
            <w:r>
              <w:rPr>
                <w:rFonts w:ascii="宋体" w:hAnsi="宋体" w:eastAsia="宋体" w:cs="宋体"/>
                <w:sz w:val="20"/>
                <w:szCs w:val="20"/>
              </w:rPr>
              <w:t xml:space="preserve"> </w:t>
            </w:r>
            <w:r>
              <w:rPr>
                <w:rFonts w:ascii="Times New Roman" w:hAnsi="Times New Roman" w:eastAsia="Times New Roman" w:cs="Times New Roman"/>
                <w:spacing w:val="14"/>
                <w:sz w:val="20"/>
                <w:szCs w:val="20"/>
              </w:rPr>
              <w:t>“</w:t>
            </w:r>
            <w:r>
              <w:rPr>
                <w:rFonts w:ascii="Times New Roman" w:hAnsi="Times New Roman" w:eastAsia="Times New Roman" w:cs="Times New Roman"/>
                <w:sz w:val="20"/>
                <w:szCs w:val="20"/>
              </w:rPr>
              <w:t>http</w:t>
            </w:r>
            <w:r>
              <w:rPr>
                <w:rFonts w:ascii="Times New Roman" w:hAnsi="Times New Roman" w:eastAsia="Times New Roman" w:cs="Times New Roman"/>
                <w:spacing w:val="9"/>
                <w:sz w:val="20"/>
                <w:szCs w:val="20"/>
              </w:rPr>
              <w:t>://103.203.219.138:8083/</w:t>
            </w:r>
            <w:r>
              <w:rPr>
                <w:rFonts w:ascii="Times New Roman" w:hAnsi="Times New Roman" w:eastAsia="Times New Roman" w:cs="Times New Roman"/>
                <w:sz w:val="20"/>
                <w:szCs w:val="20"/>
              </w:rPr>
              <w:t>gis</w:t>
            </w:r>
            <w:r>
              <w:rPr>
                <w:rFonts w:ascii="Times New Roman" w:hAnsi="Times New Roman" w:eastAsia="Times New Roman" w:cs="Times New Roman"/>
                <w:spacing w:val="9"/>
                <w:sz w:val="20"/>
                <w:szCs w:val="20"/>
              </w:rPr>
              <w:t>2/</w:t>
            </w:r>
            <w:r>
              <w:rPr>
                <w:rFonts w:ascii="Times New Roman" w:hAnsi="Times New Roman" w:eastAsia="Times New Roman" w:cs="Times New Roman"/>
                <w:sz w:val="20"/>
                <w:szCs w:val="20"/>
              </w:rPr>
              <w:t>n</w:t>
            </w:r>
            <w:r>
              <w:rPr>
                <w:rFonts w:ascii="Times New Roman" w:hAnsi="Times New Roman" w:eastAsia="Times New Roman" w:cs="Times New Roman"/>
                <w:spacing w:val="9"/>
                <w:sz w:val="20"/>
                <w:szCs w:val="20"/>
              </w:rPr>
              <w:t>_</w:t>
            </w:r>
            <w:r>
              <w:rPr>
                <w:rFonts w:ascii="Times New Roman" w:hAnsi="Times New Roman" w:eastAsia="Times New Roman" w:cs="Times New Roman"/>
                <w:sz w:val="20"/>
                <w:szCs w:val="20"/>
              </w:rPr>
              <w:t>index</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html</w:t>
            </w:r>
            <w:r>
              <w:rPr>
                <w:rFonts w:ascii="Times New Roman" w:hAnsi="Times New Roman" w:eastAsia="Times New Roman" w:cs="Times New Roman"/>
                <w:spacing w:val="9"/>
                <w:sz w:val="20"/>
                <w:szCs w:val="20"/>
              </w:rPr>
              <w:t>”</w:t>
            </w:r>
            <w:r>
              <w:rPr>
                <w:rFonts w:ascii="宋体" w:hAnsi="宋体" w:eastAsia="宋体" w:cs="宋体"/>
                <w:spacing w:val="9"/>
                <w:sz w:val="20"/>
                <w:szCs w:val="20"/>
              </w:rPr>
              <w:t>，</w:t>
            </w:r>
            <w:r>
              <w:rPr>
                <w:rFonts w:ascii="Times New Roman" w:hAnsi="Times New Roman" w:eastAsia="Times New Roman" w:cs="Times New Roman"/>
                <w:spacing w:val="9"/>
                <w:sz w:val="20"/>
                <w:szCs w:val="20"/>
              </w:rPr>
              <w:t>“</w:t>
            </w:r>
            <w:r>
              <w:rPr>
                <w:rFonts w:ascii="宋体" w:hAnsi="宋体" w:eastAsia="宋体" w:cs="宋体"/>
                <w:spacing w:val="9"/>
                <w:sz w:val="20"/>
                <w:szCs w:val="20"/>
              </w:rPr>
              <w:t>达州市高家坝大桥建设项目</w:t>
            </w:r>
            <w:r>
              <w:rPr>
                <w:rFonts w:ascii="Times New Roman" w:hAnsi="Times New Roman" w:eastAsia="Times New Roman" w:cs="Times New Roman"/>
                <w:spacing w:val="9"/>
                <w:sz w:val="20"/>
                <w:szCs w:val="20"/>
              </w:rPr>
              <w:t>”</w:t>
            </w:r>
            <w:r>
              <w:rPr>
                <w:rFonts w:ascii="宋体" w:hAnsi="宋体" w:eastAsia="宋体" w:cs="宋体"/>
                <w:spacing w:val="9"/>
                <w:sz w:val="20"/>
                <w:szCs w:val="20"/>
              </w:rPr>
              <w:t>位于达州市</w:t>
            </w:r>
            <w:r>
              <w:rPr>
                <w:rFonts w:ascii="宋体" w:hAnsi="宋体" w:eastAsia="宋体" w:cs="宋体"/>
                <w:sz w:val="20"/>
                <w:szCs w:val="20"/>
              </w:rPr>
              <w:t xml:space="preserve"> </w:t>
            </w:r>
            <w:r>
              <w:rPr>
                <w:rFonts w:ascii="宋体" w:hAnsi="宋体" w:eastAsia="宋体" w:cs="宋体"/>
                <w:spacing w:val="10"/>
                <w:sz w:val="20"/>
                <w:szCs w:val="20"/>
              </w:rPr>
              <w:t>通川区环境综合管控单元城镇重点管控单元 (管控单元名称：通川区中心城区，管控单</w:t>
            </w:r>
            <w:r>
              <w:rPr>
                <w:rFonts w:ascii="宋体" w:hAnsi="宋体" w:eastAsia="宋体" w:cs="宋体"/>
                <w:spacing w:val="9"/>
                <w:sz w:val="20"/>
                <w:szCs w:val="20"/>
              </w:rPr>
              <w:t>元</w:t>
            </w:r>
            <w:r>
              <w:rPr>
                <w:rFonts w:ascii="宋体" w:hAnsi="宋体" w:eastAsia="宋体" w:cs="宋体"/>
                <w:sz w:val="20"/>
                <w:szCs w:val="20"/>
              </w:rPr>
              <w:t xml:space="preserve"> </w:t>
            </w:r>
            <w:r>
              <w:rPr>
                <w:rFonts w:ascii="宋体" w:hAnsi="宋体" w:eastAsia="宋体" w:cs="宋体"/>
                <w:spacing w:val="16"/>
                <w:sz w:val="20"/>
                <w:szCs w:val="20"/>
              </w:rPr>
              <w:t>编号</w:t>
            </w:r>
            <w:r>
              <w:rPr>
                <w:rFonts w:ascii="宋体" w:hAnsi="宋体" w:eastAsia="宋体" w:cs="宋体"/>
                <w:spacing w:val="9"/>
                <w:sz w:val="20"/>
                <w:szCs w:val="20"/>
              </w:rPr>
              <w:t>：</w:t>
            </w:r>
            <w:r>
              <w:rPr>
                <w:rFonts w:ascii="Times New Roman" w:hAnsi="Times New Roman" w:eastAsia="Times New Roman" w:cs="Times New Roman"/>
                <w:sz w:val="20"/>
                <w:szCs w:val="20"/>
              </w:rPr>
              <w:t>ZH</w:t>
            </w:r>
            <w:r>
              <w:rPr>
                <w:rFonts w:ascii="Times New Roman" w:hAnsi="Times New Roman" w:eastAsia="Times New Roman" w:cs="Times New Roman"/>
                <w:spacing w:val="8"/>
                <w:sz w:val="20"/>
                <w:szCs w:val="20"/>
              </w:rPr>
              <w:t>51170220001</w:t>
            </w:r>
            <w:r>
              <w:rPr>
                <w:rFonts w:ascii="宋体" w:hAnsi="宋体" w:eastAsia="宋体" w:cs="宋体"/>
                <w:spacing w:val="8"/>
                <w:sz w:val="20"/>
                <w:szCs w:val="20"/>
              </w:rPr>
              <w:t>) 。项目涉及的环境管控单元见下表。</w:t>
            </w:r>
          </w:p>
          <w:p>
            <w:pPr>
              <w:spacing w:before="10" w:line="230" w:lineRule="auto"/>
              <w:ind w:left="2464"/>
              <w:rPr>
                <w:rFonts w:ascii="黑体" w:hAnsi="黑体" w:eastAsia="黑体" w:cs="黑体"/>
                <w:sz w:val="19"/>
                <w:szCs w:val="19"/>
              </w:rPr>
            </w:pPr>
            <w:r>
              <w:rPr>
                <w:rFonts w:ascii="黑体" w:hAnsi="黑体" w:eastAsia="黑体" w:cs="黑体"/>
                <w:spacing w:val="14"/>
                <w:sz w:val="19"/>
                <w:szCs w:val="19"/>
              </w:rPr>
              <w:t>表</w:t>
            </w:r>
            <w:r>
              <w:rPr>
                <w:rFonts w:ascii="Times New Roman" w:hAnsi="Times New Roman" w:eastAsia="Times New Roman" w:cs="Times New Roman"/>
                <w:spacing w:val="13"/>
                <w:sz w:val="19"/>
                <w:szCs w:val="19"/>
              </w:rPr>
              <w:t>2</w:t>
            </w:r>
            <w:r>
              <w:rPr>
                <w:rFonts w:ascii="Times New Roman" w:hAnsi="Times New Roman" w:eastAsia="Times New Roman" w:cs="Times New Roman"/>
                <w:spacing w:val="7"/>
                <w:sz w:val="19"/>
                <w:szCs w:val="19"/>
              </w:rPr>
              <w:t xml:space="preserve">    </w:t>
            </w:r>
            <w:r>
              <w:rPr>
                <w:rFonts w:ascii="黑体" w:hAnsi="黑体" w:eastAsia="黑体" w:cs="黑体"/>
                <w:spacing w:val="7"/>
                <w:sz w:val="19"/>
                <w:szCs w:val="19"/>
              </w:rPr>
              <w:t>项目涉及的环境管控单元一览表</w:t>
            </w:r>
          </w:p>
          <w:p>
            <w:pPr>
              <w:spacing w:line="51" w:lineRule="auto"/>
              <w:rPr>
                <w:rFonts w:ascii="Arial"/>
                <w:sz w:val="2"/>
              </w:rPr>
            </w:pPr>
          </w:p>
          <w:tbl>
            <w:tblPr>
              <w:tblStyle w:val="4"/>
              <w:tblW w:w="7782" w:type="dxa"/>
              <w:tblInd w:w="2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9"/>
              <w:gridCol w:w="2424"/>
              <w:gridCol w:w="732"/>
              <w:gridCol w:w="1451"/>
              <w:gridCol w:w="16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509" w:type="dxa"/>
                  <w:vAlign w:val="top"/>
                </w:tcPr>
                <w:p>
                  <w:pPr>
                    <w:spacing w:before="63" w:line="230" w:lineRule="auto"/>
                    <w:ind w:left="42"/>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环境管控单元编</w:t>
                  </w:r>
                  <w:r>
                    <w:rPr>
                      <w:rFonts w:ascii="宋体" w:hAnsi="宋体" w:eastAsia="宋体" w:cs="宋体"/>
                      <w:spacing w:val="7"/>
                      <w:sz w:val="17"/>
                      <w:szCs w:val="17"/>
                      <w14:textOutline w14:w="3268" w14:cap="sq" w14:cmpd="sng">
                        <w14:solidFill>
                          <w14:srgbClr w14:val="000000"/>
                        </w14:solidFill>
                        <w14:prstDash w14:val="solid"/>
                        <w14:bevel/>
                      </w14:textOutline>
                    </w:rPr>
                    <w:t>码</w:t>
                  </w:r>
                </w:p>
              </w:tc>
              <w:tc>
                <w:tcPr>
                  <w:tcW w:w="2424" w:type="dxa"/>
                  <w:vAlign w:val="top"/>
                </w:tcPr>
                <w:p>
                  <w:pPr>
                    <w:spacing w:before="63" w:line="230" w:lineRule="auto"/>
                    <w:ind w:left="501"/>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环境管控单元名</w:t>
                  </w:r>
                  <w:r>
                    <w:rPr>
                      <w:rFonts w:ascii="宋体" w:hAnsi="宋体" w:eastAsia="宋体" w:cs="宋体"/>
                      <w:spacing w:val="7"/>
                      <w:sz w:val="17"/>
                      <w:szCs w:val="17"/>
                      <w14:textOutline w14:w="3268" w14:cap="sq" w14:cmpd="sng">
                        <w14:solidFill>
                          <w14:srgbClr w14:val="000000"/>
                        </w14:solidFill>
                        <w14:prstDash w14:val="solid"/>
                        <w14:bevel/>
                      </w14:textOutline>
                    </w:rPr>
                    <w:t>称</w:t>
                  </w:r>
                </w:p>
              </w:tc>
              <w:tc>
                <w:tcPr>
                  <w:tcW w:w="732" w:type="dxa"/>
                  <w:vAlign w:val="top"/>
                </w:tcPr>
                <w:p>
                  <w:pPr>
                    <w:spacing w:before="63" w:line="231" w:lineRule="auto"/>
                    <w:ind w:left="14"/>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所属区县</w:t>
                  </w:r>
                </w:p>
              </w:tc>
              <w:tc>
                <w:tcPr>
                  <w:tcW w:w="1451" w:type="dxa"/>
                  <w:vAlign w:val="top"/>
                </w:tcPr>
                <w:p>
                  <w:pPr>
                    <w:spacing w:before="63" w:line="230" w:lineRule="auto"/>
                    <w:ind w:left="196"/>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准</w:t>
                  </w:r>
                  <w:r>
                    <w:rPr>
                      <w:rFonts w:ascii="宋体" w:hAnsi="宋体" w:eastAsia="宋体" w:cs="宋体"/>
                      <w:spacing w:val="7"/>
                      <w:sz w:val="17"/>
                      <w:szCs w:val="17"/>
                      <w14:textOutline w14:w="3268" w14:cap="sq" w14:cmpd="sng">
                        <w14:solidFill>
                          <w14:srgbClr w14:val="000000"/>
                        </w14:solidFill>
                        <w14:prstDash w14:val="solid"/>
                        <w14:bevel/>
                      </w14:textOutline>
                    </w:rPr>
                    <w:t>入清单类型</w:t>
                  </w:r>
                </w:p>
              </w:tc>
              <w:tc>
                <w:tcPr>
                  <w:tcW w:w="1666" w:type="dxa"/>
                  <w:vAlign w:val="top"/>
                </w:tcPr>
                <w:p>
                  <w:pPr>
                    <w:spacing w:before="63" w:line="230" w:lineRule="auto"/>
                    <w:ind w:left="483"/>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管控类</w:t>
                  </w:r>
                  <w:r>
                    <w:rPr>
                      <w:rFonts w:ascii="宋体" w:hAnsi="宋体" w:eastAsia="宋体" w:cs="宋体"/>
                      <w:spacing w:val="5"/>
                      <w:sz w:val="17"/>
                      <w:szCs w:val="17"/>
                      <w14:textOutline w14:w="3268" w14:cap="sq" w14:cmpd="sng">
                        <w14:solidFill>
                          <w14:srgbClr w14:val="000000"/>
                        </w14:solidFill>
                        <w14:prstDash w14:val="solid"/>
                        <w14:bevel/>
                      </w14:textOutline>
                    </w:rPr>
                    <w:t>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09" w:type="dxa"/>
                  <w:vAlign w:val="top"/>
                </w:tcPr>
                <w:p>
                  <w:pPr>
                    <w:spacing w:before="228" w:line="197" w:lineRule="auto"/>
                    <w:ind w:left="148"/>
                    <w:rPr>
                      <w:rFonts w:ascii="Times New Roman" w:hAnsi="Times New Roman" w:eastAsia="Times New Roman" w:cs="Times New Roman"/>
                      <w:sz w:val="17"/>
                      <w:szCs w:val="17"/>
                    </w:rPr>
                  </w:pPr>
                  <w:r>
                    <w:rPr>
                      <w:rFonts w:ascii="Times New Roman" w:hAnsi="Times New Roman" w:eastAsia="Times New Roman" w:cs="Times New Roman"/>
                      <w:sz w:val="17"/>
                      <w:szCs w:val="17"/>
                    </w:rPr>
                    <w:t>ZH</w:t>
                  </w:r>
                  <w:r>
                    <w:rPr>
                      <w:rFonts w:ascii="Times New Roman" w:hAnsi="Times New Roman" w:eastAsia="Times New Roman" w:cs="Times New Roman"/>
                      <w:spacing w:val="8"/>
                      <w:sz w:val="17"/>
                      <w:szCs w:val="17"/>
                    </w:rPr>
                    <w:t>5</w:t>
                  </w:r>
                  <w:r>
                    <w:rPr>
                      <w:rFonts w:ascii="Times New Roman" w:hAnsi="Times New Roman" w:eastAsia="Times New Roman" w:cs="Times New Roman"/>
                      <w:spacing w:val="5"/>
                      <w:sz w:val="17"/>
                      <w:szCs w:val="17"/>
                    </w:rPr>
                    <w:t>1</w:t>
                  </w:r>
                  <w:r>
                    <w:rPr>
                      <w:rFonts w:ascii="Times New Roman" w:hAnsi="Times New Roman" w:eastAsia="Times New Roman" w:cs="Times New Roman"/>
                      <w:spacing w:val="4"/>
                      <w:sz w:val="17"/>
                      <w:szCs w:val="17"/>
                    </w:rPr>
                    <w:t>170220001</w:t>
                  </w:r>
                </w:p>
              </w:tc>
              <w:tc>
                <w:tcPr>
                  <w:tcW w:w="2424" w:type="dxa"/>
                  <w:vAlign w:val="top"/>
                </w:tcPr>
                <w:p>
                  <w:pPr>
                    <w:spacing w:before="197" w:line="230" w:lineRule="auto"/>
                    <w:ind w:left="593"/>
                    <w:rPr>
                      <w:rFonts w:ascii="宋体" w:hAnsi="宋体" w:eastAsia="宋体" w:cs="宋体"/>
                      <w:sz w:val="17"/>
                      <w:szCs w:val="17"/>
                    </w:rPr>
                  </w:pPr>
                  <w:r>
                    <w:rPr>
                      <w:rFonts w:ascii="宋体" w:hAnsi="宋体" w:eastAsia="宋体" w:cs="宋体"/>
                      <w:spacing w:val="8"/>
                      <w:sz w:val="17"/>
                      <w:szCs w:val="17"/>
                    </w:rPr>
                    <w:t>通</w:t>
                  </w:r>
                  <w:r>
                    <w:rPr>
                      <w:rFonts w:ascii="宋体" w:hAnsi="宋体" w:eastAsia="宋体" w:cs="宋体"/>
                      <w:spacing w:val="7"/>
                      <w:sz w:val="17"/>
                      <w:szCs w:val="17"/>
                    </w:rPr>
                    <w:t>川区中心城区</w:t>
                  </w:r>
                </w:p>
              </w:tc>
              <w:tc>
                <w:tcPr>
                  <w:tcW w:w="732" w:type="dxa"/>
                  <w:vAlign w:val="top"/>
                </w:tcPr>
                <w:p>
                  <w:pPr>
                    <w:spacing w:before="197" w:line="230" w:lineRule="auto"/>
                    <w:ind w:left="103"/>
                    <w:rPr>
                      <w:rFonts w:ascii="宋体" w:hAnsi="宋体" w:eastAsia="宋体" w:cs="宋体"/>
                      <w:sz w:val="17"/>
                      <w:szCs w:val="17"/>
                    </w:rPr>
                  </w:pPr>
                  <w:r>
                    <w:rPr>
                      <w:rFonts w:ascii="宋体" w:hAnsi="宋体" w:eastAsia="宋体" w:cs="宋体"/>
                      <w:spacing w:val="6"/>
                      <w:sz w:val="17"/>
                      <w:szCs w:val="17"/>
                    </w:rPr>
                    <w:t>通川区</w:t>
                  </w:r>
                </w:p>
              </w:tc>
              <w:tc>
                <w:tcPr>
                  <w:tcW w:w="1451" w:type="dxa"/>
                  <w:vAlign w:val="top"/>
                </w:tcPr>
                <w:p>
                  <w:pPr>
                    <w:spacing w:before="197" w:line="230" w:lineRule="auto"/>
                    <w:ind w:left="197"/>
                    <w:rPr>
                      <w:rFonts w:ascii="宋体" w:hAnsi="宋体" w:eastAsia="宋体" w:cs="宋体"/>
                      <w:sz w:val="17"/>
                      <w:szCs w:val="17"/>
                    </w:rPr>
                  </w:pPr>
                  <w:r>
                    <w:rPr>
                      <w:rFonts w:ascii="宋体" w:hAnsi="宋体" w:eastAsia="宋体" w:cs="宋体"/>
                      <w:spacing w:val="8"/>
                      <w:sz w:val="17"/>
                      <w:szCs w:val="17"/>
                    </w:rPr>
                    <w:t>环</w:t>
                  </w:r>
                  <w:r>
                    <w:rPr>
                      <w:rFonts w:ascii="宋体" w:hAnsi="宋体" w:eastAsia="宋体" w:cs="宋体"/>
                      <w:spacing w:val="7"/>
                      <w:sz w:val="17"/>
                      <w:szCs w:val="17"/>
                    </w:rPr>
                    <w:t>境管控单元</w:t>
                  </w:r>
                </w:p>
              </w:tc>
              <w:tc>
                <w:tcPr>
                  <w:tcW w:w="1666" w:type="dxa"/>
                  <w:vAlign w:val="top"/>
                </w:tcPr>
                <w:p>
                  <w:pPr>
                    <w:spacing w:before="80" w:line="267" w:lineRule="auto"/>
                    <w:ind w:left="214" w:right="27" w:hanging="177"/>
                    <w:rPr>
                      <w:rFonts w:ascii="宋体" w:hAnsi="宋体" w:eastAsia="宋体" w:cs="宋体"/>
                      <w:sz w:val="17"/>
                      <w:szCs w:val="17"/>
                    </w:rPr>
                  </w:pPr>
                  <w:r>
                    <w:rPr>
                      <w:rFonts w:ascii="宋体" w:hAnsi="宋体" w:eastAsia="宋体" w:cs="宋体"/>
                      <w:spacing w:val="10"/>
                      <w:sz w:val="17"/>
                      <w:szCs w:val="17"/>
                    </w:rPr>
                    <w:t>环</w:t>
                  </w:r>
                  <w:r>
                    <w:rPr>
                      <w:rFonts w:ascii="宋体" w:hAnsi="宋体" w:eastAsia="宋体" w:cs="宋体"/>
                      <w:spacing w:val="7"/>
                      <w:sz w:val="17"/>
                      <w:szCs w:val="17"/>
                    </w:rPr>
                    <w:t>境综合管控单元城</w:t>
                  </w:r>
                  <w:r>
                    <w:rPr>
                      <w:rFonts w:ascii="宋体" w:hAnsi="宋体" w:eastAsia="宋体" w:cs="宋体"/>
                      <w:sz w:val="17"/>
                      <w:szCs w:val="17"/>
                    </w:rPr>
                    <w:t xml:space="preserve"> </w:t>
                  </w:r>
                  <w:r>
                    <w:rPr>
                      <w:rFonts w:ascii="宋体" w:hAnsi="宋体" w:eastAsia="宋体" w:cs="宋体"/>
                      <w:spacing w:val="8"/>
                      <w:sz w:val="17"/>
                      <w:szCs w:val="17"/>
                    </w:rPr>
                    <w:t>镇</w:t>
                  </w:r>
                  <w:r>
                    <w:rPr>
                      <w:rFonts w:ascii="宋体" w:hAnsi="宋体" w:eastAsia="宋体" w:cs="宋体"/>
                      <w:spacing w:val="7"/>
                      <w:sz w:val="17"/>
                      <w:szCs w:val="17"/>
                    </w:rPr>
                    <w:t>重点管控单元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09" w:type="dxa"/>
                  <w:vAlign w:val="top"/>
                </w:tcPr>
                <w:p>
                  <w:pPr>
                    <w:spacing w:before="228" w:line="197" w:lineRule="auto"/>
                    <w:ind w:left="63"/>
                    <w:rPr>
                      <w:rFonts w:ascii="Times New Roman" w:hAnsi="Times New Roman" w:eastAsia="Times New Roman" w:cs="Times New Roman"/>
                      <w:sz w:val="17"/>
                      <w:szCs w:val="17"/>
                    </w:rPr>
                  </w:pPr>
                  <w:r>
                    <w:rPr>
                      <w:rFonts w:ascii="Times New Roman" w:hAnsi="Times New Roman" w:eastAsia="Times New Roman" w:cs="Times New Roman"/>
                      <w:sz w:val="17"/>
                      <w:szCs w:val="17"/>
                    </w:rPr>
                    <w:t>YS</w:t>
                  </w:r>
                  <w:r>
                    <w:rPr>
                      <w:rFonts w:ascii="Times New Roman" w:hAnsi="Times New Roman" w:eastAsia="Times New Roman" w:cs="Times New Roman"/>
                      <w:spacing w:val="8"/>
                      <w:sz w:val="17"/>
                      <w:szCs w:val="17"/>
                    </w:rPr>
                    <w:t>5</w:t>
                  </w:r>
                  <w:r>
                    <w:rPr>
                      <w:rFonts w:ascii="Times New Roman" w:hAnsi="Times New Roman" w:eastAsia="Times New Roman" w:cs="Times New Roman"/>
                      <w:spacing w:val="5"/>
                      <w:sz w:val="17"/>
                      <w:szCs w:val="17"/>
                    </w:rPr>
                    <w:t>1</w:t>
                  </w:r>
                  <w:r>
                    <w:rPr>
                      <w:rFonts w:ascii="Times New Roman" w:hAnsi="Times New Roman" w:eastAsia="Times New Roman" w:cs="Times New Roman"/>
                      <w:spacing w:val="4"/>
                      <w:sz w:val="17"/>
                      <w:szCs w:val="17"/>
                    </w:rPr>
                    <w:t>17022220001</w:t>
                  </w:r>
                </w:p>
              </w:tc>
              <w:tc>
                <w:tcPr>
                  <w:tcW w:w="2424" w:type="dxa"/>
                  <w:vAlign w:val="top"/>
                </w:tcPr>
                <w:p>
                  <w:pPr>
                    <w:spacing w:before="198" w:line="229" w:lineRule="auto"/>
                    <w:ind w:left="147"/>
                    <w:rPr>
                      <w:rFonts w:ascii="宋体" w:hAnsi="宋体" w:eastAsia="宋体" w:cs="宋体"/>
                      <w:sz w:val="17"/>
                      <w:szCs w:val="17"/>
                    </w:rPr>
                  </w:pPr>
                  <w:r>
                    <w:rPr>
                      <w:rFonts w:ascii="宋体" w:hAnsi="宋体" w:eastAsia="宋体" w:cs="宋体"/>
                      <w:spacing w:val="13"/>
                      <w:sz w:val="17"/>
                      <w:szCs w:val="17"/>
                    </w:rPr>
                    <w:t>州</w:t>
                  </w:r>
                  <w:r>
                    <w:rPr>
                      <w:rFonts w:ascii="宋体" w:hAnsi="宋体" w:eastAsia="宋体" w:cs="宋体"/>
                      <w:spacing w:val="7"/>
                      <w:sz w:val="17"/>
                      <w:szCs w:val="17"/>
                    </w:rPr>
                    <w:t>河通川区车家河控制单元</w:t>
                  </w:r>
                </w:p>
              </w:tc>
              <w:tc>
                <w:tcPr>
                  <w:tcW w:w="732" w:type="dxa"/>
                  <w:vAlign w:val="top"/>
                </w:tcPr>
                <w:p>
                  <w:pPr>
                    <w:spacing w:before="198" w:line="230" w:lineRule="auto"/>
                    <w:ind w:left="103"/>
                    <w:rPr>
                      <w:rFonts w:ascii="宋体" w:hAnsi="宋体" w:eastAsia="宋体" w:cs="宋体"/>
                      <w:sz w:val="17"/>
                      <w:szCs w:val="17"/>
                    </w:rPr>
                  </w:pPr>
                  <w:r>
                    <w:rPr>
                      <w:rFonts w:ascii="宋体" w:hAnsi="宋体" w:eastAsia="宋体" w:cs="宋体"/>
                      <w:spacing w:val="6"/>
                      <w:sz w:val="17"/>
                      <w:szCs w:val="17"/>
                    </w:rPr>
                    <w:t>通川区</w:t>
                  </w:r>
                </w:p>
              </w:tc>
              <w:tc>
                <w:tcPr>
                  <w:tcW w:w="1451" w:type="dxa"/>
                  <w:vAlign w:val="top"/>
                </w:tcPr>
                <w:p>
                  <w:pPr>
                    <w:spacing w:before="198" w:line="230" w:lineRule="auto"/>
                    <w:ind w:left="110"/>
                    <w:rPr>
                      <w:rFonts w:ascii="宋体" w:hAnsi="宋体" w:eastAsia="宋体" w:cs="宋体"/>
                      <w:sz w:val="17"/>
                      <w:szCs w:val="17"/>
                    </w:rPr>
                  </w:pPr>
                  <w:r>
                    <w:rPr>
                      <w:rFonts w:ascii="宋体" w:hAnsi="宋体" w:eastAsia="宋体" w:cs="宋体"/>
                      <w:spacing w:val="7"/>
                      <w:sz w:val="17"/>
                      <w:szCs w:val="17"/>
                    </w:rPr>
                    <w:t>水环境管控分</w:t>
                  </w:r>
                  <w:r>
                    <w:rPr>
                      <w:rFonts w:ascii="宋体" w:hAnsi="宋体" w:eastAsia="宋体" w:cs="宋体"/>
                      <w:spacing w:val="6"/>
                      <w:sz w:val="17"/>
                      <w:szCs w:val="17"/>
                    </w:rPr>
                    <w:t>区</w:t>
                  </w:r>
                </w:p>
              </w:tc>
              <w:tc>
                <w:tcPr>
                  <w:tcW w:w="1666" w:type="dxa"/>
                  <w:vAlign w:val="top"/>
                </w:tcPr>
                <w:p>
                  <w:pPr>
                    <w:spacing w:before="81" w:line="267" w:lineRule="auto"/>
                    <w:ind w:left="392" w:right="27" w:hanging="353"/>
                    <w:rPr>
                      <w:rFonts w:ascii="宋体" w:hAnsi="宋体" w:eastAsia="宋体" w:cs="宋体"/>
                      <w:sz w:val="17"/>
                      <w:szCs w:val="17"/>
                    </w:rPr>
                  </w:pPr>
                  <w:r>
                    <w:rPr>
                      <w:rFonts w:ascii="宋体" w:hAnsi="宋体" w:eastAsia="宋体" w:cs="宋体"/>
                      <w:spacing w:val="7"/>
                      <w:sz w:val="17"/>
                      <w:szCs w:val="17"/>
                    </w:rPr>
                    <w:t>水环境城镇生活污染</w:t>
                  </w:r>
                  <w:r>
                    <w:rPr>
                      <w:rFonts w:ascii="宋体" w:hAnsi="宋体" w:eastAsia="宋体" w:cs="宋体"/>
                      <w:sz w:val="17"/>
                      <w:szCs w:val="17"/>
                    </w:rPr>
                    <w:t xml:space="preserve"> </w:t>
                  </w:r>
                  <w:r>
                    <w:rPr>
                      <w:rFonts w:ascii="宋体" w:hAnsi="宋体" w:eastAsia="宋体" w:cs="宋体"/>
                      <w:spacing w:val="7"/>
                      <w:sz w:val="17"/>
                      <w:szCs w:val="17"/>
                    </w:rPr>
                    <w:t>重点管控区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09" w:type="dxa"/>
                  <w:vAlign w:val="top"/>
                </w:tcPr>
                <w:p>
                  <w:pPr>
                    <w:spacing w:before="229" w:line="197" w:lineRule="auto"/>
                    <w:ind w:left="63"/>
                    <w:rPr>
                      <w:rFonts w:ascii="Times New Roman" w:hAnsi="Times New Roman" w:eastAsia="Times New Roman" w:cs="Times New Roman"/>
                      <w:sz w:val="17"/>
                      <w:szCs w:val="17"/>
                    </w:rPr>
                  </w:pPr>
                  <w:r>
                    <w:rPr>
                      <w:rFonts w:ascii="Times New Roman" w:hAnsi="Times New Roman" w:eastAsia="Times New Roman" w:cs="Times New Roman"/>
                      <w:sz w:val="17"/>
                      <w:szCs w:val="17"/>
                    </w:rPr>
                    <w:t>YS</w:t>
                  </w:r>
                  <w:r>
                    <w:rPr>
                      <w:rFonts w:ascii="Times New Roman" w:hAnsi="Times New Roman" w:eastAsia="Times New Roman" w:cs="Times New Roman"/>
                      <w:spacing w:val="8"/>
                      <w:sz w:val="17"/>
                      <w:szCs w:val="17"/>
                    </w:rPr>
                    <w:t>5</w:t>
                  </w:r>
                  <w:r>
                    <w:rPr>
                      <w:rFonts w:ascii="Times New Roman" w:hAnsi="Times New Roman" w:eastAsia="Times New Roman" w:cs="Times New Roman"/>
                      <w:spacing w:val="5"/>
                      <w:sz w:val="17"/>
                      <w:szCs w:val="17"/>
                    </w:rPr>
                    <w:t>1</w:t>
                  </w:r>
                  <w:r>
                    <w:rPr>
                      <w:rFonts w:ascii="Times New Roman" w:hAnsi="Times New Roman" w:eastAsia="Times New Roman" w:cs="Times New Roman"/>
                      <w:spacing w:val="4"/>
                      <w:sz w:val="17"/>
                      <w:szCs w:val="17"/>
                    </w:rPr>
                    <w:t>17022340005</w:t>
                  </w:r>
                </w:p>
              </w:tc>
              <w:tc>
                <w:tcPr>
                  <w:tcW w:w="2424" w:type="dxa"/>
                  <w:vAlign w:val="top"/>
                </w:tcPr>
                <w:p>
                  <w:pPr>
                    <w:spacing w:before="198" w:line="230" w:lineRule="auto"/>
                    <w:ind w:left="593"/>
                    <w:rPr>
                      <w:rFonts w:ascii="宋体" w:hAnsi="宋体" w:eastAsia="宋体" w:cs="宋体"/>
                      <w:sz w:val="17"/>
                      <w:szCs w:val="17"/>
                    </w:rPr>
                  </w:pPr>
                  <w:r>
                    <w:rPr>
                      <w:rFonts w:ascii="宋体" w:hAnsi="宋体" w:eastAsia="宋体" w:cs="宋体"/>
                      <w:spacing w:val="8"/>
                      <w:sz w:val="17"/>
                      <w:szCs w:val="17"/>
                    </w:rPr>
                    <w:t>通</w:t>
                  </w:r>
                  <w:r>
                    <w:rPr>
                      <w:rFonts w:ascii="宋体" w:hAnsi="宋体" w:eastAsia="宋体" w:cs="宋体"/>
                      <w:spacing w:val="7"/>
                      <w:sz w:val="17"/>
                      <w:szCs w:val="17"/>
                    </w:rPr>
                    <w:t>川区中心城区</w:t>
                  </w:r>
                </w:p>
              </w:tc>
              <w:tc>
                <w:tcPr>
                  <w:tcW w:w="732" w:type="dxa"/>
                  <w:vAlign w:val="top"/>
                </w:tcPr>
                <w:p>
                  <w:pPr>
                    <w:spacing w:before="198" w:line="230" w:lineRule="auto"/>
                    <w:ind w:left="103"/>
                    <w:rPr>
                      <w:rFonts w:ascii="宋体" w:hAnsi="宋体" w:eastAsia="宋体" w:cs="宋体"/>
                      <w:sz w:val="17"/>
                      <w:szCs w:val="17"/>
                    </w:rPr>
                  </w:pPr>
                  <w:r>
                    <w:rPr>
                      <w:rFonts w:ascii="宋体" w:hAnsi="宋体" w:eastAsia="宋体" w:cs="宋体"/>
                      <w:spacing w:val="6"/>
                      <w:sz w:val="17"/>
                      <w:szCs w:val="17"/>
                    </w:rPr>
                    <w:t>通川区</w:t>
                  </w:r>
                </w:p>
              </w:tc>
              <w:tc>
                <w:tcPr>
                  <w:tcW w:w="1451" w:type="dxa"/>
                  <w:vAlign w:val="top"/>
                </w:tcPr>
                <w:p>
                  <w:pPr>
                    <w:spacing w:before="198" w:line="230" w:lineRule="auto"/>
                    <w:ind w:left="21"/>
                    <w:rPr>
                      <w:rFonts w:ascii="宋体" w:hAnsi="宋体" w:eastAsia="宋体" w:cs="宋体"/>
                      <w:sz w:val="17"/>
                      <w:szCs w:val="17"/>
                    </w:rPr>
                  </w:pPr>
                  <w:r>
                    <w:rPr>
                      <w:rFonts w:ascii="宋体" w:hAnsi="宋体" w:eastAsia="宋体" w:cs="宋体"/>
                      <w:spacing w:val="7"/>
                      <w:sz w:val="17"/>
                      <w:szCs w:val="17"/>
                    </w:rPr>
                    <w:t>大气环境管控分区</w:t>
                  </w:r>
                </w:p>
              </w:tc>
              <w:tc>
                <w:tcPr>
                  <w:tcW w:w="1666" w:type="dxa"/>
                  <w:vAlign w:val="top"/>
                </w:tcPr>
                <w:p>
                  <w:pPr>
                    <w:spacing w:before="81" w:line="268" w:lineRule="auto"/>
                    <w:ind w:left="490" w:right="27" w:hanging="451"/>
                    <w:rPr>
                      <w:rFonts w:ascii="宋体" w:hAnsi="宋体" w:eastAsia="宋体" w:cs="宋体"/>
                      <w:sz w:val="17"/>
                      <w:szCs w:val="17"/>
                    </w:rPr>
                  </w:pPr>
                  <w:r>
                    <w:rPr>
                      <w:rFonts w:ascii="宋体" w:hAnsi="宋体" w:eastAsia="宋体" w:cs="宋体"/>
                      <w:spacing w:val="7"/>
                      <w:sz w:val="17"/>
                      <w:szCs w:val="17"/>
                    </w:rPr>
                    <w:t>大气环境受体敏感重</w:t>
                  </w:r>
                  <w:r>
                    <w:rPr>
                      <w:rFonts w:ascii="宋体" w:hAnsi="宋体" w:eastAsia="宋体" w:cs="宋体"/>
                      <w:sz w:val="17"/>
                      <w:szCs w:val="17"/>
                    </w:rPr>
                    <w:t xml:space="preserve"> </w:t>
                  </w:r>
                  <w:r>
                    <w:rPr>
                      <w:rFonts w:ascii="宋体" w:hAnsi="宋体" w:eastAsia="宋体" w:cs="宋体"/>
                      <w:spacing w:val="4"/>
                      <w:sz w:val="17"/>
                      <w:szCs w:val="17"/>
                    </w:rPr>
                    <w:t>点管控区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1509" w:type="dxa"/>
                  <w:vAlign w:val="top"/>
                </w:tcPr>
                <w:p>
                  <w:pPr>
                    <w:spacing w:before="91" w:line="197" w:lineRule="auto"/>
                    <w:ind w:left="63"/>
                    <w:rPr>
                      <w:rFonts w:ascii="Times New Roman" w:hAnsi="Times New Roman" w:eastAsia="Times New Roman" w:cs="Times New Roman"/>
                      <w:sz w:val="17"/>
                      <w:szCs w:val="17"/>
                    </w:rPr>
                  </w:pPr>
                  <w:r>
                    <w:rPr>
                      <w:rFonts w:ascii="Times New Roman" w:hAnsi="Times New Roman" w:eastAsia="Times New Roman" w:cs="Times New Roman"/>
                      <w:sz w:val="17"/>
                      <w:szCs w:val="17"/>
                    </w:rPr>
                    <w:t>YS</w:t>
                  </w:r>
                  <w:r>
                    <w:rPr>
                      <w:rFonts w:ascii="Times New Roman" w:hAnsi="Times New Roman" w:eastAsia="Times New Roman" w:cs="Times New Roman"/>
                      <w:spacing w:val="8"/>
                      <w:sz w:val="17"/>
                      <w:szCs w:val="17"/>
                    </w:rPr>
                    <w:t>5</w:t>
                  </w:r>
                  <w:r>
                    <w:rPr>
                      <w:rFonts w:ascii="Times New Roman" w:hAnsi="Times New Roman" w:eastAsia="Times New Roman" w:cs="Times New Roman"/>
                      <w:spacing w:val="5"/>
                      <w:sz w:val="17"/>
                      <w:szCs w:val="17"/>
                    </w:rPr>
                    <w:t>1</w:t>
                  </w:r>
                  <w:r>
                    <w:rPr>
                      <w:rFonts w:ascii="Times New Roman" w:hAnsi="Times New Roman" w:eastAsia="Times New Roman" w:cs="Times New Roman"/>
                      <w:spacing w:val="4"/>
                      <w:sz w:val="17"/>
                      <w:szCs w:val="17"/>
                    </w:rPr>
                    <w:t>17022540001</w:t>
                  </w:r>
                </w:p>
              </w:tc>
              <w:tc>
                <w:tcPr>
                  <w:tcW w:w="2424" w:type="dxa"/>
                  <w:vAlign w:val="top"/>
                </w:tcPr>
                <w:p>
                  <w:pPr>
                    <w:spacing w:before="62" w:line="230" w:lineRule="auto"/>
                    <w:ind w:left="681"/>
                    <w:rPr>
                      <w:rFonts w:ascii="宋体" w:hAnsi="宋体" w:eastAsia="宋体" w:cs="宋体"/>
                      <w:sz w:val="17"/>
                      <w:szCs w:val="17"/>
                    </w:rPr>
                  </w:pPr>
                  <w:r>
                    <w:rPr>
                      <w:rFonts w:ascii="宋体" w:hAnsi="宋体" w:eastAsia="宋体" w:cs="宋体"/>
                      <w:spacing w:val="8"/>
                      <w:sz w:val="17"/>
                      <w:szCs w:val="17"/>
                    </w:rPr>
                    <w:t>通</w:t>
                  </w:r>
                  <w:r>
                    <w:rPr>
                      <w:rFonts w:ascii="宋体" w:hAnsi="宋体" w:eastAsia="宋体" w:cs="宋体"/>
                      <w:spacing w:val="7"/>
                      <w:sz w:val="17"/>
                      <w:szCs w:val="17"/>
                    </w:rPr>
                    <w:t>川区禁燃区</w:t>
                  </w:r>
                </w:p>
              </w:tc>
              <w:tc>
                <w:tcPr>
                  <w:tcW w:w="732" w:type="dxa"/>
                  <w:vAlign w:val="top"/>
                </w:tcPr>
                <w:p>
                  <w:pPr>
                    <w:spacing w:before="62" w:line="230" w:lineRule="auto"/>
                    <w:ind w:left="103"/>
                    <w:rPr>
                      <w:rFonts w:ascii="宋体" w:hAnsi="宋体" w:eastAsia="宋体" w:cs="宋体"/>
                      <w:sz w:val="17"/>
                      <w:szCs w:val="17"/>
                    </w:rPr>
                  </w:pPr>
                  <w:r>
                    <w:rPr>
                      <w:rFonts w:ascii="宋体" w:hAnsi="宋体" w:eastAsia="宋体" w:cs="宋体"/>
                      <w:spacing w:val="6"/>
                      <w:sz w:val="17"/>
                      <w:szCs w:val="17"/>
                    </w:rPr>
                    <w:t>通川区</w:t>
                  </w:r>
                </w:p>
              </w:tc>
              <w:tc>
                <w:tcPr>
                  <w:tcW w:w="1451" w:type="dxa"/>
                  <w:vAlign w:val="top"/>
                </w:tcPr>
                <w:p>
                  <w:pPr>
                    <w:spacing w:before="62" w:line="230" w:lineRule="auto"/>
                    <w:ind w:left="48"/>
                    <w:rPr>
                      <w:rFonts w:ascii="宋体" w:hAnsi="宋体" w:eastAsia="宋体" w:cs="宋体"/>
                      <w:sz w:val="17"/>
                      <w:szCs w:val="17"/>
                    </w:rPr>
                  </w:pPr>
                  <w:r>
                    <w:rPr>
                      <w:rFonts w:ascii="宋体" w:hAnsi="宋体" w:eastAsia="宋体" w:cs="宋体"/>
                      <w:spacing w:val="6"/>
                      <w:sz w:val="17"/>
                      <w:szCs w:val="17"/>
                    </w:rPr>
                    <w:t>自</w:t>
                  </w:r>
                  <w:r>
                    <w:rPr>
                      <w:rFonts w:ascii="宋体" w:hAnsi="宋体" w:eastAsia="宋体" w:cs="宋体"/>
                      <w:spacing w:val="5"/>
                      <w:sz w:val="17"/>
                      <w:szCs w:val="17"/>
                    </w:rPr>
                    <w:t>然</w:t>
                  </w:r>
                  <w:r>
                    <w:rPr>
                      <w:rFonts w:ascii="宋体" w:hAnsi="宋体" w:eastAsia="宋体" w:cs="宋体"/>
                      <w:spacing w:val="3"/>
                      <w:sz w:val="17"/>
                      <w:szCs w:val="17"/>
                    </w:rPr>
                    <w:t>资源管控分区</w:t>
                  </w:r>
                </w:p>
              </w:tc>
              <w:tc>
                <w:tcPr>
                  <w:tcW w:w="1666" w:type="dxa"/>
                  <w:vAlign w:val="top"/>
                </w:tcPr>
                <w:p>
                  <w:pPr>
                    <w:spacing w:before="62" w:line="230" w:lineRule="auto"/>
                    <w:ind w:left="130"/>
                    <w:rPr>
                      <w:rFonts w:ascii="宋体" w:hAnsi="宋体" w:eastAsia="宋体" w:cs="宋体"/>
                      <w:sz w:val="17"/>
                      <w:szCs w:val="17"/>
                    </w:rPr>
                  </w:pPr>
                  <w:r>
                    <w:rPr>
                      <w:rFonts w:ascii="宋体" w:hAnsi="宋体" w:eastAsia="宋体" w:cs="宋体"/>
                      <w:spacing w:val="11"/>
                      <w:sz w:val="17"/>
                      <w:szCs w:val="17"/>
                    </w:rPr>
                    <w:t>高</w:t>
                  </w:r>
                  <w:r>
                    <w:rPr>
                      <w:rFonts w:ascii="宋体" w:hAnsi="宋体" w:eastAsia="宋体" w:cs="宋体"/>
                      <w:spacing w:val="6"/>
                      <w:sz w:val="17"/>
                      <w:szCs w:val="17"/>
                    </w:rPr>
                    <w:t>污染燃料禁燃区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509" w:type="dxa"/>
                  <w:vAlign w:val="top"/>
                </w:tcPr>
                <w:p>
                  <w:pPr>
                    <w:spacing w:before="105" w:line="197" w:lineRule="auto"/>
                    <w:ind w:left="63"/>
                    <w:rPr>
                      <w:rFonts w:ascii="Times New Roman" w:hAnsi="Times New Roman" w:eastAsia="Times New Roman" w:cs="Times New Roman"/>
                      <w:sz w:val="17"/>
                      <w:szCs w:val="17"/>
                    </w:rPr>
                  </w:pPr>
                  <w:r>
                    <w:rPr>
                      <w:rFonts w:ascii="Times New Roman" w:hAnsi="Times New Roman" w:eastAsia="Times New Roman" w:cs="Times New Roman"/>
                      <w:sz w:val="17"/>
                      <w:szCs w:val="17"/>
                    </w:rPr>
                    <w:t>YS</w:t>
                  </w:r>
                  <w:r>
                    <w:rPr>
                      <w:rFonts w:ascii="Times New Roman" w:hAnsi="Times New Roman" w:eastAsia="Times New Roman" w:cs="Times New Roman"/>
                      <w:spacing w:val="8"/>
                      <w:sz w:val="17"/>
                      <w:szCs w:val="17"/>
                    </w:rPr>
                    <w:t>5</w:t>
                  </w:r>
                  <w:r>
                    <w:rPr>
                      <w:rFonts w:ascii="Times New Roman" w:hAnsi="Times New Roman" w:eastAsia="Times New Roman" w:cs="Times New Roman"/>
                      <w:spacing w:val="5"/>
                      <w:sz w:val="17"/>
                      <w:szCs w:val="17"/>
                    </w:rPr>
                    <w:t>1</w:t>
                  </w:r>
                  <w:r>
                    <w:rPr>
                      <w:rFonts w:ascii="Times New Roman" w:hAnsi="Times New Roman" w:eastAsia="Times New Roman" w:cs="Times New Roman"/>
                      <w:spacing w:val="4"/>
                      <w:sz w:val="17"/>
                      <w:szCs w:val="17"/>
                    </w:rPr>
                    <w:t>17022550001</w:t>
                  </w:r>
                </w:p>
              </w:tc>
              <w:tc>
                <w:tcPr>
                  <w:tcW w:w="2424" w:type="dxa"/>
                  <w:vAlign w:val="top"/>
                </w:tcPr>
                <w:p>
                  <w:pPr>
                    <w:spacing w:before="74" w:line="230" w:lineRule="auto"/>
                    <w:ind w:left="146"/>
                    <w:rPr>
                      <w:rFonts w:ascii="宋体" w:hAnsi="宋体" w:eastAsia="宋体" w:cs="宋体"/>
                      <w:sz w:val="17"/>
                      <w:szCs w:val="17"/>
                    </w:rPr>
                  </w:pPr>
                  <w:r>
                    <w:rPr>
                      <w:rFonts w:ascii="宋体" w:hAnsi="宋体" w:eastAsia="宋体" w:cs="宋体"/>
                      <w:spacing w:val="14"/>
                      <w:sz w:val="17"/>
                      <w:szCs w:val="17"/>
                    </w:rPr>
                    <w:t>通</w:t>
                  </w:r>
                  <w:r>
                    <w:rPr>
                      <w:rFonts w:ascii="宋体" w:hAnsi="宋体" w:eastAsia="宋体" w:cs="宋体"/>
                      <w:spacing w:val="7"/>
                      <w:sz w:val="17"/>
                      <w:szCs w:val="17"/>
                    </w:rPr>
                    <w:t>川区自然资源重点管控区</w:t>
                  </w:r>
                </w:p>
              </w:tc>
              <w:tc>
                <w:tcPr>
                  <w:tcW w:w="732" w:type="dxa"/>
                  <w:vAlign w:val="top"/>
                </w:tcPr>
                <w:p>
                  <w:pPr>
                    <w:spacing w:before="74" w:line="230" w:lineRule="auto"/>
                    <w:ind w:left="103"/>
                    <w:rPr>
                      <w:rFonts w:ascii="宋体" w:hAnsi="宋体" w:eastAsia="宋体" w:cs="宋体"/>
                      <w:sz w:val="17"/>
                      <w:szCs w:val="17"/>
                    </w:rPr>
                  </w:pPr>
                  <w:r>
                    <w:rPr>
                      <w:rFonts w:ascii="宋体" w:hAnsi="宋体" w:eastAsia="宋体" w:cs="宋体"/>
                      <w:spacing w:val="6"/>
                      <w:sz w:val="17"/>
                      <w:szCs w:val="17"/>
                    </w:rPr>
                    <w:t>通川区</w:t>
                  </w:r>
                </w:p>
              </w:tc>
              <w:tc>
                <w:tcPr>
                  <w:tcW w:w="1451" w:type="dxa"/>
                  <w:vAlign w:val="top"/>
                </w:tcPr>
                <w:p>
                  <w:pPr>
                    <w:spacing w:before="74" w:line="230" w:lineRule="auto"/>
                    <w:ind w:left="48"/>
                    <w:rPr>
                      <w:rFonts w:ascii="宋体" w:hAnsi="宋体" w:eastAsia="宋体" w:cs="宋体"/>
                      <w:sz w:val="17"/>
                      <w:szCs w:val="17"/>
                    </w:rPr>
                  </w:pPr>
                  <w:r>
                    <w:rPr>
                      <w:rFonts w:ascii="宋体" w:hAnsi="宋体" w:eastAsia="宋体" w:cs="宋体"/>
                      <w:spacing w:val="6"/>
                      <w:sz w:val="17"/>
                      <w:szCs w:val="17"/>
                    </w:rPr>
                    <w:t>自</w:t>
                  </w:r>
                  <w:r>
                    <w:rPr>
                      <w:rFonts w:ascii="宋体" w:hAnsi="宋体" w:eastAsia="宋体" w:cs="宋体"/>
                      <w:spacing w:val="5"/>
                      <w:sz w:val="17"/>
                      <w:szCs w:val="17"/>
                    </w:rPr>
                    <w:t>然</w:t>
                  </w:r>
                  <w:r>
                    <w:rPr>
                      <w:rFonts w:ascii="宋体" w:hAnsi="宋体" w:eastAsia="宋体" w:cs="宋体"/>
                      <w:spacing w:val="3"/>
                      <w:sz w:val="17"/>
                      <w:szCs w:val="17"/>
                    </w:rPr>
                    <w:t>资源管控分区</w:t>
                  </w:r>
                </w:p>
              </w:tc>
              <w:tc>
                <w:tcPr>
                  <w:tcW w:w="1666" w:type="dxa"/>
                  <w:vAlign w:val="top"/>
                </w:tcPr>
                <w:p>
                  <w:pPr>
                    <w:spacing w:before="74" w:line="230" w:lineRule="auto"/>
                    <w:ind w:left="66"/>
                    <w:rPr>
                      <w:rFonts w:ascii="宋体" w:hAnsi="宋体" w:eastAsia="宋体" w:cs="宋体"/>
                      <w:sz w:val="17"/>
                      <w:szCs w:val="17"/>
                    </w:rPr>
                  </w:pPr>
                  <w:r>
                    <w:rPr>
                      <w:rFonts w:ascii="宋体" w:hAnsi="宋体" w:eastAsia="宋体" w:cs="宋体"/>
                      <w:spacing w:val="4"/>
                      <w:sz w:val="17"/>
                      <w:szCs w:val="17"/>
                    </w:rPr>
                    <w:t>自然资源重点管控区</w:t>
                  </w:r>
                </w:p>
              </w:tc>
            </w:tr>
          </w:tbl>
          <w:p>
            <w:pPr>
              <w:spacing w:before="140" w:line="228" w:lineRule="auto"/>
              <w:ind w:left="470"/>
              <w:rPr>
                <w:rFonts w:ascii="宋体" w:hAnsi="宋体" w:eastAsia="宋体" w:cs="宋体"/>
                <w:sz w:val="20"/>
                <w:szCs w:val="20"/>
              </w:rPr>
            </w:pPr>
            <w:r>
              <w:rPr>
                <w:rFonts w:ascii="宋体" w:hAnsi="宋体" w:eastAsia="宋体" w:cs="宋体"/>
                <w:spacing w:val="16"/>
                <w:sz w:val="20"/>
                <w:szCs w:val="20"/>
              </w:rPr>
              <w:t>项</w:t>
            </w:r>
            <w:r>
              <w:rPr>
                <w:rFonts w:ascii="宋体" w:hAnsi="宋体" w:eastAsia="宋体" w:cs="宋体"/>
                <w:spacing w:val="10"/>
                <w:sz w:val="20"/>
                <w:szCs w:val="20"/>
              </w:rPr>
              <w:t>目</w:t>
            </w:r>
            <w:r>
              <w:rPr>
                <w:rFonts w:ascii="宋体" w:hAnsi="宋体" w:eastAsia="宋体" w:cs="宋体"/>
                <w:spacing w:val="8"/>
                <w:sz w:val="20"/>
                <w:szCs w:val="20"/>
              </w:rPr>
              <w:t>与管控单元相对位置如下图所示。</w:t>
            </w:r>
          </w:p>
        </w:tc>
      </w:tr>
    </w:tbl>
    <w:p>
      <w:pPr>
        <w:spacing w:line="163" w:lineRule="exact"/>
        <w:rPr>
          <w:rFonts w:ascii="Arial"/>
          <w:sz w:val="14"/>
        </w:rPr>
      </w:pPr>
    </w:p>
    <w:p>
      <w:pPr>
        <w:sectPr>
          <w:footerReference r:id="rId10" w:type="default"/>
          <w:pgSz w:w="11906" w:h="16839"/>
          <w:pgMar w:top="400" w:right="1434" w:bottom="1473" w:left="1521" w:header="0" w:footer="1315" w:gutter="0"/>
          <w:cols w:space="720" w:num="1"/>
        </w:sectPr>
      </w:pPr>
    </w:p>
    <w:p/>
    <w:p/>
    <w:p/>
    <w:p/>
    <w:p>
      <w:pPr>
        <w:spacing w:line="221" w:lineRule="exact"/>
      </w:pPr>
    </w:p>
    <w:tbl>
      <w:tblPr>
        <w:tblStyle w:val="4"/>
        <w:tblW w:w="893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4"/>
        <w:gridCol w:w="82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04" w:hRule="atLeast"/>
        </w:trPr>
        <w:tc>
          <w:tcPr>
            <w:tcW w:w="714" w:type="dxa"/>
            <w:tcBorders>
              <w:left w:val="single" w:color="00000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5" w:line="228"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其</w:t>
            </w:r>
            <w:r>
              <w:rPr>
                <w:rFonts w:ascii="宋体" w:hAnsi="宋体" w:eastAsia="宋体" w:cs="宋体"/>
                <w:spacing w:val="7"/>
                <w:sz w:val="20"/>
                <w:szCs w:val="20"/>
                <w14:textOutline w14:w="3795" w14:cap="sq" w14:cmpd="sng">
                  <w14:solidFill>
                    <w14:srgbClr w14:val="000000"/>
                  </w14:solidFill>
                  <w14:prstDash w14:val="solid"/>
                  <w14:bevel/>
                </w14:textOutline>
              </w:rPr>
              <w:t>他符</w:t>
            </w:r>
          </w:p>
          <w:p>
            <w:pPr>
              <w:spacing w:before="164" w:line="228"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合</w:t>
            </w:r>
            <w:r>
              <w:rPr>
                <w:rFonts w:ascii="宋体" w:hAnsi="宋体" w:eastAsia="宋体" w:cs="宋体"/>
                <w:spacing w:val="7"/>
                <w:sz w:val="20"/>
                <w:szCs w:val="20"/>
                <w14:textOutline w14:w="3795" w14:cap="sq" w14:cmpd="sng">
                  <w14:solidFill>
                    <w14:srgbClr w14:val="000000"/>
                  </w14:solidFill>
                  <w14:prstDash w14:val="solid"/>
                  <w14:bevel/>
                </w14:textOutline>
              </w:rPr>
              <w:t>性分</w:t>
            </w:r>
          </w:p>
          <w:p>
            <w:pPr>
              <w:spacing w:before="160" w:line="228" w:lineRule="auto"/>
              <w:ind w:left="251"/>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析</w:t>
            </w:r>
          </w:p>
        </w:tc>
        <w:tc>
          <w:tcPr>
            <w:tcW w:w="8221" w:type="dxa"/>
            <w:tcBorders>
              <w:right w:val="single" w:color="000000" w:sz="6" w:space="0"/>
            </w:tcBorders>
            <w:vAlign w:val="top"/>
          </w:tcPr>
          <w:p>
            <w:pPr>
              <w:spacing w:before="30" w:line="4829" w:lineRule="exact"/>
              <w:ind w:firstLine="159"/>
              <w:textAlignment w:val="center"/>
            </w:pPr>
            <w:r>
              <w:drawing>
                <wp:inline distT="0" distB="0" distL="0" distR="0">
                  <wp:extent cx="5006340" cy="3065780"/>
                  <wp:effectExtent l="0" t="0" r="0" b="0"/>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154"/>
                          <a:stretch>
                            <a:fillRect/>
                          </a:stretch>
                        </pic:blipFill>
                        <pic:spPr>
                          <a:xfrm>
                            <a:off x="0" y="0"/>
                            <a:ext cx="5006340" cy="3066288"/>
                          </a:xfrm>
                          <a:prstGeom prst="rect">
                            <a:avLst/>
                          </a:prstGeom>
                        </pic:spPr>
                      </pic:pic>
                    </a:graphicData>
                  </a:graphic>
                </wp:inline>
              </w:drawing>
            </w:r>
          </w:p>
          <w:p>
            <w:pPr>
              <w:spacing w:before="146" w:line="348" w:lineRule="exact"/>
              <w:ind w:left="2173"/>
              <w:rPr>
                <w:rFonts w:ascii="黑体" w:hAnsi="黑体" w:eastAsia="黑体" w:cs="黑体"/>
                <w:sz w:val="19"/>
                <w:szCs w:val="19"/>
              </w:rPr>
            </w:pPr>
            <w:r>
              <w:rPr>
                <w:rFonts w:ascii="黑体" w:hAnsi="黑体" w:eastAsia="黑体" w:cs="黑体"/>
                <w:spacing w:val="16"/>
                <w:position w:val="11"/>
                <w:sz w:val="19"/>
                <w:szCs w:val="19"/>
              </w:rPr>
              <w:t>图</w:t>
            </w:r>
            <w:r>
              <w:rPr>
                <w:rFonts w:ascii="Times New Roman" w:hAnsi="Times New Roman" w:eastAsia="Times New Roman" w:cs="Times New Roman"/>
                <w:spacing w:val="12"/>
                <w:position w:val="11"/>
                <w:sz w:val="19"/>
                <w:szCs w:val="19"/>
              </w:rPr>
              <w:t>1</w:t>
            </w:r>
            <w:r>
              <w:rPr>
                <w:rFonts w:ascii="黑体" w:hAnsi="黑体" w:eastAsia="黑体" w:cs="黑体"/>
                <w:spacing w:val="8"/>
                <w:position w:val="11"/>
                <w:sz w:val="19"/>
                <w:szCs w:val="19"/>
              </w:rPr>
              <w:t>：项目与环境综合管控单元的位置关系图</w:t>
            </w:r>
          </w:p>
          <w:p>
            <w:pPr>
              <w:spacing w:line="229" w:lineRule="auto"/>
              <w:ind w:left="2265"/>
              <w:rPr>
                <w:rFonts w:ascii="黑体" w:hAnsi="黑体" w:eastAsia="黑体" w:cs="黑体"/>
                <w:sz w:val="19"/>
                <w:szCs w:val="19"/>
              </w:rPr>
            </w:pPr>
            <w:r>
              <w:rPr>
                <w:rFonts w:ascii="黑体" w:hAnsi="黑体" w:eastAsia="黑体" w:cs="黑体"/>
                <w:spacing w:val="8"/>
                <w:sz w:val="19"/>
                <w:szCs w:val="19"/>
              </w:rPr>
              <w:t>表</w:t>
            </w:r>
            <w:r>
              <w:rPr>
                <w:rFonts w:ascii="Times New Roman" w:hAnsi="Times New Roman" w:eastAsia="Times New Roman" w:cs="Times New Roman"/>
                <w:spacing w:val="8"/>
                <w:sz w:val="19"/>
                <w:szCs w:val="19"/>
              </w:rPr>
              <w:t xml:space="preserve">3    </w:t>
            </w:r>
            <w:r>
              <w:rPr>
                <w:rFonts w:ascii="黑体" w:hAnsi="黑体" w:eastAsia="黑体" w:cs="黑体"/>
                <w:spacing w:val="8"/>
                <w:sz w:val="19"/>
                <w:szCs w:val="19"/>
              </w:rPr>
              <w:t>通川区区域特征研判及总体准入要</w:t>
            </w:r>
            <w:r>
              <w:rPr>
                <w:rFonts w:ascii="黑体" w:hAnsi="黑体" w:eastAsia="黑体" w:cs="黑体"/>
                <w:spacing w:val="4"/>
                <w:sz w:val="19"/>
                <w:szCs w:val="19"/>
              </w:rPr>
              <w:t>求</w:t>
            </w:r>
          </w:p>
          <w:p>
            <w:pPr>
              <w:spacing w:line="47" w:lineRule="auto"/>
              <w:rPr>
                <w:rFonts w:ascii="Arial"/>
                <w:sz w:val="2"/>
              </w:rPr>
            </w:pPr>
          </w:p>
          <w:tbl>
            <w:tblPr>
              <w:tblStyle w:val="4"/>
              <w:tblW w:w="7722" w:type="dxa"/>
              <w:tblInd w:w="2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9"/>
              <w:gridCol w:w="1363"/>
              <w:gridCol w:w="1371"/>
              <w:gridCol w:w="2476"/>
              <w:gridCol w:w="20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499" w:type="dxa"/>
                  <w:vAlign w:val="top"/>
                </w:tcPr>
                <w:p>
                  <w:pPr>
                    <w:spacing w:before="75" w:line="268" w:lineRule="auto"/>
                    <w:ind w:left="85" w:right="68" w:hanging="10"/>
                    <w:rPr>
                      <w:rFonts w:ascii="宋体" w:hAnsi="宋体" w:eastAsia="宋体" w:cs="宋体"/>
                      <w:sz w:val="17"/>
                      <w:szCs w:val="17"/>
                    </w:rPr>
                  </w:pPr>
                  <w:r>
                    <w:rPr>
                      <w:rFonts w:ascii="宋体" w:hAnsi="宋体" w:eastAsia="宋体" w:cs="宋体"/>
                      <w:spacing w:val="5"/>
                      <w:sz w:val="17"/>
                      <w:szCs w:val="17"/>
                      <w14:textOutline w14:w="3268" w14:cap="sq" w14:cmpd="sng">
                        <w14:solidFill>
                          <w14:srgbClr w14:val="000000"/>
                        </w14:solidFill>
                        <w14:prstDash w14:val="solid"/>
                        <w14:bevel/>
                      </w14:textOutline>
                    </w:rPr>
                    <w:t>行政</w:t>
                  </w:r>
                  <w:r>
                    <w:rPr>
                      <w:rFonts w:ascii="宋体" w:hAnsi="宋体" w:eastAsia="宋体" w:cs="宋体"/>
                      <w:sz w:val="17"/>
                      <w:szCs w:val="17"/>
                    </w:rPr>
                    <w:t xml:space="preserve"> </w:t>
                  </w:r>
                  <w:r>
                    <w:rPr>
                      <w:rFonts w:ascii="宋体" w:hAnsi="宋体" w:eastAsia="宋体" w:cs="宋体"/>
                      <w:spacing w:val="-1"/>
                      <w:sz w:val="17"/>
                      <w:szCs w:val="17"/>
                      <w14:textOutline w14:w="3268" w14:cap="sq" w14:cmpd="sng">
                        <w14:solidFill>
                          <w14:srgbClr w14:val="000000"/>
                        </w14:solidFill>
                        <w14:prstDash w14:val="solid"/>
                        <w14:bevel/>
                      </w14:textOutline>
                    </w:rPr>
                    <w:t>区</w:t>
                  </w:r>
                  <w:r>
                    <w:rPr>
                      <w:rFonts w:ascii="宋体" w:hAnsi="宋体" w:eastAsia="宋体" w:cs="宋体"/>
                      <w:sz w:val="17"/>
                      <w:szCs w:val="17"/>
                      <w14:textOutline w14:w="3268" w14:cap="sq" w14:cmpd="sng">
                        <w14:solidFill>
                          <w14:srgbClr w14:val="000000"/>
                        </w14:solidFill>
                        <w14:prstDash w14:val="solid"/>
                        <w14:bevel/>
                      </w14:textOutline>
                    </w:rPr>
                    <w:t>划</w:t>
                  </w:r>
                </w:p>
              </w:tc>
              <w:tc>
                <w:tcPr>
                  <w:tcW w:w="1363" w:type="dxa"/>
                  <w:vAlign w:val="top"/>
                </w:tcPr>
                <w:p>
                  <w:pPr>
                    <w:spacing w:before="214" w:line="230" w:lineRule="auto"/>
                    <w:ind w:left="335"/>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区</w:t>
                  </w:r>
                  <w:r>
                    <w:rPr>
                      <w:rFonts w:ascii="宋体" w:hAnsi="宋体" w:eastAsia="宋体" w:cs="宋体"/>
                      <w:spacing w:val="5"/>
                      <w:sz w:val="17"/>
                      <w:szCs w:val="17"/>
                      <w14:textOutline w14:w="3268" w14:cap="sq" w14:cmpd="sng">
                        <w14:solidFill>
                          <w14:srgbClr w14:val="000000"/>
                        </w14:solidFill>
                        <w14:prstDash w14:val="solid"/>
                        <w14:bevel/>
                      </w14:textOutline>
                    </w:rPr>
                    <w:t>域特点</w:t>
                  </w:r>
                </w:p>
              </w:tc>
              <w:tc>
                <w:tcPr>
                  <w:tcW w:w="1371" w:type="dxa"/>
                  <w:vAlign w:val="top"/>
                </w:tcPr>
                <w:p>
                  <w:pPr>
                    <w:spacing w:before="214" w:line="231" w:lineRule="auto"/>
                    <w:ind w:left="59"/>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发</w:t>
                  </w:r>
                  <w:r>
                    <w:rPr>
                      <w:rFonts w:ascii="宋体" w:hAnsi="宋体" w:eastAsia="宋体" w:cs="宋体"/>
                      <w:spacing w:val="9"/>
                      <w:sz w:val="17"/>
                      <w:szCs w:val="17"/>
                      <w14:textOutline w14:w="3268" w14:cap="sq" w14:cmpd="sng">
                        <w14:solidFill>
                          <w14:srgbClr w14:val="000000"/>
                        </w14:solidFill>
                        <w14:prstDash w14:val="solid"/>
                        <w14:bevel/>
                      </w14:textOutline>
                    </w:rPr>
                    <w:t>展定位与目标</w:t>
                  </w:r>
                </w:p>
              </w:tc>
              <w:tc>
                <w:tcPr>
                  <w:tcW w:w="2476" w:type="dxa"/>
                  <w:vAlign w:val="top"/>
                </w:tcPr>
                <w:p>
                  <w:pPr>
                    <w:spacing w:before="214" w:line="231" w:lineRule="auto"/>
                    <w:ind w:left="263"/>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区域突出的生态环境问</w:t>
                  </w:r>
                  <w:r>
                    <w:rPr>
                      <w:rFonts w:ascii="宋体" w:hAnsi="宋体" w:eastAsia="宋体" w:cs="宋体"/>
                      <w:spacing w:val="6"/>
                      <w:sz w:val="17"/>
                      <w:szCs w:val="17"/>
                      <w14:textOutline w14:w="3268" w14:cap="sq" w14:cmpd="sng">
                        <w14:solidFill>
                          <w14:srgbClr w14:val="000000"/>
                        </w14:solidFill>
                        <w14:prstDash w14:val="solid"/>
                        <w14:bevel/>
                      </w14:textOutline>
                    </w:rPr>
                    <w:t>题</w:t>
                  </w:r>
                </w:p>
              </w:tc>
              <w:tc>
                <w:tcPr>
                  <w:tcW w:w="2013" w:type="dxa"/>
                  <w:vAlign w:val="top"/>
                </w:tcPr>
                <w:p>
                  <w:pPr>
                    <w:spacing w:before="214" w:line="232" w:lineRule="auto"/>
                    <w:ind w:left="474"/>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总</w:t>
                  </w:r>
                  <w:r>
                    <w:rPr>
                      <w:rFonts w:ascii="宋体" w:hAnsi="宋体" w:eastAsia="宋体" w:cs="宋体"/>
                      <w:spacing w:val="8"/>
                      <w:sz w:val="17"/>
                      <w:szCs w:val="17"/>
                      <w14:textOutline w14:w="3268" w14:cap="sq" w14:cmpd="sng">
                        <w14:solidFill>
                          <w14:srgbClr w14:val="000000"/>
                        </w14:solidFill>
                        <w14:prstDash w14:val="solid"/>
                        <w14:bevel/>
                      </w14:textOutline>
                    </w:rPr>
                    <w:t>体准入要求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5" w:hRule="atLeast"/>
              </w:trPr>
              <w:tc>
                <w:tcPr>
                  <w:tcW w:w="499"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55" w:line="319" w:lineRule="auto"/>
                    <w:ind w:left="176" w:right="68" w:hanging="104"/>
                    <w:rPr>
                      <w:rFonts w:ascii="宋体" w:hAnsi="宋体" w:eastAsia="宋体" w:cs="宋体"/>
                      <w:sz w:val="17"/>
                      <w:szCs w:val="17"/>
                    </w:rPr>
                  </w:pPr>
                  <w:r>
                    <w:rPr>
                      <w:rFonts w:ascii="宋体" w:hAnsi="宋体" w:eastAsia="宋体" w:cs="宋体"/>
                      <w:spacing w:val="6"/>
                      <w:sz w:val="17"/>
                      <w:szCs w:val="17"/>
                    </w:rPr>
                    <w:t>通川</w:t>
                  </w:r>
                  <w:r>
                    <w:rPr>
                      <w:rFonts w:ascii="宋体" w:hAnsi="宋体" w:eastAsia="宋体" w:cs="宋体"/>
                      <w:sz w:val="17"/>
                      <w:szCs w:val="17"/>
                    </w:rPr>
                    <w:t xml:space="preserve"> 区</w:t>
                  </w:r>
                </w:p>
              </w:tc>
              <w:tc>
                <w:tcPr>
                  <w:tcW w:w="1363" w:type="dxa"/>
                  <w:vAlign w:val="top"/>
                </w:tcPr>
                <w:p>
                  <w:pPr>
                    <w:spacing w:before="72" w:line="230" w:lineRule="auto"/>
                    <w:ind w:left="53"/>
                    <w:rPr>
                      <w:rFonts w:ascii="宋体" w:hAnsi="宋体" w:eastAsia="宋体" w:cs="宋体"/>
                      <w:sz w:val="17"/>
                      <w:szCs w:val="17"/>
                    </w:rPr>
                  </w:pPr>
                  <w:r>
                    <w:rPr>
                      <w:rFonts w:ascii="宋体" w:hAnsi="宋体" w:eastAsia="宋体" w:cs="宋体"/>
                      <w:spacing w:val="9"/>
                      <w:sz w:val="17"/>
                      <w:szCs w:val="17"/>
                    </w:rPr>
                    <w:t>通川区位于川</w:t>
                  </w:r>
                  <w:r>
                    <w:rPr>
                      <w:rFonts w:ascii="宋体" w:hAnsi="宋体" w:eastAsia="宋体" w:cs="宋体"/>
                      <w:spacing w:val="8"/>
                      <w:sz w:val="17"/>
                      <w:szCs w:val="17"/>
                    </w:rPr>
                    <w:t>东</w:t>
                  </w:r>
                </w:p>
                <w:p>
                  <w:pPr>
                    <w:spacing w:before="66" w:line="230" w:lineRule="auto"/>
                    <w:ind w:left="56"/>
                    <w:rPr>
                      <w:rFonts w:ascii="宋体" w:hAnsi="宋体" w:eastAsia="宋体" w:cs="宋体"/>
                      <w:sz w:val="17"/>
                      <w:szCs w:val="17"/>
                    </w:rPr>
                  </w:pPr>
                  <w:r>
                    <w:rPr>
                      <w:rFonts w:ascii="宋体" w:hAnsi="宋体" w:eastAsia="宋体" w:cs="宋体"/>
                      <w:spacing w:val="12"/>
                      <w:sz w:val="17"/>
                      <w:szCs w:val="17"/>
                    </w:rPr>
                    <w:t>北</w:t>
                  </w:r>
                  <w:r>
                    <w:rPr>
                      <w:rFonts w:ascii="宋体" w:hAnsi="宋体" w:eastAsia="宋体" w:cs="宋体"/>
                      <w:spacing w:val="8"/>
                      <w:sz w:val="17"/>
                      <w:szCs w:val="17"/>
                    </w:rPr>
                    <w:t>平行岭谷北部</w:t>
                  </w:r>
                </w:p>
                <w:p>
                  <w:pPr>
                    <w:spacing w:before="69" w:line="230" w:lineRule="auto"/>
                    <w:ind w:left="57"/>
                    <w:rPr>
                      <w:rFonts w:ascii="宋体" w:hAnsi="宋体" w:eastAsia="宋体" w:cs="宋体"/>
                      <w:sz w:val="17"/>
                      <w:szCs w:val="17"/>
                    </w:rPr>
                  </w:pPr>
                  <w:r>
                    <w:rPr>
                      <w:rFonts w:ascii="宋体" w:hAnsi="宋体" w:eastAsia="宋体" w:cs="宋体"/>
                      <w:spacing w:val="11"/>
                      <w:sz w:val="17"/>
                      <w:szCs w:val="17"/>
                    </w:rPr>
                    <w:t>与</w:t>
                  </w:r>
                  <w:r>
                    <w:rPr>
                      <w:rFonts w:ascii="宋体" w:hAnsi="宋体" w:eastAsia="宋体" w:cs="宋体"/>
                      <w:spacing w:val="8"/>
                      <w:sz w:val="17"/>
                      <w:szCs w:val="17"/>
                    </w:rPr>
                    <w:t>大巴山南麓与</w:t>
                  </w:r>
                </w:p>
                <w:p>
                  <w:pPr>
                    <w:spacing w:before="69" w:line="230" w:lineRule="auto"/>
                    <w:ind w:left="145"/>
                    <w:rPr>
                      <w:rFonts w:ascii="宋体" w:hAnsi="宋体" w:eastAsia="宋体" w:cs="宋体"/>
                      <w:sz w:val="17"/>
                      <w:szCs w:val="17"/>
                    </w:rPr>
                  </w:pPr>
                  <w:r>
                    <w:rPr>
                      <w:rFonts w:ascii="宋体" w:hAnsi="宋体" w:eastAsia="宋体" w:cs="宋体"/>
                      <w:spacing w:val="9"/>
                      <w:sz w:val="17"/>
                      <w:szCs w:val="17"/>
                    </w:rPr>
                    <w:t>盆周山区交</w:t>
                  </w:r>
                  <w:r>
                    <w:rPr>
                      <w:rFonts w:ascii="宋体" w:hAnsi="宋体" w:eastAsia="宋体" w:cs="宋体"/>
                      <w:spacing w:val="7"/>
                      <w:sz w:val="17"/>
                      <w:szCs w:val="17"/>
                    </w:rPr>
                    <w:t>替</w:t>
                  </w:r>
                </w:p>
                <w:p>
                  <w:pPr>
                    <w:spacing w:before="66" w:line="230" w:lineRule="auto"/>
                    <w:ind w:left="58"/>
                    <w:rPr>
                      <w:rFonts w:ascii="宋体" w:hAnsi="宋体" w:eastAsia="宋体" w:cs="宋体"/>
                      <w:sz w:val="17"/>
                      <w:szCs w:val="17"/>
                    </w:rPr>
                  </w:pPr>
                  <w:r>
                    <w:rPr>
                      <w:rFonts w:ascii="宋体" w:hAnsi="宋体" w:eastAsia="宋体" w:cs="宋体"/>
                      <w:spacing w:val="10"/>
                      <w:sz w:val="17"/>
                      <w:szCs w:val="17"/>
                    </w:rPr>
                    <w:t>带</w:t>
                  </w:r>
                  <w:r>
                    <w:rPr>
                      <w:rFonts w:ascii="宋体" w:hAnsi="宋体" w:eastAsia="宋体" w:cs="宋体"/>
                      <w:spacing w:val="8"/>
                      <w:sz w:val="17"/>
                      <w:szCs w:val="17"/>
                    </w:rPr>
                    <w:t>，东及东北面</w:t>
                  </w:r>
                </w:p>
                <w:p>
                  <w:pPr>
                    <w:spacing w:before="68" w:line="304" w:lineRule="auto"/>
                    <w:ind w:left="52" w:right="48" w:firstLine="4"/>
                    <w:rPr>
                      <w:rFonts w:ascii="宋体" w:hAnsi="宋体" w:eastAsia="宋体" w:cs="宋体"/>
                      <w:sz w:val="17"/>
                      <w:szCs w:val="17"/>
                    </w:rPr>
                  </w:pPr>
                  <w:r>
                    <w:rPr>
                      <w:rFonts w:ascii="宋体" w:hAnsi="宋体" w:eastAsia="宋体" w:cs="宋体"/>
                      <w:spacing w:val="9"/>
                      <w:sz w:val="17"/>
                      <w:szCs w:val="17"/>
                    </w:rPr>
                    <w:t>与宣汉县接壤</w:t>
                  </w:r>
                  <w:r>
                    <w:rPr>
                      <w:rFonts w:ascii="宋体" w:hAnsi="宋体" w:eastAsia="宋体" w:cs="宋体"/>
                      <w:spacing w:val="7"/>
                      <w:sz w:val="17"/>
                      <w:szCs w:val="17"/>
                    </w:rPr>
                    <w:t>，</w:t>
                  </w:r>
                  <w:r>
                    <w:rPr>
                      <w:rFonts w:ascii="宋体" w:hAnsi="宋体" w:eastAsia="宋体" w:cs="宋体"/>
                      <w:sz w:val="17"/>
                      <w:szCs w:val="17"/>
                    </w:rPr>
                    <w:t xml:space="preserve"> </w:t>
                  </w:r>
                  <w:r>
                    <w:rPr>
                      <w:rFonts w:ascii="宋体" w:hAnsi="宋体" w:eastAsia="宋体" w:cs="宋体"/>
                      <w:spacing w:val="9"/>
                      <w:sz w:val="17"/>
                      <w:szCs w:val="17"/>
                    </w:rPr>
                    <w:t>北面、南面与达</w:t>
                  </w:r>
                  <w:r>
                    <w:rPr>
                      <w:rFonts w:ascii="宋体" w:hAnsi="宋体" w:eastAsia="宋体" w:cs="宋体"/>
                      <w:sz w:val="17"/>
                      <w:szCs w:val="17"/>
                    </w:rPr>
                    <w:t xml:space="preserve"> </w:t>
                  </w:r>
                  <w:r>
                    <w:rPr>
                      <w:rFonts w:ascii="宋体" w:hAnsi="宋体" w:eastAsia="宋体" w:cs="宋体"/>
                      <w:spacing w:val="9"/>
                      <w:sz w:val="17"/>
                      <w:szCs w:val="17"/>
                    </w:rPr>
                    <w:t>川区为邻，西至</w:t>
                  </w:r>
                  <w:r>
                    <w:rPr>
                      <w:rFonts w:ascii="宋体" w:hAnsi="宋体" w:eastAsia="宋体" w:cs="宋体"/>
                      <w:sz w:val="17"/>
                      <w:szCs w:val="17"/>
                    </w:rPr>
                    <w:t xml:space="preserve"> </w:t>
                  </w:r>
                  <w:r>
                    <w:rPr>
                      <w:rFonts w:ascii="宋体" w:hAnsi="宋体" w:eastAsia="宋体" w:cs="宋体"/>
                      <w:spacing w:val="-4"/>
                      <w:sz w:val="17"/>
                      <w:szCs w:val="17"/>
                    </w:rPr>
                    <w:t>成</w:t>
                  </w:r>
                  <w:r>
                    <w:rPr>
                      <w:rFonts w:ascii="宋体" w:hAnsi="宋体" w:eastAsia="宋体" w:cs="宋体"/>
                      <w:spacing w:val="-2"/>
                      <w:sz w:val="17"/>
                      <w:szCs w:val="17"/>
                    </w:rPr>
                    <w:t xml:space="preserve">都 </w:t>
                  </w:r>
                  <w:r>
                    <w:rPr>
                      <w:rFonts w:ascii="Times New Roman" w:hAnsi="Times New Roman" w:eastAsia="Times New Roman" w:cs="Times New Roman"/>
                      <w:spacing w:val="-2"/>
                      <w:sz w:val="17"/>
                      <w:szCs w:val="17"/>
                    </w:rPr>
                    <w:t xml:space="preserve">420km </w:t>
                  </w:r>
                  <w:r>
                    <w:rPr>
                      <w:rFonts w:ascii="宋体" w:hAnsi="宋体" w:eastAsia="宋体" w:cs="宋体"/>
                      <w:spacing w:val="-2"/>
                      <w:sz w:val="17"/>
                      <w:szCs w:val="17"/>
                    </w:rPr>
                    <w:t>，南</w:t>
                  </w:r>
                  <w:r>
                    <w:rPr>
                      <w:rFonts w:ascii="宋体" w:hAnsi="宋体" w:eastAsia="宋体" w:cs="宋体"/>
                      <w:sz w:val="17"/>
                      <w:szCs w:val="17"/>
                    </w:rPr>
                    <w:t xml:space="preserve"> </w:t>
                  </w:r>
                  <w:r>
                    <w:rPr>
                      <w:rFonts w:ascii="宋体" w:hAnsi="宋体" w:eastAsia="宋体" w:cs="宋体"/>
                      <w:spacing w:val="2"/>
                      <w:sz w:val="17"/>
                      <w:szCs w:val="17"/>
                    </w:rPr>
                    <w:t>到</w:t>
                  </w:r>
                  <w:r>
                    <w:rPr>
                      <w:rFonts w:ascii="宋体" w:hAnsi="宋体" w:eastAsia="宋体" w:cs="宋体"/>
                      <w:spacing w:val="1"/>
                      <w:sz w:val="17"/>
                      <w:szCs w:val="17"/>
                    </w:rPr>
                    <w:t xml:space="preserve">重庆 </w:t>
                  </w:r>
                  <w:r>
                    <w:rPr>
                      <w:rFonts w:ascii="Times New Roman" w:hAnsi="Times New Roman" w:eastAsia="Times New Roman" w:cs="Times New Roman"/>
                      <w:spacing w:val="1"/>
                      <w:sz w:val="17"/>
                      <w:szCs w:val="17"/>
                    </w:rPr>
                    <w:t>220</w:t>
                  </w:r>
                  <w:r>
                    <w:rPr>
                      <w:rFonts w:ascii="Times New Roman" w:hAnsi="Times New Roman" w:eastAsia="Times New Roman" w:cs="Times New Roman"/>
                      <w:sz w:val="17"/>
                      <w:szCs w:val="17"/>
                    </w:rPr>
                    <w:t>km</w:t>
                  </w:r>
                  <w:r>
                    <w:rPr>
                      <w:rFonts w:ascii="宋体" w:hAnsi="宋体" w:eastAsia="宋体" w:cs="宋体"/>
                      <w:spacing w:val="1"/>
                      <w:sz w:val="17"/>
                      <w:szCs w:val="17"/>
                    </w:rPr>
                    <w:t>。</w:t>
                  </w:r>
                </w:p>
                <w:p>
                  <w:pPr>
                    <w:spacing w:before="1" w:line="304" w:lineRule="auto"/>
                    <w:ind w:left="28" w:firstLine="295"/>
                    <w:rPr>
                      <w:rFonts w:ascii="宋体" w:hAnsi="宋体" w:eastAsia="宋体" w:cs="宋体"/>
                      <w:sz w:val="17"/>
                      <w:szCs w:val="17"/>
                    </w:rPr>
                  </w:pPr>
                  <w:r>
                    <w:rPr>
                      <w:rFonts w:hint="eastAsia" w:ascii="宋体" w:hAnsi="宋体" w:eastAsia="宋体" w:cs="宋体"/>
                      <w:spacing w:val="2"/>
                      <w:sz w:val="17"/>
                      <w:szCs w:val="17"/>
                      <w:lang w:val="en-US" w:eastAsia="zh-CN"/>
                    </w:rPr>
                    <w:t>辖区</w:t>
                  </w:r>
                  <w:r>
                    <w:rPr>
                      <w:rFonts w:ascii="宋体" w:hAnsi="宋体" w:eastAsia="宋体" w:cs="宋体"/>
                      <w:spacing w:val="1"/>
                      <w:sz w:val="17"/>
                      <w:szCs w:val="17"/>
                    </w:rPr>
                    <w:t>面积</w:t>
                  </w:r>
                  <w:r>
                    <w:rPr>
                      <w:rFonts w:ascii="宋体" w:hAnsi="宋体" w:eastAsia="宋体" w:cs="宋体"/>
                      <w:sz w:val="17"/>
                      <w:szCs w:val="17"/>
                    </w:rPr>
                    <w:t xml:space="preserve">    </w:t>
                  </w:r>
                  <w:r>
                    <w:rPr>
                      <w:rFonts w:ascii="Times New Roman" w:hAnsi="Times New Roman" w:eastAsia="Times New Roman" w:cs="Times New Roman"/>
                      <w:spacing w:val="2"/>
                      <w:sz w:val="17"/>
                      <w:szCs w:val="17"/>
                    </w:rPr>
                    <w:t>888</w:t>
                  </w:r>
                  <w:r>
                    <w:rPr>
                      <w:rFonts w:ascii="Times New Roman" w:hAnsi="Times New Roman" w:eastAsia="Times New Roman" w:cs="Times New Roman"/>
                      <w:sz w:val="17"/>
                      <w:szCs w:val="17"/>
                    </w:rPr>
                    <w:t>km</w:t>
                  </w:r>
                  <w:r>
                    <w:rPr>
                      <w:rFonts w:ascii="Times New Roman" w:hAnsi="Times New Roman" w:eastAsia="Times New Roman" w:cs="Times New Roman"/>
                      <w:spacing w:val="2"/>
                      <w:position w:val="5"/>
                      <w:sz w:val="11"/>
                      <w:szCs w:val="11"/>
                    </w:rPr>
                    <w:t xml:space="preserve">2 </w:t>
                  </w:r>
                  <w:r>
                    <w:rPr>
                      <w:rFonts w:ascii="宋体" w:hAnsi="宋体" w:eastAsia="宋体" w:cs="宋体"/>
                      <w:spacing w:val="2"/>
                      <w:sz w:val="17"/>
                      <w:szCs w:val="17"/>
                    </w:rPr>
                    <w:t>。通川区</w:t>
                  </w:r>
                  <w:r>
                    <w:rPr>
                      <w:rFonts w:ascii="宋体" w:hAnsi="宋体" w:eastAsia="宋体" w:cs="宋体"/>
                      <w:sz w:val="17"/>
                      <w:szCs w:val="17"/>
                    </w:rPr>
                    <w:t xml:space="preserve"> </w:t>
                  </w:r>
                  <w:r>
                    <w:rPr>
                      <w:rFonts w:ascii="宋体" w:hAnsi="宋体" w:eastAsia="宋体" w:cs="宋体"/>
                      <w:spacing w:val="13"/>
                      <w:sz w:val="17"/>
                      <w:szCs w:val="17"/>
                    </w:rPr>
                    <w:t>辖</w:t>
                  </w:r>
                  <w:r>
                    <w:rPr>
                      <w:rFonts w:ascii="宋体" w:hAnsi="宋体" w:eastAsia="宋体" w:cs="宋体"/>
                      <w:spacing w:val="9"/>
                      <w:sz w:val="17"/>
                      <w:szCs w:val="17"/>
                    </w:rPr>
                    <w:t>东城、西城、</w:t>
                  </w:r>
                  <w:r>
                    <w:rPr>
                      <w:rFonts w:ascii="宋体" w:hAnsi="宋体" w:eastAsia="宋体" w:cs="宋体"/>
                      <w:sz w:val="17"/>
                      <w:szCs w:val="17"/>
                    </w:rPr>
                    <w:t xml:space="preserve"> </w:t>
                  </w:r>
                  <w:r>
                    <w:rPr>
                      <w:rFonts w:ascii="宋体" w:hAnsi="宋体" w:eastAsia="宋体" w:cs="宋体"/>
                      <w:spacing w:val="11"/>
                      <w:sz w:val="17"/>
                      <w:szCs w:val="17"/>
                    </w:rPr>
                    <w:t>朝</w:t>
                  </w:r>
                  <w:r>
                    <w:rPr>
                      <w:rFonts w:ascii="宋体" w:hAnsi="宋体" w:eastAsia="宋体" w:cs="宋体"/>
                      <w:spacing w:val="7"/>
                      <w:sz w:val="17"/>
                      <w:szCs w:val="17"/>
                    </w:rPr>
                    <w:t>阳、凤西、凤</w:t>
                  </w:r>
                  <w:r>
                    <w:rPr>
                      <w:rFonts w:ascii="宋体" w:hAnsi="宋体" w:eastAsia="宋体" w:cs="宋体"/>
                      <w:sz w:val="17"/>
                      <w:szCs w:val="17"/>
                    </w:rPr>
                    <w:t xml:space="preserve"> </w:t>
                  </w:r>
                  <w:r>
                    <w:rPr>
                      <w:rFonts w:ascii="宋体" w:hAnsi="宋体" w:eastAsia="宋体" w:cs="宋体"/>
                      <w:spacing w:val="2"/>
                      <w:sz w:val="17"/>
                      <w:szCs w:val="17"/>
                    </w:rPr>
                    <w:t>北</w:t>
                  </w:r>
                  <w:r>
                    <w:rPr>
                      <w:rFonts w:ascii="宋体" w:hAnsi="宋体" w:eastAsia="宋体" w:cs="宋体"/>
                      <w:spacing w:val="1"/>
                      <w:sz w:val="17"/>
                      <w:szCs w:val="17"/>
                    </w:rPr>
                    <w:t xml:space="preserve"> </w:t>
                  </w:r>
                  <w:r>
                    <w:rPr>
                      <w:rFonts w:ascii="Times New Roman" w:hAnsi="Times New Roman" w:eastAsia="Times New Roman" w:cs="Times New Roman"/>
                      <w:spacing w:val="1"/>
                      <w:sz w:val="17"/>
                      <w:szCs w:val="17"/>
                    </w:rPr>
                    <w:t xml:space="preserve">5 </w:t>
                  </w:r>
                  <w:r>
                    <w:rPr>
                      <w:rFonts w:ascii="宋体" w:hAnsi="宋体" w:eastAsia="宋体" w:cs="宋体"/>
                      <w:spacing w:val="1"/>
                      <w:sz w:val="17"/>
                      <w:szCs w:val="17"/>
                    </w:rPr>
                    <w:t>个街道，莲</w:t>
                  </w:r>
                  <w:r>
                    <w:rPr>
                      <w:rFonts w:ascii="宋体" w:hAnsi="宋体" w:eastAsia="宋体" w:cs="宋体"/>
                      <w:sz w:val="17"/>
                      <w:szCs w:val="17"/>
                    </w:rPr>
                    <w:t xml:space="preserve"> </w:t>
                  </w:r>
                  <w:r>
                    <w:rPr>
                      <w:rFonts w:ascii="宋体" w:hAnsi="宋体" w:eastAsia="宋体" w:cs="宋体"/>
                      <w:spacing w:val="11"/>
                      <w:sz w:val="17"/>
                      <w:szCs w:val="17"/>
                    </w:rPr>
                    <w:t>花</w:t>
                  </w:r>
                  <w:r>
                    <w:rPr>
                      <w:rFonts w:ascii="宋体" w:hAnsi="宋体" w:eastAsia="宋体" w:cs="宋体"/>
                      <w:spacing w:val="7"/>
                      <w:sz w:val="17"/>
                      <w:szCs w:val="17"/>
                    </w:rPr>
                    <w:t>湖管委会，复</w:t>
                  </w:r>
                  <w:r>
                    <w:rPr>
                      <w:rFonts w:ascii="宋体" w:hAnsi="宋体" w:eastAsia="宋体" w:cs="宋体"/>
                      <w:sz w:val="17"/>
                      <w:szCs w:val="17"/>
                    </w:rPr>
                    <w:t xml:space="preserve"> </w:t>
                  </w:r>
                  <w:r>
                    <w:rPr>
                      <w:rFonts w:ascii="宋体" w:hAnsi="宋体" w:eastAsia="宋体" w:cs="宋体"/>
                      <w:spacing w:val="-6"/>
                      <w:sz w:val="17"/>
                      <w:szCs w:val="17"/>
                    </w:rPr>
                    <w:t>兴、</w:t>
                  </w:r>
                  <w:r>
                    <w:rPr>
                      <w:rFonts w:ascii="宋体" w:hAnsi="宋体" w:eastAsia="宋体" w:cs="宋体"/>
                      <w:spacing w:val="-4"/>
                      <w:sz w:val="17"/>
                      <w:szCs w:val="17"/>
                    </w:rPr>
                    <w:t>罗</w:t>
                  </w:r>
                  <w:r>
                    <w:rPr>
                      <w:rFonts w:ascii="宋体" w:hAnsi="宋体" w:eastAsia="宋体" w:cs="宋体"/>
                      <w:spacing w:val="-3"/>
                      <w:sz w:val="17"/>
                      <w:szCs w:val="17"/>
                    </w:rPr>
                    <w:t>江、蒲家、</w:t>
                  </w:r>
                  <w:r>
                    <w:rPr>
                      <w:rFonts w:ascii="宋体" w:hAnsi="宋体" w:eastAsia="宋体" w:cs="宋体"/>
                      <w:sz w:val="17"/>
                      <w:szCs w:val="17"/>
                    </w:rPr>
                    <w:t xml:space="preserve"> </w:t>
                  </w:r>
                  <w:r>
                    <w:rPr>
                      <w:rFonts w:ascii="宋体" w:hAnsi="宋体" w:eastAsia="宋体" w:cs="宋体"/>
                      <w:spacing w:val="11"/>
                      <w:sz w:val="17"/>
                      <w:szCs w:val="17"/>
                    </w:rPr>
                    <w:t>双</w:t>
                  </w:r>
                  <w:r>
                    <w:rPr>
                      <w:rFonts w:ascii="宋体" w:hAnsi="宋体" w:eastAsia="宋体" w:cs="宋体"/>
                      <w:spacing w:val="7"/>
                      <w:sz w:val="17"/>
                      <w:szCs w:val="17"/>
                    </w:rPr>
                    <w:t>龙、碑庙、江</w:t>
                  </w:r>
                  <w:r>
                    <w:rPr>
                      <w:rFonts w:ascii="宋体" w:hAnsi="宋体" w:eastAsia="宋体" w:cs="宋体"/>
                      <w:sz w:val="17"/>
                      <w:szCs w:val="17"/>
                    </w:rPr>
                    <w:t xml:space="preserve"> </w:t>
                  </w:r>
                  <w:r>
                    <w:rPr>
                      <w:rFonts w:ascii="宋体" w:hAnsi="宋体" w:eastAsia="宋体" w:cs="宋体"/>
                      <w:spacing w:val="-6"/>
                      <w:sz w:val="17"/>
                      <w:szCs w:val="17"/>
                    </w:rPr>
                    <w:t>陵、</w:t>
                  </w:r>
                  <w:r>
                    <w:rPr>
                      <w:rFonts w:ascii="宋体" w:hAnsi="宋体" w:eastAsia="宋体" w:cs="宋体"/>
                      <w:spacing w:val="-4"/>
                      <w:sz w:val="17"/>
                      <w:szCs w:val="17"/>
                    </w:rPr>
                    <w:t>东</w:t>
                  </w:r>
                  <w:r>
                    <w:rPr>
                      <w:rFonts w:ascii="宋体" w:hAnsi="宋体" w:eastAsia="宋体" w:cs="宋体"/>
                      <w:spacing w:val="-3"/>
                      <w:sz w:val="17"/>
                      <w:szCs w:val="17"/>
                    </w:rPr>
                    <w:t>岳、磐石、</w:t>
                  </w:r>
                  <w:r>
                    <w:rPr>
                      <w:rFonts w:ascii="宋体" w:hAnsi="宋体" w:eastAsia="宋体" w:cs="宋体"/>
                      <w:sz w:val="17"/>
                      <w:szCs w:val="17"/>
                    </w:rPr>
                    <w:t xml:space="preserve"> </w:t>
                  </w:r>
                  <w:r>
                    <w:rPr>
                      <w:rFonts w:ascii="宋体" w:hAnsi="宋体" w:eastAsia="宋体" w:cs="宋体"/>
                      <w:spacing w:val="11"/>
                      <w:sz w:val="17"/>
                      <w:szCs w:val="17"/>
                    </w:rPr>
                    <w:t>梓</w:t>
                  </w:r>
                  <w:r>
                    <w:rPr>
                      <w:rFonts w:ascii="宋体" w:hAnsi="宋体" w:eastAsia="宋体" w:cs="宋体"/>
                      <w:spacing w:val="7"/>
                      <w:sz w:val="17"/>
                      <w:szCs w:val="17"/>
                    </w:rPr>
                    <w:t>桐、北山、金</w:t>
                  </w:r>
                  <w:r>
                    <w:rPr>
                      <w:rFonts w:ascii="宋体" w:hAnsi="宋体" w:eastAsia="宋体" w:cs="宋体"/>
                      <w:sz w:val="17"/>
                      <w:szCs w:val="17"/>
                    </w:rPr>
                    <w:t xml:space="preserve"> </w:t>
                  </w:r>
                  <w:r>
                    <w:rPr>
                      <w:rFonts w:ascii="宋体" w:hAnsi="宋体" w:eastAsia="宋体" w:cs="宋体"/>
                      <w:spacing w:val="-8"/>
                      <w:sz w:val="17"/>
                      <w:szCs w:val="17"/>
                    </w:rPr>
                    <w:t>石</w:t>
                  </w:r>
                  <w:r>
                    <w:rPr>
                      <w:rFonts w:ascii="宋体" w:hAnsi="宋体" w:eastAsia="宋体" w:cs="宋体"/>
                      <w:spacing w:val="-7"/>
                      <w:sz w:val="17"/>
                      <w:szCs w:val="17"/>
                    </w:rPr>
                    <w:t>等</w:t>
                  </w:r>
                  <w:r>
                    <w:rPr>
                      <w:rFonts w:ascii="宋体" w:hAnsi="宋体" w:eastAsia="宋体" w:cs="宋体"/>
                      <w:spacing w:val="-4"/>
                      <w:sz w:val="17"/>
                      <w:szCs w:val="17"/>
                    </w:rPr>
                    <w:t xml:space="preserve"> </w:t>
                  </w:r>
                  <w:r>
                    <w:rPr>
                      <w:rFonts w:ascii="Times New Roman" w:hAnsi="Times New Roman" w:eastAsia="Times New Roman" w:cs="Times New Roman"/>
                      <w:spacing w:val="-4"/>
                      <w:sz w:val="17"/>
                      <w:szCs w:val="17"/>
                    </w:rPr>
                    <w:t xml:space="preserve">11 </w:t>
                  </w:r>
                  <w:r>
                    <w:rPr>
                      <w:rFonts w:ascii="宋体" w:hAnsi="宋体" w:eastAsia="宋体" w:cs="宋体"/>
                      <w:spacing w:val="-4"/>
                      <w:sz w:val="17"/>
                      <w:szCs w:val="17"/>
                    </w:rPr>
                    <w:t>个镇，安</w:t>
                  </w:r>
                  <w:r>
                    <w:rPr>
                      <w:rFonts w:ascii="宋体" w:hAnsi="宋体" w:eastAsia="宋体" w:cs="宋体"/>
                      <w:sz w:val="17"/>
                      <w:szCs w:val="17"/>
                    </w:rPr>
                    <w:t xml:space="preserve"> </w:t>
                  </w:r>
                  <w:r>
                    <w:rPr>
                      <w:rFonts w:ascii="宋体" w:hAnsi="宋体" w:eastAsia="宋体" w:cs="宋体"/>
                      <w:spacing w:val="2"/>
                      <w:sz w:val="17"/>
                      <w:szCs w:val="17"/>
                    </w:rPr>
                    <w:t>云</w:t>
                  </w:r>
                  <w:r>
                    <w:rPr>
                      <w:rFonts w:ascii="宋体" w:hAnsi="宋体" w:eastAsia="宋体" w:cs="宋体"/>
                      <w:spacing w:val="1"/>
                      <w:sz w:val="17"/>
                      <w:szCs w:val="17"/>
                    </w:rPr>
                    <w:t xml:space="preserve">、青宁等 </w:t>
                  </w:r>
                  <w:r>
                    <w:rPr>
                      <w:rFonts w:ascii="Times New Roman" w:hAnsi="Times New Roman" w:eastAsia="Times New Roman" w:cs="Times New Roman"/>
                      <w:spacing w:val="1"/>
                      <w:sz w:val="17"/>
                      <w:szCs w:val="17"/>
                    </w:rPr>
                    <w:t xml:space="preserve">2 </w:t>
                  </w:r>
                  <w:r>
                    <w:rPr>
                      <w:rFonts w:ascii="宋体" w:hAnsi="宋体" w:eastAsia="宋体" w:cs="宋体"/>
                      <w:spacing w:val="1"/>
                      <w:sz w:val="17"/>
                      <w:szCs w:val="17"/>
                    </w:rPr>
                    <w:t>个</w:t>
                  </w:r>
                  <w:r>
                    <w:rPr>
                      <w:rFonts w:ascii="宋体" w:hAnsi="宋体" w:eastAsia="宋体" w:cs="宋体"/>
                      <w:sz w:val="17"/>
                      <w:szCs w:val="17"/>
                    </w:rPr>
                    <w:t xml:space="preserve"> </w:t>
                  </w:r>
                  <w:r>
                    <w:rPr>
                      <w:rFonts w:ascii="宋体" w:hAnsi="宋体" w:eastAsia="宋体" w:cs="宋体"/>
                      <w:spacing w:val="-8"/>
                      <w:sz w:val="17"/>
                      <w:szCs w:val="17"/>
                    </w:rPr>
                    <w:t>乡</w:t>
                  </w:r>
                  <w:r>
                    <w:rPr>
                      <w:rFonts w:ascii="宋体" w:hAnsi="宋体" w:eastAsia="宋体" w:cs="宋体"/>
                      <w:spacing w:val="-7"/>
                      <w:sz w:val="17"/>
                      <w:szCs w:val="17"/>
                    </w:rPr>
                    <w:t>，</w:t>
                  </w:r>
                  <w:r>
                    <w:rPr>
                      <w:rFonts w:ascii="宋体" w:hAnsi="宋体" w:eastAsia="宋体" w:cs="宋体"/>
                      <w:spacing w:val="-4"/>
                      <w:sz w:val="17"/>
                      <w:szCs w:val="17"/>
                    </w:rPr>
                    <w:t xml:space="preserve">共 </w:t>
                  </w:r>
                  <w:r>
                    <w:rPr>
                      <w:rFonts w:ascii="Times New Roman" w:hAnsi="Times New Roman" w:eastAsia="Times New Roman" w:cs="Times New Roman"/>
                      <w:spacing w:val="-4"/>
                      <w:sz w:val="17"/>
                      <w:szCs w:val="17"/>
                    </w:rPr>
                    <w:t xml:space="preserve">18 </w:t>
                  </w:r>
                  <w:r>
                    <w:rPr>
                      <w:rFonts w:ascii="宋体" w:hAnsi="宋体" w:eastAsia="宋体" w:cs="宋体"/>
                      <w:spacing w:val="-4"/>
                      <w:sz w:val="17"/>
                      <w:szCs w:val="17"/>
                    </w:rPr>
                    <w:t>个乡镇</w:t>
                  </w:r>
                </w:p>
                <w:p>
                  <w:pPr>
                    <w:spacing w:before="1" w:line="231" w:lineRule="auto"/>
                    <w:ind w:left="327"/>
                    <w:rPr>
                      <w:rFonts w:ascii="宋体" w:hAnsi="宋体" w:eastAsia="宋体" w:cs="宋体"/>
                      <w:sz w:val="17"/>
                      <w:szCs w:val="17"/>
                    </w:rPr>
                  </w:pPr>
                  <w:r>
                    <w:rPr>
                      <w:rFonts w:ascii="宋体" w:hAnsi="宋体" w:eastAsia="宋体" w:cs="宋体"/>
                      <w:spacing w:val="5"/>
                      <w:sz w:val="17"/>
                      <w:szCs w:val="17"/>
                    </w:rPr>
                    <w:t>级政区。</w:t>
                  </w:r>
                </w:p>
              </w:tc>
              <w:tc>
                <w:tcPr>
                  <w:tcW w:w="1371" w:type="dxa"/>
                  <w:vAlign w:val="top"/>
                </w:tcPr>
                <w:p>
                  <w:pPr>
                    <w:spacing w:before="71" w:line="304" w:lineRule="auto"/>
                    <w:ind w:left="29" w:right="51" w:firstLine="79"/>
                    <w:rPr>
                      <w:rFonts w:ascii="宋体" w:hAnsi="宋体" w:eastAsia="宋体" w:cs="宋体"/>
                      <w:sz w:val="17"/>
                      <w:szCs w:val="17"/>
                    </w:rPr>
                  </w:pPr>
                  <w:r>
                    <w:rPr>
                      <w:rFonts w:ascii="宋体" w:hAnsi="宋体" w:eastAsia="宋体" w:cs="宋体"/>
                      <w:spacing w:val="8"/>
                      <w:sz w:val="17"/>
                      <w:szCs w:val="17"/>
                    </w:rPr>
                    <w:t>通川以</w:t>
                  </w:r>
                  <w:r>
                    <w:rPr>
                      <w:rFonts w:ascii="Times New Roman" w:hAnsi="Times New Roman" w:eastAsia="Times New Roman" w:cs="Times New Roman"/>
                      <w:spacing w:val="8"/>
                      <w:sz w:val="17"/>
                      <w:szCs w:val="17"/>
                    </w:rPr>
                    <w:t>“</w:t>
                  </w:r>
                  <w:r>
                    <w:rPr>
                      <w:rFonts w:ascii="宋体" w:hAnsi="宋体" w:eastAsia="宋体" w:cs="宋体"/>
                      <w:spacing w:val="8"/>
                      <w:sz w:val="17"/>
                      <w:szCs w:val="17"/>
                    </w:rPr>
                    <w:t>一轴两</w:t>
                  </w:r>
                  <w:r>
                    <w:rPr>
                      <w:rFonts w:ascii="宋体" w:hAnsi="宋体" w:eastAsia="宋体" w:cs="宋体"/>
                      <w:sz w:val="17"/>
                      <w:szCs w:val="17"/>
                    </w:rPr>
                    <w:t xml:space="preserve"> </w:t>
                  </w:r>
                  <w:r>
                    <w:rPr>
                      <w:rFonts w:ascii="宋体" w:hAnsi="宋体" w:eastAsia="宋体" w:cs="宋体"/>
                      <w:spacing w:val="4"/>
                      <w:sz w:val="17"/>
                      <w:szCs w:val="17"/>
                    </w:rPr>
                    <w:t>翼</w:t>
                  </w:r>
                  <w:r>
                    <w:rPr>
                      <w:rFonts w:ascii="宋体" w:hAnsi="宋体" w:eastAsia="宋体" w:cs="宋体"/>
                      <w:spacing w:val="3"/>
                      <w:sz w:val="17"/>
                      <w:szCs w:val="17"/>
                    </w:rPr>
                    <w:t>七</w:t>
                  </w:r>
                  <w:r>
                    <w:rPr>
                      <w:rFonts w:ascii="宋体" w:hAnsi="宋体" w:eastAsia="宋体" w:cs="宋体"/>
                      <w:spacing w:val="2"/>
                      <w:sz w:val="17"/>
                      <w:szCs w:val="17"/>
                    </w:rPr>
                    <w:t>支点</w:t>
                  </w:r>
                  <w:r>
                    <w:rPr>
                      <w:rFonts w:ascii="Times New Roman" w:hAnsi="Times New Roman" w:eastAsia="Times New Roman" w:cs="Times New Roman"/>
                      <w:spacing w:val="2"/>
                      <w:sz w:val="17"/>
                      <w:szCs w:val="17"/>
                    </w:rPr>
                    <w:t>”</w:t>
                  </w:r>
                  <w:r>
                    <w:rPr>
                      <w:rFonts w:ascii="宋体" w:hAnsi="宋体" w:eastAsia="宋体" w:cs="宋体"/>
                      <w:spacing w:val="2"/>
                      <w:sz w:val="17"/>
                      <w:szCs w:val="17"/>
                    </w:rPr>
                    <w:t>为媒，</w:t>
                  </w:r>
                </w:p>
                <w:p>
                  <w:pPr>
                    <w:spacing w:line="230" w:lineRule="auto"/>
                    <w:ind w:left="30"/>
                    <w:rPr>
                      <w:rFonts w:ascii="宋体" w:hAnsi="宋体" w:eastAsia="宋体" w:cs="宋体"/>
                      <w:sz w:val="17"/>
                      <w:szCs w:val="17"/>
                    </w:rPr>
                  </w:pPr>
                  <w:r>
                    <w:rPr>
                      <w:rFonts w:ascii="宋体" w:hAnsi="宋体" w:eastAsia="宋体" w:cs="宋体"/>
                      <w:spacing w:val="-1"/>
                      <w:sz w:val="17"/>
                      <w:szCs w:val="17"/>
                    </w:rPr>
                    <w:t xml:space="preserve">坚持 </w:t>
                  </w:r>
                  <w:r>
                    <w:rPr>
                      <w:rFonts w:ascii="Times New Roman" w:hAnsi="Times New Roman" w:eastAsia="Times New Roman" w:cs="Times New Roman"/>
                      <w:sz w:val="17"/>
                      <w:szCs w:val="17"/>
                    </w:rPr>
                    <w:t xml:space="preserve">2035 </w:t>
                  </w:r>
                  <w:r>
                    <w:rPr>
                      <w:rFonts w:ascii="宋体" w:hAnsi="宋体" w:eastAsia="宋体" w:cs="宋体"/>
                      <w:sz w:val="17"/>
                      <w:szCs w:val="17"/>
                    </w:rPr>
                    <w:t>年城市</w:t>
                  </w:r>
                </w:p>
                <w:p>
                  <w:pPr>
                    <w:spacing w:before="69" w:line="230" w:lineRule="auto"/>
                    <w:ind w:left="201"/>
                    <w:rPr>
                      <w:rFonts w:ascii="宋体" w:hAnsi="宋体" w:eastAsia="宋体" w:cs="宋体"/>
                      <w:sz w:val="17"/>
                      <w:szCs w:val="17"/>
                    </w:rPr>
                  </w:pPr>
                  <w:r>
                    <w:rPr>
                      <w:rFonts w:ascii="宋体" w:hAnsi="宋体" w:eastAsia="宋体" w:cs="宋体"/>
                      <w:spacing w:val="11"/>
                      <w:sz w:val="17"/>
                      <w:szCs w:val="17"/>
                    </w:rPr>
                    <w:t>规</w:t>
                  </w:r>
                  <w:r>
                    <w:rPr>
                      <w:rFonts w:ascii="宋体" w:hAnsi="宋体" w:eastAsia="宋体" w:cs="宋体"/>
                      <w:spacing w:val="7"/>
                      <w:sz w:val="17"/>
                      <w:szCs w:val="17"/>
                    </w:rPr>
                    <w:t>模</w:t>
                  </w:r>
                  <w:r>
                    <w:rPr>
                      <w:rFonts w:ascii="Times New Roman" w:hAnsi="Times New Roman" w:eastAsia="Times New Roman" w:cs="Times New Roman"/>
                      <w:spacing w:val="7"/>
                      <w:sz w:val="17"/>
                      <w:szCs w:val="17"/>
                    </w:rPr>
                    <w:t>“</w:t>
                  </w:r>
                  <w:r>
                    <w:rPr>
                      <w:rFonts w:ascii="宋体" w:hAnsi="宋体" w:eastAsia="宋体" w:cs="宋体"/>
                      <w:spacing w:val="7"/>
                      <w:sz w:val="17"/>
                      <w:szCs w:val="17"/>
                    </w:rPr>
                    <w:t>建设双</w:t>
                  </w:r>
                </w:p>
                <w:p>
                  <w:pPr>
                    <w:spacing w:before="66" w:line="230" w:lineRule="auto"/>
                    <w:ind w:left="168"/>
                    <w:rPr>
                      <w:rFonts w:ascii="宋体" w:hAnsi="宋体" w:eastAsia="宋体" w:cs="宋体"/>
                      <w:sz w:val="17"/>
                      <w:szCs w:val="17"/>
                    </w:rPr>
                  </w:pPr>
                  <w:r>
                    <w:rPr>
                      <w:rFonts w:ascii="Times New Roman" w:hAnsi="Times New Roman" w:eastAsia="Times New Roman" w:cs="Times New Roman"/>
                      <w:spacing w:val="8"/>
                      <w:sz w:val="17"/>
                      <w:szCs w:val="17"/>
                    </w:rPr>
                    <w:t>1</w:t>
                  </w:r>
                  <w:r>
                    <w:rPr>
                      <w:rFonts w:ascii="Times New Roman" w:hAnsi="Times New Roman" w:eastAsia="Times New Roman" w:cs="Times New Roman"/>
                      <w:spacing w:val="4"/>
                      <w:sz w:val="17"/>
                      <w:szCs w:val="17"/>
                    </w:rPr>
                    <w:t>60”</w:t>
                  </w:r>
                  <w:r>
                    <w:rPr>
                      <w:rFonts w:ascii="宋体" w:hAnsi="宋体" w:eastAsia="宋体" w:cs="宋体"/>
                      <w:spacing w:val="4"/>
                      <w:sz w:val="17"/>
                      <w:szCs w:val="17"/>
                    </w:rPr>
                    <w:t>的发展任</w:t>
                  </w:r>
                </w:p>
                <w:p>
                  <w:pPr>
                    <w:spacing w:before="69" w:line="230" w:lineRule="auto"/>
                    <w:ind w:left="60"/>
                    <w:rPr>
                      <w:rFonts w:ascii="宋体" w:hAnsi="宋体" w:eastAsia="宋体" w:cs="宋体"/>
                      <w:sz w:val="17"/>
                      <w:szCs w:val="17"/>
                    </w:rPr>
                  </w:pPr>
                  <w:r>
                    <w:rPr>
                      <w:rFonts w:ascii="宋体" w:hAnsi="宋体" w:eastAsia="宋体" w:cs="宋体"/>
                      <w:spacing w:val="13"/>
                      <w:sz w:val="17"/>
                      <w:szCs w:val="17"/>
                    </w:rPr>
                    <w:t>务</w:t>
                  </w:r>
                  <w:r>
                    <w:rPr>
                      <w:rFonts w:ascii="宋体" w:hAnsi="宋体" w:eastAsia="宋体" w:cs="宋体"/>
                      <w:spacing w:val="8"/>
                      <w:sz w:val="17"/>
                      <w:szCs w:val="17"/>
                    </w:rPr>
                    <w:t>，利用工业集</w:t>
                  </w:r>
                </w:p>
                <w:p>
                  <w:pPr>
                    <w:spacing w:before="69" w:line="230" w:lineRule="auto"/>
                    <w:ind w:left="75"/>
                    <w:rPr>
                      <w:rFonts w:ascii="宋体" w:hAnsi="宋体" w:eastAsia="宋体" w:cs="宋体"/>
                      <w:sz w:val="17"/>
                      <w:szCs w:val="17"/>
                    </w:rPr>
                  </w:pPr>
                  <w:r>
                    <w:rPr>
                      <w:rFonts w:ascii="宋体" w:hAnsi="宋体" w:eastAsia="宋体" w:cs="宋体"/>
                      <w:spacing w:val="10"/>
                      <w:sz w:val="17"/>
                      <w:szCs w:val="17"/>
                    </w:rPr>
                    <w:t>中</w:t>
                  </w:r>
                  <w:r>
                    <w:rPr>
                      <w:rFonts w:ascii="宋体" w:hAnsi="宋体" w:eastAsia="宋体" w:cs="宋体"/>
                      <w:spacing w:val="6"/>
                      <w:sz w:val="17"/>
                      <w:szCs w:val="17"/>
                    </w:rPr>
                    <w:t>区升格为省级</w:t>
                  </w:r>
                </w:p>
                <w:p>
                  <w:pPr>
                    <w:spacing w:before="66" w:line="230" w:lineRule="auto"/>
                    <w:ind w:left="60"/>
                    <w:rPr>
                      <w:rFonts w:ascii="宋体" w:hAnsi="宋体" w:eastAsia="宋体" w:cs="宋体"/>
                      <w:sz w:val="17"/>
                      <w:szCs w:val="17"/>
                    </w:rPr>
                  </w:pPr>
                  <w:r>
                    <w:rPr>
                      <w:rFonts w:ascii="宋体" w:hAnsi="宋体" w:eastAsia="宋体" w:cs="宋体"/>
                      <w:spacing w:val="13"/>
                      <w:sz w:val="17"/>
                      <w:szCs w:val="17"/>
                    </w:rPr>
                    <w:t>经</w:t>
                  </w:r>
                  <w:r>
                    <w:rPr>
                      <w:rFonts w:ascii="宋体" w:hAnsi="宋体" w:eastAsia="宋体" w:cs="宋体"/>
                      <w:spacing w:val="8"/>
                      <w:sz w:val="17"/>
                      <w:szCs w:val="17"/>
                    </w:rPr>
                    <w:t>开区的重大契</w:t>
                  </w:r>
                </w:p>
                <w:p>
                  <w:pPr>
                    <w:spacing w:before="69" w:line="229" w:lineRule="auto"/>
                    <w:ind w:left="26"/>
                    <w:rPr>
                      <w:rFonts w:ascii="宋体" w:hAnsi="宋体" w:eastAsia="宋体" w:cs="宋体"/>
                      <w:sz w:val="17"/>
                      <w:szCs w:val="17"/>
                    </w:rPr>
                  </w:pPr>
                  <w:r>
                    <w:rPr>
                      <w:rFonts w:ascii="宋体" w:hAnsi="宋体" w:eastAsia="宋体" w:cs="宋体"/>
                      <w:spacing w:val="11"/>
                      <w:sz w:val="17"/>
                      <w:szCs w:val="17"/>
                    </w:rPr>
                    <w:t>机</w:t>
                  </w:r>
                  <w:r>
                    <w:rPr>
                      <w:rFonts w:ascii="宋体" w:hAnsi="宋体" w:eastAsia="宋体" w:cs="宋体"/>
                      <w:spacing w:val="6"/>
                      <w:sz w:val="17"/>
                      <w:szCs w:val="17"/>
                    </w:rPr>
                    <w:t>，着力构建</w:t>
                  </w:r>
                  <w:r>
                    <w:rPr>
                      <w:rFonts w:ascii="Times New Roman" w:hAnsi="Times New Roman" w:eastAsia="Times New Roman" w:cs="Times New Roman"/>
                      <w:spacing w:val="6"/>
                      <w:sz w:val="17"/>
                      <w:szCs w:val="17"/>
                    </w:rPr>
                    <w:t>“</w:t>
                  </w:r>
                  <w:r>
                    <w:rPr>
                      <w:rFonts w:ascii="宋体" w:hAnsi="宋体" w:eastAsia="宋体" w:cs="宋体"/>
                      <w:spacing w:val="6"/>
                      <w:sz w:val="17"/>
                      <w:szCs w:val="17"/>
                    </w:rPr>
                    <w:t>一</w:t>
                  </w:r>
                </w:p>
                <w:p>
                  <w:pPr>
                    <w:spacing w:before="69" w:line="232" w:lineRule="auto"/>
                    <w:ind w:left="122"/>
                    <w:rPr>
                      <w:rFonts w:ascii="Times New Roman" w:hAnsi="Times New Roman" w:eastAsia="Times New Roman" w:cs="Times New Roman"/>
                      <w:sz w:val="17"/>
                      <w:szCs w:val="17"/>
                    </w:rPr>
                  </w:pPr>
                  <w:r>
                    <w:rPr>
                      <w:rFonts w:ascii="宋体" w:hAnsi="宋体" w:eastAsia="宋体" w:cs="宋体"/>
                      <w:spacing w:val="15"/>
                      <w:sz w:val="17"/>
                      <w:szCs w:val="17"/>
                    </w:rPr>
                    <w:t>区</w:t>
                  </w:r>
                  <w:r>
                    <w:rPr>
                      <w:rFonts w:ascii="宋体" w:hAnsi="宋体" w:eastAsia="宋体" w:cs="宋体"/>
                      <w:spacing w:val="11"/>
                      <w:sz w:val="17"/>
                      <w:szCs w:val="17"/>
                    </w:rPr>
                    <w:t>六园一基地</w:t>
                  </w:r>
                  <w:r>
                    <w:rPr>
                      <w:rFonts w:ascii="Times New Roman" w:hAnsi="Times New Roman" w:eastAsia="Times New Roman" w:cs="Times New Roman"/>
                      <w:spacing w:val="11"/>
                      <w:sz w:val="17"/>
                      <w:szCs w:val="17"/>
                    </w:rPr>
                    <w:t>”</w:t>
                  </w:r>
                </w:p>
                <w:p>
                  <w:pPr>
                    <w:spacing w:before="67" w:line="304" w:lineRule="auto"/>
                    <w:ind w:left="58" w:right="54"/>
                    <w:rPr>
                      <w:rFonts w:ascii="宋体" w:hAnsi="宋体" w:eastAsia="宋体" w:cs="宋体"/>
                      <w:sz w:val="17"/>
                      <w:szCs w:val="17"/>
                    </w:rPr>
                  </w:pPr>
                  <w:r>
                    <w:rPr>
                      <w:rFonts w:ascii="宋体" w:hAnsi="宋体" w:eastAsia="宋体" w:cs="宋体"/>
                      <w:spacing w:val="9"/>
                      <w:sz w:val="17"/>
                      <w:szCs w:val="17"/>
                    </w:rPr>
                    <w:t>产城融合发展</w:t>
                  </w:r>
                  <w:r>
                    <w:rPr>
                      <w:rFonts w:ascii="宋体" w:hAnsi="宋体" w:eastAsia="宋体" w:cs="宋体"/>
                      <w:spacing w:val="8"/>
                      <w:sz w:val="17"/>
                      <w:szCs w:val="17"/>
                    </w:rPr>
                    <w:t>模</w:t>
                  </w:r>
                  <w:r>
                    <w:rPr>
                      <w:rFonts w:ascii="宋体" w:hAnsi="宋体" w:eastAsia="宋体" w:cs="宋体"/>
                      <w:sz w:val="17"/>
                      <w:szCs w:val="17"/>
                    </w:rPr>
                    <w:t xml:space="preserve"> </w:t>
                  </w:r>
                  <w:r>
                    <w:rPr>
                      <w:rFonts w:ascii="宋体" w:hAnsi="宋体" w:eastAsia="宋体" w:cs="宋体"/>
                      <w:spacing w:val="9"/>
                      <w:sz w:val="17"/>
                      <w:szCs w:val="17"/>
                    </w:rPr>
                    <w:t>式，增强工业发</w:t>
                  </w:r>
                  <w:r>
                    <w:rPr>
                      <w:rFonts w:ascii="宋体" w:hAnsi="宋体" w:eastAsia="宋体" w:cs="宋体"/>
                      <w:sz w:val="17"/>
                      <w:szCs w:val="17"/>
                    </w:rPr>
                    <w:t xml:space="preserve"> </w:t>
                  </w:r>
                  <w:r>
                    <w:rPr>
                      <w:rFonts w:ascii="宋体" w:hAnsi="宋体" w:eastAsia="宋体" w:cs="宋体"/>
                      <w:spacing w:val="9"/>
                      <w:sz w:val="17"/>
                      <w:szCs w:val="17"/>
                    </w:rPr>
                    <w:t>展基础，创造产</w:t>
                  </w:r>
                  <w:r>
                    <w:rPr>
                      <w:rFonts w:ascii="宋体" w:hAnsi="宋体" w:eastAsia="宋体" w:cs="宋体"/>
                      <w:sz w:val="17"/>
                      <w:szCs w:val="17"/>
                    </w:rPr>
                    <w:t xml:space="preserve"> </w:t>
                  </w:r>
                  <w:r>
                    <w:rPr>
                      <w:rFonts w:ascii="宋体" w:hAnsi="宋体" w:eastAsia="宋体" w:cs="宋体"/>
                      <w:spacing w:val="9"/>
                      <w:sz w:val="17"/>
                      <w:szCs w:val="17"/>
                    </w:rPr>
                    <w:t>业发展新动力、</w:t>
                  </w:r>
                  <w:r>
                    <w:rPr>
                      <w:rFonts w:ascii="宋体" w:hAnsi="宋体" w:eastAsia="宋体" w:cs="宋体"/>
                      <w:sz w:val="17"/>
                      <w:szCs w:val="17"/>
                    </w:rPr>
                    <w:t xml:space="preserve"> </w:t>
                  </w:r>
                  <w:r>
                    <w:rPr>
                      <w:rFonts w:ascii="宋体" w:hAnsi="宋体" w:eastAsia="宋体" w:cs="宋体"/>
                      <w:spacing w:val="9"/>
                      <w:sz w:val="17"/>
                      <w:szCs w:val="17"/>
                    </w:rPr>
                    <w:t>新空间；突出打</w:t>
                  </w:r>
                  <w:r>
                    <w:rPr>
                      <w:rFonts w:ascii="宋体" w:hAnsi="宋体" w:eastAsia="宋体" w:cs="宋体"/>
                      <w:sz w:val="17"/>
                      <w:szCs w:val="17"/>
                    </w:rPr>
                    <w:t xml:space="preserve"> </w:t>
                  </w:r>
                  <w:r>
                    <w:rPr>
                      <w:rFonts w:ascii="宋体" w:hAnsi="宋体" w:eastAsia="宋体" w:cs="宋体"/>
                      <w:spacing w:val="9"/>
                      <w:sz w:val="17"/>
                      <w:szCs w:val="17"/>
                    </w:rPr>
                    <w:t>造柳家坝、明月</w:t>
                  </w:r>
                  <w:r>
                    <w:rPr>
                      <w:rFonts w:ascii="宋体" w:hAnsi="宋体" w:eastAsia="宋体" w:cs="宋体"/>
                      <w:sz w:val="17"/>
                      <w:szCs w:val="17"/>
                    </w:rPr>
                    <w:t xml:space="preserve"> </w:t>
                  </w:r>
                  <w:r>
                    <w:rPr>
                      <w:rFonts w:ascii="宋体" w:hAnsi="宋体" w:eastAsia="宋体" w:cs="宋体"/>
                      <w:spacing w:val="9"/>
                      <w:sz w:val="17"/>
                      <w:szCs w:val="17"/>
                    </w:rPr>
                    <w:t>江城市新区，持</w:t>
                  </w:r>
                  <w:r>
                    <w:rPr>
                      <w:rFonts w:ascii="宋体" w:hAnsi="宋体" w:eastAsia="宋体" w:cs="宋体"/>
                      <w:sz w:val="17"/>
                      <w:szCs w:val="17"/>
                    </w:rPr>
                    <w:t xml:space="preserve"> </w:t>
                  </w:r>
                  <w:r>
                    <w:rPr>
                      <w:rFonts w:ascii="宋体" w:hAnsi="宋体" w:eastAsia="宋体" w:cs="宋体"/>
                      <w:spacing w:val="9"/>
                      <w:sz w:val="17"/>
                      <w:szCs w:val="17"/>
                    </w:rPr>
                    <w:t>续增强城市发展</w:t>
                  </w:r>
                  <w:r>
                    <w:rPr>
                      <w:rFonts w:ascii="宋体" w:hAnsi="宋体" w:eastAsia="宋体" w:cs="宋体"/>
                      <w:sz w:val="17"/>
                      <w:szCs w:val="17"/>
                    </w:rPr>
                    <w:t xml:space="preserve"> </w:t>
                  </w:r>
                  <w:r>
                    <w:rPr>
                      <w:rFonts w:ascii="宋体" w:hAnsi="宋体" w:eastAsia="宋体" w:cs="宋体"/>
                      <w:spacing w:val="9"/>
                      <w:sz w:val="17"/>
                      <w:szCs w:val="17"/>
                    </w:rPr>
                    <w:t>品质及招商引资</w:t>
                  </w:r>
                  <w:r>
                    <w:rPr>
                      <w:rFonts w:ascii="宋体" w:hAnsi="宋体" w:eastAsia="宋体" w:cs="宋体"/>
                      <w:sz w:val="17"/>
                      <w:szCs w:val="17"/>
                    </w:rPr>
                    <w:t xml:space="preserve"> </w:t>
                  </w:r>
                  <w:r>
                    <w:rPr>
                      <w:rFonts w:ascii="宋体" w:hAnsi="宋体" w:eastAsia="宋体" w:cs="宋体"/>
                      <w:spacing w:val="9"/>
                      <w:sz w:val="17"/>
                      <w:szCs w:val="17"/>
                    </w:rPr>
                    <w:t>吸引力，助力达</w:t>
                  </w:r>
                </w:p>
                <w:p>
                  <w:pPr>
                    <w:spacing w:before="1" w:line="303" w:lineRule="auto"/>
                    <w:ind w:left="63" w:right="1" w:hanging="35"/>
                    <w:rPr>
                      <w:rFonts w:ascii="宋体" w:hAnsi="宋体" w:eastAsia="宋体" w:cs="宋体"/>
                      <w:sz w:val="17"/>
                      <w:szCs w:val="17"/>
                    </w:rPr>
                  </w:pPr>
                  <w:r>
                    <w:rPr>
                      <w:rFonts w:ascii="宋体" w:hAnsi="宋体" w:eastAsia="宋体" w:cs="宋体"/>
                      <w:spacing w:val="-1"/>
                      <w:sz w:val="17"/>
                      <w:szCs w:val="17"/>
                    </w:rPr>
                    <w:t>州</w:t>
                  </w:r>
                  <w:r>
                    <w:rPr>
                      <w:rFonts w:ascii="Times New Roman" w:hAnsi="Times New Roman" w:eastAsia="Times New Roman" w:cs="Times New Roman"/>
                      <w:spacing w:val="-1"/>
                      <w:sz w:val="17"/>
                      <w:szCs w:val="17"/>
                    </w:rPr>
                    <w:t>“</w:t>
                  </w:r>
                  <w:r>
                    <w:rPr>
                      <w:rFonts w:ascii="宋体" w:hAnsi="宋体" w:eastAsia="宋体" w:cs="宋体"/>
                      <w:spacing w:val="-1"/>
                      <w:sz w:val="17"/>
                      <w:szCs w:val="17"/>
                    </w:rPr>
                    <w:t>建设双</w:t>
                  </w:r>
                  <w:r>
                    <w:rPr>
                      <w:rFonts w:ascii="宋体" w:hAnsi="宋体" w:eastAsia="宋体" w:cs="宋体"/>
                      <w:sz w:val="17"/>
                      <w:szCs w:val="17"/>
                    </w:rPr>
                    <w:t xml:space="preserve"> </w:t>
                  </w:r>
                  <w:r>
                    <w:rPr>
                      <w:rFonts w:ascii="Times New Roman" w:hAnsi="Times New Roman" w:eastAsia="Times New Roman" w:cs="Times New Roman"/>
                      <w:sz w:val="17"/>
                      <w:szCs w:val="17"/>
                    </w:rPr>
                    <w:t>300”</w:t>
                  </w:r>
                  <w:r>
                    <w:rPr>
                      <w:rFonts w:ascii="宋体" w:hAnsi="宋体" w:eastAsia="宋体" w:cs="宋体"/>
                      <w:sz w:val="17"/>
                      <w:szCs w:val="17"/>
                    </w:rPr>
                    <w:t xml:space="preserve">、 </w:t>
                  </w:r>
                  <w:r>
                    <w:rPr>
                      <w:rFonts w:ascii="宋体" w:hAnsi="宋体" w:eastAsia="宋体" w:cs="宋体"/>
                      <w:spacing w:val="10"/>
                      <w:sz w:val="17"/>
                      <w:szCs w:val="17"/>
                    </w:rPr>
                    <w:t>川</w:t>
                  </w:r>
                  <w:r>
                    <w:rPr>
                      <w:rFonts w:ascii="宋体" w:hAnsi="宋体" w:eastAsia="宋体" w:cs="宋体"/>
                      <w:spacing w:val="8"/>
                      <w:sz w:val="17"/>
                      <w:szCs w:val="17"/>
                    </w:rPr>
                    <w:t>东北经济区及</w:t>
                  </w:r>
                </w:p>
                <w:p>
                  <w:pPr>
                    <w:spacing w:before="1" w:line="267" w:lineRule="auto"/>
                    <w:ind w:left="183" w:right="54" w:hanging="125"/>
                    <w:rPr>
                      <w:rFonts w:ascii="宋体" w:hAnsi="宋体" w:eastAsia="宋体" w:cs="宋体"/>
                      <w:sz w:val="17"/>
                      <w:szCs w:val="17"/>
                    </w:rPr>
                  </w:pPr>
                  <w:r>
                    <w:rPr>
                      <w:rFonts w:ascii="宋体" w:hAnsi="宋体" w:eastAsia="宋体" w:cs="宋体"/>
                      <w:spacing w:val="9"/>
                      <w:sz w:val="17"/>
                      <w:szCs w:val="17"/>
                    </w:rPr>
                    <w:t>全省经济副中</w:t>
                  </w:r>
                  <w:r>
                    <w:rPr>
                      <w:rFonts w:ascii="宋体" w:hAnsi="宋体" w:eastAsia="宋体" w:cs="宋体"/>
                      <w:spacing w:val="8"/>
                      <w:sz w:val="17"/>
                      <w:szCs w:val="17"/>
                    </w:rPr>
                    <w:t>心</w:t>
                  </w:r>
                  <w:r>
                    <w:rPr>
                      <w:rFonts w:ascii="宋体" w:hAnsi="宋体" w:eastAsia="宋体" w:cs="宋体"/>
                      <w:sz w:val="17"/>
                      <w:szCs w:val="17"/>
                    </w:rPr>
                    <w:t xml:space="preserve"> </w:t>
                  </w:r>
                  <w:r>
                    <w:rPr>
                      <w:rFonts w:ascii="宋体" w:hAnsi="宋体" w:eastAsia="宋体" w:cs="宋体"/>
                      <w:spacing w:val="2"/>
                      <w:sz w:val="17"/>
                      <w:szCs w:val="17"/>
                    </w:rPr>
                    <w:t>目标</w:t>
                  </w:r>
                  <w:r>
                    <w:rPr>
                      <w:rFonts w:ascii="宋体" w:hAnsi="宋体" w:eastAsia="宋体" w:cs="宋体"/>
                      <w:spacing w:val="1"/>
                      <w:sz w:val="17"/>
                      <w:szCs w:val="17"/>
                    </w:rPr>
                    <w:t>的实现。</w:t>
                  </w:r>
                </w:p>
              </w:tc>
              <w:tc>
                <w:tcPr>
                  <w:tcW w:w="2476" w:type="dxa"/>
                  <w:vAlign w:val="top"/>
                </w:tcPr>
                <w:p>
                  <w:pPr>
                    <w:spacing w:before="72" w:line="301" w:lineRule="auto"/>
                    <w:ind w:left="26" w:firstLine="17"/>
                    <w:rPr>
                      <w:rFonts w:ascii="宋体" w:hAnsi="宋体" w:eastAsia="宋体" w:cs="宋体"/>
                      <w:sz w:val="17"/>
                      <w:szCs w:val="17"/>
                    </w:rPr>
                  </w:pPr>
                  <w:r>
                    <w:rPr>
                      <w:rFonts w:ascii="Times New Roman" w:hAnsi="Times New Roman" w:eastAsia="Times New Roman" w:cs="Times New Roman"/>
                      <w:spacing w:val="-4"/>
                      <w:sz w:val="17"/>
                      <w:szCs w:val="17"/>
                    </w:rPr>
                    <w:t>1</w:t>
                  </w:r>
                  <w:r>
                    <w:rPr>
                      <w:rFonts w:ascii="宋体" w:hAnsi="宋体" w:eastAsia="宋体" w:cs="宋体"/>
                      <w:spacing w:val="-4"/>
                      <w:sz w:val="17"/>
                      <w:szCs w:val="17"/>
                    </w:rPr>
                    <w:t>、辖区</w:t>
                  </w:r>
                  <w:r>
                    <w:rPr>
                      <w:rFonts w:ascii="宋体" w:hAnsi="宋体" w:eastAsia="宋体" w:cs="宋体"/>
                      <w:spacing w:val="-2"/>
                      <w:sz w:val="17"/>
                      <w:szCs w:val="17"/>
                    </w:rPr>
                    <w:t>工业企业污染较为严重。</w:t>
                  </w:r>
                  <w:r>
                    <w:rPr>
                      <w:rFonts w:ascii="宋体" w:hAnsi="宋体" w:eastAsia="宋体" w:cs="宋体"/>
                      <w:sz w:val="17"/>
                      <w:szCs w:val="17"/>
                    </w:rPr>
                    <w:t xml:space="preserve"> </w:t>
                  </w:r>
                  <w:r>
                    <w:rPr>
                      <w:rFonts w:ascii="宋体" w:hAnsi="宋体" w:eastAsia="宋体" w:cs="宋体"/>
                      <w:spacing w:val="1"/>
                      <w:sz w:val="17"/>
                      <w:szCs w:val="17"/>
                    </w:rPr>
                    <w:t>辖区工业园</w:t>
                  </w:r>
                  <w:r>
                    <w:rPr>
                      <w:rFonts w:ascii="宋体" w:hAnsi="宋体" w:eastAsia="宋体" w:cs="宋体"/>
                      <w:sz w:val="17"/>
                      <w:szCs w:val="17"/>
                    </w:rPr>
                    <w:t xml:space="preserve">区中的工业企业，因 </w:t>
                  </w:r>
                  <w:r>
                    <w:rPr>
                      <w:rFonts w:ascii="宋体" w:hAnsi="宋体" w:eastAsia="宋体" w:cs="宋体"/>
                      <w:spacing w:val="19"/>
                      <w:sz w:val="17"/>
                      <w:szCs w:val="17"/>
                    </w:rPr>
                    <w:t>企</w:t>
                  </w:r>
                  <w:r>
                    <w:rPr>
                      <w:rFonts w:ascii="宋体" w:hAnsi="宋体" w:eastAsia="宋体" w:cs="宋体"/>
                      <w:spacing w:val="13"/>
                      <w:sz w:val="17"/>
                      <w:szCs w:val="17"/>
                    </w:rPr>
                    <w:t>业规模大，污染物排放总量</w:t>
                  </w:r>
                  <w:r>
                    <w:rPr>
                      <w:rFonts w:ascii="宋体" w:hAnsi="宋体" w:eastAsia="宋体" w:cs="宋体"/>
                      <w:sz w:val="17"/>
                      <w:szCs w:val="17"/>
                    </w:rPr>
                    <w:t xml:space="preserve"> </w:t>
                  </w:r>
                  <w:r>
                    <w:rPr>
                      <w:rFonts w:ascii="宋体" w:hAnsi="宋体" w:eastAsia="宋体" w:cs="宋体"/>
                      <w:spacing w:val="19"/>
                      <w:sz w:val="17"/>
                      <w:szCs w:val="17"/>
                    </w:rPr>
                    <w:t>高</w:t>
                  </w:r>
                  <w:r>
                    <w:rPr>
                      <w:rFonts w:ascii="宋体" w:hAnsi="宋体" w:eastAsia="宋体" w:cs="宋体"/>
                      <w:spacing w:val="13"/>
                      <w:sz w:val="17"/>
                      <w:szCs w:val="17"/>
                    </w:rPr>
                    <w:t>，造成辖区存在大气污染现</w:t>
                  </w:r>
                  <w:r>
                    <w:rPr>
                      <w:rFonts w:ascii="宋体" w:hAnsi="宋体" w:eastAsia="宋体" w:cs="宋体"/>
                      <w:sz w:val="17"/>
                      <w:szCs w:val="17"/>
                    </w:rPr>
                    <w:t xml:space="preserve"> </w:t>
                  </w:r>
                  <w:r>
                    <w:rPr>
                      <w:rFonts w:ascii="宋体" w:hAnsi="宋体" w:eastAsia="宋体" w:cs="宋体"/>
                      <w:spacing w:val="1"/>
                      <w:sz w:val="17"/>
                      <w:szCs w:val="17"/>
                    </w:rPr>
                    <w:t>象；辖区扬</w:t>
                  </w:r>
                  <w:r>
                    <w:rPr>
                      <w:rFonts w:ascii="宋体" w:hAnsi="宋体" w:eastAsia="宋体" w:cs="宋体"/>
                      <w:sz w:val="17"/>
                      <w:szCs w:val="17"/>
                    </w:rPr>
                    <w:t xml:space="preserve">尘、尾气污染未有效 </w:t>
                  </w:r>
                  <w:r>
                    <w:rPr>
                      <w:rFonts w:ascii="宋体" w:hAnsi="宋体" w:eastAsia="宋体" w:cs="宋体"/>
                      <w:spacing w:val="1"/>
                      <w:sz w:val="17"/>
                      <w:szCs w:val="17"/>
                    </w:rPr>
                    <w:t>控制。城市</w:t>
                  </w:r>
                  <w:r>
                    <w:rPr>
                      <w:rFonts w:ascii="宋体" w:hAnsi="宋体" w:eastAsia="宋体" w:cs="宋体"/>
                      <w:sz w:val="17"/>
                      <w:szCs w:val="17"/>
                    </w:rPr>
                    <w:t xml:space="preserve">建设快，基础设施建 </w:t>
                  </w:r>
                  <w:r>
                    <w:rPr>
                      <w:rFonts w:ascii="宋体" w:hAnsi="宋体" w:eastAsia="宋体" w:cs="宋体"/>
                      <w:spacing w:val="19"/>
                      <w:sz w:val="17"/>
                      <w:szCs w:val="17"/>
                    </w:rPr>
                    <w:t>设</w:t>
                  </w:r>
                  <w:r>
                    <w:rPr>
                      <w:rFonts w:ascii="宋体" w:hAnsi="宋体" w:eastAsia="宋体" w:cs="宋体"/>
                      <w:spacing w:val="13"/>
                      <w:sz w:val="17"/>
                      <w:szCs w:val="17"/>
                    </w:rPr>
                    <w:t>及房产开发等施工场地落实</w:t>
                  </w:r>
                  <w:r>
                    <w:rPr>
                      <w:rFonts w:ascii="宋体" w:hAnsi="宋体" w:eastAsia="宋体" w:cs="宋体"/>
                      <w:sz w:val="17"/>
                      <w:szCs w:val="17"/>
                    </w:rPr>
                    <w:t xml:space="preserve"> </w:t>
                  </w:r>
                  <w:r>
                    <w:rPr>
                      <w:rFonts w:ascii="宋体" w:hAnsi="宋体" w:eastAsia="宋体" w:cs="宋体"/>
                      <w:spacing w:val="1"/>
                      <w:sz w:val="17"/>
                      <w:szCs w:val="17"/>
                    </w:rPr>
                    <w:t>扬尘抑尘管</w:t>
                  </w:r>
                  <w:r>
                    <w:rPr>
                      <w:rFonts w:ascii="宋体" w:hAnsi="宋体" w:eastAsia="宋体" w:cs="宋体"/>
                      <w:sz w:val="17"/>
                      <w:szCs w:val="17"/>
                    </w:rPr>
                    <w:t xml:space="preserve">控措施不到位，导致 </w:t>
                  </w:r>
                  <w:r>
                    <w:rPr>
                      <w:rFonts w:ascii="宋体" w:hAnsi="宋体" w:eastAsia="宋体" w:cs="宋体"/>
                      <w:spacing w:val="1"/>
                      <w:sz w:val="17"/>
                      <w:szCs w:val="17"/>
                    </w:rPr>
                    <w:t>辖区扬尘较</w:t>
                  </w:r>
                  <w:r>
                    <w:rPr>
                      <w:rFonts w:ascii="宋体" w:hAnsi="宋体" w:eastAsia="宋体" w:cs="宋体"/>
                      <w:sz w:val="17"/>
                      <w:szCs w:val="17"/>
                    </w:rPr>
                    <w:t xml:space="preserve">为突出。脏车入城现 </w:t>
                  </w:r>
                  <w:r>
                    <w:rPr>
                      <w:rFonts w:ascii="宋体" w:hAnsi="宋体" w:eastAsia="宋体" w:cs="宋体"/>
                      <w:spacing w:val="19"/>
                      <w:sz w:val="17"/>
                      <w:szCs w:val="17"/>
                    </w:rPr>
                    <w:t>象</w:t>
                  </w:r>
                  <w:r>
                    <w:rPr>
                      <w:rFonts w:ascii="宋体" w:hAnsi="宋体" w:eastAsia="宋体" w:cs="宋体"/>
                      <w:spacing w:val="13"/>
                      <w:sz w:val="17"/>
                      <w:szCs w:val="17"/>
                    </w:rPr>
                    <w:t>和道路破损未及时修复仍然</w:t>
                  </w:r>
                  <w:r>
                    <w:rPr>
                      <w:rFonts w:ascii="宋体" w:hAnsi="宋体" w:eastAsia="宋体" w:cs="宋体"/>
                      <w:sz w:val="17"/>
                      <w:szCs w:val="17"/>
                    </w:rPr>
                    <w:t xml:space="preserve"> </w:t>
                  </w:r>
                  <w:r>
                    <w:rPr>
                      <w:rFonts w:ascii="宋体" w:hAnsi="宋体" w:eastAsia="宋体" w:cs="宋体"/>
                      <w:spacing w:val="1"/>
                      <w:sz w:val="17"/>
                      <w:szCs w:val="17"/>
                    </w:rPr>
                    <w:t>存在。机动</w:t>
                  </w:r>
                  <w:r>
                    <w:rPr>
                      <w:rFonts w:ascii="宋体" w:hAnsi="宋体" w:eastAsia="宋体" w:cs="宋体"/>
                      <w:sz w:val="17"/>
                      <w:szCs w:val="17"/>
                    </w:rPr>
                    <w:t xml:space="preserve">车保持有量剧增尾气 </w:t>
                  </w:r>
                  <w:r>
                    <w:rPr>
                      <w:rFonts w:ascii="宋体" w:hAnsi="宋体" w:eastAsia="宋体" w:cs="宋体"/>
                      <w:spacing w:val="1"/>
                      <w:sz w:val="17"/>
                      <w:szCs w:val="17"/>
                    </w:rPr>
                    <w:t>污染大；秸</w:t>
                  </w:r>
                  <w:r>
                    <w:rPr>
                      <w:rFonts w:ascii="宋体" w:hAnsi="宋体" w:eastAsia="宋体" w:cs="宋体"/>
                      <w:sz w:val="17"/>
                      <w:szCs w:val="17"/>
                    </w:rPr>
                    <w:t xml:space="preserve">秆资源化无害化处理 </w:t>
                  </w:r>
                  <w:r>
                    <w:rPr>
                      <w:rFonts w:ascii="宋体" w:hAnsi="宋体" w:eastAsia="宋体" w:cs="宋体"/>
                      <w:spacing w:val="8"/>
                      <w:sz w:val="17"/>
                      <w:szCs w:val="17"/>
                    </w:rPr>
                    <w:t>滞后</w:t>
                  </w:r>
                  <w:r>
                    <w:rPr>
                      <w:rFonts w:ascii="宋体" w:hAnsi="宋体" w:eastAsia="宋体" w:cs="宋体"/>
                      <w:spacing w:val="4"/>
                      <w:sz w:val="17"/>
                      <w:szCs w:val="17"/>
                    </w:rPr>
                    <w:t>，秸秆焚烧现象时有发生；</w:t>
                  </w:r>
                  <w:r>
                    <w:rPr>
                      <w:rFonts w:ascii="宋体" w:hAnsi="宋体" w:eastAsia="宋体" w:cs="宋体"/>
                      <w:sz w:val="17"/>
                      <w:szCs w:val="17"/>
                    </w:rPr>
                    <w:t xml:space="preserve"> </w:t>
                  </w:r>
                  <w:r>
                    <w:rPr>
                      <w:rFonts w:ascii="宋体" w:hAnsi="宋体" w:eastAsia="宋体" w:cs="宋体"/>
                      <w:spacing w:val="1"/>
                      <w:sz w:val="17"/>
                      <w:szCs w:val="17"/>
                    </w:rPr>
                    <w:t>时令性污染</w:t>
                  </w:r>
                  <w:r>
                    <w:rPr>
                      <w:rFonts w:ascii="宋体" w:hAnsi="宋体" w:eastAsia="宋体" w:cs="宋体"/>
                      <w:sz w:val="17"/>
                      <w:szCs w:val="17"/>
                    </w:rPr>
                    <w:t xml:space="preserve">未有效根治，中元节 </w:t>
                  </w:r>
                  <w:r>
                    <w:rPr>
                      <w:rFonts w:ascii="宋体" w:hAnsi="宋体" w:eastAsia="宋体" w:cs="宋体"/>
                      <w:spacing w:val="1"/>
                      <w:sz w:val="17"/>
                      <w:szCs w:val="17"/>
                    </w:rPr>
                    <w:t>祭祀、岁末</w:t>
                  </w:r>
                  <w:r>
                    <w:rPr>
                      <w:rFonts w:ascii="宋体" w:hAnsi="宋体" w:eastAsia="宋体" w:cs="宋体"/>
                      <w:sz w:val="17"/>
                      <w:szCs w:val="17"/>
                    </w:rPr>
                    <w:t xml:space="preserve">年初熏制腌腊制品等 </w:t>
                  </w:r>
                  <w:r>
                    <w:rPr>
                      <w:rFonts w:ascii="宋体" w:hAnsi="宋体" w:eastAsia="宋体" w:cs="宋体"/>
                      <w:spacing w:val="9"/>
                      <w:sz w:val="17"/>
                      <w:szCs w:val="17"/>
                    </w:rPr>
                    <w:t>现象还未根治。</w:t>
                  </w:r>
                  <w:r>
                    <w:rPr>
                      <w:rFonts w:ascii="宋体" w:hAnsi="宋体" w:eastAsia="宋体" w:cs="宋体"/>
                      <w:sz w:val="17"/>
                      <w:szCs w:val="17"/>
                    </w:rPr>
                    <w:t xml:space="preserve">              </w:t>
                  </w:r>
                  <w:r>
                    <w:rPr>
                      <w:rFonts w:ascii="Times New Roman" w:hAnsi="Times New Roman" w:eastAsia="Times New Roman" w:cs="Times New Roman"/>
                      <w:spacing w:val="6"/>
                      <w:sz w:val="17"/>
                      <w:szCs w:val="17"/>
                    </w:rPr>
                    <w:t>2</w:t>
                  </w:r>
                  <w:r>
                    <w:rPr>
                      <w:rFonts w:ascii="Times New Roman" w:hAnsi="Times New Roman" w:eastAsia="Times New Roman" w:cs="Times New Roman"/>
                      <w:spacing w:val="3"/>
                      <w:sz w:val="17"/>
                      <w:szCs w:val="17"/>
                    </w:rPr>
                    <w:t xml:space="preserve"> </w:t>
                  </w:r>
                  <w:r>
                    <w:rPr>
                      <w:rFonts w:ascii="宋体" w:hAnsi="宋体" w:eastAsia="宋体" w:cs="宋体"/>
                      <w:spacing w:val="3"/>
                      <w:sz w:val="17"/>
                      <w:szCs w:val="17"/>
                    </w:rPr>
                    <w:t>、辖区部分集中式饮用水源水</w:t>
                  </w:r>
                  <w:r>
                    <w:rPr>
                      <w:rFonts w:ascii="宋体" w:hAnsi="宋体" w:eastAsia="宋体" w:cs="宋体"/>
                      <w:sz w:val="17"/>
                      <w:szCs w:val="17"/>
                    </w:rPr>
                    <w:t xml:space="preserve"> </w:t>
                  </w:r>
                  <w:r>
                    <w:rPr>
                      <w:rFonts w:ascii="宋体" w:hAnsi="宋体" w:eastAsia="宋体" w:cs="宋体"/>
                      <w:spacing w:val="1"/>
                      <w:sz w:val="17"/>
                      <w:szCs w:val="17"/>
                    </w:rPr>
                    <w:t>质不达标，</w:t>
                  </w:r>
                  <w:r>
                    <w:rPr>
                      <w:rFonts w:ascii="宋体" w:hAnsi="宋体" w:eastAsia="宋体" w:cs="宋体"/>
                      <w:sz w:val="17"/>
                      <w:szCs w:val="17"/>
                    </w:rPr>
                    <w:t xml:space="preserve">因多为水库型饮用水 </w:t>
                  </w:r>
                  <w:r>
                    <w:rPr>
                      <w:rFonts w:ascii="宋体" w:hAnsi="宋体" w:eastAsia="宋体" w:cs="宋体"/>
                      <w:spacing w:val="1"/>
                      <w:sz w:val="17"/>
                      <w:szCs w:val="17"/>
                    </w:rPr>
                    <w:t>源，水体流</w:t>
                  </w:r>
                  <w:r>
                    <w:rPr>
                      <w:rFonts w:ascii="宋体" w:hAnsi="宋体" w:eastAsia="宋体" w:cs="宋体"/>
                      <w:sz w:val="17"/>
                      <w:szCs w:val="17"/>
                    </w:rPr>
                    <w:t xml:space="preserve">动性差，加之天然水 </w:t>
                  </w:r>
                  <w:r>
                    <w:rPr>
                      <w:rFonts w:ascii="宋体" w:hAnsi="宋体" w:eastAsia="宋体" w:cs="宋体"/>
                      <w:spacing w:val="1"/>
                      <w:sz w:val="17"/>
                      <w:szCs w:val="17"/>
                    </w:rPr>
                    <w:t>量少、缺水</w:t>
                  </w:r>
                  <w:r>
                    <w:rPr>
                      <w:rFonts w:ascii="宋体" w:hAnsi="宋体" w:eastAsia="宋体" w:cs="宋体"/>
                      <w:sz w:val="17"/>
                      <w:szCs w:val="17"/>
                    </w:rPr>
                    <w:t xml:space="preserve">问题较为突出，短期 </w:t>
                  </w:r>
                  <w:r>
                    <w:rPr>
                      <w:rFonts w:ascii="宋体" w:hAnsi="宋体" w:eastAsia="宋体" w:cs="宋体"/>
                      <w:spacing w:val="1"/>
                      <w:sz w:val="17"/>
                      <w:szCs w:val="17"/>
                    </w:rPr>
                    <w:t>内难以找到</w:t>
                  </w:r>
                  <w:r>
                    <w:rPr>
                      <w:rFonts w:ascii="宋体" w:hAnsi="宋体" w:eastAsia="宋体" w:cs="宋体"/>
                      <w:sz w:val="17"/>
                      <w:szCs w:val="17"/>
                    </w:rPr>
                    <w:t xml:space="preserve">替代水源，枯水期易 </w:t>
                  </w:r>
                  <w:r>
                    <w:rPr>
                      <w:rFonts w:ascii="宋体" w:hAnsi="宋体" w:eastAsia="宋体" w:cs="宋体"/>
                      <w:spacing w:val="1"/>
                      <w:sz w:val="17"/>
                      <w:szCs w:val="17"/>
                    </w:rPr>
                    <w:t>出现水期不</w:t>
                  </w:r>
                  <w:r>
                    <w:rPr>
                      <w:rFonts w:ascii="宋体" w:hAnsi="宋体" w:eastAsia="宋体" w:cs="宋体"/>
                      <w:sz w:val="17"/>
                      <w:szCs w:val="17"/>
                    </w:rPr>
                    <w:t xml:space="preserve">达标现象。辖区部分 </w:t>
                  </w:r>
                  <w:r>
                    <w:rPr>
                      <w:rFonts w:ascii="宋体" w:hAnsi="宋体" w:eastAsia="宋体" w:cs="宋体"/>
                      <w:spacing w:val="19"/>
                      <w:sz w:val="17"/>
                      <w:szCs w:val="17"/>
                    </w:rPr>
                    <w:t>养</w:t>
                  </w:r>
                  <w:r>
                    <w:rPr>
                      <w:rFonts w:ascii="宋体" w:hAnsi="宋体" w:eastAsia="宋体" w:cs="宋体"/>
                      <w:spacing w:val="13"/>
                      <w:sz w:val="17"/>
                      <w:szCs w:val="17"/>
                    </w:rPr>
                    <w:t>殖户粪污处理设施设置不规</w:t>
                  </w:r>
                  <w:r>
                    <w:rPr>
                      <w:rFonts w:ascii="宋体" w:hAnsi="宋体" w:eastAsia="宋体" w:cs="宋体"/>
                      <w:sz w:val="17"/>
                      <w:szCs w:val="17"/>
                    </w:rPr>
                    <w:t xml:space="preserve"> </w:t>
                  </w:r>
                  <w:r>
                    <w:rPr>
                      <w:rFonts w:ascii="宋体" w:hAnsi="宋体" w:eastAsia="宋体" w:cs="宋体"/>
                      <w:spacing w:val="2"/>
                      <w:sz w:val="17"/>
                      <w:szCs w:val="17"/>
                    </w:rPr>
                    <w:t>范</w:t>
                  </w:r>
                  <w:r>
                    <w:rPr>
                      <w:rFonts w:ascii="宋体" w:hAnsi="宋体" w:eastAsia="宋体" w:cs="宋体"/>
                      <w:spacing w:val="1"/>
                      <w:sz w:val="17"/>
                      <w:szCs w:val="17"/>
                    </w:rPr>
                    <w:t>。</w:t>
                  </w:r>
                </w:p>
              </w:tc>
              <w:tc>
                <w:tcPr>
                  <w:tcW w:w="2013" w:type="dxa"/>
                  <w:vAlign w:val="top"/>
                </w:tcPr>
                <w:p>
                  <w:pPr>
                    <w:spacing w:before="72" w:line="304" w:lineRule="auto"/>
                    <w:ind w:left="32" w:right="24" w:hanging="1"/>
                    <w:rPr>
                      <w:rFonts w:ascii="宋体" w:hAnsi="宋体" w:eastAsia="宋体" w:cs="宋体"/>
                      <w:sz w:val="17"/>
                      <w:szCs w:val="17"/>
                    </w:rPr>
                  </w:pPr>
                  <w:r>
                    <w:rPr>
                      <w:rFonts w:ascii="宋体" w:hAnsi="宋体" w:eastAsia="宋体" w:cs="宋体"/>
                      <w:spacing w:val="12"/>
                      <w:sz w:val="17"/>
                      <w:szCs w:val="17"/>
                    </w:rPr>
                    <w:t>调</w:t>
                  </w:r>
                  <w:r>
                    <w:rPr>
                      <w:rFonts w:ascii="宋体" w:hAnsi="宋体" w:eastAsia="宋体" w:cs="宋体"/>
                      <w:spacing w:val="7"/>
                      <w:sz w:val="17"/>
                      <w:szCs w:val="17"/>
                    </w:rPr>
                    <w:t>整农作物种植结构，加</w:t>
                  </w:r>
                  <w:r>
                    <w:rPr>
                      <w:rFonts w:ascii="宋体" w:hAnsi="宋体" w:eastAsia="宋体" w:cs="宋体"/>
                      <w:sz w:val="17"/>
                      <w:szCs w:val="17"/>
                    </w:rPr>
                    <w:t xml:space="preserve"> </w:t>
                  </w:r>
                  <w:r>
                    <w:rPr>
                      <w:rFonts w:ascii="宋体" w:hAnsi="宋体" w:eastAsia="宋体" w:cs="宋体"/>
                      <w:spacing w:val="10"/>
                      <w:sz w:val="17"/>
                      <w:szCs w:val="17"/>
                    </w:rPr>
                    <w:t>强</w:t>
                  </w:r>
                  <w:r>
                    <w:rPr>
                      <w:rFonts w:ascii="宋体" w:hAnsi="宋体" w:eastAsia="宋体" w:cs="宋体"/>
                      <w:spacing w:val="7"/>
                      <w:sz w:val="17"/>
                      <w:szCs w:val="17"/>
                    </w:rPr>
                    <w:t>农业氨污染控制，大力</w:t>
                  </w:r>
                  <w:r>
                    <w:rPr>
                      <w:rFonts w:ascii="宋体" w:hAnsi="宋体" w:eastAsia="宋体" w:cs="宋体"/>
                      <w:sz w:val="17"/>
                      <w:szCs w:val="17"/>
                    </w:rPr>
                    <w:t xml:space="preserve"> </w:t>
                  </w:r>
                  <w:r>
                    <w:rPr>
                      <w:rFonts w:ascii="宋体" w:hAnsi="宋体" w:eastAsia="宋体" w:cs="宋体"/>
                      <w:spacing w:val="8"/>
                      <w:sz w:val="17"/>
                      <w:szCs w:val="17"/>
                    </w:rPr>
                    <w:t>发</w:t>
                  </w:r>
                  <w:r>
                    <w:rPr>
                      <w:rFonts w:ascii="宋体" w:hAnsi="宋体" w:eastAsia="宋体" w:cs="宋体"/>
                      <w:spacing w:val="7"/>
                      <w:sz w:val="17"/>
                      <w:szCs w:val="17"/>
                    </w:rPr>
                    <w:t>展节水农业；</w:t>
                  </w:r>
                </w:p>
                <w:p>
                  <w:pPr>
                    <w:spacing w:before="5" w:line="303" w:lineRule="auto"/>
                    <w:ind w:left="29" w:right="24"/>
                    <w:rPr>
                      <w:rFonts w:ascii="宋体" w:hAnsi="宋体" w:eastAsia="宋体" w:cs="宋体"/>
                      <w:sz w:val="17"/>
                      <w:szCs w:val="17"/>
                    </w:rPr>
                  </w:pPr>
                  <w:r>
                    <w:rPr>
                      <w:rFonts w:ascii="宋体" w:hAnsi="宋体" w:eastAsia="宋体" w:cs="宋体"/>
                      <w:spacing w:val="13"/>
                      <w:sz w:val="17"/>
                      <w:szCs w:val="17"/>
                    </w:rPr>
                    <w:t>加</w:t>
                  </w:r>
                  <w:r>
                    <w:rPr>
                      <w:rFonts w:ascii="宋体" w:hAnsi="宋体" w:eastAsia="宋体" w:cs="宋体"/>
                      <w:spacing w:val="7"/>
                      <w:sz w:val="17"/>
                      <w:szCs w:val="17"/>
                    </w:rPr>
                    <w:t>强建筑工程日常监管，</w:t>
                  </w:r>
                  <w:r>
                    <w:rPr>
                      <w:rFonts w:ascii="宋体" w:hAnsi="宋体" w:eastAsia="宋体" w:cs="宋体"/>
                      <w:sz w:val="17"/>
                      <w:szCs w:val="17"/>
                    </w:rPr>
                    <w:t xml:space="preserve"> </w:t>
                  </w:r>
                  <w:r>
                    <w:rPr>
                      <w:rFonts w:ascii="宋体" w:hAnsi="宋体" w:eastAsia="宋体" w:cs="宋体"/>
                      <w:spacing w:val="14"/>
                      <w:sz w:val="17"/>
                      <w:szCs w:val="17"/>
                    </w:rPr>
                    <w:t>对</w:t>
                  </w:r>
                  <w:r>
                    <w:rPr>
                      <w:rFonts w:ascii="宋体" w:hAnsi="宋体" w:eastAsia="宋体" w:cs="宋体"/>
                      <w:spacing w:val="7"/>
                      <w:sz w:val="17"/>
                      <w:szCs w:val="17"/>
                    </w:rPr>
                    <w:t>重点环节采取遮盖、洒</w:t>
                  </w:r>
                  <w:r>
                    <w:rPr>
                      <w:rFonts w:ascii="宋体" w:hAnsi="宋体" w:eastAsia="宋体" w:cs="宋体"/>
                      <w:sz w:val="17"/>
                      <w:szCs w:val="17"/>
                    </w:rPr>
                    <w:t xml:space="preserve"> </w:t>
                  </w:r>
                  <w:r>
                    <w:rPr>
                      <w:rFonts w:ascii="宋体" w:hAnsi="宋体" w:eastAsia="宋体" w:cs="宋体"/>
                      <w:spacing w:val="14"/>
                      <w:sz w:val="17"/>
                      <w:szCs w:val="17"/>
                    </w:rPr>
                    <w:t>水</w:t>
                  </w:r>
                  <w:r>
                    <w:rPr>
                      <w:rFonts w:ascii="宋体" w:hAnsi="宋体" w:eastAsia="宋体" w:cs="宋体"/>
                      <w:spacing w:val="7"/>
                      <w:sz w:val="17"/>
                      <w:szCs w:val="17"/>
                    </w:rPr>
                    <w:t>、封闭等措施控制扬尘</w:t>
                  </w:r>
                  <w:r>
                    <w:rPr>
                      <w:rFonts w:ascii="宋体" w:hAnsi="宋体" w:eastAsia="宋体" w:cs="宋体"/>
                      <w:sz w:val="17"/>
                      <w:szCs w:val="17"/>
                    </w:rPr>
                    <w:t xml:space="preserve"> </w:t>
                  </w:r>
                  <w:r>
                    <w:rPr>
                      <w:rFonts w:ascii="宋体" w:hAnsi="宋体" w:eastAsia="宋体" w:cs="宋体"/>
                      <w:spacing w:val="14"/>
                      <w:sz w:val="17"/>
                      <w:szCs w:val="17"/>
                    </w:rPr>
                    <w:t>排</w:t>
                  </w:r>
                  <w:r>
                    <w:rPr>
                      <w:rFonts w:ascii="宋体" w:hAnsi="宋体" w:eastAsia="宋体" w:cs="宋体"/>
                      <w:spacing w:val="7"/>
                      <w:sz w:val="17"/>
                      <w:szCs w:val="17"/>
                    </w:rPr>
                    <w:t>放。提高道路硬化率，</w:t>
                  </w:r>
                  <w:r>
                    <w:rPr>
                      <w:rFonts w:ascii="宋体" w:hAnsi="宋体" w:eastAsia="宋体" w:cs="宋体"/>
                      <w:sz w:val="17"/>
                      <w:szCs w:val="17"/>
                    </w:rPr>
                    <w:t xml:space="preserve"> </w:t>
                  </w:r>
                  <w:r>
                    <w:rPr>
                      <w:rFonts w:ascii="宋体" w:hAnsi="宋体" w:eastAsia="宋体" w:cs="宋体"/>
                      <w:spacing w:val="14"/>
                      <w:sz w:val="17"/>
                      <w:szCs w:val="17"/>
                    </w:rPr>
                    <w:t>减</w:t>
                  </w:r>
                  <w:r>
                    <w:rPr>
                      <w:rFonts w:ascii="宋体" w:hAnsi="宋体" w:eastAsia="宋体" w:cs="宋体"/>
                      <w:spacing w:val="7"/>
                      <w:sz w:val="17"/>
                      <w:szCs w:val="17"/>
                    </w:rPr>
                    <w:t>少道路起尘源。推动非</w:t>
                  </w:r>
                  <w:r>
                    <w:rPr>
                      <w:rFonts w:ascii="宋体" w:hAnsi="宋体" w:eastAsia="宋体" w:cs="宋体"/>
                      <w:sz w:val="17"/>
                      <w:szCs w:val="17"/>
                    </w:rPr>
                    <w:t xml:space="preserve"> </w:t>
                  </w:r>
                  <w:r>
                    <w:rPr>
                      <w:rFonts w:ascii="宋体" w:hAnsi="宋体" w:eastAsia="宋体" w:cs="宋体"/>
                      <w:spacing w:val="29"/>
                      <w:sz w:val="17"/>
                      <w:szCs w:val="17"/>
                    </w:rPr>
                    <w:t>道</w:t>
                  </w:r>
                  <w:r>
                    <w:rPr>
                      <w:rFonts w:ascii="宋体" w:hAnsi="宋体" w:eastAsia="宋体" w:cs="宋体"/>
                      <w:spacing w:val="25"/>
                      <w:sz w:val="17"/>
                      <w:szCs w:val="17"/>
                    </w:rPr>
                    <w:t>路移动机械达标排放</w:t>
                  </w:r>
                  <w:r>
                    <w:rPr>
                      <w:rFonts w:ascii="宋体" w:hAnsi="宋体" w:eastAsia="宋体" w:cs="宋体"/>
                      <w:sz w:val="17"/>
                      <w:szCs w:val="17"/>
                    </w:rPr>
                    <w:t xml:space="preserve"> </w:t>
                  </w:r>
                  <w:r>
                    <w:rPr>
                      <w:rFonts w:ascii="宋体" w:hAnsi="宋体" w:eastAsia="宋体" w:cs="宋体"/>
                      <w:spacing w:val="11"/>
                      <w:sz w:val="17"/>
                      <w:szCs w:val="17"/>
                    </w:rPr>
                    <w:t>示</w:t>
                  </w:r>
                  <w:r>
                    <w:rPr>
                      <w:rFonts w:ascii="宋体" w:hAnsi="宋体" w:eastAsia="宋体" w:cs="宋体"/>
                      <w:spacing w:val="7"/>
                      <w:sz w:val="17"/>
                      <w:szCs w:val="17"/>
                    </w:rPr>
                    <w:t>范企业建设；</w:t>
                  </w:r>
                </w:p>
                <w:p>
                  <w:pPr>
                    <w:spacing w:line="304" w:lineRule="auto"/>
                    <w:ind w:left="24" w:right="21" w:firstLine="4"/>
                    <w:rPr>
                      <w:rFonts w:ascii="宋体" w:hAnsi="宋体" w:eastAsia="宋体" w:cs="宋体"/>
                      <w:sz w:val="17"/>
                      <w:szCs w:val="17"/>
                    </w:rPr>
                  </w:pPr>
                  <w:r>
                    <w:rPr>
                      <w:rFonts w:ascii="宋体" w:hAnsi="宋体" w:eastAsia="宋体" w:cs="宋体"/>
                      <w:spacing w:val="-1"/>
                      <w:sz w:val="17"/>
                      <w:szCs w:val="17"/>
                    </w:rPr>
                    <w:t>优</w:t>
                  </w:r>
                  <w:r>
                    <w:rPr>
                      <w:rFonts w:ascii="宋体" w:hAnsi="宋体" w:eastAsia="宋体" w:cs="宋体"/>
                      <w:sz w:val="17"/>
                      <w:szCs w:val="17"/>
                    </w:rPr>
                    <w:t xml:space="preserve">化调整产业布局 ，  以 </w:t>
                  </w:r>
                  <w:r>
                    <w:rPr>
                      <w:rFonts w:ascii="Times New Roman" w:hAnsi="Times New Roman" w:eastAsia="Times New Roman" w:cs="Times New Roman"/>
                      <w:sz w:val="17"/>
                      <w:szCs w:val="17"/>
                    </w:rPr>
                    <w:t>PM</w:t>
                  </w:r>
                  <w:r>
                    <w:rPr>
                      <w:rFonts w:ascii="Times New Roman" w:hAnsi="Times New Roman" w:eastAsia="Times New Roman" w:cs="Times New Roman"/>
                      <w:spacing w:val="16"/>
                      <w:position w:val="-1"/>
                      <w:sz w:val="11"/>
                      <w:szCs w:val="11"/>
                    </w:rPr>
                    <w:t xml:space="preserve">2.5 </w:t>
                  </w:r>
                  <w:r>
                    <w:rPr>
                      <w:rFonts w:ascii="宋体" w:hAnsi="宋体" w:eastAsia="宋体" w:cs="宋体"/>
                      <w:spacing w:val="16"/>
                      <w:sz w:val="17"/>
                      <w:szCs w:val="17"/>
                    </w:rPr>
                    <w:t>和臭氧污染协同</w:t>
                  </w:r>
                  <w:r>
                    <w:rPr>
                      <w:rFonts w:ascii="宋体" w:hAnsi="宋体" w:eastAsia="宋体" w:cs="宋体"/>
                      <w:spacing w:val="14"/>
                      <w:sz w:val="17"/>
                      <w:szCs w:val="17"/>
                    </w:rPr>
                    <w:t>控</w:t>
                  </w:r>
                  <w:r>
                    <w:rPr>
                      <w:rFonts w:ascii="宋体" w:hAnsi="宋体" w:eastAsia="宋体" w:cs="宋体"/>
                      <w:sz w:val="17"/>
                      <w:szCs w:val="17"/>
                    </w:rPr>
                    <w:t xml:space="preserve"> </w:t>
                  </w:r>
                  <w:r>
                    <w:rPr>
                      <w:rFonts w:ascii="宋体" w:hAnsi="宋体" w:eastAsia="宋体" w:cs="宋体"/>
                      <w:spacing w:val="-30"/>
                      <w:sz w:val="17"/>
                      <w:szCs w:val="17"/>
                    </w:rPr>
                    <w:t>制</w:t>
                  </w:r>
                  <w:r>
                    <w:rPr>
                      <w:rFonts w:ascii="宋体" w:hAnsi="宋体" w:eastAsia="宋体" w:cs="宋体"/>
                      <w:spacing w:val="-18"/>
                      <w:sz w:val="17"/>
                      <w:szCs w:val="17"/>
                    </w:rPr>
                    <w:t xml:space="preserve"> 为 重 点 ，  全 面 开 展</w:t>
                  </w:r>
                  <w:r>
                    <w:rPr>
                      <w:rFonts w:ascii="宋体" w:hAnsi="宋体" w:eastAsia="宋体" w:cs="宋体"/>
                      <w:sz w:val="17"/>
                      <w:szCs w:val="17"/>
                    </w:rPr>
                    <w:t xml:space="preserve"> </w:t>
                  </w:r>
                  <w:r>
                    <w:rPr>
                      <w:rFonts w:ascii="Times New Roman" w:hAnsi="Times New Roman" w:eastAsia="Times New Roman" w:cs="Times New Roman"/>
                      <w:sz w:val="17"/>
                      <w:szCs w:val="17"/>
                    </w:rPr>
                    <w:t>VOCs</w:t>
                  </w:r>
                  <w:r>
                    <w:rPr>
                      <w:rFonts w:ascii="Times New Roman" w:hAnsi="Times New Roman" w:eastAsia="Times New Roman" w:cs="Times New Roman"/>
                      <w:spacing w:val="19"/>
                      <w:sz w:val="17"/>
                      <w:szCs w:val="17"/>
                    </w:rPr>
                    <w:t xml:space="preserve"> </w:t>
                  </w:r>
                  <w:r>
                    <w:rPr>
                      <w:rFonts w:ascii="宋体" w:hAnsi="宋体" w:eastAsia="宋体" w:cs="宋体"/>
                      <w:spacing w:val="14"/>
                      <w:sz w:val="17"/>
                      <w:szCs w:val="17"/>
                    </w:rPr>
                    <w:t>治理，实施移动源</w:t>
                  </w:r>
                  <w:r>
                    <w:rPr>
                      <w:rFonts w:ascii="宋体" w:hAnsi="宋体" w:eastAsia="宋体" w:cs="宋体"/>
                      <w:sz w:val="17"/>
                      <w:szCs w:val="17"/>
                    </w:rPr>
                    <w:t xml:space="preserve"> </w:t>
                  </w:r>
                  <w:r>
                    <w:rPr>
                      <w:rFonts w:ascii="宋体" w:hAnsi="宋体" w:eastAsia="宋体" w:cs="宋体"/>
                      <w:spacing w:val="9"/>
                      <w:sz w:val="17"/>
                      <w:szCs w:val="17"/>
                    </w:rPr>
                    <w:t>整</w:t>
                  </w:r>
                  <w:r>
                    <w:rPr>
                      <w:rFonts w:ascii="宋体" w:hAnsi="宋体" w:eastAsia="宋体" w:cs="宋体"/>
                      <w:spacing w:val="8"/>
                      <w:sz w:val="17"/>
                      <w:szCs w:val="17"/>
                    </w:rPr>
                    <w:t>治，持续推进空气质量</w:t>
                  </w:r>
                  <w:r>
                    <w:rPr>
                      <w:rFonts w:ascii="宋体" w:hAnsi="宋体" w:eastAsia="宋体" w:cs="宋体"/>
                      <w:sz w:val="17"/>
                      <w:szCs w:val="17"/>
                    </w:rPr>
                    <w:t xml:space="preserve"> </w:t>
                  </w:r>
                  <w:r>
                    <w:rPr>
                      <w:rFonts w:ascii="宋体" w:hAnsi="宋体" w:eastAsia="宋体" w:cs="宋体"/>
                      <w:spacing w:val="8"/>
                      <w:sz w:val="17"/>
                      <w:szCs w:val="17"/>
                    </w:rPr>
                    <w:t>精细化管理；</w:t>
                  </w:r>
                </w:p>
                <w:p>
                  <w:pPr>
                    <w:spacing w:line="295" w:lineRule="auto"/>
                    <w:ind w:left="29" w:right="24" w:firstLine="2"/>
                    <w:rPr>
                      <w:rFonts w:ascii="宋体" w:hAnsi="宋体" w:eastAsia="宋体" w:cs="宋体"/>
                      <w:sz w:val="17"/>
                      <w:szCs w:val="17"/>
                    </w:rPr>
                  </w:pPr>
                  <w:r>
                    <w:rPr>
                      <w:rFonts w:ascii="宋体" w:hAnsi="宋体" w:eastAsia="宋体" w:cs="宋体"/>
                      <w:spacing w:val="11"/>
                      <w:sz w:val="17"/>
                      <w:szCs w:val="17"/>
                    </w:rPr>
                    <w:t>建</w:t>
                  </w:r>
                  <w:r>
                    <w:rPr>
                      <w:rFonts w:ascii="宋体" w:hAnsi="宋体" w:eastAsia="宋体" w:cs="宋体"/>
                      <w:spacing w:val="7"/>
                      <w:sz w:val="17"/>
                      <w:szCs w:val="17"/>
                    </w:rPr>
                    <w:t>立健全农业节水体系，</w:t>
                  </w:r>
                  <w:r>
                    <w:rPr>
                      <w:rFonts w:ascii="宋体" w:hAnsi="宋体" w:eastAsia="宋体" w:cs="宋体"/>
                      <w:sz w:val="17"/>
                      <w:szCs w:val="17"/>
                    </w:rPr>
                    <w:t xml:space="preserve"> </w:t>
                  </w:r>
                  <w:r>
                    <w:rPr>
                      <w:rFonts w:ascii="宋体" w:hAnsi="宋体" w:eastAsia="宋体" w:cs="宋体"/>
                      <w:spacing w:val="14"/>
                      <w:sz w:val="17"/>
                      <w:szCs w:val="17"/>
                    </w:rPr>
                    <w:t>推</w:t>
                  </w:r>
                  <w:r>
                    <w:rPr>
                      <w:rFonts w:ascii="宋体" w:hAnsi="宋体" w:eastAsia="宋体" w:cs="宋体"/>
                      <w:spacing w:val="7"/>
                      <w:sz w:val="17"/>
                      <w:szCs w:val="17"/>
                    </w:rPr>
                    <w:t>广使用节水灌溉技术，</w:t>
                  </w:r>
                  <w:r>
                    <w:rPr>
                      <w:rFonts w:ascii="宋体" w:hAnsi="宋体" w:eastAsia="宋体" w:cs="宋体"/>
                      <w:sz w:val="17"/>
                      <w:szCs w:val="17"/>
                    </w:rPr>
                    <w:t xml:space="preserve"> </w:t>
                  </w:r>
                  <w:r>
                    <w:rPr>
                      <w:rFonts w:ascii="宋体" w:hAnsi="宋体" w:eastAsia="宋体" w:cs="宋体"/>
                      <w:spacing w:val="14"/>
                      <w:sz w:val="17"/>
                      <w:szCs w:val="17"/>
                    </w:rPr>
                    <w:t>探</w:t>
                  </w:r>
                  <w:r>
                    <w:rPr>
                      <w:rFonts w:ascii="宋体" w:hAnsi="宋体" w:eastAsia="宋体" w:cs="宋体"/>
                      <w:spacing w:val="7"/>
                      <w:sz w:val="17"/>
                      <w:szCs w:val="17"/>
                    </w:rPr>
                    <w:t>索乡镇、农村生活污染</w:t>
                  </w:r>
                  <w:r>
                    <w:rPr>
                      <w:rFonts w:ascii="宋体" w:hAnsi="宋体" w:eastAsia="宋体" w:cs="宋体"/>
                      <w:sz w:val="17"/>
                      <w:szCs w:val="17"/>
                    </w:rPr>
                    <w:t xml:space="preserve"> </w:t>
                  </w:r>
                  <w:r>
                    <w:rPr>
                      <w:rFonts w:ascii="宋体" w:hAnsi="宋体" w:eastAsia="宋体" w:cs="宋体"/>
                      <w:spacing w:val="14"/>
                      <w:sz w:val="17"/>
                      <w:szCs w:val="17"/>
                    </w:rPr>
                    <w:t>水</w:t>
                  </w:r>
                  <w:r>
                    <w:rPr>
                      <w:rFonts w:ascii="宋体" w:hAnsi="宋体" w:eastAsia="宋体" w:cs="宋体"/>
                      <w:spacing w:val="7"/>
                      <w:sz w:val="17"/>
                      <w:szCs w:val="17"/>
                    </w:rPr>
                    <w:t>资源化还田利用。大力</w:t>
                  </w:r>
                  <w:r>
                    <w:rPr>
                      <w:rFonts w:ascii="宋体" w:hAnsi="宋体" w:eastAsia="宋体" w:cs="宋体"/>
                      <w:sz w:val="17"/>
                      <w:szCs w:val="17"/>
                    </w:rPr>
                    <w:t xml:space="preserve"> </w:t>
                  </w:r>
                  <w:r>
                    <w:rPr>
                      <w:rFonts w:ascii="宋体" w:hAnsi="宋体" w:eastAsia="宋体" w:cs="宋体"/>
                      <w:spacing w:val="29"/>
                      <w:sz w:val="17"/>
                      <w:szCs w:val="17"/>
                    </w:rPr>
                    <w:t>整</w:t>
                  </w:r>
                  <w:r>
                    <w:rPr>
                      <w:rFonts w:ascii="宋体" w:hAnsi="宋体" w:eastAsia="宋体" w:cs="宋体"/>
                      <w:spacing w:val="25"/>
                      <w:sz w:val="17"/>
                      <w:szCs w:val="17"/>
                    </w:rPr>
                    <w:t>治沿河畜禽养殖污染</w:t>
                  </w:r>
                  <w:r>
                    <w:rPr>
                      <w:rFonts w:ascii="宋体" w:hAnsi="宋体" w:eastAsia="宋体" w:cs="宋体"/>
                      <w:sz w:val="17"/>
                      <w:szCs w:val="17"/>
                    </w:rPr>
                    <w:t xml:space="preserve"> </w:t>
                  </w:r>
                  <w:r>
                    <w:rPr>
                      <w:rFonts w:ascii="宋体" w:hAnsi="宋体" w:eastAsia="宋体" w:cs="宋体"/>
                      <w:spacing w:val="14"/>
                      <w:sz w:val="17"/>
                      <w:szCs w:val="17"/>
                    </w:rPr>
                    <w:t>整</w:t>
                  </w:r>
                  <w:r>
                    <w:rPr>
                      <w:rFonts w:ascii="宋体" w:hAnsi="宋体" w:eastAsia="宋体" w:cs="宋体"/>
                      <w:spacing w:val="7"/>
                      <w:sz w:val="17"/>
                      <w:szCs w:val="17"/>
                    </w:rPr>
                    <w:t>治，实现畜禽粪污减量</w:t>
                  </w:r>
                  <w:r>
                    <w:rPr>
                      <w:rFonts w:ascii="宋体" w:hAnsi="宋体" w:eastAsia="宋体" w:cs="宋体"/>
                      <w:sz w:val="17"/>
                      <w:szCs w:val="17"/>
                    </w:rPr>
                    <w:t xml:space="preserve"> </w:t>
                  </w:r>
                  <w:r>
                    <w:rPr>
                      <w:rFonts w:ascii="宋体" w:hAnsi="宋体" w:eastAsia="宋体" w:cs="宋体"/>
                      <w:spacing w:val="14"/>
                      <w:sz w:val="17"/>
                      <w:szCs w:val="17"/>
                    </w:rPr>
                    <w:t>化</w:t>
                  </w:r>
                  <w:r>
                    <w:rPr>
                      <w:rFonts w:ascii="宋体" w:hAnsi="宋体" w:eastAsia="宋体" w:cs="宋体"/>
                      <w:spacing w:val="7"/>
                      <w:sz w:val="17"/>
                      <w:szCs w:val="17"/>
                    </w:rPr>
                    <w:t>排放、无害化处理和资</w:t>
                  </w:r>
                  <w:r>
                    <w:rPr>
                      <w:rFonts w:ascii="宋体" w:hAnsi="宋体" w:eastAsia="宋体" w:cs="宋体"/>
                      <w:sz w:val="17"/>
                      <w:szCs w:val="17"/>
                    </w:rPr>
                    <w:t xml:space="preserve"> </w:t>
                  </w:r>
                  <w:r>
                    <w:rPr>
                      <w:rFonts w:ascii="宋体" w:hAnsi="宋体" w:eastAsia="宋体" w:cs="宋体"/>
                      <w:spacing w:val="9"/>
                      <w:sz w:val="17"/>
                      <w:szCs w:val="17"/>
                    </w:rPr>
                    <w:t>源</w:t>
                  </w:r>
                  <w:r>
                    <w:rPr>
                      <w:rFonts w:ascii="宋体" w:hAnsi="宋体" w:eastAsia="宋体" w:cs="宋体"/>
                      <w:spacing w:val="6"/>
                      <w:sz w:val="17"/>
                      <w:szCs w:val="17"/>
                    </w:rPr>
                    <w:t>化利用。</w:t>
                  </w:r>
                </w:p>
              </w:tc>
            </w:tr>
          </w:tbl>
          <w:p>
            <w:pPr>
              <w:spacing w:before="139" w:line="227" w:lineRule="auto"/>
              <w:ind w:left="489"/>
              <w:rPr>
                <w:rFonts w:ascii="宋体" w:hAnsi="宋体" w:eastAsia="宋体" w:cs="宋体"/>
                <w:sz w:val="20"/>
                <w:szCs w:val="20"/>
              </w:rPr>
            </w:pPr>
            <w:r>
              <w:rPr>
                <w:rFonts w:ascii="宋体" w:hAnsi="宋体" w:eastAsia="宋体" w:cs="宋体"/>
                <w:spacing w:val="7"/>
                <w:sz w:val="20"/>
                <w:szCs w:val="20"/>
              </w:rPr>
              <w:t>本项目为达州市高家坝大桥建设项目，道路路面将全面硬化，减少道路起尘源。同</w:t>
            </w:r>
            <w:r>
              <w:rPr>
                <w:rFonts w:ascii="宋体" w:hAnsi="宋体" w:eastAsia="宋体" w:cs="宋体"/>
                <w:spacing w:val="2"/>
                <w:sz w:val="20"/>
                <w:szCs w:val="20"/>
              </w:rPr>
              <w:t>时</w:t>
            </w:r>
          </w:p>
        </w:tc>
      </w:tr>
    </w:tbl>
    <w:p>
      <w:pPr>
        <w:spacing w:line="161" w:lineRule="exact"/>
        <w:rPr>
          <w:rFonts w:ascii="Arial"/>
          <w:sz w:val="14"/>
        </w:rPr>
      </w:pPr>
    </w:p>
    <w:p>
      <w:pPr>
        <w:sectPr>
          <w:footerReference r:id="rId11" w:type="default"/>
          <w:pgSz w:w="11906" w:h="16839"/>
          <w:pgMar w:top="400" w:right="1434" w:bottom="1475" w:left="1521" w:header="0" w:footer="1315" w:gutter="0"/>
          <w:cols w:space="720" w:num="1"/>
        </w:sectPr>
      </w:pPr>
    </w:p>
    <w:p/>
    <w:p/>
    <w:p/>
    <w:p/>
    <w:p>
      <w:pPr>
        <w:spacing w:line="221" w:lineRule="exact"/>
      </w:pPr>
    </w:p>
    <w:tbl>
      <w:tblPr>
        <w:tblStyle w:val="4"/>
        <w:tblW w:w="893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4"/>
        <w:gridCol w:w="82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04" w:hRule="atLeast"/>
        </w:trPr>
        <w:tc>
          <w:tcPr>
            <w:tcW w:w="714" w:type="dxa"/>
            <w:tcBorders>
              <w:left w:val="single" w:color="00000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5" w:line="228"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其</w:t>
            </w:r>
            <w:r>
              <w:rPr>
                <w:rFonts w:ascii="宋体" w:hAnsi="宋体" w:eastAsia="宋体" w:cs="宋体"/>
                <w:spacing w:val="7"/>
                <w:sz w:val="20"/>
                <w:szCs w:val="20"/>
                <w14:textOutline w14:w="3795" w14:cap="sq" w14:cmpd="sng">
                  <w14:solidFill>
                    <w14:srgbClr w14:val="000000"/>
                  </w14:solidFill>
                  <w14:prstDash w14:val="solid"/>
                  <w14:bevel/>
                </w14:textOutline>
              </w:rPr>
              <w:t>他符</w:t>
            </w:r>
          </w:p>
          <w:p>
            <w:pPr>
              <w:spacing w:before="164" w:line="228"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合</w:t>
            </w:r>
            <w:r>
              <w:rPr>
                <w:rFonts w:ascii="宋体" w:hAnsi="宋体" w:eastAsia="宋体" w:cs="宋体"/>
                <w:spacing w:val="7"/>
                <w:sz w:val="20"/>
                <w:szCs w:val="20"/>
                <w14:textOutline w14:w="3795" w14:cap="sq" w14:cmpd="sng">
                  <w14:solidFill>
                    <w14:srgbClr w14:val="000000"/>
                  </w14:solidFill>
                  <w14:prstDash w14:val="solid"/>
                  <w14:bevel/>
                </w14:textOutline>
              </w:rPr>
              <w:t>性分</w:t>
            </w:r>
          </w:p>
          <w:p>
            <w:pPr>
              <w:spacing w:before="160" w:line="228" w:lineRule="auto"/>
              <w:ind w:left="251"/>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析</w:t>
            </w:r>
          </w:p>
        </w:tc>
        <w:tc>
          <w:tcPr>
            <w:tcW w:w="8221" w:type="dxa"/>
            <w:tcBorders>
              <w:right w:val="single" w:color="000000" w:sz="6" w:space="0"/>
            </w:tcBorders>
            <w:vAlign w:val="top"/>
          </w:tcPr>
          <w:p>
            <w:pPr>
              <w:spacing w:before="170" w:line="369" w:lineRule="auto"/>
              <w:ind w:left="84" w:right="64" w:hanging="14"/>
              <w:rPr>
                <w:rFonts w:ascii="宋体" w:hAnsi="宋体" w:eastAsia="宋体" w:cs="宋体"/>
                <w:sz w:val="20"/>
                <w:szCs w:val="20"/>
              </w:rPr>
            </w:pPr>
            <w:r>
              <w:rPr>
                <w:rFonts w:ascii="宋体" w:hAnsi="宋体" w:eastAsia="宋体" w:cs="宋体"/>
                <w:spacing w:val="9"/>
                <w:sz w:val="20"/>
                <w:szCs w:val="20"/>
              </w:rPr>
              <w:t>纳</w:t>
            </w:r>
            <w:r>
              <w:rPr>
                <w:rFonts w:ascii="宋体" w:hAnsi="宋体" w:eastAsia="宋体" w:cs="宋体"/>
                <w:spacing w:val="7"/>
                <w:sz w:val="20"/>
                <w:szCs w:val="20"/>
              </w:rPr>
              <w:t>入城市道路管理系统，定期采取洒水降尘等措施及生态保护措施，确保生态环境功能不</w:t>
            </w:r>
            <w:r>
              <w:rPr>
                <w:rFonts w:ascii="宋体" w:hAnsi="宋体" w:eastAsia="宋体" w:cs="宋体"/>
                <w:sz w:val="20"/>
                <w:szCs w:val="20"/>
              </w:rPr>
              <w:t xml:space="preserve"> </w:t>
            </w:r>
            <w:r>
              <w:rPr>
                <w:rFonts w:ascii="宋体" w:hAnsi="宋体" w:eastAsia="宋体" w:cs="宋体"/>
                <w:spacing w:val="-9"/>
                <w:sz w:val="20"/>
                <w:szCs w:val="20"/>
              </w:rPr>
              <w:t>降</w:t>
            </w:r>
            <w:r>
              <w:rPr>
                <w:rFonts w:ascii="宋体" w:hAnsi="宋体" w:eastAsia="宋体" w:cs="宋体"/>
                <w:spacing w:val="-7"/>
                <w:sz w:val="20"/>
                <w:szCs w:val="20"/>
              </w:rPr>
              <w:t>。</w:t>
            </w:r>
          </w:p>
          <w:p>
            <w:pPr>
              <w:spacing w:line="228" w:lineRule="auto"/>
              <w:ind w:left="497"/>
              <w:rPr>
                <w:rFonts w:ascii="宋体" w:hAnsi="宋体" w:eastAsia="宋体" w:cs="宋体"/>
                <w:sz w:val="20"/>
                <w:szCs w:val="20"/>
              </w:rPr>
            </w:pPr>
            <w:r>
              <w:rPr>
                <w:rFonts w:ascii="宋体" w:hAnsi="宋体" w:eastAsia="宋体" w:cs="宋体"/>
                <w:spacing w:val="16"/>
                <w:sz w:val="17"/>
                <w:szCs w:val="17"/>
                <w14:textOutline w14:w="3268" w14:cap="sq" w14:cmpd="sng">
                  <w14:solidFill>
                    <w14:srgbClr w14:val="000000"/>
                  </w14:solidFill>
                  <w14:prstDash w14:val="solid"/>
                  <w14:bevel/>
                </w14:textOutline>
              </w:rPr>
              <w:t>2</w:t>
            </w:r>
            <w:r>
              <w:rPr>
                <w:rFonts w:ascii="宋体" w:hAnsi="宋体" w:eastAsia="宋体" w:cs="宋体"/>
                <w:spacing w:val="11"/>
                <w:sz w:val="17"/>
                <w:szCs w:val="17"/>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与生态红线、生态空间及自然保护地的位置关系</w:t>
            </w:r>
          </w:p>
          <w:p>
            <w:pPr>
              <w:spacing w:before="155" w:line="369" w:lineRule="auto"/>
              <w:ind w:left="46" w:right="42" w:firstLine="420"/>
              <w:rPr>
                <w:rFonts w:ascii="宋体" w:hAnsi="宋体" w:eastAsia="宋体" w:cs="宋体"/>
                <w:sz w:val="20"/>
                <w:szCs w:val="20"/>
              </w:rPr>
            </w:pPr>
            <w:r>
              <w:rPr>
                <w:rFonts w:ascii="宋体" w:hAnsi="宋体" w:eastAsia="宋体" w:cs="宋体"/>
                <w:spacing w:val="16"/>
                <w:sz w:val="20"/>
                <w:szCs w:val="20"/>
              </w:rPr>
              <w:t>根据</w:t>
            </w:r>
            <w:r>
              <w:rPr>
                <w:rFonts w:ascii="宋体" w:hAnsi="宋体" w:eastAsia="宋体" w:cs="宋体"/>
                <w:spacing w:val="8"/>
                <w:sz w:val="20"/>
                <w:szCs w:val="20"/>
              </w:rPr>
              <w:t>《长江经济带战略环境评价四川省达州市</w:t>
            </w:r>
            <w:r>
              <w:rPr>
                <w:rFonts w:ascii="Times New Roman" w:hAnsi="Times New Roman" w:eastAsia="Times New Roman" w:cs="Times New Roman"/>
                <w:spacing w:val="8"/>
                <w:sz w:val="20"/>
                <w:szCs w:val="20"/>
              </w:rPr>
              <w:t>“</w:t>
            </w:r>
            <w:r>
              <w:rPr>
                <w:rFonts w:ascii="宋体" w:hAnsi="宋体" w:eastAsia="宋体" w:cs="宋体"/>
                <w:spacing w:val="8"/>
                <w:sz w:val="20"/>
                <w:szCs w:val="20"/>
              </w:rPr>
              <w:t>三线一单</w:t>
            </w:r>
            <w:r>
              <w:rPr>
                <w:rFonts w:ascii="Times New Roman" w:hAnsi="Times New Roman" w:eastAsia="Times New Roman" w:cs="Times New Roman"/>
                <w:spacing w:val="8"/>
                <w:sz w:val="20"/>
                <w:szCs w:val="20"/>
              </w:rPr>
              <w:t>”</w:t>
            </w:r>
            <w:r>
              <w:rPr>
                <w:rFonts w:ascii="宋体" w:hAnsi="宋体" w:eastAsia="宋体" w:cs="宋体"/>
                <w:spacing w:val="8"/>
                <w:sz w:val="20"/>
                <w:szCs w:val="20"/>
              </w:rPr>
              <w:t>生态环境分区管控优化完善</w:t>
            </w:r>
            <w:r>
              <w:rPr>
                <w:rFonts w:ascii="宋体" w:hAnsi="宋体" w:eastAsia="宋体" w:cs="宋体"/>
                <w:sz w:val="20"/>
                <w:szCs w:val="20"/>
              </w:rPr>
              <w:t xml:space="preserve"> </w:t>
            </w:r>
            <w:r>
              <w:rPr>
                <w:rFonts w:ascii="宋体" w:hAnsi="宋体" w:eastAsia="宋体" w:cs="宋体"/>
                <w:spacing w:val="15"/>
                <w:sz w:val="20"/>
                <w:szCs w:val="20"/>
              </w:rPr>
              <w:t>研</w:t>
            </w:r>
            <w:r>
              <w:rPr>
                <w:rFonts w:ascii="宋体" w:hAnsi="宋体" w:eastAsia="宋体" w:cs="宋体"/>
                <w:spacing w:val="8"/>
                <w:sz w:val="20"/>
                <w:szCs w:val="20"/>
              </w:rPr>
              <w:t>究报告》，达州市生态保护红线主要分布在大巴山和盆地区域，涉及大巴山生物多样性</w:t>
            </w:r>
            <w:r>
              <w:rPr>
                <w:rFonts w:ascii="宋体" w:hAnsi="宋体" w:eastAsia="宋体" w:cs="宋体"/>
                <w:sz w:val="20"/>
                <w:szCs w:val="20"/>
              </w:rPr>
              <w:t xml:space="preserve"> </w:t>
            </w:r>
            <w:r>
              <w:rPr>
                <w:rFonts w:ascii="宋体" w:hAnsi="宋体" w:eastAsia="宋体" w:cs="宋体"/>
                <w:spacing w:val="16"/>
                <w:sz w:val="20"/>
                <w:szCs w:val="20"/>
              </w:rPr>
              <w:t>维</w:t>
            </w:r>
            <w:r>
              <w:rPr>
                <w:rFonts w:ascii="宋体" w:hAnsi="宋体" w:eastAsia="宋体" w:cs="宋体"/>
                <w:spacing w:val="9"/>
                <w:sz w:val="20"/>
                <w:szCs w:val="20"/>
              </w:rPr>
              <w:t>护</w:t>
            </w:r>
            <w:r>
              <w:rPr>
                <w:rFonts w:ascii="Times New Roman" w:hAnsi="Times New Roman" w:eastAsia="Times New Roman" w:cs="Times New Roman"/>
                <w:spacing w:val="8"/>
                <w:sz w:val="20"/>
                <w:szCs w:val="20"/>
              </w:rPr>
              <w:t>—</w:t>
            </w:r>
            <w:r>
              <w:rPr>
                <w:rFonts w:ascii="宋体" w:hAnsi="宋体" w:eastAsia="宋体" w:cs="宋体"/>
                <w:spacing w:val="8"/>
                <w:sz w:val="20"/>
                <w:szCs w:val="20"/>
              </w:rPr>
              <w:t>水源涵养生态保护红线、盆中城市饮用水源</w:t>
            </w:r>
            <w:r>
              <w:rPr>
                <w:rFonts w:ascii="Times New Roman" w:hAnsi="Times New Roman" w:eastAsia="Times New Roman" w:cs="Times New Roman"/>
                <w:spacing w:val="8"/>
                <w:sz w:val="20"/>
                <w:szCs w:val="20"/>
              </w:rPr>
              <w:t>—</w:t>
            </w:r>
            <w:r>
              <w:rPr>
                <w:rFonts w:ascii="宋体" w:hAnsi="宋体" w:eastAsia="宋体" w:cs="宋体"/>
                <w:spacing w:val="8"/>
                <w:sz w:val="20"/>
                <w:szCs w:val="20"/>
              </w:rPr>
              <w:t>水土保持生态保护红线。达州市生态</w:t>
            </w:r>
            <w:r>
              <w:rPr>
                <w:rFonts w:ascii="宋体" w:hAnsi="宋体" w:eastAsia="宋体" w:cs="宋体"/>
                <w:sz w:val="20"/>
                <w:szCs w:val="20"/>
              </w:rPr>
              <w:t xml:space="preserve"> </w:t>
            </w:r>
            <w:r>
              <w:rPr>
                <w:rFonts w:ascii="宋体" w:hAnsi="宋体" w:eastAsia="宋体" w:cs="宋体"/>
                <w:spacing w:val="6"/>
                <w:sz w:val="20"/>
                <w:szCs w:val="20"/>
              </w:rPr>
              <w:t>保护</w:t>
            </w:r>
            <w:r>
              <w:rPr>
                <w:rFonts w:ascii="宋体" w:hAnsi="宋体" w:eastAsia="宋体" w:cs="宋体"/>
                <w:spacing w:val="3"/>
                <w:sz w:val="20"/>
                <w:szCs w:val="20"/>
              </w:rPr>
              <w:t>红线面积</w:t>
            </w:r>
            <w:r>
              <w:rPr>
                <w:rFonts w:ascii="Times New Roman" w:hAnsi="Times New Roman" w:eastAsia="Times New Roman" w:cs="Times New Roman"/>
                <w:spacing w:val="3"/>
                <w:sz w:val="20"/>
                <w:szCs w:val="20"/>
              </w:rPr>
              <w:t>1214.56</w:t>
            </w:r>
            <w:r>
              <w:rPr>
                <w:rFonts w:ascii="Times New Roman" w:hAnsi="Times New Roman" w:eastAsia="Times New Roman" w:cs="Times New Roman"/>
                <w:sz w:val="20"/>
                <w:szCs w:val="20"/>
              </w:rPr>
              <w:t>km</w:t>
            </w:r>
            <w:r>
              <w:rPr>
                <w:rFonts w:ascii="宋体" w:hAnsi="宋体" w:eastAsia="宋体" w:cs="宋体"/>
                <w:spacing w:val="3"/>
                <w:sz w:val="20"/>
                <w:szCs w:val="20"/>
              </w:rPr>
              <w:t>² ， 占达州市国土面积比例的</w:t>
            </w:r>
            <w:r>
              <w:rPr>
                <w:rFonts w:ascii="Times New Roman" w:hAnsi="Times New Roman" w:eastAsia="Times New Roman" w:cs="Times New Roman"/>
                <w:spacing w:val="3"/>
                <w:sz w:val="20"/>
                <w:szCs w:val="20"/>
              </w:rPr>
              <w:t xml:space="preserve">7.33% </w:t>
            </w:r>
            <w:r>
              <w:rPr>
                <w:rFonts w:ascii="宋体" w:hAnsi="宋体" w:eastAsia="宋体" w:cs="宋体"/>
                <w:spacing w:val="3"/>
                <w:sz w:val="20"/>
                <w:szCs w:val="20"/>
              </w:rPr>
              <w:t>。达州市的生态空间类型主要</w:t>
            </w:r>
            <w:r>
              <w:rPr>
                <w:rFonts w:ascii="宋体" w:hAnsi="宋体" w:eastAsia="宋体" w:cs="宋体"/>
                <w:sz w:val="20"/>
                <w:szCs w:val="20"/>
              </w:rPr>
              <w:t xml:space="preserve"> </w:t>
            </w:r>
            <w:r>
              <w:rPr>
                <w:rFonts w:ascii="宋体" w:hAnsi="宋体" w:eastAsia="宋体" w:cs="宋体"/>
                <w:spacing w:val="8"/>
                <w:sz w:val="20"/>
                <w:szCs w:val="20"/>
              </w:rPr>
              <w:t>包括评估区域 (生态功能重要区、生态环境敏感区) 、自然保护区、风景名胜区、饮用</w:t>
            </w:r>
            <w:r>
              <w:rPr>
                <w:rFonts w:ascii="宋体" w:hAnsi="宋体" w:eastAsia="宋体" w:cs="宋体"/>
                <w:spacing w:val="1"/>
                <w:sz w:val="20"/>
                <w:szCs w:val="20"/>
              </w:rPr>
              <w:t>水</w:t>
            </w:r>
            <w:r>
              <w:rPr>
                <w:rFonts w:ascii="宋体" w:hAnsi="宋体" w:eastAsia="宋体" w:cs="宋体"/>
                <w:sz w:val="20"/>
                <w:szCs w:val="20"/>
              </w:rPr>
              <w:t xml:space="preserve"> </w:t>
            </w:r>
            <w:r>
              <w:rPr>
                <w:rFonts w:ascii="宋体" w:hAnsi="宋体" w:eastAsia="宋体" w:cs="宋体"/>
                <w:spacing w:val="26"/>
                <w:sz w:val="20"/>
                <w:szCs w:val="20"/>
              </w:rPr>
              <w:t>源</w:t>
            </w:r>
            <w:r>
              <w:rPr>
                <w:rFonts w:ascii="宋体" w:hAnsi="宋体" w:eastAsia="宋体" w:cs="宋体"/>
                <w:spacing w:val="25"/>
                <w:sz w:val="20"/>
                <w:szCs w:val="20"/>
              </w:rPr>
              <w:t>地</w:t>
            </w:r>
            <w:r>
              <w:rPr>
                <w:rFonts w:ascii="宋体" w:hAnsi="宋体" w:eastAsia="宋体" w:cs="宋体"/>
                <w:spacing w:val="13"/>
                <w:sz w:val="20"/>
                <w:szCs w:val="20"/>
              </w:rPr>
              <w:t>、湿地自然公园、森林自然公园、地质自然公园、其他重要生态保护区域等，面积</w:t>
            </w:r>
            <w:r>
              <w:rPr>
                <w:rFonts w:ascii="宋体" w:hAnsi="宋体" w:eastAsia="宋体" w:cs="宋体"/>
                <w:sz w:val="20"/>
                <w:szCs w:val="20"/>
              </w:rPr>
              <w:t xml:space="preserve"> </w:t>
            </w:r>
            <w:r>
              <w:rPr>
                <w:rFonts w:ascii="Times New Roman" w:hAnsi="Times New Roman" w:eastAsia="Times New Roman" w:cs="Times New Roman"/>
                <w:spacing w:val="6"/>
                <w:sz w:val="20"/>
                <w:szCs w:val="20"/>
              </w:rPr>
              <w:t>7</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3"/>
                <w:sz w:val="20"/>
                <w:szCs w:val="20"/>
              </w:rPr>
              <w:t>08.21</w:t>
            </w:r>
            <w:r>
              <w:rPr>
                <w:rFonts w:ascii="Times New Roman" w:hAnsi="Times New Roman" w:eastAsia="Times New Roman" w:cs="Times New Roman"/>
                <w:sz w:val="20"/>
                <w:szCs w:val="20"/>
              </w:rPr>
              <w:t>km</w:t>
            </w:r>
            <w:r>
              <w:rPr>
                <w:rFonts w:ascii="宋体" w:hAnsi="宋体" w:eastAsia="宋体" w:cs="宋体"/>
                <w:spacing w:val="3"/>
                <w:sz w:val="20"/>
                <w:szCs w:val="20"/>
              </w:rPr>
              <w:t>² ， 占达州市国土面积比例的</w:t>
            </w:r>
            <w:r>
              <w:rPr>
                <w:rFonts w:ascii="Times New Roman" w:hAnsi="Times New Roman" w:eastAsia="Times New Roman" w:cs="Times New Roman"/>
                <w:spacing w:val="3"/>
                <w:sz w:val="20"/>
                <w:szCs w:val="20"/>
              </w:rPr>
              <w:t xml:space="preserve">44.05% </w:t>
            </w:r>
            <w:r>
              <w:rPr>
                <w:rFonts w:ascii="宋体" w:hAnsi="宋体" w:eastAsia="宋体" w:cs="宋体"/>
                <w:spacing w:val="3"/>
                <w:sz w:val="20"/>
                <w:szCs w:val="20"/>
              </w:rPr>
              <w:t>。其中自然保护区有</w:t>
            </w:r>
            <w:r>
              <w:rPr>
                <w:rFonts w:ascii="Times New Roman" w:hAnsi="Times New Roman" w:eastAsia="Times New Roman" w:cs="Times New Roman"/>
                <w:spacing w:val="3"/>
                <w:sz w:val="20"/>
                <w:szCs w:val="20"/>
              </w:rPr>
              <w:t>3</w:t>
            </w:r>
            <w:r>
              <w:rPr>
                <w:rFonts w:ascii="宋体" w:hAnsi="宋体" w:eastAsia="宋体" w:cs="宋体"/>
                <w:spacing w:val="3"/>
                <w:sz w:val="20"/>
                <w:szCs w:val="20"/>
              </w:rPr>
              <w:t>处，分别为四川蜂桶</w:t>
            </w:r>
            <w:r>
              <w:rPr>
                <w:rFonts w:ascii="宋体" w:hAnsi="宋体" w:eastAsia="宋体" w:cs="宋体"/>
                <w:sz w:val="20"/>
                <w:szCs w:val="20"/>
              </w:rPr>
              <w:t xml:space="preserve"> </w:t>
            </w:r>
            <w:r>
              <w:rPr>
                <w:rFonts w:ascii="宋体" w:hAnsi="宋体" w:eastAsia="宋体" w:cs="宋体"/>
                <w:spacing w:val="15"/>
                <w:sz w:val="20"/>
                <w:szCs w:val="20"/>
              </w:rPr>
              <w:t>山</w:t>
            </w:r>
            <w:r>
              <w:rPr>
                <w:rFonts w:ascii="宋体" w:hAnsi="宋体" w:eastAsia="宋体" w:cs="宋体"/>
                <w:spacing w:val="8"/>
                <w:sz w:val="20"/>
                <w:szCs w:val="20"/>
              </w:rPr>
              <w:t>省级自然保护区、四川花萼山国家级自然保护区、四川宣汉县百里峡自然保护区，其边</w:t>
            </w:r>
            <w:r>
              <w:rPr>
                <w:rFonts w:ascii="宋体" w:hAnsi="宋体" w:eastAsia="宋体" w:cs="宋体"/>
                <w:sz w:val="20"/>
                <w:szCs w:val="20"/>
              </w:rPr>
              <w:t xml:space="preserve"> </w:t>
            </w:r>
            <w:r>
              <w:rPr>
                <w:rFonts w:ascii="宋体" w:hAnsi="宋体" w:eastAsia="宋体" w:cs="宋体"/>
                <w:spacing w:val="8"/>
                <w:sz w:val="20"/>
                <w:szCs w:val="20"/>
              </w:rPr>
              <w:t>界与</w:t>
            </w:r>
            <w:r>
              <w:rPr>
                <w:rFonts w:ascii="宋体" w:hAnsi="宋体" w:eastAsia="宋体" w:cs="宋体"/>
                <w:spacing w:val="4"/>
                <w:sz w:val="20"/>
                <w:szCs w:val="20"/>
              </w:rPr>
              <w:t>项目边界距离分别约为</w:t>
            </w:r>
            <w:r>
              <w:rPr>
                <w:rFonts w:ascii="Times New Roman" w:hAnsi="Times New Roman" w:eastAsia="Times New Roman" w:cs="Times New Roman"/>
                <w:spacing w:val="4"/>
                <w:sz w:val="20"/>
                <w:szCs w:val="20"/>
              </w:rPr>
              <w:t>110</w:t>
            </w:r>
            <w:r>
              <w:rPr>
                <w:rFonts w:ascii="Times New Roman" w:hAnsi="Times New Roman" w:eastAsia="Times New Roman" w:cs="Times New Roman"/>
                <w:sz w:val="20"/>
                <w:szCs w:val="20"/>
              </w:rPr>
              <w:t>km</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pacing w:val="4"/>
                <w:sz w:val="20"/>
                <w:szCs w:val="20"/>
              </w:rPr>
              <w:t>120</w:t>
            </w:r>
            <w:r>
              <w:rPr>
                <w:rFonts w:ascii="Times New Roman" w:hAnsi="Times New Roman" w:eastAsia="Times New Roman" w:cs="Times New Roman"/>
                <w:sz w:val="20"/>
                <w:szCs w:val="20"/>
              </w:rPr>
              <w:t>km</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pacing w:val="4"/>
                <w:sz w:val="20"/>
                <w:szCs w:val="20"/>
              </w:rPr>
              <w:t>100</w:t>
            </w:r>
            <w:r>
              <w:rPr>
                <w:rFonts w:ascii="Times New Roman" w:hAnsi="Times New Roman" w:eastAsia="Times New Roman" w:cs="Times New Roman"/>
                <w:sz w:val="20"/>
                <w:szCs w:val="20"/>
              </w:rPr>
              <w:t>km</w:t>
            </w:r>
            <w:r>
              <w:rPr>
                <w:rFonts w:ascii="宋体" w:hAnsi="宋体" w:eastAsia="宋体" w:cs="宋体"/>
                <w:spacing w:val="4"/>
                <w:sz w:val="20"/>
                <w:szCs w:val="20"/>
              </w:rPr>
              <w:t>。</w:t>
            </w:r>
          </w:p>
          <w:p>
            <w:pPr>
              <w:spacing w:line="226" w:lineRule="auto"/>
              <w:ind w:left="470"/>
              <w:rPr>
                <w:rFonts w:ascii="宋体" w:hAnsi="宋体" w:eastAsia="宋体" w:cs="宋体"/>
                <w:sz w:val="20"/>
                <w:szCs w:val="20"/>
              </w:rPr>
            </w:pPr>
            <w:r>
              <w:rPr>
                <w:rFonts w:ascii="宋体" w:hAnsi="宋体" w:eastAsia="宋体" w:cs="宋体"/>
                <w:spacing w:val="9"/>
                <w:sz w:val="20"/>
                <w:szCs w:val="20"/>
              </w:rPr>
              <w:t>项目与达州市生态保护红线的位置关系如下图</w:t>
            </w:r>
            <w:r>
              <w:rPr>
                <w:rFonts w:ascii="宋体" w:hAnsi="宋体" w:eastAsia="宋体" w:cs="宋体"/>
                <w:spacing w:val="6"/>
                <w:sz w:val="20"/>
                <w:szCs w:val="20"/>
              </w:rPr>
              <w:t>。</w:t>
            </w:r>
          </w:p>
          <w:p>
            <w:pPr>
              <w:spacing w:before="15" w:line="5191" w:lineRule="exact"/>
              <w:ind w:firstLine="166"/>
              <w:textAlignment w:val="center"/>
            </w:pPr>
            <w:r>
              <w:pict>
                <v:group id="_x0000_s1032" o:spid="_x0000_s1032" o:spt="203" style="height:259.6pt;width:392.8pt;" coordsize="7855,5192">
                  <o:lock v:ext="edit"/>
                  <v:shape id="_x0000_s1033" o:spid="_x0000_s1033" o:spt="75" type="#_x0000_t75" style="position:absolute;left:0;top:0;height:5192;width:7855;" filled="f" stroked="f" coordsize="21600,21600">
                    <v:path/>
                    <v:fill on="f" focussize="0,0"/>
                    <v:stroke on="f"/>
                    <v:imagedata r:id="rId155" o:title=""/>
                    <o:lock v:ext="edit" aspectratio="t"/>
                  </v:shape>
                  <v:shape id="_x0000_s1034" o:spid="_x0000_s1034" o:spt="75" type="#_x0000_t75" style="position:absolute;left:2599;top:2950;height:1281;width:1183;" filled="f" stroked="f" coordsize="21600,21600">
                    <v:path/>
                    <v:fill on="f" focussize="0,0"/>
                    <v:stroke on="f"/>
                    <v:imagedata r:id="rId156" o:title=""/>
                    <o:lock v:ext="edit" aspectratio="t"/>
                  </v:shape>
                  <v:shape id="_x0000_s1035" o:spid="_x0000_s1035" o:spt="202" type="#_x0000_t202" style="position:absolute;left:2587;top:2910;height:1295;width:1148;" filled="f" stroked="f" coordsize="21600,21600">
                    <v:path/>
                    <v:fill on="f" focussize="0,0"/>
                    <v:stroke on="f"/>
                    <v:imagedata o:title=""/>
                    <o:lock v:ext="edit" aspectratio="f"/>
                    <v:textbox inset="0mm,0mm,0mm,0mm">
                      <w:txbxContent>
                        <w:p>
                          <w:pPr>
                            <w:spacing w:before="20" w:line="104" w:lineRule="exact"/>
                            <w:ind w:firstLine="20"/>
                            <w:textAlignment w:val="center"/>
                          </w:pPr>
                          <w:r>
                            <w:drawing>
                              <wp:inline distT="0" distB="0" distL="0" distR="0">
                                <wp:extent cx="68580" cy="6604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57"/>
                                        <a:stretch>
                                          <a:fillRect/>
                                        </a:stretch>
                                      </pic:blipFill>
                                      <pic:spPr>
                                        <a:xfrm>
                                          <a:off x="0" y="0"/>
                                          <a:ext cx="68808" cy="66090"/>
                                        </a:xfrm>
                                        <a:prstGeom prst="rect">
                                          <a:avLst/>
                                        </a:prstGeom>
                                      </pic:spPr>
                                    </pic:pic>
                                  </a:graphicData>
                                </a:graphic>
                              </wp:inline>
                            </w:drawing>
                          </w: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65" w:line="228" w:lineRule="auto"/>
                            <w:ind w:left="87"/>
                            <w:rPr>
                              <w:rFonts w:ascii="宋体" w:hAnsi="宋体" w:eastAsia="宋体" w:cs="宋体"/>
                              <w:sz w:val="20"/>
                              <w:szCs w:val="20"/>
                            </w:rPr>
                          </w:pPr>
                          <w:r>
                            <w:rPr>
                              <w:rFonts w:ascii="宋体" w:hAnsi="宋体" w:eastAsia="宋体" w:cs="宋体"/>
                              <w:color w:val="FF0000"/>
                              <w:spacing w:val="8"/>
                              <w:sz w:val="20"/>
                              <w:szCs w:val="20"/>
                              <w14:textOutline w14:w="3795" w14:cap="sq" w14:cmpd="sng">
                                <w14:solidFill>
                                  <w14:srgbClr w14:val="FF0000"/>
                                </w14:solidFill>
                                <w14:prstDash w14:val="solid"/>
                                <w14:bevel/>
                              </w14:textOutline>
                            </w:rPr>
                            <w:t>项目所在</w:t>
                          </w:r>
                          <w:r>
                            <w:rPr>
                              <w:rFonts w:ascii="宋体" w:hAnsi="宋体" w:eastAsia="宋体" w:cs="宋体"/>
                              <w:color w:val="FF0000"/>
                              <w:spacing w:val="7"/>
                              <w:sz w:val="20"/>
                              <w:szCs w:val="20"/>
                              <w14:textOutline w14:w="3795" w14:cap="sq" w14:cmpd="sng">
                                <w14:solidFill>
                                  <w14:srgbClr w14:val="FF0000"/>
                                </w14:solidFill>
                                <w14:prstDash w14:val="solid"/>
                                <w14:bevel/>
                              </w14:textOutline>
                            </w:rPr>
                            <w:t>地</w:t>
                          </w:r>
                        </w:p>
                      </w:txbxContent>
                    </v:textbox>
                  </v:shape>
                  <w10:wrap type="none"/>
                  <w10:anchorlock/>
                </v:group>
              </w:pict>
            </w:r>
          </w:p>
          <w:p>
            <w:pPr>
              <w:spacing w:before="161" w:line="231" w:lineRule="auto"/>
              <w:ind w:left="2672"/>
              <w:rPr>
                <w:rFonts w:ascii="黑体" w:hAnsi="黑体" w:eastAsia="黑体" w:cs="黑体"/>
                <w:sz w:val="19"/>
                <w:szCs w:val="19"/>
              </w:rPr>
            </w:pPr>
            <w:r>
              <w:rPr>
                <w:rFonts w:ascii="黑体" w:hAnsi="黑体" w:eastAsia="黑体" w:cs="黑体"/>
                <w:spacing w:val="14"/>
                <w:sz w:val="19"/>
                <w:szCs w:val="19"/>
              </w:rPr>
              <w:t>图</w:t>
            </w:r>
            <w:r>
              <w:rPr>
                <w:rFonts w:ascii="Times New Roman" w:hAnsi="Times New Roman" w:eastAsia="Times New Roman" w:cs="Times New Roman"/>
                <w:spacing w:val="8"/>
                <w:sz w:val="19"/>
                <w:szCs w:val="19"/>
              </w:rPr>
              <w:t>2</w:t>
            </w:r>
            <w:r>
              <w:rPr>
                <w:rFonts w:ascii="黑体" w:hAnsi="黑体" w:eastAsia="黑体" w:cs="黑体"/>
                <w:spacing w:val="8"/>
                <w:sz w:val="19"/>
                <w:szCs w:val="19"/>
              </w:rPr>
              <w:t>：达州市生态保护红线分布图</w:t>
            </w:r>
          </w:p>
          <w:p>
            <w:pPr>
              <w:spacing w:before="133" w:line="227" w:lineRule="auto"/>
              <w:ind w:left="489"/>
              <w:rPr>
                <w:rFonts w:ascii="宋体" w:hAnsi="宋体" w:eastAsia="宋体" w:cs="宋体"/>
                <w:sz w:val="20"/>
                <w:szCs w:val="20"/>
              </w:rPr>
            </w:pPr>
            <w:r>
              <w:rPr>
                <w:rFonts w:ascii="宋体" w:hAnsi="宋体" w:eastAsia="宋体" w:cs="宋体"/>
                <w:spacing w:val="12"/>
                <w:sz w:val="20"/>
                <w:szCs w:val="20"/>
              </w:rPr>
              <w:t>通过与</w:t>
            </w:r>
            <w:r>
              <w:rPr>
                <w:rFonts w:ascii="宋体" w:hAnsi="宋体" w:eastAsia="宋体" w:cs="宋体"/>
                <w:spacing w:val="11"/>
                <w:sz w:val="20"/>
                <w:szCs w:val="20"/>
              </w:rPr>
              <w:t>达</w:t>
            </w:r>
            <w:r>
              <w:rPr>
                <w:rFonts w:ascii="宋体" w:hAnsi="宋体" w:eastAsia="宋体" w:cs="宋体"/>
                <w:spacing w:val="6"/>
                <w:sz w:val="20"/>
                <w:szCs w:val="20"/>
              </w:rPr>
              <w:t>州市生态保护红线图 (调整后) 对比分析，本项目不涉及达州市生态保护红</w:t>
            </w:r>
          </w:p>
          <w:p>
            <w:pPr>
              <w:spacing w:before="153" w:line="228" w:lineRule="auto"/>
              <w:ind w:left="71"/>
              <w:rPr>
                <w:rFonts w:ascii="宋体" w:hAnsi="宋体" w:eastAsia="宋体" w:cs="宋体"/>
                <w:sz w:val="20"/>
                <w:szCs w:val="20"/>
              </w:rPr>
            </w:pPr>
            <w:r>
              <w:rPr>
                <w:rFonts w:ascii="宋体" w:hAnsi="宋体" w:eastAsia="宋体" w:cs="宋体"/>
                <w:spacing w:val="8"/>
                <w:sz w:val="20"/>
                <w:szCs w:val="20"/>
              </w:rPr>
              <w:t>线，也不涉及自然保护地</w:t>
            </w:r>
            <w:r>
              <w:rPr>
                <w:rFonts w:ascii="宋体" w:hAnsi="宋体" w:eastAsia="宋体" w:cs="宋体"/>
                <w:spacing w:val="7"/>
                <w:sz w:val="20"/>
                <w:szCs w:val="20"/>
              </w:rPr>
              <w:t>。</w:t>
            </w:r>
          </w:p>
          <w:p>
            <w:pPr>
              <w:spacing w:before="153" w:line="227" w:lineRule="auto"/>
              <w:ind w:left="492"/>
              <w:rPr>
                <w:rFonts w:ascii="宋体" w:hAnsi="宋体" w:eastAsia="宋体" w:cs="宋体"/>
                <w:sz w:val="20"/>
                <w:szCs w:val="20"/>
              </w:rPr>
            </w:pPr>
            <w:r>
              <w:rPr>
                <w:rFonts w:ascii="宋体" w:hAnsi="宋体" w:eastAsia="宋体" w:cs="宋体"/>
                <w:spacing w:val="9"/>
                <w:sz w:val="20"/>
                <w:szCs w:val="20"/>
              </w:rPr>
              <w:t>项目与达州市生态空间分布图的位置关系如下图</w:t>
            </w:r>
            <w:r>
              <w:rPr>
                <w:rFonts w:ascii="宋体" w:hAnsi="宋体" w:eastAsia="宋体" w:cs="宋体"/>
                <w:spacing w:val="6"/>
                <w:sz w:val="20"/>
                <w:szCs w:val="20"/>
              </w:rPr>
              <w:t>。</w:t>
            </w:r>
          </w:p>
        </w:tc>
      </w:tr>
    </w:tbl>
    <w:p>
      <w:pPr>
        <w:spacing w:line="163" w:lineRule="exact"/>
        <w:rPr>
          <w:rFonts w:ascii="Arial"/>
          <w:sz w:val="14"/>
        </w:rPr>
      </w:pPr>
    </w:p>
    <w:p>
      <w:pPr>
        <w:sectPr>
          <w:footerReference r:id="rId12" w:type="default"/>
          <w:pgSz w:w="11906" w:h="16839"/>
          <w:pgMar w:top="400" w:right="1434" w:bottom="1473" w:left="1521" w:header="0" w:footer="1315" w:gutter="0"/>
          <w:cols w:space="720" w:num="1"/>
        </w:sectPr>
      </w:pPr>
    </w:p>
    <w:p/>
    <w:p/>
    <w:p/>
    <w:p/>
    <w:p>
      <w:pPr>
        <w:spacing w:line="221" w:lineRule="exact"/>
      </w:pPr>
    </w:p>
    <w:tbl>
      <w:tblPr>
        <w:tblStyle w:val="4"/>
        <w:tblW w:w="893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4"/>
        <w:gridCol w:w="82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04" w:hRule="atLeast"/>
        </w:trPr>
        <w:tc>
          <w:tcPr>
            <w:tcW w:w="714" w:type="dxa"/>
            <w:tcBorders>
              <w:left w:val="single" w:color="00000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5" w:line="228"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其</w:t>
            </w:r>
            <w:r>
              <w:rPr>
                <w:rFonts w:ascii="宋体" w:hAnsi="宋体" w:eastAsia="宋体" w:cs="宋体"/>
                <w:spacing w:val="7"/>
                <w:sz w:val="20"/>
                <w:szCs w:val="20"/>
                <w14:textOutline w14:w="3795" w14:cap="sq" w14:cmpd="sng">
                  <w14:solidFill>
                    <w14:srgbClr w14:val="000000"/>
                  </w14:solidFill>
                  <w14:prstDash w14:val="solid"/>
                  <w14:bevel/>
                </w14:textOutline>
              </w:rPr>
              <w:t>他符</w:t>
            </w:r>
          </w:p>
          <w:p>
            <w:pPr>
              <w:spacing w:before="164" w:line="228"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合</w:t>
            </w:r>
            <w:r>
              <w:rPr>
                <w:rFonts w:ascii="宋体" w:hAnsi="宋体" w:eastAsia="宋体" w:cs="宋体"/>
                <w:spacing w:val="7"/>
                <w:sz w:val="20"/>
                <w:szCs w:val="20"/>
                <w14:textOutline w14:w="3795" w14:cap="sq" w14:cmpd="sng">
                  <w14:solidFill>
                    <w14:srgbClr w14:val="000000"/>
                  </w14:solidFill>
                  <w14:prstDash w14:val="solid"/>
                  <w14:bevel/>
                </w14:textOutline>
              </w:rPr>
              <w:t>性分</w:t>
            </w:r>
          </w:p>
          <w:p>
            <w:pPr>
              <w:spacing w:before="160" w:line="228" w:lineRule="auto"/>
              <w:ind w:left="251"/>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析</w:t>
            </w:r>
          </w:p>
        </w:tc>
        <w:tc>
          <w:tcPr>
            <w:tcW w:w="8221" w:type="dxa"/>
            <w:tcBorders>
              <w:right w:val="single" w:color="000000" w:sz="6" w:space="0"/>
            </w:tcBorders>
            <w:vAlign w:val="top"/>
          </w:tcPr>
          <w:p>
            <w:pPr>
              <w:spacing w:before="30" w:line="4896" w:lineRule="exact"/>
              <w:ind w:firstLine="252"/>
              <w:textAlignment w:val="center"/>
            </w:pPr>
            <w:r>
              <w:pict>
                <v:group id="_x0000_s1036" o:spid="_x0000_s1036" o:spt="203" style="height:244.8pt;width:381.4pt;" coordsize="7627,4896">
                  <o:lock v:ext="edit"/>
                  <v:shape id="_x0000_s1037" o:spid="_x0000_s1037" o:spt="75" type="#_x0000_t75" style="position:absolute;left:0;top:0;height:4896;width:7627;" filled="f" stroked="f" coordsize="21600,21600">
                    <v:path/>
                    <v:fill on="f" focussize="0,0"/>
                    <v:stroke on="f"/>
                    <v:imagedata r:id="rId158" o:title=""/>
                    <o:lock v:ext="edit" aspectratio="t"/>
                  </v:shape>
                  <v:shape id="_x0000_s1038" o:spid="_x0000_s1038" o:spt="75" type="#_x0000_t75" style="position:absolute;left:2664;top:2727;height:1315;width:1308;" filled="f" stroked="f" coordsize="21600,21600">
                    <v:path/>
                    <v:fill on="f" focussize="0,0"/>
                    <v:stroke on="f"/>
                    <v:imagedata r:id="rId159" o:title=""/>
                    <o:lock v:ext="edit" aspectratio="t"/>
                  </v:shape>
                  <v:shape id="_x0000_s1039" o:spid="_x0000_s1039" o:spt="202" type="#_x0000_t202" style="position:absolute;left:2611;top:2722;height:1333;width:1244;" filled="f" stroked="f" coordsize="21600,21600">
                    <v:path/>
                    <v:fill on="f" focussize="0,0"/>
                    <v:stroke on="f"/>
                    <v:imagedata o:title=""/>
                    <o:lock v:ext="edit" aspectratio="f"/>
                    <v:textbox inset="0mm,0mm,0mm,0mm">
                      <w:txbxContent>
                        <w:p>
                          <w:pPr>
                            <w:spacing w:before="20" w:line="102" w:lineRule="exact"/>
                            <w:ind w:firstLine="20"/>
                            <w:textAlignment w:val="center"/>
                          </w:pPr>
                          <w:r>
                            <w:drawing>
                              <wp:inline distT="0" distB="0" distL="0" distR="0">
                                <wp:extent cx="67310" cy="64770"/>
                                <wp:effectExtent l="0" t="0" r="0" b="0"/>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160"/>
                                        <a:stretch>
                                          <a:fillRect/>
                                        </a:stretch>
                                      </pic:blipFill>
                                      <pic:spPr>
                                        <a:xfrm>
                                          <a:off x="0" y="0"/>
                                          <a:ext cx="67704" cy="64820"/>
                                        </a:xfrm>
                                        <a:prstGeom prst="rect">
                                          <a:avLst/>
                                        </a:prstGeom>
                                      </pic:spPr>
                                    </pic:pic>
                                  </a:graphicData>
                                </a:graphic>
                              </wp:inline>
                            </w:drawing>
                          </w: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before="61" w:line="229" w:lineRule="auto"/>
                            <w:ind w:left="231"/>
                            <w:rPr>
                              <w:rFonts w:ascii="宋体" w:hAnsi="宋体" w:eastAsia="宋体" w:cs="宋体"/>
                              <w:sz w:val="19"/>
                              <w:szCs w:val="19"/>
                            </w:rPr>
                          </w:pPr>
                          <w:r>
                            <w:rPr>
                              <w:rFonts w:ascii="宋体" w:hAnsi="宋体" w:eastAsia="宋体" w:cs="宋体"/>
                              <w:color w:val="FF0000"/>
                              <w:spacing w:val="10"/>
                              <w:sz w:val="19"/>
                              <w:szCs w:val="19"/>
                              <w14:textOutline w14:w="3614" w14:cap="sq" w14:cmpd="sng">
                                <w14:solidFill>
                                  <w14:srgbClr w14:val="FF0000"/>
                                </w14:solidFill>
                                <w14:prstDash w14:val="solid"/>
                                <w14:bevel/>
                              </w14:textOutline>
                            </w:rPr>
                            <w:t>项</w:t>
                          </w:r>
                          <w:r>
                            <w:rPr>
                              <w:rFonts w:ascii="宋体" w:hAnsi="宋体" w:eastAsia="宋体" w:cs="宋体"/>
                              <w:color w:val="FF0000"/>
                              <w:spacing w:val="8"/>
                              <w:sz w:val="19"/>
                              <w:szCs w:val="19"/>
                              <w14:textOutline w14:w="3614" w14:cap="sq" w14:cmpd="sng">
                                <w14:solidFill>
                                  <w14:srgbClr w14:val="FF0000"/>
                                </w14:solidFill>
                                <w14:prstDash w14:val="solid"/>
                                <w14:bevel/>
                              </w14:textOutline>
                            </w:rPr>
                            <w:t>目所在地</w:t>
                          </w:r>
                        </w:p>
                      </w:txbxContent>
                    </v:textbox>
                  </v:shape>
                  <w10:wrap type="none"/>
                  <w10:anchorlock/>
                </v:group>
              </w:pict>
            </w:r>
          </w:p>
          <w:p>
            <w:pPr>
              <w:spacing w:before="175" w:line="231" w:lineRule="auto"/>
              <w:ind w:left="2874"/>
              <w:rPr>
                <w:rFonts w:ascii="黑体" w:hAnsi="黑体" w:eastAsia="黑体" w:cs="黑体"/>
                <w:sz w:val="19"/>
                <w:szCs w:val="19"/>
              </w:rPr>
            </w:pPr>
            <w:r>
              <w:rPr>
                <w:rFonts w:ascii="黑体" w:hAnsi="黑体" w:eastAsia="黑体" w:cs="黑体"/>
                <w:spacing w:val="8"/>
                <w:sz w:val="19"/>
                <w:szCs w:val="19"/>
              </w:rPr>
              <w:t>图</w:t>
            </w:r>
            <w:r>
              <w:rPr>
                <w:rFonts w:ascii="Times New Roman" w:hAnsi="Times New Roman" w:eastAsia="Times New Roman" w:cs="Times New Roman"/>
                <w:spacing w:val="8"/>
                <w:sz w:val="19"/>
                <w:szCs w:val="19"/>
              </w:rPr>
              <w:t>3</w:t>
            </w:r>
            <w:r>
              <w:rPr>
                <w:rFonts w:ascii="黑体" w:hAnsi="黑体" w:eastAsia="黑体" w:cs="黑体"/>
                <w:spacing w:val="8"/>
                <w:sz w:val="19"/>
                <w:szCs w:val="19"/>
              </w:rPr>
              <w:t>：达州市生态空间分布</w:t>
            </w:r>
            <w:r>
              <w:rPr>
                <w:rFonts w:ascii="黑体" w:hAnsi="黑体" w:eastAsia="黑体" w:cs="黑体"/>
                <w:spacing w:val="7"/>
                <w:sz w:val="19"/>
                <w:szCs w:val="19"/>
              </w:rPr>
              <w:t>图</w:t>
            </w:r>
          </w:p>
          <w:p>
            <w:pPr>
              <w:spacing w:before="130" w:line="370" w:lineRule="auto"/>
              <w:ind w:left="63" w:right="45" w:firstLine="407"/>
              <w:rPr>
                <w:rFonts w:ascii="宋体" w:hAnsi="宋体" w:eastAsia="宋体" w:cs="宋体"/>
                <w:sz w:val="20"/>
                <w:szCs w:val="20"/>
              </w:rPr>
            </w:pPr>
            <w:r>
              <w:rPr>
                <w:rFonts w:ascii="宋体" w:hAnsi="宋体" w:eastAsia="宋体" w:cs="宋体"/>
                <w:spacing w:val="8"/>
                <w:sz w:val="20"/>
                <w:szCs w:val="20"/>
              </w:rPr>
              <w:t>综上，本项目所在区域属于优先保护单元，但项目区不在饮用水源保护区、自然保</w:t>
            </w:r>
            <w:r>
              <w:rPr>
                <w:rFonts w:ascii="宋体" w:hAnsi="宋体" w:eastAsia="宋体" w:cs="宋体"/>
                <w:spacing w:val="7"/>
                <w:sz w:val="20"/>
                <w:szCs w:val="20"/>
              </w:rPr>
              <w:t>护</w:t>
            </w:r>
            <w:r>
              <w:rPr>
                <w:rFonts w:ascii="宋体" w:hAnsi="宋体" w:eastAsia="宋体" w:cs="宋体"/>
                <w:sz w:val="20"/>
                <w:szCs w:val="20"/>
              </w:rPr>
              <w:t xml:space="preserve"> </w:t>
            </w:r>
            <w:r>
              <w:rPr>
                <w:rFonts w:ascii="宋体" w:hAnsi="宋体" w:eastAsia="宋体" w:cs="宋体"/>
                <w:spacing w:val="9"/>
                <w:sz w:val="20"/>
                <w:szCs w:val="20"/>
              </w:rPr>
              <w:t>区、风景名胜区、湿地公园、地质公园等各类生态保护红线范围内</w:t>
            </w:r>
            <w:r>
              <w:rPr>
                <w:rFonts w:ascii="宋体" w:hAnsi="宋体" w:eastAsia="宋体" w:cs="宋体"/>
                <w:spacing w:val="4"/>
                <w:sz w:val="20"/>
                <w:szCs w:val="20"/>
              </w:rPr>
              <w:t>。</w:t>
            </w:r>
          </w:p>
          <w:p>
            <w:pPr>
              <w:spacing w:line="227" w:lineRule="auto"/>
              <w:ind w:left="498"/>
              <w:rPr>
                <w:rFonts w:ascii="宋体" w:hAnsi="宋体" w:eastAsia="宋体" w:cs="宋体"/>
                <w:sz w:val="20"/>
                <w:szCs w:val="20"/>
              </w:rPr>
            </w:pPr>
            <w:r>
              <w:rPr>
                <w:rFonts w:ascii="宋体" w:hAnsi="宋体" w:eastAsia="宋体" w:cs="宋体"/>
                <w:spacing w:val="8"/>
                <w:sz w:val="17"/>
                <w:szCs w:val="17"/>
                <w14:textOutline w14:w="3268" w14:cap="sq" w14:cmpd="sng">
                  <w14:solidFill>
                    <w14:srgbClr w14:val="000000"/>
                  </w14:solidFill>
                  <w14:prstDash w14:val="solid"/>
                  <w14:bevel/>
                </w14:textOutline>
              </w:rPr>
              <w:t>3</w:t>
            </w:r>
            <w:r>
              <w:rPr>
                <w:rFonts w:ascii="宋体" w:hAnsi="宋体" w:eastAsia="宋体" w:cs="宋体"/>
                <w:spacing w:val="7"/>
                <w:sz w:val="17"/>
                <w:szCs w:val="17"/>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生态环境准入清单符合性分析</w:t>
            </w:r>
          </w:p>
          <w:p>
            <w:pPr>
              <w:spacing w:before="151" w:line="228" w:lineRule="auto"/>
              <w:ind w:left="470"/>
              <w:rPr>
                <w:rFonts w:ascii="宋体" w:hAnsi="宋体" w:eastAsia="宋体" w:cs="宋体"/>
                <w:sz w:val="20"/>
                <w:szCs w:val="20"/>
              </w:rPr>
            </w:pPr>
            <w:r>
              <w:rPr>
                <w:rFonts w:ascii="宋体" w:hAnsi="宋体" w:eastAsia="宋体" w:cs="宋体"/>
                <w:spacing w:val="9"/>
                <w:sz w:val="20"/>
                <w:szCs w:val="20"/>
              </w:rPr>
              <w:t>项目所在地生态环境准入清单符合性分析见下表</w:t>
            </w:r>
            <w:r>
              <w:rPr>
                <w:rFonts w:ascii="宋体" w:hAnsi="宋体" w:eastAsia="宋体" w:cs="宋体"/>
                <w:spacing w:val="8"/>
                <w:sz w:val="20"/>
                <w:szCs w:val="20"/>
              </w:rPr>
              <w:t>。</w:t>
            </w:r>
          </w:p>
          <w:p>
            <w:pPr>
              <w:spacing w:before="132" w:line="230" w:lineRule="auto"/>
              <w:ind w:left="2063"/>
              <w:rPr>
                <w:rFonts w:ascii="黑体" w:hAnsi="黑体" w:eastAsia="黑体" w:cs="黑体"/>
                <w:sz w:val="19"/>
                <w:szCs w:val="19"/>
              </w:rPr>
            </w:pPr>
            <w:r>
              <w:rPr>
                <w:rFonts w:ascii="黑体" w:hAnsi="黑体" w:eastAsia="黑体" w:cs="黑体"/>
                <w:spacing w:val="11"/>
                <w:sz w:val="19"/>
                <w:szCs w:val="19"/>
              </w:rPr>
              <w:t>表</w:t>
            </w:r>
            <w:r>
              <w:rPr>
                <w:rFonts w:ascii="Times New Roman" w:hAnsi="Times New Roman" w:eastAsia="Times New Roman" w:cs="Times New Roman"/>
                <w:spacing w:val="8"/>
                <w:sz w:val="19"/>
                <w:szCs w:val="19"/>
              </w:rPr>
              <w:t xml:space="preserve">4    </w:t>
            </w:r>
            <w:r>
              <w:rPr>
                <w:rFonts w:ascii="黑体" w:hAnsi="黑体" w:eastAsia="黑体" w:cs="黑体"/>
                <w:spacing w:val="8"/>
                <w:sz w:val="19"/>
                <w:szCs w:val="19"/>
              </w:rPr>
              <w:t>项目与生态环境准入清单的符合性分析表</w:t>
            </w:r>
          </w:p>
          <w:p>
            <w:pPr>
              <w:spacing w:line="62" w:lineRule="auto"/>
              <w:rPr>
                <w:rFonts w:ascii="Arial"/>
                <w:sz w:val="2"/>
              </w:rPr>
            </w:pPr>
          </w:p>
          <w:tbl>
            <w:tblPr>
              <w:tblStyle w:val="4"/>
              <w:tblW w:w="7803" w:type="dxa"/>
              <w:tblInd w:w="2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1"/>
              <w:gridCol w:w="283"/>
              <w:gridCol w:w="405"/>
              <w:gridCol w:w="5098"/>
              <w:gridCol w:w="1039"/>
              <w:gridCol w:w="4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6347" w:type="dxa"/>
                  <w:gridSpan w:val="4"/>
                  <w:vAlign w:val="top"/>
                </w:tcPr>
                <w:p>
                  <w:pPr>
                    <w:spacing w:before="75" w:line="231" w:lineRule="auto"/>
                    <w:ind w:left="2235"/>
                    <w:rPr>
                      <w:rFonts w:ascii="宋体" w:hAnsi="宋体" w:eastAsia="宋体" w:cs="宋体"/>
                      <w:sz w:val="17"/>
                      <w:szCs w:val="17"/>
                    </w:rPr>
                  </w:pPr>
                  <w:r>
                    <w:rPr>
                      <w:rFonts w:ascii="Times New Roman" w:hAnsi="Times New Roman" w:eastAsia="Times New Roman" w:cs="Times New Roman"/>
                      <w:b/>
                      <w:bCs/>
                      <w:spacing w:val="20"/>
                      <w:sz w:val="17"/>
                      <w:szCs w:val="17"/>
                    </w:rPr>
                    <w:t>“</w:t>
                  </w:r>
                  <w:r>
                    <w:rPr>
                      <w:rFonts w:ascii="宋体" w:hAnsi="宋体" w:eastAsia="宋体" w:cs="宋体"/>
                      <w:spacing w:val="12"/>
                      <w:sz w:val="17"/>
                      <w:szCs w:val="17"/>
                      <w14:textOutline w14:w="3268" w14:cap="sq" w14:cmpd="sng">
                        <w14:solidFill>
                          <w14:srgbClr w14:val="000000"/>
                        </w14:solidFill>
                        <w14:prstDash w14:val="solid"/>
                        <w14:bevel/>
                      </w14:textOutline>
                    </w:rPr>
                    <w:t>三线一单</w:t>
                  </w:r>
                  <w:r>
                    <w:rPr>
                      <w:rFonts w:ascii="Times New Roman" w:hAnsi="Times New Roman" w:eastAsia="Times New Roman" w:cs="Times New Roman"/>
                      <w:b/>
                      <w:bCs/>
                      <w:spacing w:val="12"/>
                      <w:sz w:val="17"/>
                      <w:szCs w:val="17"/>
                    </w:rPr>
                    <w:t>”</w:t>
                  </w:r>
                  <w:r>
                    <w:rPr>
                      <w:rFonts w:ascii="宋体" w:hAnsi="宋体" w:eastAsia="宋体" w:cs="宋体"/>
                      <w:spacing w:val="12"/>
                      <w:sz w:val="17"/>
                      <w:szCs w:val="17"/>
                      <w14:textOutline w14:w="3268" w14:cap="sq" w14:cmpd="sng">
                        <w14:solidFill>
                          <w14:srgbClr w14:val="000000"/>
                        </w14:solidFill>
                        <w14:prstDash w14:val="solid"/>
                        <w14:bevel/>
                      </w14:textOutline>
                    </w:rPr>
                    <w:t>的具体要求</w:t>
                  </w:r>
                </w:p>
              </w:tc>
              <w:tc>
                <w:tcPr>
                  <w:tcW w:w="1039" w:type="dxa"/>
                  <w:vMerge w:val="restart"/>
                  <w:tcBorders>
                    <w:bottom w:val="nil"/>
                  </w:tcBorders>
                  <w:vAlign w:val="top"/>
                </w:tcPr>
                <w:p>
                  <w:pPr>
                    <w:spacing w:before="220" w:line="229" w:lineRule="auto"/>
                    <w:ind w:left="73"/>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本项目情</w:t>
                  </w:r>
                  <w:r>
                    <w:rPr>
                      <w:rFonts w:ascii="宋体" w:hAnsi="宋体" w:eastAsia="宋体" w:cs="宋体"/>
                      <w:spacing w:val="8"/>
                      <w:sz w:val="17"/>
                      <w:szCs w:val="17"/>
                      <w14:textOutline w14:w="3268" w14:cap="sq" w14:cmpd="sng">
                        <w14:solidFill>
                          <w14:srgbClr w14:val="000000"/>
                        </w14:solidFill>
                        <w14:prstDash w14:val="solid"/>
                        <w14:bevel/>
                      </w14:textOutline>
                    </w:rPr>
                    <w:t>况</w:t>
                  </w:r>
                </w:p>
              </w:tc>
              <w:tc>
                <w:tcPr>
                  <w:tcW w:w="417" w:type="dxa"/>
                  <w:vMerge w:val="restart"/>
                  <w:tcBorders>
                    <w:bottom w:val="nil"/>
                  </w:tcBorders>
                  <w:vAlign w:val="top"/>
                </w:tcPr>
                <w:p>
                  <w:pPr>
                    <w:spacing w:before="80" w:line="267" w:lineRule="auto"/>
                    <w:ind w:left="124" w:right="26" w:hanging="91"/>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符</w:t>
                  </w:r>
                  <w:r>
                    <w:rPr>
                      <w:rFonts w:ascii="宋体" w:hAnsi="宋体" w:eastAsia="宋体" w:cs="宋体"/>
                      <w:spacing w:val="5"/>
                      <w:sz w:val="17"/>
                      <w:szCs w:val="17"/>
                      <w14:textOutline w14:w="3268" w14:cap="sq" w14:cmpd="sng">
                        <w14:solidFill>
                          <w14:srgbClr w14:val="000000"/>
                        </w14:solidFill>
                        <w14:prstDash w14:val="solid"/>
                        <w14:bevel/>
                      </w14:textOutline>
                    </w:rPr>
                    <w:t>合</w:t>
                  </w:r>
                  <w:r>
                    <w:rPr>
                      <w:rFonts w:ascii="宋体" w:hAnsi="宋体" w:eastAsia="宋体" w:cs="宋体"/>
                      <w:sz w:val="17"/>
                      <w:szCs w:val="17"/>
                    </w:rPr>
                    <w:t xml:space="preserve"> </w:t>
                  </w:r>
                  <w:r>
                    <w:rPr>
                      <w:rFonts w:ascii="宋体" w:hAnsi="宋体" w:eastAsia="宋体" w:cs="宋体"/>
                      <w:sz w:val="17"/>
                      <w:szCs w:val="17"/>
                      <w14:textOutline w14:w="3268" w14:cap="sq" w14:cmpd="sng">
                        <w14:solidFill>
                          <w14:srgbClr w14:val="000000"/>
                        </w14:solidFill>
                        <w14:prstDash w14:val="solid"/>
                        <w14:bevel/>
                      </w14:textOutline>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249" w:type="dxa"/>
                  <w:gridSpan w:val="3"/>
                  <w:vAlign w:val="top"/>
                </w:tcPr>
                <w:p>
                  <w:pPr>
                    <w:spacing w:before="72" w:line="230" w:lineRule="auto"/>
                    <w:ind w:left="448"/>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类别</w:t>
                  </w:r>
                </w:p>
              </w:tc>
              <w:tc>
                <w:tcPr>
                  <w:tcW w:w="5098" w:type="dxa"/>
                  <w:vAlign w:val="top"/>
                </w:tcPr>
                <w:p>
                  <w:pPr>
                    <w:spacing w:before="72" w:line="230" w:lineRule="auto"/>
                    <w:ind w:left="2009"/>
                    <w:rPr>
                      <w:rFonts w:ascii="宋体" w:hAnsi="宋体" w:eastAsia="宋体" w:cs="宋体"/>
                      <w:sz w:val="17"/>
                      <w:szCs w:val="17"/>
                    </w:rPr>
                  </w:pPr>
                  <w:r>
                    <w:rPr>
                      <w:rFonts w:ascii="宋体" w:hAnsi="宋体" w:eastAsia="宋体" w:cs="宋体"/>
                      <w:spacing w:val="13"/>
                      <w:sz w:val="17"/>
                      <w:szCs w:val="17"/>
                      <w14:textOutline w14:w="3268" w14:cap="sq" w14:cmpd="sng">
                        <w14:solidFill>
                          <w14:srgbClr w14:val="000000"/>
                        </w14:solidFill>
                        <w14:prstDash w14:val="solid"/>
                        <w14:bevel/>
                      </w14:textOutline>
                    </w:rPr>
                    <w:t>对</w:t>
                  </w:r>
                  <w:r>
                    <w:rPr>
                      <w:rFonts w:ascii="宋体" w:hAnsi="宋体" w:eastAsia="宋体" w:cs="宋体"/>
                      <w:spacing w:val="9"/>
                      <w:sz w:val="17"/>
                      <w:szCs w:val="17"/>
                      <w14:textOutline w14:w="3268" w14:cap="sq" w14:cmpd="sng">
                        <w14:solidFill>
                          <w14:srgbClr w14:val="000000"/>
                        </w14:solidFill>
                        <w14:prstDash w14:val="solid"/>
                        <w14:bevel/>
                      </w14:textOutline>
                    </w:rPr>
                    <w:t>应管控要求</w:t>
                  </w:r>
                </w:p>
              </w:tc>
              <w:tc>
                <w:tcPr>
                  <w:tcW w:w="1039" w:type="dxa"/>
                  <w:vMerge w:val="continue"/>
                  <w:tcBorders>
                    <w:top w:val="nil"/>
                  </w:tcBorders>
                  <w:vAlign w:val="top"/>
                </w:tcPr>
                <w:p>
                  <w:pPr>
                    <w:rPr>
                      <w:rFonts w:ascii="Arial"/>
                      <w:sz w:val="21"/>
                    </w:rPr>
                  </w:pPr>
                </w:p>
              </w:tc>
              <w:tc>
                <w:tcPr>
                  <w:tcW w:w="41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3" w:hRule="atLeast"/>
              </w:trPr>
              <w:tc>
                <w:tcPr>
                  <w:tcW w:w="561"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56" w:line="231" w:lineRule="auto"/>
                    <w:ind w:left="14"/>
                    <w:rPr>
                      <w:rFonts w:ascii="宋体" w:hAnsi="宋体" w:eastAsia="宋体" w:cs="宋体"/>
                      <w:sz w:val="17"/>
                      <w:szCs w:val="17"/>
                    </w:rPr>
                  </w:pPr>
                  <w:r>
                    <w:rPr>
                      <w:rFonts w:ascii="宋体" w:hAnsi="宋体" w:eastAsia="宋体" w:cs="宋体"/>
                      <w:spacing w:val="8"/>
                      <w:sz w:val="17"/>
                      <w:szCs w:val="17"/>
                    </w:rPr>
                    <w:t>环</w:t>
                  </w:r>
                  <w:r>
                    <w:rPr>
                      <w:rFonts w:ascii="宋体" w:hAnsi="宋体" w:eastAsia="宋体" w:cs="宋体"/>
                      <w:spacing w:val="7"/>
                      <w:sz w:val="17"/>
                      <w:szCs w:val="17"/>
                    </w:rPr>
                    <w:t>境综</w:t>
                  </w:r>
                </w:p>
                <w:p>
                  <w:pPr>
                    <w:spacing w:before="68" w:line="230" w:lineRule="auto"/>
                    <w:ind w:left="15"/>
                    <w:rPr>
                      <w:rFonts w:ascii="宋体" w:hAnsi="宋体" w:eastAsia="宋体" w:cs="宋体"/>
                      <w:sz w:val="17"/>
                      <w:szCs w:val="17"/>
                    </w:rPr>
                  </w:pPr>
                  <w:r>
                    <w:rPr>
                      <w:rFonts w:ascii="宋体" w:hAnsi="宋体" w:eastAsia="宋体" w:cs="宋体"/>
                      <w:spacing w:val="8"/>
                      <w:sz w:val="17"/>
                      <w:szCs w:val="17"/>
                    </w:rPr>
                    <w:t>合</w:t>
                  </w:r>
                  <w:r>
                    <w:rPr>
                      <w:rFonts w:ascii="宋体" w:hAnsi="宋体" w:eastAsia="宋体" w:cs="宋体"/>
                      <w:spacing w:val="7"/>
                      <w:sz w:val="17"/>
                      <w:szCs w:val="17"/>
                    </w:rPr>
                    <w:t>管控</w:t>
                  </w:r>
                </w:p>
                <w:p>
                  <w:pPr>
                    <w:spacing w:before="69" w:line="230" w:lineRule="auto"/>
                    <w:ind w:left="15"/>
                    <w:rPr>
                      <w:rFonts w:ascii="宋体" w:hAnsi="宋体" w:eastAsia="宋体" w:cs="宋体"/>
                      <w:sz w:val="17"/>
                      <w:szCs w:val="17"/>
                    </w:rPr>
                  </w:pPr>
                  <w:r>
                    <w:rPr>
                      <w:rFonts w:ascii="宋体" w:hAnsi="宋体" w:eastAsia="宋体" w:cs="宋体"/>
                      <w:spacing w:val="7"/>
                      <w:sz w:val="17"/>
                      <w:szCs w:val="17"/>
                    </w:rPr>
                    <w:t>单元城</w:t>
                  </w:r>
                </w:p>
                <w:p>
                  <w:pPr>
                    <w:spacing w:before="66" w:line="230" w:lineRule="auto"/>
                    <w:ind w:left="14"/>
                    <w:rPr>
                      <w:rFonts w:ascii="宋体" w:hAnsi="宋体" w:eastAsia="宋体" w:cs="宋体"/>
                      <w:sz w:val="17"/>
                      <w:szCs w:val="17"/>
                    </w:rPr>
                  </w:pPr>
                  <w:r>
                    <w:rPr>
                      <w:rFonts w:ascii="宋体" w:hAnsi="宋体" w:eastAsia="宋体" w:cs="宋体"/>
                      <w:spacing w:val="8"/>
                      <w:sz w:val="17"/>
                      <w:szCs w:val="17"/>
                    </w:rPr>
                    <w:t>镇</w:t>
                  </w:r>
                  <w:r>
                    <w:rPr>
                      <w:rFonts w:ascii="宋体" w:hAnsi="宋体" w:eastAsia="宋体" w:cs="宋体"/>
                      <w:spacing w:val="7"/>
                      <w:sz w:val="17"/>
                      <w:szCs w:val="17"/>
                    </w:rPr>
                    <w:t>重点</w:t>
                  </w:r>
                </w:p>
                <w:p>
                  <w:pPr>
                    <w:spacing w:before="69" w:line="230" w:lineRule="auto"/>
                    <w:ind w:left="18"/>
                    <w:rPr>
                      <w:rFonts w:ascii="宋体" w:hAnsi="宋体" w:eastAsia="宋体" w:cs="宋体"/>
                      <w:sz w:val="17"/>
                      <w:szCs w:val="17"/>
                    </w:rPr>
                  </w:pPr>
                  <w:r>
                    <w:rPr>
                      <w:rFonts w:ascii="宋体" w:hAnsi="宋体" w:eastAsia="宋体" w:cs="宋体"/>
                      <w:spacing w:val="6"/>
                      <w:sz w:val="17"/>
                      <w:szCs w:val="17"/>
                    </w:rPr>
                    <w:t>管控单</w:t>
                  </w:r>
                </w:p>
                <w:p>
                  <w:pPr>
                    <w:spacing w:before="68" w:line="231" w:lineRule="auto"/>
                    <w:ind w:left="195"/>
                    <w:rPr>
                      <w:rFonts w:ascii="宋体" w:hAnsi="宋体" w:eastAsia="宋体" w:cs="宋体"/>
                      <w:sz w:val="17"/>
                      <w:szCs w:val="17"/>
                    </w:rPr>
                  </w:pPr>
                  <w:r>
                    <w:rPr>
                      <w:rFonts w:ascii="宋体" w:hAnsi="宋体" w:eastAsia="宋体" w:cs="宋体"/>
                      <w:spacing w:val="1"/>
                      <w:sz w:val="17"/>
                      <w:szCs w:val="17"/>
                    </w:rPr>
                    <w:t>元</w:t>
                  </w:r>
                </w:p>
                <w:p>
                  <w:pPr>
                    <w:spacing w:line="326" w:lineRule="auto"/>
                    <w:rPr>
                      <w:rFonts w:ascii="Arial"/>
                      <w:sz w:val="21"/>
                    </w:rPr>
                  </w:pPr>
                </w:p>
                <w:p>
                  <w:pPr>
                    <w:spacing w:before="49" w:line="197" w:lineRule="auto"/>
                    <w:ind w:left="28"/>
                    <w:rPr>
                      <w:rFonts w:ascii="Times New Roman" w:hAnsi="Times New Roman" w:eastAsia="Times New Roman" w:cs="Times New Roman"/>
                      <w:sz w:val="17"/>
                      <w:szCs w:val="17"/>
                    </w:rPr>
                  </w:pPr>
                  <w:r>
                    <w:rPr>
                      <w:rFonts w:ascii="Times New Roman" w:hAnsi="Times New Roman" w:eastAsia="Times New Roman" w:cs="Times New Roman"/>
                      <w:sz w:val="17"/>
                      <w:szCs w:val="17"/>
                    </w:rPr>
                    <w:t>ZH</w:t>
                  </w:r>
                  <w:r>
                    <w:rPr>
                      <w:rFonts w:ascii="Times New Roman" w:hAnsi="Times New Roman" w:eastAsia="Times New Roman" w:cs="Times New Roman"/>
                      <w:spacing w:val="8"/>
                      <w:sz w:val="17"/>
                      <w:szCs w:val="17"/>
                    </w:rPr>
                    <w:t>51</w:t>
                  </w:r>
                  <w:r>
                    <w:rPr>
                      <w:rFonts w:ascii="Times New Roman" w:hAnsi="Times New Roman" w:eastAsia="Times New Roman" w:cs="Times New Roman"/>
                      <w:spacing w:val="7"/>
                      <w:sz w:val="17"/>
                      <w:szCs w:val="17"/>
                    </w:rPr>
                    <w:t>1</w:t>
                  </w:r>
                </w:p>
                <w:p>
                  <w:pPr>
                    <w:spacing w:before="118" w:line="197" w:lineRule="auto"/>
                    <w:ind w:left="1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702200</w:t>
                  </w:r>
                </w:p>
                <w:p>
                  <w:pPr>
                    <w:spacing w:before="120"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01</w:t>
                  </w:r>
                </w:p>
                <w:p>
                  <w:pPr>
                    <w:spacing w:line="313" w:lineRule="auto"/>
                    <w:rPr>
                      <w:rFonts w:ascii="Arial"/>
                      <w:sz w:val="21"/>
                    </w:rPr>
                  </w:pPr>
                </w:p>
                <w:p>
                  <w:pPr>
                    <w:spacing w:before="56" w:line="230" w:lineRule="auto"/>
                    <w:ind w:left="14"/>
                    <w:rPr>
                      <w:rFonts w:ascii="宋体" w:hAnsi="宋体" w:eastAsia="宋体" w:cs="宋体"/>
                      <w:sz w:val="17"/>
                      <w:szCs w:val="17"/>
                    </w:rPr>
                  </w:pPr>
                  <w:r>
                    <w:rPr>
                      <w:rFonts w:ascii="宋体" w:hAnsi="宋体" w:eastAsia="宋体" w:cs="宋体"/>
                      <w:spacing w:val="8"/>
                      <w:sz w:val="17"/>
                      <w:szCs w:val="17"/>
                    </w:rPr>
                    <w:t>通</w:t>
                  </w:r>
                  <w:r>
                    <w:rPr>
                      <w:rFonts w:ascii="宋体" w:hAnsi="宋体" w:eastAsia="宋体" w:cs="宋体"/>
                      <w:spacing w:val="7"/>
                      <w:sz w:val="17"/>
                      <w:szCs w:val="17"/>
                    </w:rPr>
                    <w:t>川区</w:t>
                  </w:r>
                </w:p>
                <w:p>
                  <w:pPr>
                    <w:spacing w:before="66" w:line="230" w:lineRule="auto"/>
                    <w:ind w:left="31"/>
                    <w:rPr>
                      <w:rFonts w:ascii="宋体" w:hAnsi="宋体" w:eastAsia="宋体" w:cs="宋体"/>
                      <w:sz w:val="17"/>
                      <w:szCs w:val="17"/>
                    </w:rPr>
                  </w:pPr>
                  <w:r>
                    <w:rPr>
                      <w:rFonts w:ascii="宋体" w:hAnsi="宋体" w:eastAsia="宋体" w:cs="宋体"/>
                      <w:spacing w:val="2"/>
                      <w:sz w:val="17"/>
                      <w:szCs w:val="17"/>
                    </w:rPr>
                    <w:t>中心城</w:t>
                  </w:r>
                </w:p>
                <w:p>
                  <w:pPr>
                    <w:spacing w:before="69" w:line="235" w:lineRule="auto"/>
                    <w:ind w:left="207"/>
                    <w:rPr>
                      <w:rFonts w:ascii="宋体" w:hAnsi="宋体" w:eastAsia="宋体" w:cs="宋体"/>
                      <w:sz w:val="17"/>
                      <w:szCs w:val="17"/>
                    </w:rPr>
                  </w:pPr>
                  <w:r>
                    <w:rPr>
                      <w:rFonts w:ascii="宋体" w:hAnsi="宋体" w:eastAsia="宋体" w:cs="宋体"/>
                      <w:sz w:val="17"/>
                      <w:szCs w:val="17"/>
                    </w:rPr>
                    <w:t>区</w:t>
                  </w:r>
                </w:p>
              </w:tc>
              <w:tc>
                <w:tcPr>
                  <w:tcW w:w="283" w:type="dxa"/>
                  <w:textDirection w:val="tbRlV"/>
                  <w:vAlign w:val="top"/>
                </w:tcPr>
                <w:p>
                  <w:pPr>
                    <w:spacing w:before="51" w:line="218" w:lineRule="auto"/>
                    <w:ind w:left="1191"/>
                    <w:rPr>
                      <w:rFonts w:ascii="宋体" w:hAnsi="宋体" w:eastAsia="宋体" w:cs="宋体"/>
                      <w:sz w:val="17"/>
                      <w:szCs w:val="17"/>
                    </w:rPr>
                  </w:pPr>
                  <w:r>
                    <w:rPr>
                      <w:rFonts w:ascii="宋体" w:hAnsi="宋体" w:eastAsia="宋体" w:cs="宋体"/>
                      <w:spacing w:val="20"/>
                      <w:sz w:val="17"/>
                      <w:szCs w:val="17"/>
                      <w14:textOutline w14:w="3268" w14:cap="sq" w14:cmpd="sng">
                        <w14:solidFill>
                          <w14:srgbClr w14:val="000000"/>
                        </w14:solidFill>
                        <w14:prstDash w14:val="solid"/>
                        <w14:bevel/>
                      </w14:textOutline>
                    </w:rPr>
                    <w:t>达</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州</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市</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普</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适</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性</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清</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单</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管</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控</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要</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求</w:t>
                  </w:r>
                </w:p>
              </w:tc>
              <w:tc>
                <w:tcPr>
                  <w:tcW w:w="405"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55" w:line="312" w:lineRule="auto"/>
                    <w:ind w:left="24" w:right="22" w:firstLine="5"/>
                    <w:rPr>
                      <w:rFonts w:ascii="宋体" w:hAnsi="宋体" w:eastAsia="宋体" w:cs="宋体"/>
                      <w:sz w:val="17"/>
                      <w:szCs w:val="17"/>
                    </w:rPr>
                  </w:pPr>
                  <w:r>
                    <w:rPr>
                      <w:rFonts w:ascii="宋体" w:hAnsi="宋体" w:eastAsia="宋体" w:cs="宋体"/>
                      <w:spacing w:val="4"/>
                      <w:sz w:val="17"/>
                      <w:szCs w:val="17"/>
                      <w14:textOutline w14:w="3268" w14:cap="sq" w14:cmpd="sng">
                        <w14:solidFill>
                          <w14:srgbClr w14:val="000000"/>
                        </w14:solidFill>
                        <w14:prstDash w14:val="solid"/>
                        <w14:bevel/>
                      </w14:textOutline>
                    </w:rPr>
                    <w:t>空</w:t>
                  </w:r>
                  <w:r>
                    <w:rPr>
                      <w:rFonts w:ascii="宋体" w:hAnsi="宋体" w:eastAsia="宋体" w:cs="宋体"/>
                      <w:spacing w:val="3"/>
                      <w:sz w:val="17"/>
                      <w:szCs w:val="17"/>
                      <w14:textOutline w14:w="3268" w14:cap="sq" w14:cmpd="sng">
                        <w14:solidFill>
                          <w14:srgbClr w14:val="000000"/>
                        </w14:solidFill>
                        <w14:prstDash w14:val="solid"/>
                        <w14:bevel/>
                      </w14:textOutline>
                    </w:rPr>
                    <w:t>间</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布局</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约束</w:t>
                  </w:r>
                </w:p>
              </w:tc>
              <w:tc>
                <w:tcPr>
                  <w:tcW w:w="5098" w:type="dxa"/>
                  <w:vAlign w:val="top"/>
                </w:tcPr>
                <w:p>
                  <w:pPr>
                    <w:spacing w:before="70" w:line="230" w:lineRule="auto"/>
                    <w:ind w:left="18"/>
                    <w:rPr>
                      <w:rFonts w:ascii="宋体" w:hAnsi="宋体" w:eastAsia="宋体" w:cs="宋体"/>
                      <w:sz w:val="17"/>
                      <w:szCs w:val="17"/>
                    </w:rPr>
                  </w:pPr>
                  <w:r>
                    <w:rPr>
                      <w:rFonts w:ascii="宋体" w:hAnsi="宋体" w:eastAsia="宋体" w:cs="宋体"/>
                      <w:spacing w:val="15"/>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4"/>
                      <w:sz w:val="17"/>
                      <w:szCs w:val="17"/>
                    </w:rPr>
                    <w:t>1</w:t>
                  </w: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宋体" w:hAnsi="宋体" w:eastAsia="宋体" w:cs="宋体"/>
                      <w:spacing w:val="14"/>
                      <w:sz w:val="17"/>
                      <w:szCs w:val="17"/>
                    </w:rPr>
                    <w:t xml:space="preserve"> </w:t>
                  </w:r>
                  <w:r>
                    <w:rPr>
                      <w:rFonts w:ascii="宋体" w:hAnsi="宋体" w:eastAsia="宋体" w:cs="宋体"/>
                      <w:spacing w:val="14"/>
                      <w:sz w:val="17"/>
                      <w:szCs w:val="17"/>
                      <w14:textOutline w14:w="3268" w14:cap="sq" w14:cmpd="sng">
                        <w14:solidFill>
                          <w14:srgbClr w14:val="000000"/>
                        </w14:solidFill>
                        <w14:prstDash w14:val="solid"/>
                        <w14:bevel/>
                      </w14:textOutline>
                    </w:rPr>
                    <w:t>禁止开发建设活动的要求</w:t>
                  </w:r>
                </w:p>
                <w:p>
                  <w:pPr>
                    <w:spacing w:before="67" w:line="286" w:lineRule="auto"/>
                    <w:ind w:left="8" w:right="1"/>
                    <w:rPr>
                      <w:rFonts w:ascii="宋体" w:hAnsi="宋体" w:eastAsia="宋体" w:cs="宋体"/>
                      <w:sz w:val="17"/>
                      <w:szCs w:val="17"/>
                    </w:rPr>
                  </w:pPr>
                  <w:r>
                    <w:rPr>
                      <w:rFonts w:ascii="Times New Roman" w:hAnsi="Times New Roman" w:eastAsia="Times New Roman" w:cs="Times New Roman"/>
                      <w:spacing w:val="14"/>
                      <w:sz w:val="17"/>
                      <w:szCs w:val="17"/>
                    </w:rPr>
                    <w:t>-</w:t>
                  </w:r>
                  <w:r>
                    <w:rPr>
                      <w:rFonts w:ascii="宋体" w:hAnsi="宋体" w:eastAsia="宋体" w:cs="宋体"/>
                      <w:spacing w:val="9"/>
                      <w:sz w:val="17"/>
                      <w:szCs w:val="17"/>
                    </w:rPr>
                    <w:t>禁止在长江干支流岸线一公里范围内新建、扩建化工园区和化工</w:t>
                  </w:r>
                  <w:r>
                    <w:rPr>
                      <w:rFonts w:ascii="宋体" w:hAnsi="宋体" w:eastAsia="宋体" w:cs="宋体"/>
                      <w:sz w:val="17"/>
                      <w:szCs w:val="17"/>
                    </w:rPr>
                    <w:t xml:space="preserve"> </w:t>
                  </w:r>
                  <w:r>
                    <w:rPr>
                      <w:rFonts w:ascii="宋体" w:hAnsi="宋体" w:eastAsia="宋体" w:cs="宋体"/>
                      <w:spacing w:val="22"/>
                      <w:sz w:val="17"/>
                      <w:szCs w:val="17"/>
                    </w:rPr>
                    <w:t>项</w:t>
                  </w:r>
                  <w:r>
                    <w:rPr>
                      <w:rFonts w:ascii="宋体" w:hAnsi="宋体" w:eastAsia="宋体" w:cs="宋体"/>
                      <w:spacing w:val="14"/>
                      <w:sz w:val="17"/>
                      <w:szCs w:val="17"/>
                    </w:rPr>
                    <w:t>目</w:t>
                  </w:r>
                  <w:r>
                    <w:rPr>
                      <w:rFonts w:ascii="宋体" w:hAnsi="宋体" w:eastAsia="宋体" w:cs="宋体"/>
                      <w:spacing w:val="11"/>
                      <w:sz w:val="17"/>
                      <w:szCs w:val="17"/>
                    </w:rPr>
                    <w:t>。禁止在长江干流岸线三公里范围内和重要支流岸线一公里</w:t>
                  </w:r>
                  <w:r>
                    <w:rPr>
                      <w:rFonts w:ascii="宋体" w:hAnsi="宋体" w:eastAsia="宋体" w:cs="宋体"/>
                      <w:sz w:val="17"/>
                      <w:szCs w:val="17"/>
                    </w:rPr>
                    <w:t xml:space="preserve"> </w:t>
                  </w:r>
                  <w:r>
                    <w:rPr>
                      <w:rFonts w:ascii="宋体" w:hAnsi="宋体" w:eastAsia="宋体" w:cs="宋体"/>
                      <w:spacing w:val="22"/>
                      <w:sz w:val="17"/>
                      <w:szCs w:val="17"/>
                    </w:rPr>
                    <w:t>范</w:t>
                  </w:r>
                  <w:r>
                    <w:rPr>
                      <w:rFonts w:ascii="宋体" w:hAnsi="宋体" w:eastAsia="宋体" w:cs="宋体"/>
                      <w:spacing w:val="14"/>
                      <w:sz w:val="17"/>
                      <w:szCs w:val="17"/>
                    </w:rPr>
                    <w:t>围</w:t>
                  </w:r>
                  <w:r>
                    <w:rPr>
                      <w:rFonts w:ascii="宋体" w:hAnsi="宋体" w:eastAsia="宋体" w:cs="宋体"/>
                      <w:spacing w:val="11"/>
                      <w:sz w:val="17"/>
                      <w:szCs w:val="17"/>
                    </w:rPr>
                    <w:t>内新建、改建、扩建尾矿库；但是以提升安全、生态环境保</w:t>
                  </w:r>
                  <w:r>
                    <w:rPr>
                      <w:rFonts w:ascii="宋体" w:hAnsi="宋体" w:eastAsia="宋体" w:cs="宋体"/>
                      <w:sz w:val="17"/>
                      <w:szCs w:val="17"/>
                    </w:rPr>
                    <w:t xml:space="preserve"> </w:t>
                  </w:r>
                  <w:r>
                    <w:rPr>
                      <w:rFonts w:ascii="宋体" w:hAnsi="宋体" w:eastAsia="宋体" w:cs="宋体"/>
                      <w:spacing w:val="14"/>
                      <w:sz w:val="17"/>
                      <w:szCs w:val="17"/>
                    </w:rPr>
                    <w:t>护</w:t>
                  </w:r>
                  <w:r>
                    <w:rPr>
                      <w:rFonts w:ascii="宋体" w:hAnsi="宋体" w:eastAsia="宋体" w:cs="宋体"/>
                      <w:spacing w:val="8"/>
                      <w:sz w:val="17"/>
                      <w:szCs w:val="17"/>
                    </w:rPr>
                    <w:t>水平为目的的改建除外。</w:t>
                  </w:r>
                </w:p>
                <w:p>
                  <w:pPr>
                    <w:spacing w:before="69" w:line="266" w:lineRule="auto"/>
                    <w:ind w:left="29" w:right="1" w:hanging="21"/>
                    <w:rPr>
                      <w:rFonts w:ascii="宋体" w:hAnsi="宋体" w:eastAsia="宋体" w:cs="宋体"/>
                      <w:sz w:val="17"/>
                      <w:szCs w:val="17"/>
                    </w:rPr>
                  </w:pPr>
                  <w:r>
                    <w:rPr>
                      <w:rFonts w:ascii="Times New Roman" w:hAnsi="Times New Roman" w:eastAsia="Times New Roman" w:cs="Times New Roman"/>
                      <w:spacing w:val="9"/>
                      <w:sz w:val="17"/>
                      <w:szCs w:val="17"/>
                    </w:rPr>
                    <w:t>-</w:t>
                  </w:r>
                  <w:r>
                    <w:rPr>
                      <w:rFonts w:ascii="宋体" w:hAnsi="宋体" w:eastAsia="宋体" w:cs="宋体"/>
                      <w:spacing w:val="9"/>
                      <w:sz w:val="17"/>
                      <w:szCs w:val="17"/>
                    </w:rPr>
                    <w:t>原则上禁止新建工业企业 (新建工业企业原则上都应在工业园</w:t>
                  </w:r>
                  <w:r>
                    <w:rPr>
                      <w:rFonts w:ascii="宋体" w:hAnsi="宋体" w:eastAsia="宋体" w:cs="宋体"/>
                      <w:spacing w:val="5"/>
                      <w:sz w:val="17"/>
                      <w:szCs w:val="17"/>
                    </w:rPr>
                    <w:t>区</w:t>
                  </w:r>
                  <w:r>
                    <w:rPr>
                      <w:rFonts w:ascii="宋体" w:hAnsi="宋体" w:eastAsia="宋体" w:cs="宋体"/>
                      <w:sz w:val="17"/>
                      <w:szCs w:val="17"/>
                    </w:rPr>
                    <w:t xml:space="preserve"> </w:t>
                  </w:r>
                  <w:r>
                    <w:rPr>
                      <w:rFonts w:ascii="宋体" w:hAnsi="宋体" w:eastAsia="宋体" w:cs="宋体"/>
                      <w:spacing w:val="2"/>
                      <w:sz w:val="17"/>
                      <w:szCs w:val="17"/>
                    </w:rPr>
                    <w:t>内建设) 。</w:t>
                  </w:r>
                </w:p>
                <w:p>
                  <w:pPr>
                    <w:spacing w:before="69" w:line="279" w:lineRule="auto"/>
                    <w:ind w:left="8"/>
                    <w:rPr>
                      <w:rFonts w:ascii="宋体" w:hAnsi="宋体" w:eastAsia="宋体" w:cs="宋体"/>
                      <w:sz w:val="17"/>
                      <w:szCs w:val="17"/>
                    </w:rPr>
                  </w:pPr>
                  <w:r>
                    <w:rPr>
                      <w:rFonts w:ascii="Times New Roman" w:hAnsi="Times New Roman" w:eastAsia="Times New Roman" w:cs="Times New Roman"/>
                      <w:spacing w:val="6"/>
                      <w:sz w:val="17"/>
                      <w:szCs w:val="17"/>
                    </w:rPr>
                    <w:t>-</w:t>
                  </w:r>
                  <w:r>
                    <w:rPr>
                      <w:rFonts w:ascii="宋体" w:hAnsi="宋体" w:eastAsia="宋体" w:cs="宋体"/>
                      <w:spacing w:val="6"/>
                      <w:sz w:val="17"/>
                      <w:szCs w:val="17"/>
                    </w:rPr>
                    <w:t>禁</w:t>
                  </w:r>
                  <w:r>
                    <w:rPr>
                      <w:rFonts w:ascii="宋体" w:hAnsi="宋体" w:eastAsia="宋体" w:cs="宋体"/>
                      <w:spacing w:val="4"/>
                      <w:sz w:val="17"/>
                      <w:szCs w:val="17"/>
                    </w:rPr>
                    <w:t>止</w:t>
                  </w:r>
                  <w:r>
                    <w:rPr>
                      <w:rFonts w:ascii="宋体" w:hAnsi="宋体" w:eastAsia="宋体" w:cs="宋体"/>
                      <w:spacing w:val="3"/>
                      <w:sz w:val="17"/>
                      <w:szCs w:val="17"/>
                    </w:rPr>
                    <w:t>在居民区、学校、医疗和养老机构等周边新建有色金属冶炼、</w:t>
                  </w:r>
                  <w:r>
                    <w:rPr>
                      <w:rFonts w:ascii="宋体" w:hAnsi="宋体" w:eastAsia="宋体" w:cs="宋体"/>
                      <w:sz w:val="17"/>
                      <w:szCs w:val="17"/>
                    </w:rPr>
                    <w:t xml:space="preserve"> </w:t>
                  </w:r>
                  <w:r>
                    <w:rPr>
                      <w:rFonts w:ascii="宋体" w:hAnsi="宋体" w:eastAsia="宋体" w:cs="宋体"/>
                      <w:spacing w:val="18"/>
                      <w:sz w:val="17"/>
                      <w:szCs w:val="17"/>
                    </w:rPr>
                    <w:t>焦</w:t>
                  </w:r>
                  <w:r>
                    <w:rPr>
                      <w:rFonts w:ascii="宋体" w:hAnsi="宋体" w:eastAsia="宋体" w:cs="宋体"/>
                      <w:spacing w:val="15"/>
                      <w:sz w:val="17"/>
                      <w:szCs w:val="17"/>
                    </w:rPr>
                    <w:t>化</w:t>
                  </w:r>
                  <w:r>
                    <w:rPr>
                      <w:rFonts w:ascii="宋体" w:hAnsi="宋体" w:eastAsia="宋体" w:cs="宋体"/>
                      <w:spacing w:val="9"/>
                      <w:sz w:val="17"/>
                      <w:szCs w:val="17"/>
                    </w:rPr>
                    <w:t>、化工、铅蓄电池制造等行业企业，有序搬迁或依法关闭对</w:t>
                  </w:r>
                  <w:r>
                    <w:rPr>
                      <w:rFonts w:ascii="宋体" w:hAnsi="宋体" w:eastAsia="宋体" w:cs="宋体"/>
                      <w:sz w:val="17"/>
                      <w:szCs w:val="17"/>
                    </w:rPr>
                    <w:t xml:space="preserve"> </w:t>
                  </w:r>
                  <w:r>
                    <w:rPr>
                      <w:rFonts w:ascii="宋体" w:hAnsi="宋体" w:eastAsia="宋体" w:cs="宋体"/>
                      <w:spacing w:val="7"/>
                      <w:sz w:val="17"/>
                      <w:szCs w:val="17"/>
                    </w:rPr>
                    <w:t>土壤造成严重污染的现有企业</w:t>
                  </w:r>
                  <w:r>
                    <w:rPr>
                      <w:rFonts w:ascii="宋体" w:hAnsi="宋体" w:eastAsia="宋体" w:cs="宋体"/>
                      <w:spacing w:val="6"/>
                      <w:sz w:val="17"/>
                      <w:szCs w:val="17"/>
                    </w:rPr>
                    <w:t>。</w:t>
                  </w:r>
                </w:p>
                <w:p>
                  <w:pPr>
                    <w:spacing w:before="68" w:line="268" w:lineRule="auto"/>
                    <w:ind w:left="23" w:right="1" w:hanging="15"/>
                    <w:rPr>
                      <w:rFonts w:ascii="宋体" w:hAnsi="宋体" w:eastAsia="宋体" w:cs="宋体"/>
                      <w:sz w:val="17"/>
                      <w:szCs w:val="17"/>
                    </w:rPr>
                  </w:pPr>
                  <w:r>
                    <w:rPr>
                      <w:rFonts w:ascii="Times New Roman" w:hAnsi="Times New Roman" w:eastAsia="Times New Roman" w:cs="Times New Roman"/>
                      <w:spacing w:val="14"/>
                      <w:sz w:val="17"/>
                      <w:szCs w:val="17"/>
                    </w:rPr>
                    <w:t>-</w:t>
                  </w:r>
                  <w:r>
                    <w:rPr>
                      <w:rFonts w:ascii="宋体" w:hAnsi="宋体" w:eastAsia="宋体" w:cs="宋体"/>
                      <w:spacing w:val="9"/>
                      <w:sz w:val="17"/>
                      <w:szCs w:val="17"/>
                    </w:rPr>
                    <w:t>禁止在长江流域河湖管理范围内倾倒、填埋、堆放、弃置、处理</w:t>
                  </w:r>
                  <w:r>
                    <w:rPr>
                      <w:rFonts w:ascii="宋体" w:hAnsi="宋体" w:eastAsia="宋体" w:cs="宋体"/>
                      <w:sz w:val="17"/>
                      <w:szCs w:val="17"/>
                    </w:rPr>
                    <w:t xml:space="preserve"> </w:t>
                  </w:r>
                  <w:r>
                    <w:rPr>
                      <w:rFonts w:ascii="宋体" w:hAnsi="宋体" w:eastAsia="宋体" w:cs="宋体"/>
                      <w:spacing w:val="5"/>
                      <w:sz w:val="17"/>
                      <w:szCs w:val="17"/>
                    </w:rPr>
                    <w:t>固</w:t>
                  </w:r>
                  <w:r>
                    <w:rPr>
                      <w:rFonts w:ascii="宋体" w:hAnsi="宋体" w:eastAsia="宋体" w:cs="宋体"/>
                      <w:spacing w:val="3"/>
                      <w:sz w:val="17"/>
                      <w:szCs w:val="17"/>
                    </w:rPr>
                    <w:t>体废物。</w:t>
                  </w:r>
                </w:p>
                <w:p>
                  <w:pPr>
                    <w:spacing w:before="65" w:line="231" w:lineRule="auto"/>
                    <w:ind w:left="18"/>
                    <w:rPr>
                      <w:rFonts w:ascii="宋体" w:hAnsi="宋体" w:eastAsia="宋体" w:cs="宋体"/>
                      <w:sz w:val="17"/>
                      <w:szCs w:val="17"/>
                    </w:rPr>
                  </w:pP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4"/>
                      <w:sz w:val="17"/>
                      <w:szCs w:val="17"/>
                    </w:rPr>
                    <w:t>2</w:t>
                  </w: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宋体" w:hAnsi="宋体" w:eastAsia="宋体" w:cs="宋体"/>
                      <w:spacing w:val="14"/>
                      <w:sz w:val="17"/>
                      <w:szCs w:val="17"/>
                    </w:rPr>
                    <w:t xml:space="preserve"> </w:t>
                  </w:r>
                  <w:r>
                    <w:rPr>
                      <w:rFonts w:ascii="宋体" w:hAnsi="宋体" w:eastAsia="宋体" w:cs="宋体"/>
                      <w:spacing w:val="14"/>
                      <w:sz w:val="17"/>
                      <w:szCs w:val="17"/>
                      <w14:textOutline w14:w="3268" w14:cap="sq" w14:cmpd="sng">
                        <w14:solidFill>
                          <w14:srgbClr w14:val="000000"/>
                        </w14:solidFill>
                        <w14:prstDash w14:val="solid"/>
                        <w14:bevel/>
                      </w14:textOutline>
                    </w:rPr>
                    <w:t>限制开发建设活动的要</w:t>
                  </w:r>
                  <w:r>
                    <w:rPr>
                      <w:rFonts w:ascii="宋体" w:hAnsi="宋体" w:eastAsia="宋体" w:cs="宋体"/>
                      <w:spacing w:val="13"/>
                      <w:sz w:val="17"/>
                      <w:szCs w:val="17"/>
                      <w14:textOutline w14:w="3268" w14:cap="sq" w14:cmpd="sng">
                        <w14:solidFill>
                          <w14:srgbClr w14:val="000000"/>
                        </w14:solidFill>
                        <w14:prstDash w14:val="solid"/>
                        <w14:bevel/>
                      </w14:textOutline>
                    </w:rPr>
                    <w:t>求</w:t>
                  </w:r>
                </w:p>
                <w:p>
                  <w:pPr>
                    <w:spacing w:before="69" w:line="230" w:lineRule="auto"/>
                    <w:ind w:left="8"/>
                    <w:rPr>
                      <w:rFonts w:ascii="宋体" w:hAnsi="宋体" w:eastAsia="宋体" w:cs="宋体"/>
                      <w:sz w:val="17"/>
                      <w:szCs w:val="17"/>
                    </w:rPr>
                  </w:pPr>
                  <w:r>
                    <w:rPr>
                      <w:rFonts w:ascii="Times New Roman" w:hAnsi="Times New Roman" w:eastAsia="Times New Roman" w:cs="Times New Roman"/>
                      <w:spacing w:val="15"/>
                      <w:sz w:val="17"/>
                      <w:szCs w:val="17"/>
                    </w:rPr>
                    <w:t>-</w:t>
                  </w:r>
                  <w:r>
                    <w:rPr>
                      <w:rFonts w:ascii="宋体" w:hAnsi="宋体" w:eastAsia="宋体" w:cs="宋体"/>
                      <w:spacing w:val="8"/>
                      <w:sz w:val="17"/>
                      <w:szCs w:val="17"/>
                    </w:rPr>
                    <w:t>现有工业企业不得新增污染物排放。</w:t>
                  </w:r>
                </w:p>
                <w:p>
                  <w:pPr>
                    <w:spacing w:before="68" w:line="280" w:lineRule="auto"/>
                    <w:ind w:left="7" w:right="1" w:firstLine="1"/>
                    <w:rPr>
                      <w:rFonts w:ascii="宋体" w:hAnsi="宋体" w:eastAsia="宋体" w:cs="宋体"/>
                      <w:sz w:val="17"/>
                      <w:szCs w:val="17"/>
                    </w:rPr>
                  </w:pPr>
                  <w:r>
                    <w:rPr>
                      <w:rFonts w:ascii="Times New Roman" w:hAnsi="Times New Roman" w:eastAsia="Times New Roman" w:cs="Times New Roman"/>
                      <w:spacing w:val="14"/>
                      <w:sz w:val="17"/>
                      <w:szCs w:val="17"/>
                    </w:rPr>
                    <w:t>-</w:t>
                  </w:r>
                  <w:r>
                    <w:rPr>
                      <w:rFonts w:ascii="宋体" w:hAnsi="宋体" w:eastAsia="宋体" w:cs="宋体"/>
                      <w:spacing w:val="9"/>
                      <w:sz w:val="17"/>
                      <w:szCs w:val="17"/>
                    </w:rPr>
                    <w:t>允许企业以提升安全、生态环境保护水平为目的的改建，引导企</w:t>
                  </w:r>
                  <w:r>
                    <w:rPr>
                      <w:rFonts w:ascii="宋体" w:hAnsi="宋体" w:eastAsia="宋体" w:cs="宋体"/>
                      <w:sz w:val="17"/>
                      <w:szCs w:val="17"/>
                    </w:rPr>
                    <w:t xml:space="preserve"> </w:t>
                  </w:r>
                  <w:r>
                    <w:rPr>
                      <w:rFonts w:ascii="宋体" w:hAnsi="宋体" w:eastAsia="宋体" w:cs="宋体"/>
                      <w:spacing w:val="22"/>
                      <w:sz w:val="17"/>
                      <w:szCs w:val="17"/>
                    </w:rPr>
                    <w:t>业</w:t>
                  </w:r>
                  <w:r>
                    <w:rPr>
                      <w:rFonts w:ascii="宋体" w:hAnsi="宋体" w:eastAsia="宋体" w:cs="宋体"/>
                      <w:spacing w:val="15"/>
                      <w:sz w:val="17"/>
                      <w:szCs w:val="17"/>
                    </w:rPr>
                    <w:t>结</w:t>
                  </w:r>
                  <w:r>
                    <w:rPr>
                      <w:rFonts w:ascii="宋体" w:hAnsi="宋体" w:eastAsia="宋体" w:cs="宋体"/>
                      <w:spacing w:val="11"/>
                      <w:sz w:val="17"/>
                      <w:szCs w:val="17"/>
                    </w:rPr>
                    <w:t>合推进新型城镇化、产业结构调整和化解过剩产能等，退城</w:t>
                  </w:r>
                  <w:r>
                    <w:rPr>
                      <w:rFonts w:ascii="宋体" w:hAnsi="宋体" w:eastAsia="宋体" w:cs="宋体"/>
                      <w:sz w:val="17"/>
                      <w:szCs w:val="17"/>
                    </w:rPr>
                    <w:t xml:space="preserve"> </w:t>
                  </w:r>
                  <w:r>
                    <w:rPr>
                      <w:rFonts w:ascii="宋体" w:hAnsi="宋体" w:eastAsia="宋体" w:cs="宋体"/>
                      <w:spacing w:val="8"/>
                      <w:sz w:val="17"/>
                      <w:szCs w:val="17"/>
                    </w:rPr>
                    <w:t>入园，有序搬迁</w:t>
                  </w:r>
                  <w:r>
                    <w:rPr>
                      <w:rFonts w:ascii="宋体" w:hAnsi="宋体" w:eastAsia="宋体" w:cs="宋体"/>
                      <w:spacing w:val="7"/>
                      <w:sz w:val="17"/>
                      <w:szCs w:val="17"/>
                    </w:rPr>
                    <w:t>。</w:t>
                  </w:r>
                </w:p>
                <w:p>
                  <w:pPr>
                    <w:spacing w:before="67" w:line="279" w:lineRule="auto"/>
                    <w:ind w:left="11" w:right="1" w:hanging="3"/>
                    <w:rPr>
                      <w:rFonts w:ascii="宋体" w:hAnsi="宋体" w:eastAsia="宋体" w:cs="宋体"/>
                      <w:sz w:val="17"/>
                      <w:szCs w:val="17"/>
                    </w:rPr>
                  </w:pPr>
                  <w:r>
                    <w:rPr>
                      <w:rFonts w:ascii="Times New Roman" w:hAnsi="Times New Roman" w:eastAsia="Times New Roman" w:cs="Times New Roman"/>
                      <w:spacing w:val="30"/>
                      <w:sz w:val="17"/>
                      <w:szCs w:val="17"/>
                    </w:rPr>
                    <w:t>-</w:t>
                  </w:r>
                  <w:r>
                    <w:rPr>
                      <w:rFonts w:ascii="宋体" w:hAnsi="宋体" w:eastAsia="宋体" w:cs="宋体"/>
                      <w:spacing w:val="16"/>
                      <w:sz w:val="17"/>
                      <w:szCs w:val="17"/>
                    </w:rPr>
                    <w:t>严</w:t>
                  </w:r>
                  <w:r>
                    <w:rPr>
                      <w:rFonts w:ascii="宋体" w:hAnsi="宋体" w:eastAsia="宋体" w:cs="宋体"/>
                      <w:spacing w:val="15"/>
                      <w:sz w:val="17"/>
                      <w:szCs w:val="17"/>
                    </w:rPr>
                    <w:t>格控制在城镇空间范围内新布设工业园区。若新布局工业园</w:t>
                  </w:r>
                  <w:r>
                    <w:rPr>
                      <w:rFonts w:ascii="宋体" w:hAnsi="宋体" w:eastAsia="宋体" w:cs="宋体"/>
                      <w:sz w:val="17"/>
                      <w:szCs w:val="17"/>
                    </w:rPr>
                    <w:t xml:space="preserve"> </w:t>
                  </w:r>
                  <w:r>
                    <w:rPr>
                      <w:rFonts w:ascii="宋体" w:hAnsi="宋体" w:eastAsia="宋体" w:cs="宋体"/>
                      <w:spacing w:val="22"/>
                      <w:sz w:val="17"/>
                      <w:szCs w:val="17"/>
                    </w:rPr>
                    <w:t>区</w:t>
                  </w:r>
                  <w:r>
                    <w:rPr>
                      <w:rFonts w:ascii="宋体" w:hAnsi="宋体" w:eastAsia="宋体" w:cs="宋体"/>
                      <w:spacing w:val="11"/>
                      <w:sz w:val="17"/>
                      <w:szCs w:val="17"/>
                    </w:rPr>
                    <w:t>，应符合达州市国土空间规划，并结合区域环境特点、三线成</w:t>
                  </w:r>
                  <w:r>
                    <w:rPr>
                      <w:rFonts w:ascii="宋体" w:hAnsi="宋体" w:eastAsia="宋体" w:cs="宋体"/>
                      <w:sz w:val="17"/>
                      <w:szCs w:val="17"/>
                    </w:rPr>
                    <w:t xml:space="preserve"> </w:t>
                  </w:r>
                  <w:r>
                    <w:rPr>
                      <w:rFonts w:ascii="宋体" w:hAnsi="宋体" w:eastAsia="宋体" w:cs="宋体"/>
                      <w:spacing w:val="10"/>
                      <w:sz w:val="17"/>
                      <w:szCs w:val="17"/>
                    </w:rPr>
                    <w:t>果</w:t>
                  </w:r>
                  <w:r>
                    <w:rPr>
                      <w:rFonts w:ascii="宋体" w:hAnsi="宋体" w:eastAsia="宋体" w:cs="宋体"/>
                      <w:spacing w:val="9"/>
                      <w:sz w:val="17"/>
                      <w:szCs w:val="17"/>
                    </w:rPr>
                    <w:t>、园区产业类别，充分论证选址的环境合理性。</w:t>
                  </w:r>
                </w:p>
              </w:tc>
              <w:tc>
                <w:tcPr>
                  <w:tcW w:w="1039" w:type="dxa"/>
                  <w:vAlign w:val="top"/>
                </w:tcPr>
                <w:p>
                  <w:pPr>
                    <w:spacing w:line="355" w:lineRule="auto"/>
                    <w:rPr>
                      <w:rFonts w:ascii="Arial"/>
                      <w:sz w:val="21"/>
                    </w:rPr>
                  </w:pPr>
                </w:p>
                <w:p>
                  <w:pPr>
                    <w:spacing w:line="356" w:lineRule="auto"/>
                    <w:rPr>
                      <w:rFonts w:ascii="Arial"/>
                      <w:sz w:val="21"/>
                    </w:rPr>
                  </w:pPr>
                </w:p>
                <w:p>
                  <w:pPr>
                    <w:spacing w:before="56" w:line="304" w:lineRule="auto"/>
                    <w:ind w:left="10"/>
                    <w:rPr>
                      <w:rFonts w:ascii="宋体" w:hAnsi="宋体" w:eastAsia="宋体" w:cs="宋体"/>
                      <w:sz w:val="17"/>
                      <w:szCs w:val="17"/>
                    </w:rPr>
                  </w:pPr>
                  <w:r>
                    <w:rPr>
                      <w:rFonts w:ascii="宋体" w:hAnsi="宋体" w:eastAsia="宋体" w:cs="宋体"/>
                      <w:spacing w:val="-25"/>
                      <w:sz w:val="17"/>
                      <w:szCs w:val="17"/>
                    </w:rPr>
                    <w:t>本</w:t>
                  </w:r>
                  <w:r>
                    <w:rPr>
                      <w:rFonts w:ascii="宋体" w:hAnsi="宋体" w:eastAsia="宋体" w:cs="宋体"/>
                      <w:spacing w:val="-18"/>
                      <w:sz w:val="17"/>
                      <w:szCs w:val="17"/>
                    </w:rPr>
                    <w:t xml:space="preserve"> 项 目 属 于</w:t>
                  </w:r>
                  <w:r>
                    <w:rPr>
                      <w:rFonts w:ascii="宋体" w:hAnsi="宋体" w:eastAsia="宋体" w:cs="宋体"/>
                      <w:sz w:val="17"/>
                      <w:szCs w:val="17"/>
                    </w:rPr>
                    <w:t xml:space="preserve"> </w:t>
                  </w:r>
                  <w:r>
                    <w:rPr>
                      <w:rFonts w:ascii="宋体" w:hAnsi="宋体" w:eastAsia="宋体" w:cs="宋体"/>
                      <w:spacing w:val="-24"/>
                      <w:sz w:val="17"/>
                      <w:szCs w:val="17"/>
                    </w:rPr>
                    <w:t>城</w:t>
                  </w:r>
                  <w:r>
                    <w:rPr>
                      <w:rFonts w:ascii="宋体" w:hAnsi="宋体" w:eastAsia="宋体" w:cs="宋体"/>
                      <w:spacing w:val="-18"/>
                      <w:sz w:val="17"/>
                      <w:szCs w:val="17"/>
                    </w:rPr>
                    <w:t xml:space="preserve"> 市 桥 梁 新</w:t>
                  </w:r>
                  <w:r>
                    <w:rPr>
                      <w:rFonts w:ascii="宋体" w:hAnsi="宋体" w:eastAsia="宋体" w:cs="宋体"/>
                      <w:sz w:val="17"/>
                      <w:szCs w:val="17"/>
                    </w:rPr>
                    <w:t xml:space="preserve"> </w:t>
                  </w:r>
                  <w:r>
                    <w:rPr>
                      <w:rFonts w:ascii="宋体" w:hAnsi="宋体" w:eastAsia="宋体" w:cs="宋体"/>
                      <w:spacing w:val="1"/>
                      <w:sz w:val="17"/>
                      <w:szCs w:val="17"/>
                    </w:rPr>
                    <w:t>建项</w:t>
                  </w:r>
                  <w:r>
                    <w:rPr>
                      <w:rFonts w:ascii="宋体" w:hAnsi="宋体" w:eastAsia="宋体" w:cs="宋体"/>
                      <w:sz w:val="17"/>
                      <w:szCs w:val="17"/>
                    </w:rPr>
                    <w:t xml:space="preserve">目，不属 </w:t>
                  </w:r>
                  <w:r>
                    <w:rPr>
                      <w:rFonts w:ascii="宋体" w:hAnsi="宋体" w:eastAsia="宋体" w:cs="宋体"/>
                      <w:spacing w:val="1"/>
                      <w:sz w:val="17"/>
                      <w:szCs w:val="17"/>
                    </w:rPr>
                    <w:t>于禁</w:t>
                  </w:r>
                  <w:r>
                    <w:rPr>
                      <w:rFonts w:ascii="宋体" w:hAnsi="宋体" w:eastAsia="宋体" w:cs="宋体"/>
                      <w:sz w:val="17"/>
                      <w:szCs w:val="17"/>
                    </w:rPr>
                    <w:t xml:space="preserve">止、限制 </w:t>
                  </w:r>
                  <w:r>
                    <w:rPr>
                      <w:rFonts w:ascii="宋体" w:hAnsi="宋体" w:eastAsia="宋体" w:cs="宋体"/>
                      <w:spacing w:val="-24"/>
                      <w:sz w:val="17"/>
                      <w:szCs w:val="17"/>
                    </w:rPr>
                    <w:t>开</w:t>
                  </w:r>
                  <w:r>
                    <w:rPr>
                      <w:rFonts w:ascii="宋体" w:hAnsi="宋体" w:eastAsia="宋体" w:cs="宋体"/>
                      <w:spacing w:val="-18"/>
                      <w:sz w:val="17"/>
                      <w:szCs w:val="17"/>
                    </w:rPr>
                    <w:t xml:space="preserve"> 发 的 建 设</w:t>
                  </w:r>
                  <w:r>
                    <w:rPr>
                      <w:rFonts w:ascii="宋体" w:hAnsi="宋体" w:eastAsia="宋体" w:cs="宋体"/>
                      <w:sz w:val="17"/>
                      <w:szCs w:val="17"/>
                    </w:rPr>
                    <w:t xml:space="preserve"> </w:t>
                  </w:r>
                  <w:r>
                    <w:rPr>
                      <w:rFonts w:ascii="宋体" w:hAnsi="宋体" w:eastAsia="宋体" w:cs="宋体"/>
                      <w:spacing w:val="4"/>
                      <w:sz w:val="17"/>
                      <w:szCs w:val="17"/>
                    </w:rPr>
                    <w:t>项目；</w:t>
                  </w:r>
                </w:p>
                <w:p>
                  <w:pPr>
                    <w:spacing w:before="4" w:line="306" w:lineRule="auto"/>
                    <w:ind w:left="10" w:firstLine="2"/>
                    <w:rPr>
                      <w:rFonts w:ascii="宋体" w:hAnsi="宋体" w:eastAsia="宋体" w:cs="宋体"/>
                      <w:sz w:val="17"/>
                      <w:szCs w:val="17"/>
                    </w:rPr>
                  </w:pPr>
                  <w:r>
                    <w:rPr>
                      <w:rFonts w:ascii="宋体" w:hAnsi="宋体" w:eastAsia="宋体" w:cs="宋体"/>
                      <w:spacing w:val="-19"/>
                      <w:sz w:val="17"/>
                      <w:szCs w:val="17"/>
                    </w:rPr>
                    <w:t>项 目 位 于 通</w:t>
                  </w:r>
                  <w:r>
                    <w:rPr>
                      <w:rFonts w:ascii="宋体" w:hAnsi="宋体" w:eastAsia="宋体" w:cs="宋体"/>
                      <w:sz w:val="17"/>
                      <w:szCs w:val="17"/>
                    </w:rPr>
                    <w:t xml:space="preserve"> </w:t>
                  </w:r>
                  <w:r>
                    <w:rPr>
                      <w:rFonts w:ascii="宋体" w:hAnsi="宋体" w:eastAsia="宋体" w:cs="宋体"/>
                      <w:spacing w:val="-24"/>
                      <w:sz w:val="17"/>
                      <w:szCs w:val="17"/>
                    </w:rPr>
                    <w:t>川</w:t>
                  </w:r>
                  <w:r>
                    <w:rPr>
                      <w:rFonts w:ascii="宋体" w:hAnsi="宋体" w:eastAsia="宋体" w:cs="宋体"/>
                      <w:spacing w:val="-18"/>
                      <w:sz w:val="17"/>
                      <w:szCs w:val="17"/>
                    </w:rPr>
                    <w:t xml:space="preserve"> 区 开 发 建</w:t>
                  </w:r>
                  <w:r>
                    <w:rPr>
                      <w:rFonts w:ascii="宋体" w:hAnsi="宋体" w:eastAsia="宋体" w:cs="宋体"/>
                      <w:sz w:val="17"/>
                      <w:szCs w:val="17"/>
                    </w:rPr>
                    <w:t xml:space="preserve"> </w:t>
                  </w:r>
                  <w:r>
                    <w:rPr>
                      <w:rFonts w:ascii="宋体" w:hAnsi="宋体" w:eastAsia="宋体" w:cs="宋体"/>
                      <w:spacing w:val="-24"/>
                      <w:sz w:val="17"/>
                      <w:szCs w:val="17"/>
                    </w:rPr>
                    <w:t>设</w:t>
                  </w:r>
                  <w:r>
                    <w:rPr>
                      <w:rFonts w:ascii="宋体" w:hAnsi="宋体" w:eastAsia="宋体" w:cs="宋体"/>
                      <w:spacing w:val="-18"/>
                      <w:sz w:val="17"/>
                      <w:szCs w:val="17"/>
                    </w:rPr>
                    <w:t xml:space="preserve"> 区 ， 符 合</w:t>
                  </w:r>
                  <w:r>
                    <w:rPr>
                      <w:rFonts w:ascii="宋体" w:hAnsi="宋体" w:eastAsia="宋体" w:cs="宋体"/>
                      <w:sz w:val="17"/>
                      <w:szCs w:val="17"/>
                    </w:rPr>
                    <w:t xml:space="preserve"> </w:t>
                  </w:r>
                  <w:r>
                    <w:rPr>
                      <w:rFonts w:ascii="宋体" w:hAnsi="宋体" w:eastAsia="宋体" w:cs="宋体"/>
                      <w:spacing w:val="-13"/>
                      <w:sz w:val="17"/>
                      <w:szCs w:val="17"/>
                    </w:rPr>
                    <w:t>《</w:t>
                  </w:r>
                  <w:r>
                    <w:rPr>
                      <w:rFonts w:ascii="宋体" w:hAnsi="宋体" w:eastAsia="宋体" w:cs="宋体"/>
                      <w:spacing w:val="-10"/>
                      <w:sz w:val="17"/>
                      <w:szCs w:val="17"/>
                    </w:rPr>
                    <w:t xml:space="preserve"> 达 州市 高</w:t>
                  </w:r>
                  <w:r>
                    <w:rPr>
                      <w:rFonts w:ascii="宋体" w:hAnsi="宋体" w:eastAsia="宋体" w:cs="宋体"/>
                      <w:sz w:val="17"/>
                      <w:szCs w:val="17"/>
                    </w:rPr>
                    <w:t xml:space="preserve"> </w:t>
                  </w:r>
                  <w:r>
                    <w:rPr>
                      <w:rFonts w:ascii="宋体" w:hAnsi="宋体" w:eastAsia="宋体" w:cs="宋体"/>
                      <w:spacing w:val="-24"/>
                      <w:sz w:val="17"/>
                      <w:szCs w:val="17"/>
                    </w:rPr>
                    <w:t>家</w:t>
                  </w:r>
                  <w:r>
                    <w:rPr>
                      <w:rFonts w:ascii="宋体" w:hAnsi="宋体" w:eastAsia="宋体" w:cs="宋体"/>
                      <w:spacing w:val="-18"/>
                      <w:sz w:val="17"/>
                      <w:szCs w:val="17"/>
                    </w:rPr>
                    <w:t xml:space="preserve"> 坝 城 市 组</w:t>
                  </w:r>
                  <w:r>
                    <w:rPr>
                      <w:rFonts w:ascii="宋体" w:hAnsi="宋体" w:eastAsia="宋体" w:cs="宋体"/>
                      <w:sz w:val="17"/>
                      <w:szCs w:val="17"/>
                    </w:rPr>
                    <w:t xml:space="preserve"> </w:t>
                  </w:r>
                  <w:r>
                    <w:rPr>
                      <w:rFonts w:ascii="宋体" w:hAnsi="宋体" w:eastAsia="宋体" w:cs="宋体"/>
                      <w:spacing w:val="-24"/>
                      <w:sz w:val="17"/>
                      <w:szCs w:val="17"/>
                    </w:rPr>
                    <w:t>团</w:t>
                  </w:r>
                  <w:r>
                    <w:rPr>
                      <w:rFonts w:ascii="宋体" w:hAnsi="宋体" w:eastAsia="宋体" w:cs="宋体"/>
                      <w:spacing w:val="-18"/>
                      <w:sz w:val="17"/>
                      <w:szCs w:val="17"/>
                    </w:rPr>
                    <w:t xml:space="preserve"> 控 制 性 详</w:t>
                  </w:r>
                  <w:r>
                    <w:rPr>
                      <w:rFonts w:ascii="宋体" w:hAnsi="宋体" w:eastAsia="宋体" w:cs="宋体"/>
                      <w:sz w:val="17"/>
                      <w:szCs w:val="17"/>
                    </w:rPr>
                    <w:t xml:space="preserve"> </w:t>
                  </w:r>
                  <w:r>
                    <w:rPr>
                      <w:rFonts w:ascii="宋体" w:hAnsi="宋体" w:eastAsia="宋体" w:cs="宋体"/>
                      <w:spacing w:val="1"/>
                      <w:sz w:val="17"/>
                      <w:szCs w:val="17"/>
                    </w:rPr>
                    <w:t>细规</w:t>
                  </w:r>
                  <w:r>
                    <w:rPr>
                      <w:rFonts w:ascii="宋体" w:hAnsi="宋体" w:eastAsia="宋体" w:cs="宋体"/>
                      <w:sz w:val="17"/>
                      <w:szCs w:val="17"/>
                    </w:rPr>
                    <w:t xml:space="preserve">划》，符 </w:t>
                  </w:r>
                  <w:r>
                    <w:rPr>
                      <w:rFonts w:ascii="宋体" w:hAnsi="宋体" w:eastAsia="宋体" w:cs="宋体"/>
                      <w:spacing w:val="-24"/>
                      <w:sz w:val="17"/>
                      <w:szCs w:val="17"/>
                    </w:rPr>
                    <w:t>合</w:t>
                  </w:r>
                  <w:r>
                    <w:rPr>
                      <w:rFonts w:ascii="宋体" w:hAnsi="宋体" w:eastAsia="宋体" w:cs="宋体"/>
                      <w:spacing w:val="-18"/>
                      <w:sz w:val="17"/>
                      <w:szCs w:val="17"/>
                    </w:rPr>
                    <w:t xml:space="preserve"> 城 市 空 间</w:t>
                  </w:r>
                  <w:r>
                    <w:rPr>
                      <w:rFonts w:ascii="宋体" w:hAnsi="宋体" w:eastAsia="宋体" w:cs="宋体"/>
                      <w:sz w:val="17"/>
                      <w:szCs w:val="17"/>
                    </w:rPr>
                    <w:t xml:space="preserve"> </w:t>
                  </w:r>
                  <w:r>
                    <w:rPr>
                      <w:rFonts w:ascii="宋体" w:hAnsi="宋体" w:eastAsia="宋体" w:cs="宋体"/>
                      <w:spacing w:val="8"/>
                      <w:sz w:val="17"/>
                      <w:szCs w:val="17"/>
                    </w:rPr>
                    <w:t>布</w:t>
                  </w:r>
                  <w:r>
                    <w:rPr>
                      <w:rFonts w:ascii="宋体" w:hAnsi="宋体" w:eastAsia="宋体" w:cs="宋体"/>
                      <w:spacing w:val="6"/>
                      <w:sz w:val="17"/>
                      <w:szCs w:val="17"/>
                    </w:rPr>
                    <w:t>局要求。</w:t>
                  </w:r>
                </w:p>
              </w:tc>
              <w:tc>
                <w:tcPr>
                  <w:tcW w:w="417"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5" w:line="230" w:lineRule="auto"/>
                    <w:ind w:left="33"/>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符</w:t>
                  </w:r>
                  <w:r>
                    <w:rPr>
                      <w:rFonts w:ascii="宋体" w:hAnsi="宋体" w:eastAsia="宋体" w:cs="宋体"/>
                      <w:spacing w:val="5"/>
                      <w:sz w:val="17"/>
                      <w:szCs w:val="17"/>
                      <w14:textOutline w14:w="3268" w14:cap="sq" w14:cmpd="sng">
                        <w14:solidFill>
                          <w14:srgbClr w14:val="000000"/>
                        </w14:solidFill>
                        <w14:prstDash w14:val="solid"/>
                        <w14:bevel/>
                      </w14:textOutline>
                    </w:rPr>
                    <w:t>合</w:t>
                  </w:r>
                </w:p>
              </w:tc>
            </w:tr>
          </w:tbl>
          <w:p>
            <w:pPr>
              <w:spacing w:line="115" w:lineRule="exact"/>
              <w:rPr>
                <w:rFonts w:ascii="Arial"/>
                <w:sz w:val="10"/>
              </w:rPr>
            </w:pPr>
          </w:p>
        </w:tc>
      </w:tr>
    </w:tbl>
    <w:p>
      <w:pPr>
        <w:spacing w:line="161" w:lineRule="exact"/>
        <w:rPr>
          <w:rFonts w:ascii="Arial"/>
          <w:sz w:val="14"/>
        </w:rPr>
      </w:pPr>
    </w:p>
    <w:p>
      <w:pPr>
        <w:sectPr>
          <w:footerReference r:id="rId13" w:type="default"/>
          <w:pgSz w:w="11906" w:h="16839"/>
          <w:pgMar w:top="400" w:right="1434" w:bottom="1475" w:left="1521" w:header="0" w:footer="1315" w:gutter="0"/>
          <w:cols w:space="720" w:num="1"/>
        </w:sectPr>
      </w:pPr>
    </w:p>
    <w:p/>
    <w:p/>
    <w:p/>
    <w:p/>
    <w:p>
      <w:pPr>
        <w:spacing w:line="221" w:lineRule="exact"/>
      </w:pPr>
    </w:p>
    <w:tbl>
      <w:tblPr>
        <w:tblStyle w:val="4"/>
        <w:tblW w:w="893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4"/>
        <w:gridCol w:w="213"/>
        <w:gridCol w:w="556"/>
        <w:gridCol w:w="283"/>
        <w:gridCol w:w="404"/>
        <w:gridCol w:w="5093"/>
        <w:gridCol w:w="1038"/>
        <w:gridCol w:w="412"/>
        <w:gridCol w:w="2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4" w:hRule="atLeast"/>
        </w:trPr>
        <w:tc>
          <w:tcPr>
            <w:tcW w:w="714" w:type="dxa"/>
            <w:vMerge w:val="restart"/>
            <w:tcBorders>
              <w:left w:val="single" w:color="000000" w:sz="6" w:space="0"/>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5" w:line="228"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其</w:t>
            </w:r>
            <w:r>
              <w:rPr>
                <w:rFonts w:ascii="宋体" w:hAnsi="宋体" w:eastAsia="宋体" w:cs="宋体"/>
                <w:spacing w:val="7"/>
                <w:sz w:val="20"/>
                <w:szCs w:val="20"/>
                <w14:textOutline w14:w="3795" w14:cap="sq" w14:cmpd="sng">
                  <w14:solidFill>
                    <w14:srgbClr w14:val="000000"/>
                  </w14:solidFill>
                  <w14:prstDash w14:val="solid"/>
                  <w14:bevel/>
                </w14:textOutline>
              </w:rPr>
              <w:t>他符</w:t>
            </w:r>
          </w:p>
          <w:p>
            <w:pPr>
              <w:spacing w:before="164" w:line="228"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合</w:t>
            </w:r>
            <w:r>
              <w:rPr>
                <w:rFonts w:ascii="宋体" w:hAnsi="宋体" w:eastAsia="宋体" w:cs="宋体"/>
                <w:spacing w:val="7"/>
                <w:sz w:val="20"/>
                <w:szCs w:val="20"/>
                <w14:textOutline w14:w="3795" w14:cap="sq" w14:cmpd="sng">
                  <w14:solidFill>
                    <w14:srgbClr w14:val="000000"/>
                  </w14:solidFill>
                  <w14:prstDash w14:val="solid"/>
                  <w14:bevel/>
                </w14:textOutline>
              </w:rPr>
              <w:t>性分</w:t>
            </w:r>
          </w:p>
          <w:p>
            <w:pPr>
              <w:spacing w:before="160" w:line="228" w:lineRule="auto"/>
              <w:ind w:left="251"/>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析</w:t>
            </w:r>
          </w:p>
        </w:tc>
        <w:tc>
          <w:tcPr>
            <w:tcW w:w="213" w:type="dxa"/>
            <w:vMerge w:val="restart"/>
            <w:tcBorders>
              <w:bottom w:val="nil"/>
            </w:tcBorders>
            <w:vAlign w:val="top"/>
          </w:tcPr>
          <w:p>
            <w:pPr>
              <w:rPr>
                <w:rFonts w:ascii="Arial"/>
                <w:sz w:val="21"/>
              </w:rPr>
            </w:pPr>
          </w:p>
        </w:tc>
        <w:tc>
          <w:tcPr>
            <w:tcW w:w="556" w:type="dxa"/>
            <w:vMerge w:val="restart"/>
            <w:tcBorders>
              <w:bottom w:val="nil"/>
            </w:tcBorders>
            <w:vAlign w:val="top"/>
          </w:tcPr>
          <w:p>
            <w:pPr>
              <w:rPr>
                <w:rFonts w:ascii="Arial"/>
                <w:sz w:val="21"/>
              </w:rPr>
            </w:pPr>
          </w:p>
        </w:tc>
        <w:tc>
          <w:tcPr>
            <w:tcW w:w="283" w:type="dxa"/>
            <w:vMerge w:val="restart"/>
            <w:tcBorders>
              <w:bottom w:val="nil"/>
            </w:tcBorders>
            <w:vAlign w:val="top"/>
          </w:tcPr>
          <w:p>
            <w:pPr>
              <w:rPr>
                <w:rFonts w:ascii="Arial"/>
                <w:sz w:val="21"/>
              </w:rPr>
            </w:pPr>
          </w:p>
        </w:tc>
        <w:tc>
          <w:tcPr>
            <w:tcW w:w="404" w:type="dxa"/>
            <w:vAlign w:val="top"/>
          </w:tcPr>
          <w:p>
            <w:pPr>
              <w:rPr>
                <w:rFonts w:ascii="Arial"/>
                <w:sz w:val="21"/>
              </w:rPr>
            </w:pPr>
          </w:p>
        </w:tc>
        <w:tc>
          <w:tcPr>
            <w:tcW w:w="5093" w:type="dxa"/>
            <w:vAlign w:val="top"/>
          </w:tcPr>
          <w:p>
            <w:pPr>
              <w:spacing w:before="112" w:line="230" w:lineRule="auto"/>
              <w:ind w:left="6"/>
              <w:rPr>
                <w:rFonts w:ascii="宋体" w:hAnsi="宋体" w:eastAsia="宋体" w:cs="宋体"/>
                <w:sz w:val="17"/>
                <w:szCs w:val="17"/>
              </w:rPr>
            </w:pPr>
            <w:r>
              <w:rPr>
                <w:rFonts w:ascii="Times New Roman" w:hAnsi="Times New Roman" w:eastAsia="Times New Roman" w:cs="Times New Roman"/>
                <w:spacing w:val="9"/>
                <w:sz w:val="17"/>
                <w:szCs w:val="17"/>
              </w:rPr>
              <w:t>-</w:t>
            </w:r>
            <w:r>
              <w:rPr>
                <w:rFonts w:ascii="宋体" w:hAnsi="宋体" w:eastAsia="宋体" w:cs="宋体"/>
                <w:spacing w:val="9"/>
                <w:sz w:val="17"/>
                <w:szCs w:val="17"/>
              </w:rPr>
              <w:t>严格控制新增建设用地规模，法定城乡规划除外</w:t>
            </w:r>
            <w:r>
              <w:rPr>
                <w:rFonts w:ascii="宋体" w:hAnsi="宋体" w:eastAsia="宋体" w:cs="宋体"/>
                <w:spacing w:val="5"/>
                <w:sz w:val="17"/>
                <w:szCs w:val="17"/>
              </w:rPr>
              <w:t>。</w:t>
            </w:r>
          </w:p>
          <w:p>
            <w:pPr>
              <w:spacing w:before="66" w:line="229" w:lineRule="auto"/>
              <w:ind w:left="16"/>
              <w:rPr>
                <w:rFonts w:ascii="宋体" w:hAnsi="宋体" w:eastAsia="宋体" w:cs="宋体"/>
                <w:sz w:val="17"/>
                <w:szCs w:val="17"/>
              </w:rPr>
            </w:pPr>
            <w:r>
              <w:rPr>
                <w:rFonts w:ascii="宋体" w:hAnsi="宋体" w:eastAsia="宋体" w:cs="宋体"/>
                <w:spacing w:val="16"/>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3"/>
                <w:sz w:val="17"/>
                <w:szCs w:val="17"/>
              </w:rPr>
              <w:t>3</w:t>
            </w:r>
            <w:r>
              <w:rPr>
                <w:rFonts w:ascii="宋体" w:hAnsi="宋体" w:eastAsia="宋体" w:cs="宋体"/>
                <w:spacing w:val="13"/>
                <w:sz w:val="17"/>
                <w:szCs w:val="17"/>
                <w14:textOutline w14:w="3268" w14:cap="sq" w14:cmpd="sng">
                  <w14:solidFill>
                    <w14:srgbClr w14:val="000000"/>
                  </w14:solidFill>
                  <w14:prstDash w14:val="solid"/>
                  <w14:bevel/>
                </w14:textOutline>
              </w:rPr>
              <w:t>)</w:t>
            </w:r>
            <w:r>
              <w:rPr>
                <w:rFonts w:ascii="宋体" w:hAnsi="宋体" w:eastAsia="宋体" w:cs="宋体"/>
                <w:spacing w:val="13"/>
                <w:sz w:val="17"/>
                <w:szCs w:val="17"/>
              </w:rPr>
              <w:t xml:space="preserve"> </w:t>
            </w:r>
            <w:r>
              <w:rPr>
                <w:rFonts w:ascii="宋体" w:hAnsi="宋体" w:eastAsia="宋体" w:cs="宋体"/>
                <w:spacing w:val="13"/>
                <w:sz w:val="17"/>
                <w:szCs w:val="17"/>
                <w14:textOutline w14:w="3268" w14:cap="sq" w14:cmpd="sng">
                  <w14:solidFill>
                    <w14:srgbClr w14:val="000000"/>
                  </w14:solidFill>
                  <w14:prstDash w14:val="solid"/>
                  <w14:bevel/>
                </w14:textOutline>
              </w:rPr>
              <w:t>不符合空间布局要求活动的退出要求</w:t>
            </w:r>
          </w:p>
          <w:p>
            <w:pPr>
              <w:spacing w:before="69" w:line="231" w:lineRule="auto"/>
              <w:ind w:left="6"/>
              <w:rPr>
                <w:rFonts w:ascii="宋体" w:hAnsi="宋体" w:eastAsia="宋体" w:cs="宋体"/>
                <w:sz w:val="17"/>
                <w:szCs w:val="17"/>
              </w:rPr>
            </w:pPr>
            <w:r>
              <w:rPr>
                <w:rFonts w:ascii="Times New Roman" w:hAnsi="Times New Roman" w:eastAsia="Times New Roman" w:cs="Times New Roman"/>
                <w:spacing w:val="13"/>
                <w:sz w:val="17"/>
                <w:szCs w:val="17"/>
              </w:rPr>
              <w:t>-</w:t>
            </w:r>
            <w:r>
              <w:rPr>
                <w:rFonts w:ascii="宋体" w:hAnsi="宋体" w:eastAsia="宋体" w:cs="宋体"/>
                <w:spacing w:val="8"/>
                <w:sz w:val="17"/>
                <w:szCs w:val="17"/>
              </w:rPr>
              <w:t>现有工业企业适时进行有序退出。</w:t>
            </w:r>
          </w:p>
          <w:p>
            <w:pPr>
              <w:spacing w:before="68" w:line="266" w:lineRule="auto"/>
              <w:ind w:left="8" w:hanging="2"/>
              <w:rPr>
                <w:rFonts w:ascii="宋体" w:hAnsi="宋体" w:eastAsia="宋体" w:cs="宋体"/>
                <w:sz w:val="17"/>
                <w:szCs w:val="17"/>
              </w:rPr>
            </w:pPr>
            <w:r>
              <w:rPr>
                <w:rFonts w:ascii="Times New Roman" w:hAnsi="Times New Roman" w:eastAsia="Times New Roman" w:cs="Times New Roman"/>
                <w:spacing w:val="12"/>
                <w:sz w:val="17"/>
                <w:szCs w:val="17"/>
              </w:rPr>
              <w:t>-</w:t>
            </w:r>
            <w:r>
              <w:rPr>
                <w:rFonts w:ascii="宋体" w:hAnsi="宋体" w:eastAsia="宋体" w:cs="宋体"/>
                <w:spacing w:val="9"/>
                <w:sz w:val="17"/>
                <w:szCs w:val="17"/>
              </w:rPr>
              <w:t>按照相关规划和要求，清理整顿非法采砂、非法码头，全面清除</w:t>
            </w:r>
            <w:r>
              <w:rPr>
                <w:rFonts w:ascii="宋体" w:hAnsi="宋体" w:eastAsia="宋体" w:cs="宋体"/>
                <w:sz w:val="17"/>
                <w:szCs w:val="17"/>
              </w:rPr>
              <w:t xml:space="preserve"> </w:t>
            </w:r>
            <w:r>
              <w:rPr>
                <w:rFonts w:ascii="宋体" w:hAnsi="宋体" w:eastAsia="宋体" w:cs="宋体"/>
                <w:spacing w:val="9"/>
                <w:sz w:val="17"/>
                <w:szCs w:val="17"/>
              </w:rPr>
              <w:t>不</w:t>
            </w:r>
            <w:r>
              <w:rPr>
                <w:rFonts w:ascii="宋体" w:hAnsi="宋体" w:eastAsia="宋体" w:cs="宋体"/>
                <w:spacing w:val="6"/>
                <w:sz w:val="17"/>
                <w:szCs w:val="17"/>
              </w:rPr>
              <w:t>合规码头。</w:t>
            </w:r>
          </w:p>
          <w:p>
            <w:pPr>
              <w:spacing w:before="69" w:line="267" w:lineRule="auto"/>
              <w:ind w:left="5" w:firstLine="1"/>
              <w:rPr>
                <w:rFonts w:ascii="宋体" w:hAnsi="宋体" w:eastAsia="宋体" w:cs="宋体"/>
                <w:sz w:val="17"/>
                <w:szCs w:val="17"/>
              </w:rPr>
            </w:pPr>
            <w:r>
              <w:rPr>
                <w:rFonts w:ascii="Times New Roman" w:hAnsi="Times New Roman" w:eastAsia="Times New Roman" w:cs="Times New Roman"/>
                <w:spacing w:val="18"/>
                <w:sz w:val="17"/>
                <w:szCs w:val="17"/>
              </w:rPr>
              <w:t>-</w:t>
            </w:r>
            <w:r>
              <w:rPr>
                <w:rFonts w:ascii="宋体" w:hAnsi="宋体" w:eastAsia="宋体" w:cs="宋体"/>
                <w:spacing w:val="13"/>
                <w:sz w:val="17"/>
                <w:szCs w:val="17"/>
              </w:rPr>
              <w:t>在</w:t>
            </w:r>
            <w:r>
              <w:rPr>
                <w:rFonts w:ascii="宋体" w:hAnsi="宋体" w:eastAsia="宋体" w:cs="宋体"/>
                <w:spacing w:val="9"/>
                <w:sz w:val="17"/>
                <w:szCs w:val="17"/>
              </w:rPr>
              <w:t>全市范围深入开展集中整治</w:t>
            </w:r>
            <w:r>
              <w:rPr>
                <w:rFonts w:ascii="Times New Roman" w:hAnsi="Times New Roman" w:eastAsia="Times New Roman" w:cs="Times New Roman"/>
                <w:spacing w:val="9"/>
                <w:sz w:val="17"/>
                <w:szCs w:val="17"/>
              </w:rPr>
              <w:t>“</w:t>
            </w:r>
            <w:r>
              <w:rPr>
                <w:rFonts w:ascii="宋体" w:hAnsi="宋体" w:eastAsia="宋体" w:cs="宋体"/>
                <w:spacing w:val="9"/>
                <w:sz w:val="17"/>
                <w:szCs w:val="17"/>
              </w:rPr>
              <w:t>散乱污</w:t>
            </w:r>
            <w:r>
              <w:rPr>
                <w:rFonts w:ascii="Times New Roman" w:hAnsi="Times New Roman" w:eastAsia="Times New Roman" w:cs="Times New Roman"/>
                <w:spacing w:val="9"/>
                <w:sz w:val="17"/>
                <w:szCs w:val="17"/>
              </w:rPr>
              <w:t>”</w:t>
            </w:r>
            <w:r>
              <w:rPr>
                <w:rFonts w:ascii="宋体" w:hAnsi="宋体" w:eastAsia="宋体" w:cs="宋体"/>
                <w:spacing w:val="9"/>
                <w:sz w:val="17"/>
                <w:szCs w:val="17"/>
              </w:rPr>
              <w:t>工业企业，对不符合产业</w:t>
            </w:r>
            <w:r>
              <w:rPr>
                <w:rFonts w:ascii="宋体" w:hAnsi="宋体" w:eastAsia="宋体" w:cs="宋体"/>
                <w:sz w:val="17"/>
                <w:szCs w:val="17"/>
              </w:rPr>
              <w:t xml:space="preserve"> </w:t>
            </w:r>
            <w:r>
              <w:rPr>
                <w:rFonts w:ascii="宋体" w:hAnsi="宋体" w:eastAsia="宋体" w:cs="宋体"/>
                <w:spacing w:val="15"/>
                <w:sz w:val="17"/>
                <w:szCs w:val="17"/>
              </w:rPr>
              <w:t>政</w:t>
            </w:r>
            <w:r>
              <w:rPr>
                <w:rFonts w:ascii="宋体" w:hAnsi="宋体" w:eastAsia="宋体" w:cs="宋体"/>
                <w:spacing w:val="9"/>
                <w:sz w:val="17"/>
                <w:szCs w:val="17"/>
              </w:rPr>
              <w:t>策和规划布局的，一律责令停产、限期搬迁或关停；</w:t>
            </w:r>
          </w:p>
          <w:p>
            <w:pPr>
              <w:spacing w:before="67" w:line="229" w:lineRule="auto"/>
              <w:ind w:left="6"/>
              <w:rPr>
                <w:rFonts w:ascii="宋体" w:hAnsi="宋体" w:eastAsia="宋体" w:cs="宋体"/>
                <w:sz w:val="17"/>
                <w:szCs w:val="17"/>
              </w:rPr>
            </w:pPr>
            <w:r>
              <w:rPr>
                <w:rFonts w:ascii="Times New Roman" w:hAnsi="Times New Roman" w:eastAsia="Times New Roman" w:cs="Times New Roman"/>
                <w:spacing w:val="9"/>
                <w:sz w:val="17"/>
                <w:szCs w:val="17"/>
              </w:rPr>
              <w:t>-</w:t>
            </w:r>
            <w:r>
              <w:rPr>
                <w:rFonts w:ascii="宋体" w:hAnsi="宋体" w:eastAsia="宋体" w:cs="宋体"/>
                <w:spacing w:val="9"/>
                <w:sz w:val="17"/>
                <w:szCs w:val="17"/>
              </w:rPr>
              <w:t>有序搬迁或依法关闭对土壤造成严重污染的现有企业</w:t>
            </w:r>
            <w:r>
              <w:rPr>
                <w:rFonts w:ascii="宋体" w:hAnsi="宋体" w:eastAsia="宋体" w:cs="宋体"/>
                <w:spacing w:val="7"/>
                <w:sz w:val="17"/>
                <w:szCs w:val="17"/>
              </w:rPr>
              <w:t>。</w:t>
            </w:r>
          </w:p>
          <w:p>
            <w:pPr>
              <w:spacing w:before="69" w:line="268" w:lineRule="auto"/>
              <w:ind w:left="7" w:hanging="1"/>
              <w:rPr>
                <w:rFonts w:ascii="宋体" w:hAnsi="宋体" w:eastAsia="宋体" w:cs="宋体"/>
                <w:sz w:val="17"/>
                <w:szCs w:val="17"/>
              </w:rPr>
            </w:pPr>
            <w:r>
              <w:rPr>
                <w:rFonts w:ascii="Times New Roman" w:hAnsi="Times New Roman" w:eastAsia="Times New Roman" w:cs="Times New Roman"/>
                <w:spacing w:val="18"/>
                <w:sz w:val="17"/>
                <w:szCs w:val="17"/>
              </w:rPr>
              <w:t>-</w:t>
            </w:r>
            <w:r>
              <w:rPr>
                <w:rFonts w:ascii="宋体" w:hAnsi="宋体" w:eastAsia="宋体" w:cs="宋体"/>
                <w:spacing w:val="18"/>
                <w:sz w:val="17"/>
                <w:szCs w:val="17"/>
              </w:rPr>
              <w:t>到</w:t>
            </w:r>
            <w:r>
              <w:rPr>
                <w:rFonts w:ascii="宋体" w:hAnsi="宋体" w:eastAsia="宋体" w:cs="宋体"/>
                <w:spacing w:val="10"/>
                <w:sz w:val="17"/>
                <w:szCs w:val="17"/>
              </w:rPr>
              <w:t xml:space="preserve"> </w:t>
            </w:r>
            <w:r>
              <w:rPr>
                <w:rFonts w:ascii="Times New Roman" w:hAnsi="Times New Roman" w:eastAsia="Times New Roman" w:cs="Times New Roman"/>
                <w:spacing w:val="9"/>
                <w:sz w:val="17"/>
                <w:szCs w:val="17"/>
              </w:rPr>
              <w:t xml:space="preserve">2025 </w:t>
            </w:r>
            <w:r>
              <w:rPr>
                <w:rFonts w:ascii="宋体" w:hAnsi="宋体" w:eastAsia="宋体" w:cs="宋体"/>
                <w:spacing w:val="9"/>
                <w:sz w:val="17"/>
                <w:szCs w:val="17"/>
              </w:rPr>
              <w:t>年，城镇人口密集区现有不符合安全和卫生防护距离要</w:t>
            </w:r>
            <w:r>
              <w:rPr>
                <w:rFonts w:ascii="宋体" w:hAnsi="宋体" w:eastAsia="宋体" w:cs="宋体"/>
                <w:sz w:val="17"/>
                <w:szCs w:val="17"/>
              </w:rPr>
              <w:t xml:space="preserve"> </w:t>
            </w:r>
            <w:r>
              <w:rPr>
                <w:rFonts w:ascii="宋体" w:hAnsi="宋体" w:eastAsia="宋体" w:cs="宋体"/>
                <w:spacing w:val="16"/>
                <w:sz w:val="17"/>
                <w:szCs w:val="17"/>
              </w:rPr>
              <w:t>求</w:t>
            </w:r>
            <w:r>
              <w:rPr>
                <w:rFonts w:ascii="宋体" w:hAnsi="宋体" w:eastAsia="宋体" w:cs="宋体"/>
                <w:spacing w:val="9"/>
                <w:sz w:val="17"/>
                <w:szCs w:val="17"/>
              </w:rPr>
              <w:t>的危险化学品生产企业搬迁进入规范化工园区或关闭退出。</w:t>
            </w:r>
          </w:p>
          <w:p>
            <w:pPr>
              <w:spacing w:before="66" w:line="268" w:lineRule="auto"/>
              <w:ind w:left="4" w:firstLine="1"/>
              <w:rPr>
                <w:rFonts w:ascii="宋体" w:hAnsi="宋体" w:eastAsia="宋体" w:cs="宋体"/>
                <w:sz w:val="17"/>
                <w:szCs w:val="17"/>
              </w:rPr>
            </w:pPr>
            <w:r>
              <w:rPr>
                <w:rFonts w:ascii="Times New Roman" w:hAnsi="Times New Roman" w:eastAsia="Times New Roman" w:cs="Times New Roman"/>
                <w:spacing w:val="12"/>
                <w:sz w:val="17"/>
                <w:szCs w:val="17"/>
              </w:rPr>
              <w:t>-</w:t>
            </w:r>
            <w:r>
              <w:rPr>
                <w:rFonts w:ascii="宋体" w:hAnsi="宋体" w:eastAsia="宋体" w:cs="宋体"/>
                <w:spacing w:val="9"/>
                <w:sz w:val="17"/>
                <w:szCs w:val="17"/>
              </w:rPr>
              <w:t>不断优化长江经济带化工行业空间布局，有效控制化工污染。推</w:t>
            </w:r>
            <w:r>
              <w:rPr>
                <w:rFonts w:ascii="宋体" w:hAnsi="宋体" w:eastAsia="宋体" w:cs="宋体"/>
                <w:sz w:val="17"/>
                <w:szCs w:val="17"/>
              </w:rPr>
              <w:t xml:space="preserve"> </w:t>
            </w:r>
            <w:r>
              <w:rPr>
                <w:rFonts w:ascii="宋体" w:hAnsi="宋体" w:eastAsia="宋体" w:cs="宋体"/>
                <w:spacing w:val="15"/>
                <w:sz w:val="17"/>
                <w:szCs w:val="17"/>
              </w:rPr>
              <w:t>进</w:t>
            </w:r>
            <w:r>
              <w:rPr>
                <w:rFonts w:ascii="宋体" w:hAnsi="宋体" w:eastAsia="宋体" w:cs="宋体"/>
                <w:spacing w:val="9"/>
                <w:sz w:val="17"/>
                <w:szCs w:val="17"/>
              </w:rPr>
              <w:t>化工企业搬迁入园，加强化工园区基础设施建设。</w:t>
            </w:r>
          </w:p>
          <w:p>
            <w:pPr>
              <w:spacing w:before="69" w:line="229" w:lineRule="auto"/>
              <w:ind w:left="16"/>
              <w:rPr>
                <w:rFonts w:ascii="宋体" w:hAnsi="宋体" w:eastAsia="宋体" w:cs="宋体"/>
                <w:sz w:val="17"/>
                <w:szCs w:val="17"/>
              </w:rPr>
            </w:pPr>
            <w:r>
              <w:rPr>
                <w:rFonts w:ascii="宋体" w:hAnsi="宋体" w:eastAsia="宋体" w:cs="宋体"/>
                <w:spacing w:val="19"/>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4"/>
                <w:sz w:val="17"/>
                <w:szCs w:val="17"/>
              </w:rPr>
              <w:t>4</w:t>
            </w: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宋体" w:hAnsi="宋体" w:eastAsia="宋体" w:cs="宋体"/>
                <w:spacing w:val="14"/>
                <w:sz w:val="17"/>
                <w:szCs w:val="17"/>
              </w:rPr>
              <w:t xml:space="preserve"> </w:t>
            </w:r>
            <w:r>
              <w:rPr>
                <w:rFonts w:ascii="宋体" w:hAnsi="宋体" w:eastAsia="宋体" w:cs="宋体"/>
                <w:spacing w:val="14"/>
                <w:sz w:val="17"/>
                <w:szCs w:val="17"/>
                <w14:textOutline w14:w="3268" w14:cap="sq" w14:cmpd="sng">
                  <w14:solidFill>
                    <w14:srgbClr w14:val="000000"/>
                  </w14:solidFill>
                  <w14:prstDash w14:val="solid"/>
                  <w14:bevel/>
                </w14:textOutline>
              </w:rPr>
              <w:t>其他空间布局约束要求</w:t>
            </w:r>
          </w:p>
          <w:p>
            <w:pPr>
              <w:spacing w:before="67" w:line="231" w:lineRule="auto"/>
              <w:ind w:left="12"/>
              <w:rPr>
                <w:rFonts w:ascii="宋体" w:hAnsi="宋体" w:eastAsia="宋体" w:cs="宋体"/>
                <w:sz w:val="17"/>
                <w:szCs w:val="17"/>
              </w:rPr>
            </w:pPr>
            <w:r>
              <w:rPr>
                <w:rFonts w:ascii="宋体" w:hAnsi="宋体" w:eastAsia="宋体" w:cs="宋体"/>
                <w:spacing w:val="3"/>
                <w:sz w:val="17"/>
                <w:szCs w:val="17"/>
              </w:rPr>
              <w:t>暂</w:t>
            </w:r>
            <w:r>
              <w:rPr>
                <w:rFonts w:ascii="宋体" w:hAnsi="宋体" w:eastAsia="宋体" w:cs="宋体"/>
                <w:spacing w:val="2"/>
                <w:sz w:val="17"/>
                <w:szCs w:val="17"/>
              </w:rPr>
              <w:t>无。</w:t>
            </w:r>
          </w:p>
        </w:tc>
        <w:tc>
          <w:tcPr>
            <w:tcW w:w="1038" w:type="dxa"/>
            <w:vAlign w:val="top"/>
          </w:tcPr>
          <w:p>
            <w:pPr>
              <w:rPr>
                <w:rFonts w:ascii="Arial"/>
                <w:sz w:val="21"/>
              </w:rPr>
            </w:pPr>
          </w:p>
        </w:tc>
        <w:tc>
          <w:tcPr>
            <w:tcW w:w="412" w:type="dxa"/>
            <w:vAlign w:val="top"/>
          </w:tcPr>
          <w:p>
            <w:pPr>
              <w:rPr>
                <w:rFonts w:ascii="Arial"/>
                <w:sz w:val="21"/>
              </w:rPr>
            </w:pPr>
          </w:p>
        </w:tc>
        <w:tc>
          <w:tcPr>
            <w:tcW w:w="222" w:type="dxa"/>
            <w:vMerge w:val="restart"/>
            <w:tcBorders>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0" w:hRule="atLeast"/>
        </w:trPr>
        <w:tc>
          <w:tcPr>
            <w:tcW w:w="714" w:type="dxa"/>
            <w:vMerge w:val="continue"/>
            <w:tcBorders>
              <w:top w:val="nil"/>
              <w:left w:val="single" w:color="000000" w:sz="6" w:space="0"/>
              <w:bottom w:val="nil"/>
            </w:tcBorders>
            <w:vAlign w:val="top"/>
          </w:tcPr>
          <w:p>
            <w:pPr>
              <w:rPr>
                <w:rFonts w:ascii="Arial"/>
                <w:sz w:val="21"/>
              </w:rPr>
            </w:pPr>
          </w:p>
        </w:tc>
        <w:tc>
          <w:tcPr>
            <w:tcW w:w="213" w:type="dxa"/>
            <w:vMerge w:val="continue"/>
            <w:tcBorders>
              <w:top w:val="nil"/>
              <w:bottom w:val="nil"/>
            </w:tcBorders>
            <w:vAlign w:val="top"/>
          </w:tcPr>
          <w:p>
            <w:pPr>
              <w:rPr>
                <w:rFonts w:ascii="Arial"/>
                <w:sz w:val="21"/>
              </w:rPr>
            </w:pPr>
          </w:p>
        </w:tc>
        <w:tc>
          <w:tcPr>
            <w:tcW w:w="556" w:type="dxa"/>
            <w:vMerge w:val="continue"/>
            <w:tcBorders>
              <w:top w:val="nil"/>
            </w:tcBorders>
            <w:vAlign w:val="top"/>
          </w:tcPr>
          <w:p>
            <w:pPr>
              <w:rPr>
                <w:rFonts w:ascii="Arial"/>
                <w:sz w:val="21"/>
              </w:rPr>
            </w:pPr>
          </w:p>
        </w:tc>
        <w:tc>
          <w:tcPr>
            <w:tcW w:w="283" w:type="dxa"/>
            <w:vMerge w:val="continue"/>
            <w:tcBorders>
              <w:top w:val="nil"/>
            </w:tcBorders>
            <w:vAlign w:val="top"/>
          </w:tcPr>
          <w:p>
            <w:pPr>
              <w:rPr>
                <w:rFonts w:ascii="Arial"/>
                <w:sz w:val="21"/>
              </w:rPr>
            </w:pPr>
          </w:p>
        </w:tc>
        <w:tc>
          <w:tcPr>
            <w:tcW w:w="404"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55" w:line="231" w:lineRule="auto"/>
              <w:ind w:left="23"/>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污</w:t>
            </w:r>
            <w:r>
              <w:rPr>
                <w:rFonts w:ascii="宋体" w:hAnsi="宋体" w:eastAsia="宋体" w:cs="宋体"/>
                <w:spacing w:val="5"/>
                <w:sz w:val="17"/>
                <w:szCs w:val="17"/>
                <w14:textOutline w14:w="3268" w14:cap="sq" w14:cmpd="sng">
                  <w14:solidFill>
                    <w14:srgbClr w14:val="000000"/>
                  </w14:solidFill>
                  <w14:prstDash w14:val="solid"/>
                  <w14:bevel/>
                </w14:textOutline>
              </w:rPr>
              <w:t>染</w:t>
            </w:r>
          </w:p>
          <w:p>
            <w:pPr>
              <w:spacing w:before="67" w:line="232" w:lineRule="auto"/>
              <w:ind w:left="21"/>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物排</w:t>
            </w:r>
          </w:p>
          <w:p>
            <w:pPr>
              <w:spacing w:before="67" w:line="230" w:lineRule="auto"/>
              <w:ind w:left="21"/>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放管</w:t>
            </w:r>
          </w:p>
          <w:p>
            <w:pPr>
              <w:spacing w:before="66" w:line="231" w:lineRule="auto"/>
              <w:ind w:left="109"/>
              <w:rPr>
                <w:rFonts w:ascii="宋体" w:hAnsi="宋体" w:eastAsia="宋体" w:cs="宋体"/>
                <w:sz w:val="17"/>
                <w:szCs w:val="17"/>
              </w:rPr>
            </w:pPr>
            <w:r>
              <w:rPr>
                <w:rFonts w:ascii="宋体" w:hAnsi="宋体" w:eastAsia="宋体" w:cs="宋体"/>
                <w:spacing w:val="3"/>
                <w:sz w:val="17"/>
                <w:szCs w:val="17"/>
                <w14:textOutline w14:w="3268" w14:cap="sq" w14:cmpd="sng">
                  <w14:solidFill>
                    <w14:srgbClr w14:val="000000"/>
                  </w14:solidFill>
                  <w14:prstDash w14:val="solid"/>
                  <w14:bevel/>
                </w14:textOutline>
              </w:rPr>
              <w:t>控</w:t>
            </w:r>
          </w:p>
        </w:tc>
        <w:tc>
          <w:tcPr>
            <w:tcW w:w="5093" w:type="dxa"/>
            <w:vAlign w:val="top"/>
          </w:tcPr>
          <w:p>
            <w:pPr>
              <w:spacing w:before="71" w:line="230" w:lineRule="auto"/>
              <w:ind w:left="16"/>
              <w:rPr>
                <w:rFonts w:ascii="宋体" w:hAnsi="宋体" w:eastAsia="宋体" w:cs="宋体"/>
                <w:sz w:val="17"/>
                <w:szCs w:val="17"/>
              </w:rPr>
            </w:pPr>
            <w:r>
              <w:rPr>
                <w:rFonts w:ascii="宋体" w:hAnsi="宋体" w:eastAsia="宋体" w:cs="宋体"/>
                <w:spacing w:val="16"/>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5"/>
                <w:sz w:val="17"/>
                <w:szCs w:val="17"/>
              </w:rPr>
              <w:t>1</w:t>
            </w:r>
            <w:r>
              <w:rPr>
                <w:rFonts w:ascii="宋体" w:hAnsi="宋体" w:eastAsia="宋体" w:cs="宋体"/>
                <w:spacing w:val="15"/>
                <w:sz w:val="17"/>
                <w:szCs w:val="17"/>
                <w14:textOutline w14:w="3268" w14:cap="sq" w14:cmpd="sng">
                  <w14:solidFill>
                    <w14:srgbClr w14:val="000000"/>
                  </w14:solidFill>
                  <w14:prstDash w14:val="solid"/>
                  <w14:bevel/>
                </w14:textOutline>
              </w:rPr>
              <w:t>)</w:t>
            </w:r>
            <w:r>
              <w:rPr>
                <w:rFonts w:ascii="宋体" w:hAnsi="宋体" w:eastAsia="宋体" w:cs="宋体"/>
                <w:spacing w:val="15"/>
                <w:sz w:val="17"/>
                <w:szCs w:val="17"/>
              </w:rPr>
              <w:t xml:space="preserve"> </w:t>
            </w:r>
            <w:r>
              <w:rPr>
                <w:rFonts w:ascii="宋体" w:hAnsi="宋体" w:eastAsia="宋体" w:cs="宋体"/>
                <w:spacing w:val="15"/>
                <w:sz w:val="17"/>
                <w:szCs w:val="17"/>
                <w14:textOutline w14:w="3268" w14:cap="sq" w14:cmpd="sng">
                  <w14:solidFill>
                    <w14:srgbClr w14:val="000000"/>
                  </w14:solidFill>
                  <w14:prstDash w14:val="solid"/>
                  <w14:bevel/>
                </w14:textOutline>
              </w:rPr>
              <w:t>允许排放量要求</w:t>
            </w:r>
          </w:p>
          <w:p>
            <w:pPr>
              <w:spacing w:before="34" w:line="321" w:lineRule="auto"/>
              <w:ind w:left="4"/>
              <w:rPr>
                <w:rFonts w:ascii="宋体" w:hAnsi="宋体" w:eastAsia="宋体" w:cs="宋体"/>
                <w:sz w:val="17"/>
                <w:szCs w:val="17"/>
              </w:rPr>
            </w:pPr>
            <w:r>
              <w:rPr>
                <w:rFonts w:ascii="宋体" w:hAnsi="宋体" w:eastAsia="宋体" w:cs="宋体"/>
                <w:spacing w:val="6"/>
                <w:sz w:val="17"/>
                <w:szCs w:val="17"/>
              </w:rPr>
              <w:t>达州市</w:t>
            </w:r>
            <w:r>
              <w:rPr>
                <w:rFonts w:ascii="Times New Roman" w:hAnsi="Times New Roman" w:eastAsia="Times New Roman" w:cs="Times New Roman"/>
                <w:spacing w:val="3"/>
                <w:sz w:val="17"/>
                <w:szCs w:val="17"/>
              </w:rPr>
              <w:t xml:space="preserve">2025 </w:t>
            </w:r>
            <w:r>
              <w:rPr>
                <w:rFonts w:ascii="宋体" w:hAnsi="宋体" w:eastAsia="宋体" w:cs="宋体"/>
                <w:spacing w:val="3"/>
                <w:sz w:val="17"/>
                <w:szCs w:val="17"/>
              </w:rPr>
              <w:t>年水污染物允许排放量</w:t>
            </w:r>
            <w:r>
              <w:rPr>
                <w:rFonts w:ascii="Times New Roman" w:hAnsi="Times New Roman" w:eastAsia="Times New Roman" w:cs="Times New Roman"/>
                <w:sz w:val="17"/>
                <w:szCs w:val="17"/>
              </w:rPr>
              <w:t>COD</w:t>
            </w:r>
            <w:r>
              <w:rPr>
                <w:rFonts w:ascii="Times New Roman" w:hAnsi="Times New Roman" w:eastAsia="Times New Roman" w:cs="Times New Roman"/>
                <w:spacing w:val="3"/>
                <w:sz w:val="17"/>
                <w:szCs w:val="17"/>
              </w:rPr>
              <w:t>33136.93</w:t>
            </w:r>
            <w:r>
              <w:rPr>
                <w:rFonts w:ascii="Times New Roman" w:hAnsi="Times New Roman" w:eastAsia="Times New Roman" w:cs="Times New Roman"/>
                <w:sz w:val="17"/>
                <w:szCs w:val="17"/>
              </w:rPr>
              <w:t>t</w:t>
            </w:r>
            <w:r>
              <w:rPr>
                <w:rFonts w:ascii="宋体" w:hAnsi="宋体" w:eastAsia="宋体" w:cs="宋体"/>
                <w:spacing w:val="3"/>
                <w:sz w:val="17"/>
                <w:szCs w:val="17"/>
              </w:rPr>
              <w:t>，氨氮</w:t>
            </w:r>
            <w:r>
              <w:rPr>
                <w:rFonts w:ascii="Times New Roman" w:hAnsi="Times New Roman" w:eastAsia="Times New Roman" w:cs="Times New Roman"/>
                <w:spacing w:val="3"/>
                <w:sz w:val="17"/>
                <w:szCs w:val="17"/>
              </w:rPr>
              <w:t>2055. 16</w:t>
            </w:r>
            <w:r>
              <w:rPr>
                <w:rFonts w:ascii="Times New Roman" w:hAnsi="Times New Roman" w:eastAsia="Times New Roman" w:cs="Times New Roman"/>
                <w:sz w:val="17"/>
                <w:szCs w:val="17"/>
              </w:rPr>
              <w:t>t</w:t>
            </w:r>
            <w:r>
              <w:rPr>
                <w:rFonts w:ascii="宋体" w:hAnsi="宋体" w:eastAsia="宋体" w:cs="宋体"/>
                <w:spacing w:val="3"/>
                <w:sz w:val="17"/>
                <w:szCs w:val="17"/>
              </w:rPr>
              <w:t>，</w:t>
            </w:r>
            <w:r>
              <w:rPr>
                <w:rFonts w:ascii="宋体" w:hAnsi="宋体" w:eastAsia="宋体" w:cs="宋体"/>
                <w:sz w:val="17"/>
                <w:szCs w:val="17"/>
              </w:rPr>
              <w:t xml:space="preserve"> </w:t>
            </w:r>
            <w:r>
              <w:rPr>
                <w:rFonts w:ascii="Times New Roman" w:hAnsi="Times New Roman" w:eastAsia="Times New Roman" w:cs="Times New Roman"/>
                <w:sz w:val="17"/>
                <w:szCs w:val="17"/>
              </w:rPr>
              <w:t>TP</w:t>
            </w:r>
            <w:r>
              <w:rPr>
                <w:rFonts w:ascii="Times New Roman" w:hAnsi="Times New Roman" w:eastAsia="Times New Roman" w:cs="Times New Roman"/>
                <w:spacing w:val="6"/>
                <w:sz w:val="17"/>
                <w:szCs w:val="17"/>
              </w:rPr>
              <w:t>2</w:t>
            </w:r>
            <w:r>
              <w:rPr>
                <w:rFonts w:ascii="Times New Roman" w:hAnsi="Times New Roman" w:eastAsia="Times New Roman" w:cs="Times New Roman"/>
                <w:spacing w:val="4"/>
                <w:sz w:val="17"/>
                <w:szCs w:val="17"/>
              </w:rPr>
              <w:t>52.53</w:t>
            </w:r>
            <w:r>
              <w:rPr>
                <w:rFonts w:ascii="Times New Roman" w:hAnsi="Times New Roman" w:eastAsia="Times New Roman" w:cs="Times New Roman"/>
                <w:sz w:val="17"/>
                <w:szCs w:val="17"/>
              </w:rPr>
              <w:t>t</w:t>
            </w:r>
            <w:r>
              <w:rPr>
                <w:rFonts w:ascii="宋体" w:hAnsi="宋体" w:eastAsia="宋体" w:cs="宋体"/>
                <w:spacing w:val="4"/>
                <w:sz w:val="17"/>
                <w:szCs w:val="17"/>
              </w:rPr>
              <w:t>；</w:t>
            </w:r>
          </w:p>
          <w:p>
            <w:pPr>
              <w:spacing w:before="2" w:line="230" w:lineRule="auto"/>
              <w:ind w:left="16"/>
              <w:rPr>
                <w:rFonts w:ascii="宋体" w:hAnsi="宋体" w:eastAsia="宋体" w:cs="宋体"/>
                <w:sz w:val="17"/>
                <w:szCs w:val="17"/>
              </w:rPr>
            </w:pPr>
            <w:r>
              <w:rPr>
                <w:rFonts w:ascii="宋体" w:hAnsi="宋体" w:eastAsia="宋体" w:cs="宋体"/>
                <w:spacing w:val="21"/>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4"/>
                <w:sz w:val="17"/>
                <w:szCs w:val="17"/>
              </w:rPr>
              <w:t>2</w:t>
            </w: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宋体" w:hAnsi="宋体" w:eastAsia="宋体" w:cs="宋体"/>
                <w:spacing w:val="14"/>
                <w:sz w:val="17"/>
                <w:szCs w:val="17"/>
              </w:rPr>
              <w:t xml:space="preserve"> </w:t>
            </w:r>
            <w:r>
              <w:rPr>
                <w:rFonts w:ascii="宋体" w:hAnsi="宋体" w:eastAsia="宋体" w:cs="宋体"/>
                <w:spacing w:val="14"/>
                <w:sz w:val="17"/>
                <w:szCs w:val="17"/>
                <w14:textOutline w14:w="3268" w14:cap="sq" w14:cmpd="sng">
                  <w14:solidFill>
                    <w14:srgbClr w14:val="000000"/>
                  </w14:solidFill>
                  <w14:prstDash w14:val="solid"/>
                  <w14:bevel/>
                </w14:textOutline>
              </w:rPr>
              <w:t>现有源提标升级改造</w:t>
            </w:r>
          </w:p>
          <w:p>
            <w:pPr>
              <w:spacing w:before="68" w:line="230" w:lineRule="auto"/>
              <w:ind w:left="6"/>
              <w:rPr>
                <w:rFonts w:ascii="宋体" w:hAnsi="宋体" w:eastAsia="宋体" w:cs="宋体"/>
                <w:sz w:val="17"/>
                <w:szCs w:val="17"/>
              </w:rPr>
            </w:pPr>
            <w:r>
              <w:rPr>
                <w:rFonts w:ascii="Times New Roman" w:hAnsi="Times New Roman" w:eastAsia="Times New Roman" w:cs="Times New Roman"/>
                <w:spacing w:val="2"/>
                <w:sz w:val="17"/>
                <w:szCs w:val="17"/>
              </w:rPr>
              <w:t>-</w:t>
            </w:r>
            <w:r>
              <w:rPr>
                <w:rFonts w:ascii="宋体" w:hAnsi="宋体" w:eastAsia="宋体" w:cs="宋体"/>
                <w:spacing w:val="2"/>
                <w:sz w:val="17"/>
                <w:szCs w:val="17"/>
              </w:rPr>
              <w:t xml:space="preserve">到 </w:t>
            </w:r>
            <w:r>
              <w:rPr>
                <w:rFonts w:ascii="Times New Roman" w:hAnsi="Times New Roman" w:eastAsia="Times New Roman" w:cs="Times New Roman"/>
                <w:spacing w:val="2"/>
                <w:sz w:val="17"/>
                <w:szCs w:val="17"/>
              </w:rPr>
              <w:t xml:space="preserve">2025 </w:t>
            </w:r>
            <w:r>
              <w:rPr>
                <w:rFonts w:ascii="宋体" w:hAnsi="宋体" w:eastAsia="宋体" w:cs="宋体"/>
                <w:spacing w:val="2"/>
                <w:sz w:val="17"/>
                <w:szCs w:val="17"/>
              </w:rPr>
              <w:t>年，水环境敏感地区污水处理基</w:t>
            </w:r>
            <w:r>
              <w:rPr>
                <w:rFonts w:ascii="宋体" w:hAnsi="宋体" w:eastAsia="宋体" w:cs="宋体"/>
                <w:spacing w:val="1"/>
                <w:sz w:val="17"/>
                <w:szCs w:val="17"/>
              </w:rPr>
              <w:t xml:space="preserve">本达到一级 </w:t>
            </w:r>
            <w:r>
              <w:rPr>
                <w:rFonts w:ascii="Times New Roman" w:hAnsi="Times New Roman" w:eastAsia="Times New Roman" w:cs="Times New Roman"/>
                <w:sz w:val="17"/>
                <w:szCs w:val="17"/>
              </w:rPr>
              <w:t>A</w:t>
            </w:r>
            <w:r>
              <w:rPr>
                <w:rFonts w:ascii="Times New Roman" w:hAnsi="Times New Roman" w:eastAsia="Times New Roman" w:cs="Times New Roman"/>
                <w:spacing w:val="1"/>
                <w:sz w:val="17"/>
                <w:szCs w:val="17"/>
              </w:rPr>
              <w:t xml:space="preserve"> </w:t>
            </w:r>
            <w:r>
              <w:rPr>
                <w:rFonts w:ascii="宋体" w:hAnsi="宋体" w:eastAsia="宋体" w:cs="宋体"/>
                <w:spacing w:val="1"/>
                <w:sz w:val="17"/>
                <w:szCs w:val="17"/>
              </w:rPr>
              <w:t>排放标准。</w:t>
            </w:r>
          </w:p>
          <w:p>
            <w:pPr>
              <w:spacing w:before="69" w:line="230" w:lineRule="auto"/>
              <w:ind w:left="6"/>
              <w:rPr>
                <w:rFonts w:ascii="宋体" w:hAnsi="宋体" w:eastAsia="宋体" w:cs="宋体"/>
                <w:sz w:val="17"/>
                <w:szCs w:val="17"/>
              </w:rPr>
            </w:pPr>
            <w:r>
              <w:rPr>
                <w:rFonts w:ascii="Times New Roman" w:hAnsi="Times New Roman" w:eastAsia="Times New Roman" w:cs="Times New Roman"/>
                <w:spacing w:val="16"/>
                <w:sz w:val="17"/>
                <w:szCs w:val="17"/>
              </w:rPr>
              <w:t>-</w:t>
            </w:r>
            <w:r>
              <w:rPr>
                <w:rFonts w:ascii="宋体" w:hAnsi="宋体" w:eastAsia="宋体" w:cs="宋体"/>
                <w:spacing w:val="11"/>
                <w:sz w:val="17"/>
                <w:szCs w:val="17"/>
              </w:rPr>
              <w:t>燃</w:t>
            </w:r>
            <w:r>
              <w:rPr>
                <w:rFonts w:ascii="宋体" w:hAnsi="宋体" w:eastAsia="宋体" w:cs="宋体"/>
                <w:spacing w:val="8"/>
                <w:sz w:val="17"/>
                <w:szCs w:val="17"/>
              </w:rPr>
              <w:t>气锅炉升级改造，达到特别排放限值。</w:t>
            </w:r>
          </w:p>
          <w:p>
            <w:pPr>
              <w:spacing w:before="36" w:line="294" w:lineRule="auto"/>
              <w:ind w:left="6"/>
              <w:rPr>
                <w:rFonts w:ascii="宋体" w:hAnsi="宋体" w:eastAsia="宋体" w:cs="宋体"/>
                <w:sz w:val="17"/>
                <w:szCs w:val="17"/>
              </w:rPr>
            </w:pPr>
            <w:r>
              <w:rPr>
                <w:rFonts w:ascii="Times New Roman" w:hAnsi="Times New Roman" w:eastAsia="Times New Roman" w:cs="Times New Roman"/>
                <w:spacing w:val="10"/>
                <w:sz w:val="17"/>
                <w:szCs w:val="17"/>
              </w:rPr>
              <w:t>-</w:t>
            </w:r>
            <w:r>
              <w:rPr>
                <w:rFonts w:ascii="宋体" w:hAnsi="宋体" w:eastAsia="宋体" w:cs="宋体"/>
                <w:spacing w:val="10"/>
                <w:sz w:val="17"/>
                <w:szCs w:val="17"/>
              </w:rPr>
              <w:t>城市</w:t>
            </w:r>
            <w:r>
              <w:rPr>
                <w:rFonts w:ascii="宋体" w:hAnsi="宋体" w:eastAsia="宋体" w:cs="宋体"/>
                <w:spacing w:val="9"/>
                <w:sz w:val="17"/>
                <w:szCs w:val="17"/>
              </w:rPr>
              <w:t>污</w:t>
            </w:r>
            <w:r>
              <w:rPr>
                <w:rFonts w:ascii="宋体" w:hAnsi="宋体" w:eastAsia="宋体" w:cs="宋体"/>
                <w:spacing w:val="5"/>
                <w:sz w:val="17"/>
                <w:szCs w:val="17"/>
              </w:rPr>
              <w:t>水处理厂进水生化需氧量 (</w:t>
            </w:r>
            <w:r>
              <w:rPr>
                <w:rFonts w:ascii="Times New Roman" w:hAnsi="Times New Roman" w:eastAsia="Times New Roman" w:cs="Times New Roman"/>
                <w:sz w:val="17"/>
                <w:szCs w:val="17"/>
              </w:rPr>
              <w:t>BOD</w:t>
            </w:r>
            <w:r>
              <w:rPr>
                <w:rFonts w:ascii="宋体" w:hAnsi="宋体" w:eastAsia="宋体" w:cs="宋体"/>
                <w:spacing w:val="5"/>
                <w:sz w:val="17"/>
                <w:szCs w:val="17"/>
              </w:rPr>
              <w:t xml:space="preserve">) 浓度低于 </w:t>
            </w:r>
            <w:r>
              <w:rPr>
                <w:rFonts w:ascii="Times New Roman" w:hAnsi="Times New Roman" w:eastAsia="Times New Roman" w:cs="Times New Roman"/>
                <w:spacing w:val="5"/>
                <w:sz w:val="17"/>
                <w:szCs w:val="17"/>
              </w:rPr>
              <w:t>100</w:t>
            </w:r>
            <w:r>
              <w:rPr>
                <w:rFonts w:ascii="Times New Roman" w:hAnsi="Times New Roman" w:eastAsia="Times New Roman" w:cs="Times New Roman"/>
                <w:sz w:val="17"/>
                <w:szCs w:val="17"/>
              </w:rPr>
              <w:t>mg</w:t>
            </w:r>
            <w:r>
              <w:rPr>
                <w:rFonts w:ascii="Times New Roman" w:hAnsi="Times New Roman" w:eastAsia="Times New Roman" w:cs="Times New Roman"/>
                <w:spacing w:val="5"/>
                <w:sz w:val="17"/>
                <w:szCs w:val="17"/>
              </w:rPr>
              <w:t>/</w:t>
            </w:r>
            <w:r>
              <w:rPr>
                <w:rFonts w:ascii="Times New Roman" w:hAnsi="Times New Roman" w:eastAsia="Times New Roman" w:cs="Times New Roman"/>
                <w:sz w:val="17"/>
                <w:szCs w:val="17"/>
              </w:rPr>
              <w:t>L</w:t>
            </w:r>
            <w:r>
              <w:rPr>
                <w:rFonts w:ascii="Times New Roman" w:hAnsi="Times New Roman" w:eastAsia="Times New Roman" w:cs="Times New Roman"/>
                <w:spacing w:val="5"/>
                <w:sz w:val="17"/>
                <w:szCs w:val="17"/>
              </w:rPr>
              <w:t xml:space="preserve"> </w:t>
            </w:r>
            <w:r>
              <w:rPr>
                <w:rFonts w:ascii="宋体" w:hAnsi="宋体" w:eastAsia="宋体" w:cs="宋体"/>
                <w:spacing w:val="5"/>
                <w:sz w:val="17"/>
                <w:szCs w:val="17"/>
              </w:rPr>
              <w:t>的，</w:t>
            </w:r>
            <w:r>
              <w:rPr>
                <w:rFonts w:ascii="宋体" w:hAnsi="宋体" w:eastAsia="宋体" w:cs="宋体"/>
                <w:sz w:val="17"/>
                <w:szCs w:val="17"/>
              </w:rPr>
              <w:t xml:space="preserve"> </w:t>
            </w:r>
            <w:r>
              <w:rPr>
                <w:rFonts w:ascii="宋体" w:hAnsi="宋体" w:eastAsia="宋体" w:cs="宋体"/>
                <w:spacing w:val="11"/>
                <w:sz w:val="17"/>
                <w:szCs w:val="17"/>
              </w:rPr>
              <w:t>要围绕服务片区管网，系统排查进水浓度偏低的原因，科学确定</w:t>
            </w:r>
            <w:r>
              <w:rPr>
                <w:rFonts w:ascii="宋体" w:hAnsi="宋体" w:eastAsia="宋体" w:cs="宋体"/>
                <w:sz w:val="17"/>
                <w:szCs w:val="17"/>
              </w:rPr>
              <w:t xml:space="preserve"> </w:t>
            </w:r>
            <w:r>
              <w:rPr>
                <w:rFonts w:ascii="宋体" w:hAnsi="宋体" w:eastAsia="宋体" w:cs="宋体"/>
                <w:spacing w:val="19"/>
                <w:sz w:val="17"/>
                <w:szCs w:val="17"/>
              </w:rPr>
              <w:t>水</w:t>
            </w:r>
            <w:r>
              <w:rPr>
                <w:rFonts w:ascii="宋体" w:hAnsi="宋体" w:eastAsia="宋体" w:cs="宋体"/>
                <w:spacing w:val="11"/>
                <w:sz w:val="17"/>
                <w:szCs w:val="17"/>
              </w:rPr>
              <w:t>质提升目标，制定并实施</w:t>
            </w:r>
            <w:r>
              <w:rPr>
                <w:rFonts w:ascii="Times New Roman" w:hAnsi="Times New Roman" w:eastAsia="Times New Roman" w:cs="Times New Roman"/>
                <w:spacing w:val="11"/>
                <w:sz w:val="17"/>
                <w:szCs w:val="17"/>
              </w:rPr>
              <w:t>“</w:t>
            </w:r>
            <w:r>
              <w:rPr>
                <w:rFonts w:ascii="宋体" w:hAnsi="宋体" w:eastAsia="宋体" w:cs="宋体"/>
                <w:spacing w:val="11"/>
                <w:sz w:val="17"/>
                <w:szCs w:val="17"/>
              </w:rPr>
              <w:t>一厂一策</w:t>
            </w:r>
            <w:r>
              <w:rPr>
                <w:rFonts w:ascii="Times New Roman" w:hAnsi="Times New Roman" w:eastAsia="Times New Roman" w:cs="Times New Roman"/>
                <w:spacing w:val="11"/>
                <w:sz w:val="17"/>
                <w:szCs w:val="17"/>
              </w:rPr>
              <w:t>”</w:t>
            </w:r>
            <w:r>
              <w:rPr>
                <w:rFonts w:ascii="宋体" w:hAnsi="宋体" w:eastAsia="宋体" w:cs="宋体"/>
                <w:spacing w:val="11"/>
                <w:sz w:val="17"/>
                <w:szCs w:val="17"/>
              </w:rPr>
              <w:t>系统化整治方案，稳步提</w:t>
            </w:r>
            <w:r>
              <w:rPr>
                <w:rFonts w:ascii="宋体" w:hAnsi="宋体" w:eastAsia="宋体" w:cs="宋体"/>
                <w:sz w:val="17"/>
                <w:szCs w:val="17"/>
              </w:rPr>
              <w:t xml:space="preserve"> </w:t>
            </w:r>
            <w:r>
              <w:rPr>
                <w:rFonts w:ascii="宋体" w:hAnsi="宋体" w:eastAsia="宋体" w:cs="宋体"/>
                <w:spacing w:val="8"/>
                <w:sz w:val="17"/>
                <w:szCs w:val="17"/>
              </w:rPr>
              <w:t>升污水收集处理设施效能。</w:t>
            </w:r>
          </w:p>
          <w:p>
            <w:pPr>
              <w:spacing w:before="69" w:line="230" w:lineRule="auto"/>
              <w:ind w:left="16"/>
              <w:rPr>
                <w:rFonts w:ascii="宋体" w:hAnsi="宋体" w:eastAsia="宋体" w:cs="宋体"/>
                <w:sz w:val="17"/>
                <w:szCs w:val="17"/>
              </w:rPr>
            </w:pP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4"/>
                <w:sz w:val="17"/>
                <w:szCs w:val="17"/>
              </w:rPr>
              <w:t>3</w:t>
            </w: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宋体" w:hAnsi="宋体" w:eastAsia="宋体" w:cs="宋体"/>
                <w:spacing w:val="14"/>
                <w:sz w:val="17"/>
                <w:szCs w:val="17"/>
              </w:rPr>
              <w:t xml:space="preserve"> </w:t>
            </w:r>
            <w:r>
              <w:rPr>
                <w:rFonts w:ascii="宋体" w:hAnsi="宋体" w:eastAsia="宋体" w:cs="宋体"/>
                <w:spacing w:val="14"/>
                <w:sz w:val="17"/>
                <w:szCs w:val="17"/>
                <w14:textOutline w14:w="3268" w14:cap="sq" w14:cmpd="sng">
                  <w14:solidFill>
                    <w14:srgbClr w14:val="000000"/>
                  </w14:solidFill>
                  <w14:prstDash w14:val="solid"/>
                  <w14:bevel/>
                </w14:textOutline>
              </w:rPr>
              <w:t>其他污染物排放管控要</w:t>
            </w:r>
            <w:r>
              <w:rPr>
                <w:rFonts w:ascii="宋体" w:hAnsi="宋体" w:eastAsia="宋体" w:cs="宋体"/>
                <w:spacing w:val="13"/>
                <w:sz w:val="17"/>
                <w:szCs w:val="17"/>
                <w14:textOutline w14:w="3268" w14:cap="sq" w14:cmpd="sng">
                  <w14:solidFill>
                    <w14:srgbClr w14:val="000000"/>
                  </w14:solidFill>
                  <w14:prstDash w14:val="solid"/>
                  <w14:bevel/>
                </w14:textOutline>
              </w:rPr>
              <w:t>求</w:t>
            </w:r>
          </w:p>
          <w:p>
            <w:pPr>
              <w:spacing w:before="69" w:line="304" w:lineRule="auto"/>
              <w:ind w:left="6"/>
              <w:rPr>
                <w:rFonts w:ascii="宋体" w:hAnsi="宋体" w:eastAsia="宋体" w:cs="宋体"/>
                <w:sz w:val="17"/>
                <w:szCs w:val="17"/>
              </w:rPr>
            </w:pPr>
            <w:r>
              <w:rPr>
                <w:rFonts w:ascii="宋体" w:hAnsi="宋体" w:eastAsia="宋体" w:cs="宋体"/>
                <w:spacing w:val="12"/>
                <w:sz w:val="17"/>
                <w:szCs w:val="17"/>
              </w:rPr>
              <w:t>新</w:t>
            </w:r>
            <w:r>
              <w:rPr>
                <w:rFonts w:ascii="宋体" w:hAnsi="宋体" w:eastAsia="宋体" w:cs="宋体"/>
                <w:spacing w:val="9"/>
                <w:sz w:val="17"/>
                <w:szCs w:val="17"/>
              </w:rPr>
              <w:t>增源等量或倍量替代：</w:t>
            </w:r>
            <w:r>
              <w:rPr>
                <w:rFonts w:ascii="Times New Roman" w:hAnsi="Times New Roman" w:eastAsia="Times New Roman" w:cs="Times New Roman"/>
                <w:spacing w:val="9"/>
                <w:sz w:val="17"/>
                <w:szCs w:val="17"/>
              </w:rPr>
              <w:t>-</w:t>
            </w:r>
            <w:r>
              <w:rPr>
                <w:rFonts w:ascii="宋体" w:hAnsi="宋体" w:eastAsia="宋体" w:cs="宋体"/>
                <w:spacing w:val="9"/>
                <w:sz w:val="17"/>
                <w:szCs w:val="17"/>
              </w:rPr>
              <w:t>上一年度水环境质量未完成目标的，新</w:t>
            </w:r>
            <w:r>
              <w:rPr>
                <w:rFonts w:ascii="宋体" w:hAnsi="宋体" w:eastAsia="宋体" w:cs="宋体"/>
                <w:sz w:val="17"/>
                <w:szCs w:val="17"/>
              </w:rPr>
              <w:t xml:space="preserve"> </w:t>
            </w:r>
            <w:r>
              <w:rPr>
                <w:rFonts w:ascii="宋体" w:hAnsi="宋体" w:eastAsia="宋体" w:cs="宋体"/>
                <w:spacing w:val="15"/>
                <w:sz w:val="17"/>
                <w:szCs w:val="17"/>
              </w:rPr>
              <w:t>建</w:t>
            </w:r>
            <w:r>
              <w:rPr>
                <w:rFonts w:ascii="宋体" w:hAnsi="宋体" w:eastAsia="宋体" w:cs="宋体"/>
                <w:spacing w:val="10"/>
                <w:sz w:val="17"/>
                <w:szCs w:val="17"/>
              </w:rPr>
              <w:t>排放水污染的建设项目按照总量管控要求进行倍量削减替代。</w:t>
            </w:r>
            <w:r>
              <w:rPr>
                <w:rFonts w:ascii="宋体" w:hAnsi="宋体" w:eastAsia="宋体" w:cs="宋体"/>
                <w:sz w:val="17"/>
                <w:szCs w:val="17"/>
              </w:rPr>
              <w:t xml:space="preserve"> </w:t>
            </w:r>
            <w:r>
              <w:rPr>
                <w:rFonts w:ascii="Times New Roman" w:hAnsi="Times New Roman" w:eastAsia="Times New Roman" w:cs="Times New Roman"/>
                <w:spacing w:val="12"/>
                <w:sz w:val="17"/>
                <w:szCs w:val="17"/>
              </w:rPr>
              <w:t>-</w:t>
            </w:r>
            <w:r>
              <w:rPr>
                <w:rFonts w:ascii="宋体" w:hAnsi="宋体" w:eastAsia="宋体" w:cs="宋体"/>
                <w:spacing w:val="9"/>
                <w:sz w:val="17"/>
                <w:szCs w:val="17"/>
              </w:rPr>
              <w:t>上一年度空气质量年平均浓度不达标的城市，建设项目新增相关</w:t>
            </w:r>
            <w:r>
              <w:rPr>
                <w:rFonts w:ascii="宋体" w:hAnsi="宋体" w:eastAsia="宋体" w:cs="宋体"/>
                <w:sz w:val="17"/>
                <w:szCs w:val="17"/>
              </w:rPr>
              <w:t xml:space="preserve"> </w:t>
            </w:r>
            <w:r>
              <w:rPr>
                <w:rFonts w:ascii="宋体" w:hAnsi="宋体" w:eastAsia="宋体" w:cs="宋体"/>
                <w:spacing w:val="22"/>
                <w:sz w:val="17"/>
                <w:szCs w:val="17"/>
              </w:rPr>
              <w:t>污</w:t>
            </w:r>
            <w:r>
              <w:rPr>
                <w:rFonts w:ascii="宋体" w:hAnsi="宋体" w:eastAsia="宋体" w:cs="宋体"/>
                <w:spacing w:val="13"/>
                <w:sz w:val="17"/>
                <w:szCs w:val="17"/>
              </w:rPr>
              <w:t>染</w:t>
            </w:r>
            <w:r>
              <w:rPr>
                <w:rFonts w:ascii="宋体" w:hAnsi="宋体" w:eastAsia="宋体" w:cs="宋体"/>
                <w:spacing w:val="11"/>
                <w:sz w:val="17"/>
                <w:szCs w:val="17"/>
              </w:rPr>
              <w:t>物按照总量管控要求进行倍量削减替代。加快城市天然气利</w:t>
            </w:r>
            <w:r>
              <w:rPr>
                <w:rFonts w:ascii="宋体" w:hAnsi="宋体" w:eastAsia="宋体" w:cs="宋体"/>
                <w:sz w:val="17"/>
                <w:szCs w:val="17"/>
              </w:rPr>
              <w:t xml:space="preserve"> </w:t>
            </w:r>
            <w:r>
              <w:rPr>
                <w:rFonts w:ascii="宋体" w:hAnsi="宋体" w:eastAsia="宋体" w:cs="宋体"/>
                <w:spacing w:val="22"/>
                <w:sz w:val="17"/>
                <w:szCs w:val="17"/>
              </w:rPr>
              <w:t>用</w:t>
            </w:r>
            <w:r>
              <w:rPr>
                <w:rFonts w:ascii="宋体" w:hAnsi="宋体" w:eastAsia="宋体" w:cs="宋体"/>
                <w:spacing w:val="13"/>
                <w:sz w:val="17"/>
                <w:szCs w:val="17"/>
              </w:rPr>
              <w:t>，</w:t>
            </w:r>
            <w:r>
              <w:rPr>
                <w:rFonts w:ascii="宋体" w:hAnsi="宋体" w:eastAsia="宋体" w:cs="宋体"/>
                <w:spacing w:val="11"/>
                <w:sz w:val="17"/>
                <w:szCs w:val="17"/>
              </w:rPr>
              <w:t>增加天然气对煤炭和石油的替代，提高天然气民用、交通、</w:t>
            </w:r>
            <w:r>
              <w:rPr>
                <w:rFonts w:ascii="宋体" w:hAnsi="宋体" w:eastAsia="宋体" w:cs="宋体"/>
                <w:sz w:val="17"/>
                <w:szCs w:val="17"/>
              </w:rPr>
              <w:t xml:space="preserve"> </w:t>
            </w:r>
            <w:r>
              <w:rPr>
                <w:rFonts w:ascii="宋体" w:hAnsi="宋体" w:eastAsia="宋体" w:cs="宋体"/>
                <w:spacing w:val="16"/>
                <w:sz w:val="17"/>
                <w:szCs w:val="17"/>
              </w:rPr>
              <w:t>发</w:t>
            </w:r>
            <w:r>
              <w:rPr>
                <w:rFonts w:ascii="宋体" w:hAnsi="宋体" w:eastAsia="宋体" w:cs="宋体"/>
                <w:spacing w:val="11"/>
                <w:sz w:val="17"/>
                <w:szCs w:val="17"/>
              </w:rPr>
              <w:t>电</w:t>
            </w:r>
            <w:r>
              <w:rPr>
                <w:rFonts w:ascii="宋体" w:hAnsi="宋体" w:eastAsia="宋体" w:cs="宋体"/>
                <w:spacing w:val="8"/>
                <w:sz w:val="17"/>
                <w:szCs w:val="17"/>
              </w:rPr>
              <w:t>、工业领域天然气消费比重。</w:t>
            </w:r>
          </w:p>
          <w:p>
            <w:pPr>
              <w:spacing w:line="230" w:lineRule="auto"/>
              <w:ind w:left="16"/>
              <w:rPr>
                <w:rFonts w:ascii="宋体" w:hAnsi="宋体" w:eastAsia="宋体" w:cs="宋体"/>
                <w:sz w:val="17"/>
                <w:szCs w:val="17"/>
              </w:rPr>
            </w:pPr>
            <w:r>
              <w:rPr>
                <w:rFonts w:ascii="宋体" w:hAnsi="宋体" w:eastAsia="宋体" w:cs="宋体"/>
                <w:spacing w:val="25"/>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3"/>
                <w:sz w:val="17"/>
                <w:szCs w:val="17"/>
              </w:rPr>
              <w:t>4</w:t>
            </w:r>
            <w:r>
              <w:rPr>
                <w:rFonts w:ascii="宋体" w:hAnsi="宋体" w:eastAsia="宋体" w:cs="宋体"/>
                <w:spacing w:val="13"/>
                <w:sz w:val="17"/>
                <w:szCs w:val="17"/>
                <w14:textOutline w14:w="3268" w14:cap="sq" w14:cmpd="sng">
                  <w14:solidFill>
                    <w14:srgbClr w14:val="000000"/>
                  </w14:solidFill>
                  <w14:prstDash w14:val="solid"/>
                  <w14:bevel/>
                </w14:textOutline>
              </w:rPr>
              <w:t>)</w:t>
            </w:r>
            <w:r>
              <w:rPr>
                <w:rFonts w:ascii="宋体" w:hAnsi="宋体" w:eastAsia="宋体" w:cs="宋体"/>
                <w:spacing w:val="13"/>
                <w:sz w:val="17"/>
                <w:szCs w:val="17"/>
              </w:rPr>
              <w:t xml:space="preserve"> </w:t>
            </w:r>
            <w:r>
              <w:rPr>
                <w:rFonts w:ascii="宋体" w:hAnsi="宋体" w:eastAsia="宋体" w:cs="宋体"/>
                <w:spacing w:val="13"/>
                <w:sz w:val="17"/>
                <w:szCs w:val="17"/>
                <w14:textOutline w14:w="3268" w14:cap="sq" w14:cmpd="sng">
                  <w14:solidFill>
                    <w14:srgbClr w14:val="000000"/>
                  </w14:solidFill>
                  <w14:prstDash w14:val="solid"/>
                  <w14:bevel/>
                </w14:textOutline>
              </w:rPr>
              <w:t>污染物排放绩效水平准入要求</w:t>
            </w:r>
          </w:p>
          <w:p>
            <w:pPr>
              <w:spacing w:before="67" w:line="230" w:lineRule="auto"/>
              <w:ind w:left="7"/>
              <w:rPr>
                <w:rFonts w:ascii="宋体" w:hAnsi="宋体" w:eastAsia="宋体" w:cs="宋体"/>
                <w:sz w:val="17"/>
                <w:szCs w:val="17"/>
              </w:rPr>
            </w:pPr>
            <w:r>
              <w:rPr>
                <w:rFonts w:ascii="宋体" w:hAnsi="宋体" w:eastAsia="宋体" w:cs="宋体"/>
                <w:spacing w:val="15"/>
                <w:sz w:val="17"/>
                <w:szCs w:val="17"/>
              </w:rPr>
              <w:t>严</w:t>
            </w:r>
            <w:r>
              <w:rPr>
                <w:rFonts w:ascii="宋体" w:hAnsi="宋体" w:eastAsia="宋体" w:cs="宋体"/>
                <w:spacing w:val="9"/>
                <w:sz w:val="17"/>
                <w:szCs w:val="17"/>
              </w:rPr>
              <w:t>格落实建设工地管理要求，做好扬尘污染管控工作。</w:t>
            </w:r>
          </w:p>
          <w:p>
            <w:pPr>
              <w:spacing w:before="70" w:line="304" w:lineRule="auto"/>
              <w:ind w:left="6"/>
              <w:rPr>
                <w:rFonts w:ascii="宋体" w:hAnsi="宋体" w:eastAsia="宋体" w:cs="宋体"/>
                <w:sz w:val="17"/>
                <w:szCs w:val="17"/>
              </w:rPr>
            </w:pPr>
            <w:r>
              <w:rPr>
                <w:rFonts w:ascii="Times New Roman" w:hAnsi="Times New Roman" w:eastAsia="Times New Roman" w:cs="Times New Roman"/>
                <w:spacing w:val="12"/>
                <w:sz w:val="17"/>
                <w:szCs w:val="17"/>
              </w:rPr>
              <w:t>-</w:t>
            </w:r>
            <w:r>
              <w:rPr>
                <w:rFonts w:ascii="宋体" w:hAnsi="宋体" w:eastAsia="宋体" w:cs="宋体"/>
                <w:spacing w:val="9"/>
                <w:sz w:val="17"/>
                <w:szCs w:val="17"/>
              </w:rPr>
              <w:t>从事机动车修理、印刷、服装干洗、研发等排放挥发性有机污染</w:t>
            </w:r>
            <w:r>
              <w:rPr>
                <w:rFonts w:ascii="宋体" w:hAnsi="宋体" w:eastAsia="宋体" w:cs="宋体"/>
                <w:sz w:val="17"/>
                <w:szCs w:val="17"/>
              </w:rPr>
              <w:t xml:space="preserve"> </w:t>
            </w:r>
            <w:r>
              <w:rPr>
                <w:rFonts w:ascii="宋体" w:hAnsi="宋体" w:eastAsia="宋体" w:cs="宋体"/>
                <w:spacing w:val="22"/>
                <w:sz w:val="17"/>
                <w:szCs w:val="17"/>
              </w:rPr>
              <w:t>物</w:t>
            </w:r>
            <w:r>
              <w:rPr>
                <w:rFonts w:ascii="宋体" w:hAnsi="宋体" w:eastAsia="宋体" w:cs="宋体"/>
                <w:spacing w:val="13"/>
                <w:sz w:val="17"/>
                <w:szCs w:val="17"/>
              </w:rPr>
              <w:t>的</w:t>
            </w:r>
            <w:r>
              <w:rPr>
                <w:rFonts w:ascii="宋体" w:hAnsi="宋体" w:eastAsia="宋体" w:cs="宋体"/>
                <w:spacing w:val="11"/>
                <w:sz w:val="17"/>
                <w:szCs w:val="17"/>
              </w:rPr>
              <w:t>生产作业，应当按照有关技术规范进行综合治理。禁止露天</w:t>
            </w:r>
            <w:r>
              <w:rPr>
                <w:rFonts w:ascii="宋体" w:hAnsi="宋体" w:eastAsia="宋体" w:cs="宋体"/>
                <w:sz w:val="17"/>
                <w:szCs w:val="17"/>
              </w:rPr>
              <w:t xml:space="preserve"> </w:t>
            </w:r>
            <w:r>
              <w:rPr>
                <w:rFonts w:ascii="宋体" w:hAnsi="宋体" w:eastAsia="宋体" w:cs="宋体"/>
                <w:spacing w:val="12"/>
                <w:sz w:val="17"/>
                <w:szCs w:val="17"/>
              </w:rPr>
              <w:t>和</w:t>
            </w:r>
            <w:r>
              <w:rPr>
                <w:rFonts w:ascii="宋体" w:hAnsi="宋体" w:eastAsia="宋体" w:cs="宋体"/>
                <w:spacing w:val="11"/>
                <w:sz w:val="17"/>
                <w:szCs w:val="17"/>
              </w:rPr>
              <w:t>敞开式喷漆作业；包装印刷业必须使用符合环保要求的油墨；</w:t>
            </w:r>
            <w:r>
              <w:rPr>
                <w:rFonts w:ascii="宋体" w:hAnsi="宋体" w:eastAsia="宋体" w:cs="宋体"/>
                <w:sz w:val="17"/>
                <w:szCs w:val="17"/>
              </w:rPr>
              <w:t xml:space="preserve"> </w:t>
            </w:r>
            <w:r>
              <w:rPr>
                <w:rFonts w:ascii="宋体" w:hAnsi="宋体" w:eastAsia="宋体" w:cs="宋体"/>
                <w:spacing w:val="16"/>
                <w:sz w:val="17"/>
                <w:szCs w:val="17"/>
              </w:rPr>
              <w:t>餐</w:t>
            </w:r>
            <w:r>
              <w:rPr>
                <w:rFonts w:ascii="宋体" w:hAnsi="宋体" w:eastAsia="宋体" w:cs="宋体"/>
                <w:spacing w:val="9"/>
                <w:sz w:val="17"/>
                <w:szCs w:val="17"/>
              </w:rPr>
              <w:t>饮服务业油烟和废水必须经处理达到相应排放标准要求。</w:t>
            </w:r>
          </w:p>
          <w:p>
            <w:pPr>
              <w:spacing w:before="4" w:line="298" w:lineRule="auto"/>
              <w:ind w:left="4" w:firstLine="1"/>
              <w:rPr>
                <w:rFonts w:ascii="宋体" w:hAnsi="宋体" w:eastAsia="宋体" w:cs="宋体"/>
                <w:sz w:val="17"/>
                <w:szCs w:val="17"/>
              </w:rPr>
            </w:pPr>
            <w:r>
              <w:rPr>
                <w:rFonts w:ascii="Times New Roman" w:hAnsi="Times New Roman" w:eastAsia="Times New Roman" w:cs="Times New Roman"/>
                <w:spacing w:val="12"/>
                <w:sz w:val="17"/>
                <w:szCs w:val="17"/>
              </w:rPr>
              <w:t>-</w:t>
            </w:r>
            <w:r>
              <w:rPr>
                <w:rFonts w:ascii="宋体" w:hAnsi="宋体" w:eastAsia="宋体" w:cs="宋体"/>
                <w:spacing w:val="9"/>
                <w:sz w:val="17"/>
                <w:szCs w:val="17"/>
              </w:rPr>
              <w:t>建材行业原料破碎、生产、运输、装卸等各环节严格落实抑尘措</w:t>
            </w:r>
            <w:r>
              <w:rPr>
                <w:rFonts w:ascii="宋体" w:hAnsi="宋体" w:eastAsia="宋体" w:cs="宋体"/>
                <w:sz w:val="17"/>
                <w:szCs w:val="17"/>
              </w:rPr>
              <w:t xml:space="preserve"> </w:t>
            </w:r>
            <w:r>
              <w:rPr>
                <w:rFonts w:ascii="宋体" w:hAnsi="宋体" w:eastAsia="宋体" w:cs="宋体"/>
                <w:spacing w:val="18"/>
                <w:sz w:val="17"/>
                <w:szCs w:val="17"/>
              </w:rPr>
              <w:t>施，</w:t>
            </w:r>
            <w:r>
              <w:rPr>
                <w:rFonts w:ascii="宋体" w:hAnsi="宋体" w:eastAsia="宋体" w:cs="宋体"/>
                <w:spacing w:val="11"/>
                <w:sz w:val="17"/>
                <w:szCs w:val="17"/>
              </w:rPr>
              <w:t>有</w:t>
            </w:r>
            <w:r>
              <w:rPr>
                <w:rFonts w:ascii="宋体" w:hAnsi="宋体" w:eastAsia="宋体" w:cs="宋体"/>
                <w:spacing w:val="9"/>
                <w:sz w:val="17"/>
                <w:szCs w:val="17"/>
              </w:rPr>
              <w:t>效控制粉尘无组织排放。</w:t>
            </w:r>
            <w:r>
              <w:rPr>
                <w:rFonts w:ascii="Times New Roman" w:hAnsi="Times New Roman" w:eastAsia="Times New Roman" w:cs="Times New Roman"/>
                <w:spacing w:val="9"/>
                <w:sz w:val="17"/>
                <w:szCs w:val="17"/>
              </w:rPr>
              <w:t>-</w:t>
            </w:r>
            <w:r>
              <w:rPr>
                <w:rFonts w:ascii="宋体" w:hAnsi="宋体" w:eastAsia="宋体" w:cs="宋体"/>
                <w:spacing w:val="9"/>
                <w:sz w:val="17"/>
                <w:szCs w:val="17"/>
              </w:rPr>
              <w:t xml:space="preserve">到 </w:t>
            </w:r>
            <w:r>
              <w:rPr>
                <w:rFonts w:ascii="Times New Roman" w:hAnsi="Times New Roman" w:eastAsia="Times New Roman" w:cs="Times New Roman"/>
                <w:spacing w:val="9"/>
                <w:sz w:val="17"/>
                <w:szCs w:val="17"/>
              </w:rPr>
              <w:t xml:space="preserve">2023 </w:t>
            </w:r>
            <w:r>
              <w:rPr>
                <w:rFonts w:ascii="宋体" w:hAnsi="宋体" w:eastAsia="宋体" w:cs="宋体"/>
                <w:spacing w:val="9"/>
                <w:sz w:val="17"/>
                <w:szCs w:val="17"/>
              </w:rPr>
              <w:t>年，城市污泥无害化处</w:t>
            </w:r>
            <w:r>
              <w:rPr>
                <w:rFonts w:ascii="宋体" w:hAnsi="宋体" w:eastAsia="宋体" w:cs="宋体"/>
                <w:sz w:val="17"/>
                <w:szCs w:val="17"/>
              </w:rPr>
              <w:t xml:space="preserve"> </w:t>
            </w:r>
            <w:r>
              <w:rPr>
                <w:rFonts w:ascii="宋体" w:hAnsi="宋体" w:eastAsia="宋体" w:cs="宋体"/>
                <w:spacing w:val="22"/>
                <w:sz w:val="17"/>
                <w:szCs w:val="17"/>
              </w:rPr>
              <w:t>置</w:t>
            </w:r>
            <w:r>
              <w:rPr>
                <w:rFonts w:ascii="宋体" w:hAnsi="宋体" w:eastAsia="宋体" w:cs="宋体"/>
                <w:spacing w:val="14"/>
                <w:sz w:val="17"/>
                <w:szCs w:val="17"/>
              </w:rPr>
              <w:t>率</w:t>
            </w:r>
            <w:r>
              <w:rPr>
                <w:rFonts w:ascii="宋体" w:hAnsi="宋体" w:eastAsia="宋体" w:cs="宋体"/>
                <w:spacing w:val="11"/>
                <w:sz w:val="17"/>
                <w:szCs w:val="17"/>
              </w:rPr>
              <w:t>和资源化利用率进一步提高，力争达州市鲜家坝、周家坝城</w:t>
            </w:r>
            <w:r>
              <w:rPr>
                <w:rFonts w:ascii="宋体" w:hAnsi="宋体" w:eastAsia="宋体" w:cs="宋体"/>
                <w:sz w:val="17"/>
                <w:szCs w:val="17"/>
              </w:rPr>
              <w:t xml:space="preserve"> </w:t>
            </w:r>
            <w:r>
              <w:rPr>
                <w:rFonts w:ascii="宋体" w:hAnsi="宋体" w:eastAsia="宋体" w:cs="宋体"/>
                <w:spacing w:val="10"/>
                <w:sz w:val="17"/>
                <w:szCs w:val="17"/>
              </w:rPr>
              <w:t>市生活污</w:t>
            </w:r>
            <w:r>
              <w:rPr>
                <w:rFonts w:ascii="宋体" w:hAnsi="宋体" w:eastAsia="宋体" w:cs="宋体"/>
                <w:spacing w:val="5"/>
                <w:sz w:val="17"/>
                <w:szCs w:val="17"/>
              </w:rPr>
              <w:t xml:space="preserve">水处理厂污泥无害化处置率达 </w:t>
            </w:r>
            <w:r>
              <w:rPr>
                <w:rFonts w:ascii="Times New Roman" w:hAnsi="Times New Roman" w:eastAsia="Times New Roman" w:cs="Times New Roman"/>
                <w:spacing w:val="5"/>
                <w:sz w:val="17"/>
                <w:szCs w:val="17"/>
              </w:rPr>
              <w:t xml:space="preserve">92% </w:t>
            </w:r>
            <w:r>
              <w:rPr>
                <w:rFonts w:ascii="宋体" w:hAnsi="宋体" w:eastAsia="宋体" w:cs="宋体"/>
                <w:spacing w:val="5"/>
                <w:sz w:val="17"/>
                <w:szCs w:val="17"/>
              </w:rPr>
              <w:t>、各县 (市) 城市达</w:t>
            </w:r>
            <w:r>
              <w:rPr>
                <w:rFonts w:ascii="宋体" w:hAnsi="宋体" w:eastAsia="宋体" w:cs="宋体"/>
                <w:sz w:val="17"/>
                <w:szCs w:val="17"/>
              </w:rPr>
              <w:t xml:space="preserve"> </w:t>
            </w:r>
            <w:r>
              <w:rPr>
                <w:rFonts w:ascii="Times New Roman" w:hAnsi="Times New Roman" w:eastAsia="Times New Roman" w:cs="Times New Roman"/>
                <w:spacing w:val="5"/>
                <w:sz w:val="17"/>
                <w:szCs w:val="17"/>
              </w:rPr>
              <w:t>85%</w:t>
            </w:r>
            <w:r>
              <w:rPr>
                <w:rFonts w:ascii="宋体" w:hAnsi="宋体" w:eastAsia="宋体" w:cs="宋体"/>
                <w:spacing w:val="5"/>
                <w:sz w:val="17"/>
                <w:szCs w:val="17"/>
              </w:rPr>
              <w:t>；城市生活污水资源化利用水平明显提升。</w:t>
            </w:r>
            <w:r>
              <w:rPr>
                <w:rFonts w:ascii="Times New Roman" w:hAnsi="Times New Roman" w:eastAsia="Times New Roman" w:cs="Times New Roman"/>
                <w:spacing w:val="5"/>
                <w:sz w:val="17"/>
                <w:szCs w:val="17"/>
              </w:rPr>
              <w:t>-</w:t>
            </w:r>
            <w:r>
              <w:rPr>
                <w:rFonts w:ascii="宋体" w:hAnsi="宋体" w:eastAsia="宋体" w:cs="宋体"/>
                <w:spacing w:val="5"/>
                <w:sz w:val="17"/>
                <w:szCs w:val="17"/>
              </w:rPr>
              <w:t xml:space="preserve">到 </w:t>
            </w:r>
            <w:r>
              <w:rPr>
                <w:rFonts w:ascii="Times New Roman" w:hAnsi="Times New Roman" w:eastAsia="Times New Roman" w:cs="Times New Roman"/>
                <w:spacing w:val="5"/>
                <w:sz w:val="17"/>
                <w:szCs w:val="17"/>
              </w:rPr>
              <w:t xml:space="preserve">2023 </w:t>
            </w:r>
            <w:r>
              <w:rPr>
                <w:rFonts w:ascii="宋体" w:hAnsi="宋体" w:eastAsia="宋体" w:cs="宋体"/>
                <w:spacing w:val="5"/>
                <w:sz w:val="17"/>
                <w:szCs w:val="17"/>
              </w:rPr>
              <w:t>年基本</w:t>
            </w:r>
            <w:r>
              <w:rPr>
                <w:rFonts w:ascii="宋体" w:hAnsi="宋体" w:eastAsia="宋体" w:cs="宋体"/>
                <w:spacing w:val="2"/>
                <w:sz w:val="17"/>
                <w:szCs w:val="17"/>
              </w:rPr>
              <w:t>实</w:t>
            </w:r>
            <w:r>
              <w:rPr>
                <w:rFonts w:ascii="宋体" w:hAnsi="宋体" w:eastAsia="宋体" w:cs="宋体"/>
                <w:sz w:val="17"/>
                <w:szCs w:val="17"/>
              </w:rPr>
              <w:t xml:space="preserve"> </w:t>
            </w:r>
            <w:r>
              <w:rPr>
                <w:rFonts w:ascii="宋体" w:hAnsi="宋体" w:eastAsia="宋体" w:cs="宋体"/>
                <w:spacing w:val="10"/>
                <w:sz w:val="17"/>
                <w:szCs w:val="17"/>
              </w:rPr>
              <w:t>现原生生活垃圾</w:t>
            </w:r>
            <w:r>
              <w:rPr>
                <w:rFonts w:ascii="Times New Roman" w:hAnsi="Times New Roman" w:eastAsia="Times New Roman" w:cs="Times New Roman"/>
                <w:spacing w:val="10"/>
                <w:sz w:val="17"/>
                <w:szCs w:val="17"/>
              </w:rPr>
              <w:t>“</w:t>
            </w:r>
            <w:r>
              <w:rPr>
                <w:rFonts w:ascii="宋体" w:hAnsi="宋体" w:eastAsia="宋体" w:cs="宋体"/>
                <w:spacing w:val="10"/>
                <w:sz w:val="17"/>
                <w:szCs w:val="17"/>
              </w:rPr>
              <w:t>零填埋</w:t>
            </w:r>
            <w:r>
              <w:rPr>
                <w:rFonts w:ascii="Times New Roman" w:hAnsi="Times New Roman" w:eastAsia="Times New Roman" w:cs="Times New Roman"/>
                <w:spacing w:val="10"/>
                <w:sz w:val="17"/>
                <w:szCs w:val="17"/>
              </w:rPr>
              <w:t xml:space="preserve">” </w:t>
            </w:r>
            <w:r>
              <w:rPr>
                <w:rFonts w:ascii="宋体" w:hAnsi="宋体" w:eastAsia="宋体" w:cs="宋体"/>
                <w:spacing w:val="10"/>
                <w:sz w:val="17"/>
                <w:szCs w:val="17"/>
              </w:rPr>
              <w:t>，鼓励跨区域统筹建设焚烧处理设施</w:t>
            </w:r>
            <w:r>
              <w:rPr>
                <w:rFonts w:ascii="宋体" w:hAnsi="宋体" w:eastAsia="宋体" w:cs="宋体"/>
                <w:spacing w:val="9"/>
                <w:sz w:val="17"/>
                <w:szCs w:val="17"/>
              </w:rPr>
              <w:t>，</w:t>
            </w:r>
            <w:r>
              <w:rPr>
                <w:rFonts w:ascii="宋体" w:hAnsi="宋体" w:eastAsia="宋体" w:cs="宋体"/>
                <w:sz w:val="17"/>
                <w:szCs w:val="17"/>
              </w:rPr>
              <w:t xml:space="preserve"> </w:t>
            </w:r>
            <w:r>
              <w:rPr>
                <w:rFonts w:ascii="宋体" w:hAnsi="宋体" w:eastAsia="宋体" w:cs="宋体"/>
                <w:spacing w:val="9"/>
                <w:sz w:val="17"/>
                <w:szCs w:val="17"/>
              </w:rPr>
              <w:t xml:space="preserve">在生活垃圾日清运量不足 </w:t>
            </w:r>
            <w:r>
              <w:rPr>
                <w:rFonts w:ascii="Times New Roman" w:hAnsi="Times New Roman" w:eastAsia="Times New Roman" w:cs="Times New Roman"/>
                <w:spacing w:val="9"/>
                <w:sz w:val="17"/>
                <w:szCs w:val="17"/>
              </w:rPr>
              <w:t xml:space="preserve">300 </w:t>
            </w:r>
            <w:r>
              <w:rPr>
                <w:rFonts w:ascii="宋体" w:hAnsi="宋体" w:eastAsia="宋体" w:cs="宋体"/>
                <w:spacing w:val="9"/>
                <w:sz w:val="17"/>
                <w:szCs w:val="17"/>
              </w:rPr>
              <w:t>吨的地区探索开展小型生活垃圾</w:t>
            </w:r>
            <w:r>
              <w:rPr>
                <w:rFonts w:ascii="宋体" w:hAnsi="宋体" w:eastAsia="宋体" w:cs="宋体"/>
                <w:spacing w:val="8"/>
                <w:sz w:val="17"/>
                <w:szCs w:val="17"/>
              </w:rPr>
              <w:t>焚</w:t>
            </w:r>
            <w:r>
              <w:rPr>
                <w:rFonts w:ascii="宋体" w:hAnsi="宋体" w:eastAsia="宋体" w:cs="宋体"/>
                <w:sz w:val="17"/>
                <w:szCs w:val="17"/>
              </w:rPr>
              <w:t xml:space="preserve"> </w:t>
            </w:r>
            <w:r>
              <w:rPr>
                <w:rFonts w:ascii="宋体" w:hAnsi="宋体" w:eastAsia="宋体" w:cs="宋体"/>
                <w:spacing w:val="12"/>
                <w:sz w:val="17"/>
                <w:szCs w:val="17"/>
              </w:rPr>
              <w:t>烧设施</w:t>
            </w:r>
            <w:r>
              <w:rPr>
                <w:rFonts w:ascii="宋体" w:hAnsi="宋体" w:eastAsia="宋体" w:cs="宋体"/>
                <w:spacing w:val="6"/>
                <w:sz w:val="17"/>
                <w:szCs w:val="17"/>
              </w:rPr>
              <w:t xml:space="preserve">试点；生活垃圾回收利用率力争达 </w:t>
            </w:r>
            <w:r>
              <w:rPr>
                <w:rFonts w:ascii="Times New Roman" w:hAnsi="Times New Roman" w:eastAsia="Times New Roman" w:cs="Times New Roman"/>
                <w:spacing w:val="6"/>
                <w:sz w:val="17"/>
                <w:szCs w:val="17"/>
              </w:rPr>
              <w:t>30%</w:t>
            </w:r>
            <w:r>
              <w:rPr>
                <w:rFonts w:ascii="宋体" w:hAnsi="宋体" w:eastAsia="宋体" w:cs="宋体"/>
                <w:spacing w:val="6"/>
                <w:sz w:val="17"/>
                <w:szCs w:val="17"/>
              </w:rPr>
              <w:t>以上。</w:t>
            </w:r>
          </w:p>
          <w:p>
            <w:pPr>
              <w:spacing w:before="41" w:line="282" w:lineRule="auto"/>
              <w:ind w:left="7" w:hanging="1"/>
              <w:rPr>
                <w:rFonts w:ascii="宋体" w:hAnsi="宋体" w:eastAsia="宋体" w:cs="宋体"/>
                <w:sz w:val="17"/>
                <w:szCs w:val="17"/>
              </w:rPr>
            </w:pPr>
            <w:r>
              <w:rPr>
                <w:rFonts w:ascii="Times New Roman" w:hAnsi="Times New Roman" w:eastAsia="Times New Roman" w:cs="Times New Roman"/>
                <w:spacing w:val="12"/>
                <w:sz w:val="17"/>
                <w:szCs w:val="17"/>
              </w:rPr>
              <w:t>-</w:t>
            </w:r>
            <w:r>
              <w:rPr>
                <w:rFonts w:ascii="宋体" w:hAnsi="宋体" w:eastAsia="宋体" w:cs="宋体"/>
                <w:spacing w:val="9"/>
                <w:sz w:val="17"/>
                <w:szCs w:val="17"/>
              </w:rPr>
              <w:t>实施密闭化收运，推广干湿分类收运。强化垃圾渗滤液、焚烧飞</w:t>
            </w:r>
            <w:r>
              <w:rPr>
                <w:rFonts w:ascii="宋体" w:hAnsi="宋体" w:eastAsia="宋体" w:cs="宋体"/>
                <w:sz w:val="17"/>
                <w:szCs w:val="17"/>
              </w:rPr>
              <w:t xml:space="preserve"> </w:t>
            </w:r>
            <w:r>
              <w:rPr>
                <w:rFonts w:ascii="宋体" w:hAnsi="宋体" w:eastAsia="宋体" w:cs="宋体"/>
                <w:spacing w:val="12"/>
                <w:sz w:val="17"/>
                <w:szCs w:val="17"/>
              </w:rPr>
              <w:t>灰安</w:t>
            </w:r>
            <w:r>
              <w:rPr>
                <w:rFonts w:ascii="宋体" w:hAnsi="宋体" w:eastAsia="宋体" w:cs="宋体"/>
                <w:spacing w:val="10"/>
                <w:sz w:val="17"/>
                <w:szCs w:val="17"/>
              </w:rPr>
              <w:t>全</w:t>
            </w:r>
            <w:r>
              <w:rPr>
                <w:rFonts w:ascii="宋体" w:hAnsi="宋体" w:eastAsia="宋体" w:cs="宋体"/>
                <w:spacing w:val="6"/>
                <w:sz w:val="17"/>
                <w:szCs w:val="17"/>
              </w:rPr>
              <w:t xml:space="preserve">处置，城市生活垃圾无害化处理率保持 </w:t>
            </w:r>
            <w:r>
              <w:rPr>
                <w:rFonts w:ascii="Times New Roman" w:hAnsi="Times New Roman" w:eastAsia="Times New Roman" w:cs="Times New Roman"/>
                <w:spacing w:val="6"/>
                <w:sz w:val="17"/>
                <w:szCs w:val="17"/>
              </w:rPr>
              <w:t>100%</w:t>
            </w:r>
            <w:r>
              <w:rPr>
                <w:rFonts w:ascii="宋体" w:hAnsi="宋体" w:eastAsia="宋体" w:cs="宋体"/>
                <w:spacing w:val="6"/>
                <w:sz w:val="17"/>
                <w:szCs w:val="17"/>
              </w:rPr>
              <w:t>。</w:t>
            </w:r>
          </w:p>
          <w:p>
            <w:pPr>
              <w:spacing w:before="6" w:line="241" w:lineRule="exact"/>
              <w:ind w:left="6"/>
              <w:rPr>
                <w:rFonts w:ascii="宋体" w:hAnsi="宋体" w:eastAsia="宋体" w:cs="宋体"/>
                <w:sz w:val="17"/>
                <w:szCs w:val="17"/>
              </w:rPr>
            </w:pPr>
            <w:r>
              <w:rPr>
                <w:rFonts w:ascii="Times New Roman" w:hAnsi="Times New Roman" w:eastAsia="Times New Roman" w:cs="Times New Roman"/>
                <w:spacing w:val="7"/>
                <w:position w:val="1"/>
                <w:sz w:val="17"/>
                <w:szCs w:val="17"/>
              </w:rPr>
              <w:t>-</w:t>
            </w:r>
            <w:r>
              <w:rPr>
                <w:rFonts w:ascii="宋体" w:hAnsi="宋体" w:eastAsia="宋体" w:cs="宋体"/>
                <w:spacing w:val="7"/>
                <w:position w:val="1"/>
                <w:sz w:val="17"/>
                <w:szCs w:val="17"/>
              </w:rPr>
              <w:t xml:space="preserve">到 </w:t>
            </w:r>
            <w:r>
              <w:rPr>
                <w:rFonts w:ascii="Times New Roman" w:hAnsi="Times New Roman" w:eastAsia="Times New Roman" w:cs="Times New Roman"/>
                <w:spacing w:val="7"/>
                <w:position w:val="1"/>
                <w:sz w:val="17"/>
                <w:szCs w:val="17"/>
              </w:rPr>
              <w:t xml:space="preserve">2023 </w:t>
            </w:r>
            <w:r>
              <w:rPr>
                <w:rFonts w:ascii="宋体" w:hAnsi="宋体" w:eastAsia="宋体" w:cs="宋体"/>
                <w:spacing w:val="7"/>
                <w:position w:val="1"/>
                <w:sz w:val="17"/>
                <w:szCs w:val="17"/>
              </w:rPr>
              <w:t xml:space="preserve">年，力争全省生活垃圾焚烧处理能力占比达 </w:t>
            </w:r>
            <w:r>
              <w:rPr>
                <w:rFonts w:ascii="Times New Roman" w:hAnsi="Times New Roman" w:eastAsia="Times New Roman" w:cs="Times New Roman"/>
                <w:spacing w:val="7"/>
                <w:position w:val="1"/>
                <w:sz w:val="17"/>
                <w:szCs w:val="17"/>
              </w:rPr>
              <w:t>60%</w:t>
            </w:r>
            <w:r>
              <w:rPr>
                <w:rFonts w:ascii="宋体" w:hAnsi="宋体" w:eastAsia="宋体" w:cs="宋体"/>
                <w:spacing w:val="7"/>
                <w:position w:val="1"/>
                <w:sz w:val="17"/>
                <w:szCs w:val="17"/>
              </w:rPr>
              <w:t>以上</w:t>
            </w:r>
            <w:r>
              <w:rPr>
                <w:rFonts w:ascii="宋体" w:hAnsi="宋体" w:eastAsia="宋体" w:cs="宋体"/>
                <w:spacing w:val="6"/>
                <w:position w:val="1"/>
                <w:sz w:val="17"/>
                <w:szCs w:val="17"/>
              </w:rPr>
              <w:t>，</w:t>
            </w:r>
          </w:p>
        </w:tc>
        <w:tc>
          <w:tcPr>
            <w:tcW w:w="1038"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55" w:line="230" w:lineRule="auto"/>
              <w:ind w:left="81"/>
              <w:rPr>
                <w:rFonts w:ascii="宋体" w:hAnsi="宋体" w:eastAsia="宋体" w:cs="宋体"/>
                <w:sz w:val="17"/>
                <w:szCs w:val="17"/>
              </w:rPr>
            </w:pPr>
            <w:r>
              <w:rPr>
                <w:rFonts w:ascii="宋体" w:hAnsi="宋体" w:eastAsia="宋体" w:cs="宋体"/>
                <w:spacing w:val="8"/>
                <w:sz w:val="17"/>
                <w:szCs w:val="17"/>
              </w:rPr>
              <w:t>项目不产生</w:t>
            </w:r>
          </w:p>
          <w:p>
            <w:pPr>
              <w:spacing w:before="66" w:line="230" w:lineRule="auto"/>
              <w:ind w:left="12"/>
              <w:rPr>
                <w:rFonts w:ascii="宋体" w:hAnsi="宋体" w:eastAsia="宋体" w:cs="宋体"/>
                <w:sz w:val="17"/>
                <w:szCs w:val="17"/>
              </w:rPr>
            </w:pPr>
            <w:r>
              <w:rPr>
                <w:rFonts w:ascii="宋体" w:hAnsi="宋体" w:eastAsia="宋体" w:cs="宋体"/>
                <w:sz w:val="17"/>
                <w:szCs w:val="17"/>
              </w:rPr>
              <w:t>废水，路面雨</w:t>
            </w:r>
          </w:p>
          <w:p>
            <w:pPr>
              <w:spacing w:before="69" w:line="230" w:lineRule="auto"/>
              <w:ind w:left="171"/>
              <w:rPr>
                <w:rFonts w:ascii="宋体" w:hAnsi="宋体" w:eastAsia="宋体" w:cs="宋体"/>
                <w:sz w:val="17"/>
                <w:szCs w:val="17"/>
              </w:rPr>
            </w:pPr>
            <w:r>
              <w:rPr>
                <w:rFonts w:ascii="宋体" w:hAnsi="宋体" w:eastAsia="宋体" w:cs="宋体"/>
                <w:spacing w:val="9"/>
                <w:sz w:val="17"/>
                <w:szCs w:val="17"/>
              </w:rPr>
              <w:t>水</w:t>
            </w:r>
            <w:r>
              <w:rPr>
                <w:rFonts w:ascii="宋体" w:hAnsi="宋体" w:eastAsia="宋体" w:cs="宋体"/>
                <w:spacing w:val="7"/>
                <w:sz w:val="17"/>
                <w:szCs w:val="17"/>
              </w:rPr>
              <w:t>收集后</w:t>
            </w:r>
          </w:p>
          <w:p>
            <w:pPr>
              <w:spacing w:before="69" w:line="230" w:lineRule="auto"/>
              <w:ind w:left="78"/>
              <w:rPr>
                <w:rFonts w:ascii="宋体" w:hAnsi="宋体" w:eastAsia="宋体" w:cs="宋体"/>
                <w:sz w:val="17"/>
                <w:szCs w:val="17"/>
              </w:rPr>
            </w:pPr>
            <w:r>
              <w:rPr>
                <w:rFonts w:ascii="宋体" w:hAnsi="宋体" w:eastAsia="宋体" w:cs="宋体"/>
                <w:spacing w:val="10"/>
                <w:sz w:val="17"/>
                <w:szCs w:val="17"/>
              </w:rPr>
              <w:t>排</w:t>
            </w:r>
            <w:r>
              <w:rPr>
                <w:rFonts w:ascii="宋体" w:hAnsi="宋体" w:eastAsia="宋体" w:cs="宋体"/>
                <w:spacing w:val="8"/>
                <w:sz w:val="17"/>
                <w:szCs w:val="17"/>
              </w:rPr>
              <w:t>入市政管</w:t>
            </w:r>
          </w:p>
          <w:p>
            <w:pPr>
              <w:spacing w:before="66" w:line="235" w:lineRule="auto"/>
              <w:ind w:left="27"/>
              <w:rPr>
                <w:rFonts w:ascii="宋体" w:hAnsi="宋体" w:eastAsia="宋体" w:cs="宋体"/>
                <w:sz w:val="17"/>
                <w:szCs w:val="17"/>
              </w:rPr>
            </w:pPr>
            <w:r>
              <w:rPr>
                <w:rFonts w:ascii="宋体" w:hAnsi="宋体" w:eastAsia="宋体" w:cs="宋体"/>
                <w:spacing w:val="-4"/>
                <w:sz w:val="17"/>
                <w:szCs w:val="17"/>
              </w:rPr>
              <w:t>网</w:t>
            </w:r>
            <w:r>
              <w:rPr>
                <w:rFonts w:ascii="宋体" w:hAnsi="宋体" w:eastAsia="宋体" w:cs="宋体"/>
                <w:spacing w:val="-3"/>
                <w:sz w:val="17"/>
                <w:szCs w:val="17"/>
              </w:rPr>
              <w:t>，</w:t>
            </w:r>
            <w:r>
              <w:rPr>
                <w:rFonts w:ascii="宋体" w:hAnsi="宋体" w:eastAsia="宋体" w:cs="宋体"/>
                <w:spacing w:val="-2"/>
                <w:sz w:val="17"/>
                <w:szCs w:val="17"/>
              </w:rPr>
              <w:t>满足相应</w:t>
            </w:r>
          </w:p>
          <w:p>
            <w:pPr>
              <w:spacing w:before="64" w:line="232" w:lineRule="auto"/>
              <w:ind w:left="14"/>
              <w:rPr>
                <w:rFonts w:ascii="宋体" w:hAnsi="宋体" w:eastAsia="宋体" w:cs="宋体"/>
                <w:sz w:val="17"/>
                <w:szCs w:val="17"/>
              </w:rPr>
            </w:pPr>
            <w:r>
              <w:rPr>
                <w:rFonts w:ascii="宋体" w:hAnsi="宋体" w:eastAsia="宋体" w:cs="宋体"/>
                <w:spacing w:val="-1"/>
                <w:sz w:val="17"/>
                <w:szCs w:val="17"/>
              </w:rPr>
              <w:t>要求</w:t>
            </w:r>
            <w:r>
              <w:rPr>
                <w:rFonts w:ascii="宋体" w:hAnsi="宋体" w:eastAsia="宋体" w:cs="宋体"/>
                <w:sz w:val="17"/>
                <w:szCs w:val="17"/>
              </w:rPr>
              <w:t>；通川区</w:t>
            </w:r>
          </w:p>
          <w:p>
            <w:pPr>
              <w:spacing w:before="67" w:line="304" w:lineRule="auto"/>
              <w:ind w:left="76" w:hanging="61"/>
              <w:jc w:val="right"/>
              <w:rPr>
                <w:rFonts w:ascii="宋体" w:hAnsi="宋体" w:eastAsia="宋体" w:cs="宋体"/>
                <w:sz w:val="17"/>
                <w:szCs w:val="17"/>
              </w:rPr>
            </w:pPr>
            <w:r>
              <w:rPr>
                <w:rFonts w:ascii="宋体" w:hAnsi="宋体" w:eastAsia="宋体" w:cs="宋体"/>
                <w:spacing w:val="-1"/>
                <w:sz w:val="17"/>
                <w:szCs w:val="17"/>
              </w:rPr>
              <w:t>为达标</w:t>
            </w:r>
            <w:r>
              <w:rPr>
                <w:rFonts w:ascii="宋体" w:hAnsi="宋体" w:eastAsia="宋体" w:cs="宋体"/>
                <w:sz w:val="17"/>
                <w:szCs w:val="17"/>
              </w:rPr>
              <w:t xml:space="preserve">城市， </w:t>
            </w:r>
            <w:r>
              <w:rPr>
                <w:rFonts w:ascii="宋体" w:hAnsi="宋体" w:eastAsia="宋体" w:cs="宋体"/>
                <w:spacing w:val="8"/>
                <w:sz w:val="17"/>
                <w:szCs w:val="17"/>
              </w:rPr>
              <w:t>施</w:t>
            </w:r>
            <w:r>
              <w:rPr>
                <w:rFonts w:ascii="宋体" w:hAnsi="宋体" w:eastAsia="宋体" w:cs="宋体"/>
                <w:spacing w:val="7"/>
                <w:sz w:val="17"/>
                <w:szCs w:val="17"/>
              </w:rPr>
              <w:t>工前将制</w:t>
            </w:r>
            <w:r>
              <w:rPr>
                <w:rFonts w:ascii="宋体" w:hAnsi="宋体" w:eastAsia="宋体" w:cs="宋体"/>
                <w:sz w:val="17"/>
                <w:szCs w:val="17"/>
              </w:rPr>
              <w:t xml:space="preserve"> </w:t>
            </w:r>
            <w:r>
              <w:rPr>
                <w:rFonts w:ascii="宋体" w:hAnsi="宋体" w:eastAsia="宋体" w:cs="宋体"/>
                <w:spacing w:val="7"/>
                <w:sz w:val="17"/>
                <w:szCs w:val="17"/>
              </w:rPr>
              <w:t>定</w:t>
            </w:r>
            <w:r>
              <w:rPr>
                <w:rFonts w:ascii="宋体" w:hAnsi="宋体" w:eastAsia="宋体" w:cs="宋体"/>
                <w:spacing w:val="6"/>
                <w:sz w:val="17"/>
                <w:szCs w:val="17"/>
              </w:rPr>
              <w:t>扬尘治理</w:t>
            </w:r>
          </w:p>
          <w:p>
            <w:pPr>
              <w:spacing w:before="1" w:line="314" w:lineRule="auto"/>
              <w:ind w:left="257" w:hanging="243"/>
              <w:rPr>
                <w:rFonts w:ascii="宋体" w:hAnsi="宋体" w:eastAsia="宋体" w:cs="宋体"/>
                <w:sz w:val="17"/>
                <w:szCs w:val="17"/>
              </w:rPr>
            </w:pPr>
            <w:r>
              <w:rPr>
                <w:rFonts w:ascii="宋体" w:hAnsi="宋体" w:eastAsia="宋体" w:cs="宋体"/>
                <w:spacing w:val="-1"/>
                <w:sz w:val="17"/>
                <w:szCs w:val="17"/>
              </w:rPr>
              <w:t>方案</w:t>
            </w:r>
            <w:r>
              <w:rPr>
                <w:rFonts w:ascii="宋体" w:hAnsi="宋体" w:eastAsia="宋体" w:cs="宋体"/>
                <w:sz w:val="17"/>
                <w:szCs w:val="17"/>
              </w:rPr>
              <w:t xml:space="preserve">，并严格 </w:t>
            </w:r>
            <w:r>
              <w:rPr>
                <w:rFonts w:ascii="宋体" w:hAnsi="宋体" w:eastAsia="宋体" w:cs="宋体"/>
                <w:spacing w:val="4"/>
                <w:sz w:val="17"/>
                <w:szCs w:val="17"/>
              </w:rPr>
              <w:t>执行</w:t>
            </w:r>
            <w:r>
              <w:rPr>
                <w:rFonts w:ascii="宋体" w:hAnsi="宋体" w:eastAsia="宋体" w:cs="宋体"/>
                <w:spacing w:val="3"/>
                <w:sz w:val="17"/>
                <w:szCs w:val="17"/>
              </w:rPr>
              <w:t>。</w:t>
            </w:r>
          </w:p>
        </w:tc>
        <w:tc>
          <w:tcPr>
            <w:tcW w:w="412"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5" w:line="230" w:lineRule="auto"/>
              <w:ind w:left="37"/>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符</w:t>
            </w:r>
            <w:r>
              <w:rPr>
                <w:rFonts w:ascii="宋体" w:hAnsi="宋体" w:eastAsia="宋体" w:cs="宋体"/>
                <w:spacing w:val="5"/>
                <w:sz w:val="17"/>
                <w:szCs w:val="17"/>
                <w14:textOutline w14:w="3268" w14:cap="sq" w14:cmpd="sng">
                  <w14:solidFill>
                    <w14:srgbClr w14:val="000000"/>
                  </w14:solidFill>
                  <w14:prstDash w14:val="solid"/>
                  <w14:bevel/>
                </w14:textOutline>
              </w:rPr>
              <w:t>合</w:t>
            </w:r>
          </w:p>
        </w:tc>
        <w:tc>
          <w:tcPr>
            <w:tcW w:w="2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 w:hRule="atLeast"/>
        </w:trPr>
        <w:tc>
          <w:tcPr>
            <w:tcW w:w="714" w:type="dxa"/>
            <w:vMerge w:val="continue"/>
            <w:tcBorders>
              <w:top w:val="nil"/>
              <w:left w:val="single" w:color="000000" w:sz="6" w:space="0"/>
            </w:tcBorders>
            <w:vAlign w:val="top"/>
          </w:tcPr>
          <w:p>
            <w:pPr>
              <w:rPr>
                <w:rFonts w:ascii="Arial"/>
                <w:sz w:val="21"/>
              </w:rPr>
            </w:pPr>
          </w:p>
        </w:tc>
        <w:tc>
          <w:tcPr>
            <w:tcW w:w="213" w:type="dxa"/>
            <w:vMerge w:val="continue"/>
            <w:tcBorders>
              <w:top w:val="nil"/>
            </w:tcBorders>
            <w:vAlign w:val="top"/>
          </w:tcPr>
          <w:p>
            <w:pPr>
              <w:rPr>
                <w:rFonts w:ascii="Arial"/>
                <w:sz w:val="21"/>
              </w:rPr>
            </w:pPr>
          </w:p>
        </w:tc>
        <w:tc>
          <w:tcPr>
            <w:tcW w:w="7786" w:type="dxa"/>
            <w:gridSpan w:val="6"/>
            <w:tcBorders>
              <w:left w:val="nil"/>
              <w:right w:val="nil"/>
            </w:tcBorders>
            <w:vAlign w:val="top"/>
          </w:tcPr>
          <w:p>
            <w:pPr>
              <w:spacing w:line="110" w:lineRule="exact"/>
              <w:rPr>
                <w:rFonts w:ascii="Arial"/>
                <w:sz w:val="9"/>
              </w:rPr>
            </w:pPr>
          </w:p>
        </w:tc>
        <w:tc>
          <w:tcPr>
            <w:tcW w:w="222" w:type="dxa"/>
            <w:vMerge w:val="continue"/>
            <w:tcBorders>
              <w:top w:val="nil"/>
              <w:right w:val="single" w:color="000000" w:sz="6" w:space="0"/>
            </w:tcBorders>
            <w:vAlign w:val="top"/>
          </w:tcPr>
          <w:p>
            <w:pPr>
              <w:rPr>
                <w:rFonts w:ascii="Arial"/>
                <w:sz w:val="21"/>
              </w:rPr>
            </w:pPr>
          </w:p>
        </w:tc>
      </w:tr>
    </w:tbl>
    <w:p>
      <w:pPr>
        <w:spacing w:line="161" w:lineRule="exact"/>
        <w:rPr>
          <w:rFonts w:ascii="Arial"/>
          <w:sz w:val="14"/>
        </w:rPr>
      </w:pPr>
    </w:p>
    <w:p>
      <w:pPr>
        <w:sectPr>
          <w:footerReference r:id="rId14" w:type="default"/>
          <w:pgSz w:w="11906" w:h="16839"/>
          <w:pgMar w:top="400" w:right="1434" w:bottom="1475" w:left="1521" w:header="0" w:footer="1315" w:gutter="0"/>
          <w:cols w:space="720" w:num="1"/>
        </w:sectPr>
      </w:pPr>
    </w:p>
    <w:p/>
    <w:p/>
    <w:p/>
    <w:p/>
    <w:p>
      <w:pPr>
        <w:spacing w:line="221" w:lineRule="exact"/>
      </w:pPr>
    </w:p>
    <w:tbl>
      <w:tblPr>
        <w:tblStyle w:val="4"/>
        <w:tblW w:w="893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4"/>
        <w:gridCol w:w="82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04" w:hRule="atLeast"/>
        </w:trPr>
        <w:tc>
          <w:tcPr>
            <w:tcW w:w="714" w:type="dxa"/>
            <w:tcBorders>
              <w:left w:val="single" w:color="00000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5" w:line="228"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其</w:t>
            </w:r>
            <w:r>
              <w:rPr>
                <w:rFonts w:ascii="宋体" w:hAnsi="宋体" w:eastAsia="宋体" w:cs="宋体"/>
                <w:spacing w:val="7"/>
                <w:sz w:val="20"/>
                <w:szCs w:val="20"/>
                <w14:textOutline w14:w="3795" w14:cap="sq" w14:cmpd="sng">
                  <w14:solidFill>
                    <w14:srgbClr w14:val="000000"/>
                  </w14:solidFill>
                  <w14:prstDash w14:val="solid"/>
                  <w14:bevel/>
                </w14:textOutline>
              </w:rPr>
              <w:t>他符</w:t>
            </w:r>
          </w:p>
          <w:p>
            <w:pPr>
              <w:spacing w:before="164" w:line="228"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合</w:t>
            </w:r>
            <w:r>
              <w:rPr>
                <w:rFonts w:ascii="宋体" w:hAnsi="宋体" w:eastAsia="宋体" w:cs="宋体"/>
                <w:spacing w:val="7"/>
                <w:sz w:val="20"/>
                <w:szCs w:val="20"/>
                <w14:textOutline w14:w="3795" w14:cap="sq" w14:cmpd="sng">
                  <w14:solidFill>
                    <w14:srgbClr w14:val="000000"/>
                  </w14:solidFill>
                  <w14:prstDash w14:val="solid"/>
                  <w14:bevel/>
                </w14:textOutline>
              </w:rPr>
              <w:t>性分</w:t>
            </w:r>
          </w:p>
          <w:p>
            <w:pPr>
              <w:spacing w:before="160" w:line="228" w:lineRule="auto"/>
              <w:ind w:left="251"/>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析</w:t>
            </w:r>
          </w:p>
        </w:tc>
        <w:tc>
          <w:tcPr>
            <w:tcW w:w="8221" w:type="dxa"/>
            <w:tcBorders>
              <w:right w:val="single" w:color="000000" w:sz="6" w:space="0"/>
            </w:tcBorders>
            <w:vAlign w:val="top"/>
          </w:tcPr>
          <w:p>
            <w:pPr>
              <w:spacing w:line="31" w:lineRule="exact"/>
            </w:pPr>
            <w:r>
              <w:pict>
                <v:shape id="_x0000_s1040" o:spid="_x0000_s1040" o:spt="202" type="#_x0000_t202" style="position:absolute;left:0pt;margin-left:344.3pt;margin-top:264.25pt;height:12.7pt;width:10.5pt;mso-position-horizontal-relative:page;mso-position-vertical-relative:page;z-index:251665408;mso-width-relative:page;mso-height-relative:page;" filled="f" stroked="f" coordsize="21600,21600">
                  <v:path/>
                  <v:fill on="f" focussize="0,0"/>
                  <v:stroke on="f"/>
                  <v:imagedata o:title=""/>
                  <o:lock v:ext="edit" aspectratio="f"/>
                  <v:textbox inset="0mm,0mm,0mm,0mm">
                    <w:txbxContent>
                      <w:p>
                        <w:pPr>
                          <w:spacing w:before="20" w:line="232" w:lineRule="auto"/>
                          <w:ind w:left="20"/>
                          <w:rPr>
                            <w:rFonts w:ascii="宋体" w:hAnsi="宋体" w:eastAsia="宋体" w:cs="宋体"/>
                            <w:sz w:val="17"/>
                            <w:szCs w:val="17"/>
                          </w:rPr>
                        </w:pPr>
                        <w:r>
                          <w:rPr>
                            <w:rFonts w:ascii="宋体" w:hAnsi="宋体" w:eastAsia="宋体" w:cs="宋体"/>
                            <w:sz w:val="17"/>
                            <w:szCs w:val="17"/>
                          </w:rPr>
                          <w:t>系</w:t>
                        </w:r>
                      </w:p>
                    </w:txbxContent>
                  </v:textbox>
                </v:shape>
              </w:pict>
            </w:r>
          </w:p>
          <w:tbl>
            <w:tblPr>
              <w:tblStyle w:val="4"/>
              <w:tblW w:w="7803" w:type="dxa"/>
              <w:tblInd w:w="2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1"/>
              <w:gridCol w:w="283"/>
              <w:gridCol w:w="405"/>
              <w:gridCol w:w="5098"/>
              <w:gridCol w:w="1039"/>
              <w:gridCol w:w="4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68" w:hRule="atLeast"/>
              </w:trPr>
              <w:tc>
                <w:tcPr>
                  <w:tcW w:w="561" w:type="dxa"/>
                  <w:vMerge w:val="restart"/>
                  <w:tcBorders>
                    <w:bottom w:val="nil"/>
                  </w:tcBorders>
                  <w:vAlign w:val="top"/>
                </w:tcPr>
                <w:p>
                  <w:pPr>
                    <w:rPr>
                      <w:rFonts w:ascii="Arial"/>
                      <w:sz w:val="21"/>
                    </w:rPr>
                  </w:pPr>
                </w:p>
              </w:tc>
              <w:tc>
                <w:tcPr>
                  <w:tcW w:w="283" w:type="dxa"/>
                  <w:vMerge w:val="restart"/>
                  <w:tcBorders>
                    <w:bottom w:val="nil"/>
                  </w:tcBorders>
                  <w:vAlign w:val="top"/>
                </w:tcPr>
                <w:p>
                  <w:pPr>
                    <w:rPr>
                      <w:rFonts w:ascii="Arial"/>
                      <w:sz w:val="21"/>
                    </w:rPr>
                  </w:pPr>
                </w:p>
              </w:tc>
              <w:tc>
                <w:tcPr>
                  <w:tcW w:w="405" w:type="dxa"/>
                  <w:vAlign w:val="top"/>
                </w:tcPr>
                <w:p>
                  <w:pPr>
                    <w:rPr>
                      <w:rFonts w:ascii="Arial"/>
                      <w:sz w:val="21"/>
                    </w:rPr>
                  </w:pPr>
                </w:p>
              </w:tc>
              <w:tc>
                <w:tcPr>
                  <w:tcW w:w="5098" w:type="dxa"/>
                  <w:vAlign w:val="top"/>
                </w:tcPr>
                <w:p>
                  <w:pPr>
                    <w:spacing w:before="76" w:line="301" w:lineRule="auto"/>
                    <w:ind w:left="8" w:right="1"/>
                    <w:rPr>
                      <w:rFonts w:ascii="宋体" w:hAnsi="宋体" w:eastAsia="宋体" w:cs="宋体"/>
                      <w:sz w:val="17"/>
                      <w:szCs w:val="17"/>
                    </w:rPr>
                  </w:pPr>
                  <w:r>
                    <w:rPr>
                      <w:rFonts w:ascii="宋体" w:hAnsi="宋体" w:eastAsia="宋体" w:cs="宋体"/>
                      <w:spacing w:val="22"/>
                      <w:sz w:val="17"/>
                      <w:szCs w:val="17"/>
                    </w:rPr>
                    <w:t>地</w:t>
                  </w:r>
                  <w:r>
                    <w:rPr>
                      <w:rFonts w:ascii="宋体" w:hAnsi="宋体" w:eastAsia="宋体" w:cs="宋体"/>
                      <w:spacing w:val="15"/>
                      <w:sz w:val="17"/>
                      <w:szCs w:val="17"/>
                    </w:rPr>
                    <w:t>级</w:t>
                  </w:r>
                  <w:r>
                    <w:rPr>
                      <w:rFonts w:ascii="宋体" w:hAnsi="宋体" w:eastAsia="宋体" w:cs="宋体"/>
                      <w:spacing w:val="11"/>
                      <w:sz w:val="17"/>
                      <w:szCs w:val="17"/>
                    </w:rPr>
                    <w:t>以上城市具备厨余垃圾集中处理能力；县城生活垃圾无害化</w:t>
                  </w:r>
                  <w:r>
                    <w:rPr>
                      <w:rFonts w:ascii="宋体" w:hAnsi="宋体" w:eastAsia="宋体" w:cs="宋体"/>
                      <w:sz w:val="17"/>
                      <w:szCs w:val="17"/>
                    </w:rPr>
                    <w:t xml:space="preserve"> </w:t>
                  </w:r>
                  <w:r>
                    <w:rPr>
                      <w:rFonts w:ascii="宋体" w:hAnsi="宋体" w:eastAsia="宋体" w:cs="宋体"/>
                      <w:spacing w:val="9"/>
                      <w:sz w:val="17"/>
                      <w:szCs w:val="17"/>
                    </w:rPr>
                    <w:t xml:space="preserve">处理率保持 </w:t>
                  </w:r>
                  <w:r>
                    <w:rPr>
                      <w:rFonts w:ascii="Times New Roman" w:hAnsi="Times New Roman" w:eastAsia="Times New Roman" w:cs="Times New Roman"/>
                      <w:spacing w:val="9"/>
                      <w:sz w:val="17"/>
                      <w:szCs w:val="17"/>
                    </w:rPr>
                    <w:t>95%</w:t>
                  </w:r>
                  <w:r>
                    <w:rPr>
                      <w:rFonts w:ascii="宋体" w:hAnsi="宋体" w:eastAsia="宋体" w:cs="宋体"/>
                      <w:spacing w:val="9"/>
                      <w:sz w:val="17"/>
                      <w:szCs w:val="17"/>
                    </w:rPr>
                    <w:t>以上，乡镇及行政村生活垃圾收集转运处置体</w:t>
                  </w:r>
                  <w:r>
                    <w:rPr>
                      <w:rFonts w:ascii="宋体" w:hAnsi="宋体" w:eastAsia="宋体" w:cs="宋体"/>
                      <w:spacing w:val="5"/>
                      <w:sz w:val="17"/>
                      <w:szCs w:val="17"/>
                    </w:rPr>
                    <w:t>系</w:t>
                  </w:r>
                  <w:r>
                    <w:rPr>
                      <w:rFonts w:ascii="宋体" w:hAnsi="宋体" w:eastAsia="宋体" w:cs="宋体"/>
                      <w:sz w:val="17"/>
                      <w:szCs w:val="17"/>
                    </w:rPr>
                    <w:t xml:space="preserve"> </w:t>
                  </w:r>
                  <w:r>
                    <w:rPr>
                      <w:rFonts w:ascii="宋体" w:hAnsi="宋体" w:eastAsia="宋体" w:cs="宋体"/>
                      <w:spacing w:val="8"/>
                      <w:sz w:val="17"/>
                      <w:szCs w:val="17"/>
                    </w:rPr>
                    <w:t>基本实现全覆盖</w:t>
                  </w:r>
                  <w:r>
                    <w:rPr>
                      <w:rFonts w:ascii="宋体" w:hAnsi="宋体" w:eastAsia="宋体" w:cs="宋体"/>
                      <w:spacing w:val="6"/>
                      <w:sz w:val="17"/>
                      <w:szCs w:val="17"/>
                    </w:rPr>
                    <w:t>；</w:t>
                  </w:r>
                </w:p>
                <w:p>
                  <w:pPr>
                    <w:spacing w:before="6" w:line="296" w:lineRule="auto"/>
                    <w:ind w:left="7" w:right="1" w:firstLine="1"/>
                    <w:rPr>
                      <w:rFonts w:ascii="宋体" w:hAnsi="宋体" w:eastAsia="宋体" w:cs="宋体"/>
                      <w:sz w:val="17"/>
                      <w:szCs w:val="17"/>
                    </w:rPr>
                  </w:pPr>
                  <w:r>
                    <w:rPr>
                      <w:rFonts w:ascii="Times New Roman" w:hAnsi="Times New Roman" w:eastAsia="Times New Roman" w:cs="Times New Roman"/>
                      <w:spacing w:val="8"/>
                      <w:sz w:val="17"/>
                      <w:szCs w:val="17"/>
                    </w:rPr>
                    <w:t xml:space="preserve">-2030 </w:t>
                  </w:r>
                  <w:r>
                    <w:rPr>
                      <w:rFonts w:ascii="宋体" w:hAnsi="宋体" w:eastAsia="宋体" w:cs="宋体"/>
                      <w:spacing w:val="6"/>
                      <w:sz w:val="17"/>
                      <w:szCs w:val="17"/>
                    </w:rPr>
                    <w:t>年</w:t>
                  </w:r>
                  <w:r>
                    <w:rPr>
                      <w:rFonts w:ascii="宋体" w:hAnsi="宋体" w:eastAsia="宋体" w:cs="宋体"/>
                      <w:spacing w:val="4"/>
                      <w:sz w:val="17"/>
                      <w:szCs w:val="17"/>
                    </w:rPr>
                    <w:t xml:space="preserve">，渠江流域用水总量控制在 </w:t>
                  </w:r>
                  <w:r>
                    <w:rPr>
                      <w:rFonts w:ascii="Times New Roman" w:hAnsi="Times New Roman" w:eastAsia="Times New Roman" w:cs="Times New Roman"/>
                      <w:spacing w:val="4"/>
                      <w:sz w:val="17"/>
                      <w:szCs w:val="17"/>
                    </w:rPr>
                    <w:t xml:space="preserve">31.61 </w:t>
                  </w:r>
                  <w:r>
                    <w:rPr>
                      <w:rFonts w:ascii="宋体" w:hAnsi="宋体" w:eastAsia="宋体" w:cs="宋体"/>
                      <w:spacing w:val="4"/>
                      <w:sz w:val="17"/>
                      <w:szCs w:val="17"/>
                    </w:rPr>
                    <w:t xml:space="preserve">亿 </w:t>
                  </w:r>
                  <w:r>
                    <w:rPr>
                      <w:rFonts w:ascii="Times New Roman" w:hAnsi="Times New Roman" w:eastAsia="Times New Roman" w:cs="Times New Roman"/>
                      <w:sz w:val="17"/>
                      <w:szCs w:val="17"/>
                    </w:rPr>
                    <w:t>m</w:t>
                  </w:r>
                  <w:r>
                    <w:rPr>
                      <w:rFonts w:ascii="宋体" w:hAnsi="宋体" w:eastAsia="宋体" w:cs="宋体"/>
                      <w:spacing w:val="4"/>
                      <w:sz w:val="17"/>
                      <w:szCs w:val="17"/>
                    </w:rPr>
                    <w:t>³ 以内，渠江干流</w:t>
                  </w:r>
                  <w:r>
                    <w:rPr>
                      <w:rFonts w:ascii="宋体" w:hAnsi="宋体" w:eastAsia="宋体" w:cs="宋体"/>
                      <w:sz w:val="17"/>
                      <w:szCs w:val="17"/>
                    </w:rPr>
                    <w:t xml:space="preserve"> </w:t>
                  </w:r>
                  <w:r>
                    <w:rPr>
                      <w:rFonts w:ascii="Times New Roman" w:hAnsi="Times New Roman" w:eastAsia="Times New Roman" w:cs="Times New Roman"/>
                      <w:sz w:val="17"/>
                      <w:szCs w:val="17"/>
                    </w:rPr>
                    <w:t>COD</w:t>
                  </w:r>
                  <w:r>
                    <w:rPr>
                      <w:rFonts w:ascii="Times New Roman" w:hAnsi="Times New Roman" w:eastAsia="Times New Roman" w:cs="Times New Roman"/>
                      <w:spacing w:val="8"/>
                      <w:sz w:val="17"/>
                      <w:szCs w:val="17"/>
                    </w:rPr>
                    <w:t xml:space="preserve"> </w:t>
                  </w:r>
                  <w:r>
                    <w:rPr>
                      <w:rFonts w:ascii="宋体" w:hAnsi="宋体" w:eastAsia="宋体" w:cs="宋体"/>
                      <w:spacing w:val="4"/>
                      <w:sz w:val="17"/>
                      <w:szCs w:val="17"/>
                    </w:rPr>
                    <w:t xml:space="preserve">排放总量限制在 </w:t>
                  </w:r>
                  <w:r>
                    <w:rPr>
                      <w:rFonts w:ascii="Times New Roman" w:hAnsi="Times New Roman" w:eastAsia="Times New Roman" w:cs="Times New Roman"/>
                      <w:spacing w:val="4"/>
                      <w:sz w:val="17"/>
                      <w:szCs w:val="17"/>
                    </w:rPr>
                    <w:t xml:space="preserve">4.89 </w:t>
                  </w:r>
                  <w:r>
                    <w:rPr>
                      <w:rFonts w:ascii="宋体" w:hAnsi="宋体" w:eastAsia="宋体" w:cs="宋体"/>
                      <w:spacing w:val="4"/>
                      <w:sz w:val="17"/>
                      <w:szCs w:val="17"/>
                    </w:rPr>
                    <w:t xml:space="preserve">万 </w:t>
                  </w:r>
                  <w:r>
                    <w:rPr>
                      <w:rFonts w:ascii="Times New Roman" w:hAnsi="Times New Roman" w:eastAsia="Times New Roman" w:cs="Times New Roman"/>
                      <w:sz w:val="17"/>
                      <w:szCs w:val="17"/>
                    </w:rPr>
                    <w:t>t</w:t>
                  </w:r>
                  <w:r>
                    <w:rPr>
                      <w:rFonts w:ascii="Times New Roman" w:hAnsi="Times New Roman" w:eastAsia="Times New Roman" w:cs="Times New Roman"/>
                      <w:spacing w:val="4"/>
                      <w:sz w:val="17"/>
                      <w:szCs w:val="17"/>
                    </w:rPr>
                    <w:t>/</w:t>
                  </w:r>
                  <w:r>
                    <w:rPr>
                      <w:rFonts w:ascii="Times New Roman" w:hAnsi="Times New Roman" w:eastAsia="Times New Roman" w:cs="Times New Roman"/>
                      <w:sz w:val="17"/>
                      <w:szCs w:val="17"/>
                    </w:rPr>
                    <w:t>a</w:t>
                  </w:r>
                  <w:r>
                    <w:rPr>
                      <w:rFonts w:ascii="Times New Roman" w:hAnsi="Times New Roman" w:eastAsia="Times New Roman" w:cs="Times New Roman"/>
                      <w:spacing w:val="4"/>
                      <w:sz w:val="17"/>
                      <w:szCs w:val="17"/>
                    </w:rPr>
                    <w:t xml:space="preserve"> </w:t>
                  </w:r>
                  <w:r>
                    <w:rPr>
                      <w:rFonts w:ascii="宋体" w:hAnsi="宋体" w:eastAsia="宋体" w:cs="宋体"/>
                      <w:spacing w:val="4"/>
                      <w:sz w:val="17"/>
                      <w:szCs w:val="17"/>
                    </w:rPr>
                    <w:t>内、</w:t>
                  </w:r>
                  <w:r>
                    <w:rPr>
                      <w:rFonts w:ascii="Times New Roman" w:hAnsi="Times New Roman" w:eastAsia="Times New Roman" w:cs="Times New Roman"/>
                      <w:sz w:val="17"/>
                      <w:szCs w:val="17"/>
                    </w:rPr>
                    <w:t>NH</w:t>
                  </w:r>
                  <w:r>
                    <w:rPr>
                      <w:rFonts w:ascii="Times New Roman" w:hAnsi="Times New Roman" w:eastAsia="Times New Roman" w:cs="Times New Roman"/>
                      <w:spacing w:val="4"/>
                      <w:position w:val="-1"/>
                      <w:sz w:val="11"/>
                      <w:szCs w:val="11"/>
                    </w:rPr>
                    <w:t>3</w:t>
                  </w:r>
                  <w:r>
                    <w:rPr>
                      <w:rFonts w:ascii="Times New Roman" w:hAnsi="Times New Roman" w:eastAsia="Times New Roman" w:cs="Times New Roman"/>
                      <w:spacing w:val="4"/>
                      <w:sz w:val="17"/>
                      <w:szCs w:val="17"/>
                    </w:rPr>
                    <w:t>-</w:t>
                  </w:r>
                  <w:r>
                    <w:rPr>
                      <w:rFonts w:ascii="Times New Roman" w:hAnsi="Times New Roman" w:eastAsia="Times New Roman" w:cs="Times New Roman"/>
                      <w:sz w:val="17"/>
                      <w:szCs w:val="17"/>
                    </w:rPr>
                    <w:t>N</w:t>
                  </w:r>
                  <w:r>
                    <w:rPr>
                      <w:rFonts w:ascii="Times New Roman" w:hAnsi="Times New Roman" w:eastAsia="Times New Roman" w:cs="Times New Roman"/>
                      <w:spacing w:val="4"/>
                      <w:sz w:val="17"/>
                      <w:szCs w:val="17"/>
                    </w:rPr>
                    <w:t xml:space="preserve"> </w:t>
                  </w:r>
                  <w:r>
                    <w:rPr>
                      <w:rFonts w:ascii="宋体" w:hAnsi="宋体" w:eastAsia="宋体" w:cs="宋体"/>
                      <w:spacing w:val="4"/>
                      <w:sz w:val="17"/>
                      <w:szCs w:val="17"/>
                    </w:rPr>
                    <w:t xml:space="preserve">排放总量限制在 </w:t>
                  </w:r>
                  <w:r>
                    <w:rPr>
                      <w:rFonts w:ascii="Times New Roman" w:hAnsi="Times New Roman" w:eastAsia="Times New Roman" w:cs="Times New Roman"/>
                      <w:spacing w:val="4"/>
                      <w:sz w:val="17"/>
                      <w:szCs w:val="17"/>
                    </w:rPr>
                    <w:t>0.54</w:t>
                  </w:r>
                  <w:r>
                    <w:rPr>
                      <w:rFonts w:ascii="Times New Roman" w:hAnsi="Times New Roman" w:eastAsia="Times New Roman" w:cs="Times New Roman"/>
                      <w:sz w:val="17"/>
                      <w:szCs w:val="17"/>
                    </w:rPr>
                    <w:t xml:space="preserve"> </w:t>
                  </w:r>
                  <w:r>
                    <w:rPr>
                      <w:rFonts w:ascii="宋体" w:hAnsi="宋体" w:eastAsia="宋体" w:cs="宋体"/>
                      <w:spacing w:val="10"/>
                      <w:sz w:val="17"/>
                      <w:szCs w:val="17"/>
                    </w:rPr>
                    <w:t>万</w:t>
                  </w:r>
                  <w:r>
                    <w:rPr>
                      <w:rFonts w:ascii="宋体" w:hAnsi="宋体" w:eastAsia="宋体" w:cs="宋体"/>
                      <w:spacing w:val="6"/>
                      <w:sz w:val="17"/>
                      <w:szCs w:val="17"/>
                    </w:rPr>
                    <w:t xml:space="preserve"> </w:t>
                  </w:r>
                  <w:r>
                    <w:rPr>
                      <w:rFonts w:ascii="Times New Roman" w:hAnsi="Times New Roman" w:eastAsia="Times New Roman" w:cs="Times New Roman"/>
                      <w:sz w:val="17"/>
                      <w:szCs w:val="17"/>
                    </w:rPr>
                    <w:t>t</w:t>
                  </w:r>
                  <w:r>
                    <w:rPr>
                      <w:rFonts w:ascii="Times New Roman" w:hAnsi="Times New Roman" w:eastAsia="Times New Roman" w:cs="Times New Roman"/>
                      <w:spacing w:val="6"/>
                      <w:sz w:val="17"/>
                      <w:szCs w:val="17"/>
                    </w:rPr>
                    <w:t>/</w:t>
                  </w:r>
                  <w:r>
                    <w:rPr>
                      <w:rFonts w:ascii="Times New Roman" w:hAnsi="Times New Roman" w:eastAsia="Times New Roman" w:cs="Times New Roman"/>
                      <w:sz w:val="17"/>
                      <w:szCs w:val="17"/>
                    </w:rPr>
                    <w:t>a</w:t>
                  </w:r>
                  <w:r>
                    <w:rPr>
                      <w:rFonts w:ascii="Times New Roman" w:hAnsi="Times New Roman" w:eastAsia="Times New Roman" w:cs="Times New Roman"/>
                      <w:spacing w:val="6"/>
                      <w:sz w:val="17"/>
                      <w:szCs w:val="17"/>
                    </w:rPr>
                    <w:t xml:space="preserve"> </w:t>
                  </w:r>
                  <w:r>
                    <w:rPr>
                      <w:rFonts w:ascii="宋体" w:hAnsi="宋体" w:eastAsia="宋体" w:cs="宋体"/>
                      <w:spacing w:val="6"/>
                      <w:sz w:val="17"/>
                      <w:szCs w:val="17"/>
                    </w:rPr>
                    <w:t>内。全面推进节水型社会建设，加强河湖 (库) 水域岸线保</w:t>
                  </w:r>
                  <w:r>
                    <w:rPr>
                      <w:rFonts w:ascii="宋体" w:hAnsi="宋体" w:eastAsia="宋体" w:cs="宋体"/>
                      <w:sz w:val="17"/>
                      <w:szCs w:val="17"/>
                    </w:rPr>
                    <w:t xml:space="preserve"> </w:t>
                  </w:r>
                  <w:r>
                    <w:rPr>
                      <w:rFonts w:ascii="宋体" w:hAnsi="宋体" w:eastAsia="宋体" w:cs="宋体"/>
                      <w:spacing w:val="22"/>
                      <w:sz w:val="17"/>
                      <w:szCs w:val="17"/>
                    </w:rPr>
                    <w:t>护</w:t>
                  </w:r>
                  <w:r>
                    <w:rPr>
                      <w:rFonts w:ascii="宋体" w:hAnsi="宋体" w:eastAsia="宋体" w:cs="宋体"/>
                      <w:spacing w:val="15"/>
                      <w:sz w:val="17"/>
                      <w:szCs w:val="17"/>
                    </w:rPr>
                    <w:t>及</w:t>
                  </w:r>
                  <w:r>
                    <w:rPr>
                      <w:rFonts w:ascii="宋体" w:hAnsi="宋体" w:eastAsia="宋体" w:cs="宋体"/>
                      <w:spacing w:val="11"/>
                      <w:sz w:val="17"/>
                      <w:szCs w:val="17"/>
                    </w:rPr>
                    <w:t>管理，加强入河排污口规范化建设，加强工业污染、农业农</w:t>
                  </w:r>
                  <w:r>
                    <w:rPr>
                      <w:rFonts w:ascii="宋体" w:hAnsi="宋体" w:eastAsia="宋体" w:cs="宋体"/>
                      <w:sz w:val="17"/>
                      <w:szCs w:val="17"/>
                    </w:rPr>
                    <w:t xml:space="preserve"> </w:t>
                  </w:r>
                  <w:r>
                    <w:rPr>
                      <w:rFonts w:ascii="宋体" w:hAnsi="宋体" w:eastAsia="宋体" w:cs="宋体"/>
                      <w:spacing w:val="22"/>
                      <w:sz w:val="17"/>
                      <w:szCs w:val="17"/>
                    </w:rPr>
                    <w:t>村</w:t>
                  </w:r>
                  <w:r>
                    <w:rPr>
                      <w:rFonts w:ascii="宋体" w:hAnsi="宋体" w:eastAsia="宋体" w:cs="宋体"/>
                      <w:spacing w:val="15"/>
                      <w:sz w:val="17"/>
                      <w:szCs w:val="17"/>
                    </w:rPr>
                    <w:t>污</w:t>
                  </w:r>
                  <w:r>
                    <w:rPr>
                      <w:rFonts w:ascii="宋体" w:hAnsi="宋体" w:eastAsia="宋体" w:cs="宋体"/>
                      <w:spacing w:val="11"/>
                      <w:sz w:val="17"/>
                      <w:szCs w:val="17"/>
                    </w:rPr>
                    <w:t>染、船舶港口污染防治。对流域内饮用水源地进行有效保护</w:t>
                  </w:r>
                  <w:r>
                    <w:rPr>
                      <w:rFonts w:ascii="宋体" w:hAnsi="宋体" w:eastAsia="宋体" w:cs="宋体"/>
                      <w:sz w:val="17"/>
                      <w:szCs w:val="17"/>
                    </w:rPr>
                    <w:t xml:space="preserve"> </w:t>
                  </w:r>
                  <w:r>
                    <w:rPr>
                      <w:rFonts w:ascii="宋体" w:hAnsi="宋体" w:eastAsia="宋体" w:cs="宋体"/>
                      <w:spacing w:val="18"/>
                      <w:sz w:val="17"/>
                      <w:szCs w:val="17"/>
                    </w:rPr>
                    <w:t>及规</w:t>
                  </w:r>
                  <w:r>
                    <w:rPr>
                      <w:rFonts w:ascii="宋体" w:hAnsi="宋体" w:eastAsia="宋体" w:cs="宋体"/>
                      <w:spacing w:val="12"/>
                      <w:sz w:val="17"/>
                      <w:szCs w:val="17"/>
                    </w:rPr>
                    <w:t>范</w:t>
                  </w:r>
                  <w:r>
                    <w:rPr>
                      <w:rFonts w:ascii="宋体" w:hAnsi="宋体" w:eastAsia="宋体" w:cs="宋体"/>
                      <w:spacing w:val="9"/>
                      <w:sz w:val="17"/>
                      <w:szCs w:val="17"/>
                    </w:rPr>
                    <w:t>化建设。</w:t>
                  </w:r>
                  <w:r>
                    <w:rPr>
                      <w:rFonts w:ascii="Times New Roman" w:hAnsi="Times New Roman" w:eastAsia="Times New Roman" w:cs="Times New Roman"/>
                      <w:spacing w:val="9"/>
                      <w:sz w:val="17"/>
                      <w:szCs w:val="17"/>
                    </w:rPr>
                    <w:t>-</w:t>
                  </w:r>
                  <w:r>
                    <w:rPr>
                      <w:rFonts w:ascii="宋体" w:hAnsi="宋体" w:eastAsia="宋体" w:cs="宋体"/>
                      <w:spacing w:val="9"/>
                      <w:sz w:val="17"/>
                      <w:szCs w:val="17"/>
                    </w:rPr>
                    <w:t xml:space="preserve">到 </w:t>
                  </w:r>
                  <w:r>
                    <w:rPr>
                      <w:rFonts w:ascii="Times New Roman" w:hAnsi="Times New Roman" w:eastAsia="Times New Roman" w:cs="Times New Roman"/>
                      <w:spacing w:val="9"/>
                      <w:sz w:val="17"/>
                      <w:szCs w:val="17"/>
                    </w:rPr>
                    <w:t xml:space="preserve">2025 </w:t>
                  </w:r>
                  <w:r>
                    <w:rPr>
                      <w:rFonts w:ascii="宋体" w:hAnsi="宋体" w:eastAsia="宋体" w:cs="宋体"/>
                      <w:spacing w:val="9"/>
                      <w:sz w:val="17"/>
                      <w:szCs w:val="17"/>
                    </w:rPr>
                    <w:t>年，基本消除城市建成区生活污水直排</w:t>
                  </w:r>
                  <w:r>
                    <w:rPr>
                      <w:rFonts w:ascii="宋体" w:hAnsi="宋体" w:eastAsia="宋体" w:cs="宋体"/>
                      <w:sz w:val="17"/>
                      <w:szCs w:val="17"/>
                    </w:rPr>
                    <w:t xml:space="preserve"> </w:t>
                  </w:r>
                  <w:r>
                    <w:rPr>
                      <w:rFonts w:ascii="宋体" w:hAnsi="宋体" w:eastAsia="宋体" w:cs="宋体"/>
                      <w:spacing w:val="22"/>
                      <w:sz w:val="17"/>
                      <w:szCs w:val="17"/>
                    </w:rPr>
                    <w:t>口</w:t>
                  </w:r>
                  <w:r>
                    <w:rPr>
                      <w:rFonts w:ascii="宋体" w:hAnsi="宋体" w:eastAsia="宋体" w:cs="宋体"/>
                      <w:spacing w:val="13"/>
                      <w:sz w:val="17"/>
                      <w:szCs w:val="17"/>
                    </w:rPr>
                    <w:t>和</w:t>
                  </w:r>
                  <w:r>
                    <w:rPr>
                      <w:rFonts w:ascii="宋体" w:hAnsi="宋体" w:eastAsia="宋体" w:cs="宋体"/>
                      <w:spacing w:val="11"/>
                      <w:sz w:val="17"/>
                      <w:szCs w:val="17"/>
                    </w:rPr>
                    <w:t>收集处理率设施空白区，城市生活污水集中收集率力争达到</w:t>
                  </w:r>
                  <w:r>
                    <w:rPr>
                      <w:rFonts w:ascii="宋体" w:hAnsi="宋体" w:eastAsia="宋体" w:cs="宋体"/>
                      <w:sz w:val="17"/>
                      <w:szCs w:val="17"/>
                    </w:rPr>
                    <w:t xml:space="preserve"> </w:t>
                  </w:r>
                  <w:r>
                    <w:rPr>
                      <w:rFonts w:ascii="Times New Roman" w:hAnsi="Times New Roman" w:eastAsia="Times New Roman" w:cs="Times New Roman"/>
                      <w:spacing w:val="16"/>
                      <w:sz w:val="17"/>
                      <w:szCs w:val="17"/>
                    </w:rPr>
                    <w:t>7</w:t>
                  </w:r>
                  <w:r>
                    <w:rPr>
                      <w:rFonts w:ascii="Times New Roman" w:hAnsi="Times New Roman" w:eastAsia="Times New Roman" w:cs="Times New Roman"/>
                      <w:spacing w:val="12"/>
                      <w:sz w:val="17"/>
                      <w:szCs w:val="17"/>
                    </w:rPr>
                    <w:t>0%</w:t>
                  </w:r>
                  <w:r>
                    <w:rPr>
                      <w:rFonts w:ascii="宋体" w:hAnsi="宋体" w:eastAsia="宋体" w:cs="宋体"/>
                      <w:spacing w:val="12"/>
                      <w:sz w:val="17"/>
                      <w:szCs w:val="17"/>
                    </w:rPr>
                    <w:t>以上；城市和县城水处理能力基本满足经济社会发展需要，</w:t>
                  </w:r>
                  <w:r>
                    <w:rPr>
                      <w:rFonts w:ascii="宋体" w:hAnsi="宋体" w:eastAsia="宋体" w:cs="宋体"/>
                      <w:sz w:val="17"/>
                      <w:szCs w:val="17"/>
                    </w:rPr>
                    <w:t xml:space="preserve"> </w:t>
                  </w:r>
                  <w:r>
                    <w:rPr>
                      <w:rFonts w:ascii="宋体" w:hAnsi="宋体" w:eastAsia="宋体" w:cs="宋体"/>
                      <w:spacing w:val="8"/>
                      <w:sz w:val="17"/>
                      <w:szCs w:val="17"/>
                    </w:rPr>
                    <w:t>县城</w:t>
                  </w:r>
                  <w:r>
                    <w:rPr>
                      <w:rFonts w:ascii="宋体" w:hAnsi="宋体" w:eastAsia="宋体" w:cs="宋体"/>
                      <w:spacing w:val="5"/>
                      <w:sz w:val="17"/>
                      <w:szCs w:val="17"/>
                    </w:rPr>
                    <w:t>污</w:t>
                  </w:r>
                  <w:r>
                    <w:rPr>
                      <w:rFonts w:ascii="宋体" w:hAnsi="宋体" w:eastAsia="宋体" w:cs="宋体"/>
                      <w:spacing w:val="4"/>
                      <w:sz w:val="17"/>
                      <w:szCs w:val="17"/>
                    </w:rPr>
                    <w:t xml:space="preserve">水处理达到 </w:t>
                  </w:r>
                  <w:r>
                    <w:rPr>
                      <w:rFonts w:ascii="Times New Roman" w:hAnsi="Times New Roman" w:eastAsia="Times New Roman" w:cs="Times New Roman"/>
                      <w:spacing w:val="4"/>
                      <w:sz w:val="17"/>
                      <w:szCs w:val="17"/>
                    </w:rPr>
                    <w:t>95%</w:t>
                  </w:r>
                  <w:r>
                    <w:rPr>
                      <w:rFonts w:ascii="宋体" w:hAnsi="宋体" w:eastAsia="宋体" w:cs="宋体"/>
                      <w:spacing w:val="4"/>
                      <w:sz w:val="17"/>
                      <w:szCs w:val="17"/>
                    </w:rPr>
                    <w:t>以上。</w:t>
                  </w:r>
                </w:p>
              </w:tc>
              <w:tc>
                <w:tcPr>
                  <w:tcW w:w="1039" w:type="dxa"/>
                  <w:vAlign w:val="top"/>
                </w:tcPr>
                <w:p>
                  <w:pPr>
                    <w:rPr>
                      <w:rFonts w:ascii="Arial"/>
                      <w:sz w:val="21"/>
                    </w:rPr>
                  </w:pPr>
                </w:p>
              </w:tc>
              <w:tc>
                <w:tcPr>
                  <w:tcW w:w="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4" w:hRule="atLeast"/>
              </w:trPr>
              <w:tc>
                <w:tcPr>
                  <w:tcW w:w="561" w:type="dxa"/>
                  <w:vMerge w:val="continue"/>
                  <w:tcBorders>
                    <w:top w:val="nil"/>
                    <w:bottom w:val="nil"/>
                  </w:tcBorders>
                  <w:vAlign w:val="top"/>
                </w:tcPr>
                <w:p>
                  <w:pPr>
                    <w:rPr>
                      <w:rFonts w:ascii="Arial"/>
                      <w:sz w:val="21"/>
                    </w:rPr>
                  </w:pPr>
                </w:p>
              </w:tc>
              <w:tc>
                <w:tcPr>
                  <w:tcW w:w="283" w:type="dxa"/>
                  <w:vMerge w:val="continue"/>
                  <w:tcBorders>
                    <w:top w:val="nil"/>
                    <w:bottom w:val="nil"/>
                  </w:tcBorders>
                  <w:vAlign w:val="top"/>
                </w:tcPr>
                <w:p>
                  <w:pPr>
                    <w:rPr>
                      <w:rFonts w:ascii="Arial"/>
                      <w:sz w:val="21"/>
                    </w:rPr>
                  </w:pPr>
                </w:p>
              </w:tc>
              <w:tc>
                <w:tcPr>
                  <w:tcW w:w="405"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56" w:line="312" w:lineRule="auto"/>
                    <w:ind w:left="24" w:right="22"/>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环境</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风险</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防控</w:t>
                  </w:r>
                </w:p>
              </w:tc>
              <w:tc>
                <w:tcPr>
                  <w:tcW w:w="5098" w:type="dxa"/>
                  <w:vAlign w:val="top"/>
                </w:tcPr>
                <w:p>
                  <w:pPr>
                    <w:spacing w:before="72" w:line="231" w:lineRule="auto"/>
                    <w:ind w:left="18"/>
                    <w:rPr>
                      <w:rFonts w:ascii="宋体" w:hAnsi="宋体" w:eastAsia="宋体" w:cs="宋体"/>
                      <w:sz w:val="17"/>
                      <w:szCs w:val="17"/>
                    </w:rPr>
                  </w:pPr>
                  <w:r>
                    <w:rPr>
                      <w:rFonts w:ascii="宋体" w:hAnsi="宋体" w:eastAsia="宋体" w:cs="宋体"/>
                      <w:spacing w:val="21"/>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5"/>
                      <w:sz w:val="17"/>
                      <w:szCs w:val="17"/>
                    </w:rPr>
                    <w:t>1</w:t>
                  </w:r>
                  <w:r>
                    <w:rPr>
                      <w:rFonts w:ascii="宋体" w:hAnsi="宋体" w:eastAsia="宋体" w:cs="宋体"/>
                      <w:spacing w:val="15"/>
                      <w:sz w:val="17"/>
                      <w:szCs w:val="17"/>
                      <w14:textOutline w14:w="3268" w14:cap="sq" w14:cmpd="sng">
                        <w14:solidFill>
                          <w14:srgbClr w14:val="000000"/>
                        </w14:solidFill>
                        <w14:prstDash w14:val="solid"/>
                        <w14:bevel/>
                      </w14:textOutline>
                    </w:rPr>
                    <w:t>)</w:t>
                  </w:r>
                  <w:r>
                    <w:rPr>
                      <w:rFonts w:ascii="宋体" w:hAnsi="宋体" w:eastAsia="宋体" w:cs="宋体"/>
                      <w:spacing w:val="15"/>
                      <w:sz w:val="17"/>
                      <w:szCs w:val="17"/>
                    </w:rPr>
                    <w:t xml:space="preserve"> </w:t>
                  </w:r>
                  <w:r>
                    <w:rPr>
                      <w:rFonts w:ascii="宋体" w:hAnsi="宋体" w:eastAsia="宋体" w:cs="宋体"/>
                      <w:spacing w:val="15"/>
                      <w:sz w:val="17"/>
                      <w:szCs w:val="17"/>
                      <w14:textOutline w14:w="3268" w14:cap="sq" w14:cmpd="sng">
                        <w14:solidFill>
                          <w14:srgbClr w14:val="000000"/>
                        </w14:solidFill>
                        <w14:prstDash w14:val="solid"/>
                        <w14:bevel/>
                      </w14:textOutline>
                    </w:rPr>
                    <w:t>联防联控要求</w:t>
                  </w:r>
                </w:p>
                <w:p>
                  <w:pPr>
                    <w:spacing w:before="67" w:line="304" w:lineRule="auto"/>
                    <w:ind w:left="7" w:right="1" w:firstLine="5"/>
                    <w:rPr>
                      <w:rFonts w:ascii="宋体" w:hAnsi="宋体" w:eastAsia="宋体" w:cs="宋体"/>
                      <w:sz w:val="17"/>
                      <w:szCs w:val="17"/>
                    </w:rPr>
                  </w:pPr>
                  <w:r>
                    <w:rPr>
                      <w:rFonts w:ascii="宋体" w:hAnsi="宋体" w:eastAsia="宋体" w:cs="宋体"/>
                      <w:spacing w:val="21"/>
                      <w:sz w:val="17"/>
                      <w:szCs w:val="17"/>
                    </w:rPr>
                    <w:t>强</w:t>
                  </w:r>
                  <w:r>
                    <w:rPr>
                      <w:rFonts w:ascii="宋体" w:hAnsi="宋体" w:eastAsia="宋体" w:cs="宋体"/>
                      <w:spacing w:val="11"/>
                      <w:sz w:val="17"/>
                      <w:szCs w:val="17"/>
                    </w:rPr>
                    <w:t>化区域联防联控，严格落实《关于建立跨省流域上下游突发水</w:t>
                  </w:r>
                  <w:r>
                    <w:rPr>
                      <w:rFonts w:ascii="宋体" w:hAnsi="宋体" w:eastAsia="宋体" w:cs="宋体"/>
                      <w:sz w:val="17"/>
                      <w:szCs w:val="17"/>
                    </w:rPr>
                    <w:t xml:space="preserve"> </w:t>
                  </w:r>
                  <w:r>
                    <w:rPr>
                      <w:rFonts w:ascii="宋体" w:hAnsi="宋体" w:eastAsia="宋体" w:cs="宋体"/>
                      <w:spacing w:val="14"/>
                      <w:sz w:val="17"/>
                      <w:szCs w:val="17"/>
                    </w:rPr>
                    <w:t>污</w:t>
                  </w:r>
                  <w:r>
                    <w:rPr>
                      <w:rFonts w:ascii="宋体" w:hAnsi="宋体" w:eastAsia="宋体" w:cs="宋体"/>
                      <w:spacing w:val="8"/>
                      <w:sz w:val="17"/>
                      <w:szCs w:val="17"/>
                    </w:rPr>
                    <w:t>染事件联防联控机制的指导意见》 ；定期召开区域大气环境形</w:t>
                  </w:r>
                  <w:r>
                    <w:rPr>
                      <w:rFonts w:ascii="宋体" w:hAnsi="宋体" w:eastAsia="宋体" w:cs="宋体"/>
                      <w:sz w:val="17"/>
                      <w:szCs w:val="17"/>
                    </w:rPr>
                    <w:t xml:space="preserve"> </w:t>
                  </w:r>
                  <w:r>
                    <w:rPr>
                      <w:rFonts w:ascii="宋体" w:hAnsi="宋体" w:eastAsia="宋体" w:cs="宋体"/>
                      <w:spacing w:val="22"/>
                      <w:sz w:val="17"/>
                      <w:szCs w:val="17"/>
                    </w:rPr>
                    <w:t>式</w:t>
                  </w:r>
                  <w:r>
                    <w:rPr>
                      <w:rFonts w:ascii="宋体" w:hAnsi="宋体" w:eastAsia="宋体" w:cs="宋体"/>
                      <w:spacing w:val="15"/>
                      <w:sz w:val="17"/>
                      <w:szCs w:val="17"/>
                    </w:rPr>
                    <w:t>分</w:t>
                  </w:r>
                  <w:r>
                    <w:rPr>
                      <w:rFonts w:ascii="宋体" w:hAnsi="宋体" w:eastAsia="宋体" w:cs="宋体"/>
                      <w:spacing w:val="11"/>
                      <w:sz w:val="17"/>
                      <w:szCs w:val="17"/>
                    </w:rPr>
                    <w:t>析会，强化信息共享和联动合作，实行环境规划，标准，环</w:t>
                  </w:r>
                  <w:r>
                    <w:rPr>
                      <w:rFonts w:ascii="宋体" w:hAnsi="宋体" w:eastAsia="宋体" w:cs="宋体"/>
                      <w:sz w:val="17"/>
                      <w:szCs w:val="17"/>
                    </w:rPr>
                    <w:t xml:space="preserve"> </w:t>
                  </w:r>
                  <w:r>
                    <w:rPr>
                      <w:rFonts w:ascii="宋体" w:hAnsi="宋体" w:eastAsia="宋体" w:cs="宋体"/>
                      <w:spacing w:val="10"/>
                      <w:sz w:val="17"/>
                      <w:szCs w:val="17"/>
                    </w:rPr>
                    <w:t>评，执法，信息公开</w:t>
                  </w:r>
                  <w:r>
                    <w:rPr>
                      <w:rFonts w:ascii="Times New Roman" w:hAnsi="Times New Roman" w:eastAsia="Times New Roman" w:cs="Times New Roman"/>
                      <w:spacing w:val="10"/>
                      <w:sz w:val="17"/>
                      <w:szCs w:val="17"/>
                    </w:rPr>
                    <w:t>“</w:t>
                  </w:r>
                  <w:r>
                    <w:rPr>
                      <w:rFonts w:ascii="宋体" w:hAnsi="宋体" w:eastAsia="宋体" w:cs="宋体"/>
                      <w:spacing w:val="10"/>
                      <w:sz w:val="17"/>
                      <w:szCs w:val="17"/>
                    </w:rPr>
                    <w:t>六统一</w:t>
                  </w:r>
                  <w:r>
                    <w:rPr>
                      <w:rFonts w:ascii="Times New Roman" w:hAnsi="Times New Roman" w:eastAsia="Times New Roman" w:cs="Times New Roman"/>
                      <w:spacing w:val="10"/>
                      <w:sz w:val="17"/>
                      <w:szCs w:val="17"/>
                    </w:rPr>
                    <w:t xml:space="preserve">” </w:t>
                  </w:r>
                  <w:r>
                    <w:rPr>
                      <w:rFonts w:ascii="宋体" w:hAnsi="宋体" w:eastAsia="宋体" w:cs="宋体"/>
                      <w:spacing w:val="10"/>
                      <w:sz w:val="17"/>
                      <w:szCs w:val="17"/>
                    </w:rPr>
                    <w:t>，协力推进大气污染源头防控，加</w:t>
                  </w:r>
                  <w:r>
                    <w:rPr>
                      <w:rFonts w:ascii="宋体" w:hAnsi="宋体" w:eastAsia="宋体" w:cs="宋体"/>
                      <w:sz w:val="17"/>
                      <w:szCs w:val="17"/>
                    </w:rPr>
                    <w:t xml:space="preserve"> </w:t>
                  </w:r>
                  <w:r>
                    <w:rPr>
                      <w:rFonts w:ascii="宋体" w:hAnsi="宋体" w:eastAsia="宋体" w:cs="宋体"/>
                      <w:spacing w:val="16"/>
                      <w:sz w:val="17"/>
                      <w:szCs w:val="17"/>
                    </w:rPr>
                    <w:t>强</w:t>
                  </w:r>
                  <w:r>
                    <w:rPr>
                      <w:rFonts w:ascii="宋体" w:hAnsi="宋体" w:eastAsia="宋体" w:cs="宋体"/>
                      <w:spacing w:val="9"/>
                      <w:sz w:val="17"/>
                      <w:szCs w:val="17"/>
                    </w:rPr>
                    <w:t>川东北区域大气污染防治合作</w:t>
                  </w:r>
                </w:p>
                <w:p>
                  <w:pPr>
                    <w:spacing w:line="230" w:lineRule="auto"/>
                    <w:ind w:left="18"/>
                    <w:rPr>
                      <w:rFonts w:ascii="宋体" w:hAnsi="宋体" w:eastAsia="宋体" w:cs="宋体"/>
                      <w:sz w:val="17"/>
                      <w:szCs w:val="17"/>
                    </w:rPr>
                  </w:pPr>
                  <w:r>
                    <w:rPr>
                      <w:rFonts w:ascii="宋体" w:hAnsi="宋体" w:eastAsia="宋体" w:cs="宋体"/>
                      <w:spacing w:val="19"/>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4"/>
                      <w:sz w:val="17"/>
                      <w:szCs w:val="17"/>
                    </w:rPr>
                    <w:t>2</w:t>
                  </w: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宋体" w:hAnsi="宋体" w:eastAsia="宋体" w:cs="宋体"/>
                      <w:spacing w:val="14"/>
                      <w:sz w:val="17"/>
                      <w:szCs w:val="17"/>
                    </w:rPr>
                    <w:t xml:space="preserve"> </w:t>
                  </w:r>
                  <w:r>
                    <w:rPr>
                      <w:rFonts w:ascii="宋体" w:hAnsi="宋体" w:eastAsia="宋体" w:cs="宋体"/>
                      <w:spacing w:val="14"/>
                      <w:sz w:val="17"/>
                      <w:szCs w:val="17"/>
                      <w14:textOutline w14:w="3268" w14:cap="sq" w14:cmpd="sng">
                        <w14:solidFill>
                          <w14:srgbClr w14:val="000000"/>
                        </w14:solidFill>
                        <w14:prstDash w14:val="solid"/>
                        <w14:bevel/>
                      </w14:textOutline>
                    </w:rPr>
                    <w:t>其他环境风险防控要求</w:t>
                  </w:r>
                </w:p>
                <w:p>
                  <w:pPr>
                    <w:spacing w:before="69" w:line="285" w:lineRule="auto"/>
                    <w:ind w:left="7" w:right="1" w:firstLine="3"/>
                    <w:rPr>
                      <w:rFonts w:ascii="宋体" w:hAnsi="宋体" w:eastAsia="宋体" w:cs="宋体"/>
                      <w:sz w:val="17"/>
                      <w:szCs w:val="17"/>
                    </w:rPr>
                  </w:pPr>
                  <w:r>
                    <w:rPr>
                      <w:rFonts w:ascii="宋体" w:hAnsi="宋体" w:eastAsia="宋体" w:cs="宋体"/>
                      <w:spacing w:val="22"/>
                      <w:sz w:val="17"/>
                      <w:szCs w:val="17"/>
                    </w:rPr>
                    <w:t>企</w:t>
                  </w:r>
                  <w:r>
                    <w:rPr>
                      <w:rFonts w:ascii="宋体" w:hAnsi="宋体" w:eastAsia="宋体" w:cs="宋体"/>
                      <w:spacing w:val="12"/>
                      <w:sz w:val="17"/>
                      <w:szCs w:val="17"/>
                    </w:rPr>
                    <w:t>业</w:t>
                  </w:r>
                  <w:r>
                    <w:rPr>
                      <w:rFonts w:ascii="宋体" w:hAnsi="宋体" w:eastAsia="宋体" w:cs="宋体"/>
                      <w:spacing w:val="11"/>
                      <w:sz w:val="17"/>
                      <w:szCs w:val="17"/>
                    </w:rPr>
                    <w:t>环境风险防控要求：现有涉及五类重金属的企业，不得新增</w:t>
                  </w:r>
                  <w:r>
                    <w:rPr>
                      <w:rFonts w:ascii="宋体" w:hAnsi="宋体" w:eastAsia="宋体" w:cs="宋体"/>
                      <w:sz w:val="17"/>
                      <w:szCs w:val="17"/>
                    </w:rPr>
                    <w:t xml:space="preserve"> </w:t>
                  </w:r>
                  <w:r>
                    <w:rPr>
                      <w:rFonts w:ascii="宋体" w:hAnsi="宋体" w:eastAsia="宋体" w:cs="宋体"/>
                      <w:spacing w:val="22"/>
                      <w:sz w:val="17"/>
                      <w:szCs w:val="17"/>
                    </w:rPr>
                    <w:t>污</w:t>
                  </w:r>
                  <w:r>
                    <w:rPr>
                      <w:rFonts w:ascii="宋体" w:hAnsi="宋体" w:eastAsia="宋体" w:cs="宋体"/>
                      <w:spacing w:val="13"/>
                      <w:sz w:val="17"/>
                      <w:szCs w:val="17"/>
                    </w:rPr>
                    <w:t>染</w:t>
                  </w:r>
                  <w:r>
                    <w:rPr>
                      <w:rFonts w:ascii="宋体" w:hAnsi="宋体" w:eastAsia="宋体" w:cs="宋体"/>
                      <w:spacing w:val="11"/>
                      <w:sz w:val="17"/>
                      <w:szCs w:val="17"/>
                    </w:rPr>
                    <w:t>物排放，限期退城入园或关停。用地环境风险防控要求：工</w:t>
                  </w:r>
                  <w:r>
                    <w:rPr>
                      <w:rFonts w:ascii="宋体" w:hAnsi="宋体" w:eastAsia="宋体" w:cs="宋体"/>
                      <w:sz w:val="17"/>
                      <w:szCs w:val="17"/>
                    </w:rPr>
                    <w:t xml:space="preserve"> </w:t>
                  </w:r>
                  <w:r>
                    <w:rPr>
                      <w:rFonts w:ascii="宋体" w:hAnsi="宋体" w:eastAsia="宋体" w:cs="宋体"/>
                      <w:spacing w:val="22"/>
                      <w:sz w:val="17"/>
                      <w:szCs w:val="17"/>
                    </w:rPr>
                    <w:t>业</w:t>
                  </w:r>
                  <w:r>
                    <w:rPr>
                      <w:rFonts w:ascii="宋体" w:hAnsi="宋体" w:eastAsia="宋体" w:cs="宋体"/>
                      <w:spacing w:val="15"/>
                      <w:sz w:val="17"/>
                      <w:szCs w:val="17"/>
                    </w:rPr>
                    <w:t>企</w:t>
                  </w:r>
                  <w:r>
                    <w:rPr>
                      <w:rFonts w:ascii="宋体" w:hAnsi="宋体" w:eastAsia="宋体" w:cs="宋体"/>
                      <w:spacing w:val="11"/>
                      <w:sz w:val="17"/>
                      <w:szCs w:val="17"/>
                    </w:rPr>
                    <w:t>业退出用地，须经评估、修复满足相应用地功能后，方可改</w:t>
                  </w:r>
                  <w:r>
                    <w:rPr>
                      <w:rFonts w:ascii="宋体" w:hAnsi="宋体" w:eastAsia="宋体" w:cs="宋体"/>
                      <w:sz w:val="17"/>
                      <w:szCs w:val="17"/>
                    </w:rPr>
                    <w:t xml:space="preserve"> </w:t>
                  </w:r>
                  <w:r>
                    <w:rPr>
                      <w:rFonts w:ascii="宋体" w:hAnsi="宋体" w:eastAsia="宋体" w:cs="宋体"/>
                      <w:spacing w:val="6"/>
                      <w:sz w:val="17"/>
                      <w:szCs w:val="17"/>
                    </w:rPr>
                    <w:t>变用途</w:t>
                  </w:r>
                  <w:r>
                    <w:rPr>
                      <w:rFonts w:ascii="宋体" w:hAnsi="宋体" w:eastAsia="宋体" w:cs="宋体"/>
                      <w:spacing w:val="5"/>
                      <w:sz w:val="17"/>
                      <w:szCs w:val="17"/>
                    </w:rPr>
                    <w:t>。</w:t>
                  </w:r>
                </w:p>
              </w:tc>
              <w:tc>
                <w:tcPr>
                  <w:tcW w:w="1039"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55" w:line="231" w:lineRule="auto"/>
                    <w:ind w:left="13"/>
                    <w:rPr>
                      <w:rFonts w:ascii="宋体" w:hAnsi="宋体" w:eastAsia="宋体" w:cs="宋体"/>
                      <w:sz w:val="17"/>
                      <w:szCs w:val="17"/>
                    </w:rPr>
                  </w:pPr>
                  <w:r>
                    <w:rPr>
                      <w:rFonts w:ascii="宋体" w:hAnsi="宋体" w:eastAsia="宋体" w:cs="宋体"/>
                      <w:sz w:val="17"/>
                      <w:szCs w:val="17"/>
                    </w:rPr>
                    <w:t>项目建成后，</w:t>
                  </w:r>
                </w:p>
                <w:p>
                  <w:pPr>
                    <w:spacing w:before="67" w:line="304" w:lineRule="auto"/>
                    <w:ind w:left="75" w:right="65" w:hanging="2"/>
                    <w:rPr>
                      <w:rFonts w:ascii="宋体" w:hAnsi="宋体" w:eastAsia="宋体" w:cs="宋体"/>
                      <w:sz w:val="17"/>
                      <w:szCs w:val="17"/>
                    </w:rPr>
                  </w:pPr>
                  <w:r>
                    <w:rPr>
                      <w:rFonts w:ascii="宋体" w:hAnsi="宋体" w:eastAsia="宋体" w:cs="宋体"/>
                      <w:spacing w:val="9"/>
                      <w:sz w:val="17"/>
                      <w:szCs w:val="17"/>
                    </w:rPr>
                    <w:t>将纳入区</w:t>
                  </w:r>
                  <w:r>
                    <w:rPr>
                      <w:rFonts w:ascii="宋体" w:hAnsi="宋体" w:eastAsia="宋体" w:cs="宋体"/>
                      <w:spacing w:val="8"/>
                      <w:sz w:val="17"/>
                      <w:szCs w:val="17"/>
                    </w:rPr>
                    <w:t>域</w:t>
                  </w:r>
                  <w:r>
                    <w:rPr>
                      <w:rFonts w:ascii="宋体" w:hAnsi="宋体" w:eastAsia="宋体" w:cs="宋体"/>
                      <w:sz w:val="17"/>
                      <w:szCs w:val="17"/>
                    </w:rPr>
                    <w:t xml:space="preserve"> </w:t>
                  </w:r>
                  <w:r>
                    <w:rPr>
                      <w:rFonts w:ascii="宋体" w:hAnsi="宋体" w:eastAsia="宋体" w:cs="宋体"/>
                      <w:spacing w:val="10"/>
                      <w:sz w:val="17"/>
                      <w:szCs w:val="17"/>
                    </w:rPr>
                    <w:t>联</w:t>
                  </w:r>
                  <w:r>
                    <w:rPr>
                      <w:rFonts w:ascii="宋体" w:hAnsi="宋体" w:eastAsia="宋体" w:cs="宋体"/>
                      <w:spacing w:val="8"/>
                      <w:sz w:val="17"/>
                      <w:szCs w:val="17"/>
                    </w:rPr>
                    <w:t>防联控体</w:t>
                  </w:r>
                </w:p>
                <w:p>
                  <w:pPr>
                    <w:spacing w:before="116" w:line="87" w:lineRule="exact"/>
                    <w:ind w:left="544"/>
                    <w:rPr>
                      <w:rFonts w:ascii="宋体" w:hAnsi="宋体" w:eastAsia="宋体" w:cs="宋体"/>
                      <w:sz w:val="17"/>
                      <w:szCs w:val="17"/>
                    </w:rPr>
                  </w:pPr>
                  <w:r>
                    <w:rPr>
                      <w:rFonts w:ascii="宋体" w:hAnsi="宋体" w:eastAsia="宋体" w:cs="宋体"/>
                      <w:position w:val="1"/>
                      <w:sz w:val="17"/>
                      <w:szCs w:val="17"/>
                    </w:rPr>
                    <w:t>。</w:t>
                  </w:r>
                </w:p>
              </w:tc>
              <w:tc>
                <w:tcPr>
                  <w:tcW w:w="417"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55" w:line="230" w:lineRule="auto"/>
                    <w:ind w:left="33"/>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符</w:t>
                  </w:r>
                  <w:r>
                    <w:rPr>
                      <w:rFonts w:ascii="宋体" w:hAnsi="宋体" w:eastAsia="宋体" w:cs="宋体"/>
                      <w:spacing w:val="5"/>
                      <w:sz w:val="17"/>
                      <w:szCs w:val="17"/>
                      <w14:textOutline w14:w="3268" w14:cap="sq" w14:cmpd="sng">
                        <w14:solidFill>
                          <w14:srgbClr w14:val="000000"/>
                        </w14:solidFill>
                        <w14:prstDash w14:val="solid"/>
                        <w14:bevel/>
                      </w14:textOutline>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5" w:hRule="atLeast"/>
              </w:trPr>
              <w:tc>
                <w:tcPr>
                  <w:tcW w:w="561" w:type="dxa"/>
                  <w:vMerge w:val="continue"/>
                  <w:tcBorders>
                    <w:top w:val="nil"/>
                  </w:tcBorders>
                  <w:vAlign w:val="top"/>
                </w:tcPr>
                <w:p>
                  <w:pPr>
                    <w:rPr>
                      <w:rFonts w:ascii="Arial"/>
                      <w:sz w:val="21"/>
                    </w:rPr>
                  </w:pPr>
                </w:p>
              </w:tc>
              <w:tc>
                <w:tcPr>
                  <w:tcW w:w="283" w:type="dxa"/>
                  <w:vMerge w:val="continue"/>
                  <w:tcBorders>
                    <w:top w:val="nil"/>
                  </w:tcBorders>
                  <w:vAlign w:val="top"/>
                </w:tcPr>
                <w:p>
                  <w:pPr>
                    <w:rPr>
                      <w:rFonts w:ascii="Arial"/>
                      <w:sz w:val="21"/>
                    </w:rPr>
                  </w:pPr>
                </w:p>
              </w:tc>
              <w:tc>
                <w:tcPr>
                  <w:tcW w:w="405"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55" w:line="309" w:lineRule="auto"/>
                    <w:ind w:left="25" w:right="22" w:firstLine="7"/>
                    <w:rPr>
                      <w:rFonts w:ascii="宋体" w:hAnsi="宋体" w:eastAsia="宋体" w:cs="宋体"/>
                      <w:sz w:val="17"/>
                      <w:szCs w:val="17"/>
                    </w:rPr>
                  </w:pPr>
                  <w:r>
                    <w:rPr>
                      <w:rFonts w:ascii="宋体" w:hAnsi="宋体" w:eastAsia="宋体" w:cs="宋体"/>
                      <w:spacing w:val="3"/>
                      <w:sz w:val="17"/>
                      <w:szCs w:val="17"/>
                      <w14:textOutline w14:w="3268" w14:cap="sq" w14:cmpd="sng">
                        <w14:solidFill>
                          <w14:srgbClr w14:val="000000"/>
                        </w14:solidFill>
                        <w14:prstDash w14:val="solid"/>
                        <w14:bevel/>
                      </w14:textOutline>
                    </w:rPr>
                    <w:t>资</w:t>
                  </w:r>
                  <w:r>
                    <w:rPr>
                      <w:rFonts w:ascii="宋体" w:hAnsi="宋体" w:eastAsia="宋体" w:cs="宋体"/>
                      <w:spacing w:val="2"/>
                      <w:sz w:val="17"/>
                      <w:szCs w:val="17"/>
                      <w14:textOutline w14:w="3268" w14:cap="sq" w14:cmpd="sng">
                        <w14:solidFill>
                          <w14:srgbClr w14:val="000000"/>
                        </w14:solidFill>
                        <w14:prstDash w14:val="solid"/>
                        <w14:bevel/>
                      </w14:textOutline>
                    </w:rPr>
                    <w:t>源</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开发</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利用</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效率</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要求</w:t>
                  </w:r>
                </w:p>
              </w:tc>
              <w:tc>
                <w:tcPr>
                  <w:tcW w:w="5098" w:type="dxa"/>
                  <w:vAlign w:val="top"/>
                </w:tcPr>
                <w:p>
                  <w:pPr>
                    <w:spacing w:before="72" w:line="230" w:lineRule="auto"/>
                    <w:ind w:left="18"/>
                    <w:rPr>
                      <w:rFonts w:ascii="宋体" w:hAnsi="宋体" w:eastAsia="宋体" w:cs="宋体"/>
                      <w:sz w:val="17"/>
                      <w:szCs w:val="17"/>
                    </w:rPr>
                  </w:pPr>
                  <w:r>
                    <w:rPr>
                      <w:rFonts w:ascii="宋体" w:hAnsi="宋体" w:eastAsia="宋体" w:cs="宋体"/>
                      <w:spacing w:val="21"/>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4"/>
                      <w:sz w:val="17"/>
                      <w:szCs w:val="17"/>
                    </w:rPr>
                    <w:t>1</w:t>
                  </w: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宋体" w:hAnsi="宋体" w:eastAsia="宋体" w:cs="宋体"/>
                      <w:spacing w:val="14"/>
                      <w:sz w:val="17"/>
                      <w:szCs w:val="17"/>
                    </w:rPr>
                    <w:t xml:space="preserve"> </w:t>
                  </w:r>
                  <w:r>
                    <w:rPr>
                      <w:rFonts w:ascii="宋体" w:hAnsi="宋体" w:eastAsia="宋体" w:cs="宋体"/>
                      <w:spacing w:val="14"/>
                      <w:sz w:val="17"/>
                      <w:szCs w:val="17"/>
                      <w14:textOutline w14:w="3268" w14:cap="sq" w14:cmpd="sng">
                        <w14:solidFill>
                          <w14:srgbClr w14:val="000000"/>
                        </w14:solidFill>
                        <w14:prstDash w14:val="solid"/>
                        <w14:bevel/>
                      </w14:textOutline>
                    </w:rPr>
                    <w:t>水资源利用总量要求</w:t>
                  </w:r>
                </w:p>
                <w:p>
                  <w:pPr>
                    <w:spacing w:before="70" w:line="294" w:lineRule="auto"/>
                    <w:ind w:left="5" w:right="1" w:firstLine="3"/>
                    <w:rPr>
                      <w:rFonts w:ascii="宋体" w:hAnsi="宋体" w:eastAsia="宋体" w:cs="宋体"/>
                      <w:sz w:val="17"/>
                      <w:szCs w:val="17"/>
                    </w:rPr>
                  </w:pPr>
                  <w:r>
                    <w:rPr>
                      <w:rFonts w:ascii="Times New Roman" w:hAnsi="Times New Roman" w:eastAsia="Times New Roman" w:cs="Times New Roman"/>
                      <w:spacing w:val="18"/>
                      <w:sz w:val="17"/>
                      <w:szCs w:val="17"/>
                    </w:rPr>
                    <w:t>-</w:t>
                  </w:r>
                  <w:r>
                    <w:rPr>
                      <w:rFonts w:ascii="宋体" w:hAnsi="宋体" w:eastAsia="宋体" w:cs="宋体"/>
                      <w:spacing w:val="18"/>
                      <w:sz w:val="17"/>
                      <w:szCs w:val="17"/>
                    </w:rPr>
                    <w:t>到</w:t>
                  </w:r>
                  <w:r>
                    <w:rPr>
                      <w:rFonts w:ascii="宋体" w:hAnsi="宋体" w:eastAsia="宋体" w:cs="宋体"/>
                      <w:spacing w:val="11"/>
                      <w:sz w:val="17"/>
                      <w:szCs w:val="17"/>
                    </w:rPr>
                    <w:t xml:space="preserve"> </w:t>
                  </w:r>
                  <w:r>
                    <w:rPr>
                      <w:rFonts w:ascii="Times New Roman" w:hAnsi="Times New Roman" w:eastAsia="Times New Roman" w:cs="Times New Roman"/>
                      <w:spacing w:val="9"/>
                      <w:sz w:val="17"/>
                      <w:szCs w:val="17"/>
                    </w:rPr>
                    <w:t xml:space="preserve">2025 </w:t>
                  </w:r>
                  <w:r>
                    <w:rPr>
                      <w:rFonts w:ascii="宋体" w:hAnsi="宋体" w:eastAsia="宋体" w:cs="宋体"/>
                      <w:spacing w:val="9"/>
                      <w:sz w:val="17"/>
                      <w:szCs w:val="17"/>
                    </w:rPr>
                    <w:t>年，全国污水收集效能显著提升，县城及城市污水处理</w:t>
                  </w:r>
                  <w:r>
                    <w:rPr>
                      <w:rFonts w:ascii="宋体" w:hAnsi="宋体" w:eastAsia="宋体" w:cs="宋体"/>
                      <w:sz w:val="17"/>
                      <w:szCs w:val="17"/>
                    </w:rPr>
                    <w:t xml:space="preserve"> </w:t>
                  </w:r>
                  <w:r>
                    <w:rPr>
                      <w:rFonts w:ascii="宋体" w:hAnsi="宋体" w:eastAsia="宋体" w:cs="宋体"/>
                      <w:spacing w:val="22"/>
                      <w:sz w:val="17"/>
                      <w:szCs w:val="17"/>
                    </w:rPr>
                    <w:t>能</w:t>
                  </w:r>
                  <w:r>
                    <w:rPr>
                      <w:rFonts w:ascii="宋体" w:hAnsi="宋体" w:eastAsia="宋体" w:cs="宋体"/>
                      <w:spacing w:val="18"/>
                      <w:sz w:val="17"/>
                      <w:szCs w:val="17"/>
                    </w:rPr>
                    <w:t>力</w:t>
                  </w:r>
                  <w:r>
                    <w:rPr>
                      <w:rFonts w:ascii="宋体" w:hAnsi="宋体" w:eastAsia="宋体" w:cs="宋体"/>
                      <w:spacing w:val="11"/>
                      <w:sz w:val="17"/>
                      <w:szCs w:val="17"/>
                    </w:rPr>
                    <w:t>基本满足当地经济社会发展需要，水环境敏感地区污水处理</w:t>
                  </w:r>
                  <w:r>
                    <w:rPr>
                      <w:rFonts w:ascii="宋体" w:hAnsi="宋体" w:eastAsia="宋体" w:cs="宋体"/>
                      <w:sz w:val="17"/>
                      <w:szCs w:val="17"/>
                    </w:rPr>
                    <w:t xml:space="preserve"> </w:t>
                  </w:r>
                  <w:r>
                    <w:rPr>
                      <w:rFonts w:ascii="宋体" w:hAnsi="宋体" w:eastAsia="宋体" w:cs="宋体"/>
                      <w:spacing w:val="22"/>
                      <w:sz w:val="17"/>
                      <w:szCs w:val="17"/>
                    </w:rPr>
                    <w:t>基</w:t>
                  </w:r>
                  <w:r>
                    <w:rPr>
                      <w:rFonts w:ascii="宋体" w:hAnsi="宋体" w:eastAsia="宋体" w:cs="宋体"/>
                      <w:spacing w:val="16"/>
                      <w:sz w:val="17"/>
                      <w:szCs w:val="17"/>
                    </w:rPr>
                    <w:t>本</w:t>
                  </w:r>
                  <w:r>
                    <w:rPr>
                      <w:rFonts w:ascii="宋体" w:hAnsi="宋体" w:eastAsia="宋体" w:cs="宋体"/>
                      <w:spacing w:val="11"/>
                      <w:sz w:val="17"/>
                      <w:szCs w:val="17"/>
                    </w:rPr>
                    <w:t>实现提标升级；全国地级及以上缺水城市再生水利用率达到</w:t>
                  </w:r>
                  <w:r>
                    <w:rPr>
                      <w:rFonts w:ascii="宋体" w:hAnsi="宋体" w:eastAsia="宋体" w:cs="宋体"/>
                      <w:sz w:val="17"/>
                      <w:szCs w:val="17"/>
                    </w:rPr>
                    <w:t xml:space="preserve"> </w:t>
                  </w:r>
                  <w:r>
                    <w:rPr>
                      <w:rFonts w:ascii="Times New Roman" w:hAnsi="Times New Roman" w:eastAsia="Times New Roman" w:cs="Times New Roman"/>
                      <w:spacing w:val="8"/>
                      <w:sz w:val="17"/>
                      <w:szCs w:val="17"/>
                    </w:rPr>
                    <w:t>2</w:t>
                  </w:r>
                  <w:r>
                    <w:rPr>
                      <w:rFonts w:ascii="Times New Roman" w:hAnsi="Times New Roman" w:eastAsia="Times New Roman" w:cs="Times New Roman"/>
                      <w:spacing w:val="5"/>
                      <w:sz w:val="17"/>
                      <w:szCs w:val="17"/>
                    </w:rPr>
                    <w:t>5%</w:t>
                  </w:r>
                  <w:r>
                    <w:rPr>
                      <w:rFonts w:ascii="宋体" w:hAnsi="宋体" w:eastAsia="宋体" w:cs="宋体"/>
                      <w:spacing w:val="5"/>
                      <w:sz w:val="17"/>
                      <w:szCs w:val="17"/>
                    </w:rPr>
                    <w:t>以上。</w:t>
                  </w:r>
                </w:p>
                <w:p>
                  <w:pPr>
                    <w:spacing w:before="36" w:line="229" w:lineRule="auto"/>
                    <w:ind w:left="18"/>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8"/>
                      <w:sz w:val="17"/>
                      <w:szCs w:val="17"/>
                    </w:rPr>
                    <w:t>2</w:t>
                  </w:r>
                  <w:r>
                    <w:rPr>
                      <w:rFonts w:ascii="宋体" w:hAnsi="宋体" w:eastAsia="宋体" w:cs="宋体"/>
                      <w:spacing w:val="8"/>
                      <w:sz w:val="17"/>
                      <w:szCs w:val="17"/>
                      <w14:textOutline w14:w="3268" w14:cap="sq" w14:cmpd="sng">
                        <w14:solidFill>
                          <w14:srgbClr w14:val="000000"/>
                        </w14:solidFill>
                        <w14:prstDash w14:val="solid"/>
                        <w14:bevel/>
                      </w14:textOutline>
                    </w:rPr>
                    <w:t>)</w:t>
                  </w:r>
                  <w:r>
                    <w:rPr>
                      <w:rFonts w:ascii="宋体" w:hAnsi="宋体" w:eastAsia="宋体" w:cs="宋体"/>
                      <w:spacing w:val="8"/>
                      <w:sz w:val="17"/>
                      <w:szCs w:val="17"/>
                    </w:rPr>
                    <w:t xml:space="preserve"> </w:t>
                  </w:r>
                  <w:r>
                    <w:rPr>
                      <w:rFonts w:ascii="宋体" w:hAnsi="宋体" w:eastAsia="宋体" w:cs="宋体"/>
                      <w:spacing w:val="8"/>
                      <w:sz w:val="17"/>
                      <w:szCs w:val="17"/>
                      <w14:textOutline w14:w="3268" w14:cap="sq" w14:cmpd="sng">
                        <w14:solidFill>
                          <w14:srgbClr w14:val="000000"/>
                        </w14:solidFill>
                        <w14:prstDash w14:val="solid"/>
                        <w14:bevel/>
                      </w14:textOutline>
                    </w:rPr>
                    <w:t>地下水开采要求</w:t>
                  </w:r>
                  <w:r>
                    <w:rPr>
                      <w:rFonts w:ascii="宋体" w:hAnsi="宋体" w:eastAsia="宋体" w:cs="宋体"/>
                      <w:spacing w:val="8"/>
                      <w:sz w:val="17"/>
                      <w:szCs w:val="17"/>
                    </w:rPr>
                    <w:t>： 以省市下发指标为准。</w:t>
                  </w:r>
                </w:p>
                <w:p>
                  <w:pPr>
                    <w:spacing w:before="67" w:line="267" w:lineRule="auto"/>
                    <w:ind w:left="8" w:right="46" w:firstLine="9"/>
                    <w:rPr>
                      <w:rFonts w:ascii="宋体" w:hAnsi="宋体" w:eastAsia="宋体" w:cs="宋体"/>
                      <w:sz w:val="17"/>
                      <w:szCs w:val="17"/>
                    </w:rPr>
                  </w:pPr>
                  <w:r>
                    <w:rPr>
                      <w:rFonts w:ascii="宋体" w:hAnsi="宋体" w:eastAsia="宋体" w:cs="宋体"/>
                      <w:spacing w:val="24"/>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21"/>
                      <w:sz w:val="17"/>
                      <w:szCs w:val="17"/>
                    </w:rPr>
                    <w:t>3</w:t>
                  </w:r>
                  <w:r>
                    <w:rPr>
                      <w:rFonts w:ascii="宋体" w:hAnsi="宋体" w:eastAsia="宋体" w:cs="宋体"/>
                      <w:spacing w:val="12"/>
                      <w:sz w:val="17"/>
                      <w:szCs w:val="17"/>
                      <w14:textOutline w14:w="3268" w14:cap="sq" w14:cmpd="sng">
                        <w14:solidFill>
                          <w14:srgbClr w14:val="000000"/>
                        </w14:solidFill>
                        <w14:prstDash w14:val="solid"/>
                        <w14:bevel/>
                      </w14:textOutline>
                    </w:rPr>
                    <w:t>)</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能源利用总量及效率要求</w:t>
                  </w:r>
                  <w:r>
                    <w:rPr>
                      <w:rFonts w:ascii="宋体" w:hAnsi="宋体" w:eastAsia="宋体" w:cs="宋体"/>
                      <w:spacing w:val="12"/>
                      <w:sz w:val="17"/>
                      <w:szCs w:val="17"/>
                    </w:rPr>
                    <w:t>：</w:t>
                  </w:r>
                  <w:r>
                    <w:rPr>
                      <w:rFonts w:ascii="Times New Roman" w:hAnsi="Times New Roman" w:eastAsia="Times New Roman" w:cs="Times New Roman"/>
                      <w:spacing w:val="12"/>
                      <w:sz w:val="17"/>
                      <w:szCs w:val="17"/>
                    </w:rPr>
                    <w:t>-</w:t>
                  </w:r>
                  <w:r>
                    <w:rPr>
                      <w:rFonts w:ascii="宋体" w:hAnsi="宋体" w:eastAsia="宋体" w:cs="宋体"/>
                      <w:spacing w:val="12"/>
                      <w:sz w:val="17"/>
                      <w:szCs w:val="17"/>
                    </w:rPr>
                    <w:t>严控使用燃煤等高污染燃料，</w:t>
                  </w:r>
                  <w:r>
                    <w:rPr>
                      <w:rFonts w:ascii="宋体" w:hAnsi="宋体" w:eastAsia="宋体" w:cs="宋体"/>
                      <w:sz w:val="17"/>
                      <w:szCs w:val="17"/>
                    </w:rPr>
                    <w:t xml:space="preserve"> </w:t>
                  </w:r>
                  <w:r>
                    <w:rPr>
                      <w:rFonts w:ascii="宋体" w:hAnsi="宋体" w:eastAsia="宋体" w:cs="宋体"/>
                      <w:spacing w:val="10"/>
                      <w:sz w:val="17"/>
                      <w:szCs w:val="17"/>
                    </w:rPr>
                    <w:t>禁</w:t>
                  </w:r>
                  <w:r>
                    <w:rPr>
                      <w:rFonts w:ascii="宋体" w:hAnsi="宋体" w:eastAsia="宋体" w:cs="宋体"/>
                      <w:spacing w:val="7"/>
                      <w:sz w:val="17"/>
                      <w:szCs w:val="17"/>
                    </w:rPr>
                    <w:t>止焚烧垃圾。</w:t>
                  </w:r>
                </w:p>
                <w:p>
                  <w:pPr>
                    <w:spacing w:before="68" w:line="267" w:lineRule="auto"/>
                    <w:ind w:left="22" w:right="3" w:hanging="14"/>
                    <w:rPr>
                      <w:rFonts w:ascii="宋体" w:hAnsi="宋体" w:eastAsia="宋体" w:cs="宋体"/>
                      <w:sz w:val="17"/>
                      <w:szCs w:val="17"/>
                    </w:rPr>
                  </w:pPr>
                  <w:r>
                    <w:rPr>
                      <w:rFonts w:ascii="Times New Roman" w:hAnsi="Times New Roman" w:eastAsia="Times New Roman" w:cs="Times New Roman"/>
                      <w:spacing w:val="10"/>
                      <w:sz w:val="17"/>
                      <w:szCs w:val="17"/>
                    </w:rPr>
                    <w:t>-</w:t>
                  </w:r>
                  <w:r>
                    <w:rPr>
                      <w:rFonts w:ascii="宋体" w:hAnsi="宋体" w:eastAsia="宋体" w:cs="宋体"/>
                      <w:spacing w:val="10"/>
                      <w:sz w:val="17"/>
                      <w:szCs w:val="17"/>
                    </w:rPr>
                    <w:t xml:space="preserve">全面淘汰每小时 </w:t>
                  </w:r>
                  <w:r>
                    <w:rPr>
                      <w:rFonts w:ascii="Times New Roman" w:hAnsi="Times New Roman" w:eastAsia="Times New Roman" w:cs="Times New Roman"/>
                      <w:spacing w:val="10"/>
                      <w:sz w:val="17"/>
                      <w:szCs w:val="17"/>
                    </w:rPr>
                    <w:t xml:space="preserve">10 </w:t>
                  </w:r>
                  <w:r>
                    <w:rPr>
                      <w:rFonts w:ascii="宋体" w:hAnsi="宋体" w:eastAsia="宋体" w:cs="宋体"/>
                      <w:spacing w:val="10"/>
                      <w:sz w:val="17"/>
                      <w:szCs w:val="17"/>
                    </w:rPr>
                    <w:t>蒸吨以下的燃煤锅炉；在供气管网覆盖不</w:t>
                  </w:r>
                  <w:r>
                    <w:rPr>
                      <w:rFonts w:ascii="宋体" w:hAnsi="宋体" w:eastAsia="宋体" w:cs="宋体"/>
                      <w:spacing w:val="6"/>
                      <w:sz w:val="17"/>
                      <w:szCs w:val="17"/>
                    </w:rPr>
                    <w:t>到</w:t>
                  </w:r>
                  <w:r>
                    <w:rPr>
                      <w:rFonts w:ascii="宋体" w:hAnsi="宋体" w:eastAsia="宋体" w:cs="宋体"/>
                      <w:sz w:val="17"/>
                      <w:szCs w:val="17"/>
                    </w:rPr>
                    <w:t xml:space="preserve"> </w:t>
                  </w:r>
                  <w:r>
                    <w:rPr>
                      <w:rFonts w:ascii="宋体" w:hAnsi="宋体" w:eastAsia="宋体" w:cs="宋体"/>
                      <w:spacing w:val="12"/>
                      <w:sz w:val="17"/>
                      <w:szCs w:val="17"/>
                    </w:rPr>
                    <w:t>的</w:t>
                  </w:r>
                  <w:r>
                    <w:rPr>
                      <w:rFonts w:ascii="宋体" w:hAnsi="宋体" w:eastAsia="宋体" w:cs="宋体"/>
                      <w:spacing w:val="8"/>
                      <w:sz w:val="17"/>
                      <w:szCs w:val="17"/>
                    </w:rPr>
                    <w:t>其他地区，改用电、新能源或洁净煤。</w:t>
                  </w:r>
                </w:p>
                <w:p>
                  <w:pPr>
                    <w:spacing w:before="69" w:line="230" w:lineRule="auto"/>
                    <w:ind w:left="8"/>
                    <w:rPr>
                      <w:rFonts w:ascii="宋体" w:hAnsi="宋体" w:eastAsia="宋体" w:cs="宋体"/>
                      <w:sz w:val="17"/>
                      <w:szCs w:val="17"/>
                    </w:rPr>
                  </w:pPr>
                  <w:r>
                    <w:rPr>
                      <w:rFonts w:ascii="Times New Roman" w:hAnsi="Times New Roman" w:eastAsia="Times New Roman" w:cs="Times New Roman"/>
                      <w:spacing w:val="10"/>
                      <w:sz w:val="17"/>
                      <w:szCs w:val="17"/>
                    </w:rPr>
                    <w:t>-</w:t>
                  </w:r>
                  <w:r>
                    <w:rPr>
                      <w:rFonts w:ascii="宋体" w:hAnsi="宋体" w:eastAsia="宋体" w:cs="宋体"/>
                      <w:spacing w:val="10"/>
                      <w:sz w:val="17"/>
                      <w:szCs w:val="17"/>
                    </w:rPr>
                    <w:t xml:space="preserve">地级以上城市建成区禁止新建每小时 </w:t>
                  </w:r>
                  <w:r>
                    <w:rPr>
                      <w:rFonts w:ascii="Times New Roman" w:hAnsi="Times New Roman" w:eastAsia="Times New Roman" w:cs="Times New Roman"/>
                      <w:spacing w:val="10"/>
                      <w:sz w:val="17"/>
                      <w:szCs w:val="17"/>
                    </w:rPr>
                    <w:t xml:space="preserve">20 </w:t>
                  </w:r>
                  <w:r>
                    <w:rPr>
                      <w:rFonts w:ascii="宋体" w:hAnsi="宋体" w:eastAsia="宋体" w:cs="宋体"/>
                      <w:spacing w:val="10"/>
                      <w:sz w:val="17"/>
                      <w:szCs w:val="17"/>
                    </w:rPr>
                    <w:t>蒸吨以下燃煤锅炉；</w:t>
                  </w:r>
                  <w:r>
                    <w:rPr>
                      <w:rFonts w:ascii="宋体" w:hAnsi="宋体" w:eastAsia="宋体" w:cs="宋体"/>
                      <w:spacing w:val="6"/>
                      <w:sz w:val="17"/>
                      <w:szCs w:val="17"/>
                    </w:rPr>
                    <w:t>对</w:t>
                  </w:r>
                </w:p>
                <w:p>
                  <w:pPr>
                    <w:spacing w:before="67" w:line="286" w:lineRule="auto"/>
                    <w:ind w:left="8" w:right="1" w:hanging="3"/>
                    <w:rPr>
                      <w:rFonts w:ascii="宋体" w:hAnsi="宋体" w:eastAsia="宋体" w:cs="宋体"/>
                      <w:sz w:val="17"/>
                      <w:szCs w:val="17"/>
                    </w:rPr>
                  </w:pPr>
                  <w:r>
                    <w:rPr>
                      <w:rFonts w:ascii="Times New Roman" w:hAnsi="Times New Roman" w:eastAsia="Times New Roman" w:cs="Times New Roman"/>
                      <w:spacing w:val="18"/>
                      <w:sz w:val="17"/>
                      <w:szCs w:val="17"/>
                    </w:rPr>
                    <w:t>2</w:t>
                  </w:r>
                  <w:r>
                    <w:rPr>
                      <w:rFonts w:ascii="Times New Roman" w:hAnsi="Times New Roman" w:eastAsia="Times New Roman" w:cs="Times New Roman"/>
                      <w:spacing w:val="11"/>
                      <w:sz w:val="17"/>
                      <w:szCs w:val="17"/>
                    </w:rPr>
                    <w:t>0</w:t>
                  </w:r>
                  <w:r>
                    <w:rPr>
                      <w:rFonts w:ascii="Times New Roman" w:hAnsi="Times New Roman" w:eastAsia="Times New Roman" w:cs="Times New Roman"/>
                      <w:spacing w:val="9"/>
                      <w:sz w:val="17"/>
                      <w:szCs w:val="17"/>
                    </w:rPr>
                    <w:t xml:space="preserve"> </w:t>
                  </w:r>
                  <w:r>
                    <w:rPr>
                      <w:rFonts w:ascii="宋体" w:hAnsi="宋体" w:eastAsia="宋体" w:cs="宋体"/>
                      <w:spacing w:val="9"/>
                      <w:sz w:val="17"/>
                      <w:szCs w:val="17"/>
                    </w:rPr>
                    <w:t>蒸吨及以上燃煤锅炉实施脱硫改造，建设高效脱硫设施；对循</w:t>
                  </w:r>
                  <w:r>
                    <w:rPr>
                      <w:rFonts w:ascii="宋体" w:hAnsi="宋体" w:eastAsia="宋体" w:cs="宋体"/>
                      <w:sz w:val="17"/>
                      <w:szCs w:val="17"/>
                    </w:rPr>
                    <w:t xml:space="preserve"> </w:t>
                  </w:r>
                  <w:r>
                    <w:rPr>
                      <w:rFonts w:ascii="宋体" w:hAnsi="宋体" w:eastAsia="宋体" w:cs="宋体"/>
                      <w:spacing w:val="22"/>
                      <w:sz w:val="17"/>
                      <w:szCs w:val="17"/>
                    </w:rPr>
                    <w:t>环</w:t>
                  </w:r>
                  <w:r>
                    <w:rPr>
                      <w:rFonts w:ascii="宋体" w:hAnsi="宋体" w:eastAsia="宋体" w:cs="宋体"/>
                      <w:spacing w:val="15"/>
                      <w:sz w:val="17"/>
                      <w:szCs w:val="17"/>
                    </w:rPr>
                    <w:t>流</w:t>
                  </w:r>
                  <w:r>
                    <w:rPr>
                      <w:rFonts w:ascii="宋体" w:hAnsi="宋体" w:eastAsia="宋体" w:cs="宋体"/>
                      <w:spacing w:val="11"/>
                      <w:sz w:val="17"/>
                      <w:szCs w:val="17"/>
                    </w:rPr>
                    <w:t>化床锅炉以外的燃煤发电机组一律安装脱硫设施，对燃煤锅</w:t>
                  </w:r>
                  <w:r>
                    <w:rPr>
                      <w:rFonts w:ascii="宋体" w:hAnsi="宋体" w:eastAsia="宋体" w:cs="宋体"/>
                      <w:sz w:val="17"/>
                      <w:szCs w:val="17"/>
                    </w:rPr>
                    <w:t xml:space="preserve"> </w:t>
                  </w:r>
                  <w:r>
                    <w:rPr>
                      <w:rFonts w:ascii="宋体" w:hAnsi="宋体" w:eastAsia="宋体" w:cs="宋体"/>
                      <w:spacing w:val="22"/>
                      <w:sz w:val="17"/>
                      <w:szCs w:val="17"/>
                    </w:rPr>
                    <w:t>炉</w:t>
                  </w:r>
                  <w:r>
                    <w:rPr>
                      <w:rFonts w:ascii="宋体" w:hAnsi="宋体" w:eastAsia="宋体" w:cs="宋体"/>
                      <w:spacing w:val="15"/>
                      <w:sz w:val="17"/>
                      <w:szCs w:val="17"/>
                    </w:rPr>
                    <w:t>和</w:t>
                  </w:r>
                  <w:r>
                    <w:rPr>
                      <w:rFonts w:ascii="宋体" w:hAnsi="宋体" w:eastAsia="宋体" w:cs="宋体"/>
                      <w:spacing w:val="11"/>
                      <w:sz w:val="17"/>
                      <w:szCs w:val="17"/>
                    </w:rPr>
                    <w:t>工业锅炉现有除尘设施实施升级改造，确保达到新的排放标</w:t>
                  </w:r>
                  <w:r>
                    <w:rPr>
                      <w:rFonts w:ascii="宋体" w:hAnsi="宋体" w:eastAsia="宋体" w:cs="宋体"/>
                      <w:sz w:val="17"/>
                      <w:szCs w:val="17"/>
                    </w:rPr>
                    <w:t xml:space="preserve"> </w:t>
                  </w:r>
                  <w:r>
                    <w:rPr>
                      <w:rFonts w:ascii="宋体" w:hAnsi="宋体" w:eastAsia="宋体" w:cs="宋体"/>
                      <w:spacing w:val="8"/>
                      <w:sz w:val="17"/>
                      <w:szCs w:val="17"/>
                    </w:rPr>
                    <w:t>准和特别排放限值。</w:t>
                  </w:r>
                </w:p>
                <w:p>
                  <w:pPr>
                    <w:spacing w:before="67" w:line="230" w:lineRule="auto"/>
                    <w:ind w:left="18"/>
                    <w:rPr>
                      <w:rFonts w:ascii="宋体" w:hAnsi="宋体" w:eastAsia="宋体" w:cs="宋体"/>
                      <w:sz w:val="17"/>
                      <w:szCs w:val="17"/>
                    </w:rPr>
                  </w:pPr>
                  <w:r>
                    <w:rPr>
                      <w:rFonts w:ascii="宋体" w:hAnsi="宋体" w:eastAsia="宋体" w:cs="宋体"/>
                      <w:spacing w:val="18"/>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6"/>
                      <w:sz w:val="17"/>
                      <w:szCs w:val="17"/>
                    </w:rPr>
                    <w:t>4</w:t>
                  </w:r>
                  <w:r>
                    <w:rPr>
                      <w:rFonts w:ascii="宋体" w:hAnsi="宋体" w:eastAsia="宋体" w:cs="宋体"/>
                      <w:spacing w:val="16"/>
                      <w:sz w:val="17"/>
                      <w:szCs w:val="17"/>
                      <w14:textOutline w14:w="3268" w14:cap="sq" w14:cmpd="sng">
                        <w14:solidFill>
                          <w14:srgbClr w14:val="000000"/>
                        </w14:solidFill>
                        <w14:prstDash w14:val="solid"/>
                        <w14:bevel/>
                      </w14:textOutline>
                    </w:rPr>
                    <w:t>)</w:t>
                  </w:r>
                  <w:r>
                    <w:rPr>
                      <w:rFonts w:ascii="宋体" w:hAnsi="宋体" w:eastAsia="宋体" w:cs="宋体"/>
                      <w:spacing w:val="16"/>
                      <w:sz w:val="17"/>
                      <w:szCs w:val="17"/>
                    </w:rPr>
                    <w:t xml:space="preserve"> </w:t>
                  </w:r>
                  <w:r>
                    <w:rPr>
                      <w:rFonts w:ascii="宋体" w:hAnsi="宋体" w:eastAsia="宋体" w:cs="宋体"/>
                      <w:spacing w:val="16"/>
                      <w:sz w:val="17"/>
                      <w:szCs w:val="17"/>
                      <w14:textOutline w14:w="3268" w14:cap="sq" w14:cmpd="sng">
                        <w14:solidFill>
                          <w14:srgbClr w14:val="000000"/>
                        </w14:solidFill>
                        <w14:prstDash w14:val="solid"/>
                        <w14:bevel/>
                      </w14:textOutline>
                    </w:rPr>
                    <w:t>禁燃区要求</w:t>
                  </w:r>
                </w:p>
                <w:p>
                  <w:pPr>
                    <w:spacing w:before="69" w:line="230" w:lineRule="auto"/>
                    <w:ind w:left="8"/>
                    <w:rPr>
                      <w:rFonts w:ascii="宋体" w:hAnsi="宋体" w:eastAsia="宋体" w:cs="宋体"/>
                      <w:sz w:val="17"/>
                      <w:szCs w:val="17"/>
                    </w:rPr>
                  </w:pPr>
                  <w:r>
                    <w:rPr>
                      <w:rFonts w:ascii="Times New Roman" w:hAnsi="Times New Roman" w:eastAsia="Times New Roman" w:cs="Times New Roman"/>
                      <w:spacing w:val="38"/>
                      <w:sz w:val="17"/>
                      <w:szCs w:val="17"/>
                    </w:rPr>
                    <w:t>-</w:t>
                  </w:r>
                  <w:r>
                    <w:rPr>
                      <w:rFonts w:ascii="Times New Roman" w:hAnsi="Times New Roman" w:eastAsia="Times New Roman" w:cs="Times New Roman"/>
                      <w:spacing w:val="19"/>
                      <w:sz w:val="17"/>
                      <w:szCs w:val="17"/>
                    </w:rPr>
                    <w:t xml:space="preserve"> </w:t>
                  </w:r>
                  <w:r>
                    <w:rPr>
                      <w:rFonts w:ascii="宋体" w:hAnsi="宋体" w:eastAsia="宋体" w:cs="宋体"/>
                      <w:spacing w:val="19"/>
                      <w:sz w:val="17"/>
                      <w:szCs w:val="17"/>
                    </w:rPr>
                    <w:t>高污染燃料禁燃区内禁止燃用的燃料为《高污染燃料目录》</w:t>
                  </w:r>
                </w:p>
                <w:p>
                  <w:pPr>
                    <w:spacing w:before="69" w:line="230" w:lineRule="auto"/>
                    <w:ind w:left="18"/>
                    <w:rPr>
                      <w:rFonts w:ascii="宋体" w:hAnsi="宋体" w:eastAsia="宋体" w:cs="宋体"/>
                      <w:sz w:val="17"/>
                      <w:szCs w:val="17"/>
                    </w:rPr>
                  </w:pPr>
                  <w:r>
                    <w:rPr>
                      <w:rFonts w:ascii="宋体" w:hAnsi="宋体" w:eastAsia="宋体" w:cs="宋体"/>
                      <w:spacing w:val="2"/>
                      <w:sz w:val="17"/>
                      <w:szCs w:val="17"/>
                    </w:rPr>
                    <w:t>(</w:t>
                  </w:r>
                  <w:r>
                    <w:rPr>
                      <w:rFonts w:ascii="Times New Roman" w:hAnsi="Times New Roman" w:eastAsia="Times New Roman" w:cs="Times New Roman"/>
                      <w:spacing w:val="2"/>
                      <w:sz w:val="17"/>
                      <w:szCs w:val="17"/>
                    </w:rPr>
                    <w:t>2017</w:t>
                  </w:r>
                  <w:r>
                    <w:rPr>
                      <w:rFonts w:ascii="宋体" w:hAnsi="宋体" w:eastAsia="宋体" w:cs="宋体"/>
                      <w:spacing w:val="2"/>
                      <w:sz w:val="17"/>
                      <w:szCs w:val="17"/>
                    </w:rPr>
                    <w:t>) 中</w:t>
                  </w:r>
                  <w:r>
                    <w:rPr>
                      <w:rFonts w:ascii="Times New Roman" w:hAnsi="Times New Roman" w:eastAsia="Times New Roman" w:cs="Times New Roman"/>
                      <w:spacing w:val="2"/>
                      <w:sz w:val="17"/>
                      <w:szCs w:val="17"/>
                    </w:rPr>
                    <w:t>Ⅲ</w:t>
                  </w:r>
                  <w:r>
                    <w:rPr>
                      <w:rFonts w:ascii="宋体" w:hAnsi="宋体" w:eastAsia="宋体" w:cs="宋体"/>
                      <w:spacing w:val="2"/>
                      <w:sz w:val="17"/>
                      <w:szCs w:val="17"/>
                    </w:rPr>
                    <w:t xml:space="preserve">类 (严格) 燃料组合，包括：  ( </w:t>
                  </w:r>
                  <w:r>
                    <w:rPr>
                      <w:rFonts w:ascii="宋体" w:hAnsi="宋体" w:eastAsia="宋体" w:cs="宋体"/>
                      <w:spacing w:val="1"/>
                      <w:sz w:val="17"/>
                      <w:szCs w:val="17"/>
                    </w:rPr>
                    <w:t>一) 煤炭及其制品；</w:t>
                  </w:r>
                </w:p>
                <w:p>
                  <w:pPr>
                    <w:spacing w:before="67" w:line="280" w:lineRule="auto"/>
                    <w:ind w:left="8" w:right="1" w:firstLine="9"/>
                    <w:rPr>
                      <w:rFonts w:ascii="宋体" w:hAnsi="宋体" w:eastAsia="宋体" w:cs="宋体"/>
                      <w:sz w:val="17"/>
                      <w:szCs w:val="17"/>
                    </w:rPr>
                  </w:pPr>
                  <w:r>
                    <w:rPr>
                      <w:rFonts w:ascii="宋体" w:hAnsi="宋体" w:eastAsia="宋体" w:cs="宋体"/>
                      <w:spacing w:val="18"/>
                      <w:sz w:val="17"/>
                      <w:szCs w:val="17"/>
                    </w:rPr>
                    <w:t>(二</w:t>
                  </w:r>
                  <w:r>
                    <w:rPr>
                      <w:rFonts w:ascii="宋体" w:hAnsi="宋体" w:eastAsia="宋体" w:cs="宋体"/>
                      <w:spacing w:val="16"/>
                      <w:sz w:val="17"/>
                      <w:szCs w:val="17"/>
                    </w:rPr>
                    <w:t>)</w:t>
                  </w:r>
                  <w:r>
                    <w:rPr>
                      <w:rFonts w:ascii="宋体" w:hAnsi="宋体" w:eastAsia="宋体" w:cs="宋体"/>
                      <w:spacing w:val="9"/>
                      <w:sz w:val="17"/>
                      <w:szCs w:val="17"/>
                    </w:rPr>
                    <w:t xml:space="preserve"> 石油焦、油页岩、原油、重油、渣油、煤焦油；  (三) 非</w:t>
                  </w:r>
                  <w:r>
                    <w:rPr>
                      <w:rFonts w:ascii="宋体" w:hAnsi="宋体" w:eastAsia="宋体" w:cs="宋体"/>
                      <w:sz w:val="17"/>
                      <w:szCs w:val="17"/>
                    </w:rPr>
                    <w:t xml:space="preserve"> </w:t>
                  </w:r>
                  <w:r>
                    <w:rPr>
                      <w:rFonts w:ascii="宋体" w:hAnsi="宋体" w:eastAsia="宋体" w:cs="宋体"/>
                      <w:spacing w:val="22"/>
                      <w:sz w:val="17"/>
                      <w:szCs w:val="17"/>
                    </w:rPr>
                    <w:t>专</w:t>
                  </w:r>
                  <w:r>
                    <w:rPr>
                      <w:rFonts w:ascii="宋体" w:hAnsi="宋体" w:eastAsia="宋体" w:cs="宋体"/>
                      <w:spacing w:val="15"/>
                      <w:sz w:val="17"/>
                      <w:szCs w:val="17"/>
                    </w:rPr>
                    <w:t>用</w:t>
                  </w:r>
                  <w:r>
                    <w:rPr>
                      <w:rFonts w:ascii="宋体" w:hAnsi="宋体" w:eastAsia="宋体" w:cs="宋体"/>
                      <w:spacing w:val="11"/>
                      <w:sz w:val="17"/>
                      <w:szCs w:val="17"/>
                    </w:rPr>
                    <w:t>锅炉或未配置高效除尘设施的专用锅炉燃用的生物质成型燃</w:t>
                  </w:r>
                  <w:r>
                    <w:rPr>
                      <w:rFonts w:ascii="宋体" w:hAnsi="宋体" w:eastAsia="宋体" w:cs="宋体"/>
                      <w:sz w:val="17"/>
                      <w:szCs w:val="17"/>
                    </w:rPr>
                    <w:t xml:space="preserve"> </w:t>
                  </w:r>
                  <w:r>
                    <w:rPr>
                      <w:rFonts w:ascii="宋体" w:hAnsi="宋体" w:eastAsia="宋体" w:cs="宋体"/>
                      <w:spacing w:val="1"/>
                      <w:sz w:val="17"/>
                      <w:szCs w:val="17"/>
                    </w:rPr>
                    <w:t>料。</w:t>
                  </w:r>
                </w:p>
                <w:p>
                  <w:pPr>
                    <w:spacing w:before="65" w:line="268" w:lineRule="auto"/>
                    <w:ind w:left="9" w:right="1" w:hanging="1"/>
                    <w:rPr>
                      <w:rFonts w:ascii="宋体" w:hAnsi="宋体" w:eastAsia="宋体" w:cs="宋体"/>
                      <w:sz w:val="17"/>
                      <w:szCs w:val="17"/>
                    </w:rPr>
                  </w:pPr>
                  <w:r>
                    <w:rPr>
                      <w:rFonts w:ascii="Times New Roman" w:hAnsi="Times New Roman" w:eastAsia="Times New Roman" w:cs="Times New Roman"/>
                      <w:spacing w:val="14"/>
                      <w:sz w:val="17"/>
                      <w:szCs w:val="17"/>
                    </w:rPr>
                    <w:t>-</w:t>
                  </w:r>
                  <w:r>
                    <w:rPr>
                      <w:rFonts w:ascii="宋体" w:hAnsi="宋体" w:eastAsia="宋体" w:cs="宋体"/>
                      <w:spacing w:val="9"/>
                      <w:sz w:val="17"/>
                      <w:szCs w:val="17"/>
                    </w:rPr>
                    <w:t>禁燃区内禁止销售、燃用高污染燃料；禁止新建、改建、扩建燃</w:t>
                  </w:r>
                  <w:r>
                    <w:rPr>
                      <w:rFonts w:ascii="宋体" w:hAnsi="宋体" w:eastAsia="宋体" w:cs="宋体"/>
                      <w:sz w:val="17"/>
                      <w:szCs w:val="17"/>
                    </w:rPr>
                    <w:t xml:space="preserve"> </w:t>
                  </w:r>
                  <w:r>
                    <w:rPr>
                      <w:rFonts w:ascii="宋体" w:hAnsi="宋体" w:eastAsia="宋体" w:cs="宋体"/>
                      <w:spacing w:val="15"/>
                      <w:sz w:val="17"/>
                      <w:szCs w:val="17"/>
                    </w:rPr>
                    <w:t>用</w:t>
                  </w:r>
                  <w:r>
                    <w:rPr>
                      <w:rFonts w:ascii="宋体" w:hAnsi="宋体" w:eastAsia="宋体" w:cs="宋体"/>
                      <w:spacing w:val="8"/>
                      <w:sz w:val="17"/>
                      <w:szCs w:val="17"/>
                    </w:rPr>
                    <w:t>高污染燃料的设施和设备。</w:t>
                  </w:r>
                </w:p>
                <w:p>
                  <w:pPr>
                    <w:spacing w:before="69" w:line="266" w:lineRule="auto"/>
                    <w:ind w:left="9" w:right="1" w:hanging="1"/>
                    <w:rPr>
                      <w:rFonts w:ascii="宋体" w:hAnsi="宋体" w:eastAsia="宋体" w:cs="宋体"/>
                      <w:sz w:val="17"/>
                      <w:szCs w:val="17"/>
                    </w:rPr>
                  </w:pPr>
                  <w:r>
                    <w:rPr>
                      <w:rFonts w:ascii="Times New Roman" w:hAnsi="Times New Roman" w:eastAsia="Times New Roman" w:cs="Times New Roman"/>
                      <w:spacing w:val="30"/>
                      <w:sz w:val="17"/>
                      <w:szCs w:val="17"/>
                    </w:rPr>
                    <w:t>-</w:t>
                  </w:r>
                  <w:r>
                    <w:rPr>
                      <w:rFonts w:ascii="宋体" w:hAnsi="宋体" w:eastAsia="宋体" w:cs="宋体"/>
                      <w:spacing w:val="16"/>
                      <w:sz w:val="17"/>
                      <w:szCs w:val="17"/>
                    </w:rPr>
                    <w:t>禁</w:t>
                  </w:r>
                  <w:r>
                    <w:rPr>
                      <w:rFonts w:ascii="宋体" w:hAnsi="宋体" w:eastAsia="宋体" w:cs="宋体"/>
                      <w:spacing w:val="15"/>
                      <w:sz w:val="17"/>
                      <w:szCs w:val="17"/>
                    </w:rPr>
                    <w:t>燃区内已建成的高污染燃料燃用设施由辖区人民政府制定限</w:t>
                  </w:r>
                  <w:r>
                    <w:rPr>
                      <w:rFonts w:ascii="宋体" w:hAnsi="宋体" w:eastAsia="宋体" w:cs="宋体"/>
                      <w:sz w:val="17"/>
                      <w:szCs w:val="17"/>
                    </w:rPr>
                    <w:t xml:space="preserve"> </w:t>
                  </w:r>
                  <w:r>
                    <w:rPr>
                      <w:rFonts w:ascii="宋体" w:hAnsi="宋体" w:eastAsia="宋体" w:cs="宋体"/>
                      <w:spacing w:val="12"/>
                      <w:sz w:val="17"/>
                      <w:szCs w:val="17"/>
                    </w:rPr>
                    <w:t>期</w:t>
                  </w:r>
                  <w:r>
                    <w:rPr>
                      <w:rFonts w:ascii="宋体" w:hAnsi="宋体" w:eastAsia="宋体" w:cs="宋体"/>
                      <w:spacing w:val="8"/>
                      <w:sz w:val="17"/>
                      <w:szCs w:val="17"/>
                    </w:rPr>
                    <w:t>改造计划，改用天然气、页岩气、液化石油气、 电或其他清洁</w:t>
                  </w:r>
                </w:p>
              </w:tc>
              <w:tc>
                <w:tcPr>
                  <w:tcW w:w="1039"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55" w:line="230" w:lineRule="auto"/>
                    <w:ind w:left="78"/>
                    <w:rPr>
                      <w:rFonts w:ascii="宋体" w:hAnsi="宋体" w:eastAsia="宋体" w:cs="宋体"/>
                      <w:sz w:val="17"/>
                      <w:szCs w:val="17"/>
                    </w:rPr>
                  </w:pPr>
                  <w:r>
                    <w:rPr>
                      <w:rFonts w:ascii="宋体" w:hAnsi="宋体" w:eastAsia="宋体" w:cs="宋体"/>
                      <w:spacing w:val="8"/>
                      <w:sz w:val="17"/>
                      <w:szCs w:val="17"/>
                    </w:rPr>
                    <w:t>项目为城市</w:t>
                  </w:r>
                </w:p>
                <w:p>
                  <w:pPr>
                    <w:spacing w:before="66" w:line="230" w:lineRule="auto"/>
                    <w:ind w:left="10"/>
                    <w:rPr>
                      <w:rFonts w:ascii="宋体" w:hAnsi="宋体" w:eastAsia="宋体" w:cs="宋体"/>
                      <w:sz w:val="17"/>
                      <w:szCs w:val="17"/>
                    </w:rPr>
                  </w:pPr>
                  <w:r>
                    <w:rPr>
                      <w:rFonts w:ascii="宋体" w:hAnsi="宋体" w:eastAsia="宋体" w:cs="宋体"/>
                      <w:spacing w:val="1"/>
                      <w:sz w:val="17"/>
                      <w:szCs w:val="17"/>
                    </w:rPr>
                    <w:t>桥梁</w:t>
                  </w:r>
                  <w:r>
                    <w:rPr>
                      <w:rFonts w:ascii="宋体" w:hAnsi="宋体" w:eastAsia="宋体" w:cs="宋体"/>
                      <w:sz w:val="17"/>
                      <w:szCs w:val="17"/>
                    </w:rPr>
                    <w:t>，本身不</w:t>
                  </w:r>
                </w:p>
                <w:p>
                  <w:pPr>
                    <w:spacing w:before="69" w:line="230" w:lineRule="auto"/>
                    <w:ind w:left="12"/>
                    <w:rPr>
                      <w:rFonts w:ascii="宋体" w:hAnsi="宋体" w:eastAsia="宋体" w:cs="宋体"/>
                      <w:sz w:val="17"/>
                      <w:szCs w:val="17"/>
                    </w:rPr>
                  </w:pPr>
                  <w:r>
                    <w:rPr>
                      <w:rFonts w:ascii="宋体" w:hAnsi="宋体" w:eastAsia="宋体" w:cs="宋体"/>
                      <w:spacing w:val="1"/>
                      <w:sz w:val="17"/>
                      <w:szCs w:val="17"/>
                    </w:rPr>
                    <w:t>涉</w:t>
                  </w:r>
                  <w:r>
                    <w:rPr>
                      <w:rFonts w:ascii="宋体" w:hAnsi="宋体" w:eastAsia="宋体" w:cs="宋体"/>
                      <w:sz w:val="17"/>
                      <w:szCs w:val="17"/>
                    </w:rPr>
                    <w:t>及用水。道</w:t>
                  </w:r>
                </w:p>
                <w:p>
                  <w:pPr>
                    <w:spacing w:before="69" w:line="230" w:lineRule="auto"/>
                    <w:ind w:left="76"/>
                    <w:rPr>
                      <w:rFonts w:ascii="宋体" w:hAnsi="宋体" w:eastAsia="宋体" w:cs="宋体"/>
                      <w:sz w:val="17"/>
                      <w:szCs w:val="17"/>
                    </w:rPr>
                  </w:pPr>
                  <w:r>
                    <w:rPr>
                      <w:rFonts w:ascii="宋体" w:hAnsi="宋体" w:eastAsia="宋体" w:cs="宋体"/>
                      <w:spacing w:val="9"/>
                      <w:sz w:val="17"/>
                      <w:szCs w:val="17"/>
                    </w:rPr>
                    <w:t>路</w:t>
                  </w:r>
                  <w:r>
                    <w:rPr>
                      <w:rFonts w:ascii="宋体" w:hAnsi="宋体" w:eastAsia="宋体" w:cs="宋体"/>
                      <w:spacing w:val="8"/>
                      <w:sz w:val="17"/>
                      <w:szCs w:val="17"/>
                    </w:rPr>
                    <w:t>清洗等用</w:t>
                  </w:r>
                </w:p>
                <w:p>
                  <w:pPr>
                    <w:spacing w:before="66" w:line="230" w:lineRule="auto"/>
                    <w:ind w:left="77"/>
                    <w:rPr>
                      <w:rFonts w:ascii="宋体" w:hAnsi="宋体" w:eastAsia="宋体" w:cs="宋体"/>
                      <w:sz w:val="17"/>
                      <w:szCs w:val="17"/>
                    </w:rPr>
                  </w:pPr>
                  <w:r>
                    <w:rPr>
                      <w:rFonts w:ascii="宋体" w:hAnsi="宋体" w:eastAsia="宋体" w:cs="宋体"/>
                      <w:spacing w:val="8"/>
                      <w:sz w:val="17"/>
                      <w:szCs w:val="17"/>
                    </w:rPr>
                    <w:t>水来源为市</w:t>
                  </w:r>
                </w:p>
                <w:p>
                  <w:pPr>
                    <w:spacing w:before="69" w:line="230" w:lineRule="auto"/>
                    <w:ind w:left="9"/>
                    <w:rPr>
                      <w:rFonts w:ascii="宋体" w:hAnsi="宋体" w:eastAsia="宋体" w:cs="宋体"/>
                      <w:sz w:val="17"/>
                      <w:szCs w:val="17"/>
                    </w:rPr>
                  </w:pPr>
                  <w:r>
                    <w:rPr>
                      <w:rFonts w:ascii="宋体" w:hAnsi="宋体" w:eastAsia="宋体" w:cs="宋体"/>
                      <w:spacing w:val="1"/>
                      <w:sz w:val="17"/>
                      <w:szCs w:val="17"/>
                    </w:rPr>
                    <w:t>政管网</w:t>
                  </w:r>
                  <w:r>
                    <w:rPr>
                      <w:rFonts w:ascii="宋体" w:hAnsi="宋体" w:eastAsia="宋体" w:cs="宋体"/>
                      <w:sz w:val="17"/>
                      <w:szCs w:val="17"/>
                    </w:rPr>
                    <w:t>；不涉</w:t>
                  </w:r>
                </w:p>
                <w:p>
                  <w:pPr>
                    <w:spacing w:before="69" w:line="230" w:lineRule="auto"/>
                    <w:ind w:left="74"/>
                    <w:rPr>
                      <w:rFonts w:ascii="宋体" w:hAnsi="宋体" w:eastAsia="宋体" w:cs="宋体"/>
                      <w:sz w:val="17"/>
                      <w:szCs w:val="17"/>
                    </w:rPr>
                  </w:pPr>
                  <w:r>
                    <w:rPr>
                      <w:rFonts w:ascii="宋体" w:hAnsi="宋体" w:eastAsia="宋体" w:cs="宋体"/>
                      <w:spacing w:val="11"/>
                      <w:sz w:val="17"/>
                      <w:szCs w:val="17"/>
                    </w:rPr>
                    <w:t>及</w:t>
                  </w:r>
                  <w:r>
                    <w:rPr>
                      <w:rFonts w:ascii="宋体" w:hAnsi="宋体" w:eastAsia="宋体" w:cs="宋体"/>
                      <w:spacing w:val="8"/>
                      <w:sz w:val="17"/>
                      <w:szCs w:val="17"/>
                    </w:rPr>
                    <w:t>地下水开</w:t>
                  </w:r>
                </w:p>
                <w:p>
                  <w:pPr>
                    <w:spacing w:before="67" w:line="229" w:lineRule="auto"/>
                    <w:ind w:left="9"/>
                    <w:rPr>
                      <w:rFonts w:ascii="宋体" w:hAnsi="宋体" w:eastAsia="宋体" w:cs="宋体"/>
                      <w:sz w:val="17"/>
                      <w:szCs w:val="17"/>
                    </w:rPr>
                  </w:pPr>
                  <w:r>
                    <w:rPr>
                      <w:rFonts w:ascii="宋体" w:hAnsi="宋体" w:eastAsia="宋体" w:cs="宋体"/>
                      <w:spacing w:val="1"/>
                      <w:sz w:val="17"/>
                      <w:szCs w:val="17"/>
                    </w:rPr>
                    <w:t>采；能</w:t>
                  </w:r>
                  <w:r>
                    <w:rPr>
                      <w:rFonts w:ascii="宋体" w:hAnsi="宋体" w:eastAsia="宋体" w:cs="宋体"/>
                      <w:sz w:val="17"/>
                      <w:szCs w:val="17"/>
                    </w:rPr>
                    <w:t>源主要</w:t>
                  </w:r>
                </w:p>
                <w:p>
                  <w:pPr>
                    <w:spacing w:before="69" w:line="232" w:lineRule="auto"/>
                    <w:ind w:left="12"/>
                    <w:rPr>
                      <w:rFonts w:ascii="宋体" w:hAnsi="宋体" w:eastAsia="宋体" w:cs="宋体"/>
                      <w:sz w:val="17"/>
                      <w:szCs w:val="17"/>
                    </w:rPr>
                  </w:pPr>
                  <w:r>
                    <w:rPr>
                      <w:rFonts w:ascii="宋体" w:hAnsi="宋体" w:eastAsia="宋体" w:cs="宋体"/>
                      <w:sz w:val="17"/>
                      <w:szCs w:val="17"/>
                    </w:rPr>
                    <w:t>为电能，不设</w:t>
                  </w:r>
                </w:p>
                <w:p>
                  <w:pPr>
                    <w:spacing w:before="67" w:line="231" w:lineRule="auto"/>
                    <w:ind w:left="9"/>
                    <w:rPr>
                      <w:rFonts w:ascii="宋体" w:hAnsi="宋体" w:eastAsia="宋体" w:cs="宋体"/>
                      <w:sz w:val="17"/>
                      <w:szCs w:val="17"/>
                    </w:rPr>
                  </w:pPr>
                  <w:r>
                    <w:rPr>
                      <w:rFonts w:ascii="宋体" w:hAnsi="宋体" w:eastAsia="宋体" w:cs="宋体"/>
                      <w:spacing w:val="1"/>
                      <w:sz w:val="17"/>
                      <w:szCs w:val="17"/>
                    </w:rPr>
                    <w:t>置锅炉，</w:t>
                  </w:r>
                  <w:r>
                    <w:rPr>
                      <w:rFonts w:ascii="宋体" w:hAnsi="宋体" w:eastAsia="宋体" w:cs="宋体"/>
                      <w:sz w:val="17"/>
                      <w:szCs w:val="17"/>
                    </w:rPr>
                    <w:t>也不</w:t>
                  </w:r>
                </w:p>
                <w:p>
                  <w:pPr>
                    <w:spacing w:before="66" w:line="317" w:lineRule="auto"/>
                    <w:ind w:left="77" w:hanging="65"/>
                    <w:rPr>
                      <w:rFonts w:ascii="宋体" w:hAnsi="宋体" w:eastAsia="宋体" w:cs="宋体"/>
                      <w:sz w:val="17"/>
                      <w:szCs w:val="17"/>
                    </w:rPr>
                  </w:pPr>
                  <w:r>
                    <w:rPr>
                      <w:rFonts w:ascii="宋体" w:hAnsi="宋体" w:eastAsia="宋体" w:cs="宋体"/>
                      <w:spacing w:val="1"/>
                      <w:sz w:val="17"/>
                      <w:szCs w:val="17"/>
                    </w:rPr>
                    <w:t>涉</w:t>
                  </w:r>
                  <w:r>
                    <w:rPr>
                      <w:rFonts w:ascii="宋体" w:hAnsi="宋体" w:eastAsia="宋体" w:cs="宋体"/>
                      <w:sz w:val="17"/>
                      <w:szCs w:val="17"/>
                    </w:rPr>
                    <w:t xml:space="preserve">及使用煤、 </w:t>
                  </w:r>
                  <w:r>
                    <w:rPr>
                      <w:rFonts w:ascii="宋体" w:hAnsi="宋体" w:eastAsia="宋体" w:cs="宋体"/>
                      <w:spacing w:val="5"/>
                      <w:sz w:val="17"/>
                      <w:szCs w:val="17"/>
                    </w:rPr>
                    <w:t>油</w:t>
                  </w:r>
                  <w:r>
                    <w:rPr>
                      <w:rFonts w:ascii="宋体" w:hAnsi="宋体" w:eastAsia="宋体" w:cs="宋体"/>
                      <w:spacing w:val="3"/>
                      <w:sz w:val="17"/>
                      <w:szCs w:val="17"/>
                    </w:rPr>
                    <w:t>等能源。</w:t>
                  </w:r>
                </w:p>
              </w:tc>
              <w:tc>
                <w:tcPr>
                  <w:tcW w:w="417"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55" w:line="230" w:lineRule="auto"/>
                    <w:ind w:left="33"/>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符</w:t>
                  </w:r>
                  <w:r>
                    <w:rPr>
                      <w:rFonts w:ascii="宋体" w:hAnsi="宋体" w:eastAsia="宋体" w:cs="宋体"/>
                      <w:spacing w:val="5"/>
                      <w:sz w:val="17"/>
                      <w:szCs w:val="17"/>
                      <w14:textOutline w14:w="3268" w14:cap="sq" w14:cmpd="sng">
                        <w14:solidFill>
                          <w14:srgbClr w14:val="000000"/>
                        </w14:solidFill>
                        <w14:prstDash w14:val="solid"/>
                        <w14:bevel/>
                      </w14:textOutline>
                    </w:rPr>
                    <w:t>合</w:t>
                  </w:r>
                </w:p>
              </w:tc>
            </w:tr>
          </w:tbl>
          <w:p>
            <w:pPr>
              <w:spacing w:line="95" w:lineRule="exact"/>
              <w:rPr>
                <w:rFonts w:ascii="Arial"/>
                <w:sz w:val="8"/>
              </w:rPr>
            </w:pPr>
          </w:p>
        </w:tc>
      </w:tr>
    </w:tbl>
    <w:p>
      <w:pPr>
        <w:spacing w:line="161" w:lineRule="exact"/>
        <w:rPr>
          <w:rFonts w:ascii="Arial"/>
          <w:sz w:val="14"/>
        </w:rPr>
      </w:pPr>
    </w:p>
    <w:p>
      <w:pPr>
        <w:sectPr>
          <w:footerReference r:id="rId15" w:type="default"/>
          <w:pgSz w:w="11906" w:h="16839"/>
          <w:pgMar w:top="400" w:right="1434" w:bottom="1475" w:left="1521" w:header="0" w:footer="1315" w:gutter="0"/>
          <w:cols w:space="720" w:num="1"/>
        </w:sectPr>
      </w:pPr>
    </w:p>
    <w:p/>
    <w:p/>
    <w:p/>
    <w:p/>
    <w:p>
      <w:pPr>
        <w:spacing w:line="221" w:lineRule="exact"/>
      </w:pPr>
    </w:p>
    <w:tbl>
      <w:tblPr>
        <w:tblStyle w:val="4"/>
        <w:tblW w:w="893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4"/>
        <w:gridCol w:w="82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604" w:hRule="atLeast"/>
        </w:trPr>
        <w:tc>
          <w:tcPr>
            <w:tcW w:w="714" w:type="dxa"/>
            <w:tcBorders>
              <w:left w:val="single" w:color="00000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5" w:line="228"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其</w:t>
            </w:r>
            <w:r>
              <w:rPr>
                <w:rFonts w:ascii="宋体" w:hAnsi="宋体" w:eastAsia="宋体" w:cs="宋体"/>
                <w:spacing w:val="7"/>
                <w:sz w:val="20"/>
                <w:szCs w:val="20"/>
                <w14:textOutline w14:w="3795" w14:cap="sq" w14:cmpd="sng">
                  <w14:solidFill>
                    <w14:srgbClr w14:val="000000"/>
                  </w14:solidFill>
                  <w14:prstDash w14:val="solid"/>
                  <w14:bevel/>
                </w14:textOutline>
              </w:rPr>
              <w:t>他符</w:t>
            </w:r>
          </w:p>
          <w:p>
            <w:pPr>
              <w:spacing w:before="164" w:line="228"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合</w:t>
            </w:r>
            <w:r>
              <w:rPr>
                <w:rFonts w:ascii="宋体" w:hAnsi="宋体" w:eastAsia="宋体" w:cs="宋体"/>
                <w:spacing w:val="7"/>
                <w:sz w:val="20"/>
                <w:szCs w:val="20"/>
                <w14:textOutline w14:w="3795" w14:cap="sq" w14:cmpd="sng">
                  <w14:solidFill>
                    <w14:srgbClr w14:val="000000"/>
                  </w14:solidFill>
                  <w14:prstDash w14:val="solid"/>
                  <w14:bevel/>
                </w14:textOutline>
              </w:rPr>
              <w:t>性分</w:t>
            </w:r>
          </w:p>
          <w:p>
            <w:pPr>
              <w:spacing w:before="160" w:line="228" w:lineRule="auto"/>
              <w:ind w:left="251"/>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析</w:t>
            </w:r>
          </w:p>
        </w:tc>
        <w:tc>
          <w:tcPr>
            <w:tcW w:w="8221" w:type="dxa"/>
            <w:tcBorders>
              <w:right w:val="single" w:color="000000" w:sz="6" w:space="0"/>
            </w:tcBorders>
            <w:vAlign w:val="top"/>
          </w:tcPr>
          <w:p>
            <w:pPr>
              <w:spacing w:line="31" w:lineRule="exact"/>
            </w:pPr>
          </w:p>
          <w:tbl>
            <w:tblPr>
              <w:tblStyle w:val="4"/>
              <w:tblW w:w="7803" w:type="dxa"/>
              <w:tblInd w:w="2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1"/>
              <w:gridCol w:w="283"/>
              <w:gridCol w:w="405"/>
              <w:gridCol w:w="5098"/>
              <w:gridCol w:w="1039"/>
              <w:gridCol w:w="4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561" w:type="dxa"/>
                  <w:vMerge w:val="restart"/>
                  <w:tcBorders>
                    <w:bottom w:val="nil"/>
                  </w:tcBorders>
                  <w:vAlign w:val="top"/>
                </w:tcPr>
                <w:p>
                  <w:pPr>
                    <w:rPr>
                      <w:rFonts w:ascii="Arial"/>
                      <w:sz w:val="21"/>
                    </w:rPr>
                  </w:pPr>
                </w:p>
              </w:tc>
              <w:tc>
                <w:tcPr>
                  <w:tcW w:w="283" w:type="dxa"/>
                  <w:vAlign w:val="top"/>
                </w:tcPr>
                <w:p>
                  <w:pPr>
                    <w:rPr>
                      <w:rFonts w:ascii="Arial"/>
                      <w:sz w:val="21"/>
                    </w:rPr>
                  </w:pPr>
                </w:p>
              </w:tc>
              <w:tc>
                <w:tcPr>
                  <w:tcW w:w="405" w:type="dxa"/>
                  <w:vAlign w:val="top"/>
                </w:tcPr>
                <w:p>
                  <w:pPr>
                    <w:rPr>
                      <w:rFonts w:ascii="Arial"/>
                      <w:sz w:val="21"/>
                    </w:rPr>
                  </w:pPr>
                </w:p>
              </w:tc>
              <w:tc>
                <w:tcPr>
                  <w:tcW w:w="5098" w:type="dxa"/>
                  <w:vAlign w:val="top"/>
                </w:tcPr>
                <w:p>
                  <w:pPr>
                    <w:spacing w:before="75" w:line="232" w:lineRule="auto"/>
                    <w:ind w:left="15"/>
                    <w:rPr>
                      <w:rFonts w:ascii="宋体" w:hAnsi="宋体" w:eastAsia="宋体" w:cs="宋体"/>
                      <w:sz w:val="17"/>
                      <w:szCs w:val="17"/>
                    </w:rPr>
                  </w:pPr>
                  <w:r>
                    <w:rPr>
                      <w:rFonts w:ascii="宋体" w:hAnsi="宋体" w:eastAsia="宋体" w:cs="宋体"/>
                      <w:spacing w:val="2"/>
                      <w:sz w:val="17"/>
                      <w:szCs w:val="17"/>
                    </w:rPr>
                    <w:t>能源</w:t>
                  </w:r>
                  <w:r>
                    <w:rPr>
                      <w:rFonts w:ascii="宋体" w:hAnsi="宋体" w:eastAsia="宋体" w:cs="宋体"/>
                      <w:spacing w:val="1"/>
                      <w:sz w:val="17"/>
                      <w:szCs w:val="17"/>
                    </w:rPr>
                    <w:t>。</w:t>
                  </w:r>
                </w:p>
                <w:p>
                  <w:pPr>
                    <w:spacing w:before="65" w:line="230" w:lineRule="auto"/>
                    <w:ind w:left="18"/>
                    <w:rPr>
                      <w:rFonts w:ascii="宋体" w:hAnsi="宋体" w:eastAsia="宋体" w:cs="宋体"/>
                      <w:sz w:val="17"/>
                      <w:szCs w:val="17"/>
                    </w:rPr>
                  </w:pPr>
                  <w:r>
                    <w:rPr>
                      <w:rFonts w:ascii="宋体" w:hAnsi="宋体" w:eastAsia="宋体" w:cs="宋体"/>
                      <w:spacing w:val="19"/>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4"/>
                      <w:sz w:val="17"/>
                      <w:szCs w:val="17"/>
                    </w:rPr>
                    <w:t>5</w:t>
                  </w: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宋体" w:hAnsi="宋体" w:eastAsia="宋体" w:cs="宋体"/>
                      <w:spacing w:val="14"/>
                      <w:sz w:val="17"/>
                      <w:szCs w:val="17"/>
                    </w:rPr>
                    <w:t xml:space="preserve"> </w:t>
                  </w:r>
                  <w:r>
                    <w:rPr>
                      <w:rFonts w:ascii="宋体" w:hAnsi="宋体" w:eastAsia="宋体" w:cs="宋体"/>
                      <w:spacing w:val="14"/>
                      <w:sz w:val="17"/>
                      <w:szCs w:val="17"/>
                      <w14:textOutline w14:w="3268" w14:cap="sq" w14:cmpd="sng">
                        <w14:solidFill>
                          <w14:srgbClr w14:val="000000"/>
                        </w14:solidFill>
                        <w14:prstDash w14:val="solid"/>
                        <w14:bevel/>
                      </w14:textOutline>
                    </w:rPr>
                    <w:t>其他资源利用效率要求</w:t>
                  </w:r>
                </w:p>
                <w:p>
                  <w:pPr>
                    <w:spacing w:before="68" w:line="231" w:lineRule="auto"/>
                    <w:ind w:left="14"/>
                    <w:rPr>
                      <w:rFonts w:ascii="宋体" w:hAnsi="宋体" w:eastAsia="宋体" w:cs="宋体"/>
                      <w:sz w:val="17"/>
                      <w:szCs w:val="17"/>
                    </w:rPr>
                  </w:pPr>
                  <w:r>
                    <w:rPr>
                      <w:rFonts w:ascii="宋体" w:hAnsi="宋体" w:eastAsia="宋体" w:cs="宋体"/>
                      <w:spacing w:val="3"/>
                      <w:sz w:val="17"/>
                      <w:szCs w:val="17"/>
                    </w:rPr>
                    <w:t>暂</w:t>
                  </w:r>
                  <w:r>
                    <w:rPr>
                      <w:rFonts w:ascii="宋体" w:hAnsi="宋体" w:eastAsia="宋体" w:cs="宋体"/>
                      <w:spacing w:val="2"/>
                      <w:sz w:val="17"/>
                      <w:szCs w:val="17"/>
                    </w:rPr>
                    <w:t>无。</w:t>
                  </w:r>
                </w:p>
              </w:tc>
              <w:tc>
                <w:tcPr>
                  <w:tcW w:w="1039" w:type="dxa"/>
                  <w:vAlign w:val="top"/>
                </w:tcPr>
                <w:p>
                  <w:pPr>
                    <w:rPr>
                      <w:rFonts w:ascii="Arial"/>
                      <w:sz w:val="21"/>
                    </w:rPr>
                  </w:pPr>
                </w:p>
              </w:tc>
              <w:tc>
                <w:tcPr>
                  <w:tcW w:w="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3" w:hRule="atLeast"/>
              </w:trPr>
              <w:tc>
                <w:tcPr>
                  <w:tcW w:w="561" w:type="dxa"/>
                  <w:vMerge w:val="continue"/>
                  <w:tcBorders>
                    <w:top w:val="nil"/>
                    <w:bottom w:val="nil"/>
                  </w:tcBorders>
                  <w:vAlign w:val="top"/>
                </w:tcPr>
                <w:p>
                  <w:pPr>
                    <w:rPr>
                      <w:rFonts w:ascii="Arial"/>
                      <w:sz w:val="21"/>
                    </w:rPr>
                  </w:pPr>
                </w:p>
              </w:tc>
              <w:tc>
                <w:tcPr>
                  <w:tcW w:w="283" w:type="dxa"/>
                  <w:vMerge w:val="restart"/>
                  <w:tcBorders>
                    <w:bottom w:val="nil"/>
                  </w:tcBorders>
                  <w:textDirection w:val="tbRlV"/>
                  <w:vAlign w:val="top"/>
                </w:tcPr>
                <w:p>
                  <w:pPr>
                    <w:spacing w:before="51" w:line="219" w:lineRule="auto"/>
                    <w:ind w:left="5125"/>
                    <w:rPr>
                      <w:rFonts w:ascii="宋体" w:hAnsi="宋体" w:eastAsia="宋体" w:cs="宋体"/>
                      <w:sz w:val="17"/>
                      <w:szCs w:val="17"/>
                    </w:rPr>
                  </w:pPr>
                  <w:r>
                    <w:rPr>
                      <w:rFonts w:ascii="宋体" w:hAnsi="宋体" w:eastAsia="宋体" w:cs="宋体"/>
                      <w:spacing w:val="17"/>
                      <w:sz w:val="17"/>
                      <w:szCs w:val="17"/>
                      <w14:textOutline w14:w="3268" w14:cap="sq" w14:cmpd="sng">
                        <w14:solidFill>
                          <w14:srgbClr w14:val="000000"/>
                        </w14:solidFill>
                        <w14:prstDash w14:val="solid"/>
                        <w14:bevel/>
                      </w14:textOutline>
                    </w:rPr>
                    <w:t>单</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元</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级</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清</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单</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管</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控</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要</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求</w:t>
                  </w:r>
                </w:p>
              </w:tc>
              <w:tc>
                <w:tcPr>
                  <w:tcW w:w="405"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55" w:line="313" w:lineRule="auto"/>
                    <w:ind w:left="24" w:right="22" w:firstLine="5"/>
                    <w:rPr>
                      <w:rFonts w:ascii="宋体" w:hAnsi="宋体" w:eastAsia="宋体" w:cs="宋体"/>
                      <w:sz w:val="17"/>
                      <w:szCs w:val="17"/>
                    </w:rPr>
                  </w:pPr>
                  <w:r>
                    <w:rPr>
                      <w:rFonts w:ascii="宋体" w:hAnsi="宋体" w:eastAsia="宋体" w:cs="宋体"/>
                      <w:spacing w:val="4"/>
                      <w:sz w:val="17"/>
                      <w:szCs w:val="17"/>
                      <w14:textOutline w14:w="3268" w14:cap="sq" w14:cmpd="sng">
                        <w14:solidFill>
                          <w14:srgbClr w14:val="000000"/>
                        </w14:solidFill>
                        <w14:prstDash w14:val="solid"/>
                        <w14:bevel/>
                      </w14:textOutline>
                    </w:rPr>
                    <w:t>空</w:t>
                  </w:r>
                  <w:r>
                    <w:rPr>
                      <w:rFonts w:ascii="宋体" w:hAnsi="宋体" w:eastAsia="宋体" w:cs="宋体"/>
                      <w:spacing w:val="3"/>
                      <w:sz w:val="17"/>
                      <w:szCs w:val="17"/>
                      <w14:textOutline w14:w="3268" w14:cap="sq" w14:cmpd="sng">
                        <w14:solidFill>
                          <w14:srgbClr w14:val="000000"/>
                        </w14:solidFill>
                        <w14:prstDash w14:val="solid"/>
                        <w14:bevel/>
                      </w14:textOutline>
                    </w:rPr>
                    <w:t>间</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布局</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约束</w:t>
                  </w:r>
                </w:p>
              </w:tc>
              <w:tc>
                <w:tcPr>
                  <w:tcW w:w="5098" w:type="dxa"/>
                  <w:vAlign w:val="top"/>
                </w:tcPr>
                <w:p>
                  <w:pPr>
                    <w:spacing w:before="71" w:line="230" w:lineRule="auto"/>
                    <w:ind w:left="18"/>
                    <w:rPr>
                      <w:rFonts w:ascii="宋体" w:hAnsi="宋体" w:eastAsia="宋体" w:cs="宋体"/>
                      <w:sz w:val="17"/>
                      <w:szCs w:val="17"/>
                    </w:rPr>
                  </w:pP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4"/>
                      <w:sz w:val="17"/>
                      <w:szCs w:val="17"/>
                    </w:rPr>
                    <w:t>1</w:t>
                  </w: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宋体" w:hAnsi="宋体" w:eastAsia="宋体" w:cs="宋体"/>
                      <w:spacing w:val="14"/>
                      <w:sz w:val="17"/>
                      <w:szCs w:val="17"/>
                    </w:rPr>
                    <w:t xml:space="preserve"> </w:t>
                  </w:r>
                  <w:r>
                    <w:rPr>
                      <w:rFonts w:ascii="宋体" w:hAnsi="宋体" w:eastAsia="宋体" w:cs="宋体"/>
                      <w:spacing w:val="14"/>
                      <w:sz w:val="17"/>
                      <w:szCs w:val="17"/>
                      <w14:textOutline w14:w="3268" w14:cap="sq" w14:cmpd="sng">
                        <w14:solidFill>
                          <w14:srgbClr w14:val="000000"/>
                        </w14:solidFill>
                        <w14:prstDash w14:val="solid"/>
                        <w14:bevel/>
                      </w14:textOutline>
                    </w:rPr>
                    <w:t>禁止开发建设活动的要</w:t>
                  </w:r>
                  <w:r>
                    <w:rPr>
                      <w:rFonts w:ascii="宋体" w:hAnsi="宋体" w:eastAsia="宋体" w:cs="宋体"/>
                      <w:spacing w:val="13"/>
                      <w:sz w:val="17"/>
                      <w:szCs w:val="17"/>
                      <w14:textOutline w14:w="3268" w14:cap="sq" w14:cmpd="sng">
                        <w14:solidFill>
                          <w14:srgbClr w14:val="000000"/>
                        </w14:solidFill>
                        <w14:prstDash w14:val="solid"/>
                        <w14:bevel/>
                      </w14:textOutline>
                    </w:rPr>
                    <w:t>求</w:t>
                  </w:r>
                </w:p>
                <w:p>
                  <w:pPr>
                    <w:spacing w:before="69" w:line="229" w:lineRule="auto"/>
                    <w:ind w:left="8"/>
                    <w:rPr>
                      <w:rFonts w:ascii="宋体" w:hAnsi="宋体" w:eastAsia="宋体" w:cs="宋体"/>
                      <w:sz w:val="17"/>
                      <w:szCs w:val="17"/>
                    </w:rPr>
                  </w:pPr>
                  <w:r>
                    <w:rPr>
                      <w:rFonts w:ascii="宋体" w:hAnsi="宋体" w:eastAsia="宋体" w:cs="宋体"/>
                      <w:spacing w:val="9"/>
                      <w:sz w:val="17"/>
                      <w:szCs w:val="17"/>
                    </w:rPr>
                    <w:t>执行达州市城镇重点管控单元总体要求。</w:t>
                  </w:r>
                </w:p>
                <w:p>
                  <w:pPr>
                    <w:spacing w:before="67" w:line="231" w:lineRule="auto"/>
                    <w:ind w:left="18"/>
                    <w:rPr>
                      <w:rFonts w:ascii="宋体" w:hAnsi="宋体" w:eastAsia="宋体" w:cs="宋体"/>
                      <w:sz w:val="17"/>
                      <w:szCs w:val="17"/>
                    </w:rPr>
                  </w:pP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4"/>
                      <w:sz w:val="17"/>
                      <w:szCs w:val="17"/>
                    </w:rPr>
                    <w:t>2</w:t>
                  </w: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宋体" w:hAnsi="宋体" w:eastAsia="宋体" w:cs="宋体"/>
                      <w:spacing w:val="14"/>
                      <w:sz w:val="17"/>
                      <w:szCs w:val="17"/>
                    </w:rPr>
                    <w:t xml:space="preserve"> </w:t>
                  </w:r>
                  <w:r>
                    <w:rPr>
                      <w:rFonts w:ascii="宋体" w:hAnsi="宋体" w:eastAsia="宋体" w:cs="宋体"/>
                      <w:spacing w:val="14"/>
                      <w:sz w:val="17"/>
                      <w:szCs w:val="17"/>
                      <w14:textOutline w14:w="3268" w14:cap="sq" w14:cmpd="sng">
                        <w14:solidFill>
                          <w14:srgbClr w14:val="000000"/>
                        </w14:solidFill>
                        <w14:prstDash w14:val="solid"/>
                        <w14:bevel/>
                      </w14:textOutline>
                    </w:rPr>
                    <w:t>限制开发建设活动的要</w:t>
                  </w:r>
                  <w:r>
                    <w:rPr>
                      <w:rFonts w:ascii="宋体" w:hAnsi="宋体" w:eastAsia="宋体" w:cs="宋体"/>
                      <w:spacing w:val="13"/>
                      <w:sz w:val="17"/>
                      <w:szCs w:val="17"/>
                      <w14:textOutline w14:w="3268" w14:cap="sq" w14:cmpd="sng">
                        <w14:solidFill>
                          <w14:srgbClr w14:val="000000"/>
                        </w14:solidFill>
                        <w14:prstDash w14:val="solid"/>
                        <w14:bevel/>
                      </w14:textOutline>
                    </w:rPr>
                    <w:t>求</w:t>
                  </w:r>
                </w:p>
                <w:p>
                  <w:pPr>
                    <w:spacing w:before="67" w:line="304" w:lineRule="auto"/>
                    <w:ind w:left="25" w:right="73" w:hanging="17"/>
                    <w:rPr>
                      <w:rFonts w:ascii="宋体" w:hAnsi="宋体" w:eastAsia="宋体" w:cs="宋体"/>
                      <w:sz w:val="17"/>
                      <w:szCs w:val="17"/>
                    </w:rPr>
                  </w:pPr>
                  <w:r>
                    <w:rPr>
                      <w:rFonts w:ascii="宋体" w:hAnsi="宋体" w:eastAsia="宋体" w:cs="宋体"/>
                      <w:spacing w:val="18"/>
                      <w:sz w:val="17"/>
                      <w:szCs w:val="17"/>
                    </w:rPr>
                    <w:t>城</w:t>
                  </w:r>
                  <w:r>
                    <w:rPr>
                      <w:rFonts w:ascii="宋体" w:hAnsi="宋体" w:eastAsia="宋体" w:cs="宋体"/>
                      <w:spacing w:val="9"/>
                      <w:sz w:val="17"/>
                      <w:szCs w:val="17"/>
                    </w:rPr>
                    <w:t>市发展遵循</w:t>
                  </w:r>
                  <w:r>
                    <w:rPr>
                      <w:rFonts w:ascii="Times New Roman" w:hAnsi="Times New Roman" w:eastAsia="Times New Roman" w:cs="Times New Roman"/>
                      <w:spacing w:val="9"/>
                      <w:sz w:val="17"/>
                      <w:szCs w:val="17"/>
                    </w:rPr>
                    <w:t>“</w:t>
                  </w:r>
                  <w:r>
                    <w:rPr>
                      <w:rFonts w:ascii="宋体" w:hAnsi="宋体" w:eastAsia="宋体" w:cs="宋体"/>
                      <w:spacing w:val="9"/>
                      <w:sz w:val="17"/>
                      <w:szCs w:val="17"/>
                    </w:rPr>
                    <w:t>北控、西扩、南拓、东进、中优</w:t>
                  </w:r>
                  <w:r>
                    <w:rPr>
                      <w:rFonts w:ascii="Times New Roman" w:hAnsi="Times New Roman" w:eastAsia="Times New Roman" w:cs="Times New Roman"/>
                      <w:spacing w:val="9"/>
                      <w:sz w:val="17"/>
                      <w:szCs w:val="17"/>
                    </w:rPr>
                    <w:t>”</w:t>
                  </w:r>
                  <w:r>
                    <w:rPr>
                      <w:rFonts w:ascii="宋体" w:hAnsi="宋体" w:eastAsia="宋体" w:cs="宋体"/>
                      <w:spacing w:val="9"/>
                      <w:sz w:val="17"/>
                      <w:szCs w:val="17"/>
                    </w:rPr>
                    <w:t>的布局战略其他</w:t>
                  </w:r>
                  <w:r>
                    <w:rPr>
                      <w:rFonts w:ascii="宋体" w:hAnsi="宋体" w:eastAsia="宋体" w:cs="宋体"/>
                      <w:sz w:val="17"/>
                      <w:szCs w:val="17"/>
                    </w:rPr>
                    <w:t xml:space="preserve"> </w:t>
                  </w:r>
                  <w:r>
                    <w:rPr>
                      <w:rFonts w:ascii="宋体" w:hAnsi="宋体" w:eastAsia="宋体" w:cs="宋体"/>
                      <w:spacing w:val="11"/>
                      <w:sz w:val="17"/>
                      <w:szCs w:val="17"/>
                    </w:rPr>
                    <w:t>同</w:t>
                  </w:r>
                  <w:r>
                    <w:rPr>
                      <w:rFonts w:ascii="宋体" w:hAnsi="宋体" w:eastAsia="宋体" w:cs="宋体"/>
                      <w:spacing w:val="8"/>
                      <w:sz w:val="17"/>
                      <w:szCs w:val="17"/>
                    </w:rPr>
                    <w:t>达州市城镇重点总体管控要求</w:t>
                  </w:r>
                </w:p>
                <w:p>
                  <w:pPr>
                    <w:spacing w:line="230" w:lineRule="auto"/>
                    <w:ind w:left="18"/>
                    <w:rPr>
                      <w:rFonts w:ascii="宋体" w:hAnsi="宋体" w:eastAsia="宋体" w:cs="宋体"/>
                      <w:sz w:val="17"/>
                      <w:szCs w:val="17"/>
                    </w:rPr>
                  </w:pP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4"/>
                      <w:sz w:val="17"/>
                      <w:szCs w:val="17"/>
                    </w:rPr>
                    <w:t>3</w:t>
                  </w: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宋体" w:hAnsi="宋体" w:eastAsia="宋体" w:cs="宋体"/>
                      <w:spacing w:val="14"/>
                      <w:sz w:val="17"/>
                      <w:szCs w:val="17"/>
                    </w:rPr>
                    <w:t xml:space="preserve"> </w:t>
                  </w:r>
                  <w:r>
                    <w:rPr>
                      <w:rFonts w:ascii="宋体" w:hAnsi="宋体" w:eastAsia="宋体" w:cs="宋体"/>
                      <w:spacing w:val="14"/>
                      <w:sz w:val="17"/>
                      <w:szCs w:val="17"/>
                      <w14:textOutline w14:w="3268" w14:cap="sq" w14:cmpd="sng">
                        <w14:solidFill>
                          <w14:srgbClr w14:val="000000"/>
                        </w14:solidFill>
                        <w14:prstDash w14:val="solid"/>
                        <w14:bevel/>
                      </w14:textOutline>
                    </w:rPr>
                    <w:t>允许开发建设活动的要</w:t>
                  </w:r>
                  <w:r>
                    <w:rPr>
                      <w:rFonts w:ascii="宋体" w:hAnsi="宋体" w:eastAsia="宋体" w:cs="宋体"/>
                      <w:spacing w:val="13"/>
                      <w:sz w:val="17"/>
                      <w:szCs w:val="17"/>
                      <w14:textOutline w14:w="3268" w14:cap="sq" w14:cmpd="sng">
                        <w14:solidFill>
                          <w14:srgbClr w14:val="000000"/>
                        </w14:solidFill>
                        <w14:prstDash w14:val="solid"/>
                        <w14:bevel/>
                      </w14:textOutline>
                    </w:rPr>
                    <w:t>求</w:t>
                  </w:r>
                </w:p>
                <w:p>
                  <w:pPr>
                    <w:spacing w:before="69" w:line="229" w:lineRule="auto"/>
                    <w:ind w:left="11"/>
                    <w:rPr>
                      <w:rFonts w:ascii="宋体" w:hAnsi="宋体" w:eastAsia="宋体" w:cs="宋体"/>
                      <w:sz w:val="17"/>
                      <w:szCs w:val="17"/>
                    </w:rPr>
                  </w:pPr>
                  <w:r>
                    <w:rPr>
                      <w:rFonts w:ascii="宋体" w:hAnsi="宋体" w:eastAsia="宋体" w:cs="宋体"/>
                      <w:spacing w:val="15"/>
                      <w:sz w:val="17"/>
                      <w:szCs w:val="17"/>
                    </w:rPr>
                    <w:t>不</w:t>
                  </w:r>
                  <w:r>
                    <w:rPr>
                      <w:rFonts w:ascii="宋体" w:hAnsi="宋体" w:eastAsia="宋体" w:cs="宋体"/>
                      <w:spacing w:val="9"/>
                      <w:sz w:val="17"/>
                      <w:szCs w:val="17"/>
                    </w:rPr>
                    <w:t>符合空间布局要求活动的退出要求</w:t>
                  </w:r>
                </w:p>
                <w:p>
                  <w:pPr>
                    <w:spacing w:before="69" w:line="304" w:lineRule="auto"/>
                    <w:ind w:left="8"/>
                    <w:rPr>
                      <w:rFonts w:ascii="宋体" w:hAnsi="宋体" w:eastAsia="宋体" w:cs="宋体"/>
                      <w:sz w:val="17"/>
                      <w:szCs w:val="17"/>
                    </w:rPr>
                  </w:pPr>
                  <w:r>
                    <w:rPr>
                      <w:rFonts w:ascii="宋体" w:hAnsi="宋体" w:eastAsia="宋体" w:cs="宋体"/>
                      <w:spacing w:val="14"/>
                      <w:sz w:val="17"/>
                      <w:szCs w:val="17"/>
                    </w:rPr>
                    <w:t>位</w:t>
                  </w:r>
                  <w:r>
                    <w:rPr>
                      <w:rFonts w:ascii="宋体" w:hAnsi="宋体" w:eastAsia="宋体" w:cs="宋体"/>
                      <w:spacing w:val="8"/>
                      <w:sz w:val="17"/>
                      <w:szCs w:val="17"/>
                    </w:rPr>
                    <w:t>于城镇空间内的工业园区外工业企业：具有合法手续的企业，</w:t>
                  </w:r>
                  <w:r>
                    <w:rPr>
                      <w:rFonts w:ascii="宋体" w:hAnsi="宋体" w:eastAsia="宋体" w:cs="宋体"/>
                      <w:sz w:val="17"/>
                      <w:szCs w:val="17"/>
                    </w:rPr>
                    <w:t xml:space="preserve">  </w:t>
                  </w:r>
                  <w:r>
                    <w:rPr>
                      <w:rFonts w:ascii="宋体" w:hAnsi="宋体" w:eastAsia="宋体" w:cs="宋体"/>
                      <w:spacing w:val="14"/>
                      <w:sz w:val="17"/>
                      <w:szCs w:val="17"/>
                    </w:rPr>
                    <w:t>且污染</w:t>
                  </w:r>
                  <w:r>
                    <w:rPr>
                      <w:rFonts w:ascii="宋体" w:hAnsi="宋体" w:eastAsia="宋体" w:cs="宋体"/>
                      <w:spacing w:val="7"/>
                      <w:sz w:val="17"/>
                      <w:szCs w:val="17"/>
                    </w:rPr>
                    <w:t>物排放及环境风险满足管理要求的企业，可继续保留，不</w:t>
                  </w:r>
                  <w:r>
                    <w:rPr>
                      <w:rFonts w:ascii="宋体" w:hAnsi="宋体" w:eastAsia="宋体" w:cs="宋体"/>
                      <w:sz w:val="17"/>
                      <w:szCs w:val="17"/>
                    </w:rPr>
                    <w:t xml:space="preserve"> </w:t>
                  </w:r>
                  <w:r>
                    <w:rPr>
                      <w:rFonts w:ascii="宋体" w:hAnsi="宋体" w:eastAsia="宋体" w:cs="宋体"/>
                      <w:spacing w:val="10"/>
                      <w:sz w:val="17"/>
                      <w:szCs w:val="17"/>
                    </w:rPr>
                    <w:t>得</w:t>
                  </w:r>
                  <w:r>
                    <w:rPr>
                      <w:rFonts w:ascii="宋体" w:hAnsi="宋体" w:eastAsia="宋体" w:cs="宋体"/>
                      <w:spacing w:val="9"/>
                      <w:sz w:val="17"/>
                      <w:szCs w:val="17"/>
                    </w:rPr>
                    <w:t>新</w:t>
                  </w:r>
                  <w:r>
                    <w:rPr>
                      <w:rFonts w:ascii="宋体" w:hAnsi="宋体" w:eastAsia="宋体" w:cs="宋体"/>
                      <w:spacing w:val="5"/>
                      <w:sz w:val="17"/>
                      <w:szCs w:val="17"/>
                    </w:rPr>
                    <w:t>增污染物排放，并进一步加强日常环保监管；如无合法手续，</w:t>
                  </w:r>
                  <w:r>
                    <w:rPr>
                      <w:rFonts w:ascii="宋体" w:hAnsi="宋体" w:eastAsia="宋体" w:cs="宋体"/>
                      <w:sz w:val="17"/>
                      <w:szCs w:val="17"/>
                    </w:rPr>
                    <w:t xml:space="preserve"> </w:t>
                  </w:r>
                  <w:r>
                    <w:rPr>
                      <w:rFonts w:ascii="宋体" w:hAnsi="宋体" w:eastAsia="宋体" w:cs="宋体"/>
                      <w:spacing w:val="10"/>
                      <w:sz w:val="17"/>
                      <w:szCs w:val="17"/>
                    </w:rPr>
                    <w:t>或</w:t>
                  </w:r>
                  <w:r>
                    <w:rPr>
                      <w:rFonts w:ascii="宋体" w:hAnsi="宋体" w:eastAsia="宋体" w:cs="宋体"/>
                      <w:spacing w:val="9"/>
                      <w:sz w:val="17"/>
                      <w:szCs w:val="17"/>
                    </w:rPr>
                    <w:t>污</w:t>
                  </w:r>
                  <w:r>
                    <w:rPr>
                      <w:rFonts w:ascii="宋体" w:hAnsi="宋体" w:eastAsia="宋体" w:cs="宋体"/>
                      <w:spacing w:val="5"/>
                      <w:sz w:val="17"/>
                      <w:szCs w:val="17"/>
                    </w:rPr>
                    <w:t>染物排放超标、环境风险不可控的企业，限期进行整改提升，</w:t>
                  </w:r>
                  <w:r>
                    <w:rPr>
                      <w:rFonts w:ascii="宋体" w:hAnsi="宋体" w:eastAsia="宋体" w:cs="宋体"/>
                      <w:sz w:val="17"/>
                      <w:szCs w:val="17"/>
                    </w:rPr>
                    <w:t xml:space="preserve"> </w:t>
                  </w:r>
                  <w:r>
                    <w:rPr>
                      <w:rFonts w:ascii="宋体" w:hAnsi="宋体" w:eastAsia="宋体" w:cs="宋体"/>
                      <w:spacing w:val="14"/>
                      <w:sz w:val="17"/>
                      <w:szCs w:val="17"/>
                    </w:rPr>
                    <w:t>通过环</w:t>
                  </w:r>
                  <w:r>
                    <w:rPr>
                      <w:rFonts w:ascii="宋体" w:hAnsi="宋体" w:eastAsia="宋体" w:cs="宋体"/>
                      <w:spacing w:val="7"/>
                      <w:sz w:val="17"/>
                      <w:szCs w:val="17"/>
                    </w:rPr>
                    <w:t>保、安全、工艺装备升级等落实整改措施并达到相关标准</w:t>
                  </w:r>
                  <w:r>
                    <w:rPr>
                      <w:rFonts w:ascii="宋体" w:hAnsi="宋体" w:eastAsia="宋体" w:cs="宋体"/>
                      <w:sz w:val="17"/>
                      <w:szCs w:val="17"/>
                    </w:rPr>
                    <w:t xml:space="preserve"> </w:t>
                  </w:r>
                  <w:r>
                    <w:rPr>
                      <w:rFonts w:ascii="宋体" w:hAnsi="宋体" w:eastAsia="宋体" w:cs="宋体"/>
                      <w:spacing w:val="14"/>
                      <w:sz w:val="17"/>
                      <w:szCs w:val="17"/>
                    </w:rPr>
                    <w:t>实现合</w:t>
                  </w:r>
                  <w:r>
                    <w:rPr>
                      <w:rFonts w:ascii="宋体" w:hAnsi="宋体" w:eastAsia="宋体" w:cs="宋体"/>
                      <w:spacing w:val="7"/>
                      <w:sz w:val="17"/>
                      <w:szCs w:val="17"/>
                    </w:rPr>
                    <w:t>法生产，整改后仍不能达到要求的，属地政府应按相关要</w:t>
                  </w:r>
                  <w:r>
                    <w:rPr>
                      <w:rFonts w:ascii="宋体" w:hAnsi="宋体" w:eastAsia="宋体" w:cs="宋体"/>
                      <w:sz w:val="17"/>
                      <w:szCs w:val="17"/>
                    </w:rPr>
                    <w:t xml:space="preserve"> </w:t>
                  </w:r>
                  <w:r>
                    <w:rPr>
                      <w:rFonts w:ascii="宋体" w:hAnsi="宋体" w:eastAsia="宋体" w:cs="宋体"/>
                      <w:spacing w:val="14"/>
                      <w:sz w:val="17"/>
                      <w:szCs w:val="17"/>
                    </w:rPr>
                    <w:t>求责令</w:t>
                  </w:r>
                  <w:r>
                    <w:rPr>
                      <w:rFonts w:ascii="宋体" w:hAnsi="宋体" w:eastAsia="宋体" w:cs="宋体"/>
                      <w:spacing w:val="7"/>
                      <w:sz w:val="17"/>
                      <w:szCs w:val="17"/>
                    </w:rPr>
                    <w:t>关停并退出尽快创造条件搬迁达钢至经开区第二园区，限</w:t>
                  </w:r>
                  <w:r>
                    <w:rPr>
                      <w:rFonts w:ascii="宋体" w:hAnsi="宋体" w:eastAsia="宋体" w:cs="宋体"/>
                      <w:sz w:val="17"/>
                      <w:szCs w:val="17"/>
                    </w:rPr>
                    <w:t xml:space="preserve"> </w:t>
                  </w:r>
                  <w:r>
                    <w:rPr>
                      <w:rFonts w:ascii="宋体" w:hAnsi="宋体" w:eastAsia="宋体" w:cs="宋体"/>
                      <w:spacing w:val="10"/>
                      <w:sz w:val="17"/>
                      <w:szCs w:val="17"/>
                    </w:rPr>
                    <w:t>制</w:t>
                  </w:r>
                  <w:r>
                    <w:rPr>
                      <w:rFonts w:ascii="宋体" w:hAnsi="宋体" w:eastAsia="宋体" w:cs="宋体"/>
                      <w:spacing w:val="9"/>
                      <w:sz w:val="17"/>
                      <w:szCs w:val="17"/>
                    </w:rPr>
                    <w:t>达</w:t>
                  </w:r>
                  <w:r>
                    <w:rPr>
                      <w:rFonts w:ascii="宋体" w:hAnsi="宋体" w:eastAsia="宋体" w:cs="宋体"/>
                      <w:spacing w:val="5"/>
                      <w:sz w:val="17"/>
                      <w:szCs w:val="17"/>
                    </w:rPr>
                    <w:t>钢工业用地原地扩展。其他同达州市城镇重点总体管控要求。</w:t>
                  </w:r>
                </w:p>
                <w:p>
                  <w:pPr>
                    <w:spacing w:line="229" w:lineRule="auto"/>
                    <w:ind w:left="18"/>
                    <w:rPr>
                      <w:rFonts w:ascii="宋体" w:hAnsi="宋体" w:eastAsia="宋体" w:cs="宋体"/>
                      <w:sz w:val="17"/>
                      <w:szCs w:val="17"/>
                    </w:rPr>
                  </w:pPr>
                  <w:r>
                    <w:rPr>
                      <w:rFonts w:ascii="宋体" w:hAnsi="宋体" w:eastAsia="宋体" w:cs="宋体"/>
                      <w:spacing w:val="17"/>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4"/>
                      <w:sz w:val="17"/>
                      <w:szCs w:val="17"/>
                    </w:rPr>
                    <w:t>4</w:t>
                  </w: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宋体" w:hAnsi="宋体" w:eastAsia="宋体" w:cs="宋体"/>
                      <w:spacing w:val="14"/>
                      <w:sz w:val="17"/>
                      <w:szCs w:val="17"/>
                    </w:rPr>
                    <w:t xml:space="preserve"> </w:t>
                  </w:r>
                  <w:r>
                    <w:rPr>
                      <w:rFonts w:ascii="宋体" w:hAnsi="宋体" w:eastAsia="宋体" w:cs="宋体"/>
                      <w:spacing w:val="14"/>
                      <w:sz w:val="17"/>
                      <w:szCs w:val="17"/>
                      <w14:textOutline w14:w="3268" w14:cap="sq" w14:cmpd="sng">
                        <w14:solidFill>
                          <w14:srgbClr w14:val="000000"/>
                        </w14:solidFill>
                        <w14:prstDash w14:val="solid"/>
                        <w14:bevel/>
                      </w14:textOutline>
                    </w:rPr>
                    <w:t>其他空间布局约束要求</w:t>
                  </w:r>
                </w:p>
              </w:tc>
              <w:tc>
                <w:tcPr>
                  <w:tcW w:w="1039" w:type="dxa"/>
                  <w:vAlign w:val="top"/>
                </w:tcPr>
                <w:p>
                  <w:pPr>
                    <w:spacing w:before="210" w:line="304" w:lineRule="auto"/>
                    <w:ind w:left="10" w:firstLine="67"/>
                    <w:rPr>
                      <w:rFonts w:ascii="宋体" w:hAnsi="宋体" w:eastAsia="宋体" w:cs="宋体"/>
                      <w:sz w:val="17"/>
                      <w:szCs w:val="17"/>
                    </w:rPr>
                  </w:pPr>
                  <w:r>
                    <w:rPr>
                      <w:rFonts w:ascii="宋体" w:hAnsi="宋体" w:eastAsia="宋体" w:cs="宋体"/>
                      <w:spacing w:val="8"/>
                      <w:sz w:val="17"/>
                      <w:szCs w:val="17"/>
                    </w:rPr>
                    <w:t>项</w:t>
                  </w:r>
                  <w:r>
                    <w:rPr>
                      <w:rFonts w:ascii="宋体" w:hAnsi="宋体" w:eastAsia="宋体" w:cs="宋体"/>
                      <w:spacing w:val="7"/>
                      <w:sz w:val="17"/>
                      <w:szCs w:val="17"/>
                    </w:rPr>
                    <w:t>目不属于</w:t>
                  </w:r>
                  <w:r>
                    <w:rPr>
                      <w:rFonts w:ascii="宋体" w:hAnsi="宋体" w:eastAsia="宋体" w:cs="宋体"/>
                      <w:sz w:val="17"/>
                      <w:szCs w:val="17"/>
                    </w:rPr>
                    <w:t xml:space="preserve"> </w:t>
                  </w:r>
                  <w:r>
                    <w:rPr>
                      <w:rFonts w:ascii="宋体" w:hAnsi="宋体" w:eastAsia="宋体" w:cs="宋体"/>
                      <w:spacing w:val="-1"/>
                      <w:sz w:val="17"/>
                      <w:szCs w:val="17"/>
                    </w:rPr>
                    <w:t>禁止</w:t>
                  </w:r>
                  <w:r>
                    <w:rPr>
                      <w:rFonts w:ascii="宋体" w:hAnsi="宋体" w:eastAsia="宋体" w:cs="宋体"/>
                      <w:sz w:val="17"/>
                      <w:szCs w:val="17"/>
                    </w:rPr>
                    <w:t xml:space="preserve">、限制开 </w:t>
                  </w:r>
                  <w:r>
                    <w:rPr>
                      <w:rFonts w:ascii="宋体" w:hAnsi="宋体" w:eastAsia="宋体" w:cs="宋体"/>
                      <w:spacing w:val="1"/>
                      <w:sz w:val="17"/>
                      <w:szCs w:val="17"/>
                    </w:rPr>
                    <w:t>发建设</w:t>
                  </w:r>
                  <w:r>
                    <w:rPr>
                      <w:rFonts w:ascii="宋体" w:hAnsi="宋体" w:eastAsia="宋体" w:cs="宋体"/>
                      <w:sz w:val="17"/>
                      <w:szCs w:val="17"/>
                    </w:rPr>
                    <w:t>项目，</w:t>
                  </w:r>
                </w:p>
                <w:p>
                  <w:pPr>
                    <w:spacing w:line="230" w:lineRule="auto"/>
                    <w:ind w:left="76"/>
                    <w:rPr>
                      <w:rFonts w:ascii="宋体" w:hAnsi="宋体" w:eastAsia="宋体" w:cs="宋体"/>
                      <w:sz w:val="17"/>
                      <w:szCs w:val="17"/>
                    </w:rPr>
                  </w:pPr>
                  <w:r>
                    <w:rPr>
                      <w:rFonts w:ascii="宋体" w:hAnsi="宋体" w:eastAsia="宋体" w:cs="宋体"/>
                      <w:spacing w:val="9"/>
                      <w:sz w:val="17"/>
                      <w:szCs w:val="17"/>
                    </w:rPr>
                    <w:t>属</w:t>
                  </w:r>
                  <w:r>
                    <w:rPr>
                      <w:rFonts w:ascii="宋体" w:hAnsi="宋体" w:eastAsia="宋体" w:cs="宋体"/>
                      <w:spacing w:val="8"/>
                      <w:sz w:val="17"/>
                      <w:szCs w:val="17"/>
                    </w:rPr>
                    <w:t>于允许建</w:t>
                  </w:r>
                </w:p>
                <w:p>
                  <w:pPr>
                    <w:spacing w:before="68" w:line="231" w:lineRule="auto"/>
                    <w:ind w:left="13"/>
                    <w:rPr>
                      <w:rFonts w:ascii="宋体" w:hAnsi="宋体" w:eastAsia="宋体" w:cs="宋体"/>
                      <w:sz w:val="17"/>
                      <w:szCs w:val="17"/>
                    </w:rPr>
                  </w:pPr>
                  <w:r>
                    <w:rPr>
                      <w:rFonts w:ascii="宋体" w:hAnsi="宋体" w:eastAsia="宋体" w:cs="宋体"/>
                      <w:spacing w:val="-1"/>
                      <w:sz w:val="17"/>
                      <w:szCs w:val="17"/>
                    </w:rPr>
                    <w:t>设</w:t>
                  </w:r>
                  <w:r>
                    <w:rPr>
                      <w:rFonts w:ascii="宋体" w:hAnsi="宋体" w:eastAsia="宋体" w:cs="宋体"/>
                      <w:sz w:val="17"/>
                      <w:szCs w:val="17"/>
                    </w:rPr>
                    <w:t>项目；同时</w:t>
                  </w:r>
                </w:p>
                <w:p>
                  <w:pPr>
                    <w:spacing w:before="68" w:line="230" w:lineRule="auto"/>
                    <w:ind w:left="75"/>
                    <w:rPr>
                      <w:rFonts w:ascii="宋体" w:hAnsi="宋体" w:eastAsia="宋体" w:cs="宋体"/>
                      <w:sz w:val="17"/>
                      <w:szCs w:val="17"/>
                    </w:rPr>
                  </w:pPr>
                  <w:r>
                    <w:rPr>
                      <w:rFonts w:ascii="宋体" w:hAnsi="宋体" w:eastAsia="宋体" w:cs="宋体"/>
                      <w:spacing w:val="10"/>
                      <w:sz w:val="17"/>
                      <w:szCs w:val="17"/>
                    </w:rPr>
                    <w:t>位</w:t>
                  </w:r>
                  <w:r>
                    <w:rPr>
                      <w:rFonts w:ascii="宋体" w:hAnsi="宋体" w:eastAsia="宋体" w:cs="宋体"/>
                      <w:spacing w:val="8"/>
                      <w:sz w:val="17"/>
                      <w:szCs w:val="17"/>
                    </w:rPr>
                    <w:t>于通川区</w:t>
                  </w:r>
                </w:p>
                <w:p>
                  <w:pPr>
                    <w:spacing w:before="66" w:line="230" w:lineRule="auto"/>
                    <w:ind w:left="75"/>
                    <w:rPr>
                      <w:rFonts w:ascii="宋体" w:hAnsi="宋体" w:eastAsia="宋体" w:cs="宋体"/>
                      <w:sz w:val="17"/>
                      <w:szCs w:val="17"/>
                    </w:rPr>
                  </w:pPr>
                  <w:r>
                    <w:rPr>
                      <w:rFonts w:ascii="宋体" w:hAnsi="宋体" w:eastAsia="宋体" w:cs="宋体"/>
                      <w:spacing w:val="10"/>
                      <w:sz w:val="17"/>
                      <w:szCs w:val="17"/>
                    </w:rPr>
                    <w:t>城</w:t>
                  </w:r>
                  <w:r>
                    <w:rPr>
                      <w:rFonts w:ascii="宋体" w:hAnsi="宋体" w:eastAsia="宋体" w:cs="宋体"/>
                      <w:spacing w:val="8"/>
                      <w:sz w:val="17"/>
                      <w:szCs w:val="17"/>
                    </w:rPr>
                    <w:t>市开发建</w:t>
                  </w:r>
                </w:p>
                <w:p>
                  <w:pPr>
                    <w:spacing w:before="69" w:line="232" w:lineRule="auto"/>
                    <w:ind w:left="78"/>
                    <w:rPr>
                      <w:rFonts w:ascii="宋体" w:hAnsi="宋体" w:eastAsia="宋体" w:cs="宋体"/>
                      <w:sz w:val="17"/>
                      <w:szCs w:val="17"/>
                    </w:rPr>
                  </w:pPr>
                  <w:r>
                    <w:rPr>
                      <w:rFonts w:ascii="宋体" w:hAnsi="宋体" w:eastAsia="宋体" w:cs="宋体"/>
                      <w:spacing w:val="8"/>
                      <w:sz w:val="17"/>
                      <w:szCs w:val="17"/>
                    </w:rPr>
                    <w:t>设区，符合</w:t>
                  </w:r>
                </w:p>
                <w:p>
                  <w:pPr>
                    <w:spacing w:before="68" w:line="229" w:lineRule="auto"/>
                    <w:ind w:left="81"/>
                    <w:rPr>
                      <w:rFonts w:ascii="宋体" w:hAnsi="宋体" w:eastAsia="宋体" w:cs="宋体"/>
                      <w:sz w:val="17"/>
                      <w:szCs w:val="17"/>
                    </w:rPr>
                  </w:pPr>
                  <w:r>
                    <w:rPr>
                      <w:rFonts w:ascii="宋体" w:hAnsi="宋体" w:eastAsia="宋体" w:cs="宋体"/>
                      <w:spacing w:val="9"/>
                      <w:sz w:val="17"/>
                      <w:szCs w:val="17"/>
                    </w:rPr>
                    <w:t>《</w:t>
                  </w:r>
                  <w:r>
                    <w:rPr>
                      <w:rFonts w:ascii="宋体" w:hAnsi="宋体" w:eastAsia="宋体" w:cs="宋体"/>
                      <w:spacing w:val="7"/>
                      <w:sz w:val="17"/>
                      <w:szCs w:val="17"/>
                    </w:rPr>
                    <w:t>达州市高</w:t>
                  </w:r>
                </w:p>
                <w:p>
                  <w:pPr>
                    <w:spacing w:before="67" w:line="230" w:lineRule="auto"/>
                    <w:ind w:left="76"/>
                    <w:rPr>
                      <w:rFonts w:ascii="宋体" w:hAnsi="宋体" w:eastAsia="宋体" w:cs="宋体"/>
                      <w:sz w:val="17"/>
                      <w:szCs w:val="17"/>
                    </w:rPr>
                  </w:pPr>
                  <w:r>
                    <w:rPr>
                      <w:rFonts w:ascii="宋体" w:hAnsi="宋体" w:eastAsia="宋体" w:cs="宋体"/>
                      <w:spacing w:val="9"/>
                      <w:sz w:val="17"/>
                      <w:szCs w:val="17"/>
                    </w:rPr>
                    <w:t>家</w:t>
                  </w:r>
                  <w:r>
                    <w:rPr>
                      <w:rFonts w:ascii="宋体" w:hAnsi="宋体" w:eastAsia="宋体" w:cs="宋体"/>
                      <w:spacing w:val="8"/>
                      <w:sz w:val="17"/>
                      <w:szCs w:val="17"/>
                    </w:rPr>
                    <w:t>坝城市组</w:t>
                  </w:r>
                </w:p>
                <w:p>
                  <w:pPr>
                    <w:spacing w:before="69" w:line="231" w:lineRule="auto"/>
                    <w:ind w:left="91"/>
                    <w:rPr>
                      <w:rFonts w:ascii="宋体" w:hAnsi="宋体" w:eastAsia="宋体" w:cs="宋体"/>
                      <w:sz w:val="17"/>
                      <w:szCs w:val="17"/>
                    </w:rPr>
                  </w:pPr>
                  <w:r>
                    <w:rPr>
                      <w:rFonts w:ascii="宋体" w:hAnsi="宋体" w:eastAsia="宋体" w:cs="宋体"/>
                      <w:spacing w:val="6"/>
                      <w:sz w:val="17"/>
                      <w:szCs w:val="17"/>
                    </w:rPr>
                    <w:t>团</w:t>
                  </w:r>
                  <w:r>
                    <w:rPr>
                      <w:rFonts w:ascii="宋体" w:hAnsi="宋体" w:eastAsia="宋体" w:cs="宋体"/>
                      <w:spacing w:val="5"/>
                      <w:sz w:val="17"/>
                      <w:szCs w:val="17"/>
                    </w:rPr>
                    <w:t>控制性详</w:t>
                  </w:r>
                </w:p>
                <w:p>
                  <w:pPr>
                    <w:spacing w:before="68" w:line="232" w:lineRule="auto"/>
                    <w:ind w:left="11"/>
                    <w:rPr>
                      <w:rFonts w:ascii="宋体" w:hAnsi="宋体" w:eastAsia="宋体" w:cs="宋体"/>
                      <w:sz w:val="17"/>
                      <w:szCs w:val="17"/>
                    </w:rPr>
                  </w:pPr>
                  <w:r>
                    <w:rPr>
                      <w:rFonts w:ascii="宋体" w:hAnsi="宋体" w:eastAsia="宋体" w:cs="宋体"/>
                      <w:spacing w:val="1"/>
                      <w:sz w:val="17"/>
                      <w:szCs w:val="17"/>
                    </w:rPr>
                    <w:t>细</w:t>
                  </w:r>
                  <w:r>
                    <w:rPr>
                      <w:rFonts w:ascii="宋体" w:hAnsi="宋体" w:eastAsia="宋体" w:cs="宋体"/>
                      <w:sz w:val="17"/>
                      <w:szCs w:val="17"/>
                    </w:rPr>
                    <w:t>规划》，符</w:t>
                  </w:r>
                </w:p>
                <w:p>
                  <w:pPr>
                    <w:spacing w:before="65" w:line="229" w:lineRule="auto"/>
                    <w:ind w:left="76"/>
                    <w:rPr>
                      <w:rFonts w:ascii="宋体" w:hAnsi="宋体" w:eastAsia="宋体" w:cs="宋体"/>
                      <w:sz w:val="17"/>
                      <w:szCs w:val="17"/>
                    </w:rPr>
                  </w:pPr>
                  <w:r>
                    <w:rPr>
                      <w:rFonts w:ascii="宋体" w:hAnsi="宋体" w:eastAsia="宋体" w:cs="宋体"/>
                      <w:spacing w:val="10"/>
                      <w:sz w:val="17"/>
                      <w:szCs w:val="17"/>
                    </w:rPr>
                    <w:t>合</w:t>
                  </w:r>
                  <w:r>
                    <w:rPr>
                      <w:rFonts w:ascii="宋体" w:hAnsi="宋体" w:eastAsia="宋体" w:cs="宋体"/>
                      <w:spacing w:val="8"/>
                      <w:sz w:val="17"/>
                      <w:szCs w:val="17"/>
                    </w:rPr>
                    <w:t>空间布局</w:t>
                  </w:r>
                </w:p>
                <w:p>
                  <w:pPr>
                    <w:spacing w:before="69" w:line="232" w:lineRule="auto"/>
                    <w:ind w:left="347"/>
                    <w:rPr>
                      <w:rFonts w:ascii="宋体" w:hAnsi="宋体" w:eastAsia="宋体" w:cs="宋体"/>
                      <w:sz w:val="17"/>
                      <w:szCs w:val="17"/>
                    </w:rPr>
                  </w:pPr>
                  <w:r>
                    <w:rPr>
                      <w:rFonts w:ascii="宋体" w:hAnsi="宋体" w:eastAsia="宋体" w:cs="宋体"/>
                      <w:spacing w:val="6"/>
                      <w:sz w:val="17"/>
                      <w:szCs w:val="17"/>
                    </w:rPr>
                    <w:t>要求</w:t>
                  </w:r>
                </w:p>
              </w:tc>
              <w:tc>
                <w:tcPr>
                  <w:tcW w:w="417"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55" w:line="230" w:lineRule="auto"/>
                    <w:ind w:left="33"/>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符</w:t>
                  </w:r>
                  <w:r>
                    <w:rPr>
                      <w:rFonts w:ascii="宋体" w:hAnsi="宋体" w:eastAsia="宋体" w:cs="宋体"/>
                      <w:spacing w:val="5"/>
                      <w:sz w:val="17"/>
                      <w:szCs w:val="17"/>
                      <w14:textOutline w14:w="3268" w14:cap="sq" w14:cmpd="sng">
                        <w14:solidFill>
                          <w14:srgbClr w14:val="000000"/>
                        </w14:solidFill>
                        <w14:prstDash w14:val="solid"/>
                        <w14:bevel/>
                      </w14:textOutline>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3" w:hRule="atLeast"/>
              </w:trPr>
              <w:tc>
                <w:tcPr>
                  <w:tcW w:w="561" w:type="dxa"/>
                  <w:vMerge w:val="continue"/>
                  <w:tcBorders>
                    <w:top w:val="nil"/>
                    <w:bottom w:val="nil"/>
                  </w:tcBorders>
                  <w:vAlign w:val="top"/>
                </w:tcPr>
                <w:p>
                  <w:pPr>
                    <w:rPr>
                      <w:rFonts w:ascii="Arial"/>
                      <w:sz w:val="21"/>
                    </w:rPr>
                  </w:pPr>
                </w:p>
              </w:tc>
              <w:tc>
                <w:tcPr>
                  <w:tcW w:w="283" w:type="dxa"/>
                  <w:vMerge w:val="continue"/>
                  <w:tcBorders>
                    <w:top w:val="nil"/>
                    <w:bottom w:val="nil"/>
                  </w:tcBorders>
                  <w:textDirection w:val="tbRlV"/>
                  <w:vAlign w:val="top"/>
                </w:tcPr>
                <w:p>
                  <w:pPr>
                    <w:rPr>
                      <w:rFonts w:ascii="Arial"/>
                      <w:sz w:val="21"/>
                    </w:rPr>
                  </w:pPr>
                </w:p>
              </w:tc>
              <w:tc>
                <w:tcPr>
                  <w:tcW w:w="405"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55" w:line="231" w:lineRule="auto"/>
                    <w:ind w:left="26"/>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污</w:t>
                  </w:r>
                  <w:r>
                    <w:rPr>
                      <w:rFonts w:ascii="宋体" w:hAnsi="宋体" w:eastAsia="宋体" w:cs="宋体"/>
                      <w:spacing w:val="5"/>
                      <w:sz w:val="17"/>
                      <w:szCs w:val="17"/>
                      <w14:textOutline w14:w="3268" w14:cap="sq" w14:cmpd="sng">
                        <w14:solidFill>
                          <w14:srgbClr w14:val="000000"/>
                        </w14:solidFill>
                        <w14:prstDash w14:val="solid"/>
                        <w14:bevel/>
                      </w14:textOutline>
                    </w:rPr>
                    <w:t>染</w:t>
                  </w:r>
                </w:p>
                <w:p>
                  <w:pPr>
                    <w:spacing w:before="65" w:line="232" w:lineRule="auto"/>
                    <w:ind w:left="24"/>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物排</w:t>
                  </w:r>
                </w:p>
                <w:p>
                  <w:pPr>
                    <w:spacing w:before="67" w:line="230" w:lineRule="auto"/>
                    <w:ind w:left="24"/>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放管</w:t>
                  </w:r>
                </w:p>
                <w:p>
                  <w:pPr>
                    <w:spacing w:before="68" w:line="231" w:lineRule="auto"/>
                    <w:ind w:left="112"/>
                    <w:rPr>
                      <w:rFonts w:ascii="宋体" w:hAnsi="宋体" w:eastAsia="宋体" w:cs="宋体"/>
                      <w:sz w:val="17"/>
                      <w:szCs w:val="17"/>
                    </w:rPr>
                  </w:pPr>
                  <w:r>
                    <w:rPr>
                      <w:rFonts w:ascii="宋体" w:hAnsi="宋体" w:eastAsia="宋体" w:cs="宋体"/>
                      <w:spacing w:val="3"/>
                      <w:sz w:val="17"/>
                      <w:szCs w:val="17"/>
                      <w14:textOutline w14:w="3268" w14:cap="sq" w14:cmpd="sng">
                        <w14:solidFill>
                          <w14:srgbClr w14:val="000000"/>
                        </w14:solidFill>
                        <w14:prstDash w14:val="solid"/>
                        <w14:bevel/>
                      </w14:textOutline>
                    </w:rPr>
                    <w:t>控</w:t>
                  </w:r>
                </w:p>
              </w:tc>
              <w:tc>
                <w:tcPr>
                  <w:tcW w:w="5098" w:type="dxa"/>
                  <w:vAlign w:val="top"/>
                </w:tcPr>
                <w:p>
                  <w:pPr>
                    <w:spacing w:before="74" w:line="230" w:lineRule="auto"/>
                    <w:ind w:left="18"/>
                    <w:rPr>
                      <w:rFonts w:ascii="宋体" w:hAnsi="宋体" w:eastAsia="宋体" w:cs="宋体"/>
                      <w:sz w:val="17"/>
                      <w:szCs w:val="17"/>
                    </w:rPr>
                  </w:pPr>
                  <w:r>
                    <w:rPr>
                      <w:rFonts w:ascii="宋体" w:hAnsi="宋体" w:eastAsia="宋体" w:cs="宋体"/>
                      <w:spacing w:val="21"/>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4"/>
                      <w:sz w:val="17"/>
                      <w:szCs w:val="17"/>
                    </w:rPr>
                    <w:t>1</w:t>
                  </w: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宋体" w:hAnsi="宋体" w:eastAsia="宋体" w:cs="宋体"/>
                      <w:spacing w:val="14"/>
                      <w:sz w:val="17"/>
                      <w:szCs w:val="17"/>
                    </w:rPr>
                    <w:t xml:space="preserve"> </w:t>
                  </w:r>
                  <w:r>
                    <w:rPr>
                      <w:rFonts w:ascii="宋体" w:hAnsi="宋体" w:eastAsia="宋体" w:cs="宋体"/>
                      <w:spacing w:val="14"/>
                      <w:sz w:val="17"/>
                      <w:szCs w:val="17"/>
                      <w14:textOutline w14:w="3268" w14:cap="sq" w14:cmpd="sng">
                        <w14:solidFill>
                          <w14:srgbClr w14:val="000000"/>
                        </w14:solidFill>
                        <w14:prstDash w14:val="solid"/>
                        <w14:bevel/>
                      </w14:textOutline>
                    </w:rPr>
                    <w:t>现有源提标升级改造</w:t>
                  </w:r>
                </w:p>
                <w:p>
                  <w:pPr>
                    <w:spacing w:before="65" w:line="268" w:lineRule="auto"/>
                    <w:ind w:left="8" w:right="1"/>
                    <w:rPr>
                      <w:rFonts w:ascii="宋体" w:hAnsi="宋体" w:eastAsia="宋体" w:cs="宋体"/>
                      <w:sz w:val="17"/>
                      <w:szCs w:val="17"/>
                    </w:rPr>
                  </w:pPr>
                  <w:r>
                    <w:rPr>
                      <w:rFonts w:ascii="Times New Roman" w:hAnsi="Times New Roman" w:eastAsia="Times New Roman" w:cs="Times New Roman"/>
                      <w:spacing w:val="14"/>
                      <w:sz w:val="17"/>
                      <w:szCs w:val="17"/>
                    </w:rPr>
                    <w:t>-</w:t>
                  </w:r>
                  <w:r>
                    <w:rPr>
                      <w:rFonts w:ascii="宋体" w:hAnsi="宋体" w:eastAsia="宋体" w:cs="宋体"/>
                      <w:spacing w:val="9"/>
                      <w:sz w:val="17"/>
                      <w:szCs w:val="17"/>
                    </w:rPr>
                    <w:t>通川区全域属于四川省大气污染防治重点区域，执行大气污染物</w:t>
                  </w:r>
                  <w:r>
                    <w:rPr>
                      <w:rFonts w:ascii="宋体" w:hAnsi="宋体" w:eastAsia="宋体" w:cs="宋体"/>
                      <w:sz w:val="17"/>
                      <w:szCs w:val="17"/>
                    </w:rPr>
                    <w:t xml:space="preserve"> </w:t>
                  </w:r>
                  <w:r>
                    <w:rPr>
                      <w:rFonts w:ascii="宋体" w:hAnsi="宋体" w:eastAsia="宋体" w:cs="宋体"/>
                      <w:spacing w:val="9"/>
                      <w:sz w:val="17"/>
                      <w:szCs w:val="17"/>
                    </w:rPr>
                    <w:t>特别排放限</w:t>
                  </w:r>
                  <w:r>
                    <w:rPr>
                      <w:rFonts w:ascii="宋体" w:hAnsi="宋体" w:eastAsia="宋体" w:cs="宋体"/>
                      <w:spacing w:val="7"/>
                      <w:sz w:val="17"/>
                      <w:szCs w:val="17"/>
                    </w:rPr>
                    <w:t>值</w:t>
                  </w:r>
                </w:p>
                <w:p>
                  <w:pPr>
                    <w:spacing w:before="69" w:line="230" w:lineRule="auto"/>
                    <w:ind w:left="18"/>
                    <w:rPr>
                      <w:rFonts w:ascii="宋体" w:hAnsi="宋体" w:eastAsia="宋体" w:cs="宋体"/>
                      <w:sz w:val="17"/>
                      <w:szCs w:val="17"/>
                    </w:rPr>
                  </w:pPr>
                  <w:r>
                    <w:rPr>
                      <w:rFonts w:ascii="宋体" w:hAnsi="宋体" w:eastAsia="宋体" w:cs="宋体"/>
                      <w:spacing w:val="17"/>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4"/>
                      <w:sz w:val="17"/>
                      <w:szCs w:val="17"/>
                    </w:rPr>
                    <w:t>2</w:t>
                  </w: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宋体" w:hAnsi="宋体" w:eastAsia="宋体" w:cs="宋体"/>
                      <w:spacing w:val="14"/>
                      <w:sz w:val="17"/>
                      <w:szCs w:val="17"/>
                    </w:rPr>
                    <w:t xml:space="preserve"> </w:t>
                  </w:r>
                  <w:r>
                    <w:rPr>
                      <w:rFonts w:ascii="宋体" w:hAnsi="宋体" w:eastAsia="宋体" w:cs="宋体"/>
                      <w:spacing w:val="14"/>
                      <w:sz w:val="17"/>
                      <w:szCs w:val="17"/>
                      <w14:textOutline w14:w="3268" w14:cap="sq" w14:cmpd="sng">
                        <w14:solidFill>
                          <w14:srgbClr w14:val="000000"/>
                        </w14:solidFill>
                        <w14:prstDash w14:val="solid"/>
                        <w14:bevel/>
                      </w14:textOutline>
                    </w:rPr>
                    <w:t>新增源等量或倍量替代</w:t>
                  </w:r>
                </w:p>
                <w:p>
                  <w:pPr>
                    <w:spacing w:before="66" w:line="229" w:lineRule="auto"/>
                    <w:ind w:left="8"/>
                    <w:rPr>
                      <w:rFonts w:ascii="宋体" w:hAnsi="宋体" w:eastAsia="宋体" w:cs="宋体"/>
                      <w:sz w:val="17"/>
                      <w:szCs w:val="17"/>
                    </w:rPr>
                  </w:pPr>
                  <w:r>
                    <w:rPr>
                      <w:rFonts w:ascii="宋体" w:hAnsi="宋体" w:eastAsia="宋体" w:cs="宋体"/>
                      <w:spacing w:val="18"/>
                      <w:sz w:val="17"/>
                      <w:szCs w:val="17"/>
                    </w:rPr>
                    <w:t>执</w:t>
                  </w:r>
                  <w:r>
                    <w:rPr>
                      <w:rFonts w:ascii="宋体" w:hAnsi="宋体" w:eastAsia="宋体" w:cs="宋体"/>
                      <w:spacing w:val="9"/>
                      <w:sz w:val="17"/>
                      <w:szCs w:val="17"/>
                    </w:rPr>
                    <w:t>行达州市城镇重点管控单元总体要求</w:t>
                  </w:r>
                </w:p>
                <w:p>
                  <w:pPr>
                    <w:spacing w:before="69" w:line="230" w:lineRule="auto"/>
                    <w:ind w:left="18"/>
                    <w:rPr>
                      <w:rFonts w:ascii="宋体" w:hAnsi="宋体" w:eastAsia="宋体" w:cs="宋体"/>
                      <w:sz w:val="17"/>
                      <w:szCs w:val="17"/>
                    </w:rPr>
                  </w:pPr>
                  <w:r>
                    <w:rPr>
                      <w:rFonts w:ascii="宋体" w:hAnsi="宋体" w:eastAsia="宋体" w:cs="宋体"/>
                      <w:spacing w:val="21"/>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4"/>
                      <w:sz w:val="17"/>
                      <w:szCs w:val="17"/>
                    </w:rPr>
                    <w:t>3</w:t>
                  </w: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宋体" w:hAnsi="宋体" w:eastAsia="宋体" w:cs="宋体"/>
                      <w:spacing w:val="14"/>
                      <w:sz w:val="17"/>
                      <w:szCs w:val="17"/>
                    </w:rPr>
                    <w:t xml:space="preserve"> </w:t>
                  </w:r>
                  <w:r>
                    <w:rPr>
                      <w:rFonts w:ascii="宋体" w:hAnsi="宋体" w:eastAsia="宋体" w:cs="宋体"/>
                      <w:spacing w:val="14"/>
                      <w:sz w:val="17"/>
                      <w:szCs w:val="17"/>
                      <w14:textOutline w14:w="3268" w14:cap="sq" w14:cmpd="sng">
                        <w14:solidFill>
                          <w14:srgbClr w14:val="000000"/>
                        </w14:solidFill>
                        <w14:prstDash w14:val="solid"/>
                        <w14:bevel/>
                      </w14:textOutline>
                    </w:rPr>
                    <w:t>新增源排放标准限值</w:t>
                  </w:r>
                </w:p>
                <w:p>
                  <w:pPr>
                    <w:spacing w:before="68" w:line="304" w:lineRule="auto"/>
                    <w:ind w:left="8" w:right="51"/>
                    <w:rPr>
                      <w:rFonts w:ascii="宋体" w:hAnsi="宋体" w:eastAsia="宋体" w:cs="宋体"/>
                      <w:sz w:val="17"/>
                      <w:szCs w:val="17"/>
                    </w:rPr>
                  </w:pPr>
                  <w:r>
                    <w:rPr>
                      <w:rFonts w:ascii="宋体" w:hAnsi="宋体" w:eastAsia="宋体" w:cs="宋体"/>
                      <w:spacing w:val="18"/>
                      <w:sz w:val="17"/>
                      <w:szCs w:val="17"/>
                    </w:rPr>
                    <w:t>通川</w:t>
                  </w:r>
                  <w:r>
                    <w:rPr>
                      <w:rFonts w:ascii="宋体" w:hAnsi="宋体" w:eastAsia="宋体" w:cs="宋体"/>
                      <w:spacing w:val="11"/>
                      <w:sz w:val="17"/>
                      <w:szCs w:val="17"/>
                    </w:rPr>
                    <w:t>区</w:t>
                  </w:r>
                  <w:r>
                    <w:rPr>
                      <w:rFonts w:ascii="宋体" w:hAnsi="宋体" w:eastAsia="宋体" w:cs="宋体"/>
                      <w:spacing w:val="9"/>
                      <w:sz w:val="17"/>
                      <w:szCs w:val="17"/>
                    </w:rPr>
                    <w:t>全域属于四川省大气污染防治重点区域，执行大气污染物</w:t>
                  </w:r>
                  <w:r>
                    <w:rPr>
                      <w:rFonts w:ascii="宋体" w:hAnsi="宋体" w:eastAsia="宋体" w:cs="宋体"/>
                      <w:sz w:val="17"/>
                      <w:szCs w:val="17"/>
                    </w:rPr>
                    <w:t xml:space="preserve"> </w:t>
                  </w:r>
                  <w:r>
                    <w:rPr>
                      <w:rFonts w:ascii="宋体" w:hAnsi="宋体" w:eastAsia="宋体" w:cs="宋体"/>
                      <w:spacing w:val="18"/>
                      <w:sz w:val="17"/>
                      <w:szCs w:val="17"/>
                    </w:rPr>
                    <w:t>特</w:t>
                  </w:r>
                  <w:r>
                    <w:rPr>
                      <w:rFonts w:ascii="宋体" w:hAnsi="宋体" w:eastAsia="宋体" w:cs="宋体"/>
                      <w:spacing w:val="15"/>
                      <w:sz w:val="17"/>
                      <w:szCs w:val="17"/>
                    </w:rPr>
                    <w:t>别</w:t>
                  </w:r>
                  <w:r>
                    <w:rPr>
                      <w:rFonts w:ascii="宋体" w:hAnsi="宋体" w:eastAsia="宋体" w:cs="宋体"/>
                      <w:spacing w:val="9"/>
                      <w:sz w:val="17"/>
                      <w:szCs w:val="17"/>
                    </w:rPr>
                    <w:t>排放限值。其他同达州市城镇重点总体准入要求</w:t>
                  </w:r>
                </w:p>
                <w:p>
                  <w:pPr>
                    <w:spacing w:line="230" w:lineRule="auto"/>
                    <w:ind w:left="18"/>
                    <w:rPr>
                      <w:rFonts w:ascii="宋体" w:hAnsi="宋体" w:eastAsia="宋体" w:cs="宋体"/>
                      <w:sz w:val="17"/>
                      <w:szCs w:val="17"/>
                    </w:rPr>
                  </w:pPr>
                  <w:r>
                    <w:rPr>
                      <w:rFonts w:ascii="宋体" w:hAnsi="宋体" w:eastAsia="宋体" w:cs="宋体"/>
                      <w:spacing w:val="23"/>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3"/>
                      <w:sz w:val="17"/>
                      <w:szCs w:val="17"/>
                    </w:rPr>
                    <w:t>4</w:t>
                  </w:r>
                  <w:r>
                    <w:rPr>
                      <w:rFonts w:ascii="宋体" w:hAnsi="宋体" w:eastAsia="宋体" w:cs="宋体"/>
                      <w:spacing w:val="13"/>
                      <w:sz w:val="17"/>
                      <w:szCs w:val="17"/>
                      <w14:textOutline w14:w="3268" w14:cap="sq" w14:cmpd="sng">
                        <w14:solidFill>
                          <w14:srgbClr w14:val="000000"/>
                        </w14:solidFill>
                        <w14:prstDash w14:val="solid"/>
                        <w14:bevel/>
                      </w14:textOutline>
                    </w:rPr>
                    <w:t>)</w:t>
                  </w:r>
                  <w:r>
                    <w:rPr>
                      <w:rFonts w:ascii="宋体" w:hAnsi="宋体" w:eastAsia="宋体" w:cs="宋体"/>
                      <w:spacing w:val="13"/>
                      <w:sz w:val="17"/>
                      <w:szCs w:val="17"/>
                    </w:rPr>
                    <w:t xml:space="preserve"> </w:t>
                  </w:r>
                  <w:r>
                    <w:rPr>
                      <w:rFonts w:ascii="宋体" w:hAnsi="宋体" w:eastAsia="宋体" w:cs="宋体"/>
                      <w:spacing w:val="13"/>
                      <w:sz w:val="17"/>
                      <w:szCs w:val="17"/>
                      <w14:textOutline w14:w="3268" w14:cap="sq" w14:cmpd="sng">
                        <w14:solidFill>
                          <w14:srgbClr w14:val="000000"/>
                        </w14:solidFill>
                        <w14:prstDash w14:val="solid"/>
                        <w14:bevel/>
                      </w14:textOutline>
                    </w:rPr>
                    <w:t>污染物排放绩效水平准入要求</w:t>
                  </w:r>
                </w:p>
                <w:p>
                  <w:pPr>
                    <w:spacing w:before="68" w:line="292" w:lineRule="auto"/>
                    <w:ind w:left="7" w:right="1" w:firstLine="1"/>
                    <w:rPr>
                      <w:rFonts w:ascii="宋体" w:hAnsi="宋体" w:eastAsia="宋体" w:cs="宋体"/>
                      <w:sz w:val="17"/>
                      <w:szCs w:val="17"/>
                    </w:rPr>
                  </w:pPr>
                  <w:r>
                    <w:rPr>
                      <w:rFonts w:ascii="Times New Roman" w:hAnsi="Times New Roman" w:eastAsia="Times New Roman" w:cs="Times New Roman"/>
                      <w:spacing w:val="14"/>
                      <w:sz w:val="17"/>
                      <w:szCs w:val="17"/>
                    </w:rPr>
                    <w:t>-</w:t>
                  </w:r>
                  <w:r>
                    <w:rPr>
                      <w:rFonts w:ascii="宋体" w:hAnsi="宋体" w:eastAsia="宋体" w:cs="宋体"/>
                      <w:spacing w:val="9"/>
                      <w:sz w:val="17"/>
                      <w:szCs w:val="17"/>
                    </w:rPr>
                    <w:t>达钢：未纳入淘汰计划的烧结机和球团设备全部实施烟气脱硫，</w:t>
                  </w:r>
                  <w:r>
                    <w:rPr>
                      <w:rFonts w:ascii="宋体" w:hAnsi="宋体" w:eastAsia="宋体" w:cs="宋体"/>
                      <w:sz w:val="17"/>
                      <w:szCs w:val="17"/>
                    </w:rPr>
                    <w:t xml:space="preserve"> </w:t>
                  </w:r>
                  <w:r>
                    <w:rPr>
                      <w:rFonts w:ascii="宋体" w:hAnsi="宋体" w:eastAsia="宋体" w:cs="宋体"/>
                      <w:spacing w:val="18"/>
                      <w:sz w:val="17"/>
                      <w:szCs w:val="17"/>
                    </w:rPr>
                    <w:t>不得</w:t>
                  </w:r>
                  <w:r>
                    <w:rPr>
                      <w:rFonts w:ascii="宋体" w:hAnsi="宋体" w:eastAsia="宋体" w:cs="宋体"/>
                      <w:spacing w:val="12"/>
                      <w:sz w:val="17"/>
                      <w:szCs w:val="17"/>
                    </w:rPr>
                    <w:t>设</w:t>
                  </w:r>
                  <w:r>
                    <w:rPr>
                      <w:rFonts w:ascii="宋体" w:hAnsi="宋体" w:eastAsia="宋体" w:cs="宋体"/>
                      <w:spacing w:val="9"/>
                      <w:sz w:val="17"/>
                      <w:szCs w:val="17"/>
                    </w:rPr>
                    <w:t>置脱硫设施烟气旁路；所有钢铁烧结及球团应安装脱硝设</w:t>
                  </w:r>
                  <w:r>
                    <w:rPr>
                      <w:rFonts w:ascii="宋体" w:hAnsi="宋体" w:eastAsia="宋体" w:cs="宋体"/>
                      <w:sz w:val="17"/>
                      <w:szCs w:val="17"/>
                    </w:rPr>
                    <w:t xml:space="preserve"> </w:t>
                  </w:r>
                  <w:r>
                    <w:rPr>
                      <w:rFonts w:ascii="宋体" w:hAnsi="宋体" w:eastAsia="宋体" w:cs="宋体"/>
                      <w:spacing w:val="18"/>
                      <w:sz w:val="17"/>
                      <w:szCs w:val="17"/>
                    </w:rPr>
                    <w:t>施；</w:t>
                  </w:r>
                  <w:r>
                    <w:rPr>
                      <w:rFonts w:ascii="宋体" w:hAnsi="宋体" w:eastAsia="宋体" w:cs="宋体"/>
                      <w:spacing w:val="12"/>
                      <w:sz w:val="17"/>
                      <w:szCs w:val="17"/>
                    </w:rPr>
                    <w:t>烧</w:t>
                  </w:r>
                  <w:r>
                    <w:rPr>
                      <w:rFonts w:ascii="宋体" w:hAnsi="宋体" w:eastAsia="宋体" w:cs="宋体"/>
                      <w:spacing w:val="9"/>
                      <w:sz w:val="17"/>
                      <w:szCs w:val="17"/>
                    </w:rPr>
                    <w:t>结机头、机尾、高炉出铁场、转炉烟气除尘等设施实施升</w:t>
                  </w:r>
                  <w:r>
                    <w:rPr>
                      <w:rFonts w:ascii="宋体" w:hAnsi="宋体" w:eastAsia="宋体" w:cs="宋体"/>
                      <w:sz w:val="17"/>
                      <w:szCs w:val="17"/>
                    </w:rPr>
                    <w:t xml:space="preserve"> </w:t>
                  </w:r>
                  <w:r>
                    <w:rPr>
                      <w:rFonts w:ascii="宋体" w:hAnsi="宋体" w:eastAsia="宋体" w:cs="宋体"/>
                      <w:spacing w:val="18"/>
                      <w:sz w:val="17"/>
                      <w:szCs w:val="17"/>
                    </w:rPr>
                    <w:t>级改</w:t>
                  </w:r>
                  <w:r>
                    <w:rPr>
                      <w:rFonts w:ascii="宋体" w:hAnsi="宋体" w:eastAsia="宋体" w:cs="宋体"/>
                      <w:spacing w:val="12"/>
                      <w:sz w:val="17"/>
                      <w:szCs w:val="17"/>
                    </w:rPr>
                    <w:t>造</w:t>
                  </w:r>
                  <w:r>
                    <w:rPr>
                      <w:rFonts w:ascii="宋体" w:hAnsi="宋体" w:eastAsia="宋体" w:cs="宋体"/>
                      <w:spacing w:val="9"/>
                      <w:sz w:val="17"/>
                      <w:szCs w:val="17"/>
                    </w:rPr>
                    <w:t>，露天原料场实施封闭改造，原料转运设施建设封闭皮带</w:t>
                  </w:r>
                  <w:r>
                    <w:rPr>
                      <w:rFonts w:ascii="宋体" w:hAnsi="宋体" w:eastAsia="宋体" w:cs="宋体"/>
                      <w:sz w:val="17"/>
                      <w:szCs w:val="17"/>
                    </w:rPr>
                    <w:t xml:space="preserve"> </w:t>
                  </w:r>
                  <w:r>
                    <w:rPr>
                      <w:rFonts w:ascii="宋体" w:hAnsi="宋体" w:eastAsia="宋体" w:cs="宋体"/>
                      <w:spacing w:val="15"/>
                      <w:sz w:val="17"/>
                      <w:szCs w:val="17"/>
                    </w:rPr>
                    <w:t>通</w:t>
                  </w:r>
                  <w:r>
                    <w:rPr>
                      <w:rFonts w:ascii="宋体" w:hAnsi="宋体" w:eastAsia="宋体" w:cs="宋体"/>
                      <w:spacing w:val="9"/>
                      <w:sz w:val="17"/>
                      <w:szCs w:val="17"/>
                    </w:rPr>
                    <w:t>廊，转运站和落料点配套抽风收尘装置。</w:t>
                  </w:r>
                  <w:r>
                    <w:rPr>
                      <w:rFonts w:ascii="Times New Roman" w:hAnsi="Times New Roman" w:eastAsia="Times New Roman" w:cs="Times New Roman"/>
                      <w:spacing w:val="9"/>
                      <w:sz w:val="17"/>
                      <w:szCs w:val="17"/>
                    </w:rPr>
                    <w:t>-</w:t>
                  </w:r>
                  <w:r>
                    <w:rPr>
                      <w:rFonts w:ascii="宋体" w:hAnsi="宋体" w:eastAsia="宋体" w:cs="宋体"/>
                      <w:spacing w:val="9"/>
                      <w:sz w:val="17"/>
                      <w:szCs w:val="17"/>
                    </w:rPr>
                    <w:t>其他同城镇重点管控</w:t>
                  </w:r>
                  <w:r>
                    <w:rPr>
                      <w:rFonts w:ascii="宋体" w:hAnsi="宋体" w:eastAsia="宋体" w:cs="宋体"/>
                      <w:sz w:val="17"/>
                      <w:szCs w:val="17"/>
                    </w:rPr>
                    <w:t xml:space="preserve"> </w:t>
                  </w:r>
                  <w:r>
                    <w:rPr>
                      <w:rFonts w:ascii="宋体" w:hAnsi="宋体" w:eastAsia="宋体" w:cs="宋体"/>
                      <w:spacing w:val="10"/>
                      <w:sz w:val="17"/>
                      <w:szCs w:val="17"/>
                    </w:rPr>
                    <w:t>单</w:t>
                  </w:r>
                  <w:r>
                    <w:rPr>
                      <w:rFonts w:ascii="宋体" w:hAnsi="宋体" w:eastAsia="宋体" w:cs="宋体"/>
                      <w:spacing w:val="9"/>
                      <w:sz w:val="17"/>
                      <w:szCs w:val="17"/>
                    </w:rPr>
                    <w:t>元总体准入要求</w:t>
                  </w:r>
                </w:p>
                <w:p>
                  <w:pPr>
                    <w:spacing w:before="68" w:line="227" w:lineRule="auto"/>
                    <w:ind w:left="18"/>
                    <w:rPr>
                      <w:rFonts w:ascii="宋体" w:hAnsi="宋体" w:eastAsia="宋体" w:cs="宋体"/>
                      <w:sz w:val="17"/>
                      <w:szCs w:val="17"/>
                    </w:rPr>
                  </w:pP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4"/>
                      <w:sz w:val="17"/>
                      <w:szCs w:val="17"/>
                    </w:rPr>
                    <w:t>5</w:t>
                  </w: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宋体" w:hAnsi="宋体" w:eastAsia="宋体" w:cs="宋体"/>
                      <w:spacing w:val="14"/>
                      <w:sz w:val="17"/>
                      <w:szCs w:val="17"/>
                    </w:rPr>
                    <w:t xml:space="preserve"> </w:t>
                  </w:r>
                  <w:r>
                    <w:rPr>
                      <w:rFonts w:ascii="宋体" w:hAnsi="宋体" w:eastAsia="宋体" w:cs="宋体"/>
                      <w:spacing w:val="14"/>
                      <w:sz w:val="17"/>
                      <w:szCs w:val="17"/>
                      <w14:textOutline w14:w="3268" w14:cap="sq" w14:cmpd="sng">
                        <w14:solidFill>
                          <w14:srgbClr w14:val="000000"/>
                        </w14:solidFill>
                        <w14:prstDash w14:val="solid"/>
                        <w14:bevel/>
                      </w14:textOutline>
                    </w:rPr>
                    <w:t>其他污染物排放管控要</w:t>
                  </w:r>
                  <w:r>
                    <w:rPr>
                      <w:rFonts w:ascii="宋体" w:hAnsi="宋体" w:eastAsia="宋体" w:cs="宋体"/>
                      <w:spacing w:val="13"/>
                      <w:sz w:val="17"/>
                      <w:szCs w:val="17"/>
                      <w14:textOutline w14:w="3268" w14:cap="sq" w14:cmpd="sng">
                        <w14:solidFill>
                          <w14:srgbClr w14:val="000000"/>
                        </w14:solidFill>
                        <w14:prstDash w14:val="solid"/>
                        <w14:bevel/>
                      </w14:textOutline>
                    </w:rPr>
                    <w:t>求</w:t>
                  </w:r>
                </w:p>
              </w:tc>
              <w:tc>
                <w:tcPr>
                  <w:tcW w:w="1039"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55" w:line="230" w:lineRule="auto"/>
                    <w:ind w:left="78"/>
                    <w:rPr>
                      <w:rFonts w:ascii="宋体" w:hAnsi="宋体" w:eastAsia="宋体" w:cs="宋体"/>
                      <w:sz w:val="17"/>
                      <w:szCs w:val="17"/>
                    </w:rPr>
                  </w:pPr>
                  <w:r>
                    <w:rPr>
                      <w:rFonts w:ascii="宋体" w:hAnsi="宋体" w:eastAsia="宋体" w:cs="宋体"/>
                      <w:spacing w:val="8"/>
                      <w:sz w:val="17"/>
                      <w:szCs w:val="17"/>
                    </w:rPr>
                    <w:t>项目废气执</w:t>
                  </w:r>
                </w:p>
                <w:p>
                  <w:pPr>
                    <w:spacing w:before="66" w:line="231" w:lineRule="auto"/>
                    <w:ind w:left="78"/>
                    <w:rPr>
                      <w:rFonts w:ascii="宋体" w:hAnsi="宋体" w:eastAsia="宋体" w:cs="宋体"/>
                      <w:sz w:val="17"/>
                      <w:szCs w:val="17"/>
                    </w:rPr>
                  </w:pPr>
                  <w:r>
                    <w:rPr>
                      <w:rFonts w:ascii="宋体" w:hAnsi="宋体" w:eastAsia="宋体" w:cs="宋体"/>
                      <w:spacing w:val="8"/>
                      <w:sz w:val="17"/>
                      <w:szCs w:val="17"/>
                    </w:rPr>
                    <w:t>行大气污染</w:t>
                  </w:r>
                </w:p>
                <w:p>
                  <w:pPr>
                    <w:spacing w:before="68" w:line="230" w:lineRule="auto"/>
                    <w:ind w:left="75"/>
                    <w:rPr>
                      <w:rFonts w:ascii="宋体" w:hAnsi="宋体" w:eastAsia="宋体" w:cs="宋体"/>
                      <w:sz w:val="17"/>
                      <w:szCs w:val="17"/>
                    </w:rPr>
                  </w:pPr>
                  <w:r>
                    <w:rPr>
                      <w:rFonts w:ascii="宋体" w:hAnsi="宋体" w:eastAsia="宋体" w:cs="宋体"/>
                      <w:spacing w:val="10"/>
                      <w:sz w:val="17"/>
                      <w:szCs w:val="17"/>
                    </w:rPr>
                    <w:t>物</w:t>
                  </w:r>
                  <w:r>
                    <w:rPr>
                      <w:rFonts w:ascii="宋体" w:hAnsi="宋体" w:eastAsia="宋体" w:cs="宋体"/>
                      <w:spacing w:val="8"/>
                      <w:sz w:val="17"/>
                      <w:szCs w:val="17"/>
                    </w:rPr>
                    <w:t>特别排放</w:t>
                  </w:r>
                </w:p>
                <w:p>
                  <w:pPr>
                    <w:spacing w:before="69" w:line="230" w:lineRule="auto"/>
                    <w:ind w:left="23"/>
                    <w:rPr>
                      <w:rFonts w:ascii="宋体" w:hAnsi="宋体" w:eastAsia="宋体" w:cs="宋体"/>
                      <w:sz w:val="17"/>
                      <w:szCs w:val="17"/>
                    </w:rPr>
                  </w:pPr>
                  <w:r>
                    <w:rPr>
                      <w:rFonts w:ascii="宋体" w:hAnsi="宋体" w:eastAsia="宋体" w:cs="宋体"/>
                      <w:spacing w:val="-2"/>
                      <w:sz w:val="17"/>
                      <w:szCs w:val="17"/>
                    </w:rPr>
                    <w:t>限值；无废</w:t>
                  </w:r>
                  <w:r>
                    <w:rPr>
                      <w:rFonts w:ascii="宋体" w:hAnsi="宋体" w:eastAsia="宋体" w:cs="宋体"/>
                      <w:spacing w:val="-1"/>
                      <w:sz w:val="17"/>
                      <w:szCs w:val="17"/>
                    </w:rPr>
                    <w:t>水</w:t>
                  </w:r>
                </w:p>
                <w:p>
                  <w:pPr>
                    <w:spacing w:before="66" w:line="232" w:lineRule="auto"/>
                    <w:ind w:left="10"/>
                    <w:rPr>
                      <w:rFonts w:ascii="宋体" w:hAnsi="宋体" w:eastAsia="宋体" w:cs="宋体"/>
                      <w:sz w:val="17"/>
                      <w:szCs w:val="17"/>
                    </w:rPr>
                  </w:pPr>
                  <w:r>
                    <w:rPr>
                      <w:rFonts w:ascii="宋体" w:hAnsi="宋体" w:eastAsia="宋体" w:cs="宋体"/>
                      <w:spacing w:val="1"/>
                      <w:sz w:val="17"/>
                      <w:szCs w:val="17"/>
                    </w:rPr>
                    <w:t>排放</w:t>
                  </w:r>
                  <w:r>
                    <w:rPr>
                      <w:rFonts w:ascii="宋体" w:hAnsi="宋体" w:eastAsia="宋体" w:cs="宋体"/>
                      <w:sz w:val="17"/>
                      <w:szCs w:val="17"/>
                    </w:rPr>
                    <w:t>，路面雨</w:t>
                  </w:r>
                </w:p>
                <w:p>
                  <w:pPr>
                    <w:spacing w:before="66" w:line="318" w:lineRule="auto"/>
                    <w:ind w:left="180" w:right="65" w:hanging="103"/>
                    <w:rPr>
                      <w:rFonts w:ascii="宋体" w:hAnsi="宋体" w:eastAsia="宋体" w:cs="宋体"/>
                      <w:sz w:val="17"/>
                      <w:szCs w:val="17"/>
                    </w:rPr>
                  </w:pPr>
                  <w:r>
                    <w:rPr>
                      <w:rFonts w:ascii="宋体" w:hAnsi="宋体" w:eastAsia="宋体" w:cs="宋体"/>
                      <w:spacing w:val="8"/>
                      <w:sz w:val="17"/>
                      <w:szCs w:val="17"/>
                    </w:rPr>
                    <w:t>水经市政管</w:t>
                  </w:r>
                  <w:r>
                    <w:rPr>
                      <w:rFonts w:ascii="宋体" w:hAnsi="宋体" w:eastAsia="宋体" w:cs="宋体"/>
                      <w:sz w:val="17"/>
                      <w:szCs w:val="17"/>
                    </w:rPr>
                    <w:t xml:space="preserve"> </w:t>
                  </w:r>
                  <w:r>
                    <w:rPr>
                      <w:rFonts w:ascii="宋体" w:hAnsi="宋体" w:eastAsia="宋体" w:cs="宋体"/>
                      <w:spacing w:val="2"/>
                      <w:sz w:val="17"/>
                      <w:szCs w:val="17"/>
                    </w:rPr>
                    <w:t>网排放。</w:t>
                  </w:r>
                </w:p>
              </w:tc>
              <w:tc>
                <w:tcPr>
                  <w:tcW w:w="417"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before="56" w:line="230" w:lineRule="auto"/>
                    <w:ind w:left="33"/>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符</w:t>
                  </w:r>
                  <w:r>
                    <w:rPr>
                      <w:rFonts w:ascii="宋体" w:hAnsi="宋体" w:eastAsia="宋体" w:cs="宋体"/>
                      <w:spacing w:val="5"/>
                      <w:sz w:val="17"/>
                      <w:szCs w:val="17"/>
                      <w14:textOutline w14:w="3268" w14:cap="sq" w14:cmpd="sng">
                        <w14:solidFill>
                          <w14:srgbClr w14:val="000000"/>
                        </w14:solidFill>
                        <w14:prstDash w14:val="solid"/>
                        <w14:bevel/>
                      </w14:textOutline>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4" w:hRule="atLeast"/>
              </w:trPr>
              <w:tc>
                <w:tcPr>
                  <w:tcW w:w="561" w:type="dxa"/>
                  <w:vMerge w:val="continue"/>
                  <w:tcBorders>
                    <w:top w:val="nil"/>
                    <w:bottom w:val="nil"/>
                  </w:tcBorders>
                  <w:vAlign w:val="top"/>
                </w:tcPr>
                <w:p>
                  <w:pPr>
                    <w:rPr>
                      <w:rFonts w:ascii="Arial"/>
                      <w:sz w:val="21"/>
                    </w:rPr>
                  </w:pPr>
                </w:p>
              </w:tc>
              <w:tc>
                <w:tcPr>
                  <w:tcW w:w="283" w:type="dxa"/>
                  <w:vMerge w:val="continue"/>
                  <w:tcBorders>
                    <w:top w:val="nil"/>
                    <w:bottom w:val="nil"/>
                  </w:tcBorders>
                  <w:textDirection w:val="tbRlV"/>
                  <w:vAlign w:val="top"/>
                </w:tcPr>
                <w:p>
                  <w:pPr>
                    <w:rPr>
                      <w:rFonts w:ascii="Arial"/>
                      <w:sz w:val="21"/>
                    </w:rPr>
                  </w:pPr>
                </w:p>
              </w:tc>
              <w:tc>
                <w:tcPr>
                  <w:tcW w:w="405"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before="56" w:line="312" w:lineRule="auto"/>
                    <w:ind w:left="24" w:right="22"/>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环境</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风险</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防控</w:t>
                  </w:r>
                </w:p>
              </w:tc>
              <w:tc>
                <w:tcPr>
                  <w:tcW w:w="5098" w:type="dxa"/>
                  <w:vAlign w:val="top"/>
                </w:tcPr>
                <w:p>
                  <w:pPr>
                    <w:spacing w:before="76" w:line="230" w:lineRule="auto"/>
                    <w:ind w:left="18"/>
                    <w:rPr>
                      <w:rFonts w:ascii="宋体" w:hAnsi="宋体" w:eastAsia="宋体" w:cs="宋体"/>
                      <w:sz w:val="17"/>
                      <w:szCs w:val="17"/>
                    </w:rPr>
                  </w:pP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4"/>
                      <w:sz w:val="17"/>
                      <w:szCs w:val="17"/>
                    </w:rPr>
                    <w:t>1</w:t>
                  </w: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宋体" w:hAnsi="宋体" w:eastAsia="宋体" w:cs="宋体"/>
                      <w:spacing w:val="14"/>
                      <w:sz w:val="17"/>
                      <w:szCs w:val="17"/>
                    </w:rPr>
                    <w:t xml:space="preserve"> </w:t>
                  </w:r>
                  <w:r>
                    <w:rPr>
                      <w:rFonts w:ascii="宋体" w:hAnsi="宋体" w:eastAsia="宋体" w:cs="宋体"/>
                      <w:spacing w:val="14"/>
                      <w:sz w:val="17"/>
                      <w:szCs w:val="17"/>
                      <w14:textOutline w14:w="3268" w14:cap="sq" w14:cmpd="sng">
                        <w14:solidFill>
                          <w14:srgbClr w14:val="000000"/>
                        </w14:solidFill>
                        <w14:prstDash w14:val="solid"/>
                        <w14:bevel/>
                      </w14:textOutline>
                    </w:rPr>
                    <w:t>严格管控类农用地管控要</w:t>
                  </w:r>
                  <w:r>
                    <w:rPr>
                      <w:rFonts w:ascii="宋体" w:hAnsi="宋体" w:eastAsia="宋体" w:cs="宋体"/>
                      <w:spacing w:val="11"/>
                      <w:sz w:val="17"/>
                      <w:szCs w:val="17"/>
                      <w14:textOutline w14:w="3268" w14:cap="sq" w14:cmpd="sng">
                        <w14:solidFill>
                          <w14:srgbClr w14:val="000000"/>
                        </w14:solidFill>
                        <w14:prstDash w14:val="solid"/>
                        <w14:bevel/>
                      </w14:textOutline>
                    </w:rPr>
                    <w:t>求</w:t>
                  </w:r>
                </w:p>
                <w:p>
                  <w:pPr>
                    <w:spacing w:before="66" w:line="229" w:lineRule="auto"/>
                    <w:ind w:left="8"/>
                    <w:rPr>
                      <w:rFonts w:ascii="宋体" w:hAnsi="宋体" w:eastAsia="宋体" w:cs="宋体"/>
                      <w:sz w:val="17"/>
                      <w:szCs w:val="17"/>
                    </w:rPr>
                  </w:pPr>
                  <w:r>
                    <w:rPr>
                      <w:rFonts w:ascii="宋体" w:hAnsi="宋体" w:eastAsia="宋体" w:cs="宋体"/>
                      <w:spacing w:val="18"/>
                      <w:sz w:val="17"/>
                      <w:szCs w:val="17"/>
                    </w:rPr>
                    <w:t>执</w:t>
                  </w:r>
                  <w:r>
                    <w:rPr>
                      <w:rFonts w:ascii="宋体" w:hAnsi="宋体" w:eastAsia="宋体" w:cs="宋体"/>
                      <w:spacing w:val="9"/>
                      <w:sz w:val="17"/>
                      <w:szCs w:val="17"/>
                    </w:rPr>
                    <w:t>行达州市城镇重点管控单元总体要求</w:t>
                  </w:r>
                </w:p>
                <w:p>
                  <w:pPr>
                    <w:spacing w:before="69" w:line="230" w:lineRule="auto"/>
                    <w:ind w:left="18"/>
                    <w:rPr>
                      <w:rFonts w:ascii="宋体" w:hAnsi="宋体" w:eastAsia="宋体" w:cs="宋体"/>
                      <w:sz w:val="17"/>
                      <w:szCs w:val="17"/>
                    </w:rPr>
                  </w:pP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4"/>
                      <w:sz w:val="17"/>
                      <w:szCs w:val="17"/>
                    </w:rPr>
                    <w:t>2</w:t>
                  </w: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宋体" w:hAnsi="宋体" w:eastAsia="宋体" w:cs="宋体"/>
                      <w:spacing w:val="14"/>
                      <w:sz w:val="17"/>
                      <w:szCs w:val="17"/>
                    </w:rPr>
                    <w:t xml:space="preserve"> </w:t>
                  </w:r>
                  <w:r>
                    <w:rPr>
                      <w:rFonts w:ascii="宋体" w:hAnsi="宋体" w:eastAsia="宋体" w:cs="宋体"/>
                      <w:spacing w:val="14"/>
                      <w:sz w:val="17"/>
                      <w:szCs w:val="17"/>
                      <w14:textOutline w14:w="3268" w14:cap="sq" w14:cmpd="sng">
                        <w14:solidFill>
                          <w14:srgbClr w14:val="000000"/>
                        </w14:solidFill>
                        <w14:prstDash w14:val="solid"/>
                        <w14:bevel/>
                      </w14:textOutline>
                    </w:rPr>
                    <w:t>安全利用类农用地管控要</w:t>
                  </w:r>
                  <w:r>
                    <w:rPr>
                      <w:rFonts w:ascii="宋体" w:hAnsi="宋体" w:eastAsia="宋体" w:cs="宋体"/>
                      <w:spacing w:val="11"/>
                      <w:sz w:val="17"/>
                      <w:szCs w:val="17"/>
                      <w14:textOutline w14:w="3268" w14:cap="sq" w14:cmpd="sng">
                        <w14:solidFill>
                          <w14:srgbClr w14:val="000000"/>
                        </w14:solidFill>
                        <w14:prstDash w14:val="solid"/>
                        <w14:bevel/>
                      </w14:textOutline>
                    </w:rPr>
                    <w:t>求</w:t>
                  </w:r>
                </w:p>
                <w:p>
                  <w:pPr>
                    <w:spacing w:before="69" w:line="304" w:lineRule="auto"/>
                    <w:ind w:left="9" w:right="51"/>
                    <w:rPr>
                      <w:rFonts w:ascii="宋体" w:hAnsi="宋体" w:eastAsia="宋体" w:cs="宋体"/>
                      <w:sz w:val="17"/>
                      <w:szCs w:val="17"/>
                    </w:rPr>
                  </w:pPr>
                  <w:r>
                    <w:rPr>
                      <w:rFonts w:ascii="宋体" w:hAnsi="宋体" w:eastAsia="宋体" w:cs="宋体"/>
                      <w:spacing w:val="18"/>
                      <w:sz w:val="17"/>
                      <w:szCs w:val="17"/>
                    </w:rPr>
                    <w:t>有一</w:t>
                  </w:r>
                  <w:r>
                    <w:rPr>
                      <w:rFonts w:ascii="宋体" w:hAnsi="宋体" w:eastAsia="宋体" w:cs="宋体"/>
                      <w:spacing w:val="11"/>
                      <w:sz w:val="17"/>
                      <w:szCs w:val="17"/>
                    </w:rPr>
                    <w:t>定</w:t>
                  </w:r>
                  <w:r>
                    <w:rPr>
                      <w:rFonts w:ascii="宋体" w:hAnsi="宋体" w:eastAsia="宋体" w:cs="宋体"/>
                      <w:spacing w:val="9"/>
                      <w:sz w:val="17"/>
                      <w:szCs w:val="17"/>
                    </w:rPr>
                    <w:t>危险性仓库用地远离市区，按有关规范选址和建设，留够</w:t>
                  </w:r>
                  <w:r>
                    <w:rPr>
                      <w:rFonts w:ascii="宋体" w:hAnsi="宋体" w:eastAsia="宋体" w:cs="宋体"/>
                      <w:sz w:val="17"/>
                      <w:szCs w:val="17"/>
                    </w:rPr>
                    <w:t xml:space="preserve"> </w:t>
                  </w:r>
                  <w:r>
                    <w:rPr>
                      <w:rFonts w:ascii="宋体" w:hAnsi="宋体" w:eastAsia="宋体" w:cs="宋体"/>
                      <w:spacing w:val="18"/>
                      <w:sz w:val="17"/>
                      <w:szCs w:val="17"/>
                    </w:rPr>
                    <w:t>防护</w:t>
                  </w:r>
                  <w:r>
                    <w:rPr>
                      <w:rFonts w:ascii="宋体" w:hAnsi="宋体" w:eastAsia="宋体" w:cs="宋体"/>
                      <w:spacing w:val="10"/>
                      <w:sz w:val="17"/>
                      <w:szCs w:val="17"/>
                    </w:rPr>
                    <w:t>距</w:t>
                  </w:r>
                  <w:r>
                    <w:rPr>
                      <w:rFonts w:ascii="宋体" w:hAnsi="宋体" w:eastAsia="宋体" w:cs="宋体"/>
                      <w:spacing w:val="9"/>
                      <w:sz w:val="17"/>
                      <w:szCs w:val="17"/>
                    </w:rPr>
                    <w:t>离，原则上安排在铁山山谷。其他同达州市城镇重点总体</w:t>
                  </w:r>
                  <w:r>
                    <w:rPr>
                      <w:rFonts w:ascii="宋体" w:hAnsi="宋体" w:eastAsia="宋体" w:cs="宋体"/>
                      <w:sz w:val="17"/>
                      <w:szCs w:val="17"/>
                    </w:rPr>
                    <w:t xml:space="preserve"> </w:t>
                  </w:r>
                  <w:r>
                    <w:rPr>
                      <w:rFonts w:ascii="宋体" w:hAnsi="宋体" w:eastAsia="宋体" w:cs="宋体"/>
                      <w:spacing w:val="8"/>
                      <w:sz w:val="17"/>
                      <w:szCs w:val="17"/>
                    </w:rPr>
                    <w:t>准入要</w:t>
                  </w:r>
                  <w:r>
                    <w:rPr>
                      <w:rFonts w:ascii="宋体" w:hAnsi="宋体" w:eastAsia="宋体" w:cs="宋体"/>
                      <w:spacing w:val="7"/>
                      <w:sz w:val="17"/>
                      <w:szCs w:val="17"/>
                    </w:rPr>
                    <w:t>求</w:t>
                  </w:r>
                </w:p>
                <w:p>
                  <w:pPr>
                    <w:spacing w:line="230" w:lineRule="auto"/>
                    <w:ind w:left="18"/>
                    <w:rPr>
                      <w:rFonts w:ascii="宋体" w:hAnsi="宋体" w:eastAsia="宋体" w:cs="宋体"/>
                      <w:sz w:val="17"/>
                      <w:szCs w:val="17"/>
                    </w:rPr>
                  </w:pPr>
                  <w:r>
                    <w:rPr>
                      <w:rFonts w:ascii="宋体" w:hAnsi="宋体" w:eastAsia="宋体" w:cs="宋体"/>
                      <w:spacing w:val="22"/>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4"/>
                      <w:sz w:val="17"/>
                      <w:szCs w:val="17"/>
                    </w:rPr>
                    <w:t>3</w:t>
                  </w: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宋体" w:hAnsi="宋体" w:eastAsia="宋体" w:cs="宋体"/>
                      <w:spacing w:val="14"/>
                      <w:sz w:val="17"/>
                      <w:szCs w:val="17"/>
                    </w:rPr>
                    <w:t xml:space="preserve"> </w:t>
                  </w:r>
                  <w:r>
                    <w:rPr>
                      <w:rFonts w:ascii="宋体" w:hAnsi="宋体" w:eastAsia="宋体" w:cs="宋体"/>
                      <w:spacing w:val="14"/>
                      <w:sz w:val="17"/>
                      <w:szCs w:val="17"/>
                      <w14:textOutline w14:w="3268" w14:cap="sq" w14:cmpd="sng">
                        <w14:solidFill>
                          <w14:srgbClr w14:val="000000"/>
                        </w14:solidFill>
                        <w14:prstDash w14:val="solid"/>
                        <w14:bevel/>
                      </w14:textOutline>
                    </w:rPr>
                    <w:t>污染地块管控要求</w:t>
                  </w:r>
                </w:p>
                <w:p>
                  <w:pPr>
                    <w:spacing w:before="67" w:line="229" w:lineRule="auto"/>
                    <w:ind w:left="8"/>
                    <w:rPr>
                      <w:rFonts w:ascii="宋体" w:hAnsi="宋体" w:eastAsia="宋体" w:cs="宋体"/>
                      <w:sz w:val="17"/>
                      <w:szCs w:val="17"/>
                    </w:rPr>
                  </w:pPr>
                  <w:r>
                    <w:rPr>
                      <w:rFonts w:ascii="宋体" w:hAnsi="宋体" w:eastAsia="宋体" w:cs="宋体"/>
                      <w:spacing w:val="18"/>
                      <w:sz w:val="17"/>
                      <w:szCs w:val="17"/>
                    </w:rPr>
                    <w:t>执</w:t>
                  </w:r>
                  <w:r>
                    <w:rPr>
                      <w:rFonts w:ascii="宋体" w:hAnsi="宋体" w:eastAsia="宋体" w:cs="宋体"/>
                      <w:spacing w:val="9"/>
                      <w:sz w:val="17"/>
                      <w:szCs w:val="17"/>
                    </w:rPr>
                    <w:t>行达州市城镇重点管控单元总体要求</w:t>
                  </w:r>
                </w:p>
                <w:p>
                  <w:pPr>
                    <w:spacing w:before="69" w:line="231" w:lineRule="auto"/>
                    <w:ind w:left="18"/>
                    <w:rPr>
                      <w:rFonts w:ascii="宋体" w:hAnsi="宋体" w:eastAsia="宋体" w:cs="宋体"/>
                      <w:sz w:val="17"/>
                      <w:szCs w:val="17"/>
                    </w:rPr>
                  </w:pPr>
                  <w:r>
                    <w:rPr>
                      <w:rFonts w:ascii="宋体" w:hAnsi="宋体" w:eastAsia="宋体" w:cs="宋体"/>
                      <w:spacing w:val="17"/>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4"/>
                      <w:sz w:val="17"/>
                      <w:szCs w:val="17"/>
                    </w:rPr>
                    <w:t>4</w:t>
                  </w: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宋体" w:hAnsi="宋体" w:eastAsia="宋体" w:cs="宋体"/>
                      <w:spacing w:val="14"/>
                      <w:sz w:val="17"/>
                      <w:szCs w:val="17"/>
                    </w:rPr>
                    <w:t xml:space="preserve"> </w:t>
                  </w:r>
                  <w:r>
                    <w:rPr>
                      <w:rFonts w:ascii="宋体" w:hAnsi="宋体" w:eastAsia="宋体" w:cs="宋体"/>
                      <w:spacing w:val="14"/>
                      <w:sz w:val="17"/>
                      <w:szCs w:val="17"/>
                      <w14:textOutline w14:w="3268" w14:cap="sq" w14:cmpd="sng">
                        <w14:solidFill>
                          <w14:srgbClr w14:val="000000"/>
                        </w14:solidFill>
                        <w14:prstDash w14:val="solid"/>
                        <w14:bevel/>
                      </w14:textOutline>
                    </w:rPr>
                    <w:t>园区环境风险防控要求</w:t>
                  </w:r>
                </w:p>
                <w:p>
                  <w:pPr>
                    <w:spacing w:before="68" w:line="231" w:lineRule="auto"/>
                    <w:ind w:left="18"/>
                    <w:rPr>
                      <w:rFonts w:ascii="宋体" w:hAnsi="宋体" w:eastAsia="宋体" w:cs="宋体"/>
                      <w:sz w:val="17"/>
                      <w:szCs w:val="17"/>
                    </w:rPr>
                  </w:pPr>
                  <w:r>
                    <w:rPr>
                      <w:rFonts w:ascii="宋体" w:hAnsi="宋体" w:eastAsia="宋体" w:cs="宋体"/>
                      <w:spacing w:val="17"/>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4"/>
                      <w:sz w:val="17"/>
                      <w:szCs w:val="17"/>
                    </w:rPr>
                    <w:t>5</w:t>
                  </w: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宋体" w:hAnsi="宋体" w:eastAsia="宋体" w:cs="宋体"/>
                      <w:spacing w:val="14"/>
                      <w:sz w:val="17"/>
                      <w:szCs w:val="17"/>
                    </w:rPr>
                    <w:t xml:space="preserve"> </w:t>
                  </w:r>
                  <w:r>
                    <w:rPr>
                      <w:rFonts w:ascii="宋体" w:hAnsi="宋体" w:eastAsia="宋体" w:cs="宋体"/>
                      <w:spacing w:val="14"/>
                      <w:sz w:val="17"/>
                      <w:szCs w:val="17"/>
                      <w14:textOutline w14:w="3268" w14:cap="sq" w14:cmpd="sng">
                        <w14:solidFill>
                          <w14:srgbClr w14:val="000000"/>
                        </w14:solidFill>
                        <w14:prstDash w14:val="solid"/>
                        <w14:bevel/>
                      </w14:textOutline>
                    </w:rPr>
                    <w:t>企业环境风险防控要求</w:t>
                  </w:r>
                </w:p>
                <w:p>
                  <w:pPr>
                    <w:spacing w:before="66" w:line="229" w:lineRule="auto"/>
                    <w:ind w:left="8"/>
                    <w:rPr>
                      <w:rFonts w:ascii="宋体" w:hAnsi="宋体" w:eastAsia="宋体" w:cs="宋体"/>
                      <w:sz w:val="17"/>
                      <w:szCs w:val="17"/>
                    </w:rPr>
                  </w:pPr>
                  <w:r>
                    <w:rPr>
                      <w:rFonts w:ascii="宋体" w:hAnsi="宋体" w:eastAsia="宋体" w:cs="宋体"/>
                      <w:spacing w:val="18"/>
                      <w:sz w:val="17"/>
                      <w:szCs w:val="17"/>
                    </w:rPr>
                    <w:t>执</w:t>
                  </w:r>
                  <w:r>
                    <w:rPr>
                      <w:rFonts w:ascii="宋体" w:hAnsi="宋体" w:eastAsia="宋体" w:cs="宋体"/>
                      <w:spacing w:val="9"/>
                      <w:sz w:val="17"/>
                      <w:szCs w:val="17"/>
                    </w:rPr>
                    <w:t>行达州市城镇重点管控单元总体要求</w:t>
                  </w:r>
                </w:p>
                <w:p>
                  <w:pPr>
                    <w:spacing w:before="70" w:line="226" w:lineRule="auto"/>
                    <w:ind w:left="18"/>
                    <w:rPr>
                      <w:rFonts w:ascii="宋体" w:hAnsi="宋体" w:eastAsia="宋体" w:cs="宋体"/>
                      <w:sz w:val="17"/>
                      <w:szCs w:val="17"/>
                    </w:rPr>
                  </w:pPr>
                  <w:r>
                    <w:rPr>
                      <w:rFonts w:ascii="宋体" w:hAnsi="宋体" w:eastAsia="宋体" w:cs="宋体"/>
                      <w:spacing w:val="17"/>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4"/>
                      <w:sz w:val="17"/>
                      <w:szCs w:val="17"/>
                    </w:rPr>
                    <w:t>6</w:t>
                  </w: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宋体" w:hAnsi="宋体" w:eastAsia="宋体" w:cs="宋体"/>
                      <w:spacing w:val="14"/>
                      <w:sz w:val="17"/>
                      <w:szCs w:val="17"/>
                    </w:rPr>
                    <w:t xml:space="preserve"> </w:t>
                  </w:r>
                  <w:r>
                    <w:rPr>
                      <w:rFonts w:ascii="宋体" w:hAnsi="宋体" w:eastAsia="宋体" w:cs="宋体"/>
                      <w:spacing w:val="14"/>
                      <w:sz w:val="17"/>
                      <w:szCs w:val="17"/>
                      <w14:textOutline w14:w="3268" w14:cap="sq" w14:cmpd="sng">
                        <w14:solidFill>
                          <w14:srgbClr w14:val="000000"/>
                        </w14:solidFill>
                        <w14:prstDash w14:val="solid"/>
                        <w14:bevel/>
                      </w14:textOutline>
                    </w:rPr>
                    <w:t>其他环境风险防控要求</w:t>
                  </w:r>
                </w:p>
              </w:tc>
              <w:tc>
                <w:tcPr>
                  <w:tcW w:w="1039" w:type="dxa"/>
                  <w:vAlign w:val="top"/>
                </w:tcPr>
                <w:p>
                  <w:pPr>
                    <w:spacing w:line="357" w:lineRule="auto"/>
                    <w:rPr>
                      <w:rFonts w:ascii="Arial"/>
                      <w:sz w:val="21"/>
                    </w:rPr>
                  </w:pPr>
                </w:p>
                <w:p>
                  <w:pPr>
                    <w:spacing w:line="358" w:lineRule="auto"/>
                    <w:rPr>
                      <w:rFonts w:ascii="Arial"/>
                      <w:sz w:val="21"/>
                    </w:rPr>
                  </w:pPr>
                </w:p>
                <w:p>
                  <w:pPr>
                    <w:spacing w:before="55" w:line="230" w:lineRule="auto"/>
                    <w:ind w:left="78"/>
                    <w:rPr>
                      <w:rFonts w:ascii="宋体" w:hAnsi="宋体" w:eastAsia="宋体" w:cs="宋体"/>
                      <w:sz w:val="17"/>
                      <w:szCs w:val="17"/>
                    </w:rPr>
                  </w:pPr>
                  <w:r>
                    <w:rPr>
                      <w:rFonts w:ascii="宋体" w:hAnsi="宋体" w:eastAsia="宋体" w:cs="宋体"/>
                      <w:spacing w:val="8"/>
                      <w:sz w:val="17"/>
                      <w:szCs w:val="17"/>
                    </w:rPr>
                    <w:t>项目为城市</w:t>
                  </w:r>
                </w:p>
                <w:p>
                  <w:pPr>
                    <w:spacing w:before="69" w:line="308" w:lineRule="auto"/>
                    <w:ind w:left="74" w:hanging="64"/>
                    <w:rPr>
                      <w:rFonts w:ascii="宋体" w:hAnsi="宋体" w:eastAsia="宋体" w:cs="宋体"/>
                      <w:sz w:val="17"/>
                      <w:szCs w:val="17"/>
                    </w:rPr>
                  </w:pPr>
                  <w:r>
                    <w:rPr>
                      <w:rFonts w:ascii="宋体" w:hAnsi="宋体" w:eastAsia="宋体" w:cs="宋体"/>
                      <w:spacing w:val="1"/>
                      <w:sz w:val="17"/>
                      <w:szCs w:val="17"/>
                    </w:rPr>
                    <w:t>桥梁</w:t>
                  </w:r>
                  <w:r>
                    <w:rPr>
                      <w:rFonts w:ascii="宋体" w:hAnsi="宋体" w:eastAsia="宋体" w:cs="宋体"/>
                      <w:sz w:val="17"/>
                      <w:szCs w:val="17"/>
                    </w:rPr>
                    <w:t xml:space="preserve">项目，环 </w:t>
                  </w:r>
                  <w:r>
                    <w:rPr>
                      <w:rFonts w:ascii="宋体" w:hAnsi="宋体" w:eastAsia="宋体" w:cs="宋体"/>
                      <w:spacing w:val="10"/>
                      <w:sz w:val="17"/>
                      <w:szCs w:val="17"/>
                    </w:rPr>
                    <w:t>境</w:t>
                  </w:r>
                  <w:r>
                    <w:rPr>
                      <w:rFonts w:ascii="宋体" w:hAnsi="宋体" w:eastAsia="宋体" w:cs="宋体"/>
                      <w:spacing w:val="8"/>
                      <w:sz w:val="17"/>
                      <w:szCs w:val="17"/>
                    </w:rPr>
                    <w:t>风险防控</w:t>
                  </w:r>
                  <w:r>
                    <w:rPr>
                      <w:rFonts w:ascii="宋体" w:hAnsi="宋体" w:eastAsia="宋体" w:cs="宋体"/>
                      <w:sz w:val="17"/>
                      <w:szCs w:val="17"/>
                    </w:rPr>
                    <w:t xml:space="preserve"> </w:t>
                  </w:r>
                  <w:r>
                    <w:rPr>
                      <w:rFonts w:ascii="宋体" w:hAnsi="宋体" w:eastAsia="宋体" w:cs="宋体"/>
                      <w:spacing w:val="10"/>
                      <w:sz w:val="17"/>
                      <w:szCs w:val="17"/>
                    </w:rPr>
                    <w:t>措</w:t>
                  </w:r>
                  <w:r>
                    <w:rPr>
                      <w:rFonts w:ascii="宋体" w:hAnsi="宋体" w:eastAsia="宋体" w:cs="宋体"/>
                      <w:spacing w:val="8"/>
                      <w:sz w:val="17"/>
                      <w:szCs w:val="17"/>
                    </w:rPr>
                    <w:t>施满足达</w:t>
                  </w:r>
                  <w:r>
                    <w:rPr>
                      <w:rFonts w:ascii="宋体" w:hAnsi="宋体" w:eastAsia="宋体" w:cs="宋体"/>
                      <w:sz w:val="17"/>
                      <w:szCs w:val="17"/>
                    </w:rPr>
                    <w:t xml:space="preserve"> </w:t>
                  </w:r>
                  <w:r>
                    <w:rPr>
                      <w:rFonts w:ascii="宋体" w:hAnsi="宋体" w:eastAsia="宋体" w:cs="宋体"/>
                      <w:spacing w:val="10"/>
                      <w:sz w:val="17"/>
                      <w:szCs w:val="17"/>
                    </w:rPr>
                    <w:t>州</w:t>
                  </w:r>
                  <w:r>
                    <w:rPr>
                      <w:rFonts w:ascii="宋体" w:hAnsi="宋体" w:eastAsia="宋体" w:cs="宋体"/>
                      <w:spacing w:val="8"/>
                      <w:sz w:val="17"/>
                      <w:szCs w:val="17"/>
                    </w:rPr>
                    <w:t>市城镇重</w:t>
                  </w:r>
                  <w:r>
                    <w:rPr>
                      <w:rFonts w:ascii="宋体" w:hAnsi="宋体" w:eastAsia="宋体" w:cs="宋体"/>
                      <w:sz w:val="17"/>
                      <w:szCs w:val="17"/>
                    </w:rPr>
                    <w:t xml:space="preserve"> </w:t>
                  </w:r>
                  <w:r>
                    <w:rPr>
                      <w:rFonts w:ascii="宋体" w:hAnsi="宋体" w:eastAsia="宋体" w:cs="宋体"/>
                      <w:spacing w:val="10"/>
                      <w:sz w:val="17"/>
                      <w:szCs w:val="17"/>
                    </w:rPr>
                    <w:t>点</w:t>
                  </w:r>
                  <w:r>
                    <w:rPr>
                      <w:rFonts w:ascii="宋体" w:hAnsi="宋体" w:eastAsia="宋体" w:cs="宋体"/>
                      <w:spacing w:val="8"/>
                      <w:sz w:val="17"/>
                      <w:szCs w:val="17"/>
                    </w:rPr>
                    <w:t>管控单元</w:t>
                  </w:r>
                  <w:r>
                    <w:rPr>
                      <w:rFonts w:ascii="宋体" w:hAnsi="宋体" w:eastAsia="宋体" w:cs="宋体"/>
                      <w:sz w:val="17"/>
                      <w:szCs w:val="17"/>
                    </w:rPr>
                    <w:t xml:space="preserve"> </w:t>
                  </w:r>
                  <w:r>
                    <w:rPr>
                      <w:rFonts w:ascii="宋体" w:hAnsi="宋体" w:eastAsia="宋体" w:cs="宋体"/>
                      <w:spacing w:val="8"/>
                      <w:sz w:val="17"/>
                      <w:szCs w:val="17"/>
                    </w:rPr>
                    <w:t>总</w:t>
                  </w:r>
                  <w:r>
                    <w:rPr>
                      <w:rFonts w:ascii="宋体" w:hAnsi="宋体" w:eastAsia="宋体" w:cs="宋体"/>
                      <w:spacing w:val="6"/>
                      <w:sz w:val="17"/>
                      <w:szCs w:val="17"/>
                    </w:rPr>
                    <w:t>体要求。</w:t>
                  </w:r>
                </w:p>
              </w:tc>
              <w:tc>
                <w:tcPr>
                  <w:tcW w:w="417"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55" w:line="230" w:lineRule="auto"/>
                    <w:ind w:left="33"/>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符</w:t>
                  </w:r>
                  <w:r>
                    <w:rPr>
                      <w:rFonts w:ascii="宋体" w:hAnsi="宋体" w:eastAsia="宋体" w:cs="宋体"/>
                      <w:spacing w:val="5"/>
                      <w:sz w:val="17"/>
                      <w:szCs w:val="17"/>
                      <w14:textOutline w14:w="3268" w14:cap="sq" w14:cmpd="sng">
                        <w14:solidFill>
                          <w14:srgbClr w14:val="000000"/>
                        </w14:solidFill>
                        <w14:prstDash w14:val="solid"/>
                        <w14:bevel/>
                      </w14:textOutline>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561" w:type="dxa"/>
                  <w:vMerge w:val="continue"/>
                  <w:tcBorders>
                    <w:top w:val="nil"/>
                  </w:tcBorders>
                  <w:vAlign w:val="top"/>
                </w:tcPr>
                <w:p>
                  <w:pPr>
                    <w:rPr>
                      <w:rFonts w:ascii="Arial"/>
                      <w:sz w:val="21"/>
                    </w:rPr>
                  </w:pPr>
                </w:p>
              </w:tc>
              <w:tc>
                <w:tcPr>
                  <w:tcW w:w="283" w:type="dxa"/>
                  <w:vMerge w:val="continue"/>
                  <w:tcBorders>
                    <w:top w:val="nil"/>
                  </w:tcBorders>
                  <w:textDirection w:val="tbRlV"/>
                  <w:vAlign w:val="top"/>
                </w:tcPr>
                <w:p>
                  <w:pPr>
                    <w:rPr>
                      <w:rFonts w:ascii="Arial"/>
                      <w:sz w:val="21"/>
                    </w:rPr>
                  </w:pPr>
                </w:p>
              </w:tc>
              <w:tc>
                <w:tcPr>
                  <w:tcW w:w="405" w:type="dxa"/>
                  <w:vAlign w:val="top"/>
                </w:tcPr>
                <w:p>
                  <w:pPr>
                    <w:spacing w:before="77" w:line="229" w:lineRule="auto"/>
                    <w:ind w:left="32"/>
                    <w:rPr>
                      <w:rFonts w:ascii="宋体" w:hAnsi="宋体" w:eastAsia="宋体" w:cs="宋体"/>
                      <w:sz w:val="17"/>
                      <w:szCs w:val="17"/>
                    </w:rPr>
                  </w:pPr>
                  <w:r>
                    <w:rPr>
                      <w:rFonts w:ascii="宋体" w:hAnsi="宋体" w:eastAsia="宋体" w:cs="宋体"/>
                      <w:spacing w:val="3"/>
                      <w:sz w:val="17"/>
                      <w:szCs w:val="17"/>
                      <w14:textOutline w14:w="3268" w14:cap="sq" w14:cmpd="sng">
                        <w14:solidFill>
                          <w14:srgbClr w14:val="000000"/>
                        </w14:solidFill>
                        <w14:prstDash w14:val="solid"/>
                        <w14:bevel/>
                      </w14:textOutline>
                    </w:rPr>
                    <w:t>资</w:t>
                  </w:r>
                  <w:r>
                    <w:rPr>
                      <w:rFonts w:ascii="宋体" w:hAnsi="宋体" w:eastAsia="宋体" w:cs="宋体"/>
                      <w:spacing w:val="2"/>
                      <w:sz w:val="17"/>
                      <w:szCs w:val="17"/>
                      <w14:textOutline w14:w="3268" w14:cap="sq" w14:cmpd="sng">
                        <w14:solidFill>
                          <w14:srgbClr w14:val="000000"/>
                        </w14:solidFill>
                        <w14:prstDash w14:val="solid"/>
                        <w14:bevel/>
                      </w14:textOutline>
                    </w:rPr>
                    <w:t>源</w:t>
                  </w:r>
                </w:p>
              </w:tc>
              <w:tc>
                <w:tcPr>
                  <w:tcW w:w="5098" w:type="dxa"/>
                  <w:vAlign w:val="top"/>
                </w:tcPr>
                <w:p>
                  <w:pPr>
                    <w:spacing w:before="77" w:line="229" w:lineRule="auto"/>
                    <w:ind w:left="18"/>
                    <w:rPr>
                      <w:rFonts w:ascii="宋体" w:hAnsi="宋体" w:eastAsia="宋体" w:cs="宋体"/>
                      <w:sz w:val="17"/>
                      <w:szCs w:val="17"/>
                    </w:rPr>
                  </w:pPr>
                  <w:r>
                    <w:rPr>
                      <w:rFonts w:ascii="宋体" w:hAnsi="宋体" w:eastAsia="宋体" w:cs="宋体"/>
                      <w:spacing w:val="21"/>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4"/>
                      <w:sz w:val="17"/>
                      <w:szCs w:val="17"/>
                    </w:rPr>
                    <w:t>1</w:t>
                  </w: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宋体" w:hAnsi="宋体" w:eastAsia="宋体" w:cs="宋体"/>
                      <w:spacing w:val="14"/>
                      <w:sz w:val="17"/>
                      <w:szCs w:val="17"/>
                    </w:rPr>
                    <w:t xml:space="preserve"> </w:t>
                  </w:r>
                  <w:r>
                    <w:rPr>
                      <w:rFonts w:ascii="宋体" w:hAnsi="宋体" w:eastAsia="宋体" w:cs="宋体"/>
                      <w:spacing w:val="14"/>
                      <w:sz w:val="17"/>
                      <w:szCs w:val="17"/>
                      <w14:textOutline w14:w="3268" w14:cap="sq" w14:cmpd="sng">
                        <w14:solidFill>
                          <w14:srgbClr w14:val="000000"/>
                        </w14:solidFill>
                        <w14:prstDash w14:val="solid"/>
                        <w14:bevel/>
                      </w14:textOutline>
                    </w:rPr>
                    <w:t>水资源利用效率要求</w:t>
                  </w:r>
                </w:p>
              </w:tc>
              <w:tc>
                <w:tcPr>
                  <w:tcW w:w="1039" w:type="dxa"/>
                  <w:vAlign w:val="top"/>
                </w:tcPr>
                <w:p>
                  <w:pPr>
                    <w:spacing w:before="77" w:line="229" w:lineRule="auto"/>
                    <w:ind w:left="83"/>
                    <w:rPr>
                      <w:rFonts w:ascii="宋体" w:hAnsi="宋体" w:eastAsia="宋体" w:cs="宋体"/>
                      <w:sz w:val="17"/>
                      <w:szCs w:val="17"/>
                    </w:rPr>
                  </w:pPr>
                  <w:r>
                    <w:rPr>
                      <w:rFonts w:ascii="宋体" w:hAnsi="宋体" w:eastAsia="宋体" w:cs="宋体"/>
                      <w:spacing w:val="7"/>
                      <w:sz w:val="17"/>
                      <w:szCs w:val="17"/>
                    </w:rPr>
                    <w:t>资源开发利</w:t>
                  </w:r>
                </w:p>
              </w:tc>
              <w:tc>
                <w:tcPr>
                  <w:tcW w:w="417" w:type="dxa"/>
                  <w:vAlign w:val="top"/>
                </w:tcPr>
                <w:p>
                  <w:pPr>
                    <w:spacing w:before="77" w:line="229" w:lineRule="auto"/>
                    <w:ind w:left="33"/>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符</w:t>
                  </w:r>
                  <w:r>
                    <w:rPr>
                      <w:rFonts w:ascii="宋体" w:hAnsi="宋体" w:eastAsia="宋体" w:cs="宋体"/>
                      <w:spacing w:val="5"/>
                      <w:sz w:val="17"/>
                      <w:szCs w:val="17"/>
                      <w14:textOutline w14:w="3268" w14:cap="sq" w14:cmpd="sng">
                        <w14:solidFill>
                          <w14:srgbClr w14:val="000000"/>
                        </w14:solidFill>
                        <w14:prstDash w14:val="solid"/>
                        <w14:bevel/>
                      </w14:textOutline>
                    </w:rPr>
                    <w:t>合</w:t>
                  </w:r>
                </w:p>
              </w:tc>
            </w:tr>
          </w:tbl>
          <w:p>
            <w:pPr>
              <w:spacing w:line="75" w:lineRule="exact"/>
              <w:rPr>
                <w:rFonts w:ascii="Arial"/>
                <w:sz w:val="6"/>
              </w:rPr>
            </w:pPr>
          </w:p>
        </w:tc>
      </w:tr>
    </w:tbl>
    <w:p>
      <w:pPr>
        <w:spacing w:line="161" w:lineRule="exact"/>
        <w:rPr>
          <w:rFonts w:ascii="Arial"/>
          <w:sz w:val="14"/>
        </w:rPr>
      </w:pPr>
    </w:p>
    <w:p>
      <w:pPr>
        <w:sectPr>
          <w:footerReference r:id="rId16" w:type="default"/>
          <w:pgSz w:w="11906" w:h="16839"/>
          <w:pgMar w:top="400" w:right="1434" w:bottom="1475" w:left="1521" w:header="0" w:footer="1315" w:gutter="0"/>
          <w:cols w:space="720" w:num="1"/>
        </w:sectPr>
      </w:pPr>
    </w:p>
    <w:p/>
    <w:p/>
    <w:p/>
    <w:p/>
    <w:p>
      <w:pPr>
        <w:spacing w:line="221" w:lineRule="exact"/>
      </w:pPr>
    </w:p>
    <w:tbl>
      <w:tblPr>
        <w:tblStyle w:val="4"/>
        <w:tblW w:w="893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4"/>
        <w:gridCol w:w="82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04" w:hRule="atLeast"/>
        </w:trPr>
        <w:tc>
          <w:tcPr>
            <w:tcW w:w="714" w:type="dxa"/>
            <w:tcBorders>
              <w:left w:val="single" w:color="00000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5" w:line="228"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其</w:t>
            </w:r>
            <w:r>
              <w:rPr>
                <w:rFonts w:ascii="宋体" w:hAnsi="宋体" w:eastAsia="宋体" w:cs="宋体"/>
                <w:spacing w:val="7"/>
                <w:sz w:val="20"/>
                <w:szCs w:val="20"/>
                <w14:textOutline w14:w="3795" w14:cap="sq" w14:cmpd="sng">
                  <w14:solidFill>
                    <w14:srgbClr w14:val="000000"/>
                  </w14:solidFill>
                  <w14:prstDash w14:val="solid"/>
                  <w14:bevel/>
                </w14:textOutline>
              </w:rPr>
              <w:t>他符</w:t>
            </w:r>
          </w:p>
          <w:p>
            <w:pPr>
              <w:spacing w:before="164" w:line="228"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合</w:t>
            </w:r>
            <w:r>
              <w:rPr>
                <w:rFonts w:ascii="宋体" w:hAnsi="宋体" w:eastAsia="宋体" w:cs="宋体"/>
                <w:spacing w:val="7"/>
                <w:sz w:val="20"/>
                <w:szCs w:val="20"/>
                <w14:textOutline w14:w="3795" w14:cap="sq" w14:cmpd="sng">
                  <w14:solidFill>
                    <w14:srgbClr w14:val="000000"/>
                  </w14:solidFill>
                  <w14:prstDash w14:val="solid"/>
                  <w14:bevel/>
                </w14:textOutline>
              </w:rPr>
              <w:t>性分</w:t>
            </w:r>
          </w:p>
          <w:p>
            <w:pPr>
              <w:spacing w:before="160" w:line="228" w:lineRule="auto"/>
              <w:ind w:left="251"/>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析</w:t>
            </w:r>
          </w:p>
        </w:tc>
        <w:tc>
          <w:tcPr>
            <w:tcW w:w="8221" w:type="dxa"/>
            <w:tcBorders>
              <w:right w:val="single" w:color="000000" w:sz="6" w:space="0"/>
            </w:tcBorders>
            <w:vAlign w:val="top"/>
          </w:tcPr>
          <w:p>
            <w:pPr>
              <w:spacing w:line="31" w:lineRule="exact"/>
            </w:pPr>
            <w:r>
              <w:pict>
                <v:shape id="_x0000_s1041" o:spid="_x0000_s1041" o:spt="202" type="#_x0000_t202" style="position:absolute;left:0pt;margin-left:344.2pt;margin-top:285.75pt;height:12.6pt;width:10.55pt;mso-position-horizontal-relative:page;mso-position-vertical-relative:page;z-index:251666432;mso-width-relative:page;mso-height-relative:page;" filled="f" stroked="f" coordsize="21600,21600">
                  <v:path/>
                  <v:fill on="f" focussize="0,0"/>
                  <v:stroke on="f"/>
                  <v:imagedata o:title=""/>
                  <o:lock v:ext="edit" aspectratio="f"/>
                  <v:textbox inset="0mm,0mm,0mm,0mm">
                    <w:txbxContent>
                      <w:p>
                        <w:pPr>
                          <w:spacing w:before="20" w:line="230" w:lineRule="auto"/>
                          <w:ind w:left="20"/>
                          <w:rPr>
                            <w:rFonts w:ascii="宋体" w:hAnsi="宋体" w:eastAsia="宋体" w:cs="宋体"/>
                            <w:sz w:val="17"/>
                            <w:szCs w:val="17"/>
                          </w:rPr>
                        </w:pPr>
                        <w:r>
                          <w:rPr>
                            <w:rFonts w:ascii="宋体" w:hAnsi="宋体" w:eastAsia="宋体" w:cs="宋体"/>
                            <w:sz w:val="17"/>
                            <w:szCs w:val="17"/>
                          </w:rPr>
                          <w:t>水</w:t>
                        </w:r>
                      </w:p>
                    </w:txbxContent>
                  </v:textbox>
                </v:shape>
              </w:pict>
            </w:r>
          </w:p>
          <w:tbl>
            <w:tblPr>
              <w:tblStyle w:val="4"/>
              <w:tblW w:w="7803" w:type="dxa"/>
              <w:tblInd w:w="2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1"/>
              <w:gridCol w:w="283"/>
              <w:gridCol w:w="405"/>
              <w:gridCol w:w="5098"/>
              <w:gridCol w:w="1039"/>
              <w:gridCol w:w="4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9" w:hRule="atLeast"/>
              </w:trPr>
              <w:tc>
                <w:tcPr>
                  <w:tcW w:w="561" w:type="dxa"/>
                  <w:vAlign w:val="top"/>
                </w:tcPr>
                <w:p>
                  <w:pPr>
                    <w:rPr>
                      <w:rFonts w:ascii="Arial"/>
                      <w:sz w:val="21"/>
                    </w:rPr>
                  </w:pPr>
                </w:p>
              </w:tc>
              <w:tc>
                <w:tcPr>
                  <w:tcW w:w="283" w:type="dxa"/>
                  <w:vAlign w:val="top"/>
                </w:tcPr>
                <w:p>
                  <w:pPr>
                    <w:rPr>
                      <w:rFonts w:ascii="Arial"/>
                      <w:sz w:val="21"/>
                    </w:rPr>
                  </w:pPr>
                </w:p>
              </w:tc>
              <w:tc>
                <w:tcPr>
                  <w:tcW w:w="405" w:type="dxa"/>
                  <w:vAlign w:val="top"/>
                </w:tcPr>
                <w:p>
                  <w:pPr>
                    <w:spacing w:before="76" w:line="312" w:lineRule="auto"/>
                    <w:ind w:left="25" w:right="22"/>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开发</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效率</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要求</w:t>
                  </w:r>
                </w:p>
              </w:tc>
              <w:tc>
                <w:tcPr>
                  <w:tcW w:w="5098" w:type="dxa"/>
                  <w:vAlign w:val="top"/>
                </w:tcPr>
                <w:p>
                  <w:pPr>
                    <w:spacing w:before="76" w:line="229" w:lineRule="auto"/>
                    <w:ind w:left="8"/>
                    <w:rPr>
                      <w:rFonts w:ascii="宋体" w:hAnsi="宋体" w:eastAsia="宋体" w:cs="宋体"/>
                      <w:sz w:val="17"/>
                      <w:szCs w:val="17"/>
                    </w:rPr>
                  </w:pPr>
                  <w:r>
                    <w:rPr>
                      <w:rFonts w:ascii="宋体" w:hAnsi="宋体" w:eastAsia="宋体" w:cs="宋体"/>
                      <w:spacing w:val="18"/>
                      <w:sz w:val="17"/>
                      <w:szCs w:val="17"/>
                    </w:rPr>
                    <w:t>执</w:t>
                  </w:r>
                  <w:r>
                    <w:rPr>
                      <w:rFonts w:ascii="宋体" w:hAnsi="宋体" w:eastAsia="宋体" w:cs="宋体"/>
                      <w:spacing w:val="9"/>
                      <w:sz w:val="17"/>
                      <w:szCs w:val="17"/>
                    </w:rPr>
                    <w:t>行达州市城镇重点管控单元总体要求</w:t>
                  </w:r>
                </w:p>
                <w:p>
                  <w:pPr>
                    <w:spacing w:before="67" w:line="229" w:lineRule="auto"/>
                    <w:ind w:left="18"/>
                    <w:rPr>
                      <w:rFonts w:ascii="宋体" w:hAnsi="宋体" w:eastAsia="宋体" w:cs="宋体"/>
                      <w:sz w:val="17"/>
                      <w:szCs w:val="17"/>
                    </w:rPr>
                  </w:pPr>
                  <w:r>
                    <w:rPr>
                      <w:rFonts w:ascii="宋体" w:hAnsi="宋体" w:eastAsia="宋体" w:cs="宋体"/>
                      <w:spacing w:val="16"/>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5"/>
                      <w:sz w:val="17"/>
                      <w:szCs w:val="17"/>
                    </w:rPr>
                    <w:t>2</w:t>
                  </w:r>
                  <w:r>
                    <w:rPr>
                      <w:rFonts w:ascii="宋体" w:hAnsi="宋体" w:eastAsia="宋体" w:cs="宋体"/>
                      <w:spacing w:val="15"/>
                      <w:sz w:val="17"/>
                      <w:szCs w:val="17"/>
                      <w14:textOutline w14:w="3268" w14:cap="sq" w14:cmpd="sng">
                        <w14:solidFill>
                          <w14:srgbClr w14:val="000000"/>
                        </w14:solidFill>
                        <w14:prstDash w14:val="solid"/>
                        <w14:bevel/>
                      </w14:textOutline>
                    </w:rPr>
                    <w:t>)</w:t>
                  </w:r>
                  <w:r>
                    <w:rPr>
                      <w:rFonts w:ascii="宋体" w:hAnsi="宋体" w:eastAsia="宋体" w:cs="宋体"/>
                      <w:spacing w:val="15"/>
                      <w:sz w:val="17"/>
                      <w:szCs w:val="17"/>
                    </w:rPr>
                    <w:t xml:space="preserve"> </w:t>
                  </w:r>
                  <w:r>
                    <w:rPr>
                      <w:rFonts w:ascii="宋体" w:hAnsi="宋体" w:eastAsia="宋体" w:cs="宋体"/>
                      <w:spacing w:val="15"/>
                      <w:sz w:val="17"/>
                      <w:szCs w:val="17"/>
                      <w14:textOutline w14:w="3268" w14:cap="sq" w14:cmpd="sng">
                        <w14:solidFill>
                          <w14:srgbClr w14:val="000000"/>
                        </w14:solidFill>
                        <w14:prstDash w14:val="solid"/>
                        <w14:bevel/>
                      </w14:textOutline>
                    </w:rPr>
                    <w:t>地下水开采要求</w:t>
                  </w:r>
                </w:p>
                <w:p>
                  <w:pPr>
                    <w:spacing w:before="69" w:line="229" w:lineRule="auto"/>
                    <w:ind w:left="8"/>
                    <w:rPr>
                      <w:rFonts w:ascii="宋体" w:hAnsi="宋体" w:eastAsia="宋体" w:cs="宋体"/>
                      <w:sz w:val="17"/>
                      <w:szCs w:val="17"/>
                    </w:rPr>
                  </w:pPr>
                  <w:r>
                    <w:rPr>
                      <w:rFonts w:ascii="宋体" w:hAnsi="宋体" w:eastAsia="宋体" w:cs="宋体"/>
                      <w:spacing w:val="18"/>
                      <w:sz w:val="17"/>
                      <w:szCs w:val="17"/>
                    </w:rPr>
                    <w:t>执</w:t>
                  </w:r>
                  <w:r>
                    <w:rPr>
                      <w:rFonts w:ascii="宋体" w:hAnsi="宋体" w:eastAsia="宋体" w:cs="宋体"/>
                      <w:spacing w:val="9"/>
                      <w:sz w:val="17"/>
                      <w:szCs w:val="17"/>
                    </w:rPr>
                    <w:t>行达州市城镇重点管控单元总体要求</w:t>
                  </w:r>
                </w:p>
                <w:p>
                  <w:pPr>
                    <w:spacing w:before="69" w:line="230" w:lineRule="auto"/>
                    <w:ind w:left="18"/>
                    <w:rPr>
                      <w:rFonts w:ascii="宋体" w:hAnsi="宋体" w:eastAsia="宋体" w:cs="宋体"/>
                      <w:sz w:val="17"/>
                      <w:szCs w:val="17"/>
                    </w:rPr>
                  </w:pPr>
                  <w:r>
                    <w:rPr>
                      <w:rFonts w:ascii="宋体" w:hAnsi="宋体" w:eastAsia="宋体" w:cs="宋体"/>
                      <w:spacing w:val="22"/>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4"/>
                      <w:sz w:val="17"/>
                      <w:szCs w:val="17"/>
                    </w:rPr>
                    <w:t>3</w:t>
                  </w: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宋体" w:hAnsi="宋体" w:eastAsia="宋体" w:cs="宋体"/>
                      <w:spacing w:val="14"/>
                      <w:sz w:val="17"/>
                      <w:szCs w:val="17"/>
                    </w:rPr>
                    <w:t xml:space="preserve"> </w:t>
                  </w:r>
                  <w:r>
                    <w:rPr>
                      <w:rFonts w:ascii="宋体" w:hAnsi="宋体" w:eastAsia="宋体" w:cs="宋体"/>
                      <w:spacing w:val="14"/>
                      <w:sz w:val="17"/>
                      <w:szCs w:val="17"/>
                      <w14:textOutline w14:w="3268" w14:cap="sq" w14:cmpd="sng">
                        <w14:solidFill>
                          <w14:srgbClr w14:val="000000"/>
                        </w14:solidFill>
                        <w14:prstDash w14:val="solid"/>
                        <w14:bevel/>
                      </w14:textOutline>
                    </w:rPr>
                    <w:t>能源利用效率要求</w:t>
                  </w:r>
                </w:p>
                <w:p>
                  <w:pPr>
                    <w:spacing w:before="67" w:line="229" w:lineRule="auto"/>
                    <w:ind w:left="8"/>
                    <w:rPr>
                      <w:rFonts w:ascii="宋体" w:hAnsi="宋体" w:eastAsia="宋体" w:cs="宋体"/>
                      <w:sz w:val="17"/>
                      <w:szCs w:val="17"/>
                    </w:rPr>
                  </w:pPr>
                  <w:r>
                    <w:rPr>
                      <w:rFonts w:ascii="宋体" w:hAnsi="宋体" w:eastAsia="宋体" w:cs="宋体"/>
                      <w:spacing w:val="18"/>
                      <w:sz w:val="17"/>
                      <w:szCs w:val="17"/>
                    </w:rPr>
                    <w:t>执</w:t>
                  </w:r>
                  <w:r>
                    <w:rPr>
                      <w:rFonts w:ascii="宋体" w:hAnsi="宋体" w:eastAsia="宋体" w:cs="宋体"/>
                      <w:spacing w:val="9"/>
                      <w:sz w:val="17"/>
                      <w:szCs w:val="17"/>
                    </w:rPr>
                    <w:t>行达州市城镇重点管控单元总体要求</w:t>
                  </w:r>
                </w:p>
                <w:p>
                  <w:pPr>
                    <w:spacing w:before="70" w:line="230" w:lineRule="auto"/>
                    <w:ind w:left="18"/>
                    <w:rPr>
                      <w:rFonts w:ascii="宋体" w:hAnsi="宋体" w:eastAsia="宋体" w:cs="宋体"/>
                      <w:sz w:val="17"/>
                      <w:szCs w:val="17"/>
                    </w:rPr>
                  </w:pPr>
                  <w:r>
                    <w:rPr>
                      <w:rFonts w:ascii="宋体" w:hAnsi="宋体" w:eastAsia="宋体" w:cs="宋体"/>
                      <w:spacing w:val="17"/>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4"/>
                      <w:sz w:val="17"/>
                      <w:szCs w:val="17"/>
                    </w:rPr>
                    <w:t>4</w:t>
                  </w: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宋体" w:hAnsi="宋体" w:eastAsia="宋体" w:cs="宋体"/>
                      <w:spacing w:val="14"/>
                      <w:sz w:val="17"/>
                      <w:szCs w:val="17"/>
                    </w:rPr>
                    <w:t xml:space="preserve"> </w:t>
                  </w:r>
                  <w:r>
                    <w:rPr>
                      <w:rFonts w:ascii="宋体" w:hAnsi="宋体" w:eastAsia="宋体" w:cs="宋体"/>
                      <w:spacing w:val="14"/>
                      <w:sz w:val="17"/>
                      <w:szCs w:val="17"/>
                      <w14:textOutline w14:w="3268" w14:cap="sq" w14:cmpd="sng">
                        <w14:solidFill>
                          <w14:srgbClr w14:val="000000"/>
                        </w14:solidFill>
                        <w14:prstDash w14:val="solid"/>
                        <w14:bevel/>
                      </w14:textOutline>
                    </w:rPr>
                    <w:t>其他资源利用效率要求</w:t>
                  </w:r>
                </w:p>
                <w:p>
                  <w:pPr>
                    <w:spacing w:before="69" w:line="229" w:lineRule="auto"/>
                    <w:ind w:left="8"/>
                    <w:rPr>
                      <w:rFonts w:ascii="宋体" w:hAnsi="宋体" w:eastAsia="宋体" w:cs="宋体"/>
                      <w:sz w:val="17"/>
                      <w:szCs w:val="17"/>
                    </w:rPr>
                  </w:pPr>
                  <w:r>
                    <w:rPr>
                      <w:rFonts w:ascii="宋体" w:hAnsi="宋体" w:eastAsia="宋体" w:cs="宋体"/>
                      <w:spacing w:val="7"/>
                      <w:sz w:val="17"/>
                      <w:szCs w:val="17"/>
                    </w:rPr>
                    <w:t>禁</w:t>
                  </w:r>
                  <w:r>
                    <w:rPr>
                      <w:rFonts w:ascii="宋体" w:hAnsi="宋体" w:eastAsia="宋体" w:cs="宋体"/>
                      <w:spacing w:val="5"/>
                      <w:sz w:val="17"/>
                      <w:szCs w:val="17"/>
                    </w:rPr>
                    <w:t>燃区要求： 同达州市城镇重点总体准入要求</w:t>
                  </w:r>
                </w:p>
              </w:tc>
              <w:tc>
                <w:tcPr>
                  <w:tcW w:w="1039" w:type="dxa"/>
                  <w:vAlign w:val="top"/>
                </w:tcPr>
                <w:p>
                  <w:pPr>
                    <w:spacing w:before="76" w:line="310" w:lineRule="auto"/>
                    <w:ind w:left="12" w:firstLine="63"/>
                    <w:jc w:val="right"/>
                    <w:rPr>
                      <w:rFonts w:ascii="宋体" w:hAnsi="宋体" w:eastAsia="宋体" w:cs="宋体"/>
                      <w:sz w:val="17"/>
                      <w:szCs w:val="17"/>
                    </w:rPr>
                  </w:pPr>
                  <w:r>
                    <w:rPr>
                      <w:rFonts w:ascii="宋体" w:hAnsi="宋体" w:eastAsia="宋体" w:cs="宋体"/>
                      <w:spacing w:val="5"/>
                      <w:sz w:val="17"/>
                      <w:szCs w:val="17"/>
                    </w:rPr>
                    <w:t>用效率满足</w:t>
                  </w:r>
                  <w:r>
                    <w:rPr>
                      <w:rFonts w:ascii="宋体" w:hAnsi="宋体" w:eastAsia="宋体" w:cs="宋体"/>
                      <w:sz w:val="17"/>
                      <w:szCs w:val="17"/>
                    </w:rPr>
                    <w:t xml:space="preserve"> </w:t>
                  </w:r>
                  <w:r>
                    <w:rPr>
                      <w:rFonts w:ascii="宋体" w:hAnsi="宋体" w:eastAsia="宋体" w:cs="宋体"/>
                      <w:spacing w:val="18"/>
                      <w:sz w:val="17"/>
                      <w:szCs w:val="17"/>
                    </w:rPr>
                    <w:t>达州市城</w:t>
                  </w:r>
                  <w:r>
                    <w:rPr>
                      <w:rFonts w:ascii="宋体" w:hAnsi="宋体" w:eastAsia="宋体" w:cs="宋体"/>
                      <w:spacing w:val="17"/>
                      <w:sz w:val="17"/>
                      <w:szCs w:val="17"/>
                    </w:rPr>
                    <w:t>镇</w:t>
                  </w:r>
                  <w:r>
                    <w:rPr>
                      <w:rFonts w:ascii="宋体" w:hAnsi="宋体" w:eastAsia="宋体" w:cs="宋体"/>
                      <w:sz w:val="17"/>
                      <w:szCs w:val="17"/>
                    </w:rPr>
                    <w:t xml:space="preserve"> </w:t>
                  </w:r>
                  <w:r>
                    <w:rPr>
                      <w:rFonts w:ascii="宋体" w:hAnsi="宋体" w:eastAsia="宋体" w:cs="宋体"/>
                      <w:spacing w:val="18"/>
                      <w:sz w:val="17"/>
                      <w:szCs w:val="17"/>
                    </w:rPr>
                    <w:t>重点管控</w:t>
                  </w:r>
                  <w:r>
                    <w:rPr>
                      <w:rFonts w:ascii="宋体" w:hAnsi="宋体" w:eastAsia="宋体" w:cs="宋体"/>
                      <w:spacing w:val="17"/>
                      <w:sz w:val="17"/>
                      <w:szCs w:val="17"/>
                    </w:rPr>
                    <w:t>单</w:t>
                  </w:r>
                  <w:r>
                    <w:rPr>
                      <w:rFonts w:ascii="宋体" w:hAnsi="宋体" w:eastAsia="宋体" w:cs="宋体"/>
                      <w:sz w:val="17"/>
                      <w:szCs w:val="17"/>
                    </w:rPr>
                    <w:t xml:space="preserve"> </w:t>
                  </w:r>
                  <w:r>
                    <w:rPr>
                      <w:rFonts w:ascii="宋体" w:hAnsi="宋体" w:eastAsia="宋体" w:cs="宋体"/>
                      <w:spacing w:val="1"/>
                      <w:sz w:val="17"/>
                      <w:szCs w:val="17"/>
                    </w:rPr>
                    <w:t>元</w:t>
                  </w:r>
                  <w:r>
                    <w:rPr>
                      <w:rFonts w:ascii="宋体" w:hAnsi="宋体" w:eastAsia="宋体" w:cs="宋体"/>
                      <w:sz w:val="17"/>
                      <w:szCs w:val="17"/>
                    </w:rPr>
                    <w:t>总体要求。</w:t>
                  </w:r>
                </w:p>
              </w:tc>
              <w:tc>
                <w:tcPr>
                  <w:tcW w:w="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561"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55" w:line="230" w:lineRule="auto"/>
                    <w:ind w:left="16"/>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水</w:t>
                  </w:r>
                  <w:r>
                    <w:rPr>
                      <w:rFonts w:ascii="宋体" w:hAnsi="宋体" w:eastAsia="宋体" w:cs="宋体"/>
                      <w:spacing w:val="7"/>
                      <w:sz w:val="17"/>
                      <w:szCs w:val="17"/>
                      <w14:textOutline w14:w="3268" w14:cap="sq" w14:cmpd="sng">
                        <w14:solidFill>
                          <w14:srgbClr w14:val="000000"/>
                        </w14:solidFill>
                        <w14:prstDash w14:val="solid"/>
                        <w14:bevel/>
                      </w14:textOutline>
                    </w:rPr>
                    <w:t>环境</w:t>
                  </w:r>
                </w:p>
                <w:p>
                  <w:pPr>
                    <w:spacing w:before="68" w:line="230" w:lineRule="auto"/>
                    <w:ind w:left="14"/>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城</w:t>
                  </w:r>
                  <w:r>
                    <w:rPr>
                      <w:rFonts w:ascii="宋体" w:hAnsi="宋体" w:eastAsia="宋体" w:cs="宋体"/>
                      <w:spacing w:val="8"/>
                      <w:sz w:val="17"/>
                      <w:szCs w:val="17"/>
                      <w14:textOutline w14:w="3268" w14:cap="sq" w14:cmpd="sng">
                        <w14:solidFill>
                          <w14:srgbClr w14:val="000000"/>
                        </w14:solidFill>
                        <w14:prstDash w14:val="solid"/>
                        <w14:bevel/>
                      </w14:textOutline>
                    </w:rPr>
                    <w:t>镇生</w:t>
                  </w:r>
                </w:p>
                <w:p>
                  <w:pPr>
                    <w:spacing w:before="66" w:line="231" w:lineRule="auto"/>
                    <w:ind w:left="17"/>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活</w:t>
                  </w:r>
                  <w:r>
                    <w:rPr>
                      <w:rFonts w:ascii="宋体" w:hAnsi="宋体" w:eastAsia="宋体" w:cs="宋体"/>
                      <w:spacing w:val="7"/>
                      <w:sz w:val="17"/>
                      <w:szCs w:val="17"/>
                      <w14:textOutline w14:w="3268" w14:cap="sq" w14:cmpd="sng">
                        <w14:solidFill>
                          <w14:srgbClr w14:val="000000"/>
                        </w14:solidFill>
                        <w14:prstDash w14:val="solid"/>
                        <w14:bevel/>
                      </w14:textOutline>
                    </w:rPr>
                    <w:t>污染</w:t>
                  </w:r>
                </w:p>
                <w:p>
                  <w:pPr>
                    <w:spacing w:before="68" w:line="230" w:lineRule="auto"/>
                    <w:ind w:left="15"/>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重点管</w:t>
                  </w:r>
                </w:p>
                <w:p>
                  <w:pPr>
                    <w:spacing w:before="69" w:line="231" w:lineRule="auto"/>
                    <w:ind w:left="104"/>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控</w:t>
                  </w:r>
                  <w:r>
                    <w:rPr>
                      <w:rFonts w:ascii="宋体" w:hAnsi="宋体" w:eastAsia="宋体" w:cs="宋体"/>
                      <w:spacing w:val="6"/>
                      <w:sz w:val="17"/>
                      <w:szCs w:val="17"/>
                      <w14:textOutline w14:w="3268" w14:cap="sq" w14:cmpd="sng">
                        <w14:solidFill>
                          <w14:srgbClr w14:val="000000"/>
                        </w14:solidFill>
                        <w14:prstDash w14:val="solid"/>
                        <w14:bevel/>
                      </w14:textOutline>
                    </w:rPr>
                    <w:t>区</w:t>
                  </w:r>
                </w:p>
                <w:p>
                  <w:pPr>
                    <w:spacing w:line="326" w:lineRule="auto"/>
                    <w:rPr>
                      <w:rFonts w:ascii="Arial"/>
                      <w:sz w:val="21"/>
                    </w:rPr>
                  </w:pPr>
                </w:p>
                <w:p>
                  <w:pPr>
                    <w:spacing w:before="49" w:line="197" w:lineRule="auto"/>
                    <w:ind w:left="35"/>
                    <w:rPr>
                      <w:rFonts w:ascii="Times New Roman" w:hAnsi="Times New Roman" w:eastAsia="Times New Roman" w:cs="Times New Roman"/>
                      <w:sz w:val="17"/>
                      <w:szCs w:val="17"/>
                    </w:rPr>
                  </w:pPr>
                  <w:r>
                    <w:rPr>
                      <w:rFonts w:ascii="Times New Roman" w:hAnsi="Times New Roman" w:eastAsia="Times New Roman" w:cs="Times New Roman"/>
                      <w:b/>
                      <w:bCs/>
                      <w:sz w:val="17"/>
                      <w:szCs w:val="17"/>
                    </w:rPr>
                    <w:t>YS</w:t>
                  </w:r>
                  <w:r>
                    <w:rPr>
                      <w:rFonts w:ascii="Times New Roman" w:hAnsi="Times New Roman" w:eastAsia="Times New Roman" w:cs="Times New Roman"/>
                      <w:b/>
                      <w:bCs/>
                      <w:spacing w:val="8"/>
                      <w:sz w:val="17"/>
                      <w:szCs w:val="17"/>
                    </w:rPr>
                    <w:t>5</w:t>
                  </w:r>
                  <w:r>
                    <w:rPr>
                      <w:rFonts w:ascii="Times New Roman" w:hAnsi="Times New Roman" w:eastAsia="Times New Roman" w:cs="Times New Roman"/>
                      <w:b/>
                      <w:bCs/>
                      <w:spacing w:val="6"/>
                      <w:sz w:val="17"/>
                      <w:szCs w:val="17"/>
                    </w:rPr>
                    <w:t>11</w:t>
                  </w:r>
                </w:p>
                <w:p>
                  <w:pPr>
                    <w:spacing w:before="118" w:line="197" w:lineRule="auto"/>
                    <w:ind w:left="13"/>
                    <w:rPr>
                      <w:rFonts w:ascii="Times New Roman" w:hAnsi="Times New Roman" w:eastAsia="Times New Roman" w:cs="Times New Roman"/>
                      <w:sz w:val="17"/>
                      <w:szCs w:val="17"/>
                    </w:rPr>
                  </w:pPr>
                  <w:r>
                    <w:rPr>
                      <w:rFonts w:ascii="Times New Roman" w:hAnsi="Times New Roman" w:eastAsia="Times New Roman" w:cs="Times New Roman"/>
                      <w:b/>
                      <w:bCs/>
                      <w:spacing w:val="5"/>
                      <w:sz w:val="17"/>
                      <w:szCs w:val="17"/>
                    </w:rPr>
                    <w:t>7</w:t>
                  </w:r>
                  <w:r>
                    <w:rPr>
                      <w:rFonts w:ascii="Times New Roman" w:hAnsi="Times New Roman" w:eastAsia="Times New Roman" w:cs="Times New Roman"/>
                      <w:b/>
                      <w:bCs/>
                      <w:spacing w:val="4"/>
                      <w:sz w:val="17"/>
                      <w:szCs w:val="17"/>
                    </w:rPr>
                    <w:t>02222</w:t>
                  </w:r>
                </w:p>
                <w:p>
                  <w:pPr>
                    <w:spacing w:before="121" w:line="197" w:lineRule="auto"/>
                    <w:ind w:left="105"/>
                    <w:rPr>
                      <w:rFonts w:ascii="Times New Roman" w:hAnsi="Times New Roman" w:eastAsia="Times New Roman" w:cs="Times New Roman"/>
                      <w:sz w:val="17"/>
                      <w:szCs w:val="17"/>
                    </w:rPr>
                  </w:pPr>
                  <w:r>
                    <w:rPr>
                      <w:rFonts w:ascii="Times New Roman" w:hAnsi="Times New Roman" w:eastAsia="Times New Roman" w:cs="Times New Roman"/>
                      <w:b/>
                      <w:bCs/>
                      <w:spacing w:val="5"/>
                      <w:sz w:val="17"/>
                      <w:szCs w:val="17"/>
                    </w:rPr>
                    <w:t>0</w:t>
                  </w:r>
                  <w:r>
                    <w:rPr>
                      <w:rFonts w:ascii="Times New Roman" w:hAnsi="Times New Roman" w:eastAsia="Times New Roman" w:cs="Times New Roman"/>
                      <w:b/>
                      <w:bCs/>
                      <w:spacing w:val="3"/>
                      <w:sz w:val="17"/>
                      <w:szCs w:val="17"/>
                    </w:rPr>
                    <w:t>001</w:t>
                  </w:r>
                </w:p>
                <w:p>
                  <w:pPr>
                    <w:spacing w:line="313" w:lineRule="auto"/>
                    <w:rPr>
                      <w:rFonts w:ascii="Arial"/>
                      <w:sz w:val="21"/>
                    </w:rPr>
                  </w:pPr>
                </w:p>
                <w:p>
                  <w:pPr>
                    <w:spacing w:before="56" w:line="310" w:lineRule="auto"/>
                    <w:ind w:left="15" w:right="6"/>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州河通</w:t>
                  </w:r>
                  <w:r>
                    <w:rPr>
                      <w:rFonts w:ascii="宋体" w:hAnsi="宋体" w:eastAsia="宋体" w:cs="宋体"/>
                      <w:sz w:val="17"/>
                      <w:szCs w:val="17"/>
                    </w:rPr>
                    <w:t xml:space="preserve"> </w:t>
                  </w:r>
                  <w:r>
                    <w:rPr>
                      <w:rFonts w:ascii="宋体" w:hAnsi="宋体" w:eastAsia="宋体" w:cs="宋体"/>
                      <w:spacing w:val="8"/>
                      <w:sz w:val="17"/>
                      <w:szCs w:val="17"/>
                      <w14:textOutline w14:w="3268" w14:cap="sq" w14:cmpd="sng">
                        <w14:solidFill>
                          <w14:srgbClr w14:val="000000"/>
                        </w14:solidFill>
                        <w14:prstDash w14:val="solid"/>
                        <w14:bevel/>
                      </w14:textOutline>
                    </w:rPr>
                    <w:t>川区车</w:t>
                  </w:r>
                  <w:r>
                    <w:rPr>
                      <w:rFonts w:ascii="宋体" w:hAnsi="宋体" w:eastAsia="宋体" w:cs="宋体"/>
                      <w:sz w:val="17"/>
                      <w:szCs w:val="17"/>
                    </w:rPr>
                    <w:t xml:space="preserve"> </w:t>
                  </w:r>
                  <w:r>
                    <w:rPr>
                      <w:rFonts w:ascii="宋体" w:hAnsi="宋体" w:eastAsia="宋体" w:cs="宋体"/>
                      <w:spacing w:val="8"/>
                      <w:sz w:val="17"/>
                      <w:szCs w:val="17"/>
                      <w14:textOutline w14:w="3268" w14:cap="sq" w14:cmpd="sng">
                        <w14:solidFill>
                          <w14:srgbClr w14:val="000000"/>
                        </w14:solidFill>
                        <w14:prstDash w14:val="solid"/>
                        <w14:bevel/>
                      </w14:textOutline>
                    </w:rPr>
                    <w:t>家河控</w:t>
                  </w:r>
                  <w:r>
                    <w:rPr>
                      <w:rFonts w:ascii="宋体" w:hAnsi="宋体" w:eastAsia="宋体" w:cs="宋体"/>
                      <w:sz w:val="17"/>
                      <w:szCs w:val="17"/>
                    </w:rPr>
                    <w:t xml:space="preserve"> </w:t>
                  </w:r>
                  <w:r>
                    <w:rPr>
                      <w:rFonts w:ascii="宋体" w:hAnsi="宋体" w:eastAsia="宋体" w:cs="宋体"/>
                      <w:spacing w:val="8"/>
                      <w:sz w:val="17"/>
                      <w:szCs w:val="17"/>
                      <w14:textOutline w14:w="3268" w14:cap="sq" w14:cmpd="sng">
                        <w14:solidFill>
                          <w14:srgbClr w14:val="000000"/>
                        </w14:solidFill>
                        <w14:prstDash w14:val="solid"/>
                        <w14:bevel/>
                      </w14:textOutline>
                    </w:rPr>
                    <w:t>制单元</w:t>
                  </w:r>
                </w:p>
              </w:tc>
              <w:tc>
                <w:tcPr>
                  <w:tcW w:w="283" w:type="dxa"/>
                  <w:vMerge w:val="restart"/>
                  <w:tcBorders>
                    <w:bottom w:val="nil"/>
                  </w:tcBorders>
                  <w:textDirection w:val="tbRlV"/>
                  <w:vAlign w:val="top"/>
                </w:tcPr>
                <w:p>
                  <w:pPr>
                    <w:spacing w:before="51" w:line="219" w:lineRule="auto"/>
                    <w:ind w:left="2606"/>
                    <w:rPr>
                      <w:rFonts w:ascii="宋体" w:hAnsi="宋体" w:eastAsia="宋体" w:cs="宋体"/>
                      <w:sz w:val="17"/>
                      <w:szCs w:val="17"/>
                    </w:rPr>
                  </w:pPr>
                  <w:r>
                    <w:rPr>
                      <w:rFonts w:ascii="宋体" w:hAnsi="宋体" w:eastAsia="宋体" w:cs="宋体"/>
                      <w:spacing w:val="17"/>
                      <w:sz w:val="17"/>
                      <w:szCs w:val="17"/>
                      <w14:textOutline w14:w="3268" w14:cap="sq" w14:cmpd="sng">
                        <w14:solidFill>
                          <w14:srgbClr w14:val="000000"/>
                        </w14:solidFill>
                        <w14:prstDash w14:val="solid"/>
                        <w14:bevel/>
                      </w14:textOutline>
                    </w:rPr>
                    <w:t>单</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元</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级</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清</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单</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管</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控</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要</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求</w:t>
                  </w:r>
                </w:p>
              </w:tc>
              <w:tc>
                <w:tcPr>
                  <w:tcW w:w="405" w:type="dxa"/>
                  <w:vAlign w:val="top"/>
                </w:tcPr>
                <w:p>
                  <w:pPr>
                    <w:spacing w:line="433" w:lineRule="auto"/>
                    <w:rPr>
                      <w:rFonts w:ascii="Arial"/>
                      <w:sz w:val="21"/>
                    </w:rPr>
                  </w:pPr>
                </w:p>
                <w:p>
                  <w:pPr>
                    <w:spacing w:before="55" w:line="312" w:lineRule="auto"/>
                    <w:ind w:left="24" w:right="22" w:firstLine="5"/>
                    <w:rPr>
                      <w:rFonts w:ascii="宋体" w:hAnsi="宋体" w:eastAsia="宋体" w:cs="宋体"/>
                      <w:sz w:val="17"/>
                      <w:szCs w:val="17"/>
                    </w:rPr>
                  </w:pPr>
                  <w:r>
                    <w:rPr>
                      <w:rFonts w:ascii="宋体" w:hAnsi="宋体" w:eastAsia="宋体" w:cs="宋体"/>
                      <w:spacing w:val="4"/>
                      <w:sz w:val="17"/>
                      <w:szCs w:val="17"/>
                      <w14:textOutline w14:w="3268" w14:cap="sq" w14:cmpd="sng">
                        <w14:solidFill>
                          <w14:srgbClr w14:val="000000"/>
                        </w14:solidFill>
                        <w14:prstDash w14:val="solid"/>
                        <w14:bevel/>
                      </w14:textOutline>
                    </w:rPr>
                    <w:t>空</w:t>
                  </w:r>
                  <w:r>
                    <w:rPr>
                      <w:rFonts w:ascii="宋体" w:hAnsi="宋体" w:eastAsia="宋体" w:cs="宋体"/>
                      <w:spacing w:val="3"/>
                      <w:sz w:val="17"/>
                      <w:szCs w:val="17"/>
                      <w14:textOutline w14:w="3268" w14:cap="sq" w14:cmpd="sng">
                        <w14:solidFill>
                          <w14:srgbClr w14:val="000000"/>
                        </w14:solidFill>
                        <w14:prstDash w14:val="solid"/>
                        <w14:bevel/>
                      </w14:textOutline>
                    </w:rPr>
                    <w:t>间</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布局</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约束</w:t>
                  </w:r>
                </w:p>
              </w:tc>
              <w:tc>
                <w:tcPr>
                  <w:tcW w:w="5098" w:type="dxa"/>
                  <w:vAlign w:val="top"/>
                </w:tcPr>
                <w:p>
                  <w:pPr>
                    <w:spacing w:before="211" w:line="281" w:lineRule="exact"/>
                    <w:ind w:left="8"/>
                    <w:rPr>
                      <w:rFonts w:ascii="宋体" w:hAnsi="宋体" w:eastAsia="宋体" w:cs="宋体"/>
                      <w:sz w:val="17"/>
                      <w:szCs w:val="17"/>
                    </w:rPr>
                  </w:pPr>
                  <w:r>
                    <w:rPr>
                      <w:rFonts w:ascii="宋体" w:hAnsi="宋体" w:eastAsia="宋体" w:cs="宋体"/>
                      <w:spacing w:val="12"/>
                      <w:position w:val="7"/>
                      <w:sz w:val="17"/>
                      <w:szCs w:val="17"/>
                    </w:rPr>
                    <w:t>禁</w:t>
                  </w:r>
                  <w:r>
                    <w:rPr>
                      <w:rFonts w:ascii="宋体" w:hAnsi="宋体" w:eastAsia="宋体" w:cs="宋体"/>
                      <w:spacing w:val="9"/>
                      <w:position w:val="7"/>
                      <w:sz w:val="17"/>
                      <w:szCs w:val="17"/>
                    </w:rPr>
                    <w:t>止开发建设活动的要求</w:t>
                  </w:r>
                </w:p>
                <w:p>
                  <w:pPr>
                    <w:spacing w:line="230" w:lineRule="auto"/>
                    <w:ind w:left="21"/>
                    <w:rPr>
                      <w:rFonts w:ascii="宋体" w:hAnsi="宋体" w:eastAsia="宋体" w:cs="宋体"/>
                      <w:sz w:val="17"/>
                      <w:szCs w:val="17"/>
                    </w:rPr>
                  </w:pPr>
                  <w:r>
                    <w:rPr>
                      <w:rFonts w:ascii="宋体" w:hAnsi="宋体" w:eastAsia="宋体" w:cs="宋体"/>
                      <w:spacing w:val="10"/>
                      <w:sz w:val="17"/>
                      <w:szCs w:val="17"/>
                    </w:rPr>
                    <w:t>限</w:t>
                  </w:r>
                  <w:r>
                    <w:rPr>
                      <w:rFonts w:ascii="宋体" w:hAnsi="宋体" w:eastAsia="宋体" w:cs="宋体"/>
                      <w:spacing w:val="8"/>
                      <w:sz w:val="17"/>
                      <w:szCs w:val="17"/>
                    </w:rPr>
                    <w:t>制开发建设活动的要求</w:t>
                  </w:r>
                </w:p>
                <w:p>
                  <w:pPr>
                    <w:spacing w:before="65" w:line="230" w:lineRule="auto"/>
                    <w:ind w:left="14"/>
                    <w:rPr>
                      <w:rFonts w:ascii="宋体" w:hAnsi="宋体" w:eastAsia="宋体" w:cs="宋体"/>
                      <w:sz w:val="17"/>
                      <w:szCs w:val="17"/>
                    </w:rPr>
                  </w:pPr>
                  <w:r>
                    <w:rPr>
                      <w:rFonts w:ascii="宋体" w:hAnsi="宋体" w:eastAsia="宋体" w:cs="宋体"/>
                      <w:spacing w:val="16"/>
                      <w:sz w:val="17"/>
                      <w:szCs w:val="17"/>
                    </w:rPr>
                    <w:t>允</w:t>
                  </w:r>
                  <w:r>
                    <w:rPr>
                      <w:rFonts w:ascii="宋体" w:hAnsi="宋体" w:eastAsia="宋体" w:cs="宋体"/>
                      <w:spacing w:val="8"/>
                      <w:sz w:val="17"/>
                      <w:szCs w:val="17"/>
                    </w:rPr>
                    <w:t>许开发建设活动的要求</w:t>
                  </w:r>
                </w:p>
                <w:p>
                  <w:pPr>
                    <w:spacing w:before="68" w:line="281" w:lineRule="exact"/>
                    <w:ind w:left="11"/>
                    <w:rPr>
                      <w:rFonts w:ascii="宋体" w:hAnsi="宋体" w:eastAsia="宋体" w:cs="宋体"/>
                      <w:sz w:val="17"/>
                      <w:szCs w:val="17"/>
                    </w:rPr>
                  </w:pPr>
                  <w:r>
                    <w:rPr>
                      <w:rFonts w:ascii="宋体" w:hAnsi="宋体" w:eastAsia="宋体" w:cs="宋体"/>
                      <w:spacing w:val="15"/>
                      <w:position w:val="7"/>
                      <w:sz w:val="17"/>
                      <w:szCs w:val="17"/>
                    </w:rPr>
                    <w:t>不</w:t>
                  </w:r>
                  <w:r>
                    <w:rPr>
                      <w:rFonts w:ascii="宋体" w:hAnsi="宋体" w:eastAsia="宋体" w:cs="宋体"/>
                      <w:spacing w:val="9"/>
                      <w:position w:val="7"/>
                      <w:sz w:val="17"/>
                      <w:szCs w:val="17"/>
                    </w:rPr>
                    <w:t>符合空间布局要求活动的退出要求</w:t>
                  </w:r>
                </w:p>
                <w:p>
                  <w:pPr>
                    <w:spacing w:before="1" w:line="229" w:lineRule="auto"/>
                    <w:ind w:left="9"/>
                    <w:rPr>
                      <w:rFonts w:ascii="宋体" w:hAnsi="宋体" w:eastAsia="宋体" w:cs="宋体"/>
                      <w:sz w:val="17"/>
                      <w:szCs w:val="17"/>
                    </w:rPr>
                  </w:pPr>
                  <w:r>
                    <w:rPr>
                      <w:rFonts w:ascii="宋体" w:hAnsi="宋体" w:eastAsia="宋体" w:cs="宋体"/>
                      <w:spacing w:val="11"/>
                      <w:sz w:val="17"/>
                      <w:szCs w:val="17"/>
                    </w:rPr>
                    <w:t>其</w:t>
                  </w:r>
                  <w:r>
                    <w:rPr>
                      <w:rFonts w:ascii="宋体" w:hAnsi="宋体" w:eastAsia="宋体" w:cs="宋体"/>
                      <w:spacing w:val="9"/>
                      <w:sz w:val="17"/>
                      <w:szCs w:val="17"/>
                    </w:rPr>
                    <w:t>他空间布局约束要求</w:t>
                  </w:r>
                </w:p>
              </w:tc>
              <w:tc>
                <w:tcPr>
                  <w:tcW w:w="1039" w:type="dxa"/>
                  <w:vAlign w:val="top"/>
                </w:tcPr>
                <w:p>
                  <w:pPr>
                    <w:spacing w:before="71" w:line="304" w:lineRule="auto"/>
                    <w:ind w:left="86" w:hanging="73"/>
                    <w:rPr>
                      <w:rFonts w:ascii="宋体" w:hAnsi="宋体" w:eastAsia="宋体" w:cs="宋体"/>
                      <w:sz w:val="17"/>
                      <w:szCs w:val="17"/>
                    </w:rPr>
                  </w:pPr>
                  <w:r>
                    <w:rPr>
                      <w:rFonts w:ascii="宋体" w:hAnsi="宋体" w:eastAsia="宋体" w:cs="宋体"/>
                      <w:sz w:val="17"/>
                      <w:szCs w:val="17"/>
                    </w:rPr>
                    <w:t xml:space="preserve">不属于禁止、 </w:t>
                  </w:r>
                  <w:r>
                    <w:rPr>
                      <w:rFonts w:ascii="宋体" w:hAnsi="宋体" w:eastAsia="宋体" w:cs="宋体"/>
                      <w:spacing w:val="3"/>
                      <w:sz w:val="17"/>
                      <w:szCs w:val="17"/>
                    </w:rPr>
                    <w:t>限制开发</w:t>
                  </w:r>
                  <w:r>
                    <w:rPr>
                      <w:rFonts w:ascii="宋体" w:hAnsi="宋体" w:eastAsia="宋体" w:cs="宋体"/>
                      <w:spacing w:val="2"/>
                      <w:sz w:val="17"/>
                      <w:szCs w:val="17"/>
                    </w:rPr>
                    <w:t>建</w:t>
                  </w:r>
                </w:p>
                <w:p>
                  <w:pPr>
                    <w:spacing w:before="1" w:line="303" w:lineRule="auto"/>
                    <w:ind w:left="81" w:hanging="68"/>
                    <w:rPr>
                      <w:rFonts w:ascii="宋体" w:hAnsi="宋体" w:eastAsia="宋体" w:cs="宋体"/>
                      <w:sz w:val="17"/>
                      <w:szCs w:val="17"/>
                    </w:rPr>
                  </w:pPr>
                  <w:r>
                    <w:rPr>
                      <w:rFonts w:ascii="宋体" w:hAnsi="宋体" w:eastAsia="宋体" w:cs="宋体"/>
                      <w:spacing w:val="-1"/>
                      <w:sz w:val="17"/>
                      <w:szCs w:val="17"/>
                    </w:rPr>
                    <w:t>设</w:t>
                  </w:r>
                  <w:r>
                    <w:rPr>
                      <w:rFonts w:ascii="宋体" w:hAnsi="宋体" w:eastAsia="宋体" w:cs="宋体"/>
                      <w:sz w:val="17"/>
                      <w:szCs w:val="17"/>
                    </w:rPr>
                    <w:t xml:space="preserve">项目，属于 </w:t>
                  </w:r>
                  <w:r>
                    <w:rPr>
                      <w:rFonts w:ascii="宋体" w:hAnsi="宋体" w:eastAsia="宋体" w:cs="宋体"/>
                      <w:spacing w:val="8"/>
                      <w:sz w:val="17"/>
                      <w:szCs w:val="17"/>
                    </w:rPr>
                    <w:t>允</w:t>
                  </w:r>
                  <w:r>
                    <w:rPr>
                      <w:rFonts w:ascii="宋体" w:hAnsi="宋体" w:eastAsia="宋体" w:cs="宋体"/>
                      <w:spacing w:val="7"/>
                      <w:sz w:val="17"/>
                      <w:szCs w:val="17"/>
                    </w:rPr>
                    <w:t>许建设项</w:t>
                  </w:r>
                </w:p>
                <w:p>
                  <w:pPr>
                    <w:spacing w:line="267" w:lineRule="auto"/>
                    <w:ind w:left="75" w:hanging="30"/>
                    <w:rPr>
                      <w:rFonts w:ascii="宋体" w:hAnsi="宋体" w:eastAsia="宋体" w:cs="宋体"/>
                      <w:sz w:val="17"/>
                      <w:szCs w:val="17"/>
                    </w:rPr>
                  </w:pPr>
                  <w:r>
                    <w:rPr>
                      <w:rFonts w:ascii="宋体" w:hAnsi="宋体" w:eastAsia="宋体" w:cs="宋体"/>
                      <w:spacing w:val="-7"/>
                      <w:sz w:val="17"/>
                      <w:szCs w:val="17"/>
                    </w:rPr>
                    <w:t>目</w:t>
                  </w:r>
                  <w:r>
                    <w:rPr>
                      <w:rFonts w:ascii="宋体" w:hAnsi="宋体" w:eastAsia="宋体" w:cs="宋体"/>
                      <w:spacing w:val="-5"/>
                      <w:sz w:val="17"/>
                      <w:szCs w:val="17"/>
                    </w:rPr>
                    <w:t>，符合空间</w:t>
                  </w:r>
                  <w:r>
                    <w:rPr>
                      <w:rFonts w:ascii="宋体" w:hAnsi="宋体" w:eastAsia="宋体" w:cs="宋体"/>
                      <w:sz w:val="17"/>
                      <w:szCs w:val="17"/>
                    </w:rPr>
                    <w:t xml:space="preserve"> </w:t>
                  </w:r>
                  <w:r>
                    <w:rPr>
                      <w:rFonts w:ascii="宋体" w:hAnsi="宋体" w:eastAsia="宋体" w:cs="宋体"/>
                      <w:spacing w:val="8"/>
                      <w:sz w:val="17"/>
                      <w:szCs w:val="17"/>
                    </w:rPr>
                    <w:t>布</w:t>
                  </w:r>
                  <w:r>
                    <w:rPr>
                      <w:rFonts w:ascii="宋体" w:hAnsi="宋体" w:eastAsia="宋体" w:cs="宋体"/>
                      <w:spacing w:val="6"/>
                      <w:sz w:val="17"/>
                      <w:szCs w:val="17"/>
                    </w:rPr>
                    <w:t>局要求。</w:t>
                  </w:r>
                </w:p>
              </w:tc>
              <w:tc>
                <w:tcPr>
                  <w:tcW w:w="417" w:type="dxa"/>
                  <w:vAlign w:val="top"/>
                </w:tcPr>
                <w:p>
                  <w:pPr>
                    <w:spacing w:line="355" w:lineRule="auto"/>
                    <w:rPr>
                      <w:rFonts w:ascii="Arial"/>
                      <w:sz w:val="21"/>
                    </w:rPr>
                  </w:pPr>
                </w:p>
                <w:p>
                  <w:pPr>
                    <w:spacing w:line="356" w:lineRule="auto"/>
                    <w:rPr>
                      <w:rFonts w:ascii="Arial"/>
                      <w:sz w:val="21"/>
                    </w:rPr>
                  </w:pPr>
                </w:p>
                <w:p>
                  <w:pPr>
                    <w:spacing w:before="55" w:line="230" w:lineRule="auto"/>
                    <w:ind w:left="33"/>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符</w:t>
                  </w:r>
                  <w:r>
                    <w:rPr>
                      <w:rFonts w:ascii="宋体" w:hAnsi="宋体" w:eastAsia="宋体" w:cs="宋体"/>
                      <w:spacing w:val="5"/>
                      <w:sz w:val="17"/>
                      <w:szCs w:val="17"/>
                      <w14:textOutline w14:w="3268" w14:cap="sq" w14:cmpd="sng">
                        <w14:solidFill>
                          <w14:srgbClr w14:val="000000"/>
                        </w14:solidFill>
                        <w14:prstDash w14:val="solid"/>
                        <w14:bevel/>
                      </w14:textOutline>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4" w:hRule="atLeast"/>
              </w:trPr>
              <w:tc>
                <w:tcPr>
                  <w:tcW w:w="561" w:type="dxa"/>
                  <w:vMerge w:val="continue"/>
                  <w:tcBorders>
                    <w:top w:val="nil"/>
                    <w:bottom w:val="nil"/>
                  </w:tcBorders>
                  <w:vAlign w:val="top"/>
                </w:tcPr>
                <w:p>
                  <w:pPr>
                    <w:rPr>
                      <w:rFonts w:ascii="Arial"/>
                      <w:sz w:val="21"/>
                    </w:rPr>
                  </w:pPr>
                </w:p>
              </w:tc>
              <w:tc>
                <w:tcPr>
                  <w:tcW w:w="283" w:type="dxa"/>
                  <w:vMerge w:val="continue"/>
                  <w:tcBorders>
                    <w:top w:val="nil"/>
                    <w:bottom w:val="nil"/>
                  </w:tcBorders>
                  <w:textDirection w:val="tbRlV"/>
                  <w:vAlign w:val="top"/>
                </w:tcPr>
                <w:p>
                  <w:pPr>
                    <w:rPr>
                      <w:rFonts w:ascii="Arial"/>
                      <w:sz w:val="21"/>
                    </w:rPr>
                  </w:pPr>
                </w:p>
              </w:tc>
              <w:tc>
                <w:tcPr>
                  <w:tcW w:w="405"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55" w:line="231" w:lineRule="auto"/>
                    <w:ind w:left="26"/>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污</w:t>
                  </w:r>
                  <w:r>
                    <w:rPr>
                      <w:rFonts w:ascii="宋体" w:hAnsi="宋体" w:eastAsia="宋体" w:cs="宋体"/>
                      <w:spacing w:val="5"/>
                      <w:sz w:val="17"/>
                      <w:szCs w:val="17"/>
                      <w14:textOutline w14:w="3268" w14:cap="sq" w14:cmpd="sng">
                        <w14:solidFill>
                          <w14:srgbClr w14:val="000000"/>
                        </w14:solidFill>
                        <w14:prstDash w14:val="solid"/>
                        <w14:bevel/>
                      </w14:textOutline>
                    </w:rPr>
                    <w:t>染</w:t>
                  </w:r>
                </w:p>
                <w:p>
                  <w:pPr>
                    <w:spacing w:before="67" w:line="232" w:lineRule="auto"/>
                    <w:ind w:left="24"/>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物排</w:t>
                  </w:r>
                </w:p>
                <w:p>
                  <w:pPr>
                    <w:spacing w:before="67" w:line="230" w:lineRule="auto"/>
                    <w:ind w:left="24"/>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放管</w:t>
                  </w:r>
                </w:p>
                <w:p>
                  <w:pPr>
                    <w:spacing w:before="66" w:line="231" w:lineRule="auto"/>
                    <w:ind w:left="112"/>
                    <w:rPr>
                      <w:rFonts w:ascii="宋体" w:hAnsi="宋体" w:eastAsia="宋体" w:cs="宋体"/>
                      <w:sz w:val="17"/>
                      <w:szCs w:val="17"/>
                    </w:rPr>
                  </w:pPr>
                  <w:r>
                    <w:rPr>
                      <w:rFonts w:ascii="宋体" w:hAnsi="宋体" w:eastAsia="宋体" w:cs="宋体"/>
                      <w:spacing w:val="3"/>
                      <w:sz w:val="17"/>
                      <w:szCs w:val="17"/>
                      <w14:textOutline w14:w="3268" w14:cap="sq" w14:cmpd="sng">
                        <w14:solidFill>
                          <w14:srgbClr w14:val="000000"/>
                        </w14:solidFill>
                        <w14:prstDash w14:val="solid"/>
                        <w14:bevel/>
                      </w14:textOutline>
                    </w:rPr>
                    <w:t>控</w:t>
                  </w:r>
                </w:p>
              </w:tc>
              <w:tc>
                <w:tcPr>
                  <w:tcW w:w="5098" w:type="dxa"/>
                  <w:vAlign w:val="top"/>
                </w:tcPr>
                <w:p>
                  <w:pPr>
                    <w:spacing w:before="73" w:line="230" w:lineRule="auto"/>
                    <w:ind w:left="18"/>
                    <w:rPr>
                      <w:rFonts w:ascii="宋体" w:hAnsi="宋体" w:eastAsia="宋体" w:cs="宋体"/>
                      <w:sz w:val="17"/>
                      <w:szCs w:val="17"/>
                    </w:rPr>
                  </w:pP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4"/>
                      <w:sz w:val="17"/>
                      <w:szCs w:val="17"/>
                    </w:rPr>
                    <w:t>1</w:t>
                  </w: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宋体" w:hAnsi="宋体" w:eastAsia="宋体" w:cs="宋体"/>
                      <w:spacing w:val="14"/>
                      <w:sz w:val="17"/>
                      <w:szCs w:val="17"/>
                    </w:rPr>
                    <w:t xml:space="preserve"> </w:t>
                  </w:r>
                  <w:r>
                    <w:rPr>
                      <w:rFonts w:ascii="宋体" w:hAnsi="宋体" w:eastAsia="宋体" w:cs="宋体"/>
                      <w:spacing w:val="14"/>
                      <w:sz w:val="17"/>
                      <w:szCs w:val="17"/>
                      <w14:textOutline w14:w="3268" w14:cap="sq" w14:cmpd="sng">
                        <w14:solidFill>
                          <w14:srgbClr w14:val="000000"/>
                        </w14:solidFill>
                        <w14:prstDash w14:val="solid"/>
                        <w14:bevel/>
                      </w14:textOutline>
                    </w:rPr>
                    <w:t>城镇污水污染控制措施要</w:t>
                  </w:r>
                  <w:r>
                    <w:rPr>
                      <w:rFonts w:ascii="宋体" w:hAnsi="宋体" w:eastAsia="宋体" w:cs="宋体"/>
                      <w:spacing w:val="11"/>
                      <w:sz w:val="17"/>
                      <w:szCs w:val="17"/>
                      <w14:textOutline w14:w="3268" w14:cap="sq" w14:cmpd="sng">
                        <w14:solidFill>
                          <w14:srgbClr w14:val="000000"/>
                        </w14:solidFill>
                        <w14:prstDash w14:val="solid"/>
                        <w14:bevel/>
                      </w14:textOutline>
                    </w:rPr>
                    <w:t>求</w:t>
                  </w:r>
                </w:p>
                <w:p>
                  <w:pPr>
                    <w:tabs>
                      <w:tab w:val="left" w:pos="103"/>
                    </w:tabs>
                    <w:spacing w:before="67" w:line="304" w:lineRule="auto"/>
                    <w:ind w:left="8" w:right="1" w:firstLine="4"/>
                    <w:rPr>
                      <w:rFonts w:ascii="宋体" w:hAnsi="宋体" w:eastAsia="宋体" w:cs="宋体"/>
                      <w:sz w:val="17"/>
                      <w:szCs w:val="17"/>
                    </w:rPr>
                  </w:pPr>
                  <w:r>
                    <w:rPr>
                      <w:rFonts w:ascii="宋体" w:hAnsi="宋体" w:eastAsia="宋体" w:cs="宋体"/>
                      <w:spacing w:val="9"/>
                      <w:sz w:val="17"/>
                      <w:szCs w:val="17"/>
                    </w:rPr>
                    <w:t>强</w:t>
                  </w:r>
                  <w:r>
                    <w:rPr>
                      <w:rFonts w:ascii="宋体" w:hAnsi="宋体" w:eastAsia="宋体" w:cs="宋体"/>
                      <w:spacing w:val="8"/>
                      <w:sz w:val="17"/>
                      <w:szCs w:val="17"/>
                    </w:rPr>
                    <w:t>化生活污水治理， 以尾水排放去向确定排放标准，因地制宜选</w:t>
                  </w:r>
                  <w:r>
                    <w:rPr>
                      <w:rFonts w:ascii="宋体" w:hAnsi="宋体" w:eastAsia="宋体" w:cs="宋体"/>
                      <w:sz w:val="17"/>
                      <w:szCs w:val="17"/>
                    </w:rPr>
                    <w:t xml:space="preserve"> </w:t>
                  </w:r>
                  <w:r>
                    <w:rPr>
                      <w:rFonts w:ascii="宋体" w:hAnsi="宋体" w:eastAsia="宋体" w:cs="宋体"/>
                      <w:spacing w:val="22"/>
                      <w:sz w:val="17"/>
                      <w:szCs w:val="17"/>
                    </w:rPr>
                    <w:t>取</w:t>
                  </w:r>
                  <w:r>
                    <w:rPr>
                      <w:rFonts w:ascii="宋体" w:hAnsi="宋体" w:eastAsia="宋体" w:cs="宋体"/>
                      <w:spacing w:val="15"/>
                      <w:sz w:val="17"/>
                      <w:szCs w:val="17"/>
                    </w:rPr>
                    <w:t>治</w:t>
                  </w:r>
                  <w:r>
                    <w:rPr>
                      <w:rFonts w:ascii="宋体" w:hAnsi="宋体" w:eastAsia="宋体" w:cs="宋体"/>
                      <w:spacing w:val="11"/>
                      <w:sz w:val="17"/>
                      <w:szCs w:val="17"/>
                    </w:rPr>
                    <w:t>理技术及方法，加快污水处理设施建设运行，城污水城镇生</w:t>
                  </w:r>
                  <w:r>
                    <w:rPr>
                      <w:rFonts w:ascii="宋体" w:hAnsi="宋体" w:eastAsia="宋体" w:cs="宋体"/>
                      <w:sz w:val="17"/>
                      <w:szCs w:val="17"/>
                    </w:rPr>
                    <w:t xml:space="preserve"> </w:t>
                  </w:r>
                  <w:r>
                    <w:rPr>
                      <w:rFonts w:ascii="宋体" w:hAnsi="宋体" w:eastAsia="宋体" w:cs="宋体"/>
                      <w:spacing w:val="26"/>
                      <w:sz w:val="17"/>
                      <w:szCs w:val="17"/>
                    </w:rPr>
                    <w:t>活</w:t>
                  </w:r>
                  <w:r>
                    <w:rPr>
                      <w:rFonts w:ascii="宋体" w:hAnsi="宋体" w:eastAsia="宋体" w:cs="宋体"/>
                      <w:spacing w:val="25"/>
                      <w:sz w:val="17"/>
                      <w:szCs w:val="17"/>
                    </w:rPr>
                    <w:t>污水处理厂出水达到《城镇污水处理厂污染物排放标准》</w:t>
                  </w:r>
                  <w:r>
                    <w:rPr>
                      <w:rFonts w:ascii="宋体" w:hAnsi="宋体" w:eastAsia="宋体" w:cs="宋体"/>
                      <w:sz w:val="17"/>
                      <w:szCs w:val="17"/>
                    </w:rPr>
                    <w:t xml:space="preserve"> </w:t>
                  </w:r>
                  <w:r>
                    <w:rPr>
                      <w:rFonts w:ascii="宋体" w:hAnsi="宋体" w:eastAsia="宋体" w:cs="宋体"/>
                      <w:sz w:val="17"/>
                      <w:szCs w:val="17"/>
                    </w:rPr>
                    <w:tab/>
                  </w:r>
                  <w:r>
                    <w:rPr>
                      <w:rFonts w:ascii="宋体" w:hAnsi="宋体" w:eastAsia="宋体" w:cs="宋体"/>
                      <w:spacing w:val="11"/>
                      <w:sz w:val="17"/>
                      <w:szCs w:val="17"/>
                    </w:rPr>
                    <w:t>(</w:t>
                  </w:r>
                  <w:r>
                    <w:rPr>
                      <w:rFonts w:ascii="Times New Roman" w:hAnsi="Times New Roman" w:eastAsia="Times New Roman" w:cs="Times New Roman"/>
                      <w:sz w:val="17"/>
                      <w:szCs w:val="17"/>
                    </w:rPr>
                    <w:t>GB</w:t>
                  </w:r>
                  <w:r>
                    <w:rPr>
                      <w:rFonts w:ascii="Times New Roman" w:hAnsi="Times New Roman" w:eastAsia="Times New Roman" w:cs="Times New Roman"/>
                      <w:spacing w:val="11"/>
                      <w:sz w:val="17"/>
                      <w:szCs w:val="17"/>
                    </w:rPr>
                    <w:t>18925</w:t>
                  </w:r>
                  <w:r>
                    <w:rPr>
                      <w:rFonts w:ascii="宋体" w:hAnsi="宋体" w:eastAsia="宋体" w:cs="宋体"/>
                      <w:spacing w:val="11"/>
                      <w:sz w:val="17"/>
                      <w:szCs w:val="17"/>
                    </w:rPr>
                    <w:t>) 要求；鼓励农村生活污水实行资源化利用，排放的</w:t>
                  </w:r>
                  <w:r>
                    <w:rPr>
                      <w:rFonts w:ascii="宋体" w:hAnsi="宋体" w:eastAsia="宋体" w:cs="宋体"/>
                      <w:sz w:val="17"/>
                      <w:szCs w:val="17"/>
                    </w:rPr>
                    <w:t xml:space="preserve"> </w:t>
                  </w:r>
                  <w:r>
                    <w:rPr>
                      <w:rFonts w:ascii="宋体" w:hAnsi="宋体" w:eastAsia="宋体" w:cs="宋体"/>
                      <w:spacing w:val="22"/>
                      <w:sz w:val="17"/>
                      <w:szCs w:val="17"/>
                    </w:rPr>
                    <w:t>尾</w:t>
                  </w:r>
                  <w:r>
                    <w:rPr>
                      <w:rFonts w:ascii="宋体" w:hAnsi="宋体" w:eastAsia="宋体" w:cs="宋体"/>
                      <w:spacing w:val="15"/>
                      <w:sz w:val="17"/>
                      <w:szCs w:val="17"/>
                    </w:rPr>
                    <w:t>水</w:t>
                  </w:r>
                  <w:r>
                    <w:rPr>
                      <w:rFonts w:ascii="宋体" w:hAnsi="宋体" w:eastAsia="宋体" w:cs="宋体"/>
                      <w:spacing w:val="11"/>
                      <w:sz w:val="17"/>
                      <w:szCs w:val="17"/>
                    </w:rPr>
                    <w:t>达到《农村生活污水处理设施水污染物排放标准》要求。强</w:t>
                  </w:r>
                  <w:r>
                    <w:rPr>
                      <w:rFonts w:ascii="宋体" w:hAnsi="宋体" w:eastAsia="宋体" w:cs="宋体"/>
                      <w:sz w:val="17"/>
                      <w:szCs w:val="17"/>
                    </w:rPr>
                    <w:t xml:space="preserve"> </w:t>
                  </w:r>
                  <w:r>
                    <w:rPr>
                      <w:rFonts w:ascii="宋体" w:hAnsi="宋体" w:eastAsia="宋体" w:cs="宋体"/>
                      <w:spacing w:val="22"/>
                      <w:sz w:val="17"/>
                      <w:szCs w:val="17"/>
                    </w:rPr>
                    <w:t>化</w:t>
                  </w:r>
                  <w:r>
                    <w:rPr>
                      <w:rFonts w:ascii="宋体" w:hAnsi="宋体" w:eastAsia="宋体" w:cs="宋体"/>
                      <w:spacing w:val="15"/>
                      <w:sz w:val="17"/>
                      <w:szCs w:val="17"/>
                    </w:rPr>
                    <w:t>生</w:t>
                  </w:r>
                  <w:r>
                    <w:rPr>
                      <w:rFonts w:ascii="宋体" w:hAnsi="宋体" w:eastAsia="宋体" w:cs="宋体"/>
                      <w:spacing w:val="11"/>
                      <w:sz w:val="17"/>
                      <w:szCs w:val="17"/>
                    </w:rPr>
                    <w:t>活垃圾收集处理，推广生活垃圾分类收集处理，从源头减少</w:t>
                  </w:r>
                  <w:r>
                    <w:rPr>
                      <w:rFonts w:ascii="宋体" w:hAnsi="宋体" w:eastAsia="宋体" w:cs="宋体"/>
                      <w:sz w:val="17"/>
                      <w:szCs w:val="17"/>
                    </w:rPr>
                    <w:t xml:space="preserve"> </w:t>
                  </w:r>
                  <w:r>
                    <w:rPr>
                      <w:rFonts w:ascii="宋体" w:hAnsi="宋体" w:eastAsia="宋体" w:cs="宋体"/>
                      <w:spacing w:val="7"/>
                      <w:sz w:val="17"/>
                      <w:szCs w:val="17"/>
                    </w:rPr>
                    <w:t>处理处置量。</w:t>
                  </w:r>
                </w:p>
                <w:p>
                  <w:pPr>
                    <w:spacing w:line="230" w:lineRule="auto"/>
                    <w:ind w:left="18"/>
                    <w:rPr>
                      <w:rFonts w:ascii="宋体" w:hAnsi="宋体" w:eastAsia="宋体" w:cs="宋体"/>
                      <w:sz w:val="17"/>
                      <w:szCs w:val="17"/>
                    </w:rPr>
                  </w:pP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4"/>
                      <w:sz w:val="17"/>
                      <w:szCs w:val="17"/>
                    </w:rPr>
                    <w:t>2</w:t>
                  </w: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宋体" w:hAnsi="宋体" w:eastAsia="宋体" w:cs="宋体"/>
                      <w:spacing w:val="14"/>
                      <w:sz w:val="17"/>
                      <w:szCs w:val="17"/>
                    </w:rPr>
                    <w:t xml:space="preserve"> </w:t>
                  </w:r>
                  <w:r>
                    <w:rPr>
                      <w:rFonts w:ascii="宋体" w:hAnsi="宋体" w:eastAsia="宋体" w:cs="宋体"/>
                      <w:spacing w:val="14"/>
                      <w:sz w:val="17"/>
                      <w:szCs w:val="17"/>
                      <w14:textOutline w14:w="3268" w14:cap="sq" w14:cmpd="sng">
                        <w14:solidFill>
                          <w14:srgbClr w14:val="000000"/>
                        </w14:solidFill>
                        <w14:prstDash w14:val="solid"/>
                        <w14:bevel/>
                      </w14:textOutline>
                    </w:rPr>
                    <w:t>工业废水污染控制措施要</w:t>
                  </w:r>
                  <w:r>
                    <w:rPr>
                      <w:rFonts w:ascii="宋体" w:hAnsi="宋体" w:eastAsia="宋体" w:cs="宋体"/>
                      <w:spacing w:val="11"/>
                      <w:sz w:val="17"/>
                      <w:szCs w:val="17"/>
                      <w14:textOutline w14:w="3268" w14:cap="sq" w14:cmpd="sng">
                        <w14:solidFill>
                          <w14:srgbClr w14:val="000000"/>
                        </w14:solidFill>
                        <w14:prstDash w14:val="solid"/>
                        <w14:bevel/>
                      </w14:textOutline>
                    </w:rPr>
                    <w:t>求</w:t>
                  </w:r>
                </w:p>
                <w:p>
                  <w:pPr>
                    <w:spacing w:before="69" w:line="230" w:lineRule="auto"/>
                    <w:ind w:left="18"/>
                    <w:rPr>
                      <w:rFonts w:ascii="宋体" w:hAnsi="宋体" w:eastAsia="宋体" w:cs="宋体"/>
                      <w:sz w:val="17"/>
                      <w:szCs w:val="17"/>
                    </w:rPr>
                  </w:pPr>
                  <w:r>
                    <w:rPr>
                      <w:rFonts w:ascii="宋体" w:hAnsi="宋体" w:eastAsia="宋体" w:cs="宋体"/>
                      <w:spacing w:val="23"/>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3"/>
                      <w:sz w:val="17"/>
                      <w:szCs w:val="17"/>
                    </w:rPr>
                    <w:t>3</w:t>
                  </w:r>
                  <w:r>
                    <w:rPr>
                      <w:rFonts w:ascii="宋体" w:hAnsi="宋体" w:eastAsia="宋体" w:cs="宋体"/>
                      <w:spacing w:val="13"/>
                      <w:sz w:val="17"/>
                      <w:szCs w:val="17"/>
                      <w14:textOutline w14:w="3268" w14:cap="sq" w14:cmpd="sng">
                        <w14:solidFill>
                          <w14:srgbClr w14:val="000000"/>
                        </w14:solidFill>
                        <w14:prstDash w14:val="solid"/>
                        <w14:bevel/>
                      </w14:textOutline>
                    </w:rPr>
                    <w:t>)</w:t>
                  </w:r>
                  <w:r>
                    <w:rPr>
                      <w:rFonts w:ascii="宋体" w:hAnsi="宋体" w:eastAsia="宋体" w:cs="宋体"/>
                      <w:spacing w:val="13"/>
                      <w:sz w:val="17"/>
                      <w:szCs w:val="17"/>
                    </w:rPr>
                    <w:t xml:space="preserve"> </w:t>
                  </w:r>
                  <w:r>
                    <w:rPr>
                      <w:rFonts w:ascii="宋体" w:hAnsi="宋体" w:eastAsia="宋体" w:cs="宋体"/>
                      <w:spacing w:val="13"/>
                      <w:sz w:val="17"/>
                      <w:szCs w:val="17"/>
                      <w14:textOutline w14:w="3268" w14:cap="sq" w14:cmpd="sng">
                        <w14:solidFill>
                          <w14:srgbClr w14:val="000000"/>
                        </w14:solidFill>
                        <w14:prstDash w14:val="solid"/>
                        <w14:bevel/>
                      </w14:textOutline>
                    </w:rPr>
                    <w:t>农业面源水污染控制措施要求</w:t>
                  </w:r>
                </w:p>
                <w:p>
                  <w:pPr>
                    <w:spacing w:before="66" w:line="230" w:lineRule="auto"/>
                    <w:ind w:left="18"/>
                    <w:rPr>
                      <w:rFonts w:ascii="宋体" w:hAnsi="宋体" w:eastAsia="宋体" w:cs="宋体"/>
                      <w:sz w:val="17"/>
                      <w:szCs w:val="17"/>
                    </w:rPr>
                  </w:pPr>
                  <w:r>
                    <w:rPr>
                      <w:rFonts w:ascii="宋体" w:hAnsi="宋体" w:eastAsia="宋体" w:cs="宋体"/>
                      <w:spacing w:val="23"/>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3"/>
                      <w:sz w:val="17"/>
                      <w:szCs w:val="17"/>
                    </w:rPr>
                    <w:t>4</w:t>
                  </w:r>
                  <w:r>
                    <w:rPr>
                      <w:rFonts w:ascii="宋体" w:hAnsi="宋体" w:eastAsia="宋体" w:cs="宋体"/>
                      <w:spacing w:val="13"/>
                      <w:sz w:val="17"/>
                      <w:szCs w:val="17"/>
                      <w14:textOutline w14:w="3268" w14:cap="sq" w14:cmpd="sng">
                        <w14:solidFill>
                          <w14:srgbClr w14:val="000000"/>
                        </w14:solidFill>
                        <w14:prstDash w14:val="solid"/>
                        <w14:bevel/>
                      </w14:textOutline>
                    </w:rPr>
                    <w:t>)</w:t>
                  </w:r>
                  <w:r>
                    <w:rPr>
                      <w:rFonts w:ascii="宋体" w:hAnsi="宋体" w:eastAsia="宋体" w:cs="宋体"/>
                      <w:spacing w:val="13"/>
                      <w:sz w:val="17"/>
                      <w:szCs w:val="17"/>
                    </w:rPr>
                    <w:t xml:space="preserve"> </w:t>
                  </w:r>
                  <w:r>
                    <w:rPr>
                      <w:rFonts w:ascii="宋体" w:hAnsi="宋体" w:eastAsia="宋体" w:cs="宋体"/>
                      <w:spacing w:val="13"/>
                      <w:sz w:val="17"/>
                      <w:szCs w:val="17"/>
                      <w14:textOutline w14:w="3268" w14:cap="sq" w14:cmpd="sng">
                        <w14:solidFill>
                          <w14:srgbClr w14:val="000000"/>
                        </w14:solidFill>
                        <w14:prstDash w14:val="solid"/>
                        <w14:bevel/>
                      </w14:textOutline>
                    </w:rPr>
                    <w:t>船舶港口水污染控制措施要求</w:t>
                  </w:r>
                </w:p>
                <w:p>
                  <w:pPr>
                    <w:spacing w:before="68" w:line="230" w:lineRule="auto"/>
                    <w:ind w:left="18"/>
                    <w:rPr>
                      <w:rFonts w:ascii="宋体" w:hAnsi="宋体" w:eastAsia="宋体" w:cs="宋体"/>
                      <w:sz w:val="17"/>
                      <w:szCs w:val="17"/>
                    </w:rPr>
                  </w:pPr>
                  <w:r>
                    <w:rPr>
                      <w:rFonts w:ascii="宋体" w:hAnsi="宋体" w:eastAsia="宋体" w:cs="宋体"/>
                      <w:spacing w:val="16"/>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3"/>
                      <w:sz w:val="17"/>
                      <w:szCs w:val="17"/>
                    </w:rPr>
                    <w:t>5</w:t>
                  </w:r>
                  <w:r>
                    <w:rPr>
                      <w:rFonts w:ascii="宋体" w:hAnsi="宋体" w:eastAsia="宋体" w:cs="宋体"/>
                      <w:spacing w:val="13"/>
                      <w:sz w:val="17"/>
                      <w:szCs w:val="17"/>
                      <w14:textOutline w14:w="3268" w14:cap="sq" w14:cmpd="sng">
                        <w14:solidFill>
                          <w14:srgbClr w14:val="000000"/>
                        </w14:solidFill>
                        <w14:prstDash w14:val="solid"/>
                        <w14:bevel/>
                      </w14:textOutline>
                    </w:rPr>
                    <w:t>)</w:t>
                  </w:r>
                  <w:r>
                    <w:rPr>
                      <w:rFonts w:ascii="宋体" w:hAnsi="宋体" w:eastAsia="宋体" w:cs="宋体"/>
                      <w:spacing w:val="13"/>
                      <w:sz w:val="17"/>
                      <w:szCs w:val="17"/>
                    </w:rPr>
                    <w:t xml:space="preserve"> </w:t>
                  </w:r>
                  <w:r>
                    <w:rPr>
                      <w:rFonts w:ascii="宋体" w:hAnsi="宋体" w:eastAsia="宋体" w:cs="宋体"/>
                      <w:spacing w:val="13"/>
                      <w:sz w:val="17"/>
                      <w:szCs w:val="17"/>
                      <w14:textOutline w14:w="3268" w14:cap="sq" w14:cmpd="sng">
                        <w14:solidFill>
                          <w14:srgbClr w14:val="000000"/>
                        </w14:solidFill>
                        <w14:prstDash w14:val="solid"/>
                        <w14:bevel/>
                      </w14:textOutline>
                    </w:rPr>
                    <w:t>饮用水水源和其它特殊水体保护要求</w:t>
                  </w:r>
                </w:p>
              </w:tc>
              <w:tc>
                <w:tcPr>
                  <w:tcW w:w="1039"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55" w:line="230" w:lineRule="auto"/>
                    <w:ind w:left="78"/>
                    <w:rPr>
                      <w:rFonts w:ascii="宋体" w:hAnsi="宋体" w:eastAsia="宋体" w:cs="宋体"/>
                      <w:sz w:val="17"/>
                      <w:szCs w:val="17"/>
                    </w:rPr>
                  </w:pPr>
                  <w:r>
                    <w:rPr>
                      <w:rFonts w:ascii="宋体" w:hAnsi="宋体" w:eastAsia="宋体" w:cs="宋体"/>
                      <w:spacing w:val="8"/>
                      <w:sz w:val="17"/>
                      <w:szCs w:val="17"/>
                    </w:rPr>
                    <w:t>项目位于城</w:t>
                  </w:r>
                </w:p>
                <w:p>
                  <w:pPr>
                    <w:spacing w:before="69" w:line="230" w:lineRule="auto"/>
                    <w:ind w:left="80"/>
                    <w:rPr>
                      <w:rFonts w:ascii="宋体" w:hAnsi="宋体" w:eastAsia="宋体" w:cs="宋体"/>
                      <w:sz w:val="17"/>
                      <w:szCs w:val="17"/>
                    </w:rPr>
                  </w:pPr>
                  <w:r>
                    <w:rPr>
                      <w:rFonts w:ascii="宋体" w:hAnsi="宋体" w:eastAsia="宋体" w:cs="宋体"/>
                      <w:spacing w:val="10"/>
                      <w:sz w:val="17"/>
                      <w:szCs w:val="17"/>
                    </w:rPr>
                    <w:t>市</w:t>
                  </w:r>
                  <w:r>
                    <w:rPr>
                      <w:rFonts w:ascii="宋体" w:hAnsi="宋体" w:eastAsia="宋体" w:cs="宋体"/>
                      <w:spacing w:val="7"/>
                      <w:sz w:val="17"/>
                      <w:szCs w:val="17"/>
                    </w:rPr>
                    <w:t>开发建设</w:t>
                  </w:r>
                </w:p>
                <w:p>
                  <w:pPr>
                    <w:spacing w:before="69" w:line="235" w:lineRule="auto"/>
                    <w:ind w:left="23"/>
                    <w:rPr>
                      <w:rFonts w:ascii="宋体" w:hAnsi="宋体" w:eastAsia="宋体" w:cs="宋体"/>
                      <w:sz w:val="17"/>
                      <w:szCs w:val="17"/>
                    </w:rPr>
                  </w:pPr>
                  <w:r>
                    <w:rPr>
                      <w:rFonts w:ascii="宋体" w:hAnsi="宋体" w:eastAsia="宋体" w:cs="宋体"/>
                      <w:spacing w:val="-2"/>
                      <w:sz w:val="17"/>
                      <w:szCs w:val="17"/>
                    </w:rPr>
                    <w:t>区，不排放</w:t>
                  </w:r>
                  <w:r>
                    <w:rPr>
                      <w:rFonts w:ascii="宋体" w:hAnsi="宋体" w:eastAsia="宋体" w:cs="宋体"/>
                      <w:spacing w:val="-1"/>
                      <w:sz w:val="17"/>
                      <w:szCs w:val="17"/>
                    </w:rPr>
                    <w:t>污</w:t>
                  </w:r>
                </w:p>
                <w:p>
                  <w:pPr>
                    <w:spacing w:before="177" w:line="88" w:lineRule="exact"/>
                    <w:ind w:left="544"/>
                    <w:rPr>
                      <w:rFonts w:ascii="宋体" w:hAnsi="宋体" w:eastAsia="宋体" w:cs="宋体"/>
                      <w:sz w:val="17"/>
                      <w:szCs w:val="17"/>
                    </w:rPr>
                  </w:pPr>
                  <w:r>
                    <w:rPr>
                      <w:rFonts w:ascii="宋体" w:hAnsi="宋体" w:eastAsia="宋体" w:cs="宋体"/>
                      <w:position w:val="1"/>
                      <w:sz w:val="17"/>
                      <w:szCs w:val="17"/>
                    </w:rPr>
                    <w:t>。</w:t>
                  </w:r>
                </w:p>
              </w:tc>
              <w:tc>
                <w:tcPr>
                  <w:tcW w:w="417" w:type="dxa"/>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56" w:line="230" w:lineRule="auto"/>
                    <w:ind w:left="12"/>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符</w:t>
                  </w:r>
                  <w:r>
                    <w:rPr>
                      <w:rFonts w:ascii="宋体" w:hAnsi="宋体" w:eastAsia="宋体" w:cs="宋体"/>
                      <w:spacing w:val="5"/>
                      <w:sz w:val="17"/>
                      <w:szCs w:val="17"/>
                      <w14:textOutline w14:w="3268" w14:cap="sq" w14:cmpd="sng">
                        <w14:solidFill>
                          <w14:srgbClr w14:val="000000"/>
                        </w14:solidFill>
                        <w14:prstDash w14:val="solid"/>
                        <w14:bevel/>
                      </w14:textOutline>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561" w:type="dxa"/>
                  <w:vMerge w:val="continue"/>
                  <w:tcBorders>
                    <w:top w:val="nil"/>
                    <w:bottom w:val="nil"/>
                  </w:tcBorders>
                  <w:vAlign w:val="top"/>
                </w:tcPr>
                <w:p>
                  <w:pPr>
                    <w:rPr>
                      <w:rFonts w:ascii="Arial"/>
                      <w:sz w:val="21"/>
                    </w:rPr>
                  </w:pPr>
                </w:p>
              </w:tc>
              <w:tc>
                <w:tcPr>
                  <w:tcW w:w="283" w:type="dxa"/>
                  <w:vMerge w:val="continue"/>
                  <w:tcBorders>
                    <w:top w:val="nil"/>
                    <w:bottom w:val="nil"/>
                  </w:tcBorders>
                  <w:textDirection w:val="tbRlV"/>
                  <w:vAlign w:val="top"/>
                </w:tcPr>
                <w:p>
                  <w:pPr>
                    <w:rPr>
                      <w:rFonts w:ascii="Arial"/>
                      <w:sz w:val="21"/>
                    </w:rPr>
                  </w:pPr>
                </w:p>
              </w:tc>
              <w:tc>
                <w:tcPr>
                  <w:tcW w:w="405" w:type="dxa"/>
                  <w:vAlign w:val="top"/>
                </w:tcPr>
                <w:p>
                  <w:pPr>
                    <w:spacing w:line="296" w:lineRule="auto"/>
                    <w:rPr>
                      <w:rFonts w:ascii="Arial"/>
                      <w:sz w:val="21"/>
                    </w:rPr>
                  </w:pPr>
                </w:p>
                <w:p>
                  <w:pPr>
                    <w:spacing w:before="56" w:line="312" w:lineRule="auto"/>
                    <w:ind w:left="24" w:right="22"/>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环境</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风险</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防控</w:t>
                  </w:r>
                </w:p>
              </w:tc>
              <w:tc>
                <w:tcPr>
                  <w:tcW w:w="5098" w:type="dxa"/>
                  <w:vAlign w:val="top"/>
                </w:tcPr>
                <w:p>
                  <w:pPr>
                    <w:spacing w:before="73" w:line="289" w:lineRule="auto"/>
                    <w:ind w:left="8"/>
                    <w:rPr>
                      <w:rFonts w:ascii="宋体" w:hAnsi="宋体" w:eastAsia="宋体" w:cs="宋体"/>
                      <w:sz w:val="17"/>
                      <w:szCs w:val="17"/>
                    </w:rPr>
                  </w:pPr>
                  <w:r>
                    <w:rPr>
                      <w:rFonts w:ascii="宋体" w:hAnsi="宋体" w:eastAsia="宋体" w:cs="宋体"/>
                      <w:spacing w:val="10"/>
                      <w:sz w:val="17"/>
                      <w:szCs w:val="17"/>
                    </w:rPr>
                    <w:t>加强环境风险防范，坚持预防为主，构建以企业为主体的环境风</w:t>
                  </w:r>
                  <w:r>
                    <w:rPr>
                      <w:rFonts w:ascii="宋体" w:hAnsi="宋体" w:eastAsia="宋体" w:cs="宋体"/>
                      <w:sz w:val="17"/>
                      <w:szCs w:val="17"/>
                    </w:rPr>
                    <w:t xml:space="preserve"> </w:t>
                  </w:r>
                  <w:r>
                    <w:rPr>
                      <w:rFonts w:ascii="宋体" w:hAnsi="宋体" w:eastAsia="宋体" w:cs="宋体"/>
                      <w:spacing w:val="10"/>
                      <w:sz w:val="17"/>
                      <w:szCs w:val="17"/>
                    </w:rPr>
                    <w:t>险</w:t>
                  </w:r>
                  <w:r>
                    <w:rPr>
                      <w:rFonts w:ascii="宋体" w:hAnsi="宋体" w:eastAsia="宋体" w:cs="宋体"/>
                      <w:spacing w:val="8"/>
                      <w:sz w:val="17"/>
                      <w:szCs w:val="17"/>
                    </w:rPr>
                    <w:t>防</w:t>
                  </w:r>
                  <w:r>
                    <w:rPr>
                      <w:rFonts w:ascii="宋体" w:hAnsi="宋体" w:eastAsia="宋体" w:cs="宋体"/>
                      <w:spacing w:val="5"/>
                      <w:sz w:val="17"/>
                      <w:szCs w:val="17"/>
                    </w:rPr>
                    <w:t>控体系，优化产业布局，加强协调联动，提升应急救援能力；</w:t>
                  </w:r>
                  <w:r>
                    <w:rPr>
                      <w:rFonts w:ascii="宋体" w:hAnsi="宋体" w:eastAsia="宋体" w:cs="宋体"/>
                      <w:sz w:val="17"/>
                      <w:szCs w:val="17"/>
                    </w:rPr>
                    <w:t xml:space="preserve"> </w:t>
                  </w:r>
                  <w:r>
                    <w:rPr>
                      <w:rFonts w:ascii="宋体" w:hAnsi="宋体" w:eastAsia="宋体" w:cs="宋体"/>
                      <w:spacing w:val="10"/>
                      <w:sz w:val="17"/>
                      <w:szCs w:val="17"/>
                    </w:rPr>
                    <w:t>严格环境风险源头防控，加强涉重金属、危险废物、危化品等重</w:t>
                  </w:r>
                  <w:r>
                    <w:rPr>
                      <w:rFonts w:ascii="宋体" w:hAnsi="宋体" w:eastAsia="宋体" w:cs="宋体"/>
                      <w:sz w:val="17"/>
                      <w:szCs w:val="17"/>
                    </w:rPr>
                    <w:t xml:space="preserve"> </w:t>
                  </w:r>
                  <w:r>
                    <w:rPr>
                      <w:rFonts w:ascii="宋体" w:hAnsi="宋体" w:eastAsia="宋体" w:cs="宋体"/>
                      <w:spacing w:val="10"/>
                      <w:sz w:val="17"/>
                      <w:szCs w:val="17"/>
                    </w:rPr>
                    <w:t>点</w:t>
                  </w:r>
                  <w:r>
                    <w:rPr>
                      <w:rFonts w:ascii="宋体" w:hAnsi="宋体" w:eastAsia="宋体" w:cs="宋体"/>
                      <w:spacing w:val="8"/>
                      <w:sz w:val="17"/>
                      <w:szCs w:val="17"/>
                    </w:rPr>
                    <w:t>企</w:t>
                  </w:r>
                  <w:r>
                    <w:rPr>
                      <w:rFonts w:ascii="宋体" w:hAnsi="宋体" w:eastAsia="宋体" w:cs="宋体"/>
                      <w:spacing w:val="5"/>
                      <w:sz w:val="17"/>
                      <w:szCs w:val="17"/>
                    </w:rPr>
                    <w:t>业环境风险评估；强化工业、企业集中分布区环境风险管控，</w:t>
                  </w:r>
                  <w:r>
                    <w:rPr>
                      <w:rFonts w:ascii="宋体" w:hAnsi="宋体" w:eastAsia="宋体" w:cs="宋体"/>
                      <w:sz w:val="17"/>
                      <w:szCs w:val="17"/>
                    </w:rPr>
                    <w:t xml:space="preserve"> </w:t>
                  </w:r>
                  <w:r>
                    <w:rPr>
                      <w:rFonts w:ascii="宋体" w:hAnsi="宋体" w:eastAsia="宋体" w:cs="宋体"/>
                      <w:spacing w:val="12"/>
                      <w:sz w:val="17"/>
                      <w:szCs w:val="17"/>
                    </w:rPr>
                    <w:t>建</w:t>
                  </w:r>
                  <w:r>
                    <w:rPr>
                      <w:rFonts w:ascii="宋体" w:hAnsi="宋体" w:eastAsia="宋体" w:cs="宋体"/>
                      <w:spacing w:val="7"/>
                      <w:sz w:val="17"/>
                      <w:szCs w:val="17"/>
                    </w:rPr>
                    <w:t>设相应的防护工程</w:t>
                  </w:r>
                </w:p>
              </w:tc>
              <w:tc>
                <w:tcPr>
                  <w:tcW w:w="1039" w:type="dxa"/>
                  <w:vAlign w:val="top"/>
                </w:tcPr>
                <w:p>
                  <w:pPr>
                    <w:spacing w:before="213" w:line="310" w:lineRule="auto"/>
                    <w:ind w:left="9" w:firstLine="4"/>
                    <w:rPr>
                      <w:rFonts w:ascii="宋体" w:hAnsi="宋体" w:eastAsia="宋体" w:cs="宋体"/>
                      <w:sz w:val="17"/>
                      <w:szCs w:val="17"/>
                    </w:rPr>
                  </w:pPr>
                  <w:r>
                    <w:rPr>
                      <w:rFonts w:ascii="宋体" w:hAnsi="宋体" w:eastAsia="宋体" w:cs="宋体"/>
                      <w:spacing w:val="-19"/>
                      <w:sz w:val="17"/>
                      <w:szCs w:val="17"/>
                    </w:rPr>
                    <w:t>项 目 建 成 后</w:t>
                  </w:r>
                  <w:r>
                    <w:rPr>
                      <w:rFonts w:ascii="宋体" w:hAnsi="宋体" w:eastAsia="宋体" w:cs="宋体"/>
                      <w:sz w:val="17"/>
                      <w:szCs w:val="17"/>
                    </w:rPr>
                    <w:t xml:space="preserve"> </w:t>
                  </w:r>
                  <w:r>
                    <w:rPr>
                      <w:rFonts w:ascii="宋体" w:hAnsi="宋体" w:eastAsia="宋体" w:cs="宋体"/>
                      <w:spacing w:val="-23"/>
                      <w:sz w:val="17"/>
                      <w:szCs w:val="17"/>
                    </w:rPr>
                    <w:t>将</w:t>
                  </w:r>
                  <w:r>
                    <w:rPr>
                      <w:rFonts w:ascii="宋体" w:hAnsi="宋体" w:eastAsia="宋体" w:cs="宋体"/>
                      <w:spacing w:val="-18"/>
                      <w:sz w:val="17"/>
                      <w:szCs w:val="17"/>
                    </w:rPr>
                    <w:t xml:space="preserve"> 加 强 对 通</w:t>
                  </w:r>
                  <w:r>
                    <w:rPr>
                      <w:rFonts w:ascii="宋体" w:hAnsi="宋体" w:eastAsia="宋体" w:cs="宋体"/>
                      <w:sz w:val="17"/>
                      <w:szCs w:val="17"/>
                    </w:rPr>
                    <w:t xml:space="preserve"> </w:t>
                  </w:r>
                  <w:r>
                    <w:rPr>
                      <w:rFonts w:ascii="宋体" w:hAnsi="宋体" w:eastAsia="宋体" w:cs="宋体"/>
                      <w:spacing w:val="-23"/>
                      <w:sz w:val="17"/>
                      <w:szCs w:val="17"/>
                    </w:rPr>
                    <w:t>过</w:t>
                  </w:r>
                  <w:r>
                    <w:rPr>
                      <w:rFonts w:ascii="宋体" w:hAnsi="宋体" w:eastAsia="宋体" w:cs="宋体"/>
                      <w:spacing w:val="-18"/>
                      <w:sz w:val="17"/>
                      <w:szCs w:val="17"/>
                    </w:rPr>
                    <w:t xml:space="preserve"> 的 危 化 品</w:t>
                  </w:r>
                  <w:r>
                    <w:rPr>
                      <w:rFonts w:ascii="宋体" w:hAnsi="宋体" w:eastAsia="宋体" w:cs="宋体"/>
                      <w:sz w:val="17"/>
                      <w:szCs w:val="17"/>
                    </w:rPr>
                    <w:t xml:space="preserve"> </w:t>
                  </w:r>
                  <w:r>
                    <w:rPr>
                      <w:rFonts w:ascii="宋体" w:hAnsi="宋体" w:eastAsia="宋体" w:cs="宋体"/>
                      <w:spacing w:val="7"/>
                      <w:sz w:val="17"/>
                      <w:szCs w:val="17"/>
                    </w:rPr>
                    <w:t>车辆管理</w:t>
                  </w:r>
                  <w:r>
                    <w:rPr>
                      <w:rFonts w:ascii="宋体" w:hAnsi="宋体" w:eastAsia="宋体" w:cs="宋体"/>
                      <w:spacing w:val="6"/>
                      <w:sz w:val="17"/>
                      <w:szCs w:val="17"/>
                    </w:rPr>
                    <w:t>。</w:t>
                  </w:r>
                </w:p>
              </w:tc>
              <w:tc>
                <w:tcPr>
                  <w:tcW w:w="417" w:type="dxa"/>
                  <w:vAlign w:val="top"/>
                </w:tcPr>
                <w:p>
                  <w:pPr>
                    <w:spacing w:line="287" w:lineRule="auto"/>
                    <w:rPr>
                      <w:rFonts w:ascii="Arial"/>
                      <w:sz w:val="21"/>
                    </w:rPr>
                  </w:pPr>
                </w:p>
                <w:p>
                  <w:pPr>
                    <w:spacing w:line="287" w:lineRule="auto"/>
                    <w:rPr>
                      <w:rFonts w:ascii="Arial"/>
                      <w:sz w:val="21"/>
                    </w:rPr>
                  </w:pPr>
                </w:p>
                <w:p>
                  <w:pPr>
                    <w:spacing w:before="55" w:line="230" w:lineRule="auto"/>
                    <w:ind w:left="12"/>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符</w:t>
                  </w:r>
                  <w:r>
                    <w:rPr>
                      <w:rFonts w:ascii="宋体" w:hAnsi="宋体" w:eastAsia="宋体" w:cs="宋体"/>
                      <w:spacing w:val="5"/>
                      <w:sz w:val="17"/>
                      <w:szCs w:val="17"/>
                      <w14:textOutline w14:w="3268" w14:cap="sq" w14:cmpd="sng">
                        <w14:solidFill>
                          <w14:srgbClr w14:val="000000"/>
                        </w14:solidFill>
                        <w14:prstDash w14:val="solid"/>
                        <w14:bevel/>
                      </w14:textOutline>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5" w:hRule="atLeast"/>
              </w:trPr>
              <w:tc>
                <w:tcPr>
                  <w:tcW w:w="561" w:type="dxa"/>
                  <w:vMerge w:val="continue"/>
                  <w:tcBorders>
                    <w:top w:val="nil"/>
                  </w:tcBorders>
                  <w:vAlign w:val="top"/>
                </w:tcPr>
                <w:p>
                  <w:pPr>
                    <w:rPr>
                      <w:rFonts w:ascii="Arial"/>
                      <w:sz w:val="21"/>
                    </w:rPr>
                  </w:pPr>
                </w:p>
              </w:tc>
              <w:tc>
                <w:tcPr>
                  <w:tcW w:w="283" w:type="dxa"/>
                  <w:vMerge w:val="continue"/>
                  <w:tcBorders>
                    <w:top w:val="nil"/>
                  </w:tcBorders>
                  <w:textDirection w:val="tbRlV"/>
                  <w:vAlign w:val="top"/>
                </w:tcPr>
                <w:p>
                  <w:pPr>
                    <w:rPr>
                      <w:rFonts w:ascii="Arial"/>
                      <w:sz w:val="21"/>
                    </w:rPr>
                  </w:pPr>
                </w:p>
              </w:tc>
              <w:tc>
                <w:tcPr>
                  <w:tcW w:w="405" w:type="dxa"/>
                  <w:vAlign w:val="top"/>
                </w:tcPr>
                <w:p>
                  <w:pPr>
                    <w:spacing w:before="71" w:line="286" w:lineRule="auto"/>
                    <w:ind w:left="25" w:right="22" w:firstLine="7"/>
                    <w:rPr>
                      <w:rFonts w:ascii="宋体" w:hAnsi="宋体" w:eastAsia="宋体" w:cs="宋体"/>
                      <w:sz w:val="17"/>
                      <w:szCs w:val="17"/>
                    </w:rPr>
                  </w:pPr>
                  <w:r>
                    <w:rPr>
                      <w:rFonts w:ascii="宋体" w:hAnsi="宋体" w:eastAsia="宋体" w:cs="宋体"/>
                      <w:spacing w:val="3"/>
                      <w:sz w:val="17"/>
                      <w:szCs w:val="17"/>
                      <w14:textOutline w14:w="3268" w14:cap="sq" w14:cmpd="sng">
                        <w14:solidFill>
                          <w14:srgbClr w14:val="000000"/>
                        </w14:solidFill>
                        <w14:prstDash w14:val="solid"/>
                        <w14:bevel/>
                      </w14:textOutline>
                    </w:rPr>
                    <w:t>资</w:t>
                  </w:r>
                  <w:r>
                    <w:rPr>
                      <w:rFonts w:ascii="宋体" w:hAnsi="宋体" w:eastAsia="宋体" w:cs="宋体"/>
                      <w:spacing w:val="2"/>
                      <w:sz w:val="17"/>
                      <w:szCs w:val="17"/>
                      <w14:textOutline w14:w="3268" w14:cap="sq" w14:cmpd="sng">
                        <w14:solidFill>
                          <w14:srgbClr w14:val="000000"/>
                        </w14:solidFill>
                        <w14:prstDash w14:val="solid"/>
                        <w14:bevel/>
                      </w14:textOutline>
                    </w:rPr>
                    <w:t>源</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开发</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效率</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要求</w:t>
                  </w:r>
                </w:p>
              </w:tc>
              <w:tc>
                <w:tcPr>
                  <w:tcW w:w="5098" w:type="dxa"/>
                  <w:vAlign w:val="top"/>
                </w:tcPr>
                <w:p>
                  <w:pPr>
                    <w:spacing w:line="409" w:lineRule="auto"/>
                    <w:rPr>
                      <w:rFonts w:ascii="Arial"/>
                      <w:sz w:val="21"/>
                    </w:rPr>
                  </w:pPr>
                </w:p>
                <w:p>
                  <w:pPr>
                    <w:spacing w:before="49" w:line="242" w:lineRule="exact"/>
                    <w:ind w:left="2521"/>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039" w:type="dxa"/>
                  <w:vAlign w:val="top"/>
                </w:tcPr>
                <w:p>
                  <w:pPr>
                    <w:spacing w:line="409" w:lineRule="auto"/>
                    <w:rPr>
                      <w:rFonts w:ascii="Arial"/>
                      <w:sz w:val="21"/>
                    </w:rPr>
                  </w:pPr>
                </w:p>
                <w:p>
                  <w:pPr>
                    <w:spacing w:before="49" w:line="242" w:lineRule="exact"/>
                    <w:ind w:left="493"/>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417" w:type="dxa"/>
                  <w:vAlign w:val="top"/>
                </w:tcPr>
                <w:p>
                  <w:pPr>
                    <w:spacing w:line="406" w:lineRule="auto"/>
                    <w:rPr>
                      <w:rFonts w:ascii="Arial"/>
                      <w:sz w:val="21"/>
                    </w:rPr>
                  </w:pPr>
                </w:p>
                <w:p>
                  <w:pPr>
                    <w:spacing w:before="49" w:line="249" w:lineRule="exact"/>
                    <w:ind w:left="181"/>
                    <w:rPr>
                      <w:rFonts w:ascii="Times New Roman" w:hAnsi="Times New Roman" w:eastAsia="Times New Roman" w:cs="Times New Roman"/>
                      <w:sz w:val="17"/>
                      <w:szCs w:val="17"/>
                    </w:rPr>
                  </w:pPr>
                  <w:r>
                    <w:rPr>
                      <w:rFonts w:ascii="Times New Roman" w:hAnsi="Times New Roman" w:eastAsia="Times New Roman" w:cs="Times New Roman"/>
                      <w:b/>
                      <w:bCs/>
                      <w:spacing w:val="3"/>
                      <w:position w:val="2"/>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561" w:type="dxa"/>
                  <w:vMerge w:val="restart"/>
                  <w:tcBorders>
                    <w:bottom w:val="nil"/>
                  </w:tcBorders>
                  <w:vAlign w:val="top"/>
                </w:tcPr>
                <w:p>
                  <w:pPr>
                    <w:spacing w:before="220" w:line="231" w:lineRule="auto"/>
                    <w:ind w:left="16"/>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大</w:t>
                  </w:r>
                  <w:r>
                    <w:rPr>
                      <w:rFonts w:ascii="宋体" w:hAnsi="宋体" w:eastAsia="宋体" w:cs="宋体"/>
                      <w:spacing w:val="7"/>
                      <w:sz w:val="17"/>
                      <w:szCs w:val="17"/>
                      <w14:textOutline w14:w="3268" w14:cap="sq" w14:cmpd="sng">
                        <w14:solidFill>
                          <w14:srgbClr w14:val="000000"/>
                        </w14:solidFill>
                        <w14:prstDash w14:val="solid"/>
                        <w14:bevel/>
                      </w14:textOutline>
                    </w:rPr>
                    <w:t>气环</w:t>
                  </w:r>
                </w:p>
                <w:p>
                  <w:pPr>
                    <w:spacing w:before="65" w:line="231" w:lineRule="auto"/>
                    <w:ind w:left="15"/>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境受体</w:t>
                  </w:r>
                </w:p>
                <w:p>
                  <w:pPr>
                    <w:spacing w:before="68" w:line="230" w:lineRule="auto"/>
                    <w:ind w:left="15"/>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敏感重</w:t>
                  </w:r>
                </w:p>
                <w:p>
                  <w:pPr>
                    <w:spacing w:before="69" w:line="230" w:lineRule="auto"/>
                    <w:ind w:left="23"/>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点</w:t>
                  </w:r>
                  <w:r>
                    <w:rPr>
                      <w:rFonts w:ascii="宋体" w:hAnsi="宋体" w:eastAsia="宋体" w:cs="宋体"/>
                      <w:spacing w:val="5"/>
                      <w:sz w:val="17"/>
                      <w:szCs w:val="17"/>
                      <w14:textOutline w14:w="3268" w14:cap="sq" w14:cmpd="sng">
                        <w14:solidFill>
                          <w14:srgbClr w14:val="000000"/>
                        </w14:solidFill>
                        <w14:prstDash w14:val="solid"/>
                        <w14:bevel/>
                      </w14:textOutline>
                    </w:rPr>
                    <w:t>管控</w:t>
                  </w:r>
                </w:p>
                <w:p>
                  <w:pPr>
                    <w:spacing w:before="66" w:line="235" w:lineRule="auto"/>
                    <w:ind w:left="207"/>
                    <w:rPr>
                      <w:rFonts w:ascii="宋体" w:hAnsi="宋体" w:eastAsia="宋体" w:cs="宋体"/>
                      <w:sz w:val="17"/>
                      <w:szCs w:val="17"/>
                    </w:rPr>
                  </w:pPr>
                  <w:r>
                    <w:rPr>
                      <w:rFonts w:ascii="宋体" w:hAnsi="宋体" w:eastAsia="宋体" w:cs="宋体"/>
                      <w:sz w:val="17"/>
                      <w:szCs w:val="17"/>
                      <w14:textOutline w14:w="3268" w14:cap="sq" w14:cmpd="sng">
                        <w14:solidFill>
                          <w14:srgbClr w14:val="000000"/>
                        </w14:solidFill>
                        <w14:prstDash w14:val="solid"/>
                        <w14:bevel/>
                      </w14:textOutline>
                    </w:rPr>
                    <w:t>区</w:t>
                  </w:r>
                </w:p>
                <w:p>
                  <w:pPr>
                    <w:spacing w:line="322" w:lineRule="auto"/>
                    <w:rPr>
                      <w:rFonts w:ascii="Arial"/>
                      <w:sz w:val="21"/>
                    </w:rPr>
                  </w:pPr>
                </w:p>
                <w:p>
                  <w:pPr>
                    <w:spacing w:before="49" w:line="197" w:lineRule="auto"/>
                    <w:ind w:left="35"/>
                    <w:rPr>
                      <w:rFonts w:ascii="Times New Roman" w:hAnsi="Times New Roman" w:eastAsia="Times New Roman" w:cs="Times New Roman"/>
                      <w:sz w:val="17"/>
                      <w:szCs w:val="17"/>
                    </w:rPr>
                  </w:pPr>
                  <w:r>
                    <w:rPr>
                      <w:rFonts w:ascii="Times New Roman" w:hAnsi="Times New Roman" w:eastAsia="Times New Roman" w:cs="Times New Roman"/>
                      <w:b/>
                      <w:bCs/>
                      <w:sz w:val="17"/>
                      <w:szCs w:val="17"/>
                    </w:rPr>
                    <w:t>YS</w:t>
                  </w:r>
                  <w:r>
                    <w:rPr>
                      <w:rFonts w:ascii="Times New Roman" w:hAnsi="Times New Roman" w:eastAsia="Times New Roman" w:cs="Times New Roman"/>
                      <w:b/>
                      <w:bCs/>
                      <w:spacing w:val="8"/>
                      <w:sz w:val="17"/>
                      <w:szCs w:val="17"/>
                    </w:rPr>
                    <w:t>5</w:t>
                  </w:r>
                  <w:r>
                    <w:rPr>
                      <w:rFonts w:ascii="Times New Roman" w:hAnsi="Times New Roman" w:eastAsia="Times New Roman" w:cs="Times New Roman"/>
                      <w:b/>
                      <w:bCs/>
                      <w:spacing w:val="6"/>
                      <w:sz w:val="17"/>
                      <w:szCs w:val="17"/>
                    </w:rPr>
                    <w:t>11</w:t>
                  </w:r>
                </w:p>
                <w:p>
                  <w:pPr>
                    <w:spacing w:before="120" w:line="197" w:lineRule="auto"/>
                    <w:ind w:left="13"/>
                    <w:rPr>
                      <w:rFonts w:ascii="Times New Roman" w:hAnsi="Times New Roman" w:eastAsia="Times New Roman" w:cs="Times New Roman"/>
                      <w:sz w:val="17"/>
                      <w:szCs w:val="17"/>
                    </w:rPr>
                  </w:pPr>
                  <w:r>
                    <w:rPr>
                      <w:rFonts w:ascii="Times New Roman" w:hAnsi="Times New Roman" w:eastAsia="Times New Roman" w:cs="Times New Roman"/>
                      <w:b/>
                      <w:bCs/>
                      <w:spacing w:val="5"/>
                      <w:sz w:val="17"/>
                      <w:szCs w:val="17"/>
                    </w:rPr>
                    <w:t>7</w:t>
                  </w:r>
                  <w:r>
                    <w:rPr>
                      <w:rFonts w:ascii="Times New Roman" w:hAnsi="Times New Roman" w:eastAsia="Times New Roman" w:cs="Times New Roman"/>
                      <w:b/>
                      <w:bCs/>
                      <w:spacing w:val="4"/>
                      <w:sz w:val="17"/>
                      <w:szCs w:val="17"/>
                    </w:rPr>
                    <w:t>02234</w:t>
                  </w:r>
                </w:p>
                <w:p>
                  <w:pPr>
                    <w:spacing w:before="121" w:line="197" w:lineRule="auto"/>
                    <w:ind w:left="105"/>
                    <w:rPr>
                      <w:rFonts w:ascii="Times New Roman" w:hAnsi="Times New Roman" w:eastAsia="Times New Roman" w:cs="Times New Roman"/>
                      <w:sz w:val="17"/>
                      <w:szCs w:val="17"/>
                    </w:rPr>
                  </w:pPr>
                  <w:r>
                    <w:rPr>
                      <w:rFonts w:ascii="Times New Roman" w:hAnsi="Times New Roman" w:eastAsia="Times New Roman" w:cs="Times New Roman"/>
                      <w:b/>
                      <w:bCs/>
                      <w:spacing w:val="5"/>
                      <w:sz w:val="17"/>
                      <w:szCs w:val="17"/>
                    </w:rPr>
                    <w:t>0</w:t>
                  </w:r>
                  <w:r>
                    <w:rPr>
                      <w:rFonts w:ascii="Times New Roman" w:hAnsi="Times New Roman" w:eastAsia="Times New Roman" w:cs="Times New Roman"/>
                      <w:b/>
                      <w:bCs/>
                      <w:spacing w:val="3"/>
                      <w:sz w:val="17"/>
                      <w:szCs w:val="17"/>
                    </w:rPr>
                    <w:t>005</w:t>
                  </w:r>
                </w:p>
                <w:p>
                  <w:pPr>
                    <w:spacing w:line="310" w:lineRule="auto"/>
                    <w:rPr>
                      <w:rFonts w:ascii="Arial"/>
                      <w:sz w:val="21"/>
                    </w:rPr>
                  </w:pPr>
                </w:p>
                <w:p>
                  <w:pPr>
                    <w:spacing w:before="56" w:line="230" w:lineRule="auto"/>
                    <w:ind w:left="14"/>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通</w:t>
                  </w:r>
                  <w:r>
                    <w:rPr>
                      <w:rFonts w:ascii="宋体" w:hAnsi="宋体" w:eastAsia="宋体" w:cs="宋体"/>
                      <w:spacing w:val="8"/>
                      <w:sz w:val="17"/>
                      <w:szCs w:val="17"/>
                      <w14:textOutline w14:w="3268" w14:cap="sq" w14:cmpd="sng">
                        <w14:solidFill>
                          <w14:srgbClr w14:val="000000"/>
                        </w14:solidFill>
                        <w14:prstDash w14:val="solid"/>
                        <w14:bevel/>
                      </w14:textOutline>
                    </w:rPr>
                    <w:t>川区</w:t>
                  </w:r>
                </w:p>
                <w:p>
                  <w:pPr>
                    <w:spacing w:before="69" w:line="230" w:lineRule="auto"/>
                    <w:ind w:left="31"/>
                    <w:rPr>
                      <w:rFonts w:ascii="宋体" w:hAnsi="宋体" w:eastAsia="宋体" w:cs="宋体"/>
                      <w:sz w:val="17"/>
                      <w:szCs w:val="17"/>
                    </w:rPr>
                  </w:pPr>
                  <w:r>
                    <w:rPr>
                      <w:rFonts w:ascii="宋体" w:hAnsi="宋体" w:eastAsia="宋体" w:cs="宋体"/>
                      <w:spacing w:val="3"/>
                      <w:sz w:val="17"/>
                      <w:szCs w:val="17"/>
                      <w14:textOutline w14:w="3268" w14:cap="sq" w14:cmpd="sng">
                        <w14:solidFill>
                          <w14:srgbClr w14:val="000000"/>
                        </w14:solidFill>
                        <w14:prstDash w14:val="solid"/>
                        <w14:bevel/>
                      </w14:textOutline>
                    </w:rPr>
                    <w:t>中心</w:t>
                  </w:r>
                  <w:r>
                    <w:rPr>
                      <w:rFonts w:ascii="宋体" w:hAnsi="宋体" w:eastAsia="宋体" w:cs="宋体"/>
                      <w:spacing w:val="2"/>
                      <w:sz w:val="17"/>
                      <w:szCs w:val="17"/>
                      <w14:textOutline w14:w="3268" w14:cap="sq" w14:cmpd="sng">
                        <w14:solidFill>
                          <w14:srgbClr w14:val="000000"/>
                        </w14:solidFill>
                        <w14:prstDash w14:val="solid"/>
                        <w14:bevel/>
                      </w14:textOutline>
                    </w:rPr>
                    <w:t>城</w:t>
                  </w:r>
                </w:p>
                <w:p>
                  <w:pPr>
                    <w:spacing w:before="69" w:line="235" w:lineRule="auto"/>
                    <w:ind w:left="207"/>
                    <w:rPr>
                      <w:rFonts w:ascii="宋体" w:hAnsi="宋体" w:eastAsia="宋体" w:cs="宋体"/>
                      <w:sz w:val="17"/>
                      <w:szCs w:val="17"/>
                    </w:rPr>
                  </w:pPr>
                  <w:r>
                    <w:rPr>
                      <w:rFonts w:ascii="宋体" w:hAnsi="宋体" w:eastAsia="宋体" w:cs="宋体"/>
                      <w:sz w:val="17"/>
                      <w:szCs w:val="17"/>
                      <w14:textOutline w14:w="3268" w14:cap="sq" w14:cmpd="sng">
                        <w14:solidFill>
                          <w14:srgbClr w14:val="000000"/>
                        </w14:solidFill>
                        <w14:prstDash w14:val="solid"/>
                        <w14:bevel/>
                      </w14:textOutline>
                    </w:rPr>
                    <w:t>区</w:t>
                  </w:r>
                </w:p>
              </w:tc>
              <w:tc>
                <w:tcPr>
                  <w:tcW w:w="283" w:type="dxa"/>
                  <w:vMerge w:val="restart"/>
                  <w:tcBorders>
                    <w:bottom w:val="nil"/>
                  </w:tcBorders>
                  <w:textDirection w:val="tbRlV"/>
                  <w:vAlign w:val="top"/>
                </w:tcPr>
                <w:p>
                  <w:pPr>
                    <w:spacing w:before="51" w:line="219" w:lineRule="auto"/>
                    <w:ind w:left="779"/>
                    <w:rPr>
                      <w:rFonts w:ascii="宋体" w:hAnsi="宋体" w:eastAsia="宋体" w:cs="宋体"/>
                      <w:sz w:val="17"/>
                      <w:szCs w:val="17"/>
                    </w:rPr>
                  </w:pPr>
                  <w:r>
                    <w:rPr>
                      <w:rFonts w:ascii="宋体" w:hAnsi="宋体" w:eastAsia="宋体" w:cs="宋体"/>
                      <w:spacing w:val="16"/>
                      <w:sz w:val="17"/>
                      <w:szCs w:val="17"/>
                      <w14:textOutline w14:w="3268" w14:cap="sq" w14:cmpd="sng">
                        <w14:solidFill>
                          <w14:srgbClr w14:val="000000"/>
                        </w14:solidFill>
                        <w14:prstDash w14:val="solid"/>
                        <w14:bevel/>
                      </w14:textOutline>
                    </w:rPr>
                    <w:t>单</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元</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级</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清</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单</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管</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控</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要</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求</w:t>
                  </w:r>
                </w:p>
              </w:tc>
              <w:tc>
                <w:tcPr>
                  <w:tcW w:w="405" w:type="dxa"/>
                  <w:vAlign w:val="top"/>
                </w:tcPr>
                <w:p>
                  <w:pPr>
                    <w:spacing w:line="435" w:lineRule="auto"/>
                    <w:rPr>
                      <w:rFonts w:ascii="Arial"/>
                      <w:sz w:val="21"/>
                    </w:rPr>
                  </w:pPr>
                </w:p>
                <w:p>
                  <w:pPr>
                    <w:spacing w:before="55" w:line="313" w:lineRule="auto"/>
                    <w:ind w:left="24" w:right="22" w:firstLine="5"/>
                    <w:rPr>
                      <w:rFonts w:ascii="宋体" w:hAnsi="宋体" w:eastAsia="宋体" w:cs="宋体"/>
                      <w:sz w:val="17"/>
                      <w:szCs w:val="17"/>
                    </w:rPr>
                  </w:pPr>
                  <w:r>
                    <w:rPr>
                      <w:rFonts w:ascii="宋体" w:hAnsi="宋体" w:eastAsia="宋体" w:cs="宋体"/>
                      <w:spacing w:val="4"/>
                      <w:sz w:val="17"/>
                      <w:szCs w:val="17"/>
                      <w14:textOutline w14:w="3268" w14:cap="sq" w14:cmpd="sng">
                        <w14:solidFill>
                          <w14:srgbClr w14:val="000000"/>
                        </w14:solidFill>
                        <w14:prstDash w14:val="solid"/>
                        <w14:bevel/>
                      </w14:textOutline>
                    </w:rPr>
                    <w:t>空</w:t>
                  </w:r>
                  <w:r>
                    <w:rPr>
                      <w:rFonts w:ascii="宋体" w:hAnsi="宋体" w:eastAsia="宋体" w:cs="宋体"/>
                      <w:spacing w:val="3"/>
                      <w:sz w:val="17"/>
                      <w:szCs w:val="17"/>
                      <w14:textOutline w14:w="3268" w14:cap="sq" w14:cmpd="sng">
                        <w14:solidFill>
                          <w14:srgbClr w14:val="000000"/>
                        </w14:solidFill>
                        <w14:prstDash w14:val="solid"/>
                        <w14:bevel/>
                      </w14:textOutline>
                    </w:rPr>
                    <w:t>间</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布局</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约束</w:t>
                  </w:r>
                </w:p>
              </w:tc>
              <w:tc>
                <w:tcPr>
                  <w:tcW w:w="5098" w:type="dxa"/>
                  <w:vAlign w:val="top"/>
                </w:tcPr>
                <w:p>
                  <w:pPr>
                    <w:spacing w:before="215" w:line="278" w:lineRule="exact"/>
                    <w:ind w:left="8"/>
                    <w:rPr>
                      <w:rFonts w:ascii="宋体" w:hAnsi="宋体" w:eastAsia="宋体" w:cs="宋体"/>
                      <w:sz w:val="17"/>
                      <w:szCs w:val="17"/>
                    </w:rPr>
                  </w:pPr>
                  <w:r>
                    <w:rPr>
                      <w:rFonts w:ascii="宋体" w:hAnsi="宋体" w:eastAsia="宋体" w:cs="宋体"/>
                      <w:spacing w:val="12"/>
                      <w:position w:val="7"/>
                      <w:sz w:val="17"/>
                      <w:szCs w:val="17"/>
                    </w:rPr>
                    <w:t>禁</w:t>
                  </w:r>
                  <w:r>
                    <w:rPr>
                      <w:rFonts w:ascii="宋体" w:hAnsi="宋体" w:eastAsia="宋体" w:cs="宋体"/>
                      <w:spacing w:val="9"/>
                      <w:position w:val="7"/>
                      <w:sz w:val="17"/>
                      <w:szCs w:val="17"/>
                    </w:rPr>
                    <w:t>止开发建设活动的要求</w:t>
                  </w:r>
                </w:p>
                <w:p>
                  <w:pPr>
                    <w:spacing w:line="230" w:lineRule="auto"/>
                    <w:ind w:left="21"/>
                    <w:rPr>
                      <w:rFonts w:ascii="宋体" w:hAnsi="宋体" w:eastAsia="宋体" w:cs="宋体"/>
                      <w:sz w:val="17"/>
                      <w:szCs w:val="17"/>
                    </w:rPr>
                  </w:pPr>
                  <w:r>
                    <w:rPr>
                      <w:rFonts w:ascii="宋体" w:hAnsi="宋体" w:eastAsia="宋体" w:cs="宋体"/>
                      <w:spacing w:val="10"/>
                      <w:sz w:val="17"/>
                      <w:szCs w:val="17"/>
                    </w:rPr>
                    <w:t>限</w:t>
                  </w:r>
                  <w:r>
                    <w:rPr>
                      <w:rFonts w:ascii="宋体" w:hAnsi="宋体" w:eastAsia="宋体" w:cs="宋体"/>
                      <w:spacing w:val="8"/>
                      <w:sz w:val="17"/>
                      <w:szCs w:val="17"/>
                    </w:rPr>
                    <w:t>制开发建设活动的要求</w:t>
                  </w:r>
                </w:p>
                <w:p>
                  <w:pPr>
                    <w:spacing w:before="68" w:line="230" w:lineRule="auto"/>
                    <w:ind w:left="14"/>
                    <w:rPr>
                      <w:rFonts w:ascii="宋体" w:hAnsi="宋体" w:eastAsia="宋体" w:cs="宋体"/>
                      <w:sz w:val="17"/>
                      <w:szCs w:val="17"/>
                    </w:rPr>
                  </w:pPr>
                  <w:r>
                    <w:rPr>
                      <w:rFonts w:ascii="宋体" w:hAnsi="宋体" w:eastAsia="宋体" w:cs="宋体"/>
                      <w:spacing w:val="16"/>
                      <w:sz w:val="17"/>
                      <w:szCs w:val="17"/>
                    </w:rPr>
                    <w:t>允</w:t>
                  </w:r>
                  <w:r>
                    <w:rPr>
                      <w:rFonts w:ascii="宋体" w:hAnsi="宋体" w:eastAsia="宋体" w:cs="宋体"/>
                      <w:spacing w:val="8"/>
                      <w:sz w:val="17"/>
                      <w:szCs w:val="17"/>
                    </w:rPr>
                    <w:t>许开发建设活动的要求</w:t>
                  </w:r>
                </w:p>
                <w:p>
                  <w:pPr>
                    <w:spacing w:before="68" w:line="279" w:lineRule="exact"/>
                    <w:ind w:left="11"/>
                    <w:rPr>
                      <w:rFonts w:ascii="宋体" w:hAnsi="宋体" w:eastAsia="宋体" w:cs="宋体"/>
                      <w:sz w:val="17"/>
                      <w:szCs w:val="17"/>
                    </w:rPr>
                  </w:pPr>
                  <w:r>
                    <w:rPr>
                      <w:rFonts w:ascii="宋体" w:hAnsi="宋体" w:eastAsia="宋体" w:cs="宋体"/>
                      <w:spacing w:val="15"/>
                      <w:position w:val="7"/>
                      <w:sz w:val="17"/>
                      <w:szCs w:val="17"/>
                    </w:rPr>
                    <w:t>不</w:t>
                  </w:r>
                  <w:r>
                    <w:rPr>
                      <w:rFonts w:ascii="宋体" w:hAnsi="宋体" w:eastAsia="宋体" w:cs="宋体"/>
                      <w:spacing w:val="9"/>
                      <w:position w:val="7"/>
                      <w:sz w:val="17"/>
                      <w:szCs w:val="17"/>
                    </w:rPr>
                    <w:t>符合空间布局要求活动的退出要求</w:t>
                  </w:r>
                </w:p>
                <w:p>
                  <w:pPr>
                    <w:spacing w:line="229" w:lineRule="auto"/>
                    <w:ind w:left="9"/>
                    <w:rPr>
                      <w:rFonts w:ascii="宋体" w:hAnsi="宋体" w:eastAsia="宋体" w:cs="宋体"/>
                      <w:sz w:val="17"/>
                      <w:szCs w:val="17"/>
                    </w:rPr>
                  </w:pPr>
                  <w:r>
                    <w:rPr>
                      <w:rFonts w:ascii="宋体" w:hAnsi="宋体" w:eastAsia="宋体" w:cs="宋体"/>
                      <w:spacing w:val="11"/>
                      <w:sz w:val="17"/>
                      <w:szCs w:val="17"/>
                    </w:rPr>
                    <w:t>其</w:t>
                  </w:r>
                  <w:r>
                    <w:rPr>
                      <w:rFonts w:ascii="宋体" w:hAnsi="宋体" w:eastAsia="宋体" w:cs="宋体"/>
                      <w:spacing w:val="9"/>
                      <w:sz w:val="17"/>
                      <w:szCs w:val="17"/>
                    </w:rPr>
                    <w:t>他空间布局约束要求</w:t>
                  </w:r>
                </w:p>
              </w:tc>
              <w:tc>
                <w:tcPr>
                  <w:tcW w:w="1039" w:type="dxa"/>
                  <w:vAlign w:val="top"/>
                </w:tcPr>
                <w:p>
                  <w:pPr>
                    <w:spacing w:before="76" w:line="291" w:lineRule="auto"/>
                    <w:ind w:left="10" w:firstLine="2"/>
                    <w:rPr>
                      <w:rFonts w:ascii="宋体" w:hAnsi="宋体" w:eastAsia="宋体" w:cs="宋体"/>
                      <w:sz w:val="17"/>
                      <w:szCs w:val="17"/>
                    </w:rPr>
                  </w:pPr>
                  <w:r>
                    <w:rPr>
                      <w:rFonts w:ascii="宋体" w:hAnsi="宋体" w:eastAsia="宋体" w:cs="宋体"/>
                      <w:sz w:val="17"/>
                      <w:szCs w:val="17"/>
                    </w:rPr>
                    <w:t xml:space="preserve">不属于禁止、 </w:t>
                  </w:r>
                  <w:r>
                    <w:rPr>
                      <w:rFonts w:ascii="宋体" w:hAnsi="宋体" w:eastAsia="宋体" w:cs="宋体"/>
                      <w:spacing w:val="-26"/>
                      <w:sz w:val="17"/>
                      <w:szCs w:val="17"/>
                    </w:rPr>
                    <w:t>限</w:t>
                  </w:r>
                  <w:r>
                    <w:rPr>
                      <w:rFonts w:ascii="宋体" w:hAnsi="宋体" w:eastAsia="宋体" w:cs="宋体"/>
                      <w:spacing w:val="-20"/>
                      <w:sz w:val="17"/>
                      <w:szCs w:val="17"/>
                    </w:rPr>
                    <w:t xml:space="preserve"> 制 开 发 建</w:t>
                  </w:r>
                  <w:r>
                    <w:rPr>
                      <w:rFonts w:ascii="宋体" w:hAnsi="宋体" w:eastAsia="宋体" w:cs="宋体"/>
                      <w:sz w:val="17"/>
                      <w:szCs w:val="17"/>
                    </w:rPr>
                    <w:t xml:space="preserve"> </w:t>
                  </w:r>
                  <w:r>
                    <w:rPr>
                      <w:rFonts w:ascii="宋体" w:hAnsi="宋体" w:eastAsia="宋体" w:cs="宋体"/>
                      <w:spacing w:val="-4"/>
                      <w:sz w:val="17"/>
                      <w:szCs w:val="17"/>
                    </w:rPr>
                    <w:t>设项</w:t>
                  </w:r>
                  <w:r>
                    <w:rPr>
                      <w:rFonts w:ascii="宋体" w:hAnsi="宋体" w:eastAsia="宋体" w:cs="宋体"/>
                      <w:spacing w:val="-2"/>
                      <w:sz w:val="17"/>
                      <w:szCs w:val="17"/>
                    </w:rPr>
                    <w:t>目，属于</w:t>
                  </w:r>
                  <w:r>
                    <w:rPr>
                      <w:rFonts w:ascii="宋体" w:hAnsi="宋体" w:eastAsia="宋体" w:cs="宋体"/>
                      <w:sz w:val="17"/>
                      <w:szCs w:val="17"/>
                    </w:rPr>
                    <w:t xml:space="preserve"> </w:t>
                  </w:r>
                  <w:r>
                    <w:rPr>
                      <w:rFonts w:ascii="宋体" w:hAnsi="宋体" w:eastAsia="宋体" w:cs="宋体"/>
                      <w:spacing w:val="-26"/>
                      <w:sz w:val="17"/>
                      <w:szCs w:val="17"/>
                    </w:rPr>
                    <w:t>允</w:t>
                  </w:r>
                  <w:r>
                    <w:rPr>
                      <w:rFonts w:ascii="宋体" w:hAnsi="宋体" w:eastAsia="宋体" w:cs="宋体"/>
                      <w:spacing w:val="-20"/>
                      <w:sz w:val="17"/>
                      <w:szCs w:val="17"/>
                    </w:rPr>
                    <w:t xml:space="preserve"> 许 建 设 项</w:t>
                  </w:r>
                  <w:r>
                    <w:rPr>
                      <w:rFonts w:ascii="宋体" w:hAnsi="宋体" w:eastAsia="宋体" w:cs="宋体"/>
                      <w:sz w:val="17"/>
                      <w:szCs w:val="17"/>
                    </w:rPr>
                    <w:t xml:space="preserve"> </w:t>
                  </w:r>
                  <w:r>
                    <w:rPr>
                      <w:rFonts w:ascii="宋体" w:hAnsi="宋体" w:eastAsia="宋体" w:cs="宋体"/>
                      <w:spacing w:val="-4"/>
                      <w:sz w:val="17"/>
                      <w:szCs w:val="17"/>
                    </w:rPr>
                    <w:t>目，</w:t>
                  </w:r>
                  <w:r>
                    <w:rPr>
                      <w:rFonts w:ascii="宋体" w:hAnsi="宋体" w:eastAsia="宋体" w:cs="宋体"/>
                      <w:spacing w:val="-2"/>
                      <w:sz w:val="17"/>
                      <w:szCs w:val="17"/>
                    </w:rPr>
                    <w:t>符合空间</w:t>
                  </w:r>
                  <w:r>
                    <w:rPr>
                      <w:rFonts w:ascii="宋体" w:hAnsi="宋体" w:eastAsia="宋体" w:cs="宋体"/>
                      <w:sz w:val="17"/>
                      <w:szCs w:val="17"/>
                    </w:rPr>
                    <w:t xml:space="preserve"> </w:t>
                  </w:r>
                  <w:r>
                    <w:rPr>
                      <w:rFonts w:ascii="宋体" w:hAnsi="宋体" w:eastAsia="宋体" w:cs="宋体"/>
                      <w:spacing w:val="4"/>
                      <w:sz w:val="17"/>
                      <w:szCs w:val="17"/>
                    </w:rPr>
                    <w:t>布局要求。</w:t>
                  </w:r>
                </w:p>
              </w:tc>
              <w:tc>
                <w:tcPr>
                  <w:tcW w:w="41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7" w:hRule="atLeast"/>
              </w:trPr>
              <w:tc>
                <w:tcPr>
                  <w:tcW w:w="561" w:type="dxa"/>
                  <w:vMerge w:val="continue"/>
                  <w:tcBorders>
                    <w:top w:val="nil"/>
                  </w:tcBorders>
                  <w:vAlign w:val="top"/>
                </w:tcPr>
                <w:p>
                  <w:pPr>
                    <w:rPr>
                      <w:rFonts w:ascii="Arial"/>
                      <w:sz w:val="21"/>
                    </w:rPr>
                  </w:pPr>
                </w:p>
              </w:tc>
              <w:tc>
                <w:tcPr>
                  <w:tcW w:w="283" w:type="dxa"/>
                  <w:vMerge w:val="continue"/>
                  <w:tcBorders>
                    <w:top w:val="nil"/>
                  </w:tcBorders>
                  <w:textDirection w:val="tbRlV"/>
                  <w:vAlign w:val="top"/>
                </w:tcPr>
                <w:p>
                  <w:pPr>
                    <w:rPr>
                      <w:rFonts w:ascii="Arial"/>
                      <w:sz w:val="21"/>
                    </w:rPr>
                  </w:pPr>
                </w:p>
              </w:tc>
              <w:tc>
                <w:tcPr>
                  <w:tcW w:w="405" w:type="dxa"/>
                  <w:vAlign w:val="top"/>
                </w:tcPr>
                <w:p>
                  <w:pPr>
                    <w:spacing w:line="288" w:lineRule="auto"/>
                    <w:rPr>
                      <w:rFonts w:ascii="Arial"/>
                      <w:sz w:val="21"/>
                    </w:rPr>
                  </w:pPr>
                </w:p>
                <w:p>
                  <w:pPr>
                    <w:spacing w:line="289" w:lineRule="auto"/>
                    <w:rPr>
                      <w:rFonts w:ascii="Arial"/>
                      <w:sz w:val="21"/>
                    </w:rPr>
                  </w:pPr>
                </w:p>
                <w:p>
                  <w:pPr>
                    <w:spacing w:before="55" w:line="231" w:lineRule="auto"/>
                    <w:ind w:left="26"/>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污</w:t>
                  </w:r>
                  <w:r>
                    <w:rPr>
                      <w:rFonts w:ascii="宋体" w:hAnsi="宋体" w:eastAsia="宋体" w:cs="宋体"/>
                      <w:spacing w:val="5"/>
                      <w:sz w:val="17"/>
                      <w:szCs w:val="17"/>
                      <w14:textOutline w14:w="3268" w14:cap="sq" w14:cmpd="sng">
                        <w14:solidFill>
                          <w14:srgbClr w14:val="000000"/>
                        </w14:solidFill>
                        <w14:prstDash w14:val="solid"/>
                        <w14:bevel/>
                      </w14:textOutline>
                    </w:rPr>
                    <w:t>染</w:t>
                  </w:r>
                </w:p>
                <w:p>
                  <w:pPr>
                    <w:spacing w:before="65" w:line="232" w:lineRule="auto"/>
                    <w:ind w:left="24"/>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物排</w:t>
                  </w:r>
                </w:p>
                <w:p>
                  <w:pPr>
                    <w:spacing w:before="67" w:line="230" w:lineRule="auto"/>
                    <w:ind w:left="24"/>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放管</w:t>
                  </w:r>
                </w:p>
                <w:p>
                  <w:pPr>
                    <w:spacing w:before="68" w:line="231" w:lineRule="auto"/>
                    <w:ind w:left="112"/>
                    <w:rPr>
                      <w:rFonts w:ascii="宋体" w:hAnsi="宋体" w:eastAsia="宋体" w:cs="宋体"/>
                      <w:sz w:val="17"/>
                      <w:szCs w:val="17"/>
                    </w:rPr>
                  </w:pPr>
                  <w:r>
                    <w:rPr>
                      <w:rFonts w:ascii="宋体" w:hAnsi="宋体" w:eastAsia="宋体" w:cs="宋体"/>
                      <w:spacing w:val="3"/>
                      <w:sz w:val="17"/>
                      <w:szCs w:val="17"/>
                      <w14:textOutline w14:w="3268" w14:cap="sq" w14:cmpd="sng">
                        <w14:solidFill>
                          <w14:srgbClr w14:val="000000"/>
                        </w14:solidFill>
                        <w14:prstDash w14:val="solid"/>
                        <w14:bevel/>
                      </w14:textOutline>
                    </w:rPr>
                    <w:t>控</w:t>
                  </w:r>
                </w:p>
              </w:tc>
              <w:tc>
                <w:tcPr>
                  <w:tcW w:w="5098" w:type="dxa"/>
                  <w:vAlign w:val="top"/>
                </w:tcPr>
                <w:p>
                  <w:pPr>
                    <w:spacing w:before="74" w:line="230" w:lineRule="auto"/>
                    <w:ind w:left="18"/>
                    <w:rPr>
                      <w:rFonts w:ascii="宋体" w:hAnsi="宋体" w:eastAsia="宋体" w:cs="宋体"/>
                      <w:sz w:val="17"/>
                      <w:szCs w:val="17"/>
                    </w:rPr>
                  </w:pPr>
                  <w:r>
                    <w:rPr>
                      <w:rFonts w:ascii="宋体" w:hAnsi="宋体" w:eastAsia="宋体" w:cs="宋体"/>
                      <w:spacing w:val="22"/>
                      <w:sz w:val="17"/>
                      <w:szCs w:val="17"/>
                    </w:rPr>
                    <w:t>(</w:t>
                  </w:r>
                  <w:r>
                    <w:rPr>
                      <w:rFonts w:ascii="Times New Roman" w:hAnsi="Times New Roman" w:eastAsia="Times New Roman" w:cs="Times New Roman"/>
                      <w:spacing w:val="13"/>
                      <w:sz w:val="17"/>
                      <w:szCs w:val="17"/>
                    </w:rPr>
                    <w:t>1</w:t>
                  </w:r>
                  <w:r>
                    <w:rPr>
                      <w:rFonts w:ascii="宋体" w:hAnsi="宋体" w:eastAsia="宋体" w:cs="宋体"/>
                      <w:spacing w:val="13"/>
                      <w:sz w:val="17"/>
                      <w:szCs w:val="17"/>
                    </w:rPr>
                    <w:t>) 大气环境质量执行标准</w:t>
                  </w:r>
                </w:p>
                <w:p>
                  <w:pPr>
                    <w:spacing w:before="68" w:line="246" w:lineRule="exact"/>
                    <w:ind w:left="14"/>
                    <w:rPr>
                      <w:rFonts w:ascii="宋体" w:hAnsi="宋体" w:eastAsia="宋体" w:cs="宋体"/>
                      <w:sz w:val="17"/>
                      <w:szCs w:val="17"/>
                    </w:rPr>
                  </w:pPr>
                  <w:r>
                    <w:rPr>
                      <w:rFonts w:ascii="宋体" w:hAnsi="宋体" w:eastAsia="宋体" w:cs="宋体"/>
                      <w:spacing w:val="4"/>
                      <w:position w:val="5"/>
                      <w:sz w:val="17"/>
                      <w:szCs w:val="17"/>
                    </w:rPr>
                    <w:t>《环境空气质量标准》  (</w:t>
                  </w:r>
                  <w:r>
                    <w:rPr>
                      <w:rFonts w:ascii="Times New Roman" w:hAnsi="Times New Roman" w:eastAsia="Times New Roman" w:cs="Times New Roman"/>
                      <w:position w:val="5"/>
                      <w:sz w:val="17"/>
                      <w:szCs w:val="17"/>
                    </w:rPr>
                    <w:t>GB</w:t>
                  </w:r>
                  <w:r>
                    <w:rPr>
                      <w:rFonts w:ascii="Times New Roman" w:hAnsi="Times New Roman" w:eastAsia="Times New Roman" w:cs="Times New Roman"/>
                      <w:spacing w:val="4"/>
                      <w:position w:val="5"/>
                      <w:sz w:val="17"/>
                      <w:szCs w:val="17"/>
                    </w:rPr>
                    <w:t>3095-2012</w:t>
                  </w:r>
                  <w:r>
                    <w:rPr>
                      <w:rFonts w:ascii="宋体" w:hAnsi="宋体" w:eastAsia="宋体" w:cs="宋体"/>
                      <w:spacing w:val="4"/>
                      <w:position w:val="5"/>
                      <w:sz w:val="17"/>
                      <w:szCs w:val="17"/>
                    </w:rPr>
                    <w:t>) ：二</w:t>
                  </w:r>
                  <w:r>
                    <w:rPr>
                      <w:rFonts w:ascii="宋体" w:hAnsi="宋体" w:eastAsia="宋体" w:cs="宋体"/>
                      <w:spacing w:val="2"/>
                      <w:position w:val="5"/>
                      <w:sz w:val="17"/>
                      <w:szCs w:val="17"/>
                    </w:rPr>
                    <w:t>级</w:t>
                  </w:r>
                </w:p>
                <w:p>
                  <w:pPr>
                    <w:spacing w:line="242" w:lineRule="exact"/>
                    <w:ind w:left="18"/>
                    <w:rPr>
                      <w:rFonts w:ascii="宋体" w:hAnsi="宋体" w:eastAsia="宋体" w:cs="宋体"/>
                      <w:sz w:val="17"/>
                      <w:szCs w:val="17"/>
                    </w:rPr>
                  </w:pPr>
                  <w:r>
                    <w:rPr>
                      <w:rFonts w:ascii="宋体" w:hAnsi="宋体" w:eastAsia="宋体" w:cs="宋体"/>
                      <w:spacing w:val="21"/>
                      <w:position w:val="1"/>
                      <w:sz w:val="17"/>
                      <w:szCs w:val="17"/>
                    </w:rPr>
                    <w:t>(</w:t>
                  </w:r>
                  <w:r>
                    <w:rPr>
                      <w:rFonts w:ascii="Times New Roman" w:hAnsi="Times New Roman" w:eastAsia="Times New Roman" w:cs="Times New Roman"/>
                      <w:spacing w:val="12"/>
                      <w:position w:val="1"/>
                      <w:sz w:val="17"/>
                      <w:szCs w:val="17"/>
                    </w:rPr>
                    <w:t>2</w:t>
                  </w:r>
                  <w:r>
                    <w:rPr>
                      <w:rFonts w:ascii="宋体" w:hAnsi="宋体" w:eastAsia="宋体" w:cs="宋体"/>
                      <w:spacing w:val="12"/>
                      <w:position w:val="1"/>
                      <w:sz w:val="17"/>
                      <w:szCs w:val="17"/>
                    </w:rPr>
                    <w:t>) 区域大气污染物削减</w:t>
                  </w:r>
                  <w:r>
                    <w:rPr>
                      <w:rFonts w:ascii="Times New Roman" w:hAnsi="Times New Roman" w:eastAsia="Times New Roman" w:cs="Times New Roman"/>
                      <w:spacing w:val="12"/>
                      <w:position w:val="1"/>
                      <w:sz w:val="17"/>
                      <w:szCs w:val="17"/>
                    </w:rPr>
                    <w:t>/</w:t>
                  </w:r>
                  <w:r>
                    <w:rPr>
                      <w:rFonts w:ascii="宋体" w:hAnsi="宋体" w:eastAsia="宋体" w:cs="宋体"/>
                      <w:spacing w:val="12"/>
                      <w:position w:val="1"/>
                      <w:sz w:val="17"/>
                      <w:szCs w:val="17"/>
                    </w:rPr>
                    <w:t>替代要求</w:t>
                  </w:r>
                </w:p>
                <w:p>
                  <w:pPr>
                    <w:spacing w:before="71" w:line="230" w:lineRule="auto"/>
                    <w:ind w:left="9"/>
                    <w:rPr>
                      <w:rFonts w:ascii="宋体" w:hAnsi="宋体" w:eastAsia="宋体" w:cs="宋体"/>
                      <w:sz w:val="17"/>
                      <w:szCs w:val="17"/>
                    </w:rPr>
                  </w:pPr>
                  <w:r>
                    <w:rPr>
                      <w:rFonts w:ascii="宋体" w:hAnsi="宋体" w:eastAsia="宋体" w:cs="宋体"/>
                      <w:spacing w:val="14"/>
                      <w:sz w:val="17"/>
                      <w:szCs w:val="17"/>
                    </w:rPr>
                    <w:t>新</w:t>
                  </w:r>
                  <w:r>
                    <w:rPr>
                      <w:rFonts w:ascii="宋体" w:hAnsi="宋体" w:eastAsia="宋体" w:cs="宋体"/>
                      <w:spacing w:val="9"/>
                      <w:sz w:val="17"/>
                      <w:szCs w:val="17"/>
                    </w:rPr>
                    <w:t>增大气污染物排放的建设项目实施总量削减替代。</w:t>
                  </w:r>
                </w:p>
                <w:p>
                  <w:pPr>
                    <w:spacing w:before="68" w:line="231" w:lineRule="auto"/>
                    <w:ind w:left="18"/>
                    <w:rPr>
                      <w:rFonts w:ascii="宋体" w:hAnsi="宋体" w:eastAsia="宋体" w:cs="宋体"/>
                      <w:sz w:val="17"/>
                      <w:szCs w:val="17"/>
                    </w:rPr>
                  </w:pPr>
                  <w:r>
                    <w:rPr>
                      <w:rFonts w:ascii="宋体" w:hAnsi="宋体" w:eastAsia="宋体" w:cs="宋体"/>
                      <w:spacing w:val="24"/>
                      <w:sz w:val="17"/>
                      <w:szCs w:val="17"/>
                    </w:rPr>
                    <w:t>(</w:t>
                  </w:r>
                  <w:r>
                    <w:rPr>
                      <w:rFonts w:ascii="Times New Roman" w:hAnsi="Times New Roman" w:eastAsia="Times New Roman" w:cs="Times New Roman"/>
                      <w:spacing w:val="13"/>
                      <w:sz w:val="17"/>
                      <w:szCs w:val="17"/>
                    </w:rPr>
                    <w:t>3</w:t>
                  </w:r>
                  <w:r>
                    <w:rPr>
                      <w:rFonts w:ascii="宋体" w:hAnsi="宋体" w:eastAsia="宋体" w:cs="宋体"/>
                      <w:spacing w:val="12"/>
                      <w:sz w:val="17"/>
                      <w:szCs w:val="17"/>
                    </w:rPr>
                    <w:t>) 燃煤和其他能源大气污染控制要求</w:t>
                  </w:r>
                </w:p>
                <w:p>
                  <w:pPr>
                    <w:spacing w:before="68" w:line="231" w:lineRule="auto"/>
                    <w:ind w:left="18"/>
                    <w:rPr>
                      <w:rFonts w:ascii="宋体" w:hAnsi="宋体" w:eastAsia="宋体" w:cs="宋体"/>
                      <w:sz w:val="17"/>
                      <w:szCs w:val="17"/>
                    </w:rPr>
                  </w:pPr>
                  <w:r>
                    <w:rPr>
                      <w:rFonts w:ascii="宋体" w:hAnsi="宋体" w:eastAsia="宋体" w:cs="宋体"/>
                      <w:spacing w:val="22"/>
                      <w:sz w:val="17"/>
                      <w:szCs w:val="17"/>
                    </w:rPr>
                    <w:t>(</w:t>
                  </w:r>
                  <w:r>
                    <w:rPr>
                      <w:rFonts w:ascii="Times New Roman" w:hAnsi="Times New Roman" w:eastAsia="Times New Roman" w:cs="Times New Roman"/>
                      <w:spacing w:val="13"/>
                      <w:sz w:val="17"/>
                      <w:szCs w:val="17"/>
                    </w:rPr>
                    <w:t>4</w:t>
                  </w:r>
                  <w:r>
                    <w:rPr>
                      <w:rFonts w:ascii="宋体" w:hAnsi="宋体" w:eastAsia="宋体" w:cs="宋体"/>
                      <w:spacing w:val="13"/>
                      <w:sz w:val="17"/>
                      <w:szCs w:val="17"/>
                    </w:rPr>
                    <w:t>) 工业废气污染控制要求</w:t>
                  </w:r>
                </w:p>
                <w:p>
                  <w:pPr>
                    <w:spacing w:before="66" w:line="229" w:lineRule="auto"/>
                    <w:ind w:left="18"/>
                    <w:rPr>
                      <w:rFonts w:ascii="宋体" w:hAnsi="宋体" w:eastAsia="宋体" w:cs="宋体"/>
                      <w:sz w:val="17"/>
                      <w:szCs w:val="17"/>
                    </w:rPr>
                  </w:pPr>
                  <w:r>
                    <w:rPr>
                      <w:rFonts w:ascii="宋体" w:hAnsi="宋体" w:eastAsia="宋体" w:cs="宋体"/>
                      <w:spacing w:val="16"/>
                      <w:sz w:val="17"/>
                      <w:szCs w:val="17"/>
                    </w:rPr>
                    <w:t>(</w:t>
                  </w:r>
                  <w:r>
                    <w:rPr>
                      <w:rFonts w:ascii="Times New Roman" w:hAnsi="Times New Roman" w:eastAsia="Times New Roman" w:cs="Times New Roman"/>
                      <w:spacing w:val="13"/>
                      <w:sz w:val="17"/>
                      <w:szCs w:val="17"/>
                    </w:rPr>
                    <w:t>5</w:t>
                  </w:r>
                  <w:r>
                    <w:rPr>
                      <w:rFonts w:ascii="宋体" w:hAnsi="宋体" w:eastAsia="宋体" w:cs="宋体"/>
                      <w:spacing w:val="13"/>
                      <w:sz w:val="17"/>
                      <w:szCs w:val="17"/>
                    </w:rPr>
                    <w:t>) 机动车船大气污染控制要求</w:t>
                  </w:r>
                </w:p>
                <w:p>
                  <w:pPr>
                    <w:spacing w:before="70" w:line="230" w:lineRule="auto"/>
                    <w:ind w:left="18"/>
                    <w:rPr>
                      <w:rFonts w:ascii="宋体" w:hAnsi="宋体" w:eastAsia="宋体" w:cs="宋体"/>
                      <w:sz w:val="17"/>
                      <w:szCs w:val="17"/>
                    </w:rPr>
                  </w:pPr>
                  <w:r>
                    <w:rPr>
                      <w:rFonts w:ascii="宋体" w:hAnsi="宋体" w:eastAsia="宋体" w:cs="宋体"/>
                      <w:spacing w:val="17"/>
                      <w:sz w:val="17"/>
                      <w:szCs w:val="17"/>
                    </w:rPr>
                    <w:t>(</w:t>
                  </w:r>
                  <w:r>
                    <w:rPr>
                      <w:rFonts w:ascii="Times New Roman" w:hAnsi="Times New Roman" w:eastAsia="Times New Roman" w:cs="Times New Roman"/>
                      <w:spacing w:val="14"/>
                      <w:sz w:val="17"/>
                      <w:szCs w:val="17"/>
                    </w:rPr>
                    <w:t>6</w:t>
                  </w:r>
                  <w:r>
                    <w:rPr>
                      <w:rFonts w:ascii="宋体" w:hAnsi="宋体" w:eastAsia="宋体" w:cs="宋体"/>
                      <w:spacing w:val="14"/>
                      <w:sz w:val="17"/>
                      <w:szCs w:val="17"/>
                    </w:rPr>
                    <w:t>) 扬尘污染控制要求</w:t>
                  </w:r>
                </w:p>
              </w:tc>
              <w:tc>
                <w:tcPr>
                  <w:tcW w:w="1039" w:type="dxa"/>
                  <w:vAlign w:val="top"/>
                </w:tcPr>
                <w:p>
                  <w:pPr>
                    <w:tabs>
                      <w:tab w:val="left" w:pos="101"/>
                    </w:tabs>
                    <w:spacing w:before="73" w:line="295" w:lineRule="auto"/>
                    <w:ind w:left="10" w:firstLine="2"/>
                    <w:rPr>
                      <w:rFonts w:ascii="宋体" w:hAnsi="宋体" w:eastAsia="宋体" w:cs="宋体"/>
                      <w:sz w:val="17"/>
                      <w:szCs w:val="17"/>
                    </w:rPr>
                  </w:pPr>
                  <w:r>
                    <w:rPr>
                      <w:rFonts w:ascii="宋体" w:hAnsi="宋体" w:eastAsia="宋体" w:cs="宋体"/>
                      <w:spacing w:val="-14"/>
                      <w:sz w:val="17"/>
                      <w:szCs w:val="17"/>
                    </w:rPr>
                    <w:t>项</w:t>
                  </w:r>
                  <w:r>
                    <w:rPr>
                      <w:rFonts w:ascii="宋体" w:hAnsi="宋体" w:eastAsia="宋体" w:cs="宋体"/>
                      <w:spacing w:val="-8"/>
                      <w:sz w:val="17"/>
                      <w:szCs w:val="17"/>
                    </w:rPr>
                    <w:t xml:space="preserve"> </w:t>
                  </w:r>
                  <w:r>
                    <w:rPr>
                      <w:rFonts w:ascii="宋体" w:hAnsi="宋体" w:eastAsia="宋体" w:cs="宋体"/>
                      <w:spacing w:val="-14"/>
                      <w:sz w:val="17"/>
                      <w:szCs w:val="17"/>
                    </w:rPr>
                    <w:t>目</w:t>
                  </w:r>
                  <w:r>
                    <w:rPr>
                      <w:rFonts w:ascii="宋体" w:hAnsi="宋体" w:eastAsia="宋体" w:cs="宋体"/>
                      <w:spacing w:val="-36"/>
                      <w:sz w:val="17"/>
                      <w:szCs w:val="17"/>
                    </w:rPr>
                    <w:t xml:space="preserve"> </w:t>
                  </w:r>
                  <w:r>
                    <w:rPr>
                      <w:rFonts w:ascii="宋体" w:hAnsi="宋体" w:eastAsia="宋体" w:cs="宋体"/>
                      <w:spacing w:val="-14"/>
                      <w:sz w:val="17"/>
                      <w:szCs w:val="17"/>
                    </w:rPr>
                    <w:t>区</w:t>
                  </w:r>
                  <w:r>
                    <w:rPr>
                      <w:rFonts w:ascii="宋体" w:hAnsi="宋体" w:eastAsia="宋体" w:cs="宋体"/>
                      <w:spacing w:val="-45"/>
                      <w:sz w:val="17"/>
                      <w:szCs w:val="17"/>
                    </w:rPr>
                    <w:t xml:space="preserve"> </w:t>
                  </w:r>
                  <w:r>
                    <w:rPr>
                      <w:rFonts w:ascii="宋体" w:hAnsi="宋体" w:eastAsia="宋体" w:cs="宋体"/>
                      <w:spacing w:val="-14"/>
                      <w:sz w:val="17"/>
                      <w:szCs w:val="17"/>
                    </w:rPr>
                    <w:t>域</w:t>
                  </w:r>
                  <w:r>
                    <w:rPr>
                      <w:rFonts w:ascii="宋体" w:hAnsi="宋体" w:eastAsia="宋体" w:cs="宋体"/>
                      <w:spacing w:val="-48"/>
                      <w:sz w:val="17"/>
                      <w:szCs w:val="17"/>
                    </w:rPr>
                    <w:t xml:space="preserve"> </w:t>
                  </w:r>
                  <w:r>
                    <w:rPr>
                      <w:rFonts w:ascii="宋体" w:hAnsi="宋体" w:eastAsia="宋体" w:cs="宋体"/>
                      <w:spacing w:val="-14"/>
                      <w:sz w:val="17"/>
                      <w:szCs w:val="17"/>
                    </w:rPr>
                    <w:t>环</w:t>
                  </w:r>
                  <w:r>
                    <w:rPr>
                      <w:rFonts w:ascii="宋体" w:hAnsi="宋体" w:eastAsia="宋体" w:cs="宋体"/>
                      <w:sz w:val="17"/>
                      <w:szCs w:val="17"/>
                    </w:rPr>
                    <w:t xml:space="preserve"> </w:t>
                  </w:r>
                  <w:r>
                    <w:rPr>
                      <w:rFonts w:ascii="宋体" w:hAnsi="宋体" w:eastAsia="宋体" w:cs="宋体"/>
                      <w:spacing w:val="-5"/>
                      <w:sz w:val="17"/>
                      <w:szCs w:val="17"/>
                    </w:rPr>
                    <w:t>境</w:t>
                  </w:r>
                  <w:r>
                    <w:rPr>
                      <w:rFonts w:ascii="宋体" w:hAnsi="宋体" w:eastAsia="宋体" w:cs="宋体"/>
                      <w:spacing w:val="-38"/>
                      <w:sz w:val="17"/>
                      <w:szCs w:val="17"/>
                    </w:rPr>
                    <w:t xml:space="preserve"> </w:t>
                  </w:r>
                  <w:r>
                    <w:rPr>
                      <w:rFonts w:ascii="宋体" w:hAnsi="宋体" w:eastAsia="宋体" w:cs="宋体"/>
                      <w:spacing w:val="-5"/>
                      <w:sz w:val="17"/>
                      <w:szCs w:val="17"/>
                    </w:rPr>
                    <w:t>空</w:t>
                  </w:r>
                  <w:r>
                    <w:rPr>
                      <w:rFonts w:ascii="宋体" w:hAnsi="宋体" w:eastAsia="宋体" w:cs="宋体"/>
                      <w:spacing w:val="-48"/>
                      <w:sz w:val="17"/>
                      <w:szCs w:val="17"/>
                    </w:rPr>
                    <w:t xml:space="preserve"> </w:t>
                  </w:r>
                  <w:r>
                    <w:rPr>
                      <w:rFonts w:ascii="宋体" w:hAnsi="宋体" w:eastAsia="宋体" w:cs="宋体"/>
                      <w:spacing w:val="-5"/>
                      <w:sz w:val="17"/>
                      <w:szCs w:val="17"/>
                    </w:rPr>
                    <w:t>气</w:t>
                  </w:r>
                  <w:r>
                    <w:rPr>
                      <w:rFonts w:ascii="宋体" w:hAnsi="宋体" w:eastAsia="宋体" w:cs="宋体"/>
                      <w:spacing w:val="-45"/>
                      <w:sz w:val="17"/>
                      <w:szCs w:val="17"/>
                    </w:rPr>
                    <w:t xml:space="preserve"> </w:t>
                  </w:r>
                  <w:r>
                    <w:rPr>
                      <w:rFonts w:ascii="宋体" w:hAnsi="宋体" w:eastAsia="宋体" w:cs="宋体"/>
                      <w:spacing w:val="-5"/>
                      <w:sz w:val="17"/>
                      <w:szCs w:val="17"/>
                    </w:rPr>
                    <w:t>质</w:t>
                  </w:r>
                  <w:r>
                    <w:rPr>
                      <w:rFonts w:ascii="宋体" w:hAnsi="宋体" w:eastAsia="宋体" w:cs="宋体"/>
                      <w:spacing w:val="-48"/>
                      <w:sz w:val="17"/>
                      <w:szCs w:val="17"/>
                    </w:rPr>
                    <w:t xml:space="preserve"> </w:t>
                  </w:r>
                  <w:r>
                    <w:rPr>
                      <w:rFonts w:ascii="宋体" w:hAnsi="宋体" w:eastAsia="宋体" w:cs="宋体"/>
                      <w:spacing w:val="-5"/>
                      <w:sz w:val="17"/>
                      <w:szCs w:val="17"/>
                    </w:rPr>
                    <w:t>量</w:t>
                  </w:r>
                  <w:r>
                    <w:rPr>
                      <w:rFonts w:ascii="宋体" w:hAnsi="宋体" w:eastAsia="宋体" w:cs="宋体"/>
                      <w:sz w:val="17"/>
                      <w:szCs w:val="17"/>
                    </w:rPr>
                    <w:t xml:space="preserve"> </w:t>
                  </w:r>
                  <w:r>
                    <w:rPr>
                      <w:rFonts w:ascii="宋体" w:hAnsi="宋体" w:eastAsia="宋体" w:cs="宋体"/>
                      <w:spacing w:val="-9"/>
                      <w:sz w:val="17"/>
                      <w:szCs w:val="17"/>
                    </w:rPr>
                    <w:t>执</w:t>
                  </w:r>
                  <w:r>
                    <w:rPr>
                      <w:rFonts w:ascii="宋体" w:hAnsi="宋体" w:eastAsia="宋体" w:cs="宋体"/>
                      <w:spacing w:val="-5"/>
                      <w:sz w:val="17"/>
                      <w:szCs w:val="17"/>
                    </w:rPr>
                    <w:t>行《环境空</w:t>
                  </w:r>
                  <w:r>
                    <w:rPr>
                      <w:rFonts w:ascii="宋体" w:hAnsi="宋体" w:eastAsia="宋体" w:cs="宋体"/>
                      <w:sz w:val="17"/>
                      <w:szCs w:val="17"/>
                    </w:rPr>
                    <w:t xml:space="preserve"> </w:t>
                  </w:r>
                  <w:r>
                    <w:rPr>
                      <w:rFonts w:ascii="宋体" w:hAnsi="宋体" w:eastAsia="宋体" w:cs="宋体"/>
                      <w:spacing w:val="1"/>
                      <w:sz w:val="17"/>
                      <w:szCs w:val="17"/>
                    </w:rPr>
                    <w:t>气质量</w:t>
                  </w:r>
                  <w:r>
                    <w:rPr>
                      <w:rFonts w:ascii="宋体" w:hAnsi="宋体" w:eastAsia="宋体" w:cs="宋体"/>
                      <w:sz w:val="17"/>
                      <w:szCs w:val="17"/>
                    </w:rPr>
                    <w:t xml:space="preserve">标准》 </w:t>
                  </w:r>
                  <w:r>
                    <w:rPr>
                      <w:rFonts w:ascii="宋体" w:hAnsi="宋体" w:eastAsia="宋体" w:cs="宋体"/>
                      <w:sz w:val="17"/>
                      <w:szCs w:val="17"/>
                    </w:rPr>
                    <w:tab/>
                  </w:r>
                  <w:r>
                    <w:rPr>
                      <w:rFonts w:ascii="宋体" w:hAnsi="宋体" w:eastAsia="宋体" w:cs="宋体"/>
                      <w:spacing w:val="1"/>
                      <w:sz w:val="17"/>
                      <w:szCs w:val="17"/>
                    </w:rPr>
                    <w:t>(</w:t>
                  </w:r>
                  <w:r>
                    <w:rPr>
                      <w:rFonts w:ascii="Times New Roman" w:hAnsi="Times New Roman" w:eastAsia="Times New Roman" w:cs="Times New Roman"/>
                      <w:sz w:val="17"/>
                      <w:szCs w:val="17"/>
                    </w:rPr>
                    <w:t>GB</w:t>
                  </w:r>
                  <w:r>
                    <w:rPr>
                      <w:rFonts w:ascii="Times New Roman" w:hAnsi="Times New Roman" w:eastAsia="Times New Roman" w:cs="Times New Roman"/>
                      <w:spacing w:val="1"/>
                      <w:sz w:val="17"/>
                      <w:szCs w:val="17"/>
                    </w:rPr>
                    <w:t>3095-20</w:t>
                  </w:r>
                  <w:r>
                    <w:rPr>
                      <w:rFonts w:ascii="Times New Roman" w:hAnsi="Times New Roman" w:eastAsia="Times New Roman" w:cs="Times New Roman"/>
                      <w:sz w:val="17"/>
                      <w:szCs w:val="17"/>
                    </w:rPr>
                    <w:t xml:space="preserve"> </w:t>
                  </w:r>
                  <w:r>
                    <w:rPr>
                      <w:rFonts w:ascii="Times New Roman" w:hAnsi="Times New Roman" w:eastAsia="Times New Roman" w:cs="Times New Roman"/>
                      <w:spacing w:val="-14"/>
                      <w:sz w:val="17"/>
                      <w:szCs w:val="17"/>
                    </w:rPr>
                    <w:t>1</w:t>
                  </w:r>
                  <w:r>
                    <w:rPr>
                      <w:rFonts w:ascii="Times New Roman" w:hAnsi="Times New Roman" w:eastAsia="Times New Roman" w:cs="Times New Roman"/>
                      <w:spacing w:val="-7"/>
                      <w:sz w:val="17"/>
                      <w:szCs w:val="17"/>
                    </w:rPr>
                    <w:t xml:space="preserve">2 </w:t>
                  </w:r>
                  <w:r>
                    <w:rPr>
                      <w:rFonts w:ascii="宋体" w:hAnsi="宋体" w:eastAsia="宋体" w:cs="宋体"/>
                      <w:spacing w:val="-7"/>
                      <w:sz w:val="17"/>
                      <w:szCs w:val="17"/>
                    </w:rPr>
                    <w:t>) 二 级 标</w:t>
                  </w:r>
                  <w:r>
                    <w:rPr>
                      <w:rFonts w:ascii="宋体" w:hAnsi="宋体" w:eastAsia="宋体" w:cs="宋体"/>
                      <w:sz w:val="17"/>
                      <w:szCs w:val="17"/>
                    </w:rPr>
                    <w:t xml:space="preserve"> </w:t>
                  </w:r>
                  <w:r>
                    <w:rPr>
                      <w:rFonts w:ascii="宋体" w:hAnsi="宋体" w:eastAsia="宋体" w:cs="宋体"/>
                      <w:spacing w:val="-9"/>
                      <w:sz w:val="17"/>
                      <w:szCs w:val="17"/>
                    </w:rPr>
                    <w:t>准</w:t>
                  </w:r>
                  <w:r>
                    <w:rPr>
                      <w:rFonts w:ascii="宋体" w:hAnsi="宋体" w:eastAsia="宋体" w:cs="宋体"/>
                      <w:spacing w:val="-5"/>
                      <w:sz w:val="17"/>
                      <w:szCs w:val="17"/>
                    </w:rPr>
                    <w:t>。项目本身</w:t>
                  </w:r>
                  <w:r>
                    <w:rPr>
                      <w:rFonts w:ascii="宋体" w:hAnsi="宋体" w:eastAsia="宋体" w:cs="宋体"/>
                      <w:sz w:val="17"/>
                      <w:szCs w:val="17"/>
                    </w:rPr>
                    <w:t xml:space="preserve"> </w:t>
                  </w:r>
                  <w:r>
                    <w:rPr>
                      <w:rFonts w:ascii="宋体" w:hAnsi="宋体" w:eastAsia="宋体" w:cs="宋体"/>
                      <w:spacing w:val="-4"/>
                      <w:sz w:val="17"/>
                      <w:szCs w:val="17"/>
                    </w:rPr>
                    <w:t>不</w:t>
                  </w:r>
                  <w:r>
                    <w:rPr>
                      <w:rFonts w:ascii="宋体" w:hAnsi="宋体" w:eastAsia="宋体" w:cs="宋体"/>
                      <w:spacing w:val="-42"/>
                      <w:sz w:val="17"/>
                      <w:szCs w:val="17"/>
                    </w:rPr>
                    <w:t xml:space="preserve"> </w:t>
                  </w:r>
                  <w:r>
                    <w:rPr>
                      <w:rFonts w:ascii="宋体" w:hAnsi="宋体" w:eastAsia="宋体" w:cs="宋体"/>
                      <w:spacing w:val="-4"/>
                      <w:sz w:val="17"/>
                      <w:szCs w:val="17"/>
                    </w:rPr>
                    <w:t>新</w:t>
                  </w:r>
                  <w:r>
                    <w:rPr>
                      <w:rFonts w:ascii="宋体" w:hAnsi="宋体" w:eastAsia="宋体" w:cs="宋体"/>
                      <w:spacing w:val="-47"/>
                      <w:sz w:val="17"/>
                      <w:szCs w:val="17"/>
                    </w:rPr>
                    <w:t xml:space="preserve"> </w:t>
                  </w:r>
                  <w:r>
                    <w:rPr>
                      <w:rFonts w:ascii="宋体" w:hAnsi="宋体" w:eastAsia="宋体" w:cs="宋体"/>
                      <w:spacing w:val="-4"/>
                      <w:sz w:val="17"/>
                      <w:szCs w:val="17"/>
                    </w:rPr>
                    <w:t>增</w:t>
                  </w:r>
                  <w:r>
                    <w:rPr>
                      <w:rFonts w:ascii="宋体" w:hAnsi="宋体" w:eastAsia="宋体" w:cs="宋体"/>
                      <w:spacing w:val="-44"/>
                      <w:sz w:val="17"/>
                      <w:szCs w:val="17"/>
                    </w:rPr>
                    <w:t xml:space="preserve"> </w:t>
                  </w:r>
                  <w:r>
                    <w:rPr>
                      <w:rFonts w:ascii="宋体" w:hAnsi="宋体" w:eastAsia="宋体" w:cs="宋体"/>
                      <w:spacing w:val="-4"/>
                      <w:sz w:val="17"/>
                      <w:szCs w:val="17"/>
                    </w:rPr>
                    <w:t>大</w:t>
                  </w:r>
                  <w:r>
                    <w:rPr>
                      <w:rFonts w:ascii="宋体" w:hAnsi="宋体" w:eastAsia="宋体" w:cs="宋体"/>
                      <w:spacing w:val="-47"/>
                      <w:sz w:val="17"/>
                      <w:szCs w:val="17"/>
                    </w:rPr>
                    <w:t xml:space="preserve"> </w:t>
                  </w:r>
                  <w:r>
                    <w:rPr>
                      <w:rFonts w:ascii="宋体" w:hAnsi="宋体" w:eastAsia="宋体" w:cs="宋体"/>
                      <w:spacing w:val="-4"/>
                      <w:sz w:val="17"/>
                      <w:szCs w:val="17"/>
                    </w:rPr>
                    <w:t>气</w:t>
                  </w:r>
                </w:p>
              </w:tc>
              <w:tc>
                <w:tcPr>
                  <w:tcW w:w="417"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56" w:line="230" w:lineRule="auto"/>
                    <w:ind w:left="12"/>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bl>
          <w:p>
            <w:pPr>
              <w:spacing w:line="55" w:lineRule="exact"/>
              <w:rPr>
                <w:rFonts w:ascii="Arial"/>
                <w:sz w:val="4"/>
              </w:rPr>
            </w:pPr>
          </w:p>
        </w:tc>
      </w:tr>
    </w:tbl>
    <w:p>
      <w:pPr>
        <w:spacing w:line="161" w:lineRule="exact"/>
        <w:rPr>
          <w:rFonts w:ascii="Arial"/>
          <w:sz w:val="14"/>
        </w:rPr>
      </w:pPr>
    </w:p>
    <w:p>
      <w:pPr>
        <w:sectPr>
          <w:footerReference r:id="rId17" w:type="default"/>
          <w:pgSz w:w="11906" w:h="16839"/>
          <w:pgMar w:top="400" w:right="1434" w:bottom="1475" w:left="1521" w:header="0" w:footer="1315" w:gutter="0"/>
          <w:cols w:space="720" w:num="1"/>
        </w:sectPr>
      </w:pPr>
    </w:p>
    <w:p/>
    <w:p/>
    <w:p/>
    <w:p/>
    <w:p>
      <w:pPr>
        <w:spacing w:line="221" w:lineRule="exact"/>
      </w:pPr>
    </w:p>
    <w:tbl>
      <w:tblPr>
        <w:tblStyle w:val="4"/>
        <w:tblW w:w="893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4"/>
        <w:gridCol w:w="213"/>
        <w:gridCol w:w="556"/>
        <w:gridCol w:w="283"/>
        <w:gridCol w:w="404"/>
        <w:gridCol w:w="5093"/>
        <w:gridCol w:w="1038"/>
        <w:gridCol w:w="412"/>
        <w:gridCol w:w="2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714" w:type="dxa"/>
            <w:vMerge w:val="restart"/>
            <w:tcBorders>
              <w:left w:val="single" w:color="000000" w:sz="6" w:space="0"/>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5" w:line="228"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其</w:t>
            </w:r>
            <w:r>
              <w:rPr>
                <w:rFonts w:ascii="宋体" w:hAnsi="宋体" w:eastAsia="宋体" w:cs="宋体"/>
                <w:spacing w:val="7"/>
                <w:sz w:val="20"/>
                <w:szCs w:val="20"/>
                <w14:textOutline w14:w="3795" w14:cap="sq" w14:cmpd="sng">
                  <w14:solidFill>
                    <w14:srgbClr w14:val="000000"/>
                  </w14:solidFill>
                  <w14:prstDash w14:val="solid"/>
                  <w14:bevel/>
                </w14:textOutline>
              </w:rPr>
              <w:t>他符</w:t>
            </w:r>
          </w:p>
          <w:p>
            <w:pPr>
              <w:spacing w:before="164" w:line="228"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合</w:t>
            </w:r>
            <w:r>
              <w:rPr>
                <w:rFonts w:ascii="宋体" w:hAnsi="宋体" w:eastAsia="宋体" w:cs="宋体"/>
                <w:spacing w:val="7"/>
                <w:sz w:val="20"/>
                <w:szCs w:val="20"/>
                <w14:textOutline w14:w="3795" w14:cap="sq" w14:cmpd="sng">
                  <w14:solidFill>
                    <w14:srgbClr w14:val="000000"/>
                  </w14:solidFill>
                  <w14:prstDash w14:val="solid"/>
                  <w14:bevel/>
                </w14:textOutline>
              </w:rPr>
              <w:t>性分</w:t>
            </w:r>
          </w:p>
          <w:p>
            <w:pPr>
              <w:spacing w:before="160" w:line="228" w:lineRule="auto"/>
              <w:ind w:left="251"/>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析</w:t>
            </w:r>
          </w:p>
        </w:tc>
        <w:tc>
          <w:tcPr>
            <w:tcW w:w="213" w:type="dxa"/>
            <w:vMerge w:val="restart"/>
            <w:tcBorders>
              <w:bottom w:val="nil"/>
            </w:tcBorders>
            <w:vAlign w:val="top"/>
          </w:tcPr>
          <w:p>
            <w:pPr>
              <w:rPr>
                <w:rFonts w:ascii="Arial"/>
                <w:sz w:val="21"/>
              </w:rPr>
            </w:pPr>
          </w:p>
        </w:tc>
        <w:tc>
          <w:tcPr>
            <w:tcW w:w="556" w:type="dxa"/>
            <w:vMerge w:val="restart"/>
            <w:tcBorders>
              <w:bottom w:val="nil"/>
            </w:tcBorders>
            <w:vAlign w:val="top"/>
          </w:tcPr>
          <w:p>
            <w:pPr>
              <w:rPr>
                <w:rFonts w:ascii="Arial"/>
                <w:sz w:val="21"/>
              </w:rPr>
            </w:pPr>
          </w:p>
        </w:tc>
        <w:tc>
          <w:tcPr>
            <w:tcW w:w="283" w:type="dxa"/>
            <w:vMerge w:val="restart"/>
            <w:tcBorders>
              <w:bottom w:val="nil"/>
            </w:tcBorders>
            <w:vAlign w:val="top"/>
          </w:tcPr>
          <w:p>
            <w:pPr>
              <w:rPr>
                <w:rFonts w:ascii="Arial"/>
                <w:sz w:val="21"/>
              </w:rPr>
            </w:pPr>
          </w:p>
        </w:tc>
        <w:tc>
          <w:tcPr>
            <w:tcW w:w="404" w:type="dxa"/>
            <w:vAlign w:val="top"/>
          </w:tcPr>
          <w:p>
            <w:pPr>
              <w:rPr>
                <w:rFonts w:ascii="Arial"/>
                <w:sz w:val="21"/>
              </w:rPr>
            </w:pPr>
          </w:p>
        </w:tc>
        <w:tc>
          <w:tcPr>
            <w:tcW w:w="5093" w:type="dxa"/>
            <w:vAlign w:val="top"/>
          </w:tcPr>
          <w:p>
            <w:pPr>
              <w:spacing w:before="112" w:line="230" w:lineRule="auto"/>
              <w:ind w:left="16"/>
              <w:rPr>
                <w:rFonts w:ascii="宋体" w:hAnsi="宋体" w:eastAsia="宋体" w:cs="宋体"/>
                <w:sz w:val="17"/>
                <w:szCs w:val="17"/>
              </w:rPr>
            </w:pPr>
            <w:r>
              <w:rPr>
                <w:rFonts w:ascii="宋体" w:hAnsi="宋体" w:eastAsia="宋体" w:cs="宋体"/>
                <w:spacing w:val="23"/>
                <w:sz w:val="17"/>
                <w:szCs w:val="17"/>
              </w:rPr>
              <w:t>(</w:t>
            </w:r>
            <w:r>
              <w:rPr>
                <w:rFonts w:ascii="Times New Roman" w:hAnsi="Times New Roman" w:eastAsia="Times New Roman" w:cs="Times New Roman"/>
                <w:spacing w:val="12"/>
                <w:sz w:val="17"/>
                <w:szCs w:val="17"/>
              </w:rPr>
              <w:t>7</w:t>
            </w:r>
            <w:r>
              <w:rPr>
                <w:rFonts w:ascii="宋体" w:hAnsi="宋体" w:eastAsia="宋体" w:cs="宋体"/>
                <w:spacing w:val="12"/>
                <w:sz w:val="17"/>
                <w:szCs w:val="17"/>
              </w:rPr>
              <w:t>) 农业生产经营活动大气污染控制要求</w:t>
            </w:r>
          </w:p>
          <w:p>
            <w:pPr>
              <w:spacing w:before="66" w:line="231" w:lineRule="auto"/>
              <w:ind w:left="16"/>
              <w:rPr>
                <w:rFonts w:ascii="宋体" w:hAnsi="宋体" w:eastAsia="宋体" w:cs="宋体"/>
                <w:sz w:val="17"/>
                <w:szCs w:val="17"/>
              </w:rPr>
            </w:pPr>
            <w:r>
              <w:rPr>
                <w:rFonts w:ascii="宋体" w:hAnsi="宋体" w:eastAsia="宋体" w:cs="宋体"/>
                <w:spacing w:val="16"/>
                <w:sz w:val="17"/>
                <w:szCs w:val="17"/>
              </w:rPr>
              <w:t>(</w:t>
            </w:r>
            <w:r>
              <w:rPr>
                <w:rFonts w:ascii="Times New Roman" w:hAnsi="Times New Roman" w:eastAsia="Times New Roman" w:cs="Times New Roman"/>
                <w:spacing w:val="13"/>
                <w:sz w:val="17"/>
                <w:szCs w:val="17"/>
              </w:rPr>
              <w:t>8</w:t>
            </w:r>
            <w:r>
              <w:rPr>
                <w:rFonts w:ascii="宋体" w:hAnsi="宋体" w:eastAsia="宋体" w:cs="宋体"/>
                <w:spacing w:val="13"/>
                <w:sz w:val="17"/>
                <w:szCs w:val="17"/>
              </w:rPr>
              <w:t>) 重点行业企业专项治理要求</w:t>
            </w:r>
          </w:p>
          <w:p>
            <w:pPr>
              <w:spacing w:before="68" w:line="230" w:lineRule="auto"/>
              <w:ind w:left="16"/>
              <w:rPr>
                <w:rFonts w:ascii="宋体" w:hAnsi="宋体" w:eastAsia="宋体" w:cs="宋体"/>
                <w:sz w:val="17"/>
                <w:szCs w:val="17"/>
              </w:rPr>
            </w:pPr>
            <w:r>
              <w:rPr>
                <w:rFonts w:ascii="宋体" w:hAnsi="宋体" w:eastAsia="宋体" w:cs="宋体"/>
                <w:spacing w:val="13"/>
                <w:sz w:val="17"/>
                <w:szCs w:val="17"/>
              </w:rPr>
              <w:t>(</w:t>
            </w:r>
            <w:r>
              <w:rPr>
                <w:rFonts w:ascii="Times New Roman" w:hAnsi="Times New Roman" w:eastAsia="Times New Roman" w:cs="Times New Roman"/>
                <w:spacing w:val="13"/>
                <w:sz w:val="17"/>
                <w:szCs w:val="17"/>
              </w:rPr>
              <w:t>9</w:t>
            </w:r>
            <w:r>
              <w:rPr>
                <w:rFonts w:ascii="宋体" w:hAnsi="宋体" w:eastAsia="宋体" w:cs="宋体"/>
                <w:spacing w:val="13"/>
                <w:sz w:val="17"/>
                <w:szCs w:val="17"/>
              </w:rPr>
              <w:t>) 其他大气污染物排放管控要求</w:t>
            </w:r>
          </w:p>
        </w:tc>
        <w:tc>
          <w:tcPr>
            <w:tcW w:w="1038" w:type="dxa"/>
            <w:vAlign w:val="top"/>
          </w:tcPr>
          <w:p>
            <w:pPr>
              <w:spacing w:before="111" w:line="231" w:lineRule="auto"/>
              <w:ind w:left="14"/>
              <w:rPr>
                <w:rFonts w:ascii="宋体" w:hAnsi="宋体" w:eastAsia="宋体" w:cs="宋体"/>
                <w:sz w:val="17"/>
                <w:szCs w:val="17"/>
              </w:rPr>
            </w:pPr>
            <w:r>
              <w:rPr>
                <w:rFonts w:ascii="宋体" w:hAnsi="宋体" w:eastAsia="宋体" w:cs="宋体"/>
                <w:spacing w:val="-1"/>
                <w:sz w:val="17"/>
                <w:szCs w:val="17"/>
              </w:rPr>
              <w:t>污染</w:t>
            </w:r>
            <w:r>
              <w:rPr>
                <w:rFonts w:ascii="宋体" w:hAnsi="宋体" w:eastAsia="宋体" w:cs="宋体"/>
                <w:sz w:val="17"/>
                <w:szCs w:val="17"/>
              </w:rPr>
              <w:t>物排放。</w:t>
            </w:r>
          </w:p>
        </w:tc>
        <w:tc>
          <w:tcPr>
            <w:tcW w:w="412" w:type="dxa"/>
            <w:vAlign w:val="top"/>
          </w:tcPr>
          <w:p>
            <w:pPr>
              <w:rPr>
                <w:rFonts w:ascii="Arial"/>
                <w:sz w:val="21"/>
              </w:rPr>
            </w:pPr>
          </w:p>
        </w:tc>
        <w:tc>
          <w:tcPr>
            <w:tcW w:w="222" w:type="dxa"/>
            <w:vMerge w:val="restart"/>
            <w:tcBorders>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24" w:hRule="atLeast"/>
        </w:trPr>
        <w:tc>
          <w:tcPr>
            <w:tcW w:w="714" w:type="dxa"/>
            <w:vMerge w:val="continue"/>
            <w:tcBorders>
              <w:top w:val="nil"/>
              <w:left w:val="single" w:color="000000" w:sz="6" w:space="0"/>
              <w:bottom w:val="nil"/>
            </w:tcBorders>
            <w:vAlign w:val="top"/>
          </w:tcPr>
          <w:p>
            <w:pPr>
              <w:rPr>
                <w:rFonts w:ascii="Arial"/>
                <w:sz w:val="21"/>
              </w:rPr>
            </w:pPr>
          </w:p>
        </w:tc>
        <w:tc>
          <w:tcPr>
            <w:tcW w:w="213" w:type="dxa"/>
            <w:vMerge w:val="continue"/>
            <w:tcBorders>
              <w:top w:val="nil"/>
              <w:bottom w:val="nil"/>
            </w:tcBorders>
            <w:vAlign w:val="top"/>
          </w:tcPr>
          <w:p>
            <w:pPr>
              <w:rPr>
                <w:rFonts w:ascii="Arial"/>
                <w:sz w:val="21"/>
              </w:rPr>
            </w:pPr>
          </w:p>
        </w:tc>
        <w:tc>
          <w:tcPr>
            <w:tcW w:w="556" w:type="dxa"/>
            <w:vMerge w:val="continue"/>
            <w:tcBorders>
              <w:top w:val="nil"/>
              <w:bottom w:val="nil"/>
            </w:tcBorders>
            <w:vAlign w:val="top"/>
          </w:tcPr>
          <w:p>
            <w:pPr>
              <w:rPr>
                <w:rFonts w:ascii="Arial"/>
                <w:sz w:val="21"/>
              </w:rPr>
            </w:pPr>
          </w:p>
        </w:tc>
        <w:tc>
          <w:tcPr>
            <w:tcW w:w="283" w:type="dxa"/>
            <w:vMerge w:val="continue"/>
            <w:tcBorders>
              <w:top w:val="nil"/>
              <w:bottom w:val="nil"/>
            </w:tcBorders>
            <w:vAlign w:val="top"/>
          </w:tcPr>
          <w:p>
            <w:pPr>
              <w:rPr>
                <w:rFonts w:ascii="Arial"/>
                <w:sz w:val="21"/>
              </w:rPr>
            </w:pPr>
          </w:p>
        </w:tc>
        <w:tc>
          <w:tcPr>
            <w:tcW w:w="404" w:type="dxa"/>
            <w:vAlign w:val="top"/>
          </w:tcPr>
          <w:p>
            <w:pPr>
              <w:spacing w:before="211" w:line="313" w:lineRule="auto"/>
              <w:ind w:left="21" w:right="24"/>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环境</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风险</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防控</w:t>
            </w:r>
          </w:p>
        </w:tc>
        <w:tc>
          <w:tcPr>
            <w:tcW w:w="5093" w:type="dxa"/>
            <w:vAlign w:val="top"/>
          </w:tcPr>
          <w:p>
            <w:pPr>
              <w:spacing w:before="211" w:line="313" w:lineRule="auto"/>
              <w:ind w:left="12" w:hanging="5"/>
              <w:rPr>
                <w:rFonts w:ascii="宋体" w:hAnsi="宋体" w:eastAsia="宋体" w:cs="宋体"/>
                <w:sz w:val="17"/>
                <w:szCs w:val="17"/>
              </w:rPr>
            </w:pPr>
            <w:r>
              <w:rPr>
                <w:rFonts w:ascii="宋体" w:hAnsi="宋体" w:eastAsia="宋体" w:cs="宋体"/>
                <w:spacing w:val="22"/>
                <w:sz w:val="17"/>
                <w:szCs w:val="17"/>
              </w:rPr>
              <w:t>现</w:t>
            </w:r>
            <w:r>
              <w:rPr>
                <w:rFonts w:ascii="宋体" w:hAnsi="宋体" w:eastAsia="宋体" w:cs="宋体"/>
                <w:spacing w:val="12"/>
                <w:sz w:val="17"/>
                <w:szCs w:val="17"/>
              </w:rPr>
              <w:t>有</w:t>
            </w:r>
            <w:r>
              <w:rPr>
                <w:rFonts w:ascii="宋体" w:hAnsi="宋体" w:eastAsia="宋体" w:cs="宋体"/>
                <w:spacing w:val="11"/>
                <w:sz w:val="17"/>
                <w:szCs w:val="17"/>
              </w:rPr>
              <w:t>涉及五类重金属的企业，不得新增污染物排放，限期退城入</w:t>
            </w:r>
            <w:r>
              <w:rPr>
                <w:rFonts w:ascii="宋体" w:hAnsi="宋体" w:eastAsia="宋体" w:cs="宋体"/>
                <w:sz w:val="17"/>
                <w:szCs w:val="17"/>
              </w:rPr>
              <w:t xml:space="preserve"> </w:t>
            </w:r>
            <w:r>
              <w:rPr>
                <w:rFonts w:ascii="宋体" w:hAnsi="宋体" w:eastAsia="宋体" w:cs="宋体"/>
                <w:spacing w:val="17"/>
                <w:sz w:val="17"/>
                <w:szCs w:val="17"/>
              </w:rPr>
              <w:t>园</w:t>
            </w:r>
            <w:r>
              <w:rPr>
                <w:rFonts w:ascii="宋体" w:hAnsi="宋体" w:eastAsia="宋体" w:cs="宋体"/>
                <w:spacing w:val="11"/>
                <w:sz w:val="17"/>
                <w:szCs w:val="17"/>
              </w:rPr>
              <w:t>或关停；工业企业退出用地，须经评估、修复满足相应用地功</w:t>
            </w:r>
            <w:r>
              <w:rPr>
                <w:rFonts w:ascii="宋体" w:hAnsi="宋体" w:eastAsia="宋体" w:cs="宋体"/>
                <w:sz w:val="17"/>
                <w:szCs w:val="17"/>
              </w:rPr>
              <w:t xml:space="preserve"> </w:t>
            </w:r>
            <w:r>
              <w:rPr>
                <w:rFonts w:ascii="宋体" w:hAnsi="宋体" w:eastAsia="宋体" w:cs="宋体"/>
                <w:spacing w:val="11"/>
                <w:sz w:val="17"/>
                <w:szCs w:val="17"/>
              </w:rPr>
              <w:t>能</w:t>
            </w:r>
            <w:r>
              <w:rPr>
                <w:rFonts w:ascii="宋体" w:hAnsi="宋体" w:eastAsia="宋体" w:cs="宋体"/>
                <w:spacing w:val="8"/>
                <w:sz w:val="17"/>
                <w:szCs w:val="17"/>
              </w:rPr>
              <w:t>后，方可改变用途</w:t>
            </w:r>
          </w:p>
        </w:tc>
        <w:tc>
          <w:tcPr>
            <w:tcW w:w="1038" w:type="dxa"/>
            <w:vAlign w:val="top"/>
          </w:tcPr>
          <w:p>
            <w:pPr>
              <w:spacing w:before="71" w:line="231" w:lineRule="auto"/>
              <w:ind w:left="81"/>
              <w:rPr>
                <w:rFonts w:ascii="宋体" w:hAnsi="宋体" w:eastAsia="宋体" w:cs="宋体"/>
                <w:sz w:val="17"/>
                <w:szCs w:val="17"/>
              </w:rPr>
            </w:pPr>
            <w:r>
              <w:rPr>
                <w:rFonts w:ascii="宋体" w:hAnsi="宋体" w:eastAsia="宋体" w:cs="宋体"/>
                <w:spacing w:val="8"/>
                <w:sz w:val="17"/>
                <w:szCs w:val="17"/>
              </w:rPr>
              <w:t>不属于现有</w:t>
            </w:r>
          </w:p>
          <w:p>
            <w:pPr>
              <w:spacing w:before="68"/>
              <w:ind w:left="16"/>
              <w:rPr>
                <w:rFonts w:ascii="宋体" w:hAnsi="宋体" w:eastAsia="宋体" w:cs="宋体"/>
                <w:sz w:val="17"/>
                <w:szCs w:val="17"/>
              </w:rPr>
            </w:pPr>
            <w:r>
              <w:rPr>
                <w:rFonts w:ascii="宋体" w:hAnsi="宋体" w:eastAsia="宋体" w:cs="宋体"/>
                <w:spacing w:val="-1"/>
                <w:sz w:val="17"/>
                <w:szCs w:val="17"/>
              </w:rPr>
              <w:t>企业，涉</w:t>
            </w:r>
            <w:r>
              <w:rPr>
                <w:rFonts w:ascii="宋体" w:hAnsi="宋体" w:eastAsia="宋体" w:cs="宋体"/>
                <w:sz w:val="17"/>
                <w:szCs w:val="17"/>
              </w:rPr>
              <w:t>及使</w:t>
            </w:r>
          </w:p>
          <w:p>
            <w:pPr>
              <w:spacing w:before="56" w:line="232" w:lineRule="auto"/>
              <w:ind w:left="79"/>
              <w:rPr>
                <w:rFonts w:ascii="宋体" w:hAnsi="宋体" w:eastAsia="宋体" w:cs="宋体"/>
                <w:sz w:val="17"/>
                <w:szCs w:val="17"/>
              </w:rPr>
            </w:pPr>
            <w:r>
              <w:rPr>
                <w:rFonts w:ascii="宋体" w:hAnsi="宋体" w:eastAsia="宋体" w:cs="宋体"/>
                <w:spacing w:val="9"/>
                <w:sz w:val="17"/>
                <w:szCs w:val="17"/>
              </w:rPr>
              <w:t>用</w:t>
            </w:r>
            <w:r>
              <w:rPr>
                <w:rFonts w:ascii="宋体" w:hAnsi="宋体" w:eastAsia="宋体" w:cs="宋体"/>
                <w:spacing w:val="8"/>
                <w:sz w:val="17"/>
                <w:szCs w:val="17"/>
              </w:rPr>
              <w:t>工业企业</w:t>
            </w:r>
          </w:p>
          <w:p>
            <w:pPr>
              <w:spacing w:before="67" w:line="231" w:lineRule="auto"/>
              <w:ind w:left="170"/>
              <w:rPr>
                <w:rFonts w:ascii="宋体" w:hAnsi="宋体" w:eastAsia="宋体" w:cs="宋体"/>
                <w:sz w:val="17"/>
                <w:szCs w:val="17"/>
              </w:rPr>
            </w:pPr>
            <w:r>
              <w:rPr>
                <w:rFonts w:ascii="宋体" w:hAnsi="宋体" w:eastAsia="宋体" w:cs="宋体"/>
                <w:spacing w:val="8"/>
                <w:sz w:val="17"/>
                <w:szCs w:val="17"/>
              </w:rPr>
              <w:t>退出用地</w:t>
            </w:r>
          </w:p>
        </w:tc>
        <w:tc>
          <w:tcPr>
            <w:tcW w:w="412" w:type="dxa"/>
            <w:vAlign w:val="top"/>
          </w:tcPr>
          <w:p>
            <w:pPr>
              <w:spacing w:line="405" w:lineRule="auto"/>
              <w:rPr>
                <w:rFonts w:ascii="Arial"/>
                <w:sz w:val="21"/>
              </w:rPr>
            </w:pPr>
          </w:p>
          <w:p>
            <w:pPr>
              <w:spacing w:before="49" w:line="242" w:lineRule="exact"/>
              <w:ind w:left="18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2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5" w:hRule="atLeast"/>
        </w:trPr>
        <w:tc>
          <w:tcPr>
            <w:tcW w:w="714" w:type="dxa"/>
            <w:vMerge w:val="continue"/>
            <w:tcBorders>
              <w:top w:val="nil"/>
              <w:left w:val="single" w:color="000000" w:sz="6" w:space="0"/>
              <w:bottom w:val="nil"/>
            </w:tcBorders>
            <w:vAlign w:val="top"/>
          </w:tcPr>
          <w:p>
            <w:pPr>
              <w:rPr>
                <w:rFonts w:ascii="Arial"/>
                <w:sz w:val="21"/>
              </w:rPr>
            </w:pPr>
          </w:p>
        </w:tc>
        <w:tc>
          <w:tcPr>
            <w:tcW w:w="213" w:type="dxa"/>
            <w:vMerge w:val="continue"/>
            <w:tcBorders>
              <w:top w:val="nil"/>
              <w:bottom w:val="nil"/>
            </w:tcBorders>
            <w:vAlign w:val="top"/>
          </w:tcPr>
          <w:p>
            <w:pPr>
              <w:rPr>
                <w:rFonts w:ascii="Arial"/>
                <w:sz w:val="21"/>
              </w:rPr>
            </w:pPr>
          </w:p>
        </w:tc>
        <w:tc>
          <w:tcPr>
            <w:tcW w:w="556" w:type="dxa"/>
            <w:vMerge w:val="continue"/>
            <w:tcBorders>
              <w:top w:val="nil"/>
            </w:tcBorders>
            <w:vAlign w:val="top"/>
          </w:tcPr>
          <w:p>
            <w:pPr>
              <w:rPr>
                <w:rFonts w:ascii="Arial"/>
                <w:sz w:val="21"/>
              </w:rPr>
            </w:pPr>
          </w:p>
        </w:tc>
        <w:tc>
          <w:tcPr>
            <w:tcW w:w="283" w:type="dxa"/>
            <w:vMerge w:val="continue"/>
            <w:tcBorders>
              <w:top w:val="nil"/>
            </w:tcBorders>
            <w:vAlign w:val="top"/>
          </w:tcPr>
          <w:p>
            <w:pPr>
              <w:rPr>
                <w:rFonts w:ascii="Arial"/>
                <w:sz w:val="21"/>
              </w:rPr>
            </w:pPr>
          </w:p>
        </w:tc>
        <w:tc>
          <w:tcPr>
            <w:tcW w:w="404" w:type="dxa"/>
            <w:vAlign w:val="top"/>
          </w:tcPr>
          <w:p>
            <w:pPr>
              <w:spacing w:before="71" w:line="286" w:lineRule="auto"/>
              <w:ind w:left="22" w:right="24" w:firstLine="7"/>
              <w:rPr>
                <w:rFonts w:ascii="宋体" w:hAnsi="宋体" w:eastAsia="宋体" w:cs="宋体"/>
                <w:sz w:val="17"/>
                <w:szCs w:val="17"/>
              </w:rPr>
            </w:pPr>
            <w:r>
              <w:rPr>
                <w:rFonts w:ascii="宋体" w:hAnsi="宋体" w:eastAsia="宋体" w:cs="宋体"/>
                <w:spacing w:val="3"/>
                <w:sz w:val="17"/>
                <w:szCs w:val="17"/>
                <w14:textOutline w14:w="3268" w14:cap="sq" w14:cmpd="sng">
                  <w14:solidFill>
                    <w14:srgbClr w14:val="000000"/>
                  </w14:solidFill>
                  <w14:prstDash w14:val="solid"/>
                  <w14:bevel/>
                </w14:textOutline>
              </w:rPr>
              <w:t>资</w:t>
            </w:r>
            <w:r>
              <w:rPr>
                <w:rFonts w:ascii="宋体" w:hAnsi="宋体" w:eastAsia="宋体" w:cs="宋体"/>
                <w:spacing w:val="2"/>
                <w:sz w:val="17"/>
                <w:szCs w:val="17"/>
                <w14:textOutline w14:w="3268" w14:cap="sq" w14:cmpd="sng">
                  <w14:solidFill>
                    <w14:srgbClr w14:val="000000"/>
                  </w14:solidFill>
                  <w14:prstDash w14:val="solid"/>
                  <w14:bevel/>
                </w14:textOutline>
              </w:rPr>
              <w:t>源</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开发</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效率</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要求</w:t>
            </w:r>
          </w:p>
        </w:tc>
        <w:tc>
          <w:tcPr>
            <w:tcW w:w="5093" w:type="dxa"/>
            <w:vAlign w:val="top"/>
          </w:tcPr>
          <w:p>
            <w:pPr>
              <w:spacing w:line="406" w:lineRule="auto"/>
              <w:rPr>
                <w:rFonts w:ascii="Arial"/>
                <w:sz w:val="21"/>
              </w:rPr>
            </w:pPr>
          </w:p>
          <w:p>
            <w:pPr>
              <w:spacing w:before="49" w:line="242" w:lineRule="exact"/>
              <w:ind w:left="251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038" w:type="dxa"/>
            <w:vAlign w:val="top"/>
          </w:tcPr>
          <w:p>
            <w:pPr>
              <w:spacing w:line="406" w:lineRule="auto"/>
              <w:rPr>
                <w:rFonts w:ascii="Arial"/>
                <w:sz w:val="21"/>
              </w:rPr>
            </w:pPr>
          </w:p>
          <w:p>
            <w:pPr>
              <w:spacing w:before="49" w:line="242" w:lineRule="exact"/>
              <w:ind w:left="496"/>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412" w:type="dxa"/>
            <w:vAlign w:val="top"/>
          </w:tcPr>
          <w:p>
            <w:pPr>
              <w:spacing w:line="406" w:lineRule="auto"/>
              <w:rPr>
                <w:rFonts w:ascii="Arial"/>
                <w:sz w:val="21"/>
              </w:rPr>
            </w:pPr>
          </w:p>
          <w:p>
            <w:pPr>
              <w:spacing w:before="49" w:line="242" w:lineRule="exact"/>
              <w:ind w:left="18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2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14" w:type="dxa"/>
            <w:vMerge w:val="continue"/>
            <w:tcBorders>
              <w:top w:val="nil"/>
              <w:left w:val="single" w:color="000000" w:sz="6" w:space="0"/>
              <w:bottom w:val="nil"/>
            </w:tcBorders>
            <w:vAlign w:val="top"/>
          </w:tcPr>
          <w:p>
            <w:pPr>
              <w:rPr>
                <w:rFonts w:ascii="Arial"/>
                <w:sz w:val="21"/>
              </w:rPr>
            </w:pPr>
          </w:p>
        </w:tc>
        <w:tc>
          <w:tcPr>
            <w:tcW w:w="213" w:type="dxa"/>
            <w:vMerge w:val="continue"/>
            <w:tcBorders>
              <w:top w:val="nil"/>
              <w:bottom w:val="nil"/>
            </w:tcBorders>
            <w:vAlign w:val="top"/>
          </w:tcPr>
          <w:p>
            <w:pPr>
              <w:rPr>
                <w:rFonts w:ascii="Arial"/>
                <w:sz w:val="21"/>
              </w:rPr>
            </w:pPr>
          </w:p>
        </w:tc>
        <w:tc>
          <w:tcPr>
            <w:tcW w:w="556" w:type="dxa"/>
            <w:vMerge w:val="restart"/>
            <w:tcBorders>
              <w:bottom w:val="nil"/>
            </w:tcBorders>
            <w:vAlign w:val="top"/>
          </w:tcPr>
          <w:p>
            <w:pPr>
              <w:spacing w:line="294" w:lineRule="auto"/>
              <w:rPr>
                <w:rFonts w:ascii="Arial"/>
                <w:sz w:val="21"/>
              </w:rPr>
            </w:pPr>
          </w:p>
          <w:p>
            <w:pPr>
              <w:spacing w:line="294" w:lineRule="auto"/>
              <w:rPr>
                <w:rFonts w:ascii="Arial"/>
                <w:sz w:val="21"/>
              </w:rPr>
            </w:pPr>
          </w:p>
          <w:p>
            <w:pPr>
              <w:spacing w:before="55" w:line="230" w:lineRule="auto"/>
              <w:ind w:left="11"/>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高污</w:t>
            </w:r>
            <w:r>
              <w:rPr>
                <w:rFonts w:ascii="宋体" w:hAnsi="宋体" w:eastAsia="宋体" w:cs="宋体"/>
                <w:spacing w:val="6"/>
                <w:sz w:val="17"/>
                <w:szCs w:val="17"/>
                <w14:textOutline w14:w="3268" w14:cap="sq" w14:cmpd="sng">
                  <w14:solidFill>
                    <w14:srgbClr w14:val="000000"/>
                  </w14:solidFill>
                  <w14:prstDash w14:val="solid"/>
                  <w14:bevel/>
                </w14:textOutline>
              </w:rPr>
              <w:t>染</w:t>
            </w:r>
          </w:p>
          <w:p>
            <w:pPr>
              <w:spacing w:before="68" w:line="230" w:lineRule="auto"/>
              <w:ind w:left="6"/>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燃料禁</w:t>
            </w:r>
          </w:p>
          <w:p>
            <w:pPr>
              <w:spacing w:before="66" w:line="233" w:lineRule="auto"/>
              <w:ind w:left="98"/>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燃区</w:t>
            </w:r>
          </w:p>
          <w:p>
            <w:pPr>
              <w:spacing w:line="324" w:lineRule="auto"/>
              <w:rPr>
                <w:rFonts w:ascii="Arial"/>
                <w:sz w:val="21"/>
              </w:rPr>
            </w:pPr>
          </w:p>
          <w:p>
            <w:pPr>
              <w:spacing w:before="49" w:line="197" w:lineRule="auto"/>
              <w:ind w:left="27"/>
              <w:rPr>
                <w:rFonts w:ascii="Times New Roman" w:hAnsi="Times New Roman" w:eastAsia="Times New Roman" w:cs="Times New Roman"/>
                <w:sz w:val="17"/>
                <w:szCs w:val="17"/>
              </w:rPr>
            </w:pPr>
            <w:r>
              <w:rPr>
                <w:rFonts w:ascii="Times New Roman" w:hAnsi="Times New Roman" w:eastAsia="Times New Roman" w:cs="Times New Roman"/>
                <w:b/>
                <w:bCs/>
                <w:sz w:val="17"/>
                <w:szCs w:val="17"/>
              </w:rPr>
              <w:t>YS</w:t>
            </w:r>
            <w:r>
              <w:rPr>
                <w:rFonts w:ascii="Times New Roman" w:hAnsi="Times New Roman" w:eastAsia="Times New Roman" w:cs="Times New Roman"/>
                <w:b/>
                <w:bCs/>
                <w:spacing w:val="8"/>
                <w:sz w:val="17"/>
                <w:szCs w:val="17"/>
              </w:rPr>
              <w:t>5</w:t>
            </w:r>
            <w:r>
              <w:rPr>
                <w:rFonts w:ascii="Times New Roman" w:hAnsi="Times New Roman" w:eastAsia="Times New Roman" w:cs="Times New Roman"/>
                <w:b/>
                <w:bCs/>
                <w:spacing w:val="6"/>
                <w:sz w:val="17"/>
                <w:szCs w:val="17"/>
              </w:rPr>
              <w:t>11</w:t>
            </w:r>
          </w:p>
          <w:p>
            <w:pPr>
              <w:spacing w:before="120" w:line="197" w:lineRule="auto"/>
              <w:ind w:left="5"/>
              <w:rPr>
                <w:rFonts w:ascii="Times New Roman" w:hAnsi="Times New Roman" w:eastAsia="Times New Roman" w:cs="Times New Roman"/>
                <w:sz w:val="17"/>
                <w:szCs w:val="17"/>
              </w:rPr>
            </w:pPr>
            <w:r>
              <w:rPr>
                <w:rFonts w:ascii="Times New Roman" w:hAnsi="Times New Roman" w:eastAsia="Times New Roman" w:cs="Times New Roman"/>
                <w:b/>
                <w:bCs/>
                <w:spacing w:val="5"/>
                <w:sz w:val="17"/>
                <w:szCs w:val="17"/>
              </w:rPr>
              <w:t>7</w:t>
            </w:r>
            <w:r>
              <w:rPr>
                <w:rFonts w:ascii="Times New Roman" w:hAnsi="Times New Roman" w:eastAsia="Times New Roman" w:cs="Times New Roman"/>
                <w:b/>
                <w:bCs/>
                <w:spacing w:val="4"/>
                <w:sz w:val="17"/>
                <w:szCs w:val="17"/>
              </w:rPr>
              <w:t>02254</w:t>
            </w:r>
          </w:p>
          <w:p>
            <w:pPr>
              <w:spacing w:before="121" w:line="197" w:lineRule="auto"/>
              <w:ind w:left="96"/>
              <w:rPr>
                <w:rFonts w:ascii="Times New Roman" w:hAnsi="Times New Roman" w:eastAsia="Times New Roman" w:cs="Times New Roman"/>
                <w:sz w:val="17"/>
                <w:szCs w:val="17"/>
              </w:rPr>
            </w:pPr>
            <w:r>
              <w:rPr>
                <w:rFonts w:ascii="Times New Roman" w:hAnsi="Times New Roman" w:eastAsia="Times New Roman" w:cs="Times New Roman"/>
                <w:b/>
                <w:bCs/>
                <w:spacing w:val="5"/>
                <w:sz w:val="17"/>
                <w:szCs w:val="17"/>
              </w:rPr>
              <w:t>0</w:t>
            </w:r>
            <w:r>
              <w:rPr>
                <w:rFonts w:ascii="Times New Roman" w:hAnsi="Times New Roman" w:eastAsia="Times New Roman" w:cs="Times New Roman"/>
                <w:b/>
                <w:bCs/>
                <w:spacing w:val="3"/>
                <w:sz w:val="17"/>
                <w:szCs w:val="17"/>
              </w:rPr>
              <w:t>001</w:t>
            </w:r>
          </w:p>
          <w:p>
            <w:pPr>
              <w:spacing w:line="310" w:lineRule="auto"/>
              <w:rPr>
                <w:rFonts w:ascii="Arial"/>
                <w:sz w:val="21"/>
              </w:rPr>
            </w:pPr>
          </w:p>
          <w:p>
            <w:pPr>
              <w:spacing w:before="55" w:line="317" w:lineRule="auto"/>
              <w:ind w:left="6" w:right="9"/>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通</w:t>
            </w:r>
            <w:r>
              <w:rPr>
                <w:rFonts w:ascii="宋体" w:hAnsi="宋体" w:eastAsia="宋体" w:cs="宋体"/>
                <w:spacing w:val="8"/>
                <w:sz w:val="17"/>
                <w:szCs w:val="17"/>
                <w14:textOutline w14:w="3268" w14:cap="sq" w14:cmpd="sng">
                  <w14:solidFill>
                    <w14:srgbClr w14:val="000000"/>
                  </w14:solidFill>
                  <w14:prstDash w14:val="solid"/>
                  <w14:bevel/>
                </w14:textOutline>
              </w:rPr>
              <w:t>川区</w:t>
            </w:r>
            <w:r>
              <w:rPr>
                <w:rFonts w:ascii="宋体" w:hAnsi="宋体" w:eastAsia="宋体" w:cs="宋体"/>
                <w:sz w:val="17"/>
                <w:szCs w:val="17"/>
              </w:rPr>
              <w:t xml:space="preserve"> </w:t>
            </w:r>
            <w:r>
              <w:rPr>
                <w:rFonts w:ascii="宋体" w:hAnsi="宋体" w:eastAsia="宋体" w:cs="宋体"/>
                <w:spacing w:val="9"/>
                <w:sz w:val="17"/>
                <w:szCs w:val="17"/>
                <w14:textOutline w14:w="3268" w14:cap="sq" w14:cmpd="sng">
                  <w14:solidFill>
                    <w14:srgbClr w14:val="000000"/>
                  </w14:solidFill>
                  <w14:prstDash w14:val="solid"/>
                  <w14:bevel/>
                </w14:textOutline>
              </w:rPr>
              <w:t>禁</w:t>
            </w:r>
            <w:r>
              <w:rPr>
                <w:rFonts w:ascii="宋体" w:hAnsi="宋体" w:eastAsia="宋体" w:cs="宋体"/>
                <w:spacing w:val="8"/>
                <w:sz w:val="17"/>
                <w:szCs w:val="17"/>
                <w14:textOutline w14:w="3268" w14:cap="sq" w14:cmpd="sng">
                  <w14:solidFill>
                    <w14:srgbClr w14:val="000000"/>
                  </w14:solidFill>
                  <w14:prstDash w14:val="solid"/>
                  <w14:bevel/>
                </w14:textOutline>
              </w:rPr>
              <w:t>燃区</w:t>
            </w:r>
          </w:p>
        </w:tc>
        <w:tc>
          <w:tcPr>
            <w:tcW w:w="283" w:type="dxa"/>
            <w:vMerge w:val="restart"/>
            <w:tcBorders>
              <w:bottom w:val="nil"/>
            </w:tcBorders>
            <w:textDirection w:val="tbRlV"/>
            <w:vAlign w:val="top"/>
          </w:tcPr>
          <w:p>
            <w:pPr>
              <w:spacing w:before="54" w:line="219" w:lineRule="auto"/>
              <w:ind w:left="786"/>
              <w:rPr>
                <w:rFonts w:ascii="宋体" w:hAnsi="宋体" w:eastAsia="宋体" w:cs="宋体"/>
                <w:sz w:val="17"/>
                <w:szCs w:val="17"/>
              </w:rPr>
            </w:pPr>
            <w:r>
              <w:rPr>
                <w:rFonts w:ascii="宋体" w:hAnsi="宋体" w:eastAsia="宋体" w:cs="宋体"/>
                <w:spacing w:val="19"/>
                <w:sz w:val="17"/>
                <w:szCs w:val="17"/>
                <w14:textOutline w14:w="3268" w14:cap="sq" w14:cmpd="sng">
                  <w14:solidFill>
                    <w14:srgbClr w14:val="000000"/>
                  </w14:solidFill>
                  <w14:prstDash w14:val="solid"/>
                  <w14:bevel/>
                </w14:textOutline>
              </w:rPr>
              <w:t>单</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元</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级</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清</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单</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管</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控</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要</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求</w:t>
            </w:r>
          </w:p>
        </w:tc>
        <w:tc>
          <w:tcPr>
            <w:tcW w:w="404" w:type="dxa"/>
            <w:vAlign w:val="top"/>
          </w:tcPr>
          <w:p>
            <w:pPr>
              <w:spacing w:before="73" w:line="279" w:lineRule="auto"/>
              <w:ind w:left="21" w:right="24" w:firstLine="5"/>
              <w:rPr>
                <w:rFonts w:ascii="宋体" w:hAnsi="宋体" w:eastAsia="宋体" w:cs="宋体"/>
                <w:sz w:val="17"/>
                <w:szCs w:val="17"/>
              </w:rPr>
            </w:pPr>
            <w:r>
              <w:rPr>
                <w:rFonts w:ascii="宋体" w:hAnsi="宋体" w:eastAsia="宋体" w:cs="宋体"/>
                <w:spacing w:val="4"/>
                <w:sz w:val="17"/>
                <w:szCs w:val="17"/>
                <w14:textOutline w14:w="3268" w14:cap="sq" w14:cmpd="sng">
                  <w14:solidFill>
                    <w14:srgbClr w14:val="000000"/>
                  </w14:solidFill>
                  <w14:prstDash w14:val="solid"/>
                  <w14:bevel/>
                </w14:textOutline>
              </w:rPr>
              <w:t>空</w:t>
            </w:r>
            <w:r>
              <w:rPr>
                <w:rFonts w:ascii="宋体" w:hAnsi="宋体" w:eastAsia="宋体" w:cs="宋体"/>
                <w:spacing w:val="3"/>
                <w:sz w:val="17"/>
                <w:szCs w:val="17"/>
                <w14:textOutline w14:w="3268" w14:cap="sq" w14:cmpd="sng">
                  <w14:solidFill>
                    <w14:srgbClr w14:val="000000"/>
                  </w14:solidFill>
                  <w14:prstDash w14:val="solid"/>
                  <w14:bevel/>
                </w14:textOutline>
              </w:rPr>
              <w:t>间</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布局</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约束</w:t>
            </w:r>
          </w:p>
        </w:tc>
        <w:tc>
          <w:tcPr>
            <w:tcW w:w="5093" w:type="dxa"/>
            <w:vAlign w:val="top"/>
          </w:tcPr>
          <w:p>
            <w:pPr>
              <w:spacing w:line="268" w:lineRule="auto"/>
              <w:rPr>
                <w:rFonts w:ascii="Arial"/>
                <w:sz w:val="21"/>
              </w:rPr>
            </w:pPr>
          </w:p>
          <w:p>
            <w:pPr>
              <w:spacing w:before="49" w:line="242" w:lineRule="exact"/>
              <w:ind w:left="251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038" w:type="dxa"/>
            <w:vAlign w:val="top"/>
          </w:tcPr>
          <w:p>
            <w:pPr>
              <w:spacing w:line="268" w:lineRule="auto"/>
              <w:rPr>
                <w:rFonts w:ascii="Arial"/>
                <w:sz w:val="21"/>
              </w:rPr>
            </w:pPr>
          </w:p>
          <w:p>
            <w:pPr>
              <w:spacing w:before="49" w:line="242" w:lineRule="exact"/>
              <w:ind w:left="6"/>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412" w:type="dxa"/>
            <w:vAlign w:val="top"/>
          </w:tcPr>
          <w:p>
            <w:pPr>
              <w:rPr>
                <w:rFonts w:ascii="Arial"/>
                <w:sz w:val="21"/>
              </w:rPr>
            </w:pPr>
          </w:p>
        </w:tc>
        <w:tc>
          <w:tcPr>
            <w:tcW w:w="2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24" w:hRule="atLeast"/>
        </w:trPr>
        <w:tc>
          <w:tcPr>
            <w:tcW w:w="714" w:type="dxa"/>
            <w:vMerge w:val="continue"/>
            <w:tcBorders>
              <w:top w:val="nil"/>
              <w:left w:val="single" w:color="000000" w:sz="6" w:space="0"/>
              <w:bottom w:val="nil"/>
            </w:tcBorders>
            <w:vAlign w:val="top"/>
          </w:tcPr>
          <w:p>
            <w:pPr>
              <w:rPr>
                <w:rFonts w:ascii="Arial"/>
                <w:sz w:val="21"/>
              </w:rPr>
            </w:pPr>
          </w:p>
        </w:tc>
        <w:tc>
          <w:tcPr>
            <w:tcW w:w="213" w:type="dxa"/>
            <w:vMerge w:val="continue"/>
            <w:tcBorders>
              <w:top w:val="nil"/>
              <w:bottom w:val="nil"/>
            </w:tcBorders>
            <w:vAlign w:val="top"/>
          </w:tcPr>
          <w:p>
            <w:pPr>
              <w:rPr>
                <w:rFonts w:ascii="Arial"/>
                <w:sz w:val="21"/>
              </w:rPr>
            </w:pPr>
          </w:p>
        </w:tc>
        <w:tc>
          <w:tcPr>
            <w:tcW w:w="556" w:type="dxa"/>
            <w:vMerge w:val="continue"/>
            <w:tcBorders>
              <w:top w:val="nil"/>
              <w:bottom w:val="nil"/>
            </w:tcBorders>
            <w:vAlign w:val="top"/>
          </w:tcPr>
          <w:p>
            <w:pPr>
              <w:rPr>
                <w:rFonts w:ascii="Arial"/>
                <w:sz w:val="21"/>
              </w:rPr>
            </w:pPr>
          </w:p>
        </w:tc>
        <w:tc>
          <w:tcPr>
            <w:tcW w:w="283" w:type="dxa"/>
            <w:vMerge w:val="continue"/>
            <w:tcBorders>
              <w:top w:val="nil"/>
              <w:bottom w:val="nil"/>
            </w:tcBorders>
            <w:textDirection w:val="tbRlV"/>
            <w:vAlign w:val="top"/>
          </w:tcPr>
          <w:p>
            <w:pPr>
              <w:rPr>
                <w:rFonts w:ascii="Arial"/>
                <w:sz w:val="21"/>
              </w:rPr>
            </w:pPr>
          </w:p>
        </w:tc>
        <w:tc>
          <w:tcPr>
            <w:tcW w:w="404" w:type="dxa"/>
            <w:vAlign w:val="top"/>
          </w:tcPr>
          <w:p>
            <w:pPr>
              <w:spacing w:before="72" w:line="231" w:lineRule="auto"/>
              <w:ind w:left="23"/>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污</w:t>
            </w:r>
            <w:r>
              <w:rPr>
                <w:rFonts w:ascii="宋体" w:hAnsi="宋体" w:eastAsia="宋体" w:cs="宋体"/>
                <w:spacing w:val="5"/>
                <w:sz w:val="17"/>
                <w:szCs w:val="17"/>
                <w14:textOutline w14:w="3268" w14:cap="sq" w14:cmpd="sng">
                  <w14:solidFill>
                    <w14:srgbClr w14:val="000000"/>
                  </w14:solidFill>
                  <w14:prstDash w14:val="solid"/>
                  <w14:bevel/>
                </w14:textOutline>
              </w:rPr>
              <w:t>染</w:t>
            </w:r>
          </w:p>
          <w:p>
            <w:pPr>
              <w:spacing w:before="65" w:line="232" w:lineRule="auto"/>
              <w:ind w:left="21"/>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物排</w:t>
            </w:r>
          </w:p>
          <w:p>
            <w:pPr>
              <w:spacing w:before="67" w:line="230" w:lineRule="auto"/>
              <w:ind w:left="21"/>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放管</w:t>
            </w:r>
          </w:p>
          <w:p>
            <w:pPr>
              <w:spacing w:before="68" w:line="229" w:lineRule="auto"/>
              <w:ind w:left="109"/>
              <w:rPr>
                <w:rFonts w:ascii="宋体" w:hAnsi="宋体" w:eastAsia="宋体" w:cs="宋体"/>
                <w:sz w:val="17"/>
                <w:szCs w:val="17"/>
              </w:rPr>
            </w:pPr>
            <w:r>
              <w:rPr>
                <w:rFonts w:ascii="宋体" w:hAnsi="宋体" w:eastAsia="宋体" w:cs="宋体"/>
                <w:spacing w:val="3"/>
                <w:sz w:val="17"/>
                <w:szCs w:val="17"/>
                <w14:textOutline w14:w="3268" w14:cap="sq" w14:cmpd="sng">
                  <w14:solidFill>
                    <w14:srgbClr w14:val="000000"/>
                  </w14:solidFill>
                  <w14:prstDash w14:val="solid"/>
                  <w14:bevel/>
                </w14:textOutline>
              </w:rPr>
              <w:t>控</w:t>
            </w:r>
          </w:p>
        </w:tc>
        <w:tc>
          <w:tcPr>
            <w:tcW w:w="5093" w:type="dxa"/>
            <w:vAlign w:val="top"/>
          </w:tcPr>
          <w:p>
            <w:pPr>
              <w:spacing w:line="406" w:lineRule="auto"/>
              <w:rPr>
                <w:rFonts w:ascii="Arial"/>
                <w:sz w:val="21"/>
              </w:rPr>
            </w:pPr>
          </w:p>
          <w:p>
            <w:pPr>
              <w:spacing w:before="49" w:line="242" w:lineRule="exact"/>
              <w:ind w:left="251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038" w:type="dxa"/>
            <w:vAlign w:val="top"/>
          </w:tcPr>
          <w:p>
            <w:pPr>
              <w:spacing w:line="406" w:lineRule="auto"/>
              <w:rPr>
                <w:rFonts w:ascii="Arial"/>
                <w:sz w:val="21"/>
              </w:rPr>
            </w:pPr>
          </w:p>
          <w:p>
            <w:pPr>
              <w:spacing w:before="49" w:line="242" w:lineRule="exact"/>
              <w:ind w:left="496"/>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412" w:type="dxa"/>
            <w:vAlign w:val="top"/>
          </w:tcPr>
          <w:p>
            <w:pPr>
              <w:spacing w:line="406" w:lineRule="auto"/>
              <w:rPr>
                <w:rFonts w:ascii="Arial"/>
                <w:sz w:val="21"/>
              </w:rPr>
            </w:pPr>
          </w:p>
          <w:p>
            <w:pPr>
              <w:spacing w:before="49" w:line="242" w:lineRule="exact"/>
              <w:ind w:left="18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2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45" w:hRule="atLeast"/>
        </w:trPr>
        <w:tc>
          <w:tcPr>
            <w:tcW w:w="714" w:type="dxa"/>
            <w:vMerge w:val="continue"/>
            <w:tcBorders>
              <w:top w:val="nil"/>
              <w:left w:val="single" w:color="000000" w:sz="6" w:space="0"/>
              <w:bottom w:val="nil"/>
            </w:tcBorders>
            <w:vAlign w:val="top"/>
          </w:tcPr>
          <w:p>
            <w:pPr>
              <w:rPr>
                <w:rFonts w:ascii="Arial"/>
                <w:sz w:val="21"/>
              </w:rPr>
            </w:pPr>
          </w:p>
        </w:tc>
        <w:tc>
          <w:tcPr>
            <w:tcW w:w="213" w:type="dxa"/>
            <w:vMerge w:val="continue"/>
            <w:tcBorders>
              <w:top w:val="nil"/>
              <w:bottom w:val="nil"/>
            </w:tcBorders>
            <w:vAlign w:val="top"/>
          </w:tcPr>
          <w:p>
            <w:pPr>
              <w:rPr>
                <w:rFonts w:ascii="Arial"/>
                <w:sz w:val="21"/>
              </w:rPr>
            </w:pPr>
          </w:p>
        </w:tc>
        <w:tc>
          <w:tcPr>
            <w:tcW w:w="556" w:type="dxa"/>
            <w:vMerge w:val="continue"/>
            <w:tcBorders>
              <w:top w:val="nil"/>
              <w:bottom w:val="nil"/>
            </w:tcBorders>
            <w:vAlign w:val="top"/>
          </w:tcPr>
          <w:p>
            <w:pPr>
              <w:rPr>
                <w:rFonts w:ascii="Arial"/>
                <w:sz w:val="21"/>
              </w:rPr>
            </w:pPr>
          </w:p>
        </w:tc>
        <w:tc>
          <w:tcPr>
            <w:tcW w:w="283" w:type="dxa"/>
            <w:vMerge w:val="continue"/>
            <w:tcBorders>
              <w:top w:val="nil"/>
              <w:bottom w:val="nil"/>
            </w:tcBorders>
            <w:textDirection w:val="tbRlV"/>
            <w:vAlign w:val="top"/>
          </w:tcPr>
          <w:p>
            <w:pPr>
              <w:rPr>
                <w:rFonts w:ascii="Arial"/>
                <w:sz w:val="21"/>
              </w:rPr>
            </w:pPr>
          </w:p>
        </w:tc>
        <w:tc>
          <w:tcPr>
            <w:tcW w:w="404" w:type="dxa"/>
            <w:vAlign w:val="top"/>
          </w:tcPr>
          <w:p>
            <w:pPr>
              <w:spacing w:before="74" w:line="279" w:lineRule="auto"/>
              <w:ind w:left="21" w:right="24"/>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环境</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风险</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防控</w:t>
            </w:r>
          </w:p>
        </w:tc>
        <w:tc>
          <w:tcPr>
            <w:tcW w:w="5093" w:type="dxa"/>
            <w:vAlign w:val="top"/>
          </w:tcPr>
          <w:p>
            <w:pPr>
              <w:spacing w:line="269" w:lineRule="auto"/>
              <w:rPr>
                <w:rFonts w:ascii="Arial"/>
                <w:sz w:val="21"/>
              </w:rPr>
            </w:pPr>
          </w:p>
          <w:p>
            <w:pPr>
              <w:spacing w:before="49" w:line="242" w:lineRule="exact"/>
              <w:ind w:left="251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038" w:type="dxa"/>
            <w:vAlign w:val="top"/>
          </w:tcPr>
          <w:p>
            <w:pPr>
              <w:spacing w:line="269" w:lineRule="auto"/>
              <w:rPr>
                <w:rFonts w:ascii="Arial"/>
                <w:sz w:val="21"/>
              </w:rPr>
            </w:pPr>
          </w:p>
          <w:p>
            <w:pPr>
              <w:spacing w:before="49" w:line="242" w:lineRule="exact"/>
              <w:ind w:left="496"/>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412" w:type="dxa"/>
            <w:vAlign w:val="top"/>
          </w:tcPr>
          <w:p>
            <w:pPr>
              <w:spacing w:line="269" w:lineRule="auto"/>
              <w:rPr>
                <w:rFonts w:ascii="Arial"/>
                <w:sz w:val="21"/>
              </w:rPr>
            </w:pPr>
          </w:p>
          <w:p>
            <w:pPr>
              <w:spacing w:before="49" w:line="242" w:lineRule="exact"/>
              <w:ind w:left="18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2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714" w:type="dxa"/>
            <w:vMerge w:val="continue"/>
            <w:tcBorders>
              <w:top w:val="nil"/>
              <w:left w:val="single" w:color="000000" w:sz="6" w:space="0"/>
              <w:bottom w:val="nil"/>
            </w:tcBorders>
            <w:vAlign w:val="top"/>
          </w:tcPr>
          <w:p>
            <w:pPr>
              <w:rPr>
                <w:rFonts w:ascii="Arial"/>
                <w:sz w:val="21"/>
              </w:rPr>
            </w:pPr>
          </w:p>
        </w:tc>
        <w:tc>
          <w:tcPr>
            <w:tcW w:w="213" w:type="dxa"/>
            <w:vMerge w:val="continue"/>
            <w:tcBorders>
              <w:top w:val="nil"/>
              <w:bottom w:val="nil"/>
            </w:tcBorders>
            <w:vAlign w:val="top"/>
          </w:tcPr>
          <w:p>
            <w:pPr>
              <w:rPr>
                <w:rFonts w:ascii="Arial"/>
                <w:sz w:val="21"/>
              </w:rPr>
            </w:pPr>
          </w:p>
        </w:tc>
        <w:tc>
          <w:tcPr>
            <w:tcW w:w="556" w:type="dxa"/>
            <w:vMerge w:val="continue"/>
            <w:tcBorders>
              <w:top w:val="nil"/>
            </w:tcBorders>
            <w:vAlign w:val="top"/>
          </w:tcPr>
          <w:p>
            <w:pPr>
              <w:rPr>
                <w:rFonts w:ascii="Arial"/>
                <w:sz w:val="21"/>
              </w:rPr>
            </w:pPr>
          </w:p>
        </w:tc>
        <w:tc>
          <w:tcPr>
            <w:tcW w:w="283" w:type="dxa"/>
            <w:vMerge w:val="continue"/>
            <w:tcBorders>
              <w:top w:val="nil"/>
            </w:tcBorders>
            <w:textDirection w:val="tbRlV"/>
            <w:vAlign w:val="top"/>
          </w:tcPr>
          <w:p>
            <w:pPr>
              <w:rPr>
                <w:rFonts w:ascii="Arial"/>
                <w:sz w:val="21"/>
              </w:rPr>
            </w:pPr>
          </w:p>
        </w:tc>
        <w:tc>
          <w:tcPr>
            <w:tcW w:w="404" w:type="dxa"/>
            <w:vAlign w:val="top"/>
          </w:tcPr>
          <w:p>
            <w:pPr>
              <w:spacing w:before="74" w:line="285" w:lineRule="auto"/>
              <w:ind w:left="22" w:right="24" w:firstLine="7"/>
              <w:rPr>
                <w:rFonts w:ascii="宋体" w:hAnsi="宋体" w:eastAsia="宋体" w:cs="宋体"/>
                <w:sz w:val="17"/>
                <w:szCs w:val="17"/>
              </w:rPr>
            </w:pPr>
            <w:r>
              <w:rPr>
                <w:rFonts w:ascii="宋体" w:hAnsi="宋体" w:eastAsia="宋体" w:cs="宋体"/>
                <w:spacing w:val="3"/>
                <w:sz w:val="17"/>
                <w:szCs w:val="17"/>
                <w14:textOutline w14:w="3268" w14:cap="sq" w14:cmpd="sng">
                  <w14:solidFill>
                    <w14:srgbClr w14:val="000000"/>
                  </w14:solidFill>
                  <w14:prstDash w14:val="solid"/>
                  <w14:bevel/>
                </w14:textOutline>
              </w:rPr>
              <w:t>资</w:t>
            </w:r>
            <w:r>
              <w:rPr>
                <w:rFonts w:ascii="宋体" w:hAnsi="宋体" w:eastAsia="宋体" w:cs="宋体"/>
                <w:spacing w:val="2"/>
                <w:sz w:val="17"/>
                <w:szCs w:val="17"/>
                <w14:textOutline w14:w="3268" w14:cap="sq" w14:cmpd="sng">
                  <w14:solidFill>
                    <w14:srgbClr w14:val="000000"/>
                  </w14:solidFill>
                  <w14:prstDash w14:val="solid"/>
                  <w14:bevel/>
                </w14:textOutline>
              </w:rPr>
              <w:t>源</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开发</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效率</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要求</w:t>
            </w:r>
          </w:p>
        </w:tc>
        <w:tc>
          <w:tcPr>
            <w:tcW w:w="5093" w:type="dxa"/>
            <w:vAlign w:val="top"/>
          </w:tcPr>
          <w:p>
            <w:pPr>
              <w:spacing w:before="74" w:line="230" w:lineRule="auto"/>
              <w:ind w:left="16"/>
              <w:rPr>
                <w:rFonts w:ascii="宋体" w:hAnsi="宋体" w:eastAsia="宋体" w:cs="宋体"/>
                <w:sz w:val="17"/>
                <w:szCs w:val="17"/>
              </w:rPr>
            </w:pPr>
            <w:r>
              <w:rPr>
                <w:rFonts w:ascii="宋体" w:hAnsi="宋体" w:eastAsia="宋体" w:cs="宋体"/>
                <w:spacing w:val="22"/>
                <w:sz w:val="17"/>
                <w:szCs w:val="17"/>
              </w:rPr>
              <w:t>(</w:t>
            </w:r>
            <w:r>
              <w:rPr>
                <w:rFonts w:ascii="Times New Roman" w:hAnsi="Times New Roman" w:eastAsia="Times New Roman" w:cs="Times New Roman"/>
                <w:spacing w:val="13"/>
                <w:sz w:val="17"/>
                <w:szCs w:val="17"/>
              </w:rPr>
              <w:t>1</w:t>
            </w:r>
            <w:r>
              <w:rPr>
                <w:rFonts w:ascii="宋体" w:hAnsi="宋体" w:eastAsia="宋体" w:cs="宋体"/>
                <w:spacing w:val="13"/>
                <w:sz w:val="17"/>
                <w:szCs w:val="17"/>
              </w:rPr>
              <w:t>) 土地资源开发效率要求</w:t>
            </w:r>
          </w:p>
          <w:p>
            <w:pPr>
              <w:spacing w:before="66" w:line="230" w:lineRule="auto"/>
              <w:ind w:left="16"/>
              <w:rPr>
                <w:rFonts w:ascii="宋体" w:hAnsi="宋体" w:eastAsia="宋体" w:cs="宋体"/>
                <w:sz w:val="17"/>
                <w:szCs w:val="17"/>
              </w:rPr>
            </w:pPr>
            <w:r>
              <w:rPr>
                <w:rFonts w:ascii="宋体" w:hAnsi="宋体" w:eastAsia="宋体" w:cs="宋体"/>
                <w:spacing w:val="22"/>
                <w:sz w:val="17"/>
                <w:szCs w:val="17"/>
              </w:rPr>
              <w:t>(</w:t>
            </w:r>
            <w:r>
              <w:rPr>
                <w:rFonts w:ascii="Times New Roman" w:hAnsi="Times New Roman" w:eastAsia="Times New Roman" w:cs="Times New Roman"/>
                <w:spacing w:val="13"/>
                <w:sz w:val="17"/>
                <w:szCs w:val="17"/>
              </w:rPr>
              <w:t>2</w:t>
            </w:r>
            <w:r>
              <w:rPr>
                <w:rFonts w:ascii="宋体" w:hAnsi="宋体" w:eastAsia="宋体" w:cs="宋体"/>
                <w:spacing w:val="13"/>
                <w:sz w:val="17"/>
                <w:szCs w:val="17"/>
              </w:rPr>
              <w:t>) 能源资源开发效率要求</w:t>
            </w:r>
          </w:p>
          <w:p>
            <w:pPr>
              <w:spacing w:before="67" w:line="267" w:lineRule="auto"/>
              <w:ind w:left="15" w:right="588" w:hanging="2"/>
              <w:rPr>
                <w:rFonts w:ascii="宋体" w:hAnsi="宋体" w:eastAsia="宋体" w:cs="宋体"/>
                <w:sz w:val="17"/>
                <w:szCs w:val="17"/>
              </w:rPr>
            </w:pPr>
            <w:r>
              <w:rPr>
                <w:rFonts w:ascii="宋体" w:hAnsi="宋体" w:eastAsia="宋体" w:cs="宋体"/>
                <w:spacing w:val="18"/>
                <w:sz w:val="17"/>
                <w:szCs w:val="17"/>
              </w:rPr>
              <w:t>能</w:t>
            </w:r>
            <w:r>
              <w:rPr>
                <w:rFonts w:ascii="宋体" w:hAnsi="宋体" w:eastAsia="宋体" w:cs="宋体"/>
                <w:spacing w:val="10"/>
                <w:sz w:val="17"/>
                <w:szCs w:val="17"/>
              </w:rPr>
              <w:t>源</w:t>
            </w:r>
            <w:r>
              <w:rPr>
                <w:rFonts w:ascii="宋体" w:hAnsi="宋体" w:eastAsia="宋体" w:cs="宋体"/>
                <w:spacing w:val="9"/>
                <w:sz w:val="17"/>
                <w:szCs w:val="17"/>
              </w:rPr>
              <w:t>消耗、污染物排放不得超过能源利用上线控制性指标</w:t>
            </w:r>
            <w:r>
              <w:rPr>
                <w:rFonts w:ascii="宋体" w:hAnsi="宋体" w:eastAsia="宋体" w:cs="宋体"/>
                <w:sz w:val="17"/>
                <w:szCs w:val="17"/>
              </w:rPr>
              <w:t xml:space="preserve"> </w:t>
            </w:r>
            <w:r>
              <w:rPr>
                <w:rFonts w:ascii="宋体" w:hAnsi="宋体" w:eastAsia="宋体" w:cs="宋体"/>
                <w:spacing w:val="22"/>
                <w:sz w:val="17"/>
                <w:szCs w:val="17"/>
              </w:rPr>
              <w:t>(</w:t>
            </w:r>
            <w:r>
              <w:rPr>
                <w:rFonts w:ascii="Times New Roman" w:hAnsi="Times New Roman" w:eastAsia="Times New Roman" w:cs="Times New Roman"/>
                <w:spacing w:val="13"/>
                <w:sz w:val="17"/>
                <w:szCs w:val="17"/>
              </w:rPr>
              <w:t>3</w:t>
            </w:r>
            <w:r>
              <w:rPr>
                <w:rFonts w:ascii="宋体" w:hAnsi="宋体" w:eastAsia="宋体" w:cs="宋体"/>
                <w:spacing w:val="13"/>
                <w:sz w:val="17"/>
                <w:szCs w:val="17"/>
              </w:rPr>
              <w:t>) 其他资源开发效率要求</w:t>
            </w:r>
          </w:p>
        </w:tc>
        <w:tc>
          <w:tcPr>
            <w:tcW w:w="1038" w:type="dxa"/>
            <w:vAlign w:val="top"/>
          </w:tcPr>
          <w:p>
            <w:pPr>
              <w:spacing w:before="73" w:line="231" w:lineRule="auto"/>
              <w:ind w:left="16"/>
              <w:rPr>
                <w:rFonts w:ascii="宋体" w:hAnsi="宋体" w:eastAsia="宋体" w:cs="宋体"/>
                <w:sz w:val="17"/>
                <w:szCs w:val="17"/>
              </w:rPr>
            </w:pPr>
            <w:r>
              <w:rPr>
                <w:rFonts w:ascii="宋体" w:hAnsi="宋体" w:eastAsia="宋体" w:cs="宋体"/>
                <w:spacing w:val="-1"/>
                <w:sz w:val="17"/>
                <w:szCs w:val="17"/>
              </w:rPr>
              <w:t>项目能源</w:t>
            </w:r>
            <w:r>
              <w:rPr>
                <w:rFonts w:ascii="宋体" w:hAnsi="宋体" w:eastAsia="宋体" w:cs="宋体"/>
                <w:sz w:val="17"/>
                <w:szCs w:val="17"/>
              </w:rPr>
              <w:t>、污</w:t>
            </w:r>
          </w:p>
          <w:p>
            <w:pPr>
              <w:spacing w:before="65" w:line="231" w:lineRule="auto"/>
              <w:ind w:left="81"/>
              <w:rPr>
                <w:rFonts w:ascii="宋体" w:hAnsi="宋体" w:eastAsia="宋体" w:cs="宋体"/>
                <w:sz w:val="17"/>
                <w:szCs w:val="17"/>
              </w:rPr>
            </w:pPr>
            <w:r>
              <w:rPr>
                <w:rFonts w:ascii="宋体" w:hAnsi="宋体" w:eastAsia="宋体" w:cs="宋体"/>
                <w:spacing w:val="8"/>
                <w:sz w:val="17"/>
                <w:szCs w:val="17"/>
              </w:rPr>
              <w:t>染物排放不</w:t>
            </w:r>
          </w:p>
          <w:p>
            <w:pPr>
              <w:spacing w:before="68" w:line="229" w:lineRule="auto"/>
              <w:ind w:left="77"/>
              <w:rPr>
                <w:rFonts w:ascii="宋体" w:hAnsi="宋体" w:eastAsia="宋体" w:cs="宋体"/>
                <w:sz w:val="17"/>
                <w:szCs w:val="17"/>
              </w:rPr>
            </w:pPr>
            <w:r>
              <w:rPr>
                <w:rFonts w:ascii="宋体" w:hAnsi="宋体" w:eastAsia="宋体" w:cs="宋体"/>
                <w:spacing w:val="11"/>
                <w:sz w:val="17"/>
                <w:szCs w:val="17"/>
              </w:rPr>
              <w:t>会</w:t>
            </w:r>
            <w:r>
              <w:rPr>
                <w:rFonts w:ascii="宋体" w:hAnsi="宋体" w:eastAsia="宋体" w:cs="宋体"/>
                <w:spacing w:val="8"/>
                <w:sz w:val="17"/>
                <w:szCs w:val="17"/>
              </w:rPr>
              <w:t>超过能源</w:t>
            </w:r>
          </w:p>
          <w:p>
            <w:pPr>
              <w:spacing w:before="69" w:line="228" w:lineRule="auto"/>
              <w:ind w:left="170"/>
              <w:rPr>
                <w:rFonts w:ascii="宋体" w:hAnsi="宋体" w:eastAsia="宋体" w:cs="宋体"/>
                <w:sz w:val="17"/>
                <w:szCs w:val="17"/>
              </w:rPr>
            </w:pPr>
            <w:r>
              <w:rPr>
                <w:rFonts w:ascii="宋体" w:hAnsi="宋体" w:eastAsia="宋体" w:cs="宋体"/>
                <w:spacing w:val="8"/>
                <w:sz w:val="17"/>
                <w:szCs w:val="17"/>
              </w:rPr>
              <w:t>利用上限</w:t>
            </w:r>
          </w:p>
        </w:tc>
        <w:tc>
          <w:tcPr>
            <w:tcW w:w="412" w:type="dxa"/>
            <w:vAlign w:val="top"/>
          </w:tcPr>
          <w:p>
            <w:pPr>
              <w:spacing w:line="407" w:lineRule="auto"/>
              <w:rPr>
                <w:rFonts w:ascii="Arial"/>
                <w:sz w:val="21"/>
              </w:rPr>
            </w:pPr>
          </w:p>
          <w:p>
            <w:pPr>
              <w:spacing w:before="49" w:line="242" w:lineRule="exact"/>
              <w:ind w:left="18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2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45" w:hRule="atLeast"/>
        </w:trPr>
        <w:tc>
          <w:tcPr>
            <w:tcW w:w="714" w:type="dxa"/>
            <w:vMerge w:val="continue"/>
            <w:tcBorders>
              <w:top w:val="nil"/>
              <w:left w:val="single" w:color="000000" w:sz="6" w:space="0"/>
              <w:bottom w:val="nil"/>
            </w:tcBorders>
            <w:vAlign w:val="top"/>
          </w:tcPr>
          <w:p>
            <w:pPr>
              <w:rPr>
                <w:rFonts w:ascii="Arial"/>
                <w:sz w:val="21"/>
              </w:rPr>
            </w:pPr>
          </w:p>
        </w:tc>
        <w:tc>
          <w:tcPr>
            <w:tcW w:w="213" w:type="dxa"/>
            <w:vMerge w:val="continue"/>
            <w:tcBorders>
              <w:top w:val="nil"/>
              <w:bottom w:val="nil"/>
            </w:tcBorders>
            <w:vAlign w:val="top"/>
          </w:tcPr>
          <w:p>
            <w:pPr>
              <w:rPr>
                <w:rFonts w:ascii="Arial"/>
                <w:sz w:val="21"/>
              </w:rPr>
            </w:pPr>
          </w:p>
        </w:tc>
        <w:tc>
          <w:tcPr>
            <w:tcW w:w="556" w:type="dxa"/>
            <w:vMerge w:val="restart"/>
            <w:tcBorders>
              <w:bottom w:val="nil"/>
            </w:tcBorders>
            <w:vAlign w:val="top"/>
          </w:tcPr>
          <w:p>
            <w:pPr>
              <w:spacing w:line="295" w:lineRule="auto"/>
              <w:rPr>
                <w:rFonts w:ascii="Arial"/>
                <w:sz w:val="21"/>
              </w:rPr>
            </w:pPr>
          </w:p>
          <w:p>
            <w:pPr>
              <w:spacing w:line="295" w:lineRule="auto"/>
              <w:rPr>
                <w:rFonts w:ascii="Arial"/>
                <w:sz w:val="21"/>
              </w:rPr>
            </w:pPr>
          </w:p>
          <w:p>
            <w:pPr>
              <w:spacing w:before="55" w:line="323" w:lineRule="auto"/>
              <w:ind w:left="5" w:right="9" w:firstLine="30"/>
              <w:rPr>
                <w:rFonts w:ascii="Times New Roman" w:hAnsi="Times New Roman" w:eastAsia="Times New Roman" w:cs="Times New Roman"/>
                <w:sz w:val="17"/>
                <w:szCs w:val="17"/>
              </w:rPr>
            </w:pPr>
            <w:r>
              <w:rPr>
                <w:rFonts w:ascii="宋体" w:hAnsi="宋体" w:eastAsia="宋体" w:cs="宋体"/>
                <w:spacing w:val="-2"/>
                <w:sz w:val="17"/>
                <w:szCs w:val="17"/>
                <w14:textOutline w14:w="3268" w14:cap="sq" w14:cmpd="sng">
                  <w14:solidFill>
                    <w14:srgbClr w14:val="000000"/>
                  </w14:solidFill>
                  <w14:prstDash w14:val="solid"/>
                  <w14:bevel/>
                </w14:textOutline>
              </w:rPr>
              <w:t>自然</w:t>
            </w:r>
            <w:r>
              <w:rPr>
                <w:rFonts w:ascii="宋体" w:hAnsi="宋体" w:eastAsia="宋体" w:cs="宋体"/>
                <w:spacing w:val="-1"/>
                <w:sz w:val="17"/>
                <w:szCs w:val="17"/>
                <w14:textOutline w14:w="3268" w14:cap="sq" w14:cmpd="sng">
                  <w14:solidFill>
                    <w14:srgbClr w14:val="000000"/>
                  </w14:solidFill>
                  <w14:prstDash w14:val="solid"/>
                  <w14:bevel/>
                </w14:textOutline>
              </w:rPr>
              <w:t>资</w:t>
            </w:r>
            <w:r>
              <w:rPr>
                <w:rFonts w:ascii="宋体" w:hAnsi="宋体" w:eastAsia="宋体" w:cs="宋体"/>
                <w:sz w:val="17"/>
                <w:szCs w:val="17"/>
              </w:rPr>
              <w:t xml:space="preserve"> </w:t>
            </w:r>
            <w:r>
              <w:rPr>
                <w:rFonts w:ascii="宋体" w:hAnsi="宋体" w:eastAsia="宋体" w:cs="宋体"/>
                <w:spacing w:val="10"/>
                <w:sz w:val="17"/>
                <w:szCs w:val="17"/>
                <w14:textOutline w14:w="3268" w14:cap="sq" w14:cmpd="sng">
                  <w14:solidFill>
                    <w14:srgbClr w14:val="000000"/>
                  </w14:solidFill>
                  <w14:prstDash w14:val="solid"/>
                  <w14:bevel/>
                </w14:textOutline>
              </w:rPr>
              <w:t>源</w:t>
            </w:r>
            <w:r>
              <w:rPr>
                <w:rFonts w:ascii="宋体" w:hAnsi="宋体" w:eastAsia="宋体" w:cs="宋体"/>
                <w:spacing w:val="8"/>
                <w:sz w:val="17"/>
                <w:szCs w:val="17"/>
                <w14:textOutline w14:w="3268" w14:cap="sq" w14:cmpd="sng">
                  <w14:solidFill>
                    <w14:srgbClr w14:val="000000"/>
                  </w14:solidFill>
                  <w14:prstDash w14:val="solid"/>
                  <w14:bevel/>
                </w14:textOutline>
              </w:rPr>
              <w:t>重点</w:t>
            </w:r>
            <w:r>
              <w:rPr>
                <w:rFonts w:ascii="宋体" w:hAnsi="宋体" w:eastAsia="宋体" w:cs="宋体"/>
                <w:sz w:val="17"/>
                <w:szCs w:val="17"/>
              </w:rPr>
              <w:t xml:space="preserve"> </w:t>
            </w:r>
            <w:r>
              <w:rPr>
                <w:rFonts w:ascii="宋体" w:hAnsi="宋体" w:eastAsia="宋体" w:cs="宋体"/>
                <w:spacing w:val="10"/>
                <w:sz w:val="17"/>
                <w:szCs w:val="17"/>
                <w14:textOutline w14:w="3268" w14:cap="sq" w14:cmpd="sng">
                  <w14:solidFill>
                    <w14:srgbClr w14:val="000000"/>
                  </w14:solidFill>
                  <w14:prstDash w14:val="solid"/>
                  <w14:bevel/>
                </w14:textOutline>
              </w:rPr>
              <w:t>管</w:t>
            </w:r>
            <w:r>
              <w:rPr>
                <w:rFonts w:ascii="宋体" w:hAnsi="宋体" w:eastAsia="宋体" w:cs="宋体"/>
                <w:spacing w:val="8"/>
                <w:sz w:val="17"/>
                <w:szCs w:val="17"/>
                <w14:textOutline w14:w="3268" w14:cap="sq" w14:cmpd="sng">
                  <w14:solidFill>
                    <w14:srgbClr w14:val="000000"/>
                  </w14:solidFill>
                  <w14:prstDash w14:val="solid"/>
                  <w14:bevel/>
                </w14:textOutline>
              </w:rPr>
              <w:t>控区</w:t>
            </w:r>
            <w:r>
              <w:rPr>
                <w:rFonts w:ascii="宋体" w:hAnsi="宋体" w:eastAsia="宋体" w:cs="宋体"/>
                <w:sz w:val="17"/>
                <w:szCs w:val="17"/>
              </w:rPr>
              <w:t xml:space="preserve"> </w:t>
            </w:r>
            <w:r>
              <w:rPr>
                <w:rFonts w:ascii="Times New Roman" w:hAnsi="Times New Roman" w:eastAsia="Times New Roman" w:cs="Times New Roman"/>
                <w:b/>
                <w:bCs/>
                <w:sz w:val="17"/>
                <w:szCs w:val="17"/>
              </w:rPr>
              <w:t>YS</w:t>
            </w:r>
            <w:r>
              <w:rPr>
                <w:rFonts w:ascii="Times New Roman" w:hAnsi="Times New Roman" w:eastAsia="Times New Roman" w:cs="Times New Roman"/>
                <w:b/>
                <w:bCs/>
                <w:spacing w:val="15"/>
                <w:sz w:val="17"/>
                <w:szCs w:val="17"/>
              </w:rPr>
              <w:t>5</w:t>
            </w:r>
            <w:r>
              <w:rPr>
                <w:rFonts w:ascii="Times New Roman" w:hAnsi="Times New Roman" w:eastAsia="Times New Roman" w:cs="Times New Roman"/>
                <w:b/>
                <w:bCs/>
                <w:spacing w:val="13"/>
                <w:sz w:val="17"/>
                <w:szCs w:val="17"/>
              </w:rPr>
              <w:t>11</w:t>
            </w:r>
            <w:r>
              <w:rPr>
                <w:rFonts w:ascii="Times New Roman" w:hAnsi="Times New Roman" w:eastAsia="Times New Roman" w:cs="Times New Roman"/>
                <w:sz w:val="17"/>
                <w:szCs w:val="17"/>
              </w:rPr>
              <w:t xml:space="preserve"> </w:t>
            </w:r>
            <w:r>
              <w:rPr>
                <w:rFonts w:ascii="Times New Roman" w:hAnsi="Times New Roman" w:eastAsia="Times New Roman" w:cs="Times New Roman"/>
                <w:b/>
                <w:bCs/>
                <w:spacing w:val="5"/>
                <w:sz w:val="17"/>
                <w:szCs w:val="17"/>
              </w:rPr>
              <w:t>7</w:t>
            </w:r>
            <w:r>
              <w:rPr>
                <w:rFonts w:ascii="Times New Roman" w:hAnsi="Times New Roman" w:eastAsia="Times New Roman" w:cs="Times New Roman"/>
                <w:b/>
                <w:bCs/>
                <w:spacing w:val="4"/>
                <w:sz w:val="17"/>
                <w:szCs w:val="17"/>
              </w:rPr>
              <w:t>02255</w:t>
            </w:r>
          </w:p>
          <w:p>
            <w:pPr>
              <w:spacing w:before="9" w:line="311" w:lineRule="auto"/>
              <w:ind w:left="5" w:right="9" w:firstLine="91"/>
              <w:rPr>
                <w:rFonts w:ascii="宋体" w:hAnsi="宋体" w:eastAsia="宋体" w:cs="宋体"/>
                <w:sz w:val="17"/>
                <w:szCs w:val="17"/>
              </w:rPr>
            </w:pPr>
            <w:r>
              <w:rPr>
                <w:rFonts w:ascii="Times New Roman" w:hAnsi="Times New Roman" w:eastAsia="Times New Roman" w:cs="Times New Roman"/>
                <w:b/>
                <w:bCs/>
                <w:spacing w:val="5"/>
                <w:sz w:val="17"/>
                <w:szCs w:val="17"/>
              </w:rPr>
              <w:t>0</w:t>
            </w:r>
            <w:r>
              <w:rPr>
                <w:rFonts w:ascii="Times New Roman" w:hAnsi="Times New Roman" w:eastAsia="Times New Roman" w:cs="Times New Roman"/>
                <w:b/>
                <w:bCs/>
                <w:spacing w:val="3"/>
                <w:sz w:val="17"/>
                <w:szCs w:val="17"/>
              </w:rPr>
              <w:t>001</w:t>
            </w:r>
            <w:r>
              <w:rPr>
                <w:rFonts w:ascii="Times New Roman" w:hAnsi="Times New Roman" w:eastAsia="Times New Roman" w:cs="Times New Roman"/>
                <w:sz w:val="17"/>
                <w:szCs w:val="17"/>
              </w:rPr>
              <w:t xml:space="preserve">  </w:t>
            </w:r>
            <w:r>
              <w:rPr>
                <w:rFonts w:ascii="宋体" w:hAnsi="宋体" w:eastAsia="宋体" w:cs="宋体"/>
                <w:spacing w:val="10"/>
                <w:sz w:val="17"/>
                <w:szCs w:val="17"/>
                <w14:textOutline w14:w="3268" w14:cap="sq" w14:cmpd="sng">
                  <w14:solidFill>
                    <w14:srgbClr w14:val="000000"/>
                  </w14:solidFill>
                  <w14:prstDash w14:val="solid"/>
                  <w14:bevel/>
                </w14:textOutline>
              </w:rPr>
              <w:t>通</w:t>
            </w:r>
            <w:r>
              <w:rPr>
                <w:rFonts w:ascii="宋体" w:hAnsi="宋体" w:eastAsia="宋体" w:cs="宋体"/>
                <w:spacing w:val="8"/>
                <w:sz w:val="17"/>
                <w:szCs w:val="17"/>
                <w14:textOutline w14:w="3268" w14:cap="sq" w14:cmpd="sng">
                  <w14:solidFill>
                    <w14:srgbClr w14:val="000000"/>
                  </w14:solidFill>
                  <w14:prstDash w14:val="solid"/>
                  <w14:bevel/>
                </w14:textOutline>
              </w:rPr>
              <w:t>川区</w:t>
            </w:r>
            <w:r>
              <w:rPr>
                <w:rFonts w:ascii="宋体" w:hAnsi="宋体" w:eastAsia="宋体" w:cs="宋体"/>
                <w:sz w:val="17"/>
                <w:szCs w:val="17"/>
              </w:rPr>
              <w:t xml:space="preserve"> </w:t>
            </w:r>
            <w:r>
              <w:rPr>
                <w:rFonts w:ascii="宋体" w:hAnsi="宋体" w:eastAsia="宋体" w:cs="宋体"/>
                <w:spacing w:val="10"/>
                <w:sz w:val="17"/>
                <w:szCs w:val="17"/>
                <w14:textOutline w14:w="3268" w14:cap="sq" w14:cmpd="sng">
                  <w14:solidFill>
                    <w14:srgbClr w14:val="000000"/>
                  </w14:solidFill>
                  <w14:prstDash w14:val="solid"/>
                  <w14:bevel/>
                </w14:textOutline>
              </w:rPr>
              <w:t>自</w:t>
            </w:r>
            <w:r>
              <w:rPr>
                <w:rFonts w:ascii="宋体" w:hAnsi="宋体" w:eastAsia="宋体" w:cs="宋体"/>
                <w:spacing w:val="8"/>
                <w:sz w:val="17"/>
                <w:szCs w:val="17"/>
                <w14:textOutline w14:w="3268" w14:cap="sq" w14:cmpd="sng">
                  <w14:solidFill>
                    <w14:srgbClr w14:val="000000"/>
                  </w14:solidFill>
                  <w14:prstDash w14:val="solid"/>
                  <w14:bevel/>
                </w14:textOutline>
              </w:rPr>
              <w:t>然资</w:t>
            </w:r>
            <w:r>
              <w:rPr>
                <w:rFonts w:ascii="宋体" w:hAnsi="宋体" w:eastAsia="宋体" w:cs="宋体"/>
                <w:sz w:val="17"/>
                <w:szCs w:val="17"/>
              </w:rPr>
              <w:t xml:space="preserve"> </w:t>
            </w:r>
            <w:r>
              <w:rPr>
                <w:rFonts w:ascii="宋体" w:hAnsi="宋体" w:eastAsia="宋体" w:cs="宋体"/>
                <w:spacing w:val="10"/>
                <w:sz w:val="17"/>
                <w:szCs w:val="17"/>
                <w14:textOutline w14:w="3268" w14:cap="sq" w14:cmpd="sng">
                  <w14:solidFill>
                    <w14:srgbClr w14:val="000000"/>
                  </w14:solidFill>
                  <w14:prstDash w14:val="solid"/>
                  <w14:bevel/>
                </w14:textOutline>
              </w:rPr>
              <w:t>源</w:t>
            </w:r>
            <w:r>
              <w:rPr>
                <w:rFonts w:ascii="宋体" w:hAnsi="宋体" w:eastAsia="宋体" w:cs="宋体"/>
                <w:spacing w:val="8"/>
                <w:sz w:val="17"/>
                <w:szCs w:val="17"/>
                <w14:textOutline w14:w="3268" w14:cap="sq" w14:cmpd="sng">
                  <w14:solidFill>
                    <w14:srgbClr w14:val="000000"/>
                  </w14:solidFill>
                  <w14:prstDash w14:val="solid"/>
                  <w14:bevel/>
                </w14:textOutline>
              </w:rPr>
              <w:t>重点</w:t>
            </w:r>
            <w:r>
              <w:rPr>
                <w:rFonts w:ascii="宋体" w:hAnsi="宋体" w:eastAsia="宋体" w:cs="宋体"/>
                <w:sz w:val="17"/>
                <w:szCs w:val="17"/>
              </w:rPr>
              <w:t xml:space="preserve"> </w:t>
            </w:r>
            <w:r>
              <w:rPr>
                <w:rFonts w:ascii="宋体" w:hAnsi="宋体" w:eastAsia="宋体" w:cs="宋体"/>
                <w:spacing w:val="10"/>
                <w:sz w:val="17"/>
                <w:szCs w:val="17"/>
                <w14:textOutline w14:w="3268" w14:cap="sq" w14:cmpd="sng">
                  <w14:solidFill>
                    <w14:srgbClr w14:val="000000"/>
                  </w14:solidFill>
                  <w14:prstDash w14:val="solid"/>
                  <w14:bevel/>
                </w14:textOutline>
              </w:rPr>
              <w:t>管</w:t>
            </w:r>
            <w:r>
              <w:rPr>
                <w:rFonts w:ascii="宋体" w:hAnsi="宋体" w:eastAsia="宋体" w:cs="宋体"/>
                <w:spacing w:val="8"/>
                <w:sz w:val="17"/>
                <w:szCs w:val="17"/>
                <w14:textOutline w14:w="3268" w14:cap="sq" w14:cmpd="sng">
                  <w14:solidFill>
                    <w14:srgbClr w14:val="000000"/>
                  </w14:solidFill>
                  <w14:prstDash w14:val="solid"/>
                  <w14:bevel/>
                </w14:textOutline>
              </w:rPr>
              <w:t>控区</w:t>
            </w:r>
          </w:p>
        </w:tc>
        <w:tc>
          <w:tcPr>
            <w:tcW w:w="283" w:type="dxa"/>
            <w:vMerge w:val="restart"/>
            <w:tcBorders>
              <w:bottom w:val="nil"/>
            </w:tcBorders>
            <w:textDirection w:val="tbRlV"/>
            <w:vAlign w:val="top"/>
          </w:tcPr>
          <w:p>
            <w:pPr>
              <w:spacing w:before="54" w:line="219" w:lineRule="auto"/>
              <w:ind w:left="788"/>
              <w:rPr>
                <w:rFonts w:ascii="宋体" w:hAnsi="宋体" w:eastAsia="宋体" w:cs="宋体"/>
                <w:sz w:val="17"/>
                <w:szCs w:val="17"/>
              </w:rPr>
            </w:pPr>
            <w:r>
              <w:rPr>
                <w:rFonts w:ascii="宋体" w:hAnsi="宋体" w:eastAsia="宋体" w:cs="宋体"/>
                <w:spacing w:val="19"/>
                <w:sz w:val="17"/>
                <w:szCs w:val="17"/>
                <w14:textOutline w14:w="3268" w14:cap="sq" w14:cmpd="sng">
                  <w14:solidFill>
                    <w14:srgbClr w14:val="000000"/>
                  </w14:solidFill>
                  <w14:prstDash w14:val="solid"/>
                  <w14:bevel/>
                </w14:textOutline>
              </w:rPr>
              <w:t>单</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元</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级</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清</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单</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管</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控</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要</w:t>
            </w:r>
            <w:r>
              <w:rPr>
                <w:rFonts w:ascii="宋体" w:hAnsi="宋体" w:eastAsia="宋体" w:cs="宋体"/>
                <w:spacing w:val="12"/>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求</w:t>
            </w:r>
          </w:p>
        </w:tc>
        <w:tc>
          <w:tcPr>
            <w:tcW w:w="404" w:type="dxa"/>
            <w:vAlign w:val="top"/>
          </w:tcPr>
          <w:p>
            <w:pPr>
              <w:spacing w:before="74" w:line="279" w:lineRule="auto"/>
              <w:ind w:left="21" w:right="24" w:firstLine="5"/>
              <w:rPr>
                <w:rFonts w:ascii="宋体" w:hAnsi="宋体" w:eastAsia="宋体" w:cs="宋体"/>
                <w:sz w:val="17"/>
                <w:szCs w:val="17"/>
              </w:rPr>
            </w:pPr>
            <w:r>
              <w:rPr>
                <w:rFonts w:ascii="宋体" w:hAnsi="宋体" w:eastAsia="宋体" w:cs="宋体"/>
                <w:spacing w:val="4"/>
                <w:sz w:val="17"/>
                <w:szCs w:val="17"/>
                <w14:textOutline w14:w="3268" w14:cap="sq" w14:cmpd="sng">
                  <w14:solidFill>
                    <w14:srgbClr w14:val="000000"/>
                  </w14:solidFill>
                  <w14:prstDash w14:val="solid"/>
                  <w14:bevel/>
                </w14:textOutline>
              </w:rPr>
              <w:t>空</w:t>
            </w:r>
            <w:r>
              <w:rPr>
                <w:rFonts w:ascii="宋体" w:hAnsi="宋体" w:eastAsia="宋体" w:cs="宋体"/>
                <w:spacing w:val="3"/>
                <w:sz w:val="17"/>
                <w:szCs w:val="17"/>
                <w14:textOutline w14:w="3268" w14:cap="sq" w14:cmpd="sng">
                  <w14:solidFill>
                    <w14:srgbClr w14:val="000000"/>
                  </w14:solidFill>
                  <w14:prstDash w14:val="solid"/>
                  <w14:bevel/>
                </w14:textOutline>
              </w:rPr>
              <w:t>间</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布局</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约束</w:t>
            </w:r>
          </w:p>
        </w:tc>
        <w:tc>
          <w:tcPr>
            <w:tcW w:w="5093" w:type="dxa"/>
            <w:vAlign w:val="top"/>
          </w:tcPr>
          <w:p>
            <w:pPr>
              <w:spacing w:before="215" w:line="317" w:lineRule="auto"/>
              <w:ind w:left="9" w:hanging="2"/>
              <w:rPr>
                <w:rFonts w:ascii="宋体" w:hAnsi="宋体" w:eastAsia="宋体" w:cs="宋体"/>
                <w:sz w:val="17"/>
                <w:szCs w:val="17"/>
              </w:rPr>
            </w:pPr>
            <w:r>
              <w:rPr>
                <w:rFonts w:ascii="宋体" w:hAnsi="宋体" w:eastAsia="宋体" w:cs="宋体"/>
                <w:spacing w:val="22"/>
                <w:sz w:val="17"/>
                <w:szCs w:val="17"/>
              </w:rPr>
              <w:t>合</w:t>
            </w:r>
            <w:r>
              <w:rPr>
                <w:rFonts w:ascii="宋体" w:hAnsi="宋体" w:eastAsia="宋体" w:cs="宋体"/>
                <w:spacing w:val="12"/>
                <w:sz w:val="17"/>
                <w:szCs w:val="17"/>
              </w:rPr>
              <w:t>理</w:t>
            </w:r>
            <w:r>
              <w:rPr>
                <w:rFonts w:ascii="宋体" w:hAnsi="宋体" w:eastAsia="宋体" w:cs="宋体"/>
                <w:spacing w:val="11"/>
                <w:sz w:val="17"/>
                <w:szCs w:val="17"/>
              </w:rPr>
              <w:t>开发高效利用水资源，建设节水型社会；优化土地利用布局</w:t>
            </w:r>
            <w:r>
              <w:rPr>
                <w:rFonts w:ascii="宋体" w:hAnsi="宋体" w:eastAsia="宋体" w:cs="宋体"/>
                <w:sz w:val="17"/>
                <w:szCs w:val="17"/>
              </w:rPr>
              <w:t xml:space="preserve"> </w:t>
            </w:r>
            <w:r>
              <w:rPr>
                <w:rFonts w:ascii="宋体" w:hAnsi="宋体" w:eastAsia="宋体" w:cs="宋体"/>
                <w:spacing w:val="18"/>
                <w:sz w:val="17"/>
                <w:szCs w:val="17"/>
              </w:rPr>
              <w:t>与</w:t>
            </w:r>
            <w:r>
              <w:rPr>
                <w:rFonts w:ascii="宋体" w:hAnsi="宋体" w:eastAsia="宋体" w:cs="宋体"/>
                <w:spacing w:val="9"/>
                <w:sz w:val="17"/>
                <w:szCs w:val="17"/>
              </w:rPr>
              <w:t>结构；优化产业空间布局，构建清洁能源体系</w:t>
            </w:r>
          </w:p>
        </w:tc>
        <w:tc>
          <w:tcPr>
            <w:tcW w:w="1038" w:type="dxa"/>
            <w:vAlign w:val="top"/>
          </w:tcPr>
          <w:p>
            <w:pPr>
              <w:spacing w:before="213" w:line="317" w:lineRule="auto"/>
              <w:ind w:left="17" w:hanging="1"/>
              <w:rPr>
                <w:rFonts w:ascii="宋体" w:hAnsi="宋体" w:eastAsia="宋体" w:cs="宋体"/>
                <w:sz w:val="17"/>
                <w:szCs w:val="17"/>
              </w:rPr>
            </w:pPr>
            <w:r>
              <w:rPr>
                <w:rFonts w:ascii="宋体" w:hAnsi="宋体" w:eastAsia="宋体" w:cs="宋体"/>
                <w:spacing w:val="-22"/>
                <w:sz w:val="17"/>
                <w:szCs w:val="17"/>
              </w:rPr>
              <w:t>项</w:t>
            </w:r>
            <w:r>
              <w:rPr>
                <w:rFonts w:ascii="宋体" w:hAnsi="宋体" w:eastAsia="宋体" w:cs="宋体"/>
                <w:spacing w:val="-19"/>
                <w:sz w:val="17"/>
                <w:szCs w:val="17"/>
              </w:rPr>
              <w:t xml:space="preserve"> 目 符 合 城</w:t>
            </w:r>
            <w:r>
              <w:rPr>
                <w:rFonts w:ascii="宋体" w:hAnsi="宋体" w:eastAsia="宋体" w:cs="宋体"/>
                <w:sz w:val="17"/>
                <w:szCs w:val="17"/>
              </w:rPr>
              <w:t xml:space="preserve"> </w:t>
            </w:r>
            <w:r>
              <w:rPr>
                <w:rFonts w:ascii="宋体" w:hAnsi="宋体" w:eastAsia="宋体" w:cs="宋体"/>
                <w:spacing w:val="7"/>
                <w:sz w:val="17"/>
                <w:szCs w:val="17"/>
              </w:rPr>
              <w:t>市空间布局</w:t>
            </w:r>
          </w:p>
        </w:tc>
        <w:tc>
          <w:tcPr>
            <w:tcW w:w="412" w:type="dxa"/>
            <w:vAlign w:val="top"/>
          </w:tcPr>
          <w:p>
            <w:pPr>
              <w:rPr>
                <w:rFonts w:ascii="Arial"/>
                <w:sz w:val="21"/>
              </w:rPr>
            </w:pPr>
          </w:p>
        </w:tc>
        <w:tc>
          <w:tcPr>
            <w:tcW w:w="2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25" w:hRule="atLeast"/>
        </w:trPr>
        <w:tc>
          <w:tcPr>
            <w:tcW w:w="714" w:type="dxa"/>
            <w:vMerge w:val="continue"/>
            <w:tcBorders>
              <w:top w:val="nil"/>
              <w:left w:val="single" w:color="000000" w:sz="6" w:space="0"/>
              <w:bottom w:val="nil"/>
            </w:tcBorders>
            <w:vAlign w:val="top"/>
          </w:tcPr>
          <w:p>
            <w:pPr>
              <w:rPr>
                <w:rFonts w:ascii="Arial"/>
                <w:sz w:val="21"/>
              </w:rPr>
            </w:pPr>
          </w:p>
        </w:tc>
        <w:tc>
          <w:tcPr>
            <w:tcW w:w="213" w:type="dxa"/>
            <w:vMerge w:val="continue"/>
            <w:tcBorders>
              <w:top w:val="nil"/>
              <w:bottom w:val="nil"/>
            </w:tcBorders>
            <w:vAlign w:val="top"/>
          </w:tcPr>
          <w:p>
            <w:pPr>
              <w:rPr>
                <w:rFonts w:ascii="Arial"/>
                <w:sz w:val="21"/>
              </w:rPr>
            </w:pPr>
          </w:p>
        </w:tc>
        <w:tc>
          <w:tcPr>
            <w:tcW w:w="556" w:type="dxa"/>
            <w:vMerge w:val="continue"/>
            <w:tcBorders>
              <w:top w:val="nil"/>
              <w:bottom w:val="nil"/>
            </w:tcBorders>
            <w:vAlign w:val="top"/>
          </w:tcPr>
          <w:p>
            <w:pPr>
              <w:rPr>
                <w:rFonts w:ascii="Arial"/>
                <w:sz w:val="21"/>
              </w:rPr>
            </w:pPr>
          </w:p>
        </w:tc>
        <w:tc>
          <w:tcPr>
            <w:tcW w:w="283" w:type="dxa"/>
            <w:vMerge w:val="continue"/>
            <w:tcBorders>
              <w:top w:val="nil"/>
              <w:bottom w:val="nil"/>
            </w:tcBorders>
            <w:textDirection w:val="tbRlV"/>
            <w:vAlign w:val="top"/>
          </w:tcPr>
          <w:p>
            <w:pPr>
              <w:rPr>
                <w:rFonts w:ascii="Arial"/>
                <w:sz w:val="21"/>
              </w:rPr>
            </w:pPr>
          </w:p>
        </w:tc>
        <w:tc>
          <w:tcPr>
            <w:tcW w:w="404" w:type="dxa"/>
            <w:vAlign w:val="top"/>
          </w:tcPr>
          <w:p>
            <w:pPr>
              <w:spacing w:before="74" w:line="231" w:lineRule="auto"/>
              <w:ind w:left="23"/>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污</w:t>
            </w:r>
            <w:r>
              <w:rPr>
                <w:rFonts w:ascii="宋体" w:hAnsi="宋体" w:eastAsia="宋体" w:cs="宋体"/>
                <w:spacing w:val="5"/>
                <w:sz w:val="17"/>
                <w:szCs w:val="17"/>
                <w14:textOutline w14:w="3268" w14:cap="sq" w14:cmpd="sng">
                  <w14:solidFill>
                    <w14:srgbClr w14:val="000000"/>
                  </w14:solidFill>
                  <w14:prstDash w14:val="solid"/>
                  <w14:bevel/>
                </w14:textOutline>
              </w:rPr>
              <w:t>染</w:t>
            </w:r>
          </w:p>
          <w:p>
            <w:pPr>
              <w:spacing w:before="65" w:line="232" w:lineRule="auto"/>
              <w:ind w:left="21"/>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物排</w:t>
            </w:r>
          </w:p>
          <w:p>
            <w:pPr>
              <w:spacing w:before="67" w:line="230" w:lineRule="auto"/>
              <w:ind w:left="21"/>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放管</w:t>
            </w:r>
          </w:p>
          <w:p>
            <w:pPr>
              <w:spacing w:before="68" w:line="228" w:lineRule="auto"/>
              <w:ind w:left="109"/>
              <w:rPr>
                <w:rFonts w:ascii="宋体" w:hAnsi="宋体" w:eastAsia="宋体" w:cs="宋体"/>
                <w:sz w:val="17"/>
                <w:szCs w:val="17"/>
              </w:rPr>
            </w:pPr>
            <w:r>
              <w:rPr>
                <w:rFonts w:ascii="宋体" w:hAnsi="宋体" w:eastAsia="宋体" w:cs="宋体"/>
                <w:spacing w:val="3"/>
                <w:sz w:val="17"/>
                <w:szCs w:val="17"/>
                <w14:textOutline w14:w="3268" w14:cap="sq" w14:cmpd="sng">
                  <w14:solidFill>
                    <w14:srgbClr w14:val="000000"/>
                  </w14:solidFill>
                  <w14:prstDash w14:val="solid"/>
                  <w14:bevel/>
                </w14:textOutline>
              </w:rPr>
              <w:t>控</w:t>
            </w:r>
          </w:p>
        </w:tc>
        <w:tc>
          <w:tcPr>
            <w:tcW w:w="5093" w:type="dxa"/>
            <w:vAlign w:val="top"/>
          </w:tcPr>
          <w:p>
            <w:pPr>
              <w:spacing w:line="408" w:lineRule="auto"/>
              <w:rPr>
                <w:rFonts w:ascii="Arial"/>
                <w:sz w:val="21"/>
              </w:rPr>
            </w:pPr>
          </w:p>
          <w:p>
            <w:pPr>
              <w:spacing w:before="49" w:line="242" w:lineRule="exact"/>
              <w:ind w:left="251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038" w:type="dxa"/>
            <w:vAlign w:val="top"/>
          </w:tcPr>
          <w:p>
            <w:pPr>
              <w:spacing w:line="408" w:lineRule="auto"/>
              <w:rPr>
                <w:rFonts w:ascii="Arial"/>
                <w:sz w:val="21"/>
              </w:rPr>
            </w:pPr>
          </w:p>
          <w:p>
            <w:pPr>
              <w:spacing w:before="49" w:line="242" w:lineRule="exact"/>
              <w:ind w:left="496"/>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412" w:type="dxa"/>
            <w:vAlign w:val="top"/>
          </w:tcPr>
          <w:p>
            <w:pPr>
              <w:spacing w:line="408" w:lineRule="auto"/>
              <w:rPr>
                <w:rFonts w:ascii="Arial"/>
                <w:sz w:val="21"/>
              </w:rPr>
            </w:pPr>
          </w:p>
          <w:p>
            <w:pPr>
              <w:spacing w:before="49" w:line="242" w:lineRule="exact"/>
              <w:ind w:left="18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2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45" w:hRule="atLeast"/>
        </w:trPr>
        <w:tc>
          <w:tcPr>
            <w:tcW w:w="714" w:type="dxa"/>
            <w:vMerge w:val="continue"/>
            <w:tcBorders>
              <w:top w:val="nil"/>
              <w:left w:val="single" w:color="000000" w:sz="6" w:space="0"/>
              <w:bottom w:val="nil"/>
            </w:tcBorders>
            <w:vAlign w:val="top"/>
          </w:tcPr>
          <w:p>
            <w:pPr>
              <w:rPr>
                <w:rFonts w:ascii="Arial"/>
                <w:sz w:val="21"/>
              </w:rPr>
            </w:pPr>
          </w:p>
        </w:tc>
        <w:tc>
          <w:tcPr>
            <w:tcW w:w="213" w:type="dxa"/>
            <w:vMerge w:val="continue"/>
            <w:tcBorders>
              <w:top w:val="nil"/>
              <w:bottom w:val="nil"/>
            </w:tcBorders>
            <w:vAlign w:val="top"/>
          </w:tcPr>
          <w:p>
            <w:pPr>
              <w:rPr>
                <w:rFonts w:ascii="Arial"/>
                <w:sz w:val="21"/>
              </w:rPr>
            </w:pPr>
          </w:p>
        </w:tc>
        <w:tc>
          <w:tcPr>
            <w:tcW w:w="556" w:type="dxa"/>
            <w:vMerge w:val="continue"/>
            <w:tcBorders>
              <w:top w:val="nil"/>
              <w:bottom w:val="nil"/>
            </w:tcBorders>
            <w:vAlign w:val="top"/>
          </w:tcPr>
          <w:p>
            <w:pPr>
              <w:rPr>
                <w:rFonts w:ascii="Arial"/>
                <w:sz w:val="21"/>
              </w:rPr>
            </w:pPr>
          </w:p>
        </w:tc>
        <w:tc>
          <w:tcPr>
            <w:tcW w:w="283" w:type="dxa"/>
            <w:vMerge w:val="continue"/>
            <w:tcBorders>
              <w:top w:val="nil"/>
              <w:bottom w:val="nil"/>
            </w:tcBorders>
            <w:textDirection w:val="tbRlV"/>
            <w:vAlign w:val="top"/>
          </w:tcPr>
          <w:p>
            <w:pPr>
              <w:rPr>
                <w:rFonts w:ascii="Arial"/>
                <w:sz w:val="21"/>
              </w:rPr>
            </w:pPr>
          </w:p>
        </w:tc>
        <w:tc>
          <w:tcPr>
            <w:tcW w:w="404" w:type="dxa"/>
            <w:vAlign w:val="top"/>
          </w:tcPr>
          <w:p>
            <w:pPr>
              <w:spacing w:before="74" w:line="279" w:lineRule="auto"/>
              <w:ind w:left="21" w:right="24"/>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环境</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风险</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防控</w:t>
            </w:r>
          </w:p>
        </w:tc>
        <w:tc>
          <w:tcPr>
            <w:tcW w:w="5093" w:type="dxa"/>
            <w:vAlign w:val="top"/>
          </w:tcPr>
          <w:p>
            <w:pPr>
              <w:spacing w:line="270" w:lineRule="auto"/>
              <w:rPr>
                <w:rFonts w:ascii="Arial"/>
                <w:sz w:val="21"/>
              </w:rPr>
            </w:pPr>
          </w:p>
          <w:p>
            <w:pPr>
              <w:spacing w:before="49" w:line="242" w:lineRule="exact"/>
              <w:ind w:left="251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038" w:type="dxa"/>
            <w:vAlign w:val="top"/>
          </w:tcPr>
          <w:p>
            <w:pPr>
              <w:spacing w:line="270" w:lineRule="auto"/>
              <w:rPr>
                <w:rFonts w:ascii="Arial"/>
                <w:sz w:val="21"/>
              </w:rPr>
            </w:pPr>
          </w:p>
          <w:p>
            <w:pPr>
              <w:spacing w:before="49" w:line="242" w:lineRule="exact"/>
              <w:ind w:left="496"/>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412" w:type="dxa"/>
            <w:vAlign w:val="top"/>
          </w:tcPr>
          <w:p>
            <w:pPr>
              <w:spacing w:line="270" w:lineRule="auto"/>
              <w:rPr>
                <w:rFonts w:ascii="Arial"/>
                <w:sz w:val="21"/>
              </w:rPr>
            </w:pPr>
          </w:p>
          <w:p>
            <w:pPr>
              <w:spacing w:before="49" w:line="242" w:lineRule="exact"/>
              <w:ind w:left="18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2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25" w:hRule="atLeast"/>
        </w:trPr>
        <w:tc>
          <w:tcPr>
            <w:tcW w:w="714" w:type="dxa"/>
            <w:vMerge w:val="continue"/>
            <w:tcBorders>
              <w:top w:val="nil"/>
              <w:left w:val="single" w:color="000000" w:sz="6" w:space="0"/>
              <w:bottom w:val="nil"/>
            </w:tcBorders>
            <w:vAlign w:val="top"/>
          </w:tcPr>
          <w:p>
            <w:pPr>
              <w:rPr>
                <w:rFonts w:ascii="Arial"/>
                <w:sz w:val="21"/>
              </w:rPr>
            </w:pPr>
          </w:p>
        </w:tc>
        <w:tc>
          <w:tcPr>
            <w:tcW w:w="213" w:type="dxa"/>
            <w:vMerge w:val="continue"/>
            <w:tcBorders>
              <w:top w:val="nil"/>
              <w:bottom w:val="nil"/>
            </w:tcBorders>
            <w:vAlign w:val="top"/>
          </w:tcPr>
          <w:p>
            <w:pPr>
              <w:rPr>
                <w:rFonts w:ascii="Arial"/>
                <w:sz w:val="21"/>
              </w:rPr>
            </w:pPr>
          </w:p>
        </w:tc>
        <w:tc>
          <w:tcPr>
            <w:tcW w:w="556" w:type="dxa"/>
            <w:vMerge w:val="continue"/>
            <w:tcBorders>
              <w:top w:val="nil"/>
            </w:tcBorders>
            <w:vAlign w:val="top"/>
          </w:tcPr>
          <w:p>
            <w:pPr>
              <w:rPr>
                <w:rFonts w:ascii="Arial"/>
                <w:sz w:val="21"/>
              </w:rPr>
            </w:pPr>
          </w:p>
        </w:tc>
        <w:tc>
          <w:tcPr>
            <w:tcW w:w="283" w:type="dxa"/>
            <w:vMerge w:val="continue"/>
            <w:tcBorders>
              <w:top w:val="nil"/>
            </w:tcBorders>
            <w:textDirection w:val="tbRlV"/>
            <w:vAlign w:val="top"/>
          </w:tcPr>
          <w:p>
            <w:pPr>
              <w:rPr>
                <w:rFonts w:ascii="Arial"/>
                <w:sz w:val="21"/>
              </w:rPr>
            </w:pPr>
          </w:p>
        </w:tc>
        <w:tc>
          <w:tcPr>
            <w:tcW w:w="404" w:type="dxa"/>
            <w:vAlign w:val="top"/>
          </w:tcPr>
          <w:p>
            <w:pPr>
              <w:spacing w:before="75" w:line="285" w:lineRule="auto"/>
              <w:ind w:left="22" w:right="24" w:firstLine="7"/>
              <w:rPr>
                <w:rFonts w:ascii="宋体" w:hAnsi="宋体" w:eastAsia="宋体" w:cs="宋体"/>
                <w:sz w:val="17"/>
                <w:szCs w:val="17"/>
              </w:rPr>
            </w:pPr>
            <w:r>
              <w:rPr>
                <w:rFonts w:ascii="宋体" w:hAnsi="宋体" w:eastAsia="宋体" w:cs="宋体"/>
                <w:spacing w:val="3"/>
                <w:sz w:val="17"/>
                <w:szCs w:val="17"/>
                <w14:textOutline w14:w="3268" w14:cap="sq" w14:cmpd="sng">
                  <w14:solidFill>
                    <w14:srgbClr w14:val="000000"/>
                  </w14:solidFill>
                  <w14:prstDash w14:val="solid"/>
                  <w14:bevel/>
                </w14:textOutline>
              </w:rPr>
              <w:t>资</w:t>
            </w:r>
            <w:r>
              <w:rPr>
                <w:rFonts w:ascii="宋体" w:hAnsi="宋体" w:eastAsia="宋体" w:cs="宋体"/>
                <w:spacing w:val="2"/>
                <w:sz w:val="17"/>
                <w:szCs w:val="17"/>
                <w14:textOutline w14:w="3268" w14:cap="sq" w14:cmpd="sng">
                  <w14:solidFill>
                    <w14:srgbClr w14:val="000000"/>
                  </w14:solidFill>
                  <w14:prstDash w14:val="solid"/>
                  <w14:bevel/>
                </w14:textOutline>
              </w:rPr>
              <w:t>源</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开发</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效率</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要求</w:t>
            </w:r>
          </w:p>
        </w:tc>
        <w:tc>
          <w:tcPr>
            <w:tcW w:w="5093" w:type="dxa"/>
            <w:vAlign w:val="top"/>
          </w:tcPr>
          <w:p>
            <w:pPr>
              <w:spacing w:before="214" w:line="230" w:lineRule="auto"/>
              <w:ind w:left="16"/>
              <w:rPr>
                <w:rFonts w:ascii="宋体" w:hAnsi="宋体" w:eastAsia="宋体" w:cs="宋体"/>
                <w:sz w:val="17"/>
                <w:szCs w:val="17"/>
              </w:rPr>
            </w:pPr>
            <w:r>
              <w:rPr>
                <w:rFonts w:ascii="宋体" w:hAnsi="宋体" w:eastAsia="宋体" w:cs="宋体"/>
                <w:spacing w:val="22"/>
                <w:sz w:val="17"/>
                <w:szCs w:val="17"/>
              </w:rPr>
              <w:t>(</w:t>
            </w:r>
            <w:r>
              <w:rPr>
                <w:rFonts w:ascii="Times New Roman" w:hAnsi="Times New Roman" w:eastAsia="Times New Roman" w:cs="Times New Roman"/>
                <w:spacing w:val="13"/>
                <w:sz w:val="17"/>
                <w:szCs w:val="17"/>
              </w:rPr>
              <w:t>1</w:t>
            </w:r>
            <w:r>
              <w:rPr>
                <w:rFonts w:ascii="宋体" w:hAnsi="宋体" w:eastAsia="宋体" w:cs="宋体"/>
                <w:spacing w:val="13"/>
                <w:sz w:val="17"/>
                <w:szCs w:val="17"/>
              </w:rPr>
              <w:t>) 土地资源开发效率要求</w:t>
            </w:r>
          </w:p>
          <w:p>
            <w:pPr>
              <w:spacing w:before="69" w:line="230" w:lineRule="auto"/>
              <w:ind w:left="16"/>
              <w:rPr>
                <w:rFonts w:ascii="宋体" w:hAnsi="宋体" w:eastAsia="宋体" w:cs="宋体"/>
                <w:sz w:val="17"/>
                <w:szCs w:val="17"/>
              </w:rPr>
            </w:pPr>
            <w:r>
              <w:rPr>
                <w:rFonts w:ascii="宋体" w:hAnsi="宋体" w:eastAsia="宋体" w:cs="宋体"/>
                <w:spacing w:val="22"/>
                <w:sz w:val="17"/>
                <w:szCs w:val="17"/>
              </w:rPr>
              <w:t>(</w:t>
            </w:r>
            <w:r>
              <w:rPr>
                <w:rFonts w:ascii="Times New Roman" w:hAnsi="Times New Roman" w:eastAsia="Times New Roman" w:cs="Times New Roman"/>
                <w:spacing w:val="13"/>
                <w:sz w:val="17"/>
                <w:szCs w:val="17"/>
              </w:rPr>
              <w:t>2</w:t>
            </w:r>
            <w:r>
              <w:rPr>
                <w:rFonts w:ascii="宋体" w:hAnsi="宋体" w:eastAsia="宋体" w:cs="宋体"/>
                <w:spacing w:val="13"/>
                <w:sz w:val="17"/>
                <w:szCs w:val="17"/>
              </w:rPr>
              <w:t>) 能源资源开发效率要求</w:t>
            </w:r>
          </w:p>
          <w:p>
            <w:pPr>
              <w:spacing w:before="66" w:line="230" w:lineRule="auto"/>
              <w:ind w:left="16"/>
              <w:rPr>
                <w:rFonts w:ascii="宋体" w:hAnsi="宋体" w:eastAsia="宋体" w:cs="宋体"/>
                <w:sz w:val="17"/>
                <w:szCs w:val="17"/>
              </w:rPr>
            </w:pPr>
            <w:r>
              <w:rPr>
                <w:rFonts w:ascii="宋体" w:hAnsi="宋体" w:eastAsia="宋体" w:cs="宋体"/>
                <w:spacing w:val="22"/>
                <w:sz w:val="17"/>
                <w:szCs w:val="17"/>
              </w:rPr>
              <w:t>(</w:t>
            </w:r>
            <w:r>
              <w:rPr>
                <w:rFonts w:ascii="Times New Roman" w:hAnsi="Times New Roman" w:eastAsia="Times New Roman" w:cs="Times New Roman"/>
                <w:spacing w:val="13"/>
                <w:sz w:val="17"/>
                <w:szCs w:val="17"/>
              </w:rPr>
              <w:t>3</w:t>
            </w:r>
            <w:r>
              <w:rPr>
                <w:rFonts w:ascii="宋体" w:hAnsi="宋体" w:eastAsia="宋体" w:cs="宋体"/>
                <w:spacing w:val="13"/>
                <w:sz w:val="17"/>
                <w:szCs w:val="17"/>
              </w:rPr>
              <w:t>) 其他资源开发效率要求</w:t>
            </w:r>
          </w:p>
        </w:tc>
        <w:tc>
          <w:tcPr>
            <w:tcW w:w="1038" w:type="dxa"/>
            <w:vAlign w:val="top"/>
          </w:tcPr>
          <w:p>
            <w:pPr>
              <w:spacing w:before="213" w:line="312" w:lineRule="auto"/>
              <w:ind w:left="76" w:hanging="63"/>
              <w:rPr>
                <w:rFonts w:ascii="宋体" w:hAnsi="宋体" w:eastAsia="宋体" w:cs="宋体"/>
                <w:sz w:val="17"/>
                <w:szCs w:val="17"/>
              </w:rPr>
            </w:pPr>
            <w:r>
              <w:rPr>
                <w:rFonts w:ascii="宋体" w:hAnsi="宋体" w:eastAsia="宋体" w:cs="宋体"/>
                <w:spacing w:val="-1"/>
                <w:sz w:val="17"/>
                <w:szCs w:val="17"/>
              </w:rPr>
              <w:t>满</w:t>
            </w:r>
            <w:r>
              <w:rPr>
                <w:rFonts w:ascii="宋体" w:hAnsi="宋体" w:eastAsia="宋体" w:cs="宋体"/>
                <w:sz w:val="17"/>
                <w:szCs w:val="17"/>
              </w:rPr>
              <w:t xml:space="preserve">足土地、能 </w:t>
            </w:r>
            <w:r>
              <w:rPr>
                <w:rFonts w:ascii="宋体" w:hAnsi="宋体" w:eastAsia="宋体" w:cs="宋体"/>
                <w:spacing w:val="9"/>
                <w:sz w:val="17"/>
                <w:szCs w:val="17"/>
              </w:rPr>
              <w:t>源</w:t>
            </w:r>
            <w:r>
              <w:rPr>
                <w:rFonts w:ascii="宋体" w:hAnsi="宋体" w:eastAsia="宋体" w:cs="宋体"/>
                <w:spacing w:val="8"/>
                <w:sz w:val="17"/>
                <w:szCs w:val="17"/>
              </w:rPr>
              <w:t>等资源开</w:t>
            </w:r>
            <w:r>
              <w:rPr>
                <w:rFonts w:ascii="宋体" w:hAnsi="宋体" w:eastAsia="宋体" w:cs="宋体"/>
                <w:sz w:val="17"/>
                <w:szCs w:val="17"/>
              </w:rPr>
              <w:t xml:space="preserve"> </w:t>
            </w:r>
            <w:r>
              <w:rPr>
                <w:rFonts w:ascii="宋体" w:hAnsi="宋体" w:eastAsia="宋体" w:cs="宋体"/>
                <w:spacing w:val="9"/>
                <w:sz w:val="17"/>
                <w:szCs w:val="17"/>
              </w:rPr>
              <w:t>发</w:t>
            </w:r>
            <w:r>
              <w:rPr>
                <w:rFonts w:ascii="宋体" w:hAnsi="宋体" w:eastAsia="宋体" w:cs="宋体"/>
                <w:spacing w:val="8"/>
                <w:sz w:val="17"/>
                <w:szCs w:val="17"/>
              </w:rPr>
              <w:t>效率要求</w:t>
            </w:r>
          </w:p>
        </w:tc>
        <w:tc>
          <w:tcPr>
            <w:tcW w:w="412" w:type="dxa"/>
            <w:vAlign w:val="top"/>
          </w:tcPr>
          <w:p>
            <w:pPr>
              <w:spacing w:line="408" w:lineRule="auto"/>
              <w:rPr>
                <w:rFonts w:ascii="Arial"/>
                <w:sz w:val="21"/>
              </w:rPr>
            </w:pPr>
          </w:p>
          <w:p>
            <w:pPr>
              <w:spacing w:before="49" w:line="242" w:lineRule="exact"/>
              <w:ind w:left="18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222"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537" w:hRule="atLeast"/>
        </w:trPr>
        <w:tc>
          <w:tcPr>
            <w:tcW w:w="714" w:type="dxa"/>
            <w:vMerge w:val="continue"/>
            <w:tcBorders>
              <w:top w:val="nil"/>
              <w:left w:val="single" w:color="000000" w:sz="6" w:space="0"/>
            </w:tcBorders>
            <w:vAlign w:val="top"/>
          </w:tcPr>
          <w:p>
            <w:pPr>
              <w:rPr>
                <w:rFonts w:ascii="Arial"/>
                <w:sz w:val="21"/>
              </w:rPr>
            </w:pPr>
          </w:p>
        </w:tc>
        <w:tc>
          <w:tcPr>
            <w:tcW w:w="8221" w:type="dxa"/>
            <w:gridSpan w:val="8"/>
            <w:tcBorders>
              <w:right w:val="single" w:color="000000" w:sz="6" w:space="0"/>
            </w:tcBorders>
            <w:vAlign w:val="top"/>
          </w:tcPr>
          <w:p>
            <w:pPr>
              <w:spacing w:before="143" w:line="227" w:lineRule="auto"/>
              <w:ind w:left="491"/>
              <w:rPr>
                <w:rFonts w:ascii="宋体" w:hAnsi="宋体" w:eastAsia="宋体" w:cs="宋体"/>
                <w:sz w:val="20"/>
                <w:szCs w:val="20"/>
              </w:rPr>
            </w:pPr>
            <w:r>
              <w:rPr>
                <w:rFonts w:ascii="宋体" w:hAnsi="宋体" w:eastAsia="宋体" w:cs="宋体"/>
                <w:spacing w:val="9"/>
                <w:sz w:val="20"/>
                <w:szCs w:val="20"/>
              </w:rPr>
              <w:t>综上分析，本项目建设符合</w:t>
            </w:r>
            <w:r>
              <w:rPr>
                <w:rFonts w:ascii="Times New Roman" w:hAnsi="Times New Roman" w:eastAsia="Times New Roman" w:cs="Times New Roman"/>
                <w:spacing w:val="9"/>
                <w:sz w:val="20"/>
                <w:szCs w:val="20"/>
              </w:rPr>
              <w:t>“</w:t>
            </w:r>
            <w:r>
              <w:rPr>
                <w:rFonts w:ascii="宋体" w:hAnsi="宋体" w:eastAsia="宋体" w:cs="宋体"/>
                <w:spacing w:val="9"/>
                <w:sz w:val="20"/>
                <w:szCs w:val="20"/>
              </w:rPr>
              <w:t>三线一单</w:t>
            </w:r>
            <w:r>
              <w:rPr>
                <w:rFonts w:ascii="Times New Roman" w:hAnsi="Times New Roman" w:eastAsia="Times New Roman" w:cs="Times New Roman"/>
                <w:spacing w:val="9"/>
                <w:sz w:val="20"/>
                <w:szCs w:val="20"/>
              </w:rPr>
              <w:t>”</w:t>
            </w:r>
            <w:r>
              <w:rPr>
                <w:rFonts w:ascii="宋体" w:hAnsi="宋体" w:eastAsia="宋体" w:cs="宋体"/>
                <w:spacing w:val="9"/>
                <w:sz w:val="20"/>
                <w:szCs w:val="20"/>
              </w:rPr>
              <w:t>管控机制要求，项目建设可行</w:t>
            </w:r>
            <w:r>
              <w:rPr>
                <w:rFonts w:ascii="宋体" w:hAnsi="宋体" w:eastAsia="宋体" w:cs="宋体"/>
                <w:spacing w:val="6"/>
                <w:sz w:val="20"/>
                <w:szCs w:val="20"/>
              </w:rPr>
              <w:t>。</w:t>
            </w:r>
          </w:p>
          <w:p>
            <w:pPr>
              <w:spacing w:before="154" w:line="242" w:lineRule="auto"/>
              <w:ind w:left="64"/>
              <w:rPr>
                <w:rFonts w:ascii="黑体" w:hAnsi="黑体" w:eastAsia="黑体" w:cs="黑体"/>
                <w:sz w:val="20"/>
                <w:szCs w:val="20"/>
              </w:rPr>
            </w:pPr>
            <w:r>
              <w:rPr>
                <w:rFonts w:ascii="Times New Roman" w:hAnsi="Times New Roman" w:eastAsia="Times New Roman" w:cs="Times New Roman"/>
                <w:spacing w:val="10"/>
                <w:sz w:val="20"/>
                <w:szCs w:val="20"/>
              </w:rPr>
              <w:t xml:space="preserve">4 </w:t>
            </w:r>
            <w:r>
              <w:rPr>
                <w:rFonts w:ascii="黑体" w:hAnsi="黑体" w:eastAsia="黑体" w:cs="黑体"/>
                <w:spacing w:val="5"/>
                <w:sz w:val="20"/>
                <w:szCs w:val="20"/>
              </w:rPr>
              <w:t>、与相关法律法规的符合性分析</w:t>
            </w:r>
          </w:p>
          <w:p>
            <w:pPr>
              <w:spacing w:before="136" w:line="230" w:lineRule="auto"/>
              <w:ind w:left="499"/>
              <w:rPr>
                <w:rFonts w:ascii="宋体" w:hAnsi="宋体" w:eastAsia="宋体" w:cs="宋体"/>
                <w:sz w:val="20"/>
                <w:szCs w:val="20"/>
              </w:rPr>
            </w:pPr>
            <w:r>
              <w:rPr>
                <w:rFonts w:ascii="宋体" w:hAnsi="宋体" w:eastAsia="宋体" w:cs="宋体"/>
                <w:spacing w:val="20"/>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3"/>
                <w:sz w:val="20"/>
                <w:szCs w:val="20"/>
              </w:rPr>
              <w:t>1</w:t>
            </w:r>
            <w:r>
              <w:rPr>
                <w:rFonts w:ascii="宋体" w:hAnsi="宋体" w:eastAsia="宋体" w:cs="宋体"/>
                <w:spacing w:val="13"/>
                <w:sz w:val="20"/>
                <w:szCs w:val="20"/>
                <w14:textOutline w14:w="3795" w14:cap="sq" w14:cmpd="sng">
                  <w14:solidFill>
                    <w14:srgbClr w14:val="000000"/>
                  </w14:solidFill>
                  <w14:prstDash w14:val="solid"/>
                  <w14:bevel/>
                </w14:textOutline>
              </w:rPr>
              <w:t>)</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与《中华人民共和国长江保护法》符合性分析</w:t>
            </w:r>
          </w:p>
          <w:p>
            <w:pPr>
              <w:spacing w:before="152" w:line="367" w:lineRule="auto"/>
              <w:ind w:left="69" w:right="66" w:firstLine="454"/>
              <w:rPr>
                <w:rFonts w:ascii="宋体" w:hAnsi="宋体" w:eastAsia="宋体" w:cs="宋体"/>
                <w:sz w:val="20"/>
                <w:szCs w:val="20"/>
              </w:rPr>
            </w:pPr>
            <w:r>
              <w:rPr>
                <w:rFonts w:ascii="宋体" w:hAnsi="宋体" w:eastAsia="宋体" w:cs="宋体"/>
                <w:spacing w:val="10"/>
                <w:sz w:val="20"/>
                <w:szCs w:val="20"/>
              </w:rPr>
              <w:t>自</w:t>
            </w:r>
            <w:r>
              <w:rPr>
                <w:rFonts w:ascii="Times New Roman" w:hAnsi="Times New Roman" w:eastAsia="Times New Roman" w:cs="Times New Roman"/>
                <w:spacing w:val="10"/>
                <w:sz w:val="20"/>
                <w:szCs w:val="20"/>
              </w:rPr>
              <w:t>202</w:t>
            </w:r>
            <w:r>
              <w:rPr>
                <w:rFonts w:ascii="Times New Roman" w:hAnsi="Times New Roman" w:eastAsia="Times New Roman" w:cs="Times New Roman"/>
                <w:spacing w:val="5"/>
                <w:sz w:val="20"/>
                <w:szCs w:val="20"/>
              </w:rPr>
              <w:t>1</w:t>
            </w:r>
            <w:r>
              <w:rPr>
                <w:rFonts w:ascii="宋体" w:hAnsi="宋体" w:eastAsia="宋体" w:cs="宋体"/>
                <w:spacing w:val="5"/>
                <w:sz w:val="20"/>
                <w:szCs w:val="20"/>
              </w:rPr>
              <w:t>年</w:t>
            </w:r>
            <w:r>
              <w:rPr>
                <w:rFonts w:ascii="Times New Roman" w:hAnsi="Times New Roman" w:eastAsia="Times New Roman" w:cs="Times New Roman"/>
                <w:spacing w:val="5"/>
                <w:sz w:val="20"/>
                <w:szCs w:val="20"/>
              </w:rPr>
              <w:t>3</w:t>
            </w:r>
            <w:r>
              <w:rPr>
                <w:rFonts w:ascii="宋体" w:hAnsi="宋体" w:eastAsia="宋体" w:cs="宋体"/>
                <w:spacing w:val="5"/>
                <w:sz w:val="20"/>
                <w:szCs w:val="20"/>
              </w:rPr>
              <w:t>月</w:t>
            </w:r>
            <w:r>
              <w:rPr>
                <w:rFonts w:ascii="Times New Roman" w:hAnsi="Times New Roman" w:eastAsia="Times New Roman" w:cs="Times New Roman"/>
                <w:spacing w:val="5"/>
                <w:sz w:val="20"/>
                <w:szCs w:val="20"/>
              </w:rPr>
              <w:t>1</w:t>
            </w:r>
            <w:r>
              <w:rPr>
                <w:rFonts w:ascii="宋体" w:hAnsi="宋体" w:eastAsia="宋体" w:cs="宋体"/>
                <w:spacing w:val="5"/>
                <w:sz w:val="20"/>
                <w:szCs w:val="20"/>
              </w:rPr>
              <w:t>日起施行的《中华人民共和国长江保护法》，是为了加强长江流域生态</w:t>
            </w:r>
            <w:r>
              <w:rPr>
                <w:rFonts w:ascii="宋体" w:hAnsi="宋体" w:eastAsia="宋体" w:cs="宋体"/>
                <w:sz w:val="20"/>
                <w:szCs w:val="20"/>
              </w:rPr>
              <w:t xml:space="preserve"> </w:t>
            </w:r>
            <w:r>
              <w:rPr>
                <w:rFonts w:ascii="宋体" w:hAnsi="宋体" w:eastAsia="宋体" w:cs="宋体"/>
                <w:spacing w:val="9"/>
                <w:sz w:val="20"/>
                <w:szCs w:val="20"/>
              </w:rPr>
              <w:t>环</w:t>
            </w:r>
            <w:r>
              <w:rPr>
                <w:rFonts w:ascii="宋体" w:hAnsi="宋体" w:eastAsia="宋体" w:cs="宋体"/>
                <w:spacing w:val="7"/>
                <w:sz w:val="20"/>
                <w:szCs w:val="20"/>
              </w:rPr>
              <w:t>境保护和修复，促进资源合理高效利用，保障生态安全，实现人与自然和谐共生、中华</w:t>
            </w:r>
            <w:r>
              <w:rPr>
                <w:rFonts w:ascii="宋体" w:hAnsi="宋体" w:eastAsia="宋体" w:cs="宋体"/>
                <w:sz w:val="20"/>
                <w:szCs w:val="20"/>
              </w:rPr>
              <w:t xml:space="preserve"> </w:t>
            </w:r>
            <w:r>
              <w:rPr>
                <w:rFonts w:ascii="宋体" w:hAnsi="宋体" w:eastAsia="宋体" w:cs="宋体"/>
                <w:spacing w:val="12"/>
                <w:sz w:val="20"/>
                <w:szCs w:val="20"/>
              </w:rPr>
              <w:t>民</w:t>
            </w:r>
            <w:r>
              <w:rPr>
                <w:rFonts w:ascii="宋体" w:hAnsi="宋体" w:eastAsia="宋体" w:cs="宋体"/>
                <w:spacing w:val="8"/>
                <w:sz w:val="20"/>
                <w:szCs w:val="20"/>
              </w:rPr>
              <w:t>族永续发展制定的法律。</w:t>
            </w:r>
          </w:p>
        </w:tc>
      </w:tr>
    </w:tbl>
    <w:p>
      <w:pPr>
        <w:spacing w:line="161" w:lineRule="exact"/>
        <w:rPr>
          <w:rFonts w:ascii="Arial"/>
          <w:sz w:val="14"/>
        </w:rPr>
      </w:pPr>
    </w:p>
    <w:p>
      <w:pPr>
        <w:sectPr>
          <w:footerReference r:id="rId18" w:type="default"/>
          <w:pgSz w:w="11906" w:h="16839"/>
          <w:pgMar w:top="400" w:right="1434" w:bottom="1475" w:left="1521" w:header="0" w:footer="1315" w:gutter="0"/>
          <w:cols w:space="720" w:num="1"/>
        </w:sectPr>
      </w:pPr>
    </w:p>
    <w:p/>
    <w:p/>
    <w:p/>
    <w:p/>
    <w:p>
      <w:pPr>
        <w:spacing w:line="221" w:lineRule="exact"/>
      </w:pPr>
    </w:p>
    <w:tbl>
      <w:tblPr>
        <w:tblStyle w:val="4"/>
        <w:tblW w:w="893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4"/>
        <w:gridCol w:w="82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04" w:hRule="atLeast"/>
        </w:trPr>
        <w:tc>
          <w:tcPr>
            <w:tcW w:w="714" w:type="dxa"/>
            <w:tcBorders>
              <w:left w:val="single" w:color="00000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5" w:line="228"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其</w:t>
            </w:r>
            <w:r>
              <w:rPr>
                <w:rFonts w:ascii="宋体" w:hAnsi="宋体" w:eastAsia="宋体" w:cs="宋体"/>
                <w:spacing w:val="7"/>
                <w:sz w:val="20"/>
                <w:szCs w:val="20"/>
                <w14:textOutline w14:w="3795" w14:cap="sq" w14:cmpd="sng">
                  <w14:solidFill>
                    <w14:srgbClr w14:val="000000"/>
                  </w14:solidFill>
                  <w14:prstDash w14:val="solid"/>
                  <w14:bevel/>
                </w14:textOutline>
              </w:rPr>
              <w:t>他符</w:t>
            </w:r>
          </w:p>
          <w:p>
            <w:pPr>
              <w:spacing w:before="164" w:line="228"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合</w:t>
            </w:r>
            <w:r>
              <w:rPr>
                <w:rFonts w:ascii="宋体" w:hAnsi="宋体" w:eastAsia="宋体" w:cs="宋体"/>
                <w:spacing w:val="7"/>
                <w:sz w:val="20"/>
                <w:szCs w:val="20"/>
                <w14:textOutline w14:w="3795" w14:cap="sq" w14:cmpd="sng">
                  <w14:solidFill>
                    <w14:srgbClr w14:val="000000"/>
                  </w14:solidFill>
                  <w14:prstDash w14:val="solid"/>
                  <w14:bevel/>
                </w14:textOutline>
              </w:rPr>
              <w:t>性分</w:t>
            </w:r>
          </w:p>
          <w:p>
            <w:pPr>
              <w:spacing w:before="160" w:line="228" w:lineRule="auto"/>
              <w:ind w:left="251"/>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析</w:t>
            </w:r>
          </w:p>
        </w:tc>
        <w:tc>
          <w:tcPr>
            <w:tcW w:w="8221" w:type="dxa"/>
            <w:tcBorders>
              <w:right w:val="single" w:color="000000" w:sz="6" w:space="0"/>
            </w:tcBorders>
            <w:vAlign w:val="top"/>
          </w:tcPr>
          <w:p>
            <w:pPr>
              <w:spacing w:before="148" w:line="230" w:lineRule="auto"/>
              <w:ind w:left="1564"/>
              <w:rPr>
                <w:rFonts w:ascii="黑体" w:hAnsi="黑体" w:eastAsia="黑体" w:cs="黑体"/>
                <w:sz w:val="19"/>
                <w:szCs w:val="19"/>
              </w:rPr>
            </w:pPr>
            <w:r>
              <w:rPr>
                <w:rFonts w:ascii="黑体" w:hAnsi="黑体" w:eastAsia="黑体" w:cs="黑体"/>
                <w:spacing w:val="16"/>
                <w:sz w:val="19"/>
                <w:szCs w:val="19"/>
              </w:rPr>
              <w:t>表</w:t>
            </w:r>
            <w:r>
              <w:rPr>
                <w:rFonts w:ascii="Times New Roman" w:hAnsi="Times New Roman" w:eastAsia="Times New Roman" w:cs="Times New Roman"/>
                <w:spacing w:val="9"/>
                <w:sz w:val="19"/>
                <w:szCs w:val="19"/>
              </w:rPr>
              <w:t>5</w:t>
            </w:r>
            <w:r>
              <w:rPr>
                <w:rFonts w:ascii="Times New Roman" w:hAnsi="Times New Roman" w:eastAsia="Times New Roman" w:cs="Times New Roman"/>
                <w:spacing w:val="8"/>
                <w:sz w:val="19"/>
                <w:szCs w:val="19"/>
              </w:rPr>
              <w:t xml:space="preserve">    </w:t>
            </w:r>
            <w:r>
              <w:rPr>
                <w:rFonts w:ascii="黑体" w:hAnsi="黑体" w:eastAsia="黑体" w:cs="黑体"/>
                <w:spacing w:val="8"/>
                <w:sz w:val="19"/>
                <w:szCs w:val="19"/>
              </w:rPr>
              <w:t>项目与《中华人民共和国长江保护法》的符合性分析</w:t>
            </w:r>
          </w:p>
          <w:p>
            <w:pPr>
              <w:spacing w:line="56" w:lineRule="auto"/>
              <w:rPr>
                <w:rFonts w:ascii="Arial"/>
                <w:sz w:val="2"/>
              </w:rPr>
            </w:pPr>
          </w:p>
          <w:tbl>
            <w:tblPr>
              <w:tblStyle w:val="4"/>
              <w:tblW w:w="7722" w:type="dxa"/>
              <w:tblInd w:w="2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1"/>
              <w:gridCol w:w="4535"/>
              <w:gridCol w:w="2136"/>
              <w:gridCol w:w="6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431" w:type="dxa"/>
                  <w:vAlign w:val="top"/>
                </w:tcPr>
                <w:p>
                  <w:pPr>
                    <w:spacing w:before="75" w:line="232" w:lineRule="auto"/>
                    <w:ind w:left="38"/>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序</w:t>
                  </w:r>
                  <w:r>
                    <w:rPr>
                      <w:rFonts w:ascii="宋体" w:hAnsi="宋体" w:eastAsia="宋体" w:cs="宋体"/>
                      <w:spacing w:val="6"/>
                      <w:sz w:val="17"/>
                      <w:szCs w:val="17"/>
                      <w14:textOutline w14:w="3268" w14:cap="sq" w14:cmpd="sng">
                        <w14:solidFill>
                          <w14:srgbClr w14:val="000000"/>
                        </w14:solidFill>
                        <w14:prstDash w14:val="solid"/>
                        <w14:bevel/>
                      </w14:textOutline>
                    </w:rPr>
                    <w:t>号</w:t>
                  </w:r>
                </w:p>
              </w:tc>
              <w:tc>
                <w:tcPr>
                  <w:tcW w:w="4535" w:type="dxa"/>
                  <w:vAlign w:val="top"/>
                </w:tcPr>
                <w:p>
                  <w:pPr>
                    <w:spacing w:before="76" w:line="230" w:lineRule="auto"/>
                    <w:ind w:left="1914"/>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原</w:t>
                  </w:r>
                  <w:r>
                    <w:rPr>
                      <w:rFonts w:ascii="宋体" w:hAnsi="宋体" w:eastAsia="宋体" w:cs="宋体"/>
                      <w:spacing w:val="7"/>
                      <w:sz w:val="17"/>
                      <w:szCs w:val="17"/>
                      <w14:textOutline w14:w="3268" w14:cap="sq" w14:cmpd="sng">
                        <w14:solidFill>
                          <w14:srgbClr w14:val="000000"/>
                        </w14:solidFill>
                        <w14:prstDash w14:val="solid"/>
                        <w14:bevel/>
                      </w14:textOutline>
                    </w:rPr>
                    <w:t>文内容</w:t>
                  </w:r>
                </w:p>
              </w:tc>
              <w:tc>
                <w:tcPr>
                  <w:tcW w:w="2136" w:type="dxa"/>
                  <w:vAlign w:val="top"/>
                </w:tcPr>
                <w:p>
                  <w:pPr>
                    <w:spacing w:before="76" w:line="229" w:lineRule="auto"/>
                    <w:ind w:left="622"/>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本项目情</w:t>
                  </w:r>
                  <w:r>
                    <w:rPr>
                      <w:rFonts w:ascii="宋体" w:hAnsi="宋体" w:eastAsia="宋体" w:cs="宋体"/>
                      <w:spacing w:val="8"/>
                      <w:sz w:val="17"/>
                      <w:szCs w:val="17"/>
                      <w14:textOutline w14:w="3268" w14:cap="sq" w14:cmpd="sng">
                        <w14:solidFill>
                          <w14:srgbClr w14:val="000000"/>
                        </w14:solidFill>
                        <w14:prstDash w14:val="solid"/>
                        <w14:bevel/>
                      </w14:textOutline>
                    </w:rPr>
                    <w:t>况</w:t>
                  </w:r>
                </w:p>
              </w:tc>
              <w:tc>
                <w:tcPr>
                  <w:tcW w:w="620" w:type="dxa"/>
                  <w:vAlign w:val="top"/>
                </w:tcPr>
                <w:p>
                  <w:pPr>
                    <w:spacing w:before="76" w:line="230" w:lineRule="auto"/>
                    <w:ind w:left="45"/>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符合</w:t>
                  </w:r>
                  <w:r>
                    <w:rPr>
                      <w:rFonts w:ascii="宋体" w:hAnsi="宋体" w:eastAsia="宋体" w:cs="宋体"/>
                      <w:spacing w:val="7"/>
                      <w:sz w:val="17"/>
                      <w:szCs w:val="17"/>
                      <w14:textOutline w14:w="3268" w14:cap="sq" w14:cmpd="sng">
                        <w14:solidFill>
                          <w14:srgbClr w14:val="000000"/>
                        </w14:solidFill>
                        <w14:prstDash w14:val="solid"/>
                        <w14:bevel/>
                      </w14:textOutline>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431" w:type="dxa"/>
                  <w:vAlign w:val="top"/>
                </w:tcPr>
                <w:p>
                  <w:pPr>
                    <w:spacing w:line="329" w:lineRule="auto"/>
                    <w:rPr>
                      <w:rFonts w:ascii="Arial"/>
                      <w:sz w:val="21"/>
                    </w:rPr>
                  </w:pPr>
                </w:p>
                <w:p>
                  <w:pPr>
                    <w:spacing w:before="49" w:line="197" w:lineRule="auto"/>
                    <w:ind w:left="178"/>
                    <w:rPr>
                      <w:rFonts w:ascii="Times New Roman" w:hAnsi="Times New Roman" w:eastAsia="Times New Roman" w:cs="Times New Roman"/>
                      <w:sz w:val="17"/>
                      <w:szCs w:val="17"/>
                    </w:rPr>
                  </w:pPr>
                  <w:r>
                    <w:rPr>
                      <w:rFonts w:ascii="Times New Roman" w:hAnsi="Times New Roman" w:eastAsia="Times New Roman" w:cs="Times New Roman"/>
                      <w:b/>
                      <w:bCs/>
                      <w:sz w:val="17"/>
                      <w:szCs w:val="17"/>
                    </w:rPr>
                    <w:t>1</w:t>
                  </w:r>
                </w:p>
              </w:tc>
              <w:tc>
                <w:tcPr>
                  <w:tcW w:w="4535" w:type="dxa"/>
                  <w:vAlign w:val="top"/>
                </w:tcPr>
                <w:p>
                  <w:pPr>
                    <w:spacing w:before="70" w:line="280" w:lineRule="auto"/>
                    <w:ind w:left="6" w:right="1"/>
                    <w:rPr>
                      <w:rFonts w:ascii="宋体" w:hAnsi="宋体" w:eastAsia="宋体" w:cs="宋体"/>
                      <w:sz w:val="17"/>
                      <w:szCs w:val="17"/>
                    </w:rPr>
                  </w:pPr>
                  <w:r>
                    <w:rPr>
                      <w:rFonts w:ascii="宋体" w:hAnsi="宋体" w:eastAsia="宋体" w:cs="宋体"/>
                      <w:spacing w:val="11"/>
                      <w:sz w:val="17"/>
                      <w:szCs w:val="17"/>
                    </w:rPr>
                    <w:t>第</w:t>
                  </w:r>
                  <w:r>
                    <w:rPr>
                      <w:rFonts w:ascii="宋体" w:hAnsi="宋体" w:eastAsia="宋体" w:cs="宋体"/>
                      <w:spacing w:val="7"/>
                      <w:sz w:val="17"/>
                      <w:szCs w:val="17"/>
                    </w:rPr>
                    <w:t>二十一条 长江流域水质超标的水功能区，应当实施更严</w:t>
                  </w:r>
                  <w:r>
                    <w:rPr>
                      <w:rFonts w:ascii="宋体" w:hAnsi="宋体" w:eastAsia="宋体" w:cs="宋体"/>
                      <w:sz w:val="17"/>
                      <w:szCs w:val="17"/>
                    </w:rPr>
                    <w:t xml:space="preserve"> </w:t>
                  </w:r>
                  <w:r>
                    <w:rPr>
                      <w:rFonts w:ascii="宋体" w:hAnsi="宋体" w:eastAsia="宋体" w:cs="宋体"/>
                      <w:spacing w:val="18"/>
                      <w:sz w:val="17"/>
                      <w:szCs w:val="17"/>
                    </w:rPr>
                    <w:t>格</w:t>
                  </w:r>
                  <w:r>
                    <w:rPr>
                      <w:rFonts w:ascii="宋体" w:hAnsi="宋体" w:eastAsia="宋体" w:cs="宋体"/>
                      <w:spacing w:val="17"/>
                      <w:sz w:val="17"/>
                      <w:szCs w:val="17"/>
                    </w:rPr>
                    <w:t>的</w:t>
                  </w:r>
                  <w:r>
                    <w:rPr>
                      <w:rFonts w:ascii="宋体" w:hAnsi="宋体" w:eastAsia="宋体" w:cs="宋体"/>
                      <w:spacing w:val="9"/>
                      <w:sz w:val="17"/>
                      <w:szCs w:val="17"/>
                    </w:rPr>
                    <w:t>污染物排放总量削减要求。企业事业单位应当按照要</w:t>
                  </w:r>
                  <w:r>
                    <w:rPr>
                      <w:rFonts w:ascii="宋体" w:hAnsi="宋体" w:eastAsia="宋体" w:cs="宋体"/>
                      <w:sz w:val="17"/>
                      <w:szCs w:val="17"/>
                    </w:rPr>
                    <w:t xml:space="preserve"> </w:t>
                  </w:r>
                  <w:r>
                    <w:rPr>
                      <w:rFonts w:ascii="宋体" w:hAnsi="宋体" w:eastAsia="宋体" w:cs="宋体"/>
                      <w:spacing w:val="9"/>
                      <w:sz w:val="17"/>
                      <w:szCs w:val="17"/>
                    </w:rPr>
                    <w:t>求，采取污染物排放总量控制措施</w:t>
                  </w:r>
                  <w:r>
                    <w:rPr>
                      <w:rFonts w:ascii="宋体" w:hAnsi="宋体" w:eastAsia="宋体" w:cs="宋体"/>
                      <w:spacing w:val="7"/>
                      <w:sz w:val="17"/>
                      <w:szCs w:val="17"/>
                    </w:rPr>
                    <w:t>。</w:t>
                  </w:r>
                </w:p>
              </w:tc>
              <w:tc>
                <w:tcPr>
                  <w:tcW w:w="2136" w:type="dxa"/>
                  <w:vAlign w:val="top"/>
                </w:tcPr>
                <w:p>
                  <w:pPr>
                    <w:spacing w:before="71" w:line="279" w:lineRule="auto"/>
                    <w:ind w:left="10" w:firstLine="2"/>
                    <w:rPr>
                      <w:rFonts w:ascii="宋体" w:hAnsi="宋体" w:eastAsia="宋体" w:cs="宋体"/>
                      <w:sz w:val="17"/>
                      <w:szCs w:val="17"/>
                    </w:rPr>
                  </w:pPr>
                  <w:r>
                    <w:rPr>
                      <w:rFonts w:ascii="宋体" w:hAnsi="宋体" w:eastAsia="宋体" w:cs="宋体"/>
                      <w:spacing w:val="9"/>
                      <w:sz w:val="17"/>
                      <w:szCs w:val="17"/>
                    </w:rPr>
                    <w:t>项目所在区域水环境质量</w:t>
                  </w:r>
                  <w:r>
                    <w:rPr>
                      <w:rFonts w:ascii="宋体" w:hAnsi="宋体" w:eastAsia="宋体" w:cs="宋体"/>
                      <w:sz w:val="17"/>
                      <w:szCs w:val="17"/>
                    </w:rPr>
                    <w:t xml:space="preserve"> </w:t>
                  </w:r>
                  <w:r>
                    <w:rPr>
                      <w:rFonts w:ascii="宋体" w:hAnsi="宋体" w:eastAsia="宋体" w:cs="宋体"/>
                      <w:spacing w:val="12"/>
                      <w:sz w:val="17"/>
                      <w:szCs w:val="17"/>
                    </w:rPr>
                    <w:t>满</w:t>
                  </w:r>
                  <w:r>
                    <w:rPr>
                      <w:rFonts w:ascii="宋体" w:hAnsi="宋体" w:eastAsia="宋体" w:cs="宋体"/>
                      <w:spacing w:val="8"/>
                      <w:sz w:val="17"/>
                      <w:szCs w:val="17"/>
                    </w:rPr>
                    <w:t>足</w:t>
                  </w:r>
                  <w:r>
                    <w:rPr>
                      <w:rFonts w:ascii="宋体" w:hAnsi="宋体" w:eastAsia="宋体" w:cs="宋体"/>
                      <w:spacing w:val="6"/>
                      <w:sz w:val="17"/>
                      <w:szCs w:val="17"/>
                    </w:rPr>
                    <w:t>相应功能区要求，且本</w:t>
                  </w:r>
                  <w:r>
                    <w:rPr>
                      <w:rFonts w:ascii="宋体" w:hAnsi="宋体" w:eastAsia="宋体" w:cs="宋体"/>
                      <w:sz w:val="17"/>
                      <w:szCs w:val="17"/>
                    </w:rPr>
                    <w:t xml:space="preserve"> </w:t>
                  </w:r>
                  <w:r>
                    <w:rPr>
                      <w:rFonts w:ascii="宋体" w:hAnsi="宋体" w:eastAsia="宋体" w:cs="宋体"/>
                      <w:spacing w:val="10"/>
                      <w:sz w:val="17"/>
                      <w:szCs w:val="17"/>
                    </w:rPr>
                    <w:t>项</w:t>
                  </w:r>
                  <w:r>
                    <w:rPr>
                      <w:rFonts w:ascii="宋体" w:hAnsi="宋体" w:eastAsia="宋体" w:cs="宋体"/>
                      <w:spacing w:val="8"/>
                      <w:sz w:val="17"/>
                      <w:szCs w:val="17"/>
                    </w:rPr>
                    <w:t>目无生产废水排放。</w:t>
                  </w:r>
                </w:p>
              </w:tc>
              <w:tc>
                <w:tcPr>
                  <w:tcW w:w="620" w:type="dxa"/>
                  <w:vAlign w:val="top"/>
                </w:tcPr>
                <w:p>
                  <w:pPr>
                    <w:spacing w:line="292" w:lineRule="auto"/>
                    <w:rPr>
                      <w:rFonts w:ascii="Arial"/>
                      <w:sz w:val="21"/>
                    </w:rPr>
                  </w:pPr>
                </w:p>
                <w:p>
                  <w:pPr>
                    <w:spacing w:before="56" w:line="230" w:lineRule="auto"/>
                    <w:ind w:left="136"/>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431" w:type="dxa"/>
                  <w:vAlign w:val="top"/>
                </w:tcPr>
                <w:p>
                  <w:pPr>
                    <w:spacing w:line="468" w:lineRule="auto"/>
                    <w:rPr>
                      <w:rFonts w:ascii="Arial"/>
                      <w:sz w:val="21"/>
                    </w:rPr>
                  </w:pPr>
                </w:p>
                <w:p>
                  <w:pPr>
                    <w:spacing w:before="49" w:line="197" w:lineRule="auto"/>
                    <w:ind w:left="17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4535" w:type="dxa"/>
                  <w:vAlign w:val="top"/>
                </w:tcPr>
                <w:p>
                  <w:pPr>
                    <w:spacing w:before="70" w:line="286" w:lineRule="auto"/>
                    <w:ind w:left="6" w:right="30"/>
                    <w:rPr>
                      <w:rFonts w:ascii="宋体" w:hAnsi="宋体" w:eastAsia="宋体" w:cs="宋体"/>
                      <w:sz w:val="17"/>
                      <w:szCs w:val="17"/>
                    </w:rPr>
                  </w:pPr>
                  <w:r>
                    <w:rPr>
                      <w:rFonts w:ascii="宋体" w:hAnsi="宋体" w:eastAsia="宋体" w:cs="宋体"/>
                      <w:spacing w:val="18"/>
                      <w:sz w:val="17"/>
                      <w:szCs w:val="17"/>
                    </w:rPr>
                    <w:t>第</w:t>
                  </w:r>
                  <w:r>
                    <w:rPr>
                      <w:rFonts w:ascii="宋体" w:hAnsi="宋体" w:eastAsia="宋体" w:cs="宋体"/>
                      <w:spacing w:val="14"/>
                      <w:sz w:val="17"/>
                      <w:szCs w:val="17"/>
                    </w:rPr>
                    <w:t>二</w:t>
                  </w:r>
                  <w:r>
                    <w:rPr>
                      <w:rFonts w:ascii="宋体" w:hAnsi="宋体" w:eastAsia="宋体" w:cs="宋体"/>
                      <w:spacing w:val="9"/>
                      <w:sz w:val="17"/>
                      <w:szCs w:val="17"/>
                    </w:rPr>
                    <w:t>十二条 长江流域产业结构和布局应当与长江流域生</w:t>
                  </w:r>
                  <w:r>
                    <w:rPr>
                      <w:rFonts w:ascii="宋体" w:hAnsi="宋体" w:eastAsia="宋体" w:cs="宋体"/>
                      <w:sz w:val="17"/>
                      <w:szCs w:val="17"/>
                    </w:rPr>
                    <w:t xml:space="preserve"> </w:t>
                  </w:r>
                  <w:r>
                    <w:rPr>
                      <w:rFonts w:ascii="宋体" w:hAnsi="宋体" w:eastAsia="宋体" w:cs="宋体"/>
                      <w:spacing w:val="18"/>
                      <w:sz w:val="17"/>
                      <w:szCs w:val="17"/>
                    </w:rPr>
                    <w:t>态</w:t>
                  </w:r>
                  <w:r>
                    <w:rPr>
                      <w:rFonts w:ascii="宋体" w:hAnsi="宋体" w:eastAsia="宋体" w:cs="宋体"/>
                      <w:spacing w:val="17"/>
                      <w:sz w:val="17"/>
                      <w:szCs w:val="17"/>
                    </w:rPr>
                    <w:t>系</w:t>
                  </w:r>
                  <w:r>
                    <w:rPr>
                      <w:rFonts w:ascii="宋体" w:hAnsi="宋体" w:eastAsia="宋体" w:cs="宋体"/>
                      <w:spacing w:val="9"/>
                      <w:sz w:val="17"/>
                      <w:szCs w:val="17"/>
                    </w:rPr>
                    <w:t>统和资源环境承载能力相适应。禁止在长江流域重点</w:t>
                  </w:r>
                  <w:r>
                    <w:rPr>
                      <w:rFonts w:ascii="宋体" w:hAnsi="宋体" w:eastAsia="宋体" w:cs="宋体"/>
                      <w:sz w:val="17"/>
                      <w:szCs w:val="17"/>
                    </w:rPr>
                    <w:t xml:space="preserve"> </w:t>
                  </w:r>
                  <w:r>
                    <w:rPr>
                      <w:rFonts w:ascii="宋体" w:hAnsi="宋体" w:eastAsia="宋体" w:cs="宋体"/>
                      <w:spacing w:val="18"/>
                      <w:sz w:val="17"/>
                      <w:szCs w:val="17"/>
                    </w:rPr>
                    <w:t>生</w:t>
                  </w:r>
                  <w:r>
                    <w:rPr>
                      <w:rFonts w:ascii="宋体" w:hAnsi="宋体" w:eastAsia="宋体" w:cs="宋体"/>
                      <w:spacing w:val="17"/>
                      <w:sz w:val="17"/>
                      <w:szCs w:val="17"/>
                    </w:rPr>
                    <w:t>态</w:t>
                  </w:r>
                  <w:r>
                    <w:rPr>
                      <w:rFonts w:ascii="宋体" w:hAnsi="宋体" w:eastAsia="宋体" w:cs="宋体"/>
                      <w:spacing w:val="9"/>
                      <w:sz w:val="17"/>
                      <w:szCs w:val="17"/>
                    </w:rPr>
                    <w:t>功能区布局对生态系统有严重影响的产业。禁止重污</w:t>
                  </w:r>
                  <w:r>
                    <w:rPr>
                      <w:rFonts w:ascii="宋体" w:hAnsi="宋体" w:eastAsia="宋体" w:cs="宋体"/>
                      <w:sz w:val="17"/>
                      <w:szCs w:val="17"/>
                    </w:rPr>
                    <w:t xml:space="preserve"> </w:t>
                  </w:r>
                  <w:r>
                    <w:rPr>
                      <w:rFonts w:ascii="宋体" w:hAnsi="宋体" w:eastAsia="宋体" w:cs="宋体"/>
                      <w:spacing w:val="9"/>
                      <w:sz w:val="17"/>
                      <w:szCs w:val="17"/>
                    </w:rPr>
                    <w:t>染企业和项目向长江中上游转移</w:t>
                  </w:r>
                  <w:r>
                    <w:rPr>
                      <w:rFonts w:ascii="宋体" w:hAnsi="宋体" w:eastAsia="宋体" w:cs="宋体"/>
                      <w:spacing w:val="6"/>
                      <w:sz w:val="17"/>
                      <w:szCs w:val="17"/>
                    </w:rPr>
                    <w:t>。</w:t>
                  </w:r>
                </w:p>
              </w:tc>
              <w:tc>
                <w:tcPr>
                  <w:tcW w:w="2136" w:type="dxa"/>
                  <w:vAlign w:val="top"/>
                </w:tcPr>
                <w:p>
                  <w:pPr>
                    <w:spacing w:before="70" w:line="286" w:lineRule="auto"/>
                    <w:ind w:left="10" w:firstLine="2"/>
                    <w:rPr>
                      <w:rFonts w:ascii="宋体" w:hAnsi="宋体" w:eastAsia="宋体" w:cs="宋体"/>
                      <w:sz w:val="17"/>
                      <w:szCs w:val="17"/>
                    </w:rPr>
                  </w:pPr>
                  <w:r>
                    <w:rPr>
                      <w:rFonts w:ascii="宋体" w:hAnsi="宋体" w:eastAsia="宋体" w:cs="宋体"/>
                      <w:spacing w:val="9"/>
                      <w:sz w:val="17"/>
                      <w:szCs w:val="17"/>
                    </w:rPr>
                    <w:t>项目所在地不属于长江流</w:t>
                  </w:r>
                  <w:r>
                    <w:rPr>
                      <w:rFonts w:ascii="宋体" w:hAnsi="宋体" w:eastAsia="宋体" w:cs="宋体"/>
                      <w:sz w:val="17"/>
                      <w:szCs w:val="17"/>
                    </w:rPr>
                    <w:t xml:space="preserve"> </w:t>
                  </w:r>
                  <w:r>
                    <w:rPr>
                      <w:rFonts w:ascii="宋体" w:hAnsi="宋体" w:eastAsia="宋体" w:cs="宋体"/>
                      <w:spacing w:val="12"/>
                      <w:sz w:val="17"/>
                      <w:szCs w:val="17"/>
                    </w:rPr>
                    <w:t>域</w:t>
                  </w:r>
                  <w:r>
                    <w:rPr>
                      <w:rFonts w:ascii="宋体" w:hAnsi="宋体" w:eastAsia="宋体" w:cs="宋体"/>
                      <w:spacing w:val="8"/>
                      <w:sz w:val="17"/>
                      <w:szCs w:val="17"/>
                    </w:rPr>
                    <w:t>重</w:t>
                  </w:r>
                  <w:r>
                    <w:rPr>
                      <w:rFonts w:ascii="宋体" w:hAnsi="宋体" w:eastAsia="宋体" w:cs="宋体"/>
                      <w:spacing w:val="6"/>
                      <w:sz w:val="17"/>
                      <w:szCs w:val="17"/>
                    </w:rPr>
                    <w:t>点生态功能区，对生态</w:t>
                  </w:r>
                  <w:r>
                    <w:rPr>
                      <w:rFonts w:ascii="宋体" w:hAnsi="宋体" w:eastAsia="宋体" w:cs="宋体"/>
                      <w:sz w:val="17"/>
                      <w:szCs w:val="17"/>
                    </w:rPr>
                    <w:t xml:space="preserve"> </w:t>
                  </w:r>
                  <w:r>
                    <w:rPr>
                      <w:rFonts w:ascii="宋体" w:hAnsi="宋体" w:eastAsia="宋体" w:cs="宋体"/>
                      <w:spacing w:val="12"/>
                      <w:sz w:val="17"/>
                      <w:szCs w:val="17"/>
                    </w:rPr>
                    <w:t>系</w:t>
                  </w:r>
                  <w:r>
                    <w:rPr>
                      <w:rFonts w:ascii="宋体" w:hAnsi="宋体" w:eastAsia="宋体" w:cs="宋体"/>
                      <w:spacing w:val="8"/>
                      <w:sz w:val="17"/>
                      <w:szCs w:val="17"/>
                    </w:rPr>
                    <w:t>统</w:t>
                  </w:r>
                  <w:r>
                    <w:rPr>
                      <w:rFonts w:ascii="宋体" w:hAnsi="宋体" w:eastAsia="宋体" w:cs="宋体"/>
                      <w:spacing w:val="6"/>
                      <w:sz w:val="17"/>
                      <w:szCs w:val="17"/>
                    </w:rPr>
                    <w:t>不会造成严重影响，也</w:t>
                  </w:r>
                  <w:r>
                    <w:rPr>
                      <w:rFonts w:ascii="宋体" w:hAnsi="宋体" w:eastAsia="宋体" w:cs="宋体"/>
                      <w:sz w:val="17"/>
                      <w:szCs w:val="17"/>
                    </w:rPr>
                    <w:t xml:space="preserve"> </w:t>
                  </w:r>
                  <w:r>
                    <w:rPr>
                      <w:rFonts w:ascii="宋体" w:hAnsi="宋体" w:eastAsia="宋体" w:cs="宋体"/>
                      <w:spacing w:val="8"/>
                      <w:sz w:val="17"/>
                      <w:szCs w:val="17"/>
                    </w:rPr>
                    <w:t>不属于重污染项目</w:t>
                  </w:r>
                  <w:r>
                    <w:rPr>
                      <w:rFonts w:ascii="宋体" w:hAnsi="宋体" w:eastAsia="宋体" w:cs="宋体"/>
                      <w:spacing w:val="7"/>
                      <w:sz w:val="17"/>
                      <w:szCs w:val="17"/>
                    </w:rPr>
                    <w:t>。</w:t>
                  </w:r>
                </w:p>
              </w:tc>
              <w:tc>
                <w:tcPr>
                  <w:tcW w:w="620" w:type="dxa"/>
                  <w:vAlign w:val="top"/>
                </w:tcPr>
                <w:p>
                  <w:pPr>
                    <w:spacing w:line="434" w:lineRule="auto"/>
                    <w:rPr>
                      <w:rFonts w:ascii="Arial"/>
                      <w:sz w:val="21"/>
                    </w:rPr>
                  </w:pPr>
                </w:p>
                <w:p>
                  <w:pPr>
                    <w:spacing w:before="55" w:line="230" w:lineRule="auto"/>
                    <w:ind w:left="136"/>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431" w:type="dxa"/>
                  <w:vAlign w:val="top"/>
                </w:tcPr>
                <w:p>
                  <w:pPr>
                    <w:spacing w:line="470" w:lineRule="auto"/>
                    <w:rPr>
                      <w:rFonts w:ascii="Arial"/>
                      <w:sz w:val="21"/>
                    </w:rPr>
                  </w:pPr>
                </w:p>
                <w:p>
                  <w:pPr>
                    <w:spacing w:before="49" w:line="197" w:lineRule="auto"/>
                    <w:ind w:left="173"/>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tc>
              <w:tc>
                <w:tcPr>
                  <w:tcW w:w="4535" w:type="dxa"/>
                  <w:vAlign w:val="top"/>
                </w:tcPr>
                <w:p>
                  <w:pPr>
                    <w:spacing w:before="74" w:line="285" w:lineRule="auto"/>
                    <w:ind w:left="6"/>
                    <w:rPr>
                      <w:rFonts w:ascii="宋体" w:hAnsi="宋体" w:eastAsia="宋体" w:cs="宋体"/>
                      <w:sz w:val="17"/>
                      <w:szCs w:val="17"/>
                    </w:rPr>
                  </w:pPr>
                  <w:r>
                    <w:rPr>
                      <w:rFonts w:ascii="宋体" w:hAnsi="宋体" w:eastAsia="宋体" w:cs="宋体"/>
                      <w:spacing w:val="10"/>
                      <w:sz w:val="17"/>
                      <w:szCs w:val="17"/>
                    </w:rPr>
                    <w:t>第二十</w:t>
                  </w:r>
                  <w:r>
                    <w:rPr>
                      <w:rFonts w:ascii="宋体" w:hAnsi="宋体" w:eastAsia="宋体" w:cs="宋体"/>
                      <w:spacing w:val="5"/>
                      <w:sz w:val="17"/>
                      <w:szCs w:val="17"/>
                    </w:rPr>
                    <w:t>六条 禁止在长江干支流岸线一公里范围内新建、扩</w:t>
                  </w:r>
                  <w:r>
                    <w:rPr>
                      <w:rFonts w:ascii="宋体" w:hAnsi="宋体" w:eastAsia="宋体" w:cs="宋体"/>
                      <w:sz w:val="17"/>
                      <w:szCs w:val="17"/>
                    </w:rPr>
                    <w:t xml:space="preserve"> </w:t>
                  </w:r>
                  <w:r>
                    <w:rPr>
                      <w:rFonts w:ascii="宋体" w:hAnsi="宋体" w:eastAsia="宋体" w:cs="宋体"/>
                      <w:spacing w:val="4"/>
                      <w:sz w:val="17"/>
                      <w:szCs w:val="17"/>
                    </w:rPr>
                    <w:t>建化工园区和化工项目。禁止在长江干流岸线三公里范围</w:t>
                  </w:r>
                  <w:r>
                    <w:rPr>
                      <w:rFonts w:ascii="宋体" w:hAnsi="宋体" w:eastAsia="宋体" w:cs="宋体"/>
                      <w:spacing w:val="2"/>
                      <w:sz w:val="17"/>
                      <w:szCs w:val="17"/>
                    </w:rPr>
                    <w:t>内</w:t>
                  </w:r>
                  <w:r>
                    <w:rPr>
                      <w:rFonts w:ascii="宋体" w:hAnsi="宋体" w:eastAsia="宋体" w:cs="宋体"/>
                      <w:sz w:val="17"/>
                      <w:szCs w:val="17"/>
                    </w:rPr>
                    <w:t xml:space="preserve"> </w:t>
                  </w:r>
                  <w:r>
                    <w:rPr>
                      <w:rFonts w:ascii="宋体" w:hAnsi="宋体" w:eastAsia="宋体" w:cs="宋体"/>
                      <w:spacing w:val="4"/>
                      <w:sz w:val="17"/>
                      <w:szCs w:val="17"/>
                    </w:rPr>
                    <w:t>和重要支流岸线一公里范围内新建、改建、扩建尾矿库；</w:t>
                  </w:r>
                  <w:r>
                    <w:rPr>
                      <w:rFonts w:ascii="宋体" w:hAnsi="宋体" w:eastAsia="宋体" w:cs="宋体"/>
                      <w:spacing w:val="2"/>
                      <w:sz w:val="17"/>
                      <w:szCs w:val="17"/>
                    </w:rPr>
                    <w:t>但</w:t>
                  </w:r>
                  <w:r>
                    <w:rPr>
                      <w:rFonts w:ascii="宋体" w:hAnsi="宋体" w:eastAsia="宋体" w:cs="宋体"/>
                      <w:sz w:val="17"/>
                      <w:szCs w:val="17"/>
                    </w:rPr>
                    <w:t xml:space="preserve"> </w:t>
                  </w:r>
                  <w:r>
                    <w:rPr>
                      <w:rFonts w:ascii="宋体" w:hAnsi="宋体" w:eastAsia="宋体" w:cs="宋体"/>
                      <w:spacing w:val="10"/>
                      <w:sz w:val="17"/>
                      <w:szCs w:val="17"/>
                    </w:rPr>
                    <w:t>是以</w:t>
                  </w:r>
                  <w:r>
                    <w:rPr>
                      <w:rFonts w:ascii="宋体" w:hAnsi="宋体" w:eastAsia="宋体" w:cs="宋体"/>
                      <w:spacing w:val="5"/>
                      <w:sz w:val="17"/>
                      <w:szCs w:val="17"/>
                    </w:rPr>
                    <w:t>提升安全、生态环境保护水平为目的的改建除外。</w:t>
                  </w:r>
                </w:p>
              </w:tc>
              <w:tc>
                <w:tcPr>
                  <w:tcW w:w="2136" w:type="dxa"/>
                  <w:vAlign w:val="top"/>
                </w:tcPr>
                <w:p>
                  <w:pPr>
                    <w:spacing w:line="435" w:lineRule="auto"/>
                    <w:rPr>
                      <w:rFonts w:ascii="Arial"/>
                      <w:sz w:val="21"/>
                    </w:rPr>
                  </w:pPr>
                </w:p>
                <w:p>
                  <w:pPr>
                    <w:spacing w:before="55" w:line="232" w:lineRule="auto"/>
                    <w:ind w:left="12"/>
                    <w:rPr>
                      <w:rFonts w:ascii="宋体" w:hAnsi="宋体" w:eastAsia="宋体" w:cs="宋体"/>
                      <w:sz w:val="17"/>
                      <w:szCs w:val="17"/>
                    </w:rPr>
                  </w:pPr>
                  <w:r>
                    <w:rPr>
                      <w:rFonts w:ascii="宋体" w:hAnsi="宋体" w:eastAsia="宋体" w:cs="宋体"/>
                      <w:spacing w:val="12"/>
                      <w:sz w:val="17"/>
                      <w:szCs w:val="17"/>
                    </w:rPr>
                    <w:t>不</w:t>
                  </w:r>
                  <w:r>
                    <w:rPr>
                      <w:rFonts w:ascii="宋体" w:hAnsi="宋体" w:eastAsia="宋体" w:cs="宋体"/>
                      <w:spacing w:val="6"/>
                      <w:sz w:val="17"/>
                      <w:szCs w:val="17"/>
                    </w:rPr>
                    <w:t>属于化工、尾矿库项目。</w:t>
                  </w:r>
                </w:p>
              </w:tc>
              <w:tc>
                <w:tcPr>
                  <w:tcW w:w="620" w:type="dxa"/>
                  <w:vAlign w:val="top"/>
                </w:tcPr>
                <w:p>
                  <w:pPr>
                    <w:spacing w:line="435" w:lineRule="auto"/>
                    <w:rPr>
                      <w:rFonts w:ascii="Arial"/>
                      <w:sz w:val="21"/>
                    </w:rPr>
                  </w:pPr>
                </w:p>
                <w:p>
                  <w:pPr>
                    <w:spacing w:before="55" w:line="230" w:lineRule="auto"/>
                    <w:ind w:left="136"/>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431" w:type="dxa"/>
                  <w:vAlign w:val="top"/>
                </w:tcPr>
                <w:p>
                  <w:pPr>
                    <w:spacing w:before="242" w:line="197" w:lineRule="auto"/>
                    <w:ind w:left="16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4535" w:type="dxa"/>
                  <w:vAlign w:val="top"/>
                </w:tcPr>
                <w:p>
                  <w:pPr>
                    <w:spacing w:before="73" w:line="267" w:lineRule="auto"/>
                    <w:ind w:left="10" w:right="40" w:hanging="4"/>
                    <w:rPr>
                      <w:rFonts w:ascii="宋体" w:hAnsi="宋体" w:eastAsia="宋体" w:cs="宋体"/>
                      <w:sz w:val="17"/>
                      <w:szCs w:val="17"/>
                    </w:rPr>
                  </w:pPr>
                  <w:r>
                    <w:rPr>
                      <w:rFonts w:ascii="宋体" w:hAnsi="宋体" w:eastAsia="宋体" w:cs="宋体"/>
                      <w:spacing w:val="10"/>
                      <w:sz w:val="17"/>
                      <w:szCs w:val="17"/>
                    </w:rPr>
                    <w:t>第三十</w:t>
                  </w:r>
                  <w:r>
                    <w:rPr>
                      <w:rFonts w:ascii="宋体" w:hAnsi="宋体" w:eastAsia="宋体" w:cs="宋体"/>
                      <w:spacing w:val="8"/>
                      <w:sz w:val="17"/>
                      <w:szCs w:val="17"/>
                    </w:rPr>
                    <w:t>八</w:t>
                  </w:r>
                  <w:r>
                    <w:rPr>
                      <w:rFonts w:ascii="宋体" w:hAnsi="宋体" w:eastAsia="宋体" w:cs="宋体"/>
                      <w:spacing w:val="5"/>
                      <w:sz w:val="17"/>
                      <w:szCs w:val="17"/>
                    </w:rPr>
                    <w:t>条 加强对高耗水行业、重点用水单位的用水定额</w:t>
                  </w:r>
                  <w:r>
                    <w:rPr>
                      <w:rFonts w:ascii="宋体" w:hAnsi="宋体" w:eastAsia="宋体" w:cs="宋体"/>
                      <w:sz w:val="17"/>
                      <w:szCs w:val="17"/>
                    </w:rPr>
                    <w:t xml:space="preserve"> </w:t>
                  </w:r>
                  <w:r>
                    <w:rPr>
                      <w:rFonts w:ascii="宋体" w:hAnsi="宋体" w:eastAsia="宋体" w:cs="宋体"/>
                      <w:spacing w:val="5"/>
                      <w:sz w:val="17"/>
                      <w:szCs w:val="17"/>
                    </w:rPr>
                    <w:t>管理，严格控制高耗水项目建设。</w:t>
                  </w:r>
                </w:p>
              </w:tc>
              <w:tc>
                <w:tcPr>
                  <w:tcW w:w="2136" w:type="dxa"/>
                  <w:vAlign w:val="top"/>
                </w:tcPr>
                <w:p>
                  <w:pPr>
                    <w:spacing w:before="214" w:line="230" w:lineRule="auto"/>
                    <w:ind w:left="267"/>
                    <w:rPr>
                      <w:rFonts w:ascii="宋体" w:hAnsi="宋体" w:eastAsia="宋体" w:cs="宋体"/>
                      <w:sz w:val="17"/>
                      <w:szCs w:val="17"/>
                    </w:rPr>
                  </w:pPr>
                  <w:r>
                    <w:rPr>
                      <w:rFonts w:ascii="宋体" w:hAnsi="宋体" w:eastAsia="宋体" w:cs="宋体"/>
                      <w:spacing w:val="14"/>
                      <w:sz w:val="17"/>
                      <w:szCs w:val="17"/>
                    </w:rPr>
                    <w:t>不</w:t>
                  </w:r>
                  <w:r>
                    <w:rPr>
                      <w:rFonts w:ascii="宋体" w:hAnsi="宋体" w:eastAsia="宋体" w:cs="宋体"/>
                      <w:spacing w:val="7"/>
                      <w:sz w:val="17"/>
                      <w:szCs w:val="17"/>
                    </w:rPr>
                    <w:t>属于高耗水项目。</w:t>
                  </w:r>
                </w:p>
              </w:tc>
              <w:tc>
                <w:tcPr>
                  <w:tcW w:w="620" w:type="dxa"/>
                  <w:vAlign w:val="top"/>
                </w:tcPr>
                <w:p>
                  <w:pPr>
                    <w:spacing w:before="214" w:line="230" w:lineRule="auto"/>
                    <w:ind w:left="136"/>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431" w:type="dxa"/>
                  <w:vAlign w:val="top"/>
                </w:tcPr>
                <w:p>
                  <w:pPr>
                    <w:spacing w:line="472" w:lineRule="auto"/>
                    <w:rPr>
                      <w:rFonts w:ascii="Arial"/>
                      <w:sz w:val="21"/>
                    </w:rPr>
                  </w:pPr>
                </w:p>
                <w:p>
                  <w:pPr>
                    <w:spacing w:before="49" w:line="194" w:lineRule="auto"/>
                    <w:ind w:left="175"/>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4535" w:type="dxa"/>
                  <w:vAlign w:val="top"/>
                </w:tcPr>
                <w:p>
                  <w:pPr>
                    <w:spacing w:before="74" w:line="285" w:lineRule="auto"/>
                    <w:ind w:left="6"/>
                    <w:rPr>
                      <w:rFonts w:ascii="宋体" w:hAnsi="宋体" w:eastAsia="宋体" w:cs="宋体"/>
                      <w:sz w:val="17"/>
                      <w:szCs w:val="17"/>
                    </w:rPr>
                  </w:pPr>
                  <w:r>
                    <w:rPr>
                      <w:rFonts w:ascii="宋体" w:hAnsi="宋体" w:eastAsia="宋体" w:cs="宋体"/>
                      <w:spacing w:val="7"/>
                      <w:sz w:val="17"/>
                      <w:szCs w:val="17"/>
                    </w:rPr>
                    <w:t>第</w:t>
                  </w:r>
                  <w:r>
                    <w:rPr>
                      <w:rFonts w:ascii="宋体" w:hAnsi="宋体" w:eastAsia="宋体" w:cs="宋体"/>
                      <w:spacing w:val="6"/>
                      <w:sz w:val="17"/>
                      <w:szCs w:val="17"/>
                    </w:rPr>
                    <w:t>四十六条 磷矿开采加工、磷肥和含磷农药制造等企业，</w:t>
                  </w:r>
                  <w:r>
                    <w:rPr>
                      <w:rFonts w:ascii="宋体" w:hAnsi="宋体" w:eastAsia="宋体" w:cs="宋体"/>
                      <w:sz w:val="17"/>
                      <w:szCs w:val="17"/>
                    </w:rPr>
                    <w:t xml:space="preserve"> </w:t>
                  </w:r>
                  <w:r>
                    <w:rPr>
                      <w:rFonts w:ascii="宋体" w:hAnsi="宋体" w:eastAsia="宋体" w:cs="宋体"/>
                      <w:spacing w:val="4"/>
                      <w:sz w:val="17"/>
                      <w:szCs w:val="17"/>
                    </w:rPr>
                    <w:t>应当按照排污许可要求，采取有效措施控制总磷排放浓度</w:t>
                  </w:r>
                  <w:r>
                    <w:rPr>
                      <w:rFonts w:ascii="宋体" w:hAnsi="宋体" w:eastAsia="宋体" w:cs="宋体"/>
                      <w:spacing w:val="3"/>
                      <w:sz w:val="17"/>
                      <w:szCs w:val="17"/>
                    </w:rPr>
                    <w:t>和</w:t>
                  </w:r>
                  <w:r>
                    <w:rPr>
                      <w:rFonts w:ascii="宋体" w:hAnsi="宋体" w:eastAsia="宋体" w:cs="宋体"/>
                      <w:sz w:val="17"/>
                      <w:szCs w:val="17"/>
                    </w:rPr>
                    <w:t xml:space="preserve"> </w:t>
                  </w:r>
                  <w:r>
                    <w:rPr>
                      <w:rFonts w:ascii="宋体" w:hAnsi="宋体" w:eastAsia="宋体" w:cs="宋体"/>
                      <w:spacing w:val="4"/>
                      <w:sz w:val="17"/>
                      <w:szCs w:val="17"/>
                    </w:rPr>
                    <w:t>排放总量；对排污口和周边环境进行总磷监测，依法公开</w:t>
                  </w:r>
                  <w:r>
                    <w:rPr>
                      <w:rFonts w:ascii="宋体" w:hAnsi="宋体" w:eastAsia="宋体" w:cs="宋体"/>
                      <w:spacing w:val="1"/>
                      <w:sz w:val="17"/>
                      <w:szCs w:val="17"/>
                    </w:rPr>
                    <w:t>监</w:t>
                  </w:r>
                  <w:r>
                    <w:rPr>
                      <w:rFonts w:ascii="宋体" w:hAnsi="宋体" w:eastAsia="宋体" w:cs="宋体"/>
                      <w:sz w:val="17"/>
                      <w:szCs w:val="17"/>
                    </w:rPr>
                    <w:t xml:space="preserve"> </w:t>
                  </w:r>
                  <w:r>
                    <w:rPr>
                      <w:rFonts w:ascii="宋体" w:hAnsi="宋体" w:eastAsia="宋体" w:cs="宋体"/>
                      <w:spacing w:val="4"/>
                      <w:sz w:val="17"/>
                      <w:szCs w:val="17"/>
                    </w:rPr>
                    <w:t>测信息</w:t>
                  </w:r>
                  <w:r>
                    <w:rPr>
                      <w:rFonts w:ascii="宋体" w:hAnsi="宋体" w:eastAsia="宋体" w:cs="宋体"/>
                      <w:spacing w:val="3"/>
                      <w:sz w:val="17"/>
                      <w:szCs w:val="17"/>
                    </w:rPr>
                    <w:t>。</w:t>
                  </w:r>
                </w:p>
              </w:tc>
              <w:tc>
                <w:tcPr>
                  <w:tcW w:w="2136" w:type="dxa"/>
                  <w:vAlign w:val="top"/>
                </w:tcPr>
                <w:p>
                  <w:pPr>
                    <w:spacing w:line="298" w:lineRule="auto"/>
                    <w:rPr>
                      <w:rFonts w:ascii="Arial"/>
                      <w:sz w:val="21"/>
                    </w:rPr>
                  </w:pPr>
                </w:p>
                <w:p>
                  <w:pPr>
                    <w:spacing w:before="55" w:line="314" w:lineRule="auto"/>
                    <w:ind w:left="10" w:firstLine="2"/>
                    <w:rPr>
                      <w:rFonts w:ascii="宋体" w:hAnsi="宋体" w:eastAsia="宋体" w:cs="宋体"/>
                      <w:sz w:val="17"/>
                      <w:szCs w:val="17"/>
                    </w:rPr>
                  </w:pPr>
                  <w:r>
                    <w:rPr>
                      <w:rFonts w:ascii="宋体" w:hAnsi="宋体" w:eastAsia="宋体" w:cs="宋体"/>
                      <w:spacing w:val="12"/>
                      <w:sz w:val="17"/>
                      <w:szCs w:val="17"/>
                    </w:rPr>
                    <w:t>不</w:t>
                  </w:r>
                  <w:r>
                    <w:rPr>
                      <w:rFonts w:ascii="宋体" w:hAnsi="宋体" w:eastAsia="宋体" w:cs="宋体"/>
                      <w:spacing w:val="6"/>
                      <w:sz w:val="17"/>
                      <w:szCs w:val="17"/>
                    </w:rPr>
                    <w:t>属于磷矿开采加工、磷肥</w:t>
                  </w:r>
                  <w:r>
                    <w:rPr>
                      <w:rFonts w:ascii="宋体" w:hAnsi="宋体" w:eastAsia="宋体" w:cs="宋体"/>
                      <w:sz w:val="17"/>
                      <w:szCs w:val="17"/>
                    </w:rPr>
                    <w:t xml:space="preserve"> </w:t>
                  </w:r>
                  <w:r>
                    <w:rPr>
                      <w:rFonts w:ascii="宋体" w:hAnsi="宋体" w:eastAsia="宋体" w:cs="宋体"/>
                      <w:spacing w:val="10"/>
                      <w:sz w:val="17"/>
                      <w:szCs w:val="17"/>
                    </w:rPr>
                    <w:t>和</w:t>
                  </w:r>
                  <w:r>
                    <w:rPr>
                      <w:rFonts w:ascii="宋体" w:hAnsi="宋体" w:eastAsia="宋体" w:cs="宋体"/>
                      <w:spacing w:val="9"/>
                      <w:sz w:val="17"/>
                      <w:szCs w:val="17"/>
                    </w:rPr>
                    <w:t>含磷农药制造等行业</w:t>
                  </w:r>
                </w:p>
              </w:tc>
              <w:tc>
                <w:tcPr>
                  <w:tcW w:w="620" w:type="dxa"/>
                  <w:vAlign w:val="top"/>
                </w:tcPr>
                <w:p>
                  <w:pPr>
                    <w:spacing w:line="435" w:lineRule="auto"/>
                    <w:rPr>
                      <w:rFonts w:ascii="Arial"/>
                      <w:sz w:val="21"/>
                    </w:rPr>
                  </w:pPr>
                </w:p>
                <w:p>
                  <w:pPr>
                    <w:spacing w:before="56" w:line="230" w:lineRule="auto"/>
                    <w:ind w:left="136"/>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431" w:type="dxa"/>
                  <w:vAlign w:val="top"/>
                </w:tcPr>
                <w:p>
                  <w:pPr>
                    <w:spacing w:line="306" w:lineRule="auto"/>
                    <w:rPr>
                      <w:rFonts w:ascii="Arial"/>
                      <w:sz w:val="21"/>
                    </w:rPr>
                  </w:pPr>
                </w:p>
                <w:p>
                  <w:pPr>
                    <w:spacing w:line="306" w:lineRule="auto"/>
                    <w:rPr>
                      <w:rFonts w:ascii="Arial"/>
                      <w:sz w:val="21"/>
                    </w:rPr>
                  </w:pPr>
                </w:p>
                <w:p>
                  <w:pPr>
                    <w:spacing w:before="49" w:line="197" w:lineRule="auto"/>
                    <w:ind w:left="174"/>
                    <w:rPr>
                      <w:rFonts w:ascii="Times New Roman" w:hAnsi="Times New Roman" w:eastAsia="Times New Roman" w:cs="Times New Roman"/>
                      <w:sz w:val="17"/>
                      <w:szCs w:val="17"/>
                    </w:rPr>
                  </w:pPr>
                  <w:r>
                    <w:rPr>
                      <w:rFonts w:ascii="Times New Roman" w:hAnsi="Times New Roman" w:eastAsia="Times New Roman" w:cs="Times New Roman"/>
                      <w:sz w:val="17"/>
                      <w:szCs w:val="17"/>
                    </w:rPr>
                    <w:t>6</w:t>
                  </w:r>
                </w:p>
              </w:tc>
              <w:tc>
                <w:tcPr>
                  <w:tcW w:w="4535" w:type="dxa"/>
                  <w:vAlign w:val="top"/>
                </w:tcPr>
                <w:p>
                  <w:pPr>
                    <w:spacing w:before="73" w:line="289" w:lineRule="auto"/>
                    <w:ind w:left="6"/>
                    <w:rPr>
                      <w:rFonts w:ascii="宋体" w:hAnsi="宋体" w:eastAsia="宋体" w:cs="宋体"/>
                      <w:sz w:val="17"/>
                      <w:szCs w:val="17"/>
                    </w:rPr>
                  </w:pPr>
                  <w:r>
                    <w:rPr>
                      <w:rFonts w:ascii="宋体" w:hAnsi="宋体" w:eastAsia="宋体" w:cs="宋体"/>
                      <w:spacing w:val="10"/>
                      <w:sz w:val="17"/>
                      <w:szCs w:val="17"/>
                    </w:rPr>
                    <w:t>第四十</w:t>
                  </w:r>
                  <w:r>
                    <w:rPr>
                      <w:rFonts w:ascii="宋体" w:hAnsi="宋体" w:eastAsia="宋体" w:cs="宋体"/>
                      <w:spacing w:val="5"/>
                      <w:sz w:val="17"/>
                      <w:szCs w:val="17"/>
                    </w:rPr>
                    <w:t>七条 在长江流域江河、湖泊新设、改设或者扩大排</w:t>
                  </w:r>
                  <w:r>
                    <w:rPr>
                      <w:rFonts w:ascii="宋体" w:hAnsi="宋体" w:eastAsia="宋体" w:cs="宋体"/>
                      <w:sz w:val="17"/>
                      <w:szCs w:val="17"/>
                    </w:rPr>
                    <w:t xml:space="preserve"> </w:t>
                  </w:r>
                  <w:r>
                    <w:rPr>
                      <w:rFonts w:ascii="宋体" w:hAnsi="宋体" w:eastAsia="宋体" w:cs="宋体"/>
                      <w:spacing w:val="4"/>
                      <w:sz w:val="17"/>
                      <w:szCs w:val="17"/>
                    </w:rPr>
                    <w:t>污口，应当按照国家有关规定报经有管辖权的生态环境主</w:t>
                  </w:r>
                  <w:r>
                    <w:rPr>
                      <w:rFonts w:ascii="宋体" w:hAnsi="宋体" w:eastAsia="宋体" w:cs="宋体"/>
                      <w:sz w:val="17"/>
                      <w:szCs w:val="17"/>
                    </w:rPr>
                    <w:t xml:space="preserve">管 </w:t>
                  </w:r>
                  <w:r>
                    <w:rPr>
                      <w:rFonts w:ascii="宋体" w:hAnsi="宋体" w:eastAsia="宋体" w:cs="宋体"/>
                      <w:spacing w:val="4"/>
                      <w:sz w:val="17"/>
                      <w:szCs w:val="17"/>
                    </w:rPr>
                    <w:t>部门或者长江流域生态环境监督管理机构同意。对未达到</w:t>
                  </w:r>
                  <w:r>
                    <w:rPr>
                      <w:rFonts w:ascii="宋体" w:hAnsi="宋体" w:eastAsia="宋体" w:cs="宋体"/>
                      <w:sz w:val="17"/>
                      <w:szCs w:val="17"/>
                    </w:rPr>
                    <w:t xml:space="preserve">水 </w:t>
                  </w:r>
                  <w:r>
                    <w:rPr>
                      <w:rFonts w:ascii="宋体" w:hAnsi="宋体" w:eastAsia="宋体" w:cs="宋体"/>
                      <w:spacing w:val="4"/>
                      <w:sz w:val="17"/>
                      <w:szCs w:val="17"/>
                    </w:rPr>
                    <w:t>质目标的水功能区，除污水集中处理设施排污口外，应当</w:t>
                  </w:r>
                  <w:r>
                    <w:rPr>
                      <w:rFonts w:ascii="宋体" w:hAnsi="宋体" w:eastAsia="宋体" w:cs="宋体"/>
                      <w:spacing w:val="3"/>
                      <w:sz w:val="17"/>
                      <w:szCs w:val="17"/>
                    </w:rPr>
                    <w:t>严</w:t>
                  </w:r>
                  <w:r>
                    <w:rPr>
                      <w:rFonts w:ascii="宋体" w:hAnsi="宋体" w:eastAsia="宋体" w:cs="宋体"/>
                      <w:sz w:val="17"/>
                      <w:szCs w:val="17"/>
                    </w:rPr>
                    <w:t xml:space="preserve"> </w:t>
                  </w:r>
                  <w:r>
                    <w:rPr>
                      <w:rFonts w:ascii="宋体" w:hAnsi="宋体" w:eastAsia="宋体" w:cs="宋体"/>
                      <w:spacing w:val="10"/>
                      <w:sz w:val="17"/>
                      <w:szCs w:val="17"/>
                    </w:rPr>
                    <w:t>格</w:t>
                  </w:r>
                  <w:r>
                    <w:rPr>
                      <w:rFonts w:ascii="宋体" w:hAnsi="宋体" w:eastAsia="宋体" w:cs="宋体"/>
                      <w:spacing w:val="5"/>
                      <w:sz w:val="17"/>
                      <w:szCs w:val="17"/>
                    </w:rPr>
                    <w:t>控制新设、改设或者扩大排污口。</w:t>
                  </w:r>
                </w:p>
              </w:tc>
              <w:tc>
                <w:tcPr>
                  <w:tcW w:w="2136" w:type="dxa"/>
                  <w:vAlign w:val="top"/>
                </w:tcPr>
                <w:p>
                  <w:pPr>
                    <w:spacing w:before="214" w:line="310" w:lineRule="auto"/>
                    <w:ind w:left="9" w:firstLine="3"/>
                    <w:rPr>
                      <w:rFonts w:ascii="宋体" w:hAnsi="宋体" w:eastAsia="宋体" w:cs="宋体"/>
                      <w:sz w:val="17"/>
                      <w:szCs w:val="17"/>
                    </w:rPr>
                  </w:pPr>
                  <w:r>
                    <w:rPr>
                      <w:rFonts w:ascii="宋体" w:hAnsi="宋体" w:eastAsia="宋体" w:cs="宋体"/>
                      <w:spacing w:val="12"/>
                      <w:sz w:val="17"/>
                      <w:szCs w:val="17"/>
                    </w:rPr>
                    <w:t>项</w:t>
                  </w:r>
                  <w:r>
                    <w:rPr>
                      <w:rFonts w:ascii="宋体" w:hAnsi="宋体" w:eastAsia="宋体" w:cs="宋体"/>
                      <w:spacing w:val="6"/>
                      <w:sz w:val="17"/>
                      <w:szCs w:val="17"/>
                    </w:rPr>
                    <w:t>目不设排污口；施工废水</w:t>
                  </w:r>
                  <w:r>
                    <w:rPr>
                      <w:rFonts w:ascii="宋体" w:hAnsi="宋体" w:eastAsia="宋体" w:cs="宋体"/>
                      <w:sz w:val="17"/>
                      <w:szCs w:val="17"/>
                    </w:rPr>
                    <w:t xml:space="preserve"> </w:t>
                  </w:r>
                  <w:r>
                    <w:rPr>
                      <w:rFonts w:ascii="宋体" w:hAnsi="宋体" w:eastAsia="宋体" w:cs="宋体"/>
                      <w:spacing w:val="7"/>
                      <w:sz w:val="17"/>
                      <w:szCs w:val="17"/>
                    </w:rPr>
                    <w:t>收集处理后回用，不排放</w:t>
                  </w:r>
                  <w:r>
                    <w:rPr>
                      <w:rFonts w:ascii="宋体" w:hAnsi="宋体" w:eastAsia="宋体" w:cs="宋体"/>
                      <w:spacing w:val="4"/>
                      <w:sz w:val="17"/>
                      <w:szCs w:val="17"/>
                    </w:rPr>
                    <w:t>，</w:t>
                  </w:r>
                  <w:r>
                    <w:rPr>
                      <w:rFonts w:ascii="宋体" w:hAnsi="宋体" w:eastAsia="宋体" w:cs="宋体"/>
                      <w:sz w:val="17"/>
                      <w:szCs w:val="17"/>
                    </w:rPr>
                    <w:t xml:space="preserve"> </w:t>
                  </w:r>
                  <w:r>
                    <w:rPr>
                      <w:rFonts w:ascii="宋体" w:hAnsi="宋体" w:eastAsia="宋体" w:cs="宋体"/>
                      <w:spacing w:val="7"/>
                      <w:sz w:val="17"/>
                      <w:szCs w:val="17"/>
                    </w:rPr>
                    <w:t>营运期无废水，雨水进入</w:t>
                  </w:r>
                  <w:r>
                    <w:rPr>
                      <w:rFonts w:ascii="宋体" w:hAnsi="宋体" w:eastAsia="宋体" w:cs="宋体"/>
                      <w:spacing w:val="4"/>
                      <w:sz w:val="17"/>
                      <w:szCs w:val="17"/>
                    </w:rPr>
                    <w:t>市</w:t>
                  </w:r>
                  <w:r>
                    <w:rPr>
                      <w:rFonts w:ascii="宋体" w:hAnsi="宋体" w:eastAsia="宋体" w:cs="宋体"/>
                      <w:sz w:val="17"/>
                      <w:szCs w:val="17"/>
                    </w:rPr>
                    <w:t xml:space="preserve"> </w:t>
                  </w:r>
                  <w:r>
                    <w:rPr>
                      <w:rFonts w:ascii="宋体" w:hAnsi="宋体" w:eastAsia="宋体" w:cs="宋体"/>
                      <w:spacing w:val="8"/>
                      <w:sz w:val="17"/>
                      <w:szCs w:val="17"/>
                    </w:rPr>
                    <w:t>政管</w:t>
                  </w:r>
                  <w:r>
                    <w:rPr>
                      <w:rFonts w:ascii="宋体" w:hAnsi="宋体" w:eastAsia="宋体" w:cs="宋体"/>
                      <w:spacing w:val="7"/>
                      <w:sz w:val="17"/>
                      <w:szCs w:val="17"/>
                    </w:rPr>
                    <w:t>网</w:t>
                  </w:r>
                </w:p>
              </w:tc>
              <w:tc>
                <w:tcPr>
                  <w:tcW w:w="620" w:type="dxa"/>
                  <w:vAlign w:val="top"/>
                </w:tcPr>
                <w:p>
                  <w:pPr>
                    <w:spacing w:line="287" w:lineRule="auto"/>
                    <w:rPr>
                      <w:rFonts w:ascii="Arial"/>
                      <w:sz w:val="21"/>
                    </w:rPr>
                  </w:pPr>
                </w:p>
                <w:p>
                  <w:pPr>
                    <w:spacing w:line="288" w:lineRule="auto"/>
                    <w:rPr>
                      <w:rFonts w:ascii="Arial"/>
                      <w:sz w:val="21"/>
                    </w:rPr>
                  </w:pPr>
                </w:p>
                <w:p>
                  <w:pPr>
                    <w:spacing w:before="55" w:line="230" w:lineRule="auto"/>
                    <w:ind w:left="136"/>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431" w:type="dxa"/>
                  <w:vAlign w:val="top"/>
                </w:tcPr>
                <w:p>
                  <w:pPr>
                    <w:spacing w:line="335" w:lineRule="auto"/>
                    <w:rPr>
                      <w:rFonts w:ascii="Arial"/>
                      <w:sz w:val="21"/>
                    </w:rPr>
                  </w:pPr>
                </w:p>
                <w:p>
                  <w:pPr>
                    <w:spacing w:before="49" w:line="194" w:lineRule="auto"/>
                    <w:ind w:left="173"/>
                    <w:rPr>
                      <w:rFonts w:ascii="Times New Roman" w:hAnsi="Times New Roman" w:eastAsia="Times New Roman" w:cs="Times New Roman"/>
                      <w:sz w:val="17"/>
                      <w:szCs w:val="17"/>
                    </w:rPr>
                  </w:pPr>
                  <w:r>
                    <w:rPr>
                      <w:rFonts w:ascii="Times New Roman" w:hAnsi="Times New Roman" w:eastAsia="Times New Roman" w:cs="Times New Roman"/>
                      <w:sz w:val="17"/>
                      <w:szCs w:val="17"/>
                    </w:rPr>
                    <w:t>7</w:t>
                  </w:r>
                </w:p>
              </w:tc>
              <w:tc>
                <w:tcPr>
                  <w:tcW w:w="4535" w:type="dxa"/>
                  <w:vAlign w:val="top"/>
                </w:tcPr>
                <w:p>
                  <w:pPr>
                    <w:spacing w:before="74" w:line="280" w:lineRule="auto"/>
                    <w:ind w:left="5"/>
                    <w:rPr>
                      <w:rFonts w:ascii="宋体" w:hAnsi="宋体" w:eastAsia="宋体" w:cs="宋体"/>
                      <w:sz w:val="17"/>
                      <w:szCs w:val="17"/>
                    </w:rPr>
                  </w:pPr>
                  <w:r>
                    <w:rPr>
                      <w:rFonts w:ascii="宋体" w:hAnsi="宋体" w:eastAsia="宋体" w:cs="宋体"/>
                      <w:spacing w:val="6"/>
                      <w:sz w:val="17"/>
                      <w:szCs w:val="17"/>
                    </w:rPr>
                    <w:t>第四十九条 禁止在长江流域河湖管理范围内倾倒、填埋</w:t>
                  </w:r>
                  <w:r>
                    <w:rPr>
                      <w:rFonts w:ascii="宋体" w:hAnsi="宋体" w:eastAsia="宋体" w:cs="宋体"/>
                      <w:spacing w:val="4"/>
                      <w:sz w:val="17"/>
                      <w:szCs w:val="17"/>
                    </w:rPr>
                    <w:t>、</w:t>
                  </w:r>
                  <w:r>
                    <w:rPr>
                      <w:rFonts w:ascii="宋体" w:hAnsi="宋体" w:eastAsia="宋体" w:cs="宋体"/>
                      <w:sz w:val="17"/>
                      <w:szCs w:val="17"/>
                    </w:rPr>
                    <w:t xml:space="preserve"> </w:t>
                  </w:r>
                  <w:r>
                    <w:rPr>
                      <w:rFonts w:ascii="宋体" w:hAnsi="宋体" w:eastAsia="宋体" w:cs="宋体"/>
                      <w:spacing w:val="4"/>
                      <w:sz w:val="17"/>
                      <w:szCs w:val="17"/>
                    </w:rPr>
                    <w:t>堆放、弃置、处理固体废物。长江流域县级以上地方人民政</w:t>
                  </w:r>
                  <w:r>
                    <w:rPr>
                      <w:rFonts w:ascii="宋体" w:hAnsi="宋体" w:eastAsia="宋体" w:cs="宋体"/>
                      <w:sz w:val="17"/>
                      <w:szCs w:val="17"/>
                    </w:rPr>
                    <w:t xml:space="preserve"> </w:t>
                  </w:r>
                  <w:r>
                    <w:rPr>
                      <w:rFonts w:ascii="宋体" w:hAnsi="宋体" w:eastAsia="宋体" w:cs="宋体"/>
                      <w:spacing w:val="10"/>
                      <w:sz w:val="17"/>
                      <w:szCs w:val="17"/>
                    </w:rPr>
                    <w:t>府应</w:t>
                  </w:r>
                  <w:r>
                    <w:rPr>
                      <w:rFonts w:ascii="宋体" w:hAnsi="宋体" w:eastAsia="宋体" w:cs="宋体"/>
                      <w:spacing w:val="6"/>
                      <w:sz w:val="17"/>
                      <w:szCs w:val="17"/>
                    </w:rPr>
                    <w:t>当</w:t>
                  </w:r>
                  <w:r>
                    <w:rPr>
                      <w:rFonts w:ascii="宋体" w:hAnsi="宋体" w:eastAsia="宋体" w:cs="宋体"/>
                      <w:spacing w:val="5"/>
                      <w:sz w:val="17"/>
                      <w:szCs w:val="17"/>
                    </w:rPr>
                    <w:t>加强对固体废物非法转移和倾倒的联防联控。</w:t>
                  </w:r>
                </w:p>
              </w:tc>
              <w:tc>
                <w:tcPr>
                  <w:tcW w:w="2136" w:type="dxa"/>
                  <w:vAlign w:val="top"/>
                </w:tcPr>
                <w:p>
                  <w:pPr>
                    <w:spacing w:before="217" w:line="314" w:lineRule="auto"/>
                    <w:ind w:left="10" w:firstLine="2"/>
                    <w:rPr>
                      <w:rFonts w:ascii="宋体" w:hAnsi="宋体" w:eastAsia="宋体" w:cs="宋体"/>
                      <w:sz w:val="17"/>
                      <w:szCs w:val="17"/>
                    </w:rPr>
                  </w:pPr>
                  <w:r>
                    <w:rPr>
                      <w:rFonts w:ascii="宋体" w:hAnsi="宋体" w:eastAsia="宋体" w:cs="宋体"/>
                      <w:spacing w:val="12"/>
                      <w:sz w:val="17"/>
                      <w:szCs w:val="17"/>
                    </w:rPr>
                    <w:t>项</w:t>
                  </w:r>
                  <w:r>
                    <w:rPr>
                      <w:rFonts w:ascii="宋体" w:hAnsi="宋体" w:eastAsia="宋体" w:cs="宋体"/>
                      <w:spacing w:val="6"/>
                      <w:sz w:val="17"/>
                      <w:szCs w:val="17"/>
                    </w:rPr>
                    <w:t>目施工前固废集中收集、</w:t>
                  </w:r>
                  <w:r>
                    <w:rPr>
                      <w:rFonts w:ascii="宋体" w:hAnsi="宋体" w:eastAsia="宋体" w:cs="宋体"/>
                      <w:sz w:val="17"/>
                      <w:szCs w:val="17"/>
                    </w:rPr>
                    <w:t xml:space="preserve"> </w:t>
                  </w:r>
                  <w:r>
                    <w:rPr>
                      <w:rFonts w:ascii="宋体" w:hAnsi="宋体" w:eastAsia="宋体" w:cs="宋体"/>
                      <w:spacing w:val="12"/>
                      <w:sz w:val="17"/>
                      <w:szCs w:val="17"/>
                    </w:rPr>
                    <w:t>集</w:t>
                  </w:r>
                  <w:r>
                    <w:rPr>
                      <w:rFonts w:ascii="宋体" w:hAnsi="宋体" w:eastAsia="宋体" w:cs="宋体"/>
                      <w:spacing w:val="9"/>
                      <w:sz w:val="17"/>
                      <w:szCs w:val="17"/>
                    </w:rPr>
                    <w:t>中处置，不会排入河道</w:t>
                  </w:r>
                </w:p>
              </w:tc>
              <w:tc>
                <w:tcPr>
                  <w:tcW w:w="620" w:type="dxa"/>
                  <w:vAlign w:val="top"/>
                </w:tcPr>
                <w:p>
                  <w:pPr>
                    <w:spacing w:line="298" w:lineRule="auto"/>
                    <w:rPr>
                      <w:rFonts w:ascii="Arial"/>
                      <w:sz w:val="21"/>
                    </w:rPr>
                  </w:pPr>
                </w:p>
                <w:p>
                  <w:pPr>
                    <w:spacing w:before="55" w:line="230" w:lineRule="auto"/>
                    <w:ind w:left="136"/>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bl>
          <w:p>
            <w:pPr>
              <w:spacing w:before="140" w:line="230" w:lineRule="auto"/>
              <w:ind w:left="499"/>
              <w:rPr>
                <w:rFonts w:ascii="宋体" w:hAnsi="宋体" w:eastAsia="宋体" w:cs="宋体"/>
                <w:sz w:val="20"/>
                <w:szCs w:val="20"/>
              </w:rPr>
            </w:pPr>
            <w:r>
              <w:rPr>
                <w:rFonts w:ascii="宋体" w:hAnsi="宋体" w:eastAsia="宋体" w:cs="宋体"/>
                <w:spacing w:val="1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3"/>
                <w:sz w:val="20"/>
                <w:szCs w:val="20"/>
              </w:rPr>
              <w:t>2</w:t>
            </w:r>
            <w:r>
              <w:rPr>
                <w:rFonts w:ascii="宋体" w:hAnsi="宋体" w:eastAsia="宋体" w:cs="宋体"/>
                <w:spacing w:val="13"/>
                <w:sz w:val="20"/>
                <w:szCs w:val="20"/>
                <w14:textOutline w14:w="3795" w14:cap="sq" w14:cmpd="sng">
                  <w14:solidFill>
                    <w14:srgbClr w14:val="000000"/>
                  </w14:solidFill>
                  <w14:prstDash w14:val="solid"/>
                  <w14:bevel/>
                </w14:textOutline>
              </w:rPr>
              <w:t>)</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与《四川省嘉陵江流域生态环境保护条例》符合性分析</w:t>
            </w:r>
          </w:p>
          <w:p>
            <w:pPr>
              <w:spacing w:before="151" w:line="399" w:lineRule="exact"/>
              <w:ind w:left="485"/>
              <w:rPr>
                <w:rFonts w:ascii="宋体" w:hAnsi="宋体" w:eastAsia="宋体" w:cs="宋体"/>
                <w:sz w:val="20"/>
                <w:szCs w:val="20"/>
              </w:rPr>
            </w:pPr>
            <w:r>
              <w:rPr>
                <w:rFonts w:ascii="Times New Roman" w:hAnsi="Times New Roman" w:eastAsia="Times New Roman" w:cs="Times New Roman"/>
                <w:spacing w:val="12"/>
                <w:position w:val="14"/>
                <w:sz w:val="20"/>
                <w:szCs w:val="20"/>
              </w:rPr>
              <w:t>20</w:t>
            </w:r>
            <w:r>
              <w:rPr>
                <w:rFonts w:ascii="Times New Roman" w:hAnsi="Times New Roman" w:eastAsia="Times New Roman" w:cs="Times New Roman"/>
                <w:spacing w:val="7"/>
                <w:position w:val="14"/>
                <w:sz w:val="20"/>
                <w:szCs w:val="20"/>
              </w:rPr>
              <w:t>2</w:t>
            </w:r>
            <w:r>
              <w:rPr>
                <w:rFonts w:ascii="Times New Roman" w:hAnsi="Times New Roman" w:eastAsia="Times New Roman" w:cs="Times New Roman"/>
                <w:spacing w:val="6"/>
                <w:position w:val="14"/>
                <w:sz w:val="20"/>
                <w:szCs w:val="20"/>
              </w:rPr>
              <w:t>1</w:t>
            </w:r>
            <w:r>
              <w:rPr>
                <w:rFonts w:ascii="宋体" w:hAnsi="宋体" w:eastAsia="宋体" w:cs="宋体"/>
                <w:spacing w:val="6"/>
                <w:position w:val="14"/>
                <w:sz w:val="20"/>
                <w:szCs w:val="20"/>
              </w:rPr>
              <w:t>年</w:t>
            </w:r>
            <w:r>
              <w:rPr>
                <w:rFonts w:ascii="Times New Roman" w:hAnsi="Times New Roman" w:eastAsia="Times New Roman" w:cs="Times New Roman"/>
                <w:spacing w:val="6"/>
                <w:position w:val="14"/>
                <w:sz w:val="20"/>
                <w:szCs w:val="20"/>
              </w:rPr>
              <w:t>11</w:t>
            </w:r>
            <w:r>
              <w:rPr>
                <w:rFonts w:ascii="宋体" w:hAnsi="宋体" w:eastAsia="宋体" w:cs="宋体"/>
                <w:spacing w:val="6"/>
                <w:position w:val="14"/>
                <w:sz w:val="20"/>
                <w:szCs w:val="20"/>
              </w:rPr>
              <w:t>月</w:t>
            </w:r>
            <w:r>
              <w:rPr>
                <w:rFonts w:ascii="Times New Roman" w:hAnsi="Times New Roman" w:eastAsia="Times New Roman" w:cs="Times New Roman"/>
                <w:spacing w:val="6"/>
                <w:position w:val="14"/>
                <w:sz w:val="20"/>
                <w:szCs w:val="20"/>
              </w:rPr>
              <w:t>25</w:t>
            </w:r>
            <w:r>
              <w:rPr>
                <w:rFonts w:ascii="宋体" w:hAnsi="宋体" w:eastAsia="宋体" w:cs="宋体"/>
                <w:spacing w:val="6"/>
                <w:position w:val="14"/>
                <w:sz w:val="20"/>
                <w:szCs w:val="20"/>
              </w:rPr>
              <w:t>日四川省第十三届人民代表大会常务委员会第三十一会议通过了《四川</w:t>
            </w:r>
          </w:p>
          <w:p>
            <w:pPr>
              <w:spacing w:line="227" w:lineRule="auto"/>
              <w:ind w:left="72"/>
              <w:rPr>
                <w:rFonts w:ascii="宋体" w:hAnsi="宋体" w:eastAsia="宋体" w:cs="宋体"/>
                <w:sz w:val="20"/>
                <w:szCs w:val="20"/>
              </w:rPr>
            </w:pPr>
            <w:r>
              <w:rPr>
                <w:rFonts w:ascii="宋体" w:hAnsi="宋体" w:eastAsia="宋体" w:cs="宋体"/>
                <w:spacing w:val="8"/>
                <w:sz w:val="20"/>
                <w:szCs w:val="20"/>
              </w:rPr>
              <w:t>省嘉陵江流域生态环境保护条例》</w:t>
            </w:r>
            <w:r>
              <w:rPr>
                <w:rFonts w:ascii="宋体" w:hAnsi="宋体" w:eastAsia="宋体" w:cs="宋体"/>
                <w:spacing w:val="6"/>
                <w:sz w:val="20"/>
                <w:szCs w:val="20"/>
              </w:rPr>
              <w:t>。</w:t>
            </w:r>
          </w:p>
          <w:p>
            <w:pPr>
              <w:spacing w:before="132" w:line="230" w:lineRule="auto"/>
              <w:ind w:left="1163"/>
              <w:rPr>
                <w:rFonts w:ascii="黑体" w:hAnsi="黑体" w:eastAsia="黑体" w:cs="黑体"/>
                <w:sz w:val="19"/>
                <w:szCs w:val="19"/>
              </w:rPr>
            </w:pPr>
            <w:r>
              <w:rPr>
                <w:rFonts w:ascii="黑体" w:hAnsi="黑体" w:eastAsia="黑体" w:cs="黑体"/>
                <w:spacing w:val="16"/>
                <w:sz w:val="19"/>
                <w:szCs w:val="19"/>
              </w:rPr>
              <w:t>表</w:t>
            </w:r>
            <w:r>
              <w:rPr>
                <w:rFonts w:ascii="Times New Roman" w:hAnsi="Times New Roman" w:eastAsia="Times New Roman" w:cs="Times New Roman"/>
                <w:spacing w:val="16"/>
                <w:sz w:val="19"/>
                <w:szCs w:val="19"/>
              </w:rPr>
              <w:t>6</w:t>
            </w:r>
            <w:r>
              <w:rPr>
                <w:rFonts w:ascii="Times New Roman" w:hAnsi="Times New Roman" w:eastAsia="Times New Roman" w:cs="Times New Roman"/>
                <w:spacing w:val="13"/>
                <w:sz w:val="19"/>
                <w:szCs w:val="19"/>
              </w:rPr>
              <w:t xml:space="preserve"> </w:t>
            </w:r>
            <w:r>
              <w:rPr>
                <w:rFonts w:ascii="Times New Roman" w:hAnsi="Times New Roman" w:eastAsia="Times New Roman" w:cs="Times New Roman"/>
                <w:spacing w:val="8"/>
                <w:sz w:val="19"/>
                <w:szCs w:val="19"/>
              </w:rPr>
              <w:t xml:space="preserve">   </w:t>
            </w:r>
            <w:r>
              <w:rPr>
                <w:rFonts w:ascii="黑体" w:hAnsi="黑体" w:eastAsia="黑体" w:cs="黑体"/>
                <w:spacing w:val="8"/>
                <w:sz w:val="19"/>
                <w:szCs w:val="19"/>
              </w:rPr>
              <w:t>项目与《四川省嘉陵江流域生态环境保护条例》的符合性分析</w:t>
            </w:r>
          </w:p>
          <w:p>
            <w:pPr>
              <w:spacing w:line="57" w:lineRule="auto"/>
              <w:rPr>
                <w:rFonts w:ascii="Arial"/>
                <w:sz w:val="2"/>
              </w:rPr>
            </w:pPr>
          </w:p>
          <w:tbl>
            <w:tblPr>
              <w:tblStyle w:val="4"/>
              <w:tblW w:w="7941" w:type="dxa"/>
              <w:tblInd w:w="1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6"/>
              <w:gridCol w:w="4501"/>
              <w:gridCol w:w="2225"/>
              <w:gridCol w:w="6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516" w:type="dxa"/>
                  <w:vAlign w:val="top"/>
                </w:tcPr>
                <w:p>
                  <w:pPr>
                    <w:spacing w:before="80" w:line="232" w:lineRule="auto"/>
                    <w:ind w:left="80"/>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序</w:t>
                  </w:r>
                  <w:r>
                    <w:rPr>
                      <w:rFonts w:ascii="宋体" w:hAnsi="宋体" w:eastAsia="宋体" w:cs="宋体"/>
                      <w:spacing w:val="6"/>
                      <w:sz w:val="17"/>
                      <w:szCs w:val="17"/>
                      <w14:textOutline w14:w="3268" w14:cap="sq" w14:cmpd="sng">
                        <w14:solidFill>
                          <w14:srgbClr w14:val="000000"/>
                        </w14:solidFill>
                        <w14:prstDash w14:val="solid"/>
                        <w14:bevel/>
                      </w14:textOutline>
                    </w:rPr>
                    <w:t>号</w:t>
                  </w:r>
                </w:p>
              </w:tc>
              <w:tc>
                <w:tcPr>
                  <w:tcW w:w="4501" w:type="dxa"/>
                  <w:vAlign w:val="top"/>
                </w:tcPr>
                <w:p>
                  <w:pPr>
                    <w:spacing w:before="81" w:line="230" w:lineRule="auto"/>
                    <w:ind w:left="1897"/>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原</w:t>
                  </w:r>
                  <w:r>
                    <w:rPr>
                      <w:rFonts w:ascii="宋体" w:hAnsi="宋体" w:eastAsia="宋体" w:cs="宋体"/>
                      <w:spacing w:val="7"/>
                      <w:sz w:val="17"/>
                      <w:szCs w:val="17"/>
                      <w14:textOutline w14:w="3268" w14:cap="sq" w14:cmpd="sng">
                        <w14:solidFill>
                          <w14:srgbClr w14:val="000000"/>
                        </w14:solidFill>
                        <w14:prstDash w14:val="solid"/>
                        <w14:bevel/>
                      </w14:textOutline>
                    </w:rPr>
                    <w:t>文内容</w:t>
                  </w:r>
                </w:p>
              </w:tc>
              <w:tc>
                <w:tcPr>
                  <w:tcW w:w="2225" w:type="dxa"/>
                  <w:vAlign w:val="top"/>
                </w:tcPr>
                <w:p>
                  <w:pPr>
                    <w:spacing w:before="81" w:line="229" w:lineRule="auto"/>
                    <w:ind w:left="666"/>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本项目情</w:t>
                  </w:r>
                  <w:r>
                    <w:rPr>
                      <w:rFonts w:ascii="宋体" w:hAnsi="宋体" w:eastAsia="宋体" w:cs="宋体"/>
                      <w:spacing w:val="8"/>
                      <w:sz w:val="17"/>
                      <w:szCs w:val="17"/>
                      <w14:textOutline w14:w="3268" w14:cap="sq" w14:cmpd="sng">
                        <w14:solidFill>
                          <w14:srgbClr w14:val="000000"/>
                        </w14:solidFill>
                        <w14:prstDash w14:val="solid"/>
                        <w14:bevel/>
                      </w14:textOutline>
                    </w:rPr>
                    <w:t>况</w:t>
                  </w:r>
                </w:p>
              </w:tc>
              <w:tc>
                <w:tcPr>
                  <w:tcW w:w="699" w:type="dxa"/>
                  <w:vAlign w:val="top"/>
                </w:tcPr>
                <w:p>
                  <w:pPr>
                    <w:spacing w:before="81" w:line="230" w:lineRule="auto"/>
                    <w:ind w:left="83"/>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符合</w:t>
                  </w:r>
                  <w:r>
                    <w:rPr>
                      <w:rFonts w:ascii="宋体" w:hAnsi="宋体" w:eastAsia="宋体" w:cs="宋体"/>
                      <w:spacing w:val="7"/>
                      <w:sz w:val="17"/>
                      <w:szCs w:val="17"/>
                      <w14:textOutline w14:w="3268" w14:cap="sq" w14:cmpd="sng">
                        <w14:solidFill>
                          <w14:srgbClr w14:val="000000"/>
                        </w14:solidFill>
                        <w14:prstDash w14:val="solid"/>
                        <w14:bevel/>
                      </w14:textOutline>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516" w:type="dxa"/>
                  <w:vAlign w:val="top"/>
                </w:tcPr>
                <w:p>
                  <w:pPr>
                    <w:spacing w:before="245" w:line="197" w:lineRule="auto"/>
                    <w:ind w:left="231"/>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4501" w:type="dxa"/>
                  <w:vAlign w:val="top"/>
                </w:tcPr>
                <w:p>
                  <w:pPr>
                    <w:spacing w:before="75" w:line="268" w:lineRule="auto"/>
                    <w:ind w:left="6" w:right="116"/>
                    <w:rPr>
                      <w:rFonts w:ascii="宋体" w:hAnsi="宋体" w:eastAsia="宋体" w:cs="宋体"/>
                      <w:sz w:val="17"/>
                      <w:szCs w:val="17"/>
                    </w:rPr>
                  </w:pPr>
                  <w:r>
                    <w:rPr>
                      <w:rFonts w:ascii="宋体" w:hAnsi="宋体" w:eastAsia="宋体" w:cs="宋体"/>
                      <w:spacing w:val="16"/>
                      <w:sz w:val="17"/>
                      <w:szCs w:val="17"/>
                    </w:rPr>
                    <w:t>第</w:t>
                  </w:r>
                  <w:r>
                    <w:rPr>
                      <w:rFonts w:ascii="宋体" w:hAnsi="宋体" w:eastAsia="宋体" w:cs="宋体"/>
                      <w:spacing w:val="8"/>
                      <w:sz w:val="17"/>
                      <w:szCs w:val="17"/>
                    </w:rPr>
                    <w:t>十七条 禁止在嘉陵江干支流岸线一公里范围内新建、</w:t>
                  </w:r>
                  <w:r>
                    <w:rPr>
                      <w:rFonts w:ascii="宋体" w:hAnsi="宋体" w:eastAsia="宋体" w:cs="宋体"/>
                      <w:sz w:val="17"/>
                      <w:szCs w:val="17"/>
                    </w:rPr>
                    <w:t xml:space="preserve"> </w:t>
                  </w:r>
                  <w:r>
                    <w:rPr>
                      <w:rFonts w:ascii="宋体" w:hAnsi="宋体" w:eastAsia="宋体" w:cs="宋体"/>
                      <w:spacing w:val="14"/>
                      <w:sz w:val="17"/>
                      <w:szCs w:val="17"/>
                    </w:rPr>
                    <w:t>扩</w:t>
                  </w:r>
                  <w:r>
                    <w:rPr>
                      <w:rFonts w:ascii="宋体" w:hAnsi="宋体" w:eastAsia="宋体" w:cs="宋体"/>
                      <w:spacing w:val="8"/>
                      <w:sz w:val="17"/>
                      <w:szCs w:val="17"/>
                    </w:rPr>
                    <w:t>建化工园区和化工项目。</w:t>
                  </w:r>
                </w:p>
              </w:tc>
              <w:tc>
                <w:tcPr>
                  <w:tcW w:w="2225" w:type="dxa"/>
                  <w:vAlign w:val="top"/>
                </w:tcPr>
                <w:p>
                  <w:pPr>
                    <w:spacing w:before="216" w:line="231" w:lineRule="auto"/>
                    <w:ind w:left="13"/>
                    <w:rPr>
                      <w:rFonts w:ascii="宋体" w:hAnsi="宋体" w:eastAsia="宋体" w:cs="宋体"/>
                      <w:sz w:val="17"/>
                      <w:szCs w:val="17"/>
                    </w:rPr>
                  </w:pPr>
                  <w:r>
                    <w:rPr>
                      <w:rFonts w:ascii="宋体" w:hAnsi="宋体" w:eastAsia="宋体" w:cs="宋体"/>
                      <w:spacing w:val="8"/>
                      <w:sz w:val="17"/>
                      <w:szCs w:val="17"/>
                    </w:rPr>
                    <w:t>项目不属于化工项目。</w:t>
                  </w:r>
                </w:p>
              </w:tc>
              <w:tc>
                <w:tcPr>
                  <w:tcW w:w="699" w:type="dxa"/>
                  <w:vAlign w:val="top"/>
                </w:tcPr>
                <w:p>
                  <w:pPr>
                    <w:spacing w:before="216" w:line="230" w:lineRule="auto"/>
                    <w:ind w:left="174"/>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516" w:type="dxa"/>
                  <w:vAlign w:val="top"/>
                </w:tcPr>
                <w:p>
                  <w:pPr>
                    <w:spacing w:before="247" w:line="197" w:lineRule="auto"/>
                    <w:ind w:left="21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4501" w:type="dxa"/>
                  <w:vAlign w:val="top"/>
                </w:tcPr>
                <w:p>
                  <w:pPr>
                    <w:spacing w:before="76" w:line="268" w:lineRule="auto"/>
                    <w:ind w:left="8" w:right="27" w:hanging="2"/>
                    <w:rPr>
                      <w:rFonts w:ascii="宋体" w:hAnsi="宋体" w:eastAsia="宋体" w:cs="宋体"/>
                      <w:sz w:val="17"/>
                      <w:szCs w:val="17"/>
                    </w:rPr>
                  </w:pPr>
                  <w:r>
                    <w:rPr>
                      <w:rFonts w:ascii="宋体" w:hAnsi="宋体" w:eastAsia="宋体" w:cs="宋体"/>
                      <w:spacing w:val="18"/>
                      <w:sz w:val="17"/>
                      <w:szCs w:val="17"/>
                    </w:rPr>
                    <w:t>第</w:t>
                  </w:r>
                  <w:r>
                    <w:rPr>
                      <w:rFonts w:ascii="宋体" w:hAnsi="宋体" w:eastAsia="宋体" w:cs="宋体"/>
                      <w:spacing w:val="14"/>
                      <w:sz w:val="17"/>
                      <w:szCs w:val="17"/>
                    </w:rPr>
                    <w:t>二</w:t>
                  </w:r>
                  <w:r>
                    <w:rPr>
                      <w:rFonts w:ascii="宋体" w:hAnsi="宋体" w:eastAsia="宋体" w:cs="宋体"/>
                      <w:spacing w:val="9"/>
                      <w:sz w:val="17"/>
                      <w:szCs w:val="17"/>
                    </w:rPr>
                    <w:t>十一条 按照排污许可证的规定排放污染物；禁止未</w:t>
                  </w:r>
                  <w:r>
                    <w:rPr>
                      <w:rFonts w:ascii="宋体" w:hAnsi="宋体" w:eastAsia="宋体" w:cs="宋体"/>
                      <w:sz w:val="17"/>
                      <w:szCs w:val="17"/>
                    </w:rPr>
                    <w:t xml:space="preserve"> </w:t>
                  </w:r>
                  <w:r>
                    <w:rPr>
                      <w:rFonts w:ascii="宋体" w:hAnsi="宋体" w:eastAsia="宋体" w:cs="宋体"/>
                      <w:spacing w:val="16"/>
                      <w:sz w:val="17"/>
                      <w:szCs w:val="17"/>
                    </w:rPr>
                    <w:t>取</w:t>
                  </w:r>
                  <w:r>
                    <w:rPr>
                      <w:rFonts w:ascii="宋体" w:hAnsi="宋体" w:eastAsia="宋体" w:cs="宋体"/>
                      <w:spacing w:val="9"/>
                      <w:sz w:val="17"/>
                      <w:szCs w:val="17"/>
                    </w:rPr>
                    <w:t>得</w:t>
                  </w:r>
                  <w:r>
                    <w:rPr>
                      <w:rFonts w:ascii="宋体" w:hAnsi="宋体" w:eastAsia="宋体" w:cs="宋体"/>
                      <w:spacing w:val="8"/>
                      <w:sz w:val="17"/>
                      <w:szCs w:val="17"/>
                    </w:rPr>
                    <w:t>排污许可证或者违反排污许可证的规定排放污染物。</w:t>
                  </w:r>
                </w:p>
              </w:tc>
              <w:tc>
                <w:tcPr>
                  <w:tcW w:w="2225" w:type="dxa"/>
                  <w:vAlign w:val="top"/>
                </w:tcPr>
                <w:p>
                  <w:pPr>
                    <w:spacing w:before="216" w:line="230" w:lineRule="auto"/>
                    <w:ind w:left="13"/>
                    <w:rPr>
                      <w:rFonts w:ascii="宋体" w:hAnsi="宋体" w:eastAsia="宋体" w:cs="宋体"/>
                      <w:sz w:val="17"/>
                      <w:szCs w:val="17"/>
                    </w:rPr>
                  </w:pPr>
                  <w:r>
                    <w:rPr>
                      <w:rFonts w:ascii="宋体" w:hAnsi="宋体" w:eastAsia="宋体" w:cs="宋体"/>
                      <w:spacing w:val="8"/>
                      <w:sz w:val="17"/>
                      <w:szCs w:val="17"/>
                    </w:rPr>
                    <w:t>项目不涉及排放废水。</w:t>
                  </w:r>
                </w:p>
              </w:tc>
              <w:tc>
                <w:tcPr>
                  <w:tcW w:w="699" w:type="dxa"/>
                  <w:vAlign w:val="top"/>
                </w:tcPr>
                <w:p>
                  <w:pPr>
                    <w:spacing w:before="216" w:line="230" w:lineRule="auto"/>
                    <w:ind w:left="174"/>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7" w:hRule="atLeast"/>
              </w:trPr>
              <w:tc>
                <w:tcPr>
                  <w:tcW w:w="516" w:type="dxa"/>
                  <w:vAlign w:val="top"/>
                </w:tcPr>
                <w:p>
                  <w:pPr>
                    <w:spacing w:line="337" w:lineRule="auto"/>
                    <w:rPr>
                      <w:rFonts w:ascii="Arial"/>
                      <w:sz w:val="21"/>
                    </w:rPr>
                  </w:pPr>
                </w:p>
                <w:p>
                  <w:pPr>
                    <w:spacing w:before="49" w:line="197" w:lineRule="auto"/>
                    <w:ind w:left="218"/>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tc>
              <w:tc>
                <w:tcPr>
                  <w:tcW w:w="4501" w:type="dxa"/>
                  <w:vAlign w:val="top"/>
                </w:tcPr>
                <w:p>
                  <w:pPr>
                    <w:spacing w:before="77" w:line="280" w:lineRule="auto"/>
                    <w:ind w:left="6" w:right="1"/>
                    <w:rPr>
                      <w:rFonts w:ascii="宋体" w:hAnsi="宋体" w:eastAsia="宋体" w:cs="宋体"/>
                      <w:sz w:val="17"/>
                      <w:szCs w:val="17"/>
                    </w:rPr>
                  </w:pPr>
                  <w:r>
                    <w:rPr>
                      <w:rFonts w:ascii="宋体" w:hAnsi="宋体" w:eastAsia="宋体" w:cs="宋体"/>
                      <w:spacing w:val="18"/>
                      <w:sz w:val="17"/>
                      <w:szCs w:val="17"/>
                    </w:rPr>
                    <w:t>第</w:t>
                  </w:r>
                  <w:r>
                    <w:rPr>
                      <w:rFonts w:ascii="宋体" w:hAnsi="宋体" w:eastAsia="宋体" w:cs="宋体"/>
                      <w:spacing w:val="14"/>
                      <w:sz w:val="17"/>
                      <w:szCs w:val="17"/>
                    </w:rPr>
                    <w:t>二</w:t>
                  </w:r>
                  <w:r>
                    <w:rPr>
                      <w:rFonts w:ascii="宋体" w:hAnsi="宋体" w:eastAsia="宋体" w:cs="宋体"/>
                      <w:spacing w:val="9"/>
                      <w:sz w:val="17"/>
                      <w:szCs w:val="17"/>
                    </w:rPr>
                    <w:t>十二条 企业事业单位和其他生产经营者向嘉陵江流</w:t>
                  </w:r>
                  <w:r>
                    <w:rPr>
                      <w:rFonts w:ascii="宋体" w:hAnsi="宋体" w:eastAsia="宋体" w:cs="宋体"/>
                      <w:sz w:val="17"/>
                      <w:szCs w:val="17"/>
                    </w:rPr>
                    <w:t xml:space="preserve"> </w:t>
                  </w:r>
                  <w:r>
                    <w:rPr>
                      <w:rFonts w:ascii="宋体" w:hAnsi="宋体" w:eastAsia="宋体" w:cs="宋体"/>
                      <w:spacing w:val="18"/>
                      <w:sz w:val="17"/>
                      <w:szCs w:val="17"/>
                    </w:rPr>
                    <w:t>域</w:t>
                  </w:r>
                  <w:r>
                    <w:rPr>
                      <w:rFonts w:ascii="宋体" w:hAnsi="宋体" w:eastAsia="宋体" w:cs="宋体"/>
                      <w:spacing w:val="12"/>
                      <w:sz w:val="17"/>
                      <w:szCs w:val="17"/>
                    </w:rPr>
                    <w:t>排</w:t>
                  </w:r>
                  <w:r>
                    <w:rPr>
                      <w:rFonts w:ascii="宋体" w:hAnsi="宋体" w:eastAsia="宋体" w:cs="宋体"/>
                      <w:spacing w:val="9"/>
                      <w:sz w:val="17"/>
                      <w:szCs w:val="17"/>
                    </w:rPr>
                    <w:t>放污水的，应当按照生态环境主管部门的规定建设规</w:t>
                  </w:r>
                  <w:r>
                    <w:rPr>
                      <w:rFonts w:ascii="宋体" w:hAnsi="宋体" w:eastAsia="宋体" w:cs="宋体"/>
                      <w:sz w:val="17"/>
                      <w:szCs w:val="17"/>
                    </w:rPr>
                    <w:t xml:space="preserve"> </w:t>
                  </w:r>
                  <w:r>
                    <w:rPr>
                      <w:rFonts w:ascii="宋体" w:hAnsi="宋体" w:eastAsia="宋体" w:cs="宋体"/>
                      <w:spacing w:val="9"/>
                      <w:sz w:val="17"/>
                      <w:szCs w:val="17"/>
                    </w:rPr>
                    <w:t>范化污染物排放口，并设置标志牌</w:t>
                  </w:r>
                  <w:r>
                    <w:rPr>
                      <w:rFonts w:ascii="宋体" w:hAnsi="宋体" w:eastAsia="宋体" w:cs="宋体"/>
                      <w:spacing w:val="7"/>
                      <w:sz w:val="17"/>
                      <w:szCs w:val="17"/>
                    </w:rPr>
                    <w:t>。</w:t>
                  </w:r>
                </w:p>
              </w:tc>
              <w:tc>
                <w:tcPr>
                  <w:tcW w:w="2225" w:type="dxa"/>
                  <w:vAlign w:val="top"/>
                </w:tcPr>
                <w:p>
                  <w:pPr>
                    <w:spacing w:before="77" w:line="280" w:lineRule="auto"/>
                    <w:ind w:left="9" w:right="1" w:firstLine="3"/>
                    <w:rPr>
                      <w:rFonts w:ascii="宋体" w:hAnsi="宋体" w:eastAsia="宋体" w:cs="宋体"/>
                      <w:sz w:val="17"/>
                      <w:szCs w:val="17"/>
                    </w:rPr>
                  </w:pPr>
                  <w:r>
                    <w:rPr>
                      <w:rFonts w:ascii="宋体" w:hAnsi="宋体" w:eastAsia="宋体" w:cs="宋体"/>
                      <w:spacing w:val="22"/>
                      <w:sz w:val="17"/>
                      <w:szCs w:val="17"/>
                    </w:rPr>
                    <w:t>项</w:t>
                  </w:r>
                  <w:r>
                    <w:rPr>
                      <w:rFonts w:ascii="宋体" w:hAnsi="宋体" w:eastAsia="宋体" w:cs="宋体"/>
                      <w:spacing w:val="13"/>
                      <w:sz w:val="17"/>
                      <w:szCs w:val="17"/>
                    </w:rPr>
                    <w:t>目不设排污口；施工废水</w:t>
                  </w:r>
                  <w:r>
                    <w:rPr>
                      <w:rFonts w:ascii="宋体" w:hAnsi="宋体" w:eastAsia="宋体" w:cs="宋体"/>
                      <w:sz w:val="17"/>
                      <w:szCs w:val="17"/>
                    </w:rPr>
                    <w:t xml:space="preserve"> </w:t>
                  </w:r>
                  <w:r>
                    <w:rPr>
                      <w:rFonts w:ascii="宋体" w:hAnsi="宋体" w:eastAsia="宋体" w:cs="宋体"/>
                      <w:spacing w:val="14"/>
                      <w:sz w:val="17"/>
                      <w:szCs w:val="17"/>
                    </w:rPr>
                    <w:t>收集处理后回用；营运期无</w:t>
                  </w:r>
                  <w:r>
                    <w:rPr>
                      <w:rFonts w:ascii="宋体" w:hAnsi="宋体" w:eastAsia="宋体" w:cs="宋体"/>
                      <w:sz w:val="17"/>
                      <w:szCs w:val="17"/>
                    </w:rPr>
                    <w:t xml:space="preserve"> </w:t>
                  </w:r>
                  <w:r>
                    <w:rPr>
                      <w:rFonts w:ascii="宋体" w:hAnsi="宋体" w:eastAsia="宋体" w:cs="宋体"/>
                      <w:spacing w:val="13"/>
                      <w:sz w:val="17"/>
                      <w:szCs w:val="17"/>
                    </w:rPr>
                    <w:t>废</w:t>
                  </w:r>
                  <w:r>
                    <w:rPr>
                      <w:rFonts w:ascii="宋体" w:hAnsi="宋体" w:eastAsia="宋体" w:cs="宋体"/>
                      <w:spacing w:val="9"/>
                      <w:sz w:val="17"/>
                      <w:szCs w:val="17"/>
                    </w:rPr>
                    <w:t>水，雨水进入市政管网</w:t>
                  </w:r>
                </w:p>
              </w:tc>
              <w:tc>
                <w:tcPr>
                  <w:tcW w:w="699" w:type="dxa"/>
                  <w:vAlign w:val="top"/>
                </w:tcPr>
                <w:p>
                  <w:pPr>
                    <w:spacing w:line="301" w:lineRule="auto"/>
                    <w:rPr>
                      <w:rFonts w:ascii="Arial"/>
                      <w:sz w:val="21"/>
                    </w:rPr>
                  </w:pPr>
                </w:p>
                <w:p>
                  <w:pPr>
                    <w:spacing w:before="55" w:line="230" w:lineRule="auto"/>
                    <w:ind w:left="174"/>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516" w:type="dxa"/>
                  <w:vAlign w:val="top"/>
                </w:tcPr>
                <w:p>
                  <w:pPr>
                    <w:spacing w:before="249" w:line="197" w:lineRule="auto"/>
                    <w:ind w:left="21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4501" w:type="dxa"/>
                  <w:vAlign w:val="top"/>
                </w:tcPr>
                <w:p>
                  <w:pPr>
                    <w:spacing w:before="78" w:line="270" w:lineRule="auto"/>
                    <w:ind w:left="6" w:right="85"/>
                    <w:rPr>
                      <w:rFonts w:ascii="宋体" w:hAnsi="宋体" w:eastAsia="宋体" w:cs="宋体"/>
                      <w:sz w:val="17"/>
                      <w:szCs w:val="17"/>
                    </w:rPr>
                  </w:pPr>
                  <w:r>
                    <w:rPr>
                      <w:rFonts w:ascii="宋体" w:hAnsi="宋体" w:eastAsia="宋体" w:cs="宋体"/>
                      <w:spacing w:val="18"/>
                      <w:sz w:val="17"/>
                      <w:szCs w:val="17"/>
                    </w:rPr>
                    <w:t>第</w:t>
                  </w:r>
                  <w:r>
                    <w:rPr>
                      <w:rFonts w:ascii="宋体" w:hAnsi="宋体" w:eastAsia="宋体" w:cs="宋体"/>
                      <w:spacing w:val="14"/>
                      <w:sz w:val="17"/>
                      <w:szCs w:val="17"/>
                    </w:rPr>
                    <w:t>七</w:t>
                  </w:r>
                  <w:r>
                    <w:rPr>
                      <w:rFonts w:ascii="宋体" w:hAnsi="宋体" w:eastAsia="宋体" w:cs="宋体"/>
                      <w:spacing w:val="9"/>
                      <w:sz w:val="17"/>
                      <w:szCs w:val="17"/>
                    </w:rPr>
                    <w:t>十三条 禁止在嘉陵江流域河湖管理范围内倾倒、填</w:t>
                  </w:r>
                  <w:r>
                    <w:rPr>
                      <w:rFonts w:ascii="宋体" w:hAnsi="宋体" w:eastAsia="宋体" w:cs="宋体"/>
                      <w:sz w:val="17"/>
                      <w:szCs w:val="17"/>
                    </w:rPr>
                    <w:t xml:space="preserve"> </w:t>
                  </w:r>
                  <w:r>
                    <w:rPr>
                      <w:rFonts w:ascii="宋体" w:hAnsi="宋体" w:eastAsia="宋体" w:cs="宋体"/>
                      <w:spacing w:val="9"/>
                      <w:sz w:val="17"/>
                      <w:szCs w:val="17"/>
                    </w:rPr>
                    <w:t>埋、堆放、弃置、处理固体废物</w:t>
                  </w:r>
                  <w:r>
                    <w:rPr>
                      <w:rFonts w:ascii="宋体" w:hAnsi="宋体" w:eastAsia="宋体" w:cs="宋体"/>
                      <w:spacing w:val="6"/>
                      <w:sz w:val="17"/>
                      <w:szCs w:val="17"/>
                    </w:rPr>
                    <w:t>。</w:t>
                  </w:r>
                </w:p>
              </w:tc>
              <w:tc>
                <w:tcPr>
                  <w:tcW w:w="2225" w:type="dxa"/>
                  <w:vAlign w:val="top"/>
                </w:tcPr>
                <w:p>
                  <w:pPr>
                    <w:spacing w:before="78" w:line="268" w:lineRule="auto"/>
                    <w:ind w:left="10" w:right="32" w:firstLine="2"/>
                    <w:rPr>
                      <w:rFonts w:ascii="宋体" w:hAnsi="宋体" w:eastAsia="宋体" w:cs="宋体"/>
                      <w:sz w:val="17"/>
                      <w:szCs w:val="17"/>
                    </w:rPr>
                  </w:pPr>
                  <w:r>
                    <w:rPr>
                      <w:rFonts w:ascii="宋体" w:hAnsi="宋体" w:eastAsia="宋体" w:cs="宋体"/>
                      <w:spacing w:val="13"/>
                      <w:sz w:val="17"/>
                      <w:szCs w:val="17"/>
                    </w:rPr>
                    <w:t>项</w:t>
                  </w:r>
                  <w:r>
                    <w:rPr>
                      <w:rFonts w:ascii="宋体" w:hAnsi="宋体" w:eastAsia="宋体" w:cs="宋体"/>
                      <w:spacing w:val="11"/>
                      <w:sz w:val="17"/>
                      <w:szCs w:val="17"/>
                    </w:rPr>
                    <w:t>目施工前固废集中收集、</w:t>
                  </w:r>
                  <w:r>
                    <w:rPr>
                      <w:rFonts w:ascii="宋体" w:hAnsi="宋体" w:eastAsia="宋体" w:cs="宋体"/>
                      <w:sz w:val="17"/>
                      <w:szCs w:val="17"/>
                    </w:rPr>
                    <w:t xml:space="preserve"> </w:t>
                  </w:r>
                  <w:r>
                    <w:rPr>
                      <w:rFonts w:ascii="宋体" w:hAnsi="宋体" w:eastAsia="宋体" w:cs="宋体"/>
                      <w:spacing w:val="12"/>
                      <w:sz w:val="17"/>
                      <w:szCs w:val="17"/>
                    </w:rPr>
                    <w:t>集</w:t>
                  </w:r>
                  <w:r>
                    <w:rPr>
                      <w:rFonts w:ascii="宋体" w:hAnsi="宋体" w:eastAsia="宋体" w:cs="宋体"/>
                      <w:spacing w:val="9"/>
                      <w:sz w:val="17"/>
                      <w:szCs w:val="17"/>
                    </w:rPr>
                    <w:t>中处置，不会排入河道</w:t>
                  </w:r>
                </w:p>
              </w:tc>
              <w:tc>
                <w:tcPr>
                  <w:tcW w:w="699" w:type="dxa"/>
                  <w:vAlign w:val="top"/>
                </w:tcPr>
                <w:p>
                  <w:pPr>
                    <w:spacing w:before="218" w:line="230" w:lineRule="auto"/>
                    <w:ind w:left="174"/>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2" w:hRule="atLeast"/>
              </w:trPr>
              <w:tc>
                <w:tcPr>
                  <w:tcW w:w="516" w:type="dxa"/>
                  <w:vAlign w:val="top"/>
                </w:tcPr>
                <w:p>
                  <w:pPr>
                    <w:spacing w:line="243" w:lineRule="auto"/>
                    <w:rPr>
                      <w:rFonts w:ascii="Arial"/>
                      <w:sz w:val="21"/>
                    </w:rPr>
                  </w:pPr>
                </w:p>
                <w:p>
                  <w:pPr>
                    <w:spacing w:line="244" w:lineRule="auto"/>
                    <w:rPr>
                      <w:rFonts w:ascii="Arial"/>
                      <w:sz w:val="21"/>
                    </w:rPr>
                  </w:pPr>
                </w:p>
                <w:p>
                  <w:pPr>
                    <w:spacing w:before="49" w:line="194" w:lineRule="auto"/>
                    <w:ind w:left="219"/>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4501" w:type="dxa"/>
                  <w:vAlign w:val="top"/>
                </w:tcPr>
                <w:p>
                  <w:pPr>
                    <w:spacing w:before="85" w:line="286" w:lineRule="auto"/>
                    <w:ind w:left="6"/>
                    <w:rPr>
                      <w:rFonts w:ascii="宋体" w:hAnsi="宋体" w:eastAsia="宋体" w:cs="宋体"/>
                      <w:sz w:val="17"/>
                      <w:szCs w:val="17"/>
                    </w:rPr>
                  </w:pPr>
                  <w:r>
                    <w:rPr>
                      <w:rFonts w:ascii="宋体" w:hAnsi="宋体" w:eastAsia="宋体" w:cs="宋体"/>
                      <w:spacing w:val="10"/>
                      <w:sz w:val="17"/>
                      <w:szCs w:val="17"/>
                    </w:rPr>
                    <w:t>第七</w:t>
                  </w:r>
                  <w:r>
                    <w:rPr>
                      <w:rFonts w:ascii="宋体" w:hAnsi="宋体" w:eastAsia="宋体" w:cs="宋体"/>
                      <w:spacing w:val="9"/>
                      <w:sz w:val="17"/>
                      <w:szCs w:val="17"/>
                    </w:rPr>
                    <w:t>十</w:t>
                  </w:r>
                  <w:r>
                    <w:rPr>
                      <w:rFonts w:ascii="宋体" w:hAnsi="宋体" w:eastAsia="宋体" w:cs="宋体"/>
                      <w:spacing w:val="5"/>
                      <w:sz w:val="17"/>
                      <w:szCs w:val="17"/>
                    </w:rPr>
                    <w:t>七条 嘉陵江流域产业结构和布局应当与流域生态系</w:t>
                  </w:r>
                  <w:r>
                    <w:rPr>
                      <w:rFonts w:ascii="宋体" w:hAnsi="宋体" w:eastAsia="宋体" w:cs="宋体"/>
                      <w:sz w:val="17"/>
                      <w:szCs w:val="17"/>
                    </w:rPr>
                    <w:t xml:space="preserve"> </w:t>
                  </w:r>
                  <w:r>
                    <w:rPr>
                      <w:rFonts w:ascii="宋体" w:hAnsi="宋体" w:eastAsia="宋体" w:cs="宋体"/>
                      <w:spacing w:val="4"/>
                      <w:sz w:val="17"/>
                      <w:szCs w:val="17"/>
                    </w:rPr>
                    <w:t>统和资源环境承载</w:t>
                  </w:r>
                  <w:r>
                    <w:rPr>
                      <w:rFonts w:ascii="宋体" w:hAnsi="宋体" w:eastAsia="宋体" w:cs="宋体"/>
                      <w:spacing w:val="2"/>
                      <w:sz w:val="17"/>
                      <w:szCs w:val="17"/>
                    </w:rPr>
                    <w:t>能力相适应。禁止在嘉陵江流域重点生态</w:t>
                  </w:r>
                  <w:r>
                    <w:rPr>
                      <w:rFonts w:ascii="宋体" w:hAnsi="宋体" w:eastAsia="宋体" w:cs="宋体"/>
                      <w:sz w:val="17"/>
                      <w:szCs w:val="17"/>
                    </w:rPr>
                    <w:t xml:space="preserve"> </w:t>
                  </w:r>
                  <w:r>
                    <w:rPr>
                      <w:rFonts w:ascii="宋体" w:hAnsi="宋体" w:eastAsia="宋体" w:cs="宋体"/>
                      <w:spacing w:val="4"/>
                      <w:sz w:val="17"/>
                      <w:szCs w:val="17"/>
                    </w:rPr>
                    <w:t>功能区布局对生态</w:t>
                  </w:r>
                  <w:r>
                    <w:rPr>
                      <w:rFonts w:ascii="宋体" w:hAnsi="宋体" w:eastAsia="宋体" w:cs="宋体"/>
                      <w:spacing w:val="2"/>
                      <w:sz w:val="17"/>
                      <w:szCs w:val="17"/>
                    </w:rPr>
                    <w:t>系统有严重影响的产业。禁止重污染企业</w:t>
                  </w:r>
                  <w:r>
                    <w:rPr>
                      <w:rFonts w:ascii="宋体" w:hAnsi="宋体" w:eastAsia="宋体" w:cs="宋体"/>
                      <w:sz w:val="17"/>
                      <w:szCs w:val="17"/>
                    </w:rPr>
                    <w:t xml:space="preserve"> </w:t>
                  </w:r>
                  <w:r>
                    <w:rPr>
                      <w:rFonts w:ascii="宋体" w:hAnsi="宋体" w:eastAsia="宋体" w:cs="宋体"/>
                      <w:spacing w:val="5"/>
                      <w:sz w:val="17"/>
                      <w:szCs w:val="17"/>
                    </w:rPr>
                    <w:t>和项目向嘉陵江流域转移</w:t>
                  </w:r>
                  <w:r>
                    <w:rPr>
                      <w:rFonts w:ascii="宋体" w:hAnsi="宋体" w:eastAsia="宋体" w:cs="宋体"/>
                      <w:spacing w:val="4"/>
                      <w:sz w:val="17"/>
                      <w:szCs w:val="17"/>
                    </w:rPr>
                    <w:t>。</w:t>
                  </w:r>
                </w:p>
              </w:tc>
              <w:tc>
                <w:tcPr>
                  <w:tcW w:w="2225" w:type="dxa"/>
                  <w:vAlign w:val="top"/>
                </w:tcPr>
                <w:p>
                  <w:pPr>
                    <w:spacing w:before="225" w:line="317" w:lineRule="auto"/>
                    <w:ind w:left="9" w:right="56" w:firstLine="1"/>
                    <w:rPr>
                      <w:rFonts w:ascii="宋体" w:hAnsi="宋体" w:eastAsia="宋体" w:cs="宋体"/>
                      <w:sz w:val="17"/>
                      <w:szCs w:val="17"/>
                    </w:rPr>
                  </w:pPr>
                  <w:r>
                    <w:rPr>
                      <w:rFonts w:ascii="宋体" w:hAnsi="宋体" w:eastAsia="宋体" w:cs="宋体"/>
                      <w:spacing w:val="13"/>
                      <w:sz w:val="17"/>
                      <w:szCs w:val="17"/>
                    </w:rPr>
                    <w:t>本</w:t>
                  </w:r>
                  <w:r>
                    <w:rPr>
                      <w:rFonts w:ascii="宋体" w:hAnsi="宋体" w:eastAsia="宋体" w:cs="宋体"/>
                      <w:spacing w:val="9"/>
                      <w:sz w:val="17"/>
                      <w:szCs w:val="17"/>
                    </w:rPr>
                    <w:t>项目为城市桥梁，不属于</w:t>
                  </w:r>
                  <w:r>
                    <w:rPr>
                      <w:rFonts w:ascii="宋体" w:hAnsi="宋体" w:eastAsia="宋体" w:cs="宋体"/>
                      <w:sz w:val="17"/>
                      <w:szCs w:val="17"/>
                    </w:rPr>
                    <w:t xml:space="preserve"> </w:t>
                  </w:r>
                  <w:r>
                    <w:rPr>
                      <w:rFonts w:ascii="宋体" w:hAnsi="宋体" w:eastAsia="宋体" w:cs="宋体"/>
                      <w:spacing w:val="14"/>
                      <w:sz w:val="17"/>
                      <w:szCs w:val="17"/>
                    </w:rPr>
                    <w:t>对</w:t>
                  </w:r>
                  <w:r>
                    <w:rPr>
                      <w:rFonts w:ascii="宋体" w:hAnsi="宋体" w:eastAsia="宋体" w:cs="宋体"/>
                      <w:spacing w:val="9"/>
                      <w:sz w:val="17"/>
                      <w:szCs w:val="17"/>
                    </w:rPr>
                    <w:t>生态系统有严重影响的行</w:t>
                  </w:r>
                  <w:r>
                    <w:rPr>
                      <w:rFonts w:ascii="宋体" w:hAnsi="宋体" w:eastAsia="宋体" w:cs="宋体"/>
                      <w:sz w:val="17"/>
                      <w:szCs w:val="17"/>
                    </w:rPr>
                    <w:t xml:space="preserve"> </w:t>
                  </w:r>
                  <w:r>
                    <w:rPr>
                      <w:rFonts w:ascii="宋体" w:hAnsi="宋体" w:eastAsia="宋体" w:cs="宋体"/>
                      <w:spacing w:val="12"/>
                      <w:sz w:val="17"/>
                      <w:szCs w:val="17"/>
                    </w:rPr>
                    <w:t>业</w:t>
                  </w:r>
                  <w:r>
                    <w:rPr>
                      <w:rFonts w:ascii="宋体" w:hAnsi="宋体" w:eastAsia="宋体" w:cs="宋体"/>
                      <w:spacing w:val="9"/>
                      <w:sz w:val="17"/>
                      <w:szCs w:val="17"/>
                    </w:rPr>
                    <w:t>，不属于重污染项目</w:t>
                  </w:r>
                </w:p>
              </w:tc>
              <w:tc>
                <w:tcPr>
                  <w:tcW w:w="699" w:type="dxa"/>
                  <w:vAlign w:val="top"/>
                </w:tcPr>
                <w:p>
                  <w:pPr>
                    <w:spacing w:line="448" w:lineRule="auto"/>
                    <w:rPr>
                      <w:rFonts w:ascii="Arial"/>
                      <w:sz w:val="21"/>
                    </w:rPr>
                  </w:pPr>
                </w:p>
                <w:p>
                  <w:pPr>
                    <w:spacing w:before="55" w:line="230" w:lineRule="auto"/>
                    <w:ind w:left="174"/>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bl>
          <w:p>
            <w:pPr>
              <w:spacing w:line="209" w:lineRule="exact"/>
              <w:rPr>
                <w:rFonts w:ascii="Arial"/>
                <w:sz w:val="18"/>
              </w:rPr>
            </w:pPr>
          </w:p>
        </w:tc>
      </w:tr>
    </w:tbl>
    <w:p>
      <w:pPr>
        <w:spacing w:line="161" w:lineRule="exact"/>
        <w:rPr>
          <w:rFonts w:ascii="Arial"/>
          <w:sz w:val="14"/>
        </w:rPr>
      </w:pPr>
    </w:p>
    <w:p>
      <w:pPr>
        <w:sectPr>
          <w:footerReference r:id="rId19" w:type="default"/>
          <w:pgSz w:w="11906" w:h="16839"/>
          <w:pgMar w:top="400" w:right="1434" w:bottom="1475" w:left="1521" w:header="0" w:footer="1315" w:gutter="0"/>
          <w:cols w:space="720" w:num="1"/>
        </w:sectPr>
      </w:pPr>
    </w:p>
    <w:p/>
    <w:p/>
    <w:p/>
    <w:p/>
    <w:p>
      <w:pPr>
        <w:spacing w:line="221" w:lineRule="exact"/>
      </w:pPr>
    </w:p>
    <w:tbl>
      <w:tblPr>
        <w:tblStyle w:val="4"/>
        <w:tblW w:w="893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4"/>
        <w:gridCol w:w="82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04" w:hRule="atLeast"/>
        </w:trPr>
        <w:tc>
          <w:tcPr>
            <w:tcW w:w="714" w:type="dxa"/>
            <w:tcBorders>
              <w:left w:val="single" w:color="00000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5" w:line="228"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其</w:t>
            </w:r>
            <w:r>
              <w:rPr>
                <w:rFonts w:ascii="宋体" w:hAnsi="宋体" w:eastAsia="宋体" w:cs="宋体"/>
                <w:spacing w:val="7"/>
                <w:sz w:val="20"/>
                <w:szCs w:val="20"/>
                <w14:textOutline w14:w="3795" w14:cap="sq" w14:cmpd="sng">
                  <w14:solidFill>
                    <w14:srgbClr w14:val="000000"/>
                  </w14:solidFill>
                  <w14:prstDash w14:val="solid"/>
                  <w14:bevel/>
                </w14:textOutline>
              </w:rPr>
              <w:t>他符</w:t>
            </w:r>
          </w:p>
          <w:p>
            <w:pPr>
              <w:spacing w:before="164" w:line="228"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合</w:t>
            </w:r>
            <w:r>
              <w:rPr>
                <w:rFonts w:ascii="宋体" w:hAnsi="宋体" w:eastAsia="宋体" w:cs="宋体"/>
                <w:spacing w:val="7"/>
                <w:sz w:val="20"/>
                <w:szCs w:val="20"/>
                <w14:textOutline w14:w="3795" w14:cap="sq" w14:cmpd="sng">
                  <w14:solidFill>
                    <w14:srgbClr w14:val="000000"/>
                  </w14:solidFill>
                  <w14:prstDash w14:val="solid"/>
                  <w14:bevel/>
                </w14:textOutline>
              </w:rPr>
              <w:t>性分</w:t>
            </w:r>
          </w:p>
          <w:p>
            <w:pPr>
              <w:spacing w:before="160" w:line="228" w:lineRule="auto"/>
              <w:ind w:left="251"/>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析</w:t>
            </w:r>
          </w:p>
        </w:tc>
        <w:tc>
          <w:tcPr>
            <w:tcW w:w="8221" w:type="dxa"/>
            <w:tcBorders>
              <w:right w:val="single" w:color="000000" w:sz="6" w:space="0"/>
            </w:tcBorders>
            <w:vAlign w:val="top"/>
          </w:tcPr>
          <w:p>
            <w:pPr>
              <w:spacing w:before="170" w:line="228" w:lineRule="auto"/>
              <w:ind w:left="475"/>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
                <w:sz w:val="20"/>
                <w:szCs w:val="20"/>
              </w:rPr>
              <w:t>3</w:t>
            </w:r>
            <w:r>
              <w:rPr>
                <w:rFonts w:ascii="宋体" w:hAnsi="宋体" w:eastAsia="宋体" w:cs="宋体"/>
                <w:spacing w:val="-1"/>
                <w:sz w:val="20"/>
                <w:szCs w:val="20"/>
                <w14:textOutline w14:w="3795" w14:cap="sq" w14:cmpd="sng">
                  <w14:solidFill>
                    <w14:srgbClr w14:val="000000"/>
                  </w14:solidFill>
                  <w14:prstDash w14:val="solid"/>
                  <w14:bevel/>
                </w14:textOutline>
              </w:rPr>
              <w:t>)</w:t>
            </w:r>
            <w:r>
              <w:rPr>
                <w:rFonts w:ascii="宋体" w:hAnsi="宋体" w:eastAsia="宋体" w:cs="宋体"/>
                <w:spacing w:val="-1"/>
                <w:sz w:val="20"/>
                <w:szCs w:val="20"/>
              </w:rPr>
              <w:t xml:space="preserve"> </w:t>
            </w:r>
            <w:r>
              <w:rPr>
                <w:rFonts w:ascii="宋体" w:hAnsi="宋体" w:eastAsia="宋体" w:cs="宋体"/>
                <w:spacing w:val="-1"/>
                <w:sz w:val="20"/>
                <w:szCs w:val="20"/>
                <w14:textOutline w14:w="3795" w14:cap="sq" w14:cmpd="sng">
                  <w14:solidFill>
                    <w14:srgbClr w14:val="000000"/>
                  </w14:solidFill>
                  <w14:prstDash w14:val="solid"/>
                  <w14:bevel/>
                </w14:textOutline>
              </w:rPr>
              <w:t>与《四川省、重庆市长江经济带发展负面清单实施</w:t>
            </w:r>
            <w:r>
              <w:rPr>
                <w:rFonts w:ascii="宋体" w:hAnsi="宋体" w:eastAsia="宋体" w:cs="宋体"/>
                <w:sz w:val="20"/>
                <w:szCs w:val="20"/>
                <w14:textOutline w14:w="3795" w14:cap="sq" w14:cmpd="sng">
                  <w14:solidFill>
                    <w14:srgbClr w14:val="000000"/>
                  </w14:solidFill>
                  <w14:prstDash w14:val="solid"/>
                  <w14:bevel/>
                </w14:textOutline>
              </w:rPr>
              <w:t>细则</w:t>
            </w:r>
            <w:r>
              <w:rPr>
                <w:rFonts w:ascii="宋体" w:hAnsi="宋体" w:eastAsia="宋体" w:cs="宋体"/>
                <w:sz w:val="20"/>
                <w:szCs w:val="20"/>
              </w:rPr>
              <w:t xml:space="preserve"> </w:t>
            </w:r>
            <w:r>
              <w:rPr>
                <w:rFonts w:ascii="宋体" w:hAnsi="宋体" w:eastAsia="宋体" w:cs="宋体"/>
                <w:sz w:val="20"/>
                <w:szCs w:val="20"/>
                <w14:textOutline w14:w="3795" w14:cap="sq" w14:cmpd="sng">
                  <w14:solidFill>
                    <w14:srgbClr w14:val="000000"/>
                  </w14:solidFill>
                  <w14:prstDash w14:val="solid"/>
                  <w14:bevel/>
                </w14:textOutline>
              </w:rPr>
              <w:t>(试行</w:t>
            </w:r>
            <w:r>
              <w:rPr>
                <w:rFonts w:ascii="Times New Roman" w:hAnsi="Times New Roman" w:eastAsia="Times New Roman" w:cs="Times New Roman"/>
                <w:b/>
                <w:bCs/>
                <w:sz w:val="20"/>
                <w:szCs w:val="20"/>
              </w:rPr>
              <w:t>2022</w:t>
            </w:r>
            <w:r>
              <w:rPr>
                <w:rFonts w:ascii="宋体" w:hAnsi="宋体" w:eastAsia="宋体" w:cs="宋体"/>
                <w:sz w:val="20"/>
                <w:szCs w:val="20"/>
                <w14:textOutline w14:w="3795" w14:cap="sq" w14:cmpd="sng">
                  <w14:solidFill>
                    <w14:srgbClr w14:val="000000"/>
                  </w14:solidFill>
                  <w14:prstDash w14:val="solid"/>
                  <w14:bevel/>
                </w14:textOutline>
              </w:rPr>
              <w:t>年版)</w:t>
            </w:r>
            <w:r>
              <w:rPr>
                <w:rFonts w:ascii="宋体" w:hAnsi="宋体" w:eastAsia="宋体" w:cs="宋体"/>
                <w:sz w:val="20"/>
                <w:szCs w:val="20"/>
              </w:rPr>
              <w:t xml:space="preserve"> </w:t>
            </w:r>
            <w:r>
              <w:rPr>
                <w:rFonts w:ascii="宋体" w:hAnsi="宋体" w:eastAsia="宋体" w:cs="宋体"/>
                <w:sz w:val="20"/>
                <w:szCs w:val="20"/>
                <w14:textOutline w14:w="3795" w14:cap="sq" w14:cmpd="sng">
                  <w14:solidFill>
                    <w14:srgbClr w14:val="000000"/>
                  </w14:solidFill>
                  <w14:prstDash w14:val="solid"/>
                  <w14:bevel/>
                </w14:textOutline>
              </w:rPr>
              <w:t>》</w:t>
            </w:r>
            <w:r>
              <w:rPr>
                <w:rFonts w:ascii="宋体" w:hAnsi="宋体" w:eastAsia="宋体" w:cs="宋体"/>
                <w:sz w:val="20"/>
                <w:szCs w:val="20"/>
              </w:rPr>
              <w:t xml:space="preserve">  </w:t>
            </w:r>
            <w:r>
              <w:rPr>
                <w:rFonts w:ascii="宋体" w:hAnsi="宋体" w:eastAsia="宋体" w:cs="宋体"/>
                <w:sz w:val="20"/>
                <w:szCs w:val="20"/>
                <w14:textOutline w14:w="3795" w14:cap="sq" w14:cmpd="sng">
                  <w14:solidFill>
                    <w14:srgbClr w14:val="000000"/>
                  </w14:solidFill>
                  <w14:prstDash w14:val="solid"/>
                  <w14:bevel/>
                </w14:textOutline>
              </w:rPr>
              <w:t>(川长</w:t>
            </w:r>
          </w:p>
          <w:p>
            <w:pPr>
              <w:spacing w:before="153" w:line="228" w:lineRule="auto"/>
              <w:ind w:left="69"/>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江办〔</w:t>
            </w:r>
            <w:r>
              <w:rPr>
                <w:rFonts w:ascii="Times New Roman" w:hAnsi="Times New Roman" w:eastAsia="Times New Roman" w:cs="Times New Roman"/>
                <w:b/>
                <w:bCs/>
                <w:spacing w:val="-1"/>
                <w:sz w:val="20"/>
                <w:szCs w:val="20"/>
              </w:rPr>
              <w:t>2022</w:t>
            </w:r>
            <w:r>
              <w:rPr>
                <w:rFonts w:ascii="宋体" w:hAnsi="宋体" w:eastAsia="宋体" w:cs="宋体"/>
                <w:spacing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
                <w:sz w:val="20"/>
                <w:szCs w:val="20"/>
              </w:rPr>
              <w:t>17</w:t>
            </w:r>
            <w:r>
              <w:rPr>
                <w:rFonts w:ascii="宋体" w:hAnsi="宋体" w:eastAsia="宋体" w:cs="宋体"/>
                <w:spacing w:val="-1"/>
                <w:sz w:val="20"/>
                <w:szCs w:val="20"/>
                <w14:textOutline w14:w="3795" w14:cap="sq" w14:cmpd="sng">
                  <w14:solidFill>
                    <w14:srgbClr w14:val="000000"/>
                  </w14:solidFill>
                  <w14:prstDash w14:val="solid"/>
                  <w14:bevel/>
                </w14:textOutline>
              </w:rPr>
              <w:t>号)</w:t>
            </w:r>
            <w:r>
              <w:rPr>
                <w:rFonts w:ascii="宋体" w:hAnsi="宋体" w:eastAsia="宋体" w:cs="宋体"/>
                <w:spacing w:val="-1"/>
                <w:sz w:val="20"/>
                <w:szCs w:val="20"/>
              </w:rPr>
              <w:t xml:space="preserve"> </w:t>
            </w:r>
            <w:r>
              <w:rPr>
                <w:rFonts w:ascii="宋体" w:hAnsi="宋体" w:eastAsia="宋体" w:cs="宋体"/>
                <w:spacing w:val="-1"/>
                <w:sz w:val="20"/>
                <w:szCs w:val="20"/>
                <w14:textOutline w14:w="3795" w14:cap="sq" w14:cmpd="sng">
                  <w14:solidFill>
                    <w14:srgbClr w14:val="000000"/>
                  </w14:solidFill>
                  <w14:prstDash w14:val="solid"/>
                  <w14:bevel/>
                </w14:textOutline>
              </w:rPr>
              <w:t>符合性分</w:t>
            </w:r>
            <w:r>
              <w:rPr>
                <w:rFonts w:ascii="宋体" w:hAnsi="宋体" w:eastAsia="宋体" w:cs="宋体"/>
                <w:sz w:val="20"/>
                <w:szCs w:val="20"/>
                <w14:textOutline w14:w="3795" w14:cap="sq" w14:cmpd="sng">
                  <w14:solidFill>
                    <w14:srgbClr w14:val="000000"/>
                  </w14:solidFill>
                  <w14:prstDash w14:val="solid"/>
                  <w14:bevel/>
                </w14:textOutline>
              </w:rPr>
              <w:t>析</w:t>
            </w:r>
          </w:p>
          <w:p>
            <w:pPr>
              <w:spacing w:before="131" w:line="230" w:lineRule="auto"/>
              <w:ind w:left="1975"/>
              <w:rPr>
                <w:rFonts w:ascii="黑体" w:hAnsi="黑体" w:eastAsia="黑体" w:cs="黑体"/>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7    </w:t>
            </w:r>
            <w:r>
              <w:rPr>
                <w:rFonts w:ascii="黑体" w:hAnsi="黑体" w:eastAsia="黑体" w:cs="黑体"/>
                <w:spacing w:val="7"/>
                <w:sz w:val="19"/>
                <w:szCs w:val="19"/>
              </w:rPr>
              <w:t>项目与</w:t>
            </w:r>
            <w:r>
              <w:rPr>
                <w:rFonts w:ascii="Times New Roman" w:hAnsi="Times New Roman" w:eastAsia="Times New Roman" w:cs="Times New Roman"/>
                <w:spacing w:val="7"/>
                <w:sz w:val="19"/>
                <w:szCs w:val="19"/>
              </w:rPr>
              <w:t>“</w:t>
            </w:r>
            <w:r>
              <w:rPr>
                <w:rFonts w:ascii="黑体" w:hAnsi="黑体" w:eastAsia="黑体" w:cs="黑体"/>
                <w:spacing w:val="7"/>
                <w:sz w:val="19"/>
                <w:szCs w:val="19"/>
              </w:rPr>
              <w:t>川长江办〔</w:t>
            </w:r>
            <w:r>
              <w:rPr>
                <w:rFonts w:ascii="Times New Roman" w:hAnsi="Times New Roman" w:eastAsia="Times New Roman" w:cs="Times New Roman"/>
                <w:spacing w:val="7"/>
                <w:sz w:val="19"/>
                <w:szCs w:val="19"/>
              </w:rPr>
              <w:t>2022</w:t>
            </w:r>
            <w:r>
              <w:rPr>
                <w:rFonts w:ascii="黑体" w:hAnsi="黑体" w:eastAsia="黑体" w:cs="黑体"/>
                <w:spacing w:val="7"/>
                <w:sz w:val="19"/>
                <w:szCs w:val="19"/>
              </w:rPr>
              <w:t>〕</w:t>
            </w:r>
            <w:r>
              <w:rPr>
                <w:rFonts w:ascii="Times New Roman" w:hAnsi="Times New Roman" w:eastAsia="Times New Roman" w:cs="Times New Roman"/>
                <w:spacing w:val="7"/>
                <w:sz w:val="19"/>
                <w:szCs w:val="19"/>
              </w:rPr>
              <w:t>17</w:t>
            </w:r>
            <w:r>
              <w:rPr>
                <w:rFonts w:ascii="黑体" w:hAnsi="黑体" w:eastAsia="黑体" w:cs="黑体"/>
                <w:spacing w:val="7"/>
                <w:sz w:val="19"/>
                <w:szCs w:val="19"/>
              </w:rPr>
              <w:t>号</w:t>
            </w:r>
            <w:r>
              <w:rPr>
                <w:rFonts w:ascii="Times New Roman" w:hAnsi="Times New Roman" w:eastAsia="Times New Roman" w:cs="Times New Roman"/>
                <w:spacing w:val="7"/>
                <w:sz w:val="19"/>
                <w:szCs w:val="19"/>
              </w:rPr>
              <w:t>”</w:t>
            </w:r>
            <w:r>
              <w:rPr>
                <w:rFonts w:ascii="黑体" w:hAnsi="黑体" w:eastAsia="黑体" w:cs="黑体"/>
                <w:spacing w:val="7"/>
                <w:sz w:val="19"/>
                <w:szCs w:val="19"/>
              </w:rPr>
              <w:t>符合性分</w:t>
            </w:r>
            <w:r>
              <w:rPr>
                <w:rFonts w:ascii="黑体" w:hAnsi="黑体" w:eastAsia="黑体" w:cs="黑体"/>
                <w:spacing w:val="5"/>
                <w:sz w:val="19"/>
                <w:szCs w:val="19"/>
              </w:rPr>
              <w:t>析</w:t>
            </w:r>
          </w:p>
          <w:p>
            <w:pPr>
              <w:spacing w:line="47" w:lineRule="auto"/>
              <w:rPr>
                <w:rFonts w:ascii="Arial"/>
                <w:sz w:val="2"/>
              </w:rPr>
            </w:pPr>
          </w:p>
          <w:tbl>
            <w:tblPr>
              <w:tblStyle w:val="4"/>
              <w:tblW w:w="7803" w:type="dxa"/>
              <w:tblInd w:w="2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04"/>
              <w:gridCol w:w="1893"/>
              <w:gridCol w:w="6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304" w:type="dxa"/>
                  <w:vAlign w:val="top"/>
                </w:tcPr>
                <w:p>
                  <w:pPr>
                    <w:spacing w:before="92" w:line="230" w:lineRule="auto"/>
                    <w:ind w:left="2298"/>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文</w:t>
                  </w:r>
                  <w:r>
                    <w:rPr>
                      <w:rFonts w:ascii="宋体" w:hAnsi="宋体" w:eastAsia="宋体" w:cs="宋体"/>
                      <w:spacing w:val="8"/>
                      <w:sz w:val="17"/>
                      <w:szCs w:val="17"/>
                      <w14:textOutline w14:w="3268" w14:cap="sq" w14:cmpd="sng">
                        <w14:solidFill>
                          <w14:srgbClr w14:val="000000"/>
                        </w14:solidFill>
                        <w14:prstDash w14:val="solid"/>
                        <w14:bevel/>
                      </w14:textOutline>
                    </w:rPr>
                    <w:t>件要求</w:t>
                  </w:r>
                </w:p>
              </w:tc>
              <w:tc>
                <w:tcPr>
                  <w:tcW w:w="1893" w:type="dxa"/>
                  <w:vAlign w:val="top"/>
                </w:tcPr>
                <w:p>
                  <w:pPr>
                    <w:spacing w:before="91" w:line="231" w:lineRule="auto"/>
                    <w:ind w:left="593"/>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项目情况</w:t>
                  </w:r>
                </w:p>
              </w:tc>
              <w:tc>
                <w:tcPr>
                  <w:tcW w:w="606" w:type="dxa"/>
                  <w:vAlign w:val="top"/>
                </w:tcPr>
                <w:p>
                  <w:pPr>
                    <w:spacing w:before="92" w:line="230" w:lineRule="auto"/>
                    <w:ind w:left="38"/>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符合</w:t>
                  </w:r>
                  <w:r>
                    <w:rPr>
                      <w:rFonts w:ascii="宋体" w:hAnsi="宋体" w:eastAsia="宋体" w:cs="宋体"/>
                      <w:spacing w:val="7"/>
                      <w:sz w:val="17"/>
                      <w:szCs w:val="17"/>
                      <w14:textOutline w14:w="3268" w14:cap="sq" w14:cmpd="sng">
                        <w14:solidFill>
                          <w14:srgbClr w14:val="000000"/>
                        </w14:solidFill>
                        <w14:prstDash w14:val="solid"/>
                        <w14:bevel/>
                      </w14:textOutline>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trPr>
              <w:tc>
                <w:tcPr>
                  <w:tcW w:w="5304" w:type="dxa"/>
                  <w:vAlign w:val="top"/>
                </w:tcPr>
                <w:p>
                  <w:pPr>
                    <w:spacing w:before="92" w:line="279" w:lineRule="auto"/>
                    <w:ind w:left="31" w:right="21"/>
                    <w:rPr>
                      <w:rFonts w:ascii="宋体" w:hAnsi="宋体" w:eastAsia="宋体" w:cs="宋体"/>
                      <w:sz w:val="17"/>
                      <w:szCs w:val="17"/>
                    </w:rPr>
                  </w:pPr>
                  <w:r>
                    <w:rPr>
                      <w:rFonts w:ascii="宋体" w:hAnsi="宋体" w:eastAsia="宋体" w:cs="宋体"/>
                      <w:spacing w:val="14"/>
                      <w:sz w:val="17"/>
                      <w:szCs w:val="17"/>
                    </w:rPr>
                    <w:t>第七条</w:t>
                  </w:r>
                  <w:r>
                    <w:rPr>
                      <w:rFonts w:ascii="宋体" w:hAnsi="宋体" w:eastAsia="宋体" w:cs="宋体"/>
                      <w:spacing w:val="7"/>
                      <w:sz w:val="17"/>
                      <w:szCs w:val="17"/>
                    </w:rPr>
                    <w:t xml:space="preserve"> 禁止在自然保护区核心区、缓冲区的岸线和河段范围内投资</w:t>
                  </w:r>
                  <w:r>
                    <w:rPr>
                      <w:rFonts w:ascii="宋体" w:hAnsi="宋体" w:eastAsia="宋体" w:cs="宋体"/>
                      <w:sz w:val="17"/>
                      <w:szCs w:val="17"/>
                    </w:rPr>
                    <w:t xml:space="preserve"> </w:t>
                  </w:r>
                  <w:r>
                    <w:rPr>
                      <w:rFonts w:ascii="宋体" w:hAnsi="宋体" w:eastAsia="宋体" w:cs="宋体"/>
                      <w:spacing w:val="12"/>
                      <w:sz w:val="17"/>
                      <w:szCs w:val="17"/>
                    </w:rPr>
                    <w:t>建设</w:t>
                  </w:r>
                  <w:r>
                    <w:rPr>
                      <w:rFonts w:ascii="宋体" w:hAnsi="宋体" w:eastAsia="宋体" w:cs="宋体"/>
                      <w:spacing w:val="11"/>
                      <w:sz w:val="17"/>
                      <w:szCs w:val="17"/>
                    </w:rPr>
                    <w:t>旅</w:t>
                  </w:r>
                  <w:r>
                    <w:rPr>
                      <w:rFonts w:ascii="宋体" w:hAnsi="宋体" w:eastAsia="宋体" w:cs="宋体"/>
                      <w:spacing w:val="6"/>
                      <w:sz w:val="17"/>
                      <w:szCs w:val="17"/>
                    </w:rPr>
                    <w:t>游和生产经营项目。 自然保护区的内部未分区的依照核心区</w:t>
                  </w:r>
                  <w:r>
                    <w:rPr>
                      <w:rFonts w:ascii="宋体" w:hAnsi="宋体" w:eastAsia="宋体" w:cs="宋体"/>
                      <w:sz w:val="17"/>
                      <w:szCs w:val="17"/>
                    </w:rPr>
                    <w:t xml:space="preserve"> </w:t>
                  </w:r>
                  <w:r>
                    <w:rPr>
                      <w:rFonts w:ascii="宋体" w:hAnsi="宋体" w:eastAsia="宋体" w:cs="宋体"/>
                      <w:spacing w:val="10"/>
                      <w:sz w:val="17"/>
                      <w:szCs w:val="17"/>
                    </w:rPr>
                    <w:t>和</w:t>
                  </w:r>
                  <w:r>
                    <w:rPr>
                      <w:rFonts w:ascii="宋体" w:hAnsi="宋体" w:eastAsia="宋体" w:cs="宋体"/>
                      <w:spacing w:val="8"/>
                      <w:sz w:val="17"/>
                      <w:szCs w:val="17"/>
                    </w:rPr>
                    <w:t>缓冲区的规定管控。</w:t>
                  </w:r>
                </w:p>
              </w:tc>
              <w:tc>
                <w:tcPr>
                  <w:tcW w:w="1893" w:type="dxa"/>
                  <w:vAlign w:val="top"/>
                </w:tcPr>
                <w:p>
                  <w:pPr>
                    <w:spacing w:line="312" w:lineRule="auto"/>
                    <w:rPr>
                      <w:rFonts w:ascii="Arial"/>
                      <w:sz w:val="21"/>
                    </w:rPr>
                  </w:pPr>
                </w:p>
                <w:p>
                  <w:pPr>
                    <w:spacing w:before="56" w:line="231" w:lineRule="auto"/>
                    <w:ind w:left="235"/>
                    <w:rPr>
                      <w:rFonts w:ascii="宋体" w:hAnsi="宋体" w:eastAsia="宋体" w:cs="宋体"/>
                      <w:sz w:val="17"/>
                      <w:szCs w:val="17"/>
                    </w:rPr>
                  </w:pPr>
                  <w:r>
                    <w:rPr>
                      <w:rFonts w:ascii="宋体" w:hAnsi="宋体" w:eastAsia="宋体" w:cs="宋体"/>
                      <w:spacing w:val="14"/>
                      <w:sz w:val="17"/>
                      <w:szCs w:val="17"/>
                    </w:rPr>
                    <w:t>不</w:t>
                  </w:r>
                  <w:r>
                    <w:rPr>
                      <w:rFonts w:ascii="宋体" w:hAnsi="宋体" w:eastAsia="宋体" w:cs="宋体"/>
                      <w:spacing w:val="8"/>
                      <w:sz w:val="17"/>
                      <w:szCs w:val="17"/>
                    </w:rPr>
                    <w:t>涉及自然保护区</w:t>
                  </w:r>
                </w:p>
              </w:tc>
              <w:tc>
                <w:tcPr>
                  <w:tcW w:w="606" w:type="dxa"/>
                  <w:vAlign w:val="top"/>
                </w:tcPr>
                <w:p>
                  <w:pPr>
                    <w:spacing w:line="313" w:lineRule="auto"/>
                    <w:rPr>
                      <w:rFonts w:ascii="Arial"/>
                      <w:sz w:val="21"/>
                    </w:rPr>
                  </w:pPr>
                </w:p>
                <w:p>
                  <w:pPr>
                    <w:spacing w:before="55" w:line="230" w:lineRule="auto"/>
                    <w:ind w:left="129"/>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trPr>
              <w:tc>
                <w:tcPr>
                  <w:tcW w:w="5304" w:type="dxa"/>
                  <w:vAlign w:val="top"/>
                </w:tcPr>
                <w:p>
                  <w:pPr>
                    <w:spacing w:before="92" w:line="279" w:lineRule="auto"/>
                    <w:ind w:left="32" w:right="54" w:hanging="1"/>
                    <w:rPr>
                      <w:rFonts w:ascii="宋体" w:hAnsi="宋体" w:eastAsia="宋体" w:cs="宋体"/>
                      <w:sz w:val="17"/>
                      <w:szCs w:val="17"/>
                    </w:rPr>
                  </w:pPr>
                  <w:r>
                    <w:rPr>
                      <w:rFonts w:ascii="宋体" w:hAnsi="宋体" w:eastAsia="宋体" w:cs="宋体"/>
                      <w:spacing w:val="18"/>
                      <w:sz w:val="17"/>
                      <w:szCs w:val="17"/>
                    </w:rPr>
                    <w:t>第</w:t>
                  </w:r>
                  <w:r>
                    <w:rPr>
                      <w:rFonts w:ascii="宋体" w:hAnsi="宋体" w:eastAsia="宋体" w:cs="宋体"/>
                      <w:spacing w:val="15"/>
                      <w:sz w:val="17"/>
                      <w:szCs w:val="17"/>
                    </w:rPr>
                    <w:t>八</w:t>
                  </w:r>
                  <w:r>
                    <w:rPr>
                      <w:rFonts w:ascii="宋体" w:hAnsi="宋体" w:eastAsia="宋体" w:cs="宋体"/>
                      <w:spacing w:val="9"/>
                      <w:sz w:val="17"/>
                      <w:szCs w:val="17"/>
                    </w:rPr>
                    <w:t>条 禁止违反风景名胜区规划，在风景名胜区内设立各类开发</w:t>
                  </w:r>
                  <w:r>
                    <w:rPr>
                      <w:rFonts w:ascii="宋体" w:hAnsi="宋体" w:eastAsia="宋体" w:cs="宋体"/>
                      <w:sz w:val="17"/>
                      <w:szCs w:val="17"/>
                    </w:rPr>
                    <w:t xml:space="preserve"> </w:t>
                  </w:r>
                  <w:r>
                    <w:rPr>
                      <w:rFonts w:ascii="宋体" w:hAnsi="宋体" w:eastAsia="宋体" w:cs="宋体"/>
                      <w:spacing w:val="18"/>
                      <w:sz w:val="17"/>
                      <w:szCs w:val="17"/>
                    </w:rPr>
                    <w:t>区。</w:t>
                  </w:r>
                  <w:r>
                    <w:rPr>
                      <w:rFonts w:ascii="宋体" w:hAnsi="宋体" w:eastAsia="宋体" w:cs="宋体"/>
                      <w:spacing w:val="11"/>
                      <w:sz w:val="17"/>
                      <w:szCs w:val="17"/>
                    </w:rPr>
                    <w:t>禁</w:t>
                  </w:r>
                  <w:r>
                    <w:rPr>
                      <w:rFonts w:ascii="宋体" w:hAnsi="宋体" w:eastAsia="宋体" w:cs="宋体"/>
                      <w:spacing w:val="9"/>
                      <w:sz w:val="17"/>
                      <w:szCs w:val="17"/>
                    </w:rPr>
                    <w:t>止在风景名胜区核心景区的岸线和河段范围内建设宾馆、招</w:t>
                  </w:r>
                  <w:r>
                    <w:rPr>
                      <w:rFonts w:ascii="宋体" w:hAnsi="宋体" w:eastAsia="宋体" w:cs="宋体"/>
                      <w:sz w:val="17"/>
                      <w:szCs w:val="17"/>
                    </w:rPr>
                    <w:t xml:space="preserve"> </w:t>
                  </w:r>
                  <w:r>
                    <w:rPr>
                      <w:rFonts w:ascii="宋体" w:hAnsi="宋体" w:eastAsia="宋体" w:cs="宋体"/>
                      <w:spacing w:val="18"/>
                      <w:sz w:val="17"/>
                      <w:szCs w:val="17"/>
                    </w:rPr>
                    <w:t>待</w:t>
                  </w:r>
                  <w:r>
                    <w:rPr>
                      <w:rFonts w:ascii="宋体" w:hAnsi="宋体" w:eastAsia="宋体" w:cs="宋体"/>
                      <w:spacing w:val="9"/>
                      <w:sz w:val="17"/>
                      <w:szCs w:val="17"/>
                    </w:rPr>
                    <w:t>所、培训中心、疗养院以及与风景名胜资源保护无关的项目。</w:t>
                  </w:r>
                </w:p>
              </w:tc>
              <w:tc>
                <w:tcPr>
                  <w:tcW w:w="1893" w:type="dxa"/>
                  <w:vAlign w:val="top"/>
                </w:tcPr>
                <w:p>
                  <w:pPr>
                    <w:spacing w:line="315" w:lineRule="auto"/>
                    <w:rPr>
                      <w:rFonts w:ascii="Arial"/>
                      <w:sz w:val="21"/>
                    </w:rPr>
                  </w:pPr>
                </w:p>
                <w:p>
                  <w:pPr>
                    <w:spacing w:before="55" w:line="230" w:lineRule="auto"/>
                    <w:ind w:left="235"/>
                    <w:rPr>
                      <w:rFonts w:ascii="宋体" w:hAnsi="宋体" w:eastAsia="宋体" w:cs="宋体"/>
                      <w:sz w:val="17"/>
                      <w:szCs w:val="17"/>
                    </w:rPr>
                  </w:pPr>
                  <w:r>
                    <w:rPr>
                      <w:rFonts w:ascii="宋体" w:hAnsi="宋体" w:eastAsia="宋体" w:cs="宋体"/>
                      <w:spacing w:val="14"/>
                      <w:sz w:val="17"/>
                      <w:szCs w:val="17"/>
                    </w:rPr>
                    <w:t>不</w:t>
                  </w:r>
                  <w:r>
                    <w:rPr>
                      <w:rFonts w:ascii="宋体" w:hAnsi="宋体" w:eastAsia="宋体" w:cs="宋体"/>
                      <w:spacing w:val="8"/>
                      <w:sz w:val="17"/>
                      <w:szCs w:val="17"/>
                    </w:rPr>
                    <w:t>涉及风景名胜区</w:t>
                  </w:r>
                </w:p>
              </w:tc>
              <w:tc>
                <w:tcPr>
                  <w:tcW w:w="606" w:type="dxa"/>
                  <w:vAlign w:val="top"/>
                </w:tcPr>
                <w:p>
                  <w:pPr>
                    <w:spacing w:line="315" w:lineRule="auto"/>
                    <w:rPr>
                      <w:rFonts w:ascii="Arial"/>
                      <w:sz w:val="21"/>
                    </w:rPr>
                  </w:pPr>
                </w:p>
                <w:p>
                  <w:pPr>
                    <w:spacing w:before="55" w:line="230" w:lineRule="auto"/>
                    <w:ind w:left="129"/>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5304" w:type="dxa"/>
                  <w:vAlign w:val="top"/>
                </w:tcPr>
                <w:p>
                  <w:pPr>
                    <w:spacing w:before="88" w:line="268" w:lineRule="auto"/>
                    <w:ind w:left="30" w:right="21"/>
                    <w:rPr>
                      <w:rFonts w:ascii="宋体" w:hAnsi="宋体" w:eastAsia="宋体" w:cs="宋体"/>
                      <w:sz w:val="17"/>
                      <w:szCs w:val="17"/>
                    </w:rPr>
                  </w:pPr>
                  <w:r>
                    <w:rPr>
                      <w:rFonts w:ascii="宋体" w:hAnsi="宋体" w:eastAsia="宋体" w:cs="宋体"/>
                      <w:spacing w:val="14"/>
                      <w:sz w:val="17"/>
                      <w:szCs w:val="17"/>
                    </w:rPr>
                    <w:t>第九条</w:t>
                  </w:r>
                  <w:r>
                    <w:rPr>
                      <w:rFonts w:ascii="宋体" w:hAnsi="宋体" w:eastAsia="宋体" w:cs="宋体"/>
                      <w:spacing w:val="7"/>
                      <w:sz w:val="17"/>
                      <w:szCs w:val="17"/>
                    </w:rPr>
                    <w:t xml:space="preserve"> 禁止在饮用水水源准保护区的岸线和河段范围内新建、扩建</w:t>
                  </w:r>
                  <w:r>
                    <w:rPr>
                      <w:rFonts w:ascii="宋体" w:hAnsi="宋体" w:eastAsia="宋体" w:cs="宋体"/>
                      <w:sz w:val="17"/>
                      <w:szCs w:val="17"/>
                    </w:rPr>
                    <w:t xml:space="preserve"> </w:t>
                  </w:r>
                  <w:r>
                    <w:rPr>
                      <w:rFonts w:ascii="宋体" w:hAnsi="宋体" w:eastAsia="宋体" w:cs="宋体"/>
                      <w:spacing w:val="18"/>
                      <w:sz w:val="17"/>
                      <w:szCs w:val="17"/>
                    </w:rPr>
                    <w:t>对</w:t>
                  </w:r>
                  <w:r>
                    <w:rPr>
                      <w:rFonts w:ascii="宋体" w:hAnsi="宋体" w:eastAsia="宋体" w:cs="宋体"/>
                      <w:spacing w:val="11"/>
                      <w:sz w:val="17"/>
                      <w:szCs w:val="17"/>
                    </w:rPr>
                    <w:t>水</w:t>
                  </w:r>
                  <w:r>
                    <w:rPr>
                      <w:rFonts w:ascii="宋体" w:hAnsi="宋体" w:eastAsia="宋体" w:cs="宋体"/>
                      <w:spacing w:val="9"/>
                      <w:sz w:val="17"/>
                      <w:szCs w:val="17"/>
                    </w:rPr>
                    <w:t>体污染严重的建设项目，禁止改建增加排污量的建设项目。</w:t>
                  </w:r>
                </w:p>
              </w:tc>
              <w:tc>
                <w:tcPr>
                  <w:tcW w:w="1893" w:type="dxa"/>
                  <w:vAlign w:val="top"/>
                </w:tcPr>
                <w:p>
                  <w:pPr>
                    <w:spacing w:before="88" w:line="268" w:lineRule="auto"/>
                    <w:ind w:left="772" w:right="42" w:hanging="717"/>
                    <w:rPr>
                      <w:rFonts w:ascii="宋体" w:hAnsi="宋体" w:eastAsia="宋体" w:cs="宋体"/>
                      <w:sz w:val="17"/>
                      <w:szCs w:val="17"/>
                    </w:rPr>
                  </w:pPr>
                  <w:r>
                    <w:rPr>
                      <w:rFonts w:ascii="宋体" w:hAnsi="宋体" w:eastAsia="宋体" w:cs="宋体"/>
                      <w:spacing w:val="9"/>
                      <w:sz w:val="17"/>
                      <w:szCs w:val="17"/>
                    </w:rPr>
                    <w:t>不涉及饮用水水源准保</w:t>
                  </w:r>
                  <w:r>
                    <w:rPr>
                      <w:rFonts w:ascii="宋体" w:hAnsi="宋体" w:eastAsia="宋体" w:cs="宋体"/>
                      <w:sz w:val="17"/>
                      <w:szCs w:val="17"/>
                    </w:rPr>
                    <w:t xml:space="preserve"> </w:t>
                  </w:r>
                  <w:r>
                    <w:rPr>
                      <w:rFonts w:ascii="宋体" w:hAnsi="宋体" w:eastAsia="宋体" w:cs="宋体"/>
                      <w:spacing w:val="6"/>
                      <w:sz w:val="17"/>
                      <w:szCs w:val="17"/>
                    </w:rPr>
                    <w:t>护区</w:t>
                  </w:r>
                </w:p>
              </w:tc>
              <w:tc>
                <w:tcPr>
                  <w:tcW w:w="606" w:type="dxa"/>
                  <w:vAlign w:val="top"/>
                </w:tcPr>
                <w:p>
                  <w:pPr>
                    <w:spacing w:before="228" w:line="230" w:lineRule="auto"/>
                    <w:ind w:left="129"/>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5304" w:type="dxa"/>
                  <w:vAlign w:val="top"/>
                </w:tcPr>
                <w:p>
                  <w:pPr>
                    <w:spacing w:before="86" w:line="279" w:lineRule="auto"/>
                    <w:ind w:left="31" w:right="21"/>
                    <w:rPr>
                      <w:rFonts w:ascii="宋体" w:hAnsi="宋体" w:eastAsia="宋体" w:cs="宋体"/>
                      <w:sz w:val="17"/>
                      <w:szCs w:val="17"/>
                    </w:rPr>
                  </w:pPr>
                  <w:r>
                    <w:rPr>
                      <w:rFonts w:ascii="宋体" w:hAnsi="宋体" w:eastAsia="宋体" w:cs="宋体"/>
                      <w:spacing w:val="14"/>
                      <w:sz w:val="17"/>
                      <w:szCs w:val="17"/>
                    </w:rPr>
                    <w:t>第十条</w:t>
                  </w:r>
                  <w:r>
                    <w:rPr>
                      <w:rFonts w:ascii="宋体" w:hAnsi="宋体" w:eastAsia="宋体" w:cs="宋体"/>
                      <w:spacing w:val="7"/>
                      <w:sz w:val="17"/>
                      <w:szCs w:val="17"/>
                    </w:rPr>
                    <w:t xml:space="preserve"> 饮用水水源二级保护区的岸线和河段范围内，除遵守准保护</w:t>
                  </w:r>
                  <w:r>
                    <w:rPr>
                      <w:rFonts w:ascii="宋体" w:hAnsi="宋体" w:eastAsia="宋体" w:cs="宋体"/>
                      <w:sz w:val="17"/>
                      <w:szCs w:val="17"/>
                    </w:rPr>
                    <w:t xml:space="preserve"> </w:t>
                  </w:r>
                  <w:r>
                    <w:rPr>
                      <w:rFonts w:ascii="宋体" w:hAnsi="宋体" w:eastAsia="宋体" w:cs="宋体"/>
                      <w:spacing w:val="18"/>
                      <w:sz w:val="17"/>
                      <w:szCs w:val="17"/>
                    </w:rPr>
                    <w:t>区规</w:t>
                  </w:r>
                  <w:r>
                    <w:rPr>
                      <w:rFonts w:ascii="宋体" w:hAnsi="宋体" w:eastAsia="宋体" w:cs="宋体"/>
                      <w:spacing w:val="12"/>
                      <w:sz w:val="17"/>
                      <w:szCs w:val="17"/>
                    </w:rPr>
                    <w:t>定</w:t>
                  </w:r>
                  <w:r>
                    <w:rPr>
                      <w:rFonts w:ascii="宋体" w:hAnsi="宋体" w:eastAsia="宋体" w:cs="宋体"/>
                      <w:spacing w:val="9"/>
                      <w:sz w:val="17"/>
                      <w:szCs w:val="17"/>
                    </w:rPr>
                    <w:t>外，禁止新建、改建、扩建排放污染物的投资建设项目；禁</w:t>
                  </w:r>
                  <w:r>
                    <w:rPr>
                      <w:rFonts w:ascii="宋体" w:hAnsi="宋体" w:eastAsia="宋体" w:cs="宋体"/>
                      <w:sz w:val="17"/>
                      <w:szCs w:val="17"/>
                    </w:rPr>
                    <w:t xml:space="preserve"> </w:t>
                  </w:r>
                  <w:r>
                    <w:rPr>
                      <w:rFonts w:ascii="宋体" w:hAnsi="宋体" w:eastAsia="宋体" w:cs="宋体"/>
                      <w:spacing w:val="9"/>
                      <w:sz w:val="17"/>
                      <w:szCs w:val="17"/>
                    </w:rPr>
                    <w:t>止从事对水体有污染的水产养殖等活动。</w:t>
                  </w:r>
                </w:p>
              </w:tc>
              <w:tc>
                <w:tcPr>
                  <w:tcW w:w="1893" w:type="dxa"/>
                  <w:vAlign w:val="top"/>
                </w:tcPr>
                <w:p>
                  <w:pPr>
                    <w:spacing w:before="225" w:line="317" w:lineRule="auto"/>
                    <w:ind w:left="681" w:right="42" w:hanging="626"/>
                    <w:rPr>
                      <w:rFonts w:ascii="宋体" w:hAnsi="宋体" w:eastAsia="宋体" w:cs="宋体"/>
                      <w:sz w:val="17"/>
                      <w:szCs w:val="17"/>
                    </w:rPr>
                  </w:pPr>
                  <w:r>
                    <w:rPr>
                      <w:rFonts w:ascii="宋体" w:hAnsi="宋体" w:eastAsia="宋体" w:cs="宋体"/>
                      <w:spacing w:val="9"/>
                      <w:sz w:val="17"/>
                      <w:szCs w:val="17"/>
                    </w:rPr>
                    <w:t>不涉及饮用水水源二级</w:t>
                  </w:r>
                  <w:r>
                    <w:rPr>
                      <w:rFonts w:ascii="宋体" w:hAnsi="宋体" w:eastAsia="宋体" w:cs="宋体"/>
                      <w:sz w:val="17"/>
                      <w:szCs w:val="17"/>
                    </w:rPr>
                    <w:t xml:space="preserve"> </w:t>
                  </w:r>
                  <w:r>
                    <w:rPr>
                      <w:rFonts w:ascii="宋体" w:hAnsi="宋体" w:eastAsia="宋体" w:cs="宋体"/>
                      <w:spacing w:val="8"/>
                      <w:sz w:val="17"/>
                      <w:szCs w:val="17"/>
                    </w:rPr>
                    <w:t>保</w:t>
                  </w:r>
                  <w:r>
                    <w:rPr>
                      <w:rFonts w:ascii="宋体" w:hAnsi="宋体" w:eastAsia="宋体" w:cs="宋体"/>
                      <w:spacing w:val="7"/>
                      <w:sz w:val="17"/>
                      <w:szCs w:val="17"/>
                    </w:rPr>
                    <w:t>护区</w:t>
                  </w:r>
                </w:p>
              </w:tc>
              <w:tc>
                <w:tcPr>
                  <w:tcW w:w="606" w:type="dxa"/>
                  <w:vAlign w:val="top"/>
                </w:tcPr>
                <w:p>
                  <w:pPr>
                    <w:spacing w:line="307" w:lineRule="auto"/>
                    <w:rPr>
                      <w:rFonts w:ascii="Arial"/>
                      <w:sz w:val="21"/>
                    </w:rPr>
                  </w:pPr>
                </w:p>
                <w:p>
                  <w:pPr>
                    <w:spacing w:before="55" w:line="230" w:lineRule="auto"/>
                    <w:ind w:left="129"/>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0" w:hRule="atLeast"/>
              </w:trPr>
              <w:tc>
                <w:tcPr>
                  <w:tcW w:w="5304" w:type="dxa"/>
                  <w:vAlign w:val="top"/>
                </w:tcPr>
                <w:p>
                  <w:pPr>
                    <w:spacing w:before="92" w:line="286" w:lineRule="auto"/>
                    <w:ind w:left="31" w:right="21"/>
                    <w:rPr>
                      <w:rFonts w:ascii="宋体" w:hAnsi="宋体" w:eastAsia="宋体" w:cs="宋体"/>
                      <w:sz w:val="17"/>
                      <w:szCs w:val="17"/>
                    </w:rPr>
                  </w:pPr>
                  <w:r>
                    <w:rPr>
                      <w:rFonts w:ascii="宋体" w:hAnsi="宋体" w:eastAsia="宋体" w:cs="宋体"/>
                      <w:spacing w:val="14"/>
                      <w:sz w:val="17"/>
                      <w:szCs w:val="17"/>
                    </w:rPr>
                    <w:t>第十一</w:t>
                  </w:r>
                  <w:r>
                    <w:rPr>
                      <w:rFonts w:ascii="宋体" w:hAnsi="宋体" w:eastAsia="宋体" w:cs="宋体"/>
                      <w:spacing w:val="7"/>
                      <w:sz w:val="17"/>
                      <w:szCs w:val="17"/>
                    </w:rPr>
                    <w:t>条 饮用水水源一级保护区的岸线和河段范围内，除遵守二级</w:t>
                  </w:r>
                  <w:r>
                    <w:rPr>
                      <w:rFonts w:ascii="宋体" w:hAnsi="宋体" w:eastAsia="宋体" w:cs="宋体"/>
                      <w:sz w:val="17"/>
                      <w:szCs w:val="17"/>
                    </w:rPr>
                    <w:t xml:space="preserve"> </w:t>
                  </w:r>
                  <w:r>
                    <w:rPr>
                      <w:rFonts w:ascii="宋体" w:hAnsi="宋体" w:eastAsia="宋体" w:cs="宋体"/>
                      <w:spacing w:val="18"/>
                      <w:sz w:val="17"/>
                      <w:szCs w:val="17"/>
                    </w:rPr>
                    <w:t>保护</w:t>
                  </w:r>
                  <w:r>
                    <w:rPr>
                      <w:rFonts w:ascii="宋体" w:hAnsi="宋体" w:eastAsia="宋体" w:cs="宋体"/>
                      <w:spacing w:val="12"/>
                      <w:sz w:val="17"/>
                      <w:szCs w:val="17"/>
                    </w:rPr>
                    <w:t>区</w:t>
                  </w:r>
                  <w:r>
                    <w:rPr>
                      <w:rFonts w:ascii="宋体" w:hAnsi="宋体" w:eastAsia="宋体" w:cs="宋体"/>
                      <w:spacing w:val="9"/>
                      <w:sz w:val="17"/>
                      <w:szCs w:val="17"/>
                    </w:rPr>
                    <w:t>规定外，禁止新建、改建、扩建与供水设施和保护水源无关</w:t>
                  </w:r>
                  <w:r>
                    <w:rPr>
                      <w:rFonts w:ascii="宋体" w:hAnsi="宋体" w:eastAsia="宋体" w:cs="宋体"/>
                      <w:sz w:val="17"/>
                      <w:szCs w:val="17"/>
                    </w:rPr>
                    <w:t xml:space="preserve"> </w:t>
                  </w:r>
                  <w:r>
                    <w:rPr>
                      <w:rFonts w:ascii="宋体" w:hAnsi="宋体" w:eastAsia="宋体" w:cs="宋体"/>
                      <w:spacing w:val="12"/>
                      <w:sz w:val="17"/>
                      <w:szCs w:val="17"/>
                    </w:rPr>
                    <w:t>的项</w:t>
                  </w:r>
                  <w:r>
                    <w:rPr>
                      <w:rFonts w:ascii="宋体" w:hAnsi="宋体" w:eastAsia="宋体" w:cs="宋体"/>
                      <w:spacing w:val="11"/>
                      <w:sz w:val="17"/>
                      <w:szCs w:val="17"/>
                    </w:rPr>
                    <w:t>目</w:t>
                  </w:r>
                  <w:r>
                    <w:rPr>
                      <w:rFonts w:ascii="宋体" w:hAnsi="宋体" w:eastAsia="宋体" w:cs="宋体"/>
                      <w:spacing w:val="6"/>
                      <w:sz w:val="17"/>
                      <w:szCs w:val="17"/>
                    </w:rPr>
                    <w:t>， 以及网箱养殖、畜禽养殖、旅游等可能污染饮用水水体的</w:t>
                  </w:r>
                  <w:r>
                    <w:rPr>
                      <w:rFonts w:ascii="宋体" w:hAnsi="宋体" w:eastAsia="宋体" w:cs="宋体"/>
                      <w:sz w:val="17"/>
                      <w:szCs w:val="17"/>
                    </w:rPr>
                    <w:t xml:space="preserve"> </w:t>
                  </w:r>
                  <w:r>
                    <w:rPr>
                      <w:rFonts w:ascii="宋体" w:hAnsi="宋体" w:eastAsia="宋体" w:cs="宋体"/>
                      <w:spacing w:val="10"/>
                      <w:sz w:val="17"/>
                      <w:szCs w:val="17"/>
                    </w:rPr>
                    <w:t>投</w:t>
                  </w:r>
                  <w:r>
                    <w:rPr>
                      <w:rFonts w:ascii="宋体" w:hAnsi="宋体" w:eastAsia="宋体" w:cs="宋体"/>
                      <w:spacing w:val="7"/>
                      <w:sz w:val="17"/>
                      <w:szCs w:val="17"/>
                    </w:rPr>
                    <w:t>资建设项目。</w:t>
                  </w:r>
                </w:p>
              </w:tc>
              <w:tc>
                <w:tcPr>
                  <w:tcW w:w="1893" w:type="dxa"/>
                  <w:vAlign w:val="top"/>
                </w:tcPr>
                <w:p>
                  <w:pPr>
                    <w:spacing w:line="315" w:lineRule="auto"/>
                    <w:rPr>
                      <w:rFonts w:ascii="Arial"/>
                      <w:sz w:val="21"/>
                    </w:rPr>
                  </w:pPr>
                </w:p>
                <w:p>
                  <w:pPr>
                    <w:spacing w:before="55" w:line="317" w:lineRule="auto"/>
                    <w:ind w:left="681" w:right="42" w:hanging="626"/>
                    <w:rPr>
                      <w:rFonts w:ascii="宋体" w:hAnsi="宋体" w:eastAsia="宋体" w:cs="宋体"/>
                      <w:sz w:val="17"/>
                      <w:szCs w:val="17"/>
                    </w:rPr>
                  </w:pPr>
                  <w:r>
                    <w:rPr>
                      <w:rFonts w:ascii="宋体" w:hAnsi="宋体" w:eastAsia="宋体" w:cs="宋体"/>
                      <w:spacing w:val="9"/>
                      <w:sz w:val="17"/>
                      <w:szCs w:val="17"/>
                    </w:rPr>
                    <w:t>不涉及饮用水水源一级</w:t>
                  </w:r>
                  <w:r>
                    <w:rPr>
                      <w:rFonts w:ascii="宋体" w:hAnsi="宋体" w:eastAsia="宋体" w:cs="宋体"/>
                      <w:sz w:val="17"/>
                      <w:szCs w:val="17"/>
                    </w:rPr>
                    <w:t xml:space="preserve"> </w:t>
                  </w:r>
                  <w:r>
                    <w:rPr>
                      <w:rFonts w:ascii="宋体" w:hAnsi="宋体" w:eastAsia="宋体" w:cs="宋体"/>
                      <w:spacing w:val="8"/>
                      <w:sz w:val="17"/>
                      <w:szCs w:val="17"/>
                    </w:rPr>
                    <w:t>保</w:t>
                  </w:r>
                  <w:r>
                    <w:rPr>
                      <w:rFonts w:ascii="宋体" w:hAnsi="宋体" w:eastAsia="宋体" w:cs="宋体"/>
                      <w:spacing w:val="7"/>
                      <w:sz w:val="17"/>
                      <w:szCs w:val="17"/>
                    </w:rPr>
                    <w:t>护区</w:t>
                  </w:r>
                </w:p>
              </w:tc>
              <w:tc>
                <w:tcPr>
                  <w:tcW w:w="606" w:type="dxa"/>
                  <w:vAlign w:val="top"/>
                </w:tcPr>
                <w:p>
                  <w:pPr>
                    <w:spacing w:line="455" w:lineRule="auto"/>
                    <w:rPr>
                      <w:rFonts w:ascii="Arial"/>
                      <w:sz w:val="21"/>
                    </w:rPr>
                  </w:pPr>
                </w:p>
                <w:p>
                  <w:pPr>
                    <w:spacing w:before="56" w:line="230" w:lineRule="auto"/>
                    <w:ind w:left="129"/>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5304" w:type="dxa"/>
                  <w:vAlign w:val="top"/>
                </w:tcPr>
                <w:p>
                  <w:pPr>
                    <w:spacing w:before="89" w:line="271" w:lineRule="auto"/>
                    <w:ind w:left="30" w:right="146"/>
                    <w:rPr>
                      <w:rFonts w:ascii="宋体" w:hAnsi="宋体" w:eastAsia="宋体" w:cs="宋体"/>
                      <w:sz w:val="17"/>
                      <w:szCs w:val="17"/>
                    </w:rPr>
                  </w:pPr>
                  <w:r>
                    <w:rPr>
                      <w:rFonts w:ascii="宋体" w:hAnsi="宋体" w:eastAsia="宋体" w:cs="宋体"/>
                      <w:spacing w:val="18"/>
                      <w:sz w:val="17"/>
                      <w:szCs w:val="17"/>
                    </w:rPr>
                    <w:t>第</w:t>
                  </w:r>
                  <w:r>
                    <w:rPr>
                      <w:rFonts w:ascii="宋体" w:hAnsi="宋体" w:eastAsia="宋体" w:cs="宋体"/>
                      <w:spacing w:val="15"/>
                      <w:sz w:val="17"/>
                      <w:szCs w:val="17"/>
                    </w:rPr>
                    <w:t>十</w:t>
                  </w:r>
                  <w:r>
                    <w:rPr>
                      <w:rFonts w:ascii="宋体" w:hAnsi="宋体" w:eastAsia="宋体" w:cs="宋体"/>
                      <w:spacing w:val="9"/>
                      <w:sz w:val="17"/>
                      <w:szCs w:val="17"/>
                    </w:rPr>
                    <w:t>二条 禁止在水产种质资源保护区岸线和河段范围内新建围湖</w:t>
                  </w:r>
                  <w:r>
                    <w:rPr>
                      <w:rFonts w:ascii="宋体" w:hAnsi="宋体" w:eastAsia="宋体" w:cs="宋体"/>
                      <w:sz w:val="17"/>
                      <w:szCs w:val="17"/>
                    </w:rPr>
                    <w:t xml:space="preserve"> </w:t>
                  </w:r>
                  <w:r>
                    <w:rPr>
                      <w:rFonts w:ascii="宋体" w:hAnsi="宋体" w:eastAsia="宋体" w:cs="宋体"/>
                      <w:spacing w:val="12"/>
                      <w:sz w:val="17"/>
                      <w:szCs w:val="17"/>
                    </w:rPr>
                    <w:t>造</w:t>
                  </w:r>
                  <w:r>
                    <w:rPr>
                      <w:rFonts w:ascii="宋体" w:hAnsi="宋体" w:eastAsia="宋体" w:cs="宋体"/>
                      <w:spacing w:val="9"/>
                      <w:sz w:val="17"/>
                      <w:szCs w:val="17"/>
                    </w:rPr>
                    <w:t>田、围湖造地或挖沙采石等投资建设项目。</w:t>
                  </w:r>
                </w:p>
              </w:tc>
              <w:tc>
                <w:tcPr>
                  <w:tcW w:w="1893" w:type="dxa"/>
                  <w:vAlign w:val="top"/>
                </w:tcPr>
                <w:p>
                  <w:pPr>
                    <w:spacing w:before="89" w:line="268" w:lineRule="auto"/>
                    <w:ind w:left="772" w:right="42" w:hanging="717"/>
                    <w:rPr>
                      <w:rFonts w:ascii="宋体" w:hAnsi="宋体" w:eastAsia="宋体" w:cs="宋体"/>
                      <w:sz w:val="17"/>
                      <w:szCs w:val="17"/>
                    </w:rPr>
                  </w:pPr>
                  <w:r>
                    <w:rPr>
                      <w:rFonts w:ascii="宋体" w:hAnsi="宋体" w:eastAsia="宋体" w:cs="宋体"/>
                      <w:spacing w:val="9"/>
                      <w:sz w:val="17"/>
                      <w:szCs w:val="17"/>
                    </w:rPr>
                    <w:t>不涉及水产种质资源保</w:t>
                  </w:r>
                  <w:r>
                    <w:rPr>
                      <w:rFonts w:ascii="宋体" w:hAnsi="宋体" w:eastAsia="宋体" w:cs="宋体"/>
                      <w:sz w:val="17"/>
                      <w:szCs w:val="17"/>
                    </w:rPr>
                    <w:t xml:space="preserve"> </w:t>
                  </w:r>
                  <w:r>
                    <w:rPr>
                      <w:rFonts w:ascii="宋体" w:hAnsi="宋体" w:eastAsia="宋体" w:cs="宋体"/>
                      <w:spacing w:val="6"/>
                      <w:sz w:val="17"/>
                      <w:szCs w:val="17"/>
                    </w:rPr>
                    <w:t>护区</w:t>
                  </w:r>
                </w:p>
              </w:tc>
              <w:tc>
                <w:tcPr>
                  <w:tcW w:w="606" w:type="dxa"/>
                  <w:vAlign w:val="top"/>
                </w:tcPr>
                <w:p>
                  <w:pPr>
                    <w:spacing w:before="229" w:line="230" w:lineRule="auto"/>
                    <w:ind w:left="129"/>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5" w:hRule="atLeast"/>
              </w:trPr>
              <w:tc>
                <w:tcPr>
                  <w:tcW w:w="5304" w:type="dxa"/>
                  <w:vAlign w:val="top"/>
                </w:tcPr>
                <w:p>
                  <w:pPr>
                    <w:spacing w:before="63" w:line="316" w:lineRule="auto"/>
                    <w:ind w:left="30" w:right="26"/>
                    <w:rPr>
                      <w:rFonts w:ascii="宋体" w:hAnsi="宋体" w:eastAsia="宋体" w:cs="宋体"/>
                      <w:sz w:val="17"/>
                      <w:szCs w:val="17"/>
                    </w:rPr>
                  </w:pPr>
                  <w:r>
                    <w:rPr>
                      <w:rFonts w:ascii="宋体" w:hAnsi="宋体" w:eastAsia="宋体" w:cs="宋体"/>
                      <w:spacing w:val="13"/>
                      <w:sz w:val="17"/>
                      <w:szCs w:val="17"/>
                    </w:rPr>
                    <w:t>第</w:t>
                  </w:r>
                  <w:r>
                    <w:rPr>
                      <w:rFonts w:ascii="宋体" w:hAnsi="宋体" w:eastAsia="宋体" w:cs="宋体"/>
                      <w:spacing w:val="9"/>
                      <w:sz w:val="17"/>
                      <w:szCs w:val="17"/>
                    </w:rPr>
                    <w:t>十三条 禁止在国家湿地公园的岸线和河段范围内开</w:t>
                  </w:r>
                  <w:r>
                    <w:rPr>
                      <w:rFonts w:ascii="Times New Roman" w:hAnsi="Times New Roman" w:eastAsia="Times New Roman" w:cs="Times New Roman"/>
                      <w:spacing w:val="9"/>
                      <w:sz w:val="17"/>
                      <w:szCs w:val="17"/>
                    </w:rPr>
                    <w:t>(</w:t>
                  </w:r>
                  <w:r>
                    <w:rPr>
                      <w:rFonts w:ascii="宋体" w:hAnsi="宋体" w:eastAsia="宋体" w:cs="宋体"/>
                      <w:spacing w:val="9"/>
                      <w:sz w:val="17"/>
                      <w:szCs w:val="17"/>
                    </w:rPr>
                    <w:t>围</w:t>
                  </w:r>
                  <w:r>
                    <w:rPr>
                      <w:rFonts w:ascii="Times New Roman" w:hAnsi="Times New Roman" w:eastAsia="Times New Roman" w:cs="Times New Roman"/>
                      <w:spacing w:val="9"/>
                      <w:sz w:val="17"/>
                      <w:szCs w:val="17"/>
                    </w:rPr>
                    <w:t>)</w:t>
                  </w:r>
                  <w:r>
                    <w:rPr>
                      <w:rFonts w:ascii="宋体" w:hAnsi="宋体" w:eastAsia="宋体" w:cs="宋体"/>
                      <w:spacing w:val="9"/>
                      <w:sz w:val="17"/>
                      <w:szCs w:val="17"/>
                    </w:rPr>
                    <w:t>垦、填埋</w:t>
                  </w:r>
                  <w:r>
                    <w:rPr>
                      <w:rFonts w:ascii="宋体" w:hAnsi="宋体" w:eastAsia="宋体" w:cs="宋体"/>
                      <w:sz w:val="17"/>
                      <w:szCs w:val="17"/>
                    </w:rPr>
                    <w:t xml:space="preserve"> </w:t>
                  </w:r>
                  <w:r>
                    <w:rPr>
                      <w:rFonts w:ascii="宋体" w:hAnsi="宋体" w:eastAsia="宋体" w:cs="宋体"/>
                      <w:spacing w:val="13"/>
                      <w:sz w:val="17"/>
                      <w:szCs w:val="17"/>
                    </w:rPr>
                    <w:t>或</w:t>
                  </w:r>
                  <w:r>
                    <w:rPr>
                      <w:rFonts w:ascii="宋体" w:hAnsi="宋体" w:eastAsia="宋体" w:cs="宋体"/>
                      <w:spacing w:val="10"/>
                      <w:sz w:val="17"/>
                      <w:szCs w:val="17"/>
                    </w:rPr>
                    <w:t>者排干湿地，截断湿地水源，挖沙、采矿，倾倒有毒有害物质、</w:t>
                  </w:r>
                  <w:r>
                    <w:rPr>
                      <w:rFonts w:ascii="宋体" w:hAnsi="宋体" w:eastAsia="宋体" w:cs="宋体"/>
                      <w:sz w:val="17"/>
                      <w:szCs w:val="17"/>
                    </w:rPr>
                    <w:t xml:space="preserve"> </w:t>
                  </w:r>
                  <w:r>
                    <w:rPr>
                      <w:rFonts w:ascii="宋体" w:hAnsi="宋体" w:eastAsia="宋体" w:cs="宋体"/>
                      <w:spacing w:val="18"/>
                      <w:sz w:val="17"/>
                      <w:szCs w:val="17"/>
                    </w:rPr>
                    <w:t>废</w:t>
                  </w:r>
                  <w:r>
                    <w:rPr>
                      <w:rFonts w:ascii="宋体" w:hAnsi="宋体" w:eastAsia="宋体" w:cs="宋体"/>
                      <w:spacing w:val="13"/>
                      <w:sz w:val="17"/>
                      <w:szCs w:val="17"/>
                    </w:rPr>
                    <w:t>弃</w:t>
                  </w:r>
                  <w:r>
                    <w:rPr>
                      <w:rFonts w:ascii="宋体" w:hAnsi="宋体" w:eastAsia="宋体" w:cs="宋体"/>
                      <w:spacing w:val="9"/>
                      <w:sz w:val="17"/>
                      <w:szCs w:val="17"/>
                    </w:rPr>
                    <w:t>物、垃圾，从事房地产、度假村、高</w:t>
                  </w:r>
                </w:p>
                <w:p>
                  <w:pPr>
                    <w:spacing w:before="1" w:line="267" w:lineRule="auto"/>
                    <w:ind w:left="34"/>
                    <w:rPr>
                      <w:rFonts w:ascii="宋体" w:hAnsi="宋体" w:eastAsia="宋体" w:cs="宋体"/>
                      <w:sz w:val="17"/>
                      <w:szCs w:val="17"/>
                    </w:rPr>
                  </w:pPr>
                  <w:r>
                    <w:rPr>
                      <w:rFonts w:ascii="宋体" w:hAnsi="宋体" w:eastAsia="宋体" w:cs="宋体"/>
                      <w:spacing w:val="16"/>
                      <w:sz w:val="17"/>
                      <w:szCs w:val="17"/>
                    </w:rPr>
                    <w:t>尔</w:t>
                  </w:r>
                  <w:r>
                    <w:rPr>
                      <w:rFonts w:ascii="宋体" w:hAnsi="宋体" w:eastAsia="宋体" w:cs="宋体"/>
                      <w:spacing w:val="9"/>
                      <w:sz w:val="17"/>
                      <w:szCs w:val="17"/>
                    </w:rPr>
                    <w:t>夫</w:t>
                  </w:r>
                  <w:r>
                    <w:rPr>
                      <w:rFonts w:ascii="宋体" w:hAnsi="宋体" w:eastAsia="宋体" w:cs="宋体"/>
                      <w:spacing w:val="8"/>
                      <w:sz w:val="17"/>
                      <w:szCs w:val="17"/>
                    </w:rPr>
                    <w:t>球场、风力发电、光伏发电等任何不符合主体功能定位的建设</w:t>
                  </w:r>
                  <w:r>
                    <w:rPr>
                      <w:rFonts w:ascii="宋体" w:hAnsi="宋体" w:eastAsia="宋体" w:cs="宋体"/>
                      <w:sz w:val="17"/>
                      <w:szCs w:val="17"/>
                    </w:rPr>
                    <w:t xml:space="preserve"> </w:t>
                  </w:r>
                  <w:r>
                    <w:rPr>
                      <w:rFonts w:ascii="宋体" w:hAnsi="宋体" w:eastAsia="宋体" w:cs="宋体"/>
                      <w:spacing w:val="10"/>
                      <w:sz w:val="17"/>
                      <w:szCs w:val="17"/>
                    </w:rPr>
                    <w:t>项目</w:t>
                  </w:r>
                  <w:r>
                    <w:rPr>
                      <w:rFonts w:ascii="宋体" w:hAnsi="宋体" w:eastAsia="宋体" w:cs="宋体"/>
                      <w:spacing w:val="9"/>
                      <w:sz w:val="17"/>
                      <w:szCs w:val="17"/>
                    </w:rPr>
                    <w:t>和</w:t>
                  </w:r>
                  <w:r>
                    <w:rPr>
                      <w:rFonts w:ascii="宋体" w:hAnsi="宋体" w:eastAsia="宋体" w:cs="宋体"/>
                      <w:spacing w:val="5"/>
                      <w:sz w:val="17"/>
                      <w:szCs w:val="17"/>
                    </w:rPr>
                    <w:t>开发活动，破坏野生动物栖息地和迁徙通道、鱼类洄游通道。</w:t>
                  </w:r>
                </w:p>
              </w:tc>
              <w:tc>
                <w:tcPr>
                  <w:tcW w:w="1893" w:type="dxa"/>
                  <w:vAlign w:val="top"/>
                </w:tcPr>
                <w:p>
                  <w:pPr>
                    <w:spacing w:line="298" w:lineRule="auto"/>
                    <w:rPr>
                      <w:rFonts w:ascii="Arial"/>
                      <w:sz w:val="21"/>
                    </w:rPr>
                  </w:pPr>
                </w:p>
                <w:p>
                  <w:pPr>
                    <w:spacing w:line="298" w:lineRule="auto"/>
                    <w:rPr>
                      <w:rFonts w:ascii="Arial"/>
                      <w:sz w:val="21"/>
                    </w:rPr>
                  </w:pPr>
                </w:p>
                <w:p>
                  <w:pPr>
                    <w:spacing w:before="55" w:line="231" w:lineRule="auto"/>
                    <w:ind w:left="144"/>
                    <w:rPr>
                      <w:rFonts w:ascii="宋体" w:hAnsi="宋体" w:eastAsia="宋体" w:cs="宋体"/>
                      <w:sz w:val="17"/>
                      <w:szCs w:val="17"/>
                    </w:rPr>
                  </w:pPr>
                  <w:r>
                    <w:rPr>
                      <w:rFonts w:ascii="宋体" w:hAnsi="宋体" w:eastAsia="宋体" w:cs="宋体"/>
                      <w:spacing w:val="9"/>
                      <w:sz w:val="17"/>
                      <w:szCs w:val="17"/>
                    </w:rPr>
                    <w:t>不涉及国家湿地公</w:t>
                  </w:r>
                  <w:r>
                    <w:rPr>
                      <w:rFonts w:ascii="宋体" w:hAnsi="宋体" w:eastAsia="宋体" w:cs="宋体"/>
                      <w:spacing w:val="8"/>
                      <w:sz w:val="17"/>
                      <w:szCs w:val="17"/>
                    </w:rPr>
                    <w:t>园</w:t>
                  </w:r>
                </w:p>
              </w:tc>
              <w:tc>
                <w:tcPr>
                  <w:tcW w:w="606" w:type="dxa"/>
                  <w:vAlign w:val="top"/>
                </w:tcPr>
                <w:p>
                  <w:pPr>
                    <w:spacing w:line="298" w:lineRule="auto"/>
                    <w:rPr>
                      <w:rFonts w:ascii="Arial"/>
                      <w:sz w:val="21"/>
                    </w:rPr>
                  </w:pPr>
                </w:p>
                <w:p>
                  <w:pPr>
                    <w:spacing w:line="298" w:lineRule="auto"/>
                    <w:rPr>
                      <w:rFonts w:ascii="Arial"/>
                      <w:sz w:val="21"/>
                    </w:rPr>
                  </w:pPr>
                </w:p>
                <w:p>
                  <w:pPr>
                    <w:spacing w:before="56" w:line="230" w:lineRule="auto"/>
                    <w:ind w:left="129"/>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7" w:hRule="atLeast"/>
              </w:trPr>
              <w:tc>
                <w:tcPr>
                  <w:tcW w:w="5304" w:type="dxa"/>
                  <w:vAlign w:val="top"/>
                </w:tcPr>
                <w:p>
                  <w:pPr>
                    <w:spacing w:before="93" w:line="279" w:lineRule="auto"/>
                    <w:ind w:left="32" w:right="11" w:hanging="1"/>
                    <w:rPr>
                      <w:rFonts w:ascii="宋体" w:hAnsi="宋体" w:eastAsia="宋体" w:cs="宋体"/>
                      <w:sz w:val="17"/>
                      <w:szCs w:val="17"/>
                    </w:rPr>
                  </w:pPr>
                  <w:r>
                    <w:rPr>
                      <w:rFonts w:ascii="宋体" w:hAnsi="宋体" w:eastAsia="宋体" w:cs="宋体"/>
                      <w:spacing w:val="9"/>
                      <w:sz w:val="17"/>
                      <w:szCs w:val="17"/>
                    </w:rPr>
                    <w:t>第</w:t>
                  </w:r>
                  <w:r>
                    <w:rPr>
                      <w:rFonts w:ascii="宋体" w:hAnsi="宋体" w:eastAsia="宋体" w:cs="宋体"/>
                      <w:spacing w:val="8"/>
                      <w:sz w:val="17"/>
                      <w:szCs w:val="17"/>
                    </w:rPr>
                    <w:t>十六条 禁止在长江流域江河、湖泊新设、改设或者扩大排污口，</w:t>
                  </w:r>
                  <w:r>
                    <w:rPr>
                      <w:rFonts w:ascii="宋体" w:hAnsi="宋体" w:eastAsia="宋体" w:cs="宋体"/>
                      <w:sz w:val="17"/>
                      <w:szCs w:val="17"/>
                    </w:rPr>
                    <w:t xml:space="preserve"> </w:t>
                  </w:r>
                  <w:r>
                    <w:rPr>
                      <w:rFonts w:ascii="宋体" w:hAnsi="宋体" w:eastAsia="宋体" w:cs="宋体"/>
                      <w:spacing w:val="18"/>
                      <w:sz w:val="17"/>
                      <w:szCs w:val="17"/>
                    </w:rPr>
                    <w:t>经有</w:t>
                  </w:r>
                  <w:r>
                    <w:rPr>
                      <w:rFonts w:ascii="宋体" w:hAnsi="宋体" w:eastAsia="宋体" w:cs="宋体"/>
                      <w:spacing w:val="11"/>
                      <w:sz w:val="17"/>
                      <w:szCs w:val="17"/>
                    </w:rPr>
                    <w:t>管</w:t>
                  </w:r>
                  <w:r>
                    <w:rPr>
                      <w:rFonts w:ascii="宋体" w:hAnsi="宋体" w:eastAsia="宋体" w:cs="宋体"/>
                      <w:spacing w:val="9"/>
                      <w:sz w:val="17"/>
                      <w:szCs w:val="17"/>
                    </w:rPr>
                    <w:t>辖权的生态环境主管部门或者长江流域生态环境监督管理机</w:t>
                  </w:r>
                  <w:r>
                    <w:rPr>
                      <w:rFonts w:ascii="宋体" w:hAnsi="宋体" w:eastAsia="宋体" w:cs="宋体"/>
                      <w:sz w:val="17"/>
                      <w:szCs w:val="17"/>
                    </w:rPr>
                    <w:t xml:space="preserve"> </w:t>
                  </w:r>
                  <w:r>
                    <w:rPr>
                      <w:rFonts w:ascii="宋体" w:hAnsi="宋体" w:eastAsia="宋体" w:cs="宋体"/>
                      <w:spacing w:val="9"/>
                      <w:sz w:val="17"/>
                      <w:szCs w:val="17"/>
                    </w:rPr>
                    <w:t>构</w:t>
                  </w:r>
                  <w:r>
                    <w:rPr>
                      <w:rFonts w:ascii="宋体" w:hAnsi="宋体" w:eastAsia="宋体" w:cs="宋体"/>
                      <w:spacing w:val="7"/>
                      <w:sz w:val="17"/>
                      <w:szCs w:val="17"/>
                    </w:rPr>
                    <w:t>同意的除外。</w:t>
                  </w:r>
                </w:p>
              </w:tc>
              <w:tc>
                <w:tcPr>
                  <w:tcW w:w="1893" w:type="dxa"/>
                  <w:vAlign w:val="top"/>
                </w:tcPr>
                <w:p>
                  <w:pPr>
                    <w:spacing w:line="316" w:lineRule="auto"/>
                    <w:rPr>
                      <w:rFonts w:ascii="Arial"/>
                      <w:sz w:val="21"/>
                    </w:rPr>
                  </w:pPr>
                </w:p>
                <w:p>
                  <w:pPr>
                    <w:spacing w:before="55" w:line="231" w:lineRule="auto"/>
                    <w:ind w:left="324"/>
                    <w:rPr>
                      <w:rFonts w:ascii="宋体" w:hAnsi="宋体" w:eastAsia="宋体" w:cs="宋体"/>
                      <w:sz w:val="17"/>
                      <w:szCs w:val="17"/>
                    </w:rPr>
                  </w:pPr>
                  <w:r>
                    <w:rPr>
                      <w:rFonts w:ascii="宋体" w:hAnsi="宋体" w:eastAsia="宋体" w:cs="宋体"/>
                      <w:spacing w:val="12"/>
                      <w:sz w:val="17"/>
                      <w:szCs w:val="17"/>
                    </w:rPr>
                    <w:t>项</w:t>
                  </w:r>
                  <w:r>
                    <w:rPr>
                      <w:rFonts w:ascii="宋体" w:hAnsi="宋体" w:eastAsia="宋体" w:cs="宋体"/>
                      <w:spacing w:val="8"/>
                      <w:sz w:val="17"/>
                      <w:szCs w:val="17"/>
                    </w:rPr>
                    <w:t>目不设排污口</w:t>
                  </w:r>
                </w:p>
              </w:tc>
              <w:tc>
                <w:tcPr>
                  <w:tcW w:w="606" w:type="dxa"/>
                  <w:vAlign w:val="top"/>
                </w:tcPr>
                <w:p>
                  <w:pPr>
                    <w:spacing w:line="316" w:lineRule="auto"/>
                    <w:rPr>
                      <w:rFonts w:ascii="Arial"/>
                      <w:sz w:val="21"/>
                    </w:rPr>
                  </w:pPr>
                </w:p>
                <w:p>
                  <w:pPr>
                    <w:spacing w:before="56" w:line="230" w:lineRule="auto"/>
                    <w:ind w:left="129"/>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5304" w:type="dxa"/>
                  <w:vAlign w:val="top"/>
                </w:tcPr>
                <w:p>
                  <w:pPr>
                    <w:spacing w:before="91" w:line="268" w:lineRule="auto"/>
                    <w:ind w:left="33" w:right="21" w:hanging="2"/>
                    <w:rPr>
                      <w:rFonts w:ascii="宋体" w:hAnsi="宋体" w:eastAsia="宋体" w:cs="宋体"/>
                      <w:sz w:val="17"/>
                      <w:szCs w:val="17"/>
                    </w:rPr>
                  </w:pPr>
                  <w:r>
                    <w:rPr>
                      <w:rFonts w:ascii="宋体" w:hAnsi="宋体" w:eastAsia="宋体" w:cs="宋体"/>
                      <w:spacing w:val="14"/>
                      <w:sz w:val="17"/>
                      <w:szCs w:val="17"/>
                    </w:rPr>
                    <w:t>第十八</w:t>
                  </w:r>
                  <w:r>
                    <w:rPr>
                      <w:rFonts w:ascii="宋体" w:hAnsi="宋体" w:eastAsia="宋体" w:cs="宋体"/>
                      <w:spacing w:val="7"/>
                      <w:sz w:val="17"/>
                      <w:szCs w:val="17"/>
                    </w:rPr>
                    <w:t>条 禁止在长江干支流、重要湖泊岸线一公里范围内新建、扩</w:t>
                  </w:r>
                  <w:r>
                    <w:rPr>
                      <w:rFonts w:ascii="宋体" w:hAnsi="宋体" w:eastAsia="宋体" w:cs="宋体"/>
                      <w:sz w:val="17"/>
                      <w:szCs w:val="17"/>
                    </w:rPr>
                    <w:t xml:space="preserve"> </w:t>
                  </w:r>
                  <w:r>
                    <w:rPr>
                      <w:rFonts w:ascii="宋体" w:hAnsi="宋体" w:eastAsia="宋体" w:cs="宋体"/>
                      <w:spacing w:val="9"/>
                      <w:sz w:val="17"/>
                      <w:szCs w:val="17"/>
                    </w:rPr>
                    <w:t>建化工园区和化工项目</w:t>
                  </w:r>
                </w:p>
              </w:tc>
              <w:tc>
                <w:tcPr>
                  <w:tcW w:w="1893" w:type="dxa"/>
                  <w:vAlign w:val="top"/>
                </w:tcPr>
                <w:p>
                  <w:pPr>
                    <w:spacing w:before="233" w:line="231" w:lineRule="auto"/>
                    <w:ind w:left="144"/>
                    <w:rPr>
                      <w:rFonts w:ascii="宋体" w:hAnsi="宋体" w:eastAsia="宋体" w:cs="宋体"/>
                      <w:sz w:val="17"/>
                      <w:szCs w:val="17"/>
                    </w:rPr>
                  </w:pPr>
                  <w:r>
                    <w:rPr>
                      <w:rFonts w:ascii="宋体" w:hAnsi="宋体" w:eastAsia="宋体" w:cs="宋体"/>
                      <w:spacing w:val="9"/>
                      <w:sz w:val="17"/>
                      <w:szCs w:val="17"/>
                    </w:rPr>
                    <w:t>项目不属于化工项</w:t>
                  </w:r>
                  <w:r>
                    <w:rPr>
                      <w:rFonts w:ascii="宋体" w:hAnsi="宋体" w:eastAsia="宋体" w:cs="宋体"/>
                      <w:spacing w:val="8"/>
                      <w:sz w:val="17"/>
                      <w:szCs w:val="17"/>
                    </w:rPr>
                    <w:t>目</w:t>
                  </w:r>
                </w:p>
              </w:tc>
              <w:tc>
                <w:tcPr>
                  <w:tcW w:w="606" w:type="dxa"/>
                  <w:vAlign w:val="top"/>
                </w:tcPr>
                <w:p>
                  <w:pPr>
                    <w:spacing w:before="233" w:line="230" w:lineRule="auto"/>
                    <w:ind w:left="129"/>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0" w:hRule="atLeast"/>
              </w:trPr>
              <w:tc>
                <w:tcPr>
                  <w:tcW w:w="5304" w:type="dxa"/>
                  <w:vAlign w:val="top"/>
                </w:tcPr>
                <w:p>
                  <w:pPr>
                    <w:spacing w:before="237" w:line="312" w:lineRule="auto"/>
                    <w:ind w:left="33" w:right="54" w:hanging="2"/>
                    <w:rPr>
                      <w:rFonts w:ascii="宋体" w:hAnsi="宋体" w:eastAsia="宋体" w:cs="宋体"/>
                      <w:sz w:val="17"/>
                      <w:szCs w:val="17"/>
                    </w:rPr>
                  </w:pPr>
                  <w:r>
                    <w:rPr>
                      <w:rFonts w:ascii="宋体" w:hAnsi="宋体" w:eastAsia="宋体" w:cs="宋体"/>
                      <w:spacing w:val="18"/>
                      <w:sz w:val="17"/>
                      <w:szCs w:val="17"/>
                    </w:rPr>
                    <w:t>第</w:t>
                  </w:r>
                  <w:r>
                    <w:rPr>
                      <w:rFonts w:ascii="宋体" w:hAnsi="宋体" w:eastAsia="宋体" w:cs="宋体"/>
                      <w:spacing w:val="15"/>
                      <w:sz w:val="17"/>
                      <w:szCs w:val="17"/>
                    </w:rPr>
                    <w:t>十</w:t>
                  </w:r>
                  <w:r>
                    <w:rPr>
                      <w:rFonts w:ascii="宋体" w:hAnsi="宋体" w:eastAsia="宋体" w:cs="宋体"/>
                      <w:spacing w:val="9"/>
                      <w:sz w:val="17"/>
                      <w:szCs w:val="17"/>
                    </w:rPr>
                    <w:t>九条 禁止在长江干流岸线三公里范围内和重要支流岸线一公</w:t>
                  </w:r>
                  <w:r>
                    <w:rPr>
                      <w:rFonts w:ascii="宋体" w:hAnsi="宋体" w:eastAsia="宋体" w:cs="宋体"/>
                      <w:sz w:val="17"/>
                      <w:szCs w:val="17"/>
                    </w:rPr>
                    <w:t xml:space="preserve"> </w:t>
                  </w:r>
                  <w:r>
                    <w:rPr>
                      <w:rFonts w:ascii="宋体" w:hAnsi="宋体" w:eastAsia="宋体" w:cs="宋体"/>
                      <w:spacing w:val="12"/>
                      <w:sz w:val="17"/>
                      <w:szCs w:val="17"/>
                    </w:rPr>
                    <w:t>里范</w:t>
                  </w:r>
                  <w:r>
                    <w:rPr>
                      <w:rFonts w:ascii="宋体" w:hAnsi="宋体" w:eastAsia="宋体" w:cs="宋体"/>
                      <w:spacing w:val="9"/>
                      <w:sz w:val="17"/>
                      <w:szCs w:val="17"/>
                    </w:rPr>
                    <w:t>围</w:t>
                  </w:r>
                  <w:r>
                    <w:rPr>
                      <w:rFonts w:ascii="宋体" w:hAnsi="宋体" w:eastAsia="宋体" w:cs="宋体"/>
                      <w:spacing w:val="6"/>
                      <w:sz w:val="17"/>
                      <w:szCs w:val="17"/>
                    </w:rPr>
                    <w:t>内新建、改建、扩建尾矿库、冶炼渣库、磷石膏库， 以提升</w:t>
                  </w:r>
                  <w:r>
                    <w:rPr>
                      <w:rFonts w:ascii="宋体" w:hAnsi="宋体" w:eastAsia="宋体" w:cs="宋体"/>
                      <w:sz w:val="17"/>
                      <w:szCs w:val="17"/>
                    </w:rPr>
                    <w:t xml:space="preserve"> </w:t>
                  </w:r>
                  <w:r>
                    <w:rPr>
                      <w:rFonts w:ascii="宋体" w:hAnsi="宋体" w:eastAsia="宋体" w:cs="宋体"/>
                      <w:spacing w:val="18"/>
                      <w:sz w:val="17"/>
                      <w:szCs w:val="17"/>
                    </w:rPr>
                    <w:t>安</w:t>
                  </w:r>
                  <w:r>
                    <w:rPr>
                      <w:rFonts w:ascii="宋体" w:hAnsi="宋体" w:eastAsia="宋体" w:cs="宋体"/>
                      <w:spacing w:val="9"/>
                      <w:sz w:val="17"/>
                      <w:szCs w:val="17"/>
                    </w:rPr>
                    <w:t>全、生态环境保护水平为目的的改建除外</w:t>
                  </w:r>
                </w:p>
              </w:tc>
              <w:tc>
                <w:tcPr>
                  <w:tcW w:w="1893" w:type="dxa"/>
                  <w:vAlign w:val="top"/>
                </w:tcPr>
                <w:p>
                  <w:pPr>
                    <w:spacing w:before="95" w:line="304" w:lineRule="auto"/>
                    <w:ind w:left="52" w:right="42" w:firstLine="2"/>
                    <w:rPr>
                      <w:rFonts w:ascii="宋体" w:hAnsi="宋体" w:eastAsia="宋体" w:cs="宋体"/>
                      <w:sz w:val="17"/>
                      <w:szCs w:val="17"/>
                    </w:rPr>
                  </w:pPr>
                  <w:r>
                    <w:rPr>
                      <w:rFonts w:ascii="宋体" w:hAnsi="宋体" w:eastAsia="宋体" w:cs="宋体"/>
                      <w:spacing w:val="9"/>
                      <w:sz w:val="17"/>
                      <w:szCs w:val="17"/>
                    </w:rPr>
                    <w:t>项目不在长江干流岸线</w:t>
                  </w:r>
                  <w:r>
                    <w:rPr>
                      <w:rFonts w:ascii="宋体" w:hAnsi="宋体" w:eastAsia="宋体" w:cs="宋体"/>
                      <w:sz w:val="17"/>
                      <w:szCs w:val="17"/>
                    </w:rPr>
                    <w:t xml:space="preserve"> </w:t>
                  </w:r>
                  <w:r>
                    <w:rPr>
                      <w:rFonts w:ascii="宋体" w:hAnsi="宋体" w:eastAsia="宋体" w:cs="宋体"/>
                      <w:spacing w:val="11"/>
                      <w:sz w:val="17"/>
                      <w:szCs w:val="17"/>
                    </w:rPr>
                    <w:t>三</w:t>
                  </w:r>
                  <w:r>
                    <w:rPr>
                      <w:rFonts w:ascii="宋体" w:hAnsi="宋体" w:eastAsia="宋体" w:cs="宋体"/>
                      <w:spacing w:val="9"/>
                      <w:sz w:val="17"/>
                      <w:szCs w:val="17"/>
                    </w:rPr>
                    <w:t>公里范围内和重要支</w:t>
                  </w:r>
                  <w:r>
                    <w:rPr>
                      <w:rFonts w:ascii="宋体" w:hAnsi="宋体" w:eastAsia="宋体" w:cs="宋体"/>
                      <w:sz w:val="17"/>
                      <w:szCs w:val="17"/>
                    </w:rPr>
                    <w:t xml:space="preserve"> </w:t>
                  </w:r>
                  <w:r>
                    <w:rPr>
                      <w:rFonts w:ascii="宋体" w:hAnsi="宋体" w:eastAsia="宋体" w:cs="宋体"/>
                      <w:spacing w:val="10"/>
                      <w:sz w:val="17"/>
                      <w:szCs w:val="17"/>
                    </w:rPr>
                    <w:t>流</w:t>
                  </w:r>
                  <w:r>
                    <w:rPr>
                      <w:rFonts w:ascii="宋体" w:hAnsi="宋体" w:eastAsia="宋体" w:cs="宋体"/>
                      <w:spacing w:val="8"/>
                      <w:sz w:val="17"/>
                      <w:szCs w:val="17"/>
                    </w:rPr>
                    <w:t>岸线一公里范围内；</w:t>
                  </w:r>
                </w:p>
                <w:p>
                  <w:pPr>
                    <w:spacing w:line="230" w:lineRule="auto"/>
                    <w:ind w:left="141"/>
                    <w:rPr>
                      <w:rFonts w:ascii="宋体" w:hAnsi="宋体" w:eastAsia="宋体" w:cs="宋体"/>
                      <w:sz w:val="17"/>
                      <w:szCs w:val="17"/>
                    </w:rPr>
                  </w:pPr>
                  <w:r>
                    <w:rPr>
                      <w:rFonts w:ascii="宋体" w:hAnsi="宋体" w:eastAsia="宋体" w:cs="宋体"/>
                      <w:spacing w:val="10"/>
                      <w:sz w:val="17"/>
                      <w:szCs w:val="17"/>
                    </w:rPr>
                    <w:t>且</w:t>
                  </w:r>
                  <w:r>
                    <w:rPr>
                      <w:rFonts w:ascii="宋体" w:hAnsi="宋体" w:eastAsia="宋体" w:cs="宋体"/>
                      <w:spacing w:val="9"/>
                      <w:sz w:val="17"/>
                      <w:szCs w:val="17"/>
                    </w:rPr>
                    <w:t>不设置永久尾矿库</w:t>
                  </w:r>
                </w:p>
              </w:tc>
              <w:tc>
                <w:tcPr>
                  <w:tcW w:w="606" w:type="dxa"/>
                  <w:vAlign w:val="top"/>
                </w:tcPr>
                <w:p>
                  <w:pPr>
                    <w:spacing w:line="457" w:lineRule="auto"/>
                    <w:rPr>
                      <w:rFonts w:ascii="Arial"/>
                      <w:sz w:val="21"/>
                    </w:rPr>
                  </w:pPr>
                </w:p>
                <w:p>
                  <w:pPr>
                    <w:spacing w:before="55" w:line="230" w:lineRule="auto"/>
                    <w:ind w:left="129"/>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5" w:hRule="atLeast"/>
              </w:trPr>
              <w:tc>
                <w:tcPr>
                  <w:tcW w:w="5304" w:type="dxa"/>
                  <w:vAlign w:val="top"/>
                </w:tcPr>
                <w:p>
                  <w:pPr>
                    <w:spacing w:line="460" w:lineRule="auto"/>
                    <w:rPr>
                      <w:rFonts w:ascii="Arial"/>
                      <w:sz w:val="21"/>
                    </w:rPr>
                  </w:pPr>
                </w:p>
                <w:p>
                  <w:pPr>
                    <w:spacing w:before="55" w:line="317" w:lineRule="auto"/>
                    <w:ind w:left="40" w:right="21" w:hanging="9"/>
                    <w:rPr>
                      <w:rFonts w:ascii="宋体" w:hAnsi="宋体" w:eastAsia="宋体" w:cs="宋体"/>
                      <w:sz w:val="17"/>
                      <w:szCs w:val="17"/>
                    </w:rPr>
                  </w:pPr>
                  <w:r>
                    <w:rPr>
                      <w:rFonts w:ascii="宋体" w:hAnsi="宋体" w:eastAsia="宋体" w:cs="宋体"/>
                      <w:spacing w:val="14"/>
                      <w:sz w:val="17"/>
                      <w:szCs w:val="17"/>
                    </w:rPr>
                    <w:t>第二十</w:t>
                  </w:r>
                  <w:r>
                    <w:rPr>
                      <w:rFonts w:ascii="宋体" w:hAnsi="宋体" w:eastAsia="宋体" w:cs="宋体"/>
                      <w:spacing w:val="7"/>
                      <w:sz w:val="17"/>
                      <w:szCs w:val="17"/>
                    </w:rPr>
                    <w:t>条 禁止在生态保护红线区域、永久基本农田集中区域和其他</w:t>
                  </w:r>
                  <w:r>
                    <w:rPr>
                      <w:rFonts w:ascii="宋体" w:hAnsi="宋体" w:eastAsia="宋体" w:cs="宋体"/>
                      <w:sz w:val="17"/>
                      <w:szCs w:val="17"/>
                    </w:rPr>
                    <w:t xml:space="preserve"> </w:t>
                  </w:r>
                  <w:r>
                    <w:rPr>
                      <w:rFonts w:ascii="宋体" w:hAnsi="宋体" w:eastAsia="宋体" w:cs="宋体"/>
                      <w:spacing w:val="10"/>
                      <w:sz w:val="17"/>
                      <w:szCs w:val="17"/>
                    </w:rPr>
                    <w:t>需</w:t>
                  </w:r>
                  <w:r>
                    <w:rPr>
                      <w:rFonts w:ascii="宋体" w:hAnsi="宋体" w:eastAsia="宋体" w:cs="宋体"/>
                      <w:spacing w:val="9"/>
                      <w:sz w:val="17"/>
                      <w:szCs w:val="17"/>
                    </w:rPr>
                    <w:t>要特别保护的区域内选址建设尾矿库、冶炼渣库、磷石膏库。</w:t>
                  </w:r>
                </w:p>
              </w:tc>
              <w:tc>
                <w:tcPr>
                  <w:tcW w:w="1893" w:type="dxa"/>
                  <w:vAlign w:val="top"/>
                </w:tcPr>
                <w:p>
                  <w:pPr>
                    <w:spacing w:before="98" w:line="231" w:lineRule="auto"/>
                    <w:ind w:left="55"/>
                    <w:rPr>
                      <w:rFonts w:ascii="宋体" w:hAnsi="宋体" w:eastAsia="宋体" w:cs="宋体"/>
                      <w:sz w:val="17"/>
                      <w:szCs w:val="17"/>
                    </w:rPr>
                  </w:pPr>
                  <w:r>
                    <w:rPr>
                      <w:rFonts w:ascii="宋体" w:hAnsi="宋体" w:eastAsia="宋体" w:cs="宋体"/>
                      <w:spacing w:val="9"/>
                      <w:sz w:val="17"/>
                      <w:szCs w:val="17"/>
                    </w:rPr>
                    <w:t>项目不涉及生态保护红</w:t>
                  </w:r>
                </w:p>
                <w:p>
                  <w:pPr>
                    <w:spacing w:before="68" w:line="231" w:lineRule="auto"/>
                    <w:ind w:left="54"/>
                    <w:rPr>
                      <w:rFonts w:ascii="宋体" w:hAnsi="宋体" w:eastAsia="宋体" w:cs="宋体"/>
                      <w:sz w:val="17"/>
                      <w:szCs w:val="17"/>
                    </w:rPr>
                  </w:pPr>
                  <w:r>
                    <w:rPr>
                      <w:rFonts w:ascii="宋体" w:hAnsi="宋体" w:eastAsia="宋体" w:cs="宋体"/>
                      <w:spacing w:val="9"/>
                      <w:sz w:val="17"/>
                      <w:szCs w:val="17"/>
                    </w:rPr>
                    <w:t>线区域、永久基本农田</w:t>
                  </w:r>
                </w:p>
                <w:p>
                  <w:pPr>
                    <w:spacing w:before="65" w:line="230" w:lineRule="auto"/>
                    <w:ind w:left="52"/>
                    <w:rPr>
                      <w:rFonts w:ascii="宋体" w:hAnsi="宋体" w:eastAsia="宋体" w:cs="宋体"/>
                      <w:sz w:val="17"/>
                      <w:szCs w:val="17"/>
                    </w:rPr>
                  </w:pPr>
                  <w:r>
                    <w:rPr>
                      <w:rFonts w:ascii="宋体" w:hAnsi="宋体" w:eastAsia="宋体" w:cs="宋体"/>
                      <w:spacing w:val="11"/>
                      <w:sz w:val="17"/>
                      <w:szCs w:val="17"/>
                    </w:rPr>
                    <w:t>集</w:t>
                  </w:r>
                  <w:r>
                    <w:rPr>
                      <w:rFonts w:ascii="宋体" w:hAnsi="宋体" w:eastAsia="宋体" w:cs="宋体"/>
                      <w:spacing w:val="9"/>
                      <w:sz w:val="17"/>
                      <w:szCs w:val="17"/>
                    </w:rPr>
                    <w:t>中区域和其他需要特</w:t>
                  </w:r>
                </w:p>
                <w:p>
                  <w:pPr>
                    <w:spacing w:before="68" w:line="231" w:lineRule="auto"/>
                    <w:ind w:left="54"/>
                    <w:rPr>
                      <w:rFonts w:ascii="宋体" w:hAnsi="宋体" w:eastAsia="宋体" w:cs="宋体"/>
                      <w:sz w:val="17"/>
                      <w:szCs w:val="17"/>
                    </w:rPr>
                  </w:pPr>
                  <w:r>
                    <w:rPr>
                      <w:rFonts w:ascii="宋体" w:hAnsi="宋体" w:eastAsia="宋体" w:cs="宋体"/>
                      <w:spacing w:val="9"/>
                      <w:sz w:val="17"/>
                      <w:szCs w:val="17"/>
                    </w:rPr>
                    <w:t>别保护的区域；且项目</w:t>
                  </w:r>
                </w:p>
                <w:p>
                  <w:pPr>
                    <w:spacing w:before="68" w:line="230" w:lineRule="auto"/>
                    <w:ind w:left="235"/>
                    <w:rPr>
                      <w:rFonts w:ascii="宋体" w:hAnsi="宋体" w:eastAsia="宋体" w:cs="宋体"/>
                      <w:sz w:val="17"/>
                      <w:szCs w:val="17"/>
                    </w:rPr>
                  </w:pPr>
                  <w:r>
                    <w:rPr>
                      <w:rFonts w:ascii="宋体" w:hAnsi="宋体" w:eastAsia="宋体" w:cs="宋体"/>
                      <w:spacing w:val="14"/>
                      <w:sz w:val="17"/>
                      <w:szCs w:val="17"/>
                    </w:rPr>
                    <w:t>不</w:t>
                  </w:r>
                  <w:r>
                    <w:rPr>
                      <w:rFonts w:ascii="宋体" w:hAnsi="宋体" w:eastAsia="宋体" w:cs="宋体"/>
                      <w:spacing w:val="8"/>
                      <w:sz w:val="17"/>
                      <w:szCs w:val="17"/>
                    </w:rPr>
                    <w:t>设置永久尾矿库</w:t>
                  </w:r>
                </w:p>
              </w:tc>
              <w:tc>
                <w:tcPr>
                  <w:tcW w:w="606" w:type="dxa"/>
                  <w:vAlign w:val="top"/>
                </w:tcPr>
                <w:p>
                  <w:pPr>
                    <w:spacing w:line="299" w:lineRule="auto"/>
                    <w:rPr>
                      <w:rFonts w:ascii="Arial"/>
                      <w:sz w:val="21"/>
                    </w:rPr>
                  </w:pPr>
                </w:p>
                <w:p>
                  <w:pPr>
                    <w:spacing w:line="300" w:lineRule="auto"/>
                    <w:rPr>
                      <w:rFonts w:ascii="Arial"/>
                      <w:sz w:val="21"/>
                    </w:rPr>
                  </w:pPr>
                </w:p>
                <w:p>
                  <w:pPr>
                    <w:spacing w:before="55" w:line="230" w:lineRule="auto"/>
                    <w:ind w:left="129"/>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6" w:hRule="atLeast"/>
              </w:trPr>
              <w:tc>
                <w:tcPr>
                  <w:tcW w:w="5304" w:type="dxa"/>
                  <w:vAlign w:val="top"/>
                </w:tcPr>
                <w:p>
                  <w:pPr>
                    <w:spacing w:before="113" w:line="286" w:lineRule="auto"/>
                    <w:ind w:left="33" w:right="21" w:hanging="2"/>
                    <w:rPr>
                      <w:rFonts w:ascii="宋体" w:hAnsi="宋体" w:eastAsia="宋体" w:cs="宋体"/>
                      <w:sz w:val="17"/>
                      <w:szCs w:val="17"/>
                    </w:rPr>
                  </w:pPr>
                  <w:r>
                    <w:rPr>
                      <w:rFonts w:ascii="宋体" w:hAnsi="宋体" w:eastAsia="宋体" w:cs="宋体"/>
                      <w:spacing w:val="14"/>
                      <w:sz w:val="17"/>
                      <w:szCs w:val="17"/>
                    </w:rPr>
                    <w:t>第二十</w:t>
                  </w:r>
                  <w:r>
                    <w:rPr>
                      <w:rFonts w:ascii="宋体" w:hAnsi="宋体" w:eastAsia="宋体" w:cs="宋体"/>
                      <w:spacing w:val="7"/>
                      <w:sz w:val="17"/>
                      <w:szCs w:val="17"/>
                    </w:rPr>
                    <w:t>三条 禁止新建、扩建法律法规和相关政策明令禁止的落后产</w:t>
                  </w:r>
                  <w:r>
                    <w:rPr>
                      <w:rFonts w:ascii="宋体" w:hAnsi="宋体" w:eastAsia="宋体" w:cs="宋体"/>
                      <w:sz w:val="17"/>
                      <w:szCs w:val="17"/>
                    </w:rPr>
                    <w:t xml:space="preserve"> </w:t>
                  </w:r>
                  <w:r>
                    <w:rPr>
                      <w:rFonts w:ascii="宋体" w:hAnsi="宋体" w:eastAsia="宋体" w:cs="宋体"/>
                      <w:spacing w:val="18"/>
                      <w:sz w:val="17"/>
                      <w:szCs w:val="17"/>
                    </w:rPr>
                    <w:t>能</w:t>
                  </w:r>
                  <w:r>
                    <w:rPr>
                      <w:rFonts w:ascii="宋体" w:hAnsi="宋体" w:eastAsia="宋体" w:cs="宋体"/>
                      <w:spacing w:val="9"/>
                      <w:sz w:val="17"/>
                      <w:szCs w:val="17"/>
                    </w:rPr>
                    <w:t>项目。对《产业结构调整指导目录》中淘汰类项目，禁止投资；</w:t>
                  </w:r>
                  <w:r>
                    <w:rPr>
                      <w:rFonts w:ascii="宋体" w:hAnsi="宋体" w:eastAsia="宋体" w:cs="宋体"/>
                      <w:sz w:val="17"/>
                      <w:szCs w:val="17"/>
                    </w:rPr>
                    <w:t xml:space="preserve"> </w:t>
                  </w:r>
                  <w:r>
                    <w:rPr>
                      <w:rFonts w:ascii="宋体" w:hAnsi="宋体" w:eastAsia="宋体" w:cs="宋体"/>
                      <w:spacing w:val="18"/>
                      <w:sz w:val="17"/>
                      <w:szCs w:val="17"/>
                    </w:rPr>
                    <w:t>限制</w:t>
                  </w:r>
                  <w:r>
                    <w:rPr>
                      <w:rFonts w:ascii="宋体" w:hAnsi="宋体" w:eastAsia="宋体" w:cs="宋体"/>
                      <w:spacing w:val="10"/>
                      <w:sz w:val="17"/>
                      <w:szCs w:val="17"/>
                    </w:rPr>
                    <w:t>类</w:t>
                  </w:r>
                  <w:r>
                    <w:rPr>
                      <w:rFonts w:ascii="宋体" w:hAnsi="宋体" w:eastAsia="宋体" w:cs="宋体"/>
                      <w:spacing w:val="9"/>
                      <w:sz w:val="17"/>
                      <w:szCs w:val="17"/>
                    </w:rPr>
                    <w:t>的新建项目，禁止投资；对属于限制类的现有生产能力允许</w:t>
                  </w:r>
                  <w:r>
                    <w:rPr>
                      <w:rFonts w:ascii="宋体" w:hAnsi="宋体" w:eastAsia="宋体" w:cs="宋体"/>
                      <w:sz w:val="17"/>
                      <w:szCs w:val="17"/>
                    </w:rPr>
                    <w:t xml:space="preserve"> </w:t>
                  </w:r>
                  <w:r>
                    <w:rPr>
                      <w:rFonts w:ascii="宋体" w:hAnsi="宋体" w:eastAsia="宋体" w:cs="宋体"/>
                      <w:spacing w:val="9"/>
                      <w:sz w:val="17"/>
                      <w:szCs w:val="17"/>
                    </w:rPr>
                    <w:t>企业在一定期限内采取措施改造升级</w:t>
                  </w:r>
                  <w:r>
                    <w:rPr>
                      <w:rFonts w:ascii="宋体" w:hAnsi="宋体" w:eastAsia="宋体" w:cs="宋体"/>
                      <w:spacing w:val="6"/>
                      <w:sz w:val="17"/>
                      <w:szCs w:val="17"/>
                    </w:rPr>
                    <w:t>。</w:t>
                  </w:r>
                </w:p>
              </w:tc>
              <w:tc>
                <w:tcPr>
                  <w:tcW w:w="1893" w:type="dxa"/>
                  <w:vAlign w:val="top"/>
                </w:tcPr>
                <w:p>
                  <w:pPr>
                    <w:spacing w:before="254" w:line="231" w:lineRule="auto"/>
                    <w:ind w:left="55"/>
                    <w:rPr>
                      <w:rFonts w:ascii="宋体" w:hAnsi="宋体" w:eastAsia="宋体" w:cs="宋体"/>
                      <w:sz w:val="17"/>
                      <w:szCs w:val="17"/>
                    </w:rPr>
                  </w:pPr>
                  <w:r>
                    <w:rPr>
                      <w:rFonts w:ascii="宋体" w:hAnsi="宋体" w:eastAsia="宋体" w:cs="宋体"/>
                      <w:spacing w:val="9"/>
                      <w:sz w:val="17"/>
                      <w:szCs w:val="17"/>
                    </w:rPr>
                    <w:t>项目属于《产业结构调</w:t>
                  </w:r>
                </w:p>
                <w:p>
                  <w:pPr>
                    <w:spacing w:before="65" w:line="230" w:lineRule="auto"/>
                    <w:ind w:left="142"/>
                    <w:rPr>
                      <w:rFonts w:ascii="宋体" w:hAnsi="宋体" w:eastAsia="宋体" w:cs="宋体"/>
                      <w:sz w:val="17"/>
                      <w:szCs w:val="17"/>
                    </w:rPr>
                  </w:pPr>
                  <w:r>
                    <w:rPr>
                      <w:rFonts w:ascii="宋体" w:hAnsi="宋体" w:eastAsia="宋体" w:cs="宋体"/>
                      <w:spacing w:val="7"/>
                      <w:sz w:val="17"/>
                      <w:szCs w:val="17"/>
                    </w:rPr>
                    <w:t>整指导目录 (</w:t>
                  </w:r>
                  <w:r>
                    <w:rPr>
                      <w:rFonts w:ascii="Times New Roman" w:hAnsi="Times New Roman" w:eastAsia="Times New Roman" w:cs="Times New Roman"/>
                      <w:spacing w:val="7"/>
                      <w:sz w:val="17"/>
                      <w:szCs w:val="17"/>
                    </w:rPr>
                    <w:t>2019</w:t>
                  </w:r>
                  <w:r>
                    <w:rPr>
                      <w:rFonts w:ascii="宋体" w:hAnsi="宋体" w:eastAsia="宋体" w:cs="宋体"/>
                      <w:spacing w:val="5"/>
                      <w:sz w:val="17"/>
                      <w:szCs w:val="17"/>
                    </w:rPr>
                    <w:t>年</w:t>
                  </w:r>
                </w:p>
                <w:p>
                  <w:pPr>
                    <w:spacing w:before="69" w:line="229" w:lineRule="auto"/>
                    <w:ind w:left="322"/>
                    <w:rPr>
                      <w:rFonts w:ascii="宋体" w:hAnsi="宋体" w:eastAsia="宋体" w:cs="宋体"/>
                      <w:sz w:val="17"/>
                      <w:szCs w:val="17"/>
                    </w:rPr>
                  </w:pPr>
                  <w:r>
                    <w:rPr>
                      <w:rFonts w:ascii="宋体" w:hAnsi="宋体" w:eastAsia="宋体" w:cs="宋体"/>
                      <w:spacing w:val="13"/>
                      <w:sz w:val="17"/>
                      <w:szCs w:val="17"/>
                    </w:rPr>
                    <w:t>本</w:t>
                  </w:r>
                  <w:r>
                    <w:rPr>
                      <w:rFonts w:ascii="宋体" w:hAnsi="宋体" w:eastAsia="宋体" w:cs="宋体"/>
                      <w:spacing w:val="7"/>
                      <w:sz w:val="17"/>
                      <w:szCs w:val="17"/>
                    </w:rPr>
                    <w:t>) 》中鼓励类</w:t>
                  </w:r>
                </w:p>
              </w:tc>
              <w:tc>
                <w:tcPr>
                  <w:tcW w:w="606" w:type="dxa"/>
                  <w:vAlign w:val="top"/>
                </w:tcPr>
                <w:p>
                  <w:pPr>
                    <w:spacing w:line="474" w:lineRule="auto"/>
                    <w:rPr>
                      <w:rFonts w:ascii="Arial"/>
                      <w:sz w:val="21"/>
                    </w:rPr>
                  </w:pPr>
                </w:p>
                <w:p>
                  <w:pPr>
                    <w:spacing w:before="55" w:line="230" w:lineRule="auto"/>
                    <w:ind w:left="129"/>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bl>
          <w:p>
            <w:pPr>
              <w:spacing w:line="215" w:lineRule="exact"/>
              <w:rPr>
                <w:rFonts w:ascii="Arial"/>
                <w:sz w:val="18"/>
              </w:rPr>
            </w:pPr>
          </w:p>
        </w:tc>
      </w:tr>
    </w:tbl>
    <w:p>
      <w:pPr>
        <w:spacing w:line="161" w:lineRule="exact"/>
        <w:rPr>
          <w:rFonts w:ascii="Arial"/>
          <w:sz w:val="14"/>
        </w:rPr>
      </w:pPr>
    </w:p>
    <w:p>
      <w:pPr>
        <w:sectPr>
          <w:footerReference r:id="rId20" w:type="default"/>
          <w:pgSz w:w="11906" w:h="16839"/>
          <w:pgMar w:top="400" w:right="1434" w:bottom="1475" w:left="1521" w:header="0" w:footer="1315" w:gutter="0"/>
          <w:cols w:space="720" w:num="1"/>
        </w:sectPr>
      </w:pPr>
    </w:p>
    <w:p>
      <w:r>
        <w:pict>
          <v:rect id="_x0000_s1042" o:spid="_x0000_s1042" o:spt="1" style="position:absolute;left:0pt;margin-left:117.75pt;margin-top:117.5pt;height:78.95pt;width:0.5pt;mso-position-horizontal-relative:page;mso-position-vertical-relative:page;z-index:251669504;mso-width-relative:page;mso-height-relative:page;" fillcolor="#000000" filled="t" stroked="f" coordsize="21600,21600" o:allowincell="f">
            <v:path/>
            <v:fill on="t" focussize="0,0"/>
            <v:stroke on="f"/>
            <v:imagedata o:title=""/>
            <o:lock v:ext="edit"/>
          </v:rect>
        </w:pict>
      </w:r>
      <w:r>
        <w:pict>
          <v:rect id="_x0000_s1043" o:spid="_x0000_s1043" o:spt="1" style="position:absolute;left:0pt;margin-left:516.7pt;margin-top:117.5pt;height:78.95pt;width:0.5pt;mso-position-horizontal-relative:page;mso-position-vertical-relative:page;z-index:251670528;mso-width-relative:page;mso-height-relative:page;" fillcolor="#000000" filled="t" stroked="f" coordsize="21600,21600" o:allowincell="f">
            <v:path/>
            <v:fill on="t" focussize="0,0"/>
            <v:stroke on="f"/>
            <v:imagedata o:title=""/>
            <o:lock v:ext="edit"/>
          </v:rect>
        </w:pict>
      </w:r>
      <w:r>
        <w:pict>
          <v:rect id="_x0000_s1044" o:spid="_x0000_s1044" o:spt="1" style="position:absolute;left:0pt;margin-left:117.75pt;margin-top:233.25pt;height:94.8pt;width:0.5pt;mso-position-horizontal-relative:page;mso-position-vertical-relative:page;z-index:251667456;mso-width-relative:page;mso-height-relative:page;" fillcolor="#000000" filled="t" stroked="f" coordsize="21600,21600" o:allowincell="f">
            <v:path/>
            <v:fill on="t" focussize="0,0"/>
            <v:stroke on="f"/>
            <v:imagedata o:title=""/>
            <o:lock v:ext="edit"/>
          </v:rect>
        </w:pict>
      </w:r>
      <w:r>
        <w:pict>
          <v:rect id="_x0000_s1045" o:spid="_x0000_s1045" o:spt="1" style="position:absolute;left:0pt;margin-left:516.65pt;margin-top:233.25pt;height:94.8pt;width:0.5pt;mso-position-horizontal-relative:page;mso-position-vertical-relative:page;z-index:251668480;mso-width-relative:page;mso-height-relative:page;" fillcolor="#000000" filled="t" stroked="f" coordsize="21600,21600" o:allowincell="f">
            <v:path/>
            <v:fill on="t" focussize="0,0"/>
            <v:stroke on="f"/>
            <v:imagedata o:title=""/>
            <o:lock v:ext="edit"/>
          </v:rect>
        </w:pict>
      </w:r>
    </w:p>
    <w:p/>
    <w:p/>
    <w:p/>
    <w:p>
      <w:pPr>
        <w:spacing w:line="221" w:lineRule="exact"/>
      </w:pPr>
    </w:p>
    <w:tbl>
      <w:tblPr>
        <w:tblStyle w:val="4"/>
        <w:tblW w:w="893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4"/>
        <w:gridCol w:w="692"/>
        <w:gridCol w:w="4475"/>
        <w:gridCol w:w="253"/>
        <w:gridCol w:w="2060"/>
        <w:gridCol w:w="7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714" w:type="dxa"/>
            <w:vMerge w:val="restart"/>
            <w:tcBorders>
              <w:left w:val="single" w:color="000000" w:sz="6" w:space="0"/>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5" w:line="228"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其</w:t>
            </w:r>
            <w:r>
              <w:rPr>
                <w:rFonts w:ascii="宋体" w:hAnsi="宋体" w:eastAsia="宋体" w:cs="宋体"/>
                <w:spacing w:val="7"/>
                <w:sz w:val="20"/>
                <w:szCs w:val="20"/>
                <w14:textOutline w14:w="3795" w14:cap="sq" w14:cmpd="sng">
                  <w14:solidFill>
                    <w14:srgbClr w14:val="000000"/>
                  </w14:solidFill>
                  <w14:prstDash w14:val="solid"/>
                  <w14:bevel/>
                </w14:textOutline>
              </w:rPr>
              <w:t>他符</w:t>
            </w:r>
          </w:p>
          <w:p>
            <w:pPr>
              <w:spacing w:before="164" w:line="228"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合</w:t>
            </w:r>
            <w:r>
              <w:rPr>
                <w:rFonts w:ascii="宋体" w:hAnsi="宋体" w:eastAsia="宋体" w:cs="宋体"/>
                <w:spacing w:val="7"/>
                <w:sz w:val="20"/>
                <w:szCs w:val="20"/>
                <w14:textOutline w14:w="3795" w14:cap="sq" w14:cmpd="sng">
                  <w14:solidFill>
                    <w14:srgbClr w14:val="000000"/>
                  </w14:solidFill>
                  <w14:prstDash w14:val="solid"/>
                  <w14:bevel/>
                </w14:textOutline>
              </w:rPr>
              <w:t>性分</w:t>
            </w:r>
          </w:p>
          <w:p>
            <w:pPr>
              <w:spacing w:before="160" w:line="228" w:lineRule="auto"/>
              <w:ind w:left="251"/>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析</w:t>
            </w:r>
          </w:p>
        </w:tc>
        <w:tc>
          <w:tcPr>
            <w:tcW w:w="8221" w:type="dxa"/>
            <w:gridSpan w:val="5"/>
            <w:tcBorders>
              <w:right w:val="single" w:color="000000" w:sz="6" w:space="0"/>
            </w:tcBorders>
            <w:vAlign w:val="top"/>
          </w:tcPr>
          <w:p>
            <w:pPr>
              <w:spacing w:before="170" w:line="228" w:lineRule="auto"/>
              <w:ind w:left="475"/>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2"/>
                <w:sz w:val="20"/>
                <w:szCs w:val="20"/>
              </w:rPr>
              <w:t>4</w:t>
            </w:r>
            <w:r>
              <w:rPr>
                <w:rFonts w:ascii="宋体" w:hAnsi="宋体" w:eastAsia="宋体" w:cs="宋体"/>
                <w:spacing w:val="-2"/>
                <w:sz w:val="20"/>
                <w:szCs w:val="20"/>
                <w14:textOutline w14:w="3795" w14:cap="sq" w14:cmpd="sng">
                  <w14:solidFill>
                    <w14:srgbClr w14:val="000000"/>
                  </w14:solidFill>
                  <w14:prstDash w14:val="solid"/>
                  <w14:bevel/>
                </w14:textOutline>
              </w:rPr>
              <w:t>)</w:t>
            </w:r>
            <w:r>
              <w:rPr>
                <w:rFonts w:ascii="宋体" w:hAnsi="宋体" w:eastAsia="宋体" w:cs="宋体"/>
                <w:spacing w:val="-2"/>
                <w:sz w:val="20"/>
                <w:szCs w:val="20"/>
              </w:rPr>
              <w:t xml:space="preserve"> </w:t>
            </w:r>
            <w:r>
              <w:rPr>
                <w:rFonts w:ascii="宋体" w:hAnsi="宋体" w:eastAsia="宋体" w:cs="宋体"/>
                <w:spacing w:val="-2"/>
                <w:sz w:val="20"/>
                <w:szCs w:val="20"/>
                <w14:textOutline w14:w="3795" w14:cap="sq" w14:cmpd="sng">
                  <w14:solidFill>
                    <w14:srgbClr w14:val="000000"/>
                  </w14:solidFill>
                  <w14:prstDash w14:val="solid"/>
                  <w14:bevel/>
                </w14:textOutline>
              </w:rPr>
              <w:t>与《水污染防</w:t>
            </w:r>
            <w:r>
              <w:rPr>
                <w:rFonts w:ascii="宋体" w:hAnsi="宋体" w:eastAsia="宋体" w:cs="宋体"/>
                <w:spacing w:val="-1"/>
                <w:sz w:val="20"/>
                <w:szCs w:val="20"/>
                <w14:textOutline w14:w="3795" w14:cap="sq" w14:cmpd="sng">
                  <w14:solidFill>
                    <w14:srgbClr w14:val="000000"/>
                  </w14:solidFill>
                  <w14:prstDash w14:val="solid"/>
                  <w14:bevel/>
                </w14:textOutline>
              </w:rPr>
              <w:t>治行动计划》</w:t>
            </w:r>
            <w:r>
              <w:rPr>
                <w:rFonts w:ascii="宋体" w:hAnsi="宋体" w:eastAsia="宋体" w:cs="宋体"/>
                <w:spacing w:val="-1"/>
                <w:sz w:val="20"/>
                <w:szCs w:val="20"/>
              </w:rPr>
              <w:t xml:space="preserve">  </w:t>
            </w:r>
            <w:r>
              <w:rPr>
                <w:rFonts w:ascii="宋体" w:hAnsi="宋体" w:eastAsia="宋体" w:cs="宋体"/>
                <w:spacing w:val="-1"/>
                <w:sz w:val="20"/>
                <w:szCs w:val="20"/>
                <w14:textOutline w14:w="3795" w14:cap="sq" w14:cmpd="sng">
                  <w14:solidFill>
                    <w14:srgbClr w14:val="000000"/>
                  </w14:solidFill>
                  <w14:prstDash w14:val="solid"/>
                  <w14:bevel/>
                </w14:textOutline>
              </w:rPr>
              <w:t>(国发〔</w:t>
            </w:r>
            <w:r>
              <w:rPr>
                <w:rFonts w:ascii="Times New Roman" w:hAnsi="Times New Roman" w:eastAsia="Times New Roman" w:cs="Times New Roman"/>
                <w:b/>
                <w:bCs/>
                <w:spacing w:val="-1"/>
                <w:sz w:val="20"/>
                <w:szCs w:val="20"/>
              </w:rPr>
              <w:t>2013</w:t>
            </w:r>
            <w:r>
              <w:rPr>
                <w:rFonts w:ascii="宋体" w:hAnsi="宋体" w:eastAsia="宋体" w:cs="宋体"/>
                <w:spacing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
                <w:sz w:val="20"/>
                <w:szCs w:val="20"/>
              </w:rPr>
              <w:t>37</w:t>
            </w:r>
            <w:r>
              <w:rPr>
                <w:rFonts w:ascii="宋体" w:hAnsi="宋体" w:eastAsia="宋体" w:cs="宋体"/>
                <w:spacing w:val="-1"/>
                <w:sz w:val="20"/>
                <w:szCs w:val="20"/>
                <w14:textOutline w14:w="3795" w14:cap="sq" w14:cmpd="sng">
                  <w14:solidFill>
                    <w14:srgbClr w14:val="000000"/>
                  </w14:solidFill>
                  <w14:prstDash w14:val="solid"/>
                  <w14:bevel/>
                </w14:textOutline>
              </w:rPr>
              <w:t>号)</w:t>
            </w:r>
            <w:r>
              <w:rPr>
                <w:rFonts w:ascii="宋体" w:hAnsi="宋体" w:eastAsia="宋体" w:cs="宋体"/>
                <w:spacing w:val="-1"/>
                <w:sz w:val="20"/>
                <w:szCs w:val="20"/>
              </w:rPr>
              <w:t xml:space="preserve"> </w:t>
            </w:r>
            <w:r>
              <w:rPr>
                <w:rFonts w:ascii="宋体" w:hAnsi="宋体" w:eastAsia="宋体" w:cs="宋体"/>
                <w:spacing w:val="-1"/>
                <w:sz w:val="20"/>
                <w:szCs w:val="20"/>
                <w14:textOutline w14:w="3795" w14:cap="sq" w14:cmpd="sng">
                  <w14:solidFill>
                    <w14:srgbClr w14:val="000000"/>
                  </w14:solidFill>
                  <w14:prstDash w14:val="solid"/>
                  <w14:bevel/>
                </w14:textOutline>
              </w:rPr>
              <w:t>符合性分析</w:t>
            </w:r>
          </w:p>
          <w:p>
            <w:pPr>
              <w:spacing w:before="44" w:line="231" w:lineRule="auto"/>
              <w:ind w:left="1910"/>
              <w:rPr>
                <w:rFonts w:ascii="黑体" w:hAnsi="黑体" w:eastAsia="黑体" w:cs="黑体"/>
                <w:sz w:val="20"/>
                <w:szCs w:val="20"/>
              </w:rPr>
            </w:pPr>
            <w:r>
              <w:rPr>
                <w:rFonts w:ascii="黑体" w:hAnsi="黑体" w:eastAsia="黑体" w:cs="黑体"/>
                <w:spacing w:val="8"/>
                <w:sz w:val="20"/>
                <w:szCs w:val="20"/>
              </w:rPr>
              <w:t xml:space="preserve">表 </w:t>
            </w:r>
            <w:r>
              <w:rPr>
                <w:rFonts w:ascii="Times New Roman" w:hAnsi="Times New Roman" w:eastAsia="Times New Roman" w:cs="Times New Roman"/>
                <w:spacing w:val="8"/>
                <w:sz w:val="20"/>
                <w:szCs w:val="20"/>
              </w:rPr>
              <w:t>14-</w:t>
            </w:r>
            <w:r>
              <w:rPr>
                <w:rFonts w:ascii="Times New Roman" w:hAnsi="Times New Roman" w:eastAsia="Times New Roman" w:cs="Times New Roman"/>
                <w:spacing w:val="4"/>
                <w:sz w:val="20"/>
                <w:szCs w:val="20"/>
              </w:rPr>
              <w:t xml:space="preserve">2    </w:t>
            </w:r>
            <w:r>
              <w:rPr>
                <w:rFonts w:ascii="黑体" w:hAnsi="黑体" w:eastAsia="黑体" w:cs="黑体"/>
                <w:spacing w:val="4"/>
                <w:sz w:val="20"/>
                <w:szCs w:val="20"/>
              </w:rPr>
              <w:t>与《水污染防治行动计划》符合性分析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714" w:type="dxa"/>
            <w:vMerge w:val="continue"/>
            <w:tcBorders>
              <w:top w:val="nil"/>
              <w:left w:val="single" w:color="000000" w:sz="6" w:space="0"/>
              <w:bottom w:val="nil"/>
            </w:tcBorders>
            <w:vAlign w:val="top"/>
          </w:tcPr>
          <w:p>
            <w:pPr>
              <w:rPr>
                <w:rFonts w:ascii="Arial"/>
                <w:sz w:val="21"/>
              </w:rPr>
            </w:pPr>
          </w:p>
        </w:tc>
        <w:tc>
          <w:tcPr>
            <w:tcW w:w="692" w:type="dxa"/>
            <w:vAlign w:val="top"/>
          </w:tcPr>
          <w:p>
            <w:pPr>
              <w:spacing w:before="45" w:line="230" w:lineRule="auto"/>
              <w:ind w:left="227"/>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条</w:t>
            </w:r>
            <w:r>
              <w:rPr>
                <w:rFonts w:ascii="宋体" w:hAnsi="宋体" w:eastAsia="宋体" w:cs="宋体"/>
                <w:spacing w:val="5"/>
                <w:sz w:val="17"/>
                <w:szCs w:val="17"/>
                <w14:textOutline w14:w="3268" w14:cap="sq" w14:cmpd="sng">
                  <w14:solidFill>
                    <w14:srgbClr w14:val="000000"/>
                  </w14:solidFill>
                  <w14:prstDash w14:val="solid"/>
                  <w14:bevel/>
                </w14:textOutline>
              </w:rPr>
              <w:t>款</w:t>
            </w:r>
          </w:p>
        </w:tc>
        <w:tc>
          <w:tcPr>
            <w:tcW w:w="4475" w:type="dxa"/>
            <w:vAlign w:val="top"/>
          </w:tcPr>
          <w:p>
            <w:pPr>
              <w:spacing w:before="45" w:line="230" w:lineRule="auto"/>
              <w:ind w:left="2083"/>
              <w:rPr>
                <w:rFonts w:ascii="宋体" w:hAnsi="宋体" w:eastAsia="宋体" w:cs="宋体"/>
                <w:sz w:val="17"/>
                <w:szCs w:val="17"/>
              </w:rPr>
            </w:pPr>
            <w:r>
              <w:rPr>
                <w:rFonts w:ascii="宋体" w:hAnsi="宋体" w:eastAsia="宋体" w:cs="宋体"/>
                <w:spacing w:val="-5"/>
                <w:sz w:val="17"/>
                <w:szCs w:val="17"/>
                <w14:textOutline w14:w="3268" w14:cap="sq" w14:cmpd="sng">
                  <w14:solidFill>
                    <w14:srgbClr w14:val="000000"/>
                  </w14:solidFill>
                  <w14:prstDash w14:val="solid"/>
                  <w14:bevel/>
                </w14:textOutline>
              </w:rPr>
              <w:t>内</w:t>
            </w:r>
            <w:r>
              <w:rPr>
                <w:rFonts w:ascii="宋体" w:hAnsi="宋体" w:eastAsia="宋体" w:cs="宋体"/>
                <w:spacing w:val="-4"/>
                <w:sz w:val="17"/>
                <w:szCs w:val="17"/>
                <w14:textOutline w14:w="3268" w14:cap="sq" w14:cmpd="sng">
                  <w14:solidFill>
                    <w14:srgbClr w14:val="000000"/>
                  </w14:solidFill>
                  <w14:prstDash w14:val="solid"/>
                  <w14:bevel/>
                </w14:textOutline>
              </w:rPr>
              <w:t>容</w:t>
            </w:r>
          </w:p>
        </w:tc>
        <w:tc>
          <w:tcPr>
            <w:tcW w:w="2313" w:type="dxa"/>
            <w:gridSpan w:val="2"/>
            <w:vAlign w:val="top"/>
          </w:tcPr>
          <w:p>
            <w:pPr>
              <w:spacing w:before="45" w:line="231" w:lineRule="auto"/>
              <w:ind w:left="807"/>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项目情况</w:t>
            </w:r>
          </w:p>
        </w:tc>
        <w:tc>
          <w:tcPr>
            <w:tcW w:w="741" w:type="dxa"/>
            <w:tcBorders>
              <w:right w:val="single" w:color="000000" w:sz="6" w:space="0"/>
            </w:tcBorders>
            <w:vAlign w:val="top"/>
          </w:tcPr>
          <w:p>
            <w:pPr>
              <w:spacing w:before="45" w:line="230" w:lineRule="auto"/>
              <w:ind w:left="46"/>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符合</w:t>
            </w:r>
            <w:r>
              <w:rPr>
                <w:rFonts w:ascii="宋体" w:hAnsi="宋体" w:eastAsia="宋体" w:cs="宋体"/>
                <w:spacing w:val="7"/>
                <w:sz w:val="17"/>
                <w:szCs w:val="17"/>
                <w14:textOutline w14:w="3268" w14:cap="sq" w14:cmpd="sng">
                  <w14:solidFill>
                    <w14:srgbClr w14:val="000000"/>
                  </w14:solidFill>
                  <w14:prstDash w14:val="solid"/>
                  <w14:bevel/>
                </w14:textOutline>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0" w:hRule="atLeast"/>
        </w:trPr>
        <w:tc>
          <w:tcPr>
            <w:tcW w:w="714" w:type="dxa"/>
            <w:vMerge w:val="continue"/>
            <w:tcBorders>
              <w:top w:val="nil"/>
              <w:left w:val="single" w:color="000000" w:sz="6" w:space="0"/>
              <w:bottom w:val="nil"/>
            </w:tcBorders>
            <w:vAlign w:val="top"/>
          </w:tcPr>
          <w:p>
            <w:pPr>
              <w:rPr>
                <w:rFonts w:ascii="Arial"/>
                <w:sz w:val="21"/>
              </w:rPr>
            </w:pPr>
          </w:p>
        </w:tc>
        <w:tc>
          <w:tcPr>
            <w:tcW w:w="692" w:type="dxa"/>
            <w:vAlign w:val="top"/>
          </w:tcPr>
          <w:p>
            <w:pPr>
              <w:spacing w:before="168" w:line="268" w:lineRule="auto"/>
              <w:ind w:left="226" w:right="47" w:hanging="60"/>
              <w:rPr>
                <w:rFonts w:ascii="宋体" w:hAnsi="宋体" w:eastAsia="宋体" w:cs="宋体"/>
                <w:sz w:val="17"/>
                <w:szCs w:val="17"/>
              </w:rPr>
            </w:pPr>
            <w:r>
              <w:rPr>
                <w:rFonts w:ascii="Times New Roman" w:hAnsi="Times New Roman" w:eastAsia="Times New Roman" w:cs="Times New Roman"/>
                <w:spacing w:val="5"/>
                <w:sz w:val="17"/>
                <w:szCs w:val="17"/>
              </w:rPr>
              <w:t>(</w:t>
            </w:r>
            <w:r>
              <w:rPr>
                <w:rFonts w:ascii="宋体" w:hAnsi="宋体" w:eastAsia="宋体" w:cs="宋体"/>
                <w:spacing w:val="5"/>
                <w:sz w:val="17"/>
                <w:szCs w:val="17"/>
              </w:rPr>
              <w:t>十</w:t>
            </w:r>
            <w:r>
              <w:rPr>
                <w:rFonts w:ascii="Times New Roman" w:hAnsi="Times New Roman" w:eastAsia="Times New Roman" w:cs="Times New Roman"/>
                <w:spacing w:val="5"/>
                <w:sz w:val="17"/>
                <w:szCs w:val="17"/>
              </w:rPr>
              <w:t>)</w:t>
            </w:r>
            <w:r>
              <w:rPr>
                <w:rFonts w:ascii="宋体" w:hAnsi="宋体" w:eastAsia="宋体" w:cs="宋体"/>
                <w:spacing w:val="4"/>
                <w:sz w:val="17"/>
                <w:szCs w:val="17"/>
              </w:rPr>
              <w:t>科</w:t>
            </w:r>
            <w:r>
              <w:rPr>
                <w:rFonts w:ascii="宋体" w:hAnsi="宋体" w:eastAsia="宋体" w:cs="宋体"/>
                <w:sz w:val="17"/>
                <w:szCs w:val="17"/>
              </w:rPr>
              <w:t xml:space="preserve"> </w:t>
            </w:r>
            <w:r>
              <w:rPr>
                <w:rFonts w:ascii="宋体" w:hAnsi="宋体" w:eastAsia="宋体" w:cs="宋体"/>
                <w:spacing w:val="6"/>
                <w:sz w:val="17"/>
                <w:szCs w:val="17"/>
              </w:rPr>
              <w:t>学保</w:t>
            </w:r>
            <w:r>
              <w:rPr>
                <w:rFonts w:ascii="宋体" w:hAnsi="宋体" w:eastAsia="宋体" w:cs="宋体"/>
                <w:sz w:val="17"/>
                <w:szCs w:val="17"/>
              </w:rPr>
              <w:t xml:space="preserve"> </w:t>
            </w:r>
            <w:r>
              <w:rPr>
                <w:rFonts w:ascii="宋体" w:hAnsi="宋体" w:eastAsia="宋体" w:cs="宋体"/>
                <w:spacing w:val="6"/>
                <w:sz w:val="17"/>
                <w:szCs w:val="17"/>
              </w:rPr>
              <w:t>护水</w:t>
            </w:r>
            <w:r>
              <w:rPr>
                <w:rFonts w:ascii="宋体" w:hAnsi="宋体" w:eastAsia="宋体" w:cs="宋体"/>
                <w:sz w:val="17"/>
                <w:szCs w:val="17"/>
              </w:rPr>
              <w:t xml:space="preserve"> </w:t>
            </w:r>
            <w:r>
              <w:rPr>
                <w:rFonts w:ascii="宋体" w:hAnsi="宋体" w:eastAsia="宋体" w:cs="宋体"/>
                <w:spacing w:val="6"/>
                <w:sz w:val="17"/>
                <w:szCs w:val="17"/>
              </w:rPr>
              <w:t>资源</w:t>
            </w:r>
          </w:p>
        </w:tc>
        <w:tc>
          <w:tcPr>
            <w:tcW w:w="4475" w:type="dxa"/>
            <w:vAlign w:val="top"/>
          </w:tcPr>
          <w:p>
            <w:pPr>
              <w:spacing w:before="85" w:line="259" w:lineRule="auto"/>
              <w:ind w:left="23" w:right="17"/>
              <w:rPr>
                <w:rFonts w:ascii="宋体" w:hAnsi="宋体" w:eastAsia="宋体" w:cs="宋体"/>
                <w:sz w:val="17"/>
                <w:szCs w:val="17"/>
              </w:rPr>
            </w:pPr>
            <w:r>
              <w:rPr>
                <w:rFonts w:ascii="宋体" w:hAnsi="宋体" w:eastAsia="宋体" w:cs="宋体"/>
                <w:spacing w:val="10"/>
                <w:sz w:val="17"/>
                <w:szCs w:val="17"/>
              </w:rPr>
              <w:t>加</w:t>
            </w:r>
            <w:r>
              <w:rPr>
                <w:rFonts w:ascii="宋体" w:hAnsi="宋体" w:eastAsia="宋体" w:cs="宋体"/>
                <w:spacing w:val="7"/>
                <w:sz w:val="17"/>
                <w:szCs w:val="17"/>
              </w:rPr>
              <w:t>强江河湖库水量调度管理。完善水量调度方案。采取闸</w:t>
            </w:r>
            <w:r>
              <w:rPr>
                <w:rFonts w:ascii="宋体" w:hAnsi="宋体" w:eastAsia="宋体" w:cs="宋体"/>
                <w:sz w:val="17"/>
                <w:szCs w:val="17"/>
              </w:rPr>
              <w:t xml:space="preserve"> </w:t>
            </w:r>
            <w:r>
              <w:rPr>
                <w:rFonts w:ascii="宋体" w:hAnsi="宋体" w:eastAsia="宋体" w:cs="宋体"/>
                <w:spacing w:val="10"/>
                <w:sz w:val="17"/>
                <w:szCs w:val="17"/>
              </w:rPr>
              <w:t>坝</w:t>
            </w:r>
            <w:r>
              <w:rPr>
                <w:rFonts w:ascii="宋体" w:hAnsi="宋体" w:eastAsia="宋体" w:cs="宋体"/>
                <w:spacing w:val="7"/>
                <w:sz w:val="17"/>
                <w:szCs w:val="17"/>
              </w:rPr>
              <w:t>联合调度、生态补水等措施，合理安排闸坝下泄水量和</w:t>
            </w:r>
            <w:r>
              <w:rPr>
                <w:rFonts w:ascii="宋体" w:hAnsi="宋体" w:eastAsia="宋体" w:cs="宋体"/>
                <w:sz w:val="17"/>
                <w:szCs w:val="17"/>
              </w:rPr>
              <w:t xml:space="preserve"> </w:t>
            </w:r>
            <w:r>
              <w:rPr>
                <w:rFonts w:ascii="宋体" w:hAnsi="宋体" w:eastAsia="宋体" w:cs="宋体"/>
                <w:spacing w:val="10"/>
                <w:sz w:val="17"/>
                <w:szCs w:val="17"/>
              </w:rPr>
              <w:t>泄</w:t>
            </w:r>
            <w:r>
              <w:rPr>
                <w:rFonts w:ascii="宋体" w:hAnsi="宋体" w:eastAsia="宋体" w:cs="宋体"/>
                <w:spacing w:val="7"/>
                <w:sz w:val="17"/>
                <w:szCs w:val="17"/>
              </w:rPr>
              <w:t>流时段，维持河湖基本生态用水需求，重点保障枯水期</w:t>
            </w:r>
            <w:r>
              <w:rPr>
                <w:rFonts w:ascii="宋体" w:hAnsi="宋体" w:eastAsia="宋体" w:cs="宋体"/>
                <w:sz w:val="17"/>
                <w:szCs w:val="17"/>
              </w:rPr>
              <w:t xml:space="preserve"> </w:t>
            </w:r>
            <w:r>
              <w:rPr>
                <w:rFonts w:ascii="宋体" w:hAnsi="宋体" w:eastAsia="宋体" w:cs="宋体"/>
                <w:spacing w:val="10"/>
                <w:sz w:val="17"/>
                <w:szCs w:val="17"/>
              </w:rPr>
              <w:t>生</w:t>
            </w:r>
            <w:r>
              <w:rPr>
                <w:rFonts w:ascii="宋体" w:hAnsi="宋体" w:eastAsia="宋体" w:cs="宋体"/>
                <w:spacing w:val="7"/>
                <w:sz w:val="17"/>
                <w:szCs w:val="17"/>
              </w:rPr>
              <w:t>态基流。加大水利工程建设力度，发挥好控制性水利工</w:t>
            </w:r>
            <w:r>
              <w:rPr>
                <w:rFonts w:ascii="宋体" w:hAnsi="宋体" w:eastAsia="宋体" w:cs="宋体"/>
                <w:sz w:val="17"/>
                <w:szCs w:val="17"/>
              </w:rPr>
              <w:t xml:space="preserve"> </w:t>
            </w:r>
            <w:r>
              <w:rPr>
                <w:rFonts w:ascii="宋体" w:hAnsi="宋体" w:eastAsia="宋体" w:cs="宋体"/>
                <w:spacing w:val="13"/>
                <w:sz w:val="17"/>
                <w:szCs w:val="17"/>
              </w:rPr>
              <w:t>程</w:t>
            </w:r>
            <w:r>
              <w:rPr>
                <w:rFonts w:ascii="宋体" w:hAnsi="宋体" w:eastAsia="宋体" w:cs="宋体"/>
                <w:spacing w:val="8"/>
                <w:sz w:val="17"/>
                <w:szCs w:val="17"/>
              </w:rPr>
              <w:t>在改善水质中的作用。</w:t>
            </w:r>
          </w:p>
        </w:tc>
        <w:tc>
          <w:tcPr>
            <w:tcW w:w="2313" w:type="dxa"/>
            <w:gridSpan w:val="2"/>
            <w:vAlign w:val="top"/>
          </w:tcPr>
          <w:p>
            <w:pPr>
              <w:spacing w:before="85" w:line="259" w:lineRule="auto"/>
              <w:ind w:left="31" w:right="14" w:firstLine="3"/>
              <w:rPr>
                <w:rFonts w:ascii="宋体" w:hAnsi="宋体" w:eastAsia="宋体" w:cs="宋体"/>
                <w:sz w:val="17"/>
                <w:szCs w:val="17"/>
              </w:rPr>
            </w:pPr>
            <w:r>
              <w:rPr>
                <w:rFonts w:ascii="宋体" w:hAnsi="宋体" w:eastAsia="宋体" w:cs="宋体"/>
                <w:spacing w:val="6"/>
                <w:sz w:val="17"/>
                <w:szCs w:val="17"/>
              </w:rPr>
              <w:t>项目不</w:t>
            </w:r>
            <w:r>
              <w:rPr>
                <w:rFonts w:ascii="宋体" w:hAnsi="宋体" w:eastAsia="宋体" w:cs="宋体"/>
                <w:spacing w:val="3"/>
                <w:sz w:val="17"/>
                <w:szCs w:val="17"/>
              </w:rPr>
              <w:t>涉及水资源调度，涉水</w:t>
            </w:r>
            <w:r>
              <w:rPr>
                <w:rFonts w:ascii="宋体" w:hAnsi="宋体" w:eastAsia="宋体" w:cs="宋体"/>
                <w:sz w:val="17"/>
                <w:szCs w:val="17"/>
              </w:rPr>
              <w:t xml:space="preserve"> </w:t>
            </w:r>
            <w:r>
              <w:rPr>
                <w:rFonts w:ascii="宋体" w:hAnsi="宋体" w:eastAsia="宋体" w:cs="宋体"/>
                <w:spacing w:val="4"/>
                <w:sz w:val="17"/>
                <w:szCs w:val="17"/>
              </w:rPr>
              <w:t>桥墩采取围堰施工方式，不</w:t>
            </w:r>
            <w:r>
              <w:rPr>
                <w:rFonts w:ascii="宋体" w:hAnsi="宋体" w:eastAsia="宋体" w:cs="宋体"/>
                <w:spacing w:val="3"/>
                <w:sz w:val="17"/>
                <w:szCs w:val="17"/>
              </w:rPr>
              <w:t>涉</w:t>
            </w:r>
            <w:r>
              <w:rPr>
                <w:rFonts w:ascii="宋体" w:hAnsi="宋体" w:eastAsia="宋体" w:cs="宋体"/>
                <w:sz w:val="17"/>
                <w:szCs w:val="17"/>
              </w:rPr>
              <w:t xml:space="preserve"> </w:t>
            </w:r>
            <w:r>
              <w:rPr>
                <w:rFonts w:ascii="宋体" w:hAnsi="宋体" w:eastAsia="宋体" w:cs="宋体"/>
                <w:spacing w:val="4"/>
                <w:sz w:val="17"/>
                <w:szCs w:val="17"/>
              </w:rPr>
              <w:t>及截断河流，河流基本生态</w:t>
            </w:r>
            <w:r>
              <w:rPr>
                <w:rFonts w:ascii="宋体" w:hAnsi="宋体" w:eastAsia="宋体" w:cs="宋体"/>
                <w:spacing w:val="3"/>
                <w:sz w:val="17"/>
                <w:szCs w:val="17"/>
              </w:rPr>
              <w:t>用</w:t>
            </w:r>
            <w:r>
              <w:rPr>
                <w:rFonts w:ascii="宋体" w:hAnsi="宋体" w:eastAsia="宋体" w:cs="宋体"/>
                <w:sz w:val="17"/>
                <w:szCs w:val="17"/>
              </w:rPr>
              <w:t xml:space="preserve"> </w:t>
            </w:r>
            <w:r>
              <w:rPr>
                <w:rFonts w:ascii="宋体" w:hAnsi="宋体" w:eastAsia="宋体" w:cs="宋体"/>
                <w:spacing w:val="4"/>
                <w:sz w:val="17"/>
                <w:szCs w:val="17"/>
              </w:rPr>
              <w:t>水需求不会受到影响；涉水</w:t>
            </w:r>
            <w:r>
              <w:rPr>
                <w:rFonts w:ascii="宋体" w:hAnsi="宋体" w:eastAsia="宋体" w:cs="宋体"/>
                <w:spacing w:val="3"/>
                <w:sz w:val="17"/>
                <w:szCs w:val="17"/>
              </w:rPr>
              <w:t>施</w:t>
            </w:r>
            <w:r>
              <w:rPr>
                <w:rFonts w:ascii="宋体" w:hAnsi="宋体" w:eastAsia="宋体" w:cs="宋体"/>
                <w:sz w:val="17"/>
                <w:szCs w:val="17"/>
              </w:rPr>
              <w:t xml:space="preserve"> </w:t>
            </w:r>
            <w:r>
              <w:rPr>
                <w:rFonts w:ascii="宋体" w:hAnsi="宋体" w:eastAsia="宋体" w:cs="宋体"/>
                <w:spacing w:val="15"/>
                <w:sz w:val="17"/>
                <w:szCs w:val="17"/>
              </w:rPr>
              <w:t>工</w:t>
            </w:r>
            <w:r>
              <w:rPr>
                <w:rFonts w:ascii="宋体" w:hAnsi="宋体" w:eastAsia="宋体" w:cs="宋体"/>
                <w:spacing w:val="8"/>
                <w:sz w:val="17"/>
                <w:szCs w:val="17"/>
              </w:rPr>
              <w:t>尽量安排在枯水期进行。</w:t>
            </w:r>
          </w:p>
        </w:tc>
        <w:tc>
          <w:tcPr>
            <w:tcW w:w="741" w:type="dxa"/>
            <w:tcBorders>
              <w:right w:val="single" w:color="000000" w:sz="6" w:space="0"/>
            </w:tcBorders>
            <w:vAlign w:val="top"/>
          </w:tcPr>
          <w:p>
            <w:pPr>
              <w:spacing w:line="247" w:lineRule="auto"/>
              <w:rPr>
                <w:rFonts w:ascii="Arial"/>
                <w:sz w:val="21"/>
              </w:rPr>
            </w:pPr>
          </w:p>
          <w:p>
            <w:pPr>
              <w:spacing w:line="247" w:lineRule="auto"/>
              <w:rPr>
                <w:rFonts w:ascii="Arial"/>
                <w:sz w:val="21"/>
              </w:rPr>
            </w:pPr>
          </w:p>
          <w:p>
            <w:pPr>
              <w:spacing w:before="55" w:line="230" w:lineRule="auto"/>
              <w:ind w:left="137"/>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32" w:hRule="atLeast"/>
        </w:trPr>
        <w:tc>
          <w:tcPr>
            <w:tcW w:w="714" w:type="dxa"/>
            <w:vMerge w:val="continue"/>
            <w:tcBorders>
              <w:top w:val="nil"/>
              <w:left w:val="single" w:color="000000" w:sz="6" w:space="0"/>
              <w:bottom w:val="nil"/>
            </w:tcBorders>
            <w:vAlign w:val="top"/>
          </w:tcPr>
          <w:p>
            <w:pPr>
              <w:rPr>
                <w:rFonts w:ascii="Arial"/>
                <w:sz w:val="21"/>
              </w:rPr>
            </w:pPr>
          </w:p>
        </w:tc>
        <w:tc>
          <w:tcPr>
            <w:tcW w:w="8221" w:type="dxa"/>
            <w:gridSpan w:val="5"/>
            <w:tcBorders>
              <w:right w:val="single" w:color="000000" w:sz="6" w:space="0"/>
            </w:tcBorders>
            <w:vAlign w:val="top"/>
          </w:tcPr>
          <w:p>
            <w:pPr>
              <w:spacing w:before="139" w:line="228" w:lineRule="auto"/>
              <w:ind w:left="475"/>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2"/>
                <w:sz w:val="20"/>
                <w:szCs w:val="20"/>
              </w:rPr>
              <w:t>5</w:t>
            </w:r>
            <w:r>
              <w:rPr>
                <w:rFonts w:ascii="宋体" w:hAnsi="宋体" w:eastAsia="宋体" w:cs="宋体"/>
                <w:spacing w:val="-2"/>
                <w:sz w:val="20"/>
                <w:szCs w:val="20"/>
                <w14:textOutline w14:w="3795" w14:cap="sq" w14:cmpd="sng">
                  <w14:solidFill>
                    <w14:srgbClr w14:val="000000"/>
                  </w14:solidFill>
                  <w14:prstDash w14:val="solid"/>
                  <w14:bevel/>
                </w14:textOutline>
              </w:rPr>
              <w:t>)</w:t>
            </w:r>
            <w:r>
              <w:rPr>
                <w:rFonts w:ascii="宋体" w:hAnsi="宋体" w:eastAsia="宋体" w:cs="宋体"/>
                <w:spacing w:val="-2"/>
                <w:sz w:val="20"/>
                <w:szCs w:val="20"/>
              </w:rPr>
              <w:t xml:space="preserve"> </w:t>
            </w:r>
            <w:r>
              <w:rPr>
                <w:rFonts w:ascii="宋体" w:hAnsi="宋体" w:eastAsia="宋体" w:cs="宋体"/>
                <w:spacing w:val="-2"/>
                <w:sz w:val="20"/>
                <w:szCs w:val="20"/>
                <w14:textOutline w14:w="3795" w14:cap="sq" w14:cmpd="sng">
                  <w14:solidFill>
                    <w14:srgbClr w14:val="000000"/>
                  </w14:solidFill>
                  <w14:prstDash w14:val="solid"/>
                  <w14:bevel/>
                </w14:textOutline>
              </w:rPr>
              <w:t>与《大气污染</w:t>
            </w:r>
            <w:r>
              <w:rPr>
                <w:rFonts w:ascii="宋体" w:hAnsi="宋体" w:eastAsia="宋体" w:cs="宋体"/>
                <w:spacing w:val="-1"/>
                <w:sz w:val="20"/>
                <w:szCs w:val="20"/>
                <w14:textOutline w14:w="3795" w14:cap="sq" w14:cmpd="sng">
                  <w14:solidFill>
                    <w14:srgbClr w14:val="000000"/>
                  </w14:solidFill>
                  <w14:prstDash w14:val="solid"/>
                  <w14:bevel/>
                </w14:textOutline>
              </w:rPr>
              <w:t>防治行动计划》</w:t>
            </w:r>
            <w:r>
              <w:rPr>
                <w:rFonts w:ascii="宋体" w:hAnsi="宋体" w:eastAsia="宋体" w:cs="宋体"/>
                <w:spacing w:val="-1"/>
                <w:sz w:val="20"/>
                <w:szCs w:val="20"/>
              </w:rPr>
              <w:t xml:space="preserve">  </w:t>
            </w:r>
            <w:r>
              <w:rPr>
                <w:rFonts w:ascii="宋体" w:hAnsi="宋体" w:eastAsia="宋体" w:cs="宋体"/>
                <w:spacing w:val="-1"/>
                <w:sz w:val="20"/>
                <w:szCs w:val="20"/>
                <w14:textOutline w14:w="3795" w14:cap="sq" w14:cmpd="sng">
                  <w14:solidFill>
                    <w14:srgbClr w14:val="000000"/>
                  </w14:solidFill>
                  <w14:prstDash w14:val="solid"/>
                  <w14:bevel/>
                </w14:textOutline>
              </w:rPr>
              <w:t>(国发〔</w:t>
            </w:r>
            <w:r>
              <w:rPr>
                <w:rFonts w:ascii="Times New Roman" w:hAnsi="Times New Roman" w:eastAsia="Times New Roman" w:cs="Times New Roman"/>
                <w:b/>
                <w:bCs/>
                <w:spacing w:val="-1"/>
                <w:sz w:val="20"/>
                <w:szCs w:val="20"/>
              </w:rPr>
              <w:t>2013</w:t>
            </w:r>
            <w:r>
              <w:rPr>
                <w:rFonts w:ascii="宋体" w:hAnsi="宋体" w:eastAsia="宋体" w:cs="宋体"/>
                <w:spacing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
                <w:sz w:val="20"/>
                <w:szCs w:val="20"/>
              </w:rPr>
              <w:t>37</w:t>
            </w:r>
            <w:r>
              <w:rPr>
                <w:rFonts w:ascii="宋体" w:hAnsi="宋体" w:eastAsia="宋体" w:cs="宋体"/>
                <w:spacing w:val="-1"/>
                <w:sz w:val="20"/>
                <w:szCs w:val="20"/>
                <w14:textOutline w14:w="3795" w14:cap="sq" w14:cmpd="sng">
                  <w14:solidFill>
                    <w14:srgbClr w14:val="000000"/>
                  </w14:solidFill>
                  <w14:prstDash w14:val="solid"/>
                  <w14:bevel/>
                </w14:textOutline>
              </w:rPr>
              <w:t>号)</w:t>
            </w:r>
            <w:r>
              <w:rPr>
                <w:rFonts w:ascii="宋体" w:hAnsi="宋体" w:eastAsia="宋体" w:cs="宋体"/>
                <w:spacing w:val="-1"/>
                <w:sz w:val="20"/>
                <w:szCs w:val="20"/>
              </w:rPr>
              <w:t xml:space="preserve"> </w:t>
            </w:r>
            <w:r>
              <w:rPr>
                <w:rFonts w:ascii="宋体" w:hAnsi="宋体" w:eastAsia="宋体" w:cs="宋体"/>
                <w:spacing w:val="-1"/>
                <w:sz w:val="20"/>
                <w:szCs w:val="20"/>
                <w14:textOutline w14:w="3795" w14:cap="sq" w14:cmpd="sng">
                  <w14:solidFill>
                    <w14:srgbClr w14:val="000000"/>
                  </w14:solidFill>
                  <w14:prstDash w14:val="solid"/>
                  <w14:bevel/>
                </w14:textOutline>
              </w:rPr>
              <w:t>符合性分析</w:t>
            </w:r>
          </w:p>
          <w:p>
            <w:pPr>
              <w:spacing w:before="46" w:line="231" w:lineRule="auto"/>
              <w:ind w:left="1805"/>
              <w:rPr>
                <w:rFonts w:ascii="黑体" w:hAnsi="黑体" w:eastAsia="黑体" w:cs="黑体"/>
                <w:sz w:val="20"/>
                <w:szCs w:val="20"/>
              </w:rPr>
            </w:pPr>
            <w:r>
              <w:rPr>
                <w:rFonts w:ascii="黑体" w:hAnsi="黑体" w:eastAsia="黑体" w:cs="黑体"/>
                <w:spacing w:val="5"/>
                <w:sz w:val="20"/>
                <w:szCs w:val="20"/>
              </w:rPr>
              <w:t xml:space="preserve">表 </w:t>
            </w:r>
            <w:r>
              <w:rPr>
                <w:rFonts w:ascii="Times New Roman" w:hAnsi="Times New Roman" w:eastAsia="Times New Roman" w:cs="Times New Roman"/>
                <w:spacing w:val="5"/>
                <w:sz w:val="20"/>
                <w:szCs w:val="20"/>
              </w:rPr>
              <w:t xml:space="preserve">14-3    </w:t>
            </w:r>
            <w:r>
              <w:rPr>
                <w:rFonts w:ascii="黑体" w:hAnsi="黑体" w:eastAsia="黑体" w:cs="黑体"/>
                <w:spacing w:val="5"/>
                <w:sz w:val="20"/>
                <w:szCs w:val="20"/>
              </w:rPr>
              <w:t>与《大气污染防治行动计划》符合性分</w:t>
            </w:r>
            <w:r>
              <w:rPr>
                <w:rFonts w:ascii="黑体" w:hAnsi="黑体" w:eastAsia="黑体" w:cs="黑体"/>
                <w:spacing w:val="4"/>
                <w:sz w:val="20"/>
                <w:szCs w:val="20"/>
              </w:rPr>
              <w:t>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714" w:type="dxa"/>
            <w:vMerge w:val="continue"/>
            <w:tcBorders>
              <w:top w:val="nil"/>
              <w:left w:val="single" w:color="000000" w:sz="6" w:space="0"/>
              <w:bottom w:val="nil"/>
            </w:tcBorders>
            <w:vAlign w:val="top"/>
          </w:tcPr>
          <w:p>
            <w:pPr>
              <w:rPr>
                <w:rFonts w:ascii="Arial"/>
                <w:sz w:val="21"/>
              </w:rPr>
            </w:pPr>
          </w:p>
        </w:tc>
        <w:tc>
          <w:tcPr>
            <w:tcW w:w="692" w:type="dxa"/>
            <w:vAlign w:val="top"/>
          </w:tcPr>
          <w:p>
            <w:pPr>
              <w:spacing w:before="32" w:line="230" w:lineRule="auto"/>
              <w:ind w:left="227"/>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条</w:t>
            </w:r>
            <w:r>
              <w:rPr>
                <w:rFonts w:ascii="宋体" w:hAnsi="宋体" w:eastAsia="宋体" w:cs="宋体"/>
                <w:spacing w:val="5"/>
                <w:sz w:val="17"/>
                <w:szCs w:val="17"/>
                <w14:textOutline w14:w="3268" w14:cap="sq" w14:cmpd="sng">
                  <w14:solidFill>
                    <w14:srgbClr w14:val="000000"/>
                  </w14:solidFill>
                  <w14:prstDash w14:val="solid"/>
                  <w14:bevel/>
                </w14:textOutline>
              </w:rPr>
              <w:t>款</w:t>
            </w:r>
          </w:p>
        </w:tc>
        <w:tc>
          <w:tcPr>
            <w:tcW w:w="4728" w:type="dxa"/>
            <w:gridSpan w:val="2"/>
            <w:vAlign w:val="top"/>
          </w:tcPr>
          <w:p>
            <w:pPr>
              <w:spacing w:before="32" w:line="230" w:lineRule="auto"/>
              <w:ind w:left="2208"/>
              <w:rPr>
                <w:rFonts w:ascii="宋体" w:hAnsi="宋体" w:eastAsia="宋体" w:cs="宋体"/>
                <w:sz w:val="17"/>
                <w:szCs w:val="17"/>
              </w:rPr>
            </w:pPr>
            <w:r>
              <w:rPr>
                <w:rFonts w:ascii="宋体" w:hAnsi="宋体" w:eastAsia="宋体" w:cs="宋体"/>
                <w:spacing w:val="-5"/>
                <w:sz w:val="17"/>
                <w:szCs w:val="17"/>
                <w14:textOutline w14:w="3268" w14:cap="sq" w14:cmpd="sng">
                  <w14:solidFill>
                    <w14:srgbClr w14:val="000000"/>
                  </w14:solidFill>
                  <w14:prstDash w14:val="solid"/>
                  <w14:bevel/>
                </w14:textOutline>
              </w:rPr>
              <w:t>内</w:t>
            </w:r>
            <w:r>
              <w:rPr>
                <w:rFonts w:ascii="宋体" w:hAnsi="宋体" w:eastAsia="宋体" w:cs="宋体"/>
                <w:spacing w:val="-4"/>
                <w:sz w:val="17"/>
                <w:szCs w:val="17"/>
                <w14:textOutline w14:w="3268" w14:cap="sq" w14:cmpd="sng">
                  <w14:solidFill>
                    <w14:srgbClr w14:val="000000"/>
                  </w14:solidFill>
                  <w14:prstDash w14:val="solid"/>
                  <w14:bevel/>
                </w14:textOutline>
              </w:rPr>
              <w:t>容</w:t>
            </w:r>
          </w:p>
        </w:tc>
        <w:tc>
          <w:tcPr>
            <w:tcW w:w="2060" w:type="dxa"/>
            <w:vAlign w:val="top"/>
          </w:tcPr>
          <w:p>
            <w:pPr>
              <w:spacing w:before="32" w:line="231" w:lineRule="auto"/>
              <w:ind w:left="679"/>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项目情况</w:t>
            </w:r>
          </w:p>
        </w:tc>
        <w:tc>
          <w:tcPr>
            <w:tcW w:w="741" w:type="dxa"/>
            <w:tcBorders>
              <w:right w:val="single" w:color="000000" w:sz="6" w:space="0"/>
            </w:tcBorders>
            <w:vAlign w:val="top"/>
          </w:tcPr>
          <w:p>
            <w:pPr>
              <w:spacing w:before="32" w:line="230" w:lineRule="auto"/>
              <w:ind w:left="43"/>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符合</w:t>
            </w:r>
            <w:r>
              <w:rPr>
                <w:rFonts w:ascii="宋体" w:hAnsi="宋体" w:eastAsia="宋体" w:cs="宋体"/>
                <w:spacing w:val="7"/>
                <w:sz w:val="17"/>
                <w:szCs w:val="17"/>
                <w14:textOutline w14:w="3268" w14:cap="sq" w14:cmpd="sng">
                  <w14:solidFill>
                    <w14:srgbClr w14:val="000000"/>
                  </w14:solidFill>
                  <w14:prstDash w14:val="solid"/>
                  <w14:bevel/>
                </w14:textOutline>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714" w:type="dxa"/>
            <w:vMerge w:val="continue"/>
            <w:tcBorders>
              <w:top w:val="nil"/>
              <w:left w:val="single" w:color="000000" w:sz="6" w:space="0"/>
              <w:bottom w:val="nil"/>
            </w:tcBorders>
            <w:vAlign w:val="top"/>
          </w:tcPr>
          <w:p>
            <w:pPr>
              <w:rPr>
                <w:rFonts w:ascii="Arial"/>
                <w:sz w:val="21"/>
              </w:rPr>
            </w:pPr>
          </w:p>
        </w:tc>
        <w:tc>
          <w:tcPr>
            <w:tcW w:w="692" w:type="dxa"/>
            <w:vAlign w:val="top"/>
          </w:tcPr>
          <w:p>
            <w:pPr>
              <w:spacing w:before="261" w:line="260" w:lineRule="auto"/>
              <w:ind w:left="225" w:right="26" w:hanging="71"/>
              <w:rPr>
                <w:rFonts w:ascii="宋体" w:hAnsi="宋体" w:eastAsia="宋体" w:cs="宋体"/>
                <w:sz w:val="17"/>
                <w:szCs w:val="17"/>
              </w:rPr>
            </w:pPr>
            <w:r>
              <w:rPr>
                <w:rFonts w:ascii="宋体" w:hAnsi="宋体" w:eastAsia="宋体" w:cs="宋体"/>
                <w:spacing w:val="27"/>
                <w:sz w:val="17"/>
                <w:szCs w:val="17"/>
              </w:rPr>
              <w:t>(二)</w:t>
            </w:r>
            <w:r>
              <w:rPr>
                <w:rFonts w:ascii="宋体" w:hAnsi="宋体" w:eastAsia="宋体" w:cs="宋体"/>
                <w:sz w:val="17"/>
                <w:szCs w:val="17"/>
              </w:rPr>
              <w:t xml:space="preserve"> </w:t>
            </w:r>
            <w:r>
              <w:rPr>
                <w:rFonts w:ascii="宋体" w:hAnsi="宋体" w:eastAsia="宋体" w:cs="宋体"/>
                <w:spacing w:val="6"/>
                <w:sz w:val="17"/>
                <w:szCs w:val="17"/>
              </w:rPr>
              <w:t>深化</w:t>
            </w:r>
            <w:r>
              <w:rPr>
                <w:rFonts w:ascii="宋体" w:hAnsi="宋体" w:eastAsia="宋体" w:cs="宋体"/>
                <w:sz w:val="17"/>
                <w:szCs w:val="17"/>
              </w:rPr>
              <w:t xml:space="preserve"> </w:t>
            </w:r>
            <w:r>
              <w:rPr>
                <w:rFonts w:ascii="宋体" w:hAnsi="宋体" w:eastAsia="宋体" w:cs="宋体"/>
                <w:spacing w:val="6"/>
                <w:sz w:val="17"/>
                <w:szCs w:val="17"/>
              </w:rPr>
              <w:t>面源</w:t>
            </w:r>
            <w:r>
              <w:rPr>
                <w:rFonts w:ascii="宋体" w:hAnsi="宋体" w:eastAsia="宋体" w:cs="宋体"/>
                <w:sz w:val="17"/>
                <w:szCs w:val="17"/>
              </w:rPr>
              <w:t xml:space="preserve"> </w:t>
            </w:r>
            <w:r>
              <w:rPr>
                <w:rFonts w:ascii="宋体" w:hAnsi="宋体" w:eastAsia="宋体" w:cs="宋体"/>
                <w:spacing w:val="6"/>
                <w:sz w:val="17"/>
                <w:szCs w:val="17"/>
              </w:rPr>
              <w:t>污染</w:t>
            </w:r>
            <w:r>
              <w:rPr>
                <w:rFonts w:ascii="宋体" w:hAnsi="宋体" w:eastAsia="宋体" w:cs="宋体"/>
                <w:sz w:val="17"/>
                <w:szCs w:val="17"/>
              </w:rPr>
              <w:t xml:space="preserve"> </w:t>
            </w:r>
            <w:r>
              <w:rPr>
                <w:rFonts w:ascii="宋体" w:hAnsi="宋体" w:eastAsia="宋体" w:cs="宋体"/>
                <w:spacing w:val="6"/>
                <w:sz w:val="17"/>
                <w:szCs w:val="17"/>
              </w:rPr>
              <w:t>治理</w:t>
            </w:r>
          </w:p>
        </w:tc>
        <w:tc>
          <w:tcPr>
            <w:tcW w:w="4728" w:type="dxa"/>
            <w:gridSpan w:val="2"/>
            <w:vAlign w:val="top"/>
          </w:tcPr>
          <w:p>
            <w:pPr>
              <w:spacing w:before="26" w:line="250" w:lineRule="auto"/>
              <w:ind w:left="23" w:firstLine="2"/>
              <w:rPr>
                <w:rFonts w:ascii="宋体" w:hAnsi="宋体" w:eastAsia="宋体" w:cs="宋体"/>
                <w:sz w:val="17"/>
                <w:szCs w:val="17"/>
              </w:rPr>
            </w:pPr>
            <w:r>
              <w:rPr>
                <w:rFonts w:ascii="宋体" w:hAnsi="宋体" w:eastAsia="宋体" w:cs="宋体"/>
                <w:spacing w:val="4"/>
                <w:sz w:val="17"/>
                <w:szCs w:val="17"/>
              </w:rPr>
              <w:t>综合整治城市扬尘。加强施工扬尘监管，积极推进绿色施工</w:t>
            </w:r>
            <w:r>
              <w:rPr>
                <w:rFonts w:ascii="宋体" w:hAnsi="宋体" w:eastAsia="宋体" w:cs="宋体"/>
                <w:spacing w:val="2"/>
                <w:sz w:val="17"/>
                <w:szCs w:val="17"/>
              </w:rPr>
              <w:t>，</w:t>
            </w:r>
            <w:r>
              <w:rPr>
                <w:rFonts w:ascii="宋体" w:hAnsi="宋体" w:eastAsia="宋体" w:cs="宋体"/>
                <w:sz w:val="17"/>
                <w:szCs w:val="17"/>
              </w:rPr>
              <w:t xml:space="preserve"> </w:t>
            </w:r>
            <w:r>
              <w:rPr>
                <w:rFonts w:ascii="宋体" w:hAnsi="宋体" w:eastAsia="宋体" w:cs="宋体"/>
                <w:spacing w:val="18"/>
                <w:sz w:val="17"/>
                <w:szCs w:val="17"/>
              </w:rPr>
              <w:t>建</w:t>
            </w:r>
            <w:r>
              <w:rPr>
                <w:rFonts w:ascii="宋体" w:hAnsi="宋体" w:eastAsia="宋体" w:cs="宋体"/>
                <w:spacing w:val="12"/>
                <w:sz w:val="17"/>
                <w:szCs w:val="17"/>
              </w:rPr>
              <w:t>设</w:t>
            </w:r>
            <w:r>
              <w:rPr>
                <w:rFonts w:ascii="宋体" w:hAnsi="宋体" w:eastAsia="宋体" w:cs="宋体"/>
                <w:spacing w:val="9"/>
                <w:sz w:val="17"/>
                <w:szCs w:val="17"/>
              </w:rPr>
              <w:t>工程施工现场应全封闭设置围挡墙，严禁敞开式作业，</w:t>
            </w:r>
            <w:r>
              <w:rPr>
                <w:rFonts w:ascii="宋体" w:hAnsi="宋体" w:eastAsia="宋体" w:cs="宋体"/>
                <w:sz w:val="17"/>
                <w:szCs w:val="17"/>
              </w:rPr>
              <w:t xml:space="preserve"> </w:t>
            </w:r>
            <w:r>
              <w:rPr>
                <w:rFonts w:ascii="宋体" w:hAnsi="宋体" w:eastAsia="宋体" w:cs="宋体"/>
                <w:spacing w:val="9"/>
                <w:sz w:val="17"/>
                <w:szCs w:val="17"/>
              </w:rPr>
              <w:t>施工现场道路应进行地面硬化。渣土运输车辆应采取密闭</w:t>
            </w:r>
            <w:r>
              <w:rPr>
                <w:rFonts w:ascii="宋体" w:hAnsi="宋体" w:eastAsia="宋体" w:cs="宋体"/>
                <w:spacing w:val="8"/>
                <w:sz w:val="17"/>
                <w:szCs w:val="17"/>
              </w:rPr>
              <w:t>措</w:t>
            </w:r>
            <w:r>
              <w:rPr>
                <w:rFonts w:ascii="宋体" w:hAnsi="宋体" w:eastAsia="宋体" w:cs="宋体"/>
                <w:sz w:val="17"/>
                <w:szCs w:val="17"/>
              </w:rPr>
              <w:t xml:space="preserve"> </w:t>
            </w:r>
            <w:r>
              <w:rPr>
                <w:rFonts w:ascii="宋体" w:hAnsi="宋体" w:eastAsia="宋体" w:cs="宋体"/>
                <w:spacing w:val="9"/>
                <w:sz w:val="17"/>
                <w:szCs w:val="17"/>
              </w:rPr>
              <w:t>施，并逐步安装卫星定位系统。推行道路机械化清扫等低</w:t>
            </w:r>
            <w:r>
              <w:rPr>
                <w:rFonts w:ascii="宋体" w:hAnsi="宋体" w:eastAsia="宋体" w:cs="宋体"/>
                <w:spacing w:val="8"/>
                <w:sz w:val="17"/>
                <w:szCs w:val="17"/>
              </w:rPr>
              <w:t>尘</w:t>
            </w:r>
            <w:r>
              <w:rPr>
                <w:rFonts w:ascii="宋体" w:hAnsi="宋体" w:eastAsia="宋体" w:cs="宋体"/>
                <w:sz w:val="17"/>
                <w:szCs w:val="17"/>
              </w:rPr>
              <w:t xml:space="preserve"> </w:t>
            </w:r>
            <w:r>
              <w:rPr>
                <w:rFonts w:ascii="宋体" w:hAnsi="宋体" w:eastAsia="宋体" w:cs="宋体"/>
                <w:spacing w:val="9"/>
                <w:sz w:val="17"/>
                <w:szCs w:val="17"/>
              </w:rPr>
              <w:t>作业方式。大型煤堆、料堆要实现封闭储存或建设防风抑</w:t>
            </w:r>
            <w:r>
              <w:rPr>
                <w:rFonts w:ascii="宋体" w:hAnsi="宋体" w:eastAsia="宋体" w:cs="宋体"/>
                <w:spacing w:val="8"/>
                <w:sz w:val="17"/>
                <w:szCs w:val="17"/>
              </w:rPr>
              <w:t>尘</w:t>
            </w:r>
            <w:r>
              <w:rPr>
                <w:rFonts w:ascii="宋体" w:hAnsi="宋体" w:eastAsia="宋体" w:cs="宋体"/>
                <w:sz w:val="17"/>
                <w:szCs w:val="17"/>
              </w:rPr>
              <w:t xml:space="preserve"> </w:t>
            </w:r>
            <w:r>
              <w:rPr>
                <w:rFonts w:ascii="宋体" w:hAnsi="宋体" w:eastAsia="宋体" w:cs="宋体"/>
                <w:spacing w:val="9"/>
                <w:sz w:val="17"/>
                <w:szCs w:val="17"/>
              </w:rPr>
              <w:t>设施。推进城市及周边绿化和防风防沙林建设，扩大城市</w:t>
            </w:r>
            <w:r>
              <w:rPr>
                <w:rFonts w:ascii="宋体" w:hAnsi="宋体" w:eastAsia="宋体" w:cs="宋体"/>
                <w:spacing w:val="8"/>
                <w:sz w:val="17"/>
                <w:szCs w:val="17"/>
              </w:rPr>
              <w:t>建</w:t>
            </w:r>
            <w:r>
              <w:rPr>
                <w:rFonts w:ascii="宋体" w:hAnsi="宋体" w:eastAsia="宋体" w:cs="宋体"/>
                <w:sz w:val="17"/>
                <w:szCs w:val="17"/>
              </w:rPr>
              <w:t xml:space="preserve"> </w:t>
            </w:r>
            <w:r>
              <w:rPr>
                <w:rFonts w:ascii="宋体" w:hAnsi="宋体" w:eastAsia="宋体" w:cs="宋体"/>
                <w:spacing w:val="11"/>
                <w:sz w:val="17"/>
                <w:szCs w:val="17"/>
              </w:rPr>
              <w:t>成</w:t>
            </w:r>
            <w:r>
              <w:rPr>
                <w:rFonts w:ascii="宋体" w:hAnsi="宋体" w:eastAsia="宋体" w:cs="宋体"/>
                <w:spacing w:val="6"/>
                <w:sz w:val="17"/>
                <w:szCs w:val="17"/>
              </w:rPr>
              <w:t>区绿地规模。</w:t>
            </w:r>
          </w:p>
        </w:tc>
        <w:tc>
          <w:tcPr>
            <w:tcW w:w="2060" w:type="dxa"/>
            <w:vAlign w:val="top"/>
          </w:tcPr>
          <w:p>
            <w:pPr>
              <w:spacing w:before="142" w:line="230" w:lineRule="auto"/>
              <w:ind w:left="50"/>
              <w:rPr>
                <w:rFonts w:ascii="宋体" w:hAnsi="宋体" w:eastAsia="宋体" w:cs="宋体"/>
                <w:sz w:val="17"/>
                <w:szCs w:val="17"/>
              </w:rPr>
            </w:pPr>
            <w:r>
              <w:rPr>
                <w:rFonts w:ascii="宋体" w:hAnsi="宋体" w:eastAsia="宋体" w:cs="宋体"/>
                <w:spacing w:val="10"/>
                <w:sz w:val="17"/>
                <w:szCs w:val="17"/>
              </w:rPr>
              <w:t>项</w:t>
            </w:r>
            <w:r>
              <w:rPr>
                <w:rFonts w:ascii="宋体" w:hAnsi="宋体" w:eastAsia="宋体" w:cs="宋体"/>
                <w:spacing w:val="9"/>
                <w:sz w:val="17"/>
                <w:szCs w:val="17"/>
              </w:rPr>
              <w:t>目施工现场将设置全封</w:t>
            </w:r>
          </w:p>
          <w:p>
            <w:pPr>
              <w:spacing w:before="21" w:line="230" w:lineRule="auto"/>
              <w:ind w:left="65"/>
              <w:rPr>
                <w:rFonts w:ascii="宋体" w:hAnsi="宋体" w:eastAsia="宋体" w:cs="宋体"/>
                <w:sz w:val="17"/>
                <w:szCs w:val="17"/>
              </w:rPr>
            </w:pPr>
            <w:r>
              <w:rPr>
                <w:rFonts w:ascii="宋体" w:hAnsi="宋体" w:eastAsia="宋体" w:cs="宋体"/>
                <w:spacing w:val="14"/>
                <w:sz w:val="17"/>
                <w:szCs w:val="17"/>
              </w:rPr>
              <w:t>闭</w:t>
            </w:r>
            <w:r>
              <w:rPr>
                <w:rFonts w:ascii="宋体" w:hAnsi="宋体" w:eastAsia="宋体" w:cs="宋体"/>
                <w:spacing w:val="8"/>
                <w:sz w:val="17"/>
                <w:szCs w:val="17"/>
              </w:rPr>
              <w:t>设</w:t>
            </w:r>
            <w:r>
              <w:rPr>
                <w:rFonts w:ascii="宋体" w:hAnsi="宋体" w:eastAsia="宋体" w:cs="宋体"/>
                <w:spacing w:val="7"/>
                <w:sz w:val="17"/>
                <w:szCs w:val="17"/>
              </w:rPr>
              <w:t>置围挡，施工临时道</w:t>
            </w:r>
          </w:p>
          <w:p>
            <w:pPr>
              <w:spacing w:before="21" w:line="229" w:lineRule="auto"/>
              <w:ind w:left="49"/>
              <w:rPr>
                <w:rFonts w:ascii="宋体" w:hAnsi="宋体" w:eastAsia="宋体" w:cs="宋体"/>
                <w:sz w:val="17"/>
                <w:szCs w:val="17"/>
              </w:rPr>
            </w:pPr>
            <w:r>
              <w:rPr>
                <w:rFonts w:ascii="宋体" w:hAnsi="宋体" w:eastAsia="宋体" w:cs="宋体"/>
                <w:spacing w:val="11"/>
                <w:sz w:val="17"/>
                <w:szCs w:val="17"/>
              </w:rPr>
              <w:t>路</w:t>
            </w:r>
            <w:r>
              <w:rPr>
                <w:rFonts w:ascii="宋体" w:hAnsi="宋体" w:eastAsia="宋体" w:cs="宋体"/>
                <w:spacing w:val="9"/>
                <w:sz w:val="17"/>
                <w:szCs w:val="17"/>
              </w:rPr>
              <w:t>采取硬化措施、设置喷</w:t>
            </w:r>
          </w:p>
          <w:p>
            <w:pPr>
              <w:spacing w:before="23" w:line="231" w:lineRule="auto"/>
              <w:ind w:left="49"/>
              <w:rPr>
                <w:rFonts w:ascii="宋体" w:hAnsi="宋体" w:eastAsia="宋体" w:cs="宋体"/>
                <w:sz w:val="17"/>
                <w:szCs w:val="17"/>
              </w:rPr>
            </w:pPr>
            <w:r>
              <w:rPr>
                <w:rFonts w:ascii="宋体" w:hAnsi="宋体" w:eastAsia="宋体" w:cs="宋体"/>
                <w:spacing w:val="11"/>
                <w:sz w:val="17"/>
                <w:szCs w:val="17"/>
              </w:rPr>
              <w:t>雾</w:t>
            </w:r>
            <w:r>
              <w:rPr>
                <w:rFonts w:ascii="宋体" w:hAnsi="宋体" w:eastAsia="宋体" w:cs="宋体"/>
                <w:spacing w:val="9"/>
                <w:sz w:val="17"/>
                <w:szCs w:val="17"/>
              </w:rPr>
              <w:t>装置，运输车辆密闭运</w:t>
            </w:r>
          </w:p>
          <w:p>
            <w:pPr>
              <w:spacing w:before="20" w:line="230" w:lineRule="auto"/>
              <w:ind w:left="47"/>
              <w:rPr>
                <w:rFonts w:ascii="宋体" w:hAnsi="宋体" w:eastAsia="宋体" w:cs="宋体"/>
                <w:sz w:val="17"/>
                <w:szCs w:val="17"/>
              </w:rPr>
            </w:pPr>
            <w:r>
              <w:rPr>
                <w:rFonts w:ascii="宋体" w:hAnsi="宋体" w:eastAsia="宋体" w:cs="宋体"/>
                <w:spacing w:val="13"/>
                <w:sz w:val="17"/>
                <w:szCs w:val="17"/>
              </w:rPr>
              <w:t>输</w:t>
            </w:r>
            <w:r>
              <w:rPr>
                <w:rFonts w:ascii="宋体" w:hAnsi="宋体" w:eastAsia="宋体" w:cs="宋体"/>
                <w:spacing w:val="9"/>
                <w:sz w:val="17"/>
                <w:szCs w:val="17"/>
              </w:rPr>
              <w:t>，建成后桥梁两端设置</w:t>
            </w:r>
          </w:p>
          <w:p>
            <w:pPr>
              <w:spacing w:before="21" w:line="230" w:lineRule="auto"/>
              <w:ind w:left="769"/>
              <w:rPr>
                <w:rFonts w:ascii="宋体" w:hAnsi="宋体" w:eastAsia="宋体" w:cs="宋体"/>
                <w:sz w:val="17"/>
                <w:szCs w:val="17"/>
              </w:rPr>
            </w:pPr>
            <w:r>
              <w:rPr>
                <w:rFonts w:ascii="宋体" w:hAnsi="宋体" w:eastAsia="宋体" w:cs="宋体"/>
                <w:spacing w:val="7"/>
                <w:sz w:val="17"/>
                <w:szCs w:val="17"/>
              </w:rPr>
              <w:t>绿化带</w:t>
            </w:r>
          </w:p>
        </w:tc>
        <w:tc>
          <w:tcPr>
            <w:tcW w:w="741" w:type="dxa"/>
            <w:tcBorders>
              <w:right w:val="single" w:color="000000" w:sz="6" w:space="0"/>
            </w:tcBorders>
            <w:vAlign w:val="top"/>
          </w:tcPr>
          <w:p>
            <w:pPr>
              <w:spacing w:line="334" w:lineRule="auto"/>
              <w:rPr>
                <w:rFonts w:ascii="Arial"/>
                <w:sz w:val="21"/>
              </w:rPr>
            </w:pPr>
          </w:p>
          <w:p>
            <w:pPr>
              <w:spacing w:line="335" w:lineRule="auto"/>
              <w:rPr>
                <w:rFonts w:ascii="Arial"/>
                <w:sz w:val="21"/>
              </w:rPr>
            </w:pPr>
          </w:p>
          <w:p>
            <w:pPr>
              <w:spacing w:before="55" w:line="230" w:lineRule="auto"/>
              <w:ind w:left="135"/>
              <w:rPr>
                <w:rFonts w:ascii="宋体" w:hAnsi="宋体" w:eastAsia="宋体" w:cs="宋体"/>
                <w:sz w:val="17"/>
                <w:szCs w:val="17"/>
              </w:rPr>
            </w:pPr>
            <w:r>
              <w:rPr>
                <w:rFonts w:ascii="宋体" w:hAnsi="宋体" w:eastAsia="宋体" w:cs="宋体"/>
                <w:spacing w:val="6"/>
                <w:sz w:val="17"/>
                <w:szCs w:val="17"/>
              </w:rPr>
              <w:t>符</w:t>
            </w:r>
            <w:r>
              <w:rPr>
                <w:rFonts w:ascii="宋体" w:hAnsi="宋体" w:eastAsia="宋体" w:cs="宋体"/>
                <w:spacing w:val="5"/>
                <w:sz w:val="17"/>
                <w:szCs w:val="17"/>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7" w:hRule="atLeast"/>
        </w:trPr>
        <w:tc>
          <w:tcPr>
            <w:tcW w:w="714" w:type="dxa"/>
            <w:vMerge w:val="continue"/>
            <w:tcBorders>
              <w:top w:val="nil"/>
              <w:left w:val="single" w:color="000000" w:sz="6" w:space="0"/>
            </w:tcBorders>
            <w:vAlign w:val="top"/>
          </w:tcPr>
          <w:p>
            <w:pPr>
              <w:rPr>
                <w:rFonts w:ascii="Arial"/>
                <w:sz w:val="21"/>
              </w:rPr>
            </w:pPr>
          </w:p>
        </w:tc>
        <w:tc>
          <w:tcPr>
            <w:tcW w:w="8221" w:type="dxa"/>
            <w:gridSpan w:val="5"/>
            <w:tcBorders>
              <w:right w:val="single" w:color="000000" w:sz="6" w:space="0"/>
            </w:tcBorders>
            <w:vAlign w:val="top"/>
          </w:tcPr>
          <w:p>
            <w:pPr>
              <w:spacing w:before="140" w:line="370" w:lineRule="auto"/>
              <w:ind w:left="70" w:firstLine="402"/>
              <w:rPr>
                <w:rFonts w:ascii="宋体" w:hAnsi="宋体" w:eastAsia="宋体" w:cs="宋体"/>
                <w:sz w:val="20"/>
                <w:szCs w:val="20"/>
              </w:rPr>
            </w:pPr>
            <w:r>
              <w:rPr>
                <w:rFonts w:ascii="宋体" w:hAnsi="宋体" w:eastAsia="宋体" w:cs="宋体"/>
                <w:spacing w:val="-4"/>
                <w:sz w:val="20"/>
                <w:szCs w:val="20"/>
                <w14:textOutline w14:w="3780" w14:cap="sq" w14:cmpd="sng">
                  <w14:solidFill>
                    <w14:srgbClr w14:val="000000"/>
                  </w14:solidFill>
                  <w14:prstDash w14:val="solid"/>
                  <w14:bevel/>
                </w14:textOutline>
              </w:rPr>
              <w:t>(</w:t>
            </w:r>
            <w:r>
              <w:rPr>
                <w:rFonts w:ascii="Times New Roman" w:hAnsi="Times New Roman" w:eastAsia="Times New Roman" w:cs="Times New Roman"/>
                <w:b/>
                <w:bCs/>
                <w:spacing w:val="-4"/>
                <w:sz w:val="20"/>
                <w:szCs w:val="20"/>
              </w:rPr>
              <w:t>6</w:t>
            </w:r>
            <w:r>
              <w:rPr>
                <w:rFonts w:ascii="宋体" w:hAnsi="宋体" w:eastAsia="宋体" w:cs="宋体"/>
                <w:spacing w:val="-4"/>
                <w:sz w:val="20"/>
                <w:szCs w:val="20"/>
                <w14:textOutline w14:w="3780" w14:cap="sq" w14:cmpd="sng">
                  <w14:solidFill>
                    <w14:srgbClr w14:val="000000"/>
                  </w14:solidFill>
                  <w14:prstDash w14:val="solid"/>
                  <w14:bevel/>
                </w14:textOutline>
              </w:rPr>
              <w:t>)</w:t>
            </w:r>
            <w:r>
              <w:rPr>
                <w:rFonts w:ascii="宋体" w:hAnsi="宋体" w:eastAsia="宋体" w:cs="宋体"/>
                <w:spacing w:val="-4"/>
                <w:sz w:val="20"/>
                <w:szCs w:val="20"/>
              </w:rPr>
              <w:t xml:space="preserve"> </w:t>
            </w:r>
            <w:r>
              <w:rPr>
                <w:rFonts w:ascii="宋体" w:hAnsi="宋体" w:eastAsia="宋体" w:cs="宋体"/>
                <w:spacing w:val="-4"/>
                <w:sz w:val="20"/>
                <w:szCs w:val="20"/>
                <w14:textOutline w14:w="3780" w14:cap="sq" w14:cmpd="sng">
                  <w14:solidFill>
                    <w14:srgbClr w14:val="000000"/>
                  </w14:solidFill>
                  <w14:prstDash w14:val="solid"/>
                  <w14:bevel/>
                </w14:textOutline>
              </w:rPr>
              <w:t>与《达州市城市总体规划</w:t>
            </w:r>
            <w:r>
              <w:rPr>
                <w:rFonts w:ascii="宋体" w:hAnsi="宋体" w:eastAsia="宋体" w:cs="宋体"/>
                <w:spacing w:val="-4"/>
                <w:sz w:val="20"/>
                <w:szCs w:val="20"/>
              </w:rPr>
              <w:t xml:space="preserve"> </w:t>
            </w:r>
            <w:r>
              <w:rPr>
                <w:rFonts w:ascii="宋体" w:hAnsi="宋体" w:eastAsia="宋体" w:cs="宋体"/>
                <w:spacing w:val="-4"/>
                <w:sz w:val="20"/>
                <w:szCs w:val="20"/>
                <w14:textOutline w14:w="3780" w14:cap="sq" w14:cmpd="sng">
                  <w14:solidFill>
                    <w14:srgbClr w14:val="000000"/>
                  </w14:solidFill>
                  <w14:prstDash w14:val="solid"/>
                  <w14:bevel/>
                </w14:textOutline>
              </w:rPr>
              <w:t>(</w:t>
            </w:r>
            <w:r>
              <w:rPr>
                <w:rFonts w:ascii="Times New Roman" w:hAnsi="Times New Roman" w:eastAsia="Times New Roman" w:cs="Times New Roman"/>
                <w:b/>
                <w:bCs/>
                <w:spacing w:val="-2"/>
                <w:sz w:val="20"/>
                <w:szCs w:val="20"/>
              </w:rPr>
              <w:t>2011-2030</w:t>
            </w:r>
            <w:r>
              <w:rPr>
                <w:rFonts w:ascii="宋体" w:hAnsi="宋体" w:eastAsia="宋体" w:cs="宋体"/>
                <w:spacing w:val="-2"/>
                <w:sz w:val="20"/>
                <w:szCs w:val="20"/>
                <w14:textOutline w14:w="3780" w14:cap="sq" w14:cmpd="sng">
                  <w14:solidFill>
                    <w14:srgbClr w14:val="000000"/>
                  </w14:solidFill>
                  <w14:prstDash w14:val="solid"/>
                  <w14:bevel/>
                </w14:textOutline>
              </w:rPr>
              <w:t>)</w:t>
            </w:r>
            <w:r>
              <w:rPr>
                <w:rFonts w:ascii="宋体" w:hAnsi="宋体" w:eastAsia="宋体" w:cs="宋体"/>
                <w:spacing w:val="-2"/>
                <w:sz w:val="20"/>
                <w:szCs w:val="20"/>
              </w:rPr>
              <w:t xml:space="preserve"> </w:t>
            </w:r>
            <w:r>
              <w:rPr>
                <w:rFonts w:ascii="宋体" w:hAnsi="宋体" w:eastAsia="宋体" w:cs="宋体"/>
                <w:spacing w:val="-2"/>
                <w:sz w:val="20"/>
                <w:szCs w:val="20"/>
                <w14:textOutline w14:w="3780" w14:cap="sq" w14:cmpd="sng">
                  <w14:solidFill>
                    <w14:srgbClr w14:val="000000"/>
                  </w14:solidFill>
                  <w14:prstDash w14:val="solid"/>
                  <w14:bevel/>
                </w14:textOutline>
              </w:rPr>
              <w:t>》《达州市高家坝城市组团控制性详细规划》</w:t>
            </w:r>
            <w:r>
              <w:rPr>
                <w:rFonts w:ascii="宋体" w:hAnsi="宋体" w:eastAsia="宋体" w:cs="宋体"/>
                <w:sz w:val="20"/>
                <w:szCs w:val="20"/>
              </w:rPr>
              <w:t xml:space="preserve"> </w:t>
            </w:r>
            <w:r>
              <w:rPr>
                <w:rFonts w:ascii="宋体" w:hAnsi="宋体" w:eastAsia="宋体" w:cs="宋体"/>
                <w:spacing w:val="-2"/>
                <w:sz w:val="20"/>
                <w:szCs w:val="20"/>
                <w14:textOutline w14:w="3780" w14:cap="sq" w14:cmpd="sng">
                  <w14:solidFill>
                    <w14:srgbClr w14:val="000000"/>
                  </w14:solidFill>
                  <w14:prstDash w14:val="solid"/>
                  <w14:bevel/>
                </w14:textOutline>
              </w:rPr>
              <w:t>符合</w:t>
            </w:r>
            <w:r>
              <w:rPr>
                <w:rFonts w:ascii="宋体" w:hAnsi="宋体" w:eastAsia="宋体" w:cs="宋体"/>
                <w:spacing w:val="-1"/>
                <w:sz w:val="20"/>
                <w:szCs w:val="20"/>
                <w14:textOutline w14:w="3780" w14:cap="sq" w14:cmpd="sng">
                  <w14:solidFill>
                    <w14:srgbClr w14:val="000000"/>
                  </w14:solidFill>
                  <w14:prstDash w14:val="solid"/>
                  <w14:bevel/>
                </w14:textOutline>
              </w:rPr>
              <w:t>性分析</w:t>
            </w:r>
          </w:p>
          <w:p>
            <w:pPr>
              <w:spacing w:before="3" w:line="369" w:lineRule="auto"/>
              <w:ind w:left="68" w:firstLine="420"/>
              <w:rPr>
                <w:rFonts w:ascii="宋体" w:hAnsi="宋体" w:eastAsia="宋体" w:cs="宋体"/>
                <w:sz w:val="20"/>
                <w:szCs w:val="20"/>
              </w:rPr>
            </w:pPr>
            <w:r>
              <w:rPr>
                <w:rFonts w:ascii="宋体" w:hAnsi="宋体" w:eastAsia="宋体" w:cs="宋体"/>
                <w:spacing w:val="16"/>
                <w:sz w:val="20"/>
                <w:szCs w:val="20"/>
              </w:rPr>
              <w:t>根</w:t>
            </w:r>
            <w:r>
              <w:rPr>
                <w:rFonts w:ascii="宋体" w:hAnsi="宋体" w:eastAsia="宋体" w:cs="宋体"/>
                <w:spacing w:val="8"/>
                <w:sz w:val="20"/>
                <w:szCs w:val="20"/>
              </w:rPr>
              <w:t>据《达州市城市总体规划 (</w:t>
            </w:r>
            <w:r>
              <w:rPr>
                <w:rFonts w:ascii="Times New Roman" w:hAnsi="Times New Roman" w:eastAsia="Times New Roman" w:cs="Times New Roman"/>
                <w:spacing w:val="8"/>
                <w:sz w:val="20"/>
                <w:szCs w:val="20"/>
              </w:rPr>
              <w:t>2011-2030</w:t>
            </w:r>
            <w:r>
              <w:rPr>
                <w:rFonts w:ascii="宋体" w:hAnsi="宋体" w:eastAsia="宋体" w:cs="宋体"/>
                <w:spacing w:val="8"/>
                <w:sz w:val="20"/>
                <w:szCs w:val="20"/>
              </w:rPr>
              <w:t>) 》，达州中心城区，经过</w:t>
            </w:r>
            <w:r>
              <w:rPr>
                <w:rFonts w:ascii="Times New Roman" w:hAnsi="Times New Roman" w:eastAsia="Times New Roman" w:cs="Times New Roman"/>
                <w:spacing w:val="8"/>
                <w:sz w:val="20"/>
                <w:szCs w:val="20"/>
              </w:rPr>
              <w:t>“</w:t>
            </w:r>
            <w:r>
              <w:rPr>
                <w:rFonts w:ascii="宋体" w:hAnsi="宋体" w:eastAsia="宋体" w:cs="宋体"/>
                <w:spacing w:val="8"/>
                <w:sz w:val="20"/>
                <w:szCs w:val="20"/>
              </w:rPr>
              <w:t>南延西扩东跨，</w:t>
            </w:r>
            <w:r>
              <w:rPr>
                <w:rFonts w:ascii="宋体" w:hAnsi="宋体" w:eastAsia="宋体" w:cs="宋体"/>
                <w:sz w:val="20"/>
                <w:szCs w:val="20"/>
              </w:rPr>
              <w:t xml:space="preserve"> </w:t>
            </w:r>
            <w:r>
              <w:rPr>
                <w:rFonts w:ascii="宋体" w:hAnsi="宋体" w:eastAsia="宋体" w:cs="宋体"/>
                <w:spacing w:val="12"/>
                <w:sz w:val="20"/>
                <w:szCs w:val="20"/>
              </w:rPr>
              <w:t>适度向</w:t>
            </w:r>
            <w:r>
              <w:rPr>
                <w:rFonts w:ascii="宋体" w:hAnsi="宋体" w:eastAsia="宋体" w:cs="宋体"/>
                <w:spacing w:val="8"/>
                <w:sz w:val="20"/>
                <w:szCs w:val="20"/>
              </w:rPr>
              <w:t>北</w:t>
            </w:r>
            <w:r>
              <w:rPr>
                <w:rFonts w:ascii="宋体" w:hAnsi="宋体" w:eastAsia="宋体" w:cs="宋体"/>
                <w:spacing w:val="6"/>
                <w:sz w:val="20"/>
                <w:szCs w:val="20"/>
              </w:rPr>
              <w:t>发展</w:t>
            </w:r>
            <w:r>
              <w:rPr>
                <w:rFonts w:ascii="Times New Roman" w:hAnsi="Times New Roman" w:eastAsia="Times New Roman" w:cs="Times New Roman"/>
                <w:spacing w:val="6"/>
                <w:sz w:val="20"/>
                <w:szCs w:val="20"/>
              </w:rPr>
              <w:t>”</w:t>
            </w:r>
            <w:r>
              <w:rPr>
                <w:rFonts w:ascii="宋体" w:hAnsi="宋体" w:eastAsia="宋体" w:cs="宋体"/>
                <w:spacing w:val="6"/>
                <w:sz w:val="20"/>
                <w:szCs w:val="20"/>
              </w:rPr>
              <w:t>的布局，到</w:t>
            </w:r>
            <w:r>
              <w:rPr>
                <w:rFonts w:ascii="Times New Roman" w:hAnsi="Times New Roman" w:eastAsia="Times New Roman" w:cs="Times New Roman"/>
                <w:spacing w:val="6"/>
                <w:sz w:val="20"/>
                <w:szCs w:val="20"/>
              </w:rPr>
              <w:t>2030</w:t>
            </w:r>
            <w:r>
              <w:rPr>
                <w:rFonts w:ascii="宋体" w:hAnsi="宋体" w:eastAsia="宋体" w:cs="宋体"/>
                <w:spacing w:val="6"/>
                <w:sz w:val="20"/>
                <w:szCs w:val="20"/>
              </w:rPr>
              <w:t>年中心城区面积将达到</w:t>
            </w:r>
            <w:r>
              <w:rPr>
                <w:rFonts w:ascii="Times New Roman" w:hAnsi="Times New Roman" w:eastAsia="Times New Roman" w:cs="Times New Roman"/>
                <w:spacing w:val="6"/>
                <w:sz w:val="20"/>
                <w:szCs w:val="20"/>
              </w:rPr>
              <w:t>1189</w:t>
            </w:r>
            <w:r>
              <w:rPr>
                <w:rFonts w:ascii="宋体" w:hAnsi="宋体" w:eastAsia="宋体" w:cs="宋体"/>
                <w:spacing w:val="6"/>
                <w:sz w:val="20"/>
                <w:szCs w:val="20"/>
              </w:rPr>
              <w:t>平方公里。规划一级中心城市</w:t>
            </w:r>
            <w:r>
              <w:rPr>
                <w:rFonts w:ascii="Times New Roman" w:hAnsi="Times New Roman" w:eastAsia="Times New Roman" w:cs="Times New Roman"/>
                <w:spacing w:val="6"/>
                <w:sz w:val="20"/>
                <w:szCs w:val="20"/>
              </w:rPr>
              <w:t>1</w:t>
            </w:r>
            <w:r>
              <w:rPr>
                <w:rFonts w:ascii="Times New Roman" w:hAnsi="Times New Roman" w:eastAsia="Times New Roman" w:cs="Times New Roman"/>
                <w:sz w:val="20"/>
                <w:szCs w:val="20"/>
              </w:rPr>
              <w:t xml:space="preserve"> </w:t>
            </w:r>
            <w:r>
              <w:rPr>
                <w:rFonts w:ascii="宋体" w:hAnsi="宋体" w:eastAsia="宋体" w:cs="宋体"/>
                <w:spacing w:val="6"/>
                <w:sz w:val="20"/>
                <w:szCs w:val="20"/>
              </w:rPr>
              <w:t>个，范围包括达</w:t>
            </w:r>
            <w:r>
              <w:rPr>
                <w:rFonts w:ascii="宋体" w:hAnsi="宋体" w:eastAsia="宋体" w:cs="宋体"/>
                <w:spacing w:val="4"/>
                <w:sz w:val="20"/>
                <w:szCs w:val="20"/>
              </w:rPr>
              <w:t>州</w:t>
            </w:r>
            <w:r>
              <w:rPr>
                <w:rFonts w:ascii="宋体" w:hAnsi="宋体" w:eastAsia="宋体" w:cs="宋体"/>
                <w:spacing w:val="3"/>
                <w:sz w:val="20"/>
                <w:szCs w:val="20"/>
              </w:rPr>
              <w:t>市老城区、西区、南区、北区、复兴、双龙、罗江、磐石、魏兴、东岳、</w:t>
            </w:r>
            <w:r>
              <w:rPr>
                <w:rFonts w:ascii="宋体" w:hAnsi="宋体" w:eastAsia="宋体" w:cs="宋体"/>
                <w:sz w:val="20"/>
                <w:szCs w:val="20"/>
              </w:rPr>
              <w:t xml:space="preserve"> </w:t>
            </w:r>
            <w:r>
              <w:rPr>
                <w:rFonts w:ascii="宋体" w:hAnsi="宋体" w:eastAsia="宋体" w:cs="宋体"/>
                <w:spacing w:val="7"/>
                <w:sz w:val="20"/>
                <w:szCs w:val="20"/>
              </w:rPr>
              <w:t>蒲家、河市、斌郎、石板、宣东乡和君塘等乡镇，面积</w:t>
            </w:r>
            <w:r>
              <w:rPr>
                <w:rFonts w:ascii="Times New Roman" w:hAnsi="Times New Roman" w:eastAsia="Times New Roman" w:cs="Times New Roman"/>
                <w:spacing w:val="7"/>
                <w:sz w:val="20"/>
                <w:szCs w:val="20"/>
              </w:rPr>
              <w:t>884</w:t>
            </w:r>
            <w:r>
              <w:rPr>
                <w:rFonts w:ascii="宋体" w:hAnsi="宋体" w:eastAsia="宋体" w:cs="宋体"/>
                <w:spacing w:val="7"/>
                <w:sz w:val="20"/>
                <w:szCs w:val="20"/>
              </w:rPr>
              <w:t>平方公里。根据</w:t>
            </w:r>
            <w:r>
              <w:rPr>
                <w:rFonts w:ascii="Times New Roman" w:hAnsi="Times New Roman" w:eastAsia="Times New Roman" w:cs="Times New Roman"/>
                <w:spacing w:val="7"/>
                <w:sz w:val="20"/>
                <w:szCs w:val="20"/>
              </w:rPr>
              <w:t>“</w:t>
            </w:r>
            <w:r>
              <w:rPr>
                <w:rFonts w:ascii="宋体" w:hAnsi="宋体" w:eastAsia="宋体" w:cs="宋体"/>
                <w:spacing w:val="7"/>
                <w:sz w:val="20"/>
                <w:szCs w:val="20"/>
              </w:rPr>
              <w:t>老城重在疏</w:t>
            </w:r>
            <w:r>
              <w:rPr>
                <w:rFonts w:ascii="宋体" w:hAnsi="宋体" w:eastAsia="宋体" w:cs="宋体"/>
                <w:sz w:val="20"/>
                <w:szCs w:val="20"/>
              </w:rPr>
              <w:t xml:space="preserve">解 </w:t>
            </w:r>
            <w:r>
              <w:rPr>
                <w:rFonts w:ascii="宋体" w:hAnsi="宋体" w:eastAsia="宋体" w:cs="宋体"/>
                <w:spacing w:val="7"/>
                <w:sz w:val="20"/>
                <w:szCs w:val="20"/>
              </w:rPr>
              <w:t>整容，西外、南外、北外三大板块加快建设拓展，罗江、复兴、河市、蒲家、双龙等城</w:t>
            </w:r>
            <w:r>
              <w:rPr>
                <w:rFonts w:ascii="宋体" w:hAnsi="宋体" w:eastAsia="宋体" w:cs="宋体"/>
                <w:spacing w:val="5"/>
                <w:sz w:val="20"/>
                <w:szCs w:val="20"/>
              </w:rPr>
              <w:t>市</w:t>
            </w:r>
            <w:r>
              <w:rPr>
                <w:rFonts w:ascii="宋体" w:hAnsi="宋体" w:eastAsia="宋体" w:cs="宋体"/>
                <w:sz w:val="20"/>
                <w:szCs w:val="20"/>
              </w:rPr>
              <w:t xml:space="preserve"> </w:t>
            </w:r>
            <w:r>
              <w:rPr>
                <w:rFonts w:ascii="宋体" w:hAnsi="宋体" w:eastAsia="宋体" w:cs="宋体"/>
                <w:spacing w:val="18"/>
                <w:sz w:val="20"/>
                <w:szCs w:val="20"/>
              </w:rPr>
              <w:t>组群提</w:t>
            </w:r>
            <w:r>
              <w:rPr>
                <w:rFonts w:ascii="宋体" w:hAnsi="宋体" w:eastAsia="宋体" w:cs="宋体"/>
                <w:spacing w:val="11"/>
                <w:sz w:val="20"/>
                <w:szCs w:val="20"/>
              </w:rPr>
              <w:t>速</w:t>
            </w:r>
            <w:r>
              <w:rPr>
                <w:rFonts w:ascii="宋体" w:hAnsi="宋体" w:eastAsia="宋体" w:cs="宋体"/>
                <w:spacing w:val="9"/>
                <w:sz w:val="20"/>
                <w:szCs w:val="20"/>
              </w:rPr>
              <w:t>发展</w:t>
            </w:r>
            <w:r>
              <w:rPr>
                <w:rFonts w:ascii="Times New Roman" w:hAnsi="Times New Roman" w:eastAsia="Times New Roman" w:cs="Times New Roman"/>
                <w:spacing w:val="9"/>
                <w:sz w:val="20"/>
                <w:szCs w:val="20"/>
              </w:rPr>
              <w:t>”</w:t>
            </w:r>
            <w:r>
              <w:rPr>
                <w:rFonts w:ascii="宋体" w:hAnsi="宋体" w:eastAsia="宋体" w:cs="宋体"/>
                <w:spacing w:val="9"/>
                <w:sz w:val="20"/>
                <w:szCs w:val="20"/>
              </w:rPr>
              <w:t>的城市发展导向，形成布局合理、功能配套、环境优美、连接贯通的川渝</w:t>
            </w:r>
            <w:r>
              <w:rPr>
                <w:rFonts w:ascii="宋体" w:hAnsi="宋体" w:eastAsia="宋体" w:cs="宋体"/>
                <w:sz w:val="20"/>
                <w:szCs w:val="20"/>
              </w:rPr>
              <w:t xml:space="preserve"> </w:t>
            </w:r>
            <w:r>
              <w:rPr>
                <w:rFonts w:ascii="宋体" w:hAnsi="宋体" w:eastAsia="宋体" w:cs="宋体"/>
                <w:spacing w:val="7"/>
                <w:sz w:val="20"/>
                <w:szCs w:val="20"/>
              </w:rPr>
              <w:t>鄂陕结合部大城市。城市发展将以西城为城市中心，以南城和老城为城市副中心，沿州</w:t>
            </w:r>
            <w:r>
              <w:rPr>
                <w:rFonts w:ascii="宋体" w:hAnsi="宋体" w:eastAsia="宋体" w:cs="宋体"/>
                <w:spacing w:val="5"/>
                <w:sz w:val="20"/>
                <w:szCs w:val="20"/>
              </w:rPr>
              <w:t>河</w:t>
            </w:r>
            <w:r>
              <w:rPr>
                <w:rFonts w:ascii="宋体" w:hAnsi="宋体" w:eastAsia="宋体" w:cs="宋体"/>
                <w:sz w:val="20"/>
                <w:szCs w:val="20"/>
              </w:rPr>
              <w:t xml:space="preserve"> </w:t>
            </w:r>
            <w:r>
              <w:rPr>
                <w:rFonts w:ascii="宋体" w:hAnsi="宋体" w:eastAsia="宋体" w:cs="宋体"/>
                <w:spacing w:val="14"/>
                <w:sz w:val="20"/>
                <w:szCs w:val="20"/>
              </w:rPr>
              <w:t>发</w:t>
            </w:r>
            <w:r>
              <w:rPr>
                <w:rFonts w:ascii="宋体" w:hAnsi="宋体" w:eastAsia="宋体" w:cs="宋体"/>
                <w:spacing w:val="11"/>
                <w:sz w:val="20"/>
                <w:szCs w:val="20"/>
              </w:rPr>
              <w:t>展</w:t>
            </w:r>
            <w:r>
              <w:rPr>
                <w:rFonts w:ascii="宋体" w:hAnsi="宋体" w:eastAsia="宋体" w:cs="宋体"/>
                <w:spacing w:val="7"/>
                <w:sz w:val="20"/>
                <w:szCs w:val="20"/>
              </w:rPr>
              <w:t>轴展开，形成</w:t>
            </w:r>
            <w:r>
              <w:rPr>
                <w:rFonts w:ascii="Times New Roman" w:hAnsi="Times New Roman" w:eastAsia="Times New Roman" w:cs="Times New Roman"/>
                <w:spacing w:val="7"/>
                <w:sz w:val="20"/>
                <w:szCs w:val="20"/>
              </w:rPr>
              <w:t>“</w:t>
            </w:r>
            <w:r>
              <w:rPr>
                <w:rFonts w:ascii="宋体" w:hAnsi="宋体" w:eastAsia="宋体" w:cs="宋体"/>
                <w:spacing w:val="7"/>
                <w:sz w:val="20"/>
                <w:szCs w:val="20"/>
              </w:rPr>
              <w:t>一城五片</w:t>
            </w:r>
            <w:r>
              <w:rPr>
                <w:rFonts w:ascii="Times New Roman" w:hAnsi="Times New Roman" w:eastAsia="Times New Roman" w:cs="Times New Roman"/>
                <w:spacing w:val="7"/>
                <w:sz w:val="20"/>
                <w:szCs w:val="20"/>
              </w:rPr>
              <w:t>”</w:t>
            </w:r>
            <w:r>
              <w:rPr>
                <w:rFonts w:ascii="宋体" w:hAnsi="宋体" w:eastAsia="宋体" w:cs="宋体"/>
                <w:spacing w:val="7"/>
                <w:sz w:val="20"/>
                <w:szCs w:val="20"/>
              </w:rPr>
              <w:t>的功能分区。……。重点建设全市城市干道、区域干线及县</w:t>
            </w:r>
            <w:r>
              <w:rPr>
                <w:rFonts w:ascii="宋体" w:hAnsi="宋体" w:eastAsia="宋体" w:cs="宋体"/>
                <w:sz w:val="20"/>
                <w:szCs w:val="20"/>
              </w:rPr>
              <w:t xml:space="preserve"> </w:t>
            </w:r>
            <w:r>
              <w:rPr>
                <w:rFonts w:ascii="宋体" w:hAnsi="宋体" w:eastAsia="宋体" w:cs="宋体"/>
                <w:spacing w:val="14"/>
                <w:sz w:val="20"/>
                <w:szCs w:val="20"/>
              </w:rPr>
              <w:t>际公</w:t>
            </w:r>
            <w:r>
              <w:rPr>
                <w:rFonts w:ascii="宋体" w:hAnsi="宋体" w:eastAsia="宋体" w:cs="宋体"/>
                <w:spacing w:val="7"/>
                <w:sz w:val="20"/>
                <w:szCs w:val="20"/>
              </w:rPr>
              <w:t>路网络，形成</w:t>
            </w:r>
            <w:r>
              <w:rPr>
                <w:rFonts w:ascii="Times New Roman" w:hAnsi="Times New Roman" w:eastAsia="Times New Roman" w:cs="Times New Roman"/>
                <w:spacing w:val="7"/>
                <w:sz w:val="20"/>
                <w:szCs w:val="20"/>
              </w:rPr>
              <w:t>“</w:t>
            </w:r>
            <w:r>
              <w:rPr>
                <w:rFonts w:ascii="宋体" w:hAnsi="宋体" w:eastAsia="宋体" w:cs="宋体"/>
                <w:spacing w:val="7"/>
                <w:sz w:val="20"/>
                <w:szCs w:val="20"/>
              </w:rPr>
              <w:t>三纵四横两环</w:t>
            </w:r>
            <w:r>
              <w:rPr>
                <w:rFonts w:ascii="Times New Roman" w:hAnsi="Times New Roman" w:eastAsia="Times New Roman" w:cs="Times New Roman"/>
                <w:spacing w:val="7"/>
                <w:sz w:val="20"/>
                <w:szCs w:val="20"/>
              </w:rPr>
              <w:t>”</w:t>
            </w:r>
            <w:r>
              <w:rPr>
                <w:rFonts w:ascii="宋体" w:hAnsi="宋体" w:eastAsia="宋体" w:cs="宋体"/>
                <w:spacing w:val="7"/>
                <w:sz w:val="20"/>
                <w:szCs w:val="20"/>
              </w:rPr>
              <w:t>格局，加速建设达州城市环线是重中之重，将有效构建</w:t>
            </w:r>
            <w:r>
              <w:rPr>
                <w:rFonts w:ascii="宋体" w:hAnsi="宋体" w:eastAsia="宋体" w:cs="宋体"/>
                <w:sz w:val="20"/>
                <w:szCs w:val="20"/>
              </w:rPr>
              <w:t xml:space="preserve"> </w:t>
            </w:r>
            <w:r>
              <w:rPr>
                <w:rFonts w:ascii="宋体" w:hAnsi="宋体" w:eastAsia="宋体" w:cs="宋体"/>
                <w:spacing w:val="7"/>
                <w:sz w:val="20"/>
                <w:szCs w:val="20"/>
              </w:rPr>
              <w:t>达州作为大城市的基本骨架。大力改善道路交通、给水、供电、燃气和电信设施建设，</w:t>
            </w:r>
            <w:r>
              <w:rPr>
                <w:rFonts w:ascii="宋体" w:hAnsi="宋体" w:eastAsia="宋体" w:cs="宋体"/>
                <w:spacing w:val="5"/>
                <w:sz w:val="20"/>
                <w:szCs w:val="20"/>
              </w:rPr>
              <w:t>配</w:t>
            </w:r>
            <w:r>
              <w:rPr>
                <w:rFonts w:ascii="宋体" w:hAnsi="宋体" w:eastAsia="宋体" w:cs="宋体"/>
                <w:sz w:val="20"/>
                <w:szCs w:val="20"/>
              </w:rPr>
              <w:t xml:space="preserve"> </w:t>
            </w:r>
            <w:r>
              <w:rPr>
                <w:rFonts w:ascii="宋体" w:hAnsi="宋体" w:eastAsia="宋体" w:cs="宋体"/>
                <w:spacing w:val="6"/>
                <w:sz w:val="20"/>
                <w:szCs w:val="20"/>
              </w:rPr>
              <w:t>套必要的文化、</w:t>
            </w:r>
            <w:r>
              <w:rPr>
                <w:rFonts w:ascii="宋体" w:hAnsi="宋体" w:eastAsia="宋体" w:cs="宋体"/>
                <w:spacing w:val="4"/>
                <w:sz w:val="20"/>
                <w:szCs w:val="20"/>
              </w:rPr>
              <w:t>体</w:t>
            </w:r>
            <w:r>
              <w:rPr>
                <w:rFonts w:ascii="宋体" w:hAnsi="宋体" w:eastAsia="宋体" w:cs="宋体"/>
                <w:spacing w:val="3"/>
                <w:sz w:val="20"/>
                <w:szCs w:val="20"/>
              </w:rPr>
              <w:t>育等公共服务设施，充分挖掘利用文化资源、风景资源和各种环境资源，</w:t>
            </w:r>
            <w:r>
              <w:rPr>
                <w:rFonts w:ascii="宋体" w:hAnsi="宋体" w:eastAsia="宋体" w:cs="宋体"/>
                <w:sz w:val="20"/>
                <w:szCs w:val="20"/>
              </w:rPr>
              <w:t xml:space="preserve"> </w:t>
            </w:r>
            <w:r>
              <w:rPr>
                <w:rFonts w:ascii="宋体" w:hAnsi="宋体" w:eastAsia="宋体" w:cs="宋体"/>
                <w:spacing w:val="16"/>
                <w:sz w:val="20"/>
                <w:szCs w:val="20"/>
              </w:rPr>
              <w:t>高</w:t>
            </w:r>
            <w:r>
              <w:rPr>
                <w:rFonts w:ascii="宋体" w:hAnsi="宋体" w:eastAsia="宋体" w:cs="宋体"/>
                <w:spacing w:val="9"/>
                <w:sz w:val="20"/>
                <w:szCs w:val="20"/>
              </w:rPr>
              <w:t>标准、高起点建设文化山水城市，为建设现代化的大城市打下良好基础。</w:t>
            </w:r>
          </w:p>
          <w:p>
            <w:pPr>
              <w:spacing w:before="1" w:line="357" w:lineRule="auto"/>
              <w:ind w:left="58" w:right="6" w:firstLine="430"/>
              <w:rPr>
                <w:rFonts w:ascii="宋体" w:hAnsi="宋体" w:eastAsia="宋体" w:cs="宋体"/>
                <w:sz w:val="21"/>
                <w:szCs w:val="21"/>
              </w:rPr>
            </w:pPr>
            <w:r>
              <w:rPr>
                <w:rFonts w:ascii="宋体" w:hAnsi="宋体" w:eastAsia="宋体" w:cs="宋体"/>
                <w:spacing w:val="12"/>
                <w:sz w:val="20"/>
                <w:szCs w:val="20"/>
              </w:rPr>
              <w:t>根</w:t>
            </w:r>
            <w:r>
              <w:rPr>
                <w:rFonts w:ascii="宋体" w:hAnsi="宋体" w:eastAsia="宋体" w:cs="宋体"/>
                <w:spacing w:val="9"/>
                <w:sz w:val="20"/>
                <w:szCs w:val="20"/>
              </w:rPr>
              <w:t>据《达州市城市总体规划 (</w:t>
            </w:r>
            <w:r>
              <w:rPr>
                <w:rFonts w:ascii="Times New Roman" w:hAnsi="Times New Roman" w:eastAsia="Times New Roman" w:cs="Times New Roman"/>
                <w:spacing w:val="9"/>
                <w:sz w:val="20"/>
                <w:szCs w:val="20"/>
              </w:rPr>
              <w:t>2011-2030</w:t>
            </w:r>
            <w:r>
              <w:rPr>
                <w:rFonts w:ascii="宋体" w:hAnsi="宋体" w:eastAsia="宋体" w:cs="宋体"/>
                <w:spacing w:val="9"/>
                <w:sz w:val="20"/>
                <w:szCs w:val="20"/>
              </w:rPr>
              <w:t>) 》：城市道路系统规划中的道路网结构章</w:t>
            </w:r>
            <w:r>
              <w:rPr>
                <w:rFonts w:ascii="宋体" w:hAnsi="宋体" w:eastAsia="宋体" w:cs="宋体"/>
                <w:sz w:val="20"/>
                <w:szCs w:val="20"/>
              </w:rPr>
              <w:t xml:space="preserve"> </w:t>
            </w:r>
            <w:r>
              <w:rPr>
                <w:rFonts w:ascii="宋体" w:hAnsi="宋体" w:eastAsia="宋体" w:cs="宋体"/>
                <w:spacing w:val="-1"/>
                <w:sz w:val="20"/>
                <w:szCs w:val="20"/>
              </w:rPr>
              <w:t>节提出：</w:t>
            </w:r>
            <w:r>
              <w:rPr>
                <w:rFonts w:ascii="宋体" w:hAnsi="宋体" w:eastAsia="宋体" w:cs="宋体"/>
                <w:i/>
                <w:iCs/>
                <w:spacing w:val="-1"/>
                <w:sz w:val="21"/>
                <w:szCs w:val="21"/>
              </w:rPr>
              <w:t>规</w:t>
            </w:r>
            <w:r>
              <w:rPr>
                <w:rFonts w:ascii="宋体" w:hAnsi="宋体" w:eastAsia="宋体" w:cs="宋体"/>
                <w:i/>
                <w:iCs/>
                <w:sz w:val="21"/>
                <w:szCs w:val="21"/>
              </w:rPr>
              <w:t>划采用自由式与方格网相结合的布局结构形式组织城市道路系统，形成以“三</w:t>
            </w:r>
            <w:r>
              <w:rPr>
                <w:rFonts w:ascii="宋体" w:hAnsi="宋体" w:eastAsia="宋体" w:cs="宋体"/>
                <w:sz w:val="21"/>
                <w:szCs w:val="21"/>
              </w:rPr>
              <w:t xml:space="preserve"> </w:t>
            </w:r>
            <w:r>
              <w:rPr>
                <w:rFonts w:ascii="宋体" w:hAnsi="宋体" w:eastAsia="宋体" w:cs="宋体"/>
                <w:i/>
                <w:iCs/>
                <w:spacing w:val="2"/>
                <w:sz w:val="21"/>
                <w:szCs w:val="21"/>
              </w:rPr>
              <w:t>横五纵加一环”的城市快速路及片区联系性干</w:t>
            </w:r>
            <w:r>
              <w:rPr>
                <w:rFonts w:ascii="宋体" w:hAnsi="宋体" w:eastAsia="宋体" w:cs="宋体"/>
                <w:i/>
                <w:iCs/>
                <w:spacing w:val="1"/>
                <w:sz w:val="21"/>
                <w:szCs w:val="21"/>
              </w:rPr>
              <w:t>路为主框架的城市道路交通骨架系统。</w:t>
            </w:r>
          </w:p>
          <w:p>
            <w:pPr>
              <w:spacing w:before="2" w:line="351" w:lineRule="auto"/>
              <w:ind w:left="65" w:right="6" w:firstLine="414"/>
              <w:rPr>
                <w:rFonts w:ascii="宋体" w:hAnsi="宋体" w:eastAsia="宋体" w:cs="宋体"/>
                <w:sz w:val="21"/>
                <w:szCs w:val="21"/>
              </w:rPr>
            </w:pPr>
            <w:r>
              <w:rPr>
                <w:rFonts w:ascii="宋体" w:hAnsi="宋体" w:eastAsia="宋体" w:cs="宋体"/>
                <w:i/>
                <w:iCs/>
                <w:spacing w:val="-2"/>
                <w:sz w:val="21"/>
                <w:szCs w:val="21"/>
              </w:rPr>
              <w:t>着力构建“一纵四横</w:t>
            </w:r>
            <w:r>
              <w:rPr>
                <w:rFonts w:ascii="宋体" w:hAnsi="宋体" w:eastAsia="宋体" w:cs="宋体"/>
                <w:i/>
                <w:iCs/>
                <w:spacing w:val="-1"/>
                <w:sz w:val="21"/>
                <w:szCs w:val="21"/>
              </w:rPr>
              <w:t>”的高速公路主骨架，加速构建“五纵七横”次级干线公路，提</w:t>
            </w:r>
            <w:r>
              <w:rPr>
                <w:rFonts w:ascii="宋体" w:hAnsi="宋体" w:eastAsia="宋体" w:cs="宋体"/>
                <w:sz w:val="21"/>
                <w:szCs w:val="21"/>
              </w:rPr>
              <w:t xml:space="preserve"> </w:t>
            </w:r>
            <w:r>
              <w:rPr>
                <w:rFonts w:ascii="宋体" w:hAnsi="宋体" w:eastAsia="宋体" w:cs="宋体"/>
                <w:i/>
                <w:iCs/>
                <w:spacing w:val="-2"/>
                <w:sz w:val="21"/>
                <w:szCs w:val="21"/>
              </w:rPr>
              <w:t>高路网技术等级和服务水平。加强</w:t>
            </w:r>
            <w:r>
              <w:rPr>
                <w:rFonts w:ascii="宋体" w:hAnsi="宋体" w:eastAsia="宋体" w:cs="宋体"/>
                <w:i/>
                <w:iCs/>
                <w:spacing w:val="-1"/>
                <w:sz w:val="21"/>
                <w:szCs w:val="21"/>
              </w:rPr>
              <w:t>境内干线公路建设，大力实施县乡公路改造，提升县乡</w:t>
            </w:r>
            <w:r>
              <w:rPr>
                <w:rFonts w:ascii="宋体" w:hAnsi="宋体" w:eastAsia="宋体" w:cs="宋体"/>
                <w:sz w:val="21"/>
                <w:szCs w:val="21"/>
              </w:rPr>
              <w:t xml:space="preserve"> </w:t>
            </w:r>
            <w:r>
              <w:rPr>
                <w:rFonts w:ascii="宋体" w:hAnsi="宋体" w:eastAsia="宋体" w:cs="宋体"/>
                <w:i/>
                <w:iCs/>
                <w:spacing w:val="10"/>
                <w:sz w:val="21"/>
                <w:szCs w:val="21"/>
              </w:rPr>
              <w:t>公路等级。</w:t>
            </w:r>
          </w:p>
          <w:p>
            <w:pPr>
              <w:spacing w:line="227" w:lineRule="auto"/>
              <w:ind w:left="489"/>
              <w:rPr>
                <w:rFonts w:ascii="宋体" w:hAnsi="宋体" w:eastAsia="宋体" w:cs="宋体"/>
                <w:sz w:val="20"/>
                <w:szCs w:val="20"/>
              </w:rPr>
            </w:pPr>
            <w:r>
              <w:rPr>
                <w:rFonts w:ascii="宋体" w:hAnsi="宋体" w:eastAsia="宋体" w:cs="宋体"/>
                <w:spacing w:val="7"/>
                <w:sz w:val="20"/>
                <w:szCs w:val="20"/>
              </w:rPr>
              <w:t>根据《达州市高家坝城市组团控制性详细规划》拟在州河包茂高速下游新建一座桥</w:t>
            </w:r>
            <w:r>
              <w:rPr>
                <w:rFonts w:ascii="宋体" w:hAnsi="宋体" w:eastAsia="宋体" w:cs="宋体"/>
                <w:spacing w:val="3"/>
                <w:sz w:val="20"/>
                <w:szCs w:val="20"/>
              </w:rPr>
              <w:t>梁</w:t>
            </w:r>
          </w:p>
        </w:tc>
      </w:tr>
    </w:tbl>
    <w:p>
      <w:pPr>
        <w:spacing w:line="161" w:lineRule="exact"/>
        <w:rPr>
          <w:rFonts w:ascii="Arial"/>
          <w:sz w:val="14"/>
        </w:rPr>
      </w:pPr>
    </w:p>
    <w:p>
      <w:pPr>
        <w:sectPr>
          <w:footerReference r:id="rId21" w:type="default"/>
          <w:pgSz w:w="11906" w:h="16839"/>
          <w:pgMar w:top="400" w:right="1434" w:bottom="1475" w:left="1521" w:header="0" w:footer="1315" w:gutter="0"/>
          <w:cols w:space="720" w:num="1"/>
        </w:sectPr>
      </w:pPr>
    </w:p>
    <w:p/>
    <w:p/>
    <w:p/>
    <w:p/>
    <w:p>
      <w:pPr>
        <w:spacing w:line="221" w:lineRule="exact"/>
      </w:pPr>
    </w:p>
    <w:tbl>
      <w:tblPr>
        <w:tblStyle w:val="4"/>
        <w:tblW w:w="893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4"/>
        <w:gridCol w:w="82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86" w:hRule="atLeast"/>
        </w:trPr>
        <w:tc>
          <w:tcPr>
            <w:tcW w:w="714" w:type="dxa"/>
            <w:tcBorders>
              <w:left w:val="single" w:color="00000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5" w:line="228"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其</w:t>
            </w:r>
            <w:r>
              <w:rPr>
                <w:rFonts w:ascii="宋体" w:hAnsi="宋体" w:eastAsia="宋体" w:cs="宋体"/>
                <w:spacing w:val="7"/>
                <w:sz w:val="20"/>
                <w:szCs w:val="20"/>
                <w14:textOutline w14:w="3795" w14:cap="sq" w14:cmpd="sng">
                  <w14:solidFill>
                    <w14:srgbClr w14:val="000000"/>
                  </w14:solidFill>
                  <w14:prstDash w14:val="solid"/>
                  <w14:bevel/>
                </w14:textOutline>
              </w:rPr>
              <w:t>他符</w:t>
            </w:r>
          </w:p>
          <w:p>
            <w:pPr>
              <w:spacing w:before="164" w:line="228" w:lineRule="auto"/>
              <w:ind w:left="3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合</w:t>
            </w:r>
            <w:r>
              <w:rPr>
                <w:rFonts w:ascii="宋体" w:hAnsi="宋体" w:eastAsia="宋体" w:cs="宋体"/>
                <w:spacing w:val="7"/>
                <w:sz w:val="20"/>
                <w:szCs w:val="20"/>
                <w14:textOutline w14:w="3795" w14:cap="sq" w14:cmpd="sng">
                  <w14:solidFill>
                    <w14:srgbClr w14:val="000000"/>
                  </w14:solidFill>
                  <w14:prstDash w14:val="solid"/>
                  <w14:bevel/>
                </w14:textOutline>
              </w:rPr>
              <w:t>性分</w:t>
            </w:r>
          </w:p>
          <w:p>
            <w:pPr>
              <w:spacing w:before="160" w:line="228" w:lineRule="auto"/>
              <w:ind w:left="251"/>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析</w:t>
            </w:r>
          </w:p>
        </w:tc>
        <w:tc>
          <w:tcPr>
            <w:tcW w:w="8221" w:type="dxa"/>
            <w:tcBorders>
              <w:right w:val="single" w:color="000000" w:sz="6" w:space="0"/>
            </w:tcBorders>
            <w:vAlign w:val="top"/>
          </w:tcPr>
          <w:p>
            <w:pPr>
              <w:spacing w:before="171" w:line="369" w:lineRule="auto"/>
              <w:ind w:left="69" w:right="64"/>
              <w:rPr>
                <w:rFonts w:ascii="宋体" w:hAnsi="宋体" w:eastAsia="宋体" w:cs="宋体"/>
                <w:sz w:val="20"/>
                <w:szCs w:val="20"/>
              </w:rPr>
            </w:pPr>
            <w:r>
              <w:rPr>
                <w:rFonts w:ascii="宋体" w:hAnsi="宋体" w:eastAsia="宋体" w:cs="宋体"/>
                <w:spacing w:val="10"/>
                <w:sz w:val="20"/>
                <w:szCs w:val="20"/>
              </w:rPr>
              <w:t>连</w:t>
            </w:r>
            <w:r>
              <w:rPr>
                <w:rFonts w:ascii="宋体" w:hAnsi="宋体" w:eastAsia="宋体" w:cs="宋体"/>
                <w:spacing w:val="7"/>
                <w:sz w:val="20"/>
                <w:szCs w:val="20"/>
              </w:rPr>
              <w:t>接高家坝片区组团和张家坝片区组团。本项目桥梁正是连接高家坝片区和张家坝片区的</w:t>
            </w:r>
            <w:r>
              <w:rPr>
                <w:rFonts w:ascii="宋体" w:hAnsi="宋体" w:eastAsia="宋体" w:cs="宋体"/>
                <w:sz w:val="20"/>
                <w:szCs w:val="20"/>
              </w:rPr>
              <w:t xml:space="preserve"> </w:t>
            </w:r>
            <w:r>
              <w:rPr>
                <w:rFonts w:ascii="宋体" w:hAnsi="宋体" w:eastAsia="宋体" w:cs="宋体"/>
                <w:spacing w:val="10"/>
                <w:sz w:val="20"/>
                <w:szCs w:val="20"/>
              </w:rPr>
              <w:t>重</w:t>
            </w:r>
            <w:r>
              <w:rPr>
                <w:rFonts w:ascii="宋体" w:hAnsi="宋体" w:eastAsia="宋体" w:cs="宋体"/>
                <w:spacing w:val="7"/>
                <w:sz w:val="20"/>
                <w:szCs w:val="20"/>
              </w:rPr>
              <w:t>要通道，目前张家坝大桥目前是高家坝和张家坝区域唯一东西向通道，本项目建成后将</w:t>
            </w:r>
            <w:r>
              <w:rPr>
                <w:rFonts w:ascii="宋体" w:hAnsi="宋体" w:eastAsia="宋体" w:cs="宋体"/>
                <w:sz w:val="20"/>
                <w:szCs w:val="20"/>
              </w:rPr>
              <w:t xml:space="preserve"> </w:t>
            </w:r>
            <w:r>
              <w:rPr>
                <w:rFonts w:ascii="宋体" w:hAnsi="宋体" w:eastAsia="宋体" w:cs="宋体"/>
                <w:spacing w:val="24"/>
                <w:sz w:val="20"/>
                <w:szCs w:val="20"/>
              </w:rPr>
              <w:t>大</w:t>
            </w:r>
            <w:r>
              <w:rPr>
                <w:rFonts w:ascii="宋体" w:hAnsi="宋体" w:eastAsia="宋体" w:cs="宋体"/>
                <w:spacing w:val="18"/>
                <w:sz w:val="20"/>
                <w:szCs w:val="20"/>
              </w:rPr>
              <w:t>大</w:t>
            </w:r>
            <w:r>
              <w:rPr>
                <w:rFonts w:ascii="宋体" w:hAnsi="宋体" w:eastAsia="宋体" w:cs="宋体"/>
                <w:spacing w:val="12"/>
                <w:sz w:val="20"/>
                <w:szCs w:val="20"/>
              </w:rPr>
              <w:t>缓解张家坝大桥交通压力；进一步增强高家坝城市组团和张家坝城市组团的区域联</w:t>
            </w:r>
            <w:r>
              <w:rPr>
                <w:rFonts w:ascii="宋体" w:hAnsi="宋体" w:eastAsia="宋体" w:cs="宋体"/>
                <w:sz w:val="20"/>
                <w:szCs w:val="20"/>
              </w:rPr>
              <w:t xml:space="preserve"> </w:t>
            </w:r>
            <w:r>
              <w:rPr>
                <w:rFonts w:ascii="宋体" w:hAnsi="宋体" w:eastAsia="宋体" w:cs="宋体"/>
                <w:spacing w:val="10"/>
                <w:sz w:val="20"/>
                <w:szCs w:val="20"/>
              </w:rPr>
              <w:t>系</w:t>
            </w:r>
            <w:r>
              <w:rPr>
                <w:rFonts w:ascii="宋体" w:hAnsi="宋体" w:eastAsia="宋体" w:cs="宋体"/>
                <w:spacing w:val="7"/>
                <w:sz w:val="20"/>
                <w:szCs w:val="20"/>
              </w:rPr>
              <w:t>；完善城北片区区域路网、改善区域对外交通环境。本项目定位为城市次干道，为《达</w:t>
            </w:r>
            <w:r>
              <w:rPr>
                <w:rFonts w:ascii="宋体" w:hAnsi="宋体" w:eastAsia="宋体" w:cs="宋体"/>
                <w:sz w:val="20"/>
                <w:szCs w:val="20"/>
              </w:rPr>
              <w:t xml:space="preserve"> </w:t>
            </w:r>
            <w:r>
              <w:rPr>
                <w:rFonts w:ascii="宋体" w:hAnsi="宋体" w:eastAsia="宋体" w:cs="宋体"/>
                <w:spacing w:val="13"/>
                <w:sz w:val="20"/>
                <w:szCs w:val="20"/>
              </w:rPr>
              <w:t>州</w:t>
            </w:r>
            <w:r>
              <w:rPr>
                <w:rFonts w:ascii="宋体" w:hAnsi="宋体" w:eastAsia="宋体" w:cs="宋体"/>
                <w:spacing w:val="9"/>
                <w:sz w:val="20"/>
                <w:szCs w:val="20"/>
              </w:rPr>
              <w:t>市城市总体规划 (</w:t>
            </w:r>
            <w:r>
              <w:rPr>
                <w:rFonts w:ascii="Times New Roman" w:hAnsi="Times New Roman" w:eastAsia="Times New Roman" w:cs="Times New Roman"/>
                <w:spacing w:val="9"/>
                <w:sz w:val="20"/>
                <w:szCs w:val="20"/>
              </w:rPr>
              <w:t>2011-2030</w:t>
            </w:r>
            <w:r>
              <w:rPr>
                <w:rFonts w:ascii="宋体" w:hAnsi="宋体" w:eastAsia="宋体" w:cs="宋体"/>
                <w:spacing w:val="9"/>
                <w:sz w:val="20"/>
                <w:szCs w:val="20"/>
              </w:rPr>
              <w:t>) 》中的重点建设内容，属于《达州市高家坝城市组团控</w:t>
            </w:r>
          </w:p>
          <w:p>
            <w:pPr>
              <w:spacing w:line="228" w:lineRule="auto"/>
              <w:ind w:left="69"/>
              <w:rPr>
                <w:rFonts w:ascii="宋体" w:hAnsi="宋体" w:eastAsia="宋体" w:cs="宋体"/>
                <w:sz w:val="20"/>
                <w:szCs w:val="20"/>
              </w:rPr>
            </w:pPr>
            <w:r>
              <w:rPr>
                <w:rFonts w:ascii="宋体" w:hAnsi="宋体" w:eastAsia="宋体" w:cs="宋体"/>
                <w:spacing w:val="11"/>
                <w:sz w:val="20"/>
                <w:szCs w:val="20"/>
              </w:rPr>
              <w:t>制</w:t>
            </w:r>
            <w:r>
              <w:rPr>
                <w:rFonts w:ascii="宋体" w:hAnsi="宋体" w:eastAsia="宋体" w:cs="宋体"/>
                <w:spacing w:val="8"/>
                <w:sz w:val="20"/>
                <w:szCs w:val="20"/>
              </w:rPr>
              <w:t>性详细规划》中的桥梁。</w:t>
            </w:r>
          </w:p>
          <w:p>
            <w:pPr>
              <w:spacing w:before="12" w:line="10008" w:lineRule="exact"/>
              <w:ind w:firstLine="562"/>
              <w:textAlignment w:val="center"/>
            </w:pPr>
            <w:r>
              <w:pict>
                <v:group id="_x0000_s1046" o:spid="_x0000_s1046" o:spt="203" style="height:500.45pt;width:353.05pt;" coordsize="7060,10009">
                  <o:lock v:ext="edit"/>
                  <v:shape id="_x0000_s1047" o:spid="_x0000_s1047" o:spt="75" type="#_x0000_t75" style="position:absolute;left:0;top:0;height:10009;width:7060;" filled="f" stroked="f" coordsize="21600,21600">
                    <v:path/>
                    <v:fill on="f" focussize="0,0"/>
                    <v:stroke on="f"/>
                    <v:imagedata r:id="rId161" o:title=""/>
                    <o:lock v:ext="edit" aspectratio="t"/>
                  </v:shape>
                  <v:shape id="_x0000_s1048" o:spid="_x0000_s1048" o:spt="75" type="#_x0000_t75" style="position:absolute;left:3493;top:7104;height:1578;width:1403;" filled="f" stroked="f" coordsize="21600,21600">
                    <v:path/>
                    <v:fill on="f" focussize="0,0"/>
                    <v:stroke on="f"/>
                    <v:imagedata r:id="rId162" o:title=""/>
                    <o:lock v:ext="edit" aspectratio="t"/>
                  </v:shape>
                  <v:shape id="_x0000_s1049" o:spid="_x0000_s1049" o:spt="202" type="#_x0000_t202" style="position:absolute;left:3929;top:7203;height:287;width:871;" filled="f" stroked="f" coordsize="21600,21600">
                    <v:path/>
                    <v:fill on="f" focussize="0,0"/>
                    <v:stroke on="f"/>
                    <v:imagedata o:title=""/>
                    <o:lock v:ext="edit" aspectratio="f"/>
                    <v:textbox inset="0mm,0mm,0mm,0mm">
                      <w:txbxContent>
                        <w:p>
                          <w:pPr>
                            <w:spacing w:before="19" w:line="228" w:lineRule="auto"/>
                            <w:ind w:left="20"/>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项</w:t>
                          </w:r>
                          <w:r>
                            <w:rPr>
                              <w:rFonts w:ascii="宋体" w:hAnsi="宋体" w:eastAsia="宋体" w:cs="宋体"/>
                              <w:spacing w:val="7"/>
                              <w:sz w:val="20"/>
                              <w:szCs w:val="20"/>
                              <w14:textOutline w14:w="3795" w14:cap="sq" w14:cmpd="sng">
                                <w14:solidFill>
                                  <w14:srgbClr w14:val="000000"/>
                                </w14:solidFill>
                                <w14:prstDash w14:val="solid"/>
                                <w14:bevel/>
                              </w14:textOutline>
                            </w:rPr>
                            <w:t>目桥梁</w:t>
                          </w:r>
                        </w:p>
                      </w:txbxContent>
                    </v:textbox>
                  </v:shape>
                  <w10:wrap type="none"/>
                  <w10:anchorlock/>
                </v:group>
              </w:pict>
            </w:r>
          </w:p>
          <w:p>
            <w:pPr>
              <w:spacing w:before="43" w:line="231" w:lineRule="auto"/>
              <w:ind w:left="2372"/>
              <w:rPr>
                <w:rFonts w:ascii="黑体" w:hAnsi="黑体" w:eastAsia="黑体" w:cs="黑体"/>
                <w:sz w:val="19"/>
                <w:szCs w:val="19"/>
              </w:rPr>
            </w:pPr>
            <w:r>
              <w:rPr>
                <w:rFonts w:ascii="黑体" w:hAnsi="黑体" w:eastAsia="黑体" w:cs="黑体"/>
                <w:spacing w:val="16"/>
                <w:sz w:val="19"/>
                <w:szCs w:val="19"/>
              </w:rPr>
              <w:t>图</w:t>
            </w:r>
            <w:r>
              <w:rPr>
                <w:rFonts w:ascii="Times New Roman" w:hAnsi="Times New Roman" w:eastAsia="Times New Roman" w:cs="Times New Roman"/>
                <w:spacing w:val="12"/>
                <w:sz w:val="19"/>
                <w:szCs w:val="19"/>
              </w:rPr>
              <w:t>4</w:t>
            </w:r>
            <w:r>
              <w:rPr>
                <w:rFonts w:ascii="黑体" w:hAnsi="黑体" w:eastAsia="黑体" w:cs="黑体"/>
                <w:spacing w:val="8"/>
                <w:sz w:val="19"/>
                <w:szCs w:val="19"/>
              </w:rPr>
              <w:t>：项目与区域道路工程规划图的关系</w:t>
            </w:r>
          </w:p>
          <w:p>
            <w:pPr>
              <w:spacing w:before="130" w:line="231" w:lineRule="auto"/>
              <w:ind w:left="505"/>
              <w:rPr>
                <w:rFonts w:ascii="宋体" w:hAnsi="宋体" w:eastAsia="宋体" w:cs="宋体"/>
                <w:sz w:val="20"/>
                <w:szCs w:val="20"/>
              </w:rPr>
            </w:pPr>
            <w:r>
              <w:rPr>
                <w:rFonts w:ascii="宋体" w:hAnsi="宋体" w:eastAsia="宋体" w:cs="宋体"/>
                <w:spacing w:val="16"/>
                <w:sz w:val="20"/>
                <w:szCs w:val="20"/>
              </w:rPr>
              <w:t>因此，</w:t>
            </w:r>
            <w:r>
              <w:rPr>
                <w:rFonts w:ascii="宋体" w:hAnsi="宋体" w:eastAsia="宋体" w:cs="宋体"/>
                <w:spacing w:val="14"/>
                <w:sz w:val="20"/>
                <w:szCs w:val="20"/>
              </w:rPr>
              <w:t>项</w:t>
            </w:r>
            <w:r>
              <w:rPr>
                <w:rFonts w:ascii="宋体" w:hAnsi="宋体" w:eastAsia="宋体" w:cs="宋体"/>
                <w:spacing w:val="8"/>
                <w:sz w:val="20"/>
                <w:szCs w:val="20"/>
              </w:rPr>
              <w:t>目符合《达州市城市总体规划 (</w:t>
            </w:r>
            <w:r>
              <w:rPr>
                <w:rFonts w:ascii="Times New Roman" w:hAnsi="Times New Roman" w:eastAsia="Times New Roman" w:cs="Times New Roman"/>
                <w:spacing w:val="8"/>
                <w:sz w:val="20"/>
                <w:szCs w:val="20"/>
              </w:rPr>
              <w:t>2011-2030</w:t>
            </w:r>
            <w:r>
              <w:rPr>
                <w:rFonts w:ascii="宋体" w:hAnsi="宋体" w:eastAsia="宋体" w:cs="宋体"/>
                <w:spacing w:val="8"/>
                <w:sz w:val="20"/>
                <w:szCs w:val="20"/>
              </w:rPr>
              <w:t>) 》《达州市高家坝城市组团控</w:t>
            </w:r>
          </w:p>
          <w:p>
            <w:pPr>
              <w:spacing w:before="151" w:line="228" w:lineRule="auto"/>
              <w:ind w:left="69"/>
              <w:rPr>
                <w:rFonts w:ascii="宋体" w:hAnsi="宋体" w:eastAsia="宋体" w:cs="宋体"/>
                <w:sz w:val="20"/>
                <w:szCs w:val="20"/>
              </w:rPr>
            </w:pPr>
            <w:r>
              <w:rPr>
                <w:rFonts w:ascii="宋体" w:hAnsi="宋体" w:eastAsia="宋体" w:cs="宋体"/>
                <w:spacing w:val="6"/>
                <w:sz w:val="20"/>
                <w:szCs w:val="20"/>
              </w:rPr>
              <w:t>制性详细规划》。</w:t>
            </w:r>
          </w:p>
        </w:tc>
      </w:tr>
    </w:tbl>
    <w:p>
      <w:pPr>
        <w:spacing w:line="179" w:lineRule="exact"/>
        <w:rPr>
          <w:rFonts w:ascii="Arial"/>
          <w:sz w:val="15"/>
        </w:rPr>
      </w:pPr>
    </w:p>
    <w:p>
      <w:pPr>
        <w:sectPr>
          <w:footerReference r:id="rId22" w:type="default"/>
          <w:pgSz w:w="11906" w:h="16839"/>
          <w:pgMar w:top="400" w:right="1434" w:bottom="1475" w:left="1521" w:header="0" w:footer="1315" w:gutter="0"/>
          <w:cols w:space="720" w:num="1"/>
        </w:sect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95" w:line="391" w:lineRule="exact"/>
        <w:ind w:left="3582"/>
        <w:outlineLvl w:val="0"/>
        <w:rPr>
          <w:rFonts w:ascii="黑体" w:hAnsi="黑体" w:eastAsia="黑体" w:cs="黑体"/>
          <w:sz w:val="29"/>
          <w:szCs w:val="29"/>
        </w:rPr>
      </w:pPr>
      <w:bookmarkStart w:id="1" w:name="_bookmark2"/>
      <w:bookmarkEnd w:id="1"/>
      <w:r>
        <w:rPr>
          <w:rFonts w:ascii="黑体" w:hAnsi="黑体" w:eastAsia="黑体" w:cs="黑体"/>
          <w:spacing w:val="8"/>
          <w:position w:val="2"/>
          <w:sz w:val="29"/>
          <w:szCs w:val="29"/>
        </w:rPr>
        <w:t>二</w:t>
      </w:r>
      <w:r>
        <w:rPr>
          <w:rFonts w:ascii="黑体" w:hAnsi="黑体" w:eastAsia="黑体" w:cs="黑体"/>
          <w:spacing w:val="7"/>
          <w:position w:val="2"/>
          <w:sz w:val="29"/>
          <w:szCs w:val="29"/>
        </w:rPr>
        <w:t>、建设内容</w:t>
      </w:r>
    </w:p>
    <w:p>
      <w:pPr>
        <w:spacing w:line="232"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8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9" w:hRule="atLeast"/>
        </w:trPr>
        <w:tc>
          <w:tcPr>
            <w:tcW w:w="600" w:type="dxa"/>
            <w:tcBorders>
              <w:left w:val="single" w:color="000000" w:sz="6" w:space="0"/>
            </w:tcBorders>
            <w:vAlign w:val="top"/>
          </w:tcPr>
          <w:p>
            <w:pPr>
              <w:spacing w:line="351" w:lineRule="auto"/>
              <w:rPr>
                <w:rFonts w:ascii="Arial"/>
                <w:sz w:val="21"/>
              </w:rPr>
            </w:pPr>
          </w:p>
          <w:p>
            <w:pPr>
              <w:spacing w:line="352" w:lineRule="auto"/>
              <w:rPr>
                <w:rFonts w:ascii="Arial"/>
                <w:sz w:val="21"/>
              </w:rPr>
            </w:pPr>
          </w:p>
          <w:p>
            <w:pPr>
              <w:spacing w:before="65" w:line="266" w:lineRule="auto"/>
              <w:ind w:left="88" w:right="89"/>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地理</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位置</w:t>
            </w:r>
          </w:p>
        </w:tc>
        <w:tc>
          <w:tcPr>
            <w:tcW w:w="8317" w:type="dxa"/>
            <w:tcBorders>
              <w:right w:val="single" w:color="000000" w:sz="6" w:space="0"/>
            </w:tcBorders>
            <w:vAlign w:val="top"/>
          </w:tcPr>
          <w:p>
            <w:pPr>
              <w:spacing w:before="156" w:line="369" w:lineRule="auto"/>
              <w:ind w:left="54" w:firstLine="423"/>
              <w:rPr>
                <w:rFonts w:ascii="宋体" w:hAnsi="宋体" w:eastAsia="宋体" w:cs="宋体"/>
                <w:sz w:val="20"/>
                <w:szCs w:val="20"/>
              </w:rPr>
            </w:pPr>
            <w:r>
              <w:rPr>
                <w:rFonts w:ascii="宋体" w:hAnsi="宋体" w:eastAsia="宋体" w:cs="宋体"/>
                <w:spacing w:val="18"/>
                <w:sz w:val="20"/>
                <w:szCs w:val="20"/>
              </w:rPr>
              <w:t>项目</w:t>
            </w:r>
            <w:r>
              <w:rPr>
                <w:rFonts w:ascii="宋体" w:hAnsi="宋体" w:eastAsia="宋体" w:cs="宋体"/>
                <w:spacing w:val="16"/>
                <w:sz w:val="20"/>
                <w:szCs w:val="20"/>
              </w:rPr>
              <w:t>为</w:t>
            </w:r>
            <w:r>
              <w:rPr>
                <w:rFonts w:ascii="宋体" w:hAnsi="宋体" w:eastAsia="宋体" w:cs="宋体"/>
                <w:spacing w:val="9"/>
                <w:sz w:val="20"/>
                <w:szCs w:val="20"/>
              </w:rPr>
              <w:t>新建城市桥梁工程，位于四川省达州市通川区北城滨江片区高家坝社区和张家</w:t>
            </w:r>
            <w:r>
              <w:rPr>
                <w:rFonts w:ascii="宋体" w:hAnsi="宋体" w:eastAsia="宋体" w:cs="宋体"/>
                <w:sz w:val="20"/>
                <w:szCs w:val="20"/>
              </w:rPr>
              <w:t xml:space="preserve"> </w:t>
            </w:r>
            <w:r>
              <w:rPr>
                <w:rFonts w:ascii="宋体" w:hAnsi="宋体" w:eastAsia="宋体" w:cs="宋体"/>
                <w:spacing w:val="1"/>
                <w:sz w:val="20"/>
                <w:szCs w:val="20"/>
              </w:rPr>
              <w:t>坝社区，呈东西走向跨越州河。桥梁西端起点坐标：</w:t>
            </w:r>
            <w:r>
              <w:rPr>
                <w:rFonts w:ascii="Times New Roman" w:hAnsi="Times New Roman" w:eastAsia="Times New Roman" w:cs="Times New Roman"/>
                <w:spacing w:val="1"/>
                <w:sz w:val="20"/>
                <w:szCs w:val="20"/>
              </w:rPr>
              <w:t>107</w:t>
            </w:r>
            <w:r>
              <w:rPr>
                <w:rFonts w:ascii="宋体" w:hAnsi="宋体" w:eastAsia="宋体" w:cs="宋体"/>
                <w:spacing w:val="1"/>
                <w:sz w:val="20"/>
                <w:szCs w:val="20"/>
              </w:rPr>
              <w:t>°</w:t>
            </w:r>
            <w:r>
              <w:rPr>
                <w:rFonts w:ascii="Times New Roman" w:hAnsi="Times New Roman" w:eastAsia="Times New Roman" w:cs="Times New Roman"/>
                <w:spacing w:val="1"/>
                <w:sz w:val="20"/>
                <w:szCs w:val="20"/>
              </w:rPr>
              <w:t>31</w:t>
            </w:r>
            <w:r>
              <w:rPr>
                <w:rFonts w:ascii="宋体" w:hAnsi="宋体" w:eastAsia="宋体" w:cs="宋体"/>
                <w:spacing w:val="1"/>
                <w:sz w:val="20"/>
                <w:szCs w:val="20"/>
              </w:rPr>
              <w:t>′</w:t>
            </w:r>
            <w:r>
              <w:rPr>
                <w:rFonts w:ascii="Times New Roman" w:hAnsi="Times New Roman" w:eastAsia="Times New Roman" w:cs="Times New Roman"/>
                <w:spacing w:val="1"/>
                <w:sz w:val="20"/>
                <w:szCs w:val="20"/>
              </w:rPr>
              <w:t>18.544</w:t>
            </w:r>
            <w:r>
              <w:rPr>
                <w:rFonts w:ascii="宋体" w:hAnsi="宋体" w:eastAsia="宋体" w:cs="宋体"/>
                <w:spacing w:val="1"/>
                <w:sz w:val="20"/>
                <w:szCs w:val="20"/>
              </w:rPr>
              <w:t>″，</w:t>
            </w:r>
            <w:r>
              <w:rPr>
                <w:rFonts w:ascii="Times New Roman" w:hAnsi="Times New Roman" w:eastAsia="Times New Roman" w:cs="Times New Roman"/>
                <w:spacing w:val="1"/>
                <w:sz w:val="20"/>
                <w:szCs w:val="20"/>
              </w:rPr>
              <w:t>31</w:t>
            </w:r>
            <w:r>
              <w:rPr>
                <w:rFonts w:ascii="宋体" w:hAnsi="宋体" w:eastAsia="宋体" w:cs="宋体"/>
                <w:spacing w:val="1"/>
                <w:sz w:val="20"/>
                <w:szCs w:val="20"/>
              </w:rPr>
              <w:t>°</w:t>
            </w:r>
            <w:r>
              <w:rPr>
                <w:rFonts w:ascii="Times New Roman" w:hAnsi="Times New Roman" w:eastAsia="Times New Roman" w:cs="Times New Roman"/>
                <w:spacing w:val="1"/>
                <w:sz w:val="20"/>
                <w:szCs w:val="20"/>
              </w:rPr>
              <w:t>15</w:t>
            </w:r>
            <w:r>
              <w:rPr>
                <w:rFonts w:ascii="宋体" w:hAnsi="宋体" w:eastAsia="宋体" w:cs="宋体"/>
                <w:spacing w:val="1"/>
                <w:sz w:val="20"/>
                <w:szCs w:val="20"/>
              </w:rPr>
              <w:t>′</w:t>
            </w:r>
            <w:r>
              <w:rPr>
                <w:rFonts w:ascii="Times New Roman" w:hAnsi="Times New Roman" w:eastAsia="Times New Roman" w:cs="Times New Roman"/>
                <w:spacing w:val="1"/>
                <w:sz w:val="20"/>
                <w:szCs w:val="20"/>
              </w:rPr>
              <w:t>16.341</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6"/>
                <w:sz w:val="20"/>
                <w:szCs w:val="20"/>
              </w:rPr>
              <w:t>东端终点坐标：</w:t>
            </w:r>
            <w:r>
              <w:rPr>
                <w:rFonts w:ascii="Times New Roman" w:hAnsi="Times New Roman" w:eastAsia="Times New Roman" w:cs="Times New Roman"/>
                <w:spacing w:val="6"/>
                <w:sz w:val="20"/>
                <w:szCs w:val="20"/>
              </w:rPr>
              <w:t>107</w:t>
            </w:r>
            <w:r>
              <w:rPr>
                <w:rFonts w:ascii="宋体" w:hAnsi="宋体" w:eastAsia="宋体" w:cs="宋体"/>
                <w:spacing w:val="4"/>
                <w:sz w:val="20"/>
                <w:szCs w:val="20"/>
              </w:rPr>
              <w:t>°</w:t>
            </w:r>
            <w:r>
              <w:rPr>
                <w:rFonts w:ascii="Times New Roman" w:hAnsi="Times New Roman" w:eastAsia="Times New Roman" w:cs="Times New Roman"/>
                <w:spacing w:val="3"/>
                <w:sz w:val="20"/>
                <w:szCs w:val="20"/>
              </w:rPr>
              <w:t>31</w:t>
            </w:r>
            <w:r>
              <w:rPr>
                <w:rFonts w:ascii="宋体" w:hAnsi="宋体" w:eastAsia="宋体" w:cs="宋体"/>
                <w:spacing w:val="3"/>
                <w:sz w:val="20"/>
                <w:szCs w:val="20"/>
              </w:rPr>
              <w:t>′</w:t>
            </w:r>
            <w:r>
              <w:rPr>
                <w:rFonts w:ascii="Times New Roman" w:hAnsi="Times New Roman" w:eastAsia="Times New Roman" w:cs="Times New Roman"/>
                <w:spacing w:val="3"/>
                <w:sz w:val="20"/>
                <w:szCs w:val="20"/>
              </w:rPr>
              <w:t>23.821</w:t>
            </w:r>
            <w:r>
              <w:rPr>
                <w:rFonts w:ascii="宋体" w:hAnsi="宋体" w:eastAsia="宋体" w:cs="宋体"/>
                <w:spacing w:val="3"/>
                <w:sz w:val="20"/>
                <w:szCs w:val="20"/>
              </w:rPr>
              <w:t>″ ，</w:t>
            </w:r>
            <w:r>
              <w:rPr>
                <w:rFonts w:ascii="Times New Roman" w:hAnsi="Times New Roman" w:eastAsia="Times New Roman" w:cs="Times New Roman"/>
                <w:spacing w:val="3"/>
                <w:sz w:val="20"/>
                <w:szCs w:val="20"/>
              </w:rPr>
              <w:t>31</w:t>
            </w:r>
            <w:r>
              <w:rPr>
                <w:rFonts w:ascii="宋体" w:hAnsi="宋体" w:eastAsia="宋体" w:cs="宋体"/>
                <w:spacing w:val="3"/>
                <w:sz w:val="20"/>
                <w:szCs w:val="20"/>
              </w:rPr>
              <w:t>°</w:t>
            </w:r>
            <w:r>
              <w:rPr>
                <w:rFonts w:ascii="Times New Roman" w:hAnsi="Times New Roman" w:eastAsia="Times New Roman" w:cs="Times New Roman"/>
                <w:spacing w:val="3"/>
                <w:sz w:val="20"/>
                <w:szCs w:val="20"/>
              </w:rPr>
              <w:t>15</w:t>
            </w:r>
            <w:r>
              <w:rPr>
                <w:rFonts w:ascii="宋体" w:hAnsi="宋体" w:eastAsia="宋体" w:cs="宋体"/>
                <w:spacing w:val="3"/>
                <w:sz w:val="20"/>
                <w:szCs w:val="20"/>
              </w:rPr>
              <w:t>′</w:t>
            </w:r>
            <w:r>
              <w:rPr>
                <w:rFonts w:ascii="Times New Roman" w:hAnsi="Times New Roman" w:eastAsia="Times New Roman" w:cs="Times New Roman"/>
                <w:spacing w:val="3"/>
                <w:sz w:val="20"/>
                <w:szCs w:val="20"/>
              </w:rPr>
              <w:t>9.851</w:t>
            </w:r>
            <w:r>
              <w:rPr>
                <w:rFonts w:ascii="宋体" w:hAnsi="宋体" w:eastAsia="宋体" w:cs="宋体"/>
                <w:spacing w:val="3"/>
                <w:sz w:val="20"/>
                <w:szCs w:val="20"/>
              </w:rPr>
              <w:t>″。州河属长江支流的嘉陵江水系，发</w:t>
            </w:r>
            <w:r>
              <w:rPr>
                <w:rFonts w:ascii="宋体" w:hAnsi="宋体" w:eastAsia="宋体" w:cs="宋体"/>
                <w:sz w:val="20"/>
                <w:szCs w:val="20"/>
              </w:rPr>
              <w:t xml:space="preserve"> </w:t>
            </w:r>
            <w:r>
              <w:rPr>
                <w:rFonts w:ascii="宋体" w:hAnsi="宋体" w:eastAsia="宋体" w:cs="宋体"/>
                <w:spacing w:val="10"/>
                <w:sz w:val="20"/>
                <w:szCs w:val="20"/>
              </w:rPr>
              <w:t>源于大巴山，由北而南呈树枝状分布，前河、中河、后河汇成州河。州河与巴河在渠县</w:t>
            </w:r>
            <w:r>
              <w:rPr>
                <w:rFonts w:ascii="宋体" w:hAnsi="宋体" w:eastAsia="宋体" w:cs="宋体"/>
                <w:spacing w:val="4"/>
                <w:sz w:val="20"/>
                <w:szCs w:val="20"/>
              </w:rPr>
              <w:t>三</w:t>
            </w:r>
          </w:p>
          <w:p>
            <w:pPr>
              <w:spacing w:line="227" w:lineRule="auto"/>
              <w:ind w:left="54"/>
              <w:rPr>
                <w:rFonts w:ascii="宋体" w:hAnsi="宋体" w:eastAsia="宋体" w:cs="宋体"/>
                <w:sz w:val="20"/>
                <w:szCs w:val="20"/>
              </w:rPr>
            </w:pPr>
            <w:r>
              <w:rPr>
                <w:rFonts w:ascii="宋体" w:hAnsi="宋体" w:eastAsia="宋体" w:cs="宋体"/>
                <w:spacing w:val="16"/>
                <w:sz w:val="20"/>
                <w:szCs w:val="20"/>
              </w:rPr>
              <w:t>汇</w:t>
            </w:r>
            <w:r>
              <w:rPr>
                <w:rFonts w:ascii="宋体" w:hAnsi="宋体" w:eastAsia="宋体" w:cs="宋体"/>
                <w:spacing w:val="11"/>
                <w:sz w:val="20"/>
                <w:szCs w:val="20"/>
              </w:rPr>
              <w:t>镇</w:t>
            </w:r>
            <w:r>
              <w:rPr>
                <w:rFonts w:ascii="宋体" w:hAnsi="宋体" w:eastAsia="宋体" w:cs="宋体"/>
                <w:spacing w:val="8"/>
                <w:sz w:val="20"/>
                <w:szCs w:val="20"/>
              </w:rPr>
              <w:t>汇合成渠江，渠江在合川境内汇入嘉陵江。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13" w:hRule="atLeast"/>
        </w:trPr>
        <w:tc>
          <w:tcPr>
            <w:tcW w:w="600" w:type="dxa"/>
            <w:tcBorders>
              <w:left w:val="single" w:color="000000" w:sz="6"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5" w:line="228" w:lineRule="auto"/>
              <w:ind w:left="91"/>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p>
            <w:pPr>
              <w:spacing w:before="23" w:line="229" w:lineRule="auto"/>
              <w:ind w:left="9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组</w:t>
            </w:r>
            <w:r>
              <w:rPr>
                <w:rFonts w:ascii="宋体" w:hAnsi="宋体" w:eastAsia="宋体" w:cs="宋体"/>
                <w:spacing w:val="4"/>
                <w:sz w:val="20"/>
                <w:szCs w:val="20"/>
                <w14:textOutline w14:w="3795" w14:cap="sq" w14:cmpd="sng">
                  <w14:solidFill>
                    <w14:srgbClr w14:val="000000"/>
                  </w14:solidFill>
                  <w14:prstDash w14:val="solid"/>
                  <w14:bevel/>
                </w14:textOutline>
              </w:rPr>
              <w:t>成</w:t>
            </w:r>
          </w:p>
          <w:p>
            <w:pPr>
              <w:spacing w:before="25" w:line="230" w:lineRule="auto"/>
              <w:ind w:left="8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及规</w:t>
            </w:r>
          </w:p>
          <w:p>
            <w:pPr>
              <w:spacing w:before="21" w:line="228" w:lineRule="auto"/>
              <w:ind w:left="190"/>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模</w:t>
            </w:r>
          </w:p>
        </w:tc>
        <w:tc>
          <w:tcPr>
            <w:tcW w:w="8317" w:type="dxa"/>
            <w:tcBorders>
              <w:right w:val="single" w:color="000000" w:sz="6" w:space="0"/>
            </w:tcBorders>
            <w:vAlign w:val="top"/>
          </w:tcPr>
          <w:p>
            <w:pPr>
              <w:spacing w:before="141" w:line="242" w:lineRule="auto"/>
              <w:ind w:left="124"/>
              <w:rPr>
                <w:rFonts w:ascii="黑体" w:hAnsi="黑体" w:eastAsia="黑体" w:cs="黑体"/>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3"/>
                <w:sz w:val="20"/>
                <w:szCs w:val="20"/>
              </w:rPr>
              <w:t xml:space="preserve"> </w:t>
            </w:r>
            <w:r>
              <w:rPr>
                <w:rFonts w:ascii="黑体" w:hAnsi="黑体" w:eastAsia="黑体" w:cs="黑体"/>
                <w:spacing w:val="-3"/>
                <w:sz w:val="20"/>
                <w:szCs w:val="20"/>
              </w:rPr>
              <w:t>、项目由来</w:t>
            </w:r>
          </w:p>
          <w:p>
            <w:pPr>
              <w:spacing w:before="138" w:line="369" w:lineRule="auto"/>
              <w:ind w:left="106" w:right="102" w:firstLine="420"/>
              <w:rPr>
                <w:rFonts w:ascii="宋体" w:hAnsi="宋体" w:eastAsia="宋体" w:cs="宋体"/>
                <w:sz w:val="20"/>
                <w:szCs w:val="20"/>
              </w:rPr>
            </w:pPr>
            <w:r>
              <w:rPr>
                <w:rFonts w:ascii="宋体" w:hAnsi="宋体" w:eastAsia="宋体" w:cs="宋体"/>
                <w:spacing w:val="10"/>
                <w:sz w:val="20"/>
                <w:szCs w:val="20"/>
              </w:rPr>
              <w:t>根据《达州</w:t>
            </w:r>
            <w:r>
              <w:rPr>
                <w:rFonts w:ascii="宋体" w:hAnsi="宋体" w:eastAsia="宋体" w:cs="宋体"/>
                <w:spacing w:val="5"/>
                <w:sz w:val="20"/>
                <w:szCs w:val="20"/>
              </w:rPr>
              <w:t>市城市总体规划 (</w:t>
            </w:r>
            <w:r>
              <w:rPr>
                <w:rFonts w:ascii="Times New Roman" w:hAnsi="Times New Roman" w:eastAsia="Times New Roman" w:cs="Times New Roman"/>
                <w:spacing w:val="5"/>
                <w:sz w:val="20"/>
                <w:szCs w:val="20"/>
              </w:rPr>
              <w:t>2011-2030</w:t>
            </w:r>
            <w:r>
              <w:rPr>
                <w:rFonts w:ascii="宋体" w:hAnsi="宋体" w:eastAsia="宋体" w:cs="宋体"/>
                <w:spacing w:val="5"/>
                <w:sz w:val="20"/>
                <w:szCs w:val="20"/>
              </w:rPr>
              <w:t xml:space="preserve">) 》总体规划，中心城区到 </w:t>
            </w:r>
            <w:r>
              <w:rPr>
                <w:rFonts w:ascii="Times New Roman" w:hAnsi="Times New Roman" w:eastAsia="Times New Roman" w:cs="Times New Roman"/>
                <w:spacing w:val="5"/>
                <w:sz w:val="20"/>
                <w:szCs w:val="20"/>
              </w:rPr>
              <w:t xml:space="preserve">2030 </w:t>
            </w:r>
            <w:r>
              <w:rPr>
                <w:rFonts w:ascii="宋体" w:hAnsi="宋体" w:eastAsia="宋体" w:cs="宋体"/>
                <w:spacing w:val="5"/>
                <w:sz w:val="20"/>
                <w:szCs w:val="20"/>
              </w:rPr>
              <w:t>年中心城区</w:t>
            </w:r>
            <w:r>
              <w:rPr>
                <w:rFonts w:ascii="宋体" w:hAnsi="宋体" w:eastAsia="宋体" w:cs="宋体"/>
                <w:sz w:val="20"/>
                <w:szCs w:val="20"/>
              </w:rPr>
              <w:t xml:space="preserve"> </w:t>
            </w:r>
            <w:r>
              <w:rPr>
                <w:rFonts w:ascii="宋体" w:hAnsi="宋体" w:eastAsia="宋体" w:cs="宋体"/>
                <w:spacing w:val="16"/>
                <w:sz w:val="20"/>
                <w:szCs w:val="20"/>
              </w:rPr>
              <w:t>面</w:t>
            </w:r>
            <w:r>
              <w:rPr>
                <w:rFonts w:ascii="宋体" w:hAnsi="宋体" w:eastAsia="宋体" w:cs="宋体"/>
                <w:spacing w:val="11"/>
                <w:sz w:val="20"/>
                <w:szCs w:val="20"/>
              </w:rPr>
              <w:t>积</w:t>
            </w:r>
            <w:r>
              <w:rPr>
                <w:rFonts w:ascii="宋体" w:hAnsi="宋体" w:eastAsia="宋体" w:cs="宋体"/>
                <w:spacing w:val="8"/>
                <w:sz w:val="20"/>
                <w:szCs w:val="20"/>
              </w:rPr>
              <w:t xml:space="preserve">将达到 </w:t>
            </w:r>
            <w:r>
              <w:rPr>
                <w:rFonts w:ascii="Times New Roman" w:hAnsi="Times New Roman" w:eastAsia="Times New Roman" w:cs="Times New Roman"/>
                <w:spacing w:val="8"/>
                <w:sz w:val="20"/>
                <w:szCs w:val="20"/>
              </w:rPr>
              <w:t xml:space="preserve">1189 </w:t>
            </w:r>
            <w:r>
              <w:rPr>
                <w:rFonts w:ascii="宋体" w:hAnsi="宋体" w:eastAsia="宋体" w:cs="宋体"/>
                <w:spacing w:val="8"/>
                <w:sz w:val="20"/>
                <w:szCs w:val="20"/>
              </w:rPr>
              <w:t>平方公里。经过近年来的发展，达州市产业稳步发展，人居环境不断提</w:t>
            </w:r>
            <w:r>
              <w:rPr>
                <w:rFonts w:ascii="宋体" w:hAnsi="宋体" w:eastAsia="宋体" w:cs="宋体"/>
                <w:sz w:val="20"/>
                <w:szCs w:val="20"/>
              </w:rPr>
              <w:t xml:space="preserve"> </w:t>
            </w:r>
            <w:r>
              <w:rPr>
                <w:rFonts w:ascii="宋体" w:hAnsi="宋体" w:eastAsia="宋体" w:cs="宋体"/>
                <w:spacing w:val="14"/>
                <w:sz w:val="20"/>
                <w:szCs w:val="20"/>
              </w:rPr>
              <w:t>升；市</w:t>
            </w:r>
            <w:r>
              <w:rPr>
                <w:rFonts w:ascii="宋体" w:hAnsi="宋体" w:eastAsia="宋体" w:cs="宋体"/>
                <w:spacing w:val="10"/>
                <w:sz w:val="20"/>
                <w:szCs w:val="20"/>
              </w:rPr>
              <w:t>域</w:t>
            </w:r>
            <w:r>
              <w:rPr>
                <w:rFonts w:ascii="宋体" w:hAnsi="宋体" w:eastAsia="宋体" w:cs="宋体"/>
                <w:spacing w:val="7"/>
                <w:sz w:val="20"/>
                <w:szCs w:val="20"/>
              </w:rPr>
              <w:t>空间格局初步形成，中心城区发展框架基本形成，总体按照“南延西扩东跨，适</w:t>
            </w:r>
            <w:r>
              <w:rPr>
                <w:rFonts w:ascii="宋体" w:hAnsi="宋体" w:eastAsia="宋体" w:cs="宋体"/>
                <w:sz w:val="20"/>
                <w:szCs w:val="20"/>
              </w:rPr>
              <w:t xml:space="preserve"> </w:t>
            </w:r>
            <w:r>
              <w:rPr>
                <w:rFonts w:ascii="宋体" w:hAnsi="宋体" w:eastAsia="宋体" w:cs="宋体"/>
                <w:spacing w:val="14"/>
                <w:sz w:val="20"/>
                <w:szCs w:val="20"/>
              </w:rPr>
              <w:t>度向北</w:t>
            </w:r>
            <w:r>
              <w:rPr>
                <w:rFonts w:ascii="宋体" w:hAnsi="宋体" w:eastAsia="宋体" w:cs="宋体"/>
                <w:spacing w:val="10"/>
                <w:sz w:val="20"/>
                <w:szCs w:val="20"/>
              </w:rPr>
              <w:t>发</w:t>
            </w:r>
            <w:r>
              <w:rPr>
                <w:rFonts w:ascii="宋体" w:hAnsi="宋体" w:eastAsia="宋体" w:cs="宋体"/>
                <w:spacing w:val="7"/>
                <w:sz w:val="20"/>
                <w:szCs w:val="20"/>
              </w:rPr>
              <w:t>展”逐步有序发展；“一心六片”的多组团空间结构格局基本形成；建设用地稳</w:t>
            </w:r>
            <w:r>
              <w:rPr>
                <w:rFonts w:ascii="宋体" w:hAnsi="宋体" w:eastAsia="宋体" w:cs="宋体"/>
                <w:sz w:val="20"/>
                <w:szCs w:val="20"/>
              </w:rPr>
              <w:t xml:space="preserve"> </w:t>
            </w:r>
            <w:r>
              <w:rPr>
                <w:rFonts w:ascii="宋体" w:hAnsi="宋体" w:eastAsia="宋体" w:cs="宋体"/>
                <w:spacing w:val="14"/>
                <w:sz w:val="20"/>
                <w:szCs w:val="20"/>
              </w:rPr>
              <w:t>步增长</w:t>
            </w:r>
            <w:r>
              <w:rPr>
                <w:rFonts w:ascii="宋体" w:hAnsi="宋体" w:eastAsia="宋体" w:cs="宋体"/>
                <w:spacing w:val="10"/>
                <w:sz w:val="20"/>
                <w:szCs w:val="20"/>
              </w:rPr>
              <w:t>，</w:t>
            </w:r>
            <w:r>
              <w:rPr>
                <w:rFonts w:ascii="宋体" w:hAnsi="宋体" w:eastAsia="宋体" w:cs="宋体"/>
                <w:spacing w:val="7"/>
                <w:sz w:val="20"/>
                <w:szCs w:val="20"/>
              </w:rPr>
              <w:t>用地拓展比例符合规划预期。中心城区形成自由式与方格网结合的、主次支层级</w:t>
            </w:r>
            <w:r>
              <w:rPr>
                <w:rFonts w:ascii="宋体" w:hAnsi="宋体" w:eastAsia="宋体" w:cs="宋体"/>
                <w:sz w:val="20"/>
                <w:szCs w:val="20"/>
              </w:rPr>
              <w:t xml:space="preserve"> </w:t>
            </w:r>
            <w:r>
              <w:rPr>
                <w:rFonts w:ascii="宋体" w:hAnsi="宋体" w:eastAsia="宋体" w:cs="宋体"/>
                <w:spacing w:val="14"/>
                <w:sz w:val="20"/>
                <w:szCs w:val="20"/>
              </w:rPr>
              <w:t>分明的</w:t>
            </w:r>
            <w:r>
              <w:rPr>
                <w:rFonts w:ascii="宋体" w:hAnsi="宋体" w:eastAsia="宋体" w:cs="宋体"/>
                <w:spacing w:val="8"/>
                <w:sz w:val="20"/>
                <w:szCs w:val="20"/>
              </w:rPr>
              <w:t>道</w:t>
            </w:r>
            <w:r>
              <w:rPr>
                <w:rFonts w:ascii="宋体" w:hAnsi="宋体" w:eastAsia="宋体" w:cs="宋体"/>
                <w:spacing w:val="7"/>
                <w:sz w:val="20"/>
                <w:szCs w:val="20"/>
              </w:rPr>
              <w:t>路网络，以“三横三纵”主干路为框架的道路骨架系统也初步形成。根据“老城</w:t>
            </w:r>
            <w:r>
              <w:rPr>
                <w:rFonts w:ascii="宋体" w:hAnsi="宋体" w:eastAsia="宋体" w:cs="宋体"/>
                <w:sz w:val="20"/>
                <w:szCs w:val="20"/>
              </w:rPr>
              <w:t xml:space="preserve"> </w:t>
            </w:r>
            <w:r>
              <w:rPr>
                <w:rFonts w:ascii="宋体" w:hAnsi="宋体" w:eastAsia="宋体" w:cs="宋体"/>
                <w:spacing w:val="14"/>
                <w:sz w:val="20"/>
                <w:szCs w:val="20"/>
              </w:rPr>
              <w:t>重在疏</w:t>
            </w:r>
            <w:r>
              <w:rPr>
                <w:rFonts w:ascii="宋体" w:hAnsi="宋体" w:eastAsia="宋体" w:cs="宋体"/>
                <w:spacing w:val="10"/>
                <w:sz w:val="20"/>
                <w:szCs w:val="20"/>
              </w:rPr>
              <w:t>解</w:t>
            </w:r>
            <w:r>
              <w:rPr>
                <w:rFonts w:ascii="宋体" w:hAnsi="宋体" w:eastAsia="宋体" w:cs="宋体"/>
                <w:spacing w:val="7"/>
                <w:sz w:val="20"/>
                <w:szCs w:val="20"/>
              </w:rPr>
              <w:t>整容，西外、南外、北外三大板块加快建设拓展，罗江、复兴、河市、蒲家、双</w:t>
            </w:r>
            <w:r>
              <w:rPr>
                <w:rFonts w:ascii="宋体" w:hAnsi="宋体" w:eastAsia="宋体" w:cs="宋体"/>
                <w:sz w:val="20"/>
                <w:szCs w:val="20"/>
              </w:rPr>
              <w:t xml:space="preserve"> </w:t>
            </w:r>
            <w:r>
              <w:rPr>
                <w:rFonts w:ascii="宋体" w:hAnsi="宋体" w:eastAsia="宋体" w:cs="宋体"/>
                <w:spacing w:val="14"/>
                <w:sz w:val="20"/>
                <w:szCs w:val="20"/>
              </w:rPr>
              <w:t>龙等城</w:t>
            </w:r>
            <w:r>
              <w:rPr>
                <w:rFonts w:ascii="宋体" w:hAnsi="宋体" w:eastAsia="宋体" w:cs="宋体"/>
                <w:spacing w:val="10"/>
                <w:sz w:val="20"/>
                <w:szCs w:val="20"/>
              </w:rPr>
              <w:t>市</w:t>
            </w:r>
            <w:r>
              <w:rPr>
                <w:rFonts w:ascii="宋体" w:hAnsi="宋体" w:eastAsia="宋体" w:cs="宋体"/>
                <w:spacing w:val="7"/>
                <w:sz w:val="20"/>
                <w:szCs w:val="20"/>
              </w:rPr>
              <w:t>组群提速发展”的城市发展导向，形成布局合理、功能配套、环境优美、连接贯</w:t>
            </w:r>
            <w:r>
              <w:rPr>
                <w:rFonts w:ascii="宋体" w:hAnsi="宋体" w:eastAsia="宋体" w:cs="宋体"/>
                <w:sz w:val="20"/>
                <w:szCs w:val="20"/>
              </w:rPr>
              <w:t xml:space="preserve"> </w:t>
            </w:r>
            <w:r>
              <w:rPr>
                <w:rFonts w:ascii="宋体" w:hAnsi="宋体" w:eastAsia="宋体" w:cs="宋体"/>
                <w:spacing w:val="14"/>
                <w:sz w:val="20"/>
                <w:szCs w:val="20"/>
              </w:rPr>
              <w:t>通</w:t>
            </w:r>
            <w:r>
              <w:rPr>
                <w:rFonts w:ascii="宋体" w:hAnsi="宋体" w:eastAsia="宋体" w:cs="宋体"/>
                <w:spacing w:val="8"/>
                <w:sz w:val="20"/>
                <w:szCs w:val="20"/>
              </w:rPr>
              <w:t>的川渝鄂陕结合部大城市。</w:t>
            </w:r>
          </w:p>
          <w:p>
            <w:pPr>
              <w:spacing w:before="2" w:line="369" w:lineRule="auto"/>
              <w:ind w:left="106" w:right="102" w:firstLine="420"/>
              <w:rPr>
                <w:rFonts w:ascii="宋体" w:hAnsi="宋体" w:eastAsia="宋体" w:cs="宋体"/>
                <w:sz w:val="20"/>
                <w:szCs w:val="20"/>
              </w:rPr>
            </w:pPr>
            <w:r>
              <w:rPr>
                <w:rFonts w:ascii="宋体" w:hAnsi="宋体" w:eastAsia="宋体" w:cs="宋体"/>
                <w:spacing w:val="29"/>
                <w:sz w:val="20"/>
                <w:szCs w:val="20"/>
              </w:rPr>
              <w:t>达</w:t>
            </w:r>
            <w:r>
              <w:rPr>
                <w:rFonts w:ascii="宋体" w:hAnsi="宋体" w:eastAsia="宋体" w:cs="宋体"/>
                <w:spacing w:val="19"/>
                <w:sz w:val="20"/>
                <w:szCs w:val="20"/>
              </w:rPr>
              <w:t>州市通川区高家坝城市组团位于达州老城以北的凤凰山脚下，规划用地总面积</w:t>
            </w:r>
            <w:r>
              <w:rPr>
                <w:rFonts w:ascii="宋体" w:hAnsi="宋体" w:eastAsia="宋体" w:cs="宋体"/>
                <w:sz w:val="20"/>
                <w:szCs w:val="20"/>
              </w:rPr>
              <w:t xml:space="preserve"> </w:t>
            </w:r>
            <w:r>
              <w:rPr>
                <w:rFonts w:ascii="Times New Roman" w:hAnsi="Times New Roman" w:eastAsia="Times New Roman" w:cs="Times New Roman"/>
                <w:spacing w:val="10"/>
                <w:sz w:val="20"/>
                <w:szCs w:val="20"/>
              </w:rPr>
              <w:t>7</w:t>
            </w:r>
            <w:r>
              <w:rPr>
                <w:rFonts w:ascii="Times New Roman" w:hAnsi="Times New Roman" w:eastAsia="Times New Roman" w:cs="Times New Roman"/>
                <w:spacing w:val="9"/>
                <w:sz w:val="20"/>
                <w:szCs w:val="20"/>
              </w:rPr>
              <w:t xml:space="preserve">8.45 </w:t>
            </w:r>
            <w:r>
              <w:rPr>
                <w:rFonts w:ascii="宋体" w:hAnsi="宋体" w:eastAsia="宋体" w:cs="宋体"/>
                <w:spacing w:val="9"/>
                <w:sz w:val="20"/>
                <w:szCs w:val="20"/>
              </w:rPr>
              <w:t>公顷。该区域交通条件优越，</w:t>
            </w:r>
            <w:r>
              <w:rPr>
                <w:rFonts w:ascii="Times New Roman" w:hAnsi="Times New Roman" w:eastAsia="Times New Roman" w:cs="Times New Roman"/>
                <w:sz w:val="20"/>
                <w:szCs w:val="20"/>
              </w:rPr>
              <w:t>G</w:t>
            </w:r>
            <w:r>
              <w:rPr>
                <w:rFonts w:ascii="Times New Roman" w:hAnsi="Times New Roman" w:eastAsia="Times New Roman" w:cs="Times New Roman"/>
                <w:spacing w:val="9"/>
                <w:sz w:val="20"/>
                <w:szCs w:val="20"/>
              </w:rPr>
              <w:t xml:space="preserve">65 </w:t>
            </w:r>
            <w:r>
              <w:rPr>
                <w:rFonts w:ascii="宋体" w:hAnsi="宋体" w:eastAsia="宋体" w:cs="宋体"/>
                <w:spacing w:val="9"/>
                <w:sz w:val="20"/>
                <w:szCs w:val="20"/>
              </w:rPr>
              <w:t xml:space="preserve">包茂高速和原国道 </w:t>
            </w:r>
            <w:r>
              <w:rPr>
                <w:rFonts w:ascii="Times New Roman" w:hAnsi="Times New Roman" w:eastAsia="Times New Roman" w:cs="Times New Roman"/>
                <w:sz w:val="20"/>
                <w:szCs w:val="20"/>
              </w:rPr>
              <w:t>G</w:t>
            </w:r>
            <w:r>
              <w:rPr>
                <w:rFonts w:ascii="Times New Roman" w:hAnsi="Times New Roman" w:eastAsia="Times New Roman" w:cs="Times New Roman"/>
                <w:spacing w:val="9"/>
                <w:sz w:val="20"/>
                <w:szCs w:val="20"/>
              </w:rPr>
              <w:t xml:space="preserve">210 </w:t>
            </w:r>
            <w:r>
              <w:rPr>
                <w:rFonts w:ascii="宋体" w:hAnsi="宋体" w:eastAsia="宋体" w:cs="宋体"/>
                <w:spacing w:val="9"/>
                <w:sz w:val="20"/>
                <w:szCs w:val="20"/>
              </w:rPr>
              <w:t>穿境而过，是达州城市</w:t>
            </w:r>
            <w:r>
              <w:rPr>
                <w:rFonts w:ascii="宋体" w:hAnsi="宋体" w:eastAsia="宋体" w:cs="宋体"/>
                <w:sz w:val="20"/>
                <w:szCs w:val="20"/>
              </w:rPr>
              <w:t xml:space="preserve"> </w:t>
            </w:r>
            <w:r>
              <w:rPr>
                <w:rFonts w:ascii="宋体" w:hAnsi="宋体" w:eastAsia="宋体" w:cs="宋体"/>
                <w:spacing w:val="14"/>
                <w:sz w:val="20"/>
                <w:szCs w:val="20"/>
              </w:rPr>
              <w:t>北</w:t>
            </w:r>
            <w:r>
              <w:rPr>
                <w:rFonts w:ascii="宋体" w:hAnsi="宋体" w:eastAsia="宋体" w:cs="宋体"/>
                <w:spacing w:val="8"/>
                <w:sz w:val="20"/>
                <w:szCs w:val="20"/>
              </w:rPr>
              <w:t>部</w:t>
            </w:r>
            <w:r>
              <w:rPr>
                <w:rFonts w:ascii="宋体" w:hAnsi="宋体" w:eastAsia="宋体" w:cs="宋体"/>
                <w:spacing w:val="7"/>
                <w:sz w:val="20"/>
                <w:szCs w:val="20"/>
              </w:rPr>
              <w:t>的门户，是承南启北联系老城和罗江新区、联东通西紧邻双鱼湖 (凤凰山) 和韩家坝</w:t>
            </w:r>
            <w:r>
              <w:rPr>
                <w:rFonts w:ascii="宋体" w:hAnsi="宋体" w:eastAsia="宋体" w:cs="宋体"/>
                <w:sz w:val="20"/>
                <w:szCs w:val="20"/>
              </w:rPr>
              <w:t xml:space="preserve"> </w:t>
            </w:r>
            <w:r>
              <w:rPr>
                <w:rFonts w:ascii="宋体" w:hAnsi="宋体" w:eastAsia="宋体" w:cs="宋体"/>
                <w:spacing w:val="14"/>
                <w:sz w:val="20"/>
                <w:szCs w:val="20"/>
              </w:rPr>
              <w:t>城</w:t>
            </w:r>
            <w:r>
              <w:rPr>
                <w:rFonts w:ascii="宋体" w:hAnsi="宋体" w:eastAsia="宋体" w:cs="宋体"/>
                <w:spacing w:val="8"/>
                <w:sz w:val="20"/>
                <w:szCs w:val="20"/>
              </w:rPr>
              <w:t>市</w:t>
            </w:r>
            <w:r>
              <w:rPr>
                <w:rFonts w:ascii="宋体" w:hAnsi="宋体" w:eastAsia="宋体" w:cs="宋体"/>
                <w:spacing w:val="7"/>
                <w:sz w:val="20"/>
                <w:szCs w:val="20"/>
              </w:rPr>
              <w:t>组团 (犀牛山) 的区域交通节点。高家坝城市区域组团和张家坝城市区域组团位于州</w:t>
            </w:r>
            <w:r>
              <w:rPr>
                <w:rFonts w:ascii="宋体" w:hAnsi="宋体" w:eastAsia="宋体" w:cs="宋体"/>
                <w:sz w:val="20"/>
                <w:szCs w:val="20"/>
              </w:rPr>
              <w:t xml:space="preserve"> </w:t>
            </w:r>
            <w:r>
              <w:rPr>
                <w:rFonts w:ascii="宋体" w:hAnsi="宋体" w:eastAsia="宋体" w:cs="宋体"/>
                <w:spacing w:val="6"/>
                <w:sz w:val="20"/>
                <w:szCs w:val="20"/>
              </w:rPr>
              <w:t xml:space="preserve">河两侧，是通川区城北片区的 </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个重要组成部分。目前，片区东西向通道目前仅有张家</w:t>
            </w:r>
            <w:r>
              <w:rPr>
                <w:rFonts w:ascii="宋体" w:hAnsi="宋体" w:eastAsia="宋体" w:cs="宋体"/>
                <w:spacing w:val="5"/>
                <w:sz w:val="20"/>
                <w:szCs w:val="20"/>
              </w:rPr>
              <w:t>坝</w:t>
            </w:r>
            <w:r>
              <w:rPr>
                <w:rFonts w:ascii="宋体" w:hAnsi="宋体" w:eastAsia="宋体" w:cs="宋体"/>
                <w:sz w:val="20"/>
                <w:szCs w:val="20"/>
              </w:rPr>
              <w:t xml:space="preserve"> </w:t>
            </w:r>
            <w:r>
              <w:rPr>
                <w:rFonts w:ascii="宋体" w:hAnsi="宋体" w:eastAsia="宋体" w:cs="宋体"/>
                <w:spacing w:val="7"/>
                <w:sz w:val="20"/>
                <w:szCs w:val="20"/>
              </w:rPr>
              <w:t>大桥 (主要联系老城和张家坝组团) 和徐家坝大桥 (联系徐家坝和韩家坝组团) ，张家</w:t>
            </w:r>
            <w:r>
              <w:rPr>
                <w:rFonts w:ascii="宋体" w:hAnsi="宋体" w:eastAsia="宋体" w:cs="宋体"/>
                <w:spacing w:val="3"/>
                <w:sz w:val="20"/>
                <w:szCs w:val="20"/>
              </w:rPr>
              <w:t>坝</w:t>
            </w:r>
            <w:r>
              <w:rPr>
                <w:rFonts w:ascii="宋体" w:hAnsi="宋体" w:eastAsia="宋体" w:cs="宋体"/>
                <w:sz w:val="20"/>
                <w:szCs w:val="20"/>
              </w:rPr>
              <w:t xml:space="preserve"> </w:t>
            </w:r>
            <w:r>
              <w:rPr>
                <w:rFonts w:ascii="宋体" w:hAnsi="宋体" w:eastAsia="宋体" w:cs="宋体"/>
                <w:spacing w:val="14"/>
                <w:sz w:val="20"/>
                <w:szCs w:val="20"/>
              </w:rPr>
              <w:t>和高家</w:t>
            </w:r>
            <w:r>
              <w:rPr>
                <w:rFonts w:ascii="宋体" w:hAnsi="宋体" w:eastAsia="宋体" w:cs="宋体"/>
                <w:spacing w:val="10"/>
                <w:sz w:val="20"/>
                <w:szCs w:val="20"/>
              </w:rPr>
              <w:t>坝</w:t>
            </w:r>
            <w:r>
              <w:rPr>
                <w:rFonts w:ascii="宋体" w:hAnsi="宋体" w:eastAsia="宋体" w:cs="宋体"/>
                <w:spacing w:val="7"/>
                <w:sz w:val="20"/>
                <w:szCs w:val="20"/>
              </w:rPr>
              <w:t>片区东西向区域联系较弱，也依靠区域唯一东西向通道张家坝大桥连通。张家坝</w:t>
            </w:r>
            <w:r>
              <w:rPr>
                <w:rFonts w:ascii="宋体" w:hAnsi="宋体" w:eastAsia="宋体" w:cs="宋体"/>
                <w:sz w:val="20"/>
                <w:szCs w:val="20"/>
              </w:rPr>
              <w:t xml:space="preserve"> </w:t>
            </w:r>
            <w:r>
              <w:rPr>
                <w:rFonts w:ascii="宋体" w:hAnsi="宋体" w:eastAsia="宋体" w:cs="宋体"/>
                <w:spacing w:val="11"/>
                <w:sz w:val="20"/>
                <w:szCs w:val="20"/>
              </w:rPr>
              <w:t xml:space="preserve">大桥在高家坝侧为 </w:t>
            </w:r>
            <w:r>
              <w:rPr>
                <w:rFonts w:ascii="Times New Roman" w:hAnsi="Times New Roman" w:eastAsia="Times New Roman" w:cs="Times New Roman"/>
                <w:sz w:val="20"/>
                <w:szCs w:val="20"/>
              </w:rPr>
              <w:t>T</w:t>
            </w:r>
            <w:r>
              <w:rPr>
                <w:rFonts w:ascii="Times New Roman" w:hAnsi="Times New Roman" w:eastAsia="Times New Roman" w:cs="Times New Roman"/>
                <w:spacing w:val="11"/>
                <w:sz w:val="20"/>
                <w:szCs w:val="20"/>
              </w:rPr>
              <w:t xml:space="preserve"> </w:t>
            </w:r>
            <w:r>
              <w:rPr>
                <w:rFonts w:ascii="宋体" w:hAnsi="宋体" w:eastAsia="宋体" w:cs="宋体"/>
                <w:spacing w:val="11"/>
                <w:sz w:val="20"/>
                <w:szCs w:val="20"/>
              </w:rPr>
              <w:t>形平交路口，通行高峰期，桥梁通行压力较大，越来越不能满足</w:t>
            </w:r>
            <w:r>
              <w:rPr>
                <w:rFonts w:ascii="宋体" w:hAnsi="宋体" w:eastAsia="宋体" w:cs="宋体"/>
                <w:spacing w:val="7"/>
                <w:sz w:val="20"/>
                <w:szCs w:val="20"/>
              </w:rPr>
              <w:t>区</w:t>
            </w:r>
            <w:r>
              <w:rPr>
                <w:rFonts w:ascii="宋体" w:hAnsi="宋体" w:eastAsia="宋体" w:cs="宋体"/>
                <w:sz w:val="20"/>
                <w:szCs w:val="20"/>
              </w:rPr>
              <w:t xml:space="preserve"> </w:t>
            </w:r>
            <w:r>
              <w:rPr>
                <w:rFonts w:ascii="宋体" w:hAnsi="宋体" w:eastAsia="宋体" w:cs="宋体"/>
                <w:spacing w:val="12"/>
                <w:sz w:val="20"/>
                <w:szCs w:val="20"/>
              </w:rPr>
              <w:t>域</w:t>
            </w:r>
            <w:r>
              <w:rPr>
                <w:rFonts w:ascii="宋体" w:hAnsi="宋体" w:eastAsia="宋体" w:cs="宋体"/>
                <w:spacing w:val="7"/>
                <w:sz w:val="20"/>
                <w:szCs w:val="20"/>
              </w:rPr>
              <w:t>间的通行要求。</w:t>
            </w:r>
          </w:p>
          <w:p>
            <w:pPr>
              <w:spacing w:line="227" w:lineRule="auto"/>
              <w:ind w:left="530"/>
              <w:rPr>
                <w:rFonts w:ascii="宋体" w:hAnsi="宋体" w:eastAsia="宋体" w:cs="宋体"/>
                <w:sz w:val="20"/>
                <w:szCs w:val="20"/>
              </w:rPr>
            </w:pPr>
            <w:r>
              <w:rPr>
                <w:rFonts w:ascii="宋体" w:hAnsi="宋体" w:eastAsia="宋体" w:cs="宋体"/>
                <w:spacing w:val="14"/>
                <w:sz w:val="20"/>
                <w:szCs w:val="20"/>
              </w:rPr>
              <w:t>为减</w:t>
            </w:r>
            <w:r>
              <w:rPr>
                <w:rFonts w:ascii="宋体" w:hAnsi="宋体" w:eastAsia="宋体" w:cs="宋体"/>
                <w:spacing w:val="8"/>
                <w:sz w:val="20"/>
                <w:szCs w:val="20"/>
              </w:rPr>
              <w:t>轻</w:t>
            </w:r>
            <w:r>
              <w:rPr>
                <w:rFonts w:ascii="宋体" w:hAnsi="宋体" w:eastAsia="宋体" w:cs="宋体"/>
                <w:spacing w:val="7"/>
                <w:sz w:val="20"/>
                <w:szCs w:val="20"/>
              </w:rPr>
              <w:t>城市交通压力，使城市交通更畅通有序，适应城市发展需要，加快城市建设步</w:t>
            </w:r>
          </w:p>
          <w:p>
            <w:pPr>
              <w:spacing w:before="155" w:line="369" w:lineRule="auto"/>
              <w:ind w:left="106" w:right="102" w:hanging="1"/>
              <w:rPr>
                <w:rFonts w:ascii="宋体" w:hAnsi="宋体" w:eastAsia="宋体" w:cs="宋体"/>
                <w:sz w:val="20"/>
                <w:szCs w:val="20"/>
              </w:rPr>
            </w:pPr>
            <w:r>
              <w:rPr>
                <w:rFonts w:ascii="宋体" w:hAnsi="宋体" w:eastAsia="宋体" w:cs="宋体"/>
                <w:spacing w:val="14"/>
                <w:sz w:val="20"/>
                <w:szCs w:val="20"/>
              </w:rPr>
              <w:t>伐，促</w:t>
            </w:r>
            <w:r>
              <w:rPr>
                <w:rFonts w:ascii="宋体" w:hAnsi="宋体" w:eastAsia="宋体" w:cs="宋体"/>
                <w:spacing w:val="12"/>
                <w:sz w:val="20"/>
                <w:szCs w:val="20"/>
              </w:rPr>
              <w:t>进</w:t>
            </w:r>
            <w:r>
              <w:rPr>
                <w:rFonts w:ascii="宋体" w:hAnsi="宋体" w:eastAsia="宋体" w:cs="宋体"/>
                <w:spacing w:val="7"/>
                <w:sz w:val="20"/>
                <w:szCs w:val="20"/>
              </w:rPr>
              <w:t>地区经济发展、构建和谐美好的社会环境，当地政府提前谋划，在《达州市高家</w:t>
            </w:r>
            <w:r>
              <w:rPr>
                <w:rFonts w:ascii="宋体" w:hAnsi="宋体" w:eastAsia="宋体" w:cs="宋体"/>
                <w:sz w:val="20"/>
                <w:szCs w:val="20"/>
              </w:rPr>
              <w:t xml:space="preserve"> </w:t>
            </w:r>
            <w:r>
              <w:rPr>
                <w:rFonts w:ascii="宋体" w:hAnsi="宋体" w:eastAsia="宋体" w:cs="宋体"/>
                <w:spacing w:val="14"/>
                <w:sz w:val="20"/>
                <w:szCs w:val="20"/>
              </w:rPr>
              <w:t>坝城市</w:t>
            </w:r>
            <w:r>
              <w:rPr>
                <w:rFonts w:ascii="宋体" w:hAnsi="宋体" w:eastAsia="宋体" w:cs="宋体"/>
                <w:spacing w:val="10"/>
                <w:sz w:val="20"/>
                <w:szCs w:val="20"/>
              </w:rPr>
              <w:t>组</w:t>
            </w:r>
            <w:r>
              <w:rPr>
                <w:rFonts w:ascii="宋体" w:hAnsi="宋体" w:eastAsia="宋体" w:cs="宋体"/>
                <w:spacing w:val="7"/>
                <w:sz w:val="20"/>
                <w:szCs w:val="20"/>
              </w:rPr>
              <w:t>团控制性详细规划》中规划了连通高家坝组团和张家坝组团的高家坝大桥，桥址</w:t>
            </w:r>
            <w:r>
              <w:rPr>
                <w:rFonts w:ascii="宋体" w:hAnsi="宋体" w:eastAsia="宋体" w:cs="宋体"/>
                <w:sz w:val="20"/>
                <w:szCs w:val="20"/>
              </w:rPr>
              <w:t xml:space="preserve"> </w:t>
            </w:r>
            <w:r>
              <w:rPr>
                <w:rFonts w:ascii="宋体" w:hAnsi="宋体" w:eastAsia="宋体" w:cs="宋体"/>
                <w:spacing w:val="11"/>
                <w:sz w:val="20"/>
                <w:szCs w:val="20"/>
              </w:rPr>
              <w:t>位</w:t>
            </w:r>
            <w:r>
              <w:rPr>
                <w:rFonts w:ascii="宋体" w:hAnsi="宋体" w:eastAsia="宋体" w:cs="宋体"/>
                <w:spacing w:val="7"/>
                <w:sz w:val="20"/>
                <w:szCs w:val="20"/>
              </w:rPr>
              <w:t xml:space="preserve">于包茂高速州河大桥下游约 </w:t>
            </w:r>
            <w:r>
              <w:rPr>
                <w:rFonts w:ascii="Times New Roman" w:hAnsi="Times New Roman" w:eastAsia="Times New Roman" w:cs="Times New Roman"/>
                <w:spacing w:val="7"/>
                <w:sz w:val="20"/>
                <w:szCs w:val="20"/>
              </w:rPr>
              <w:t>200</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的位置。达州市城乡规划委员会组织相关单位对达州</w:t>
            </w:r>
            <w:r>
              <w:rPr>
                <w:rFonts w:ascii="宋体" w:hAnsi="宋体" w:eastAsia="宋体" w:cs="宋体"/>
                <w:sz w:val="20"/>
                <w:szCs w:val="20"/>
              </w:rPr>
              <w:t xml:space="preserve"> </w:t>
            </w:r>
            <w:r>
              <w:rPr>
                <w:rFonts w:ascii="宋体" w:hAnsi="宋体" w:eastAsia="宋体" w:cs="宋体"/>
                <w:spacing w:val="8"/>
                <w:sz w:val="20"/>
                <w:szCs w:val="20"/>
              </w:rPr>
              <w:t>市</w:t>
            </w:r>
            <w:r>
              <w:rPr>
                <w:rFonts w:ascii="宋体" w:hAnsi="宋体" w:eastAsia="宋体" w:cs="宋体"/>
                <w:spacing w:val="6"/>
                <w:sz w:val="20"/>
                <w:szCs w:val="20"/>
              </w:rPr>
              <w:t xml:space="preserve">域内交通进行规划设计，并于 </w:t>
            </w:r>
            <w:r>
              <w:rPr>
                <w:rFonts w:ascii="Times New Roman" w:hAnsi="Times New Roman" w:eastAsia="Times New Roman" w:cs="Times New Roman"/>
                <w:spacing w:val="6"/>
                <w:sz w:val="20"/>
                <w:szCs w:val="20"/>
              </w:rPr>
              <w:t xml:space="preserve">2022 </w:t>
            </w:r>
            <w:r>
              <w:rPr>
                <w:rFonts w:ascii="宋体" w:hAnsi="宋体" w:eastAsia="宋体" w:cs="宋体"/>
                <w:spacing w:val="6"/>
                <w:sz w:val="20"/>
                <w:szCs w:val="20"/>
              </w:rPr>
              <w:t xml:space="preserve">年 </w:t>
            </w:r>
            <w:r>
              <w:rPr>
                <w:rFonts w:ascii="Times New Roman" w:hAnsi="Times New Roman" w:eastAsia="Times New Roman" w:cs="Times New Roman"/>
                <w:spacing w:val="6"/>
                <w:sz w:val="20"/>
                <w:szCs w:val="20"/>
              </w:rPr>
              <w:t xml:space="preserve">10 </w:t>
            </w:r>
            <w:r>
              <w:rPr>
                <w:rFonts w:ascii="宋体" w:hAnsi="宋体" w:eastAsia="宋体" w:cs="宋体"/>
                <w:spacing w:val="6"/>
                <w:sz w:val="20"/>
                <w:szCs w:val="20"/>
              </w:rPr>
              <w:t xml:space="preserve">月 </w:t>
            </w:r>
            <w:r>
              <w:rPr>
                <w:rFonts w:ascii="Times New Roman" w:hAnsi="Times New Roman" w:eastAsia="Times New Roman" w:cs="Times New Roman"/>
                <w:spacing w:val="6"/>
                <w:sz w:val="20"/>
                <w:szCs w:val="20"/>
              </w:rPr>
              <w:t xml:space="preserve">26  </w:t>
            </w:r>
            <w:r>
              <w:rPr>
                <w:rFonts w:ascii="宋体" w:hAnsi="宋体" w:eastAsia="宋体" w:cs="宋体"/>
                <w:spacing w:val="6"/>
                <w:sz w:val="20"/>
                <w:szCs w:val="20"/>
              </w:rPr>
              <w:t xml:space="preserve">日在达州市国土空间规划委员会第 </w:t>
            </w:r>
            <w:r>
              <w:rPr>
                <w:rFonts w:ascii="Times New Roman" w:hAnsi="Times New Roman" w:eastAsia="Times New Roman" w:cs="Times New Roman"/>
                <w:spacing w:val="6"/>
                <w:sz w:val="20"/>
                <w:szCs w:val="20"/>
              </w:rPr>
              <w:t>10</w:t>
            </w:r>
            <w:r>
              <w:rPr>
                <w:rFonts w:ascii="Times New Roman" w:hAnsi="Times New Roman" w:eastAsia="Times New Roman" w:cs="Times New Roman"/>
                <w:sz w:val="20"/>
                <w:szCs w:val="20"/>
              </w:rPr>
              <w:t xml:space="preserve"> </w:t>
            </w:r>
            <w:r>
              <w:rPr>
                <w:rFonts w:ascii="宋体" w:hAnsi="宋体" w:eastAsia="宋体" w:cs="宋体"/>
                <w:spacing w:val="12"/>
                <w:sz w:val="20"/>
                <w:szCs w:val="20"/>
              </w:rPr>
              <w:t>次</w:t>
            </w:r>
            <w:r>
              <w:rPr>
                <w:rFonts w:ascii="宋体" w:hAnsi="宋体" w:eastAsia="宋体" w:cs="宋体"/>
                <w:spacing w:val="9"/>
                <w:sz w:val="20"/>
                <w:szCs w:val="20"/>
              </w:rPr>
              <w:t>常务会会议中通过达州高家坝大桥的设计方案。</w:t>
            </w:r>
          </w:p>
          <w:p>
            <w:pPr>
              <w:spacing w:line="400" w:lineRule="exact"/>
              <w:ind w:left="527"/>
              <w:rPr>
                <w:rFonts w:ascii="宋体" w:hAnsi="宋体" w:eastAsia="宋体" w:cs="宋体"/>
                <w:sz w:val="20"/>
                <w:szCs w:val="20"/>
              </w:rPr>
            </w:pPr>
            <w:r>
              <w:rPr>
                <w:rFonts w:ascii="宋体" w:hAnsi="宋体" w:eastAsia="宋体" w:cs="宋体"/>
                <w:spacing w:val="14"/>
                <w:position w:val="14"/>
                <w:sz w:val="20"/>
                <w:szCs w:val="20"/>
              </w:rPr>
              <w:t>根据</w:t>
            </w:r>
            <w:r>
              <w:rPr>
                <w:rFonts w:ascii="宋体" w:hAnsi="宋体" w:eastAsia="宋体" w:cs="宋体"/>
                <w:spacing w:val="10"/>
                <w:position w:val="14"/>
                <w:sz w:val="20"/>
                <w:szCs w:val="20"/>
              </w:rPr>
              <w:t>达</w:t>
            </w:r>
            <w:r>
              <w:rPr>
                <w:rFonts w:ascii="宋体" w:hAnsi="宋体" w:eastAsia="宋体" w:cs="宋体"/>
                <w:spacing w:val="7"/>
                <w:position w:val="14"/>
                <w:sz w:val="20"/>
                <w:szCs w:val="20"/>
              </w:rPr>
              <w:t>州市发展和改革委员会《关于达州市高家坝大桥建设项目可行性研究报告的批</w:t>
            </w:r>
          </w:p>
          <w:p>
            <w:pPr>
              <w:spacing w:before="1" w:line="227" w:lineRule="auto"/>
              <w:ind w:left="113"/>
              <w:rPr>
                <w:rFonts w:ascii="宋体" w:hAnsi="宋体" w:eastAsia="宋体" w:cs="宋体"/>
                <w:sz w:val="20"/>
                <w:szCs w:val="20"/>
              </w:rPr>
            </w:pPr>
            <w:r>
              <w:rPr>
                <w:rFonts w:ascii="宋体" w:hAnsi="宋体" w:eastAsia="宋体" w:cs="宋体"/>
                <w:spacing w:val="4"/>
                <w:sz w:val="20"/>
                <w:szCs w:val="20"/>
              </w:rPr>
              <w:t>复》  (达市发改审〔</w:t>
            </w:r>
            <w:r>
              <w:rPr>
                <w:rFonts w:ascii="Times New Roman" w:hAnsi="Times New Roman" w:eastAsia="Times New Roman" w:cs="Times New Roman"/>
                <w:spacing w:val="4"/>
                <w:sz w:val="20"/>
                <w:szCs w:val="20"/>
              </w:rPr>
              <w:t>2023</w:t>
            </w:r>
            <w:r>
              <w:rPr>
                <w:rFonts w:ascii="宋体" w:hAnsi="宋体" w:eastAsia="宋体" w:cs="宋体"/>
                <w:spacing w:val="4"/>
                <w:sz w:val="20"/>
                <w:szCs w:val="20"/>
              </w:rPr>
              <w:t>〕</w:t>
            </w:r>
            <w:r>
              <w:rPr>
                <w:rFonts w:ascii="Times New Roman" w:hAnsi="Times New Roman" w:eastAsia="Times New Roman" w:cs="Times New Roman"/>
                <w:spacing w:val="4"/>
                <w:sz w:val="20"/>
                <w:szCs w:val="20"/>
              </w:rPr>
              <w:t xml:space="preserve">11 </w:t>
            </w:r>
            <w:r>
              <w:rPr>
                <w:rFonts w:ascii="宋体" w:hAnsi="宋体" w:eastAsia="宋体" w:cs="宋体"/>
                <w:spacing w:val="3"/>
                <w:sz w:val="20"/>
                <w:szCs w:val="20"/>
              </w:rPr>
              <w:t>号</w:t>
            </w:r>
            <w:r>
              <w:rPr>
                <w:rFonts w:ascii="宋体" w:hAnsi="宋体" w:eastAsia="宋体" w:cs="宋体"/>
                <w:spacing w:val="2"/>
                <w:sz w:val="20"/>
                <w:szCs w:val="20"/>
              </w:rPr>
              <w:t xml:space="preserve">) ，新建高家坝大桥桥梁长 </w:t>
            </w:r>
            <w:r>
              <w:rPr>
                <w:rFonts w:ascii="Times New Roman" w:hAnsi="Times New Roman" w:eastAsia="Times New Roman" w:cs="Times New Roman"/>
                <w:spacing w:val="2"/>
                <w:sz w:val="20"/>
                <w:szCs w:val="20"/>
              </w:rPr>
              <w:t xml:space="preserve">242 </w:t>
            </w:r>
            <w:r>
              <w:rPr>
                <w:rFonts w:ascii="宋体" w:hAnsi="宋体" w:eastAsia="宋体" w:cs="宋体"/>
                <w:spacing w:val="2"/>
                <w:sz w:val="20"/>
                <w:szCs w:val="20"/>
              </w:rPr>
              <w:t xml:space="preserve">米，宽度为 </w:t>
            </w:r>
            <w:r>
              <w:rPr>
                <w:rFonts w:ascii="Times New Roman" w:hAnsi="Times New Roman" w:eastAsia="Times New Roman" w:cs="Times New Roman"/>
                <w:spacing w:val="2"/>
                <w:sz w:val="20"/>
                <w:szCs w:val="20"/>
              </w:rPr>
              <w:t xml:space="preserve">32 </w:t>
            </w:r>
            <w:r>
              <w:rPr>
                <w:rFonts w:ascii="宋体" w:hAnsi="宋体" w:eastAsia="宋体" w:cs="宋体"/>
                <w:spacing w:val="2"/>
                <w:sz w:val="20"/>
                <w:szCs w:val="20"/>
              </w:rPr>
              <w:t>米，双向</w:t>
            </w:r>
          </w:p>
        </w:tc>
      </w:tr>
    </w:tbl>
    <w:p>
      <w:pPr>
        <w:rPr>
          <w:rFonts w:ascii="Arial"/>
          <w:sz w:val="21"/>
        </w:rPr>
      </w:pPr>
    </w:p>
    <w:p>
      <w:pPr>
        <w:sectPr>
          <w:footerReference r:id="rId23" w:type="default"/>
          <w:pgSz w:w="11906" w:h="16839"/>
          <w:pgMar w:top="400" w:right="1487" w:bottom="1475" w:left="1486" w:header="0" w:footer="1315" w:gutter="0"/>
          <w:cols w:space="720" w:num="1"/>
        </w:sectPr>
      </w:pPr>
    </w:p>
    <w:p>
      <w:r>
        <w:pict>
          <v:rect id="_x0000_s1050" o:spid="_x0000_s1050" o:spt="1" style="position:absolute;left:0pt;margin-left:110.2pt;margin-top:437.85pt;height:58.3pt;width:0.5pt;mso-position-horizontal-relative:page;mso-position-vertical-relative:page;z-index:251671552;mso-width-relative:page;mso-height-relative:page;" fillcolor="#000000" filled="t" stroked="f" coordsize="21600,21600" o:allowincell="f">
            <v:path/>
            <v:fill on="t" focussize="0,0"/>
            <v:stroke on="f"/>
            <v:imagedata o:title=""/>
            <o:lock v:ext="edit"/>
          </v:rect>
        </w:pict>
      </w:r>
      <w:r>
        <w:pict>
          <v:rect id="_x0000_s1051" o:spid="_x0000_s1051" o:spt="1" style="position:absolute;left:0pt;margin-left:514.1pt;margin-top:438.3pt;height:57.85pt;width:0.5pt;mso-position-horizontal-relative:page;mso-position-vertical-relative:page;z-index:251672576;mso-width-relative:page;mso-height-relative:page;" fillcolor="#000000" filled="t" stroked="f" coordsize="21600,21600" o:allowincell="f">
            <v:path/>
            <v:fill on="t" focussize="0,0"/>
            <v:stroke on="f"/>
            <v:imagedata o:title=""/>
            <o:lock v:ext="edit"/>
          </v:rect>
        </w:pict>
      </w:r>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687"/>
        <w:gridCol w:w="2471"/>
        <w:gridCol w:w="827"/>
        <w:gridCol w:w="1802"/>
        <w:gridCol w:w="827"/>
        <w:gridCol w:w="17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8" w:hRule="atLeast"/>
        </w:trPr>
        <w:tc>
          <w:tcPr>
            <w:tcW w:w="600" w:type="dxa"/>
            <w:vMerge w:val="restart"/>
            <w:tcBorders>
              <w:left w:val="single" w:color="000000" w:sz="6" w:space="0"/>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28" w:lineRule="auto"/>
              <w:ind w:left="91"/>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p>
            <w:pPr>
              <w:spacing w:before="26" w:line="229" w:lineRule="auto"/>
              <w:ind w:left="9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组</w:t>
            </w:r>
            <w:r>
              <w:rPr>
                <w:rFonts w:ascii="宋体" w:hAnsi="宋体" w:eastAsia="宋体" w:cs="宋体"/>
                <w:spacing w:val="4"/>
                <w:sz w:val="20"/>
                <w:szCs w:val="20"/>
                <w14:textOutline w14:w="3795" w14:cap="sq" w14:cmpd="sng">
                  <w14:solidFill>
                    <w14:srgbClr w14:val="000000"/>
                  </w14:solidFill>
                  <w14:prstDash w14:val="solid"/>
                  <w14:bevel/>
                </w14:textOutline>
              </w:rPr>
              <w:t>成</w:t>
            </w:r>
          </w:p>
          <w:p>
            <w:pPr>
              <w:spacing w:before="22" w:line="230" w:lineRule="auto"/>
              <w:ind w:left="8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及规</w:t>
            </w:r>
          </w:p>
          <w:p>
            <w:pPr>
              <w:spacing w:before="24" w:line="228" w:lineRule="auto"/>
              <w:ind w:left="190"/>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模</w:t>
            </w:r>
          </w:p>
        </w:tc>
        <w:tc>
          <w:tcPr>
            <w:tcW w:w="8317" w:type="dxa"/>
            <w:gridSpan w:val="6"/>
            <w:tcBorders>
              <w:right w:val="single" w:color="000000" w:sz="6" w:space="0"/>
            </w:tcBorders>
            <w:vAlign w:val="top"/>
          </w:tcPr>
          <w:p>
            <w:pPr>
              <w:spacing w:before="145" w:line="347" w:lineRule="auto"/>
              <w:ind w:left="106" w:right="102" w:firstLine="1"/>
              <w:rPr>
                <w:rFonts w:ascii="宋体" w:hAnsi="宋体" w:eastAsia="宋体" w:cs="宋体"/>
                <w:sz w:val="20"/>
                <w:szCs w:val="20"/>
              </w:rPr>
            </w:pPr>
            <w:r>
              <w:rPr>
                <w:rFonts w:ascii="Times New Roman" w:hAnsi="Times New Roman" w:eastAsia="Times New Roman" w:cs="Times New Roman"/>
                <w:spacing w:val="14"/>
                <w:sz w:val="20"/>
                <w:szCs w:val="20"/>
              </w:rPr>
              <w:t xml:space="preserve">6 </w:t>
            </w:r>
            <w:r>
              <w:rPr>
                <w:rFonts w:ascii="宋体" w:hAnsi="宋体" w:eastAsia="宋体" w:cs="宋体"/>
                <w:spacing w:val="14"/>
                <w:sz w:val="20"/>
                <w:szCs w:val="20"/>
              </w:rPr>
              <w:t>车道</w:t>
            </w:r>
            <w:r>
              <w:rPr>
                <w:rFonts w:ascii="宋体" w:hAnsi="宋体" w:eastAsia="宋体" w:cs="宋体"/>
                <w:spacing w:val="7"/>
                <w:sz w:val="20"/>
                <w:szCs w:val="20"/>
              </w:rPr>
              <w:t xml:space="preserve">，道路等级为城市次干道；西岸新建连接道 </w:t>
            </w:r>
            <w:r>
              <w:rPr>
                <w:rFonts w:ascii="Times New Roman" w:hAnsi="Times New Roman" w:eastAsia="Times New Roman" w:cs="Times New Roman"/>
                <w:spacing w:val="7"/>
                <w:sz w:val="20"/>
                <w:szCs w:val="20"/>
              </w:rPr>
              <w:t xml:space="preserve">62 </w:t>
            </w:r>
            <w:r>
              <w:rPr>
                <w:rFonts w:ascii="宋体" w:hAnsi="宋体" w:eastAsia="宋体" w:cs="宋体"/>
                <w:spacing w:val="7"/>
                <w:sz w:val="20"/>
                <w:szCs w:val="20"/>
              </w:rPr>
              <w:t xml:space="preserve">米；东岸改造连接道 </w:t>
            </w:r>
            <w:r>
              <w:rPr>
                <w:rFonts w:ascii="Times New Roman" w:hAnsi="Times New Roman" w:eastAsia="Times New Roman" w:cs="Times New Roman"/>
                <w:spacing w:val="7"/>
                <w:sz w:val="20"/>
                <w:szCs w:val="20"/>
              </w:rPr>
              <w:t xml:space="preserve">245 </w:t>
            </w:r>
            <w:r>
              <w:rPr>
                <w:rFonts w:ascii="宋体" w:hAnsi="宋体" w:eastAsia="宋体" w:cs="宋体"/>
                <w:spacing w:val="7"/>
                <w:sz w:val="20"/>
                <w:szCs w:val="20"/>
              </w:rPr>
              <w:t>米。根据</w:t>
            </w:r>
            <w:r>
              <w:rPr>
                <w:rFonts w:ascii="宋体" w:hAnsi="宋体" w:eastAsia="宋体" w:cs="宋体"/>
                <w:sz w:val="20"/>
                <w:szCs w:val="20"/>
              </w:rPr>
              <w:t xml:space="preserve"> </w:t>
            </w:r>
            <w:r>
              <w:rPr>
                <w:rFonts w:ascii="宋体" w:hAnsi="宋体" w:eastAsia="宋体" w:cs="宋体"/>
                <w:spacing w:val="14"/>
                <w:sz w:val="20"/>
                <w:szCs w:val="20"/>
              </w:rPr>
              <w:t>《达州</w:t>
            </w:r>
            <w:r>
              <w:rPr>
                <w:rFonts w:ascii="宋体" w:hAnsi="宋体" w:eastAsia="宋体" w:cs="宋体"/>
                <w:spacing w:val="10"/>
                <w:sz w:val="20"/>
                <w:szCs w:val="20"/>
              </w:rPr>
              <w:t>市</w:t>
            </w:r>
            <w:r>
              <w:rPr>
                <w:rFonts w:ascii="宋体" w:hAnsi="宋体" w:eastAsia="宋体" w:cs="宋体"/>
                <w:spacing w:val="7"/>
                <w:sz w:val="20"/>
                <w:szCs w:val="20"/>
              </w:rPr>
              <w:t>高家坝大桥建设项目初步设计》，设计阶段对拟建桥址地形进行了详查，拟建高</w:t>
            </w:r>
            <w:r>
              <w:rPr>
                <w:rFonts w:ascii="宋体" w:hAnsi="宋体" w:eastAsia="宋体" w:cs="宋体"/>
                <w:sz w:val="20"/>
                <w:szCs w:val="20"/>
              </w:rPr>
              <w:t xml:space="preserve"> </w:t>
            </w:r>
            <w:r>
              <w:rPr>
                <w:rFonts w:ascii="宋体" w:hAnsi="宋体" w:eastAsia="宋体" w:cs="宋体"/>
                <w:spacing w:val="14"/>
                <w:sz w:val="20"/>
                <w:szCs w:val="20"/>
              </w:rPr>
              <w:t>家坝大</w:t>
            </w:r>
            <w:r>
              <w:rPr>
                <w:rFonts w:ascii="宋体" w:hAnsi="宋体" w:eastAsia="宋体" w:cs="宋体"/>
                <w:spacing w:val="10"/>
                <w:sz w:val="20"/>
                <w:szCs w:val="20"/>
              </w:rPr>
              <w:t>桥</w:t>
            </w:r>
            <w:r>
              <w:rPr>
                <w:rFonts w:ascii="宋体" w:hAnsi="宋体" w:eastAsia="宋体" w:cs="宋体"/>
                <w:spacing w:val="7"/>
                <w:sz w:val="20"/>
                <w:szCs w:val="20"/>
              </w:rPr>
              <w:t>位于北城滨江新区，西接高家坝片区滨河路，向东跨州河接张家坝现状南北主干</w:t>
            </w:r>
            <w:r>
              <w:rPr>
                <w:rFonts w:ascii="宋体" w:hAnsi="宋体" w:eastAsia="宋体" w:cs="宋体"/>
                <w:sz w:val="20"/>
                <w:szCs w:val="20"/>
              </w:rPr>
              <w:t xml:space="preserve"> </w:t>
            </w:r>
            <w:r>
              <w:rPr>
                <w:rFonts w:ascii="宋体" w:hAnsi="宋体" w:eastAsia="宋体" w:cs="宋体"/>
                <w:spacing w:val="10"/>
                <w:sz w:val="20"/>
                <w:szCs w:val="20"/>
              </w:rPr>
              <w:t>道 (犀牛</w:t>
            </w:r>
            <w:r>
              <w:rPr>
                <w:rFonts w:ascii="宋体" w:hAnsi="宋体" w:eastAsia="宋体" w:cs="宋体"/>
                <w:spacing w:val="5"/>
                <w:sz w:val="20"/>
                <w:szCs w:val="20"/>
              </w:rPr>
              <w:t xml:space="preserve">大道) 交叉口，桥梁全长约 </w:t>
            </w:r>
            <w:r>
              <w:rPr>
                <w:rFonts w:ascii="Times New Roman" w:hAnsi="Times New Roman" w:eastAsia="Times New Roman" w:cs="Times New Roman"/>
                <w:spacing w:val="5"/>
                <w:sz w:val="20"/>
                <w:szCs w:val="20"/>
              </w:rPr>
              <w:t xml:space="preserve">240 </w:t>
            </w:r>
            <w:r>
              <w:rPr>
                <w:rFonts w:ascii="宋体" w:hAnsi="宋体" w:eastAsia="宋体" w:cs="宋体"/>
                <w:spacing w:val="5"/>
                <w:sz w:val="20"/>
                <w:szCs w:val="20"/>
              </w:rPr>
              <w:t>米。道路等级为城市次干道，双向六车道，设计</w:t>
            </w:r>
            <w:r>
              <w:rPr>
                <w:rFonts w:ascii="宋体" w:hAnsi="宋体" w:eastAsia="宋体" w:cs="宋体"/>
                <w:sz w:val="20"/>
                <w:szCs w:val="20"/>
              </w:rPr>
              <w:t xml:space="preserve"> </w:t>
            </w:r>
            <w:r>
              <w:rPr>
                <w:rFonts w:ascii="宋体" w:hAnsi="宋体" w:eastAsia="宋体" w:cs="宋体"/>
                <w:spacing w:val="6"/>
                <w:sz w:val="20"/>
                <w:szCs w:val="20"/>
              </w:rPr>
              <w:t xml:space="preserve">速度 </w:t>
            </w:r>
            <w:r>
              <w:rPr>
                <w:rFonts w:ascii="Times New Roman" w:hAnsi="Times New Roman" w:eastAsia="Times New Roman" w:cs="Times New Roman"/>
                <w:spacing w:val="6"/>
                <w:sz w:val="20"/>
                <w:szCs w:val="20"/>
              </w:rPr>
              <w:t>40</w:t>
            </w:r>
            <w:r>
              <w:rPr>
                <w:rFonts w:ascii="Times New Roman" w:hAnsi="Times New Roman" w:eastAsia="Times New Roman" w:cs="Times New Roman"/>
                <w:sz w:val="20"/>
                <w:szCs w:val="20"/>
              </w:rPr>
              <w:t>km</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h</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。本报告按照初步设计的桥梁长度 </w:t>
            </w:r>
            <w:r>
              <w:rPr>
                <w:rFonts w:ascii="Times New Roman" w:hAnsi="Times New Roman" w:eastAsia="Times New Roman" w:cs="Times New Roman"/>
                <w:spacing w:val="3"/>
                <w:sz w:val="20"/>
                <w:szCs w:val="20"/>
              </w:rPr>
              <w:t xml:space="preserve">240 </w:t>
            </w:r>
            <w:r>
              <w:rPr>
                <w:rFonts w:ascii="宋体" w:hAnsi="宋体" w:eastAsia="宋体" w:cs="宋体"/>
                <w:spacing w:val="3"/>
                <w:sz w:val="20"/>
                <w:szCs w:val="20"/>
              </w:rPr>
              <w:t>米进行评价。</w:t>
            </w:r>
          </w:p>
          <w:p>
            <w:pPr>
              <w:spacing w:before="122" w:line="369" w:lineRule="auto"/>
              <w:ind w:left="106" w:right="50" w:firstLine="421"/>
              <w:rPr>
                <w:rFonts w:ascii="宋体" w:hAnsi="宋体" w:eastAsia="宋体" w:cs="宋体"/>
                <w:sz w:val="20"/>
                <w:szCs w:val="20"/>
              </w:rPr>
            </w:pPr>
            <w:r>
              <w:rPr>
                <w:rFonts w:ascii="宋体" w:hAnsi="宋体" w:eastAsia="宋体" w:cs="宋体"/>
                <w:spacing w:val="14"/>
                <w:sz w:val="20"/>
                <w:szCs w:val="20"/>
              </w:rPr>
              <w:t>本项</w:t>
            </w:r>
            <w:r>
              <w:rPr>
                <w:rFonts w:ascii="宋体" w:hAnsi="宋体" w:eastAsia="宋体" w:cs="宋体"/>
                <w:spacing w:val="9"/>
                <w:sz w:val="20"/>
                <w:szCs w:val="20"/>
              </w:rPr>
              <w:t>目</w:t>
            </w:r>
            <w:r>
              <w:rPr>
                <w:rFonts w:ascii="宋体" w:hAnsi="宋体" w:eastAsia="宋体" w:cs="宋体"/>
                <w:spacing w:val="7"/>
                <w:sz w:val="20"/>
                <w:szCs w:val="20"/>
              </w:rPr>
              <w:t>建成后，将大大缓解张家坝大桥交通压力；进一步增强高家坝城市组团和张家</w:t>
            </w:r>
            <w:r>
              <w:rPr>
                <w:rFonts w:ascii="宋体" w:hAnsi="宋体" w:eastAsia="宋体" w:cs="宋体"/>
                <w:sz w:val="20"/>
                <w:szCs w:val="20"/>
              </w:rPr>
              <w:t xml:space="preserve"> </w:t>
            </w:r>
            <w:r>
              <w:rPr>
                <w:rFonts w:ascii="宋体" w:hAnsi="宋体" w:eastAsia="宋体" w:cs="宋体"/>
                <w:spacing w:val="9"/>
                <w:sz w:val="20"/>
                <w:szCs w:val="20"/>
              </w:rPr>
              <w:t>坝城市组团的区域联系。是城北片区区域路网的重要补充，同时也是主要干道相互联系</w:t>
            </w:r>
            <w:r>
              <w:rPr>
                <w:rFonts w:ascii="宋体" w:hAnsi="宋体" w:eastAsia="宋体" w:cs="宋体"/>
                <w:spacing w:val="7"/>
                <w:sz w:val="20"/>
                <w:szCs w:val="20"/>
              </w:rPr>
              <w:t>、</w:t>
            </w:r>
            <w:r>
              <w:rPr>
                <w:rFonts w:ascii="宋体" w:hAnsi="宋体" w:eastAsia="宋体" w:cs="宋体"/>
                <w:sz w:val="20"/>
                <w:szCs w:val="20"/>
              </w:rPr>
              <w:t xml:space="preserve"> </w:t>
            </w:r>
            <w:r>
              <w:rPr>
                <w:rFonts w:ascii="宋体" w:hAnsi="宋体" w:eastAsia="宋体" w:cs="宋体"/>
                <w:spacing w:val="14"/>
                <w:sz w:val="20"/>
                <w:szCs w:val="20"/>
              </w:rPr>
              <w:t>集散的</w:t>
            </w:r>
            <w:r>
              <w:rPr>
                <w:rFonts w:ascii="宋体" w:hAnsi="宋体" w:eastAsia="宋体" w:cs="宋体"/>
                <w:spacing w:val="10"/>
                <w:sz w:val="20"/>
                <w:szCs w:val="20"/>
              </w:rPr>
              <w:t>重</w:t>
            </w:r>
            <w:r>
              <w:rPr>
                <w:rFonts w:ascii="宋体" w:hAnsi="宋体" w:eastAsia="宋体" w:cs="宋体"/>
                <w:spacing w:val="7"/>
                <w:sz w:val="20"/>
                <w:szCs w:val="20"/>
              </w:rPr>
              <w:t>要通道，是完善城北片区区域路网、改善区域对外交通环境的需要。高家坝大桥</w:t>
            </w:r>
            <w:r>
              <w:rPr>
                <w:rFonts w:ascii="宋体" w:hAnsi="宋体" w:eastAsia="宋体" w:cs="宋体"/>
                <w:sz w:val="20"/>
                <w:szCs w:val="20"/>
              </w:rPr>
              <w:t xml:space="preserve"> </w:t>
            </w:r>
            <w:r>
              <w:rPr>
                <w:rFonts w:ascii="宋体" w:hAnsi="宋体" w:eastAsia="宋体" w:cs="宋体"/>
                <w:spacing w:val="14"/>
                <w:sz w:val="20"/>
                <w:szCs w:val="20"/>
              </w:rPr>
              <w:t>项目的</w:t>
            </w:r>
            <w:r>
              <w:rPr>
                <w:rFonts w:ascii="宋体" w:hAnsi="宋体" w:eastAsia="宋体" w:cs="宋体"/>
                <w:spacing w:val="8"/>
                <w:sz w:val="20"/>
                <w:szCs w:val="20"/>
              </w:rPr>
              <w:t>建</w:t>
            </w:r>
            <w:r>
              <w:rPr>
                <w:rFonts w:ascii="宋体" w:hAnsi="宋体" w:eastAsia="宋体" w:cs="宋体"/>
                <w:spacing w:val="7"/>
                <w:sz w:val="20"/>
                <w:szCs w:val="20"/>
              </w:rPr>
              <w:t>设可使区域内资源得以更加充分地利用和开发，能有效改善高家坝城市组团和张</w:t>
            </w:r>
            <w:r>
              <w:rPr>
                <w:rFonts w:ascii="宋体" w:hAnsi="宋体" w:eastAsia="宋体" w:cs="宋体"/>
                <w:sz w:val="20"/>
                <w:szCs w:val="20"/>
              </w:rPr>
              <w:t xml:space="preserve"> </w:t>
            </w:r>
            <w:r>
              <w:rPr>
                <w:rFonts w:ascii="宋体" w:hAnsi="宋体" w:eastAsia="宋体" w:cs="宋体"/>
                <w:spacing w:val="9"/>
                <w:sz w:val="20"/>
                <w:szCs w:val="20"/>
              </w:rPr>
              <w:t>家坝城市组团交通联络问题，并可大大提高滨河生态休闲景观带的服务水平和服务功能</w:t>
            </w:r>
            <w:r>
              <w:rPr>
                <w:rFonts w:ascii="宋体" w:hAnsi="宋体" w:eastAsia="宋体" w:cs="宋体"/>
                <w:spacing w:val="7"/>
                <w:sz w:val="20"/>
                <w:szCs w:val="20"/>
              </w:rPr>
              <w:t>；</w:t>
            </w:r>
            <w:r>
              <w:rPr>
                <w:rFonts w:ascii="宋体" w:hAnsi="宋体" w:eastAsia="宋体" w:cs="宋体"/>
                <w:sz w:val="20"/>
                <w:szCs w:val="20"/>
              </w:rPr>
              <w:t xml:space="preserve"> </w:t>
            </w:r>
            <w:r>
              <w:rPr>
                <w:rFonts w:ascii="宋体" w:hAnsi="宋体" w:eastAsia="宋体" w:cs="宋体"/>
                <w:spacing w:val="14"/>
                <w:sz w:val="20"/>
                <w:szCs w:val="20"/>
              </w:rPr>
              <w:t>可以提</w:t>
            </w:r>
            <w:r>
              <w:rPr>
                <w:rFonts w:ascii="宋体" w:hAnsi="宋体" w:eastAsia="宋体" w:cs="宋体"/>
                <w:spacing w:val="8"/>
                <w:sz w:val="20"/>
                <w:szCs w:val="20"/>
              </w:rPr>
              <w:t>高</w:t>
            </w:r>
            <w:r>
              <w:rPr>
                <w:rFonts w:ascii="宋体" w:hAnsi="宋体" w:eastAsia="宋体" w:cs="宋体"/>
                <w:spacing w:val="7"/>
                <w:sz w:val="20"/>
                <w:szCs w:val="20"/>
              </w:rPr>
              <w:t>该区域土地利用等级，进一步提升土地的开发价值，为土地资源带来巨大的增值</w:t>
            </w:r>
            <w:r>
              <w:rPr>
                <w:rFonts w:ascii="宋体" w:hAnsi="宋体" w:eastAsia="宋体" w:cs="宋体"/>
                <w:sz w:val="20"/>
                <w:szCs w:val="20"/>
              </w:rPr>
              <w:t xml:space="preserve"> </w:t>
            </w:r>
            <w:r>
              <w:rPr>
                <w:rFonts w:ascii="宋体" w:hAnsi="宋体" w:eastAsia="宋体" w:cs="宋体"/>
                <w:spacing w:val="14"/>
                <w:sz w:val="20"/>
                <w:szCs w:val="20"/>
              </w:rPr>
              <w:t>效益；</w:t>
            </w:r>
            <w:r>
              <w:rPr>
                <w:rFonts w:ascii="宋体" w:hAnsi="宋体" w:eastAsia="宋体" w:cs="宋体"/>
                <w:spacing w:val="10"/>
                <w:sz w:val="20"/>
                <w:szCs w:val="20"/>
              </w:rPr>
              <w:t>对</w:t>
            </w:r>
            <w:r>
              <w:rPr>
                <w:rFonts w:ascii="宋体" w:hAnsi="宋体" w:eastAsia="宋体" w:cs="宋体"/>
                <w:spacing w:val="7"/>
                <w:sz w:val="20"/>
                <w:szCs w:val="20"/>
              </w:rPr>
              <w:t>该地区社会经济发展创造了更好的基础设施条件，给沿线区域带来新的发展机遇</w:t>
            </w:r>
            <w:r>
              <w:rPr>
                <w:rFonts w:ascii="宋体" w:hAnsi="宋体" w:eastAsia="宋体" w:cs="宋体"/>
                <w:sz w:val="20"/>
                <w:szCs w:val="20"/>
              </w:rPr>
              <w:t xml:space="preserve"> </w:t>
            </w:r>
            <w:r>
              <w:rPr>
                <w:rFonts w:ascii="宋体" w:hAnsi="宋体" w:eastAsia="宋体" w:cs="宋体"/>
                <w:spacing w:val="6"/>
                <w:sz w:val="20"/>
                <w:szCs w:val="20"/>
              </w:rPr>
              <w:t>和更大的社会经济效</w:t>
            </w:r>
            <w:r>
              <w:rPr>
                <w:rFonts w:ascii="宋体" w:hAnsi="宋体" w:eastAsia="宋体" w:cs="宋体"/>
                <w:spacing w:val="5"/>
                <w:sz w:val="20"/>
                <w:szCs w:val="20"/>
              </w:rPr>
              <w:t>益</w:t>
            </w:r>
            <w:r>
              <w:rPr>
                <w:rFonts w:ascii="宋体" w:hAnsi="宋体" w:eastAsia="宋体" w:cs="宋体"/>
                <w:spacing w:val="3"/>
                <w:sz w:val="20"/>
                <w:szCs w:val="20"/>
              </w:rPr>
              <w:t>。综上所述，本项目对达州市通川区的经济发展有很大的促进作用，</w:t>
            </w:r>
          </w:p>
          <w:p>
            <w:pPr>
              <w:spacing w:line="227" w:lineRule="auto"/>
              <w:ind w:left="128"/>
              <w:rPr>
                <w:rFonts w:ascii="宋体" w:hAnsi="宋体" w:eastAsia="宋体" w:cs="宋体"/>
                <w:sz w:val="20"/>
                <w:szCs w:val="20"/>
              </w:rPr>
            </w:pPr>
            <w:r>
              <w:rPr>
                <w:rFonts w:ascii="宋体" w:hAnsi="宋体" w:eastAsia="宋体" w:cs="宋体"/>
                <w:spacing w:val="12"/>
                <w:sz w:val="20"/>
                <w:szCs w:val="20"/>
              </w:rPr>
              <w:t>同</w:t>
            </w:r>
            <w:r>
              <w:rPr>
                <w:rFonts w:ascii="宋体" w:hAnsi="宋体" w:eastAsia="宋体" w:cs="宋体"/>
                <w:spacing w:val="8"/>
                <w:sz w:val="20"/>
                <w:szCs w:val="20"/>
              </w:rPr>
              <w:t>时项目产生的国民经济效益也是巨大和持久的。</w:t>
            </w:r>
          </w:p>
          <w:p>
            <w:pPr>
              <w:spacing w:before="116" w:line="374" w:lineRule="auto"/>
              <w:ind w:left="108" w:right="102" w:firstLine="422"/>
              <w:rPr>
                <w:rFonts w:ascii="宋体" w:hAnsi="宋体" w:eastAsia="宋体" w:cs="宋体"/>
                <w:sz w:val="20"/>
                <w:szCs w:val="20"/>
              </w:rPr>
            </w:pPr>
            <w:r>
              <w:rPr>
                <w:rFonts w:ascii="宋体" w:hAnsi="宋体" w:eastAsia="宋体" w:cs="宋体"/>
                <w:spacing w:val="10"/>
                <w:sz w:val="20"/>
                <w:szCs w:val="20"/>
              </w:rPr>
              <w:t>项目</w:t>
            </w:r>
            <w:r>
              <w:rPr>
                <w:rFonts w:ascii="宋体" w:hAnsi="宋体" w:eastAsia="宋体" w:cs="宋体"/>
                <w:spacing w:val="9"/>
                <w:sz w:val="20"/>
                <w:szCs w:val="20"/>
              </w:rPr>
              <w:t>为</w:t>
            </w:r>
            <w:r>
              <w:rPr>
                <w:rFonts w:ascii="宋体" w:hAnsi="宋体" w:eastAsia="宋体" w:cs="宋体"/>
                <w:spacing w:val="5"/>
                <w:sz w:val="20"/>
                <w:szCs w:val="20"/>
              </w:rPr>
              <w:t>新建城市桥梁项目，属于《国民经济行业分类》  (</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T</w:t>
            </w:r>
            <w:r>
              <w:rPr>
                <w:rFonts w:ascii="Times New Roman" w:hAnsi="Times New Roman" w:eastAsia="Times New Roman" w:cs="Times New Roman"/>
                <w:spacing w:val="5"/>
                <w:sz w:val="20"/>
                <w:szCs w:val="20"/>
              </w:rPr>
              <w:t>4754-2017</w:t>
            </w:r>
            <w:r>
              <w:rPr>
                <w:rFonts w:ascii="宋体" w:hAnsi="宋体" w:eastAsia="宋体" w:cs="宋体"/>
                <w:spacing w:val="5"/>
                <w:sz w:val="20"/>
                <w:szCs w:val="20"/>
              </w:rPr>
              <w:t>) 中</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E</w:t>
            </w:r>
            <w:r>
              <w:rPr>
                <w:rFonts w:ascii="Times New Roman" w:hAnsi="Times New Roman" w:eastAsia="Times New Roman" w:cs="Times New Roman"/>
                <w:spacing w:val="5"/>
                <w:sz w:val="20"/>
                <w:szCs w:val="20"/>
              </w:rPr>
              <w:t>4819</w:t>
            </w:r>
            <w:r>
              <w:rPr>
                <w:rFonts w:ascii="Times New Roman" w:hAnsi="Times New Roman" w:eastAsia="Times New Roman" w:cs="Times New Roman"/>
                <w:sz w:val="20"/>
                <w:szCs w:val="20"/>
              </w:rPr>
              <w:t xml:space="preserve"> </w:t>
            </w:r>
            <w:r>
              <w:rPr>
                <w:rFonts w:ascii="宋体" w:hAnsi="宋体" w:eastAsia="宋体" w:cs="宋体"/>
                <w:spacing w:val="16"/>
                <w:sz w:val="20"/>
                <w:szCs w:val="20"/>
              </w:rPr>
              <w:t>其</w:t>
            </w:r>
            <w:r>
              <w:rPr>
                <w:rFonts w:ascii="宋体" w:hAnsi="宋体" w:eastAsia="宋体" w:cs="宋体"/>
                <w:spacing w:val="13"/>
                <w:sz w:val="20"/>
                <w:szCs w:val="20"/>
              </w:rPr>
              <w:t>他</w:t>
            </w:r>
            <w:r>
              <w:rPr>
                <w:rFonts w:ascii="宋体" w:hAnsi="宋体" w:eastAsia="宋体" w:cs="宋体"/>
                <w:spacing w:val="8"/>
                <w:sz w:val="20"/>
                <w:szCs w:val="20"/>
              </w:rPr>
              <w:t>道路、隧道和</w:t>
            </w:r>
            <w:r>
              <w:rPr>
                <w:rFonts w:ascii="宋体" w:hAnsi="宋体" w:eastAsia="宋体" w:cs="宋体"/>
                <w:spacing w:val="8"/>
                <w:sz w:val="20"/>
                <w:szCs w:val="20"/>
                <w14:textOutline w14:w="3795" w14:cap="sq" w14:cmpd="sng">
                  <w14:solidFill>
                    <w14:srgbClr w14:val="000000"/>
                  </w14:solidFill>
                  <w14:prstDash w14:val="solid"/>
                  <w14:bevel/>
                </w14:textOutline>
              </w:rPr>
              <w:t>桥梁工程</w:t>
            </w:r>
            <w:r>
              <w:rPr>
                <w:rFonts w:ascii="宋体" w:hAnsi="宋体" w:eastAsia="宋体" w:cs="宋体"/>
                <w:spacing w:val="8"/>
                <w:sz w:val="20"/>
                <w:szCs w:val="20"/>
              </w:rPr>
              <w:t>建筑</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，根据《建设项目环境影响评价分类管理名录 (</w:t>
            </w:r>
            <w:r>
              <w:rPr>
                <w:rFonts w:ascii="Times New Roman" w:hAnsi="Times New Roman" w:eastAsia="Times New Roman" w:cs="Times New Roman"/>
                <w:spacing w:val="8"/>
                <w:sz w:val="20"/>
                <w:szCs w:val="20"/>
              </w:rPr>
              <w:t>2021</w:t>
            </w:r>
            <w:r>
              <w:rPr>
                <w:rFonts w:ascii="宋体" w:hAnsi="宋体" w:eastAsia="宋体" w:cs="宋体"/>
                <w:spacing w:val="8"/>
                <w:sz w:val="20"/>
                <w:szCs w:val="20"/>
              </w:rPr>
              <w:t>年</w:t>
            </w:r>
            <w:r>
              <w:rPr>
                <w:rFonts w:ascii="宋体" w:hAnsi="宋体" w:eastAsia="宋体" w:cs="宋体"/>
                <w:sz w:val="20"/>
                <w:szCs w:val="20"/>
              </w:rPr>
              <w:t xml:space="preserve"> </w:t>
            </w:r>
            <w:r>
              <w:rPr>
                <w:rFonts w:ascii="宋体" w:hAnsi="宋体" w:eastAsia="宋体" w:cs="宋体"/>
                <w:spacing w:val="15"/>
                <w:sz w:val="20"/>
                <w:szCs w:val="20"/>
              </w:rPr>
              <w:t>版</w:t>
            </w:r>
            <w:r>
              <w:rPr>
                <w:rFonts w:ascii="宋体" w:hAnsi="宋体" w:eastAsia="宋体" w:cs="宋体"/>
                <w:spacing w:val="8"/>
                <w:sz w:val="20"/>
                <w:szCs w:val="20"/>
              </w:rPr>
              <w:t>) 》，本项目应编制环境影响报告表。</w:t>
            </w:r>
          </w:p>
          <w:p>
            <w:pPr>
              <w:spacing w:line="229" w:lineRule="auto"/>
              <w:ind w:left="3211"/>
              <w:rPr>
                <w:rFonts w:ascii="黑体" w:hAnsi="黑体" w:eastAsia="黑体" w:cs="黑体"/>
                <w:sz w:val="19"/>
                <w:szCs w:val="19"/>
              </w:rPr>
            </w:pPr>
            <w:r>
              <w:rPr>
                <w:rFonts w:ascii="黑体" w:hAnsi="黑体" w:eastAsia="黑体" w:cs="黑体"/>
                <w:spacing w:val="10"/>
                <w:sz w:val="19"/>
                <w:szCs w:val="19"/>
              </w:rPr>
              <w:t>表</w:t>
            </w:r>
            <w:r>
              <w:rPr>
                <w:rFonts w:ascii="Times New Roman" w:hAnsi="Times New Roman" w:eastAsia="Times New Roman" w:cs="Times New Roman"/>
                <w:spacing w:val="6"/>
                <w:sz w:val="19"/>
                <w:szCs w:val="19"/>
              </w:rPr>
              <w:t xml:space="preserve">8    </w:t>
            </w:r>
            <w:r>
              <w:rPr>
                <w:rFonts w:ascii="黑体" w:hAnsi="黑体" w:eastAsia="黑体" w:cs="黑体"/>
                <w:spacing w:val="6"/>
                <w:sz w:val="19"/>
                <w:szCs w:val="19"/>
              </w:rPr>
              <w:t>项目编制依据表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600" w:type="dxa"/>
            <w:vMerge w:val="continue"/>
            <w:tcBorders>
              <w:top w:val="nil"/>
              <w:left w:val="single" w:color="000000" w:sz="6" w:space="0"/>
              <w:bottom w:val="nil"/>
            </w:tcBorders>
            <w:vAlign w:val="top"/>
          </w:tcPr>
          <w:p>
            <w:pPr>
              <w:rPr>
                <w:rFonts w:ascii="Arial"/>
                <w:sz w:val="21"/>
              </w:rPr>
            </w:pPr>
          </w:p>
        </w:tc>
        <w:tc>
          <w:tcPr>
            <w:tcW w:w="3158" w:type="dxa"/>
            <w:gridSpan w:val="2"/>
            <w:tcBorders>
              <w:tl2br w:val="single" w:color="000000" w:sz="4" w:space="0"/>
            </w:tcBorders>
            <w:vAlign w:val="top"/>
          </w:tcPr>
          <w:p>
            <w:pPr>
              <w:spacing w:before="28" w:line="224" w:lineRule="auto"/>
              <w:ind w:left="1990"/>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环评类</w:t>
            </w:r>
            <w:r>
              <w:rPr>
                <w:rFonts w:ascii="宋体" w:hAnsi="宋体" w:eastAsia="宋体" w:cs="宋体"/>
                <w:spacing w:val="8"/>
                <w:sz w:val="17"/>
                <w:szCs w:val="17"/>
                <w14:textOutline w14:w="3268" w14:cap="sq" w14:cmpd="sng">
                  <w14:solidFill>
                    <w14:srgbClr w14:val="000000"/>
                  </w14:solidFill>
                  <w14:prstDash w14:val="solid"/>
                  <w14:bevel/>
                </w14:textOutline>
              </w:rPr>
              <w:t>别</w:t>
            </w:r>
          </w:p>
          <w:p>
            <w:pPr>
              <w:spacing w:line="230" w:lineRule="auto"/>
              <w:ind w:left="126"/>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项目类别</w:t>
            </w:r>
          </w:p>
        </w:tc>
        <w:tc>
          <w:tcPr>
            <w:tcW w:w="827" w:type="dxa"/>
            <w:vAlign w:val="top"/>
          </w:tcPr>
          <w:p>
            <w:pPr>
              <w:spacing w:before="186" w:line="229" w:lineRule="auto"/>
              <w:ind w:left="143"/>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报告</w:t>
            </w:r>
            <w:r>
              <w:rPr>
                <w:rFonts w:ascii="宋体" w:hAnsi="宋体" w:eastAsia="宋体" w:cs="宋体"/>
                <w:spacing w:val="8"/>
                <w:sz w:val="17"/>
                <w:szCs w:val="17"/>
                <w14:textOutline w14:w="3268" w14:cap="sq" w14:cmpd="sng">
                  <w14:solidFill>
                    <w14:srgbClr w14:val="000000"/>
                  </w14:solidFill>
                  <w14:prstDash w14:val="solid"/>
                  <w14:bevel/>
                </w14:textOutline>
              </w:rPr>
              <w:t>书</w:t>
            </w:r>
          </w:p>
        </w:tc>
        <w:tc>
          <w:tcPr>
            <w:tcW w:w="1802" w:type="dxa"/>
            <w:vAlign w:val="top"/>
          </w:tcPr>
          <w:p>
            <w:pPr>
              <w:spacing w:before="186" w:line="229" w:lineRule="auto"/>
              <w:ind w:left="634"/>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报告</w:t>
            </w:r>
            <w:r>
              <w:rPr>
                <w:rFonts w:ascii="宋体" w:hAnsi="宋体" w:eastAsia="宋体" w:cs="宋体"/>
                <w:spacing w:val="8"/>
                <w:sz w:val="17"/>
                <w:szCs w:val="17"/>
                <w14:textOutline w14:w="3268" w14:cap="sq" w14:cmpd="sng">
                  <w14:solidFill>
                    <w14:srgbClr w14:val="000000"/>
                  </w14:solidFill>
                  <w14:prstDash w14:val="solid"/>
                  <w14:bevel/>
                </w14:textOutline>
              </w:rPr>
              <w:t>表</w:t>
            </w:r>
          </w:p>
        </w:tc>
        <w:tc>
          <w:tcPr>
            <w:tcW w:w="827" w:type="dxa"/>
            <w:vAlign w:val="top"/>
          </w:tcPr>
          <w:p>
            <w:pPr>
              <w:spacing w:before="186" w:line="232" w:lineRule="auto"/>
              <w:ind w:left="155"/>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登记表</w:t>
            </w:r>
          </w:p>
        </w:tc>
        <w:tc>
          <w:tcPr>
            <w:tcW w:w="1703" w:type="dxa"/>
            <w:tcBorders>
              <w:right w:val="single" w:color="000000" w:sz="6" w:space="0"/>
            </w:tcBorders>
            <w:vAlign w:val="top"/>
          </w:tcPr>
          <w:p>
            <w:pPr>
              <w:spacing w:before="187" w:line="229" w:lineRule="auto"/>
              <w:ind w:left="525"/>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本项目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4" w:hRule="atLeast"/>
        </w:trPr>
        <w:tc>
          <w:tcPr>
            <w:tcW w:w="600" w:type="dxa"/>
            <w:vMerge w:val="continue"/>
            <w:tcBorders>
              <w:top w:val="nil"/>
              <w:left w:val="single" w:color="000000" w:sz="6" w:space="0"/>
              <w:bottom w:val="nil"/>
            </w:tcBorders>
            <w:vAlign w:val="top"/>
          </w:tcPr>
          <w:p>
            <w:pPr>
              <w:rPr>
                <w:rFonts w:ascii="Arial"/>
                <w:sz w:val="21"/>
              </w:rPr>
            </w:pPr>
          </w:p>
        </w:tc>
        <w:tc>
          <w:tcPr>
            <w:tcW w:w="687" w:type="dxa"/>
            <w:vAlign w:val="top"/>
          </w:tcPr>
          <w:p>
            <w:pPr>
              <w:spacing w:before="277" w:line="197" w:lineRule="auto"/>
              <w:ind w:left="2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31</w:t>
            </w:r>
          </w:p>
        </w:tc>
        <w:tc>
          <w:tcPr>
            <w:tcW w:w="2471" w:type="dxa"/>
            <w:vAlign w:val="top"/>
          </w:tcPr>
          <w:p>
            <w:pPr>
              <w:spacing w:before="107" w:line="268" w:lineRule="auto"/>
              <w:ind w:left="6" w:hanging="1"/>
              <w:rPr>
                <w:rFonts w:ascii="宋体" w:hAnsi="宋体" w:eastAsia="宋体" w:cs="宋体"/>
                <w:sz w:val="17"/>
                <w:szCs w:val="17"/>
              </w:rPr>
            </w:pPr>
            <w:r>
              <w:rPr>
                <w:rFonts w:ascii="宋体" w:hAnsi="宋体" w:eastAsia="宋体" w:cs="宋体"/>
                <w:spacing w:val="-1"/>
                <w:sz w:val="17"/>
                <w:szCs w:val="17"/>
              </w:rPr>
              <w:t>城市道路(</w:t>
            </w:r>
            <w:r>
              <w:rPr>
                <w:rFonts w:ascii="宋体" w:hAnsi="宋体" w:eastAsia="宋体" w:cs="宋体"/>
                <w:sz w:val="17"/>
                <w:szCs w:val="17"/>
              </w:rPr>
              <w:t xml:space="preserve">不含维护；不含支路、 </w:t>
            </w:r>
            <w:r>
              <w:rPr>
                <w:rFonts w:ascii="宋体" w:hAnsi="宋体" w:eastAsia="宋体" w:cs="宋体"/>
                <w:spacing w:val="8"/>
                <w:sz w:val="17"/>
                <w:szCs w:val="17"/>
              </w:rPr>
              <w:t>人</w:t>
            </w:r>
            <w:r>
              <w:rPr>
                <w:rFonts w:ascii="宋体" w:hAnsi="宋体" w:eastAsia="宋体" w:cs="宋体"/>
                <w:spacing w:val="6"/>
                <w:sz w:val="17"/>
                <w:szCs w:val="17"/>
              </w:rPr>
              <w:t>行</w:t>
            </w:r>
            <w:r>
              <w:rPr>
                <w:rFonts w:ascii="宋体" w:hAnsi="宋体" w:eastAsia="宋体" w:cs="宋体"/>
                <w:spacing w:val="4"/>
                <w:sz w:val="17"/>
                <w:szCs w:val="17"/>
              </w:rPr>
              <w:t>天桥、人行地道)</w:t>
            </w:r>
          </w:p>
        </w:tc>
        <w:tc>
          <w:tcPr>
            <w:tcW w:w="827" w:type="dxa"/>
            <w:vAlign w:val="top"/>
          </w:tcPr>
          <w:p>
            <w:pPr>
              <w:spacing w:before="214" w:line="242" w:lineRule="exact"/>
              <w:ind w:left="38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802" w:type="dxa"/>
            <w:vAlign w:val="top"/>
          </w:tcPr>
          <w:p>
            <w:pPr>
              <w:spacing w:before="106" w:line="268" w:lineRule="auto"/>
              <w:ind w:left="9" w:right="41"/>
              <w:rPr>
                <w:rFonts w:ascii="宋体" w:hAnsi="宋体" w:eastAsia="宋体" w:cs="宋体"/>
                <w:sz w:val="17"/>
                <w:szCs w:val="17"/>
              </w:rPr>
            </w:pPr>
            <w:r>
              <w:rPr>
                <w:rFonts w:ascii="宋体" w:hAnsi="宋体" w:eastAsia="宋体" w:cs="宋体"/>
                <w:spacing w:val="8"/>
                <w:sz w:val="17"/>
                <w:szCs w:val="17"/>
              </w:rPr>
              <w:t>新</w:t>
            </w:r>
            <w:r>
              <w:rPr>
                <w:rFonts w:ascii="宋体" w:hAnsi="宋体" w:eastAsia="宋体" w:cs="宋体"/>
                <w:spacing w:val="5"/>
                <w:sz w:val="17"/>
                <w:szCs w:val="17"/>
              </w:rPr>
              <w:t>建</w:t>
            </w:r>
            <w:r>
              <w:rPr>
                <w:rFonts w:ascii="宋体" w:hAnsi="宋体" w:eastAsia="宋体" w:cs="宋体"/>
                <w:spacing w:val="4"/>
                <w:sz w:val="17"/>
                <w:szCs w:val="17"/>
              </w:rPr>
              <w:t>快速路、主干路；</w:t>
            </w:r>
            <w:r>
              <w:rPr>
                <w:rFonts w:ascii="宋体" w:hAnsi="宋体" w:eastAsia="宋体" w:cs="宋体"/>
                <w:sz w:val="17"/>
                <w:szCs w:val="17"/>
              </w:rPr>
              <w:t xml:space="preserve"> </w:t>
            </w:r>
            <w:r>
              <w:rPr>
                <w:rFonts w:ascii="宋体" w:hAnsi="宋体" w:eastAsia="宋体" w:cs="宋体"/>
                <w:spacing w:val="9"/>
                <w:sz w:val="17"/>
                <w:szCs w:val="17"/>
              </w:rPr>
              <w:t>城市桥梁、隧</w:t>
            </w:r>
            <w:r>
              <w:rPr>
                <w:rFonts w:ascii="宋体" w:hAnsi="宋体" w:eastAsia="宋体" w:cs="宋体"/>
                <w:spacing w:val="8"/>
                <w:sz w:val="17"/>
                <w:szCs w:val="17"/>
              </w:rPr>
              <w:t>道</w:t>
            </w:r>
          </w:p>
        </w:tc>
        <w:tc>
          <w:tcPr>
            <w:tcW w:w="827" w:type="dxa"/>
            <w:vAlign w:val="top"/>
          </w:tcPr>
          <w:p>
            <w:pPr>
              <w:spacing w:before="249" w:line="232" w:lineRule="auto"/>
              <w:ind w:left="241"/>
              <w:rPr>
                <w:rFonts w:ascii="宋体" w:hAnsi="宋体" w:eastAsia="宋体" w:cs="宋体"/>
                <w:sz w:val="17"/>
                <w:szCs w:val="17"/>
              </w:rPr>
            </w:pPr>
            <w:r>
              <w:rPr>
                <w:rFonts w:ascii="宋体" w:hAnsi="宋体" w:eastAsia="宋体" w:cs="宋体"/>
                <w:spacing w:val="6"/>
                <w:sz w:val="17"/>
                <w:szCs w:val="17"/>
              </w:rPr>
              <w:t>其它</w:t>
            </w:r>
          </w:p>
        </w:tc>
        <w:tc>
          <w:tcPr>
            <w:tcW w:w="1703" w:type="dxa"/>
            <w:tcBorders>
              <w:right w:val="single" w:color="000000" w:sz="6" w:space="0"/>
            </w:tcBorders>
            <w:vAlign w:val="top"/>
          </w:tcPr>
          <w:p>
            <w:pPr>
              <w:spacing w:before="107" w:line="230" w:lineRule="auto"/>
              <w:ind w:left="14"/>
              <w:rPr>
                <w:rFonts w:ascii="宋体" w:hAnsi="宋体" w:eastAsia="宋体" w:cs="宋体"/>
                <w:sz w:val="17"/>
                <w:szCs w:val="17"/>
              </w:rPr>
            </w:pPr>
            <w:r>
              <w:rPr>
                <w:rFonts w:ascii="宋体" w:hAnsi="宋体" w:eastAsia="宋体" w:cs="宋体"/>
                <w:spacing w:val="3"/>
                <w:sz w:val="17"/>
                <w:szCs w:val="17"/>
              </w:rPr>
              <w:t>新建城市桥梁，编制</w:t>
            </w:r>
          </w:p>
          <w:p>
            <w:pPr>
              <w:spacing w:before="68" w:line="229" w:lineRule="auto"/>
              <w:ind w:left="11"/>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报告</w:t>
            </w:r>
            <w:r>
              <w:rPr>
                <w:rFonts w:ascii="宋体" w:hAnsi="宋体" w:eastAsia="宋体" w:cs="宋体"/>
                <w:spacing w:val="8"/>
                <w:sz w:val="17"/>
                <w:szCs w:val="17"/>
                <w14:textOutline w14:w="3268" w14:cap="sq" w14:cmpd="sng">
                  <w14:solidFill>
                    <w14:srgbClr w14:val="000000"/>
                  </w14:solidFill>
                  <w14:prstDash w14:val="solid"/>
                  <w14:bevel/>
                </w14:textOutline>
              </w:rPr>
              <w:t>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5" w:hRule="atLeast"/>
        </w:trPr>
        <w:tc>
          <w:tcPr>
            <w:tcW w:w="600" w:type="dxa"/>
            <w:vMerge w:val="continue"/>
            <w:tcBorders>
              <w:top w:val="nil"/>
              <w:left w:val="single" w:color="000000" w:sz="6" w:space="0"/>
            </w:tcBorders>
            <w:vAlign w:val="top"/>
          </w:tcPr>
          <w:p>
            <w:pPr>
              <w:rPr>
                <w:rFonts w:ascii="Arial"/>
                <w:sz w:val="21"/>
              </w:rPr>
            </w:pPr>
          </w:p>
        </w:tc>
        <w:tc>
          <w:tcPr>
            <w:tcW w:w="8317" w:type="dxa"/>
            <w:gridSpan w:val="6"/>
            <w:tcBorders>
              <w:right w:val="single" w:color="000000" w:sz="6" w:space="0"/>
            </w:tcBorders>
            <w:vAlign w:val="top"/>
          </w:tcPr>
          <w:p>
            <w:pPr>
              <w:spacing w:before="141" w:line="242" w:lineRule="auto"/>
              <w:ind w:left="103"/>
              <w:rPr>
                <w:rFonts w:ascii="黑体" w:hAnsi="黑体" w:eastAsia="黑体" w:cs="黑体"/>
                <w:sz w:val="20"/>
                <w:szCs w:val="20"/>
              </w:rPr>
            </w:pPr>
            <w:r>
              <w:rPr>
                <w:rFonts w:ascii="Times New Roman" w:hAnsi="Times New Roman" w:eastAsia="Times New Roman" w:cs="Times New Roman"/>
                <w:spacing w:val="2"/>
                <w:sz w:val="20"/>
                <w:szCs w:val="20"/>
              </w:rPr>
              <w:t xml:space="preserve">2 </w:t>
            </w:r>
            <w:r>
              <w:rPr>
                <w:rFonts w:ascii="黑体" w:hAnsi="黑体" w:eastAsia="黑体" w:cs="黑体"/>
                <w:spacing w:val="2"/>
                <w:sz w:val="20"/>
                <w:szCs w:val="20"/>
              </w:rPr>
              <w:t>、主要技术标</w:t>
            </w:r>
            <w:r>
              <w:rPr>
                <w:rFonts w:ascii="黑体" w:hAnsi="黑体" w:eastAsia="黑体" w:cs="黑体"/>
                <w:spacing w:val="1"/>
                <w:sz w:val="20"/>
                <w:szCs w:val="20"/>
              </w:rPr>
              <w:t>准</w:t>
            </w:r>
          </w:p>
          <w:p>
            <w:pPr>
              <w:spacing w:before="138" w:line="228" w:lineRule="auto"/>
              <w:ind w:left="544"/>
              <w:rPr>
                <w:rFonts w:ascii="宋体" w:hAnsi="宋体" w:eastAsia="宋体" w:cs="宋体"/>
                <w:sz w:val="20"/>
                <w:szCs w:val="20"/>
              </w:rPr>
            </w:pPr>
            <w:r>
              <w:rPr>
                <w:rFonts w:ascii="Times New Roman" w:hAnsi="Times New Roman" w:eastAsia="Times New Roman" w:cs="Times New Roman"/>
                <w:spacing w:val="12"/>
                <w:sz w:val="20"/>
                <w:szCs w:val="20"/>
              </w:rPr>
              <w:t>1</w:t>
            </w:r>
            <w:r>
              <w:rPr>
                <w:rFonts w:ascii="宋体" w:hAnsi="宋体" w:eastAsia="宋体" w:cs="宋体"/>
                <w:spacing w:val="6"/>
                <w:sz w:val="20"/>
                <w:szCs w:val="20"/>
              </w:rPr>
              <w:t>) 道路等级：城市次干道；</w:t>
            </w:r>
          </w:p>
          <w:p>
            <w:pPr>
              <w:spacing w:before="116" w:line="281" w:lineRule="exact"/>
              <w:ind w:left="523"/>
              <w:rPr>
                <w:rFonts w:ascii="宋体" w:hAnsi="宋体" w:eastAsia="宋体" w:cs="宋体"/>
                <w:sz w:val="20"/>
                <w:szCs w:val="20"/>
              </w:rPr>
            </w:pPr>
            <w:r>
              <w:rPr>
                <w:rFonts w:ascii="Times New Roman" w:hAnsi="Times New Roman" w:eastAsia="Times New Roman" w:cs="Times New Roman"/>
                <w:spacing w:val="12"/>
                <w:position w:val="1"/>
                <w:sz w:val="20"/>
                <w:szCs w:val="20"/>
              </w:rPr>
              <w:t>2</w:t>
            </w:r>
            <w:r>
              <w:rPr>
                <w:rFonts w:ascii="宋体" w:hAnsi="宋体" w:eastAsia="宋体" w:cs="宋体"/>
                <w:spacing w:val="7"/>
                <w:position w:val="1"/>
                <w:sz w:val="20"/>
                <w:szCs w:val="20"/>
              </w:rPr>
              <w:t>) 设计车速：</w:t>
            </w:r>
            <w:r>
              <w:rPr>
                <w:rFonts w:ascii="Times New Roman" w:hAnsi="Times New Roman" w:eastAsia="Times New Roman" w:cs="Times New Roman"/>
                <w:spacing w:val="7"/>
                <w:position w:val="1"/>
                <w:sz w:val="20"/>
                <w:szCs w:val="20"/>
              </w:rPr>
              <w:t>40</w:t>
            </w:r>
            <w:r>
              <w:rPr>
                <w:rFonts w:ascii="Times New Roman" w:hAnsi="Times New Roman" w:eastAsia="Times New Roman" w:cs="Times New Roman"/>
                <w:position w:val="1"/>
                <w:sz w:val="20"/>
                <w:szCs w:val="20"/>
              </w:rPr>
              <w:t>km</w:t>
            </w:r>
            <w:r>
              <w:rPr>
                <w:rFonts w:ascii="Times New Roman" w:hAnsi="Times New Roman" w:eastAsia="Times New Roman" w:cs="Times New Roman"/>
                <w:spacing w:val="7"/>
                <w:position w:val="1"/>
                <w:sz w:val="20"/>
                <w:szCs w:val="20"/>
              </w:rPr>
              <w:t>/</w:t>
            </w:r>
            <w:r>
              <w:rPr>
                <w:rFonts w:ascii="Times New Roman" w:hAnsi="Times New Roman" w:eastAsia="Times New Roman" w:cs="Times New Roman"/>
                <w:position w:val="1"/>
                <w:sz w:val="20"/>
                <w:szCs w:val="20"/>
              </w:rPr>
              <w:t>h</w:t>
            </w:r>
            <w:r>
              <w:rPr>
                <w:rFonts w:ascii="宋体" w:hAnsi="宋体" w:eastAsia="宋体" w:cs="宋体"/>
                <w:spacing w:val="7"/>
                <w:position w:val="1"/>
                <w:sz w:val="20"/>
                <w:szCs w:val="20"/>
              </w:rPr>
              <w:t>；</w:t>
            </w:r>
          </w:p>
          <w:p>
            <w:pPr>
              <w:spacing w:before="155" w:line="226" w:lineRule="auto"/>
              <w:ind w:left="528"/>
              <w:rPr>
                <w:rFonts w:ascii="宋体" w:hAnsi="宋体" w:eastAsia="宋体" w:cs="宋体"/>
                <w:sz w:val="20"/>
                <w:szCs w:val="20"/>
              </w:rPr>
            </w:pPr>
            <w:r>
              <w:rPr>
                <w:rFonts w:ascii="Times New Roman" w:hAnsi="Times New Roman" w:eastAsia="Times New Roman" w:cs="Times New Roman"/>
                <w:spacing w:val="4"/>
                <w:sz w:val="20"/>
                <w:szCs w:val="20"/>
              </w:rPr>
              <w:t>3</w:t>
            </w:r>
            <w:r>
              <w:rPr>
                <w:rFonts w:ascii="宋体" w:hAnsi="宋体" w:eastAsia="宋体" w:cs="宋体"/>
                <w:spacing w:val="3"/>
                <w:sz w:val="20"/>
                <w:szCs w:val="20"/>
              </w:rPr>
              <w:t xml:space="preserve">) 桥梁标准宽度：车行道净宽 </w:t>
            </w:r>
            <w:r>
              <w:rPr>
                <w:rFonts w:ascii="Times New Roman" w:hAnsi="Times New Roman" w:eastAsia="Times New Roman" w:cs="Times New Roman"/>
                <w:spacing w:val="3"/>
                <w:sz w:val="20"/>
                <w:szCs w:val="20"/>
              </w:rPr>
              <w:t>10.5</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，人行道宽 </w:t>
            </w:r>
            <w:r>
              <w:rPr>
                <w:rFonts w:ascii="Times New Roman" w:hAnsi="Times New Roman" w:eastAsia="Times New Roman" w:cs="Times New Roman"/>
                <w:spacing w:val="3"/>
                <w:sz w:val="20"/>
                <w:szCs w:val="20"/>
              </w:rPr>
              <w:t>4</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(半幅) ；</w:t>
            </w:r>
          </w:p>
          <w:p>
            <w:pPr>
              <w:spacing w:before="118" w:line="281" w:lineRule="exact"/>
              <w:ind w:left="522"/>
              <w:rPr>
                <w:rFonts w:ascii="宋体" w:hAnsi="宋体" w:eastAsia="宋体" w:cs="宋体"/>
                <w:sz w:val="20"/>
                <w:szCs w:val="20"/>
              </w:rPr>
            </w:pPr>
            <w:r>
              <w:rPr>
                <w:rFonts w:ascii="Times New Roman" w:hAnsi="Times New Roman" w:eastAsia="Times New Roman" w:cs="Times New Roman"/>
                <w:spacing w:val="16"/>
                <w:position w:val="1"/>
                <w:sz w:val="20"/>
                <w:szCs w:val="20"/>
              </w:rPr>
              <w:t>4</w:t>
            </w:r>
            <w:r>
              <w:rPr>
                <w:rFonts w:ascii="宋体" w:hAnsi="宋体" w:eastAsia="宋体" w:cs="宋体"/>
                <w:spacing w:val="13"/>
                <w:position w:val="1"/>
                <w:sz w:val="20"/>
                <w:szCs w:val="20"/>
              </w:rPr>
              <w:t>)</w:t>
            </w:r>
            <w:r>
              <w:rPr>
                <w:rFonts w:ascii="宋体" w:hAnsi="宋体" w:eastAsia="宋体" w:cs="宋体"/>
                <w:spacing w:val="8"/>
                <w:position w:val="1"/>
                <w:sz w:val="20"/>
                <w:szCs w:val="20"/>
              </w:rPr>
              <w:t xml:space="preserve"> 设计荷载：汽车荷载：城</w:t>
            </w:r>
            <w:r>
              <w:rPr>
                <w:rFonts w:ascii="Times New Roman" w:hAnsi="Times New Roman" w:eastAsia="Times New Roman" w:cs="Times New Roman"/>
                <w:spacing w:val="8"/>
                <w:position w:val="1"/>
                <w:sz w:val="20"/>
                <w:szCs w:val="20"/>
              </w:rPr>
              <w:t>-</w:t>
            </w:r>
            <w:r>
              <w:rPr>
                <w:rFonts w:ascii="Times New Roman" w:hAnsi="Times New Roman" w:eastAsia="Times New Roman" w:cs="Times New Roman"/>
                <w:position w:val="1"/>
                <w:sz w:val="20"/>
                <w:szCs w:val="20"/>
              </w:rPr>
              <w:t>A</w:t>
            </w:r>
            <w:r>
              <w:rPr>
                <w:rFonts w:ascii="Times New Roman" w:hAnsi="Times New Roman" w:eastAsia="Times New Roman" w:cs="Times New Roman"/>
                <w:spacing w:val="8"/>
                <w:position w:val="1"/>
                <w:sz w:val="20"/>
                <w:szCs w:val="20"/>
              </w:rPr>
              <w:t xml:space="preserve"> </w:t>
            </w:r>
            <w:r>
              <w:rPr>
                <w:rFonts w:ascii="宋体" w:hAnsi="宋体" w:eastAsia="宋体" w:cs="宋体"/>
                <w:spacing w:val="8"/>
                <w:position w:val="1"/>
                <w:sz w:val="20"/>
                <w:szCs w:val="20"/>
              </w:rPr>
              <w:t>级，人群荷载：</w:t>
            </w:r>
            <w:r>
              <w:rPr>
                <w:rFonts w:ascii="Times New Roman" w:hAnsi="Times New Roman" w:eastAsia="Times New Roman" w:cs="Times New Roman"/>
                <w:spacing w:val="8"/>
                <w:position w:val="1"/>
                <w:sz w:val="20"/>
                <w:szCs w:val="20"/>
              </w:rPr>
              <w:t>3.5</w:t>
            </w:r>
            <w:r>
              <w:rPr>
                <w:rFonts w:ascii="Times New Roman" w:hAnsi="Times New Roman" w:eastAsia="Times New Roman" w:cs="Times New Roman"/>
                <w:position w:val="1"/>
                <w:sz w:val="20"/>
                <w:szCs w:val="20"/>
              </w:rPr>
              <w:t>KN</w:t>
            </w:r>
            <w:r>
              <w:rPr>
                <w:rFonts w:ascii="Times New Roman" w:hAnsi="Times New Roman" w:eastAsia="Times New Roman" w:cs="Times New Roman"/>
                <w:spacing w:val="8"/>
                <w:position w:val="1"/>
                <w:sz w:val="20"/>
                <w:szCs w:val="20"/>
              </w:rPr>
              <w:t>/</w:t>
            </w:r>
            <w:r>
              <w:rPr>
                <w:rFonts w:ascii="Times New Roman" w:hAnsi="Times New Roman" w:eastAsia="Times New Roman" w:cs="Times New Roman"/>
                <w:position w:val="1"/>
                <w:sz w:val="20"/>
                <w:szCs w:val="20"/>
              </w:rPr>
              <w:t>m</w:t>
            </w:r>
            <w:r>
              <w:rPr>
                <w:rFonts w:ascii="宋体" w:hAnsi="宋体" w:eastAsia="宋体" w:cs="宋体"/>
                <w:spacing w:val="8"/>
                <w:position w:val="1"/>
                <w:sz w:val="20"/>
                <w:szCs w:val="20"/>
              </w:rPr>
              <w:t>²；</w:t>
            </w:r>
          </w:p>
          <w:p>
            <w:pPr>
              <w:spacing w:before="157" w:line="228" w:lineRule="auto"/>
              <w:ind w:left="529"/>
              <w:rPr>
                <w:rFonts w:ascii="宋体" w:hAnsi="宋体" w:eastAsia="宋体" w:cs="宋体"/>
                <w:sz w:val="20"/>
                <w:szCs w:val="20"/>
              </w:rPr>
            </w:pPr>
            <w:r>
              <w:rPr>
                <w:rFonts w:ascii="Times New Roman" w:hAnsi="Times New Roman" w:eastAsia="Times New Roman" w:cs="Times New Roman"/>
                <w:spacing w:val="6"/>
                <w:sz w:val="20"/>
                <w:szCs w:val="20"/>
              </w:rPr>
              <w:t>5</w:t>
            </w:r>
            <w:r>
              <w:rPr>
                <w:rFonts w:ascii="宋体" w:hAnsi="宋体" w:eastAsia="宋体" w:cs="宋体"/>
                <w:spacing w:val="6"/>
                <w:sz w:val="20"/>
                <w:szCs w:val="20"/>
              </w:rPr>
              <w:t>) 设计基准期：</w:t>
            </w:r>
            <w:r>
              <w:rPr>
                <w:rFonts w:ascii="Times New Roman" w:hAnsi="Times New Roman" w:eastAsia="Times New Roman" w:cs="Times New Roman"/>
                <w:spacing w:val="6"/>
                <w:sz w:val="20"/>
                <w:szCs w:val="20"/>
              </w:rPr>
              <w:t xml:space="preserve">100 </w:t>
            </w:r>
            <w:r>
              <w:rPr>
                <w:rFonts w:ascii="宋体" w:hAnsi="宋体" w:eastAsia="宋体" w:cs="宋体"/>
                <w:spacing w:val="6"/>
                <w:sz w:val="20"/>
                <w:szCs w:val="20"/>
              </w:rPr>
              <w:t>年；</w:t>
            </w:r>
          </w:p>
          <w:p>
            <w:pPr>
              <w:spacing w:before="151" w:line="228" w:lineRule="auto"/>
              <w:ind w:left="528"/>
              <w:rPr>
                <w:rFonts w:ascii="宋体" w:hAnsi="宋体" w:eastAsia="宋体" w:cs="宋体"/>
                <w:sz w:val="20"/>
                <w:szCs w:val="20"/>
              </w:rPr>
            </w:pPr>
            <w:r>
              <w:rPr>
                <w:rFonts w:ascii="Times New Roman" w:hAnsi="Times New Roman" w:eastAsia="Times New Roman" w:cs="Times New Roman"/>
                <w:spacing w:val="7"/>
                <w:sz w:val="20"/>
                <w:szCs w:val="20"/>
              </w:rPr>
              <w:t>6</w:t>
            </w:r>
            <w:r>
              <w:rPr>
                <w:rFonts w:ascii="宋体" w:hAnsi="宋体" w:eastAsia="宋体" w:cs="宋体"/>
                <w:spacing w:val="7"/>
                <w:sz w:val="20"/>
                <w:szCs w:val="20"/>
              </w:rPr>
              <w:t>) 桥梁设计工作年限：</w:t>
            </w:r>
            <w:r>
              <w:rPr>
                <w:rFonts w:ascii="Times New Roman" w:hAnsi="Times New Roman" w:eastAsia="Times New Roman" w:cs="Times New Roman"/>
                <w:spacing w:val="7"/>
                <w:sz w:val="20"/>
                <w:szCs w:val="20"/>
              </w:rPr>
              <w:t xml:space="preserve">100 </w:t>
            </w:r>
            <w:r>
              <w:rPr>
                <w:rFonts w:ascii="宋体" w:hAnsi="宋体" w:eastAsia="宋体" w:cs="宋体"/>
                <w:spacing w:val="7"/>
                <w:sz w:val="20"/>
                <w:szCs w:val="20"/>
              </w:rPr>
              <w:t>年</w:t>
            </w:r>
            <w:r>
              <w:rPr>
                <w:rFonts w:ascii="宋体" w:hAnsi="宋体" w:eastAsia="宋体" w:cs="宋体"/>
                <w:spacing w:val="3"/>
                <w:sz w:val="20"/>
                <w:szCs w:val="20"/>
              </w:rPr>
              <w:t>；</w:t>
            </w:r>
          </w:p>
          <w:p>
            <w:pPr>
              <w:spacing w:before="154" w:line="228" w:lineRule="auto"/>
              <w:ind w:left="527"/>
              <w:rPr>
                <w:rFonts w:ascii="宋体" w:hAnsi="宋体" w:eastAsia="宋体" w:cs="宋体"/>
                <w:sz w:val="20"/>
                <w:szCs w:val="20"/>
              </w:rPr>
            </w:pPr>
            <w:r>
              <w:rPr>
                <w:rFonts w:ascii="Times New Roman" w:hAnsi="Times New Roman" w:eastAsia="Times New Roman" w:cs="Times New Roman"/>
                <w:spacing w:val="14"/>
                <w:sz w:val="20"/>
                <w:szCs w:val="20"/>
              </w:rPr>
              <w:t>7</w:t>
            </w:r>
            <w:r>
              <w:rPr>
                <w:rFonts w:ascii="宋体" w:hAnsi="宋体" w:eastAsia="宋体" w:cs="宋体"/>
                <w:spacing w:val="10"/>
                <w:sz w:val="20"/>
                <w:szCs w:val="20"/>
              </w:rPr>
              <w:t>)</w:t>
            </w:r>
            <w:r>
              <w:rPr>
                <w:rFonts w:ascii="宋体" w:hAnsi="宋体" w:eastAsia="宋体" w:cs="宋体"/>
                <w:spacing w:val="7"/>
                <w:sz w:val="20"/>
                <w:szCs w:val="20"/>
              </w:rPr>
              <w:t xml:space="preserve"> 桥梁设计安全等级：一级；</w:t>
            </w:r>
          </w:p>
          <w:p>
            <w:pPr>
              <w:spacing w:before="154" w:line="228" w:lineRule="auto"/>
              <w:ind w:left="532"/>
              <w:rPr>
                <w:rFonts w:ascii="宋体" w:hAnsi="宋体" w:eastAsia="宋体" w:cs="宋体"/>
                <w:sz w:val="20"/>
                <w:szCs w:val="20"/>
              </w:rPr>
            </w:pPr>
            <w:r>
              <w:rPr>
                <w:rFonts w:ascii="Times New Roman" w:hAnsi="Times New Roman" w:eastAsia="Times New Roman" w:cs="Times New Roman"/>
                <w:spacing w:val="7"/>
                <w:sz w:val="20"/>
                <w:szCs w:val="20"/>
              </w:rPr>
              <w:t>8</w:t>
            </w:r>
            <w:r>
              <w:rPr>
                <w:rFonts w:ascii="宋体" w:hAnsi="宋体" w:eastAsia="宋体" w:cs="宋体"/>
                <w:spacing w:val="6"/>
                <w:sz w:val="20"/>
                <w:szCs w:val="20"/>
              </w:rPr>
              <w:t>) 环境类别：</w:t>
            </w:r>
            <w:r>
              <w:rPr>
                <w:rFonts w:ascii="Times New Roman" w:hAnsi="Times New Roman" w:eastAsia="Times New Roman" w:cs="Times New Roman"/>
                <w:sz w:val="20"/>
                <w:szCs w:val="20"/>
              </w:rPr>
              <w:t>I</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类；</w:t>
            </w:r>
          </w:p>
          <w:p>
            <w:pPr>
              <w:spacing w:before="152" w:line="228" w:lineRule="auto"/>
              <w:ind w:left="527"/>
              <w:rPr>
                <w:rFonts w:ascii="宋体" w:hAnsi="宋体" w:eastAsia="宋体" w:cs="宋体"/>
                <w:sz w:val="20"/>
                <w:szCs w:val="20"/>
              </w:rPr>
            </w:pPr>
            <w:r>
              <w:rPr>
                <w:rFonts w:ascii="Times New Roman" w:hAnsi="Times New Roman" w:eastAsia="Times New Roman" w:cs="Times New Roman"/>
                <w:spacing w:val="16"/>
                <w:sz w:val="20"/>
                <w:szCs w:val="20"/>
              </w:rPr>
              <w:t>9</w:t>
            </w:r>
            <w:r>
              <w:rPr>
                <w:rFonts w:ascii="宋体" w:hAnsi="宋体" w:eastAsia="宋体" w:cs="宋体"/>
                <w:spacing w:val="8"/>
                <w:sz w:val="20"/>
                <w:szCs w:val="20"/>
              </w:rPr>
              <w:t>) 通航标准：按</w:t>
            </w:r>
            <w:r>
              <w:rPr>
                <w:rFonts w:ascii="Times New Roman" w:hAnsi="Times New Roman" w:eastAsia="Times New Roman" w:cs="Times New Roman"/>
                <w:spacing w:val="8"/>
                <w:sz w:val="20"/>
                <w:szCs w:val="20"/>
              </w:rPr>
              <w:t>Ⅶ</w:t>
            </w:r>
            <w:r>
              <w:rPr>
                <w:rFonts w:ascii="宋体" w:hAnsi="宋体" w:eastAsia="宋体" w:cs="宋体"/>
                <w:spacing w:val="8"/>
                <w:sz w:val="20"/>
                <w:szCs w:val="20"/>
              </w:rPr>
              <w:t>级航道通航要求设置。</w:t>
            </w:r>
          </w:p>
          <w:p>
            <w:pPr>
              <w:spacing w:before="154" w:line="242" w:lineRule="auto"/>
              <w:ind w:left="544"/>
              <w:rPr>
                <w:rFonts w:ascii="宋体" w:hAnsi="宋体" w:eastAsia="宋体" w:cs="宋体"/>
                <w:sz w:val="20"/>
                <w:szCs w:val="20"/>
              </w:rPr>
            </w:pPr>
            <w:r>
              <w:rPr>
                <w:rFonts w:ascii="Times New Roman" w:hAnsi="Times New Roman" w:eastAsia="Times New Roman" w:cs="Times New Roman"/>
                <w:spacing w:val="8"/>
                <w:sz w:val="20"/>
                <w:szCs w:val="20"/>
              </w:rPr>
              <w:t>10</w:t>
            </w:r>
            <w:r>
              <w:rPr>
                <w:rFonts w:ascii="宋体" w:hAnsi="宋体" w:eastAsia="宋体" w:cs="宋体"/>
                <w:spacing w:val="8"/>
                <w:sz w:val="20"/>
                <w:szCs w:val="20"/>
              </w:rPr>
              <w:t>)</w:t>
            </w:r>
            <w:r>
              <w:rPr>
                <w:rFonts w:ascii="宋体" w:hAnsi="宋体" w:eastAsia="宋体" w:cs="宋体"/>
                <w:spacing w:val="4"/>
                <w:sz w:val="20"/>
                <w:szCs w:val="20"/>
              </w:rPr>
              <w:t xml:space="preserve"> 抗震设防烈度：地震动峰值加速度为 </w:t>
            </w:r>
            <w:r>
              <w:rPr>
                <w:rFonts w:ascii="Times New Roman" w:hAnsi="Times New Roman" w:eastAsia="Times New Roman" w:cs="Times New Roman"/>
                <w:spacing w:val="4"/>
                <w:sz w:val="20"/>
                <w:szCs w:val="20"/>
              </w:rPr>
              <w:t>0.05</w:t>
            </w:r>
            <w:r>
              <w:rPr>
                <w:rFonts w:ascii="Times New Roman" w:hAnsi="Times New Roman" w:eastAsia="Times New Roman" w:cs="Times New Roman"/>
                <w:sz w:val="20"/>
                <w:szCs w:val="20"/>
              </w:rPr>
              <w:t>g</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，抗震设防烈度为 </w:t>
            </w:r>
            <w:r>
              <w:rPr>
                <w:rFonts w:ascii="Times New Roman" w:hAnsi="Times New Roman" w:eastAsia="Times New Roman" w:cs="Times New Roman"/>
                <w:spacing w:val="4"/>
                <w:sz w:val="20"/>
                <w:szCs w:val="20"/>
              </w:rPr>
              <w:t xml:space="preserve">6 </w:t>
            </w:r>
            <w:r>
              <w:rPr>
                <w:rFonts w:ascii="宋体" w:hAnsi="宋体" w:eastAsia="宋体" w:cs="宋体"/>
                <w:spacing w:val="4"/>
                <w:sz w:val="20"/>
                <w:szCs w:val="20"/>
              </w:rPr>
              <w:t>度，桥梁抗震按</w:t>
            </w:r>
          </w:p>
          <w:p>
            <w:pPr>
              <w:spacing w:before="138" w:line="227" w:lineRule="auto"/>
              <w:ind w:left="107"/>
              <w:rPr>
                <w:rFonts w:ascii="宋体" w:hAnsi="宋体" w:eastAsia="宋体" w:cs="宋体"/>
                <w:sz w:val="20"/>
                <w:szCs w:val="20"/>
              </w:rPr>
            </w:pPr>
            <w:r>
              <w:rPr>
                <w:rFonts w:ascii="Times New Roman" w:hAnsi="Times New Roman" w:eastAsia="Times New Roman" w:cs="Times New Roman"/>
                <w:spacing w:val="12"/>
                <w:sz w:val="20"/>
                <w:szCs w:val="20"/>
              </w:rPr>
              <w:t>7</w:t>
            </w:r>
            <w:r>
              <w:rPr>
                <w:rFonts w:ascii="Times New Roman" w:hAnsi="Times New Roman" w:eastAsia="Times New Roman" w:cs="Times New Roman"/>
                <w:spacing w:val="7"/>
                <w:sz w:val="20"/>
                <w:szCs w:val="20"/>
              </w:rPr>
              <w:t xml:space="preserve"> </w:t>
            </w:r>
            <w:r>
              <w:rPr>
                <w:rFonts w:ascii="宋体" w:hAnsi="宋体" w:eastAsia="宋体" w:cs="宋体"/>
                <w:spacing w:val="6"/>
                <w:sz w:val="20"/>
                <w:szCs w:val="20"/>
              </w:rPr>
              <w:t>度采取抗震措施。</w:t>
            </w:r>
          </w:p>
          <w:p>
            <w:pPr>
              <w:spacing w:before="115" w:line="281" w:lineRule="exact"/>
              <w:ind w:left="544"/>
              <w:rPr>
                <w:rFonts w:ascii="宋体" w:hAnsi="宋体" w:eastAsia="宋体" w:cs="宋体"/>
                <w:sz w:val="20"/>
                <w:szCs w:val="20"/>
              </w:rPr>
            </w:pPr>
            <w:r>
              <w:rPr>
                <w:rFonts w:ascii="Times New Roman" w:hAnsi="Times New Roman" w:eastAsia="Times New Roman" w:cs="Times New Roman"/>
                <w:spacing w:val="9"/>
                <w:position w:val="1"/>
                <w:sz w:val="20"/>
                <w:szCs w:val="20"/>
              </w:rPr>
              <w:t>1</w:t>
            </w:r>
            <w:r>
              <w:rPr>
                <w:rFonts w:ascii="Times New Roman" w:hAnsi="Times New Roman" w:eastAsia="Times New Roman" w:cs="Times New Roman"/>
                <w:spacing w:val="6"/>
                <w:position w:val="1"/>
                <w:sz w:val="20"/>
                <w:szCs w:val="20"/>
              </w:rPr>
              <w:t>1</w:t>
            </w:r>
            <w:r>
              <w:rPr>
                <w:rFonts w:ascii="宋体" w:hAnsi="宋体" w:eastAsia="宋体" w:cs="宋体"/>
                <w:spacing w:val="6"/>
                <w:position w:val="1"/>
                <w:sz w:val="20"/>
                <w:szCs w:val="20"/>
              </w:rPr>
              <w:t>) 路床土基回弹模量</w:t>
            </w:r>
            <w:r>
              <w:rPr>
                <w:rFonts w:ascii="Times New Roman" w:hAnsi="Times New Roman" w:eastAsia="Times New Roman" w:cs="Times New Roman"/>
                <w:spacing w:val="6"/>
                <w:position w:val="1"/>
                <w:sz w:val="20"/>
                <w:szCs w:val="20"/>
              </w:rPr>
              <w:t>≥40</w:t>
            </w:r>
            <w:r>
              <w:rPr>
                <w:rFonts w:ascii="Times New Roman" w:hAnsi="Times New Roman" w:eastAsia="Times New Roman" w:cs="Times New Roman"/>
                <w:position w:val="1"/>
                <w:sz w:val="20"/>
                <w:szCs w:val="20"/>
              </w:rPr>
              <w:t>MPa</w:t>
            </w:r>
            <w:r>
              <w:rPr>
                <w:rFonts w:ascii="宋体" w:hAnsi="宋体" w:eastAsia="宋体" w:cs="宋体"/>
                <w:spacing w:val="6"/>
                <w:position w:val="1"/>
                <w:sz w:val="20"/>
                <w:szCs w:val="20"/>
              </w:rPr>
              <w:t>。</w:t>
            </w:r>
          </w:p>
        </w:tc>
      </w:tr>
    </w:tbl>
    <w:p>
      <w:pPr>
        <w:spacing w:line="222" w:lineRule="exact"/>
        <w:rPr>
          <w:rFonts w:ascii="Arial"/>
          <w:sz w:val="19"/>
        </w:rPr>
      </w:pPr>
    </w:p>
    <w:p>
      <w:pPr>
        <w:sectPr>
          <w:footerReference r:id="rId24" w:type="default"/>
          <w:pgSz w:w="11906" w:h="16839"/>
          <w:pgMar w:top="400" w:right="1487" w:bottom="1475" w:left="1486" w:header="0" w:footer="1315" w:gutter="0"/>
          <w:cols w:space="720" w:num="1"/>
        </w:sectPr>
      </w:pPr>
    </w:p>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1"/>
        <w:gridCol w:w="141"/>
        <w:gridCol w:w="503"/>
        <w:gridCol w:w="925"/>
        <w:gridCol w:w="4750"/>
        <w:gridCol w:w="990"/>
        <w:gridCol w:w="856"/>
        <w:gridCol w:w="1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6" w:hRule="atLeast"/>
        </w:trPr>
        <w:tc>
          <w:tcPr>
            <w:tcW w:w="601" w:type="dxa"/>
            <w:vMerge w:val="restart"/>
            <w:tcBorders>
              <w:left w:val="single" w:color="000000" w:sz="6" w:space="0"/>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28" w:lineRule="auto"/>
              <w:ind w:left="91"/>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p>
            <w:pPr>
              <w:spacing w:before="26" w:line="229" w:lineRule="auto"/>
              <w:ind w:left="9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组</w:t>
            </w:r>
            <w:r>
              <w:rPr>
                <w:rFonts w:ascii="宋体" w:hAnsi="宋体" w:eastAsia="宋体" w:cs="宋体"/>
                <w:spacing w:val="4"/>
                <w:sz w:val="20"/>
                <w:szCs w:val="20"/>
                <w14:textOutline w14:w="3795" w14:cap="sq" w14:cmpd="sng">
                  <w14:solidFill>
                    <w14:srgbClr w14:val="000000"/>
                  </w14:solidFill>
                  <w14:prstDash w14:val="solid"/>
                  <w14:bevel/>
                </w14:textOutline>
              </w:rPr>
              <w:t>成</w:t>
            </w:r>
          </w:p>
          <w:p>
            <w:pPr>
              <w:spacing w:before="22" w:line="230" w:lineRule="auto"/>
              <w:ind w:left="8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及规</w:t>
            </w:r>
          </w:p>
          <w:p>
            <w:pPr>
              <w:spacing w:before="24" w:line="228" w:lineRule="auto"/>
              <w:ind w:left="190"/>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模</w:t>
            </w:r>
          </w:p>
        </w:tc>
        <w:tc>
          <w:tcPr>
            <w:tcW w:w="8316" w:type="dxa"/>
            <w:gridSpan w:val="7"/>
            <w:tcBorders>
              <w:right w:val="single" w:color="000000" w:sz="6" w:space="0"/>
            </w:tcBorders>
            <w:vAlign w:val="top"/>
          </w:tcPr>
          <w:p>
            <w:pPr>
              <w:spacing w:before="144" w:line="242" w:lineRule="auto"/>
              <w:ind w:left="107"/>
              <w:rPr>
                <w:rFonts w:ascii="黑体" w:hAnsi="黑体" w:eastAsia="黑体" w:cs="黑体"/>
                <w:sz w:val="20"/>
                <w:szCs w:val="20"/>
              </w:rPr>
            </w:pPr>
            <w:r>
              <w:rPr>
                <w:rFonts w:ascii="Times New Roman" w:hAnsi="Times New Roman" w:eastAsia="Times New Roman" w:cs="Times New Roman"/>
                <w:spacing w:val="4"/>
                <w:sz w:val="20"/>
                <w:szCs w:val="20"/>
              </w:rPr>
              <w:t xml:space="preserve">3 </w:t>
            </w:r>
            <w:r>
              <w:rPr>
                <w:rFonts w:ascii="黑体" w:hAnsi="黑体" w:eastAsia="黑体" w:cs="黑体"/>
                <w:spacing w:val="2"/>
                <w:sz w:val="20"/>
                <w:szCs w:val="20"/>
              </w:rPr>
              <w:t>、建设内容及规模</w:t>
            </w:r>
          </w:p>
          <w:p>
            <w:pPr>
              <w:spacing w:before="138" w:line="365" w:lineRule="auto"/>
              <w:ind w:left="102" w:right="34" w:firstLine="424"/>
              <w:rPr>
                <w:rFonts w:ascii="宋体" w:hAnsi="宋体" w:eastAsia="宋体" w:cs="宋体"/>
                <w:sz w:val="20"/>
                <w:szCs w:val="20"/>
              </w:rPr>
            </w:pPr>
            <w:r>
              <w:rPr>
                <w:rFonts w:ascii="宋体" w:hAnsi="宋体" w:eastAsia="宋体" w:cs="宋体"/>
                <w:spacing w:val="14"/>
                <w:sz w:val="20"/>
                <w:szCs w:val="20"/>
              </w:rPr>
              <w:t>本项</w:t>
            </w:r>
            <w:r>
              <w:rPr>
                <w:rFonts w:ascii="宋体" w:hAnsi="宋体" w:eastAsia="宋体" w:cs="宋体"/>
                <w:spacing w:val="10"/>
                <w:sz w:val="20"/>
                <w:szCs w:val="20"/>
              </w:rPr>
              <w:t>目</w:t>
            </w:r>
            <w:r>
              <w:rPr>
                <w:rFonts w:ascii="宋体" w:hAnsi="宋体" w:eastAsia="宋体" w:cs="宋体"/>
                <w:spacing w:val="7"/>
                <w:sz w:val="20"/>
                <w:szCs w:val="20"/>
              </w:rPr>
              <w:t xml:space="preserve">主体工程为高家坝大桥 </w:t>
            </w:r>
            <w:r>
              <w:rPr>
                <w:rFonts w:ascii="Times New Roman" w:hAnsi="Times New Roman" w:eastAsia="Times New Roman" w:cs="Times New Roman"/>
                <w:spacing w:val="7"/>
                <w:sz w:val="20"/>
                <w:szCs w:val="20"/>
              </w:rPr>
              <w:t xml:space="preserve">1 </w:t>
            </w:r>
            <w:r>
              <w:rPr>
                <w:rFonts w:ascii="宋体" w:hAnsi="宋体" w:eastAsia="宋体" w:cs="宋体"/>
                <w:spacing w:val="7"/>
                <w:sz w:val="20"/>
                <w:szCs w:val="20"/>
              </w:rPr>
              <w:t>座，桥梁全长约</w:t>
            </w:r>
            <w:r>
              <w:rPr>
                <w:rFonts w:ascii="Times New Roman" w:hAnsi="Times New Roman" w:eastAsia="Times New Roman" w:cs="Times New Roman"/>
                <w:spacing w:val="7"/>
                <w:sz w:val="20"/>
                <w:szCs w:val="20"/>
              </w:rPr>
              <w:t xml:space="preserve">240 </w:t>
            </w:r>
            <w:r>
              <w:rPr>
                <w:rFonts w:ascii="宋体" w:hAnsi="宋体" w:eastAsia="宋体" w:cs="宋体"/>
                <w:spacing w:val="7"/>
                <w:sz w:val="20"/>
                <w:szCs w:val="20"/>
              </w:rPr>
              <w:t xml:space="preserve">米，宽 </w:t>
            </w:r>
            <w:r>
              <w:rPr>
                <w:rFonts w:ascii="Times New Roman" w:hAnsi="Times New Roman" w:eastAsia="Times New Roman" w:cs="Times New Roman"/>
                <w:spacing w:val="7"/>
                <w:sz w:val="20"/>
                <w:szCs w:val="20"/>
              </w:rPr>
              <w:t xml:space="preserve">34.5 </w:t>
            </w:r>
            <w:r>
              <w:rPr>
                <w:rFonts w:ascii="宋体" w:hAnsi="宋体" w:eastAsia="宋体" w:cs="宋体"/>
                <w:spacing w:val="7"/>
                <w:sz w:val="20"/>
                <w:szCs w:val="20"/>
              </w:rPr>
              <w:t xml:space="preserve">米，双向 </w:t>
            </w:r>
            <w:r>
              <w:rPr>
                <w:rFonts w:ascii="Times New Roman" w:hAnsi="Times New Roman" w:eastAsia="Times New Roman" w:cs="Times New Roman"/>
                <w:spacing w:val="7"/>
                <w:sz w:val="20"/>
                <w:szCs w:val="20"/>
              </w:rPr>
              <w:t xml:space="preserve">6 </w:t>
            </w:r>
            <w:r>
              <w:rPr>
                <w:rFonts w:ascii="宋体" w:hAnsi="宋体" w:eastAsia="宋体" w:cs="宋体"/>
                <w:spacing w:val="7"/>
                <w:sz w:val="20"/>
                <w:szCs w:val="20"/>
              </w:rPr>
              <w:t>车道，</w:t>
            </w:r>
            <w:r>
              <w:rPr>
                <w:rFonts w:ascii="宋体" w:hAnsi="宋体" w:eastAsia="宋体" w:cs="宋体"/>
                <w:sz w:val="20"/>
                <w:szCs w:val="20"/>
              </w:rPr>
              <w:t xml:space="preserve"> </w:t>
            </w:r>
            <w:r>
              <w:rPr>
                <w:rFonts w:ascii="宋体" w:hAnsi="宋体" w:eastAsia="宋体" w:cs="宋体"/>
                <w:spacing w:val="3"/>
                <w:sz w:val="20"/>
                <w:szCs w:val="20"/>
              </w:rPr>
              <w:t xml:space="preserve">按城市次干道设计，车速 </w:t>
            </w:r>
            <w:r>
              <w:rPr>
                <w:rFonts w:ascii="Times New Roman" w:hAnsi="Times New Roman" w:eastAsia="Times New Roman" w:cs="Times New Roman"/>
                <w:spacing w:val="3"/>
                <w:sz w:val="20"/>
                <w:szCs w:val="20"/>
              </w:rPr>
              <w:t>40</w:t>
            </w:r>
            <w:r>
              <w:rPr>
                <w:rFonts w:ascii="Times New Roman" w:hAnsi="Times New Roman" w:eastAsia="Times New Roman" w:cs="Times New Roman"/>
                <w:sz w:val="20"/>
                <w:szCs w:val="20"/>
              </w:rPr>
              <w:t>km</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h</w:t>
            </w:r>
            <w:r>
              <w:rPr>
                <w:rFonts w:ascii="宋体" w:hAnsi="宋体" w:eastAsia="宋体" w:cs="宋体"/>
                <w:spacing w:val="3"/>
                <w:sz w:val="20"/>
                <w:szCs w:val="20"/>
              </w:rPr>
              <w:t xml:space="preserve">；配套建设桥梁东端路基 </w:t>
            </w:r>
            <w:r>
              <w:rPr>
                <w:rFonts w:ascii="Times New Roman" w:hAnsi="Times New Roman" w:eastAsia="Times New Roman" w:cs="Times New Roman"/>
                <w:spacing w:val="3"/>
                <w:sz w:val="20"/>
                <w:szCs w:val="20"/>
              </w:rPr>
              <w:t>37</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、西端路基 </w:t>
            </w:r>
            <w:r>
              <w:rPr>
                <w:rFonts w:ascii="Times New Roman" w:hAnsi="Times New Roman" w:eastAsia="Times New Roman" w:cs="Times New Roman"/>
                <w:spacing w:val="3"/>
                <w:sz w:val="20"/>
                <w:szCs w:val="20"/>
              </w:rPr>
              <w:t>20</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，全线</w:t>
            </w:r>
            <w:r>
              <w:rPr>
                <w:rFonts w:ascii="宋体" w:hAnsi="宋体" w:eastAsia="宋体" w:cs="宋体"/>
                <w:spacing w:val="1"/>
                <w:sz w:val="20"/>
                <w:szCs w:val="20"/>
              </w:rPr>
              <w:t>长</w:t>
            </w:r>
            <w:r>
              <w:rPr>
                <w:rFonts w:ascii="宋体" w:hAnsi="宋体" w:eastAsia="宋体" w:cs="宋体"/>
                <w:sz w:val="20"/>
                <w:szCs w:val="20"/>
              </w:rPr>
              <w:t xml:space="preserve"> </w:t>
            </w: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97</w:t>
            </w:r>
            <w:r>
              <w:rPr>
                <w:rFonts w:ascii="Times New Roman" w:hAnsi="Times New Roman" w:eastAsia="Times New Roman" w:cs="Times New Roman"/>
                <w:sz w:val="20"/>
                <w:szCs w:val="20"/>
              </w:rPr>
              <w:t>m</w:t>
            </w:r>
            <w:r>
              <w:rPr>
                <w:rFonts w:ascii="宋体" w:hAnsi="宋体" w:eastAsia="宋体" w:cs="宋体"/>
                <w:spacing w:val="3"/>
                <w:sz w:val="20"/>
                <w:szCs w:val="20"/>
              </w:rPr>
              <w:t xml:space="preserve">；另外改造东端平交路口道路 </w:t>
            </w:r>
            <w:r>
              <w:rPr>
                <w:rFonts w:ascii="Times New Roman" w:hAnsi="Times New Roman" w:eastAsia="Times New Roman" w:cs="Times New Roman"/>
                <w:spacing w:val="3"/>
                <w:sz w:val="20"/>
                <w:szCs w:val="20"/>
              </w:rPr>
              <w:t>245</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、新建西端平交入口 </w:t>
            </w:r>
            <w:r>
              <w:rPr>
                <w:rFonts w:ascii="Times New Roman" w:hAnsi="Times New Roman" w:eastAsia="Times New Roman" w:cs="Times New Roman"/>
                <w:spacing w:val="3"/>
                <w:sz w:val="20"/>
                <w:szCs w:val="20"/>
              </w:rPr>
              <w:t>62</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。主要建设内容包括桥</w:t>
            </w:r>
            <w:r>
              <w:rPr>
                <w:rFonts w:ascii="宋体" w:hAnsi="宋体" w:eastAsia="宋体" w:cs="宋体"/>
                <w:sz w:val="20"/>
                <w:szCs w:val="20"/>
              </w:rPr>
              <w:t xml:space="preserve"> </w:t>
            </w:r>
            <w:r>
              <w:rPr>
                <w:rFonts w:ascii="宋体" w:hAnsi="宋体" w:eastAsia="宋体" w:cs="宋体"/>
                <w:spacing w:val="8"/>
                <w:sz w:val="20"/>
                <w:szCs w:val="20"/>
              </w:rPr>
              <w:t>梁、</w:t>
            </w:r>
            <w:r>
              <w:rPr>
                <w:rFonts w:ascii="宋体" w:hAnsi="宋体" w:eastAsia="宋体" w:cs="宋体"/>
                <w:spacing w:val="4"/>
                <w:sz w:val="20"/>
                <w:szCs w:val="20"/>
              </w:rPr>
              <w:t>道路工程、交通工程、排水工程、照明工程、绿化、景观工程和连接道路建设工程等。</w:t>
            </w:r>
            <w:r>
              <w:rPr>
                <w:rFonts w:ascii="宋体" w:hAnsi="宋体" w:eastAsia="宋体" w:cs="宋体"/>
                <w:sz w:val="20"/>
                <w:szCs w:val="20"/>
              </w:rPr>
              <w:t xml:space="preserve"> </w:t>
            </w:r>
            <w:r>
              <w:rPr>
                <w:rFonts w:ascii="宋体" w:hAnsi="宋体" w:eastAsia="宋体" w:cs="宋体"/>
                <w:spacing w:val="9"/>
                <w:sz w:val="20"/>
                <w:szCs w:val="20"/>
              </w:rPr>
              <w:t>项目组成及主要环境问题见下表</w:t>
            </w:r>
            <w:r>
              <w:rPr>
                <w:rFonts w:ascii="宋体" w:hAnsi="宋体" w:eastAsia="宋体" w:cs="宋体"/>
                <w:spacing w:val="7"/>
                <w:sz w:val="20"/>
                <w:szCs w:val="20"/>
              </w:rPr>
              <w:t>。</w:t>
            </w:r>
          </w:p>
          <w:p>
            <w:pPr>
              <w:spacing w:line="230" w:lineRule="auto"/>
              <w:ind w:left="2811"/>
              <w:rPr>
                <w:rFonts w:ascii="黑体" w:hAnsi="黑体" w:eastAsia="黑体" w:cs="黑体"/>
                <w:sz w:val="19"/>
                <w:szCs w:val="19"/>
              </w:rPr>
            </w:pPr>
            <w:r>
              <w:rPr>
                <w:rFonts w:ascii="黑体" w:hAnsi="黑体" w:eastAsia="黑体" w:cs="黑体"/>
                <w:spacing w:val="9"/>
                <w:sz w:val="19"/>
                <w:szCs w:val="19"/>
              </w:rPr>
              <w:t>表</w:t>
            </w:r>
            <w:r>
              <w:rPr>
                <w:rFonts w:ascii="Times New Roman" w:hAnsi="Times New Roman" w:eastAsia="Times New Roman" w:cs="Times New Roman"/>
                <w:spacing w:val="7"/>
                <w:sz w:val="19"/>
                <w:szCs w:val="19"/>
              </w:rPr>
              <w:t xml:space="preserve">9    </w:t>
            </w:r>
            <w:r>
              <w:rPr>
                <w:rFonts w:ascii="黑体" w:hAnsi="黑体" w:eastAsia="黑体" w:cs="黑体"/>
                <w:spacing w:val="7"/>
                <w:sz w:val="19"/>
                <w:szCs w:val="19"/>
              </w:rPr>
              <w:t>项目组成及主要环境问题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601" w:type="dxa"/>
            <w:vMerge w:val="continue"/>
            <w:tcBorders>
              <w:top w:val="nil"/>
              <w:left w:val="single" w:color="000000" w:sz="6" w:space="0"/>
              <w:bottom w:val="nil"/>
            </w:tcBorders>
            <w:vAlign w:val="top"/>
          </w:tcPr>
          <w:p>
            <w:pPr>
              <w:rPr>
                <w:rFonts w:ascii="Arial"/>
                <w:sz w:val="21"/>
              </w:rPr>
            </w:pPr>
          </w:p>
        </w:tc>
        <w:tc>
          <w:tcPr>
            <w:tcW w:w="141" w:type="dxa"/>
            <w:vMerge w:val="restart"/>
            <w:tcBorders>
              <w:top w:val="nil"/>
              <w:bottom w:val="nil"/>
            </w:tcBorders>
            <w:vAlign w:val="top"/>
          </w:tcPr>
          <w:p>
            <w:pPr>
              <w:rPr>
                <w:rFonts w:ascii="Arial"/>
                <w:sz w:val="21"/>
              </w:rPr>
            </w:pPr>
          </w:p>
        </w:tc>
        <w:tc>
          <w:tcPr>
            <w:tcW w:w="1428" w:type="dxa"/>
            <w:gridSpan w:val="2"/>
            <w:vMerge w:val="restart"/>
            <w:tcBorders>
              <w:bottom w:val="nil"/>
            </w:tcBorders>
            <w:vAlign w:val="top"/>
          </w:tcPr>
          <w:p>
            <w:pPr>
              <w:spacing w:before="211" w:line="231" w:lineRule="auto"/>
              <w:ind w:left="353"/>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项目名称</w:t>
            </w:r>
          </w:p>
        </w:tc>
        <w:tc>
          <w:tcPr>
            <w:tcW w:w="4750" w:type="dxa"/>
            <w:vMerge w:val="restart"/>
            <w:tcBorders>
              <w:bottom w:val="nil"/>
            </w:tcBorders>
            <w:vAlign w:val="top"/>
          </w:tcPr>
          <w:p>
            <w:pPr>
              <w:spacing w:before="211" w:line="230" w:lineRule="auto"/>
              <w:ind w:left="1747"/>
              <w:rPr>
                <w:rFonts w:ascii="宋体" w:hAnsi="宋体" w:eastAsia="宋体" w:cs="宋体"/>
                <w:sz w:val="17"/>
                <w:szCs w:val="17"/>
              </w:rPr>
            </w:pPr>
            <w:r>
              <w:rPr>
                <w:rFonts w:ascii="宋体" w:hAnsi="宋体" w:eastAsia="宋体" w:cs="宋体"/>
                <w:spacing w:val="11"/>
                <w:sz w:val="17"/>
                <w:szCs w:val="17"/>
                <w14:textOutline w14:w="3268" w14:cap="sq" w14:cmpd="sng">
                  <w14:solidFill>
                    <w14:srgbClr w14:val="000000"/>
                  </w14:solidFill>
                  <w14:prstDash w14:val="solid"/>
                  <w14:bevel/>
                </w14:textOutline>
              </w:rPr>
              <w:t>工</w:t>
            </w:r>
            <w:r>
              <w:rPr>
                <w:rFonts w:ascii="宋体" w:hAnsi="宋体" w:eastAsia="宋体" w:cs="宋体"/>
                <w:spacing w:val="9"/>
                <w:sz w:val="17"/>
                <w:szCs w:val="17"/>
                <w14:textOutline w14:w="3268" w14:cap="sq" w14:cmpd="sng">
                  <w14:solidFill>
                    <w14:srgbClr w14:val="000000"/>
                  </w14:solidFill>
                  <w14:prstDash w14:val="solid"/>
                  <w14:bevel/>
                </w14:textOutline>
              </w:rPr>
              <w:t>程内容及规模</w:t>
            </w:r>
          </w:p>
        </w:tc>
        <w:tc>
          <w:tcPr>
            <w:tcW w:w="1846" w:type="dxa"/>
            <w:gridSpan w:val="2"/>
            <w:vAlign w:val="top"/>
          </w:tcPr>
          <w:p>
            <w:pPr>
              <w:spacing w:before="70" w:line="228" w:lineRule="auto"/>
              <w:ind w:left="121"/>
              <w:rPr>
                <w:rFonts w:ascii="宋体" w:hAnsi="宋体" w:eastAsia="宋体" w:cs="宋体"/>
                <w:sz w:val="17"/>
                <w:szCs w:val="17"/>
              </w:rPr>
            </w:pPr>
            <w:r>
              <w:rPr>
                <w:rFonts w:ascii="宋体" w:hAnsi="宋体" w:eastAsia="宋体" w:cs="宋体"/>
                <w:spacing w:val="14"/>
                <w:sz w:val="17"/>
                <w:szCs w:val="17"/>
                <w14:textOutline w14:w="3268" w14:cap="sq" w14:cmpd="sng">
                  <w14:solidFill>
                    <w14:srgbClr w14:val="000000"/>
                  </w14:solidFill>
                  <w14:prstDash w14:val="solid"/>
                  <w14:bevel/>
                </w14:textOutline>
              </w:rPr>
              <w:t>可</w:t>
            </w:r>
            <w:r>
              <w:rPr>
                <w:rFonts w:ascii="宋体" w:hAnsi="宋体" w:eastAsia="宋体" w:cs="宋体"/>
                <w:spacing w:val="9"/>
                <w:sz w:val="17"/>
                <w:szCs w:val="17"/>
                <w14:textOutline w14:w="3268" w14:cap="sq" w14:cmpd="sng">
                  <w14:solidFill>
                    <w14:srgbClr w14:val="000000"/>
                  </w14:solidFill>
                  <w14:prstDash w14:val="solid"/>
                  <w14:bevel/>
                </w14:textOutline>
              </w:rPr>
              <w:t>能产生的环境影响</w:t>
            </w:r>
          </w:p>
        </w:tc>
        <w:tc>
          <w:tcPr>
            <w:tcW w:w="151"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601" w:type="dxa"/>
            <w:vMerge w:val="continue"/>
            <w:tcBorders>
              <w:top w:val="nil"/>
              <w:left w:val="single" w:color="000000" w:sz="6" w:space="0"/>
              <w:bottom w:val="nil"/>
            </w:tcBorders>
            <w:vAlign w:val="top"/>
          </w:tcPr>
          <w:p>
            <w:pPr>
              <w:rPr>
                <w:rFonts w:ascii="Arial"/>
                <w:sz w:val="21"/>
              </w:rPr>
            </w:pPr>
          </w:p>
        </w:tc>
        <w:tc>
          <w:tcPr>
            <w:tcW w:w="141" w:type="dxa"/>
            <w:vMerge w:val="continue"/>
            <w:tcBorders>
              <w:top w:val="nil"/>
              <w:bottom w:val="nil"/>
            </w:tcBorders>
            <w:vAlign w:val="top"/>
          </w:tcPr>
          <w:p>
            <w:pPr>
              <w:rPr>
                <w:rFonts w:ascii="Arial"/>
                <w:sz w:val="21"/>
              </w:rPr>
            </w:pPr>
          </w:p>
        </w:tc>
        <w:tc>
          <w:tcPr>
            <w:tcW w:w="1428" w:type="dxa"/>
            <w:gridSpan w:val="2"/>
            <w:vMerge w:val="continue"/>
            <w:tcBorders>
              <w:top w:val="nil"/>
            </w:tcBorders>
            <w:vAlign w:val="top"/>
          </w:tcPr>
          <w:p>
            <w:pPr>
              <w:rPr>
                <w:rFonts w:ascii="Arial"/>
                <w:sz w:val="21"/>
              </w:rPr>
            </w:pPr>
          </w:p>
        </w:tc>
        <w:tc>
          <w:tcPr>
            <w:tcW w:w="4750" w:type="dxa"/>
            <w:vMerge w:val="continue"/>
            <w:tcBorders>
              <w:top w:val="nil"/>
            </w:tcBorders>
            <w:vAlign w:val="top"/>
          </w:tcPr>
          <w:p>
            <w:pPr>
              <w:rPr>
                <w:rFonts w:ascii="Arial"/>
                <w:sz w:val="21"/>
              </w:rPr>
            </w:pPr>
          </w:p>
        </w:tc>
        <w:tc>
          <w:tcPr>
            <w:tcW w:w="990" w:type="dxa"/>
            <w:vAlign w:val="top"/>
          </w:tcPr>
          <w:p>
            <w:pPr>
              <w:spacing w:before="70" w:line="228" w:lineRule="auto"/>
              <w:ind w:left="232"/>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施</w:t>
            </w:r>
            <w:r>
              <w:rPr>
                <w:rFonts w:ascii="宋体" w:hAnsi="宋体" w:eastAsia="宋体" w:cs="宋体"/>
                <w:spacing w:val="8"/>
                <w:sz w:val="17"/>
                <w:szCs w:val="17"/>
                <w14:textOutline w14:w="3268" w14:cap="sq" w14:cmpd="sng">
                  <w14:solidFill>
                    <w14:srgbClr w14:val="000000"/>
                  </w14:solidFill>
                  <w14:prstDash w14:val="solid"/>
                  <w14:bevel/>
                </w14:textOutline>
              </w:rPr>
              <w:t>工期</w:t>
            </w:r>
          </w:p>
        </w:tc>
        <w:tc>
          <w:tcPr>
            <w:tcW w:w="856" w:type="dxa"/>
            <w:vAlign w:val="top"/>
          </w:tcPr>
          <w:p>
            <w:pPr>
              <w:spacing w:before="70" w:line="228" w:lineRule="auto"/>
              <w:ind w:left="172"/>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营</w:t>
            </w:r>
            <w:r>
              <w:rPr>
                <w:rFonts w:ascii="宋体" w:hAnsi="宋体" w:eastAsia="宋体" w:cs="宋体"/>
                <w:spacing w:val="6"/>
                <w:sz w:val="17"/>
                <w:szCs w:val="17"/>
                <w14:textOutline w14:w="3268" w14:cap="sq" w14:cmpd="sng">
                  <w14:solidFill>
                    <w14:srgbClr w14:val="000000"/>
                  </w14:solidFill>
                  <w14:prstDash w14:val="solid"/>
                  <w14:bevel/>
                </w14:textOutline>
              </w:rPr>
              <w:t>运期</w:t>
            </w: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601" w:type="dxa"/>
            <w:vMerge w:val="continue"/>
            <w:tcBorders>
              <w:top w:val="nil"/>
              <w:left w:val="single" w:color="000000" w:sz="6" w:space="0"/>
              <w:bottom w:val="nil"/>
            </w:tcBorders>
            <w:vAlign w:val="top"/>
          </w:tcPr>
          <w:p>
            <w:pPr>
              <w:rPr>
                <w:rFonts w:ascii="Arial"/>
                <w:sz w:val="21"/>
              </w:rPr>
            </w:pPr>
          </w:p>
        </w:tc>
        <w:tc>
          <w:tcPr>
            <w:tcW w:w="141" w:type="dxa"/>
            <w:vMerge w:val="continue"/>
            <w:tcBorders>
              <w:top w:val="nil"/>
              <w:bottom w:val="nil"/>
            </w:tcBorders>
            <w:vAlign w:val="top"/>
          </w:tcPr>
          <w:p>
            <w:pPr>
              <w:rPr>
                <w:rFonts w:ascii="Arial"/>
                <w:sz w:val="21"/>
              </w:rPr>
            </w:pPr>
          </w:p>
        </w:tc>
        <w:tc>
          <w:tcPr>
            <w:tcW w:w="503" w:type="dxa"/>
            <w:vMerge w:val="restart"/>
            <w:tcBorders>
              <w:bottom w:val="nil"/>
            </w:tcBorders>
            <w:vAlign w:val="top"/>
          </w:tcPr>
          <w:p>
            <w:pPr>
              <w:spacing w:line="290" w:lineRule="auto"/>
              <w:rPr>
                <w:rFonts w:ascii="Arial"/>
                <w:sz w:val="21"/>
              </w:rPr>
            </w:pPr>
          </w:p>
          <w:p>
            <w:pPr>
              <w:spacing w:line="290" w:lineRule="auto"/>
              <w:rPr>
                <w:rFonts w:ascii="Arial"/>
                <w:sz w:val="21"/>
              </w:rPr>
            </w:pPr>
          </w:p>
          <w:p>
            <w:pPr>
              <w:spacing w:before="55" w:line="315" w:lineRule="auto"/>
              <w:ind w:left="72" w:right="74"/>
              <w:rPr>
                <w:rFonts w:ascii="宋体" w:hAnsi="宋体" w:eastAsia="宋体" w:cs="宋体"/>
                <w:sz w:val="17"/>
                <w:szCs w:val="17"/>
              </w:rPr>
            </w:pPr>
            <w:r>
              <w:rPr>
                <w:rFonts w:ascii="宋体" w:hAnsi="宋体" w:eastAsia="宋体" w:cs="宋体"/>
                <w:spacing w:val="5"/>
                <w:sz w:val="17"/>
                <w:szCs w:val="17"/>
              </w:rPr>
              <w:t>前期</w:t>
            </w:r>
            <w:r>
              <w:rPr>
                <w:rFonts w:ascii="宋体" w:hAnsi="宋体" w:eastAsia="宋体" w:cs="宋体"/>
                <w:sz w:val="17"/>
                <w:szCs w:val="17"/>
              </w:rPr>
              <w:t xml:space="preserve"> </w:t>
            </w:r>
            <w:r>
              <w:rPr>
                <w:rFonts w:ascii="宋体" w:hAnsi="宋体" w:eastAsia="宋体" w:cs="宋体"/>
                <w:spacing w:val="5"/>
                <w:sz w:val="17"/>
                <w:szCs w:val="17"/>
              </w:rPr>
              <w:t>工程</w:t>
            </w:r>
          </w:p>
        </w:tc>
        <w:tc>
          <w:tcPr>
            <w:tcW w:w="925" w:type="dxa"/>
            <w:vAlign w:val="top"/>
          </w:tcPr>
          <w:p>
            <w:pPr>
              <w:spacing w:before="210" w:line="230" w:lineRule="auto"/>
              <w:ind w:left="104"/>
              <w:rPr>
                <w:rFonts w:ascii="宋体" w:hAnsi="宋体" w:eastAsia="宋体" w:cs="宋体"/>
                <w:sz w:val="17"/>
                <w:szCs w:val="17"/>
              </w:rPr>
            </w:pPr>
            <w:r>
              <w:rPr>
                <w:rFonts w:ascii="宋体" w:hAnsi="宋体" w:eastAsia="宋体" w:cs="宋体"/>
                <w:spacing w:val="9"/>
                <w:sz w:val="17"/>
                <w:szCs w:val="17"/>
              </w:rPr>
              <w:t>征</w:t>
            </w:r>
            <w:r>
              <w:rPr>
                <w:rFonts w:ascii="宋体" w:hAnsi="宋体" w:eastAsia="宋体" w:cs="宋体"/>
                <w:spacing w:val="7"/>
                <w:sz w:val="17"/>
                <w:szCs w:val="17"/>
              </w:rPr>
              <w:t>地工程</w:t>
            </w:r>
          </w:p>
        </w:tc>
        <w:tc>
          <w:tcPr>
            <w:tcW w:w="4750" w:type="dxa"/>
            <w:vAlign w:val="top"/>
          </w:tcPr>
          <w:p>
            <w:pPr>
              <w:spacing w:before="36" w:line="284" w:lineRule="auto"/>
              <w:ind w:left="34" w:right="18" w:hanging="7"/>
              <w:rPr>
                <w:rFonts w:ascii="宋体" w:hAnsi="宋体" w:eastAsia="宋体" w:cs="宋体"/>
                <w:sz w:val="17"/>
                <w:szCs w:val="17"/>
              </w:rPr>
            </w:pPr>
            <w:r>
              <w:rPr>
                <w:rFonts w:ascii="宋体" w:hAnsi="宋体" w:eastAsia="宋体" w:cs="宋体"/>
                <w:spacing w:val="6"/>
                <w:sz w:val="17"/>
                <w:szCs w:val="17"/>
              </w:rPr>
              <w:t>项</w:t>
            </w:r>
            <w:r>
              <w:rPr>
                <w:rFonts w:ascii="宋体" w:hAnsi="宋体" w:eastAsia="宋体" w:cs="宋体"/>
                <w:spacing w:val="3"/>
                <w:sz w:val="17"/>
                <w:szCs w:val="17"/>
              </w:rPr>
              <w:t xml:space="preserve">目桥梁永久占地 </w:t>
            </w:r>
            <w:r>
              <w:rPr>
                <w:rFonts w:ascii="Times New Roman" w:hAnsi="Times New Roman" w:eastAsia="Times New Roman" w:cs="Times New Roman"/>
                <w:spacing w:val="3"/>
                <w:sz w:val="17"/>
                <w:szCs w:val="17"/>
              </w:rPr>
              <w:t>1.4019</w:t>
            </w:r>
            <w:r>
              <w:rPr>
                <w:rFonts w:ascii="Times New Roman" w:hAnsi="Times New Roman" w:eastAsia="Times New Roman" w:cs="Times New Roman"/>
                <w:sz w:val="17"/>
                <w:szCs w:val="17"/>
              </w:rPr>
              <w:t>hm</w:t>
            </w:r>
            <w:r>
              <w:rPr>
                <w:rFonts w:ascii="宋体" w:hAnsi="宋体" w:eastAsia="宋体" w:cs="宋体"/>
                <w:spacing w:val="3"/>
                <w:sz w:val="17"/>
                <w:szCs w:val="17"/>
              </w:rPr>
              <w:t xml:space="preserve">²；临时占地 </w:t>
            </w:r>
            <w:r>
              <w:rPr>
                <w:rFonts w:ascii="Times New Roman" w:hAnsi="Times New Roman" w:eastAsia="Times New Roman" w:cs="Times New Roman"/>
                <w:spacing w:val="3"/>
                <w:sz w:val="17"/>
                <w:szCs w:val="17"/>
              </w:rPr>
              <w:t>1.84</w:t>
            </w:r>
            <w:r>
              <w:rPr>
                <w:rFonts w:ascii="Times New Roman" w:hAnsi="Times New Roman" w:eastAsia="Times New Roman" w:cs="Times New Roman"/>
                <w:sz w:val="17"/>
                <w:szCs w:val="17"/>
              </w:rPr>
              <w:t>hm</w:t>
            </w:r>
            <w:r>
              <w:rPr>
                <w:rFonts w:ascii="宋体" w:hAnsi="宋体" w:eastAsia="宋体" w:cs="宋体"/>
                <w:spacing w:val="3"/>
                <w:sz w:val="17"/>
                <w:szCs w:val="17"/>
              </w:rPr>
              <w:t>²，其中施工</w:t>
            </w:r>
            <w:r>
              <w:rPr>
                <w:rFonts w:ascii="宋体" w:hAnsi="宋体" w:eastAsia="宋体" w:cs="宋体"/>
                <w:sz w:val="17"/>
                <w:szCs w:val="17"/>
              </w:rPr>
              <w:t xml:space="preserve"> </w:t>
            </w:r>
            <w:r>
              <w:rPr>
                <w:rFonts w:ascii="宋体" w:hAnsi="宋体" w:eastAsia="宋体" w:cs="宋体"/>
                <w:spacing w:val="7"/>
                <w:sz w:val="17"/>
                <w:szCs w:val="17"/>
              </w:rPr>
              <w:t>临</w:t>
            </w:r>
            <w:r>
              <w:rPr>
                <w:rFonts w:ascii="宋体" w:hAnsi="宋体" w:eastAsia="宋体" w:cs="宋体"/>
                <w:spacing w:val="4"/>
                <w:sz w:val="17"/>
                <w:szCs w:val="17"/>
              </w:rPr>
              <w:t xml:space="preserve">时场地占地 </w:t>
            </w:r>
            <w:r>
              <w:rPr>
                <w:rFonts w:ascii="Times New Roman" w:hAnsi="Times New Roman" w:eastAsia="Times New Roman" w:cs="Times New Roman"/>
                <w:spacing w:val="4"/>
                <w:sz w:val="17"/>
                <w:szCs w:val="17"/>
              </w:rPr>
              <w:t>1.35</w:t>
            </w:r>
            <w:r>
              <w:rPr>
                <w:rFonts w:ascii="Times New Roman" w:hAnsi="Times New Roman" w:eastAsia="Times New Roman" w:cs="Times New Roman"/>
                <w:sz w:val="17"/>
                <w:szCs w:val="17"/>
              </w:rPr>
              <w:t>hm</w:t>
            </w:r>
            <w:r>
              <w:rPr>
                <w:rFonts w:ascii="宋体" w:hAnsi="宋体" w:eastAsia="宋体" w:cs="宋体"/>
                <w:spacing w:val="4"/>
                <w:sz w:val="17"/>
                <w:szCs w:val="17"/>
              </w:rPr>
              <w:t xml:space="preserve">²、施工便道占地 </w:t>
            </w:r>
            <w:r>
              <w:rPr>
                <w:rFonts w:ascii="Times New Roman" w:hAnsi="Times New Roman" w:eastAsia="Times New Roman" w:cs="Times New Roman"/>
                <w:spacing w:val="4"/>
                <w:sz w:val="17"/>
                <w:szCs w:val="17"/>
              </w:rPr>
              <w:t>0.49</w:t>
            </w:r>
            <w:r>
              <w:rPr>
                <w:rFonts w:ascii="Times New Roman" w:hAnsi="Times New Roman" w:eastAsia="Times New Roman" w:cs="Times New Roman"/>
                <w:sz w:val="17"/>
                <w:szCs w:val="17"/>
              </w:rPr>
              <w:t>hm</w:t>
            </w:r>
            <w:r>
              <w:rPr>
                <w:rFonts w:ascii="宋体" w:hAnsi="宋体" w:eastAsia="宋体" w:cs="宋体"/>
                <w:spacing w:val="4"/>
                <w:sz w:val="17"/>
                <w:szCs w:val="17"/>
              </w:rPr>
              <w:t>²</w:t>
            </w:r>
          </w:p>
        </w:tc>
        <w:tc>
          <w:tcPr>
            <w:tcW w:w="990" w:type="dxa"/>
            <w:vAlign w:val="top"/>
          </w:tcPr>
          <w:p>
            <w:pPr>
              <w:spacing w:before="175" w:line="242" w:lineRule="exact"/>
              <w:ind w:left="473"/>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56" w:type="dxa"/>
            <w:vMerge w:val="restart"/>
            <w:tcBorders>
              <w:bottom w:val="nil"/>
            </w:tcBorders>
            <w:vAlign w:val="top"/>
          </w:tcPr>
          <w:p>
            <w:pPr>
              <w:spacing w:line="346" w:lineRule="auto"/>
              <w:rPr>
                <w:rFonts w:ascii="Arial"/>
                <w:sz w:val="21"/>
              </w:rPr>
            </w:pPr>
          </w:p>
          <w:p>
            <w:pPr>
              <w:spacing w:line="347" w:lineRule="auto"/>
              <w:rPr>
                <w:rFonts w:ascii="Arial"/>
                <w:sz w:val="21"/>
              </w:rPr>
            </w:pPr>
          </w:p>
          <w:p>
            <w:pPr>
              <w:spacing w:before="49" w:line="242" w:lineRule="exact"/>
              <w:ind w:left="407"/>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01" w:type="dxa"/>
            <w:vMerge w:val="continue"/>
            <w:tcBorders>
              <w:top w:val="nil"/>
              <w:left w:val="single" w:color="000000" w:sz="6" w:space="0"/>
              <w:bottom w:val="nil"/>
            </w:tcBorders>
            <w:vAlign w:val="top"/>
          </w:tcPr>
          <w:p>
            <w:pPr>
              <w:rPr>
                <w:rFonts w:ascii="Arial"/>
                <w:sz w:val="21"/>
              </w:rPr>
            </w:pPr>
          </w:p>
        </w:tc>
        <w:tc>
          <w:tcPr>
            <w:tcW w:w="141" w:type="dxa"/>
            <w:vMerge w:val="continue"/>
            <w:tcBorders>
              <w:top w:val="nil"/>
              <w:bottom w:val="nil"/>
            </w:tcBorders>
            <w:vAlign w:val="top"/>
          </w:tcPr>
          <w:p>
            <w:pPr>
              <w:rPr>
                <w:rFonts w:ascii="Arial"/>
                <w:sz w:val="21"/>
              </w:rPr>
            </w:pPr>
          </w:p>
        </w:tc>
        <w:tc>
          <w:tcPr>
            <w:tcW w:w="503" w:type="dxa"/>
            <w:vMerge w:val="continue"/>
            <w:tcBorders>
              <w:top w:val="nil"/>
              <w:bottom w:val="nil"/>
            </w:tcBorders>
            <w:vAlign w:val="top"/>
          </w:tcPr>
          <w:p>
            <w:pPr>
              <w:rPr>
                <w:rFonts w:ascii="Arial"/>
                <w:sz w:val="21"/>
              </w:rPr>
            </w:pPr>
          </w:p>
        </w:tc>
        <w:tc>
          <w:tcPr>
            <w:tcW w:w="925" w:type="dxa"/>
            <w:vAlign w:val="top"/>
          </w:tcPr>
          <w:p>
            <w:pPr>
              <w:spacing w:before="75" w:line="228" w:lineRule="auto"/>
              <w:ind w:left="102"/>
              <w:rPr>
                <w:rFonts w:ascii="宋体" w:hAnsi="宋体" w:eastAsia="宋体" w:cs="宋体"/>
                <w:sz w:val="17"/>
                <w:szCs w:val="17"/>
              </w:rPr>
            </w:pPr>
            <w:r>
              <w:rPr>
                <w:rFonts w:ascii="宋体" w:hAnsi="宋体" w:eastAsia="宋体" w:cs="宋体"/>
                <w:spacing w:val="8"/>
                <w:sz w:val="17"/>
                <w:szCs w:val="17"/>
              </w:rPr>
              <w:t>拆迁工程</w:t>
            </w:r>
          </w:p>
        </w:tc>
        <w:tc>
          <w:tcPr>
            <w:tcW w:w="4750" w:type="dxa"/>
            <w:vAlign w:val="top"/>
          </w:tcPr>
          <w:p>
            <w:pPr>
              <w:spacing w:before="75" w:line="228" w:lineRule="auto"/>
              <w:ind w:left="25"/>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5"/>
                <w:sz w:val="17"/>
                <w:szCs w:val="17"/>
              </w:rPr>
              <w:t>项</w:t>
            </w:r>
            <w:r>
              <w:rPr>
                <w:rFonts w:ascii="宋体" w:hAnsi="宋体" w:eastAsia="宋体" w:cs="宋体"/>
                <w:spacing w:val="9"/>
                <w:sz w:val="17"/>
                <w:szCs w:val="17"/>
              </w:rPr>
              <w:t>目不涉及房屋拆迁，不涉及供电线及通讯线拆迁</w:t>
            </w:r>
          </w:p>
        </w:tc>
        <w:tc>
          <w:tcPr>
            <w:tcW w:w="990" w:type="dxa"/>
            <w:vAlign w:val="top"/>
          </w:tcPr>
          <w:p>
            <w:pPr>
              <w:spacing w:before="39" w:line="243" w:lineRule="exact"/>
              <w:ind w:left="473"/>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56" w:type="dxa"/>
            <w:vMerge w:val="continue"/>
            <w:tcBorders>
              <w:top w:val="nil"/>
              <w:bottom w:val="nil"/>
            </w:tcBorders>
            <w:vAlign w:val="top"/>
          </w:tcPr>
          <w:p>
            <w:pPr>
              <w:rPr>
                <w:rFonts w:ascii="Arial"/>
                <w:sz w:val="21"/>
              </w:rPr>
            </w:pP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601" w:type="dxa"/>
            <w:vMerge w:val="continue"/>
            <w:tcBorders>
              <w:top w:val="nil"/>
              <w:left w:val="single" w:color="000000" w:sz="6" w:space="0"/>
              <w:bottom w:val="nil"/>
            </w:tcBorders>
            <w:vAlign w:val="top"/>
          </w:tcPr>
          <w:p>
            <w:pPr>
              <w:rPr>
                <w:rFonts w:ascii="Arial"/>
                <w:sz w:val="21"/>
              </w:rPr>
            </w:pPr>
          </w:p>
        </w:tc>
        <w:tc>
          <w:tcPr>
            <w:tcW w:w="141" w:type="dxa"/>
            <w:vMerge w:val="continue"/>
            <w:tcBorders>
              <w:top w:val="nil"/>
              <w:bottom w:val="nil"/>
            </w:tcBorders>
            <w:vAlign w:val="top"/>
          </w:tcPr>
          <w:p>
            <w:pPr>
              <w:rPr>
                <w:rFonts w:ascii="Arial"/>
                <w:sz w:val="21"/>
              </w:rPr>
            </w:pPr>
          </w:p>
        </w:tc>
        <w:tc>
          <w:tcPr>
            <w:tcW w:w="503" w:type="dxa"/>
            <w:vMerge w:val="continue"/>
            <w:tcBorders>
              <w:top w:val="nil"/>
            </w:tcBorders>
            <w:vAlign w:val="top"/>
          </w:tcPr>
          <w:p>
            <w:pPr>
              <w:rPr>
                <w:rFonts w:ascii="Arial"/>
                <w:sz w:val="21"/>
              </w:rPr>
            </w:pPr>
          </w:p>
        </w:tc>
        <w:tc>
          <w:tcPr>
            <w:tcW w:w="925" w:type="dxa"/>
            <w:vAlign w:val="top"/>
          </w:tcPr>
          <w:p>
            <w:pPr>
              <w:spacing w:line="296" w:lineRule="auto"/>
              <w:rPr>
                <w:rFonts w:ascii="Arial"/>
                <w:sz w:val="21"/>
              </w:rPr>
            </w:pPr>
          </w:p>
          <w:p>
            <w:pPr>
              <w:spacing w:before="55" w:line="231" w:lineRule="auto"/>
              <w:ind w:left="190"/>
              <w:rPr>
                <w:rFonts w:ascii="宋体" w:hAnsi="宋体" w:eastAsia="宋体" w:cs="宋体"/>
                <w:sz w:val="17"/>
                <w:szCs w:val="17"/>
              </w:rPr>
            </w:pPr>
            <w:r>
              <w:rPr>
                <w:rFonts w:ascii="宋体" w:hAnsi="宋体" w:eastAsia="宋体" w:cs="宋体"/>
                <w:spacing w:val="8"/>
                <w:sz w:val="17"/>
                <w:szCs w:val="17"/>
              </w:rPr>
              <w:t>挖填</w:t>
            </w:r>
            <w:r>
              <w:rPr>
                <w:rFonts w:ascii="宋体" w:hAnsi="宋体" w:eastAsia="宋体" w:cs="宋体"/>
                <w:spacing w:val="7"/>
                <w:sz w:val="17"/>
                <w:szCs w:val="17"/>
              </w:rPr>
              <w:t>方</w:t>
            </w:r>
          </w:p>
        </w:tc>
        <w:tc>
          <w:tcPr>
            <w:tcW w:w="4750" w:type="dxa"/>
            <w:vAlign w:val="top"/>
          </w:tcPr>
          <w:p>
            <w:pPr>
              <w:spacing w:before="74" w:line="279" w:lineRule="auto"/>
              <w:ind w:left="26"/>
              <w:rPr>
                <w:rFonts w:ascii="宋体" w:hAnsi="宋体" w:eastAsia="宋体" w:cs="宋体"/>
                <w:sz w:val="17"/>
                <w:szCs w:val="17"/>
              </w:rPr>
            </w:pPr>
            <w:r>
              <w:rPr>
                <w:rFonts w:ascii="宋体" w:hAnsi="宋体" w:eastAsia="宋体" w:cs="宋体"/>
                <w:spacing w:val="-3"/>
                <w:sz w:val="17"/>
                <w:szCs w:val="17"/>
              </w:rPr>
              <w:t xml:space="preserve">工程挖方总量为 </w:t>
            </w:r>
            <w:r>
              <w:rPr>
                <w:rFonts w:ascii="Times New Roman" w:hAnsi="Times New Roman" w:eastAsia="Times New Roman" w:cs="Times New Roman"/>
                <w:spacing w:val="-3"/>
                <w:sz w:val="17"/>
                <w:szCs w:val="17"/>
              </w:rPr>
              <w:t xml:space="preserve">1. 10 </w:t>
            </w:r>
            <w:r>
              <w:rPr>
                <w:rFonts w:ascii="宋体" w:hAnsi="宋体" w:eastAsia="宋体" w:cs="宋体"/>
                <w:spacing w:val="-3"/>
                <w:sz w:val="17"/>
                <w:szCs w:val="17"/>
              </w:rPr>
              <w:t xml:space="preserve">万 </w:t>
            </w:r>
            <w:r>
              <w:rPr>
                <w:rFonts w:ascii="Times New Roman" w:hAnsi="Times New Roman" w:eastAsia="Times New Roman" w:cs="Times New Roman"/>
                <w:spacing w:val="-3"/>
                <w:sz w:val="17"/>
                <w:szCs w:val="17"/>
              </w:rPr>
              <w:t>m</w:t>
            </w:r>
            <w:r>
              <w:rPr>
                <w:rFonts w:ascii="宋体" w:hAnsi="宋体" w:eastAsia="宋体" w:cs="宋体"/>
                <w:spacing w:val="-3"/>
                <w:sz w:val="17"/>
                <w:szCs w:val="17"/>
              </w:rPr>
              <w:t xml:space="preserve">³ (含表土剥离 </w:t>
            </w:r>
            <w:r>
              <w:rPr>
                <w:rFonts w:ascii="Times New Roman" w:hAnsi="Times New Roman" w:eastAsia="Times New Roman" w:cs="Times New Roman"/>
                <w:spacing w:val="-3"/>
                <w:sz w:val="17"/>
                <w:szCs w:val="17"/>
              </w:rPr>
              <w:t xml:space="preserve">0.09 </w:t>
            </w:r>
            <w:r>
              <w:rPr>
                <w:rFonts w:ascii="宋体" w:hAnsi="宋体" w:eastAsia="宋体" w:cs="宋体"/>
                <w:spacing w:val="-3"/>
                <w:sz w:val="17"/>
                <w:szCs w:val="17"/>
              </w:rPr>
              <w:t xml:space="preserve">万 </w:t>
            </w:r>
            <w:r>
              <w:rPr>
                <w:rFonts w:ascii="Times New Roman" w:hAnsi="Times New Roman" w:eastAsia="Times New Roman" w:cs="Times New Roman"/>
                <w:spacing w:val="-1"/>
                <w:sz w:val="17"/>
                <w:szCs w:val="17"/>
              </w:rPr>
              <w:t>m</w:t>
            </w:r>
            <w:r>
              <w:rPr>
                <w:rFonts w:ascii="宋体" w:hAnsi="宋体" w:eastAsia="宋体" w:cs="宋体"/>
                <w:spacing w:val="-3"/>
                <w:sz w:val="17"/>
                <w:szCs w:val="17"/>
              </w:rPr>
              <w:t>³ ) ，填方</w:t>
            </w:r>
            <w:r>
              <w:rPr>
                <w:rFonts w:ascii="宋体" w:hAnsi="宋体" w:eastAsia="宋体" w:cs="宋体"/>
                <w:sz w:val="17"/>
                <w:szCs w:val="17"/>
              </w:rPr>
              <w:t xml:space="preserve"> </w:t>
            </w:r>
            <w:r>
              <w:rPr>
                <w:rFonts w:ascii="宋体" w:hAnsi="宋体" w:eastAsia="宋体" w:cs="宋体"/>
                <w:spacing w:val="-4"/>
                <w:sz w:val="17"/>
                <w:szCs w:val="17"/>
              </w:rPr>
              <w:t xml:space="preserve">总量为 </w:t>
            </w:r>
            <w:r>
              <w:rPr>
                <w:rFonts w:ascii="Times New Roman" w:hAnsi="Times New Roman" w:eastAsia="Times New Roman" w:cs="Times New Roman"/>
                <w:spacing w:val="-4"/>
                <w:sz w:val="17"/>
                <w:szCs w:val="17"/>
              </w:rPr>
              <w:t>1.</w:t>
            </w:r>
            <w:r>
              <w:rPr>
                <w:rFonts w:ascii="Times New Roman" w:hAnsi="Times New Roman" w:eastAsia="Times New Roman" w:cs="Times New Roman"/>
                <w:spacing w:val="-3"/>
                <w:sz w:val="17"/>
                <w:szCs w:val="17"/>
              </w:rPr>
              <w:t xml:space="preserve"> </w:t>
            </w:r>
            <w:r>
              <w:rPr>
                <w:rFonts w:ascii="Times New Roman" w:hAnsi="Times New Roman" w:eastAsia="Times New Roman" w:cs="Times New Roman"/>
                <w:spacing w:val="-2"/>
                <w:sz w:val="17"/>
                <w:szCs w:val="17"/>
              </w:rPr>
              <w:t xml:space="preserve">10 </w:t>
            </w:r>
            <w:r>
              <w:rPr>
                <w:rFonts w:ascii="宋体" w:hAnsi="宋体" w:eastAsia="宋体" w:cs="宋体"/>
                <w:spacing w:val="-2"/>
                <w:sz w:val="17"/>
                <w:szCs w:val="17"/>
              </w:rPr>
              <w:t xml:space="preserve">万 </w:t>
            </w:r>
            <w:r>
              <w:rPr>
                <w:rFonts w:ascii="Times New Roman" w:hAnsi="Times New Roman" w:eastAsia="Times New Roman" w:cs="Times New Roman"/>
                <w:spacing w:val="-2"/>
                <w:sz w:val="17"/>
                <w:szCs w:val="17"/>
              </w:rPr>
              <w:t>m</w:t>
            </w:r>
            <w:r>
              <w:rPr>
                <w:rFonts w:ascii="宋体" w:hAnsi="宋体" w:eastAsia="宋体" w:cs="宋体"/>
                <w:spacing w:val="-2"/>
                <w:sz w:val="17"/>
                <w:szCs w:val="17"/>
              </w:rPr>
              <w:t xml:space="preserve">³ (含表土回覆 </w:t>
            </w:r>
            <w:r>
              <w:rPr>
                <w:rFonts w:ascii="Times New Roman" w:hAnsi="Times New Roman" w:eastAsia="Times New Roman" w:cs="Times New Roman"/>
                <w:spacing w:val="-2"/>
                <w:sz w:val="17"/>
                <w:szCs w:val="17"/>
              </w:rPr>
              <w:t xml:space="preserve">0.09 </w:t>
            </w:r>
            <w:r>
              <w:rPr>
                <w:rFonts w:ascii="宋体" w:hAnsi="宋体" w:eastAsia="宋体" w:cs="宋体"/>
                <w:spacing w:val="-2"/>
                <w:sz w:val="17"/>
                <w:szCs w:val="17"/>
              </w:rPr>
              <w:t xml:space="preserve">万 </w:t>
            </w:r>
            <w:r>
              <w:rPr>
                <w:rFonts w:ascii="Times New Roman" w:hAnsi="Times New Roman" w:eastAsia="Times New Roman" w:cs="Times New Roman"/>
                <w:spacing w:val="-2"/>
                <w:sz w:val="17"/>
                <w:szCs w:val="17"/>
              </w:rPr>
              <w:t>m</w:t>
            </w:r>
            <w:r>
              <w:rPr>
                <w:rFonts w:ascii="宋体" w:hAnsi="宋体" w:eastAsia="宋体" w:cs="宋体"/>
                <w:spacing w:val="-2"/>
                <w:sz w:val="17"/>
                <w:szCs w:val="17"/>
              </w:rPr>
              <w:t>³ ) ，无弃方产生，</w:t>
            </w:r>
            <w:r>
              <w:rPr>
                <w:rFonts w:ascii="宋体" w:hAnsi="宋体" w:eastAsia="宋体" w:cs="宋体"/>
                <w:sz w:val="17"/>
                <w:szCs w:val="17"/>
              </w:rPr>
              <w:t xml:space="preserve"> </w:t>
            </w:r>
            <w:r>
              <w:rPr>
                <w:rFonts w:ascii="宋体" w:hAnsi="宋体" w:eastAsia="宋体" w:cs="宋体"/>
                <w:spacing w:val="10"/>
                <w:sz w:val="17"/>
                <w:szCs w:val="17"/>
              </w:rPr>
              <w:t>不</w:t>
            </w:r>
            <w:r>
              <w:rPr>
                <w:rFonts w:ascii="宋体" w:hAnsi="宋体" w:eastAsia="宋体" w:cs="宋体"/>
                <w:spacing w:val="7"/>
                <w:sz w:val="17"/>
                <w:szCs w:val="17"/>
              </w:rPr>
              <w:t>设弃土场</w:t>
            </w:r>
          </w:p>
        </w:tc>
        <w:tc>
          <w:tcPr>
            <w:tcW w:w="990" w:type="dxa"/>
            <w:vAlign w:val="top"/>
          </w:tcPr>
          <w:p>
            <w:pPr>
              <w:spacing w:before="214" w:line="317" w:lineRule="auto"/>
              <w:ind w:left="325" w:hanging="286"/>
              <w:rPr>
                <w:rFonts w:ascii="宋体" w:hAnsi="宋体" w:eastAsia="宋体" w:cs="宋体"/>
                <w:sz w:val="17"/>
                <w:szCs w:val="17"/>
              </w:rPr>
            </w:pPr>
            <w:r>
              <w:rPr>
                <w:rFonts w:ascii="宋体" w:hAnsi="宋体" w:eastAsia="宋体" w:cs="宋体"/>
                <w:spacing w:val="-15"/>
                <w:sz w:val="17"/>
                <w:szCs w:val="17"/>
              </w:rPr>
              <w:t>噪</w:t>
            </w:r>
            <w:r>
              <w:rPr>
                <w:rFonts w:ascii="宋体" w:hAnsi="宋体" w:eastAsia="宋体" w:cs="宋体"/>
                <w:spacing w:val="-12"/>
                <w:sz w:val="17"/>
                <w:szCs w:val="17"/>
              </w:rPr>
              <w:t>声、扬尘、</w:t>
            </w:r>
            <w:r>
              <w:rPr>
                <w:rFonts w:ascii="宋体" w:hAnsi="宋体" w:eastAsia="宋体" w:cs="宋体"/>
                <w:sz w:val="17"/>
                <w:szCs w:val="17"/>
              </w:rPr>
              <w:t xml:space="preserve"> </w:t>
            </w:r>
            <w:r>
              <w:rPr>
                <w:rFonts w:ascii="宋体" w:hAnsi="宋体" w:eastAsia="宋体" w:cs="宋体"/>
                <w:spacing w:val="-10"/>
                <w:sz w:val="17"/>
                <w:szCs w:val="17"/>
              </w:rPr>
              <w:t>固</w:t>
            </w:r>
            <w:r>
              <w:rPr>
                <w:rFonts w:ascii="宋体" w:hAnsi="宋体" w:eastAsia="宋体" w:cs="宋体"/>
                <w:spacing w:val="-8"/>
                <w:sz w:val="17"/>
                <w:szCs w:val="17"/>
              </w:rPr>
              <w:t>废</w:t>
            </w:r>
          </w:p>
        </w:tc>
        <w:tc>
          <w:tcPr>
            <w:tcW w:w="856" w:type="dxa"/>
            <w:vMerge w:val="continue"/>
            <w:tcBorders>
              <w:top w:val="nil"/>
            </w:tcBorders>
            <w:vAlign w:val="top"/>
          </w:tcPr>
          <w:p>
            <w:pPr>
              <w:rPr>
                <w:rFonts w:ascii="Arial"/>
                <w:sz w:val="21"/>
              </w:rPr>
            </w:pP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4" w:hRule="atLeast"/>
        </w:trPr>
        <w:tc>
          <w:tcPr>
            <w:tcW w:w="601" w:type="dxa"/>
            <w:vMerge w:val="continue"/>
            <w:tcBorders>
              <w:top w:val="nil"/>
              <w:left w:val="single" w:color="000000" w:sz="6" w:space="0"/>
              <w:bottom w:val="nil"/>
            </w:tcBorders>
            <w:vAlign w:val="top"/>
          </w:tcPr>
          <w:p>
            <w:pPr>
              <w:rPr>
                <w:rFonts w:ascii="Arial"/>
                <w:sz w:val="21"/>
              </w:rPr>
            </w:pPr>
          </w:p>
        </w:tc>
        <w:tc>
          <w:tcPr>
            <w:tcW w:w="141" w:type="dxa"/>
            <w:vMerge w:val="continue"/>
            <w:tcBorders>
              <w:top w:val="nil"/>
              <w:bottom w:val="nil"/>
            </w:tcBorders>
            <w:vAlign w:val="top"/>
          </w:tcPr>
          <w:p>
            <w:pPr>
              <w:rPr>
                <w:rFonts w:ascii="Arial"/>
                <w:sz w:val="21"/>
              </w:rPr>
            </w:pPr>
          </w:p>
        </w:tc>
        <w:tc>
          <w:tcPr>
            <w:tcW w:w="503"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55" w:line="315" w:lineRule="auto"/>
              <w:ind w:left="71" w:right="74"/>
              <w:rPr>
                <w:rFonts w:ascii="宋体" w:hAnsi="宋体" w:eastAsia="宋体" w:cs="宋体"/>
                <w:sz w:val="17"/>
                <w:szCs w:val="17"/>
              </w:rPr>
            </w:pPr>
            <w:r>
              <w:rPr>
                <w:rFonts w:ascii="宋体" w:hAnsi="宋体" w:eastAsia="宋体" w:cs="宋体"/>
                <w:spacing w:val="6"/>
                <w:sz w:val="17"/>
                <w:szCs w:val="17"/>
              </w:rPr>
              <w:t>主</w:t>
            </w:r>
            <w:r>
              <w:rPr>
                <w:rFonts w:ascii="宋体" w:hAnsi="宋体" w:eastAsia="宋体" w:cs="宋体"/>
                <w:spacing w:val="5"/>
                <w:sz w:val="17"/>
                <w:szCs w:val="17"/>
              </w:rPr>
              <w:t>体</w:t>
            </w:r>
            <w:r>
              <w:rPr>
                <w:rFonts w:ascii="宋体" w:hAnsi="宋体" w:eastAsia="宋体" w:cs="宋体"/>
                <w:sz w:val="17"/>
                <w:szCs w:val="17"/>
              </w:rPr>
              <w:t xml:space="preserve"> </w:t>
            </w:r>
            <w:r>
              <w:rPr>
                <w:rFonts w:ascii="宋体" w:hAnsi="宋体" w:eastAsia="宋体" w:cs="宋体"/>
                <w:spacing w:val="5"/>
                <w:sz w:val="17"/>
                <w:szCs w:val="17"/>
              </w:rPr>
              <w:t>工程</w:t>
            </w:r>
          </w:p>
        </w:tc>
        <w:tc>
          <w:tcPr>
            <w:tcW w:w="925"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55" w:line="231" w:lineRule="auto"/>
              <w:ind w:left="283"/>
              <w:rPr>
                <w:rFonts w:ascii="宋体" w:hAnsi="宋体" w:eastAsia="宋体" w:cs="宋体"/>
                <w:sz w:val="17"/>
                <w:szCs w:val="17"/>
              </w:rPr>
            </w:pPr>
            <w:r>
              <w:rPr>
                <w:rFonts w:ascii="宋体" w:hAnsi="宋体" w:eastAsia="宋体" w:cs="宋体"/>
                <w:spacing w:val="6"/>
                <w:sz w:val="17"/>
                <w:szCs w:val="17"/>
              </w:rPr>
              <w:t>主</w:t>
            </w:r>
            <w:r>
              <w:rPr>
                <w:rFonts w:ascii="宋体" w:hAnsi="宋体" w:eastAsia="宋体" w:cs="宋体"/>
                <w:spacing w:val="5"/>
                <w:sz w:val="17"/>
                <w:szCs w:val="17"/>
              </w:rPr>
              <w:t>桥</w:t>
            </w:r>
          </w:p>
        </w:tc>
        <w:tc>
          <w:tcPr>
            <w:tcW w:w="4750" w:type="dxa"/>
            <w:vAlign w:val="top"/>
          </w:tcPr>
          <w:p>
            <w:pPr>
              <w:spacing w:before="75" w:line="293" w:lineRule="auto"/>
              <w:ind w:left="23"/>
              <w:rPr>
                <w:rFonts w:ascii="宋体" w:hAnsi="宋体" w:eastAsia="宋体" w:cs="宋体"/>
                <w:sz w:val="17"/>
                <w:szCs w:val="17"/>
              </w:rPr>
            </w:pPr>
            <w:r>
              <w:rPr>
                <w:rFonts w:ascii="宋体" w:hAnsi="宋体" w:eastAsia="宋体" w:cs="宋体"/>
                <w:spacing w:val="-1"/>
                <w:sz w:val="17"/>
                <w:szCs w:val="17"/>
              </w:rPr>
              <w:t xml:space="preserve">桥梁 </w:t>
            </w:r>
            <w:r>
              <w:rPr>
                <w:rFonts w:ascii="Times New Roman" w:hAnsi="Times New Roman" w:eastAsia="Times New Roman" w:cs="Times New Roman"/>
                <w:spacing w:val="-1"/>
                <w:sz w:val="17"/>
                <w:szCs w:val="17"/>
              </w:rPr>
              <w:t xml:space="preserve">1 </w:t>
            </w:r>
            <w:r>
              <w:rPr>
                <w:rFonts w:ascii="宋体" w:hAnsi="宋体" w:eastAsia="宋体" w:cs="宋体"/>
                <w:spacing w:val="-1"/>
                <w:sz w:val="17"/>
                <w:szCs w:val="17"/>
              </w:rPr>
              <w:t xml:space="preserve">座，跨越州河，桥梁全长 </w:t>
            </w:r>
            <w:r>
              <w:rPr>
                <w:rFonts w:ascii="Times New Roman" w:hAnsi="Times New Roman" w:eastAsia="Times New Roman" w:cs="Times New Roman"/>
                <w:spacing w:val="-1"/>
                <w:sz w:val="17"/>
                <w:szCs w:val="17"/>
              </w:rPr>
              <w:t>240</w:t>
            </w:r>
            <w:r>
              <w:rPr>
                <w:rFonts w:ascii="Times New Roman" w:hAnsi="Times New Roman" w:eastAsia="Times New Roman" w:cs="Times New Roman"/>
                <w:sz w:val="17"/>
                <w:szCs w:val="17"/>
              </w:rPr>
              <w:t>m</w:t>
            </w:r>
            <w:r>
              <w:rPr>
                <w:rFonts w:ascii="Times New Roman" w:hAnsi="Times New Roman" w:eastAsia="Times New Roman" w:cs="Times New Roman"/>
                <w:spacing w:val="-1"/>
                <w:sz w:val="17"/>
                <w:szCs w:val="17"/>
              </w:rPr>
              <w:t xml:space="preserve"> </w:t>
            </w:r>
            <w:r>
              <w:rPr>
                <w:rFonts w:ascii="宋体" w:hAnsi="宋体" w:eastAsia="宋体" w:cs="宋体"/>
                <w:spacing w:val="-1"/>
                <w:sz w:val="17"/>
                <w:szCs w:val="17"/>
              </w:rPr>
              <w:t>，桥宽</w:t>
            </w:r>
            <w:r>
              <w:rPr>
                <w:rFonts w:ascii="宋体" w:hAnsi="宋体" w:eastAsia="宋体" w:cs="宋体"/>
                <w:sz w:val="17"/>
                <w:szCs w:val="17"/>
              </w:rPr>
              <w:t xml:space="preserve"> </w:t>
            </w:r>
            <w:r>
              <w:rPr>
                <w:rFonts w:ascii="Times New Roman" w:hAnsi="Times New Roman" w:eastAsia="Times New Roman" w:cs="Times New Roman"/>
                <w:sz w:val="17"/>
                <w:szCs w:val="17"/>
              </w:rPr>
              <w:t xml:space="preserve">34.5m </w:t>
            </w:r>
            <w:r>
              <w:rPr>
                <w:rFonts w:ascii="宋体" w:hAnsi="宋体" w:eastAsia="宋体" w:cs="宋体"/>
                <w:sz w:val="17"/>
                <w:szCs w:val="17"/>
              </w:rPr>
              <w:t xml:space="preserve">。桥梁主 </w:t>
            </w:r>
            <w:r>
              <w:rPr>
                <w:rFonts w:ascii="宋体" w:hAnsi="宋体" w:eastAsia="宋体" w:cs="宋体"/>
                <w:spacing w:val="1"/>
                <w:sz w:val="17"/>
                <w:szCs w:val="17"/>
              </w:rPr>
              <w:t xml:space="preserve">体结构采用矮塔斜拉桥，主跨跨径 </w:t>
            </w:r>
            <w:r>
              <w:rPr>
                <w:rFonts w:ascii="Times New Roman" w:hAnsi="Times New Roman" w:eastAsia="Times New Roman" w:cs="Times New Roman"/>
                <w:spacing w:val="1"/>
                <w:sz w:val="17"/>
                <w:szCs w:val="17"/>
              </w:rPr>
              <w:t>110</w:t>
            </w:r>
            <w:r>
              <w:rPr>
                <w:rFonts w:ascii="Times New Roman" w:hAnsi="Times New Roman" w:eastAsia="Times New Roman" w:cs="Times New Roman"/>
                <w:sz w:val="17"/>
                <w:szCs w:val="17"/>
              </w:rPr>
              <w:t>m</w:t>
            </w:r>
            <w:r>
              <w:rPr>
                <w:rFonts w:ascii="宋体" w:hAnsi="宋体" w:eastAsia="宋体" w:cs="宋体"/>
                <w:sz w:val="17"/>
                <w:szCs w:val="17"/>
              </w:rPr>
              <w:t xml:space="preserve">，边孔为 </w:t>
            </w:r>
            <w:r>
              <w:rPr>
                <w:rFonts w:ascii="Times New Roman" w:hAnsi="Times New Roman" w:eastAsia="Times New Roman" w:cs="Times New Roman"/>
                <w:sz w:val="17"/>
                <w:szCs w:val="17"/>
              </w:rPr>
              <w:t xml:space="preserve">60m </w:t>
            </w:r>
            <w:r>
              <w:rPr>
                <w:rFonts w:ascii="宋体" w:hAnsi="宋体" w:eastAsia="宋体" w:cs="宋体"/>
                <w:sz w:val="17"/>
                <w:szCs w:val="17"/>
              </w:rPr>
              <w:t xml:space="preserve">。吊索 </w:t>
            </w:r>
            <w:r>
              <w:rPr>
                <w:rFonts w:ascii="宋体" w:hAnsi="宋体" w:eastAsia="宋体" w:cs="宋体"/>
                <w:spacing w:val="16"/>
                <w:sz w:val="17"/>
                <w:szCs w:val="17"/>
              </w:rPr>
              <w:t>采</w:t>
            </w:r>
            <w:r>
              <w:rPr>
                <w:rFonts w:ascii="宋体" w:hAnsi="宋体" w:eastAsia="宋体" w:cs="宋体"/>
                <w:spacing w:val="9"/>
                <w:sz w:val="17"/>
                <w:szCs w:val="17"/>
              </w:rPr>
              <w:t>用扇形布置，主梁采用整体钢箱梁结构形式、桥塔采用钢</w:t>
            </w:r>
            <w:r>
              <w:rPr>
                <w:rFonts w:ascii="宋体" w:hAnsi="宋体" w:eastAsia="宋体" w:cs="宋体"/>
                <w:sz w:val="17"/>
                <w:szCs w:val="17"/>
              </w:rPr>
              <w:t xml:space="preserve"> </w:t>
            </w:r>
            <w:r>
              <w:rPr>
                <w:rFonts w:ascii="宋体" w:hAnsi="宋体" w:eastAsia="宋体" w:cs="宋体"/>
                <w:spacing w:val="10"/>
                <w:sz w:val="17"/>
                <w:szCs w:val="17"/>
              </w:rPr>
              <w:t>结构桥塔</w:t>
            </w:r>
            <w:r>
              <w:rPr>
                <w:rFonts w:ascii="宋体" w:hAnsi="宋体" w:eastAsia="宋体" w:cs="宋体"/>
                <w:spacing w:val="8"/>
                <w:sz w:val="17"/>
                <w:szCs w:val="17"/>
              </w:rPr>
              <w:t>、</w:t>
            </w:r>
            <w:r>
              <w:rPr>
                <w:rFonts w:ascii="宋体" w:hAnsi="宋体" w:eastAsia="宋体" w:cs="宋体"/>
                <w:spacing w:val="5"/>
                <w:sz w:val="17"/>
                <w:szCs w:val="17"/>
              </w:rPr>
              <w:t>选用平行钢丝吊索、主塔墩 (</w:t>
            </w:r>
            <w:r>
              <w:rPr>
                <w:rFonts w:ascii="Times New Roman" w:hAnsi="Times New Roman" w:eastAsia="Times New Roman" w:cs="Times New Roman"/>
                <w:spacing w:val="5"/>
                <w:sz w:val="17"/>
                <w:szCs w:val="17"/>
              </w:rPr>
              <w:t xml:space="preserve">2 </w:t>
            </w:r>
            <w:r>
              <w:rPr>
                <w:rFonts w:ascii="宋体" w:hAnsi="宋体" w:eastAsia="宋体" w:cs="宋体"/>
                <w:spacing w:val="5"/>
                <w:sz w:val="17"/>
                <w:szCs w:val="17"/>
              </w:rPr>
              <w:t>个) 采用板式墩、</w:t>
            </w:r>
            <w:r>
              <w:rPr>
                <w:rFonts w:ascii="宋体" w:hAnsi="宋体" w:eastAsia="宋体" w:cs="宋体"/>
                <w:sz w:val="17"/>
                <w:szCs w:val="17"/>
              </w:rPr>
              <w:t xml:space="preserve"> </w:t>
            </w:r>
            <w:r>
              <w:rPr>
                <w:rFonts w:ascii="宋体" w:hAnsi="宋体" w:eastAsia="宋体" w:cs="宋体"/>
                <w:spacing w:val="2"/>
                <w:sz w:val="17"/>
                <w:szCs w:val="17"/>
              </w:rPr>
              <w:t xml:space="preserve">桥台采用重力式 </w:t>
            </w:r>
            <w:r>
              <w:rPr>
                <w:rFonts w:ascii="Times New Roman" w:hAnsi="Times New Roman" w:eastAsia="Times New Roman" w:cs="Times New Roman"/>
                <w:sz w:val="17"/>
                <w:szCs w:val="17"/>
              </w:rPr>
              <w:t>U</w:t>
            </w:r>
            <w:r>
              <w:rPr>
                <w:rFonts w:ascii="Times New Roman" w:hAnsi="Times New Roman" w:eastAsia="Times New Roman" w:cs="Times New Roman"/>
                <w:spacing w:val="2"/>
                <w:sz w:val="17"/>
                <w:szCs w:val="17"/>
              </w:rPr>
              <w:t xml:space="preserve"> </w:t>
            </w:r>
            <w:r>
              <w:rPr>
                <w:rFonts w:ascii="宋体" w:hAnsi="宋体" w:eastAsia="宋体" w:cs="宋体"/>
                <w:spacing w:val="2"/>
                <w:sz w:val="17"/>
                <w:szCs w:val="17"/>
              </w:rPr>
              <w:t>形台。桥梁与州河基本正交</w:t>
            </w:r>
            <w:r>
              <w:rPr>
                <w:rFonts w:ascii="宋体" w:hAnsi="宋体" w:eastAsia="宋体" w:cs="宋体"/>
                <w:spacing w:val="1"/>
                <w:sz w:val="17"/>
                <w:szCs w:val="17"/>
              </w:rPr>
              <w:t xml:space="preserve">，偏角约 </w:t>
            </w:r>
            <w:r>
              <w:rPr>
                <w:rFonts w:ascii="Times New Roman" w:hAnsi="Times New Roman" w:eastAsia="Times New Roman" w:cs="Times New Roman"/>
                <w:spacing w:val="1"/>
                <w:sz w:val="17"/>
                <w:szCs w:val="17"/>
              </w:rPr>
              <w:t>5</w:t>
            </w:r>
            <w:r>
              <w:rPr>
                <w:rFonts w:ascii="宋体" w:hAnsi="宋体" w:eastAsia="宋体" w:cs="宋体"/>
                <w:spacing w:val="1"/>
                <w:sz w:val="17"/>
                <w:szCs w:val="17"/>
              </w:rPr>
              <w:t>°，</w:t>
            </w:r>
            <w:r>
              <w:rPr>
                <w:rFonts w:ascii="宋体" w:hAnsi="宋体" w:eastAsia="宋体" w:cs="宋体"/>
                <w:sz w:val="17"/>
                <w:szCs w:val="17"/>
              </w:rPr>
              <w:t xml:space="preserve"> </w:t>
            </w:r>
            <w:r>
              <w:rPr>
                <w:rFonts w:ascii="宋体" w:hAnsi="宋体" w:eastAsia="宋体" w:cs="宋体"/>
                <w:spacing w:val="10"/>
                <w:sz w:val="17"/>
                <w:szCs w:val="17"/>
              </w:rPr>
              <w:t>线</w:t>
            </w:r>
            <w:r>
              <w:rPr>
                <w:rFonts w:ascii="宋体" w:hAnsi="宋体" w:eastAsia="宋体" w:cs="宋体"/>
                <w:spacing w:val="6"/>
                <w:sz w:val="17"/>
                <w:szCs w:val="17"/>
              </w:rPr>
              <w:t>位</w:t>
            </w:r>
            <w:r>
              <w:rPr>
                <w:rFonts w:ascii="宋体" w:hAnsi="宋体" w:eastAsia="宋体" w:cs="宋体"/>
                <w:spacing w:val="5"/>
                <w:sz w:val="17"/>
                <w:szCs w:val="17"/>
              </w:rPr>
              <w:t xml:space="preserve">为一条直线，全长约 </w:t>
            </w:r>
            <w:r>
              <w:rPr>
                <w:rFonts w:ascii="Times New Roman" w:hAnsi="Times New Roman" w:eastAsia="Times New Roman" w:cs="Times New Roman"/>
                <w:spacing w:val="5"/>
                <w:sz w:val="17"/>
                <w:szCs w:val="17"/>
              </w:rPr>
              <w:t>297</w:t>
            </w:r>
            <w:r>
              <w:rPr>
                <w:rFonts w:ascii="Times New Roman" w:hAnsi="Times New Roman" w:eastAsia="Times New Roman" w:cs="Times New Roman"/>
                <w:sz w:val="17"/>
                <w:szCs w:val="17"/>
              </w:rPr>
              <w:t>m</w:t>
            </w:r>
            <w:r>
              <w:rPr>
                <w:rFonts w:ascii="Times New Roman" w:hAnsi="Times New Roman" w:eastAsia="Times New Roman" w:cs="Times New Roman"/>
                <w:spacing w:val="5"/>
                <w:sz w:val="17"/>
                <w:szCs w:val="17"/>
              </w:rPr>
              <w:t xml:space="preserve"> </w:t>
            </w:r>
            <w:r>
              <w:rPr>
                <w:rFonts w:ascii="宋体" w:hAnsi="宋体" w:eastAsia="宋体" w:cs="宋体"/>
                <w:spacing w:val="5"/>
                <w:sz w:val="17"/>
                <w:szCs w:val="17"/>
              </w:rPr>
              <w:t>(包括西端滨河路中心线至桥</w:t>
            </w:r>
            <w:r>
              <w:rPr>
                <w:rFonts w:ascii="宋体" w:hAnsi="宋体" w:eastAsia="宋体" w:cs="宋体"/>
                <w:sz w:val="17"/>
                <w:szCs w:val="17"/>
              </w:rPr>
              <w:t xml:space="preserve"> </w:t>
            </w:r>
            <w:r>
              <w:rPr>
                <w:rFonts w:ascii="宋体" w:hAnsi="宋体" w:eastAsia="宋体" w:cs="宋体"/>
                <w:spacing w:val="1"/>
                <w:sz w:val="17"/>
                <w:szCs w:val="17"/>
              </w:rPr>
              <w:t xml:space="preserve">台 </w:t>
            </w:r>
            <w:r>
              <w:rPr>
                <w:rFonts w:ascii="Times New Roman" w:hAnsi="Times New Roman" w:eastAsia="Times New Roman" w:cs="Times New Roman"/>
                <w:spacing w:val="1"/>
                <w:sz w:val="17"/>
                <w:szCs w:val="17"/>
              </w:rPr>
              <w:t>20</w:t>
            </w:r>
            <w:r>
              <w:rPr>
                <w:rFonts w:ascii="Times New Roman" w:hAnsi="Times New Roman" w:eastAsia="Times New Roman" w:cs="Times New Roman"/>
                <w:sz w:val="17"/>
                <w:szCs w:val="17"/>
              </w:rPr>
              <w:t>m</w:t>
            </w:r>
            <w:r>
              <w:rPr>
                <w:rFonts w:ascii="Times New Roman" w:hAnsi="Times New Roman" w:eastAsia="Times New Roman" w:cs="Times New Roman"/>
                <w:spacing w:val="1"/>
                <w:sz w:val="17"/>
                <w:szCs w:val="17"/>
              </w:rPr>
              <w:t xml:space="preserve"> </w:t>
            </w:r>
            <w:r>
              <w:rPr>
                <w:rFonts w:ascii="宋体" w:hAnsi="宋体" w:eastAsia="宋体" w:cs="宋体"/>
                <w:spacing w:val="1"/>
                <w:sz w:val="17"/>
                <w:szCs w:val="17"/>
              </w:rPr>
              <w:t>，东端犀牛大道中心线至桥台</w:t>
            </w:r>
            <w:r>
              <w:rPr>
                <w:rFonts w:ascii="宋体" w:hAnsi="宋体" w:eastAsia="宋体" w:cs="宋体"/>
                <w:sz w:val="17"/>
                <w:szCs w:val="17"/>
              </w:rPr>
              <w:t xml:space="preserve"> </w:t>
            </w:r>
            <w:r>
              <w:rPr>
                <w:rFonts w:ascii="Times New Roman" w:hAnsi="Times New Roman" w:eastAsia="Times New Roman" w:cs="Times New Roman"/>
                <w:sz w:val="17"/>
                <w:szCs w:val="17"/>
              </w:rPr>
              <w:t>37m</w:t>
            </w:r>
            <w:r>
              <w:rPr>
                <w:rFonts w:ascii="宋体" w:hAnsi="宋体" w:eastAsia="宋体" w:cs="宋体"/>
                <w:sz w:val="17"/>
                <w:szCs w:val="17"/>
              </w:rPr>
              <w:t>)</w:t>
            </w:r>
          </w:p>
        </w:tc>
        <w:tc>
          <w:tcPr>
            <w:tcW w:w="990" w:type="dxa"/>
            <w:vAlign w:val="top"/>
          </w:tcPr>
          <w:p>
            <w:pPr>
              <w:spacing w:before="213" w:line="304" w:lineRule="auto"/>
              <w:ind w:left="54" w:right="36"/>
              <w:rPr>
                <w:rFonts w:ascii="宋体" w:hAnsi="宋体" w:eastAsia="宋体" w:cs="宋体"/>
                <w:sz w:val="17"/>
                <w:szCs w:val="17"/>
              </w:rPr>
            </w:pPr>
            <w:r>
              <w:rPr>
                <w:rFonts w:ascii="宋体" w:hAnsi="宋体" w:eastAsia="宋体" w:cs="宋体"/>
                <w:spacing w:val="11"/>
                <w:sz w:val="17"/>
                <w:szCs w:val="17"/>
              </w:rPr>
              <w:t>施</w:t>
            </w:r>
            <w:r>
              <w:rPr>
                <w:rFonts w:ascii="宋体" w:hAnsi="宋体" w:eastAsia="宋体" w:cs="宋体"/>
                <w:spacing w:val="8"/>
                <w:sz w:val="17"/>
                <w:szCs w:val="17"/>
              </w:rPr>
              <w:t>工噪声、</w:t>
            </w:r>
            <w:r>
              <w:rPr>
                <w:rFonts w:ascii="宋体" w:hAnsi="宋体" w:eastAsia="宋体" w:cs="宋体"/>
                <w:sz w:val="17"/>
                <w:szCs w:val="17"/>
              </w:rPr>
              <w:t xml:space="preserve"> </w:t>
            </w:r>
            <w:r>
              <w:rPr>
                <w:rFonts w:ascii="宋体" w:hAnsi="宋体" w:eastAsia="宋体" w:cs="宋体"/>
                <w:spacing w:val="11"/>
                <w:sz w:val="17"/>
                <w:szCs w:val="17"/>
              </w:rPr>
              <w:t>废</w:t>
            </w:r>
            <w:r>
              <w:rPr>
                <w:rFonts w:ascii="宋体" w:hAnsi="宋体" w:eastAsia="宋体" w:cs="宋体"/>
                <w:spacing w:val="8"/>
                <w:sz w:val="17"/>
                <w:szCs w:val="17"/>
              </w:rPr>
              <w:t>水、焊接</w:t>
            </w:r>
            <w:r>
              <w:rPr>
                <w:rFonts w:ascii="宋体" w:hAnsi="宋体" w:eastAsia="宋体" w:cs="宋体"/>
                <w:sz w:val="17"/>
                <w:szCs w:val="17"/>
              </w:rPr>
              <w:t xml:space="preserve"> </w:t>
            </w:r>
            <w:r>
              <w:rPr>
                <w:rFonts w:ascii="宋体" w:hAnsi="宋体" w:eastAsia="宋体" w:cs="宋体"/>
                <w:spacing w:val="11"/>
                <w:sz w:val="17"/>
                <w:szCs w:val="17"/>
              </w:rPr>
              <w:t>烟</w:t>
            </w:r>
            <w:r>
              <w:rPr>
                <w:rFonts w:ascii="宋体" w:hAnsi="宋体" w:eastAsia="宋体" w:cs="宋体"/>
                <w:spacing w:val="8"/>
                <w:sz w:val="17"/>
                <w:szCs w:val="17"/>
              </w:rPr>
              <w:t>气、施工</w:t>
            </w:r>
            <w:r>
              <w:rPr>
                <w:rFonts w:ascii="宋体" w:hAnsi="宋体" w:eastAsia="宋体" w:cs="宋体"/>
                <w:sz w:val="17"/>
                <w:szCs w:val="17"/>
              </w:rPr>
              <w:t xml:space="preserve"> </w:t>
            </w:r>
            <w:r>
              <w:rPr>
                <w:rFonts w:ascii="宋体" w:hAnsi="宋体" w:eastAsia="宋体" w:cs="宋体"/>
                <w:spacing w:val="11"/>
                <w:sz w:val="17"/>
                <w:szCs w:val="17"/>
              </w:rPr>
              <w:t>扬</w:t>
            </w:r>
            <w:r>
              <w:rPr>
                <w:rFonts w:ascii="宋体" w:hAnsi="宋体" w:eastAsia="宋体" w:cs="宋体"/>
                <w:spacing w:val="8"/>
                <w:sz w:val="17"/>
                <w:szCs w:val="17"/>
              </w:rPr>
              <w:t>尘、弃土</w:t>
            </w:r>
            <w:r>
              <w:rPr>
                <w:rFonts w:ascii="宋体" w:hAnsi="宋体" w:eastAsia="宋体" w:cs="宋体"/>
                <w:sz w:val="17"/>
                <w:szCs w:val="17"/>
              </w:rPr>
              <w:t xml:space="preserve"> </w:t>
            </w:r>
            <w:r>
              <w:rPr>
                <w:rFonts w:ascii="宋体" w:hAnsi="宋体" w:eastAsia="宋体" w:cs="宋体"/>
                <w:spacing w:val="11"/>
                <w:sz w:val="17"/>
                <w:szCs w:val="17"/>
              </w:rPr>
              <w:t>建</w:t>
            </w:r>
            <w:r>
              <w:rPr>
                <w:rFonts w:ascii="宋体" w:hAnsi="宋体" w:eastAsia="宋体" w:cs="宋体"/>
                <w:spacing w:val="8"/>
                <w:sz w:val="17"/>
                <w:szCs w:val="17"/>
              </w:rPr>
              <w:t>渣、水土</w:t>
            </w:r>
          </w:p>
          <w:p>
            <w:pPr>
              <w:spacing w:line="231" w:lineRule="auto"/>
              <w:ind w:left="324"/>
              <w:rPr>
                <w:rFonts w:ascii="宋体" w:hAnsi="宋体" w:eastAsia="宋体" w:cs="宋体"/>
                <w:sz w:val="17"/>
                <w:szCs w:val="17"/>
              </w:rPr>
            </w:pPr>
            <w:r>
              <w:rPr>
                <w:rFonts w:ascii="宋体" w:hAnsi="宋体" w:eastAsia="宋体" w:cs="宋体"/>
                <w:spacing w:val="6"/>
                <w:sz w:val="17"/>
                <w:szCs w:val="17"/>
              </w:rPr>
              <w:t>流失</w:t>
            </w:r>
          </w:p>
        </w:tc>
        <w:tc>
          <w:tcPr>
            <w:tcW w:w="856"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55" w:line="304" w:lineRule="auto"/>
              <w:ind w:left="78" w:right="59" w:firstLine="94"/>
              <w:rPr>
                <w:rFonts w:ascii="宋体" w:hAnsi="宋体" w:eastAsia="宋体" w:cs="宋体"/>
                <w:sz w:val="17"/>
                <w:szCs w:val="17"/>
              </w:rPr>
            </w:pPr>
            <w:r>
              <w:rPr>
                <w:rFonts w:ascii="宋体" w:hAnsi="宋体" w:eastAsia="宋体" w:cs="宋体"/>
                <w:spacing w:val="7"/>
                <w:sz w:val="17"/>
                <w:szCs w:val="17"/>
              </w:rPr>
              <w:t>交</w:t>
            </w:r>
            <w:r>
              <w:rPr>
                <w:rFonts w:ascii="宋体" w:hAnsi="宋体" w:eastAsia="宋体" w:cs="宋体"/>
                <w:spacing w:val="6"/>
                <w:sz w:val="17"/>
                <w:szCs w:val="17"/>
              </w:rPr>
              <w:t>通噪</w:t>
            </w:r>
            <w:r>
              <w:rPr>
                <w:rFonts w:ascii="宋体" w:hAnsi="宋体" w:eastAsia="宋体" w:cs="宋体"/>
                <w:sz w:val="17"/>
                <w:szCs w:val="17"/>
              </w:rPr>
              <w:t xml:space="preserve"> </w:t>
            </w:r>
            <w:r>
              <w:rPr>
                <w:rFonts w:ascii="宋体" w:hAnsi="宋体" w:eastAsia="宋体" w:cs="宋体"/>
                <w:spacing w:val="8"/>
                <w:sz w:val="17"/>
                <w:szCs w:val="17"/>
              </w:rPr>
              <w:t>声、汽车</w:t>
            </w:r>
            <w:r>
              <w:rPr>
                <w:rFonts w:ascii="宋体" w:hAnsi="宋体" w:eastAsia="宋体" w:cs="宋体"/>
                <w:sz w:val="17"/>
                <w:szCs w:val="17"/>
              </w:rPr>
              <w:t xml:space="preserve"> </w:t>
            </w:r>
            <w:r>
              <w:rPr>
                <w:rFonts w:ascii="宋体" w:hAnsi="宋体" w:eastAsia="宋体" w:cs="宋体"/>
                <w:spacing w:val="8"/>
                <w:sz w:val="17"/>
                <w:szCs w:val="17"/>
              </w:rPr>
              <w:t>尾气、路</w:t>
            </w:r>
            <w:r>
              <w:rPr>
                <w:rFonts w:ascii="宋体" w:hAnsi="宋体" w:eastAsia="宋体" w:cs="宋体"/>
                <w:sz w:val="17"/>
                <w:szCs w:val="17"/>
              </w:rPr>
              <w:t xml:space="preserve"> </w:t>
            </w:r>
            <w:r>
              <w:rPr>
                <w:rFonts w:ascii="宋体" w:hAnsi="宋体" w:eastAsia="宋体" w:cs="宋体"/>
                <w:spacing w:val="7"/>
                <w:sz w:val="17"/>
                <w:szCs w:val="17"/>
              </w:rPr>
              <w:t>面</w:t>
            </w:r>
            <w:r>
              <w:rPr>
                <w:rFonts w:ascii="宋体" w:hAnsi="宋体" w:eastAsia="宋体" w:cs="宋体"/>
                <w:spacing w:val="5"/>
                <w:sz w:val="17"/>
                <w:szCs w:val="17"/>
              </w:rPr>
              <w:t>扬尘、</w:t>
            </w:r>
          </w:p>
          <w:p>
            <w:pPr>
              <w:spacing w:line="304" w:lineRule="auto"/>
              <w:ind w:left="78" w:right="59" w:firstLine="91"/>
              <w:rPr>
                <w:rFonts w:ascii="宋体" w:hAnsi="宋体" w:eastAsia="宋体" w:cs="宋体"/>
                <w:sz w:val="17"/>
                <w:szCs w:val="17"/>
              </w:rPr>
            </w:pPr>
            <w:r>
              <w:rPr>
                <w:rFonts w:ascii="宋体" w:hAnsi="宋体" w:eastAsia="宋体" w:cs="宋体"/>
                <w:spacing w:val="7"/>
                <w:sz w:val="17"/>
                <w:szCs w:val="17"/>
              </w:rPr>
              <w:t>路面径</w:t>
            </w:r>
            <w:r>
              <w:rPr>
                <w:rFonts w:ascii="宋体" w:hAnsi="宋体" w:eastAsia="宋体" w:cs="宋体"/>
                <w:sz w:val="17"/>
                <w:szCs w:val="17"/>
              </w:rPr>
              <w:t xml:space="preserve"> </w:t>
            </w:r>
            <w:r>
              <w:rPr>
                <w:rFonts w:ascii="宋体" w:hAnsi="宋体" w:eastAsia="宋体" w:cs="宋体"/>
                <w:spacing w:val="8"/>
                <w:sz w:val="17"/>
                <w:szCs w:val="17"/>
              </w:rPr>
              <w:t>流、道路</w:t>
            </w:r>
            <w:r>
              <w:rPr>
                <w:rFonts w:ascii="宋体" w:hAnsi="宋体" w:eastAsia="宋体" w:cs="宋体"/>
                <w:sz w:val="17"/>
                <w:szCs w:val="17"/>
              </w:rPr>
              <w:t xml:space="preserve"> </w:t>
            </w:r>
            <w:r>
              <w:rPr>
                <w:rFonts w:ascii="宋体" w:hAnsi="宋体" w:eastAsia="宋体" w:cs="宋体"/>
                <w:spacing w:val="8"/>
                <w:sz w:val="17"/>
                <w:szCs w:val="17"/>
              </w:rPr>
              <w:t>垃圾、事</w:t>
            </w:r>
          </w:p>
          <w:p>
            <w:pPr>
              <w:spacing w:line="230" w:lineRule="auto"/>
              <w:ind w:left="172"/>
              <w:rPr>
                <w:rFonts w:ascii="宋体" w:hAnsi="宋体" w:eastAsia="宋体" w:cs="宋体"/>
                <w:sz w:val="17"/>
                <w:szCs w:val="17"/>
              </w:rPr>
            </w:pPr>
            <w:r>
              <w:rPr>
                <w:rFonts w:ascii="宋体" w:hAnsi="宋体" w:eastAsia="宋体" w:cs="宋体"/>
                <w:spacing w:val="8"/>
                <w:sz w:val="17"/>
                <w:szCs w:val="17"/>
              </w:rPr>
              <w:t>故</w:t>
            </w:r>
            <w:r>
              <w:rPr>
                <w:rFonts w:ascii="宋体" w:hAnsi="宋体" w:eastAsia="宋体" w:cs="宋体"/>
                <w:spacing w:val="6"/>
                <w:sz w:val="17"/>
                <w:szCs w:val="17"/>
              </w:rPr>
              <w:t>风险</w:t>
            </w: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5" w:hRule="atLeast"/>
        </w:trPr>
        <w:tc>
          <w:tcPr>
            <w:tcW w:w="601" w:type="dxa"/>
            <w:vMerge w:val="continue"/>
            <w:tcBorders>
              <w:top w:val="nil"/>
              <w:left w:val="single" w:color="000000" w:sz="6" w:space="0"/>
              <w:bottom w:val="nil"/>
            </w:tcBorders>
            <w:vAlign w:val="top"/>
          </w:tcPr>
          <w:p>
            <w:pPr>
              <w:rPr>
                <w:rFonts w:ascii="Arial"/>
                <w:sz w:val="21"/>
              </w:rPr>
            </w:pPr>
          </w:p>
        </w:tc>
        <w:tc>
          <w:tcPr>
            <w:tcW w:w="141" w:type="dxa"/>
            <w:vMerge w:val="continue"/>
            <w:tcBorders>
              <w:top w:val="nil"/>
              <w:bottom w:val="nil"/>
            </w:tcBorders>
            <w:vAlign w:val="top"/>
          </w:tcPr>
          <w:p>
            <w:pPr>
              <w:rPr>
                <w:rFonts w:ascii="Arial"/>
                <w:sz w:val="21"/>
              </w:rPr>
            </w:pPr>
          </w:p>
        </w:tc>
        <w:tc>
          <w:tcPr>
            <w:tcW w:w="503" w:type="dxa"/>
            <w:vMerge w:val="continue"/>
            <w:tcBorders>
              <w:top w:val="nil"/>
              <w:bottom w:val="nil"/>
            </w:tcBorders>
            <w:vAlign w:val="top"/>
          </w:tcPr>
          <w:p>
            <w:pPr>
              <w:rPr>
                <w:rFonts w:ascii="Arial"/>
                <w:sz w:val="21"/>
              </w:rPr>
            </w:pPr>
          </w:p>
        </w:tc>
        <w:tc>
          <w:tcPr>
            <w:tcW w:w="925" w:type="dxa"/>
            <w:vAlign w:val="top"/>
          </w:tcPr>
          <w:p>
            <w:pPr>
              <w:spacing w:line="438" w:lineRule="auto"/>
              <w:rPr>
                <w:rFonts w:ascii="Arial"/>
                <w:sz w:val="21"/>
              </w:rPr>
            </w:pPr>
          </w:p>
          <w:p>
            <w:pPr>
              <w:spacing w:before="55" w:line="231" w:lineRule="auto"/>
              <w:ind w:left="282"/>
              <w:rPr>
                <w:rFonts w:ascii="宋体" w:hAnsi="宋体" w:eastAsia="宋体" w:cs="宋体"/>
                <w:sz w:val="17"/>
                <w:szCs w:val="17"/>
              </w:rPr>
            </w:pPr>
            <w:r>
              <w:rPr>
                <w:rFonts w:ascii="宋体" w:hAnsi="宋体" w:eastAsia="宋体" w:cs="宋体"/>
                <w:spacing w:val="6"/>
                <w:sz w:val="17"/>
                <w:szCs w:val="17"/>
              </w:rPr>
              <w:t>桥面</w:t>
            </w:r>
          </w:p>
        </w:tc>
        <w:tc>
          <w:tcPr>
            <w:tcW w:w="4750" w:type="dxa"/>
            <w:vAlign w:val="top"/>
          </w:tcPr>
          <w:p>
            <w:pPr>
              <w:spacing w:before="75" w:line="285" w:lineRule="auto"/>
              <w:ind w:left="20" w:right="17" w:firstLine="6"/>
              <w:rPr>
                <w:rFonts w:ascii="Times New Roman" w:hAnsi="Times New Roman" w:eastAsia="Times New Roman" w:cs="Times New Roman"/>
                <w:sz w:val="17"/>
                <w:szCs w:val="17"/>
              </w:rPr>
            </w:pPr>
            <w:r>
              <w:rPr>
                <w:rFonts w:ascii="宋体" w:hAnsi="宋体" w:eastAsia="宋体" w:cs="宋体"/>
                <w:spacing w:val="8"/>
                <w:sz w:val="17"/>
                <w:szCs w:val="17"/>
              </w:rPr>
              <w:t xml:space="preserve">项目桥面宽度 </w:t>
            </w:r>
            <w:r>
              <w:rPr>
                <w:rFonts w:ascii="Times New Roman" w:hAnsi="Times New Roman" w:eastAsia="Times New Roman" w:cs="Times New Roman"/>
                <w:spacing w:val="8"/>
                <w:sz w:val="17"/>
                <w:szCs w:val="17"/>
              </w:rPr>
              <w:t>34.5</w:t>
            </w:r>
            <w:r>
              <w:rPr>
                <w:rFonts w:ascii="Times New Roman" w:hAnsi="Times New Roman" w:eastAsia="Times New Roman" w:cs="Times New Roman"/>
                <w:sz w:val="17"/>
                <w:szCs w:val="17"/>
              </w:rPr>
              <w:t>m</w:t>
            </w:r>
            <w:r>
              <w:rPr>
                <w:rFonts w:ascii="Times New Roman" w:hAnsi="Times New Roman" w:eastAsia="Times New Roman" w:cs="Times New Roman"/>
                <w:spacing w:val="8"/>
                <w:sz w:val="17"/>
                <w:szCs w:val="17"/>
              </w:rPr>
              <w:t xml:space="preserve"> </w:t>
            </w:r>
            <w:r>
              <w:rPr>
                <w:rFonts w:ascii="宋体" w:hAnsi="宋体" w:eastAsia="宋体" w:cs="宋体"/>
                <w:spacing w:val="8"/>
                <w:sz w:val="17"/>
                <w:szCs w:val="17"/>
              </w:rPr>
              <w:t>，设计双向六车道，为城市次干道，</w:t>
            </w:r>
            <w:r>
              <w:rPr>
                <w:rFonts w:ascii="宋体" w:hAnsi="宋体" w:eastAsia="宋体" w:cs="宋体"/>
                <w:spacing w:val="7"/>
                <w:sz w:val="17"/>
                <w:szCs w:val="17"/>
              </w:rPr>
              <w:t>设</w:t>
            </w:r>
            <w:r>
              <w:rPr>
                <w:rFonts w:ascii="宋体" w:hAnsi="宋体" w:eastAsia="宋体" w:cs="宋体"/>
                <w:sz w:val="17"/>
                <w:szCs w:val="17"/>
              </w:rPr>
              <w:t xml:space="preserve"> </w:t>
            </w:r>
            <w:r>
              <w:rPr>
                <w:rFonts w:ascii="宋体" w:hAnsi="宋体" w:eastAsia="宋体" w:cs="宋体"/>
                <w:spacing w:val="12"/>
                <w:sz w:val="17"/>
                <w:szCs w:val="17"/>
              </w:rPr>
              <w:t>计速度</w:t>
            </w:r>
            <w:r>
              <w:rPr>
                <w:rFonts w:ascii="宋体" w:hAnsi="宋体" w:eastAsia="宋体" w:cs="宋体"/>
                <w:spacing w:val="7"/>
                <w:sz w:val="17"/>
                <w:szCs w:val="17"/>
              </w:rPr>
              <w:t xml:space="preserve"> </w:t>
            </w:r>
            <w:r>
              <w:rPr>
                <w:rFonts w:ascii="Times New Roman" w:hAnsi="Times New Roman" w:eastAsia="Times New Roman" w:cs="Times New Roman"/>
                <w:spacing w:val="6"/>
                <w:sz w:val="17"/>
                <w:szCs w:val="17"/>
              </w:rPr>
              <w:t>40</w:t>
            </w:r>
            <w:r>
              <w:rPr>
                <w:rFonts w:ascii="Times New Roman" w:hAnsi="Times New Roman" w:eastAsia="Times New Roman" w:cs="Times New Roman"/>
                <w:sz w:val="17"/>
                <w:szCs w:val="17"/>
              </w:rPr>
              <w:t>km</w:t>
            </w:r>
            <w:r>
              <w:rPr>
                <w:rFonts w:ascii="Times New Roman" w:hAnsi="Times New Roman" w:eastAsia="Times New Roman" w:cs="Times New Roman"/>
                <w:spacing w:val="6"/>
                <w:sz w:val="17"/>
                <w:szCs w:val="17"/>
              </w:rPr>
              <w:t>/</w:t>
            </w:r>
            <w:r>
              <w:rPr>
                <w:rFonts w:ascii="Times New Roman" w:hAnsi="Times New Roman" w:eastAsia="Times New Roman" w:cs="Times New Roman"/>
                <w:sz w:val="17"/>
                <w:szCs w:val="17"/>
              </w:rPr>
              <w:t>h</w:t>
            </w:r>
            <w:r>
              <w:rPr>
                <w:rFonts w:ascii="宋体" w:hAnsi="宋体" w:eastAsia="宋体" w:cs="宋体"/>
                <w:spacing w:val="6"/>
                <w:sz w:val="17"/>
                <w:szCs w:val="17"/>
              </w:rPr>
              <w:t>；沥青混凝土路面；标准横断面形式为：</w:t>
            </w:r>
            <w:r>
              <w:rPr>
                <w:rFonts w:ascii="Times New Roman" w:hAnsi="Times New Roman" w:eastAsia="Times New Roman" w:cs="Times New Roman"/>
                <w:spacing w:val="6"/>
                <w:sz w:val="17"/>
                <w:szCs w:val="17"/>
              </w:rPr>
              <w:t>4.0</w:t>
            </w:r>
            <w:r>
              <w:rPr>
                <w:rFonts w:ascii="Times New Roman" w:hAnsi="Times New Roman" w:eastAsia="Times New Roman" w:cs="Times New Roman"/>
                <w:sz w:val="17"/>
                <w:szCs w:val="17"/>
              </w:rPr>
              <w:t xml:space="preserve">m </w:t>
            </w:r>
            <w:r>
              <w:rPr>
                <w:rFonts w:ascii="宋体" w:hAnsi="宋体" w:eastAsia="宋体" w:cs="宋体"/>
                <w:spacing w:val="6"/>
                <w:sz w:val="17"/>
                <w:szCs w:val="17"/>
              </w:rPr>
              <w:t>人 行 道</w:t>
            </w:r>
            <w:r>
              <w:rPr>
                <w:rFonts w:ascii="Times New Roman" w:hAnsi="Times New Roman" w:eastAsia="Times New Roman" w:cs="Times New Roman"/>
                <w:spacing w:val="6"/>
                <w:sz w:val="17"/>
                <w:szCs w:val="17"/>
              </w:rPr>
              <w:t>+2.0</w:t>
            </w:r>
            <w:r>
              <w:rPr>
                <w:rFonts w:ascii="Times New Roman" w:hAnsi="Times New Roman" w:eastAsia="Times New Roman" w:cs="Times New Roman"/>
                <w:sz w:val="17"/>
                <w:szCs w:val="17"/>
              </w:rPr>
              <w:t>m</w:t>
            </w:r>
            <w:r>
              <w:rPr>
                <w:rFonts w:ascii="Times New Roman" w:hAnsi="Times New Roman" w:eastAsia="Times New Roman" w:cs="Times New Roman"/>
                <w:spacing w:val="6"/>
                <w:sz w:val="17"/>
                <w:szCs w:val="17"/>
              </w:rPr>
              <w:t xml:space="preserve"> </w:t>
            </w:r>
            <w:r>
              <w:rPr>
                <w:rFonts w:ascii="宋体" w:hAnsi="宋体" w:eastAsia="宋体" w:cs="宋体"/>
                <w:spacing w:val="6"/>
                <w:sz w:val="17"/>
                <w:szCs w:val="17"/>
              </w:rPr>
              <w:t>索 区</w:t>
            </w:r>
            <w:r>
              <w:rPr>
                <w:rFonts w:ascii="Times New Roman" w:hAnsi="Times New Roman" w:eastAsia="Times New Roman" w:cs="Times New Roman"/>
                <w:spacing w:val="6"/>
                <w:sz w:val="17"/>
                <w:szCs w:val="17"/>
              </w:rPr>
              <w:t>+0.5</w:t>
            </w:r>
            <w:r>
              <w:rPr>
                <w:rFonts w:ascii="Times New Roman" w:hAnsi="Times New Roman" w:eastAsia="Times New Roman" w:cs="Times New Roman"/>
                <w:sz w:val="17"/>
                <w:szCs w:val="17"/>
              </w:rPr>
              <w:t>m</w:t>
            </w:r>
            <w:r>
              <w:rPr>
                <w:rFonts w:ascii="Times New Roman" w:hAnsi="Times New Roman" w:eastAsia="Times New Roman" w:cs="Times New Roman"/>
                <w:spacing w:val="6"/>
                <w:sz w:val="17"/>
                <w:szCs w:val="17"/>
              </w:rPr>
              <w:t xml:space="preserve"> </w:t>
            </w:r>
            <w:r>
              <w:rPr>
                <w:rFonts w:ascii="宋体" w:hAnsi="宋体" w:eastAsia="宋体" w:cs="宋体"/>
                <w:spacing w:val="6"/>
                <w:sz w:val="17"/>
                <w:szCs w:val="17"/>
              </w:rPr>
              <w:t>护栏</w:t>
            </w:r>
            <w:r>
              <w:rPr>
                <w:rFonts w:ascii="Times New Roman" w:hAnsi="Times New Roman" w:eastAsia="Times New Roman" w:cs="Times New Roman"/>
                <w:spacing w:val="6"/>
                <w:sz w:val="17"/>
                <w:szCs w:val="17"/>
              </w:rPr>
              <w:t>+10.5</w:t>
            </w:r>
            <w:r>
              <w:rPr>
                <w:rFonts w:ascii="Times New Roman" w:hAnsi="Times New Roman" w:eastAsia="Times New Roman" w:cs="Times New Roman"/>
                <w:sz w:val="17"/>
                <w:szCs w:val="17"/>
              </w:rPr>
              <w:t>m</w:t>
            </w:r>
            <w:r>
              <w:rPr>
                <w:rFonts w:ascii="Times New Roman" w:hAnsi="Times New Roman" w:eastAsia="Times New Roman" w:cs="Times New Roman"/>
                <w:spacing w:val="6"/>
                <w:sz w:val="17"/>
                <w:szCs w:val="17"/>
              </w:rPr>
              <w:t xml:space="preserve"> </w:t>
            </w:r>
            <w:r>
              <w:rPr>
                <w:rFonts w:ascii="宋体" w:hAnsi="宋体" w:eastAsia="宋体" w:cs="宋体"/>
                <w:spacing w:val="6"/>
                <w:sz w:val="17"/>
                <w:szCs w:val="17"/>
              </w:rPr>
              <w:t>车 行 道</w:t>
            </w:r>
            <w:r>
              <w:rPr>
                <w:rFonts w:ascii="Times New Roman" w:hAnsi="Times New Roman" w:eastAsia="Times New Roman" w:cs="Times New Roman"/>
                <w:spacing w:val="6"/>
                <w:sz w:val="17"/>
                <w:szCs w:val="17"/>
              </w:rPr>
              <w:t>+0.5</w:t>
            </w:r>
            <w:r>
              <w:rPr>
                <w:rFonts w:ascii="Times New Roman" w:hAnsi="Times New Roman" w:eastAsia="Times New Roman" w:cs="Times New Roman"/>
                <w:sz w:val="17"/>
                <w:szCs w:val="17"/>
              </w:rPr>
              <w:t>m</w:t>
            </w:r>
            <w:r>
              <w:rPr>
                <w:rFonts w:ascii="Times New Roman" w:hAnsi="Times New Roman" w:eastAsia="Times New Roman" w:cs="Times New Roman"/>
                <w:spacing w:val="6"/>
                <w:sz w:val="17"/>
                <w:szCs w:val="17"/>
              </w:rPr>
              <w:t xml:space="preserve"> </w:t>
            </w:r>
            <w:r>
              <w:rPr>
                <w:rFonts w:ascii="宋体" w:hAnsi="宋体" w:eastAsia="宋体" w:cs="宋体"/>
                <w:spacing w:val="6"/>
                <w:sz w:val="17"/>
                <w:szCs w:val="17"/>
              </w:rPr>
              <w:t>护</w:t>
            </w:r>
            <w:r>
              <w:rPr>
                <w:rFonts w:ascii="宋体" w:hAnsi="宋体" w:eastAsia="宋体" w:cs="宋体"/>
                <w:spacing w:val="1"/>
                <w:sz w:val="17"/>
                <w:szCs w:val="17"/>
              </w:rPr>
              <w:t>栏</w:t>
            </w:r>
            <w:r>
              <w:rPr>
                <w:rFonts w:ascii="宋体" w:hAnsi="宋体" w:eastAsia="宋体" w:cs="宋体"/>
                <w:sz w:val="17"/>
                <w:szCs w:val="17"/>
              </w:rPr>
              <w:t xml:space="preserve"> </w:t>
            </w:r>
            <w:r>
              <w:rPr>
                <w:rFonts w:ascii="Times New Roman" w:hAnsi="Times New Roman" w:eastAsia="Times New Roman" w:cs="Times New Roman"/>
                <w:spacing w:val="10"/>
                <w:sz w:val="17"/>
                <w:szCs w:val="17"/>
              </w:rPr>
              <w:t>+ 10</w:t>
            </w:r>
            <w:r>
              <w:rPr>
                <w:rFonts w:ascii="Times New Roman" w:hAnsi="Times New Roman" w:eastAsia="Times New Roman" w:cs="Times New Roman"/>
                <w:spacing w:val="7"/>
                <w:sz w:val="17"/>
                <w:szCs w:val="17"/>
              </w:rPr>
              <w:t>.</w:t>
            </w:r>
            <w:r>
              <w:rPr>
                <w:rFonts w:ascii="Times New Roman" w:hAnsi="Times New Roman" w:eastAsia="Times New Roman" w:cs="Times New Roman"/>
                <w:spacing w:val="5"/>
                <w:sz w:val="17"/>
                <w:szCs w:val="17"/>
              </w:rPr>
              <w:t>5</w:t>
            </w:r>
            <w:r>
              <w:rPr>
                <w:rFonts w:ascii="Times New Roman" w:hAnsi="Times New Roman" w:eastAsia="Times New Roman" w:cs="Times New Roman"/>
                <w:sz w:val="17"/>
                <w:szCs w:val="17"/>
              </w:rPr>
              <w:t>m</w:t>
            </w:r>
            <w:r>
              <w:rPr>
                <w:rFonts w:ascii="Times New Roman" w:hAnsi="Times New Roman" w:eastAsia="Times New Roman" w:cs="Times New Roman"/>
                <w:spacing w:val="5"/>
                <w:sz w:val="17"/>
                <w:szCs w:val="17"/>
              </w:rPr>
              <w:t xml:space="preserve"> </w:t>
            </w:r>
            <w:r>
              <w:rPr>
                <w:rFonts w:ascii="宋体" w:hAnsi="宋体" w:eastAsia="宋体" w:cs="宋体"/>
                <w:spacing w:val="5"/>
                <w:sz w:val="17"/>
                <w:szCs w:val="17"/>
              </w:rPr>
              <w:t>车行道</w:t>
            </w:r>
            <w:r>
              <w:rPr>
                <w:rFonts w:ascii="Times New Roman" w:hAnsi="Times New Roman" w:eastAsia="Times New Roman" w:cs="Times New Roman"/>
                <w:spacing w:val="5"/>
                <w:sz w:val="17"/>
                <w:szCs w:val="17"/>
              </w:rPr>
              <w:t>+0.5</w:t>
            </w:r>
            <w:r>
              <w:rPr>
                <w:rFonts w:ascii="Times New Roman" w:hAnsi="Times New Roman" w:eastAsia="Times New Roman" w:cs="Times New Roman"/>
                <w:sz w:val="17"/>
                <w:szCs w:val="17"/>
              </w:rPr>
              <w:t>m</w:t>
            </w:r>
            <w:r>
              <w:rPr>
                <w:rFonts w:ascii="Times New Roman" w:hAnsi="Times New Roman" w:eastAsia="Times New Roman" w:cs="Times New Roman"/>
                <w:spacing w:val="5"/>
                <w:sz w:val="17"/>
                <w:szCs w:val="17"/>
              </w:rPr>
              <w:t xml:space="preserve"> </w:t>
            </w:r>
            <w:r>
              <w:rPr>
                <w:rFonts w:ascii="宋体" w:hAnsi="宋体" w:eastAsia="宋体" w:cs="宋体"/>
                <w:spacing w:val="5"/>
                <w:sz w:val="17"/>
                <w:szCs w:val="17"/>
              </w:rPr>
              <w:t>护栏</w:t>
            </w:r>
            <w:r>
              <w:rPr>
                <w:rFonts w:ascii="Times New Roman" w:hAnsi="Times New Roman" w:eastAsia="Times New Roman" w:cs="Times New Roman"/>
                <w:spacing w:val="5"/>
                <w:sz w:val="17"/>
                <w:szCs w:val="17"/>
              </w:rPr>
              <w:t>+2</w:t>
            </w:r>
            <w:r>
              <w:rPr>
                <w:rFonts w:ascii="Times New Roman" w:hAnsi="Times New Roman" w:eastAsia="Times New Roman" w:cs="Times New Roman"/>
                <w:sz w:val="17"/>
                <w:szCs w:val="17"/>
              </w:rPr>
              <w:t>m</w:t>
            </w:r>
            <w:r>
              <w:rPr>
                <w:rFonts w:ascii="Times New Roman" w:hAnsi="Times New Roman" w:eastAsia="Times New Roman" w:cs="Times New Roman"/>
                <w:spacing w:val="5"/>
                <w:sz w:val="17"/>
                <w:szCs w:val="17"/>
              </w:rPr>
              <w:t xml:space="preserve"> </w:t>
            </w:r>
            <w:r>
              <w:rPr>
                <w:rFonts w:ascii="宋体" w:hAnsi="宋体" w:eastAsia="宋体" w:cs="宋体"/>
                <w:spacing w:val="5"/>
                <w:sz w:val="17"/>
                <w:szCs w:val="17"/>
              </w:rPr>
              <w:t>索区</w:t>
            </w:r>
            <w:r>
              <w:rPr>
                <w:rFonts w:ascii="Times New Roman" w:hAnsi="Times New Roman" w:eastAsia="Times New Roman" w:cs="Times New Roman"/>
                <w:spacing w:val="5"/>
                <w:sz w:val="17"/>
                <w:szCs w:val="17"/>
              </w:rPr>
              <w:t>+4.0</w:t>
            </w:r>
            <w:r>
              <w:rPr>
                <w:rFonts w:ascii="Times New Roman" w:hAnsi="Times New Roman" w:eastAsia="Times New Roman" w:cs="Times New Roman"/>
                <w:sz w:val="17"/>
                <w:szCs w:val="17"/>
              </w:rPr>
              <w:t>m</w:t>
            </w:r>
            <w:r>
              <w:rPr>
                <w:rFonts w:ascii="Times New Roman" w:hAnsi="Times New Roman" w:eastAsia="Times New Roman" w:cs="Times New Roman"/>
                <w:spacing w:val="5"/>
                <w:sz w:val="17"/>
                <w:szCs w:val="17"/>
              </w:rPr>
              <w:t xml:space="preserve"> </w:t>
            </w:r>
            <w:r>
              <w:rPr>
                <w:rFonts w:ascii="宋体" w:hAnsi="宋体" w:eastAsia="宋体" w:cs="宋体"/>
                <w:spacing w:val="5"/>
                <w:sz w:val="17"/>
                <w:szCs w:val="17"/>
              </w:rPr>
              <w:t>人行道</w:t>
            </w:r>
            <w:r>
              <w:rPr>
                <w:rFonts w:ascii="Times New Roman" w:hAnsi="Times New Roman" w:eastAsia="Times New Roman" w:cs="Times New Roman"/>
                <w:spacing w:val="5"/>
                <w:sz w:val="17"/>
                <w:szCs w:val="17"/>
              </w:rPr>
              <w:t>=34.5</w:t>
            </w:r>
            <w:r>
              <w:rPr>
                <w:rFonts w:ascii="Times New Roman" w:hAnsi="Times New Roman" w:eastAsia="Times New Roman" w:cs="Times New Roman"/>
                <w:sz w:val="17"/>
                <w:szCs w:val="17"/>
              </w:rPr>
              <w:t>m</w:t>
            </w:r>
          </w:p>
        </w:tc>
        <w:tc>
          <w:tcPr>
            <w:tcW w:w="990" w:type="dxa"/>
            <w:vAlign w:val="top"/>
          </w:tcPr>
          <w:p>
            <w:pPr>
              <w:spacing w:before="215" w:line="230" w:lineRule="auto"/>
              <w:ind w:left="54"/>
              <w:rPr>
                <w:rFonts w:ascii="宋体" w:hAnsi="宋体" w:eastAsia="宋体" w:cs="宋体"/>
                <w:sz w:val="17"/>
                <w:szCs w:val="17"/>
              </w:rPr>
            </w:pPr>
            <w:r>
              <w:rPr>
                <w:rFonts w:ascii="宋体" w:hAnsi="宋体" w:eastAsia="宋体" w:cs="宋体"/>
                <w:spacing w:val="11"/>
                <w:sz w:val="17"/>
                <w:szCs w:val="17"/>
              </w:rPr>
              <w:t>废</w:t>
            </w:r>
            <w:r>
              <w:rPr>
                <w:rFonts w:ascii="宋体" w:hAnsi="宋体" w:eastAsia="宋体" w:cs="宋体"/>
                <w:spacing w:val="8"/>
                <w:sz w:val="17"/>
                <w:szCs w:val="17"/>
              </w:rPr>
              <w:t>水、扬尘</w:t>
            </w:r>
          </w:p>
          <w:p>
            <w:pPr>
              <w:spacing w:before="69" w:line="229" w:lineRule="auto"/>
              <w:ind w:left="55"/>
              <w:rPr>
                <w:rFonts w:ascii="宋体" w:hAnsi="宋体" w:eastAsia="宋体" w:cs="宋体"/>
                <w:sz w:val="17"/>
                <w:szCs w:val="17"/>
              </w:rPr>
            </w:pPr>
            <w:r>
              <w:rPr>
                <w:rFonts w:ascii="宋体" w:hAnsi="宋体" w:eastAsia="宋体" w:cs="宋体"/>
                <w:spacing w:val="12"/>
                <w:sz w:val="17"/>
                <w:szCs w:val="17"/>
              </w:rPr>
              <w:t>沥</w:t>
            </w:r>
            <w:r>
              <w:rPr>
                <w:rFonts w:ascii="宋体" w:hAnsi="宋体" w:eastAsia="宋体" w:cs="宋体"/>
                <w:spacing w:val="9"/>
                <w:sz w:val="17"/>
                <w:szCs w:val="17"/>
              </w:rPr>
              <w:t>青烟、噪</w:t>
            </w:r>
          </w:p>
          <w:p>
            <w:pPr>
              <w:spacing w:before="66" w:line="231" w:lineRule="auto"/>
              <w:ind w:left="147"/>
              <w:rPr>
                <w:rFonts w:ascii="宋体" w:hAnsi="宋体" w:eastAsia="宋体" w:cs="宋体"/>
                <w:sz w:val="17"/>
                <w:szCs w:val="17"/>
              </w:rPr>
            </w:pPr>
            <w:r>
              <w:rPr>
                <w:rFonts w:ascii="宋体" w:hAnsi="宋体" w:eastAsia="宋体" w:cs="宋体"/>
                <w:spacing w:val="8"/>
                <w:sz w:val="17"/>
                <w:szCs w:val="17"/>
              </w:rPr>
              <w:t>声</w:t>
            </w:r>
            <w:r>
              <w:rPr>
                <w:rFonts w:ascii="宋体" w:hAnsi="宋体" w:eastAsia="宋体" w:cs="宋体"/>
                <w:spacing w:val="7"/>
                <w:sz w:val="17"/>
                <w:szCs w:val="17"/>
              </w:rPr>
              <w:t>、固废</w:t>
            </w:r>
          </w:p>
        </w:tc>
        <w:tc>
          <w:tcPr>
            <w:tcW w:w="856" w:type="dxa"/>
            <w:vMerge w:val="continue"/>
            <w:tcBorders>
              <w:top w:val="nil"/>
              <w:bottom w:val="nil"/>
            </w:tcBorders>
            <w:vAlign w:val="top"/>
          </w:tcPr>
          <w:p>
            <w:pPr>
              <w:rPr>
                <w:rFonts w:ascii="Arial"/>
                <w:sz w:val="21"/>
              </w:rPr>
            </w:pP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4" w:hRule="atLeast"/>
        </w:trPr>
        <w:tc>
          <w:tcPr>
            <w:tcW w:w="601" w:type="dxa"/>
            <w:vMerge w:val="continue"/>
            <w:tcBorders>
              <w:top w:val="nil"/>
              <w:left w:val="single" w:color="000000" w:sz="6" w:space="0"/>
              <w:bottom w:val="nil"/>
            </w:tcBorders>
            <w:vAlign w:val="top"/>
          </w:tcPr>
          <w:p>
            <w:pPr>
              <w:rPr>
                <w:rFonts w:ascii="Arial"/>
                <w:sz w:val="21"/>
              </w:rPr>
            </w:pPr>
          </w:p>
        </w:tc>
        <w:tc>
          <w:tcPr>
            <w:tcW w:w="141" w:type="dxa"/>
            <w:vMerge w:val="continue"/>
            <w:tcBorders>
              <w:top w:val="nil"/>
              <w:bottom w:val="nil"/>
            </w:tcBorders>
            <w:vAlign w:val="top"/>
          </w:tcPr>
          <w:p>
            <w:pPr>
              <w:rPr>
                <w:rFonts w:ascii="Arial"/>
                <w:sz w:val="21"/>
              </w:rPr>
            </w:pPr>
          </w:p>
        </w:tc>
        <w:tc>
          <w:tcPr>
            <w:tcW w:w="503" w:type="dxa"/>
            <w:vMerge w:val="continue"/>
            <w:tcBorders>
              <w:top w:val="nil"/>
            </w:tcBorders>
            <w:vAlign w:val="top"/>
          </w:tcPr>
          <w:p>
            <w:pPr>
              <w:rPr>
                <w:rFonts w:ascii="Arial"/>
                <w:sz w:val="21"/>
              </w:rPr>
            </w:pPr>
          </w:p>
        </w:tc>
        <w:tc>
          <w:tcPr>
            <w:tcW w:w="925"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56" w:line="230" w:lineRule="auto"/>
              <w:ind w:left="103"/>
              <w:rPr>
                <w:rFonts w:ascii="宋体" w:hAnsi="宋体" w:eastAsia="宋体" w:cs="宋体"/>
                <w:sz w:val="17"/>
                <w:szCs w:val="17"/>
              </w:rPr>
            </w:pPr>
            <w:r>
              <w:rPr>
                <w:rFonts w:ascii="宋体" w:hAnsi="宋体" w:eastAsia="宋体" w:cs="宋体"/>
                <w:spacing w:val="8"/>
                <w:sz w:val="17"/>
                <w:szCs w:val="17"/>
              </w:rPr>
              <w:t>连接道路</w:t>
            </w:r>
          </w:p>
        </w:tc>
        <w:tc>
          <w:tcPr>
            <w:tcW w:w="4750" w:type="dxa"/>
            <w:vAlign w:val="top"/>
          </w:tcPr>
          <w:p>
            <w:pPr>
              <w:tabs>
                <w:tab w:val="left" w:pos="118"/>
              </w:tabs>
              <w:spacing w:before="41" w:line="310" w:lineRule="auto"/>
              <w:ind w:left="23" w:right="16"/>
              <w:rPr>
                <w:rFonts w:ascii="宋体" w:hAnsi="宋体" w:eastAsia="宋体" w:cs="宋体"/>
                <w:sz w:val="17"/>
                <w:szCs w:val="17"/>
              </w:rPr>
            </w:pPr>
            <w:r>
              <w:rPr>
                <w:rFonts w:ascii="宋体" w:hAnsi="宋体" w:eastAsia="宋体" w:cs="宋体"/>
                <w:spacing w:val="6"/>
                <w:sz w:val="17"/>
                <w:szCs w:val="17"/>
              </w:rPr>
              <w:t xml:space="preserve">桥梁西端 </w:t>
            </w:r>
            <w:r>
              <w:rPr>
                <w:rFonts w:ascii="Times New Roman" w:hAnsi="Times New Roman" w:eastAsia="Times New Roman" w:cs="Times New Roman"/>
                <w:sz w:val="17"/>
                <w:szCs w:val="17"/>
              </w:rPr>
              <w:t>K</w:t>
            </w:r>
            <w:r>
              <w:rPr>
                <w:rFonts w:ascii="Times New Roman" w:hAnsi="Times New Roman" w:eastAsia="Times New Roman" w:cs="Times New Roman"/>
                <w:spacing w:val="6"/>
                <w:sz w:val="17"/>
                <w:szCs w:val="17"/>
              </w:rPr>
              <w:t xml:space="preserve">0+000 </w:t>
            </w:r>
            <w:r>
              <w:rPr>
                <w:rFonts w:ascii="宋体" w:hAnsi="宋体" w:eastAsia="宋体" w:cs="宋体"/>
                <w:spacing w:val="6"/>
                <w:sz w:val="17"/>
                <w:szCs w:val="17"/>
              </w:rPr>
              <w:t>与滨河路平交，形成“</w:t>
            </w:r>
            <w:r>
              <w:rPr>
                <w:rFonts w:ascii="Times New Roman" w:hAnsi="Times New Roman" w:eastAsia="Times New Roman" w:cs="Times New Roman"/>
                <w:sz w:val="17"/>
                <w:szCs w:val="17"/>
              </w:rPr>
              <w:t>T</w:t>
            </w:r>
            <w:r>
              <w:rPr>
                <w:rFonts w:ascii="宋体" w:hAnsi="宋体" w:eastAsia="宋体" w:cs="宋体"/>
                <w:spacing w:val="6"/>
                <w:sz w:val="17"/>
                <w:szCs w:val="17"/>
              </w:rPr>
              <w:t>”形路口，滨河</w:t>
            </w:r>
            <w:r>
              <w:rPr>
                <w:rFonts w:ascii="宋体" w:hAnsi="宋体" w:eastAsia="宋体" w:cs="宋体"/>
                <w:spacing w:val="3"/>
                <w:sz w:val="17"/>
                <w:szCs w:val="17"/>
              </w:rPr>
              <w:t>路</w:t>
            </w:r>
            <w:r>
              <w:rPr>
                <w:rFonts w:ascii="宋体" w:hAnsi="宋体" w:eastAsia="宋体" w:cs="宋体"/>
                <w:sz w:val="17"/>
                <w:szCs w:val="17"/>
              </w:rPr>
              <w:t xml:space="preserve"> </w:t>
            </w:r>
            <w:r>
              <w:rPr>
                <w:rFonts w:ascii="宋体" w:hAnsi="宋体" w:eastAsia="宋体" w:cs="宋体"/>
                <w:spacing w:val="8"/>
                <w:sz w:val="17"/>
                <w:szCs w:val="17"/>
              </w:rPr>
              <w:t xml:space="preserve">共 </w:t>
            </w:r>
            <w:r>
              <w:rPr>
                <w:rFonts w:ascii="Times New Roman" w:hAnsi="Times New Roman" w:eastAsia="Times New Roman" w:cs="Times New Roman"/>
                <w:spacing w:val="4"/>
                <w:sz w:val="17"/>
                <w:szCs w:val="17"/>
              </w:rPr>
              <w:t>62</w:t>
            </w:r>
            <w:r>
              <w:rPr>
                <w:rFonts w:ascii="Times New Roman" w:hAnsi="Times New Roman" w:eastAsia="Times New Roman" w:cs="Times New Roman"/>
                <w:sz w:val="17"/>
                <w:szCs w:val="17"/>
              </w:rPr>
              <w:t>m</w:t>
            </w:r>
            <w:r>
              <w:rPr>
                <w:rFonts w:ascii="Times New Roman" w:hAnsi="Times New Roman" w:eastAsia="Times New Roman" w:cs="Times New Roman"/>
                <w:spacing w:val="4"/>
                <w:sz w:val="17"/>
                <w:szCs w:val="17"/>
              </w:rPr>
              <w:t xml:space="preserve">  </w:t>
            </w:r>
            <w:r>
              <w:rPr>
                <w:rFonts w:ascii="宋体" w:hAnsi="宋体" w:eastAsia="宋体" w:cs="宋体"/>
                <w:spacing w:val="4"/>
                <w:sz w:val="17"/>
                <w:szCs w:val="17"/>
              </w:rPr>
              <w:t xml:space="preserve">(桩号 </w:t>
            </w:r>
            <w:r>
              <w:rPr>
                <w:rFonts w:ascii="Times New Roman" w:hAnsi="Times New Roman" w:eastAsia="Times New Roman" w:cs="Times New Roman"/>
                <w:sz w:val="17"/>
                <w:szCs w:val="17"/>
              </w:rPr>
              <w:t>K</w:t>
            </w:r>
            <w:r>
              <w:rPr>
                <w:rFonts w:ascii="Times New Roman" w:hAnsi="Times New Roman" w:eastAsia="Times New Roman" w:cs="Times New Roman"/>
                <w:spacing w:val="4"/>
                <w:sz w:val="17"/>
                <w:szCs w:val="17"/>
              </w:rPr>
              <w:t>0+506.363-</w:t>
            </w:r>
            <w:r>
              <w:rPr>
                <w:rFonts w:ascii="Times New Roman" w:hAnsi="Times New Roman" w:eastAsia="Times New Roman" w:cs="Times New Roman"/>
                <w:sz w:val="17"/>
                <w:szCs w:val="17"/>
              </w:rPr>
              <w:t>K</w:t>
            </w:r>
            <w:r>
              <w:rPr>
                <w:rFonts w:ascii="Times New Roman" w:hAnsi="Times New Roman" w:eastAsia="Times New Roman" w:cs="Times New Roman"/>
                <w:spacing w:val="4"/>
                <w:sz w:val="17"/>
                <w:szCs w:val="17"/>
              </w:rPr>
              <w:t xml:space="preserve">0+568. 183 </w:t>
            </w:r>
            <w:r>
              <w:rPr>
                <w:rFonts w:ascii="宋体" w:hAnsi="宋体" w:eastAsia="宋体" w:cs="宋体"/>
                <w:spacing w:val="4"/>
                <w:sz w:val="17"/>
                <w:szCs w:val="17"/>
              </w:rPr>
              <w:t>，往南、北方向各偏</w:t>
            </w:r>
            <w:r>
              <w:rPr>
                <w:rFonts w:ascii="宋体" w:hAnsi="宋体" w:eastAsia="宋体" w:cs="宋体"/>
                <w:sz w:val="17"/>
                <w:szCs w:val="17"/>
              </w:rPr>
              <w:t xml:space="preserve"> </w:t>
            </w:r>
            <w:r>
              <w:rPr>
                <w:rFonts w:ascii="宋体" w:hAnsi="宋体" w:eastAsia="宋体" w:cs="宋体"/>
                <w:spacing w:val="12"/>
                <w:sz w:val="17"/>
                <w:szCs w:val="17"/>
              </w:rPr>
              <w:t>移</w:t>
            </w:r>
            <w:r>
              <w:rPr>
                <w:rFonts w:ascii="宋体" w:hAnsi="宋体" w:eastAsia="宋体" w:cs="宋体"/>
                <w:spacing w:val="8"/>
                <w:sz w:val="17"/>
                <w:szCs w:val="17"/>
              </w:rPr>
              <w:t xml:space="preserve"> </w:t>
            </w:r>
            <w:r>
              <w:rPr>
                <w:rFonts w:ascii="Times New Roman" w:hAnsi="Times New Roman" w:eastAsia="Times New Roman" w:cs="Times New Roman"/>
                <w:spacing w:val="6"/>
                <w:sz w:val="17"/>
                <w:szCs w:val="17"/>
              </w:rPr>
              <w:t>31</w:t>
            </w:r>
            <w:r>
              <w:rPr>
                <w:rFonts w:ascii="Times New Roman" w:hAnsi="Times New Roman" w:eastAsia="Times New Roman" w:cs="Times New Roman"/>
                <w:sz w:val="17"/>
                <w:szCs w:val="17"/>
              </w:rPr>
              <w:t>m</w:t>
            </w:r>
            <w:r>
              <w:rPr>
                <w:rFonts w:ascii="Times New Roman" w:hAnsi="Times New Roman" w:eastAsia="Times New Roman" w:cs="Times New Roman"/>
                <w:spacing w:val="6"/>
                <w:sz w:val="17"/>
                <w:szCs w:val="17"/>
              </w:rPr>
              <w:t xml:space="preserve"> </w:t>
            </w:r>
            <w:r>
              <w:rPr>
                <w:rFonts w:ascii="宋体" w:hAnsi="宋体" w:eastAsia="宋体" w:cs="宋体"/>
                <w:spacing w:val="6"/>
                <w:sz w:val="17"/>
                <w:szCs w:val="17"/>
              </w:rPr>
              <w:t>范围) 为本项目连接道路。滨河路横断面：</w:t>
            </w:r>
            <w:r>
              <w:rPr>
                <w:rFonts w:ascii="Times New Roman" w:hAnsi="Times New Roman" w:eastAsia="Times New Roman" w:cs="Times New Roman"/>
                <w:spacing w:val="6"/>
                <w:sz w:val="17"/>
                <w:szCs w:val="17"/>
              </w:rPr>
              <w:t>2</w:t>
            </w:r>
            <w:r>
              <w:rPr>
                <w:rFonts w:ascii="Times New Roman" w:hAnsi="Times New Roman" w:eastAsia="Times New Roman" w:cs="Times New Roman"/>
                <w:sz w:val="17"/>
                <w:szCs w:val="17"/>
              </w:rPr>
              <w:t>m</w:t>
            </w:r>
            <w:r>
              <w:rPr>
                <w:rFonts w:ascii="Times New Roman" w:hAnsi="Times New Roman" w:eastAsia="Times New Roman" w:cs="Times New Roman"/>
                <w:spacing w:val="6"/>
                <w:sz w:val="17"/>
                <w:szCs w:val="17"/>
              </w:rPr>
              <w:t xml:space="preserve"> </w:t>
            </w:r>
            <w:r>
              <w:rPr>
                <w:rFonts w:ascii="宋体" w:hAnsi="宋体" w:eastAsia="宋体" w:cs="宋体"/>
                <w:spacing w:val="6"/>
                <w:sz w:val="17"/>
                <w:szCs w:val="17"/>
              </w:rPr>
              <w:t>(人行</w:t>
            </w:r>
            <w:r>
              <w:rPr>
                <w:rFonts w:ascii="宋体" w:hAnsi="宋体" w:eastAsia="宋体" w:cs="宋体"/>
                <w:sz w:val="17"/>
                <w:szCs w:val="17"/>
              </w:rPr>
              <w:t xml:space="preserve"> </w:t>
            </w:r>
            <w:r>
              <w:rPr>
                <w:rFonts w:ascii="宋体" w:hAnsi="宋体" w:eastAsia="宋体" w:cs="宋体"/>
                <w:spacing w:val="16"/>
                <w:sz w:val="17"/>
                <w:szCs w:val="17"/>
              </w:rPr>
              <w:t>道</w:t>
            </w:r>
            <w:r>
              <w:rPr>
                <w:rFonts w:ascii="宋体" w:hAnsi="宋体" w:eastAsia="宋体" w:cs="宋体"/>
                <w:spacing w:val="9"/>
                <w:sz w:val="17"/>
                <w:szCs w:val="17"/>
              </w:rPr>
              <w:t>)</w:t>
            </w:r>
            <w:r>
              <w:rPr>
                <w:rFonts w:ascii="Times New Roman" w:hAnsi="Times New Roman" w:eastAsia="Times New Roman" w:cs="Times New Roman"/>
                <w:spacing w:val="8"/>
                <w:sz w:val="17"/>
                <w:szCs w:val="17"/>
              </w:rPr>
              <w:t>+0.25</w:t>
            </w:r>
            <w:r>
              <w:rPr>
                <w:rFonts w:ascii="Times New Roman" w:hAnsi="Times New Roman" w:eastAsia="Times New Roman" w:cs="Times New Roman"/>
                <w:sz w:val="17"/>
                <w:szCs w:val="17"/>
              </w:rPr>
              <w:t>m</w:t>
            </w:r>
            <w:r>
              <w:rPr>
                <w:rFonts w:ascii="Times New Roman" w:hAnsi="Times New Roman" w:eastAsia="Times New Roman" w:cs="Times New Roman"/>
                <w:spacing w:val="8"/>
                <w:sz w:val="17"/>
                <w:szCs w:val="17"/>
              </w:rPr>
              <w:t xml:space="preserve"> </w:t>
            </w:r>
            <w:r>
              <w:rPr>
                <w:rFonts w:ascii="宋体" w:hAnsi="宋体" w:eastAsia="宋体" w:cs="宋体"/>
                <w:spacing w:val="8"/>
                <w:sz w:val="17"/>
                <w:szCs w:val="17"/>
              </w:rPr>
              <w:t>(路缘带)</w:t>
            </w:r>
            <w:r>
              <w:rPr>
                <w:rFonts w:ascii="Times New Roman" w:hAnsi="Times New Roman" w:eastAsia="Times New Roman" w:cs="Times New Roman"/>
                <w:spacing w:val="8"/>
                <w:sz w:val="17"/>
                <w:szCs w:val="17"/>
              </w:rPr>
              <w:t>+7</w:t>
            </w:r>
            <w:r>
              <w:rPr>
                <w:rFonts w:ascii="Times New Roman" w:hAnsi="Times New Roman" w:eastAsia="Times New Roman" w:cs="Times New Roman"/>
                <w:sz w:val="17"/>
                <w:szCs w:val="17"/>
              </w:rPr>
              <w:t>m</w:t>
            </w:r>
            <w:r>
              <w:rPr>
                <w:rFonts w:ascii="Times New Roman" w:hAnsi="Times New Roman" w:eastAsia="Times New Roman" w:cs="Times New Roman"/>
                <w:spacing w:val="8"/>
                <w:sz w:val="17"/>
                <w:szCs w:val="17"/>
              </w:rPr>
              <w:t xml:space="preserve"> </w:t>
            </w:r>
            <w:r>
              <w:rPr>
                <w:rFonts w:ascii="宋体" w:hAnsi="宋体" w:eastAsia="宋体" w:cs="宋体"/>
                <w:spacing w:val="8"/>
                <w:sz w:val="17"/>
                <w:szCs w:val="17"/>
              </w:rPr>
              <w:t>(机动车道)</w:t>
            </w:r>
            <w:r>
              <w:rPr>
                <w:rFonts w:ascii="Times New Roman" w:hAnsi="Times New Roman" w:eastAsia="Times New Roman" w:cs="Times New Roman"/>
                <w:spacing w:val="8"/>
                <w:sz w:val="17"/>
                <w:szCs w:val="17"/>
              </w:rPr>
              <w:t>+0.5</w:t>
            </w:r>
            <w:r>
              <w:rPr>
                <w:rFonts w:ascii="Times New Roman" w:hAnsi="Times New Roman" w:eastAsia="Times New Roman" w:cs="Times New Roman"/>
                <w:sz w:val="17"/>
                <w:szCs w:val="17"/>
              </w:rPr>
              <w:t>m</w:t>
            </w:r>
            <w:r>
              <w:rPr>
                <w:rFonts w:ascii="Times New Roman" w:hAnsi="Times New Roman" w:eastAsia="Times New Roman" w:cs="Times New Roman"/>
                <w:spacing w:val="8"/>
                <w:sz w:val="17"/>
                <w:szCs w:val="17"/>
              </w:rPr>
              <w:t xml:space="preserve"> </w:t>
            </w:r>
            <w:r>
              <w:rPr>
                <w:rFonts w:ascii="宋体" w:hAnsi="宋体" w:eastAsia="宋体" w:cs="宋体"/>
                <w:spacing w:val="8"/>
                <w:sz w:val="17"/>
                <w:szCs w:val="17"/>
              </w:rPr>
              <w:t>(双黄线)</w:t>
            </w:r>
            <w:r>
              <w:rPr>
                <w:rFonts w:ascii="Times New Roman" w:hAnsi="Times New Roman" w:eastAsia="Times New Roman" w:cs="Times New Roman"/>
                <w:spacing w:val="8"/>
                <w:sz w:val="17"/>
                <w:szCs w:val="17"/>
              </w:rPr>
              <w:t>+9.75</w:t>
            </w:r>
            <w:r>
              <w:rPr>
                <w:rFonts w:ascii="Times New Roman" w:hAnsi="Times New Roman" w:eastAsia="Times New Roman" w:cs="Times New Roman"/>
                <w:sz w:val="17"/>
                <w:szCs w:val="17"/>
              </w:rPr>
              <w:t xml:space="preserve">m </w:t>
            </w:r>
            <w:r>
              <w:rPr>
                <w:rFonts w:ascii="宋体" w:hAnsi="宋体" w:eastAsia="宋体" w:cs="宋体"/>
                <w:sz w:val="17"/>
                <w:szCs w:val="17"/>
              </w:rPr>
              <w:tab/>
            </w:r>
            <w:r>
              <w:rPr>
                <w:rFonts w:ascii="宋体" w:hAnsi="宋体" w:eastAsia="宋体" w:cs="宋体"/>
                <w:spacing w:val="6"/>
                <w:sz w:val="17"/>
                <w:szCs w:val="17"/>
              </w:rPr>
              <w:t xml:space="preserve">(车行道) </w:t>
            </w:r>
            <w:r>
              <w:rPr>
                <w:rFonts w:ascii="Times New Roman" w:hAnsi="Times New Roman" w:eastAsia="Times New Roman" w:cs="Times New Roman"/>
                <w:spacing w:val="6"/>
                <w:sz w:val="17"/>
                <w:szCs w:val="17"/>
              </w:rPr>
              <w:t>+</w:t>
            </w:r>
            <w:r>
              <w:rPr>
                <w:rFonts w:ascii="Times New Roman" w:hAnsi="Times New Roman" w:eastAsia="Times New Roman" w:cs="Times New Roman"/>
                <w:spacing w:val="5"/>
                <w:sz w:val="17"/>
                <w:szCs w:val="17"/>
              </w:rPr>
              <w:t>0</w:t>
            </w:r>
            <w:r>
              <w:rPr>
                <w:rFonts w:ascii="Times New Roman" w:hAnsi="Times New Roman" w:eastAsia="Times New Roman" w:cs="Times New Roman"/>
                <w:spacing w:val="3"/>
                <w:sz w:val="17"/>
                <w:szCs w:val="17"/>
              </w:rPr>
              <w:t>.25</w:t>
            </w:r>
            <w:r>
              <w:rPr>
                <w:rFonts w:ascii="Times New Roman" w:hAnsi="Times New Roman" w:eastAsia="Times New Roman" w:cs="Times New Roman"/>
                <w:sz w:val="17"/>
                <w:szCs w:val="17"/>
              </w:rPr>
              <w:t>m</w:t>
            </w:r>
            <w:r>
              <w:rPr>
                <w:rFonts w:ascii="Times New Roman" w:hAnsi="Times New Roman" w:eastAsia="Times New Roman" w:cs="Times New Roman"/>
                <w:spacing w:val="3"/>
                <w:sz w:val="17"/>
                <w:szCs w:val="17"/>
              </w:rPr>
              <w:t xml:space="preserve">  </w:t>
            </w:r>
            <w:r>
              <w:rPr>
                <w:rFonts w:ascii="宋体" w:hAnsi="宋体" w:eastAsia="宋体" w:cs="宋体"/>
                <w:spacing w:val="3"/>
                <w:sz w:val="17"/>
                <w:szCs w:val="17"/>
              </w:rPr>
              <w:t xml:space="preserve">(路缘带) </w:t>
            </w:r>
            <w:r>
              <w:rPr>
                <w:rFonts w:ascii="Times New Roman" w:hAnsi="Times New Roman" w:eastAsia="Times New Roman" w:cs="Times New Roman"/>
                <w:spacing w:val="3"/>
                <w:sz w:val="17"/>
                <w:szCs w:val="17"/>
              </w:rPr>
              <w:t>+2</w:t>
            </w:r>
            <w:r>
              <w:rPr>
                <w:rFonts w:ascii="Times New Roman" w:hAnsi="Times New Roman" w:eastAsia="Times New Roman" w:cs="Times New Roman"/>
                <w:sz w:val="17"/>
                <w:szCs w:val="17"/>
              </w:rPr>
              <w:t>m</w:t>
            </w:r>
            <w:r>
              <w:rPr>
                <w:rFonts w:ascii="Times New Roman" w:hAnsi="Times New Roman" w:eastAsia="Times New Roman" w:cs="Times New Roman"/>
                <w:spacing w:val="3"/>
                <w:sz w:val="17"/>
                <w:szCs w:val="17"/>
              </w:rPr>
              <w:t xml:space="preserve">  </w:t>
            </w:r>
            <w:r>
              <w:rPr>
                <w:rFonts w:ascii="宋体" w:hAnsi="宋体" w:eastAsia="宋体" w:cs="宋体"/>
                <w:spacing w:val="3"/>
                <w:sz w:val="17"/>
                <w:szCs w:val="17"/>
              </w:rPr>
              <w:t xml:space="preserve">(人行道) </w:t>
            </w:r>
            <w:r>
              <w:rPr>
                <w:rFonts w:ascii="Times New Roman" w:hAnsi="Times New Roman" w:eastAsia="Times New Roman" w:cs="Times New Roman"/>
                <w:spacing w:val="3"/>
                <w:sz w:val="17"/>
                <w:szCs w:val="17"/>
              </w:rPr>
              <w:t>=21.75</w:t>
            </w:r>
            <w:r>
              <w:rPr>
                <w:rFonts w:ascii="Times New Roman" w:hAnsi="Times New Roman" w:eastAsia="Times New Roman" w:cs="Times New Roman"/>
                <w:sz w:val="17"/>
                <w:szCs w:val="17"/>
              </w:rPr>
              <w:t>m</w:t>
            </w:r>
            <w:r>
              <w:rPr>
                <w:rFonts w:ascii="Times New Roman" w:hAnsi="Times New Roman" w:eastAsia="Times New Roman" w:cs="Times New Roman"/>
                <w:spacing w:val="3"/>
                <w:sz w:val="17"/>
                <w:szCs w:val="17"/>
              </w:rPr>
              <w:t xml:space="preserve"> </w:t>
            </w:r>
            <w:r>
              <w:rPr>
                <w:rFonts w:ascii="宋体" w:hAnsi="宋体" w:eastAsia="宋体" w:cs="宋体"/>
                <w:spacing w:val="3"/>
                <w:sz w:val="17"/>
                <w:szCs w:val="17"/>
              </w:rPr>
              <w:t>，沥青</w:t>
            </w:r>
            <w:r>
              <w:rPr>
                <w:rFonts w:ascii="宋体" w:hAnsi="宋体" w:eastAsia="宋体" w:cs="宋体"/>
                <w:sz w:val="17"/>
                <w:szCs w:val="17"/>
              </w:rPr>
              <w:t xml:space="preserve"> </w:t>
            </w:r>
            <w:r>
              <w:rPr>
                <w:rFonts w:ascii="宋体" w:hAnsi="宋体" w:eastAsia="宋体" w:cs="宋体"/>
                <w:spacing w:val="8"/>
                <w:sz w:val="17"/>
                <w:szCs w:val="17"/>
              </w:rPr>
              <w:t>路</w:t>
            </w:r>
            <w:r>
              <w:rPr>
                <w:rFonts w:ascii="宋体" w:hAnsi="宋体" w:eastAsia="宋体" w:cs="宋体"/>
                <w:spacing w:val="5"/>
                <w:sz w:val="17"/>
                <w:szCs w:val="17"/>
              </w:rPr>
              <w:t>面</w:t>
            </w:r>
            <w:r>
              <w:rPr>
                <w:rFonts w:ascii="宋体" w:hAnsi="宋体" w:eastAsia="宋体" w:cs="宋体"/>
                <w:spacing w:val="4"/>
                <w:sz w:val="17"/>
                <w:szCs w:val="17"/>
              </w:rPr>
              <w:t xml:space="preserve">，设计速度 </w:t>
            </w:r>
            <w:r>
              <w:rPr>
                <w:rFonts w:ascii="Times New Roman" w:hAnsi="Times New Roman" w:eastAsia="Times New Roman" w:cs="Times New Roman"/>
                <w:spacing w:val="4"/>
                <w:sz w:val="17"/>
                <w:szCs w:val="17"/>
              </w:rPr>
              <w:t>30</w:t>
            </w:r>
            <w:r>
              <w:rPr>
                <w:rFonts w:ascii="Times New Roman" w:hAnsi="Times New Roman" w:eastAsia="Times New Roman" w:cs="Times New Roman"/>
                <w:sz w:val="17"/>
                <w:szCs w:val="17"/>
              </w:rPr>
              <w:t>km</w:t>
            </w:r>
            <w:r>
              <w:rPr>
                <w:rFonts w:ascii="Times New Roman" w:hAnsi="Times New Roman" w:eastAsia="Times New Roman" w:cs="Times New Roman"/>
                <w:spacing w:val="4"/>
                <w:sz w:val="17"/>
                <w:szCs w:val="17"/>
              </w:rPr>
              <w:t>/</w:t>
            </w:r>
            <w:r>
              <w:rPr>
                <w:rFonts w:ascii="Times New Roman" w:hAnsi="Times New Roman" w:eastAsia="Times New Roman" w:cs="Times New Roman"/>
                <w:sz w:val="17"/>
                <w:szCs w:val="17"/>
              </w:rPr>
              <w:t>h</w:t>
            </w:r>
            <w:r>
              <w:rPr>
                <w:rFonts w:ascii="宋体" w:hAnsi="宋体" w:eastAsia="宋体" w:cs="宋体"/>
                <w:spacing w:val="4"/>
                <w:sz w:val="17"/>
                <w:szCs w:val="17"/>
              </w:rPr>
              <w:t>；</w:t>
            </w:r>
          </w:p>
          <w:p>
            <w:pPr>
              <w:spacing w:before="3" w:line="288" w:lineRule="auto"/>
              <w:ind w:left="21" w:right="18" w:firstLine="3"/>
              <w:rPr>
                <w:rFonts w:ascii="宋体" w:hAnsi="宋体" w:eastAsia="宋体" w:cs="宋体"/>
                <w:sz w:val="17"/>
                <w:szCs w:val="17"/>
              </w:rPr>
            </w:pPr>
            <w:r>
              <w:rPr>
                <w:rFonts w:ascii="宋体" w:hAnsi="宋体" w:eastAsia="宋体" w:cs="宋体"/>
                <w:spacing w:val="10"/>
                <w:sz w:val="17"/>
                <w:szCs w:val="17"/>
              </w:rPr>
              <w:t>桥梁东</w:t>
            </w:r>
            <w:r>
              <w:rPr>
                <w:rFonts w:ascii="宋体" w:hAnsi="宋体" w:eastAsia="宋体" w:cs="宋体"/>
                <w:spacing w:val="5"/>
                <w:sz w:val="17"/>
                <w:szCs w:val="17"/>
              </w:rPr>
              <w:t xml:space="preserve">端与既有的犀牛大道 (宽 </w:t>
            </w:r>
            <w:r>
              <w:rPr>
                <w:rFonts w:ascii="Times New Roman" w:hAnsi="Times New Roman" w:eastAsia="Times New Roman" w:cs="Times New Roman"/>
                <w:spacing w:val="5"/>
                <w:sz w:val="17"/>
                <w:szCs w:val="17"/>
              </w:rPr>
              <w:t>24</w:t>
            </w:r>
            <w:r>
              <w:rPr>
                <w:rFonts w:ascii="Times New Roman" w:hAnsi="Times New Roman" w:eastAsia="Times New Roman" w:cs="Times New Roman"/>
                <w:sz w:val="17"/>
                <w:szCs w:val="17"/>
              </w:rPr>
              <w:t>m</w:t>
            </w:r>
            <w:r>
              <w:rPr>
                <w:rFonts w:ascii="宋体" w:hAnsi="宋体" w:eastAsia="宋体" w:cs="宋体"/>
                <w:spacing w:val="5"/>
                <w:sz w:val="17"/>
                <w:szCs w:val="17"/>
              </w:rPr>
              <w:t xml:space="preserve">) 和江湾路 (宽 </w:t>
            </w:r>
            <w:r>
              <w:rPr>
                <w:rFonts w:ascii="Times New Roman" w:hAnsi="Times New Roman" w:eastAsia="Times New Roman" w:cs="Times New Roman"/>
                <w:spacing w:val="5"/>
                <w:sz w:val="17"/>
                <w:szCs w:val="17"/>
              </w:rPr>
              <w:t>12</w:t>
            </w:r>
            <w:r>
              <w:rPr>
                <w:rFonts w:ascii="Times New Roman" w:hAnsi="Times New Roman" w:eastAsia="Times New Roman" w:cs="Times New Roman"/>
                <w:sz w:val="17"/>
                <w:szCs w:val="17"/>
              </w:rPr>
              <w:t>m</w:t>
            </w:r>
            <w:r>
              <w:rPr>
                <w:rFonts w:ascii="宋体" w:hAnsi="宋体" w:eastAsia="宋体" w:cs="宋体"/>
                <w:spacing w:val="5"/>
                <w:sz w:val="17"/>
                <w:szCs w:val="17"/>
              </w:rPr>
              <w:t>)</w:t>
            </w:r>
            <w:r>
              <w:rPr>
                <w:rFonts w:ascii="宋体" w:hAnsi="宋体" w:eastAsia="宋体" w:cs="宋体"/>
                <w:sz w:val="17"/>
                <w:szCs w:val="17"/>
              </w:rPr>
              <w:t xml:space="preserve"> </w:t>
            </w:r>
            <w:r>
              <w:rPr>
                <w:rFonts w:ascii="宋体" w:hAnsi="宋体" w:eastAsia="宋体" w:cs="宋体"/>
                <w:spacing w:val="10"/>
                <w:sz w:val="17"/>
                <w:szCs w:val="17"/>
              </w:rPr>
              <w:t>平面交</w:t>
            </w:r>
            <w:r>
              <w:rPr>
                <w:rFonts w:ascii="宋体" w:hAnsi="宋体" w:eastAsia="宋体" w:cs="宋体"/>
                <w:spacing w:val="7"/>
                <w:sz w:val="17"/>
                <w:szCs w:val="17"/>
              </w:rPr>
              <w:t>叉</w:t>
            </w:r>
            <w:r>
              <w:rPr>
                <w:rFonts w:ascii="宋体" w:hAnsi="宋体" w:eastAsia="宋体" w:cs="宋体"/>
                <w:spacing w:val="5"/>
                <w:sz w:val="17"/>
                <w:szCs w:val="17"/>
              </w:rPr>
              <w:t>形成“</w:t>
            </w:r>
            <w:r>
              <w:rPr>
                <w:rFonts w:ascii="Times New Roman" w:hAnsi="Times New Roman" w:eastAsia="Times New Roman" w:cs="Times New Roman"/>
                <w:sz w:val="17"/>
                <w:szCs w:val="17"/>
              </w:rPr>
              <w:t>K</w:t>
            </w:r>
            <w:r>
              <w:rPr>
                <w:rFonts w:ascii="宋体" w:hAnsi="宋体" w:eastAsia="宋体" w:cs="宋体"/>
                <w:spacing w:val="5"/>
                <w:sz w:val="17"/>
                <w:szCs w:val="17"/>
              </w:rPr>
              <w:t xml:space="preserve">”字路口。犀牛大道改造长度 </w:t>
            </w:r>
            <w:r>
              <w:rPr>
                <w:rFonts w:ascii="Times New Roman" w:hAnsi="Times New Roman" w:eastAsia="Times New Roman" w:cs="Times New Roman"/>
                <w:spacing w:val="5"/>
                <w:sz w:val="17"/>
                <w:szCs w:val="17"/>
              </w:rPr>
              <w:t>140</w:t>
            </w:r>
            <w:r>
              <w:rPr>
                <w:rFonts w:ascii="Times New Roman" w:hAnsi="Times New Roman" w:eastAsia="Times New Roman" w:cs="Times New Roman"/>
                <w:sz w:val="17"/>
                <w:szCs w:val="17"/>
              </w:rPr>
              <w:t>m</w:t>
            </w:r>
            <w:r>
              <w:rPr>
                <w:rFonts w:ascii="Times New Roman" w:hAnsi="Times New Roman" w:eastAsia="Times New Roman" w:cs="Times New Roman"/>
                <w:spacing w:val="5"/>
                <w:sz w:val="17"/>
                <w:szCs w:val="17"/>
              </w:rPr>
              <w:t xml:space="preserve"> </w:t>
            </w:r>
            <w:r>
              <w:rPr>
                <w:rFonts w:ascii="宋体" w:hAnsi="宋体" w:eastAsia="宋体" w:cs="宋体"/>
                <w:spacing w:val="5"/>
                <w:sz w:val="17"/>
                <w:szCs w:val="17"/>
              </w:rPr>
              <w:t>，宽度</w:t>
            </w:r>
            <w:r>
              <w:rPr>
                <w:rFonts w:ascii="宋体" w:hAnsi="宋体" w:eastAsia="宋体" w:cs="宋体"/>
                <w:sz w:val="17"/>
                <w:szCs w:val="17"/>
              </w:rPr>
              <w:t xml:space="preserve"> </w:t>
            </w:r>
            <w:r>
              <w:rPr>
                <w:rFonts w:ascii="Times New Roman" w:hAnsi="Times New Roman" w:eastAsia="Times New Roman" w:cs="Times New Roman"/>
                <w:spacing w:val="2"/>
                <w:sz w:val="17"/>
                <w:szCs w:val="17"/>
              </w:rPr>
              <w:t>24</w:t>
            </w:r>
            <w:r>
              <w:rPr>
                <w:rFonts w:ascii="Times New Roman" w:hAnsi="Times New Roman" w:eastAsia="Times New Roman" w:cs="Times New Roman"/>
                <w:sz w:val="17"/>
                <w:szCs w:val="17"/>
              </w:rPr>
              <w:t>m</w:t>
            </w:r>
            <w:r>
              <w:rPr>
                <w:rFonts w:ascii="Times New Roman" w:hAnsi="Times New Roman" w:eastAsia="Times New Roman" w:cs="Times New Roman"/>
                <w:spacing w:val="2"/>
                <w:sz w:val="17"/>
                <w:szCs w:val="17"/>
              </w:rPr>
              <w:t xml:space="preserve"> </w:t>
            </w:r>
            <w:r>
              <w:rPr>
                <w:rFonts w:ascii="宋体" w:hAnsi="宋体" w:eastAsia="宋体" w:cs="宋体"/>
                <w:spacing w:val="2"/>
                <w:sz w:val="17"/>
                <w:szCs w:val="17"/>
              </w:rPr>
              <w:t xml:space="preserve">，其中向南延伸 </w:t>
            </w:r>
            <w:r>
              <w:rPr>
                <w:rFonts w:ascii="Times New Roman" w:hAnsi="Times New Roman" w:eastAsia="Times New Roman" w:cs="Times New Roman"/>
                <w:spacing w:val="2"/>
                <w:sz w:val="17"/>
                <w:szCs w:val="17"/>
              </w:rPr>
              <w:t>80</w:t>
            </w:r>
            <w:r>
              <w:rPr>
                <w:rFonts w:ascii="Times New Roman" w:hAnsi="Times New Roman" w:eastAsia="Times New Roman" w:cs="Times New Roman"/>
                <w:sz w:val="17"/>
                <w:szCs w:val="17"/>
              </w:rPr>
              <w:t>m</w:t>
            </w:r>
            <w:r>
              <w:rPr>
                <w:rFonts w:ascii="Times New Roman" w:hAnsi="Times New Roman" w:eastAsia="Times New Roman" w:cs="Times New Roman"/>
                <w:spacing w:val="2"/>
                <w:sz w:val="17"/>
                <w:szCs w:val="17"/>
              </w:rPr>
              <w:t xml:space="preserve"> </w:t>
            </w:r>
            <w:r>
              <w:rPr>
                <w:rFonts w:ascii="宋体" w:hAnsi="宋体" w:eastAsia="宋体" w:cs="宋体"/>
                <w:spacing w:val="2"/>
                <w:sz w:val="17"/>
                <w:szCs w:val="17"/>
              </w:rPr>
              <w:t xml:space="preserve">、 向北延伸 </w:t>
            </w:r>
            <w:r>
              <w:rPr>
                <w:rFonts w:ascii="Times New Roman" w:hAnsi="Times New Roman" w:eastAsia="Times New Roman" w:cs="Times New Roman"/>
                <w:spacing w:val="2"/>
                <w:sz w:val="17"/>
                <w:szCs w:val="17"/>
              </w:rPr>
              <w:t>60</w:t>
            </w:r>
            <w:r>
              <w:rPr>
                <w:rFonts w:ascii="Times New Roman" w:hAnsi="Times New Roman" w:eastAsia="Times New Roman" w:cs="Times New Roman"/>
                <w:sz w:val="17"/>
                <w:szCs w:val="17"/>
              </w:rPr>
              <w:t>m</w:t>
            </w:r>
            <w:r>
              <w:rPr>
                <w:rFonts w:ascii="宋体" w:hAnsi="宋体" w:eastAsia="宋体" w:cs="宋体"/>
                <w:spacing w:val="2"/>
                <w:sz w:val="17"/>
                <w:szCs w:val="17"/>
              </w:rPr>
              <w:t>；江湾路改造</w:t>
            </w:r>
            <w:r>
              <w:rPr>
                <w:rFonts w:ascii="宋体" w:hAnsi="宋体" w:eastAsia="宋体" w:cs="宋体"/>
                <w:sz w:val="17"/>
                <w:szCs w:val="17"/>
              </w:rPr>
              <w:t xml:space="preserve">长度 </w:t>
            </w:r>
            <w:r>
              <w:rPr>
                <w:rFonts w:ascii="Times New Roman" w:hAnsi="Times New Roman" w:eastAsia="Times New Roman" w:cs="Times New Roman"/>
                <w:spacing w:val="7"/>
                <w:sz w:val="17"/>
                <w:szCs w:val="17"/>
              </w:rPr>
              <w:t>105</w:t>
            </w:r>
            <w:r>
              <w:rPr>
                <w:rFonts w:ascii="Times New Roman" w:hAnsi="Times New Roman" w:eastAsia="Times New Roman" w:cs="Times New Roman"/>
                <w:sz w:val="17"/>
                <w:szCs w:val="17"/>
              </w:rPr>
              <w:t>m</w:t>
            </w:r>
            <w:r>
              <w:rPr>
                <w:rFonts w:ascii="Times New Roman" w:hAnsi="Times New Roman" w:eastAsia="Times New Roman" w:cs="Times New Roman"/>
                <w:spacing w:val="7"/>
                <w:sz w:val="17"/>
                <w:szCs w:val="17"/>
              </w:rPr>
              <w:t xml:space="preserve"> </w:t>
            </w:r>
            <w:r>
              <w:rPr>
                <w:rFonts w:ascii="宋体" w:hAnsi="宋体" w:eastAsia="宋体" w:cs="宋体"/>
                <w:spacing w:val="7"/>
                <w:sz w:val="17"/>
                <w:szCs w:val="17"/>
              </w:rPr>
              <w:t>，改造内容主要为车道拓宽及交通导流岛、交通标志</w:t>
            </w:r>
            <w:r>
              <w:rPr>
                <w:rFonts w:ascii="宋体" w:hAnsi="宋体" w:eastAsia="宋体" w:cs="宋体"/>
                <w:spacing w:val="6"/>
                <w:sz w:val="17"/>
                <w:szCs w:val="17"/>
              </w:rPr>
              <w:t>标</w:t>
            </w:r>
            <w:r>
              <w:rPr>
                <w:rFonts w:ascii="宋体" w:hAnsi="宋体" w:eastAsia="宋体" w:cs="宋体"/>
                <w:sz w:val="17"/>
                <w:szCs w:val="17"/>
              </w:rPr>
              <w:t xml:space="preserve"> </w:t>
            </w:r>
            <w:r>
              <w:rPr>
                <w:rFonts w:ascii="宋体" w:hAnsi="宋体" w:eastAsia="宋体" w:cs="宋体"/>
                <w:spacing w:val="8"/>
                <w:sz w:val="17"/>
                <w:szCs w:val="17"/>
              </w:rPr>
              <w:t>线</w:t>
            </w:r>
            <w:r>
              <w:rPr>
                <w:rFonts w:ascii="宋体" w:hAnsi="宋体" w:eastAsia="宋体" w:cs="宋体"/>
                <w:spacing w:val="7"/>
                <w:sz w:val="17"/>
                <w:szCs w:val="17"/>
              </w:rPr>
              <w:t>的改造。</w:t>
            </w:r>
          </w:p>
        </w:tc>
        <w:tc>
          <w:tcPr>
            <w:tcW w:w="990"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56" w:line="230" w:lineRule="auto"/>
              <w:ind w:left="54"/>
              <w:rPr>
                <w:rFonts w:ascii="宋体" w:hAnsi="宋体" w:eastAsia="宋体" w:cs="宋体"/>
                <w:sz w:val="17"/>
                <w:szCs w:val="17"/>
              </w:rPr>
            </w:pPr>
            <w:r>
              <w:rPr>
                <w:rFonts w:ascii="宋体" w:hAnsi="宋体" w:eastAsia="宋体" w:cs="宋体"/>
                <w:spacing w:val="11"/>
                <w:sz w:val="17"/>
                <w:szCs w:val="17"/>
              </w:rPr>
              <w:t>废</w:t>
            </w:r>
            <w:r>
              <w:rPr>
                <w:rFonts w:ascii="宋体" w:hAnsi="宋体" w:eastAsia="宋体" w:cs="宋体"/>
                <w:spacing w:val="8"/>
                <w:sz w:val="17"/>
                <w:szCs w:val="17"/>
              </w:rPr>
              <w:t>水、扬尘</w:t>
            </w:r>
          </w:p>
          <w:p>
            <w:pPr>
              <w:spacing w:before="69" w:line="229" w:lineRule="auto"/>
              <w:ind w:left="55"/>
              <w:rPr>
                <w:rFonts w:ascii="宋体" w:hAnsi="宋体" w:eastAsia="宋体" w:cs="宋体"/>
                <w:sz w:val="17"/>
                <w:szCs w:val="17"/>
              </w:rPr>
            </w:pPr>
            <w:r>
              <w:rPr>
                <w:rFonts w:ascii="宋体" w:hAnsi="宋体" w:eastAsia="宋体" w:cs="宋体"/>
                <w:spacing w:val="12"/>
                <w:sz w:val="17"/>
                <w:szCs w:val="17"/>
              </w:rPr>
              <w:t>沥</w:t>
            </w:r>
            <w:r>
              <w:rPr>
                <w:rFonts w:ascii="宋体" w:hAnsi="宋体" w:eastAsia="宋体" w:cs="宋体"/>
                <w:spacing w:val="9"/>
                <w:sz w:val="17"/>
                <w:szCs w:val="17"/>
              </w:rPr>
              <w:t>青烟、噪</w:t>
            </w:r>
          </w:p>
          <w:p>
            <w:pPr>
              <w:spacing w:before="67" w:line="231" w:lineRule="auto"/>
              <w:ind w:left="147"/>
              <w:rPr>
                <w:rFonts w:ascii="宋体" w:hAnsi="宋体" w:eastAsia="宋体" w:cs="宋体"/>
                <w:sz w:val="17"/>
                <w:szCs w:val="17"/>
              </w:rPr>
            </w:pPr>
            <w:r>
              <w:rPr>
                <w:rFonts w:ascii="宋体" w:hAnsi="宋体" w:eastAsia="宋体" w:cs="宋体"/>
                <w:spacing w:val="8"/>
                <w:sz w:val="17"/>
                <w:szCs w:val="17"/>
              </w:rPr>
              <w:t>声</w:t>
            </w:r>
            <w:r>
              <w:rPr>
                <w:rFonts w:ascii="宋体" w:hAnsi="宋体" w:eastAsia="宋体" w:cs="宋体"/>
                <w:spacing w:val="7"/>
                <w:sz w:val="17"/>
                <w:szCs w:val="17"/>
              </w:rPr>
              <w:t>、固废</w:t>
            </w:r>
          </w:p>
        </w:tc>
        <w:tc>
          <w:tcPr>
            <w:tcW w:w="856" w:type="dxa"/>
            <w:vMerge w:val="continue"/>
            <w:tcBorders>
              <w:top w:val="nil"/>
            </w:tcBorders>
            <w:vAlign w:val="top"/>
          </w:tcPr>
          <w:p>
            <w:pPr>
              <w:rPr>
                <w:rFonts w:ascii="Arial"/>
                <w:sz w:val="21"/>
              </w:rPr>
            </w:pP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601" w:type="dxa"/>
            <w:vMerge w:val="continue"/>
            <w:tcBorders>
              <w:top w:val="nil"/>
              <w:left w:val="single" w:color="000000" w:sz="6" w:space="0"/>
              <w:bottom w:val="nil"/>
            </w:tcBorders>
            <w:vAlign w:val="top"/>
          </w:tcPr>
          <w:p>
            <w:pPr>
              <w:rPr>
                <w:rFonts w:ascii="Arial"/>
                <w:sz w:val="21"/>
              </w:rPr>
            </w:pPr>
          </w:p>
        </w:tc>
        <w:tc>
          <w:tcPr>
            <w:tcW w:w="141" w:type="dxa"/>
            <w:vMerge w:val="continue"/>
            <w:tcBorders>
              <w:top w:val="nil"/>
              <w:bottom w:val="nil"/>
            </w:tcBorders>
            <w:vAlign w:val="top"/>
          </w:tcPr>
          <w:p>
            <w:pPr>
              <w:rPr>
                <w:rFonts w:ascii="Arial"/>
                <w:sz w:val="21"/>
              </w:rPr>
            </w:pPr>
          </w:p>
        </w:tc>
        <w:tc>
          <w:tcPr>
            <w:tcW w:w="503" w:type="dxa"/>
            <w:vMerge w:val="restart"/>
            <w:tcBorders>
              <w:bottom w:val="nil"/>
            </w:tcBorders>
            <w:vAlign w:val="top"/>
          </w:tcPr>
          <w:p>
            <w:pPr>
              <w:spacing w:line="288" w:lineRule="auto"/>
              <w:rPr>
                <w:rFonts w:ascii="Arial"/>
                <w:sz w:val="21"/>
              </w:rPr>
            </w:pPr>
          </w:p>
          <w:p>
            <w:pPr>
              <w:spacing w:line="288" w:lineRule="auto"/>
              <w:rPr>
                <w:rFonts w:ascii="Arial"/>
                <w:sz w:val="21"/>
              </w:rPr>
            </w:pPr>
          </w:p>
          <w:p>
            <w:pPr>
              <w:spacing w:line="289" w:lineRule="auto"/>
              <w:rPr>
                <w:rFonts w:ascii="Arial"/>
                <w:sz w:val="21"/>
              </w:rPr>
            </w:pPr>
          </w:p>
          <w:p>
            <w:pPr>
              <w:spacing w:before="56" w:line="317" w:lineRule="auto"/>
              <w:ind w:left="71" w:right="74"/>
              <w:rPr>
                <w:rFonts w:ascii="宋体" w:hAnsi="宋体" w:eastAsia="宋体" w:cs="宋体"/>
                <w:sz w:val="17"/>
                <w:szCs w:val="17"/>
              </w:rPr>
            </w:pPr>
            <w:r>
              <w:rPr>
                <w:rFonts w:ascii="宋体" w:hAnsi="宋体" w:eastAsia="宋体" w:cs="宋体"/>
                <w:spacing w:val="6"/>
                <w:sz w:val="17"/>
                <w:szCs w:val="17"/>
              </w:rPr>
              <w:t>辅</w:t>
            </w:r>
            <w:r>
              <w:rPr>
                <w:rFonts w:ascii="宋体" w:hAnsi="宋体" w:eastAsia="宋体" w:cs="宋体"/>
                <w:spacing w:val="5"/>
                <w:sz w:val="17"/>
                <w:szCs w:val="17"/>
              </w:rPr>
              <w:t>助</w:t>
            </w:r>
            <w:r>
              <w:rPr>
                <w:rFonts w:ascii="宋体" w:hAnsi="宋体" w:eastAsia="宋体" w:cs="宋体"/>
                <w:sz w:val="17"/>
                <w:szCs w:val="17"/>
              </w:rPr>
              <w:t xml:space="preserve"> </w:t>
            </w:r>
            <w:r>
              <w:rPr>
                <w:rFonts w:ascii="宋体" w:hAnsi="宋体" w:eastAsia="宋体" w:cs="宋体"/>
                <w:spacing w:val="5"/>
                <w:sz w:val="17"/>
                <w:szCs w:val="17"/>
              </w:rPr>
              <w:t>工程</w:t>
            </w:r>
          </w:p>
        </w:tc>
        <w:tc>
          <w:tcPr>
            <w:tcW w:w="925" w:type="dxa"/>
            <w:vAlign w:val="top"/>
          </w:tcPr>
          <w:p>
            <w:pPr>
              <w:spacing w:line="288" w:lineRule="auto"/>
              <w:rPr>
                <w:rFonts w:ascii="Arial"/>
                <w:sz w:val="21"/>
              </w:rPr>
            </w:pPr>
          </w:p>
          <w:p>
            <w:pPr>
              <w:spacing w:line="288" w:lineRule="auto"/>
              <w:rPr>
                <w:rFonts w:ascii="Arial"/>
                <w:sz w:val="21"/>
              </w:rPr>
            </w:pPr>
          </w:p>
          <w:p>
            <w:pPr>
              <w:spacing w:before="56" w:line="230" w:lineRule="auto"/>
              <w:ind w:left="102"/>
              <w:rPr>
                <w:rFonts w:ascii="宋体" w:hAnsi="宋体" w:eastAsia="宋体" w:cs="宋体"/>
                <w:sz w:val="17"/>
                <w:szCs w:val="17"/>
              </w:rPr>
            </w:pPr>
            <w:r>
              <w:rPr>
                <w:rFonts w:ascii="宋体" w:hAnsi="宋体" w:eastAsia="宋体" w:cs="宋体"/>
                <w:spacing w:val="8"/>
                <w:sz w:val="17"/>
                <w:szCs w:val="17"/>
              </w:rPr>
              <w:t>排水工程</w:t>
            </w:r>
          </w:p>
        </w:tc>
        <w:tc>
          <w:tcPr>
            <w:tcW w:w="4750" w:type="dxa"/>
            <w:vAlign w:val="top"/>
          </w:tcPr>
          <w:p>
            <w:pPr>
              <w:spacing w:before="43" w:line="320" w:lineRule="auto"/>
              <w:ind w:left="26" w:right="17" w:firstLine="2"/>
              <w:rPr>
                <w:rFonts w:ascii="宋体" w:hAnsi="宋体" w:eastAsia="宋体" w:cs="宋体"/>
                <w:sz w:val="17"/>
                <w:szCs w:val="17"/>
              </w:rPr>
            </w:pPr>
            <w:r>
              <w:rPr>
                <w:rFonts w:ascii="宋体" w:hAnsi="宋体" w:eastAsia="宋体" w:cs="宋体"/>
                <w:spacing w:val="7"/>
                <w:sz w:val="17"/>
                <w:szCs w:val="17"/>
              </w:rPr>
              <w:t>西</w:t>
            </w:r>
            <w:r>
              <w:rPr>
                <w:rFonts w:ascii="宋体" w:hAnsi="宋体" w:eastAsia="宋体" w:cs="宋体"/>
                <w:spacing w:val="6"/>
                <w:sz w:val="17"/>
                <w:szCs w:val="17"/>
              </w:rPr>
              <w:t>端：滨河路</w:t>
            </w:r>
            <w:r>
              <w:rPr>
                <w:rFonts w:ascii="Times New Roman" w:hAnsi="Times New Roman" w:eastAsia="Times New Roman" w:cs="Times New Roman"/>
                <w:sz w:val="17"/>
                <w:szCs w:val="17"/>
              </w:rPr>
              <w:t>K</w:t>
            </w:r>
            <w:r>
              <w:rPr>
                <w:rFonts w:ascii="Times New Roman" w:hAnsi="Times New Roman" w:eastAsia="Times New Roman" w:cs="Times New Roman"/>
                <w:spacing w:val="6"/>
                <w:sz w:val="17"/>
                <w:szCs w:val="17"/>
              </w:rPr>
              <w:t>0+470~</w:t>
            </w:r>
            <w:r>
              <w:rPr>
                <w:rFonts w:ascii="Times New Roman" w:hAnsi="Times New Roman" w:eastAsia="Times New Roman" w:cs="Times New Roman"/>
                <w:sz w:val="17"/>
                <w:szCs w:val="17"/>
              </w:rPr>
              <w:t>K</w:t>
            </w:r>
            <w:r>
              <w:rPr>
                <w:rFonts w:ascii="Times New Roman" w:hAnsi="Times New Roman" w:eastAsia="Times New Roman" w:cs="Times New Roman"/>
                <w:spacing w:val="6"/>
                <w:sz w:val="17"/>
                <w:szCs w:val="17"/>
              </w:rPr>
              <w:t xml:space="preserve">0+602 </w:t>
            </w:r>
            <w:r>
              <w:rPr>
                <w:rFonts w:ascii="宋体" w:hAnsi="宋体" w:eastAsia="宋体" w:cs="宋体"/>
                <w:spacing w:val="6"/>
                <w:sz w:val="17"/>
                <w:szCs w:val="17"/>
              </w:rPr>
              <w:t>段新建</w:t>
            </w:r>
            <w:r>
              <w:rPr>
                <w:rFonts w:ascii="Times New Roman" w:hAnsi="Times New Roman" w:eastAsia="Times New Roman" w:cs="Times New Roman"/>
                <w:sz w:val="17"/>
                <w:szCs w:val="17"/>
              </w:rPr>
              <w:t>DN</w:t>
            </w:r>
            <w:r>
              <w:rPr>
                <w:rFonts w:ascii="Times New Roman" w:hAnsi="Times New Roman" w:eastAsia="Times New Roman" w:cs="Times New Roman"/>
                <w:spacing w:val="6"/>
                <w:sz w:val="17"/>
                <w:szCs w:val="17"/>
              </w:rPr>
              <w:t xml:space="preserve">800 </w:t>
            </w:r>
            <w:r>
              <w:rPr>
                <w:rFonts w:ascii="宋体" w:hAnsi="宋体" w:eastAsia="宋体" w:cs="宋体"/>
                <w:spacing w:val="6"/>
                <w:sz w:val="17"/>
                <w:szCs w:val="17"/>
              </w:rPr>
              <w:t>雨水管和</w:t>
            </w:r>
            <w:r>
              <w:rPr>
                <w:rFonts w:ascii="Times New Roman" w:hAnsi="Times New Roman" w:eastAsia="Times New Roman" w:cs="Times New Roman"/>
                <w:sz w:val="17"/>
                <w:szCs w:val="17"/>
              </w:rPr>
              <w:t>DN</w:t>
            </w:r>
            <w:r>
              <w:rPr>
                <w:rFonts w:ascii="Times New Roman" w:hAnsi="Times New Roman" w:eastAsia="Times New Roman" w:cs="Times New Roman"/>
                <w:spacing w:val="6"/>
                <w:sz w:val="17"/>
                <w:szCs w:val="17"/>
              </w:rPr>
              <w:t>400</w:t>
            </w:r>
            <w:r>
              <w:rPr>
                <w:rFonts w:ascii="Times New Roman" w:hAnsi="Times New Roman" w:eastAsia="Times New Roman" w:cs="Times New Roman"/>
                <w:sz w:val="17"/>
                <w:szCs w:val="17"/>
              </w:rPr>
              <w:t xml:space="preserve"> </w:t>
            </w:r>
            <w:r>
              <w:rPr>
                <w:rFonts w:ascii="宋体" w:hAnsi="宋体" w:eastAsia="宋体" w:cs="宋体"/>
                <w:spacing w:val="9"/>
                <w:sz w:val="17"/>
                <w:szCs w:val="17"/>
              </w:rPr>
              <w:t>污水管，衔接滨河路已设计雨、污管道</w:t>
            </w:r>
            <w:r>
              <w:rPr>
                <w:rFonts w:ascii="宋体" w:hAnsi="宋体" w:eastAsia="宋体" w:cs="宋体"/>
                <w:spacing w:val="8"/>
                <w:sz w:val="17"/>
                <w:szCs w:val="17"/>
              </w:rPr>
              <w:t>；</w:t>
            </w:r>
          </w:p>
          <w:p>
            <w:pPr>
              <w:spacing w:before="2" w:line="278" w:lineRule="auto"/>
              <w:ind w:left="24" w:firstLine="6"/>
              <w:rPr>
                <w:rFonts w:ascii="宋体" w:hAnsi="宋体" w:eastAsia="宋体" w:cs="宋体"/>
                <w:sz w:val="17"/>
                <w:szCs w:val="17"/>
              </w:rPr>
            </w:pPr>
            <w:r>
              <w:rPr>
                <w:rFonts w:ascii="宋体" w:hAnsi="宋体" w:eastAsia="宋体" w:cs="宋体"/>
                <w:spacing w:val="8"/>
                <w:sz w:val="17"/>
                <w:szCs w:val="17"/>
              </w:rPr>
              <w:t>东端：犀</w:t>
            </w:r>
            <w:r>
              <w:rPr>
                <w:rFonts w:ascii="宋体" w:hAnsi="宋体" w:eastAsia="宋体" w:cs="宋体"/>
                <w:spacing w:val="4"/>
                <w:sz w:val="17"/>
                <w:szCs w:val="17"/>
              </w:rPr>
              <w:t>牛大道交叉口改造段，新建雨水口及雨水口连接管；</w:t>
            </w:r>
            <w:r>
              <w:rPr>
                <w:rFonts w:ascii="宋体" w:hAnsi="宋体" w:eastAsia="宋体" w:cs="宋体"/>
                <w:sz w:val="17"/>
                <w:szCs w:val="17"/>
              </w:rPr>
              <w:t xml:space="preserve"> </w:t>
            </w:r>
            <w:r>
              <w:rPr>
                <w:rFonts w:ascii="宋体" w:hAnsi="宋体" w:eastAsia="宋体" w:cs="宋体"/>
                <w:spacing w:val="16"/>
                <w:sz w:val="17"/>
                <w:szCs w:val="17"/>
              </w:rPr>
              <w:t>桥面</w:t>
            </w:r>
            <w:r>
              <w:rPr>
                <w:rFonts w:ascii="宋体" w:hAnsi="宋体" w:eastAsia="宋体" w:cs="宋体"/>
                <w:spacing w:val="11"/>
                <w:sz w:val="17"/>
                <w:szCs w:val="17"/>
              </w:rPr>
              <w:t>排</w:t>
            </w:r>
            <w:r>
              <w:rPr>
                <w:rFonts w:ascii="宋体" w:hAnsi="宋体" w:eastAsia="宋体" w:cs="宋体"/>
                <w:spacing w:val="8"/>
                <w:sz w:val="17"/>
                <w:szCs w:val="17"/>
              </w:rPr>
              <w:t>水在桥梁两侧外设置排水管；引至桥梁两端接入雨水</w:t>
            </w:r>
            <w:r>
              <w:rPr>
                <w:rFonts w:ascii="宋体" w:hAnsi="宋体" w:eastAsia="宋体" w:cs="宋体"/>
                <w:sz w:val="17"/>
                <w:szCs w:val="17"/>
              </w:rPr>
              <w:t xml:space="preserve"> </w:t>
            </w:r>
            <w:r>
              <w:rPr>
                <w:rFonts w:ascii="宋体" w:hAnsi="宋体" w:eastAsia="宋体" w:cs="宋体"/>
                <w:spacing w:val="14"/>
                <w:sz w:val="17"/>
                <w:szCs w:val="17"/>
              </w:rPr>
              <w:t>管</w:t>
            </w:r>
            <w:r>
              <w:rPr>
                <w:rFonts w:ascii="宋体" w:hAnsi="宋体" w:eastAsia="宋体" w:cs="宋体"/>
                <w:spacing w:val="8"/>
                <w:sz w:val="17"/>
                <w:szCs w:val="17"/>
              </w:rPr>
              <w:t>排</w:t>
            </w:r>
            <w:r>
              <w:rPr>
                <w:rFonts w:ascii="宋体" w:hAnsi="宋体" w:eastAsia="宋体" w:cs="宋体"/>
                <w:spacing w:val="7"/>
                <w:sz w:val="17"/>
                <w:szCs w:val="17"/>
              </w:rPr>
              <w:t>放，不涉及污水管线。</w:t>
            </w:r>
          </w:p>
        </w:tc>
        <w:tc>
          <w:tcPr>
            <w:tcW w:w="990" w:type="dxa"/>
            <w:vAlign w:val="top"/>
          </w:tcPr>
          <w:p>
            <w:pPr>
              <w:spacing w:line="275" w:lineRule="auto"/>
              <w:rPr>
                <w:rFonts w:ascii="Arial"/>
                <w:sz w:val="21"/>
              </w:rPr>
            </w:pPr>
          </w:p>
          <w:p>
            <w:pPr>
              <w:spacing w:line="275" w:lineRule="auto"/>
              <w:rPr>
                <w:rFonts w:ascii="Arial"/>
                <w:sz w:val="21"/>
              </w:rPr>
            </w:pPr>
          </w:p>
          <w:p>
            <w:pPr>
              <w:spacing w:before="49" w:line="242" w:lineRule="exact"/>
              <w:ind w:left="473"/>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56"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49" w:line="242" w:lineRule="exact"/>
              <w:ind w:left="407"/>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601" w:type="dxa"/>
            <w:vMerge w:val="continue"/>
            <w:tcBorders>
              <w:top w:val="nil"/>
              <w:left w:val="single" w:color="000000" w:sz="6" w:space="0"/>
              <w:bottom w:val="nil"/>
            </w:tcBorders>
            <w:vAlign w:val="top"/>
          </w:tcPr>
          <w:p>
            <w:pPr>
              <w:rPr>
                <w:rFonts w:ascii="Arial"/>
                <w:sz w:val="21"/>
              </w:rPr>
            </w:pPr>
          </w:p>
        </w:tc>
        <w:tc>
          <w:tcPr>
            <w:tcW w:w="141" w:type="dxa"/>
            <w:vMerge w:val="continue"/>
            <w:tcBorders>
              <w:top w:val="nil"/>
              <w:bottom w:val="nil"/>
            </w:tcBorders>
            <w:vAlign w:val="top"/>
          </w:tcPr>
          <w:p>
            <w:pPr>
              <w:rPr>
                <w:rFonts w:ascii="Arial"/>
                <w:sz w:val="21"/>
              </w:rPr>
            </w:pPr>
          </w:p>
        </w:tc>
        <w:tc>
          <w:tcPr>
            <w:tcW w:w="503" w:type="dxa"/>
            <w:vMerge w:val="continue"/>
            <w:tcBorders>
              <w:top w:val="nil"/>
              <w:bottom w:val="nil"/>
            </w:tcBorders>
            <w:vAlign w:val="top"/>
          </w:tcPr>
          <w:p>
            <w:pPr>
              <w:rPr>
                <w:rFonts w:ascii="Arial"/>
                <w:sz w:val="21"/>
              </w:rPr>
            </w:pPr>
          </w:p>
        </w:tc>
        <w:tc>
          <w:tcPr>
            <w:tcW w:w="925" w:type="dxa"/>
            <w:vAlign w:val="top"/>
          </w:tcPr>
          <w:p>
            <w:pPr>
              <w:spacing w:before="76" w:line="229" w:lineRule="auto"/>
              <w:ind w:left="106"/>
              <w:rPr>
                <w:rFonts w:ascii="宋体" w:hAnsi="宋体" w:eastAsia="宋体" w:cs="宋体"/>
                <w:sz w:val="17"/>
                <w:szCs w:val="17"/>
              </w:rPr>
            </w:pPr>
            <w:r>
              <w:rPr>
                <w:rFonts w:ascii="宋体" w:hAnsi="宋体" w:eastAsia="宋体" w:cs="宋体"/>
                <w:spacing w:val="7"/>
                <w:sz w:val="17"/>
                <w:szCs w:val="17"/>
              </w:rPr>
              <w:t>管线工程</w:t>
            </w:r>
          </w:p>
        </w:tc>
        <w:tc>
          <w:tcPr>
            <w:tcW w:w="4750" w:type="dxa"/>
            <w:vAlign w:val="top"/>
          </w:tcPr>
          <w:p>
            <w:pPr>
              <w:spacing w:before="76" w:line="229" w:lineRule="auto"/>
              <w:ind w:left="24"/>
              <w:rPr>
                <w:rFonts w:ascii="宋体" w:hAnsi="宋体" w:eastAsia="宋体" w:cs="宋体"/>
                <w:sz w:val="17"/>
                <w:szCs w:val="17"/>
              </w:rPr>
            </w:pPr>
            <w:r>
              <w:rPr>
                <w:rFonts w:ascii="宋体" w:hAnsi="宋体" w:eastAsia="宋体" w:cs="宋体"/>
                <w:spacing w:val="12"/>
                <w:sz w:val="17"/>
                <w:szCs w:val="17"/>
              </w:rPr>
              <w:t>桥梁</w:t>
            </w:r>
            <w:r>
              <w:rPr>
                <w:rFonts w:ascii="宋体" w:hAnsi="宋体" w:eastAsia="宋体" w:cs="宋体"/>
                <w:spacing w:val="9"/>
                <w:sz w:val="17"/>
                <w:szCs w:val="17"/>
              </w:rPr>
              <w:t>人</w:t>
            </w:r>
            <w:r>
              <w:rPr>
                <w:rFonts w:ascii="宋体" w:hAnsi="宋体" w:eastAsia="宋体" w:cs="宋体"/>
                <w:spacing w:val="6"/>
                <w:sz w:val="17"/>
                <w:szCs w:val="17"/>
              </w:rPr>
              <w:t xml:space="preserve">行道下设置 </w:t>
            </w:r>
            <w:r>
              <w:rPr>
                <w:rFonts w:ascii="Times New Roman" w:hAnsi="Times New Roman" w:eastAsia="Times New Roman" w:cs="Times New Roman"/>
                <w:spacing w:val="6"/>
                <w:sz w:val="17"/>
                <w:szCs w:val="17"/>
              </w:rPr>
              <w:t xml:space="preserve">12 </w:t>
            </w:r>
            <w:r>
              <w:rPr>
                <w:rFonts w:ascii="宋体" w:hAnsi="宋体" w:eastAsia="宋体" w:cs="宋体"/>
                <w:spacing w:val="6"/>
                <w:sz w:val="17"/>
                <w:szCs w:val="17"/>
              </w:rPr>
              <w:t>孔电力排管、</w:t>
            </w:r>
            <w:r>
              <w:rPr>
                <w:rFonts w:ascii="Times New Roman" w:hAnsi="Times New Roman" w:eastAsia="Times New Roman" w:cs="Times New Roman"/>
                <w:spacing w:val="6"/>
                <w:sz w:val="17"/>
                <w:szCs w:val="17"/>
              </w:rPr>
              <w:t xml:space="preserve">12 </w:t>
            </w:r>
            <w:r>
              <w:rPr>
                <w:rFonts w:ascii="宋体" w:hAnsi="宋体" w:eastAsia="宋体" w:cs="宋体"/>
                <w:spacing w:val="6"/>
                <w:sz w:val="17"/>
                <w:szCs w:val="17"/>
              </w:rPr>
              <w:t>孔通信排管等</w:t>
            </w:r>
          </w:p>
        </w:tc>
        <w:tc>
          <w:tcPr>
            <w:tcW w:w="990" w:type="dxa"/>
            <w:vAlign w:val="top"/>
          </w:tcPr>
          <w:p>
            <w:pPr>
              <w:spacing w:before="43" w:line="242" w:lineRule="exact"/>
              <w:ind w:left="473"/>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56" w:type="dxa"/>
            <w:vMerge w:val="continue"/>
            <w:tcBorders>
              <w:top w:val="nil"/>
              <w:bottom w:val="nil"/>
            </w:tcBorders>
            <w:vAlign w:val="top"/>
          </w:tcPr>
          <w:p>
            <w:pPr>
              <w:rPr>
                <w:rFonts w:ascii="Arial"/>
                <w:sz w:val="21"/>
              </w:rPr>
            </w:pP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601" w:type="dxa"/>
            <w:vMerge w:val="continue"/>
            <w:tcBorders>
              <w:top w:val="nil"/>
              <w:left w:val="single" w:color="000000" w:sz="6" w:space="0"/>
            </w:tcBorders>
            <w:vAlign w:val="top"/>
          </w:tcPr>
          <w:p>
            <w:pPr>
              <w:rPr>
                <w:rFonts w:ascii="Arial"/>
                <w:sz w:val="21"/>
              </w:rPr>
            </w:pPr>
          </w:p>
        </w:tc>
        <w:tc>
          <w:tcPr>
            <w:tcW w:w="141" w:type="dxa"/>
            <w:vMerge w:val="continue"/>
            <w:tcBorders>
              <w:top w:val="nil"/>
            </w:tcBorders>
            <w:vAlign w:val="top"/>
          </w:tcPr>
          <w:p>
            <w:pPr>
              <w:rPr>
                <w:rFonts w:ascii="Arial"/>
                <w:sz w:val="21"/>
              </w:rPr>
            </w:pPr>
          </w:p>
        </w:tc>
        <w:tc>
          <w:tcPr>
            <w:tcW w:w="503" w:type="dxa"/>
            <w:vMerge w:val="continue"/>
            <w:tcBorders>
              <w:top w:val="nil"/>
            </w:tcBorders>
            <w:vAlign w:val="top"/>
          </w:tcPr>
          <w:p>
            <w:pPr>
              <w:rPr>
                <w:rFonts w:ascii="Arial"/>
                <w:sz w:val="21"/>
              </w:rPr>
            </w:pPr>
          </w:p>
        </w:tc>
        <w:tc>
          <w:tcPr>
            <w:tcW w:w="925" w:type="dxa"/>
            <w:vAlign w:val="top"/>
          </w:tcPr>
          <w:p>
            <w:pPr>
              <w:spacing w:before="216" w:line="230" w:lineRule="auto"/>
              <w:ind w:left="106"/>
              <w:rPr>
                <w:rFonts w:ascii="宋体" w:hAnsi="宋体" w:eastAsia="宋体" w:cs="宋体"/>
                <w:sz w:val="17"/>
                <w:szCs w:val="17"/>
              </w:rPr>
            </w:pPr>
            <w:r>
              <w:rPr>
                <w:rFonts w:ascii="宋体" w:hAnsi="宋体" w:eastAsia="宋体" w:cs="宋体"/>
                <w:spacing w:val="7"/>
                <w:sz w:val="17"/>
                <w:szCs w:val="17"/>
              </w:rPr>
              <w:t>管线改造</w:t>
            </w:r>
          </w:p>
        </w:tc>
        <w:tc>
          <w:tcPr>
            <w:tcW w:w="4750" w:type="dxa"/>
            <w:vAlign w:val="top"/>
          </w:tcPr>
          <w:p>
            <w:pPr>
              <w:spacing w:before="74" w:line="273" w:lineRule="auto"/>
              <w:ind w:left="26" w:right="18" w:firstLine="2"/>
              <w:rPr>
                <w:rFonts w:ascii="宋体" w:hAnsi="宋体" w:eastAsia="宋体" w:cs="宋体"/>
                <w:sz w:val="17"/>
                <w:szCs w:val="17"/>
              </w:rPr>
            </w:pPr>
            <w:r>
              <w:rPr>
                <w:rFonts w:ascii="宋体" w:hAnsi="宋体" w:eastAsia="宋体" w:cs="宋体"/>
                <w:spacing w:val="20"/>
                <w:sz w:val="17"/>
                <w:szCs w:val="17"/>
              </w:rPr>
              <w:t>西</w:t>
            </w:r>
            <w:r>
              <w:rPr>
                <w:rFonts w:ascii="宋体" w:hAnsi="宋体" w:eastAsia="宋体" w:cs="宋体"/>
                <w:spacing w:val="17"/>
                <w:sz w:val="17"/>
                <w:szCs w:val="17"/>
              </w:rPr>
              <w:t>端</w:t>
            </w:r>
            <w:r>
              <w:rPr>
                <w:rFonts w:ascii="宋体" w:hAnsi="宋体" w:eastAsia="宋体" w:cs="宋体"/>
                <w:spacing w:val="10"/>
                <w:sz w:val="17"/>
                <w:szCs w:val="17"/>
              </w:rPr>
              <w:t>：滨河路起点处桥墩与现状两根给水钢管冲突，管径分</w:t>
            </w:r>
            <w:r>
              <w:rPr>
                <w:rFonts w:ascii="宋体" w:hAnsi="宋体" w:eastAsia="宋体" w:cs="宋体"/>
                <w:sz w:val="17"/>
                <w:szCs w:val="17"/>
              </w:rPr>
              <w:t xml:space="preserve"> </w:t>
            </w:r>
            <w:r>
              <w:rPr>
                <w:rFonts w:ascii="宋体" w:hAnsi="宋体" w:eastAsia="宋体" w:cs="宋体"/>
                <w:spacing w:val="1"/>
                <w:sz w:val="17"/>
                <w:szCs w:val="17"/>
              </w:rPr>
              <w:t xml:space="preserve">别为 </w:t>
            </w:r>
            <w:r>
              <w:rPr>
                <w:rFonts w:ascii="Times New Roman" w:hAnsi="Times New Roman" w:eastAsia="Times New Roman" w:cs="Times New Roman"/>
                <w:sz w:val="17"/>
                <w:szCs w:val="17"/>
              </w:rPr>
              <w:t>DN</w:t>
            </w:r>
            <w:r>
              <w:rPr>
                <w:rFonts w:ascii="Times New Roman" w:hAnsi="Times New Roman" w:eastAsia="Times New Roman" w:cs="Times New Roman"/>
                <w:spacing w:val="1"/>
                <w:sz w:val="17"/>
                <w:szCs w:val="17"/>
              </w:rPr>
              <w:t>150\</w:t>
            </w:r>
            <w:r>
              <w:rPr>
                <w:rFonts w:ascii="Times New Roman" w:hAnsi="Times New Roman" w:eastAsia="Times New Roman" w:cs="Times New Roman"/>
                <w:sz w:val="17"/>
                <w:szCs w:val="17"/>
              </w:rPr>
              <w:t>DN</w:t>
            </w:r>
            <w:r>
              <w:rPr>
                <w:rFonts w:ascii="Times New Roman" w:hAnsi="Times New Roman" w:eastAsia="Times New Roman" w:cs="Times New Roman"/>
                <w:spacing w:val="1"/>
                <w:sz w:val="17"/>
                <w:szCs w:val="17"/>
              </w:rPr>
              <w:t xml:space="preserve">100 </w:t>
            </w:r>
            <w:r>
              <w:rPr>
                <w:rFonts w:ascii="宋体" w:hAnsi="宋体" w:eastAsia="宋体" w:cs="宋体"/>
                <w:spacing w:val="1"/>
                <w:sz w:val="17"/>
                <w:szCs w:val="17"/>
              </w:rPr>
              <w:t xml:space="preserve">，长度均为 </w:t>
            </w:r>
            <w:r>
              <w:rPr>
                <w:rFonts w:ascii="Times New Roman" w:hAnsi="Times New Roman" w:eastAsia="Times New Roman" w:cs="Times New Roman"/>
                <w:spacing w:val="1"/>
                <w:sz w:val="17"/>
                <w:szCs w:val="17"/>
              </w:rPr>
              <w:t>23</w:t>
            </w:r>
            <w:r>
              <w:rPr>
                <w:rFonts w:ascii="Times New Roman" w:hAnsi="Times New Roman" w:eastAsia="Times New Roman" w:cs="Times New Roman"/>
                <w:sz w:val="17"/>
                <w:szCs w:val="17"/>
              </w:rPr>
              <w:t>m</w:t>
            </w:r>
            <w:r>
              <w:rPr>
                <w:rFonts w:ascii="Times New Roman" w:hAnsi="Times New Roman" w:eastAsia="Times New Roman" w:cs="Times New Roman"/>
                <w:spacing w:val="1"/>
                <w:sz w:val="17"/>
                <w:szCs w:val="17"/>
              </w:rPr>
              <w:t xml:space="preserve"> </w:t>
            </w:r>
            <w:r>
              <w:rPr>
                <w:rFonts w:ascii="宋体" w:hAnsi="宋体" w:eastAsia="宋体" w:cs="宋体"/>
                <w:spacing w:val="1"/>
                <w:sz w:val="17"/>
                <w:szCs w:val="17"/>
              </w:rPr>
              <w:t xml:space="preserve">，埋深约 </w:t>
            </w:r>
            <w:r>
              <w:rPr>
                <w:rFonts w:ascii="Times New Roman" w:hAnsi="Times New Roman" w:eastAsia="Times New Roman" w:cs="Times New Roman"/>
                <w:spacing w:val="1"/>
                <w:sz w:val="17"/>
                <w:szCs w:val="17"/>
              </w:rPr>
              <w:t>5</w:t>
            </w:r>
            <w:r>
              <w:rPr>
                <w:rFonts w:ascii="Times New Roman" w:hAnsi="Times New Roman" w:eastAsia="Times New Roman" w:cs="Times New Roman"/>
                <w:sz w:val="17"/>
                <w:szCs w:val="17"/>
              </w:rPr>
              <w:t>m</w:t>
            </w:r>
            <w:r>
              <w:rPr>
                <w:rFonts w:ascii="Times New Roman" w:hAnsi="Times New Roman" w:eastAsia="Times New Roman" w:cs="Times New Roman"/>
                <w:spacing w:val="1"/>
                <w:sz w:val="17"/>
                <w:szCs w:val="17"/>
              </w:rPr>
              <w:t xml:space="preserve"> </w:t>
            </w:r>
            <w:r>
              <w:rPr>
                <w:rFonts w:ascii="宋体" w:hAnsi="宋体" w:eastAsia="宋体" w:cs="宋体"/>
                <w:spacing w:val="1"/>
                <w:sz w:val="17"/>
                <w:szCs w:val="17"/>
              </w:rPr>
              <w:t>，为</w:t>
            </w:r>
            <w:r>
              <w:rPr>
                <w:rFonts w:ascii="宋体" w:hAnsi="宋体" w:eastAsia="宋体" w:cs="宋体"/>
                <w:sz w:val="17"/>
                <w:szCs w:val="17"/>
              </w:rPr>
              <w:t>避让桥</w:t>
            </w:r>
          </w:p>
        </w:tc>
        <w:tc>
          <w:tcPr>
            <w:tcW w:w="990" w:type="dxa"/>
            <w:vAlign w:val="top"/>
          </w:tcPr>
          <w:p>
            <w:pPr>
              <w:rPr>
                <w:rFonts w:ascii="Arial"/>
                <w:sz w:val="21"/>
              </w:rPr>
            </w:pPr>
          </w:p>
        </w:tc>
        <w:tc>
          <w:tcPr>
            <w:tcW w:w="856" w:type="dxa"/>
            <w:vMerge w:val="continue"/>
            <w:tcBorders>
              <w:top w:val="nil"/>
            </w:tcBorders>
            <w:vAlign w:val="top"/>
          </w:tcPr>
          <w:p>
            <w:pPr>
              <w:rPr>
                <w:rFonts w:ascii="Arial"/>
                <w:sz w:val="21"/>
              </w:rPr>
            </w:pPr>
          </w:p>
        </w:tc>
        <w:tc>
          <w:tcPr>
            <w:tcW w:w="151" w:type="dxa"/>
            <w:vMerge w:val="continue"/>
            <w:tcBorders>
              <w:top w:val="nil"/>
              <w:right w:val="single" w:color="000000" w:sz="6" w:space="0"/>
            </w:tcBorders>
            <w:vAlign w:val="top"/>
          </w:tcPr>
          <w:p>
            <w:pPr>
              <w:rPr>
                <w:rFonts w:ascii="Arial"/>
                <w:sz w:val="21"/>
              </w:rPr>
            </w:pPr>
          </w:p>
        </w:tc>
      </w:tr>
    </w:tbl>
    <w:p>
      <w:pPr>
        <w:rPr>
          <w:rFonts w:ascii="Arial"/>
          <w:sz w:val="21"/>
        </w:rPr>
      </w:pPr>
    </w:p>
    <w:p>
      <w:pPr>
        <w:sectPr>
          <w:footerReference r:id="rId25" w:type="default"/>
          <w:pgSz w:w="11906" w:h="16839"/>
          <w:pgMar w:top="400" w:right="1487" w:bottom="1475" w:left="1486" w:header="0" w:footer="1315" w:gutter="0"/>
          <w:cols w:space="720" w:num="1"/>
        </w:sectPr>
      </w:pPr>
    </w:p>
    <w:p>
      <w:r>
        <w:pict>
          <v:rect id="_x0000_s1052" o:spid="_x0000_s1052" o:spt="1" style="position:absolute;left:0pt;margin-left:111.3pt;margin-top:748.25pt;height:0.25pt;width:309.7pt;mso-position-horizontal-relative:page;mso-position-vertical-relative:page;z-index:-251642880;mso-width-relative:page;mso-height-relative:page;" fillcolor="#000000" filled="t" stroked="f" coordsize="21600,21600" o:allowincell="f">
            <v:path/>
            <v:fill on="t" focussize="0,0"/>
            <v:stroke on="f"/>
            <v:imagedata o:title=""/>
            <o:lock v:ext="edit"/>
          </v:rect>
        </w:pict>
      </w:r>
      <w:r>
        <w:pict>
          <v:rect id="_x0000_s1053" o:spid="_x0000_s1053" o:spt="1" style="position:absolute;left:0pt;margin-left:421pt;margin-top:748.25pt;height:0.5pt;width:92.5pt;mso-position-horizontal-relative:page;mso-position-vertical-relative:page;z-index:251674624;mso-width-relative:page;mso-height-relative:page;" fillcolor="#000000" filled="t" stroked="f" coordsize="21600,21600" o:allowincell="f">
            <v:path/>
            <v:fill on="t" focussize="0,0"/>
            <v:stroke on="f"/>
            <v:imagedata o:title=""/>
            <o:lock v:ext="edit"/>
          </v:rect>
        </w:pict>
      </w:r>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1"/>
        <w:gridCol w:w="141"/>
        <w:gridCol w:w="503"/>
        <w:gridCol w:w="925"/>
        <w:gridCol w:w="4750"/>
        <w:gridCol w:w="990"/>
        <w:gridCol w:w="856"/>
        <w:gridCol w:w="1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9" w:hRule="atLeast"/>
        </w:trPr>
        <w:tc>
          <w:tcPr>
            <w:tcW w:w="601" w:type="dxa"/>
            <w:vMerge w:val="restart"/>
            <w:tcBorders>
              <w:left w:val="single" w:color="000000" w:sz="6" w:space="0"/>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28" w:lineRule="auto"/>
              <w:ind w:left="91"/>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p>
            <w:pPr>
              <w:spacing w:before="26" w:line="229" w:lineRule="auto"/>
              <w:ind w:left="9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组</w:t>
            </w:r>
            <w:r>
              <w:rPr>
                <w:rFonts w:ascii="宋体" w:hAnsi="宋体" w:eastAsia="宋体" w:cs="宋体"/>
                <w:spacing w:val="4"/>
                <w:sz w:val="20"/>
                <w:szCs w:val="20"/>
                <w14:textOutline w14:w="3795" w14:cap="sq" w14:cmpd="sng">
                  <w14:solidFill>
                    <w14:srgbClr w14:val="000000"/>
                  </w14:solidFill>
                  <w14:prstDash w14:val="solid"/>
                  <w14:bevel/>
                </w14:textOutline>
              </w:rPr>
              <w:t>成</w:t>
            </w:r>
          </w:p>
          <w:p>
            <w:pPr>
              <w:spacing w:before="22" w:line="230" w:lineRule="auto"/>
              <w:ind w:left="8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及规</w:t>
            </w:r>
          </w:p>
          <w:p>
            <w:pPr>
              <w:spacing w:before="24" w:line="228" w:lineRule="auto"/>
              <w:ind w:left="190"/>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模</w:t>
            </w:r>
          </w:p>
        </w:tc>
        <w:tc>
          <w:tcPr>
            <w:tcW w:w="141" w:type="dxa"/>
            <w:vMerge w:val="restart"/>
            <w:tcBorders>
              <w:bottom w:val="nil"/>
            </w:tcBorders>
            <w:vAlign w:val="top"/>
          </w:tcPr>
          <w:p>
            <w:pPr>
              <w:rPr>
                <w:rFonts w:ascii="Arial"/>
                <w:sz w:val="21"/>
              </w:rPr>
            </w:pPr>
          </w:p>
        </w:tc>
        <w:tc>
          <w:tcPr>
            <w:tcW w:w="503" w:type="dxa"/>
            <w:vMerge w:val="restart"/>
            <w:tcBorders>
              <w:bottom w:val="nil"/>
            </w:tcBorders>
            <w:vAlign w:val="top"/>
          </w:tcPr>
          <w:p>
            <w:pPr>
              <w:rPr>
                <w:rFonts w:ascii="Arial"/>
                <w:sz w:val="21"/>
              </w:rPr>
            </w:pPr>
          </w:p>
        </w:tc>
        <w:tc>
          <w:tcPr>
            <w:tcW w:w="925" w:type="dxa"/>
            <w:vAlign w:val="top"/>
          </w:tcPr>
          <w:p>
            <w:pPr>
              <w:rPr>
                <w:rFonts w:ascii="Arial"/>
                <w:sz w:val="21"/>
              </w:rPr>
            </w:pPr>
          </w:p>
        </w:tc>
        <w:tc>
          <w:tcPr>
            <w:tcW w:w="4750" w:type="dxa"/>
            <w:vAlign w:val="top"/>
          </w:tcPr>
          <w:p>
            <w:pPr>
              <w:spacing w:before="85" w:line="232" w:lineRule="auto"/>
              <w:ind w:left="26"/>
              <w:rPr>
                <w:rFonts w:ascii="宋体" w:hAnsi="宋体" w:eastAsia="宋体" w:cs="宋体"/>
                <w:sz w:val="17"/>
                <w:szCs w:val="17"/>
              </w:rPr>
            </w:pPr>
            <w:r>
              <w:rPr>
                <w:rFonts w:ascii="宋体" w:hAnsi="宋体" w:eastAsia="宋体" w:cs="宋体"/>
                <w:spacing w:val="12"/>
                <w:sz w:val="17"/>
                <w:szCs w:val="17"/>
              </w:rPr>
              <w:t>墩</w:t>
            </w:r>
            <w:r>
              <w:rPr>
                <w:rFonts w:ascii="宋体" w:hAnsi="宋体" w:eastAsia="宋体" w:cs="宋体"/>
                <w:spacing w:val="9"/>
                <w:sz w:val="17"/>
                <w:szCs w:val="17"/>
              </w:rPr>
              <w:t>，</w:t>
            </w:r>
            <w:r>
              <w:rPr>
                <w:rFonts w:ascii="宋体" w:hAnsi="宋体" w:eastAsia="宋体" w:cs="宋体"/>
                <w:spacing w:val="6"/>
                <w:sz w:val="17"/>
                <w:szCs w:val="17"/>
              </w:rPr>
              <w:t xml:space="preserve">需将两根给水管向东北方向迁改 </w:t>
            </w:r>
            <w:r>
              <w:rPr>
                <w:rFonts w:ascii="Times New Roman" w:hAnsi="Times New Roman" w:eastAsia="Times New Roman" w:cs="Times New Roman"/>
                <w:spacing w:val="6"/>
                <w:sz w:val="17"/>
                <w:szCs w:val="17"/>
              </w:rPr>
              <w:t>10</w:t>
            </w:r>
            <w:r>
              <w:rPr>
                <w:rFonts w:ascii="Times New Roman" w:hAnsi="Times New Roman" w:eastAsia="Times New Roman" w:cs="Times New Roman"/>
                <w:sz w:val="17"/>
                <w:szCs w:val="17"/>
              </w:rPr>
              <w:t>m</w:t>
            </w:r>
            <w:r>
              <w:rPr>
                <w:rFonts w:ascii="宋体" w:hAnsi="宋体" w:eastAsia="宋体" w:cs="宋体"/>
                <w:spacing w:val="6"/>
                <w:sz w:val="17"/>
                <w:szCs w:val="17"/>
              </w:rPr>
              <w:t>。</w:t>
            </w:r>
          </w:p>
          <w:p>
            <w:pPr>
              <w:spacing w:before="67" w:line="304" w:lineRule="auto"/>
              <w:ind w:left="20" w:right="3" w:firstLine="10"/>
              <w:rPr>
                <w:rFonts w:ascii="宋体" w:hAnsi="宋体" w:eastAsia="宋体" w:cs="宋体"/>
                <w:sz w:val="17"/>
                <w:szCs w:val="17"/>
              </w:rPr>
            </w:pPr>
            <w:r>
              <w:rPr>
                <w:rFonts w:ascii="宋体" w:hAnsi="宋体" w:eastAsia="宋体" w:cs="宋体"/>
                <w:spacing w:val="16"/>
                <w:sz w:val="17"/>
                <w:szCs w:val="17"/>
              </w:rPr>
              <w:t>东端：桥梁终点处桥墩与现状一道同槽电力</w:t>
            </w:r>
            <w:r>
              <w:rPr>
                <w:rFonts w:ascii="Times New Roman" w:hAnsi="Times New Roman" w:eastAsia="Times New Roman" w:cs="Times New Roman"/>
                <w:sz w:val="17"/>
                <w:szCs w:val="17"/>
              </w:rPr>
              <w:t>DN</w:t>
            </w:r>
            <w:r>
              <w:rPr>
                <w:rFonts w:ascii="Times New Roman" w:hAnsi="Times New Roman" w:eastAsia="Times New Roman" w:cs="Times New Roman"/>
                <w:spacing w:val="16"/>
                <w:sz w:val="17"/>
                <w:szCs w:val="17"/>
              </w:rPr>
              <w:t xml:space="preserve">100 </w:t>
            </w:r>
            <w:r>
              <w:rPr>
                <w:rFonts w:ascii="宋体" w:hAnsi="宋体" w:eastAsia="宋体" w:cs="宋体"/>
                <w:spacing w:val="16"/>
                <w:sz w:val="17"/>
                <w:szCs w:val="17"/>
              </w:rPr>
              <w:t>和给</w:t>
            </w:r>
            <w:r>
              <w:rPr>
                <w:rFonts w:ascii="宋体" w:hAnsi="宋体" w:eastAsia="宋体" w:cs="宋体"/>
                <w:spacing w:val="12"/>
                <w:sz w:val="17"/>
                <w:szCs w:val="17"/>
              </w:rPr>
              <w:t>水</w:t>
            </w:r>
            <w:r>
              <w:rPr>
                <w:rFonts w:ascii="宋体" w:hAnsi="宋体" w:eastAsia="宋体" w:cs="宋体"/>
                <w:sz w:val="17"/>
                <w:szCs w:val="17"/>
              </w:rPr>
              <w:t xml:space="preserve"> </w:t>
            </w:r>
            <w:r>
              <w:rPr>
                <w:rFonts w:ascii="Times New Roman" w:hAnsi="Times New Roman" w:eastAsia="Times New Roman" w:cs="Times New Roman"/>
                <w:sz w:val="17"/>
                <w:szCs w:val="17"/>
              </w:rPr>
              <w:t>DN</w:t>
            </w:r>
            <w:r>
              <w:rPr>
                <w:rFonts w:ascii="Times New Roman" w:hAnsi="Times New Roman" w:eastAsia="Times New Roman" w:cs="Times New Roman"/>
                <w:spacing w:val="2"/>
                <w:sz w:val="17"/>
                <w:szCs w:val="17"/>
              </w:rPr>
              <w:t xml:space="preserve">150 </w:t>
            </w:r>
            <w:r>
              <w:rPr>
                <w:rFonts w:ascii="宋体" w:hAnsi="宋体" w:eastAsia="宋体" w:cs="宋体"/>
                <w:spacing w:val="2"/>
                <w:sz w:val="17"/>
                <w:szCs w:val="17"/>
              </w:rPr>
              <w:t xml:space="preserve">管道冲突，长度约 </w:t>
            </w:r>
            <w:r>
              <w:rPr>
                <w:rFonts w:ascii="Times New Roman" w:hAnsi="Times New Roman" w:eastAsia="Times New Roman" w:cs="Times New Roman"/>
                <w:spacing w:val="1"/>
                <w:sz w:val="17"/>
                <w:szCs w:val="17"/>
              </w:rPr>
              <w:t>30</w:t>
            </w:r>
            <w:r>
              <w:rPr>
                <w:rFonts w:ascii="Times New Roman" w:hAnsi="Times New Roman" w:eastAsia="Times New Roman" w:cs="Times New Roman"/>
                <w:sz w:val="17"/>
                <w:szCs w:val="17"/>
              </w:rPr>
              <w:t>m</w:t>
            </w:r>
            <w:r>
              <w:rPr>
                <w:rFonts w:ascii="Times New Roman" w:hAnsi="Times New Roman" w:eastAsia="Times New Roman" w:cs="Times New Roman"/>
                <w:spacing w:val="1"/>
                <w:sz w:val="17"/>
                <w:szCs w:val="17"/>
              </w:rPr>
              <w:t xml:space="preserve"> </w:t>
            </w:r>
            <w:r>
              <w:rPr>
                <w:rFonts w:ascii="宋体" w:hAnsi="宋体" w:eastAsia="宋体" w:cs="宋体"/>
                <w:spacing w:val="1"/>
                <w:sz w:val="17"/>
                <w:szCs w:val="17"/>
              </w:rPr>
              <w:t xml:space="preserve">，埋深约 </w:t>
            </w:r>
            <w:r>
              <w:rPr>
                <w:rFonts w:ascii="Times New Roman" w:hAnsi="Times New Roman" w:eastAsia="Times New Roman" w:cs="Times New Roman"/>
                <w:spacing w:val="1"/>
                <w:sz w:val="17"/>
                <w:szCs w:val="17"/>
              </w:rPr>
              <w:t>0.8</w:t>
            </w:r>
            <w:r>
              <w:rPr>
                <w:rFonts w:ascii="Times New Roman" w:hAnsi="Times New Roman" w:eastAsia="Times New Roman" w:cs="Times New Roman"/>
                <w:sz w:val="17"/>
                <w:szCs w:val="17"/>
              </w:rPr>
              <w:t>m</w:t>
            </w:r>
            <w:r>
              <w:rPr>
                <w:rFonts w:ascii="Times New Roman" w:hAnsi="Times New Roman" w:eastAsia="Times New Roman" w:cs="Times New Roman"/>
                <w:spacing w:val="1"/>
                <w:sz w:val="17"/>
                <w:szCs w:val="17"/>
              </w:rPr>
              <w:t xml:space="preserve"> </w:t>
            </w:r>
            <w:r>
              <w:rPr>
                <w:rFonts w:ascii="宋体" w:hAnsi="宋体" w:eastAsia="宋体" w:cs="宋体"/>
                <w:spacing w:val="1"/>
                <w:sz w:val="17"/>
                <w:szCs w:val="17"/>
              </w:rPr>
              <w:t>，为避让桥墩，</w:t>
            </w:r>
            <w:r>
              <w:rPr>
                <w:rFonts w:ascii="宋体" w:hAnsi="宋体" w:eastAsia="宋体" w:cs="宋体"/>
                <w:sz w:val="17"/>
                <w:szCs w:val="17"/>
              </w:rPr>
              <w:t xml:space="preserve"> </w:t>
            </w:r>
            <w:r>
              <w:rPr>
                <w:rFonts w:ascii="宋体" w:hAnsi="宋体" w:eastAsia="宋体" w:cs="宋体"/>
                <w:spacing w:val="9"/>
                <w:sz w:val="17"/>
                <w:szCs w:val="17"/>
              </w:rPr>
              <w:t>需</w:t>
            </w:r>
            <w:r>
              <w:rPr>
                <w:rFonts w:ascii="宋体" w:hAnsi="宋体" w:eastAsia="宋体" w:cs="宋体"/>
                <w:spacing w:val="6"/>
                <w:sz w:val="17"/>
                <w:szCs w:val="17"/>
              </w:rPr>
              <w:t xml:space="preserve">将两根管道向西北方向迁改 </w:t>
            </w:r>
            <w:r>
              <w:rPr>
                <w:rFonts w:ascii="Times New Roman" w:hAnsi="Times New Roman" w:eastAsia="Times New Roman" w:cs="Times New Roman"/>
                <w:spacing w:val="6"/>
                <w:sz w:val="17"/>
                <w:szCs w:val="17"/>
              </w:rPr>
              <w:t>32</w:t>
            </w:r>
            <w:r>
              <w:rPr>
                <w:rFonts w:ascii="Times New Roman" w:hAnsi="Times New Roman" w:eastAsia="Times New Roman" w:cs="Times New Roman"/>
                <w:sz w:val="17"/>
                <w:szCs w:val="17"/>
              </w:rPr>
              <w:t>m</w:t>
            </w:r>
            <w:r>
              <w:rPr>
                <w:rFonts w:ascii="宋体" w:hAnsi="宋体" w:eastAsia="宋体" w:cs="宋体"/>
                <w:spacing w:val="6"/>
                <w:sz w:val="17"/>
                <w:szCs w:val="17"/>
              </w:rPr>
              <w:t>。</w:t>
            </w:r>
          </w:p>
          <w:p>
            <w:pPr>
              <w:spacing w:line="279" w:lineRule="auto"/>
              <w:ind w:left="24" w:right="18"/>
              <w:rPr>
                <w:rFonts w:ascii="宋体" w:hAnsi="宋体" w:eastAsia="宋体" w:cs="宋体"/>
                <w:sz w:val="17"/>
                <w:szCs w:val="17"/>
              </w:rPr>
            </w:pPr>
            <w:r>
              <w:rPr>
                <w:rFonts w:ascii="宋体" w:hAnsi="宋体" w:eastAsia="宋体" w:cs="宋体"/>
                <w:spacing w:val="9"/>
                <w:sz w:val="17"/>
                <w:szCs w:val="17"/>
              </w:rPr>
              <w:t xml:space="preserve">桥梁东端终点处桥墩与现状一道 </w:t>
            </w:r>
            <w:r>
              <w:rPr>
                <w:rFonts w:ascii="Times New Roman" w:hAnsi="Times New Roman" w:eastAsia="Times New Roman" w:cs="Times New Roman"/>
                <w:sz w:val="17"/>
                <w:szCs w:val="17"/>
              </w:rPr>
              <w:t>DN</w:t>
            </w:r>
            <w:r>
              <w:rPr>
                <w:rFonts w:ascii="Times New Roman" w:hAnsi="Times New Roman" w:eastAsia="Times New Roman" w:cs="Times New Roman"/>
                <w:spacing w:val="9"/>
                <w:sz w:val="17"/>
                <w:szCs w:val="17"/>
              </w:rPr>
              <w:t xml:space="preserve">1000 </w:t>
            </w:r>
            <w:r>
              <w:rPr>
                <w:rFonts w:ascii="宋体" w:hAnsi="宋体" w:eastAsia="宋体" w:cs="宋体"/>
                <w:spacing w:val="9"/>
                <w:sz w:val="17"/>
                <w:szCs w:val="17"/>
              </w:rPr>
              <w:t>雨水钢筋混凝土</w:t>
            </w:r>
            <w:r>
              <w:rPr>
                <w:rFonts w:ascii="宋体" w:hAnsi="宋体" w:eastAsia="宋体" w:cs="宋体"/>
                <w:spacing w:val="5"/>
                <w:sz w:val="17"/>
                <w:szCs w:val="17"/>
              </w:rPr>
              <w:t>管</w:t>
            </w:r>
            <w:r>
              <w:rPr>
                <w:rFonts w:ascii="宋体" w:hAnsi="宋体" w:eastAsia="宋体" w:cs="宋体"/>
                <w:sz w:val="17"/>
                <w:szCs w:val="17"/>
              </w:rPr>
              <w:t xml:space="preserve"> </w:t>
            </w:r>
            <w:r>
              <w:rPr>
                <w:rFonts w:ascii="宋体" w:hAnsi="宋体" w:eastAsia="宋体" w:cs="宋体"/>
                <w:spacing w:val="1"/>
                <w:sz w:val="17"/>
                <w:szCs w:val="17"/>
              </w:rPr>
              <w:t xml:space="preserve">冲突，长度约 </w:t>
            </w:r>
            <w:r>
              <w:rPr>
                <w:rFonts w:ascii="Times New Roman" w:hAnsi="Times New Roman" w:eastAsia="Times New Roman" w:cs="Times New Roman"/>
                <w:spacing w:val="1"/>
                <w:sz w:val="17"/>
                <w:szCs w:val="17"/>
              </w:rPr>
              <w:t>27</w:t>
            </w:r>
            <w:r>
              <w:rPr>
                <w:rFonts w:ascii="Times New Roman" w:hAnsi="Times New Roman" w:eastAsia="Times New Roman" w:cs="Times New Roman"/>
                <w:sz w:val="17"/>
                <w:szCs w:val="17"/>
              </w:rPr>
              <w:t xml:space="preserve">m </w:t>
            </w:r>
            <w:r>
              <w:rPr>
                <w:rFonts w:ascii="宋体" w:hAnsi="宋体" w:eastAsia="宋体" w:cs="宋体"/>
                <w:sz w:val="17"/>
                <w:szCs w:val="17"/>
              </w:rPr>
              <w:t xml:space="preserve">，埋深约 </w:t>
            </w:r>
            <w:r>
              <w:rPr>
                <w:rFonts w:ascii="Times New Roman" w:hAnsi="Times New Roman" w:eastAsia="Times New Roman" w:cs="Times New Roman"/>
                <w:sz w:val="17"/>
                <w:szCs w:val="17"/>
              </w:rPr>
              <w:t xml:space="preserve">4~8m </w:t>
            </w:r>
            <w:r>
              <w:rPr>
                <w:rFonts w:ascii="宋体" w:hAnsi="宋体" w:eastAsia="宋体" w:cs="宋体"/>
                <w:sz w:val="17"/>
                <w:szCs w:val="17"/>
              </w:rPr>
              <w:t xml:space="preserve">，为避让桥墩，需将雨水管 </w:t>
            </w:r>
            <w:r>
              <w:rPr>
                <w:rFonts w:ascii="宋体" w:hAnsi="宋体" w:eastAsia="宋体" w:cs="宋体"/>
                <w:spacing w:val="6"/>
                <w:sz w:val="17"/>
                <w:szCs w:val="17"/>
              </w:rPr>
              <w:t>向西</w:t>
            </w:r>
            <w:r>
              <w:rPr>
                <w:rFonts w:ascii="宋体" w:hAnsi="宋体" w:eastAsia="宋体" w:cs="宋体"/>
                <w:spacing w:val="4"/>
                <w:sz w:val="17"/>
                <w:szCs w:val="17"/>
              </w:rPr>
              <w:t>北</w:t>
            </w:r>
            <w:r>
              <w:rPr>
                <w:rFonts w:ascii="宋体" w:hAnsi="宋体" w:eastAsia="宋体" w:cs="宋体"/>
                <w:spacing w:val="3"/>
                <w:sz w:val="17"/>
                <w:szCs w:val="17"/>
              </w:rPr>
              <w:t xml:space="preserve">方向迁改 </w:t>
            </w:r>
            <w:r>
              <w:rPr>
                <w:rFonts w:ascii="Times New Roman" w:hAnsi="Times New Roman" w:eastAsia="Times New Roman" w:cs="Times New Roman"/>
                <w:spacing w:val="3"/>
                <w:sz w:val="17"/>
                <w:szCs w:val="17"/>
              </w:rPr>
              <w:t>29</w:t>
            </w:r>
            <w:r>
              <w:rPr>
                <w:rFonts w:ascii="Times New Roman" w:hAnsi="Times New Roman" w:eastAsia="Times New Roman" w:cs="Times New Roman"/>
                <w:sz w:val="17"/>
                <w:szCs w:val="17"/>
              </w:rPr>
              <w:t>m</w:t>
            </w:r>
            <w:r>
              <w:rPr>
                <w:rFonts w:ascii="宋体" w:hAnsi="宋体" w:eastAsia="宋体" w:cs="宋体"/>
                <w:spacing w:val="3"/>
                <w:sz w:val="17"/>
                <w:szCs w:val="17"/>
              </w:rPr>
              <w:t>。</w:t>
            </w:r>
          </w:p>
        </w:tc>
        <w:tc>
          <w:tcPr>
            <w:tcW w:w="990" w:type="dxa"/>
            <w:vAlign w:val="top"/>
          </w:tcPr>
          <w:p>
            <w:pPr>
              <w:rPr>
                <w:rFonts w:ascii="Arial"/>
                <w:sz w:val="21"/>
              </w:rPr>
            </w:pPr>
          </w:p>
        </w:tc>
        <w:tc>
          <w:tcPr>
            <w:tcW w:w="856" w:type="dxa"/>
            <w:vMerge w:val="restart"/>
            <w:tcBorders>
              <w:bottom w:val="nil"/>
            </w:tcBorders>
            <w:vAlign w:val="top"/>
          </w:tcPr>
          <w:p>
            <w:pPr>
              <w:rPr>
                <w:rFonts w:ascii="Arial"/>
                <w:sz w:val="21"/>
              </w:rPr>
            </w:pPr>
          </w:p>
        </w:tc>
        <w:tc>
          <w:tcPr>
            <w:tcW w:w="151" w:type="dxa"/>
            <w:vMerge w:val="restart"/>
            <w:tcBorders>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601" w:type="dxa"/>
            <w:vMerge w:val="continue"/>
            <w:tcBorders>
              <w:top w:val="nil"/>
              <w:left w:val="single" w:color="000000" w:sz="6" w:space="0"/>
              <w:bottom w:val="nil"/>
            </w:tcBorders>
            <w:vAlign w:val="top"/>
          </w:tcPr>
          <w:p>
            <w:pPr>
              <w:rPr>
                <w:rFonts w:ascii="Arial"/>
                <w:sz w:val="21"/>
              </w:rPr>
            </w:pPr>
          </w:p>
        </w:tc>
        <w:tc>
          <w:tcPr>
            <w:tcW w:w="141" w:type="dxa"/>
            <w:vMerge w:val="continue"/>
            <w:tcBorders>
              <w:top w:val="nil"/>
              <w:bottom w:val="nil"/>
            </w:tcBorders>
            <w:vAlign w:val="top"/>
          </w:tcPr>
          <w:p>
            <w:pPr>
              <w:rPr>
                <w:rFonts w:ascii="Arial"/>
                <w:sz w:val="21"/>
              </w:rPr>
            </w:pPr>
          </w:p>
        </w:tc>
        <w:tc>
          <w:tcPr>
            <w:tcW w:w="503" w:type="dxa"/>
            <w:vMerge w:val="continue"/>
            <w:tcBorders>
              <w:top w:val="nil"/>
              <w:bottom w:val="nil"/>
            </w:tcBorders>
            <w:vAlign w:val="top"/>
          </w:tcPr>
          <w:p>
            <w:pPr>
              <w:rPr>
                <w:rFonts w:ascii="Arial"/>
                <w:sz w:val="21"/>
              </w:rPr>
            </w:pPr>
          </w:p>
        </w:tc>
        <w:tc>
          <w:tcPr>
            <w:tcW w:w="925" w:type="dxa"/>
            <w:vAlign w:val="top"/>
          </w:tcPr>
          <w:p>
            <w:pPr>
              <w:spacing w:before="211" w:line="231" w:lineRule="auto"/>
              <w:ind w:left="106"/>
              <w:rPr>
                <w:rFonts w:ascii="宋体" w:hAnsi="宋体" w:eastAsia="宋体" w:cs="宋体"/>
                <w:sz w:val="17"/>
                <w:szCs w:val="17"/>
              </w:rPr>
            </w:pPr>
            <w:r>
              <w:rPr>
                <w:rFonts w:ascii="宋体" w:hAnsi="宋体" w:eastAsia="宋体" w:cs="宋体"/>
                <w:spacing w:val="8"/>
                <w:sz w:val="17"/>
                <w:szCs w:val="17"/>
              </w:rPr>
              <w:t>交</w:t>
            </w:r>
            <w:r>
              <w:rPr>
                <w:rFonts w:ascii="宋体" w:hAnsi="宋体" w:eastAsia="宋体" w:cs="宋体"/>
                <w:spacing w:val="7"/>
                <w:sz w:val="17"/>
                <w:szCs w:val="17"/>
              </w:rPr>
              <w:t>安工程</w:t>
            </w:r>
          </w:p>
        </w:tc>
        <w:tc>
          <w:tcPr>
            <w:tcW w:w="4750" w:type="dxa"/>
            <w:vAlign w:val="top"/>
          </w:tcPr>
          <w:p>
            <w:pPr>
              <w:spacing w:before="72" w:line="266" w:lineRule="auto"/>
              <w:ind w:left="24" w:right="65"/>
              <w:rPr>
                <w:rFonts w:ascii="宋体" w:hAnsi="宋体" w:eastAsia="宋体" w:cs="宋体"/>
                <w:sz w:val="17"/>
                <w:szCs w:val="17"/>
              </w:rPr>
            </w:pPr>
            <w:r>
              <w:rPr>
                <w:rFonts w:ascii="宋体" w:hAnsi="宋体" w:eastAsia="宋体" w:cs="宋体"/>
                <w:spacing w:val="9"/>
                <w:sz w:val="17"/>
                <w:szCs w:val="17"/>
              </w:rPr>
              <w:t>配套设置标志、标线、轮廓标、视线诱导设施、减速带等；</w:t>
            </w:r>
            <w:r>
              <w:rPr>
                <w:rFonts w:ascii="宋体" w:hAnsi="宋体" w:eastAsia="宋体" w:cs="宋体"/>
                <w:sz w:val="17"/>
                <w:szCs w:val="17"/>
              </w:rPr>
              <w:t xml:space="preserve"> </w:t>
            </w:r>
            <w:r>
              <w:rPr>
                <w:rFonts w:ascii="宋体" w:hAnsi="宋体" w:eastAsia="宋体" w:cs="宋体"/>
                <w:spacing w:val="18"/>
                <w:sz w:val="17"/>
                <w:szCs w:val="17"/>
              </w:rPr>
              <w:t>桥</w:t>
            </w:r>
            <w:r>
              <w:rPr>
                <w:rFonts w:ascii="宋体" w:hAnsi="宋体" w:eastAsia="宋体" w:cs="宋体"/>
                <w:spacing w:val="14"/>
                <w:sz w:val="17"/>
                <w:szCs w:val="17"/>
              </w:rPr>
              <w:t>梁</w:t>
            </w:r>
            <w:r>
              <w:rPr>
                <w:rFonts w:ascii="宋体" w:hAnsi="宋体" w:eastAsia="宋体" w:cs="宋体"/>
                <w:spacing w:val="9"/>
                <w:sz w:val="17"/>
                <w:szCs w:val="17"/>
              </w:rPr>
              <w:t>两侧安装防撞栏、防抛网、隔离栅等安防设施</w:t>
            </w:r>
          </w:p>
        </w:tc>
        <w:tc>
          <w:tcPr>
            <w:tcW w:w="990" w:type="dxa"/>
            <w:vMerge w:val="restart"/>
            <w:tcBorders>
              <w:bottom w:val="nil"/>
            </w:tcBorders>
            <w:vAlign w:val="top"/>
          </w:tcPr>
          <w:p>
            <w:pPr>
              <w:spacing w:line="272" w:lineRule="auto"/>
              <w:rPr>
                <w:rFonts w:ascii="Arial"/>
                <w:sz w:val="21"/>
              </w:rPr>
            </w:pPr>
          </w:p>
          <w:p>
            <w:pPr>
              <w:spacing w:before="49" w:line="242" w:lineRule="exact"/>
              <w:ind w:left="473"/>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56" w:type="dxa"/>
            <w:vMerge w:val="continue"/>
            <w:tcBorders>
              <w:top w:val="nil"/>
              <w:bottom w:val="nil"/>
            </w:tcBorders>
            <w:vAlign w:val="top"/>
          </w:tcPr>
          <w:p>
            <w:pPr>
              <w:rPr>
                <w:rFonts w:ascii="Arial"/>
                <w:sz w:val="21"/>
              </w:rPr>
            </w:pP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01" w:type="dxa"/>
            <w:vMerge w:val="continue"/>
            <w:tcBorders>
              <w:top w:val="nil"/>
              <w:left w:val="single" w:color="000000" w:sz="6" w:space="0"/>
              <w:bottom w:val="nil"/>
            </w:tcBorders>
            <w:vAlign w:val="top"/>
          </w:tcPr>
          <w:p>
            <w:pPr>
              <w:rPr>
                <w:rFonts w:ascii="Arial"/>
                <w:sz w:val="21"/>
              </w:rPr>
            </w:pPr>
          </w:p>
        </w:tc>
        <w:tc>
          <w:tcPr>
            <w:tcW w:w="141" w:type="dxa"/>
            <w:vMerge w:val="continue"/>
            <w:tcBorders>
              <w:top w:val="nil"/>
              <w:bottom w:val="nil"/>
            </w:tcBorders>
            <w:vAlign w:val="top"/>
          </w:tcPr>
          <w:p>
            <w:pPr>
              <w:rPr>
                <w:rFonts w:ascii="Arial"/>
                <w:sz w:val="21"/>
              </w:rPr>
            </w:pPr>
          </w:p>
        </w:tc>
        <w:tc>
          <w:tcPr>
            <w:tcW w:w="503" w:type="dxa"/>
            <w:vMerge w:val="continue"/>
            <w:tcBorders>
              <w:top w:val="nil"/>
            </w:tcBorders>
            <w:vAlign w:val="top"/>
          </w:tcPr>
          <w:p>
            <w:pPr>
              <w:rPr>
                <w:rFonts w:ascii="Arial"/>
                <w:sz w:val="21"/>
              </w:rPr>
            </w:pPr>
          </w:p>
        </w:tc>
        <w:tc>
          <w:tcPr>
            <w:tcW w:w="925" w:type="dxa"/>
            <w:vAlign w:val="top"/>
          </w:tcPr>
          <w:p>
            <w:pPr>
              <w:spacing w:before="74" w:line="229" w:lineRule="auto"/>
              <w:ind w:left="105"/>
              <w:rPr>
                <w:rFonts w:ascii="宋体" w:hAnsi="宋体" w:eastAsia="宋体" w:cs="宋体"/>
                <w:sz w:val="17"/>
                <w:szCs w:val="17"/>
              </w:rPr>
            </w:pPr>
            <w:r>
              <w:rPr>
                <w:rFonts w:ascii="宋体" w:hAnsi="宋体" w:eastAsia="宋体" w:cs="宋体"/>
                <w:spacing w:val="9"/>
                <w:sz w:val="17"/>
                <w:szCs w:val="17"/>
              </w:rPr>
              <w:t>亮</w:t>
            </w:r>
            <w:r>
              <w:rPr>
                <w:rFonts w:ascii="宋体" w:hAnsi="宋体" w:eastAsia="宋体" w:cs="宋体"/>
                <w:spacing w:val="7"/>
                <w:sz w:val="17"/>
                <w:szCs w:val="17"/>
              </w:rPr>
              <w:t>化工程</w:t>
            </w:r>
          </w:p>
        </w:tc>
        <w:tc>
          <w:tcPr>
            <w:tcW w:w="4750" w:type="dxa"/>
            <w:vAlign w:val="top"/>
          </w:tcPr>
          <w:p>
            <w:pPr>
              <w:spacing w:before="74" w:line="229" w:lineRule="auto"/>
              <w:ind w:left="23"/>
              <w:rPr>
                <w:rFonts w:ascii="宋体" w:hAnsi="宋体" w:eastAsia="宋体" w:cs="宋体"/>
                <w:sz w:val="17"/>
                <w:szCs w:val="17"/>
              </w:rPr>
            </w:pPr>
            <w:r>
              <w:rPr>
                <w:rFonts w:ascii="宋体" w:hAnsi="宋体" w:eastAsia="宋体" w:cs="宋体"/>
                <w:spacing w:val="18"/>
                <w:sz w:val="17"/>
                <w:szCs w:val="17"/>
              </w:rPr>
              <w:t>道</w:t>
            </w:r>
            <w:r>
              <w:rPr>
                <w:rFonts w:ascii="宋体" w:hAnsi="宋体" w:eastAsia="宋体" w:cs="宋体"/>
                <w:spacing w:val="12"/>
                <w:sz w:val="17"/>
                <w:szCs w:val="17"/>
              </w:rPr>
              <w:t>路</w:t>
            </w:r>
            <w:r>
              <w:rPr>
                <w:rFonts w:ascii="宋体" w:hAnsi="宋体" w:eastAsia="宋体" w:cs="宋体"/>
                <w:spacing w:val="9"/>
                <w:sz w:val="17"/>
                <w:szCs w:val="17"/>
              </w:rPr>
              <w:t>两侧设置路灯，路灯采用双侧对称布置</w:t>
            </w:r>
          </w:p>
        </w:tc>
        <w:tc>
          <w:tcPr>
            <w:tcW w:w="990" w:type="dxa"/>
            <w:vMerge w:val="continue"/>
            <w:tcBorders>
              <w:top w:val="nil"/>
            </w:tcBorders>
            <w:vAlign w:val="top"/>
          </w:tcPr>
          <w:p>
            <w:pPr>
              <w:rPr>
                <w:rFonts w:ascii="Arial"/>
                <w:sz w:val="21"/>
              </w:rPr>
            </w:pPr>
          </w:p>
        </w:tc>
        <w:tc>
          <w:tcPr>
            <w:tcW w:w="856" w:type="dxa"/>
            <w:vMerge w:val="continue"/>
            <w:tcBorders>
              <w:top w:val="nil"/>
            </w:tcBorders>
            <w:vAlign w:val="top"/>
          </w:tcPr>
          <w:p>
            <w:pPr>
              <w:rPr>
                <w:rFonts w:ascii="Arial"/>
                <w:sz w:val="21"/>
              </w:rPr>
            </w:pP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01" w:type="dxa"/>
            <w:vMerge w:val="continue"/>
            <w:tcBorders>
              <w:top w:val="nil"/>
              <w:left w:val="single" w:color="000000" w:sz="6" w:space="0"/>
              <w:bottom w:val="nil"/>
            </w:tcBorders>
            <w:vAlign w:val="top"/>
          </w:tcPr>
          <w:p>
            <w:pPr>
              <w:rPr>
                <w:rFonts w:ascii="Arial"/>
                <w:sz w:val="21"/>
              </w:rPr>
            </w:pPr>
          </w:p>
        </w:tc>
        <w:tc>
          <w:tcPr>
            <w:tcW w:w="141" w:type="dxa"/>
            <w:vMerge w:val="continue"/>
            <w:tcBorders>
              <w:top w:val="nil"/>
              <w:bottom w:val="nil"/>
            </w:tcBorders>
            <w:vAlign w:val="top"/>
          </w:tcPr>
          <w:p>
            <w:pPr>
              <w:rPr>
                <w:rFonts w:ascii="Arial"/>
                <w:sz w:val="21"/>
              </w:rPr>
            </w:pPr>
          </w:p>
        </w:tc>
        <w:tc>
          <w:tcPr>
            <w:tcW w:w="503" w:type="dxa"/>
            <w:vMerge w:val="restart"/>
            <w:tcBorders>
              <w:bottom w:val="nil"/>
            </w:tcBorders>
            <w:vAlign w:val="top"/>
          </w:tcPr>
          <w:p>
            <w:pPr>
              <w:spacing w:before="78" w:line="268" w:lineRule="auto"/>
              <w:ind w:left="72" w:right="74" w:firstLine="3"/>
              <w:rPr>
                <w:rFonts w:ascii="宋体" w:hAnsi="宋体" w:eastAsia="宋体" w:cs="宋体"/>
                <w:sz w:val="17"/>
                <w:szCs w:val="17"/>
              </w:rPr>
            </w:pPr>
            <w:r>
              <w:rPr>
                <w:rFonts w:ascii="宋体" w:hAnsi="宋体" w:eastAsia="宋体" w:cs="宋体"/>
                <w:spacing w:val="4"/>
                <w:sz w:val="17"/>
                <w:szCs w:val="17"/>
              </w:rPr>
              <w:t>公</w:t>
            </w:r>
            <w:r>
              <w:rPr>
                <w:rFonts w:ascii="宋体" w:hAnsi="宋体" w:eastAsia="宋体" w:cs="宋体"/>
                <w:spacing w:val="3"/>
                <w:sz w:val="17"/>
                <w:szCs w:val="17"/>
              </w:rPr>
              <w:t>用</w:t>
            </w:r>
            <w:r>
              <w:rPr>
                <w:rFonts w:ascii="宋体" w:hAnsi="宋体" w:eastAsia="宋体" w:cs="宋体"/>
                <w:sz w:val="17"/>
                <w:szCs w:val="17"/>
              </w:rPr>
              <w:t xml:space="preserve"> </w:t>
            </w:r>
            <w:r>
              <w:rPr>
                <w:rFonts w:ascii="宋体" w:hAnsi="宋体" w:eastAsia="宋体" w:cs="宋体"/>
                <w:spacing w:val="5"/>
                <w:sz w:val="17"/>
                <w:szCs w:val="17"/>
              </w:rPr>
              <w:t>工程</w:t>
            </w:r>
          </w:p>
        </w:tc>
        <w:tc>
          <w:tcPr>
            <w:tcW w:w="925" w:type="dxa"/>
            <w:vAlign w:val="top"/>
          </w:tcPr>
          <w:p>
            <w:pPr>
              <w:spacing w:before="74" w:line="229" w:lineRule="auto"/>
              <w:ind w:left="282"/>
              <w:rPr>
                <w:rFonts w:ascii="宋体" w:hAnsi="宋体" w:eastAsia="宋体" w:cs="宋体"/>
                <w:sz w:val="17"/>
                <w:szCs w:val="17"/>
              </w:rPr>
            </w:pPr>
            <w:r>
              <w:rPr>
                <w:rFonts w:ascii="宋体" w:hAnsi="宋体" w:eastAsia="宋体" w:cs="宋体"/>
                <w:spacing w:val="6"/>
                <w:sz w:val="17"/>
                <w:szCs w:val="17"/>
              </w:rPr>
              <w:t>供电</w:t>
            </w:r>
          </w:p>
        </w:tc>
        <w:tc>
          <w:tcPr>
            <w:tcW w:w="4750" w:type="dxa"/>
            <w:vAlign w:val="top"/>
          </w:tcPr>
          <w:p>
            <w:pPr>
              <w:spacing w:before="74" w:line="229" w:lineRule="auto"/>
              <w:ind w:left="23"/>
              <w:rPr>
                <w:rFonts w:ascii="宋体" w:hAnsi="宋体" w:eastAsia="宋体" w:cs="宋体"/>
                <w:sz w:val="17"/>
                <w:szCs w:val="17"/>
              </w:rPr>
            </w:pPr>
            <w:r>
              <w:rPr>
                <w:rFonts w:ascii="宋体" w:hAnsi="宋体" w:eastAsia="宋体" w:cs="宋体"/>
                <w:spacing w:val="17"/>
                <w:sz w:val="17"/>
                <w:szCs w:val="17"/>
              </w:rPr>
              <w:t>施</w:t>
            </w:r>
            <w:r>
              <w:rPr>
                <w:rFonts w:ascii="宋体" w:hAnsi="宋体" w:eastAsia="宋体" w:cs="宋体"/>
                <w:spacing w:val="9"/>
                <w:sz w:val="17"/>
                <w:szCs w:val="17"/>
              </w:rPr>
              <w:t>工期间用电从附近已有电网接入</w:t>
            </w:r>
          </w:p>
        </w:tc>
        <w:tc>
          <w:tcPr>
            <w:tcW w:w="990" w:type="dxa"/>
            <w:vAlign w:val="top"/>
          </w:tcPr>
          <w:p>
            <w:pPr>
              <w:spacing w:before="41" w:line="242" w:lineRule="exact"/>
              <w:ind w:left="473"/>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56" w:type="dxa"/>
            <w:vAlign w:val="top"/>
          </w:tcPr>
          <w:p>
            <w:pPr>
              <w:spacing w:before="41" w:line="242" w:lineRule="exact"/>
              <w:ind w:left="407"/>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01" w:type="dxa"/>
            <w:vMerge w:val="continue"/>
            <w:tcBorders>
              <w:top w:val="nil"/>
              <w:left w:val="single" w:color="000000" w:sz="6" w:space="0"/>
              <w:bottom w:val="nil"/>
            </w:tcBorders>
            <w:vAlign w:val="top"/>
          </w:tcPr>
          <w:p>
            <w:pPr>
              <w:rPr>
                <w:rFonts w:ascii="Arial"/>
                <w:sz w:val="21"/>
              </w:rPr>
            </w:pPr>
          </w:p>
        </w:tc>
        <w:tc>
          <w:tcPr>
            <w:tcW w:w="141" w:type="dxa"/>
            <w:vMerge w:val="continue"/>
            <w:tcBorders>
              <w:top w:val="nil"/>
              <w:bottom w:val="nil"/>
            </w:tcBorders>
            <w:vAlign w:val="top"/>
          </w:tcPr>
          <w:p>
            <w:pPr>
              <w:rPr>
                <w:rFonts w:ascii="Arial"/>
                <w:sz w:val="21"/>
              </w:rPr>
            </w:pPr>
          </w:p>
        </w:tc>
        <w:tc>
          <w:tcPr>
            <w:tcW w:w="503" w:type="dxa"/>
            <w:vMerge w:val="continue"/>
            <w:tcBorders>
              <w:top w:val="nil"/>
            </w:tcBorders>
            <w:vAlign w:val="top"/>
          </w:tcPr>
          <w:p>
            <w:pPr>
              <w:rPr>
                <w:rFonts w:ascii="Arial"/>
                <w:sz w:val="21"/>
              </w:rPr>
            </w:pPr>
          </w:p>
        </w:tc>
        <w:tc>
          <w:tcPr>
            <w:tcW w:w="925" w:type="dxa"/>
            <w:vAlign w:val="top"/>
          </w:tcPr>
          <w:p>
            <w:pPr>
              <w:spacing w:before="74" w:line="229" w:lineRule="auto"/>
              <w:ind w:left="282"/>
              <w:rPr>
                <w:rFonts w:ascii="宋体" w:hAnsi="宋体" w:eastAsia="宋体" w:cs="宋体"/>
                <w:sz w:val="17"/>
                <w:szCs w:val="17"/>
              </w:rPr>
            </w:pPr>
            <w:r>
              <w:rPr>
                <w:rFonts w:ascii="宋体" w:hAnsi="宋体" w:eastAsia="宋体" w:cs="宋体"/>
                <w:spacing w:val="6"/>
                <w:sz w:val="17"/>
                <w:szCs w:val="17"/>
              </w:rPr>
              <w:t>供水</w:t>
            </w:r>
          </w:p>
        </w:tc>
        <w:tc>
          <w:tcPr>
            <w:tcW w:w="4750" w:type="dxa"/>
            <w:vAlign w:val="top"/>
          </w:tcPr>
          <w:p>
            <w:pPr>
              <w:spacing w:before="74" w:line="229" w:lineRule="auto"/>
              <w:ind w:left="23"/>
              <w:rPr>
                <w:rFonts w:ascii="宋体" w:hAnsi="宋体" w:eastAsia="宋体" w:cs="宋体"/>
                <w:sz w:val="17"/>
                <w:szCs w:val="17"/>
              </w:rPr>
            </w:pPr>
            <w:r>
              <w:rPr>
                <w:rFonts w:ascii="宋体" w:hAnsi="宋体" w:eastAsia="宋体" w:cs="宋体"/>
                <w:spacing w:val="18"/>
                <w:sz w:val="17"/>
                <w:szCs w:val="17"/>
              </w:rPr>
              <w:t>施</w:t>
            </w:r>
            <w:r>
              <w:rPr>
                <w:rFonts w:ascii="宋体" w:hAnsi="宋体" w:eastAsia="宋体" w:cs="宋体"/>
                <w:spacing w:val="17"/>
                <w:sz w:val="17"/>
                <w:szCs w:val="17"/>
              </w:rPr>
              <w:t>工</w:t>
            </w:r>
            <w:r>
              <w:rPr>
                <w:rFonts w:ascii="宋体" w:hAnsi="宋体" w:eastAsia="宋体" w:cs="宋体"/>
                <w:spacing w:val="9"/>
                <w:sz w:val="17"/>
                <w:szCs w:val="17"/>
              </w:rPr>
              <w:t>用水来自附近市政供水管道，生活用水来自自来水</w:t>
            </w:r>
          </w:p>
        </w:tc>
        <w:tc>
          <w:tcPr>
            <w:tcW w:w="990" w:type="dxa"/>
            <w:vAlign w:val="top"/>
          </w:tcPr>
          <w:p>
            <w:pPr>
              <w:spacing w:before="39" w:line="242" w:lineRule="exact"/>
              <w:ind w:left="473"/>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56" w:type="dxa"/>
            <w:vAlign w:val="top"/>
          </w:tcPr>
          <w:p>
            <w:pPr>
              <w:spacing w:before="39" w:line="242" w:lineRule="exact"/>
              <w:ind w:left="407"/>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601" w:type="dxa"/>
            <w:vMerge w:val="continue"/>
            <w:tcBorders>
              <w:top w:val="nil"/>
              <w:left w:val="single" w:color="000000" w:sz="6" w:space="0"/>
              <w:bottom w:val="nil"/>
            </w:tcBorders>
            <w:vAlign w:val="top"/>
          </w:tcPr>
          <w:p>
            <w:pPr>
              <w:rPr>
                <w:rFonts w:ascii="Arial"/>
                <w:sz w:val="21"/>
              </w:rPr>
            </w:pPr>
          </w:p>
        </w:tc>
        <w:tc>
          <w:tcPr>
            <w:tcW w:w="141" w:type="dxa"/>
            <w:vMerge w:val="continue"/>
            <w:tcBorders>
              <w:top w:val="nil"/>
              <w:bottom w:val="nil"/>
            </w:tcBorders>
            <w:vAlign w:val="top"/>
          </w:tcPr>
          <w:p>
            <w:pPr>
              <w:rPr>
                <w:rFonts w:ascii="Arial"/>
                <w:sz w:val="21"/>
              </w:rPr>
            </w:pPr>
          </w:p>
        </w:tc>
        <w:tc>
          <w:tcPr>
            <w:tcW w:w="503"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55" w:line="317" w:lineRule="auto"/>
              <w:ind w:left="72" w:right="74" w:firstLine="7"/>
              <w:rPr>
                <w:rFonts w:ascii="宋体" w:hAnsi="宋体" w:eastAsia="宋体" w:cs="宋体"/>
                <w:sz w:val="17"/>
                <w:szCs w:val="17"/>
              </w:rPr>
            </w:pPr>
            <w:r>
              <w:rPr>
                <w:rFonts w:ascii="宋体" w:hAnsi="宋体" w:eastAsia="宋体" w:cs="宋体"/>
                <w:spacing w:val="2"/>
                <w:sz w:val="17"/>
                <w:szCs w:val="17"/>
              </w:rPr>
              <w:t>临</w:t>
            </w:r>
            <w:r>
              <w:rPr>
                <w:rFonts w:ascii="宋体" w:hAnsi="宋体" w:eastAsia="宋体" w:cs="宋体"/>
                <w:spacing w:val="1"/>
                <w:sz w:val="17"/>
                <w:szCs w:val="17"/>
              </w:rPr>
              <w:t>时</w:t>
            </w:r>
            <w:r>
              <w:rPr>
                <w:rFonts w:ascii="宋体" w:hAnsi="宋体" w:eastAsia="宋体" w:cs="宋体"/>
                <w:sz w:val="17"/>
                <w:szCs w:val="17"/>
              </w:rPr>
              <w:t xml:space="preserve"> </w:t>
            </w:r>
            <w:r>
              <w:rPr>
                <w:rFonts w:ascii="宋体" w:hAnsi="宋体" w:eastAsia="宋体" w:cs="宋体"/>
                <w:spacing w:val="5"/>
                <w:sz w:val="17"/>
                <w:szCs w:val="17"/>
              </w:rPr>
              <w:t>工程</w:t>
            </w:r>
          </w:p>
        </w:tc>
        <w:tc>
          <w:tcPr>
            <w:tcW w:w="925" w:type="dxa"/>
            <w:vAlign w:val="top"/>
          </w:tcPr>
          <w:p>
            <w:pPr>
              <w:spacing w:line="296" w:lineRule="auto"/>
              <w:rPr>
                <w:rFonts w:ascii="Arial"/>
                <w:sz w:val="21"/>
              </w:rPr>
            </w:pPr>
          </w:p>
          <w:p>
            <w:pPr>
              <w:spacing w:before="55" w:line="281" w:lineRule="exact"/>
              <w:ind w:left="281"/>
              <w:rPr>
                <w:rFonts w:ascii="宋体" w:hAnsi="宋体" w:eastAsia="宋体" w:cs="宋体"/>
                <w:sz w:val="17"/>
                <w:szCs w:val="17"/>
              </w:rPr>
            </w:pPr>
            <w:r>
              <w:rPr>
                <w:rFonts w:ascii="宋体" w:hAnsi="宋体" w:eastAsia="宋体" w:cs="宋体"/>
                <w:spacing w:val="7"/>
                <w:position w:val="7"/>
                <w:sz w:val="17"/>
                <w:szCs w:val="17"/>
              </w:rPr>
              <w:t>施</w:t>
            </w:r>
            <w:r>
              <w:rPr>
                <w:rFonts w:ascii="宋体" w:hAnsi="宋体" w:eastAsia="宋体" w:cs="宋体"/>
                <w:spacing w:val="6"/>
                <w:position w:val="7"/>
                <w:sz w:val="17"/>
                <w:szCs w:val="17"/>
              </w:rPr>
              <w:t>工</w:t>
            </w:r>
          </w:p>
          <w:p>
            <w:pPr>
              <w:spacing w:line="230" w:lineRule="auto"/>
              <w:ind w:left="281"/>
              <w:rPr>
                <w:rFonts w:ascii="宋体" w:hAnsi="宋体" w:eastAsia="宋体" w:cs="宋体"/>
                <w:sz w:val="17"/>
                <w:szCs w:val="17"/>
              </w:rPr>
            </w:pPr>
            <w:r>
              <w:rPr>
                <w:rFonts w:ascii="宋体" w:hAnsi="宋体" w:eastAsia="宋体" w:cs="宋体"/>
                <w:spacing w:val="7"/>
                <w:sz w:val="17"/>
                <w:szCs w:val="17"/>
              </w:rPr>
              <w:t>场</w:t>
            </w:r>
            <w:r>
              <w:rPr>
                <w:rFonts w:ascii="宋体" w:hAnsi="宋体" w:eastAsia="宋体" w:cs="宋体"/>
                <w:spacing w:val="6"/>
                <w:sz w:val="17"/>
                <w:szCs w:val="17"/>
              </w:rPr>
              <w:t>地</w:t>
            </w:r>
          </w:p>
        </w:tc>
        <w:tc>
          <w:tcPr>
            <w:tcW w:w="4750" w:type="dxa"/>
            <w:vAlign w:val="top"/>
          </w:tcPr>
          <w:p>
            <w:pPr>
              <w:spacing w:before="74" w:line="285" w:lineRule="auto"/>
              <w:ind w:left="22" w:right="4" w:hanging="1"/>
              <w:rPr>
                <w:rFonts w:ascii="宋体" w:hAnsi="宋体" w:eastAsia="宋体" w:cs="宋体"/>
                <w:sz w:val="17"/>
                <w:szCs w:val="17"/>
              </w:rPr>
            </w:pPr>
            <w:r>
              <w:rPr>
                <w:rFonts w:ascii="Times New Roman" w:hAnsi="Times New Roman" w:eastAsia="Times New Roman" w:cs="Times New Roman"/>
                <w:spacing w:val="-4"/>
                <w:sz w:val="17"/>
                <w:szCs w:val="17"/>
              </w:rPr>
              <w:t xml:space="preserve">2 </w:t>
            </w:r>
            <w:r>
              <w:rPr>
                <w:rFonts w:ascii="宋体" w:hAnsi="宋体" w:eastAsia="宋体" w:cs="宋体"/>
                <w:spacing w:val="-4"/>
                <w:sz w:val="17"/>
                <w:szCs w:val="17"/>
              </w:rPr>
              <w:t>个，拟建桥梁东</w:t>
            </w:r>
            <w:r>
              <w:rPr>
                <w:rFonts w:ascii="宋体" w:hAnsi="宋体" w:eastAsia="宋体" w:cs="宋体"/>
                <w:spacing w:val="-2"/>
                <w:sz w:val="17"/>
                <w:szCs w:val="17"/>
              </w:rPr>
              <w:t xml:space="preserve">、西端空地各建 </w:t>
            </w:r>
            <w:r>
              <w:rPr>
                <w:rFonts w:ascii="Times New Roman" w:hAnsi="Times New Roman" w:eastAsia="Times New Roman" w:cs="Times New Roman"/>
                <w:spacing w:val="-2"/>
                <w:sz w:val="17"/>
                <w:szCs w:val="17"/>
              </w:rPr>
              <w:t xml:space="preserve">1 </w:t>
            </w:r>
            <w:r>
              <w:rPr>
                <w:rFonts w:ascii="宋体" w:hAnsi="宋体" w:eastAsia="宋体" w:cs="宋体"/>
                <w:spacing w:val="-2"/>
                <w:sz w:val="17"/>
                <w:szCs w:val="17"/>
              </w:rPr>
              <w:t xml:space="preserve">个，面积约 </w:t>
            </w:r>
            <w:r>
              <w:rPr>
                <w:rFonts w:ascii="Times New Roman" w:hAnsi="Times New Roman" w:eastAsia="Times New Roman" w:cs="Times New Roman"/>
                <w:spacing w:val="-2"/>
                <w:sz w:val="17"/>
                <w:szCs w:val="17"/>
              </w:rPr>
              <w:t>1500m</w:t>
            </w:r>
            <w:r>
              <w:rPr>
                <w:rFonts w:ascii="宋体" w:hAnsi="宋体" w:eastAsia="宋体" w:cs="宋体"/>
                <w:spacing w:val="-2"/>
                <w:sz w:val="17"/>
                <w:szCs w:val="17"/>
              </w:rPr>
              <w:t>² ，主要</w:t>
            </w:r>
            <w:r>
              <w:rPr>
                <w:rFonts w:ascii="宋体" w:hAnsi="宋体" w:eastAsia="宋体" w:cs="宋体"/>
                <w:sz w:val="17"/>
                <w:szCs w:val="17"/>
              </w:rPr>
              <w:t xml:space="preserve"> </w:t>
            </w:r>
            <w:r>
              <w:rPr>
                <w:rFonts w:ascii="宋体" w:hAnsi="宋体" w:eastAsia="宋体" w:cs="宋体"/>
                <w:spacing w:val="-3"/>
                <w:sz w:val="17"/>
                <w:szCs w:val="17"/>
              </w:rPr>
              <w:t>为</w:t>
            </w:r>
            <w:r>
              <w:rPr>
                <w:rFonts w:ascii="宋体" w:hAnsi="宋体" w:eastAsia="宋体" w:cs="宋体"/>
                <w:spacing w:val="-2"/>
                <w:sz w:val="17"/>
                <w:szCs w:val="17"/>
              </w:rPr>
              <w:t>材料临时堆放、设备停放、钢筋加工等用地，在进出大门口设</w:t>
            </w:r>
            <w:r>
              <w:rPr>
                <w:rFonts w:ascii="宋体" w:hAnsi="宋体" w:eastAsia="宋体" w:cs="宋体"/>
                <w:sz w:val="17"/>
                <w:szCs w:val="17"/>
              </w:rPr>
              <w:t xml:space="preserve"> </w:t>
            </w:r>
            <w:r>
              <w:rPr>
                <w:rFonts w:ascii="宋体" w:hAnsi="宋体" w:eastAsia="宋体" w:cs="宋体"/>
                <w:spacing w:val="2"/>
                <w:sz w:val="17"/>
                <w:szCs w:val="17"/>
              </w:rPr>
              <w:t xml:space="preserve">置车辆冲洗台 </w:t>
            </w:r>
            <w:r>
              <w:rPr>
                <w:rFonts w:ascii="Times New Roman" w:hAnsi="Times New Roman" w:eastAsia="Times New Roman" w:cs="Times New Roman"/>
                <w:spacing w:val="2"/>
                <w:sz w:val="17"/>
                <w:szCs w:val="17"/>
              </w:rPr>
              <w:t xml:space="preserve">1 </w:t>
            </w:r>
            <w:r>
              <w:rPr>
                <w:rFonts w:ascii="宋体" w:hAnsi="宋体" w:eastAsia="宋体" w:cs="宋体"/>
                <w:spacing w:val="1"/>
                <w:sz w:val="17"/>
                <w:szCs w:val="17"/>
              </w:rPr>
              <w:t xml:space="preserve">个，场地各设置移动式公厕 </w:t>
            </w:r>
            <w:r>
              <w:rPr>
                <w:rFonts w:ascii="Times New Roman" w:hAnsi="Times New Roman" w:eastAsia="Times New Roman" w:cs="Times New Roman"/>
                <w:spacing w:val="1"/>
                <w:sz w:val="17"/>
                <w:szCs w:val="17"/>
              </w:rPr>
              <w:t xml:space="preserve">1 </w:t>
            </w:r>
            <w:r>
              <w:rPr>
                <w:rFonts w:ascii="宋体" w:hAnsi="宋体" w:eastAsia="宋体" w:cs="宋体"/>
                <w:spacing w:val="1"/>
                <w:sz w:val="17"/>
                <w:szCs w:val="17"/>
              </w:rPr>
              <w:t>个；不设置预制</w:t>
            </w:r>
            <w:r>
              <w:rPr>
                <w:rFonts w:ascii="宋体" w:hAnsi="宋体" w:eastAsia="宋体" w:cs="宋体"/>
                <w:sz w:val="17"/>
                <w:szCs w:val="17"/>
              </w:rPr>
              <w:t xml:space="preserve"> </w:t>
            </w:r>
            <w:r>
              <w:rPr>
                <w:rFonts w:ascii="宋体" w:hAnsi="宋体" w:eastAsia="宋体" w:cs="宋体"/>
                <w:spacing w:val="-2"/>
                <w:sz w:val="17"/>
                <w:szCs w:val="17"/>
              </w:rPr>
              <w:t>场地、</w:t>
            </w:r>
            <w:r>
              <w:rPr>
                <w:rFonts w:ascii="宋体" w:hAnsi="宋体" w:eastAsia="宋体" w:cs="宋体"/>
                <w:spacing w:val="-1"/>
                <w:sz w:val="17"/>
                <w:szCs w:val="17"/>
              </w:rPr>
              <w:t>搅拌站、拌和站等</w:t>
            </w:r>
          </w:p>
        </w:tc>
        <w:tc>
          <w:tcPr>
            <w:tcW w:w="990" w:type="dxa"/>
            <w:vAlign w:val="top"/>
          </w:tcPr>
          <w:p>
            <w:pPr>
              <w:spacing w:line="296" w:lineRule="auto"/>
              <w:rPr>
                <w:rFonts w:ascii="Arial"/>
                <w:sz w:val="21"/>
              </w:rPr>
            </w:pPr>
          </w:p>
          <w:p>
            <w:pPr>
              <w:spacing w:before="55" w:line="317" w:lineRule="auto"/>
              <w:ind w:left="81" w:hanging="42"/>
              <w:rPr>
                <w:rFonts w:ascii="宋体" w:hAnsi="宋体" w:eastAsia="宋体" w:cs="宋体"/>
                <w:sz w:val="17"/>
                <w:szCs w:val="17"/>
              </w:rPr>
            </w:pPr>
            <w:r>
              <w:rPr>
                <w:rFonts w:ascii="宋体" w:hAnsi="宋体" w:eastAsia="宋体" w:cs="宋体"/>
                <w:spacing w:val="-15"/>
                <w:sz w:val="17"/>
                <w:szCs w:val="17"/>
              </w:rPr>
              <w:t>噪</w:t>
            </w:r>
            <w:r>
              <w:rPr>
                <w:rFonts w:ascii="宋体" w:hAnsi="宋体" w:eastAsia="宋体" w:cs="宋体"/>
                <w:spacing w:val="-12"/>
                <w:sz w:val="17"/>
                <w:szCs w:val="17"/>
              </w:rPr>
              <w:t>声、固废、</w:t>
            </w:r>
            <w:r>
              <w:rPr>
                <w:rFonts w:ascii="宋体" w:hAnsi="宋体" w:eastAsia="宋体" w:cs="宋体"/>
                <w:sz w:val="17"/>
                <w:szCs w:val="17"/>
              </w:rPr>
              <w:t xml:space="preserve"> </w:t>
            </w:r>
            <w:r>
              <w:rPr>
                <w:rFonts w:ascii="宋体" w:hAnsi="宋体" w:eastAsia="宋体" w:cs="宋体"/>
                <w:spacing w:val="-7"/>
                <w:sz w:val="17"/>
                <w:szCs w:val="17"/>
              </w:rPr>
              <w:t>废</w:t>
            </w:r>
            <w:r>
              <w:rPr>
                <w:rFonts w:ascii="宋体" w:hAnsi="宋体" w:eastAsia="宋体" w:cs="宋体"/>
                <w:spacing w:val="-4"/>
                <w:sz w:val="17"/>
                <w:szCs w:val="17"/>
              </w:rPr>
              <w:t>水、废气</w:t>
            </w:r>
          </w:p>
        </w:tc>
        <w:tc>
          <w:tcPr>
            <w:tcW w:w="856"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49" w:line="242" w:lineRule="exact"/>
              <w:ind w:left="40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601" w:type="dxa"/>
            <w:vMerge w:val="continue"/>
            <w:tcBorders>
              <w:top w:val="nil"/>
              <w:left w:val="single" w:color="000000" w:sz="6" w:space="0"/>
              <w:bottom w:val="nil"/>
            </w:tcBorders>
            <w:vAlign w:val="top"/>
          </w:tcPr>
          <w:p>
            <w:pPr>
              <w:rPr>
                <w:rFonts w:ascii="Arial"/>
                <w:sz w:val="21"/>
              </w:rPr>
            </w:pPr>
          </w:p>
        </w:tc>
        <w:tc>
          <w:tcPr>
            <w:tcW w:w="141" w:type="dxa"/>
            <w:vMerge w:val="continue"/>
            <w:tcBorders>
              <w:top w:val="nil"/>
              <w:bottom w:val="nil"/>
            </w:tcBorders>
            <w:vAlign w:val="top"/>
          </w:tcPr>
          <w:p>
            <w:pPr>
              <w:rPr>
                <w:rFonts w:ascii="Arial"/>
                <w:sz w:val="21"/>
              </w:rPr>
            </w:pPr>
          </w:p>
        </w:tc>
        <w:tc>
          <w:tcPr>
            <w:tcW w:w="503" w:type="dxa"/>
            <w:vMerge w:val="continue"/>
            <w:tcBorders>
              <w:top w:val="nil"/>
              <w:bottom w:val="nil"/>
            </w:tcBorders>
            <w:vAlign w:val="top"/>
          </w:tcPr>
          <w:p>
            <w:pPr>
              <w:rPr>
                <w:rFonts w:ascii="Arial"/>
                <w:sz w:val="21"/>
              </w:rPr>
            </w:pPr>
          </w:p>
        </w:tc>
        <w:tc>
          <w:tcPr>
            <w:tcW w:w="925" w:type="dxa"/>
            <w:vAlign w:val="top"/>
          </w:tcPr>
          <w:p>
            <w:pPr>
              <w:spacing w:before="215" w:line="281" w:lineRule="exact"/>
              <w:ind w:left="281"/>
              <w:rPr>
                <w:rFonts w:ascii="宋体" w:hAnsi="宋体" w:eastAsia="宋体" w:cs="宋体"/>
                <w:sz w:val="17"/>
                <w:szCs w:val="17"/>
              </w:rPr>
            </w:pPr>
            <w:r>
              <w:rPr>
                <w:rFonts w:ascii="宋体" w:hAnsi="宋体" w:eastAsia="宋体" w:cs="宋体"/>
                <w:spacing w:val="7"/>
                <w:position w:val="7"/>
                <w:sz w:val="17"/>
                <w:szCs w:val="17"/>
              </w:rPr>
              <w:t>施</w:t>
            </w:r>
            <w:r>
              <w:rPr>
                <w:rFonts w:ascii="宋体" w:hAnsi="宋体" w:eastAsia="宋体" w:cs="宋体"/>
                <w:spacing w:val="6"/>
                <w:position w:val="7"/>
                <w:sz w:val="17"/>
                <w:szCs w:val="17"/>
              </w:rPr>
              <w:t>工</w:t>
            </w:r>
          </w:p>
          <w:p>
            <w:pPr>
              <w:spacing w:line="230" w:lineRule="auto"/>
              <w:ind w:left="288"/>
              <w:rPr>
                <w:rFonts w:ascii="宋体" w:hAnsi="宋体" w:eastAsia="宋体" w:cs="宋体"/>
                <w:sz w:val="17"/>
                <w:szCs w:val="17"/>
              </w:rPr>
            </w:pPr>
            <w:r>
              <w:rPr>
                <w:rFonts w:ascii="宋体" w:hAnsi="宋体" w:eastAsia="宋体" w:cs="宋体"/>
                <w:spacing w:val="4"/>
                <w:sz w:val="17"/>
                <w:szCs w:val="17"/>
              </w:rPr>
              <w:t>营</w:t>
            </w:r>
            <w:r>
              <w:rPr>
                <w:rFonts w:ascii="宋体" w:hAnsi="宋体" w:eastAsia="宋体" w:cs="宋体"/>
                <w:spacing w:val="3"/>
                <w:sz w:val="17"/>
                <w:szCs w:val="17"/>
              </w:rPr>
              <w:t>地</w:t>
            </w:r>
          </w:p>
        </w:tc>
        <w:tc>
          <w:tcPr>
            <w:tcW w:w="4750" w:type="dxa"/>
            <w:vAlign w:val="top"/>
          </w:tcPr>
          <w:p>
            <w:pPr>
              <w:spacing w:before="77" w:line="278" w:lineRule="auto"/>
              <w:ind w:left="25" w:right="18" w:firstLine="13"/>
              <w:rPr>
                <w:rFonts w:ascii="宋体" w:hAnsi="宋体" w:eastAsia="宋体" w:cs="宋体"/>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 xml:space="preserve"> </w:t>
            </w:r>
            <w:r>
              <w:rPr>
                <w:rFonts w:ascii="宋体" w:hAnsi="宋体" w:eastAsia="宋体" w:cs="宋体"/>
                <w:spacing w:val="-1"/>
                <w:sz w:val="17"/>
                <w:szCs w:val="17"/>
              </w:rPr>
              <w:t xml:space="preserve">个，拟建桥梁 </w:t>
            </w:r>
            <w:r>
              <w:rPr>
                <w:rFonts w:ascii="Times New Roman" w:hAnsi="Times New Roman" w:eastAsia="Times New Roman" w:cs="Times New Roman"/>
                <w:spacing w:val="-1"/>
                <w:sz w:val="17"/>
                <w:szCs w:val="17"/>
              </w:rPr>
              <w:t xml:space="preserve">1 </w:t>
            </w:r>
            <w:r>
              <w:rPr>
                <w:rFonts w:ascii="宋体" w:hAnsi="宋体" w:eastAsia="宋体" w:cs="宋体"/>
                <w:spacing w:val="-1"/>
                <w:sz w:val="17"/>
                <w:szCs w:val="17"/>
              </w:rPr>
              <w:t xml:space="preserve">东端空地，面积约 </w:t>
            </w:r>
            <w:r>
              <w:rPr>
                <w:rFonts w:ascii="Times New Roman" w:hAnsi="Times New Roman" w:eastAsia="Times New Roman" w:cs="Times New Roman"/>
                <w:spacing w:val="-1"/>
                <w:sz w:val="17"/>
                <w:szCs w:val="17"/>
              </w:rPr>
              <w:t>500m</w:t>
            </w:r>
            <w:r>
              <w:rPr>
                <w:rFonts w:ascii="宋体" w:hAnsi="宋体" w:eastAsia="宋体" w:cs="宋体"/>
                <w:spacing w:val="-1"/>
                <w:sz w:val="17"/>
                <w:szCs w:val="17"/>
              </w:rPr>
              <w:t>² ，营地内搭建成套</w:t>
            </w:r>
            <w:r>
              <w:rPr>
                <w:rFonts w:ascii="宋体" w:hAnsi="宋体" w:eastAsia="宋体" w:cs="宋体"/>
                <w:sz w:val="17"/>
                <w:szCs w:val="17"/>
              </w:rPr>
              <w:t xml:space="preserve"> </w:t>
            </w:r>
            <w:r>
              <w:rPr>
                <w:rFonts w:ascii="宋体" w:hAnsi="宋体" w:eastAsia="宋体" w:cs="宋体"/>
                <w:spacing w:val="16"/>
                <w:sz w:val="17"/>
                <w:szCs w:val="17"/>
              </w:rPr>
              <w:t>板</w:t>
            </w:r>
            <w:r>
              <w:rPr>
                <w:rFonts w:ascii="宋体" w:hAnsi="宋体" w:eastAsia="宋体" w:cs="宋体"/>
                <w:spacing w:val="14"/>
                <w:sz w:val="17"/>
                <w:szCs w:val="17"/>
              </w:rPr>
              <w:t>房</w:t>
            </w:r>
            <w:r>
              <w:rPr>
                <w:rFonts w:ascii="宋体" w:hAnsi="宋体" w:eastAsia="宋体" w:cs="宋体"/>
                <w:spacing w:val="8"/>
                <w:sz w:val="17"/>
                <w:szCs w:val="17"/>
              </w:rPr>
              <w:t xml:space="preserve">，设置为办公室和值班室，配套设置移动式公厕 </w:t>
            </w:r>
            <w:r>
              <w:rPr>
                <w:rFonts w:ascii="Times New Roman" w:hAnsi="Times New Roman" w:eastAsia="Times New Roman" w:cs="Times New Roman"/>
                <w:spacing w:val="8"/>
                <w:sz w:val="17"/>
                <w:szCs w:val="17"/>
              </w:rPr>
              <w:t xml:space="preserve">1 </w:t>
            </w:r>
            <w:r>
              <w:rPr>
                <w:rFonts w:ascii="宋体" w:hAnsi="宋体" w:eastAsia="宋体" w:cs="宋体"/>
                <w:spacing w:val="8"/>
                <w:sz w:val="17"/>
                <w:szCs w:val="17"/>
              </w:rPr>
              <w:t>个，</w:t>
            </w:r>
            <w:r>
              <w:rPr>
                <w:rFonts w:ascii="宋体" w:hAnsi="宋体" w:eastAsia="宋体" w:cs="宋体"/>
                <w:sz w:val="17"/>
                <w:szCs w:val="17"/>
              </w:rPr>
              <w:t xml:space="preserve"> </w:t>
            </w:r>
            <w:r>
              <w:rPr>
                <w:rFonts w:ascii="宋体" w:hAnsi="宋体" w:eastAsia="宋体" w:cs="宋体"/>
                <w:spacing w:val="15"/>
                <w:sz w:val="17"/>
                <w:szCs w:val="17"/>
              </w:rPr>
              <w:t>收</w:t>
            </w:r>
            <w:r>
              <w:rPr>
                <w:rFonts w:ascii="宋体" w:hAnsi="宋体" w:eastAsia="宋体" w:cs="宋体"/>
                <w:spacing w:val="9"/>
                <w:sz w:val="17"/>
                <w:szCs w:val="17"/>
              </w:rPr>
              <w:t>集施工、值班人员的生活污水</w:t>
            </w:r>
          </w:p>
        </w:tc>
        <w:tc>
          <w:tcPr>
            <w:tcW w:w="990" w:type="dxa"/>
            <w:vAlign w:val="top"/>
          </w:tcPr>
          <w:p>
            <w:pPr>
              <w:spacing w:line="297" w:lineRule="auto"/>
              <w:rPr>
                <w:rFonts w:ascii="Arial"/>
                <w:sz w:val="21"/>
              </w:rPr>
            </w:pPr>
          </w:p>
          <w:p>
            <w:pPr>
              <w:spacing w:before="55" w:line="231" w:lineRule="auto"/>
              <w:ind w:left="99"/>
              <w:rPr>
                <w:rFonts w:ascii="宋体" w:hAnsi="宋体" w:eastAsia="宋体" w:cs="宋体"/>
                <w:sz w:val="17"/>
                <w:szCs w:val="17"/>
              </w:rPr>
            </w:pPr>
            <w:r>
              <w:rPr>
                <w:rFonts w:ascii="宋体" w:hAnsi="宋体" w:eastAsia="宋体" w:cs="宋体"/>
                <w:spacing w:val="-6"/>
                <w:sz w:val="17"/>
                <w:szCs w:val="17"/>
              </w:rPr>
              <w:t>固</w:t>
            </w:r>
            <w:r>
              <w:rPr>
                <w:rFonts w:ascii="宋体" w:hAnsi="宋体" w:eastAsia="宋体" w:cs="宋体"/>
                <w:spacing w:val="-4"/>
                <w:sz w:val="17"/>
                <w:szCs w:val="17"/>
              </w:rPr>
              <w:t>废</w:t>
            </w:r>
            <w:r>
              <w:rPr>
                <w:rFonts w:ascii="宋体" w:hAnsi="宋体" w:eastAsia="宋体" w:cs="宋体"/>
                <w:spacing w:val="-3"/>
                <w:sz w:val="17"/>
                <w:szCs w:val="17"/>
              </w:rPr>
              <w:t>、废水</w:t>
            </w:r>
          </w:p>
        </w:tc>
        <w:tc>
          <w:tcPr>
            <w:tcW w:w="856" w:type="dxa"/>
            <w:vMerge w:val="continue"/>
            <w:tcBorders>
              <w:top w:val="nil"/>
              <w:bottom w:val="nil"/>
            </w:tcBorders>
            <w:vAlign w:val="top"/>
          </w:tcPr>
          <w:p>
            <w:pPr>
              <w:rPr>
                <w:rFonts w:ascii="Arial"/>
                <w:sz w:val="21"/>
              </w:rPr>
            </w:pP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45" w:hRule="atLeast"/>
        </w:trPr>
        <w:tc>
          <w:tcPr>
            <w:tcW w:w="601" w:type="dxa"/>
            <w:vMerge w:val="continue"/>
            <w:tcBorders>
              <w:top w:val="nil"/>
              <w:left w:val="single" w:color="000000" w:sz="6" w:space="0"/>
              <w:bottom w:val="nil"/>
            </w:tcBorders>
            <w:vAlign w:val="top"/>
          </w:tcPr>
          <w:p>
            <w:pPr>
              <w:rPr>
                <w:rFonts w:ascii="Arial"/>
                <w:sz w:val="21"/>
              </w:rPr>
            </w:pPr>
          </w:p>
        </w:tc>
        <w:tc>
          <w:tcPr>
            <w:tcW w:w="141" w:type="dxa"/>
            <w:vMerge w:val="continue"/>
            <w:tcBorders>
              <w:top w:val="nil"/>
              <w:bottom w:val="nil"/>
            </w:tcBorders>
            <w:vAlign w:val="top"/>
          </w:tcPr>
          <w:p>
            <w:pPr>
              <w:rPr>
                <w:rFonts w:ascii="Arial"/>
                <w:sz w:val="21"/>
              </w:rPr>
            </w:pPr>
          </w:p>
        </w:tc>
        <w:tc>
          <w:tcPr>
            <w:tcW w:w="503" w:type="dxa"/>
            <w:vMerge w:val="continue"/>
            <w:tcBorders>
              <w:top w:val="nil"/>
              <w:bottom w:val="nil"/>
            </w:tcBorders>
            <w:vAlign w:val="top"/>
          </w:tcPr>
          <w:p>
            <w:pPr>
              <w:rPr>
                <w:rFonts w:ascii="Arial"/>
                <w:sz w:val="21"/>
              </w:rPr>
            </w:pPr>
          </w:p>
        </w:tc>
        <w:tc>
          <w:tcPr>
            <w:tcW w:w="925" w:type="dxa"/>
            <w:vAlign w:val="top"/>
          </w:tcPr>
          <w:p>
            <w:pPr>
              <w:spacing w:before="215" w:line="280" w:lineRule="exact"/>
              <w:ind w:left="281"/>
              <w:rPr>
                <w:rFonts w:ascii="宋体" w:hAnsi="宋体" w:eastAsia="宋体" w:cs="宋体"/>
                <w:sz w:val="17"/>
                <w:szCs w:val="17"/>
              </w:rPr>
            </w:pPr>
            <w:r>
              <w:rPr>
                <w:rFonts w:ascii="宋体" w:hAnsi="宋体" w:eastAsia="宋体" w:cs="宋体"/>
                <w:spacing w:val="7"/>
                <w:position w:val="7"/>
                <w:sz w:val="17"/>
                <w:szCs w:val="17"/>
              </w:rPr>
              <w:t>施</w:t>
            </w:r>
            <w:r>
              <w:rPr>
                <w:rFonts w:ascii="宋体" w:hAnsi="宋体" w:eastAsia="宋体" w:cs="宋体"/>
                <w:spacing w:val="6"/>
                <w:position w:val="7"/>
                <w:sz w:val="17"/>
                <w:szCs w:val="17"/>
              </w:rPr>
              <w:t>工</w:t>
            </w:r>
          </w:p>
          <w:p>
            <w:pPr>
              <w:spacing w:line="230" w:lineRule="auto"/>
              <w:ind w:left="283"/>
              <w:rPr>
                <w:rFonts w:ascii="宋体" w:hAnsi="宋体" w:eastAsia="宋体" w:cs="宋体"/>
                <w:sz w:val="17"/>
                <w:szCs w:val="17"/>
              </w:rPr>
            </w:pPr>
            <w:r>
              <w:rPr>
                <w:rFonts w:ascii="宋体" w:hAnsi="宋体" w:eastAsia="宋体" w:cs="宋体"/>
                <w:spacing w:val="6"/>
                <w:sz w:val="17"/>
                <w:szCs w:val="17"/>
              </w:rPr>
              <w:t>便道</w:t>
            </w:r>
          </w:p>
        </w:tc>
        <w:tc>
          <w:tcPr>
            <w:tcW w:w="4750" w:type="dxa"/>
            <w:vAlign w:val="top"/>
          </w:tcPr>
          <w:p>
            <w:pPr>
              <w:spacing w:before="76" w:line="230" w:lineRule="auto"/>
              <w:ind w:left="30"/>
              <w:rPr>
                <w:rFonts w:ascii="宋体" w:hAnsi="宋体" w:eastAsia="宋体" w:cs="宋体"/>
                <w:sz w:val="17"/>
                <w:szCs w:val="17"/>
              </w:rPr>
            </w:pPr>
            <w:r>
              <w:rPr>
                <w:rFonts w:ascii="宋体" w:hAnsi="宋体" w:eastAsia="宋体" w:cs="宋体"/>
                <w:spacing w:val="10"/>
                <w:sz w:val="17"/>
                <w:szCs w:val="17"/>
              </w:rPr>
              <w:t>东</w:t>
            </w:r>
            <w:r>
              <w:rPr>
                <w:rFonts w:ascii="宋体" w:hAnsi="宋体" w:eastAsia="宋体" w:cs="宋体"/>
                <w:spacing w:val="9"/>
                <w:sz w:val="17"/>
                <w:szCs w:val="17"/>
              </w:rPr>
              <w:t>端利用已建的江湾路、犀牛大道运输，不设施工便道。</w:t>
            </w:r>
          </w:p>
          <w:p>
            <w:pPr>
              <w:spacing w:before="67" w:line="266" w:lineRule="auto"/>
              <w:ind w:left="26" w:right="18" w:firstLine="2"/>
              <w:rPr>
                <w:rFonts w:ascii="Times New Roman" w:hAnsi="Times New Roman" w:eastAsia="Times New Roman" w:cs="Times New Roman"/>
                <w:sz w:val="17"/>
                <w:szCs w:val="17"/>
              </w:rPr>
            </w:pPr>
            <w:r>
              <w:rPr>
                <w:rFonts w:ascii="宋体" w:hAnsi="宋体" w:eastAsia="宋体" w:cs="宋体"/>
                <w:spacing w:val="20"/>
                <w:sz w:val="17"/>
                <w:szCs w:val="17"/>
              </w:rPr>
              <w:t>西</w:t>
            </w:r>
            <w:r>
              <w:rPr>
                <w:rFonts w:ascii="宋体" w:hAnsi="宋体" w:eastAsia="宋体" w:cs="宋体"/>
                <w:spacing w:val="17"/>
                <w:sz w:val="17"/>
                <w:szCs w:val="17"/>
              </w:rPr>
              <w:t>端</w:t>
            </w:r>
            <w:r>
              <w:rPr>
                <w:rFonts w:ascii="宋体" w:hAnsi="宋体" w:eastAsia="宋体" w:cs="宋体"/>
                <w:spacing w:val="10"/>
                <w:sz w:val="17"/>
                <w:szCs w:val="17"/>
              </w:rPr>
              <w:t>拟在滨河路的用地内建设施工便道至拟建桥梁西端施工</w:t>
            </w:r>
            <w:r>
              <w:rPr>
                <w:rFonts w:ascii="宋体" w:hAnsi="宋体" w:eastAsia="宋体" w:cs="宋体"/>
                <w:sz w:val="17"/>
                <w:szCs w:val="17"/>
              </w:rPr>
              <w:t xml:space="preserve"> </w:t>
            </w:r>
            <w:r>
              <w:rPr>
                <w:rFonts w:ascii="宋体" w:hAnsi="宋体" w:eastAsia="宋体" w:cs="宋体"/>
                <w:spacing w:val="1"/>
                <w:sz w:val="17"/>
                <w:szCs w:val="17"/>
              </w:rPr>
              <w:t xml:space="preserve">现场，长度约 </w:t>
            </w:r>
            <w:r>
              <w:rPr>
                <w:rFonts w:ascii="Times New Roman" w:hAnsi="Times New Roman" w:eastAsia="Times New Roman" w:cs="Times New Roman"/>
                <w:spacing w:val="1"/>
                <w:sz w:val="17"/>
                <w:szCs w:val="17"/>
              </w:rPr>
              <w:t>568</w:t>
            </w:r>
            <w:r>
              <w:rPr>
                <w:rFonts w:ascii="Times New Roman" w:hAnsi="Times New Roman" w:eastAsia="Times New Roman" w:cs="Times New Roman"/>
                <w:sz w:val="17"/>
                <w:szCs w:val="17"/>
              </w:rPr>
              <w:t>m</w:t>
            </w:r>
            <w:r>
              <w:rPr>
                <w:rFonts w:ascii="Times New Roman" w:hAnsi="Times New Roman" w:eastAsia="Times New Roman" w:cs="Times New Roman"/>
                <w:spacing w:val="1"/>
                <w:sz w:val="17"/>
                <w:szCs w:val="17"/>
              </w:rPr>
              <w:t xml:space="preserve"> </w:t>
            </w:r>
            <w:r>
              <w:rPr>
                <w:rFonts w:ascii="宋体" w:hAnsi="宋体" w:eastAsia="宋体" w:cs="宋体"/>
                <w:sz w:val="17"/>
                <w:szCs w:val="17"/>
              </w:rPr>
              <w:t xml:space="preserve">，路肩宽 </w:t>
            </w:r>
            <w:r>
              <w:rPr>
                <w:rFonts w:ascii="Times New Roman" w:hAnsi="Times New Roman" w:eastAsia="Times New Roman" w:cs="Times New Roman"/>
                <w:sz w:val="17"/>
                <w:szCs w:val="17"/>
              </w:rPr>
              <w:t>8.5m</w:t>
            </w:r>
          </w:p>
        </w:tc>
        <w:tc>
          <w:tcPr>
            <w:tcW w:w="990" w:type="dxa"/>
            <w:vAlign w:val="top"/>
          </w:tcPr>
          <w:p>
            <w:pPr>
              <w:spacing w:before="215" w:line="317" w:lineRule="auto"/>
              <w:ind w:left="325" w:hanging="286"/>
              <w:rPr>
                <w:rFonts w:ascii="宋体" w:hAnsi="宋体" w:eastAsia="宋体" w:cs="宋体"/>
                <w:sz w:val="17"/>
                <w:szCs w:val="17"/>
              </w:rPr>
            </w:pPr>
            <w:r>
              <w:rPr>
                <w:rFonts w:ascii="宋体" w:hAnsi="宋体" w:eastAsia="宋体" w:cs="宋体"/>
                <w:spacing w:val="-15"/>
                <w:sz w:val="17"/>
                <w:szCs w:val="17"/>
              </w:rPr>
              <w:t>噪</w:t>
            </w:r>
            <w:r>
              <w:rPr>
                <w:rFonts w:ascii="宋体" w:hAnsi="宋体" w:eastAsia="宋体" w:cs="宋体"/>
                <w:spacing w:val="-12"/>
                <w:sz w:val="17"/>
                <w:szCs w:val="17"/>
              </w:rPr>
              <w:t>声、扬尘、</w:t>
            </w:r>
            <w:r>
              <w:rPr>
                <w:rFonts w:ascii="宋体" w:hAnsi="宋体" w:eastAsia="宋体" w:cs="宋体"/>
                <w:sz w:val="17"/>
                <w:szCs w:val="17"/>
              </w:rPr>
              <w:t xml:space="preserve"> </w:t>
            </w:r>
            <w:r>
              <w:rPr>
                <w:rFonts w:ascii="宋体" w:hAnsi="宋体" w:eastAsia="宋体" w:cs="宋体"/>
                <w:spacing w:val="-10"/>
                <w:sz w:val="17"/>
                <w:szCs w:val="17"/>
              </w:rPr>
              <w:t>固</w:t>
            </w:r>
            <w:r>
              <w:rPr>
                <w:rFonts w:ascii="宋体" w:hAnsi="宋体" w:eastAsia="宋体" w:cs="宋体"/>
                <w:spacing w:val="-8"/>
                <w:sz w:val="17"/>
                <w:szCs w:val="17"/>
              </w:rPr>
              <w:t>废</w:t>
            </w:r>
          </w:p>
        </w:tc>
        <w:tc>
          <w:tcPr>
            <w:tcW w:w="856" w:type="dxa"/>
            <w:vMerge w:val="continue"/>
            <w:tcBorders>
              <w:top w:val="nil"/>
              <w:bottom w:val="nil"/>
            </w:tcBorders>
            <w:vAlign w:val="top"/>
          </w:tcPr>
          <w:p>
            <w:pPr>
              <w:rPr>
                <w:rFonts w:ascii="Arial"/>
                <w:sz w:val="21"/>
              </w:rPr>
            </w:pP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25" w:hRule="atLeast"/>
        </w:trPr>
        <w:tc>
          <w:tcPr>
            <w:tcW w:w="601" w:type="dxa"/>
            <w:vMerge w:val="continue"/>
            <w:tcBorders>
              <w:top w:val="nil"/>
              <w:left w:val="single" w:color="000000" w:sz="6" w:space="0"/>
              <w:bottom w:val="nil"/>
            </w:tcBorders>
            <w:vAlign w:val="top"/>
          </w:tcPr>
          <w:p>
            <w:pPr>
              <w:rPr>
                <w:rFonts w:ascii="Arial"/>
                <w:sz w:val="21"/>
              </w:rPr>
            </w:pPr>
          </w:p>
        </w:tc>
        <w:tc>
          <w:tcPr>
            <w:tcW w:w="141" w:type="dxa"/>
            <w:vMerge w:val="continue"/>
            <w:tcBorders>
              <w:top w:val="nil"/>
              <w:bottom w:val="nil"/>
            </w:tcBorders>
            <w:vAlign w:val="top"/>
          </w:tcPr>
          <w:p>
            <w:pPr>
              <w:rPr>
                <w:rFonts w:ascii="Arial"/>
                <w:sz w:val="21"/>
              </w:rPr>
            </w:pPr>
          </w:p>
        </w:tc>
        <w:tc>
          <w:tcPr>
            <w:tcW w:w="503" w:type="dxa"/>
            <w:vMerge w:val="continue"/>
            <w:tcBorders>
              <w:top w:val="nil"/>
              <w:bottom w:val="nil"/>
            </w:tcBorders>
            <w:vAlign w:val="top"/>
          </w:tcPr>
          <w:p>
            <w:pPr>
              <w:rPr>
                <w:rFonts w:ascii="Arial"/>
                <w:sz w:val="21"/>
              </w:rPr>
            </w:pPr>
          </w:p>
        </w:tc>
        <w:tc>
          <w:tcPr>
            <w:tcW w:w="925" w:type="dxa"/>
            <w:vAlign w:val="top"/>
          </w:tcPr>
          <w:p>
            <w:pPr>
              <w:spacing w:line="437" w:lineRule="auto"/>
              <w:rPr>
                <w:rFonts w:ascii="Arial"/>
                <w:sz w:val="21"/>
              </w:rPr>
            </w:pPr>
          </w:p>
          <w:p>
            <w:pPr>
              <w:spacing w:before="56" w:line="230" w:lineRule="auto"/>
              <w:ind w:left="101"/>
              <w:rPr>
                <w:rFonts w:ascii="宋体" w:hAnsi="宋体" w:eastAsia="宋体" w:cs="宋体"/>
                <w:sz w:val="17"/>
                <w:szCs w:val="17"/>
              </w:rPr>
            </w:pPr>
            <w:r>
              <w:rPr>
                <w:rFonts w:ascii="宋体" w:hAnsi="宋体" w:eastAsia="宋体" w:cs="宋体"/>
                <w:spacing w:val="9"/>
                <w:sz w:val="17"/>
                <w:szCs w:val="17"/>
              </w:rPr>
              <w:t>施</w:t>
            </w:r>
            <w:r>
              <w:rPr>
                <w:rFonts w:ascii="宋体" w:hAnsi="宋体" w:eastAsia="宋体" w:cs="宋体"/>
                <w:spacing w:val="8"/>
                <w:sz w:val="17"/>
                <w:szCs w:val="17"/>
              </w:rPr>
              <w:t>工栈桥</w:t>
            </w:r>
          </w:p>
        </w:tc>
        <w:tc>
          <w:tcPr>
            <w:tcW w:w="4750" w:type="dxa"/>
            <w:vAlign w:val="top"/>
          </w:tcPr>
          <w:p>
            <w:pPr>
              <w:tabs>
                <w:tab w:val="left" w:pos="118"/>
              </w:tabs>
              <w:spacing w:before="75" w:line="285" w:lineRule="auto"/>
              <w:ind w:left="23" w:right="17"/>
              <w:rPr>
                <w:rFonts w:ascii="宋体" w:hAnsi="宋体" w:eastAsia="宋体" w:cs="宋体"/>
                <w:sz w:val="17"/>
                <w:szCs w:val="17"/>
              </w:rPr>
            </w:pPr>
            <w:r>
              <w:rPr>
                <w:rFonts w:ascii="宋体" w:hAnsi="宋体" w:eastAsia="宋体" w:cs="宋体"/>
                <w:spacing w:val="10"/>
                <w:sz w:val="17"/>
                <w:szCs w:val="17"/>
              </w:rPr>
              <w:t>栈桥</w:t>
            </w:r>
            <w:r>
              <w:rPr>
                <w:rFonts w:ascii="宋体" w:hAnsi="宋体" w:eastAsia="宋体" w:cs="宋体"/>
                <w:spacing w:val="5"/>
                <w:sz w:val="17"/>
                <w:szCs w:val="17"/>
              </w:rPr>
              <w:t xml:space="preserve">从两岸陆域连接到涉水桥墩承台位置。栈桥长度约 </w:t>
            </w:r>
            <w:r>
              <w:rPr>
                <w:rFonts w:ascii="Times New Roman" w:hAnsi="Times New Roman" w:eastAsia="Times New Roman" w:cs="Times New Roman"/>
                <w:spacing w:val="5"/>
                <w:sz w:val="17"/>
                <w:szCs w:val="17"/>
              </w:rPr>
              <w:t>620</w:t>
            </w:r>
            <w:r>
              <w:rPr>
                <w:rFonts w:ascii="Times New Roman" w:hAnsi="Times New Roman" w:eastAsia="Times New Roman" w:cs="Times New Roman"/>
                <w:sz w:val="17"/>
                <w:szCs w:val="17"/>
              </w:rPr>
              <w:t xml:space="preserve">m </w:t>
            </w:r>
            <w:r>
              <w:rPr>
                <w:rFonts w:ascii="宋体" w:hAnsi="宋体" w:eastAsia="宋体" w:cs="宋体"/>
                <w:sz w:val="17"/>
                <w:szCs w:val="17"/>
              </w:rPr>
              <w:tab/>
            </w:r>
            <w:r>
              <w:rPr>
                <w:rFonts w:ascii="宋体" w:hAnsi="宋体" w:eastAsia="宋体" w:cs="宋体"/>
                <w:spacing w:val="5"/>
                <w:sz w:val="17"/>
                <w:szCs w:val="17"/>
              </w:rPr>
              <w:t xml:space="preserve">(拟建桥梁两侧各约 </w:t>
            </w:r>
            <w:r>
              <w:rPr>
                <w:rFonts w:ascii="Times New Roman" w:hAnsi="Times New Roman" w:eastAsia="Times New Roman" w:cs="Times New Roman"/>
                <w:spacing w:val="5"/>
                <w:sz w:val="17"/>
                <w:szCs w:val="17"/>
              </w:rPr>
              <w:t>310</w:t>
            </w:r>
            <w:r>
              <w:rPr>
                <w:rFonts w:ascii="Times New Roman" w:hAnsi="Times New Roman" w:eastAsia="Times New Roman" w:cs="Times New Roman"/>
                <w:sz w:val="17"/>
                <w:szCs w:val="17"/>
              </w:rPr>
              <w:t>m</w:t>
            </w:r>
            <w:r>
              <w:rPr>
                <w:rFonts w:ascii="宋体" w:hAnsi="宋体" w:eastAsia="宋体" w:cs="宋体"/>
                <w:spacing w:val="5"/>
                <w:sz w:val="17"/>
                <w:szCs w:val="17"/>
              </w:rPr>
              <w:t>) ，垂直于岸边向河中布设。栈</w:t>
            </w:r>
            <w:r>
              <w:rPr>
                <w:rFonts w:ascii="宋体" w:hAnsi="宋体" w:eastAsia="宋体" w:cs="宋体"/>
                <w:sz w:val="17"/>
                <w:szCs w:val="17"/>
              </w:rPr>
              <w:t xml:space="preserve">桥 </w:t>
            </w:r>
            <w:r>
              <w:rPr>
                <w:rFonts w:ascii="宋体" w:hAnsi="宋体" w:eastAsia="宋体" w:cs="宋体"/>
                <w:spacing w:val="11"/>
                <w:sz w:val="17"/>
                <w:szCs w:val="17"/>
              </w:rPr>
              <w:t>采用钢管桩基础，钢管柱支撑，桥面采用贝雷梁组合架设</w:t>
            </w:r>
            <w:r>
              <w:rPr>
                <w:rFonts w:ascii="宋体" w:hAnsi="宋体" w:eastAsia="宋体" w:cs="宋体"/>
                <w:spacing w:val="8"/>
                <w:sz w:val="17"/>
                <w:szCs w:val="17"/>
              </w:rPr>
              <w:t>，</w:t>
            </w:r>
            <w:r>
              <w:rPr>
                <w:rFonts w:ascii="宋体" w:hAnsi="宋体" w:eastAsia="宋体" w:cs="宋体"/>
                <w:sz w:val="17"/>
                <w:szCs w:val="17"/>
              </w:rPr>
              <w:t xml:space="preserve"> </w:t>
            </w:r>
            <w:r>
              <w:rPr>
                <w:rFonts w:ascii="宋体" w:hAnsi="宋体" w:eastAsia="宋体" w:cs="宋体"/>
                <w:spacing w:val="13"/>
                <w:sz w:val="17"/>
                <w:szCs w:val="17"/>
              </w:rPr>
              <w:t>宽</w:t>
            </w:r>
            <w:r>
              <w:rPr>
                <w:rFonts w:ascii="宋体" w:hAnsi="宋体" w:eastAsia="宋体" w:cs="宋体"/>
                <w:spacing w:val="8"/>
                <w:sz w:val="17"/>
                <w:szCs w:val="17"/>
              </w:rPr>
              <w:t>度根据施工需要确定。</w:t>
            </w:r>
          </w:p>
        </w:tc>
        <w:tc>
          <w:tcPr>
            <w:tcW w:w="990" w:type="dxa"/>
            <w:vAlign w:val="top"/>
          </w:tcPr>
          <w:p>
            <w:pPr>
              <w:spacing w:line="409" w:lineRule="auto"/>
              <w:rPr>
                <w:rFonts w:ascii="Arial"/>
                <w:sz w:val="21"/>
              </w:rPr>
            </w:pPr>
          </w:p>
          <w:p>
            <w:pPr>
              <w:spacing w:before="49" w:line="242" w:lineRule="exact"/>
              <w:ind w:left="473"/>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56" w:type="dxa"/>
            <w:vMerge w:val="continue"/>
            <w:tcBorders>
              <w:top w:val="nil"/>
              <w:bottom w:val="nil"/>
            </w:tcBorders>
            <w:vAlign w:val="top"/>
          </w:tcPr>
          <w:p>
            <w:pPr>
              <w:rPr>
                <w:rFonts w:ascii="Arial"/>
                <w:sz w:val="21"/>
              </w:rPr>
            </w:pP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45" w:hRule="atLeast"/>
        </w:trPr>
        <w:tc>
          <w:tcPr>
            <w:tcW w:w="601" w:type="dxa"/>
            <w:vMerge w:val="continue"/>
            <w:tcBorders>
              <w:top w:val="nil"/>
              <w:left w:val="single" w:color="000000" w:sz="6" w:space="0"/>
              <w:bottom w:val="nil"/>
            </w:tcBorders>
            <w:vAlign w:val="top"/>
          </w:tcPr>
          <w:p>
            <w:pPr>
              <w:rPr>
                <w:rFonts w:ascii="Arial"/>
                <w:sz w:val="21"/>
              </w:rPr>
            </w:pPr>
          </w:p>
        </w:tc>
        <w:tc>
          <w:tcPr>
            <w:tcW w:w="141" w:type="dxa"/>
            <w:vMerge w:val="continue"/>
            <w:tcBorders>
              <w:top w:val="nil"/>
              <w:bottom w:val="nil"/>
            </w:tcBorders>
            <w:vAlign w:val="top"/>
          </w:tcPr>
          <w:p>
            <w:pPr>
              <w:rPr>
                <w:rFonts w:ascii="Arial"/>
                <w:sz w:val="21"/>
              </w:rPr>
            </w:pPr>
          </w:p>
        </w:tc>
        <w:tc>
          <w:tcPr>
            <w:tcW w:w="503" w:type="dxa"/>
            <w:vMerge w:val="continue"/>
            <w:tcBorders>
              <w:top w:val="nil"/>
            </w:tcBorders>
            <w:vAlign w:val="top"/>
          </w:tcPr>
          <w:p>
            <w:pPr>
              <w:rPr>
                <w:rFonts w:ascii="Arial"/>
                <w:sz w:val="21"/>
              </w:rPr>
            </w:pPr>
          </w:p>
        </w:tc>
        <w:tc>
          <w:tcPr>
            <w:tcW w:w="925" w:type="dxa"/>
            <w:vAlign w:val="top"/>
          </w:tcPr>
          <w:p>
            <w:pPr>
              <w:spacing w:before="215" w:line="317" w:lineRule="auto"/>
              <w:ind w:left="199" w:right="104" w:hanging="96"/>
              <w:rPr>
                <w:rFonts w:ascii="宋体" w:hAnsi="宋体" w:eastAsia="宋体" w:cs="宋体"/>
                <w:sz w:val="17"/>
                <w:szCs w:val="17"/>
              </w:rPr>
            </w:pPr>
            <w:r>
              <w:rPr>
                <w:rFonts w:ascii="宋体" w:hAnsi="宋体" w:eastAsia="宋体" w:cs="宋体"/>
                <w:spacing w:val="8"/>
                <w:sz w:val="17"/>
                <w:szCs w:val="17"/>
              </w:rPr>
              <w:t>土石方临</w:t>
            </w:r>
            <w:r>
              <w:rPr>
                <w:rFonts w:ascii="宋体" w:hAnsi="宋体" w:eastAsia="宋体" w:cs="宋体"/>
                <w:sz w:val="17"/>
                <w:szCs w:val="17"/>
              </w:rPr>
              <w:t xml:space="preserve"> </w:t>
            </w:r>
            <w:r>
              <w:rPr>
                <w:rFonts w:ascii="宋体" w:hAnsi="宋体" w:eastAsia="宋体" w:cs="宋体"/>
                <w:spacing w:val="5"/>
                <w:sz w:val="17"/>
                <w:szCs w:val="17"/>
              </w:rPr>
              <w:t>时堆</w:t>
            </w:r>
            <w:r>
              <w:rPr>
                <w:rFonts w:ascii="宋体" w:hAnsi="宋体" w:eastAsia="宋体" w:cs="宋体"/>
                <w:spacing w:val="4"/>
                <w:sz w:val="17"/>
                <w:szCs w:val="17"/>
              </w:rPr>
              <w:t>场</w:t>
            </w:r>
          </w:p>
        </w:tc>
        <w:tc>
          <w:tcPr>
            <w:tcW w:w="4750" w:type="dxa"/>
            <w:vAlign w:val="top"/>
          </w:tcPr>
          <w:p>
            <w:pPr>
              <w:spacing w:before="77" w:line="278" w:lineRule="auto"/>
              <w:ind w:left="23" w:right="18"/>
              <w:rPr>
                <w:rFonts w:ascii="宋体" w:hAnsi="宋体" w:eastAsia="宋体" w:cs="宋体"/>
                <w:sz w:val="17"/>
                <w:szCs w:val="17"/>
              </w:rPr>
            </w:pPr>
            <w:r>
              <w:rPr>
                <w:rFonts w:ascii="宋体" w:hAnsi="宋体" w:eastAsia="宋体" w:cs="宋体"/>
                <w:spacing w:val="15"/>
                <w:sz w:val="17"/>
                <w:szCs w:val="17"/>
              </w:rPr>
              <w:t>在</w:t>
            </w:r>
            <w:r>
              <w:rPr>
                <w:rFonts w:ascii="宋体" w:hAnsi="宋体" w:eastAsia="宋体" w:cs="宋体"/>
                <w:spacing w:val="8"/>
                <w:sz w:val="17"/>
                <w:szCs w:val="17"/>
              </w:rPr>
              <w:t xml:space="preserve">大桥两端占地范围内远离河道位置各设 </w:t>
            </w:r>
            <w:r>
              <w:rPr>
                <w:rFonts w:ascii="Times New Roman" w:hAnsi="Times New Roman" w:eastAsia="Times New Roman" w:cs="Times New Roman"/>
                <w:spacing w:val="8"/>
                <w:sz w:val="17"/>
                <w:szCs w:val="17"/>
              </w:rPr>
              <w:t xml:space="preserve">1 </w:t>
            </w:r>
            <w:r>
              <w:rPr>
                <w:rFonts w:ascii="宋体" w:hAnsi="宋体" w:eastAsia="宋体" w:cs="宋体"/>
                <w:spacing w:val="8"/>
                <w:sz w:val="17"/>
                <w:szCs w:val="17"/>
              </w:rPr>
              <w:t>个土石方 (含表</w:t>
            </w:r>
            <w:r>
              <w:rPr>
                <w:rFonts w:ascii="宋体" w:hAnsi="宋体" w:eastAsia="宋体" w:cs="宋体"/>
                <w:sz w:val="17"/>
                <w:szCs w:val="17"/>
              </w:rPr>
              <w:t xml:space="preserve"> </w:t>
            </w:r>
            <w:r>
              <w:rPr>
                <w:rFonts w:ascii="宋体" w:hAnsi="宋体" w:eastAsia="宋体" w:cs="宋体"/>
                <w:spacing w:val="5"/>
                <w:sz w:val="17"/>
                <w:szCs w:val="17"/>
              </w:rPr>
              <w:t xml:space="preserve">土) 临时堆放处面积约 </w:t>
            </w:r>
            <w:r>
              <w:rPr>
                <w:rFonts w:ascii="Times New Roman" w:hAnsi="Times New Roman" w:eastAsia="Times New Roman" w:cs="Times New Roman"/>
                <w:spacing w:val="5"/>
                <w:sz w:val="17"/>
                <w:szCs w:val="17"/>
              </w:rPr>
              <w:t>3000</w:t>
            </w:r>
            <w:r>
              <w:rPr>
                <w:rFonts w:ascii="Times New Roman" w:hAnsi="Times New Roman" w:eastAsia="Times New Roman" w:cs="Times New Roman"/>
                <w:sz w:val="17"/>
                <w:szCs w:val="17"/>
              </w:rPr>
              <w:t>m</w:t>
            </w:r>
            <w:r>
              <w:rPr>
                <w:rFonts w:ascii="宋体" w:hAnsi="宋体" w:eastAsia="宋体" w:cs="宋体"/>
                <w:spacing w:val="5"/>
                <w:sz w:val="17"/>
                <w:szCs w:val="17"/>
              </w:rPr>
              <w:t>²，用于桥台台背回填和后期</w:t>
            </w:r>
            <w:r>
              <w:rPr>
                <w:rFonts w:ascii="宋体" w:hAnsi="宋体" w:eastAsia="宋体" w:cs="宋体"/>
                <w:spacing w:val="4"/>
                <w:sz w:val="17"/>
                <w:szCs w:val="17"/>
              </w:rPr>
              <w:t>植</w:t>
            </w:r>
            <w:r>
              <w:rPr>
                <w:rFonts w:ascii="宋体" w:hAnsi="宋体" w:eastAsia="宋体" w:cs="宋体"/>
                <w:sz w:val="17"/>
                <w:szCs w:val="17"/>
              </w:rPr>
              <w:t xml:space="preserve"> </w:t>
            </w:r>
            <w:r>
              <w:rPr>
                <w:rFonts w:ascii="宋体" w:hAnsi="宋体" w:eastAsia="宋体" w:cs="宋体"/>
                <w:spacing w:val="13"/>
                <w:sz w:val="17"/>
                <w:szCs w:val="17"/>
              </w:rPr>
              <w:t>被</w:t>
            </w:r>
            <w:r>
              <w:rPr>
                <w:rFonts w:ascii="宋体" w:hAnsi="宋体" w:eastAsia="宋体" w:cs="宋体"/>
                <w:spacing w:val="9"/>
                <w:sz w:val="17"/>
                <w:szCs w:val="17"/>
              </w:rPr>
              <w:t>恢复，不另行设置弃土场</w:t>
            </w:r>
          </w:p>
        </w:tc>
        <w:tc>
          <w:tcPr>
            <w:tcW w:w="990" w:type="dxa"/>
            <w:vAlign w:val="top"/>
          </w:tcPr>
          <w:p>
            <w:pPr>
              <w:spacing w:line="271" w:lineRule="auto"/>
              <w:rPr>
                <w:rFonts w:ascii="Arial"/>
                <w:sz w:val="21"/>
              </w:rPr>
            </w:pPr>
          </w:p>
          <w:p>
            <w:pPr>
              <w:spacing w:before="49" w:line="242" w:lineRule="exact"/>
              <w:ind w:left="473"/>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56" w:type="dxa"/>
            <w:vMerge w:val="continue"/>
            <w:tcBorders>
              <w:top w:val="nil"/>
            </w:tcBorders>
            <w:vAlign w:val="top"/>
          </w:tcPr>
          <w:p>
            <w:pPr>
              <w:rPr>
                <w:rFonts w:ascii="Arial"/>
                <w:sz w:val="21"/>
              </w:rPr>
            </w:pP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01" w:type="dxa"/>
            <w:vMerge w:val="continue"/>
            <w:tcBorders>
              <w:top w:val="nil"/>
              <w:left w:val="single" w:color="000000" w:sz="6" w:space="0"/>
              <w:bottom w:val="nil"/>
            </w:tcBorders>
            <w:vAlign w:val="top"/>
          </w:tcPr>
          <w:p>
            <w:pPr>
              <w:rPr>
                <w:rFonts w:ascii="Arial"/>
                <w:sz w:val="21"/>
              </w:rPr>
            </w:pPr>
          </w:p>
        </w:tc>
        <w:tc>
          <w:tcPr>
            <w:tcW w:w="141" w:type="dxa"/>
            <w:vMerge w:val="continue"/>
            <w:tcBorders>
              <w:top w:val="nil"/>
              <w:bottom w:val="nil"/>
            </w:tcBorders>
            <w:vAlign w:val="top"/>
          </w:tcPr>
          <w:p>
            <w:pPr>
              <w:rPr>
                <w:rFonts w:ascii="Arial"/>
                <w:sz w:val="21"/>
              </w:rPr>
            </w:pPr>
          </w:p>
        </w:tc>
        <w:tc>
          <w:tcPr>
            <w:tcW w:w="503"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before="55" w:line="317" w:lineRule="auto"/>
              <w:ind w:left="72" w:right="74" w:hanging="2"/>
              <w:rPr>
                <w:rFonts w:ascii="宋体" w:hAnsi="宋体" w:eastAsia="宋体" w:cs="宋体"/>
                <w:sz w:val="17"/>
                <w:szCs w:val="17"/>
              </w:rPr>
            </w:pPr>
            <w:r>
              <w:rPr>
                <w:rFonts w:ascii="宋体" w:hAnsi="宋体" w:eastAsia="宋体" w:cs="宋体"/>
                <w:spacing w:val="6"/>
                <w:sz w:val="17"/>
                <w:szCs w:val="17"/>
              </w:rPr>
              <w:t>环保</w:t>
            </w:r>
            <w:r>
              <w:rPr>
                <w:rFonts w:ascii="宋体" w:hAnsi="宋体" w:eastAsia="宋体" w:cs="宋体"/>
                <w:sz w:val="17"/>
                <w:szCs w:val="17"/>
              </w:rPr>
              <w:t xml:space="preserve"> </w:t>
            </w:r>
            <w:r>
              <w:rPr>
                <w:rFonts w:ascii="宋体" w:hAnsi="宋体" w:eastAsia="宋体" w:cs="宋体"/>
                <w:spacing w:val="5"/>
                <w:sz w:val="17"/>
                <w:szCs w:val="17"/>
              </w:rPr>
              <w:t>工程</w:t>
            </w:r>
          </w:p>
        </w:tc>
        <w:tc>
          <w:tcPr>
            <w:tcW w:w="925" w:type="dxa"/>
            <w:vAlign w:val="top"/>
          </w:tcPr>
          <w:p>
            <w:pPr>
              <w:spacing w:before="75" w:line="227" w:lineRule="auto"/>
              <w:ind w:left="101"/>
              <w:rPr>
                <w:rFonts w:ascii="宋体" w:hAnsi="宋体" w:eastAsia="宋体" w:cs="宋体"/>
                <w:sz w:val="17"/>
                <w:szCs w:val="17"/>
              </w:rPr>
            </w:pPr>
            <w:r>
              <w:rPr>
                <w:rFonts w:ascii="宋体" w:hAnsi="宋体" w:eastAsia="宋体" w:cs="宋体"/>
                <w:spacing w:val="9"/>
                <w:sz w:val="17"/>
                <w:szCs w:val="17"/>
              </w:rPr>
              <w:t>施</w:t>
            </w:r>
            <w:r>
              <w:rPr>
                <w:rFonts w:ascii="宋体" w:hAnsi="宋体" w:eastAsia="宋体" w:cs="宋体"/>
                <w:spacing w:val="8"/>
                <w:sz w:val="17"/>
                <w:szCs w:val="17"/>
              </w:rPr>
              <w:t>工围挡</w:t>
            </w:r>
          </w:p>
        </w:tc>
        <w:tc>
          <w:tcPr>
            <w:tcW w:w="4750" w:type="dxa"/>
            <w:vAlign w:val="top"/>
          </w:tcPr>
          <w:p>
            <w:pPr>
              <w:spacing w:before="75" w:line="227" w:lineRule="auto"/>
              <w:ind w:left="21"/>
              <w:rPr>
                <w:rFonts w:ascii="宋体" w:hAnsi="宋体" w:eastAsia="宋体" w:cs="宋体"/>
                <w:sz w:val="17"/>
                <w:szCs w:val="17"/>
              </w:rPr>
            </w:pPr>
            <w:r>
              <w:rPr>
                <w:rFonts w:ascii="Times New Roman" w:hAnsi="Times New Roman" w:eastAsia="Times New Roman" w:cs="Times New Roman"/>
                <w:spacing w:val="9"/>
                <w:sz w:val="17"/>
                <w:szCs w:val="17"/>
              </w:rPr>
              <w:t>2.5</w:t>
            </w:r>
            <w:r>
              <w:rPr>
                <w:rFonts w:ascii="Times New Roman" w:hAnsi="Times New Roman" w:eastAsia="Times New Roman" w:cs="Times New Roman"/>
                <w:sz w:val="17"/>
                <w:szCs w:val="17"/>
              </w:rPr>
              <w:t>m</w:t>
            </w:r>
            <w:r>
              <w:rPr>
                <w:rFonts w:ascii="Times New Roman" w:hAnsi="Times New Roman" w:eastAsia="Times New Roman" w:cs="Times New Roman"/>
                <w:spacing w:val="9"/>
                <w:sz w:val="17"/>
                <w:szCs w:val="17"/>
              </w:rPr>
              <w:t xml:space="preserve"> </w:t>
            </w:r>
            <w:r>
              <w:rPr>
                <w:rFonts w:ascii="宋体" w:hAnsi="宋体" w:eastAsia="宋体" w:cs="宋体"/>
                <w:spacing w:val="9"/>
                <w:sz w:val="17"/>
                <w:szCs w:val="17"/>
              </w:rPr>
              <w:t>硬质施工围挡，安装于全部施工区</w:t>
            </w:r>
            <w:r>
              <w:rPr>
                <w:rFonts w:ascii="宋体" w:hAnsi="宋体" w:eastAsia="宋体" w:cs="宋体"/>
                <w:spacing w:val="8"/>
                <w:sz w:val="17"/>
                <w:szCs w:val="17"/>
              </w:rPr>
              <w:t>域</w:t>
            </w:r>
          </w:p>
        </w:tc>
        <w:tc>
          <w:tcPr>
            <w:tcW w:w="990" w:type="dxa"/>
            <w:vAlign w:val="top"/>
          </w:tcPr>
          <w:p>
            <w:pPr>
              <w:spacing w:before="40" w:line="242" w:lineRule="exact"/>
              <w:ind w:left="473"/>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56" w:type="dxa"/>
            <w:vMerge w:val="restart"/>
            <w:tcBorders>
              <w:bottom w:val="nil"/>
            </w:tcBorders>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49" w:line="242" w:lineRule="exact"/>
              <w:ind w:left="407"/>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7" w:hRule="atLeast"/>
        </w:trPr>
        <w:tc>
          <w:tcPr>
            <w:tcW w:w="601" w:type="dxa"/>
            <w:vMerge w:val="continue"/>
            <w:tcBorders>
              <w:top w:val="nil"/>
              <w:left w:val="single" w:color="000000" w:sz="6" w:space="0"/>
              <w:bottom w:val="nil"/>
            </w:tcBorders>
            <w:vAlign w:val="top"/>
          </w:tcPr>
          <w:p>
            <w:pPr>
              <w:rPr>
                <w:rFonts w:ascii="Arial"/>
                <w:sz w:val="21"/>
              </w:rPr>
            </w:pPr>
          </w:p>
        </w:tc>
        <w:tc>
          <w:tcPr>
            <w:tcW w:w="141" w:type="dxa"/>
            <w:vMerge w:val="continue"/>
            <w:tcBorders>
              <w:top w:val="nil"/>
              <w:bottom w:val="nil"/>
            </w:tcBorders>
            <w:vAlign w:val="top"/>
          </w:tcPr>
          <w:p>
            <w:pPr>
              <w:rPr>
                <w:rFonts w:ascii="Arial"/>
                <w:sz w:val="21"/>
              </w:rPr>
            </w:pPr>
          </w:p>
        </w:tc>
        <w:tc>
          <w:tcPr>
            <w:tcW w:w="503" w:type="dxa"/>
            <w:vMerge w:val="continue"/>
            <w:tcBorders>
              <w:top w:val="nil"/>
              <w:bottom w:val="nil"/>
            </w:tcBorders>
            <w:vAlign w:val="top"/>
          </w:tcPr>
          <w:p>
            <w:pPr>
              <w:rPr>
                <w:rFonts w:ascii="Arial"/>
                <w:sz w:val="21"/>
              </w:rPr>
            </w:pPr>
          </w:p>
        </w:tc>
        <w:tc>
          <w:tcPr>
            <w:tcW w:w="925" w:type="dxa"/>
            <w:vMerge w:val="restart"/>
            <w:tcBorders>
              <w:bottom w:val="nil"/>
            </w:tcBorders>
            <w:vAlign w:val="top"/>
          </w:tcPr>
          <w:p>
            <w:pPr>
              <w:spacing w:line="447" w:lineRule="auto"/>
              <w:rPr>
                <w:rFonts w:ascii="Arial"/>
                <w:sz w:val="21"/>
              </w:rPr>
            </w:pPr>
          </w:p>
          <w:p>
            <w:pPr>
              <w:spacing w:before="55" w:line="281" w:lineRule="exact"/>
              <w:ind w:left="281"/>
              <w:rPr>
                <w:rFonts w:ascii="宋体" w:hAnsi="宋体" w:eastAsia="宋体" w:cs="宋体"/>
                <w:sz w:val="17"/>
                <w:szCs w:val="17"/>
              </w:rPr>
            </w:pPr>
            <w:r>
              <w:rPr>
                <w:rFonts w:ascii="宋体" w:hAnsi="宋体" w:eastAsia="宋体" w:cs="宋体"/>
                <w:spacing w:val="7"/>
                <w:position w:val="7"/>
                <w:sz w:val="17"/>
                <w:szCs w:val="17"/>
              </w:rPr>
              <w:t>废</w:t>
            </w:r>
            <w:r>
              <w:rPr>
                <w:rFonts w:ascii="宋体" w:hAnsi="宋体" w:eastAsia="宋体" w:cs="宋体"/>
                <w:spacing w:val="6"/>
                <w:position w:val="7"/>
                <w:sz w:val="17"/>
                <w:szCs w:val="17"/>
              </w:rPr>
              <w:t>气</w:t>
            </w:r>
          </w:p>
          <w:p>
            <w:pPr>
              <w:spacing w:line="235" w:lineRule="auto"/>
              <w:ind w:left="286"/>
              <w:rPr>
                <w:rFonts w:ascii="宋体" w:hAnsi="宋体" w:eastAsia="宋体" w:cs="宋体"/>
                <w:sz w:val="17"/>
                <w:szCs w:val="17"/>
              </w:rPr>
            </w:pPr>
            <w:r>
              <w:rPr>
                <w:rFonts w:ascii="宋体" w:hAnsi="宋体" w:eastAsia="宋体" w:cs="宋体"/>
                <w:spacing w:val="4"/>
                <w:sz w:val="17"/>
                <w:szCs w:val="17"/>
              </w:rPr>
              <w:t>治理</w:t>
            </w:r>
          </w:p>
        </w:tc>
        <w:tc>
          <w:tcPr>
            <w:tcW w:w="4750" w:type="dxa"/>
            <w:vAlign w:val="top"/>
          </w:tcPr>
          <w:p>
            <w:pPr>
              <w:spacing w:before="75" w:line="266" w:lineRule="auto"/>
              <w:ind w:left="23" w:right="65"/>
              <w:rPr>
                <w:rFonts w:ascii="宋体" w:hAnsi="宋体" w:eastAsia="宋体" w:cs="宋体"/>
                <w:sz w:val="17"/>
                <w:szCs w:val="17"/>
              </w:rPr>
            </w:pPr>
            <w:r>
              <w:rPr>
                <w:rFonts w:ascii="宋体" w:hAnsi="宋体" w:eastAsia="宋体" w:cs="宋体"/>
                <w:spacing w:val="7"/>
                <w:sz w:val="17"/>
                <w:szCs w:val="17"/>
              </w:rPr>
              <w:t xml:space="preserve">在桥梁东、西端施工场地的大门进出口设车辆冲洗台 </w:t>
            </w:r>
            <w:r>
              <w:rPr>
                <w:rFonts w:ascii="Times New Roman" w:hAnsi="Times New Roman" w:eastAsia="Times New Roman" w:cs="Times New Roman"/>
                <w:spacing w:val="7"/>
                <w:sz w:val="17"/>
                <w:szCs w:val="17"/>
              </w:rPr>
              <w:t xml:space="preserve">1 </w:t>
            </w:r>
            <w:r>
              <w:rPr>
                <w:rFonts w:ascii="宋体" w:hAnsi="宋体" w:eastAsia="宋体" w:cs="宋体"/>
                <w:spacing w:val="7"/>
                <w:sz w:val="17"/>
                <w:szCs w:val="17"/>
              </w:rPr>
              <w:t>个</w:t>
            </w:r>
            <w:r>
              <w:rPr>
                <w:rFonts w:ascii="宋体" w:hAnsi="宋体" w:eastAsia="宋体" w:cs="宋体"/>
                <w:spacing w:val="3"/>
                <w:sz w:val="17"/>
                <w:szCs w:val="17"/>
              </w:rPr>
              <w:t>；</w:t>
            </w:r>
            <w:r>
              <w:rPr>
                <w:rFonts w:ascii="宋体" w:hAnsi="宋体" w:eastAsia="宋体" w:cs="宋体"/>
                <w:sz w:val="17"/>
                <w:szCs w:val="17"/>
              </w:rPr>
              <w:t xml:space="preserve"> </w:t>
            </w:r>
            <w:r>
              <w:rPr>
                <w:rFonts w:ascii="宋体" w:hAnsi="宋体" w:eastAsia="宋体" w:cs="宋体"/>
                <w:spacing w:val="16"/>
                <w:sz w:val="17"/>
                <w:szCs w:val="17"/>
              </w:rPr>
              <w:t>施</w:t>
            </w:r>
            <w:r>
              <w:rPr>
                <w:rFonts w:ascii="宋体" w:hAnsi="宋体" w:eastAsia="宋体" w:cs="宋体"/>
                <w:spacing w:val="13"/>
                <w:sz w:val="17"/>
                <w:szCs w:val="17"/>
              </w:rPr>
              <w:t>工</w:t>
            </w:r>
            <w:r>
              <w:rPr>
                <w:rFonts w:ascii="宋体" w:hAnsi="宋体" w:eastAsia="宋体" w:cs="宋体"/>
                <w:spacing w:val="8"/>
                <w:sz w:val="17"/>
                <w:szCs w:val="17"/>
              </w:rPr>
              <w:t>场地配置雾炮车 (雾炮机) 、洒水车</w:t>
            </w:r>
          </w:p>
        </w:tc>
        <w:tc>
          <w:tcPr>
            <w:tcW w:w="990" w:type="dxa"/>
            <w:vAlign w:val="top"/>
          </w:tcPr>
          <w:p>
            <w:pPr>
              <w:spacing w:before="215" w:line="231" w:lineRule="auto"/>
              <w:ind w:left="63"/>
              <w:rPr>
                <w:rFonts w:ascii="宋体" w:hAnsi="宋体" w:eastAsia="宋体" w:cs="宋体"/>
                <w:sz w:val="17"/>
                <w:szCs w:val="17"/>
              </w:rPr>
            </w:pPr>
            <w:r>
              <w:rPr>
                <w:rFonts w:ascii="宋体" w:hAnsi="宋体" w:eastAsia="宋体" w:cs="宋体"/>
                <w:spacing w:val="7"/>
                <w:sz w:val="17"/>
                <w:szCs w:val="17"/>
              </w:rPr>
              <w:t>噪声、废</w:t>
            </w:r>
            <w:r>
              <w:rPr>
                <w:rFonts w:ascii="宋体" w:hAnsi="宋体" w:eastAsia="宋体" w:cs="宋体"/>
                <w:spacing w:val="6"/>
                <w:sz w:val="17"/>
                <w:szCs w:val="17"/>
              </w:rPr>
              <w:t>水</w:t>
            </w:r>
          </w:p>
        </w:tc>
        <w:tc>
          <w:tcPr>
            <w:tcW w:w="856" w:type="dxa"/>
            <w:vMerge w:val="continue"/>
            <w:tcBorders>
              <w:top w:val="nil"/>
              <w:bottom w:val="nil"/>
            </w:tcBorders>
            <w:vAlign w:val="top"/>
          </w:tcPr>
          <w:p>
            <w:pPr>
              <w:rPr>
                <w:rFonts w:ascii="Arial"/>
                <w:sz w:val="21"/>
              </w:rPr>
            </w:pP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5" w:hRule="atLeast"/>
        </w:trPr>
        <w:tc>
          <w:tcPr>
            <w:tcW w:w="601" w:type="dxa"/>
            <w:vMerge w:val="continue"/>
            <w:tcBorders>
              <w:top w:val="nil"/>
              <w:left w:val="single" w:color="000000" w:sz="6" w:space="0"/>
              <w:bottom w:val="nil"/>
            </w:tcBorders>
            <w:vAlign w:val="top"/>
          </w:tcPr>
          <w:p>
            <w:pPr>
              <w:rPr>
                <w:rFonts w:ascii="Arial"/>
                <w:sz w:val="21"/>
              </w:rPr>
            </w:pPr>
          </w:p>
        </w:tc>
        <w:tc>
          <w:tcPr>
            <w:tcW w:w="141" w:type="dxa"/>
            <w:vMerge w:val="continue"/>
            <w:tcBorders>
              <w:top w:val="nil"/>
              <w:bottom w:val="nil"/>
            </w:tcBorders>
            <w:vAlign w:val="top"/>
          </w:tcPr>
          <w:p>
            <w:pPr>
              <w:rPr>
                <w:rFonts w:ascii="Arial"/>
                <w:sz w:val="21"/>
              </w:rPr>
            </w:pPr>
          </w:p>
        </w:tc>
        <w:tc>
          <w:tcPr>
            <w:tcW w:w="503" w:type="dxa"/>
            <w:vMerge w:val="continue"/>
            <w:tcBorders>
              <w:top w:val="nil"/>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750" w:type="dxa"/>
            <w:vAlign w:val="top"/>
          </w:tcPr>
          <w:p>
            <w:pPr>
              <w:spacing w:before="72" w:line="230" w:lineRule="auto"/>
              <w:ind w:left="23"/>
              <w:rPr>
                <w:rFonts w:ascii="宋体" w:hAnsi="宋体" w:eastAsia="宋体" w:cs="宋体"/>
                <w:sz w:val="17"/>
                <w:szCs w:val="17"/>
              </w:rPr>
            </w:pPr>
            <w:r>
              <w:rPr>
                <w:rFonts w:ascii="宋体" w:hAnsi="宋体" w:eastAsia="宋体" w:cs="宋体"/>
                <w:spacing w:val="18"/>
                <w:sz w:val="17"/>
                <w:szCs w:val="17"/>
              </w:rPr>
              <w:t>钢</w:t>
            </w:r>
            <w:r>
              <w:rPr>
                <w:rFonts w:ascii="宋体" w:hAnsi="宋体" w:eastAsia="宋体" w:cs="宋体"/>
                <w:spacing w:val="11"/>
                <w:sz w:val="17"/>
                <w:szCs w:val="17"/>
              </w:rPr>
              <w:t>筋</w:t>
            </w:r>
            <w:r>
              <w:rPr>
                <w:rFonts w:ascii="宋体" w:hAnsi="宋体" w:eastAsia="宋体" w:cs="宋体"/>
                <w:spacing w:val="9"/>
                <w:sz w:val="17"/>
                <w:szCs w:val="17"/>
              </w:rPr>
              <w:t>笼制作场地设置移动式旱烟净化器</w:t>
            </w:r>
          </w:p>
        </w:tc>
        <w:tc>
          <w:tcPr>
            <w:tcW w:w="990" w:type="dxa"/>
            <w:vAlign w:val="top"/>
          </w:tcPr>
          <w:p>
            <w:pPr>
              <w:spacing w:before="73" w:line="230" w:lineRule="auto"/>
              <w:ind w:left="332"/>
              <w:rPr>
                <w:rFonts w:ascii="宋体" w:hAnsi="宋体" w:eastAsia="宋体" w:cs="宋体"/>
                <w:sz w:val="17"/>
                <w:szCs w:val="17"/>
              </w:rPr>
            </w:pPr>
            <w:r>
              <w:rPr>
                <w:rFonts w:ascii="宋体" w:hAnsi="宋体" w:eastAsia="宋体" w:cs="宋体"/>
                <w:spacing w:val="2"/>
                <w:sz w:val="17"/>
                <w:szCs w:val="17"/>
              </w:rPr>
              <w:t>噪声</w:t>
            </w:r>
          </w:p>
        </w:tc>
        <w:tc>
          <w:tcPr>
            <w:tcW w:w="856" w:type="dxa"/>
            <w:vMerge w:val="continue"/>
            <w:tcBorders>
              <w:top w:val="nil"/>
              <w:bottom w:val="nil"/>
            </w:tcBorders>
            <w:vAlign w:val="top"/>
          </w:tcPr>
          <w:p>
            <w:pPr>
              <w:rPr>
                <w:rFonts w:ascii="Arial"/>
                <w:sz w:val="21"/>
              </w:rPr>
            </w:pP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2" w:hRule="atLeast"/>
        </w:trPr>
        <w:tc>
          <w:tcPr>
            <w:tcW w:w="601" w:type="dxa"/>
            <w:vMerge w:val="continue"/>
            <w:tcBorders>
              <w:top w:val="nil"/>
              <w:left w:val="single" w:color="000000" w:sz="6" w:space="0"/>
              <w:bottom w:val="nil"/>
            </w:tcBorders>
            <w:vAlign w:val="top"/>
          </w:tcPr>
          <w:p>
            <w:pPr>
              <w:rPr>
                <w:rFonts w:ascii="Arial"/>
                <w:sz w:val="21"/>
              </w:rPr>
            </w:pPr>
          </w:p>
        </w:tc>
        <w:tc>
          <w:tcPr>
            <w:tcW w:w="141" w:type="dxa"/>
            <w:vMerge w:val="continue"/>
            <w:tcBorders>
              <w:top w:val="nil"/>
              <w:bottom w:val="nil"/>
            </w:tcBorders>
            <w:vAlign w:val="top"/>
          </w:tcPr>
          <w:p>
            <w:pPr>
              <w:rPr>
                <w:rFonts w:ascii="Arial"/>
                <w:sz w:val="21"/>
              </w:rPr>
            </w:pPr>
          </w:p>
        </w:tc>
        <w:tc>
          <w:tcPr>
            <w:tcW w:w="503" w:type="dxa"/>
            <w:vMerge w:val="continue"/>
            <w:tcBorders>
              <w:top w:val="nil"/>
              <w:bottom w:val="nil"/>
            </w:tcBorders>
            <w:vAlign w:val="top"/>
          </w:tcPr>
          <w:p>
            <w:pPr>
              <w:rPr>
                <w:rFonts w:ascii="Arial"/>
                <w:sz w:val="21"/>
              </w:rPr>
            </w:pPr>
          </w:p>
        </w:tc>
        <w:tc>
          <w:tcPr>
            <w:tcW w:w="925" w:type="dxa"/>
            <w:vMerge w:val="continue"/>
            <w:tcBorders>
              <w:top w:val="nil"/>
            </w:tcBorders>
            <w:vAlign w:val="top"/>
          </w:tcPr>
          <w:p>
            <w:pPr>
              <w:rPr>
                <w:rFonts w:ascii="Arial"/>
                <w:sz w:val="21"/>
              </w:rPr>
            </w:pPr>
          </w:p>
        </w:tc>
        <w:tc>
          <w:tcPr>
            <w:tcW w:w="4750" w:type="dxa"/>
            <w:vAlign w:val="top"/>
          </w:tcPr>
          <w:p>
            <w:pPr>
              <w:spacing w:before="73" w:line="265" w:lineRule="auto"/>
              <w:ind w:left="23" w:firstLine="1"/>
              <w:rPr>
                <w:rFonts w:ascii="宋体" w:hAnsi="宋体" w:eastAsia="宋体" w:cs="宋体"/>
                <w:sz w:val="17"/>
                <w:szCs w:val="17"/>
              </w:rPr>
            </w:pPr>
            <w:r>
              <w:rPr>
                <w:rFonts w:ascii="宋体" w:hAnsi="宋体" w:eastAsia="宋体" w:cs="宋体"/>
                <w:spacing w:val="5"/>
                <w:sz w:val="17"/>
                <w:szCs w:val="17"/>
              </w:rPr>
              <w:t>开挖产生的弃土石方集中堆放，并采取覆盖、喷雾洒水措</w:t>
            </w:r>
            <w:r>
              <w:rPr>
                <w:rFonts w:ascii="宋体" w:hAnsi="宋体" w:eastAsia="宋体" w:cs="宋体"/>
                <w:spacing w:val="4"/>
                <w:sz w:val="17"/>
                <w:szCs w:val="17"/>
              </w:rPr>
              <w:t>施</w:t>
            </w:r>
            <w:r>
              <w:rPr>
                <w:rFonts w:ascii="宋体" w:hAnsi="宋体" w:eastAsia="宋体" w:cs="宋体"/>
                <w:sz w:val="17"/>
                <w:szCs w:val="17"/>
              </w:rPr>
              <w:t xml:space="preserve">； </w:t>
            </w:r>
            <w:r>
              <w:rPr>
                <w:rFonts w:ascii="宋体" w:hAnsi="宋体" w:eastAsia="宋体" w:cs="宋体"/>
                <w:spacing w:val="16"/>
                <w:sz w:val="17"/>
                <w:szCs w:val="17"/>
              </w:rPr>
              <w:t>施</w:t>
            </w:r>
            <w:r>
              <w:rPr>
                <w:rFonts w:ascii="宋体" w:hAnsi="宋体" w:eastAsia="宋体" w:cs="宋体"/>
                <w:spacing w:val="14"/>
                <w:sz w:val="17"/>
                <w:szCs w:val="17"/>
              </w:rPr>
              <w:t>工</w:t>
            </w:r>
            <w:r>
              <w:rPr>
                <w:rFonts w:ascii="宋体" w:hAnsi="宋体" w:eastAsia="宋体" w:cs="宋体"/>
                <w:spacing w:val="8"/>
                <w:sz w:val="17"/>
                <w:szCs w:val="17"/>
              </w:rPr>
              <w:t>场地进出大门口设置颗粒物在线监测系统</w:t>
            </w:r>
          </w:p>
        </w:tc>
        <w:tc>
          <w:tcPr>
            <w:tcW w:w="990" w:type="dxa"/>
            <w:vAlign w:val="top"/>
          </w:tcPr>
          <w:p>
            <w:pPr>
              <w:spacing w:before="179" w:line="243" w:lineRule="exact"/>
              <w:ind w:left="473"/>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56" w:type="dxa"/>
            <w:vMerge w:val="continue"/>
            <w:tcBorders>
              <w:top w:val="nil"/>
              <w:bottom w:val="nil"/>
            </w:tcBorders>
            <w:vAlign w:val="top"/>
          </w:tcPr>
          <w:p>
            <w:pPr>
              <w:rPr>
                <w:rFonts w:ascii="Arial"/>
                <w:sz w:val="21"/>
              </w:rPr>
            </w:pP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47" w:hRule="atLeast"/>
        </w:trPr>
        <w:tc>
          <w:tcPr>
            <w:tcW w:w="601" w:type="dxa"/>
            <w:vMerge w:val="continue"/>
            <w:tcBorders>
              <w:top w:val="nil"/>
              <w:left w:val="single" w:color="000000" w:sz="6" w:space="0"/>
              <w:bottom w:val="nil"/>
            </w:tcBorders>
            <w:vAlign w:val="top"/>
          </w:tcPr>
          <w:p>
            <w:pPr>
              <w:rPr>
                <w:rFonts w:ascii="Arial"/>
                <w:sz w:val="21"/>
              </w:rPr>
            </w:pPr>
          </w:p>
        </w:tc>
        <w:tc>
          <w:tcPr>
            <w:tcW w:w="141" w:type="dxa"/>
            <w:vMerge w:val="continue"/>
            <w:tcBorders>
              <w:top w:val="nil"/>
              <w:bottom w:val="nil"/>
            </w:tcBorders>
            <w:vAlign w:val="top"/>
          </w:tcPr>
          <w:p>
            <w:pPr>
              <w:rPr>
                <w:rFonts w:ascii="Arial"/>
                <w:sz w:val="21"/>
              </w:rPr>
            </w:pPr>
          </w:p>
        </w:tc>
        <w:tc>
          <w:tcPr>
            <w:tcW w:w="503" w:type="dxa"/>
            <w:vMerge w:val="continue"/>
            <w:tcBorders>
              <w:top w:val="nil"/>
              <w:bottom w:val="nil"/>
            </w:tcBorders>
            <w:vAlign w:val="top"/>
          </w:tcPr>
          <w:p>
            <w:pPr>
              <w:rPr>
                <w:rFonts w:ascii="Arial"/>
                <w:sz w:val="21"/>
              </w:rPr>
            </w:pPr>
          </w:p>
        </w:tc>
        <w:tc>
          <w:tcPr>
            <w:tcW w:w="925"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55" w:line="281" w:lineRule="exact"/>
              <w:ind w:left="281"/>
              <w:rPr>
                <w:rFonts w:ascii="宋体" w:hAnsi="宋体" w:eastAsia="宋体" w:cs="宋体"/>
                <w:sz w:val="17"/>
                <w:szCs w:val="17"/>
              </w:rPr>
            </w:pPr>
            <w:r>
              <w:rPr>
                <w:rFonts w:ascii="宋体" w:hAnsi="宋体" w:eastAsia="宋体" w:cs="宋体"/>
                <w:spacing w:val="7"/>
                <w:position w:val="7"/>
                <w:sz w:val="17"/>
                <w:szCs w:val="17"/>
              </w:rPr>
              <w:t>废</w:t>
            </w:r>
            <w:r>
              <w:rPr>
                <w:rFonts w:ascii="宋体" w:hAnsi="宋体" w:eastAsia="宋体" w:cs="宋体"/>
                <w:spacing w:val="6"/>
                <w:position w:val="7"/>
                <w:sz w:val="17"/>
                <w:szCs w:val="17"/>
              </w:rPr>
              <w:t>水</w:t>
            </w:r>
          </w:p>
          <w:p>
            <w:pPr>
              <w:spacing w:line="235" w:lineRule="auto"/>
              <w:ind w:left="286"/>
              <w:rPr>
                <w:rFonts w:ascii="宋体" w:hAnsi="宋体" w:eastAsia="宋体" w:cs="宋体"/>
                <w:sz w:val="17"/>
                <w:szCs w:val="17"/>
              </w:rPr>
            </w:pPr>
            <w:r>
              <w:rPr>
                <w:rFonts w:ascii="宋体" w:hAnsi="宋体" w:eastAsia="宋体" w:cs="宋体"/>
                <w:spacing w:val="4"/>
                <w:sz w:val="17"/>
                <w:szCs w:val="17"/>
              </w:rPr>
              <w:t>治理</w:t>
            </w:r>
          </w:p>
        </w:tc>
        <w:tc>
          <w:tcPr>
            <w:tcW w:w="4750" w:type="dxa"/>
            <w:vAlign w:val="top"/>
          </w:tcPr>
          <w:p>
            <w:pPr>
              <w:spacing w:before="76" w:line="279" w:lineRule="auto"/>
              <w:ind w:left="23" w:right="18"/>
              <w:rPr>
                <w:rFonts w:ascii="宋体" w:hAnsi="宋体" w:eastAsia="宋体" w:cs="宋体"/>
                <w:sz w:val="17"/>
                <w:szCs w:val="17"/>
              </w:rPr>
            </w:pPr>
            <w:r>
              <w:rPr>
                <w:rFonts w:ascii="宋体" w:hAnsi="宋体" w:eastAsia="宋体" w:cs="宋体"/>
                <w:spacing w:val="11"/>
                <w:sz w:val="17"/>
                <w:szCs w:val="17"/>
              </w:rPr>
              <w:t>施工作业场地设置临时排水沟，废水收集后回用于场地防</w:t>
            </w:r>
            <w:r>
              <w:rPr>
                <w:rFonts w:ascii="宋体" w:hAnsi="宋体" w:eastAsia="宋体" w:cs="宋体"/>
                <w:spacing w:val="7"/>
                <w:sz w:val="17"/>
                <w:szCs w:val="17"/>
              </w:rPr>
              <w:t>尘</w:t>
            </w:r>
            <w:r>
              <w:rPr>
                <w:rFonts w:ascii="宋体" w:hAnsi="宋体" w:eastAsia="宋体" w:cs="宋体"/>
                <w:sz w:val="17"/>
                <w:szCs w:val="17"/>
              </w:rPr>
              <w:t xml:space="preserve"> </w:t>
            </w:r>
            <w:r>
              <w:rPr>
                <w:rFonts w:ascii="宋体" w:hAnsi="宋体" w:eastAsia="宋体" w:cs="宋体"/>
                <w:spacing w:val="16"/>
                <w:sz w:val="17"/>
                <w:szCs w:val="17"/>
              </w:rPr>
              <w:t>等</w:t>
            </w:r>
            <w:r>
              <w:rPr>
                <w:rFonts w:ascii="宋体" w:hAnsi="宋体" w:eastAsia="宋体" w:cs="宋体"/>
                <w:spacing w:val="15"/>
                <w:sz w:val="17"/>
                <w:szCs w:val="17"/>
              </w:rPr>
              <w:t>；</w:t>
            </w:r>
            <w:r>
              <w:rPr>
                <w:rFonts w:ascii="宋体" w:hAnsi="宋体" w:eastAsia="宋体" w:cs="宋体"/>
                <w:spacing w:val="8"/>
                <w:sz w:val="17"/>
                <w:szCs w:val="17"/>
              </w:rPr>
              <w:t xml:space="preserve">桥梁两岸施工场地分别设 </w:t>
            </w:r>
            <w:r>
              <w:rPr>
                <w:rFonts w:ascii="Times New Roman" w:hAnsi="Times New Roman" w:eastAsia="Times New Roman" w:cs="Times New Roman"/>
                <w:spacing w:val="8"/>
                <w:sz w:val="17"/>
                <w:szCs w:val="17"/>
              </w:rPr>
              <w:t xml:space="preserve">1 </w:t>
            </w:r>
            <w:r>
              <w:rPr>
                <w:rFonts w:ascii="宋体" w:hAnsi="宋体" w:eastAsia="宋体" w:cs="宋体"/>
                <w:spacing w:val="8"/>
                <w:sz w:val="17"/>
                <w:szCs w:val="17"/>
              </w:rPr>
              <w:t>个钻渣临时堆放点、钻孔泥</w:t>
            </w:r>
            <w:r>
              <w:rPr>
                <w:rFonts w:ascii="宋体" w:hAnsi="宋体" w:eastAsia="宋体" w:cs="宋体"/>
                <w:sz w:val="17"/>
                <w:szCs w:val="17"/>
              </w:rPr>
              <w:t xml:space="preserve"> </w:t>
            </w:r>
            <w:r>
              <w:rPr>
                <w:rFonts w:ascii="宋体" w:hAnsi="宋体" w:eastAsia="宋体" w:cs="宋体"/>
                <w:spacing w:val="9"/>
                <w:sz w:val="17"/>
                <w:szCs w:val="17"/>
              </w:rPr>
              <w:t>浆废水沉淀池</w:t>
            </w:r>
            <w:r>
              <w:rPr>
                <w:rFonts w:ascii="宋体" w:hAnsi="宋体" w:eastAsia="宋体" w:cs="宋体"/>
                <w:spacing w:val="8"/>
                <w:sz w:val="17"/>
                <w:szCs w:val="17"/>
              </w:rPr>
              <w:t>等</w:t>
            </w:r>
          </w:p>
        </w:tc>
        <w:tc>
          <w:tcPr>
            <w:tcW w:w="990" w:type="dxa"/>
            <w:vAlign w:val="top"/>
          </w:tcPr>
          <w:p>
            <w:pPr>
              <w:spacing w:line="298" w:lineRule="auto"/>
              <w:rPr>
                <w:rFonts w:ascii="Arial"/>
                <w:sz w:val="21"/>
              </w:rPr>
            </w:pPr>
          </w:p>
          <w:p>
            <w:pPr>
              <w:spacing w:before="55" w:line="231" w:lineRule="auto"/>
              <w:ind w:left="144"/>
              <w:rPr>
                <w:rFonts w:ascii="宋体" w:hAnsi="宋体" w:eastAsia="宋体" w:cs="宋体"/>
                <w:sz w:val="17"/>
                <w:szCs w:val="17"/>
              </w:rPr>
            </w:pPr>
            <w:r>
              <w:rPr>
                <w:rFonts w:ascii="宋体" w:hAnsi="宋体" w:eastAsia="宋体" w:cs="宋体"/>
                <w:spacing w:val="8"/>
                <w:sz w:val="17"/>
                <w:szCs w:val="17"/>
              </w:rPr>
              <w:t>沉淀泥沙</w:t>
            </w:r>
          </w:p>
        </w:tc>
        <w:tc>
          <w:tcPr>
            <w:tcW w:w="856" w:type="dxa"/>
            <w:vMerge w:val="continue"/>
            <w:tcBorders>
              <w:top w:val="nil"/>
              <w:bottom w:val="nil"/>
            </w:tcBorders>
            <w:vAlign w:val="top"/>
          </w:tcPr>
          <w:p>
            <w:pPr>
              <w:rPr>
                <w:rFonts w:ascii="Arial"/>
                <w:sz w:val="21"/>
              </w:rPr>
            </w:pP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5" w:hRule="atLeast"/>
        </w:trPr>
        <w:tc>
          <w:tcPr>
            <w:tcW w:w="601" w:type="dxa"/>
            <w:vMerge w:val="continue"/>
            <w:tcBorders>
              <w:top w:val="nil"/>
              <w:left w:val="single" w:color="000000" w:sz="6" w:space="0"/>
              <w:bottom w:val="nil"/>
            </w:tcBorders>
            <w:vAlign w:val="top"/>
          </w:tcPr>
          <w:p>
            <w:pPr>
              <w:rPr>
                <w:rFonts w:ascii="Arial"/>
                <w:sz w:val="21"/>
              </w:rPr>
            </w:pPr>
          </w:p>
        </w:tc>
        <w:tc>
          <w:tcPr>
            <w:tcW w:w="141" w:type="dxa"/>
            <w:vMerge w:val="continue"/>
            <w:tcBorders>
              <w:top w:val="nil"/>
              <w:bottom w:val="nil"/>
            </w:tcBorders>
            <w:vAlign w:val="top"/>
          </w:tcPr>
          <w:p>
            <w:pPr>
              <w:rPr>
                <w:rFonts w:ascii="Arial"/>
                <w:sz w:val="21"/>
              </w:rPr>
            </w:pPr>
          </w:p>
        </w:tc>
        <w:tc>
          <w:tcPr>
            <w:tcW w:w="503" w:type="dxa"/>
            <w:vMerge w:val="continue"/>
            <w:tcBorders>
              <w:top w:val="nil"/>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750" w:type="dxa"/>
            <w:vAlign w:val="top"/>
          </w:tcPr>
          <w:p>
            <w:pPr>
              <w:spacing w:before="75" w:line="266" w:lineRule="auto"/>
              <w:ind w:left="25" w:right="18" w:hanging="2"/>
              <w:rPr>
                <w:rFonts w:ascii="宋体" w:hAnsi="宋体" w:eastAsia="宋体" w:cs="宋体"/>
                <w:sz w:val="17"/>
                <w:szCs w:val="17"/>
              </w:rPr>
            </w:pPr>
            <w:r>
              <w:rPr>
                <w:rFonts w:ascii="宋体" w:hAnsi="宋体" w:eastAsia="宋体" w:cs="宋体"/>
                <w:spacing w:val="6"/>
                <w:sz w:val="17"/>
                <w:szCs w:val="17"/>
              </w:rPr>
              <w:t>在车辆冲洗</w:t>
            </w:r>
            <w:r>
              <w:rPr>
                <w:rFonts w:ascii="宋体" w:hAnsi="宋体" w:eastAsia="宋体" w:cs="宋体"/>
                <w:spacing w:val="5"/>
                <w:sz w:val="17"/>
                <w:szCs w:val="17"/>
              </w:rPr>
              <w:t>台</w:t>
            </w:r>
            <w:r>
              <w:rPr>
                <w:rFonts w:ascii="宋体" w:hAnsi="宋体" w:eastAsia="宋体" w:cs="宋体"/>
                <w:spacing w:val="3"/>
                <w:sz w:val="17"/>
                <w:szCs w:val="17"/>
              </w:rPr>
              <w:t xml:space="preserve">旁建设 </w:t>
            </w:r>
            <w:r>
              <w:rPr>
                <w:rFonts w:ascii="Times New Roman" w:hAnsi="Times New Roman" w:eastAsia="Times New Roman" w:cs="Times New Roman"/>
                <w:spacing w:val="3"/>
                <w:sz w:val="17"/>
                <w:szCs w:val="17"/>
              </w:rPr>
              <w:t xml:space="preserve">1 </w:t>
            </w:r>
            <w:r>
              <w:rPr>
                <w:rFonts w:ascii="宋体" w:hAnsi="宋体" w:eastAsia="宋体" w:cs="宋体"/>
                <w:spacing w:val="3"/>
                <w:sz w:val="17"/>
                <w:szCs w:val="17"/>
              </w:rPr>
              <w:t xml:space="preserve">个沉淀池，容积为 </w:t>
            </w:r>
            <w:r>
              <w:rPr>
                <w:rFonts w:ascii="Times New Roman" w:hAnsi="Times New Roman" w:eastAsia="Times New Roman" w:cs="Times New Roman"/>
                <w:spacing w:val="3"/>
                <w:sz w:val="17"/>
                <w:szCs w:val="17"/>
              </w:rPr>
              <w:t>10</w:t>
            </w:r>
            <w:r>
              <w:rPr>
                <w:rFonts w:ascii="Times New Roman" w:hAnsi="Times New Roman" w:eastAsia="Times New Roman" w:cs="Times New Roman"/>
                <w:sz w:val="17"/>
                <w:szCs w:val="17"/>
              </w:rPr>
              <w:t>m</w:t>
            </w:r>
            <w:r>
              <w:rPr>
                <w:rFonts w:ascii="宋体" w:hAnsi="宋体" w:eastAsia="宋体" w:cs="宋体"/>
                <w:spacing w:val="3"/>
                <w:sz w:val="17"/>
                <w:szCs w:val="17"/>
              </w:rPr>
              <w:t>³，冲洗废水沉</w:t>
            </w:r>
            <w:r>
              <w:rPr>
                <w:rFonts w:ascii="宋体" w:hAnsi="宋体" w:eastAsia="宋体" w:cs="宋体"/>
                <w:sz w:val="17"/>
                <w:szCs w:val="17"/>
              </w:rPr>
              <w:t xml:space="preserve"> </w:t>
            </w:r>
            <w:r>
              <w:rPr>
                <w:rFonts w:ascii="宋体" w:hAnsi="宋体" w:eastAsia="宋体" w:cs="宋体"/>
                <w:spacing w:val="10"/>
                <w:sz w:val="17"/>
                <w:szCs w:val="17"/>
              </w:rPr>
              <w:t>淀</w:t>
            </w:r>
            <w:r>
              <w:rPr>
                <w:rFonts w:ascii="宋体" w:hAnsi="宋体" w:eastAsia="宋体" w:cs="宋体"/>
                <w:spacing w:val="8"/>
                <w:sz w:val="17"/>
                <w:szCs w:val="17"/>
              </w:rPr>
              <w:t>后循环利用</w:t>
            </w:r>
          </w:p>
        </w:tc>
        <w:tc>
          <w:tcPr>
            <w:tcW w:w="990" w:type="dxa"/>
            <w:vAlign w:val="top"/>
          </w:tcPr>
          <w:p>
            <w:pPr>
              <w:spacing w:before="214" w:line="231" w:lineRule="auto"/>
              <w:ind w:left="144"/>
              <w:rPr>
                <w:rFonts w:ascii="宋体" w:hAnsi="宋体" w:eastAsia="宋体" w:cs="宋体"/>
                <w:sz w:val="17"/>
                <w:szCs w:val="17"/>
              </w:rPr>
            </w:pPr>
            <w:r>
              <w:rPr>
                <w:rFonts w:ascii="宋体" w:hAnsi="宋体" w:eastAsia="宋体" w:cs="宋体"/>
                <w:spacing w:val="8"/>
                <w:sz w:val="17"/>
                <w:szCs w:val="17"/>
              </w:rPr>
              <w:t>沉淀泥沙</w:t>
            </w:r>
          </w:p>
        </w:tc>
        <w:tc>
          <w:tcPr>
            <w:tcW w:w="856" w:type="dxa"/>
            <w:vMerge w:val="continue"/>
            <w:tcBorders>
              <w:top w:val="nil"/>
              <w:bottom w:val="nil"/>
            </w:tcBorders>
            <w:vAlign w:val="top"/>
          </w:tcPr>
          <w:p>
            <w:pPr>
              <w:rPr>
                <w:rFonts w:ascii="Arial"/>
                <w:sz w:val="21"/>
              </w:rPr>
            </w:pP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01" w:type="dxa"/>
            <w:vMerge w:val="continue"/>
            <w:tcBorders>
              <w:top w:val="nil"/>
              <w:left w:val="single" w:color="000000" w:sz="6" w:space="0"/>
              <w:bottom w:val="nil"/>
            </w:tcBorders>
            <w:vAlign w:val="top"/>
          </w:tcPr>
          <w:p>
            <w:pPr>
              <w:rPr>
                <w:rFonts w:ascii="Arial"/>
                <w:sz w:val="21"/>
              </w:rPr>
            </w:pPr>
          </w:p>
        </w:tc>
        <w:tc>
          <w:tcPr>
            <w:tcW w:w="141" w:type="dxa"/>
            <w:vMerge w:val="continue"/>
            <w:tcBorders>
              <w:top w:val="nil"/>
              <w:bottom w:val="nil"/>
            </w:tcBorders>
            <w:vAlign w:val="top"/>
          </w:tcPr>
          <w:p>
            <w:pPr>
              <w:rPr>
                <w:rFonts w:ascii="Arial"/>
                <w:sz w:val="21"/>
              </w:rPr>
            </w:pPr>
          </w:p>
        </w:tc>
        <w:tc>
          <w:tcPr>
            <w:tcW w:w="503" w:type="dxa"/>
            <w:vMerge w:val="continue"/>
            <w:tcBorders>
              <w:top w:val="nil"/>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750" w:type="dxa"/>
            <w:vAlign w:val="top"/>
          </w:tcPr>
          <w:p>
            <w:pPr>
              <w:spacing w:before="74" w:line="229" w:lineRule="auto"/>
              <w:ind w:left="26"/>
              <w:rPr>
                <w:rFonts w:ascii="宋体" w:hAnsi="宋体" w:eastAsia="宋体" w:cs="宋体"/>
                <w:sz w:val="17"/>
                <w:szCs w:val="17"/>
              </w:rPr>
            </w:pPr>
            <w:r>
              <w:rPr>
                <w:rFonts w:ascii="宋体" w:hAnsi="宋体" w:eastAsia="宋体" w:cs="宋体"/>
                <w:spacing w:val="18"/>
                <w:sz w:val="17"/>
                <w:szCs w:val="17"/>
              </w:rPr>
              <w:t>混</w:t>
            </w:r>
            <w:r>
              <w:rPr>
                <w:rFonts w:ascii="宋体" w:hAnsi="宋体" w:eastAsia="宋体" w:cs="宋体"/>
                <w:spacing w:val="11"/>
                <w:sz w:val="17"/>
                <w:szCs w:val="17"/>
              </w:rPr>
              <w:t>凝</w:t>
            </w:r>
            <w:r>
              <w:rPr>
                <w:rFonts w:ascii="宋体" w:hAnsi="宋体" w:eastAsia="宋体" w:cs="宋体"/>
                <w:spacing w:val="9"/>
                <w:sz w:val="17"/>
                <w:szCs w:val="17"/>
              </w:rPr>
              <w:t>土养护废水通过自然蒸发损失，不产生废水</w:t>
            </w:r>
          </w:p>
        </w:tc>
        <w:tc>
          <w:tcPr>
            <w:tcW w:w="990" w:type="dxa"/>
            <w:vAlign w:val="top"/>
          </w:tcPr>
          <w:p>
            <w:pPr>
              <w:spacing w:before="41" w:line="242" w:lineRule="exact"/>
              <w:ind w:left="473"/>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56" w:type="dxa"/>
            <w:vMerge w:val="continue"/>
            <w:tcBorders>
              <w:top w:val="nil"/>
              <w:bottom w:val="nil"/>
            </w:tcBorders>
            <w:vAlign w:val="top"/>
          </w:tcPr>
          <w:p>
            <w:pPr>
              <w:rPr>
                <w:rFonts w:ascii="Arial"/>
                <w:sz w:val="21"/>
              </w:rPr>
            </w:pP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1" w:type="dxa"/>
            <w:vMerge w:val="continue"/>
            <w:tcBorders>
              <w:top w:val="nil"/>
              <w:left w:val="single" w:color="000000" w:sz="6" w:space="0"/>
              <w:bottom w:val="nil"/>
            </w:tcBorders>
            <w:vAlign w:val="top"/>
          </w:tcPr>
          <w:p>
            <w:pPr>
              <w:rPr>
                <w:rFonts w:ascii="Arial"/>
                <w:sz w:val="21"/>
              </w:rPr>
            </w:pPr>
          </w:p>
        </w:tc>
        <w:tc>
          <w:tcPr>
            <w:tcW w:w="141" w:type="dxa"/>
            <w:vMerge w:val="continue"/>
            <w:tcBorders>
              <w:top w:val="nil"/>
              <w:bottom w:val="nil"/>
            </w:tcBorders>
            <w:vAlign w:val="top"/>
          </w:tcPr>
          <w:p>
            <w:pPr>
              <w:rPr>
                <w:rFonts w:ascii="Arial"/>
                <w:sz w:val="21"/>
              </w:rPr>
            </w:pPr>
          </w:p>
        </w:tc>
        <w:tc>
          <w:tcPr>
            <w:tcW w:w="503" w:type="dxa"/>
            <w:vMerge w:val="continue"/>
            <w:tcBorders>
              <w:top w:val="nil"/>
              <w:bottom w:val="nil"/>
            </w:tcBorders>
            <w:vAlign w:val="top"/>
          </w:tcPr>
          <w:p>
            <w:pPr>
              <w:rPr>
                <w:rFonts w:ascii="Arial"/>
                <w:sz w:val="21"/>
              </w:rPr>
            </w:pPr>
          </w:p>
        </w:tc>
        <w:tc>
          <w:tcPr>
            <w:tcW w:w="925" w:type="dxa"/>
            <w:vMerge w:val="continue"/>
            <w:tcBorders>
              <w:top w:val="nil"/>
            </w:tcBorders>
            <w:vAlign w:val="top"/>
          </w:tcPr>
          <w:p>
            <w:pPr>
              <w:rPr>
                <w:rFonts w:ascii="Arial"/>
                <w:sz w:val="21"/>
              </w:rPr>
            </w:pPr>
          </w:p>
        </w:tc>
        <w:tc>
          <w:tcPr>
            <w:tcW w:w="4750" w:type="dxa"/>
            <w:vAlign w:val="top"/>
          </w:tcPr>
          <w:p>
            <w:pPr>
              <w:spacing w:before="73" w:line="227" w:lineRule="auto"/>
              <w:ind w:left="23"/>
              <w:rPr>
                <w:rFonts w:ascii="宋体" w:hAnsi="宋体" w:eastAsia="宋体" w:cs="宋体"/>
                <w:sz w:val="17"/>
                <w:szCs w:val="17"/>
              </w:rPr>
            </w:pPr>
            <w:r>
              <w:rPr>
                <w:rFonts w:ascii="宋体" w:hAnsi="宋体" w:eastAsia="宋体" w:cs="宋体"/>
                <w:spacing w:val="9"/>
                <w:sz w:val="17"/>
                <w:szCs w:val="17"/>
              </w:rPr>
              <w:t>施工营地 (场地) 设置移动式旱厕，定期委托环卫清</w:t>
            </w:r>
            <w:r>
              <w:rPr>
                <w:rFonts w:ascii="宋体" w:hAnsi="宋体" w:eastAsia="宋体" w:cs="宋体"/>
                <w:spacing w:val="8"/>
                <w:sz w:val="17"/>
                <w:szCs w:val="17"/>
              </w:rPr>
              <w:t>运</w:t>
            </w:r>
          </w:p>
        </w:tc>
        <w:tc>
          <w:tcPr>
            <w:tcW w:w="990" w:type="dxa"/>
            <w:vAlign w:val="top"/>
          </w:tcPr>
          <w:p>
            <w:pPr>
              <w:spacing w:before="73" w:line="227" w:lineRule="auto"/>
              <w:ind w:left="324"/>
              <w:rPr>
                <w:rFonts w:ascii="宋体" w:hAnsi="宋体" w:eastAsia="宋体" w:cs="宋体"/>
                <w:sz w:val="17"/>
                <w:szCs w:val="17"/>
              </w:rPr>
            </w:pPr>
            <w:r>
              <w:rPr>
                <w:rFonts w:ascii="宋体" w:hAnsi="宋体" w:eastAsia="宋体" w:cs="宋体"/>
                <w:spacing w:val="6"/>
                <w:sz w:val="17"/>
                <w:szCs w:val="17"/>
              </w:rPr>
              <w:t>恶臭</w:t>
            </w:r>
          </w:p>
        </w:tc>
        <w:tc>
          <w:tcPr>
            <w:tcW w:w="856" w:type="dxa"/>
            <w:vMerge w:val="continue"/>
            <w:tcBorders>
              <w:top w:val="nil"/>
              <w:bottom w:val="nil"/>
            </w:tcBorders>
            <w:vAlign w:val="top"/>
          </w:tcPr>
          <w:p>
            <w:pPr>
              <w:rPr>
                <w:rFonts w:ascii="Arial"/>
                <w:sz w:val="21"/>
              </w:rPr>
            </w:pP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601" w:type="dxa"/>
            <w:vMerge w:val="continue"/>
            <w:tcBorders>
              <w:top w:val="nil"/>
              <w:left w:val="single" w:color="000000" w:sz="6" w:space="0"/>
              <w:bottom w:val="nil"/>
            </w:tcBorders>
            <w:vAlign w:val="top"/>
          </w:tcPr>
          <w:p>
            <w:pPr>
              <w:rPr>
                <w:rFonts w:ascii="Arial"/>
                <w:sz w:val="21"/>
              </w:rPr>
            </w:pPr>
          </w:p>
        </w:tc>
        <w:tc>
          <w:tcPr>
            <w:tcW w:w="141" w:type="dxa"/>
            <w:vMerge w:val="continue"/>
            <w:tcBorders>
              <w:top w:val="nil"/>
              <w:bottom w:val="nil"/>
            </w:tcBorders>
            <w:vAlign w:val="top"/>
          </w:tcPr>
          <w:p>
            <w:pPr>
              <w:rPr>
                <w:rFonts w:ascii="Arial"/>
                <w:sz w:val="21"/>
              </w:rPr>
            </w:pPr>
          </w:p>
        </w:tc>
        <w:tc>
          <w:tcPr>
            <w:tcW w:w="503" w:type="dxa"/>
            <w:vMerge w:val="continue"/>
            <w:tcBorders>
              <w:top w:val="nil"/>
              <w:bottom w:val="nil"/>
            </w:tcBorders>
            <w:vAlign w:val="top"/>
          </w:tcPr>
          <w:p>
            <w:pPr>
              <w:rPr>
                <w:rFonts w:ascii="Arial"/>
                <w:sz w:val="21"/>
              </w:rPr>
            </w:pPr>
          </w:p>
        </w:tc>
        <w:tc>
          <w:tcPr>
            <w:tcW w:w="925" w:type="dxa"/>
            <w:vMerge w:val="restart"/>
            <w:tcBorders>
              <w:bottom w:val="nil"/>
            </w:tcBorders>
            <w:vAlign w:val="top"/>
          </w:tcPr>
          <w:p>
            <w:pPr>
              <w:spacing w:line="305" w:lineRule="auto"/>
              <w:rPr>
                <w:rFonts w:ascii="Arial"/>
                <w:sz w:val="21"/>
              </w:rPr>
            </w:pPr>
          </w:p>
          <w:p>
            <w:pPr>
              <w:spacing w:before="55" w:line="278" w:lineRule="exact"/>
              <w:ind w:left="290"/>
              <w:rPr>
                <w:rFonts w:ascii="宋体" w:hAnsi="宋体" w:eastAsia="宋体" w:cs="宋体"/>
                <w:sz w:val="17"/>
                <w:szCs w:val="17"/>
              </w:rPr>
            </w:pPr>
            <w:r>
              <w:rPr>
                <w:rFonts w:ascii="宋体" w:hAnsi="宋体" w:eastAsia="宋体" w:cs="宋体"/>
                <w:spacing w:val="2"/>
                <w:position w:val="7"/>
                <w:sz w:val="17"/>
                <w:szCs w:val="17"/>
              </w:rPr>
              <w:t>噪声</w:t>
            </w:r>
          </w:p>
          <w:p>
            <w:pPr>
              <w:spacing w:line="235" w:lineRule="auto"/>
              <w:ind w:left="286"/>
              <w:rPr>
                <w:rFonts w:ascii="宋体" w:hAnsi="宋体" w:eastAsia="宋体" w:cs="宋体"/>
                <w:sz w:val="17"/>
                <w:szCs w:val="17"/>
              </w:rPr>
            </w:pPr>
            <w:r>
              <w:rPr>
                <w:rFonts w:ascii="宋体" w:hAnsi="宋体" w:eastAsia="宋体" w:cs="宋体"/>
                <w:spacing w:val="4"/>
                <w:sz w:val="17"/>
                <w:szCs w:val="17"/>
              </w:rPr>
              <w:t>治理</w:t>
            </w:r>
          </w:p>
        </w:tc>
        <w:tc>
          <w:tcPr>
            <w:tcW w:w="4750" w:type="dxa"/>
            <w:vAlign w:val="top"/>
          </w:tcPr>
          <w:p>
            <w:pPr>
              <w:spacing w:before="76" w:line="266" w:lineRule="auto"/>
              <w:ind w:left="23" w:right="18"/>
              <w:rPr>
                <w:rFonts w:ascii="宋体" w:hAnsi="宋体" w:eastAsia="宋体" w:cs="宋体"/>
                <w:sz w:val="17"/>
                <w:szCs w:val="17"/>
              </w:rPr>
            </w:pPr>
            <w:r>
              <w:rPr>
                <w:rFonts w:ascii="宋体" w:hAnsi="宋体" w:eastAsia="宋体" w:cs="宋体"/>
                <w:spacing w:val="11"/>
                <w:sz w:val="17"/>
                <w:szCs w:val="17"/>
              </w:rPr>
              <w:t>施工选用低噪声设备，加强设备保养，规范操作；施工场</w:t>
            </w:r>
            <w:r>
              <w:rPr>
                <w:rFonts w:ascii="宋体" w:hAnsi="宋体" w:eastAsia="宋体" w:cs="宋体"/>
                <w:spacing w:val="7"/>
                <w:sz w:val="17"/>
                <w:szCs w:val="17"/>
              </w:rPr>
              <w:t>地</w:t>
            </w:r>
            <w:r>
              <w:rPr>
                <w:rFonts w:ascii="宋体" w:hAnsi="宋体" w:eastAsia="宋体" w:cs="宋体"/>
                <w:sz w:val="17"/>
                <w:szCs w:val="17"/>
              </w:rPr>
              <w:t xml:space="preserve"> </w:t>
            </w:r>
            <w:r>
              <w:rPr>
                <w:rFonts w:ascii="宋体" w:hAnsi="宋体" w:eastAsia="宋体" w:cs="宋体"/>
                <w:spacing w:val="18"/>
                <w:sz w:val="17"/>
                <w:szCs w:val="17"/>
              </w:rPr>
              <w:t>进</w:t>
            </w:r>
            <w:r>
              <w:rPr>
                <w:rFonts w:ascii="宋体" w:hAnsi="宋体" w:eastAsia="宋体" w:cs="宋体"/>
                <w:spacing w:val="9"/>
                <w:sz w:val="17"/>
                <w:szCs w:val="17"/>
              </w:rPr>
              <w:t>出大门口设置噪声在线监测系统</w:t>
            </w:r>
          </w:p>
        </w:tc>
        <w:tc>
          <w:tcPr>
            <w:tcW w:w="990" w:type="dxa"/>
            <w:vAlign w:val="top"/>
          </w:tcPr>
          <w:p>
            <w:pPr>
              <w:rPr>
                <w:rFonts w:ascii="Arial"/>
                <w:sz w:val="21"/>
              </w:rPr>
            </w:pPr>
          </w:p>
        </w:tc>
        <w:tc>
          <w:tcPr>
            <w:tcW w:w="856" w:type="dxa"/>
            <w:vMerge w:val="continue"/>
            <w:tcBorders>
              <w:top w:val="nil"/>
              <w:bottom w:val="nil"/>
            </w:tcBorders>
            <w:vAlign w:val="top"/>
          </w:tcPr>
          <w:p>
            <w:pPr>
              <w:rPr>
                <w:rFonts w:ascii="Arial"/>
                <w:sz w:val="21"/>
              </w:rPr>
            </w:pP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601" w:type="dxa"/>
            <w:vMerge w:val="continue"/>
            <w:tcBorders>
              <w:top w:val="nil"/>
              <w:left w:val="single" w:color="000000" w:sz="6" w:space="0"/>
              <w:bottom w:val="nil"/>
            </w:tcBorders>
            <w:vAlign w:val="top"/>
          </w:tcPr>
          <w:p>
            <w:pPr>
              <w:rPr>
                <w:rFonts w:ascii="Arial"/>
                <w:sz w:val="21"/>
              </w:rPr>
            </w:pPr>
          </w:p>
        </w:tc>
        <w:tc>
          <w:tcPr>
            <w:tcW w:w="141" w:type="dxa"/>
            <w:vMerge w:val="continue"/>
            <w:tcBorders>
              <w:top w:val="nil"/>
              <w:bottom w:val="nil"/>
            </w:tcBorders>
            <w:vAlign w:val="top"/>
          </w:tcPr>
          <w:p>
            <w:pPr>
              <w:rPr>
                <w:rFonts w:ascii="Arial"/>
                <w:sz w:val="21"/>
              </w:rPr>
            </w:pPr>
          </w:p>
        </w:tc>
        <w:tc>
          <w:tcPr>
            <w:tcW w:w="503" w:type="dxa"/>
            <w:vMerge w:val="continue"/>
            <w:tcBorders>
              <w:top w:val="nil"/>
              <w:bottom w:val="nil"/>
            </w:tcBorders>
            <w:vAlign w:val="top"/>
          </w:tcPr>
          <w:p>
            <w:pPr>
              <w:rPr>
                <w:rFonts w:ascii="Arial"/>
                <w:sz w:val="21"/>
              </w:rPr>
            </w:pPr>
          </w:p>
        </w:tc>
        <w:tc>
          <w:tcPr>
            <w:tcW w:w="925" w:type="dxa"/>
            <w:vMerge w:val="continue"/>
            <w:tcBorders>
              <w:top w:val="nil"/>
            </w:tcBorders>
            <w:vAlign w:val="top"/>
          </w:tcPr>
          <w:p>
            <w:pPr>
              <w:rPr>
                <w:rFonts w:ascii="Arial"/>
                <w:sz w:val="21"/>
              </w:rPr>
            </w:pPr>
          </w:p>
        </w:tc>
        <w:tc>
          <w:tcPr>
            <w:tcW w:w="4750" w:type="dxa"/>
            <w:vAlign w:val="top"/>
          </w:tcPr>
          <w:p>
            <w:pPr>
              <w:spacing w:before="74" w:line="265" w:lineRule="auto"/>
              <w:ind w:left="37" w:right="18" w:hanging="7"/>
              <w:rPr>
                <w:rFonts w:ascii="宋体" w:hAnsi="宋体" w:eastAsia="宋体" w:cs="宋体"/>
                <w:sz w:val="17"/>
                <w:szCs w:val="17"/>
              </w:rPr>
            </w:pPr>
            <w:r>
              <w:rPr>
                <w:rFonts w:ascii="宋体" w:hAnsi="宋体" w:eastAsia="宋体" w:cs="宋体"/>
                <w:spacing w:val="20"/>
                <w:sz w:val="17"/>
                <w:szCs w:val="17"/>
              </w:rPr>
              <w:t>营</w:t>
            </w:r>
            <w:r>
              <w:rPr>
                <w:rFonts w:ascii="宋体" w:hAnsi="宋体" w:eastAsia="宋体" w:cs="宋体"/>
                <w:spacing w:val="16"/>
                <w:sz w:val="17"/>
                <w:szCs w:val="17"/>
              </w:rPr>
              <w:t>运</w:t>
            </w:r>
            <w:r>
              <w:rPr>
                <w:rFonts w:ascii="宋体" w:hAnsi="宋体" w:eastAsia="宋体" w:cs="宋体"/>
                <w:spacing w:val="10"/>
                <w:sz w:val="17"/>
                <w:szCs w:val="17"/>
              </w:rPr>
              <w:t>期跟踪监测、根据跟踪监测结果合理设置隔声屏；设置</w:t>
            </w:r>
            <w:r>
              <w:rPr>
                <w:rFonts w:ascii="宋体" w:hAnsi="宋体" w:eastAsia="宋体" w:cs="宋体"/>
                <w:sz w:val="17"/>
                <w:szCs w:val="17"/>
              </w:rPr>
              <w:t xml:space="preserve"> </w:t>
            </w:r>
            <w:r>
              <w:rPr>
                <w:rFonts w:ascii="宋体" w:hAnsi="宋体" w:eastAsia="宋体" w:cs="宋体"/>
                <w:spacing w:val="8"/>
                <w:sz w:val="17"/>
                <w:szCs w:val="17"/>
              </w:rPr>
              <w:t>限</w:t>
            </w:r>
            <w:r>
              <w:rPr>
                <w:rFonts w:ascii="宋体" w:hAnsi="宋体" w:eastAsia="宋体" w:cs="宋体"/>
                <w:spacing w:val="7"/>
                <w:sz w:val="17"/>
                <w:szCs w:val="17"/>
              </w:rPr>
              <w:t>速禁鸣标识等</w:t>
            </w:r>
          </w:p>
        </w:tc>
        <w:tc>
          <w:tcPr>
            <w:tcW w:w="990" w:type="dxa"/>
            <w:vAlign w:val="top"/>
          </w:tcPr>
          <w:p>
            <w:pPr>
              <w:spacing w:before="181" w:line="242" w:lineRule="exact"/>
              <w:ind w:left="473"/>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56" w:type="dxa"/>
            <w:vMerge w:val="continue"/>
            <w:tcBorders>
              <w:top w:val="nil"/>
              <w:bottom w:val="nil"/>
            </w:tcBorders>
            <w:vAlign w:val="top"/>
          </w:tcPr>
          <w:p>
            <w:pPr>
              <w:rPr>
                <w:rFonts w:ascii="Arial"/>
                <w:sz w:val="21"/>
              </w:rPr>
            </w:pP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601" w:type="dxa"/>
            <w:vMerge w:val="continue"/>
            <w:tcBorders>
              <w:top w:val="nil"/>
              <w:left w:val="single" w:color="000000" w:sz="6" w:space="0"/>
            </w:tcBorders>
            <w:vAlign w:val="top"/>
          </w:tcPr>
          <w:p>
            <w:pPr>
              <w:rPr>
                <w:rFonts w:ascii="Arial"/>
                <w:sz w:val="21"/>
              </w:rPr>
            </w:pPr>
          </w:p>
        </w:tc>
        <w:tc>
          <w:tcPr>
            <w:tcW w:w="141" w:type="dxa"/>
            <w:vMerge w:val="continue"/>
            <w:tcBorders>
              <w:top w:val="nil"/>
            </w:tcBorders>
            <w:vAlign w:val="top"/>
          </w:tcPr>
          <w:p>
            <w:pPr>
              <w:rPr>
                <w:rFonts w:ascii="Arial"/>
                <w:sz w:val="21"/>
              </w:rPr>
            </w:pPr>
          </w:p>
        </w:tc>
        <w:tc>
          <w:tcPr>
            <w:tcW w:w="503" w:type="dxa"/>
            <w:vMerge w:val="continue"/>
            <w:tcBorders>
              <w:top w:val="nil"/>
            </w:tcBorders>
            <w:vAlign w:val="top"/>
          </w:tcPr>
          <w:p>
            <w:pPr>
              <w:rPr>
                <w:rFonts w:ascii="Arial"/>
                <w:sz w:val="21"/>
              </w:rPr>
            </w:pPr>
          </w:p>
        </w:tc>
        <w:tc>
          <w:tcPr>
            <w:tcW w:w="925" w:type="dxa"/>
            <w:vAlign w:val="top"/>
          </w:tcPr>
          <w:p>
            <w:pPr>
              <w:spacing w:before="77" w:line="231" w:lineRule="auto"/>
              <w:ind w:left="297"/>
              <w:rPr>
                <w:rFonts w:ascii="宋体" w:hAnsi="宋体" w:eastAsia="宋体" w:cs="宋体"/>
                <w:sz w:val="17"/>
                <w:szCs w:val="17"/>
              </w:rPr>
            </w:pPr>
            <w:r>
              <w:rPr>
                <w:rFonts w:ascii="宋体" w:hAnsi="宋体" w:eastAsia="宋体" w:cs="宋体"/>
                <w:spacing w:val="-2"/>
                <w:sz w:val="17"/>
                <w:szCs w:val="17"/>
              </w:rPr>
              <w:t>固</w:t>
            </w:r>
            <w:r>
              <w:rPr>
                <w:rFonts w:ascii="宋体" w:hAnsi="宋体" w:eastAsia="宋体" w:cs="宋体"/>
                <w:spacing w:val="-1"/>
                <w:sz w:val="17"/>
                <w:szCs w:val="17"/>
              </w:rPr>
              <w:t>废</w:t>
            </w:r>
          </w:p>
        </w:tc>
        <w:tc>
          <w:tcPr>
            <w:tcW w:w="4750" w:type="dxa"/>
            <w:vAlign w:val="top"/>
          </w:tcPr>
          <w:p>
            <w:pPr>
              <w:spacing w:before="77" w:line="230" w:lineRule="auto"/>
              <w:ind w:left="25"/>
              <w:rPr>
                <w:rFonts w:ascii="宋体" w:hAnsi="宋体" w:eastAsia="宋体" w:cs="宋体"/>
                <w:sz w:val="17"/>
                <w:szCs w:val="17"/>
              </w:rPr>
            </w:pPr>
            <w:r>
              <w:rPr>
                <w:rFonts w:ascii="宋体" w:hAnsi="宋体" w:eastAsia="宋体" w:cs="宋体"/>
                <w:spacing w:val="5"/>
                <w:sz w:val="17"/>
                <w:szCs w:val="17"/>
              </w:rPr>
              <w:t>开挖的土石方集中堆放，用于桥台台背回填和后期植被恢</w:t>
            </w:r>
            <w:r>
              <w:rPr>
                <w:rFonts w:ascii="宋体" w:hAnsi="宋体" w:eastAsia="宋体" w:cs="宋体"/>
                <w:spacing w:val="4"/>
                <w:sz w:val="17"/>
                <w:szCs w:val="17"/>
              </w:rPr>
              <w:t>复</w:t>
            </w:r>
            <w:r>
              <w:rPr>
                <w:rFonts w:ascii="宋体" w:hAnsi="宋体" w:eastAsia="宋体" w:cs="宋体"/>
                <w:sz w:val="17"/>
                <w:szCs w:val="17"/>
              </w:rPr>
              <w:t>，</w:t>
            </w:r>
          </w:p>
        </w:tc>
        <w:tc>
          <w:tcPr>
            <w:tcW w:w="990" w:type="dxa"/>
            <w:vAlign w:val="top"/>
          </w:tcPr>
          <w:p>
            <w:pPr>
              <w:spacing w:before="77" w:line="230" w:lineRule="auto"/>
              <w:ind w:left="55"/>
              <w:rPr>
                <w:rFonts w:ascii="宋体" w:hAnsi="宋体" w:eastAsia="宋体" w:cs="宋体"/>
                <w:sz w:val="17"/>
                <w:szCs w:val="17"/>
              </w:rPr>
            </w:pPr>
            <w:r>
              <w:rPr>
                <w:rFonts w:ascii="宋体" w:hAnsi="宋体" w:eastAsia="宋体" w:cs="宋体"/>
                <w:spacing w:val="8"/>
                <w:sz w:val="17"/>
                <w:szCs w:val="17"/>
              </w:rPr>
              <w:t>运</w:t>
            </w:r>
            <w:r>
              <w:rPr>
                <w:rFonts w:ascii="宋体" w:hAnsi="宋体" w:eastAsia="宋体" w:cs="宋体"/>
                <w:spacing w:val="6"/>
                <w:sz w:val="17"/>
                <w:szCs w:val="17"/>
              </w:rPr>
              <w:t>输扬尘、</w:t>
            </w:r>
          </w:p>
        </w:tc>
        <w:tc>
          <w:tcPr>
            <w:tcW w:w="856" w:type="dxa"/>
            <w:vMerge w:val="continue"/>
            <w:tcBorders>
              <w:top w:val="nil"/>
            </w:tcBorders>
            <w:vAlign w:val="top"/>
          </w:tcPr>
          <w:p>
            <w:pPr>
              <w:rPr>
                <w:rFonts w:ascii="Arial"/>
                <w:sz w:val="21"/>
              </w:rPr>
            </w:pPr>
          </w:p>
        </w:tc>
        <w:tc>
          <w:tcPr>
            <w:tcW w:w="151" w:type="dxa"/>
            <w:vMerge w:val="continue"/>
            <w:tcBorders>
              <w:top w:val="nil"/>
              <w:right w:val="single" w:color="000000" w:sz="6" w:space="0"/>
            </w:tcBorders>
            <w:vAlign w:val="top"/>
          </w:tcPr>
          <w:p>
            <w:pPr>
              <w:rPr>
                <w:rFonts w:ascii="Arial"/>
                <w:sz w:val="21"/>
              </w:rPr>
            </w:pPr>
          </w:p>
        </w:tc>
      </w:tr>
    </w:tbl>
    <w:p>
      <w:pPr>
        <w:rPr>
          <w:rFonts w:ascii="Arial"/>
          <w:sz w:val="21"/>
        </w:rPr>
      </w:pPr>
    </w:p>
    <w:p>
      <w:pPr>
        <w:sectPr>
          <w:footerReference r:id="rId26" w:type="default"/>
          <w:pgSz w:w="11906" w:h="16839"/>
          <w:pgMar w:top="400" w:right="1487" w:bottom="1475" w:left="1486" w:header="0" w:footer="1315" w:gutter="0"/>
          <w:cols w:space="720" w:num="1"/>
        </w:sectPr>
      </w:pPr>
    </w:p>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1"/>
        <w:gridCol w:w="644"/>
        <w:gridCol w:w="925"/>
        <w:gridCol w:w="4750"/>
        <w:gridCol w:w="990"/>
        <w:gridCol w:w="856"/>
        <w:gridCol w:w="1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601" w:type="dxa"/>
            <w:vMerge w:val="restart"/>
            <w:tcBorders>
              <w:left w:val="single" w:color="000000" w:sz="6" w:space="0"/>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28" w:lineRule="auto"/>
              <w:ind w:left="91"/>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p>
            <w:pPr>
              <w:spacing w:before="26" w:line="229" w:lineRule="auto"/>
              <w:ind w:left="9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组</w:t>
            </w:r>
            <w:r>
              <w:rPr>
                <w:rFonts w:ascii="宋体" w:hAnsi="宋体" w:eastAsia="宋体" w:cs="宋体"/>
                <w:spacing w:val="4"/>
                <w:sz w:val="20"/>
                <w:szCs w:val="20"/>
                <w14:textOutline w14:w="3795" w14:cap="sq" w14:cmpd="sng">
                  <w14:solidFill>
                    <w14:srgbClr w14:val="000000"/>
                  </w14:solidFill>
                  <w14:prstDash w14:val="solid"/>
                  <w14:bevel/>
                </w14:textOutline>
              </w:rPr>
              <w:t>成</w:t>
            </w:r>
          </w:p>
          <w:p>
            <w:pPr>
              <w:spacing w:before="22" w:line="230" w:lineRule="auto"/>
              <w:ind w:left="8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及规</w:t>
            </w:r>
          </w:p>
          <w:p>
            <w:pPr>
              <w:spacing w:before="24" w:line="228" w:lineRule="auto"/>
              <w:ind w:left="190"/>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模</w:t>
            </w:r>
          </w:p>
        </w:tc>
        <w:tc>
          <w:tcPr>
            <w:tcW w:w="644" w:type="dxa"/>
            <w:vMerge w:val="restart"/>
            <w:tcBorders>
              <w:bottom w:val="nil"/>
            </w:tcBorders>
            <w:vAlign w:val="top"/>
          </w:tcPr>
          <w:p>
            <w:pPr>
              <w:rPr>
                <w:rFonts w:ascii="Arial"/>
                <w:sz w:val="21"/>
              </w:rPr>
            </w:pPr>
            <w:r>
              <w:pict>
                <v:rect id="_x0000_s1054" o:spid="_x0000_s1054" o:spt="1" style="position:absolute;left:0pt;margin-left:6.65pt;margin-top:0.5pt;height:157.5pt;width:0.25pt;mso-position-horizontal-relative:page;mso-position-vertical-relative:page;z-index:251675648;mso-width-relative:page;mso-height-relative:page;" fillcolor="#000000" filled="t" stroked="f" coordsize="21600,21600">
                  <v:path/>
                  <v:fill on="t" focussize="0,0"/>
                  <v:stroke on="f"/>
                  <v:imagedata o:title=""/>
                  <o:lock v:ext="edit"/>
                </v:rect>
              </w:pict>
            </w:r>
          </w:p>
        </w:tc>
        <w:tc>
          <w:tcPr>
            <w:tcW w:w="925" w:type="dxa"/>
            <w:vMerge w:val="restart"/>
            <w:tcBorders>
              <w:bottom w:val="nil"/>
            </w:tcBorders>
            <w:vAlign w:val="top"/>
          </w:tcPr>
          <w:p>
            <w:pPr>
              <w:spacing w:before="85" w:line="235" w:lineRule="auto"/>
              <w:ind w:left="286"/>
              <w:rPr>
                <w:rFonts w:ascii="宋体" w:hAnsi="宋体" w:eastAsia="宋体" w:cs="宋体"/>
                <w:sz w:val="17"/>
                <w:szCs w:val="17"/>
              </w:rPr>
            </w:pPr>
            <w:r>
              <w:rPr>
                <w:rFonts w:ascii="宋体" w:hAnsi="宋体" w:eastAsia="宋体" w:cs="宋体"/>
                <w:spacing w:val="5"/>
                <w:sz w:val="17"/>
                <w:szCs w:val="17"/>
              </w:rPr>
              <w:t>处</w:t>
            </w:r>
            <w:r>
              <w:rPr>
                <w:rFonts w:ascii="宋体" w:hAnsi="宋体" w:eastAsia="宋体" w:cs="宋体"/>
                <w:spacing w:val="4"/>
                <w:sz w:val="17"/>
                <w:szCs w:val="17"/>
              </w:rPr>
              <w:t>置</w:t>
            </w:r>
          </w:p>
        </w:tc>
        <w:tc>
          <w:tcPr>
            <w:tcW w:w="4750" w:type="dxa"/>
            <w:vAlign w:val="top"/>
          </w:tcPr>
          <w:p>
            <w:pPr>
              <w:spacing w:before="85" w:line="230" w:lineRule="auto"/>
              <w:ind w:left="27"/>
              <w:rPr>
                <w:rFonts w:ascii="宋体" w:hAnsi="宋体" w:eastAsia="宋体" w:cs="宋体"/>
                <w:sz w:val="17"/>
                <w:szCs w:val="17"/>
              </w:rPr>
            </w:pPr>
            <w:r>
              <w:rPr>
                <w:rFonts w:ascii="宋体" w:hAnsi="宋体" w:eastAsia="宋体" w:cs="宋体"/>
                <w:spacing w:val="14"/>
                <w:sz w:val="17"/>
                <w:szCs w:val="17"/>
              </w:rPr>
              <w:t>不</w:t>
            </w:r>
            <w:r>
              <w:rPr>
                <w:rFonts w:ascii="宋体" w:hAnsi="宋体" w:eastAsia="宋体" w:cs="宋体"/>
                <w:spacing w:val="8"/>
                <w:sz w:val="17"/>
                <w:szCs w:val="17"/>
              </w:rPr>
              <w:t>另行设置弃土场</w:t>
            </w:r>
          </w:p>
        </w:tc>
        <w:tc>
          <w:tcPr>
            <w:tcW w:w="990" w:type="dxa"/>
            <w:vAlign w:val="top"/>
          </w:tcPr>
          <w:p>
            <w:pPr>
              <w:spacing w:before="85" w:line="231" w:lineRule="auto"/>
              <w:ind w:left="332"/>
              <w:rPr>
                <w:rFonts w:ascii="宋体" w:hAnsi="宋体" w:eastAsia="宋体" w:cs="宋体"/>
                <w:sz w:val="17"/>
                <w:szCs w:val="17"/>
              </w:rPr>
            </w:pPr>
            <w:r>
              <w:rPr>
                <w:rFonts w:ascii="宋体" w:hAnsi="宋体" w:eastAsia="宋体" w:cs="宋体"/>
                <w:spacing w:val="2"/>
                <w:sz w:val="17"/>
                <w:szCs w:val="17"/>
              </w:rPr>
              <w:t>噪声</w:t>
            </w:r>
          </w:p>
        </w:tc>
        <w:tc>
          <w:tcPr>
            <w:tcW w:w="856" w:type="dxa"/>
            <w:vMerge w:val="restart"/>
            <w:tcBorders>
              <w:bottom w:val="nil"/>
            </w:tcBorders>
            <w:vAlign w:val="top"/>
          </w:tcPr>
          <w:p>
            <w:pPr>
              <w:rPr>
                <w:rFonts w:ascii="Arial"/>
                <w:sz w:val="21"/>
              </w:rPr>
            </w:pPr>
          </w:p>
        </w:tc>
        <w:tc>
          <w:tcPr>
            <w:tcW w:w="151" w:type="dxa"/>
            <w:vMerge w:val="restart"/>
            <w:tcBorders>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01" w:type="dxa"/>
            <w:vMerge w:val="continue"/>
            <w:tcBorders>
              <w:top w:val="nil"/>
              <w:left w:val="single" w:color="000000" w:sz="6" w:space="0"/>
              <w:bottom w:val="nil"/>
            </w:tcBorders>
            <w:vAlign w:val="top"/>
          </w:tcPr>
          <w:p>
            <w:pPr>
              <w:rPr>
                <w:rFonts w:ascii="Arial"/>
                <w:sz w:val="21"/>
              </w:rPr>
            </w:pPr>
          </w:p>
        </w:tc>
        <w:tc>
          <w:tcPr>
            <w:tcW w:w="644" w:type="dxa"/>
            <w:vMerge w:val="continue"/>
            <w:tcBorders>
              <w:top w:val="nil"/>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750" w:type="dxa"/>
            <w:vAlign w:val="top"/>
          </w:tcPr>
          <w:p>
            <w:pPr>
              <w:spacing w:before="71" w:line="230" w:lineRule="auto"/>
              <w:ind w:left="23"/>
              <w:rPr>
                <w:rFonts w:ascii="宋体" w:hAnsi="宋体" w:eastAsia="宋体" w:cs="宋体"/>
                <w:sz w:val="17"/>
                <w:szCs w:val="17"/>
              </w:rPr>
            </w:pPr>
            <w:r>
              <w:rPr>
                <w:rFonts w:ascii="宋体" w:hAnsi="宋体" w:eastAsia="宋体" w:cs="宋体"/>
                <w:spacing w:val="14"/>
                <w:sz w:val="17"/>
                <w:szCs w:val="17"/>
              </w:rPr>
              <w:t>废</w:t>
            </w:r>
            <w:r>
              <w:rPr>
                <w:rFonts w:ascii="宋体" w:hAnsi="宋体" w:eastAsia="宋体" w:cs="宋体"/>
                <w:spacing w:val="9"/>
                <w:sz w:val="17"/>
                <w:szCs w:val="17"/>
              </w:rPr>
              <w:t>焊条、钢筋等收集后外卖</w:t>
            </w:r>
          </w:p>
        </w:tc>
        <w:tc>
          <w:tcPr>
            <w:tcW w:w="990" w:type="dxa"/>
            <w:vAlign w:val="top"/>
          </w:tcPr>
          <w:p>
            <w:pPr>
              <w:spacing w:before="36" w:line="242" w:lineRule="exact"/>
              <w:ind w:left="473"/>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56" w:type="dxa"/>
            <w:vMerge w:val="continue"/>
            <w:tcBorders>
              <w:top w:val="nil"/>
              <w:bottom w:val="nil"/>
            </w:tcBorders>
            <w:vAlign w:val="top"/>
          </w:tcPr>
          <w:p>
            <w:pPr>
              <w:rPr>
                <w:rFonts w:ascii="Arial"/>
                <w:sz w:val="21"/>
              </w:rPr>
            </w:pP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01" w:type="dxa"/>
            <w:vMerge w:val="continue"/>
            <w:tcBorders>
              <w:top w:val="nil"/>
              <w:left w:val="single" w:color="000000" w:sz="6" w:space="0"/>
              <w:bottom w:val="nil"/>
            </w:tcBorders>
            <w:vAlign w:val="top"/>
          </w:tcPr>
          <w:p>
            <w:pPr>
              <w:rPr>
                <w:rFonts w:ascii="Arial"/>
                <w:sz w:val="21"/>
              </w:rPr>
            </w:pPr>
          </w:p>
        </w:tc>
        <w:tc>
          <w:tcPr>
            <w:tcW w:w="644" w:type="dxa"/>
            <w:vMerge w:val="continue"/>
            <w:tcBorders>
              <w:top w:val="nil"/>
              <w:bottom w:val="nil"/>
            </w:tcBorders>
            <w:vAlign w:val="top"/>
          </w:tcPr>
          <w:p>
            <w:pPr>
              <w:rPr>
                <w:rFonts w:ascii="Arial"/>
                <w:sz w:val="21"/>
              </w:rPr>
            </w:pPr>
          </w:p>
        </w:tc>
        <w:tc>
          <w:tcPr>
            <w:tcW w:w="925" w:type="dxa"/>
            <w:vMerge w:val="continue"/>
            <w:tcBorders>
              <w:top w:val="nil"/>
              <w:bottom w:val="nil"/>
            </w:tcBorders>
            <w:vAlign w:val="top"/>
          </w:tcPr>
          <w:p>
            <w:pPr>
              <w:rPr>
                <w:rFonts w:ascii="Arial"/>
                <w:sz w:val="21"/>
              </w:rPr>
            </w:pPr>
          </w:p>
        </w:tc>
        <w:tc>
          <w:tcPr>
            <w:tcW w:w="4750" w:type="dxa"/>
            <w:vAlign w:val="top"/>
          </w:tcPr>
          <w:p>
            <w:pPr>
              <w:spacing w:before="71" w:line="232" w:lineRule="auto"/>
              <w:ind w:left="24"/>
              <w:rPr>
                <w:rFonts w:ascii="宋体" w:hAnsi="宋体" w:eastAsia="宋体" w:cs="宋体"/>
                <w:sz w:val="17"/>
                <w:szCs w:val="17"/>
              </w:rPr>
            </w:pPr>
            <w:r>
              <w:rPr>
                <w:rFonts w:ascii="宋体" w:hAnsi="宋体" w:eastAsia="宋体" w:cs="宋体"/>
                <w:spacing w:val="18"/>
                <w:sz w:val="17"/>
                <w:szCs w:val="17"/>
              </w:rPr>
              <w:t>钻</w:t>
            </w:r>
            <w:r>
              <w:rPr>
                <w:rFonts w:ascii="宋体" w:hAnsi="宋体" w:eastAsia="宋体" w:cs="宋体"/>
                <w:spacing w:val="11"/>
                <w:sz w:val="17"/>
                <w:szCs w:val="17"/>
              </w:rPr>
              <w:t>渣</w:t>
            </w:r>
            <w:r>
              <w:rPr>
                <w:rFonts w:ascii="宋体" w:hAnsi="宋体" w:eastAsia="宋体" w:cs="宋体"/>
                <w:spacing w:val="9"/>
                <w:sz w:val="17"/>
                <w:szCs w:val="17"/>
              </w:rPr>
              <w:t>、泥浆干化后及时外运指定弃渣场处置</w:t>
            </w:r>
          </w:p>
        </w:tc>
        <w:tc>
          <w:tcPr>
            <w:tcW w:w="990" w:type="dxa"/>
            <w:vAlign w:val="top"/>
          </w:tcPr>
          <w:p>
            <w:pPr>
              <w:spacing w:before="36" w:line="242" w:lineRule="exact"/>
              <w:ind w:left="473"/>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56" w:type="dxa"/>
            <w:vMerge w:val="continue"/>
            <w:tcBorders>
              <w:top w:val="nil"/>
              <w:bottom w:val="nil"/>
            </w:tcBorders>
            <w:vAlign w:val="top"/>
          </w:tcPr>
          <w:p>
            <w:pPr>
              <w:rPr>
                <w:rFonts w:ascii="Arial"/>
                <w:sz w:val="21"/>
              </w:rPr>
            </w:pP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01" w:type="dxa"/>
            <w:vMerge w:val="continue"/>
            <w:tcBorders>
              <w:top w:val="nil"/>
              <w:left w:val="single" w:color="000000" w:sz="6" w:space="0"/>
              <w:bottom w:val="nil"/>
            </w:tcBorders>
            <w:vAlign w:val="top"/>
          </w:tcPr>
          <w:p>
            <w:pPr>
              <w:rPr>
                <w:rFonts w:ascii="Arial"/>
                <w:sz w:val="21"/>
              </w:rPr>
            </w:pPr>
          </w:p>
        </w:tc>
        <w:tc>
          <w:tcPr>
            <w:tcW w:w="644" w:type="dxa"/>
            <w:vMerge w:val="continue"/>
            <w:tcBorders>
              <w:top w:val="nil"/>
              <w:bottom w:val="nil"/>
            </w:tcBorders>
            <w:vAlign w:val="top"/>
          </w:tcPr>
          <w:p>
            <w:pPr>
              <w:rPr>
                <w:rFonts w:ascii="Arial"/>
                <w:sz w:val="21"/>
              </w:rPr>
            </w:pPr>
          </w:p>
        </w:tc>
        <w:tc>
          <w:tcPr>
            <w:tcW w:w="925" w:type="dxa"/>
            <w:vMerge w:val="continue"/>
            <w:tcBorders>
              <w:top w:val="nil"/>
            </w:tcBorders>
            <w:vAlign w:val="top"/>
          </w:tcPr>
          <w:p>
            <w:pPr>
              <w:rPr>
                <w:rFonts w:ascii="Arial"/>
                <w:sz w:val="21"/>
              </w:rPr>
            </w:pPr>
          </w:p>
        </w:tc>
        <w:tc>
          <w:tcPr>
            <w:tcW w:w="4750" w:type="dxa"/>
            <w:vAlign w:val="top"/>
          </w:tcPr>
          <w:p>
            <w:pPr>
              <w:spacing w:before="69" w:line="230" w:lineRule="auto"/>
              <w:ind w:left="30"/>
              <w:rPr>
                <w:rFonts w:ascii="宋体" w:hAnsi="宋体" w:eastAsia="宋体" w:cs="宋体"/>
                <w:sz w:val="17"/>
                <w:szCs w:val="17"/>
              </w:rPr>
            </w:pPr>
            <w:r>
              <w:rPr>
                <w:rFonts w:ascii="宋体" w:hAnsi="宋体" w:eastAsia="宋体" w:cs="宋体"/>
                <w:spacing w:val="10"/>
                <w:sz w:val="17"/>
                <w:szCs w:val="17"/>
              </w:rPr>
              <w:t>营</w:t>
            </w:r>
            <w:r>
              <w:rPr>
                <w:rFonts w:ascii="宋体" w:hAnsi="宋体" w:eastAsia="宋体" w:cs="宋体"/>
                <w:spacing w:val="7"/>
                <w:sz w:val="17"/>
                <w:szCs w:val="17"/>
              </w:rPr>
              <w:t>运</w:t>
            </w:r>
            <w:r>
              <w:rPr>
                <w:rFonts w:ascii="宋体" w:hAnsi="宋体" w:eastAsia="宋体" w:cs="宋体"/>
                <w:spacing w:val="5"/>
                <w:sz w:val="17"/>
                <w:szCs w:val="17"/>
              </w:rPr>
              <w:t>期桥梁两侧设置垃圾桶收集， 由环卫清运处理</w:t>
            </w:r>
          </w:p>
        </w:tc>
        <w:tc>
          <w:tcPr>
            <w:tcW w:w="990" w:type="dxa"/>
            <w:vAlign w:val="top"/>
          </w:tcPr>
          <w:p>
            <w:pPr>
              <w:spacing w:before="36" w:line="243" w:lineRule="exact"/>
              <w:ind w:left="473"/>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56" w:type="dxa"/>
            <w:vMerge w:val="continue"/>
            <w:tcBorders>
              <w:top w:val="nil"/>
              <w:bottom w:val="nil"/>
            </w:tcBorders>
            <w:vAlign w:val="top"/>
          </w:tcPr>
          <w:p>
            <w:pPr>
              <w:rPr>
                <w:rFonts w:ascii="Arial"/>
                <w:sz w:val="21"/>
              </w:rPr>
            </w:pP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601" w:type="dxa"/>
            <w:vMerge w:val="continue"/>
            <w:tcBorders>
              <w:top w:val="nil"/>
              <w:left w:val="single" w:color="000000" w:sz="6" w:space="0"/>
              <w:bottom w:val="nil"/>
            </w:tcBorders>
            <w:vAlign w:val="top"/>
          </w:tcPr>
          <w:p>
            <w:pPr>
              <w:rPr>
                <w:rFonts w:ascii="Arial"/>
                <w:sz w:val="21"/>
              </w:rPr>
            </w:pPr>
          </w:p>
        </w:tc>
        <w:tc>
          <w:tcPr>
            <w:tcW w:w="644" w:type="dxa"/>
            <w:vMerge w:val="continue"/>
            <w:tcBorders>
              <w:top w:val="nil"/>
              <w:bottom w:val="nil"/>
            </w:tcBorders>
            <w:vAlign w:val="top"/>
          </w:tcPr>
          <w:p>
            <w:pPr>
              <w:rPr>
                <w:rFonts w:ascii="Arial"/>
                <w:sz w:val="21"/>
              </w:rPr>
            </w:pPr>
          </w:p>
        </w:tc>
        <w:tc>
          <w:tcPr>
            <w:tcW w:w="925" w:type="dxa"/>
            <w:vAlign w:val="top"/>
          </w:tcPr>
          <w:p>
            <w:pPr>
              <w:spacing w:line="434" w:lineRule="auto"/>
              <w:rPr>
                <w:rFonts w:ascii="Arial"/>
                <w:sz w:val="21"/>
              </w:rPr>
            </w:pPr>
          </w:p>
          <w:p>
            <w:pPr>
              <w:spacing w:before="56" w:line="280" w:lineRule="exact"/>
              <w:ind w:left="298"/>
              <w:rPr>
                <w:rFonts w:ascii="宋体" w:hAnsi="宋体" w:eastAsia="宋体" w:cs="宋体"/>
                <w:sz w:val="17"/>
                <w:szCs w:val="17"/>
              </w:rPr>
            </w:pPr>
            <w:r>
              <w:rPr>
                <w:rFonts w:ascii="宋体" w:hAnsi="宋体" w:eastAsia="宋体" w:cs="宋体"/>
                <w:position w:val="7"/>
                <w:sz w:val="17"/>
                <w:szCs w:val="17"/>
              </w:rPr>
              <w:t>水土</w:t>
            </w:r>
          </w:p>
          <w:p>
            <w:pPr>
              <w:spacing w:line="230" w:lineRule="auto"/>
              <w:ind w:left="297"/>
              <w:rPr>
                <w:rFonts w:ascii="宋体" w:hAnsi="宋体" w:eastAsia="宋体" w:cs="宋体"/>
                <w:sz w:val="17"/>
                <w:szCs w:val="17"/>
              </w:rPr>
            </w:pPr>
            <w:r>
              <w:rPr>
                <w:rFonts w:ascii="宋体" w:hAnsi="宋体" w:eastAsia="宋体" w:cs="宋体"/>
                <w:spacing w:val="1"/>
                <w:sz w:val="17"/>
                <w:szCs w:val="17"/>
              </w:rPr>
              <w:t>保持</w:t>
            </w:r>
          </w:p>
        </w:tc>
        <w:tc>
          <w:tcPr>
            <w:tcW w:w="4750" w:type="dxa"/>
            <w:vAlign w:val="top"/>
          </w:tcPr>
          <w:p>
            <w:pPr>
              <w:spacing w:before="74" w:line="289" w:lineRule="auto"/>
              <w:ind w:left="23"/>
              <w:rPr>
                <w:rFonts w:ascii="宋体" w:hAnsi="宋体" w:eastAsia="宋体" w:cs="宋体"/>
                <w:sz w:val="17"/>
                <w:szCs w:val="17"/>
              </w:rPr>
            </w:pPr>
            <w:r>
              <w:rPr>
                <w:rFonts w:ascii="宋体" w:hAnsi="宋体" w:eastAsia="宋体" w:cs="宋体"/>
                <w:spacing w:val="5"/>
                <w:sz w:val="17"/>
                <w:szCs w:val="17"/>
              </w:rPr>
              <w:t>施工场地、施工营地四周建设排水沟，施工场地内建沉淀池</w:t>
            </w:r>
            <w:r>
              <w:rPr>
                <w:rFonts w:ascii="宋体" w:hAnsi="宋体" w:eastAsia="宋体" w:cs="宋体"/>
                <w:spacing w:val="1"/>
                <w:sz w:val="17"/>
                <w:szCs w:val="17"/>
              </w:rPr>
              <w:t>，</w:t>
            </w:r>
            <w:r>
              <w:rPr>
                <w:rFonts w:ascii="宋体" w:hAnsi="宋体" w:eastAsia="宋体" w:cs="宋体"/>
                <w:sz w:val="17"/>
                <w:szCs w:val="17"/>
              </w:rPr>
              <w:t xml:space="preserve"> </w:t>
            </w:r>
            <w:r>
              <w:rPr>
                <w:rFonts w:ascii="宋体" w:hAnsi="宋体" w:eastAsia="宋体" w:cs="宋体"/>
                <w:spacing w:val="18"/>
                <w:sz w:val="17"/>
                <w:szCs w:val="17"/>
              </w:rPr>
              <w:t>防止</w:t>
            </w:r>
            <w:r>
              <w:rPr>
                <w:rFonts w:ascii="宋体" w:hAnsi="宋体" w:eastAsia="宋体" w:cs="宋体"/>
                <w:spacing w:val="11"/>
                <w:sz w:val="17"/>
                <w:szCs w:val="17"/>
              </w:rPr>
              <w:t>雨</w:t>
            </w:r>
            <w:r>
              <w:rPr>
                <w:rFonts w:ascii="宋体" w:hAnsi="宋体" w:eastAsia="宋体" w:cs="宋体"/>
                <w:spacing w:val="9"/>
                <w:sz w:val="17"/>
                <w:szCs w:val="17"/>
              </w:rPr>
              <w:t>水对裸露地表冲刷进入河道；临时堆土场要遮盖且尽</w:t>
            </w:r>
            <w:r>
              <w:rPr>
                <w:rFonts w:ascii="宋体" w:hAnsi="宋体" w:eastAsia="宋体" w:cs="宋体"/>
                <w:sz w:val="17"/>
                <w:szCs w:val="17"/>
              </w:rPr>
              <w:t xml:space="preserve"> </w:t>
            </w:r>
            <w:r>
              <w:rPr>
                <w:rFonts w:ascii="宋体" w:hAnsi="宋体" w:eastAsia="宋体" w:cs="宋体"/>
                <w:spacing w:val="18"/>
                <w:sz w:val="17"/>
                <w:szCs w:val="17"/>
              </w:rPr>
              <w:t>量远</w:t>
            </w:r>
            <w:r>
              <w:rPr>
                <w:rFonts w:ascii="宋体" w:hAnsi="宋体" w:eastAsia="宋体" w:cs="宋体"/>
                <w:spacing w:val="11"/>
                <w:sz w:val="17"/>
                <w:szCs w:val="17"/>
              </w:rPr>
              <w:t>离</w:t>
            </w:r>
            <w:r>
              <w:rPr>
                <w:rFonts w:ascii="宋体" w:hAnsi="宋体" w:eastAsia="宋体" w:cs="宋体"/>
                <w:spacing w:val="9"/>
                <w:sz w:val="17"/>
                <w:szCs w:val="17"/>
              </w:rPr>
              <w:t>河道；施工堆料场、边坡等场地采取覆盖；边坡采用</w:t>
            </w:r>
            <w:r>
              <w:rPr>
                <w:rFonts w:ascii="宋体" w:hAnsi="宋体" w:eastAsia="宋体" w:cs="宋体"/>
                <w:sz w:val="17"/>
                <w:szCs w:val="17"/>
              </w:rPr>
              <w:t xml:space="preserve"> </w:t>
            </w:r>
            <w:r>
              <w:rPr>
                <w:rFonts w:ascii="宋体" w:hAnsi="宋体" w:eastAsia="宋体" w:cs="宋体"/>
                <w:spacing w:val="18"/>
                <w:sz w:val="17"/>
                <w:szCs w:val="17"/>
              </w:rPr>
              <w:t>混喷</w:t>
            </w:r>
            <w:r>
              <w:rPr>
                <w:rFonts w:ascii="宋体" w:hAnsi="宋体" w:eastAsia="宋体" w:cs="宋体"/>
                <w:spacing w:val="11"/>
                <w:sz w:val="17"/>
                <w:szCs w:val="17"/>
              </w:rPr>
              <w:t>植</w:t>
            </w:r>
            <w:r>
              <w:rPr>
                <w:rFonts w:ascii="宋体" w:hAnsi="宋体" w:eastAsia="宋体" w:cs="宋体"/>
                <w:spacing w:val="9"/>
                <w:sz w:val="17"/>
                <w:szCs w:val="17"/>
              </w:rPr>
              <w:t>草等形式防护；临时道路、施工营地等采取硬化等水</w:t>
            </w:r>
            <w:r>
              <w:rPr>
                <w:rFonts w:ascii="宋体" w:hAnsi="宋体" w:eastAsia="宋体" w:cs="宋体"/>
                <w:sz w:val="17"/>
                <w:szCs w:val="17"/>
              </w:rPr>
              <w:t xml:space="preserve"> </w:t>
            </w:r>
            <w:r>
              <w:rPr>
                <w:rFonts w:ascii="宋体" w:hAnsi="宋体" w:eastAsia="宋体" w:cs="宋体"/>
                <w:spacing w:val="9"/>
                <w:sz w:val="17"/>
                <w:szCs w:val="17"/>
              </w:rPr>
              <w:t>土</w:t>
            </w:r>
            <w:r>
              <w:rPr>
                <w:rFonts w:ascii="宋体" w:hAnsi="宋体" w:eastAsia="宋体" w:cs="宋体"/>
                <w:spacing w:val="7"/>
                <w:sz w:val="17"/>
                <w:szCs w:val="17"/>
              </w:rPr>
              <w:t>保持措施</w:t>
            </w:r>
          </w:p>
        </w:tc>
        <w:tc>
          <w:tcPr>
            <w:tcW w:w="990" w:type="dxa"/>
            <w:vAlign w:val="top"/>
          </w:tcPr>
          <w:p>
            <w:pPr>
              <w:spacing w:line="273" w:lineRule="auto"/>
              <w:rPr>
                <w:rFonts w:ascii="Arial"/>
                <w:sz w:val="21"/>
              </w:rPr>
            </w:pPr>
          </w:p>
          <w:p>
            <w:pPr>
              <w:spacing w:line="274" w:lineRule="auto"/>
              <w:rPr>
                <w:rFonts w:ascii="Arial"/>
                <w:sz w:val="21"/>
              </w:rPr>
            </w:pPr>
          </w:p>
          <w:p>
            <w:pPr>
              <w:spacing w:before="49" w:line="242" w:lineRule="exact"/>
              <w:ind w:left="473"/>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56" w:type="dxa"/>
            <w:vMerge w:val="continue"/>
            <w:tcBorders>
              <w:top w:val="nil"/>
            </w:tcBorders>
            <w:vAlign w:val="top"/>
          </w:tcPr>
          <w:p>
            <w:pPr>
              <w:rPr>
                <w:rFonts w:ascii="Arial"/>
                <w:sz w:val="21"/>
              </w:rPr>
            </w:pP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01" w:type="dxa"/>
            <w:vMerge w:val="continue"/>
            <w:tcBorders>
              <w:top w:val="nil"/>
              <w:left w:val="single" w:color="000000" w:sz="6" w:space="0"/>
              <w:bottom w:val="nil"/>
            </w:tcBorders>
            <w:vAlign w:val="top"/>
          </w:tcPr>
          <w:p>
            <w:pPr>
              <w:rPr>
                <w:rFonts w:ascii="Arial"/>
                <w:sz w:val="21"/>
              </w:rPr>
            </w:pPr>
          </w:p>
        </w:tc>
        <w:tc>
          <w:tcPr>
            <w:tcW w:w="644" w:type="dxa"/>
            <w:vMerge w:val="continue"/>
            <w:tcBorders>
              <w:top w:val="nil"/>
              <w:bottom w:val="nil"/>
            </w:tcBorders>
            <w:vAlign w:val="top"/>
          </w:tcPr>
          <w:p>
            <w:pPr>
              <w:rPr>
                <w:rFonts w:ascii="Arial"/>
                <w:sz w:val="21"/>
              </w:rPr>
            </w:pPr>
          </w:p>
        </w:tc>
        <w:tc>
          <w:tcPr>
            <w:tcW w:w="925" w:type="dxa"/>
            <w:vAlign w:val="top"/>
          </w:tcPr>
          <w:p>
            <w:pPr>
              <w:spacing w:before="74" w:line="229" w:lineRule="auto"/>
              <w:ind w:left="134"/>
              <w:rPr>
                <w:rFonts w:ascii="宋体" w:hAnsi="宋体" w:eastAsia="宋体" w:cs="宋体"/>
                <w:sz w:val="17"/>
                <w:szCs w:val="17"/>
              </w:rPr>
            </w:pPr>
            <w:r>
              <w:rPr>
                <w:rFonts w:ascii="宋体" w:hAnsi="宋体" w:eastAsia="宋体" w:cs="宋体"/>
                <w:spacing w:val="-3"/>
                <w:sz w:val="17"/>
                <w:szCs w:val="17"/>
              </w:rPr>
              <w:t>风</w:t>
            </w:r>
            <w:r>
              <w:rPr>
                <w:rFonts w:ascii="宋体" w:hAnsi="宋体" w:eastAsia="宋体" w:cs="宋体"/>
                <w:spacing w:val="-2"/>
                <w:sz w:val="17"/>
                <w:szCs w:val="17"/>
              </w:rPr>
              <w:t>险防范</w:t>
            </w:r>
          </w:p>
        </w:tc>
        <w:tc>
          <w:tcPr>
            <w:tcW w:w="4750" w:type="dxa"/>
            <w:vAlign w:val="top"/>
          </w:tcPr>
          <w:p>
            <w:pPr>
              <w:spacing w:before="74" w:line="229" w:lineRule="auto"/>
              <w:ind w:left="24"/>
              <w:rPr>
                <w:rFonts w:ascii="宋体" w:hAnsi="宋体" w:eastAsia="宋体" w:cs="宋体"/>
                <w:sz w:val="17"/>
                <w:szCs w:val="17"/>
              </w:rPr>
            </w:pPr>
            <w:r>
              <w:rPr>
                <w:rFonts w:ascii="宋体" w:hAnsi="宋体" w:eastAsia="宋体" w:cs="宋体"/>
                <w:spacing w:val="18"/>
                <w:sz w:val="17"/>
                <w:szCs w:val="17"/>
              </w:rPr>
              <w:t>桥</w:t>
            </w:r>
            <w:r>
              <w:rPr>
                <w:rFonts w:ascii="宋体" w:hAnsi="宋体" w:eastAsia="宋体" w:cs="宋体"/>
                <w:spacing w:val="15"/>
                <w:sz w:val="17"/>
                <w:szCs w:val="17"/>
              </w:rPr>
              <w:t>梁</w:t>
            </w:r>
            <w:r>
              <w:rPr>
                <w:rFonts w:ascii="宋体" w:hAnsi="宋体" w:eastAsia="宋体" w:cs="宋体"/>
                <w:spacing w:val="9"/>
                <w:sz w:val="17"/>
                <w:szCs w:val="17"/>
              </w:rPr>
              <w:t>两侧设置防撞墙；桥梁的两端设置警示牌、监控</w:t>
            </w:r>
          </w:p>
        </w:tc>
        <w:tc>
          <w:tcPr>
            <w:tcW w:w="990" w:type="dxa"/>
            <w:vAlign w:val="top"/>
          </w:tcPr>
          <w:p>
            <w:pPr>
              <w:spacing w:before="39" w:line="242" w:lineRule="exact"/>
              <w:ind w:left="473"/>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56" w:type="dxa"/>
            <w:vAlign w:val="top"/>
          </w:tcPr>
          <w:p>
            <w:pPr>
              <w:rPr>
                <w:rFonts w:ascii="Arial"/>
                <w:sz w:val="21"/>
              </w:rPr>
            </w:pP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01" w:type="dxa"/>
            <w:vMerge w:val="continue"/>
            <w:tcBorders>
              <w:top w:val="nil"/>
              <w:left w:val="single" w:color="000000" w:sz="6" w:space="0"/>
              <w:bottom w:val="nil"/>
            </w:tcBorders>
            <w:vAlign w:val="top"/>
          </w:tcPr>
          <w:p>
            <w:pPr>
              <w:rPr>
                <w:rFonts w:ascii="Arial"/>
                <w:sz w:val="21"/>
              </w:rPr>
            </w:pPr>
          </w:p>
        </w:tc>
        <w:tc>
          <w:tcPr>
            <w:tcW w:w="644" w:type="dxa"/>
            <w:vMerge w:val="continue"/>
            <w:tcBorders>
              <w:top w:val="nil"/>
            </w:tcBorders>
            <w:vAlign w:val="top"/>
          </w:tcPr>
          <w:p>
            <w:pPr>
              <w:rPr>
                <w:rFonts w:ascii="Arial"/>
                <w:sz w:val="21"/>
              </w:rPr>
            </w:pPr>
          </w:p>
        </w:tc>
        <w:tc>
          <w:tcPr>
            <w:tcW w:w="925" w:type="dxa"/>
            <w:vAlign w:val="top"/>
          </w:tcPr>
          <w:p>
            <w:pPr>
              <w:spacing w:before="74" w:line="229" w:lineRule="auto"/>
              <w:ind w:left="297"/>
              <w:rPr>
                <w:rFonts w:ascii="宋体" w:hAnsi="宋体" w:eastAsia="宋体" w:cs="宋体"/>
                <w:sz w:val="17"/>
                <w:szCs w:val="17"/>
              </w:rPr>
            </w:pPr>
            <w:r>
              <w:rPr>
                <w:rFonts w:ascii="宋体" w:hAnsi="宋体" w:eastAsia="宋体" w:cs="宋体"/>
                <w:spacing w:val="1"/>
                <w:sz w:val="17"/>
                <w:szCs w:val="17"/>
              </w:rPr>
              <w:t>其他</w:t>
            </w:r>
          </w:p>
        </w:tc>
        <w:tc>
          <w:tcPr>
            <w:tcW w:w="4750" w:type="dxa"/>
            <w:vAlign w:val="top"/>
          </w:tcPr>
          <w:p>
            <w:pPr>
              <w:spacing w:before="74" w:line="229" w:lineRule="auto"/>
              <w:ind w:left="23"/>
              <w:rPr>
                <w:rFonts w:ascii="宋体" w:hAnsi="宋体" w:eastAsia="宋体" w:cs="宋体"/>
                <w:sz w:val="17"/>
                <w:szCs w:val="17"/>
              </w:rPr>
            </w:pPr>
            <w:r>
              <w:rPr>
                <w:rFonts w:ascii="宋体" w:hAnsi="宋体" w:eastAsia="宋体" w:cs="宋体"/>
                <w:spacing w:val="18"/>
                <w:sz w:val="17"/>
                <w:szCs w:val="17"/>
              </w:rPr>
              <w:t>施</w:t>
            </w:r>
            <w:r>
              <w:rPr>
                <w:rFonts w:ascii="宋体" w:hAnsi="宋体" w:eastAsia="宋体" w:cs="宋体"/>
                <w:spacing w:val="15"/>
                <w:sz w:val="17"/>
                <w:szCs w:val="17"/>
              </w:rPr>
              <w:t>工</w:t>
            </w:r>
            <w:r>
              <w:rPr>
                <w:rFonts w:ascii="宋体" w:hAnsi="宋体" w:eastAsia="宋体" w:cs="宋体"/>
                <w:spacing w:val="9"/>
                <w:sz w:val="17"/>
                <w:szCs w:val="17"/>
              </w:rPr>
              <w:t>结束后对临时占地进行迹地恢复，种植绿化等</w:t>
            </w:r>
          </w:p>
        </w:tc>
        <w:tc>
          <w:tcPr>
            <w:tcW w:w="990" w:type="dxa"/>
            <w:vAlign w:val="top"/>
          </w:tcPr>
          <w:p>
            <w:pPr>
              <w:spacing w:before="39" w:line="242" w:lineRule="exact"/>
              <w:ind w:left="473"/>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56" w:type="dxa"/>
            <w:vAlign w:val="top"/>
          </w:tcPr>
          <w:p>
            <w:pPr>
              <w:spacing w:before="39" w:line="242" w:lineRule="exact"/>
              <w:ind w:left="407"/>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5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56" w:hRule="atLeast"/>
        </w:trPr>
        <w:tc>
          <w:tcPr>
            <w:tcW w:w="601" w:type="dxa"/>
            <w:vMerge w:val="continue"/>
            <w:tcBorders>
              <w:top w:val="nil"/>
              <w:left w:val="single" w:color="000000" w:sz="6" w:space="0"/>
            </w:tcBorders>
            <w:vAlign w:val="top"/>
          </w:tcPr>
          <w:p>
            <w:pPr>
              <w:rPr>
                <w:rFonts w:ascii="Arial"/>
                <w:sz w:val="21"/>
              </w:rPr>
            </w:pPr>
          </w:p>
        </w:tc>
        <w:tc>
          <w:tcPr>
            <w:tcW w:w="8316" w:type="dxa"/>
            <w:gridSpan w:val="6"/>
            <w:tcBorders>
              <w:right w:val="single" w:color="000000" w:sz="6" w:space="0"/>
            </w:tcBorders>
            <w:vAlign w:val="top"/>
          </w:tcPr>
          <w:p>
            <w:pPr>
              <w:spacing w:before="142" w:line="242" w:lineRule="auto"/>
              <w:ind w:left="101"/>
              <w:rPr>
                <w:rFonts w:ascii="黑体" w:hAnsi="黑体" w:eastAsia="黑体" w:cs="黑体"/>
                <w:sz w:val="20"/>
                <w:szCs w:val="20"/>
              </w:rPr>
            </w:pPr>
            <w:r>
              <w:rPr>
                <w:rFonts w:ascii="Times New Roman" w:hAnsi="Times New Roman" w:eastAsia="Times New Roman" w:cs="Times New Roman"/>
                <w:spacing w:val="2"/>
                <w:sz w:val="20"/>
                <w:szCs w:val="20"/>
              </w:rPr>
              <w:t xml:space="preserve">4 </w:t>
            </w:r>
            <w:r>
              <w:rPr>
                <w:rFonts w:ascii="黑体" w:hAnsi="黑体" w:eastAsia="黑体" w:cs="黑体"/>
                <w:spacing w:val="1"/>
                <w:sz w:val="20"/>
                <w:szCs w:val="20"/>
              </w:rPr>
              <w:t>、交通量预测</w:t>
            </w:r>
          </w:p>
          <w:p>
            <w:pPr>
              <w:spacing w:before="138" w:line="228" w:lineRule="auto"/>
              <w:ind w:left="526"/>
              <w:rPr>
                <w:rFonts w:ascii="宋体" w:hAnsi="宋体" w:eastAsia="宋体" w:cs="宋体"/>
                <w:sz w:val="20"/>
                <w:szCs w:val="20"/>
              </w:rPr>
            </w:pPr>
            <w:r>
              <w:rPr>
                <w:rFonts w:ascii="宋体" w:hAnsi="宋体" w:eastAsia="宋体" w:cs="宋体"/>
                <w:spacing w:val="14"/>
                <w:sz w:val="20"/>
                <w:szCs w:val="20"/>
              </w:rPr>
              <w:t>根据</w:t>
            </w:r>
            <w:r>
              <w:rPr>
                <w:rFonts w:ascii="宋体" w:hAnsi="宋体" w:eastAsia="宋体" w:cs="宋体"/>
                <w:spacing w:val="10"/>
                <w:sz w:val="20"/>
                <w:szCs w:val="20"/>
              </w:rPr>
              <w:t>《</w:t>
            </w:r>
            <w:r>
              <w:rPr>
                <w:rFonts w:ascii="宋体" w:hAnsi="宋体" w:eastAsia="宋体" w:cs="宋体"/>
                <w:spacing w:val="7"/>
                <w:sz w:val="20"/>
                <w:szCs w:val="20"/>
              </w:rPr>
              <w:t>达州市高家坝大桥建设项目初步设计方案》对影响区经济发展和地区公路网布</w:t>
            </w:r>
          </w:p>
          <w:p>
            <w:pPr>
              <w:spacing w:before="151" w:line="294" w:lineRule="auto"/>
              <w:ind w:left="2739" w:right="264" w:hanging="2630"/>
              <w:rPr>
                <w:rFonts w:ascii="黑体" w:hAnsi="黑体" w:eastAsia="黑体" w:cs="黑体"/>
                <w:sz w:val="19"/>
                <w:szCs w:val="19"/>
              </w:rPr>
            </w:pPr>
            <w:r>
              <w:rPr>
                <w:rFonts w:ascii="宋体" w:hAnsi="宋体" w:eastAsia="宋体" w:cs="宋体"/>
                <w:spacing w:val="16"/>
                <w:sz w:val="20"/>
                <w:szCs w:val="20"/>
              </w:rPr>
              <w:t>局的分</w:t>
            </w:r>
            <w:r>
              <w:rPr>
                <w:rFonts w:ascii="宋体" w:hAnsi="宋体" w:eastAsia="宋体" w:cs="宋体"/>
                <w:spacing w:val="12"/>
                <w:sz w:val="20"/>
                <w:szCs w:val="20"/>
              </w:rPr>
              <w:t>析</w:t>
            </w:r>
            <w:r>
              <w:rPr>
                <w:rFonts w:ascii="宋体" w:hAnsi="宋体" w:eastAsia="宋体" w:cs="宋体"/>
                <w:spacing w:val="8"/>
                <w:sz w:val="20"/>
                <w:szCs w:val="20"/>
              </w:rPr>
              <w:t>研究，根据区域经济交通发展状况，本项目设计基年组合交通量预测见下表。</w:t>
            </w:r>
            <w:r>
              <w:rPr>
                <w:rFonts w:ascii="宋体" w:hAnsi="宋体" w:eastAsia="宋体" w:cs="宋体"/>
                <w:sz w:val="20"/>
                <w:szCs w:val="20"/>
              </w:rPr>
              <w:t xml:space="preserve"> </w:t>
            </w:r>
            <w:r>
              <w:rPr>
                <w:rFonts w:ascii="黑体" w:hAnsi="黑体" w:eastAsia="黑体" w:cs="黑体"/>
                <w:spacing w:val="12"/>
                <w:sz w:val="19"/>
                <w:szCs w:val="19"/>
              </w:rPr>
              <w:t>表</w:t>
            </w:r>
            <w:r>
              <w:rPr>
                <w:rFonts w:ascii="Times New Roman" w:hAnsi="Times New Roman" w:eastAsia="Times New Roman" w:cs="Times New Roman"/>
                <w:spacing w:val="10"/>
                <w:sz w:val="19"/>
                <w:szCs w:val="19"/>
              </w:rPr>
              <w:t>1</w:t>
            </w:r>
            <w:r>
              <w:rPr>
                <w:rFonts w:ascii="Times New Roman" w:hAnsi="Times New Roman" w:eastAsia="Times New Roman" w:cs="Times New Roman"/>
                <w:spacing w:val="6"/>
                <w:sz w:val="19"/>
                <w:szCs w:val="19"/>
              </w:rPr>
              <w:t xml:space="preserve">0    </w:t>
            </w:r>
            <w:r>
              <w:rPr>
                <w:rFonts w:ascii="黑体" w:hAnsi="黑体" w:eastAsia="黑体" w:cs="黑体"/>
                <w:spacing w:val="6"/>
                <w:sz w:val="19"/>
                <w:szCs w:val="19"/>
              </w:rPr>
              <w:t>交通量预测结果 (</w:t>
            </w:r>
            <w:r>
              <w:rPr>
                <w:rFonts w:ascii="Times New Roman" w:hAnsi="Times New Roman" w:eastAsia="Times New Roman" w:cs="Times New Roman"/>
                <w:sz w:val="19"/>
                <w:szCs w:val="19"/>
              </w:rPr>
              <w:t>pcu</w:t>
            </w:r>
            <w:r>
              <w:rPr>
                <w:rFonts w:ascii="Times New Roman" w:hAnsi="Times New Roman" w:eastAsia="Times New Roman" w:cs="Times New Roman"/>
                <w:spacing w:val="6"/>
                <w:sz w:val="19"/>
                <w:szCs w:val="19"/>
              </w:rPr>
              <w:t>/</w:t>
            </w:r>
            <w:r>
              <w:rPr>
                <w:rFonts w:ascii="Times New Roman" w:hAnsi="Times New Roman" w:eastAsia="Times New Roman" w:cs="Times New Roman"/>
                <w:sz w:val="19"/>
                <w:szCs w:val="19"/>
              </w:rPr>
              <w:t>d</w:t>
            </w:r>
            <w:r>
              <w:rPr>
                <w:rFonts w:ascii="黑体" w:hAnsi="黑体" w:eastAsia="黑体" w:cs="黑体"/>
                <w:spacing w:val="6"/>
                <w:sz w:val="19"/>
                <w:szCs w:val="19"/>
              </w:rPr>
              <w:t>)</w:t>
            </w:r>
          </w:p>
          <w:tbl>
            <w:tblPr>
              <w:tblStyle w:val="4"/>
              <w:tblW w:w="7925" w:type="dxa"/>
              <w:tblInd w:w="1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9"/>
              <w:gridCol w:w="2234"/>
              <w:gridCol w:w="1393"/>
              <w:gridCol w:w="1392"/>
              <w:gridCol w:w="13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3" w:hRule="atLeast"/>
              </w:trPr>
              <w:tc>
                <w:tcPr>
                  <w:tcW w:w="3743" w:type="dxa"/>
                  <w:gridSpan w:val="2"/>
                  <w:vAlign w:val="top"/>
                </w:tcPr>
                <w:p>
                  <w:pPr>
                    <w:spacing w:before="69" w:line="230" w:lineRule="auto"/>
                    <w:ind w:left="1576"/>
                    <w:rPr>
                      <w:rFonts w:ascii="宋体" w:hAnsi="宋体" w:eastAsia="宋体" w:cs="宋体"/>
                      <w:sz w:val="17"/>
                      <w:szCs w:val="17"/>
                    </w:rPr>
                  </w:pPr>
                  <w:r>
                    <w:rPr>
                      <w:rFonts w:ascii="宋体" w:hAnsi="宋体" w:eastAsia="宋体" w:cs="宋体"/>
                      <w:spacing w:val="21"/>
                      <w:sz w:val="17"/>
                      <w:szCs w:val="17"/>
                      <w14:textOutline w14:w="3268" w14:cap="sq" w14:cmpd="sng">
                        <w14:solidFill>
                          <w14:srgbClr w14:val="000000"/>
                        </w14:solidFill>
                        <w14:prstDash w14:val="solid"/>
                        <w14:bevel/>
                      </w14:textOutline>
                    </w:rPr>
                    <w:t>路</w:t>
                  </w:r>
                  <w:r>
                    <w:rPr>
                      <w:rFonts w:ascii="宋体" w:hAnsi="宋体" w:eastAsia="宋体" w:cs="宋体"/>
                      <w:spacing w:val="20"/>
                      <w:sz w:val="17"/>
                      <w:szCs w:val="17"/>
                    </w:rPr>
                    <w:t xml:space="preserve">  </w:t>
                  </w:r>
                  <w:r>
                    <w:rPr>
                      <w:rFonts w:ascii="宋体" w:hAnsi="宋体" w:eastAsia="宋体" w:cs="宋体"/>
                      <w:spacing w:val="20"/>
                      <w:sz w:val="17"/>
                      <w:szCs w:val="17"/>
                      <w14:textOutline w14:w="3268" w14:cap="sq" w14:cmpd="sng">
                        <w14:solidFill>
                          <w14:srgbClr w14:val="000000"/>
                        </w14:solidFill>
                        <w14:prstDash w14:val="solid"/>
                        <w14:bevel/>
                      </w14:textOutline>
                    </w:rPr>
                    <w:t>段</w:t>
                  </w:r>
                </w:p>
              </w:tc>
              <w:tc>
                <w:tcPr>
                  <w:tcW w:w="1393" w:type="dxa"/>
                  <w:vAlign w:val="top"/>
                </w:tcPr>
                <w:p>
                  <w:pPr>
                    <w:spacing w:before="69" w:line="230" w:lineRule="auto"/>
                    <w:ind w:left="404"/>
                    <w:rPr>
                      <w:rFonts w:ascii="宋体" w:hAnsi="宋体" w:eastAsia="宋体" w:cs="宋体"/>
                      <w:sz w:val="17"/>
                      <w:szCs w:val="17"/>
                    </w:rPr>
                  </w:pPr>
                  <w:r>
                    <w:rPr>
                      <w:rFonts w:ascii="Times New Roman" w:hAnsi="Times New Roman" w:eastAsia="Times New Roman" w:cs="Times New Roman"/>
                      <w:b/>
                      <w:bCs/>
                      <w:spacing w:val="8"/>
                      <w:sz w:val="17"/>
                      <w:szCs w:val="17"/>
                    </w:rPr>
                    <w:t>2</w:t>
                  </w:r>
                  <w:r>
                    <w:rPr>
                      <w:rFonts w:ascii="Times New Roman" w:hAnsi="Times New Roman" w:eastAsia="Times New Roman" w:cs="Times New Roman"/>
                      <w:b/>
                      <w:bCs/>
                      <w:spacing w:val="4"/>
                      <w:sz w:val="17"/>
                      <w:szCs w:val="17"/>
                    </w:rPr>
                    <w:t>026</w:t>
                  </w:r>
                  <w:r>
                    <w:rPr>
                      <w:rFonts w:ascii="Times New Roman" w:hAnsi="Times New Roman" w:eastAsia="Times New Roman" w:cs="Times New Roman"/>
                      <w:spacing w:val="4"/>
                      <w:sz w:val="17"/>
                      <w:szCs w:val="17"/>
                    </w:rPr>
                    <w:t xml:space="preserve"> </w:t>
                  </w:r>
                  <w:r>
                    <w:rPr>
                      <w:rFonts w:ascii="宋体" w:hAnsi="宋体" w:eastAsia="宋体" w:cs="宋体"/>
                      <w:spacing w:val="4"/>
                      <w:sz w:val="17"/>
                      <w:szCs w:val="17"/>
                      <w14:textOutline w14:w="3268" w14:cap="sq" w14:cmpd="sng">
                        <w14:solidFill>
                          <w14:srgbClr w14:val="000000"/>
                        </w14:solidFill>
                        <w14:prstDash w14:val="solid"/>
                        <w14:bevel/>
                      </w14:textOutline>
                    </w:rPr>
                    <w:t>年</w:t>
                  </w:r>
                </w:p>
              </w:tc>
              <w:tc>
                <w:tcPr>
                  <w:tcW w:w="1392" w:type="dxa"/>
                  <w:vAlign w:val="top"/>
                </w:tcPr>
                <w:p>
                  <w:pPr>
                    <w:spacing w:before="69" w:line="230" w:lineRule="auto"/>
                    <w:ind w:left="403"/>
                    <w:rPr>
                      <w:rFonts w:ascii="宋体" w:hAnsi="宋体" w:eastAsia="宋体" w:cs="宋体"/>
                      <w:sz w:val="17"/>
                      <w:szCs w:val="17"/>
                    </w:rPr>
                  </w:pPr>
                  <w:r>
                    <w:rPr>
                      <w:rFonts w:ascii="Times New Roman" w:hAnsi="Times New Roman" w:eastAsia="Times New Roman" w:cs="Times New Roman"/>
                      <w:b/>
                      <w:bCs/>
                      <w:spacing w:val="8"/>
                      <w:sz w:val="17"/>
                      <w:szCs w:val="17"/>
                    </w:rPr>
                    <w:t>2</w:t>
                  </w:r>
                  <w:r>
                    <w:rPr>
                      <w:rFonts w:ascii="Times New Roman" w:hAnsi="Times New Roman" w:eastAsia="Times New Roman" w:cs="Times New Roman"/>
                      <w:b/>
                      <w:bCs/>
                      <w:spacing w:val="4"/>
                      <w:sz w:val="17"/>
                      <w:szCs w:val="17"/>
                    </w:rPr>
                    <w:t>032</w:t>
                  </w:r>
                  <w:r>
                    <w:rPr>
                      <w:rFonts w:ascii="Times New Roman" w:hAnsi="Times New Roman" w:eastAsia="Times New Roman" w:cs="Times New Roman"/>
                      <w:spacing w:val="4"/>
                      <w:sz w:val="17"/>
                      <w:szCs w:val="17"/>
                    </w:rPr>
                    <w:t xml:space="preserve"> </w:t>
                  </w:r>
                  <w:r>
                    <w:rPr>
                      <w:rFonts w:ascii="宋体" w:hAnsi="宋体" w:eastAsia="宋体" w:cs="宋体"/>
                      <w:spacing w:val="4"/>
                      <w:sz w:val="17"/>
                      <w:szCs w:val="17"/>
                      <w14:textOutline w14:w="3268" w14:cap="sq" w14:cmpd="sng">
                        <w14:solidFill>
                          <w14:srgbClr w14:val="000000"/>
                        </w14:solidFill>
                        <w14:prstDash w14:val="solid"/>
                        <w14:bevel/>
                      </w14:textOutline>
                    </w:rPr>
                    <w:t>年</w:t>
                  </w:r>
                </w:p>
              </w:tc>
              <w:tc>
                <w:tcPr>
                  <w:tcW w:w="1397" w:type="dxa"/>
                  <w:tcBorders>
                    <w:right w:val="nil"/>
                  </w:tcBorders>
                  <w:vAlign w:val="top"/>
                </w:tcPr>
                <w:p>
                  <w:pPr>
                    <w:spacing w:before="69" w:line="230" w:lineRule="auto"/>
                    <w:ind w:left="403"/>
                    <w:rPr>
                      <w:rFonts w:ascii="宋体" w:hAnsi="宋体" w:eastAsia="宋体" w:cs="宋体"/>
                      <w:sz w:val="17"/>
                      <w:szCs w:val="17"/>
                    </w:rPr>
                  </w:pPr>
                  <w:r>
                    <w:rPr>
                      <w:rFonts w:ascii="Times New Roman" w:hAnsi="Times New Roman" w:eastAsia="Times New Roman" w:cs="Times New Roman"/>
                      <w:b/>
                      <w:bCs/>
                      <w:spacing w:val="8"/>
                      <w:sz w:val="17"/>
                      <w:szCs w:val="17"/>
                    </w:rPr>
                    <w:t>2</w:t>
                  </w:r>
                  <w:r>
                    <w:rPr>
                      <w:rFonts w:ascii="Times New Roman" w:hAnsi="Times New Roman" w:eastAsia="Times New Roman" w:cs="Times New Roman"/>
                      <w:b/>
                      <w:bCs/>
                      <w:spacing w:val="4"/>
                      <w:sz w:val="17"/>
                      <w:szCs w:val="17"/>
                    </w:rPr>
                    <w:t>040</w:t>
                  </w:r>
                  <w:r>
                    <w:rPr>
                      <w:rFonts w:ascii="Times New Roman" w:hAnsi="Times New Roman" w:eastAsia="Times New Roman" w:cs="Times New Roman"/>
                      <w:spacing w:val="4"/>
                      <w:sz w:val="17"/>
                      <w:szCs w:val="17"/>
                    </w:rPr>
                    <w:t xml:space="preserve"> </w:t>
                  </w:r>
                  <w:r>
                    <w:rPr>
                      <w:rFonts w:ascii="宋体" w:hAnsi="宋体" w:eastAsia="宋体" w:cs="宋体"/>
                      <w:spacing w:val="4"/>
                      <w:sz w:val="17"/>
                      <w:szCs w:val="17"/>
                      <w14:textOutline w14:w="3268" w14:cap="sq" w14:cmpd="sng">
                        <w14:solidFill>
                          <w14:srgbClr w14:val="000000"/>
                        </w14:solidFill>
                        <w14:prstDash w14:val="solid"/>
                        <w14:bevel/>
                      </w14:textOutline>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8" w:hRule="atLeast"/>
              </w:trPr>
              <w:tc>
                <w:tcPr>
                  <w:tcW w:w="1509" w:type="dxa"/>
                  <w:vMerge w:val="restart"/>
                  <w:tcBorders>
                    <w:bottom w:val="nil"/>
                  </w:tcBorders>
                  <w:vAlign w:val="top"/>
                </w:tcPr>
                <w:p>
                  <w:pPr>
                    <w:spacing w:before="87" w:line="280" w:lineRule="exact"/>
                    <w:ind w:left="489"/>
                    <w:rPr>
                      <w:rFonts w:ascii="宋体" w:hAnsi="宋体" w:eastAsia="宋体" w:cs="宋体"/>
                      <w:sz w:val="17"/>
                      <w:szCs w:val="17"/>
                    </w:rPr>
                  </w:pPr>
                  <w:r>
                    <w:rPr>
                      <w:rFonts w:ascii="宋体" w:hAnsi="宋体" w:eastAsia="宋体" w:cs="宋体"/>
                      <w:spacing w:val="8"/>
                      <w:position w:val="7"/>
                      <w:sz w:val="17"/>
                      <w:szCs w:val="17"/>
                    </w:rPr>
                    <w:t>达州</w:t>
                  </w:r>
                  <w:r>
                    <w:rPr>
                      <w:rFonts w:ascii="宋体" w:hAnsi="宋体" w:eastAsia="宋体" w:cs="宋体"/>
                      <w:spacing w:val="7"/>
                      <w:position w:val="7"/>
                      <w:sz w:val="17"/>
                      <w:szCs w:val="17"/>
                    </w:rPr>
                    <w:t>市</w:t>
                  </w:r>
                </w:p>
                <w:p>
                  <w:pPr>
                    <w:spacing w:line="230" w:lineRule="auto"/>
                    <w:ind w:left="314"/>
                    <w:rPr>
                      <w:rFonts w:ascii="宋体" w:hAnsi="宋体" w:eastAsia="宋体" w:cs="宋体"/>
                      <w:sz w:val="17"/>
                      <w:szCs w:val="17"/>
                    </w:rPr>
                  </w:pPr>
                  <w:r>
                    <w:rPr>
                      <w:rFonts w:ascii="宋体" w:hAnsi="宋体" w:eastAsia="宋体" w:cs="宋体"/>
                      <w:spacing w:val="10"/>
                      <w:sz w:val="17"/>
                      <w:szCs w:val="17"/>
                    </w:rPr>
                    <w:t>高</w:t>
                  </w:r>
                  <w:r>
                    <w:rPr>
                      <w:rFonts w:ascii="宋体" w:hAnsi="宋体" w:eastAsia="宋体" w:cs="宋体"/>
                      <w:spacing w:val="7"/>
                      <w:sz w:val="17"/>
                      <w:szCs w:val="17"/>
                    </w:rPr>
                    <w:t>家坝大桥</w:t>
                  </w:r>
                </w:p>
              </w:tc>
              <w:tc>
                <w:tcPr>
                  <w:tcW w:w="2234" w:type="dxa"/>
                  <w:vAlign w:val="top"/>
                </w:tcPr>
                <w:p>
                  <w:pPr>
                    <w:spacing w:before="30" w:line="242" w:lineRule="exact"/>
                    <w:ind w:left="560"/>
                    <w:rPr>
                      <w:rFonts w:ascii="宋体" w:hAnsi="宋体" w:eastAsia="宋体" w:cs="宋体"/>
                      <w:sz w:val="17"/>
                      <w:szCs w:val="17"/>
                    </w:rPr>
                  </w:pPr>
                  <w:r>
                    <w:rPr>
                      <w:rFonts w:ascii="宋体" w:hAnsi="宋体" w:eastAsia="宋体" w:cs="宋体"/>
                      <w:spacing w:val="8"/>
                      <w:position w:val="2"/>
                      <w:sz w:val="17"/>
                      <w:szCs w:val="17"/>
                    </w:rPr>
                    <w:t>全天 (</w:t>
                  </w:r>
                  <w:r>
                    <w:rPr>
                      <w:rFonts w:ascii="Times New Roman" w:hAnsi="Times New Roman" w:eastAsia="Times New Roman" w:cs="Times New Roman"/>
                      <w:position w:val="2"/>
                      <w:sz w:val="17"/>
                      <w:szCs w:val="17"/>
                    </w:rPr>
                    <w:t>pcu</w:t>
                  </w:r>
                  <w:r>
                    <w:rPr>
                      <w:rFonts w:ascii="Times New Roman" w:hAnsi="Times New Roman" w:eastAsia="Times New Roman" w:cs="Times New Roman"/>
                      <w:spacing w:val="8"/>
                      <w:position w:val="2"/>
                      <w:sz w:val="17"/>
                      <w:szCs w:val="17"/>
                    </w:rPr>
                    <w:t>/</w:t>
                  </w:r>
                  <w:r>
                    <w:rPr>
                      <w:rFonts w:ascii="Times New Roman" w:hAnsi="Times New Roman" w:eastAsia="Times New Roman" w:cs="Times New Roman"/>
                      <w:position w:val="2"/>
                      <w:sz w:val="17"/>
                      <w:szCs w:val="17"/>
                    </w:rPr>
                    <w:t>d</w:t>
                  </w:r>
                  <w:r>
                    <w:rPr>
                      <w:rFonts w:ascii="宋体" w:hAnsi="宋体" w:eastAsia="宋体" w:cs="宋体"/>
                      <w:spacing w:val="7"/>
                      <w:position w:val="2"/>
                      <w:sz w:val="17"/>
                      <w:szCs w:val="17"/>
                    </w:rPr>
                    <w:t>)</w:t>
                  </w:r>
                </w:p>
              </w:tc>
              <w:tc>
                <w:tcPr>
                  <w:tcW w:w="1393" w:type="dxa"/>
                  <w:vAlign w:val="top"/>
                </w:tcPr>
                <w:p>
                  <w:pPr>
                    <w:spacing w:before="94" w:line="197" w:lineRule="auto"/>
                    <w:ind w:left="488"/>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102</w:t>
                  </w:r>
                  <w:r>
                    <w:rPr>
                      <w:rFonts w:ascii="Times New Roman" w:hAnsi="Times New Roman" w:eastAsia="Times New Roman" w:cs="Times New Roman"/>
                      <w:sz w:val="17"/>
                      <w:szCs w:val="17"/>
                    </w:rPr>
                    <w:t>53</w:t>
                  </w:r>
                </w:p>
              </w:tc>
              <w:tc>
                <w:tcPr>
                  <w:tcW w:w="1392" w:type="dxa"/>
                  <w:vAlign w:val="top"/>
                </w:tcPr>
                <w:p>
                  <w:pPr>
                    <w:spacing w:before="94" w:line="197" w:lineRule="auto"/>
                    <w:ind w:left="48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139</w:t>
                  </w:r>
                  <w:r>
                    <w:rPr>
                      <w:rFonts w:ascii="Times New Roman" w:hAnsi="Times New Roman" w:eastAsia="Times New Roman" w:cs="Times New Roman"/>
                      <w:sz w:val="17"/>
                      <w:szCs w:val="17"/>
                    </w:rPr>
                    <w:t>95</w:t>
                  </w:r>
                </w:p>
              </w:tc>
              <w:tc>
                <w:tcPr>
                  <w:tcW w:w="1397" w:type="dxa"/>
                  <w:tcBorders>
                    <w:right w:val="nil"/>
                  </w:tcBorders>
                  <w:vAlign w:val="top"/>
                </w:tcPr>
                <w:p>
                  <w:pPr>
                    <w:spacing w:before="94" w:line="197" w:lineRule="auto"/>
                    <w:ind w:left="48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163</w:t>
                  </w:r>
                  <w:r>
                    <w:rPr>
                      <w:rFonts w:ascii="Times New Roman" w:hAnsi="Times New Roman" w:eastAsia="Times New Roman" w:cs="Times New Roman"/>
                      <w:sz w:val="17"/>
                      <w:szCs w:val="17"/>
                    </w:rPr>
                    <w:t>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4" w:hRule="atLeast"/>
              </w:trPr>
              <w:tc>
                <w:tcPr>
                  <w:tcW w:w="1509" w:type="dxa"/>
                  <w:vMerge w:val="continue"/>
                  <w:tcBorders>
                    <w:top w:val="nil"/>
                  </w:tcBorders>
                  <w:vAlign w:val="top"/>
                </w:tcPr>
                <w:p>
                  <w:pPr>
                    <w:rPr>
                      <w:rFonts w:ascii="Arial"/>
                      <w:sz w:val="21"/>
                    </w:rPr>
                  </w:pPr>
                </w:p>
              </w:tc>
              <w:tc>
                <w:tcPr>
                  <w:tcW w:w="2234" w:type="dxa"/>
                  <w:vAlign w:val="top"/>
                </w:tcPr>
                <w:p>
                  <w:pPr>
                    <w:spacing w:before="39" w:line="242" w:lineRule="exact"/>
                    <w:ind w:left="384"/>
                    <w:rPr>
                      <w:rFonts w:ascii="宋体" w:hAnsi="宋体" w:eastAsia="宋体" w:cs="宋体"/>
                      <w:sz w:val="17"/>
                      <w:szCs w:val="17"/>
                    </w:rPr>
                  </w:pPr>
                  <w:r>
                    <w:rPr>
                      <w:rFonts w:ascii="宋体" w:hAnsi="宋体" w:eastAsia="宋体" w:cs="宋体"/>
                      <w:spacing w:val="13"/>
                      <w:position w:val="2"/>
                      <w:sz w:val="17"/>
                      <w:szCs w:val="17"/>
                    </w:rPr>
                    <w:t>高</w:t>
                  </w:r>
                  <w:r>
                    <w:rPr>
                      <w:rFonts w:ascii="宋体" w:hAnsi="宋体" w:eastAsia="宋体" w:cs="宋体"/>
                      <w:spacing w:val="7"/>
                      <w:position w:val="2"/>
                      <w:sz w:val="17"/>
                      <w:szCs w:val="17"/>
                    </w:rPr>
                    <w:t>峰小时 (</w:t>
                  </w:r>
                  <w:r>
                    <w:rPr>
                      <w:rFonts w:ascii="Times New Roman" w:hAnsi="Times New Roman" w:eastAsia="Times New Roman" w:cs="Times New Roman"/>
                      <w:position w:val="2"/>
                      <w:sz w:val="17"/>
                      <w:szCs w:val="17"/>
                    </w:rPr>
                    <w:t>pcu</w:t>
                  </w:r>
                  <w:r>
                    <w:rPr>
                      <w:rFonts w:ascii="Times New Roman" w:hAnsi="Times New Roman" w:eastAsia="Times New Roman" w:cs="Times New Roman"/>
                      <w:spacing w:val="7"/>
                      <w:position w:val="2"/>
                      <w:sz w:val="17"/>
                      <w:szCs w:val="17"/>
                    </w:rPr>
                    <w:t>/</w:t>
                  </w:r>
                  <w:r>
                    <w:rPr>
                      <w:rFonts w:ascii="Times New Roman" w:hAnsi="Times New Roman" w:eastAsia="Times New Roman" w:cs="Times New Roman"/>
                      <w:position w:val="2"/>
                      <w:sz w:val="17"/>
                      <w:szCs w:val="17"/>
                    </w:rPr>
                    <w:t>h</w:t>
                  </w:r>
                  <w:r>
                    <w:rPr>
                      <w:rFonts w:ascii="宋体" w:hAnsi="宋体" w:eastAsia="宋体" w:cs="宋体"/>
                      <w:spacing w:val="7"/>
                      <w:position w:val="2"/>
                      <w:sz w:val="17"/>
                      <w:szCs w:val="17"/>
                    </w:rPr>
                    <w:t>)</w:t>
                  </w:r>
                </w:p>
              </w:tc>
              <w:tc>
                <w:tcPr>
                  <w:tcW w:w="1393" w:type="dxa"/>
                  <w:vAlign w:val="top"/>
                </w:tcPr>
                <w:p>
                  <w:pPr>
                    <w:spacing w:before="102" w:line="197" w:lineRule="auto"/>
                    <w:ind w:left="533"/>
                    <w:rPr>
                      <w:rFonts w:ascii="Times New Roman" w:hAnsi="Times New Roman" w:eastAsia="Times New Roman" w:cs="Times New Roman"/>
                      <w:sz w:val="17"/>
                      <w:szCs w:val="17"/>
                    </w:rPr>
                  </w:pPr>
                  <w:r>
                    <w:rPr>
                      <w:rFonts w:ascii="Times New Roman" w:hAnsi="Times New Roman" w:eastAsia="Times New Roman" w:cs="Times New Roman"/>
                      <w:sz w:val="17"/>
                      <w:szCs w:val="17"/>
                    </w:rPr>
                    <w:t>1568</w:t>
                  </w:r>
                </w:p>
              </w:tc>
              <w:tc>
                <w:tcPr>
                  <w:tcW w:w="1392" w:type="dxa"/>
                  <w:vAlign w:val="top"/>
                </w:tcPr>
                <w:p>
                  <w:pPr>
                    <w:spacing w:before="102" w:line="197" w:lineRule="auto"/>
                    <w:ind w:left="51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4"/>
                      <w:sz w:val="17"/>
                      <w:szCs w:val="17"/>
                    </w:rPr>
                    <w:t>140</w:t>
                  </w:r>
                </w:p>
              </w:tc>
              <w:tc>
                <w:tcPr>
                  <w:tcW w:w="1397" w:type="dxa"/>
                  <w:tcBorders>
                    <w:right w:val="nil"/>
                  </w:tcBorders>
                  <w:vAlign w:val="top"/>
                </w:tcPr>
                <w:p>
                  <w:pPr>
                    <w:spacing w:before="102" w:line="197" w:lineRule="auto"/>
                    <w:ind w:left="51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4"/>
                      <w:sz w:val="17"/>
                      <w:szCs w:val="17"/>
                    </w:rPr>
                    <w:t>500</w:t>
                  </w:r>
                </w:p>
              </w:tc>
            </w:tr>
          </w:tbl>
          <w:p>
            <w:pPr>
              <w:spacing w:before="119" w:line="230" w:lineRule="auto"/>
              <w:ind w:left="2562"/>
              <w:rPr>
                <w:rFonts w:ascii="黑体" w:hAnsi="黑体" w:eastAsia="黑体" w:cs="黑体"/>
                <w:sz w:val="19"/>
                <w:szCs w:val="19"/>
              </w:rPr>
            </w:pPr>
            <w:r>
              <w:rPr>
                <w:rFonts w:ascii="黑体" w:hAnsi="黑体" w:eastAsia="黑体" w:cs="黑体"/>
                <w:spacing w:val="14"/>
                <w:sz w:val="19"/>
                <w:szCs w:val="19"/>
              </w:rPr>
              <w:t>表</w:t>
            </w:r>
            <w:r>
              <w:rPr>
                <w:rFonts w:ascii="Times New Roman" w:hAnsi="Times New Roman" w:eastAsia="Times New Roman" w:cs="Times New Roman"/>
                <w:spacing w:val="7"/>
                <w:sz w:val="19"/>
                <w:szCs w:val="19"/>
              </w:rPr>
              <w:t xml:space="preserve">11    </w:t>
            </w:r>
            <w:r>
              <w:rPr>
                <w:rFonts w:ascii="黑体" w:hAnsi="黑体" w:eastAsia="黑体" w:cs="黑体"/>
                <w:spacing w:val="7"/>
                <w:sz w:val="19"/>
                <w:szCs w:val="19"/>
              </w:rPr>
              <w:t>预测年交通量车型比和昼夜比</w:t>
            </w:r>
          </w:p>
          <w:p>
            <w:pPr>
              <w:spacing w:line="47" w:lineRule="auto"/>
              <w:rPr>
                <w:rFonts w:ascii="Arial"/>
                <w:sz w:val="2"/>
              </w:rPr>
            </w:pPr>
          </w:p>
          <w:tbl>
            <w:tblPr>
              <w:tblStyle w:val="4"/>
              <w:tblW w:w="7863" w:type="dxa"/>
              <w:tblInd w:w="2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9"/>
              <w:gridCol w:w="1733"/>
              <w:gridCol w:w="1453"/>
              <w:gridCol w:w="1506"/>
              <w:gridCol w:w="13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819" w:type="dxa"/>
                  <w:vMerge w:val="restart"/>
                  <w:tcBorders>
                    <w:bottom w:val="nil"/>
                  </w:tcBorders>
                  <w:vAlign w:val="top"/>
                </w:tcPr>
                <w:p>
                  <w:pPr>
                    <w:spacing w:before="216" w:line="230" w:lineRule="auto"/>
                    <w:ind w:left="646"/>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预测</w:t>
                  </w:r>
                  <w:r>
                    <w:rPr>
                      <w:rFonts w:ascii="宋体" w:hAnsi="宋体" w:eastAsia="宋体" w:cs="宋体"/>
                      <w:spacing w:val="7"/>
                      <w:sz w:val="17"/>
                      <w:szCs w:val="17"/>
                      <w14:textOutline w14:w="3268" w14:cap="sq" w14:cmpd="sng">
                        <w14:solidFill>
                          <w14:srgbClr w14:val="000000"/>
                        </w14:solidFill>
                        <w14:prstDash w14:val="solid"/>
                        <w14:bevel/>
                      </w14:textOutline>
                    </w:rPr>
                    <w:t>年</w:t>
                  </w:r>
                </w:p>
              </w:tc>
              <w:tc>
                <w:tcPr>
                  <w:tcW w:w="4692" w:type="dxa"/>
                  <w:gridSpan w:val="3"/>
                  <w:vAlign w:val="top"/>
                </w:tcPr>
                <w:p>
                  <w:pPr>
                    <w:spacing w:before="27" w:line="249" w:lineRule="exact"/>
                    <w:ind w:left="1810"/>
                    <w:rPr>
                      <w:rFonts w:ascii="宋体" w:hAnsi="宋体" w:eastAsia="宋体" w:cs="宋体"/>
                      <w:sz w:val="17"/>
                      <w:szCs w:val="17"/>
                    </w:rPr>
                  </w:pPr>
                  <w:r>
                    <w:rPr>
                      <w:rFonts w:ascii="宋体" w:hAnsi="宋体" w:eastAsia="宋体" w:cs="宋体"/>
                      <w:spacing w:val="7"/>
                      <w:position w:val="1"/>
                      <w:sz w:val="17"/>
                      <w:szCs w:val="17"/>
                      <w14:textOutline w14:w="3268" w14:cap="sq" w14:cmpd="sng">
                        <w14:solidFill>
                          <w14:srgbClr w14:val="000000"/>
                        </w14:solidFill>
                        <w14:prstDash w14:val="solid"/>
                        <w14:bevel/>
                      </w14:textOutline>
                    </w:rPr>
                    <w:t>车</w:t>
                  </w:r>
                  <w:r>
                    <w:rPr>
                      <w:rFonts w:ascii="宋体" w:hAnsi="宋体" w:eastAsia="宋体" w:cs="宋体"/>
                      <w:spacing w:val="6"/>
                      <w:position w:val="1"/>
                      <w:sz w:val="17"/>
                      <w:szCs w:val="17"/>
                      <w14:textOutline w14:w="3268" w14:cap="sq" w14:cmpd="sng">
                        <w14:solidFill>
                          <w14:srgbClr w14:val="000000"/>
                        </w14:solidFill>
                        <w14:prstDash w14:val="solid"/>
                        <w14:bevel/>
                      </w14:textOutline>
                    </w:rPr>
                    <w:t>型比</w:t>
                  </w:r>
                  <w:r>
                    <w:rPr>
                      <w:rFonts w:ascii="宋体" w:hAnsi="宋体" w:eastAsia="宋体" w:cs="宋体"/>
                      <w:spacing w:val="6"/>
                      <w:position w:val="1"/>
                      <w:sz w:val="17"/>
                      <w:szCs w:val="17"/>
                    </w:rPr>
                    <w:t xml:space="preserve"> </w:t>
                  </w:r>
                  <w:r>
                    <w:rPr>
                      <w:rFonts w:ascii="宋体" w:hAnsi="宋体" w:eastAsia="宋体" w:cs="宋体"/>
                      <w:spacing w:val="6"/>
                      <w:position w:val="1"/>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6"/>
                      <w:position w:val="1"/>
                      <w:sz w:val="17"/>
                      <w:szCs w:val="17"/>
                    </w:rPr>
                    <w:t>%</w:t>
                  </w:r>
                  <w:r>
                    <w:rPr>
                      <w:rFonts w:ascii="宋体" w:hAnsi="宋体" w:eastAsia="宋体" w:cs="宋体"/>
                      <w:spacing w:val="6"/>
                      <w:position w:val="1"/>
                      <w:sz w:val="17"/>
                      <w:szCs w:val="17"/>
                      <w14:textOutline w14:w="3268" w14:cap="sq" w14:cmpd="sng">
                        <w14:solidFill>
                          <w14:srgbClr w14:val="000000"/>
                        </w14:solidFill>
                        <w14:prstDash w14:val="solid"/>
                        <w14:bevel/>
                      </w14:textOutline>
                    </w:rPr>
                    <w:t>)</w:t>
                  </w:r>
                </w:p>
              </w:tc>
              <w:tc>
                <w:tcPr>
                  <w:tcW w:w="1352" w:type="dxa"/>
                  <w:vMerge w:val="restart"/>
                  <w:tcBorders>
                    <w:bottom w:val="nil"/>
                  </w:tcBorders>
                  <w:vAlign w:val="top"/>
                </w:tcPr>
                <w:p>
                  <w:pPr>
                    <w:spacing w:before="216" w:line="230" w:lineRule="auto"/>
                    <w:ind w:left="408"/>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昼</w:t>
                  </w:r>
                  <w:r>
                    <w:rPr>
                      <w:rFonts w:ascii="宋体" w:hAnsi="宋体" w:eastAsia="宋体" w:cs="宋体"/>
                      <w:spacing w:val="8"/>
                      <w:sz w:val="17"/>
                      <w:szCs w:val="17"/>
                      <w14:textOutline w14:w="3268" w14:cap="sq" w14:cmpd="sng">
                        <w14:solidFill>
                          <w14:srgbClr w14:val="000000"/>
                        </w14:solidFill>
                        <w14:prstDash w14:val="solid"/>
                        <w14:bevel/>
                      </w14:textOutline>
                    </w:rPr>
                    <w:t>夜比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9" w:hRule="atLeast"/>
              </w:trPr>
              <w:tc>
                <w:tcPr>
                  <w:tcW w:w="1819" w:type="dxa"/>
                  <w:vMerge w:val="continue"/>
                  <w:tcBorders>
                    <w:top w:val="nil"/>
                  </w:tcBorders>
                  <w:vAlign w:val="top"/>
                </w:tcPr>
                <w:p>
                  <w:pPr>
                    <w:rPr>
                      <w:rFonts w:ascii="Arial"/>
                      <w:sz w:val="21"/>
                    </w:rPr>
                  </w:pPr>
                </w:p>
              </w:tc>
              <w:tc>
                <w:tcPr>
                  <w:tcW w:w="1733" w:type="dxa"/>
                  <w:vAlign w:val="top"/>
                </w:tcPr>
                <w:p>
                  <w:pPr>
                    <w:spacing w:before="59" w:line="230" w:lineRule="auto"/>
                    <w:ind w:left="604"/>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小型</w:t>
                  </w:r>
                  <w:r>
                    <w:rPr>
                      <w:rFonts w:ascii="宋体" w:hAnsi="宋体" w:eastAsia="宋体" w:cs="宋体"/>
                      <w:spacing w:val="6"/>
                      <w:sz w:val="17"/>
                      <w:szCs w:val="17"/>
                      <w14:textOutline w14:w="3268" w14:cap="sq" w14:cmpd="sng">
                        <w14:solidFill>
                          <w14:srgbClr w14:val="000000"/>
                        </w14:solidFill>
                        <w14:prstDash w14:val="solid"/>
                        <w14:bevel/>
                      </w14:textOutline>
                    </w:rPr>
                    <w:t>车</w:t>
                  </w:r>
                </w:p>
              </w:tc>
              <w:tc>
                <w:tcPr>
                  <w:tcW w:w="1453" w:type="dxa"/>
                  <w:vAlign w:val="top"/>
                </w:tcPr>
                <w:p>
                  <w:pPr>
                    <w:spacing w:before="59" w:line="230" w:lineRule="auto"/>
                    <w:ind w:left="476"/>
                    <w:rPr>
                      <w:rFonts w:ascii="宋体" w:hAnsi="宋体" w:eastAsia="宋体" w:cs="宋体"/>
                      <w:sz w:val="17"/>
                      <w:szCs w:val="17"/>
                    </w:rPr>
                  </w:pPr>
                  <w:r>
                    <w:rPr>
                      <w:rFonts w:ascii="宋体" w:hAnsi="宋体" w:eastAsia="宋体" w:cs="宋体"/>
                      <w:spacing w:val="3"/>
                      <w:sz w:val="17"/>
                      <w:szCs w:val="17"/>
                      <w14:textOutline w14:w="3268" w14:cap="sq" w14:cmpd="sng">
                        <w14:solidFill>
                          <w14:srgbClr w14:val="000000"/>
                        </w14:solidFill>
                        <w14:prstDash w14:val="solid"/>
                        <w14:bevel/>
                      </w14:textOutline>
                    </w:rPr>
                    <w:t>中型</w:t>
                  </w:r>
                  <w:r>
                    <w:rPr>
                      <w:rFonts w:ascii="宋体" w:hAnsi="宋体" w:eastAsia="宋体" w:cs="宋体"/>
                      <w:spacing w:val="2"/>
                      <w:sz w:val="17"/>
                      <w:szCs w:val="17"/>
                      <w14:textOutline w14:w="3268" w14:cap="sq" w14:cmpd="sng">
                        <w14:solidFill>
                          <w14:srgbClr w14:val="000000"/>
                        </w14:solidFill>
                        <w14:prstDash w14:val="solid"/>
                        <w14:bevel/>
                      </w14:textOutline>
                    </w:rPr>
                    <w:t>车</w:t>
                  </w:r>
                </w:p>
              </w:tc>
              <w:tc>
                <w:tcPr>
                  <w:tcW w:w="1506" w:type="dxa"/>
                  <w:vAlign w:val="top"/>
                </w:tcPr>
                <w:p>
                  <w:pPr>
                    <w:spacing w:before="59" w:line="230" w:lineRule="auto"/>
                    <w:ind w:left="489"/>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大</w:t>
                  </w:r>
                  <w:r>
                    <w:rPr>
                      <w:rFonts w:ascii="宋体" w:hAnsi="宋体" w:eastAsia="宋体" w:cs="宋体"/>
                      <w:spacing w:val="7"/>
                      <w:sz w:val="17"/>
                      <w:szCs w:val="17"/>
                      <w14:textOutline w14:w="3268" w14:cap="sq" w14:cmpd="sng">
                        <w14:solidFill>
                          <w14:srgbClr w14:val="000000"/>
                        </w14:solidFill>
                        <w14:prstDash w14:val="solid"/>
                        <w14:bevel/>
                      </w14:textOutline>
                    </w:rPr>
                    <w:t>型车</w:t>
                  </w:r>
                </w:p>
              </w:tc>
              <w:tc>
                <w:tcPr>
                  <w:tcW w:w="135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819" w:type="dxa"/>
                  <w:vAlign w:val="top"/>
                </w:tcPr>
                <w:p>
                  <w:pPr>
                    <w:spacing w:before="59" w:line="230" w:lineRule="auto"/>
                    <w:ind w:left="617"/>
                    <w:rPr>
                      <w:rFonts w:ascii="宋体" w:hAnsi="宋体" w:eastAsia="宋体" w:cs="宋体"/>
                      <w:sz w:val="17"/>
                      <w:szCs w:val="17"/>
                    </w:rPr>
                  </w:pPr>
                  <w:r>
                    <w:rPr>
                      <w:rFonts w:ascii="Times New Roman" w:hAnsi="Times New Roman" w:eastAsia="Times New Roman" w:cs="Times New Roman"/>
                      <w:spacing w:val="5"/>
                      <w:sz w:val="17"/>
                      <w:szCs w:val="17"/>
                    </w:rPr>
                    <w:t xml:space="preserve">2026 </w:t>
                  </w:r>
                  <w:r>
                    <w:rPr>
                      <w:rFonts w:ascii="宋体" w:hAnsi="宋体" w:eastAsia="宋体" w:cs="宋体"/>
                      <w:spacing w:val="4"/>
                      <w:sz w:val="17"/>
                      <w:szCs w:val="17"/>
                    </w:rPr>
                    <w:t>年</w:t>
                  </w:r>
                </w:p>
              </w:tc>
              <w:tc>
                <w:tcPr>
                  <w:tcW w:w="1733" w:type="dxa"/>
                  <w:vAlign w:val="top"/>
                </w:tcPr>
                <w:p>
                  <w:pPr>
                    <w:spacing w:before="27" w:line="242" w:lineRule="exact"/>
                    <w:ind w:left="587"/>
                    <w:rPr>
                      <w:rFonts w:ascii="Times New Roman" w:hAnsi="Times New Roman" w:eastAsia="Times New Roman" w:cs="Times New Roman"/>
                      <w:sz w:val="17"/>
                      <w:szCs w:val="17"/>
                    </w:rPr>
                  </w:pPr>
                  <w:r>
                    <w:rPr>
                      <w:rFonts w:ascii="Times New Roman" w:hAnsi="Times New Roman" w:eastAsia="Times New Roman" w:cs="Times New Roman"/>
                      <w:spacing w:val="8"/>
                      <w:position w:val="2"/>
                      <w:sz w:val="17"/>
                      <w:szCs w:val="17"/>
                    </w:rPr>
                    <w:t>4</w:t>
                  </w:r>
                  <w:r>
                    <w:rPr>
                      <w:rFonts w:ascii="Times New Roman" w:hAnsi="Times New Roman" w:eastAsia="Times New Roman" w:cs="Times New Roman"/>
                      <w:spacing w:val="4"/>
                      <w:position w:val="2"/>
                      <w:sz w:val="17"/>
                      <w:szCs w:val="17"/>
                    </w:rPr>
                    <w:t>3.37%</w:t>
                  </w:r>
                </w:p>
              </w:tc>
              <w:tc>
                <w:tcPr>
                  <w:tcW w:w="1453" w:type="dxa"/>
                  <w:vAlign w:val="top"/>
                </w:tcPr>
                <w:p>
                  <w:pPr>
                    <w:spacing w:before="27" w:line="242" w:lineRule="exact"/>
                    <w:ind w:left="452"/>
                    <w:rPr>
                      <w:rFonts w:ascii="Times New Roman" w:hAnsi="Times New Roman" w:eastAsia="Times New Roman" w:cs="Times New Roman"/>
                      <w:sz w:val="17"/>
                      <w:szCs w:val="17"/>
                    </w:rPr>
                  </w:pPr>
                  <w:r>
                    <w:rPr>
                      <w:rFonts w:ascii="Times New Roman" w:hAnsi="Times New Roman" w:eastAsia="Times New Roman" w:cs="Times New Roman"/>
                      <w:spacing w:val="4"/>
                      <w:position w:val="2"/>
                      <w:sz w:val="17"/>
                      <w:szCs w:val="17"/>
                    </w:rPr>
                    <w:t>33.96%</w:t>
                  </w:r>
                </w:p>
              </w:tc>
              <w:tc>
                <w:tcPr>
                  <w:tcW w:w="1506" w:type="dxa"/>
                  <w:vAlign w:val="top"/>
                </w:tcPr>
                <w:p>
                  <w:pPr>
                    <w:spacing w:before="27" w:line="242" w:lineRule="exact"/>
                    <w:ind w:left="479"/>
                    <w:rPr>
                      <w:rFonts w:ascii="Times New Roman" w:hAnsi="Times New Roman" w:eastAsia="Times New Roman" w:cs="Times New Roman"/>
                      <w:sz w:val="17"/>
                      <w:szCs w:val="17"/>
                    </w:rPr>
                  </w:pPr>
                  <w:r>
                    <w:rPr>
                      <w:rFonts w:ascii="Times New Roman" w:hAnsi="Times New Roman" w:eastAsia="Times New Roman" w:cs="Times New Roman"/>
                      <w:spacing w:val="7"/>
                      <w:position w:val="2"/>
                      <w:sz w:val="17"/>
                      <w:szCs w:val="17"/>
                    </w:rPr>
                    <w:t>2</w:t>
                  </w:r>
                  <w:r>
                    <w:rPr>
                      <w:rFonts w:ascii="Times New Roman" w:hAnsi="Times New Roman" w:eastAsia="Times New Roman" w:cs="Times New Roman"/>
                      <w:spacing w:val="4"/>
                      <w:position w:val="2"/>
                      <w:sz w:val="17"/>
                      <w:szCs w:val="17"/>
                    </w:rPr>
                    <w:t>2.67%</w:t>
                  </w:r>
                </w:p>
              </w:tc>
              <w:tc>
                <w:tcPr>
                  <w:tcW w:w="1352" w:type="dxa"/>
                  <w:vMerge w:val="restart"/>
                  <w:tcBorders>
                    <w:bottom w:val="nil"/>
                  </w:tcBorders>
                  <w:vAlign w:val="top"/>
                </w:tcPr>
                <w:p>
                  <w:pPr>
                    <w:spacing w:line="354" w:lineRule="auto"/>
                    <w:rPr>
                      <w:rFonts w:ascii="Arial"/>
                      <w:sz w:val="21"/>
                    </w:rPr>
                  </w:pPr>
                </w:p>
                <w:p>
                  <w:pPr>
                    <w:spacing w:before="48" w:line="197" w:lineRule="auto"/>
                    <w:ind w:left="5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7</w:t>
                  </w:r>
                  <w:r>
                    <w:rPr>
                      <w:rFonts w:ascii="Times New Roman" w:hAnsi="Times New Roman" w:eastAsia="Times New Roman" w:cs="Times New Roman"/>
                      <w:spacing w:val="2"/>
                      <w:sz w:val="17"/>
                      <w:szCs w:val="17"/>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819" w:type="dxa"/>
                  <w:vAlign w:val="top"/>
                </w:tcPr>
                <w:p>
                  <w:pPr>
                    <w:spacing w:before="60" w:line="230" w:lineRule="auto"/>
                    <w:ind w:left="617"/>
                    <w:rPr>
                      <w:rFonts w:ascii="宋体" w:hAnsi="宋体" w:eastAsia="宋体" w:cs="宋体"/>
                      <w:sz w:val="17"/>
                      <w:szCs w:val="17"/>
                    </w:rPr>
                  </w:pPr>
                  <w:r>
                    <w:rPr>
                      <w:rFonts w:ascii="Times New Roman" w:hAnsi="Times New Roman" w:eastAsia="Times New Roman" w:cs="Times New Roman"/>
                      <w:spacing w:val="5"/>
                      <w:sz w:val="17"/>
                      <w:szCs w:val="17"/>
                    </w:rPr>
                    <w:t xml:space="preserve">2032 </w:t>
                  </w:r>
                  <w:r>
                    <w:rPr>
                      <w:rFonts w:ascii="宋体" w:hAnsi="宋体" w:eastAsia="宋体" w:cs="宋体"/>
                      <w:spacing w:val="4"/>
                      <w:sz w:val="17"/>
                      <w:szCs w:val="17"/>
                    </w:rPr>
                    <w:t>年</w:t>
                  </w:r>
                </w:p>
              </w:tc>
              <w:tc>
                <w:tcPr>
                  <w:tcW w:w="1733" w:type="dxa"/>
                  <w:vAlign w:val="top"/>
                </w:tcPr>
                <w:p>
                  <w:pPr>
                    <w:spacing w:before="28" w:line="242" w:lineRule="exact"/>
                    <w:ind w:left="587"/>
                    <w:rPr>
                      <w:rFonts w:ascii="Times New Roman" w:hAnsi="Times New Roman" w:eastAsia="Times New Roman" w:cs="Times New Roman"/>
                      <w:sz w:val="17"/>
                      <w:szCs w:val="17"/>
                    </w:rPr>
                  </w:pPr>
                  <w:r>
                    <w:rPr>
                      <w:rFonts w:ascii="Times New Roman" w:hAnsi="Times New Roman" w:eastAsia="Times New Roman" w:cs="Times New Roman"/>
                      <w:spacing w:val="8"/>
                      <w:position w:val="2"/>
                      <w:sz w:val="17"/>
                      <w:szCs w:val="17"/>
                    </w:rPr>
                    <w:t>4</w:t>
                  </w:r>
                  <w:r>
                    <w:rPr>
                      <w:rFonts w:ascii="Times New Roman" w:hAnsi="Times New Roman" w:eastAsia="Times New Roman" w:cs="Times New Roman"/>
                      <w:spacing w:val="4"/>
                      <w:position w:val="2"/>
                      <w:sz w:val="17"/>
                      <w:szCs w:val="17"/>
                    </w:rPr>
                    <w:t>7.62%</w:t>
                  </w:r>
                </w:p>
              </w:tc>
              <w:tc>
                <w:tcPr>
                  <w:tcW w:w="1453" w:type="dxa"/>
                  <w:vAlign w:val="top"/>
                </w:tcPr>
                <w:p>
                  <w:pPr>
                    <w:spacing w:before="28" w:line="242" w:lineRule="exact"/>
                    <w:ind w:left="452"/>
                    <w:rPr>
                      <w:rFonts w:ascii="Times New Roman" w:hAnsi="Times New Roman" w:eastAsia="Times New Roman" w:cs="Times New Roman"/>
                      <w:sz w:val="17"/>
                      <w:szCs w:val="17"/>
                    </w:rPr>
                  </w:pPr>
                  <w:r>
                    <w:rPr>
                      <w:rFonts w:ascii="Times New Roman" w:hAnsi="Times New Roman" w:eastAsia="Times New Roman" w:cs="Times New Roman"/>
                      <w:spacing w:val="4"/>
                      <w:position w:val="2"/>
                      <w:sz w:val="17"/>
                      <w:szCs w:val="17"/>
                    </w:rPr>
                    <w:t>30.82%</w:t>
                  </w:r>
                </w:p>
              </w:tc>
              <w:tc>
                <w:tcPr>
                  <w:tcW w:w="1506" w:type="dxa"/>
                  <w:vAlign w:val="top"/>
                </w:tcPr>
                <w:p>
                  <w:pPr>
                    <w:spacing w:before="28" w:line="242" w:lineRule="exact"/>
                    <w:ind w:left="479"/>
                    <w:rPr>
                      <w:rFonts w:ascii="Times New Roman" w:hAnsi="Times New Roman" w:eastAsia="Times New Roman" w:cs="Times New Roman"/>
                      <w:sz w:val="17"/>
                      <w:szCs w:val="17"/>
                    </w:rPr>
                  </w:pPr>
                  <w:r>
                    <w:rPr>
                      <w:rFonts w:ascii="Times New Roman" w:hAnsi="Times New Roman" w:eastAsia="Times New Roman" w:cs="Times New Roman"/>
                      <w:spacing w:val="7"/>
                      <w:position w:val="2"/>
                      <w:sz w:val="17"/>
                      <w:szCs w:val="17"/>
                    </w:rPr>
                    <w:t>2</w:t>
                  </w:r>
                  <w:r>
                    <w:rPr>
                      <w:rFonts w:ascii="Times New Roman" w:hAnsi="Times New Roman" w:eastAsia="Times New Roman" w:cs="Times New Roman"/>
                      <w:spacing w:val="4"/>
                      <w:position w:val="2"/>
                      <w:sz w:val="17"/>
                      <w:szCs w:val="17"/>
                    </w:rPr>
                    <w:t>1.56%</w:t>
                  </w:r>
                </w:p>
              </w:tc>
              <w:tc>
                <w:tcPr>
                  <w:tcW w:w="135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819" w:type="dxa"/>
                  <w:vAlign w:val="top"/>
                </w:tcPr>
                <w:p>
                  <w:pPr>
                    <w:spacing w:before="73" w:line="230" w:lineRule="auto"/>
                    <w:ind w:left="617"/>
                    <w:rPr>
                      <w:rFonts w:ascii="宋体" w:hAnsi="宋体" w:eastAsia="宋体" w:cs="宋体"/>
                      <w:sz w:val="17"/>
                      <w:szCs w:val="17"/>
                    </w:rPr>
                  </w:pPr>
                  <w:r>
                    <w:rPr>
                      <w:rFonts w:ascii="Times New Roman" w:hAnsi="Times New Roman" w:eastAsia="Times New Roman" w:cs="Times New Roman"/>
                      <w:spacing w:val="5"/>
                      <w:sz w:val="17"/>
                      <w:szCs w:val="17"/>
                    </w:rPr>
                    <w:t xml:space="preserve">2040 </w:t>
                  </w:r>
                  <w:r>
                    <w:rPr>
                      <w:rFonts w:ascii="宋体" w:hAnsi="宋体" w:eastAsia="宋体" w:cs="宋体"/>
                      <w:spacing w:val="4"/>
                      <w:sz w:val="17"/>
                      <w:szCs w:val="17"/>
                    </w:rPr>
                    <w:t>年</w:t>
                  </w:r>
                </w:p>
              </w:tc>
              <w:tc>
                <w:tcPr>
                  <w:tcW w:w="1733" w:type="dxa"/>
                  <w:vAlign w:val="top"/>
                </w:tcPr>
                <w:p>
                  <w:pPr>
                    <w:spacing w:before="21" w:line="242" w:lineRule="exact"/>
                    <w:ind w:left="593"/>
                    <w:rPr>
                      <w:rFonts w:ascii="Times New Roman" w:hAnsi="Times New Roman" w:eastAsia="Times New Roman" w:cs="Times New Roman"/>
                      <w:sz w:val="17"/>
                      <w:szCs w:val="17"/>
                    </w:rPr>
                  </w:pPr>
                  <w:r>
                    <w:rPr>
                      <w:rFonts w:ascii="Times New Roman" w:hAnsi="Times New Roman" w:eastAsia="Times New Roman" w:cs="Times New Roman"/>
                      <w:spacing w:val="6"/>
                      <w:position w:val="2"/>
                      <w:sz w:val="17"/>
                      <w:szCs w:val="17"/>
                    </w:rPr>
                    <w:t>5</w:t>
                  </w:r>
                  <w:r>
                    <w:rPr>
                      <w:rFonts w:ascii="Times New Roman" w:hAnsi="Times New Roman" w:eastAsia="Times New Roman" w:cs="Times New Roman"/>
                      <w:spacing w:val="4"/>
                      <w:position w:val="2"/>
                      <w:sz w:val="17"/>
                      <w:szCs w:val="17"/>
                    </w:rPr>
                    <w:t>4</w:t>
                  </w:r>
                  <w:r>
                    <w:rPr>
                      <w:rFonts w:ascii="Times New Roman" w:hAnsi="Times New Roman" w:eastAsia="Times New Roman" w:cs="Times New Roman"/>
                      <w:spacing w:val="3"/>
                      <w:position w:val="2"/>
                      <w:sz w:val="17"/>
                      <w:szCs w:val="17"/>
                    </w:rPr>
                    <w:t>.01%</w:t>
                  </w:r>
                </w:p>
              </w:tc>
              <w:tc>
                <w:tcPr>
                  <w:tcW w:w="1453" w:type="dxa"/>
                  <w:vAlign w:val="top"/>
                </w:tcPr>
                <w:p>
                  <w:pPr>
                    <w:spacing w:before="21" w:line="242" w:lineRule="exact"/>
                    <w:ind w:left="449"/>
                    <w:rPr>
                      <w:rFonts w:ascii="Times New Roman" w:hAnsi="Times New Roman" w:eastAsia="Times New Roman" w:cs="Times New Roman"/>
                      <w:sz w:val="17"/>
                      <w:szCs w:val="17"/>
                    </w:rPr>
                  </w:pPr>
                  <w:r>
                    <w:rPr>
                      <w:rFonts w:ascii="Times New Roman" w:hAnsi="Times New Roman" w:eastAsia="Times New Roman" w:cs="Times New Roman"/>
                      <w:spacing w:val="7"/>
                      <w:position w:val="2"/>
                      <w:sz w:val="17"/>
                      <w:szCs w:val="17"/>
                    </w:rPr>
                    <w:t>2</w:t>
                  </w:r>
                  <w:r>
                    <w:rPr>
                      <w:rFonts w:ascii="Times New Roman" w:hAnsi="Times New Roman" w:eastAsia="Times New Roman" w:cs="Times New Roman"/>
                      <w:spacing w:val="4"/>
                      <w:position w:val="2"/>
                      <w:sz w:val="17"/>
                      <w:szCs w:val="17"/>
                    </w:rPr>
                    <w:t>7.98%</w:t>
                  </w:r>
                </w:p>
              </w:tc>
              <w:tc>
                <w:tcPr>
                  <w:tcW w:w="1506" w:type="dxa"/>
                  <w:vAlign w:val="top"/>
                </w:tcPr>
                <w:p>
                  <w:pPr>
                    <w:spacing w:before="21" w:line="242" w:lineRule="exact"/>
                    <w:ind w:left="496"/>
                    <w:rPr>
                      <w:rFonts w:ascii="Times New Roman" w:hAnsi="Times New Roman" w:eastAsia="Times New Roman" w:cs="Times New Roman"/>
                      <w:sz w:val="17"/>
                      <w:szCs w:val="17"/>
                    </w:rPr>
                  </w:pPr>
                  <w:r>
                    <w:rPr>
                      <w:rFonts w:ascii="Times New Roman" w:hAnsi="Times New Roman" w:eastAsia="Times New Roman" w:cs="Times New Roman"/>
                      <w:spacing w:val="2"/>
                      <w:position w:val="2"/>
                      <w:sz w:val="17"/>
                      <w:szCs w:val="17"/>
                    </w:rPr>
                    <w:t>18.0</w:t>
                  </w:r>
                  <w:r>
                    <w:rPr>
                      <w:rFonts w:ascii="Times New Roman" w:hAnsi="Times New Roman" w:eastAsia="Times New Roman" w:cs="Times New Roman"/>
                      <w:spacing w:val="1"/>
                      <w:position w:val="2"/>
                      <w:sz w:val="17"/>
                      <w:szCs w:val="17"/>
                    </w:rPr>
                    <w:t>1%</w:t>
                  </w:r>
                </w:p>
              </w:tc>
              <w:tc>
                <w:tcPr>
                  <w:tcW w:w="1352" w:type="dxa"/>
                  <w:vMerge w:val="continue"/>
                  <w:tcBorders>
                    <w:top w:val="nil"/>
                  </w:tcBorders>
                  <w:vAlign w:val="top"/>
                </w:tcPr>
                <w:p>
                  <w:pPr>
                    <w:rPr>
                      <w:rFonts w:ascii="Arial"/>
                      <w:sz w:val="21"/>
                    </w:rPr>
                  </w:pPr>
                </w:p>
              </w:tc>
            </w:tr>
          </w:tbl>
          <w:p>
            <w:pPr>
              <w:spacing w:before="139" w:line="242" w:lineRule="auto"/>
              <w:ind w:left="108"/>
              <w:rPr>
                <w:rFonts w:ascii="黑体" w:hAnsi="黑体" w:eastAsia="黑体" w:cs="黑体"/>
                <w:sz w:val="20"/>
                <w:szCs w:val="20"/>
              </w:rPr>
            </w:pPr>
            <w:r>
              <w:rPr>
                <w:rFonts w:ascii="Times New Roman" w:hAnsi="Times New Roman" w:eastAsia="Times New Roman" w:cs="Times New Roman"/>
                <w:spacing w:val="-2"/>
                <w:sz w:val="20"/>
                <w:szCs w:val="20"/>
              </w:rPr>
              <w:t>5</w:t>
            </w:r>
            <w:r>
              <w:rPr>
                <w:rFonts w:ascii="Times New Roman" w:hAnsi="Times New Roman" w:eastAsia="Times New Roman" w:cs="Times New Roman"/>
                <w:spacing w:val="-1"/>
                <w:sz w:val="20"/>
                <w:szCs w:val="20"/>
              </w:rPr>
              <w:t xml:space="preserve"> </w:t>
            </w:r>
            <w:r>
              <w:rPr>
                <w:rFonts w:ascii="黑体" w:hAnsi="黑体" w:eastAsia="黑体" w:cs="黑体"/>
                <w:spacing w:val="-1"/>
                <w:sz w:val="20"/>
                <w:szCs w:val="20"/>
              </w:rPr>
              <w:t>、工程设计</w:t>
            </w:r>
          </w:p>
          <w:p>
            <w:pPr>
              <w:spacing w:before="139" w:line="228" w:lineRule="auto"/>
              <w:ind w:left="536"/>
              <w:rPr>
                <w:rFonts w:ascii="宋体" w:hAnsi="宋体" w:eastAsia="宋体" w:cs="宋体"/>
                <w:sz w:val="20"/>
                <w:szCs w:val="20"/>
              </w:rPr>
            </w:pPr>
            <w:r>
              <w:rPr>
                <w:rFonts w:ascii="宋体" w:hAnsi="宋体" w:eastAsia="宋体" w:cs="宋体"/>
                <w:spacing w:val="17"/>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7"/>
                <w:sz w:val="20"/>
                <w:szCs w:val="20"/>
              </w:rPr>
              <w:t>1</w:t>
            </w:r>
            <w:r>
              <w:rPr>
                <w:rFonts w:ascii="宋体" w:hAnsi="宋体" w:eastAsia="宋体" w:cs="宋体"/>
                <w:spacing w:val="17"/>
                <w:sz w:val="20"/>
                <w:szCs w:val="20"/>
                <w14:textOutline w14:w="3795" w14:cap="sq" w14:cmpd="sng">
                  <w14:solidFill>
                    <w14:srgbClr w14:val="000000"/>
                  </w14:solidFill>
                  <w14:prstDash w14:val="solid"/>
                  <w14:bevel/>
                </w14:textOutline>
              </w:rPr>
              <w:t>)</w:t>
            </w:r>
            <w:r>
              <w:rPr>
                <w:rFonts w:ascii="宋体" w:hAnsi="宋体" w:eastAsia="宋体" w:cs="宋体"/>
                <w:spacing w:val="17"/>
                <w:sz w:val="20"/>
                <w:szCs w:val="20"/>
              </w:rPr>
              <w:t xml:space="preserve"> </w:t>
            </w:r>
            <w:r>
              <w:rPr>
                <w:rFonts w:ascii="宋体" w:hAnsi="宋体" w:eastAsia="宋体" w:cs="宋体"/>
                <w:spacing w:val="17"/>
                <w:sz w:val="20"/>
                <w:szCs w:val="20"/>
                <w14:textOutline w14:w="3795" w14:cap="sq" w14:cmpd="sng">
                  <w14:solidFill>
                    <w14:srgbClr w14:val="000000"/>
                  </w14:solidFill>
                  <w14:prstDash w14:val="solid"/>
                  <w14:bevel/>
                </w14:textOutline>
              </w:rPr>
              <w:t>道路平面设</w:t>
            </w:r>
            <w:r>
              <w:rPr>
                <w:rFonts w:ascii="宋体" w:hAnsi="宋体" w:eastAsia="宋体" w:cs="宋体"/>
                <w:spacing w:val="16"/>
                <w:sz w:val="20"/>
                <w:szCs w:val="20"/>
                <w14:textOutline w14:w="3795" w14:cap="sq" w14:cmpd="sng">
                  <w14:solidFill>
                    <w14:srgbClr w14:val="000000"/>
                  </w14:solidFill>
                  <w14:prstDash w14:val="solid"/>
                  <w14:bevel/>
                </w14:textOutline>
              </w:rPr>
              <w:t>计</w:t>
            </w:r>
          </w:p>
          <w:p>
            <w:pPr>
              <w:tabs>
                <w:tab w:val="left" w:pos="597"/>
              </w:tabs>
              <w:spacing w:before="153" w:line="228" w:lineRule="auto"/>
              <w:ind w:left="518"/>
              <w:rPr>
                <w:rFonts w:ascii="宋体" w:hAnsi="宋体" w:eastAsia="宋体" w:cs="宋体"/>
                <w:sz w:val="20"/>
                <w:szCs w:val="20"/>
              </w:rPr>
            </w:pPr>
            <w:r>
              <w:rPr>
                <w:rFonts w:ascii="宋体" w:hAnsi="宋体" w:eastAsia="宋体" w:cs="宋体"/>
                <w:sz w:val="17"/>
                <w:szCs w:val="17"/>
              </w:rPr>
              <w:tab/>
            </w:r>
            <w:r>
              <w:rPr>
                <w:rFonts w:ascii="宋体" w:hAnsi="宋体" w:eastAsia="宋体" w:cs="宋体"/>
                <w:spacing w:val="5"/>
                <w:sz w:val="17"/>
                <w:szCs w:val="17"/>
              </w:rPr>
              <w:t xml:space="preserve">1   </w:t>
            </w:r>
            <w:r>
              <w:rPr>
                <w:rFonts w:ascii="宋体" w:hAnsi="宋体" w:eastAsia="宋体" w:cs="宋体"/>
                <w:spacing w:val="5"/>
                <w:sz w:val="20"/>
                <w:szCs w:val="20"/>
                <w14:textOutline w14:w="3795" w14:cap="sq" w14:cmpd="sng">
                  <w14:solidFill>
                    <w14:srgbClr w14:val="000000"/>
                  </w14:solidFill>
                  <w14:prstDash w14:val="solid"/>
                  <w14:bevel/>
                </w14:textOutline>
              </w:rPr>
              <w:t>东岸</w:t>
            </w:r>
            <w:r>
              <w:rPr>
                <w:rFonts w:ascii="宋体" w:hAnsi="宋体" w:eastAsia="宋体" w:cs="宋体"/>
                <w:spacing w:val="5"/>
                <w:sz w:val="20"/>
                <w:szCs w:val="20"/>
              </w:rPr>
              <w:t xml:space="preserve">：江湾路改造 </w:t>
            </w:r>
            <w:r>
              <w:rPr>
                <w:rFonts w:ascii="Times New Roman" w:hAnsi="Times New Roman" w:eastAsia="Times New Roman" w:cs="Times New Roman"/>
                <w:spacing w:val="5"/>
                <w:sz w:val="20"/>
                <w:szCs w:val="20"/>
              </w:rPr>
              <w:t>105</w:t>
            </w:r>
            <w:r>
              <w:rPr>
                <w:rFonts w:ascii="Times New Roman" w:hAnsi="Times New Roman" w:eastAsia="Times New Roman" w:cs="Times New Roman"/>
                <w:sz w:val="20"/>
                <w:szCs w:val="20"/>
              </w:rPr>
              <w:t>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，便于交通导流岛、车道拓宽的新建</w:t>
            </w:r>
            <w:r>
              <w:rPr>
                <w:rFonts w:ascii="宋体" w:hAnsi="宋体" w:eastAsia="宋体" w:cs="宋体"/>
                <w:sz w:val="20"/>
                <w:szCs w:val="20"/>
              </w:rPr>
              <w:t>。</w:t>
            </w:r>
          </w:p>
          <w:p>
            <w:pPr>
              <w:spacing w:before="152" w:line="401" w:lineRule="exact"/>
              <w:ind w:left="529"/>
              <w:rPr>
                <w:rFonts w:ascii="宋体" w:hAnsi="宋体" w:eastAsia="宋体" w:cs="宋体"/>
                <w:sz w:val="20"/>
                <w:szCs w:val="20"/>
              </w:rPr>
            </w:pPr>
            <w:r>
              <w:rPr>
                <w:rFonts w:ascii="宋体" w:hAnsi="宋体" w:eastAsia="宋体" w:cs="宋体"/>
                <w:spacing w:val="8"/>
                <w:position w:val="14"/>
                <w:sz w:val="20"/>
                <w:szCs w:val="20"/>
              </w:rPr>
              <w:t>南</w:t>
            </w:r>
            <w:r>
              <w:rPr>
                <w:rFonts w:ascii="宋体" w:hAnsi="宋体" w:eastAsia="宋体" w:cs="宋体"/>
                <w:spacing w:val="4"/>
                <w:position w:val="14"/>
                <w:sz w:val="20"/>
                <w:szCs w:val="20"/>
              </w:rPr>
              <w:t xml:space="preserve">北干道 (犀牛大道) 向南延伸 </w:t>
            </w:r>
            <w:r>
              <w:rPr>
                <w:rFonts w:ascii="Times New Roman" w:hAnsi="Times New Roman" w:eastAsia="Times New Roman" w:cs="Times New Roman"/>
                <w:spacing w:val="4"/>
                <w:position w:val="14"/>
                <w:sz w:val="20"/>
                <w:szCs w:val="20"/>
              </w:rPr>
              <w:t>80</w:t>
            </w:r>
            <w:r>
              <w:rPr>
                <w:rFonts w:ascii="Times New Roman" w:hAnsi="Times New Roman" w:eastAsia="Times New Roman" w:cs="Times New Roman"/>
                <w:position w:val="14"/>
                <w:sz w:val="20"/>
                <w:szCs w:val="20"/>
              </w:rPr>
              <w:t>m</w:t>
            </w:r>
            <w:r>
              <w:rPr>
                <w:rFonts w:ascii="Times New Roman" w:hAnsi="Times New Roman" w:eastAsia="Times New Roman" w:cs="Times New Roman"/>
                <w:spacing w:val="4"/>
                <w:position w:val="14"/>
                <w:sz w:val="20"/>
                <w:szCs w:val="20"/>
              </w:rPr>
              <w:t xml:space="preserve"> </w:t>
            </w:r>
            <w:r>
              <w:rPr>
                <w:rFonts w:ascii="宋体" w:hAnsi="宋体" w:eastAsia="宋体" w:cs="宋体"/>
                <w:spacing w:val="4"/>
                <w:position w:val="14"/>
                <w:sz w:val="20"/>
                <w:szCs w:val="20"/>
              </w:rPr>
              <w:t>，便于路口展宽、交通标志标线的改造。南北干</w:t>
            </w:r>
          </w:p>
          <w:p>
            <w:pPr>
              <w:spacing w:line="228" w:lineRule="auto"/>
              <w:ind w:left="105"/>
              <w:rPr>
                <w:rFonts w:ascii="宋体" w:hAnsi="宋体" w:eastAsia="宋体" w:cs="宋体"/>
                <w:sz w:val="20"/>
                <w:szCs w:val="20"/>
              </w:rPr>
            </w:pPr>
            <w:r>
              <w:rPr>
                <w:rFonts w:ascii="宋体" w:hAnsi="宋体" w:eastAsia="宋体" w:cs="宋体"/>
                <w:spacing w:val="8"/>
                <w:sz w:val="20"/>
                <w:szCs w:val="20"/>
              </w:rPr>
              <w:t>道 (犀牛</w:t>
            </w:r>
            <w:r>
              <w:rPr>
                <w:rFonts w:ascii="宋体" w:hAnsi="宋体" w:eastAsia="宋体" w:cs="宋体"/>
                <w:spacing w:val="4"/>
                <w:sz w:val="20"/>
                <w:szCs w:val="20"/>
              </w:rPr>
              <w:t xml:space="preserve">大道) 向北延伸 </w:t>
            </w:r>
            <w:r>
              <w:rPr>
                <w:rFonts w:ascii="Times New Roman" w:hAnsi="Times New Roman" w:eastAsia="Times New Roman" w:cs="Times New Roman"/>
                <w:spacing w:val="4"/>
                <w:sz w:val="20"/>
                <w:szCs w:val="20"/>
              </w:rPr>
              <w:t>60</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，便于交通标志标线的改造。</w:t>
            </w:r>
          </w:p>
          <w:p>
            <w:pPr>
              <w:spacing w:before="115" w:line="372" w:lineRule="auto"/>
              <w:ind w:left="108" w:right="102" w:firstLine="479"/>
              <w:rPr>
                <w:rFonts w:ascii="宋体" w:hAnsi="宋体" w:eastAsia="宋体" w:cs="宋体"/>
                <w:sz w:val="20"/>
                <w:szCs w:val="20"/>
              </w:rPr>
            </w:pPr>
            <w:r>
              <w:rPr>
                <w:rFonts w:ascii="宋体" w:hAnsi="宋体" w:eastAsia="宋体" w:cs="宋体"/>
                <w:spacing w:val="6"/>
                <w:sz w:val="17"/>
                <w:szCs w:val="17"/>
              </w:rPr>
              <w:t xml:space="preserve">2   </w:t>
            </w:r>
            <w:r>
              <w:rPr>
                <w:rFonts w:ascii="宋体" w:hAnsi="宋体" w:eastAsia="宋体" w:cs="宋体"/>
                <w:spacing w:val="6"/>
                <w:sz w:val="20"/>
                <w:szCs w:val="20"/>
                <w14:textOutline w14:w="3795" w14:cap="sq" w14:cmpd="sng">
                  <w14:solidFill>
                    <w14:srgbClr w14:val="000000"/>
                  </w14:solidFill>
                  <w14:prstDash w14:val="solid"/>
                  <w14:bevel/>
                </w14:textOutline>
              </w:rPr>
              <w:t>西岸</w:t>
            </w:r>
            <w:r>
              <w:rPr>
                <w:rFonts w:ascii="宋体" w:hAnsi="宋体" w:eastAsia="宋体" w:cs="宋体"/>
                <w:spacing w:val="6"/>
                <w:sz w:val="20"/>
                <w:szCs w:val="20"/>
              </w:rPr>
              <w:t>：西岸滨</w:t>
            </w:r>
            <w:r>
              <w:rPr>
                <w:rFonts w:ascii="宋体" w:hAnsi="宋体" w:eastAsia="宋体" w:cs="宋体"/>
                <w:spacing w:val="3"/>
                <w:sz w:val="20"/>
                <w:szCs w:val="20"/>
              </w:rPr>
              <w:t xml:space="preserve">河路与本项目相交处 </w:t>
            </w:r>
            <w:r>
              <w:rPr>
                <w:rFonts w:ascii="Times New Roman" w:hAnsi="Times New Roman" w:eastAsia="Times New Roman" w:cs="Times New Roman"/>
                <w:sz w:val="20"/>
                <w:szCs w:val="20"/>
              </w:rPr>
              <w:t>K</w:t>
            </w:r>
            <w:r>
              <w:rPr>
                <w:rFonts w:ascii="Times New Roman" w:hAnsi="Times New Roman" w:eastAsia="Times New Roman" w:cs="Times New Roman"/>
                <w:spacing w:val="3"/>
                <w:sz w:val="20"/>
                <w:szCs w:val="20"/>
              </w:rPr>
              <w:t xml:space="preserve">0+000 </w:t>
            </w:r>
            <w:r>
              <w:rPr>
                <w:rFonts w:ascii="宋体" w:hAnsi="宋体" w:eastAsia="宋体" w:cs="宋体"/>
                <w:spacing w:val="3"/>
                <w:sz w:val="20"/>
                <w:szCs w:val="20"/>
              </w:rPr>
              <w:t xml:space="preserve">，往南北方向各偏移约 </w:t>
            </w:r>
            <w:r>
              <w:rPr>
                <w:rFonts w:ascii="Times New Roman" w:hAnsi="Times New Roman" w:eastAsia="Times New Roman" w:cs="Times New Roman"/>
                <w:spacing w:val="3"/>
                <w:sz w:val="20"/>
                <w:szCs w:val="20"/>
              </w:rPr>
              <w:t>31</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，即滨河</w:t>
            </w:r>
            <w:r>
              <w:rPr>
                <w:rFonts w:ascii="宋体" w:hAnsi="宋体" w:eastAsia="宋体" w:cs="宋体"/>
                <w:sz w:val="20"/>
                <w:szCs w:val="20"/>
              </w:rPr>
              <w:t xml:space="preserve"> </w:t>
            </w:r>
            <w:r>
              <w:rPr>
                <w:rFonts w:ascii="宋体" w:hAnsi="宋体" w:eastAsia="宋体" w:cs="宋体"/>
                <w:spacing w:val="5"/>
                <w:sz w:val="20"/>
                <w:szCs w:val="20"/>
              </w:rPr>
              <w:t xml:space="preserve">路 </w:t>
            </w:r>
            <w:r>
              <w:rPr>
                <w:rFonts w:ascii="Times New Roman" w:hAnsi="Times New Roman" w:eastAsia="Times New Roman" w:cs="Times New Roman"/>
                <w:spacing w:val="5"/>
                <w:sz w:val="20"/>
                <w:szCs w:val="20"/>
              </w:rPr>
              <w:t>61.82</w:t>
            </w:r>
            <w:r>
              <w:rPr>
                <w:rFonts w:ascii="Times New Roman" w:hAnsi="Times New Roman" w:eastAsia="Times New Roman" w:cs="Times New Roman"/>
                <w:sz w:val="20"/>
                <w:szCs w:val="20"/>
              </w:rPr>
              <w:t>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范围纳入本项目，设计范围桩号 </w:t>
            </w:r>
            <w:r>
              <w:rPr>
                <w:rFonts w:ascii="Times New Roman" w:hAnsi="Times New Roman" w:eastAsia="Times New Roman" w:cs="Times New Roman"/>
                <w:sz w:val="20"/>
                <w:szCs w:val="20"/>
              </w:rPr>
              <w:t>K</w:t>
            </w:r>
            <w:r>
              <w:rPr>
                <w:rFonts w:ascii="Times New Roman" w:hAnsi="Times New Roman" w:eastAsia="Times New Roman" w:cs="Times New Roman"/>
                <w:spacing w:val="5"/>
                <w:sz w:val="20"/>
                <w:szCs w:val="20"/>
              </w:rPr>
              <w:t>0+506.363-</w:t>
            </w:r>
            <w:r>
              <w:rPr>
                <w:rFonts w:ascii="Times New Roman" w:hAnsi="Times New Roman" w:eastAsia="Times New Roman" w:cs="Times New Roman"/>
                <w:sz w:val="20"/>
                <w:szCs w:val="20"/>
              </w:rPr>
              <w:t>K</w:t>
            </w:r>
            <w:r>
              <w:rPr>
                <w:rFonts w:ascii="Times New Roman" w:hAnsi="Times New Roman" w:eastAsia="Times New Roman" w:cs="Times New Roman"/>
                <w:spacing w:val="5"/>
                <w:sz w:val="20"/>
                <w:szCs w:val="20"/>
              </w:rPr>
              <w:t xml:space="preserve">0+568. 183 </w:t>
            </w:r>
            <w:r>
              <w:rPr>
                <w:rFonts w:ascii="宋体" w:hAnsi="宋体" w:eastAsia="宋体" w:cs="宋体"/>
                <w:spacing w:val="5"/>
                <w:sz w:val="20"/>
                <w:szCs w:val="20"/>
              </w:rPr>
              <w:t>。其他范围由其</w:t>
            </w:r>
            <w:r>
              <w:rPr>
                <w:rFonts w:ascii="宋体" w:hAnsi="宋体" w:eastAsia="宋体" w:cs="宋体"/>
                <w:spacing w:val="3"/>
                <w:sz w:val="20"/>
                <w:szCs w:val="20"/>
              </w:rPr>
              <w:t>设</w:t>
            </w:r>
            <w:r>
              <w:rPr>
                <w:rFonts w:ascii="宋体" w:hAnsi="宋体" w:eastAsia="宋体" w:cs="宋体"/>
                <w:sz w:val="20"/>
                <w:szCs w:val="20"/>
              </w:rPr>
              <w:t xml:space="preserve">计 </w:t>
            </w:r>
            <w:r>
              <w:rPr>
                <w:rFonts w:ascii="宋体" w:hAnsi="宋体" w:eastAsia="宋体" w:cs="宋体"/>
                <w:spacing w:val="15"/>
                <w:sz w:val="20"/>
                <w:szCs w:val="20"/>
              </w:rPr>
              <w:t>单</w:t>
            </w:r>
            <w:r>
              <w:rPr>
                <w:rFonts w:ascii="宋体" w:hAnsi="宋体" w:eastAsia="宋体" w:cs="宋体"/>
                <w:spacing w:val="9"/>
                <w:sz w:val="20"/>
                <w:szCs w:val="20"/>
              </w:rPr>
              <w:t>位进行设计，并要求其结合本项目相关专业的要求进行顺接。</w:t>
            </w:r>
          </w:p>
          <w:p>
            <w:pPr>
              <w:spacing w:before="30" w:line="228" w:lineRule="auto"/>
              <w:ind w:left="589"/>
              <w:rPr>
                <w:rFonts w:ascii="宋体" w:hAnsi="宋体" w:eastAsia="宋体" w:cs="宋体"/>
                <w:sz w:val="20"/>
                <w:szCs w:val="20"/>
              </w:rPr>
            </w:pPr>
            <w:r>
              <w:rPr>
                <w:rFonts w:ascii="宋体" w:hAnsi="宋体" w:eastAsia="宋体" w:cs="宋体"/>
                <w:spacing w:val="8"/>
                <w:sz w:val="17"/>
                <w:szCs w:val="17"/>
                <w14:textOutline w14:w="3268" w14:cap="sq" w14:cmpd="sng">
                  <w14:solidFill>
                    <w14:srgbClr w14:val="000000"/>
                  </w14:solidFill>
                  <w14:prstDash w14:val="solid"/>
                  <w14:bevel/>
                </w14:textOutline>
              </w:rPr>
              <w:t>3</w:t>
            </w:r>
            <w:r>
              <w:rPr>
                <w:rFonts w:ascii="宋体" w:hAnsi="宋体" w:eastAsia="宋体" w:cs="宋体"/>
                <w:spacing w:val="7"/>
                <w:sz w:val="17"/>
                <w:szCs w:val="17"/>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平面设计方案</w:t>
            </w:r>
          </w:p>
          <w:p>
            <w:pPr>
              <w:spacing w:before="149" w:line="370" w:lineRule="auto"/>
              <w:ind w:left="105" w:right="102" w:firstLine="424"/>
              <w:rPr>
                <w:rFonts w:ascii="宋体" w:hAnsi="宋体" w:eastAsia="宋体" w:cs="宋体"/>
                <w:sz w:val="20"/>
                <w:szCs w:val="20"/>
              </w:rPr>
            </w:pPr>
            <w:r>
              <w:rPr>
                <w:rFonts w:ascii="宋体" w:hAnsi="宋体" w:eastAsia="宋体" w:cs="宋体"/>
                <w:spacing w:val="14"/>
                <w:sz w:val="20"/>
                <w:szCs w:val="20"/>
              </w:rPr>
              <w:t>项</w:t>
            </w:r>
            <w:r>
              <w:rPr>
                <w:rFonts w:ascii="宋体" w:hAnsi="宋体" w:eastAsia="宋体" w:cs="宋体"/>
                <w:spacing w:val="12"/>
                <w:sz w:val="20"/>
                <w:szCs w:val="20"/>
              </w:rPr>
              <w:t>目</w:t>
            </w:r>
            <w:r>
              <w:rPr>
                <w:rFonts w:ascii="宋体" w:hAnsi="宋体" w:eastAsia="宋体" w:cs="宋体"/>
                <w:spacing w:val="7"/>
                <w:sz w:val="20"/>
                <w:szCs w:val="20"/>
              </w:rPr>
              <w:t>桥梁连接高家坝和张家坝片区，跨越州河及州河堤防。西起滨河支路，由西向东</w:t>
            </w:r>
            <w:r>
              <w:rPr>
                <w:rFonts w:ascii="宋体" w:hAnsi="宋体" w:eastAsia="宋体" w:cs="宋体"/>
                <w:sz w:val="20"/>
                <w:szCs w:val="20"/>
              </w:rPr>
              <w:t xml:space="preserve"> </w:t>
            </w:r>
            <w:r>
              <w:rPr>
                <w:rFonts w:ascii="宋体" w:hAnsi="宋体" w:eastAsia="宋体" w:cs="宋体"/>
                <w:spacing w:val="14"/>
                <w:sz w:val="20"/>
                <w:szCs w:val="20"/>
              </w:rPr>
              <w:t>跨越州</w:t>
            </w:r>
            <w:r>
              <w:rPr>
                <w:rFonts w:ascii="宋体" w:hAnsi="宋体" w:eastAsia="宋体" w:cs="宋体"/>
                <w:spacing w:val="10"/>
                <w:sz w:val="20"/>
                <w:szCs w:val="20"/>
              </w:rPr>
              <w:t>河</w:t>
            </w:r>
            <w:r>
              <w:rPr>
                <w:rFonts w:ascii="宋体" w:hAnsi="宋体" w:eastAsia="宋体" w:cs="宋体"/>
                <w:spacing w:val="7"/>
                <w:sz w:val="20"/>
                <w:szCs w:val="20"/>
              </w:rPr>
              <w:t>，终止于南北主干道交叉口。项目设计从防洪、通航、管线迁改、交通、桥梁结</w:t>
            </w:r>
            <w:r>
              <w:rPr>
                <w:rFonts w:ascii="宋体" w:hAnsi="宋体" w:eastAsia="宋体" w:cs="宋体"/>
                <w:sz w:val="20"/>
                <w:szCs w:val="20"/>
              </w:rPr>
              <w:t xml:space="preserve"> </w:t>
            </w:r>
            <w:r>
              <w:rPr>
                <w:rFonts w:ascii="宋体" w:hAnsi="宋体" w:eastAsia="宋体" w:cs="宋体"/>
                <w:spacing w:val="14"/>
                <w:sz w:val="20"/>
                <w:szCs w:val="20"/>
              </w:rPr>
              <w:t>构设计</w:t>
            </w:r>
            <w:r>
              <w:rPr>
                <w:rFonts w:ascii="宋体" w:hAnsi="宋体" w:eastAsia="宋体" w:cs="宋体"/>
                <w:spacing w:val="8"/>
                <w:sz w:val="20"/>
                <w:szCs w:val="20"/>
              </w:rPr>
              <w:t>要</w:t>
            </w:r>
            <w:r>
              <w:rPr>
                <w:rFonts w:ascii="宋体" w:hAnsi="宋体" w:eastAsia="宋体" w:cs="宋体"/>
                <w:spacing w:val="7"/>
                <w:sz w:val="20"/>
                <w:szCs w:val="20"/>
              </w:rPr>
              <w:t>求及本桥梁与滨河路及绿地楼盘竖向标高的关系等综合考虑，最终桥位桥梁与州</w:t>
            </w:r>
            <w:r>
              <w:rPr>
                <w:rFonts w:ascii="宋体" w:hAnsi="宋体" w:eastAsia="宋体" w:cs="宋体"/>
                <w:sz w:val="20"/>
                <w:szCs w:val="20"/>
              </w:rPr>
              <w:t xml:space="preserve"> </w:t>
            </w:r>
            <w:r>
              <w:rPr>
                <w:rFonts w:ascii="宋体" w:hAnsi="宋体" w:eastAsia="宋体" w:cs="宋体"/>
                <w:spacing w:val="4"/>
                <w:sz w:val="20"/>
                <w:szCs w:val="20"/>
              </w:rPr>
              <w:t xml:space="preserve">河基本正交，偏角约 </w:t>
            </w:r>
            <w:r>
              <w:rPr>
                <w:rFonts w:ascii="Times New Roman" w:hAnsi="Times New Roman" w:eastAsia="Times New Roman" w:cs="Times New Roman"/>
                <w:spacing w:val="4"/>
                <w:sz w:val="20"/>
                <w:szCs w:val="20"/>
              </w:rPr>
              <w:t xml:space="preserve">5° </w:t>
            </w:r>
            <w:r>
              <w:rPr>
                <w:rFonts w:ascii="宋体" w:hAnsi="宋体" w:eastAsia="宋体" w:cs="宋体"/>
                <w:spacing w:val="4"/>
                <w:sz w:val="20"/>
                <w:szCs w:val="20"/>
              </w:rPr>
              <w:t>，线位为</w:t>
            </w:r>
            <w:r>
              <w:rPr>
                <w:rFonts w:ascii="宋体" w:hAnsi="宋体" w:eastAsia="宋体" w:cs="宋体"/>
                <w:spacing w:val="3"/>
                <w:sz w:val="20"/>
                <w:szCs w:val="20"/>
              </w:rPr>
              <w:t>一</w:t>
            </w:r>
            <w:r>
              <w:rPr>
                <w:rFonts w:ascii="宋体" w:hAnsi="宋体" w:eastAsia="宋体" w:cs="宋体"/>
                <w:spacing w:val="2"/>
                <w:sz w:val="20"/>
                <w:szCs w:val="20"/>
              </w:rPr>
              <w:t xml:space="preserve">条直线，全长约 </w:t>
            </w:r>
            <w:r>
              <w:rPr>
                <w:rFonts w:ascii="Times New Roman" w:hAnsi="Times New Roman" w:eastAsia="Times New Roman" w:cs="Times New Roman"/>
                <w:spacing w:val="2"/>
                <w:sz w:val="20"/>
                <w:szCs w:val="20"/>
              </w:rPr>
              <w:t>297</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，与南北主干道夹角为 </w:t>
            </w:r>
            <w:r>
              <w:rPr>
                <w:rFonts w:ascii="Times New Roman" w:hAnsi="Times New Roman" w:eastAsia="Times New Roman" w:cs="Times New Roman"/>
                <w:spacing w:val="2"/>
                <w:sz w:val="20"/>
                <w:szCs w:val="20"/>
              </w:rPr>
              <w:t xml:space="preserve">49° </w:t>
            </w:r>
            <w:r>
              <w:rPr>
                <w:rFonts w:ascii="宋体" w:hAnsi="宋体" w:eastAsia="宋体" w:cs="宋体"/>
                <w:spacing w:val="2"/>
                <w:sz w:val="20"/>
                <w:szCs w:val="20"/>
              </w:rPr>
              <w:t>，大</w:t>
            </w:r>
            <w:r>
              <w:rPr>
                <w:rFonts w:ascii="宋体" w:hAnsi="宋体" w:eastAsia="宋体" w:cs="宋体"/>
                <w:sz w:val="20"/>
                <w:szCs w:val="20"/>
              </w:rPr>
              <w:t xml:space="preserve"> </w:t>
            </w:r>
            <w:r>
              <w:rPr>
                <w:rFonts w:ascii="宋体" w:hAnsi="宋体" w:eastAsia="宋体" w:cs="宋体"/>
                <w:spacing w:val="10"/>
                <w:sz w:val="20"/>
                <w:szCs w:val="20"/>
              </w:rPr>
              <w:t>于相关规范规定的特殊困难时的最小夹角 (</w:t>
            </w:r>
            <w:r>
              <w:rPr>
                <w:rFonts w:ascii="Times New Roman" w:hAnsi="Times New Roman" w:eastAsia="Times New Roman" w:cs="Times New Roman"/>
                <w:spacing w:val="10"/>
                <w:sz w:val="20"/>
                <w:szCs w:val="20"/>
              </w:rPr>
              <w:t>45°</w:t>
            </w:r>
            <w:r>
              <w:rPr>
                <w:rFonts w:ascii="宋体" w:hAnsi="宋体" w:eastAsia="宋体" w:cs="宋体"/>
                <w:spacing w:val="10"/>
                <w:sz w:val="20"/>
                <w:szCs w:val="20"/>
              </w:rPr>
              <w:t>) ，与南北干道交叉口的交通组织满足</w:t>
            </w:r>
            <w:r>
              <w:rPr>
                <w:rFonts w:ascii="宋体" w:hAnsi="宋体" w:eastAsia="宋体" w:cs="宋体"/>
                <w:spacing w:val="5"/>
                <w:sz w:val="20"/>
                <w:szCs w:val="20"/>
              </w:rPr>
              <w:t>最</w:t>
            </w:r>
          </w:p>
          <w:p>
            <w:pPr>
              <w:spacing w:line="227" w:lineRule="auto"/>
              <w:ind w:left="112"/>
              <w:rPr>
                <w:rFonts w:ascii="宋体" w:hAnsi="宋体" w:eastAsia="宋体" w:cs="宋体"/>
                <w:sz w:val="20"/>
                <w:szCs w:val="20"/>
              </w:rPr>
            </w:pPr>
            <w:r>
              <w:rPr>
                <w:rFonts w:ascii="宋体" w:hAnsi="宋体" w:eastAsia="宋体" w:cs="宋体"/>
                <w:spacing w:val="13"/>
                <w:sz w:val="20"/>
                <w:szCs w:val="20"/>
              </w:rPr>
              <w:t>小转弯半径要求。同时，考虑同步实施西岸接线滨河路，即滨河路与高家坝大桥交叉</w:t>
            </w:r>
            <w:r>
              <w:rPr>
                <w:rFonts w:ascii="宋体" w:hAnsi="宋体" w:eastAsia="宋体" w:cs="宋体"/>
                <w:spacing w:val="7"/>
                <w:sz w:val="20"/>
                <w:szCs w:val="20"/>
              </w:rPr>
              <w:t>口</w:t>
            </w:r>
          </w:p>
        </w:tc>
      </w:tr>
    </w:tbl>
    <w:p>
      <w:pPr>
        <w:spacing w:line="147" w:lineRule="exact"/>
        <w:rPr>
          <w:rFonts w:ascii="Arial"/>
          <w:sz w:val="12"/>
        </w:rPr>
      </w:pPr>
    </w:p>
    <w:p>
      <w:pPr>
        <w:sectPr>
          <w:footerReference r:id="rId27" w:type="default"/>
          <w:pgSz w:w="11906" w:h="16839"/>
          <w:pgMar w:top="400" w:right="1487" w:bottom="1475" w:left="1486" w:header="0" w:footer="1315" w:gutter="0"/>
          <w:cols w:space="720" w:num="1"/>
        </w:sectPr>
      </w:pPr>
    </w:p>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8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5" w:hRule="atLeast"/>
        </w:trPr>
        <w:tc>
          <w:tcPr>
            <w:tcW w:w="600" w:type="dxa"/>
            <w:tcBorders>
              <w:left w:val="single" w:color="00000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28" w:lineRule="auto"/>
              <w:ind w:left="91"/>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p>
            <w:pPr>
              <w:spacing w:before="26" w:line="229" w:lineRule="auto"/>
              <w:ind w:left="9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组</w:t>
            </w:r>
            <w:r>
              <w:rPr>
                <w:rFonts w:ascii="宋体" w:hAnsi="宋体" w:eastAsia="宋体" w:cs="宋体"/>
                <w:spacing w:val="4"/>
                <w:sz w:val="20"/>
                <w:szCs w:val="20"/>
                <w14:textOutline w14:w="3795" w14:cap="sq" w14:cmpd="sng">
                  <w14:solidFill>
                    <w14:srgbClr w14:val="000000"/>
                  </w14:solidFill>
                  <w14:prstDash w14:val="solid"/>
                  <w14:bevel/>
                </w14:textOutline>
              </w:rPr>
              <w:t>成</w:t>
            </w:r>
          </w:p>
          <w:p>
            <w:pPr>
              <w:spacing w:before="22" w:line="230" w:lineRule="auto"/>
              <w:ind w:left="8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及规</w:t>
            </w:r>
          </w:p>
          <w:p>
            <w:pPr>
              <w:spacing w:before="24" w:line="228" w:lineRule="auto"/>
              <w:ind w:left="190"/>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模</w:t>
            </w:r>
          </w:p>
        </w:tc>
        <w:tc>
          <w:tcPr>
            <w:tcW w:w="8317" w:type="dxa"/>
            <w:tcBorders>
              <w:right w:val="single" w:color="000000" w:sz="6" w:space="0"/>
            </w:tcBorders>
            <w:vAlign w:val="top"/>
          </w:tcPr>
          <w:p>
            <w:pPr>
              <w:spacing w:before="107" w:line="316" w:lineRule="auto"/>
              <w:ind w:left="110" w:right="50" w:hanging="2"/>
              <w:rPr>
                <w:rFonts w:ascii="宋体" w:hAnsi="宋体" w:eastAsia="宋体" w:cs="宋体"/>
                <w:sz w:val="20"/>
                <w:szCs w:val="20"/>
              </w:rPr>
            </w:pPr>
            <w:r>
              <w:rPr>
                <w:rFonts w:ascii="Times New Roman" w:hAnsi="Times New Roman" w:eastAsia="Times New Roman" w:cs="Times New Roman"/>
                <w:spacing w:val="-2"/>
                <w:sz w:val="20"/>
                <w:szCs w:val="20"/>
              </w:rPr>
              <w:t>61.82</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范围内，桩号 </w:t>
            </w:r>
            <w:r>
              <w:rPr>
                <w:rFonts w:ascii="Times New Roman" w:hAnsi="Times New Roman" w:eastAsia="Times New Roman" w:cs="Times New Roman"/>
                <w:spacing w:val="-1"/>
                <w:sz w:val="20"/>
                <w:szCs w:val="20"/>
              </w:rPr>
              <w:t>K</w:t>
            </w:r>
            <w:r>
              <w:rPr>
                <w:rFonts w:ascii="Times New Roman" w:hAnsi="Times New Roman" w:eastAsia="Times New Roman" w:cs="Times New Roman"/>
                <w:spacing w:val="-2"/>
                <w:sz w:val="20"/>
                <w:szCs w:val="20"/>
              </w:rPr>
              <w:t>0+506.363-</w:t>
            </w:r>
            <w:r>
              <w:rPr>
                <w:rFonts w:ascii="Times New Roman" w:hAnsi="Times New Roman" w:eastAsia="Times New Roman" w:cs="Times New Roman"/>
                <w:spacing w:val="-1"/>
                <w:sz w:val="20"/>
                <w:szCs w:val="20"/>
              </w:rPr>
              <w:t>K</w:t>
            </w:r>
            <w:r>
              <w:rPr>
                <w:rFonts w:ascii="Times New Roman" w:hAnsi="Times New Roman" w:eastAsia="Times New Roman" w:cs="Times New Roman"/>
                <w:spacing w:val="-2"/>
                <w:sz w:val="20"/>
                <w:szCs w:val="20"/>
              </w:rPr>
              <w:t>0+568. 183</w:t>
            </w:r>
            <w:r>
              <w:rPr>
                <w:rFonts w:ascii="宋体" w:hAnsi="宋体" w:eastAsia="宋体" w:cs="宋体"/>
                <w:spacing w:val="-2"/>
                <w:sz w:val="20"/>
                <w:szCs w:val="20"/>
              </w:rPr>
              <w:t>，道</w:t>
            </w:r>
            <w:r>
              <w:rPr>
                <w:rFonts w:ascii="宋体" w:hAnsi="宋体" w:eastAsia="宋体" w:cs="宋体"/>
                <w:spacing w:val="-1"/>
                <w:sz w:val="20"/>
                <w:szCs w:val="20"/>
              </w:rPr>
              <w:t xml:space="preserve">路等级为城市次干道，设计车速 </w:t>
            </w:r>
            <w:r>
              <w:rPr>
                <w:rFonts w:ascii="Times New Roman" w:hAnsi="Times New Roman" w:eastAsia="Times New Roman" w:cs="Times New Roman"/>
                <w:spacing w:val="-1"/>
                <w:sz w:val="20"/>
                <w:szCs w:val="20"/>
              </w:rPr>
              <w:t>30Km/h</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16"/>
                <w:sz w:val="20"/>
                <w:szCs w:val="20"/>
              </w:rPr>
              <w:t>设</w:t>
            </w:r>
            <w:r>
              <w:rPr>
                <w:rFonts w:ascii="宋体" w:hAnsi="宋体" w:eastAsia="宋体" w:cs="宋体"/>
                <w:spacing w:val="10"/>
                <w:sz w:val="20"/>
                <w:szCs w:val="20"/>
              </w:rPr>
              <w:t>计</w:t>
            </w:r>
            <w:r>
              <w:rPr>
                <w:rFonts w:ascii="宋体" w:hAnsi="宋体" w:eastAsia="宋体" w:cs="宋体"/>
                <w:spacing w:val="8"/>
                <w:sz w:val="20"/>
                <w:szCs w:val="20"/>
              </w:rPr>
              <w:t>范围内平面为一直线，无圆曲线。</w:t>
            </w:r>
          </w:p>
          <w:p>
            <w:pPr>
              <w:spacing w:line="15" w:lineRule="exact"/>
            </w:pPr>
          </w:p>
          <w:tbl>
            <w:tblPr>
              <w:tblStyle w:val="4"/>
              <w:tblW w:w="7276" w:type="dxa"/>
              <w:tblInd w:w="51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7276"/>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6942" w:hRule="atLeast"/>
              </w:trPr>
              <w:tc>
                <w:tcPr>
                  <w:tcW w:w="7276" w:type="dxa"/>
                  <w:vAlign w:val="top"/>
                </w:tcPr>
                <w:p>
                  <w:pPr>
                    <w:spacing w:before="6" w:line="6929" w:lineRule="exact"/>
                    <w:ind w:firstLine="7"/>
                    <w:textAlignment w:val="center"/>
                  </w:pPr>
                  <w:r>
                    <w:drawing>
                      <wp:inline distT="0" distB="0" distL="0" distR="0">
                        <wp:extent cx="4608195" cy="439928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63"/>
                                <a:stretch>
                                  <a:fillRect/>
                                </a:stretch>
                              </pic:blipFill>
                              <pic:spPr>
                                <a:xfrm>
                                  <a:off x="0" y="0"/>
                                  <a:ext cx="4608576" cy="4399788"/>
                                </a:xfrm>
                                <a:prstGeom prst="rect">
                                  <a:avLst/>
                                </a:prstGeom>
                              </pic:spPr>
                            </pic:pic>
                          </a:graphicData>
                        </a:graphic>
                      </wp:inline>
                    </w:drawing>
                  </w:r>
                </w:p>
              </w:tc>
            </w:tr>
          </w:tbl>
          <w:p>
            <w:pPr>
              <w:spacing w:before="34" w:line="231" w:lineRule="auto"/>
              <w:ind w:left="3219"/>
              <w:rPr>
                <w:rFonts w:ascii="黑体" w:hAnsi="黑体" w:eastAsia="黑体" w:cs="黑体"/>
                <w:sz w:val="19"/>
                <w:szCs w:val="19"/>
              </w:rPr>
            </w:pPr>
            <w:r>
              <w:rPr>
                <w:rFonts w:ascii="黑体" w:hAnsi="黑体" w:eastAsia="黑体" w:cs="黑体"/>
                <w:spacing w:val="13"/>
                <w:sz w:val="19"/>
                <w:szCs w:val="19"/>
              </w:rPr>
              <w:t>图</w:t>
            </w:r>
            <w:r>
              <w:rPr>
                <w:rFonts w:ascii="Times New Roman" w:hAnsi="Times New Roman" w:eastAsia="Times New Roman" w:cs="Times New Roman"/>
                <w:spacing w:val="7"/>
                <w:sz w:val="19"/>
                <w:szCs w:val="19"/>
              </w:rPr>
              <w:t>5</w:t>
            </w:r>
            <w:r>
              <w:rPr>
                <w:rFonts w:ascii="黑体" w:hAnsi="黑体" w:eastAsia="黑体" w:cs="黑体"/>
                <w:spacing w:val="7"/>
                <w:sz w:val="19"/>
                <w:szCs w:val="19"/>
              </w:rPr>
              <w:t>：东岸改造范围图</w:t>
            </w:r>
          </w:p>
          <w:p>
            <w:pPr>
              <w:spacing w:line="234" w:lineRule="exact"/>
            </w:pPr>
          </w:p>
          <w:tbl>
            <w:tblPr>
              <w:tblStyle w:val="4"/>
              <w:tblW w:w="7259" w:type="dxa"/>
              <w:tblInd w:w="517"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7259"/>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923" w:hRule="atLeast"/>
              </w:trPr>
              <w:tc>
                <w:tcPr>
                  <w:tcW w:w="7259" w:type="dxa"/>
                  <w:vAlign w:val="top"/>
                </w:tcPr>
                <w:p>
                  <w:pPr>
                    <w:spacing w:line="4922" w:lineRule="exact"/>
                    <w:textAlignment w:val="center"/>
                  </w:pPr>
                  <w:r>
                    <w:drawing>
                      <wp:inline distT="0" distB="0" distL="0" distR="0">
                        <wp:extent cx="4596765" cy="3125470"/>
                        <wp:effectExtent l="0" t="0" r="0" b="0"/>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164"/>
                                <a:stretch>
                                  <a:fillRect/>
                                </a:stretch>
                              </pic:blipFill>
                              <pic:spPr>
                                <a:xfrm>
                                  <a:off x="0" y="0"/>
                                  <a:ext cx="4596765" cy="3126104"/>
                                </a:xfrm>
                                <a:prstGeom prst="rect">
                                  <a:avLst/>
                                </a:prstGeom>
                              </pic:spPr>
                            </pic:pic>
                          </a:graphicData>
                        </a:graphic>
                      </wp:inline>
                    </w:drawing>
                  </w:r>
                </w:p>
              </w:tc>
            </w:tr>
          </w:tbl>
          <w:p>
            <w:pPr>
              <w:spacing w:before="34" w:line="231" w:lineRule="auto"/>
              <w:ind w:left="2821"/>
              <w:rPr>
                <w:rFonts w:ascii="黑体" w:hAnsi="黑体" w:eastAsia="黑体" w:cs="黑体"/>
                <w:sz w:val="19"/>
                <w:szCs w:val="19"/>
              </w:rPr>
            </w:pPr>
            <w:r>
              <w:rPr>
                <w:rFonts w:ascii="黑体" w:hAnsi="黑体" w:eastAsia="黑体" w:cs="黑体"/>
                <w:spacing w:val="8"/>
                <w:sz w:val="19"/>
                <w:szCs w:val="19"/>
              </w:rPr>
              <w:t>图</w:t>
            </w:r>
            <w:r>
              <w:rPr>
                <w:rFonts w:ascii="Times New Roman" w:hAnsi="Times New Roman" w:eastAsia="Times New Roman" w:cs="Times New Roman"/>
                <w:spacing w:val="8"/>
                <w:sz w:val="19"/>
                <w:szCs w:val="19"/>
              </w:rPr>
              <w:t>6</w:t>
            </w:r>
            <w:r>
              <w:rPr>
                <w:rFonts w:ascii="黑体" w:hAnsi="黑体" w:eastAsia="黑体" w:cs="黑体"/>
                <w:spacing w:val="8"/>
                <w:sz w:val="19"/>
                <w:szCs w:val="19"/>
              </w:rPr>
              <w:t>：西岸滨河支路顺接范围图</w:t>
            </w:r>
          </w:p>
        </w:tc>
      </w:tr>
    </w:tbl>
    <w:p>
      <w:pPr>
        <w:spacing w:line="140" w:lineRule="exact"/>
        <w:rPr>
          <w:rFonts w:ascii="Arial"/>
          <w:sz w:val="12"/>
        </w:rPr>
      </w:pPr>
    </w:p>
    <w:p>
      <w:pPr>
        <w:sectPr>
          <w:footerReference r:id="rId28" w:type="default"/>
          <w:pgSz w:w="11906" w:h="16839"/>
          <w:pgMar w:top="400" w:right="1487" w:bottom="1475" w:left="1486" w:header="0" w:footer="1315" w:gutter="0"/>
          <w:cols w:space="720" w:num="1"/>
        </w:sectPr>
      </w:pPr>
    </w:p>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8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22" w:hRule="atLeast"/>
        </w:trPr>
        <w:tc>
          <w:tcPr>
            <w:tcW w:w="600" w:type="dxa"/>
            <w:tcBorders>
              <w:left w:val="single" w:color="00000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28" w:lineRule="auto"/>
              <w:ind w:left="91"/>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p>
            <w:pPr>
              <w:spacing w:before="26" w:line="229" w:lineRule="auto"/>
              <w:ind w:left="9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组</w:t>
            </w:r>
            <w:r>
              <w:rPr>
                <w:rFonts w:ascii="宋体" w:hAnsi="宋体" w:eastAsia="宋体" w:cs="宋体"/>
                <w:spacing w:val="4"/>
                <w:sz w:val="20"/>
                <w:szCs w:val="20"/>
                <w14:textOutline w14:w="3795" w14:cap="sq" w14:cmpd="sng">
                  <w14:solidFill>
                    <w14:srgbClr w14:val="000000"/>
                  </w14:solidFill>
                  <w14:prstDash w14:val="solid"/>
                  <w14:bevel/>
                </w14:textOutline>
              </w:rPr>
              <w:t>成</w:t>
            </w:r>
          </w:p>
          <w:p>
            <w:pPr>
              <w:spacing w:before="22" w:line="230" w:lineRule="auto"/>
              <w:ind w:left="8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及规</w:t>
            </w:r>
          </w:p>
          <w:p>
            <w:pPr>
              <w:spacing w:before="24" w:line="228" w:lineRule="auto"/>
              <w:ind w:left="190"/>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模</w:t>
            </w:r>
          </w:p>
        </w:tc>
        <w:tc>
          <w:tcPr>
            <w:tcW w:w="8317" w:type="dxa"/>
            <w:tcBorders>
              <w:right w:val="single" w:color="000000" w:sz="6" w:space="0"/>
            </w:tcBorders>
            <w:vAlign w:val="top"/>
          </w:tcPr>
          <w:p>
            <w:pPr>
              <w:spacing w:line="60" w:lineRule="auto"/>
              <w:rPr>
                <w:rFonts w:ascii="Arial"/>
                <w:sz w:val="2"/>
              </w:rPr>
            </w:pPr>
          </w:p>
          <w:tbl>
            <w:tblPr>
              <w:tblStyle w:val="4"/>
              <w:tblW w:w="7905" w:type="dxa"/>
              <w:tblInd w:w="185"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7905"/>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5229" w:hRule="atLeast"/>
              </w:trPr>
              <w:tc>
                <w:tcPr>
                  <w:tcW w:w="7905" w:type="dxa"/>
                  <w:vAlign w:val="top"/>
                </w:tcPr>
                <w:p>
                  <w:pPr>
                    <w:spacing w:line="5229" w:lineRule="exact"/>
                    <w:textAlignment w:val="center"/>
                  </w:pPr>
                  <w:r>
                    <w:drawing>
                      <wp:inline distT="0" distB="0" distL="0" distR="0">
                        <wp:extent cx="5006975" cy="332041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65"/>
                                <a:stretch>
                                  <a:fillRect/>
                                </a:stretch>
                              </pic:blipFill>
                              <pic:spPr>
                                <a:xfrm>
                                  <a:off x="0" y="0"/>
                                  <a:ext cx="5006975" cy="3320415"/>
                                </a:xfrm>
                                <a:prstGeom prst="rect">
                                  <a:avLst/>
                                </a:prstGeom>
                              </pic:spPr>
                            </pic:pic>
                          </a:graphicData>
                        </a:graphic>
                      </wp:inline>
                    </w:drawing>
                  </w:r>
                </w:p>
              </w:tc>
            </w:tr>
          </w:tbl>
          <w:p>
            <w:pPr>
              <w:spacing w:before="40" w:line="231" w:lineRule="auto"/>
              <w:ind w:left="3421"/>
              <w:rPr>
                <w:rFonts w:ascii="黑体" w:hAnsi="黑体" w:eastAsia="黑体" w:cs="黑体"/>
                <w:sz w:val="19"/>
                <w:szCs w:val="19"/>
              </w:rPr>
            </w:pPr>
            <w:r>
              <w:rPr>
                <w:rFonts w:ascii="黑体" w:hAnsi="黑体" w:eastAsia="黑体" w:cs="黑体"/>
                <w:spacing w:val="10"/>
                <w:sz w:val="19"/>
                <w:szCs w:val="19"/>
              </w:rPr>
              <w:t>图</w:t>
            </w:r>
            <w:r>
              <w:rPr>
                <w:rFonts w:ascii="Times New Roman" w:hAnsi="Times New Roman" w:eastAsia="Times New Roman" w:cs="Times New Roman"/>
                <w:spacing w:val="6"/>
                <w:sz w:val="19"/>
                <w:szCs w:val="19"/>
              </w:rPr>
              <w:t>7</w:t>
            </w:r>
            <w:r>
              <w:rPr>
                <w:rFonts w:ascii="黑体" w:hAnsi="黑体" w:eastAsia="黑体" w:cs="黑体"/>
                <w:spacing w:val="6"/>
                <w:sz w:val="19"/>
                <w:szCs w:val="19"/>
              </w:rPr>
              <w:t>：平面线位图</w:t>
            </w:r>
          </w:p>
          <w:p>
            <w:pPr>
              <w:spacing w:before="130" w:line="229" w:lineRule="auto"/>
              <w:ind w:left="537"/>
              <w:rPr>
                <w:rFonts w:ascii="宋体" w:hAnsi="宋体" w:eastAsia="宋体" w:cs="宋体"/>
                <w:sz w:val="20"/>
                <w:szCs w:val="20"/>
              </w:rPr>
            </w:pPr>
            <w:r>
              <w:rPr>
                <w:rFonts w:ascii="宋体" w:hAnsi="宋体" w:eastAsia="宋体" w:cs="宋体"/>
                <w:spacing w:val="22"/>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7"/>
                <w:sz w:val="20"/>
                <w:szCs w:val="20"/>
              </w:rPr>
              <w:t>2</w:t>
            </w:r>
            <w:r>
              <w:rPr>
                <w:rFonts w:ascii="宋体" w:hAnsi="宋体" w:eastAsia="宋体" w:cs="宋体"/>
                <w:spacing w:val="17"/>
                <w:sz w:val="20"/>
                <w:szCs w:val="20"/>
                <w14:textOutline w14:w="3795" w14:cap="sq" w14:cmpd="sng">
                  <w14:solidFill>
                    <w14:srgbClr w14:val="000000"/>
                  </w14:solidFill>
                  <w14:prstDash w14:val="solid"/>
                  <w14:bevel/>
                </w14:textOutline>
              </w:rPr>
              <w:t>)</w:t>
            </w:r>
            <w:r>
              <w:rPr>
                <w:rFonts w:ascii="宋体" w:hAnsi="宋体" w:eastAsia="宋体" w:cs="宋体"/>
                <w:spacing w:val="17"/>
                <w:sz w:val="20"/>
                <w:szCs w:val="20"/>
              </w:rPr>
              <w:t xml:space="preserve"> </w:t>
            </w:r>
            <w:r>
              <w:rPr>
                <w:rFonts w:ascii="宋体" w:hAnsi="宋体" w:eastAsia="宋体" w:cs="宋体"/>
                <w:spacing w:val="17"/>
                <w:sz w:val="20"/>
                <w:szCs w:val="20"/>
                <w14:textOutline w14:w="3795" w14:cap="sq" w14:cmpd="sng">
                  <w14:solidFill>
                    <w14:srgbClr w14:val="000000"/>
                  </w14:solidFill>
                  <w14:prstDash w14:val="solid"/>
                  <w14:bevel/>
                </w14:textOutline>
              </w:rPr>
              <w:t>交叉口设计</w:t>
            </w:r>
          </w:p>
          <w:p>
            <w:pPr>
              <w:spacing w:before="152" w:line="369" w:lineRule="auto"/>
              <w:ind w:left="139" w:right="104" w:firstLine="389"/>
              <w:rPr>
                <w:rFonts w:ascii="宋体" w:hAnsi="宋体" w:eastAsia="宋体" w:cs="宋体"/>
                <w:sz w:val="20"/>
                <w:szCs w:val="20"/>
              </w:rPr>
            </w:pPr>
            <w:r>
              <w:rPr>
                <w:rFonts w:ascii="宋体" w:hAnsi="宋体" w:eastAsia="宋体" w:cs="宋体"/>
                <w:spacing w:val="14"/>
                <w:sz w:val="20"/>
                <w:szCs w:val="20"/>
              </w:rPr>
              <w:t>本项</w:t>
            </w:r>
            <w:r>
              <w:rPr>
                <w:rFonts w:ascii="宋体" w:hAnsi="宋体" w:eastAsia="宋体" w:cs="宋体"/>
                <w:spacing w:val="7"/>
                <w:sz w:val="20"/>
                <w:szCs w:val="20"/>
              </w:rPr>
              <w:t>目起于西侧滨河支路，止于东侧南北主干道，故存在两个交叉路口的设计，交叉</w:t>
            </w:r>
            <w:r>
              <w:rPr>
                <w:rFonts w:ascii="宋体" w:hAnsi="宋体" w:eastAsia="宋体" w:cs="宋体"/>
                <w:sz w:val="20"/>
                <w:szCs w:val="20"/>
              </w:rPr>
              <w:t xml:space="preserve"> </w:t>
            </w:r>
            <w:r>
              <w:rPr>
                <w:rFonts w:ascii="宋体" w:hAnsi="宋体" w:eastAsia="宋体" w:cs="宋体"/>
                <w:spacing w:val="10"/>
                <w:sz w:val="20"/>
                <w:szCs w:val="20"/>
              </w:rPr>
              <w:t>口</w:t>
            </w:r>
            <w:r>
              <w:rPr>
                <w:rFonts w:ascii="宋体" w:hAnsi="宋体" w:eastAsia="宋体" w:cs="宋体"/>
                <w:spacing w:val="9"/>
                <w:sz w:val="20"/>
                <w:szCs w:val="20"/>
              </w:rPr>
              <w:t>均</w:t>
            </w:r>
            <w:r>
              <w:rPr>
                <w:rFonts w:ascii="宋体" w:hAnsi="宋体" w:eastAsia="宋体" w:cs="宋体"/>
                <w:spacing w:val="5"/>
                <w:sz w:val="20"/>
                <w:szCs w:val="20"/>
              </w:rPr>
              <w:t>采用平交灯控的形式。</w:t>
            </w:r>
          </w:p>
          <w:p>
            <w:pPr>
              <w:tabs>
                <w:tab w:val="left" w:pos="599"/>
              </w:tabs>
              <w:spacing w:line="400" w:lineRule="exact"/>
              <w:ind w:left="519"/>
              <w:rPr>
                <w:rFonts w:ascii="宋体" w:hAnsi="宋体" w:eastAsia="宋体" w:cs="宋体"/>
                <w:sz w:val="20"/>
                <w:szCs w:val="20"/>
              </w:rPr>
            </w:pPr>
            <w:r>
              <w:rPr>
                <w:rFonts w:ascii="宋体" w:hAnsi="宋体" w:eastAsia="宋体" w:cs="宋体"/>
                <w:position w:val="14"/>
                <w:sz w:val="17"/>
                <w:szCs w:val="17"/>
              </w:rPr>
              <w:tab/>
            </w:r>
            <w:r>
              <w:rPr>
                <w:rFonts w:ascii="宋体" w:hAnsi="宋体" w:eastAsia="宋体" w:cs="宋体"/>
                <w:spacing w:val="9"/>
                <w:position w:val="14"/>
                <w:sz w:val="17"/>
                <w:szCs w:val="17"/>
              </w:rPr>
              <w:t>1</w:t>
            </w:r>
            <w:r>
              <w:rPr>
                <w:rFonts w:ascii="宋体" w:hAnsi="宋体" w:eastAsia="宋体" w:cs="宋体"/>
                <w:spacing w:val="6"/>
                <w:position w:val="14"/>
                <w:sz w:val="17"/>
                <w:szCs w:val="17"/>
              </w:rPr>
              <w:t xml:space="preserve">   </w:t>
            </w:r>
            <w:r>
              <w:rPr>
                <w:rFonts w:ascii="宋体" w:hAnsi="宋体" w:eastAsia="宋体" w:cs="宋体"/>
                <w:spacing w:val="6"/>
                <w:position w:val="14"/>
                <w:sz w:val="20"/>
                <w:szCs w:val="20"/>
              </w:rPr>
              <w:t>东岸交叉口设计</w:t>
            </w:r>
          </w:p>
          <w:p>
            <w:pPr>
              <w:spacing w:line="229" w:lineRule="auto"/>
              <w:ind w:left="541"/>
              <w:rPr>
                <w:rFonts w:ascii="宋体" w:hAnsi="宋体" w:eastAsia="宋体" w:cs="宋体"/>
                <w:sz w:val="20"/>
                <w:szCs w:val="20"/>
              </w:rPr>
            </w:pPr>
            <w:r>
              <w:rPr>
                <w:rFonts w:ascii="宋体" w:hAnsi="宋体" w:eastAsia="宋体" w:cs="宋体"/>
                <w:spacing w:val="6"/>
                <w:sz w:val="20"/>
                <w:szCs w:val="20"/>
              </w:rPr>
              <w:t>◆</w:t>
            </w:r>
            <w:r>
              <w:rPr>
                <w:rFonts w:ascii="Times New Roman" w:hAnsi="Times New Roman" w:eastAsia="Times New Roman" w:cs="Times New Roman"/>
                <w:sz w:val="20"/>
                <w:szCs w:val="20"/>
              </w:rPr>
              <w:t>K</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型平面交叉口；</w:t>
            </w:r>
          </w:p>
          <w:p>
            <w:pPr>
              <w:spacing w:before="152" w:line="228" w:lineRule="auto"/>
              <w:ind w:left="541"/>
              <w:rPr>
                <w:rFonts w:ascii="宋体" w:hAnsi="宋体" w:eastAsia="宋体" w:cs="宋体"/>
                <w:sz w:val="20"/>
                <w:szCs w:val="20"/>
              </w:rPr>
            </w:pPr>
            <w:r>
              <w:rPr>
                <w:rFonts w:ascii="宋体" w:hAnsi="宋体" w:eastAsia="宋体" w:cs="宋体"/>
                <w:spacing w:val="12"/>
                <w:sz w:val="20"/>
                <w:szCs w:val="20"/>
              </w:rPr>
              <w:t>◆江</w:t>
            </w:r>
            <w:r>
              <w:rPr>
                <w:rFonts w:ascii="宋体" w:hAnsi="宋体" w:eastAsia="宋体" w:cs="宋体"/>
                <w:spacing w:val="10"/>
                <w:sz w:val="20"/>
                <w:szCs w:val="20"/>
              </w:rPr>
              <w:t>湾</w:t>
            </w:r>
            <w:r>
              <w:rPr>
                <w:rFonts w:ascii="宋体" w:hAnsi="宋体" w:eastAsia="宋体" w:cs="宋体"/>
                <w:spacing w:val="6"/>
                <w:sz w:val="20"/>
                <w:szCs w:val="20"/>
              </w:rPr>
              <w:t xml:space="preserve">路三个车道，进口道 </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个左转，</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个直行；出口道一个直行。</w:t>
            </w:r>
          </w:p>
          <w:p>
            <w:pPr>
              <w:spacing w:before="152" w:line="228" w:lineRule="auto"/>
              <w:ind w:left="541"/>
              <w:rPr>
                <w:rFonts w:ascii="宋体" w:hAnsi="宋体" w:eastAsia="宋体" w:cs="宋体"/>
                <w:sz w:val="20"/>
                <w:szCs w:val="20"/>
              </w:rPr>
            </w:pPr>
            <w:r>
              <w:rPr>
                <w:rFonts w:ascii="宋体" w:hAnsi="宋体" w:eastAsia="宋体" w:cs="宋体"/>
                <w:spacing w:val="10"/>
                <w:sz w:val="20"/>
                <w:szCs w:val="20"/>
              </w:rPr>
              <w:t>◆交叉</w:t>
            </w:r>
            <w:r>
              <w:rPr>
                <w:rFonts w:ascii="宋体" w:hAnsi="宋体" w:eastAsia="宋体" w:cs="宋体"/>
                <w:spacing w:val="7"/>
                <w:sz w:val="20"/>
                <w:szCs w:val="20"/>
              </w:rPr>
              <w:t>口</w:t>
            </w:r>
            <w:r>
              <w:rPr>
                <w:rFonts w:ascii="宋体" w:hAnsi="宋体" w:eastAsia="宋体" w:cs="宋体"/>
                <w:spacing w:val="5"/>
                <w:sz w:val="20"/>
                <w:szCs w:val="20"/>
              </w:rPr>
              <w:t xml:space="preserve">大桥方向进道口 </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车道，</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个左转，</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个右转；</w:t>
            </w:r>
          </w:p>
          <w:p>
            <w:pPr>
              <w:spacing w:before="153" w:line="228" w:lineRule="auto"/>
              <w:ind w:left="541"/>
              <w:rPr>
                <w:rFonts w:ascii="宋体" w:hAnsi="宋体" w:eastAsia="宋体" w:cs="宋体"/>
                <w:sz w:val="20"/>
                <w:szCs w:val="20"/>
              </w:rPr>
            </w:pPr>
            <w:r>
              <w:rPr>
                <w:rFonts w:ascii="宋体" w:hAnsi="宋体" w:eastAsia="宋体" w:cs="宋体"/>
                <w:spacing w:val="8"/>
                <w:sz w:val="20"/>
                <w:szCs w:val="20"/>
              </w:rPr>
              <w:t>◆交</w:t>
            </w:r>
            <w:r>
              <w:rPr>
                <w:rFonts w:ascii="宋体" w:hAnsi="宋体" w:eastAsia="宋体" w:cs="宋体"/>
                <w:spacing w:val="5"/>
                <w:sz w:val="20"/>
                <w:szCs w:val="20"/>
              </w:rPr>
              <w:t>叉</w:t>
            </w:r>
            <w:r>
              <w:rPr>
                <w:rFonts w:ascii="宋体" w:hAnsi="宋体" w:eastAsia="宋体" w:cs="宋体"/>
                <w:spacing w:val="4"/>
                <w:sz w:val="20"/>
                <w:szCs w:val="20"/>
              </w:rPr>
              <w:t xml:space="preserve">口大桥方向出道口保持 </w:t>
            </w: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车道；</w:t>
            </w:r>
          </w:p>
          <w:p>
            <w:pPr>
              <w:spacing w:before="154" w:line="298" w:lineRule="auto"/>
              <w:ind w:left="527" w:right="102" w:firstLine="13"/>
              <w:rPr>
                <w:rFonts w:ascii="宋体" w:hAnsi="宋体" w:eastAsia="宋体" w:cs="宋体"/>
                <w:sz w:val="20"/>
                <w:szCs w:val="20"/>
              </w:rPr>
            </w:pPr>
            <w:r>
              <w:rPr>
                <w:rFonts w:ascii="宋体" w:hAnsi="宋体" w:eastAsia="宋体" w:cs="宋体"/>
                <w:spacing w:val="10"/>
                <w:sz w:val="20"/>
                <w:szCs w:val="20"/>
              </w:rPr>
              <w:t>◆交叉</w:t>
            </w:r>
            <w:r>
              <w:rPr>
                <w:rFonts w:ascii="宋体" w:hAnsi="宋体" w:eastAsia="宋体" w:cs="宋体"/>
                <w:spacing w:val="8"/>
                <w:sz w:val="20"/>
                <w:szCs w:val="20"/>
              </w:rPr>
              <w:t>口</w:t>
            </w:r>
            <w:r>
              <w:rPr>
                <w:rFonts w:ascii="宋体" w:hAnsi="宋体" w:eastAsia="宋体" w:cs="宋体"/>
                <w:spacing w:val="5"/>
                <w:sz w:val="20"/>
                <w:szCs w:val="20"/>
              </w:rPr>
              <w:t xml:space="preserve">南北干道进口道通过压缩中分带均展宽为 </w:t>
            </w:r>
            <w:r>
              <w:rPr>
                <w:rFonts w:ascii="Times New Roman" w:hAnsi="Times New Roman" w:eastAsia="Times New Roman" w:cs="Times New Roman"/>
                <w:spacing w:val="5"/>
                <w:sz w:val="20"/>
                <w:szCs w:val="20"/>
              </w:rPr>
              <w:t xml:space="preserve">4 </w:t>
            </w:r>
            <w:r>
              <w:rPr>
                <w:rFonts w:ascii="宋体" w:hAnsi="宋体" w:eastAsia="宋体" w:cs="宋体"/>
                <w:spacing w:val="5"/>
                <w:sz w:val="20"/>
                <w:szCs w:val="20"/>
              </w:rPr>
              <w:t>车道，直行道保持不变，增加一</w:t>
            </w:r>
            <w:r>
              <w:rPr>
                <w:rFonts w:ascii="宋体" w:hAnsi="宋体" w:eastAsia="宋体" w:cs="宋体"/>
                <w:sz w:val="20"/>
                <w:szCs w:val="20"/>
              </w:rPr>
              <w:t xml:space="preserve"> </w:t>
            </w:r>
            <w:r>
              <w:rPr>
                <w:rFonts w:ascii="宋体" w:hAnsi="宋体" w:eastAsia="宋体" w:cs="宋体"/>
                <w:spacing w:val="14"/>
                <w:sz w:val="20"/>
                <w:szCs w:val="20"/>
              </w:rPr>
              <w:t>个</w:t>
            </w:r>
            <w:r>
              <w:rPr>
                <w:rFonts w:ascii="宋体" w:hAnsi="宋体" w:eastAsia="宋体" w:cs="宋体"/>
                <w:spacing w:val="7"/>
                <w:sz w:val="20"/>
                <w:szCs w:val="20"/>
              </w:rPr>
              <w:t>左转车道 (南往北方向) ；</w:t>
            </w:r>
          </w:p>
          <w:p>
            <w:pPr>
              <w:spacing w:before="153" w:line="300" w:lineRule="auto"/>
              <w:ind w:left="528" w:right="102" w:firstLine="12"/>
              <w:rPr>
                <w:rFonts w:ascii="宋体" w:hAnsi="宋体" w:eastAsia="宋体" w:cs="宋体"/>
                <w:sz w:val="20"/>
                <w:szCs w:val="20"/>
              </w:rPr>
            </w:pPr>
            <w:r>
              <w:rPr>
                <w:rFonts w:ascii="宋体" w:hAnsi="宋体" w:eastAsia="宋体" w:cs="宋体"/>
                <w:spacing w:val="7"/>
                <w:sz w:val="20"/>
                <w:szCs w:val="20"/>
              </w:rPr>
              <w:t>◆交叉口南北干道进口道直行道保持不变，在最右侧直行道允许右转和直行 (北往</w:t>
            </w:r>
            <w:r>
              <w:rPr>
                <w:rFonts w:ascii="宋体" w:hAnsi="宋体" w:eastAsia="宋体" w:cs="宋体"/>
                <w:spacing w:val="4"/>
                <w:sz w:val="20"/>
                <w:szCs w:val="20"/>
              </w:rPr>
              <w:t>南</w:t>
            </w:r>
            <w:r>
              <w:rPr>
                <w:rFonts w:ascii="宋体" w:hAnsi="宋体" w:eastAsia="宋体" w:cs="宋体"/>
                <w:sz w:val="20"/>
                <w:szCs w:val="20"/>
              </w:rPr>
              <w:t xml:space="preserve"> </w:t>
            </w:r>
            <w:r>
              <w:rPr>
                <w:rFonts w:ascii="宋体" w:hAnsi="宋体" w:eastAsia="宋体" w:cs="宋体"/>
                <w:spacing w:val="4"/>
                <w:sz w:val="20"/>
                <w:szCs w:val="20"/>
              </w:rPr>
              <w:t>方向) ；</w:t>
            </w:r>
          </w:p>
          <w:p>
            <w:pPr>
              <w:spacing w:before="150" w:line="227" w:lineRule="auto"/>
              <w:ind w:left="541"/>
              <w:rPr>
                <w:rFonts w:ascii="宋体" w:hAnsi="宋体" w:eastAsia="宋体" w:cs="宋体"/>
                <w:sz w:val="20"/>
                <w:szCs w:val="20"/>
              </w:rPr>
            </w:pPr>
            <w:r>
              <w:rPr>
                <w:rFonts w:ascii="宋体" w:hAnsi="宋体" w:eastAsia="宋体" w:cs="宋体"/>
                <w:spacing w:val="8"/>
                <w:sz w:val="20"/>
                <w:szCs w:val="20"/>
              </w:rPr>
              <w:t>◆交</w:t>
            </w:r>
            <w:r>
              <w:rPr>
                <w:rFonts w:ascii="宋体" w:hAnsi="宋体" w:eastAsia="宋体" w:cs="宋体"/>
                <w:spacing w:val="5"/>
                <w:sz w:val="20"/>
                <w:szCs w:val="20"/>
              </w:rPr>
              <w:t>叉</w:t>
            </w:r>
            <w:r>
              <w:rPr>
                <w:rFonts w:ascii="宋体" w:hAnsi="宋体" w:eastAsia="宋体" w:cs="宋体"/>
                <w:spacing w:val="4"/>
                <w:sz w:val="20"/>
                <w:szCs w:val="20"/>
              </w:rPr>
              <w:t xml:space="preserve">口南北干道出口道保持 </w:t>
            </w: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车道；</w:t>
            </w:r>
          </w:p>
        </w:tc>
      </w:tr>
    </w:tbl>
    <w:p>
      <w:pPr>
        <w:rPr>
          <w:rFonts w:ascii="Arial"/>
          <w:sz w:val="21"/>
        </w:rPr>
      </w:pPr>
    </w:p>
    <w:p>
      <w:pPr>
        <w:sectPr>
          <w:footerReference r:id="rId29" w:type="default"/>
          <w:pgSz w:w="11906" w:h="16839"/>
          <w:pgMar w:top="400" w:right="1487" w:bottom="1475" w:left="1486" w:header="0" w:footer="1315" w:gutter="0"/>
          <w:cols w:space="720" w:num="1"/>
        </w:sectPr>
      </w:pPr>
    </w:p>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8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16" w:hRule="atLeast"/>
        </w:trPr>
        <w:tc>
          <w:tcPr>
            <w:tcW w:w="600" w:type="dxa"/>
            <w:tcBorders>
              <w:left w:val="single" w:color="00000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28" w:lineRule="auto"/>
              <w:ind w:left="91"/>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p>
            <w:pPr>
              <w:spacing w:before="26" w:line="229" w:lineRule="auto"/>
              <w:ind w:left="9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组</w:t>
            </w:r>
            <w:r>
              <w:rPr>
                <w:rFonts w:ascii="宋体" w:hAnsi="宋体" w:eastAsia="宋体" w:cs="宋体"/>
                <w:spacing w:val="4"/>
                <w:sz w:val="20"/>
                <w:szCs w:val="20"/>
                <w14:textOutline w14:w="3795" w14:cap="sq" w14:cmpd="sng">
                  <w14:solidFill>
                    <w14:srgbClr w14:val="000000"/>
                  </w14:solidFill>
                  <w14:prstDash w14:val="solid"/>
                  <w14:bevel/>
                </w14:textOutline>
              </w:rPr>
              <w:t>成</w:t>
            </w:r>
          </w:p>
          <w:p>
            <w:pPr>
              <w:spacing w:before="22" w:line="230" w:lineRule="auto"/>
              <w:ind w:left="8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及规</w:t>
            </w:r>
          </w:p>
          <w:p>
            <w:pPr>
              <w:spacing w:before="24" w:line="228" w:lineRule="auto"/>
              <w:ind w:left="190"/>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模</w:t>
            </w:r>
          </w:p>
        </w:tc>
        <w:tc>
          <w:tcPr>
            <w:tcW w:w="8317" w:type="dxa"/>
            <w:tcBorders>
              <w:right w:val="single" w:color="000000" w:sz="6" w:space="0"/>
            </w:tcBorders>
            <w:vAlign w:val="top"/>
          </w:tcPr>
          <w:p>
            <w:pPr>
              <w:spacing w:line="60" w:lineRule="auto"/>
              <w:rPr>
                <w:rFonts w:ascii="Arial"/>
                <w:sz w:val="2"/>
              </w:rPr>
            </w:pPr>
          </w:p>
          <w:tbl>
            <w:tblPr>
              <w:tblStyle w:val="4"/>
              <w:tblW w:w="6754" w:type="dxa"/>
              <w:tblInd w:w="771"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6754"/>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5879" w:hRule="atLeast"/>
              </w:trPr>
              <w:tc>
                <w:tcPr>
                  <w:tcW w:w="6754" w:type="dxa"/>
                  <w:vAlign w:val="top"/>
                </w:tcPr>
                <w:p>
                  <w:pPr>
                    <w:spacing w:line="5879" w:lineRule="exact"/>
                    <w:textAlignment w:val="center"/>
                  </w:pPr>
                  <w:r>
                    <w:drawing>
                      <wp:inline distT="0" distB="0" distL="0" distR="0">
                        <wp:extent cx="4276090" cy="3733165"/>
                        <wp:effectExtent l="0" t="0" r="0" b="0"/>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166"/>
                                <a:stretch>
                                  <a:fillRect/>
                                </a:stretch>
                              </pic:blipFill>
                              <pic:spPr>
                                <a:xfrm>
                                  <a:off x="0" y="0"/>
                                  <a:ext cx="4276090" cy="3733165"/>
                                </a:xfrm>
                                <a:prstGeom prst="rect">
                                  <a:avLst/>
                                </a:prstGeom>
                              </pic:spPr>
                            </pic:pic>
                          </a:graphicData>
                        </a:graphic>
                      </wp:inline>
                    </w:drawing>
                  </w:r>
                </w:p>
              </w:tc>
            </w:tr>
          </w:tbl>
          <w:p>
            <w:pPr>
              <w:spacing w:before="50" w:line="231" w:lineRule="auto"/>
              <w:ind w:left="2521"/>
              <w:rPr>
                <w:rFonts w:ascii="黑体" w:hAnsi="黑体" w:eastAsia="黑体" w:cs="黑体"/>
                <w:sz w:val="19"/>
                <w:szCs w:val="19"/>
              </w:rPr>
            </w:pPr>
            <w:r>
              <w:rPr>
                <w:rFonts w:ascii="黑体" w:hAnsi="黑体" w:eastAsia="黑体" w:cs="黑体"/>
                <w:spacing w:val="14"/>
                <w:sz w:val="19"/>
                <w:szCs w:val="19"/>
              </w:rPr>
              <w:t>图</w:t>
            </w:r>
            <w:r>
              <w:rPr>
                <w:rFonts w:ascii="Times New Roman" w:hAnsi="Times New Roman" w:eastAsia="Times New Roman" w:cs="Times New Roman"/>
                <w:spacing w:val="8"/>
                <w:sz w:val="19"/>
                <w:szCs w:val="19"/>
              </w:rPr>
              <w:t>8</w:t>
            </w:r>
            <w:r>
              <w:rPr>
                <w:rFonts w:ascii="黑体" w:hAnsi="黑体" w:eastAsia="黑体" w:cs="黑体"/>
                <w:spacing w:val="8"/>
                <w:sz w:val="19"/>
                <w:szCs w:val="19"/>
              </w:rPr>
              <w:t>：高家坝大桥东岸交叉口节点设计</w:t>
            </w:r>
          </w:p>
          <w:p>
            <w:pPr>
              <w:spacing w:before="130" w:line="401" w:lineRule="exact"/>
              <w:ind w:left="588"/>
              <w:rPr>
                <w:rFonts w:ascii="宋体" w:hAnsi="宋体" w:eastAsia="宋体" w:cs="宋体"/>
                <w:sz w:val="20"/>
                <w:szCs w:val="20"/>
              </w:rPr>
            </w:pPr>
            <w:r>
              <w:rPr>
                <w:rFonts w:ascii="宋体" w:hAnsi="宋体" w:eastAsia="宋体" w:cs="宋体"/>
                <w:spacing w:val="9"/>
                <w:position w:val="14"/>
                <w:sz w:val="17"/>
                <w:szCs w:val="17"/>
              </w:rPr>
              <w:t>2</w:t>
            </w:r>
            <w:r>
              <w:rPr>
                <w:rFonts w:ascii="宋体" w:hAnsi="宋体" w:eastAsia="宋体" w:cs="宋体"/>
                <w:spacing w:val="7"/>
                <w:position w:val="14"/>
                <w:sz w:val="17"/>
                <w:szCs w:val="17"/>
              </w:rPr>
              <w:t xml:space="preserve">   </w:t>
            </w:r>
            <w:r>
              <w:rPr>
                <w:rFonts w:ascii="宋体" w:hAnsi="宋体" w:eastAsia="宋体" w:cs="宋体"/>
                <w:spacing w:val="7"/>
                <w:position w:val="14"/>
                <w:sz w:val="20"/>
                <w:szCs w:val="20"/>
              </w:rPr>
              <w:t>西岸交叉口设计</w:t>
            </w:r>
          </w:p>
          <w:p>
            <w:pPr>
              <w:spacing w:line="229" w:lineRule="auto"/>
              <w:ind w:left="541"/>
              <w:rPr>
                <w:rFonts w:ascii="宋体" w:hAnsi="宋体" w:eastAsia="宋体" w:cs="宋体"/>
                <w:sz w:val="20"/>
                <w:szCs w:val="20"/>
              </w:rPr>
            </w:pPr>
            <w:r>
              <w:rPr>
                <w:rFonts w:ascii="宋体" w:hAnsi="宋体" w:eastAsia="宋体" w:cs="宋体"/>
                <w:spacing w:val="6"/>
                <w:sz w:val="20"/>
                <w:szCs w:val="20"/>
              </w:rPr>
              <w:t>◆</w:t>
            </w:r>
            <w:r>
              <w:rPr>
                <w:rFonts w:ascii="Times New Roman" w:hAnsi="Times New Roman" w:eastAsia="Times New Roman" w:cs="Times New Roman"/>
                <w:sz w:val="20"/>
                <w:szCs w:val="20"/>
              </w:rPr>
              <w:t>T</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型平面交叉口</w:t>
            </w:r>
            <w:r>
              <w:rPr>
                <w:rFonts w:ascii="宋体" w:hAnsi="宋体" w:eastAsia="宋体" w:cs="宋体"/>
                <w:spacing w:val="4"/>
                <w:sz w:val="20"/>
                <w:szCs w:val="20"/>
              </w:rPr>
              <w:t>；</w:t>
            </w:r>
          </w:p>
          <w:p>
            <w:pPr>
              <w:spacing w:before="152" w:line="228" w:lineRule="auto"/>
              <w:ind w:left="541"/>
              <w:rPr>
                <w:rFonts w:ascii="宋体" w:hAnsi="宋体" w:eastAsia="宋体" w:cs="宋体"/>
                <w:sz w:val="20"/>
                <w:szCs w:val="20"/>
              </w:rPr>
            </w:pPr>
            <w:r>
              <w:rPr>
                <w:rFonts w:ascii="宋体" w:hAnsi="宋体" w:eastAsia="宋体" w:cs="宋体"/>
                <w:spacing w:val="4"/>
                <w:sz w:val="20"/>
                <w:szCs w:val="20"/>
              </w:rPr>
              <w:t>◆交叉口滨河支路进口道均</w:t>
            </w:r>
            <w:r>
              <w:rPr>
                <w:rFonts w:ascii="宋体" w:hAnsi="宋体" w:eastAsia="宋体" w:cs="宋体"/>
                <w:spacing w:val="3"/>
                <w:sz w:val="20"/>
                <w:szCs w:val="20"/>
              </w:rPr>
              <w:t>展</w:t>
            </w:r>
            <w:r>
              <w:rPr>
                <w:rFonts w:ascii="宋体" w:hAnsi="宋体" w:eastAsia="宋体" w:cs="宋体"/>
                <w:spacing w:val="2"/>
                <w:sz w:val="20"/>
                <w:szCs w:val="20"/>
              </w:rPr>
              <w:t xml:space="preserve">宽为 </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车道，直行道保持不变，增加一个左、右转车道；</w:t>
            </w:r>
          </w:p>
          <w:p>
            <w:pPr>
              <w:spacing w:before="151" w:line="228" w:lineRule="auto"/>
              <w:ind w:left="541"/>
              <w:rPr>
                <w:rFonts w:ascii="宋体" w:hAnsi="宋体" w:eastAsia="宋体" w:cs="宋体"/>
                <w:sz w:val="20"/>
                <w:szCs w:val="20"/>
              </w:rPr>
            </w:pPr>
            <w:r>
              <w:rPr>
                <w:rFonts w:ascii="宋体" w:hAnsi="宋体" w:eastAsia="宋体" w:cs="宋体"/>
                <w:spacing w:val="8"/>
                <w:sz w:val="20"/>
                <w:szCs w:val="20"/>
              </w:rPr>
              <w:t>◆交</w:t>
            </w:r>
            <w:r>
              <w:rPr>
                <w:rFonts w:ascii="宋体" w:hAnsi="宋体" w:eastAsia="宋体" w:cs="宋体"/>
                <w:spacing w:val="5"/>
                <w:sz w:val="20"/>
                <w:szCs w:val="20"/>
              </w:rPr>
              <w:t>叉</w:t>
            </w:r>
            <w:r>
              <w:rPr>
                <w:rFonts w:ascii="宋体" w:hAnsi="宋体" w:eastAsia="宋体" w:cs="宋体"/>
                <w:spacing w:val="4"/>
                <w:sz w:val="20"/>
                <w:szCs w:val="20"/>
              </w:rPr>
              <w:t xml:space="preserve">口滨河支路出口道保持 </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车道；</w:t>
            </w:r>
          </w:p>
          <w:p>
            <w:pPr>
              <w:spacing w:before="153" w:line="228" w:lineRule="auto"/>
              <w:ind w:left="541"/>
              <w:rPr>
                <w:rFonts w:ascii="宋体" w:hAnsi="宋体" w:eastAsia="宋体" w:cs="宋体"/>
                <w:sz w:val="20"/>
                <w:szCs w:val="20"/>
              </w:rPr>
            </w:pPr>
            <w:r>
              <w:rPr>
                <w:rFonts w:ascii="宋体" w:hAnsi="宋体" w:eastAsia="宋体" w:cs="宋体"/>
                <w:spacing w:val="10"/>
                <w:sz w:val="20"/>
                <w:szCs w:val="20"/>
              </w:rPr>
              <w:t>◆交叉</w:t>
            </w:r>
            <w:r>
              <w:rPr>
                <w:rFonts w:ascii="宋体" w:hAnsi="宋体" w:eastAsia="宋体" w:cs="宋体"/>
                <w:spacing w:val="7"/>
                <w:sz w:val="20"/>
                <w:szCs w:val="20"/>
              </w:rPr>
              <w:t>口</w:t>
            </w:r>
            <w:r>
              <w:rPr>
                <w:rFonts w:ascii="宋体" w:hAnsi="宋体" w:eastAsia="宋体" w:cs="宋体"/>
                <w:spacing w:val="5"/>
                <w:sz w:val="20"/>
                <w:szCs w:val="20"/>
              </w:rPr>
              <w:t xml:space="preserve">大桥方向进道口 </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车道，</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个左转，</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个右转；</w:t>
            </w:r>
          </w:p>
          <w:p>
            <w:pPr>
              <w:spacing w:before="153" w:line="228" w:lineRule="auto"/>
              <w:ind w:left="541"/>
              <w:rPr>
                <w:rFonts w:ascii="宋体" w:hAnsi="宋体" w:eastAsia="宋体" w:cs="宋体"/>
                <w:sz w:val="20"/>
                <w:szCs w:val="20"/>
              </w:rPr>
            </w:pPr>
            <w:r>
              <w:rPr>
                <w:rFonts w:ascii="宋体" w:hAnsi="宋体" w:eastAsia="宋体" w:cs="宋体"/>
                <w:spacing w:val="8"/>
                <w:sz w:val="20"/>
                <w:szCs w:val="20"/>
              </w:rPr>
              <w:t>◆交</w:t>
            </w:r>
            <w:r>
              <w:rPr>
                <w:rFonts w:ascii="宋体" w:hAnsi="宋体" w:eastAsia="宋体" w:cs="宋体"/>
                <w:spacing w:val="5"/>
                <w:sz w:val="20"/>
                <w:szCs w:val="20"/>
              </w:rPr>
              <w:t>叉</w:t>
            </w:r>
            <w:r>
              <w:rPr>
                <w:rFonts w:ascii="宋体" w:hAnsi="宋体" w:eastAsia="宋体" w:cs="宋体"/>
                <w:spacing w:val="4"/>
                <w:sz w:val="20"/>
                <w:szCs w:val="20"/>
              </w:rPr>
              <w:t xml:space="preserve">口大桥方向出道口保持 </w:t>
            </w: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车道；</w:t>
            </w:r>
          </w:p>
          <w:p>
            <w:pPr>
              <w:spacing w:line="16" w:lineRule="exact"/>
            </w:pPr>
          </w:p>
          <w:tbl>
            <w:tblPr>
              <w:tblStyle w:val="4"/>
              <w:tblW w:w="6911" w:type="dxa"/>
              <w:tblInd w:w="685"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6911"/>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PrEx>
              <w:trPr>
                <w:trHeight w:val="4683" w:hRule="atLeast"/>
              </w:trPr>
              <w:tc>
                <w:tcPr>
                  <w:tcW w:w="6911" w:type="dxa"/>
                  <w:vAlign w:val="top"/>
                </w:tcPr>
                <w:p>
                  <w:pPr>
                    <w:spacing w:line="4682" w:lineRule="exact"/>
                    <w:textAlignment w:val="center"/>
                  </w:pPr>
                  <w:r>
                    <w:drawing>
                      <wp:inline distT="0" distB="0" distL="0" distR="0">
                        <wp:extent cx="4375150" cy="297307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67"/>
                                <a:stretch>
                                  <a:fillRect/>
                                </a:stretch>
                              </pic:blipFill>
                              <pic:spPr>
                                <a:xfrm>
                                  <a:off x="0" y="0"/>
                                  <a:ext cx="4375784" cy="2973704"/>
                                </a:xfrm>
                                <a:prstGeom prst="rect">
                                  <a:avLst/>
                                </a:prstGeom>
                              </pic:spPr>
                            </pic:pic>
                          </a:graphicData>
                        </a:graphic>
                      </wp:inline>
                    </w:drawing>
                  </w:r>
                </w:p>
              </w:tc>
            </w:tr>
          </w:tbl>
          <w:p>
            <w:pPr>
              <w:spacing w:before="44" w:line="231" w:lineRule="auto"/>
              <w:ind w:left="2521"/>
              <w:rPr>
                <w:rFonts w:ascii="黑体" w:hAnsi="黑体" w:eastAsia="黑体" w:cs="黑体"/>
                <w:sz w:val="19"/>
                <w:szCs w:val="19"/>
              </w:rPr>
            </w:pPr>
            <w:r>
              <w:rPr>
                <w:rFonts w:ascii="黑体" w:hAnsi="黑体" w:eastAsia="黑体" w:cs="黑体"/>
                <w:spacing w:val="14"/>
                <w:sz w:val="19"/>
                <w:szCs w:val="19"/>
              </w:rPr>
              <w:t>图</w:t>
            </w:r>
            <w:r>
              <w:rPr>
                <w:rFonts w:ascii="Times New Roman" w:hAnsi="Times New Roman" w:eastAsia="Times New Roman" w:cs="Times New Roman"/>
                <w:spacing w:val="8"/>
                <w:sz w:val="19"/>
                <w:szCs w:val="19"/>
              </w:rPr>
              <w:t>9</w:t>
            </w:r>
            <w:r>
              <w:rPr>
                <w:rFonts w:ascii="黑体" w:hAnsi="黑体" w:eastAsia="黑体" w:cs="黑体"/>
                <w:spacing w:val="8"/>
                <w:sz w:val="19"/>
                <w:szCs w:val="19"/>
              </w:rPr>
              <w:t>：高家坝大桥西岸交叉口节点设计</w:t>
            </w:r>
          </w:p>
        </w:tc>
      </w:tr>
    </w:tbl>
    <w:p>
      <w:pPr>
        <w:spacing w:line="149" w:lineRule="exact"/>
        <w:rPr>
          <w:rFonts w:ascii="Arial"/>
          <w:sz w:val="12"/>
        </w:rPr>
      </w:pPr>
    </w:p>
    <w:p>
      <w:pPr>
        <w:sectPr>
          <w:footerReference r:id="rId30" w:type="default"/>
          <w:pgSz w:w="11906" w:h="16839"/>
          <w:pgMar w:top="400" w:right="1487" w:bottom="1475" w:left="1486" w:header="0" w:footer="1315" w:gutter="0"/>
          <w:cols w:space="720" w:num="1"/>
        </w:sectPr>
      </w:pPr>
    </w:p>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8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06" w:hRule="atLeast"/>
        </w:trPr>
        <w:tc>
          <w:tcPr>
            <w:tcW w:w="600" w:type="dxa"/>
            <w:tcBorders>
              <w:left w:val="single" w:color="00000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28" w:lineRule="auto"/>
              <w:ind w:left="91"/>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p>
            <w:pPr>
              <w:spacing w:before="26" w:line="229" w:lineRule="auto"/>
              <w:ind w:left="9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组</w:t>
            </w:r>
            <w:r>
              <w:rPr>
                <w:rFonts w:ascii="宋体" w:hAnsi="宋体" w:eastAsia="宋体" w:cs="宋体"/>
                <w:spacing w:val="4"/>
                <w:sz w:val="20"/>
                <w:szCs w:val="20"/>
                <w14:textOutline w14:w="3795" w14:cap="sq" w14:cmpd="sng">
                  <w14:solidFill>
                    <w14:srgbClr w14:val="000000"/>
                  </w14:solidFill>
                  <w14:prstDash w14:val="solid"/>
                  <w14:bevel/>
                </w14:textOutline>
              </w:rPr>
              <w:t>成</w:t>
            </w:r>
          </w:p>
          <w:p>
            <w:pPr>
              <w:spacing w:before="22" w:line="230" w:lineRule="auto"/>
              <w:ind w:left="8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及规</w:t>
            </w:r>
          </w:p>
          <w:p>
            <w:pPr>
              <w:spacing w:before="24" w:line="228" w:lineRule="auto"/>
              <w:ind w:left="190"/>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模</w:t>
            </w:r>
          </w:p>
        </w:tc>
        <w:tc>
          <w:tcPr>
            <w:tcW w:w="8317" w:type="dxa"/>
            <w:tcBorders>
              <w:right w:val="single" w:color="000000" w:sz="6" w:space="0"/>
            </w:tcBorders>
            <w:vAlign w:val="top"/>
          </w:tcPr>
          <w:p>
            <w:pPr>
              <w:spacing w:before="144" w:line="228" w:lineRule="auto"/>
              <w:ind w:left="537"/>
              <w:rPr>
                <w:rFonts w:ascii="宋体" w:hAnsi="宋体" w:eastAsia="宋体" w:cs="宋体"/>
                <w:sz w:val="20"/>
                <w:szCs w:val="20"/>
              </w:rPr>
            </w:pPr>
            <w:r>
              <w:pict>
                <v:shape id="_x0000_s1055" o:spid="_x0000_s1055" style="position:absolute;left:0pt;margin-left:26.15pt;margin-top:27.35pt;height:10.6pt;width:10.55pt;mso-position-horizontal-relative:page;mso-position-vertical-relative:page;z-index:251676672;mso-width-relative:page;mso-height-relative:page;" filled="f" stroked="t" coordsize="211,212" path="m210,105c210,163,163,210,105,210c47,210,0,163,0,105c0,47,47,0,105,0c163,0,210,47,210,105e">
                  <v:fill on="f" focussize="0,0"/>
                  <v:stroke weight="0.05pt" color="#000000" miterlimit="2" joinstyle="bevel" endcap="square"/>
                  <v:imagedata o:title=""/>
                  <o:lock v:ext="edit"/>
                </v:shape>
              </w:pict>
            </w:r>
            <w:r>
              <w:rPr>
                <w:rFonts w:ascii="宋体" w:hAnsi="宋体" w:eastAsia="宋体" w:cs="宋体"/>
                <w:spacing w:val="2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6"/>
                <w:sz w:val="20"/>
                <w:szCs w:val="20"/>
              </w:rPr>
              <w:t>3</w:t>
            </w: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宋体" w:hAnsi="宋体" w:eastAsia="宋体" w:cs="宋体"/>
                <w:spacing w:val="16"/>
                <w:sz w:val="20"/>
                <w:szCs w:val="20"/>
              </w:rPr>
              <w:t xml:space="preserve"> </w:t>
            </w:r>
            <w:r>
              <w:rPr>
                <w:rFonts w:ascii="宋体" w:hAnsi="宋体" w:eastAsia="宋体" w:cs="宋体"/>
                <w:spacing w:val="16"/>
                <w:sz w:val="20"/>
                <w:szCs w:val="20"/>
                <w14:textOutline w14:w="3795" w14:cap="sq" w14:cmpd="sng">
                  <w14:solidFill>
                    <w14:srgbClr w14:val="000000"/>
                  </w14:solidFill>
                  <w14:prstDash w14:val="solid"/>
                  <w14:bevel/>
                </w14:textOutline>
              </w:rPr>
              <w:t>道路纵断面设计</w:t>
            </w:r>
          </w:p>
          <w:p>
            <w:pPr>
              <w:spacing w:before="153" w:line="228" w:lineRule="auto"/>
              <w:ind w:left="599"/>
              <w:rPr>
                <w:rFonts w:ascii="宋体" w:hAnsi="宋体" w:eastAsia="宋体" w:cs="宋体"/>
                <w:sz w:val="20"/>
                <w:szCs w:val="20"/>
              </w:rPr>
            </w:pPr>
            <w:r>
              <w:rPr>
                <w:rFonts w:ascii="宋体" w:hAnsi="宋体" w:eastAsia="宋体" w:cs="宋体"/>
                <w:spacing w:val="10"/>
                <w:sz w:val="17"/>
                <w:szCs w:val="17"/>
              </w:rPr>
              <w:t>1</w:t>
            </w:r>
            <w:r>
              <w:rPr>
                <w:rFonts w:ascii="宋体" w:hAnsi="宋体" w:eastAsia="宋体" w:cs="宋体"/>
                <w:spacing w:val="6"/>
                <w:sz w:val="17"/>
                <w:szCs w:val="17"/>
              </w:rPr>
              <w:t xml:space="preserve">   </w:t>
            </w:r>
            <w:r>
              <w:rPr>
                <w:rFonts w:ascii="宋体" w:hAnsi="宋体" w:eastAsia="宋体" w:cs="宋体"/>
                <w:spacing w:val="6"/>
                <w:sz w:val="20"/>
                <w:szCs w:val="20"/>
              </w:rPr>
              <w:t>桥梁纵断面方案如下：</w:t>
            </w:r>
          </w:p>
          <w:p>
            <w:pPr>
              <w:spacing w:before="117" w:line="322" w:lineRule="auto"/>
              <w:ind w:left="110" w:right="102" w:firstLine="419"/>
              <w:rPr>
                <w:rFonts w:ascii="宋体" w:hAnsi="宋体" w:eastAsia="宋体" w:cs="宋体"/>
                <w:sz w:val="20"/>
                <w:szCs w:val="20"/>
              </w:rPr>
            </w:pPr>
            <w:r>
              <w:rPr>
                <w:rFonts w:ascii="宋体" w:hAnsi="宋体" w:eastAsia="宋体" w:cs="宋体"/>
                <w:spacing w:val="-1"/>
                <w:sz w:val="20"/>
                <w:szCs w:val="20"/>
              </w:rPr>
              <w:t xml:space="preserve">最大纵坡 </w:t>
            </w:r>
            <w:r>
              <w:rPr>
                <w:rFonts w:ascii="Times New Roman" w:hAnsi="Times New Roman" w:eastAsia="Times New Roman" w:cs="Times New Roman"/>
                <w:spacing w:val="-1"/>
                <w:sz w:val="20"/>
                <w:szCs w:val="20"/>
              </w:rPr>
              <w:t xml:space="preserve">3.0% </w:t>
            </w:r>
            <w:r>
              <w:rPr>
                <w:rFonts w:ascii="宋体" w:hAnsi="宋体" w:eastAsia="宋体" w:cs="宋体"/>
                <w:spacing w:val="-1"/>
                <w:sz w:val="20"/>
                <w:szCs w:val="20"/>
              </w:rPr>
              <w:t>，最小纵坡</w:t>
            </w:r>
            <w:r>
              <w:rPr>
                <w:rFonts w:ascii="宋体" w:hAnsi="宋体" w:eastAsia="宋体" w:cs="宋体"/>
                <w:sz w:val="20"/>
                <w:szCs w:val="20"/>
              </w:rPr>
              <w:t xml:space="preserve"> </w:t>
            </w:r>
            <w:r>
              <w:rPr>
                <w:rFonts w:ascii="Times New Roman" w:hAnsi="Times New Roman" w:eastAsia="Times New Roman" w:cs="Times New Roman"/>
                <w:sz w:val="20"/>
                <w:szCs w:val="20"/>
              </w:rPr>
              <w:t xml:space="preserve">0.3% </w:t>
            </w:r>
            <w:r>
              <w:rPr>
                <w:rFonts w:ascii="宋体" w:hAnsi="宋体" w:eastAsia="宋体" w:cs="宋体"/>
                <w:sz w:val="20"/>
                <w:szCs w:val="20"/>
              </w:rPr>
              <w:t xml:space="preserve">，最小坡长 </w:t>
            </w:r>
            <w:r>
              <w:rPr>
                <w:rFonts w:ascii="Times New Roman" w:hAnsi="Times New Roman" w:eastAsia="Times New Roman" w:cs="Times New Roman"/>
                <w:sz w:val="20"/>
                <w:szCs w:val="20"/>
              </w:rPr>
              <w:t xml:space="preserve">135m </w:t>
            </w:r>
            <w:r>
              <w:rPr>
                <w:rFonts w:ascii="宋体" w:hAnsi="宋体" w:eastAsia="宋体" w:cs="宋体"/>
                <w:sz w:val="20"/>
                <w:szCs w:val="20"/>
              </w:rPr>
              <w:t xml:space="preserve">。凸曲线半径为 </w:t>
            </w:r>
            <w:r>
              <w:rPr>
                <w:rFonts w:ascii="Times New Roman" w:hAnsi="Times New Roman" w:eastAsia="Times New Roman" w:cs="Times New Roman"/>
                <w:sz w:val="20"/>
                <w:szCs w:val="20"/>
              </w:rPr>
              <w:t xml:space="preserve">2000 </w:t>
            </w:r>
            <w:r>
              <w:rPr>
                <w:rFonts w:ascii="宋体" w:hAnsi="宋体" w:eastAsia="宋体" w:cs="宋体"/>
                <w:sz w:val="20"/>
                <w:szCs w:val="20"/>
              </w:rPr>
              <w:t xml:space="preserve">，竖曲线长度 </w:t>
            </w:r>
            <w:r>
              <w:rPr>
                <w:rFonts w:ascii="宋体" w:hAnsi="宋体" w:eastAsia="宋体" w:cs="宋体"/>
                <w:spacing w:val="6"/>
                <w:sz w:val="20"/>
                <w:szCs w:val="20"/>
              </w:rPr>
              <w:t xml:space="preserve">为 </w:t>
            </w:r>
            <w:r>
              <w:rPr>
                <w:rFonts w:ascii="Times New Roman" w:hAnsi="Times New Roman" w:eastAsia="Times New Roman" w:cs="Times New Roman"/>
                <w:spacing w:val="6"/>
                <w:sz w:val="20"/>
                <w:szCs w:val="20"/>
              </w:rPr>
              <w:t>12</w:t>
            </w:r>
            <w:r>
              <w:rPr>
                <w:rFonts w:ascii="Times New Roman" w:hAnsi="Times New Roman" w:eastAsia="Times New Roman" w:cs="Times New Roman"/>
                <w:spacing w:val="3"/>
                <w:sz w:val="20"/>
                <w:szCs w:val="20"/>
              </w:rPr>
              <w:t>0</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。道路纵断面线形均满足 </w:t>
            </w:r>
            <w:r>
              <w:rPr>
                <w:rFonts w:ascii="Times New Roman" w:hAnsi="Times New Roman" w:eastAsia="Times New Roman" w:cs="Times New Roman"/>
                <w:spacing w:val="3"/>
                <w:sz w:val="20"/>
                <w:szCs w:val="20"/>
              </w:rPr>
              <w:t>40</w:t>
            </w:r>
            <w:r>
              <w:rPr>
                <w:rFonts w:ascii="Times New Roman" w:hAnsi="Times New Roman" w:eastAsia="Times New Roman" w:cs="Times New Roman"/>
                <w:sz w:val="20"/>
                <w:szCs w:val="20"/>
              </w:rPr>
              <w:t>km</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h</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行车速度的技术要求。</w:t>
            </w:r>
          </w:p>
          <w:p>
            <w:pPr>
              <w:spacing w:line="2988" w:lineRule="exact"/>
              <w:ind w:firstLine="644"/>
              <w:textAlignment w:val="center"/>
            </w:pPr>
            <w:r>
              <w:drawing>
                <wp:inline distT="0" distB="0" distL="0" distR="0">
                  <wp:extent cx="4441825" cy="1897380"/>
                  <wp:effectExtent l="0" t="0" r="0" b="0"/>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168"/>
                          <a:stretch>
                            <a:fillRect/>
                          </a:stretch>
                        </pic:blipFill>
                        <pic:spPr>
                          <a:xfrm>
                            <a:off x="0" y="0"/>
                            <a:ext cx="4442459" cy="1897380"/>
                          </a:xfrm>
                          <a:prstGeom prst="rect">
                            <a:avLst/>
                          </a:prstGeom>
                        </pic:spPr>
                      </pic:pic>
                    </a:graphicData>
                  </a:graphic>
                </wp:inline>
              </w:drawing>
            </w:r>
          </w:p>
          <w:p>
            <w:pPr>
              <w:spacing w:before="41" w:line="368" w:lineRule="exact"/>
              <w:ind w:left="2970"/>
              <w:rPr>
                <w:rFonts w:ascii="黑体" w:hAnsi="黑体" w:eastAsia="黑体" w:cs="黑体"/>
                <w:sz w:val="19"/>
                <w:szCs w:val="19"/>
              </w:rPr>
            </w:pPr>
            <w:r>
              <w:pict>
                <v:shape id="_x0000_s1056" o:spid="_x0000_s1056" style="position:absolute;left:0pt;margin-left:25.95pt;margin-top:20.3pt;height:10.55pt;width:10.55pt;z-index:251677696;mso-width-relative:page;mso-height-relative:page;" filled="f" stroked="t" coordsize="211,211" path="m210,105c210,163,163,210,105,210c47,210,0,163,0,105c0,47,47,0,105,0c163,0,210,47,210,105e">
                  <v:fill on="f" focussize="0,0"/>
                  <v:stroke weight="0.05pt" color="#000000" miterlimit="2" joinstyle="bevel" endcap="square"/>
                  <v:imagedata o:title=""/>
                  <o:lock v:ext="edit"/>
                </v:shape>
              </w:pict>
            </w:r>
            <w:r>
              <w:rPr>
                <w:rFonts w:ascii="黑体" w:hAnsi="黑体" w:eastAsia="黑体" w:cs="黑体"/>
                <w:spacing w:val="14"/>
                <w:position w:val="13"/>
                <w:sz w:val="19"/>
                <w:szCs w:val="19"/>
              </w:rPr>
              <w:t>图</w:t>
            </w:r>
            <w:r>
              <w:rPr>
                <w:rFonts w:ascii="Times New Roman" w:hAnsi="Times New Roman" w:eastAsia="Times New Roman" w:cs="Times New Roman"/>
                <w:spacing w:val="9"/>
                <w:position w:val="13"/>
                <w:sz w:val="19"/>
                <w:szCs w:val="19"/>
              </w:rPr>
              <w:t>1</w:t>
            </w:r>
            <w:r>
              <w:rPr>
                <w:rFonts w:ascii="Times New Roman" w:hAnsi="Times New Roman" w:eastAsia="Times New Roman" w:cs="Times New Roman"/>
                <w:spacing w:val="7"/>
                <w:position w:val="13"/>
                <w:sz w:val="19"/>
                <w:szCs w:val="19"/>
              </w:rPr>
              <w:t>0</w:t>
            </w:r>
            <w:r>
              <w:rPr>
                <w:rFonts w:ascii="黑体" w:hAnsi="黑体" w:eastAsia="黑体" w:cs="黑体"/>
                <w:spacing w:val="7"/>
                <w:position w:val="13"/>
                <w:sz w:val="19"/>
                <w:szCs w:val="19"/>
              </w:rPr>
              <w:t>：桥梁纵断面设计面图</w:t>
            </w:r>
          </w:p>
          <w:p>
            <w:pPr>
              <w:spacing w:line="227" w:lineRule="auto"/>
              <w:ind w:left="588"/>
              <w:rPr>
                <w:rFonts w:ascii="宋体" w:hAnsi="宋体" w:eastAsia="宋体" w:cs="宋体"/>
                <w:sz w:val="20"/>
                <w:szCs w:val="20"/>
              </w:rPr>
            </w:pPr>
            <w:r>
              <w:rPr>
                <w:rFonts w:ascii="宋体" w:hAnsi="宋体" w:eastAsia="宋体" w:cs="宋体"/>
                <w:spacing w:val="14"/>
                <w:sz w:val="17"/>
                <w:szCs w:val="17"/>
              </w:rPr>
              <w:t>2</w:t>
            </w:r>
            <w:r>
              <w:rPr>
                <w:rFonts w:ascii="宋体" w:hAnsi="宋体" w:eastAsia="宋体" w:cs="宋体"/>
                <w:spacing w:val="7"/>
                <w:sz w:val="17"/>
                <w:szCs w:val="17"/>
              </w:rPr>
              <w:t xml:space="preserve">   </w:t>
            </w:r>
            <w:r>
              <w:rPr>
                <w:rFonts w:ascii="宋体" w:hAnsi="宋体" w:eastAsia="宋体" w:cs="宋体"/>
                <w:spacing w:val="7"/>
                <w:sz w:val="20"/>
                <w:szCs w:val="20"/>
              </w:rPr>
              <w:t>同步实施西岸接线滨河路：</w:t>
            </w:r>
          </w:p>
          <w:p>
            <w:pPr>
              <w:spacing w:before="118" w:line="322" w:lineRule="auto"/>
              <w:ind w:left="106" w:right="34" w:firstLine="424"/>
              <w:rPr>
                <w:rFonts w:ascii="宋体" w:hAnsi="宋体" w:eastAsia="宋体" w:cs="宋体"/>
                <w:sz w:val="20"/>
                <w:szCs w:val="20"/>
              </w:rPr>
            </w:pPr>
            <w:r>
              <w:rPr>
                <w:rFonts w:ascii="宋体" w:hAnsi="宋体" w:eastAsia="宋体" w:cs="宋体"/>
                <w:spacing w:val="-6"/>
                <w:sz w:val="20"/>
                <w:szCs w:val="20"/>
              </w:rPr>
              <w:t>设</w:t>
            </w:r>
            <w:r>
              <w:rPr>
                <w:rFonts w:ascii="宋体" w:hAnsi="宋体" w:eastAsia="宋体" w:cs="宋体"/>
                <w:spacing w:val="-3"/>
                <w:sz w:val="20"/>
                <w:szCs w:val="20"/>
              </w:rPr>
              <w:t xml:space="preserve">计范围内最大纵坡 </w:t>
            </w:r>
            <w:r>
              <w:rPr>
                <w:rFonts w:ascii="Times New Roman" w:hAnsi="Times New Roman" w:eastAsia="Times New Roman" w:cs="Times New Roman"/>
                <w:spacing w:val="-3"/>
                <w:sz w:val="20"/>
                <w:szCs w:val="20"/>
              </w:rPr>
              <w:t>1. 13%</w:t>
            </w:r>
            <w:r>
              <w:rPr>
                <w:rFonts w:ascii="宋体" w:hAnsi="宋体" w:eastAsia="宋体" w:cs="宋体"/>
                <w:spacing w:val="-3"/>
                <w:sz w:val="20"/>
                <w:szCs w:val="20"/>
              </w:rPr>
              <w:t xml:space="preserve">，最小纵坡 </w:t>
            </w:r>
            <w:r>
              <w:rPr>
                <w:rFonts w:ascii="Times New Roman" w:hAnsi="Times New Roman" w:eastAsia="Times New Roman" w:cs="Times New Roman"/>
                <w:spacing w:val="-3"/>
                <w:sz w:val="20"/>
                <w:szCs w:val="20"/>
              </w:rPr>
              <w:t>0.3%</w:t>
            </w:r>
            <w:r>
              <w:rPr>
                <w:rFonts w:ascii="宋体" w:hAnsi="宋体" w:eastAsia="宋体" w:cs="宋体"/>
                <w:spacing w:val="-3"/>
                <w:sz w:val="20"/>
                <w:szCs w:val="20"/>
              </w:rPr>
              <w:t xml:space="preserve">，凸曲线半径为 </w:t>
            </w:r>
            <w:r>
              <w:rPr>
                <w:rFonts w:ascii="Times New Roman" w:hAnsi="Times New Roman" w:eastAsia="Times New Roman" w:cs="Times New Roman"/>
                <w:spacing w:val="-3"/>
                <w:sz w:val="20"/>
                <w:szCs w:val="20"/>
              </w:rPr>
              <w:t>6000m</w:t>
            </w:r>
            <w:r>
              <w:rPr>
                <w:rFonts w:ascii="宋体" w:hAnsi="宋体" w:eastAsia="宋体" w:cs="宋体"/>
                <w:spacing w:val="-3"/>
                <w:sz w:val="20"/>
                <w:szCs w:val="20"/>
              </w:rPr>
              <w:t xml:space="preserve">，竖曲线长度 </w:t>
            </w:r>
            <w:r>
              <w:rPr>
                <w:rFonts w:ascii="Times New Roman" w:hAnsi="Times New Roman" w:eastAsia="Times New Roman" w:cs="Times New Roman"/>
                <w:spacing w:val="-3"/>
                <w:sz w:val="20"/>
                <w:szCs w:val="20"/>
              </w:rPr>
              <w:t>85m</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12"/>
                <w:sz w:val="20"/>
                <w:szCs w:val="20"/>
              </w:rPr>
              <w:t>道路</w:t>
            </w:r>
            <w:r>
              <w:rPr>
                <w:rFonts w:ascii="宋体" w:hAnsi="宋体" w:eastAsia="宋体" w:cs="宋体"/>
                <w:spacing w:val="10"/>
                <w:sz w:val="20"/>
                <w:szCs w:val="20"/>
              </w:rPr>
              <w:t>纵</w:t>
            </w:r>
            <w:r>
              <w:rPr>
                <w:rFonts w:ascii="宋体" w:hAnsi="宋体" w:eastAsia="宋体" w:cs="宋体"/>
                <w:spacing w:val="6"/>
                <w:sz w:val="20"/>
                <w:szCs w:val="20"/>
              </w:rPr>
              <w:t xml:space="preserve">断面线形均满足 </w:t>
            </w:r>
            <w:r>
              <w:rPr>
                <w:rFonts w:ascii="Times New Roman" w:hAnsi="Times New Roman" w:eastAsia="Times New Roman" w:cs="Times New Roman"/>
                <w:spacing w:val="6"/>
                <w:sz w:val="20"/>
                <w:szCs w:val="20"/>
              </w:rPr>
              <w:t>30</w:t>
            </w:r>
            <w:r>
              <w:rPr>
                <w:rFonts w:ascii="Times New Roman" w:hAnsi="Times New Roman" w:eastAsia="Times New Roman" w:cs="Times New Roman"/>
                <w:sz w:val="20"/>
                <w:szCs w:val="20"/>
              </w:rPr>
              <w:t>km</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h</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行车速度的技术要求。</w:t>
            </w:r>
          </w:p>
          <w:tbl>
            <w:tblPr>
              <w:tblStyle w:val="4"/>
              <w:tblW w:w="7050" w:type="dxa"/>
              <w:tblInd w:w="625"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7050"/>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3195" w:hRule="atLeast"/>
              </w:trPr>
              <w:tc>
                <w:tcPr>
                  <w:tcW w:w="7050" w:type="dxa"/>
                  <w:vAlign w:val="top"/>
                </w:tcPr>
                <w:p>
                  <w:pPr>
                    <w:spacing w:line="3195" w:lineRule="exact"/>
                    <w:textAlignment w:val="center"/>
                  </w:pPr>
                  <w:r>
                    <w:drawing>
                      <wp:inline distT="0" distB="0" distL="0" distR="0">
                        <wp:extent cx="4464050" cy="202882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69"/>
                                <a:stretch>
                                  <a:fillRect/>
                                </a:stretch>
                              </pic:blipFill>
                              <pic:spPr>
                                <a:xfrm>
                                  <a:off x="0" y="0"/>
                                  <a:ext cx="4464050" cy="2028825"/>
                                </a:xfrm>
                                <a:prstGeom prst="rect">
                                  <a:avLst/>
                                </a:prstGeom>
                              </pic:spPr>
                            </pic:pic>
                          </a:graphicData>
                        </a:graphic>
                      </wp:inline>
                    </w:drawing>
                  </w:r>
                </w:p>
              </w:tc>
            </w:tr>
          </w:tbl>
          <w:p>
            <w:pPr>
              <w:spacing w:before="63" w:line="231" w:lineRule="auto"/>
              <w:ind w:left="2471"/>
              <w:rPr>
                <w:rFonts w:ascii="黑体" w:hAnsi="黑体" w:eastAsia="黑体" w:cs="黑体"/>
                <w:sz w:val="19"/>
                <w:szCs w:val="19"/>
              </w:rPr>
            </w:pPr>
            <w:r>
              <w:rPr>
                <w:rFonts w:ascii="黑体" w:hAnsi="黑体" w:eastAsia="黑体" w:cs="黑体"/>
                <w:spacing w:val="12"/>
                <w:sz w:val="19"/>
                <w:szCs w:val="19"/>
              </w:rPr>
              <w:t>图</w:t>
            </w:r>
            <w:r>
              <w:rPr>
                <w:rFonts w:ascii="Times New Roman" w:hAnsi="Times New Roman" w:eastAsia="Times New Roman" w:cs="Times New Roman"/>
                <w:spacing w:val="8"/>
                <w:sz w:val="19"/>
                <w:szCs w:val="19"/>
              </w:rPr>
              <w:t>11</w:t>
            </w:r>
            <w:r>
              <w:rPr>
                <w:rFonts w:ascii="黑体" w:hAnsi="黑体" w:eastAsia="黑体" w:cs="黑体"/>
                <w:spacing w:val="8"/>
                <w:sz w:val="19"/>
                <w:szCs w:val="19"/>
              </w:rPr>
              <w:t>：西岸接线滨河路纵断面设计面图</w:t>
            </w:r>
          </w:p>
          <w:p>
            <w:pPr>
              <w:spacing w:before="130" w:line="228" w:lineRule="auto"/>
              <w:ind w:left="537"/>
              <w:rPr>
                <w:rFonts w:ascii="宋体" w:hAnsi="宋体" w:eastAsia="宋体" w:cs="宋体"/>
                <w:sz w:val="20"/>
                <w:szCs w:val="20"/>
              </w:rPr>
            </w:pPr>
            <w:r>
              <w:rPr>
                <w:rFonts w:ascii="宋体" w:hAnsi="宋体" w:eastAsia="宋体" w:cs="宋体"/>
                <w:spacing w:val="2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6"/>
                <w:sz w:val="20"/>
                <w:szCs w:val="20"/>
              </w:rPr>
              <w:t>4</w:t>
            </w: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宋体" w:hAnsi="宋体" w:eastAsia="宋体" w:cs="宋体"/>
                <w:spacing w:val="16"/>
                <w:sz w:val="20"/>
                <w:szCs w:val="20"/>
              </w:rPr>
              <w:t xml:space="preserve"> </w:t>
            </w:r>
            <w:r>
              <w:rPr>
                <w:rFonts w:ascii="宋体" w:hAnsi="宋体" w:eastAsia="宋体" w:cs="宋体"/>
                <w:spacing w:val="16"/>
                <w:sz w:val="20"/>
                <w:szCs w:val="20"/>
                <w14:textOutline w14:w="3795" w14:cap="sq" w14:cmpd="sng">
                  <w14:solidFill>
                    <w14:srgbClr w14:val="000000"/>
                  </w14:solidFill>
                  <w14:prstDash w14:val="solid"/>
                  <w14:bevel/>
                </w14:textOutline>
              </w:rPr>
              <w:t>道路横断面设计</w:t>
            </w:r>
          </w:p>
          <w:p>
            <w:pPr>
              <w:spacing w:before="153" w:line="228" w:lineRule="auto"/>
              <w:ind w:left="528"/>
              <w:rPr>
                <w:rFonts w:ascii="宋体" w:hAnsi="宋体" w:eastAsia="宋体" w:cs="宋体"/>
                <w:sz w:val="20"/>
                <w:szCs w:val="20"/>
              </w:rPr>
            </w:pPr>
            <w:r>
              <w:rPr>
                <w:rFonts w:ascii="宋体" w:hAnsi="宋体" w:eastAsia="宋体" w:cs="宋体"/>
                <w:spacing w:val="6"/>
                <w:sz w:val="20"/>
                <w:szCs w:val="20"/>
              </w:rPr>
              <w:t>规</w:t>
            </w:r>
            <w:r>
              <w:rPr>
                <w:rFonts w:ascii="宋体" w:hAnsi="宋体" w:eastAsia="宋体" w:cs="宋体"/>
                <w:spacing w:val="5"/>
                <w:sz w:val="20"/>
                <w:szCs w:val="20"/>
              </w:rPr>
              <w:t>划</w:t>
            </w:r>
            <w:r>
              <w:rPr>
                <w:rFonts w:ascii="宋体" w:hAnsi="宋体" w:eastAsia="宋体" w:cs="宋体"/>
                <w:spacing w:val="3"/>
                <w:sz w:val="20"/>
                <w:szCs w:val="20"/>
              </w:rPr>
              <w:t xml:space="preserve">道路红线宽度 </w:t>
            </w:r>
            <w:r>
              <w:rPr>
                <w:rFonts w:ascii="Times New Roman" w:hAnsi="Times New Roman" w:eastAsia="Times New Roman" w:cs="Times New Roman"/>
                <w:spacing w:val="3"/>
                <w:sz w:val="20"/>
                <w:szCs w:val="20"/>
              </w:rPr>
              <w:t>34.5</w:t>
            </w:r>
            <w:r>
              <w:rPr>
                <w:rFonts w:ascii="Times New Roman" w:hAnsi="Times New Roman" w:eastAsia="Times New Roman" w:cs="Times New Roman"/>
                <w:sz w:val="20"/>
                <w:szCs w:val="20"/>
              </w:rPr>
              <w:t>m</w:t>
            </w:r>
            <w:r>
              <w:rPr>
                <w:rFonts w:ascii="宋体" w:hAnsi="宋体" w:eastAsia="宋体" w:cs="宋体"/>
                <w:spacing w:val="3"/>
                <w:sz w:val="20"/>
                <w:szCs w:val="20"/>
              </w:rPr>
              <w:t>。</w:t>
            </w:r>
          </w:p>
          <w:p>
            <w:pPr>
              <w:spacing w:before="154" w:line="369" w:lineRule="auto"/>
              <w:ind w:left="106" w:right="102" w:firstLine="421"/>
              <w:rPr>
                <w:rFonts w:ascii="宋体" w:hAnsi="宋体" w:eastAsia="宋体" w:cs="宋体"/>
                <w:sz w:val="20"/>
                <w:szCs w:val="20"/>
              </w:rPr>
            </w:pPr>
            <w:r>
              <w:rPr>
                <w:rFonts w:ascii="宋体" w:hAnsi="宋体" w:eastAsia="宋体" w:cs="宋体"/>
                <w:spacing w:val="14"/>
                <w:sz w:val="20"/>
                <w:szCs w:val="20"/>
              </w:rPr>
              <w:t>本项</w:t>
            </w:r>
            <w:r>
              <w:rPr>
                <w:rFonts w:ascii="宋体" w:hAnsi="宋体" w:eastAsia="宋体" w:cs="宋体"/>
                <w:spacing w:val="9"/>
                <w:sz w:val="20"/>
                <w:szCs w:val="20"/>
              </w:rPr>
              <w:t>目</w:t>
            </w:r>
            <w:r>
              <w:rPr>
                <w:rFonts w:ascii="宋体" w:hAnsi="宋体" w:eastAsia="宋体" w:cs="宋体"/>
                <w:spacing w:val="7"/>
                <w:sz w:val="20"/>
                <w:szCs w:val="20"/>
              </w:rPr>
              <w:t>设计考虑结合桥梁施工对东侧江湾路进行拓宽改造，以及同步实施西侧接线滨</w:t>
            </w:r>
            <w:r>
              <w:rPr>
                <w:rFonts w:ascii="宋体" w:hAnsi="宋体" w:eastAsia="宋体" w:cs="宋体"/>
                <w:sz w:val="20"/>
                <w:szCs w:val="20"/>
              </w:rPr>
              <w:t xml:space="preserve"> </w:t>
            </w:r>
            <w:r>
              <w:rPr>
                <w:rFonts w:ascii="宋体" w:hAnsi="宋体" w:eastAsia="宋体" w:cs="宋体"/>
                <w:spacing w:val="14"/>
                <w:sz w:val="20"/>
                <w:szCs w:val="20"/>
              </w:rPr>
              <w:t>河路路</w:t>
            </w:r>
            <w:r>
              <w:rPr>
                <w:rFonts w:ascii="宋体" w:hAnsi="宋体" w:eastAsia="宋体" w:cs="宋体"/>
                <w:spacing w:val="10"/>
                <w:sz w:val="20"/>
                <w:szCs w:val="20"/>
              </w:rPr>
              <w:t>口</w:t>
            </w:r>
            <w:r>
              <w:rPr>
                <w:rFonts w:ascii="宋体" w:hAnsi="宋体" w:eastAsia="宋体" w:cs="宋体"/>
                <w:spacing w:val="7"/>
                <w:sz w:val="20"/>
                <w:szCs w:val="20"/>
              </w:rPr>
              <w:t>段，做好衔接及交通组织设计；设计交叉口与本工程同步实施，以便实现本通道</w:t>
            </w:r>
          </w:p>
          <w:p>
            <w:pPr>
              <w:spacing w:before="1" w:line="227" w:lineRule="auto"/>
              <w:ind w:left="111"/>
              <w:rPr>
                <w:rFonts w:ascii="宋体" w:hAnsi="宋体" w:eastAsia="宋体" w:cs="宋体"/>
                <w:sz w:val="20"/>
                <w:szCs w:val="20"/>
              </w:rPr>
            </w:pPr>
            <w:r>
              <w:rPr>
                <w:rFonts w:ascii="宋体" w:hAnsi="宋体" w:eastAsia="宋体" w:cs="宋体"/>
                <w:spacing w:val="9"/>
                <w:sz w:val="20"/>
                <w:szCs w:val="20"/>
              </w:rPr>
              <w:t>交</w:t>
            </w:r>
            <w:r>
              <w:rPr>
                <w:rFonts w:ascii="宋体" w:hAnsi="宋体" w:eastAsia="宋体" w:cs="宋体"/>
                <w:spacing w:val="7"/>
                <w:sz w:val="20"/>
                <w:szCs w:val="20"/>
              </w:rPr>
              <w:t>通功能的完整性。</w:t>
            </w:r>
          </w:p>
          <w:p>
            <w:pPr>
              <w:spacing w:before="117" w:line="379" w:lineRule="auto"/>
              <w:ind w:left="117" w:right="103" w:firstLine="409"/>
              <w:rPr>
                <w:rFonts w:ascii="Times New Roman" w:hAnsi="Times New Roman" w:eastAsia="Times New Roman" w:cs="Times New Roman"/>
                <w:sz w:val="20"/>
                <w:szCs w:val="20"/>
              </w:rPr>
            </w:pPr>
            <w:r>
              <w:rPr>
                <w:rFonts w:ascii="宋体" w:hAnsi="宋体" w:eastAsia="宋体" w:cs="宋体"/>
                <w:spacing w:val="12"/>
                <w:sz w:val="20"/>
                <w:szCs w:val="20"/>
              </w:rPr>
              <w:t>桥面横</w:t>
            </w:r>
            <w:r>
              <w:rPr>
                <w:rFonts w:ascii="宋体" w:hAnsi="宋体" w:eastAsia="宋体" w:cs="宋体"/>
                <w:spacing w:val="10"/>
                <w:sz w:val="20"/>
                <w:szCs w:val="20"/>
              </w:rPr>
              <w:t>断</w:t>
            </w:r>
            <w:r>
              <w:rPr>
                <w:rFonts w:ascii="宋体" w:hAnsi="宋体" w:eastAsia="宋体" w:cs="宋体"/>
                <w:spacing w:val="6"/>
                <w:sz w:val="20"/>
                <w:szCs w:val="20"/>
              </w:rPr>
              <w:t>面：</w:t>
            </w:r>
            <w:r>
              <w:rPr>
                <w:rFonts w:ascii="Times New Roman" w:hAnsi="Times New Roman" w:eastAsia="Times New Roman" w:cs="Times New Roman"/>
                <w:spacing w:val="6"/>
                <w:sz w:val="20"/>
                <w:szCs w:val="20"/>
              </w:rPr>
              <w:t>4</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 xml:space="preserve">(人行道) </w:t>
            </w:r>
            <w:r>
              <w:rPr>
                <w:rFonts w:ascii="Times New Roman" w:hAnsi="Times New Roman" w:eastAsia="Times New Roman" w:cs="Times New Roman"/>
                <w:spacing w:val="6"/>
                <w:sz w:val="20"/>
                <w:szCs w:val="20"/>
              </w:rPr>
              <w:t>+2</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 xml:space="preserve">(塔区) </w:t>
            </w:r>
            <w:r>
              <w:rPr>
                <w:rFonts w:ascii="Times New Roman" w:hAnsi="Times New Roman" w:eastAsia="Times New Roman" w:cs="Times New Roman"/>
                <w:spacing w:val="6"/>
                <w:sz w:val="20"/>
                <w:szCs w:val="20"/>
              </w:rPr>
              <w:t>+0.5</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 xml:space="preserve">(护栏) </w:t>
            </w:r>
            <w:r>
              <w:rPr>
                <w:rFonts w:ascii="Times New Roman" w:hAnsi="Times New Roman" w:eastAsia="Times New Roman" w:cs="Times New Roman"/>
                <w:spacing w:val="6"/>
                <w:sz w:val="20"/>
                <w:szCs w:val="20"/>
              </w:rPr>
              <w:t>+ 10.5</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 xml:space="preserve">(机动车道) </w:t>
            </w:r>
            <w:r>
              <w:rPr>
                <w:rFonts w:ascii="Times New Roman" w:hAnsi="Times New Roman" w:eastAsia="Times New Roman" w:cs="Times New Roman"/>
                <w:spacing w:val="6"/>
                <w:sz w:val="20"/>
                <w:szCs w:val="20"/>
              </w:rPr>
              <w:t>+0.5</w:t>
            </w:r>
            <w:r>
              <w:rPr>
                <w:rFonts w:ascii="Times New Roman" w:hAnsi="Times New Roman" w:eastAsia="Times New Roman" w:cs="Times New Roman"/>
                <w:sz w:val="20"/>
                <w:szCs w:val="20"/>
              </w:rPr>
              <w:t xml:space="preserve">m </w:t>
            </w:r>
            <w:r>
              <w:rPr>
                <w:rFonts w:ascii="宋体" w:hAnsi="宋体" w:eastAsia="宋体" w:cs="宋体"/>
                <w:spacing w:val="14"/>
                <w:sz w:val="20"/>
                <w:szCs w:val="20"/>
              </w:rPr>
              <w:t>(</w:t>
            </w:r>
            <w:r>
              <w:rPr>
                <w:rFonts w:ascii="宋体" w:hAnsi="宋体" w:eastAsia="宋体" w:cs="宋体"/>
                <w:spacing w:val="7"/>
                <w:sz w:val="20"/>
                <w:szCs w:val="20"/>
              </w:rPr>
              <w:t xml:space="preserve">中央护栏) </w:t>
            </w:r>
            <w:r>
              <w:rPr>
                <w:rFonts w:ascii="Times New Roman" w:hAnsi="Times New Roman" w:eastAsia="Times New Roman" w:cs="Times New Roman"/>
                <w:spacing w:val="7"/>
                <w:sz w:val="20"/>
                <w:szCs w:val="20"/>
              </w:rPr>
              <w:t>+ 10.5</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 xml:space="preserve">(机动车道) </w:t>
            </w:r>
            <w:r>
              <w:rPr>
                <w:rFonts w:ascii="Times New Roman" w:hAnsi="Times New Roman" w:eastAsia="Times New Roman" w:cs="Times New Roman"/>
                <w:spacing w:val="7"/>
                <w:sz w:val="20"/>
                <w:szCs w:val="20"/>
              </w:rPr>
              <w:t>+0.5</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 xml:space="preserve">(护栏) </w:t>
            </w:r>
            <w:r>
              <w:rPr>
                <w:rFonts w:ascii="Times New Roman" w:hAnsi="Times New Roman" w:eastAsia="Times New Roman" w:cs="Times New Roman"/>
                <w:spacing w:val="7"/>
                <w:sz w:val="20"/>
                <w:szCs w:val="20"/>
              </w:rPr>
              <w:t>+2</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 xml:space="preserve">(塔区) </w:t>
            </w:r>
            <w:r>
              <w:rPr>
                <w:rFonts w:ascii="Times New Roman" w:hAnsi="Times New Roman" w:eastAsia="Times New Roman" w:cs="Times New Roman"/>
                <w:spacing w:val="7"/>
                <w:sz w:val="20"/>
                <w:szCs w:val="20"/>
              </w:rPr>
              <w:t>+4</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 xml:space="preserve">(人行道) </w:t>
            </w:r>
            <w:r>
              <w:rPr>
                <w:rFonts w:ascii="Times New Roman" w:hAnsi="Times New Roman" w:eastAsia="Times New Roman" w:cs="Times New Roman"/>
                <w:spacing w:val="7"/>
                <w:sz w:val="20"/>
                <w:szCs w:val="20"/>
              </w:rPr>
              <w:t>=34.5</w:t>
            </w:r>
            <w:r>
              <w:rPr>
                <w:rFonts w:ascii="Times New Roman" w:hAnsi="Times New Roman" w:eastAsia="Times New Roman" w:cs="Times New Roman"/>
                <w:sz w:val="20"/>
                <w:szCs w:val="20"/>
              </w:rPr>
              <w:t>m</w:t>
            </w:r>
          </w:p>
          <w:p>
            <w:pPr>
              <w:tabs>
                <w:tab w:val="left" w:pos="217"/>
              </w:tabs>
              <w:spacing w:before="15" w:line="330" w:lineRule="auto"/>
              <w:ind w:left="103" w:right="70" w:firstLine="428"/>
              <w:rPr>
                <w:rFonts w:ascii="宋体" w:hAnsi="宋体" w:eastAsia="宋体" w:cs="宋体"/>
                <w:sz w:val="20"/>
                <w:szCs w:val="20"/>
              </w:rPr>
            </w:pPr>
            <w:r>
              <w:rPr>
                <w:rFonts w:ascii="宋体" w:hAnsi="宋体" w:eastAsia="宋体" w:cs="宋体"/>
                <w:spacing w:val="14"/>
                <w:sz w:val="20"/>
                <w:szCs w:val="20"/>
              </w:rPr>
              <w:t>西岸接线</w:t>
            </w:r>
            <w:r>
              <w:rPr>
                <w:rFonts w:ascii="宋体" w:hAnsi="宋体" w:eastAsia="宋体" w:cs="宋体"/>
                <w:spacing w:val="9"/>
                <w:sz w:val="20"/>
                <w:szCs w:val="20"/>
              </w:rPr>
              <w:t>滨</w:t>
            </w:r>
            <w:r>
              <w:rPr>
                <w:rFonts w:ascii="宋体" w:hAnsi="宋体" w:eastAsia="宋体" w:cs="宋体"/>
                <w:spacing w:val="7"/>
                <w:sz w:val="20"/>
                <w:szCs w:val="20"/>
              </w:rPr>
              <w:t>河路 (设计实施范围即滨河路与高家坝大桥交叉口展宽段) 道路横断面：</w:t>
            </w:r>
            <w:r>
              <w:rPr>
                <w:rFonts w:ascii="宋体" w:hAnsi="宋体" w:eastAsia="宋体" w:cs="宋体"/>
                <w:sz w:val="20"/>
                <w:szCs w:val="20"/>
              </w:rPr>
              <w:t xml:space="preserve"> </w:t>
            </w:r>
            <w:r>
              <w:rPr>
                <w:rFonts w:ascii="Times New Roman" w:hAnsi="Times New Roman" w:eastAsia="Times New Roman" w:cs="Times New Roman"/>
                <w:spacing w:val="4"/>
                <w:sz w:val="20"/>
                <w:szCs w:val="20"/>
              </w:rPr>
              <w:t>2</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(人行道) </w:t>
            </w:r>
            <w:r>
              <w:rPr>
                <w:rFonts w:ascii="Times New Roman" w:hAnsi="Times New Roman" w:eastAsia="Times New Roman" w:cs="Times New Roman"/>
                <w:spacing w:val="4"/>
                <w:sz w:val="20"/>
                <w:szCs w:val="20"/>
              </w:rPr>
              <w:t>+0.25</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(路缘带</w:t>
            </w:r>
            <w:r>
              <w:rPr>
                <w:rFonts w:ascii="宋体" w:hAnsi="宋体" w:eastAsia="宋体" w:cs="宋体"/>
                <w:spacing w:val="2"/>
                <w:sz w:val="20"/>
                <w:szCs w:val="20"/>
              </w:rPr>
              <w:t xml:space="preserve">) </w:t>
            </w:r>
            <w:r>
              <w:rPr>
                <w:rFonts w:ascii="Times New Roman" w:hAnsi="Times New Roman" w:eastAsia="Times New Roman" w:cs="Times New Roman"/>
                <w:spacing w:val="2"/>
                <w:sz w:val="20"/>
                <w:szCs w:val="20"/>
              </w:rPr>
              <w:t>+7</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(机动车道) </w:t>
            </w:r>
            <w:r>
              <w:rPr>
                <w:rFonts w:ascii="Times New Roman" w:hAnsi="Times New Roman" w:eastAsia="Times New Roman" w:cs="Times New Roman"/>
                <w:spacing w:val="2"/>
                <w:sz w:val="20"/>
                <w:szCs w:val="20"/>
              </w:rPr>
              <w:t>+0.5</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(双黄线) </w:t>
            </w:r>
            <w:r>
              <w:rPr>
                <w:rFonts w:ascii="Times New Roman" w:hAnsi="Times New Roman" w:eastAsia="Times New Roman" w:cs="Times New Roman"/>
                <w:spacing w:val="2"/>
                <w:sz w:val="20"/>
                <w:szCs w:val="20"/>
              </w:rPr>
              <w:t>+9.75</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(车行道) </w:t>
            </w:r>
            <w:r>
              <w:rPr>
                <w:rFonts w:ascii="Times New Roman" w:hAnsi="Times New Roman" w:eastAsia="Times New Roman" w:cs="Times New Roman"/>
                <w:spacing w:val="2"/>
                <w:sz w:val="20"/>
                <w:szCs w:val="20"/>
              </w:rPr>
              <w:t>+0.25</w:t>
            </w:r>
            <w:r>
              <w:rPr>
                <w:rFonts w:ascii="Times New Roman" w:hAnsi="Times New Roman" w:eastAsia="Times New Roman" w:cs="Times New Roman"/>
                <w:sz w:val="20"/>
                <w:szCs w:val="20"/>
              </w:rPr>
              <w:t xml:space="preserve">m </w:t>
            </w:r>
            <w:r>
              <w:rPr>
                <w:rFonts w:ascii="宋体" w:hAnsi="宋体" w:eastAsia="宋体" w:cs="宋体"/>
                <w:sz w:val="20"/>
                <w:szCs w:val="20"/>
              </w:rPr>
              <w:tab/>
            </w:r>
            <w:r>
              <w:rPr>
                <w:rFonts w:ascii="宋体" w:hAnsi="宋体" w:eastAsia="宋体" w:cs="宋体"/>
                <w:spacing w:val="6"/>
                <w:sz w:val="20"/>
                <w:szCs w:val="20"/>
              </w:rPr>
              <w:t xml:space="preserve">(路缘带) </w:t>
            </w:r>
            <w:r>
              <w:rPr>
                <w:rFonts w:ascii="Times New Roman" w:hAnsi="Times New Roman" w:eastAsia="Times New Roman" w:cs="Times New Roman"/>
                <w:spacing w:val="6"/>
                <w:sz w:val="20"/>
                <w:szCs w:val="20"/>
              </w:rPr>
              <w:t>+2</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 xml:space="preserve">(人行道) </w:t>
            </w:r>
            <w:r>
              <w:rPr>
                <w:rFonts w:ascii="Times New Roman" w:hAnsi="Times New Roman" w:eastAsia="Times New Roman" w:cs="Times New Roman"/>
                <w:spacing w:val="6"/>
                <w:sz w:val="20"/>
                <w:szCs w:val="20"/>
              </w:rPr>
              <w:t>=21.75</w:t>
            </w:r>
            <w:r>
              <w:rPr>
                <w:rFonts w:ascii="Times New Roman" w:hAnsi="Times New Roman" w:eastAsia="Times New Roman" w:cs="Times New Roman"/>
                <w:sz w:val="20"/>
                <w:szCs w:val="20"/>
              </w:rPr>
              <w:t>m</w:t>
            </w:r>
            <w:r>
              <w:rPr>
                <w:rFonts w:ascii="宋体" w:hAnsi="宋体" w:eastAsia="宋体" w:cs="宋体"/>
                <w:spacing w:val="5"/>
                <w:sz w:val="20"/>
                <w:szCs w:val="20"/>
              </w:rPr>
              <w:t>。</w:t>
            </w:r>
          </w:p>
        </w:tc>
      </w:tr>
    </w:tbl>
    <w:p>
      <w:pPr>
        <w:spacing w:line="159" w:lineRule="exact"/>
        <w:rPr>
          <w:rFonts w:ascii="Arial"/>
          <w:sz w:val="13"/>
        </w:rPr>
      </w:pPr>
    </w:p>
    <w:p>
      <w:pPr>
        <w:sectPr>
          <w:footerReference r:id="rId31" w:type="default"/>
          <w:pgSz w:w="11906" w:h="16839"/>
          <w:pgMar w:top="400" w:right="1487" w:bottom="1475" w:left="1486" w:header="0" w:footer="1315" w:gutter="0"/>
          <w:cols w:space="720" w:num="1"/>
        </w:sectPr>
      </w:pPr>
    </w:p>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8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70" w:hRule="atLeast"/>
        </w:trPr>
        <w:tc>
          <w:tcPr>
            <w:tcW w:w="600" w:type="dxa"/>
            <w:tcBorders>
              <w:left w:val="single" w:color="00000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28" w:lineRule="auto"/>
              <w:ind w:left="91"/>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p>
            <w:pPr>
              <w:spacing w:before="26" w:line="229" w:lineRule="auto"/>
              <w:ind w:left="9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组</w:t>
            </w:r>
            <w:r>
              <w:rPr>
                <w:rFonts w:ascii="宋体" w:hAnsi="宋体" w:eastAsia="宋体" w:cs="宋体"/>
                <w:spacing w:val="4"/>
                <w:sz w:val="20"/>
                <w:szCs w:val="20"/>
                <w14:textOutline w14:w="3795" w14:cap="sq" w14:cmpd="sng">
                  <w14:solidFill>
                    <w14:srgbClr w14:val="000000"/>
                  </w14:solidFill>
                  <w14:prstDash w14:val="solid"/>
                  <w14:bevel/>
                </w14:textOutline>
              </w:rPr>
              <w:t>成</w:t>
            </w:r>
          </w:p>
          <w:p>
            <w:pPr>
              <w:spacing w:before="22" w:line="230" w:lineRule="auto"/>
              <w:ind w:left="8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及规</w:t>
            </w:r>
          </w:p>
          <w:p>
            <w:pPr>
              <w:spacing w:before="24" w:line="228" w:lineRule="auto"/>
              <w:ind w:left="190"/>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模</w:t>
            </w:r>
          </w:p>
        </w:tc>
        <w:tc>
          <w:tcPr>
            <w:tcW w:w="8317" w:type="dxa"/>
            <w:tcBorders>
              <w:right w:val="single" w:color="000000" w:sz="6" w:space="0"/>
            </w:tcBorders>
            <w:vAlign w:val="top"/>
          </w:tcPr>
          <w:p>
            <w:pPr>
              <w:spacing w:before="144" w:line="228" w:lineRule="auto"/>
              <w:ind w:left="537"/>
              <w:rPr>
                <w:rFonts w:ascii="宋体" w:hAnsi="宋体" w:eastAsia="宋体" w:cs="宋体"/>
                <w:sz w:val="20"/>
                <w:szCs w:val="20"/>
              </w:rPr>
            </w:pPr>
            <w:r>
              <w:rPr>
                <w:rFonts w:ascii="宋体" w:hAnsi="宋体" w:eastAsia="宋体" w:cs="宋体"/>
                <w:spacing w:val="17"/>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7"/>
                <w:sz w:val="20"/>
                <w:szCs w:val="20"/>
              </w:rPr>
              <w:t>5</w:t>
            </w:r>
            <w:r>
              <w:rPr>
                <w:rFonts w:ascii="宋体" w:hAnsi="宋体" w:eastAsia="宋体" w:cs="宋体"/>
                <w:spacing w:val="17"/>
                <w:sz w:val="20"/>
                <w:szCs w:val="20"/>
                <w14:textOutline w14:w="3795" w14:cap="sq" w14:cmpd="sng">
                  <w14:solidFill>
                    <w14:srgbClr w14:val="000000"/>
                  </w14:solidFill>
                  <w14:prstDash w14:val="solid"/>
                  <w14:bevel/>
                </w14:textOutline>
              </w:rPr>
              <w:t>)</w:t>
            </w:r>
            <w:r>
              <w:rPr>
                <w:rFonts w:ascii="宋体" w:hAnsi="宋体" w:eastAsia="宋体" w:cs="宋体"/>
                <w:spacing w:val="17"/>
                <w:sz w:val="20"/>
                <w:szCs w:val="20"/>
              </w:rPr>
              <w:t xml:space="preserve"> </w:t>
            </w:r>
            <w:r>
              <w:rPr>
                <w:rFonts w:ascii="宋体" w:hAnsi="宋体" w:eastAsia="宋体" w:cs="宋体"/>
                <w:spacing w:val="17"/>
                <w:sz w:val="20"/>
                <w:szCs w:val="20"/>
                <w14:textOutline w14:w="3795" w14:cap="sq" w14:cmpd="sng">
                  <w14:solidFill>
                    <w14:srgbClr w14:val="000000"/>
                  </w14:solidFill>
                  <w14:prstDash w14:val="solid"/>
                  <w14:bevel/>
                </w14:textOutline>
              </w:rPr>
              <w:t>路基设计方</w:t>
            </w:r>
            <w:r>
              <w:rPr>
                <w:rFonts w:ascii="宋体" w:hAnsi="宋体" w:eastAsia="宋体" w:cs="宋体"/>
                <w:spacing w:val="16"/>
                <w:sz w:val="20"/>
                <w:szCs w:val="20"/>
                <w14:textOutline w14:w="3795" w14:cap="sq" w14:cmpd="sng">
                  <w14:solidFill>
                    <w14:srgbClr w14:val="000000"/>
                  </w14:solidFill>
                  <w14:prstDash w14:val="solid"/>
                  <w14:bevel/>
                </w14:textOutline>
              </w:rPr>
              <w:t>案</w:t>
            </w:r>
          </w:p>
          <w:p>
            <w:pPr>
              <w:tabs>
                <w:tab w:val="left" w:pos="599"/>
              </w:tabs>
              <w:spacing w:before="153" w:line="228" w:lineRule="auto"/>
              <w:ind w:left="519"/>
              <w:rPr>
                <w:rFonts w:ascii="宋体" w:hAnsi="宋体" w:eastAsia="宋体" w:cs="宋体"/>
                <w:sz w:val="20"/>
                <w:szCs w:val="20"/>
              </w:rPr>
            </w:pPr>
            <w:r>
              <w:rPr>
                <w:rFonts w:ascii="宋体" w:hAnsi="宋体" w:eastAsia="宋体" w:cs="宋体"/>
                <w:sz w:val="17"/>
                <w:szCs w:val="17"/>
              </w:rPr>
              <w:tab/>
            </w:r>
            <w:r>
              <w:rPr>
                <w:rFonts w:ascii="宋体" w:hAnsi="宋体" w:eastAsia="宋体" w:cs="宋体"/>
                <w:spacing w:val="8"/>
                <w:sz w:val="17"/>
                <w:szCs w:val="17"/>
              </w:rPr>
              <w:t>1</w:t>
            </w:r>
            <w:r>
              <w:rPr>
                <w:rFonts w:ascii="宋体" w:hAnsi="宋体" w:eastAsia="宋体" w:cs="宋体"/>
                <w:spacing w:val="6"/>
                <w:sz w:val="17"/>
                <w:szCs w:val="17"/>
              </w:rPr>
              <w:t xml:space="preserve"> </w:t>
            </w:r>
            <w:r>
              <w:rPr>
                <w:rFonts w:ascii="宋体" w:hAnsi="宋体" w:eastAsia="宋体" w:cs="宋体"/>
                <w:spacing w:val="4"/>
                <w:sz w:val="17"/>
                <w:szCs w:val="17"/>
              </w:rPr>
              <w:t xml:space="preserve">  </w:t>
            </w:r>
            <w:r>
              <w:rPr>
                <w:rFonts w:ascii="宋体" w:hAnsi="宋体" w:eastAsia="宋体" w:cs="宋体"/>
                <w:spacing w:val="4"/>
                <w:sz w:val="20"/>
                <w:szCs w:val="20"/>
              </w:rPr>
              <w:t>路基高度</w:t>
            </w:r>
          </w:p>
          <w:p>
            <w:pPr>
              <w:spacing w:before="153" w:line="369" w:lineRule="auto"/>
              <w:ind w:left="107" w:right="34" w:firstLine="421"/>
              <w:rPr>
                <w:rFonts w:ascii="宋体" w:hAnsi="宋体" w:eastAsia="宋体" w:cs="宋体"/>
                <w:sz w:val="20"/>
                <w:szCs w:val="20"/>
              </w:rPr>
            </w:pPr>
            <w:r>
              <w:rPr>
                <w:rFonts w:ascii="宋体" w:hAnsi="宋体" w:eastAsia="宋体" w:cs="宋体"/>
                <w:spacing w:val="14"/>
                <w:sz w:val="20"/>
                <w:szCs w:val="20"/>
              </w:rPr>
              <w:t>路</w:t>
            </w:r>
            <w:r>
              <w:rPr>
                <w:rFonts w:ascii="宋体" w:hAnsi="宋体" w:eastAsia="宋体" w:cs="宋体"/>
                <w:spacing w:val="13"/>
                <w:sz w:val="20"/>
                <w:szCs w:val="20"/>
              </w:rPr>
              <w:t>基</w:t>
            </w:r>
            <w:r>
              <w:rPr>
                <w:rFonts w:ascii="宋体" w:hAnsi="宋体" w:eastAsia="宋体" w:cs="宋体"/>
                <w:spacing w:val="7"/>
                <w:sz w:val="20"/>
                <w:szCs w:val="20"/>
              </w:rPr>
              <w:t>高度主要受起终点既有衔接道路路面高程、被交道路的净高、桥台处填土高度控</w:t>
            </w:r>
            <w:r>
              <w:rPr>
                <w:rFonts w:ascii="宋体" w:hAnsi="宋体" w:eastAsia="宋体" w:cs="宋体"/>
                <w:sz w:val="20"/>
                <w:szCs w:val="20"/>
              </w:rPr>
              <w:t xml:space="preserve"> </w:t>
            </w:r>
            <w:r>
              <w:rPr>
                <w:rFonts w:ascii="宋体" w:hAnsi="宋体" w:eastAsia="宋体" w:cs="宋体"/>
                <w:spacing w:val="8"/>
                <w:sz w:val="20"/>
                <w:szCs w:val="20"/>
              </w:rPr>
              <w:t>制</w:t>
            </w:r>
            <w:r>
              <w:rPr>
                <w:rFonts w:ascii="宋体" w:hAnsi="宋体" w:eastAsia="宋体" w:cs="宋体"/>
                <w:spacing w:val="5"/>
                <w:sz w:val="20"/>
                <w:szCs w:val="20"/>
              </w:rPr>
              <w:t>。</w:t>
            </w:r>
            <w:r>
              <w:rPr>
                <w:rFonts w:ascii="宋体" w:hAnsi="宋体" w:eastAsia="宋体" w:cs="宋体"/>
                <w:spacing w:val="4"/>
                <w:sz w:val="20"/>
                <w:szCs w:val="20"/>
              </w:rPr>
              <w:t>本项目位于城区，城市防洪体系比较完善，项目内部需设置完善的地下管网排水系统。</w:t>
            </w:r>
            <w:r>
              <w:rPr>
                <w:rFonts w:ascii="宋体" w:hAnsi="宋体" w:eastAsia="宋体" w:cs="宋体"/>
                <w:sz w:val="20"/>
                <w:szCs w:val="20"/>
              </w:rPr>
              <w:t xml:space="preserve"> </w:t>
            </w:r>
            <w:r>
              <w:rPr>
                <w:rFonts w:ascii="宋体" w:hAnsi="宋体" w:eastAsia="宋体" w:cs="宋体"/>
                <w:spacing w:val="14"/>
                <w:sz w:val="20"/>
                <w:szCs w:val="20"/>
              </w:rPr>
              <w:t>为了方</w:t>
            </w:r>
            <w:r>
              <w:rPr>
                <w:rFonts w:ascii="宋体" w:hAnsi="宋体" w:eastAsia="宋体" w:cs="宋体"/>
                <w:spacing w:val="9"/>
                <w:sz w:val="20"/>
                <w:szCs w:val="20"/>
              </w:rPr>
              <w:t>便</w:t>
            </w:r>
            <w:r>
              <w:rPr>
                <w:rFonts w:ascii="宋体" w:hAnsi="宋体" w:eastAsia="宋体" w:cs="宋体"/>
                <w:spacing w:val="7"/>
                <w:sz w:val="20"/>
                <w:szCs w:val="20"/>
              </w:rPr>
              <w:t>两侧土地开发利用，通道与既有道路的路基填土高度不宜过高，基本与规划地块</w:t>
            </w:r>
            <w:r>
              <w:rPr>
                <w:rFonts w:ascii="宋体" w:hAnsi="宋体" w:eastAsia="宋体" w:cs="宋体"/>
                <w:sz w:val="20"/>
                <w:szCs w:val="20"/>
              </w:rPr>
              <w:t xml:space="preserve"> </w:t>
            </w:r>
            <w:r>
              <w:rPr>
                <w:rFonts w:ascii="宋体" w:hAnsi="宋体" w:eastAsia="宋体" w:cs="宋体"/>
                <w:spacing w:val="3"/>
                <w:sz w:val="20"/>
                <w:szCs w:val="20"/>
              </w:rPr>
              <w:t>齐平。</w:t>
            </w:r>
          </w:p>
          <w:p>
            <w:pPr>
              <w:spacing w:line="227" w:lineRule="auto"/>
              <w:ind w:left="588"/>
              <w:rPr>
                <w:rFonts w:ascii="宋体" w:hAnsi="宋体" w:eastAsia="宋体" w:cs="宋体"/>
                <w:sz w:val="20"/>
                <w:szCs w:val="20"/>
              </w:rPr>
            </w:pPr>
            <w:r>
              <w:rPr>
                <w:rFonts w:ascii="宋体" w:hAnsi="宋体" w:eastAsia="宋体" w:cs="宋体"/>
                <w:spacing w:val="6"/>
                <w:sz w:val="17"/>
                <w:szCs w:val="17"/>
              </w:rPr>
              <w:t xml:space="preserve">2   </w:t>
            </w:r>
            <w:r>
              <w:rPr>
                <w:rFonts w:ascii="宋体" w:hAnsi="宋体" w:eastAsia="宋体" w:cs="宋体"/>
                <w:spacing w:val="6"/>
                <w:sz w:val="20"/>
                <w:szCs w:val="20"/>
              </w:rPr>
              <w:t>路基边坡</w:t>
            </w:r>
          </w:p>
          <w:p>
            <w:pPr>
              <w:spacing w:before="154" w:line="369" w:lineRule="auto"/>
              <w:ind w:left="102" w:right="102" w:firstLine="425"/>
              <w:rPr>
                <w:rFonts w:ascii="宋体" w:hAnsi="宋体" w:eastAsia="宋体" w:cs="宋体"/>
                <w:sz w:val="20"/>
                <w:szCs w:val="20"/>
              </w:rPr>
            </w:pPr>
            <w:r>
              <w:rPr>
                <w:rFonts w:ascii="宋体" w:hAnsi="宋体" w:eastAsia="宋体" w:cs="宋体"/>
                <w:spacing w:val="14"/>
                <w:sz w:val="20"/>
                <w:szCs w:val="20"/>
              </w:rPr>
              <w:t>本次</w:t>
            </w:r>
            <w:r>
              <w:rPr>
                <w:rFonts w:ascii="宋体" w:hAnsi="宋体" w:eastAsia="宋体" w:cs="宋体"/>
                <w:spacing w:val="9"/>
                <w:sz w:val="20"/>
                <w:szCs w:val="20"/>
              </w:rPr>
              <w:t>设</w:t>
            </w:r>
            <w:r>
              <w:rPr>
                <w:rFonts w:ascii="宋体" w:hAnsi="宋体" w:eastAsia="宋体" w:cs="宋体"/>
                <w:spacing w:val="7"/>
                <w:sz w:val="20"/>
                <w:szCs w:val="20"/>
              </w:rPr>
              <w:t>计考虑同步实施西岸接线滨河路路口范围，设计范围内均为填方路段且无高填</w:t>
            </w:r>
            <w:r>
              <w:rPr>
                <w:rFonts w:ascii="宋体" w:hAnsi="宋体" w:eastAsia="宋体" w:cs="宋体"/>
                <w:sz w:val="20"/>
                <w:szCs w:val="20"/>
              </w:rPr>
              <w:t xml:space="preserve"> </w:t>
            </w:r>
            <w:r>
              <w:rPr>
                <w:rFonts w:ascii="宋体" w:hAnsi="宋体" w:eastAsia="宋体" w:cs="宋体"/>
                <w:spacing w:val="-1"/>
                <w:sz w:val="20"/>
                <w:szCs w:val="20"/>
              </w:rPr>
              <w:t xml:space="preserve">方路基，最大填高 </w:t>
            </w:r>
            <w:r>
              <w:rPr>
                <w:rFonts w:ascii="Times New Roman" w:hAnsi="Times New Roman" w:eastAsia="Times New Roman" w:cs="Times New Roman"/>
                <w:spacing w:val="-1"/>
                <w:sz w:val="20"/>
                <w:szCs w:val="20"/>
              </w:rPr>
              <w:t>5.2</w:t>
            </w:r>
            <w:r>
              <w:rPr>
                <w:rFonts w:ascii="Times New Roman" w:hAnsi="Times New Roman" w:eastAsia="Times New Roman" w:cs="Times New Roman"/>
                <w:sz w:val="20"/>
                <w:szCs w:val="20"/>
              </w:rPr>
              <w:t>m</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，路基</w:t>
            </w:r>
            <w:r>
              <w:rPr>
                <w:rFonts w:ascii="宋体" w:hAnsi="宋体" w:eastAsia="宋体" w:cs="宋体"/>
                <w:sz w:val="20"/>
                <w:szCs w:val="20"/>
              </w:rPr>
              <w:t xml:space="preserve">填方高度小于 </w:t>
            </w:r>
            <w:r>
              <w:rPr>
                <w:rFonts w:ascii="Times New Roman" w:hAnsi="Times New Roman" w:eastAsia="Times New Roman" w:cs="Times New Roman"/>
                <w:sz w:val="20"/>
                <w:szCs w:val="20"/>
              </w:rPr>
              <w:t xml:space="preserve">8m </w:t>
            </w:r>
            <w:r>
              <w:rPr>
                <w:rFonts w:ascii="宋体" w:hAnsi="宋体" w:eastAsia="宋体" w:cs="宋体"/>
                <w:sz w:val="20"/>
                <w:szCs w:val="20"/>
              </w:rPr>
              <w:t xml:space="preserve">，采用一级边坡，坡率 </w:t>
            </w:r>
            <w:r>
              <w:rPr>
                <w:rFonts w:ascii="Times New Roman" w:hAnsi="Times New Roman" w:eastAsia="Times New Roman" w:cs="Times New Roman"/>
                <w:sz w:val="20"/>
                <w:szCs w:val="20"/>
              </w:rPr>
              <w:t xml:space="preserve">1:1.5 </w:t>
            </w:r>
            <w:r>
              <w:rPr>
                <w:rFonts w:ascii="宋体" w:hAnsi="宋体" w:eastAsia="宋体" w:cs="宋体"/>
                <w:sz w:val="20"/>
                <w:szCs w:val="20"/>
              </w:rPr>
              <w:t xml:space="preserve">。当地面横坡 </w:t>
            </w:r>
            <w:r>
              <w:rPr>
                <w:rFonts w:ascii="宋体" w:hAnsi="宋体" w:eastAsia="宋体" w:cs="宋体"/>
                <w:spacing w:val="14"/>
                <w:sz w:val="20"/>
                <w:szCs w:val="20"/>
              </w:rPr>
              <w:t>陡于</w:t>
            </w:r>
            <w:r>
              <w:rPr>
                <w:rFonts w:ascii="宋体" w:hAnsi="宋体" w:eastAsia="宋体" w:cs="宋体"/>
                <w:spacing w:val="8"/>
                <w:sz w:val="20"/>
                <w:szCs w:val="20"/>
              </w:rPr>
              <w:t xml:space="preserve"> </w:t>
            </w:r>
            <w:r>
              <w:rPr>
                <w:rFonts w:ascii="Times New Roman" w:hAnsi="Times New Roman" w:eastAsia="Times New Roman" w:cs="Times New Roman"/>
                <w:spacing w:val="7"/>
                <w:sz w:val="20"/>
                <w:szCs w:val="20"/>
              </w:rPr>
              <w:t xml:space="preserve">1:5 </w:t>
            </w:r>
            <w:r>
              <w:rPr>
                <w:rFonts w:ascii="宋体" w:hAnsi="宋体" w:eastAsia="宋体" w:cs="宋体"/>
                <w:spacing w:val="7"/>
                <w:sz w:val="20"/>
                <w:szCs w:val="20"/>
              </w:rPr>
              <w:t xml:space="preserve">时，先清除地表覆盖层，将原地面挖成台阶，台阶宽度一般为 </w:t>
            </w:r>
            <w:r>
              <w:rPr>
                <w:rFonts w:ascii="Times New Roman" w:hAnsi="Times New Roman" w:eastAsia="Times New Roman" w:cs="Times New Roman"/>
                <w:spacing w:val="7"/>
                <w:sz w:val="20"/>
                <w:szCs w:val="20"/>
              </w:rPr>
              <w:t>2-4</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，台阶内倾</w:t>
            </w:r>
            <w:r>
              <w:rPr>
                <w:rFonts w:ascii="宋体" w:hAnsi="宋体" w:eastAsia="宋体" w:cs="宋体"/>
                <w:sz w:val="20"/>
                <w:szCs w:val="20"/>
              </w:rPr>
              <w:t xml:space="preserve"> </w:t>
            </w:r>
            <w:r>
              <w:rPr>
                <w:rFonts w:ascii="Times New Roman" w:hAnsi="Times New Roman" w:eastAsia="Times New Roman" w:cs="Times New Roman"/>
                <w:spacing w:val="10"/>
                <w:sz w:val="20"/>
                <w:szCs w:val="20"/>
              </w:rPr>
              <w:t>4</w:t>
            </w:r>
            <w:r>
              <w:rPr>
                <w:rFonts w:ascii="Times New Roman" w:hAnsi="Times New Roman" w:eastAsia="Times New Roman" w:cs="Times New Roman"/>
                <w:spacing w:val="7"/>
                <w:sz w:val="20"/>
                <w:szCs w:val="20"/>
              </w:rPr>
              <w:t>%</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。当地面横坡陡于 </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w:t>
            </w:r>
            <w:r>
              <w:rPr>
                <w:rFonts w:ascii="Times New Roman" w:hAnsi="Times New Roman" w:eastAsia="Times New Roman" w:cs="Times New Roman"/>
                <w:spacing w:val="5"/>
                <w:sz w:val="20"/>
                <w:szCs w:val="20"/>
              </w:rPr>
              <w:t xml:space="preserve">2.5 </w:t>
            </w:r>
            <w:r>
              <w:rPr>
                <w:rFonts w:ascii="宋体" w:hAnsi="宋体" w:eastAsia="宋体" w:cs="宋体"/>
                <w:spacing w:val="5"/>
                <w:sz w:val="20"/>
                <w:szCs w:val="20"/>
              </w:rPr>
              <w:t>时，需在路堤中部设置土工格栅或设置支挡工程，保证路堤</w:t>
            </w:r>
            <w:r>
              <w:rPr>
                <w:rFonts w:ascii="宋体" w:hAnsi="宋体" w:eastAsia="宋体" w:cs="宋体"/>
                <w:sz w:val="20"/>
                <w:szCs w:val="20"/>
              </w:rPr>
              <w:t xml:space="preserve"> </w:t>
            </w:r>
            <w:r>
              <w:rPr>
                <w:rFonts w:ascii="宋体" w:hAnsi="宋体" w:eastAsia="宋体" w:cs="宋体"/>
                <w:spacing w:val="5"/>
                <w:sz w:val="20"/>
                <w:szCs w:val="20"/>
              </w:rPr>
              <w:t>稳定</w:t>
            </w:r>
            <w:r>
              <w:rPr>
                <w:rFonts w:ascii="宋体" w:hAnsi="宋体" w:eastAsia="宋体" w:cs="宋体"/>
                <w:spacing w:val="4"/>
                <w:sz w:val="20"/>
                <w:szCs w:val="20"/>
              </w:rPr>
              <w:t>。</w:t>
            </w:r>
          </w:p>
          <w:p>
            <w:pPr>
              <w:spacing w:before="1" w:line="227" w:lineRule="auto"/>
              <w:ind w:left="590"/>
              <w:rPr>
                <w:rFonts w:ascii="宋体" w:hAnsi="宋体" w:eastAsia="宋体" w:cs="宋体"/>
                <w:sz w:val="20"/>
                <w:szCs w:val="20"/>
              </w:rPr>
            </w:pPr>
            <w:r>
              <w:rPr>
                <w:rFonts w:ascii="宋体" w:hAnsi="宋体" w:eastAsia="宋体" w:cs="宋体"/>
                <w:spacing w:val="6"/>
                <w:sz w:val="17"/>
                <w:szCs w:val="17"/>
              </w:rPr>
              <w:t xml:space="preserve">3   </w:t>
            </w:r>
            <w:r>
              <w:rPr>
                <w:rFonts w:ascii="宋体" w:hAnsi="宋体" w:eastAsia="宋体" w:cs="宋体"/>
                <w:spacing w:val="6"/>
                <w:sz w:val="20"/>
                <w:szCs w:val="20"/>
              </w:rPr>
              <w:t>路基防</w:t>
            </w:r>
            <w:r>
              <w:rPr>
                <w:rFonts w:ascii="宋体" w:hAnsi="宋体" w:eastAsia="宋体" w:cs="宋体"/>
                <w:spacing w:val="5"/>
                <w:sz w:val="20"/>
                <w:szCs w:val="20"/>
              </w:rPr>
              <w:t>护</w:t>
            </w:r>
          </w:p>
          <w:p>
            <w:pPr>
              <w:spacing w:before="154" w:line="369" w:lineRule="auto"/>
              <w:ind w:left="107" w:right="102" w:firstLine="420"/>
              <w:rPr>
                <w:rFonts w:ascii="宋体" w:hAnsi="宋体" w:eastAsia="宋体" w:cs="宋体"/>
                <w:sz w:val="20"/>
                <w:szCs w:val="20"/>
              </w:rPr>
            </w:pPr>
            <w:r>
              <w:rPr>
                <w:rFonts w:ascii="宋体" w:hAnsi="宋体" w:eastAsia="宋体" w:cs="宋体"/>
                <w:spacing w:val="14"/>
                <w:sz w:val="20"/>
                <w:szCs w:val="20"/>
              </w:rPr>
              <w:t>考虑</w:t>
            </w:r>
            <w:r>
              <w:rPr>
                <w:rFonts w:ascii="宋体" w:hAnsi="宋体" w:eastAsia="宋体" w:cs="宋体"/>
                <w:spacing w:val="10"/>
                <w:sz w:val="20"/>
                <w:szCs w:val="20"/>
              </w:rPr>
              <w:t>到</w:t>
            </w:r>
            <w:r>
              <w:rPr>
                <w:rFonts w:ascii="宋体" w:hAnsi="宋体" w:eastAsia="宋体" w:cs="宋体"/>
                <w:spacing w:val="7"/>
                <w:sz w:val="20"/>
                <w:szCs w:val="20"/>
              </w:rPr>
              <w:t>道路与周边环境的整体协调和景观效果，路基坡面采用植草防护。桥台引道路</w:t>
            </w:r>
            <w:r>
              <w:rPr>
                <w:rFonts w:ascii="宋体" w:hAnsi="宋体" w:eastAsia="宋体" w:cs="宋体"/>
                <w:sz w:val="20"/>
                <w:szCs w:val="20"/>
              </w:rPr>
              <w:t xml:space="preserve"> </w:t>
            </w:r>
            <w:r>
              <w:rPr>
                <w:rFonts w:ascii="宋体" w:hAnsi="宋体" w:eastAsia="宋体" w:cs="宋体"/>
                <w:spacing w:val="4"/>
                <w:sz w:val="20"/>
                <w:szCs w:val="20"/>
              </w:rPr>
              <w:t>基采用钢筋砼扶壁式挡墙防护， 以减少占地</w:t>
            </w:r>
            <w:r>
              <w:rPr>
                <w:rFonts w:ascii="宋体" w:hAnsi="宋体" w:eastAsia="宋体" w:cs="宋体"/>
                <w:sz w:val="20"/>
                <w:szCs w:val="20"/>
              </w:rPr>
              <w:t>。</w:t>
            </w:r>
          </w:p>
          <w:p>
            <w:pPr>
              <w:spacing w:before="1" w:line="227" w:lineRule="auto"/>
              <w:ind w:left="585"/>
              <w:rPr>
                <w:rFonts w:ascii="宋体" w:hAnsi="宋体" w:eastAsia="宋体" w:cs="宋体"/>
                <w:sz w:val="20"/>
                <w:szCs w:val="20"/>
              </w:rPr>
            </w:pPr>
            <w:r>
              <w:rPr>
                <w:rFonts w:ascii="宋体" w:hAnsi="宋体" w:eastAsia="宋体" w:cs="宋体"/>
                <w:spacing w:val="14"/>
                <w:sz w:val="17"/>
                <w:szCs w:val="17"/>
              </w:rPr>
              <w:t>4</w:t>
            </w:r>
            <w:r>
              <w:rPr>
                <w:rFonts w:ascii="宋体" w:hAnsi="宋体" w:eastAsia="宋体" w:cs="宋体"/>
                <w:spacing w:val="8"/>
                <w:sz w:val="17"/>
                <w:szCs w:val="17"/>
              </w:rPr>
              <w:t xml:space="preserve">   </w:t>
            </w:r>
            <w:r>
              <w:rPr>
                <w:rFonts w:ascii="宋体" w:hAnsi="宋体" w:eastAsia="宋体" w:cs="宋体"/>
                <w:spacing w:val="8"/>
                <w:sz w:val="20"/>
                <w:szCs w:val="20"/>
              </w:rPr>
              <w:t>桥台后路基的处理及填料要求</w:t>
            </w:r>
          </w:p>
          <w:p>
            <w:pPr>
              <w:spacing w:before="154" w:line="369" w:lineRule="auto"/>
              <w:ind w:left="107" w:right="104" w:firstLine="420"/>
              <w:rPr>
                <w:rFonts w:ascii="宋体" w:hAnsi="宋体" w:eastAsia="宋体" w:cs="宋体"/>
                <w:sz w:val="20"/>
                <w:szCs w:val="20"/>
              </w:rPr>
            </w:pPr>
            <w:r>
              <w:rPr>
                <w:rFonts w:ascii="宋体" w:hAnsi="宋体" w:eastAsia="宋体" w:cs="宋体"/>
                <w:spacing w:val="12"/>
                <w:sz w:val="20"/>
                <w:szCs w:val="20"/>
              </w:rPr>
              <w:t>桥头</w:t>
            </w:r>
            <w:r>
              <w:rPr>
                <w:rFonts w:ascii="宋体" w:hAnsi="宋体" w:eastAsia="宋体" w:cs="宋体"/>
                <w:spacing w:val="6"/>
                <w:sz w:val="20"/>
                <w:szCs w:val="20"/>
              </w:rPr>
              <w:t>路基填土较高，为减小桥头路基沉降差异，避免</w:t>
            </w:r>
            <w:r>
              <w:rPr>
                <w:rFonts w:ascii="Times New Roman" w:hAnsi="Times New Roman" w:eastAsia="Times New Roman" w:cs="Times New Roman"/>
                <w:spacing w:val="6"/>
                <w:sz w:val="20"/>
                <w:szCs w:val="20"/>
              </w:rPr>
              <w:t>“</w:t>
            </w:r>
            <w:r>
              <w:rPr>
                <w:rFonts w:ascii="宋体" w:hAnsi="宋体" w:eastAsia="宋体" w:cs="宋体"/>
                <w:spacing w:val="6"/>
                <w:sz w:val="20"/>
                <w:szCs w:val="20"/>
              </w:rPr>
              <w:t>跳车</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，台后路基采用级配碎石</w:t>
            </w:r>
            <w:r>
              <w:rPr>
                <w:rFonts w:ascii="宋体" w:hAnsi="宋体" w:eastAsia="宋体" w:cs="宋体"/>
                <w:sz w:val="20"/>
                <w:szCs w:val="20"/>
              </w:rPr>
              <w:t xml:space="preserve"> </w:t>
            </w:r>
            <w:r>
              <w:rPr>
                <w:rFonts w:ascii="宋体" w:hAnsi="宋体" w:eastAsia="宋体" w:cs="宋体"/>
                <w:spacing w:val="8"/>
                <w:sz w:val="20"/>
                <w:szCs w:val="20"/>
              </w:rPr>
              <w:t>材料</w:t>
            </w:r>
            <w:r>
              <w:rPr>
                <w:rFonts w:ascii="宋体" w:hAnsi="宋体" w:eastAsia="宋体" w:cs="宋体"/>
                <w:spacing w:val="4"/>
                <w:sz w:val="20"/>
                <w:szCs w:val="20"/>
              </w:rPr>
              <w:t xml:space="preserve">分层填筑和压实度为 </w:t>
            </w:r>
            <w:r>
              <w:rPr>
                <w:rFonts w:ascii="Times New Roman" w:hAnsi="Times New Roman" w:eastAsia="Times New Roman" w:cs="Times New Roman"/>
                <w:spacing w:val="4"/>
                <w:sz w:val="20"/>
                <w:szCs w:val="20"/>
              </w:rPr>
              <w:t>96%</w:t>
            </w:r>
            <w:r>
              <w:rPr>
                <w:rFonts w:ascii="宋体" w:hAnsi="宋体" w:eastAsia="宋体" w:cs="宋体"/>
                <w:spacing w:val="4"/>
                <w:sz w:val="20"/>
                <w:szCs w:val="20"/>
              </w:rPr>
              <w:t>。</w:t>
            </w:r>
          </w:p>
          <w:p>
            <w:pPr>
              <w:spacing w:line="227" w:lineRule="auto"/>
              <w:ind w:left="527"/>
              <w:rPr>
                <w:rFonts w:ascii="宋体" w:hAnsi="宋体" w:eastAsia="宋体" w:cs="宋体"/>
                <w:sz w:val="20"/>
                <w:szCs w:val="20"/>
              </w:rPr>
            </w:pPr>
            <w:r>
              <w:rPr>
                <w:rFonts w:ascii="宋体" w:hAnsi="宋体" w:eastAsia="宋体" w:cs="宋体"/>
                <w:spacing w:val="15"/>
                <w:sz w:val="20"/>
                <w:szCs w:val="20"/>
              </w:rPr>
              <w:t>加</w:t>
            </w:r>
            <w:r>
              <w:rPr>
                <w:rFonts w:ascii="宋体" w:hAnsi="宋体" w:eastAsia="宋体" w:cs="宋体"/>
                <w:spacing w:val="9"/>
                <w:sz w:val="20"/>
                <w:szCs w:val="20"/>
              </w:rPr>
              <w:t>强桥梁与两端路面的接缝处理，避免因之产生桥头跳车。</w:t>
            </w:r>
          </w:p>
          <w:p>
            <w:pPr>
              <w:spacing w:before="154" w:line="228" w:lineRule="auto"/>
              <w:ind w:left="590"/>
              <w:rPr>
                <w:rFonts w:ascii="宋体" w:hAnsi="宋体" w:eastAsia="宋体" w:cs="宋体"/>
                <w:sz w:val="20"/>
                <w:szCs w:val="20"/>
              </w:rPr>
            </w:pPr>
            <w:r>
              <w:rPr>
                <w:rFonts w:ascii="宋体" w:hAnsi="宋体" w:eastAsia="宋体" w:cs="宋体"/>
                <w:spacing w:val="12"/>
                <w:sz w:val="17"/>
                <w:szCs w:val="17"/>
              </w:rPr>
              <w:t>5</w:t>
            </w:r>
            <w:r>
              <w:rPr>
                <w:rFonts w:ascii="宋体" w:hAnsi="宋体" w:eastAsia="宋体" w:cs="宋体"/>
                <w:spacing w:val="7"/>
                <w:sz w:val="17"/>
                <w:szCs w:val="17"/>
              </w:rPr>
              <w:t xml:space="preserve"> </w:t>
            </w:r>
            <w:r>
              <w:rPr>
                <w:rFonts w:ascii="宋体" w:hAnsi="宋体" w:eastAsia="宋体" w:cs="宋体"/>
                <w:spacing w:val="6"/>
                <w:sz w:val="17"/>
                <w:szCs w:val="17"/>
              </w:rPr>
              <w:t xml:space="preserve">  </w:t>
            </w:r>
            <w:r>
              <w:rPr>
                <w:rFonts w:ascii="宋体" w:hAnsi="宋体" w:eastAsia="宋体" w:cs="宋体"/>
                <w:spacing w:val="6"/>
                <w:sz w:val="20"/>
                <w:szCs w:val="20"/>
              </w:rPr>
              <w:t>路基防护设计</w:t>
            </w:r>
          </w:p>
          <w:p>
            <w:pPr>
              <w:spacing w:before="155" w:line="369" w:lineRule="auto"/>
              <w:ind w:left="109" w:right="103" w:firstLine="421"/>
              <w:rPr>
                <w:rFonts w:ascii="宋体" w:hAnsi="宋体" w:eastAsia="宋体" w:cs="宋体"/>
                <w:sz w:val="20"/>
                <w:szCs w:val="20"/>
              </w:rPr>
            </w:pPr>
            <w:r>
              <w:rPr>
                <w:rFonts w:ascii="宋体" w:hAnsi="宋体" w:eastAsia="宋体" w:cs="宋体"/>
                <w:spacing w:val="14"/>
                <w:sz w:val="20"/>
                <w:szCs w:val="20"/>
              </w:rPr>
              <w:t>一般路段</w:t>
            </w:r>
            <w:r>
              <w:rPr>
                <w:rFonts w:ascii="宋体" w:hAnsi="宋体" w:eastAsia="宋体" w:cs="宋体"/>
                <w:spacing w:val="7"/>
                <w:sz w:val="20"/>
                <w:szCs w:val="20"/>
              </w:rPr>
              <w:t xml:space="preserve">填、挖方路基边坡坡率均采用 </w:t>
            </w:r>
            <w:r>
              <w:rPr>
                <w:rFonts w:ascii="Times New Roman" w:hAnsi="Times New Roman" w:eastAsia="Times New Roman" w:cs="Times New Roman"/>
                <w:spacing w:val="7"/>
                <w:sz w:val="20"/>
                <w:szCs w:val="20"/>
              </w:rPr>
              <w:t xml:space="preserve">1:1.5 </w:t>
            </w:r>
            <w:r>
              <w:rPr>
                <w:rFonts w:ascii="宋体" w:hAnsi="宋体" w:eastAsia="宋体" w:cs="宋体"/>
                <w:spacing w:val="7"/>
                <w:sz w:val="20"/>
                <w:szCs w:val="20"/>
              </w:rPr>
              <w:t>，西岸接线滨河路路口设计范围内，当</w:t>
            </w:r>
            <w:r>
              <w:rPr>
                <w:rFonts w:ascii="宋体" w:hAnsi="宋体" w:eastAsia="宋体" w:cs="宋体"/>
                <w:sz w:val="20"/>
                <w:szCs w:val="20"/>
              </w:rPr>
              <w:t xml:space="preserve"> </w:t>
            </w:r>
            <w:r>
              <w:rPr>
                <w:rFonts w:ascii="宋体" w:hAnsi="宋体" w:eastAsia="宋体" w:cs="宋体"/>
                <w:spacing w:val="8"/>
                <w:sz w:val="20"/>
                <w:szCs w:val="20"/>
              </w:rPr>
              <w:t xml:space="preserve">填方边坡高度小于或等于 </w:t>
            </w:r>
            <w:r>
              <w:rPr>
                <w:rFonts w:ascii="Times New Roman" w:hAnsi="Times New Roman" w:eastAsia="Times New Roman" w:cs="Times New Roman"/>
                <w:spacing w:val="8"/>
                <w:sz w:val="20"/>
                <w:szCs w:val="20"/>
              </w:rPr>
              <w:t>3</w:t>
            </w:r>
            <w:r>
              <w:rPr>
                <w:rFonts w:ascii="Times New Roman" w:hAnsi="Times New Roman" w:eastAsia="Times New Roman" w:cs="Times New Roman"/>
                <w:sz w:val="20"/>
                <w:szCs w:val="20"/>
              </w:rPr>
              <w:t>m</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 xml:space="preserve">的路段摊铺草皮防护，当填方边坡高度大于 </w:t>
            </w:r>
            <w:r>
              <w:rPr>
                <w:rFonts w:ascii="Times New Roman" w:hAnsi="Times New Roman" w:eastAsia="Times New Roman" w:cs="Times New Roman"/>
                <w:spacing w:val="8"/>
                <w:sz w:val="20"/>
                <w:szCs w:val="20"/>
              </w:rPr>
              <w:t>3</w:t>
            </w:r>
            <w:r>
              <w:rPr>
                <w:rFonts w:ascii="Times New Roman" w:hAnsi="Times New Roman" w:eastAsia="Times New Roman" w:cs="Times New Roman"/>
                <w:sz w:val="20"/>
                <w:szCs w:val="20"/>
              </w:rPr>
              <w:t>m</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 xml:space="preserve">小等于 </w:t>
            </w:r>
            <w:r>
              <w:rPr>
                <w:rFonts w:ascii="Times New Roman" w:hAnsi="Times New Roman" w:eastAsia="Times New Roman" w:cs="Times New Roman"/>
                <w:spacing w:val="7"/>
                <w:sz w:val="20"/>
                <w:szCs w:val="20"/>
              </w:rPr>
              <w:t>8</w:t>
            </w:r>
            <w:r>
              <w:rPr>
                <w:rFonts w:ascii="Times New Roman" w:hAnsi="Times New Roman" w:eastAsia="Times New Roman" w:cs="Times New Roman"/>
                <w:sz w:val="20"/>
                <w:szCs w:val="20"/>
              </w:rPr>
              <w:t xml:space="preserve">m </w:t>
            </w:r>
            <w:r>
              <w:rPr>
                <w:rFonts w:ascii="宋体" w:hAnsi="宋体" w:eastAsia="宋体" w:cs="宋体"/>
                <w:spacing w:val="12"/>
                <w:sz w:val="20"/>
                <w:szCs w:val="20"/>
              </w:rPr>
              <w:t>时的</w:t>
            </w:r>
            <w:r>
              <w:rPr>
                <w:rFonts w:ascii="宋体" w:hAnsi="宋体" w:eastAsia="宋体" w:cs="宋体"/>
                <w:spacing w:val="6"/>
                <w:sz w:val="20"/>
                <w:szCs w:val="20"/>
              </w:rPr>
              <w:t xml:space="preserve">路段设置三维土工网并喷播植草以及 </w:t>
            </w:r>
            <w:r>
              <w:rPr>
                <w:rFonts w:ascii="Times New Roman" w:hAnsi="Times New Roman" w:eastAsia="Times New Roman" w:cs="Times New Roman"/>
                <w:sz w:val="20"/>
                <w:szCs w:val="20"/>
              </w:rPr>
              <w:t>U</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形钉。</w:t>
            </w:r>
          </w:p>
          <w:p>
            <w:pPr>
              <w:spacing w:before="1" w:line="227" w:lineRule="auto"/>
              <w:ind w:left="588"/>
              <w:rPr>
                <w:rFonts w:ascii="宋体" w:hAnsi="宋体" w:eastAsia="宋体" w:cs="宋体"/>
                <w:sz w:val="20"/>
                <w:szCs w:val="20"/>
              </w:rPr>
            </w:pPr>
            <w:r>
              <w:rPr>
                <w:rFonts w:ascii="宋体" w:hAnsi="宋体" w:eastAsia="宋体" w:cs="宋体"/>
                <w:spacing w:val="10"/>
                <w:sz w:val="17"/>
                <w:szCs w:val="17"/>
              </w:rPr>
              <w:t>6</w:t>
            </w:r>
            <w:r>
              <w:rPr>
                <w:rFonts w:ascii="宋体" w:hAnsi="宋体" w:eastAsia="宋体" w:cs="宋体"/>
                <w:spacing w:val="7"/>
                <w:sz w:val="17"/>
                <w:szCs w:val="17"/>
              </w:rPr>
              <w:t xml:space="preserve">   </w:t>
            </w:r>
            <w:r>
              <w:rPr>
                <w:rFonts w:ascii="宋体" w:hAnsi="宋体" w:eastAsia="宋体" w:cs="宋体"/>
                <w:spacing w:val="7"/>
                <w:sz w:val="20"/>
                <w:szCs w:val="20"/>
              </w:rPr>
              <w:t>一般路基压实度</w:t>
            </w:r>
          </w:p>
          <w:p>
            <w:pPr>
              <w:spacing w:before="129" w:line="230" w:lineRule="auto"/>
              <w:ind w:left="3163"/>
              <w:rPr>
                <w:rFonts w:ascii="黑体" w:hAnsi="黑体" w:eastAsia="黑体" w:cs="黑体"/>
                <w:sz w:val="19"/>
                <w:szCs w:val="19"/>
              </w:rPr>
            </w:pPr>
            <w:r>
              <w:rPr>
                <w:rFonts w:ascii="黑体" w:hAnsi="黑体" w:eastAsia="黑体" w:cs="黑体"/>
                <w:spacing w:val="9"/>
                <w:sz w:val="19"/>
                <w:szCs w:val="19"/>
              </w:rPr>
              <w:t>表</w:t>
            </w:r>
            <w:r>
              <w:rPr>
                <w:rFonts w:ascii="Times New Roman" w:hAnsi="Times New Roman" w:eastAsia="Times New Roman" w:cs="Times New Roman"/>
                <w:spacing w:val="6"/>
                <w:sz w:val="19"/>
                <w:szCs w:val="19"/>
              </w:rPr>
              <w:t xml:space="preserve">12    </w:t>
            </w:r>
            <w:r>
              <w:rPr>
                <w:rFonts w:ascii="黑体" w:hAnsi="黑体" w:eastAsia="黑体" w:cs="黑体"/>
                <w:spacing w:val="6"/>
                <w:sz w:val="19"/>
                <w:szCs w:val="19"/>
              </w:rPr>
              <w:t>一般路基压实度</w:t>
            </w:r>
          </w:p>
          <w:p>
            <w:pPr>
              <w:spacing w:line="70" w:lineRule="auto"/>
              <w:rPr>
                <w:rFonts w:ascii="Arial"/>
                <w:sz w:val="2"/>
              </w:rPr>
            </w:pPr>
          </w:p>
          <w:tbl>
            <w:tblPr>
              <w:tblStyle w:val="4"/>
              <w:tblW w:w="7982" w:type="dxa"/>
              <w:tblInd w:w="1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2"/>
              <w:gridCol w:w="1357"/>
              <w:gridCol w:w="1321"/>
              <w:gridCol w:w="1340"/>
              <w:gridCol w:w="1317"/>
              <w:gridCol w:w="13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659" w:type="dxa"/>
                  <w:gridSpan w:val="2"/>
                  <w:vMerge w:val="restart"/>
                  <w:tcBorders>
                    <w:bottom w:val="nil"/>
                  </w:tcBorders>
                  <w:vAlign w:val="top"/>
                </w:tcPr>
                <w:p>
                  <w:pPr>
                    <w:spacing w:before="274" w:line="230" w:lineRule="auto"/>
                    <w:ind w:left="317"/>
                    <w:rPr>
                      <w:rFonts w:ascii="宋体" w:hAnsi="宋体" w:eastAsia="宋体" w:cs="宋体"/>
                      <w:sz w:val="17"/>
                      <w:szCs w:val="17"/>
                    </w:rPr>
                  </w:pPr>
                  <w:r>
                    <w:rPr>
                      <w:rFonts w:ascii="宋体" w:hAnsi="宋体" w:eastAsia="宋体" w:cs="宋体"/>
                      <w:sz w:val="17"/>
                      <w:szCs w:val="17"/>
                      <w14:textOutline w14:w="3268" w14:cap="sq" w14:cmpd="sng">
                        <w14:solidFill>
                          <w14:srgbClr w14:val="000000"/>
                        </w14:solidFill>
                        <w14:prstDash w14:val="solid"/>
                        <w14:bevel/>
                      </w14:textOutline>
                    </w:rPr>
                    <w:t>路面底面以下深度</w:t>
                  </w:r>
                  <w:r>
                    <w:rPr>
                      <w:rFonts w:ascii="宋体" w:hAnsi="宋体" w:eastAsia="宋体" w:cs="宋体"/>
                      <w:sz w:val="17"/>
                      <w:szCs w:val="17"/>
                    </w:rPr>
                    <w:t xml:space="preserve"> </w:t>
                  </w:r>
                  <w:r>
                    <w:rPr>
                      <w:rFonts w:ascii="宋体" w:hAnsi="宋体" w:eastAsia="宋体" w:cs="宋体"/>
                      <w:sz w:val="17"/>
                      <w:szCs w:val="17"/>
                      <w14:textOutline w14:w="3268" w14:cap="sq" w14:cmpd="sng">
                        <w14:solidFill>
                          <w14:srgbClr w14:val="000000"/>
                        </w14:solidFill>
                        <w14:prstDash w14:val="solid"/>
                        <w14:bevel/>
                      </w14:textOutline>
                    </w:rPr>
                    <w:t>(</w:t>
                  </w:r>
                  <w:r>
                    <w:rPr>
                      <w:rFonts w:ascii="宋体" w:hAnsi="宋体" w:eastAsia="宋体" w:cs="宋体"/>
                      <w:sz w:val="17"/>
                      <w:szCs w:val="17"/>
                    </w:rPr>
                    <w:t xml:space="preserve"> </w:t>
                  </w:r>
                  <w:r>
                    <w:rPr>
                      <w:rFonts w:ascii="Times New Roman" w:hAnsi="Times New Roman" w:eastAsia="Times New Roman" w:cs="Times New Roman"/>
                      <w:b/>
                      <w:bCs/>
                      <w:sz w:val="17"/>
                      <w:szCs w:val="17"/>
                    </w:rPr>
                    <w:t>cm</w:t>
                  </w:r>
                  <w:r>
                    <w:rPr>
                      <w:rFonts w:ascii="Times New Roman" w:hAnsi="Times New Roman" w:eastAsia="Times New Roman" w:cs="Times New Roman"/>
                      <w:sz w:val="17"/>
                      <w:szCs w:val="17"/>
                    </w:rPr>
                    <w:t xml:space="preserve"> </w:t>
                  </w:r>
                  <w:r>
                    <w:rPr>
                      <w:rFonts w:ascii="宋体" w:hAnsi="宋体" w:eastAsia="宋体" w:cs="宋体"/>
                      <w:sz w:val="17"/>
                      <w:szCs w:val="17"/>
                      <w14:textOutline w14:w="3268" w14:cap="sq" w14:cmpd="sng">
                        <w14:solidFill>
                          <w14:srgbClr w14:val="000000"/>
                        </w14:solidFill>
                        <w14:prstDash w14:val="solid"/>
                        <w14:bevel/>
                      </w14:textOutline>
                    </w:rPr>
                    <w:t>)</w:t>
                  </w:r>
                </w:p>
              </w:tc>
              <w:tc>
                <w:tcPr>
                  <w:tcW w:w="2661" w:type="dxa"/>
                  <w:gridSpan w:val="2"/>
                  <w:vAlign w:val="top"/>
                </w:tcPr>
                <w:p>
                  <w:pPr>
                    <w:spacing w:before="101" w:line="231" w:lineRule="auto"/>
                    <w:ind w:left="1065"/>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压实度</w:t>
                  </w:r>
                </w:p>
              </w:tc>
              <w:tc>
                <w:tcPr>
                  <w:tcW w:w="2662" w:type="dxa"/>
                  <w:gridSpan w:val="2"/>
                  <w:vAlign w:val="top"/>
                </w:tcPr>
                <w:p>
                  <w:pPr>
                    <w:spacing w:before="102" w:line="230" w:lineRule="auto"/>
                    <w:ind w:left="1029"/>
                    <w:rPr>
                      <w:rFonts w:ascii="宋体" w:hAnsi="宋体" w:eastAsia="宋体" w:cs="宋体"/>
                      <w:sz w:val="17"/>
                      <w:szCs w:val="17"/>
                    </w:rPr>
                  </w:pPr>
                  <w:r>
                    <w:rPr>
                      <w:rFonts w:ascii="Times New Roman" w:hAnsi="Times New Roman" w:eastAsia="Times New Roman" w:cs="Times New Roman"/>
                      <w:b/>
                      <w:bCs/>
                      <w:sz w:val="17"/>
                      <w:szCs w:val="17"/>
                    </w:rPr>
                    <w:t>CBR</w:t>
                  </w:r>
                  <w:r>
                    <w:rPr>
                      <w:rFonts w:ascii="Times New Roman" w:hAnsi="Times New Roman" w:eastAsia="Times New Roman" w:cs="Times New Roman"/>
                      <w:spacing w:val="13"/>
                      <w:sz w:val="17"/>
                      <w:szCs w:val="17"/>
                    </w:rPr>
                    <w:t xml:space="preserve"> </w:t>
                  </w:r>
                  <w:r>
                    <w:rPr>
                      <w:rFonts w:ascii="宋体" w:hAnsi="宋体" w:eastAsia="宋体" w:cs="宋体"/>
                      <w:spacing w:val="13"/>
                      <w:sz w:val="17"/>
                      <w:szCs w:val="17"/>
                      <w14:textOutline w14:w="3268" w14:cap="sq" w14:cmpd="sng">
                        <w14:solidFill>
                          <w14:srgbClr w14:val="000000"/>
                        </w14:solidFill>
                        <w14:prstDash w14:val="solid"/>
                        <w14:bevel/>
                      </w14:textOutline>
                    </w:rPr>
                    <w:t>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2659" w:type="dxa"/>
                  <w:gridSpan w:val="2"/>
                  <w:vMerge w:val="continue"/>
                  <w:tcBorders>
                    <w:top w:val="nil"/>
                  </w:tcBorders>
                  <w:vAlign w:val="top"/>
                </w:tcPr>
                <w:p>
                  <w:pPr>
                    <w:rPr>
                      <w:rFonts w:ascii="Arial"/>
                      <w:sz w:val="21"/>
                    </w:rPr>
                  </w:pPr>
                </w:p>
              </w:tc>
              <w:tc>
                <w:tcPr>
                  <w:tcW w:w="1321" w:type="dxa"/>
                  <w:vAlign w:val="top"/>
                </w:tcPr>
                <w:p>
                  <w:pPr>
                    <w:spacing w:before="97" w:line="229" w:lineRule="auto"/>
                    <w:ind w:left="397"/>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次干</w:t>
                  </w:r>
                  <w:r>
                    <w:rPr>
                      <w:rFonts w:ascii="宋体" w:hAnsi="宋体" w:eastAsia="宋体" w:cs="宋体"/>
                      <w:spacing w:val="6"/>
                      <w:sz w:val="17"/>
                      <w:szCs w:val="17"/>
                      <w14:textOutline w14:w="3268" w14:cap="sq" w14:cmpd="sng">
                        <w14:solidFill>
                          <w14:srgbClr w14:val="000000"/>
                        </w14:solidFill>
                        <w14:prstDash w14:val="solid"/>
                        <w14:bevel/>
                      </w14:textOutline>
                    </w:rPr>
                    <w:t>路</w:t>
                  </w:r>
                </w:p>
              </w:tc>
              <w:tc>
                <w:tcPr>
                  <w:tcW w:w="1340" w:type="dxa"/>
                  <w:vAlign w:val="top"/>
                </w:tcPr>
                <w:p>
                  <w:pPr>
                    <w:spacing w:before="97" w:line="230" w:lineRule="auto"/>
                    <w:ind w:left="493"/>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支路</w:t>
                  </w:r>
                </w:p>
              </w:tc>
              <w:tc>
                <w:tcPr>
                  <w:tcW w:w="1317" w:type="dxa"/>
                  <w:vAlign w:val="top"/>
                </w:tcPr>
                <w:p>
                  <w:pPr>
                    <w:spacing w:before="97" w:line="229" w:lineRule="auto"/>
                    <w:ind w:left="395"/>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次干</w:t>
                  </w:r>
                  <w:r>
                    <w:rPr>
                      <w:rFonts w:ascii="宋体" w:hAnsi="宋体" w:eastAsia="宋体" w:cs="宋体"/>
                      <w:spacing w:val="6"/>
                      <w:sz w:val="17"/>
                      <w:szCs w:val="17"/>
                      <w14:textOutline w14:w="3268" w14:cap="sq" w14:cmpd="sng">
                        <w14:solidFill>
                          <w14:srgbClr w14:val="000000"/>
                        </w14:solidFill>
                        <w14:prstDash w14:val="solid"/>
                        <w14:bevel/>
                      </w14:textOutline>
                    </w:rPr>
                    <w:t>路</w:t>
                  </w:r>
                </w:p>
              </w:tc>
              <w:tc>
                <w:tcPr>
                  <w:tcW w:w="1345" w:type="dxa"/>
                  <w:vAlign w:val="top"/>
                </w:tcPr>
                <w:p>
                  <w:pPr>
                    <w:spacing w:before="97" w:line="230" w:lineRule="auto"/>
                    <w:ind w:left="495"/>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支路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302" w:type="dxa"/>
                  <w:vMerge w:val="restart"/>
                  <w:tcBorders>
                    <w:bottom w:val="nil"/>
                  </w:tcBorders>
                  <w:vAlign w:val="top"/>
                </w:tcPr>
                <w:p>
                  <w:pPr>
                    <w:spacing w:line="278" w:lineRule="auto"/>
                    <w:rPr>
                      <w:rFonts w:ascii="Arial"/>
                      <w:sz w:val="21"/>
                    </w:rPr>
                  </w:pPr>
                </w:p>
                <w:p>
                  <w:pPr>
                    <w:spacing w:line="278" w:lineRule="auto"/>
                    <w:rPr>
                      <w:rFonts w:ascii="Arial"/>
                      <w:sz w:val="21"/>
                    </w:rPr>
                  </w:pPr>
                </w:p>
                <w:p>
                  <w:pPr>
                    <w:spacing w:before="56" w:line="231" w:lineRule="auto"/>
                    <w:ind w:left="475"/>
                    <w:rPr>
                      <w:rFonts w:ascii="宋体" w:hAnsi="宋体" w:eastAsia="宋体" w:cs="宋体"/>
                      <w:sz w:val="17"/>
                      <w:szCs w:val="17"/>
                    </w:rPr>
                  </w:pPr>
                  <w:r>
                    <w:rPr>
                      <w:rFonts w:ascii="宋体" w:hAnsi="宋体" w:eastAsia="宋体" w:cs="宋体"/>
                      <w:spacing w:val="6"/>
                      <w:sz w:val="17"/>
                      <w:szCs w:val="17"/>
                    </w:rPr>
                    <w:t>填</w:t>
                  </w:r>
                  <w:r>
                    <w:rPr>
                      <w:rFonts w:ascii="宋体" w:hAnsi="宋体" w:eastAsia="宋体" w:cs="宋体"/>
                      <w:spacing w:val="5"/>
                      <w:sz w:val="17"/>
                      <w:szCs w:val="17"/>
                    </w:rPr>
                    <w:t>方</w:t>
                  </w:r>
                </w:p>
              </w:tc>
              <w:tc>
                <w:tcPr>
                  <w:tcW w:w="1357" w:type="dxa"/>
                  <w:vAlign w:val="top"/>
                </w:tcPr>
                <w:p>
                  <w:pPr>
                    <w:spacing w:before="128" w:line="197" w:lineRule="auto"/>
                    <w:ind w:left="49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3"/>
                      <w:sz w:val="17"/>
                      <w:szCs w:val="17"/>
                    </w:rPr>
                    <w:t>~30</w:t>
                  </w:r>
                </w:p>
              </w:tc>
              <w:tc>
                <w:tcPr>
                  <w:tcW w:w="1321" w:type="dxa"/>
                  <w:vAlign w:val="top"/>
                </w:tcPr>
                <w:p>
                  <w:pPr>
                    <w:spacing w:before="64" w:line="243" w:lineRule="exact"/>
                    <w:ind w:left="519"/>
                    <w:rPr>
                      <w:rFonts w:ascii="Times New Roman" w:hAnsi="Times New Roman" w:eastAsia="Times New Roman" w:cs="Times New Roman"/>
                      <w:sz w:val="17"/>
                      <w:szCs w:val="17"/>
                    </w:rPr>
                  </w:pPr>
                  <w:r>
                    <w:rPr>
                      <w:rFonts w:ascii="Times New Roman" w:hAnsi="Times New Roman" w:eastAsia="Times New Roman" w:cs="Times New Roman"/>
                      <w:spacing w:val="6"/>
                      <w:position w:val="2"/>
                      <w:sz w:val="17"/>
                      <w:szCs w:val="17"/>
                    </w:rPr>
                    <w:t>≥</w:t>
                  </w:r>
                  <w:r>
                    <w:rPr>
                      <w:rFonts w:ascii="Times New Roman" w:hAnsi="Times New Roman" w:eastAsia="Times New Roman" w:cs="Times New Roman"/>
                      <w:spacing w:val="4"/>
                      <w:position w:val="2"/>
                      <w:sz w:val="17"/>
                      <w:szCs w:val="17"/>
                    </w:rPr>
                    <w:t>94</w:t>
                  </w:r>
                </w:p>
              </w:tc>
              <w:tc>
                <w:tcPr>
                  <w:tcW w:w="1340" w:type="dxa"/>
                  <w:vAlign w:val="top"/>
                </w:tcPr>
                <w:p>
                  <w:pPr>
                    <w:spacing w:before="64" w:line="243" w:lineRule="exact"/>
                    <w:ind w:left="530"/>
                    <w:rPr>
                      <w:rFonts w:ascii="Times New Roman" w:hAnsi="Times New Roman" w:eastAsia="Times New Roman" w:cs="Times New Roman"/>
                      <w:sz w:val="17"/>
                      <w:szCs w:val="17"/>
                    </w:rPr>
                  </w:pPr>
                  <w:r>
                    <w:rPr>
                      <w:rFonts w:ascii="Times New Roman" w:hAnsi="Times New Roman" w:eastAsia="Times New Roman" w:cs="Times New Roman"/>
                      <w:spacing w:val="6"/>
                      <w:position w:val="2"/>
                      <w:sz w:val="17"/>
                      <w:szCs w:val="17"/>
                    </w:rPr>
                    <w:t>≥</w:t>
                  </w:r>
                  <w:r>
                    <w:rPr>
                      <w:rFonts w:ascii="Times New Roman" w:hAnsi="Times New Roman" w:eastAsia="Times New Roman" w:cs="Times New Roman"/>
                      <w:spacing w:val="4"/>
                      <w:position w:val="2"/>
                      <w:sz w:val="17"/>
                      <w:szCs w:val="17"/>
                    </w:rPr>
                    <w:t>92</w:t>
                  </w:r>
                </w:p>
              </w:tc>
              <w:tc>
                <w:tcPr>
                  <w:tcW w:w="1317" w:type="dxa"/>
                  <w:vAlign w:val="top"/>
                </w:tcPr>
                <w:p>
                  <w:pPr>
                    <w:spacing w:before="128" w:line="197" w:lineRule="auto"/>
                    <w:ind w:left="624"/>
                    <w:rPr>
                      <w:rFonts w:ascii="Times New Roman" w:hAnsi="Times New Roman" w:eastAsia="Times New Roman" w:cs="Times New Roman"/>
                      <w:sz w:val="17"/>
                      <w:szCs w:val="17"/>
                    </w:rPr>
                  </w:pPr>
                  <w:r>
                    <w:rPr>
                      <w:rFonts w:ascii="Times New Roman" w:hAnsi="Times New Roman" w:eastAsia="Times New Roman" w:cs="Times New Roman"/>
                      <w:sz w:val="17"/>
                      <w:szCs w:val="17"/>
                    </w:rPr>
                    <w:t>6</w:t>
                  </w:r>
                </w:p>
              </w:tc>
              <w:tc>
                <w:tcPr>
                  <w:tcW w:w="1345" w:type="dxa"/>
                  <w:vAlign w:val="top"/>
                </w:tcPr>
                <w:p>
                  <w:pPr>
                    <w:spacing w:before="130" w:line="194" w:lineRule="auto"/>
                    <w:ind w:left="635"/>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302" w:type="dxa"/>
                  <w:vMerge w:val="continue"/>
                  <w:tcBorders>
                    <w:top w:val="nil"/>
                    <w:bottom w:val="nil"/>
                  </w:tcBorders>
                  <w:vAlign w:val="top"/>
                </w:tcPr>
                <w:p>
                  <w:pPr>
                    <w:rPr>
                      <w:rFonts w:ascii="Arial"/>
                      <w:sz w:val="21"/>
                    </w:rPr>
                  </w:pPr>
                </w:p>
              </w:tc>
              <w:tc>
                <w:tcPr>
                  <w:tcW w:w="1357" w:type="dxa"/>
                  <w:vAlign w:val="top"/>
                </w:tcPr>
                <w:p>
                  <w:pPr>
                    <w:spacing w:before="130" w:line="197" w:lineRule="auto"/>
                    <w:ind w:left="45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30~80</w:t>
                  </w:r>
                </w:p>
              </w:tc>
              <w:tc>
                <w:tcPr>
                  <w:tcW w:w="1321" w:type="dxa"/>
                  <w:vAlign w:val="top"/>
                </w:tcPr>
                <w:p>
                  <w:pPr>
                    <w:spacing w:before="67" w:line="242" w:lineRule="exact"/>
                    <w:ind w:left="519"/>
                    <w:rPr>
                      <w:rFonts w:ascii="Times New Roman" w:hAnsi="Times New Roman" w:eastAsia="Times New Roman" w:cs="Times New Roman"/>
                      <w:sz w:val="17"/>
                      <w:szCs w:val="17"/>
                    </w:rPr>
                  </w:pPr>
                  <w:r>
                    <w:rPr>
                      <w:rFonts w:ascii="Times New Roman" w:hAnsi="Times New Roman" w:eastAsia="Times New Roman" w:cs="Times New Roman"/>
                      <w:spacing w:val="4"/>
                      <w:position w:val="2"/>
                      <w:sz w:val="17"/>
                      <w:szCs w:val="17"/>
                    </w:rPr>
                    <w:t>≥9</w:t>
                  </w:r>
                  <w:r>
                    <w:rPr>
                      <w:rFonts w:ascii="Times New Roman" w:hAnsi="Times New Roman" w:eastAsia="Times New Roman" w:cs="Times New Roman"/>
                      <w:spacing w:val="3"/>
                      <w:position w:val="2"/>
                      <w:sz w:val="17"/>
                      <w:szCs w:val="17"/>
                    </w:rPr>
                    <w:t>4</w:t>
                  </w:r>
                </w:p>
              </w:tc>
              <w:tc>
                <w:tcPr>
                  <w:tcW w:w="1340" w:type="dxa"/>
                  <w:vAlign w:val="top"/>
                </w:tcPr>
                <w:p>
                  <w:pPr>
                    <w:spacing w:before="67" w:line="242" w:lineRule="exact"/>
                    <w:ind w:left="528"/>
                    <w:rPr>
                      <w:rFonts w:ascii="Times New Roman" w:hAnsi="Times New Roman" w:eastAsia="Times New Roman" w:cs="Times New Roman"/>
                      <w:sz w:val="17"/>
                      <w:szCs w:val="17"/>
                    </w:rPr>
                  </w:pPr>
                  <w:r>
                    <w:rPr>
                      <w:rFonts w:ascii="Times New Roman" w:hAnsi="Times New Roman" w:eastAsia="Times New Roman" w:cs="Times New Roman"/>
                      <w:spacing w:val="6"/>
                      <w:position w:val="2"/>
                      <w:sz w:val="17"/>
                      <w:szCs w:val="17"/>
                    </w:rPr>
                    <w:t>≥</w:t>
                  </w:r>
                  <w:r>
                    <w:rPr>
                      <w:rFonts w:ascii="Times New Roman" w:hAnsi="Times New Roman" w:eastAsia="Times New Roman" w:cs="Times New Roman"/>
                      <w:spacing w:val="4"/>
                      <w:position w:val="2"/>
                      <w:sz w:val="17"/>
                      <w:szCs w:val="17"/>
                    </w:rPr>
                    <w:t>92</w:t>
                  </w:r>
                </w:p>
              </w:tc>
              <w:tc>
                <w:tcPr>
                  <w:tcW w:w="1317" w:type="dxa"/>
                  <w:vAlign w:val="top"/>
                </w:tcPr>
                <w:p>
                  <w:pPr>
                    <w:spacing w:before="130" w:line="197" w:lineRule="auto"/>
                    <w:ind w:left="61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1345" w:type="dxa"/>
                  <w:vAlign w:val="top"/>
                </w:tcPr>
                <w:p>
                  <w:pPr>
                    <w:spacing w:before="130" w:line="197" w:lineRule="auto"/>
                    <w:ind w:left="629"/>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302" w:type="dxa"/>
                  <w:vMerge w:val="continue"/>
                  <w:tcBorders>
                    <w:top w:val="nil"/>
                    <w:bottom w:val="nil"/>
                  </w:tcBorders>
                  <w:vAlign w:val="top"/>
                </w:tcPr>
                <w:p>
                  <w:pPr>
                    <w:rPr>
                      <w:rFonts w:ascii="Arial"/>
                      <w:sz w:val="21"/>
                    </w:rPr>
                  </w:pPr>
                </w:p>
              </w:tc>
              <w:tc>
                <w:tcPr>
                  <w:tcW w:w="1357" w:type="dxa"/>
                  <w:vAlign w:val="top"/>
                </w:tcPr>
                <w:p>
                  <w:pPr>
                    <w:spacing w:before="131" w:line="197" w:lineRule="auto"/>
                    <w:ind w:left="40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8</w:t>
                  </w:r>
                  <w:r>
                    <w:rPr>
                      <w:rFonts w:ascii="Times New Roman" w:hAnsi="Times New Roman" w:eastAsia="Times New Roman" w:cs="Times New Roman"/>
                      <w:spacing w:val="-3"/>
                      <w:sz w:val="17"/>
                      <w:szCs w:val="17"/>
                    </w:rPr>
                    <w:t>0~ 150</w:t>
                  </w:r>
                </w:p>
              </w:tc>
              <w:tc>
                <w:tcPr>
                  <w:tcW w:w="1321" w:type="dxa"/>
                  <w:vAlign w:val="top"/>
                </w:tcPr>
                <w:p>
                  <w:pPr>
                    <w:spacing w:before="67" w:line="242" w:lineRule="exact"/>
                    <w:ind w:left="519"/>
                    <w:rPr>
                      <w:rFonts w:ascii="Times New Roman" w:hAnsi="Times New Roman" w:eastAsia="Times New Roman" w:cs="Times New Roman"/>
                      <w:sz w:val="17"/>
                      <w:szCs w:val="17"/>
                    </w:rPr>
                  </w:pPr>
                  <w:r>
                    <w:rPr>
                      <w:rFonts w:ascii="Times New Roman" w:hAnsi="Times New Roman" w:eastAsia="Times New Roman" w:cs="Times New Roman"/>
                      <w:spacing w:val="4"/>
                      <w:position w:val="2"/>
                      <w:sz w:val="17"/>
                      <w:szCs w:val="17"/>
                    </w:rPr>
                    <w:t>≥9</w:t>
                  </w:r>
                  <w:r>
                    <w:rPr>
                      <w:rFonts w:ascii="Times New Roman" w:hAnsi="Times New Roman" w:eastAsia="Times New Roman" w:cs="Times New Roman"/>
                      <w:spacing w:val="3"/>
                      <w:position w:val="2"/>
                      <w:sz w:val="17"/>
                      <w:szCs w:val="17"/>
                    </w:rPr>
                    <w:t>2</w:t>
                  </w:r>
                </w:p>
              </w:tc>
              <w:tc>
                <w:tcPr>
                  <w:tcW w:w="1340" w:type="dxa"/>
                  <w:vAlign w:val="top"/>
                </w:tcPr>
                <w:p>
                  <w:pPr>
                    <w:spacing w:before="67" w:line="242" w:lineRule="exact"/>
                    <w:ind w:left="528"/>
                    <w:rPr>
                      <w:rFonts w:ascii="Times New Roman" w:hAnsi="Times New Roman" w:eastAsia="Times New Roman" w:cs="Times New Roman"/>
                      <w:sz w:val="17"/>
                      <w:szCs w:val="17"/>
                    </w:rPr>
                  </w:pPr>
                  <w:r>
                    <w:rPr>
                      <w:rFonts w:ascii="Times New Roman" w:hAnsi="Times New Roman" w:eastAsia="Times New Roman" w:cs="Times New Roman"/>
                      <w:spacing w:val="6"/>
                      <w:position w:val="2"/>
                      <w:sz w:val="17"/>
                      <w:szCs w:val="17"/>
                    </w:rPr>
                    <w:t>≥</w:t>
                  </w:r>
                  <w:r>
                    <w:rPr>
                      <w:rFonts w:ascii="Times New Roman" w:hAnsi="Times New Roman" w:eastAsia="Times New Roman" w:cs="Times New Roman"/>
                      <w:spacing w:val="4"/>
                      <w:position w:val="2"/>
                      <w:sz w:val="17"/>
                      <w:szCs w:val="17"/>
                    </w:rPr>
                    <w:t>91</w:t>
                  </w:r>
                </w:p>
              </w:tc>
              <w:tc>
                <w:tcPr>
                  <w:tcW w:w="1317" w:type="dxa"/>
                  <w:vAlign w:val="top"/>
                </w:tcPr>
                <w:p>
                  <w:pPr>
                    <w:spacing w:before="131" w:line="197" w:lineRule="auto"/>
                    <w:ind w:left="616"/>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tc>
              <w:tc>
                <w:tcPr>
                  <w:tcW w:w="1345" w:type="dxa"/>
                  <w:vAlign w:val="top"/>
                </w:tcPr>
                <w:p>
                  <w:pPr>
                    <w:spacing w:before="131" w:line="197" w:lineRule="auto"/>
                    <w:ind w:left="629"/>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302" w:type="dxa"/>
                  <w:vMerge w:val="continue"/>
                  <w:tcBorders>
                    <w:top w:val="nil"/>
                  </w:tcBorders>
                  <w:vAlign w:val="top"/>
                </w:tcPr>
                <w:p>
                  <w:pPr>
                    <w:rPr>
                      <w:rFonts w:ascii="Arial"/>
                      <w:sz w:val="21"/>
                    </w:rPr>
                  </w:pPr>
                </w:p>
              </w:tc>
              <w:tc>
                <w:tcPr>
                  <w:tcW w:w="1357" w:type="dxa"/>
                  <w:vAlign w:val="top"/>
                </w:tcPr>
                <w:p>
                  <w:pPr>
                    <w:spacing w:before="102" w:line="227" w:lineRule="exact"/>
                    <w:ind w:left="507"/>
                    <w:rPr>
                      <w:rFonts w:ascii="Times New Roman" w:hAnsi="Times New Roman" w:eastAsia="Times New Roman" w:cs="Times New Roman"/>
                      <w:sz w:val="17"/>
                      <w:szCs w:val="17"/>
                    </w:rPr>
                  </w:pPr>
                  <w:r>
                    <w:rPr>
                      <w:rFonts w:ascii="宋体" w:hAnsi="宋体" w:eastAsia="宋体" w:cs="宋体"/>
                      <w:spacing w:val="-14"/>
                      <w:w w:val="87"/>
                      <w:position w:val="1"/>
                      <w:sz w:val="17"/>
                      <w:szCs w:val="17"/>
                    </w:rPr>
                    <w:t>﹥</w:t>
                  </w:r>
                  <w:r>
                    <w:rPr>
                      <w:rFonts w:ascii="宋体" w:hAnsi="宋体" w:eastAsia="宋体" w:cs="宋体"/>
                      <w:spacing w:val="-10"/>
                      <w:position w:val="1"/>
                      <w:sz w:val="17"/>
                      <w:szCs w:val="17"/>
                    </w:rPr>
                    <w:t xml:space="preserve"> </w:t>
                  </w:r>
                  <w:r>
                    <w:rPr>
                      <w:rFonts w:ascii="Times New Roman" w:hAnsi="Times New Roman" w:eastAsia="Times New Roman" w:cs="Times New Roman"/>
                      <w:spacing w:val="-14"/>
                      <w:w w:val="87"/>
                      <w:position w:val="1"/>
                      <w:sz w:val="17"/>
                      <w:szCs w:val="17"/>
                    </w:rPr>
                    <w:t>150</w:t>
                  </w:r>
                </w:p>
              </w:tc>
              <w:tc>
                <w:tcPr>
                  <w:tcW w:w="1321" w:type="dxa"/>
                  <w:vAlign w:val="top"/>
                </w:tcPr>
                <w:p>
                  <w:pPr>
                    <w:spacing w:before="67" w:line="243" w:lineRule="exact"/>
                    <w:ind w:left="519"/>
                    <w:rPr>
                      <w:rFonts w:ascii="Times New Roman" w:hAnsi="Times New Roman" w:eastAsia="Times New Roman" w:cs="Times New Roman"/>
                      <w:sz w:val="17"/>
                      <w:szCs w:val="17"/>
                    </w:rPr>
                  </w:pPr>
                  <w:r>
                    <w:rPr>
                      <w:rFonts w:ascii="Times New Roman" w:hAnsi="Times New Roman" w:eastAsia="Times New Roman" w:cs="Times New Roman"/>
                      <w:spacing w:val="4"/>
                      <w:position w:val="2"/>
                      <w:sz w:val="17"/>
                      <w:szCs w:val="17"/>
                    </w:rPr>
                    <w:t>≥9</w:t>
                  </w:r>
                  <w:r>
                    <w:rPr>
                      <w:rFonts w:ascii="Times New Roman" w:hAnsi="Times New Roman" w:eastAsia="Times New Roman" w:cs="Times New Roman"/>
                      <w:spacing w:val="3"/>
                      <w:position w:val="2"/>
                      <w:sz w:val="17"/>
                      <w:szCs w:val="17"/>
                    </w:rPr>
                    <w:t>1</w:t>
                  </w:r>
                </w:p>
              </w:tc>
              <w:tc>
                <w:tcPr>
                  <w:tcW w:w="1340" w:type="dxa"/>
                  <w:vAlign w:val="top"/>
                </w:tcPr>
                <w:p>
                  <w:pPr>
                    <w:spacing w:before="67" w:line="243" w:lineRule="exact"/>
                    <w:ind w:left="528"/>
                    <w:rPr>
                      <w:rFonts w:ascii="Times New Roman" w:hAnsi="Times New Roman" w:eastAsia="Times New Roman" w:cs="Times New Roman"/>
                      <w:sz w:val="17"/>
                      <w:szCs w:val="17"/>
                    </w:rPr>
                  </w:pPr>
                  <w:r>
                    <w:rPr>
                      <w:rFonts w:ascii="Times New Roman" w:hAnsi="Times New Roman" w:eastAsia="Times New Roman" w:cs="Times New Roman"/>
                      <w:spacing w:val="6"/>
                      <w:position w:val="2"/>
                      <w:sz w:val="17"/>
                      <w:szCs w:val="17"/>
                    </w:rPr>
                    <w:t>≥</w:t>
                  </w:r>
                  <w:r>
                    <w:rPr>
                      <w:rFonts w:ascii="Times New Roman" w:hAnsi="Times New Roman" w:eastAsia="Times New Roman" w:cs="Times New Roman"/>
                      <w:spacing w:val="4"/>
                      <w:position w:val="2"/>
                      <w:sz w:val="17"/>
                      <w:szCs w:val="17"/>
                    </w:rPr>
                    <w:t>90</w:t>
                  </w:r>
                </w:p>
              </w:tc>
              <w:tc>
                <w:tcPr>
                  <w:tcW w:w="1317" w:type="dxa"/>
                  <w:vAlign w:val="top"/>
                </w:tcPr>
                <w:p>
                  <w:pPr>
                    <w:spacing w:before="131" w:line="197" w:lineRule="auto"/>
                    <w:ind w:left="61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1345" w:type="dxa"/>
                  <w:vAlign w:val="top"/>
                </w:tcPr>
                <w:p>
                  <w:pPr>
                    <w:spacing w:before="131" w:line="197" w:lineRule="auto"/>
                    <w:ind w:left="62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302" w:type="dxa"/>
                  <w:vMerge w:val="restart"/>
                  <w:tcBorders>
                    <w:bottom w:val="nil"/>
                  </w:tcBorders>
                  <w:vAlign w:val="top"/>
                </w:tcPr>
                <w:p>
                  <w:pPr>
                    <w:spacing w:before="289" w:line="230" w:lineRule="auto"/>
                    <w:ind w:left="204"/>
                    <w:rPr>
                      <w:rFonts w:ascii="宋体" w:hAnsi="宋体" w:eastAsia="宋体" w:cs="宋体"/>
                      <w:sz w:val="17"/>
                      <w:szCs w:val="17"/>
                    </w:rPr>
                  </w:pPr>
                  <w:r>
                    <w:rPr>
                      <w:rFonts w:ascii="宋体" w:hAnsi="宋体" w:eastAsia="宋体" w:cs="宋体"/>
                      <w:spacing w:val="11"/>
                      <w:sz w:val="17"/>
                      <w:szCs w:val="17"/>
                    </w:rPr>
                    <w:t>挖</w:t>
                  </w:r>
                  <w:r>
                    <w:rPr>
                      <w:rFonts w:ascii="宋体" w:hAnsi="宋体" w:eastAsia="宋体" w:cs="宋体"/>
                      <w:spacing w:val="8"/>
                      <w:sz w:val="17"/>
                      <w:szCs w:val="17"/>
                    </w:rPr>
                    <w:t>方和零填</w:t>
                  </w:r>
                </w:p>
              </w:tc>
              <w:tc>
                <w:tcPr>
                  <w:tcW w:w="1357" w:type="dxa"/>
                  <w:vAlign w:val="top"/>
                </w:tcPr>
                <w:p>
                  <w:pPr>
                    <w:spacing w:before="132" w:line="197" w:lineRule="auto"/>
                    <w:ind w:left="49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3"/>
                      <w:sz w:val="17"/>
                      <w:szCs w:val="17"/>
                    </w:rPr>
                    <w:t>~30</w:t>
                  </w:r>
                </w:p>
              </w:tc>
              <w:tc>
                <w:tcPr>
                  <w:tcW w:w="1321" w:type="dxa"/>
                  <w:vAlign w:val="top"/>
                </w:tcPr>
                <w:p>
                  <w:pPr>
                    <w:spacing w:before="69" w:line="242" w:lineRule="exact"/>
                    <w:ind w:left="519"/>
                    <w:rPr>
                      <w:rFonts w:ascii="Times New Roman" w:hAnsi="Times New Roman" w:eastAsia="Times New Roman" w:cs="Times New Roman"/>
                      <w:sz w:val="17"/>
                      <w:szCs w:val="17"/>
                    </w:rPr>
                  </w:pPr>
                  <w:r>
                    <w:rPr>
                      <w:rFonts w:ascii="Times New Roman" w:hAnsi="Times New Roman" w:eastAsia="Times New Roman" w:cs="Times New Roman"/>
                      <w:spacing w:val="4"/>
                      <w:position w:val="2"/>
                      <w:sz w:val="17"/>
                      <w:szCs w:val="17"/>
                    </w:rPr>
                    <w:t>≥9</w:t>
                  </w:r>
                  <w:r>
                    <w:rPr>
                      <w:rFonts w:ascii="Times New Roman" w:hAnsi="Times New Roman" w:eastAsia="Times New Roman" w:cs="Times New Roman"/>
                      <w:spacing w:val="3"/>
                      <w:position w:val="2"/>
                      <w:sz w:val="17"/>
                      <w:szCs w:val="17"/>
                    </w:rPr>
                    <w:t>4</w:t>
                  </w:r>
                </w:p>
              </w:tc>
              <w:tc>
                <w:tcPr>
                  <w:tcW w:w="1340" w:type="dxa"/>
                  <w:vAlign w:val="top"/>
                </w:tcPr>
                <w:p>
                  <w:pPr>
                    <w:spacing w:before="69" w:line="242" w:lineRule="exact"/>
                    <w:ind w:left="528"/>
                    <w:rPr>
                      <w:rFonts w:ascii="Times New Roman" w:hAnsi="Times New Roman" w:eastAsia="Times New Roman" w:cs="Times New Roman"/>
                      <w:sz w:val="17"/>
                      <w:szCs w:val="17"/>
                    </w:rPr>
                  </w:pPr>
                  <w:r>
                    <w:rPr>
                      <w:rFonts w:ascii="Times New Roman" w:hAnsi="Times New Roman" w:eastAsia="Times New Roman" w:cs="Times New Roman"/>
                      <w:spacing w:val="6"/>
                      <w:position w:val="2"/>
                      <w:sz w:val="17"/>
                      <w:szCs w:val="17"/>
                    </w:rPr>
                    <w:t>≥</w:t>
                  </w:r>
                  <w:r>
                    <w:rPr>
                      <w:rFonts w:ascii="Times New Roman" w:hAnsi="Times New Roman" w:eastAsia="Times New Roman" w:cs="Times New Roman"/>
                      <w:spacing w:val="4"/>
                      <w:position w:val="2"/>
                      <w:sz w:val="17"/>
                      <w:szCs w:val="17"/>
                    </w:rPr>
                    <w:t>92</w:t>
                  </w:r>
                </w:p>
              </w:tc>
              <w:tc>
                <w:tcPr>
                  <w:tcW w:w="1317" w:type="dxa"/>
                  <w:vAlign w:val="top"/>
                </w:tcPr>
                <w:p>
                  <w:pPr>
                    <w:spacing w:before="132" w:line="197" w:lineRule="auto"/>
                    <w:ind w:left="617"/>
                    <w:rPr>
                      <w:rFonts w:ascii="Times New Roman" w:hAnsi="Times New Roman" w:eastAsia="Times New Roman" w:cs="Times New Roman"/>
                      <w:sz w:val="17"/>
                      <w:szCs w:val="17"/>
                    </w:rPr>
                  </w:pPr>
                  <w:r>
                    <w:rPr>
                      <w:rFonts w:ascii="Times New Roman" w:hAnsi="Times New Roman" w:eastAsia="Times New Roman" w:cs="Times New Roman"/>
                      <w:sz w:val="17"/>
                      <w:szCs w:val="17"/>
                    </w:rPr>
                    <w:t>6</w:t>
                  </w:r>
                </w:p>
              </w:tc>
              <w:tc>
                <w:tcPr>
                  <w:tcW w:w="1345" w:type="dxa"/>
                  <w:vAlign w:val="top"/>
                </w:tcPr>
                <w:p>
                  <w:pPr>
                    <w:spacing w:before="135" w:line="194" w:lineRule="auto"/>
                    <w:ind w:left="630"/>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302" w:type="dxa"/>
                  <w:vMerge w:val="continue"/>
                  <w:tcBorders>
                    <w:top w:val="nil"/>
                  </w:tcBorders>
                  <w:vAlign w:val="top"/>
                </w:tcPr>
                <w:p>
                  <w:pPr>
                    <w:rPr>
                      <w:rFonts w:ascii="Arial"/>
                      <w:sz w:val="21"/>
                    </w:rPr>
                  </w:pPr>
                </w:p>
              </w:tc>
              <w:tc>
                <w:tcPr>
                  <w:tcW w:w="1357" w:type="dxa"/>
                  <w:vAlign w:val="top"/>
                </w:tcPr>
                <w:p>
                  <w:pPr>
                    <w:spacing w:before="146" w:line="197" w:lineRule="auto"/>
                    <w:ind w:left="45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30~80</w:t>
                  </w:r>
                </w:p>
              </w:tc>
              <w:tc>
                <w:tcPr>
                  <w:tcW w:w="1321" w:type="dxa"/>
                  <w:vAlign w:val="top"/>
                </w:tcPr>
                <w:p>
                  <w:pPr>
                    <w:spacing w:before="222" w:line="116" w:lineRule="exact"/>
                    <w:ind w:left="633"/>
                    <w:rPr>
                      <w:rFonts w:ascii="Times New Roman" w:hAnsi="Times New Roman" w:eastAsia="Times New Roman" w:cs="Times New Roman"/>
                      <w:sz w:val="17"/>
                      <w:szCs w:val="17"/>
                    </w:rPr>
                  </w:pPr>
                  <w:r>
                    <w:rPr>
                      <w:rFonts w:ascii="Times New Roman" w:hAnsi="Times New Roman" w:eastAsia="Times New Roman" w:cs="Times New Roman"/>
                      <w:sz w:val="17"/>
                      <w:szCs w:val="17"/>
                    </w:rPr>
                    <w:t>-</w:t>
                  </w:r>
                </w:p>
              </w:tc>
              <w:tc>
                <w:tcPr>
                  <w:tcW w:w="1340" w:type="dxa"/>
                  <w:vAlign w:val="top"/>
                </w:tcPr>
                <w:p>
                  <w:pPr>
                    <w:spacing w:before="222" w:line="116" w:lineRule="exact"/>
                    <w:ind w:left="644"/>
                    <w:rPr>
                      <w:rFonts w:ascii="Times New Roman" w:hAnsi="Times New Roman" w:eastAsia="Times New Roman" w:cs="Times New Roman"/>
                      <w:sz w:val="17"/>
                      <w:szCs w:val="17"/>
                    </w:rPr>
                  </w:pPr>
                  <w:r>
                    <w:rPr>
                      <w:rFonts w:ascii="Times New Roman" w:hAnsi="Times New Roman" w:eastAsia="Times New Roman" w:cs="Times New Roman"/>
                      <w:sz w:val="17"/>
                      <w:szCs w:val="17"/>
                    </w:rPr>
                    <w:t>-</w:t>
                  </w:r>
                </w:p>
              </w:tc>
              <w:tc>
                <w:tcPr>
                  <w:tcW w:w="1317" w:type="dxa"/>
                  <w:vAlign w:val="top"/>
                </w:tcPr>
                <w:p>
                  <w:pPr>
                    <w:spacing w:before="222" w:line="116" w:lineRule="exact"/>
                    <w:ind w:left="633"/>
                    <w:rPr>
                      <w:rFonts w:ascii="Times New Roman" w:hAnsi="Times New Roman" w:eastAsia="Times New Roman" w:cs="Times New Roman"/>
                      <w:sz w:val="17"/>
                      <w:szCs w:val="17"/>
                    </w:rPr>
                  </w:pPr>
                  <w:r>
                    <w:rPr>
                      <w:rFonts w:ascii="Times New Roman" w:hAnsi="Times New Roman" w:eastAsia="Times New Roman" w:cs="Times New Roman"/>
                      <w:sz w:val="17"/>
                      <w:szCs w:val="17"/>
                    </w:rPr>
                    <w:t>-</w:t>
                  </w:r>
                </w:p>
              </w:tc>
              <w:tc>
                <w:tcPr>
                  <w:tcW w:w="1345" w:type="dxa"/>
                  <w:vAlign w:val="top"/>
                </w:tcPr>
                <w:p>
                  <w:pPr>
                    <w:spacing w:before="222" w:line="116" w:lineRule="exact"/>
                    <w:ind w:left="643"/>
                    <w:rPr>
                      <w:rFonts w:ascii="Times New Roman" w:hAnsi="Times New Roman" w:eastAsia="Times New Roman" w:cs="Times New Roman"/>
                      <w:sz w:val="17"/>
                      <w:szCs w:val="17"/>
                    </w:rPr>
                  </w:pPr>
                  <w:r>
                    <w:rPr>
                      <w:rFonts w:ascii="Times New Roman" w:hAnsi="Times New Roman" w:eastAsia="Times New Roman" w:cs="Times New Roman"/>
                      <w:sz w:val="17"/>
                      <w:szCs w:val="17"/>
                    </w:rPr>
                    <w:t>-</w:t>
                  </w:r>
                </w:p>
              </w:tc>
            </w:tr>
          </w:tbl>
          <w:p>
            <w:pPr>
              <w:spacing w:before="140" w:line="228" w:lineRule="auto"/>
              <w:ind w:left="526"/>
              <w:rPr>
                <w:rFonts w:ascii="宋体" w:hAnsi="宋体" w:eastAsia="宋体" w:cs="宋体"/>
                <w:sz w:val="20"/>
                <w:szCs w:val="20"/>
              </w:rPr>
            </w:pPr>
            <w:r>
              <w:rPr>
                <w:rFonts w:ascii="宋体" w:hAnsi="宋体" w:eastAsia="宋体" w:cs="宋体"/>
                <w:spacing w:val="11"/>
                <w:sz w:val="20"/>
                <w:szCs w:val="20"/>
              </w:rPr>
              <w:t xml:space="preserve">对于东岸而言大部分为现状路，仅有 </w:t>
            </w:r>
            <w:r>
              <w:rPr>
                <w:rFonts w:ascii="Times New Roman" w:hAnsi="Times New Roman" w:eastAsia="Times New Roman" w:cs="Times New Roman"/>
                <w:spacing w:val="11"/>
                <w:sz w:val="20"/>
                <w:szCs w:val="20"/>
              </w:rPr>
              <w:t xml:space="preserve">835 </w:t>
            </w:r>
            <w:r>
              <w:rPr>
                <w:rFonts w:ascii="宋体" w:hAnsi="宋体" w:eastAsia="宋体" w:cs="宋体"/>
                <w:spacing w:val="11"/>
                <w:sz w:val="20"/>
                <w:szCs w:val="20"/>
              </w:rPr>
              <w:t>㎡的桥台台背回填的面积需要进行路基</w:t>
            </w:r>
            <w:r>
              <w:rPr>
                <w:rFonts w:ascii="宋体" w:hAnsi="宋体" w:eastAsia="宋体" w:cs="宋体"/>
                <w:spacing w:val="9"/>
                <w:sz w:val="20"/>
                <w:szCs w:val="20"/>
              </w:rPr>
              <w:t>回</w:t>
            </w:r>
          </w:p>
          <w:p>
            <w:pPr>
              <w:spacing w:before="116" w:line="281" w:lineRule="exact"/>
              <w:ind w:left="109"/>
              <w:rPr>
                <w:rFonts w:ascii="宋体" w:hAnsi="宋体" w:eastAsia="宋体" w:cs="宋体"/>
                <w:sz w:val="20"/>
                <w:szCs w:val="20"/>
              </w:rPr>
            </w:pPr>
            <w:r>
              <w:rPr>
                <w:rFonts w:ascii="宋体" w:hAnsi="宋体" w:eastAsia="宋体" w:cs="宋体"/>
                <w:spacing w:val="8"/>
                <w:position w:val="1"/>
                <w:sz w:val="20"/>
                <w:szCs w:val="20"/>
              </w:rPr>
              <w:t>填，回填材料</w:t>
            </w:r>
            <w:r>
              <w:rPr>
                <w:rFonts w:ascii="宋体" w:hAnsi="宋体" w:eastAsia="宋体" w:cs="宋体"/>
                <w:spacing w:val="7"/>
                <w:position w:val="1"/>
                <w:sz w:val="20"/>
                <w:szCs w:val="20"/>
              </w:rPr>
              <w:t>为</w:t>
            </w:r>
            <w:r>
              <w:rPr>
                <w:rFonts w:ascii="宋体" w:hAnsi="宋体" w:eastAsia="宋体" w:cs="宋体"/>
                <w:spacing w:val="4"/>
                <w:position w:val="1"/>
                <w:sz w:val="20"/>
                <w:szCs w:val="20"/>
              </w:rPr>
              <w:t>级配碎石，压实度</w:t>
            </w:r>
            <w:r>
              <w:rPr>
                <w:rFonts w:ascii="Times New Roman" w:hAnsi="Times New Roman" w:eastAsia="Times New Roman" w:cs="Times New Roman"/>
                <w:spacing w:val="4"/>
                <w:position w:val="1"/>
                <w:sz w:val="20"/>
                <w:szCs w:val="20"/>
              </w:rPr>
              <w:t xml:space="preserve">≥96% </w:t>
            </w:r>
            <w:r>
              <w:rPr>
                <w:rFonts w:ascii="宋体" w:hAnsi="宋体" w:eastAsia="宋体" w:cs="宋体"/>
                <w:spacing w:val="4"/>
                <w:position w:val="1"/>
                <w:sz w:val="20"/>
                <w:szCs w:val="20"/>
              </w:rPr>
              <w:t xml:space="preserve">，填高约为 </w:t>
            </w:r>
            <w:r>
              <w:rPr>
                <w:rFonts w:ascii="Times New Roman" w:hAnsi="Times New Roman" w:eastAsia="Times New Roman" w:cs="Times New Roman"/>
                <w:spacing w:val="4"/>
                <w:position w:val="1"/>
                <w:sz w:val="20"/>
                <w:szCs w:val="20"/>
              </w:rPr>
              <w:t>8</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，支护方式为扶壁式挡墙。</w:t>
            </w:r>
          </w:p>
        </w:tc>
      </w:tr>
    </w:tbl>
    <w:p>
      <w:pPr>
        <w:spacing w:line="195" w:lineRule="exact"/>
        <w:rPr>
          <w:rFonts w:ascii="Arial"/>
          <w:sz w:val="16"/>
        </w:rPr>
      </w:pPr>
    </w:p>
    <w:p>
      <w:pPr>
        <w:sectPr>
          <w:footerReference r:id="rId32" w:type="default"/>
          <w:pgSz w:w="11906" w:h="16839"/>
          <w:pgMar w:top="400" w:right="1487" w:bottom="1475" w:left="1486" w:header="0" w:footer="1315" w:gutter="0"/>
          <w:cols w:space="720" w:num="1"/>
        </w:sectPr>
      </w:pPr>
    </w:p>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8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76" w:hRule="atLeast"/>
        </w:trPr>
        <w:tc>
          <w:tcPr>
            <w:tcW w:w="600" w:type="dxa"/>
            <w:tcBorders>
              <w:left w:val="single" w:color="00000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28" w:lineRule="auto"/>
              <w:ind w:left="91"/>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p>
            <w:pPr>
              <w:spacing w:before="26" w:line="229" w:lineRule="auto"/>
              <w:ind w:left="9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组</w:t>
            </w:r>
            <w:r>
              <w:rPr>
                <w:rFonts w:ascii="宋体" w:hAnsi="宋体" w:eastAsia="宋体" w:cs="宋体"/>
                <w:spacing w:val="4"/>
                <w:sz w:val="20"/>
                <w:szCs w:val="20"/>
                <w14:textOutline w14:w="3795" w14:cap="sq" w14:cmpd="sng">
                  <w14:solidFill>
                    <w14:srgbClr w14:val="000000"/>
                  </w14:solidFill>
                  <w14:prstDash w14:val="solid"/>
                  <w14:bevel/>
                </w14:textOutline>
              </w:rPr>
              <w:t>成</w:t>
            </w:r>
          </w:p>
          <w:p>
            <w:pPr>
              <w:spacing w:before="22" w:line="230" w:lineRule="auto"/>
              <w:ind w:left="8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及规</w:t>
            </w:r>
          </w:p>
          <w:p>
            <w:pPr>
              <w:spacing w:before="24" w:line="228" w:lineRule="auto"/>
              <w:ind w:left="190"/>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模</w:t>
            </w:r>
          </w:p>
        </w:tc>
        <w:tc>
          <w:tcPr>
            <w:tcW w:w="8317" w:type="dxa"/>
            <w:tcBorders>
              <w:right w:val="single" w:color="000000" w:sz="6" w:space="0"/>
            </w:tcBorders>
            <w:vAlign w:val="top"/>
          </w:tcPr>
          <w:p>
            <w:pPr>
              <w:spacing w:line="91" w:lineRule="auto"/>
              <w:rPr>
                <w:rFonts w:ascii="Arial"/>
                <w:sz w:val="2"/>
              </w:rPr>
            </w:pPr>
          </w:p>
          <w:tbl>
            <w:tblPr>
              <w:tblStyle w:val="4"/>
              <w:tblW w:w="5908" w:type="dxa"/>
              <w:tblInd w:w="1194"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5908"/>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PrEx>
              <w:trPr>
                <w:trHeight w:val="5621" w:hRule="atLeast"/>
              </w:trPr>
              <w:tc>
                <w:tcPr>
                  <w:tcW w:w="5908" w:type="dxa"/>
                  <w:vAlign w:val="top"/>
                </w:tcPr>
                <w:p>
                  <w:pPr>
                    <w:spacing w:line="5620" w:lineRule="exact"/>
                    <w:textAlignment w:val="center"/>
                  </w:pPr>
                  <w:r>
                    <w:drawing>
                      <wp:inline distT="0" distB="0" distL="0" distR="0">
                        <wp:extent cx="3738880" cy="3568700"/>
                        <wp:effectExtent l="0" t="0" r="0" b="0"/>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170"/>
                                <a:stretch>
                                  <a:fillRect/>
                                </a:stretch>
                              </pic:blipFill>
                              <pic:spPr>
                                <a:xfrm>
                                  <a:off x="0" y="0"/>
                                  <a:ext cx="3738880" cy="3569334"/>
                                </a:xfrm>
                                <a:prstGeom prst="rect">
                                  <a:avLst/>
                                </a:prstGeom>
                              </pic:spPr>
                            </pic:pic>
                          </a:graphicData>
                        </a:graphic>
                      </wp:inline>
                    </w:drawing>
                  </w:r>
                </w:p>
              </w:tc>
            </w:tr>
          </w:tbl>
          <w:p>
            <w:pPr>
              <w:spacing w:before="36" w:line="231" w:lineRule="auto"/>
              <w:ind w:left="2970"/>
              <w:rPr>
                <w:rFonts w:ascii="黑体" w:hAnsi="黑体" w:eastAsia="黑体" w:cs="黑体"/>
                <w:sz w:val="19"/>
                <w:szCs w:val="19"/>
              </w:rPr>
            </w:pPr>
            <w:r>
              <w:rPr>
                <w:rFonts w:ascii="黑体" w:hAnsi="黑体" w:eastAsia="黑体" w:cs="黑体"/>
                <w:spacing w:val="14"/>
                <w:sz w:val="19"/>
                <w:szCs w:val="19"/>
              </w:rPr>
              <w:t>图</w:t>
            </w:r>
            <w:r>
              <w:rPr>
                <w:rFonts w:ascii="Times New Roman" w:hAnsi="Times New Roman" w:eastAsia="Times New Roman" w:cs="Times New Roman"/>
                <w:spacing w:val="9"/>
                <w:sz w:val="19"/>
                <w:szCs w:val="19"/>
              </w:rPr>
              <w:t>1</w:t>
            </w:r>
            <w:r>
              <w:rPr>
                <w:rFonts w:ascii="Times New Roman" w:hAnsi="Times New Roman" w:eastAsia="Times New Roman" w:cs="Times New Roman"/>
                <w:spacing w:val="7"/>
                <w:sz w:val="19"/>
                <w:szCs w:val="19"/>
              </w:rPr>
              <w:t>2</w:t>
            </w:r>
            <w:r>
              <w:rPr>
                <w:rFonts w:ascii="黑体" w:hAnsi="黑体" w:eastAsia="黑体" w:cs="黑体"/>
                <w:spacing w:val="7"/>
                <w:sz w:val="19"/>
                <w:szCs w:val="19"/>
              </w:rPr>
              <w:t>：东岸路口改造平面图</w:t>
            </w:r>
          </w:p>
          <w:p>
            <w:pPr>
              <w:spacing w:before="131" w:line="369" w:lineRule="auto"/>
              <w:ind w:left="106" w:right="102" w:firstLine="420"/>
              <w:rPr>
                <w:rFonts w:ascii="宋体" w:hAnsi="宋体" w:eastAsia="宋体" w:cs="宋体"/>
                <w:sz w:val="20"/>
                <w:szCs w:val="20"/>
              </w:rPr>
            </w:pPr>
            <w:r>
              <w:rPr>
                <w:rFonts w:ascii="宋体" w:hAnsi="宋体" w:eastAsia="宋体" w:cs="宋体"/>
                <w:spacing w:val="14"/>
                <w:sz w:val="20"/>
                <w:szCs w:val="20"/>
              </w:rPr>
              <w:t>对于</w:t>
            </w:r>
            <w:r>
              <w:rPr>
                <w:rFonts w:ascii="宋体" w:hAnsi="宋体" w:eastAsia="宋体" w:cs="宋体"/>
                <w:spacing w:val="11"/>
                <w:sz w:val="20"/>
                <w:szCs w:val="20"/>
              </w:rPr>
              <w:t>西</w:t>
            </w:r>
            <w:r>
              <w:rPr>
                <w:rFonts w:ascii="宋体" w:hAnsi="宋体" w:eastAsia="宋体" w:cs="宋体"/>
                <w:spacing w:val="7"/>
                <w:sz w:val="20"/>
                <w:szCs w:val="20"/>
              </w:rPr>
              <w:t>岸而言，根据沿线地质条件分析以及地勘资料，西岸接线滨河路设计范围内存</w:t>
            </w:r>
            <w:r>
              <w:rPr>
                <w:rFonts w:ascii="宋体" w:hAnsi="宋体" w:eastAsia="宋体" w:cs="宋体"/>
                <w:sz w:val="20"/>
                <w:szCs w:val="20"/>
              </w:rPr>
              <w:t xml:space="preserve"> </w:t>
            </w:r>
            <w:r>
              <w:rPr>
                <w:rFonts w:ascii="宋体" w:hAnsi="宋体" w:eastAsia="宋体" w:cs="宋体"/>
                <w:spacing w:val="16"/>
                <w:sz w:val="20"/>
                <w:szCs w:val="20"/>
              </w:rPr>
              <w:t>在</w:t>
            </w:r>
            <w:r>
              <w:rPr>
                <w:rFonts w:ascii="宋体" w:hAnsi="宋体" w:eastAsia="宋体" w:cs="宋体"/>
                <w:spacing w:val="9"/>
                <w:sz w:val="20"/>
                <w:szCs w:val="20"/>
              </w:rPr>
              <w:t xml:space="preserve">软土地基，均有 </w:t>
            </w:r>
            <w:r>
              <w:rPr>
                <w:rFonts w:ascii="Times New Roman" w:hAnsi="Times New Roman" w:eastAsia="Times New Roman" w:cs="Times New Roman"/>
                <w:spacing w:val="9"/>
                <w:sz w:val="20"/>
                <w:szCs w:val="20"/>
              </w:rPr>
              <w:t>7</w:t>
            </w:r>
            <w:r>
              <w:rPr>
                <w:rFonts w:ascii="Times New Roman" w:hAnsi="Times New Roman" w:eastAsia="Times New Roman" w:cs="Times New Roman"/>
                <w:sz w:val="20"/>
                <w:szCs w:val="20"/>
              </w:rPr>
              <w:t>m</w:t>
            </w:r>
            <w:r>
              <w:rPr>
                <w:rFonts w:ascii="Times New Roman" w:hAnsi="Times New Roman" w:eastAsia="Times New Roman" w:cs="Times New Roman"/>
                <w:spacing w:val="9"/>
                <w:sz w:val="20"/>
                <w:szCs w:val="20"/>
              </w:rPr>
              <w:t>-9</w:t>
            </w:r>
            <w:r>
              <w:rPr>
                <w:rFonts w:ascii="Times New Roman" w:hAnsi="Times New Roman" w:eastAsia="Times New Roman" w:cs="Times New Roman"/>
                <w:sz w:val="20"/>
                <w:szCs w:val="20"/>
              </w:rPr>
              <w:t>m</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不等的杂填土，具有低强度、低透水性、高压缩性、高含水量</w:t>
            </w:r>
            <w:r>
              <w:rPr>
                <w:rFonts w:ascii="宋体" w:hAnsi="宋体" w:eastAsia="宋体" w:cs="宋体"/>
                <w:sz w:val="20"/>
                <w:szCs w:val="20"/>
              </w:rPr>
              <w:t xml:space="preserve"> </w:t>
            </w:r>
            <w:r>
              <w:rPr>
                <w:rFonts w:ascii="宋体" w:hAnsi="宋体" w:eastAsia="宋体" w:cs="宋体"/>
                <w:spacing w:val="12"/>
                <w:sz w:val="20"/>
                <w:szCs w:val="20"/>
              </w:rPr>
              <w:t>的</w:t>
            </w:r>
            <w:r>
              <w:rPr>
                <w:rFonts w:ascii="宋体" w:hAnsi="宋体" w:eastAsia="宋体" w:cs="宋体"/>
                <w:spacing w:val="6"/>
                <w:sz w:val="20"/>
                <w:szCs w:val="20"/>
              </w:rPr>
              <w:t>特点，需进行特殊处理， 以提高软土层的承载力，减小沉降和差异沉降。</w:t>
            </w:r>
          </w:p>
          <w:p>
            <w:pPr>
              <w:spacing w:before="1" w:line="364" w:lineRule="auto"/>
              <w:ind w:left="109" w:right="50" w:firstLine="420"/>
              <w:rPr>
                <w:rFonts w:ascii="宋体" w:hAnsi="宋体" w:eastAsia="宋体" w:cs="宋体"/>
                <w:sz w:val="20"/>
                <w:szCs w:val="20"/>
              </w:rPr>
            </w:pPr>
            <w:r>
              <w:rPr>
                <w:rFonts w:ascii="宋体" w:hAnsi="宋体" w:eastAsia="宋体" w:cs="宋体"/>
                <w:spacing w:val="8"/>
                <w:sz w:val="20"/>
                <w:szCs w:val="20"/>
              </w:rPr>
              <w:t>杂</w:t>
            </w:r>
            <w:r>
              <w:rPr>
                <w:rFonts w:ascii="宋体" w:hAnsi="宋体" w:eastAsia="宋体" w:cs="宋体"/>
                <w:spacing w:val="7"/>
                <w:sz w:val="20"/>
                <w:szCs w:val="20"/>
              </w:rPr>
              <w:t xml:space="preserve">填土内含卵石、砖块、瓦片等建筑垃圾，情况较差，且埋深超过 </w:t>
            </w:r>
            <w:r>
              <w:rPr>
                <w:rFonts w:ascii="Times New Roman" w:hAnsi="Times New Roman" w:eastAsia="Times New Roman" w:cs="Times New Roman"/>
                <w:spacing w:val="7"/>
                <w:sz w:val="20"/>
                <w:szCs w:val="20"/>
              </w:rPr>
              <w:t>3</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，建议采用水</w:t>
            </w:r>
            <w:r>
              <w:rPr>
                <w:rFonts w:ascii="宋体" w:hAnsi="宋体" w:eastAsia="宋体" w:cs="宋体"/>
                <w:sz w:val="20"/>
                <w:szCs w:val="20"/>
              </w:rPr>
              <w:t xml:space="preserve"> </w:t>
            </w:r>
            <w:r>
              <w:rPr>
                <w:rFonts w:ascii="宋体" w:hAnsi="宋体" w:eastAsia="宋体" w:cs="宋体"/>
                <w:spacing w:val="6"/>
                <w:sz w:val="20"/>
                <w:szCs w:val="20"/>
              </w:rPr>
              <w:t>泥搅拌</w:t>
            </w:r>
            <w:r>
              <w:rPr>
                <w:rFonts w:ascii="宋体" w:hAnsi="宋体" w:eastAsia="宋体" w:cs="宋体"/>
                <w:spacing w:val="4"/>
                <w:sz w:val="20"/>
                <w:szCs w:val="20"/>
              </w:rPr>
              <w:t>桩</w:t>
            </w:r>
            <w:r>
              <w:rPr>
                <w:rFonts w:ascii="宋体" w:hAnsi="宋体" w:eastAsia="宋体" w:cs="宋体"/>
                <w:spacing w:val="3"/>
                <w:sz w:val="20"/>
                <w:szCs w:val="20"/>
              </w:rPr>
              <w:t xml:space="preserve">处理。地面线以下先采用四层合格素土压实，每层 </w:t>
            </w:r>
            <w:r>
              <w:rPr>
                <w:rFonts w:ascii="Times New Roman" w:hAnsi="Times New Roman" w:eastAsia="Times New Roman" w:cs="Times New Roman"/>
                <w:spacing w:val="3"/>
                <w:sz w:val="20"/>
                <w:szCs w:val="20"/>
              </w:rPr>
              <w:t>80</w:t>
            </w:r>
            <w:r>
              <w:rPr>
                <w:rFonts w:ascii="Times New Roman" w:hAnsi="Times New Roman" w:eastAsia="Times New Roman" w:cs="Times New Roman"/>
                <w:sz w:val="20"/>
                <w:szCs w:val="20"/>
              </w:rPr>
              <w:t>cm</w:t>
            </w:r>
            <w:r>
              <w:rPr>
                <w:rFonts w:ascii="宋体" w:hAnsi="宋体" w:eastAsia="宋体" w:cs="宋体"/>
                <w:spacing w:val="3"/>
                <w:sz w:val="20"/>
                <w:szCs w:val="20"/>
              </w:rPr>
              <w:t xml:space="preserve">，压实度大于等于 </w:t>
            </w:r>
            <w:r>
              <w:rPr>
                <w:rFonts w:ascii="Times New Roman" w:hAnsi="Times New Roman" w:eastAsia="Times New Roman" w:cs="Times New Roman"/>
                <w:spacing w:val="3"/>
                <w:sz w:val="20"/>
                <w:szCs w:val="20"/>
              </w:rPr>
              <w:t>95%</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14"/>
                <w:sz w:val="20"/>
                <w:szCs w:val="20"/>
              </w:rPr>
              <w:t>再铺筑</w:t>
            </w:r>
            <w:r>
              <w:rPr>
                <w:rFonts w:ascii="宋体" w:hAnsi="宋体" w:eastAsia="宋体" w:cs="宋体"/>
                <w:spacing w:val="11"/>
                <w:sz w:val="20"/>
                <w:szCs w:val="20"/>
              </w:rPr>
              <w:t>一</w:t>
            </w:r>
            <w:r>
              <w:rPr>
                <w:rFonts w:ascii="宋体" w:hAnsi="宋体" w:eastAsia="宋体" w:cs="宋体"/>
                <w:spacing w:val="7"/>
                <w:sz w:val="20"/>
                <w:szCs w:val="20"/>
              </w:rPr>
              <w:t xml:space="preserve">层 </w:t>
            </w:r>
            <w:r>
              <w:rPr>
                <w:rFonts w:ascii="Times New Roman" w:hAnsi="Times New Roman" w:eastAsia="Times New Roman" w:cs="Times New Roman"/>
                <w:spacing w:val="7"/>
                <w:sz w:val="20"/>
                <w:szCs w:val="20"/>
              </w:rPr>
              <w:t>50</w:t>
            </w:r>
            <w:r>
              <w:rPr>
                <w:rFonts w:ascii="Times New Roman" w:hAnsi="Times New Roman" w:eastAsia="Times New Roman" w:cs="Times New Roman"/>
                <w:sz w:val="20"/>
                <w:szCs w:val="20"/>
              </w:rPr>
              <w:t>cm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级配碎石垫层，每层间设置土工格栅，其下再浇筑水泥搅拌桩。</w:t>
            </w:r>
          </w:p>
          <w:p>
            <w:pPr>
              <w:spacing w:before="14" w:line="227" w:lineRule="auto"/>
              <w:ind w:left="528"/>
              <w:rPr>
                <w:rFonts w:ascii="宋体" w:hAnsi="宋体" w:eastAsia="宋体" w:cs="宋体"/>
                <w:sz w:val="20"/>
                <w:szCs w:val="20"/>
              </w:rPr>
            </w:pPr>
            <w:r>
              <w:rPr>
                <w:rFonts w:ascii="宋体" w:hAnsi="宋体" w:eastAsia="宋体" w:cs="宋体"/>
                <w:spacing w:val="14"/>
                <w:sz w:val="20"/>
                <w:szCs w:val="20"/>
              </w:rPr>
              <w:t>利用</w:t>
            </w:r>
            <w:r>
              <w:rPr>
                <w:rFonts w:ascii="宋体" w:hAnsi="宋体" w:eastAsia="宋体" w:cs="宋体"/>
                <w:spacing w:val="9"/>
                <w:sz w:val="20"/>
                <w:szCs w:val="20"/>
              </w:rPr>
              <w:t>水</w:t>
            </w:r>
            <w:r>
              <w:rPr>
                <w:rFonts w:ascii="宋体" w:hAnsi="宋体" w:eastAsia="宋体" w:cs="宋体"/>
                <w:spacing w:val="7"/>
                <w:sz w:val="20"/>
                <w:szCs w:val="20"/>
              </w:rPr>
              <w:t>泥作为固化剂的主剂，通过深层搅拌机械，在地基深处将软土和固化剂强制搅</w:t>
            </w:r>
          </w:p>
          <w:p>
            <w:pPr>
              <w:spacing w:before="153" w:line="369" w:lineRule="auto"/>
              <w:ind w:left="107" w:right="50" w:firstLine="1"/>
              <w:rPr>
                <w:rFonts w:ascii="宋体" w:hAnsi="宋体" w:eastAsia="宋体" w:cs="宋体"/>
                <w:sz w:val="20"/>
                <w:szCs w:val="20"/>
              </w:rPr>
            </w:pPr>
            <w:r>
              <w:rPr>
                <w:rFonts w:ascii="宋体" w:hAnsi="宋体" w:eastAsia="宋体" w:cs="宋体"/>
                <w:spacing w:val="11"/>
                <w:sz w:val="20"/>
                <w:szCs w:val="20"/>
              </w:rPr>
              <w:t>拌，利用固化剂和软土之间产生的一系列物理</w:t>
            </w:r>
            <w:r>
              <w:rPr>
                <w:rFonts w:ascii="Times New Roman" w:hAnsi="Times New Roman" w:eastAsia="Times New Roman" w:cs="Times New Roman"/>
                <w:spacing w:val="11"/>
                <w:sz w:val="20"/>
                <w:szCs w:val="20"/>
              </w:rPr>
              <w:t>-</w:t>
            </w:r>
            <w:r>
              <w:rPr>
                <w:rFonts w:ascii="宋体" w:hAnsi="宋体" w:eastAsia="宋体" w:cs="宋体"/>
                <w:spacing w:val="11"/>
                <w:sz w:val="20"/>
                <w:szCs w:val="20"/>
              </w:rPr>
              <w:t>化学反应，使软土硬结成具有稳定性、</w:t>
            </w:r>
            <w:r>
              <w:rPr>
                <w:rFonts w:ascii="宋体" w:hAnsi="宋体" w:eastAsia="宋体" w:cs="宋体"/>
                <w:spacing w:val="10"/>
                <w:sz w:val="20"/>
                <w:szCs w:val="20"/>
              </w:rPr>
              <w:t>水</w:t>
            </w:r>
            <w:r>
              <w:rPr>
                <w:rFonts w:ascii="宋体" w:hAnsi="宋体" w:eastAsia="宋体" w:cs="宋体"/>
                <w:sz w:val="20"/>
                <w:szCs w:val="20"/>
              </w:rPr>
              <w:t xml:space="preserve"> </w:t>
            </w:r>
            <w:r>
              <w:rPr>
                <w:rFonts w:ascii="宋体" w:hAnsi="宋体" w:eastAsia="宋体" w:cs="宋体"/>
                <w:spacing w:val="6"/>
                <w:sz w:val="20"/>
                <w:szCs w:val="20"/>
              </w:rPr>
              <w:t xml:space="preserve">稳定性和一定强度的优质地基，桩体和桩间土共同承担荷载，构成复合地基。桩径 </w:t>
            </w:r>
            <w:r>
              <w:rPr>
                <w:rFonts w:ascii="Times New Roman" w:hAnsi="Times New Roman" w:eastAsia="Times New Roman" w:cs="Times New Roman"/>
                <w:spacing w:val="6"/>
                <w:sz w:val="20"/>
                <w:szCs w:val="20"/>
              </w:rPr>
              <w:t>0.5</w:t>
            </w:r>
            <w:r>
              <w:rPr>
                <w:rFonts w:ascii="Times New Roman" w:hAnsi="Times New Roman" w:eastAsia="Times New Roman" w:cs="Times New Roman"/>
                <w:sz w:val="20"/>
                <w:szCs w:val="20"/>
              </w:rPr>
              <w:t>m</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1"/>
                <w:sz w:val="20"/>
                <w:szCs w:val="20"/>
              </w:rPr>
              <w:t xml:space="preserve">桩长 </w:t>
            </w:r>
            <w:r>
              <w:rPr>
                <w:rFonts w:ascii="Times New Roman" w:hAnsi="Times New Roman" w:eastAsia="Times New Roman" w:cs="Times New Roman"/>
                <w:spacing w:val="-1"/>
                <w:sz w:val="20"/>
                <w:szCs w:val="20"/>
              </w:rPr>
              <w:t>4-9</w:t>
            </w:r>
            <w:r>
              <w:rPr>
                <w:rFonts w:ascii="Times New Roman" w:hAnsi="Times New Roman" w:eastAsia="Times New Roman" w:cs="Times New Roman"/>
                <w:sz w:val="20"/>
                <w:szCs w:val="20"/>
              </w:rPr>
              <w:t>m</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，机动车道下桩中心间距 </w:t>
            </w:r>
            <w:r>
              <w:rPr>
                <w:rFonts w:ascii="Times New Roman" w:hAnsi="Times New Roman" w:eastAsia="Times New Roman" w:cs="Times New Roman"/>
                <w:spacing w:val="-1"/>
                <w:sz w:val="20"/>
                <w:szCs w:val="20"/>
              </w:rPr>
              <w:t>1. 1</w:t>
            </w:r>
            <w:r>
              <w:rPr>
                <w:rFonts w:ascii="Times New Roman" w:hAnsi="Times New Roman" w:eastAsia="Times New Roman" w:cs="Times New Roman"/>
                <w:sz w:val="20"/>
                <w:szCs w:val="20"/>
              </w:rPr>
              <w:t>m</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，人行道下桩中心间距 </w:t>
            </w:r>
            <w:r>
              <w:rPr>
                <w:rFonts w:ascii="Times New Roman" w:hAnsi="Times New Roman" w:eastAsia="Times New Roman" w:cs="Times New Roman"/>
                <w:spacing w:val="-1"/>
                <w:sz w:val="20"/>
                <w:szCs w:val="20"/>
              </w:rPr>
              <w:t>1.2</w:t>
            </w:r>
            <w:r>
              <w:rPr>
                <w:rFonts w:ascii="Times New Roman" w:hAnsi="Times New Roman" w:eastAsia="Times New Roman" w:cs="Times New Roman"/>
                <w:sz w:val="20"/>
                <w:szCs w:val="20"/>
              </w:rPr>
              <w:t>m</w:t>
            </w:r>
            <w:r>
              <w:rPr>
                <w:rFonts w:ascii="Times New Roman" w:hAnsi="Times New Roman" w:eastAsia="Times New Roman" w:cs="Times New Roman"/>
                <w:spacing w:val="-1"/>
                <w:sz w:val="20"/>
                <w:szCs w:val="20"/>
              </w:rPr>
              <w:t xml:space="preserve"> </w:t>
            </w:r>
            <w:r>
              <w:rPr>
                <w:rFonts w:ascii="宋体" w:hAnsi="宋体" w:eastAsia="宋体" w:cs="宋体"/>
                <w:sz w:val="20"/>
                <w:szCs w:val="20"/>
              </w:rPr>
              <w:t>，水泥搅拌桩必须穿</w:t>
            </w:r>
          </w:p>
          <w:p>
            <w:pPr>
              <w:spacing w:before="1" w:line="227" w:lineRule="auto"/>
              <w:ind w:left="106"/>
              <w:rPr>
                <w:rFonts w:ascii="宋体" w:hAnsi="宋体" w:eastAsia="宋体" w:cs="宋体"/>
                <w:sz w:val="20"/>
                <w:szCs w:val="20"/>
              </w:rPr>
            </w:pPr>
            <w:r>
              <w:rPr>
                <w:rFonts w:ascii="宋体" w:hAnsi="宋体" w:eastAsia="宋体" w:cs="宋体"/>
                <w:spacing w:val="10"/>
                <w:sz w:val="20"/>
                <w:szCs w:val="20"/>
              </w:rPr>
              <w:t>透 (</w:t>
            </w:r>
            <w:r>
              <w:rPr>
                <w:rFonts w:ascii="宋体" w:hAnsi="宋体" w:eastAsia="宋体" w:cs="宋体"/>
                <w:spacing w:val="8"/>
                <w:sz w:val="20"/>
                <w:szCs w:val="20"/>
              </w:rPr>
              <w:t>杂</w:t>
            </w:r>
            <w:r>
              <w:rPr>
                <w:rFonts w:ascii="宋体" w:hAnsi="宋体" w:eastAsia="宋体" w:cs="宋体"/>
                <w:spacing w:val="5"/>
                <w:sz w:val="20"/>
                <w:szCs w:val="20"/>
              </w:rPr>
              <w:t xml:space="preserve">填土层下的) 粉质黏土层不少于 </w:t>
            </w:r>
            <w:r>
              <w:rPr>
                <w:rFonts w:ascii="Times New Roman" w:hAnsi="Times New Roman" w:eastAsia="Times New Roman" w:cs="Times New Roman"/>
                <w:spacing w:val="5"/>
                <w:sz w:val="20"/>
                <w:szCs w:val="20"/>
              </w:rPr>
              <w:t>0.5</w:t>
            </w:r>
            <w:r>
              <w:rPr>
                <w:rFonts w:ascii="Times New Roman" w:hAnsi="Times New Roman" w:eastAsia="Times New Roman" w:cs="Times New Roman"/>
                <w:sz w:val="20"/>
                <w:szCs w:val="20"/>
              </w:rPr>
              <w:t>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，平面采取正三角形状布置。</w:t>
            </w:r>
          </w:p>
          <w:p>
            <w:pPr>
              <w:spacing w:line="16" w:lineRule="exact"/>
            </w:pPr>
          </w:p>
          <w:tbl>
            <w:tblPr>
              <w:tblStyle w:val="4"/>
              <w:tblW w:w="6517" w:type="dxa"/>
              <w:tblInd w:w="88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6517"/>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2921" w:hRule="atLeast"/>
              </w:trPr>
              <w:tc>
                <w:tcPr>
                  <w:tcW w:w="6517" w:type="dxa"/>
                  <w:vAlign w:val="top"/>
                </w:tcPr>
                <w:p>
                  <w:pPr>
                    <w:spacing w:line="2921" w:lineRule="exact"/>
                    <w:textAlignment w:val="center"/>
                  </w:pPr>
                  <w:r>
                    <w:drawing>
                      <wp:inline distT="0" distB="0" distL="0" distR="0">
                        <wp:extent cx="4125595" cy="185483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71"/>
                                <a:stretch>
                                  <a:fillRect/>
                                </a:stretch>
                              </pic:blipFill>
                              <pic:spPr>
                                <a:xfrm>
                                  <a:off x="0" y="0"/>
                                  <a:ext cx="4125595" cy="1854835"/>
                                </a:xfrm>
                                <a:prstGeom prst="rect">
                                  <a:avLst/>
                                </a:prstGeom>
                              </pic:spPr>
                            </pic:pic>
                          </a:graphicData>
                        </a:graphic>
                      </wp:inline>
                    </w:drawing>
                  </w:r>
                </w:p>
              </w:tc>
            </w:tr>
          </w:tbl>
          <w:p>
            <w:pPr>
              <w:spacing w:before="37" w:line="231" w:lineRule="auto"/>
              <w:ind w:left="2571"/>
              <w:rPr>
                <w:rFonts w:ascii="黑体" w:hAnsi="黑体" w:eastAsia="黑体" w:cs="黑体"/>
                <w:sz w:val="19"/>
                <w:szCs w:val="19"/>
              </w:rPr>
            </w:pPr>
            <w:r>
              <w:rPr>
                <w:rFonts w:ascii="黑体" w:hAnsi="黑体" w:eastAsia="黑体" w:cs="黑体"/>
                <w:spacing w:val="11"/>
                <w:sz w:val="19"/>
                <w:szCs w:val="19"/>
              </w:rPr>
              <w:t>图</w:t>
            </w:r>
            <w:r>
              <w:rPr>
                <w:rFonts w:ascii="Times New Roman" w:hAnsi="Times New Roman" w:eastAsia="Times New Roman" w:cs="Times New Roman"/>
                <w:spacing w:val="8"/>
                <w:sz w:val="19"/>
                <w:szCs w:val="19"/>
              </w:rPr>
              <w:t>13</w:t>
            </w:r>
            <w:r>
              <w:rPr>
                <w:rFonts w:ascii="黑体" w:hAnsi="黑体" w:eastAsia="黑体" w:cs="黑体"/>
                <w:spacing w:val="8"/>
                <w:sz w:val="19"/>
                <w:szCs w:val="19"/>
              </w:rPr>
              <w:t>：西岸接线道路路基竖向布置图</w:t>
            </w:r>
          </w:p>
        </w:tc>
      </w:tr>
    </w:tbl>
    <w:p>
      <w:pPr>
        <w:spacing w:line="189" w:lineRule="exact"/>
        <w:rPr>
          <w:rFonts w:ascii="Arial"/>
          <w:sz w:val="16"/>
        </w:rPr>
      </w:pPr>
    </w:p>
    <w:p>
      <w:pPr>
        <w:sectPr>
          <w:footerReference r:id="rId33" w:type="default"/>
          <w:pgSz w:w="11906" w:h="16839"/>
          <w:pgMar w:top="400" w:right="1487" w:bottom="1475" w:left="1486" w:header="0" w:footer="1315" w:gutter="0"/>
          <w:cols w:space="720" w:num="1"/>
        </w:sectPr>
      </w:pPr>
    </w:p>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8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0" w:hRule="atLeast"/>
        </w:trPr>
        <w:tc>
          <w:tcPr>
            <w:tcW w:w="600" w:type="dxa"/>
            <w:tcBorders>
              <w:left w:val="single" w:color="00000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28" w:lineRule="auto"/>
              <w:ind w:left="91"/>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p>
            <w:pPr>
              <w:spacing w:before="26" w:line="229" w:lineRule="auto"/>
              <w:ind w:left="9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组</w:t>
            </w:r>
            <w:r>
              <w:rPr>
                <w:rFonts w:ascii="宋体" w:hAnsi="宋体" w:eastAsia="宋体" w:cs="宋体"/>
                <w:spacing w:val="4"/>
                <w:sz w:val="20"/>
                <w:szCs w:val="20"/>
                <w14:textOutline w14:w="3795" w14:cap="sq" w14:cmpd="sng">
                  <w14:solidFill>
                    <w14:srgbClr w14:val="000000"/>
                  </w14:solidFill>
                  <w14:prstDash w14:val="solid"/>
                  <w14:bevel/>
                </w14:textOutline>
              </w:rPr>
              <w:t>成</w:t>
            </w:r>
          </w:p>
          <w:p>
            <w:pPr>
              <w:spacing w:before="22" w:line="230" w:lineRule="auto"/>
              <w:ind w:left="8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及规</w:t>
            </w:r>
          </w:p>
          <w:p>
            <w:pPr>
              <w:spacing w:before="24" w:line="228" w:lineRule="auto"/>
              <w:ind w:left="190"/>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模</w:t>
            </w:r>
          </w:p>
        </w:tc>
        <w:tc>
          <w:tcPr>
            <w:tcW w:w="8317" w:type="dxa"/>
            <w:tcBorders>
              <w:right w:val="single" w:color="000000" w:sz="6" w:space="0"/>
            </w:tcBorders>
            <w:vAlign w:val="top"/>
          </w:tcPr>
          <w:p>
            <w:pPr>
              <w:spacing w:before="143" w:line="323" w:lineRule="auto"/>
              <w:ind w:left="106" w:right="104" w:firstLine="425"/>
              <w:rPr>
                <w:rFonts w:ascii="宋体" w:hAnsi="宋体" w:eastAsia="宋体" w:cs="宋体"/>
                <w:sz w:val="20"/>
                <w:szCs w:val="20"/>
              </w:rPr>
            </w:pPr>
            <w:r>
              <w:rPr>
                <w:rFonts w:ascii="宋体" w:hAnsi="宋体" w:eastAsia="宋体" w:cs="宋体"/>
                <w:spacing w:val="10"/>
                <w:sz w:val="20"/>
                <w:szCs w:val="20"/>
              </w:rPr>
              <w:t>西岸有</w:t>
            </w:r>
            <w:r>
              <w:rPr>
                <w:rFonts w:ascii="宋体" w:hAnsi="宋体" w:eastAsia="宋体" w:cs="宋体"/>
                <w:spacing w:val="9"/>
                <w:sz w:val="20"/>
                <w:szCs w:val="20"/>
              </w:rPr>
              <w:t xml:space="preserve"> </w:t>
            </w:r>
            <w:r>
              <w:rPr>
                <w:rFonts w:ascii="Times New Roman" w:hAnsi="Times New Roman" w:eastAsia="Times New Roman" w:cs="Times New Roman"/>
                <w:spacing w:val="5"/>
                <w:sz w:val="20"/>
                <w:szCs w:val="20"/>
              </w:rPr>
              <w:t xml:space="preserve">442 </w:t>
            </w:r>
            <w:r>
              <w:rPr>
                <w:rFonts w:ascii="宋体" w:hAnsi="宋体" w:eastAsia="宋体" w:cs="宋体"/>
                <w:spacing w:val="5"/>
                <w:sz w:val="20"/>
                <w:szCs w:val="20"/>
              </w:rPr>
              <w:t>㎡的桥台台背回填的面积需要进行路基回填，回填材料为级配碎石，压实</w:t>
            </w:r>
            <w:r>
              <w:rPr>
                <w:rFonts w:ascii="宋体" w:hAnsi="宋体" w:eastAsia="宋体" w:cs="宋体"/>
                <w:sz w:val="20"/>
                <w:szCs w:val="20"/>
              </w:rPr>
              <w:t xml:space="preserve"> </w:t>
            </w:r>
            <w:r>
              <w:rPr>
                <w:rFonts w:ascii="宋体" w:hAnsi="宋体" w:eastAsia="宋体" w:cs="宋体"/>
                <w:spacing w:val="11"/>
                <w:sz w:val="20"/>
                <w:szCs w:val="20"/>
              </w:rPr>
              <w:t>度</w:t>
            </w:r>
            <w:r>
              <w:rPr>
                <w:rFonts w:ascii="Times New Roman" w:hAnsi="Times New Roman" w:eastAsia="Times New Roman" w:cs="Times New Roman"/>
                <w:spacing w:val="6"/>
                <w:sz w:val="20"/>
                <w:szCs w:val="20"/>
              </w:rPr>
              <w:t xml:space="preserve">≥96% </w:t>
            </w:r>
            <w:r>
              <w:rPr>
                <w:rFonts w:ascii="宋体" w:hAnsi="宋体" w:eastAsia="宋体" w:cs="宋体"/>
                <w:spacing w:val="6"/>
                <w:sz w:val="20"/>
                <w:szCs w:val="20"/>
              </w:rPr>
              <w:t xml:space="preserve">，填高约为 </w:t>
            </w:r>
            <w:r>
              <w:rPr>
                <w:rFonts w:ascii="Times New Roman" w:hAnsi="Times New Roman" w:eastAsia="Times New Roman" w:cs="Times New Roman"/>
                <w:spacing w:val="6"/>
                <w:sz w:val="20"/>
                <w:szCs w:val="20"/>
              </w:rPr>
              <w:t>10</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。滨河路沿州河展线，滨河路右侧为防止放坡侵占河道，设置挡</w:t>
            </w:r>
            <w:r>
              <w:rPr>
                <w:rFonts w:ascii="宋体" w:hAnsi="宋体" w:eastAsia="宋体" w:cs="宋体"/>
                <w:sz w:val="20"/>
                <w:szCs w:val="20"/>
              </w:rPr>
              <w:t xml:space="preserve"> </w:t>
            </w:r>
            <w:r>
              <w:rPr>
                <w:rFonts w:ascii="宋体" w:hAnsi="宋体" w:eastAsia="宋体" w:cs="宋体"/>
                <w:spacing w:val="16"/>
                <w:sz w:val="20"/>
                <w:szCs w:val="20"/>
              </w:rPr>
              <w:t>墙</w:t>
            </w:r>
            <w:r>
              <w:rPr>
                <w:rFonts w:ascii="宋体" w:hAnsi="宋体" w:eastAsia="宋体" w:cs="宋体"/>
                <w:spacing w:val="10"/>
                <w:sz w:val="20"/>
                <w:szCs w:val="20"/>
              </w:rPr>
              <w:t>支</w:t>
            </w:r>
            <w:r>
              <w:rPr>
                <w:rFonts w:ascii="宋体" w:hAnsi="宋体" w:eastAsia="宋体" w:cs="宋体"/>
                <w:spacing w:val="8"/>
                <w:sz w:val="20"/>
                <w:szCs w:val="20"/>
              </w:rPr>
              <w:t>护，支护方式为扶壁式挡墙。</w:t>
            </w:r>
          </w:p>
          <w:p>
            <w:pPr>
              <w:spacing w:line="15" w:lineRule="exact"/>
            </w:pPr>
          </w:p>
          <w:tbl>
            <w:tblPr>
              <w:tblStyle w:val="4"/>
              <w:tblW w:w="7117" w:type="dxa"/>
              <w:tblInd w:w="589"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7117"/>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875" w:hRule="atLeast"/>
              </w:trPr>
              <w:tc>
                <w:tcPr>
                  <w:tcW w:w="7117" w:type="dxa"/>
                  <w:vAlign w:val="top"/>
                </w:tcPr>
                <w:p>
                  <w:pPr>
                    <w:spacing w:line="4875" w:lineRule="exact"/>
                    <w:textAlignment w:val="center"/>
                  </w:pPr>
                  <w:r>
                    <w:drawing>
                      <wp:inline distT="0" distB="0" distL="0" distR="0">
                        <wp:extent cx="4505960" cy="3095625"/>
                        <wp:effectExtent l="0" t="0" r="0" b="0"/>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172"/>
                                <a:stretch>
                                  <a:fillRect/>
                                </a:stretch>
                              </pic:blipFill>
                              <pic:spPr>
                                <a:xfrm>
                                  <a:off x="0" y="0"/>
                                  <a:ext cx="4506594" cy="3095625"/>
                                </a:xfrm>
                                <a:prstGeom prst="rect">
                                  <a:avLst/>
                                </a:prstGeom>
                              </pic:spPr>
                            </pic:pic>
                          </a:graphicData>
                        </a:graphic>
                      </wp:inline>
                    </w:drawing>
                  </w:r>
                </w:p>
              </w:tc>
            </w:tr>
          </w:tbl>
          <w:p>
            <w:pPr>
              <w:spacing w:before="55" w:line="231" w:lineRule="auto"/>
              <w:ind w:left="2771"/>
              <w:rPr>
                <w:rFonts w:ascii="黑体" w:hAnsi="黑体" w:eastAsia="黑体" w:cs="黑体"/>
                <w:sz w:val="19"/>
                <w:szCs w:val="19"/>
              </w:rPr>
            </w:pPr>
            <w:r>
              <w:rPr>
                <w:rFonts w:ascii="黑体" w:hAnsi="黑体" w:eastAsia="黑体" w:cs="黑体"/>
                <w:spacing w:val="8"/>
                <w:sz w:val="19"/>
                <w:szCs w:val="19"/>
              </w:rPr>
              <w:t>图</w:t>
            </w:r>
            <w:r>
              <w:rPr>
                <w:rFonts w:ascii="Times New Roman" w:hAnsi="Times New Roman" w:eastAsia="Times New Roman" w:cs="Times New Roman"/>
                <w:spacing w:val="8"/>
                <w:sz w:val="19"/>
                <w:szCs w:val="19"/>
              </w:rPr>
              <w:t>14</w:t>
            </w:r>
            <w:r>
              <w:rPr>
                <w:rFonts w:ascii="黑体" w:hAnsi="黑体" w:eastAsia="黑体" w:cs="黑体"/>
                <w:spacing w:val="8"/>
                <w:sz w:val="19"/>
                <w:szCs w:val="19"/>
              </w:rPr>
              <w:t>：西岸接线路口改造平面</w:t>
            </w:r>
            <w:r>
              <w:rPr>
                <w:rFonts w:ascii="黑体" w:hAnsi="黑体" w:eastAsia="黑体" w:cs="黑体"/>
                <w:spacing w:val="6"/>
                <w:sz w:val="19"/>
                <w:szCs w:val="19"/>
              </w:rPr>
              <w:t>图</w:t>
            </w:r>
          </w:p>
          <w:p>
            <w:pPr>
              <w:spacing w:before="129" w:line="228" w:lineRule="auto"/>
              <w:ind w:left="537"/>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8"/>
                <w:sz w:val="20"/>
                <w:szCs w:val="20"/>
              </w:rPr>
              <w:t>6</w:t>
            </w: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宋体" w:hAnsi="宋体" w:eastAsia="宋体" w:cs="宋体"/>
                <w:spacing w:val="18"/>
                <w:sz w:val="20"/>
                <w:szCs w:val="20"/>
              </w:rPr>
              <w:t xml:space="preserve"> </w:t>
            </w:r>
            <w:r>
              <w:rPr>
                <w:rFonts w:ascii="宋体" w:hAnsi="宋体" w:eastAsia="宋体" w:cs="宋体"/>
                <w:spacing w:val="18"/>
                <w:sz w:val="20"/>
                <w:szCs w:val="20"/>
                <w14:textOutline w14:w="3795" w14:cap="sq" w14:cmpd="sng">
                  <w14:solidFill>
                    <w14:srgbClr w14:val="000000"/>
                  </w14:solidFill>
                  <w14:prstDash w14:val="solid"/>
                  <w14:bevel/>
                </w14:textOutline>
              </w:rPr>
              <w:t>路面工程</w:t>
            </w:r>
          </w:p>
          <w:p>
            <w:pPr>
              <w:spacing w:before="154" w:line="369" w:lineRule="auto"/>
              <w:ind w:left="114" w:right="122" w:firstLine="414"/>
              <w:rPr>
                <w:rFonts w:ascii="宋体" w:hAnsi="宋体" w:eastAsia="宋体" w:cs="宋体"/>
                <w:sz w:val="20"/>
                <w:szCs w:val="20"/>
              </w:rPr>
            </w:pPr>
            <w:r>
              <w:rPr>
                <w:rFonts w:ascii="宋体" w:hAnsi="宋体" w:eastAsia="宋体" w:cs="宋体"/>
                <w:spacing w:val="14"/>
                <w:sz w:val="20"/>
                <w:szCs w:val="20"/>
              </w:rPr>
              <w:t>本项</w:t>
            </w:r>
            <w:r>
              <w:rPr>
                <w:rFonts w:ascii="宋体" w:hAnsi="宋体" w:eastAsia="宋体" w:cs="宋体"/>
                <w:spacing w:val="13"/>
                <w:sz w:val="20"/>
                <w:szCs w:val="20"/>
              </w:rPr>
              <w:t>目</w:t>
            </w:r>
            <w:r>
              <w:rPr>
                <w:rFonts w:ascii="宋体" w:hAnsi="宋体" w:eastAsia="宋体" w:cs="宋体"/>
                <w:spacing w:val="7"/>
                <w:sz w:val="20"/>
                <w:szCs w:val="20"/>
              </w:rPr>
              <w:t xml:space="preserve">采用沥青混凝土路面作为路面结构。对本道路上面层采用 </w:t>
            </w:r>
            <w:r>
              <w:rPr>
                <w:rFonts w:ascii="Times New Roman" w:hAnsi="Times New Roman" w:eastAsia="Times New Roman" w:cs="Times New Roman"/>
                <w:sz w:val="20"/>
                <w:szCs w:val="20"/>
              </w:rPr>
              <w:t>SMA</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沥青混凝土。</w:t>
            </w:r>
            <w:r>
              <w:rPr>
                <w:rFonts w:ascii="宋体" w:hAnsi="宋体" w:eastAsia="宋体" w:cs="宋体"/>
                <w:sz w:val="20"/>
                <w:szCs w:val="20"/>
              </w:rPr>
              <w:t xml:space="preserve"> </w:t>
            </w:r>
            <w:r>
              <w:rPr>
                <w:rFonts w:ascii="宋体" w:hAnsi="宋体" w:eastAsia="宋体" w:cs="宋体"/>
                <w:spacing w:val="13"/>
                <w:sz w:val="20"/>
                <w:szCs w:val="20"/>
              </w:rPr>
              <w:t>下</w:t>
            </w:r>
            <w:r>
              <w:rPr>
                <w:rFonts w:ascii="宋体" w:hAnsi="宋体" w:eastAsia="宋体" w:cs="宋体"/>
                <w:spacing w:val="7"/>
                <w:sz w:val="20"/>
                <w:szCs w:val="20"/>
              </w:rPr>
              <w:t>面层采用普通沥青砼。</w:t>
            </w:r>
          </w:p>
          <w:p>
            <w:pPr>
              <w:tabs>
                <w:tab w:val="left" w:pos="599"/>
              </w:tabs>
              <w:spacing w:before="1" w:line="226" w:lineRule="auto"/>
              <w:ind w:left="519"/>
              <w:rPr>
                <w:rFonts w:ascii="宋体" w:hAnsi="宋体" w:eastAsia="宋体" w:cs="宋体"/>
                <w:sz w:val="20"/>
                <w:szCs w:val="20"/>
              </w:rPr>
            </w:pPr>
            <w:r>
              <w:rPr>
                <w:rFonts w:ascii="宋体" w:hAnsi="宋体" w:eastAsia="宋体" w:cs="宋体"/>
                <w:sz w:val="17"/>
                <w:szCs w:val="17"/>
              </w:rPr>
              <w:tab/>
            </w:r>
            <w:r>
              <w:rPr>
                <w:rFonts w:ascii="宋体" w:hAnsi="宋体" w:eastAsia="宋体" w:cs="宋体"/>
                <w:spacing w:val="7"/>
                <w:sz w:val="17"/>
                <w:szCs w:val="17"/>
              </w:rPr>
              <w:t xml:space="preserve">1   </w:t>
            </w:r>
            <w:r>
              <w:rPr>
                <w:rFonts w:ascii="宋体" w:hAnsi="宋体" w:eastAsia="宋体" w:cs="宋体"/>
                <w:spacing w:val="7"/>
                <w:sz w:val="20"/>
                <w:szCs w:val="20"/>
              </w:rPr>
              <w:t>机动车道路面结构组合如下</w:t>
            </w:r>
            <w:r>
              <w:rPr>
                <w:rFonts w:ascii="宋体" w:hAnsi="宋体" w:eastAsia="宋体" w:cs="宋体"/>
                <w:spacing w:val="6"/>
                <w:sz w:val="20"/>
                <w:szCs w:val="20"/>
              </w:rPr>
              <w:t>：</w:t>
            </w:r>
          </w:p>
          <w:p>
            <w:pPr>
              <w:spacing w:before="155" w:line="401" w:lineRule="exact"/>
              <w:ind w:left="529"/>
              <w:rPr>
                <w:rFonts w:ascii="宋体" w:hAnsi="宋体" w:eastAsia="宋体" w:cs="宋体"/>
                <w:sz w:val="20"/>
                <w:szCs w:val="20"/>
              </w:rPr>
            </w:pPr>
            <w:r>
              <w:rPr>
                <w:rFonts w:ascii="宋体" w:hAnsi="宋体" w:eastAsia="宋体" w:cs="宋体"/>
                <w:spacing w:val="6"/>
                <w:position w:val="14"/>
                <w:sz w:val="20"/>
                <w:szCs w:val="20"/>
              </w:rPr>
              <w:t>上面层：</w:t>
            </w:r>
            <w:r>
              <w:rPr>
                <w:rFonts w:ascii="Times New Roman" w:hAnsi="Times New Roman" w:eastAsia="Times New Roman" w:cs="Times New Roman"/>
                <w:spacing w:val="6"/>
                <w:position w:val="14"/>
                <w:sz w:val="20"/>
                <w:szCs w:val="20"/>
              </w:rPr>
              <w:t>5</w:t>
            </w:r>
            <w:r>
              <w:rPr>
                <w:rFonts w:ascii="Times New Roman" w:hAnsi="Times New Roman" w:eastAsia="Times New Roman" w:cs="Times New Roman"/>
                <w:position w:val="14"/>
                <w:sz w:val="20"/>
                <w:szCs w:val="20"/>
              </w:rPr>
              <w:t>cm</w:t>
            </w:r>
            <w:r>
              <w:rPr>
                <w:rFonts w:ascii="Times New Roman" w:hAnsi="Times New Roman" w:eastAsia="Times New Roman" w:cs="Times New Roman"/>
                <w:spacing w:val="6"/>
                <w:position w:val="14"/>
                <w:sz w:val="20"/>
                <w:szCs w:val="20"/>
              </w:rPr>
              <w:t xml:space="preserve"> </w:t>
            </w:r>
            <w:r>
              <w:rPr>
                <w:rFonts w:ascii="Times New Roman" w:hAnsi="Times New Roman" w:eastAsia="Times New Roman" w:cs="Times New Roman"/>
                <w:position w:val="14"/>
                <w:sz w:val="20"/>
                <w:szCs w:val="20"/>
              </w:rPr>
              <w:t>SMA</w:t>
            </w:r>
            <w:r>
              <w:rPr>
                <w:rFonts w:ascii="Times New Roman" w:hAnsi="Times New Roman" w:eastAsia="Times New Roman" w:cs="Times New Roman"/>
                <w:spacing w:val="6"/>
                <w:position w:val="14"/>
                <w:sz w:val="20"/>
                <w:szCs w:val="20"/>
              </w:rPr>
              <w:t xml:space="preserve">- 13 </w:t>
            </w:r>
            <w:r>
              <w:rPr>
                <w:rFonts w:ascii="宋体" w:hAnsi="宋体" w:eastAsia="宋体" w:cs="宋体"/>
                <w:spacing w:val="6"/>
                <w:position w:val="14"/>
                <w:sz w:val="20"/>
                <w:szCs w:val="20"/>
              </w:rPr>
              <w:t>改性沥青玛蹄</w:t>
            </w:r>
            <w:r>
              <w:rPr>
                <w:rFonts w:ascii="宋体" w:hAnsi="宋体" w:eastAsia="宋体" w:cs="宋体"/>
                <w:spacing w:val="2"/>
                <w:position w:val="14"/>
                <w:sz w:val="20"/>
                <w:szCs w:val="20"/>
              </w:rPr>
              <w:t>脂</w:t>
            </w:r>
          </w:p>
          <w:p>
            <w:pPr>
              <w:spacing w:before="1" w:line="226" w:lineRule="auto"/>
              <w:ind w:left="534"/>
              <w:rPr>
                <w:rFonts w:ascii="宋体" w:hAnsi="宋体" w:eastAsia="宋体" w:cs="宋体"/>
                <w:sz w:val="20"/>
                <w:szCs w:val="20"/>
              </w:rPr>
            </w:pPr>
            <w:r>
              <w:rPr>
                <w:rFonts w:ascii="宋体" w:hAnsi="宋体" w:eastAsia="宋体" w:cs="宋体"/>
                <w:spacing w:val="11"/>
                <w:sz w:val="20"/>
                <w:szCs w:val="20"/>
              </w:rPr>
              <w:t>下</w:t>
            </w:r>
            <w:r>
              <w:rPr>
                <w:rFonts w:ascii="宋体" w:hAnsi="宋体" w:eastAsia="宋体" w:cs="宋体"/>
                <w:spacing w:val="8"/>
                <w:sz w:val="20"/>
                <w:szCs w:val="20"/>
              </w:rPr>
              <w:t>面层：</w:t>
            </w:r>
            <w:r>
              <w:rPr>
                <w:rFonts w:ascii="Times New Roman" w:hAnsi="Times New Roman" w:eastAsia="Times New Roman" w:cs="Times New Roman"/>
                <w:spacing w:val="8"/>
                <w:sz w:val="20"/>
                <w:szCs w:val="20"/>
              </w:rPr>
              <w:t>7</w:t>
            </w:r>
            <w:r>
              <w:rPr>
                <w:rFonts w:ascii="Times New Roman" w:hAnsi="Times New Roman" w:eastAsia="Times New Roman" w:cs="Times New Roman"/>
                <w:sz w:val="20"/>
                <w:szCs w:val="20"/>
              </w:rPr>
              <w:t>cm</w:t>
            </w:r>
            <w:r>
              <w:rPr>
                <w:rFonts w:ascii="Times New Roman" w:hAnsi="Times New Roman" w:eastAsia="Times New Roman" w:cs="Times New Roman"/>
                <w:spacing w:val="8"/>
                <w:sz w:val="20"/>
                <w:szCs w:val="20"/>
              </w:rPr>
              <w:t xml:space="preserve"> </w:t>
            </w:r>
            <w:r>
              <w:rPr>
                <w:rFonts w:ascii="Times New Roman" w:hAnsi="Times New Roman" w:eastAsia="Times New Roman" w:cs="Times New Roman"/>
                <w:sz w:val="20"/>
                <w:szCs w:val="20"/>
              </w:rPr>
              <w:t>AC</w:t>
            </w:r>
            <w:r>
              <w:rPr>
                <w:rFonts w:ascii="Times New Roman" w:hAnsi="Times New Roman" w:eastAsia="Times New Roman" w:cs="Times New Roman"/>
                <w:spacing w:val="8"/>
                <w:sz w:val="20"/>
                <w:szCs w:val="20"/>
              </w:rPr>
              <w:t>-20</w:t>
            </w:r>
            <w:r>
              <w:rPr>
                <w:rFonts w:ascii="Times New Roman" w:hAnsi="Times New Roman" w:eastAsia="Times New Roman" w:cs="Times New Roman"/>
                <w:sz w:val="20"/>
                <w:szCs w:val="20"/>
              </w:rPr>
              <w:t>C</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中粒式沥青混凝土</w:t>
            </w:r>
          </w:p>
          <w:p>
            <w:pPr>
              <w:spacing w:before="115" w:line="281" w:lineRule="exact"/>
              <w:ind w:left="529"/>
              <w:rPr>
                <w:rFonts w:ascii="宋体" w:hAnsi="宋体" w:eastAsia="宋体" w:cs="宋体"/>
                <w:sz w:val="20"/>
                <w:szCs w:val="20"/>
              </w:rPr>
            </w:pPr>
            <w:r>
              <w:rPr>
                <w:rFonts w:ascii="宋体" w:hAnsi="宋体" w:eastAsia="宋体" w:cs="宋体"/>
                <w:spacing w:val="15"/>
                <w:position w:val="1"/>
                <w:sz w:val="20"/>
                <w:szCs w:val="20"/>
              </w:rPr>
              <w:t>上</w:t>
            </w:r>
            <w:r>
              <w:rPr>
                <w:rFonts w:ascii="宋体" w:hAnsi="宋体" w:eastAsia="宋体" w:cs="宋体"/>
                <w:spacing w:val="8"/>
                <w:position w:val="1"/>
                <w:sz w:val="20"/>
                <w:szCs w:val="20"/>
              </w:rPr>
              <w:t>基层：</w:t>
            </w:r>
            <w:r>
              <w:rPr>
                <w:rFonts w:ascii="Times New Roman" w:hAnsi="Times New Roman" w:eastAsia="Times New Roman" w:cs="Times New Roman"/>
                <w:spacing w:val="8"/>
                <w:position w:val="1"/>
                <w:sz w:val="20"/>
                <w:szCs w:val="20"/>
              </w:rPr>
              <w:t>20</w:t>
            </w:r>
            <w:r>
              <w:rPr>
                <w:rFonts w:ascii="Times New Roman" w:hAnsi="Times New Roman" w:eastAsia="Times New Roman" w:cs="Times New Roman"/>
                <w:position w:val="1"/>
                <w:sz w:val="20"/>
                <w:szCs w:val="20"/>
              </w:rPr>
              <w:t>cm</w:t>
            </w:r>
            <w:r>
              <w:rPr>
                <w:rFonts w:ascii="Times New Roman" w:hAnsi="Times New Roman" w:eastAsia="Times New Roman" w:cs="Times New Roman"/>
                <w:spacing w:val="8"/>
                <w:position w:val="1"/>
                <w:sz w:val="20"/>
                <w:szCs w:val="20"/>
              </w:rPr>
              <w:t xml:space="preserve"> 5%</w:t>
            </w:r>
            <w:r>
              <w:rPr>
                <w:rFonts w:ascii="宋体" w:hAnsi="宋体" w:eastAsia="宋体" w:cs="宋体"/>
                <w:spacing w:val="8"/>
                <w:position w:val="1"/>
                <w:sz w:val="20"/>
                <w:szCs w:val="20"/>
              </w:rPr>
              <w:t>水泥稳定级配碎石</w:t>
            </w:r>
          </w:p>
          <w:p>
            <w:pPr>
              <w:spacing w:before="120" w:line="281" w:lineRule="exact"/>
              <w:ind w:left="534"/>
              <w:rPr>
                <w:rFonts w:ascii="宋体" w:hAnsi="宋体" w:eastAsia="宋体" w:cs="宋体"/>
                <w:sz w:val="20"/>
                <w:szCs w:val="20"/>
              </w:rPr>
            </w:pPr>
            <w:r>
              <w:rPr>
                <w:rFonts w:ascii="宋体" w:hAnsi="宋体" w:eastAsia="宋体" w:cs="宋体"/>
                <w:spacing w:val="14"/>
                <w:position w:val="1"/>
                <w:sz w:val="20"/>
                <w:szCs w:val="20"/>
              </w:rPr>
              <w:t>下基</w:t>
            </w:r>
            <w:r>
              <w:rPr>
                <w:rFonts w:ascii="宋体" w:hAnsi="宋体" w:eastAsia="宋体" w:cs="宋体"/>
                <w:spacing w:val="7"/>
                <w:position w:val="1"/>
                <w:sz w:val="20"/>
                <w:szCs w:val="20"/>
              </w:rPr>
              <w:t>层：</w:t>
            </w:r>
            <w:r>
              <w:rPr>
                <w:rFonts w:ascii="Times New Roman" w:hAnsi="Times New Roman" w:eastAsia="Times New Roman" w:cs="Times New Roman"/>
                <w:spacing w:val="7"/>
                <w:position w:val="1"/>
                <w:sz w:val="20"/>
                <w:szCs w:val="20"/>
              </w:rPr>
              <w:t>20</w:t>
            </w:r>
            <w:r>
              <w:rPr>
                <w:rFonts w:ascii="Times New Roman" w:hAnsi="Times New Roman" w:eastAsia="Times New Roman" w:cs="Times New Roman"/>
                <w:position w:val="1"/>
                <w:sz w:val="20"/>
                <w:szCs w:val="20"/>
              </w:rPr>
              <w:t>cm</w:t>
            </w:r>
            <w:r>
              <w:rPr>
                <w:rFonts w:ascii="Times New Roman" w:hAnsi="Times New Roman" w:eastAsia="Times New Roman" w:cs="Times New Roman"/>
                <w:spacing w:val="7"/>
                <w:position w:val="1"/>
                <w:sz w:val="20"/>
                <w:szCs w:val="20"/>
              </w:rPr>
              <w:t xml:space="preserve"> 4.5%</w:t>
            </w:r>
            <w:r>
              <w:rPr>
                <w:rFonts w:ascii="宋体" w:hAnsi="宋体" w:eastAsia="宋体" w:cs="宋体"/>
                <w:spacing w:val="7"/>
                <w:position w:val="1"/>
                <w:sz w:val="20"/>
                <w:szCs w:val="20"/>
              </w:rPr>
              <w:t>水泥稳定级配碎石</w:t>
            </w:r>
          </w:p>
          <w:p>
            <w:pPr>
              <w:spacing w:before="157" w:line="228" w:lineRule="auto"/>
              <w:ind w:left="526"/>
              <w:rPr>
                <w:rFonts w:ascii="宋体" w:hAnsi="宋体" w:eastAsia="宋体" w:cs="宋体"/>
                <w:sz w:val="20"/>
                <w:szCs w:val="20"/>
              </w:rPr>
            </w:pPr>
            <w:r>
              <w:rPr>
                <w:rFonts w:ascii="宋体" w:hAnsi="宋体" w:eastAsia="宋体" w:cs="宋体"/>
                <w:spacing w:val="9"/>
                <w:sz w:val="20"/>
                <w:szCs w:val="20"/>
              </w:rPr>
              <w:t>底</w:t>
            </w:r>
            <w:r>
              <w:rPr>
                <w:rFonts w:ascii="宋体" w:hAnsi="宋体" w:eastAsia="宋体" w:cs="宋体"/>
                <w:spacing w:val="8"/>
                <w:sz w:val="20"/>
                <w:szCs w:val="20"/>
              </w:rPr>
              <w:t>基层：</w:t>
            </w:r>
            <w:r>
              <w:rPr>
                <w:rFonts w:ascii="Times New Roman" w:hAnsi="Times New Roman" w:eastAsia="Times New Roman" w:cs="Times New Roman"/>
                <w:spacing w:val="8"/>
                <w:sz w:val="20"/>
                <w:szCs w:val="20"/>
              </w:rPr>
              <w:t>20</w:t>
            </w:r>
            <w:r>
              <w:rPr>
                <w:rFonts w:ascii="Times New Roman" w:hAnsi="Times New Roman" w:eastAsia="Times New Roman" w:cs="Times New Roman"/>
                <w:sz w:val="20"/>
                <w:szCs w:val="20"/>
              </w:rPr>
              <w:t>cm</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级配碎石</w:t>
            </w:r>
          </w:p>
          <w:p>
            <w:pPr>
              <w:spacing w:before="151" w:line="401" w:lineRule="exact"/>
              <w:ind w:left="588"/>
              <w:rPr>
                <w:rFonts w:ascii="宋体" w:hAnsi="宋体" w:eastAsia="宋体" w:cs="宋体"/>
                <w:sz w:val="20"/>
                <w:szCs w:val="20"/>
              </w:rPr>
            </w:pPr>
            <w:r>
              <w:rPr>
                <w:rFonts w:ascii="宋体" w:hAnsi="宋体" w:eastAsia="宋体" w:cs="宋体"/>
                <w:spacing w:val="14"/>
                <w:position w:val="14"/>
                <w:sz w:val="17"/>
                <w:szCs w:val="17"/>
              </w:rPr>
              <w:t>2</w:t>
            </w:r>
            <w:r>
              <w:rPr>
                <w:rFonts w:ascii="宋体" w:hAnsi="宋体" w:eastAsia="宋体" w:cs="宋体"/>
                <w:spacing w:val="7"/>
                <w:position w:val="14"/>
                <w:sz w:val="17"/>
                <w:szCs w:val="17"/>
              </w:rPr>
              <w:t xml:space="preserve">   </w:t>
            </w:r>
            <w:r>
              <w:rPr>
                <w:rFonts w:ascii="宋体" w:hAnsi="宋体" w:eastAsia="宋体" w:cs="宋体"/>
                <w:spacing w:val="7"/>
                <w:position w:val="14"/>
                <w:sz w:val="20"/>
                <w:szCs w:val="20"/>
              </w:rPr>
              <w:t>人行道路面结构组合如下：</w:t>
            </w:r>
          </w:p>
          <w:p>
            <w:pPr>
              <w:spacing w:before="1" w:line="227" w:lineRule="auto"/>
              <w:ind w:left="109"/>
              <w:rPr>
                <w:rFonts w:ascii="宋体" w:hAnsi="宋体" w:eastAsia="宋体" w:cs="宋体"/>
                <w:sz w:val="20"/>
                <w:szCs w:val="20"/>
              </w:rPr>
            </w:pPr>
            <w:r>
              <w:rPr>
                <w:rFonts w:ascii="宋体" w:hAnsi="宋体" w:eastAsia="宋体" w:cs="宋体"/>
                <w:spacing w:val="9"/>
                <w:sz w:val="20"/>
                <w:szCs w:val="20"/>
              </w:rPr>
              <w:t>上面层：</w:t>
            </w:r>
            <w:r>
              <w:rPr>
                <w:rFonts w:ascii="Times New Roman" w:hAnsi="Times New Roman" w:eastAsia="Times New Roman" w:cs="Times New Roman"/>
                <w:spacing w:val="9"/>
                <w:sz w:val="20"/>
                <w:szCs w:val="20"/>
              </w:rPr>
              <w:t>5</w:t>
            </w:r>
            <w:r>
              <w:rPr>
                <w:rFonts w:ascii="Times New Roman" w:hAnsi="Times New Roman" w:eastAsia="Times New Roman" w:cs="Times New Roman"/>
                <w:sz w:val="20"/>
                <w:szCs w:val="20"/>
              </w:rPr>
              <w:t>cm</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花岗岩面</w:t>
            </w:r>
            <w:r>
              <w:rPr>
                <w:rFonts w:ascii="宋体" w:hAnsi="宋体" w:eastAsia="宋体" w:cs="宋体"/>
                <w:spacing w:val="7"/>
                <w:sz w:val="20"/>
                <w:szCs w:val="20"/>
              </w:rPr>
              <w:t>砖</w:t>
            </w:r>
          </w:p>
          <w:p>
            <w:pPr>
              <w:spacing w:before="154" w:line="399" w:lineRule="exact"/>
              <w:ind w:left="523"/>
              <w:rPr>
                <w:rFonts w:ascii="Times New Roman" w:hAnsi="Times New Roman" w:eastAsia="Times New Roman" w:cs="Times New Roman"/>
                <w:sz w:val="20"/>
                <w:szCs w:val="20"/>
              </w:rPr>
            </w:pPr>
            <w:r>
              <w:rPr>
                <w:rFonts w:ascii="Times New Roman" w:hAnsi="Times New Roman" w:eastAsia="Times New Roman" w:cs="Times New Roman"/>
                <w:position w:val="14"/>
                <w:sz w:val="20"/>
                <w:szCs w:val="20"/>
              </w:rPr>
              <w:t>M</w:t>
            </w:r>
            <w:r>
              <w:rPr>
                <w:rFonts w:ascii="Times New Roman" w:hAnsi="Times New Roman" w:eastAsia="Times New Roman" w:cs="Times New Roman"/>
                <w:spacing w:val="14"/>
                <w:position w:val="14"/>
                <w:sz w:val="20"/>
                <w:szCs w:val="20"/>
              </w:rPr>
              <w:t>7</w:t>
            </w:r>
            <w:r>
              <w:rPr>
                <w:rFonts w:ascii="Times New Roman" w:hAnsi="Times New Roman" w:eastAsia="Times New Roman" w:cs="Times New Roman"/>
                <w:spacing w:val="8"/>
                <w:position w:val="14"/>
                <w:sz w:val="20"/>
                <w:szCs w:val="20"/>
              </w:rPr>
              <w:t xml:space="preserve">.5 </w:t>
            </w:r>
            <w:r>
              <w:rPr>
                <w:rFonts w:ascii="宋体" w:hAnsi="宋体" w:eastAsia="宋体" w:cs="宋体"/>
                <w:spacing w:val="8"/>
                <w:position w:val="14"/>
                <w:sz w:val="20"/>
                <w:szCs w:val="20"/>
              </w:rPr>
              <w:t>水泥砂浆：</w:t>
            </w:r>
            <w:r>
              <w:rPr>
                <w:rFonts w:ascii="Times New Roman" w:hAnsi="Times New Roman" w:eastAsia="Times New Roman" w:cs="Times New Roman"/>
                <w:spacing w:val="8"/>
                <w:position w:val="14"/>
                <w:sz w:val="20"/>
                <w:szCs w:val="20"/>
              </w:rPr>
              <w:t>3</w:t>
            </w:r>
            <w:r>
              <w:rPr>
                <w:rFonts w:ascii="Times New Roman" w:hAnsi="Times New Roman" w:eastAsia="Times New Roman" w:cs="Times New Roman"/>
                <w:position w:val="14"/>
                <w:sz w:val="20"/>
                <w:szCs w:val="20"/>
              </w:rPr>
              <w:t>cm</w:t>
            </w:r>
          </w:p>
          <w:p>
            <w:pPr>
              <w:spacing w:line="227" w:lineRule="auto"/>
              <w:ind w:left="527"/>
              <w:rPr>
                <w:rFonts w:ascii="宋体" w:hAnsi="宋体" w:eastAsia="宋体" w:cs="宋体"/>
                <w:sz w:val="20"/>
                <w:szCs w:val="20"/>
              </w:rPr>
            </w:pPr>
            <w:r>
              <w:rPr>
                <w:rFonts w:ascii="宋体" w:hAnsi="宋体" w:eastAsia="宋体" w:cs="宋体"/>
                <w:spacing w:val="14"/>
                <w:sz w:val="20"/>
                <w:szCs w:val="20"/>
              </w:rPr>
              <w:t>基</w:t>
            </w:r>
            <w:r>
              <w:rPr>
                <w:rFonts w:ascii="宋体" w:hAnsi="宋体" w:eastAsia="宋体" w:cs="宋体"/>
                <w:spacing w:val="9"/>
                <w:sz w:val="20"/>
                <w:szCs w:val="20"/>
              </w:rPr>
              <w:t>层</w:t>
            </w:r>
            <w:r>
              <w:rPr>
                <w:rFonts w:ascii="宋体" w:hAnsi="宋体" w:eastAsia="宋体" w:cs="宋体"/>
                <w:spacing w:val="7"/>
                <w:sz w:val="20"/>
                <w:szCs w:val="20"/>
              </w:rPr>
              <w:t>：</w:t>
            </w:r>
            <w:r>
              <w:rPr>
                <w:rFonts w:ascii="Times New Roman" w:hAnsi="Times New Roman" w:eastAsia="Times New Roman" w:cs="Times New Roman"/>
                <w:spacing w:val="7"/>
                <w:sz w:val="20"/>
                <w:szCs w:val="20"/>
              </w:rPr>
              <w:t>15</w:t>
            </w:r>
            <w:r>
              <w:rPr>
                <w:rFonts w:ascii="Times New Roman" w:hAnsi="Times New Roman" w:eastAsia="Times New Roman" w:cs="Times New Roman"/>
                <w:sz w:val="20"/>
                <w:szCs w:val="20"/>
              </w:rPr>
              <w:t>cm</w:t>
            </w:r>
            <w:r>
              <w:rPr>
                <w:rFonts w:ascii="Times New Roman" w:hAnsi="Times New Roman" w:eastAsia="Times New Roman" w:cs="Times New Roman"/>
                <w:spacing w:val="7"/>
                <w:sz w:val="20"/>
                <w:szCs w:val="20"/>
              </w:rPr>
              <w:t xml:space="preserve"> </w:t>
            </w:r>
            <w:r>
              <w:rPr>
                <w:rFonts w:ascii="Times New Roman" w:hAnsi="Times New Roman" w:eastAsia="Times New Roman" w:cs="Times New Roman"/>
                <w:sz w:val="20"/>
                <w:szCs w:val="20"/>
              </w:rPr>
              <w:t>C</w:t>
            </w:r>
            <w:r>
              <w:rPr>
                <w:rFonts w:ascii="Times New Roman" w:hAnsi="Times New Roman" w:eastAsia="Times New Roman" w:cs="Times New Roman"/>
                <w:spacing w:val="7"/>
                <w:sz w:val="20"/>
                <w:szCs w:val="20"/>
              </w:rPr>
              <w:t xml:space="preserve">20 </w:t>
            </w:r>
            <w:r>
              <w:rPr>
                <w:rFonts w:ascii="宋体" w:hAnsi="宋体" w:eastAsia="宋体" w:cs="宋体"/>
                <w:spacing w:val="7"/>
                <w:sz w:val="20"/>
                <w:szCs w:val="20"/>
              </w:rPr>
              <w:t>混凝土</w:t>
            </w:r>
          </w:p>
          <w:p>
            <w:pPr>
              <w:spacing w:before="154" w:line="228" w:lineRule="auto"/>
              <w:ind w:left="526"/>
              <w:rPr>
                <w:rFonts w:ascii="宋体" w:hAnsi="宋体" w:eastAsia="宋体" w:cs="宋体"/>
                <w:sz w:val="20"/>
                <w:szCs w:val="20"/>
              </w:rPr>
            </w:pPr>
            <w:r>
              <w:rPr>
                <w:rFonts w:ascii="宋体" w:hAnsi="宋体" w:eastAsia="宋体" w:cs="宋体"/>
                <w:spacing w:val="9"/>
                <w:sz w:val="20"/>
                <w:szCs w:val="20"/>
              </w:rPr>
              <w:t>底</w:t>
            </w:r>
            <w:r>
              <w:rPr>
                <w:rFonts w:ascii="宋体" w:hAnsi="宋体" w:eastAsia="宋体" w:cs="宋体"/>
                <w:spacing w:val="8"/>
                <w:sz w:val="20"/>
                <w:szCs w:val="20"/>
              </w:rPr>
              <w:t>基层：</w:t>
            </w:r>
            <w:r>
              <w:rPr>
                <w:rFonts w:ascii="Times New Roman" w:hAnsi="Times New Roman" w:eastAsia="Times New Roman" w:cs="Times New Roman"/>
                <w:spacing w:val="8"/>
                <w:sz w:val="20"/>
                <w:szCs w:val="20"/>
              </w:rPr>
              <w:t>10</w:t>
            </w:r>
            <w:r>
              <w:rPr>
                <w:rFonts w:ascii="Times New Roman" w:hAnsi="Times New Roman" w:eastAsia="Times New Roman" w:cs="Times New Roman"/>
                <w:sz w:val="20"/>
                <w:szCs w:val="20"/>
              </w:rPr>
              <w:t>cm</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级配碎石</w:t>
            </w:r>
          </w:p>
          <w:p>
            <w:pPr>
              <w:spacing w:before="154" w:line="228" w:lineRule="auto"/>
              <w:ind w:left="529"/>
              <w:rPr>
                <w:rFonts w:ascii="宋体" w:hAnsi="宋体" w:eastAsia="宋体" w:cs="宋体"/>
                <w:sz w:val="20"/>
                <w:szCs w:val="20"/>
              </w:rPr>
            </w:pPr>
            <w:r>
              <w:rPr>
                <w:rFonts w:ascii="宋体" w:hAnsi="宋体" w:eastAsia="宋体" w:cs="宋体"/>
                <w:spacing w:val="16"/>
                <w:sz w:val="20"/>
                <w:szCs w:val="20"/>
              </w:rPr>
              <w:t>路</w:t>
            </w:r>
            <w:r>
              <w:rPr>
                <w:rFonts w:ascii="宋体" w:hAnsi="宋体" w:eastAsia="宋体" w:cs="宋体"/>
                <w:spacing w:val="10"/>
                <w:sz w:val="20"/>
                <w:szCs w:val="20"/>
              </w:rPr>
              <w:t>面</w:t>
            </w:r>
            <w:r>
              <w:rPr>
                <w:rFonts w:ascii="宋体" w:hAnsi="宋体" w:eastAsia="宋体" w:cs="宋体"/>
                <w:spacing w:val="8"/>
                <w:sz w:val="20"/>
                <w:szCs w:val="20"/>
              </w:rPr>
              <w:t xml:space="preserve">弯沉值：路基顶面交工验收弯沉值为 </w:t>
            </w:r>
            <w:r>
              <w:rPr>
                <w:rFonts w:ascii="Times New Roman" w:hAnsi="Times New Roman" w:eastAsia="Times New Roman" w:cs="Times New Roman"/>
                <w:spacing w:val="8"/>
                <w:sz w:val="20"/>
                <w:szCs w:val="20"/>
              </w:rPr>
              <w:t>310.5</w:t>
            </w:r>
            <w:r>
              <w:rPr>
                <w:rFonts w:ascii="Times New Roman" w:hAnsi="Times New Roman" w:eastAsia="Times New Roman" w:cs="Times New Roman"/>
                <w:sz w:val="20"/>
                <w:szCs w:val="20"/>
              </w:rPr>
              <w:t>mm</w:t>
            </w:r>
            <w:r>
              <w:rPr>
                <w:rFonts w:ascii="宋体" w:hAnsi="宋体" w:eastAsia="宋体" w:cs="宋体"/>
                <w:spacing w:val="8"/>
                <w:sz w:val="20"/>
                <w:szCs w:val="20"/>
              </w:rPr>
              <w:t>。</w:t>
            </w:r>
          </w:p>
          <w:p>
            <w:pPr>
              <w:spacing w:before="151" w:line="228" w:lineRule="auto"/>
              <w:ind w:left="537"/>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8"/>
                <w:sz w:val="20"/>
                <w:szCs w:val="20"/>
              </w:rPr>
              <w:t>7</w:t>
            </w: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宋体" w:hAnsi="宋体" w:eastAsia="宋体" w:cs="宋体"/>
                <w:spacing w:val="18"/>
                <w:sz w:val="20"/>
                <w:szCs w:val="20"/>
              </w:rPr>
              <w:t xml:space="preserve"> </w:t>
            </w:r>
            <w:r>
              <w:rPr>
                <w:rFonts w:ascii="宋体" w:hAnsi="宋体" w:eastAsia="宋体" w:cs="宋体"/>
                <w:spacing w:val="18"/>
                <w:sz w:val="20"/>
                <w:szCs w:val="20"/>
                <w14:textOutline w14:w="3795" w14:cap="sq" w14:cmpd="sng">
                  <w14:solidFill>
                    <w14:srgbClr w14:val="000000"/>
                  </w14:solidFill>
                  <w14:prstDash w14:val="solid"/>
                  <w14:bevel/>
                </w14:textOutline>
              </w:rPr>
              <w:t>桥梁设计</w:t>
            </w:r>
          </w:p>
          <w:p>
            <w:pPr>
              <w:spacing w:before="154" w:line="228" w:lineRule="auto"/>
              <w:ind w:left="599"/>
              <w:rPr>
                <w:rFonts w:ascii="宋体" w:hAnsi="宋体" w:eastAsia="宋体" w:cs="宋体"/>
                <w:sz w:val="20"/>
                <w:szCs w:val="20"/>
              </w:rPr>
            </w:pPr>
            <w:r>
              <w:rPr>
                <w:rFonts w:ascii="宋体" w:hAnsi="宋体" w:eastAsia="宋体" w:cs="宋体"/>
                <w:spacing w:val="10"/>
                <w:sz w:val="17"/>
                <w:szCs w:val="17"/>
              </w:rPr>
              <w:t>1</w:t>
            </w:r>
            <w:r>
              <w:rPr>
                <w:rFonts w:ascii="宋体" w:hAnsi="宋体" w:eastAsia="宋体" w:cs="宋体"/>
                <w:spacing w:val="7"/>
                <w:sz w:val="17"/>
                <w:szCs w:val="17"/>
              </w:rPr>
              <w:t xml:space="preserve"> </w:t>
            </w:r>
            <w:r>
              <w:rPr>
                <w:rFonts w:ascii="宋体" w:hAnsi="宋体" w:eastAsia="宋体" w:cs="宋体"/>
                <w:spacing w:val="5"/>
                <w:sz w:val="17"/>
                <w:szCs w:val="17"/>
              </w:rPr>
              <w:t xml:space="preserve">  </w:t>
            </w:r>
            <w:r>
              <w:rPr>
                <w:rFonts w:ascii="宋体" w:hAnsi="宋体" w:eastAsia="宋体" w:cs="宋体"/>
                <w:spacing w:val="5"/>
                <w:sz w:val="20"/>
                <w:szCs w:val="20"/>
              </w:rPr>
              <w:t>主桥跨径选择</w:t>
            </w:r>
          </w:p>
          <w:p>
            <w:pPr>
              <w:spacing w:before="154" w:line="228" w:lineRule="auto"/>
              <w:ind w:left="523"/>
              <w:rPr>
                <w:rFonts w:ascii="宋体" w:hAnsi="宋体" w:eastAsia="宋体" w:cs="宋体"/>
                <w:sz w:val="20"/>
                <w:szCs w:val="20"/>
              </w:rPr>
            </w:pPr>
            <w:r>
              <w:rPr>
                <w:rFonts w:ascii="Times New Roman" w:hAnsi="Times New Roman" w:eastAsia="Times New Roman" w:cs="Times New Roman"/>
                <w:spacing w:val="17"/>
                <w:sz w:val="20"/>
                <w:szCs w:val="20"/>
              </w:rPr>
              <w:t>2</w:t>
            </w:r>
            <w:r>
              <w:rPr>
                <w:rFonts w:ascii="Times New Roman" w:hAnsi="Times New Roman" w:eastAsia="Times New Roman" w:cs="Times New Roman"/>
                <w:spacing w:val="9"/>
                <w:sz w:val="20"/>
                <w:szCs w:val="20"/>
              </w:rPr>
              <w:t xml:space="preserve">022 </w:t>
            </w:r>
            <w:r>
              <w:rPr>
                <w:rFonts w:ascii="宋体" w:hAnsi="宋体" w:eastAsia="宋体" w:cs="宋体"/>
                <w:spacing w:val="9"/>
                <w:sz w:val="20"/>
                <w:szCs w:val="20"/>
              </w:rPr>
              <w:t xml:space="preserve">年 </w:t>
            </w:r>
            <w:r>
              <w:rPr>
                <w:rFonts w:ascii="Times New Roman" w:hAnsi="Times New Roman" w:eastAsia="Times New Roman" w:cs="Times New Roman"/>
                <w:spacing w:val="9"/>
                <w:sz w:val="20"/>
                <w:szCs w:val="20"/>
              </w:rPr>
              <w:t xml:space="preserve">6 </w:t>
            </w:r>
            <w:r>
              <w:rPr>
                <w:rFonts w:ascii="宋体" w:hAnsi="宋体" w:eastAsia="宋体" w:cs="宋体"/>
                <w:spacing w:val="9"/>
                <w:sz w:val="20"/>
                <w:szCs w:val="20"/>
              </w:rPr>
              <w:t>月，达州市人民政府召开了研究交通运输工作专题会议，该会议明确高家</w:t>
            </w:r>
          </w:p>
        </w:tc>
      </w:tr>
    </w:tbl>
    <w:p>
      <w:pPr>
        <w:spacing w:line="145" w:lineRule="exact"/>
        <w:rPr>
          <w:rFonts w:ascii="Arial"/>
          <w:sz w:val="12"/>
        </w:rPr>
      </w:pPr>
    </w:p>
    <w:p>
      <w:pPr>
        <w:sectPr>
          <w:footerReference r:id="rId34" w:type="default"/>
          <w:pgSz w:w="11906" w:h="16839"/>
          <w:pgMar w:top="400" w:right="1487" w:bottom="1475" w:left="1486" w:header="0" w:footer="1315" w:gutter="0"/>
          <w:cols w:space="720" w:num="1"/>
        </w:sectPr>
      </w:pPr>
    </w:p>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8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22" w:hRule="atLeast"/>
        </w:trPr>
        <w:tc>
          <w:tcPr>
            <w:tcW w:w="600" w:type="dxa"/>
            <w:tcBorders>
              <w:left w:val="single" w:color="00000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28" w:lineRule="auto"/>
              <w:ind w:left="91"/>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p>
            <w:pPr>
              <w:spacing w:before="26" w:line="229" w:lineRule="auto"/>
              <w:ind w:left="9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组</w:t>
            </w:r>
            <w:r>
              <w:rPr>
                <w:rFonts w:ascii="宋体" w:hAnsi="宋体" w:eastAsia="宋体" w:cs="宋体"/>
                <w:spacing w:val="4"/>
                <w:sz w:val="20"/>
                <w:szCs w:val="20"/>
                <w14:textOutline w14:w="3795" w14:cap="sq" w14:cmpd="sng">
                  <w14:solidFill>
                    <w14:srgbClr w14:val="000000"/>
                  </w14:solidFill>
                  <w14:prstDash w14:val="solid"/>
                  <w14:bevel/>
                </w14:textOutline>
              </w:rPr>
              <w:t>成</w:t>
            </w:r>
          </w:p>
          <w:p>
            <w:pPr>
              <w:spacing w:before="22" w:line="230" w:lineRule="auto"/>
              <w:ind w:left="8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及规</w:t>
            </w:r>
          </w:p>
          <w:p>
            <w:pPr>
              <w:spacing w:before="24" w:line="228" w:lineRule="auto"/>
              <w:ind w:left="190"/>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模</w:t>
            </w:r>
          </w:p>
        </w:tc>
        <w:tc>
          <w:tcPr>
            <w:tcW w:w="8317" w:type="dxa"/>
            <w:tcBorders>
              <w:right w:val="single" w:color="000000" w:sz="6" w:space="0"/>
            </w:tcBorders>
            <w:vAlign w:val="top"/>
          </w:tcPr>
          <w:p>
            <w:pPr>
              <w:spacing w:before="145" w:line="314" w:lineRule="auto"/>
              <w:ind w:left="106" w:right="34"/>
              <w:rPr>
                <w:rFonts w:ascii="宋体" w:hAnsi="宋体" w:eastAsia="宋体" w:cs="宋体"/>
                <w:sz w:val="20"/>
                <w:szCs w:val="20"/>
              </w:rPr>
            </w:pPr>
            <w:r>
              <w:rPr>
                <w:rFonts w:ascii="宋体" w:hAnsi="宋体" w:eastAsia="宋体" w:cs="宋体"/>
                <w:spacing w:val="18"/>
                <w:sz w:val="20"/>
                <w:szCs w:val="20"/>
              </w:rPr>
              <w:t>坝</w:t>
            </w:r>
            <w:r>
              <w:rPr>
                <w:rFonts w:ascii="宋体" w:hAnsi="宋体" w:eastAsia="宋体" w:cs="宋体"/>
                <w:spacing w:val="11"/>
                <w:sz w:val="20"/>
                <w:szCs w:val="20"/>
              </w:rPr>
              <w:t>大</w:t>
            </w:r>
            <w:r>
              <w:rPr>
                <w:rFonts w:ascii="宋体" w:hAnsi="宋体" w:eastAsia="宋体" w:cs="宋体"/>
                <w:spacing w:val="9"/>
                <w:sz w:val="20"/>
                <w:szCs w:val="20"/>
              </w:rPr>
              <w:t>桥段航道按</w:t>
            </w:r>
            <w:r>
              <w:rPr>
                <w:rFonts w:ascii="Times New Roman" w:hAnsi="Times New Roman" w:eastAsia="Times New Roman" w:cs="Times New Roman"/>
                <w:spacing w:val="9"/>
                <w:sz w:val="20"/>
                <w:szCs w:val="20"/>
              </w:rPr>
              <w:t>Ⅶ</w:t>
            </w:r>
            <w:r>
              <w:rPr>
                <w:rFonts w:ascii="宋体" w:hAnsi="宋体" w:eastAsia="宋体" w:cs="宋体"/>
                <w:spacing w:val="9"/>
                <w:sz w:val="20"/>
                <w:szCs w:val="20"/>
              </w:rPr>
              <w:t>级航道进行申报，相关构筑物按</w:t>
            </w:r>
            <w:r>
              <w:rPr>
                <w:rFonts w:ascii="Times New Roman" w:hAnsi="Times New Roman" w:eastAsia="Times New Roman" w:cs="Times New Roman"/>
                <w:spacing w:val="9"/>
                <w:sz w:val="20"/>
                <w:szCs w:val="20"/>
              </w:rPr>
              <w:t>Ⅶ</w:t>
            </w:r>
            <w:r>
              <w:rPr>
                <w:rFonts w:ascii="宋体" w:hAnsi="宋体" w:eastAsia="宋体" w:cs="宋体"/>
                <w:spacing w:val="9"/>
                <w:sz w:val="20"/>
                <w:szCs w:val="20"/>
              </w:rPr>
              <w:t>级航道进行设计。按七级航道考虑</w:t>
            </w:r>
            <w:r>
              <w:rPr>
                <w:rFonts w:ascii="宋体" w:hAnsi="宋体" w:eastAsia="宋体" w:cs="宋体"/>
                <w:sz w:val="20"/>
                <w:szCs w:val="20"/>
              </w:rPr>
              <w:t xml:space="preserve"> </w:t>
            </w:r>
            <w:r>
              <w:rPr>
                <w:rFonts w:ascii="宋体" w:hAnsi="宋体" w:eastAsia="宋体" w:cs="宋体"/>
                <w:spacing w:val="2"/>
                <w:sz w:val="20"/>
                <w:szCs w:val="20"/>
              </w:rPr>
              <w:t xml:space="preserve">桥跨布置，桥位处七级航道评价范围内最大横向流速为 </w:t>
            </w:r>
            <w:r>
              <w:rPr>
                <w:rFonts w:ascii="Times New Roman" w:hAnsi="Times New Roman" w:eastAsia="Times New Roman" w:cs="Times New Roman"/>
                <w:spacing w:val="2"/>
                <w:sz w:val="20"/>
                <w:szCs w:val="20"/>
              </w:rPr>
              <w:t>0.</w:t>
            </w: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m</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s</w:t>
            </w:r>
            <w:r>
              <w:rPr>
                <w:rFonts w:ascii="宋体" w:hAnsi="宋体" w:eastAsia="宋体" w:cs="宋体"/>
                <w:spacing w:val="1"/>
                <w:sz w:val="20"/>
                <w:szCs w:val="20"/>
              </w:rPr>
              <w:t xml:space="preserve">，单向通航孔加宽值取 </w:t>
            </w:r>
            <w:r>
              <w:rPr>
                <w:rFonts w:ascii="Times New Roman" w:hAnsi="Times New Roman" w:eastAsia="Times New Roman" w:cs="Times New Roman"/>
                <w:spacing w:val="1"/>
                <w:sz w:val="20"/>
                <w:szCs w:val="20"/>
              </w:rPr>
              <w:t>23</w:t>
            </w:r>
            <w:r>
              <w:rPr>
                <w:rFonts w:ascii="Times New Roman" w:hAnsi="Times New Roman" w:eastAsia="Times New Roman" w:cs="Times New Roman"/>
                <w:sz w:val="20"/>
                <w:szCs w:val="20"/>
              </w:rPr>
              <w:t>m</w:t>
            </w:r>
            <w:r>
              <w:rPr>
                <w:rFonts w:ascii="宋体" w:hAnsi="宋体" w:eastAsia="宋体" w:cs="宋体"/>
                <w:spacing w:val="1"/>
                <w:sz w:val="20"/>
                <w:szCs w:val="20"/>
              </w:rPr>
              <w:t>。</w:t>
            </w:r>
          </w:p>
          <w:p>
            <w:pPr>
              <w:spacing w:before="83" w:line="379" w:lineRule="auto"/>
              <w:ind w:left="107" w:right="133" w:firstLine="420"/>
              <w:rPr>
                <w:rFonts w:ascii="宋体" w:hAnsi="宋体" w:eastAsia="宋体" w:cs="宋体"/>
                <w:sz w:val="20"/>
                <w:szCs w:val="20"/>
              </w:rPr>
            </w:pPr>
            <w:r>
              <w:rPr>
                <w:rFonts w:ascii="宋体" w:hAnsi="宋体" w:eastAsia="宋体" w:cs="宋体"/>
                <w:spacing w:val="12"/>
                <w:sz w:val="20"/>
                <w:szCs w:val="20"/>
              </w:rPr>
              <w:t>桥</w:t>
            </w:r>
            <w:r>
              <w:rPr>
                <w:rFonts w:ascii="宋体" w:hAnsi="宋体" w:eastAsia="宋体" w:cs="宋体"/>
                <w:spacing w:val="10"/>
                <w:sz w:val="20"/>
                <w:szCs w:val="20"/>
              </w:rPr>
              <w:t>梁</w:t>
            </w:r>
            <w:r>
              <w:rPr>
                <w:rFonts w:ascii="宋体" w:hAnsi="宋体" w:eastAsia="宋体" w:cs="宋体"/>
                <w:spacing w:val="6"/>
                <w:sz w:val="20"/>
                <w:szCs w:val="20"/>
              </w:rPr>
              <w:t>跨度：</w:t>
            </w:r>
            <w:r>
              <w:rPr>
                <w:rFonts w:ascii="Times New Roman" w:hAnsi="Times New Roman" w:eastAsia="Times New Roman" w:cs="Times New Roman"/>
                <w:spacing w:val="6"/>
                <w:sz w:val="20"/>
                <w:szCs w:val="20"/>
              </w:rPr>
              <w:t>32+23×2(</w:t>
            </w:r>
            <w:r>
              <w:rPr>
                <w:rFonts w:ascii="宋体" w:hAnsi="宋体" w:eastAsia="宋体" w:cs="宋体"/>
                <w:spacing w:val="6"/>
                <w:sz w:val="20"/>
                <w:szCs w:val="20"/>
              </w:rPr>
              <w:t>加宽值</w:t>
            </w:r>
            <w:r>
              <w:rPr>
                <w:rFonts w:ascii="Times New Roman" w:hAnsi="Times New Roman" w:eastAsia="Times New Roman" w:cs="Times New Roman"/>
                <w:spacing w:val="6"/>
                <w:sz w:val="20"/>
                <w:szCs w:val="20"/>
              </w:rPr>
              <w:t>)+</w:t>
            </w:r>
            <w:r>
              <w:rPr>
                <w:rFonts w:ascii="宋体" w:hAnsi="宋体" w:eastAsia="宋体" w:cs="宋体"/>
                <w:spacing w:val="6"/>
                <w:sz w:val="20"/>
                <w:szCs w:val="20"/>
              </w:rPr>
              <w:t>紊流宽度 (</w:t>
            </w: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 xml:space="preserve">倍桥墩宽度) </w:t>
            </w:r>
            <w:r>
              <w:rPr>
                <w:rFonts w:ascii="Times New Roman" w:hAnsi="Times New Roman" w:eastAsia="Times New Roman" w:cs="Times New Roman"/>
                <w:spacing w:val="6"/>
                <w:sz w:val="20"/>
                <w:szCs w:val="20"/>
              </w:rPr>
              <w:t xml:space="preserve">+ 1 </w:t>
            </w:r>
            <w:r>
              <w:rPr>
                <w:rFonts w:ascii="宋体" w:hAnsi="宋体" w:eastAsia="宋体" w:cs="宋体"/>
                <w:spacing w:val="6"/>
                <w:sz w:val="20"/>
                <w:szCs w:val="20"/>
              </w:rPr>
              <w:t>倍桥墩宽度</w:t>
            </w:r>
            <w:r>
              <w:rPr>
                <w:rFonts w:ascii="Times New Roman" w:hAnsi="Times New Roman" w:eastAsia="Times New Roman" w:cs="Times New Roman"/>
                <w:spacing w:val="6"/>
                <w:sz w:val="20"/>
                <w:szCs w:val="20"/>
              </w:rPr>
              <w:t>+</w:t>
            </w:r>
            <w:r>
              <w:rPr>
                <w:rFonts w:ascii="宋体" w:hAnsi="宋体" w:eastAsia="宋体" w:cs="宋体"/>
                <w:spacing w:val="6"/>
                <w:sz w:val="20"/>
                <w:szCs w:val="20"/>
              </w:rPr>
              <w:t>富裕宽度＝</w:t>
            </w:r>
            <w:r>
              <w:rPr>
                <w:rFonts w:ascii="宋体" w:hAnsi="宋体" w:eastAsia="宋体" w:cs="宋体"/>
                <w:sz w:val="20"/>
                <w:szCs w:val="20"/>
              </w:rPr>
              <w:t xml:space="preserve"> </w:t>
            </w:r>
            <w:r>
              <w:rPr>
                <w:rFonts w:ascii="Times New Roman" w:hAnsi="Times New Roman" w:eastAsia="Times New Roman" w:cs="Times New Roman"/>
                <w:spacing w:val="14"/>
                <w:sz w:val="20"/>
                <w:szCs w:val="20"/>
              </w:rPr>
              <w:t>7</w:t>
            </w:r>
            <w:r>
              <w:rPr>
                <w:rFonts w:ascii="Times New Roman" w:hAnsi="Times New Roman" w:eastAsia="Times New Roman" w:cs="Times New Roman"/>
                <w:spacing w:val="7"/>
                <w:sz w:val="20"/>
                <w:szCs w:val="20"/>
              </w:rPr>
              <w:t>8+</w:t>
            </w:r>
            <w:r>
              <w:rPr>
                <w:rFonts w:ascii="宋体" w:hAnsi="宋体" w:eastAsia="宋体" w:cs="宋体"/>
                <w:spacing w:val="7"/>
                <w:sz w:val="20"/>
                <w:szCs w:val="20"/>
              </w:rPr>
              <w:t>紊流宽度 (</w:t>
            </w:r>
            <w:r>
              <w:rPr>
                <w:rFonts w:ascii="Times New Roman" w:hAnsi="Times New Roman" w:eastAsia="Times New Roman" w:cs="Times New Roman"/>
                <w:spacing w:val="7"/>
                <w:sz w:val="20"/>
                <w:szCs w:val="20"/>
              </w:rPr>
              <w:t xml:space="preserve">5 </w:t>
            </w:r>
            <w:r>
              <w:rPr>
                <w:rFonts w:ascii="宋体" w:hAnsi="宋体" w:eastAsia="宋体" w:cs="宋体"/>
                <w:spacing w:val="7"/>
                <w:sz w:val="20"/>
                <w:szCs w:val="20"/>
              </w:rPr>
              <w:t xml:space="preserve">倍桥墩宽度) </w:t>
            </w:r>
            <w:r>
              <w:rPr>
                <w:rFonts w:ascii="Times New Roman" w:hAnsi="Times New Roman" w:eastAsia="Times New Roman" w:cs="Times New Roman"/>
                <w:spacing w:val="7"/>
                <w:sz w:val="20"/>
                <w:szCs w:val="20"/>
              </w:rPr>
              <w:t>+</w:t>
            </w:r>
            <w:r>
              <w:rPr>
                <w:rFonts w:ascii="宋体" w:hAnsi="宋体" w:eastAsia="宋体" w:cs="宋体"/>
                <w:spacing w:val="7"/>
                <w:sz w:val="20"/>
                <w:szCs w:val="20"/>
              </w:rPr>
              <w:t>富裕宽度</w:t>
            </w:r>
          </w:p>
          <w:p>
            <w:pPr>
              <w:spacing w:before="15" w:line="228" w:lineRule="auto"/>
              <w:ind w:left="527"/>
              <w:rPr>
                <w:rFonts w:ascii="宋体" w:hAnsi="宋体" w:eastAsia="宋体" w:cs="宋体"/>
                <w:sz w:val="20"/>
                <w:szCs w:val="20"/>
              </w:rPr>
            </w:pPr>
            <w:r>
              <w:rPr>
                <w:rFonts w:ascii="宋体" w:hAnsi="宋体" w:eastAsia="宋体" w:cs="宋体"/>
                <w:spacing w:val="1"/>
                <w:sz w:val="20"/>
                <w:szCs w:val="20"/>
              </w:rPr>
              <w:t xml:space="preserve">桥墩宽度取 </w:t>
            </w:r>
            <w:r>
              <w:rPr>
                <w:rFonts w:ascii="Times New Roman" w:hAnsi="Times New Roman" w:eastAsia="Times New Roman" w:cs="Times New Roman"/>
                <w:spacing w:val="1"/>
                <w:sz w:val="20"/>
                <w:szCs w:val="20"/>
              </w:rPr>
              <w:t>4</w:t>
            </w:r>
            <w:r>
              <w:rPr>
                <w:rFonts w:ascii="Times New Roman" w:hAnsi="Times New Roman" w:eastAsia="Times New Roman" w:cs="Times New Roman"/>
                <w:sz w:val="20"/>
                <w:szCs w:val="20"/>
              </w:rPr>
              <w:t>m</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，富裕宽度大于等</w:t>
            </w:r>
            <w:r>
              <w:rPr>
                <w:rFonts w:ascii="宋体" w:hAnsi="宋体" w:eastAsia="宋体" w:cs="宋体"/>
                <w:sz w:val="20"/>
                <w:szCs w:val="20"/>
              </w:rPr>
              <w:t xml:space="preserve">于 </w:t>
            </w:r>
            <w:r>
              <w:rPr>
                <w:rFonts w:ascii="Times New Roman" w:hAnsi="Times New Roman" w:eastAsia="Times New Roman" w:cs="Times New Roman"/>
                <w:sz w:val="20"/>
                <w:szCs w:val="20"/>
              </w:rPr>
              <w:t>10m</w:t>
            </w:r>
            <w:r>
              <w:rPr>
                <w:rFonts w:ascii="宋体" w:hAnsi="宋体" w:eastAsia="宋体" w:cs="宋体"/>
                <w:sz w:val="20"/>
                <w:szCs w:val="20"/>
              </w:rPr>
              <w:t>。</w:t>
            </w:r>
          </w:p>
          <w:p>
            <w:pPr>
              <w:spacing w:before="115" w:line="381" w:lineRule="auto"/>
              <w:ind w:left="108" w:right="102" w:firstLine="419"/>
              <w:rPr>
                <w:rFonts w:ascii="宋体" w:hAnsi="宋体" w:eastAsia="宋体" w:cs="宋体"/>
                <w:sz w:val="20"/>
                <w:szCs w:val="20"/>
              </w:rPr>
            </w:pPr>
            <w:r>
              <w:rPr>
                <w:rFonts w:ascii="宋体" w:hAnsi="宋体" w:eastAsia="宋体" w:cs="宋体"/>
                <w:spacing w:val="-1"/>
                <w:sz w:val="20"/>
                <w:szCs w:val="20"/>
              </w:rPr>
              <w:t xml:space="preserve">跨度为 </w:t>
            </w:r>
            <w:r>
              <w:rPr>
                <w:rFonts w:ascii="Times New Roman" w:hAnsi="Times New Roman" w:eastAsia="Times New Roman" w:cs="Times New Roman"/>
                <w:spacing w:val="-1"/>
                <w:sz w:val="20"/>
                <w:szCs w:val="20"/>
              </w:rPr>
              <w:t>32+23×2+5×</w:t>
            </w:r>
            <w:r>
              <w:rPr>
                <w:rFonts w:ascii="Times New Roman" w:hAnsi="Times New Roman" w:eastAsia="Times New Roman" w:cs="Times New Roman"/>
                <w:sz w:val="20"/>
                <w:szCs w:val="20"/>
              </w:rPr>
              <w:t xml:space="preserve">4+ 10= 108m </w:t>
            </w:r>
            <w:r>
              <w:rPr>
                <w:rFonts w:ascii="宋体" w:hAnsi="宋体" w:eastAsia="宋体" w:cs="宋体"/>
                <w:sz w:val="20"/>
                <w:szCs w:val="20"/>
              </w:rPr>
              <w:t xml:space="preserve">，取 </w:t>
            </w:r>
            <w:r>
              <w:rPr>
                <w:rFonts w:ascii="Times New Roman" w:hAnsi="Times New Roman" w:eastAsia="Times New Roman" w:cs="Times New Roman"/>
                <w:sz w:val="20"/>
                <w:szCs w:val="20"/>
              </w:rPr>
              <w:t xml:space="preserve">110m </w:t>
            </w:r>
            <w:r>
              <w:rPr>
                <w:rFonts w:ascii="宋体" w:hAnsi="宋体" w:eastAsia="宋体" w:cs="宋体"/>
                <w:sz w:val="20"/>
                <w:szCs w:val="20"/>
              </w:rPr>
              <w:t xml:space="preserve">。经通航评价编制单位核实，该跨度可以满 </w:t>
            </w:r>
            <w:r>
              <w:rPr>
                <w:rFonts w:ascii="宋体" w:hAnsi="宋体" w:eastAsia="宋体" w:cs="宋体"/>
                <w:spacing w:val="14"/>
                <w:sz w:val="20"/>
                <w:szCs w:val="20"/>
              </w:rPr>
              <w:t>足通航</w:t>
            </w:r>
            <w:r>
              <w:rPr>
                <w:rFonts w:ascii="宋体" w:hAnsi="宋体" w:eastAsia="宋体" w:cs="宋体"/>
                <w:spacing w:val="9"/>
                <w:sz w:val="20"/>
                <w:szCs w:val="20"/>
              </w:rPr>
              <w:t>要</w:t>
            </w:r>
            <w:r>
              <w:rPr>
                <w:rFonts w:ascii="宋体" w:hAnsi="宋体" w:eastAsia="宋体" w:cs="宋体"/>
                <w:spacing w:val="7"/>
                <w:sz w:val="20"/>
                <w:szCs w:val="20"/>
              </w:rPr>
              <w:t>求，该跨度已经通过通航评价论证专题会。根据两岸地形及桥台位置的选择，控</w:t>
            </w:r>
            <w:r>
              <w:rPr>
                <w:rFonts w:ascii="宋体" w:hAnsi="宋体" w:eastAsia="宋体" w:cs="宋体"/>
                <w:sz w:val="20"/>
                <w:szCs w:val="20"/>
              </w:rPr>
              <w:t xml:space="preserve"> </w:t>
            </w:r>
            <w:r>
              <w:rPr>
                <w:rFonts w:ascii="宋体" w:hAnsi="宋体" w:eastAsia="宋体" w:cs="宋体"/>
                <w:spacing w:val="1"/>
                <w:sz w:val="20"/>
                <w:szCs w:val="20"/>
              </w:rPr>
              <w:t xml:space="preserve">制填土高度小于 </w:t>
            </w:r>
            <w:r>
              <w:rPr>
                <w:rFonts w:ascii="Times New Roman" w:hAnsi="Times New Roman" w:eastAsia="Times New Roman" w:cs="Times New Roman"/>
                <w:spacing w:val="1"/>
                <w:sz w:val="20"/>
                <w:szCs w:val="20"/>
              </w:rPr>
              <w:t>10</w:t>
            </w:r>
            <w:r>
              <w:rPr>
                <w:rFonts w:ascii="Times New Roman" w:hAnsi="Times New Roman" w:eastAsia="Times New Roman" w:cs="Times New Roman"/>
                <w:sz w:val="20"/>
                <w:szCs w:val="20"/>
              </w:rPr>
              <w:t>m</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，桥梁跨径长度为 </w:t>
            </w:r>
            <w:r>
              <w:rPr>
                <w:rFonts w:ascii="Times New Roman" w:hAnsi="Times New Roman" w:eastAsia="Times New Roman" w:cs="Times New Roman"/>
                <w:spacing w:val="1"/>
                <w:sz w:val="20"/>
                <w:szCs w:val="20"/>
              </w:rPr>
              <w:t>230</w:t>
            </w:r>
            <w:r>
              <w:rPr>
                <w:rFonts w:ascii="Times New Roman" w:hAnsi="Times New Roman" w:eastAsia="Times New Roman" w:cs="Times New Roman"/>
                <w:sz w:val="20"/>
                <w:szCs w:val="20"/>
              </w:rPr>
              <w:t>m</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，因此本桥跨度布置为 </w:t>
            </w:r>
            <w:r>
              <w:rPr>
                <w:rFonts w:ascii="Times New Roman" w:hAnsi="Times New Roman" w:eastAsia="Times New Roman" w:cs="Times New Roman"/>
                <w:sz w:val="20"/>
                <w:szCs w:val="20"/>
              </w:rPr>
              <w:t>60+ 110+60m</w:t>
            </w:r>
            <w:r>
              <w:rPr>
                <w:rFonts w:ascii="宋体" w:hAnsi="宋体" w:eastAsia="宋体" w:cs="宋体"/>
                <w:sz w:val="20"/>
                <w:szCs w:val="20"/>
              </w:rPr>
              <w:t>。</w:t>
            </w:r>
          </w:p>
          <w:p>
            <w:pPr>
              <w:spacing w:line="227" w:lineRule="auto"/>
              <w:ind w:left="569"/>
              <w:rPr>
                <w:rFonts w:ascii="宋体" w:hAnsi="宋体" w:eastAsia="宋体" w:cs="宋体"/>
                <w:sz w:val="20"/>
                <w:szCs w:val="20"/>
              </w:rPr>
            </w:pPr>
            <w:r>
              <w:rPr>
                <w:rFonts w:ascii="宋体" w:hAnsi="宋体" w:eastAsia="宋体" w:cs="宋体"/>
                <w:spacing w:val="11"/>
                <w:sz w:val="17"/>
                <w:szCs w:val="17"/>
              </w:rPr>
              <w:t>2</w:t>
            </w:r>
            <w:r>
              <w:rPr>
                <w:rFonts w:ascii="宋体" w:hAnsi="宋体" w:eastAsia="宋体" w:cs="宋体"/>
                <w:spacing w:val="7"/>
                <w:sz w:val="17"/>
                <w:szCs w:val="17"/>
              </w:rPr>
              <w:t xml:space="preserve">   </w:t>
            </w:r>
            <w:r>
              <w:rPr>
                <w:rFonts w:ascii="宋体" w:hAnsi="宋体" w:eastAsia="宋体" w:cs="宋体"/>
                <w:spacing w:val="7"/>
                <w:sz w:val="20"/>
                <w:szCs w:val="20"/>
              </w:rPr>
              <w:t>桥梁结构形式选择</w:t>
            </w:r>
          </w:p>
          <w:p>
            <w:pPr>
              <w:spacing w:before="152" w:line="369" w:lineRule="auto"/>
              <w:ind w:left="109" w:right="104" w:firstLine="423"/>
              <w:rPr>
                <w:rFonts w:ascii="宋体" w:hAnsi="宋体" w:eastAsia="宋体" w:cs="宋体"/>
                <w:sz w:val="20"/>
                <w:szCs w:val="20"/>
              </w:rPr>
            </w:pPr>
            <w:r>
              <w:rPr>
                <w:rFonts w:ascii="宋体" w:hAnsi="宋体" w:eastAsia="宋体" w:cs="宋体"/>
                <w:spacing w:val="6"/>
                <w:sz w:val="20"/>
                <w:szCs w:val="20"/>
              </w:rPr>
              <w:t>高家坝大桥拟选桥位处</w:t>
            </w:r>
            <w:r>
              <w:rPr>
                <w:rFonts w:ascii="宋体" w:hAnsi="宋体" w:eastAsia="宋体" w:cs="宋体"/>
                <w:spacing w:val="4"/>
                <w:sz w:val="20"/>
                <w:szCs w:val="20"/>
              </w:rPr>
              <w:t>州</w:t>
            </w:r>
            <w:r>
              <w:rPr>
                <w:rFonts w:ascii="宋体" w:hAnsi="宋体" w:eastAsia="宋体" w:cs="宋体"/>
                <w:spacing w:val="3"/>
                <w:sz w:val="20"/>
                <w:szCs w:val="20"/>
              </w:rPr>
              <w:t xml:space="preserve">河最高通航水位为 </w:t>
            </w:r>
            <w:r>
              <w:rPr>
                <w:rFonts w:ascii="Times New Roman" w:hAnsi="Times New Roman" w:eastAsia="Times New Roman" w:cs="Times New Roman"/>
                <w:spacing w:val="3"/>
                <w:sz w:val="20"/>
                <w:szCs w:val="20"/>
              </w:rPr>
              <w:t>280.44</w:t>
            </w:r>
            <w:r>
              <w:rPr>
                <w:rFonts w:ascii="Times New Roman" w:hAnsi="Times New Roman" w:eastAsia="Times New Roman" w:cs="Times New Roman"/>
                <w:sz w:val="20"/>
                <w:szCs w:val="20"/>
              </w:rPr>
              <w:t>m</w:t>
            </w:r>
            <w:r>
              <w:rPr>
                <w:rFonts w:ascii="宋体" w:hAnsi="宋体" w:eastAsia="宋体" w:cs="宋体"/>
                <w:spacing w:val="3"/>
                <w:sz w:val="20"/>
                <w:szCs w:val="20"/>
              </w:rPr>
              <w:t xml:space="preserve">，通航净高 </w:t>
            </w:r>
            <w:r>
              <w:rPr>
                <w:rFonts w:ascii="Times New Roman" w:hAnsi="Times New Roman" w:eastAsia="Times New Roman" w:cs="Times New Roman"/>
                <w:spacing w:val="3"/>
                <w:sz w:val="20"/>
                <w:szCs w:val="20"/>
              </w:rPr>
              <w:t>8.0</w:t>
            </w:r>
            <w:r>
              <w:rPr>
                <w:rFonts w:ascii="Times New Roman" w:hAnsi="Times New Roman" w:eastAsia="Times New Roman" w:cs="Times New Roman"/>
                <w:sz w:val="20"/>
                <w:szCs w:val="20"/>
              </w:rPr>
              <w:t>m</w:t>
            </w:r>
            <w:r>
              <w:rPr>
                <w:rFonts w:ascii="宋体" w:hAnsi="宋体" w:eastAsia="宋体" w:cs="宋体"/>
                <w:spacing w:val="3"/>
                <w:sz w:val="20"/>
                <w:szCs w:val="20"/>
              </w:rPr>
              <w:t>；州河百年一遇</w:t>
            </w:r>
            <w:r>
              <w:rPr>
                <w:rFonts w:ascii="宋体" w:hAnsi="宋体" w:eastAsia="宋体" w:cs="宋体"/>
                <w:sz w:val="20"/>
                <w:szCs w:val="20"/>
              </w:rPr>
              <w:t xml:space="preserve"> </w:t>
            </w:r>
            <w:r>
              <w:rPr>
                <w:rFonts w:ascii="宋体" w:hAnsi="宋体" w:eastAsia="宋体" w:cs="宋体"/>
                <w:spacing w:val="5"/>
                <w:sz w:val="20"/>
                <w:szCs w:val="20"/>
              </w:rPr>
              <w:t>洪</w:t>
            </w:r>
            <w:r>
              <w:rPr>
                <w:rFonts w:ascii="宋体" w:hAnsi="宋体" w:eastAsia="宋体" w:cs="宋体"/>
                <w:spacing w:val="4"/>
                <w:sz w:val="20"/>
                <w:szCs w:val="20"/>
              </w:rPr>
              <w:t xml:space="preserve">水位 </w:t>
            </w:r>
            <w:r>
              <w:rPr>
                <w:rFonts w:ascii="Times New Roman" w:hAnsi="Times New Roman" w:eastAsia="Times New Roman" w:cs="Times New Roman"/>
                <w:spacing w:val="4"/>
                <w:sz w:val="20"/>
                <w:szCs w:val="20"/>
              </w:rPr>
              <w:t>288.52</w:t>
            </w:r>
            <w:r>
              <w:rPr>
                <w:rFonts w:ascii="Times New Roman" w:hAnsi="Times New Roman" w:eastAsia="Times New Roman" w:cs="Times New Roman"/>
                <w:sz w:val="20"/>
                <w:szCs w:val="20"/>
              </w:rPr>
              <w:t>m</w:t>
            </w:r>
            <w:r>
              <w:rPr>
                <w:rFonts w:ascii="宋体" w:hAnsi="宋体" w:eastAsia="宋体" w:cs="宋体"/>
                <w:spacing w:val="4"/>
                <w:sz w:val="20"/>
                <w:szCs w:val="20"/>
              </w:rPr>
              <w:t xml:space="preserve">；桥位西岸滨河路与桥梁交叉口规划标高 </w:t>
            </w:r>
            <w:r>
              <w:rPr>
                <w:rFonts w:ascii="Times New Roman" w:hAnsi="Times New Roman" w:eastAsia="Times New Roman" w:cs="Times New Roman"/>
                <w:spacing w:val="4"/>
                <w:sz w:val="20"/>
                <w:szCs w:val="20"/>
              </w:rPr>
              <w:t>291.5</w:t>
            </w:r>
            <w:r>
              <w:rPr>
                <w:rFonts w:ascii="Times New Roman" w:hAnsi="Times New Roman" w:eastAsia="Times New Roman" w:cs="Times New Roman"/>
                <w:sz w:val="20"/>
                <w:szCs w:val="20"/>
              </w:rPr>
              <w:t>m</w:t>
            </w:r>
            <w:r>
              <w:rPr>
                <w:rFonts w:ascii="宋体" w:hAnsi="宋体" w:eastAsia="宋体" w:cs="宋体"/>
                <w:spacing w:val="4"/>
                <w:sz w:val="20"/>
                <w:szCs w:val="20"/>
              </w:rPr>
              <w:t>，东岸南北主干道与桥梁</w:t>
            </w:r>
            <w:r>
              <w:rPr>
                <w:rFonts w:ascii="宋体" w:hAnsi="宋体" w:eastAsia="宋体" w:cs="宋体"/>
                <w:sz w:val="20"/>
                <w:szCs w:val="20"/>
              </w:rPr>
              <w:t xml:space="preserve"> </w:t>
            </w:r>
            <w:r>
              <w:rPr>
                <w:rFonts w:ascii="宋体" w:hAnsi="宋体" w:eastAsia="宋体" w:cs="宋体"/>
                <w:spacing w:val="18"/>
                <w:sz w:val="20"/>
                <w:szCs w:val="20"/>
              </w:rPr>
              <w:t>交</w:t>
            </w:r>
            <w:r>
              <w:rPr>
                <w:rFonts w:ascii="宋体" w:hAnsi="宋体" w:eastAsia="宋体" w:cs="宋体"/>
                <w:spacing w:val="17"/>
                <w:sz w:val="20"/>
                <w:szCs w:val="20"/>
              </w:rPr>
              <w:t>叉</w:t>
            </w:r>
            <w:r>
              <w:rPr>
                <w:rFonts w:ascii="宋体" w:hAnsi="宋体" w:eastAsia="宋体" w:cs="宋体"/>
                <w:spacing w:val="9"/>
                <w:sz w:val="20"/>
                <w:szCs w:val="20"/>
              </w:rPr>
              <w:t xml:space="preserve">口现状标高 </w:t>
            </w:r>
            <w:r>
              <w:rPr>
                <w:rFonts w:ascii="Times New Roman" w:hAnsi="Times New Roman" w:eastAsia="Times New Roman" w:cs="Times New Roman"/>
                <w:spacing w:val="9"/>
                <w:sz w:val="20"/>
                <w:szCs w:val="20"/>
              </w:rPr>
              <w:t>291.5</w:t>
            </w:r>
            <w:r>
              <w:rPr>
                <w:rFonts w:ascii="Times New Roman" w:hAnsi="Times New Roman" w:eastAsia="Times New Roman" w:cs="Times New Roman"/>
                <w:sz w:val="20"/>
                <w:szCs w:val="20"/>
              </w:rPr>
              <w:t>m</w:t>
            </w:r>
            <w:r>
              <w:rPr>
                <w:rFonts w:ascii="宋体" w:hAnsi="宋体" w:eastAsia="宋体" w:cs="宋体"/>
                <w:spacing w:val="9"/>
                <w:sz w:val="20"/>
                <w:szCs w:val="20"/>
              </w:rPr>
              <w:t>；为了满足通航、行洪以及两侧接线标高要求，桥梁梁高严重受</w:t>
            </w:r>
          </w:p>
          <w:p>
            <w:pPr>
              <w:spacing w:before="1" w:line="228" w:lineRule="auto"/>
              <w:ind w:left="122"/>
              <w:rPr>
                <w:rFonts w:ascii="宋体" w:hAnsi="宋体" w:eastAsia="宋体" w:cs="宋体"/>
                <w:sz w:val="20"/>
                <w:szCs w:val="20"/>
              </w:rPr>
            </w:pPr>
            <w:r>
              <w:rPr>
                <w:rFonts w:ascii="宋体" w:hAnsi="宋体" w:eastAsia="宋体" w:cs="宋体"/>
                <w:spacing w:val="9"/>
                <w:sz w:val="20"/>
                <w:szCs w:val="20"/>
              </w:rPr>
              <w:t>限</w:t>
            </w:r>
            <w:r>
              <w:rPr>
                <w:rFonts w:ascii="宋体" w:hAnsi="宋体" w:eastAsia="宋体" w:cs="宋体"/>
                <w:spacing w:val="6"/>
                <w:sz w:val="20"/>
                <w:szCs w:val="20"/>
              </w:rPr>
              <w:t xml:space="preserve">，在满足通航净空要求下，最大梁高不能超过 </w:t>
            </w:r>
            <w:r>
              <w:rPr>
                <w:rFonts w:ascii="Times New Roman" w:hAnsi="Times New Roman" w:eastAsia="Times New Roman" w:cs="Times New Roman"/>
                <w:spacing w:val="6"/>
                <w:sz w:val="20"/>
                <w:szCs w:val="20"/>
              </w:rPr>
              <w:t>2.8</w:t>
            </w:r>
            <w:r>
              <w:rPr>
                <w:rFonts w:ascii="Times New Roman" w:hAnsi="Times New Roman" w:eastAsia="Times New Roman" w:cs="Times New Roman"/>
                <w:sz w:val="20"/>
                <w:szCs w:val="20"/>
              </w:rPr>
              <w:t>m</w:t>
            </w:r>
            <w:r>
              <w:rPr>
                <w:rFonts w:ascii="宋体" w:hAnsi="宋体" w:eastAsia="宋体" w:cs="宋体"/>
                <w:spacing w:val="6"/>
                <w:sz w:val="20"/>
                <w:szCs w:val="20"/>
              </w:rPr>
              <w:t>。</w:t>
            </w:r>
          </w:p>
          <w:p>
            <w:pPr>
              <w:spacing w:line="15" w:lineRule="exact"/>
            </w:pPr>
          </w:p>
          <w:tbl>
            <w:tblPr>
              <w:tblStyle w:val="4"/>
              <w:tblW w:w="8024" w:type="dxa"/>
              <w:tblInd w:w="133"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8024"/>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3696" w:hRule="atLeast"/>
              </w:trPr>
              <w:tc>
                <w:tcPr>
                  <w:tcW w:w="8024" w:type="dxa"/>
                  <w:vAlign w:val="top"/>
                </w:tcPr>
                <w:p>
                  <w:pPr>
                    <w:spacing w:line="3695" w:lineRule="exact"/>
                    <w:textAlignment w:val="center"/>
                  </w:pPr>
                  <w:r>
                    <w:drawing>
                      <wp:inline distT="0" distB="0" distL="0" distR="0">
                        <wp:extent cx="5082540" cy="234632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73"/>
                                <a:stretch>
                                  <a:fillRect/>
                                </a:stretch>
                              </pic:blipFill>
                              <pic:spPr>
                                <a:xfrm>
                                  <a:off x="0" y="0"/>
                                  <a:ext cx="5082540" cy="2346959"/>
                                </a:xfrm>
                                <a:prstGeom prst="rect">
                                  <a:avLst/>
                                </a:prstGeom>
                              </pic:spPr>
                            </pic:pic>
                          </a:graphicData>
                        </a:graphic>
                      </wp:inline>
                    </w:drawing>
                  </w:r>
                </w:p>
              </w:tc>
            </w:tr>
          </w:tbl>
          <w:p>
            <w:pPr>
              <w:spacing w:before="36" w:line="231" w:lineRule="auto"/>
              <w:ind w:left="2571"/>
              <w:rPr>
                <w:rFonts w:ascii="黑体" w:hAnsi="黑体" w:eastAsia="黑体" w:cs="黑体"/>
                <w:sz w:val="19"/>
                <w:szCs w:val="19"/>
              </w:rPr>
            </w:pPr>
            <w:r>
              <w:rPr>
                <w:rFonts w:ascii="黑体" w:hAnsi="黑体" w:eastAsia="黑体" w:cs="黑体"/>
                <w:spacing w:val="11"/>
                <w:sz w:val="19"/>
                <w:szCs w:val="19"/>
              </w:rPr>
              <w:t>图</w:t>
            </w:r>
            <w:r>
              <w:rPr>
                <w:rFonts w:ascii="Times New Roman" w:hAnsi="Times New Roman" w:eastAsia="Times New Roman" w:cs="Times New Roman"/>
                <w:spacing w:val="7"/>
                <w:sz w:val="19"/>
                <w:szCs w:val="19"/>
              </w:rPr>
              <w:t>15</w:t>
            </w:r>
            <w:r>
              <w:rPr>
                <w:rFonts w:ascii="黑体" w:hAnsi="黑体" w:eastAsia="黑体" w:cs="黑体"/>
                <w:spacing w:val="7"/>
                <w:sz w:val="19"/>
                <w:szCs w:val="19"/>
              </w:rPr>
              <w:t>：项目设计洪水位 (百年一遇)</w:t>
            </w:r>
          </w:p>
          <w:p>
            <w:pPr>
              <w:spacing w:before="131" w:line="369" w:lineRule="auto"/>
              <w:ind w:left="107" w:right="102" w:firstLine="425"/>
              <w:rPr>
                <w:rFonts w:ascii="宋体" w:hAnsi="宋体" w:eastAsia="宋体" w:cs="宋体"/>
                <w:sz w:val="20"/>
                <w:szCs w:val="20"/>
              </w:rPr>
            </w:pPr>
            <w:r>
              <w:rPr>
                <w:rFonts w:ascii="宋体" w:hAnsi="宋体" w:eastAsia="宋体" w:cs="宋体"/>
                <w:spacing w:val="18"/>
                <w:sz w:val="20"/>
                <w:szCs w:val="20"/>
              </w:rPr>
              <w:t>结合</w:t>
            </w:r>
            <w:r>
              <w:rPr>
                <w:rFonts w:ascii="宋体" w:hAnsi="宋体" w:eastAsia="宋体" w:cs="宋体"/>
                <w:spacing w:val="12"/>
                <w:sz w:val="20"/>
                <w:szCs w:val="20"/>
              </w:rPr>
              <w:t>国</w:t>
            </w:r>
            <w:r>
              <w:rPr>
                <w:rFonts w:ascii="宋体" w:hAnsi="宋体" w:eastAsia="宋体" w:cs="宋体"/>
                <w:spacing w:val="9"/>
                <w:sz w:val="20"/>
                <w:szCs w:val="20"/>
              </w:rPr>
              <w:t>内成功案例，</w:t>
            </w:r>
            <w:r>
              <w:rPr>
                <w:rFonts w:ascii="Times New Roman" w:hAnsi="Times New Roman" w:eastAsia="Times New Roman" w:cs="Times New Roman"/>
                <w:spacing w:val="9"/>
                <w:sz w:val="20"/>
                <w:szCs w:val="20"/>
              </w:rPr>
              <w:t>110</w:t>
            </w:r>
            <w:r>
              <w:rPr>
                <w:rFonts w:ascii="Times New Roman" w:hAnsi="Times New Roman" w:eastAsia="Times New Roman" w:cs="Times New Roman"/>
                <w:sz w:val="20"/>
                <w:szCs w:val="20"/>
              </w:rPr>
              <w:t>m</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主跨的桥梁选择性较大，可以选择连续梁、桁架梁和拱式</w:t>
            </w:r>
            <w:r>
              <w:rPr>
                <w:rFonts w:ascii="宋体" w:hAnsi="宋体" w:eastAsia="宋体" w:cs="宋体"/>
                <w:sz w:val="20"/>
                <w:szCs w:val="20"/>
              </w:rPr>
              <w:t xml:space="preserve"> </w:t>
            </w:r>
            <w:r>
              <w:rPr>
                <w:rFonts w:ascii="宋体" w:hAnsi="宋体" w:eastAsia="宋体" w:cs="宋体"/>
                <w:spacing w:val="14"/>
                <w:sz w:val="20"/>
                <w:szCs w:val="20"/>
              </w:rPr>
              <w:t>桥等造</w:t>
            </w:r>
            <w:r>
              <w:rPr>
                <w:rFonts w:ascii="宋体" w:hAnsi="宋体" w:eastAsia="宋体" w:cs="宋体"/>
                <w:spacing w:val="9"/>
                <w:sz w:val="20"/>
                <w:szCs w:val="20"/>
              </w:rPr>
              <w:t>型</w:t>
            </w:r>
            <w:r>
              <w:rPr>
                <w:rFonts w:ascii="宋体" w:hAnsi="宋体" w:eastAsia="宋体" w:cs="宋体"/>
                <w:spacing w:val="7"/>
                <w:sz w:val="20"/>
                <w:szCs w:val="20"/>
              </w:rPr>
              <w:t>，结合拟建桥梁位置的实际情况，项目初设对主桥桥型结构进行了详细比选，最</w:t>
            </w:r>
            <w:r>
              <w:rPr>
                <w:rFonts w:ascii="宋体" w:hAnsi="宋体" w:eastAsia="宋体" w:cs="宋体"/>
                <w:sz w:val="20"/>
                <w:szCs w:val="20"/>
              </w:rPr>
              <w:t xml:space="preserve"> </w:t>
            </w:r>
            <w:r>
              <w:rPr>
                <w:rFonts w:ascii="宋体" w:hAnsi="宋体" w:eastAsia="宋体" w:cs="宋体"/>
                <w:spacing w:val="9"/>
                <w:sz w:val="20"/>
                <w:szCs w:val="20"/>
              </w:rPr>
              <w:t>终推荐本项目采用矮塔斜拉桥作为实施的方案。</w:t>
            </w:r>
          </w:p>
          <w:p>
            <w:pPr>
              <w:spacing w:before="1" w:line="228" w:lineRule="auto"/>
              <w:ind w:left="571"/>
              <w:rPr>
                <w:rFonts w:ascii="宋体" w:hAnsi="宋体" w:eastAsia="宋体" w:cs="宋体"/>
                <w:sz w:val="20"/>
                <w:szCs w:val="20"/>
              </w:rPr>
            </w:pPr>
            <w:r>
              <w:rPr>
                <w:rFonts w:ascii="宋体" w:hAnsi="宋体" w:eastAsia="宋体" w:cs="宋体"/>
                <w:spacing w:val="12"/>
                <w:sz w:val="17"/>
                <w:szCs w:val="17"/>
              </w:rPr>
              <w:t>3</w:t>
            </w:r>
            <w:r>
              <w:rPr>
                <w:rFonts w:ascii="宋体" w:hAnsi="宋体" w:eastAsia="宋体" w:cs="宋体"/>
                <w:spacing w:val="7"/>
                <w:sz w:val="17"/>
                <w:szCs w:val="17"/>
              </w:rPr>
              <w:t xml:space="preserve"> </w:t>
            </w:r>
            <w:r>
              <w:rPr>
                <w:rFonts w:ascii="宋体" w:hAnsi="宋体" w:eastAsia="宋体" w:cs="宋体"/>
                <w:spacing w:val="6"/>
                <w:sz w:val="17"/>
                <w:szCs w:val="17"/>
              </w:rPr>
              <w:t xml:space="preserve">  </w:t>
            </w:r>
            <w:r>
              <w:rPr>
                <w:rFonts w:ascii="宋体" w:hAnsi="宋体" w:eastAsia="宋体" w:cs="宋体"/>
                <w:spacing w:val="6"/>
                <w:sz w:val="20"/>
                <w:szCs w:val="20"/>
              </w:rPr>
              <w:t>主桥方案设计</w:t>
            </w:r>
          </w:p>
          <w:p>
            <w:pPr>
              <w:spacing w:before="153" w:line="399" w:lineRule="exact"/>
              <w:ind w:left="527"/>
              <w:rPr>
                <w:rFonts w:ascii="宋体" w:hAnsi="宋体" w:eastAsia="宋体" w:cs="宋体"/>
                <w:sz w:val="20"/>
                <w:szCs w:val="20"/>
              </w:rPr>
            </w:pPr>
            <w:r>
              <w:rPr>
                <w:rFonts w:ascii="宋体" w:hAnsi="宋体" w:eastAsia="宋体" w:cs="宋体"/>
                <w:spacing w:val="2"/>
                <w:position w:val="14"/>
                <w:sz w:val="20"/>
                <w:szCs w:val="20"/>
              </w:rPr>
              <w:t>桥梁主体结构采用矮塔斜拉</w:t>
            </w:r>
            <w:r>
              <w:rPr>
                <w:rFonts w:ascii="宋体" w:hAnsi="宋体" w:eastAsia="宋体" w:cs="宋体"/>
                <w:spacing w:val="1"/>
                <w:position w:val="14"/>
                <w:sz w:val="20"/>
                <w:szCs w:val="20"/>
              </w:rPr>
              <w:t xml:space="preserve">桥，主跨跨径 </w:t>
            </w:r>
            <w:r>
              <w:rPr>
                <w:rFonts w:ascii="Times New Roman" w:hAnsi="Times New Roman" w:eastAsia="Times New Roman" w:cs="Times New Roman"/>
                <w:spacing w:val="1"/>
                <w:position w:val="14"/>
                <w:sz w:val="20"/>
                <w:szCs w:val="20"/>
              </w:rPr>
              <w:t>110</w:t>
            </w:r>
            <w:r>
              <w:rPr>
                <w:rFonts w:ascii="Times New Roman" w:hAnsi="Times New Roman" w:eastAsia="Times New Roman" w:cs="Times New Roman"/>
                <w:position w:val="14"/>
                <w:sz w:val="20"/>
                <w:szCs w:val="20"/>
              </w:rPr>
              <w:t>m</w:t>
            </w:r>
            <w:r>
              <w:rPr>
                <w:rFonts w:ascii="Times New Roman" w:hAnsi="Times New Roman" w:eastAsia="Times New Roman" w:cs="Times New Roman"/>
                <w:spacing w:val="1"/>
                <w:position w:val="14"/>
                <w:sz w:val="20"/>
                <w:szCs w:val="20"/>
              </w:rPr>
              <w:t xml:space="preserve"> </w:t>
            </w:r>
            <w:r>
              <w:rPr>
                <w:rFonts w:ascii="宋体" w:hAnsi="宋体" w:eastAsia="宋体" w:cs="宋体"/>
                <w:spacing w:val="1"/>
                <w:position w:val="14"/>
                <w:sz w:val="20"/>
                <w:szCs w:val="20"/>
              </w:rPr>
              <w:t xml:space="preserve">，边孔为 </w:t>
            </w:r>
            <w:r>
              <w:rPr>
                <w:rFonts w:ascii="Times New Roman" w:hAnsi="Times New Roman" w:eastAsia="Times New Roman" w:cs="Times New Roman"/>
                <w:spacing w:val="1"/>
                <w:position w:val="14"/>
                <w:sz w:val="20"/>
                <w:szCs w:val="20"/>
              </w:rPr>
              <w:t>60</w:t>
            </w:r>
            <w:r>
              <w:rPr>
                <w:rFonts w:ascii="Times New Roman" w:hAnsi="Times New Roman" w:eastAsia="Times New Roman" w:cs="Times New Roman"/>
                <w:position w:val="14"/>
                <w:sz w:val="20"/>
                <w:szCs w:val="20"/>
              </w:rPr>
              <w:t>m</w:t>
            </w:r>
            <w:r>
              <w:rPr>
                <w:rFonts w:ascii="Times New Roman" w:hAnsi="Times New Roman" w:eastAsia="Times New Roman" w:cs="Times New Roman"/>
                <w:spacing w:val="1"/>
                <w:position w:val="14"/>
                <w:sz w:val="20"/>
                <w:szCs w:val="20"/>
              </w:rPr>
              <w:t xml:space="preserve"> </w:t>
            </w:r>
            <w:r>
              <w:rPr>
                <w:rFonts w:ascii="宋体" w:hAnsi="宋体" w:eastAsia="宋体" w:cs="宋体"/>
                <w:spacing w:val="1"/>
                <w:position w:val="14"/>
                <w:sz w:val="20"/>
                <w:szCs w:val="20"/>
              </w:rPr>
              <w:t>。 吊索采用扇形布置，</w:t>
            </w:r>
          </w:p>
          <w:p>
            <w:pPr>
              <w:spacing w:before="1" w:line="226" w:lineRule="auto"/>
              <w:ind w:left="109"/>
              <w:rPr>
                <w:rFonts w:ascii="宋体" w:hAnsi="宋体" w:eastAsia="宋体" w:cs="宋体"/>
                <w:sz w:val="20"/>
                <w:szCs w:val="20"/>
              </w:rPr>
            </w:pPr>
            <w:r>
              <w:rPr>
                <w:rFonts w:ascii="宋体" w:hAnsi="宋体" w:eastAsia="宋体" w:cs="宋体"/>
                <w:spacing w:val="6"/>
                <w:sz w:val="20"/>
                <w:szCs w:val="20"/>
              </w:rPr>
              <w:t>主梁采用钢箱梁，</w:t>
            </w:r>
            <w:r>
              <w:rPr>
                <w:rFonts w:ascii="宋体" w:hAnsi="宋体" w:eastAsia="宋体" w:cs="宋体"/>
                <w:spacing w:val="3"/>
                <w:sz w:val="20"/>
                <w:szCs w:val="20"/>
              </w:rPr>
              <w:t xml:space="preserve">桥塔采用钢塔。桥宽 </w:t>
            </w:r>
            <w:r>
              <w:rPr>
                <w:rFonts w:ascii="Times New Roman" w:hAnsi="Times New Roman" w:eastAsia="Times New Roman" w:cs="Times New Roman"/>
                <w:spacing w:val="3"/>
                <w:sz w:val="20"/>
                <w:szCs w:val="20"/>
              </w:rPr>
              <w:t>34.5</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，主梁中心梁高 </w:t>
            </w:r>
            <w:r>
              <w:rPr>
                <w:rFonts w:ascii="Times New Roman" w:hAnsi="Times New Roman" w:eastAsia="Times New Roman" w:cs="Times New Roman"/>
                <w:spacing w:val="3"/>
                <w:sz w:val="20"/>
                <w:szCs w:val="20"/>
              </w:rPr>
              <w:t>2.8</w:t>
            </w:r>
            <w:r>
              <w:rPr>
                <w:rFonts w:ascii="Times New Roman" w:hAnsi="Times New Roman" w:eastAsia="Times New Roman" w:cs="Times New Roman"/>
                <w:sz w:val="20"/>
                <w:szCs w:val="20"/>
              </w:rPr>
              <w:t>m</w:t>
            </w:r>
            <w:r>
              <w:rPr>
                <w:rFonts w:ascii="宋体" w:hAnsi="宋体" w:eastAsia="宋体" w:cs="宋体"/>
                <w:spacing w:val="3"/>
                <w:sz w:val="20"/>
                <w:szCs w:val="20"/>
              </w:rPr>
              <w:t>。</w:t>
            </w:r>
          </w:p>
          <w:p>
            <w:pPr>
              <w:spacing w:before="117" w:line="382" w:lineRule="auto"/>
              <w:ind w:left="107" w:right="102" w:firstLine="420"/>
              <w:rPr>
                <w:rFonts w:ascii="宋体" w:hAnsi="宋体" w:eastAsia="宋体" w:cs="宋体"/>
                <w:sz w:val="20"/>
                <w:szCs w:val="20"/>
              </w:rPr>
            </w:pPr>
            <w:r>
              <w:rPr>
                <w:rFonts w:ascii="宋体" w:hAnsi="宋体" w:eastAsia="宋体" w:cs="宋体"/>
                <w:spacing w:val="18"/>
                <w:sz w:val="20"/>
                <w:szCs w:val="20"/>
              </w:rPr>
              <w:t>桥梁</w:t>
            </w:r>
            <w:r>
              <w:rPr>
                <w:rFonts w:ascii="宋体" w:hAnsi="宋体" w:eastAsia="宋体" w:cs="宋体"/>
                <w:spacing w:val="15"/>
                <w:sz w:val="20"/>
                <w:szCs w:val="20"/>
              </w:rPr>
              <w:t>横</w:t>
            </w:r>
            <w:r>
              <w:rPr>
                <w:rFonts w:ascii="宋体" w:hAnsi="宋体" w:eastAsia="宋体" w:cs="宋体"/>
                <w:spacing w:val="9"/>
                <w:sz w:val="20"/>
                <w:szCs w:val="20"/>
              </w:rPr>
              <w:t>断面具体布置为：</w:t>
            </w:r>
            <w:r>
              <w:rPr>
                <w:rFonts w:ascii="Times New Roman" w:hAnsi="Times New Roman" w:eastAsia="Times New Roman" w:cs="Times New Roman"/>
                <w:spacing w:val="9"/>
                <w:sz w:val="20"/>
                <w:szCs w:val="20"/>
              </w:rPr>
              <w:t>4.0</w:t>
            </w:r>
            <w:r>
              <w:rPr>
                <w:rFonts w:ascii="Times New Roman" w:hAnsi="Times New Roman" w:eastAsia="Times New Roman" w:cs="Times New Roman"/>
                <w:sz w:val="20"/>
                <w:szCs w:val="20"/>
              </w:rPr>
              <w:t>m</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人行道</w:t>
            </w:r>
            <w:r>
              <w:rPr>
                <w:rFonts w:ascii="Times New Roman" w:hAnsi="Times New Roman" w:eastAsia="Times New Roman" w:cs="Times New Roman"/>
                <w:spacing w:val="9"/>
                <w:sz w:val="20"/>
                <w:szCs w:val="20"/>
              </w:rPr>
              <w:t>+2.0</w:t>
            </w:r>
            <w:r>
              <w:rPr>
                <w:rFonts w:ascii="Times New Roman" w:hAnsi="Times New Roman" w:eastAsia="Times New Roman" w:cs="Times New Roman"/>
                <w:sz w:val="20"/>
                <w:szCs w:val="20"/>
              </w:rPr>
              <w:t>m</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索区</w:t>
            </w:r>
            <w:r>
              <w:rPr>
                <w:rFonts w:ascii="Times New Roman" w:hAnsi="Times New Roman" w:eastAsia="Times New Roman" w:cs="Times New Roman"/>
                <w:spacing w:val="9"/>
                <w:sz w:val="20"/>
                <w:szCs w:val="20"/>
              </w:rPr>
              <w:t>+0.5</w:t>
            </w:r>
            <w:r>
              <w:rPr>
                <w:rFonts w:ascii="Times New Roman" w:hAnsi="Times New Roman" w:eastAsia="Times New Roman" w:cs="Times New Roman"/>
                <w:sz w:val="20"/>
                <w:szCs w:val="20"/>
              </w:rPr>
              <w:t>m</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护栏</w:t>
            </w:r>
            <w:r>
              <w:rPr>
                <w:rFonts w:ascii="Times New Roman" w:hAnsi="Times New Roman" w:eastAsia="Times New Roman" w:cs="Times New Roman"/>
                <w:spacing w:val="9"/>
                <w:sz w:val="20"/>
                <w:szCs w:val="20"/>
              </w:rPr>
              <w:t>+10.5</w:t>
            </w:r>
            <w:r>
              <w:rPr>
                <w:rFonts w:ascii="Times New Roman" w:hAnsi="Times New Roman" w:eastAsia="Times New Roman" w:cs="Times New Roman"/>
                <w:sz w:val="20"/>
                <w:szCs w:val="20"/>
              </w:rPr>
              <w:t>m</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车行道</w:t>
            </w:r>
            <w:r>
              <w:rPr>
                <w:rFonts w:ascii="Times New Roman" w:hAnsi="Times New Roman" w:eastAsia="Times New Roman" w:cs="Times New Roman"/>
                <w:spacing w:val="9"/>
                <w:sz w:val="20"/>
                <w:szCs w:val="20"/>
              </w:rPr>
              <w:t>+0.5</w:t>
            </w:r>
            <w:r>
              <w:rPr>
                <w:rFonts w:ascii="Times New Roman" w:hAnsi="Times New Roman" w:eastAsia="Times New Roman" w:cs="Times New Roman"/>
                <w:sz w:val="20"/>
                <w:szCs w:val="20"/>
              </w:rPr>
              <w:t>m</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护</w:t>
            </w:r>
            <w:r>
              <w:rPr>
                <w:rFonts w:ascii="宋体" w:hAnsi="宋体" w:eastAsia="宋体" w:cs="宋体"/>
                <w:sz w:val="20"/>
                <w:szCs w:val="20"/>
              </w:rPr>
              <w:t xml:space="preserve"> </w:t>
            </w:r>
            <w:r>
              <w:rPr>
                <w:rFonts w:ascii="宋体" w:hAnsi="宋体" w:eastAsia="宋体" w:cs="宋体"/>
                <w:spacing w:val="12"/>
                <w:sz w:val="20"/>
                <w:szCs w:val="20"/>
              </w:rPr>
              <w:t>栏</w:t>
            </w:r>
            <w:r>
              <w:rPr>
                <w:rFonts w:ascii="Times New Roman" w:hAnsi="Times New Roman" w:eastAsia="Times New Roman" w:cs="Times New Roman"/>
                <w:spacing w:val="12"/>
                <w:sz w:val="20"/>
                <w:szCs w:val="20"/>
              </w:rPr>
              <w:t>+10</w:t>
            </w:r>
            <w:r>
              <w:rPr>
                <w:rFonts w:ascii="Times New Roman" w:hAnsi="Times New Roman" w:eastAsia="Times New Roman" w:cs="Times New Roman"/>
                <w:spacing w:val="9"/>
                <w:sz w:val="20"/>
                <w:szCs w:val="20"/>
              </w:rPr>
              <w:t>.</w:t>
            </w:r>
            <w:r>
              <w:rPr>
                <w:rFonts w:ascii="Times New Roman" w:hAnsi="Times New Roman" w:eastAsia="Times New Roman" w:cs="Times New Roman"/>
                <w:spacing w:val="6"/>
                <w:sz w:val="20"/>
                <w:szCs w:val="20"/>
              </w:rPr>
              <w:t>5</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车行道</w:t>
            </w:r>
            <w:r>
              <w:rPr>
                <w:rFonts w:ascii="Times New Roman" w:hAnsi="Times New Roman" w:eastAsia="Times New Roman" w:cs="Times New Roman"/>
                <w:spacing w:val="6"/>
                <w:sz w:val="20"/>
                <w:szCs w:val="20"/>
              </w:rPr>
              <w:t>+0.5</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护栏</w:t>
            </w:r>
            <w:r>
              <w:rPr>
                <w:rFonts w:ascii="Times New Roman" w:hAnsi="Times New Roman" w:eastAsia="Times New Roman" w:cs="Times New Roman"/>
                <w:spacing w:val="6"/>
                <w:sz w:val="20"/>
                <w:szCs w:val="20"/>
              </w:rPr>
              <w:t>+2</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索区</w:t>
            </w:r>
            <w:r>
              <w:rPr>
                <w:rFonts w:ascii="Times New Roman" w:hAnsi="Times New Roman" w:eastAsia="Times New Roman" w:cs="Times New Roman"/>
                <w:spacing w:val="6"/>
                <w:sz w:val="20"/>
                <w:szCs w:val="20"/>
              </w:rPr>
              <w:t>+4.0</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人行道</w:t>
            </w:r>
            <w:r>
              <w:rPr>
                <w:rFonts w:ascii="Times New Roman" w:hAnsi="Times New Roman" w:eastAsia="Times New Roman" w:cs="Times New Roman"/>
                <w:spacing w:val="6"/>
                <w:sz w:val="20"/>
                <w:szCs w:val="20"/>
              </w:rPr>
              <w:t>=34.5</w:t>
            </w:r>
            <w:r>
              <w:rPr>
                <w:rFonts w:ascii="Times New Roman" w:hAnsi="Times New Roman" w:eastAsia="Times New Roman" w:cs="Times New Roman"/>
                <w:sz w:val="20"/>
                <w:szCs w:val="20"/>
              </w:rPr>
              <w:t>m</w:t>
            </w:r>
            <w:r>
              <w:rPr>
                <w:rFonts w:ascii="宋体" w:hAnsi="宋体" w:eastAsia="宋体" w:cs="宋体"/>
                <w:spacing w:val="6"/>
                <w:sz w:val="20"/>
                <w:szCs w:val="20"/>
              </w:rPr>
              <w:t>。</w:t>
            </w:r>
          </w:p>
          <w:p>
            <w:pPr>
              <w:spacing w:before="9" w:line="227" w:lineRule="auto"/>
              <w:ind w:left="534"/>
              <w:rPr>
                <w:rFonts w:ascii="宋体" w:hAnsi="宋体" w:eastAsia="宋体" w:cs="宋体"/>
                <w:sz w:val="20"/>
                <w:szCs w:val="20"/>
              </w:rPr>
            </w:pPr>
            <w:r>
              <w:rPr>
                <w:rFonts w:ascii="宋体" w:hAnsi="宋体" w:eastAsia="宋体" w:cs="宋体"/>
                <w:spacing w:val="9"/>
                <w:sz w:val="20"/>
                <w:szCs w:val="20"/>
              </w:rPr>
              <w:t>下部结构桥墩采用分离式矩形墩，基础采用钻孔灌注桩基础</w:t>
            </w:r>
            <w:r>
              <w:rPr>
                <w:rFonts w:ascii="宋体" w:hAnsi="宋体" w:eastAsia="宋体" w:cs="宋体"/>
                <w:spacing w:val="8"/>
                <w:sz w:val="20"/>
                <w:szCs w:val="20"/>
              </w:rPr>
              <w:t>。</w:t>
            </w:r>
          </w:p>
        </w:tc>
      </w:tr>
    </w:tbl>
    <w:p>
      <w:pPr>
        <w:rPr>
          <w:rFonts w:ascii="Arial"/>
          <w:sz w:val="21"/>
        </w:rPr>
      </w:pPr>
    </w:p>
    <w:p>
      <w:pPr>
        <w:sectPr>
          <w:footerReference r:id="rId35" w:type="default"/>
          <w:pgSz w:w="11906" w:h="16839"/>
          <w:pgMar w:top="400" w:right="1487" w:bottom="1475" w:left="1486" w:header="0" w:footer="1315" w:gutter="0"/>
          <w:cols w:space="720" w:num="1"/>
        </w:sectPr>
      </w:pPr>
    </w:p>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8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85" w:hRule="atLeast"/>
        </w:trPr>
        <w:tc>
          <w:tcPr>
            <w:tcW w:w="600" w:type="dxa"/>
            <w:tcBorders>
              <w:left w:val="single" w:color="00000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28" w:lineRule="auto"/>
              <w:ind w:left="91"/>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p>
            <w:pPr>
              <w:spacing w:before="26" w:line="229" w:lineRule="auto"/>
              <w:ind w:left="9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组</w:t>
            </w:r>
            <w:r>
              <w:rPr>
                <w:rFonts w:ascii="宋体" w:hAnsi="宋体" w:eastAsia="宋体" w:cs="宋体"/>
                <w:spacing w:val="4"/>
                <w:sz w:val="20"/>
                <w:szCs w:val="20"/>
                <w14:textOutline w14:w="3795" w14:cap="sq" w14:cmpd="sng">
                  <w14:solidFill>
                    <w14:srgbClr w14:val="000000"/>
                  </w14:solidFill>
                  <w14:prstDash w14:val="solid"/>
                  <w14:bevel/>
                </w14:textOutline>
              </w:rPr>
              <w:t>成</w:t>
            </w:r>
          </w:p>
          <w:p>
            <w:pPr>
              <w:spacing w:before="22" w:line="230" w:lineRule="auto"/>
              <w:ind w:left="8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及规</w:t>
            </w:r>
          </w:p>
          <w:p>
            <w:pPr>
              <w:spacing w:before="24" w:line="228" w:lineRule="auto"/>
              <w:ind w:left="190"/>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模</w:t>
            </w:r>
          </w:p>
        </w:tc>
        <w:tc>
          <w:tcPr>
            <w:tcW w:w="8317" w:type="dxa"/>
            <w:tcBorders>
              <w:right w:val="single" w:color="000000" w:sz="6" w:space="0"/>
            </w:tcBorders>
            <w:vAlign w:val="top"/>
          </w:tcPr>
          <w:p>
            <w:pPr>
              <w:spacing w:line="91" w:lineRule="auto"/>
              <w:rPr>
                <w:rFonts w:ascii="Arial"/>
                <w:sz w:val="2"/>
              </w:rPr>
            </w:pPr>
          </w:p>
          <w:tbl>
            <w:tblPr>
              <w:tblStyle w:val="4"/>
              <w:tblW w:w="7302" w:type="dxa"/>
              <w:tblInd w:w="488"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7302"/>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3279" w:hRule="atLeast"/>
              </w:trPr>
              <w:tc>
                <w:tcPr>
                  <w:tcW w:w="7302" w:type="dxa"/>
                  <w:vAlign w:val="top"/>
                </w:tcPr>
                <w:p>
                  <w:pPr>
                    <w:spacing w:line="3279" w:lineRule="exact"/>
                    <w:textAlignment w:val="center"/>
                  </w:pPr>
                  <w:r>
                    <w:drawing>
                      <wp:inline distT="0" distB="0" distL="0" distR="0">
                        <wp:extent cx="4623435" cy="2082165"/>
                        <wp:effectExtent l="0" t="0" r="0" b="0"/>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174"/>
                                <a:stretch>
                                  <a:fillRect/>
                                </a:stretch>
                              </pic:blipFill>
                              <pic:spPr>
                                <a:xfrm>
                                  <a:off x="0" y="0"/>
                                  <a:ext cx="4624069" cy="2082165"/>
                                </a:xfrm>
                                <a:prstGeom prst="rect">
                                  <a:avLst/>
                                </a:prstGeom>
                              </pic:spPr>
                            </pic:pic>
                          </a:graphicData>
                        </a:graphic>
                      </wp:inline>
                    </w:drawing>
                  </w:r>
                </w:p>
              </w:tc>
            </w:tr>
          </w:tbl>
          <w:p>
            <w:pPr>
              <w:spacing w:before="39" w:line="231" w:lineRule="auto"/>
              <w:ind w:left="3371"/>
              <w:rPr>
                <w:rFonts w:ascii="黑体" w:hAnsi="黑体" w:eastAsia="黑体" w:cs="黑体"/>
                <w:sz w:val="19"/>
                <w:szCs w:val="19"/>
              </w:rPr>
            </w:pPr>
            <w:r>
              <w:rPr>
                <w:rFonts w:ascii="黑体" w:hAnsi="黑体" w:eastAsia="黑体" w:cs="黑体"/>
                <w:spacing w:val="10"/>
                <w:sz w:val="19"/>
                <w:szCs w:val="19"/>
              </w:rPr>
              <w:t>图</w:t>
            </w:r>
            <w:r>
              <w:rPr>
                <w:rFonts w:ascii="Times New Roman" w:hAnsi="Times New Roman" w:eastAsia="Times New Roman" w:cs="Times New Roman"/>
                <w:spacing w:val="6"/>
                <w:sz w:val="19"/>
                <w:szCs w:val="19"/>
              </w:rPr>
              <w:t>16</w:t>
            </w:r>
            <w:r>
              <w:rPr>
                <w:rFonts w:ascii="黑体" w:hAnsi="黑体" w:eastAsia="黑体" w:cs="黑体"/>
                <w:spacing w:val="6"/>
                <w:sz w:val="19"/>
                <w:szCs w:val="19"/>
              </w:rPr>
              <w:t>：桥型立面图</w:t>
            </w:r>
          </w:p>
          <w:p>
            <w:pPr>
              <w:spacing w:before="130" w:line="228" w:lineRule="auto"/>
              <w:ind w:left="532"/>
              <w:rPr>
                <w:rFonts w:ascii="宋体" w:hAnsi="宋体" w:eastAsia="宋体" w:cs="宋体"/>
                <w:sz w:val="20"/>
                <w:szCs w:val="20"/>
              </w:rPr>
            </w:pPr>
            <w:r>
              <w:rPr>
                <w:rFonts w:ascii="宋体" w:hAnsi="宋体" w:eastAsia="宋体" w:cs="宋体"/>
                <w:spacing w:val="12"/>
                <w:sz w:val="20"/>
                <w:szCs w:val="20"/>
              </w:rPr>
              <w:t>结</w:t>
            </w:r>
            <w:r>
              <w:rPr>
                <w:rFonts w:ascii="宋体" w:hAnsi="宋体" w:eastAsia="宋体" w:cs="宋体"/>
                <w:spacing w:val="9"/>
                <w:sz w:val="20"/>
                <w:szCs w:val="20"/>
              </w:rPr>
              <w:t>构体系：桥梁采用塔梁固结，用支座支撑在桥墩上的结构体系。</w:t>
            </w:r>
          </w:p>
          <w:p>
            <w:pPr>
              <w:spacing w:line="15" w:lineRule="exact"/>
            </w:pPr>
          </w:p>
          <w:tbl>
            <w:tblPr>
              <w:tblStyle w:val="4"/>
              <w:tblW w:w="7304" w:type="dxa"/>
              <w:tblInd w:w="488"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7304"/>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2463" w:hRule="atLeast"/>
              </w:trPr>
              <w:tc>
                <w:tcPr>
                  <w:tcW w:w="7304" w:type="dxa"/>
                  <w:vAlign w:val="top"/>
                </w:tcPr>
                <w:p>
                  <w:pPr>
                    <w:spacing w:line="2462" w:lineRule="exact"/>
                    <w:textAlignment w:val="center"/>
                  </w:pPr>
                  <w:r>
                    <w:drawing>
                      <wp:inline distT="0" distB="0" distL="0" distR="0">
                        <wp:extent cx="4625340" cy="156337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75"/>
                                <a:stretch>
                                  <a:fillRect/>
                                </a:stretch>
                              </pic:blipFill>
                              <pic:spPr>
                                <a:xfrm>
                                  <a:off x="0" y="0"/>
                                  <a:ext cx="4625340" cy="1564004"/>
                                </a:xfrm>
                                <a:prstGeom prst="rect">
                                  <a:avLst/>
                                </a:prstGeom>
                              </pic:spPr>
                            </pic:pic>
                          </a:graphicData>
                        </a:graphic>
                      </wp:inline>
                    </w:drawing>
                  </w:r>
                </w:p>
              </w:tc>
            </w:tr>
          </w:tbl>
          <w:p>
            <w:pPr>
              <w:spacing w:before="43" w:line="231" w:lineRule="auto"/>
              <w:ind w:left="3371"/>
              <w:rPr>
                <w:rFonts w:ascii="黑体" w:hAnsi="黑体" w:eastAsia="黑体" w:cs="黑体"/>
                <w:sz w:val="19"/>
                <w:szCs w:val="19"/>
              </w:rPr>
            </w:pPr>
            <w:r>
              <w:rPr>
                <w:rFonts w:ascii="黑体" w:hAnsi="黑体" w:eastAsia="黑体" w:cs="黑体"/>
                <w:spacing w:val="10"/>
                <w:sz w:val="19"/>
                <w:szCs w:val="19"/>
              </w:rPr>
              <w:t>图</w:t>
            </w:r>
            <w:r>
              <w:rPr>
                <w:rFonts w:ascii="Times New Roman" w:hAnsi="Times New Roman" w:eastAsia="Times New Roman" w:cs="Times New Roman"/>
                <w:spacing w:val="6"/>
                <w:sz w:val="19"/>
                <w:szCs w:val="19"/>
              </w:rPr>
              <w:t>17</w:t>
            </w:r>
            <w:r>
              <w:rPr>
                <w:rFonts w:ascii="黑体" w:hAnsi="黑体" w:eastAsia="黑体" w:cs="黑体"/>
                <w:spacing w:val="6"/>
                <w:sz w:val="19"/>
                <w:szCs w:val="19"/>
              </w:rPr>
              <w:t>：断面布置图</w:t>
            </w:r>
          </w:p>
          <w:p>
            <w:pPr>
              <w:spacing w:before="129" w:line="228" w:lineRule="auto"/>
              <w:ind w:left="544"/>
              <w:rPr>
                <w:rFonts w:ascii="宋体" w:hAnsi="宋体" w:eastAsia="宋体" w:cs="宋体"/>
                <w:sz w:val="20"/>
                <w:szCs w:val="20"/>
              </w:rPr>
            </w:pPr>
            <w:r>
              <w:rPr>
                <w:rFonts w:ascii="Times New Roman" w:hAnsi="Times New Roman" w:eastAsia="Times New Roman" w:cs="Times New Roman"/>
                <w:spacing w:val="2"/>
                <w:sz w:val="20"/>
                <w:szCs w:val="20"/>
              </w:rPr>
              <w:t>1</w:t>
            </w:r>
            <w:r>
              <w:rPr>
                <w:rFonts w:ascii="宋体" w:hAnsi="宋体" w:eastAsia="宋体" w:cs="宋体"/>
                <w:spacing w:val="2"/>
                <w:sz w:val="20"/>
                <w:szCs w:val="20"/>
              </w:rPr>
              <w:t>)</w:t>
            </w:r>
            <w:r>
              <w:rPr>
                <w:rFonts w:ascii="宋体" w:hAnsi="宋体" w:eastAsia="宋体" w:cs="宋体"/>
                <w:spacing w:val="1"/>
                <w:sz w:val="20"/>
                <w:szCs w:val="20"/>
              </w:rPr>
              <w:t xml:space="preserve"> 主梁</w:t>
            </w:r>
          </w:p>
          <w:p>
            <w:pPr>
              <w:spacing w:before="154" w:line="322" w:lineRule="auto"/>
              <w:ind w:left="107" w:right="104" w:firstLine="445"/>
              <w:rPr>
                <w:rFonts w:ascii="宋体" w:hAnsi="宋体" w:eastAsia="宋体" w:cs="宋体"/>
                <w:sz w:val="20"/>
                <w:szCs w:val="20"/>
              </w:rPr>
            </w:pPr>
            <w:r>
              <w:rPr>
                <w:rFonts w:ascii="宋体" w:hAnsi="宋体" w:eastAsia="宋体" w:cs="宋体"/>
                <w:spacing w:val="12"/>
                <w:sz w:val="20"/>
                <w:szCs w:val="20"/>
              </w:rPr>
              <w:t>由于梁高</w:t>
            </w:r>
            <w:r>
              <w:rPr>
                <w:rFonts w:ascii="宋体" w:hAnsi="宋体" w:eastAsia="宋体" w:cs="宋体"/>
                <w:spacing w:val="9"/>
                <w:sz w:val="20"/>
                <w:szCs w:val="20"/>
              </w:rPr>
              <w:t>受</w:t>
            </w:r>
            <w:r>
              <w:rPr>
                <w:rFonts w:ascii="宋体" w:hAnsi="宋体" w:eastAsia="宋体" w:cs="宋体"/>
                <w:spacing w:val="6"/>
                <w:sz w:val="20"/>
                <w:szCs w:val="20"/>
              </w:rPr>
              <w:t>防洪标高限制，采用混凝土梁梁高无法满足防洪标高要求，所以主梁采用</w:t>
            </w:r>
            <w:r>
              <w:rPr>
                <w:rFonts w:ascii="宋体" w:hAnsi="宋体" w:eastAsia="宋体" w:cs="宋体"/>
                <w:sz w:val="20"/>
                <w:szCs w:val="20"/>
              </w:rPr>
              <w:t xml:space="preserve"> </w:t>
            </w:r>
            <w:r>
              <w:rPr>
                <w:rFonts w:ascii="宋体" w:hAnsi="宋体" w:eastAsia="宋体" w:cs="宋体"/>
                <w:spacing w:val="14"/>
                <w:sz w:val="20"/>
                <w:szCs w:val="20"/>
              </w:rPr>
              <w:t>整体</w:t>
            </w:r>
            <w:r>
              <w:rPr>
                <w:rFonts w:ascii="宋体" w:hAnsi="宋体" w:eastAsia="宋体" w:cs="宋体"/>
                <w:spacing w:val="7"/>
                <w:sz w:val="20"/>
                <w:szCs w:val="20"/>
              </w:rPr>
              <w:t xml:space="preserve">钢箱梁结构形式，桥面总宽 </w:t>
            </w:r>
            <w:r>
              <w:rPr>
                <w:rFonts w:ascii="Times New Roman" w:hAnsi="Times New Roman" w:eastAsia="Times New Roman" w:cs="Times New Roman"/>
                <w:spacing w:val="7"/>
                <w:sz w:val="20"/>
                <w:szCs w:val="20"/>
              </w:rPr>
              <w:t>34.5</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 xml:space="preserve">，桥梁顶部为双向 </w:t>
            </w:r>
            <w:r>
              <w:rPr>
                <w:rFonts w:ascii="Times New Roman" w:hAnsi="Times New Roman" w:eastAsia="Times New Roman" w:cs="Times New Roman"/>
                <w:spacing w:val="7"/>
                <w:sz w:val="20"/>
                <w:szCs w:val="20"/>
              </w:rPr>
              <w:t>1.5%</w:t>
            </w:r>
            <w:r>
              <w:rPr>
                <w:rFonts w:ascii="宋体" w:hAnsi="宋体" w:eastAsia="宋体" w:cs="宋体"/>
                <w:spacing w:val="7"/>
                <w:sz w:val="20"/>
                <w:szCs w:val="20"/>
              </w:rPr>
              <w:t>的横坡，桥梁底板水平，</w:t>
            </w:r>
            <w:r>
              <w:rPr>
                <w:rFonts w:ascii="宋体" w:hAnsi="宋体" w:eastAsia="宋体" w:cs="宋体"/>
                <w:sz w:val="20"/>
                <w:szCs w:val="20"/>
              </w:rPr>
              <w:t xml:space="preserve"> </w:t>
            </w:r>
            <w:r>
              <w:rPr>
                <w:rFonts w:ascii="宋体" w:hAnsi="宋体" w:eastAsia="宋体" w:cs="宋体"/>
                <w:spacing w:val="4"/>
                <w:sz w:val="20"/>
                <w:szCs w:val="20"/>
              </w:rPr>
              <w:t>桥</w:t>
            </w:r>
            <w:r>
              <w:rPr>
                <w:rFonts w:ascii="宋体" w:hAnsi="宋体" w:eastAsia="宋体" w:cs="宋体"/>
                <w:spacing w:val="3"/>
                <w:sz w:val="20"/>
                <w:szCs w:val="20"/>
              </w:rPr>
              <w:t>梁</w:t>
            </w:r>
            <w:r>
              <w:rPr>
                <w:rFonts w:ascii="宋体" w:hAnsi="宋体" w:eastAsia="宋体" w:cs="宋体"/>
                <w:spacing w:val="2"/>
                <w:sz w:val="20"/>
                <w:szCs w:val="20"/>
              </w:rPr>
              <w:t xml:space="preserve">中心高度 </w:t>
            </w:r>
            <w:r>
              <w:rPr>
                <w:rFonts w:ascii="Times New Roman" w:hAnsi="Times New Roman" w:eastAsia="Times New Roman" w:cs="Times New Roman"/>
                <w:spacing w:val="2"/>
                <w:sz w:val="20"/>
                <w:szCs w:val="20"/>
              </w:rPr>
              <w:t>2.8</w:t>
            </w:r>
            <w:r>
              <w:rPr>
                <w:rFonts w:ascii="Times New Roman" w:hAnsi="Times New Roman" w:eastAsia="Times New Roman" w:cs="Times New Roman"/>
                <w:sz w:val="20"/>
                <w:szCs w:val="20"/>
              </w:rPr>
              <w:t>m</w:t>
            </w:r>
            <w:r>
              <w:rPr>
                <w:rFonts w:ascii="宋体" w:hAnsi="宋体" w:eastAsia="宋体" w:cs="宋体"/>
                <w:spacing w:val="2"/>
                <w:sz w:val="20"/>
                <w:szCs w:val="20"/>
              </w:rPr>
              <w:t>。</w:t>
            </w:r>
          </w:p>
          <w:p>
            <w:pPr>
              <w:spacing w:line="16" w:lineRule="exact"/>
            </w:pPr>
          </w:p>
          <w:tbl>
            <w:tblPr>
              <w:tblStyle w:val="4"/>
              <w:tblW w:w="7340" w:type="dxa"/>
              <w:tblInd w:w="474"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7340"/>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PrEx>
              <w:trPr>
                <w:trHeight w:val="1983" w:hRule="atLeast"/>
              </w:trPr>
              <w:tc>
                <w:tcPr>
                  <w:tcW w:w="7340" w:type="dxa"/>
                  <w:vAlign w:val="top"/>
                </w:tcPr>
                <w:p>
                  <w:pPr>
                    <w:spacing w:line="1982" w:lineRule="exact"/>
                    <w:textAlignment w:val="center"/>
                  </w:pPr>
                  <w:r>
                    <w:drawing>
                      <wp:inline distT="0" distB="0" distL="0" distR="0">
                        <wp:extent cx="4648200" cy="1258570"/>
                        <wp:effectExtent l="0" t="0" r="0" b="0"/>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176"/>
                                <a:stretch>
                                  <a:fillRect/>
                                </a:stretch>
                              </pic:blipFill>
                              <pic:spPr>
                                <a:xfrm>
                                  <a:off x="0" y="0"/>
                                  <a:ext cx="4648200" cy="1259204"/>
                                </a:xfrm>
                                <a:prstGeom prst="rect">
                                  <a:avLst/>
                                </a:prstGeom>
                              </pic:spPr>
                            </pic:pic>
                          </a:graphicData>
                        </a:graphic>
                      </wp:inline>
                    </w:drawing>
                  </w:r>
                </w:p>
              </w:tc>
            </w:tr>
          </w:tbl>
          <w:p>
            <w:pPr>
              <w:spacing w:before="46" w:line="231" w:lineRule="auto"/>
              <w:ind w:left="3071"/>
              <w:rPr>
                <w:rFonts w:ascii="黑体" w:hAnsi="黑体" w:eastAsia="黑体" w:cs="黑体"/>
                <w:sz w:val="19"/>
                <w:szCs w:val="19"/>
              </w:rPr>
            </w:pPr>
            <w:r>
              <w:rPr>
                <w:rFonts w:ascii="黑体" w:hAnsi="黑体" w:eastAsia="黑体" w:cs="黑体"/>
                <w:spacing w:val="11"/>
                <w:sz w:val="19"/>
                <w:szCs w:val="19"/>
              </w:rPr>
              <w:t>图</w:t>
            </w:r>
            <w:r>
              <w:rPr>
                <w:rFonts w:ascii="Times New Roman" w:hAnsi="Times New Roman" w:eastAsia="Times New Roman" w:cs="Times New Roman"/>
                <w:spacing w:val="7"/>
                <w:sz w:val="19"/>
                <w:szCs w:val="19"/>
              </w:rPr>
              <w:t>18</w:t>
            </w:r>
            <w:r>
              <w:rPr>
                <w:rFonts w:ascii="黑体" w:hAnsi="黑体" w:eastAsia="黑体" w:cs="黑体"/>
                <w:spacing w:val="7"/>
                <w:sz w:val="19"/>
                <w:szCs w:val="19"/>
              </w:rPr>
              <w:t>：主梁标准横断面图</w:t>
            </w:r>
          </w:p>
          <w:p>
            <w:pPr>
              <w:spacing w:before="132" w:line="369" w:lineRule="auto"/>
              <w:ind w:left="106" w:right="104" w:firstLine="422"/>
              <w:rPr>
                <w:rFonts w:ascii="宋体" w:hAnsi="宋体" w:eastAsia="宋体" w:cs="宋体"/>
                <w:sz w:val="20"/>
                <w:szCs w:val="20"/>
              </w:rPr>
            </w:pPr>
            <w:r>
              <w:rPr>
                <w:rFonts w:ascii="宋体" w:hAnsi="宋体" w:eastAsia="宋体" w:cs="宋体"/>
                <w:spacing w:val="7"/>
                <w:sz w:val="20"/>
                <w:szCs w:val="20"/>
              </w:rPr>
              <w:t>主</w:t>
            </w:r>
            <w:r>
              <w:rPr>
                <w:rFonts w:ascii="宋体" w:hAnsi="宋体" w:eastAsia="宋体" w:cs="宋体"/>
                <w:spacing w:val="4"/>
                <w:sz w:val="20"/>
                <w:szCs w:val="20"/>
              </w:rPr>
              <w:t>梁顶底板均采用</w:t>
            </w:r>
            <w:r>
              <w:rPr>
                <w:rFonts w:ascii="Times New Roman" w:hAnsi="Times New Roman" w:eastAsia="Times New Roman" w:cs="Times New Roman"/>
                <w:sz w:val="20"/>
                <w:szCs w:val="20"/>
              </w:rPr>
              <w:t>U</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肋，</w:t>
            </w:r>
            <w:r>
              <w:rPr>
                <w:rFonts w:ascii="Times New Roman" w:hAnsi="Times New Roman" w:eastAsia="Times New Roman" w:cs="Times New Roman"/>
                <w:sz w:val="20"/>
                <w:szCs w:val="20"/>
              </w:rPr>
              <w:t>U</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肋间距 </w:t>
            </w:r>
            <w:r>
              <w:rPr>
                <w:rFonts w:ascii="Times New Roman" w:hAnsi="Times New Roman" w:eastAsia="Times New Roman" w:cs="Times New Roman"/>
                <w:spacing w:val="4"/>
                <w:sz w:val="20"/>
                <w:szCs w:val="20"/>
              </w:rPr>
              <w:t>600</w:t>
            </w:r>
            <w:r>
              <w:rPr>
                <w:rFonts w:ascii="Times New Roman" w:hAnsi="Times New Roman" w:eastAsia="Times New Roman" w:cs="Times New Roman"/>
                <w:sz w:val="20"/>
                <w:szCs w:val="20"/>
              </w:rPr>
              <w:t>mm</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，桥梁悬臂长 </w:t>
            </w:r>
            <w:r>
              <w:rPr>
                <w:rFonts w:ascii="Times New Roman" w:hAnsi="Times New Roman" w:eastAsia="Times New Roman" w:cs="Times New Roman"/>
                <w:spacing w:val="4"/>
                <w:sz w:val="20"/>
                <w:szCs w:val="20"/>
              </w:rPr>
              <w:t>4.2</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，悬臂采用弧形挑臂，</w:t>
            </w:r>
            <w:r>
              <w:rPr>
                <w:rFonts w:ascii="宋体" w:hAnsi="宋体" w:eastAsia="宋体" w:cs="宋体"/>
                <w:sz w:val="20"/>
                <w:szCs w:val="20"/>
              </w:rPr>
              <w:t xml:space="preserve"> </w:t>
            </w:r>
            <w:r>
              <w:rPr>
                <w:rFonts w:ascii="宋体" w:hAnsi="宋体" w:eastAsia="宋体" w:cs="宋体"/>
                <w:spacing w:val="14"/>
                <w:sz w:val="20"/>
                <w:szCs w:val="20"/>
              </w:rPr>
              <w:t>挑</w:t>
            </w:r>
            <w:r>
              <w:rPr>
                <w:rFonts w:ascii="宋体" w:hAnsi="宋体" w:eastAsia="宋体" w:cs="宋体"/>
                <w:spacing w:val="9"/>
                <w:sz w:val="20"/>
                <w:szCs w:val="20"/>
              </w:rPr>
              <w:t>臂</w:t>
            </w:r>
            <w:r>
              <w:rPr>
                <w:rFonts w:ascii="宋体" w:hAnsi="宋体" w:eastAsia="宋体" w:cs="宋体"/>
                <w:spacing w:val="7"/>
                <w:sz w:val="20"/>
                <w:szCs w:val="20"/>
              </w:rPr>
              <w:t xml:space="preserve">腹板与横隔板均为 </w:t>
            </w:r>
            <w:r>
              <w:rPr>
                <w:rFonts w:ascii="Times New Roman" w:hAnsi="Times New Roman" w:eastAsia="Times New Roman" w:cs="Times New Roman"/>
                <w:spacing w:val="7"/>
                <w:sz w:val="20"/>
                <w:szCs w:val="20"/>
              </w:rPr>
              <w:t>3</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一道。在悬臂下缘，每隔一定间距开设椭圆形孔洞，与亮化工</w:t>
            </w:r>
            <w:r>
              <w:rPr>
                <w:rFonts w:ascii="宋体" w:hAnsi="宋体" w:eastAsia="宋体" w:cs="宋体"/>
                <w:sz w:val="20"/>
                <w:szCs w:val="20"/>
              </w:rPr>
              <w:t xml:space="preserve"> </w:t>
            </w:r>
            <w:r>
              <w:rPr>
                <w:rFonts w:ascii="宋体" w:hAnsi="宋体" w:eastAsia="宋体" w:cs="宋体"/>
                <w:spacing w:val="16"/>
                <w:sz w:val="20"/>
                <w:szCs w:val="20"/>
              </w:rPr>
              <w:t>程</w:t>
            </w:r>
            <w:r>
              <w:rPr>
                <w:rFonts w:ascii="宋体" w:hAnsi="宋体" w:eastAsia="宋体" w:cs="宋体"/>
                <w:spacing w:val="11"/>
                <w:sz w:val="20"/>
                <w:szCs w:val="20"/>
              </w:rPr>
              <w:t>结</w:t>
            </w:r>
            <w:r>
              <w:rPr>
                <w:rFonts w:ascii="宋体" w:hAnsi="宋体" w:eastAsia="宋体" w:cs="宋体"/>
                <w:spacing w:val="8"/>
                <w:sz w:val="20"/>
                <w:szCs w:val="20"/>
              </w:rPr>
              <w:t xml:space="preserve">合，形成较好的景观效果。与主塔对应区域设置 </w:t>
            </w:r>
            <w:r>
              <w:rPr>
                <w:rFonts w:ascii="Times New Roman" w:hAnsi="Times New Roman" w:eastAsia="Times New Roman" w:cs="Times New Roman"/>
                <w:spacing w:val="8"/>
                <w:sz w:val="20"/>
                <w:szCs w:val="20"/>
              </w:rPr>
              <w:t>1.6</w:t>
            </w:r>
            <w:r>
              <w:rPr>
                <w:rFonts w:ascii="Times New Roman" w:hAnsi="Times New Roman" w:eastAsia="Times New Roman" w:cs="Times New Roman"/>
                <w:sz w:val="20"/>
                <w:szCs w:val="20"/>
              </w:rPr>
              <w:t>m</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宽的箱室，桥梁中心设置一道</w:t>
            </w:r>
            <w:r>
              <w:rPr>
                <w:rFonts w:ascii="宋体" w:hAnsi="宋体" w:eastAsia="宋体" w:cs="宋体"/>
                <w:sz w:val="20"/>
                <w:szCs w:val="20"/>
              </w:rPr>
              <w:t xml:space="preserve"> </w:t>
            </w:r>
            <w:r>
              <w:rPr>
                <w:rFonts w:ascii="宋体" w:hAnsi="宋体" w:eastAsia="宋体" w:cs="宋体"/>
                <w:spacing w:val="6"/>
                <w:sz w:val="20"/>
                <w:szCs w:val="20"/>
              </w:rPr>
              <w:t>腹板，</w:t>
            </w:r>
            <w:r>
              <w:rPr>
                <w:rFonts w:ascii="宋体" w:hAnsi="宋体" w:eastAsia="宋体" w:cs="宋体"/>
                <w:spacing w:val="3"/>
                <w:sz w:val="20"/>
                <w:szCs w:val="20"/>
              </w:rPr>
              <w:t xml:space="preserve">箱梁共计 </w:t>
            </w: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道腹板。</w:t>
            </w:r>
          </w:p>
          <w:p>
            <w:pPr>
              <w:spacing w:before="1" w:line="229" w:lineRule="auto"/>
              <w:ind w:left="523"/>
              <w:rPr>
                <w:rFonts w:ascii="宋体" w:hAnsi="宋体" w:eastAsia="宋体" w:cs="宋体"/>
                <w:sz w:val="20"/>
                <w:szCs w:val="20"/>
              </w:rPr>
            </w:pPr>
            <w:r>
              <w:rPr>
                <w:rFonts w:ascii="Times New Roman" w:hAnsi="Times New Roman" w:eastAsia="Times New Roman" w:cs="Times New Roman"/>
                <w:spacing w:val="7"/>
                <w:sz w:val="20"/>
                <w:szCs w:val="20"/>
              </w:rPr>
              <w:t>2</w:t>
            </w:r>
            <w:r>
              <w:rPr>
                <w:rFonts w:ascii="宋体" w:hAnsi="宋体" w:eastAsia="宋体" w:cs="宋体"/>
                <w:spacing w:val="5"/>
                <w:sz w:val="20"/>
                <w:szCs w:val="20"/>
              </w:rPr>
              <w:t>) 主塔</w:t>
            </w:r>
          </w:p>
          <w:p>
            <w:pPr>
              <w:spacing w:before="152" w:line="398" w:lineRule="exact"/>
              <w:ind w:left="528"/>
              <w:rPr>
                <w:rFonts w:ascii="宋体" w:hAnsi="宋体" w:eastAsia="宋体" w:cs="宋体"/>
                <w:sz w:val="20"/>
                <w:szCs w:val="20"/>
              </w:rPr>
            </w:pPr>
            <w:r>
              <w:rPr>
                <w:rFonts w:ascii="宋体" w:hAnsi="宋体" w:eastAsia="宋体" w:cs="宋体"/>
                <w:spacing w:val="7"/>
                <w:position w:val="14"/>
                <w:sz w:val="20"/>
                <w:szCs w:val="20"/>
              </w:rPr>
              <w:t xml:space="preserve">本桥桥面不高，桥面以上塔高约 </w:t>
            </w:r>
            <w:r>
              <w:rPr>
                <w:rFonts w:ascii="Times New Roman" w:hAnsi="Times New Roman" w:eastAsia="Times New Roman" w:cs="Times New Roman"/>
                <w:spacing w:val="7"/>
                <w:position w:val="14"/>
                <w:sz w:val="20"/>
                <w:szCs w:val="20"/>
              </w:rPr>
              <w:t>20</w:t>
            </w:r>
            <w:r>
              <w:rPr>
                <w:rFonts w:ascii="Times New Roman" w:hAnsi="Times New Roman" w:eastAsia="Times New Roman" w:cs="Times New Roman"/>
                <w:position w:val="14"/>
                <w:sz w:val="20"/>
                <w:szCs w:val="20"/>
              </w:rPr>
              <w:t>m</w:t>
            </w:r>
            <w:r>
              <w:rPr>
                <w:rFonts w:ascii="Times New Roman" w:hAnsi="Times New Roman" w:eastAsia="Times New Roman" w:cs="Times New Roman"/>
                <w:spacing w:val="7"/>
                <w:position w:val="14"/>
                <w:sz w:val="20"/>
                <w:szCs w:val="20"/>
              </w:rPr>
              <w:t xml:space="preserve"> </w:t>
            </w:r>
            <w:r>
              <w:rPr>
                <w:rFonts w:ascii="宋体" w:hAnsi="宋体" w:eastAsia="宋体" w:cs="宋体"/>
                <w:spacing w:val="7"/>
                <w:position w:val="14"/>
                <w:sz w:val="20"/>
                <w:szCs w:val="20"/>
              </w:rPr>
              <w:t>，初设推荐桥塔采用</w:t>
            </w:r>
            <w:r>
              <w:rPr>
                <w:rFonts w:ascii="Times New Roman" w:hAnsi="Times New Roman" w:eastAsia="Times New Roman" w:cs="Times New Roman"/>
                <w:position w:val="14"/>
                <w:sz w:val="20"/>
                <w:szCs w:val="20"/>
              </w:rPr>
              <w:t>Y</w:t>
            </w:r>
            <w:r>
              <w:rPr>
                <w:rFonts w:ascii="Times New Roman" w:hAnsi="Times New Roman" w:eastAsia="Times New Roman" w:cs="Times New Roman"/>
                <w:spacing w:val="7"/>
                <w:position w:val="14"/>
                <w:sz w:val="20"/>
                <w:szCs w:val="20"/>
              </w:rPr>
              <w:t xml:space="preserve"> </w:t>
            </w:r>
            <w:r>
              <w:rPr>
                <w:rFonts w:ascii="宋体" w:hAnsi="宋体" w:eastAsia="宋体" w:cs="宋体"/>
                <w:spacing w:val="7"/>
                <w:position w:val="14"/>
                <w:sz w:val="20"/>
                <w:szCs w:val="20"/>
              </w:rPr>
              <w:t>形塔，造型简洁、美观</w:t>
            </w:r>
            <w:r>
              <w:rPr>
                <w:rFonts w:ascii="宋体" w:hAnsi="宋体" w:eastAsia="宋体" w:cs="宋体"/>
                <w:spacing w:val="1"/>
                <w:position w:val="14"/>
                <w:sz w:val="20"/>
                <w:szCs w:val="20"/>
              </w:rPr>
              <w:t>，</w:t>
            </w:r>
          </w:p>
          <w:p>
            <w:pPr>
              <w:spacing w:before="1" w:line="227" w:lineRule="auto"/>
              <w:ind w:left="108"/>
              <w:rPr>
                <w:rFonts w:ascii="宋体" w:hAnsi="宋体" w:eastAsia="宋体" w:cs="宋体"/>
                <w:sz w:val="20"/>
                <w:szCs w:val="20"/>
              </w:rPr>
            </w:pPr>
            <w:r>
              <w:rPr>
                <w:rFonts w:ascii="宋体" w:hAnsi="宋体" w:eastAsia="宋体" w:cs="宋体"/>
                <w:spacing w:val="14"/>
                <w:sz w:val="20"/>
                <w:szCs w:val="20"/>
              </w:rPr>
              <w:t>有较</w:t>
            </w:r>
            <w:r>
              <w:rPr>
                <w:rFonts w:ascii="宋体" w:hAnsi="宋体" w:eastAsia="宋体" w:cs="宋体"/>
                <w:spacing w:val="13"/>
                <w:sz w:val="20"/>
                <w:szCs w:val="20"/>
              </w:rPr>
              <w:t>好</w:t>
            </w:r>
            <w:r>
              <w:rPr>
                <w:rFonts w:ascii="宋体" w:hAnsi="宋体" w:eastAsia="宋体" w:cs="宋体"/>
                <w:spacing w:val="7"/>
                <w:sz w:val="20"/>
                <w:szCs w:val="20"/>
              </w:rPr>
              <w:t>的视觉效果。主梁由于受防洪标高限制，梁高受限，若采用混凝土桥塔，与钢梁连</w:t>
            </w:r>
          </w:p>
        </w:tc>
      </w:tr>
    </w:tbl>
    <w:p>
      <w:pPr>
        <w:rPr>
          <w:rFonts w:ascii="Arial"/>
          <w:sz w:val="21"/>
        </w:rPr>
      </w:pPr>
    </w:p>
    <w:p>
      <w:pPr>
        <w:sectPr>
          <w:footerReference r:id="rId36" w:type="default"/>
          <w:pgSz w:w="11906" w:h="16839"/>
          <w:pgMar w:top="400" w:right="1487" w:bottom="1475" w:left="1486" w:header="0" w:footer="1315" w:gutter="0"/>
          <w:cols w:space="720" w:num="1"/>
        </w:sectPr>
      </w:pPr>
    </w:p>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8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86" w:hRule="atLeast"/>
        </w:trPr>
        <w:tc>
          <w:tcPr>
            <w:tcW w:w="600" w:type="dxa"/>
            <w:tcBorders>
              <w:left w:val="single" w:color="00000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28" w:lineRule="auto"/>
              <w:ind w:left="91"/>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p>
            <w:pPr>
              <w:spacing w:before="26" w:line="229" w:lineRule="auto"/>
              <w:ind w:left="9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组</w:t>
            </w:r>
            <w:r>
              <w:rPr>
                <w:rFonts w:ascii="宋体" w:hAnsi="宋体" w:eastAsia="宋体" w:cs="宋体"/>
                <w:spacing w:val="4"/>
                <w:sz w:val="20"/>
                <w:szCs w:val="20"/>
                <w14:textOutline w14:w="3795" w14:cap="sq" w14:cmpd="sng">
                  <w14:solidFill>
                    <w14:srgbClr w14:val="000000"/>
                  </w14:solidFill>
                  <w14:prstDash w14:val="solid"/>
                  <w14:bevel/>
                </w14:textOutline>
              </w:rPr>
              <w:t>成</w:t>
            </w:r>
          </w:p>
          <w:p>
            <w:pPr>
              <w:spacing w:before="22" w:line="230" w:lineRule="auto"/>
              <w:ind w:left="8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及规</w:t>
            </w:r>
          </w:p>
          <w:p>
            <w:pPr>
              <w:spacing w:before="24" w:line="228" w:lineRule="auto"/>
              <w:ind w:left="190"/>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模</w:t>
            </w:r>
          </w:p>
        </w:tc>
        <w:tc>
          <w:tcPr>
            <w:tcW w:w="8317" w:type="dxa"/>
            <w:tcBorders>
              <w:right w:val="single" w:color="000000" w:sz="6" w:space="0"/>
            </w:tcBorders>
            <w:vAlign w:val="top"/>
          </w:tcPr>
          <w:p>
            <w:pPr>
              <w:spacing w:before="144" w:line="228" w:lineRule="auto"/>
              <w:ind w:left="106"/>
              <w:rPr>
                <w:rFonts w:ascii="宋体" w:hAnsi="宋体" w:eastAsia="宋体" w:cs="宋体"/>
                <w:sz w:val="20"/>
                <w:szCs w:val="20"/>
              </w:rPr>
            </w:pPr>
            <w:r>
              <w:rPr>
                <w:rFonts w:ascii="宋体" w:hAnsi="宋体" w:eastAsia="宋体" w:cs="宋体"/>
                <w:spacing w:val="18"/>
                <w:sz w:val="20"/>
                <w:szCs w:val="20"/>
              </w:rPr>
              <w:t>接</w:t>
            </w:r>
            <w:r>
              <w:rPr>
                <w:rFonts w:ascii="宋体" w:hAnsi="宋体" w:eastAsia="宋体" w:cs="宋体"/>
                <w:spacing w:val="15"/>
                <w:sz w:val="20"/>
                <w:szCs w:val="20"/>
              </w:rPr>
              <w:t>较</w:t>
            </w:r>
            <w:r>
              <w:rPr>
                <w:rFonts w:ascii="宋体" w:hAnsi="宋体" w:eastAsia="宋体" w:cs="宋体"/>
                <w:spacing w:val="9"/>
                <w:sz w:val="20"/>
                <w:szCs w:val="20"/>
              </w:rPr>
              <w:t>为复杂，且桥塔尺寸较大，为使结构更为轻盈，桥塔也使用钢结构桥塔。</w:t>
            </w:r>
          </w:p>
          <w:p>
            <w:pPr>
              <w:spacing w:before="154" w:line="369" w:lineRule="auto"/>
              <w:ind w:left="107" w:right="104" w:firstLine="420"/>
              <w:rPr>
                <w:rFonts w:ascii="宋体" w:hAnsi="宋体" w:eastAsia="宋体" w:cs="宋体"/>
                <w:sz w:val="20"/>
                <w:szCs w:val="20"/>
              </w:rPr>
            </w:pPr>
            <w:r>
              <w:rPr>
                <w:rFonts w:ascii="宋体" w:hAnsi="宋体" w:eastAsia="宋体" w:cs="宋体"/>
                <w:spacing w:val="16"/>
                <w:sz w:val="20"/>
                <w:szCs w:val="20"/>
              </w:rPr>
              <w:t>桥</w:t>
            </w:r>
            <w:r>
              <w:rPr>
                <w:rFonts w:ascii="宋体" w:hAnsi="宋体" w:eastAsia="宋体" w:cs="宋体"/>
                <w:spacing w:val="12"/>
                <w:sz w:val="20"/>
                <w:szCs w:val="20"/>
              </w:rPr>
              <w:t>塔</w:t>
            </w:r>
            <w:r>
              <w:rPr>
                <w:rFonts w:ascii="宋体" w:hAnsi="宋体" w:eastAsia="宋体" w:cs="宋体"/>
                <w:spacing w:val="8"/>
                <w:sz w:val="20"/>
                <w:szCs w:val="20"/>
              </w:rPr>
              <w:t>结构采用</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Y</w:t>
            </w:r>
            <w:r>
              <w:rPr>
                <w:rFonts w:ascii="Times New Roman" w:hAnsi="Times New Roman" w:eastAsia="Times New Roman" w:cs="Times New Roman"/>
                <w:spacing w:val="8"/>
                <w:sz w:val="20"/>
                <w:szCs w:val="20"/>
              </w:rPr>
              <w:t>”</w:t>
            </w:r>
            <w:r>
              <w:rPr>
                <w:rFonts w:ascii="宋体" w:hAnsi="宋体" w:eastAsia="宋体" w:cs="宋体"/>
                <w:spacing w:val="8"/>
                <w:sz w:val="20"/>
                <w:szCs w:val="20"/>
              </w:rPr>
              <w:t>桥塔，造型纯粹简练，去除过多的装饰赘件，景观意象为</w:t>
            </w:r>
            <w:r>
              <w:rPr>
                <w:rFonts w:ascii="Times New Roman" w:hAnsi="Times New Roman" w:eastAsia="Times New Roman" w:cs="Times New Roman"/>
                <w:spacing w:val="8"/>
                <w:sz w:val="20"/>
                <w:szCs w:val="20"/>
              </w:rPr>
              <w:t>“</w:t>
            </w:r>
            <w:r>
              <w:rPr>
                <w:rFonts w:ascii="宋体" w:hAnsi="宋体" w:eastAsia="宋体" w:cs="宋体"/>
                <w:spacing w:val="8"/>
                <w:sz w:val="20"/>
                <w:szCs w:val="20"/>
              </w:rPr>
              <w:t>凤凰</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w:t>
            </w:r>
            <w:r>
              <w:rPr>
                <w:rFonts w:ascii="宋体" w:hAnsi="宋体" w:eastAsia="宋体" w:cs="宋体"/>
                <w:sz w:val="20"/>
                <w:szCs w:val="20"/>
              </w:rPr>
              <w:t xml:space="preserve"> </w:t>
            </w:r>
            <w:r>
              <w:rPr>
                <w:rFonts w:ascii="宋体" w:hAnsi="宋体" w:eastAsia="宋体" w:cs="宋体"/>
                <w:spacing w:val="14"/>
                <w:sz w:val="20"/>
                <w:szCs w:val="20"/>
              </w:rPr>
              <w:t>桥塔造</w:t>
            </w:r>
            <w:r>
              <w:rPr>
                <w:rFonts w:ascii="宋体" w:hAnsi="宋体" w:eastAsia="宋体" w:cs="宋体"/>
                <w:spacing w:val="7"/>
                <w:sz w:val="20"/>
                <w:szCs w:val="20"/>
              </w:rPr>
              <w:t>型犹如振翅之凤，增强了全桥轻盈欲飞的美感，表达出凤舞升腾的城市愿景。视觉</w:t>
            </w:r>
            <w:r>
              <w:rPr>
                <w:rFonts w:ascii="宋体" w:hAnsi="宋体" w:eastAsia="宋体" w:cs="宋体"/>
                <w:sz w:val="20"/>
                <w:szCs w:val="20"/>
              </w:rPr>
              <w:t xml:space="preserve"> </w:t>
            </w:r>
            <w:r>
              <w:rPr>
                <w:rFonts w:ascii="宋体" w:hAnsi="宋体" w:eastAsia="宋体" w:cs="宋体"/>
                <w:spacing w:val="16"/>
                <w:sz w:val="20"/>
                <w:szCs w:val="20"/>
              </w:rPr>
              <w:t>印</w:t>
            </w:r>
            <w:r>
              <w:rPr>
                <w:rFonts w:ascii="宋体" w:hAnsi="宋体" w:eastAsia="宋体" w:cs="宋体"/>
                <w:spacing w:val="12"/>
                <w:sz w:val="20"/>
                <w:szCs w:val="20"/>
              </w:rPr>
              <w:t>象</w:t>
            </w:r>
            <w:r>
              <w:rPr>
                <w:rFonts w:ascii="宋体" w:hAnsi="宋体" w:eastAsia="宋体" w:cs="宋体"/>
                <w:spacing w:val="8"/>
                <w:sz w:val="20"/>
                <w:szCs w:val="20"/>
              </w:rPr>
              <w:t>优美鲜明，整体造型干练明快。</w:t>
            </w:r>
          </w:p>
          <w:p>
            <w:pPr>
              <w:spacing w:line="227" w:lineRule="auto"/>
              <w:ind w:left="528"/>
              <w:rPr>
                <w:rFonts w:ascii="宋体" w:hAnsi="宋体" w:eastAsia="宋体" w:cs="宋体"/>
                <w:sz w:val="20"/>
                <w:szCs w:val="20"/>
              </w:rPr>
            </w:pPr>
            <w:r>
              <w:rPr>
                <w:rFonts w:ascii="Times New Roman" w:hAnsi="Times New Roman" w:eastAsia="Times New Roman" w:cs="Times New Roman"/>
                <w:spacing w:val="6"/>
                <w:sz w:val="20"/>
                <w:szCs w:val="20"/>
              </w:rPr>
              <w:t>3</w:t>
            </w:r>
            <w:r>
              <w:rPr>
                <w:rFonts w:ascii="宋体" w:hAnsi="宋体" w:eastAsia="宋体" w:cs="宋体"/>
                <w:spacing w:val="6"/>
                <w:sz w:val="20"/>
                <w:szCs w:val="20"/>
              </w:rPr>
              <w:t>) 斜拉</w:t>
            </w:r>
            <w:r>
              <w:rPr>
                <w:rFonts w:ascii="宋体" w:hAnsi="宋体" w:eastAsia="宋体" w:cs="宋体"/>
                <w:spacing w:val="4"/>
                <w:sz w:val="20"/>
                <w:szCs w:val="20"/>
              </w:rPr>
              <w:t>索</w:t>
            </w:r>
          </w:p>
          <w:p>
            <w:pPr>
              <w:spacing w:before="153" w:line="334" w:lineRule="auto"/>
              <w:ind w:left="103" w:right="104" w:firstLine="422"/>
              <w:rPr>
                <w:rFonts w:ascii="宋体" w:hAnsi="宋体" w:eastAsia="宋体" w:cs="宋体"/>
                <w:sz w:val="20"/>
                <w:szCs w:val="20"/>
              </w:rPr>
            </w:pPr>
            <w:r>
              <w:rPr>
                <w:rFonts w:ascii="宋体" w:hAnsi="宋体" w:eastAsia="宋体" w:cs="宋体"/>
                <w:spacing w:val="20"/>
                <w:sz w:val="20"/>
                <w:szCs w:val="20"/>
              </w:rPr>
              <w:t>初</w:t>
            </w:r>
            <w:r>
              <w:rPr>
                <w:rFonts w:ascii="宋体" w:hAnsi="宋体" w:eastAsia="宋体" w:cs="宋体"/>
                <w:spacing w:val="13"/>
                <w:sz w:val="20"/>
                <w:szCs w:val="20"/>
              </w:rPr>
              <w:t>设推荐采用平行钢丝吊索；斜拉索在塔端锚固于塔内的锚箱中，梁端锚固于主梁</w:t>
            </w:r>
            <w:r>
              <w:rPr>
                <w:rFonts w:ascii="宋体" w:hAnsi="宋体" w:eastAsia="宋体" w:cs="宋体"/>
                <w:sz w:val="20"/>
                <w:szCs w:val="20"/>
              </w:rPr>
              <w:t xml:space="preserve"> </w:t>
            </w:r>
            <w:r>
              <w:rPr>
                <w:rFonts w:ascii="Times New Roman" w:hAnsi="Times New Roman" w:eastAsia="Times New Roman" w:cs="Times New Roman"/>
                <w:spacing w:val="-26"/>
                <w:sz w:val="20"/>
                <w:szCs w:val="20"/>
              </w:rPr>
              <w:t>1</w:t>
            </w:r>
            <w:r>
              <w:rPr>
                <w:rFonts w:ascii="Times New Roman" w:hAnsi="Times New Roman" w:eastAsia="Times New Roman" w:cs="Times New Roman"/>
                <w:spacing w:val="-14"/>
                <w:sz w:val="20"/>
                <w:szCs w:val="20"/>
              </w:rPr>
              <w:t>.</w:t>
            </w:r>
            <w:r>
              <w:rPr>
                <w:rFonts w:ascii="Times New Roman" w:hAnsi="Times New Roman" w:eastAsia="Times New Roman" w:cs="Times New Roman"/>
                <w:spacing w:val="-22"/>
                <w:sz w:val="20"/>
                <w:szCs w:val="20"/>
              </w:rPr>
              <w:t>6</w:t>
            </w:r>
            <w:r>
              <w:rPr>
                <w:rFonts w:ascii="Times New Roman" w:hAnsi="Times New Roman" w:eastAsia="Times New Roman" w:cs="Times New Roman"/>
                <w:spacing w:val="-13"/>
                <w:sz w:val="20"/>
                <w:szCs w:val="20"/>
              </w:rPr>
              <w:t xml:space="preserve">m  </w:t>
            </w:r>
            <w:r>
              <w:rPr>
                <w:rFonts w:ascii="宋体" w:hAnsi="宋体" w:eastAsia="宋体" w:cs="宋体"/>
                <w:spacing w:val="-13"/>
                <w:sz w:val="20"/>
                <w:szCs w:val="20"/>
              </w:rPr>
              <w:t xml:space="preserve">宽 的 箱 室 内 。 斜 拉 索 采 用 </w:t>
            </w:r>
            <w:r>
              <w:rPr>
                <w:rFonts w:ascii="Times New Roman" w:hAnsi="Times New Roman" w:eastAsia="Times New Roman" w:cs="Times New Roman"/>
                <w:spacing w:val="-13"/>
                <w:sz w:val="20"/>
                <w:szCs w:val="20"/>
              </w:rPr>
              <w:t xml:space="preserve">φ7 </w:t>
            </w:r>
            <w:r>
              <w:rPr>
                <w:rFonts w:ascii="宋体" w:hAnsi="宋体" w:eastAsia="宋体" w:cs="宋体"/>
                <w:spacing w:val="-13"/>
                <w:sz w:val="20"/>
                <w:szCs w:val="20"/>
              </w:rPr>
              <w:t xml:space="preserve">镀锌 高 强钢 丝 ， 其标 准 强度 为 </w:t>
            </w:r>
            <w:r>
              <w:rPr>
                <w:rFonts w:ascii="Times New Roman" w:hAnsi="Times New Roman" w:eastAsia="Times New Roman" w:cs="Times New Roman"/>
                <w:spacing w:val="-13"/>
                <w:sz w:val="20"/>
                <w:szCs w:val="20"/>
              </w:rPr>
              <w:t xml:space="preserve">fpk=1770MPa </w:t>
            </w:r>
            <w:r>
              <w:rPr>
                <w:rFonts w:ascii="宋体" w:hAnsi="宋体" w:eastAsia="宋体" w:cs="宋体"/>
                <w:spacing w:val="-13"/>
                <w:sz w:val="20"/>
                <w:szCs w:val="20"/>
              </w:rPr>
              <w:t>，</w:t>
            </w:r>
            <w:r>
              <w:rPr>
                <w:rFonts w:ascii="宋体" w:hAnsi="宋体" w:eastAsia="宋体" w:cs="宋体"/>
                <w:sz w:val="20"/>
                <w:szCs w:val="20"/>
              </w:rPr>
              <w:t xml:space="preserve"> </w:t>
            </w:r>
            <w:r>
              <w:rPr>
                <w:rFonts w:ascii="Times New Roman" w:hAnsi="Times New Roman" w:eastAsia="Times New Roman" w:cs="Times New Roman"/>
                <w:sz w:val="20"/>
                <w:szCs w:val="20"/>
              </w:rPr>
              <w:t>Ep</w:t>
            </w:r>
            <w:r>
              <w:rPr>
                <w:rFonts w:ascii="Times New Roman" w:hAnsi="Times New Roman" w:eastAsia="Times New Roman" w:cs="Times New Roman"/>
                <w:spacing w:val="3"/>
                <w:sz w:val="20"/>
                <w:szCs w:val="20"/>
              </w:rPr>
              <w:t>= 1.95×105</w:t>
            </w:r>
            <w:r>
              <w:rPr>
                <w:rFonts w:ascii="Times New Roman" w:hAnsi="Times New Roman" w:eastAsia="Times New Roman" w:cs="Times New Roman"/>
                <w:sz w:val="20"/>
                <w:szCs w:val="20"/>
              </w:rPr>
              <w:t>Mpa</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。斜拉索采用扇形布置，斜拉索梁上锚点间距为 </w:t>
            </w:r>
            <w:r>
              <w:rPr>
                <w:rFonts w:ascii="Times New Roman" w:hAnsi="Times New Roman" w:eastAsia="Times New Roman" w:cs="Times New Roman"/>
                <w:spacing w:val="3"/>
                <w:sz w:val="20"/>
                <w:szCs w:val="20"/>
              </w:rPr>
              <w:t>6</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，塔上锚点竖向</w:t>
            </w:r>
            <w:r>
              <w:rPr>
                <w:rFonts w:ascii="宋体" w:hAnsi="宋体" w:eastAsia="宋体" w:cs="宋体"/>
                <w:spacing w:val="2"/>
                <w:sz w:val="20"/>
                <w:szCs w:val="20"/>
              </w:rPr>
              <w:t>间</w:t>
            </w:r>
            <w:r>
              <w:rPr>
                <w:rFonts w:ascii="宋体" w:hAnsi="宋体" w:eastAsia="宋体" w:cs="宋体"/>
                <w:sz w:val="20"/>
                <w:szCs w:val="20"/>
              </w:rPr>
              <w:t xml:space="preserve">距 </w:t>
            </w:r>
            <w:r>
              <w:rPr>
                <w:rFonts w:ascii="宋体" w:hAnsi="宋体" w:eastAsia="宋体" w:cs="宋体"/>
                <w:spacing w:val="-1"/>
                <w:sz w:val="20"/>
                <w:szCs w:val="20"/>
              </w:rPr>
              <w:t xml:space="preserve">为 </w:t>
            </w: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 xml:space="preserve">2m </w:t>
            </w:r>
            <w:r>
              <w:rPr>
                <w:rFonts w:ascii="宋体" w:hAnsi="宋体" w:eastAsia="宋体" w:cs="宋体"/>
                <w:sz w:val="20"/>
                <w:szCs w:val="20"/>
              </w:rPr>
              <w:t xml:space="preserve">，每个桥塔上共 </w:t>
            </w:r>
            <w:r>
              <w:rPr>
                <w:rFonts w:ascii="Times New Roman" w:hAnsi="Times New Roman" w:eastAsia="Times New Roman" w:cs="Times New Roman"/>
                <w:sz w:val="20"/>
                <w:szCs w:val="20"/>
              </w:rPr>
              <w:t xml:space="preserve">6 </w:t>
            </w:r>
            <w:r>
              <w:rPr>
                <w:rFonts w:ascii="宋体" w:hAnsi="宋体" w:eastAsia="宋体" w:cs="宋体"/>
                <w:sz w:val="20"/>
                <w:szCs w:val="20"/>
              </w:rPr>
              <w:t>对斜拉索。</w:t>
            </w:r>
          </w:p>
          <w:p>
            <w:pPr>
              <w:spacing w:line="16" w:lineRule="exact"/>
            </w:pPr>
          </w:p>
          <w:tbl>
            <w:tblPr>
              <w:tblStyle w:val="4"/>
              <w:tblW w:w="7991" w:type="dxa"/>
              <w:tblInd w:w="145"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7991"/>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299" w:hRule="atLeast"/>
              </w:trPr>
              <w:tc>
                <w:tcPr>
                  <w:tcW w:w="7991" w:type="dxa"/>
                  <w:vAlign w:val="top"/>
                </w:tcPr>
                <w:p>
                  <w:pPr>
                    <w:spacing w:line="1299" w:lineRule="exact"/>
                    <w:textAlignment w:val="center"/>
                  </w:pPr>
                  <w:r>
                    <w:drawing>
                      <wp:inline distT="0" distB="0" distL="0" distR="0">
                        <wp:extent cx="5060950" cy="82486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77"/>
                                <a:stretch>
                                  <a:fillRect/>
                                </a:stretch>
                              </pic:blipFill>
                              <pic:spPr>
                                <a:xfrm>
                                  <a:off x="0" y="0"/>
                                  <a:ext cx="5061584" cy="824865"/>
                                </a:xfrm>
                                <a:prstGeom prst="rect">
                                  <a:avLst/>
                                </a:prstGeom>
                              </pic:spPr>
                            </pic:pic>
                          </a:graphicData>
                        </a:graphic>
                      </wp:inline>
                    </w:drawing>
                  </w:r>
                </w:p>
              </w:tc>
            </w:tr>
          </w:tbl>
          <w:p>
            <w:pPr>
              <w:spacing w:before="39" w:line="231" w:lineRule="auto"/>
              <w:ind w:left="3270"/>
              <w:rPr>
                <w:rFonts w:ascii="黑体" w:hAnsi="黑体" w:eastAsia="黑体" w:cs="黑体"/>
                <w:sz w:val="19"/>
                <w:szCs w:val="19"/>
              </w:rPr>
            </w:pPr>
            <w:r>
              <w:rPr>
                <w:rFonts w:ascii="黑体" w:hAnsi="黑体" w:eastAsia="黑体" w:cs="黑体"/>
                <w:spacing w:val="7"/>
                <w:sz w:val="19"/>
                <w:szCs w:val="19"/>
              </w:rPr>
              <w:t>图</w:t>
            </w:r>
            <w:r>
              <w:rPr>
                <w:rFonts w:ascii="Times New Roman" w:hAnsi="Times New Roman" w:eastAsia="Times New Roman" w:cs="Times New Roman"/>
                <w:spacing w:val="7"/>
                <w:sz w:val="19"/>
                <w:szCs w:val="19"/>
              </w:rPr>
              <w:t>19</w:t>
            </w:r>
            <w:r>
              <w:rPr>
                <w:rFonts w:ascii="黑体" w:hAnsi="黑体" w:eastAsia="黑体" w:cs="黑体"/>
                <w:spacing w:val="7"/>
                <w:sz w:val="19"/>
                <w:szCs w:val="19"/>
              </w:rPr>
              <w:t>：斜拉索设计图</w:t>
            </w:r>
          </w:p>
          <w:p>
            <w:pPr>
              <w:spacing w:before="130" w:line="228" w:lineRule="auto"/>
              <w:ind w:left="522"/>
              <w:rPr>
                <w:rFonts w:ascii="宋体" w:hAnsi="宋体" w:eastAsia="宋体" w:cs="宋体"/>
                <w:sz w:val="20"/>
                <w:szCs w:val="20"/>
              </w:rPr>
            </w:pPr>
            <w:r>
              <w:rPr>
                <w:rFonts w:ascii="Times New Roman" w:hAnsi="Times New Roman" w:eastAsia="Times New Roman" w:cs="Times New Roman"/>
                <w:spacing w:val="7"/>
                <w:sz w:val="20"/>
                <w:szCs w:val="20"/>
              </w:rPr>
              <w:t>4</w:t>
            </w:r>
            <w:r>
              <w:rPr>
                <w:rFonts w:ascii="宋体" w:hAnsi="宋体" w:eastAsia="宋体" w:cs="宋体"/>
                <w:spacing w:val="7"/>
                <w:sz w:val="20"/>
                <w:szCs w:val="20"/>
              </w:rPr>
              <w:t>) 下部结</w:t>
            </w:r>
            <w:r>
              <w:rPr>
                <w:rFonts w:ascii="宋体" w:hAnsi="宋体" w:eastAsia="宋体" w:cs="宋体"/>
                <w:spacing w:val="6"/>
                <w:sz w:val="20"/>
                <w:szCs w:val="20"/>
              </w:rPr>
              <w:t>构</w:t>
            </w:r>
          </w:p>
          <w:p>
            <w:pPr>
              <w:spacing w:before="153" w:line="369" w:lineRule="auto"/>
              <w:ind w:left="106" w:right="102" w:firstLine="422"/>
              <w:rPr>
                <w:rFonts w:ascii="宋体" w:hAnsi="宋体" w:eastAsia="宋体" w:cs="宋体"/>
                <w:sz w:val="20"/>
                <w:szCs w:val="20"/>
              </w:rPr>
            </w:pPr>
            <w:r>
              <w:rPr>
                <w:rFonts w:ascii="宋体" w:hAnsi="宋体" w:eastAsia="宋体" w:cs="宋体"/>
                <w:spacing w:val="10"/>
                <w:sz w:val="20"/>
                <w:szCs w:val="20"/>
              </w:rPr>
              <w:t>主塔墩</w:t>
            </w:r>
            <w:r>
              <w:rPr>
                <w:rFonts w:ascii="宋体" w:hAnsi="宋体" w:eastAsia="宋体" w:cs="宋体"/>
                <w:spacing w:val="8"/>
                <w:sz w:val="20"/>
                <w:szCs w:val="20"/>
              </w:rPr>
              <w:t>采</w:t>
            </w:r>
            <w:r>
              <w:rPr>
                <w:rFonts w:ascii="宋体" w:hAnsi="宋体" w:eastAsia="宋体" w:cs="宋体"/>
                <w:spacing w:val="5"/>
                <w:sz w:val="20"/>
                <w:szCs w:val="20"/>
              </w:rPr>
              <w:t xml:space="preserve">用板式墩，墩底尺寸为 </w:t>
            </w:r>
            <w:r>
              <w:rPr>
                <w:rFonts w:ascii="Times New Roman" w:hAnsi="Times New Roman" w:eastAsia="Times New Roman" w:cs="Times New Roman"/>
                <w:spacing w:val="5"/>
                <w:sz w:val="20"/>
                <w:szCs w:val="20"/>
              </w:rPr>
              <w:t>3.5</w:t>
            </w:r>
            <w:r>
              <w:rPr>
                <w:rFonts w:ascii="Times New Roman" w:hAnsi="Times New Roman" w:eastAsia="Times New Roman" w:cs="Times New Roman"/>
                <w:sz w:val="20"/>
                <w:szCs w:val="20"/>
              </w:rPr>
              <w:t>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(横桥向) </w:t>
            </w:r>
            <w:r>
              <w:rPr>
                <w:rFonts w:ascii="Times New Roman" w:hAnsi="Times New Roman" w:eastAsia="Times New Roman" w:cs="Times New Roman"/>
                <w:spacing w:val="5"/>
                <w:sz w:val="20"/>
                <w:szCs w:val="20"/>
              </w:rPr>
              <w:t>×3.5</w:t>
            </w:r>
            <w:r>
              <w:rPr>
                <w:rFonts w:ascii="Times New Roman" w:hAnsi="Times New Roman" w:eastAsia="Times New Roman" w:cs="Times New Roman"/>
                <w:sz w:val="20"/>
                <w:szCs w:val="20"/>
              </w:rPr>
              <w:t>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(顺桥向) 的矩形截面，桥墩</w:t>
            </w:r>
            <w:r>
              <w:rPr>
                <w:rFonts w:ascii="宋体" w:hAnsi="宋体" w:eastAsia="宋体" w:cs="宋体"/>
                <w:sz w:val="20"/>
                <w:szCs w:val="20"/>
              </w:rPr>
              <w:t xml:space="preserve"> </w:t>
            </w:r>
            <w:r>
              <w:rPr>
                <w:rFonts w:ascii="宋体" w:hAnsi="宋体" w:eastAsia="宋体" w:cs="宋体"/>
                <w:spacing w:val="8"/>
                <w:sz w:val="20"/>
                <w:szCs w:val="20"/>
              </w:rPr>
              <w:t>根据景观需要</w:t>
            </w:r>
            <w:r>
              <w:rPr>
                <w:rFonts w:ascii="宋体" w:hAnsi="宋体" w:eastAsia="宋体" w:cs="宋体"/>
                <w:spacing w:val="5"/>
                <w:sz w:val="20"/>
                <w:szCs w:val="20"/>
              </w:rPr>
              <w:t>在</w:t>
            </w:r>
            <w:r>
              <w:rPr>
                <w:rFonts w:ascii="宋体" w:hAnsi="宋体" w:eastAsia="宋体" w:cs="宋体"/>
                <w:spacing w:val="4"/>
                <w:sz w:val="20"/>
                <w:szCs w:val="20"/>
              </w:rPr>
              <w:t xml:space="preserve">侧面设置 </w:t>
            </w:r>
            <w:r>
              <w:rPr>
                <w:rFonts w:ascii="Times New Roman" w:hAnsi="Times New Roman" w:eastAsia="Times New Roman" w:cs="Times New Roman"/>
                <w:spacing w:val="4"/>
                <w:sz w:val="20"/>
                <w:szCs w:val="20"/>
              </w:rPr>
              <w:t>5</w:t>
            </w:r>
            <w:r>
              <w:rPr>
                <w:rFonts w:ascii="Times New Roman" w:hAnsi="Times New Roman" w:eastAsia="Times New Roman" w:cs="Times New Roman"/>
                <w:sz w:val="20"/>
                <w:szCs w:val="20"/>
              </w:rPr>
              <w:t>cm</w:t>
            </w:r>
            <w:r>
              <w:rPr>
                <w:rFonts w:ascii="宋体" w:hAnsi="宋体" w:eastAsia="宋体" w:cs="宋体"/>
                <w:spacing w:val="4"/>
                <w:sz w:val="20"/>
                <w:szCs w:val="20"/>
              </w:rPr>
              <w:t xml:space="preserve">深的槽口，槽口宽度为 </w:t>
            </w:r>
            <w:r>
              <w:rPr>
                <w:rFonts w:ascii="Times New Roman" w:hAnsi="Times New Roman" w:eastAsia="Times New Roman" w:cs="Times New Roman"/>
                <w:spacing w:val="4"/>
                <w:sz w:val="20"/>
                <w:szCs w:val="20"/>
              </w:rPr>
              <w:t>2.5</w:t>
            </w:r>
            <w:r>
              <w:rPr>
                <w:rFonts w:ascii="Times New Roman" w:hAnsi="Times New Roman" w:eastAsia="Times New Roman" w:cs="Times New Roman"/>
                <w:sz w:val="20"/>
                <w:szCs w:val="20"/>
              </w:rPr>
              <w:t>m</w:t>
            </w:r>
            <w:r>
              <w:rPr>
                <w:rFonts w:ascii="宋体" w:hAnsi="宋体" w:eastAsia="宋体" w:cs="宋体"/>
                <w:spacing w:val="4"/>
                <w:sz w:val="20"/>
                <w:szCs w:val="20"/>
              </w:rPr>
              <w:t xml:space="preserve">，槽口顶部距离墩顶 </w:t>
            </w:r>
            <w:r>
              <w:rPr>
                <w:rFonts w:ascii="Times New Roman" w:hAnsi="Times New Roman" w:eastAsia="Times New Roman" w:cs="Times New Roman"/>
                <w:spacing w:val="4"/>
                <w:sz w:val="20"/>
                <w:szCs w:val="20"/>
              </w:rPr>
              <w:t>1</w:t>
            </w:r>
            <w:r>
              <w:rPr>
                <w:rFonts w:ascii="Times New Roman" w:hAnsi="Times New Roman" w:eastAsia="Times New Roman" w:cs="Times New Roman"/>
                <w:sz w:val="20"/>
                <w:szCs w:val="20"/>
              </w:rPr>
              <w:t>m</w:t>
            </w:r>
            <w:r>
              <w:rPr>
                <w:rFonts w:ascii="宋体" w:hAnsi="宋体" w:eastAsia="宋体" w:cs="宋体"/>
                <w:spacing w:val="4"/>
                <w:sz w:val="20"/>
                <w:szCs w:val="20"/>
              </w:rPr>
              <w:t>。基础</w:t>
            </w:r>
            <w:r>
              <w:rPr>
                <w:rFonts w:ascii="宋体" w:hAnsi="宋体" w:eastAsia="宋体" w:cs="宋体"/>
                <w:sz w:val="20"/>
                <w:szCs w:val="20"/>
              </w:rPr>
              <w:t xml:space="preserve"> </w:t>
            </w:r>
            <w:r>
              <w:rPr>
                <w:rFonts w:ascii="宋体" w:hAnsi="宋体" w:eastAsia="宋体" w:cs="宋体"/>
                <w:spacing w:val="4"/>
                <w:sz w:val="20"/>
                <w:szCs w:val="20"/>
              </w:rPr>
              <w:t>采用分离式基础，</w:t>
            </w:r>
            <w:r>
              <w:rPr>
                <w:rFonts w:ascii="宋体" w:hAnsi="宋体" w:eastAsia="宋体" w:cs="宋体"/>
                <w:spacing w:val="3"/>
                <w:sz w:val="20"/>
                <w:szCs w:val="20"/>
              </w:rPr>
              <w:t>单</w:t>
            </w:r>
            <w:r>
              <w:rPr>
                <w:rFonts w:ascii="宋体" w:hAnsi="宋体" w:eastAsia="宋体" w:cs="宋体"/>
                <w:spacing w:val="2"/>
                <w:sz w:val="20"/>
                <w:szCs w:val="20"/>
              </w:rPr>
              <w:t xml:space="preserve">个承台平面尺寸为 </w:t>
            </w:r>
            <w:r>
              <w:rPr>
                <w:rFonts w:ascii="Times New Roman" w:hAnsi="Times New Roman" w:eastAsia="Times New Roman" w:cs="Times New Roman"/>
                <w:spacing w:val="2"/>
                <w:sz w:val="20"/>
                <w:szCs w:val="20"/>
              </w:rPr>
              <w:t>11.0</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w:t>
            </w:r>
            <w:r>
              <w:rPr>
                <w:rFonts w:ascii="宋体" w:hAnsi="宋体" w:eastAsia="宋体" w:cs="宋体"/>
                <w:spacing w:val="2"/>
                <w:sz w:val="20"/>
                <w:szCs w:val="20"/>
              </w:rPr>
              <w:t>横</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x</w:t>
            </w:r>
            <w:r>
              <w:rPr>
                <w:rFonts w:ascii="Times New Roman" w:hAnsi="Times New Roman" w:eastAsia="Times New Roman" w:cs="Times New Roman"/>
                <w:spacing w:val="2"/>
                <w:sz w:val="20"/>
                <w:szCs w:val="20"/>
              </w:rPr>
              <w:t>11.0</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w:t>
            </w:r>
            <w:r>
              <w:rPr>
                <w:rFonts w:ascii="宋体" w:hAnsi="宋体" w:eastAsia="宋体" w:cs="宋体"/>
                <w:spacing w:val="2"/>
                <w:sz w:val="20"/>
                <w:szCs w:val="20"/>
              </w:rPr>
              <w:t>纵</w:t>
            </w:r>
            <w:r>
              <w:rPr>
                <w:rFonts w:ascii="Times New Roman" w:hAnsi="Times New Roman" w:eastAsia="Times New Roman" w:cs="Times New Roman"/>
                <w:spacing w:val="2"/>
                <w:sz w:val="20"/>
                <w:szCs w:val="20"/>
              </w:rPr>
              <w:t>)</w:t>
            </w:r>
            <w:r>
              <w:rPr>
                <w:rFonts w:ascii="宋体" w:hAnsi="宋体" w:eastAsia="宋体" w:cs="宋体"/>
                <w:spacing w:val="2"/>
                <w:sz w:val="20"/>
                <w:szCs w:val="20"/>
              </w:rPr>
              <w:t xml:space="preserve">，承台厚 </w:t>
            </w:r>
            <w:r>
              <w:rPr>
                <w:rFonts w:ascii="Times New Roman" w:hAnsi="Times New Roman" w:eastAsia="Times New Roman" w:cs="Times New Roman"/>
                <w:spacing w:val="2"/>
                <w:sz w:val="20"/>
                <w:szCs w:val="20"/>
              </w:rPr>
              <w:t>3.5</w:t>
            </w:r>
            <w:r>
              <w:rPr>
                <w:rFonts w:ascii="Times New Roman" w:hAnsi="Times New Roman" w:eastAsia="Times New Roman" w:cs="Times New Roman"/>
                <w:sz w:val="20"/>
                <w:szCs w:val="20"/>
              </w:rPr>
              <w:t>m</w:t>
            </w:r>
            <w:r>
              <w:rPr>
                <w:rFonts w:ascii="宋体" w:hAnsi="宋体" w:eastAsia="宋体" w:cs="宋体"/>
                <w:spacing w:val="2"/>
                <w:sz w:val="20"/>
                <w:szCs w:val="20"/>
              </w:rPr>
              <w:t xml:space="preserve">。承台下布置 </w:t>
            </w:r>
            <w:r>
              <w:rPr>
                <w:rFonts w:ascii="Times New Roman" w:hAnsi="Times New Roman" w:eastAsia="Times New Roman" w:cs="Times New Roman"/>
                <w:spacing w:val="2"/>
                <w:sz w:val="20"/>
                <w:szCs w:val="20"/>
              </w:rPr>
              <w:t>9</w:t>
            </w:r>
            <w:r>
              <w:rPr>
                <w:rFonts w:ascii="Times New Roman" w:hAnsi="Times New Roman" w:eastAsia="Times New Roman" w:cs="Times New Roman"/>
                <w:sz w:val="20"/>
                <w:szCs w:val="20"/>
              </w:rPr>
              <w:t xml:space="preserve"> </w:t>
            </w:r>
            <w:r>
              <w:rPr>
                <w:rFonts w:ascii="宋体" w:hAnsi="宋体" w:eastAsia="宋体" w:cs="宋体"/>
                <w:spacing w:val="6"/>
                <w:sz w:val="20"/>
                <w:szCs w:val="20"/>
              </w:rPr>
              <w:t>根</w:t>
            </w:r>
            <w:r>
              <w:rPr>
                <w:rFonts w:ascii="宋体" w:hAnsi="宋体" w:eastAsia="宋体" w:cs="宋体"/>
                <w:spacing w:val="4"/>
                <w:sz w:val="20"/>
                <w:szCs w:val="20"/>
              </w:rPr>
              <w:t>直</w:t>
            </w:r>
            <w:r>
              <w:rPr>
                <w:rFonts w:ascii="宋体" w:hAnsi="宋体" w:eastAsia="宋体" w:cs="宋体"/>
                <w:spacing w:val="3"/>
                <w:sz w:val="20"/>
                <w:szCs w:val="20"/>
              </w:rPr>
              <w:t xml:space="preserve">径 </w:t>
            </w:r>
            <w:r>
              <w:rPr>
                <w:rFonts w:ascii="Times New Roman" w:hAnsi="Times New Roman" w:eastAsia="Times New Roman" w:cs="Times New Roman"/>
                <w:spacing w:val="3"/>
                <w:sz w:val="20"/>
                <w:szCs w:val="20"/>
              </w:rPr>
              <w:t>1.5</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钻孔灌注桩，横桥向与顺桥向均设置 </w:t>
            </w:r>
            <w:r>
              <w:rPr>
                <w:rFonts w:ascii="Times New Roman" w:hAnsi="Times New Roman" w:eastAsia="Times New Roman" w:cs="Times New Roman"/>
                <w:spacing w:val="3"/>
                <w:sz w:val="20"/>
                <w:szCs w:val="20"/>
              </w:rPr>
              <w:t xml:space="preserve">3 </w:t>
            </w:r>
            <w:r>
              <w:rPr>
                <w:rFonts w:ascii="宋体" w:hAnsi="宋体" w:eastAsia="宋体" w:cs="宋体"/>
                <w:spacing w:val="3"/>
                <w:sz w:val="20"/>
                <w:szCs w:val="20"/>
              </w:rPr>
              <w:t xml:space="preserve">排，桩间距均为 </w:t>
            </w:r>
            <w:r>
              <w:rPr>
                <w:rFonts w:ascii="Times New Roman" w:hAnsi="Times New Roman" w:eastAsia="Times New Roman" w:cs="Times New Roman"/>
                <w:spacing w:val="3"/>
                <w:sz w:val="20"/>
                <w:szCs w:val="20"/>
              </w:rPr>
              <w:t>4</w:t>
            </w:r>
            <w:r>
              <w:rPr>
                <w:rFonts w:ascii="Times New Roman" w:hAnsi="Times New Roman" w:eastAsia="Times New Roman" w:cs="Times New Roman"/>
                <w:sz w:val="20"/>
                <w:szCs w:val="20"/>
              </w:rPr>
              <w:t>m</w:t>
            </w:r>
            <w:r>
              <w:rPr>
                <w:rFonts w:ascii="宋体" w:hAnsi="宋体" w:eastAsia="宋体" w:cs="宋体"/>
                <w:spacing w:val="3"/>
                <w:sz w:val="20"/>
                <w:szCs w:val="20"/>
              </w:rPr>
              <w:t>。桩基础根据地质</w:t>
            </w:r>
          </w:p>
          <w:p>
            <w:pPr>
              <w:spacing w:before="1" w:line="226" w:lineRule="auto"/>
              <w:ind w:left="108"/>
              <w:rPr>
                <w:rFonts w:ascii="宋体" w:hAnsi="宋体" w:eastAsia="宋体" w:cs="宋体"/>
                <w:sz w:val="20"/>
                <w:szCs w:val="20"/>
              </w:rPr>
            </w:pPr>
            <w:r>
              <w:rPr>
                <w:rFonts w:ascii="宋体" w:hAnsi="宋体" w:eastAsia="宋体" w:cs="宋体"/>
                <w:spacing w:val="8"/>
                <w:sz w:val="20"/>
                <w:szCs w:val="20"/>
              </w:rPr>
              <w:t>情况采用嵌岩桩设计</w:t>
            </w:r>
            <w:r>
              <w:rPr>
                <w:rFonts w:ascii="宋体" w:hAnsi="宋体" w:eastAsia="宋体" w:cs="宋体"/>
                <w:spacing w:val="7"/>
                <w:sz w:val="20"/>
                <w:szCs w:val="20"/>
              </w:rPr>
              <w:t>。</w:t>
            </w:r>
          </w:p>
          <w:p>
            <w:pPr>
              <w:spacing w:line="17" w:lineRule="exact"/>
            </w:pPr>
          </w:p>
          <w:tbl>
            <w:tblPr>
              <w:tblStyle w:val="4"/>
              <w:tblW w:w="6191" w:type="dxa"/>
              <w:tblInd w:w="1045"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6191"/>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5638" w:hRule="atLeast"/>
              </w:trPr>
              <w:tc>
                <w:tcPr>
                  <w:tcW w:w="6191" w:type="dxa"/>
                  <w:vAlign w:val="top"/>
                </w:tcPr>
                <w:p>
                  <w:pPr>
                    <w:spacing w:line="5637" w:lineRule="exact"/>
                    <w:textAlignment w:val="center"/>
                  </w:pPr>
                  <w:r>
                    <w:drawing>
                      <wp:inline distT="0" distB="0" distL="0" distR="0">
                        <wp:extent cx="3917950" cy="3579495"/>
                        <wp:effectExtent l="0" t="0" r="0" b="0"/>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178"/>
                                <a:stretch>
                                  <a:fillRect/>
                                </a:stretch>
                              </pic:blipFill>
                              <pic:spPr>
                                <a:xfrm>
                                  <a:off x="0" y="0"/>
                                  <a:ext cx="3918584" cy="3580129"/>
                                </a:xfrm>
                                <a:prstGeom prst="rect">
                                  <a:avLst/>
                                </a:prstGeom>
                              </pic:spPr>
                            </pic:pic>
                          </a:graphicData>
                        </a:graphic>
                      </wp:inline>
                    </w:drawing>
                  </w:r>
                </w:p>
              </w:tc>
            </w:tr>
          </w:tbl>
          <w:p>
            <w:pPr>
              <w:spacing w:before="51" w:line="231" w:lineRule="auto"/>
              <w:ind w:left="3071"/>
              <w:rPr>
                <w:rFonts w:ascii="黑体" w:hAnsi="黑体" w:eastAsia="黑体" w:cs="黑体"/>
                <w:sz w:val="19"/>
                <w:szCs w:val="19"/>
              </w:rPr>
            </w:pPr>
            <w:r>
              <w:rPr>
                <w:rFonts w:ascii="黑体" w:hAnsi="黑体" w:eastAsia="黑体" w:cs="黑体"/>
                <w:spacing w:val="11"/>
                <w:sz w:val="19"/>
                <w:szCs w:val="19"/>
              </w:rPr>
              <w:t>图</w:t>
            </w:r>
            <w:r>
              <w:rPr>
                <w:rFonts w:ascii="Times New Roman" w:hAnsi="Times New Roman" w:eastAsia="Times New Roman" w:cs="Times New Roman"/>
                <w:spacing w:val="7"/>
                <w:sz w:val="19"/>
                <w:szCs w:val="19"/>
              </w:rPr>
              <w:t>20</w:t>
            </w:r>
            <w:r>
              <w:rPr>
                <w:rFonts w:ascii="黑体" w:hAnsi="黑体" w:eastAsia="黑体" w:cs="黑体"/>
                <w:spacing w:val="7"/>
                <w:sz w:val="19"/>
                <w:szCs w:val="19"/>
              </w:rPr>
              <w:t>：主塔墩一般构造图</w:t>
            </w:r>
          </w:p>
        </w:tc>
      </w:tr>
    </w:tbl>
    <w:p>
      <w:pPr>
        <w:spacing w:line="179" w:lineRule="exact"/>
        <w:rPr>
          <w:rFonts w:ascii="Arial"/>
          <w:sz w:val="15"/>
        </w:rPr>
      </w:pPr>
    </w:p>
    <w:p>
      <w:pPr>
        <w:sectPr>
          <w:footerReference r:id="rId37" w:type="default"/>
          <w:pgSz w:w="11906" w:h="16839"/>
          <w:pgMar w:top="400" w:right="1487" w:bottom="1475" w:left="1486" w:header="0" w:footer="1315" w:gutter="0"/>
          <w:cols w:space="720" w:num="1"/>
        </w:sectPr>
      </w:pPr>
    </w:p>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8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600" w:type="dxa"/>
            <w:tcBorders>
              <w:left w:val="single" w:color="00000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28" w:lineRule="auto"/>
              <w:ind w:left="91"/>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p>
            <w:pPr>
              <w:spacing w:before="26" w:line="229" w:lineRule="auto"/>
              <w:ind w:left="9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组</w:t>
            </w:r>
            <w:r>
              <w:rPr>
                <w:rFonts w:ascii="宋体" w:hAnsi="宋体" w:eastAsia="宋体" w:cs="宋体"/>
                <w:spacing w:val="4"/>
                <w:sz w:val="20"/>
                <w:szCs w:val="20"/>
                <w14:textOutline w14:w="3795" w14:cap="sq" w14:cmpd="sng">
                  <w14:solidFill>
                    <w14:srgbClr w14:val="000000"/>
                  </w14:solidFill>
                  <w14:prstDash w14:val="solid"/>
                  <w14:bevel/>
                </w14:textOutline>
              </w:rPr>
              <w:t>成</w:t>
            </w:r>
          </w:p>
          <w:p>
            <w:pPr>
              <w:spacing w:before="22" w:line="230" w:lineRule="auto"/>
              <w:ind w:left="8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及规</w:t>
            </w:r>
          </w:p>
          <w:p>
            <w:pPr>
              <w:spacing w:before="24" w:line="228" w:lineRule="auto"/>
              <w:ind w:left="190"/>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模</w:t>
            </w:r>
          </w:p>
        </w:tc>
        <w:tc>
          <w:tcPr>
            <w:tcW w:w="8317" w:type="dxa"/>
            <w:tcBorders>
              <w:right w:val="single" w:color="000000" w:sz="6" w:space="0"/>
            </w:tcBorders>
            <w:vAlign w:val="top"/>
          </w:tcPr>
          <w:p>
            <w:pPr>
              <w:spacing w:before="145" w:line="369" w:lineRule="auto"/>
              <w:ind w:left="106" w:right="102" w:firstLine="420"/>
              <w:rPr>
                <w:rFonts w:ascii="Times New Roman" w:hAnsi="Times New Roman" w:eastAsia="Times New Roman" w:cs="Times New Roman"/>
                <w:sz w:val="20"/>
                <w:szCs w:val="20"/>
              </w:rPr>
            </w:pPr>
            <w:r>
              <w:pict>
                <v:shape id="_x0000_s1057" o:spid="_x0000_s1057" style="position:absolute;left:0pt;margin-left:25.15pt;margin-top:352.3pt;height:10.55pt;width:10.55pt;mso-position-horizontal-relative:page;mso-position-vertical-relative:page;z-index:251678720;mso-width-relative:page;mso-height-relative:page;" filled="f" stroked="t" coordsize="211,211" path="m210,105c210,163,163,210,105,210c47,210,0,163,0,105c0,47,47,0,105,0c163,0,210,47,210,105e">
                  <v:fill on="f" focussize="0,0"/>
                  <v:stroke weight="0.05pt" color="#000000" miterlimit="2" joinstyle="bevel" endcap="square"/>
                  <v:imagedata o:title=""/>
                  <o:lock v:ext="edit"/>
                </v:shape>
              </w:pict>
            </w:r>
            <w:r>
              <w:rPr>
                <w:rFonts w:ascii="宋体" w:hAnsi="宋体" w:eastAsia="宋体" w:cs="宋体"/>
                <w:spacing w:val="1"/>
                <w:sz w:val="20"/>
                <w:szCs w:val="20"/>
              </w:rPr>
              <w:t xml:space="preserve">桥台采用重力式 </w:t>
            </w:r>
            <w:r>
              <w:rPr>
                <w:rFonts w:ascii="Times New Roman" w:hAnsi="Times New Roman" w:eastAsia="Times New Roman" w:cs="Times New Roman"/>
                <w:sz w:val="20"/>
                <w:szCs w:val="20"/>
              </w:rPr>
              <w:t>U</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形台。台身顶</w:t>
            </w:r>
            <w:r>
              <w:rPr>
                <w:rFonts w:ascii="宋体" w:hAnsi="宋体" w:eastAsia="宋体" w:cs="宋体"/>
                <w:sz w:val="20"/>
                <w:szCs w:val="20"/>
              </w:rPr>
              <w:t xml:space="preserve">部厚 </w:t>
            </w:r>
            <w:r>
              <w:rPr>
                <w:rFonts w:ascii="Times New Roman" w:hAnsi="Times New Roman" w:eastAsia="Times New Roman" w:cs="Times New Roman"/>
                <w:sz w:val="20"/>
                <w:szCs w:val="20"/>
              </w:rPr>
              <w:t>1.7m</w:t>
            </w:r>
            <w:r>
              <w:rPr>
                <w:rFonts w:ascii="宋体" w:hAnsi="宋体" w:eastAsia="宋体" w:cs="宋体"/>
                <w:sz w:val="20"/>
                <w:szCs w:val="20"/>
              </w:rPr>
              <w:t xml:space="preserve">，耳墙顶部厚 </w:t>
            </w:r>
            <w:r>
              <w:rPr>
                <w:rFonts w:ascii="Times New Roman" w:hAnsi="Times New Roman" w:eastAsia="Times New Roman" w:cs="Times New Roman"/>
                <w:sz w:val="20"/>
                <w:szCs w:val="20"/>
              </w:rPr>
              <w:t xml:space="preserve">0.75m </w:t>
            </w:r>
            <w:r>
              <w:rPr>
                <w:rFonts w:ascii="宋体" w:hAnsi="宋体" w:eastAsia="宋体" w:cs="宋体"/>
                <w:sz w:val="20"/>
                <w:szCs w:val="20"/>
              </w:rPr>
              <w:t xml:space="preserve">，内侧均以 </w:t>
            </w:r>
            <w:r>
              <w:rPr>
                <w:rFonts w:ascii="Times New Roman" w:hAnsi="Times New Roman" w:eastAsia="Times New Roman" w:cs="Times New Roman"/>
                <w:sz w:val="20"/>
                <w:szCs w:val="20"/>
              </w:rPr>
              <w:t xml:space="preserve">3:1 </w:t>
            </w:r>
            <w:r>
              <w:rPr>
                <w:rFonts w:ascii="宋体" w:hAnsi="宋体" w:eastAsia="宋体" w:cs="宋体"/>
                <w:sz w:val="20"/>
                <w:szCs w:val="20"/>
              </w:rPr>
              <w:t xml:space="preserve">斜率变 </w:t>
            </w:r>
            <w:r>
              <w:rPr>
                <w:rFonts w:ascii="宋体" w:hAnsi="宋体" w:eastAsia="宋体" w:cs="宋体"/>
                <w:spacing w:val="3"/>
                <w:sz w:val="20"/>
                <w:szCs w:val="20"/>
              </w:rPr>
              <w:t xml:space="preserve">厚至承台顶。背墙厚度为 </w:t>
            </w:r>
            <w:r>
              <w:rPr>
                <w:rFonts w:ascii="Times New Roman" w:hAnsi="Times New Roman" w:eastAsia="Times New Roman" w:cs="Times New Roman"/>
                <w:spacing w:val="3"/>
                <w:sz w:val="20"/>
                <w:szCs w:val="20"/>
              </w:rPr>
              <w:t>0.5</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。承台平面尺寸为 </w:t>
            </w:r>
            <w:r>
              <w:rPr>
                <w:rFonts w:ascii="Times New Roman" w:hAnsi="Times New Roman" w:eastAsia="Times New Roman" w:cs="Times New Roman"/>
                <w:spacing w:val="3"/>
                <w:sz w:val="20"/>
                <w:szCs w:val="20"/>
              </w:rPr>
              <w:t>34.5</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w:t>
            </w:r>
            <w:r>
              <w:rPr>
                <w:rFonts w:ascii="宋体" w:hAnsi="宋体" w:eastAsia="宋体" w:cs="宋体"/>
                <w:spacing w:val="3"/>
                <w:sz w:val="20"/>
                <w:szCs w:val="20"/>
              </w:rPr>
              <w:t>横</w:t>
            </w:r>
            <w:r>
              <w:rPr>
                <w:rFonts w:ascii="Times New Roman" w:hAnsi="Times New Roman" w:eastAsia="Times New Roman" w:cs="Times New Roman"/>
                <w:spacing w:val="3"/>
                <w:sz w:val="20"/>
                <w:szCs w:val="20"/>
              </w:rPr>
              <w:t>)×9.0</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w:t>
            </w:r>
            <w:r>
              <w:rPr>
                <w:rFonts w:ascii="宋体" w:hAnsi="宋体" w:eastAsia="宋体" w:cs="宋体"/>
                <w:spacing w:val="3"/>
                <w:sz w:val="20"/>
                <w:szCs w:val="20"/>
              </w:rPr>
              <w:t>纵</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，承台厚 </w:t>
            </w: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5</w:t>
            </w:r>
            <w:r>
              <w:rPr>
                <w:rFonts w:ascii="Times New Roman" w:hAnsi="Times New Roman" w:eastAsia="Times New Roman" w:cs="Times New Roman"/>
                <w:sz w:val="20"/>
                <w:szCs w:val="20"/>
              </w:rPr>
              <w:t xml:space="preserve">m </w:t>
            </w:r>
            <w:r>
              <w:rPr>
                <w:rFonts w:ascii="宋体" w:hAnsi="宋体" w:eastAsia="宋体" w:cs="宋体"/>
                <w:sz w:val="20"/>
                <w:szCs w:val="20"/>
              </w:rPr>
              <w:t xml:space="preserve">。基 </w:t>
            </w:r>
            <w:r>
              <w:rPr>
                <w:rFonts w:ascii="宋体" w:hAnsi="宋体" w:eastAsia="宋体" w:cs="宋体"/>
                <w:spacing w:val="2"/>
                <w:sz w:val="20"/>
                <w:szCs w:val="20"/>
              </w:rPr>
              <w:t xml:space="preserve">础采用 </w:t>
            </w:r>
            <w:r>
              <w:rPr>
                <w:rFonts w:ascii="Times New Roman" w:hAnsi="Times New Roman" w:eastAsia="Times New Roman" w:cs="Times New Roman"/>
                <w:spacing w:val="2"/>
                <w:sz w:val="20"/>
                <w:szCs w:val="20"/>
              </w:rPr>
              <w:t xml:space="preserve">16 </w:t>
            </w:r>
            <w:r>
              <w:rPr>
                <w:rFonts w:ascii="宋体" w:hAnsi="宋体" w:eastAsia="宋体" w:cs="宋体"/>
                <w:spacing w:val="2"/>
                <w:sz w:val="20"/>
                <w:szCs w:val="20"/>
              </w:rPr>
              <w:t>根</w:t>
            </w:r>
            <w:r>
              <w:rPr>
                <w:rFonts w:ascii="Times New Roman" w:hAnsi="Times New Roman" w:eastAsia="Times New Roman" w:cs="Times New Roman"/>
                <w:spacing w:val="2"/>
                <w:sz w:val="20"/>
                <w:szCs w:val="20"/>
              </w:rPr>
              <w:t>φ1.5</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钻孔灌注桩，横桥向 </w:t>
            </w:r>
            <w:r>
              <w:rPr>
                <w:rFonts w:ascii="Times New Roman" w:hAnsi="Times New Roman" w:eastAsia="Times New Roman" w:cs="Times New Roman"/>
                <w:spacing w:val="2"/>
                <w:sz w:val="20"/>
                <w:szCs w:val="20"/>
              </w:rPr>
              <w:t xml:space="preserve">8 </w:t>
            </w:r>
            <w:r>
              <w:rPr>
                <w:rFonts w:ascii="宋体" w:hAnsi="宋体" w:eastAsia="宋体" w:cs="宋体"/>
                <w:spacing w:val="2"/>
                <w:sz w:val="20"/>
                <w:szCs w:val="20"/>
              </w:rPr>
              <w:t xml:space="preserve">列，顺桥向 </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 xml:space="preserve">排，桩间距 </w:t>
            </w:r>
            <w:r>
              <w:rPr>
                <w:rFonts w:ascii="Times New Roman" w:hAnsi="Times New Roman" w:eastAsia="Times New Roman" w:cs="Times New Roman"/>
                <w:spacing w:val="2"/>
                <w:sz w:val="20"/>
                <w:szCs w:val="20"/>
              </w:rPr>
              <w:t>4.4</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(横桥向) </w:t>
            </w:r>
            <w:r>
              <w:rPr>
                <w:rFonts w:ascii="Times New Roman" w:hAnsi="Times New Roman" w:eastAsia="Times New Roman" w:cs="Times New Roman"/>
                <w:spacing w:val="2"/>
                <w:sz w:val="20"/>
                <w:szCs w:val="20"/>
              </w:rPr>
              <w:t>×</w:t>
            </w: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.0m</w:t>
            </w:r>
          </w:p>
          <w:p>
            <w:pPr>
              <w:spacing w:line="228" w:lineRule="auto"/>
              <w:ind w:left="117"/>
              <w:rPr>
                <w:rFonts w:ascii="宋体" w:hAnsi="宋体" w:eastAsia="宋体" w:cs="宋体"/>
                <w:sz w:val="20"/>
                <w:szCs w:val="20"/>
              </w:rPr>
            </w:pPr>
            <w:r>
              <w:rPr>
                <w:rFonts w:ascii="宋体" w:hAnsi="宋体" w:eastAsia="宋体" w:cs="宋体"/>
                <w:spacing w:val="24"/>
                <w:sz w:val="20"/>
                <w:szCs w:val="20"/>
              </w:rPr>
              <w:t>(</w:t>
            </w:r>
            <w:r>
              <w:rPr>
                <w:rFonts w:ascii="宋体" w:hAnsi="宋体" w:eastAsia="宋体" w:cs="宋体"/>
                <w:spacing w:val="15"/>
                <w:sz w:val="20"/>
                <w:szCs w:val="20"/>
              </w:rPr>
              <w:t>顺</w:t>
            </w:r>
            <w:r>
              <w:rPr>
                <w:rFonts w:ascii="宋体" w:hAnsi="宋体" w:eastAsia="宋体" w:cs="宋体"/>
                <w:spacing w:val="12"/>
                <w:sz w:val="20"/>
                <w:szCs w:val="20"/>
              </w:rPr>
              <w:t>桥向) 。桩基根据地质情况按端承桩设计。</w:t>
            </w:r>
          </w:p>
          <w:p>
            <w:pPr>
              <w:spacing w:line="15" w:lineRule="exact"/>
            </w:pPr>
          </w:p>
          <w:tbl>
            <w:tblPr>
              <w:tblStyle w:val="4"/>
              <w:tblW w:w="6519" w:type="dxa"/>
              <w:tblInd w:w="88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6519"/>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971" w:hRule="atLeast"/>
              </w:trPr>
              <w:tc>
                <w:tcPr>
                  <w:tcW w:w="6519" w:type="dxa"/>
                  <w:vAlign w:val="top"/>
                </w:tcPr>
                <w:p>
                  <w:pPr>
                    <w:spacing w:line="4970" w:lineRule="exact"/>
                    <w:textAlignment w:val="center"/>
                  </w:pPr>
                  <w:r>
                    <w:drawing>
                      <wp:inline distT="0" distB="0" distL="0" distR="0">
                        <wp:extent cx="4126865" cy="315595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79"/>
                                <a:stretch>
                                  <a:fillRect/>
                                </a:stretch>
                              </pic:blipFill>
                              <pic:spPr>
                                <a:xfrm>
                                  <a:off x="0" y="0"/>
                                  <a:ext cx="4126865" cy="3156584"/>
                                </a:xfrm>
                                <a:prstGeom prst="rect">
                                  <a:avLst/>
                                </a:prstGeom>
                              </pic:spPr>
                            </pic:pic>
                          </a:graphicData>
                        </a:graphic>
                      </wp:inline>
                    </w:drawing>
                  </w:r>
                </w:p>
              </w:tc>
            </w:tr>
          </w:tbl>
          <w:p>
            <w:pPr>
              <w:spacing w:before="58" w:line="231" w:lineRule="auto"/>
              <w:ind w:left="3171"/>
              <w:rPr>
                <w:rFonts w:ascii="黑体" w:hAnsi="黑体" w:eastAsia="黑体" w:cs="黑体"/>
                <w:sz w:val="19"/>
                <w:szCs w:val="19"/>
              </w:rPr>
            </w:pPr>
            <w:r>
              <w:rPr>
                <w:rFonts w:ascii="黑体" w:hAnsi="黑体" w:eastAsia="黑体" w:cs="黑体"/>
                <w:spacing w:val="9"/>
                <w:sz w:val="19"/>
                <w:szCs w:val="19"/>
              </w:rPr>
              <w:t>图</w:t>
            </w:r>
            <w:r>
              <w:rPr>
                <w:rFonts w:ascii="Times New Roman" w:hAnsi="Times New Roman" w:eastAsia="Times New Roman" w:cs="Times New Roman"/>
                <w:spacing w:val="7"/>
                <w:sz w:val="19"/>
                <w:szCs w:val="19"/>
              </w:rPr>
              <w:t>21</w:t>
            </w:r>
            <w:r>
              <w:rPr>
                <w:rFonts w:ascii="黑体" w:hAnsi="黑体" w:eastAsia="黑体" w:cs="黑体"/>
                <w:spacing w:val="7"/>
                <w:sz w:val="19"/>
                <w:szCs w:val="19"/>
              </w:rPr>
              <w:t>：桥台一般构造图</w:t>
            </w:r>
          </w:p>
          <w:p>
            <w:pPr>
              <w:spacing w:before="130" w:line="227" w:lineRule="auto"/>
              <w:ind w:left="566"/>
              <w:rPr>
                <w:rFonts w:ascii="宋体" w:hAnsi="宋体" w:eastAsia="宋体" w:cs="宋体"/>
                <w:sz w:val="20"/>
                <w:szCs w:val="20"/>
              </w:rPr>
            </w:pPr>
            <w:r>
              <w:rPr>
                <w:rFonts w:ascii="宋体" w:hAnsi="宋体" w:eastAsia="宋体" w:cs="宋体"/>
                <w:spacing w:val="8"/>
                <w:sz w:val="17"/>
                <w:szCs w:val="17"/>
              </w:rPr>
              <w:t>4</w:t>
            </w:r>
            <w:r>
              <w:rPr>
                <w:rFonts w:ascii="宋体" w:hAnsi="宋体" w:eastAsia="宋体" w:cs="宋体"/>
                <w:spacing w:val="7"/>
                <w:sz w:val="17"/>
                <w:szCs w:val="17"/>
              </w:rPr>
              <w:t xml:space="preserve">   </w:t>
            </w:r>
            <w:r>
              <w:rPr>
                <w:rFonts w:ascii="宋体" w:hAnsi="宋体" w:eastAsia="宋体" w:cs="宋体"/>
                <w:spacing w:val="7"/>
                <w:sz w:val="20"/>
                <w:szCs w:val="20"/>
              </w:rPr>
              <w:t>桥梁附属设施</w:t>
            </w:r>
          </w:p>
          <w:p>
            <w:pPr>
              <w:spacing w:before="117" w:line="281" w:lineRule="exact"/>
              <w:ind w:left="544"/>
              <w:rPr>
                <w:rFonts w:ascii="宋体" w:hAnsi="宋体" w:eastAsia="宋体" w:cs="宋体"/>
                <w:sz w:val="20"/>
                <w:szCs w:val="20"/>
              </w:rPr>
            </w:pPr>
            <w:r>
              <w:rPr>
                <w:rFonts w:ascii="Times New Roman" w:hAnsi="Times New Roman" w:eastAsia="Times New Roman" w:cs="Times New Roman"/>
                <w:spacing w:val="8"/>
                <w:position w:val="1"/>
                <w:sz w:val="20"/>
                <w:szCs w:val="20"/>
              </w:rPr>
              <w:t>1</w:t>
            </w:r>
            <w:r>
              <w:rPr>
                <w:rFonts w:ascii="宋体" w:hAnsi="宋体" w:eastAsia="宋体" w:cs="宋体"/>
                <w:spacing w:val="7"/>
                <w:position w:val="1"/>
                <w:sz w:val="20"/>
                <w:szCs w:val="20"/>
              </w:rPr>
              <w:t>) 桥面铺装：车行道铺装采用磨耗层</w:t>
            </w:r>
            <w:r>
              <w:rPr>
                <w:rFonts w:ascii="Times New Roman" w:hAnsi="Times New Roman" w:eastAsia="Times New Roman" w:cs="Times New Roman"/>
                <w:spacing w:val="7"/>
                <w:position w:val="1"/>
                <w:sz w:val="20"/>
                <w:szCs w:val="20"/>
              </w:rPr>
              <w:t>+</w:t>
            </w:r>
            <w:r>
              <w:rPr>
                <w:rFonts w:ascii="宋体" w:hAnsi="宋体" w:eastAsia="宋体" w:cs="宋体"/>
                <w:spacing w:val="7"/>
                <w:position w:val="1"/>
                <w:sz w:val="20"/>
                <w:szCs w:val="20"/>
              </w:rPr>
              <w:t>粘层</w:t>
            </w:r>
            <w:r>
              <w:rPr>
                <w:rFonts w:ascii="Times New Roman" w:hAnsi="Times New Roman" w:eastAsia="Times New Roman" w:cs="Times New Roman"/>
                <w:spacing w:val="7"/>
                <w:position w:val="1"/>
                <w:sz w:val="20"/>
                <w:szCs w:val="20"/>
              </w:rPr>
              <w:t>+</w:t>
            </w:r>
            <w:r>
              <w:rPr>
                <w:rFonts w:ascii="宋体" w:hAnsi="宋体" w:eastAsia="宋体" w:cs="宋体"/>
                <w:spacing w:val="7"/>
                <w:position w:val="1"/>
                <w:sz w:val="20"/>
                <w:szCs w:val="20"/>
              </w:rPr>
              <w:t>保护层</w:t>
            </w:r>
            <w:r>
              <w:rPr>
                <w:rFonts w:ascii="Times New Roman" w:hAnsi="Times New Roman" w:eastAsia="Times New Roman" w:cs="Times New Roman"/>
                <w:spacing w:val="7"/>
                <w:position w:val="1"/>
                <w:sz w:val="20"/>
                <w:szCs w:val="20"/>
              </w:rPr>
              <w:t>+</w:t>
            </w:r>
            <w:r>
              <w:rPr>
                <w:rFonts w:ascii="宋体" w:hAnsi="宋体" w:eastAsia="宋体" w:cs="宋体"/>
                <w:spacing w:val="7"/>
                <w:position w:val="1"/>
                <w:sz w:val="20"/>
                <w:szCs w:val="20"/>
              </w:rPr>
              <w:t>防水粘结层</w:t>
            </w:r>
            <w:r>
              <w:rPr>
                <w:rFonts w:ascii="Times New Roman" w:hAnsi="Times New Roman" w:eastAsia="Times New Roman" w:cs="Times New Roman"/>
                <w:spacing w:val="7"/>
                <w:position w:val="1"/>
                <w:sz w:val="20"/>
                <w:szCs w:val="20"/>
              </w:rPr>
              <w:t>+</w:t>
            </w:r>
            <w:r>
              <w:rPr>
                <w:rFonts w:ascii="宋体" w:hAnsi="宋体" w:eastAsia="宋体" w:cs="宋体"/>
                <w:spacing w:val="7"/>
                <w:position w:val="1"/>
                <w:sz w:val="20"/>
                <w:szCs w:val="20"/>
              </w:rPr>
              <w:t>防腐层</w:t>
            </w:r>
            <w:r>
              <w:rPr>
                <w:rFonts w:ascii="Times New Roman" w:hAnsi="Times New Roman" w:eastAsia="Times New Roman" w:cs="Times New Roman"/>
                <w:spacing w:val="7"/>
                <w:position w:val="1"/>
                <w:sz w:val="20"/>
                <w:szCs w:val="20"/>
              </w:rPr>
              <w:t>+</w:t>
            </w:r>
            <w:r>
              <w:rPr>
                <w:rFonts w:ascii="宋体" w:hAnsi="宋体" w:eastAsia="宋体" w:cs="宋体"/>
                <w:spacing w:val="7"/>
                <w:position w:val="1"/>
                <w:sz w:val="20"/>
                <w:szCs w:val="20"/>
              </w:rPr>
              <w:t>钢板组成。</w:t>
            </w:r>
          </w:p>
          <w:p>
            <w:pPr>
              <w:spacing w:line="19" w:lineRule="exact"/>
            </w:pPr>
          </w:p>
          <w:tbl>
            <w:tblPr>
              <w:tblStyle w:val="4"/>
              <w:tblW w:w="6548" w:type="dxa"/>
              <w:tblInd w:w="865"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6548"/>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719" w:hRule="atLeast"/>
              </w:trPr>
              <w:tc>
                <w:tcPr>
                  <w:tcW w:w="6548" w:type="dxa"/>
                  <w:vAlign w:val="top"/>
                </w:tcPr>
                <w:p>
                  <w:pPr>
                    <w:spacing w:line="4718" w:lineRule="exact"/>
                    <w:textAlignment w:val="center"/>
                  </w:pPr>
                  <w:r>
                    <w:drawing>
                      <wp:inline distT="0" distB="0" distL="0" distR="0">
                        <wp:extent cx="4144645" cy="2995930"/>
                        <wp:effectExtent l="0" t="0" r="0" b="0"/>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r:embed="rId180"/>
                                <a:stretch>
                                  <a:fillRect/>
                                </a:stretch>
                              </pic:blipFill>
                              <pic:spPr>
                                <a:xfrm>
                                  <a:off x="0" y="0"/>
                                  <a:ext cx="4145279" cy="2996564"/>
                                </a:xfrm>
                                <a:prstGeom prst="rect">
                                  <a:avLst/>
                                </a:prstGeom>
                              </pic:spPr>
                            </pic:pic>
                          </a:graphicData>
                        </a:graphic>
                      </wp:inline>
                    </w:drawing>
                  </w:r>
                </w:p>
              </w:tc>
            </w:tr>
          </w:tbl>
          <w:p>
            <w:pPr>
              <w:spacing w:before="39" w:line="231" w:lineRule="auto"/>
              <w:ind w:left="3071"/>
              <w:rPr>
                <w:rFonts w:ascii="黑体" w:hAnsi="黑体" w:eastAsia="黑体" w:cs="黑体"/>
                <w:sz w:val="19"/>
                <w:szCs w:val="19"/>
              </w:rPr>
            </w:pPr>
            <w:r>
              <w:rPr>
                <w:rFonts w:ascii="黑体" w:hAnsi="黑体" w:eastAsia="黑体" w:cs="黑体"/>
                <w:spacing w:val="11"/>
                <w:sz w:val="19"/>
                <w:szCs w:val="19"/>
              </w:rPr>
              <w:t>图</w:t>
            </w:r>
            <w:r>
              <w:rPr>
                <w:rFonts w:ascii="Times New Roman" w:hAnsi="Times New Roman" w:eastAsia="Times New Roman" w:cs="Times New Roman"/>
                <w:spacing w:val="7"/>
                <w:sz w:val="19"/>
                <w:szCs w:val="19"/>
              </w:rPr>
              <w:t>22</w:t>
            </w:r>
            <w:r>
              <w:rPr>
                <w:rFonts w:ascii="黑体" w:hAnsi="黑体" w:eastAsia="黑体" w:cs="黑体"/>
                <w:spacing w:val="7"/>
                <w:sz w:val="19"/>
                <w:szCs w:val="19"/>
              </w:rPr>
              <w:t>：车行道铺装形式图</w:t>
            </w:r>
          </w:p>
          <w:p>
            <w:pPr>
              <w:spacing w:before="92" w:line="281" w:lineRule="exact"/>
              <w:ind w:left="523"/>
              <w:rPr>
                <w:rFonts w:ascii="宋体" w:hAnsi="宋体" w:eastAsia="宋体" w:cs="宋体"/>
                <w:sz w:val="20"/>
                <w:szCs w:val="20"/>
              </w:rPr>
            </w:pPr>
            <w:r>
              <w:rPr>
                <w:rFonts w:ascii="Times New Roman" w:hAnsi="Times New Roman" w:eastAsia="Times New Roman" w:cs="Times New Roman"/>
                <w:spacing w:val="9"/>
                <w:position w:val="1"/>
                <w:sz w:val="20"/>
                <w:szCs w:val="20"/>
              </w:rPr>
              <w:t>2</w:t>
            </w:r>
            <w:r>
              <w:rPr>
                <w:rFonts w:ascii="宋体" w:hAnsi="宋体" w:eastAsia="宋体" w:cs="宋体"/>
                <w:spacing w:val="9"/>
                <w:position w:val="1"/>
                <w:sz w:val="20"/>
                <w:szCs w:val="20"/>
              </w:rPr>
              <w:t>) 人行道板铺装：人行道铺装采用人行道板</w:t>
            </w:r>
            <w:r>
              <w:rPr>
                <w:rFonts w:ascii="Times New Roman" w:hAnsi="Times New Roman" w:eastAsia="Times New Roman" w:cs="Times New Roman"/>
                <w:spacing w:val="9"/>
                <w:position w:val="1"/>
                <w:sz w:val="20"/>
                <w:szCs w:val="20"/>
              </w:rPr>
              <w:t>+</w:t>
            </w:r>
            <w:r>
              <w:rPr>
                <w:rFonts w:ascii="宋体" w:hAnsi="宋体" w:eastAsia="宋体" w:cs="宋体"/>
                <w:spacing w:val="9"/>
                <w:position w:val="1"/>
                <w:sz w:val="20"/>
                <w:szCs w:val="20"/>
              </w:rPr>
              <w:t>砂浆</w:t>
            </w:r>
            <w:r>
              <w:rPr>
                <w:rFonts w:ascii="Times New Roman" w:hAnsi="Times New Roman" w:eastAsia="Times New Roman" w:cs="Times New Roman"/>
                <w:spacing w:val="9"/>
                <w:position w:val="1"/>
                <w:sz w:val="20"/>
                <w:szCs w:val="20"/>
              </w:rPr>
              <w:t>+</w:t>
            </w:r>
            <w:r>
              <w:rPr>
                <w:rFonts w:ascii="宋体" w:hAnsi="宋体" w:eastAsia="宋体" w:cs="宋体"/>
                <w:spacing w:val="9"/>
                <w:position w:val="1"/>
                <w:sz w:val="20"/>
                <w:szCs w:val="20"/>
              </w:rPr>
              <w:t>花岗岩地砖的铺装结构形式</w:t>
            </w:r>
            <w:r>
              <w:rPr>
                <w:rFonts w:ascii="宋体" w:hAnsi="宋体" w:eastAsia="宋体" w:cs="宋体"/>
                <w:spacing w:val="6"/>
                <w:position w:val="1"/>
                <w:sz w:val="20"/>
                <w:szCs w:val="20"/>
              </w:rPr>
              <w:t>。</w:t>
            </w:r>
          </w:p>
          <w:p>
            <w:pPr>
              <w:spacing w:before="155" w:line="228" w:lineRule="auto"/>
              <w:ind w:left="528"/>
              <w:rPr>
                <w:rFonts w:ascii="宋体" w:hAnsi="宋体" w:eastAsia="宋体" w:cs="宋体"/>
                <w:sz w:val="20"/>
                <w:szCs w:val="20"/>
              </w:rPr>
            </w:pPr>
            <w:r>
              <w:rPr>
                <w:rFonts w:ascii="Times New Roman" w:hAnsi="Times New Roman" w:eastAsia="Times New Roman" w:cs="Times New Roman"/>
                <w:spacing w:val="8"/>
                <w:sz w:val="20"/>
                <w:szCs w:val="20"/>
              </w:rPr>
              <w:t>3</w:t>
            </w:r>
            <w:r>
              <w:rPr>
                <w:rFonts w:ascii="宋体" w:hAnsi="宋体" w:eastAsia="宋体" w:cs="宋体"/>
                <w:spacing w:val="8"/>
                <w:sz w:val="20"/>
                <w:szCs w:val="20"/>
              </w:rPr>
              <w:t>) 支座：本桥支座采用球形钢支座</w:t>
            </w:r>
            <w:r>
              <w:rPr>
                <w:rFonts w:ascii="宋体" w:hAnsi="宋体" w:eastAsia="宋体" w:cs="宋体"/>
                <w:spacing w:val="7"/>
                <w:sz w:val="20"/>
                <w:szCs w:val="20"/>
              </w:rPr>
              <w:t>。</w:t>
            </w:r>
          </w:p>
        </w:tc>
      </w:tr>
    </w:tbl>
    <w:p>
      <w:pPr>
        <w:spacing w:line="219" w:lineRule="exact"/>
        <w:rPr>
          <w:rFonts w:ascii="Arial"/>
          <w:sz w:val="19"/>
        </w:rPr>
      </w:pPr>
    </w:p>
    <w:p>
      <w:pPr>
        <w:sectPr>
          <w:footerReference r:id="rId38" w:type="default"/>
          <w:pgSz w:w="11906" w:h="16839"/>
          <w:pgMar w:top="400" w:right="1487" w:bottom="1475" w:left="1486" w:header="0" w:footer="1315" w:gutter="0"/>
          <w:cols w:space="720" w:num="1"/>
        </w:sectPr>
      </w:pPr>
    </w:p>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8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6" w:hRule="atLeast"/>
        </w:trPr>
        <w:tc>
          <w:tcPr>
            <w:tcW w:w="600" w:type="dxa"/>
            <w:tcBorders>
              <w:left w:val="single" w:color="00000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28" w:lineRule="auto"/>
              <w:ind w:left="91"/>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p>
            <w:pPr>
              <w:spacing w:before="26" w:line="229" w:lineRule="auto"/>
              <w:ind w:left="9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组</w:t>
            </w:r>
            <w:r>
              <w:rPr>
                <w:rFonts w:ascii="宋体" w:hAnsi="宋体" w:eastAsia="宋体" w:cs="宋体"/>
                <w:spacing w:val="4"/>
                <w:sz w:val="20"/>
                <w:szCs w:val="20"/>
                <w14:textOutline w14:w="3795" w14:cap="sq" w14:cmpd="sng">
                  <w14:solidFill>
                    <w14:srgbClr w14:val="000000"/>
                  </w14:solidFill>
                  <w14:prstDash w14:val="solid"/>
                  <w14:bevel/>
                </w14:textOutline>
              </w:rPr>
              <w:t>成</w:t>
            </w:r>
          </w:p>
          <w:p>
            <w:pPr>
              <w:spacing w:before="22" w:line="230" w:lineRule="auto"/>
              <w:ind w:left="8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及规</w:t>
            </w:r>
          </w:p>
          <w:p>
            <w:pPr>
              <w:spacing w:before="24" w:line="228" w:lineRule="auto"/>
              <w:ind w:left="190"/>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模</w:t>
            </w:r>
          </w:p>
        </w:tc>
        <w:tc>
          <w:tcPr>
            <w:tcW w:w="8317" w:type="dxa"/>
            <w:tcBorders>
              <w:right w:val="single" w:color="000000" w:sz="6" w:space="0"/>
            </w:tcBorders>
            <w:vAlign w:val="top"/>
          </w:tcPr>
          <w:p>
            <w:pPr>
              <w:spacing w:before="144" w:line="370" w:lineRule="auto"/>
              <w:ind w:left="106" w:right="102" w:firstLine="416"/>
              <w:rPr>
                <w:rFonts w:ascii="宋体" w:hAnsi="宋体" w:eastAsia="宋体" w:cs="宋体"/>
                <w:sz w:val="20"/>
                <w:szCs w:val="20"/>
              </w:rPr>
            </w:pPr>
            <w:r>
              <w:rPr>
                <w:rFonts w:ascii="Times New Roman" w:hAnsi="Times New Roman" w:eastAsia="Times New Roman" w:cs="Times New Roman"/>
                <w:spacing w:val="10"/>
                <w:sz w:val="20"/>
                <w:szCs w:val="20"/>
              </w:rPr>
              <w:t>4</w:t>
            </w:r>
            <w:r>
              <w:rPr>
                <w:rFonts w:ascii="宋体" w:hAnsi="宋体" w:eastAsia="宋体" w:cs="宋体"/>
                <w:spacing w:val="9"/>
                <w:sz w:val="20"/>
                <w:szCs w:val="20"/>
              </w:rPr>
              <w:t>)</w:t>
            </w:r>
            <w:r>
              <w:rPr>
                <w:rFonts w:ascii="宋体" w:hAnsi="宋体" w:eastAsia="宋体" w:cs="宋体"/>
                <w:spacing w:val="5"/>
                <w:sz w:val="20"/>
                <w:szCs w:val="20"/>
              </w:rPr>
              <w:t xml:space="preserve"> 桥面排水：桥面采用双向横坡，在人行道内侧按纵向间距 </w:t>
            </w:r>
            <w:r>
              <w:rPr>
                <w:rFonts w:ascii="Times New Roman" w:hAnsi="Times New Roman" w:eastAsia="Times New Roman" w:cs="Times New Roman"/>
                <w:spacing w:val="5"/>
                <w:sz w:val="20"/>
                <w:szCs w:val="20"/>
              </w:rPr>
              <w:t>10</w:t>
            </w:r>
            <w:r>
              <w:rPr>
                <w:rFonts w:ascii="Times New Roman" w:hAnsi="Times New Roman" w:eastAsia="Times New Roman" w:cs="Times New Roman"/>
                <w:sz w:val="20"/>
                <w:szCs w:val="20"/>
              </w:rPr>
              <w:t>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设置直径 </w:t>
            </w:r>
            <w:r>
              <w:rPr>
                <w:rFonts w:ascii="Times New Roman" w:hAnsi="Times New Roman" w:eastAsia="Times New Roman" w:cs="Times New Roman"/>
                <w:spacing w:val="5"/>
                <w:sz w:val="20"/>
                <w:szCs w:val="20"/>
              </w:rPr>
              <w:t>80</w:t>
            </w:r>
            <w:r>
              <w:rPr>
                <w:rFonts w:ascii="Times New Roman" w:hAnsi="Times New Roman" w:eastAsia="Times New Roman" w:cs="Times New Roman"/>
                <w:sz w:val="20"/>
                <w:szCs w:val="20"/>
              </w:rPr>
              <w:t>mm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的</w:t>
            </w:r>
            <w:r>
              <w:rPr>
                <w:rFonts w:ascii="宋体" w:hAnsi="宋体" w:eastAsia="宋体" w:cs="宋体"/>
                <w:sz w:val="20"/>
                <w:szCs w:val="20"/>
              </w:rPr>
              <w:t xml:space="preserve"> </w:t>
            </w:r>
            <w:r>
              <w:rPr>
                <w:rFonts w:ascii="宋体" w:hAnsi="宋体" w:eastAsia="宋体" w:cs="宋体"/>
                <w:spacing w:val="16"/>
                <w:sz w:val="20"/>
                <w:szCs w:val="20"/>
              </w:rPr>
              <w:t>钢</w:t>
            </w:r>
            <w:r>
              <w:rPr>
                <w:rFonts w:ascii="宋体" w:hAnsi="宋体" w:eastAsia="宋体" w:cs="宋体"/>
                <w:spacing w:val="11"/>
                <w:sz w:val="20"/>
                <w:szCs w:val="20"/>
              </w:rPr>
              <w:t>泄</w:t>
            </w:r>
            <w:r>
              <w:rPr>
                <w:rFonts w:ascii="宋体" w:hAnsi="宋体" w:eastAsia="宋体" w:cs="宋体"/>
                <w:spacing w:val="8"/>
                <w:sz w:val="20"/>
                <w:szCs w:val="20"/>
              </w:rPr>
              <w:t>水管，收集后排入市政管网。</w:t>
            </w:r>
          </w:p>
          <w:p>
            <w:pPr>
              <w:spacing w:line="369" w:lineRule="auto"/>
              <w:ind w:left="107" w:right="104" w:firstLine="421"/>
              <w:rPr>
                <w:rFonts w:ascii="宋体" w:hAnsi="宋体" w:eastAsia="宋体" w:cs="宋体"/>
                <w:sz w:val="20"/>
                <w:szCs w:val="20"/>
              </w:rPr>
            </w:pPr>
            <w:r>
              <w:rPr>
                <w:rFonts w:ascii="Times New Roman" w:hAnsi="Times New Roman" w:eastAsia="Times New Roman" w:cs="Times New Roman"/>
                <w:spacing w:val="18"/>
                <w:sz w:val="20"/>
                <w:szCs w:val="20"/>
              </w:rPr>
              <w:t>5</w:t>
            </w:r>
            <w:r>
              <w:rPr>
                <w:rFonts w:ascii="宋体" w:hAnsi="宋体" w:eastAsia="宋体" w:cs="宋体"/>
                <w:spacing w:val="18"/>
                <w:sz w:val="20"/>
                <w:szCs w:val="20"/>
              </w:rPr>
              <w:t xml:space="preserve">) </w:t>
            </w:r>
            <w:r>
              <w:rPr>
                <w:rFonts w:ascii="宋体" w:hAnsi="宋体" w:eastAsia="宋体" w:cs="宋体"/>
                <w:spacing w:val="12"/>
                <w:sz w:val="20"/>
                <w:szCs w:val="20"/>
              </w:rPr>
              <w:t>伸</w:t>
            </w:r>
            <w:r>
              <w:rPr>
                <w:rFonts w:ascii="宋体" w:hAnsi="宋体" w:eastAsia="宋体" w:cs="宋体"/>
                <w:spacing w:val="9"/>
                <w:sz w:val="20"/>
                <w:szCs w:val="20"/>
              </w:rPr>
              <w:t>缩缝：伸缩缝的设置原则主要考虑车辆运行的舒适性和安全性。全桥采用多向</w:t>
            </w:r>
            <w:r>
              <w:rPr>
                <w:rFonts w:ascii="宋体" w:hAnsi="宋体" w:eastAsia="宋体" w:cs="宋体"/>
                <w:sz w:val="20"/>
                <w:szCs w:val="20"/>
              </w:rPr>
              <w:t xml:space="preserve"> </w:t>
            </w:r>
            <w:r>
              <w:rPr>
                <w:rFonts w:ascii="宋体" w:hAnsi="宋体" w:eastAsia="宋体" w:cs="宋体"/>
                <w:spacing w:val="6"/>
                <w:sz w:val="20"/>
                <w:szCs w:val="20"/>
              </w:rPr>
              <w:t xml:space="preserve">变位梳形板式伸缩缝，具体根据联长选用 </w:t>
            </w:r>
            <w:r>
              <w:rPr>
                <w:rFonts w:ascii="Times New Roman" w:hAnsi="Times New Roman" w:eastAsia="Times New Roman" w:cs="Times New Roman"/>
                <w:spacing w:val="6"/>
                <w:sz w:val="20"/>
                <w:szCs w:val="20"/>
              </w:rPr>
              <w:t xml:space="preserve">160 </w:t>
            </w:r>
            <w:r>
              <w:rPr>
                <w:rFonts w:ascii="宋体" w:hAnsi="宋体" w:eastAsia="宋体" w:cs="宋体"/>
                <w:spacing w:val="6"/>
                <w:sz w:val="20"/>
                <w:szCs w:val="20"/>
              </w:rPr>
              <w:t>型伸缩缝，伸缩缝两端采用钢纤维砼或</w:t>
            </w:r>
            <w:r>
              <w:rPr>
                <w:rFonts w:ascii="宋体" w:hAnsi="宋体" w:eastAsia="宋体" w:cs="宋体"/>
                <w:spacing w:val="4"/>
                <w:sz w:val="20"/>
                <w:szCs w:val="20"/>
              </w:rPr>
              <w:t>树</w:t>
            </w:r>
            <w:r>
              <w:rPr>
                <w:rFonts w:ascii="宋体" w:hAnsi="宋体" w:eastAsia="宋体" w:cs="宋体"/>
                <w:sz w:val="20"/>
                <w:szCs w:val="20"/>
              </w:rPr>
              <w:t xml:space="preserve">脂 </w:t>
            </w:r>
            <w:r>
              <w:rPr>
                <w:rFonts w:ascii="宋体" w:hAnsi="宋体" w:eastAsia="宋体" w:cs="宋体"/>
                <w:spacing w:val="5"/>
                <w:sz w:val="20"/>
                <w:szCs w:val="20"/>
              </w:rPr>
              <w:t>混凝土。</w:t>
            </w:r>
          </w:p>
          <w:p>
            <w:pPr>
              <w:spacing w:line="228" w:lineRule="auto"/>
              <w:ind w:left="528"/>
              <w:rPr>
                <w:rFonts w:ascii="宋体" w:hAnsi="宋体" w:eastAsia="宋体" w:cs="宋体"/>
                <w:sz w:val="20"/>
                <w:szCs w:val="20"/>
              </w:rPr>
            </w:pPr>
            <w:r>
              <w:rPr>
                <w:rFonts w:ascii="Times New Roman" w:hAnsi="Times New Roman" w:eastAsia="Times New Roman" w:cs="Times New Roman"/>
                <w:spacing w:val="14"/>
                <w:sz w:val="20"/>
                <w:szCs w:val="20"/>
              </w:rPr>
              <w:t>6</w:t>
            </w:r>
            <w:r>
              <w:rPr>
                <w:rFonts w:ascii="宋体" w:hAnsi="宋体" w:eastAsia="宋体" w:cs="宋体"/>
                <w:spacing w:val="8"/>
                <w:sz w:val="20"/>
                <w:szCs w:val="20"/>
              </w:rPr>
              <w:t>) 台后处理：台后均设置钢筋混凝土搭板。</w:t>
            </w:r>
          </w:p>
          <w:p>
            <w:pPr>
              <w:spacing w:before="150" w:line="228" w:lineRule="auto"/>
              <w:ind w:left="571"/>
              <w:rPr>
                <w:rFonts w:ascii="宋体" w:hAnsi="宋体" w:eastAsia="宋体" w:cs="宋体"/>
                <w:sz w:val="20"/>
                <w:szCs w:val="20"/>
              </w:rPr>
            </w:pPr>
            <w:r>
              <w:rPr>
                <w:rFonts w:ascii="宋体" w:hAnsi="宋体" w:eastAsia="宋体" w:cs="宋体"/>
                <w:spacing w:val="8"/>
                <w:sz w:val="17"/>
                <w:szCs w:val="17"/>
                <w14:textOutline w14:w="3268" w14:cap="sq" w14:cmpd="sng">
                  <w14:solidFill>
                    <w14:srgbClr w14:val="000000"/>
                  </w14:solidFill>
                  <w14:prstDash w14:val="solid"/>
                  <w14:bevel/>
                </w14:textOutline>
              </w:rPr>
              <w:t>5</w:t>
            </w:r>
            <w:r>
              <w:rPr>
                <w:rFonts w:ascii="宋体" w:hAnsi="宋体" w:eastAsia="宋体" w:cs="宋体"/>
                <w:spacing w:val="8"/>
                <w:sz w:val="17"/>
                <w:szCs w:val="17"/>
              </w:rPr>
              <w:t xml:space="preserve">   </w:t>
            </w:r>
            <w:r>
              <w:rPr>
                <w:rFonts w:ascii="宋体" w:hAnsi="宋体" w:eastAsia="宋体" w:cs="宋体"/>
                <w:spacing w:val="8"/>
                <w:sz w:val="20"/>
                <w:szCs w:val="20"/>
              </w:rPr>
              <w:t>桥梁上游河滩清理礁石设</w:t>
            </w:r>
            <w:r>
              <w:rPr>
                <w:rFonts w:ascii="宋体" w:hAnsi="宋体" w:eastAsia="宋体" w:cs="宋体"/>
                <w:spacing w:val="7"/>
                <w:sz w:val="20"/>
                <w:szCs w:val="20"/>
              </w:rPr>
              <w:t>计</w:t>
            </w:r>
          </w:p>
          <w:p>
            <w:pPr>
              <w:spacing w:before="116" w:line="381" w:lineRule="auto"/>
              <w:ind w:left="106" w:right="102" w:firstLine="426"/>
              <w:rPr>
                <w:rFonts w:ascii="宋体" w:hAnsi="宋体" w:eastAsia="宋体" w:cs="宋体"/>
                <w:sz w:val="20"/>
                <w:szCs w:val="20"/>
              </w:rPr>
            </w:pPr>
            <w:r>
              <w:rPr>
                <w:rFonts w:ascii="宋体" w:hAnsi="宋体" w:eastAsia="宋体" w:cs="宋体"/>
                <w:spacing w:val="4"/>
                <w:sz w:val="20"/>
                <w:szCs w:val="20"/>
              </w:rPr>
              <w:t xml:space="preserve">高家坝大桥桥下通航净空为 </w:t>
            </w:r>
            <w:r>
              <w:rPr>
                <w:rFonts w:ascii="Times New Roman" w:hAnsi="Times New Roman" w:eastAsia="Times New Roman" w:cs="Times New Roman"/>
                <w:spacing w:val="4"/>
                <w:sz w:val="20"/>
                <w:szCs w:val="20"/>
              </w:rPr>
              <w:t>32×4.5</w:t>
            </w:r>
            <w:r>
              <w:rPr>
                <w:rFonts w:ascii="Times New Roman" w:hAnsi="Times New Roman" w:eastAsia="Times New Roman" w:cs="Times New Roman"/>
                <w:sz w:val="20"/>
                <w:szCs w:val="20"/>
              </w:rPr>
              <w:t>m</w:t>
            </w:r>
            <w:r>
              <w:rPr>
                <w:rFonts w:ascii="宋体" w:hAnsi="宋体" w:eastAsia="宋体" w:cs="宋体"/>
                <w:spacing w:val="4"/>
                <w:sz w:val="20"/>
                <w:szCs w:val="20"/>
              </w:rPr>
              <w:t>，该航线航道为</w:t>
            </w:r>
            <w:r>
              <w:rPr>
                <w:rFonts w:ascii="Times New Roman" w:hAnsi="Times New Roman" w:eastAsia="Times New Roman" w:cs="Times New Roman"/>
                <w:spacing w:val="4"/>
                <w:sz w:val="20"/>
                <w:szCs w:val="20"/>
              </w:rPr>
              <w:t xml:space="preserve">Ⅶ </w:t>
            </w:r>
            <w:r>
              <w:rPr>
                <w:rFonts w:ascii="宋体" w:hAnsi="宋体" w:eastAsia="宋体" w:cs="宋体"/>
                <w:spacing w:val="4"/>
                <w:sz w:val="20"/>
                <w:szCs w:val="20"/>
              </w:rPr>
              <w:t>(</w:t>
            </w:r>
            <w:r>
              <w:rPr>
                <w:rFonts w:ascii="Times New Roman" w:hAnsi="Times New Roman" w:eastAsia="Times New Roman" w:cs="Times New Roman"/>
                <w:spacing w:val="4"/>
                <w:sz w:val="20"/>
                <w:szCs w:val="20"/>
              </w:rPr>
              <w:t>2</w:t>
            </w:r>
            <w:r>
              <w:rPr>
                <w:rFonts w:ascii="宋体" w:hAnsi="宋体" w:eastAsia="宋体" w:cs="宋体"/>
                <w:spacing w:val="4"/>
                <w:sz w:val="20"/>
                <w:szCs w:val="20"/>
              </w:rPr>
              <w:t xml:space="preserve">) 级，典型代表船舶为 </w:t>
            </w:r>
            <w:r>
              <w:rPr>
                <w:rFonts w:ascii="Times New Roman" w:hAnsi="Times New Roman" w:eastAsia="Times New Roman" w:cs="Times New Roman"/>
                <w:spacing w:val="4"/>
                <w:sz w:val="20"/>
                <w:szCs w:val="20"/>
              </w:rPr>
              <w:t>5</w:t>
            </w:r>
            <w:r>
              <w:rPr>
                <w:rFonts w:ascii="Times New Roman" w:hAnsi="Times New Roman" w:eastAsia="Times New Roman" w:cs="Times New Roman"/>
                <w:spacing w:val="1"/>
                <w:sz w:val="20"/>
                <w:szCs w:val="20"/>
              </w:rPr>
              <w:t>0</w:t>
            </w:r>
            <w:r>
              <w:rPr>
                <w:rFonts w:ascii="Times New Roman" w:hAnsi="Times New Roman" w:eastAsia="Times New Roman" w:cs="Times New Roman"/>
                <w:sz w:val="20"/>
                <w:szCs w:val="20"/>
              </w:rPr>
              <w:t xml:space="preserve">t </w:t>
            </w:r>
            <w:r>
              <w:rPr>
                <w:rFonts w:ascii="宋体" w:hAnsi="宋体" w:eastAsia="宋体" w:cs="宋体"/>
                <w:spacing w:val="8"/>
                <w:sz w:val="20"/>
                <w:szCs w:val="20"/>
              </w:rPr>
              <w:t>船</w:t>
            </w:r>
            <w:r>
              <w:rPr>
                <w:rFonts w:ascii="宋体" w:hAnsi="宋体" w:eastAsia="宋体" w:cs="宋体"/>
                <w:spacing w:val="6"/>
                <w:sz w:val="20"/>
                <w:szCs w:val="20"/>
              </w:rPr>
              <w:t>舶</w:t>
            </w:r>
            <w:r>
              <w:rPr>
                <w:rFonts w:ascii="宋体" w:hAnsi="宋体" w:eastAsia="宋体" w:cs="宋体"/>
                <w:spacing w:val="4"/>
                <w:sz w:val="20"/>
                <w:szCs w:val="20"/>
              </w:rPr>
              <w:t xml:space="preserve">，最高通航水位为 </w:t>
            </w:r>
            <w:r>
              <w:rPr>
                <w:rFonts w:ascii="Times New Roman" w:hAnsi="Times New Roman" w:eastAsia="Times New Roman" w:cs="Times New Roman"/>
                <w:spacing w:val="4"/>
                <w:sz w:val="20"/>
                <w:szCs w:val="20"/>
              </w:rPr>
              <w:t>280.43</w:t>
            </w:r>
            <w:r>
              <w:rPr>
                <w:rFonts w:ascii="Times New Roman" w:hAnsi="Times New Roman" w:eastAsia="Times New Roman" w:cs="Times New Roman"/>
                <w:sz w:val="20"/>
                <w:szCs w:val="20"/>
              </w:rPr>
              <w:t>m</w:t>
            </w:r>
            <w:r>
              <w:rPr>
                <w:rFonts w:ascii="宋体" w:hAnsi="宋体" w:eastAsia="宋体" w:cs="宋体"/>
                <w:spacing w:val="4"/>
                <w:sz w:val="20"/>
                <w:szCs w:val="20"/>
              </w:rPr>
              <w:t xml:space="preserve">，最低通航水位为 </w:t>
            </w:r>
            <w:r>
              <w:rPr>
                <w:rFonts w:ascii="Times New Roman" w:hAnsi="Times New Roman" w:eastAsia="Times New Roman" w:cs="Times New Roman"/>
                <w:spacing w:val="4"/>
                <w:sz w:val="20"/>
                <w:szCs w:val="20"/>
              </w:rPr>
              <w:t>271.0</w:t>
            </w:r>
            <w:r>
              <w:rPr>
                <w:rFonts w:ascii="Times New Roman" w:hAnsi="Times New Roman" w:eastAsia="Times New Roman" w:cs="Times New Roman"/>
                <w:sz w:val="20"/>
                <w:szCs w:val="20"/>
              </w:rPr>
              <w:t>m</w:t>
            </w:r>
            <w:r>
              <w:rPr>
                <w:rFonts w:ascii="宋体" w:hAnsi="宋体" w:eastAsia="宋体" w:cs="宋体"/>
                <w:spacing w:val="4"/>
                <w:sz w:val="20"/>
                <w:szCs w:val="20"/>
              </w:rPr>
              <w:t>。为保证高家坝大桥满足航道规</w:t>
            </w:r>
            <w:r>
              <w:rPr>
                <w:rFonts w:ascii="宋体" w:hAnsi="宋体" w:eastAsia="宋体" w:cs="宋体"/>
                <w:sz w:val="20"/>
                <w:szCs w:val="20"/>
              </w:rPr>
              <w:t xml:space="preserve"> </w:t>
            </w:r>
            <w:r>
              <w:rPr>
                <w:rFonts w:ascii="宋体" w:hAnsi="宋体" w:eastAsia="宋体" w:cs="宋体"/>
                <w:spacing w:val="10"/>
                <w:sz w:val="20"/>
                <w:szCs w:val="20"/>
              </w:rPr>
              <w:t>划</w:t>
            </w:r>
            <w:r>
              <w:rPr>
                <w:rFonts w:ascii="宋体" w:hAnsi="宋体" w:eastAsia="宋体" w:cs="宋体"/>
                <w:spacing w:val="9"/>
                <w:sz w:val="20"/>
                <w:szCs w:val="20"/>
              </w:rPr>
              <w:t>要求，需要对桥址上游部分礁石进行清理。</w:t>
            </w:r>
          </w:p>
          <w:p>
            <w:pPr>
              <w:spacing w:line="401" w:lineRule="exact"/>
              <w:ind w:left="527"/>
              <w:rPr>
                <w:rFonts w:ascii="宋体" w:hAnsi="宋体" w:eastAsia="宋体" w:cs="宋体"/>
                <w:sz w:val="20"/>
                <w:szCs w:val="20"/>
              </w:rPr>
            </w:pPr>
            <w:r>
              <w:rPr>
                <w:rFonts w:ascii="宋体" w:hAnsi="宋体" w:eastAsia="宋体" w:cs="宋体"/>
                <w:spacing w:val="2"/>
                <w:position w:val="14"/>
                <w:sz w:val="20"/>
                <w:szCs w:val="20"/>
              </w:rPr>
              <w:t>清理礁石范围如下图所示(粉红色区域</w:t>
            </w:r>
            <w:r>
              <w:rPr>
                <w:rFonts w:ascii="宋体" w:hAnsi="宋体" w:eastAsia="宋体" w:cs="宋体"/>
                <w:spacing w:val="1"/>
                <w:position w:val="14"/>
                <w:sz w:val="20"/>
                <w:szCs w:val="20"/>
              </w:rPr>
              <w:t xml:space="preserve">) ，清礁底高程为 </w:t>
            </w:r>
            <w:r>
              <w:rPr>
                <w:rFonts w:ascii="Times New Roman" w:hAnsi="Times New Roman" w:eastAsia="Times New Roman" w:cs="Times New Roman"/>
                <w:spacing w:val="1"/>
                <w:position w:val="14"/>
                <w:sz w:val="20"/>
                <w:szCs w:val="20"/>
              </w:rPr>
              <w:t>268.0</w:t>
            </w:r>
            <w:r>
              <w:rPr>
                <w:rFonts w:ascii="Times New Roman" w:hAnsi="Times New Roman" w:eastAsia="Times New Roman" w:cs="Times New Roman"/>
                <w:position w:val="14"/>
                <w:sz w:val="20"/>
                <w:szCs w:val="20"/>
              </w:rPr>
              <w:t>m</w:t>
            </w:r>
            <w:r>
              <w:rPr>
                <w:rFonts w:ascii="宋体" w:hAnsi="宋体" w:eastAsia="宋体" w:cs="宋体"/>
                <w:spacing w:val="1"/>
                <w:position w:val="14"/>
                <w:sz w:val="20"/>
                <w:szCs w:val="20"/>
              </w:rPr>
              <w:t xml:space="preserve">，清礁区域超深 </w:t>
            </w:r>
            <w:r>
              <w:rPr>
                <w:rFonts w:ascii="Times New Roman" w:hAnsi="Times New Roman" w:eastAsia="Times New Roman" w:cs="Times New Roman"/>
                <w:spacing w:val="1"/>
                <w:position w:val="14"/>
                <w:sz w:val="20"/>
                <w:szCs w:val="20"/>
              </w:rPr>
              <w:t>0.4</w:t>
            </w:r>
            <w:r>
              <w:rPr>
                <w:rFonts w:ascii="Times New Roman" w:hAnsi="Times New Roman" w:eastAsia="Times New Roman" w:cs="Times New Roman"/>
                <w:position w:val="14"/>
                <w:sz w:val="20"/>
                <w:szCs w:val="20"/>
              </w:rPr>
              <w:t>m</w:t>
            </w:r>
            <w:r>
              <w:rPr>
                <w:rFonts w:ascii="宋体" w:hAnsi="宋体" w:eastAsia="宋体" w:cs="宋体"/>
                <w:spacing w:val="1"/>
                <w:position w:val="14"/>
                <w:sz w:val="20"/>
                <w:szCs w:val="20"/>
              </w:rPr>
              <w:t>、</w:t>
            </w:r>
          </w:p>
          <w:p>
            <w:pPr>
              <w:spacing w:line="228" w:lineRule="auto"/>
              <w:ind w:left="106"/>
              <w:rPr>
                <w:rFonts w:ascii="宋体" w:hAnsi="宋体" w:eastAsia="宋体" w:cs="宋体"/>
                <w:sz w:val="20"/>
                <w:szCs w:val="20"/>
              </w:rPr>
            </w:pPr>
            <w:r>
              <w:rPr>
                <w:rFonts w:ascii="宋体" w:hAnsi="宋体" w:eastAsia="宋体" w:cs="宋体"/>
                <w:spacing w:val="4"/>
                <w:sz w:val="20"/>
                <w:szCs w:val="20"/>
              </w:rPr>
              <w:t xml:space="preserve">超宽 </w:t>
            </w:r>
            <w:r>
              <w:rPr>
                <w:rFonts w:ascii="Times New Roman" w:hAnsi="Times New Roman" w:eastAsia="Times New Roman" w:cs="Times New Roman"/>
                <w:spacing w:val="4"/>
                <w:sz w:val="20"/>
                <w:szCs w:val="20"/>
              </w:rPr>
              <w:t>1.0</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，清礁工程需要与桥梁建设同步完成</w:t>
            </w:r>
            <w:r>
              <w:rPr>
                <w:rFonts w:ascii="宋体" w:hAnsi="宋体" w:eastAsia="宋体" w:cs="宋体"/>
                <w:sz w:val="20"/>
                <w:szCs w:val="20"/>
              </w:rPr>
              <w:t>。</w:t>
            </w:r>
          </w:p>
          <w:p>
            <w:pPr>
              <w:spacing w:before="15" w:line="5256" w:lineRule="exact"/>
              <w:ind w:firstLine="164"/>
              <w:textAlignment w:val="center"/>
            </w:pPr>
            <w:r>
              <w:drawing>
                <wp:inline distT="0" distB="0" distL="0" distR="0">
                  <wp:extent cx="5053330" cy="333692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81"/>
                          <a:stretch>
                            <a:fillRect/>
                          </a:stretch>
                        </pic:blipFill>
                        <pic:spPr>
                          <a:xfrm>
                            <a:off x="0" y="0"/>
                            <a:ext cx="5053583" cy="3337559"/>
                          </a:xfrm>
                          <a:prstGeom prst="rect">
                            <a:avLst/>
                          </a:prstGeom>
                        </pic:spPr>
                      </pic:pic>
                    </a:graphicData>
                  </a:graphic>
                </wp:inline>
              </w:drawing>
            </w:r>
          </w:p>
          <w:p>
            <w:pPr>
              <w:spacing w:before="51" w:line="231" w:lineRule="auto"/>
              <w:ind w:left="3171"/>
              <w:rPr>
                <w:rFonts w:ascii="黑体" w:hAnsi="黑体" w:eastAsia="黑体" w:cs="黑体"/>
                <w:sz w:val="19"/>
                <w:szCs w:val="19"/>
              </w:rPr>
            </w:pPr>
            <w:r>
              <w:rPr>
                <w:rFonts w:ascii="黑体" w:hAnsi="黑体" w:eastAsia="黑体" w:cs="黑体"/>
                <w:spacing w:val="9"/>
                <w:sz w:val="19"/>
                <w:szCs w:val="19"/>
              </w:rPr>
              <w:t>图</w:t>
            </w:r>
            <w:r>
              <w:rPr>
                <w:rFonts w:ascii="Times New Roman" w:hAnsi="Times New Roman" w:eastAsia="Times New Roman" w:cs="Times New Roman"/>
                <w:spacing w:val="7"/>
                <w:sz w:val="19"/>
                <w:szCs w:val="19"/>
              </w:rPr>
              <w:t>23</w:t>
            </w:r>
            <w:r>
              <w:rPr>
                <w:rFonts w:ascii="黑体" w:hAnsi="黑体" w:eastAsia="黑体" w:cs="黑体"/>
                <w:spacing w:val="7"/>
                <w:sz w:val="19"/>
                <w:szCs w:val="19"/>
              </w:rPr>
              <w:t>：清理礁石范围图</w:t>
            </w:r>
          </w:p>
          <w:p>
            <w:pPr>
              <w:spacing w:before="131" w:line="369" w:lineRule="auto"/>
              <w:ind w:left="107" w:right="50" w:firstLine="420"/>
              <w:rPr>
                <w:rFonts w:ascii="宋体" w:hAnsi="宋体" w:eastAsia="宋体" w:cs="宋体"/>
                <w:sz w:val="20"/>
                <w:szCs w:val="20"/>
              </w:rPr>
            </w:pPr>
            <w:r>
              <w:rPr>
                <w:rFonts w:ascii="宋体" w:hAnsi="宋体" w:eastAsia="宋体" w:cs="宋体"/>
                <w:spacing w:val="14"/>
                <w:sz w:val="20"/>
                <w:szCs w:val="20"/>
              </w:rPr>
              <w:t>根据</w:t>
            </w:r>
            <w:r>
              <w:rPr>
                <w:rFonts w:ascii="宋体" w:hAnsi="宋体" w:eastAsia="宋体" w:cs="宋体"/>
                <w:spacing w:val="10"/>
                <w:sz w:val="20"/>
                <w:szCs w:val="20"/>
              </w:rPr>
              <w:t>初</w:t>
            </w:r>
            <w:r>
              <w:rPr>
                <w:rFonts w:ascii="宋体" w:hAnsi="宋体" w:eastAsia="宋体" w:cs="宋体"/>
                <w:spacing w:val="7"/>
                <w:sz w:val="20"/>
                <w:szCs w:val="20"/>
              </w:rPr>
              <w:t>设资料，为减小对水生生态环境的影响，以及河道两岸道路和楼盘的影响，设</w:t>
            </w:r>
            <w:r>
              <w:rPr>
                <w:rFonts w:ascii="宋体" w:hAnsi="宋体" w:eastAsia="宋体" w:cs="宋体"/>
                <w:sz w:val="20"/>
                <w:szCs w:val="20"/>
              </w:rPr>
              <w:t xml:space="preserve"> </w:t>
            </w:r>
            <w:r>
              <w:rPr>
                <w:rFonts w:ascii="宋体" w:hAnsi="宋体" w:eastAsia="宋体" w:cs="宋体"/>
                <w:spacing w:val="6"/>
                <w:sz w:val="20"/>
                <w:szCs w:val="20"/>
              </w:rPr>
              <w:t>计采用水下凿岩方式</w:t>
            </w:r>
            <w:r>
              <w:rPr>
                <w:rFonts w:ascii="宋体" w:hAnsi="宋体" w:eastAsia="宋体" w:cs="宋体"/>
                <w:spacing w:val="4"/>
                <w:sz w:val="20"/>
                <w:szCs w:val="20"/>
              </w:rPr>
              <w:t>清</w:t>
            </w:r>
            <w:r>
              <w:rPr>
                <w:rFonts w:ascii="宋体" w:hAnsi="宋体" w:eastAsia="宋体" w:cs="宋体"/>
                <w:spacing w:val="3"/>
                <w:sz w:val="20"/>
                <w:szCs w:val="20"/>
              </w:rPr>
              <w:t>礁。通过将凿岩锤提升一定高度后自由下落，利用其重力冲击礁石，</w:t>
            </w:r>
            <w:r>
              <w:rPr>
                <w:rFonts w:ascii="宋体" w:hAnsi="宋体" w:eastAsia="宋体" w:cs="宋体"/>
                <w:sz w:val="20"/>
                <w:szCs w:val="20"/>
              </w:rPr>
              <w:t xml:space="preserve"> </w:t>
            </w:r>
            <w:r>
              <w:rPr>
                <w:rFonts w:ascii="宋体" w:hAnsi="宋体" w:eastAsia="宋体" w:cs="宋体"/>
                <w:spacing w:val="9"/>
                <w:sz w:val="20"/>
                <w:szCs w:val="20"/>
              </w:rPr>
              <w:t>使礁石破碎、崩裂，以达到清礁的目的</w:t>
            </w:r>
            <w:r>
              <w:rPr>
                <w:rFonts w:ascii="宋体" w:hAnsi="宋体" w:eastAsia="宋体" w:cs="宋体"/>
                <w:spacing w:val="7"/>
                <w:sz w:val="20"/>
                <w:szCs w:val="20"/>
              </w:rPr>
              <w:t>。</w:t>
            </w:r>
          </w:p>
          <w:p>
            <w:pPr>
              <w:spacing w:before="1" w:line="228" w:lineRule="auto"/>
              <w:ind w:left="568"/>
              <w:rPr>
                <w:rFonts w:ascii="宋体" w:hAnsi="宋体" w:eastAsia="宋体" w:cs="宋体"/>
                <w:sz w:val="20"/>
                <w:szCs w:val="20"/>
              </w:rPr>
            </w:pPr>
            <w:r>
              <w:rPr>
                <w:rFonts w:ascii="宋体" w:hAnsi="宋体" w:eastAsia="宋体" w:cs="宋体"/>
                <w:spacing w:val="8"/>
                <w:sz w:val="17"/>
                <w:szCs w:val="17"/>
                <w14:textOutline w14:w="3268" w14:cap="sq" w14:cmpd="sng">
                  <w14:solidFill>
                    <w14:srgbClr w14:val="000000"/>
                  </w14:solidFill>
                  <w14:prstDash w14:val="solid"/>
                  <w14:bevel/>
                </w14:textOutline>
              </w:rPr>
              <w:t>6</w:t>
            </w:r>
            <w:r>
              <w:rPr>
                <w:rFonts w:ascii="宋体" w:hAnsi="宋体" w:eastAsia="宋体" w:cs="宋体"/>
                <w:spacing w:val="7"/>
                <w:sz w:val="17"/>
                <w:szCs w:val="17"/>
              </w:rPr>
              <w:t xml:space="preserve">   </w:t>
            </w:r>
            <w:r>
              <w:rPr>
                <w:rFonts w:ascii="宋体" w:hAnsi="宋体" w:eastAsia="宋体" w:cs="宋体"/>
                <w:spacing w:val="7"/>
                <w:sz w:val="20"/>
                <w:szCs w:val="20"/>
              </w:rPr>
              <w:t>桥墩防船撞设计</w:t>
            </w:r>
          </w:p>
          <w:p>
            <w:pPr>
              <w:spacing w:before="154" w:line="369" w:lineRule="auto"/>
              <w:ind w:left="106" w:right="102" w:firstLine="420"/>
              <w:rPr>
                <w:rFonts w:ascii="宋体" w:hAnsi="宋体" w:eastAsia="宋体" w:cs="宋体"/>
                <w:sz w:val="20"/>
                <w:szCs w:val="20"/>
              </w:rPr>
            </w:pPr>
            <w:r>
              <w:rPr>
                <w:rFonts w:ascii="宋体" w:hAnsi="宋体" w:eastAsia="宋体" w:cs="宋体"/>
                <w:spacing w:val="8"/>
                <w:sz w:val="20"/>
                <w:szCs w:val="20"/>
              </w:rPr>
              <w:t>根据高</w:t>
            </w:r>
            <w:r>
              <w:rPr>
                <w:rFonts w:ascii="宋体" w:hAnsi="宋体" w:eastAsia="宋体" w:cs="宋体"/>
                <w:spacing w:val="7"/>
                <w:sz w:val="20"/>
                <w:szCs w:val="20"/>
              </w:rPr>
              <w:t>家</w:t>
            </w:r>
            <w:r>
              <w:rPr>
                <w:rFonts w:ascii="宋体" w:hAnsi="宋体" w:eastAsia="宋体" w:cs="宋体"/>
                <w:spacing w:val="4"/>
                <w:sz w:val="20"/>
                <w:szCs w:val="20"/>
              </w:rPr>
              <w:t xml:space="preserve">坝大桥航道基本情况，其最高最低水位落差达 </w:t>
            </w:r>
            <w:r>
              <w:rPr>
                <w:rFonts w:ascii="Times New Roman" w:hAnsi="Times New Roman" w:eastAsia="Times New Roman" w:cs="Times New Roman"/>
                <w:spacing w:val="4"/>
                <w:sz w:val="20"/>
                <w:szCs w:val="20"/>
              </w:rPr>
              <w:t>10</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，因此，设计采用浮动式</w:t>
            </w:r>
            <w:r>
              <w:rPr>
                <w:rFonts w:ascii="宋体" w:hAnsi="宋体" w:eastAsia="宋体" w:cs="宋体"/>
                <w:sz w:val="20"/>
                <w:szCs w:val="20"/>
              </w:rPr>
              <w:t xml:space="preserve"> </w:t>
            </w:r>
            <w:r>
              <w:rPr>
                <w:rFonts w:ascii="宋体" w:hAnsi="宋体" w:eastAsia="宋体" w:cs="宋体"/>
                <w:spacing w:val="14"/>
                <w:sz w:val="20"/>
                <w:szCs w:val="20"/>
              </w:rPr>
              <w:t>防船撞</w:t>
            </w:r>
            <w:r>
              <w:rPr>
                <w:rFonts w:ascii="宋体" w:hAnsi="宋体" w:eastAsia="宋体" w:cs="宋体"/>
                <w:spacing w:val="10"/>
                <w:sz w:val="20"/>
                <w:szCs w:val="20"/>
              </w:rPr>
              <w:t>设</w:t>
            </w:r>
            <w:r>
              <w:rPr>
                <w:rFonts w:ascii="宋体" w:hAnsi="宋体" w:eastAsia="宋体" w:cs="宋体"/>
                <w:spacing w:val="7"/>
                <w:sz w:val="20"/>
                <w:szCs w:val="20"/>
              </w:rPr>
              <w:t>施。从防撞设施的抗撞能力和对桥墩有效保护等方面综合考虑，确定本项目桥墩</w:t>
            </w:r>
            <w:r>
              <w:rPr>
                <w:rFonts w:ascii="宋体" w:hAnsi="宋体" w:eastAsia="宋体" w:cs="宋体"/>
                <w:sz w:val="20"/>
                <w:szCs w:val="20"/>
              </w:rPr>
              <w:t xml:space="preserve"> </w:t>
            </w:r>
            <w:r>
              <w:rPr>
                <w:rFonts w:ascii="宋体" w:hAnsi="宋体" w:eastAsia="宋体" w:cs="宋体"/>
                <w:spacing w:val="14"/>
                <w:sz w:val="20"/>
                <w:szCs w:val="20"/>
              </w:rPr>
              <w:t>采用腹</w:t>
            </w:r>
            <w:r>
              <w:rPr>
                <w:rFonts w:ascii="宋体" w:hAnsi="宋体" w:eastAsia="宋体" w:cs="宋体"/>
                <w:spacing w:val="8"/>
                <w:sz w:val="20"/>
                <w:szCs w:val="20"/>
              </w:rPr>
              <w:t>板</w:t>
            </w:r>
            <w:r>
              <w:rPr>
                <w:rFonts w:ascii="宋体" w:hAnsi="宋体" w:eastAsia="宋体" w:cs="宋体"/>
                <w:spacing w:val="7"/>
                <w:sz w:val="20"/>
                <w:szCs w:val="20"/>
              </w:rPr>
              <w:t>增强体耗能夹芯浮动式复合材料防撞设施进行防护。该防撞装置可以随水位变化</w:t>
            </w:r>
          </w:p>
          <w:p>
            <w:pPr>
              <w:spacing w:line="227" w:lineRule="auto"/>
              <w:ind w:left="108"/>
              <w:rPr>
                <w:rFonts w:ascii="宋体" w:hAnsi="宋体" w:eastAsia="宋体" w:cs="宋体"/>
                <w:sz w:val="20"/>
                <w:szCs w:val="20"/>
              </w:rPr>
            </w:pPr>
            <w:r>
              <w:rPr>
                <w:rFonts w:ascii="宋体" w:hAnsi="宋体" w:eastAsia="宋体" w:cs="宋体"/>
                <w:spacing w:val="12"/>
                <w:sz w:val="20"/>
                <w:szCs w:val="20"/>
              </w:rPr>
              <w:t>沿</w:t>
            </w:r>
            <w:r>
              <w:rPr>
                <w:rFonts w:ascii="宋体" w:hAnsi="宋体" w:eastAsia="宋体" w:cs="宋体"/>
                <w:spacing w:val="9"/>
                <w:sz w:val="20"/>
                <w:szCs w:val="20"/>
              </w:rPr>
              <w:t>着桥墩自动升降，在各水位工况下实现桥墩的防护。</w:t>
            </w:r>
          </w:p>
        </w:tc>
      </w:tr>
    </w:tbl>
    <w:p>
      <w:pPr>
        <w:spacing w:line="209" w:lineRule="exact"/>
        <w:rPr>
          <w:rFonts w:ascii="Arial"/>
          <w:sz w:val="18"/>
        </w:rPr>
      </w:pPr>
    </w:p>
    <w:p>
      <w:pPr>
        <w:sectPr>
          <w:footerReference r:id="rId39" w:type="default"/>
          <w:pgSz w:w="11906" w:h="16839"/>
          <w:pgMar w:top="400" w:right="1487" w:bottom="1475" w:left="1486" w:header="0" w:footer="1315" w:gutter="0"/>
          <w:cols w:space="720" w:num="1"/>
        </w:sectPr>
      </w:pPr>
    </w:p>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8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19" w:hRule="atLeast"/>
        </w:trPr>
        <w:tc>
          <w:tcPr>
            <w:tcW w:w="600" w:type="dxa"/>
            <w:tcBorders>
              <w:left w:val="single" w:color="00000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28" w:lineRule="auto"/>
              <w:ind w:left="91"/>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p>
            <w:pPr>
              <w:spacing w:before="26" w:line="229" w:lineRule="auto"/>
              <w:ind w:left="9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组</w:t>
            </w:r>
            <w:r>
              <w:rPr>
                <w:rFonts w:ascii="宋体" w:hAnsi="宋体" w:eastAsia="宋体" w:cs="宋体"/>
                <w:spacing w:val="4"/>
                <w:sz w:val="20"/>
                <w:szCs w:val="20"/>
                <w14:textOutline w14:w="3795" w14:cap="sq" w14:cmpd="sng">
                  <w14:solidFill>
                    <w14:srgbClr w14:val="000000"/>
                  </w14:solidFill>
                  <w14:prstDash w14:val="solid"/>
                  <w14:bevel/>
                </w14:textOutline>
              </w:rPr>
              <w:t>成</w:t>
            </w:r>
          </w:p>
          <w:p>
            <w:pPr>
              <w:spacing w:before="22" w:line="230" w:lineRule="auto"/>
              <w:ind w:left="8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及规</w:t>
            </w:r>
          </w:p>
          <w:p>
            <w:pPr>
              <w:spacing w:before="24" w:line="228" w:lineRule="auto"/>
              <w:ind w:left="190"/>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模</w:t>
            </w:r>
          </w:p>
        </w:tc>
        <w:tc>
          <w:tcPr>
            <w:tcW w:w="8317" w:type="dxa"/>
            <w:tcBorders>
              <w:right w:val="single" w:color="000000" w:sz="6" w:space="0"/>
            </w:tcBorders>
            <w:vAlign w:val="top"/>
          </w:tcPr>
          <w:p>
            <w:pPr>
              <w:spacing w:before="146" w:line="369" w:lineRule="auto"/>
              <w:ind w:left="107" w:right="102" w:firstLine="425"/>
              <w:rPr>
                <w:rFonts w:ascii="宋体" w:hAnsi="宋体" w:eastAsia="宋体" w:cs="宋体"/>
                <w:sz w:val="20"/>
                <w:szCs w:val="20"/>
              </w:rPr>
            </w:pPr>
            <w:r>
              <w:rPr>
                <w:rFonts w:ascii="宋体" w:hAnsi="宋体" w:eastAsia="宋体" w:cs="宋体"/>
                <w:spacing w:val="14"/>
                <w:sz w:val="20"/>
                <w:szCs w:val="20"/>
              </w:rPr>
              <w:t>复</w:t>
            </w:r>
            <w:r>
              <w:rPr>
                <w:rFonts w:ascii="宋体" w:hAnsi="宋体" w:eastAsia="宋体" w:cs="宋体"/>
                <w:spacing w:val="9"/>
                <w:sz w:val="20"/>
                <w:szCs w:val="20"/>
              </w:rPr>
              <w:t>合</w:t>
            </w:r>
            <w:r>
              <w:rPr>
                <w:rFonts w:ascii="宋体" w:hAnsi="宋体" w:eastAsia="宋体" w:cs="宋体"/>
                <w:spacing w:val="7"/>
                <w:sz w:val="20"/>
                <w:szCs w:val="20"/>
              </w:rPr>
              <w:t>材料防撞设施是一种缓冲吸能型腹板增强复合材料防撞设施，其内部结构由复合</w:t>
            </w:r>
            <w:r>
              <w:rPr>
                <w:rFonts w:ascii="宋体" w:hAnsi="宋体" w:eastAsia="宋体" w:cs="宋体"/>
                <w:sz w:val="20"/>
                <w:szCs w:val="20"/>
              </w:rPr>
              <w:t xml:space="preserve"> </w:t>
            </w:r>
            <w:r>
              <w:rPr>
                <w:rFonts w:ascii="宋体" w:hAnsi="宋体" w:eastAsia="宋体" w:cs="宋体"/>
                <w:spacing w:val="14"/>
                <w:sz w:val="20"/>
                <w:szCs w:val="20"/>
              </w:rPr>
              <w:t>材料面</w:t>
            </w:r>
            <w:r>
              <w:rPr>
                <w:rFonts w:ascii="宋体" w:hAnsi="宋体" w:eastAsia="宋体" w:cs="宋体"/>
                <w:spacing w:val="9"/>
                <w:sz w:val="20"/>
                <w:szCs w:val="20"/>
              </w:rPr>
              <w:t>层</w:t>
            </w:r>
            <w:r>
              <w:rPr>
                <w:rFonts w:ascii="宋体" w:hAnsi="宋体" w:eastAsia="宋体" w:cs="宋体"/>
                <w:spacing w:val="7"/>
                <w:sz w:val="20"/>
                <w:szCs w:val="20"/>
              </w:rPr>
              <w:t>、腹板增强体以及耗能芯材组成。当船舶撞击桥墩时，复合材料防撞设施外壳箱</w:t>
            </w:r>
            <w:r>
              <w:rPr>
                <w:rFonts w:ascii="宋体" w:hAnsi="宋体" w:eastAsia="宋体" w:cs="宋体"/>
                <w:sz w:val="20"/>
                <w:szCs w:val="20"/>
              </w:rPr>
              <w:t xml:space="preserve"> </w:t>
            </w:r>
            <w:r>
              <w:rPr>
                <w:rFonts w:ascii="宋体" w:hAnsi="宋体" w:eastAsia="宋体" w:cs="宋体"/>
                <w:spacing w:val="14"/>
                <w:sz w:val="20"/>
                <w:szCs w:val="20"/>
              </w:rPr>
              <w:t>体及其</w:t>
            </w:r>
            <w:r>
              <w:rPr>
                <w:rFonts w:ascii="宋体" w:hAnsi="宋体" w:eastAsia="宋体" w:cs="宋体"/>
                <w:spacing w:val="7"/>
                <w:sz w:val="20"/>
                <w:szCs w:val="20"/>
              </w:rPr>
              <w:t>内部填充的耗能材料在撞击力作用下压缩变形，实现缓冲吸能。撞击过程中，复合</w:t>
            </w:r>
            <w:r>
              <w:rPr>
                <w:rFonts w:ascii="宋体" w:hAnsi="宋体" w:eastAsia="宋体" w:cs="宋体"/>
                <w:sz w:val="20"/>
                <w:szCs w:val="20"/>
              </w:rPr>
              <w:t xml:space="preserve"> </w:t>
            </w:r>
            <w:r>
              <w:rPr>
                <w:rFonts w:ascii="宋体" w:hAnsi="宋体" w:eastAsia="宋体" w:cs="宋体"/>
                <w:spacing w:val="14"/>
                <w:sz w:val="20"/>
                <w:szCs w:val="20"/>
              </w:rPr>
              <w:t>材料防</w:t>
            </w:r>
            <w:r>
              <w:rPr>
                <w:rFonts w:ascii="宋体" w:hAnsi="宋体" w:eastAsia="宋体" w:cs="宋体"/>
                <w:spacing w:val="7"/>
                <w:sz w:val="20"/>
                <w:szCs w:val="20"/>
              </w:rPr>
              <w:t>撞设施吸收了撞击能量，减少了船舶和桥墩在撞击过程的能量吸收，减小了桥梁和</w:t>
            </w:r>
          </w:p>
          <w:p>
            <w:pPr>
              <w:spacing w:line="227" w:lineRule="auto"/>
              <w:ind w:left="107"/>
              <w:rPr>
                <w:rFonts w:ascii="宋体" w:hAnsi="宋体" w:eastAsia="宋体" w:cs="宋体"/>
                <w:sz w:val="20"/>
                <w:szCs w:val="20"/>
              </w:rPr>
            </w:pPr>
            <w:r>
              <w:rPr>
                <w:rFonts w:ascii="宋体" w:hAnsi="宋体" w:eastAsia="宋体" w:cs="宋体"/>
                <w:spacing w:val="16"/>
                <w:sz w:val="20"/>
                <w:szCs w:val="20"/>
              </w:rPr>
              <w:t>船</w:t>
            </w:r>
            <w:r>
              <w:rPr>
                <w:rFonts w:ascii="宋体" w:hAnsi="宋体" w:eastAsia="宋体" w:cs="宋体"/>
                <w:spacing w:val="9"/>
                <w:sz w:val="20"/>
                <w:szCs w:val="20"/>
              </w:rPr>
              <w:t>舶</w:t>
            </w:r>
            <w:r>
              <w:rPr>
                <w:rFonts w:ascii="宋体" w:hAnsi="宋体" w:eastAsia="宋体" w:cs="宋体"/>
                <w:spacing w:val="8"/>
                <w:sz w:val="20"/>
                <w:szCs w:val="20"/>
              </w:rPr>
              <w:t>的破坏，同时降低了撞击力。</w:t>
            </w:r>
          </w:p>
          <w:p>
            <w:pPr>
              <w:spacing w:line="15" w:lineRule="exact"/>
            </w:pPr>
          </w:p>
          <w:tbl>
            <w:tblPr>
              <w:tblStyle w:val="4"/>
              <w:tblW w:w="3402" w:type="dxa"/>
              <w:tblInd w:w="244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3402"/>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2611" w:hRule="atLeast"/>
              </w:trPr>
              <w:tc>
                <w:tcPr>
                  <w:tcW w:w="3402" w:type="dxa"/>
                  <w:vAlign w:val="top"/>
                </w:tcPr>
                <w:p>
                  <w:pPr>
                    <w:spacing w:line="2610" w:lineRule="exact"/>
                    <w:textAlignment w:val="center"/>
                  </w:pPr>
                  <w:r>
                    <w:drawing>
                      <wp:inline distT="0" distB="0" distL="0" distR="0">
                        <wp:extent cx="2147570" cy="1657350"/>
                        <wp:effectExtent l="0" t="0" r="0" b="0"/>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182"/>
                                <a:stretch>
                                  <a:fillRect/>
                                </a:stretch>
                              </pic:blipFill>
                              <pic:spPr>
                                <a:xfrm>
                                  <a:off x="0" y="0"/>
                                  <a:ext cx="2147570" cy="1657984"/>
                                </a:xfrm>
                                <a:prstGeom prst="rect">
                                  <a:avLst/>
                                </a:prstGeom>
                              </pic:spPr>
                            </pic:pic>
                          </a:graphicData>
                        </a:graphic>
                      </wp:inline>
                    </w:drawing>
                  </w:r>
                </w:p>
              </w:tc>
            </w:tr>
          </w:tbl>
          <w:p>
            <w:pPr>
              <w:spacing w:before="46" w:line="231" w:lineRule="auto"/>
              <w:ind w:left="2471"/>
              <w:rPr>
                <w:rFonts w:ascii="黑体" w:hAnsi="黑体" w:eastAsia="黑体" w:cs="黑体"/>
                <w:sz w:val="19"/>
                <w:szCs w:val="19"/>
              </w:rPr>
            </w:pPr>
            <w:r>
              <w:rPr>
                <w:rFonts w:ascii="黑体" w:hAnsi="黑体" w:eastAsia="黑体" w:cs="黑体"/>
                <w:spacing w:val="12"/>
                <w:sz w:val="19"/>
                <w:szCs w:val="19"/>
              </w:rPr>
              <w:t>图</w:t>
            </w:r>
            <w:r>
              <w:rPr>
                <w:rFonts w:ascii="Times New Roman" w:hAnsi="Times New Roman" w:eastAsia="Times New Roman" w:cs="Times New Roman"/>
                <w:spacing w:val="8"/>
                <w:sz w:val="19"/>
                <w:szCs w:val="19"/>
              </w:rPr>
              <w:t>24</w:t>
            </w:r>
            <w:r>
              <w:rPr>
                <w:rFonts w:ascii="黑体" w:hAnsi="黑体" w:eastAsia="黑体" w:cs="黑体"/>
                <w:spacing w:val="8"/>
                <w:sz w:val="19"/>
                <w:szCs w:val="19"/>
              </w:rPr>
              <w:t>：浮动式复合材料防撞设施结构图</w:t>
            </w:r>
          </w:p>
          <w:p>
            <w:pPr>
              <w:spacing w:before="23" w:line="228" w:lineRule="auto"/>
              <w:ind w:left="537"/>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8"/>
                <w:sz w:val="20"/>
                <w:szCs w:val="20"/>
              </w:rPr>
              <w:t>8</w:t>
            </w: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宋体" w:hAnsi="宋体" w:eastAsia="宋体" w:cs="宋体"/>
                <w:spacing w:val="18"/>
                <w:sz w:val="20"/>
                <w:szCs w:val="20"/>
              </w:rPr>
              <w:t xml:space="preserve"> </w:t>
            </w:r>
            <w:r>
              <w:rPr>
                <w:rFonts w:ascii="宋体" w:hAnsi="宋体" w:eastAsia="宋体" w:cs="宋体"/>
                <w:spacing w:val="18"/>
                <w:sz w:val="20"/>
                <w:szCs w:val="20"/>
                <w14:textOutline w14:w="3795" w14:cap="sq" w14:cmpd="sng">
                  <w14:solidFill>
                    <w14:srgbClr w14:val="000000"/>
                  </w14:solidFill>
                  <w14:prstDash w14:val="solid"/>
                  <w14:bevel/>
                </w14:textOutline>
              </w:rPr>
              <w:t>交通工程</w:t>
            </w:r>
          </w:p>
          <w:p>
            <w:pPr>
              <w:spacing w:before="131" w:line="370" w:lineRule="auto"/>
              <w:ind w:left="111" w:right="104" w:firstLine="420"/>
              <w:rPr>
                <w:rFonts w:ascii="宋体" w:hAnsi="宋体" w:eastAsia="宋体" w:cs="宋体"/>
                <w:sz w:val="20"/>
                <w:szCs w:val="20"/>
              </w:rPr>
            </w:pPr>
            <w:r>
              <w:rPr>
                <w:rFonts w:ascii="宋体" w:hAnsi="宋体" w:eastAsia="宋体" w:cs="宋体"/>
                <w:spacing w:val="14"/>
                <w:sz w:val="20"/>
                <w:szCs w:val="20"/>
              </w:rPr>
              <w:t>交</w:t>
            </w:r>
            <w:r>
              <w:rPr>
                <w:rFonts w:ascii="宋体" w:hAnsi="宋体" w:eastAsia="宋体" w:cs="宋体"/>
                <w:spacing w:val="11"/>
                <w:sz w:val="20"/>
                <w:szCs w:val="20"/>
              </w:rPr>
              <w:t>通</w:t>
            </w:r>
            <w:r>
              <w:rPr>
                <w:rFonts w:ascii="宋体" w:hAnsi="宋体" w:eastAsia="宋体" w:cs="宋体"/>
                <w:spacing w:val="7"/>
                <w:sz w:val="20"/>
                <w:szCs w:val="20"/>
              </w:rPr>
              <w:t>工程的主要内容为与工程相关的交通标志标线、交叉口信号设施设计、电子警察</w:t>
            </w:r>
            <w:r>
              <w:rPr>
                <w:rFonts w:ascii="宋体" w:hAnsi="宋体" w:eastAsia="宋体" w:cs="宋体"/>
                <w:sz w:val="20"/>
                <w:szCs w:val="20"/>
              </w:rPr>
              <w:t xml:space="preserve"> </w:t>
            </w:r>
            <w:r>
              <w:rPr>
                <w:rFonts w:ascii="宋体" w:hAnsi="宋体" w:eastAsia="宋体" w:cs="宋体"/>
                <w:spacing w:val="5"/>
                <w:sz w:val="20"/>
                <w:szCs w:val="20"/>
              </w:rPr>
              <w:t>设</w:t>
            </w:r>
            <w:r>
              <w:rPr>
                <w:rFonts w:ascii="宋体" w:hAnsi="宋体" w:eastAsia="宋体" w:cs="宋体"/>
                <w:spacing w:val="4"/>
                <w:sz w:val="20"/>
                <w:szCs w:val="20"/>
              </w:rPr>
              <w:t>计等。</w:t>
            </w:r>
          </w:p>
          <w:p>
            <w:pPr>
              <w:tabs>
                <w:tab w:val="left" w:pos="217"/>
                <w:tab w:val="left" w:pos="599"/>
              </w:tabs>
              <w:spacing w:before="1" w:line="369" w:lineRule="auto"/>
              <w:ind w:left="107" w:right="11" w:firstLine="411"/>
              <w:rPr>
                <w:rFonts w:ascii="宋体" w:hAnsi="宋体" w:eastAsia="宋体" w:cs="宋体"/>
                <w:sz w:val="20"/>
                <w:szCs w:val="20"/>
              </w:rPr>
            </w:pPr>
            <w:r>
              <w:rPr>
                <w:rFonts w:ascii="宋体" w:hAnsi="宋体" w:eastAsia="宋体" w:cs="宋体"/>
                <w:sz w:val="17"/>
                <w:szCs w:val="17"/>
              </w:rPr>
              <w:tab/>
            </w:r>
            <w:r>
              <w:rPr>
                <w:rFonts w:ascii="宋体" w:hAnsi="宋体" w:eastAsia="宋体" w:cs="宋体"/>
                <w:spacing w:val="5"/>
                <w:sz w:val="17"/>
                <w:szCs w:val="17"/>
              </w:rPr>
              <w:t xml:space="preserve">1   </w:t>
            </w:r>
            <w:r>
              <w:rPr>
                <w:rFonts w:ascii="宋体" w:hAnsi="宋体" w:eastAsia="宋体" w:cs="宋体"/>
                <w:spacing w:val="5"/>
                <w:sz w:val="20"/>
                <w:szCs w:val="20"/>
              </w:rPr>
              <w:t>交通标志：严格依照《道路交通标志和标线》  (</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5768-2009</w:t>
            </w:r>
            <w:r>
              <w:rPr>
                <w:rFonts w:ascii="宋体" w:hAnsi="宋体" w:eastAsia="宋体" w:cs="宋体"/>
                <w:spacing w:val="5"/>
                <w:sz w:val="20"/>
                <w:szCs w:val="20"/>
              </w:rPr>
              <w:t>) 、《城市道路</w:t>
            </w:r>
            <w:r>
              <w:rPr>
                <w:rFonts w:ascii="宋体" w:hAnsi="宋体" w:eastAsia="宋体" w:cs="宋体"/>
                <w:spacing w:val="1"/>
                <w:sz w:val="20"/>
                <w:szCs w:val="20"/>
              </w:rPr>
              <w:t>交</w:t>
            </w:r>
            <w:r>
              <w:rPr>
                <w:rFonts w:ascii="宋体" w:hAnsi="宋体" w:eastAsia="宋体" w:cs="宋体"/>
                <w:sz w:val="20"/>
                <w:szCs w:val="20"/>
              </w:rPr>
              <w:t xml:space="preserve"> </w:t>
            </w:r>
            <w:r>
              <w:rPr>
                <w:rFonts w:ascii="宋体" w:hAnsi="宋体" w:eastAsia="宋体" w:cs="宋体"/>
                <w:spacing w:val="10"/>
                <w:sz w:val="20"/>
                <w:szCs w:val="20"/>
              </w:rPr>
              <w:t>通标</w:t>
            </w:r>
            <w:r>
              <w:rPr>
                <w:rFonts w:ascii="宋体" w:hAnsi="宋体" w:eastAsia="宋体" w:cs="宋体"/>
                <w:spacing w:val="7"/>
                <w:sz w:val="20"/>
                <w:szCs w:val="20"/>
              </w:rPr>
              <w:t>志</w:t>
            </w:r>
            <w:r>
              <w:rPr>
                <w:rFonts w:ascii="宋体" w:hAnsi="宋体" w:eastAsia="宋体" w:cs="宋体"/>
                <w:spacing w:val="5"/>
                <w:sz w:val="20"/>
                <w:szCs w:val="20"/>
              </w:rPr>
              <w:t>和标线设置规范》  (</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51038-2015</w:t>
            </w:r>
            <w:r>
              <w:rPr>
                <w:rFonts w:ascii="宋体" w:hAnsi="宋体" w:eastAsia="宋体" w:cs="宋体"/>
                <w:spacing w:val="5"/>
                <w:sz w:val="20"/>
                <w:szCs w:val="20"/>
              </w:rPr>
              <w:t>) 、《重庆市城市道路交通管理设施设置规范》</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4"/>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4"/>
                <w:sz w:val="20"/>
                <w:szCs w:val="20"/>
              </w:rPr>
              <w:t>5</w:t>
            </w:r>
            <w:r>
              <w:rPr>
                <w:rFonts w:ascii="Times New Roman" w:hAnsi="Times New Roman" w:eastAsia="Times New Roman" w:cs="Times New Roman"/>
                <w:spacing w:val="3"/>
                <w:sz w:val="20"/>
                <w:szCs w:val="20"/>
              </w:rPr>
              <w:t>0</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T</w:t>
            </w:r>
            <w:r>
              <w:rPr>
                <w:rFonts w:ascii="Times New Roman" w:hAnsi="Times New Roman" w:eastAsia="Times New Roman" w:cs="Times New Roman"/>
                <w:spacing w:val="2"/>
                <w:sz w:val="20"/>
                <w:szCs w:val="20"/>
              </w:rPr>
              <w:t xml:space="preserve"> 548. 1-2014</w:t>
            </w:r>
            <w:r>
              <w:rPr>
                <w:rFonts w:ascii="宋体" w:hAnsi="宋体" w:eastAsia="宋体" w:cs="宋体"/>
                <w:spacing w:val="2"/>
                <w:sz w:val="20"/>
                <w:szCs w:val="20"/>
              </w:rPr>
              <w:t>) 设置。</w:t>
            </w:r>
          </w:p>
          <w:p>
            <w:pPr>
              <w:spacing w:line="228" w:lineRule="auto"/>
              <w:ind w:left="588"/>
              <w:rPr>
                <w:rFonts w:ascii="宋体" w:hAnsi="宋体" w:eastAsia="宋体" w:cs="宋体"/>
                <w:sz w:val="20"/>
                <w:szCs w:val="20"/>
              </w:rPr>
            </w:pPr>
            <w:r>
              <w:rPr>
                <w:rFonts w:ascii="宋体" w:hAnsi="宋体" w:eastAsia="宋体" w:cs="宋体"/>
                <w:spacing w:val="16"/>
                <w:sz w:val="17"/>
                <w:szCs w:val="17"/>
              </w:rPr>
              <w:t xml:space="preserve">2 </w:t>
            </w:r>
            <w:r>
              <w:rPr>
                <w:rFonts w:ascii="宋体" w:hAnsi="宋体" w:eastAsia="宋体" w:cs="宋体"/>
                <w:spacing w:val="8"/>
                <w:sz w:val="17"/>
                <w:szCs w:val="17"/>
              </w:rPr>
              <w:t xml:space="preserve">  </w:t>
            </w:r>
            <w:r>
              <w:rPr>
                <w:rFonts w:ascii="宋体" w:hAnsi="宋体" w:eastAsia="宋体" w:cs="宋体"/>
                <w:spacing w:val="8"/>
                <w:sz w:val="20"/>
                <w:szCs w:val="20"/>
              </w:rPr>
              <w:t>交通标线：在机动车道两侧路缘带内侧设置车道边缘线。</w:t>
            </w:r>
          </w:p>
          <w:p>
            <w:pPr>
              <w:spacing w:before="151" w:line="370" w:lineRule="auto"/>
              <w:ind w:left="111" w:right="102" w:firstLine="478"/>
              <w:rPr>
                <w:rFonts w:ascii="宋体" w:hAnsi="宋体" w:eastAsia="宋体" w:cs="宋体"/>
                <w:sz w:val="20"/>
                <w:szCs w:val="20"/>
              </w:rPr>
            </w:pPr>
            <w:r>
              <w:rPr>
                <w:rFonts w:ascii="宋体" w:hAnsi="宋体" w:eastAsia="宋体" w:cs="宋体"/>
                <w:spacing w:val="8"/>
                <w:sz w:val="17"/>
                <w:szCs w:val="17"/>
              </w:rPr>
              <w:t>3</w:t>
            </w:r>
            <w:r>
              <w:rPr>
                <w:rFonts w:ascii="宋体" w:hAnsi="宋体" w:eastAsia="宋体" w:cs="宋体"/>
                <w:spacing w:val="7"/>
                <w:sz w:val="17"/>
                <w:szCs w:val="17"/>
              </w:rPr>
              <w:t xml:space="preserve">   </w:t>
            </w:r>
            <w:r>
              <w:rPr>
                <w:rFonts w:ascii="宋体" w:hAnsi="宋体" w:eastAsia="宋体" w:cs="宋体"/>
                <w:spacing w:val="7"/>
                <w:sz w:val="20"/>
                <w:szCs w:val="20"/>
              </w:rPr>
              <w:t>交通信号灯：根据交通组织的需求，本次设计在滨河路和高家坝大桥交叉口采用</w:t>
            </w:r>
            <w:r>
              <w:rPr>
                <w:rFonts w:ascii="宋体" w:hAnsi="宋体" w:eastAsia="宋体" w:cs="宋体"/>
                <w:sz w:val="20"/>
                <w:szCs w:val="20"/>
              </w:rPr>
              <w:t xml:space="preserve"> </w:t>
            </w:r>
            <w:r>
              <w:rPr>
                <w:rFonts w:ascii="宋体" w:hAnsi="宋体" w:eastAsia="宋体" w:cs="宋体"/>
                <w:spacing w:val="9"/>
                <w:sz w:val="20"/>
                <w:szCs w:val="20"/>
              </w:rPr>
              <w:t>交通信号灯控制。分为机动车信号灯和行人信号灯两种。</w:t>
            </w:r>
          </w:p>
          <w:p>
            <w:pPr>
              <w:spacing w:before="1" w:line="369" w:lineRule="auto"/>
              <w:ind w:left="107" w:right="102" w:firstLine="478"/>
              <w:rPr>
                <w:rFonts w:ascii="宋体" w:hAnsi="宋体" w:eastAsia="宋体" w:cs="宋体"/>
                <w:sz w:val="20"/>
                <w:szCs w:val="20"/>
              </w:rPr>
            </w:pPr>
            <w:r>
              <w:rPr>
                <w:rFonts w:ascii="宋体" w:hAnsi="宋体" w:eastAsia="宋体" w:cs="宋体"/>
                <w:spacing w:val="7"/>
                <w:sz w:val="17"/>
                <w:szCs w:val="17"/>
              </w:rPr>
              <w:t xml:space="preserve">4   </w:t>
            </w:r>
            <w:r>
              <w:rPr>
                <w:rFonts w:ascii="宋体" w:hAnsi="宋体" w:eastAsia="宋体" w:cs="宋体"/>
                <w:spacing w:val="7"/>
                <w:sz w:val="20"/>
                <w:szCs w:val="20"/>
              </w:rPr>
              <w:t xml:space="preserve">高清视频电子警察：系统采用 </w:t>
            </w:r>
            <w:r>
              <w:rPr>
                <w:rFonts w:ascii="Times New Roman" w:hAnsi="Times New Roman" w:eastAsia="Times New Roman" w:cs="Times New Roman"/>
                <w:sz w:val="20"/>
                <w:szCs w:val="20"/>
              </w:rPr>
              <w:t>CMOS</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高清抓拍摄像机抓拍违章图像， 自动识</w:t>
            </w:r>
            <w:r>
              <w:rPr>
                <w:rFonts w:ascii="宋体" w:hAnsi="宋体" w:eastAsia="宋体" w:cs="宋体"/>
                <w:spacing w:val="2"/>
                <w:sz w:val="20"/>
                <w:szCs w:val="20"/>
              </w:rPr>
              <w:t>别</w:t>
            </w:r>
            <w:r>
              <w:rPr>
                <w:rFonts w:ascii="宋体" w:hAnsi="宋体" w:eastAsia="宋体" w:cs="宋体"/>
                <w:sz w:val="20"/>
                <w:szCs w:val="20"/>
              </w:rPr>
              <w:t xml:space="preserve"> </w:t>
            </w:r>
            <w:r>
              <w:rPr>
                <w:rFonts w:ascii="宋体" w:hAnsi="宋体" w:eastAsia="宋体" w:cs="宋体"/>
                <w:spacing w:val="14"/>
                <w:sz w:val="20"/>
                <w:szCs w:val="20"/>
              </w:rPr>
              <w:t>车辆闯</w:t>
            </w:r>
            <w:r>
              <w:rPr>
                <w:rFonts w:ascii="宋体" w:hAnsi="宋体" w:eastAsia="宋体" w:cs="宋体"/>
                <w:spacing w:val="7"/>
                <w:sz w:val="20"/>
                <w:szCs w:val="20"/>
              </w:rPr>
              <w:t>红灯、压线行驶、逆行和借道等违规行为。也可以采集路口的交通信息，包括车流</w:t>
            </w:r>
            <w:r>
              <w:rPr>
                <w:rFonts w:ascii="宋体" w:hAnsi="宋体" w:eastAsia="宋体" w:cs="宋体"/>
                <w:sz w:val="20"/>
                <w:szCs w:val="20"/>
              </w:rPr>
              <w:t xml:space="preserve"> </w:t>
            </w:r>
            <w:r>
              <w:rPr>
                <w:rFonts w:ascii="宋体" w:hAnsi="宋体" w:eastAsia="宋体" w:cs="宋体"/>
                <w:spacing w:val="10"/>
                <w:sz w:val="20"/>
                <w:szCs w:val="20"/>
              </w:rPr>
              <w:t>量、平</w:t>
            </w:r>
            <w:r>
              <w:rPr>
                <w:rFonts w:ascii="宋体" w:hAnsi="宋体" w:eastAsia="宋体" w:cs="宋体"/>
                <w:spacing w:val="9"/>
                <w:sz w:val="20"/>
                <w:szCs w:val="20"/>
              </w:rPr>
              <w:t>均</w:t>
            </w:r>
            <w:r>
              <w:rPr>
                <w:rFonts w:ascii="宋体" w:hAnsi="宋体" w:eastAsia="宋体" w:cs="宋体"/>
                <w:spacing w:val="5"/>
                <w:sz w:val="20"/>
                <w:szCs w:val="20"/>
              </w:rPr>
              <w:t>车速、平均车距、 占有率等，具备流量检测和统计功能。</w:t>
            </w:r>
          </w:p>
          <w:p>
            <w:pPr>
              <w:spacing w:before="1" w:line="369" w:lineRule="auto"/>
              <w:ind w:left="108" w:right="69" w:firstLine="481"/>
              <w:rPr>
                <w:rFonts w:ascii="宋体" w:hAnsi="宋体" w:eastAsia="宋体" w:cs="宋体"/>
                <w:sz w:val="20"/>
                <w:szCs w:val="20"/>
              </w:rPr>
            </w:pPr>
            <w:r>
              <w:rPr>
                <w:rFonts w:ascii="宋体" w:hAnsi="宋体" w:eastAsia="宋体" w:cs="宋体"/>
                <w:spacing w:val="8"/>
                <w:sz w:val="17"/>
                <w:szCs w:val="17"/>
              </w:rPr>
              <w:t xml:space="preserve">5   </w:t>
            </w:r>
            <w:r>
              <w:rPr>
                <w:rFonts w:ascii="宋体" w:hAnsi="宋体" w:eastAsia="宋体" w:cs="宋体"/>
                <w:spacing w:val="8"/>
                <w:sz w:val="20"/>
                <w:szCs w:val="20"/>
              </w:rPr>
              <w:t>附属结构：包括在桥上双黄线中间设置分隔栏杆。在桥梁的两侧设置防落物网</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14"/>
                <w:sz w:val="20"/>
                <w:szCs w:val="20"/>
              </w:rPr>
              <w:t>防止</w:t>
            </w:r>
            <w:r>
              <w:rPr>
                <w:rFonts w:ascii="宋体" w:hAnsi="宋体" w:eastAsia="宋体" w:cs="宋体"/>
                <w:spacing w:val="13"/>
                <w:sz w:val="20"/>
                <w:szCs w:val="20"/>
              </w:rPr>
              <w:t>主</w:t>
            </w:r>
            <w:r>
              <w:rPr>
                <w:rFonts w:ascii="宋体" w:hAnsi="宋体" w:eastAsia="宋体" w:cs="宋体"/>
                <w:spacing w:val="7"/>
                <w:sz w:val="20"/>
                <w:szCs w:val="20"/>
              </w:rPr>
              <w:t>线桥上落物对下方水体造成污染。防抛网采用有角钢边框的钢板网结构，钢板网的</w:t>
            </w:r>
            <w:r>
              <w:rPr>
                <w:rFonts w:ascii="宋体" w:hAnsi="宋体" w:eastAsia="宋体" w:cs="宋体"/>
                <w:sz w:val="20"/>
                <w:szCs w:val="20"/>
              </w:rPr>
              <w:t xml:space="preserve"> </w:t>
            </w:r>
            <w:r>
              <w:rPr>
                <w:rFonts w:ascii="宋体" w:hAnsi="宋体" w:eastAsia="宋体" w:cs="宋体"/>
                <w:spacing w:val="16"/>
                <w:sz w:val="20"/>
                <w:szCs w:val="20"/>
              </w:rPr>
              <w:t>技</w:t>
            </w:r>
            <w:r>
              <w:rPr>
                <w:rFonts w:ascii="宋体" w:hAnsi="宋体" w:eastAsia="宋体" w:cs="宋体"/>
                <w:spacing w:val="9"/>
                <w:sz w:val="20"/>
                <w:szCs w:val="20"/>
              </w:rPr>
              <w:t>术条件应符合《隔离栅技术条件》中有关钢板网的所有规定。</w:t>
            </w:r>
          </w:p>
          <w:p>
            <w:pPr>
              <w:spacing w:before="1" w:line="227" w:lineRule="auto"/>
              <w:ind w:left="537"/>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8"/>
                <w:sz w:val="20"/>
                <w:szCs w:val="20"/>
              </w:rPr>
              <w:t>9</w:t>
            </w: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宋体" w:hAnsi="宋体" w:eastAsia="宋体" w:cs="宋体"/>
                <w:spacing w:val="18"/>
                <w:sz w:val="20"/>
                <w:szCs w:val="20"/>
              </w:rPr>
              <w:t xml:space="preserve"> </w:t>
            </w:r>
            <w:r>
              <w:rPr>
                <w:rFonts w:ascii="宋体" w:hAnsi="宋体" w:eastAsia="宋体" w:cs="宋体"/>
                <w:spacing w:val="18"/>
                <w:sz w:val="20"/>
                <w:szCs w:val="20"/>
                <w14:textOutline w14:w="3795" w14:cap="sq" w14:cmpd="sng">
                  <w14:solidFill>
                    <w14:srgbClr w14:val="000000"/>
                  </w14:solidFill>
                  <w14:prstDash w14:val="solid"/>
                  <w14:bevel/>
                </w14:textOutline>
              </w:rPr>
              <w:t>管线工程</w:t>
            </w:r>
          </w:p>
          <w:p>
            <w:pPr>
              <w:tabs>
                <w:tab w:val="left" w:pos="599"/>
              </w:tabs>
              <w:spacing w:before="151" w:line="370" w:lineRule="auto"/>
              <w:ind w:left="519" w:right="264" w:firstLine="9"/>
              <w:rPr>
                <w:rFonts w:ascii="宋体" w:hAnsi="宋体" w:eastAsia="宋体" w:cs="宋体"/>
                <w:sz w:val="20"/>
                <w:szCs w:val="20"/>
              </w:rPr>
            </w:pPr>
            <w:r>
              <w:rPr>
                <w:rFonts w:ascii="宋体" w:hAnsi="宋体" w:eastAsia="宋体" w:cs="宋体"/>
                <w:spacing w:val="16"/>
                <w:sz w:val="20"/>
                <w:szCs w:val="20"/>
              </w:rPr>
              <w:t>本工程</w:t>
            </w:r>
            <w:r>
              <w:rPr>
                <w:rFonts w:ascii="宋体" w:hAnsi="宋体" w:eastAsia="宋体" w:cs="宋体"/>
                <w:spacing w:val="9"/>
                <w:sz w:val="20"/>
                <w:szCs w:val="20"/>
              </w:rPr>
              <w:t>管</w:t>
            </w:r>
            <w:r>
              <w:rPr>
                <w:rFonts w:ascii="宋体" w:hAnsi="宋体" w:eastAsia="宋体" w:cs="宋体"/>
                <w:spacing w:val="8"/>
                <w:sz w:val="20"/>
                <w:szCs w:val="20"/>
              </w:rPr>
              <w:t>线综合设计，包括新建雨水管线及污水管线。设计预留电力、给水管位。</w:t>
            </w:r>
            <w:r>
              <w:rPr>
                <w:rFonts w:ascii="宋体" w:hAnsi="宋体" w:eastAsia="宋体" w:cs="宋体"/>
                <w:sz w:val="20"/>
                <w:szCs w:val="20"/>
              </w:rPr>
              <w:t xml:space="preserve"> </w:t>
            </w:r>
            <w:r>
              <w:rPr>
                <w:rFonts w:ascii="宋体" w:hAnsi="宋体" w:eastAsia="宋体" w:cs="宋体"/>
                <w:sz w:val="17"/>
                <w:szCs w:val="17"/>
              </w:rPr>
              <w:tab/>
            </w:r>
            <w:r>
              <w:rPr>
                <w:rFonts w:ascii="宋体" w:hAnsi="宋体" w:eastAsia="宋体" w:cs="宋体"/>
                <w:spacing w:val="8"/>
                <w:sz w:val="17"/>
                <w:szCs w:val="17"/>
              </w:rPr>
              <w:t>1</w:t>
            </w:r>
            <w:r>
              <w:rPr>
                <w:rFonts w:ascii="宋体" w:hAnsi="宋体" w:eastAsia="宋体" w:cs="宋体"/>
                <w:spacing w:val="6"/>
                <w:sz w:val="17"/>
                <w:szCs w:val="17"/>
              </w:rPr>
              <w:t xml:space="preserve"> </w:t>
            </w:r>
            <w:r>
              <w:rPr>
                <w:rFonts w:ascii="宋体" w:hAnsi="宋体" w:eastAsia="宋体" w:cs="宋体"/>
                <w:spacing w:val="4"/>
                <w:sz w:val="17"/>
                <w:szCs w:val="17"/>
              </w:rPr>
              <w:t xml:space="preserve">  </w:t>
            </w:r>
            <w:r>
              <w:rPr>
                <w:rFonts w:ascii="宋体" w:hAnsi="宋体" w:eastAsia="宋体" w:cs="宋体"/>
                <w:spacing w:val="4"/>
                <w:sz w:val="20"/>
                <w:szCs w:val="20"/>
              </w:rPr>
              <w:t>雨污管道</w:t>
            </w:r>
          </w:p>
          <w:p>
            <w:pPr>
              <w:spacing w:before="2" w:line="313" w:lineRule="auto"/>
              <w:ind w:left="107" w:right="34" w:firstLine="436"/>
              <w:rPr>
                <w:rFonts w:ascii="宋体" w:hAnsi="宋体" w:eastAsia="宋体" w:cs="宋体"/>
                <w:sz w:val="20"/>
                <w:szCs w:val="20"/>
              </w:rPr>
            </w:pPr>
            <w:r>
              <w:rPr>
                <w:rFonts w:ascii="Times New Roman" w:hAnsi="Times New Roman" w:eastAsia="Times New Roman" w:cs="Times New Roman"/>
                <w:spacing w:val="18"/>
                <w:sz w:val="20"/>
                <w:szCs w:val="20"/>
              </w:rPr>
              <w:t>1</w:t>
            </w:r>
            <w:r>
              <w:rPr>
                <w:rFonts w:ascii="宋体" w:hAnsi="宋体" w:eastAsia="宋体" w:cs="宋体"/>
                <w:spacing w:val="18"/>
                <w:sz w:val="20"/>
                <w:szCs w:val="20"/>
              </w:rPr>
              <w:t>)</w:t>
            </w:r>
            <w:r>
              <w:rPr>
                <w:rFonts w:ascii="宋体" w:hAnsi="宋体" w:eastAsia="宋体" w:cs="宋体"/>
                <w:spacing w:val="9"/>
                <w:sz w:val="20"/>
                <w:szCs w:val="20"/>
              </w:rPr>
              <w:t xml:space="preserve"> 西侧滨河路段：本工程采用雨污分流制，新建一道雨、污水管。与《达州绿地外</w:t>
            </w:r>
            <w:r>
              <w:rPr>
                <w:rFonts w:ascii="宋体" w:hAnsi="宋体" w:eastAsia="宋体" w:cs="宋体"/>
                <w:sz w:val="20"/>
                <w:szCs w:val="20"/>
              </w:rPr>
              <w:t xml:space="preserve"> </w:t>
            </w:r>
            <w:r>
              <w:rPr>
                <w:rFonts w:ascii="宋体" w:hAnsi="宋体" w:eastAsia="宋体" w:cs="宋体"/>
                <w:spacing w:val="10"/>
                <w:sz w:val="20"/>
                <w:szCs w:val="20"/>
              </w:rPr>
              <w:t>滩名门项</w:t>
            </w:r>
            <w:r>
              <w:rPr>
                <w:rFonts w:ascii="宋体" w:hAnsi="宋体" w:eastAsia="宋体" w:cs="宋体"/>
                <w:spacing w:val="7"/>
                <w:sz w:val="20"/>
                <w:szCs w:val="20"/>
              </w:rPr>
              <w:t>目</w:t>
            </w:r>
            <w:r>
              <w:rPr>
                <w:rFonts w:ascii="宋体" w:hAnsi="宋体" w:eastAsia="宋体" w:cs="宋体"/>
                <w:spacing w:val="5"/>
                <w:sz w:val="20"/>
                <w:szCs w:val="20"/>
              </w:rPr>
              <w:t xml:space="preserve">市政配建道路》设计范围上下游雨污水管衔接，桩号范围为 </w:t>
            </w:r>
            <w:r>
              <w:rPr>
                <w:rFonts w:ascii="Times New Roman" w:hAnsi="Times New Roman" w:eastAsia="Times New Roman" w:cs="Times New Roman"/>
                <w:sz w:val="20"/>
                <w:szCs w:val="20"/>
              </w:rPr>
              <w:t>K</w:t>
            </w:r>
            <w:r>
              <w:rPr>
                <w:rFonts w:ascii="Times New Roman" w:hAnsi="Times New Roman" w:eastAsia="Times New Roman" w:cs="Times New Roman"/>
                <w:spacing w:val="5"/>
                <w:sz w:val="20"/>
                <w:szCs w:val="20"/>
              </w:rPr>
              <w:t>0+470~</w:t>
            </w:r>
            <w:r>
              <w:rPr>
                <w:rFonts w:ascii="Times New Roman" w:hAnsi="Times New Roman" w:eastAsia="Times New Roman" w:cs="Times New Roman"/>
                <w:sz w:val="20"/>
                <w:szCs w:val="20"/>
              </w:rPr>
              <w:t>K</w:t>
            </w:r>
            <w:r>
              <w:rPr>
                <w:rFonts w:ascii="Times New Roman" w:hAnsi="Times New Roman" w:eastAsia="Times New Roman" w:cs="Times New Roman"/>
                <w:spacing w:val="5"/>
                <w:sz w:val="20"/>
                <w:szCs w:val="20"/>
              </w:rPr>
              <w:t>0+602</w:t>
            </w:r>
            <w:r>
              <w:rPr>
                <w:rFonts w:ascii="宋体" w:hAnsi="宋体" w:eastAsia="宋体" w:cs="宋体"/>
                <w:spacing w:val="5"/>
                <w:sz w:val="20"/>
                <w:szCs w:val="20"/>
              </w:rPr>
              <w:t>。</w:t>
            </w:r>
          </w:p>
          <w:p>
            <w:pPr>
              <w:spacing w:before="82" w:line="316" w:lineRule="auto"/>
              <w:ind w:left="103" w:right="102" w:firstLine="432"/>
              <w:rPr>
                <w:rFonts w:ascii="宋体" w:hAnsi="宋体" w:eastAsia="宋体" w:cs="宋体"/>
                <w:sz w:val="20"/>
                <w:szCs w:val="20"/>
              </w:rPr>
            </w:pPr>
            <w:r>
              <w:rPr>
                <w:rFonts w:ascii="宋体" w:hAnsi="宋体" w:eastAsia="宋体" w:cs="宋体"/>
                <w:spacing w:val="16"/>
                <w:sz w:val="20"/>
                <w:szCs w:val="20"/>
              </w:rPr>
              <w:t>雨</w:t>
            </w:r>
            <w:r>
              <w:rPr>
                <w:rFonts w:ascii="宋体" w:hAnsi="宋体" w:eastAsia="宋体" w:cs="宋体"/>
                <w:spacing w:val="13"/>
                <w:sz w:val="20"/>
                <w:szCs w:val="20"/>
              </w:rPr>
              <w:t>水</w:t>
            </w:r>
            <w:r>
              <w:rPr>
                <w:rFonts w:ascii="宋体" w:hAnsi="宋体" w:eastAsia="宋体" w:cs="宋体"/>
                <w:spacing w:val="8"/>
                <w:sz w:val="20"/>
                <w:szCs w:val="20"/>
              </w:rPr>
              <w:t xml:space="preserve">设计：滨河路 </w:t>
            </w:r>
            <w:r>
              <w:rPr>
                <w:rFonts w:ascii="Times New Roman" w:hAnsi="Times New Roman" w:eastAsia="Times New Roman" w:cs="Times New Roman"/>
                <w:sz w:val="20"/>
                <w:szCs w:val="20"/>
              </w:rPr>
              <w:t>K</w:t>
            </w:r>
            <w:r>
              <w:rPr>
                <w:rFonts w:ascii="Times New Roman" w:hAnsi="Times New Roman" w:eastAsia="Times New Roman" w:cs="Times New Roman"/>
                <w:spacing w:val="8"/>
                <w:sz w:val="20"/>
                <w:szCs w:val="20"/>
              </w:rPr>
              <w:t>0+470~</w:t>
            </w:r>
            <w:r>
              <w:rPr>
                <w:rFonts w:ascii="Times New Roman" w:hAnsi="Times New Roman" w:eastAsia="Times New Roman" w:cs="Times New Roman"/>
                <w:sz w:val="20"/>
                <w:szCs w:val="20"/>
              </w:rPr>
              <w:t>K</w:t>
            </w:r>
            <w:r>
              <w:rPr>
                <w:rFonts w:ascii="Times New Roman" w:hAnsi="Times New Roman" w:eastAsia="Times New Roman" w:cs="Times New Roman"/>
                <w:spacing w:val="8"/>
                <w:sz w:val="20"/>
                <w:szCs w:val="20"/>
              </w:rPr>
              <w:t xml:space="preserve">0+602 </w:t>
            </w:r>
            <w:r>
              <w:rPr>
                <w:rFonts w:ascii="宋体" w:hAnsi="宋体" w:eastAsia="宋体" w:cs="宋体"/>
                <w:spacing w:val="8"/>
                <w:sz w:val="20"/>
                <w:szCs w:val="20"/>
              </w:rPr>
              <w:t xml:space="preserve">段新建一道 </w:t>
            </w:r>
            <w:r>
              <w:rPr>
                <w:rFonts w:ascii="Times New Roman" w:hAnsi="Times New Roman" w:eastAsia="Times New Roman" w:cs="Times New Roman"/>
                <w:sz w:val="20"/>
                <w:szCs w:val="20"/>
              </w:rPr>
              <w:t>DN</w:t>
            </w:r>
            <w:r>
              <w:rPr>
                <w:rFonts w:ascii="Times New Roman" w:hAnsi="Times New Roman" w:eastAsia="Times New Roman" w:cs="Times New Roman"/>
                <w:spacing w:val="8"/>
                <w:sz w:val="20"/>
                <w:szCs w:val="20"/>
              </w:rPr>
              <w:t xml:space="preserve">800 </w:t>
            </w:r>
            <w:r>
              <w:rPr>
                <w:rFonts w:ascii="宋体" w:hAnsi="宋体" w:eastAsia="宋体" w:cs="宋体"/>
                <w:spacing w:val="8"/>
                <w:sz w:val="20"/>
                <w:szCs w:val="20"/>
              </w:rPr>
              <w:t>雨水管，衔接滨河路已设计</w:t>
            </w:r>
            <w:r>
              <w:rPr>
                <w:rFonts w:ascii="宋体" w:hAnsi="宋体" w:eastAsia="宋体" w:cs="宋体"/>
                <w:sz w:val="20"/>
                <w:szCs w:val="20"/>
              </w:rPr>
              <w:t xml:space="preserve"> </w:t>
            </w:r>
            <w:r>
              <w:rPr>
                <w:rFonts w:ascii="Times New Roman" w:hAnsi="Times New Roman" w:eastAsia="Times New Roman" w:cs="Times New Roman"/>
                <w:sz w:val="20"/>
                <w:szCs w:val="20"/>
              </w:rPr>
              <w:t>DN</w:t>
            </w:r>
            <w:r>
              <w:rPr>
                <w:rFonts w:ascii="Times New Roman" w:hAnsi="Times New Roman" w:eastAsia="Times New Roman" w:cs="Times New Roman"/>
                <w:spacing w:val="5"/>
                <w:sz w:val="20"/>
                <w:szCs w:val="20"/>
              </w:rPr>
              <w:t xml:space="preserve">800 </w:t>
            </w:r>
            <w:r>
              <w:rPr>
                <w:rFonts w:ascii="宋体" w:hAnsi="宋体" w:eastAsia="宋体" w:cs="宋体"/>
                <w:spacing w:val="5"/>
                <w:sz w:val="20"/>
                <w:szCs w:val="20"/>
              </w:rPr>
              <w:t>雨水管， 自东向西最终排入凤北大道雨水系</w:t>
            </w:r>
            <w:r>
              <w:rPr>
                <w:rFonts w:ascii="宋体" w:hAnsi="宋体" w:eastAsia="宋体" w:cs="宋体"/>
                <w:spacing w:val="4"/>
                <w:sz w:val="20"/>
                <w:szCs w:val="20"/>
              </w:rPr>
              <w:t>统</w:t>
            </w:r>
            <w:r>
              <w:rPr>
                <w:rFonts w:ascii="宋体" w:hAnsi="宋体" w:eastAsia="宋体" w:cs="宋体"/>
                <w:sz w:val="20"/>
                <w:szCs w:val="20"/>
              </w:rPr>
              <w:t>。</w:t>
            </w:r>
          </w:p>
        </w:tc>
      </w:tr>
    </w:tbl>
    <w:p>
      <w:pPr>
        <w:spacing w:line="146" w:lineRule="exact"/>
        <w:rPr>
          <w:rFonts w:ascii="Arial"/>
          <w:sz w:val="12"/>
        </w:rPr>
      </w:pPr>
    </w:p>
    <w:p>
      <w:pPr>
        <w:sectPr>
          <w:footerReference r:id="rId40" w:type="default"/>
          <w:pgSz w:w="11906" w:h="16839"/>
          <w:pgMar w:top="400" w:right="1487" w:bottom="1475" w:left="1486" w:header="0" w:footer="1315" w:gutter="0"/>
          <w:cols w:space="720" w:num="1"/>
        </w:sectPr>
      </w:pPr>
    </w:p>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8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17" w:hRule="atLeast"/>
        </w:trPr>
        <w:tc>
          <w:tcPr>
            <w:tcW w:w="600" w:type="dxa"/>
            <w:tcBorders>
              <w:left w:val="single" w:color="00000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28" w:lineRule="auto"/>
              <w:ind w:left="91"/>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p>
            <w:pPr>
              <w:spacing w:before="26" w:line="229" w:lineRule="auto"/>
              <w:ind w:left="9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组</w:t>
            </w:r>
            <w:r>
              <w:rPr>
                <w:rFonts w:ascii="宋体" w:hAnsi="宋体" w:eastAsia="宋体" w:cs="宋体"/>
                <w:spacing w:val="4"/>
                <w:sz w:val="20"/>
                <w:szCs w:val="20"/>
                <w14:textOutline w14:w="3795" w14:cap="sq" w14:cmpd="sng">
                  <w14:solidFill>
                    <w14:srgbClr w14:val="000000"/>
                  </w14:solidFill>
                  <w14:prstDash w14:val="solid"/>
                  <w14:bevel/>
                </w14:textOutline>
              </w:rPr>
              <w:t>成</w:t>
            </w:r>
          </w:p>
          <w:p>
            <w:pPr>
              <w:spacing w:before="22" w:line="230" w:lineRule="auto"/>
              <w:ind w:left="8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及规</w:t>
            </w:r>
          </w:p>
          <w:p>
            <w:pPr>
              <w:spacing w:before="24" w:line="228" w:lineRule="auto"/>
              <w:ind w:left="190"/>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模</w:t>
            </w:r>
          </w:p>
        </w:tc>
        <w:tc>
          <w:tcPr>
            <w:tcW w:w="8317" w:type="dxa"/>
            <w:tcBorders>
              <w:right w:val="single" w:color="000000" w:sz="6" w:space="0"/>
            </w:tcBorders>
            <w:vAlign w:val="top"/>
          </w:tcPr>
          <w:p>
            <w:pPr>
              <w:spacing w:before="107" w:line="381" w:lineRule="auto"/>
              <w:ind w:left="103" w:right="102" w:firstLine="426"/>
              <w:rPr>
                <w:rFonts w:ascii="宋体" w:hAnsi="宋体" w:eastAsia="宋体" w:cs="宋体"/>
                <w:sz w:val="20"/>
                <w:szCs w:val="20"/>
              </w:rPr>
            </w:pPr>
            <w:r>
              <w:rPr>
                <w:rFonts w:ascii="宋体" w:hAnsi="宋体" w:eastAsia="宋体" w:cs="宋体"/>
                <w:spacing w:val="16"/>
                <w:sz w:val="20"/>
                <w:szCs w:val="20"/>
              </w:rPr>
              <w:t>污水</w:t>
            </w:r>
            <w:r>
              <w:rPr>
                <w:rFonts w:ascii="宋体" w:hAnsi="宋体" w:eastAsia="宋体" w:cs="宋体"/>
                <w:spacing w:val="11"/>
                <w:sz w:val="20"/>
                <w:szCs w:val="20"/>
              </w:rPr>
              <w:t>设</w:t>
            </w:r>
            <w:r>
              <w:rPr>
                <w:rFonts w:ascii="宋体" w:hAnsi="宋体" w:eastAsia="宋体" w:cs="宋体"/>
                <w:spacing w:val="8"/>
                <w:sz w:val="20"/>
                <w:szCs w:val="20"/>
              </w:rPr>
              <w:t xml:space="preserve">计：滨河路 </w:t>
            </w:r>
            <w:r>
              <w:rPr>
                <w:rFonts w:ascii="Times New Roman" w:hAnsi="Times New Roman" w:eastAsia="Times New Roman" w:cs="Times New Roman"/>
                <w:sz w:val="20"/>
                <w:szCs w:val="20"/>
              </w:rPr>
              <w:t>K</w:t>
            </w:r>
            <w:r>
              <w:rPr>
                <w:rFonts w:ascii="Times New Roman" w:hAnsi="Times New Roman" w:eastAsia="Times New Roman" w:cs="Times New Roman"/>
                <w:spacing w:val="8"/>
                <w:sz w:val="20"/>
                <w:szCs w:val="20"/>
              </w:rPr>
              <w:t>0+470~</w:t>
            </w:r>
            <w:r>
              <w:rPr>
                <w:rFonts w:ascii="Times New Roman" w:hAnsi="Times New Roman" w:eastAsia="Times New Roman" w:cs="Times New Roman"/>
                <w:sz w:val="20"/>
                <w:szCs w:val="20"/>
              </w:rPr>
              <w:t>K</w:t>
            </w:r>
            <w:r>
              <w:rPr>
                <w:rFonts w:ascii="Times New Roman" w:hAnsi="Times New Roman" w:eastAsia="Times New Roman" w:cs="Times New Roman"/>
                <w:spacing w:val="8"/>
                <w:sz w:val="20"/>
                <w:szCs w:val="20"/>
              </w:rPr>
              <w:t xml:space="preserve">0+602 </w:t>
            </w:r>
            <w:r>
              <w:rPr>
                <w:rFonts w:ascii="宋体" w:hAnsi="宋体" w:eastAsia="宋体" w:cs="宋体"/>
                <w:spacing w:val="8"/>
                <w:sz w:val="20"/>
                <w:szCs w:val="20"/>
              </w:rPr>
              <w:t xml:space="preserve">段新建一道 </w:t>
            </w:r>
            <w:r>
              <w:rPr>
                <w:rFonts w:ascii="Times New Roman" w:hAnsi="Times New Roman" w:eastAsia="Times New Roman" w:cs="Times New Roman"/>
                <w:sz w:val="20"/>
                <w:szCs w:val="20"/>
              </w:rPr>
              <w:t>DN</w:t>
            </w:r>
            <w:r>
              <w:rPr>
                <w:rFonts w:ascii="Times New Roman" w:hAnsi="Times New Roman" w:eastAsia="Times New Roman" w:cs="Times New Roman"/>
                <w:spacing w:val="8"/>
                <w:sz w:val="20"/>
                <w:szCs w:val="20"/>
              </w:rPr>
              <w:t xml:space="preserve">400 </w:t>
            </w:r>
            <w:r>
              <w:rPr>
                <w:rFonts w:ascii="宋体" w:hAnsi="宋体" w:eastAsia="宋体" w:cs="宋体"/>
                <w:spacing w:val="8"/>
                <w:sz w:val="20"/>
                <w:szCs w:val="20"/>
              </w:rPr>
              <w:t>污水管，衔接滨河路已设计</w:t>
            </w:r>
            <w:r>
              <w:rPr>
                <w:rFonts w:ascii="宋体" w:hAnsi="宋体" w:eastAsia="宋体" w:cs="宋体"/>
                <w:sz w:val="20"/>
                <w:szCs w:val="20"/>
              </w:rPr>
              <w:t xml:space="preserve"> </w:t>
            </w:r>
            <w:r>
              <w:rPr>
                <w:rFonts w:ascii="Times New Roman" w:hAnsi="Times New Roman" w:eastAsia="Times New Roman" w:cs="Times New Roman"/>
                <w:sz w:val="20"/>
                <w:szCs w:val="20"/>
              </w:rPr>
              <w:t>DN</w:t>
            </w:r>
            <w:r>
              <w:rPr>
                <w:rFonts w:ascii="Times New Roman" w:hAnsi="Times New Roman" w:eastAsia="Times New Roman" w:cs="Times New Roman"/>
                <w:spacing w:val="5"/>
                <w:sz w:val="20"/>
                <w:szCs w:val="20"/>
              </w:rPr>
              <w:t>4</w:t>
            </w:r>
            <w:r>
              <w:rPr>
                <w:rFonts w:ascii="Times New Roman" w:hAnsi="Times New Roman" w:eastAsia="Times New Roman" w:cs="Times New Roman"/>
                <w:spacing w:val="4"/>
                <w:sz w:val="20"/>
                <w:szCs w:val="20"/>
              </w:rPr>
              <w:t xml:space="preserve">00 </w:t>
            </w:r>
            <w:r>
              <w:rPr>
                <w:rFonts w:ascii="宋体" w:hAnsi="宋体" w:eastAsia="宋体" w:cs="宋体"/>
                <w:spacing w:val="4"/>
                <w:sz w:val="20"/>
                <w:szCs w:val="20"/>
              </w:rPr>
              <w:t xml:space="preserve">污水管， 自东向西最终排入州河设计截污管 </w:t>
            </w:r>
            <w:r>
              <w:rPr>
                <w:rFonts w:ascii="Times New Roman" w:hAnsi="Times New Roman" w:eastAsia="Times New Roman" w:cs="Times New Roman"/>
                <w:sz w:val="20"/>
                <w:szCs w:val="20"/>
              </w:rPr>
              <w:t>DN</w:t>
            </w:r>
            <w:r>
              <w:rPr>
                <w:rFonts w:ascii="Times New Roman" w:hAnsi="Times New Roman" w:eastAsia="Times New Roman" w:cs="Times New Roman"/>
                <w:spacing w:val="4"/>
                <w:sz w:val="20"/>
                <w:szCs w:val="20"/>
              </w:rPr>
              <w:t xml:space="preserve">800 </w:t>
            </w:r>
            <w:r>
              <w:rPr>
                <w:rFonts w:ascii="宋体" w:hAnsi="宋体" w:eastAsia="宋体" w:cs="宋体"/>
                <w:spacing w:val="4"/>
                <w:sz w:val="20"/>
                <w:szCs w:val="20"/>
              </w:rPr>
              <w:t>，最后进入城区污水处理厂。</w:t>
            </w:r>
          </w:p>
          <w:p>
            <w:pPr>
              <w:spacing w:before="13" w:line="369" w:lineRule="auto"/>
              <w:ind w:left="108" w:right="102" w:firstLine="415"/>
              <w:rPr>
                <w:rFonts w:ascii="宋体" w:hAnsi="宋体" w:eastAsia="宋体" w:cs="宋体"/>
                <w:sz w:val="20"/>
                <w:szCs w:val="20"/>
              </w:rPr>
            </w:pPr>
            <w:r>
              <w:rPr>
                <w:rFonts w:ascii="Times New Roman" w:hAnsi="Times New Roman" w:eastAsia="Times New Roman" w:cs="Times New Roman"/>
                <w:spacing w:val="14"/>
                <w:sz w:val="20"/>
                <w:szCs w:val="20"/>
              </w:rPr>
              <w:t>2</w:t>
            </w:r>
            <w:r>
              <w:rPr>
                <w:rFonts w:ascii="宋体" w:hAnsi="宋体" w:eastAsia="宋体" w:cs="宋体"/>
                <w:spacing w:val="7"/>
                <w:sz w:val="20"/>
                <w:szCs w:val="20"/>
              </w:rPr>
              <w:t>) 东侧南北主干道段： 由于高家坝大桥与道路交叉口处进行道路改造，设计根据最</w:t>
            </w:r>
            <w:r>
              <w:rPr>
                <w:rFonts w:ascii="宋体" w:hAnsi="宋体" w:eastAsia="宋体" w:cs="宋体"/>
                <w:sz w:val="20"/>
                <w:szCs w:val="20"/>
              </w:rPr>
              <w:t xml:space="preserve"> </w:t>
            </w:r>
            <w:r>
              <w:rPr>
                <w:rFonts w:ascii="宋体" w:hAnsi="宋体" w:eastAsia="宋体" w:cs="宋体"/>
                <w:spacing w:val="9"/>
                <w:sz w:val="20"/>
                <w:szCs w:val="20"/>
              </w:rPr>
              <w:t>新道路断面新建雨水口及雨水口连接管</w:t>
            </w:r>
            <w:r>
              <w:rPr>
                <w:rFonts w:ascii="宋体" w:hAnsi="宋体" w:eastAsia="宋体" w:cs="宋体"/>
                <w:spacing w:val="6"/>
                <w:sz w:val="20"/>
                <w:szCs w:val="20"/>
              </w:rPr>
              <w:t>。</w:t>
            </w:r>
          </w:p>
          <w:p>
            <w:pPr>
              <w:spacing w:line="227" w:lineRule="auto"/>
              <w:ind w:left="588"/>
              <w:rPr>
                <w:rFonts w:ascii="宋体" w:hAnsi="宋体" w:eastAsia="宋体" w:cs="宋体"/>
                <w:sz w:val="20"/>
                <w:szCs w:val="20"/>
              </w:rPr>
            </w:pPr>
            <w:r>
              <w:rPr>
                <w:rFonts w:ascii="宋体" w:hAnsi="宋体" w:eastAsia="宋体" w:cs="宋体"/>
                <w:spacing w:val="7"/>
                <w:sz w:val="17"/>
                <w:szCs w:val="17"/>
              </w:rPr>
              <w:t xml:space="preserve">2   </w:t>
            </w:r>
            <w:r>
              <w:rPr>
                <w:rFonts w:ascii="宋体" w:hAnsi="宋体" w:eastAsia="宋体" w:cs="宋体"/>
                <w:spacing w:val="7"/>
                <w:sz w:val="20"/>
                <w:szCs w:val="20"/>
              </w:rPr>
              <w:t>市政综合管</w:t>
            </w:r>
            <w:r>
              <w:rPr>
                <w:rFonts w:ascii="宋体" w:hAnsi="宋体" w:eastAsia="宋体" w:cs="宋体"/>
                <w:spacing w:val="5"/>
                <w:sz w:val="20"/>
                <w:szCs w:val="20"/>
              </w:rPr>
              <w:t>线</w:t>
            </w:r>
          </w:p>
          <w:p>
            <w:pPr>
              <w:spacing w:before="155" w:line="369" w:lineRule="auto"/>
              <w:ind w:left="107" w:right="52" w:firstLine="420"/>
              <w:rPr>
                <w:rFonts w:ascii="宋体" w:hAnsi="宋体" w:eastAsia="宋体" w:cs="宋体"/>
                <w:sz w:val="20"/>
                <w:szCs w:val="20"/>
              </w:rPr>
            </w:pPr>
            <w:r>
              <w:rPr>
                <w:rFonts w:ascii="宋体" w:hAnsi="宋体" w:eastAsia="宋体" w:cs="宋体"/>
                <w:spacing w:val="14"/>
                <w:sz w:val="20"/>
                <w:szCs w:val="20"/>
              </w:rPr>
              <w:t>本工</w:t>
            </w:r>
            <w:r>
              <w:rPr>
                <w:rFonts w:ascii="宋体" w:hAnsi="宋体" w:eastAsia="宋体" w:cs="宋体"/>
                <w:spacing w:val="7"/>
                <w:sz w:val="20"/>
                <w:szCs w:val="20"/>
              </w:rPr>
              <w:t>程市政综合管线采用地下敷设方式，管线间的最小水平净距、最小垂直净距按照</w:t>
            </w:r>
            <w:r>
              <w:rPr>
                <w:rFonts w:ascii="宋体" w:hAnsi="宋体" w:eastAsia="宋体" w:cs="宋体"/>
                <w:sz w:val="20"/>
                <w:szCs w:val="20"/>
              </w:rPr>
              <w:t xml:space="preserve"> </w:t>
            </w:r>
            <w:r>
              <w:rPr>
                <w:rFonts w:ascii="宋体" w:hAnsi="宋体" w:eastAsia="宋体" w:cs="宋体"/>
                <w:spacing w:val="14"/>
                <w:sz w:val="20"/>
                <w:szCs w:val="20"/>
              </w:rPr>
              <w:t>《城市</w:t>
            </w:r>
            <w:r>
              <w:rPr>
                <w:rFonts w:ascii="宋体" w:hAnsi="宋体" w:eastAsia="宋体" w:cs="宋体"/>
                <w:spacing w:val="7"/>
                <w:sz w:val="20"/>
                <w:szCs w:val="20"/>
              </w:rPr>
              <w:t>工程管线综合规划规范》中的相关条款执行。地下直埋管道的覆土深度应考虑到以</w:t>
            </w:r>
            <w:r>
              <w:rPr>
                <w:rFonts w:ascii="宋体" w:hAnsi="宋体" w:eastAsia="宋体" w:cs="宋体"/>
                <w:sz w:val="20"/>
                <w:szCs w:val="20"/>
              </w:rPr>
              <w:t xml:space="preserve"> </w:t>
            </w:r>
            <w:r>
              <w:rPr>
                <w:rFonts w:ascii="宋体" w:hAnsi="宋体" w:eastAsia="宋体" w:cs="宋体"/>
                <w:spacing w:val="14"/>
                <w:sz w:val="20"/>
                <w:szCs w:val="20"/>
              </w:rPr>
              <w:t>下因素</w:t>
            </w:r>
            <w:r>
              <w:rPr>
                <w:rFonts w:ascii="宋体" w:hAnsi="宋体" w:eastAsia="宋体" w:cs="宋体"/>
                <w:spacing w:val="7"/>
                <w:sz w:val="20"/>
                <w:szCs w:val="20"/>
              </w:rPr>
              <w:t>后确定：保证工程管线在荷载作用下不损坏能正常运行，满足竖向规划要求。各种</w:t>
            </w:r>
            <w:r>
              <w:rPr>
                <w:rFonts w:ascii="宋体" w:hAnsi="宋体" w:eastAsia="宋体" w:cs="宋体"/>
                <w:sz w:val="20"/>
                <w:szCs w:val="20"/>
              </w:rPr>
              <w:t xml:space="preserve"> </w:t>
            </w:r>
            <w:r>
              <w:rPr>
                <w:rFonts w:ascii="宋体" w:hAnsi="宋体" w:eastAsia="宋体" w:cs="宋体"/>
                <w:spacing w:val="16"/>
                <w:sz w:val="20"/>
                <w:szCs w:val="20"/>
              </w:rPr>
              <w:t>管</w:t>
            </w:r>
            <w:r>
              <w:rPr>
                <w:rFonts w:ascii="宋体" w:hAnsi="宋体" w:eastAsia="宋体" w:cs="宋体"/>
                <w:spacing w:val="10"/>
                <w:sz w:val="20"/>
                <w:szCs w:val="20"/>
              </w:rPr>
              <w:t>线</w:t>
            </w:r>
            <w:r>
              <w:rPr>
                <w:rFonts w:ascii="宋体" w:hAnsi="宋体" w:eastAsia="宋体" w:cs="宋体"/>
                <w:spacing w:val="8"/>
                <w:sz w:val="20"/>
                <w:szCs w:val="20"/>
              </w:rPr>
              <w:t xml:space="preserve">覆土或埋深控制：雨水、污水管道干管的覆土厚度不小于 </w:t>
            </w:r>
            <w:r>
              <w:rPr>
                <w:rFonts w:ascii="Times New Roman" w:hAnsi="Times New Roman" w:eastAsia="Times New Roman" w:cs="Times New Roman"/>
                <w:spacing w:val="8"/>
                <w:sz w:val="20"/>
                <w:szCs w:val="20"/>
              </w:rPr>
              <w:t>0.7</w:t>
            </w:r>
            <w:r>
              <w:rPr>
                <w:rFonts w:ascii="Times New Roman" w:hAnsi="Times New Roman" w:eastAsia="Times New Roman" w:cs="Times New Roman"/>
                <w:sz w:val="20"/>
                <w:szCs w:val="20"/>
              </w:rPr>
              <w:t>m</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，雨水口连接管覆土</w:t>
            </w:r>
            <w:r>
              <w:rPr>
                <w:rFonts w:ascii="宋体" w:hAnsi="宋体" w:eastAsia="宋体" w:cs="宋体"/>
                <w:sz w:val="20"/>
                <w:szCs w:val="20"/>
              </w:rPr>
              <w:t xml:space="preserve"> </w:t>
            </w:r>
            <w:r>
              <w:rPr>
                <w:rFonts w:ascii="宋体" w:hAnsi="宋体" w:eastAsia="宋体" w:cs="宋体"/>
                <w:spacing w:val="1"/>
                <w:sz w:val="20"/>
                <w:szCs w:val="20"/>
              </w:rPr>
              <w:t xml:space="preserve">厚度不小于 </w:t>
            </w:r>
            <w:r>
              <w:rPr>
                <w:rFonts w:ascii="Times New Roman" w:hAnsi="Times New Roman" w:eastAsia="Times New Roman" w:cs="Times New Roman"/>
                <w:spacing w:val="1"/>
                <w:sz w:val="20"/>
                <w:szCs w:val="20"/>
              </w:rPr>
              <w:t>0.7</w:t>
            </w:r>
            <w:r>
              <w:rPr>
                <w:rFonts w:ascii="Times New Roman" w:hAnsi="Times New Roman" w:eastAsia="Times New Roman" w:cs="Times New Roman"/>
                <w:sz w:val="20"/>
                <w:szCs w:val="20"/>
              </w:rPr>
              <w:t>m</w:t>
            </w:r>
            <w:r>
              <w:rPr>
                <w:rFonts w:ascii="宋体" w:hAnsi="宋体" w:eastAsia="宋体" w:cs="宋体"/>
                <w:spacing w:val="1"/>
                <w:sz w:val="20"/>
                <w:szCs w:val="20"/>
              </w:rPr>
              <w:t xml:space="preserve">；给水管管顶覆土厚度不小于 </w:t>
            </w:r>
            <w:r>
              <w:rPr>
                <w:rFonts w:ascii="Times New Roman" w:hAnsi="Times New Roman" w:eastAsia="Times New Roman" w:cs="Times New Roman"/>
                <w:spacing w:val="1"/>
                <w:sz w:val="20"/>
                <w:szCs w:val="20"/>
              </w:rPr>
              <w:t>0.7</w:t>
            </w:r>
            <w:r>
              <w:rPr>
                <w:rFonts w:ascii="Times New Roman" w:hAnsi="Times New Roman" w:eastAsia="Times New Roman" w:cs="Times New Roman"/>
                <w:sz w:val="20"/>
                <w:szCs w:val="20"/>
              </w:rPr>
              <w:t>m</w:t>
            </w:r>
            <w:r>
              <w:rPr>
                <w:rFonts w:ascii="宋体" w:hAnsi="宋体" w:eastAsia="宋体" w:cs="宋体"/>
                <w:spacing w:val="1"/>
                <w:sz w:val="20"/>
                <w:szCs w:val="20"/>
              </w:rPr>
              <w:t>；电力</w:t>
            </w:r>
            <w:r>
              <w:rPr>
                <w:rFonts w:ascii="宋体" w:hAnsi="宋体" w:eastAsia="宋体" w:cs="宋体"/>
                <w:sz w:val="20"/>
                <w:szCs w:val="20"/>
              </w:rPr>
              <w:t xml:space="preserve">管线管顶覆土厚度不小于 </w:t>
            </w:r>
            <w:r>
              <w:rPr>
                <w:rFonts w:ascii="Times New Roman" w:hAnsi="Times New Roman" w:eastAsia="Times New Roman" w:cs="Times New Roman"/>
                <w:sz w:val="20"/>
                <w:szCs w:val="20"/>
              </w:rPr>
              <w:t>1.0m</w:t>
            </w:r>
            <w:r>
              <w:rPr>
                <w:rFonts w:ascii="宋体" w:hAnsi="宋体" w:eastAsia="宋体" w:cs="宋体"/>
                <w:sz w:val="20"/>
                <w:szCs w:val="20"/>
              </w:rPr>
              <w:t xml:space="preserve">； </w:t>
            </w:r>
            <w:r>
              <w:rPr>
                <w:rFonts w:ascii="宋体" w:hAnsi="宋体" w:eastAsia="宋体" w:cs="宋体"/>
                <w:spacing w:val="10"/>
                <w:sz w:val="20"/>
                <w:szCs w:val="20"/>
              </w:rPr>
              <w:t>通信管线管</w:t>
            </w:r>
            <w:r>
              <w:rPr>
                <w:rFonts w:ascii="宋体" w:hAnsi="宋体" w:eastAsia="宋体" w:cs="宋体"/>
                <w:spacing w:val="6"/>
                <w:sz w:val="20"/>
                <w:szCs w:val="20"/>
              </w:rPr>
              <w:t>顶</w:t>
            </w:r>
            <w:r>
              <w:rPr>
                <w:rFonts w:ascii="宋体" w:hAnsi="宋体" w:eastAsia="宋体" w:cs="宋体"/>
                <w:spacing w:val="5"/>
                <w:sz w:val="20"/>
                <w:szCs w:val="20"/>
              </w:rPr>
              <w:t xml:space="preserve">覆土厚度不小于 </w:t>
            </w:r>
            <w:r>
              <w:rPr>
                <w:rFonts w:ascii="Times New Roman" w:hAnsi="Times New Roman" w:eastAsia="Times New Roman" w:cs="Times New Roman"/>
                <w:spacing w:val="5"/>
                <w:sz w:val="20"/>
                <w:szCs w:val="20"/>
              </w:rPr>
              <w:t>0.9</w:t>
            </w:r>
            <w:r>
              <w:rPr>
                <w:rFonts w:ascii="Times New Roman" w:hAnsi="Times New Roman" w:eastAsia="Times New Roman" w:cs="Times New Roman"/>
                <w:sz w:val="20"/>
                <w:szCs w:val="20"/>
              </w:rPr>
              <w:t>m</w:t>
            </w:r>
            <w:r>
              <w:rPr>
                <w:rFonts w:ascii="宋体" w:hAnsi="宋体" w:eastAsia="宋体" w:cs="宋体"/>
                <w:spacing w:val="5"/>
                <w:sz w:val="20"/>
                <w:szCs w:val="20"/>
              </w:rPr>
              <w:t xml:space="preserve">；燃气管线管顶覆土厚度不小于 </w:t>
            </w:r>
            <w:r>
              <w:rPr>
                <w:rFonts w:ascii="Times New Roman" w:hAnsi="Times New Roman" w:eastAsia="Times New Roman" w:cs="Times New Roman"/>
                <w:spacing w:val="5"/>
                <w:sz w:val="20"/>
                <w:szCs w:val="20"/>
              </w:rPr>
              <w:t>0.9</w:t>
            </w:r>
            <w:r>
              <w:rPr>
                <w:rFonts w:ascii="Times New Roman" w:hAnsi="Times New Roman" w:eastAsia="Times New Roman" w:cs="Times New Roman"/>
                <w:sz w:val="20"/>
                <w:szCs w:val="20"/>
              </w:rPr>
              <w:t>m</w:t>
            </w:r>
            <w:r>
              <w:rPr>
                <w:rFonts w:ascii="宋体" w:hAnsi="宋体" w:eastAsia="宋体" w:cs="宋体"/>
                <w:spacing w:val="5"/>
                <w:sz w:val="20"/>
                <w:szCs w:val="20"/>
              </w:rPr>
              <w:t>。</w:t>
            </w:r>
          </w:p>
          <w:p>
            <w:pPr>
              <w:spacing w:line="227" w:lineRule="auto"/>
              <w:ind w:left="590"/>
              <w:rPr>
                <w:rFonts w:ascii="宋体" w:hAnsi="宋体" w:eastAsia="宋体" w:cs="宋体"/>
                <w:sz w:val="20"/>
                <w:szCs w:val="20"/>
              </w:rPr>
            </w:pPr>
            <w:r>
              <w:rPr>
                <w:rFonts w:ascii="宋体" w:hAnsi="宋体" w:eastAsia="宋体" w:cs="宋体"/>
                <w:spacing w:val="12"/>
                <w:sz w:val="17"/>
                <w:szCs w:val="17"/>
              </w:rPr>
              <w:t>3</w:t>
            </w:r>
            <w:r>
              <w:rPr>
                <w:rFonts w:ascii="宋体" w:hAnsi="宋体" w:eastAsia="宋体" w:cs="宋体"/>
                <w:spacing w:val="7"/>
                <w:sz w:val="17"/>
                <w:szCs w:val="17"/>
              </w:rPr>
              <w:t xml:space="preserve"> </w:t>
            </w:r>
            <w:r>
              <w:rPr>
                <w:rFonts w:ascii="宋体" w:hAnsi="宋体" w:eastAsia="宋体" w:cs="宋体"/>
                <w:spacing w:val="6"/>
                <w:sz w:val="17"/>
                <w:szCs w:val="17"/>
              </w:rPr>
              <w:t xml:space="preserve">  </w:t>
            </w:r>
            <w:r>
              <w:rPr>
                <w:rFonts w:ascii="宋体" w:hAnsi="宋体" w:eastAsia="宋体" w:cs="宋体"/>
                <w:spacing w:val="6"/>
                <w:sz w:val="20"/>
                <w:szCs w:val="20"/>
              </w:rPr>
              <w:t>管线迁改工程</w:t>
            </w:r>
          </w:p>
          <w:p>
            <w:pPr>
              <w:spacing w:before="115" w:line="387" w:lineRule="auto"/>
              <w:ind w:left="103" w:right="102" w:firstLine="440"/>
              <w:rPr>
                <w:rFonts w:ascii="宋体" w:hAnsi="宋体" w:eastAsia="宋体" w:cs="宋体"/>
                <w:sz w:val="20"/>
                <w:szCs w:val="20"/>
              </w:rPr>
            </w:pPr>
            <w:r>
              <w:rPr>
                <w:rFonts w:ascii="Times New Roman" w:hAnsi="Times New Roman" w:eastAsia="Times New Roman" w:cs="Times New Roman"/>
                <w:spacing w:val="10"/>
                <w:sz w:val="20"/>
                <w:szCs w:val="20"/>
              </w:rPr>
              <w:t>1</w:t>
            </w:r>
            <w:r>
              <w:rPr>
                <w:rFonts w:ascii="宋体" w:hAnsi="宋体" w:eastAsia="宋体" w:cs="宋体"/>
                <w:spacing w:val="10"/>
                <w:sz w:val="20"/>
                <w:szCs w:val="20"/>
              </w:rPr>
              <w:t>) 桥梁</w:t>
            </w:r>
            <w:r>
              <w:rPr>
                <w:rFonts w:ascii="宋体" w:hAnsi="宋体" w:eastAsia="宋体" w:cs="宋体"/>
                <w:spacing w:val="7"/>
                <w:sz w:val="20"/>
                <w:szCs w:val="20"/>
              </w:rPr>
              <w:t>起</w:t>
            </w:r>
            <w:r>
              <w:rPr>
                <w:rFonts w:ascii="宋体" w:hAnsi="宋体" w:eastAsia="宋体" w:cs="宋体"/>
                <w:spacing w:val="5"/>
                <w:sz w:val="20"/>
                <w:szCs w:val="20"/>
              </w:rPr>
              <w:t xml:space="preserve">点处桥墩与现状两根给水钢管冲突，管径分别为 </w:t>
            </w:r>
            <w:r>
              <w:rPr>
                <w:rFonts w:ascii="Times New Roman" w:hAnsi="Times New Roman" w:eastAsia="Times New Roman" w:cs="Times New Roman"/>
                <w:sz w:val="20"/>
                <w:szCs w:val="20"/>
              </w:rPr>
              <w:t>DN</w:t>
            </w:r>
            <w:r>
              <w:rPr>
                <w:rFonts w:ascii="Times New Roman" w:hAnsi="Times New Roman" w:eastAsia="Times New Roman" w:cs="Times New Roman"/>
                <w:spacing w:val="5"/>
                <w:sz w:val="20"/>
                <w:szCs w:val="20"/>
              </w:rPr>
              <w:t>150\</w:t>
            </w:r>
            <w:r>
              <w:rPr>
                <w:rFonts w:ascii="Times New Roman" w:hAnsi="Times New Roman" w:eastAsia="Times New Roman" w:cs="Times New Roman"/>
                <w:sz w:val="20"/>
                <w:szCs w:val="20"/>
              </w:rPr>
              <w:t>DN</w:t>
            </w:r>
            <w:r>
              <w:rPr>
                <w:rFonts w:ascii="Times New Roman" w:hAnsi="Times New Roman" w:eastAsia="Times New Roman" w:cs="Times New Roman"/>
                <w:spacing w:val="5"/>
                <w:sz w:val="20"/>
                <w:szCs w:val="20"/>
              </w:rPr>
              <w:t>100</w:t>
            </w:r>
            <w:r>
              <w:rPr>
                <w:rFonts w:ascii="宋体" w:hAnsi="宋体" w:eastAsia="宋体" w:cs="宋体"/>
                <w:spacing w:val="5"/>
                <w:sz w:val="20"/>
                <w:szCs w:val="20"/>
              </w:rPr>
              <w:t>，长度均为</w:t>
            </w:r>
            <w:r>
              <w:rPr>
                <w:rFonts w:ascii="宋体" w:hAnsi="宋体" w:eastAsia="宋体" w:cs="宋体"/>
                <w:sz w:val="20"/>
                <w:szCs w:val="20"/>
              </w:rPr>
              <w:t xml:space="preserve"> </w:t>
            </w:r>
            <w:r>
              <w:rPr>
                <w:rFonts w:ascii="Times New Roman" w:hAnsi="Times New Roman" w:eastAsia="Times New Roman" w:cs="Times New Roman"/>
                <w:spacing w:val="4"/>
                <w:sz w:val="20"/>
                <w:szCs w:val="20"/>
              </w:rPr>
              <w:t>23</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，埋深约 </w:t>
            </w:r>
            <w:r>
              <w:rPr>
                <w:rFonts w:ascii="Times New Roman" w:hAnsi="Times New Roman" w:eastAsia="Times New Roman" w:cs="Times New Roman"/>
                <w:spacing w:val="4"/>
                <w:sz w:val="20"/>
                <w:szCs w:val="20"/>
              </w:rPr>
              <w:t>5</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，为避</w:t>
            </w:r>
            <w:r>
              <w:rPr>
                <w:rFonts w:ascii="宋体" w:hAnsi="宋体" w:eastAsia="宋体" w:cs="宋体"/>
                <w:spacing w:val="3"/>
                <w:sz w:val="20"/>
                <w:szCs w:val="20"/>
              </w:rPr>
              <w:t>让</w:t>
            </w:r>
            <w:r>
              <w:rPr>
                <w:rFonts w:ascii="宋体" w:hAnsi="宋体" w:eastAsia="宋体" w:cs="宋体"/>
                <w:spacing w:val="2"/>
                <w:sz w:val="20"/>
                <w:szCs w:val="20"/>
              </w:rPr>
              <w:t xml:space="preserve">桥墩，需将两根给水管向东北方向迁改 </w:t>
            </w:r>
            <w:r>
              <w:rPr>
                <w:rFonts w:ascii="Times New Roman" w:hAnsi="Times New Roman" w:eastAsia="Times New Roman" w:cs="Times New Roman"/>
                <w:spacing w:val="2"/>
                <w:sz w:val="20"/>
                <w:szCs w:val="20"/>
              </w:rPr>
              <w:t>10</w:t>
            </w:r>
            <w:r>
              <w:rPr>
                <w:rFonts w:ascii="Times New Roman" w:hAnsi="Times New Roman" w:eastAsia="Times New Roman" w:cs="Times New Roman"/>
                <w:sz w:val="20"/>
                <w:szCs w:val="20"/>
              </w:rPr>
              <w:t>m</w:t>
            </w:r>
            <w:r>
              <w:rPr>
                <w:rFonts w:ascii="宋体" w:hAnsi="宋体" w:eastAsia="宋体" w:cs="宋体"/>
                <w:spacing w:val="2"/>
                <w:sz w:val="20"/>
                <w:szCs w:val="20"/>
              </w:rPr>
              <w:t>。</w:t>
            </w:r>
          </w:p>
          <w:p>
            <w:pPr>
              <w:spacing w:before="2" w:line="368" w:lineRule="auto"/>
              <w:ind w:left="108" w:right="104" w:firstLine="415"/>
              <w:rPr>
                <w:rFonts w:ascii="宋体" w:hAnsi="宋体" w:eastAsia="宋体" w:cs="宋体"/>
                <w:sz w:val="20"/>
                <w:szCs w:val="20"/>
              </w:rPr>
            </w:pPr>
            <w:r>
              <w:rPr>
                <w:rFonts w:ascii="Times New Roman" w:hAnsi="Times New Roman" w:eastAsia="Times New Roman" w:cs="Times New Roman"/>
                <w:spacing w:val="24"/>
                <w:sz w:val="20"/>
                <w:szCs w:val="20"/>
              </w:rPr>
              <w:t>2</w:t>
            </w:r>
            <w:r>
              <w:rPr>
                <w:rFonts w:ascii="宋体" w:hAnsi="宋体" w:eastAsia="宋体" w:cs="宋体"/>
                <w:spacing w:val="20"/>
                <w:sz w:val="20"/>
                <w:szCs w:val="20"/>
              </w:rPr>
              <w:t>)</w:t>
            </w:r>
            <w:r>
              <w:rPr>
                <w:rFonts w:ascii="宋体" w:hAnsi="宋体" w:eastAsia="宋体" w:cs="宋体"/>
                <w:spacing w:val="12"/>
                <w:sz w:val="20"/>
                <w:szCs w:val="20"/>
              </w:rPr>
              <w:t xml:space="preserve"> 桥梁终点处桥墩与现状一道同槽电力 </w:t>
            </w:r>
            <w:r>
              <w:rPr>
                <w:rFonts w:ascii="Times New Roman" w:hAnsi="Times New Roman" w:eastAsia="Times New Roman" w:cs="Times New Roman"/>
                <w:sz w:val="20"/>
                <w:szCs w:val="20"/>
              </w:rPr>
              <w:t>DN</w:t>
            </w:r>
            <w:r>
              <w:rPr>
                <w:rFonts w:ascii="Times New Roman" w:hAnsi="Times New Roman" w:eastAsia="Times New Roman" w:cs="Times New Roman"/>
                <w:spacing w:val="12"/>
                <w:sz w:val="20"/>
                <w:szCs w:val="20"/>
              </w:rPr>
              <w:t xml:space="preserve">100 </w:t>
            </w:r>
            <w:r>
              <w:rPr>
                <w:rFonts w:ascii="宋体" w:hAnsi="宋体" w:eastAsia="宋体" w:cs="宋体"/>
                <w:spacing w:val="12"/>
                <w:sz w:val="20"/>
                <w:szCs w:val="20"/>
              </w:rPr>
              <w:t xml:space="preserve">和给水 </w:t>
            </w:r>
            <w:r>
              <w:rPr>
                <w:rFonts w:ascii="Times New Roman" w:hAnsi="Times New Roman" w:eastAsia="Times New Roman" w:cs="Times New Roman"/>
                <w:sz w:val="20"/>
                <w:szCs w:val="20"/>
              </w:rPr>
              <w:t>DN</w:t>
            </w:r>
            <w:r>
              <w:rPr>
                <w:rFonts w:ascii="Times New Roman" w:hAnsi="Times New Roman" w:eastAsia="Times New Roman" w:cs="Times New Roman"/>
                <w:spacing w:val="12"/>
                <w:sz w:val="20"/>
                <w:szCs w:val="20"/>
              </w:rPr>
              <w:t xml:space="preserve">150 </w:t>
            </w:r>
            <w:r>
              <w:rPr>
                <w:rFonts w:ascii="宋体" w:hAnsi="宋体" w:eastAsia="宋体" w:cs="宋体"/>
                <w:spacing w:val="12"/>
                <w:sz w:val="20"/>
                <w:szCs w:val="20"/>
              </w:rPr>
              <w:t>管道冲突，长度约</w:t>
            </w:r>
            <w:r>
              <w:rPr>
                <w:rFonts w:ascii="宋体" w:hAnsi="宋体" w:eastAsia="宋体" w:cs="宋体"/>
                <w:sz w:val="20"/>
                <w:szCs w:val="20"/>
              </w:rPr>
              <w:t xml:space="preserve"> </w:t>
            </w:r>
            <w:r>
              <w:rPr>
                <w:rFonts w:ascii="Times New Roman" w:hAnsi="Times New Roman" w:eastAsia="Times New Roman" w:cs="Times New Roman"/>
                <w:spacing w:val="4"/>
                <w:sz w:val="20"/>
                <w:szCs w:val="20"/>
              </w:rPr>
              <w:t>30</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，埋深约 </w:t>
            </w: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8</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，为避让桥墩，需将两根管道向西北方向迁改 </w:t>
            </w:r>
            <w:r>
              <w:rPr>
                <w:rFonts w:ascii="Times New Roman" w:hAnsi="Times New Roman" w:eastAsia="Times New Roman" w:cs="Times New Roman"/>
                <w:spacing w:val="2"/>
                <w:sz w:val="20"/>
                <w:szCs w:val="20"/>
              </w:rPr>
              <w:t>32</w:t>
            </w:r>
            <w:r>
              <w:rPr>
                <w:rFonts w:ascii="Times New Roman" w:hAnsi="Times New Roman" w:eastAsia="Times New Roman" w:cs="Times New Roman"/>
                <w:sz w:val="20"/>
                <w:szCs w:val="20"/>
              </w:rPr>
              <w:t>m</w:t>
            </w:r>
            <w:r>
              <w:rPr>
                <w:rFonts w:ascii="宋体" w:hAnsi="宋体" w:eastAsia="宋体" w:cs="宋体"/>
                <w:spacing w:val="2"/>
                <w:sz w:val="20"/>
                <w:szCs w:val="20"/>
              </w:rPr>
              <w:t>。</w:t>
            </w:r>
          </w:p>
          <w:p>
            <w:pPr>
              <w:spacing w:before="2" w:line="368" w:lineRule="auto"/>
              <w:ind w:left="112" w:right="102" w:firstLine="415"/>
              <w:rPr>
                <w:rFonts w:ascii="宋体" w:hAnsi="宋体" w:eastAsia="宋体" w:cs="宋体"/>
                <w:sz w:val="20"/>
                <w:szCs w:val="20"/>
              </w:rPr>
            </w:pPr>
            <w:r>
              <w:rPr>
                <w:rFonts w:ascii="Times New Roman" w:hAnsi="Times New Roman" w:eastAsia="Times New Roman" w:cs="Times New Roman"/>
                <w:spacing w:val="10"/>
                <w:sz w:val="20"/>
                <w:szCs w:val="20"/>
              </w:rPr>
              <w:t>3</w:t>
            </w:r>
            <w:r>
              <w:rPr>
                <w:rFonts w:ascii="宋体" w:hAnsi="宋体" w:eastAsia="宋体" w:cs="宋体"/>
                <w:spacing w:val="10"/>
                <w:sz w:val="20"/>
                <w:szCs w:val="20"/>
              </w:rPr>
              <w:t>) 桥</w:t>
            </w:r>
            <w:r>
              <w:rPr>
                <w:rFonts w:ascii="宋体" w:hAnsi="宋体" w:eastAsia="宋体" w:cs="宋体"/>
                <w:spacing w:val="6"/>
                <w:sz w:val="20"/>
                <w:szCs w:val="20"/>
              </w:rPr>
              <w:t>梁</w:t>
            </w:r>
            <w:r>
              <w:rPr>
                <w:rFonts w:ascii="宋体" w:hAnsi="宋体" w:eastAsia="宋体" w:cs="宋体"/>
                <w:spacing w:val="5"/>
                <w:sz w:val="20"/>
                <w:szCs w:val="20"/>
              </w:rPr>
              <w:t xml:space="preserve">终点处桥墩与现状一道 </w:t>
            </w:r>
            <w:r>
              <w:rPr>
                <w:rFonts w:ascii="Times New Roman" w:hAnsi="Times New Roman" w:eastAsia="Times New Roman" w:cs="Times New Roman"/>
                <w:sz w:val="20"/>
                <w:szCs w:val="20"/>
              </w:rPr>
              <w:t>DN</w:t>
            </w:r>
            <w:r>
              <w:rPr>
                <w:rFonts w:ascii="Times New Roman" w:hAnsi="Times New Roman" w:eastAsia="Times New Roman" w:cs="Times New Roman"/>
                <w:spacing w:val="5"/>
                <w:sz w:val="20"/>
                <w:szCs w:val="20"/>
              </w:rPr>
              <w:t xml:space="preserve">1000 </w:t>
            </w:r>
            <w:r>
              <w:rPr>
                <w:rFonts w:ascii="宋体" w:hAnsi="宋体" w:eastAsia="宋体" w:cs="宋体"/>
                <w:spacing w:val="5"/>
                <w:sz w:val="20"/>
                <w:szCs w:val="20"/>
              </w:rPr>
              <w:t xml:space="preserve">雨水钢筋混凝土管冲突，长度约 </w:t>
            </w:r>
            <w:r>
              <w:rPr>
                <w:rFonts w:ascii="Times New Roman" w:hAnsi="Times New Roman" w:eastAsia="Times New Roman" w:cs="Times New Roman"/>
                <w:spacing w:val="5"/>
                <w:sz w:val="20"/>
                <w:szCs w:val="20"/>
              </w:rPr>
              <w:t>27</w:t>
            </w:r>
            <w:r>
              <w:rPr>
                <w:rFonts w:ascii="Times New Roman" w:hAnsi="Times New Roman" w:eastAsia="Times New Roman" w:cs="Times New Roman"/>
                <w:sz w:val="20"/>
                <w:szCs w:val="20"/>
              </w:rPr>
              <w:t>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，埋深</w:t>
            </w:r>
            <w:r>
              <w:rPr>
                <w:rFonts w:ascii="宋体" w:hAnsi="宋体" w:eastAsia="宋体" w:cs="宋体"/>
                <w:sz w:val="20"/>
                <w:szCs w:val="20"/>
              </w:rPr>
              <w:t xml:space="preserve"> </w:t>
            </w:r>
            <w:r>
              <w:rPr>
                <w:rFonts w:ascii="宋体" w:hAnsi="宋体" w:eastAsia="宋体" w:cs="宋体"/>
                <w:spacing w:val="3"/>
                <w:sz w:val="20"/>
                <w:szCs w:val="20"/>
              </w:rPr>
              <w:t xml:space="preserve">约 </w:t>
            </w:r>
            <w:r>
              <w:rPr>
                <w:rFonts w:ascii="Times New Roman" w:hAnsi="Times New Roman" w:eastAsia="Times New Roman" w:cs="Times New Roman"/>
                <w:spacing w:val="3"/>
                <w:sz w:val="20"/>
                <w:szCs w:val="20"/>
              </w:rPr>
              <w:t>4~8</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，为避让桥墩，需将雨水管向西北方向迁改 </w:t>
            </w:r>
            <w:r>
              <w:rPr>
                <w:rFonts w:ascii="Times New Roman" w:hAnsi="Times New Roman" w:eastAsia="Times New Roman" w:cs="Times New Roman"/>
                <w:spacing w:val="3"/>
                <w:sz w:val="20"/>
                <w:szCs w:val="20"/>
              </w:rPr>
              <w:t>2</w:t>
            </w:r>
            <w:r>
              <w:rPr>
                <w:rFonts w:ascii="Times New Roman" w:hAnsi="Times New Roman" w:eastAsia="Times New Roman" w:cs="Times New Roman"/>
                <w:sz w:val="20"/>
                <w:szCs w:val="20"/>
              </w:rPr>
              <w:t>9m</w:t>
            </w:r>
            <w:r>
              <w:rPr>
                <w:rFonts w:ascii="宋体" w:hAnsi="宋体" w:eastAsia="宋体" w:cs="宋体"/>
                <w:sz w:val="20"/>
                <w:szCs w:val="20"/>
              </w:rPr>
              <w:t>。</w:t>
            </w:r>
          </w:p>
          <w:p>
            <w:pPr>
              <w:spacing w:before="1" w:line="226" w:lineRule="auto"/>
              <w:ind w:left="537"/>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6"/>
                <w:sz w:val="20"/>
                <w:szCs w:val="20"/>
              </w:rPr>
              <w:t>10</w:t>
            </w: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宋体" w:hAnsi="宋体" w:eastAsia="宋体" w:cs="宋体"/>
                <w:spacing w:val="16"/>
                <w:sz w:val="20"/>
                <w:szCs w:val="20"/>
              </w:rPr>
              <w:t xml:space="preserve"> </w:t>
            </w:r>
            <w:r>
              <w:rPr>
                <w:rFonts w:ascii="宋体" w:hAnsi="宋体" w:eastAsia="宋体" w:cs="宋体"/>
                <w:spacing w:val="16"/>
                <w:sz w:val="20"/>
                <w:szCs w:val="20"/>
                <w14:textOutline w14:w="3795" w14:cap="sq" w14:cmpd="sng">
                  <w14:solidFill>
                    <w14:srgbClr w14:val="000000"/>
                  </w14:solidFill>
                  <w14:prstDash w14:val="solid"/>
                  <w14:bevel/>
                </w14:textOutline>
              </w:rPr>
              <w:t>路面附属设</w:t>
            </w:r>
            <w:r>
              <w:rPr>
                <w:rFonts w:ascii="宋体" w:hAnsi="宋体" w:eastAsia="宋体" w:cs="宋体"/>
                <w:spacing w:val="15"/>
                <w:sz w:val="20"/>
                <w:szCs w:val="20"/>
                <w14:textOutline w14:w="3795" w14:cap="sq" w14:cmpd="sng">
                  <w14:solidFill>
                    <w14:srgbClr w14:val="000000"/>
                  </w14:solidFill>
                  <w14:prstDash w14:val="solid"/>
                  <w14:bevel/>
                </w14:textOutline>
              </w:rPr>
              <w:t>施</w:t>
            </w:r>
          </w:p>
          <w:p>
            <w:pPr>
              <w:spacing w:before="154" w:line="369" w:lineRule="auto"/>
              <w:ind w:left="108" w:right="104" w:firstLine="420"/>
              <w:rPr>
                <w:rFonts w:ascii="宋体" w:hAnsi="宋体" w:eastAsia="宋体" w:cs="宋体"/>
                <w:sz w:val="20"/>
                <w:szCs w:val="20"/>
              </w:rPr>
            </w:pPr>
            <w:r>
              <w:rPr>
                <w:rFonts w:ascii="宋体" w:hAnsi="宋体" w:eastAsia="宋体" w:cs="宋体"/>
                <w:spacing w:val="14"/>
                <w:sz w:val="20"/>
                <w:szCs w:val="20"/>
              </w:rPr>
              <w:t>路</w:t>
            </w:r>
            <w:r>
              <w:rPr>
                <w:rFonts w:ascii="宋体" w:hAnsi="宋体" w:eastAsia="宋体" w:cs="宋体"/>
                <w:spacing w:val="13"/>
                <w:sz w:val="20"/>
                <w:szCs w:val="20"/>
              </w:rPr>
              <w:t>面</w:t>
            </w:r>
            <w:r>
              <w:rPr>
                <w:rFonts w:ascii="宋体" w:hAnsi="宋体" w:eastAsia="宋体" w:cs="宋体"/>
                <w:spacing w:val="7"/>
                <w:sz w:val="20"/>
                <w:szCs w:val="20"/>
              </w:rPr>
              <w:t>附属设施包括人行道铺装、路名牌、垃圾桶、人行道中的缘石坡道、盲道、路缘</w:t>
            </w:r>
            <w:r>
              <w:rPr>
                <w:rFonts w:ascii="宋体" w:hAnsi="宋体" w:eastAsia="宋体" w:cs="宋体"/>
                <w:sz w:val="20"/>
                <w:szCs w:val="20"/>
              </w:rPr>
              <w:t xml:space="preserve"> </w:t>
            </w:r>
            <w:r>
              <w:rPr>
                <w:rFonts w:ascii="宋体" w:hAnsi="宋体" w:eastAsia="宋体" w:cs="宋体"/>
                <w:spacing w:val="8"/>
                <w:sz w:val="20"/>
                <w:szCs w:val="20"/>
              </w:rPr>
              <w:t>石</w:t>
            </w:r>
            <w:r>
              <w:rPr>
                <w:rFonts w:ascii="宋体" w:hAnsi="宋体" w:eastAsia="宋体" w:cs="宋体"/>
                <w:spacing w:val="5"/>
                <w:sz w:val="20"/>
                <w:szCs w:val="20"/>
              </w:rPr>
              <w:t>等设施。</w:t>
            </w:r>
          </w:p>
          <w:p>
            <w:pPr>
              <w:spacing w:before="1" w:line="227" w:lineRule="auto"/>
              <w:ind w:left="537"/>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6"/>
                <w:sz w:val="20"/>
                <w:szCs w:val="20"/>
              </w:rPr>
              <w:t>11</w:t>
            </w: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宋体" w:hAnsi="宋体" w:eastAsia="宋体" w:cs="宋体"/>
                <w:spacing w:val="16"/>
                <w:sz w:val="20"/>
                <w:szCs w:val="20"/>
              </w:rPr>
              <w:t xml:space="preserve"> </w:t>
            </w:r>
            <w:r>
              <w:rPr>
                <w:rFonts w:ascii="宋体" w:hAnsi="宋体" w:eastAsia="宋体" w:cs="宋体"/>
                <w:spacing w:val="16"/>
                <w:sz w:val="20"/>
                <w:szCs w:val="20"/>
                <w14:textOutline w14:w="3795" w14:cap="sq" w14:cmpd="sng">
                  <w14:solidFill>
                    <w14:srgbClr w14:val="000000"/>
                  </w14:solidFill>
                  <w14:prstDash w14:val="solid"/>
                  <w14:bevel/>
                </w14:textOutline>
              </w:rPr>
              <w:t>照明工</w:t>
            </w:r>
            <w:r>
              <w:rPr>
                <w:rFonts w:ascii="宋体" w:hAnsi="宋体" w:eastAsia="宋体" w:cs="宋体"/>
                <w:spacing w:val="15"/>
                <w:sz w:val="20"/>
                <w:szCs w:val="20"/>
                <w14:textOutline w14:w="3795" w14:cap="sq" w14:cmpd="sng">
                  <w14:solidFill>
                    <w14:srgbClr w14:val="000000"/>
                  </w14:solidFill>
                  <w14:prstDash w14:val="solid"/>
                  <w14:bevel/>
                </w14:textOutline>
              </w:rPr>
              <w:t>程</w:t>
            </w:r>
          </w:p>
          <w:p>
            <w:pPr>
              <w:spacing w:before="154" w:line="227" w:lineRule="auto"/>
              <w:ind w:left="528"/>
              <w:rPr>
                <w:rFonts w:ascii="宋体" w:hAnsi="宋体" w:eastAsia="宋体" w:cs="宋体"/>
                <w:sz w:val="20"/>
                <w:szCs w:val="20"/>
              </w:rPr>
            </w:pPr>
            <w:r>
              <w:rPr>
                <w:rFonts w:ascii="宋体" w:hAnsi="宋体" w:eastAsia="宋体" w:cs="宋体"/>
                <w:spacing w:val="13"/>
                <w:sz w:val="20"/>
                <w:szCs w:val="20"/>
              </w:rPr>
              <w:t>本工程道路照明光源采用</w:t>
            </w:r>
            <w:r>
              <w:rPr>
                <w:rFonts w:ascii="Times New Roman" w:hAnsi="Times New Roman" w:eastAsia="Times New Roman" w:cs="Times New Roman"/>
                <w:sz w:val="20"/>
                <w:szCs w:val="20"/>
              </w:rPr>
              <w:t>LED</w:t>
            </w:r>
            <w:r>
              <w:rPr>
                <w:rFonts w:ascii="Times New Roman" w:hAnsi="Times New Roman" w:eastAsia="Times New Roman" w:cs="Times New Roman"/>
                <w:spacing w:val="13"/>
                <w:sz w:val="20"/>
                <w:szCs w:val="20"/>
              </w:rPr>
              <w:t xml:space="preserve"> </w:t>
            </w:r>
            <w:r>
              <w:rPr>
                <w:rFonts w:ascii="宋体" w:hAnsi="宋体" w:eastAsia="宋体" w:cs="宋体"/>
                <w:spacing w:val="13"/>
                <w:sz w:val="20"/>
                <w:szCs w:val="20"/>
              </w:rPr>
              <w:t>光源</w:t>
            </w:r>
            <w:r>
              <w:rPr>
                <w:rFonts w:ascii="宋体" w:hAnsi="宋体" w:eastAsia="宋体" w:cs="宋体"/>
                <w:spacing w:val="10"/>
                <w:sz w:val="20"/>
                <w:szCs w:val="20"/>
              </w:rPr>
              <w:t>。</w:t>
            </w:r>
          </w:p>
          <w:p>
            <w:pPr>
              <w:spacing w:before="155" w:line="228" w:lineRule="auto"/>
              <w:ind w:left="537"/>
              <w:rPr>
                <w:rFonts w:ascii="宋体" w:hAnsi="宋体" w:eastAsia="宋体" w:cs="宋体"/>
                <w:sz w:val="20"/>
                <w:szCs w:val="20"/>
              </w:rPr>
            </w:pPr>
            <w:r>
              <w:rPr>
                <w:rFonts w:ascii="宋体" w:hAnsi="宋体" w:eastAsia="宋体" w:cs="宋体"/>
                <w:spacing w:val="19"/>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7"/>
                <w:sz w:val="20"/>
                <w:szCs w:val="20"/>
              </w:rPr>
              <w:t>12</w:t>
            </w:r>
            <w:r>
              <w:rPr>
                <w:rFonts w:ascii="宋体" w:hAnsi="宋体" w:eastAsia="宋体" w:cs="宋体"/>
                <w:spacing w:val="17"/>
                <w:sz w:val="20"/>
                <w:szCs w:val="20"/>
                <w14:textOutline w14:w="3795" w14:cap="sq" w14:cmpd="sng">
                  <w14:solidFill>
                    <w14:srgbClr w14:val="000000"/>
                  </w14:solidFill>
                  <w14:prstDash w14:val="solid"/>
                  <w14:bevel/>
                </w14:textOutline>
              </w:rPr>
              <w:t>)</w:t>
            </w:r>
            <w:r>
              <w:rPr>
                <w:rFonts w:ascii="宋体" w:hAnsi="宋体" w:eastAsia="宋体" w:cs="宋体"/>
                <w:spacing w:val="17"/>
                <w:sz w:val="20"/>
                <w:szCs w:val="20"/>
              </w:rPr>
              <w:t xml:space="preserve"> </w:t>
            </w:r>
            <w:r>
              <w:rPr>
                <w:rFonts w:ascii="宋体" w:hAnsi="宋体" w:eastAsia="宋体" w:cs="宋体"/>
                <w:spacing w:val="17"/>
                <w:sz w:val="20"/>
                <w:szCs w:val="20"/>
                <w14:textOutline w14:w="3795" w14:cap="sq" w14:cmpd="sng">
                  <w14:solidFill>
                    <w14:srgbClr w14:val="000000"/>
                  </w14:solidFill>
                  <w14:prstDash w14:val="solid"/>
                  <w14:bevel/>
                </w14:textOutline>
              </w:rPr>
              <w:t>景观工程</w:t>
            </w:r>
          </w:p>
          <w:p>
            <w:pPr>
              <w:spacing w:before="151" w:line="228" w:lineRule="auto"/>
              <w:ind w:left="599"/>
              <w:rPr>
                <w:rFonts w:ascii="宋体" w:hAnsi="宋体" w:eastAsia="宋体" w:cs="宋体"/>
                <w:sz w:val="20"/>
                <w:szCs w:val="20"/>
              </w:rPr>
            </w:pPr>
            <w:r>
              <w:rPr>
                <w:rFonts w:ascii="宋体" w:hAnsi="宋体" w:eastAsia="宋体" w:cs="宋体"/>
                <w:spacing w:val="8"/>
                <w:sz w:val="17"/>
                <w:szCs w:val="17"/>
              </w:rPr>
              <w:t>1</w:t>
            </w:r>
            <w:r>
              <w:rPr>
                <w:rFonts w:ascii="宋体" w:hAnsi="宋体" w:eastAsia="宋体" w:cs="宋体"/>
                <w:spacing w:val="6"/>
                <w:sz w:val="17"/>
                <w:szCs w:val="17"/>
              </w:rPr>
              <w:t xml:space="preserve">   </w:t>
            </w:r>
            <w:r>
              <w:rPr>
                <w:rFonts w:ascii="宋体" w:hAnsi="宋体" w:eastAsia="宋体" w:cs="宋体"/>
                <w:spacing w:val="6"/>
                <w:sz w:val="20"/>
                <w:szCs w:val="20"/>
              </w:rPr>
              <w:t>坡道改造及修复</w:t>
            </w:r>
          </w:p>
          <w:p>
            <w:pPr>
              <w:spacing w:before="155" w:line="369" w:lineRule="auto"/>
              <w:ind w:left="108" w:right="71" w:firstLine="444"/>
              <w:rPr>
                <w:rFonts w:ascii="宋体" w:hAnsi="宋体" w:eastAsia="宋体" w:cs="宋体"/>
                <w:sz w:val="20"/>
                <w:szCs w:val="20"/>
              </w:rPr>
            </w:pPr>
            <w:r>
              <w:rPr>
                <w:rFonts w:ascii="宋体" w:hAnsi="宋体" w:eastAsia="宋体" w:cs="宋体"/>
                <w:spacing w:val="12"/>
                <w:sz w:val="20"/>
                <w:szCs w:val="20"/>
              </w:rPr>
              <w:t>由</w:t>
            </w:r>
            <w:r>
              <w:rPr>
                <w:rFonts w:ascii="宋体" w:hAnsi="宋体" w:eastAsia="宋体" w:cs="宋体"/>
                <w:spacing w:val="9"/>
                <w:sz w:val="20"/>
                <w:szCs w:val="20"/>
              </w:rPr>
              <w:t xml:space="preserve">于新建桥梁建设侵占原公园入口非机动车坡道约 </w:t>
            </w:r>
            <w:r>
              <w:rPr>
                <w:rFonts w:ascii="Times New Roman" w:hAnsi="Times New Roman" w:eastAsia="Times New Roman" w:cs="Times New Roman"/>
                <w:spacing w:val="9"/>
                <w:sz w:val="20"/>
                <w:szCs w:val="20"/>
              </w:rPr>
              <w:t>10</w:t>
            </w:r>
            <w:r>
              <w:rPr>
                <w:rFonts w:ascii="Times New Roman" w:hAnsi="Times New Roman" w:eastAsia="Times New Roman" w:cs="Times New Roman"/>
                <w:sz w:val="20"/>
                <w:szCs w:val="20"/>
              </w:rPr>
              <w:t>m</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范围，为减少改造成本及最</w:t>
            </w:r>
            <w:r>
              <w:rPr>
                <w:rFonts w:ascii="宋体" w:hAnsi="宋体" w:eastAsia="宋体" w:cs="宋体"/>
                <w:sz w:val="20"/>
                <w:szCs w:val="20"/>
              </w:rPr>
              <w:t xml:space="preserve"> </w:t>
            </w:r>
            <w:r>
              <w:rPr>
                <w:rFonts w:ascii="宋体" w:hAnsi="宋体" w:eastAsia="宋体" w:cs="宋体"/>
                <w:spacing w:val="14"/>
                <w:sz w:val="20"/>
                <w:szCs w:val="20"/>
              </w:rPr>
              <w:t>大程</w:t>
            </w:r>
            <w:r>
              <w:rPr>
                <w:rFonts w:ascii="宋体" w:hAnsi="宋体" w:eastAsia="宋体" w:cs="宋体"/>
                <w:spacing w:val="13"/>
                <w:sz w:val="20"/>
                <w:szCs w:val="20"/>
              </w:rPr>
              <w:t>度</w:t>
            </w:r>
            <w:r>
              <w:rPr>
                <w:rFonts w:ascii="宋体" w:hAnsi="宋体" w:eastAsia="宋体" w:cs="宋体"/>
                <w:spacing w:val="7"/>
                <w:sz w:val="20"/>
                <w:szCs w:val="20"/>
              </w:rPr>
              <w:t>快速完成改造，本次设计拟拆除原坡道入口及入口标识牌等拆除工作后，将原入口</w:t>
            </w:r>
            <w:r>
              <w:rPr>
                <w:rFonts w:ascii="宋体" w:hAnsi="宋体" w:eastAsia="宋体" w:cs="宋体"/>
                <w:sz w:val="20"/>
                <w:szCs w:val="20"/>
              </w:rPr>
              <w:t xml:space="preserve"> </w:t>
            </w:r>
            <w:r>
              <w:rPr>
                <w:rFonts w:ascii="宋体" w:hAnsi="宋体" w:eastAsia="宋体" w:cs="宋体"/>
                <w:spacing w:val="10"/>
                <w:sz w:val="20"/>
                <w:szCs w:val="20"/>
              </w:rPr>
              <w:t>东向平</w:t>
            </w:r>
            <w:r>
              <w:rPr>
                <w:rFonts w:ascii="宋体" w:hAnsi="宋体" w:eastAsia="宋体" w:cs="宋体"/>
                <w:spacing w:val="5"/>
                <w:sz w:val="20"/>
                <w:szCs w:val="20"/>
              </w:rPr>
              <w:t xml:space="preserve">移 </w:t>
            </w:r>
            <w:r>
              <w:rPr>
                <w:rFonts w:ascii="Times New Roman" w:hAnsi="Times New Roman" w:eastAsia="Times New Roman" w:cs="Times New Roman"/>
                <w:spacing w:val="5"/>
                <w:sz w:val="20"/>
                <w:szCs w:val="20"/>
              </w:rPr>
              <w:t>11</w:t>
            </w:r>
            <w:r>
              <w:rPr>
                <w:rFonts w:ascii="Times New Roman" w:hAnsi="Times New Roman" w:eastAsia="Times New Roman" w:cs="Times New Roman"/>
                <w:sz w:val="20"/>
                <w:szCs w:val="20"/>
              </w:rPr>
              <w:t>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，重新建设公园入口及公园标识牌，并于原剩余坡道基础上进行坡道加建，</w:t>
            </w:r>
            <w:r>
              <w:rPr>
                <w:rFonts w:ascii="宋体" w:hAnsi="宋体" w:eastAsia="宋体" w:cs="宋体"/>
                <w:sz w:val="20"/>
                <w:szCs w:val="20"/>
              </w:rPr>
              <w:t xml:space="preserve"> </w:t>
            </w:r>
            <w:r>
              <w:rPr>
                <w:rFonts w:ascii="宋体" w:hAnsi="宋体" w:eastAsia="宋体" w:cs="宋体"/>
                <w:spacing w:val="8"/>
                <w:sz w:val="20"/>
                <w:szCs w:val="20"/>
              </w:rPr>
              <w:t>使得整体坡道</w:t>
            </w:r>
            <w:r>
              <w:rPr>
                <w:rFonts w:ascii="宋体" w:hAnsi="宋体" w:eastAsia="宋体" w:cs="宋体"/>
                <w:spacing w:val="6"/>
                <w:sz w:val="20"/>
                <w:szCs w:val="20"/>
              </w:rPr>
              <w:t>向</w:t>
            </w:r>
            <w:r>
              <w:rPr>
                <w:rFonts w:ascii="宋体" w:hAnsi="宋体" w:eastAsia="宋体" w:cs="宋体"/>
                <w:spacing w:val="4"/>
                <w:sz w:val="20"/>
                <w:szCs w:val="20"/>
              </w:rPr>
              <w:t xml:space="preserve">东移动 </w:t>
            </w:r>
            <w:r>
              <w:rPr>
                <w:rFonts w:ascii="Times New Roman" w:hAnsi="Times New Roman" w:eastAsia="Times New Roman" w:cs="Times New Roman"/>
                <w:spacing w:val="4"/>
                <w:sz w:val="20"/>
                <w:szCs w:val="20"/>
              </w:rPr>
              <w:t>11</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，并恢复坡道面层、重新建设栏杆扶手，保证改造后坡道不影</w:t>
            </w:r>
            <w:r>
              <w:rPr>
                <w:rFonts w:ascii="宋体" w:hAnsi="宋体" w:eastAsia="宋体" w:cs="宋体"/>
                <w:sz w:val="20"/>
                <w:szCs w:val="20"/>
              </w:rPr>
              <w:t xml:space="preserve"> </w:t>
            </w:r>
            <w:r>
              <w:rPr>
                <w:rFonts w:ascii="宋体" w:hAnsi="宋体" w:eastAsia="宋体" w:cs="宋体"/>
                <w:spacing w:val="12"/>
                <w:sz w:val="20"/>
                <w:szCs w:val="20"/>
              </w:rPr>
              <w:t>响</w:t>
            </w:r>
            <w:r>
              <w:rPr>
                <w:rFonts w:ascii="宋体" w:hAnsi="宋体" w:eastAsia="宋体" w:cs="宋体"/>
                <w:spacing w:val="8"/>
                <w:sz w:val="20"/>
                <w:szCs w:val="20"/>
              </w:rPr>
              <w:t>居民及游客日常使用习惯。</w:t>
            </w:r>
          </w:p>
          <w:p>
            <w:pPr>
              <w:spacing w:line="227" w:lineRule="auto"/>
              <w:ind w:left="588"/>
              <w:rPr>
                <w:rFonts w:ascii="宋体" w:hAnsi="宋体" w:eastAsia="宋体" w:cs="宋体"/>
                <w:sz w:val="20"/>
                <w:szCs w:val="20"/>
              </w:rPr>
            </w:pPr>
            <w:r>
              <w:rPr>
                <w:rFonts w:ascii="宋体" w:hAnsi="宋体" w:eastAsia="宋体" w:cs="宋体"/>
                <w:spacing w:val="7"/>
                <w:sz w:val="17"/>
                <w:szCs w:val="17"/>
              </w:rPr>
              <w:t xml:space="preserve">2   </w:t>
            </w:r>
            <w:r>
              <w:rPr>
                <w:rFonts w:ascii="宋体" w:hAnsi="宋体" w:eastAsia="宋体" w:cs="宋体"/>
                <w:spacing w:val="7"/>
                <w:sz w:val="20"/>
                <w:szCs w:val="20"/>
              </w:rPr>
              <w:t>局部绿化改</w:t>
            </w:r>
            <w:r>
              <w:rPr>
                <w:rFonts w:ascii="宋体" w:hAnsi="宋体" w:eastAsia="宋体" w:cs="宋体"/>
                <w:spacing w:val="5"/>
                <w:sz w:val="20"/>
                <w:szCs w:val="20"/>
              </w:rPr>
              <w:t>造</w:t>
            </w:r>
          </w:p>
          <w:p>
            <w:pPr>
              <w:spacing w:before="154" w:line="369" w:lineRule="auto"/>
              <w:ind w:left="106" w:right="102" w:firstLine="446"/>
              <w:rPr>
                <w:rFonts w:ascii="宋体" w:hAnsi="宋体" w:eastAsia="宋体" w:cs="宋体"/>
                <w:sz w:val="20"/>
                <w:szCs w:val="20"/>
              </w:rPr>
            </w:pPr>
            <w:r>
              <w:rPr>
                <w:rFonts w:ascii="宋体" w:hAnsi="宋体" w:eastAsia="宋体" w:cs="宋体"/>
                <w:spacing w:val="12"/>
                <w:sz w:val="20"/>
                <w:szCs w:val="20"/>
              </w:rPr>
              <w:t>由于新建</w:t>
            </w:r>
            <w:r>
              <w:rPr>
                <w:rFonts w:ascii="宋体" w:hAnsi="宋体" w:eastAsia="宋体" w:cs="宋体"/>
                <w:spacing w:val="11"/>
                <w:sz w:val="20"/>
                <w:szCs w:val="20"/>
              </w:rPr>
              <w:t>桥</w:t>
            </w:r>
            <w:r>
              <w:rPr>
                <w:rFonts w:ascii="宋体" w:hAnsi="宋体" w:eastAsia="宋体" w:cs="宋体"/>
                <w:spacing w:val="6"/>
                <w:sz w:val="20"/>
                <w:szCs w:val="20"/>
              </w:rPr>
              <w:t>梁导致桥下空间不利于部分植物生长，故本次绿化改造需对桥下空间植被</w:t>
            </w:r>
            <w:r>
              <w:rPr>
                <w:rFonts w:ascii="宋体" w:hAnsi="宋体" w:eastAsia="宋体" w:cs="宋体"/>
                <w:sz w:val="20"/>
                <w:szCs w:val="20"/>
              </w:rPr>
              <w:t xml:space="preserve"> </w:t>
            </w:r>
            <w:r>
              <w:rPr>
                <w:rFonts w:ascii="宋体" w:hAnsi="宋体" w:eastAsia="宋体" w:cs="宋体"/>
                <w:spacing w:val="14"/>
                <w:sz w:val="20"/>
                <w:szCs w:val="20"/>
              </w:rPr>
              <w:t>进行重</w:t>
            </w:r>
            <w:r>
              <w:rPr>
                <w:rFonts w:ascii="宋体" w:hAnsi="宋体" w:eastAsia="宋体" w:cs="宋体"/>
                <w:spacing w:val="11"/>
                <w:sz w:val="20"/>
                <w:szCs w:val="20"/>
              </w:rPr>
              <w:t>新</w:t>
            </w:r>
            <w:r>
              <w:rPr>
                <w:rFonts w:ascii="宋体" w:hAnsi="宋体" w:eastAsia="宋体" w:cs="宋体"/>
                <w:spacing w:val="7"/>
                <w:sz w:val="20"/>
                <w:szCs w:val="20"/>
              </w:rPr>
              <w:t>设计，拟根据新建园路及桥梁桥下空间进行统一规划设计，采用耐阴耐湿的乔灌</w:t>
            </w:r>
          </w:p>
          <w:p>
            <w:pPr>
              <w:spacing w:before="1" w:line="228" w:lineRule="auto"/>
              <w:ind w:left="108"/>
              <w:rPr>
                <w:rFonts w:ascii="宋体" w:hAnsi="宋体" w:eastAsia="宋体" w:cs="宋体"/>
                <w:sz w:val="20"/>
                <w:szCs w:val="20"/>
              </w:rPr>
            </w:pPr>
            <w:r>
              <w:rPr>
                <w:rFonts w:ascii="宋体" w:hAnsi="宋体" w:eastAsia="宋体" w:cs="宋体"/>
                <w:spacing w:val="12"/>
                <w:sz w:val="20"/>
                <w:szCs w:val="20"/>
              </w:rPr>
              <w:t>木</w:t>
            </w:r>
            <w:r>
              <w:rPr>
                <w:rFonts w:ascii="宋体" w:hAnsi="宋体" w:eastAsia="宋体" w:cs="宋体"/>
                <w:spacing w:val="8"/>
                <w:sz w:val="20"/>
                <w:szCs w:val="20"/>
              </w:rPr>
              <w:t>品种对绿化空间进行重塑。</w:t>
            </w:r>
          </w:p>
        </w:tc>
      </w:tr>
    </w:tbl>
    <w:p>
      <w:pPr>
        <w:spacing w:line="148" w:lineRule="exact"/>
        <w:rPr>
          <w:rFonts w:ascii="Arial"/>
          <w:sz w:val="12"/>
        </w:rPr>
      </w:pPr>
    </w:p>
    <w:p>
      <w:pPr>
        <w:sectPr>
          <w:footerReference r:id="rId41" w:type="default"/>
          <w:pgSz w:w="11906" w:h="16839"/>
          <w:pgMar w:top="400" w:right="1487" w:bottom="1475" w:left="1486" w:header="0" w:footer="1315" w:gutter="0"/>
          <w:cols w:space="720" w:num="1"/>
        </w:sectPr>
      </w:pPr>
    </w:p>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8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22" w:hRule="atLeast"/>
        </w:trPr>
        <w:tc>
          <w:tcPr>
            <w:tcW w:w="600" w:type="dxa"/>
            <w:tcBorders>
              <w:left w:val="single" w:color="00000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28" w:lineRule="auto"/>
              <w:ind w:left="91"/>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p>
            <w:pPr>
              <w:spacing w:before="26" w:line="229" w:lineRule="auto"/>
              <w:ind w:left="9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组</w:t>
            </w:r>
            <w:r>
              <w:rPr>
                <w:rFonts w:ascii="宋体" w:hAnsi="宋体" w:eastAsia="宋体" w:cs="宋体"/>
                <w:spacing w:val="4"/>
                <w:sz w:val="20"/>
                <w:szCs w:val="20"/>
                <w14:textOutline w14:w="3795" w14:cap="sq" w14:cmpd="sng">
                  <w14:solidFill>
                    <w14:srgbClr w14:val="000000"/>
                  </w14:solidFill>
                  <w14:prstDash w14:val="solid"/>
                  <w14:bevel/>
                </w14:textOutline>
              </w:rPr>
              <w:t>成</w:t>
            </w:r>
          </w:p>
          <w:p>
            <w:pPr>
              <w:spacing w:before="22" w:line="230" w:lineRule="auto"/>
              <w:ind w:left="8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及规</w:t>
            </w:r>
          </w:p>
          <w:p>
            <w:pPr>
              <w:spacing w:before="24" w:line="228" w:lineRule="auto"/>
              <w:ind w:left="190"/>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模</w:t>
            </w:r>
          </w:p>
        </w:tc>
        <w:tc>
          <w:tcPr>
            <w:tcW w:w="8317" w:type="dxa"/>
            <w:tcBorders>
              <w:right w:val="single" w:color="000000" w:sz="6" w:space="0"/>
            </w:tcBorders>
            <w:vAlign w:val="top"/>
          </w:tcPr>
          <w:p>
            <w:pPr>
              <w:spacing w:before="144" w:line="228" w:lineRule="auto"/>
              <w:ind w:left="590"/>
              <w:rPr>
                <w:rFonts w:ascii="宋体" w:hAnsi="宋体" w:eastAsia="宋体" w:cs="宋体"/>
                <w:sz w:val="20"/>
                <w:szCs w:val="20"/>
              </w:rPr>
            </w:pPr>
            <w:r>
              <w:rPr>
                <w:rFonts w:ascii="宋体" w:hAnsi="宋体" w:eastAsia="宋体" w:cs="宋体"/>
                <w:spacing w:val="14"/>
                <w:sz w:val="17"/>
                <w:szCs w:val="17"/>
              </w:rPr>
              <w:t>3</w:t>
            </w:r>
            <w:r>
              <w:rPr>
                <w:rFonts w:ascii="宋体" w:hAnsi="宋体" w:eastAsia="宋体" w:cs="宋体"/>
                <w:spacing w:val="7"/>
                <w:sz w:val="17"/>
                <w:szCs w:val="17"/>
              </w:rPr>
              <w:t xml:space="preserve">   </w:t>
            </w:r>
            <w:r>
              <w:rPr>
                <w:rFonts w:ascii="宋体" w:hAnsi="宋体" w:eastAsia="宋体" w:cs="宋体"/>
                <w:spacing w:val="7"/>
                <w:sz w:val="20"/>
                <w:szCs w:val="20"/>
              </w:rPr>
              <w:t>地面地砖改造及恢复</w:t>
            </w:r>
          </w:p>
          <w:p>
            <w:pPr>
              <w:spacing w:before="153" w:line="369" w:lineRule="auto"/>
              <w:ind w:left="107" w:right="102" w:firstLine="445"/>
              <w:rPr>
                <w:rFonts w:ascii="宋体" w:hAnsi="宋体" w:eastAsia="宋体" w:cs="宋体"/>
                <w:sz w:val="20"/>
                <w:szCs w:val="20"/>
              </w:rPr>
            </w:pPr>
            <w:r>
              <w:rPr>
                <w:rFonts w:ascii="宋体" w:hAnsi="宋体" w:eastAsia="宋体" w:cs="宋体"/>
                <w:spacing w:val="12"/>
                <w:sz w:val="20"/>
                <w:szCs w:val="20"/>
              </w:rPr>
              <w:t>由于坡道</w:t>
            </w:r>
            <w:r>
              <w:rPr>
                <w:rFonts w:ascii="宋体" w:hAnsi="宋体" w:eastAsia="宋体" w:cs="宋体"/>
                <w:spacing w:val="11"/>
                <w:sz w:val="20"/>
                <w:szCs w:val="20"/>
              </w:rPr>
              <w:t>改</w:t>
            </w:r>
            <w:r>
              <w:rPr>
                <w:rFonts w:ascii="宋体" w:hAnsi="宋体" w:eastAsia="宋体" w:cs="宋体"/>
                <w:spacing w:val="6"/>
                <w:sz w:val="20"/>
                <w:szCs w:val="20"/>
              </w:rPr>
              <w:t>造破坏的局部地面地砖，后期将进行原貌修复，保证修复后地砖与周边地</w:t>
            </w:r>
            <w:r>
              <w:rPr>
                <w:rFonts w:ascii="宋体" w:hAnsi="宋体" w:eastAsia="宋体" w:cs="宋体"/>
                <w:sz w:val="20"/>
                <w:szCs w:val="20"/>
              </w:rPr>
              <w:t xml:space="preserve"> </w:t>
            </w:r>
            <w:r>
              <w:rPr>
                <w:rFonts w:ascii="宋体" w:hAnsi="宋体" w:eastAsia="宋体" w:cs="宋体"/>
                <w:spacing w:val="7"/>
                <w:sz w:val="20"/>
                <w:szCs w:val="20"/>
              </w:rPr>
              <w:t>砖保持一致</w:t>
            </w:r>
            <w:r>
              <w:rPr>
                <w:rFonts w:ascii="宋体" w:hAnsi="宋体" w:eastAsia="宋体" w:cs="宋体"/>
                <w:spacing w:val="5"/>
                <w:sz w:val="20"/>
                <w:szCs w:val="20"/>
              </w:rPr>
              <w:t>。</w:t>
            </w:r>
          </w:p>
          <w:p>
            <w:pPr>
              <w:spacing w:line="227" w:lineRule="auto"/>
              <w:ind w:left="585"/>
              <w:rPr>
                <w:rFonts w:ascii="宋体" w:hAnsi="宋体" w:eastAsia="宋体" w:cs="宋体"/>
                <w:sz w:val="20"/>
                <w:szCs w:val="20"/>
              </w:rPr>
            </w:pPr>
            <w:r>
              <w:rPr>
                <w:rFonts w:ascii="宋体" w:hAnsi="宋体" w:eastAsia="宋体" w:cs="宋体"/>
                <w:spacing w:val="8"/>
                <w:sz w:val="17"/>
                <w:szCs w:val="17"/>
              </w:rPr>
              <w:t>4</w:t>
            </w:r>
            <w:r>
              <w:rPr>
                <w:rFonts w:ascii="宋体" w:hAnsi="宋体" w:eastAsia="宋体" w:cs="宋体"/>
                <w:spacing w:val="7"/>
                <w:sz w:val="17"/>
                <w:szCs w:val="17"/>
              </w:rPr>
              <w:t xml:space="preserve">   </w:t>
            </w:r>
            <w:r>
              <w:rPr>
                <w:rFonts w:ascii="宋体" w:hAnsi="宋体" w:eastAsia="宋体" w:cs="宋体"/>
                <w:spacing w:val="7"/>
                <w:sz w:val="20"/>
                <w:szCs w:val="20"/>
              </w:rPr>
              <w:t>局部花池新建</w:t>
            </w:r>
          </w:p>
          <w:p>
            <w:pPr>
              <w:spacing w:before="153" w:line="369" w:lineRule="auto"/>
              <w:ind w:left="106" w:right="104" w:firstLine="446"/>
              <w:rPr>
                <w:rFonts w:ascii="宋体" w:hAnsi="宋体" w:eastAsia="宋体" w:cs="宋体"/>
                <w:sz w:val="20"/>
                <w:szCs w:val="20"/>
              </w:rPr>
            </w:pPr>
            <w:r>
              <w:rPr>
                <w:rFonts w:ascii="宋体" w:hAnsi="宋体" w:eastAsia="宋体" w:cs="宋体"/>
                <w:spacing w:val="12"/>
                <w:sz w:val="20"/>
                <w:szCs w:val="20"/>
              </w:rPr>
              <w:t>由于坡道</w:t>
            </w:r>
            <w:r>
              <w:rPr>
                <w:rFonts w:ascii="宋体" w:hAnsi="宋体" w:eastAsia="宋体" w:cs="宋体"/>
                <w:spacing w:val="9"/>
                <w:sz w:val="20"/>
                <w:szCs w:val="20"/>
              </w:rPr>
              <w:t>改</w:t>
            </w:r>
            <w:r>
              <w:rPr>
                <w:rFonts w:ascii="宋体" w:hAnsi="宋体" w:eastAsia="宋体" w:cs="宋体"/>
                <w:spacing w:val="6"/>
                <w:sz w:val="20"/>
                <w:szCs w:val="20"/>
              </w:rPr>
              <w:t>造破坏的局部花池，拟拆除原花池后于新设计花池处原样新建，保证与周</w:t>
            </w:r>
            <w:r>
              <w:rPr>
                <w:rFonts w:ascii="宋体" w:hAnsi="宋体" w:eastAsia="宋体" w:cs="宋体"/>
                <w:sz w:val="20"/>
                <w:szCs w:val="20"/>
              </w:rPr>
              <w:t xml:space="preserve"> </w:t>
            </w:r>
            <w:r>
              <w:rPr>
                <w:rFonts w:ascii="宋体" w:hAnsi="宋体" w:eastAsia="宋体" w:cs="宋体"/>
                <w:spacing w:val="9"/>
                <w:sz w:val="20"/>
                <w:szCs w:val="20"/>
              </w:rPr>
              <w:t>边</w:t>
            </w:r>
            <w:r>
              <w:rPr>
                <w:rFonts w:ascii="宋体" w:hAnsi="宋体" w:eastAsia="宋体" w:cs="宋体"/>
                <w:spacing w:val="8"/>
                <w:sz w:val="20"/>
                <w:szCs w:val="20"/>
              </w:rPr>
              <w:t>花池样式保持一致。</w:t>
            </w:r>
          </w:p>
          <w:p>
            <w:pPr>
              <w:spacing w:before="1" w:line="227" w:lineRule="auto"/>
              <w:ind w:left="590"/>
              <w:rPr>
                <w:rFonts w:ascii="宋体" w:hAnsi="宋体" w:eastAsia="宋体" w:cs="宋体"/>
                <w:sz w:val="20"/>
                <w:szCs w:val="20"/>
              </w:rPr>
            </w:pPr>
            <w:r>
              <w:rPr>
                <w:rFonts w:ascii="宋体" w:hAnsi="宋体" w:eastAsia="宋体" w:cs="宋体"/>
                <w:spacing w:val="12"/>
                <w:sz w:val="17"/>
                <w:szCs w:val="17"/>
              </w:rPr>
              <w:t>5</w:t>
            </w:r>
            <w:r>
              <w:rPr>
                <w:rFonts w:ascii="宋体" w:hAnsi="宋体" w:eastAsia="宋体" w:cs="宋体"/>
                <w:spacing w:val="7"/>
                <w:sz w:val="17"/>
                <w:szCs w:val="17"/>
              </w:rPr>
              <w:t xml:space="preserve"> </w:t>
            </w:r>
            <w:r>
              <w:rPr>
                <w:rFonts w:ascii="宋体" w:hAnsi="宋体" w:eastAsia="宋体" w:cs="宋体"/>
                <w:spacing w:val="6"/>
                <w:sz w:val="17"/>
                <w:szCs w:val="17"/>
              </w:rPr>
              <w:t xml:space="preserve">  </w:t>
            </w:r>
            <w:r>
              <w:rPr>
                <w:rFonts w:ascii="宋体" w:hAnsi="宋体" w:eastAsia="宋体" w:cs="宋体"/>
                <w:spacing w:val="6"/>
                <w:sz w:val="20"/>
                <w:szCs w:val="20"/>
              </w:rPr>
              <w:t>局部步道新建</w:t>
            </w:r>
          </w:p>
          <w:p>
            <w:pPr>
              <w:spacing w:before="155" w:line="369" w:lineRule="auto"/>
              <w:ind w:left="107" w:right="104" w:firstLine="445"/>
              <w:rPr>
                <w:rFonts w:ascii="宋体" w:hAnsi="宋体" w:eastAsia="宋体" w:cs="宋体"/>
                <w:sz w:val="20"/>
                <w:szCs w:val="20"/>
              </w:rPr>
            </w:pPr>
            <w:r>
              <w:rPr>
                <w:rFonts w:ascii="宋体" w:hAnsi="宋体" w:eastAsia="宋体" w:cs="宋体"/>
                <w:spacing w:val="12"/>
                <w:sz w:val="20"/>
                <w:szCs w:val="20"/>
              </w:rPr>
              <w:t>由于新建</w:t>
            </w:r>
            <w:r>
              <w:rPr>
                <w:rFonts w:ascii="宋体" w:hAnsi="宋体" w:eastAsia="宋体" w:cs="宋体"/>
                <w:spacing w:val="9"/>
                <w:sz w:val="20"/>
                <w:szCs w:val="20"/>
              </w:rPr>
              <w:t>桥</w:t>
            </w:r>
            <w:r>
              <w:rPr>
                <w:rFonts w:ascii="宋体" w:hAnsi="宋体" w:eastAsia="宋体" w:cs="宋体"/>
                <w:spacing w:val="6"/>
                <w:sz w:val="20"/>
                <w:szCs w:val="20"/>
              </w:rPr>
              <w:t>梁建设，部分公园园路需进行改线处理，本次园路改造拟延续原有线路大</w:t>
            </w:r>
            <w:r>
              <w:rPr>
                <w:rFonts w:ascii="宋体" w:hAnsi="宋体" w:eastAsia="宋体" w:cs="宋体"/>
                <w:sz w:val="20"/>
                <w:szCs w:val="20"/>
              </w:rPr>
              <w:t xml:space="preserve"> </w:t>
            </w:r>
            <w:r>
              <w:rPr>
                <w:rFonts w:ascii="宋体" w:hAnsi="宋体" w:eastAsia="宋体" w:cs="宋体"/>
                <w:spacing w:val="14"/>
                <w:sz w:val="20"/>
                <w:szCs w:val="20"/>
              </w:rPr>
              <w:t>致走向</w:t>
            </w:r>
            <w:r>
              <w:rPr>
                <w:rFonts w:ascii="宋体" w:hAnsi="宋体" w:eastAsia="宋体" w:cs="宋体"/>
                <w:spacing w:val="7"/>
                <w:sz w:val="20"/>
                <w:szCs w:val="20"/>
              </w:rPr>
              <w:t>与入口位置，进行线路微调，对桥梁桥台及桥墩进行绕行处理，新建部分与现状无</w:t>
            </w:r>
            <w:r>
              <w:rPr>
                <w:rFonts w:ascii="宋体" w:hAnsi="宋体" w:eastAsia="宋体" w:cs="宋体"/>
                <w:sz w:val="20"/>
                <w:szCs w:val="20"/>
              </w:rPr>
              <w:t xml:space="preserve"> </w:t>
            </w:r>
            <w:r>
              <w:rPr>
                <w:rFonts w:ascii="宋体" w:hAnsi="宋体" w:eastAsia="宋体" w:cs="宋体"/>
                <w:spacing w:val="17"/>
                <w:sz w:val="20"/>
                <w:szCs w:val="20"/>
              </w:rPr>
              <w:t>需</w:t>
            </w:r>
            <w:r>
              <w:rPr>
                <w:rFonts w:ascii="宋体" w:hAnsi="宋体" w:eastAsia="宋体" w:cs="宋体"/>
                <w:spacing w:val="9"/>
                <w:sz w:val="20"/>
                <w:szCs w:val="20"/>
              </w:rPr>
              <w:t>拆除园路进行衔接，园路样式与建设方式与原园路保持一致。</w:t>
            </w:r>
          </w:p>
          <w:p>
            <w:pPr>
              <w:spacing w:line="241" w:lineRule="auto"/>
              <w:ind w:left="108"/>
              <w:rPr>
                <w:rFonts w:ascii="黑体" w:hAnsi="黑体" w:eastAsia="黑体" w:cs="黑体"/>
                <w:sz w:val="20"/>
                <w:szCs w:val="20"/>
              </w:rPr>
            </w:pPr>
            <w:r>
              <w:rPr>
                <w:rFonts w:ascii="Times New Roman" w:hAnsi="Times New Roman" w:eastAsia="Times New Roman" w:cs="Times New Roman"/>
                <w:spacing w:val="-1"/>
                <w:sz w:val="20"/>
                <w:szCs w:val="20"/>
              </w:rPr>
              <w:t xml:space="preserve">6 </w:t>
            </w:r>
            <w:r>
              <w:rPr>
                <w:rFonts w:ascii="黑体" w:hAnsi="黑体" w:eastAsia="黑体" w:cs="黑体"/>
                <w:spacing w:val="-1"/>
                <w:sz w:val="20"/>
                <w:szCs w:val="20"/>
              </w:rPr>
              <w:t>、临时工程</w:t>
            </w:r>
          </w:p>
          <w:p>
            <w:pPr>
              <w:spacing w:before="141" w:line="369" w:lineRule="auto"/>
              <w:ind w:left="106" w:right="34" w:firstLine="421"/>
              <w:rPr>
                <w:rFonts w:ascii="宋体" w:hAnsi="宋体" w:eastAsia="宋体" w:cs="宋体"/>
                <w:sz w:val="20"/>
                <w:szCs w:val="20"/>
              </w:rPr>
            </w:pPr>
            <w:r>
              <w:rPr>
                <w:rFonts w:ascii="宋体" w:hAnsi="宋体" w:eastAsia="宋体" w:cs="宋体"/>
                <w:spacing w:val="12"/>
                <w:sz w:val="20"/>
                <w:szCs w:val="20"/>
              </w:rPr>
              <w:t>根</w:t>
            </w:r>
            <w:r>
              <w:rPr>
                <w:rFonts w:ascii="宋体" w:hAnsi="宋体" w:eastAsia="宋体" w:cs="宋体"/>
                <w:spacing w:val="9"/>
                <w:sz w:val="20"/>
                <w:szCs w:val="20"/>
              </w:rPr>
              <w:t>据项目初设资料，项目不设取土场、取料场，所需建筑材料 (如石料、砂卵石砾、</w:t>
            </w:r>
            <w:r>
              <w:rPr>
                <w:rFonts w:ascii="宋体" w:hAnsi="宋体" w:eastAsia="宋体" w:cs="宋体"/>
                <w:sz w:val="20"/>
                <w:szCs w:val="20"/>
              </w:rPr>
              <w:t xml:space="preserve"> </w:t>
            </w:r>
            <w:r>
              <w:rPr>
                <w:rFonts w:ascii="宋体" w:hAnsi="宋体" w:eastAsia="宋体" w:cs="宋体"/>
                <w:spacing w:val="14"/>
                <w:sz w:val="20"/>
                <w:szCs w:val="20"/>
              </w:rPr>
              <w:t>钢材</w:t>
            </w:r>
            <w:r>
              <w:rPr>
                <w:rFonts w:ascii="宋体" w:hAnsi="宋体" w:eastAsia="宋体" w:cs="宋体"/>
                <w:spacing w:val="9"/>
                <w:sz w:val="20"/>
                <w:szCs w:val="20"/>
              </w:rPr>
              <w:t>、</w:t>
            </w:r>
            <w:r>
              <w:rPr>
                <w:rFonts w:ascii="宋体" w:hAnsi="宋体" w:eastAsia="宋体" w:cs="宋体"/>
                <w:spacing w:val="7"/>
                <w:sz w:val="20"/>
                <w:szCs w:val="20"/>
              </w:rPr>
              <w:t>木材、水泥、沥青等) 均外购。桥梁上部主梁采用整体钢箱梁结构形式、桥塔采用</w:t>
            </w:r>
            <w:r>
              <w:rPr>
                <w:rFonts w:ascii="宋体" w:hAnsi="宋体" w:eastAsia="宋体" w:cs="宋体"/>
                <w:sz w:val="20"/>
                <w:szCs w:val="20"/>
              </w:rPr>
              <w:t xml:space="preserve"> </w:t>
            </w:r>
            <w:r>
              <w:rPr>
                <w:rFonts w:ascii="宋体" w:hAnsi="宋体" w:eastAsia="宋体" w:cs="宋体"/>
                <w:spacing w:val="8"/>
                <w:sz w:val="20"/>
                <w:szCs w:val="20"/>
              </w:rPr>
              <w:t>钢</w:t>
            </w:r>
            <w:r>
              <w:rPr>
                <w:rFonts w:ascii="宋体" w:hAnsi="宋体" w:eastAsia="宋体" w:cs="宋体"/>
                <w:spacing w:val="6"/>
                <w:sz w:val="20"/>
                <w:szCs w:val="20"/>
              </w:rPr>
              <w:t>塔</w:t>
            </w:r>
            <w:r>
              <w:rPr>
                <w:rFonts w:ascii="宋体" w:hAnsi="宋体" w:eastAsia="宋体" w:cs="宋体"/>
                <w:spacing w:val="4"/>
                <w:sz w:val="20"/>
                <w:szCs w:val="20"/>
              </w:rPr>
              <w:t>，钢结构在钢梁工厂加工，现场逐段拼装，本项目不设置钢箱梁场；下部承台、桥墩、</w:t>
            </w:r>
            <w:r>
              <w:rPr>
                <w:rFonts w:ascii="宋体" w:hAnsi="宋体" w:eastAsia="宋体" w:cs="宋体"/>
                <w:sz w:val="20"/>
                <w:szCs w:val="20"/>
              </w:rPr>
              <w:t xml:space="preserve"> </w:t>
            </w:r>
            <w:r>
              <w:rPr>
                <w:rFonts w:ascii="宋体" w:hAnsi="宋体" w:eastAsia="宋体" w:cs="宋体"/>
                <w:spacing w:val="14"/>
                <w:sz w:val="20"/>
                <w:szCs w:val="20"/>
              </w:rPr>
              <w:t>桥台均</w:t>
            </w:r>
            <w:r>
              <w:rPr>
                <w:rFonts w:ascii="宋体" w:hAnsi="宋体" w:eastAsia="宋体" w:cs="宋体"/>
                <w:spacing w:val="11"/>
                <w:sz w:val="20"/>
                <w:szCs w:val="20"/>
              </w:rPr>
              <w:t>为</w:t>
            </w:r>
            <w:r>
              <w:rPr>
                <w:rFonts w:ascii="宋体" w:hAnsi="宋体" w:eastAsia="宋体" w:cs="宋体"/>
                <w:spacing w:val="7"/>
                <w:sz w:val="20"/>
                <w:szCs w:val="20"/>
              </w:rPr>
              <w:t>现浇施工，路基水稳层、路面铺装沥青等均外购成品，因此项目不设置不设预制</w:t>
            </w:r>
            <w:r>
              <w:rPr>
                <w:rFonts w:ascii="宋体" w:hAnsi="宋体" w:eastAsia="宋体" w:cs="宋体"/>
                <w:sz w:val="20"/>
                <w:szCs w:val="20"/>
              </w:rPr>
              <w:t xml:space="preserve"> </w:t>
            </w:r>
            <w:r>
              <w:rPr>
                <w:rFonts w:ascii="宋体" w:hAnsi="宋体" w:eastAsia="宋体" w:cs="宋体"/>
                <w:spacing w:val="18"/>
                <w:sz w:val="20"/>
                <w:szCs w:val="20"/>
              </w:rPr>
              <w:t>场</w:t>
            </w:r>
            <w:r>
              <w:rPr>
                <w:rFonts w:ascii="宋体" w:hAnsi="宋体" w:eastAsia="宋体" w:cs="宋体"/>
                <w:spacing w:val="15"/>
                <w:sz w:val="20"/>
                <w:szCs w:val="20"/>
              </w:rPr>
              <w:t>、</w:t>
            </w:r>
            <w:r>
              <w:rPr>
                <w:rFonts w:ascii="宋体" w:hAnsi="宋体" w:eastAsia="宋体" w:cs="宋体"/>
                <w:spacing w:val="9"/>
                <w:sz w:val="20"/>
                <w:szCs w:val="20"/>
              </w:rPr>
              <w:t>拌和站、沥青搅拌站等临时工程。施工机械就近维修、停放，利用附近的机修设施，</w:t>
            </w:r>
            <w:r>
              <w:rPr>
                <w:rFonts w:ascii="宋体" w:hAnsi="宋体" w:eastAsia="宋体" w:cs="宋体"/>
                <w:sz w:val="20"/>
                <w:szCs w:val="20"/>
              </w:rPr>
              <w:t xml:space="preserve"> </w:t>
            </w:r>
            <w:r>
              <w:rPr>
                <w:rFonts w:ascii="宋体" w:hAnsi="宋体" w:eastAsia="宋体" w:cs="宋体"/>
                <w:spacing w:val="14"/>
                <w:sz w:val="20"/>
                <w:szCs w:val="20"/>
              </w:rPr>
              <w:t>项目不</w:t>
            </w:r>
            <w:r>
              <w:rPr>
                <w:rFonts w:ascii="宋体" w:hAnsi="宋体" w:eastAsia="宋体" w:cs="宋体"/>
                <w:spacing w:val="11"/>
                <w:sz w:val="20"/>
                <w:szCs w:val="20"/>
              </w:rPr>
              <w:t>设</w:t>
            </w:r>
            <w:r>
              <w:rPr>
                <w:rFonts w:ascii="宋体" w:hAnsi="宋体" w:eastAsia="宋体" w:cs="宋体"/>
                <w:spacing w:val="7"/>
                <w:sz w:val="20"/>
                <w:szCs w:val="20"/>
              </w:rPr>
              <w:t>置机械维修站。项目位于城区，施工现场不设置施工营地，施工人员生活自行解</w:t>
            </w:r>
            <w:r>
              <w:rPr>
                <w:rFonts w:ascii="宋体" w:hAnsi="宋体" w:eastAsia="宋体" w:cs="宋体"/>
                <w:sz w:val="20"/>
                <w:szCs w:val="20"/>
              </w:rPr>
              <w:t xml:space="preserve"> </w:t>
            </w:r>
            <w:r>
              <w:rPr>
                <w:rFonts w:ascii="宋体" w:hAnsi="宋体" w:eastAsia="宋体" w:cs="宋体"/>
                <w:spacing w:val="14"/>
                <w:sz w:val="20"/>
                <w:szCs w:val="20"/>
              </w:rPr>
              <w:t>决。本</w:t>
            </w:r>
            <w:r>
              <w:rPr>
                <w:rFonts w:ascii="宋体" w:hAnsi="宋体" w:eastAsia="宋体" w:cs="宋体"/>
                <w:spacing w:val="9"/>
                <w:sz w:val="20"/>
                <w:szCs w:val="20"/>
              </w:rPr>
              <w:t>项</w:t>
            </w:r>
            <w:r>
              <w:rPr>
                <w:rFonts w:ascii="宋体" w:hAnsi="宋体" w:eastAsia="宋体" w:cs="宋体"/>
                <w:spacing w:val="7"/>
                <w:sz w:val="20"/>
                <w:szCs w:val="20"/>
              </w:rPr>
              <w:t>目临时工程主要包括施工营地、施工便道、施工栈桥、土石方临时堆、泥浆沉淀</w:t>
            </w:r>
            <w:r>
              <w:rPr>
                <w:rFonts w:ascii="宋体" w:hAnsi="宋体" w:eastAsia="宋体" w:cs="宋体"/>
                <w:sz w:val="20"/>
                <w:szCs w:val="20"/>
              </w:rPr>
              <w:t xml:space="preserve"> </w:t>
            </w:r>
            <w:r>
              <w:rPr>
                <w:rFonts w:ascii="宋体" w:hAnsi="宋体" w:eastAsia="宋体" w:cs="宋体"/>
                <w:spacing w:val="5"/>
                <w:sz w:val="20"/>
                <w:szCs w:val="20"/>
              </w:rPr>
              <w:t>池</w:t>
            </w:r>
            <w:r>
              <w:rPr>
                <w:rFonts w:ascii="宋体" w:hAnsi="宋体" w:eastAsia="宋体" w:cs="宋体"/>
                <w:spacing w:val="3"/>
                <w:sz w:val="20"/>
                <w:szCs w:val="20"/>
              </w:rPr>
              <w:t>等。</w:t>
            </w:r>
          </w:p>
          <w:p>
            <w:pPr>
              <w:spacing w:line="227" w:lineRule="auto"/>
              <w:ind w:left="537"/>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8"/>
                <w:sz w:val="20"/>
                <w:szCs w:val="20"/>
              </w:rPr>
              <w:t>1</w:t>
            </w: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宋体" w:hAnsi="宋体" w:eastAsia="宋体" w:cs="宋体"/>
                <w:spacing w:val="18"/>
                <w:sz w:val="20"/>
                <w:szCs w:val="20"/>
              </w:rPr>
              <w:t xml:space="preserve"> </w:t>
            </w:r>
            <w:r>
              <w:rPr>
                <w:rFonts w:ascii="宋体" w:hAnsi="宋体" w:eastAsia="宋体" w:cs="宋体"/>
                <w:spacing w:val="18"/>
                <w:sz w:val="20"/>
                <w:szCs w:val="20"/>
                <w14:textOutline w14:w="3795" w14:cap="sq" w14:cmpd="sng">
                  <w14:solidFill>
                    <w14:srgbClr w14:val="000000"/>
                  </w14:solidFill>
                  <w14:prstDash w14:val="solid"/>
                  <w14:bevel/>
                </w14:textOutline>
              </w:rPr>
              <w:t>施工便道</w:t>
            </w:r>
          </w:p>
          <w:p>
            <w:pPr>
              <w:spacing w:before="154" w:line="342" w:lineRule="auto"/>
              <w:ind w:left="106" w:right="102" w:firstLine="421"/>
              <w:rPr>
                <w:rFonts w:ascii="宋体" w:hAnsi="宋体" w:eastAsia="宋体" w:cs="宋体"/>
                <w:sz w:val="20"/>
                <w:szCs w:val="20"/>
              </w:rPr>
            </w:pPr>
            <w:r>
              <w:rPr>
                <w:rFonts w:ascii="宋体" w:hAnsi="宋体" w:eastAsia="宋体" w:cs="宋体"/>
                <w:spacing w:val="9"/>
                <w:sz w:val="20"/>
                <w:szCs w:val="20"/>
              </w:rPr>
              <w:t>本</w:t>
            </w:r>
            <w:r>
              <w:rPr>
                <w:rFonts w:ascii="宋体" w:hAnsi="宋体" w:eastAsia="宋体" w:cs="宋体"/>
                <w:spacing w:val="7"/>
                <w:sz w:val="20"/>
                <w:szCs w:val="20"/>
              </w:rPr>
              <w:t>项目拟建桥梁东端主要利用已建的江湾路、犀牛大道 (本项目平交) 运输，不设施</w:t>
            </w:r>
            <w:r>
              <w:rPr>
                <w:rFonts w:ascii="宋体" w:hAnsi="宋体" w:eastAsia="宋体" w:cs="宋体"/>
                <w:sz w:val="20"/>
                <w:szCs w:val="20"/>
              </w:rPr>
              <w:t xml:space="preserve"> </w:t>
            </w:r>
            <w:r>
              <w:rPr>
                <w:rFonts w:ascii="宋体" w:hAnsi="宋体" w:eastAsia="宋体" w:cs="宋体"/>
                <w:spacing w:val="14"/>
                <w:sz w:val="20"/>
                <w:szCs w:val="20"/>
              </w:rPr>
              <w:t>工便</w:t>
            </w:r>
            <w:r>
              <w:rPr>
                <w:rFonts w:ascii="宋体" w:hAnsi="宋体" w:eastAsia="宋体" w:cs="宋体"/>
                <w:spacing w:val="8"/>
                <w:sz w:val="20"/>
                <w:szCs w:val="20"/>
              </w:rPr>
              <w:t>道</w:t>
            </w:r>
            <w:r>
              <w:rPr>
                <w:rFonts w:ascii="宋体" w:hAnsi="宋体" w:eastAsia="宋体" w:cs="宋体"/>
                <w:spacing w:val="7"/>
                <w:sz w:val="20"/>
                <w:szCs w:val="20"/>
              </w:rPr>
              <w:t>。由于西端平交的滨河路尚未建设，拟在滨河路的用地内建设施工便道 (后期可作</w:t>
            </w:r>
            <w:r>
              <w:rPr>
                <w:rFonts w:ascii="宋体" w:hAnsi="宋体" w:eastAsia="宋体" w:cs="宋体"/>
                <w:sz w:val="20"/>
                <w:szCs w:val="20"/>
              </w:rPr>
              <w:t xml:space="preserve"> </w:t>
            </w:r>
            <w:r>
              <w:rPr>
                <w:rFonts w:ascii="宋体" w:hAnsi="宋体" w:eastAsia="宋体" w:cs="宋体"/>
                <w:spacing w:val="4"/>
                <w:sz w:val="20"/>
                <w:szCs w:val="20"/>
              </w:rPr>
              <w:t>为</w:t>
            </w:r>
            <w:r>
              <w:rPr>
                <w:rFonts w:ascii="宋体" w:hAnsi="宋体" w:eastAsia="宋体" w:cs="宋体"/>
                <w:spacing w:val="3"/>
                <w:sz w:val="20"/>
                <w:szCs w:val="20"/>
              </w:rPr>
              <w:t xml:space="preserve">滨河路的路基) 至拟建桥梁西端施工现场，长度约 </w:t>
            </w:r>
            <w:r>
              <w:rPr>
                <w:rFonts w:ascii="Times New Roman" w:hAnsi="Times New Roman" w:eastAsia="Times New Roman" w:cs="Times New Roman"/>
                <w:spacing w:val="3"/>
                <w:sz w:val="20"/>
                <w:szCs w:val="20"/>
              </w:rPr>
              <w:t>568</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。路肩宽 </w:t>
            </w:r>
            <w:r>
              <w:rPr>
                <w:rFonts w:ascii="Times New Roman" w:hAnsi="Times New Roman" w:eastAsia="Times New Roman" w:cs="Times New Roman"/>
                <w:spacing w:val="3"/>
                <w:sz w:val="20"/>
                <w:szCs w:val="20"/>
              </w:rPr>
              <w:t>8.5</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，压实路基后，</w:t>
            </w:r>
            <w:r>
              <w:rPr>
                <w:rFonts w:ascii="宋体" w:hAnsi="宋体" w:eastAsia="宋体" w:cs="宋体"/>
                <w:sz w:val="20"/>
                <w:szCs w:val="20"/>
              </w:rPr>
              <w:t xml:space="preserve"> </w:t>
            </w:r>
            <w:r>
              <w:rPr>
                <w:rFonts w:ascii="宋体" w:hAnsi="宋体" w:eastAsia="宋体" w:cs="宋体"/>
                <w:spacing w:val="10"/>
                <w:sz w:val="20"/>
                <w:szCs w:val="20"/>
              </w:rPr>
              <w:t xml:space="preserve">铺 </w:t>
            </w:r>
            <w:r>
              <w:rPr>
                <w:rFonts w:ascii="Times New Roman" w:hAnsi="Times New Roman" w:eastAsia="Times New Roman" w:cs="Times New Roman"/>
                <w:spacing w:val="10"/>
                <w:sz w:val="20"/>
                <w:szCs w:val="20"/>
              </w:rPr>
              <w:t>25</w:t>
            </w:r>
            <w:r>
              <w:rPr>
                <w:rFonts w:ascii="Times New Roman" w:hAnsi="Times New Roman" w:eastAsia="Times New Roman" w:cs="Times New Roman"/>
                <w:sz w:val="20"/>
                <w:szCs w:val="20"/>
              </w:rPr>
              <w:t>cm</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厚</w:t>
            </w:r>
            <w:r>
              <w:rPr>
                <w:rFonts w:ascii="宋体" w:hAnsi="宋体" w:eastAsia="宋体" w:cs="宋体"/>
                <w:spacing w:val="5"/>
                <w:sz w:val="20"/>
                <w:szCs w:val="20"/>
              </w:rPr>
              <w:t xml:space="preserve"> </w:t>
            </w:r>
            <w:r>
              <w:rPr>
                <w:rFonts w:ascii="Times New Roman" w:hAnsi="Times New Roman" w:eastAsia="Times New Roman" w:cs="Times New Roman"/>
                <w:spacing w:val="5"/>
                <w:sz w:val="20"/>
                <w:szCs w:val="20"/>
              </w:rPr>
              <w:t>5.5%</w:t>
            </w:r>
            <w:r>
              <w:rPr>
                <w:rFonts w:ascii="宋体" w:hAnsi="宋体" w:eastAsia="宋体" w:cs="宋体"/>
                <w:spacing w:val="5"/>
                <w:sz w:val="20"/>
                <w:szCs w:val="20"/>
              </w:rPr>
              <w:t>水泥稳定级配碎石基层，路面采用</w:t>
            </w:r>
            <w:r>
              <w:rPr>
                <w:rFonts w:ascii="Times New Roman" w:hAnsi="Times New Roman" w:eastAsia="Times New Roman" w:cs="Times New Roman"/>
                <w:sz w:val="20"/>
                <w:szCs w:val="20"/>
              </w:rPr>
              <w:t>C</w:t>
            </w:r>
            <w:r>
              <w:rPr>
                <w:rFonts w:ascii="Times New Roman" w:hAnsi="Times New Roman" w:eastAsia="Times New Roman" w:cs="Times New Roman"/>
                <w:spacing w:val="5"/>
                <w:sz w:val="20"/>
                <w:szCs w:val="20"/>
              </w:rPr>
              <w:t xml:space="preserve">30 </w:t>
            </w:r>
            <w:r>
              <w:rPr>
                <w:rFonts w:ascii="宋体" w:hAnsi="宋体" w:eastAsia="宋体" w:cs="宋体"/>
                <w:spacing w:val="5"/>
                <w:sz w:val="20"/>
                <w:szCs w:val="20"/>
              </w:rPr>
              <w:t xml:space="preserve">水泥砼面，厚度 </w:t>
            </w:r>
            <w:r>
              <w:rPr>
                <w:rFonts w:ascii="Times New Roman" w:hAnsi="Times New Roman" w:eastAsia="Times New Roman" w:cs="Times New Roman"/>
                <w:spacing w:val="5"/>
                <w:sz w:val="20"/>
                <w:szCs w:val="20"/>
              </w:rPr>
              <w:t>24</w:t>
            </w:r>
            <w:r>
              <w:rPr>
                <w:rFonts w:ascii="Times New Roman" w:hAnsi="Times New Roman" w:eastAsia="Times New Roman" w:cs="Times New Roman"/>
                <w:sz w:val="20"/>
                <w:szCs w:val="20"/>
              </w:rPr>
              <w:t>cm</w:t>
            </w:r>
            <w:r>
              <w:rPr>
                <w:rFonts w:ascii="宋体" w:hAnsi="宋体" w:eastAsia="宋体" w:cs="宋体"/>
                <w:spacing w:val="5"/>
                <w:sz w:val="20"/>
                <w:szCs w:val="20"/>
              </w:rPr>
              <w:t>。</w:t>
            </w:r>
          </w:p>
          <w:p>
            <w:pPr>
              <w:spacing w:before="94" w:line="230" w:lineRule="auto"/>
              <w:ind w:left="2762"/>
              <w:rPr>
                <w:rFonts w:ascii="黑体" w:hAnsi="黑体" w:eastAsia="黑体" w:cs="黑体"/>
                <w:sz w:val="19"/>
                <w:szCs w:val="19"/>
              </w:rPr>
            </w:pPr>
            <w:r>
              <w:rPr>
                <w:rFonts w:ascii="黑体" w:hAnsi="黑体" w:eastAsia="黑体" w:cs="黑体"/>
                <w:spacing w:val="8"/>
                <w:sz w:val="19"/>
                <w:szCs w:val="19"/>
              </w:rPr>
              <w:t>表</w:t>
            </w:r>
            <w:r>
              <w:rPr>
                <w:rFonts w:ascii="Times New Roman" w:hAnsi="Times New Roman" w:eastAsia="Times New Roman" w:cs="Times New Roman"/>
                <w:spacing w:val="7"/>
                <w:sz w:val="19"/>
                <w:szCs w:val="19"/>
              </w:rPr>
              <w:t xml:space="preserve">13    </w:t>
            </w:r>
            <w:r>
              <w:rPr>
                <w:rFonts w:ascii="黑体" w:hAnsi="黑体" w:eastAsia="黑体" w:cs="黑体"/>
                <w:spacing w:val="7"/>
                <w:sz w:val="19"/>
                <w:szCs w:val="19"/>
              </w:rPr>
              <w:t>项目施工便道布置一览表</w:t>
            </w:r>
          </w:p>
          <w:p>
            <w:pPr>
              <w:spacing w:line="75" w:lineRule="auto"/>
              <w:rPr>
                <w:rFonts w:ascii="Arial"/>
                <w:sz w:val="2"/>
              </w:rPr>
            </w:pPr>
          </w:p>
          <w:tbl>
            <w:tblPr>
              <w:tblStyle w:val="4"/>
              <w:tblW w:w="8001" w:type="dxa"/>
              <w:tblInd w:w="15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797"/>
              <w:gridCol w:w="1366"/>
              <w:gridCol w:w="1170"/>
              <w:gridCol w:w="1143"/>
              <w:gridCol w:w="1062"/>
              <w:gridCol w:w="6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18" w:type="dxa"/>
                  <w:vMerge w:val="restart"/>
                  <w:tcBorders>
                    <w:bottom w:val="nil"/>
                  </w:tcBorders>
                  <w:vAlign w:val="top"/>
                </w:tcPr>
                <w:p>
                  <w:pPr>
                    <w:spacing w:before="264" w:line="232" w:lineRule="auto"/>
                    <w:ind w:left="232"/>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序</w:t>
                  </w:r>
                  <w:r>
                    <w:rPr>
                      <w:rFonts w:ascii="宋体" w:hAnsi="宋体" w:eastAsia="宋体" w:cs="宋体"/>
                      <w:spacing w:val="6"/>
                      <w:sz w:val="17"/>
                      <w:szCs w:val="17"/>
                      <w14:textOutline w14:w="3268" w14:cap="sq" w14:cmpd="sng">
                        <w14:solidFill>
                          <w14:srgbClr w14:val="000000"/>
                        </w14:solidFill>
                        <w14:prstDash w14:val="solid"/>
                        <w14:bevel/>
                      </w14:textOutline>
                    </w:rPr>
                    <w:t>号</w:t>
                  </w:r>
                </w:p>
              </w:tc>
              <w:tc>
                <w:tcPr>
                  <w:tcW w:w="1797" w:type="dxa"/>
                  <w:vMerge w:val="restart"/>
                  <w:tcBorders>
                    <w:bottom w:val="nil"/>
                  </w:tcBorders>
                  <w:vAlign w:val="top"/>
                </w:tcPr>
                <w:p>
                  <w:pPr>
                    <w:spacing w:before="265" w:line="230" w:lineRule="auto"/>
                    <w:ind w:left="721"/>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桩号</w:t>
                  </w:r>
                </w:p>
              </w:tc>
              <w:tc>
                <w:tcPr>
                  <w:tcW w:w="1366" w:type="dxa"/>
                  <w:vMerge w:val="restart"/>
                  <w:tcBorders>
                    <w:bottom w:val="nil"/>
                  </w:tcBorders>
                  <w:vAlign w:val="top"/>
                </w:tcPr>
                <w:p>
                  <w:pPr>
                    <w:spacing w:before="265" w:line="230" w:lineRule="auto"/>
                    <w:ind w:left="327"/>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工</w:t>
                  </w:r>
                  <w:r>
                    <w:rPr>
                      <w:rFonts w:ascii="宋体" w:hAnsi="宋体" w:eastAsia="宋体" w:cs="宋体"/>
                      <w:spacing w:val="8"/>
                      <w:sz w:val="17"/>
                      <w:szCs w:val="17"/>
                      <w14:textOutline w14:w="3268" w14:cap="sq" w14:cmpd="sng">
                        <w14:solidFill>
                          <w14:srgbClr w14:val="000000"/>
                        </w14:solidFill>
                        <w14:prstDash w14:val="solid"/>
                        <w14:bevel/>
                      </w14:textOutline>
                    </w:rPr>
                    <w:t>程内容</w:t>
                  </w:r>
                </w:p>
              </w:tc>
              <w:tc>
                <w:tcPr>
                  <w:tcW w:w="3375" w:type="dxa"/>
                  <w:gridSpan w:val="3"/>
                  <w:vAlign w:val="top"/>
                </w:tcPr>
                <w:p>
                  <w:pPr>
                    <w:spacing w:before="92" w:line="230" w:lineRule="auto"/>
                    <w:ind w:left="1060"/>
                    <w:rPr>
                      <w:rFonts w:ascii="宋体" w:hAnsi="宋体" w:eastAsia="宋体" w:cs="宋体"/>
                      <w:sz w:val="17"/>
                      <w:szCs w:val="17"/>
                    </w:rPr>
                  </w:pPr>
                  <w:r>
                    <w:rPr>
                      <w:rFonts w:ascii="宋体" w:hAnsi="宋体" w:eastAsia="宋体" w:cs="宋体"/>
                      <w:spacing w:val="13"/>
                      <w:sz w:val="17"/>
                      <w:szCs w:val="17"/>
                      <w14:textOutline w14:w="3268" w14:cap="sq" w14:cmpd="sng">
                        <w14:solidFill>
                          <w14:srgbClr w14:val="000000"/>
                        </w14:solidFill>
                        <w14:prstDash w14:val="solid"/>
                        <w14:bevel/>
                      </w14:textOutline>
                    </w:rPr>
                    <w:t>便</w:t>
                  </w:r>
                  <w:r>
                    <w:rPr>
                      <w:rFonts w:ascii="宋体" w:hAnsi="宋体" w:eastAsia="宋体" w:cs="宋体"/>
                      <w:spacing w:val="9"/>
                      <w:sz w:val="17"/>
                      <w:szCs w:val="17"/>
                      <w14:textOutline w14:w="3268" w14:cap="sq" w14:cmpd="sng">
                        <w14:solidFill>
                          <w14:srgbClr w14:val="000000"/>
                        </w14:solidFill>
                        <w14:prstDash w14:val="solid"/>
                        <w14:bevel/>
                      </w14:textOutline>
                    </w:rPr>
                    <w:t>道标准与宽度</w:t>
                  </w:r>
                </w:p>
              </w:tc>
              <w:tc>
                <w:tcPr>
                  <w:tcW w:w="645" w:type="dxa"/>
                  <w:vMerge w:val="restart"/>
                  <w:tcBorders>
                    <w:bottom w:val="nil"/>
                  </w:tcBorders>
                  <w:vAlign w:val="top"/>
                </w:tcPr>
                <w:p>
                  <w:pPr>
                    <w:spacing w:before="264" w:line="232" w:lineRule="auto"/>
                    <w:ind w:left="149"/>
                    <w:rPr>
                      <w:rFonts w:ascii="宋体" w:hAnsi="宋体" w:eastAsia="宋体" w:cs="宋体"/>
                      <w:sz w:val="17"/>
                      <w:szCs w:val="17"/>
                    </w:rPr>
                  </w:pPr>
                  <w:r>
                    <w:rPr>
                      <w:rFonts w:ascii="宋体" w:hAnsi="宋体" w:eastAsia="宋体" w:cs="宋体"/>
                      <w:spacing w:val="5"/>
                      <w:sz w:val="17"/>
                      <w:szCs w:val="17"/>
                      <w14:textOutline w14:w="3268" w14:cap="sq" w14:cmpd="sng">
                        <w14:solidFill>
                          <w14:srgbClr w14:val="000000"/>
                        </w14:solidFill>
                        <w14:prstDash w14:val="solid"/>
                        <w14:bevel/>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818" w:type="dxa"/>
                  <w:vMerge w:val="continue"/>
                  <w:tcBorders>
                    <w:top w:val="nil"/>
                  </w:tcBorders>
                  <w:vAlign w:val="top"/>
                </w:tcPr>
                <w:p>
                  <w:pPr>
                    <w:rPr>
                      <w:rFonts w:ascii="Arial"/>
                      <w:sz w:val="21"/>
                    </w:rPr>
                  </w:pPr>
                </w:p>
              </w:tc>
              <w:tc>
                <w:tcPr>
                  <w:tcW w:w="1797" w:type="dxa"/>
                  <w:vMerge w:val="continue"/>
                  <w:tcBorders>
                    <w:top w:val="nil"/>
                  </w:tcBorders>
                  <w:vAlign w:val="top"/>
                </w:tcPr>
                <w:p>
                  <w:pPr>
                    <w:rPr>
                      <w:rFonts w:ascii="Arial"/>
                      <w:sz w:val="21"/>
                    </w:rPr>
                  </w:pPr>
                </w:p>
              </w:tc>
              <w:tc>
                <w:tcPr>
                  <w:tcW w:w="1366" w:type="dxa"/>
                  <w:vMerge w:val="continue"/>
                  <w:tcBorders>
                    <w:top w:val="nil"/>
                  </w:tcBorders>
                  <w:vAlign w:val="top"/>
                </w:tcPr>
                <w:p>
                  <w:pPr>
                    <w:rPr>
                      <w:rFonts w:ascii="Arial"/>
                      <w:sz w:val="21"/>
                    </w:rPr>
                  </w:pPr>
                </w:p>
              </w:tc>
              <w:tc>
                <w:tcPr>
                  <w:tcW w:w="1170" w:type="dxa"/>
                  <w:vAlign w:val="top"/>
                </w:tcPr>
                <w:p>
                  <w:pPr>
                    <w:spacing w:before="89" w:line="231" w:lineRule="auto"/>
                    <w:ind w:left="161"/>
                    <w:rPr>
                      <w:rFonts w:ascii="宋体" w:hAnsi="宋体" w:eastAsia="宋体" w:cs="宋体"/>
                      <w:sz w:val="17"/>
                      <w:szCs w:val="17"/>
                    </w:rPr>
                  </w:pPr>
                  <w:r>
                    <w:rPr>
                      <w:rFonts w:ascii="宋体" w:hAnsi="宋体" w:eastAsia="宋体" w:cs="宋体"/>
                      <w:spacing w:val="2"/>
                      <w:sz w:val="17"/>
                      <w:szCs w:val="17"/>
                      <w14:textOutline w14:w="3268" w14:cap="sq" w14:cmpd="sng">
                        <w14:solidFill>
                          <w14:srgbClr w14:val="000000"/>
                        </w14:solidFill>
                        <w14:prstDash w14:val="solid"/>
                        <w14:bevel/>
                      </w14:textOutline>
                    </w:rPr>
                    <w:t>宽度</w:t>
                  </w:r>
                  <w:r>
                    <w:rPr>
                      <w:rFonts w:ascii="宋体" w:hAnsi="宋体" w:eastAsia="宋体" w:cs="宋体"/>
                      <w:spacing w:val="2"/>
                      <w:sz w:val="17"/>
                      <w:szCs w:val="17"/>
                    </w:rPr>
                    <w:t xml:space="preserve"> </w:t>
                  </w:r>
                  <w:r>
                    <w:rPr>
                      <w:rFonts w:ascii="宋体" w:hAnsi="宋体" w:eastAsia="宋体" w:cs="宋体"/>
                      <w:spacing w:val="1"/>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z w:val="17"/>
                      <w:szCs w:val="17"/>
                    </w:rPr>
                    <w:t>m</w:t>
                  </w:r>
                  <w:r>
                    <w:rPr>
                      <w:rFonts w:ascii="Times New Roman" w:hAnsi="Times New Roman" w:eastAsia="Times New Roman" w:cs="Times New Roman"/>
                      <w:spacing w:val="1"/>
                      <w:sz w:val="17"/>
                      <w:szCs w:val="17"/>
                    </w:rPr>
                    <w:t xml:space="preserve"> </w:t>
                  </w:r>
                  <w:r>
                    <w:rPr>
                      <w:rFonts w:ascii="宋体" w:hAnsi="宋体" w:eastAsia="宋体" w:cs="宋体"/>
                      <w:spacing w:val="1"/>
                      <w:sz w:val="17"/>
                      <w:szCs w:val="17"/>
                      <w14:textOutline w14:w="3268" w14:cap="sq" w14:cmpd="sng">
                        <w14:solidFill>
                          <w14:srgbClr w14:val="000000"/>
                        </w14:solidFill>
                        <w14:prstDash w14:val="solid"/>
                        <w14:bevel/>
                      </w14:textOutline>
                    </w:rPr>
                    <w:t>)</w:t>
                  </w:r>
                </w:p>
              </w:tc>
              <w:tc>
                <w:tcPr>
                  <w:tcW w:w="1143" w:type="dxa"/>
                  <w:vAlign w:val="top"/>
                </w:tcPr>
                <w:p>
                  <w:pPr>
                    <w:spacing w:before="89" w:line="231" w:lineRule="auto"/>
                    <w:ind w:left="142"/>
                    <w:rPr>
                      <w:rFonts w:ascii="宋体" w:hAnsi="宋体" w:eastAsia="宋体" w:cs="宋体"/>
                      <w:sz w:val="17"/>
                      <w:szCs w:val="17"/>
                    </w:rPr>
                  </w:pPr>
                  <w:r>
                    <w:rPr>
                      <w:rFonts w:ascii="宋体" w:hAnsi="宋体" w:eastAsia="宋体" w:cs="宋体"/>
                      <w:spacing w:val="4"/>
                      <w:sz w:val="17"/>
                      <w:szCs w:val="17"/>
                      <w14:textOutline w14:w="3268" w14:cap="sq" w14:cmpd="sng">
                        <w14:solidFill>
                          <w14:srgbClr w14:val="000000"/>
                        </w14:solidFill>
                        <w14:prstDash w14:val="solid"/>
                        <w14:bevel/>
                      </w14:textOutline>
                    </w:rPr>
                    <w:t>长</w:t>
                  </w:r>
                  <w:r>
                    <w:rPr>
                      <w:rFonts w:ascii="宋体" w:hAnsi="宋体" w:eastAsia="宋体" w:cs="宋体"/>
                      <w:spacing w:val="3"/>
                      <w:sz w:val="17"/>
                      <w:szCs w:val="17"/>
                      <w14:textOutline w14:w="3268" w14:cap="sq" w14:cmpd="sng">
                        <w14:solidFill>
                          <w14:srgbClr w14:val="000000"/>
                        </w14:solidFill>
                        <w14:prstDash w14:val="solid"/>
                        <w14:bevel/>
                      </w14:textOutline>
                    </w:rPr>
                    <w:t>度</w:t>
                  </w:r>
                  <w:r>
                    <w:rPr>
                      <w:rFonts w:ascii="宋体" w:hAnsi="宋体" w:eastAsia="宋体" w:cs="宋体"/>
                      <w:spacing w:val="2"/>
                      <w:sz w:val="17"/>
                      <w:szCs w:val="17"/>
                    </w:rPr>
                    <w:t xml:space="preserve"> </w:t>
                  </w:r>
                  <w:r>
                    <w:rPr>
                      <w:rFonts w:ascii="宋体" w:hAnsi="宋体" w:eastAsia="宋体" w:cs="宋体"/>
                      <w:spacing w:val="2"/>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z w:val="17"/>
                      <w:szCs w:val="17"/>
                    </w:rPr>
                    <w:t>m</w:t>
                  </w:r>
                  <w:r>
                    <w:rPr>
                      <w:rFonts w:ascii="Times New Roman" w:hAnsi="Times New Roman" w:eastAsia="Times New Roman" w:cs="Times New Roman"/>
                      <w:spacing w:val="2"/>
                      <w:sz w:val="17"/>
                      <w:szCs w:val="17"/>
                    </w:rPr>
                    <w:t xml:space="preserve"> </w:t>
                  </w:r>
                  <w:r>
                    <w:rPr>
                      <w:rFonts w:ascii="宋体" w:hAnsi="宋体" w:eastAsia="宋体" w:cs="宋体"/>
                      <w:spacing w:val="2"/>
                      <w:sz w:val="17"/>
                      <w:szCs w:val="17"/>
                      <w14:textOutline w14:w="3268" w14:cap="sq" w14:cmpd="sng">
                        <w14:solidFill>
                          <w14:srgbClr w14:val="000000"/>
                        </w14:solidFill>
                        <w14:prstDash w14:val="solid"/>
                        <w14:bevel/>
                      </w14:textOutline>
                    </w:rPr>
                    <w:t>)</w:t>
                  </w:r>
                </w:p>
              </w:tc>
              <w:tc>
                <w:tcPr>
                  <w:tcW w:w="1062" w:type="dxa"/>
                  <w:vAlign w:val="top"/>
                </w:tcPr>
                <w:p>
                  <w:pPr>
                    <w:spacing w:before="89" w:line="230" w:lineRule="auto"/>
                    <w:ind w:left="178"/>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路</w:t>
                  </w:r>
                  <w:r>
                    <w:rPr>
                      <w:rFonts w:ascii="宋体" w:hAnsi="宋体" w:eastAsia="宋体" w:cs="宋体"/>
                      <w:spacing w:val="8"/>
                      <w:sz w:val="17"/>
                      <w:szCs w:val="17"/>
                      <w14:textOutline w14:w="3268" w14:cap="sq" w14:cmpd="sng">
                        <w14:solidFill>
                          <w14:srgbClr w14:val="000000"/>
                        </w14:solidFill>
                        <w14:prstDash w14:val="solid"/>
                        <w14:bevel/>
                      </w14:textOutline>
                    </w:rPr>
                    <w:t>面类型</w:t>
                  </w:r>
                </w:p>
              </w:tc>
              <w:tc>
                <w:tcPr>
                  <w:tcW w:w="645"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818" w:type="dxa"/>
                  <w:vAlign w:val="top"/>
                </w:tcPr>
                <w:p>
                  <w:pPr>
                    <w:spacing w:before="143" w:line="197" w:lineRule="auto"/>
                    <w:ind w:left="382"/>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1797" w:type="dxa"/>
                  <w:vAlign w:val="top"/>
                </w:tcPr>
                <w:p>
                  <w:pPr>
                    <w:spacing w:before="80" w:line="242" w:lineRule="exact"/>
                    <w:ind w:left="215"/>
                    <w:rPr>
                      <w:rFonts w:ascii="Times New Roman" w:hAnsi="Times New Roman" w:eastAsia="Times New Roman" w:cs="Times New Roman"/>
                      <w:sz w:val="17"/>
                      <w:szCs w:val="17"/>
                    </w:rPr>
                  </w:pPr>
                  <w:r>
                    <w:rPr>
                      <w:rFonts w:ascii="Times New Roman" w:hAnsi="Times New Roman" w:eastAsia="Times New Roman" w:cs="Times New Roman"/>
                      <w:sz w:val="17"/>
                      <w:szCs w:val="17"/>
                    </w:rPr>
                    <w:t>K</w:t>
                  </w:r>
                  <w:r>
                    <w:rPr>
                      <w:rFonts w:ascii="Times New Roman" w:hAnsi="Times New Roman" w:eastAsia="Times New Roman" w:cs="Times New Roman"/>
                      <w:spacing w:val="16"/>
                      <w:sz w:val="17"/>
                      <w:szCs w:val="17"/>
                    </w:rPr>
                    <w:t>0</w:t>
                  </w:r>
                  <w:r>
                    <w:rPr>
                      <w:rFonts w:ascii="Times New Roman" w:hAnsi="Times New Roman" w:eastAsia="Times New Roman" w:cs="Times New Roman"/>
                      <w:spacing w:val="14"/>
                      <w:sz w:val="17"/>
                      <w:szCs w:val="17"/>
                    </w:rPr>
                    <w:t>+000</w:t>
                  </w:r>
                  <w:r>
                    <w:rPr>
                      <w:rFonts w:ascii="宋体" w:hAnsi="宋体" w:eastAsia="宋体" w:cs="宋体"/>
                      <w:spacing w:val="14"/>
                      <w:sz w:val="17"/>
                      <w:szCs w:val="17"/>
                    </w:rPr>
                    <w:t>~</w:t>
                  </w:r>
                  <w:r>
                    <w:rPr>
                      <w:rFonts w:ascii="Times New Roman" w:hAnsi="Times New Roman" w:eastAsia="Times New Roman" w:cs="Times New Roman"/>
                      <w:sz w:val="17"/>
                      <w:szCs w:val="17"/>
                    </w:rPr>
                    <w:t>K</w:t>
                  </w:r>
                  <w:r>
                    <w:rPr>
                      <w:rFonts w:ascii="Times New Roman" w:hAnsi="Times New Roman" w:eastAsia="Times New Roman" w:cs="Times New Roman"/>
                      <w:spacing w:val="14"/>
                      <w:sz w:val="17"/>
                      <w:szCs w:val="17"/>
                    </w:rPr>
                    <w:t>0+568</w:t>
                  </w:r>
                </w:p>
              </w:tc>
              <w:tc>
                <w:tcPr>
                  <w:tcW w:w="1366" w:type="dxa"/>
                  <w:vAlign w:val="top"/>
                </w:tcPr>
                <w:p>
                  <w:pPr>
                    <w:spacing w:before="113" w:line="230" w:lineRule="auto"/>
                    <w:ind w:left="326"/>
                    <w:rPr>
                      <w:rFonts w:ascii="宋体" w:hAnsi="宋体" w:eastAsia="宋体" w:cs="宋体"/>
                      <w:sz w:val="17"/>
                      <w:szCs w:val="17"/>
                    </w:rPr>
                  </w:pPr>
                  <w:r>
                    <w:rPr>
                      <w:rFonts w:ascii="宋体" w:hAnsi="宋体" w:eastAsia="宋体" w:cs="宋体"/>
                      <w:spacing w:val="8"/>
                      <w:sz w:val="17"/>
                      <w:szCs w:val="17"/>
                    </w:rPr>
                    <w:t>新建便道</w:t>
                  </w:r>
                </w:p>
              </w:tc>
              <w:tc>
                <w:tcPr>
                  <w:tcW w:w="1170" w:type="dxa"/>
                  <w:vAlign w:val="top"/>
                </w:tcPr>
                <w:p>
                  <w:pPr>
                    <w:spacing w:before="144" w:line="197" w:lineRule="auto"/>
                    <w:ind w:left="48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8.5</w:t>
                  </w:r>
                </w:p>
              </w:tc>
              <w:tc>
                <w:tcPr>
                  <w:tcW w:w="1143" w:type="dxa"/>
                  <w:vAlign w:val="top"/>
                </w:tcPr>
                <w:p>
                  <w:pPr>
                    <w:spacing w:before="143" w:line="197" w:lineRule="auto"/>
                    <w:ind w:left="44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568</w:t>
                  </w:r>
                </w:p>
              </w:tc>
              <w:tc>
                <w:tcPr>
                  <w:tcW w:w="1062" w:type="dxa"/>
                  <w:vAlign w:val="top"/>
                </w:tcPr>
                <w:p>
                  <w:pPr>
                    <w:spacing w:before="113" w:line="230" w:lineRule="auto"/>
                    <w:ind w:left="270"/>
                    <w:rPr>
                      <w:rFonts w:ascii="宋体" w:hAnsi="宋体" w:eastAsia="宋体" w:cs="宋体"/>
                      <w:sz w:val="17"/>
                      <w:szCs w:val="17"/>
                    </w:rPr>
                  </w:pPr>
                  <w:r>
                    <w:rPr>
                      <w:rFonts w:ascii="宋体" w:hAnsi="宋体" w:eastAsia="宋体" w:cs="宋体"/>
                      <w:spacing w:val="7"/>
                      <w:sz w:val="17"/>
                      <w:szCs w:val="17"/>
                    </w:rPr>
                    <w:t>水泥</w:t>
                  </w:r>
                  <w:r>
                    <w:rPr>
                      <w:rFonts w:ascii="宋体" w:hAnsi="宋体" w:eastAsia="宋体" w:cs="宋体"/>
                      <w:spacing w:val="6"/>
                      <w:sz w:val="17"/>
                      <w:szCs w:val="17"/>
                    </w:rPr>
                    <w:t>砼</w:t>
                  </w:r>
                </w:p>
              </w:tc>
              <w:tc>
                <w:tcPr>
                  <w:tcW w:w="645" w:type="dxa"/>
                  <w:vAlign w:val="top"/>
                </w:tcPr>
                <w:p>
                  <w:pPr>
                    <w:rPr>
                      <w:rFonts w:ascii="Arial"/>
                      <w:sz w:val="21"/>
                    </w:rPr>
                  </w:pPr>
                </w:p>
              </w:tc>
            </w:tr>
          </w:tbl>
          <w:p>
            <w:pPr>
              <w:rPr>
                <w:rFonts w:ascii="Arial"/>
                <w:sz w:val="21"/>
              </w:rPr>
            </w:pPr>
          </w:p>
        </w:tc>
      </w:tr>
    </w:tbl>
    <w:p>
      <w:pPr>
        <w:rPr>
          <w:rFonts w:ascii="Arial"/>
          <w:sz w:val="21"/>
        </w:rPr>
      </w:pPr>
    </w:p>
    <w:p>
      <w:pPr>
        <w:sectPr>
          <w:footerReference r:id="rId42" w:type="default"/>
          <w:pgSz w:w="11906" w:h="16839"/>
          <w:pgMar w:top="400" w:right="1487" w:bottom="1475" w:left="1486" w:header="0" w:footer="1315" w:gutter="0"/>
          <w:cols w:space="720" w:num="1"/>
        </w:sectPr>
      </w:pPr>
    </w:p>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8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16" w:hRule="atLeast"/>
        </w:trPr>
        <w:tc>
          <w:tcPr>
            <w:tcW w:w="600" w:type="dxa"/>
            <w:tcBorders>
              <w:left w:val="single" w:color="00000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28" w:lineRule="auto"/>
              <w:ind w:left="91"/>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p>
            <w:pPr>
              <w:spacing w:before="26" w:line="229" w:lineRule="auto"/>
              <w:ind w:left="9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组</w:t>
            </w:r>
            <w:r>
              <w:rPr>
                <w:rFonts w:ascii="宋体" w:hAnsi="宋体" w:eastAsia="宋体" w:cs="宋体"/>
                <w:spacing w:val="4"/>
                <w:sz w:val="20"/>
                <w:szCs w:val="20"/>
                <w14:textOutline w14:w="3795" w14:cap="sq" w14:cmpd="sng">
                  <w14:solidFill>
                    <w14:srgbClr w14:val="000000"/>
                  </w14:solidFill>
                  <w14:prstDash w14:val="solid"/>
                  <w14:bevel/>
                </w14:textOutline>
              </w:rPr>
              <w:t>成</w:t>
            </w:r>
          </w:p>
          <w:p>
            <w:pPr>
              <w:spacing w:before="22" w:line="230" w:lineRule="auto"/>
              <w:ind w:left="8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及规</w:t>
            </w:r>
          </w:p>
          <w:p>
            <w:pPr>
              <w:spacing w:before="24" w:line="228" w:lineRule="auto"/>
              <w:ind w:left="190"/>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模</w:t>
            </w:r>
          </w:p>
        </w:tc>
        <w:tc>
          <w:tcPr>
            <w:tcW w:w="8317" w:type="dxa"/>
            <w:tcBorders>
              <w:right w:val="single" w:color="000000" w:sz="6" w:space="0"/>
            </w:tcBorders>
            <w:vAlign w:val="top"/>
          </w:tcPr>
          <w:p>
            <w:pPr>
              <w:spacing w:before="8" w:line="4016" w:lineRule="exact"/>
              <w:ind w:firstLine="418"/>
              <w:textAlignment w:val="center"/>
            </w:pPr>
            <w:r>
              <w:pict>
                <v:group id="_x0000_s1058" o:spid="_x0000_s1058" o:spt="203" style="height:200.8pt;width:373.1pt;" coordsize="7462,4016">
                  <o:lock v:ext="edit"/>
                  <v:shape id="_x0000_s1059" o:spid="_x0000_s1059" o:spt="75" type="#_x0000_t75" style="position:absolute;left:0;top:0;height:4016;width:7462;" filled="f" stroked="f" coordsize="21600,21600">
                    <v:path/>
                    <v:fill on="f" focussize="0,0"/>
                    <v:stroke on="f"/>
                    <v:imagedata r:id="rId183" o:title=""/>
                    <o:lock v:ext="edit" aspectratio="t"/>
                  </v:shape>
                  <v:shape id="_x0000_s1060" o:spid="_x0000_s1060" o:spt="75" type="#_x0000_t75" style="position:absolute;left:4470;top:1272;height:1603;width:1184;" filled="f" stroked="f" coordsize="21600,21600">
                    <v:path/>
                    <v:fill on="f" focussize="0,0"/>
                    <v:stroke on="f"/>
                    <v:imagedata r:id="rId184" o:title=""/>
                    <o:lock v:ext="edit" aspectratio="t"/>
                  </v:shape>
                  <v:shape id="_x0000_s1061" o:spid="_x0000_s1061" o:spt="75" type="#_x0000_t75" style="position:absolute;left:2698;top:1756;height:1254;width:1366;" filled="f" stroked="f" coordsize="21600,21600">
                    <v:path/>
                    <v:fill on="f" focussize="0,0"/>
                    <v:stroke on="f"/>
                    <v:imagedata r:id="rId185" o:title=""/>
                    <o:lock v:ext="edit" aspectratio="t"/>
                  </v:shape>
                  <v:shape id="_x0000_s1062" o:spid="_x0000_s1062" o:spt="202" type="#_x0000_t202" style="position:absolute;left:3102;top:2662;height:287;width:870;" filled="f" stroked="f" coordsize="21600,21600">
                    <v:path/>
                    <v:fill on="f" focussize="0,0"/>
                    <v:stroke on="f"/>
                    <v:imagedata o:title=""/>
                    <o:lock v:ext="edit" aspectratio="f"/>
                    <v:textbox inset="0mm,0mm,0mm,0mm">
                      <w:txbxContent>
                        <w:p>
                          <w:pPr>
                            <w:spacing w:before="19" w:line="228" w:lineRule="auto"/>
                            <w:ind w:left="20"/>
                            <w:rPr>
                              <w:rFonts w:ascii="宋体" w:hAnsi="宋体" w:eastAsia="宋体" w:cs="宋体"/>
                              <w:sz w:val="20"/>
                              <w:szCs w:val="20"/>
                            </w:rPr>
                          </w:pPr>
                          <w:r>
                            <w:rPr>
                              <w:rFonts w:ascii="宋体" w:hAnsi="宋体" w:eastAsia="宋体" w:cs="宋体"/>
                              <w:color w:val="FFFFFF"/>
                              <w:spacing w:val="9"/>
                              <w:sz w:val="20"/>
                              <w:szCs w:val="20"/>
                            </w:rPr>
                            <w:t>施</w:t>
                          </w:r>
                          <w:r>
                            <w:rPr>
                              <w:rFonts w:ascii="宋体" w:hAnsi="宋体" w:eastAsia="宋体" w:cs="宋体"/>
                              <w:color w:val="FFFFFF"/>
                              <w:spacing w:val="7"/>
                              <w:sz w:val="20"/>
                              <w:szCs w:val="20"/>
                            </w:rPr>
                            <w:t>工便道</w:t>
                          </w:r>
                        </w:p>
                      </w:txbxContent>
                    </v:textbox>
                  </v:shape>
                  <v:shape id="_x0000_s1063" o:spid="_x0000_s1063" o:spt="202" type="#_x0000_t202" style="position:absolute;left:4570;top:2527;height:287;width:866;" filled="f" stroked="f" coordsize="21600,21600">
                    <v:path/>
                    <v:fill on="f" focussize="0,0"/>
                    <v:stroke on="f"/>
                    <v:imagedata o:title=""/>
                    <o:lock v:ext="edit" aspectratio="f"/>
                    <v:textbox inset="0mm,0mm,0mm,0mm">
                      <w:txbxContent>
                        <w:p>
                          <w:pPr>
                            <w:spacing w:before="19" w:line="228" w:lineRule="auto"/>
                            <w:ind w:left="20"/>
                            <w:rPr>
                              <w:rFonts w:ascii="宋体" w:hAnsi="宋体" w:eastAsia="宋体" w:cs="宋体"/>
                              <w:sz w:val="20"/>
                              <w:szCs w:val="20"/>
                            </w:rPr>
                          </w:pPr>
                          <w:r>
                            <w:rPr>
                              <w:rFonts w:ascii="宋体" w:hAnsi="宋体" w:eastAsia="宋体" w:cs="宋体"/>
                              <w:color w:val="FFFFFF"/>
                              <w:spacing w:val="8"/>
                              <w:sz w:val="20"/>
                              <w:szCs w:val="20"/>
                            </w:rPr>
                            <w:t>项</w:t>
                          </w:r>
                          <w:r>
                            <w:rPr>
                              <w:rFonts w:ascii="宋体" w:hAnsi="宋体" w:eastAsia="宋体" w:cs="宋体"/>
                              <w:color w:val="FFFFFF"/>
                              <w:spacing w:val="6"/>
                              <w:sz w:val="20"/>
                              <w:szCs w:val="20"/>
                            </w:rPr>
                            <w:t>目桥梁</w:t>
                          </w:r>
                        </w:p>
                      </w:txbxContent>
                    </v:textbox>
                  </v:shape>
                  <w10:wrap type="none"/>
                  <w10:anchorlock/>
                </v:group>
              </w:pict>
            </w:r>
          </w:p>
          <w:p>
            <w:pPr>
              <w:spacing w:before="63" w:line="231" w:lineRule="auto"/>
              <w:ind w:left="2771"/>
              <w:rPr>
                <w:rFonts w:ascii="黑体" w:hAnsi="黑体" w:eastAsia="黑体" w:cs="黑体"/>
                <w:sz w:val="19"/>
                <w:szCs w:val="19"/>
              </w:rPr>
            </w:pPr>
            <w:r>
              <w:rPr>
                <w:rFonts w:ascii="黑体" w:hAnsi="黑体" w:eastAsia="黑体" w:cs="黑体"/>
                <w:spacing w:val="8"/>
                <w:sz w:val="19"/>
                <w:szCs w:val="19"/>
              </w:rPr>
              <w:t>图</w:t>
            </w:r>
            <w:r>
              <w:rPr>
                <w:rFonts w:ascii="Times New Roman" w:hAnsi="Times New Roman" w:eastAsia="Times New Roman" w:cs="Times New Roman"/>
                <w:spacing w:val="8"/>
                <w:sz w:val="19"/>
                <w:szCs w:val="19"/>
              </w:rPr>
              <w:t>25</w:t>
            </w:r>
            <w:r>
              <w:rPr>
                <w:rFonts w:ascii="黑体" w:hAnsi="黑体" w:eastAsia="黑体" w:cs="黑体"/>
                <w:spacing w:val="8"/>
                <w:sz w:val="19"/>
                <w:szCs w:val="19"/>
              </w:rPr>
              <w:t>：拟建桥梁施工便道设置</w:t>
            </w:r>
            <w:r>
              <w:rPr>
                <w:rFonts w:ascii="黑体" w:hAnsi="黑体" w:eastAsia="黑体" w:cs="黑体"/>
                <w:spacing w:val="6"/>
                <w:sz w:val="19"/>
                <w:szCs w:val="19"/>
              </w:rPr>
              <w:t>图</w:t>
            </w:r>
          </w:p>
          <w:p>
            <w:pPr>
              <w:spacing w:before="130" w:line="228" w:lineRule="auto"/>
              <w:ind w:left="537"/>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8"/>
                <w:sz w:val="20"/>
                <w:szCs w:val="20"/>
              </w:rPr>
              <w:t>2</w:t>
            </w: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宋体" w:hAnsi="宋体" w:eastAsia="宋体" w:cs="宋体"/>
                <w:spacing w:val="18"/>
                <w:sz w:val="20"/>
                <w:szCs w:val="20"/>
              </w:rPr>
              <w:t xml:space="preserve"> </w:t>
            </w:r>
            <w:r>
              <w:rPr>
                <w:rFonts w:ascii="宋体" w:hAnsi="宋体" w:eastAsia="宋体" w:cs="宋体"/>
                <w:spacing w:val="18"/>
                <w:sz w:val="20"/>
                <w:szCs w:val="20"/>
                <w14:textOutline w14:w="3795" w14:cap="sq" w14:cmpd="sng">
                  <w14:solidFill>
                    <w14:srgbClr w14:val="000000"/>
                  </w14:solidFill>
                  <w14:prstDash w14:val="solid"/>
                  <w14:bevel/>
                </w14:textOutline>
              </w:rPr>
              <w:t>施工营地</w:t>
            </w:r>
          </w:p>
          <w:p>
            <w:pPr>
              <w:spacing w:before="150" w:line="227" w:lineRule="auto"/>
              <w:ind w:left="528"/>
              <w:rPr>
                <w:rFonts w:ascii="宋体" w:hAnsi="宋体" w:eastAsia="宋体" w:cs="宋体"/>
                <w:sz w:val="20"/>
                <w:szCs w:val="20"/>
              </w:rPr>
            </w:pPr>
            <w:r>
              <w:rPr>
                <w:rFonts w:ascii="宋体" w:hAnsi="宋体" w:eastAsia="宋体" w:cs="宋体"/>
                <w:spacing w:val="18"/>
                <w:sz w:val="20"/>
                <w:szCs w:val="20"/>
              </w:rPr>
              <w:t>本</w:t>
            </w:r>
            <w:r>
              <w:rPr>
                <w:rFonts w:ascii="宋体" w:hAnsi="宋体" w:eastAsia="宋体" w:cs="宋体"/>
                <w:spacing w:val="15"/>
                <w:sz w:val="20"/>
                <w:szCs w:val="20"/>
              </w:rPr>
              <w:t>项</w:t>
            </w:r>
            <w:r>
              <w:rPr>
                <w:rFonts w:ascii="宋体" w:hAnsi="宋体" w:eastAsia="宋体" w:cs="宋体"/>
                <w:spacing w:val="9"/>
                <w:sz w:val="20"/>
                <w:szCs w:val="20"/>
              </w:rPr>
              <w:t>目不设置施工营地，仅在桥梁两端施工场地内设置活动板房作为施工管理房。</w:t>
            </w:r>
          </w:p>
          <w:p>
            <w:pPr>
              <w:spacing w:before="154" w:line="228" w:lineRule="auto"/>
              <w:ind w:left="537"/>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8"/>
                <w:sz w:val="20"/>
                <w:szCs w:val="20"/>
              </w:rPr>
              <w:t>3</w:t>
            </w: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宋体" w:hAnsi="宋体" w:eastAsia="宋体" w:cs="宋体"/>
                <w:spacing w:val="18"/>
                <w:sz w:val="20"/>
                <w:szCs w:val="20"/>
              </w:rPr>
              <w:t xml:space="preserve"> </w:t>
            </w:r>
            <w:r>
              <w:rPr>
                <w:rFonts w:ascii="宋体" w:hAnsi="宋体" w:eastAsia="宋体" w:cs="宋体"/>
                <w:spacing w:val="18"/>
                <w:sz w:val="20"/>
                <w:szCs w:val="20"/>
                <w14:textOutline w14:w="3795" w14:cap="sq" w14:cmpd="sng">
                  <w14:solidFill>
                    <w14:srgbClr w14:val="000000"/>
                  </w14:solidFill>
                  <w14:prstDash w14:val="solid"/>
                  <w14:bevel/>
                </w14:textOutline>
              </w:rPr>
              <w:t>施工栈桥</w:t>
            </w:r>
          </w:p>
          <w:p>
            <w:pPr>
              <w:tabs>
                <w:tab w:val="left" w:pos="217"/>
              </w:tabs>
              <w:spacing w:before="155" w:line="369" w:lineRule="auto"/>
              <w:ind w:left="115" w:right="102" w:firstLine="411"/>
              <w:rPr>
                <w:rFonts w:ascii="宋体" w:hAnsi="宋体" w:eastAsia="宋体" w:cs="宋体"/>
                <w:sz w:val="20"/>
                <w:szCs w:val="20"/>
              </w:rPr>
            </w:pPr>
            <w:r>
              <w:rPr>
                <w:rFonts w:ascii="宋体" w:hAnsi="宋体" w:eastAsia="宋体" w:cs="宋体"/>
                <w:spacing w:val="14"/>
                <w:sz w:val="20"/>
                <w:szCs w:val="20"/>
              </w:rPr>
              <w:t>根据</w:t>
            </w:r>
            <w:r>
              <w:rPr>
                <w:rFonts w:ascii="宋体" w:hAnsi="宋体" w:eastAsia="宋体" w:cs="宋体"/>
                <w:spacing w:val="10"/>
                <w:sz w:val="20"/>
                <w:szCs w:val="20"/>
              </w:rPr>
              <w:t>设</w:t>
            </w:r>
            <w:r>
              <w:rPr>
                <w:rFonts w:ascii="宋体" w:hAnsi="宋体" w:eastAsia="宋体" w:cs="宋体"/>
                <w:spacing w:val="7"/>
                <w:sz w:val="20"/>
                <w:szCs w:val="20"/>
              </w:rPr>
              <w:t>计资料，桥梁施工期间，需在州河两岸搭设临时施工栈桥，用于材料运输，人</w:t>
            </w:r>
            <w:r>
              <w:rPr>
                <w:rFonts w:ascii="宋体" w:hAnsi="宋体" w:eastAsia="宋体" w:cs="宋体"/>
                <w:sz w:val="20"/>
                <w:szCs w:val="20"/>
              </w:rPr>
              <w:t xml:space="preserve"> </w:t>
            </w:r>
            <w:r>
              <w:rPr>
                <w:rFonts w:ascii="宋体" w:hAnsi="宋体" w:eastAsia="宋体" w:cs="宋体"/>
                <w:spacing w:val="6"/>
                <w:sz w:val="20"/>
                <w:szCs w:val="20"/>
              </w:rPr>
              <w:t>员和机</w:t>
            </w:r>
            <w:r>
              <w:rPr>
                <w:rFonts w:ascii="宋体" w:hAnsi="宋体" w:eastAsia="宋体" w:cs="宋体"/>
                <w:spacing w:val="3"/>
                <w:sz w:val="20"/>
                <w:szCs w:val="20"/>
              </w:rPr>
              <w:t xml:space="preserve">具进出施工面的通道。栈桥从两岸陆域连接到涉水桥墩承台位置。栈桥长度约 </w:t>
            </w:r>
            <w:r>
              <w:rPr>
                <w:rFonts w:ascii="Times New Roman" w:hAnsi="Times New Roman" w:eastAsia="Times New Roman" w:cs="Times New Roman"/>
                <w:spacing w:val="3"/>
                <w:sz w:val="20"/>
                <w:szCs w:val="20"/>
              </w:rPr>
              <w:t>620</w:t>
            </w:r>
            <w:r>
              <w:rPr>
                <w:rFonts w:ascii="Times New Roman" w:hAnsi="Times New Roman" w:eastAsia="Times New Roman" w:cs="Times New Roman"/>
                <w:sz w:val="20"/>
                <w:szCs w:val="20"/>
              </w:rPr>
              <w:t xml:space="preserve">m </w:t>
            </w:r>
            <w:r>
              <w:rPr>
                <w:rFonts w:ascii="宋体" w:hAnsi="宋体" w:eastAsia="宋体" w:cs="宋体"/>
                <w:sz w:val="20"/>
                <w:szCs w:val="20"/>
              </w:rPr>
              <w:tab/>
            </w:r>
            <w:r>
              <w:rPr>
                <w:rFonts w:ascii="宋体" w:hAnsi="宋体" w:eastAsia="宋体" w:cs="宋体"/>
                <w:spacing w:val="9"/>
                <w:sz w:val="20"/>
                <w:szCs w:val="20"/>
              </w:rPr>
              <w:t>(</w:t>
            </w:r>
            <w:r>
              <w:rPr>
                <w:rFonts w:ascii="宋体" w:hAnsi="宋体" w:eastAsia="宋体" w:cs="宋体"/>
                <w:spacing w:val="8"/>
                <w:sz w:val="20"/>
                <w:szCs w:val="20"/>
              </w:rPr>
              <w:t xml:space="preserve">拟建桥梁两侧各约 </w:t>
            </w:r>
            <w:r>
              <w:rPr>
                <w:rFonts w:ascii="Times New Roman" w:hAnsi="Times New Roman" w:eastAsia="Times New Roman" w:cs="Times New Roman"/>
                <w:spacing w:val="8"/>
                <w:sz w:val="20"/>
                <w:szCs w:val="20"/>
              </w:rPr>
              <w:t>310</w:t>
            </w:r>
            <w:r>
              <w:rPr>
                <w:rFonts w:ascii="Times New Roman" w:hAnsi="Times New Roman" w:eastAsia="Times New Roman" w:cs="Times New Roman"/>
                <w:sz w:val="20"/>
                <w:szCs w:val="20"/>
              </w:rPr>
              <w:t>m</w:t>
            </w:r>
            <w:r>
              <w:rPr>
                <w:rFonts w:ascii="宋体" w:hAnsi="宋体" w:eastAsia="宋体" w:cs="宋体"/>
                <w:spacing w:val="8"/>
                <w:sz w:val="20"/>
                <w:szCs w:val="20"/>
              </w:rPr>
              <w:t>) ，垂直于岸边向河中布设。栈桥采用钢管桩基础，钢管柱支</w:t>
            </w:r>
          </w:p>
          <w:p>
            <w:pPr>
              <w:spacing w:line="227" w:lineRule="auto"/>
              <w:ind w:left="106"/>
              <w:rPr>
                <w:rFonts w:ascii="宋体" w:hAnsi="宋体" w:eastAsia="宋体" w:cs="宋体"/>
                <w:sz w:val="20"/>
                <w:szCs w:val="20"/>
              </w:rPr>
            </w:pPr>
            <w:r>
              <w:rPr>
                <w:rFonts w:ascii="宋体" w:hAnsi="宋体" w:eastAsia="宋体" w:cs="宋体"/>
                <w:spacing w:val="5"/>
                <w:sz w:val="20"/>
                <w:szCs w:val="20"/>
              </w:rPr>
              <w:t xml:space="preserve">撑，直径约 </w:t>
            </w:r>
            <w:r>
              <w:rPr>
                <w:rFonts w:ascii="Times New Roman" w:hAnsi="Times New Roman" w:eastAsia="Times New Roman" w:cs="Times New Roman"/>
                <w:spacing w:val="5"/>
                <w:sz w:val="20"/>
                <w:szCs w:val="20"/>
              </w:rPr>
              <w:t>1</w:t>
            </w:r>
            <w:r>
              <w:rPr>
                <w:rFonts w:ascii="Times New Roman" w:hAnsi="Times New Roman" w:eastAsia="Times New Roman" w:cs="Times New Roman"/>
                <w:sz w:val="20"/>
                <w:szCs w:val="20"/>
              </w:rPr>
              <w:t>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，横向 </w:t>
            </w:r>
            <w:r>
              <w:rPr>
                <w:rFonts w:ascii="Times New Roman" w:hAnsi="Times New Roman" w:eastAsia="Times New Roman" w:cs="Times New Roman"/>
                <w:spacing w:val="5"/>
                <w:sz w:val="20"/>
                <w:szCs w:val="20"/>
              </w:rPr>
              <w:t xml:space="preserve">2-3 </w:t>
            </w:r>
            <w:r>
              <w:rPr>
                <w:rFonts w:ascii="宋体" w:hAnsi="宋体" w:eastAsia="宋体" w:cs="宋体"/>
                <w:spacing w:val="5"/>
                <w:sz w:val="20"/>
                <w:szCs w:val="20"/>
              </w:rPr>
              <w:t>根桩柱，桥面采用贝雷梁组合架设，宽度根据施工需要确定</w:t>
            </w:r>
            <w:r>
              <w:rPr>
                <w:rFonts w:ascii="宋体" w:hAnsi="宋体" w:eastAsia="宋体" w:cs="宋体"/>
                <w:spacing w:val="3"/>
                <w:sz w:val="20"/>
                <w:szCs w:val="20"/>
              </w:rPr>
              <w:t>。</w:t>
            </w:r>
          </w:p>
          <w:p>
            <w:pPr>
              <w:spacing w:before="16" w:line="4500" w:lineRule="exact"/>
              <w:ind w:firstLine="478"/>
              <w:textAlignment w:val="center"/>
            </w:pPr>
            <w:r>
              <w:drawing>
                <wp:inline distT="0" distB="0" distL="0" distR="0">
                  <wp:extent cx="4658360" cy="285750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86"/>
                          <a:stretch>
                            <a:fillRect/>
                          </a:stretch>
                        </pic:blipFill>
                        <pic:spPr>
                          <a:xfrm>
                            <a:off x="0" y="0"/>
                            <a:ext cx="4658868" cy="2857500"/>
                          </a:xfrm>
                          <a:prstGeom prst="rect">
                            <a:avLst/>
                          </a:prstGeom>
                        </pic:spPr>
                      </pic:pic>
                    </a:graphicData>
                  </a:graphic>
                </wp:inline>
              </w:drawing>
            </w:r>
          </w:p>
          <w:p>
            <w:pPr>
              <w:spacing w:before="59" w:line="231" w:lineRule="auto"/>
              <w:ind w:left="2771"/>
              <w:rPr>
                <w:rFonts w:ascii="黑体" w:hAnsi="黑体" w:eastAsia="黑体" w:cs="黑体"/>
                <w:sz w:val="19"/>
                <w:szCs w:val="19"/>
              </w:rPr>
            </w:pPr>
            <w:r>
              <w:rPr>
                <w:rFonts w:ascii="黑体" w:hAnsi="黑体" w:eastAsia="黑体" w:cs="黑体"/>
                <w:spacing w:val="8"/>
                <w:sz w:val="19"/>
                <w:szCs w:val="19"/>
              </w:rPr>
              <w:t>图</w:t>
            </w:r>
            <w:r>
              <w:rPr>
                <w:rFonts w:ascii="Times New Roman" w:hAnsi="Times New Roman" w:eastAsia="Times New Roman" w:cs="Times New Roman"/>
                <w:spacing w:val="8"/>
                <w:sz w:val="19"/>
                <w:szCs w:val="19"/>
              </w:rPr>
              <w:t>26</w:t>
            </w:r>
            <w:r>
              <w:rPr>
                <w:rFonts w:ascii="黑体" w:hAnsi="黑体" w:eastAsia="黑体" w:cs="黑体"/>
                <w:spacing w:val="8"/>
                <w:sz w:val="19"/>
                <w:szCs w:val="19"/>
              </w:rPr>
              <w:t>：拟建桥梁施工栈桥布置</w:t>
            </w:r>
            <w:r>
              <w:rPr>
                <w:rFonts w:ascii="黑体" w:hAnsi="黑体" w:eastAsia="黑体" w:cs="黑体"/>
                <w:spacing w:val="6"/>
                <w:sz w:val="19"/>
                <w:szCs w:val="19"/>
              </w:rPr>
              <w:t>图</w:t>
            </w:r>
          </w:p>
          <w:p>
            <w:pPr>
              <w:spacing w:before="129" w:line="228" w:lineRule="auto"/>
              <w:ind w:left="537"/>
              <w:rPr>
                <w:rFonts w:ascii="宋体" w:hAnsi="宋体" w:eastAsia="宋体" w:cs="宋体"/>
                <w:sz w:val="20"/>
                <w:szCs w:val="20"/>
              </w:rPr>
            </w:pPr>
            <w:r>
              <w:rPr>
                <w:rFonts w:ascii="宋体" w:hAnsi="宋体" w:eastAsia="宋体" w:cs="宋体"/>
                <w:spacing w:val="1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3"/>
                <w:sz w:val="20"/>
                <w:szCs w:val="20"/>
              </w:rPr>
              <w:t>4</w:t>
            </w:r>
            <w:r>
              <w:rPr>
                <w:rFonts w:ascii="宋体" w:hAnsi="宋体" w:eastAsia="宋体" w:cs="宋体"/>
                <w:spacing w:val="13"/>
                <w:sz w:val="20"/>
                <w:szCs w:val="20"/>
                <w14:textOutline w14:w="3795" w14:cap="sq" w14:cmpd="sng">
                  <w14:solidFill>
                    <w14:srgbClr w14:val="000000"/>
                  </w14:solidFill>
                  <w14:prstDash w14:val="solid"/>
                  <w14:bevel/>
                </w14:textOutline>
              </w:rPr>
              <w:t>)</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土石方</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(含表土)</w:t>
            </w:r>
            <w:r>
              <w:rPr>
                <w:rFonts w:ascii="宋体" w:hAnsi="宋体" w:eastAsia="宋体" w:cs="宋体"/>
                <w:spacing w:val="13"/>
                <w:sz w:val="20"/>
                <w:szCs w:val="20"/>
              </w:rPr>
              <w:t xml:space="preserve"> </w:t>
            </w:r>
            <w:r>
              <w:rPr>
                <w:rFonts w:ascii="宋体" w:hAnsi="宋体" w:eastAsia="宋体" w:cs="宋体"/>
                <w:spacing w:val="13"/>
                <w:sz w:val="20"/>
                <w:szCs w:val="20"/>
                <w14:textOutline w14:w="3795" w14:cap="sq" w14:cmpd="sng">
                  <w14:solidFill>
                    <w14:srgbClr w14:val="000000"/>
                  </w14:solidFill>
                  <w14:prstDash w14:val="solid"/>
                  <w14:bevel/>
                </w14:textOutline>
              </w:rPr>
              <w:t>临时堆场</w:t>
            </w:r>
          </w:p>
          <w:p>
            <w:pPr>
              <w:spacing w:before="152" w:line="370" w:lineRule="auto"/>
              <w:ind w:left="110" w:right="104" w:firstLine="419"/>
              <w:rPr>
                <w:rFonts w:ascii="宋体" w:hAnsi="宋体" w:eastAsia="宋体" w:cs="宋体"/>
                <w:sz w:val="20"/>
                <w:szCs w:val="20"/>
              </w:rPr>
            </w:pPr>
            <w:r>
              <w:rPr>
                <w:rFonts w:ascii="宋体" w:hAnsi="宋体" w:eastAsia="宋体" w:cs="宋体"/>
                <w:spacing w:val="14"/>
                <w:sz w:val="20"/>
                <w:szCs w:val="20"/>
              </w:rPr>
              <w:t>为</w:t>
            </w:r>
            <w:r>
              <w:rPr>
                <w:rFonts w:ascii="宋体" w:hAnsi="宋体" w:eastAsia="宋体" w:cs="宋体"/>
                <w:spacing w:val="12"/>
                <w:sz w:val="20"/>
                <w:szCs w:val="20"/>
              </w:rPr>
              <w:t>了</w:t>
            </w:r>
            <w:r>
              <w:rPr>
                <w:rFonts w:ascii="宋体" w:hAnsi="宋体" w:eastAsia="宋体" w:cs="宋体"/>
                <w:spacing w:val="7"/>
                <w:sz w:val="20"/>
                <w:szCs w:val="20"/>
              </w:rPr>
              <w:t>切实保护土地资源，工程施工时对开挖产生的土石方以及占地范围内的表土进行</w:t>
            </w:r>
            <w:r>
              <w:rPr>
                <w:rFonts w:ascii="宋体" w:hAnsi="宋体" w:eastAsia="宋体" w:cs="宋体"/>
                <w:sz w:val="20"/>
                <w:szCs w:val="20"/>
              </w:rPr>
              <w:t xml:space="preserve"> </w:t>
            </w:r>
            <w:r>
              <w:rPr>
                <w:rFonts w:ascii="宋体" w:hAnsi="宋体" w:eastAsia="宋体" w:cs="宋体"/>
                <w:spacing w:val="14"/>
                <w:sz w:val="20"/>
                <w:szCs w:val="20"/>
              </w:rPr>
              <w:t>分类</w:t>
            </w:r>
            <w:r>
              <w:rPr>
                <w:rFonts w:ascii="宋体" w:hAnsi="宋体" w:eastAsia="宋体" w:cs="宋体"/>
                <w:spacing w:val="11"/>
                <w:sz w:val="20"/>
                <w:szCs w:val="20"/>
              </w:rPr>
              <w:t>单</w:t>
            </w:r>
            <w:r>
              <w:rPr>
                <w:rFonts w:ascii="宋体" w:hAnsi="宋体" w:eastAsia="宋体" w:cs="宋体"/>
                <w:spacing w:val="7"/>
                <w:sz w:val="20"/>
                <w:szCs w:val="20"/>
              </w:rPr>
              <w:t>独收集。收集后的土石方用于桥台台背回填，表土可用于路基边坡、绿化带等区域</w:t>
            </w:r>
          </w:p>
          <w:p>
            <w:pPr>
              <w:spacing w:before="1" w:line="227" w:lineRule="auto"/>
              <w:ind w:left="124"/>
              <w:rPr>
                <w:rFonts w:ascii="宋体" w:hAnsi="宋体" w:eastAsia="宋体" w:cs="宋体"/>
                <w:sz w:val="20"/>
                <w:szCs w:val="20"/>
              </w:rPr>
            </w:pPr>
            <w:r>
              <w:rPr>
                <w:rFonts w:ascii="宋体" w:hAnsi="宋体" w:eastAsia="宋体" w:cs="宋体"/>
                <w:spacing w:val="11"/>
                <w:sz w:val="20"/>
                <w:szCs w:val="20"/>
              </w:rPr>
              <w:t>的</w:t>
            </w:r>
            <w:r>
              <w:rPr>
                <w:rFonts w:ascii="宋体" w:hAnsi="宋体" w:eastAsia="宋体" w:cs="宋体"/>
                <w:spacing w:val="7"/>
                <w:sz w:val="20"/>
                <w:szCs w:val="20"/>
              </w:rPr>
              <w:t>绿化美化用土以及临时占地的土地整治用土。一方面使土石方就地回填处置，减少外运</w:t>
            </w:r>
          </w:p>
        </w:tc>
      </w:tr>
    </w:tbl>
    <w:p>
      <w:pPr>
        <w:rPr>
          <w:rFonts w:ascii="Arial"/>
          <w:sz w:val="21"/>
        </w:rPr>
      </w:pPr>
    </w:p>
    <w:p>
      <w:pPr>
        <w:sectPr>
          <w:footerReference r:id="rId43" w:type="default"/>
          <w:pgSz w:w="11906" w:h="16839"/>
          <w:pgMar w:top="400" w:right="1487" w:bottom="1475" w:left="1486" w:header="0" w:footer="1315" w:gutter="0"/>
          <w:cols w:space="720" w:num="1"/>
        </w:sectPr>
      </w:pPr>
    </w:p>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8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5" w:hRule="atLeast"/>
        </w:trPr>
        <w:tc>
          <w:tcPr>
            <w:tcW w:w="600" w:type="dxa"/>
            <w:tcBorders>
              <w:left w:val="single" w:color="00000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28" w:lineRule="auto"/>
              <w:ind w:left="91"/>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p>
            <w:pPr>
              <w:spacing w:before="26" w:line="229" w:lineRule="auto"/>
              <w:ind w:left="9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组</w:t>
            </w:r>
            <w:r>
              <w:rPr>
                <w:rFonts w:ascii="宋体" w:hAnsi="宋体" w:eastAsia="宋体" w:cs="宋体"/>
                <w:spacing w:val="4"/>
                <w:sz w:val="20"/>
                <w:szCs w:val="20"/>
                <w14:textOutline w14:w="3795" w14:cap="sq" w14:cmpd="sng">
                  <w14:solidFill>
                    <w14:srgbClr w14:val="000000"/>
                  </w14:solidFill>
                  <w14:prstDash w14:val="solid"/>
                  <w14:bevel/>
                </w14:textOutline>
              </w:rPr>
              <w:t>成</w:t>
            </w:r>
          </w:p>
          <w:p>
            <w:pPr>
              <w:spacing w:before="22" w:line="230" w:lineRule="auto"/>
              <w:ind w:left="8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及规</w:t>
            </w:r>
          </w:p>
          <w:p>
            <w:pPr>
              <w:spacing w:before="24" w:line="228" w:lineRule="auto"/>
              <w:ind w:left="190"/>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模</w:t>
            </w:r>
          </w:p>
        </w:tc>
        <w:tc>
          <w:tcPr>
            <w:tcW w:w="8317" w:type="dxa"/>
            <w:tcBorders>
              <w:right w:val="single" w:color="000000" w:sz="6" w:space="0"/>
            </w:tcBorders>
            <w:vAlign w:val="top"/>
          </w:tcPr>
          <w:p>
            <w:pPr>
              <w:spacing w:before="144" w:line="228" w:lineRule="auto"/>
              <w:ind w:left="111"/>
              <w:rPr>
                <w:rFonts w:ascii="宋体" w:hAnsi="宋体" w:eastAsia="宋体" w:cs="宋体"/>
                <w:sz w:val="20"/>
                <w:szCs w:val="20"/>
              </w:rPr>
            </w:pPr>
            <w:r>
              <w:rPr>
                <w:rFonts w:ascii="宋体" w:hAnsi="宋体" w:eastAsia="宋体" w:cs="宋体"/>
                <w:spacing w:val="17"/>
                <w:sz w:val="20"/>
                <w:szCs w:val="20"/>
              </w:rPr>
              <w:t>弃</w:t>
            </w:r>
            <w:r>
              <w:rPr>
                <w:rFonts w:ascii="宋体" w:hAnsi="宋体" w:eastAsia="宋体" w:cs="宋体"/>
                <w:spacing w:val="9"/>
                <w:sz w:val="20"/>
                <w:szCs w:val="20"/>
              </w:rPr>
              <w:t>土和填方数量，同时使表土得到有效利用，减少因绿化用土而新增加取土。</w:t>
            </w:r>
          </w:p>
          <w:p>
            <w:pPr>
              <w:spacing w:before="153" w:line="369" w:lineRule="auto"/>
              <w:ind w:left="111" w:right="102" w:firstLine="416"/>
              <w:rPr>
                <w:rFonts w:ascii="宋体" w:hAnsi="宋体" w:eastAsia="宋体" w:cs="宋体"/>
                <w:sz w:val="20"/>
                <w:szCs w:val="20"/>
              </w:rPr>
            </w:pPr>
            <w:r>
              <w:rPr>
                <w:rFonts w:ascii="宋体" w:hAnsi="宋体" w:eastAsia="宋体" w:cs="宋体"/>
                <w:spacing w:val="14"/>
                <w:sz w:val="20"/>
                <w:szCs w:val="20"/>
              </w:rPr>
              <w:t>根据</w:t>
            </w:r>
            <w:r>
              <w:rPr>
                <w:rFonts w:ascii="宋体" w:hAnsi="宋体" w:eastAsia="宋体" w:cs="宋体"/>
                <w:spacing w:val="10"/>
                <w:sz w:val="20"/>
                <w:szCs w:val="20"/>
              </w:rPr>
              <w:t>调</w:t>
            </w:r>
            <w:r>
              <w:rPr>
                <w:rFonts w:ascii="宋体" w:hAnsi="宋体" w:eastAsia="宋体" w:cs="宋体"/>
                <w:spacing w:val="7"/>
                <w:sz w:val="20"/>
                <w:szCs w:val="20"/>
              </w:rPr>
              <w:t>查，项目施工前将路基道路、施工场地、施工便道等占用范围的旱地、草地进</w:t>
            </w:r>
            <w:r>
              <w:rPr>
                <w:rFonts w:ascii="宋体" w:hAnsi="宋体" w:eastAsia="宋体" w:cs="宋体"/>
                <w:sz w:val="20"/>
                <w:szCs w:val="20"/>
              </w:rPr>
              <w:t xml:space="preserve"> </w:t>
            </w:r>
            <w:r>
              <w:rPr>
                <w:rFonts w:ascii="宋体" w:hAnsi="宋体" w:eastAsia="宋体" w:cs="宋体"/>
                <w:spacing w:val="1"/>
                <w:sz w:val="20"/>
                <w:szCs w:val="20"/>
              </w:rPr>
              <w:t xml:space="preserve">行表土剥离。项目在施工产生的土石方约 </w:t>
            </w:r>
            <w:r>
              <w:rPr>
                <w:rFonts w:ascii="Times New Roman" w:hAnsi="Times New Roman" w:eastAsia="Times New Roman" w:cs="Times New Roman"/>
                <w:spacing w:val="1"/>
                <w:sz w:val="20"/>
                <w:szCs w:val="20"/>
              </w:rPr>
              <w:t xml:space="preserve">1. 10 </w:t>
            </w:r>
            <w:r>
              <w:rPr>
                <w:rFonts w:ascii="宋体" w:hAnsi="宋体" w:eastAsia="宋体" w:cs="宋体"/>
                <w:spacing w:val="1"/>
                <w:sz w:val="20"/>
                <w:szCs w:val="20"/>
              </w:rPr>
              <w:t xml:space="preserve">万 </w:t>
            </w:r>
            <w:r>
              <w:rPr>
                <w:rFonts w:ascii="Times New Roman" w:hAnsi="Times New Roman" w:eastAsia="Times New Roman" w:cs="Times New Roman"/>
                <w:sz w:val="20"/>
                <w:szCs w:val="20"/>
              </w:rPr>
              <w:t>m</w:t>
            </w:r>
            <w:r>
              <w:rPr>
                <w:rFonts w:ascii="宋体" w:hAnsi="宋体" w:eastAsia="宋体" w:cs="宋体"/>
                <w:spacing w:val="1"/>
                <w:sz w:val="20"/>
                <w:szCs w:val="20"/>
              </w:rPr>
              <w:t xml:space="preserve">³ </w:t>
            </w:r>
            <w:r>
              <w:rPr>
                <w:rFonts w:ascii="宋体" w:hAnsi="宋体" w:eastAsia="宋体" w:cs="宋体"/>
                <w:sz w:val="20"/>
                <w:szCs w:val="20"/>
              </w:rPr>
              <w:t xml:space="preserve">(含表土 </w:t>
            </w:r>
            <w:r>
              <w:rPr>
                <w:rFonts w:ascii="Times New Roman" w:hAnsi="Times New Roman" w:eastAsia="Times New Roman" w:cs="Times New Roman"/>
                <w:sz w:val="20"/>
                <w:szCs w:val="20"/>
              </w:rPr>
              <w:t xml:space="preserve">0.09 </w:t>
            </w:r>
            <w:r>
              <w:rPr>
                <w:rFonts w:ascii="宋体" w:hAnsi="宋体" w:eastAsia="宋体" w:cs="宋体"/>
                <w:sz w:val="20"/>
                <w:szCs w:val="20"/>
              </w:rPr>
              <w:t xml:space="preserve">万 </w:t>
            </w:r>
            <w:r>
              <w:rPr>
                <w:rFonts w:ascii="Times New Roman" w:hAnsi="Times New Roman" w:eastAsia="Times New Roman" w:cs="Times New Roman"/>
                <w:sz w:val="20"/>
                <w:szCs w:val="20"/>
              </w:rPr>
              <w:t>m</w:t>
            </w:r>
            <w:r>
              <w:rPr>
                <w:rFonts w:ascii="宋体" w:hAnsi="宋体" w:eastAsia="宋体" w:cs="宋体"/>
                <w:sz w:val="20"/>
                <w:szCs w:val="20"/>
              </w:rPr>
              <w:t>³ ) ，剥离后的表</w:t>
            </w:r>
          </w:p>
          <w:p>
            <w:pPr>
              <w:spacing w:line="226" w:lineRule="auto"/>
              <w:ind w:left="108"/>
              <w:rPr>
                <w:rFonts w:ascii="宋体" w:hAnsi="宋体" w:eastAsia="宋体" w:cs="宋体"/>
                <w:sz w:val="20"/>
                <w:szCs w:val="20"/>
              </w:rPr>
            </w:pPr>
            <w:r>
              <w:rPr>
                <w:rFonts w:ascii="宋体" w:hAnsi="宋体" w:eastAsia="宋体" w:cs="宋体"/>
                <w:spacing w:val="18"/>
                <w:sz w:val="20"/>
                <w:szCs w:val="20"/>
              </w:rPr>
              <w:t>土</w:t>
            </w:r>
            <w:r>
              <w:rPr>
                <w:rFonts w:ascii="宋体" w:hAnsi="宋体" w:eastAsia="宋体" w:cs="宋体"/>
                <w:spacing w:val="15"/>
                <w:sz w:val="20"/>
                <w:szCs w:val="20"/>
              </w:rPr>
              <w:t>全</w:t>
            </w:r>
            <w:r>
              <w:rPr>
                <w:rFonts w:ascii="宋体" w:hAnsi="宋体" w:eastAsia="宋体" w:cs="宋体"/>
                <w:spacing w:val="9"/>
                <w:sz w:val="20"/>
                <w:szCs w:val="20"/>
              </w:rPr>
              <w:t>部用于拟建项目后期植被恢复及景观绿化覆土，其余土石方用于桥台台背回填。</w:t>
            </w:r>
          </w:p>
          <w:p>
            <w:pPr>
              <w:spacing w:before="132" w:line="230" w:lineRule="auto"/>
              <w:ind w:left="2863"/>
              <w:rPr>
                <w:rFonts w:ascii="黑体" w:hAnsi="黑体" w:eastAsia="黑体" w:cs="黑体"/>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14    </w:t>
            </w:r>
            <w:r>
              <w:rPr>
                <w:rFonts w:ascii="黑体" w:hAnsi="黑体" w:eastAsia="黑体" w:cs="黑体"/>
                <w:spacing w:val="7"/>
                <w:sz w:val="19"/>
                <w:szCs w:val="19"/>
              </w:rPr>
              <w:t>表土堆放场规划情况</w:t>
            </w:r>
            <w:r>
              <w:rPr>
                <w:rFonts w:ascii="黑体" w:hAnsi="黑体" w:eastAsia="黑体" w:cs="黑体"/>
                <w:spacing w:val="5"/>
                <w:sz w:val="19"/>
                <w:szCs w:val="19"/>
              </w:rPr>
              <w:t>表</w:t>
            </w:r>
          </w:p>
          <w:p>
            <w:pPr>
              <w:spacing w:line="62" w:lineRule="auto"/>
              <w:rPr>
                <w:rFonts w:ascii="Arial"/>
                <w:sz w:val="2"/>
              </w:rPr>
            </w:pPr>
          </w:p>
          <w:tbl>
            <w:tblPr>
              <w:tblStyle w:val="4"/>
              <w:tblW w:w="7960" w:type="dxa"/>
              <w:tblInd w:w="17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1"/>
              <w:gridCol w:w="1226"/>
              <w:gridCol w:w="844"/>
              <w:gridCol w:w="1303"/>
              <w:gridCol w:w="806"/>
              <w:gridCol w:w="806"/>
              <w:gridCol w:w="807"/>
              <w:gridCol w:w="807"/>
              <w:gridCol w:w="8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5" w:hRule="atLeast"/>
              </w:trPr>
              <w:tc>
                <w:tcPr>
                  <w:tcW w:w="471" w:type="dxa"/>
                  <w:vAlign w:val="top"/>
                </w:tcPr>
                <w:p>
                  <w:pPr>
                    <w:spacing w:before="253" w:line="232" w:lineRule="auto"/>
                    <w:ind w:left="56"/>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序</w:t>
                  </w:r>
                  <w:r>
                    <w:rPr>
                      <w:rFonts w:ascii="宋体" w:hAnsi="宋体" w:eastAsia="宋体" w:cs="宋体"/>
                      <w:spacing w:val="6"/>
                      <w:sz w:val="17"/>
                      <w:szCs w:val="17"/>
                      <w14:textOutline w14:w="3268" w14:cap="sq" w14:cmpd="sng">
                        <w14:solidFill>
                          <w14:srgbClr w14:val="000000"/>
                        </w14:solidFill>
                        <w14:prstDash w14:val="solid"/>
                        <w14:bevel/>
                      </w14:textOutline>
                    </w:rPr>
                    <w:t>号</w:t>
                  </w:r>
                </w:p>
              </w:tc>
              <w:tc>
                <w:tcPr>
                  <w:tcW w:w="1226" w:type="dxa"/>
                  <w:vAlign w:val="top"/>
                </w:tcPr>
                <w:p>
                  <w:pPr>
                    <w:spacing w:before="254" w:line="232" w:lineRule="auto"/>
                    <w:ind w:left="435"/>
                    <w:rPr>
                      <w:rFonts w:ascii="宋体" w:hAnsi="宋体" w:eastAsia="宋体" w:cs="宋体"/>
                      <w:sz w:val="17"/>
                      <w:szCs w:val="17"/>
                    </w:rPr>
                  </w:pPr>
                  <w:r>
                    <w:rPr>
                      <w:rFonts w:ascii="宋体" w:hAnsi="宋体" w:eastAsia="宋体" w:cs="宋体"/>
                      <w:spacing w:val="5"/>
                      <w:sz w:val="17"/>
                      <w:szCs w:val="17"/>
                      <w14:textOutline w14:w="3268" w14:cap="sq" w14:cmpd="sng">
                        <w14:solidFill>
                          <w14:srgbClr w14:val="000000"/>
                        </w14:solidFill>
                        <w14:prstDash w14:val="solid"/>
                        <w14:bevel/>
                      </w14:textOutline>
                    </w:rPr>
                    <w:t>名称</w:t>
                  </w:r>
                </w:p>
              </w:tc>
              <w:tc>
                <w:tcPr>
                  <w:tcW w:w="844" w:type="dxa"/>
                  <w:vAlign w:val="top"/>
                </w:tcPr>
                <w:p>
                  <w:pPr>
                    <w:spacing w:before="254" w:line="230" w:lineRule="auto"/>
                    <w:ind w:left="244"/>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桩号</w:t>
                  </w:r>
                </w:p>
              </w:tc>
              <w:tc>
                <w:tcPr>
                  <w:tcW w:w="1303" w:type="dxa"/>
                  <w:vAlign w:val="top"/>
                </w:tcPr>
                <w:p>
                  <w:pPr>
                    <w:spacing w:before="253" w:line="232" w:lineRule="auto"/>
                    <w:ind w:left="475"/>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位置</w:t>
                  </w:r>
                </w:p>
              </w:tc>
              <w:tc>
                <w:tcPr>
                  <w:tcW w:w="806" w:type="dxa"/>
                  <w:vAlign w:val="top"/>
                </w:tcPr>
                <w:p>
                  <w:pPr>
                    <w:spacing w:before="115" w:line="275" w:lineRule="auto"/>
                    <w:ind w:left="177" w:right="39" w:hanging="102"/>
                    <w:rPr>
                      <w:rFonts w:ascii="Times New Roman" w:hAnsi="Times New Roman" w:eastAsia="Times New Roman" w:cs="Times New Roman"/>
                      <w:sz w:val="17"/>
                      <w:szCs w:val="17"/>
                    </w:rPr>
                  </w:pPr>
                  <w:r>
                    <w:rPr>
                      <w:rFonts w:ascii="宋体" w:hAnsi="宋体" w:eastAsia="宋体" w:cs="宋体"/>
                      <w:spacing w:val="2"/>
                      <w:sz w:val="17"/>
                      <w:szCs w:val="17"/>
                      <w14:textOutline w14:w="3268" w14:cap="sq" w14:cmpd="sng">
                        <w14:solidFill>
                          <w14:srgbClr w14:val="000000"/>
                        </w14:solidFill>
                        <w14:prstDash w14:val="solid"/>
                        <w14:bevel/>
                      </w14:textOutline>
                    </w:rPr>
                    <w:t>占</w:t>
                  </w:r>
                  <w:r>
                    <w:rPr>
                      <w:rFonts w:ascii="宋体" w:hAnsi="宋体" w:eastAsia="宋体" w:cs="宋体"/>
                      <w:spacing w:val="1"/>
                      <w:sz w:val="17"/>
                      <w:szCs w:val="17"/>
                      <w14:textOutline w14:w="3268" w14:cap="sq" w14:cmpd="sng">
                        <w14:solidFill>
                          <w14:srgbClr w14:val="000000"/>
                        </w14:solidFill>
                        <w14:prstDash w14:val="solid"/>
                        <w14:bevel/>
                      </w14:textOutline>
                    </w:rPr>
                    <w:t>地面积</w:t>
                  </w:r>
                  <w:r>
                    <w:rPr>
                      <w:rFonts w:ascii="宋体" w:hAnsi="宋体" w:eastAsia="宋体" w:cs="宋体"/>
                      <w:sz w:val="17"/>
                      <w:szCs w:val="17"/>
                    </w:rPr>
                    <w:t xml:space="preserve"> </w:t>
                  </w:r>
                  <w:r>
                    <w:rPr>
                      <w:rFonts w:ascii="Times New Roman" w:hAnsi="Times New Roman" w:eastAsia="Times New Roman" w:cs="Times New Roman"/>
                      <w:b/>
                      <w:bCs/>
                      <w:spacing w:val="6"/>
                      <w:sz w:val="17"/>
                      <w:szCs w:val="17"/>
                    </w:rPr>
                    <w:t>(</w:t>
                  </w:r>
                  <w:r>
                    <w:rPr>
                      <w:rFonts w:ascii="Times New Roman" w:hAnsi="Times New Roman" w:eastAsia="Times New Roman" w:cs="Times New Roman"/>
                      <w:b/>
                      <w:bCs/>
                      <w:sz w:val="17"/>
                      <w:szCs w:val="17"/>
                    </w:rPr>
                    <w:t>hm</w:t>
                  </w:r>
                  <w:r>
                    <w:rPr>
                      <w:rFonts w:ascii="宋体" w:hAnsi="宋体" w:eastAsia="宋体" w:cs="宋体"/>
                      <w:spacing w:val="5"/>
                      <w:sz w:val="17"/>
                      <w:szCs w:val="17"/>
                      <w14:textOutline w14:w="3268" w14:cap="sq" w14:cmpd="sng">
                        <w14:solidFill>
                          <w14:srgbClr w14:val="000000"/>
                        </w14:solidFill>
                        <w14:prstDash w14:val="solid"/>
                        <w14:bevel/>
                      </w14:textOutline>
                    </w:rPr>
                    <w:t>²</w:t>
                  </w:r>
                  <w:r>
                    <w:rPr>
                      <w:rFonts w:ascii="Times New Roman" w:hAnsi="Times New Roman" w:eastAsia="Times New Roman" w:cs="Times New Roman"/>
                      <w:b/>
                      <w:bCs/>
                      <w:spacing w:val="5"/>
                      <w:sz w:val="17"/>
                      <w:szCs w:val="17"/>
                    </w:rPr>
                    <w:t>)</w:t>
                  </w:r>
                </w:p>
              </w:tc>
              <w:tc>
                <w:tcPr>
                  <w:tcW w:w="806" w:type="dxa"/>
                  <w:vAlign w:val="top"/>
                </w:tcPr>
                <w:p>
                  <w:pPr>
                    <w:spacing w:before="114" w:line="231" w:lineRule="auto"/>
                    <w:ind w:left="137"/>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平</w:t>
                  </w:r>
                  <w:r>
                    <w:rPr>
                      <w:rFonts w:ascii="宋体" w:hAnsi="宋体" w:eastAsia="宋体" w:cs="宋体"/>
                      <w:spacing w:val="8"/>
                      <w:sz w:val="17"/>
                      <w:szCs w:val="17"/>
                      <w14:textOutline w14:w="3268" w14:cap="sq" w14:cmpd="sng">
                        <w14:solidFill>
                          <w14:srgbClr w14:val="000000"/>
                        </w14:solidFill>
                        <w14:prstDash w14:val="solid"/>
                        <w14:bevel/>
                      </w14:textOutline>
                    </w:rPr>
                    <w:t>均堆</w:t>
                  </w:r>
                </w:p>
                <w:p>
                  <w:pPr>
                    <w:spacing w:before="30" w:line="249" w:lineRule="exact"/>
                    <w:ind w:left="188"/>
                    <w:rPr>
                      <w:rFonts w:ascii="Times New Roman" w:hAnsi="Times New Roman" w:eastAsia="Times New Roman" w:cs="Times New Roman"/>
                      <w:sz w:val="17"/>
                      <w:szCs w:val="17"/>
                    </w:rPr>
                  </w:pPr>
                  <w:r>
                    <w:rPr>
                      <w:rFonts w:ascii="宋体" w:hAnsi="宋体" w:eastAsia="宋体" w:cs="宋体"/>
                      <w:spacing w:val="3"/>
                      <w:position w:val="2"/>
                      <w:sz w:val="17"/>
                      <w:szCs w:val="17"/>
                      <w14:textOutline w14:w="3268" w14:cap="sq" w14:cmpd="sng">
                        <w14:solidFill>
                          <w14:srgbClr w14:val="000000"/>
                        </w14:solidFill>
                        <w14:prstDash w14:val="solid"/>
                        <w14:bevel/>
                      </w14:textOutline>
                    </w:rPr>
                    <w:t>高</w:t>
                  </w:r>
                  <w:r>
                    <w:rPr>
                      <w:rFonts w:ascii="Times New Roman" w:hAnsi="Times New Roman" w:eastAsia="Times New Roman" w:cs="Times New Roman"/>
                      <w:b/>
                      <w:bCs/>
                      <w:spacing w:val="3"/>
                      <w:position w:val="2"/>
                      <w:sz w:val="17"/>
                      <w:szCs w:val="17"/>
                    </w:rPr>
                    <w:t>(</w:t>
                  </w:r>
                  <w:r>
                    <w:rPr>
                      <w:rFonts w:ascii="Times New Roman" w:hAnsi="Times New Roman" w:eastAsia="Times New Roman" w:cs="Times New Roman"/>
                      <w:b/>
                      <w:bCs/>
                      <w:position w:val="2"/>
                      <w:sz w:val="17"/>
                      <w:szCs w:val="17"/>
                    </w:rPr>
                    <w:t>m</w:t>
                  </w:r>
                  <w:r>
                    <w:rPr>
                      <w:rFonts w:ascii="Times New Roman" w:hAnsi="Times New Roman" w:eastAsia="Times New Roman" w:cs="Times New Roman"/>
                      <w:b/>
                      <w:bCs/>
                      <w:spacing w:val="3"/>
                      <w:position w:val="2"/>
                      <w:sz w:val="17"/>
                      <w:szCs w:val="17"/>
                    </w:rPr>
                    <w:t>)</w:t>
                  </w:r>
                </w:p>
              </w:tc>
              <w:tc>
                <w:tcPr>
                  <w:tcW w:w="807" w:type="dxa"/>
                  <w:vAlign w:val="top"/>
                </w:tcPr>
                <w:p>
                  <w:pPr>
                    <w:spacing w:before="115" w:line="275" w:lineRule="auto"/>
                    <w:ind w:left="116" w:right="37" w:hanging="65"/>
                    <w:rPr>
                      <w:rFonts w:ascii="Times New Roman" w:hAnsi="Times New Roman" w:eastAsia="Times New Roman" w:cs="Times New Roman"/>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最</w:t>
                  </w:r>
                  <w:r>
                    <w:rPr>
                      <w:rFonts w:ascii="宋体" w:hAnsi="宋体" w:eastAsia="宋体" w:cs="宋体"/>
                      <w:spacing w:val="8"/>
                      <w:sz w:val="17"/>
                      <w:szCs w:val="17"/>
                      <w14:textOutline w14:w="3268" w14:cap="sq" w14:cmpd="sng">
                        <w14:solidFill>
                          <w14:srgbClr w14:val="000000"/>
                        </w14:solidFill>
                        <w14:prstDash w14:val="solid"/>
                        <w14:bevel/>
                      </w14:textOutline>
                    </w:rPr>
                    <w:t>大容量</w:t>
                  </w:r>
                  <w:r>
                    <w:rPr>
                      <w:rFonts w:ascii="宋体" w:hAnsi="宋体" w:eastAsia="宋体" w:cs="宋体"/>
                      <w:sz w:val="17"/>
                      <w:szCs w:val="17"/>
                    </w:rPr>
                    <w:t xml:space="preserve"> </w:t>
                  </w:r>
                  <w:r>
                    <w:rPr>
                      <w:rFonts w:ascii="Times New Roman" w:hAnsi="Times New Roman" w:eastAsia="Times New Roman" w:cs="Times New Roman"/>
                      <w:b/>
                      <w:bCs/>
                      <w:spacing w:val="-4"/>
                      <w:sz w:val="17"/>
                      <w:szCs w:val="17"/>
                    </w:rPr>
                    <w:t>(</w:t>
                  </w:r>
                  <w:r>
                    <w:rPr>
                      <w:rFonts w:ascii="宋体" w:hAnsi="宋体" w:eastAsia="宋体" w:cs="宋体"/>
                      <w:spacing w:val="-4"/>
                      <w:sz w:val="17"/>
                      <w:szCs w:val="17"/>
                      <w14:textOutline w14:w="3268" w14:cap="sq" w14:cmpd="sng">
                        <w14:solidFill>
                          <w14:srgbClr w14:val="000000"/>
                        </w14:solidFill>
                        <w14:prstDash w14:val="solid"/>
                        <w14:bevel/>
                      </w14:textOutline>
                    </w:rPr>
                    <w:t>万</w:t>
                  </w:r>
                  <w:r>
                    <w:rPr>
                      <w:rFonts w:ascii="宋体" w:hAnsi="宋体" w:eastAsia="宋体" w:cs="宋体"/>
                      <w:spacing w:val="-3"/>
                      <w:sz w:val="17"/>
                      <w:szCs w:val="17"/>
                    </w:rPr>
                    <w:t xml:space="preserve"> </w:t>
                  </w:r>
                  <w:r>
                    <w:rPr>
                      <w:rFonts w:ascii="Times New Roman" w:hAnsi="Times New Roman" w:eastAsia="Times New Roman" w:cs="Times New Roman"/>
                      <w:b/>
                      <w:bCs/>
                      <w:spacing w:val="-2"/>
                      <w:sz w:val="17"/>
                      <w:szCs w:val="17"/>
                    </w:rPr>
                    <w:t>m</w:t>
                  </w:r>
                  <w:r>
                    <w:rPr>
                      <w:rFonts w:ascii="宋体" w:hAnsi="宋体" w:eastAsia="宋体" w:cs="宋体"/>
                      <w:spacing w:val="-2"/>
                      <w:sz w:val="17"/>
                      <w:szCs w:val="17"/>
                      <w14:textOutline w14:w="3268" w14:cap="sq" w14:cmpd="sng">
                        <w14:solidFill>
                          <w14:srgbClr w14:val="000000"/>
                        </w14:solidFill>
                        <w14:prstDash w14:val="solid"/>
                        <w14:bevel/>
                      </w14:textOutline>
                    </w:rPr>
                    <w:t>³</w:t>
                  </w:r>
                  <w:r>
                    <w:rPr>
                      <w:rFonts w:ascii="Times New Roman" w:hAnsi="Times New Roman" w:eastAsia="Times New Roman" w:cs="Times New Roman"/>
                      <w:b/>
                      <w:bCs/>
                      <w:spacing w:val="-2"/>
                      <w:sz w:val="17"/>
                      <w:szCs w:val="17"/>
                    </w:rPr>
                    <w:t>)</w:t>
                  </w:r>
                </w:p>
              </w:tc>
              <w:tc>
                <w:tcPr>
                  <w:tcW w:w="807" w:type="dxa"/>
                  <w:vAlign w:val="top"/>
                </w:tcPr>
                <w:p>
                  <w:pPr>
                    <w:spacing w:before="115" w:line="275" w:lineRule="auto"/>
                    <w:ind w:left="116" w:right="107" w:firstLine="22"/>
                    <w:rPr>
                      <w:rFonts w:ascii="Times New Roman" w:hAnsi="Times New Roman" w:eastAsia="Times New Roman" w:cs="Times New Roman"/>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堆土量</w:t>
                  </w:r>
                  <w:r>
                    <w:rPr>
                      <w:rFonts w:ascii="宋体" w:hAnsi="宋体" w:eastAsia="宋体" w:cs="宋体"/>
                      <w:sz w:val="17"/>
                      <w:szCs w:val="17"/>
                    </w:rPr>
                    <w:t xml:space="preserve"> </w:t>
                  </w:r>
                  <w:r>
                    <w:rPr>
                      <w:rFonts w:ascii="Times New Roman" w:hAnsi="Times New Roman" w:eastAsia="Times New Roman" w:cs="Times New Roman"/>
                      <w:b/>
                      <w:bCs/>
                      <w:spacing w:val="-4"/>
                      <w:sz w:val="17"/>
                      <w:szCs w:val="17"/>
                    </w:rPr>
                    <w:t>(</w:t>
                  </w:r>
                  <w:r>
                    <w:rPr>
                      <w:rFonts w:ascii="宋体" w:hAnsi="宋体" w:eastAsia="宋体" w:cs="宋体"/>
                      <w:spacing w:val="-4"/>
                      <w:sz w:val="17"/>
                      <w:szCs w:val="17"/>
                      <w14:textOutline w14:w="3268" w14:cap="sq" w14:cmpd="sng">
                        <w14:solidFill>
                          <w14:srgbClr w14:val="000000"/>
                        </w14:solidFill>
                        <w14:prstDash w14:val="solid"/>
                        <w14:bevel/>
                      </w14:textOutline>
                    </w:rPr>
                    <w:t>万</w:t>
                  </w:r>
                  <w:r>
                    <w:rPr>
                      <w:rFonts w:ascii="宋体" w:hAnsi="宋体" w:eastAsia="宋体" w:cs="宋体"/>
                      <w:spacing w:val="-3"/>
                      <w:sz w:val="17"/>
                      <w:szCs w:val="17"/>
                    </w:rPr>
                    <w:t xml:space="preserve"> </w:t>
                  </w:r>
                  <w:r>
                    <w:rPr>
                      <w:rFonts w:ascii="Times New Roman" w:hAnsi="Times New Roman" w:eastAsia="Times New Roman" w:cs="Times New Roman"/>
                      <w:b/>
                      <w:bCs/>
                      <w:spacing w:val="-2"/>
                      <w:sz w:val="17"/>
                      <w:szCs w:val="17"/>
                    </w:rPr>
                    <w:t>m</w:t>
                  </w:r>
                  <w:r>
                    <w:rPr>
                      <w:rFonts w:ascii="宋体" w:hAnsi="宋体" w:eastAsia="宋体" w:cs="宋体"/>
                      <w:spacing w:val="-2"/>
                      <w:sz w:val="17"/>
                      <w:szCs w:val="17"/>
                      <w14:textOutline w14:w="3268" w14:cap="sq" w14:cmpd="sng">
                        <w14:solidFill>
                          <w14:srgbClr w14:val="000000"/>
                        </w14:solidFill>
                        <w14:prstDash w14:val="solid"/>
                        <w14:bevel/>
                      </w14:textOutline>
                    </w:rPr>
                    <w:t>³</w:t>
                  </w:r>
                  <w:r>
                    <w:rPr>
                      <w:rFonts w:ascii="Times New Roman" w:hAnsi="Times New Roman" w:eastAsia="Times New Roman" w:cs="Times New Roman"/>
                      <w:b/>
                      <w:bCs/>
                      <w:spacing w:val="-2"/>
                      <w:sz w:val="17"/>
                      <w:szCs w:val="17"/>
                    </w:rPr>
                    <w:t>)</w:t>
                  </w:r>
                </w:p>
              </w:tc>
              <w:tc>
                <w:tcPr>
                  <w:tcW w:w="890" w:type="dxa"/>
                  <w:vAlign w:val="top"/>
                </w:tcPr>
                <w:p>
                  <w:pPr>
                    <w:spacing w:before="254" w:line="230" w:lineRule="auto"/>
                    <w:ind w:left="88"/>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用</w:t>
                  </w:r>
                  <w:r>
                    <w:rPr>
                      <w:rFonts w:ascii="宋体" w:hAnsi="宋体" w:eastAsia="宋体" w:cs="宋体"/>
                      <w:spacing w:val="8"/>
                      <w:sz w:val="17"/>
                      <w:szCs w:val="17"/>
                      <w14:textOutline w14:w="3268" w14:cap="sq" w14:cmpd="sng">
                        <w14:solidFill>
                          <w14:srgbClr w14:val="000000"/>
                        </w14:solidFill>
                        <w14:prstDash w14:val="solid"/>
                        <w14:bevel/>
                      </w14:textOutline>
                    </w:rPr>
                    <w:t>地类型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4" w:hRule="atLeast"/>
              </w:trPr>
              <w:tc>
                <w:tcPr>
                  <w:tcW w:w="471" w:type="dxa"/>
                  <w:vAlign w:val="top"/>
                </w:tcPr>
                <w:p>
                  <w:pPr>
                    <w:spacing w:before="129" w:line="197" w:lineRule="auto"/>
                    <w:ind w:left="208"/>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1226" w:type="dxa"/>
                  <w:vAlign w:val="top"/>
                </w:tcPr>
                <w:p>
                  <w:pPr>
                    <w:spacing w:before="65" w:line="243" w:lineRule="exact"/>
                    <w:ind w:left="87"/>
                    <w:rPr>
                      <w:rFonts w:ascii="宋体" w:hAnsi="宋体" w:eastAsia="宋体" w:cs="宋体"/>
                      <w:sz w:val="17"/>
                      <w:szCs w:val="17"/>
                    </w:rPr>
                  </w:pPr>
                  <w:r>
                    <w:rPr>
                      <w:rFonts w:ascii="Times New Roman" w:hAnsi="Times New Roman" w:eastAsia="Times New Roman" w:cs="Times New Roman"/>
                      <w:spacing w:val="8"/>
                      <w:position w:val="1"/>
                      <w:sz w:val="17"/>
                      <w:szCs w:val="17"/>
                    </w:rPr>
                    <w:t>1</w:t>
                  </w:r>
                  <w:r>
                    <w:rPr>
                      <w:rFonts w:ascii="Times New Roman" w:hAnsi="Times New Roman" w:eastAsia="Times New Roman" w:cs="Times New Roman"/>
                      <w:spacing w:val="5"/>
                      <w:position w:val="1"/>
                      <w:sz w:val="17"/>
                      <w:szCs w:val="17"/>
                    </w:rPr>
                    <w:t>#</w:t>
                  </w:r>
                  <w:r>
                    <w:rPr>
                      <w:rFonts w:ascii="宋体" w:hAnsi="宋体" w:eastAsia="宋体" w:cs="宋体"/>
                      <w:spacing w:val="5"/>
                      <w:position w:val="1"/>
                      <w:sz w:val="17"/>
                      <w:szCs w:val="17"/>
                    </w:rPr>
                    <w:t>临时堆土场</w:t>
                  </w:r>
                </w:p>
              </w:tc>
              <w:tc>
                <w:tcPr>
                  <w:tcW w:w="844" w:type="dxa"/>
                  <w:vAlign w:val="top"/>
                </w:tcPr>
                <w:p>
                  <w:pPr>
                    <w:spacing w:before="65" w:line="243" w:lineRule="exact"/>
                    <w:ind w:left="125"/>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K</w:t>
                  </w:r>
                  <w:r>
                    <w:rPr>
                      <w:rFonts w:ascii="Times New Roman" w:hAnsi="Times New Roman" w:eastAsia="Times New Roman" w:cs="Times New Roman"/>
                      <w:spacing w:val="6"/>
                      <w:position w:val="2"/>
                      <w:sz w:val="17"/>
                      <w:szCs w:val="17"/>
                    </w:rPr>
                    <w:t>0+02</w:t>
                  </w:r>
                  <w:r>
                    <w:rPr>
                      <w:rFonts w:ascii="Times New Roman" w:hAnsi="Times New Roman" w:eastAsia="Times New Roman" w:cs="Times New Roman"/>
                      <w:spacing w:val="5"/>
                      <w:position w:val="2"/>
                      <w:sz w:val="17"/>
                      <w:szCs w:val="17"/>
                    </w:rPr>
                    <w:t>0</w:t>
                  </w:r>
                </w:p>
              </w:tc>
              <w:tc>
                <w:tcPr>
                  <w:tcW w:w="1303" w:type="dxa"/>
                  <w:vAlign w:val="top"/>
                </w:tcPr>
                <w:p>
                  <w:pPr>
                    <w:spacing w:before="98" w:line="230" w:lineRule="auto"/>
                    <w:ind w:left="28"/>
                    <w:rPr>
                      <w:rFonts w:ascii="宋体" w:hAnsi="宋体" w:eastAsia="宋体" w:cs="宋体"/>
                      <w:sz w:val="17"/>
                      <w:szCs w:val="17"/>
                    </w:rPr>
                  </w:pPr>
                  <w:r>
                    <w:rPr>
                      <w:rFonts w:ascii="宋体" w:hAnsi="宋体" w:eastAsia="宋体" w:cs="宋体"/>
                      <w:spacing w:val="10"/>
                      <w:sz w:val="17"/>
                      <w:szCs w:val="17"/>
                    </w:rPr>
                    <w:t>西</w:t>
                  </w:r>
                  <w:r>
                    <w:rPr>
                      <w:rFonts w:ascii="宋体" w:hAnsi="宋体" w:eastAsia="宋体" w:cs="宋体"/>
                      <w:spacing w:val="8"/>
                      <w:sz w:val="17"/>
                      <w:szCs w:val="17"/>
                    </w:rPr>
                    <w:t>侧占地范围内</w:t>
                  </w:r>
                </w:p>
              </w:tc>
              <w:tc>
                <w:tcPr>
                  <w:tcW w:w="806" w:type="dxa"/>
                  <w:vAlign w:val="top"/>
                </w:tcPr>
                <w:p>
                  <w:pPr>
                    <w:spacing w:before="129" w:line="197" w:lineRule="auto"/>
                    <w:ind w:left="242"/>
                    <w:rPr>
                      <w:rFonts w:ascii="Times New Roman" w:hAnsi="Times New Roman" w:eastAsia="Times New Roman" w:cs="Times New Roman"/>
                      <w:sz w:val="17"/>
                      <w:szCs w:val="17"/>
                    </w:rPr>
                  </w:pPr>
                  <w:r>
                    <w:rPr>
                      <w:rFonts w:ascii="Times New Roman" w:hAnsi="Times New Roman" w:eastAsia="Times New Roman" w:cs="Times New Roman"/>
                      <w:sz w:val="17"/>
                      <w:szCs w:val="17"/>
                    </w:rPr>
                    <w:t>1500</w:t>
                  </w:r>
                </w:p>
              </w:tc>
              <w:tc>
                <w:tcPr>
                  <w:tcW w:w="806" w:type="dxa"/>
                  <w:vAlign w:val="top"/>
                </w:tcPr>
                <w:p>
                  <w:pPr>
                    <w:spacing w:before="129" w:line="197" w:lineRule="auto"/>
                    <w:ind w:left="35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807" w:type="dxa"/>
                  <w:vAlign w:val="top"/>
                </w:tcPr>
                <w:p>
                  <w:pPr>
                    <w:spacing w:before="129" w:line="197" w:lineRule="auto"/>
                    <w:ind w:left="29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.6</w:t>
                  </w:r>
                </w:p>
              </w:tc>
              <w:tc>
                <w:tcPr>
                  <w:tcW w:w="807" w:type="dxa"/>
                  <w:vAlign w:val="top"/>
                </w:tcPr>
                <w:p>
                  <w:pPr>
                    <w:spacing w:before="129" w:line="197" w:lineRule="auto"/>
                    <w:ind w:left="2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0.5</w:t>
                  </w:r>
                  <w:r>
                    <w:rPr>
                      <w:rFonts w:ascii="Times New Roman" w:hAnsi="Times New Roman" w:eastAsia="Times New Roman" w:cs="Times New Roman"/>
                      <w:spacing w:val="2"/>
                      <w:sz w:val="17"/>
                      <w:szCs w:val="17"/>
                    </w:rPr>
                    <w:t>5</w:t>
                  </w:r>
                </w:p>
              </w:tc>
              <w:tc>
                <w:tcPr>
                  <w:tcW w:w="890" w:type="dxa"/>
                  <w:vAlign w:val="top"/>
                </w:tcPr>
                <w:p>
                  <w:pPr>
                    <w:spacing w:before="98" w:line="232" w:lineRule="auto"/>
                    <w:ind w:left="271"/>
                    <w:rPr>
                      <w:rFonts w:ascii="宋体" w:hAnsi="宋体" w:eastAsia="宋体" w:cs="宋体"/>
                      <w:sz w:val="17"/>
                      <w:szCs w:val="17"/>
                    </w:rPr>
                  </w:pPr>
                  <w:r>
                    <w:rPr>
                      <w:rFonts w:ascii="宋体" w:hAnsi="宋体" w:eastAsia="宋体" w:cs="宋体"/>
                      <w:spacing w:val="5"/>
                      <w:sz w:val="17"/>
                      <w:szCs w:val="17"/>
                    </w:rPr>
                    <w:t>旱地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9" w:hRule="atLeast"/>
              </w:trPr>
              <w:tc>
                <w:tcPr>
                  <w:tcW w:w="471" w:type="dxa"/>
                  <w:vAlign w:val="top"/>
                </w:tcPr>
                <w:p>
                  <w:pPr>
                    <w:spacing w:before="138" w:line="197" w:lineRule="auto"/>
                    <w:ind w:left="191"/>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1226" w:type="dxa"/>
                  <w:vAlign w:val="top"/>
                </w:tcPr>
                <w:p>
                  <w:pPr>
                    <w:spacing w:before="74" w:line="243" w:lineRule="exact"/>
                    <w:ind w:left="70"/>
                    <w:rPr>
                      <w:rFonts w:ascii="宋体" w:hAnsi="宋体" w:eastAsia="宋体" w:cs="宋体"/>
                      <w:sz w:val="17"/>
                      <w:szCs w:val="17"/>
                    </w:rPr>
                  </w:pPr>
                  <w:r>
                    <w:rPr>
                      <w:rFonts w:ascii="Times New Roman" w:hAnsi="Times New Roman" w:eastAsia="Times New Roman" w:cs="Times New Roman"/>
                      <w:spacing w:val="8"/>
                      <w:position w:val="1"/>
                      <w:sz w:val="17"/>
                      <w:szCs w:val="17"/>
                    </w:rPr>
                    <w:t>2#</w:t>
                  </w:r>
                  <w:r>
                    <w:rPr>
                      <w:rFonts w:ascii="宋体" w:hAnsi="宋体" w:eastAsia="宋体" w:cs="宋体"/>
                      <w:spacing w:val="8"/>
                      <w:position w:val="1"/>
                      <w:sz w:val="17"/>
                      <w:szCs w:val="17"/>
                    </w:rPr>
                    <w:t>临时堆土场</w:t>
                  </w:r>
                </w:p>
              </w:tc>
              <w:tc>
                <w:tcPr>
                  <w:tcW w:w="844" w:type="dxa"/>
                  <w:vAlign w:val="top"/>
                </w:tcPr>
                <w:p>
                  <w:pPr>
                    <w:spacing w:before="74" w:line="243" w:lineRule="exact"/>
                    <w:ind w:left="125"/>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K</w:t>
                  </w:r>
                  <w:r>
                    <w:rPr>
                      <w:rFonts w:ascii="Times New Roman" w:hAnsi="Times New Roman" w:eastAsia="Times New Roman" w:cs="Times New Roman"/>
                      <w:spacing w:val="6"/>
                      <w:position w:val="2"/>
                      <w:sz w:val="17"/>
                      <w:szCs w:val="17"/>
                    </w:rPr>
                    <w:t>0+24</w:t>
                  </w:r>
                  <w:r>
                    <w:rPr>
                      <w:rFonts w:ascii="Times New Roman" w:hAnsi="Times New Roman" w:eastAsia="Times New Roman" w:cs="Times New Roman"/>
                      <w:spacing w:val="5"/>
                      <w:position w:val="2"/>
                      <w:sz w:val="17"/>
                      <w:szCs w:val="17"/>
                    </w:rPr>
                    <w:t>0</w:t>
                  </w:r>
                </w:p>
              </w:tc>
              <w:tc>
                <w:tcPr>
                  <w:tcW w:w="1303" w:type="dxa"/>
                  <w:vAlign w:val="top"/>
                </w:tcPr>
                <w:p>
                  <w:pPr>
                    <w:spacing w:before="109" w:line="230" w:lineRule="auto"/>
                    <w:ind w:left="30"/>
                    <w:rPr>
                      <w:rFonts w:ascii="宋体" w:hAnsi="宋体" w:eastAsia="宋体" w:cs="宋体"/>
                      <w:sz w:val="17"/>
                      <w:szCs w:val="17"/>
                    </w:rPr>
                  </w:pPr>
                  <w:r>
                    <w:rPr>
                      <w:rFonts w:ascii="宋体" w:hAnsi="宋体" w:eastAsia="宋体" w:cs="宋体"/>
                      <w:spacing w:val="8"/>
                      <w:sz w:val="17"/>
                      <w:szCs w:val="17"/>
                    </w:rPr>
                    <w:t>东侧占地范围内</w:t>
                  </w:r>
                </w:p>
              </w:tc>
              <w:tc>
                <w:tcPr>
                  <w:tcW w:w="806" w:type="dxa"/>
                  <w:vAlign w:val="top"/>
                </w:tcPr>
                <w:p>
                  <w:pPr>
                    <w:spacing w:before="138" w:line="197" w:lineRule="auto"/>
                    <w:ind w:left="242"/>
                    <w:rPr>
                      <w:rFonts w:ascii="Times New Roman" w:hAnsi="Times New Roman" w:eastAsia="Times New Roman" w:cs="Times New Roman"/>
                      <w:sz w:val="17"/>
                      <w:szCs w:val="17"/>
                    </w:rPr>
                  </w:pPr>
                  <w:r>
                    <w:rPr>
                      <w:rFonts w:ascii="Times New Roman" w:hAnsi="Times New Roman" w:eastAsia="Times New Roman" w:cs="Times New Roman"/>
                      <w:sz w:val="17"/>
                      <w:szCs w:val="17"/>
                    </w:rPr>
                    <w:t>1500</w:t>
                  </w:r>
                </w:p>
              </w:tc>
              <w:tc>
                <w:tcPr>
                  <w:tcW w:w="806" w:type="dxa"/>
                  <w:vAlign w:val="top"/>
                </w:tcPr>
                <w:p>
                  <w:pPr>
                    <w:spacing w:before="138" w:line="197" w:lineRule="auto"/>
                    <w:ind w:left="35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807" w:type="dxa"/>
                  <w:vAlign w:val="top"/>
                </w:tcPr>
                <w:p>
                  <w:pPr>
                    <w:spacing w:before="138" w:line="197" w:lineRule="auto"/>
                    <w:ind w:left="29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.6</w:t>
                  </w:r>
                </w:p>
              </w:tc>
              <w:tc>
                <w:tcPr>
                  <w:tcW w:w="807" w:type="dxa"/>
                  <w:vAlign w:val="top"/>
                </w:tcPr>
                <w:p>
                  <w:pPr>
                    <w:spacing w:before="138" w:line="197" w:lineRule="auto"/>
                    <w:ind w:left="2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0.5</w:t>
                  </w:r>
                  <w:r>
                    <w:rPr>
                      <w:rFonts w:ascii="Times New Roman" w:hAnsi="Times New Roman" w:eastAsia="Times New Roman" w:cs="Times New Roman"/>
                      <w:spacing w:val="2"/>
                      <w:sz w:val="17"/>
                      <w:szCs w:val="17"/>
                    </w:rPr>
                    <w:t>5</w:t>
                  </w:r>
                </w:p>
              </w:tc>
              <w:tc>
                <w:tcPr>
                  <w:tcW w:w="890" w:type="dxa"/>
                  <w:vAlign w:val="top"/>
                </w:tcPr>
                <w:p>
                  <w:pPr>
                    <w:spacing w:before="109" w:line="232" w:lineRule="auto"/>
                    <w:ind w:left="90"/>
                    <w:rPr>
                      <w:rFonts w:ascii="宋体" w:hAnsi="宋体" w:eastAsia="宋体" w:cs="宋体"/>
                      <w:sz w:val="17"/>
                      <w:szCs w:val="17"/>
                    </w:rPr>
                  </w:pPr>
                  <w:r>
                    <w:rPr>
                      <w:rFonts w:ascii="宋体" w:hAnsi="宋体" w:eastAsia="宋体" w:cs="宋体"/>
                      <w:spacing w:val="8"/>
                      <w:sz w:val="17"/>
                      <w:szCs w:val="17"/>
                    </w:rPr>
                    <w:t>绿化用</w:t>
                  </w:r>
                  <w:r>
                    <w:rPr>
                      <w:rFonts w:ascii="宋体" w:hAnsi="宋体" w:eastAsia="宋体" w:cs="宋体"/>
                      <w:spacing w:val="7"/>
                      <w:sz w:val="17"/>
                      <w:szCs w:val="17"/>
                    </w:rPr>
                    <w:t>地</w:t>
                  </w:r>
                </w:p>
              </w:tc>
            </w:tr>
          </w:tbl>
          <w:p>
            <w:pPr>
              <w:spacing w:before="140" w:line="227" w:lineRule="auto"/>
              <w:ind w:left="537"/>
              <w:rPr>
                <w:rFonts w:ascii="宋体" w:hAnsi="宋体" w:eastAsia="宋体" w:cs="宋体"/>
                <w:sz w:val="20"/>
                <w:szCs w:val="20"/>
              </w:rPr>
            </w:pPr>
            <w:r>
              <w:rPr>
                <w:rFonts w:ascii="宋体" w:hAnsi="宋体" w:eastAsia="宋体" w:cs="宋体"/>
                <w:spacing w:val="22"/>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7"/>
                <w:sz w:val="20"/>
                <w:szCs w:val="20"/>
              </w:rPr>
              <w:t>5</w:t>
            </w:r>
            <w:r>
              <w:rPr>
                <w:rFonts w:ascii="宋体" w:hAnsi="宋体" w:eastAsia="宋体" w:cs="宋体"/>
                <w:spacing w:val="17"/>
                <w:sz w:val="20"/>
                <w:szCs w:val="20"/>
                <w14:textOutline w14:w="3795" w14:cap="sq" w14:cmpd="sng">
                  <w14:solidFill>
                    <w14:srgbClr w14:val="000000"/>
                  </w14:solidFill>
                  <w14:prstDash w14:val="solid"/>
                  <w14:bevel/>
                </w14:textOutline>
              </w:rPr>
              <w:t>)</w:t>
            </w:r>
            <w:r>
              <w:rPr>
                <w:rFonts w:ascii="宋体" w:hAnsi="宋体" w:eastAsia="宋体" w:cs="宋体"/>
                <w:spacing w:val="17"/>
                <w:sz w:val="20"/>
                <w:szCs w:val="20"/>
              </w:rPr>
              <w:t xml:space="preserve"> </w:t>
            </w:r>
            <w:r>
              <w:rPr>
                <w:rFonts w:ascii="宋体" w:hAnsi="宋体" w:eastAsia="宋体" w:cs="宋体"/>
                <w:spacing w:val="17"/>
                <w:sz w:val="20"/>
                <w:szCs w:val="20"/>
                <w14:textOutline w14:w="3795" w14:cap="sq" w14:cmpd="sng">
                  <w14:solidFill>
                    <w14:srgbClr w14:val="000000"/>
                  </w14:solidFill>
                  <w14:prstDash w14:val="solid"/>
                  <w14:bevel/>
                </w14:textOutline>
              </w:rPr>
              <w:t>泥浆干化场</w:t>
            </w:r>
          </w:p>
          <w:p>
            <w:pPr>
              <w:spacing w:before="156" w:line="369" w:lineRule="auto"/>
              <w:ind w:left="108" w:right="102" w:firstLine="418"/>
              <w:rPr>
                <w:rFonts w:ascii="宋体" w:hAnsi="宋体" w:eastAsia="宋体" w:cs="宋体"/>
                <w:sz w:val="20"/>
                <w:szCs w:val="20"/>
              </w:rPr>
            </w:pPr>
            <w:r>
              <w:rPr>
                <w:rFonts w:ascii="宋体" w:hAnsi="宋体" w:eastAsia="宋体" w:cs="宋体"/>
                <w:spacing w:val="14"/>
                <w:sz w:val="20"/>
                <w:szCs w:val="20"/>
              </w:rPr>
              <w:t>在桥</w:t>
            </w:r>
            <w:r>
              <w:rPr>
                <w:rFonts w:ascii="宋体" w:hAnsi="宋体" w:eastAsia="宋体" w:cs="宋体"/>
                <w:spacing w:val="9"/>
                <w:sz w:val="20"/>
                <w:szCs w:val="20"/>
              </w:rPr>
              <w:t>梁</w:t>
            </w:r>
            <w:r>
              <w:rPr>
                <w:rFonts w:ascii="宋体" w:hAnsi="宋体" w:eastAsia="宋体" w:cs="宋体"/>
                <w:spacing w:val="7"/>
                <w:sz w:val="20"/>
                <w:szCs w:val="20"/>
              </w:rPr>
              <w:t>桩基础施工过程中将产生钻孔泥浆，为循环使用泥浆沉淀钻渣，方案考虑在每</w:t>
            </w:r>
            <w:r>
              <w:rPr>
                <w:rFonts w:ascii="宋体" w:hAnsi="宋体" w:eastAsia="宋体" w:cs="宋体"/>
                <w:sz w:val="20"/>
                <w:szCs w:val="20"/>
              </w:rPr>
              <w:t xml:space="preserve"> </w:t>
            </w:r>
            <w:r>
              <w:rPr>
                <w:rFonts w:ascii="宋体" w:hAnsi="宋体" w:eastAsia="宋体" w:cs="宋体"/>
                <w:spacing w:val="8"/>
                <w:sz w:val="20"/>
                <w:szCs w:val="20"/>
              </w:rPr>
              <w:t>组桩基础施工</w:t>
            </w:r>
            <w:r>
              <w:rPr>
                <w:rFonts w:ascii="宋体" w:hAnsi="宋体" w:eastAsia="宋体" w:cs="宋体"/>
                <w:spacing w:val="4"/>
                <w:sz w:val="20"/>
                <w:szCs w:val="20"/>
              </w:rPr>
              <w:t xml:space="preserve">区域设置一组泥浆沉淀池，泥浆沉淀池由 </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 xml:space="preserve">个泥浆池及 </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个沉淀池组成，串</w:t>
            </w:r>
            <w:r>
              <w:rPr>
                <w:rFonts w:ascii="宋体" w:hAnsi="宋体" w:eastAsia="宋体" w:cs="宋体"/>
                <w:sz w:val="20"/>
                <w:szCs w:val="20"/>
              </w:rPr>
              <w:t xml:space="preserve"> </w:t>
            </w:r>
            <w:r>
              <w:rPr>
                <w:rFonts w:ascii="宋体" w:hAnsi="宋体" w:eastAsia="宋体" w:cs="宋体"/>
                <w:spacing w:val="-4"/>
                <w:sz w:val="20"/>
                <w:szCs w:val="20"/>
              </w:rPr>
              <w:t>联使用，泥浆及沉</w:t>
            </w:r>
            <w:r>
              <w:rPr>
                <w:rFonts w:ascii="宋体" w:hAnsi="宋体" w:eastAsia="宋体" w:cs="宋体"/>
                <w:spacing w:val="-2"/>
                <w:sz w:val="20"/>
                <w:szCs w:val="20"/>
              </w:rPr>
              <w:t xml:space="preserve">淀池尺寸为长 </w:t>
            </w:r>
            <w:r>
              <w:rPr>
                <w:rFonts w:ascii="Times New Roman" w:hAnsi="Times New Roman" w:eastAsia="Times New Roman" w:cs="Times New Roman"/>
                <w:spacing w:val="-2"/>
                <w:sz w:val="20"/>
                <w:szCs w:val="20"/>
              </w:rPr>
              <w:t xml:space="preserve">3.5m </w:t>
            </w:r>
            <w:r>
              <w:rPr>
                <w:rFonts w:ascii="宋体" w:hAnsi="宋体" w:eastAsia="宋体" w:cs="宋体"/>
                <w:spacing w:val="-2"/>
                <w:sz w:val="20"/>
                <w:szCs w:val="20"/>
              </w:rPr>
              <w:t xml:space="preserve">，宽 </w:t>
            </w:r>
            <w:r>
              <w:rPr>
                <w:rFonts w:ascii="Times New Roman" w:hAnsi="Times New Roman" w:eastAsia="Times New Roman" w:cs="Times New Roman"/>
                <w:spacing w:val="-2"/>
                <w:sz w:val="20"/>
                <w:szCs w:val="20"/>
              </w:rPr>
              <w:t xml:space="preserve">2.5m </w:t>
            </w:r>
            <w:r>
              <w:rPr>
                <w:rFonts w:ascii="宋体" w:hAnsi="宋体" w:eastAsia="宋体" w:cs="宋体"/>
                <w:spacing w:val="-2"/>
                <w:sz w:val="20"/>
                <w:szCs w:val="20"/>
              </w:rPr>
              <w:t xml:space="preserve">，深 </w:t>
            </w:r>
            <w:r>
              <w:rPr>
                <w:rFonts w:ascii="Times New Roman" w:hAnsi="Times New Roman" w:eastAsia="Times New Roman" w:cs="Times New Roman"/>
                <w:spacing w:val="-2"/>
                <w:sz w:val="20"/>
                <w:szCs w:val="20"/>
              </w:rPr>
              <w:t xml:space="preserve">1.5m </w:t>
            </w:r>
            <w:r>
              <w:rPr>
                <w:rFonts w:ascii="宋体" w:hAnsi="宋体" w:eastAsia="宋体" w:cs="宋体"/>
                <w:spacing w:val="-2"/>
                <w:sz w:val="20"/>
                <w:szCs w:val="20"/>
              </w:rPr>
              <w:t xml:space="preserve">，边坡坡比 </w:t>
            </w:r>
            <w:r>
              <w:rPr>
                <w:rFonts w:ascii="Times New Roman" w:hAnsi="Times New Roman" w:eastAsia="Times New Roman" w:cs="Times New Roman"/>
                <w:spacing w:val="-2"/>
                <w:sz w:val="20"/>
                <w:szCs w:val="20"/>
              </w:rPr>
              <w:t xml:space="preserve">1:0.5 </w:t>
            </w:r>
            <w:r>
              <w:rPr>
                <w:rFonts w:ascii="宋体" w:hAnsi="宋体" w:eastAsia="宋体" w:cs="宋体"/>
                <w:spacing w:val="-2"/>
                <w:sz w:val="20"/>
                <w:szCs w:val="20"/>
              </w:rPr>
              <w:t xml:space="preserve">。项目共设置 </w:t>
            </w:r>
            <w:r>
              <w:rPr>
                <w:rFonts w:ascii="Times New Roman" w:hAnsi="Times New Roman" w:eastAsia="Times New Roman" w:cs="Times New Roman"/>
                <w:spacing w:val="-2"/>
                <w:sz w:val="20"/>
                <w:szCs w:val="20"/>
              </w:rPr>
              <w:t>2</w:t>
            </w:r>
            <w:r>
              <w:rPr>
                <w:rFonts w:ascii="Times New Roman" w:hAnsi="Times New Roman" w:eastAsia="Times New Roman" w:cs="Times New Roman"/>
                <w:sz w:val="20"/>
                <w:szCs w:val="20"/>
              </w:rPr>
              <w:t xml:space="preserve"> </w:t>
            </w:r>
            <w:r>
              <w:rPr>
                <w:rFonts w:ascii="宋体" w:hAnsi="宋体" w:eastAsia="宋体" w:cs="宋体"/>
                <w:spacing w:val="16"/>
                <w:sz w:val="20"/>
                <w:szCs w:val="20"/>
              </w:rPr>
              <w:t>组</w:t>
            </w:r>
            <w:r>
              <w:rPr>
                <w:rFonts w:ascii="宋体" w:hAnsi="宋体" w:eastAsia="宋体" w:cs="宋体"/>
                <w:spacing w:val="11"/>
                <w:sz w:val="20"/>
                <w:szCs w:val="20"/>
              </w:rPr>
              <w:t>泥</w:t>
            </w:r>
            <w:r>
              <w:rPr>
                <w:rFonts w:ascii="宋体" w:hAnsi="宋体" w:eastAsia="宋体" w:cs="宋体"/>
                <w:spacing w:val="8"/>
                <w:sz w:val="20"/>
                <w:szCs w:val="20"/>
              </w:rPr>
              <w:t>浆沉淀池，分别位于大桥两端。</w:t>
            </w:r>
          </w:p>
          <w:p>
            <w:pPr>
              <w:spacing w:before="1" w:line="228" w:lineRule="auto"/>
              <w:ind w:left="537"/>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5"/>
                <w:sz w:val="20"/>
                <w:szCs w:val="20"/>
              </w:rPr>
              <w:t>6</w:t>
            </w:r>
            <w:r>
              <w:rPr>
                <w:rFonts w:ascii="宋体" w:hAnsi="宋体" w:eastAsia="宋体" w:cs="宋体"/>
                <w:spacing w:val="15"/>
                <w:sz w:val="20"/>
                <w:szCs w:val="20"/>
                <w14:textOutline w14:w="3795" w14:cap="sq" w14:cmpd="sng">
                  <w14:solidFill>
                    <w14:srgbClr w14:val="000000"/>
                  </w14:solidFill>
                  <w14:prstDash w14:val="solid"/>
                  <w14:bevel/>
                </w14:textOutline>
              </w:rPr>
              <w:t>)</w:t>
            </w:r>
            <w:r>
              <w:rPr>
                <w:rFonts w:ascii="宋体" w:hAnsi="宋体" w:eastAsia="宋体" w:cs="宋体"/>
                <w:spacing w:val="15"/>
                <w:sz w:val="20"/>
                <w:szCs w:val="20"/>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土石方平衡及其流向</w:t>
            </w:r>
          </w:p>
          <w:p>
            <w:pPr>
              <w:spacing w:before="151" w:line="228" w:lineRule="auto"/>
              <w:ind w:left="599"/>
              <w:rPr>
                <w:rFonts w:ascii="宋体" w:hAnsi="宋体" w:eastAsia="宋体" w:cs="宋体"/>
                <w:sz w:val="20"/>
                <w:szCs w:val="20"/>
              </w:rPr>
            </w:pPr>
            <w:r>
              <w:rPr>
                <w:rFonts w:ascii="宋体" w:hAnsi="宋体" w:eastAsia="宋体" w:cs="宋体"/>
                <w:spacing w:val="10"/>
                <w:sz w:val="17"/>
                <w:szCs w:val="17"/>
              </w:rPr>
              <w:t>1</w:t>
            </w:r>
            <w:r>
              <w:rPr>
                <w:rFonts w:ascii="宋体" w:hAnsi="宋体" w:eastAsia="宋体" w:cs="宋体"/>
                <w:spacing w:val="7"/>
                <w:sz w:val="17"/>
                <w:szCs w:val="17"/>
              </w:rPr>
              <w:t xml:space="preserve"> </w:t>
            </w:r>
            <w:r>
              <w:rPr>
                <w:rFonts w:ascii="宋体" w:hAnsi="宋体" w:eastAsia="宋体" w:cs="宋体"/>
                <w:spacing w:val="5"/>
                <w:sz w:val="17"/>
                <w:szCs w:val="17"/>
              </w:rPr>
              <w:t xml:space="preserve">  </w:t>
            </w:r>
            <w:r>
              <w:rPr>
                <w:rFonts w:ascii="宋体" w:hAnsi="宋体" w:eastAsia="宋体" w:cs="宋体"/>
                <w:spacing w:val="5"/>
                <w:sz w:val="20"/>
                <w:szCs w:val="20"/>
              </w:rPr>
              <w:t>表土平衡分析</w:t>
            </w:r>
          </w:p>
          <w:p>
            <w:pPr>
              <w:spacing w:before="155" w:line="341" w:lineRule="auto"/>
              <w:ind w:left="106" w:right="50" w:firstLine="421"/>
              <w:rPr>
                <w:rFonts w:ascii="宋体" w:hAnsi="宋体" w:eastAsia="宋体" w:cs="宋体"/>
                <w:sz w:val="20"/>
                <w:szCs w:val="20"/>
              </w:rPr>
            </w:pPr>
            <w:r>
              <w:rPr>
                <w:rFonts w:ascii="宋体" w:hAnsi="宋体" w:eastAsia="宋体" w:cs="宋体"/>
                <w:spacing w:val="14"/>
                <w:sz w:val="20"/>
                <w:szCs w:val="20"/>
              </w:rPr>
              <w:t>本工</w:t>
            </w:r>
            <w:r>
              <w:rPr>
                <w:rFonts w:ascii="宋体" w:hAnsi="宋体" w:eastAsia="宋体" w:cs="宋体"/>
                <w:spacing w:val="7"/>
                <w:sz w:val="20"/>
                <w:szCs w:val="20"/>
              </w:rPr>
              <w:t>程占地类型包括市政绿化用地、旱地、河滩地、交通运输用地、水域用地，根据</w:t>
            </w:r>
            <w:r>
              <w:rPr>
                <w:rFonts w:ascii="宋体" w:hAnsi="宋体" w:eastAsia="宋体" w:cs="宋体"/>
                <w:sz w:val="20"/>
                <w:szCs w:val="20"/>
              </w:rPr>
              <w:t xml:space="preserve"> </w:t>
            </w:r>
            <w:r>
              <w:rPr>
                <w:rFonts w:ascii="宋体" w:hAnsi="宋体" w:eastAsia="宋体" w:cs="宋体"/>
                <w:spacing w:val="14"/>
                <w:sz w:val="20"/>
                <w:szCs w:val="20"/>
              </w:rPr>
              <w:t>主体设</w:t>
            </w:r>
            <w:r>
              <w:rPr>
                <w:rFonts w:ascii="宋体" w:hAnsi="宋体" w:eastAsia="宋体" w:cs="宋体"/>
                <w:spacing w:val="8"/>
                <w:sz w:val="20"/>
                <w:szCs w:val="20"/>
              </w:rPr>
              <w:t>计</w:t>
            </w:r>
            <w:r>
              <w:rPr>
                <w:rFonts w:ascii="宋体" w:hAnsi="宋体" w:eastAsia="宋体" w:cs="宋体"/>
                <w:spacing w:val="7"/>
                <w:sz w:val="20"/>
                <w:szCs w:val="20"/>
              </w:rPr>
              <w:t>资料和现场勘查情况，主体工程区可剥离部分为拆迁的公共绿地部分，该地区土</w:t>
            </w:r>
            <w:r>
              <w:rPr>
                <w:rFonts w:ascii="宋体" w:hAnsi="宋体" w:eastAsia="宋体" w:cs="宋体"/>
                <w:sz w:val="20"/>
                <w:szCs w:val="20"/>
              </w:rPr>
              <w:t xml:space="preserve"> </w:t>
            </w:r>
            <w:r>
              <w:rPr>
                <w:rFonts w:ascii="宋体" w:hAnsi="宋体" w:eastAsia="宋体" w:cs="宋体"/>
                <w:spacing w:val="1"/>
                <w:sz w:val="20"/>
                <w:szCs w:val="20"/>
              </w:rPr>
              <w:t xml:space="preserve">层厚度约为 </w:t>
            </w:r>
            <w:r>
              <w:rPr>
                <w:rFonts w:ascii="Times New Roman" w:hAnsi="Times New Roman" w:eastAsia="Times New Roman" w:cs="Times New Roman"/>
                <w:spacing w:val="1"/>
                <w:sz w:val="20"/>
                <w:szCs w:val="20"/>
              </w:rPr>
              <w:t>0. 10~0.30</w:t>
            </w:r>
            <w:r>
              <w:rPr>
                <w:rFonts w:ascii="Times New Roman" w:hAnsi="Times New Roman" w:eastAsia="Times New Roman" w:cs="Times New Roman"/>
                <w:sz w:val="20"/>
                <w:szCs w:val="20"/>
              </w:rPr>
              <w:t>m</w:t>
            </w:r>
            <w:r>
              <w:rPr>
                <w:rFonts w:ascii="宋体" w:hAnsi="宋体" w:eastAsia="宋体" w:cs="宋体"/>
                <w:spacing w:val="1"/>
                <w:sz w:val="20"/>
                <w:szCs w:val="20"/>
              </w:rPr>
              <w:t>，为更好地保护表土资源，工程设计对占用</w:t>
            </w:r>
            <w:r>
              <w:rPr>
                <w:rFonts w:ascii="宋体" w:hAnsi="宋体" w:eastAsia="宋体" w:cs="宋体"/>
                <w:sz w:val="20"/>
                <w:szCs w:val="20"/>
              </w:rPr>
              <w:t xml:space="preserve">公共绿地进行表土剥离， </w:t>
            </w:r>
            <w:r>
              <w:rPr>
                <w:rFonts w:ascii="宋体" w:hAnsi="宋体" w:eastAsia="宋体" w:cs="宋体"/>
                <w:spacing w:val="-1"/>
                <w:sz w:val="20"/>
                <w:szCs w:val="20"/>
              </w:rPr>
              <w:t xml:space="preserve">共计剥离面积 </w:t>
            </w:r>
            <w:r>
              <w:rPr>
                <w:rFonts w:ascii="Times New Roman" w:hAnsi="Times New Roman" w:eastAsia="Times New Roman" w:cs="Times New Roman"/>
                <w:spacing w:val="-1"/>
                <w:sz w:val="20"/>
                <w:szCs w:val="20"/>
              </w:rPr>
              <w:t>0.29</w:t>
            </w:r>
            <w:r>
              <w:rPr>
                <w:rFonts w:ascii="Times New Roman" w:hAnsi="Times New Roman" w:eastAsia="Times New Roman" w:cs="Times New Roman"/>
                <w:sz w:val="20"/>
                <w:szCs w:val="20"/>
              </w:rPr>
              <w:t>hm</w:t>
            </w:r>
            <w:r>
              <w:rPr>
                <w:rFonts w:ascii="宋体" w:hAnsi="宋体" w:eastAsia="宋体" w:cs="宋体"/>
                <w:spacing w:val="-1"/>
                <w:sz w:val="20"/>
                <w:szCs w:val="20"/>
              </w:rPr>
              <w:t>² ，平均剥离厚度</w:t>
            </w:r>
            <w:r>
              <w:rPr>
                <w:rFonts w:ascii="宋体" w:hAnsi="宋体" w:eastAsia="宋体" w:cs="宋体"/>
                <w:sz w:val="20"/>
                <w:szCs w:val="20"/>
              </w:rPr>
              <w:t xml:space="preserve"> </w:t>
            </w:r>
            <w:r>
              <w:rPr>
                <w:rFonts w:ascii="Times New Roman" w:hAnsi="Times New Roman" w:eastAsia="Times New Roman" w:cs="Times New Roman"/>
                <w:sz w:val="20"/>
                <w:szCs w:val="20"/>
              </w:rPr>
              <w:t xml:space="preserve">0.30m </w:t>
            </w:r>
            <w:r>
              <w:rPr>
                <w:rFonts w:ascii="宋体" w:hAnsi="宋体" w:eastAsia="宋体" w:cs="宋体"/>
                <w:sz w:val="20"/>
                <w:szCs w:val="20"/>
              </w:rPr>
              <w:t xml:space="preserve">，剥离量为 </w:t>
            </w:r>
            <w:r>
              <w:rPr>
                <w:rFonts w:ascii="Times New Roman" w:hAnsi="Times New Roman" w:eastAsia="Times New Roman" w:cs="Times New Roman"/>
                <w:sz w:val="20"/>
                <w:szCs w:val="20"/>
              </w:rPr>
              <w:t xml:space="preserve">0.09 </w:t>
            </w:r>
            <w:r>
              <w:rPr>
                <w:rFonts w:ascii="宋体" w:hAnsi="宋体" w:eastAsia="宋体" w:cs="宋体"/>
                <w:sz w:val="20"/>
                <w:szCs w:val="20"/>
              </w:rPr>
              <w:t xml:space="preserve">万 </w:t>
            </w:r>
            <w:r>
              <w:rPr>
                <w:rFonts w:ascii="Times New Roman" w:hAnsi="Times New Roman" w:eastAsia="Times New Roman" w:cs="Times New Roman"/>
                <w:sz w:val="20"/>
                <w:szCs w:val="20"/>
              </w:rPr>
              <w:t>m</w:t>
            </w:r>
            <w:r>
              <w:rPr>
                <w:rFonts w:ascii="宋体" w:hAnsi="宋体" w:eastAsia="宋体" w:cs="宋体"/>
                <w:sz w:val="20"/>
                <w:szCs w:val="20"/>
              </w:rPr>
              <w:t xml:space="preserve">³ ，本项目共设临时堆 </w:t>
            </w:r>
            <w:r>
              <w:rPr>
                <w:rFonts w:ascii="宋体" w:hAnsi="宋体" w:eastAsia="宋体" w:cs="宋体"/>
                <w:spacing w:val="14"/>
                <w:sz w:val="20"/>
                <w:szCs w:val="20"/>
              </w:rPr>
              <w:t>土场</w:t>
            </w:r>
            <w:r>
              <w:rPr>
                <w:rFonts w:ascii="宋体" w:hAnsi="宋体" w:eastAsia="宋体" w:cs="宋体"/>
                <w:spacing w:val="8"/>
                <w:sz w:val="20"/>
                <w:szCs w:val="20"/>
              </w:rPr>
              <w:t xml:space="preserve"> </w:t>
            </w:r>
            <w:r>
              <w:rPr>
                <w:rFonts w:ascii="Times New Roman" w:hAnsi="Times New Roman" w:eastAsia="Times New Roman" w:cs="Times New Roman"/>
                <w:spacing w:val="7"/>
                <w:sz w:val="20"/>
                <w:szCs w:val="20"/>
              </w:rPr>
              <w:t xml:space="preserve">1 </w:t>
            </w:r>
            <w:r>
              <w:rPr>
                <w:rFonts w:ascii="宋体" w:hAnsi="宋体" w:eastAsia="宋体" w:cs="宋体"/>
                <w:spacing w:val="7"/>
                <w:sz w:val="20"/>
                <w:szCs w:val="20"/>
              </w:rPr>
              <w:t>处，位于东岸道路工程边坡处永久占地范围内，不设置永久弃土场。</w:t>
            </w:r>
          </w:p>
          <w:p>
            <w:pPr>
              <w:spacing w:before="113" w:line="377" w:lineRule="auto"/>
              <w:ind w:left="128" w:right="104" w:firstLine="398"/>
              <w:rPr>
                <w:rFonts w:ascii="宋体" w:hAnsi="宋体" w:eastAsia="宋体" w:cs="宋体"/>
                <w:sz w:val="20"/>
                <w:szCs w:val="20"/>
              </w:rPr>
            </w:pPr>
            <w:r>
              <w:rPr>
                <w:rFonts w:ascii="宋体" w:hAnsi="宋体" w:eastAsia="宋体" w:cs="宋体"/>
                <w:spacing w:val="1"/>
                <w:sz w:val="20"/>
                <w:szCs w:val="20"/>
              </w:rPr>
              <w:t>施工结束后对剥离的表土进行回</w:t>
            </w:r>
            <w:r>
              <w:rPr>
                <w:rFonts w:ascii="宋体" w:hAnsi="宋体" w:eastAsia="宋体" w:cs="宋体"/>
                <w:sz w:val="20"/>
                <w:szCs w:val="20"/>
              </w:rPr>
              <w:t xml:space="preserve">覆，回覆面积 </w:t>
            </w:r>
            <w:r>
              <w:rPr>
                <w:rFonts w:ascii="Times New Roman" w:hAnsi="Times New Roman" w:eastAsia="Times New Roman" w:cs="Times New Roman"/>
                <w:sz w:val="20"/>
                <w:szCs w:val="20"/>
              </w:rPr>
              <w:t>0.44hm</w:t>
            </w:r>
            <w:r>
              <w:rPr>
                <w:rFonts w:ascii="宋体" w:hAnsi="宋体" w:eastAsia="宋体" w:cs="宋体"/>
                <w:sz w:val="20"/>
                <w:szCs w:val="20"/>
              </w:rPr>
              <w:t xml:space="preserve">² ，回覆量为 </w:t>
            </w:r>
            <w:r>
              <w:rPr>
                <w:rFonts w:ascii="Times New Roman" w:hAnsi="Times New Roman" w:eastAsia="Times New Roman" w:cs="Times New Roman"/>
                <w:sz w:val="20"/>
                <w:szCs w:val="20"/>
              </w:rPr>
              <w:t xml:space="preserve">0.09 </w:t>
            </w:r>
            <w:r>
              <w:rPr>
                <w:rFonts w:ascii="宋体" w:hAnsi="宋体" w:eastAsia="宋体" w:cs="宋体"/>
                <w:sz w:val="20"/>
                <w:szCs w:val="20"/>
              </w:rPr>
              <w:t xml:space="preserve">万 </w:t>
            </w:r>
            <w:r>
              <w:rPr>
                <w:rFonts w:ascii="Times New Roman" w:hAnsi="Times New Roman" w:eastAsia="Times New Roman" w:cs="Times New Roman"/>
                <w:sz w:val="20"/>
                <w:szCs w:val="20"/>
              </w:rPr>
              <w:t>m</w:t>
            </w:r>
            <w:r>
              <w:rPr>
                <w:rFonts w:ascii="宋体" w:hAnsi="宋体" w:eastAsia="宋体" w:cs="宋体"/>
                <w:sz w:val="20"/>
                <w:szCs w:val="20"/>
              </w:rPr>
              <w:t xml:space="preserve">³ ，平均 </w:t>
            </w:r>
            <w:r>
              <w:rPr>
                <w:rFonts w:ascii="宋体" w:hAnsi="宋体" w:eastAsia="宋体" w:cs="宋体"/>
                <w:spacing w:val="4"/>
                <w:sz w:val="20"/>
                <w:szCs w:val="20"/>
              </w:rPr>
              <w:t>回</w:t>
            </w:r>
            <w:r>
              <w:rPr>
                <w:rFonts w:ascii="宋体" w:hAnsi="宋体" w:eastAsia="宋体" w:cs="宋体"/>
                <w:spacing w:val="3"/>
                <w:sz w:val="20"/>
                <w:szCs w:val="20"/>
              </w:rPr>
              <w:t xml:space="preserve">覆厚度 </w:t>
            </w:r>
            <w:r>
              <w:rPr>
                <w:rFonts w:ascii="Times New Roman" w:hAnsi="Times New Roman" w:eastAsia="Times New Roman" w:cs="Times New Roman"/>
                <w:spacing w:val="3"/>
                <w:sz w:val="20"/>
                <w:szCs w:val="20"/>
              </w:rPr>
              <w:t>10-30</w:t>
            </w:r>
            <w:r>
              <w:rPr>
                <w:rFonts w:ascii="Times New Roman" w:hAnsi="Times New Roman" w:eastAsia="Times New Roman" w:cs="Times New Roman"/>
                <w:sz w:val="20"/>
                <w:szCs w:val="20"/>
              </w:rPr>
              <w:t>cm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。本项目表土平衡分析见下表。</w:t>
            </w:r>
          </w:p>
          <w:p>
            <w:pPr>
              <w:spacing w:line="230" w:lineRule="auto"/>
              <w:ind w:left="2961"/>
              <w:rPr>
                <w:rFonts w:ascii="黑体" w:hAnsi="黑体" w:eastAsia="黑体" w:cs="黑体"/>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15    </w:t>
            </w:r>
            <w:r>
              <w:rPr>
                <w:rFonts w:ascii="黑体" w:hAnsi="黑体" w:eastAsia="黑体" w:cs="黑体"/>
                <w:spacing w:val="7"/>
                <w:sz w:val="19"/>
                <w:szCs w:val="19"/>
              </w:rPr>
              <w:t>项目剥离表土平衡</w:t>
            </w:r>
            <w:r>
              <w:rPr>
                <w:rFonts w:ascii="黑体" w:hAnsi="黑体" w:eastAsia="黑体" w:cs="黑体"/>
                <w:spacing w:val="3"/>
                <w:sz w:val="19"/>
                <w:szCs w:val="19"/>
              </w:rPr>
              <w:t>表</w:t>
            </w:r>
          </w:p>
          <w:p>
            <w:pPr>
              <w:spacing w:line="50" w:lineRule="auto"/>
              <w:rPr>
                <w:rFonts w:ascii="Arial"/>
                <w:sz w:val="2"/>
              </w:rPr>
            </w:pPr>
          </w:p>
          <w:tbl>
            <w:tblPr>
              <w:tblStyle w:val="4"/>
              <w:tblW w:w="7901" w:type="dxa"/>
              <w:tblInd w:w="2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38"/>
              <w:gridCol w:w="891"/>
              <w:gridCol w:w="864"/>
              <w:gridCol w:w="763"/>
              <w:gridCol w:w="876"/>
              <w:gridCol w:w="877"/>
              <w:gridCol w:w="847"/>
              <w:gridCol w:w="8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938" w:type="dxa"/>
                  <w:vMerge w:val="restart"/>
                  <w:tcBorders>
                    <w:bottom w:val="nil"/>
                  </w:tcBorders>
                  <w:vAlign w:val="top"/>
                </w:tcPr>
                <w:p>
                  <w:pPr>
                    <w:spacing w:line="386" w:lineRule="auto"/>
                    <w:rPr>
                      <w:rFonts w:ascii="Arial"/>
                      <w:sz w:val="21"/>
                    </w:rPr>
                  </w:pPr>
                </w:p>
                <w:p>
                  <w:pPr>
                    <w:spacing w:before="56" w:line="231" w:lineRule="auto"/>
                    <w:ind w:left="613"/>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项目组成</w:t>
                  </w:r>
                </w:p>
              </w:tc>
              <w:tc>
                <w:tcPr>
                  <w:tcW w:w="2518" w:type="dxa"/>
                  <w:gridSpan w:val="3"/>
                  <w:vAlign w:val="top"/>
                </w:tcPr>
                <w:p>
                  <w:pPr>
                    <w:spacing w:before="89" w:line="231" w:lineRule="auto"/>
                    <w:ind w:left="899"/>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表土剥离</w:t>
                  </w:r>
                </w:p>
              </w:tc>
              <w:tc>
                <w:tcPr>
                  <w:tcW w:w="2600" w:type="dxa"/>
                  <w:gridSpan w:val="3"/>
                  <w:vAlign w:val="top"/>
                </w:tcPr>
                <w:p>
                  <w:pPr>
                    <w:spacing w:before="89" w:line="231" w:lineRule="auto"/>
                    <w:ind w:left="942"/>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表土回覆</w:t>
                  </w:r>
                </w:p>
              </w:tc>
              <w:tc>
                <w:tcPr>
                  <w:tcW w:w="845" w:type="dxa"/>
                  <w:vMerge w:val="restart"/>
                  <w:tcBorders>
                    <w:bottom w:val="nil"/>
                  </w:tcBorders>
                  <w:vAlign w:val="top"/>
                </w:tcPr>
                <w:p>
                  <w:pPr>
                    <w:spacing w:line="386" w:lineRule="auto"/>
                    <w:rPr>
                      <w:rFonts w:ascii="Arial"/>
                      <w:sz w:val="21"/>
                    </w:rPr>
                  </w:pPr>
                </w:p>
                <w:p>
                  <w:pPr>
                    <w:spacing w:before="55" w:line="232" w:lineRule="auto"/>
                    <w:ind w:left="66"/>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堆</w:t>
                  </w:r>
                  <w:r>
                    <w:rPr>
                      <w:rFonts w:ascii="宋体" w:hAnsi="宋体" w:eastAsia="宋体" w:cs="宋体"/>
                      <w:spacing w:val="8"/>
                      <w:sz w:val="17"/>
                      <w:szCs w:val="17"/>
                      <w14:textOutline w14:w="3268" w14:cap="sq" w14:cmpd="sng">
                        <w14:solidFill>
                          <w14:srgbClr w14:val="000000"/>
                        </w14:solidFill>
                        <w14:prstDash w14:val="solid"/>
                        <w14:bevel/>
                      </w14:textOutline>
                    </w:rPr>
                    <w:t>放位置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 w:hRule="atLeast"/>
              </w:trPr>
              <w:tc>
                <w:tcPr>
                  <w:tcW w:w="1938" w:type="dxa"/>
                  <w:vMerge w:val="continue"/>
                  <w:tcBorders>
                    <w:top w:val="nil"/>
                  </w:tcBorders>
                  <w:vAlign w:val="top"/>
                </w:tcPr>
                <w:p>
                  <w:pPr>
                    <w:rPr>
                      <w:rFonts w:ascii="Arial"/>
                      <w:sz w:val="21"/>
                    </w:rPr>
                  </w:pPr>
                </w:p>
              </w:tc>
              <w:tc>
                <w:tcPr>
                  <w:tcW w:w="891" w:type="dxa"/>
                  <w:vAlign w:val="top"/>
                </w:tcPr>
                <w:p>
                  <w:pPr>
                    <w:spacing w:before="140" w:line="305" w:lineRule="auto"/>
                    <w:ind w:left="218" w:right="84" w:hanging="130"/>
                    <w:rPr>
                      <w:rFonts w:ascii="Times New Roman" w:hAnsi="Times New Roman" w:eastAsia="Times New Roman" w:cs="Times New Roman"/>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剥</w:t>
                  </w:r>
                  <w:r>
                    <w:rPr>
                      <w:rFonts w:ascii="宋体" w:hAnsi="宋体" w:eastAsia="宋体" w:cs="宋体"/>
                      <w:spacing w:val="8"/>
                      <w:sz w:val="17"/>
                      <w:szCs w:val="17"/>
                      <w14:textOutline w14:w="3268" w14:cap="sq" w14:cmpd="sng">
                        <w14:solidFill>
                          <w14:srgbClr w14:val="000000"/>
                        </w14:solidFill>
                        <w14:prstDash w14:val="solid"/>
                        <w14:bevel/>
                      </w14:textOutline>
                    </w:rPr>
                    <w:t>离面积</w:t>
                  </w:r>
                  <w:r>
                    <w:rPr>
                      <w:rFonts w:ascii="宋体" w:hAnsi="宋体" w:eastAsia="宋体" w:cs="宋体"/>
                      <w:sz w:val="17"/>
                      <w:szCs w:val="17"/>
                    </w:rPr>
                    <w:t xml:space="preserve"> </w:t>
                  </w:r>
                  <w:r>
                    <w:rPr>
                      <w:rFonts w:ascii="Times New Roman" w:hAnsi="Times New Roman" w:eastAsia="Times New Roman" w:cs="Times New Roman"/>
                      <w:b/>
                      <w:bCs/>
                      <w:spacing w:val="6"/>
                      <w:sz w:val="17"/>
                      <w:szCs w:val="17"/>
                    </w:rPr>
                    <w:t>(</w:t>
                  </w:r>
                  <w:r>
                    <w:rPr>
                      <w:rFonts w:ascii="Times New Roman" w:hAnsi="Times New Roman" w:eastAsia="Times New Roman" w:cs="Times New Roman"/>
                      <w:b/>
                      <w:bCs/>
                      <w:sz w:val="17"/>
                      <w:szCs w:val="17"/>
                    </w:rPr>
                    <w:t>hm</w:t>
                  </w:r>
                  <w:r>
                    <w:rPr>
                      <w:rFonts w:ascii="宋体" w:hAnsi="宋体" w:eastAsia="宋体" w:cs="宋体"/>
                      <w:spacing w:val="5"/>
                      <w:sz w:val="17"/>
                      <w:szCs w:val="17"/>
                      <w14:textOutline w14:w="3268" w14:cap="sq" w14:cmpd="sng">
                        <w14:solidFill>
                          <w14:srgbClr w14:val="000000"/>
                        </w14:solidFill>
                        <w14:prstDash w14:val="solid"/>
                        <w14:bevel/>
                      </w14:textOutline>
                    </w:rPr>
                    <w:t>²</w:t>
                  </w:r>
                  <w:r>
                    <w:rPr>
                      <w:rFonts w:ascii="Times New Roman" w:hAnsi="Times New Roman" w:eastAsia="Times New Roman" w:cs="Times New Roman"/>
                      <w:b/>
                      <w:bCs/>
                      <w:spacing w:val="5"/>
                      <w:sz w:val="17"/>
                      <w:szCs w:val="17"/>
                    </w:rPr>
                    <w:t>)</w:t>
                  </w:r>
                </w:p>
              </w:tc>
              <w:tc>
                <w:tcPr>
                  <w:tcW w:w="864" w:type="dxa"/>
                  <w:vAlign w:val="top"/>
                </w:tcPr>
                <w:p>
                  <w:pPr>
                    <w:spacing w:before="139" w:line="231" w:lineRule="auto"/>
                    <w:ind w:left="75"/>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剥</w:t>
                  </w:r>
                  <w:r>
                    <w:rPr>
                      <w:rFonts w:ascii="宋体" w:hAnsi="宋体" w:eastAsia="宋体" w:cs="宋体"/>
                      <w:spacing w:val="8"/>
                      <w:sz w:val="17"/>
                      <w:szCs w:val="17"/>
                      <w14:textOutline w14:w="3268" w14:cap="sq" w14:cmpd="sng">
                        <w14:solidFill>
                          <w14:srgbClr w14:val="000000"/>
                        </w14:solidFill>
                        <w14:prstDash w14:val="solid"/>
                        <w14:bevel/>
                      </w14:textOutline>
                    </w:rPr>
                    <w:t>离厚度</w:t>
                  </w:r>
                </w:p>
                <w:p>
                  <w:pPr>
                    <w:spacing w:before="30" w:line="249" w:lineRule="exact"/>
                    <w:ind w:left="261"/>
                    <w:rPr>
                      <w:rFonts w:ascii="Times New Roman" w:hAnsi="Times New Roman" w:eastAsia="Times New Roman" w:cs="Times New Roman"/>
                      <w:sz w:val="17"/>
                      <w:szCs w:val="17"/>
                    </w:rPr>
                  </w:pPr>
                  <w:r>
                    <w:rPr>
                      <w:rFonts w:ascii="Times New Roman" w:hAnsi="Times New Roman" w:eastAsia="Times New Roman" w:cs="Times New Roman"/>
                      <w:b/>
                      <w:bCs/>
                      <w:spacing w:val="4"/>
                      <w:position w:val="3"/>
                      <w:sz w:val="17"/>
                      <w:szCs w:val="17"/>
                    </w:rPr>
                    <w:t>(</w:t>
                  </w:r>
                  <w:r>
                    <w:rPr>
                      <w:rFonts w:ascii="Times New Roman" w:hAnsi="Times New Roman" w:eastAsia="Times New Roman" w:cs="Times New Roman"/>
                      <w:b/>
                      <w:bCs/>
                      <w:position w:val="3"/>
                      <w:sz w:val="17"/>
                      <w:szCs w:val="17"/>
                    </w:rPr>
                    <w:t>cm</w:t>
                  </w:r>
                  <w:r>
                    <w:rPr>
                      <w:rFonts w:ascii="Times New Roman" w:hAnsi="Times New Roman" w:eastAsia="Times New Roman" w:cs="Times New Roman"/>
                      <w:b/>
                      <w:bCs/>
                      <w:spacing w:val="4"/>
                      <w:position w:val="3"/>
                      <w:sz w:val="17"/>
                      <w:szCs w:val="17"/>
                    </w:rPr>
                    <w:t>)</w:t>
                  </w:r>
                </w:p>
              </w:tc>
              <w:tc>
                <w:tcPr>
                  <w:tcW w:w="763" w:type="dxa"/>
                  <w:vAlign w:val="top"/>
                </w:tcPr>
                <w:p>
                  <w:pPr>
                    <w:spacing w:before="140" w:line="305" w:lineRule="auto"/>
                    <w:ind w:left="190" w:right="108" w:hanging="74"/>
                    <w:rPr>
                      <w:rFonts w:ascii="Times New Roman" w:hAnsi="Times New Roman" w:eastAsia="Times New Roman" w:cs="Times New Roman"/>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剥</w:t>
                  </w:r>
                  <w:r>
                    <w:rPr>
                      <w:rFonts w:ascii="宋体" w:hAnsi="宋体" w:eastAsia="宋体" w:cs="宋体"/>
                      <w:spacing w:val="7"/>
                      <w:sz w:val="17"/>
                      <w:szCs w:val="17"/>
                      <w14:textOutline w14:w="3268" w14:cap="sq" w14:cmpd="sng">
                        <w14:solidFill>
                          <w14:srgbClr w14:val="000000"/>
                        </w14:solidFill>
                        <w14:prstDash w14:val="solid"/>
                        <w14:bevel/>
                      </w14:textOutline>
                    </w:rPr>
                    <w:t>离量</w:t>
                  </w:r>
                  <w:r>
                    <w:rPr>
                      <w:rFonts w:ascii="宋体" w:hAnsi="宋体" w:eastAsia="宋体" w:cs="宋体"/>
                      <w:sz w:val="17"/>
                      <w:szCs w:val="17"/>
                    </w:rPr>
                    <w:t xml:space="preserve"> </w:t>
                  </w:r>
                  <w:r>
                    <w:rPr>
                      <w:rFonts w:ascii="Times New Roman" w:hAnsi="Times New Roman" w:eastAsia="Times New Roman" w:cs="Times New Roman"/>
                      <w:b/>
                      <w:bCs/>
                      <w:spacing w:val="4"/>
                      <w:sz w:val="17"/>
                      <w:szCs w:val="17"/>
                    </w:rPr>
                    <w:t>(</w:t>
                  </w:r>
                  <w:r>
                    <w:rPr>
                      <w:rFonts w:ascii="宋体" w:hAnsi="宋体" w:eastAsia="宋体" w:cs="宋体"/>
                      <w:spacing w:val="4"/>
                      <w:sz w:val="17"/>
                      <w:szCs w:val="17"/>
                      <w14:textOutline w14:w="3268" w14:cap="sq" w14:cmpd="sng">
                        <w14:solidFill>
                          <w14:srgbClr w14:val="000000"/>
                        </w14:solidFill>
                        <w14:prstDash w14:val="solid"/>
                        <w14:bevel/>
                      </w14:textOutline>
                    </w:rPr>
                    <w:t>万³</w:t>
                  </w:r>
                  <w:r>
                    <w:rPr>
                      <w:rFonts w:ascii="Times New Roman" w:hAnsi="Times New Roman" w:eastAsia="Times New Roman" w:cs="Times New Roman"/>
                      <w:b/>
                      <w:bCs/>
                      <w:spacing w:val="3"/>
                      <w:sz w:val="17"/>
                      <w:szCs w:val="17"/>
                    </w:rPr>
                    <w:t>)</w:t>
                  </w:r>
                </w:p>
              </w:tc>
              <w:tc>
                <w:tcPr>
                  <w:tcW w:w="876" w:type="dxa"/>
                  <w:vAlign w:val="top"/>
                </w:tcPr>
                <w:p>
                  <w:pPr>
                    <w:spacing w:before="140" w:line="305" w:lineRule="auto"/>
                    <w:ind w:left="212" w:right="74" w:hanging="131"/>
                    <w:rPr>
                      <w:rFonts w:ascii="Times New Roman" w:hAnsi="Times New Roman" w:eastAsia="Times New Roman" w:cs="Times New Roman"/>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覆</w:t>
                  </w:r>
                  <w:r>
                    <w:rPr>
                      <w:rFonts w:ascii="宋体" w:hAnsi="宋体" w:eastAsia="宋体" w:cs="宋体"/>
                      <w:spacing w:val="8"/>
                      <w:sz w:val="17"/>
                      <w:szCs w:val="17"/>
                      <w14:textOutline w14:w="3268" w14:cap="sq" w14:cmpd="sng">
                        <w14:solidFill>
                          <w14:srgbClr w14:val="000000"/>
                        </w14:solidFill>
                        <w14:prstDash w14:val="solid"/>
                        <w14:bevel/>
                      </w14:textOutline>
                    </w:rPr>
                    <w:t>土面积</w:t>
                  </w:r>
                  <w:r>
                    <w:rPr>
                      <w:rFonts w:ascii="宋体" w:hAnsi="宋体" w:eastAsia="宋体" w:cs="宋体"/>
                      <w:sz w:val="17"/>
                      <w:szCs w:val="17"/>
                    </w:rPr>
                    <w:t xml:space="preserve"> </w:t>
                  </w:r>
                  <w:r>
                    <w:rPr>
                      <w:rFonts w:ascii="Times New Roman" w:hAnsi="Times New Roman" w:eastAsia="Times New Roman" w:cs="Times New Roman"/>
                      <w:b/>
                      <w:bCs/>
                      <w:spacing w:val="6"/>
                      <w:sz w:val="17"/>
                      <w:szCs w:val="17"/>
                    </w:rPr>
                    <w:t>(</w:t>
                  </w:r>
                  <w:r>
                    <w:rPr>
                      <w:rFonts w:ascii="Times New Roman" w:hAnsi="Times New Roman" w:eastAsia="Times New Roman" w:cs="Times New Roman"/>
                      <w:b/>
                      <w:bCs/>
                      <w:sz w:val="17"/>
                      <w:szCs w:val="17"/>
                    </w:rPr>
                    <w:t>hm</w:t>
                  </w:r>
                  <w:r>
                    <w:rPr>
                      <w:rFonts w:ascii="宋体" w:hAnsi="宋体" w:eastAsia="宋体" w:cs="宋体"/>
                      <w:spacing w:val="5"/>
                      <w:sz w:val="17"/>
                      <w:szCs w:val="17"/>
                      <w14:textOutline w14:w="3268" w14:cap="sq" w14:cmpd="sng">
                        <w14:solidFill>
                          <w14:srgbClr w14:val="000000"/>
                        </w14:solidFill>
                        <w14:prstDash w14:val="solid"/>
                        <w14:bevel/>
                      </w14:textOutline>
                    </w:rPr>
                    <w:t>²</w:t>
                  </w:r>
                  <w:r>
                    <w:rPr>
                      <w:rFonts w:ascii="Times New Roman" w:hAnsi="Times New Roman" w:eastAsia="Times New Roman" w:cs="Times New Roman"/>
                      <w:b/>
                      <w:bCs/>
                      <w:spacing w:val="5"/>
                      <w:sz w:val="17"/>
                      <w:szCs w:val="17"/>
                    </w:rPr>
                    <w:t>)</w:t>
                  </w:r>
                </w:p>
              </w:tc>
              <w:tc>
                <w:tcPr>
                  <w:tcW w:w="877" w:type="dxa"/>
                  <w:vAlign w:val="top"/>
                </w:tcPr>
                <w:p>
                  <w:pPr>
                    <w:spacing w:before="139" w:line="231" w:lineRule="auto"/>
                    <w:ind w:left="84"/>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覆</w:t>
                  </w:r>
                  <w:r>
                    <w:rPr>
                      <w:rFonts w:ascii="宋体" w:hAnsi="宋体" w:eastAsia="宋体" w:cs="宋体"/>
                      <w:spacing w:val="8"/>
                      <w:sz w:val="17"/>
                      <w:szCs w:val="17"/>
                      <w14:textOutline w14:w="3268" w14:cap="sq" w14:cmpd="sng">
                        <w14:solidFill>
                          <w14:srgbClr w14:val="000000"/>
                        </w14:solidFill>
                        <w14:prstDash w14:val="solid"/>
                        <w14:bevel/>
                      </w14:textOutline>
                    </w:rPr>
                    <w:t>土厚度</w:t>
                  </w:r>
                </w:p>
                <w:p>
                  <w:pPr>
                    <w:spacing w:before="30" w:line="249" w:lineRule="exact"/>
                    <w:ind w:left="270"/>
                    <w:rPr>
                      <w:rFonts w:ascii="Times New Roman" w:hAnsi="Times New Roman" w:eastAsia="Times New Roman" w:cs="Times New Roman"/>
                      <w:sz w:val="17"/>
                      <w:szCs w:val="17"/>
                    </w:rPr>
                  </w:pPr>
                  <w:r>
                    <w:rPr>
                      <w:rFonts w:ascii="Times New Roman" w:hAnsi="Times New Roman" w:eastAsia="Times New Roman" w:cs="Times New Roman"/>
                      <w:b/>
                      <w:bCs/>
                      <w:spacing w:val="4"/>
                      <w:position w:val="3"/>
                      <w:sz w:val="17"/>
                      <w:szCs w:val="17"/>
                    </w:rPr>
                    <w:t>(</w:t>
                  </w:r>
                  <w:r>
                    <w:rPr>
                      <w:rFonts w:ascii="Times New Roman" w:hAnsi="Times New Roman" w:eastAsia="Times New Roman" w:cs="Times New Roman"/>
                      <w:b/>
                      <w:bCs/>
                      <w:position w:val="3"/>
                      <w:sz w:val="17"/>
                      <w:szCs w:val="17"/>
                    </w:rPr>
                    <w:t>cm</w:t>
                  </w:r>
                  <w:r>
                    <w:rPr>
                      <w:rFonts w:ascii="Times New Roman" w:hAnsi="Times New Roman" w:eastAsia="Times New Roman" w:cs="Times New Roman"/>
                      <w:b/>
                      <w:bCs/>
                      <w:spacing w:val="4"/>
                      <w:position w:val="3"/>
                      <w:sz w:val="17"/>
                      <w:szCs w:val="17"/>
                    </w:rPr>
                    <w:t>)</w:t>
                  </w:r>
                </w:p>
              </w:tc>
              <w:tc>
                <w:tcPr>
                  <w:tcW w:w="847" w:type="dxa"/>
                  <w:vAlign w:val="top"/>
                </w:tcPr>
                <w:p>
                  <w:pPr>
                    <w:spacing w:before="140" w:line="305" w:lineRule="auto"/>
                    <w:ind w:left="137" w:right="125" w:firstLine="22"/>
                    <w:rPr>
                      <w:rFonts w:ascii="Times New Roman" w:hAnsi="Times New Roman" w:eastAsia="Times New Roman" w:cs="Times New Roman"/>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覆土量</w:t>
                  </w:r>
                  <w:r>
                    <w:rPr>
                      <w:rFonts w:ascii="宋体" w:hAnsi="宋体" w:eastAsia="宋体" w:cs="宋体"/>
                      <w:sz w:val="17"/>
                      <w:szCs w:val="17"/>
                    </w:rPr>
                    <w:t xml:space="preserve"> </w:t>
                  </w:r>
                  <w:r>
                    <w:rPr>
                      <w:rFonts w:ascii="Times New Roman" w:hAnsi="Times New Roman" w:eastAsia="Times New Roman" w:cs="Times New Roman"/>
                      <w:b/>
                      <w:bCs/>
                      <w:spacing w:val="-4"/>
                      <w:sz w:val="17"/>
                      <w:szCs w:val="17"/>
                    </w:rPr>
                    <w:t>(</w:t>
                  </w:r>
                  <w:r>
                    <w:rPr>
                      <w:rFonts w:ascii="宋体" w:hAnsi="宋体" w:eastAsia="宋体" w:cs="宋体"/>
                      <w:spacing w:val="-4"/>
                      <w:sz w:val="17"/>
                      <w:szCs w:val="17"/>
                      <w14:textOutline w14:w="3268" w14:cap="sq" w14:cmpd="sng">
                        <w14:solidFill>
                          <w14:srgbClr w14:val="000000"/>
                        </w14:solidFill>
                        <w14:prstDash w14:val="solid"/>
                        <w14:bevel/>
                      </w14:textOutline>
                    </w:rPr>
                    <w:t>万</w:t>
                  </w:r>
                  <w:r>
                    <w:rPr>
                      <w:rFonts w:ascii="宋体" w:hAnsi="宋体" w:eastAsia="宋体" w:cs="宋体"/>
                      <w:spacing w:val="-3"/>
                      <w:sz w:val="17"/>
                      <w:szCs w:val="17"/>
                    </w:rPr>
                    <w:t xml:space="preserve"> </w:t>
                  </w:r>
                  <w:r>
                    <w:rPr>
                      <w:rFonts w:ascii="Times New Roman" w:hAnsi="Times New Roman" w:eastAsia="Times New Roman" w:cs="Times New Roman"/>
                      <w:b/>
                      <w:bCs/>
                      <w:spacing w:val="-2"/>
                      <w:sz w:val="17"/>
                      <w:szCs w:val="17"/>
                    </w:rPr>
                    <w:t>m</w:t>
                  </w:r>
                  <w:r>
                    <w:rPr>
                      <w:rFonts w:ascii="宋体" w:hAnsi="宋体" w:eastAsia="宋体" w:cs="宋体"/>
                      <w:spacing w:val="-2"/>
                      <w:sz w:val="17"/>
                      <w:szCs w:val="17"/>
                      <w14:textOutline w14:w="3268" w14:cap="sq" w14:cmpd="sng">
                        <w14:solidFill>
                          <w14:srgbClr w14:val="000000"/>
                        </w14:solidFill>
                        <w14:prstDash w14:val="solid"/>
                        <w14:bevel/>
                      </w14:textOutline>
                    </w:rPr>
                    <w:t>³</w:t>
                  </w:r>
                  <w:r>
                    <w:rPr>
                      <w:rFonts w:ascii="Times New Roman" w:hAnsi="Times New Roman" w:eastAsia="Times New Roman" w:cs="Times New Roman"/>
                      <w:b/>
                      <w:bCs/>
                      <w:spacing w:val="-2"/>
                      <w:sz w:val="17"/>
                      <w:szCs w:val="17"/>
                    </w:rPr>
                    <w:t>)</w:t>
                  </w:r>
                </w:p>
              </w:tc>
              <w:tc>
                <w:tcPr>
                  <w:tcW w:w="845"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938" w:type="dxa"/>
                  <w:vAlign w:val="top"/>
                </w:tcPr>
                <w:p>
                  <w:pPr>
                    <w:spacing w:before="88" w:line="230" w:lineRule="auto"/>
                    <w:ind w:left="10"/>
                    <w:rPr>
                      <w:rFonts w:ascii="宋体" w:hAnsi="宋体" w:eastAsia="宋体" w:cs="宋体"/>
                      <w:sz w:val="17"/>
                      <w:szCs w:val="17"/>
                    </w:rPr>
                  </w:pPr>
                  <w:r>
                    <w:rPr>
                      <w:rFonts w:ascii="宋体" w:hAnsi="宋体" w:eastAsia="宋体" w:cs="宋体"/>
                      <w:spacing w:val="8"/>
                      <w:sz w:val="17"/>
                      <w:szCs w:val="17"/>
                    </w:rPr>
                    <w:t>道</w:t>
                  </w:r>
                  <w:r>
                    <w:rPr>
                      <w:rFonts w:ascii="宋体" w:hAnsi="宋体" w:eastAsia="宋体" w:cs="宋体"/>
                      <w:spacing w:val="6"/>
                      <w:sz w:val="17"/>
                      <w:szCs w:val="17"/>
                    </w:rPr>
                    <w:t>路</w:t>
                  </w:r>
                  <w:r>
                    <w:rPr>
                      <w:rFonts w:ascii="宋体" w:hAnsi="宋体" w:eastAsia="宋体" w:cs="宋体"/>
                      <w:spacing w:val="4"/>
                      <w:sz w:val="17"/>
                      <w:szCs w:val="17"/>
                    </w:rPr>
                    <w:t>、桥梁 (主体工程)</w:t>
                  </w:r>
                </w:p>
              </w:tc>
              <w:tc>
                <w:tcPr>
                  <w:tcW w:w="891" w:type="dxa"/>
                  <w:vAlign w:val="top"/>
                </w:tcPr>
                <w:p>
                  <w:pPr>
                    <w:spacing w:before="116" w:line="197" w:lineRule="auto"/>
                    <w:ind w:left="28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0.2</w:t>
                  </w:r>
                  <w:r>
                    <w:rPr>
                      <w:rFonts w:ascii="Times New Roman" w:hAnsi="Times New Roman" w:eastAsia="Times New Roman" w:cs="Times New Roman"/>
                      <w:spacing w:val="2"/>
                      <w:sz w:val="17"/>
                      <w:szCs w:val="17"/>
                    </w:rPr>
                    <w:t>9</w:t>
                  </w:r>
                </w:p>
              </w:tc>
              <w:tc>
                <w:tcPr>
                  <w:tcW w:w="864" w:type="dxa"/>
                  <w:vAlign w:val="top"/>
                </w:tcPr>
                <w:p>
                  <w:pPr>
                    <w:spacing w:before="116" w:line="197" w:lineRule="auto"/>
                    <w:ind w:left="23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10-</w:t>
                  </w:r>
                  <w:r>
                    <w:rPr>
                      <w:rFonts w:ascii="Times New Roman" w:hAnsi="Times New Roman" w:eastAsia="Times New Roman" w:cs="Times New Roman"/>
                      <w:sz w:val="17"/>
                      <w:szCs w:val="17"/>
                    </w:rPr>
                    <w:t>30</w:t>
                  </w:r>
                </w:p>
              </w:tc>
              <w:tc>
                <w:tcPr>
                  <w:tcW w:w="763" w:type="dxa"/>
                  <w:vAlign w:val="top"/>
                </w:tcPr>
                <w:p>
                  <w:pPr>
                    <w:spacing w:before="116" w:line="197" w:lineRule="auto"/>
                    <w:ind w:left="22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0.0</w:t>
                  </w:r>
                  <w:r>
                    <w:rPr>
                      <w:rFonts w:ascii="Times New Roman" w:hAnsi="Times New Roman" w:eastAsia="Times New Roman" w:cs="Times New Roman"/>
                      <w:spacing w:val="2"/>
                      <w:sz w:val="17"/>
                      <w:szCs w:val="17"/>
                    </w:rPr>
                    <w:t>9</w:t>
                  </w:r>
                </w:p>
              </w:tc>
              <w:tc>
                <w:tcPr>
                  <w:tcW w:w="876" w:type="dxa"/>
                  <w:vAlign w:val="top"/>
                </w:tcPr>
                <w:p>
                  <w:pPr>
                    <w:spacing w:before="116" w:line="197" w:lineRule="auto"/>
                    <w:ind w:left="284"/>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0.4</w:t>
                  </w:r>
                  <w:r>
                    <w:rPr>
                      <w:rFonts w:ascii="Times New Roman" w:hAnsi="Times New Roman" w:eastAsia="Times New Roman" w:cs="Times New Roman"/>
                      <w:spacing w:val="2"/>
                      <w:sz w:val="17"/>
                      <w:szCs w:val="17"/>
                    </w:rPr>
                    <w:t>4</w:t>
                  </w:r>
                </w:p>
              </w:tc>
              <w:tc>
                <w:tcPr>
                  <w:tcW w:w="877" w:type="dxa"/>
                  <w:vAlign w:val="top"/>
                </w:tcPr>
                <w:p>
                  <w:pPr>
                    <w:spacing w:before="116" w:line="197" w:lineRule="auto"/>
                    <w:ind w:left="248"/>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10-</w:t>
                  </w:r>
                  <w:r>
                    <w:rPr>
                      <w:rFonts w:ascii="Times New Roman" w:hAnsi="Times New Roman" w:eastAsia="Times New Roman" w:cs="Times New Roman"/>
                      <w:sz w:val="17"/>
                      <w:szCs w:val="17"/>
                    </w:rPr>
                    <w:t>30</w:t>
                  </w:r>
                </w:p>
              </w:tc>
              <w:tc>
                <w:tcPr>
                  <w:tcW w:w="847" w:type="dxa"/>
                  <w:vAlign w:val="top"/>
                </w:tcPr>
                <w:p>
                  <w:pPr>
                    <w:spacing w:before="116" w:line="197" w:lineRule="auto"/>
                    <w:ind w:left="27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0.0</w:t>
                  </w:r>
                  <w:r>
                    <w:rPr>
                      <w:rFonts w:ascii="Times New Roman" w:hAnsi="Times New Roman" w:eastAsia="Times New Roman" w:cs="Times New Roman"/>
                      <w:spacing w:val="2"/>
                      <w:sz w:val="17"/>
                      <w:szCs w:val="17"/>
                    </w:rPr>
                    <w:t>9</w:t>
                  </w:r>
                </w:p>
              </w:tc>
              <w:tc>
                <w:tcPr>
                  <w:tcW w:w="845" w:type="dxa"/>
                  <w:vAlign w:val="top"/>
                </w:tcPr>
                <w:p>
                  <w:pPr>
                    <w:spacing w:before="88" w:line="230" w:lineRule="auto"/>
                    <w:ind w:left="75"/>
                    <w:rPr>
                      <w:rFonts w:ascii="宋体" w:hAnsi="宋体" w:eastAsia="宋体" w:cs="宋体"/>
                      <w:sz w:val="17"/>
                      <w:szCs w:val="17"/>
                    </w:rPr>
                  </w:pPr>
                  <w:r>
                    <w:rPr>
                      <w:rFonts w:ascii="宋体" w:hAnsi="宋体" w:eastAsia="宋体" w:cs="宋体"/>
                      <w:spacing w:val="8"/>
                      <w:sz w:val="17"/>
                      <w:szCs w:val="17"/>
                    </w:rPr>
                    <w:t>临</w:t>
                  </w:r>
                  <w:r>
                    <w:rPr>
                      <w:rFonts w:ascii="宋体" w:hAnsi="宋体" w:eastAsia="宋体" w:cs="宋体"/>
                      <w:spacing w:val="5"/>
                      <w:sz w:val="17"/>
                      <w:szCs w:val="17"/>
                    </w:rPr>
                    <w:t>时堆场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938" w:type="dxa"/>
                  <w:vAlign w:val="top"/>
                </w:tcPr>
                <w:p>
                  <w:pPr>
                    <w:spacing w:before="88" w:line="230" w:lineRule="auto"/>
                    <w:ind w:left="523"/>
                    <w:rPr>
                      <w:rFonts w:ascii="宋体" w:hAnsi="宋体" w:eastAsia="宋体" w:cs="宋体"/>
                      <w:sz w:val="17"/>
                      <w:szCs w:val="17"/>
                    </w:rPr>
                  </w:pPr>
                  <w:r>
                    <w:rPr>
                      <w:rFonts w:ascii="宋体" w:hAnsi="宋体" w:eastAsia="宋体" w:cs="宋体"/>
                      <w:spacing w:val="11"/>
                      <w:sz w:val="17"/>
                      <w:szCs w:val="17"/>
                    </w:rPr>
                    <w:t>施</w:t>
                  </w:r>
                  <w:r>
                    <w:rPr>
                      <w:rFonts w:ascii="宋体" w:hAnsi="宋体" w:eastAsia="宋体" w:cs="宋体"/>
                      <w:spacing w:val="8"/>
                      <w:sz w:val="17"/>
                      <w:szCs w:val="17"/>
                    </w:rPr>
                    <w:t>工便道区</w:t>
                  </w:r>
                </w:p>
              </w:tc>
              <w:tc>
                <w:tcPr>
                  <w:tcW w:w="891" w:type="dxa"/>
                  <w:vAlign w:val="top"/>
                </w:tcPr>
                <w:p>
                  <w:pPr>
                    <w:spacing w:before="119" w:line="197" w:lineRule="auto"/>
                    <w:ind w:left="4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864" w:type="dxa"/>
                  <w:vAlign w:val="top"/>
                </w:tcPr>
                <w:p>
                  <w:pPr>
                    <w:spacing w:before="119" w:line="197" w:lineRule="auto"/>
                    <w:ind w:left="23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10-</w:t>
                  </w:r>
                  <w:r>
                    <w:rPr>
                      <w:rFonts w:ascii="Times New Roman" w:hAnsi="Times New Roman" w:eastAsia="Times New Roman" w:cs="Times New Roman"/>
                      <w:sz w:val="17"/>
                      <w:szCs w:val="17"/>
                    </w:rPr>
                    <w:t>30</w:t>
                  </w:r>
                </w:p>
              </w:tc>
              <w:tc>
                <w:tcPr>
                  <w:tcW w:w="763" w:type="dxa"/>
                  <w:vAlign w:val="top"/>
                </w:tcPr>
                <w:p>
                  <w:pPr>
                    <w:spacing w:before="119" w:line="197" w:lineRule="auto"/>
                    <w:ind w:left="339"/>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876" w:type="dxa"/>
                  <w:vAlign w:val="top"/>
                </w:tcPr>
                <w:p>
                  <w:pPr>
                    <w:spacing w:before="119" w:line="197" w:lineRule="auto"/>
                    <w:ind w:left="397"/>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877" w:type="dxa"/>
                  <w:vAlign w:val="top"/>
                </w:tcPr>
                <w:p>
                  <w:pPr>
                    <w:spacing w:before="119" w:line="197" w:lineRule="auto"/>
                    <w:ind w:left="248"/>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10-</w:t>
                  </w:r>
                  <w:r>
                    <w:rPr>
                      <w:rFonts w:ascii="Times New Roman" w:hAnsi="Times New Roman" w:eastAsia="Times New Roman" w:cs="Times New Roman"/>
                      <w:sz w:val="17"/>
                      <w:szCs w:val="17"/>
                    </w:rPr>
                    <w:t>30</w:t>
                  </w:r>
                </w:p>
              </w:tc>
              <w:tc>
                <w:tcPr>
                  <w:tcW w:w="847" w:type="dxa"/>
                  <w:vAlign w:val="top"/>
                </w:tcPr>
                <w:p>
                  <w:pPr>
                    <w:spacing w:before="119" w:line="197" w:lineRule="auto"/>
                    <w:ind w:left="38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84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938" w:type="dxa"/>
                  <w:vAlign w:val="top"/>
                </w:tcPr>
                <w:p>
                  <w:pPr>
                    <w:spacing w:before="88" w:line="230" w:lineRule="auto"/>
                    <w:ind w:left="343"/>
                    <w:rPr>
                      <w:rFonts w:ascii="宋体" w:hAnsi="宋体" w:eastAsia="宋体" w:cs="宋体"/>
                      <w:sz w:val="17"/>
                      <w:szCs w:val="17"/>
                    </w:rPr>
                  </w:pPr>
                  <w:r>
                    <w:rPr>
                      <w:rFonts w:ascii="宋体" w:hAnsi="宋体" w:eastAsia="宋体" w:cs="宋体"/>
                      <w:spacing w:val="9"/>
                      <w:sz w:val="17"/>
                      <w:szCs w:val="17"/>
                    </w:rPr>
                    <w:t>施工临时场地区</w:t>
                  </w:r>
                </w:p>
              </w:tc>
              <w:tc>
                <w:tcPr>
                  <w:tcW w:w="891" w:type="dxa"/>
                  <w:vAlign w:val="top"/>
                </w:tcPr>
                <w:p>
                  <w:pPr>
                    <w:spacing w:before="119" w:line="197" w:lineRule="auto"/>
                    <w:ind w:left="4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864" w:type="dxa"/>
                  <w:vAlign w:val="top"/>
                </w:tcPr>
                <w:p>
                  <w:pPr>
                    <w:spacing w:before="119" w:line="197" w:lineRule="auto"/>
                    <w:ind w:left="23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10-</w:t>
                  </w:r>
                  <w:r>
                    <w:rPr>
                      <w:rFonts w:ascii="Times New Roman" w:hAnsi="Times New Roman" w:eastAsia="Times New Roman" w:cs="Times New Roman"/>
                      <w:sz w:val="17"/>
                      <w:szCs w:val="17"/>
                    </w:rPr>
                    <w:t>30</w:t>
                  </w:r>
                </w:p>
              </w:tc>
              <w:tc>
                <w:tcPr>
                  <w:tcW w:w="763" w:type="dxa"/>
                  <w:vAlign w:val="top"/>
                </w:tcPr>
                <w:p>
                  <w:pPr>
                    <w:spacing w:before="119" w:line="197" w:lineRule="auto"/>
                    <w:ind w:left="339"/>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876" w:type="dxa"/>
                  <w:vAlign w:val="top"/>
                </w:tcPr>
                <w:p>
                  <w:pPr>
                    <w:spacing w:before="119" w:line="197" w:lineRule="auto"/>
                    <w:ind w:left="397"/>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877" w:type="dxa"/>
                  <w:vAlign w:val="top"/>
                </w:tcPr>
                <w:p>
                  <w:pPr>
                    <w:spacing w:before="119" w:line="197" w:lineRule="auto"/>
                    <w:ind w:left="248"/>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10-</w:t>
                  </w:r>
                  <w:r>
                    <w:rPr>
                      <w:rFonts w:ascii="Times New Roman" w:hAnsi="Times New Roman" w:eastAsia="Times New Roman" w:cs="Times New Roman"/>
                      <w:sz w:val="17"/>
                      <w:szCs w:val="17"/>
                    </w:rPr>
                    <w:t>30</w:t>
                  </w:r>
                </w:p>
              </w:tc>
              <w:tc>
                <w:tcPr>
                  <w:tcW w:w="847" w:type="dxa"/>
                  <w:vAlign w:val="top"/>
                </w:tcPr>
                <w:p>
                  <w:pPr>
                    <w:spacing w:before="119" w:line="197" w:lineRule="auto"/>
                    <w:ind w:left="38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84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938" w:type="dxa"/>
                  <w:vAlign w:val="top"/>
                </w:tcPr>
                <w:p>
                  <w:pPr>
                    <w:spacing w:before="95" w:line="232" w:lineRule="auto"/>
                    <w:ind w:left="793"/>
                    <w:rPr>
                      <w:rFonts w:ascii="宋体" w:hAnsi="宋体" w:eastAsia="宋体" w:cs="宋体"/>
                      <w:sz w:val="17"/>
                      <w:szCs w:val="17"/>
                    </w:rPr>
                  </w:pPr>
                  <w:r>
                    <w:rPr>
                      <w:rFonts w:ascii="宋体" w:hAnsi="宋体" w:eastAsia="宋体" w:cs="宋体"/>
                      <w:spacing w:val="6"/>
                      <w:sz w:val="17"/>
                      <w:szCs w:val="17"/>
                    </w:rPr>
                    <w:t>合计</w:t>
                  </w:r>
                </w:p>
              </w:tc>
              <w:tc>
                <w:tcPr>
                  <w:tcW w:w="891" w:type="dxa"/>
                  <w:vAlign w:val="top"/>
                </w:tcPr>
                <w:p>
                  <w:pPr>
                    <w:spacing w:before="124" w:line="197" w:lineRule="auto"/>
                    <w:ind w:left="28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0.2</w:t>
                  </w:r>
                  <w:r>
                    <w:rPr>
                      <w:rFonts w:ascii="Times New Roman" w:hAnsi="Times New Roman" w:eastAsia="Times New Roman" w:cs="Times New Roman"/>
                      <w:spacing w:val="2"/>
                      <w:sz w:val="17"/>
                      <w:szCs w:val="17"/>
                    </w:rPr>
                    <w:t>9</w:t>
                  </w:r>
                </w:p>
              </w:tc>
              <w:tc>
                <w:tcPr>
                  <w:tcW w:w="864" w:type="dxa"/>
                  <w:vAlign w:val="top"/>
                </w:tcPr>
                <w:p>
                  <w:pPr>
                    <w:rPr>
                      <w:rFonts w:ascii="Arial"/>
                      <w:sz w:val="21"/>
                    </w:rPr>
                  </w:pPr>
                </w:p>
              </w:tc>
              <w:tc>
                <w:tcPr>
                  <w:tcW w:w="763" w:type="dxa"/>
                  <w:vAlign w:val="top"/>
                </w:tcPr>
                <w:p>
                  <w:pPr>
                    <w:spacing w:before="124" w:line="197" w:lineRule="auto"/>
                    <w:ind w:left="22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0.0</w:t>
                  </w:r>
                  <w:r>
                    <w:rPr>
                      <w:rFonts w:ascii="Times New Roman" w:hAnsi="Times New Roman" w:eastAsia="Times New Roman" w:cs="Times New Roman"/>
                      <w:spacing w:val="2"/>
                      <w:sz w:val="17"/>
                      <w:szCs w:val="17"/>
                    </w:rPr>
                    <w:t>9</w:t>
                  </w:r>
                </w:p>
              </w:tc>
              <w:tc>
                <w:tcPr>
                  <w:tcW w:w="876" w:type="dxa"/>
                  <w:vAlign w:val="top"/>
                </w:tcPr>
                <w:p>
                  <w:pPr>
                    <w:spacing w:before="124" w:line="197" w:lineRule="auto"/>
                    <w:ind w:left="284"/>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0.4</w:t>
                  </w:r>
                  <w:r>
                    <w:rPr>
                      <w:rFonts w:ascii="Times New Roman" w:hAnsi="Times New Roman" w:eastAsia="Times New Roman" w:cs="Times New Roman"/>
                      <w:spacing w:val="2"/>
                      <w:sz w:val="17"/>
                      <w:szCs w:val="17"/>
                    </w:rPr>
                    <w:t>4</w:t>
                  </w:r>
                </w:p>
              </w:tc>
              <w:tc>
                <w:tcPr>
                  <w:tcW w:w="877" w:type="dxa"/>
                  <w:vAlign w:val="top"/>
                </w:tcPr>
                <w:p>
                  <w:pPr>
                    <w:rPr>
                      <w:rFonts w:ascii="Arial"/>
                      <w:sz w:val="21"/>
                    </w:rPr>
                  </w:pPr>
                </w:p>
              </w:tc>
              <w:tc>
                <w:tcPr>
                  <w:tcW w:w="847" w:type="dxa"/>
                  <w:vAlign w:val="top"/>
                </w:tcPr>
                <w:p>
                  <w:pPr>
                    <w:spacing w:before="124" w:line="197" w:lineRule="auto"/>
                    <w:ind w:left="27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0.0</w:t>
                  </w:r>
                  <w:r>
                    <w:rPr>
                      <w:rFonts w:ascii="Times New Roman" w:hAnsi="Times New Roman" w:eastAsia="Times New Roman" w:cs="Times New Roman"/>
                      <w:spacing w:val="2"/>
                      <w:sz w:val="17"/>
                      <w:szCs w:val="17"/>
                    </w:rPr>
                    <w:t>9</w:t>
                  </w:r>
                </w:p>
              </w:tc>
              <w:tc>
                <w:tcPr>
                  <w:tcW w:w="845" w:type="dxa"/>
                  <w:vAlign w:val="top"/>
                </w:tcPr>
                <w:p>
                  <w:pPr>
                    <w:rPr>
                      <w:rFonts w:ascii="Arial"/>
                      <w:sz w:val="21"/>
                    </w:rPr>
                  </w:pPr>
                </w:p>
              </w:tc>
            </w:tr>
          </w:tbl>
          <w:p>
            <w:pPr>
              <w:spacing w:before="141" w:line="228" w:lineRule="auto"/>
              <w:ind w:left="588"/>
              <w:rPr>
                <w:rFonts w:ascii="宋体" w:hAnsi="宋体" w:eastAsia="宋体" w:cs="宋体"/>
                <w:sz w:val="20"/>
                <w:szCs w:val="20"/>
              </w:rPr>
            </w:pPr>
            <w:r>
              <w:rPr>
                <w:rFonts w:ascii="宋体" w:hAnsi="宋体" w:eastAsia="宋体" w:cs="宋体"/>
                <w:spacing w:val="14"/>
                <w:sz w:val="17"/>
                <w:szCs w:val="17"/>
              </w:rPr>
              <w:t>2</w:t>
            </w:r>
            <w:r>
              <w:rPr>
                <w:rFonts w:ascii="宋体" w:hAnsi="宋体" w:eastAsia="宋体" w:cs="宋体"/>
                <w:spacing w:val="8"/>
                <w:sz w:val="17"/>
                <w:szCs w:val="17"/>
              </w:rPr>
              <w:t xml:space="preserve"> </w:t>
            </w:r>
            <w:r>
              <w:rPr>
                <w:rFonts w:ascii="宋体" w:hAnsi="宋体" w:eastAsia="宋体" w:cs="宋体"/>
                <w:spacing w:val="7"/>
                <w:sz w:val="17"/>
                <w:szCs w:val="17"/>
              </w:rPr>
              <w:t xml:space="preserve">  </w:t>
            </w:r>
            <w:r>
              <w:rPr>
                <w:rFonts w:ascii="宋体" w:hAnsi="宋体" w:eastAsia="宋体" w:cs="宋体"/>
                <w:spacing w:val="7"/>
                <w:sz w:val="20"/>
                <w:szCs w:val="20"/>
              </w:rPr>
              <w:t>土石方平衡及其流向</w:t>
            </w:r>
          </w:p>
          <w:p>
            <w:pPr>
              <w:spacing w:before="154" w:line="228" w:lineRule="auto"/>
              <w:ind w:left="544"/>
              <w:rPr>
                <w:rFonts w:ascii="宋体" w:hAnsi="宋体" w:eastAsia="宋体" w:cs="宋体"/>
                <w:sz w:val="20"/>
                <w:szCs w:val="20"/>
              </w:rPr>
            </w:pPr>
            <w:r>
              <w:rPr>
                <w:rFonts w:ascii="Times New Roman" w:hAnsi="Times New Roman" w:eastAsia="Times New Roman" w:cs="Times New Roman"/>
                <w:spacing w:val="9"/>
                <w:sz w:val="20"/>
                <w:szCs w:val="20"/>
              </w:rPr>
              <w:t>1</w:t>
            </w:r>
            <w:r>
              <w:rPr>
                <w:rFonts w:ascii="宋体" w:hAnsi="宋体" w:eastAsia="宋体" w:cs="宋体"/>
                <w:spacing w:val="7"/>
                <w:sz w:val="20"/>
                <w:szCs w:val="20"/>
              </w:rPr>
              <w:t>) 主体工程区土石方平衡分析</w:t>
            </w:r>
          </w:p>
          <w:p>
            <w:pPr>
              <w:spacing w:before="151" w:line="370" w:lineRule="auto"/>
              <w:ind w:left="117" w:right="104" w:firstLine="411"/>
              <w:rPr>
                <w:rFonts w:ascii="宋体" w:hAnsi="宋体" w:eastAsia="宋体" w:cs="宋体"/>
                <w:sz w:val="20"/>
                <w:szCs w:val="20"/>
              </w:rPr>
            </w:pPr>
            <w:r>
              <w:rPr>
                <w:rFonts w:ascii="宋体" w:hAnsi="宋体" w:eastAsia="宋体" w:cs="宋体"/>
                <w:spacing w:val="4"/>
                <w:sz w:val="20"/>
                <w:szCs w:val="20"/>
              </w:rPr>
              <w:t xml:space="preserve">主体工程挖方 </w:t>
            </w:r>
            <w:r>
              <w:rPr>
                <w:rFonts w:ascii="Times New Roman" w:hAnsi="Times New Roman" w:eastAsia="Times New Roman" w:cs="Times New Roman"/>
                <w:spacing w:val="4"/>
                <w:sz w:val="20"/>
                <w:szCs w:val="20"/>
              </w:rPr>
              <w:t xml:space="preserve">0. 13 </w:t>
            </w:r>
            <w:r>
              <w:rPr>
                <w:rFonts w:ascii="宋体" w:hAnsi="宋体" w:eastAsia="宋体" w:cs="宋体"/>
                <w:spacing w:val="4"/>
                <w:sz w:val="20"/>
                <w:szCs w:val="20"/>
              </w:rPr>
              <w:t xml:space="preserve">万 </w:t>
            </w:r>
            <w:r>
              <w:rPr>
                <w:rFonts w:ascii="Times New Roman" w:hAnsi="Times New Roman" w:eastAsia="Times New Roman" w:cs="Times New Roman"/>
                <w:sz w:val="20"/>
                <w:szCs w:val="20"/>
              </w:rPr>
              <w:t>m</w:t>
            </w:r>
            <w:r>
              <w:rPr>
                <w:rFonts w:ascii="宋体" w:hAnsi="宋体" w:eastAsia="宋体" w:cs="宋体"/>
                <w:spacing w:val="4"/>
                <w:sz w:val="20"/>
                <w:szCs w:val="20"/>
              </w:rPr>
              <w:t>³</w:t>
            </w:r>
            <w:r>
              <w:rPr>
                <w:rFonts w:ascii="宋体" w:hAnsi="宋体" w:eastAsia="宋体" w:cs="宋体"/>
                <w:spacing w:val="2"/>
                <w:sz w:val="20"/>
                <w:szCs w:val="20"/>
              </w:rPr>
              <w:t xml:space="preserve"> (含表土剥离 </w:t>
            </w:r>
            <w:r>
              <w:rPr>
                <w:rFonts w:ascii="Times New Roman" w:hAnsi="Times New Roman" w:eastAsia="Times New Roman" w:cs="Times New Roman"/>
                <w:spacing w:val="2"/>
                <w:sz w:val="20"/>
                <w:szCs w:val="20"/>
              </w:rPr>
              <w:t xml:space="preserve">0.09 </w:t>
            </w:r>
            <w:r>
              <w:rPr>
                <w:rFonts w:ascii="宋体" w:hAnsi="宋体" w:eastAsia="宋体" w:cs="宋体"/>
                <w:spacing w:val="2"/>
                <w:sz w:val="20"/>
                <w:szCs w:val="20"/>
              </w:rPr>
              <w:t xml:space="preserve">万 </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³</w:t>
            </w:r>
            <w:r>
              <w:rPr>
                <w:rFonts w:ascii="宋体" w:hAnsi="宋体" w:eastAsia="宋体" w:cs="宋体"/>
                <w:spacing w:val="2"/>
                <w:sz w:val="20"/>
                <w:szCs w:val="20"/>
              </w:rPr>
              <w:t xml:space="preserve">自然方，下同) ，填方 </w:t>
            </w:r>
            <w:r>
              <w:rPr>
                <w:rFonts w:ascii="Times New Roman" w:hAnsi="Times New Roman" w:eastAsia="Times New Roman" w:cs="Times New Roman"/>
                <w:spacing w:val="2"/>
                <w:sz w:val="20"/>
                <w:szCs w:val="20"/>
              </w:rPr>
              <w:t xml:space="preserve">0.80 </w:t>
            </w:r>
            <w:r>
              <w:rPr>
                <w:rFonts w:ascii="宋体" w:hAnsi="宋体" w:eastAsia="宋体" w:cs="宋体"/>
                <w:spacing w:val="2"/>
                <w:sz w:val="20"/>
                <w:szCs w:val="20"/>
              </w:rPr>
              <w:t xml:space="preserve">万 </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³</w:t>
            </w:r>
            <w:r>
              <w:rPr>
                <w:rFonts w:ascii="Times New Roman" w:hAnsi="Times New Roman" w:eastAsia="Times New Roman" w:cs="Times New Roman"/>
                <w:sz w:val="20"/>
                <w:szCs w:val="20"/>
              </w:rPr>
              <w:t xml:space="preserve"> </w:t>
            </w:r>
            <w:r>
              <w:rPr>
                <w:rFonts w:ascii="宋体" w:hAnsi="宋体" w:eastAsia="宋体" w:cs="宋体"/>
                <w:spacing w:val="14"/>
                <w:sz w:val="20"/>
                <w:szCs w:val="20"/>
              </w:rPr>
              <w:t>(含表土</w:t>
            </w:r>
            <w:r>
              <w:rPr>
                <w:rFonts w:ascii="宋体" w:hAnsi="宋体" w:eastAsia="宋体" w:cs="宋体"/>
                <w:spacing w:val="11"/>
                <w:sz w:val="20"/>
                <w:szCs w:val="20"/>
              </w:rPr>
              <w:t>回</w:t>
            </w:r>
            <w:r>
              <w:rPr>
                <w:rFonts w:ascii="宋体" w:hAnsi="宋体" w:eastAsia="宋体" w:cs="宋体"/>
                <w:spacing w:val="7"/>
                <w:sz w:val="20"/>
                <w:szCs w:val="20"/>
              </w:rPr>
              <w:t xml:space="preserve">覆 </w:t>
            </w:r>
            <w:r>
              <w:rPr>
                <w:rFonts w:ascii="Times New Roman" w:hAnsi="Times New Roman" w:eastAsia="Times New Roman" w:cs="Times New Roman"/>
                <w:spacing w:val="7"/>
                <w:sz w:val="20"/>
                <w:szCs w:val="20"/>
              </w:rPr>
              <w:t xml:space="preserve">0.09 </w:t>
            </w:r>
            <w:r>
              <w:rPr>
                <w:rFonts w:ascii="宋体" w:hAnsi="宋体" w:eastAsia="宋体" w:cs="宋体"/>
                <w:spacing w:val="7"/>
                <w:sz w:val="20"/>
                <w:szCs w:val="20"/>
              </w:rPr>
              <w:t xml:space="preserve">万 </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³</w:t>
            </w:r>
            <w:r>
              <w:rPr>
                <w:rFonts w:ascii="宋体" w:hAnsi="宋体" w:eastAsia="宋体" w:cs="宋体"/>
                <w:spacing w:val="7"/>
                <w:sz w:val="20"/>
                <w:szCs w:val="20"/>
              </w:rPr>
              <w:t xml:space="preserve">自然方，下同) ， 由施工临时场地区、施工便道区调入 </w:t>
            </w:r>
            <w:r>
              <w:rPr>
                <w:rFonts w:ascii="Times New Roman" w:hAnsi="Times New Roman" w:eastAsia="Times New Roman" w:cs="Times New Roman"/>
                <w:spacing w:val="7"/>
                <w:sz w:val="20"/>
                <w:szCs w:val="20"/>
              </w:rPr>
              <w:t xml:space="preserve">0.67 </w:t>
            </w:r>
            <w:r>
              <w:rPr>
                <w:rFonts w:ascii="宋体" w:hAnsi="宋体" w:eastAsia="宋体" w:cs="宋体"/>
                <w:spacing w:val="7"/>
                <w:sz w:val="20"/>
                <w:szCs w:val="20"/>
              </w:rPr>
              <w:t>万</w:t>
            </w:r>
          </w:p>
          <w:p>
            <w:pPr>
              <w:spacing w:line="229" w:lineRule="auto"/>
              <w:ind w:left="101"/>
              <w:rPr>
                <w:rFonts w:ascii="宋体" w:hAnsi="宋体" w:eastAsia="宋体" w:cs="宋体"/>
                <w:sz w:val="20"/>
                <w:szCs w:val="20"/>
              </w:rPr>
            </w:pPr>
            <w:r>
              <w:rPr>
                <w:rFonts w:ascii="Times New Roman" w:hAnsi="Times New Roman" w:eastAsia="Times New Roman" w:cs="Times New Roman"/>
                <w:sz w:val="20"/>
                <w:szCs w:val="20"/>
              </w:rPr>
              <w:t>m</w:t>
            </w:r>
            <w:r>
              <w:rPr>
                <w:rFonts w:ascii="Times New Roman" w:hAnsi="Times New Roman" w:eastAsia="Times New Roman" w:cs="Times New Roman"/>
                <w:spacing w:val="9"/>
                <w:sz w:val="20"/>
                <w:szCs w:val="20"/>
              </w:rPr>
              <w:t>³</w:t>
            </w:r>
            <w:r>
              <w:rPr>
                <w:rFonts w:ascii="宋体" w:hAnsi="宋体" w:eastAsia="宋体" w:cs="宋体"/>
                <w:spacing w:val="9"/>
                <w:sz w:val="20"/>
                <w:szCs w:val="20"/>
              </w:rPr>
              <w:t>土石方，无弃方产生</w:t>
            </w:r>
            <w:r>
              <w:rPr>
                <w:rFonts w:ascii="宋体" w:hAnsi="宋体" w:eastAsia="宋体" w:cs="宋体"/>
                <w:spacing w:val="7"/>
                <w:sz w:val="20"/>
                <w:szCs w:val="20"/>
              </w:rPr>
              <w:t>。</w:t>
            </w:r>
          </w:p>
        </w:tc>
      </w:tr>
    </w:tbl>
    <w:p>
      <w:pPr>
        <w:spacing w:line="140" w:lineRule="exact"/>
        <w:rPr>
          <w:rFonts w:ascii="Arial"/>
          <w:sz w:val="12"/>
        </w:rPr>
      </w:pPr>
    </w:p>
    <w:p>
      <w:pPr>
        <w:sectPr>
          <w:footerReference r:id="rId44" w:type="default"/>
          <w:pgSz w:w="11906" w:h="16839"/>
          <w:pgMar w:top="400" w:right="1487" w:bottom="1475" w:left="1486" w:header="0" w:footer="1315" w:gutter="0"/>
          <w:cols w:space="720" w:num="1"/>
        </w:sectPr>
      </w:pPr>
    </w:p>
    <w:p>
      <w:r>
        <w:pict>
          <v:rect id="_x0000_s1064" o:spid="_x0000_s1064" o:spt="1" style="position:absolute;left:0pt;margin-left:111.7pt;margin-top:237.85pt;height:481.6pt;width:0.5pt;mso-position-horizontal-relative:page;mso-position-vertical-relative:page;z-index:251679744;mso-width-relative:page;mso-height-relative:page;" fillcolor="#000000" filled="t" stroked="f" coordsize="21600,21600" o:allowincell="f">
            <v:path/>
            <v:fill on="t" focussize="0,0"/>
            <v:stroke on="f"/>
            <v:imagedata o:title=""/>
            <o:lock v:ext="edit"/>
          </v:rect>
        </w:pict>
      </w:r>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1"/>
        <w:gridCol w:w="1149"/>
        <w:gridCol w:w="806"/>
        <w:gridCol w:w="1049"/>
        <w:gridCol w:w="1458"/>
        <w:gridCol w:w="1211"/>
        <w:gridCol w:w="1557"/>
        <w:gridCol w:w="925"/>
        <w:gridCol w:w="1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8" w:hRule="atLeast"/>
        </w:trPr>
        <w:tc>
          <w:tcPr>
            <w:tcW w:w="601" w:type="dxa"/>
            <w:vMerge w:val="restart"/>
            <w:tcBorders>
              <w:left w:val="single" w:color="000000" w:sz="6" w:space="0"/>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28" w:lineRule="auto"/>
              <w:ind w:left="91"/>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p>
            <w:pPr>
              <w:spacing w:before="26" w:line="229" w:lineRule="auto"/>
              <w:ind w:left="9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组</w:t>
            </w:r>
            <w:r>
              <w:rPr>
                <w:rFonts w:ascii="宋体" w:hAnsi="宋体" w:eastAsia="宋体" w:cs="宋体"/>
                <w:spacing w:val="4"/>
                <w:sz w:val="20"/>
                <w:szCs w:val="20"/>
                <w14:textOutline w14:w="3795" w14:cap="sq" w14:cmpd="sng">
                  <w14:solidFill>
                    <w14:srgbClr w14:val="000000"/>
                  </w14:solidFill>
                  <w14:prstDash w14:val="solid"/>
                  <w14:bevel/>
                </w14:textOutline>
              </w:rPr>
              <w:t>成</w:t>
            </w:r>
          </w:p>
          <w:p>
            <w:pPr>
              <w:spacing w:before="22" w:line="230" w:lineRule="auto"/>
              <w:ind w:left="8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及规</w:t>
            </w:r>
          </w:p>
          <w:p>
            <w:pPr>
              <w:spacing w:before="24" w:line="228" w:lineRule="auto"/>
              <w:ind w:left="190"/>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模</w:t>
            </w:r>
          </w:p>
        </w:tc>
        <w:tc>
          <w:tcPr>
            <w:tcW w:w="8316" w:type="dxa"/>
            <w:gridSpan w:val="8"/>
            <w:tcBorders>
              <w:right w:val="single" w:color="000000" w:sz="6" w:space="0"/>
            </w:tcBorders>
            <w:vAlign w:val="top"/>
          </w:tcPr>
          <w:p>
            <w:pPr>
              <w:spacing w:before="144" w:line="228" w:lineRule="auto"/>
              <w:ind w:left="522"/>
              <w:rPr>
                <w:rFonts w:ascii="宋体" w:hAnsi="宋体" w:eastAsia="宋体" w:cs="宋体"/>
                <w:sz w:val="20"/>
                <w:szCs w:val="20"/>
              </w:rPr>
            </w:pPr>
            <w:r>
              <w:rPr>
                <w:rFonts w:ascii="Times New Roman" w:hAnsi="Times New Roman" w:eastAsia="Times New Roman" w:cs="Times New Roman"/>
                <w:spacing w:val="10"/>
                <w:sz w:val="20"/>
                <w:szCs w:val="20"/>
              </w:rPr>
              <w:t>2</w:t>
            </w:r>
            <w:r>
              <w:rPr>
                <w:rFonts w:ascii="宋体" w:hAnsi="宋体" w:eastAsia="宋体" w:cs="宋体"/>
                <w:spacing w:val="8"/>
                <w:sz w:val="20"/>
                <w:szCs w:val="20"/>
              </w:rPr>
              <w:t>) 施工便道土石方平衡</w:t>
            </w:r>
          </w:p>
          <w:p>
            <w:pPr>
              <w:spacing w:before="153" w:line="369" w:lineRule="auto"/>
              <w:ind w:left="123" w:right="102" w:firstLine="402"/>
              <w:rPr>
                <w:rFonts w:ascii="宋体" w:hAnsi="宋体" w:eastAsia="宋体" w:cs="宋体"/>
                <w:sz w:val="20"/>
                <w:szCs w:val="20"/>
              </w:rPr>
            </w:pPr>
            <w:r>
              <w:rPr>
                <w:rFonts w:ascii="宋体" w:hAnsi="宋体" w:eastAsia="宋体" w:cs="宋体"/>
                <w:spacing w:val="8"/>
                <w:sz w:val="20"/>
                <w:szCs w:val="20"/>
              </w:rPr>
              <w:t>施工便</w:t>
            </w:r>
            <w:r>
              <w:rPr>
                <w:rFonts w:ascii="宋体" w:hAnsi="宋体" w:eastAsia="宋体" w:cs="宋体"/>
                <w:spacing w:val="4"/>
                <w:sz w:val="20"/>
                <w:szCs w:val="20"/>
              </w:rPr>
              <w:t xml:space="preserve">道挖方 </w:t>
            </w:r>
            <w:r>
              <w:rPr>
                <w:rFonts w:ascii="Times New Roman" w:hAnsi="Times New Roman" w:eastAsia="Times New Roman" w:cs="Times New Roman"/>
                <w:spacing w:val="4"/>
                <w:sz w:val="20"/>
                <w:szCs w:val="20"/>
              </w:rPr>
              <w:t xml:space="preserve">0.02 </w:t>
            </w:r>
            <w:r>
              <w:rPr>
                <w:rFonts w:ascii="宋体" w:hAnsi="宋体" w:eastAsia="宋体" w:cs="宋体"/>
                <w:spacing w:val="4"/>
                <w:sz w:val="20"/>
                <w:szCs w:val="20"/>
              </w:rPr>
              <w:t xml:space="preserve">万 </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 xml:space="preserve">³ </w:t>
            </w:r>
            <w:r>
              <w:rPr>
                <w:rFonts w:ascii="宋体" w:hAnsi="宋体" w:eastAsia="宋体" w:cs="宋体"/>
                <w:spacing w:val="4"/>
                <w:sz w:val="20"/>
                <w:szCs w:val="20"/>
              </w:rPr>
              <w:t xml:space="preserve">，无填方，调出 </w:t>
            </w:r>
            <w:r>
              <w:rPr>
                <w:rFonts w:ascii="Times New Roman" w:hAnsi="Times New Roman" w:eastAsia="Times New Roman" w:cs="Times New Roman"/>
                <w:spacing w:val="4"/>
                <w:sz w:val="20"/>
                <w:szCs w:val="20"/>
              </w:rPr>
              <w:t xml:space="preserve">0.02 </w:t>
            </w:r>
            <w:r>
              <w:rPr>
                <w:rFonts w:ascii="宋体" w:hAnsi="宋体" w:eastAsia="宋体" w:cs="宋体"/>
                <w:spacing w:val="4"/>
                <w:sz w:val="20"/>
                <w:szCs w:val="20"/>
              </w:rPr>
              <w:t xml:space="preserve">万 </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³</w:t>
            </w:r>
            <w:r>
              <w:rPr>
                <w:rFonts w:ascii="宋体" w:hAnsi="宋体" w:eastAsia="宋体" w:cs="宋体"/>
                <w:spacing w:val="4"/>
                <w:sz w:val="20"/>
                <w:szCs w:val="20"/>
              </w:rPr>
              <w:t>土石方至主体工程区回填至桥台</w:t>
            </w:r>
            <w:r>
              <w:rPr>
                <w:rFonts w:ascii="宋体" w:hAnsi="宋体" w:eastAsia="宋体" w:cs="宋体"/>
                <w:sz w:val="20"/>
                <w:szCs w:val="20"/>
              </w:rPr>
              <w:t xml:space="preserve"> </w:t>
            </w:r>
            <w:r>
              <w:rPr>
                <w:rFonts w:ascii="宋体" w:hAnsi="宋体" w:eastAsia="宋体" w:cs="宋体"/>
                <w:spacing w:val="6"/>
                <w:sz w:val="20"/>
                <w:szCs w:val="20"/>
              </w:rPr>
              <w:t>台背，无弃方产生</w:t>
            </w:r>
            <w:r>
              <w:rPr>
                <w:rFonts w:ascii="宋体" w:hAnsi="宋体" w:eastAsia="宋体" w:cs="宋体"/>
                <w:spacing w:val="5"/>
                <w:sz w:val="20"/>
                <w:szCs w:val="20"/>
              </w:rPr>
              <w:t>。</w:t>
            </w:r>
          </w:p>
          <w:p>
            <w:pPr>
              <w:spacing w:line="227" w:lineRule="auto"/>
              <w:ind w:left="527"/>
              <w:rPr>
                <w:rFonts w:ascii="宋体" w:hAnsi="宋体" w:eastAsia="宋体" w:cs="宋体"/>
                <w:sz w:val="20"/>
                <w:szCs w:val="20"/>
              </w:rPr>
            </w:pPr>
            <w:r>
              <w:rPr>
                <w:rFonts w:ascii="Times New Roman" w:hAnsi="Times New Roman" w:eastAsia="Times New Roman" w:cs="Times New Roman"/>
                <w:spacing w:val="11"/>
                <w:sz w:val="20"/>
                <w:szCs w:val="20"/>
              </w:rPr>
              <w:t>3</w:t>
            </w:r>
            <w:r>
              <w:rPr>
                <w:rFonts w:ascii="宋体" w:hAnsi="宋体" w:eastAsia="宋体" w:cs="宋体"/>
                <w:spacing w:val="8"/>
                <w:sz w:val="20"/>
                <w:szCs w:val="20"/>
              </w:rPr>
              <w:t>) 施工临时场地区土石方平衡</w:t>
            </w:r>
          </w:p>
          <w:p>
            <w:pPr>
              <w:spacing w:before="153" w:line="369" w:lineRule="auto"/>
              <w:ind w:left="108" w:right="102" w:firstLine="417"/>
              <w:rPr>
                <w:rFonts w:ascii="宋体" w:hAnsi="宋体" w:eastAsia="宋体" w:cs="宋体"/>
                <w:sz w:val="20"/>
                <w:szCs w:val="20"/>
              </w:rPr>
            </w:pPr>
            <w:r>
              <w:rPr>
                <w:rFonts w:ascii="宋体" w:hAnsi="宋体" w:eastAsia="宋体" w:cs="宋体"/>
                <w:spacing w:val="-2"/>
                <w:sz w:val="20"/>
                <w:szCs w:val="20"/>
              </w:rPr>
              <w:t xml:space="preserve">施工临时场地区挖方 </w:t>
            </w:r>
            <w:r>
              <w:rPr>
                <w:rFonts w:ascii="Times New Roman" w:hAnsi="Times New Roman" w:eastAsia="Times New Roman" w:cs="Times New Roman"/>
                <w:spacing w:val="-2"/>
                <w:sz w:val="20"/>
                <w:szCs w:val="20"/>
              </w:rPr>
              <w:t>0.95</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万 </w:t>
            </w:r>
            <w:r>
              <w:rPr>
                <w:rFonts w:ascii="Times New Roman" w:hAnsi="Times New Roman" w:eastAsia="Times New Roman" w:cs="Times New Roman"/>
                <w:spacing w:val="-1"/>
                <w:sz w:val="20"/>
                <w:szCs w:val="20"/>
              </w:rPr>
              <w:t xml:space="preserve">m³ </w:t>
            </w:r>
            <w:r>
              <w:rPr>
                <w:rFonts w:ascii="宋体" w:hAnsi="宋体" w:eastAsia="宋体" w:cs="宋体"/>
                <w:spacing w:val="-1"/>
                <w:sz w:val="20"/>
                <w:szCs w:val="20"/>
              </w:rPr>
              <w:t xml:space="preserve">，填方 </w:t>
            </w:r>
            <w:r>
              <w:rPr>
                <w:rFonts w:ascii="Times New Roman" w:hAnsi="Times New Roman" w:eastAsia="Times New Roman" w:cs="Times New Roman"/>
                <w:spacing w:val="-1"/>
                <w:sz w:val="20"/>
                <w:szCs w:val="20"/>
              </w:rPr>
              <w:t xml:space="preserve">0.30 </w:t>
            </w:r>
            <w:r>
              <w:rPr>
                <w:rFonts w:ascii="宋体" w:hAnsi="宋体" w:eastAsia="宋体" w:cs="宋体"/>
                <w:spacing w:val="-1"/>
                <w:sz w:val="20"/>
                <w:szCs w:val="20"/>
              </w:rPr>
              <w:t xml:space="preserve">万 </w:t>
            </w:r>
            <w:r>
              <w:rPr>
                <w:rFonts w:ascii="Times New Roman" w:hAnsi="Times New Roman" w:eastAsia="Times New Roman" w:cs="Times New Roman"/>
                <w:spacing w:val="-1"/>
                <w:sz w:val="20"/>
                <w:szCs w:val="20"/>
              </w:rPr>
              <w:t xml:space="preserve">m³ </w:t>
            </w:r>
            <w:r>
              <w:rPr>
                <w:rFonts w:ascii="宋体" w:hAnsi="宋体" w:eastAsia="宋体" w:cs="宋体"/>
                <w:spacing w:val="-1"/>
                <w:sz w:val="20"/>
                <w:szCs w:val="20"/>
              </w:rPr>
              <w:t xml:space="preserve">，剩下的 </w:t>
            </w:r>
            <w:r>
              <w:rPr>
                <w:rFonts w:ascii="Times New Roman" w:hAnsi="Times New Roman" w:eastAsia="Times New Roman" w:cs="Times New Roman"/>
                <w:spacing w:val="-1"/>
                <w:sz w:val="20"/>
                <w:szCs w:val="20"/>
              </w:rPr>
              <w:t xml:space="preserve">0.65 </w:t>
            </w:r>
            <w:r>
              <w:rPr>
                <w:rFonts w:ascii="宋体" w:hAnsi="宋体" w:eastAsia="宋体" w:cs="宋体"/>
                <w:spacing w:val="-1"/>
                <w:sz w:val="20"/>
                <w:szCs w:val="20"/>
              </w:rPr>
              <w:t xml:space="preserve">万 </w:t>
            </w:r>
            <w:r>
              <w:rPr>
                <w:rFonts w:ascii="Times New Roman" w:hAnsi="Times New Roman" w:eastAsia="Times New Roman" w:cs="Times New Roman"/>
                <w:spacing w:val="-1"/>
                <w:sz w:val="20"/>
                <w:szCs w:val="20"/>
              </w:rPr>
              <w:t>m³</w:t>
            </w:r>
            <w:r>
              <w:rPr>
                <w:rFonts w:ascii="宋体" w:hAnsi="宋体" w:eastAsia="宋体" w:cs="宋体"/>
                <w:spacing w:val="-1"/>
                <w:sz w:val="20"/>
                <w:szCs w:val="20"/>
              </w:rPr>
              <w:t>主要是围堰拆除</w:t>
            </w:r>
            <w:r>
              <w:rPr>
                <w:rFonts w:ascii="宋体" w:hAnsi="宋体" w:eastAsia="宋体" w:cs="宋体"/>
                <w:sz w:val="20"/>
                <w:szCs w:val="20"/>
              </w:rPr>
              <w:t xml:space="preserve"> </w:t>
            </w:r>
            <w:r>
              <w:rPr>
                <w:rFonts w:ascii="宋体" w:hAnsi="宋体" w:eastAsia="宋体" w:cs="宋体"/>
                <w:spacing w:val="12"/>
                <w:sz w:val="20"/>
                <w:szCs w:val="20"/>
              </w:rPr>
              <w:t>后</w:t>
            </w:r>
            <w:r>
              <w:rPr>
                <w:rFonts w:ascii="宋体" w:hAnsi="宋体" w:eastAsia="宋体" w:cs="宋体"/>
                <w:spacing w:val="7"/>
                <w:sz w:val="20"/>
                <w:szCs w:val="20"/>
              </w:rPr>
              <w:t>产生的土方和石方、清理礁石产生的石方 (将作为填筑材料利用) ，用于回填主体工程</w:t>
            </w:r>
          </w:p>
          <w:p>
            <w:pPr>
              <w:spacing w:before="1" w:line="232" w:lineRule="auto"/>
              <w:ind w:left="122"/>
              <w:rPr>
                <w:rFonts w:ascii="宋体" w:hAnsi="宋体" w:eastAsia="宋体" w:cs="宋体"/>
                <w:sz w:val="20"/>
                <w:szCs w:val="20"/>
              </w:rPr>
            </w:pPr>
            <w:r>
              <w:rPr>
                <w:rFonts w:ascii="宋体" w:hAnsi="宋体" w:eastAsia="宋体" w:cs="宋体"/>
                <w:spacing w:val="9"/>
                <w:sz w:val="20"/>
                <w:szCs w:val="20"/>
              </w:rPr>
              <w:t>区</w:t>
            </w:r>
            <w:r>
              <w:rPr>
                <w:rFonts w:ascii="宋体" w:hAnsi="宋体" w:eastAsia="宋体" w:cs="宋体"/>
                <w:spacing w:val="8"/>
                <w:sz w:val="20"/>
                <w:szCs w:val="20"/>
              </w:rPr>
              <w:t>，无弃方产生。土石方平衡表见下表。</w:t>
            </w:r>
          </w:p>
          <w:p>
            <w:pPr>
              <w:spacing w:before="126" w:line="230" w:lineRule="auto"/>
              <w:ind w:left="3260"/>
              <w:rPr>
                <w:rFonts w:ascii="黑体" w:hAnsi="黑体" w:eastAsia="黑体" w:cs="黑体"/>
                <w:sz w:val="19"/>
                <w:szCs w:val="19"/>
              </w:rPr>
            </w:pPr>
            <w:r>
              <w:rPr>
                <w:rFonts w:ascii="黑体" w:hAnsi="黑体" w:eastAsia="黑体" w:cs="黑体"/>
                <w:spacing w:val="6"/>
                <w:sz w:val="19"/>
                <w:szCs w:val="19"/>
              </w:rPr>
              <w:t>表</w:t>
            </w:r>
            <w:r>
              <w:rPr>
                <w:rFonts w:ascii="Times New Roman" w:hAnsi="Times New Roman" w:eastAsia="Times New Roman" w:cs="Times New Roman"/>
                <w:spacing w:val="6"/>
                <w:sz w:val="19"/>
                <w:szCs w:val="19"/>
              </w:rPr>
              <w:t xml:space="preserve">16    </w:t>
            </w:r>
            <w:r>
              <w:rPr>
                <w:rFonts w:ascii="黑体" w:hAnsi="黑体" w:eastAsia="黑体" w:cs="黑体"/>
                <w:spacing w:val="6"/>
                <w:sz w:val="19"/>
                <w:szCs w:val="19"/>
              </w:rPr>
              <w:t>土石方平衡表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601" w:type="dxa"/>
            <w:vMerge w:val="continue"/>
            <w:tcBorders>
              <w:top w:val="nil"/>
              <w:left w:val="single" w:color="000000" w:sz="6" w:space="0"/>
              <w:bottom w:val="nil"/>
            </w:tcBorders>
            <w:vAlign w:val="top"/>
          </w:tcPr>
          <w:p>
            <w:pPr>
              <w:rPr>
                <w:rFonts w:ascii="Arial"/>
                <w:sz w:val="21"/>
              </w:rPr>
            </w:pPr>
          </w:p>
        </w:tc>
        <w:tc>
          <w:tcPr>
            <w:tcW w:w="3004" w:type="dxa"/>
            <w:gridSpan w:val="3"/>
            <w:vAlign w:val="top"/>
          </w:tcPr>
          <w:p>
            <w:pPr>
              <w:spacing w:before="234" w:line="231" w:lineRule="auto"/>
              <w:ind w:left="1217"/>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项目组成</w:t>
            </w:r>
          </w:p>
        </w:tc>
        <w:tc>
          <w:tcPr>
            <w:tcW w:w="1458" w:type="dxa"/>
            <w:vAlign w:val="top"/>
          </w:tcPr>
          <w:p>
            <w:pPr>
              <w:spacing w:before="92" w:line="268" w:lineRule="auto"/>
              <w:ind w:left="200" w:right="204" w:firstLine="80"/>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道</w:t>
            </w:r>
            <w:r>
              <w:rPr>
                <w:rFonts w:ascii="宋体" w:hAnsi="宋体" w:eastAsia="宋体" w:cs="宋体"/>
                <w:spacing w:val="9"/>
                <w:sz w:val="17"/>
                <w:szCs w:val="17"/>
                <w14:textOutline w14:w="3268" w14:cap="sq" w14:cmpd="sng">
                  <w14:solidFill>
                    <w14:srgbClr w14:val="000000"/>
                  </w14:solidFill>
                  <w14:prstDash w14:val="solid"/>
                  <w14:bevel/>
                </w14:textOutline>
              </w:rPr>
              <w:t>路、桥梁</w:t>
            </w:r>
            <w:r>
              <w:rPr>
                <w:rFonts w:ascii="宋体" w:hAnsi="宋体" w:eastAsia="宋体" w:cs="宋体"/>
                <w:sz w:val="17"/>
                <w:szCs w:val="17"/>
              </w:rPr>
              <w:t xml:space="preserve"> </w:t>
            </w:r>
            <w:r>
              <w:rPr>
                <w:rFonts w:ascii="宋体" w:hAnsi="宋体" w:eastAsia="宋体" w:cs="宋体"/>
                <w:spacing w:val="19"/>
                <w:sz w:val="17"/>
                <w:szCs w:val="17"/>
                <w14:textOutline w14:w="3268" w14:cap="sq" w14:cmpd="sng">
                  <w14:solidFill>
                    <w14:srgbClr w14:val="000000"/>
                  </w14:solidFill>
                  <w14:prstDash w14:val="solid"/>
                  <w14:bevel/>
                </w14:textOutline>
              </w:rPr>
              <w:t>(主体工程</w:t>
            </w:r>
            <w:r>
              <w:rPr>
                <w:rFonts w:ascii="宋体" w:hAnsi="宋体" w:eastAsia="宋体" w:cs="宋体"/>
                <w:spacing w:val="18"/>
                <w:sz w:val="17"/>
                <w:szCs w:val="17"/>
                <w14:textOutline w14:w="3268" w14:cap="sq" w14:cmpd="sng">
                  <w14:solidFill>
                    <w14:srgbClr w14:val="000000"/>
                  </w14:solidFill>
                  <w14:prstDash w14:val="solid"/>
                  <w14:bevel/>
                </w14:textOutline>
              </w:rPr>
              <w:t>)</w:t>
            </w:r>
          </w:p>
        </w:tc>
        <w:tc>
          <w:tcPr>
            <w:tcW w:w="1211" w:type="dxa"/>
            <w:vAlign w:val="top"/>
          </w:tcPr>
          <w:p>
            <w:pPr>
              <w:spacing w:before="234" w:line="230" w:lineRule="auto"/>
              <w:ind w:left="157"/>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施</w:t>
            </w:r>
            <w:r>
              <w:rPr>
                <w:rFonts w:ascii="宋体" w:hAnsi="宋体" w:eastAsia="宋体" w:cs="宋体"/>
                <w:spacing w:val="9"/>
                <w:sz w:val="17"/>
                <w:szCs w:val="17"/>
                <w14:textOutline w14:w="3268" w14:cap="sq" w14:cmpd="sng">
                  <w14:solidFill>
                    <w14:srgbClr w14:val="000000"/>
                  </w14:solidFill>
                  <w14:prstDash w14:val="solid"/>
                  <w14:bevel/>
                </w14:textOutline>
              </w:rPr>
              <w:t>工便道区</w:t>
            </w:r>
          </w:p>
        </w:tc>
        <w:tc>
          <w:tcPr>
            <w:tcW w:w="1557" w:type="dxa"/>
            <w:vAlign w:val="top"/>
          </w:tcPr>
          <w:p>
            <w:pPr>
              <w:spacing w:before="234" w:line="230" w:lineRule="auto"/>
              <w:ind w:left="153"/>
              <w:rPr>
                <w:rFonts w:ascii="宋体" w:hAnsi="宋体" w:eastAsia="宋体" w:cs="宋体"/>
                <w:sz w:val="17"/>
                <w:szCs w:val="17"/>
              </w:rPr>
            </w:pPr>
            <w:r>
              <w:rPr>
                <w:rFonts w:ascii="宋体" w:hAnsi="宋体" w:eastAsia="宋体" w:cs="宋体"/>
                <w:spacing w:val="14"/>
                <w:sz w:val="17"/>
                <w:szCs w:val="17"/>
                <w14:textOutline w14:w="3268" w14:cap="sq" w14:cmpd="sng">
                  <w14:solidFill>
                    <w14:srgbClr w14:val="000000"/>
                  </w14:solidFill>
                  <w14:prstDash w14:val="solid"/>
                  <w14:bevel/>
                </w14:textOutline>
              </w:rPr>
              <w:t>施</w:t>
            </w:r>
            <w:r>
              <w:rPr>
                <w:rFonts w:ascii="宋体" w:hAnsi="宋体" w:eastAsia="宋体" w:cs="宋体"/>
                <w:spacing w:val="9"/>
                <w:sz w:val="17"/>
                <w:szCs w:val="17"/>
                <w14:textOutline w14:w="3268" w14:cap="sq" w14:cmpd="sng">
                  <w14:solidFill>
                    <w14:srgbClr w14:val="000000"/>
                  </w14:solidFill>
                  <w14:prstDash w14:val="solid"/>
                  <w14:bevel/>
                </w14:textOutline>
              </w:rPr>
              <w:t>工临时场地区</w:t>
            </w:r>
          </w:p>
        </w:tc>
        <w:tc>
          <w:tcPr>
            <w:tcW w:w="925" w:type="dxa"/>
            <w:vAlign w:val="top"/>
          </w:tcPr>
          <w:p>
            <w:pPr>
              <w:spacing w:before="233" w:line="232" w:lineRule="auto"/>
              <w:ind w:left="292"/>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合计</w:t>
            </w:r>
          </w:p>
        </w:tc>
        <w:tc>
          <w:tcPr>
            <w:tcW w:w="161"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1" w:type="dxa"/>
            <w:vMerge w:val="continue"/>
            <w:tcBorders>
              <w:top w:val="nil"/>
              <w:left w:val="single" w:color="000000" w:sz="6" w:space="0"/>
              <w:bottom w:val="nil"/>
            </w:tcBorders>
            <w:vAlign w:val="top"/>
          </w:tcPr>
          <w:p>
            <w:pPr>
              <w:rPr>
                <w:rFonts w:ascii="Arial"/>
                <w:sz w:val="21"/>
              </w:rPr>
            </w:pPr>
          </w:p>
        </w:tc>
        <w:tc>
          <w:tcPr>
            <w:tcW w:w="3004" w:type="dxa"/>
            <w:gridSpan w:val="3"/>
            <w:vAlign w:val="top"/>
          </w:tcPr>
          <w:p>
            <w:pPr>
              <w:spacing w:before="87" w:line="232" w:lineRule="auto"/>
              <w:ind w:left="1396"/>
              <w:rPr>
                <w:rFonts w:ascii="宋体" w:hAnsi="宋体" w:eastAsia="宋体" w:cs="宋体"/>
                <w:sz w:val="17"/>
                <w:szCs w:val="17"/>
              </w:rPr>
            </w:pPr>
            <w:r>
              <w:rPr>
                <w:rFonts w:ascii="宋体" w:hAnsi="宋体" w:eastAsia="宋体" w:cs="宋体"/>
                <w:spacing w:val="7"/>
                <w:sz w:val="17"/>
                <w:szCs w:val="17"/>
              </w:rPr>
              <w:t>序</w:t>
            </w:r>
            <w:r>
              <w:rPr>
                <w:rFonts w:ascii="宋体" w:hAnsi="宋体" w:eastAsia="宋体" w:cs="宋体"/>
                <w:spacing w:val="6"/>
                <w:sz w:val="17"/>
                <w:szCs w:val="17"/>
              </w:rPr>
              <w:t>号</w:t>
            </w:r>
          </w:p>
        </w:tc>
        <w:tc>
          <w:tcPr>
            <w:tcW w:w="1458" w:type="dxa"/>
            <w:vAlign w:val="top"/>
          </w:tcPr>
          <w:p>
            <w:pPr>
              <w:spacing w:before="87" w:line="228" w:lineRule="auto"/>
              <w:ind w:left="640"/>
              <w:rPr>
                <w:rFonts w:ascii="宋体" w:hAnsi="宋体" w:eastAsia="宋体" w:cs="宋体"/>
                <w:sz w:val="17"/>
                <w:szCs w:val="17"/>
              </w:rPr>
            </w:pPr>
            <w:r>
              <w:rPr>
                <w:rFonts w:ascii="宋体" w:hAnsi="宋体" w:eastAsia="宋体" w:cs="宋体"/>
                <w:spacing w:val="3"/>
                <w:sz w:val="17"/>
                <w:szCs w:val="17"/>
              </w:rPr>
              <w:t>①</w:t>
            </w:r>
          </w:p>
        </w:tc>
        <w:tc>
          <w:tcPr>
            <w:tcW w:w="1211" w:type="dxa"/>
            <w:vAlign w:val="top"/>
          </w:tcPr>
          <w:p>
            <w:pPr>
              <w:spacing w:before="87" w:line="228" w:lineRule="auto"/>
              <w:ind w:left="518"/>
              <w:rPr>
                <w:rFonts w:ascii="宋体" w:hAnsi="宋体" w:eastAsia="宋体" w:cs="宋体"/>
                <w:sz w:val="17"/>
                <w:szCs w:val="17"/>
              </w:rPr>
            </w:pPr>
            <w:r>
              <w:rPr>
                <w:rFonts w:ascii="宋体" w:hAnsi="宋体" w:eastAsia="宋体" w:cs="宋体"/>
                <w:spacing w:val="4"/>
                <w:sz w:val="17"/>
                <w:szCs w:val="17"/>
              </w:rPr>
              <w:t>②</w:t>
            </w:r>
          </w:p>
        </w:tc>
        <w:tc>
          <w:tcPr>
            <w:tcW w:w="1557" w:type="dxa"/>
            <w:vAlign w:val="top"/>
          </w:tcPr>
          <w:p>
            <w:pPr>
              <w:spacing w:before="87" w:line="228" w:lineRule="auto"/>
              <w:ind w:left="695"/>
              <w:rPr>
                <w:rFonts w:ascii="宋体" w:hAnsi="宋体" w:eastAsia="宋体" w:cs="宋体"/>
                <w:sz w:val="17"/>
                <w:szCs w:val="17"/>
              </w:rPr>
            </w:pPr>
            <w:r>
              <w:rPr>
                <w:rFonts w:ascii="宋体" w:hAnsi="宋体" w:eastAsia="宋体" w:cs="宋体"/>
                <w:spacing w:val="4"/>
                <w:sz w:val="17"/>
                <w:szCs w:val="17"/>
              </w:rPr>
              <w:t>③</w:t>
            </w:r>
          </w:p>
        </w:tc>
        <w:tc>
          <w:tcPr>
            <w:tcW w:w="925" w:type="dxa"/>
            <w:vAlign w:val="top"/>
          </w:tcPr>
          <w:p>
            <w:pPr>
              <w:rPr>
                <w:rFonts w:ascii="Arial"/>
                <w:sz w:val="21"/>
              </w:rPr>
            </w:pP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01" w:type="dxa"/>
            <w:vMerge w:val="continue"/>
            <w:tcBorders>
              <w:top w:val="nil"/>
              <w:left w:val="single" w:color="000000" w:sz="6" w:space="0"/>
              <w:bottom w:val="nil"/>
            </w:tcBorders>
            <w:vAlign w:val="top"/>
          </w:tcPr>
          <w:p>
            <w:pPr>
              <w:rPr>
                <w:rFonts w:ascii="Arial"/>
                <w:sz w:val="21"/>
              </w:rPr>
            </w:pPr>
          </w:p>
        </w:tc>
        <w:tc>
          <w:tcPr>
            <w:tcW w:w="1955" w:type="dxa"/>
            <w:gridSpan w:val="2"/>
            <w:vMerge w:val="restart"/>
            <w:tcBorders>
              <w:bottom w:val="nil"/>
            </w:tcBorders>
            <w:vAlign w:val="top"/>
          </w:tcPr>
          <w:p>
            <w:pPr>
              <w:spacing w:line="256" w:lineRule="auto"/>
              <w:rPr>
                <w:rFonts w:ascii="Arial"/>
                <w:sz w:val="21"/>
              </w:rPr>
            </w:pPr>
          </w:p>
          <w:p>
            <w:pPr>
              <w:spacing w:line="256" w:lineRule="auto"/>
              <w:rPr>
                <w:rFonts w:ascii="Arial"/>
                <w:sz w:val="21"/>
              </w:rPr>
            </w:pPr>
          </w:p>
          <w:p>
            <w:pPr>
              <w:spacing w:before="55" w:line="231" w:lineRule="auto"/>
              <w:ind w:left="466"/>
              <w:rPr>
                <w:rFonts w:ascii="宋体" w:hAnsi="宋体" w:eastAsia="宋体" w:cs="宋体"/>
                <w:sz w:val="17"/>
                <w:szCs w:val="17"/>
              </w:rPr>
            </w:pPr>
            <w:r>
              <w:rPr>
                <w:rFonts w:ascii="宋体" w:hAnsi="宋体" w:eastAsia="宋体" w:cs="宋体"/>
                <w:spacing w:val="-10"/>
                <w:sz w:val="17"/>
                <w:szCs w:val="17"/>
              </w:rPr>
              <w:t>开</w:t>
            </w:r>
            <w:r>
              <w:rPr>
                <w:rFonts w:ascii="宋体" w:hAnsi="宋体" w:eastAsia="宋体" w:cs="宋体"/>
                <w:spacing w:val="-6"/>
                <w:sz w:val="17"/>
                <w:szCs w:val="17"/>
              </w:rPr>
              <w:t>挖</w:t>
            </w:r>
            <w:r>
              <w:rPr>
                <w:rFonts w:ascii="宋体" w:hAnsi="宋体" w:eastAsia="宋体" w:cs="宋体"/>
                <w:spacing w:val="-5"/>
                <w:sz w:val="17"/>
                <w:szCs w:val="17"/>
              </w:rPr>
              <w:t xml:space="preserve"> (万 </w:t>
            </w:r>
            <w:r>
              <w:rPr>
                <w:rFonts w:ascii="Times New Roman" w:hAnsi="Times New Roman" w:eastAsia="Times New Roman" w:cs="Times New Roman"/>
                <w:spacing w:val="-5"/>
                <w:sz w:val="17"/>
                <w:szCs w:val="17"/>
              </w:rPr>
              <w:t>m</w:t>
            </w:r>
            <w:r>
              <w:rPr>
                <w:rFonts w:ascii="宋体" w:hAnsi="宋体" w:eastAsia="宋体" w:cs="宋体"/>
                <w:spacing w:val="-5"/>
                <w:sz w:val="17"/>
                <w:szCs w:val="17"/>
              </w:rPr>
              <w:t>³ )</w:t>
            </w:r>
          </w:p>
        </w:tc>
        <w:tc>
          <w:tcPr>
            <w:tcW w:w="1049" w:type="dxa"/>
            <w:vAlign w:val="top"/>
          </w:tcPr>
          <w:p>
            <w:pPr>
              <w:spacing w:before="88" w:line="232" w:lineRule="auto"/>
              <w:ind w:left="351"/>
              <w:rPr>
                <w:rFonts w:ascii="宋体" w:hAnsi="宋体" w:eastAsia="宋体" w:cs="宋体"/>
                <w:sz w:val="17"/>
                <w:szCs w:val="17"/>
              </w:rPr>
            </w:pPr>
            <w:r>
              <w:rPr>
                <w:rFonts w:ascii="宋体" w:hAnsi="宋体" w:eastAsia="宋体" w:cs="宋体"/>
                <w:spacing w:val="4"/>
                <w:sz w:val="17"/>
                <w:szCs w:val="17"/>
              </w:rPr>
              <w:t>小计</w:t>
            </w:r>
          </w:p>
        </w:tc>
        <w:tc>
          <w:tcPr>
            <w:tcW w:w="1458" w:type="dxa"/>
            <w:vAlign w:val="top"/>
          </w:tcPr>
          <w:p>
            <w:pPr>
              <w:spacing w:before="119" w:line="197" w:lineRule="auto"/>
              <w:ind w:left="573"/>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0</w:t>
            </w:r>
            <w:r>
              <w:rPr>
                <w:rFonts w:ascii="Times New Roman" w:hAnsi="Times New Roman" w:eastAsia="Times New Roman" w:cs="Times New Roman"/>
                <w:spacing w:val="-6"/>
                <w:sz w:val="17"/>
                <w:szCs w:val="17"/>
              </w:rPr>
              <w:t>. 13</w:t>
            </w:r>
          </w:p>
        </w:tc>
        <w:tc>
          <w:tcPr>
            <w:tcW w:w="1211" w:type="dxa"/>
            <w:vAlign w:val="top"/>
          </w:tcPr>
          <w:p>
            <w:pPr>
              <w:spacing w:before="119" w:line="197" w:lineRule="auto"/>
              <w:ind w:left="4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0.0</w:t>
            </w:r>
            <w:r>
              <w:rPr>
                <w:rFonts w:ascii="Times New Roman" w:hAnsi="Times New Roman" w:eastAsia="Times New Roman" w:cs="Times New Roman"/>
                <w:spacing w:val="2"/>
                <w:sz w:val="17"/>
                <w:szCs w:val="17"/>
              </w:rPr>
              <w:t>2</w:t>
            </w:r>
          </w:p>
        </w:tc>
        <w:tc>
          <w:tcPr>
            <w:tcW w:w="1557" w:type="dxa"/>
            <w:vAlign w:val="top"/>
          </w:tcPr>
          <w:p>
            <w:pPr>
              <w:spacing w:before="119" w:line="197" w:lineRule="auto"/>
              <w:ind w:left="628"/>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0.9</w:t>
            </w:r>
            <w:r>
              <w:rPr>
                <w:rFonts w:ascii="Times New Roman" w:hAnsi="Times New Roman" w:eastAsia="Times New Roman" w:cs="Times New Roman"/>
                <w:spacing w:val="2"/>
                <w:sz w:val="17"/>
                <w:szCs w:val="17"/>
              </w:rPr>
              <w:t>5</w:t>
            </w:r>
          </w:p>
        </w:tc>
        <w:tc>
          <w:tcPr>
            <w:tcW w:w="925" w:type="dxa"/>
            <w:vAlign w:val="top"/>
          </w:tcPr>
          <w:p>
            <w:pPr>
              <w:spacing w:before="119" w:line="197" w:lineRule="auto"/>
              <w:ind w:left="329"/>
              <w:rPr>
                <w:rFonts w:ascii="Times New Roman" w:hAnsi="Times New Roman" w:eastAsia="Times New Roman" w:cs="Times New Roman"/>
                <w:sz w:val="17"/>
                <w:szCs w:val="17"/>
              </w:rPr>
            </w:pPr>
            <w:r>
              <w:rPr>
                <w:rFonts w:ascii="Times New Roman" w:hAnsi="Times New Roman" w:eastAsia="Times New Roman" w:cs="Times New Roman"/>
                <w:spacing w:val="-10"/>
                <w:sz w:val="17"/>
                <w:szCs w:val="17"/>
              </w:rPr>
              <w:t>1</w:t>
            </w:r>
            <w:r>
              <w:rPr>
                <w:rFonts w:ascii="Times New Roman" w:hAnsi="Times New Roman" w:eastAsia="Times New Roman" w:cs="Times New Roman"/>
                <w:spacing w:val="-9"/>
                <w:sz w:val="17"/>
                <w:szCs w:val="17"/>
              </w:rPr>
              <w:t>. 10</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1" w:type="dxa"/>
            <w:vMerge w:val="continue"/>
            <w:tcBorders>
              <w:top w:val="nil"/>
              <w:left w:val="single" w:color="000000" w:sz="6" w:space="0"/>
              <w:bottom w:val="nil"/>
            </w:tcBorders>
            <w:vAlign w:val="top"/>
          </w:tcPr>
          <w:p>
            <w:pPr>
              <w:rPr>
                <w:rFonts w:ascii="Arial"/>
                <w:sz w:val="21"/>
              </w:rPr>
            </w:pPr>
          </w:p>
        </w:tc>
        <w:tc>
          <w:tcPr>
            <w:tcW w:w="1955" w:type="dxa"/>
            <w:gridSpan w:val="2"/>
            <w:vMerge w:val="continue"/>
            <w:tcBorders>
              <w:top w:val="nil"/>
              <w:bottom w:val="nil"/>
            </w:tcBorders>
            <w:vAlign w:val="top"/>
          </w:tcPr>
          <w:p>
            <w:pPr>
              <w:rPr>
                <w:rFonts w:ascii="Arial"/>
                <w:sz w:val="21"/>
              </w:rPr>
            </w:pPr>
          </w:p>
        </w:tc>
        <w:tc>
          <w:tcPr>
            <w:tcW w:w="1049" w:type="dxa"/>
            <w:vAlign w:val="top"/>
          </w:tcPr>
          <w:p>
            <w:pPr>
              <w:spacing w:before="89" w:line="232" w:lineRule="auto"/>
              <w:ind w:left="347"/>
              <w:rPr>
                <w:rFonts w:ascii="宋体" w:hAnsi="宋体" w:eastAsia="宋体" w:cs="宋体"/>
                <w:sz w:val="17"/>
                <w:szCs w:val="17"/>
              </w:rPr>
            </w:pPr>
            <w:r>
              <w:rPr>
                <w:rFonts w:ascii="宋体" w:hAnsi="宋体" w:eastAsia="宋体" w:cs="宋体"/>
                <w:spacing w:val="6"/>
                <w:sz w:val="17"/>
                <w:szCs w:val="17"/>
              </w:rPr>
              <w:t>土方</w:t>
            </w:r>
          </w:p>
        </w:tc>
        <w:tc>
          <w:tcPr>
            <w:tcW w:w="1458" w:type="dxa"/>
            <w:vAlign w:val="top"/>
          </w:tcPr>
          <w:p>
            <w:pPr>
              <w:spacing w:before="118" w:line="197" w:lineRule="auto"/>
              <w:ind w:left="57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0.0</w:t>
            </w:r>
            <w:r>
              <w:rPr>
                <w:rFonts w:ascii="Times New Roman" w:hAnsi="Times New Roman" w:eastAsia="Times New Roman" w:cs="Times New Roman"/>
                <w:spacing w:val="2"/>
                <w:sz w:val="17"/>
                <w:szCs w:val="17"/>
              </w:rPr>
              <w:t>2</w:t>
            </w:r>
          </w:p>
        </w:tc>
        <w:tc>
          <w:tcPr>
            <w:tcW w:w="1211" w:type="dxa"/>
            <w:vAlign w:val="top"/>
          </w:tcPr>
          <w:p>
            <w:pPr>
              <w:spacing w:before="118" w:line="197" w:lineRule="auto"/>
              <w:ind w:left="4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0.0</w:t>
            </w:r>
            <w:r>
              <w:rPr>
                <w:rFonts w:ascii="Times New Roman" w:hAnsi="Times New Roman" w:eastAsia="Times New Roman" w:cs="Times New Roman"/>
                <w:spacing w:val="2"/>
                <w:sz w:val="17"/>
                <w:szCs w:val="17"/>
              </w:rPr>
              <w:t>1</w:t>
            </w:r>
          </w:p>
        </w:tc>
        <w:tc>
          <w:tcPr>
            <w:tcW w:w="1557" w:type="dxa"/>
            <w:vAlign w:val="top"/>
          </w:tcPr>
          <w:p>
            <w:pPr>
              <w:spacing w:before="118" w:line="197" w:lineRule="auto"/>
              <w:ind w:left="628"/>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0.2</w:t>
            </w:r>
            <w:r>
              <w:rPr>
                <w:rFonts w:ascii="Times New Roman" w:hAnsi="Times New Roman" w:eastAsia="Times New Roman" w:cs="Times New Roman"/>
                <w:spacing w:val="2"/>
                <w:sz w:val="17"/>
                <w:szCs w:val="17"/>
              </w:rPr>
              <w:t>0</w:t>
            </w:r>
          </w:p>
        </w:tc>
        <w:tc>
          <w:tcPr>
            <w:tcW w:w="925" w:type="dxa"/>
            <w:vAlign w:val="top"/>
          </w:tcPr>
          <w:p>
            <w:pPr>
              <w:spacing w:before="118" w:line="197" w:lineRule="auto"/>
              <w:ind w:left="31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0.2</w:t>
            </w:r>
            <w:r>
              <w:rPr>
                <w:rFonts w:ascii="Times New Roman" w:hAnsi="Times New Roman" w:eastAsia="Times New Roman" w:cs="Times New Roman"/>
                <w:spacing w:val="2"/>
                <w:sz w:val="17"/>
                <w:szCs w:val="17"/>
              </w:rPr>
              <w:t>3</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1" w:type="dxa"/>
            <w:vMerge w:val="continue"/>
            <w:tcBorders>
              <w:top w:val="nil"/>
              <w:left w:val="single" w:color="000000" w:sz="6" w:space="0"/>
              <w:bottom w:val="nil"/>
            </w:tcBorders>
            <w:vAlign w:val="top"/>
          </w:tcPr>
          <w:p>
            <w:pPr>
              <w:rPr>
                <w:rFonts w:ascii="Arial"/>
                <w:sz w:val="21"/>
              </w:rPr>
            </w:pPr>
          </w:p>
        </w:tc>
        <w:tc>
          <w:tcPr>
            <w:tcW w:w="1955" w:type="dxa"/>
            <w:gridSpan w:val="2"/>
            <w:vMerge w:val="continue"/>
            <w:tcBorders>
              <w:top w:val="nil"/>
              <w:bottom w:val="nil"/>
            </w:tcBorders>
            <w:vAlign w:val="top"/>
          </w:tcPr>
          <w:p>
            <w:pPr>
              <w:rPr>
                <w:rFonts w:ascii="Arial"/>
                <w:sz w:val="21"/>
              </w:rPr>
            </w:pPr>
          </w:p>
        </w:tc>
        <w:tc>
          <w:tcPr>
            <w:tcW w:w="1049" w:type="dxa"/>
            <w:vAlign w:val="top"/>
          </w:tcPr>
          <w:p>
            <w:pPr>
              <w:spacing w:before="87" w:line="232" w:lineRule="auto"/>
              <w:ind w:left="347"/>
              <w:rPr>
                <w:rFonts w:ascii="宋体" w:hAnsi="宋体" w:eastAsia="宋体" w:cs="宋体"/>
                <w:sz w:val="17"/>
                <w:szCs w:val="17"/>
              </w:rPr>
            </w:pPr>
            <w:r>
              <w:rPr>
                <w:rFonts w:ascii="宋体" w:hAnsi="宋体" w:eastAsia="宋体" w:cs="宋体"/>
                <w:spacing w:val="6"/>
                <w:sz w:val="17"/>
                <w:szCs w:val="17"/>
              </w:rPr>
              <w:t>石方</w:t>
            </w:r>
          </w:p>
        </w:tc>
        <w:tc>
          <w:tcPr>
            <w:tcW w:w="1458" w:type="dxa"/>
            <w:vAlign w:val="top"/>
          </w:tcPr>
          <w:p>
            <w:pPr>
              <w:spacing w:before="119" w:line="197" w:lineRule="auto"/>
              <w:ind w:left="57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0.0</w:t>
            </w:r>
            <w:r>
              <w:rPr>
                <w:rFonts w:ascii="Times New Roman" w:hAnsi="Times New Roman" w:eastAsia="Times New Roman" w:cs="Times New Roman"/>
                <w:spacing w:val="2"/>
                <w:sz w:val="17"/>
                <w:szCs w:val="17"/>
              </w:rPr>
              <w:t>2</w:t>
            </w:r>
          </w:p>
        </w:tc>
        <w:tc>
          <w:tcPr>
            <w:tcW w:w="1211" w:type="dxa"/>
            <w:vAlign w:val="top"/>
          </w:tcPr>
          <w:p>
            <w:pPr>
              <w:spacing w:before="119" w:line="197" w:lineRule="auto"/>
              <w:ind w:left="4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0.0</w:t>
            </w:r>
            <w:r>
              <w:rPr>
                <w:rFonts w:ascii="Times New Roman" w:hAnsi="Times New Roman" w:eastAsia="Times New Roman" w:cs="Times New Roman"/>
                <w:spacing w:val="2"/>
                <w:sz w:val="17"/>
                <w:szCs w:val="17"/>
              </w:rPr>
              <w:t>1</w:t>
            </w:r>
          </w:p>
        </w:tc>
        <w:tc>
          <w:tcPr>
            <w:tcW w:w="1557" w:type="dxa"/>
            <w:vAlign w:val="top"/>
          </w:tcPr>
          <w:p>
            <w:pPr>
              <w:spacing w:before="119" w:line="197" w:lineRule="auto"/>
              <w:ind w:left="628"/>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0.7</w:t>
            </w:r>
            <w:r>
              <w:rPr>
                <w:rFonts w:ascii="Times New Roman" w:hAnsi="Times New Roman" w:eastAsia="Times New Roman" w:cs="Times New Roman"/>
                <w:spacing w:val="2"/>
                <w:sz w:val="17"/>
                <w:szCs w:val="17"/>
              </w:rPr>
              <w:t>5</w:t>
            </w:r>
          </w:p>
        </w:tc>
        <w:tc>
          <w:tcPr>
            <w:tcW w:w="925" w:type="dxa"/>
            <w:vAlign w:val="top"/>
          </w:tcPr>
          <w:p>
            <w:pPr>
              <w:spacing w:before="119" w:line="197" w:lineRule="auto"/>
              <w:ind w:left="31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0.7</w:t>
            </w:r>
            <w:r>
              <w:rPr>
                <w:rFonts w:ascii="Times New Roman" w:hAnsi="Times New Roman" w:eastAsia="Times New Roman" w:cs="Times New Roman"/>
                <w:spacing w:val="2"/>
                <w:sz w:val="17"/>
                <w:szCs w:val="17"/>
              </w:rPr>
              <w:t>8</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1" w:type="dxa"/>
            <w:vMerge w:val="continue"/>
            <w:tcBorders>
              <w:top w:val="nil"/>
              <w:left w:val="single" w:color="000000" w:sz="6" w:space="0"/>
              <w:bottom w:val="nil"/>
            </w:tcBorders>
            <w:vAlign w:val="top"/>
          </w:tcPr>
          <w:p>
            <w:pPr>
              <w:rPr>
                <w:rFonts w:ascii="Arial"/>
                <w:sz w:val="21"/>
              </w:rPr>
            </w:pPr>
          </w:p>
        </w:tc>
        <w:tc>
          <w:tcPr>
            <w:tcW w:w="1955" w:type="dxa"/>
            <w:gridSpan w:val="2"/>
            <w:vMerge w:val="continue"/>
            <w:tcBorders>
              <w:top w:val="nil"/>
            </w:tcBorders>
            <w:vAlign w:val="top"/>
          </w:tcPr>
          <w:p>
            <w:pPr>
              <w:rPr>
                <w:rFonts w:ascii="Arial"/>
                <w:sz w:val="21"/>
              </w:rPr>
            </w:pPr>
          </w:p>
        </w:tc>
        <w:tc>
          <w:tcPr>
            <w:tcW w:w="1049" w:type="dxa"/>
            <w:vAlign w:val="top"/>
          </w:tcPr>
          <w:p>
            <w:pPr>
              <w:spacing w:before="88" w:line="232" w:lineRule="auto"/>
              <w:ind w:left="345"/>
              <w:rPr>
                <w:rFonts w:ascii="宋体" w:hAnsi="宋体" w:eastAsia="宋体" w:cs="宋体"/>
                <w:sz w:val="17"/>
                <w:szCs w:val="17"/>
              </w:rPr>
            </w:pPr>
            <w:r>
              <w:rPr>
                <w:rFonts w:ascii="宋体" w:hAnsi="宋体" w:eastAsia="宋体" w:cs="宋体"/>
                <w:spacing w:val="7"/>
                <w:sz w:val="17"/>
                <w:szCs w:val="17"/>
              </w:rPr>
              <w:t>表</w:t>
            </w:r>
            <w:r>
              <w:rPr>
                <w:rFonts w:ascii="宋体" w:hAnsi="宋体" w:eastAsia="宋体" w:cs="宋体"/>
                <w:spacing w:val="6"/>
                <w:sz w:val="17"/>
                <w:szCs w:val="17"/>
              </w:rPr>
              <w:t>土</w:t>
            </w:r>
          </w:p>
        </w:tc>
        <w:tc>
          <w:tcPr>
            <w:tcW w:w="1458" w:type="dxa"/>
            <w:vAlign w:val="top"/>
          </w:tcPr>
          <w:p>
            <w:pPr>
              <w:spacing w:before="120" w:line="197" w:lineRule="auto"/>
              <w:ind w:left="57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0.0</w:t>
            </w:r>
            <w:r>
              <w:rPr>
                <w:rFonts w:ascii="Times New Roman" w:hAnsi="Times New Roman" w:eastAsia="Times New Roman" w:cs="Times New Roman"/>
                <w:spacing w:val="2"/>
                <w:sz w:val="17"/>
                <w:szCs w:val="17"/>
              </w:rPr>
              <w:t>9</w:t>
            </w:r>
          </w:p>
        </w:tc>
        <w:tc>
          <w:tcPr>
            <w:tcW w:w="1211" w:type="dxa"/>
            <w:vAlign w:val="top"/>
          </w:tcPr>
          <w:p>
            <w:pPr>
              <w:spacing w:before="120" w:line="197" w:lineRule="auto"/>
              <w:ind w:left="4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0.0</w:t>
            </w:r>
            <w:r>
              <w:rPr>
                <w:rFonts w:ascii="Times New Roman" w:hAnsi="Times New Roman" w:eastAsia="Times New Roman" w:cs="Times New Roman"/>
                <w:spacing w:val="2"/>
                <w:sz w:val="17"/>
                <w:szCs w:val="17"/>
              </w:rPr>
              <w:t>0</w:t>
            </w:r>
          </w:p>
        </w:tc>
        <w:tc>
          <w:tcPr>
            <w:tcW w:w="1557" w:type="dxa"/>
            <w:vAlign w:val="top"/>
          </w:tcPr>
          <w:p>
            <w:pPr>
              <w:spacing w:before="120" w:line="197" w:lineRule="auto"/>
              <w:ind w:left="628"/>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0.0</w:t>
            </w:r>
            <w:r>
              <w:rPr>
                <w:rFonts w:ascii="Times New Roman" w:hAnsi="Times New Roman" w:eastAsia="Times New Roman" w:cs="Times New Roman"/>
                <w:spacing w:val="2"/>
                <w:sz w:val="17"/>
                <w:szCs w:val="17"/>
              </w:rPr>
              <w:t>0</w:t>
            </w:r>
          </w:p>
        </w:tc>
        <w:tc>
          <w:tcPr>
            <w:tcW w:w="925" w:type="dxa"/>
            <w:vAlign w:val="top"/>
          </w:tcPr>
          <w:p>
            <w:pPr>
              <w:spacing w:before="120" w:line="197" w:lineRule="auto"/>
              <w:ind w:left="31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0.0</w:t>
            </w:r>
            <w:r>
              <w:rPr>
                <w:rFonts w:ascii="Times New Roman" w:hAnsi="Times New Roman" w:eastAsia="Times New Roman" w:cs="Times New Roman"/>
                <w:spacing w:val="2"/>
                <w:sz w:val="17"/>
                <w:szCs w:val="17"/>
              </w:rPr>
              <w:t>9</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1" w:type="dxa"/>
            <w:vMerge w:val="continue"/>
            <w:tcBorders>
              <w:top w:val="nil"/>
              <w:left w:val="single" w:color="000000" w:sz="6" w:space="0"/>
              <w:bottom w:val="nil"/>
            </w:tcBorders>
            <w:vAlign w:val="top"/>
          </w:tcPr>
          <w:p>
            <w:pPr>
              <w:rPr>
                <w:rFonts w:ascii="Arial"/>
                <w:sz w:val="21"/>
              </w:rPr>
            </w:pPr>
          </w:p>
        </w:tc>
        <w:tc>
          <w:tcPr>
            <w:tcW w:w="1955" w:type="dxa"/>
            <w:gridSpan w:val="2"/>
            <w:vMerge w:val="restart"/>
            <w:tcBorders>
              <w:bottom w:val="nil"/>
            </w:tcBorders>
            <w:vAlign w:val="top"/>
          </w:tcPr>
          <w:p>
            <w:pPr>
              <w:spacing w:line="256" w:lineRule="auto"/>
              <w:rPr>
                <w:rFonts w:ascii="Arial"/>
                <w:sz w:val="21"/>
              </w:rPr>
            </w:pPr>
          </w:p>
          <w:p>
            <w:pPr>
              <w:spacing w:line="257" w:lineRule="auto"/>
              <w:rPr>
                <w:rFonts w:ascii="Arial"/>
                <w:sz w:val="21"/>
              </w:rPr>
            </w:pPr>
          </w:p>
          <w:p>
            <w:pPr>
              <w:spacing w:before="55" w:line="231" w:lineRule="auto"/>
              <w:ind w:left="483"/>
              <w:rPr>
                <w:rFonts w:ascii="宋体" w:hAnsi="宋体" w:eastAsia="宋体" w:cs="宋体"/>
                <w:sz w:val="17"/>
                <w:szCs w:val="17"/>
              </w:rPr>
            </w:pPr>
            <w:r>
              <w:rPr>
                <w:rFonts w:ascii="宋体" w:hAnsi="宋体" w:eastAsia="宋体" w:cs="宋体"/>
                <w:spacing w:val="-10"/>
                <w:sz w:val="17"/>
                <w:szCs w:val="17"/>
              </w:rPr>
              <w:t>回</w:t>
            </w:r>
            <w:r>
              <w:rPr>
                <w:rFonts w:ascii="宋体" w:hAnsi="宋体" w:eastAsia="宋体" w:cs="宋体"/>
                <w:spacing w:val="-7"/>
                <w:sz w:val="17"/>
                <w:szCs w:val="17"/>
              </w:rPr>
              <w:t xml:space="preserve">填 (万 </w:t>
            </w:r>
            <w:r>
              <w:rPr>
                <w:rFonts w:ascii="Times New Roman" w:hAnsi="Times New Roman" w:eastAsia="Times New Roman" w:cs="Times New Roman"/>
                <w:spacing w:val="-7"/>
                <w:sz w:val="17"/>
                <w:szCs w:val="17"/>
              </w:rPr>
              <w:t>m</w:t>
            </w:r>
            <w:r>
              <w:rPr>
                <w:rFonts w:ascii="宋体" w:hAnsi="宋体" w:eastAsia="宋体" w:cs="宋体"/>
                <w:spacing w:val="-7"/>
                <w:sz w:val="17"/>
                <w:szCs w:val="17"/>
              </w:rPr>
              <w:t>³ )</w:t>
            </w:r>
          </w:p>
        </w:tc>
        <w:tc>
          <w:tcPr>
            <w:tcW w:w="1049" w:type="dxa"/>
            <w:vAlign w:val="top"/>
          </w:tcPr>
          <w:p>
            <w:pPr>
              <w:spacing w:before="89" w:line="232" w:lineRule="auto"/>
              <w:ind w:left="351"/>
              <w:rPr>
                <w:rFonts w:ascii="宋体" w:hAnsi="宋体" w:eastAsia="宋体" w:cs="宋体"/>
                <w:sz w:val="17"/>
                <w:szCs w:val="17"/>
              </w:rPr>
            </w:pPr>
            <w:r>
              <w:rPr>
                <w:rFonts w:ascii="宋体" w:hAnsi="宋体" w:eastAsia="宋体" w:cs="宋体"/>
                <w:spacing w:val="4"/>
                <w:sz w:val="17"/>
                <w:szCs w:val="17"/>
              </w:rPr>
              <w:t>小计</w:t>
            </w:r>
          </w:p>
        </w:tc>
        <w:tc>
          <w:tcPr>
            <w:tcW w:w="1458" w:type="dxa"/>
            <w:vAlign w:val="top"/>
          </w:tcPr>
          <w:p>
            <w:pPr>
              <w:spacing w:before="120" w:line="197" w:lineRule="auto"/>
              <w:ind w:left="57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0.8</w:t>
            </w:r>
            <w:r>
              <w:rPr>
                <w:rFonts w:ascii="Times New Roman" w:hAnsi="Times New Roman" w:eastAsia="Times New Roman" w:cs="Times New Roman"/>
                <w:spacing w:val="2"/>
                <w:sz w:val="17"/>
                <w:szCs w:val="17"/>
              </w:rPr>
              <w:t>0</w:t>
            </w:r>
          </w:p>
        </w:tc>
        <w:tc>
          <w:tcPr>
            <w:tcW w:w="1211" w:type="dxa"/>
            <w:vAlign w:val="top"/>
          </w:tcPr>
          <w:p>
            <w:pPr>
              <w:spacing w:before="120" w:line="197" w:lineRule="auto"/>
              <w:ind w:left="4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0.0</w:t>
            </w:r>
            <w:r>
              <w:rPr>
                <w:rFonts w:ascii="Times New Roman" w:hAnsi="Times New Roman" w:eastAsia="Times New Roman" w:cs="Times New Roman"/>
                <w:spacing w:val="2"/>
                <w:sz w:val="17"/>
                <w:szCs w:val="17"/>
              </w:rPr>
              <w:t>0</w:t>
            </w:r>
          </w:p>
        </w:tc>
        <w:tc>
          <w:tcPr>
            <w:tcW w:w="1557" w:type="dxa"/>
            <w:vAlign w:val="top"/>
          </w:tcPr>
          <w:p>
            <w:pPr>
              <w:spacing w:before="120" w:line="197" w:lineRule="auto"/>
              <w:ind w:left="628"/>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0.3</w:t>
            </w:r>
            <w:r>
              <w:rPr>
                <w:rFonts w:ascii="Times New Roman" w:hAnsi="Times New Roman" w:eastAsia="Times New Roman" w:cs="Times New Roman"/>
                <w:spacing w:val="2"/>
                <w:sz w:val="17"/>
                <w:szCs w:val="17"/>
              </w:rPr>
              <w:t>0</w:t>
            </w:r>
          </w:p>
        </w:tc>
        <w:tc>
          <w:tcPr>
            <w:tcW w:w="925" w:type="dxa"/>
            <w:vAlign w:val="top"/>
          </w:tcPr>
          <w:p>
            <w:pPr>
              <w:spacing w:before="120" w:line="197" w:lineRule="auto"/>
              <w:ind w:left="329"/>
              <w:rPr>
                <w:rFonts w:ascii="Times New Roman" w:hAnsi="Times New Roman" w:eastAsia="Times New Roman" w:cs="Times New Roman"/>
                <w:sz w:val="17"/>
                <w:szCs w:val="17"/>
              </w:rPr>
            </w:pPr>
            <w:r>
              <w:rPr>
                <w:rFonts w:ascii="Times New Roman" w:hAnsi="Times New Roman" w:eastAsia="Times New Roman" w:cs="Times New Roman"/>
                <w:spacing w:val="-10"/>
                <w:sz w:val="17"/>
                <w:szCs w:val="17"/>
              </w:rPr>
              <w:t>1</w:t>
            </w:r>
            <w:r>
              <w:rPr>
                <w:rFonts w:ascii="Times New Roman" w:hAnsi="Times New Roman" w:eastAsia="Times New Roman" w:cs="Times New Roman"/>
                <w:spacing w:val="-9"/>
                <w:sz w:val="17"/>
                <w:szCs w:val="17"/>
              </w:rPr>
              <w:t>. 10</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1" w:type="dxa"/>
            <w:vMerge w:val="continue"/>
            <w:tcBorders>
              <w:top w:val="nil"/>
              <w:left w:val="single" w:color="000000" w:sz="6" w:space="0"/>
              <w:bottom w:val="nil"/>
            </w:tcBorders>
            <w:vAlign w:val="top"/>
          </w:tcPr>
          <w:p>
            <w:pPr>
              <w:rPr>
                <w:rFonts w:ascii="Arial"/>
                <w:sz w:val="21"/>
              </w:rPr>
            </w:pPr>
          </w:p>
        </w:tc>
        <w:tc>
          <w:tcPr>
            <w:tcW w:w="1955" w:type="dxa"/>
            <w:gridSpan w:val="2"/>
            <w:vMerge w:val="continue"/>
            <w:tcBorders>
              <w:top w:val="nil"/>
              <w:bottom w:val="nil"/>
            </w:tcBorders>
            <w:vAlign w:val="top"/>
          </w:tcPr>
          <w:p>
            <w:pPr>
              <w:rPr>
                <w:rFonts w:ascii="Arial"/>
                <w:sz w:val="21"/>
              </w:rPr>
            </w:pPr>
          </w:p>
        </w:tc>
        <w:tc>
          <w:tcPr>
            <w:tcW w:w="1049" w:type="dxa"/>
            <w:vAlign w:val="top"/>
          </w:tcPr>
          <w:p>
            <w:pPr>
              <w:spacing w:before="89" w:line="232" w:lineRule="auto"/>
              <w:ind w:left="347"/>
              <w:rPr>
                <w:rFonts w:ascii="宋体" w:hAnsi="宋体" w:eastAsia="宋体" w:cs="宋体"/>
                <w:sz w:val="17"/>
                <w:szCs w:val="17"/>
              </w:rPr>
            </w:pPr>
            <w:r>
              <w:rPr>
                <w:rFonts w:ascii="宋体" w:hAnsi="宋体" w:eastAsia="宋体" w:cs="宋体"/>
                <w:spacing w:val="6"/>
                <w:sz w:val="17"/>
                <w:szCs w:val="17"/>
              </w:rPr>
              <w:t>土方</w:t>
            </w:r>
          </w:p>
        </w:tc>
        <w:tc>
          <w:tcPr>
            <w:tcW w:w="1458" w:type="dxa"/>
            <w:vAlign w:val="top"/>
          </w:tcPr>
          <w:p>
            <w:pPr>
              <w:spacing w:before="118" w:line="197" w:lineRule="auto"/>
              <w:ind w:left="57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0.0</w:t>
            </w:r>
            <w:r>
              <w:rPr>
                <w:rFonts w:ascii="Times New Roman" w:hAnsi="Times New Roman" w:eastAsia="Times New Roman" w:cs="Times New Roman"/>
                <w:spacing w:val="2"/>
                <w:sz w:val="17"/>
                <w:szCs w:val="17"/>
              </w:rPr>
              <w:t>3</w:t>
            </w:r>
          </w:p>
        </w:tc>
        <w:tc>
          <w:tcPr>
            <w:tcW w:w="1211" w:type="dxa"/>
            <w:vAlign w:val="top"/>
          </w:tcPr>
          <w:p>
            <w:pPr>
              <w:spacing w:before="118" w:line="197" w:lineRule="auto"/>
              <w:ind w:left="4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0.0</w:t>
            </w:r>
            <w:r>
              <w:rPr>
                <w:rFonts w:ascii="Times New Roman" w:hAnsi="Times New Roman" w:eastAsia="Times New Roman" w:cs="Times New Roman"/>
                <w:spacing w:val="2"/>
                <w:sz w:val="17"/>
                <w:szCs w:val="17"/>
              </w:rPr>
              <w:t>0</w:t>
            </w:r>
          </w:p>
        </w:tc>
        <w:tc>
          <w:tcPr>
            <w:tcW w:w="1557" w:type="dxa"/>
            <w:vAlign w:val="top"/>
          </w:tcPr>
          <w:p>
            <w:pPr>
              <w:spacing w:before="118" w:line="197" w:lineRule="auto"/>
              <w:ind w:left="628"/>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0.2</w:t>
            </w:r>
            <w:r>
              <w:rPr>
                <w:rFonts w:ascii="Times New Roman" w:hAnsi="Times New Roman" w:eastAsia="Times New Roman" w:cs="Times New Roman"/>
                <w:spacing w:val="2"/>
                <w:sz w:val="17"/>
                <w:szCs w:val="17"/>
              </w:rPr>
              <w:t>0</w:t>
            </w:r>
          </w:p>
        </w:tc>
        <w:tc>
          <w:tcPr>
            <w:tcW w:w="925" w:type="dxa"/>
            <w:vAlign w:val="top"/>
          </w:tcPr>
          <w:p>
            <w:pPr>
              <w:spacing w:before="118" w:line="197" w:lineRule="auto"/>
              <w:ind w:left="31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0.2</w:t>
            </w:r>
            <w:r>
              <w:rPr>
                <w:rFonts w:ascii="Times New Roman" w:hAnsi="Times New Roman" w:eastAsia="Times New Roman" w:cs="Times New Roman"/>
                <w:spacing w:val="2"/>
                <w:sz w:val="17"/>
                <w:szCs w:val="17"/>
              </w:rPr>
              <w:t>3</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1" w:type="dxa"/>
            <w:vMerge w:val="continue"/>
            <w:tcBorders>
              <w:top w:val="nil"/>
              <w:left w:val="single" w:color="000000" w:sz="6" w:space="0"/>
              <w:bottom w:val="nil"/>
            </w:tcBorders>
            <w:vAlign w:val="top"/>
          </w:tcPr>
          <w:p>
            <w:pPr>
              <w:rPr>
                <w:rFonts w:ascii="Arial"/>
                <w:sz w:val="21"/>
              </w:rPr>
            </w:pPr>
          </w:p>
        </w:tc>
        <w:tc>
          <w:tcPr>
            <w:tcW w:w="1955" w:type="dxa"/>
            <w:gridSpan w:val="2"/>
            <w:vMerge w:val="continue"/>
            <w:tcBorders>
              <w:top w:val="nil"/>
              <w:bottom w:val="nil"/>
            </w:tcBorders>
            <w:vAlign w:val="top"/>
          </w:tcPr>
          <w:p>
            <w:pPr>
              <w:rPr>
                <w:rFonts w:ascii="Arial"/>
                <w:sz w:val="21"/>
              </w:rPr>
            </w:pPr>
          </w:p>
        </w:tc>
        <w:tc>
          <w:tcPr>
            <w:tcW w:w="1049" w:type="dxa"/>
            <w:vAlign w:val="top"/>
          </w:tcPr>
          <w:p>
            <w:pPr>
              <w:spacing w:before="87" w:line="232" w:lineRule="auto"/>
              <w:ind w:left="347"/>
              <w:rPr>
                <w:rFonts w:ascii="宋体" w:hAnsi="宋体" w:eastAsia="宋体" w:cs="宋体"/>
                <w:sz w:val="17"/>
                <w:szCs w:val="17"/>
              </w:rPr>
            </w:pPr>
            <w:r>
              <w:rPr>
                <w:rFonts w:ascii="宋体" w:hAnsi="宋体" w:eastAsia="宋体" w:cs="宋体"/>
                <w:spacing w:val="6"/>
                <w:sz w:val="17"/>
                <w:szCs w:val="17"/>
              </w:rPr>
              <w:t>石方</w:t>
            </w:r>
          </w:p>
        </w:tc>
        <w:tc>
          <w:tcPr>
            <w:tcW w:w="1458" w:type="dxa"/>
            <w:vAlign w:val="top"/>
          </w:tcPr>
          <w:p>
            <w:pPr>
              <w:spacing w:before="119" w:line="197" w:lineRule="auto"/>
              <w:ind w:left="57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0.6</w:t>
            </w:r>
            <w:r>
              <w:rPr>
                <w:rFonts w:ascii="Times New Roman" w:hAnsi="Times New Roman" w:eastAsia="Times New Roman" w:cs="Times New Roman"/>
                <w:spacing w:val="2"/>
                <w:sz w:val="17"/>
                <w:szCs w:val="17"/>
              </w:rPr>
              <w:t>8</w:t>
            </w:r>
          </w:p>
        </w:tc>
        <w:tc>
          <w:tcPr>
            <w:tcW w:w="1211" w:type="dxa"/>
            <w:vAlign w:val="top"/>
          </w:tcPr>
          <w:p>
            <w:pPr>
              <w:spacing w:before="119" w:line="197" w:lineRule="auto"/>
              <w:ind w:left="4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0.0</w:t>
            </w:r>
            <w:r>
              <w:rPr>
                <w:rFonts w:ascii="Times New Roman" w:hAnsi="Times New Roman" w:eastAsia="Times New Roman" w:cs="Times New Roman"/>
                <w:spacing w:val="2"/>
                <w:sz w:val="17"/>
                <w:szCs w:val="17"/>
              </w:rPr>
              <w:t>0</w:t>
            </w:r>
          </w:p>
        </w:tc>
        <w:tc>
          <w:tcPr>
            <w:tcW w:w="1557" w:type="dxa"/>
            <w:vAlign w:val="top"/>
          </w:tcPr>
          <w:p>
            <w:pPr>
              <w:spacing w:before="119" w:line="197" w:lineRule="auto"/>
              <w:ind w:left="628"/>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0</w:t>
            </w:r>
            <w:r>
              <w:rPr>
                <w:rFonts w:ascii="Times New Roman" w:hAnsi="Times New Roman" w:eastAsia="Times New Roman" w:cs="Times New Roman"/>
                <w:spacing w:val="-6"/>
                <w:sz w:val="17"/>
                <w:szCs w:val="17"/>
              </w:rPr>
              <w:t>. 10</w:t>
            </w:r>
          </w:p>
        </w:tc>
        <w:tc>
          <w:tcPr>
            <w:tcW w:w="925" w:type="dxa"/>
            <w:vAlign w:val="top"/>
          </w:tcPr>
          <w:p>
            <w:pPr>
              <w:spacing w:before="119" w:line="197" w:lineRule="auto"/>
              <w:ind w:left="31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0.7</w:t>
            </w:r>
            <w:r>
              <w:rPr>
                <w:rFonts w:ascii="Times New Roman" w:hAnsi="Times New Roman" w:eastAsia="Times New Roman" w:cs="Times New Roman"/>
                <w:spacing w:val="2"/>
                <w:sz w:val="17"/>
                <w:szCs w:val="17"/>
              </w:rPr>
              <w:t>8</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1" w:type="dxa"/>
            <w:vMerge w:val="continue"/>
            <w:tcBorders>
              <w:top w:val="nil"/>
              <w:left w:val="single" w:color="000000" w:sz="6" w:space="0"/>
              <w:bottom w:val="nil"/>
            </w:tcBorders>
            <w:vAlign w:val="top"/>
          </w:tcPr>
          <w:p>
            <w:pPr>
              <w:rPr>
                <w:rFonts w:ascii="Arial"/>
                <w:sz w:val="21"/>
              </w:rPr>
            </w:pPr>
          </w:p>
        </w:tc>
        <w:tc>
          <w:tcPr>
            <w:tcW w:w="1955" w:type="dxa"/>
            <w:gridSpan w:val="2"/>
            <w:vMerge w:val="continue"/>
            <w:tcBorders>
              <w:top w:val="nil"/>
            </w:tcBorders>
            <w:vAlign w:val="top"/>
          </w:tcPr>
          <w:p>
            <w:pPr>
              <w:rPr>
                <w:rFonts w:ascii="Arial"/>
                <w:sz w:val="21"/>
              </w:rPr>
            </w:pPr>
          </w:p>
        </w:tc>
        <w:tc>
          <w:tcPr>
            <w:tcW w:w="1049" w:type="dxa"/>
            <w:vAlign w:val="top"/>
          </w:tcPr>
          <w:p>
            <w:pPr>
              <w:spacing w:before="88" w:line="232" w:lineRule="auto"/>
              <w:ind w:left="345"/>
              <w:rPr>
                <w:rFonts w:ascii="宋体" w:hAnsi="宋体" w:eastAsia="宋体" w:cs="宋体"/>
                <w:sz w:val="17"/>
                <w:szCs w:val="17"/>
              </w:rPr>
            </w:pPr>
            <w:r>
              <w:rPr>
                <w:rFonts w:ascii="宋体" w:hAnsi="宋体" w:eastAsia="宋体" w:cs="宋体"/>
                <w:spacing w:val="7"/>
                <w:sz w:val="17"/>
                <w:szCs w:val="17"/>
              </w:rPr>
              <w:t>表</w:t>
            </w:r>
            <w:r>
              <w:rPr>
                <w:rFonts w:ascii="宋体" w:hAnsi="宋体" w:eastAsia="宋体" w:cs="宋体"/>
                <w:spacing w:val="6"/>
                <w:sz w:val="17"/>
                <w:szCs w:val="17"/>
              </w:rPr>
              <w:t>土</w:t>
            </w:r>
          </w:p>
        </w:tc>
        <w:tc>
          <w:tcPr>
            <w:tcW w:w="1458" w:type="dxa"/>
            <w:vAlign w:val="top"/>
          </w:tcPr>
          <w:p>
            <w:pPr>
              <w:spacing w:before="120" w:line="197" w:lineRule="auto"/>
              <w:ind w:left="57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0.0</w:t>
            </w:r>
            <w:r>
              <w:rPr>
                <w:rFonts w:ascii="Times New Roman" w:hAnsi="Times New Roman" w:eastAsia="Times New Roman" w:cs="Times New Roman"/>
                <w:spacing w:val="2"/>
                <w:sz w:val="17"/>
                <w:szCs w:val="17"/>
              </w:rPr>
              <w:t>9</w:t>
            </w:r>
          </w:p>
        </w:tc>
        <w:tc>
          <w:tcPr>
            <w:tcW w:w="1211" w:type="dxa"/>
            <w:vAlign w:val="top"/>
          </w:tcPr>
          <w:p>
            <w:pPr>
              <w:spacing w:before="120" w:line="197" w:lineRule="auto"/>
              <w:ind w:left="4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0.0</w:t>
            </w:r>
            <w:r>
              <w:rPr>
                <w:rFonts w:ascii="Times New Roman" w:hAnsi="Times New Roman" w:eastAsia="Times New Roman" w:cs="Times New Roman"/>
                <w:spacing w:val="2"/>
                <w:sz w:val="17"/>
                <w:szCs w:val="17"/>
              </w:rPr>
              <w:t>0</w:t>
            </w:r>
          </w:p>
        </w:tc>
        <w:tc>
          <w:tcPr>
            <w:tcW w:w="1557" w:type="dxa"/>
            <w:vAlign w:val="top"/>
          </w:tcPr>
          <w:p>
            <w:pPr>
              <w:spacing w:before="120" w:line="197" w:lineRule="auto"/>
              <w:ind w:left="628"/>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0.0</w:t>
            </w:r>
            <w:r>
              <w:rPr>
                <w:rFonts w:ascii="Times New Roman" w:hAnsi="Times New Roman" w:eastAsia="Times New Roman" w:cs="Times New Roman"/>
                <w:spacing w:val="2"/>
                <w:sz w:val="17"/>
                <w:szCs w:val="17"/>
              </w:rPr>
              <w:t>0</w:t>
            </w:r>
          </w:p>
        </w:tc>
        <w:tc>
          <w:tcPr>
            <w:tcW w:w="925" w:type="dxa"/>
            <w:vAlign w:val="top"/>
          </w:tcPr>
          <w:p>
            <w:pPr>
              <w:spacing w:before="120" w:line="197" w:lineRule="auto"/>
              <w:ind w:left="31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0.0</w:t>
            </w:r>
            <w:r>
              <w:rPr>
                <w:rFonts w:ascii="Times New Roman" w:hAnsi="Times New Roman" w:eastAsia="Times New Roman" w:cs="Times New Roman"/>
                <w:spacing w:val="2"/>
                <w:sz w:val="17"/>
                <w:szCs w:val="17"/>
              </w:rPr>
              <w:t>9</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1" w:type="dxa"/>
            <w:vMerge w:val="continue"/>
            <w:tcBorders>
              <w:top w:val="nil"/>
              <w:left w:val="single" w:color="000000" w:sz="6" w:space="0"/>
              <w:bottom w:val="nil"/>
            </w:tcBorders>
            <w:vAlign w:val="top"/>
          </w:tcPr>
          <w:p>
            <w:pPr>
              <w:rPr>
                <w:rFonts w:ascii="Arial"/>
                <w:sz w:val="21"/>
              </w:rPr>
            </w:pPr>
          </w:p>
        </w:tc>
        <w:tc>
          <w:tcPr>
            <w:tcW w:w="1955" w:type="dxa"/>
            <w:gridSpan w:val="2"/>
            <w:vMerge w:val="restart"/>
            <w:tcBorders>
              <w:bottom w:val="nil"/>
            </w:tcBorders>
            <w:vAlign w:val="top"/>
          </w:tcPr>
          <w:p>
            <w:pPr>
              <w:spacing w:line="335" w:lineRule="auto"/>
              <w:rPr>
                <w:rFonts w:ascii="Arial"/>
                <w:sz w:val="21"/>
              </w:rPr>
            </w:pPr>
          </w:p>
          <w:p>
            <w:pPr>
              <w:spacing w:line="335" w:lineRule="auto"/>
              <w:rPr>
                <w:rFonts w:ascii="Arial"/>
                <w:sz w:val="21"/>
              </w:rPr>
            </w:pPr>
          </w:p>
          <w:p>
            <w:pPr>
              <w:spacing w:before="55" w:line="231" w:lineRule="auto"/>
              <w:ind w:left="467"/>
              <w:rPr>
                <w:rFonts w:ascii="宋体" w:hAnsi="宋体" w:eastAsia="宋体" w:cs="宋体"/>
                <w:sz w:val="17"/>
                <w:szCs w:val="17"/>
              </w:rPr>
            </w:pPr>
            <w:r>
              <w:rPr>
                <w:rFonts w:ascii="宋体" w:hAnsi="宋体" w:eastAsia="宋体" w:cs="宋体"/>
                <w:spacing w:val="-10"/>
                <w:sz w:val="17"/>
                <w:szCs w:val="17"/>
              </w:rPr>
              <w:t>调</w:t>
            </w:r>
            <w:r>
              <w:rPr>
                <w:rFonts w:ascii="宋体" w:hAnsi="宋体" w:eastAsia="宋体" w:cs="宋体"/>
                <w:spacing w:val="-6"/>
                <w:sz w:val="17"/>
                <w:szCs w:val="17"/>
              </w:rPr>
              <w:t>入</w:t>
            </w:r>
            <w:r>
              <w:rPr>
                <w:rFonts w:ascii="宋体" w:hAnsi="宋体" w:eastAsia="宋体" w:cs="宋体"/>
                <w:spacing w:val="-5"/>
                <w:sz w:val="17"/>
                <w:szCs w:val="17"/>
              </w:rPr>
              <w:t xml:space="preserve"> (万 </w:t>
            </w:r>
            <w:r>
              <w:rPr>
                <w:rFonts w:ascii="Times New Roman" w:hAnsi="Times New Roman" w:eastAsia="Times New Roman" w:cs="Times New Roman"/>
                <w:spacing w:val="-5"/>
                <w:sz w:val="17"/>
                <w:szCs w:val="17"/>
              </w:rPr>
              <w:t>m</w:t>
            </w:r>
            <w:r>
              <w:rPr>
                <w:rFonts w:ascii="宋体" w:hAnsi="宋体" w:eastAsia="宋体" w:cs="宋体"/>
                <w:spacing w:val="-5"/>
                <w:sz w:val="17"/>
                <w:szCs w:val="17"/>
              </w:rPr>
              <w:t>³ )</w:t>
            </w:r>
          </w:p>
        </w:tc>
        <w:tc>
          <w:tcPr>
            <w:tcW w:w="1049" w:type="dxa"/>
            <w:vAlign w:val="top"/>
          </w:tcPr>
          <w:p>
            <w:pPr>
              <w:spacing w:before="89" w:line="232" w:lineRule="auto"/>
              <w:ind w:left="351"/>
              <w:rPr>
                <w:rFonts w:ascii="宋体" w:hAnsi="宋体" w:eastAsia="宋体" w:cs="宋体"/>
                <w:sz w:val="17"/>
                <w:szCs w:val="17"/>
              </w:rPr>
            </w:pPr>
            <w:r>
              <w:rPr>
                <w:rFonts w:ascii="宋体" w:hAnsi="宋体" w:eastAsia="宋体" w:cs="宋体"/>
                <w:spacing w:val="4"/>
                <w:sz w:val="17"/>
                <w:szCs w:val="17"/>
              </w:rPr>
              <w:t>小计</w:t>
            </w:r>
          </w:p>
        </w:tc>
        <w:tc>
          <w:tcPr>
            <w:tcW w:w="1458" w:type="dxa"/>
            <w:vAlign w:val="top"/>
          </w:tcPr>
          <w:p>
            <w:pPr>
              <w:spacing w:before="120" w:line="197" w:lineRule="auto"/>
              <w:ind w:left="57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0.6</w:t>
            </w:r>
            <w:r>
              <w:rPr>
                <w:rFonts w:ascii="Times New Roman" w:hAnsi="Times New Roman" w:eastAsia="Times New Roman" w:cs="Times New Roman"/>
                <w:spacing w:val="2"/>
                <w:sz w:val="17"/>
                <w:szCs w:val="17"/>
              </w:rPr>
              <w:t>7</w:t>
            </w:r>
          </w:p>
        </w:tc>
        <w:tc>
          <w:tcPr>
            <w:tcW w:w="1211" w:type="dxa"/>
            <w:vAlign w:val="top"/>
          </w:tcPr>
          <w:p>
            <w:pPr>
              <w:spacing w:before="120" w:line="197" w:lineRule="auto"/>
              <w:ind w:left="565"/>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557" w:type="dxa"/>
            <w:vAlign w:val="top"/>
          </w:tcPr>
          <w:p>
            <w:pPr>
              <w:spacing w:before="120" w:line="197" w:lineRule="auto"/>
              <w:ind w:left="741"/>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925" w:type="dxa"/>
            <w:vAlign w:val="top"/>
          </w:tcPr>
          <w:p>
            <w:pPr>
              <w:spacing w:before="120" w:line="197" w:lineRule="auto"/>
              <w:ind w:left="31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0.6</w:t>
            </w:r>
            <w:r>
              <w:rPr>
                <w:rFonts w:ascii="Times New Roman" w:hAnsi="Times New Roman" w:eastAsia="Times New Roman" w:cs="Times New Roman"/>
                <w:spacing w:val="2"/>
                <w:sz w:val="17"/>
                <w:szCs w:val="17"/>
              </w:rPr>
              <w:t>7</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1" w:type="dxa"/>
            <w:vMerge w:val="continue"/>
            <w:tcBorders>
              <w:top w:val="nil"/>
              <w:left w:val="single" w:color="000000" w:sz="6" w:space="0"/>
              <w:bottom w:val="nil"/>
            </w:tcBorders>
            <w:vAlign w:val="top"/>
          </w:tcPr>
          <w:p>
            <w:pPr>
              <w:rPr>
                <w:rFonts w:ascii="Arial"/>
                <w:sz w:val="21"/>
              </w:rPr>
            </w:pPr>
          </w:p>
        </w:tc>
        <w:tc>
          <w:tcPr>
            <w:tcW w:w="1955" w:type="dxa"/>
            <w:gridSpan w:val="2"/>
            <w:vMerge w:val="continue"/>
            <w:tcBorders>
              <w:top w:val="nil"/>
              <w:bottom w:val="nil"/>
            </w:tcBorders>
            <w:vAlign w:val="top"/>
          </w:tcPr>
          <w:p>
            <w:pPr>
              <w:rPr>
                <w:rFonts w:ascii="Arial"/>
                <w:sz w:val="21"/>
              </w:rPr>
            </w:pPr>
          </w:p>
        </w:tc>
        <w:tc>
          <w:tcPr>
            <w:tcW w:w="1049" w:type="dxa"/>
            <w:vAlign w:val="top"/>
          </w:tcPr>
          <w:p>
            <w:pPr>
              <w:spacing w:before="89" w:line="232" w:lineRule="auto"/>
              <w:ind w:left="347"/>
              <w:rPr>
                <w:rFonts w:ascii="宋体" w:hAnsi="宋体" w:eastAsia="宋体" w:cs="宋体"/>
                <w:sz w:val="17"/>
                <w:szCs w:val="17"/>
              </w:rPr>
            </w:pPr>
            <w:r>
              <w:rPr>
                <w:rFonts w:ascii="宋体" w:hAnsi="宋体" w:eastAsia="宋体" w:cs="宋体"/>
                <w:spacing w:val="6"/>
                <w:sz w:val="17"/>
                <w:szCs w:val="17"/>
              </w:rPr>
              <w:t>土方</w:t>
            </w:r>
          </w:p>
        </w:tc>
        <w:tc>
          <w:tcPr>
            <w:tcW w:w="1458" w:type="dxa"/>
            <w:vAlign w:val="top"/>
          </w:tcPr>
          <w:p>
            <w:pPr>
              <w:spacing w:before="118" w:line="197" w:lineRule="auto"/>
              <w:ind w:left="57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0.0</w:t>
            </w:r>
            <w:r>
              <w:rPr>
                <w:rFonts w:ascii="Times New Roman" w:hAnsi="Times New Roman" w:eastAsia="Times New Roman" w:cs="Times New Roman"/>
                <w:spacing w:val="2"/>
                <w:sz w:val="17"/>
                <w:szCs w:val="17"/>
              </w:rPr>
              <w:t>1</w:t>
            </w:r>
          </w:p>
        </w:tc>
        <w:tc>
          <w:tcPr>
            <w:tcW w:w="1211" w:type="dxa"/>
            <w:vAlign w:val="top"/>
          </w:tcPr>
          <w:p>
            <w:pPr>
              <w:spacing w:before="118" w:line="197" w:lineRule="auto"/>
              <w:ind w:left="565"/>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557" w:type="dxa"/>
            <w:vAlign w:val="top"/>
          </w:tcPr>
          <w:p>
            <w:pPr>
              <w:spacing w:before="118" w:line="197" w:lineRule="auto"/>
              <w:ind w:left="741"/>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925" w:type="dxa"/>
            <w:vAlign w:val="top"/>
          </w:tcPr>
          <w:p>
            <w:pPr>
              <w:spacing w:before="118" w:line="197" w:lineRule="auto"/>
              <w:ind w:left="31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0.0</w:t>
            </w:r>
            <w:r>
              <w:rPr>
                <w:rFonts w:ascii="Times New Roman" w:hAnsi="Times New Roman" w:eastAsia="Times New Roman" w:cs="Times New Roman"/>
                <w:spacing w:val="2"/>
                <w:sz w:val="17"/>
                <w:szCs w:val="17"/>
              </w:rPr>
              <w:t>1</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1" w:type="dxa"/>
            <w:vMerge w:val="continue"/>
            <w:tcBorders>
              <w:top w:val="nil"/>
              <w:left w:val="single" w:color="000000" w:sz="6" w:space="0"/>
              <w:bottom w:val="nil"/>
            </w:tcBorders>
            <w:vAlign w:val="top"/>
          </w:tcPr>
          <w:p>
            <w:pPr>
              <w:rPr>
                <w:rFonts w:ascii="Arial"/>
                <w:sz w:val="21"/>
              </w:rPr>
            </w:pPr>
          </w:p>
        </w:tc>
        <w:tc>
          <w:tcPr>
            <w:tcW w:w="1955" w:type="dxa"/>
            <w:gridSpan w:val="2"/>
            <w:vMerge w:val="continue"/>
            <w:tcBorders>
              <w:top w:val="nil"/>
              <w:bottom w:val="nil"/>
            </w:tcBorders>
            <w:vAlign w:val="top"/>
          </w:tcPr>
          <w:p>
            <w:pPr>
              <w:rPr>
                <w:rFonts w:ascii="Arial"/>
                <w:sz w:val="21"/>
              </w:rPr>
            </w:pPr>
          </w:p>
        </w:tc>
        <w:tc>
          <w:tcPr>
            <w:tcW w:w="1049" w:type="dxa"/>
            <w:vAlign w:val="top"/>
          </w:tcPr>
          <w:p>
            <w:pPr>
              <w:spacing w:before="87" w:line="232" w:lineRule="auto"/>
              <w:ind w:left="347"/>
              <w:rPr>
                <w:rFonts w:ascii="宋体" w:hAnsi="宋体" w:eastAsia="宋体" w:cs="宋体"/>
                <w:sz w:val="17"/>
                <w:szCs w:val="17"/>
              </w:rPr>
            </w:pPr>
            <w:r>
              <w:rPr>
                <w:rFonts w:ascii="宋体" w:hAnsi="宋体" w:eastAsia="宋体" w:cs="宋体"/>
                <w:spacing w:val="6"/>
                <w:sz w:val="17"/>
                <w:szCs w:val="17"/>
              </w:rPr>
              <w:t>石方</w:t>
            </w:r>
          </w:p>
        </w:tc>
        <w:tc>
          <w:tcPr>
            <w:tcW w:w="1458" w:type="dxa"/>
            <w:vAlign w:val="top"/>
          </w:tcPr>
          <w:p>
            <w:pPr>
              <w:spacing w:before="119" w:line="197" w:lineRule="auto"/>
              <w:ind w:left="57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0.6</w:t>
            </w:r>
            <w:r>
              <w:rPr>
                <w:rFonts w:ascii="Times New Roman" w:hAnsi="Times New Roman" w:eastAsia="Times New Roman" w:cs="Times New Roman"/>
                <w:spacing w:val="2"/>
                <w:sz w:val="17"/>
                <w:szCs w:val="17"/>
              </w:rPr>
              <w:t>6</w:t>
            </w:r>
          </w:p>
        </w:tc>
        <w:tc>
          <w:tcPr>
            <w:tcW w:w="1211" w:type="dxa"/>
            <w:vAlign w:val="top"/>
          </w:tcPr>
          <w:p>
            <w:pPr>
              <w:spacing w:before="119" w:line="197" w:lineRule="auto"/>
              <w:ind w:left="565"/>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557" w:type="dxa"/>
            <w:vAlign w:val="top"/>
          </w:tcPr>
          <w:p>
            <w:pPr>
              <w:spacing w:before="119" w:line="197" w:lineRule="auto"/>
              <w:ind w:left="741"/>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925" w:type="dxa"/>
            <w:vAlign w:val="top"/>
          </w:tcPr>
          <w:p>
            <w:pPr>
              <w:spacing w:before="119" w:line="197" w:lineRule="auto"/>
              <w:ind w:left="31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0.6</w:t>
            </w:r>
            <w:r>
              <w:rPr>
                <w:rFonts w:ascii="Times New Roman" w:hAnsi="Times New Roman" w:eastAsia="Times New Roman" w:cs="Times New Roman"/>
                <w:spacing w:val="2"/>
                <w:sz w:val="17"/>
                <w:szCs w:val="17"/>
              </w:rPr>
              <w:t>6</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1" w:type="dxa"/>
            <w:vMerge w:val="continue"/>
            <w:tcBorders>
              <w:top w:val="nil"/>
              <w:left w:val="single" w:color="000000" w:sz="6" w:space="0"/>
              <w:bottom w:val="nil"/>
            </w:tcBorders>
            <w:vAlign w:val="top"/>
          </w:tcPr>
          <w:p>
            <w:pPr>
              <w:rPr>
                <w:rFonts w:ascii="Arial"/>
                <w:sz w:val="21"/>
              </w:rPr>
            </w:pPr>
          </w:p>
        </w:tc>
        <w:tc>
          <w:tcPr>
            <w:tcW w:w="1955" w:type="dxa"/>
            <w:gridSpan w:val="2"/>
            <w:vMerge w:val="continue"/>
            <w:tcBorders>
              <w:top w:val="nil"/>
              <w:bottom w:val="nil"/>
            </w:tcBorders>
            <w:vAlign w:val="top"/>
          </w:tcPr>
          <w:p>
            <w:pPr>
              <w:rPr>
                <w:rFonts w:ascii="Arial"/>
                <w:sz w:val="21"/>
              </w:rPr>
            </w:pPr>
          </w:p>
        </w:tc>
        <w:tc>
          <w:tcPr>
            <w:tcW w:w="1049" w:type="dxa"/>
            <w:vAlign w:val="top"/>
          </w:tcPr>
          <w:p>
            <w:pPr>
              <w:spacing w:before="88" w:line="232" w:lineRule="auto"/>
              <w:ind w:left="345"/>
              <w:rPr>
                <w:rFonts w:ascii="宋体" w:hAnsi="宋体" w:eastAsia="宋体" w:cs="宋体"/>
                <w:sz w:val="17"/>
                <w:szCs w:val="17"/>
              </w:rPr>
            </w:pPr>
            <w:r>
              <w:rPr>
                <w:rFonts w:ascii="宋体" w:hAnsi="宋体" w:eastAsia="宋体" w:cs="宋体"/>
                <w:spacing w:val="7"/>
                <w:sz w:val="17"/>
                <w:szCs w:val="17"/>
              </w:rPr>
              <w:t>表</w:t>
            </w:r>
            <w:r>
              <w:rPr>
                <w:rFonts w:ascii="宋体" w:hAnsi="宋体" w:eastAsia="宋体" w:cs="宋体"/>
                <w:spacing w:val="6"/>
                <w:sz w:val="17"/>
                <w:szCs w:val="17"/>
              </w:rPr>
              <w:t>土</w:t>
            </w:r>
          </w:p>
        </w:tc>
        <w:tc>
          <w:tcPr>
            <w:tcW w:w="1458" w:type="dxa"/>
            <w:vAlign w:val="top"/>
          </w:tcPr>
          <w:p>
            <w:pPr>
              <w:spacing w:before="119" w:line="197" w:lineRule="auto"/>
              <w:ind w:left="68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211" w:type="dxa"/>
            <w:vAlign w:val="top"/>
          </w:tcPr>
          <w:p>
            <w:pPr>
              <w:spacing w:before="119" w:line="197" w:lineRule="auto"/>
              <w:ind w:left="565"/>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557" w:type="dxa"/>
            <w:vAlign w:val="top"/>
          </w:tcPr>
          <w:p>
            <w:pPr>
              <w:spacing w:before="119" w:line="197" w:lineRule="auto"/>
              <w:ind w:left="741"/>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925" w:type="dxa"/>
            <w:vAlign w:val="top"/>
          </w:tcPr>
          <w:p>
            <w:pPr>
              <w:spacing w:before="119" w:line="197" w:lineRule="auto"/>
              <w:ind w:left="427"/>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1" w:type="dxa"/>
            <w:vMerge w:val="continue"/>
            <w:tcBorders>
              <w:top w:val="nil"/>
              <w:left w:val="single" w:color="000000" w:sz="6" w:space="0"/>
              <w:bottom w:val="nil"/>
            </w:tcBorders>
            <w:vAlign w:val="top"/>
          </w:tcPr>
          <w:p>
            <w:pPr>
              <w:rPr>
                <w:rFonts w:ascii="Arial"/>
                <w:sz w:val="21"/>
              </w:rPr>
            </w:pPr>
          </w:p>
        </w:tc>
        <w:tc>
          <w:tcPr>
            <w:tcW w:w="1955" w:type="dxa"/>
            <w:gridSpan w:val="2"/>
            <w:vMerge w:val="continue"/>
            <w:tcBorders>
              <w:top w:val="nil"/>
            </w:tcBorders>
            <w:vAlign w:val="top"/>
          </w:tcPr>
          <w:p>
            <w:pPr>
              <w:rPr>
                <w:rFonts w:ascii="Arial"/>
                <w:sz w:val="21"/>
              </w:rPr>
            </w:pPr>
          </w:p>
        </w:tc>
        <w:tc>
          <w:tcPr>
            <w:tcW w:w="1049" w:type="dxa"/>
            <w:vAlign w:val="top"/>
          </w:tcPr>
          <w:p>
            <w:pPr>
              <w:spacing w:before="89" w:line="230" w:lineRule="auto"/>
              <w:ind w:left="347"/>
              <w:rPr>
                <w:rFonts w:ascii="宋体" w:hAnsi="宋体" w:eastAsia="宋体" w:cs="宋体"/>
                <w:sz w:val="17"/>
                <w:szCs w:val="17"/>
              </w:rPr>
            </w:pPr>
            <w:r>
              <w:rPr>
                <w:rFonts w:ascii="宋体" w:hAnsi="宋体" w:eastAsia="宋体" w:cs="宋体"/>
                <w:spacing w:val="6"/>
                <w:sz w:val="17"/>
                <w:szCs w:val="17"/>
              </w:rPr>
              <w:t>来源</w:t>
            </w:r>
          </w:p>
        </w:tc>
        <w:tc>
          <w:tcPr>
            <w:tcW w:w="1458" w:type="dxa"/>
            <w:vAlign w:val="top"/>
          </w:tcPr>
          <w:p>
            <w:pPr>
              <w:spacing w:before="89" w:line="228" w:lineRule="auto"/>
              <w:ind w:left="551"/>
              <w:rPr>
                <w:rFonts w:ascii="宋体" w:hAnsi="宋体" w:eastAsia="宋体" w:cs="宋体"/>
                <w:sz w:val="17"/>
                <w:szCs w:val="17"/>
              </w:rPr>
            </w:pPr>
            <w:r>
              <w:rPr>
                <w:rFonts w:ascii="宋体" w:hAnsi="宋体" w:eastAsia="宋体" w:cs="宋体"/>
                <w:spacing w:val="7"/>
                <w:sz w:val="17"/>
                <w:szCs w:val="17"/>
              </w:rPr>
              <w:t>②③</w:t>
            </w:r>
          </w:p>
        </w:tc>
        <w:tc>
          <w:tcPr>
            <w:tcW w:w="1211" w:type="dxa"/>
            <w:vAlign w:val="top"/>
          </w:tcPr>
          <w:p>
            <w:pPr>
              <w:rPr>
                <w:rFonts w:ascii="Arial"/>
                <w:sz w:val="21"/>
              </w:rPr>
            </w:pPr>
          </w:p>
        </w:tc>
        <w:tc>
          <w:tcPr>
            <w:tcW w:w="1557" w:type="dxa"/>
            <w:vAlign w:val="top"/>
          </w:tcPr>
          <w:p>
            <w:pPr>
              <w:rPr>
                <w:rFonts w:ascii="Arial"/>
                <w:sz w:val="21"/>
              </w:rPr>
            </w:pPr>
          </w:p>
        </w:tc>
        <w:tc>
          <w:tcPr>
            <w:tcW w:w="925" w:type="dxa"/>
            <w:vAlign w:val="top"/>
          </w:tcPr>
          <w:p>
            <w:pPr>
              <w:rPr>
                <w:rFonts w:ascii="Arial"/>
                <w:sz w:val="21"/>
              </w:rPr>
            </w:pP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1" w:type="dxa"/>
            <w:vMerge w:val="continue"/>
            <w:tcBorders>
              <w:top w:val="nil"/>
              <w:left w:val="single" w:color="000000" w:sz="6" w:space="0"/>
              <w:bottom w:val="nil"/>
            </w:tcBorders>
            <w:vAlign w:val="top"/>
          </w:tcPr>
          <w:p>
            <w:pPr>
              <w:rPr>
                <w:rFonts w:ascii="Arial"/>
                <w:sz w:val="21"/>
              </w:rPr>
            </w:pPr>
          </w:p>
        </w:tc>
        <w:tc>
          <w:tcPr>
            <w:tcW w:w="1955" w:type="dxa"/>
            <w:gridSpan w:val="2"/>
            <w:vMerge w:val="restart"/>
            <w:tcBorders>
              <w:bottom w:val="nil"/>
            </w:tcBorders>
            <w:vAlign w:val="top"/>
          </w:tcPr>
          <w:p>
            <w:pPr>
              <w:spacing w:line="335" w:lineRule="auto"/>
              <w:rPr>
                <w:rFonts w:ascii="Arial"/>
                <w:sz w:val="21"/>
              </w:rPr>
            </w:pPr>
          </w:p>
          <w:p>
            <w:pPr>
              <w:spacing w:line="336" w:lineRule="auto"/>
              <w:rPr>
                <w:rFonts w:ascii="Arial"/>
                <w:sz w:val="21"/>
              </w:rPr>
            </w:pPr>
          </w:p>
          <w:p>
            <w:pPr>
              <w:spacing w:before="55" w:line="231" w:lineRule="auto"/>
              <w:ind w:left="467"/>
              <w:rPr>
                <w:rFonts w:ascii="宋体" w:hAnsi="宋体" w:eastAsia="宋体" w:cs="宋体"/>
                <w:sz w:val="17"/>
                <w:szCs w:val="17"/>
              </w:rPr>
            </w:pPr>
            <w:r>
              <w:rPr>
                <w:rFonts w:ascii="宋体" w:hAnsi="宋体" w:eastAsia="宋体" w:cs="宋体"/>
                <w:spacing w:val="-10"/>
                <w:sz w:val="17"/>
                <w:szCs w:val="17"/>
              </w:rPr>
              <w:t>调</w:t>
            </w:r>
            <w:r>
              <w:rPr>
                <w:rFonts w:ascii="宋体" w:hAnsi="宋体" w:eastAsia="宋体" w:cs="宋体"/>
                <w:spacing w:val="-6"/>
                <w:sz w:val="17"/>
                <w:szCs w:val="17"/>
              </w:rPr>
              <w:t>出</w:t>
            </w:r>
            <w:r>
              <w:rPr>
                <w:rFonts w:ascii="宋体" w:hAnsi="宋体" w:eastAsia="宋体" w:cs="宋体"/>
                <w:spacing w:val="-5"/>
                <w:sz w:val="17"/>
                <w:szCs w:val="17"/>
              </w:rPr>
              <w:t xml:space="preserve"> (万 </w:t>
            </w:r>
            <w:r>
              <w:rPr>
                <w:rFonts w:ascii="Times New Roman" w:hAnsi="Times New Roman" w:eastAsia="Times New Roman" w:cs="Times New Roman"/>
                <w:spacing w:val="-5"/>
                <w:sz w:val="17"/>
                <w:szCs w:val="17"/>
              </w:rPr>
              <w:t>m</w:t>
            </w:r>
            <w:r>
              <w:rPr>
                <w:rFonts w:ascii="宋体" w:hAnsi="宋体" w:eastAsia="宋体" w:cs="宋体"/>
                <w:spacing w:val="-5"/>
                <w:sz w:val="17"/>
                <w:szCs w:val="17"/>
              </w:rPr>
              <w:t>³ )</w:t>
            </w:r>
          </w:p>
        </w:tc>
        <w:tc>
          <w:tcPr>
            <w:tcW w:w="1049" w:type="dxa"/>
            <w:vAlign w:val="top"/>
          </w:tcPr>
          <w:p>
            <w:pPr>
              <w:spacing w:before="89" w:line="232" w:lineRule="auto"/>
              <w:ind w:left="351"/>
              <w:rPr>
                <w:rFonts w:ascii="宋体" w:hAnsi="宋体" w:eastAsia="宋体" w:cs="宋体"/>
                <w:sz w:val="17"/>
                <w:szCs w:val="17"/>
              </w:rPr>
            </w:pPr>
            <w:r>
              <w:rPr>
                <w:rFonts w:ascii="宋体" w:hAnsi="宋体" w:eastAsia="宋体" w:cs="宋体"/>
                <w:spacing w:val="4"/>
                <w:sz w:val="17"/>
                <w:szCs w:val="17"/>
              </w:rPr>
              <w:t>小计</w:t>
            </w:r>
          </w:p>
        </w:tc>
        <w:tc>
          <w:tcPr>
            <w:tcW w:w="1458" w:type="dxa"/>
            <w:vAlign w:val="top"/>
          </w:tcPr>
          <w:p>
            <w:pPr>
              <w:spacing w:before="118" w:line="197" w:lineRule="auto"/>
              <w:ind w:left="68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211" w:type="dxa"/>
            <w:vAlign w:val="top"/>
          </w:tcPr>
          <w:p>
            <w:pPr>
              <w:spacing w:before="118" w:line="197" w:lineRule="auto"/>
              <w:ind w:left="4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0.0</w:t>
            </w:r>
            <w:r>
              <w:rPr>
                <w:rFonts w:ascii="Times New Roman" w:hAnsi="Times New Roman" w:eastAsia="Times New Roman" w:cs="Times New Roman"/>
                <w:spacing w:val="2"/>
                <w:sz w:val="17"/>
                <w:szCs w:val="17"/>
              </w:rPr>
              <w:t>2</w:t>
            </w:r>
          </w:p>
        </w:tc>
        <w:tc>
          <w:tcPr>
            <w:tcW w:w="1557" w:type="dxa"/>
            <w:vAlign w:val="top"/>
          </w:tcPr>
          <w:p>
            <w:pPr>
              <w:spacing w:before="118" w:line="197" w:lineRule="auto"/>
              <w:ind w:left="628"/>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0.6</w:t>
            </w:r>
            <w:r>
              <w:rPr>
                <w:rFonts w:ascii="Times New Roman" w:hAnsi="Times New Roman" w:eastAsia="Times New Roman" w:cs="Times New Roman"/>
                <w:spacing w:val="2"/>
                <w:sz w:val="17"/>
                <w:szCs w:val="17"/>
              </w:rPr>
              <w:t>5</w:t>
            </w:r>
          </w:p>
        </w:tc>
        <w:tc>
          <w:tcPr>
            <w:tcW w:w="925" w:type="dxa"/>
            <w:vAlign w:val="top"/>
          </w:tcPr>
          <w:p>
            <w:pPr>
              <w:spacing w:before="118" w:line="197" w:lineRule="auto"/>
              <w:ind w:left="31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0.6</w:t>
            </w:r>
            <w:r>
              <w:rPr>
                <w:rFonts w:ascii="Times New Roman" w:hAnsi="Times New Roman" w:eastAsia="Times New Roman" w:cs="Times New Roman"/>
                <w:spacing w:val="2"/>
                <w:sz w:val="17"/>
                <w:szCs w:val="17"/>
              </w:rPr>
              <w:t>7</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1" w:type="dxa"/>
            <w:vMerge w:val="continue"/>
            <w:tcBorders>
              <w:top w:val="nil"/>
              <w:left w:val="single" w:color="000000" w:sz="6" w:space="0"/>
              <w:bottom w:val="nil"/>
            </w:tcBorders>
            <w:vAlign w:val="top"/>
          </w:tcPr>
          <w:p>
            <w:pPr>
              <w:rPr>
                <w:rFonts w:ascii="Arial"/>
                <w:sz w:val="21"/>
              </w:rPr>
            </w:pPr>
          </w:p>
        </w:tc>
        <w:tc>
          <w:tcPr>
            <w:tcW w:w="1955" w:type="dxa"/>
            <w:gridSpan w:val="2"/>
            <w:vMerge w:val="continue"/>
            <w:tcBorders>
              <w:top w:val="nil"/>
              <w:bottom w:val="nil"/>
            </w:tcBorders>
            <w:vAlign w:val="top"/>
          </w:tcPr>
          <w:p>
            <w:pPr>
              <w:rPr>
                <w:rFonts w:ascii="Arial"/>
                <w:sz w:val="21"/>
              </w:rPr>
            </w:pPr>
          </w:p>
        </w:tc>
        <w:tc>
          <w:tcPr>
            <w:tcW w:w="1049" w:type="dxa"/>
            <w:vAlign w:val="top"/>
          </w:tcPr>
          <w:p>
            <w:pPr>
              <w:spacing w:before="87" w:line="232" w:lineRule="auto"/>
              <w:ind w:left="347"/>
              <w:rPr>
                <w:rFonts w:ascii="宋体" w:hAnsi="宋体" w:eastAsia="宋体" w:cs="宋体"/>
                <w:sz w:val="17"/>
                <w:szCs w:val="17"/>
              </w:rPr>
            </w:pPr>
            <w:r>
              <w:rPr>
                <w:rFonts w:ascii="宋体" w:hAnsi="宋体" w:eastAsia="宋体" w:cs="宋体"/>
                <w:spacing w:val="6"/>
                <w:sz w:val="17"/>
                <w:szCs w:val="17"/>
              </w:rPr>
              <w:t>土方</w:t>
            </w:r>
          </w:p>
        </w:tc>
        <w:tc>
          <w:tcPr>
            <w:tcW w:w="1458" w:type="dxa"/>
            <w:vAlign w:val="top"/>
          </w:tcPr>
          <w:p>
            <w:pPr>
              <w:spacing w:before="119" w:line="197" w:lineRule="auto"/>
              <w:ind w:left="68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211" w:type="dxa"/>
            <w:vAlign w:val="top"/>
          </w:tcPr>
          <w:p>
            <w:pPr>
              <w:spacing w:before="119" w:line="197" w:lineRule="auto"/>
              <w:ind w:left="4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0.0</w:t>
            </w:r>
            <w:r>
              <w:rPr>
                <w:rFonts w:ascii="Times New Roman" w:hAnsi="Times New Roman" w:eastAsia="Times New Roman" w:cs="Times New Roman"/>
                <w:spacing w:val="2"/>
                <w:sz w:val="17"/>
                <w:szCs w:val="17"/>
              </w:rPr>
              <w:t>1</w:t>
            </w:r>
          </w:p>
        </w:tc>
        <w:tc>
          <w:tcPr>
            <w:tcW w:w="1557" w:type="dxa"/>
            <w:vAlign w:val="top"/>
          </w:tcPr>
          <w:p>
            <w:pPr>
              <w:spacing w:before="119" w:line="197" w:lineRule="auto"/>
              <w:ind w:left="628"/>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0.0</w:t>
            </w:r>
            <w:r>
              <w:rPr>
                <w:rFonts w:ascii="Times New Roman" w:hAnsi="Times New Roman" w:eastAsia="Times New Roman" w:cs="Times New Roman"/>
                <w:spacing w:val="2"/>
                <w:sz w:val="17"/>
                <w:szCs w:val="17"/>
              </w:rPr>
              <w:t>0</w:t>
            </w:r>
          </w:p>
        </w:tc>
        <w:tc>
          <w:tcPr>
            <w:tcW w:w="925" w:type="dxa"/>
            <w:vAlign w:val="top"/>
          </w:tcPr>
          <w:p>
            <w:pPr>
              <w:spacing w:before="119" w:line="197" w:lineRule="auto"/>
              <w:ind w:left="31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0.0</w:t>
            </w:r>
            <w:r>
              <w:rPr>
                <w:rFonts w:ascii="Times New Roman" w:hAnsi="Times New Roman" w:eastAsia="Times New Roman" w:cs="Times New Roman"/>
                <w:spacing w:val="2"/>
                <w:sz w:val="17"/>
                <w:szCs w:val="17"/>
              </w:rPr>
              <w:t>1</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1" w:type="dxa"/>
            <w:vMerge w:val="continue"/>
            <w:tcBorders>
              <w:top w:val="nil"/>
              <w:left w:val="single" w:color="000000" w:sz="6" w:space="0"/>
              <w:bottom w:val="nil"/>
            </w:tcBorders>
            <w:vAlign w:val="top"/>
          </w:tcPr>
          <w:p>
            <w:pPr>
              <w:rPr>
                <w:rFonts w:ascii="Arial"/>
                <w:sz w:val="21"/>
              </w:rPr>
            </w:pPr>
          </w:p>
        </w:tc>
        <w:tc>
          <w:tcPr>
            <w:tcW w:w="1955" w:type="dxa"/>
            <w:gridSpan w:val="2"/>
            <w:vMerge w:val="continue"/>
            <w:tcBorders>
              <w:top w:val="nil"/>
              <w:bottom w:val="nil"/>
            </w:tcBorders>
            <w:vAlign w:val="top"/>
          </w:tcPr>
          <w:p>
            <w:pPr>
              <w:rPr>
                <w:rFonts w:ascii="Arial"/>
                <w:sz w:val="21"/>
              </w:rPr>
            </w:pPr>
          </w:p>
        </w:tc>
        <w:tc>
          <w:tcPr>
            <w:tcW w:w="1049" w:type="dxa"/>
            <w:vAlign w:val="top"/>
          </w:tcPr>
          <w:p>
            <w:pPr>
              <w:spacing w:before="88" w:line="232" w:lineRule="auto"/>
              <w:ind w:left="347"/>
              <w:rPr>
                <w:rFonts w:ascii="宋体" w:hAnsi="宋体" w:eastAsia="宋体" w:cs="宋体"/>
                <w:sz w:val="17"/>
                <w:szCs w:val="17"/>
              </w:rPr>
            </w:pPr>
            <w:r>
              <w:rPr>
                <w:rFonts w:ascii="宋体" w:hAnsi="宋体" w:eastAsia="宋体" w:cs="宋体"/>
                <w:spacing w:val="6"/>
                <w:sz w:val="17"/>
                <w:szCs w:val="17"/>
              </w:rPr>
              <w:t>石方</w:t>
            </w:r>
          </w:p>
        </w:tc>
        <w:tc>
          <w:tcPr>
            <w:tcW w:w="1458" w:type="dxa"/>
            <w:vAlign w:val="top"/>
          </w:tcPr>
          <w:p>
            <w:pPr>
              <w:spacing w:before="119" w:line="197" w:lineRule="auto"/>
              <w:ind w:left="68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211" w:type="dxa"/>
            <w:vAlign w:val="top"/>
          </w:tcPr>
          <w:p>
            <w:pPr>
              <w:spacing w:before="120" w:line="197" w:lineRule="auto"/>
              <w:ind w:left="4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0.0</w:t>
            </w:r>
            <w:r>
              <w:rPr>
                <w:rFonts w:ascii="Times New Roman" w:hAnsi="Times New Roman" w:eastAsia="Times New Roman" w:cs="Times New Roman"/>
                <w:spacing w:val="2"/>
                <w:sz w:val="17"/>
                <w:szCs w:val="17"/>
              </w:rPr>
              <w:t>1</w:t>
            </w:r>
          </w:p>
        </w:tc>
        <w:tc>
          <w:tcPr>
            <w:tcW w:w="1557" w:type="dxa"/>
            <w:vAlign w:val="top"/>
          </w:tcPr>
          <w:p>
            <w:pPr>
              <w:spacing w:before="120" w:line="197" w:lineRule="auto"/>
              <w:ind w:left="628"/>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0.6</w:t>
            </w:r>
            <w:r>
              <w:rPr>
                <w:rFonts w:ascii="Times New Roman" w:hAnsi="Times New Roman" w:eastAsia="Times New Roman" w:cs="Times New Roman"/>
                <w:spacing w:val="2"/>
                <w:sz w:val="17"/>
                <w:szCs w:val="17"/>
              </w:rPr>
              <w:t>5</w:t>
            </w:r>
          </w:p>
        </w:tc>
        <w:tc>
          <w:tcPr>
            <w:tcW w:w="925" w:type="dxa"/>
            <w:vAlign w:val="top"/>
          </w:tcPr>
          <w:p>
            <w:pPr>
              <w:spacing w:before="120" w:line="197" w:lineRule="auto"/>
              <w:ind w:left="31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0.6</w:t>
            </w:r>
            <w:r>
              <w:rPr>
                <w:rFonts w:ascii="Times New Roman" w:hAnsi="Times New Roman" w:eastAsia="Times New Roman" w:cs="Times New Roman"/>
                <w:spacing w:val="2"/>
                <w:sz w:val="17"/>
                <w:szCs w:val="17"/>
              </w:rPr>
              <w:t>6</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1" w:type="dxa"/>
            <w:vMerge w:val="continue"/>
            <w:tcBorders>
              <w:top w:val="nil"/>
              <w:left w:val="single" w:color="000000" w:sz="6" w:space="0"/>
              <w:bottom w:val="nil"/>
            </w:tcBorders>
            <w:vAlign w:val="top"/>
          </w:tcPr>
          <w:p>
            <w:pPr>
              <w:rPr>
                <w:rFonts w:ascii="Arial"/>
                <w:sz w:val="21"/>
              </w:rPr>
            </w:pPr>
          </w:p>
        </w:tc>
        <w:tc>
          <w:tcPr>
            <w:tcW w:w="1955" w:type="dxa"/>
            <w:gridSpan w:val="2"/>
            <w:vMerge w:val="continue"/>
            <w:tcBorders>
              <w:top w:val="nil"/>
              <w:bottom w:val="nil"/>
            </w:tcBorders>
            <w:vAlign w:val="top"/>
          </w:tcPr>
          <w:p>
            <w:pPr>
              <w:rPr>
                <w:rFonts w:ascii="Arial"/>
                <w:sz w:val="21"/>
              </w:rPr>
            </w:pPr>
          </w:p>
        </w:tc>
        <w:tc>
          <w:tcPr>
            <w:tcW w:w="1049" w:type="dxa"/>
            <w:vAlign w:val="top"/>
          </w:tcPr>
          <w:p>
            <w:pPr>
              <w:spacing w:before="89" w:line="232" w:lineRule="auto"/>
              <w:ind w:left="345"/>
              <w:rPr>
                <w:rFonts w:ascii="宋体" w:hAnsi="宋体" w:eastAsia="宋体" w:cs="宋体"/>
                <w:sz w:val="17"/>
                <w:szCs w:val="17"/>
              </w:rPr>
            </w:pPr>
            <w:r>
              <w:rPr>
                <w:rFonts w:ascii="宋体" w:hAnsi="宋体" w:eastAsia="宋体" w:cs="宋体"/>
                <w:spacing w:val="7"/>
                <w:sz w:val="17"/>
                <w:szCs w:val="17"/>
              </w:rPr>
              <w:t>表</w:t>
            </w:r>
            <w:r>
              <w:rPr>
                <w:rFonts w:ascii="宋体" w:hAnsi="宋体" w:eastAsia="宋体" w:cs="宋体"/>
                <w:spacing w:val="6"/>
                <w:sz w:val="17"/>
                <w:szCs w:val="17"/>
              </w:rPr>
              <w:t>土</w:t>
            </w:r>
          </w:p>
        </w:tc>
        <w:tc>
          <w:tcPr>
            <w:tcW w:w="1458" w:type="dxa"/>
            <w:vAlign w:val="top"/>
          </w:tcPr>
          <w:p>
            <w:pPr>
              <w:spacing w:before="120" w:line="197" w:lineRule="auto"/>
              <w:ind w:left="68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211" w:type="dxa"/>
            <w:vAlign w:val="top"/>
          </w:tcPr>
          <w:p>
            <w:pPr>
              <w:spacing w:before="120" w:line="197" w:lineRule="auto"/>
              <w:ind w:left="565"/>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557" w:type="dxa"/>
            <w:vAlign w:val="top"/>
          </w:tcPr>
          <w:p>
            <w:pPr>
              <w:spacing w:before="120" w:line="197" w:lineRule="auto"/>
              <w:ind w:left="741"/>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925" w:type="dxa"/>
            <w:vAlign w:val="top"/>
          </w:tcPr>
          <w:p>
            <w:pPr>
              <w:spacing w:before="120" w:line="197" w:lineRule="auto"/>
              <w:ind w:left="427"/>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1" w:type="dxa"/>
            <w:vMerge w:val="continue"/>
            <w:tcBorders>
              <w:top w:val="nil"/>
              <w:left w:val="single" w:color="000000" w:sz="6" w:space="0"/>
              <w:bottom w:val="nil"/>
            </w:tcBorders>
            <w:vAlign w:val="top"/>
          </w:tcPr>
          <w:p>
            <w:pPr>
              <w:rPr>
                <w:rFonts w:ascii="Arial"/>
                <w:sz w:val="21"/>
              </w:rPr>
            </w:pPr>
          </w:p>
        </w:tc>
        <w:tc>
          <w:tcPr>
            <w:tcW w:w="1955" w:type="dxa"/>
            <w:gridSpan w:val="2"/>
            <w:vMerge w:val="continue"/>
            <w:tcBorders>
              <w:top w:val="nil"/>
            </w:tcBorders>
            <w:vAlign w:val="top"/>
          </w:tcPr>
          <w:p>
            <w:pPr>
              <w:rPr>
                <w:rFonts w:ascii="Arial"/>
                <w:sz w:val="21"/>
              </w:rPr>
            </w:pPr>
          </w:p>
        </w:tc>
        <w:tc>
          <w:tcPr>
            <w:tcW w:w="1049" w:type="dxa"/>
            <w:vAlign w:val="top"/>
          </w:tcPr>
          <w:p>
            <w:pPr>
              <w:spacing w:before="89" w:line="232" w:lineRule="auto"/>
              <w:ind w:left="349"/>
              <w:rPr>
                <w:rFonts w:ascii="宋体" w:hAnsi="宋体" w:eastAsia="宋体" w:cs="宋体"/>
                <w:sz w:val="17"/>
                <w:szCs w:val="17"/>
              </w:rPr>
            </w:pPr>
            <w:r>
              <w:rPr>
                <w:rFonts w:ascii="宋体" w:hAnsi="宋体" w:eastAsia="宋体" w:cs="宋体"/>
                <w:spacing w:val="5"/>
                <w:sz w:val="17"/>
                <w:szCs w:val="17"/>
              </w:rPr>
              <w:t>去向</w:t>
            </w:r>
          </w:p>
        </w:tc>
        <w:tc>
          <w:tcPr>
            <w:tcW w:w="1458" w:type="dxa"/>
            <w:vAlign w:val="top"/>
          </w:tcPr>
          <w:p>
            <w:pPr>
              <w:rPr>
                <w:rFonts w:ascii="Arial"/>
                <w:sz w:val="21"/>
              </w:rPr>
            </w:pPr>
          </w:p>
        </w:tc>
        <w:tc>
          <w:tcPr>
            <w:tcW w:w="1211" w:type="dxa"/>
            <w:vAlign w:val="top"/>
          </w:tcPr>
          <w:p>
            <w:pPr>
              <w:spacing w:before="90" w:line="228" w:lineRule="auto"/>
              <w:ind w:left="519"/>
              <w:rPr>
                <w:rFonts w:ascii="宋体" w:hAnsi="宋体" w:eastAsia="宋体" w:cs="宋体"/>
                <w:sz w:val="17"/>
                <w:szCs w:val="17"/>
              </w:rPr>
            </w:pPr>
            <w:r>
              <w:rPr>
                <w:rFonts w:ascii="宋体" w:hAnsi="宋体" w:eastAsia="宋体" w:cs="宋体"/>
                <w:spacing w:val="3"/>
                <w:sz w:val="17"/>
                <w:szCs w:val="17"/>
              </w:rPr>
              <w:t>①</w:t>
            </w:r>
          </w:p>
        </w:tc>
        <w:tc>
          <w:tcPr>
            <w:tcW w:w="1557" w:type="dxa"/>
            <w:vAlign w:val="top"/>
          </w:tcPr>
          <w:p>
            <w:pPr>
              <w:spacing w:before="90" w:line="228" w:lineRule="auto"/>
              <w:ind w:left="695"/>
              <w:rPr>
                <w:rFonts w:ascii="宋体" w:hAnsi="宋体" w:eastAsia="宋体" w:cs="宋体"/>
                <w:sz w:val="17"/>
                <w:szCs w:val="17"/>
              </w:rPr>
            </w:pPr>
            <w:r>
              <w:rPr>
                <w:rFonts w:ascii="宋体" w:hAnsi="宋体" w:eastAsia="宋体" w:cs="宋体"/>
                <w:spacing w:val="3"/>
                <w:sz w:val="17"/>
                <w:szCs w:val="17"/>
              </w:rPr>
              <w:t>①</w:t>
            </w:r>
          </w:p>
        </w:tc>
        <w:tc>
          <w:tcPr>
            <w:tcW w:w="925" w:type="dxa"/>
            <w:vAlign w:val="top"/>
          </w:tcPr>
          <w:p>
            <w:pPr>
              <w:rPr>
                <w:rFonts w:ascii="Arial"/>
                <w:sz w:val="21"/>
              </w:rPr>
            </w:pP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1" w:type="dxa"/>
            <w:vMerge w:val="continue"/>
            <w:tcBorders>
              <w:top w:val="nil"/>
              <w:left w:val="single" w:color="000000" w:sz="6" w:space="0"/>
              <w:bottom w:val="nil"/>
            </w:tcBorders>
            <w:vAlign w:val="top"/>
          </w:tcPr>
          <w:p>
            <w:pPr>
              <w:rPr>
                <w:rFonts w:ascii="Arial"/>
                <w:sz w:val="21"/>
              </w:rPr>
            </w:pPr>
          </w:p>
        </w:tc>
        <w:tc>
          <w:tcPr>
            <w:tcW w:w="1955" w:type="dxa"/>
            <w:gridSpan w:val="2"/>
            <w:vMerge w:val="restart"/>
            <w:tcBorders>
              <w:bottom w:val="nil"/>
            </w:tcBorders>
            <w:vAlign w:val="top"/>
          </w:tcPr>
          <w:p>
            <w:pPr>
              <w:spacing w:line="256" w:lineRule="auto"/>
              <w:rPr>
                <w:rFonts w:ascii="Arial"/>
                <w:sz w:val="21"/>
              </w:rPr>
            </w:pPr>
          </w:p>
          <w:p>
            <w:pPr>
              <w:spacing w:line="256" w:lineRule="auto"/>
              <w:rPr>
                <w:rFonts w:ascii="Arial"/>
                <w:sz w:val="21"/>
              </w:rPr>
            </w:pPr>
          </w:p>
          <w:p>
            <w:pPr>
              <w:spacing w:before="55" w:line="229" w:lineRule="auto"/>
              <w:ind w:left="469"/>
              <w:rPr>
                <w:rFonts w:ascii="宋体" w:hAnsi="宋体" w:eastAsia="宋体" w:cs="宋体"/>
                <w:sz w:val="17"/>
                <w:szCs w:val="17"/>
              </w:rPr>
            </w:pPr>
            <w:r>
              <w:rPr>
                <w:rFonts w:ascii="宋体" w:hAnsi="宋体" w:eastAsia="宋体" w:cs="宋体"/>
                <w:spacing w:val="-6"/>
                <w:sz w:val="17"/>
                <w:szCs w:val="17"/>
              </w:rPr>
              <w:t xml:space="preserve">外借 (万 </w:t>
            </w:r>
            <w:r>
              <w:rPr>
                <w:rFonts w:ascii="Times New Roman" w:hAnsi="Times New Roman" w:eastAsia="Times New Roman" w:cs="Times New Roman"/>
                <w:spacing w:val="-5"/>
                <w:sz w:val="17"/>
                <w:szCs w:val="17"/>
              </w:rPr>
              <w:t>m</w:t>
            </w:r>
            <w:r>
              <w:rPr>
                <w:rFonts w:ascii="宋体" w:hAnsi="宋体" w:eastAsia="宋体" w:cs="宋体"/>
                <w:spacing w:val="-6"/>
                <w:sz w:val="17"/>
                <w:szCs w:val="17"/>
              </w:rPr>
              <w:t>³ )</w:t>
            </w:r>
          </w:p>
        </w:tc>
        <w:tc>
          <w:tcPr>
            <w:tcW w:w="1049" w:type="dxa"/>
            <w:vAlign w:val="top"/>
          </w:tcPr>
          <w:p>
            <w:pPr>
              <w:spacing w:before="87" w:line="232" w:lineRule="auto"/>
              <w:ind w:left="351"/>
              <w:rPr>
                <w:rFonts w:ascii="宋体" w:hAnsi="宋体" w:eastAsia="宋体" w:cs="宋体"/>
                <w:sz w:val="17"/>
                <w:szCs w:val="17"/>
              </w:rPr>
            </w:pPr>
            <w:r>
              <w:rPr>
                <w:rFonts w:ascii="宋体" w:hAnsi="宋体" w:eastAsia="宋体" w:cs="宋体"/>
                <w:spacing w:val="4"/>
                <w:sz w:val="17"/>
                <w:szCs w:val="17"/>
              </w:rPr>
              <w:t>小计</w:t>
            </w:r>
          </w:p>
        </w:tc>
        <w:tc>
          <w:tcPr>
            <w:tcW w:w="1458" w:type="dxa"/>
            <w:vAlign w:val="top"/>
          </w:tcPr>
          <w:p>
            <w:pPr>
              <w:spacing w:before="119" w:line="197" w:lineRule="auto"/>
              <w:ind w:left="68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211" w:type="dxa"/>
            <w:vAlign w:val="top"/>
          </w:tcPr>
          <w:p>
            <w:pPr>
              <w:spacing w:before="119" w:line="197" w:lineRule="auto"/>
              <w:ind w:left="565"/>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557" w:type="dxa"/>
            <w:vAlign w:val="top"/>
          </w:tcPr>
          <w:p>
            <w:pPr>
              <w:spacing w:before="119" w:line="197" w:lineRule="auto"/>
              <w:ind w:left="741"/>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925" w:type="dxa"/>
            <w:vAlign w:val="top"/>
          </w:tcPr>
          <w:p>
            <w:pPr>
              <w:spacing w:before="119" w:line="197" w:lineRule="auto"/>
              <w:ind w:left="427"/>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1" w:type="dxa"/>
            <w:vMerge w:val="continue"/>
            <w:tcBorders>
              <w:top w:val="nil"/>
              <w:left w:val="single" w:color="000000" w:sz="6" w:space="0"/>
              <w:bottom w:val="nil"/>
            </w:tcBorders>
            <w:vAlign w:val="top"/>
          </w:tcPr>
          <w:p>
            <w:pPr>
              <w:rPr>
                <w:rFonts w:ascii="Arial"/>
                <w:sz w:val="21"/>
              </w:rPr>
            </w:pPr>
          </w:p>
        </w:tc>
        <w:tc>
          <w:tcPr>
            <w:tcW w:w="1955" w:type="dxa"/>
            <w:gridSpan w:val="2"/>
            <w:vMerge w:val="continue"/>
            <w:tcBorders>
              <w:top w:val="nil"/>
              <w:bottom w:val="nil"/>
            </w:tcBorders>
            <w:vAlign w:val="top"/>
          </w:tcPr>
          <w:p>
            <w:pPr>
              <w:rPr>
                <w:rFonts w:ascii="Arial"/>
                <w:sz w:val="21"/>
              </w:rPr>
            </w:pPr>
          </w:p>
        </w:tc>
        <w:tc>
          <w:tcPr>
            <w:tcW w:w="1049" w:type="dxa"/>
            <w:vAlign w:val="top"/>
          </w:tcPr>
          <w:p>
            <w:pPr>
              <w:spacing w:before="88" w:line="232" w:lineRule="auto"/>
              <w:ind w:left="347"/>
              <w:rPr>
                <w:rFonts w:ascii="宋体" w:hAnsi="宋体" w:eastAsia="宋体" w:cs="宋体"/>
                <w:sz w:val="17"/>
                <w:szCs w:val="17"/>
              </w:rPr>
            </w:pPr>
            <w:r>
              <w:rPr>
                <w:rFonts w:ascii="宋体" w:hAnsi="宋体" w:eastAsia="宋体" w:cs="宋体"/>
                <w:spacing w:val="6"/>
                <w:sz w:val="17"/>
                <w:szCs w:val="17"/>
              </w:rPr>
              <w:t>土方</w:t>
            </w:r>
          </w:p>
        </w:tc>
        <w:tc>
          <w:tcPr>
            <w:tcW w:w="1458" w:type="dxa"/>
            <w:vAlign w:val="top"/>
          </w:tcPr>
          <w:p>
            <w:pPr>
              <w:spacing w:before="119" w:line="197" w:lineRule="auto"/>
              <w:ind w:left="68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211" w:type="dxa"/>
            <w:vAlign w:val="top"/>
          </w:tcPr>
          <w:p>
            <w:pPr>
              <w:spacing w:before="119" w:line="197" w:lineRule="auto"/>
              <w:ind w:left="565"/>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557" w:type="dxa"/>
            <w:vAlign w:val="top"/>
          </w:tcPr>
          <w:p>
            <w:pPr>
              <w:spacing w:before="119" w:line="197" w:lineRule="auto"/>
              <w:ind w:left="741"/>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925" w:type="dxa"/>
            <w:vAlign w:val="top"/>
          </w:tcPr>
          <w:p>
            <w:pPr>
              <w:spacing w:before="119" w:line="197" w:lineRule="auto"/>
              <w:ind w:left="427"/>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1" w:type="dxa"/>
            <w:vMerge w:val="continue"/>
            <w:tcBorders>
              <w:top w:val="nil"/>
              <w:left w:val="single" w:color="000000" w:sz="6" w:space="0"/>
              <w:bottom w:val="nil"/>
            </w:tcBorders>
            <w:vAlign w:val="top"/>
          </w:tcPr>
          <w:p>
            <w:pPr>
              <w:rPr>
                <w:rFonts w:ascii="Arial"/>
                <w:sz w:val="21"/>
              </w:rPr>
            </w:pPr>
          </w:p>
        </w:tc>
        <w:tc>
          <w:tcPr>
            <w:tcW w:w="1955" w:type="dxa"/>
            <w:gridSpan w:val="2"/>
            <w:vMerge w:val="continue"/>
            <w:tcBorders>
              <w:top w:val="nil"/>
              <w:bottom w:val="nil"/>
            </w:tcBorders>
            <w:vAlign w:val="top"/>
          </w:tcPr>
          <w:p>
            <w:pPr>
              <w:rPr>
                <w:rFonts w:ascii="Arial"/>
                <w:sz w:val="21"/>
              </w:rPr>
            </w:pPr>
          </w:p>
        </w:tc>
        <w:tc>
          <w:tcPr>
            <w:tcW w:w="1049" w:type="dxa"/>
            <w:vAlign w:val="top"/>
          </w:tcPr>
          <w:p>
            <w:pPr>
              <w:spacing w:before="89" w:line="232" w:lineRule="auto"/>
              <w:ind w:left="347"/>
              <w:rPr>
                <w:rFonts w:ascii="宋体" w:hAnsi="宋体" w:eastAsia="宋体" w:cs="宋体"/>
                <w:sz w:val="17"/>
                <w:szCs w:val="17"/>
              </w:rPr>
            </w:pPr>
            <w:r>
              <w:rPr>
                <w:rFonts w:ascii="宋体" w:hAnsi="宋体" w:eastAsia="宋体" w:cs="宋体"/>
                <w:spacing w:val="6"/>
                <w:sz w:val="17"/>
                <w:szCs w:val="17"/>
              </w:rPr>
              <w:t>石方</w:t>
            </w:r>
          </w:p>
        </w:tc>
        <w:tc>
          <w:tcPr>
            <w:tcW w:w="1458" w:type="dxa"/>
            <w:vAlign w:val="top"/>
          </w:tcPr>
          <w:p>
            <w:pPr>
              <w:spacing w:before="120" w:line="197" w:lineRule="auto"/>
              <w:ind w:left="68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211" w:type="dxa"/>
            <w:vAlign w:val="top"/>
          </w:tcPr>
          <w:p>
            <w:pPr>
              <w:spacing w:before="120" w:line="197" w:lineRule="auto"/>
              <w:ind w:left="565"/>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557" w:type="dxa"/>
            <w:vAlign w:val="top"/>
          </w:tcPr>
          <w:p>
            <w:pPr>
              <w:spacing w:before="120" w:line="197" w:lineRule="auto"/>
              <w:ind w:left="741"/>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925" w:type="dxa"/>
            <w:vAlign w:val="top"/>
          </w:tcPr>
          <w:p>
            <w:pPr>
              <w:spacing w:before="120" w:line="197" w:lineRule="auto"/>
              <w:ind w:left="427"/>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1" w:type="dxa"/>
            <w:vMerge w:val="continue"/>
            <w:tcBorders>
              <w:top w:val="nil"/>
              <w:left w:val="single" w:color="000000" w:sz="6" w:space="0"/>
              <w:bottom w:val="nil"/>
            </w:tcBorders>
            <w:vAlign w:val="top"/>
          </w:tcPr>
          <w:p>
            <w:pPr>
              <w:rPr>
                <w:rFonts w:ascii="Arial"/>
                <w:sz w:val="21"/>
              </w:rPr>
            </w:pPr>
          </w:p>
        </w:tc>
        <w:tc>
          <w:tcPr>
            <w:tcW w:w="1955" w:type="dxa"/>
            <w:gridSpan w:val="2"/>
            <w:vMerge w:val="continue"/>
            <w:tcBorders>
              <w:top w:val="nil"/>
            </w:tcBorders>
            <w:vAlign w:val="top"/>
          </w:tcPr>
          <w:p>
            <w:pPr>
              <w:rPr>
                <w:rFonts w:ascii="Arial"/>
                <w:sz w:val="21"/>
              </w:rPr>
            </w:pPr>
          </w:p>
        </w:tc>
        <w:tc>
          <w:tcPr>
            <w:tcW w:w="1049" w:type="dxa"/>
            <w:vAlign w:val="top"/>
          </w:tcPr>
          <w:p>
            <w:pPr>
              <w:spacing w:before="89" w:line="232" w:lineRule="auto"/>
              <w:ind w:left="345"/>
              <w:rPr>
                <w:rFonts w:ascii="宋体" w:hAnsi="宋体" w:eastAsia="宋体" w:cs="宋体"/>
                <w:sz w:val="17"/>
                <w:szCs w:val="17"/>
              </w:rPr>
            </w:pPr>
            <w:r>
              <w:rPr>
                <w:rFonts w:ascii="宋体" w:hAnsi="宋体" w:eastAsia="宋体" w:cs="宋体"/>
                <w:spacing w:val="7"/>
                <w:sz w:val="17"/>
                <w:szCs w:val="17"/>
              </w:rPr>
              <w:t>表</w:t>
            </w:r>
            <w:r>
              <w:rPr>
                <w:rFonts w:ascii="宋体" w:hAnsi="宋体" w:eastAsia="宋体" w:cs="宋体"/>
                <w:spacing w:val="6"/>
                <w:sz w:val="17"/>
                <w:szCs w:val="17"/>
              </w:rPr>
              <w:t>土</w:t>
            </w:r>
          </w:p>
        </w:tc>
        <w:tc>
          <w:tcPr>
            <w:tcW w:w="1458" w:type="dxa"/>
            <w:vAlign w:val="top"/>
          </w:tcPr>
          <w:p>
            <w:pPr>
              <w:spacing w:before="118" w:line="197" w:lineRule="auto"/>
              <w:ind w:left="68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211" w:type="dxa"/>
            <w:vAlign w:val="top"/>
          </w:tcPr>
          <w:p>
            <w:pPr>
              <w:spacing w:before="118" w:line="197" w:lineRule="auto"/>
              <w:ind w:left="565"/>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557" w:type="dxa"/>
            <w:vAlign w:val="top"/>
          </w:tcPr>
          <w:p>
            <w:pPr>
              <w:spacing w:before="118" w:line="197" w:lineRule="auto"/>
              <w:ind w:left="741"/>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925" w:type="dxa"/>
            <w:vAlign w:val="top"/>
          </w:tcPr>
          <w:p>
            <w:pPr>
              <w:spacing w:before="118" w:line="197" w:lineRule="auto"/>
              <w:ind w:left="427"/>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1" w:type="dxa"/>
            <w:vMerge w:val="continue"/>
            <w:tcBorders>
              <w:top w:val="nil"/>
              <w:left w:val="single" w:color="000000" w:sz="6" w:space="0"/>
              <w:bottom w:val="nil"/>
            </w:tcBorders>
            <w:vAlign w:val="top"/>
          </w:tcPr>
          <w:p>
            <w:pPr>
              <w:rPr>
                <w:rFonts w:ascii="Arial"/>
                <w:sz w:val="21"/>
              </w:rPr>
            </w:pPr>
          </w:p>
        </w:tc>
        <w:tc>
          <w:tcPr>
            <w:tcW w:w="1149" w:type="dxa"/>
            <w:vMerge w:val="restart"/>
            <w:tcBorders>
              <w:bottom w:val="nil"/>
            </w:tcBorders>
            <w:vAlign w:val="top"/>
          </w:tcPr>
          <w:p>
            <w:pPr>
              <w:spacing w:line="271" w:lineRule="auto"/>
              <w:rPr>
                <w:rFonts w:ascii="Arial"/>
                <w:sz w:val="21"/>
              </w:rPr>
            </w:pPr>
          </w:p>
          <w:p>
            <w:pPr>
              <w:spacing w:line="272" w:lineRule="auto"/>
              <w:rPr>
                <w:rFonts w:ascii="Arial"/>
                <w:sz w:val="21"/>
              </w:rPr>
            </w:pPr>
          </w:p>
          <w:p>
            <w:pPr>
              <w:spacing w:before="55" w:line="317" w:lineRule="auto"/>
              <w:ind w:left="266" w:right="97" w:firstLine="202"/>
              <w:rPr>
                <w:rFonts w:ascii="宋体" w:hAnsi="宋体" w:eastAsia="宋体" w:cs="宋体"/>
                <w:sz w:val="17"/>
                <w:szCs w:val="17"/>
              </w:rPr>
            </w:pPr>
            <w:r>
              <w:rPr>
                <w:rFonts w:ascii="宋体" w:hAnsi="宋体" w:eastAsia="宋体" w:cs="宋体"/>
                <w:spacing w:val="6"/>
                <w:sz w:val="17"/>
                <w:szCs w:val="17"/>
              </w:rPr>
              <w:t>余方</w:t>
            </w:r>
            <w:r>
              <w:rPr>
                <w:rFonts w:ascii="宋体" w:hAnsi="宋体" w:eastAsia="宋体" w:cs="宋体"/>
                <w:sz w:val="17"/>
                <w:szCs w:val="17"/>
              </w:rPr>
              <w:t xml:space="preserve">  </w:t>
            </w:r>
            <w:r>
              <w:rPr>
                <w:rFonts w:ascii="宋体" w:hAnsi="宋体" w:eastAsia="宋体" w:cs="宋体"/>
                <w:spacing w:val="-8"/>
                <w:sz w:val="17"/>
                <w:szCs w:val="17"/>
              </w:rPr>
              <w:t>(</w:t>
            </w:r>
            <w:r>
              <w:rPr>
                <w:rFonts w:ascii="宋体" w:hAnsi="宋体" w:eastAsia="宋体" w:cs="宋体"/>
                <w:spacing w:val="-5"/>
                <w:sz w:val="17"/>
                <w:szCs w:val="17"/>
              </w:rPr>
              <w:t>万</w:t>
            </w:r>
            <w:r>
              <w:rPr>
                <w:rFonts w:ascii="宋体" w:hAnsi="宋体" w:eastAsia="宋体" w:cs="宋体"/>
                <w:spacing w:val="-4"/>
                <w:sz w:val="17"/>
                <w:szCs w:val="17"/>
              </w:rPr>
              <w:t xml:space="preserve"> </w:t>
            </w:r>
            <w:r>
              <w:rPr>
                <w:rFonts w:ascii="Times New Roman" w:hAnsi="Times New Roman" w:eastAsia="Times New Roman" w:cs="Times New Roman"/>
                <w:spacing w:val="-4"/>
                <w:sz w:val="17"/>
                <w:szCs w:val="17"/>
              </w:rPr>
              <w:t>m</w:t>
            </w:r>
            <w:r>
              <w:rPr>
                <w:rFonts w:ascii="宋体" w:hAnsi="宋体" w:eastAsia="宋体" w:cs="宋体"/>
                <w:spacing w:val="-4"/>
                <w:sz w:val="17"/>
                <w:szCs w:val="17"/>
              </w:rPr>
              <w:t>³ )</w:t>
            </w:r>
          </w:p>
        </w:tc>
        <w:tc>
          <w:tcPr>
            <w:tcW w:w="806"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before="55" w:line="231" w:lineRule="auto"/>
              <w:ind w:left="162"/>
              <w:rPr>
                <w:rFonts w:ascii="宋体" w:hAnsi="宋体" w:eastAsia="宋体" w:cs="宋体"/>
                <w:sz w:val="17"/>
                <w:szCs w:val="17"/>
              </w:rPr>
            </w:pPr>
            <w:r>
              <w:rPr>
                <w:rFonts w:ascii="宋体" w:hAnsi="宋体" w:eastAsia="宋体" w:cs="宋体"/>
                <w:spacing w:val="-3"/>
                <w:sz w:val="17"/>
                <w:szCs w:val="17"/>
              </w:rPr>
              <w:t>自</w:t>
            </w:r>
            <w:r>
              <w:rPr>
                <w:rFonts w:ascii="宋体" w:hAnsi="宋体" w:eastAsia="宋体" w:cs="宋体"/>
                <w:spacing w:val="-2"/>
                <w:sz w:val="17"/>
                <w:szCs w:val="17"/>
              </w:rPr>
              <w:t>然方</w:t>
            </w:r>
          </w:p>
        </w:tc>
        <w:tc>
          <w:tcPr>
            <w:tcW w:w="1049" w:type="dxa"/>
            <w:vAlign w:val="top"/>
          </w:tcPr>
          <w:p>
            <w:pPr>
              <w:spacing w:before="87" w:line="232" w:lineRule="auto"/>
              <w:ind w:left="351"/>
              <w:rPr>
                <w:rFonts w:ascii="宋体" w:hAnsi="宋体" w:eastAsia="宋体" w:cs="宋体"/>
                <w:sz w:val="17"/>
                <w:szCs w:val="17"/>
              </w:rPr>
            </w:pPr>
            <w:r>
              <w:rPr>
                <w:rFonts w:ascii="宋体" w:hAnsi="宋体" w:eastAsia="宋体" w:cs="宋体"/>
                <w:spacing w:val="4"/>
                <w:sz w:val="17"/>
                <w:szCs w:val="17"/>
              </w:rPr>
              <w:t>小计</w:t>
            </w:r>
          </w:p>
        </w:tc>
        <w:tc>
          <w:tcPr>
            <w:tcW w:w="1458" w:type="dxa"/>
            <w:vAlign w:val="top"/>
          </w:tcPr>
          <w:p>
            <w:pPr>
              <w:spacing w:before="119" w:line="197" w:lineRule="auto"/>
              <w:ind w:left="68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211" w:type="dxa"/>
            <w:vAlign w:val="top"/>
          </w:tcPr>
          <w:p>
            <w:pPr>
              <w:spacing w:before="119" w:line="197" w:lineRule="auto"/>
              <w:ind w:left="565"/>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557" w:type="dxa"/>
            <w:vAlign w:val="top"/>
          </w:tcPr>
          <w:p>
            <w:pPr>
              <w:spacing w:before="119" w:line="197" w:lineRule="auto"/>
              <w:ind w:left="741"/>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925" w:type="dxa"/>
            <w:vAlign w:val="top"/>
          </w:tcPr>
          <w:p>
            <w:pPr>
              <w:spacing w:before="119" w:line="197" w:lineRule="auto"/>
              <w:ind w:left="427"/>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1" w:type="dxa"/>
            <w:vMerge w:val="continue"/>
            <w:tcBorders>
              <w:top w:val="nil"/>
              <w:left w:val="single" w:color="000000" w:sz="6" w:space="0"/>
              <w:bottom w:val="nil"/>
            </w:tcBorders>
            <w:vAlign w:val="top"/>
          </w:tcPr>
          <w:p>
            <w:pPr>
              <w:rPr>
                <w:rFonts w:ascii="Arial"/>
                <w:sz w:val="21"/>
              </w:rPr>
            </w:pPr>
          </w:p>
        </w:tc>
        <w:tc>
          <w:tcPr>
            <w:tcW w:w="1149" w:type="dxa"/>
            <w:vMerge w:val="continue"/>
            <w:tcBorders>
              <w:top w:val="nil"/>
              <w:bottom w:val="nil"/>
            </w:tcBorders>
            <w:vAlign w:val="top"/>
          </w:tcPr>
          <w:p>
            <w:pPr>
              <w:rPr>
                <w:rFonts w:ascii="Arial"/>
                <w:sz w:val="21"/>
              </w:rPr>
            </w:pPr>
          </w:p>
        </w:tc>
        <w:tc>
          <w:tcPr>
            <w:tcW w:w="806" w:type="dxa"/>
            <w:vMerge w:val="continue"/>
            <w:tcBorders>
              <w:top w:val="nil"/>
              <w:bottom w:val="nil"/>
            </w:tcBorders>
            <w:vAlign w:val="top"/>
          </w:tcPr>
          <w:p>
            <w:pPr>
              <w:rPr>
                <w:rFonts w:ascii="Arial"/>
                <w:sz w:val="21"/>
              </w:rPr>
            </w:pPr>
          </w:p>
        </w:tc>
        <w:tc>
          <w:tcPr>
            <w:tcW w:w="1049" w:type="dxa"/>
            <w:vAlign w:val="top"/>
          </w:tcPr>
          <w:p>
            <w:pPr>
              <w:spacing w:before="88" w:line="232" w:lineRule="auto"/>
              <w:ind w:left="347"/>
              <w:rPr>
                <w:rFonts w:ascii="宋体" w:hAnsi="宋体" w:eastAsia="宋体" w:cs="宋体"/>
                <w:sz w:val="17"/>
                <w:szCs w:val="17"/>
              </w:rPr>
            </w:pPr>
            <w:r>
              <w:rPr>
                <w:rFonts w:ascii="宋体" w:hAnsi="宋体" w:eastAsia="宋体" w:cs="宋体"/>
                <w:spacing w:val="6"/>
                <w:sz w:val="17"/>
                <w:szCs w:val="17"/>
              </w:rPr>
              <w:t>土方</w:t>
            </w:r>
          </w:p>
        </w:tc>
        <w:tc>
          <w:tcPr>
            <w:tcW w:w="1458" w:type="dxa"/>
            <w:vAlign w:val="top"/>
          </w:tcPr>
          <w:p>
            <w:pPr>
              <w:spacing w:before="119" w:line="197" w:lineRule="auto"/>
              <w:ind w:left="68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211" w:type="dxa"/>
            <w:vAlign w:val="top"/>
          </w:tcPr>
          <w:p>
            <w:pPr>
              <w:spacing w:before="119" w:line="197" w:lineRule="auto"/>
              <w:ind w:left="565"/>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557" w:type="dxa"/>
            <w:vAlign w:val="top"/>
          </w:tcPr>
          <w:p>
            <w:pPr>
              <w:spacing w:before="119" w:line="197" w:lineRule="auto"/>
              <w:ind w:left="741"/>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925" w:type="dxa"/>
            <w:vAlign w:val="top"/>
          </w:tcPr>
          <w:p>
            <w:pPr>
              <w:spacing w:before="119" w:line="197" w:lineRule="auto"/>
              <w:ind w:left="427"/>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1" w:type="dxa"/>
            <w:vMerge w:val="continue"/>
            <w:tcBorders>
              <w:top w:val="nil"/>
              <w:left w:val="single" w:color="000000" w:sz="6" w:space="0"/>
              <w:bottom w:val="nil"/>
            </w:tcBorders>
            <w:vAlign w:val="top"/>
          </w:tcPr>
          <w:p>
            <w:pPr>
              <w:rPr>
                <w:rFonts w:ascii="Arial"/>
                <w:sz w:val="21"/>
              </w:rPr>
            </w:pPr>
          </w:p>
        </w:tc>
        <w:tc>
          <w:tcPr>
            <w:tcW w:w="1149" w:type="dxa"/>
            <w:vMerge w:val="continue"/>
            <w:tcBorders>
              <w:top w:val="nil"/>
              <w:bottom w:val="nil"/>
            </w:tcBorders>
            <w:vAlign w:val="top"/>
          </w:tcPr>
          <w:p>
            <w:pPr>
              <w:rPr>
                <w:rFonts w:ascii="Arial"/>
                <w:sz w:val="21"/>
              </w:rPr>
            </w:pPr>
          </w:p>
        </w:tc>
        <w:tc>
          <w:tcPr>
            <w:tcW w:w="806" w:type="dxa"/>
            <w:vMerge w:val="continue"/>
            <w:tcBorders>
              <w:top w:val="nil"/>
              <w:bottom w:val="nil"/>
            </w:tcBorders>
            <w:vAlign w:val="top"/>
          </w:tcPr>
          <w:p>
            <w:pPr>
              <w:rPr>
                <w:rFonts w:ascii="Arial"/>
                <w:sz w:val="21"/>
              </w:rPr>
            </w:pPr>
          </w:p>
        </w:tc>
        <w:tc>
          <w:tcPr>
            <w:tcW w:w="1049" w:type="dxa"/>
            <w:vAlign w:val="top"/>
          </w:tcPr>
          <w:p>
            <w:pPr>
              <w:spacing w:before="89" w:line="232" w:lineRule="auto"/>
              <w:ind w:left="347"/>
              <w:rPr>
                <w:rFonts w:ascii="宋体" w:hAnsi="宋体" w:eastAsia="宋体" w:cs="宋体"/>
                <w:sz w:val="17"/>
                <w:szCs w:val="17"/>
              </w:rPr>
            </w:pPr>
            <w:r>
              <w:rPr>
                <w:rFonts w:ascii="宋体" w:hAnsi="宋体" w:eastAsia="宋体" w:cs="宋体"/>
                <w:spacing w:val="6"/>
                <w:sz w:val="17"/>
                <w:szCs w:val="17"/>
              </w:rPr>
              <w:t>石方</w:t>
            </w:r>
          </w:p>
        </w:tc>
        <w:tc>
          <w:tcPr>
            <w:tcW w:w="1458" w:type="dxa"/>
            <w:vAlign w:val="top"/>
          </w:tcPr>
          <w:p>
            <w:pPr>
              <w:spacing w:before="120" w:line="197" w:lineRule="auto"/>
              <w:ind w:left="68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211" w:type="dxa"/>
            <w:vAlign w:val="top"/>
          </w:tcPr>
          <w:p>
            <w:pPr>
              <w:spacing w:before="120" w:line="197" w:lineRule="auto"/>
              <w:ind w:left="565"/>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557" w:type="dxa"/>
            <w:vAlign w:val="top"/>
          </w:tcPr>
          <w:p>
            <w:pPr>
              <w:spacing w:before="120" w:line="197" w:lineRule="auto"/>
              <w:ind w:left="741"/>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925" w:type="dxa"/>
            <w:vAlign w:val="top"/>
          </w:tcPr>
          <w:p>
            <w:pPr>
              <w:spacing w:before="120" w:line="197" w:lineRule="auto"/>
              <w:ind w:left="427"/>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1" w:type="dxa"/>
            <w:vMerge w:val="continue"/>
            <w:tcBorders>
              <w:top w:val="nil"/>
              <w:left w:val="single" w:color="000000" w:sz="6" w:space="0"/>
              <w:bottom w:val="nil"/>
            </w:tcBorders>
            <w:vAlign w:val="top"/>
          </w:tcPr>
          <w:p>
            <w:pPr>
              <w:rPr>
                <w:rFonts w:ascii="Arial"/>
                <w:sz w:val="21"/>
              </w:rPr>
            </w:pPr>
          </w:p>
        </w:tc>
        <w:tc>
          <w:tcPr>
            <w:tcW w:w="1149" w:type="dxa"/>
            <w:vMerge w:val="continue"/>
            <w:tcBorders>
              <w:top w:val="nil"/>
              <w:bottom w:val="nil"/>
            </w:tcBorders>
            <w:vAlign w:val="top"/>
          </w:tcPr>
          <w:p>
            <w:pPr>
              <w:rPr>
                <w:rFonts w:ascii="Arial"/>
                <w:sz w:val="21"/>
              </w:rPr>
            </w:pPr>
          </w:p>
        </w:tc>
        <w:tc>
          <w:tcPr>
            <w:tcW w:w="806" w:type="dxa"/>
            <w:vMerge w:val="continue"/>
            <w:tcBorders>
              <w:top w:val="nil"/>
            </w:tcBorders>
            <w:vAlign w:val="top"/>
          </w:tcPr>
          <w:p>
            <w:pPr>
              <w:rPr>
                <w:rFonts w:ascii="Arial"/>
                <w:sz w:val="21"/>
              </w:rPr>
            </w:pPr>
          </w:p>
        </w:tc>
        <w:tc>
          <w:tcPr>
            <w:tcW w:w="1049" w:type="dxa"/>
            <w:vAlign w:val="top"/>
          </w:tcPr>
          <w:p>
            <w:pPr>
              <w:spacing w:before="89" w:line="232" w:lineRule="auto"/>
              <w:ind w:left="345"/>
              <w:rPr>
                <w:rFonts w:ascii="宋体" w:hAnsi="宋体" w:eastAsia="宋体" w:cs="宋体"/>
                <w:sz w:val="17"/>
                <w:szCs w:val="17"/>
              </w:rPr>
            </w:pPr>
            <w:r>
              <w:rPr>
                <w:rFonts w:ascii="宋体" w:hAnsi="宋体" w:eastAsia="宋体" w:cs="宋体"/>
                <w:spacing w:val="7"/>
                <w:sz w:val="17"/>
                <w:szCs w:val="17"/>
              </w:rPr>
              <w:t>表</w:t>
            </w:r>
            <w:r>
              <w:rPr>
                <w:rFonts w:ascii="宋体" w:hAnsi="宋体" w:eastAsia="宋体" w:cs="宋体"/>
                <w:spacing w:val="6"/>
                <w:sz w:val="17"/>
                <w:szCs w:val="17"/>
              </w:rPr>
              <w:t>土</w:t>
            </w:r>
          </w:p>
        </w:tc>
        <w:tc>
          <w:tcPr>
            <w:tcW w:w="1458" w:type="dxa"/>
            <w:vAlign w:val="top"/>
          </w:tcPr>
          <w:p>
            <w:pPr>
              <w:spacing w:before="118" w:line="197" w:lineRule="auto"/>
              <w:ind w:left="68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211" w:type="dxa"/>
            <w:vAlign w:val="top"/>
          </w:tcPr>
          <w:p>
            <w:pPr>
              <w:spacing w:before="118" w:line="197" w:lineRule="auto"/>
              <w:ind w:left="565"/>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557" w:type="dxa"/>
            <w:vAlign w:val="top"/>
          </w:tcPr>
          <w:p>
            <w:pPr>
              <w:spacing w:before="118" w:line="197" w:lineRule="auto"/>
              <w:ind w:left="741"/>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925" w:type="dxa"/>
            <w:vAlign w:val="top"/>
          </w:tcPr>
          <w:p>
            <w:pPr>
              <w:spacing w:before="118" w:line="197" w:lineRule="auto"/>
              <w:ind w:left="427"/>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01" w:type="dxa"/>
            <w:vMerge w:val="continue"/>
            <w:tcBorders>
              <w:top w:val="nil"/>
              <w:left w:val="single" w:color="000000" w:sz="6" w:space="0"/>
              <w:bottom w:val="nil"/>
            </w:tcBorders>
            <w:vAlign w:val="top"/>
          </w:tcPr>
          <w:p>
            <w:pPr>
              <w:rPr>
                <w:rFonts w:ascii="Arial"/>
                <w:sz w:val="21"/>
              </w:rPr>
            </w:pPr>
          </w:p>
        </w:tc>
        <w:tc>
          <w:tcPr>
            <w:tcW w:w="1149" w:type="dxa"/>
            <w:vMerge w:val="continue"/>
            <w:tcBorders>
              <w:top w:val="nil"/>
            </w:tcBorders>
            <w:vAlign w:val="top"/>
          </w:tcPr>
          <w:p>
            <w:pPr>
              <w:rPr>
                <w:rFonts w:ascii="Arial"/>
                <w:sz w:val="21"/>
              </w:rPr>
            </w:pPr>
          </w:p>
        </w:tc>
        <w:tc>
          <w:tcPr>
            <w:tcW w:w="1855" w:type="dxa"/>
            <w:gridSpan w:val="2"/>
            <w:vAlign w:val="top"/>
          </w:tcPr>
          <w:p>
            <w:pPr>
              <w:spacing w:before="99" w:line="232" w:lineRule="auto"/>
              <w:ind w:left="752"/>
              <w:rPr>
                <w:rFonts w:ascii="宋体" w:hAnsi="宋体" w:eastAsia="宋体" w:cs="宋体"/>
                <w:sz w:val="17"/>
                <w:szCs w:val="17"/>
              </w:rPr>
            </w:pPr>
            <w:r>
              <w:rPr>
                <w:rFonts w:ascii="宋体" w:hAnsi="宋体" w:eastAsia="宋体" w:cs="宋体"/>
                <w:spacing w:val="5"/>
                <w:sz w:val="17"/>
                <w:szCs w:val="17"/>
              </w:rPr>
              <w:t>去向</w:t>
            </w:r>
          </w:p>
        </w:tc>
        <w:tc>
          <w:tcPr>
            <w:tcW w:w="5151" w:type="dxa"/>
            <w:gridSpan w:val="4"/>
            <w:vAlign w:val="top"/>
          </w:tcPr>
          <w:p>
            <w:pPr>
              <w:spacing w:before="100" w:line="230" w:lineRule="auto"/>
              <w:ind w:left="2313"/>
              <w:rPr>
                <w:rFonts w:ascii="宋体" w:hAnsi="宋体" w:eastAsia="宋体" w:cs="宋体"/>
                <w:sz w:val="17"/>
                <w:szCs w:val="17"/>
              </w:rPr>
            </w:pPr>
            <w:r>
              <w:rPr>
                <w:rFonts w:ascii="宋体" w:hAnsi="宋体" w:eastAsia="宋体" w:cs="宋体"/>
                <w:spacing w:val="7"/>
                <w:sz w:val="17"/>
                <w:szCs w:val="17"/>
              </w:rPr>
              <w:t>无弃方</w:t>
            </w:r>
          </w:p>
        </w:tc>
        <w:tc>
          <w:tcPr>
            <w:tcW w:w="16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7" w:hRule="atLeast"/>
        </w:trPr>
        <w:tc>
          <w:tcPr>
            <w:tcW w:w="601" w:type="dxa"/>
            <w:vMerge w:val="continue"/>
            <w:tcBorders>
              <w:top w:val="nil"/>
              <w:left w:val="single" w:color="000000" w:sz="6" w:space="0"/>
            </w:tcBorders>
            <w:vAlign w:val="top"/>
          </w:tcPr>
          <w:p>
            <w:pPr>
              <w:rPr>
                <w:rFonts w:ascii="Arial"/>
                <w:sz w:val="21"/>
              </w:rPr>
            </w:pPr>
          </w:p>
        </w:tc>
        <w:tc>
          <w:tcPr>
            <w:tcW w:w="8316" w:type="dxa"/>
            <w:gridSpan w:val="8"/>
            <w:tcBorders>
              <w:right w:val="single" w:color="000000" w:sz="6" w:space="0"/>
            </w:tcBorders>
            <w:vAlign w:val="top"/>
          </w:tcPr>
          <w:p>
            <w:pPr>
              <w:spacing w:before="144" w:line="401" w:lineRule="exact"/>
              <w:ind w:left="529"/>
              <w:rPr>
                <w:rFonts w:ascii="宋体" w:hAnsi="宋体" w:eastAsia="宋体" w:cs="宋体"/>
                <w:sz w:val="20"/>
                <w:szCs w:val="20"/>
              </w:rPr>
            </w:pPr>
            <w:r>
              <w:rPr>
                <w:rFonts w:ascii="宋体" w:hAnsi="宋体" w:eastAsia="宋体" w:cs="宋体"/>
                <w:spacing w:val="1"/>
                <w:position w:val="14"/>
                <w:sz w:val="20"/>
                <w:szCs w:val="20"/>
              </w:rPr>
              <w:t xml:space="preserve">综上，本工程挖方总量为 </w:t>
            </w:r>
            <w:r>
              <w:rPr>
                <w:rFonts w:ascii="Times New Roman" w:hAnsi="Times New Roman" w:eastAsia="Times New Roman" w:cs="Times New Roman"/>
                <w:spacing w:val="1"/>
                <w:position w:val="14"/>
                <w:sz w:val="20"/>
                <w:szCs w:val="20"/>
              </w:rPr>
              <w:t xml:space="preserve">1. 10 </w:t>
            </w:r>
            <w:r>
              <w:rPr>
                <w:rFonts w:ascii="宋体" w:hAnsi="宋体" w:eastAsia="宋体" w:cs="宋体"/>
                <w:spacing w:val="1"/>
                <w:position w:val="14"/>
                <w:sz w:val="20"/>
                <w:szCs w:val="20"/>
              </w:rPr>
              <w:t xml:space="preserve">万 </w:t>
            </w:r>
            <w:r>
              <w:rPr>
                <w:rFonts w:ascii="Times New Roman" w:hAnsi="Times New Roman" w:eastAsia="Times New Roman" w:cs="Times New Roman"/>
                <w:position w:val="14"/>
                <w:sz w:val="20"/>
                <w:szCs w:val="20"/>
              </w:rPr>
              <w:t>m</w:t>
            </w:r>
            <w:r>
              <w:rPr>
                <w:rFonts w:ascii="Times New Roman" w:hAnsi="Times New Roman" w:eastAsia="Times New Roman" w:cs="Times New Roman"/>
                <w:spacing w:val="1"/>
                <w:position w:val="14"/>
                <w:sz w:val="20"/>
                <w:szCs w:val="20"/>
              </w:rPr>
              <w:t xml:space="preserve">³  </w:t>
            </w:r>
            <w:r>
              <w:rPr>
                <w:rFonts w:ascii="宋体" w:hAnsi="宋体" w:eastAsia="宋体" w:cs="宋体"/>
                <w:spacing w:val="1"/>
                <w:position w:val="14"/>
                <w:sz w:val="20"/>
                <w:szCs w:val="20"/>
              </w:rPr>
              <w:t xml:space="preserve">(含表土剥离 </w:t>
            </w:r>
            <w:r>
              <w:rPr>
                <w:rFonts w:ascii="Times New Roman" w:hAnsi="Times New Roman" w:eastAsia="Times New Roman" w:cs="Times New Roman"/>
                <w:spacing w:val="1"/>
                <w:position w:val="14"/>
                <w:sz w:val="20"/>
                <w:szCs w:val="20"/>
              </w:rPr>
              <w:t xml:space="preserve">0.09 </w:t>
            </w:r>
            <w:r>
              <w:rPr>
                <w:rFonts w:ascii="宋体" w:hAnsi="宋体" w:eastAsia="宋体" w:cs="宋体"/>
                <w:spacing w:val="1"/>
                <w:position w:val="14"/>
                <w:sz w:val="20"/>
                <w:szCs w:val="20"/>
              </w:rPr>
              <w:t xml:space="preserve">万 </w:t>
            </w:r>
            <w:r>
              <w:rPr>
                <w:rFonts w:ascii="Times New Roman" w:hAnsi="Times New Roman" w:eastAsia="Times New Roman" w:cs="Times New Roman"/>
                <w:position w:val="14"/>
                <w:sz w:val="20"/>
                <w:szCs w:val="20"/>
              </w:rPr>
              <w:t>m</w:t>
            </w:r>
            <w:r>
              <w:rPr>
                <w:rFonts w:ascii="Times New Roman" w:hAnsi="Times New Roman" w:eastAsia="Times New Roman" w:cs="Times New Roman"/>
                <w:spacing w:val="1"/>
                <w:position w:val="14"/>
                <w:sz w:val="20"/>
                <w:szCs w:val="20"/>
              </w:rPr>
              <w:t xml:space="preserve">³ </w:t>
            </w:r>
            <w:r>
              <w:rPr>
                <w:rFonts w:ascii="宋体" w:hAnsi="宋体" w:eastAsia="宋体" w:cs="宋体"/>
                <w:spacing w:val="1"/>
                <w:position w:val="14"/>
                <w:sz w:val="20"/>
                <w:szCs w:val="20"/>
              </w:rPr>
              <w:t>， 自然方</w:t>
            </w:r>
            <w:r>
              <w:rPr>
                <w:rFonts w:ascii="宋体" w:hAnsi="宋体" w:eastAsia="宋体" w:cs="宋体"/>
                <w:position w:val="14"/>
                <w:sz w:val="20"/>
                <w:szCs w:val="20"/>
              </w:rPr>
              <w:t>，下同) ，填</w:t>
            </w:r>
          </w:p>
          <w:p>
            <w:pPr>
              <w:spacing w:line="227" w:lineRule="auto"/>
              <w:ind w:left="107"/>
              <w:rPr>
                <w:rFonts w:ascii="宋体" w:hAnsi="宋体" w:eastAsia="宋体" w:cs="宋体"/>
                <w:sz w:val="20"/>
                <w:szCs w:val="20"/>
              </w:rPr>
            </w:pPr>
            <w:r>
              <w:rPr>
                <w:rFonts w:ascii="宋体" w:hAnsi="宋体" w:eastAsia="宋体" w:cs="宋体"/>
                <w:spacing w:val="2"/>
                <w:sz w:val="20"/>
                <w:szCs w:val="20"/>
              </w:rPr>
              <w:t xml:space="preserve">方总量为 </w:t>
            </w:r>
            <w:r>
              <w:rPr>
                <w:rFonts w:ascii="Times New Roman" w:hAnsi="Times New Roman" w:eastAsia="Times New Roman" w:cs="Times New Roman"/>
                <w:spacing w:val="2"/>
                <w:sz w:val="20"/>
                <w:szCs w:val="20"/>
              </w:rPr>
              <w:t xml:space="preserve">1. 10 </w:t>
            </w:r>
            <w:r>
              <w:rPr>
                <w:rFonts w:ascii="宋体" w:hAnsi="宋体" w:eastAsia="宋体" w:cs="宋体"/>
                <w:spacing w:val="2"/>
                <w:sz w:val="20"/>
                <w:szCs w:val="20"/>
              </w:rPr>
              <w:t>万</w:t>
            </w:r>
            <w:r>
              <w:rPr>
                <w:rFonts w:ascii="宋体" w:hAnsi="宋体" w:eastAsia="宋体" w:cs="宋体"/>
                <w:spacing w:val="1"/>
                <w:sz w:val="20"/>
                <w:szCs w:val="20"/>
              </w:rPr>
              <w:t xml:space="preserve"> </w:t>
            </w:r>
            <w:r>
              <w:rPr>
                <w:rFonts w:ascii="Times New Roman" w:hAnsi="Times New Roman" w:eastAsia="Times New Roman" w:cs="Times New Roman"/>
                <w:sz w:val="20"/>
                <w:szCs w:val="20"/>
              </w:rPr>
              <w:t>m</w:t>
            </w:r>
            <w:r>
              <w:rPr>
                <w:rFonts w:ascii="Times New Roman" w:hAnsi="Times New Roman" w:eastAsia="Times New Roman" w:cs="Times New Roman"/>
                <w:spacing w:val="1"/>
                <w:sz w:val="20"/>
                <w:szCs w:val="20"/>
              </w:rPr>
              <w:t xml:space="preserve">³  </w:t>
            </w:r>
            <w:r>
              <w:rPr>
                <w:rFonts w:ascii="宋体" w:hAnsi="宋体" w:eastAsia="宋体" w:cs="宋体"/>
                <w:spacing w:val="1"/>
                <w:sz w:val="20"/>
                <w:szCs w:val="20"/>
              </w:rPr>
              <w:t xml:space="preserve">(含表土回覆 </w:t>
            </w:r>
            <w:r>
              <w:rPr>
                <w:rFonts w:ascii="Times New Roman" w:hAnsi="Times New Roman" w:eastAsia="Times New Roman" w:cs="Times New Roman"/>
                <w:spacing w:val="1"/>
                <w:sz w:val="20"/>
                <w:szCs w:val="20"/>
              </w:rPr>
              <w:t xml:space="preserve">0.09 </w:t>
            </w:r>
            <w:r>
              <w:rPr>
                <w:rFonts w:ascii="宋体" w:hAnsi="宋体" w:eastAsia="宋体" w:cs="宋体"/>
                <w:spacing w:val="1"/>
                <w:sz w:val="20"/>
                <w:szCs w:val="20"/>
              </w:rPr>
              <w:t xml:space="preserve">万 </w:t>
            </w:r>
            <w:r>
              <w:rPr>
                <w:rFonts w:ascii="Times New Roman" w:hAnsi="Times New Roman" w:eastAsia="Times New Roman" w:cs="Times New Roman"/>
                <w:sz w:val="20"/>
                <w:szCs w:val="20"/>
              </w:rPr>
              <w:t>m</w:t>
            </w:r>
            <w:r>
              <w:rPr>
                <w:rFonts w:ascii="Times New Roman" w:hAnsi="Times New Roman" w:eastAsia="Times New Roman" w:cs="Times New Roman"/>
                <w:spacing w:val="1"/>
                <w:sz w:val="20"/>
                <w:szCs w:val="20"/>
              </w:rPr>
              <w:t>³</w:t>
            </w:r>
            <w:r>
              <w:rPr>
                <w:rFonts w:ascii="宋体" w:hAnsi="宋体" w:eastAsia="宋体" w:cs="宋体"/>
                <w:spacing w:val="1"/>
                <w:sz w:val="20"/>
                <w:szCs w:val="20"/>
              </w:rPr>
              <w:t>) ，无弃方产生，不设弃土场。</w:t>
            </w:r>
          </w:p>
        </w:tc>
      </w:tr>
    </w:tbl>
    <w:p>
      <w:pPr>
        <w:spacing w:line="156" w:lineRule="exact"/>
        <w:rPr>
          <w:rFonts w:ascii="Arial"/>
          <w:sz w:val="13"/>
        </w:rPr>
      </w:pPr>
    </w:p>
    <w:p>
      <w:pPr>
        <w:sectPr>
          <w:footerReference r:id="rId45" w:type="default"/>
          <w:pgSz w:w="11906" w:h="16839"/>
          <w:pgMar w:top="400" w:right="1487" w:bottom="1475" w:left="1486" w:header="0" w:footer="1315" w:gutter="0"/>
          <w:cols w:space="720" w:num="1"/>
        </w:sectPr>
      </w:pPr>
    </w:p>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1"/>
        <w:gridCol w:w="951"/>
        <w:gridCol w:w="4495"/>
        <w:gridCol w:w="662"/>
        <w:gridCol w:w="1300"/>
        <w:gridCol w:w="687"/>
        <w:gridCol w:w="2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3" w:hRule="atLeast"/>
        </w:trPr>
        <w:tc>
          <w:tcPr>
            <w:tcW w:w="601" w:type="dxa"/>
            <w:vMerge w:val="restart"/>
            <w:tcBorders>
              <w:left w:val="single" w:color="000000" w:sz="6" w:space="0"/>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28" w:lineRule="auto"/>
              <w:ind w:left="91"/>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p>
            <w:pPr>
              <w:spacing w:before="26" w:line="229" w:lineRule="auto"/>
              <w:ind w:left="9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组</w:t>
            </w:r>
            <w:r>
              <w:rPr>
                <w:rFonts w:ascii="宋体" w:hAnsi="宋体" w:eastAsia="宋体" w:cs="宋体"/>
                <w:spacing w:val="4"/>
                <w:sz w:val="20"/>
                <w:szCs w:val="20"/>
                <w14:textOutline w14:w="3795" w14:cap="sq" w14:cmpd="sng">
                  <w14:solidFill>
                    <w14:srgbClr w14:val="000000"/>
                  </w14:solidFill>
                  <w14:prstDash w14:val="solid"/>
                  <w14:bevel/>
                </w14:textOutline>
              </w:rPr>
              <w:t>成</w:t>
            </w:r>
          </w:p>
          <w:p>
            <w:pPr>
              <w:spacing w:before="22" w:line="230" w:lineRule="auto"/>
              <w:ind w:left="8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及规</w:t>
            </w:r>
          </w:p>
          <w:p>
            <w:pPr>
              <w:spacing w:before="24" w:line="228" w:lineRule="auto"/>
              <w:ind w:left="190"/>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模</w:t>
            </w:r>
          </w:p>
        </w:tc>
        <w:tc>
          <w:tcPr>
            <w:tcW w:w="8316" w:type="dxa"/>
            <w:gridSpan w:val="6"/>
            <w:tcBorders>
              <w:right w:val="single" w:color="000000" w:sz="6" w:space="0"/>
            </w:tcBorders>
            <w:vAlign w:val="top"/>
          </w:tcPr>
          <w:p>
            <w:pPr>
              <w:spacing w:before="144" w:line="242" w:lineRule="auto"/>
              <w:ind w:left="106"/>
              <w:rPr>
                <w:rFonts w:ascii="黑体" w:hAnsi="黑体" w:eastAsia="黑体" w:cs="黑体"/>
                <w:sz w:val="20"/>
                <w:szCs w:val="20"/>
              </w:rPr>
            </w:pPr>
            <w:r>
              <w:rPr>
                <w:rFonts w:ascii="Times New Roman" w:hAnsi="Times New Roman" w:eastAsia="Times New Roman" w:cs="Times New Roman"/>
                <w:spacing w:val="4"/>
                <w:sz w:val="20"/>
                <w:szCs w:val="20"/>
              </w:rPr>
              <w:t xml:space="preserve">7 </w:t>
            </w:r>
            <w:r>
              <w:rPr>
                <w:rFonts w:ascii="黑体" w:hAnsi="黑体" w:eastAsia="黑体" w:cs="黑体"/>
                <w:spacing w:val="4"/>
                <w:sz w:val="20"/>
                <w:szCs w:val="20"/>
              </w:rPr>
              <w:t>、工程占地与拆迁安</w:t>
            </w:r>
            <w:r>
              <w:rPr>
                <w:rFonts w:ascii="黑体" w:hAnsi="黑体" w:eastAsia="黑体" w:cs="黑体"/>
                <w:spacing w:val="1"/>
                <w:sz w:val="20"/>
                <w:szCs w:val="20"/>
              </w:rPr>
              <w:t>置</w:t>
            </w:r>
          </w:p>
          <w:p>
            <w:pPr>
              <w:spacing w:before="139" w:line="228" w:lineRule="auto"/>
              <w:ind w:left="536"/>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8"/>
                <w:sz w:val="20"/>
                <w:szCs w:val="20"/>
              </w:rPr>
              <w:t>1</w:t>
            </w: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宋体" w:hAnsi="宋体" w:eastAsia="宋体" w:cs="宋体"/>
                <w:spacing w:val="18"/>
                <w:sz w:val="20"/>
                <w:szCs w:val="20"/>
              </w:rPr>
              <w:t xml:space="preserve"> </w:t>
            </w:r>
            <w:r>
              <w:rPr>
                <w:rFonts w:ascii="宋体" w:hAnsi="宋体" w:eastAsia="宋体" w:cs="宋体"/>
                <w:spacing w:val="18"/>
                <w:sz w:val="20"/>
                <w:szCs w:val="20"/>
                <w14:textOutline w14:w="3795" w14:cap="sq" w14:cmpd="sng">
                  <w14:solidFill>
                    <w14:srgbClr w14:val="000000"/>
                  </w14:solidFill>
                  <w14:prstDash w14:val="solid"/>
                  <w14:bevel/>
                </w14:textOutline>
              </w:rPr>
              <w:t>工程占地</w:t>
            </w:r>
          </w:p>
          <w:p>
            <w:pPr>
              <w:spacing w:before="116" w:line="372" w:lineRule="auto"/>
              <w:ind w:left="106" w:right="102" w:firstLine="420"/>
              <w:rPr>
                <w:rFonts w:ascii="宋体" w:hAnsi="宋体" w:eastAsia="宋体" w:cs="宋体"/>
                <w:sz w:val="20"/>
                <w:szCs w:val="20"/>
              </w:rPr>
            </w:pPr>
            <w:r>
              <w:rPr>
                <w:rFonts w:ascii="宋体" w:hAnsi="宋体" w:eastAsia="宋体" w:cs="宋体"/>
                <w:spacing w:val="10"/>
                <w:sz w:val="20"/>
                <w:szCs w:val="20"/>
              </w:rPr>
              <w:t>本项目为</w:t>
            </w:r>
            <w:r>
              <w:rPr>
                <w:rFonts w:ascii="宋体" w:hAnsi="宋体" w:eastAsia="宋体" w:cs="宋体"/>
                <w:spacing w:val="7"/>
                <w:sz w:val="20"/>
                <w:szCs w:val="20"/>
              </w:rPr>
              <w:t>城</w:t>
            </w:r>
            <w:r>
              <w:rPr>
                <w:rFonts w:ascii="宋体" w:hAnsi="宋体" w:eastAsia="宋体" w:cs="宋体"/>
                <w:spacing w:val="5"/>
                <w:sz w:val="20"/>
                <w:szCs w:val="20"/>
              </w:rPr>
              <w:t xml:space="preserve">市桥梁建项目，总占地面积 </w:t>
            </w:r>
            <w:r>
              <w:rPr>
                <w:rFonts w:ascii="Times New Roman" w:hAnsi="Times New Roman" w:eastAsia="Times New Roman" w:cs="Times New Roman"/>
                <w:spacing w:val="5"/>
                <w:sz w:val="20"/>
                <w:szCs w:val="20"/>
              </w:rPr>
              <w:t>3.24</w:t>
            </w:r>
            <w:r>
              <w:rPr>
                <w:rFonts w:ascii="Times New Roman" w:hAnsi="Times New Roman" w:eastAsia="Times New Roman" w:cs="Times New Roman"/>
                <w:sz w:val="20"/>
                <w:szCs w:val="20"/>
              </w:rPr>
              <w:t>hm</w:t>
            </w:r>
            <w:r>
              <w:rPr>
                <w:rFonts w:ascii="Times New Roman" w:hAnsi="Times New Roman" w:eastAsia="Times New Roman" w:cs="Times New Roman"/>
                <w:spacing w:val="5"/>
                <w:sz w:val="20"/>
                <w:szCs w:val="20"/>
              </w:rPr>
              <w:t xml:space="preserve">² </w:t>
            </w:r>
            <w:r>
              <w:rPr>
                <w:rFonts w:ascii="宋体" w:hAnsi="宋体" w:eastAsia="宋体" w:cs="宋体"/>
                <w:spacing w:val="5"/>
                <w:sz w:val="20"/>
                <w:szCs w:val="20"/>
              </w:rPr>
              <w:t xml:space="preserve">，其中永久占地 </w:t>
            </w:r>
            <w:r>
              <w:rPr>
                <w:rFonts w:ascii="Times New Roman" w:hAnsi="Times New Roman" w:eastAsia="Times New Roman" w:cs="Times New Roman"/>
                <w:spacing w:val="5"/>
                <w:sz w:val="20"/>
                <w:szCs w:val="20"/>
              </w:rPr>
              <w:t>1.4019</w:t>
            </w:r>
            <w:r>
              <w:rPr>
                <w:rFonts w:ascii="Times New Roman" w:hAnsi="Times New Roman" w:eastAsia="Times New Roman" w:cs="Times New Roman"/>
                <w:sz w:val="20"/>
                <w:szCs w:val="20"/>
              </w:rPr>
              <w:t>hm</w:t>
            </w:r>
            <w:r>
              <w:rPr>
                <w:rFonts w:ascii="Times New Roman" w:hAnsi="Times New Roman" w:eastAsia="Times New Roman" w:cs="Times New Roman"/>
                <w:spacing w:val="5"/>
                <w:sz w:val="20"/>
                <w:szCs w:val="20"/>
              </w:rPr>
              <w:t xml:space="preserve">² </w:t>
            </w:r>
            <w:r>
              <w:rPr>
                <w:rFonts w:ascii="宋体" w:hAnsi="宋体" w:eastAsia="宋体" w:cs="宋体"/>
                <w:spacing w:val="5"/>
                <w:sz w:val="20"/>
                <w:szCs w:val="20"/>
              </w:rPr>
              <w:t>，临时占</w:t>
            </w:r>
            <w:r>
              <w:rPr>
                <w:rFonts w:ascii="宋体" w:hAnsi="宋体" w:eastAsia="宋体" w:cs="宋体"/>
                <w:sz w:val="20"/>
                <w:szCs w:val="20"/>
              </w:rPr>
              <w:t xml:space="preserve"> </w:t>
            </w:r>
            <w:r>
              <w:rPr>
                <w:rFonts w:ascii="宋体" w:hAnsi="宋体" w:eastAsia="宋体" w:cs="宋体"/>
                <w:spacing w:val="1"/>
                <w:sz w:val="20"/>
                <w:szCs w:val="20"/>
              </w:rPr>
              <w:t xml:space="preserve">地 </w:t>
            </w:r>
            <w:r>
              <w:rPr>
                <w:rFonts w:ascii="Times New Roman" w:hAnsi="Times New Roman" w:eastAsia="Times New Roman" w:cs="Times New Roman"/>
                <w:spacing w:val="1"/>
                <w:sz w:val="20"/>
                <w:szCs w:val="20"/>
              </w:rPr>
              <w:t>1.84</w:t>
            </w:r>
            <w:r>
              <w:rPr>
                <w:rFonts w:ascii="Times New Roman" w:hAnsi="Times New Roman" w:eastAsia="Times New Roman" w:cs="Times New Roman"/>
                <w:sz w:val="20"/>
                <w:szCs w:val="20"/>
              </w:rPr>
              <w:t>hm</w:t>
            </w:r>
            <w:r>
              <w:rPr>
                <w:rFonts w:ascii="Times New Roman" w:hAnsi="Times New Roman" w:eastAsia="Times New Roman" w:cs="Times New Roman"/>
                <w:spacing w:val="1"/>
                <w:sz w:val="20"/>
                <w:szCs w:val="20"/>
              </w:rPr>
              <w:t xml:space="preserve">² </w:t>
            </w:r>
            <w:r>
              <w:rPr>
                <w:rFonts w:ascii="宋体" w:hAnsi="宋体" w:eastAsia="宋体" w:cs="宋体"/>
                <w:spacing w:val="1"/>
                <w:sz w:val="20"/>
                <w:szCs w:val="20"/>
              </w:rPr>
              <w:t xml:space="preserve">。其中主体工程区占地 </w:t>
            </w:r>
            <w:r>
              <w:rPr>
                <w:rFonts w:ascii="Times New Roman" w:hAnsi="Times New Roman" w:eastAsia="Times New Roman" w:cs="Times New Roman"/>
                <w:spacing w:val="1"/>
                <w:sz w:val="20"/>
                <w:szCs w:val="20"/>
              </w:rPr>
              <w:t>1.40</w:t>
            </w:r>
            <w:r>
              <w:rPr>
                <w:rFonts w:ascii="Times New Roman" w:hAnsi="Times New Roman" w:eastAsia="Times New Roman" w:cs="Times New Roman"/>
                <w:sz w:val="20"/>
                <w:szCs w:val="20"/>
              </w:rPr>
              <w:t>hm</w:t>
            </w:r>
            <w:r>
              <w:rPr>
                <w:rFonts w:ascii="Times New Roman" w:hAnsi="Times New Roman" w:eastAsia="Times New Roman" w:cs="Times New Roman"/>
                <w:spacing w:val="1"/>
                <w:sz w:val="20"/>
                <w:szCs w:val="20"/>
              </w:rPr>
              <w:t xml:space="preserve">² </w:t>
            </w:r>
            <w:r>
              <w:rPr>
                <w:rFonts w:ascii="宋体" w:hAnsi="宋体" w:eastAsia="宋体" w:cs="宋体"/>
                <w:spacing w:val="1"/>
                <w:sz w:val="20"/>
                <w:szCs w:val="20"/>
              </w:rPr>
              <w:t xml:space="preserve">，施工便道区占地 </w:t>
            </w:r>
            <w:r>
              <w:rPr>
                <w:rFonts w:ascii="Times New Roman" w:hAnsi="Times New Roman" w:eastAsia="Times New Roman" w:cs="Times New Roman"/>
                <w:spacing w:val="1"/>
                <w:sz w:val="20"/>
                <w:szCs w:val="20"/>
              </w:rPr>
              <w:t>0.49</w:t>
            </w:r>
            <w:r>
              <w:rPr>
                <w:rFonts w:ascii="Times New Roman" w:hAnsi="Times New Roman" w:eastAsia="Times New Roman" w:cs="Times New Roman"/>
                <w:sz w:val="20"/>
                <w:szCs w:val="20"/>
              </w:rPr>
              <w:t>hm</w:t>
            </w:r>
            <w:r>
              <w:rPr>
                <w:rFonts w:ascii="Times New Roman" w:hAnsi="Times New Roman" w:eastAsia="Times New Roman" w:cs="Times New Roman"/>
                <w:spacing w:val="1"/>
                <w:sz w:val="20"/>
                <w:szCs w:val="20"/>
              </w:rPr>
              <w:t xml:space="preserve">² </w:t>
            </w:r>
            <w:r>
              <w:rPr>
                <w:rFonts w:ascii="宋体" w:hAnsi="宋体" w:eastAsia="宋体" w:cs="宋体"/>
                <w:spacing w:val="1"/>
                <w:sz w:val="20"/>
                <w:szCs w:val="20"/>
              </w:rPr>
              <w:t>，施工临时场地</w:t>
            </w:r>
            <w:r>
              <w:rPr>
                <w:rFonts w:ascii="宋体" w:hAnsi="宋体" w:eastAsia="宋体" w:cs="宋体"/>
                <w:sz w:val="20"/>
                <w:szCs w:val="20"/>
              </w:rPr>
              <w:t xml:space="preserve">区占 </w:t>
            </w:r>
            <w:r>
              <w:rPr>
                <w:rFonts w:ascii="宋体" w:hAnsi="宋体" w:eastAsia="宋体" w:cs="宋体"/>
                <w:spacing w:val="12"/>
                <w:sz w:val="20"/>
                <w:szCs w:val="20"/>
              </w:rPr>
              <w:t xml:space="preserve">地 </w:t>
            </w:r>
            <w:r>
              <w:rPr>
                <w:rFonts w:ascii="Times New Roman" w:hAnsi="Times New Roman" w:eastAsia="Times New Roman" w:cs="Times New Roman"/>
                <w:spacing w:val="12"/>
                <w:sz w:val="20"/>
                <w:szCs w:val="20"/>
              </w:rPr>
              <w:t>1.</w:t>
            </w:r>
            <w:r>
              <w:rPr>
                <w:rFonts w:ascii="Times New Roman" w:hAnsi="Times New Roman" w:eastAsia="Times New Roman" w:cs="Times New Roman"/>
                <w:spacing w:val="11"/>
                <w:sz w:val="20"/>
                <w:szCs w:val="20"/>
              </w:rPr>
              <w:t>3</w:t>
            </w:r>
            <w:r>
              <w:rPr>
                <w:rFonts w:ascii="Times New Roman" w:hAnsi="Times New Roman" w:eastAsia="Times New Roman" w:cs="Times New Roman"/>
                <w:spacing w:val="6"/>
                <w:sz w:val="20"/>
                <w:szCs w:val="20"/>
              </w:rPr>
              <w:t>5</w:t>
            </w:r>
            <w:r>
              <w:rPr>
                <w:rFonts w:ascii="Times New Roman" w:hAnsi="Times New Roman" w:eastAsia="Times New Roman" w:cs="Times New Roman"/>
                <w:sz w:val="20"/>
                <w:szCs w:val="20"/>
              </w:rPr>
              <w:t>hm</w:t>
            </w:r>
            <w:r>
              <w:rPr>
                <w:rFonts w:ascii="Times New Roman" w:hAnsi="Times New Roman" w:eastAsia="Times New Roman" w:cs="Times New Roman"/>
                <w:spacing w:val="6"/>
                <w:sz w:val="20"/>
                <w:szCs w:val="20"/>
              </w:rPr>
              <w:t xml:space="preserve">² </w:t>
            </w:r>
            <w:r>
              <w:rPr>
                <w:rFonts w:ascii="宋体" w:hAnsi="宋体" w:eastAsia="宋体" w:cs="宋体"/>
                <w:spacing w:val="6"/>
                <w:sz w:val="20"/>
                <w:szCs w:val="20"/>
              </w:rPr>
              <w:t>。本项目占地类型包括公共管理与公共服务用地、旱地、河滩地、交通运输用</w:t>
            </w:r>
            <w:r>
              <w:rPr>
                <w:rFonts w:ascii="宋体" w:hAnsi="宋体" w:eastAsia="宋体" w:cs="宋体"/>
                <w:sz w:val="20"/>
                <w:szCs w:val="20"/>
              </w:rPr>
              <w:t xml:space="preserve"> </w:t>
            </w:r>
            <w:r>
              <w:rPr>
                <w:rFonts w:ascii="宋体" w:hAnsi="宋体" w:eastAsia="宋体" w:cs="宋体"/>
                <w:spacing w:val="9"/>
                <w:sz w:val="20"/>
                <w:szCs w:val="20"/>
              </w:rPr>
              <w:t>地、水域用地。项目占地面积统计表如下所示。</w:t>
            </w:r>
          </w:p>
          <w:p>
            <w:pPr>
              <w:spacing w:line="230" w:lineRule="auto"/>
              <w:ind w:left="2660"/>
              <w:rPr>
                <w:rFonts w:ascii="黑体" w:hAnsi="黑体" w:eastAsia="黑体" w:cs="黑体"/>
                <w:sz w:val="19"/>
                <w:szCs w:val="19"/>
              </w:rPr>
            </w:pPr>
            <w:r>
              <w:rPr>
                <w:rFonts w:ascii="黑体" w:hAnsi="黑体" w:eastAsia="黑体" w:cs="黑体"/>
                <w:spacing w:val="12"/>
                <w:sz w:val="19"/>
                <w:szCs w:val="19"/>
              </w:rPr>
              <w:t>表</w:t>
            </w:r>
            <w:r>
              <w:rPr>
                <w:rFonts w:ascii="Times New Roman" w:hAnsi="Times New Roman" w:eastAsia="Times New Roman" w:cs="Times New Roman"/>
                <w:spacing w:val="7"/>
                <w:sz w:val="19"/>
                <w:szCs w:val="19"/>
              </w:rPr>
              <w:t xml:space="preserve">17    </w:t>
            </w:r>
            <w:r>
              <w:rPr>
                <w:rFonts w:ascii="黑体" w:hAnsi="黑体" w:eastAsia="黑体" w:cs="黑体"/>
                <w:spacing w:val="7"/>
                <w:sz w:val="19"/>
                <w:szCs w:val="19"/>
              </w:rPr>
              <w:t>工程占地类型及面积汇总表</w:t>
            </w:r>
          </w:p>
          <w:p>
            <w:pPr>
              <w:spacing w:line="68" w:lineRule="auto"/>
              <w:rPr>
                <w:rFonts w:ascii="Arial"/>
                <w:sz w:val="2"/>
              </w:rPr>
            </w:pPr>
          </w:p>
          <w:tbl>
            <w:tblPr>
              <w:tblStyle w:val="4"/>
              <w:tblW w:w="7944" w:type="dxa"/>
              <w:tblInd w:w="1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4"/>
              <w:gridCol w:w="1237"/>
              <w:gridCol w:w="616"/>
              <w:gridCol w:w="637"/>
              <w:gridCol w:w="686"/>
              <w:gridCol w:w="667"/>
              <w:gridCol w:w="822"/>
              <w:gridCol w:w="932"/>
              <w:gridCol w:w="9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404" w:type="dxa"/>
                  <w:vMerge w:val="restart"/>
                  <w:tcBorders>
                    <w:bottom w:val="nil"/>
                  </w:tcBorders>
                  <w:vAlign w:val="top"/>
                </w:tcPr>
                <w:p>
                  <w:pPr>
                    <w:spacing w:line="363" w:lineRule="auto"/>
                    <w:rPr>
                      <w:rFonts w:ascii="Arial"/>
                      <w:sz w:val="21"/>
                    </w:rPr>
                  </w:pPr>
                </w:p>
                <w:p>
                  <w:pPr>
                    <w:spacing w:before="55" w:line="231" w:lineRule="auto"/>
                    <w:ind w:left="348"/>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项目组成</w:t>
                  </w:r>
                </w:p>
              </w:tc>
              <w:tc>
                <w:tcPr>
                  <w:tcW w:w="3843" w:type="dxa"/>
                  <w:gridSpan w:val="5"/>
                  <w:vAlign w:val="top"/>
                </w:tcPr>
                <w:p>
                  <w:pPr>
                    <w:spacing w:before="11" w:line="245" w:lineRule="exact"/>
                    <w:ind w:left="1092"/>
                    <w:rPr>
                      <w:rFonts w:ascii="Times New Roman" w:hAnsi="Times New Roman" w:eastAsia="Times New Roman" w:cs="Times New Roman"/>
                      <w:sz w:val="17"/>
                      <w:szCs w:val="17"/>
                    </w:rPr>
                  </w:pPr>
                  <w:r>
                    <w:rPr>
                      <w:rFonts w:ascii="宋体" w:hAnsi="宋体" w:eastAsia="宋体" w:cs="宋体"/>
                      <w:spacing w:val="8"/>
                      <w:position w:val="2"/>
                      <w:sz w:val="17"/>
                      <w:szCs w:val="17"/>
                      <w14:textOutline w14:w="3226" w14:cap="sq" w14:cmpd="sng">
                        <w14:solidFill>
                          <w14:srgbClr w14:val="000000"/>
                        </w14:solidFill>
                        <w14:prstDash w14:val="solid"/>
                        <w14:bevel/>
                      </w14:textOutline>
                    </w:rPr>
                    <w:t>占</w:t>
                  </w:r>
                  <w:r>
                    <w:rPr>
                      <w:rFonts w:ascii="宋体" w:hAnsi="宋体" w:eastAsia="宋体" w:cs="宋体"/>
                      <w:spacing w:val="6"/>
                      <w:position w:val="2"/>
                      <w:sz w:val="17"/>
                      <w:szCs w:val="17"/>
                      <w14:textOutline w14:w="3226" w14:cap="sq" w14:cmpd="sng">
                        <w14:solidFill>
                          <w14:srgbClr w14:val="000000"/>
                        </w14:solidFill>
                        <w14:prstDash w14:val="solid"/>
                        <w14:bevel/>
                      </w14:textOutline>
                    </w:rPr>
                    <w:t>地类型及面积</w:t>
                  </w:r>
                  <w:r>
                    <w:rPr>
                      <w:rFonts w:ascii="Times New Roman" w:hAnsi="Times New Roman" w:eastAsia="Times New Roman" w:cs="Times New Roman"/>
                      <w:b/>
                      <w:bCs/>
                      <w:spacing w:val="6"/>
                      <w:position w:val="2"/>
                      <w:sz w:val="17"/>
                      <w:szCs w:val="17"/>
                    </w:rPr>
                    <w:t>(</w:t>
                  </w:r>
                  <w:r>
                    <w:rPr>
                      <w:rFonts w:ascii="Times New Roman" w:hAnsi="Times New Roman" w:eastAsia="Times New Roman" w:cs="Times New Roman"/>
                      <w:b/>
                      <w:bCs/>
                      <w:position w:val="2"/>
                      <w:sz w:val="17"/>
                      <w:szCs w:val="17"/>
                    </w:rPr>
                    <w:t>hm</w:t>
                  </w:r>
                  <w:r>
                    <w:rPr>
                      <w:rFonts w:ascii="宋体" w:hAnsi="宋体" w:eastAsia="宋体" w:cs="宋体"/>
                      <w:spacing w:val="6"/>
                      <w:position w:val="2"/>
                      <w:sz w:val="17"/>
                      <w:szCs w:val="17"/>
                      <w14:textOutline w14:w="3226" w14:cap="sq" w14:cmpd="sng">
                        <w14:solidFill>
                          <w14:srgbClr w14:val="000000"/>
                        </w14:solidFill>
                        <w14:prstDash w14:val="solid"/>
                        <w14:bevel/>
                      </w14:textOutline>
                    </w:rPr>
                    <w:t>²</w:t>
                  </w:r>
                  <w:r>
                    <w:rPr>
                      <w:rFonts w:ascii="Times New Roman" w:hAnsi="Times New Roman" w:eastAsia="Times New Roman" w:cs="Times New Roman"/>
                      <w:b/>
                      <w:bCs/>
                      <w:spacing w:val="6"/>
                      <w:position w:val="2"/>
                      <w:sz w:val="17"/>
                      <w:szCs w:val="17"/>
                    </w:rPr>
                    <w:t>)</w:t>
                  </w:r>
                </w:p>
              </w:tc>
              <w:tc>
                <w:tcPr>
                  <w:tcW w:w="822" w:type="dxa"/>
                  <w:vMerge w:val="restart"/>
                  <w:tcBorders>
                    <w:bottom w:val="nil"/>
                  </w:tcBorders>
                  <w:vAlign w:val="top"/>
                </w:tcPr>
                <w:p>
                  <w:pPr>
                    <w:spacing w:line="249" w:lineRule="auto"/>
                    <w:rPr>
                      <w:rFonts w:ascii="Arial"/>
                      <w:sz w:val="21"/>
                    </w:rPr>
                  </w:pPr>
                </w:p>
                <w:p>
                  <w:pPr>
                    <w:spacing w:before="55" w:line="212" w:lineRule="auto"/>
                    <w:ind w:left="234"/>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合计</w:t>
                  </w:r>
                </w:p>
                <w:p>
                  <w:pPr>
                    <w:spacing w:line="248" w:lineRule="exact"/>
                    <w:ind w:left="184"/>
                    <w:rPr>
                      <w:rFonts w:ascii="Times New Roman" w:hAnsi="Times New Roman" w:eastAsia="Times New Roman" w:cs="Times New Roman"/>
                      <w:sz w:val="17"/>
                      <w:szCs w:val="17"/>
                    </w:rPr>
                  </w:pPr>
                  <w:r>
                    <w:rPr>
                      <w:rFonts w:ascii="Times New Roman" w:hAnsi="Times New Roman" w:eastAsia="Times New Roman" w:cs="Times New Roman"/>
                      <w:b/>
                      <w:bCs/>
                      <w:spacing w:val="7"/>
                      <w:position w:val="3"/>
                      <w:sz w:val="17"/>
                      <w:szCs w:val="17"/>
                    </w:rPr>
                    <w:t>(</w:t>
                  </w:r>
                  <w:r>
                    <w:rPr>
                      <w:rFonts w:ascii="Times New Roman" w:hAnsi="Times New Roman" w:eastAsia="Times New Roman" w:cs="Times New Roman"/>
                      <w:b/>
                      <w:bCs/>
                      <w:position w:val="3"/>
                      <w:sz w:val="17"/>
                      <w:szCs w:val="17"/>
                    </w:rPr>
                    <w:t>hm</w:t>
                  </w:r>
                  <w:r>
                    <w:rPr>
                      <w:rFonts w:ascii="宋体" w:hAnsi="宋体" w:eastAsia="宋体" w:cs="宋体"/>
                      <w:spacing w:val="6"/>
                      <w:position w:val="3"/>
                      <w:sz w:val="17"/>
                      <w:szCs w:val="17"/>
                      <w14:textOutline w14:w="3268" w14:cap="sq" w14:cmpd="sng">
                        <w14:solidFill>
                          <w14:srgbClr w14:val="000000"/>
                        </w14:solidFill>
                        <w14:prstDash w14:val="solid"/>
                        <w14:bevel/>
                      </w14:textOutline>
                    </w:rPr>
                    <w:t>²</w:t>
                  </w:r>
                  <w:r>
                    <w:rPr>
                      <w:rFonts w:ascii="Times New Roman" w:hAnsi="Times New Roman" w:eastAsia="Times New Roman" w:cs="Times New Roman"/>
                      <w:b/>
                      <w:bCs/>
                      <w:spacing w:val="6"/>
                      <w:position w:val="3"/>
                      <w:sz w:val="17"/>
                      <w:szCs w:val="17"/>
                    </w:rPr>
                    <w:t>)</w:t>
                  </w:r>
                </w:p>
              </w:tc>
              <w:tc>
                <w:tcPr>
                  <w:tcW w:w="932" w:type="dxa"/>
                  <w:vMerge w:val="restart"/>
                  <w:tcBorders>
                    <w:bottom w:val="nil"/>
                  </w:tcBorders>
                  <w:vAlign w:val="top"/>
                </w:tcPr>
                <w:p>
                  <w:pPr>
                    <w:spacing w:line="248" w:lineRule="auto"/>
                    <w:rPr>
                      <w:rFonts w:ascii="Arial"/>
                      <w:sz w:val="21"/>
                    </w:rPr>
                  </w:pPr>
                </w:p>
                <w:p>
                  <w:pPr>
                    <w:spacing w:before="56" w:line="257" w:lineRule="auto"/>
                    <w:ind w:left="237" w:right="103" w:hanging="128"/>
                    <w:rPr>
                      <w:rFonts w:ascii="Times New Roman" w:hAnsi="Times New Roman" w:eastAsia="Times New Roman" w:cs="Times New Roman"/>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永</w:t>
                  </w:r>
                  <w:r>
                    <w:rPr>
                      <w:rFonts w:ascii="宋体" w:hAnsi="宋体" w:eastAsia="宋体" w:cs="宋体"/>
                      <w:spacing w:val="8"/>
                      <w:sz w:val="17"/>
                      <w:szCs w:val="17"/>
                      <w14:textOutline w14:w="3268" w14:cap="sq" w14:cmpd="sng">
                        <w14:solidFill>
                          <w14:srgbClr w14:val="000000"/>
                        </w14:solidFill>
                        <w14:prstDash w14:val="solid"/>
                        <w14:bevel/>
                      </w14:textOutline>
                    </w:rPr>
                    <w:t>久占地</w:t>
                  </w:r>
                  <w:r>
                    <w:rPr>
                      <w:rFonts w:ascii="宋体" w:hAnsi="宋体" w:eastAsia="宋体" w:cs="宋体"/>
                      <w:sz w:val="17"/>
                      <w:szCs w:val="17"/>
                    </w:rPr>
                    <w:t xml:space="preserve"> </w:t>
                  </w:r>
                  <w:r>
                    <w:rPr>
                      <w:rFonts w:ascii="Times New Roman" w:hAnsi="Times New Roman" w:eastAsia="Times New Roman" w:cs="Times New Roman"/>
                      <w:b/>
                      <w:bCs/>
                      <w:spacing w:val="7"/>
                      <w:sz w:val="17"/>
                      <w:szCs w:val="17"/>
                    </w:rPr>
                    <w:t>(</w:t>
                  </w:r>
                  <w:r>
                    <w:rPr>
                      <w:rFonts w:ascii="Times New Roman" w:hAnsi="Times New Roman" w:eastAsia="Times New Roman" w:cs="Times New Roman"/>
                      <w:b/>
                      <w:bCs/>
                      <w:sz w:val="17"/>
                      <w:szCs w:val="17"/>
                    </w:rPr>
                    <w:t>hm</w:t>
                  </w:r>
                  <w:r>
                    <w:rPr>
                      <w:rFonts w:ascii="宋体" w:hAnsi="宋体" w:eastAsia="宋体" w:cs="宋体"/>
                      <w:spacing w:val="6"/>
                      <w:sz w:val="17"/>
                      <w:szCs w:val="17"/>
                      <w14:textOutline w14:w="3268" w14:cap="sq" w14:cmpd="sng">
                        <w14:solidFill>
                          <w14:srgbClr w14:val="000000"/>
                        </w14:solidFill>
                        <w14:prstDash w14:val="solid"/>
                        <w14:bevel/>
                      </w14:textOutline>
                    </w:rPr>
                    <w:t>²</w:t>
                  </w:r>
                  <w:r>
                    <w:rPr>
                      <w:rFonts w:ascii="Times New Roman" w:hAnsi="Times New Roman" w:eastAsia="Times New Roman" w:cs="Times New Roman"/>
                      <w:b/>
                      <w:bCs/>
                      <w:spacing w:val="6"/>
                      <w:sz w:val="17"/>
                      <w:szCs w:val="17"/>
                    </w:rPr>
                    <w:t>)</w:t>
                  </w:r>
                </w:p>
              </w:tc>
              <w:tc>
                <w:tcPr>
                  <w:tcW w:w="943" w:type="dxa"/>
                  <w:vMerge w:val="restart"/>
                  <w:tcBorders>
                    <w:bottom w:val="nil"/>
                    <w:right w:val="nil"/>
                  </w:tcBorders>
                  <w:vAlign w:val="top"/>
                </w:tcPr>
                <w:p>
                  <w:pPr>
                    <w:spacing w:line="248" w:lineRule="auto"/>
                    <w:rPr>
                      <w:rFonts w:ascii="Arial"/>
                      <w:sz w:val="21"/>
                    </w:rPr>
                  </w:pPr>
                </w:p>
                <w:p>
                  <w:pPr>
                    <w:spacing w:before="56" w:line="257" w:lineRule="auto"/>
                    <w:ind w:left="241" w:right="112" w:hanging="119"/>
                    <w:rPr>
                      <w:rFonts w:ascii="Times New Roman" w:hAnsi="Times New Roman" w:eastAsia="Times New Roman" w:cs="Times New Roman"/>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临</w:t>
                  </w:r>
                  <w:r>
                    <w:rPr>
                      <w:rFonts w:ascii="宋体" w:hAnsi="宋体" w:eastAsia="宋体" w:cs="宋体"/>
                      <w:spacing w:val="6"/>
                      <w:sz w:val="17"/>
                      <w:szCs w:val="17"/>
                      <w14:textOutline w14:w="3268" w14:cap="sq" w14:cmpd="sng">
                        <w14:solidFill>
                          <w14:srgbClr w14:val="000000"/>
                        </w14:solidFill>
                        <w14:prstDash w14:val="solid"/>
                        <w14:bevel/>
                      </w14:textOutline>
                    </w:rPr>
                    <w:t>时占地</w:t>
                  </w:r>
                  <w:r>
                    <w:rPr>
                      <w:rFonts w:ascii="宋体" w:hAnsi="宋体" w:eastAsia="宋体" w:cs="宋体"/>
                      <w:sz w:val="17"/>
                      <w:szCs w:val="17"/>
                    </w:rPr>
                    <w:t xml:space="preserve"> </w:t>
                  </w:r>
                  <w:r>
                    <w:rPr>
                      <w:rFonts w:ascii="Times New Roman" w:hAnsi="Times New Roman" w:eastAsia="Times New Roman" w:cs="Times New Roman"/>
                      <w:b/>
                      <w:bCs/>
                      <w:spacing w:val="7"/>
                      <w:sz w:val="17"/>
                      <w:szCs w:val="17"/>
                    </w:rPr>
                    <w:t>(</w:t>
                  </w:r>
                  <w:r>
                    <w:rPr>
                      <w:rFonts w:ascii="Times New Roman" w:hAnsi="Times New Roman" w:eastAsia="Times New Roman" w:cs="Times New Roman"/>
                      <w:b/>
                      <w:bCs/>
                      <w:sz w:val="17"/>
                      <w:szCs w:val="17"/>
                    </w:rPr>
                    <w:t>hm</w:t>
                  </w:r>
                  <w:r>
                    <w:rPr>
                      <w:rFonts w:ascii="宋体" w:hAnsi="宋体" w:eastAsia="宋体" w:cs="宋体"/>
                      <w:spacing w:val="6"/>
                      <w:sz w:val="17"/>
                      <w:szCs w:val="17"/>
                      <w14:textOutline w14:w="3268" w14:cap="sq" w14:cmpd="sng">
                        <w14:solidFill>
                          <w14:srgbClr w14:val="000000"/>
                        </w14:solidFill>
                        <w14:prstDash w14:val="solid"/>
                        <w14:bevel/>
                      </w14:textOutline>
                    </w:rPr>
                    <w:t>²</w:t>
                  </w:r>
                  <w:r>
                    <w:rPr>
                      <w:rFonts w:ascii="Times New Roman" w:hAnsi="Times New Roman" w:eastAsia="Times New Roman" w:cs="Times New Roman"/>
                      <w:b/>
                      <w:bCs/>
                      <w:spacing w:val="6"/>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404" w:type="dxa"/>
                  <w:vMerge w:val="continue"/>
                  <w:tcBorders>
                    <w:top w:val="nil"/>
                    <w:bottom w:val="nil"/>
                  </w:tcBorders>
                  <w:vAlign w:val="top"/>
                </w:tcPr>
                <w:p>
                  <w:pPr>
                    <w:rPr>
                      <w:rFonts w:ascii="Arial"/>
                      <w:sz w:val="21"/>
                    </w:rPr>
                  </w:pPr>
                </w:p>
              </w:tc>
              <w:tc>
                <w:tcPr>
                  <w:tcW w:w="1237" w:type="dxa"/>
                  <w:vAlign w:val="top"/>
                </w:tcPr>
                <w:p>
                  <w:pPr>
                    <w:spacing w:before="43"/>
                    <w:ind w:left="168" w:right="77" w:hanging="84"/>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公</w:t>
                  </w:r>
                  <w:r>
                    <w:rPr>
                      <w:rFonts w:ascii="宋体" w:hAnsi="宋体" w:eastAsia="宋体" w:cs="宋体"/>
                      <w:spacing w:val="8"/>
                      <w:sz w:val="17"/>
                      <w:szCs w:val="17"/>
                      <w14:textOutline w14:w="3268" w14:cap="sq" w14:cmpd="sng">
                        <w14:solidFill>
                          <w14:srgbClr w14:val="000000"/>
                        </w14:solidFill>
                        <w14:prstDash w14:val="solid"/>
                        <w14:bevel/>
                      </w14:textOutline>
                    </w:rPr>
                    <w:t>共管理与公</w:t>
                  </w:r>
                  <w:r>
                    <w:rPr>
                      <w:rFonts w:ascii="宋体" w:hAnsi="宋体" w:eastAsia="宋体" w:cs="宋体"/>
                      <w:sz w:val="17"/>
                      <w:szCs w:val="17"/>
                    </w:rPr>
                    <w:t xml:space="preserve"> </w:t>
                  </w:r>
                  <w:r>
                    <w:rPr>
                      <w:rFonts w:ascii="宋体" w:hAnsi="宋体" w:eastAsia="宋体" w:cs="宋体"/>
                      <w:spacing w:val="10"/>
                      <w:sz w:val="17"/>
                      <w:szCs w:val="17"/>
                      <w14:textOutline w14:w="3268" w14:cap="sq" w14:cmpd="sng">
                        <w14:solidFill>
                          <w14:srgbClr w14:val="000000"/>
                        </w14:solidFill>
                        <w14:prstDash w14:val="solid"/>
                        <w14:bevel/>
                      </w14:textOutline>
                    </w:rPr>
                    <w:t>共</w:t>
                  </w:r>
                  <w:r>
                    <w:rPr>
                      <w:rFonts w:ascii="宋体" w:hAnsi="宋体" w:eastAsia="宋体" w:cs="宋体"/>
                      <w:spacing w:val="9"/>
                      <w:sz w:val="17"/>
                      <w:szCs w:val="17"/>
                      <w14:textOutline w14:w="3268" w14:cap="sq" w14:cmpd="sng">
                        <w14:solidFill>
                          <w14:srgbClr w14:val="000000"/>
                        </w14:solidFill>
                        <w14:prstDash w14:val="solid"/>
                        <w14:bevel/>
                      </w14:textOutline>
                    </w:rPr>
                    <w:t>服务用地</w:t>
                  </w:r>
                </w:p>
              </w:tc>
              <w:tc>
                <w:tcPr>
                  <w:tcW w:w="616" w:type="dxa"/>
                  <w:vMerge w:val="restart"/>
                  <w:tcBorders>
                    <w:bottom w:val="nil"/>
                  </w:tcBorders>
                  <w:vAlign w:val="top"/>
                </w:tcPr>
                <w:p>
                  <w:pPr>
                    <w:spacing w:before="288" w:line="232" w:lineRule="auto"/>
                    <w:ind w:left="132"/>
                    <w:rPr>
                      <w:rFonts w:ascii="宋体" w:hAnsi="宋体" w:eastAsia="宋体" w:cs="宋体"/>
                      <w:sz w:val="17"/>
                      <w:szCs w:val="17"/>
                    </w:rPr>
                  </w:pPr>
                  <w:r>
                    <w:rPr>
                      <w:rFonts w:ascii="宋体" w:hAnsi="宋体" w:eastAsia="宋体" w:cs="宋体"/>
                      <w:spacing w:val="5"/>
                      <w:sz w:val="17"/>
                      <w:szCs w:val="17"/>
                      <w14:textOutline w14:w="3268" w14:cap="sq" w14:cmpd="sng">
                        <w14:solidFill>
                          <w14:srgbClr w14:val="000000"/>
                        </w14:solidFill>
                        <w14:prstDash w14:val="solid"/>
                        <w14:bevel/>
                      </w14:textOutline>
                    </w:rPr>
                    <w:t>旱地</w:t>
                  </w:r>
                </w:p>
              </w:tc>
              <w:tc>
                <w:tcPr>
                  <w:tcW w:w="637" w:type="dxa"/>
                  <w:vMerge w:val="restart"/>
                  <w:tcBorders>
                    <w:bottom w:val="nil"/>
                  </w:tcBorders>
                  <w:vAlign w:val="top"/>
                </w:tcPr>
                <w:p>
                  <w:pPr>
                    <w:spacing w:before="288" w:line="231" w:lineRule="auto"/>
                    <w:ind w:left="49"/>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河</w:t>
                  </w:r>
                  <w:r>
                    <w:rPr>
                      <w:rFonts w:ascii="宋体" w:hAnsi="宋体" w:eastAsia="宋体" w:cs="宋体"/>
                      <w:spacing w:val="8"/>
                      <w:sz w:val="17"/>
                      <w:szCs w:val="17"/>
                      <w14:textOutline w14:w="3268" w14:cap="sq" w14:cmpd="sng">
                        <w14:solidFill>
                          <w14:srgbClr w14:val="000000"/>
                        </w14:solidFill>
                        <w14:prstDash w14:val="solid"/>
                        <w14:bevel/>
                      </w14:textOutline>
                    </w:rPr>
                    <w:t>滩地</w:t>
                  </w:r>
                </w:p>
              </w:tc>
              <w:tc>
                <w:tcPr>
                  <w:tcW w:w="686" w:type="dxa"/>
                  <w:vMerge w:val="restart"/>
                  <w:tcBorders>
                    <w:bottom w:val="nil"/>
                  </w:tcBorders>
                  <w:vAlign w:val="top"/>
                </w:tcPr>
                <w:p>
                  <w:pPr>
                    <w:spacing w:before="170" w:line="270" w:lineRule="auto"/>
                    <w:ind w:left="74" w:right="70" w:firstLine="4"/>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交通运</w:t>
                  </w:r>
                  <w:r>
                    <w:rPr>
                      <w:rFonts w:ascii="宋体" w:hAnsi="宋体" w:eastAsia="宋体" w:cs="宋体"/>
                      <w:sz w:val="17"/>
                      <w:szCs w:val="17"/>
                    </w:rPr>
                    <w:t xml:space="preserve"> </w:t>
                  </w:r>
                  <w:r>
                    <w:rPr>
                      <w:rFonts w:ascii="宋体" w:hAnsi="宋体" w:eastAsia="宋体" w:cs="宋体"/>
                      <w:spacing w:val="10"/>
                      <w:sz w:val="17"/>
                      <w:szCs w:val="17"/>
                      <w14:textOutline w14:w="3268" w14:cap="sq" w14:cmpd="sng">
                        <w14:solidFill>
                          <w14:srgbClr w14:val="000000"/>
                        </w14:solidFill>
                        <w14:prstDash w14:val="solid"/>
                        <w14:bevel/>
                      </w14:textOutline>
                    </w:rPr>
                    <w:t>输</w:t>
                  </w:r>
                  <w:r>
                    <w:rPr>
                      <w:rFonts w:ascii="宋体" w:hAnsi="宋体" w:eastAsia="宋体" w:cs="宋体"/>
                      <w:spacing w:val="8"/>
                      <w:sz w:val="17"/>
                      <w:szCs w:val="17"/>
                      <w14:textOutline w14:w="3268" w14:cap="sq" w14:cmpd="sng">
                        <w14:solidFill>
                          <w14:srgbClr w14:val="000000"/>
                        </w14:solidFill>
                        <w14:prstDash w14:val="solid"/>
                        <w14:bevel/>
                      </w14:textOutline>
                    </w:rPr>
                    <w:t>用地</w:t>
                  </w:r>
                </w:p>
              </w:tc>
              <w:tc>
                <w:tcPr>
                  <w:tcW w:w="667" w:type="dxa"/>
                  <w:vMerge w:val="restart"/>
                  <w:tcBorders>
                    <w:bottom w:val="nil"/>
                  </w:tcBorders>
                  <w:vAlign w:val="top"/>
                </w:tcPr>
                <w:p>
                  <w:pPr>
                    <w:spacing w:before="171" w:line="235" w:lineRule="exact"/>
                    <w:ind w:left="159"/>
                    <w:rPr>
                      <w:rFonts w:ascii="宋体" w:hAnsi="宋体" w:eastAsia="宋体" w:cs="宋体"/>
                      <w:sz w:val="17"/>
                      <w:szCs w:val="17"/>
                    </w:rPr>
                  </w:pPr>
                  <w:r>
                    <w:rPr>
                      <w:rFonts w:ascii="宋体" w:hAnsi="宋体" w:eastAsia="宋体" w:cs="宋体"/>
                      <w:spacing w:val="5"/>
                      <w:position w:val="4"/>
                      <w:sz w:val="17"/>
                      <w:szCs w:val="17"/>
                      <w14:textOutline w14:w="3268" w14:cap="sq" w14:cmpd="sng">
                        <w14:solidFill>
                          <w14:srgbClr w14:val="000000"/>
                        </w14:solidFill>
                        <w14:prstDash w14:val="solid"/>
                        <w14:bevel/>
                      </w14:textOutline>
                    </w:rPr>
                    <w:t>水域</w:t>
                  </w:r>
                </w:p>
                <w:p>
                  <w:pPr>
                    <w:spacing w:line="231" w:lineRule="auto"/>
                    <w:ind w:left="158"/>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用</w:t>
                  </w:r>
                  <w:r>
                    <w:rPr>
                      <w:rFonts w:ascii="宋体" w:hAnsi="宋体" w:eastAsia="宋体" w:cs="宋体"/>
                      <w:spacing w:val="5"/>
                      <w:sz w:val="17"/>
                      <w:szCs w:val="17"/>
                      <w14:textOutline w14:w="3268" w14:cap="sq" w14:cmpd="sng">
                        <w14:solidFill>
                          <w14:srgbClr w14:val="000000"/>
                        </w14:solidFill>
                        <w14:prstDash w14:val="solid"/>
                        <w14:bevel/>
                      </w14:textOutline>
                    </w:rPr>
                    <w:t>地</w:t>
                  </w:r>
                </w:p>
              </w:tc>
              <w:tc>
                <w:tcPr>
                  <w:tcW w:w="822" w:type="dxa"/>
                  <w:vMerge w:val="continue"/>
                  <w:tcBorders>
                    <w:top w:val="nil"/>
                    <w:bottom w:val="nil"/>
                  </w:tcBorders>
                  <w:vAlign w:val="top"/>
                </w:tcPr>
                <w:p>
                  <w:pPr>
                    <w:rPr>
                      <w:rFonts w:ascii="Arial"/>
                      <w:sz w:val="21"/>
                    </w:rPr>
                  </w:pPr>
                </w:p>
              </w:tc>
              <w:tc>
                <w:tcPr>
                  <w:tcW w:w="932" w:type="dxa"/>
                  <w:vMerge w:val="continue"/>
                  <w:tcBorders>
                    <w:top w:val="nil"/>
                    <w:bottom w:val="nil"/>
                  </w:tcBorders>
                  <w:vAlign w:val="top"/>
                </w:tcPr>
                <w:p>
                  <w:pPr>
                    <w:rPr>
                      <w:rFonts w:ascii="Arial"/>
                      <w:sz w:val="21"/>
                    </w:rPr>
                  </w:pPr>
                </w:p>
              </w:tc>
              <w:tc>
                <w:tcPr>
                  <w:tcW w:w="943"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 w:hRule="atLeast"/>
              </w:trPr>
              <w:tc>
                <w:tcPr>
                  <w:tcW w:w="1404" w:type="dxa"/>
                  <w:vMerge w:val="continue"/>
                  <w:tcBorders>
                    <w:top w:val="nil"/>
                  </w:tcBorders>
                  <w:vAlign w:val="top"/>
                </w:tcPr>
                <w:p>
                  <w:pPr>
                    <w:rPr>
                      <w:rFonts w:ascii="Arial"/>
                      <w:sz w:val="21"/>
                    </w:rPr>
                  </w:pPr>
                </w:p>
              </w:tc>
              <w:tc>
                <w:tcPr>
                  <w:tcW w:w="1237" w:type="dxa"/>
                  <w:vAlign w:val="top"/>
                </w:tcPr>
                <w:p>
                  <w:pPr>
                    <w:spacing w:before="44" w:line="226" w:lineRule="auto"/>
                    <w:ind w:left="83"/>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市</w:t>
                  </w:r>
                  <w:r>
                    <w:rPr>
                      <w:rFonts w:ascii="宋体" w:hAnsi="宋体" w:eastAsia="宋体" w:cs="宋体"/>
                      <w:spacing w:val="8"/>
                      <w:sz w:val="17"/>
                      <w:szCs w:val="17"/>
                      <w14:textOutline w14:w="3268" w14:cap="sq" w14:cmpd="sng">
                        <w14:solidFill>
                          <w14:srgbClr w14:val="000000"/>
                        </w14:solidFill>
                        <w14:prstDash w14:val="solid"/>
                        <w14:bevel/>
                      </w14:textOutline>
                    </w:rPr>
                    <w:t>政绿化用地</w:t>
                  </w:r>
                </w:p>
              </w:tc>
              <w:tc>
                <w:tcPr>
                  <w:tcW w:w="616" w:type="dxa"/>
                  <w:vMerge w:val="continue"/>
                  <w:tcBorders>
                    <w:top w:val="nil"/>
                  </w:tcBorders>
                  <w:vAlign w:val="top"/>
                </w:tcPr>
                <w:p>
                  <w:pPr>
                    <w:rPr>
                      <w:rFonts w:ascii="Arial"/>
                      <w:sz w:val="21"/>
                    </w:rPr>
                  </w:pPr>
                </w:p>
              </w:tc>
              <w:tc>
                <w:tcPr>
                  <w:tcW w:w="637" w:type="dxa"/>
                  <w:vMerge w:val="continue"/>
                  <w:tcBorders>
                    <w:top w:val="nil"/>
                  </w:tcBorders>
                  <w:vAlign w:val="top"/>
                </w:tcPr>
                <w:p>
                  <w:pPr>
                    <w:rPr>
                      <w:rFonts w:ascii="Arial"/>
                      <w:sz w:val="21"/>
                    </w:rPr>
                  </w:pPr>
                </w:p>
              </w:tc>
              <w:tc>
                <w:tcPr>
                  <w:tcW w:w="686" w:type="dxa"/>
                  <w:vMerge w:val="continue"/>
                  <w:tcBorders>
                    <w:top w:val="nil"/>
                  </w:tcBorders>
                  <w:vAlign w:val="top"/>
                </w:tcPr>
                <w:p>
                  <w:pPr>
                    <w:rPr>
                      <w:rFonts w:ascii="Arial"/>
                      <w:sz w:val="21"/>
                    </w:rPr>
                  </w:pPr>
                </w:p>
              </w:tc>
              <w:tc>
                <w:tcPr>
                  <w:tcW w:w="667" w:type="dxa"/>
                  <w:vMerge w:val="continue"/>
                  <w:tcBorders>
                    <w:top w:val="nil"/>
                  </w:tcBorders>
                  <w:vAlign w:val="top"/>
                </w:tcPr>
                <w:p>
                  <w:pPr>
                    <w:rPr>
                      <w:rFonts w:ascii="Arial"/>
                      <w:sz w:val="21"/>
                    </w:rPr>
                  </w:pPr>
                </w:p>
              </w:tc>
              <w:tc>
                <w:tcPr>
                  <w:tcW w:w="822" w:type="dxa"/>
                  <w:vMerge w:val="continue"/>
                  <w:tcBorders>
                    <w:top w:val="nil"/>
                  </w:tcBorders>
                  <w:vAlign w:val="top"/>
                </w:tcPr>
                <w:p>
                  <w:pPr>
                    <w:rPr>
                      <w:rFonts w:ascii="Arial"/>
                      <w:sz w:val="21"/>
                    </w:rPr>
                  </w:pPr>
                </w:p>
              </w:tc>
              <w:tc>
                <w:tcPr>
                  <w:tcW w:w="932" w:type="dxa"/>
                  <w:vMerge w:val="continue"/>
                  <w:tcBorders>
                    <w:top w:val="nil"/>
                  </w:tcBorders>
                  <w:vAlign w:val="top"/>
                </w:tcPr>
                <w:p>
                  <w:pPr>
                    <w:rPr>
                      <w:rFonts w:ascii="Arial"/>
                      <w:sz w:val="21"/>
                    </w:rPr>
                  </w:pPr>
                </w:p>
              </w:tc>
              <w:tc>
                <w:tcPr>
                  <w:tcW w:w="943"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404" w:type="dxa"/>
                  <w:vAlign w:val="top"/>
                </w:tcPr>
                <w:p>
                  <w:pPr>
                    <w:spacing w:before="43"/>
                    <w:ind w:left="237" w:right="218" w:firstLine="18"/>
                    <w:rPr>
                      <w:rFonts w:ascii="Times New Roman" w:hAnsi="Times New Roman" w:eastAsia="Times New Roman" w:cs="Times New Roman"/>
                      <w:sz w:val="17"/>
                      <w:szCs w:val="17"/>
                    </w:rPr>
                  </w:pPr>
                  <w:r>
                    <w:rPr>
                      <w:rFonts w:ascii="宋体" w:hAnsi="宋体" w:eastAsia="宋体" w:cs="宋体"/>
                      <w:spacing w:val="11"/>
                      <w:sz w:val="17"/>
                      <w:szCs w:val="17"/>
                    </w:rPr>
                    <w:t>道</w:t>
                  </w:r>
                  <w:r>
                    <w:rPr>
                      <w:rFonts w:ascii="宋体" w:hAnsi="宋体" w:eastAsia="宋体" w:cs="宋体"/>
                      <w:spacing w:val="8"/>
                      <w:sz w:val="17"/>
                      <w:szCs w:val="17"/>
                    </w:rPr>
                    <w:t>路、桥梁</w:t>
                  </w:r>
                  <w:r>
                    <w:rPr>
                      <w:rFonts w:ascii="宋体" w:hAnsi="宋体" w:eastAsia="宋体" w:cs="宋体"/>
                      <w:sz w:val="17"/>
                      <w:szCs w:val="17"/>
                    </w:rPr>
                    <w:t xml:space="preserve"> </w:t>
                  </w:r>
                  <w:r>
                    <w:rPr>
                      <w:rFonts w:ascii="宋体" w:hAnsi="宋体" w:eastAsia="宋体" w:cs="宋体"/>
                      <w:spacing w:val="21"/>
                      <w:sz w:val="17"/>
                      <w:szCs w:val="17"/>
                    </w:rPr>
                    <w:t>(</w:t>
                  </w:r>
                  <w:r>
                    <w:rPr>
                      <w:rFonts w:ascii="宋体" w:hAnsi="宋体" w:eastAsia="宋体" w:cs="宋体"/>
                      <w:spacing w:val="20"/>
                      <w:sz w:val="17"/>
                      <w:szCs w:val="17"/>
                    </w:rPr>
                    <w:t>主体工程</w:t>
                  </w:r>
                  <w:r>
                    <w:rPr>
                      <w:rFonts w:ascii="Times New Roman" w:hAnsi="Times New Roman" w:eastAsia="Times New Roman" w:cs="Times New Roman"/>
                      <w:spacing w:val="20"/>
                      <w:sz w:val="17"/>
                      <w:szCs w:val="17"/>
                    </w:rPr>
                    <w:t>)</w:t>
                  </w:r>
                </w:p>
              </w:tc>
              <w:tc>
                <w:tcPr>
                  <w:tcW w:w="1237" w:type="dxa"/>
                  <w:vAlign w:val="top"/>
                </w:tcPr>
                <w:p>
                  <w:pPr>
                    <w:spacing w:before="190" w:line="197" w:lineRule="auto"/>
                    <w:ind w:left="46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0.2</w:t>
                  </w:r>
                  <w:r>
                    <w:rPr>
                      <w:rFonts w:ascii="Times New Roman" w:hAnsi="Times New Roman" w:eastAsia="Times New Roman" w:cs="Times New Roman"/>
                      <w:spacing w:val="2"/>
                      <w:sz w:val="17"/>
                      <w:szCs w:val="17"/>
                    </w:rPr>
                    <w:t>9</w:t>
                  </w:r>
                </w:p>
              </w:tc>
              <w:tc>
                <w:tcPr>
                  <w:tcW w:w="616" w:type="dxa"/>
                  <w:vAlign w:val="top"/>
                </w:tcPr>
                <w:p>
                  <w:pPr>
                    <w:spacing w:before="190" w:line="197" w:lineRule="auto"/>
                    <w:ind w:left="6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0</w:t>
                  </w:r>
                  <w:r>
                    <w:rPr>
                      <w:rFonts w:ascii="Times New Roman" w:hAnsi="Times New Roman" w:eastAsia="Times New Roman" w:cs="Times New Roman"/>
                      <w:spacing w:val="3"/>
                      <w:sz w:val="17"/>
                      <w:szCs w:val="17"/>
                    </w:rPr>
                    <w:t>.0954</w:t>
                  </w:r>
                </w:p>
              </w:tc>
              <w:tc>
                <w:tcPr>
                  <w:tcW w:w="637" w:type="dxa"/>
                  <w:vAlign w:val="top"/>
                </w:tcPr>
                <w:p>
                  <w:pPr>
                    <w:spacing w:before="190" w:line="197" w:lineRule="auto"/>
                    <w:ind w:left="7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0. 1002</w:t>
                  </w:r>
                </w:p>
              </w:tc>
              <w:tc>
                <w:tcPr>
                  <w:tcW w:w="686" w:type="dxa"/>
                  <w:vAlign w:val="top"/>
                </w:tcPr>
                <w:p>
                  <w:pPr>
                    <w:spacing w:before="190" w:line="197" w:lineRule="auto"/>
                    <w:ind w:left="98"/>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0</w:t>
                  </w:r>
                  <w:r>
                    <w:rPr>
                      <w:rFonts w:ascii="Times New Roman" w:hAnsi="Times New Roman" w:eastAsia="Times New Roman" w:cs="Times New Roman"/>
                      <w:spacing w:val="3"/>
                      <w:sz w:val="17"/>
                      <w:szCs w:val="17"/>
                    </w:rPr>
                    <w:t>.4226</w:t>
                  </w:r>
                </w:p>
              </w:tc>
              <w:tc>
                <w:tcPr>
                  <w:tcW w:w="667" w:type="dxa"/>
                  <w:vAlign w:val="top"/>
                </w:tcPr>
                <w:p>
                  <w:pPr>
                    <w:spacing w:before="190" w:line="197" w:lineRule="auto"/>
                    <w:ind w:left="89"/>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0</w:t>
                  </w:r>
                  <w:r>
                    <w:rPr>
                      <w:rFonts w:ascii="Times New Roman" w:hAnsi="Times New Roman" w:eastAsia="Times New Roman" w:cs="Times New Roman"/>
                      <w:spacing w:val="3"/>
                      <w:sz w:val="17"/>
                      <w:szCs w:val="17"/>
                    </w:rPr>
                    <w:t>.4937</w:t>
                  </w:r>
                </w:p>
              </w:tc>
              <w:tc>
                <w:tcPr>
                  <w:tcW w:w="822" w:type="dxa"/>
                  <w:vAlign w:val="top"/>
                </w:tcPr>
                <w:p>
                  <w:pPr>
                    <w:spacing w:before="189" w:line="200" w:lineRule="auto"/>
                    <w:ind w:left="18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.4019</w:t>
                  </w:r>
                </w:p>
              </w:tc>
              <w:tc>
                <w:tcPr>
                  <w:tcW w:w="932" w:type="dxa"/>
                  <w:vAlign w:val="top"/>
                </w:tcPr>
                <w:p>
                  <w:pPr>
                    <w:spacing w:before="189" w:line="200"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.4019</w:t>
                  </w:r>
                </w:p>
              </w:tc>
              <w:tc>
                <w:tcPr>
                  <w:tcW w:w="94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 w:hRule="atLeast"/>
              </w:trPr>
              <w:tc>
                <w:tcPr>
                  <w:tcW w:w="1404" w:type="dxa"/>
                  <w:vAlign w:val="top"/>
                </w:tcPr>
                <w:p>
                  <w:pPr>
                    <w:spacing w:before="44" w:line="226" w:lineRule="auto"/>
                    <w:ind w:left="255"/>
                    <w:rPr>
                      <w:rFonts w:ascii="宋体" w:hAnsi="宋体" w:eastAsia="宋体" w:cs="宋体"/>
                      <w:sz w:val="17"/>
                      <w:szCs w:val="17"/>
                    </w:rPr>
                  </w:pPr>
                  <w:r>
                    <w:rPr>
                      <w:rFonts w:ascii="宋体" w:hAnsi="宋体" w:eastAsia="宋体" w:cs="宋体"/>
                      <w:spacing w:val="11"/>
                      <w:sz w:val="17"/>
                      <w:szCs w:val="17"/>
                    </w:rPr>
                    <w:t>施</w:t>
                  </w:r>
                  <w:r>
                    <w:rPr>
                      <w:rFonts w:ascii="宋体" w:hAnsi="宋体" w:eastAsia="宋体" w:cs="宋体"/>
                      <w:spacing w:val="8"/>
                      <w:sz w:val="17"/>
                      <w:szCs w:val="17"/>
                    </w:rPr>
                    <w:t>工便道区</w:t>
                  </w:r>
                </w:p>
              </w:tc>
              <w:tc>
                <w:tcPr>
                  <w:tcW w:w="1237" w:type="dxa"/>
                  <w:vAlign w:val="top"/>
                </w:tcPr>
                <w:p>
                  <w:pPr>
                    <w:rPr>
                      <w:rFonts w:ascii="Arial"/>
                      <w:sz w:val="21"/>
                    </w:rPr>
                  </w:pPr>
                </w:p>
              </w:tc>
              <w:tc>
                <w:tcPr>
                  <w:tcW w:w="616" w:type="dxa"/>
                  <w:vAlign w:val="top"/>
                </w:tcPr>
                <w:p>
                  <w:pPr>
                    <w:rPr>
                      <w:rFonts w:ascii="Arial"/>
                      <w:sz w:val="21"/>
                    </w:rPr>
                  </w:pPr>
                </w:p>
              </w:tc>
              <w:tc>
                <w:tcPr>
                  <w:tcW w:w="637" w:type="dxa"/>
                  <w:vAlign w:val="top"/>
                </w:tcPr>
                <w:p>
                  <w:pPr>
                    <w:rPr>
                      <w:rFonts w:ascii="Arial"/>
                      <w:sz w:val="21"/>
                    </w:rPr>
                  </w:pPr>
                </w:p>
              </w:tc>
              <w:tc>
                <w:tcPr>
                  <w:tcW w:w="686" w:type="dxa"/>
                  <w:vAlign w:val="top"/>
                </w:tcPr>
                <w:p>
                  <w:pPr>
                    <w:spacing w:before="76"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0.4</w:t>
                  </w:r>
                  <w:r>
                    <w:rPr>
                      <w:rFonts w:ascii="Times New Roman" w:hAnsi="Times New Roman" w:eastAsia="Times New Roman" w:cs="Times New Roman"/>
                      <w:spacing w:val="2"/>
                      <w:sz w:val="17"/>
                      <w:szCs w:val="17"/>
                    </w:rPr>
                    <w:t>9</w:t>
                  </w:r>
                </w:p>
              </w:tc>
              <w:tc>
                <w:tcPr>
                  <w:tcW w:w="667" w:type="dxa"/>
                  <w:vAlign w:val="top"/>
                </w:tcPr>
                <w:p>
                  <w:pPr>
                    <w:rPr>
                      <w:rFonts w:ascii="Arial"/>
                      <w:sz w:val="21"/>
                    </w:rPr>
                  </w:pPr>
                </w:p>
              </w:tc>
              <w:tc>
                <w:tcPr>
                  <w:tcW w:w="822" w:type="dxa"/>
                  <w:vAlign w:val="top"/>
                </w:tcPr>
                <w:p>
                  <w:pPr>
                    <w:spacing w:before="76" w:line="197" w:lineRule="auto"/>
                    <w:ind w:left="2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0.4</w:t>
                  </w:r>
                  <w:r>
                    <w:rPr>
                      <w:rFonts w:ascii="Times New Roman" w:hAnsi="Times New Roman" w:eastAsia="Times New Roman" w:cs="Times New Roman"/>
                      <w:spacing w:val="2"/>
                      <w:sz w:val="17"/>
                      <w:szCs w:val="17"/>
                    </w:rPr>
                    <w:t>9</w:t>
                  </w:r>
                </w:p>
              </w:tc>
              <w:tc>
                <w:tcPr>
                  <w:tcW w:w="932" w:type="dxa"/>
                  <w:vAlign w:val="top"/>
                </w:tcPr>
                <w:p>
                  <w:pPr>
                    <w:rPr>
                      <w:rFonts w:ascii="Arial"/>
                      <w:sz w:val="21"/>
                    </w:rPr>
                  </w:pPr>
                </w:p>
              </w:tc>
              <w:tc>
                <w:tcPr>
                  <w:tcW w:w="943" w:type="dxa"/>
                  <w:tcBorders>
                    <w:right w:val="nil"/>
                  </w:tcBorders>
                  <w:vAlign w:val="top"/>
                </w:tcPr>
                <w:p>
                  <w:pPr>
                    <w:spacing w:before="76" w:line="197" w:lineRule="auto"/>
                    <w:ind w:left="31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0.4</w:t>
                  </w:r>
                  <w:r>
                    <w:rPr>
                      <w:rFonts w:ascii="Times New Roman" w:hAnsi="Times New Roman" w:eastAsia="Times New Roman" w:cs="Times New Roman"/>
                      <w:spacing w:val="2"/>
                      <w:sz w:val="17"/>
                      <w:szCs w:val="17"/>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 w:hRule="atLeast"/>
              </w:trPr>
              <w:tc>
                <w:tcPr>
                  <w:tcW w:w="1404" w:type="dxa"/>
                  <w:vAlign w:val="top"/>
                </w:tcPr>
                <w:p>
                  <w:pPr>
                    <w:spacing w:before="45" w:line="225" w:lineRule="auto"/>
                    <w:ind w:left="75"/>
                    <w:rPr>
                      <w:rFonts w:ascii="宋体" w:hAnsi="宋体" w:eastAsia="宋体" w:cs="宋体"/>
                      <w:sz w:val="17"/>
                      <w:szCs w:val="17"/>
                    </w:rPr>
                  </w:pPr>
                  <w:r>
                    <w:rPr>
                      <w:rFonts w:ascii="宋体" w:hAnsi="宋体" w:eastAsia="宋体" w:cs="宋体"/>
                      <w:spacing w:val="9"/>
                      <w:sz w:val="17"/>
                      <w:szCs w:val="17"/>
                    </w:rPr>
                    <w:t>施工临时场地区</w:t>
                  </w:r>
                </w:p>
              </w:tc>
              <w:tc>
                <w:tcPr>
                  <w:tcW w:w="1237" w:type="dxa"/>
                  <w:vAlign w:val="top"/>
                </w:tcPr>
                <w:p>
                  <w:pPr>
                    <w:spacing w:before="77" w:line="197" w:lineRule="auto"/>
                    <w:ind w:left="46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0.7</w:t>
                  </w:r>
                  <w:r>
                    <w:rPr>
                      <w:rFonts w:ascii="Times New Roman" w:hAnsi="Times New Roman" w:eastAsia="Times New Roman" w:cs="Times New Roman"/>
                      <w:spacing w:val="2"/>
                      <w:sz w:val="17"/>
                      <w:szCs w:val="17"/>
                    </w:rPr>
                    <w:t>8</w:t>
                  </w:r>
                </w:p>
              </w:tc>
              <w:tc>
                <w:tcPr>
                  <w:tcW w:w="616" w:type="dxa"/>
                  <w:vAlign w:val="top"/>
                </w:tcPr>
                <w:p>
                  <w:pPr>
                    <w:spacing w:before="77" w:line="197" w:lineRule="auto"/>
                    <w:ind w:left="154"/>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0.0</w:t>
                  </w:r>
                  <w:r>
                    <w:rPr>
                      <w:rFonts w:ascii="Times New Roman" w:hAnsi="Times New Roman" w:eastAsia="Times New Roman" w:cs="Times New Roman"/>
                      <w:spacing w:val="2"/>
                      <w:sz w:val="17"/>
                      <w:szCs w:val="17"/>
                    </w:rPr>
                    <w:t>3</w:t>
                  </w:r>
                </w:p>
              </w:tc>
              <w:tc>
                <w:tcPr>
                  <w:tcW w:w="637" w:type="dxa"/>
                  <w:vAlign w:val="top"/>
                </w:tcPr>
                <w:p>
                  <w:pPr>
                    <w:spacing w:before="77" w:line="197" w:lineRule="auto"/>
                    <w:ind w:left="164"/>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0.0</w:t>
                  </w:r>
                  <w:r>
                    <w:rPr>
                      <w:rFonts w:ascii="Times New Roman" w:hAnsi="Times New Roman" w:eastAsia="Times New Roman" w:cs="Times New Roman"/>
                      <w:spacing w:val="2"/>
                      <w:sz w:val="17"/>
                      <w:szCs w:val="17"/>
                    </w:rPr>
                    <w:t>3</w:t>
                  </w:r>
                </w:p>
              </w:tc>
              <w:tc>
                <w:tcPr>
                  <w:tcW w:w="686" w:type="dxa"/>
                  <w:vAlign w:val="top"/>
                </w:tcPr>
                <w:p>
                  <w:pPr>
                    <w:rPr>
                      <w:rFonts w:ascii="Arial"/>
                      <w:sz w:val="21"/>
                    </w:rPr>
                  </w:pPr>
                </w:p>
              </w:tc>
              <w:tc>
                <w:tcPr>
                  <w:tcW w:w="667" w:type="dxa"/>
                  <w:vAlign w:val="top"/>
                </w:tcPr>
                <w:p>
                  <w:pPr>
                    <w:spacing w:before="77" w:line="197" w:lineRule="auto"/>
                    <w:ind w:left="178"/>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0.5</w:t>
                  </w:r>
                  <w:r>
                    <w:rPr>
                      <w:rFonts w:ascii="Times New Roman" w:hAnsi="Times New Roman" w:eastAsia="Times New Roman" w:cs="Times New Roman"/>
                      <w:spacing w:val="2"/>
                      <w:sz w:val="17"/>
                      <w:szCs w:val="17"/>
                    </w:rPr>
                    <w:t>1</w:t>
                  </w:r>
                </w:p>
              </w:tc>
              <w:tc>
                <w:tcPr>
                  <w:tcW w:w="822" w:type="dxa"/>
                  <w:vAlign w:val="top"/>
                </w:tcPr>
                <w:p>
                  <w:pPr>
                    <w:spacing w:before="76" w:line="200" w:lineRule="auto"/>
                    <w:ind w:left="26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1.3</w:t>
                  </w:r>
                  <w:r>
                    <w:rPr>
                      <w:rFonts w:ascii="Times New Roman" w:hAnsi="Times New Roman" w:eastAsia="Times New Roman" w:cs="Times New Roman"/>
                      <w:sz w:val="17"/>
                      <w:szCs w:val="17"/>
                    </w:rPr>
                    <w:t>5</w:t>
                  </w:r>
                </w:p>
              </w:tc>
              <w:tc>
                <w:tcPr>
                  <w:tcW w:w="932" w:type="dxa"/>
                  <w:vAlign w:val="top"/>
                </w:tcPr>
                <w:p>
                  <w:pPr>
                    <w:rPr>
                      <w:rFonts w:ascii="Arial"/>
                      <w:sz w:val="21"/>
                    </w:rPr>
                  </w:pPr>
                </w:p>
              </w:tc>
              <w:tc>
                <w:tcPr>
                  <w:tcW w:w="943" w:type="dxa"/>
                  <w:tcBorders>
                    <w:right w:val="nil"/>
                  </w:tcBorders>
                  <w:vAlign w:val="top"/>
                </w:tcPr>
                <w:p>
                  <w:pPr>
                    <w:spacing w:before="76" w:line="200" w:lineRule="auto"/>
                    <w:ind w:left="33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1.3</w:t>
                  </w:r>
                  <w:r>
                    <w:rPr>
                      <w:rFonts w:ascii="Times New Roman" w:hAnsi="Times New Roman" w:eastAsia="Times New Roman" w:cs="Times New Roman"/>
                      <w:sz w:val="17"/>
                      <w:szCs w:val="17"/>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404" w:type="dxa"/>
                  <w:vAlign w:val="top"/>
                </w:tcPr>
                <w:p>
                  <w:pPr>
                    <w:spacing w:before="47" w:line="228" w:lineRule="auto"/>
                    <w:ind w:left="528"/>
                    <w:rPr>
                      <w:rFonts w:ascii="宋体" w:hAnsi="宋体" w:eastAsia="宋体" w:cs="宋体"/>
                      <w:sz w:val="17"/>
                      <w:szCs w:val="17"/>
                    </w:rPr>
                  </w:pPr>
                  <w:r>
                    <w:rPr>
                      <w:rFonts w:ascii="宋体" w:hAnsi="宋体" w:eastAsia="宋体" w:cs="宋体"/>
                      <w:spacing w:val="6"/>
                      <w:sz w:val="17"/>
                      <w:szCs w:val="17"/>
                    </w:rPr>
                    <w:t>合计</w:t>
                  </w:r>
                </w:p>
              </w:tc>
              <w:tc>
                <w:tcPr>
                  <w:tcW w:w="1237" w:type="dxa"/>
                  <w:vAlign w:val="top"/>
                </w:tcPr>
                <w:p>
                  <w:pPr>
                    <w:spacing w:before="75" w:line="200" w:lineRule="auto"/>
                    <w:ind w:left="47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1.0</w:t>
                  </w:r>
                  <w:r>
                    <w:rPr>
                      <w:rFonts w:ascii="Times New Roman" w:hAnsi="Times New Roman" w:eastAsia="Times New Roman" w:cs="Times New Roman"/>
                      <w:sz w:val="17"/>
                      <w:szCs w:val="17"/>
                    </w:rPr>
                    <w:t>7</w:t>
                  </w:r>
                </w:p>
              </w:tc>
              <w:tc>
                <w:tcPr>
                  <w:tcW w:w="616" w:type="dxa"/>
                  <w:vAlign w:val="top"/>
                </w:tcPr>
                <w:p>
                  <w:pPr>
                    <w:spacing w:before="76" w:line="197" w:lineRule="auto"/>
                    <w:ind w:left="6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0. 1254</w:t>
                  </w:r>
                </w:p>
              </w:tc>
              <w:tc>
                <w:tcPr>
                  <w:tcW w:w="637" w:type="dxa"/>
                  <w:vAlign w:val="top"/>
                </w:tcPr>
                <w:p>
                  <w:pPr>
                    <w:spacing w:before="76" w:line="197" w:lineRule="auto"/>
                    <w:ind w:left="7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0. 1302</w:t>
                  </w:r>
                </w:p>
              </w:tc>
              <w:tc>
                <w:tcPr>
                  <w:tcW w:w="686" w:type="dxa"/>
                  <w:vAlign w:val="top"/>
                </w:tcPr>
                <w:p>
                  <w:pPr>
                    <w:spacing w:before="76" w:line="197" w:lineRule="auto"/>
                    <w:ind w:left="98"/>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0</w:t>
                  </w:r>
                  <w:r>
                    <w:rPr>
                      <w:rFonts w:ascii="Times New Roman" w:hAnsi="Times New Roman" w:eastAsia="Times New Roman" w:cs="Times New Roman"/>
                      <w:spacing w:val="3"/>
                      <w:sz w:val="17"/>
                      <w:szCs w:val="17"/>
                    </w:rPr>
                    <w:t>.9126</w:t>
                  </w:r>
                </w:p>
              </w:tc>
              <w:tc>
                <w:tcPr>
                  <w:tcW w:w="667" w:type="dxa"/>
                  <w:vAlign w:val="top"/>
                </w:tcPr>
                <w:p>
                  <w:pPr>
                    <w:spacing w:before="75" w:line="200" w:lineRule="auto"/>
                    <w:ind w:left="10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.0037</w:t>
                  </w:r>
                </w:p>
              </w:tc>
              <w:tc>
                <w:tcPr>
                  <w:tcW w:w="822" w:type="dxa"/>
                  <w:vAlign w:val="top"/>
                </w:tcPr>
                <w:p>
                  <w:pPr>
                    <w:spacing w:before="76" w:line="197" w:lineRule="auto"/>
                    <w:ind w:left="16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3</w:t>
                  </w:r>
                  <w:r>
                    <w:rPr>
                      <w:rFonts w:ascii="Times New Roman" w:hAnsi="Times New Roman" w:eastAsia="Times New Roman" w:cs="Times New Roman"/>
                      <w:spacing w:val="3"/>
                      <w:sz w:val="17"/>
                      <w:szCs w:val="17"/>
                    </w:rPr>
                    <w:t>.2419</w:t>
                  </w:r>
                </w:p>
              </w:tc>
              <w:tc>
                <w:tcPr>
                  <w:tcW w:w="932" w:type="dxa"/>
                  <w:vAlign w:val="top"/>
                </w:tcPr>
                <w:p>
                  <w:pPr>
                    <w:spacing w:before="75" w:line="200"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.4019</w:t>
                  </w:r>
                </w:p>
              </w:tc>
              <w:tc>
                <w:tcPr>
                  <w:tcW w:w="943" w:type="dxa"/>
                  <w:tcBorders>
                    <w:right w:val="nil"/>
                  </w:tcBorders>
                  <w:vAlign w:val="top"/>
                </w:tcPr>
                <w:p>
                  <w:pPr>
                    <w:spacing w:before="75" w:line="200" w:lineRule="auto"/>
                    <w:ind w:left="33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1.8</w:t>
                  </w:r>
                  <w:r>
                    <w:rPr>
                      <w:rFonts w:ascii="Times New Roman" w:hAnsi="Times New Roman" w:eastAsia="Times New Roman" w:cs="Times New Roman"/>
                      <w:sz w:val="17"/>
                      <w:szCs w:val="17"/>
                    </w:rPr>
                    <w:t>4</w:t>
                  </w:r>
                </w:p>
              </w:tc>
            </w:tr>
          </w:tbl>
          <w:p>
            <w:pPr>
              <w:spacing w:before="138" w:line="370" w:lineRule="auto"/>
              <w:ind w:left="105" w:right="102" w:firstLine="424"/>
              <w:rPr>
                <w:rFonts w:ascii="宋体" w:hAnsi="宋体" w:eastAsia="宋体" w:cs="宋体"/>
                <w:sz w:val="20"/>
                <w:szCs w:val="20"/>
              </w:rPr>
            </w:pPr>
            <w:r>
              <w:rPr>
                <w:rFonts w:ascii="宋体" w:hAnsi="宋体" w:eastAsia="宋体" w:cs="宋体"/>
                <w:spacing w:val="14"/>
                <w:sz w:val="20"/>
                <w:szCs w:val="20"/>
              </w:rPr>
              <w:t>项目</w:t>
            </w:r>
            <w:r>
              <w:rPr>
                <w:rFonts w:ascii="宋体" w:hAnsi="宋体" w:eastAsia="宋体" w:cs="宋体"/>
                <w:spacing w:val="7"/>
                <w:sz w:val="20"/>
                <w:szCs w:val="20"/>
              </w:rPr>
              <w:t>主要为道路占地，占地类型主要为线型和小块型，占地不涉及永久基本农田，涉</w:t>
            </w:r>
            <w:r>
              <w:rPr>
                <w:rFonts w:ascii="宋体" w:hAnsi="宋体" w:eastAsia="宋体" w:cs="宋体"/>
                <w:sz w:val="20"/>
                <w:szCs w:val="20"/>
              </w:rPr>
              <w:t xml:space="preserve"> </w:t>
            </w:r>
            <w:r>
              <w:rPr>
                <w:rFonts w:ascii="宋体" w:hAnsi="宋体" w:eastAsia="宋体" w:cs="宋体"/>
                <w:spacing w:val="12"/>
                <w:sz w:val="20"/>
                <w:szCs w:val="20"/>
              </w:rPr>
              <w:t>及</w:t>
            </w:r>
            <w:r>
              <w:rPr>
                <w:rFonts w:ascii="宋体" w:hAnsi="宋体" w:eastAsia="宋体" w:cs="宋体"/>
                <w:spacing w:val="9"/>
                <w:sz w:val="20"/>
                <w:szCs w:val="20"/>
              </w:rPr>
              <w:t>的生态系统主要为水生生态系统、市政绿地系统。</w:t>
            </w:r>
          </w:p>
          <w:p>
            <w:pPr>
              <w:spacing w:line="228" w:lineRule="auto"/>
              <w:ind w:left="536"/>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8"/>
                <w:sz w:val="20"/>
                <w:szCs w:val="20"/>
              </w:rPr>
              <w:t>2</w:t>
            </w: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宋体" w:hAnsi="宋体" w:eastAsia="宋体" w:cs="宋体"/>
                <w:spacing w:val="18"/>
                <w:sz w:val="20"/>
                <w:szCs w:val="20"/>
              </w:rPr>
              <w:t xml:space="preserve"> </w:t>
            </w:r>
            <w:r>
              <w:rPr>
                <w:rFonts w:ascii="宋体" w:hAnsi="宋体" w:eastAsia="宋体" w:cs="宋体"/>
                <w:spacing w:val="18"/>
                <w:sz w:val="20"/>
                <w:szCs w:val="20"/>
                <w14:textOutline w14:w="3795" w14:cap="sq" w14:cmpd="sng">
                  <w14:solidFill>
                    <w14:srgbClr w14:val="000000"/>
                  </w14:solidFill>
                  <w14:prstDash w14:val="solid"/>
                  <w14:bevel/>
                </w14:textOutline>
              </w:rPr>
              <w:t>拆迁安置</w:t>
            </w:r>
          </w:p>
          <w:p>
            <w:pPr>
              <w:spacing w:before="151" w:line="401" w:lineRule="exact"/>
              <w:ind w:left="527"/>
              <w:rPr>
                <w:rFonts w:ascii="宋体" w:hAnsi="宋体" w:eastAsia="宋体" w:cs="宋体"/>
                <w:sz w:val="20"/>
                <w:szCs w:val="20"/>
              </w:rPr>
            </w:pPr>
            <w:r>
              <w:rPr>
                <w:rFonts w:ascii="宋体" w:hAnsi="宋体" w:eastAsia="宋体" w:cs="宋体"/>
                <w:spacing w:val="9"/>
                <w:position w:val="14"/>
                <w:sz w:val="20"/>
                <w:szCs w:val="20"/>
              </w:rPr>
              <w:t>本次项目不涉及建筑拆迁及居民安置工作</w:t>
            </w:r>
            <w:r>
              <w:rPr>
                <w:rFonts w:ascii="宋体" w:hAnsi="宋体" w:eastAsia="宋体" w:cs="宋体"/>
                <w:spacing w:val="6"/>
                <w:position w:val="14"/>
                <w:sz w:val="20"/>
                <w:szCs w:val="20"/>
              </w:rPr>
              <w:t>。</w:t>
            </w:r>
          </w:p>
          <w:p>
            <w:pPr>
              <w:spacing w:before="1" w:line="241" w:lineRule="auto"/>
              <w:ind w:left="111"/>
              <w:rPr>
                <w:rFonts w:ascii="黑体" w:hAnsi="黑体" w:eastAsia="黑体" w:cs="黑体"/>
                <w:sz w:val="20"/>
                <w:szCs w:val="20"/>
              </w:rPr>
            </w:pPr>
            <w:r>
              <w:rPr>
                <w:rFonts w:ascii="Times New Roman" w:hAnsi="Times New Roman" w:eastAsia="Times New Roman" w:cs="Times New Roman"/>
                <w:spacing w:val="2"/>
                <w:sz w:val="20"/>
                <w:szCs w:val="20"/>
              </w:rPr>
              <w:t xml:space="preserve">8 </w:t>
            </w:r>
            <w:r>
              <w:rPr>
                <w:rFonts w:ascii="黑体" w:hAnsi="黑体" w:eastAsia="黑体" w:cs="黑体"/>
                <w:spacing w:val="2"/>
                <w:sz w:val="20"/>
                <w:szCs w:val="20"/>
              </w:rPr>
              <w:t>、主要建设工程量</w:t>
            </w:r>
          </w:p>
          <w:p>
            <w:pPr>
              <w:spacing w:before="139" w:line="227" w:lineRule="auto"/>
              <w:ind w:left="527"/>
              <w:rPr>
                <w:rFonts w:ascii="宋体" w:hAnsi="宋体" w:eastAsia="宋体" w:cs="宋体"/>
                <w:sz w:val="20"/>
                <w:szCs w:val="20"/>
              </w:rPr>
            </w:pPr>
            <w:r>
              <w:rPr>
                <w:rFonts w:ascii="宋体" w:hAnsi="宋体" w:eastAsia="宋体" w:cs="宋体"/>
                <w:spacing w:val="11"/>
                <w:sz w:val="20"/>
                <w:szCs w:val="20"/>
              </w:rPr>
              <w:t>本</w:t>
            </w:r>
            <w:r>
              <w:rPr>
                <w:rFonts w:ascii="宋体" w:hAnsi="宋体" w:eastAsia="宋体" w:cs="宋体"/>
                <w:spacing w:val="8"/>
                <w:sz w:val="20"/>
                <w:szCs w:val="20"/>
              </w:rPr>
              <w:t>项目主要工程量见下表。</w:t>
            </w:r>
          </w:p>
          <w:p>
            <w:pPr>
              <w:spacing w:before="129" w:line="230" w:lineRule="auto"/>
              <w:ind w:left="2660"/>
              <w:rPr>
                <w:rFonts w:ascii="黑体" w:hAnsi="黑体" w:eastAsia="黑体" w:cs="黑体"/>
                <w:sz w:val="19"/>
                <w:szCs w:val="19"/>
              </w:rPr>
            </w:pPr>
            <w:r>
              <w:rPr>
                <w:rFonts w:ascii="黑体" w:hAnsi="黑体" w:eastAsia="黑体" w:cs="黑体"/>
                <w:spacing w:val="12"/>
                <w:sz w:val="19"/>
                <w:szCs w:val="19"/>
              </w:rPr>
              <w:t>表</w:t>
            </w:r>
            <w:r>
              <w:rPr>
                <w:rFonts w:ascii="Times New Roman" w:hAnsi="Times New Roman" w:eastAsia="Times New Roman" w:cs="Times New Roman"/>
                <w:spacing w:val="7"/>
                <w:sz w:val="19"/>
                <w:szCs w:val="19"/>
              </w:rPr>
              <w:t xml:space="preserve">18    </w:t>
            </w:r>
            <w:r>
              <w:rPr>
                <w:rFonts w:ascii="黑体" w:hAnsi="黑体" w:eastAsia="黑体" w:cs="黑体"/>
                <w:spacing w:val="7"/>
                <w:sz w:val="19"/>
                <w:szCs w:val="19"/>
              </w:rPr>
              <w:t>工程占地类型及面积汇总表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1" w:type="dxa"/>
            <w:vMerge w:val="continue"/>
            <w:tcBorders>
              <w:top w:val="nil"/>
              <w:left w:val="single" w:color="000000" w:sz="6" w:space="0"/>
              <w:bottom w:val="nil"/>
            </w:tcBorders>
            <w:vAlign w:val="top"/>
          </w:tcPr>
          <w:p>
            <w:pPr>
              <w:rPr>
                <w:rFonts w:ascii="Arial"/>
                <w:sz w:val="21"/>
              </w:rPr>
            </w:pPr>
          </w:p>
        </w:tc>
        <w:tc>
          <w:tcPr>
            <w:tcW w:w="951" w:type="dxa"/>
            <w:vMerge w:val="restart"/>
            <w:tcBorders>
              <w:bottom w:val="nil"/>
            </w:tcBorders>
            <w:vAlign w:val="top"/>
          </w:tcPr>
          <w:p>
            <w:pPr>
              <w:spacing w:before="69" w:line="232" w:lineRule="auto"/>
              <w:ind w:left="397"/>
              <w:rPr>
                <w:rFonts w:ascii="宋体" w:hAnsi="宋体" w:eastAsia="宋体" w:cs="宋体"/>
                <w:sz w:val="17"/>
                <w:szCs w:val="17"/>
              </w:rPr>
            </w:pPr>
            <w:r>
              <w:pict>
                <v:rect id="_x0000_s1065" o:spid="_x0000_s1065" o:spt="1" style="position:absolute;left:0pt;margin-left:10pt;margin-top:-0.05pt;height:287.9pt;width:0.5pt;mso-position-horizontal-relative:page;mso-position-vertical-relative:page;z-index:251680768;mso-width-relative:page;mso-height-relative:page;" fillcolor="#000000" filled="t" stroked="f" coordsize="21600,21600">
                  <v:path/>
                  <v:fill on="t" focussize="0,0"/>
                  <v:stroke on="f"/>
                  <v:imagedata o:title=""/>
                  <o:lock v:ext="edit"/>
                </v:rect>
              </w:pict>
            </w:r>
            <w:r>
              <w:rPr>
                <w:rFonts w:ascii="宋体" w:hAnsi="宋体" w:eastAsia="宋体" w:cs="宋体"/>
                <w:spacing w:val="7"/>
                <w:sz w:val="17"/>
                <w:szCs w:val="17"/>
                <w14:textOutline w14:w="3268" w14:cap="sq" w14:cmpd="sng">
                  <w14:solidFill>
                    <w14:srgbClr w14:val="000000"/>
                  </w14:solidFill>
                  <w14:prstDash w14:val="solid"/>
                  <w14:bevel/>
                </w14:textOutline>
              </w:rPr>
              <w:t>序</w:t>
            </w:r>
            <w:r>
              <w:rPr>
                <w:rFonts w:ascii="宋体" w:hAnsi="宋体" w:eastAsia="宋体" w:cs="宋体"/>
                <w:spacing w:val="6"/>
                <w:sz w:val="17"/>
                <w:szCs w:val="17"/>
                <w14:textOutline w14:w="3268" w14:cap="sq" w14:cmpd="sng">
                  <w14:solidFill>
                    <w14:srgbClr w14:val="000000"/>
                  </w14:solidFill>
                  <w14:prstDash w14:val="solid"/>
                  <w14:bevel/>
                </w14:textOutline>
              </w:rPr>
              <w:t>号</w:t>
            </w:r>
          </w:p>
          <w:p>
            <w:pPr>
              <w:spacing w:before="142" w:line="140" w:lineRule="exact"/>
              <w:ind w:left="492"/>
              <w:rPr>
                <w:rFonts w:ascii="宋体" w:hAnsi="宋体" w:eastAsia="宋体" w:cs="宋体"/>
                <w:sz w:val="8"/>
                <w:szCs w:val="8"/>
              </w:rPr>
            </w:pPr>
            <w:r>
              <w:rPr>
                <w:rFonts w:ascii="宋体" w:hAnsi="宋体" w:eastAsia="宋体" w:cs="宋体"/>
                <w:spacing w:val="90"/>
                <w:position w:val="1"/>
                <w:sz w:val="8"/>
                <w:szCs w:val="8"/>
                <w14:textOutline w14:w="3268" w14:cap="sq" w14:cmpd="sng">
                  <w14:solidFill>
                    <w14:srgbClr w14:val="000000"/>
                  </w14:solidFill>
                  <w14:prstDash w14:val="solid"/>
                  <w14:bevel/>
                </w14:textOutline>
              </w:rPr>
              <w:t>一</w:t>
            </w:r>
          </w:p>
          <w:p>
            <w:pPr>
              <w:spacing w:before="110" w:line="197" w:lineRule="auto"/>
              <w:ind w:left="549"/>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p>
            <w:pPr>
              <w:spacing w:before="127" w:line="200" w:lineRule="auto"/>
              <w:ind w:left="47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1.1</w:t>
            </w:r>
          </w:p>
          <w:p>
            <w:pPr>
              <w:spacing w:before="125" w:line="200" w:lineRule="auto"/>
              <w:ind w:left="47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w:t>
            </w:r>
          </w:p>
          <w:p>
            <w:pPr>
              <w:spacing w:before="125" w:line="200" w:lineRule="auto"/>
              <w:ind w:left="47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3</w:t>
            </w:r>
          </w:p>
          <w:p>
            <w:pPr>
              <w:spacing w:before="126" w:line="200" w:lineRule="auto"/>
              <w:ind w:left="47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w:t>
            </w:r>
          </w:p>
          <w:p>
            <w:pPr>
              <w:spacing w:before="125" w:line="200" w:lineRule="auto"/>
              <w:ind w:left="47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.5</w:t>
            </w:r>
          </w:p>
          <w:p>
            <w:pPr>
              <w:spacing w:before="125" w:line="200" w:lineRule="auto"/>
              <w:ind w:left="47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6</w:t>
            </w:r>
          </w:p>
          <w:p>
            <w:pPr>
              <w:spacing w:before="125" w:line="200" w:lineRule="auto"/>
              <w:ind w:left="47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1.7</w:t>
            </w:r>
          </w:p>
          <w:p>
            <w:pPr>
              <w:spacing w:before="125" w:line="200" w:lineRule="auto"/>
              <w:ind w:left="47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w:t>
            </w:r>
            <w:r>
              <w:rPr>
                <w:rFonts w:ascii="Times New Roman" w:hAnsi="Times New Roman" w:eastAsia="Times New Roman" w:cs="Times New Roman"/>
                <w:sz w:val="17"/>
                <w:szCs w:val="17"/>
              </w:rPr>
              <w:t>.8</w:t>
            </w:r>
          </w:p>
          <w:p>
            <w:pPr>
              <w:spacing w:before="125" w:line="200" w:lineRule="auto"/>
              <w:ind w:left="47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9</w:t>
            </w:r>
          </w:p>
          <w:p>
            <w:pPr>
              <w:spacing w:before="125" w:line="200" w:lineRule="auto"/>
              <w:ind w:left="412"/>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1</w:t>
            </w:r>
            <w:r>
              <w:rPr>
                <w:rFonts w:ascii="Times New Roman" w:hAnsi="Times New Roman" w:eastAsia="Times New Roman" w:cs="Times New Roman"/>
                <w:spacing w:val="-4"/>
                <w:sz w:val="17"/>
                <w:szCs w:val="17"/>
              </w:rPr>
              <w:t>.9. 1</w:t>
            </w:r>
          </w:p>
          <w:p>
            <w:pPr>
              <w:spacing w:before="125" w:line="200" w:lineRule="auto"/>
              <w:ind w:left="412"/>
              <w:rPr>
                <w:rFonts w:ascii="Times New Roman" w:hAnsi="Times New Roman" w:eastAsia="Times New Roman" w:cs="Times New Roman"/>
                <w:sz w:val="17"/>
                <w:szCs w:val="17"/>
              </w:rPr>
            </w:pPr>
            <w:r>
              <w:rPr>
                <w:rFonts w:ascii="Times New Roman" w:hAnsi="Times New Roman" w:eastAsia="Times New Roman" w:cs="Times New Roman"/>
                <w:sz w:val="17"/>
                <w:szCs w:val="17"/>
              </w:rPr>
              <w:t>1.9.2</w:t>
            </w:r>
          </w:p>
          <w:p>
            <w:pPr>
              <w:spacing w:before="125" w:line="200" w:lineRule="auto"/>
              <w:ind w:left="412"/>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w:t>
            </w:r>
            <w:r>
              <w:rPr>
                <w:rFonts w:ascii="Times New Roman" w:hAnsi="Times New Roman" w:eastAsia="Times New Roman" w:cs="Times New Roman"/>
                <w:sz w:val="17"/>
                <w:szCs w:val="17"/>
              </w:rPr>
              <w:t>9.3</w:t>
            </w:r>
          </w:p>
          <w:p>
            <w:pPr>
              <w:spacing w:before="125" w:line="197" w:lineRule="auto"/>
              <w:ind w:left="531"/>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p>
            <w:pPr>
              <w:spacing w:before="128" w:line="200" w:lineRule="auto"/>
              <w:ind w:left="462"/>
              <w:rPr>
                <w:rFonts w:ascii="Times New Roman" w:hAnsi="Times New Roman" w:eastAsia="Times New Roman" w:cs="Times New Roman"/>
                <w:sz w:val="17"/>
                <w:szCs w:val="17"/>
              </w:rPr>
            </w:pPr>
            <w:r>
              <w:rPr>
                <w:rFonts w:ascii="Times New Roman" w:hAnsi="Times New Roman" w:eastAsia="Times New Roman" w:cs="Times New Roman"/>
                <w:spacing w:val="9"/>
                <w:sz w:val="17"/>
                <w:szCs w:val="17"/>
              </w:rPr>
              <w:t>2.</w:t>
            </w:r>
            <w:r>
              <w:rPr>
                <w:rFonts w:ascii="Times New Roman" w:hAnsi="Times New Roman" w:eastAsia="Times New Roman" w:cs="Times New Roman"/>
                <w:spacing w:val="8"/>
                <w:sz w:val="17"/>
                <w:szCs w:val="17"/>
              </w:rPr>
              <w:t>1</w:t>
            </w:r>
          </w:p>
          <w:p>
            <w:pPr>
              <w:spacing w:before="125" w:line="200" w:lineRule="auto"/>
              <w:ind w:left="46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.2</w:t>
            </w:r>
          </w:p>
          <w:p>
            <w:pPr>
              <w:spacing w:before="125" w:line="200" w:lineRule="auto"/>
              <w:ind w:left="46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2.3</w:t>
            </w:r>
          </w:p>
          <w:p>
            <w:pPr>
              <w:spacing w:before="125" w:line="200" w:lineRule="auto"/>
              <w:ind w:left="39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2.3.</w:t>
            </w:r>
            <w:r>
              <w:rPr>
                <w:rFonts w:ascii="Times New Roman" w:hAnsi="Times New Roman" w:eastAsia="Times New Roman" w:cs="Times New Roman"/>
                <w:spacing w:val="-1"/>
                <w:sz w:val="17"/>
                <w:szCs w:val="17"/>
              </w:rPr>
              <w:t xml:space="preserve"> 1</w:t>
            </w:r>
          </w:p>
        </w:tc>
        <w:tc>
          <w:tcPr>
            <w:tcW w:w="4495" w:type="dxa"/>
            <w:vAlign w:val="top"/>
          </w:tcPr>
          <w:p>
            <w:pPr>
              <w:spacing w:before="69" w:line="231" w:lineRule="auto"/>
              <w:ind w:left="2073"/>
              <w:rPr>
                <w:rFonts w:ascii="宋体" w:hAnsi="宋体" w:eastAsia="宋体" w:cs="宋体"/>
                <w:sz w:val="17"/>
                <w:szCs w:val="17"/>
              </w:rPr>
            </w:pPr>
            <w:r>
              <w:rPr>
                <w:rFonts w:ascii="宋体" w:hAnsi="宋体" w:eastAsia="宋体" w:cs="宋体"/>
                <w:spacing w:val="5"/>
                <w:sz w:val="17"/>
                <w:szCs w:val="17"/>
                <w14:textOutline w14:w="3268" w14:cap="sq" w14:cmpd="sng">
                  <w14:solidFill>
                    <w14:srgbClr w14:val="000000"/>
                  </w14:solidFill>
                  <w14:prstDash w14:val="solid"/>
                  <w14:bevel/>
                </w14:textOutline>
              </w:rPr>
              <w:t>项目</w:t>
            </w:r>
          </w:p>
        </w:tc>
        <w:tc>
          <w:tcPr>
            <w:tcW w:w="662" w:type="dxa"/>
            <w:vAlign w:val="top"/>
          </w:tcPr>
          <w:p>
            <w:pPr>
              <w:spacing w:before="69" w:line="231" w:lineRule="auto"/>
              <w:ind w:left="159"/>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单</w:t>
            </w:r>
            <w:r>
              <w:rPr>
                <w:rFonts w:ascii="宋体" w:hAnsi="宋体" w:eastAsia="宋体" w:cs="宋体"/>
                <w:spacing w:val="5"/>
                <w:sz w:val="17"/>
                <w:szCs w:val="17"/>
                <w14:textOutline w14:w="3268" w14:cap="sq" w14:cmpd="sng">
                  <w14:solidFill>
                    <w14:srgbClr w14:val="000000"/>
                  </w14:solidFill>
                  <w14:prstDash w14:val="solid"/>
                  <w14:bevel/>
                </w14:textOutline>
              </w:rPr>
              <w:t>位</w:t>
            </w:r>
          </w:p>
        </w:tc>
        <w:tc>
          <w:tcPr>
            <w:tcW w:w="1300" w:type="dxa"/>
            <w:vAlign w:val="top"/>
          </w:tcPr>
          <w:p>
            <w:pPr>
              <w:spacing w:before="69" w:line="231" w:lineRule="auto"/>
              <w:ind w:left="390"/>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工</w:t>
            </w:r>
            <w:r>
              <w:rPr>
                <w:rFonts w:ascii="宋体" w:hAnsi="宋体" w:eastAsia="宋体" w:cs="宋体"/>
                <w:spacing w:val="7"/>
                <w:sz w:val="17"/>
                <w:szCs w:val="17"/>
                <w14:textOutline w14:w="3268" w14:cap="sq" w14:cmpd="sng">
                  <w14:solidFill>
                    <w14:srgbClr w14:val="000000"/>
                  </w14:solidFill>
                  <w14:prstDash w14:val="solid"/>
                  <w14:bevel/>
                </w14:textOutline>
              </w:rPr>
              <w:t>程量</w:t>
            </w:r>
          </w:p>
        </w:tc>
        <w:tc>
          <w:tcPr>
            <w:tcW w:w="687" w:type="dxa"/>
            <w:vAlign w:val="top"/>
          </w:tcPr>
          <w:p>
            <w:pPr>
              <w:spacing w:before="70" w:line="231" w:lineRule="auto"/>
              <w:ind w:left="175"/>
              <w:rPr>
                <w:rFonts w:ascii="宋体" w:hAnsi="宋体" w:eastAsia="宋体" w:cs="宋体"/>
                <w:sz w:val="17"/>
                <w:szCs w:val="17"/>
              </w:rPr>
            </w:pPr>
            <w:r>
              <w:rPr>
                <w:rFonts w:ascii="宋体" w:hAnsi="宋体" w:eastAsia="宋体" w:cs="宋体"/>
                <w:spacing w:val="5"/>
                <w:sz w:val="17"/>
                <w:szCs w:val="17"/>
                <w14:textOutline w14:w="3268" w14:cap="sq" w14:cmpd="sng">
                  <w14:solidFill>
                    <w14:srgbClr w14:val="000000"/>
                  </w14:solidFill>
                  <w14:prstDash w14:val="solid"/>
                  <w14:bevel/>
                </w14:textOutline>
              </w:rPr>
              <w:t>备注</w:t>
            </w:r>
          </w:p>
        </w:tc>
        <w:tc>
          <w:tcPr>
            <w:tcW w:w="221"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1" w:type="dxa"/>
            <w:vMerge w:val="continue"/>
            <w:tcBorders>
              <w:top w:val="nil"/>
              <w:left w:val="single" w:color="000000" w:sz="6"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4495" w:type="dxa"/>
            <w:vAlign w:val="top"/>
          </w:tcPr>
          <w:p>
            <w:pPr>
              <w:spacing w:before="34" w:line="248" w:lineRule="exact"/>
              <w:ind w:left="1287"/>
              <w:rPr>
                <w:rFonts w:ascii="Times New Roman" w:hAnsi="Times New Roman" w:eastAsia="Times New Roman" w:cs="Times New Roman"/>
                <w:sz w:val="17"/>
                <w:szCs w:val="17"/>
              </w:rPr>
            </w:pPr>
            <w:r>
              <w:rPr>
                <w:rFonts w:ascii="宋体" w:hAnsi="宋体" w:eastAsia="宋体" w:cs="宋体"/>
                <w:spacing w:val="16"/>
                <w:position w:val="2"/>
                <w:sz w:val="17"/>
                <w:szCs w:val="17"/>
                <w14:textOutline w14:w="3262" w14:cap="sq" w14:cmpd="sng">
                  <w14:solidFill>
                    <w14:srgbClr w14:val="000000"/>
                  </w14:solidFill>
                  <w14:prstDash w14:val="solid"/>
                  <w14:bevel/>
                </w14:textOutline>
              </w:rPr>
              <w:t>道</w:t>
            </w:r>
            <w:r>
              <w:rPr>
                <w:rFonts w:ascii="宋体" w:hAnsi="宋体" w:eastAsia="宋体" w:cs="宋体"/>
                <w:spacing w:val="9"/>
                <w:position w:val="2"/>
                <w:sz w:val="17"/>
                <w:szCs w:val="17"/>
                <w14:textOutline w14:w="3262" w14:cap="sq" w14:cmpd="sng">
                  <w14:solidFill>
                    <w14:srgbClr w14:val="000000"/>
                  </w14:solidFill>
                  <w14:prstDash w14:val="solid"/>
                  <w14:bevel/>
                </w14:textOutline>
              </w:rPr>
              <w:t>路</w:t>
            </w:r>
            <w:r>
              <w:rPr>
                <w:rFonts w:ascii="宋体" w:hAnsi="宋体" w:eastAsia="宋体" w:cs="宋体"/>
                <w:spacing w:val="8"/>
                <w:position w:val="2"/>
                <w:sz w:val="17"/>
                <w:szCs w:val="17"/>
                <w14:textOutline w14:w="3262" w14:cap="sq" w14:cmpd="sng">
                  <w14:solidFill>
                    <w14:srgbClr w14:val="000000"/>
                  </w14:solidFill>
                  <w14:prstDash w14:val="solid"/>
                  <w14:bevel/>
                </w14:textOutline>
              </w:rPr>
              <w:t>工程</w:t>
            </w:r>
            <w:r>
              <w:rPr>
                <w:rFonts w:ascii="Times New Roman" w:hAnsi="Times New Roman" w:eastAsia="Times New Roman" w:cs="Times New Roman"/>
                <w:b/>
                <w:bCs/>
                <w:spacing w:val="8"/>
                <w:position w:val="2"/>
                <w:sz w:val="17"/>
                <w:szCs w:val="17"/>
              </w:rPr>
              <w:t>(</w:t>
            </w:r>
            <w:r>
              <w:rPr>
                <w:rFonts w:ascii="宋体" w:hAnsi="宋体" w:eastAsia="宋体" w:cs="宋体"/>
                <w:spacing w:val="8"/>
                <w:position w:val="2"/>
                <w:sz w:val="17"/>
                <w:szCs w:val="17"/>
                <w14:textOutline w14:w="3262" w14:cap="sq" w14:cmpd="sng">
                  <w14:solidFill>
                    <w14:srgbClr w14:val="000000"/>
                  </w14:solidFill>
                  <w14:prstDash w14:val="solid"/>
                  <w14:bevel/>
                </w14:textOutline>
              </w:rPr>
              <w:t>两岸路口改造</w:t>
            </w:r>
            <w:r>
              <w:rPr>
                <w:rFonts w:ascii="Times New Roman" w:hAnsi="Times New Roman" w:eastAsia="Times New Roman" w:cs="Times New Roman"/>
                <w:b/>
                <w:bCs/>
                <w:spacing w:val="8"/>
                <w:position w:val="2"/>
                <w:sz w:val="17"/>
                <w:szCs w:val="17"/>
              </w:rPr>
              <w:t>)</w:t>
            </w:r>
          </w:p>
        </w:tc>
        <w:tc>
          <w:tcPr>
            <w:tcW w:w="662" w:type="dxa"/>
            <w:vAlign w:val="top"/>
          </w:tcPr>
          <w:p>
            <w:pPr>
              <w:spacing w:before="69" w:line="231" w:lineRule="auto"/>
              <w:ind w:left="252"/>
              <w:rPr>
                <w:rFonts w:ascii="宋体" w:hAnsi="宋体" w:eastAsia="宋体" w:cs="宋体"/>
                <w:sz w:val="17"/>
                <w:szCs w:val="17"/>
              </w:rPr>
            </w:pPr>
            <w:r>
              <w:rPr>
                <w:rFonts w:ascii="宋体" w:hAnsi="宋体" w:eastAsia="宋体" w:cs="宋体"/>
                <w:sz w:val="17"/>
                <w:szCs w:val="17"/>
                <w14:textOutline w14:w="3268" w14:cap="sq" w14:cmpd="sng">
                  <w14:solidFill>
                    <w14:srgbClr w14:val="000000"/>
                  </w14:solidFill>
                  <w14:prstDash w14:val="solid"/>
                  <w14:bevel/>
                </w14:textOutline>
              </w:rPr>
              <w:t>项</w:t>
            </w:r>
          </w:p>
        </w:tc>
        <w:tc>
          <w:tcPr>
            <w:tcW w:w="1300" w:type="dxa"/>
            <w:vAlign w:val="top"/>
          </w:tcPr>
          <w:p>
            <w:pPr>
              <w:spacing w:before="100" w:line="197" w:lineRule="auto"/>
              <w:ind w:left="619"/>
              <w:rPr>
                <w:rFonts w:ascii="Times New Roman" w:hAnsi="Times New Roman" w:eastAsia="Times New Roman" w:cs="Times New Roman"/>
                <w:sz w:val="17"/>
                <w:szCs w:val="17"/>
              </w:rPr>
            </w:pPr>
            <w:r>
              <w:rPr>
                <w:rFonts w:ascii="Times New Roman" w:hAnsi="Times New Roman" w:eastAsia="Times New Roman" w:cs="Times New Roman"/>
                <w:b/>
                <w:bCs/>
                <w:sz w:val="17"/>
                <w:szCs w:val="17"/>
              </w:rPr>
              <w:t>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1" w:type="dxa"/>
            <w:vMerge w:val="continue"/>
            <w:tcBorders>
              <w:top w:val="nil"/>
              <w:left w:val="single" w:color="000000" w:sz="6"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4495" w:type="dxa"/>
            <w:vAlign w:val="top"/>
          </w:tcPr>
          <w:p>
            <w:pPr>
              <w:spacing w:before="70" w:line="230" w:lineRule="auto"/>
              <w:ind w:left="1625"/>
              <w:rPr>
                <w:rFonts w:ascii="宋体" w:hAnsi="宋体" w:eastAsia="宋体" w:cs="宋体"/>
                <w:sz w:val="17"/>
                <w:szCs w:val="17"/>
              </w:rPr>
            </w:pPr>
            <w:r>
              <w:rPr>
                <w:rFonts w:ascii="宋体" w:hAnsi="宋体" w:eastAsia="宋体" w:cs="宋体"/>
                <w:spacing w:val="8"/>
                <w:sz w:val="17"/>
                <w:szCs w:val="17"/>
              </w:rPr>
              <w:t>东岸路口路改造</w:t>
            </w:r>
          </w:p>
        </w:tc>
        <w:tc>
          <w:tcPr>
            <w:tcW w:w="662" w:type="dxa"/>
            <w:vAlign w:val="top"/>
          </w:tcPr>
          <w:p>
            <w:pPr>
              <w:spacing w:before="69" w:line="231" w:lineRule="auto"/>
              <w:ind w:left="252"/>
              <w:rPr>
                <w:rFonts w:ascii="宋体" w:hAnsi="宋体" w:eastAsia="宋体" w:cs="宋体"/>
                <w:sz w:val="17"/>
                <w:szCs w:val="17"/>
              </w:rPr>
            </w:pPr>
            <w:r>
              <w:rPr>
                <w:rFonts w:ascii="宋体" w:hAnsi="宋体" w:eastAsia="宋体" w:cs="宋体"/>
                <w:sz w:val="17"/>
                <w:szCs w:val="17"/>
              </w:rPr>
              <w:t>项</w:t>
            </w:r>
          </w:p>
        </w:tc>
        <w:tc>
          <w:tcPr>
            <w:tcW w:w="1300" w:type="dxa"/>
            <w:vAlign w:val="top"/>
          </w:tcPr>
          <w:p>
            <w:pPr>
              <w:spacing w:before="100" w:line="197" w:lineRule="auto"/>
              <w:ind w:left="628"/>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1" w:type="dxa"/>
            <w:vMerge w:val="continue"/>
            <w:tcBorders>
              <w:top w:val="nil"/>
              <w:left w:val="single" w:color="000000" w:sz="6"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4495" w:type="dxa"/>
            <w:vAlign w:val="top"/>
          </w:tcPr>
          <w:p>
            <w:pPr>
              <w:spacing w:before="70" w:line="230" w:lineRule="auto"/>
              <w:ind w:left="1709"/>
              <w:rPr>
                <w:rFonts w:ascii="宋体" w:hAnsi="宋体" w:eastAsia="宋体" w:cs="宋体"/>
                <w:sz w:val="17"/>
                <w:szCs w:val="17"/>
              </w:rPr>
            </w:pPr>
            <w:r>
              <w:rPr>
                <w:rFonts w:ascii="宋体" w:hAnsi="宋体" w:eastAsia="宋体" w:cs="宋体"/>
                <w:spacing w:val="9"/>
                <w:sz w:val="17"/>
                <w:szCs w:val="17"/>
              </w:rPr>
              <w:t>钢塑土工格栅</w:t>
            </w:r>
          </w:p>
        </w:tc>
        <w:tc>
          <w:tcPr>
            <w:tcW w:w="662" w:type="dxa"/>
            <w:vAlign w:val="top"/>
          </w:tcPr>
          <w:p>
            <w:pPr>
              <w:spacing w:before="87"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²</w:t>
            </w:r>
          </w:p>
        </w:tc>
        <w:tc>
          <w:tcPr>
            <w:tcW w:w="1300" w:type="dxa"/>
            <w:vAlign w:val="top"/>
          </w:tcPr>
          <w:p>
            <w:pPr>
              <w:spacing w:before="100" w:line="197" w:lineRule="auto"/>
              <w:ind w:left="47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4"/>
                <w:sz w:val="17"/>
                <w:szCs w:val="17"/>
              </w:rPr>
              <w:t>756</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01" w:type="dxa"/>
            <w:vMerge w:val="continue"/>
            <w:tcBorders>
              <w:top w:val="nil"/>
              <w:left w:val="single" w:color="000000" w:sz="6"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4495" w:type="dxa"/>
            <w:vAlign w:val="top"/>
          </w:tcPr>
          <w:p>
            <w:pPr>
              <w:spacing w:before="70" w:line="230" w:lineRule="auto"/>
              <w:ind w:left="1530"/>
              <w:rPr>
                <w:rFonts w:ascii="宋体" w:hAnsi="宋体" w:eastAsia="宋体" w:cs="宋体"/>
                <w:sz w:val="17"/>
                <w:szCs w:val="17"/>
              </w:rPr>
            </w:pPr>
            <w:r>
              <w:rPr>
                <w:rFonts w:ascii="宋体" w:hAnsi="宋体" w:eastAsia="宋体" w:cs="宋体"/>
                <w:spacing w:val="9"/>
                <w:sz w:val="17"/>
                <w:szCs w:val="17"/>
              </w:rPr>
              <w:t>桥台台背回填碎石</w:t>
            </w:r>
          </w:p>
        </w:tc>
        <w:tc>
          <w:tcPr>
            <w:tcW w:w="662" w:type="dxa"/>
            <w:vAlign w:val="top"/>
          </w:tcPr>
          <w:p>
            <w:pPr>
              <w:spacing w:before="87"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00" w:line="197" w:lineRule="auto"/>
              <w:ind w:left="48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6</w:t>
            </w:r>
            <w:r>
              <w:rPr>
                <w:rFonts w:ascii="Times New Roman" w:hAnsi="Times New Roman" w:eastAsia="Times New Roman" w:cs="Times New Roman"/>
                <w:spacing w:val="3"/>
                <w:sz w:val="17"/>
                <w:szCs w:val="17"/>
              </w:rPr>
              <w:t>680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1" w:type="dxa"/>
            <w:vMerge w:val="continue"/>
            <w:tcBorders>
              <w:top w:val="nil"/>
              <w:left w:val="single" w:color="000000" w:sz="6"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4495" w:type="dxa"/>
            <w:vAlign w:val="top"/>
          </w:tcPr>
          <w:p>
            <w:pPr>
              <w:spacing w:before="71" w:line="230" w:lineRule="auto"/>
              <w:ind w:left="1800"/>
              <w:rPr>
                <w:rFonts w:ascii="宋体" w:hAnsi="宋体" w:eastAsia="宋体" w:cs="宋体"/>
                <w:sz w:val="17"/>
                <w:szCs w:val="17"/>
              </w:rPr>
            </w:pPr>
            <w:r>
              <w:rPr>
                <w:rFonts w:ascii="宋体" w:hAnsi="宋体" w:eastAsia="宋体" w:cs="宋体"/>
                <w:spacing w:val="10"/>
                <w:sz w:val="17"/>
                <w:szCs w:val="17"/>
              </w:rPr>
              <w:t>新</w:t>
            </w:r>
            <w:r>
              <w:rPr>
                <w:rFonts w:ascii="宋体" w:hAnsi="宋体" w:eastAsia="宋体" w:cs="宋体"/>
                <w:spacing w:val="8"/>
                <w:sz w:val="17"/>
                <w:szCs w:val="17"/>
              </w:rPr>
              <w:t>建车行道</w:t>
            </w:r>
          </w:p>
        </w:tc>
        <w:tc>
          <w:tcPr>
            <w:tcW w:w="662" w:type="dxa"/>
            <w:vAlign w:val="top"/>
          </w:tcPr>
          <w:p>
            <w:pPr>
              <w:spacing w:before="88"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²</w:t>
            </w:r>
          </w:p>
        </w:tc>
        <w:tc>
          <w:tcPr>
            <w:tcW w:w="1300" w:type="dxa"/>
            <w:vAlign w:val="top"/>
          </w:tcPr>
          <w:p>
            <w:pPr>
              <w:spacing w:before="101" w:line="197" w:lineRule="auto"/>
              <w:ind w:left="38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191</w:t>
            </w:r>
            <w:r>
              <w:rPr>
                <w:rFonts w:ascii="Times New Roman" w:hAnsi="Times New Roman" w:eastAsia="Times New Roman" w:cs="Times New Roman"/>
                <w:spacing w:val="1"/>
                <w:sz w:val="17"/>
                <w:szCs w:val="17"/>
              </w:rPr>
              <w:t>7.30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1" w:type="dxa"/>
            <w:vMerge w:val="continue"/>
            <w:tcBorders>
              <w:top w:val="nil"/>
              <w:left w:val="single" w:color="000000" w:sz="6"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4495" w:type="dxa"/>
            <w:vAlign w:val="top"/>
          </w:tcPr>
          <w:p>
            <w:pPr>
              <w:spacing w:before="71" w:line="230" w:lineRule="auto"/>
              <w:ind w:left="1260"/>
              <w:rPr>
                <w:rFonts w:ascii="宋体" w:hAnsi="宋体" w:eastAsia="宋体" w:cs="宋体"/>
                <w:sz w:val="17"/>
                <w:szCs w:val="17"/>
              </w:rPr>
            </w:pPr>
            <w:r>
              <w:rPr>
                <w:rFonts w:ascii="宋体" w:hAnsi="宋体" w:eastAsia="宋体" w:cs="宋体"/>
                <w:spacing w:val="12"/>
                <w:sz w:val="17"/>
                <w:szCs w:val="17"/>
              </w:rPr>
              <w:t>新</w:t>
            </w:r>
            <w:r>
              <w:rPr>
                <w:rFonts w:ascii="宋体" w:hAnsi="宋体" w:eastAsia="宋体" w:cs="宋体"/>
                <w:spacing w:val="9"/>
                <w:sz w:val="17"/>
                <w:szCs w:val="17"/>
              </w:rPr>
              <w:t>建花岗岩人行道及盲道</w:t>
            </w:r>
          </w:p>
        </w:tc>
        <w:tc>
          <w:tcPr>
            <w:tcW w:w="662" w:type="dxa"/>
            <w:vAlign w:val="top"/>
          </w:tcPr>
          <w:p>
            <w:pPr>
              <w:spacing w:before="88"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²</w:t>
            </w:r>
          </w:p>
        </w:tc>
        <w:tc>
          <w:tcPr>
            <w:tcW w:w="1300" w:type="dxa"/>
            <w:vAlign w:val="top"/>
          </w:tcPr>
          <w:p>
            <w:pPr>
              <w:spacing w:before="101" w:line="197" w:lineRule="auto"/>
              <w:ind w:left="411"/>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6</w:t>
            </w:r>
            <w:r>
              <w:rPr>
                <w:rFonts w:ascii="Times New Roman" w:hAnsi="Times New Roman" w:eastAsia="Times New Roman" w:cs="Times New Roman"/>
                <w:spacing w:val="3"/>
                <w:sz w:val="17"/>
                <w:szCs w:val="17"/>
              </w:rPr>
              <w:t>71.60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1" w:type="dxa"/>
            <w:vMerge w:val="continue"/>
            <w:tcBorders>
              <w:top w:val="nil"/>
              <w:left w:val="single" w:color="000000" w:sz="6"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4495" w:type="dxa"/>
            <w:vAlign w:val="top"/>
          </w:tcPr>
          <w:p>
            <w:pPr>
              <w:spacing w:before="71" w:line="230" w:lineRule="auto"/>
              <w:ind w:left="1800"/>
              <w:rPr>
                <w:rFonts w:ascii="宋体" w:hAnsi="宋体" w:eastAsia="宋体" w:cs="宋体"/>
                <w:sz w:val="17"/>
                <w:szCs w:val="17"/>
              </w:rPr>
            </w:pPr>
            <w:r>
              <w:rPr>
                <w:rFonts w:ascii="宋体" w:hAnsi="宋体" w:eastAsia="宋体" w:cs="宋体"/>
                <w:spacing w:val="10"/>
                <w:sz w:val="17"/>
                <w:szCs w:val="17"/>
              </w:rPr>
              <w:t>花</w:t>
            </w:r>
            <w:r>
              <w:rPr>
                <w:rFonts w:ascii="宋体" w:hAnsi="宋体" w:eastAsia="宋体" w:cs="宋体"/>
                <w:spacing w:val="8"/>
                <w:sz w:val="17"/>
                <w:szCs w:val="17"/>
              </w:rPr>
              <w:t>岗岩缘石</w:t>
            </w:r>
          </w:p>
        </w:tc>
        <w:tc>
          <w:tcPr>
            <w:tcW w:w="662" w:type="dxa"/>
            <w:vAlign w:val="top"/>
          </w:tcPr>
          <w:p>
            <w:pPr>
              <w:spacing w:before="141" w:line="121" w:lineRule="exact"/>
              <w:ind w:left="26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m</w:t>
            </w:r>
          </w:p>
        </w:tc>
        <w:tc>
          <w:tcPr>
            <w:tcW w:w="1300" w:type="dxa"/>
            <w:vAlign w:val="top"/>
          </w:tcPr>
          <w:p>
            <w:pPr>
              <w:spacing w:before="101" w:line="197" w:lineRule="auto"/>
              <w:ind w:left="522"/>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53</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1" w:type="dxa"/>
            <w:vMerge w:val="continue"/>
            <w:tcBorders>
              <w:top w:val="nil"/>
              <w:left w:val="single" w:color="000000" w:sz="6"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4495" w:type="dxa"/>
            <w:vAlign w:val="top"/>
          </w:tcPr>
          <w:p>
            <w:pPr>
              <w:spacing w:before="71" w:line="230" w:lineRule="auto"/>
              <w:ind w:left="1712"/>
              <w:rPr>
                <w:rFonts w:ascii="宋体" w:hAnsi="宋体" w:eastAsia="宋体" w:cs="宋体"/>
                <w:sz w:val="17"/>
                <w:szCs w:val="17"/>
              </w:rPr>
            </w:pPr>
            <w:r>
              <w:rPr>
                <w:rFonts w:ascii="宋体" w:hAnsi="宋体" w:eastAsia="宋体" w:cs="宋体"/>
                <w:spacing w:val="10"/>
                <w:sz w:val="17"/>
                <w:szCs w:val="17"/>
              </w:rPr>
              <w:t>混</w:t>
            </w:r>
            <w:r>
              <w:rPr>
                <w:rFonts w:ascii="宋体" w:hAnsi="宋体" w:eastAsia="宋体" w:cs="宋体"/>
                <w:spacing w:val="8"/>
                <w:sz w:val="17"/>
                <w:szCs w:val="17"/>
              </w:rPr>
              <w:t>凝土路边石</w:t>
            </w:r>
          </w:p>
        </w:tc>
        <w:tc>
          <w:tcPr>
            <w:tcW w:w="662" w:type="dxa"/>
            <w:vAlign w:val="top"/>
          </w:tcPr>
          <w:p>
            <w:pPr>
              <w:spacing w:before="141" w:line="121" w:lineRule="exact"/>
              <w:ind w:left="26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m</w:t>
            </w:r>
          </w:p>
        </w:tc>
        <w:tc>
          <w:tcPr>
            <w:tcW w:w="1300" w:type="dxa"/>
            <w:vAlign w:val="top"/>
          </w:tcPr>
          <w:p>
            <w:pPr>
              <w:spacing w:before="102" w:line="197" w:lineRule="auto"/>
              <w:ind w:left="40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245.30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01" w:type="dxa"/>
            <w:vMerge w:val="continue"/>
            <w:tcBorders>
              <w:top w:val="nil"/>
              <w:left w:val="single" w:color="000000" w:sz="6"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4495" w:type="dxa"/>
            <w:vAlign w:val="top"/>
          </w:tcPr>
          <w:p>
            <w:pPr>
              <w:spacing w:before="71" w:line="229" w:lineRule="auto"/>
              <w:ind w:left="1800"/>
              <w:rPr>
                <w:rFonts w:ascii="宋体" w:hAnsi="宋体" w:eastAsia="宋体" w:cs="宋体"/>
                <w:sz w:val="17"/>
                <w:szCs w:val="17"/>
              </w:rPr>
            </w:pPr>
            <w:r>
              <w:rPr>
                <w:rFonts w:ascii="宋体" w:hAnsi="宋体" w:eastAsia="宋体" w:cs="宋体"/>
                <w:spacing w:val="10"/>
                <w:sz w:val="17"/>
                <w:szCs w:val="17"/>
              </w:rPr>
              <w:t>新</w:t>
            </w:r>
            <w:r>
              <w:rPr>
                <w:rFonts w:ascii="宋体" w:hAnsi="宋体" w:eastAsia="宋体" w:cs="宋体"/>
                <w:spacing w:val="8"/>
                <w:sz w:val="17"/>
                <w:szCs w:val="17"/>
              </w:rPr>
              <w:t>建导流岛</w:t>
            </w:r>
          </w:p>
        </w:tc>
        <w:tc>
          <w:tcPr>
            <w:tcW w:w="662" w:type="dxa"/>
            <w:vAlign w:val="top"/>
          </w:tcPr>
          <w:p>
            <w:pPr>
              <w:spacing w:before="88"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²</w:t>
            </w:r>
          </w:p>
        </w:tc>
        <w:tc>
          <w:tcPr>
            <w:tcW w:w="1300" w:type="dxa"/>
            <w:vAlign w:val="top"/>
          </w:tcPr>
          <w:p>
            <w:pPr>
              <w:spacing w:before="101" w:line="197" w:lineRule="auto"/>
              <w:ind w:left="40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229.90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1" w:type="dxa"/>
            <w:vMerge w:val="continue"/>
            <w:tcBorders>
              <w:top w:val="nil"/>
              <w:left w:val="single" w:color="000000" w:sz="6"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4495" w:type="dxa"/>
            <w:vAlign w:val="top"/>
          </w:tcPr>
          <w:p>
            <w:pPr>
              <w:spacing w:before="72" w:line="229" w:lineRule="auto"/>
              <w:ind w:left="1800"/>
              <w:rPr>
                <w:rFonts w:ascii="宋体" w:hAnsi="宋体" w:eastAsia="宋体" w:cs="宋体"/>
                <w:sz w:val="17"/>
                <w:szCs w:val="17"/>
              </w:rPr>
            </w:pPr>
            <w:r>
              <w:rPr>
                <w:rFonts w:ascii="宋体" w:hAnsi="宋体" w:eastAsia="宋体" w:cs="宋体"/>
                <w:spacing w:val="9"/>
                <w:sz w:val="17"/>
                <w:szCs w:val="17"/>
              </w:rPr>
              <w:t>人</w:t>
            </w:r>
            <w:r>
              <w:rPr>
                <w:rFonts w:ascii="宋体" w:hAnsi="宋体" w:eastAsia="宋体" w:cs="宋体"/>
                <w:spacing w:val="8"/>
                <w:sz w:val="17"/>
                <w:szCs w:val="17"/>
              </w:rPr>
              <w:t>行道护栏</w:t>
            </w:r>
          </w:p>
        </w:tc>
        <w:tc>
          <w:tcPr>
            <w:tcW w:w="662" w:type="dxa"/>
            <w:vAlign w:val="top"/>
          </w:tcPr>
          <w:p>
            <w:pPr>
              <w:spacing w:before="142" w:line="121" w:lineRule="exact"/>
              <w:ind w:left="26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m</w:t>
            </w:r>
          </w:p>
        </w:tc>
        <w:tc>
          <w:tcPr>
            <w:tcW w:w="1300" w:type="dxa"/>
            <w:vAlign w:val="top"/>
          </w:tcPr>
          <w:p>
            <w:pPr>
              <w:spacing w:before="103" w:line="197" w:lineRule="auto"/>
              <w:ind w:left="47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13.</w:t>
            </w:r>
            <w:r>
              <w:rPr>
                <w:rFonts w:ascii="Times New Roman" w:hAnsi="Times New Roman" w:eastAsia="Times New Roman" w:cs="Times New Roman"/>
                <w:sz w:val="17"/>
                <w:szCs w:val="17"/>
              </w:rPr>
              <w:t>20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1" w:type="dxa"/>
            <w:vMerge w:val="continue"/>
            <w:tcBorders>
              <w:top w:val="nil"/>
              <w:left w:val="single" w:color="000000" w:sz="6"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4495" w:type="dxa"/>
            <w:vAlign w:val="top"/>
          </w:tcPr>
          <w:p>
            <w:pPr>
              <w:spacing w:before="72" w:line="229" w:lineRule="auto"/>
              <w:ind w:left="1080"/>
              <w:rPr>
                <w:rFonts w:ascii="宋体" w:hAnsi="宋体" w:eastAsia="宋体" w:cs="宋体"/>
                <w:sz w:val="17"/>
                <w:szCs w:val="17"/>
              </w:rPr>
            </w:pPr>
            <w:r>
              <w:rPr>
                <w:rFonts w:ascii="宋体" w:hAnsi="宋体" w:eastAsia="宋体" w:cs="宋体"/>
                <w:spacing w:val="14"/>
                <w:sz w:val="17"/>
                <w:szCs w:val="17"/>
              </w:rPr>
              <w:t>新</w:t>
            </w:r>
            <w:r>
              <w:rPr>
                <w:rFonts w:ascii="宋体" w:hAnsi="宋体" w:eastAsia="宋体" w:cs="宋体"/>
                <w:spacing w:val="9"/>
                <w:sz w:val="17"/>
                <w:szCs w:val="17"/>
              </w:rPr>
              <w:t>建挡土墙、地基加固及支护</w:t>
            </w:r>
          </w:p>
        </w:tc>
        <w:tc>
          <w:tcPr>
            <w:tcW w:w="662" w:type="dxa"/>
            <w:vAlign w:val="top"/>
          </w:tcPr>
          <w:p>
            <w:pPr>
              <w:spacing w:before="72" w:line="229" w:lineRule="auto"/>
              <w:ind w:left="252"/>
              <w:rPr>
                <w:rFonts w:ascii="宋体" w:hAnsi="宋体" w:eastAsia="宋体" w:cs="宋体"/>
                <w:sz w:val="17"/>
                <w:szCs w:val="17"/>
              </w:rPr>
            </w:pPr>
            <w:r>
              <w:rPr>
                <w:rFonts w:ascii="宋体" w:hAnsi="宋体" w:eastAsia="宋体" w:cs="宋体"/>
                <w:sz w:val="17"/>
                <w:szCs w:val="17"/>
              </w:rPr>
              <w:t>项</w:t>
            </w:r>
          </w:p>
        </w:tc>
        <w:tc>
          <w:tcPr>
            <w:tcW w:w="1300" w:type="dxa"/>
            <w:vAlign w:val="top"/>
          </w:tcPr>
          <w:p>
            <w:pPr>
              <w:spacing w:before="102" w:line="197" w:lineRule="auto"/>
              <w:ind w:left="628"/>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1" w:type="dxa"/>
            <w:vMerge w:val="continue"/>
            <w:tcBorders>
              <w:top w:val="nil"/>
              <w:left w:val="single" w:color="000000" w:sz="6"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4495" w:type="dxa"/>
            <w:vAlign w:val="top"/>
          </w:tcPr>
          <w:p>
            <w:pPr>
              <w:spacing w:before="72" w:line="229" w:lineRule="auto"/>
              <w:ind w:left="1799"/>
              <w:rPr>
                <w:rFonts w:ascii="宋体" w:hAnsi="宋体" w:eastAsia="宋体" w:cs="宋体"/>
                <w:sz w:val="17"/>
                <w:szCs w:val="17"/>
              </w:rPr>
            </w:pPr>
            <w:r>
              <w:rPr>
                <w:rFonts w:ascii="宋体" w:hAnsi="宋体" w:eastAsia="宋体" w:cs="宋体"/>
                <w:spacing w:val="10"/>
                <w:sz w:val="17"/>
                <w:szCs w:val="17"/>
              </w:rPr>
              <w:t>钻</w:t>
            </w:r>
            <w:r>
              <w:rPr>
                <w:rFonts w:ascii="宋体" w:hAnsi="宋体" w:eastAsia="宋体" w:cs="宋体"/>
                <w:spacing w:val="8"/>
                <w:sz w:val="17"/>
                <w:szCs w:val="17"/>
              </w:rPr>
              <w:t>孔灌注桩</w:t>
            </w:r>
          </w:p>
        </w:tc>
        <w:tc>
          <w:tcPr>
            <w:tcW w:w="662" w:type="dxa"/>
            <w:vAlign w:val="top"/>
          </w:tcPr>
          <w:p>
            <w:pPr>
              <w:spacing w:before="90"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03" w:line="197" w:lineRule="auto"/>
              <w:ind w:left="40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223.80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1" w:type="dxa"/>
            <w:vMerge w:val="continue"/>
            <w:tcBorders>
              <w:top w:val="nil"/>
              <w:left w:val="single" w:color="000000" w:sz="6"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4495" w:type="dxa"/>
            <w:vAlign w:val="top"/>
          </w:tcPr>
          <w:p>
            <w:pPr>
              <w:spacing w:before="72" w:line="229" w:lineRule="auto"/>
              <w:ind w:left="1890"/>
              <w:rPr>
                <w:rFonts w:ascii="宋体" w:hAnsi="宋体" w:eastAsia="宋体" w:cs="宋体"/>
                <w:sz w:val="17"/>
                <w:szCs w:val="17"/>
              </w:rPr>
            </w:pPr>
            <w:r>
              <w:rPr>
                <w:rFonts w:ascii="宋体" w:hAnsi="宋体" w:eastAsia="宋体" w:cs="宋体"/>
                <w:spacing w:val="8"/>
                <w:sz w:val="17"/>
                <w:szCs w:val="17"/>
              </w:rPr>
              <w:t>挡墙墙身</w:t>
            </w:r>
          </w:p>
        </w:tc>
        <w:tc>
          <w:tcPr>
            <w:tcW w:w="662" w:type="dxa"/>
            <w:vAlign w:val="top"/>
          </w:tcPr>
          <w:p>
            <w:pPr>
              <w:spacing w:before="90"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02" w:line="200" w:lineRule="auto"/>
              <w:ind w:left="40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44.70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1" w:type="dxa"/>
            <w:vMerge w:val="continue"/>
            <w:tcBorders>
              <w:top w:val="nil"/>
              <w:left w:val="single" w:color="000000" w:sz="6"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4495" w:type="dxa"/>
            <w:vAlign w:val="top"/>
          </w:tcPr>
          <w:p>
            <w:pPr>
              <w:spacing w:before="72" w:line="229" w:lineRule="auto"/>
              <w:ind w:left="1416"/>
              <w:rPr>
                <w:rFonts w:ascii="宋体" w:hAnsi="宋体" w:eastAsia="宋体" w:cs="宋体"/>
                <w:sz w:val="17"/>
                <w:szCs w:val="17"/>
              </w:rPr>
            </w:pPr>
            <w:r>
              <w:rPr>
                <w:rFonts w:ascii="宋体" w:hAnsi="宋体" w:eastAsia="宋体" w:cs="宋体"/>
                <w:spacing w:val="12"/>
                <w:sz w:val="17"/>
                <w:szCs w:val="17"/>
              </w:rPr>
              <w:t>钢</w:t>
            </w:r>
            <w:r>
              <w:rPr>
                <w:rFonts w:ascii="宋体" w:hAnsi="宋体" w:eastAsia="宋体" w:cs="宋体"/>
                <w:spacing w:val="9"/>
                <w:sz w:val="17"/>
                <w:szCs w:val="17"/>
              </w:rPr>
              <w:t>板</w:t>
            </w:r>
            <w:r>
              <w:rPr>
                <w:rFonts w:ascii="宋体" w:hAnsi="宋体" w:eastAsia="宋体" w:cs="宋体"/>
                <w:spacing w:val="6"/>
                <w:sz w:val="17"/>
                <w:szCs w:val="17"/>
              </w:rPr>
              <w:t>桩 (</w:t>
            </w:r>
            <w:r>
              <w:rPr>
                <w:rFonts w:ascii="Times New Roman" w:hAnsi="Times New Roman" w:eastAsia="Times New Roman" w:cs="Times New Roman"/>
                <w:spacing w:val="6"/>
                <w:sz w:val="17"/>
                <w:szCs w:val="17"/>
              </w:rPr>
              <w:t xml:space="preserve">12 </w:t>
            </w:r>
            <w:r>
              <w:rPr>
                <w:rFonts w:ascii="宋体" w:hAnsi="宋体" w:eastAsia="宋体" w:cs="宋体"/>
                <w:spacing w:val="6"/>
                <w:sz w:val="17"/>
                <w:szCs w:val="17"/>
              </w:rPr>
              <w:t>米) 支护</w:t>
            </w:r>
          </w:p>
        </w:tc>
        <w:tc>
          <w:tcPr>
            <w:tcW w:w="662" w:type="dxa"/>
            <w:vAlign w:val="top"/>
          </w:tcPr>
          <w:p>
            <w:pPr>
              <w:spacing w:before="142" w:line="121" w:lineRule="exact"/>
              <w:ind w:left="26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m</w:t>
            </w:r>
          </w:p>
        </w:tc>
        <w:tc>
          <w:tcPr>
            <w:tcW w:w="1300" w:type="dxa"/>
            <w:vAlign w:val="top"/>
          </w:tcPr>
          <w:p>
            <w:pPr>
              <w:spacing w:before="102" w:line="197" w:lineRule="auto"/>
              <w:ind w:left="494"/>
              <w:rPr>
                <w:rFonts w:ascii="Times New Roman" w:hAnsi="Times New Roman" w:eastAsia="Times New Roman" w:cs="Times New Roman"/>
                <w:sz w:val="17"/>
                <w:szCs w:val="17"/>
              </w:rPr>
            </w:pPr>
            <w:r>
              <w:rPr>
                <w:rFonts w:ascii="Times New Roman" w:hAnsi="Times New Roman" w:eastAsia="Times New Roman" w:cs="Times New Roman"/>
                <w:sz w:val="17"/>
                <w:szCs w:val="17"/>
              </w:rPr>
              <w:t>1026</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1" w:type="dxa"/>
            <w:vMerge w:val="continue"/>
            <w:tcBorders>
              <w:top w:val="nil"/>
              <w:left w:val="single" w:color="000000" w:sz="6"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4495" w:type="dxa"/>
            <w:vAlign w:val="top"/>
          </w:tcPr>
          <w:p>
            <w:pPr>
              <w:spacing w:before="72" w:line="229" w:lineRule="auto"/>
              <w:ind w:left="1623"/>
              <w:rPr>
                <w:rFonts w:ascii="宋体" w:hAnsi="宋体" w:eastAsia="宋体" w:cs="宋体"/>
                <w:sz w:val="17"/>
                <w:szCs w:val="17"/>
              </w:rPr>
            </w:pPr>
            <w:r>
              <w:rPr>
                <w:rFonts w:ascii="宋体" w:hAnsi="宋体" w:eastAsia="宋体" w:cs="宋体"/>
                <w:spacing w:val="10"/>
                <w:sz w:val="17"/>
                <w:szCs w:val="17"/>
              </w:rPr>
              <w:t>西</w:t>
            </w:r>
            <w:r>
              <w:rPr>
                <w:rFonts w:ascii="宋体" w:hAnsi="宋体" w:eastAsia="宋体" w:cs="宋体"/>
                <w:spacing w:val="8"/>
                <w:sz w:val="17"/>
                <w:szCs w:val="17"/>
              </w:rPr>
              <w:t>岸路口路改造</w:t>
            </w:r>
          </w:p>
        </w:tc>
        <w:tc>
          <w:tcPr>
            <w:tcW w:w="662" w:type="dxa"/>
            <w:vAlign w:val="top"/>
          </w:tcPr>
          <w:p>
            <w:pPr>
              <w:spacing w:before="72" w:line="229" w:lineRule="auto"/>
              <w:ind w:left="252"/>
              <w:rPr>
                <w:rFonts w:ascii="宋体" w:hAnsi="宋体" w:eastAsia="宋体" w:cs="宋体"/>
                <w:sz w:val="17"/>
                <w:szCs w:val="17"/>
              </w:rPr>
            </w:pPr>
            <w:r>
              <w:rPr>
                <w:rFonts w:ascii="宋体" w:hAnsi="宋体" w:eastAsia="宋体" w:cs="宋体"/>
                <w:sz w:val="17"/>
                <w:szCs w:val="17"/>
              </w:rPr>
              <w:t>项</w:t>
            </w:r>
          </w:p>
        </w:tc>
        <w:tc>
          <w:tcPr>
            <w:tcW w:w="1300" w:type="dxa"/>
            <w:vAlign w:val="top"/>
          </w:tcPr>
          <w:p>
            <w:pPr>
              <w:spacing w:before="102" w:line="197" w:lineRule="auto"/>
              <w:ind w:left="628"/>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1" w:type="dxa"/>
            <w:vMerge w:val="continue"/>
            <w:tcBorders>
              <w:top w:val="nil"/>
              <w:left w:val="single" w:color="000000" w:sz="6"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4495" w:type="dxa"/>
            <w:vAlign w:val="top"/>
          </w:tcPr>
          <w:p>
            <w:pPr>
              <w:spacing w:before="72" w:line="229" w:lineRule="auto"/>
              <w:ind w:left="1891"/>
              <w:rPr>
                <w:rFonts w:ascii="宋体" w:hAnsi="宋体" w:eastAsia="宋体" w:cs="宋体"/>
                <w:sz w:val="17"/>
                <w:szCs w:val="17"/>
              </w:rPr>
            </w:pPr>
            <w:r>
              <w:rPr>
                <w:rFonts w:ascii="宋体" w:hAnsi="宋体" w:eastAsia="宋体" w:cs="宋体"/>
                <w:spacing w:val="8"/>
                <w:sz w:val="17"/>
                <w:szCs w:val="17"/>
              </w:rPr>
              <w:t>开挖土方</w:t>
            </w:r>
          </w:p>
        </w:tc>
        <w:tc>
          <w:tcPr>
            <w:tcW w:w="662" w:type="dxa"/>
            <w:vAlign w:val="top"/>
          </w:tcPr>
          <w:p>
            <w:pPr>
              <w:spacing w:before="90"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02" w:line="197" w:lineRule="auto"/>
              <w:ind w:left="33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10704.91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1" w:type="dxa"/>
            <w:vMerge w:val="continue"/>
            <w:tcBorders>
              <w:top w:val="nil"/>
              <w:left w:val="single" w:color="000000" w:sz="6"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4495" w:type="dxa"/>
            <w:vAlign w:val="top"/>
          </w:tcPr>
          <w:p>
            <w:pPr>
              <w:spacing w:before="72" w:line="229" w:lineRule="auto"/>
              <w:ind w:left="1997"/>
              <w:rPr>
                <w:rFonts w:ascii="宋体" w:hAnsi="宋体" w:eastAsia="宋体" w:cs="宋体"/>
                <w:sz w:val="17"/>
                <w:szCs w:val="17"/>
              </w:rPr>
            </w:pPr>
            <w:r>
              <w:rPr>
                <w:rFonts w:ascii="宋体" w:hAnsi="宋体" w:eastAsia="宋体" w:cs="宋体"/>
                <w:spacing w:val="2"/>
                <w:sz w:val="17"/>
                <w:szCs w:val="17"/>
              </w:rPr>
              <w:t>回填</w:t>
            </w:r>
            <w:r>
              <w:rPr>
                <w:rFonts w:ascii="宋体" w:hAnsi="宋体" w:eastAsia="宋体" w:cs="宋体"/>
                <w:spacing w:val="1"/>
                <w:sz w:val="17"/>
                <w:szCs w:val="17"/>
              </w:rPr>
              <w:t>方</w:t>
            </w:r>
          </w:p>
        </w:tc>
        <w:tc>
          <w:tcPr>
            <w:tcW w:w="662" w:type="dxa"/>
            <w:vAlign w:val="top"/>
          </w:tcPr>
          <w:p>
            <w:pPr>
              <w:spacing w:before="90"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03" w:line="197" w:lineRule="auto"/>
              <w:ind w:left="36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6</w:t>
            </w:r>
            <w:r>
              <w:rPr>
                <w:rFonts w:ascii="Times New Roman" w:hAnsi="Times New Roman" w:eastAsia="Times New Roman" w:cs="Times New Roman"/>
                <w:spacing w:val="3"/>
                <w:sz w:val="17"/>
                <w:szCs w:val="17"/>
              </w:rPr>
              <w:t>856.30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1" w:type="dxa"/>
            <w:vMerge w:val="continue"/>
            <w:tcBorders>
              <w:top w:val="nil"/>
              <w:left w:val="single" w:color="000000" w:sz="6" w:space="0"/>
              <w:bottom w:val="nil"/>
            </w:tcBorders>
            <w:vAlign w:val="top"/>
          </w:tcPr>
          <w:p>
            <w:pPr>
              <w:rPr>
                <w:rFonts w:ascii="Arial"/>
                <w:sz w:val="21"/>
              </w:rPr>
            </w:pPr>
          </w:p>
        </w:tc>
        <w:tc>
          <w:tcPr>
            <w:tcW w:w="951" w:type="dxa"/>
            <w:vMerge w:val="continue"/>
            <w:tcBorders>
              <w:top w:val="nil"/>
              <w:bottom w:val="nil"/>
            </w:tcBorders>
            <w:vAlign w:val="top"/>
          </w:tcPr>
          <w:p>
            <w:pPr>
              <w:rPr>
                <w:rFonts w:ascii="Arial"/>
                <w:sz w:val="21"/>
              </w:rPr>
            </w:pPr>
          </w:p>
        </w:tc>
        <w:tc>
          <w:tcPr>
            <w:tcW w:w="4495" w:type="dxa"/>
            <w:vAlign w:val="top"/>
          </w:tcPr>
          <w:p>
            <w:pPr>
              <w:spacing w:before="72" w:line="229" w:lineRule="auto"/>
              <w:ind w:left="1710"/>
              <w:rPr>
                <w:rFonts w:ascii="宋体" w:hAnsi="宋体" w:eastAsia="宋体" w:cs="宋体"/>
                <w:sz w:val="17"/>
                <w:szCs w:val="17"/>
              </w:rPr>
            </w:pPr>
            <w:r>
              <w:rPr>
                <w:rFonts w:ascii="宋体" w:hAnsi="宋体" w:eastAsia="宋体" w:cs="宋体"/>
                <w:spacing w:val="9"/>
                <w:sz w:val="17"/>
                <w:szCs w:val="17"/>
              </w:rPr>
              <w:t>特殊路基处</w:t>
            </w:r>
            <w:r>
              <w:rPr>
                <w:rFonts w:ascii="宋体" w:hAnsi="宋体" w:eastAsia="宋体" w:cs="宋体"/>
                <w:spacing w:val="7"/>
                <w:sz w:val="17"/>
                <w:szCs w:val="17"/>
              </w:rPr>
              <w:t>理</w:t>
            </w:r>
          </w:p>
        </w:tc>
        <w:tc>
          <w:tcPr>
            <w:tcW w:w="662" w:type="dxa"/>
            <w:vAlign w:val="top"/>
          </w:tcPr>
          <w:p>
            <w:pPr>
              <w:spacing w:before="72" w:line="229" w:lineRule="auto"/>
              <w:ind w:left="252"/>
              <w:rPr>
                <w:rFonts w:ascii="宋体" w:hAnsi="宋体" w:eastAsia="宋体" w:cs="宋体"/>
                <w:sz w:val="17"/>
                <w:szCs w:val="17"/>
              </w:rPr>
            </w:pPr>
            <w:r>
              <w:rPr>
                <w:rFonts w:ascii="宋体" w:hAnsi="宋体" w:eastAsia="宋体" w:cs="宋体"/>
                <w:sz w:val="17"/>
                <w:szCs w:val="17"/>
              </w:rPr>
              <w:t>项</w:t>
            </w:r>
          </w:p>
        </w:tc>
        <w:tc>
          <w:tcPr>
            <w:tcW w:w="1300" w:type="dxa"/>
            <w:vAlign w:val="top"/>
          </w:tcPr>
          <w:p>
            <w:pPr>
              <w:spacing w:before="102" w:line="197" w:lineRule="auto"/>
              <w:ind w:left="628"/>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601" w:type="dxa"/>
            <w:vMerge w:val="continue"/>
            <w:tcBorders>
              <w:top w:val="nil"/>
              <w:left w:val="single" w:color="000000" w:sz="6" w:space="0"/>
            </w:tcBorders>
            <w:vAlign w:val="top"/>
          </w:tcPr>
          <w:p>
            <w:pPr>
              <w:rPr>
                <w:rFonts w:ascii="Arial"/>
                <w:sz w:val="21"/>
              </w:rPr>
            </w:pPr>
          </w:p>
        </w:tc>
        <w:tc>
          <w:tcPr>
            <w:tcW w:w="951" w:type="dxa"/>
            <w:vMerge w:val="continue"/>
            <w:tcBorders>
              <w:top w:val="nil"/>
            </w:tcBorders>
            <w:vAlign w:val="top"/>
          </w:tcPr>
          <w:p>
            <w:pPr>
              <w:rPr>
                <w:rFonts w:ascii="Arial"/>
                <w:sz w:val="21"/>
              </w:rPr>
            </w:pPr>
          </w:p>
        </w:tc>
        <w:tc>
          <w:tcPr>
            <w:tcW w:w="4495" w:type="dxa"/>
            <w:vAlign w:val="top"/>
          </w:tcPr>
          <w:p>
            <w:pPr>
              <w:spacing w:before="72" w:line="230" w:lineRule="auto"/>
              <w:ind w:left="1619"/>
              <w:rPr>
                <w:rFonts w:ascii="宋体" w:hAnsi="宋体" w:eastAsia="宋体" w:cs="宋体"/>
                <w:sz w:val="17"/>
                <w:szCs w:val="17"/>
              </w:rPr>
            </w:pPr>
            <w:r>
              <w:rPr>
                <w:rFonts w:ascii="宋体" w:hAnsi="宋体" w:eastAsia="宋体" w:cs="宋体"/>
                <w:spacing w:val="9"/>
                <w:sz w:val="17"/>
                <w:szCs w:val="17"/>
              </w:rPr>
              <w:t>深层水泥搅拌</w:t>
            </w:r>
            <w:r>
              <w:rPr>
                <w:rFonts w:ascii="宋体" w:hAnsi="宋体" w:eastAsia="宋体" w:cs="宋体"/>
                <w:spacing w:val="8"/>
                <w:sz w:val="17"/>
                <w:szCs w:val="17"/>
              </w:rPr>
              <w:t>桩</w:t>
            </w:r>
          </w:p>
        </w:tc>
        <w:tc>
          <w:tcPr>
            <w:tcW w:w="662" w:type="dxa"/>
            <w:vAlign w:val="top"/>
          </w:tcPr>
          <w:p>
            <w:pPr>
              <w:spacing w:before="142" w:line="121" w:lineRule="exact"/>
              <w:ind w:left="26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m</w:t>
            </w:r>
          </w:p>
        </w:tc>
        <w:tc>
          <w:tcPr>
            <w:tcW w:w="1300" w:type="dxa"/>
            <w:vAlign w:val="top"/>
          </w:tcPr>
          <w:p>
            <w:pPr>
              <w:spacing w:before="102" w:line="197" w:lineRule="auto"/>
              <w:ind w:left="45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w:t>
            </w:r>
            <w:r>
              <w:rPr>
                <w:rFonts w:ascii="Times New Roman" w:hAnsi="Times New Roman" w:eastAsia="Times New Roman" w:cs="Times New Roman"/>
                <w:sz w:val="17"/>
                <w:szCs w:val="17"/>
              </w:rPr>
              <w:t>1634</w:t>
            </w:r>
          </w:p>
        </w:tc>
        <w:tc>
          <w:tcPr>
            <w:tcW w:w="687" w:type="dxa"/>
            <w:vAlign w:val="top"/>
          </w:tcPr>
          <w:p>
            <w:pPr>
              <w:rPr>
                <w:rFonts w:ascii="Arial"/>
                <w:sz w:val="21"/>
              </w:rPr>
            </w:pPr>
          </w:p>
        </w:tc>
        <w:tc>
          <w:tcPr>
            <w:tcW w:w="221" w:type="dxa"/>
            <w:vMerge w:val="continue"/>
            <w:tcBorders>
              <w:top w:val="nil"/>
              <w:right w:val="single" w:color="000000" w:sz="6" w:space="0"/>
            </w:tcBorders>
            <w:vAlign w:val="top"/>
          </w:tcPr>
          <w:p>
            <w:pPr>
              <w:rPr>
                <w:rFonts w:ascii="Arial"/>
                <w:sz w:val="21"/>
              </w:rPr>
            </w:pPr>
          </w:p>
        </w:tc>
      </w:tr>
    </w:tbl>
    <w:p>
      <w:pPr>
        <w:spacing w:line="182" w:lineRule="exact"/>
        <w:rPr>
          <w:rFonts w:ascii="Arial"/>
          <w:sz w:val="15"/>
        </w:rPr>
      </w:pPr>
    </w:p>
    <w:p>
      <w:pPr>
        <w:sectPr>
          <w:footerReference r:id="rId46" w:type="default"/>
          <w:pgSz w:w="11906" w:h="16839"/>
          <w:pgMar w:top="400" w:right="1487" w:bottom="1475" w:left="1486" w:header="0" w:footer="1315" w:gutter="0"/>
          <w:cols w:space="720" w:num="1"/>
        </w:sectPr>
      </w:pPr>
    </w:p>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211"/>
        <w:gridCol w:w="741"/>
        <w:gridCol w:w="4495"/>
        <w:gridCol w:w="662"/>
        <w:gridCol w:w="1300"/>
        <w:gridCol w:w="687"/>
        <w:gridCol w:w="2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600" w:type="dxa"/>
            <w:vMerge w:val="restart"/>
            <w:tcBorders>
              <w:left w:val="single" w:color="000000" w:sz="6" w:space="0"/>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28" w:lineRule="auto"/>
              <w:ind w:left="91"/>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p>
            <w:pPr>
              <w:spacing w:before="26" w:line="229" w:lineRule="auto"/>
              <w:ind w:left="9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组</w:t>
            </w:r>
            <w:r>
              <w:rPr>
                <w:rFonts w:ascii="宋体" w:hAnsi="宋体" w:eastAsia="宋体" w:cs="宋体"/>
                <w:spacing w:val="4"/>
                <w:sz w:val="20"/>
                <w:szCs w:val="20"/>
                <w14:textOutline w14:w="3795" w14:cap="sq" w14:cmpd="sng">
                  <w14:solidFill>
                    <w14:srgbClr w14:val="000000"/>
                  </w14:solidFill>
                  <w14:prstDash w14:val="solid"/>
                  <w14:bevel/>
                </w14:textOutline>
              </w:rPr>
              <w:t>成</w:t>
            </w:r>
          </w:p>
          <w:p>
            <w:pPr>
              <w:spacing w:before="22" w:line="230" w:lineRule="auto"/>
              <w:ind w:left="8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及规</w:t>
            </w:r>
          </w:p>
          <w:p>
            <w:pPr>
              <w:spacing w:before="24" w:line="228" w:lineRule="auto"/>
              <w:ind w:left="190"/>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模</w:t>
            </w:r>
          </w:p>
        </w:tc>
        <w:tc>
          <w:tcPr>
            <w:tcW w:w="211" w:type="dxa"/>
            <w:vMerge w:val="restart"/>
            <w:tcBorders>
              <w:bottom w:val="nil"/>
            </w:tcBorders>
            <w:vAlign w:val="top"/>
          </w:tcPr>
          <w:p>
            <w:pPr>
              <w:rPr>
                <w:rFonts w:ascii="Arial"/>
                <w:sz w:val="21"/>
              </w:rPr>
            </w:pPr>
          </w:p>
        </w:tc>
        <w:tc>
          <w:tcPr>
            <w:tcW w:w="741" w:type="dxa"/>
            <w:vAlign w:val="top"/>
          </w:tcPr>
          <w:p>
            <w:pPr>
              <w:spacing w:before="114" w:line="200" w:lineRule="auto"/>
              <w:ind w:left="18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.3.2</w:t>
            </w:r>
          </w:p>
        </w:tc>
        <w:tc>
          <w:tcPr>
            <w:tcW w:w="4495" w:type="dxa"/>
            <w:vAlign w:val="top"/>
          </w:tcPr>
          <w:p>
            <w:pPr>
              <w:spacing w:before="83" w:line="230" w:lineRule="auto"/>
              <w:ind w:left="1889"/>
              <w:rPr>
                <w:rFonts w:ascii="宋体" w:hAnsi="宋体" w:eastAsia="宋体" w:cs="宋体"/>
                <w:sz w:val="17"/>
                <w:szCs w:val="17"/>
              </w:rPr>
            </w:pPr>
            <w:r>
              <w:rPr>
                <w:rFonts w:ascii="宋体" w:hAnsi="宋体" w:eastAsia="宋体" w:cs="宋体"/>
                <w:spacing w:val="9"/>
                <w:sz w:val="17"/>
                <w:szCs w:val="17"/>
              </w:rPr>
              <w:t>碎</w:t>
            </w:r>
            <w:r>
              <w:rPr>
                <w:rFonts w:ascii="宋体" w:hAnsi="宋体" w:eastAsia="宋体" w:cs="宋体"/>
                <w:spacing w:val="8"/>
                <w:sz w:val="17"/>
                <w:szCs w:val="17"/>
              </w:rPr>
              <w:t>石垫层</w:t>
            </w:r>
          </w:p>
        </w:tc>
        <w:tc>
          <w:tcPr>
            <w:tcW w:w="662" w:type="dxa"/>
            <w:vAlign w:val="top"/>
          </w:tcPr>
          <w:p>
            <w:pPr>
              <w:spacing w:before="101"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14" w:line="197" w:lineRule="auto"/>
              <w:ind w:left="410"/>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7</w:t>
            </w:r>
            <w:r>
              <w:rPr>
                <w:rFonts w:ascii="Times New Roman" w:hAnsi="Times New Roman" w:eastAsia="Times New Roman" w:cs="Times New Roman"/>
                <w:spacing w:val="3"/>
                <w:sz w:val="17"/>
                <w:szCs w:val="17"/>
              </w:rPr>
              <w:t>89.60</w:t>
            </w:r>
          </w:p>
        </w:tc>
        <w:tc>
          <w:tcPr>
            <w:tcW w:w="687" w:type="dxa"/>
            <w:vAlign w:val="top"/>
          </w:tcPr>
          <w:p>
            <w:pPr>
              <w:rPr>
                <w:rFonts w:ascii="Arial"/>
                <w:sz w:val="21"/>
              </w:rPr>
            </w:pPr>
          </w:p>
        </w:tc>
        <w:tc>
          <w:tcPr>
            <w:tcW w:w="221" w:type="dxa"/>
            <w:vMerge w:val="restart"/>
            <w:tcBorders>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0" w:line="200" w:lineRule="auto"/>
              <w:ind w:left="18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2.3.</w:t>
            </w:r>
            <w:r>
              <w:rPr>
                <w:rFonts w:ascii="Times New Roman" w:hAnsi="Times New Roman" w:eastAsia="Times New Roman" w:cs="Times New Roman"/>
                <w:spacing w:val="3"/>
                <w:sz w:val="17"/>
                <w:szCs w:val="17"/>
              </w:rPr>
              <w:t>3</w:t>
            </w:r>
          </w:p>
        </w:tc>
        <w:tc>
          <w:tcPr>
            <w:tcW w:w="4495" w:type="dxa"/>
            <w:vAlign w:val="top"/>
          </w:tcPr>
          <w:p>
            <w:pPr>
              <w:spacing w:before="69" w:line="230" w:lineRule="auto"/>
              <w:ind w:left="1891"/>
              <w:rPr>
                <w:rFonts w:ascii="宋体" w:hAnsi="宋体" w:eastAsia="宋体" w:cs="宋体"/>
                <w:sz w:val="17"/>
                <w:szCs w:val="17"/>
              </w:rPr>
            </w:pPr>
            <w:r>
              <w:rPr>
                <w:rFonts w:ascii="宋体" w:hAnsi="宋体" w:eastAsia="宋体" w:cs="宋体"/>
                <w:spacing w:val="8"/>
                <w:sz w:val="17"/>
                <w:szCs w:val="17"/>
              </w:rPr>
              <w:t>土工格栅</w:t>
            </w:r>
          </w:p>
        </w:tc>
        <w:tc>
          <w:tcPr>
            <w:tcW w:w="662" w:type="dxa"/>
            <w:vAlign w:val="top"/>
          </w:tcPr>
          <w:p>
            <w:pPr>
              <w:spacing w:before="87"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²</w:t>
            </w:r>
          </w:p>
        </w:tc>
        <w:tc>
          <w:tcPr>
            <w:tcW w:w="1300" w:type="dxa"/>
            <w:vAlign w:val="top"/>
          </w:tcPr>
          <w:p>
            <w:pPr>
              <w:spacing w:before="100" w:line="197" w:lineRule="auto"/>
              <w:ind w:left="36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7</w:t>
            </w:r>
            <w:r>
              <w:rPr>
                <w:rFonts w:ascii="Times New Roman" w:hAnsi="Times New Roman" w:eastAsia="Times New Roman" w:cs="Times New Roman"/>
                <w:spacing w:val="4"/>
                <w:sz w:val="17"/>
                <w:szCs w:val="17"/>
              </w:rPr>
              <w:t>8</w:t>
            </w:r>
            <w:r>
              <w:rPr>
                <w:rFonts w:ascii="Times New Roman" w:hAnsi="Times New Roman" w:eastAsia="Times New Roman" w:cs="Times New Roman"/>
                <w:spacing w:val="3"/>
                <w:sz w:val="17"/>
                <w:szCs w:val="17"/>
              </w:rPr>
              <w:t>95.80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0" w:line="200" w:lineRule="auto"/>
              <w:ind w:left="25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.4</w:t>
            </w:r>
          </w:p>
        </w:tc>
        <w:tc>
          <w:tcPr>
            <w:tcW w:w="4495" w:type="dxa"/>
            <w:vAlign w:val="top"/>
          </w:tcPr>
          <w:p>
            <w:pPr>
              <w:spacing w:before="69" w:line="230" w:lineRule="auto"/>
              <w:ind w:left="1892"/>
              <w:rPr>
                <w:rFonts w:ascii="宋体" w:hAnsi="宋体" w:eastAsia="宋体" w:cs="宋体"/>
                <w:sz w:val="17"/>
                <w:szCs w:val="17"/>
              </w:rPr>
            </w:pPr>
            <w:r>
              <w:rPr>
                <w:rFonts w:ascii="宋体" w:hAnsi="宋体" w:eastAsia="宋体" w:cs="宋体"/>
                <w:spacing w:val="8"/>
                <w:sz w:val="17"/>
                <w:szCs w:val="17"/>
              </w:rPr>
              <w:t>路基防</w:t>
            </w:r>
            <w:r>
              <w:rPr>
                <w:rFonts w:ascii="宋体" w:hAnsi="宋体" w:eastAsia="宋体" w:cs="宋体"/>
                <w:spacing w:val="7"/>
                <w:sz w:val="17"/>
                <w:szCs w:val="17"/>
              </w:rPr>
              <w:t>护</w:t>
            </w:r>
          </w:p>
        </w:tc>
        <w:tc>
          <w:tcPr>
            <w:tcW w:w="662" w:type="dxa"/>
            <w:vAlign w:val="top"/>
          </w:tcPr>
          <w:p>
            <w:pPr>
              <w:spacing w:before="69" w:line="231" w:lineRule="auto"/>
              <w:ind w:left="252"/>
              <w:rPr>
                <w:rFonts w:ascii="宋体" w:hAnsi="宋体" w:eastAsia="宋体" w:cs="宋体"/>
                <w:sz w:val="17"/>
                <w:szCs w:val="17"/>
              </w:rPr>
            </w:pPr>
            <w:r>
              <w:rPr>
                <w:rFonts w:ascii="宋体" w:hAnsi="宋体" w:eastAsia="宋体" w:cs="宋体"/>
                <w:sz w:val="17"/>
                <w:szCs w:val="17"/>
              </w:rPr>
              <w:t>项</w:t>
            </w:r>
          </w:p>
        </w:tc>
        <w:tc>
          <w:tcPr>
            <w:tcW w:w="1300" w:type="dxa"/>
            <w:vAlign w:val="top"/>
          </w:tcPr>
          <w:p>
            <w:pPr>
              <w:spacing w:before="100" w:line="197" w:lineRule="auto"/>
              <w:ind w:left="628"/>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0" w:line="200" w:lineRule="auto"/>
              <w:ind w:left="25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4"/>
                <w:sz w:val="17"/>
                <w:szCs w:val="17"/>
              </w:rPr>
              <w:t>.5</w:t>
            </w:r>
          </w:p>
        </w:tc>
        <w:tc>
          <w:tcPr>
            <w:tcW w:w="4495" w:type="dxa"/>
            <w:vAlign w:val="top"/>
          </w:tcPr>
          <w:p>
            <w:pPr>
              <w:spacing w:before="69" w:line="230" w:lineRule="auto"/>
              <w:ind w:left="1530"/>
              <w:rPr>
                <w:rFonts w:ascii="宋体" w:hAnsi="宋体" w:eastAsia="宋体" w:cs="宋体"/>
                <w:sz w:val="17"/>
                <w:szCs w:val="17"/>
              </w:rPr>
            </w:pPr>
            <w:r>
              <w:rPr>
                <w:rFonts w:ascii="宋体" w:hAnsi="宋体" w:eastAsia="宋体" w:cs="宋体"/>
                <w:spacing w:val="9"/>
                <w:sz w:val="17"/>
                <w:szCs w:val="17"/>
              </w:rPr>
              <w:t>桥台台背回填碎石</w:t>
            </w:r>
          </w:p>
        </w:tc>
        <w:tc>
          <w:tcPr>
            <w:tcW w:w="662" w:type="dxa"/>
            <w:vAlign w:val="top"/>
          </w:tcPr>
          <w:p>
            <w:pPr>
              <w:spacing w:before="87"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00" w:line="197" w:lineRule="auto"/>
              <w:ind w:left="475"/>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862</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0" w:line="200" w:lineRule="auto"/>
              <w:ind w:left="252"/>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4"/>
                <w:sz w:val="17"/>
                <w:szCs w:val="17"/>
              </w:rPr>
              <w:t>.6</w:t>
            </w:r>
          </w:p>
        </w:tc>
        <w:tc>
          <w:tcPr>
            <w:tcW w:w="4495" w:type="dxa"/>
            <w:vAlign w:val="top"/>
          </w:tcPr>
          <w:p>
            <w:pPr>
              <w:spacing w:before="69" w:line="230" w:lineRule="auto"/>
              <w:ind w:left="1800"/>
              <w:rPr>
                <w:rFonts w:ascii="宋体" w:hAnsi="宋体" w:eastAsia="宋体" w:cs="宋体"/>
                <w:sz w:val="17"/>
                <w:szCs w:val="17"/>
              </w:rPr>
            </w:pPr>
            <w:r>
              <w:rPr>
                <w:rFonts w:ascii="宋体" w:hAnsi="宋体" w:eastAsia="宋体" w:cs="宋体"/>
                <w:spacing w:val="10"/>
                <w:sz w:val="17"/>
                <w:szCs w:val="17"/>
              </w:rPr>
              <w:t>新</w:t>
            </w:r>
            <w:r>
              <w:rPr>
                <w:rFonts w:ascii="宋体" w:hAnsi="宋体" w:eastAsia="宋体" w:cs="宋体"/>
                <w:spacing w:val="8"/>
                <w:sz w:val="17"/>
                <w:szCs w:val="17"/>
              </w:rPr>
              <w:t>建车行道</w:t>
            </w:r>
          </w:p>
        </w:tc>
        <w:tc>
          <w:tcPr>
            <w:tcW w:w="662" w:type="dxa"/>
            <w:vAlign w:val="top"/>
          </w:tcPr>
          <w:p>
            <w:pPr>
              <w:spacing w:before="87"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²</w:t>
            </w:r>
          </w:p>
        </w:tc>
        <w:tc>
          <w:tcPr>
            <w:tcW w:w="1300" w:type="dxa"/>
            <w:vAlign w:val="top"/>
          </w:tcPr>
          <w:p>
            <w:pPr>
              <w:spacing w:before="100" w:line="197" w:lineRule="auto"/>
              <w:ind w:left="38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153</w:t>
            </w:r>
            <w:r>
              <w:rPr>
                <w:rFonts w:ascii="Times New Roman" w:hAnsi="Times New Roman" w:eastAsia="Times New Roman" w:cs="Times New Roman"/>
                <w:spacing w:val="1"/>
                <w:sz w:val="17"/>
                <w:szCs w:val="17"/>
              </w:rPr>
              <w:t>7.40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0" w:line="200" w:lineRule="auto"/>
              <w:ind w:left="25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2.7</w:t>
            </w:r>
          </w:p>
        </w:tc>
        <w:tc>
          <w:tcPr>
            <w:tcW w:w="4495" w:type="dxa"/>
            <w:vAlign w:val="top"/>
          </w:tcPr>
          <w:p>
            <w:pPr>
              <w:spacing w:before="69" w:line="231" w:lineRule="auto"/>
              <w:ind w:left="1260"/>
              <w:rPr>
                <w:rFonts w:ascii="宋体" w:hAnsi="宋体" w:eastAsia="宋体" w:cs="宋体"/>
                <w:sz w:val="17"/>
                <w:szCs w:val="17"/>
              </w:rPr>
            </w:pPr>
            <w:r>
              <w:rPr>
                <w:rFonts w:ascii="宋体" w:hAnsi="宋体" w:eastAsia="宋体" w:cs="宋体"/>
                <w:spacing w:val="12"/>
                <w:sz w:val="17"/>
                <w:szCs w:val="17"/>
              </w:rPr>
              <w:t>新</w:t>
            </w:r>
            <w:r>
              <w:rPr>
                <w:rFonts w:ascii="宋体" w:hAnsi="宋体" w:eastAsia="宋体" w:cs="宋体"/>
                <w:spacing w:val="9"/>
                <w:sz w:val="17"/>
                <w:szCs w:val="17"/>
              </w:rPr>
              <w:t>建花岗岩人行道及盲道</w:t>
            </w:r>
          </w:p>
        </w:tc>
        <w:tc>
          <w:tcPr>
            <w:tcW w:w="662" w:type="dxa"/>
            <w:vAlign w:val="top"/>
          </w:tcPr>
          <w:p>
            <w:pPr>
              <w:spacing w:before="87"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²</w:t>
            </w:r>
          </w:p>
        </w:tc>
        <w:tc>
          <w:tcPr>
            <w:tcW w:w="1300" w:type="dxa"/>
            <w:vAlign w:val="top"/>
          </w:tcPr>
          <w:p>
            <w:pPr>
              <w:spacing w:before="100" w:line="197" w:lineRule="auto"/>
              <w:ind w:left="41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3</w:t>
            </w:r>
            <w:r>
              <w:rPr>
                <w:rFonts w:ascii="Times New Roman" w:hAnsi="Times New Roman" w:eastAsia="Times New Roman" w:cs="Times New Roman"/>
                <w:spacing w:val="3"/>
                <w:sz w:val="17"/>
                <w:szCs w:val="17"/>
              </w:rPr>
              <w:t>16.20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0" w:line="200" w:lineRule="auto"/>
              <w:ind w:left="25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.8</w:t>
            </w:r>
          </w:p>
        </w:tc>
        <w:tc>
          <w:tcPr>
            <w:tcW w:w="4495" w:type="dxa"/>
            <w:vAlign w:val="top"/>
          </w:tcPr>
          <w:p>
            <w:pPr>
              <w:spacing w:before="69" w:line="231" w:lineRule="auto"/>
              <w:ind w:left="1800"/>
              <w:rPr>
                <w:rFonts w:ascii="宋体" w:hAnsi="宋体" w:eastAsia="宋体" w:cs="宋体"/>
                <w:sz w:val="17"/>
                <w:szCs w:val="17"/>
              </w:rPr>
            </w:pPr>
            <w:r>
              <w:rPr>
                <w:rFonts w:ascii="宋体" w:hAnsi="宋体" w:eastAsia="宋体" w:cs="宋体"/>
                <w:spacing w:val="10"/>
                <w:sz w:val="17"/>
                <w:szCs w:val="17"/>
              </w:rPr>
              <w:t>花</w:t>
            </w:r>
            <w:r>
              <w:rPr>
                <w:rFonts w:ascii="宋体" w:hAnsi="宋体" w:eastAsia="宋体" w:cs="宋体"/>
                <w:spacing w:val="8"/>
                <w:sz w:val="17"/>
                <w:szCs w:val="17"/>
              </w:rPr>
              <w:t>岗岩缘石</w:t>
            </w:r>
          </w:p>
        </w:tc>
        <w:tc>
          <w:tcPr>
            <w:tcW w:w="662" w:type="dxa"/>
            <w:vAlign w:val="top"/>
          </w:tcPr>
          <w:p>
            <w:pPr>
              <w:spacing w:before="139" w:line="121" w:lineRule="exact"/>
              <w:ind w:left="26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m</w:t>
            </w:r>
          </w:p>
        </w:tc>
        <w:tc>
          <w:tcPr>
            <w:tcW w:w="1300" w:type="dxa"/>
            <w:vAlign w:val="top"/>
          </w:tcPr>
          <w:p>
            <w:pPr>
              <w:spacing w:before="100" w:line="197" w:lineRule="auto"/>
              <w:ind w:left="42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w:t>
            </w:r>
            <w:r>
              <w:rPr>
                <w:rFonts w:ascii="Times New Roman" w:hAnsi="Times New Roman" w:eastAsia="Times New Roman" w:cs="Times New Roman"/>
                <w:sz w:val="17"/>
                <w:szCs w:val="17"/>
              </w:rPr>
              <w:t>16.70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0" w:line="200" w:lineRule="auto"/>
              <w:ind w:left="25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2.9</w:t>
            </w:r>
          </w:p>
        </w:tc>
        <w:tc>
          <w:tcPr>
            <w:tcW w:w="4495" w:type="dxa"/>
            <w:vAlign w:val="top"/>
          </w:tcPr>
          <w:p>
            <w:pPr>
              <w:spacing w:before="69" w:line="230" w:lineRule="auto"/>
              <w:ind w:left="1712"/>
              <w:rPr>
                <w:rFonts w:ascii="宋体" w:hAnsi="宋体" w:eastAsia="宋体" w:cs="宋体"/>
                <w:sz w:val="17"/>
                <w:szCs w:val="17"/>
              </w:rPr>
            </w:pPr>
            <w:r>
              <w:rPr>
                <w:rFonts w:ascii="宋体" w:hAnsi="宋体" w:eastAsia="宋体" w:cs="宋体"/>
                <w:spacing w:val="10"/>
                <w:sz w:val="17"/>
                <w:szCs w:val="17"/>
              </w:rPr>
              <w:t>混</w:t>
            </w:r>
            <w:r>
              <w:rPr>
                <w:rFonts w:ascii="宋体" w:hAnsi="宋体" w:eastAsia="宋体" w:cs="宋体"/>
                <w:spacing w:val="8"/>
                <w:sz w:val="17"/>
                <w:szCs w:val="17"/>
              </w:rPr>
              <w:t>凝土路边石</w:t>
            </w:r>
          </w:p>
        </w:tc>
        <w:tc>
          <w:tcPr>
            <w:tcW w:w="662" w:type="dxa"/>
            <w:vAlign w:val="top"/>
          </w:tcPr>
          <w:p>
            <w:pPr>
              <w:spacing w:before="139" w:line="121" w:lineRule="exact"/>
              <w:ind w:left="26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m</w:t>
            </w:r>
          </w:p>
        </w:tc>
        <w:tc>
          <w:tcPr>
            <w:tcW w:w="1300" w:type="dxa"/>
            <w:vAlign w:val="top"/>
          </w:tcPr>
          <w:p>
            <w:pPr>
              <w:spacing w:before="100" w:line="200" w:lineRule="auto"/>
              <w:ind w:left="42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w:t>
            </w:r>
            <w:r>
              <w:rPr>
                <w:rFonts w:ascii="Times New Roman" w:hAnsi="Times New Roman" w:eastAsia="Times New Roman" w:cs="Times New Roman"/>
                <w:sz w:val="17"/>
                <w:szCs w:val="17"/>
              </w:rPr>
              <w:t>14.50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0" w:line="197" w:lineRule="auto"/>
              <w:ind w:left="209"/>
              <w:rPr>
                <w:rFonts w:ascii="Times New Roman" w:hAnsi="Times New Roman" w:eastAsia="Times New Roman" w:cs="Times New Roman"/>
                <w:sz w:val="17"/>
                <w:szCs w:val="17"/>
              </w:rPr>
            </w:pPr>
            <w:r>
              <w:rPr>
                <w:rFonts w:ascii="Times New Roman" w:hAnsi="Times New Roman" w:eastAsia="Times New Roman" w:cs="Times New Roman"/>
                <w:spacing w:val="-9"/>
                <w:sz w:val="17"/>
                <w:szCs w:val="17"/>
              </w:rPr>
              <w:t>2</w:t>
            </w:r>
            <w:r>
              <w:rPr>
                <w:rFonts w:ascii="Times New Roman" w:hAnsi="Times New Roman" w:eastAsia="Times New Roman" w:cs="Times New Roman"/>
                <w:spacing w:val="-5"/>
                <w:sz w:val="17"/>
                <w:szCs w:val="17"/>
              </w:rPr>
              <w:t>. 10</w:t>
            </w:r>
          </w:p>
        </w:tc>
        <w:tc>
          <w:tcPr>
            <w:tcW w:w="4495" w:type="dxa"/>
            <w:vAlign w:val="top"/>
          </w:tcPr>
          <w:p>
            <w:pPr>
              <w:spacing w:before="69" w:line="231" w:lineRule="auto"/>
              <w:ind w:left="1800"/>
              <w:rPr>
                <w:rFonts w:ascii="宋体" w:hAnsi="宋体" w:eastAsia="宋体" w:cs="宋体"/>
                <w:sz w:val="17"/>
                <w:szCs w:val="17"/>
              </w:rPr>
            </w:pPr>
            <w:r>
              <w:rPr>
                <w:rFonts w:ascii="宋体" w:hAnsi="宋体" w:eastAsia="宋体" w:cs="宋体"/>
                <w:spacing w:val="9"/>
                <w:sz w:val="17"/>
                <w:szCs w:val="17"/>
              </w:rPr>
              <w:t>人</w:t>
            </w:r>
            <w:r>
              <w:rPr>
                <w:rFonts w:ascii="宋体" w:hAnsi="宋体" w:eastAsia="宋体" w:cs="宋体"/>
                <w:spacing w:val="8"/>
                <w:sz w:val="17"/>
                <w:szCs w:val="17"/>
              </w:rPr>
              <w:t>行道护栏</w:t>
            </w:r>
          </w:p>
        </w:tc>
        <w:tc>
          <w:tcPr>
            <w:tcW w:w="662" w:type="dxa"/>
            <w:vAlign w:val="top"/>
          </w:tcPr>
          <w:p>
            <w:pPr>
              <w:spacing w:before="139" w:line="121" w:lineRule="exact"/>
              <w:ind w:left="26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m</w:t>
            </w:r>
          </w:p>
        </w:tc>
        <w:tc>
          <w:tcPr>
            <w:tcW w:w="1300" w:type="dxa"/>
            <w:vAlign w:val="top"/>
          </w:tcPr>
          <w:p>
            <w:pPr>
              <w:spacing w:before="100" w:line="197" w:lineRule="auto"/>
              <w:ind w:left="50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3"/>
                <w:sz w:val="17"/>
                <w:szCs w:val="17"/>
              </w:rPr>
              <w:t>6.6</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1" w:line="200" w:lineRule="auto"/>
              <w:ind w:left="211"/>
              <w:rPr>
                <w:rFonts w:ascii="Times New Roman" w:hAnsi="Times New Roman" w:eastAsia="Times New Roman" w:cs="Times New Roman"/>
                <w:sz w:val="17"/>
                <w:szCs w:val="17"/>
              </w:rPr>
            </w:pPr>
            <w:r>
              <w:rPr>
                <w:rFonts w:ascii="Times New Roman" w:hAnsi="Times New Roman" w:eastAsia="Times New Roman" w:cs="Times New Roman"/>
                <w:spacing w:val="-8"/>
                <w:sz w:val="17"/>
                <w:szCs w:val="17"/>
              </w:rPr>
              <w:t>2</w:t>
            </w:r>
            <w:r>
              <w:rPr>
                <w:rFonts w:ascii="Times New Roman" w:hAnsi="Times New Roman" w:eastAsia="Times New Roman" w:cs="Times New Roman"/>
                <w:spacing w:val="-6"/>
                <w:sz w:val="17"/>
                <w:szCs w:val="17"/>
              </w:rPr>
              <w:t>. 11</w:t>
            </w:r>
          </w:p>
        </w:tc>
        <w:tc>
          <w:tcPr>
            <w:tcW w:w="4495" w:type="dxa"/>
            <w:vAlign w:val="top"/>
          </w:tcPr>
          <w:p>
            <w:pPr>
              <w:spacing w:before="70" w:line="230" w:lineRule="auto"/>
              <w:ind w:left="1080"/>
              <w:rPr>
                <w:rFonts w:ascii="宋体" w:hAnsi="宋体" w:eastAsia="宋体" w:cs="宋体"/>
                <w:sz w:val="17"/>
                <w:szCs w:val="17"/>
              </w:rPr>
            </w:pPr>
            <w:r>
              <w:rPr>
                <w:rFonts w:ascii="宋体" w:hAnsi="宋体" w:eastAsia="宋体" w:cs="宋体"/>
                <w:spacing w:val="14"/>
                <w:sz w:val="17"/>
                <w:szCs w:val="17"/>
              </w:rPr>
              <w:t>新</w:t>
            </w:r>
            <w:r>
              <w:rPr>
                <w:rFonts w:ascii="宋体" w:hAnsi="宋体" w:eastAsia="宋体" w:cs="宋体"/>
                <w:spacing w:val="9"/>
                <w:sz w:val="17"/>
                <w:szCs w:val="17"/>
              </w:rPr>
              <w:t>建挡土墙、地基加固及支护</w:t>
            </w:r>
          </w:p>
        </w:tc>
        <w:tc>
          <w:tcPr>
            <w:tcW w:w="662" w:type="dxa"/>
            <w:vAlign w:val="top"/>
          </w:tcPr>
          <w:p>
            <w:pPr>
              <w:spacing w:before="70" w:line="231" w:lineRule="auto"/>
              <w:ind w:left="252"/>
              <w:rPr>
                <w:rFonts w:ascii="宋体" w:hAnsi="宋体" w:eastAsia="宋体" w:cs="宋体"/>
                <w:sz w:val="17"/>
                <w:szCs w:val="17"/>
              </w:rPr>
            </w:pPr>
            <w:r>
              <w:rPr>
                <w:rFonts w:ascii="宋体" w:hAnsi="宋体" w:eastAsia="宋体" w:cs="宋体"/>
                <w:sz w:val="17"/>
                <w:szCs w:val="17"/>
              </w:rPr>
              <w:t>项</w:t>
            </w:r>
          </w:p>
        </w:tc>
        <w:tc>
          <w:tcPr>
            <w:tcW w:w="1300" w:type="dxa"/>
            <w:vAlign w:val="top"/>
          </w:tcPr>
          <w:p>
            <w:pPr>
              <w:spacing w:before="101" w:line="197" w:lineRule="auto"/>
              <w:ind w:left="628"/>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1" w:line="200" w:lineRule="auto"/>
              <w:ind w:left="144"/>
              <w:rPr>
                <w:rFonts w:ascii="Times New Roman" w:hAnsi="Times New Roman" w:eastAsia="Times New Roman" w:cs="Times New Roman"/>
                <w:sz w:val="17"/>
                <w:szCs w:val="17"/>
              </w:rPr>
            </w:pPr>
            <w:r>
              <w:rPr>
                <w:rFonts w:ascii="Times New Roman" w:hAnsi="Times New Roman" w:eastAsia="Times New Roman" w:cs="Times New Roman"/>
                <w:spacing w:val="-11"/>
                <w:sz w:val="17"/>
                <w:szCs w:val="17"/>
              </w:rPr>
              <w:t>2</w:t>
            </w:r>
            <w:r>
              <w:rPr>
                <w:rFonts w:ascii="Times New Roman" w:hAnsi="Times New Roman" w:eastAsia="Times New Roman" w:cs="Times New Roman"/>
                <w:spacing w:val="-6"/>
                <w:sz w:val="17"/>
                <w:szCs w:val="17"/>
              </w:rPr>
              <w:t>. 11. 1</w:t>
            </w:r>
          </w:p>
        </w:tc>
        <w:tc>
          <w:tcPr>
            <w:tcW w:w="4495" w:type="dxa"/>
            <w:vAlign w:val="top"/>
          </w:tcPr>
          <w:p>
            <w:pPr>
              <w:spacing w:before="70" w:line="230" w:lineRule="auto"/>
              <w:ind w:left="1799"/>
              <w:rPr>
                <w:rFonts w:ascii="宋体" w:hAnsi="宋体" w:eastAsia="宋体" w:cs="宋体"/>
                <w:sz w:val="17"/>
                <w:szCs w:val="17"/>
              </w:rPr>
            </w:pPr>
            <w:r>
              <w:rPr>
                <w:rFonts w:ascii="宋体" w:hAnsi="宋体" w:eastAsia="宋体" w:cs="宋体"/>
                <w:spacing w:val="10"/>
                <w:sz w:val="17"/>
                <w:szCs w:val="17"/>
              </w:rPr>
              <w:t>钻</w:t>
            </w:r>
            <w:r>
              <w:rPr>
                <w:rFonts w:ascii="宋体" w:hAnsi="宋体" w:eastAsia="宋体" w:cs="宋体"/>
                <w:spacing w:val="8"/>
                <w:sz w:val="17"/>
                <w:szCs w:val="17"/>
              </w:rPr>
              <w:t>孔灌注桩</w:t>
            </w:r>
          </w:p>
        </w:tc>
        <w:tc>
          <w:tcPr>
            <w:tcW w:w="662" w:type="dxa"/>
            <w:vAlign w:val="top"/>
          </w:tcPr>
          <w:p>
            <w:pPr>
              <w:spacing w:before="88"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01" w:line="197" w:lineRule="auto"/>
              <w:ind w:left="41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74.50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1" w:line="200" w:lineRule="auto"/>
              <w:ind w:left="144"/>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3"/>
                <w:sz w:val="17"/>
                <w:szCs w:val="17"/>
              </w:rPr>
              <w:t xml:space="preserve"> 11.2</w:t>
            </w:r>
          </w:p>
        </w:tc>
        <w:tc>
          <w:tcPr>
            <w:tcW w:w="4495" w:type="dxa"/>
            <w:vAlign w:val="top"/>
          </w:tcPr>
          <w:p>
            <w:pPr>
              <w:spacing w:before="70" w:line="230" w:lineRule="auto"/>
              <w:ind w:left="1890"/>
              <w:rPr>
                <w:rFonts w:ascii="宋体" w:hAnsi="宋体" w:eastAsia="宋体" w:cs="宋体"/>
                <w:sz w:val="17"/>
                <w:szCs w:val="17"/>
              </w:rPr>
            </w:pPr>
            <w:r>
              <w:rPr>
                <w:rFonts w:ascii="宋体" w:hAnsi="宋体" w:eastAsia="宋体" w:cs="宋体"/>
                <w:spacing w:val="8"/>
                <w:sz w:val="17"/>
                <w:szCs w:val="17"/>
              </w:rPr>
              <w:t>挡墙墙身</w:t>
            </w:r>
          </w:p>
        </w:tc>
        <w:tc>
          <w:tcPr>
            <w:tcW w:w="662" w:type="dxa"/>
            <w:vAlign w:val="top"/>
          </w:tcPr>
          <w:p>
            <w:pPr>
              <w:spacing w:before="88"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01" w:line="197" w:lineRule="auto"/>
              <w:ind w:left="40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47</w:t>
            </w:r>
            <w:r>
              <w:rPr>
                <w:rFonts w:ascii="Times New Roman" w:hAnsi="Times New Roman" w:eastAsia="Times New Roman" w:cs="Times New Roman"/>
                <w:spacing w:val="-2"/>
                <w:sz w:val="17"/>
                <w:szCs w:val="17"/>
              </w:rPr>
              <w:t>6. 10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1" w:line="200" w:lineRule="auto"/>
              <w:ind w:left="144"/>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3"/>
                <w:sz w:val="17"/>
                <w:szCs w:val="17"/>
              </w:rPr>
              <w:t>. 11.3</w:t>
            </w:r>
          </w:p>
        </w:tc>
        <w:tc>
          <w:tcPr>
            <w:tcW w:w="4495" w:type="dxa"/>
            <w:vAlign w:val="top"/>
          </w:tcPr>
          <w:p>
            <w:pPr>
              <w:spacing w:before="70" w:line="229" w:lineRule="auto"/>
              <w:ind w:left="1797"/>
              <w:rPr>
                <w:rFonts w:ascii="宋体" w:hAnsi="宋体" w:eastAsia="宋体" w:cs="宋体"/>
                <w:sz w:val="17"/>
                <w:szCs w:val="17"/>
              </w:rPr>
            </w:pPr>
            <w:r>
              <w:rPr>
                <w:rFonts w:ascii="宋体" w:hAnsi="宋体" w:eastAsia="宋体" w:cs="宋体"/>
                <w:spacing w:val="9"/>
                <w:sz w:val="17"/>
                <w:szCs w:val="17"/>
              </w:rPr>
              <w:t>钢板桩支</w:t>
            </w:r>
            <w:r>
              <w:rPr>
                <w:rFonts w:ascii="宋体" w:hAnsi="宋体" w:eastAsia="宋体" w:cs="宋体"/>
                <w:spacing w:val="8"/>
                <w:sz w:val="17"/>
                <w:szCs w:val="17"/>
              </w:rPr>
              <w:t>护</w:t>
            </w:r>
          </w:p>
        </w:tc>
        <w:tc>
          <w:tcPr>
            <w:tcW w:w="662" w:type="dxa"/>
            <w:vAlign w:val="top"/>
          </w:tcPr>
          <w:p>
            <w:pPr>
              <w:spacing w:before="140" w:line="121" w:lineRule="exact"/>
              <w:ind w:left="26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m</w:t>
            </w:r>
          </w:p>
        </w:tc>
        <w:tc>
          <w:tcPr>
            <w:tcW w:w="1300" w:type="dxa"/>
            <w:vAlign w:val="top"/>
          </w:tcPr>
          <w:p>
            <w:pPr>
              <w:spacing w:before="101" w:line="197" w:lineRule="auto"/>
              <w:ind w:left="52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8</w:t>
            </w:r>
            <w:r>
              <w:rPr>
                <w:rFonts w:ascii="Times New Roman" w:hAnsi="Times New Roman" w:eastAsia="Times New Roman" w:cs="Times New Roman"/>
                <w:spacing w:val="1"/>
                <w:sz w:val="17"/>
                <w:szCs w:val="17"/>
              </w:rPr>
              <w:t>10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1" w:line="200" w:lineRule="auto"/>
              <w:ind w:left="209"/>
              <w:rPr>
                <w:rFonts w:ascii="Times New Roman" w:hAnsi="Times New Roman" w:eastAsia="Times New Roman" w:cs="Times New Roman"/>
                <w:sz w:val="17"/>
                <w:szCs w:val="17"/>
              </w:rPr>
            </w:pPr>
            <w:r>
              <w:rPr>
                <w:rFonts w:ascii="Times New Roman" w:hAnsi="Times New Roman" w:eastAsia="Times New Roman" w:cs="Times New Roman"/>
                <w:spacing w:val="-9"/>
                <w:sz w:val="17"/>
                <w:szCs w:val="17"/>
              </w:rPr>
              <w:t>2</w:t>
            </w:r>
            <w:r>
              <w:rPr>
                <w:rFonts w:ascii="Times New Roman" w:hAnsi="Times New Roman" w:eastAsia="Times New Roman" w:cs="Times New Roman"/>
                <w:spacing w:val="-5"/>
                <w:sz w:val="17"/>
                <w:szCs w:val="17"/>
              </w:rPr>
              <w:t>. 12</w:t>
            </w:r>
          </w:p>
        </w:tc>
        <w:tc>
          <w:tcPr>
            <w:tcW w:w="4495" w:type="dxa"/>
            <w:vAlign w:val="top"/>
          </w:tcPr>
          <w:p>
            <w:pPr>
              <w:spacing w:before="70" w:line="230" w:lineRule="auto"/>
              <w:ind w:left="1890"/>
              <w:rPr>
                <w:rFonts w:ascii="宋体" w:hAnsi="宋体" w:eastAsia="宋体" w:cs="宋体"/>
                <w:sz w:val="17"/>
                <w:szCs w:val="17"/>
              </w:rPr>
            </w:pPr>
            <w:r>
              <w:rPr>
                <w:rFonts w:ascii="宋体" w:hAnsi="宋体" w:eastAsia="宋体" w:cs="宋体"/>
                <w:spacing w:val="8"/>
                <w:sz w:val="17"/>
                <w:szCs w:val="17"/>
              </w:rPr>
              <w:t>挡土桥台</w:t>
            </w:r>
          </w:p>
        </w:tc>
        <w:tc>
          <w:tcPr>
            <w:tcW w:w="662" w:type="dxa"/>
            <w:vAlign w:val="top"/>
          </w:tcPr>
          <w:p>
            <w:pPr>
              <w:spacing w:before="88"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01" w:line="200" w:lineRule="auto"/>
              <w:ind w:left="38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121</w:t>
            </w:r>
            <w:r>
              <w:rPr>
                <w:rFonts w:ascii="Times New Roman" w:hAnsi="Times New Roman" w:eastAsia="Times New Roman" w:cs="Times New Roman"/>
                <w:spacing w:val="1"/>
                <w:sz w:val="17"/>
                <w:szCs w:val="17"/>
              </w:rPr>
              <w:t>4.50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2" w:line="200" w:lineRule="auto"/>
              <w:ind w:left="141"/>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2. 12. 1</w:t>
            </w:r>
          </w:p>
        </w:tc>
        <w:tc>
          <w:tcPr>
            <w:tcW w:w="4495" w:type="dxa"/>
            <w:vAlign w:val="top"/>
          </w:tcPr>
          <w:p>
            <w:pPr>
              <w:spacing w:before="71" w:line="229" w:lineRule="auto"/>
              <w:ind w:left="1350"/>
              <w:rPr>
                <w:rFonts w:ascii="宋体" w:hAnsi="宋体" w:eastAsia="宋体" w:cs="宋体"/>
                <w:sz w:val="17"/>
                <w:szCs w:val="17"/>
              </w:rPr>
            </w:pPr>
            <w:r>
              <w:rPr>
                <w:rFonts w:ascii="宋体" w:hAnsi="宋体" w:eastAsia="宋体" w:cs="宋体"/>
                <w:spacing w:val="12"/>
                <w:sz w:val="17"/>
                <w:szCs w:val="17"/>
              </w:rPr>
              <w:t>桥</w:t>
            </w:r>
            <w:r>
              <w:rPr>
                <w:rFonts w:ascii="宋体" w:hAnsi="宋体" w:eastAsia="宋体" w:cs="宋体"/>
                <w:spacing w:val="7"/>
                <w:sz w:val="17"/>
                <w:szCs w:val="17"/>
              </w:rPr>
              <w:t>台 (含钢板桩支护)</w:t>
            </w:r>
          </w:p>
        </w:tc>
        <w:tc>
          <w:tcPr>
            <w:tcW w:w="662" w:type="dxa"/>
            <w:vAlign w:val="top"/>
          </w:tcPr>
          <w:p>
            <w:pPr>
              <w:spacing w:before="89"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02" w:line="197" w:lineRule="auto"/>
              <w:ind w:left="41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3</w:t>
            </w:r>
            <w:r>
              <w:rPr>
                <w:rFonts w:ascii="Times New Roman" w:hAnsi="Times New Roman" w:eastAsia="Times New Roman" w:cs="Times New Roman"/>
                <w:spacing w:val="3"/>
                <w:sz w:val="17"/>
                <w:szCs w:val="17"/>
              </w:rPr>
              <w:t>84.80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2" w:line="200" w:lineRule="auto"/>
              <w:ind w:left="14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 12.2</w:t>
            </w:r>
          </w:p>
        </w:tc>
        <w:tc>
          <w:tcPr>
            <w:tcW w:w="4495" w:type="dxa"/>
            <w:vAlign w:val="top"/>
          </w:tcPr>
          <w:p>
            <w:pPr>
              <w:spacing w:before="71" w:line="230" w:lineRule="auto"/>
              <w:ind w:left="1897"/>
              <w:rPr>
                <w:rFonts w:ascii="Times New Roman" w:hAnsi="Times New Roman" w:eastAsia="Times New Roman" w:cs="Times New Roman"/>
                <w:sz w:val="17"/>
                <w:szCs w:val="17"/>
              </w:rPr>
            </w:pPr>
            <w:r>
              <w:rPr>
                <w:rFonts w:ascii="宋体" w:hAnsi="宋体" w:eastAsia="宋体" w:cs="宋体"/>
                <w:spacing w:val="-2"/>
                <w:sz w:val="17"/>
                <w:szCs w:val="17"/>
              </w:rPr>
              <w:t xml:space="preserve">承台 </w:t>
            </w:r>
            <w:r>
              <w:rPr>
                <w:rFonts w:ascii="Times New Roman" w:hAnsi="Times New Roman" w:eastAsia="Times New Roman" w:cs="Times New Roman"/>
                <w:spacing w:val="-1"/>
                <w:sz w:val="17"/>
                <w:szCs w:val="17"/>
              </w:rPr>
              <w:t>C30</w:t>
            </w:r>
          </w:p>
        </w:tc>
        <w:tc>
          <w:tcPr>
            <w:tcW w:w="662" w:type="dxa"/>
            <w:vAlign w:val="top"/>
          </w:tcPr>
          <w:p>
            <w:pPr>
              <w:spacing w:before="89"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02" w:line="197" w:lineRule="auto"/>
              <w:ind w:left="41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3</w:t>
            </w:r>
            <w:r>
              <w:rPr>
                <w:rFonts w:ascii="Times New Roman" w:hAnsi="Times New Roman" w:eastAsia="Times New Roman" w:cs="Times New Roman"/>
                <w:spacing w:val="3"/>
                <w:sz w:val="17"/>
                <w:szCs w:val="17"/>
              </w:rPr>
              <w:t>32.30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2" w:line="200" w:lineRule="auto"/>
              <w:ind w:left="14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 xml:space="preserve"> </w:t>
            </w:r>
            <w:r>
              <w:rPr>
                <w:rFonts w:ascii="Times New Roman" w:hAnsi="Times New Roman" w:eastAsia="Times New Roman" w:cs="Times New Roman"/>
                <w:spacing w:val="-2"/>
                <w:sz w:val="17"/>
                <w:szCs w:val="17"/>
              </w:rPr>
              <w:t>12.3</w:t>
            </w:r>
          </w:p>
        </w:tc>
        <w:tc>
          <w:tcPr>
            <w:tcW w:w="4495" w:type="dxa"/>
            <w:vAlign w:val="top"/>
          </w:tcPr>
          <w:p>
            <w:pPr>
              <w:spacing w:before="71" w:line="230" w:lineRule="auto"/>
              <w:ind w:left="2070"/>
              <w:rPr>
                <w:rFonts w:ascii="宋体" w:hAnsi="宋体" w:eastAsia="宋体" w:cs="宋体"/>
                <w:sz w:val="17"/>
                <w:szCs w:val="17"/>
              </w:rPr>
            </w:pPr>
            <w:r>
              <w:rPr>
                <w:rFonts w:ascii="宋体" w:hAnsi="宋体" w:eastAsia="宋体" w:cs="宋体"/>
                <w:spacing w:val="6"/>
                <w:sz w:val="17"/>
                <w:szCs w:val="17"/>
              </w:rPr>
              <w:t>桩基</w:t>
            </w:r>
          </w:p>
        </w:tc>
        <w:tc>
          <w:tcPr>
            <w:tcW w:w="662" w:type="dxa"/>
            <w:vAlign w:val="top"/>
          </w:tcPr>
          <w:p>
            <w:pPr>
              <w:spacing w:before="89"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02" w:line="197" w:lineRule="auto"/>
              <w:ind w:left="40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97.40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2" w:line="197" w:lineRule="auto"/>
              <w:ind w:left="325"/>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tc>
        <w:tc>
          <w:tcPr>
            <w:tcW w:w="4495" w:type="dxa"/>
            <w:vAlign w:val="top"/>
          </w:tcPr>
          <w:p>
            <w:pPr>
              <w:spacing w:before="71" w:line="229" w:lineRule="auto"/>
              <w:ind w:left="1889"/>
              <w:rPr>
                <w:rFonts w:ascii="宋体" w:hAnsi="宋体" w:eastAsia="宋体" w:cs="宋体"/>
                <w:sz w:val="17"/>
                <w:szCs w:val="17"/>
              </w:rPr>
            </w:pPr>
            <w:r>
              <w:rPr>
                <w:rFonts w:ascii="宋体" w:hAnsi="宋体" w:eastAsia="宋体" w:cs="宋体"/>
                <w:spacing w:val="9"/>
                <w:sz w:val="17"/>
                <w:szCs w:val="17"/>
              </w:rPr>
              <w:t>施</w:t>
            </w:r>
            <w:r>
              <w:rPr>
                <w:rFonts w:ascii="宋体" w:hAnsi="宋体" w:eastAsia="宋体" w:cs="宋体"/>
                <w:spacing w:val="8"/>
                <w:sz w:val="17"/>
                <w:szCs w:val="17"/>
              </w:rPr>
              <w:t>工围挡</w:t>
            </w:r>
          </w:p>
        </w:tc>
        <w:tc>
          <w:tcPr>
            <w:tcW w:w="662" w:type="dxa"/>
            <w:vAlign w:val="top"/>
          </w:tcPr>
          <w:p>
            <w:pPr>
              <w:spacing w:before="89"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²</w:t>
            </w:r>
          </w:p>
        </w:tc>
        <w:tc>
          <w:tcPr>
            <w:tcW w:w="1300" w:type="dxa"/>
            <w:vAlign w:val="top"/>
          </w:tcPr>
          <w:p>
            <w:pPr>
              <w:spacing w:before="102" w:line="197" w:lineRule="auto"/>
              <w:ind w:left="41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9</w:t>
            </w:r>
            <w:r>
              <w:rPr>
                <w:rFonts w:ascii="Times New Roman" w:hAnsi="Times New Roman" w:eastAsia="Times New Roman" w:cs="Times New Roman"/>
                <w:spacing w:val="3"/>
                <w:sz w:val="17"/>
                <w:szCs w:val="17"/>
              </w:rPr>
              <w:t>30.60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3" w:line="197" w:lineRule="auto"/>
              <w:ind w:left="32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4495" w:type="dxa"/>
            <w:vAlign w:val="top"/>
          </w:tcPr>
          <w:p>
            <w:pPr>
              <w:spacing w:before="72" w:line="229" w:lineRule="auto"/>
              <w:ind w:left="1532"/>
              <w:rPr>
                <w:rFonts w:ascii="宋体" w:hAnsi="宋体" w:eastAsia="宋体" w:cs="宋体"/>
                <w:sz w:val="17"/>
                <w:szCs w:val="17"/>
              </w:rPr>
            </w:pPr>
            <w:r>
              <w:rPr>
                <w:rFonts w:ascii="宋体" w:hAnsi="宋体" w:eastAsia="宋体" w:cs="宋体"/>
                <w:spacing w:val="9"/>
                <w:sz w:val="17"/>
                <w:szCs w:val="17"/>
              </w:rPr>
              <w:t>大型机械进出场</w:t>
            </w:r>
            <w:r>
              <w:rPr>
                <w:rFonts w:ascii="宋体" w:hAnsi="宋体" w:eastAsia="宋体" w:cs="宋体"/>
                <w:spacing w:val="7"/>
                <w:sz w:val="17"/>
                <w:szCs w:val="17"/>
              </w:rPr>
              <w:t>费</w:t>
            </w:r>
          </w:p>
        </w:tc>
        <w:tc>
          <w:tcPr>
            <w:tcW w:w="662" w:type="dxa"/>
            <w:vAlign w:val="top"/>
          </w:tcPr>
          <w:p>
            <w:pPr>
              <w:spacing w:before="72" w:line="229" w:lineRule="auto"/>
              <w:ind w:left="252"/>
              <w:rPr>
                <w:rFonts w:ascii="宋体" w:hAnsi="宋体" w:eastAsia="宋体" w:cs="宋体"/>
                <w:sz w:val="17"/>
                <w:szCs w:val="17"/>
              </w:rPr>
            </w:pPr>
            <w:r>
              <w:rPr>
                <w:rFonts w:ascii="宋体" w:hAnsi="宋体" w:eastAsia="宋体" w:cs="宋体"/>
                <w:sz w:val="17"/>
                <w:szCs w:val="17"/>
              </w:rPr>
              <w:t>项</w:t>
            </w:r>
          </w:p>
        </w:tc>
        <w:tc>
          <w:tcPr>
            <w:tcW w:w="1300" w:type="dxa"/>
            <w:vAlign w:val="top"/>
          </w:tcPr>
          <w:p>
            <w:pPr>
              <w:spacing w:before="103" w:line="197" w:lineRule="auto"/>
              <w:ind w:left="628"/>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5" w:line="194" w:lineRule="auto"/>
              <w:ind w:left="326"/>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4495" w:type="dxa"/>
            <w:vAlign w:val="top"/>
          </w:tcPr>
          <w:p>
            <w:pPr>
              <w:spacing w:before="39" w:line="242" w:lineRule="exact"/>
              <w:ind w:left="886"/>
              <w:rPr>
                <w:rFonts w:ascii="Times New Roman" w:hAnsi="Times New Roman" w:eastAsia="Times New Roman" w:cs="Times New Roman"/>
                <w:sz w:val="17"/>
                <w:szCs w:val="17"/>
              </w:rPr>
            </w:pPr>
            <w:r>
              <w:rPr>
                <w:rFonts w:ascii="宋体" w:hAnsi="宋体" w:eastAsia="宋体" w:cs="宋体"/>
                <w:spacing w:val="1"/>
                <w:position w:val="1"/>
                <w:sz w:val="17"/>
                <w:szCs w:val="17"/>
              </w:rPr>
              <w:t xml:space="preserve">施工便道 (长度 </w:t>
            </w:r>
            <w:r>
              <w:rPr>
                <w:rFonts w:ascii="Times New Roman" w:hAnsi="Times New Roman" w:eastAsia="Times New Roman" w:cs="Times New Roman"/>
                <w:spacing w:val="1"/>
                <w:position w:val="1"/>
                <w:sz w:val="17"/>
                <w:szCs w:val="17"/>
              </w:rPr>
              <w:t>568</w:t>
            </w:r>
            <w:r>
              <w:rPr>
                <w:rFonts w:ascii="Times New Roman" w:hAnsi="Times New Roman" w:eastAsia="Times New Roman" w:cs="Times New Roman"/>
                <w:position w:val="1"/>
                <w:sz w:val="17"/>
                <w:szCs w:val="17"/>
              </w:rPr>
              <w:t>m</w:t>
            </w:r>
            <w:r>
              <w:rPr>
                <w:rFonts w:ascii="Times New Roman" w:hAnsi="Times New Roman" w:eastAsia="Times New Roman" w:cs="Times New Roman"/>
                <w:spacing w:val="1"/>
                <w:position w:val="1"/>
                <w:sz w:val="17"/>
                <w:szCs w:val="17"/>
              </w:rPr>
              <w:t xml:space="preserve"> </w:t>
            </w:r>
            <w:r>
              <w:rPr>
                <w:rFonts w:ascii="宋体" w:hAnsi="宋体" w:eastAsia="宋体" w:cs="宋体"/>
                <w:spacing w:val="1"/>
                <w:position w:val="1"/>
                <w:sz w:val="17"/>
                <w:szCs w:val="17"/>
              </w:rPr>
              <w:t>，宽度</w:t>
            </w:r>
            <w:r>
              <w:rPr>
                <w:rFonts w:ascii="宋体" w:hAnsi="宋体" w:eastAsia="宋体" w:cs="宋体"/>
                <w:position w:val="1"/>
                <w:sz w:val="17"/>
                <w:szCs w:val="17"/>
              </w:rPr>
              <w:t xml:space="preserve"> </w:t>
            </w:r>
            <w:r>
              <w:rPr>
                <w:rFonts w:ascii="Times New Roman" w:hAnsi="Times New Roman" w:eastAsia="Times New Roman" w:cs="Times New Roman"/>
                <w:position w:val="1"/>
                <w:sz w:val="17"/>
                <w:szCs w:val="17"/>
              </w:rPr>
              <w:t>8.5m)</w:t>
            </w:r>
          </w:p>
        </w:tc>
        <w:tc>
          <w:tcPr>
            <w:tcW w:w="662" w:type="dxa"/>
            <w:vAlign w:val="top"/>
          </w:tcPr>
          <w:p>
            <w:pPr>
              <w:spacing w:before="90"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²</w:t>
            </w:r>
          </w:p>
        </w:tc>
        <w:tc>
          <w:tcPr>
            <w:tcW w:w="1300" w:type="dxa"/>
            <w:vAlign w:val="top"/>
          </w:tcPr>
          <w:p>
            <w:pPr>
              <w:spacing w:before="103" w:line="197" w:lineRule="auto"/>
              <w:ind w:left="475"/>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675</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5" w:line="191" w:lineRule="auto"/>
              <w:ind w:left="282"/>
              <w:rPr>
                <w:rFonts w:ascii="宋体" w:hAnsi="宋体" w:eastAsia="宋体" w:cs="宋体"/>
                <w:sz w:val="17"/>
                <w:szCs w:val="17"/>
              </w:rPr>
            </w:pPr>
            <w:r>
              <w:rPr>
                <w:rFonts w:ascii="宋体" w:hAnsi="宋体" w:eastAsia="宋体" w:cs="宋体"/>
                <w:sz w:val="17"/>
                <w:szCs w:val="17"/>
                <w14:textOutline w14:w="3268" w14:cap="sq" w14:cmpd="sng">
                  <w14:solidFill>
                    <w14:srgbClr w14:val="000000"/>
                  </w14:solidFill>
                  <w14:prstDash w14:val="solid"/>
                  <w14:bevel/>
                </w14:textOutline>
              </w:rPr>
              <w:t>二</w:t>
            </w:r>
          </w:p>
        </w:tc>
        <w:tc>
          <w:tcPr>
            <w:tcW w:w="4495" w:type="dxa"/>
            <w:vAlign w:val="top"/>
          </w:tcPr>
          <w:p>
            <w:pPr>
              <w:spacing w:before="72" w:line="228" w:lineRule="auto"/>
              <w:ind w:left="1890"/>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桥梁工</w:t>
            </w:r>
            <w:r>
              <w:rPr>
                <w:rFonts w:ascii="宋体" w:hAnsi="宋体" w:eastAsia="宋体" w:cs="宋体"/>
                <w:spacing w:val="8"/>
                <w:sz w:val="17"/>
                <w:szCs w:val="17"/>
                <w14:textOutline w14:w="3268" w14:cap="sq" w14:cmpd="sng">
                  <w14:solidFill>
                    <w14:srgbClr w14:val="000000"/>
                  </w14:solidFill>
                  <w14:prstDash w14:val="solid"/>
                  <w14:bevel/>
                </w14:textOutline>
              </w:rPr>
              <w:t>程</w:t>
            </w:r>
          </w:p>
        </w:tc>
        <w:tc>
          <w:tcPr>
            <w:tcW w:w="662" w:type="dxa"/>
            <w:vAlign w:val="top"/>
          </w:tcPr>
          <w:p>
            <w:pPr>
              <w:spacing w:before="90" w:line="202" w:lineRule="auto"/>
              <w:ind w:left="217"/>
              <w:rPr>
                <w:rFonts w:ascii="宋体" w:hAnsi="宋体" w:eastAsia="宋体" w:cs="宋体"/>
                <w:sz w:val="17"/>
                <w:szCs w:val="17"/>
              </w:rPr>
            </w:pPr>
            <w:r>
              <w:rPr>
                <w:rFonts w:ascii="Times New Roman" w:hAnsi="Times New Roman" w:eastAsia="Times New Roman" w:cs="Times New Roman"/>
                <w:b/>
                <w:bCs/>
                <w:sz w:val="17"/>
                <w:szCs w:val="17"/>
              </w:rPr>
              <w:t>m</w:t>
            </w:r>
            <w:r>
              <w:rPr>
                <w:rFonts w:ascii="宋体" w:hAnsi="宋体" w:eastAsia="宋体" w:cs="宋体"/>
                <w:spacing w:val="5"/>
                <w:sz w:val="17"/>
                <w:szCs w:val="17"/>
                <w14:textOutline w14:w="3268" w14:cap="sq" w14:cmpd="sng">
                  <w14:solidFill>
                    <w14:srgbClr w14:val="000000"/>
                  </w14:solidFill>
                  <w14:prstDash w14:val="solid"/>
                  <w14:bevel/>
                </w14:textOutline>
              </w:rPr>
              <w:t>²</w:t>
            </w:r>
          </w:p>
        </w:tc>
        <w:tc>
          <w:tcPr>
            <w:tcW w:w="1300" w:type="dxa"/>
            <w:vAlign w:val="top"/>
          </w:tcPr>
          <w:p>
            <w:pPr>
              <w:spacing w:before="103" w:line="197" w:lineRule="auto"/>
              <w:ind w:left="479"/>
              <w:rPr>
                <w:rFonts w:ascii="Times New Roman" w:hAnsi="Times New Roman" w:eastAsia="Times New Roman" w:cs="Times New Roman"/>
                <w:sz w:val="17"/>
                <w:szCs w:val="17"/>
              </w:rPr>
            </w:pPr>
            <w:r>
              <w:rPr>
                <w:rFonts w:ascii="Times New Roman" w:hAnsi="Times New Roman" w:eastAsia="Times New Roman" w:cs="Times New Roman"/>
                <w:b/>
                <w:bCs/>
                <w:spacing w:val="5"/>
                <w:sz w:val="17"/>
                <w:szCs w:val="17"/>
              </w:rPr>
              <w:t>8</w:t>
            </w:r>
            <w:r>
              <w:rPr>
                <w:rFonts w:ascii="Times New Roman" w:hAnsi="Times New Roman" w:eastAsia="Times New Roman" w:cs="Times New Roman"/>
                <w:b/>
                <w:bCs/>
                <w:spacing w:val="3"/>
                <w:sz w:val="17"/>
                <w:szCs w:val="17"/>
              </w:rPr>
              <w:t>349</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197" w:lineRule="auto"/>
              <w:ind w:left="339"/>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4495" w:type="dxa"/>
            <w:vAlign w:val="top"/>
          </w:tcPr>
          <w:p>
            <w:pPr>
              <w:spacing w:before="73" w:line="228" w:lineRule="auto"/>
              <w:ind w:left="1980"/>
              <w:rPr>
                <w:rFonts w:ascii="宋体" w:hAnsi="宋体" w:eastAsia="宋体" w:cs="宋体"/>
                <w:sz w:val="17"/>
                <w:szCs w:val="17"/>
              </w:rPr>
            </w:pPr>
            <w:r>
              <w:rPr>
                <w:rFonts w:ascii="宋体" w:hAnsi="宋体" w:eastAsia="宋体" w:cs="宋体"/>
                <w:spacing w:val="7"/>
                <w:sz w:val="17"/>
                <w:szCs w:val="17"/>
              </w:rPr>
              <w:t>主塔墩</w:t>
            </w:r>
          </w:p>
        </w:tc>
        <w:tc>
          <w:tcPr>
            <w:tcW w:w="662" w:type="dxa"/>
            <w:vAlign w:val="top"/>
          </w:tcPr>
          <w:p>
            <w:pPr>
              <w:spacing w:before="91"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04" w:line="197" w:lineRule="auto"/>
              <w:ind w:left="4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5065</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200" w:lineRule="auto"/>
              <w:ind w:left="26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1.1</w:t>
            </w:r>
          </w:p>
        </w:tc>
        <w:tc>
          <w:tcPr>
            <w:tcW w:w="4495" w:type="dxa"/>
            <w:vAlign w:val="top"/>
          </w:tcPr>
          <w:p>
            <w:pPr>
              <w:spacing w:before="73" w:line="228" w:lineRule="auto"/>
              <w:ind w:left="1297"/>
              <w:rPr>
                <w:rFonts w:ascii="宋体" w:hAnsi="宋体" w:eastAsia="宋体" w:cs="宋体"/>
                <w:sz w:val="17"/>
                <w:szCs w:val="17"/>
              </w:rPr>
            </w:pPr>
            <w:r>
              <w:rPr>
                <w:rFonts w:ascii="宋体" w:hAnsi="宋体" w:eastAsia="宋体" w:cs="宋体"/>
                <w:spacing w:val="10"/>
                <w:sz w:val="17"/>
                <w:szCs w:val="17"/>
              </w:rPr>
              <w:t>钻孔</w:t>
            </w:r>
            <w:r>
              <w:rPr>
                <w:rFonts w:ascii="宋体" w:hAnsi="宋体" w:eastAsia="宋体" w:cs="宋体"/>
                <w:spacing w:val="5"/>
                <w:sz w:val="17"/>
                <w:szCs w:val="17"/>
              </w:rPr>
              <w:t>桩 (</w:t>
            </w:r>
            <w:r>
              <w:rPr>
                <w:rFonts w:ascii="Times New Roman" w:hAnsi="Times New Roman" w:eastAsia="Times New Roman" w:cs="Times New Roman"/>
                <w:spacing w:val="5"/>
                <w:sz w:val="17"/>
                <w:szCs w:val="17"/>
              </w:rPr>
              <w:t>4-9</w:t>
            </w:r>
            <w:r>
              <w:rPr>
                <w:rFonts w:ascii="宋体" w:hAnsi="宋体" w:eastAsia="宋体" w:cs="宋体"/>
                <w:spacing w:val="5"/>
                <w:sz w:val="17"/>
                <w:szCs w:val="17"/>
              </w:rPr>
              <w:t>φ</w:t>
            </w:r>
            <w:r>
              <w:rPr>
                <w:rFonts w:ascii="Times New Roman" w:hAnsi="Times New Roman" w:eastAsia="Times New Roman" w:cs="Times New Roman"/>
                <w:spacing w:val="5"/>
                <w:sz w:val="17"/>
                <w:szCs w:val="17"/>
              </w:rPr>
              <w:t>1.5</w:t>
            </w:r>
            <w:r>
              <w:rPr>
                <w:rFonts w:ascii="宋体" w:hAnsi="宋体" w:eastAsia="宋体" w:cs="宋体"/>
                <w:spacing w:val="5"/>
                <w:sz w:val="17"/>
                <w:szCs w:val="17"/>
              </w:rPr>
              <w:t>×</w:t>
            </w:r>
            <w:r>
              <w:rPr>
                <w:rFonts w:ascii="Times New Roman" w:hAnsi="Times New Roman" w:eastAsia="Times New Roman" w:cs="Times New Roman"/>
                <w:spacing w:val="5"/>
                <w:sz w:val="17"/>
                <w:szCs w:val="17"/>
              </w:rPr>
              <w:t>30</w:t>
            </w:r>
            <w:r>
              <w:rPr>
                <w:rFonts w:ascii="宋体" w:hAnsi="宋体" w:eastAsia="宋体" w:cs="宋体"/>
                <w:spacing w:val="5"/>
                <w:sz w:val="17"/>
                <w:szCs w:val="17"/>
              </w:rPr>
              <w:t>)</w:t>
            </w:r>
          </w:p>
        </w:tc>
        <w:tc>
          <w:tcPr>
            <w:tcW w:w="662" w:type="dxa"/>
            <w:vAlign w:val="top"/>
          </w:tcPr>
          <w:p>
            <w:pPr>
              <w:spacing w:before="91"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04" w:line="197" w:lineRule="auto"/>
              <w:ind w:left="494"/>
              <w:rPr>
                <w:rFonts w:ascii="Times New Roman" w:hAnsi="Times New Roman" w:eastAsia="Times New Roman" w:cs="Times New Roman"/>
                <w:sz w:val="17"/>
                <w:szCs w:val="17"/>
              </w:rPr>
            </w:pPr>
            <w:r>
              <w:rPr>
                <w:rFonts w:ascii="Times New Roman" w:hAnsi="Times New Roman" w:eastAsia="Times New Roman" w:cs="Times New Roman"/>
                <w:sz w:val="17"/>
                <w:szCs w:val="17"/>
              </w:rPr>
              <w:t>1908</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200" w:lineRule="auto"/>
              <w:ind w:left="26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w:t>
            </w:r>
          </w:p>
        </w:tc>
        <w:tc>
          <w:tcPr>
            <w:tcW w:w="4495" w:type="dxa"/>
            <w:vAlign w:val="top"/>
          </w:tcPr>
          <w:p>
            <w:pPr>
              <w:spacing w:before="73" w:line="228" w:lineRule="auto"/>
              <w:ind w:left="1977"/>
              <w:rPr>
                <w:rFonts w:ascii="宋体" w:hAnsi="宋体" w:eastAsia="宋体" w:cs="宋体"/>
                <w:sz w:val="17"/>
                <w:szCs w:val="17"/>
              </w:rPr>
            </w:pPr>
            <w:r>
              <w:rPr>
                <w:rFonts w:ascii="宋体" w:hAnsi="宋体" w:eastAsia="宋体" w:cs="宋体"/>
                <w:spacing w:val="8"/>
                <w:sz w:val="17"/>
                <w:szCs w:val="17"/>
              </w:rPr>
              <w:t>钢护筒</w:t>
            </w:r>
          </w:p>
        </w:tc>
        <w:tc>
          <w:tcPr>
            <w:tcW w:w="662" w:type="dxa"/>
            <w:vAlign w:val="top"/>
          </w:tcPr>
          <w:p>
            <w:pPr>
              <w:spacing w:before="40" w:line="242" w:lineRule="exact"/>
              <w:ind w:left="308"/>
              <w:rPr>
                <w:rFonts w:ascii="Times New Roman" w:hAnsi="Times New Roman" w:eastAsia="Times New Roman" w:cs="Times New Roman"/>
                <w:sz w:val="17"/>
                <w:szCs w:val="17"/>
              </w:rPr>
            </w:pPr>
            <w:r>
              <w:rPr>
                <w:rFonts w:ascii="Times New Roman" w:hAnsi="Times New Roman" w:eastAsia="Times New Roman" w:cs="Times New Roman"/>
                <w:spacing w:val="1"/>
                <w:position w:val="2"/>
                <w:sz w:val="17"/>
                <w:szCs w:val="17"/>
              </w:rPr>
              <w:t>t</w:t>
            </w:r>
          </w:p>
        </w:tc>
        <w:tc>
          <w:tcPr>
            <w:tcW w:w="1300" w:type="dxa"/>
            <w:vAlign w:val="top"/>
          </w:tcPr>
          <w:p>
            <w:pPr>
              <w:spacing w:before="104" w:line="197" w:lineRule="auto"/>
              <w:ind w:left="36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5</w:t>
            </w:r>
            <w:r>
              <w:rPr>
                <w:rFonts w:ascii="Times New Roman" w:hAnsi="Times New Roman" w:eastAsia="Times New Roman" w:cs="Times New Roman"/>
                <w:spacing w:val="3"/>
                <w:sz w:val="17"/>
                <w:szCs w:val="17"/>
              </w:rPr>
              <w:t>65.715</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200" w:lineRule="auto"/>
              <w:ind w:left="26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3</w:t>
            </w:r>
          </w:p>
        </w:tc>
        <w:tc>
          <w:tcPr>
            <w:tcW w:w="4495" w:type="dxa"/>
            <w:vAlign w:val="top"/>
          </w:tcPr>
          <w:p>
            <w:pPr>
              <w:spacing w:before="73" w:line="228" w:lineRule="auto"/>
              <w:ind w:left="1897"/>
              <w:rPr>
                <w:rFonts w:ascii="Times New Roman" w:hAnsi="Times New Roman" w:eastAsia="Times New Roman" w:cs="Times New Roman"/>
                <w:sz w:val="17"/>
                <w:szCs w:val="17"/>
              </w:rPr>
            </w:pPr>
            <w:r>
              <w:rPr>
                <w:rFonts w:ascii="宋体" w:hAnsi="宋体" w:eastAsia="宋体" w:cs="宋体"/>
                <w:spacing w:val="-2"/>
                <w:sz w:val="17"/>
                <w:szCs w:val="17"/>
              </w:rPr>
              <w:t xml:space="preserve">承台 </w:t>
            </w:r>
            <w:r>
              <w:rPr>
                <w:rFonts w:ascii="Times New Roman" w:hAnsi="Times New Roman" w:eastAsia="Times New Roman" w:cs="Times New Roman"/>
                <w:spacing w:val="-1"/>
                <w:sz w:val="17"/>
                <w:szCs w:val="17"/>
              </w:rPr>
              <w:t>C30</w:t>
            </w:r>
          </w:p>
        </w:tc>
        <w:tc>
          <w:tcPr>
            <w:tcW w:w="662" w:type="dxa"/>
            <w:vAlign w:val="top"/>
          </w:tcPr>
          <w:p>
            <w:pPr>
              <w:spacing w:before="91"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04" w:line="197" w:lineRule="auto"/>
              <w:ind w:left="494"/>
              <w:rPr>
                <w:rFonts w:ascii="Times New Roman" w:hAnsi="Times New Roman" w:eastAsia="Times New Roman" w:cs="Times New Roman"/>
                <w:sz w:val="17"/>
                <w:szCs w:val="17"/>
              </w:rPr>
            </w:pPr>
            <w:r>
              <w:rPr>
                <w:rFonts w:ascii="Times New Roman" w:hAnsi="Times New Roman" w:eastAsia="Times New Roman" w:cs="Times New Roman"/>
                <w:sz w:val="17"/>
                <w:szCs w:val="17"/>
              </w:rPr>
              <w:t>1694</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200" w:lineRule="auto"/>
              <w:ind w:left="26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w:t>
            </w:r>
          </w:p>
        </w:tc>
        <w:tc>
          <w:tcPr>
            <w:tcW w:w="4495" w:type="dxa"/>
            <w:vAlign w:val="top"/>
          </w:tcPr>
          <w:p>
            <w:pPr>
              <w:spacing w:before="40" w:line="242" w:lineRule="exact"/>
              <w:ind w:left="1389"/>
              <w:rPr>
                <w:rFonts w:ascii="宋体" w:hAnsi="宋体" w:eastAsia="宋体" w:cs="宋体"/>
                <w:sz w:val="17"/>
                <w:szCs w:val="17"/>
              </w:rPr>
            </w:pPr>
            <w:r>
              <w:rPr>
                <w:rFonts w:ascii="宋体" w:hAnsi="宋体" w:eastAsia="宋体" w:cs="宋体"/>
                <w:spacing w:val="15"/>
                <w:position w:val="1"/>
                <w:sz w:val="17"/>
                <w:szCs w:val="17"/>
              </w:rPr>
              <w:t>双</w:t>
            </w:r>
            <w:r>
              <w:rPr>
                <w:rFonts w:ascii="宋体" w:hAnsi="宋体" w:eastAsia="宋体" w:cs="宋体"/>
                <w:spacing w:val="8"/>
                <w:position w:val="1"/>
                <w:sz w:val="17"/>
                <w:szCs w:val="17"/>
              </w:rPr>
              <w:t>壁钢围堰</w:t>
            </w:r>
            <w:r>
              <w:rPr>
                <w:rFonts w:ascii="Times New Roman" w:hAnsi="Times New Roman" w:eastAsia="Times New Roman" w:cs="Times New Roman"/>
                <w:spacing w:val="8"/>
                <w:position w:val="1"/>
                <w:sz w:val="17"/>
                <w:szCs w:val="17"/>
              </w:rPr>
              <w:t>+</w:t>
            </w:r>
            <w:r>
              <w:rPr>
                <w:rFonts w:ascii="宋体" w:hAnsi="宋体" w:eastAsia="宋体" w:cs="宋体"/>
                <w:spacing w:val="8"/>
                <w:position w:val="1"/>
                <w:sz w:val="17"/>
                <w:szCs w:val="17"/>
              </w:rPr>
              <w:t>钻孔平台</w:t>
            </w:r>
          </w:p>
        </w:tc>
        <w:tc>
          <w:tcPr>
            <w:tcW w:w="662" w:type="dxa"/>
            <w:vAlign w:val="top"/>
          </w:tcPr>
          <w:p>
            <w:pPr>
              <w:spacing w:before="73" w:line="228" w:lineRule="auto"/>
              <w:ind w:left="250"/>
              <w:rPr>
                <w:rFonts w:ascii="宋体" w:hAnsi="宋体" w:eastAsia="宋体" w:cs="宋体"/>
                <w:sz w:val="17"/>
                <w:szCs w:val="17"/>
              </w:rPr>
            </w:pPr>
            <w:r>
              <w:rPr>
                <w:rFonts w:ascii="宋体" w:hAnsi="宋体" w:eastAsia="宋体" w:cs="宋体"/>
                <w:spacing w:val="1"/>
                <w:sz w:val="17"/>
                <w:szCs w:val="17"/>
              </w:rPr>
              <w:t>座</w:t>
            </w:r>
          </w:p>
        </w:tc>
        <w:tc>
          <w:tcPr>
            <w:tcW w:w="1300" w:type="dxa"/>
            <w:vAlign w:val="top"/>
          </w:tcPr>
          <w:p>
            <w:pPr>
              <w:spacing w:before="104" w:line="197" w:lineRule="auto"/>
              <w:ind w:left="611"/>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200" w:lineRule="auto"/>
              <w:ind w:left="26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.5</w:t>
            </w:r>
          </w:p>
        </w:tc>
        <w:tc>
          <w:tcPr>
            <w:tcW w:w="4495" w:type="dxa"/>
            <w:vAlign w:val="top"/>
          </w:tcPr>
          <w:p>
            <w:pPr>
              <w:spacing w:before="40" w:line="242" w:lineRule="exact"/>
              <w:ind w:left="1502"/>
              <w:rPr>
                <w:rFonts w:ascii="宋体" w:hAnsi="宋体" w:eastAsia="宋体" w:cs="宋体"/>
                <w:sz w:val="17"/>
                <w:szCs w:val="17"/>
              </w:rPr>
            </w:pPr>
            <w:r>
              <w:rPr>
                <w:rFonts w:ascii="宋体" w:hAnsi="宋体" w:eastAsia="宋体" w:cs="宋体"/>
                <w:spacing w:val="8"/>
                <w:position w:val="1"/>
                <w:sz w:val="17"/>
                <w:szCs w:val="17"/>
              </w:rPr>
              <w:t>吊</w:t>
            </w:r>
            <w:r>
              <w:rPr>
                <w:rFonts w:ascii="宋体" w:hAnsi="宋体" w:eastAsia="宋体" w:cs="宋体"/>
                <w:spacing w:val="6"/>
                <w:position w:val="1"/>
                <w:sz w:val="17"/>
                <w:szCs w:val="17"/>
              </w:rPr>
              <w:t>箱围堰</w:t>
            </w:r>
            <w:r>
              <w:rPr>
                <w:rFonts w:ascii="Times New Roman" w:hAnsi="Times New Roman" w:eastAsia="Times New Roman" w:cs="Times New Roman"/>
                <w:spacing w:val="6"/>
                <w:position w:val="1"/>
                <w:sz w:val="17"/>
                <w:szCs w:val="17"/>
              </w:rPr>
              <w:t>+</w:t>
            </w:r>
            <w:r>
              <w:rPr>
                <w:rFonts w:ascii="宋体" w:hAnsi="宋体" w:eastAsia="宋体" w:cs="宋体"/>
                <w:spacing w:val="6"/>
                <w:position w:val="1"/>
                <w:sz w:val="17"/>
                <w:szCs w:val="17"/>
              </w:rPr>
              <w:t>钻孔平台</w:t>
            </w:r>
          </w:p>
        </w:tc>
        <w:tc>
          <w:tcPr>
            <w:tcW w:w="662" w:type="dxa"/>
            <w:vAlign w:val="top"/>
          </w:tcPr>
          <w:p>
            <w:pPr>
              <w:spacing w:before="73" w:line="228" w:lineRule="auto"/>
              <w:ind w:left="250"/>
              <w:rPr>
                <w:rFonts w:ascii="宋体" w:hAnsi="宋体" w:eastAsia="宋体" w:cs="宋体"/>
                <w:sz w:val="17"/>
                <w:szCs w:val="17"/>
              </w:rPr>
            </w:pPr>
            <w:r>
              <w:rPr>
                <w:rFonts w:ascii="宋体" w:hAnsi="宋体" w:eastAsia="宋体" w:cs="宋体"/>
                <w:spacing w:val="1"/>
                <w:sz w:val="17"/>
                <w:szCs w:val="17"/>
              </w:rPr>
              <w:t>座</w:t>
            </w:r>
          </w:p>
        </w:tc>
        <w:tc>
          <w:tcPr>
            <w:tcW w:w="1300" w:type="dxa"/>
            <w:vAlign w:val="top"/>
          </w:tcPr>
          <w:p>
            <w:pPr>
              <w:spacing w:before="104" w:line="197" w:lineRule="auto"/>
              <w:ind w:left="611"/>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200" w:lineRule="auto"/>
              <w:ind w:left="26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6</w:t>
            </w:r>
          </w:p>
        </w:tc>
        <w:tc>
          <w:tcPr>
            <w:tcW w:w="4495" w:type="dxa"/>
            <w:vAlign w:val="top"/>
          </w:tcPr>
          <w:p>
            <w:pPr>
              <w:spacing w:before="73" w:line="228" w:lineRule="auto"/>
              <w:ind w:left="1899"/>
              <w:rPr>
                <w:rFonts w:ascii="Times New Roman" w:hAnsi="Times New Roman" w:eastAsia="Times New Roman" w:cs="Times New Roman"/>
                <w:sz w:val="17"/>
                <w:szCs w:val="17"/>
              </w:rPr>
            </w:pPr>
            <w:r>
              <w:rPr>
                <w:rFonts w:ascii="宋体" w:hAnsi="宋体" w:eastAsia="宋体" w:cs="宋体"/>
                <w:spacing w:val="-2"/>
                <w:sz w:val="17"/>
                <w:szCs w:val="17"/>
              </w:rPr>
              <w:t xml:space="preserve">墩身 </w:t>
            </w:r>
            <w:r>
              <w:rPr>
                <w:rFonts w:ascii="Times New Roman" w:hAnsi="Times New Roman" w:eastAsia="Times New Roman" w:cs="Times New Roman"/>
                <w:spacing w:val="-1"/>
                <w:sz w:val="17"/>
                <w:szCs w:val="17"/>
              </w:rPr>
              <w:t>C</w:t>
            </w:r>
            <w:r>
              <w:rPr>
                <w:rFonts w:ascii="Times New Roman" w:hAnsi="Times New Roman" w:eastAsia="Times New Roman" w:cs="Times New Roman"/>
                <w:spacing w:val="-2"/>
                <w:sz w:val="17"/>
                <w:szCs w:val="17"/>
              </w:rPr>
              <w:t>40</w:t>
            </w:r>
          </w:p>
        </w:tc>
        <w:tc>
          <w:tcPr>
            <w:tcW w:w="662" w:type="dxa"/>
            <w:vAlign w:val="top"/>
          </w:tcPr>
          <w:p>
            <w:pPr>
              <w:spacing w:before="91"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04" w:line="197" w:lineRule="auto"/>
              <w:ind w:left="494"/>
              <w:rPr>
                <w:rFonts w:ascii="Times New Roman" w:hAnsi="Times New Roman" w:eastAsia="Times New Roman" w:cs="Times New Roman"/>
                <w:sz w:val="17"/>
                <w:szCs w:val="17"/>
              </w:rPr>
            </w:pPr>
            <w:r>
              <w:rPr>
                <w:rFonts w:ascii="Times New Roman" w:hAnsi="Times New Roman" w:eastAsia="Times New Roman" w:cs="Times New Roman"/>
                <w:sz w:val="17"/>
                <w:szCs w:val="17"/>
              </w:rPr>
              <w:t>1463</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197" w:lineRule="auto"/>
              <w:ind w:left="321"/>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4495" w:type="dxa"/>
            <w:vAlign w:val="top"/>
          </w:tcPr>
          <w:p>
            <w:pPr>
              <w:spacing w:before="73" w:line="228" w:lineRule="auto"/>
              <w:ind w:left="2070"/>
              <w:rPr>
                <w:rFonts w:ascii="宋体" w:hAnsi="宋体" w:eastAsia="宋体" w:cs="宋体"/>
                <w:sz w:val="17"/>
                <w:szCs w:val="17"/>
              </w:rPr>
            </w:pPr>
            <w:r>
              <w:rPr>
                <w:rFonts w:ascii="宋体" w:hAnsi="宋体" w:eastAsia="宋体" w:cs="宋体"/>
                <w:spacing w:val="6"/>
                <w:sz w:val="17"/>
                <w:szCs w:val="17"/>
              </w:rPr>
              <w:t>桥台</w:t>
            </w:r>
          </w:p>
        </w:tc>
        <w:tc>
          <w:tcPr>
            <w:tcW w:w="662" w:type="dxa"/>
            <w:vAlign w:val="top"/>
          </w:tcPr>
          <w:p>
            <w:pPr>
              <w:spacing w:before="91"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04" w:line="197" w:lineRule="auto"/>
              <w:ind w:left="4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5045</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200" w:lineRule="auto"/>
              <w:ind w:left="252"/>
              <w:rPr>
                <w:rFonts w:ascii="Times New Roman" w:hAnsi="Times New Roman" w:eastAsia="Times New Roman" w:cs="Times New Roman"/>
                <w:sz w:val="17"/>
                <w:szCs w:val="17"/>
              </w:rPr>
            </w:pPr>
            <w:r>
              <w:rPr>
                <w:rFonts w:ascii="Times New Roman" w:hAnsi="Times New Roman" w:eastAsia="Times New Roman" w:cs="Times New Roman"/>
                <w:spacing w:val="9"/>
                <w:sz w:val="17"/>
                <w:szCs w:val="17"/>
              </w:rPr>
              <w:t>2.</w:t>
            </w:r>
            <w:r>
              <w:rPr>
                <w:rFonts w:ascii="Times New Roman" w:hAnsi="Times New Roman" w:eastAsia="Times New Roman" w:cs="Times New Roman"/>
                <w:spacing w:val="8"/>
                <w:sz w:val="17"/>
                <w:szCs w:val="17"/>
              </w:rPr>
              <w:t>1</w:t>
            </w:r>
          </w:p>
        </w:tc>
        <w:tc>
          <w:tcPr>
            <w:tcW w:w="4495" w:type="dxa"/>
            <w:vAlign w:val="top"/>
          </w:tcPr>
          <w:p>
            <w:pPr>
              <w:spacing w:before="73" w:line="228" w:lineRule="auto"/>
              <w:ind w:left="1979"/>
              <w:rPr>
                <w:rFonts w:ascii="宋体" w:hAnsi="宋体" w:eastAsia="宋体" w:cs="宋体"/>
                <w:sz w:val="17"/>
                <w:szCs w:val="17"/>
              </w:rPr>
            </w:pPr>
            <w:r>
              <w:rPr>
                <w:rFonts w:ascii="宋体" w:hAnsi="宋体" w:eastAsia="宋体" w:cs="宋体"/>
                <w:spacing w:val="8"/>
                <w:sz w:val="17"/>
                <w:szCs w:val="17"/>
              </w:rPr>
              <w:t>钻</w:t>
            </w:r>
            <w:r>
              <w:rPr>
                <w:rFonts w:ascii="宋体" w:hAnsi="宋体" w:eastAsia="宋体" w:cs="宋体"/>
                <w:spacing w:val="7"/>
                <w:sz w:val="17"/>
                <w:szCs w:val="17"/>
              </w:rPr>
              <w:t>孔桩</w:t>
            </w:r>
          </w:p>
        </w:tc>
        <w:tc>
          <w:tcPr>
            <w:tcW w:w="662" w:type="dxa"/>
            <w:vAlign w:val="top"/>
          </w:tcPr>
          <w:p>
            <w:pPr>
              <w:spacing w:before="91"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04" w:line="197" w:lineRule="auto"/>
              <w:ind w:left="494"/>
              <w:rPr>
                <w:rFonts w:ascii="Times New Roman" w:hAnsi="Times New Roman" w:eastAsia="Times New Roman" w:cs="Times New Roman"/>
                <w:sz w:val="17"/>
                <w:szCs w:val="17"/>
              </w:rPr>
            </w:pPr>
            <w:r>
              <w:rPr>
                <w:rFonts w:ascii="Times New Roman" w:hAnsi="Times New Roman" w:eastAsia="Times New Roman" w:cs="Times New Roman"/>
                <w:sz w:val="17"/>
                <w:szCs w:val="17"/>
              </w:rPr>
              <w:t>1640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200" w:lineRule="auto"/>
              <w:ind w:left="25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.2</w:t>
            </w:r>
          </w:p>
        </w:tc>
        <w:tc>
          <w:tcPr>
            <w:tcW w:w="4495" w:type="dxa"/>
            <w:vAlign w:val="top"/>
          </w:tcPr>
          <w:p>
            <w:pPr>
              <w:spacing w:before="73" w:line="228" w:lineRule="auto"/>
              <w:ind w:left="1350"/>
              <w:rPr>
                <w:rFonts w:ascii="宋体" w:hAnsi="宋体" w:eastAsia="宋体" w:cs="宋体"/>
                <w:sz w:val="17"/>
                <w:szCs w:val="17"/>
              </w:rPr>
            </w:pPr>
            <w:r>
              <w:rPr>
                <w:rFonts w:ascii="宋体" w:hAnsi="宋体" w:eastAsia="宋体" w:cs="宋体"/>
                <w:spacing w:val="12"/>
                <w:sz w:val="17"/>
                <w:szCs w:val="17"/>
              </w:rPr>
              <w:t>承</w:t>
            </w:r>
            <w:r>
              <w:rPr>
                <w:rFonts w:ascii="宋体" w:hAnsi="宋体" w:eastAsia="宋体" w:cs="宋体"/>
                <w:spacing w:val="7"/>
                <w:sz w:val="17"/>
                <w:szCs w:val="17"/>
              </w:rPr>
              <w:t>台 (含拉森钢板桩)</w:t>
            </w:r>
          </w:p>
        </w:tc>
        <w:tc>
          <w:tcPr>
            <w:tcW w:w="662" w:type="dxa"/>
            <w:vAlign w:val="top"/>
          </w:tcPr>
          <w:p>
            <w:pPr>
              <w:spacing w:before="91"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04" w:line="197" w:lineRule="auto"/>
              <w:ind w:left="494"/>
              <w:rPr>
                <w:rFonts w:ascii="Times New Roman" w:hAnsi="Times New Roman" w:eastAsia="Times New Roman" w:cs="Times New Roman"/>
                <w:sz w:val="17"/>
                <w:szCs w:val="17"/>
              </w:rPr>
            </w:pPr>
            <w:r>
              <w:rPr>
                <w:rFonts w:ascii="Times New Roman" w:hAnsi="Times New Roman" w:eastAsia="Times New Roman" w:cs="Times New Roman"/>
                <w:sz w:val="17"/>
                <w:szCs w:val="17"/>
              </w:rPr>
              <w:t>1553</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200" w:lineRule="auto"/>
              <w:ind w:left="25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2.3</w:t>
            </w:r>
          </w:p>
        </w:tc>
        <w:tc>
          <w:tcPr>
            <w:tcW w:w="4495" w:type="dxa"/>
            <w:vAlign w:val="top"/>
          </w:tcPr>
          <w:p>
            <w:pPr>
              <w:spacing w:before="73" w:line="228" w:lineRule="auto"/>
              <w:ind w:left="2073"/>
              <w:rPr>
                <w:rFonts w:ascii="宋体" w:hAnsi="宋体" w:eastAsia="宋体" w:cs="宋体"/>
                <w:sz w:val="17"/>
                <w:szCs w:val="17"/>
              </w:rPr>
            </w:pPr>
            <w:r>
              <w:rPr>
                <w:rFonts w:ascii="宋体" w:hAnsi="宋体" w:eastAsia="宋体" w:cs="宋体"/>
                <w:spacing w:val="5"/>
                <w:sz w:val="17"/>
                <w:szCs w:val="17"/>
              </w:rPr>
              <w:t>背墙</w:t>
            </w:r>
          </w:p>
        </w:tc>
        <w:tc>
          <w:tcPr>
            <w:tcW w:w="662" w:type="dxa"/>
            <w:vAlign w:val="top"/>
          </w:tcPr>
          <w:p>
            <w:pPr>
              <w:spacing w:before="91"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04" w:line="197" w:lineRule="auto"/>
              <w:ind w:left="52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6</w:t>
            </w:r>
            <w:r>
              <w:rPr>
                <w:rFonts w:ascii="Times New Roman" w:hAnsi="Times New Roman" w:eastAsia="Times New Roman" w:cs="Times New Roman"/>
                <w:spacing w:val="2"/>
                <w:sz w:val="17"/>
                <w:szCs w:val="17"/>
              </w:rPr>
              <w:t>95</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200" w:lineRule="auto"/>
              <w:ind w:left="18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2.3.</w:t>
            </w:r>
            <w:r>
              <w:rPr>
                <w:rFonts w:ascii="Times New Roman" w:hAnsi="Times New Roman" w:eastAsia="Times New Roman" w:cs="Times New Roman"/>
                <w:spacing w:val="-1"/>
                <w:sz w:val="17"/>
                <w:szCs w:val="17"/>
              </w:rPr>
              <w:t xml:space="preserve"> 1</w:t>
            </w:r>
          </w:p>
        </w:tc>
        <w:tc>
          <w:tcPr>
            <w:tcW w:w="4495" w:type="dxa"/>
            <w:vAlign w:val="top"/>
          </w:tcPr>
          <w:p>
            <w:pPr>
              <w:spacing w:before="73" w:line="228" w:lineRule="auto"/>
              <w:ind w:left="1897"/>
              <w:rPr>
                <w:rFonts w:ascii="宋体" w:hAnsi="宋体" w:eastAsia="宋体" w:cs="宋体"/>
                <w:sz w:val="17"/>
                <w:szCs w:val="17"/>
              </w:rPr>
            </w:pPr>
            <w:r>
              <w:rPr>
                <w:rFonts w:ascii="Times New Roman" w:hAnsi="Times New Roman" w:eastAsia="Times New Roman" w:cs="Times New Roman"/>
                <w:sz w:val="17"/>
                <w:szCs w:val="17"/>
              </w:rPr>
              <w:t>C</w:t>
            </w:r>
            <w:r>
              <w:rPr>
                <w:rFonts w:ascii="Times New Roman" w:hAnsi="Times New Roman" w:eastAsia="Times New Roman" w:cs="Times New Roman"/>
                <w:spacing w:val="9"/>
                <w:sz w:val="17"/>
                <w:szCs w:val="17"/>
              </w:rPr>
              <w:t>3</w:t>
            </w:r>
            <w:r>
              <w:rPr>
                <w:rFonts w:ascii="Times New Roman" w:hAnsi="Times New Roman" w:eastAsia="Times New Roman" w:cs="Times New Roman"/>
                <w:spacing w:val="6"/>
                <w:sz w:val="17"/>
                <w:szCs w:val="17"/>
              </w:rPr>
              <w:t xml:space="preserve">5 </w:t>
            </w:r>
            <w:r>
              <w:rPr>
                <w:rFonts w:ascii="宋体" w:hAnsi="宋体" w:eastAsia="宋体" w:cs="宋体"/>
                <w:spacing w:val="6"/>
                <w:sz w:val="17"/>
                <w:szCs w:val="17"/>
              </w:rPr>
              <w:t>片石</w:t>
            </w:r>
          </w:p>
        </w:tc>
        <w:tc>
          <w:tcPr>
            <w:tcW w:w="662" w:type="dxa"/>
            <w:vAlign w:val="top"/>
          </w:tcPr>
          <w:p>
            <w:pPr>
              <w:spacing w:before="91"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04" w:line="197" w:lineRule="auto"/>
              <w:ind w:left="52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563</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200" w:lineRule="auto"/>
              <w:ind w:left="18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.3.2</w:t>
            </w:r>
          </w:p>
        </w:tc>
        <w:tc>
          <w:tcPr>
            <w:tcW w:w="4495" w:type="dxa"/>
            <w:vAlign w:val="top"/>
          </w:tcPr>
          <w:p>
            <w:pPr>
              <w:spacing w:before="73" w:line="228" w:lineRule="auto"/>
              <w:ind w:left="1811"/>
              <w:rPr>
                <w:rFonts w:ascii="Times New Roman" w:hAnsi="Times New Roman" w:eastAsia="Times New Roman" w:cs="Times New Roman"/>
                <w:sz w:val="17"/>
                <w:szCs w:val="17"/>
              </w:rPr>
            </w:pPr>
            <w:r>
              <w:rPr>
                <w:rFonts w:ascii="宋体" w:hAnsi="宋体" w:eastAsia="宋体" w:cs="宋体"/>
                <w:spacing w:val="-1"/>
                <w:sz w:val="17"/>
                <w:szCs w:val="17"/>
              </w:rPr>
              <w:t>混</w:t>
            </w:r>
            <w:r>
              <w:rPr>
                <w:rFonts w:ascii="宋体" w:hAnsi="宋体" w:eastAsia="宋体" w:cs="宋体"/>
                <w:sz w:val="17"/>
                <w:szCs w:val="17"/>
              </w:rPr>
              <w:t xml:space="preserve">凝土 </w:t>
            </w:r>
            <w:r>
              <w:rPr>
                <w:rFonts w:ascii="Times New Roman" w:hAnsi="Times New Roman" w:eastAsia="Times New Roman" w:cs="Times New Roman"/>
                <w:sz w:val="17"/>
                <w:szCs w:val="17"/>
              </w:rPr>
              <w:t>C30</w:t>
            </w:r>
          </w:p>
        </w:tc>
        <w:tc>
          <w:tcPr>
            <w:tcW w:w="662" w:type="dxa"/>
            <w:vAlign w:val="top"/>
          </w:tcPr>
          <w:p>
            <w:pPr>
              <w:spacing w:before="91"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04" w:line="197" w:lineRule="auto"/>
              <w:ind w:left="53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32</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200" w:lineRule="auto"/>
              <w:ind w:left="25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.4</w:t>
            </w:r>
          </w:p>
        </w:tc>
        <w:tc>
          <w:tcPr>
            <w:tcW w:w="4495" w:type="dxa"/>
            <w:vAlign w:val="top"/>
          </w:tcPr>
          <w:p>
            <w:pPr>
              <w:spacing w:before="73" w:line="228" w:lineRule="auto"/>
              <w:ind w:left="2084"/>
              <w:rPr>
                <w:rFonts w:ascii="宋体" w:hAnsi="宋体" w:eastAsia="宋体" w:cs="宋体"/>
                <w:sz w:val="17"/>
                <w:szCs w:val="17"/>
              </w:rPr>
            </w:pPr>
            <w:r>
              <w:rPr>
                <w:rFonts w:ascii="宋体" w:hAnsi="宋体" w:eastAsia="宋体" w:cs="宋体"/>
                <w:spacing w:val="-1"/>
                <w:sz w:val="17"/>
                <w:szCs w:val="17"/>
              </w:rPr>
              <w:t>台身</w:t>
            </w:r>
          </w:p>
        </w:tc>
        <w:tc>
          <w:tcPr>
            <w:tcW w:w="662" w:type="dxa"/>
            <w:vAlign w:val="top"/>
          </w:tcPr>
          <w:p>
            <w:pPr>
              <w:spacing w:before="91"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04" w:line="197" w:lineRule="auto"/>
              <w:ind w:left="52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551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200" w:lineRule="auto"/>
              <w:ind w:left="18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2.4.</w:t>
            </w:r>
            <w:r>
              <w:rPr>
                <w:rFonts w:ascii="Times New Roman" w:hAnsi="Times New Roman" w:eastAsia="Times New Roman" w:cs="Times New Roman"/>
                <w:spacing w:val="-1"/>
                <w:sz w:val="17"/>
                <w:szCs w:val="17"/>
              </w:rPr>
              <w:t xml:space="preserve"> 1</w:t>
            </w:r>
          </w:p>
        </w:tc>
        <w:tc>
          <w:tcPr>
            <w:tcW w:w="4495" w:type="dxa"/>
            <w:vAlign w:val="top"/>
          </w:tcPr>
          <w:p>
            <w:pPr>
              <w:spacing w:before="73" w:line="228" w:lineRule="auto"/>
              <w:ind w:left="1897"/>
              <w:rPr>
                <w:rFonts w:ascii="宋体" w:hAnsi="宋体" w:eastAsia="宋体" w:cs="宋体"/>
                <w:sz w:val="17"/>
                <w:szCs w:val="17"/>
              </w:rPr>
            </w:pPr>
            <w:r>
              <w:rPr>
                <w:rFonts w:ascii="Times New Roman" w:hAnsi="Times New Roman" w:eastAsia="Times New Roman" w:cs="Times New Roman"/>
                <w:sz w:val="17"/>
                <w:szCs w:val="17"/>
              </w:rPr>
              <w:t>C</w:t>
            </w:r>
            <w:r>
              <w:rPr>
                <w:rFonts w:ascii="Times New Roman" w:hAnsi="Times New Roman" w:eastAsia="Times New Roman" w:cs="Times New Roman"/>
                <w:spacing w:val="9"/>
                <w:sz w:val="17"/>
                <w:szCs w:val="17"/>
              </w:rPr>
              <w:t>3</w:t>
            </w:r>
            <w:r>
              <w:rPr>
                <w:rFonts w:ascii="Times New Roman" w:hAnsi="Times New Roman" w:eastAsia="Times New Roman" w:cs="Times New Roman"/>
                <w:spacing w:val="6"/>
                <w:sz w:val="17"/>
                <w:szCs w:val="17"/>
              </w:rPr>
              <w:t xml:space="preserve">5 </w:t>
            </w:r>
            <w:r>
              <w:rPr>
                <w:rFonts w:ascii="宋体" w:hAnsi="宋体" w:eastAsia="宋体" w:cs="宋体"/>
                <w:spacing w:val="6"/>
                <w:sz w:val="17"/>
                <w:szCs w:val="17"/>
              </w:rPr>
              <w:t>片石</w:t>
            </w:r>
          </w:p>
        </w:tc>
        <w:tc>
          <w:tcPr>
            <w:tcW w:w="662" w:type="dxa"/>
            <w:vAlign w:val="top"/>
          </w:tcPr>
          <w:p>
            <w:pPr>
              <w:spacing w:before="91"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04" w:line="197" w:lineRule="auto"/>
              <w:ind w:left="52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497</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200" w:lineRule="auto"/>
              <w:ind w:left="18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.4.2</w:t>
            </w:r>
          </w:p>
        </w:tc>
        <w:tc>
          <w:tcPr>
            <w:tcW w:w="4495" w:type="dxa"/>
            <w:vAlign w:val="top"/>
          </w:tcPr>
          <w:p>
            <w:pPr>
              <w:spacing w:before="73" w:line="228" w:lineRule="auto"/>
              <w:ind w:left="1811"/>
              <w:rPr>
                <w:rFonts w:ascii="Times New Roman" w:hAnsi="Times New Roman" w:eastAsia="Times New Roman" w:cs="Times New Roman"/>
                <w:sz w:val="17"/>
                <w:szCs w:val="17"/>
              </w:rPr>
            </w:pPr>
            <w:r>
              <w:rPr>
                <w:rFonts w:ascii="宋体" w:hAnsi="宋体" w:eastAsia="宋体" w:cs="宋体"/>
                <w:spacing w:val="-1"/>
                <w:sz w:val="17"/>
                <w:szCs w:val="17"/>
              </w:rPr>
              <w:t>混</w:t>
            </w:r>
            <w:r>
              <w:rPr>
                <w:rFonts w:ascii="宋体" w:hAnsi="宋体" w:eastAsia="宋体" w:cs="宋体"/>
                <w:sz w:val="17"/>
                <w:szCs w:val="17"/>
              </w:rPr>
              <w:t xml:space="preserve">凝土 </w:t>
            </w:r>
            <w:r>
              <w:rPr>
                <w:rFonts w:ascii="Times New Roman" w:hAnsi="Times New Roman" w:eastAsia="Times New Roman" w:cs="Times New Roman"/>
                <w:sz w:val="17"/>
                <w:szCs w:val="17"/>
              </w:rPr>
              <w:t>C30</w:t>
            </w:r>
          </w:p>
        </w:tc>
        <w:tc>
          <w:tcPr>
            <w:tcW w:w="662" w:type="dxa"/>
            <w:vAlign w:val="top"/>
          </w:tcPr>
          <w:p>
            <w:pPr>
              <w:spacing w:before="91"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04" w:line="197" w:lineRule="auto"/>
              <w:ind w:left="57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54</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200" w:lineRule="auto"/>
              <w:ind w:left="25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4"/>
                <w:sz w:val="17"/>
                <w:szCs w:val="17"/>
              </w:rPr>
              <w:t>.5</w:t>
            </w:r>
          </w:p>
        </w:tc>
        <w:tc>
          <w:tcPr>
            <w:tcW w:w="4495" w:type="dxa"/>
            <w:vAlign w:val="top"/>
          </w:tcPr>
          <w:p>
            <w:pPr>
              <w:spacing w:before="73" w:line="228" w:lineRule="auto"/>
              <w:ind w:left="2069"/>
              <w:rPr>
                <w:rFonts w:ascii="宋体" w:hAnsi="宋体" w:eastAsia="宋体" w:cs="宋体"/>
                <w:sz w:val="17"/>
                <w:szCs w:val="17"/>
              </w:rPr>
            </w:pPr>
            <w:r>
              <w:rPr>
                <w:rFonts w:ascii="宋体" w:hAnsi="宋体" w:eastAsia="宋体" w:cs="宋体"/>
                <w:spacing w:val="7"/>
                <w:sz w:val="17"/>
                <w:szCs w:val="17"/>
              </w:rPr>
              <w:t>侧墙</w:t>
            </w:r>
          </w:p>
        </w:tc>
        <w:tc>
          <w:tcPr>
            <w:tcW w:w="662" w:type="dxa"/>
            <w:vAlign w:val="top"/>
          </w:tcPr>
          <w:p>
            <w:pPr>
              <w:spacing w:before="91"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04" w:line="197" w:lineRule="auto"/>
              <w:ind w:left="52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418</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200" w:lineRule="auto"/>
              <w:ind w:left="18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2.5.</w:t>
            </w:r>
            <w:r>
              <w:rPr>
                <w:rFonts w:ascii="Times New Roman" w:hAnsi="Times New Roman" w:eastAsia="Times New Roman" w:cs="Times New Roman"/>
                <w:spacing w:val="-1"/>
                <w:sz w:val="17"/>
                <w:szCs w:val="17"/>
              </w:rPr>
              <w:t xml:space="preserve"> 1</w:t>
            </w:r>
          </w:p>
        </w:tc>
        <w:tc>
          <w:tcPr>
            <w:tcW w:w="4495" w:type="dxa"/>
            <w:vAlign w:val="top"/>
          </w:tcPr>
          <w:p>
            <w:pPr>
              <w:spacing w:before="73" w:line="228" w:lineRule="auto"/>
              <w:ind w:left="1897"/>
              <w:rPr>
                <w:rFonts w:ascii="宋体" w:hAnsi="宋体" w:eastAsia="宋体" w:cs="宋体"/>
                <w:sz w:val="17"/>
                <w:szCs w:val="17"/>
              </w:rPr>
            </w:pPr>
            <w:r>
              <w:rPr>
                <w:rFonts w:ascii="Times New Roman" w:hAnsi="Times New Roman" w:eastAsia="Times New Roman" w:cs="Times New Roman"/>
                <w:sz w:val="17"/>
                <w:szCs w:val="17"/>
              </w:rPr>
              <w:t>C</w:t>
            </w:r>
            <w:r>
              <w:rPr>
                <w:rFonts w:ascii="Times New Roman" w:hAnsi="Times New Roman" w:eastAsia="Times New Roman" w:cs="Times New Roman"/>
                <w:spacing w:val="9"/>
                <w:sz w:val="17"/>
                <w:szCs w:val="17"/>
              </w:rPr>
              <w:t>3</w:t>
            </w:r>
            <w:r>
              <w:rPr>
                <w:rFonts w:ascii="Times New Roman" w:hAnsi="Times New Roman" w:eastAsia="Times New Roman" w:cs="Times New Roman"/>
                <w:spacing w:val="6"/>
                <w:sz w:val="17"/>
                <w:szCs w:val="17"/>
              </w:rPr>
              <w:t xml:space="preserve">5 </w:t>
            </w:r>
            <w:r>
              <w:rPr>
                <w:rFonts w:ascii="宋体" w:hAnsi="宋体" w:eastAsia="宋体" w:cs="宋体"/>
                <w:spacing w:val="6"/>
                <w:sz w:val="17"/>
                <w:szCs w:val="17"/>
              </w:rPr>
              <w:t>片石</w:t>
            </w:r>
          </w:p>
        </w:tc>
        <w:tc>
          <w:tcPr>
            <w:tcW w:w="662" w:type="dxa"/>
            <w:vAlign w:val="top"/>
          </w:tcPr>
          <w:p>
            <w:pPr>
              <w:spacing w:before="91"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04" w:line="197" w:lineRule="auto"/>
              <w:ind w:left="52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413</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200" w:lineRule="auto"/>
              <w:ind w:left="18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.5.2</w:t>
            </w:r>
          </w:p>
        </w:tc>
        <w:tc>
          <w:tcPr>
            <w:tcW w:w="4495" w:type="dxa"/>
            <w:vAlign w:val="top"/>
          </w:tcPr>
          <w:p>
            <w:pPr>
              <w:spacing w:before="73" w:line="228" w:lineRule="auto"/>
              <w:ind w:left="1811"/>
              <w:rPr>
                <w:rFonts w:ascii="Times New Roman" w:hAnsi="Times New Roman" w:eastAsia="Times New Roman" w:cs="Times New Roman"/>
                <w:sz w:val="17"/>
                <w:szCs w:val="17"/>
              </w:rPr>
            </w:pPr>
            <w:r>
              <w:rPr>
                <w:rFonts w:ascii="宋体" w:hAnsi="宋体" w:eastAsia="宋体" w:cs="宋体"/>
                <w:spacing w:val="-1"/>
                <w:sz w:val="17"/>
                <w:szCs w:val="17"/>
              </w:rPr>
              <w:t>混</w:t>
            </w:r>
            <w:r>
              <w:rPr>
                <w:rFonts w:ascii="宋体" w:hAnsi="宋体" w:eastAsia="宋体" w:cs="宋体"/>
                <w:sz w:val="17"/>
                <w:szCs w:val="17"/>
              </w:rPr>
              <w:t xml:space="preserve">凝土 </w:t>
            </w:r>
            <w:r>
              <w:rPr>
                <w:rFonts w:ascii="Times New Roman" w:hAnsi="Times New Roman" w:eastAsia="Times New Roman" w:cs="Times New Roman"/>
                <w:sz w:val="17"/>
                <w:szCs w:val="17"/>
              </w:rPr>
              <w:t>C30</w:t>
            </w:r>
          </w:p>
        </w:tc>
        <w:tc>
          <w:tcPr>
            <w:tcW w:w="662" w:type="dxa"/>
            <w:vAlign w:val="top"/>
          </w:tcPr>
          <w:p>
            <w:pPr>
              <w:spacing w:before="91"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06" w:line="194" w:lineRule="auto"/>
              <w:ind w:left="616"/>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200" w:lineRule="auto"/>
              <w:ind w:left="252"/>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4"/>
                <w:sz w:val="17"/>
                <w:szCs w:val="17"/>
              </w:rPr>
              <w:t>.6</w:t>
            </w:r>
          </w:p>
        </w:tc>
        <w:tc>
          <w:tcPr>
            <w:tcW w:w="4495" w:type="dxa"/>
            <w:vAlign w:val="top"/>
          </w:tcPr>
          <w:p>
            <w:pPr>
              <w:spacing w:before="73" w:line="228" w:lineRule="auto"/>
              <w:ind w:left="2071"/>
              <w:rPr>
                <w:rFonts w:ascii="宋体" w:hAnsi="宋体" w:eastAsia="宋体" w:cs="宋体"/>
                <w:sz w:val="17"/>
                <w:szCs w:val="17"/>
              </w:rPr>
            </w:pPr>
            <w:r>
              <w:rPr>
                <w:rFonts w:ascii="宋体" w:hAnsi="宋体" w:eastAsia="宋体" w:cs="宋体"/>
                <w:spacing w:val="6"/>
                <w:sz w:val="17"/>
                <w:szCs w:val="17"/>
              </w:rPr>
              <w:t>搭板</w:t>
            </w:r>
          </w:p>
        </w:tc>
        <w:tc>
          <w:tcPr>
            <w:tcW w:w="662" w:type="dxa"/>
            <w:vAlign w:val="top"/>
          </w:tcPr>
          <w:p>
            <w:pPr>
              <w:spacing w:before="91"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04" w:line="197" w:lineRule="auto"/>
              <w:ind w:left="53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88</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197" w:lineRule="auto"/>
              <w:ind w:left="325"/>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tc>
        <w:tc>
          <w:tcPr>
            <w:tcW w:w="4495" w:type="dxa"/>
            <w:vAlign w:val="top"/>
          </w:tcPr>
          <w:p>
            <w:pPr>
              <w:spacing w:before="73" w:line="228" w:lineRule="auto"/>
              <w:ind w:left="2072"/>
              <w:rPr>
                <w:rFonts w:ascii="宋体" w:hAnsi="宋体" w:eastAsia="宋体" w:cs="宋体"/>
                <w:sz w:val="17"/>
                <w:szCs w:val="17"/>
              </w:rPr>
            </w:pPr>
            <w:r>
              <w:rPr>
                <w:rFonts w:ascii="宋体" w:hAnsi="宋体" w:eastAsia="宋体" w:cs="宋体"/>
                <w:spacing w:val="6"/>
                <w:sz w:val="17"/>
                <w:szCs w:val="17"/>
              </w:rPr>
              <w:t>主</w:t>
            </w:r>
            <w:r>
              <w:rPr>
                <w:rFonts w:ascii="宋体" w:hAnsi="宋体" w:eastAsia="宋体" w:cs="宋体"/>
                <w:spacing w:val="5"/>
                <w:sz w:val="17"/>
                <w:szCs w:val="17"/>
              </w:rPr>
              <w:t>塔</w:t>
            </w:r>
          </w:p>
        </w:tc>
        <w:tc>
          <w:tcPr>
            <w:tcW w:w="662" w:type="dxa"/>
            <w:vAlign w:val="top"/>
          </w:tcPr>
          <w:p>
            <w:pPr>
              <w:spacing w:before="73" w:line="228" w:lineRule="auto"/>
              <w:ind w:left="252"/>
              <w:rPr>
                <w:rFonts w:ascii="宋体" w:hAnsi="宋体" w:eastAsia="宋体" w:cs="宋体"/>
                <w:sz w:val="17"/>
                <w:szCs w:val="17"/>
              </w:rPr>
            </w:pPr>
            <w:r>
              <w:rPr>
                <w:rFonts w:ascii="宋体" w:hAnsi="宋体" w:eastAsia="宋体" w:cs="宋体"/>
                <w:sz w:val="17"/>
                <w:szCs w:val="17"/>
              </w:rPr>
              <w:t>项</w:t>
            </w:r>
          </w:p>
        </w:tc>
        <w:tc>
          <w:tcPr>
            <w:tcW w:w="1300" w:type="dxa"/>
            <w:vAlign w:val="top"/>
          </w:tcPr>
          <w:p>
            <w:pPr>
              <w:spacing w:before="104" w:line="197" w:lineRule="auto"/>
              <w:ind w:left="628"/>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197" w:lineRule="auto"/>
              <w:ind w:left="255"/>
              <w:rPr>
                <w:rFonts w:ascii="Times New Roman" w:hAnsi="Times New Roman" w:eastAsia="Times New Roman" w:cs="Times New Roman"/>
                <w:sz w:val="17"/>
                <w:szCs w:val="17"/>
              </w:rPr>
            </w:pPr>
            <w:r>
              <w:rPr>
                <w:rFonts w:ascii="Times New Roman" w:hAnsi="Times New Roman" w:eastAsia="Times New Roman" w:cs="Times New Roman"/>
                <w:spacing w:val="8"/>
                <w:sz w:val="17"/>
                <w:szCs w:val="17"/>
              </w:rPr>
              <w:t>3</w:t>
            </w:r>
            <w:r>
              <w:rPr>
                <w:rFonts w:ascii="Times New Roman" w:hAnsi="Times New Roman" w:eastAsia="Times New Roman" w:cs="Times New Roman"/>
                <w:spacing w:val="7"/>
                <w:sz w:val="17"/>
                <w:szCs w:val="17"/>
              </w:rPr>
              <w:t>.1</w:t>
            </w:r>
          </w:p>
        </w:tc>
        <w:tc>
          <w:tcPr>
            <w:tcW w:w="4495" w:type="dxa"/>
            <w:vAlign w:val="top"/>
          </w:tcPr>
          <w:p>
            <w:pPr>
              <w:spacing w:before="73" w:line="228" w:lineRule="auto"/>
              <w:ind w:left="537"/>
              <w:rPr>
                <w:rFonts w:ascii="宋体" w:hAnsi="宋体" w:eastAsia="宋体" w:cs="宋体"/>
                <w:sz w:val="17"/>
                <w:szCs w:val="17"/>
              </w:rPr>
            </w:pPr>
            <w:r>
              <w:rPr>
                <w:rFonts w:ascii="宋体" w:hAnsi="宋体" w:eastAsia="宋体" w:cs="宋体"/>
                <w:spacing w:val="16"/>
                <w:sz w:val="17"/>
                <w:szCs w:val="17"/>
              </w:rPr>
              <w:t>钢</w:t>
            </w:r>
            <w:r>
              <w:rPr>
                <w:rFonts w:ascii="宋体" w:hAnsi="宋体" w:eastAsia="宋体" w:cs="宋体"/>
                <w:spacing w:val="14"/>
                <w:sz w:val="17"/>
                <w:szCs w:val="17"/>
              </w:rPr>
              <w:t>主</w:t>
            </w:r>
            <w:r>
              <w:rPr>
                <w:rFonts w:ascii="宋体" w:hAnsi="宋体" w:eastAsia="宋体" w:cs="宋体"/>
                <w:spacing w:val="8"/>
                <w:sz w:val="17"/>
                <w:szCs w:val="17"/>
              </w:rPr>
              <w:t>塔 (含满堂式钢管支架及自升式塔吊)</w:t>
            </w:r>
          </w:p>
        </w:tc>
        <w:tc>
          <w:tcPr>
            <w:tcW w:w="662" w:type="dxa"/>
            <w:vAlign w:val="top"/>
          </w:tcPr>
          <w:p>
            <w:pPr>
              <w:spacing w:before="40" w:line="242" w:lineRule="exact"/>
              <w:ind w:left="308"/>
              <w:rPr>
                <w:rFonts w:ascii="Times New Roman" w:hAnsi="Times New Roman" w:eastAsia="Times New Roman" w:cs="Times New Roman"/>
                <w:sz w:val="17"/>
                <w:szCs w:val="17"/>
              </w:rPr>
            </w:pPr>
            <w:r>
              <w:rPr>
                <w:rFonts w:ascii="Times New Roman" w:hAnsi="Times New Roman" w:eastAsia="Times New Roman" w:cs="Times New Roman"/>
                <w:spacing w:val="1"/>
                <w:position w:val="2"/>
                <w:sz w:val="17"/>
                <w:szCs w:val="17"/>
              </w:rPr>
              <w:t>t</w:t>
            </w:r>
          </w:p>
        </w:tc>
        <w:tc>
          <w:tcPr>
            <w:tcW w:w="1300" w:type="dxa"/>
            <w:vAlign w:val="top"/>
          </w:tcPr>
          <w:p>
            <w:pPr>
              <w:spacing w:before="104" w:line="197" w:lineRule="auto"/>
              <w:ind w:left="41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23.51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197" w:lineRule="auto"/>
              <w:ind w:left="25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3.2</w:t>
            </w:r>
          </w:p>
        </w:tc>
        <w:tc>
          <w:tcPr>
            <w:tcW w:w="4495" w:type="dxa"/>
            <w:vAlign w:val="top"/>
          </w:tcPr>
          <w:p>
            <w:pPr>
              <w:spacing w:before="73" w:line="228" w:lineRule="auto"/>
              <w:ind w:left="1259"/>
              <w:rPr>
                <w:rFonts w:ascii="宋体" w:hAnsi="宋体" w:eastAsia="宋体" w:cs="宋体"/>
                <w:sz w:val="17"/>
                <w:szCs w:val="17"/>
              </w:rPr>
            </w:pPr>
            <w:r>
              <w:rPr>
                <w:rFonts w:ascii="宋体" w:hAnsi="宋体" w:eastAsia="宋体" w:cs="宋体"/>
                <w:spacing w:val="14"/>
                <w:sz w:val="17"/>
                <w:szCs w:val="17"/>
              </w:rPr>
              <w:t>桥</w:t>
            </w:r>
            <w:r>
              <w:rPr>
                <w:rFonts w:ascii="宋体" w:hAnsi="宋体" w:eastAsia="宋体" w:cs="宋体"/>
                <w:spacing w:val="8"/>
                <w:sz w:val="17"/>
                <w:szCs w:val="17"/>
              </w:rPr>
              <w:t>塔</w:t>
            </w:r>
            <w:r>
              <w:rPr>
                <w:rFonts w:ascii="宋体" w:hAnsi="宋体" w:eastAsia="宋体" w:cs="宋体"/>
                <w:spacing w:val="7"/>
                <w:sz w:val="17"/>
                <w:szCs w:val="17"/>
              </w:rPr>
              <w:t>爬梯 (含表面油漆)</w:t>
            </w:r>
          </w:p>
        </w:tc>
        <w:tc>
          <w:tcPr>
            <w:tcW w:w="662" w:type="dxa"/>
            <w:vAlign w:val="top"/>
          </w:tcPr>
          <w:p>
            <w:pPr>
              <w:spacing w:before="40" w:line="242" w:lineRule="exact"/>
              <w:ind w:left="308"/>
              <w:rPr>
                <w:rFonts w:ascii="Times New Roman" w:hAnsi="Times New Roman" w:eastAsia="Times New Roman" w:cs="Times New Roman"/>
                <w:sz w:val="17"/>
                <w:szCs w:val="17"/>
              </w:rPr>
            </w:pPr>
            <w:r>
              <w:rPr>
                <w:rFonts w:ascii="Times New Roman" w:hAnsi="Times New Roman" w:eastAsia="Times New Roman" w:cs="Times New Roman"/>
                <w:spacing w:val="1"/>
                <w:position w:val="2"/>
                <w:sz w:val="17"/>
                <w:szCs w:val="17"/>
              </w:rPr>
              <w:t>t</w:t>
            </w:r>
          </w:p>
        </w:tc>
        <w:tc>
          <w:tcPr>
            <w:tcW w:w="1300" w:type="dxa"/>
            <w:vAlign w:val="top"/>
          </w:tcPr>
          <w:p>
            <w:pPr>
              <w:spacing w:before="104" w:line="197" w:lineRule="auto"/>
              <w:ind w:left="56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197" w:lineRule="auto"/>
              <w:ind w:left="2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3.3</w:t>
            </w:r>
          </w:p>
        </w:tc>
        <w:tc>
          <w:tcPr>
            <w:tcW w:w="4495" w:type="dxa"/>
            <w:vAlign w:val="top"/>
          </w:tcPr>
          <w:p>
            <w:pPr>
              <w:spacing w:before="73" w:line="228" w:lineRule="auto"/>
              <w:ind w:left="1439"/>
              <w:rPr>
                <w:rFonts w:ascii="宋体" w:hAnsi="宋体" w:eastAsia="宋体" w:cs="宋体"/>
                <w:sz w:val="17"/>
                <w:szCs w:val="17"/>
              </w:rPr>
            </w:pPr>
            <w:r>
              <w:rPr>
                <w:rFonts w:ascii="宋体" w:hAnsi="宋体" w:eastAsia="宋体" w:cs="宋体"/>
                <w:spacing w:val="9"/>
                <w:sz w:val="17"/>
                <w:szCs w:val="17"/>
              </w:rPr>
              <w:t>装</w:t>
            </w:r>
            <w:r>
              <w:rPr>
                <w:rFonts w:ascii="宋体" w:hAnsi="宋体" w:eastAsia="宋体" w:cs="宋体"/>
                <w:spacing w:val="7"/>
                <w:sz w:val="17"/>
                <w:szCs w:val="17"/>
              </w:rPr>
              <w:t>饰雕刻版 (铝板)</w:t>
            </w:r>
          </w:p>
        </w:tc>
        <w:tc>
          <w:tcPr>
            <w:tcW w:w="662" w:type="dxa"/>
            <w:vAlign w:val="top"/>
          </w:tcPr>
          <w:p>
            <w:pPr>
              <w:spacing w:before="91"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²</w:t>
            </w:r>
          </w:p>
        </w:tc>
        <w:tc>
          <w:tcPr>
            <w:tcW w:w="1300" w:type="dxa"/>
            <w:vAlign w:val="top"/>
          </w:tcPr>
          <w:p>
            <w:pPr>
              <w:spacing w:before="104" w:line="197" w:lineRule="auto"/>
              <w:ind w:left="41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3</w:t>
            </w:r>
            <w:r>
              <w:rPr>
                <w:rFonts w:ascii="Times New Roman" w:hAnsi="Times New Roman" w:eastAsia="Times New Roman" w:cs="Times New Roman"/>
                <w:spacing w:val="3"/>
                <w:sz w:val="17"/>
                <w:szCs w:val="17"/>
              </w:rPr>
              <w:t>18.34</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197" w:lineRule="auto"/>
              <w:ind w:left="32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4495" w:type="dxa"/>
            <w:vAlign w:val="top"/>
          </w:tcPr>
          <w:p>
            <w:pPr>
              <w:spacing w:before="73" w:line="228" w:lineRule="auto"/>
              <w:ind w:left="1978"/>
              <w:rPr>
                <w:rFonts w:ascii="宋体" w:hAnsi="宋体" w:eastAsia="宋体" w:cs="宋体"/>
                <w:sz w:val="17"/>
                <w:szCs w:val="17"/>
              </w:rPr>
            </w:pPr>
            <w:r>
              <w:rPr>
                <w:rFonts w:ascii="宋体" w:hAnsi="宋体" w:eastAsia="宋体" w:cs="宋体"/>
                <w:spacing w:val="8"/>
                <w:sz w:val="17"/>
                <w:szCs w:val="17"/>
              </w:rPr>
              <w:t>斜拉</w:t>
            </w:r>
            <w:r>
              <w:rPr>
                <w:rFonts w:ascii="宋体" w:hAnsi="宋体" w:eastAsia="宋体" w:cs="宋体"/>
                <w:spacing w:val="7"/>
                <w:sz w:val="17"/>
                <w:szCs w:val="17"/>
              </w:rPr>
              <w:t>索</w:t>
            </w:r>
          </w:p>
        </w:tc>
        <w:tc>
          <w:tcPr>
            <w:tcW w:w="662" w:type="dxa"/>
            <w:vAlign w:val="top"/>
          </w:tcPr>
          <w:p>
            <w:pPr>
              <w:spacing w:before="40" w:line="242" w:lineRule="exact"/>
              <w:ind w:left="308"/>
              <w:rPr>
                <w:rFonts w:ascii="Times New Roman" w:hAnsi="Times New Roman" w:eastAsia="Times New Roman" w:cs="Times New Roman"/>
                <w:sz w:val="17"/>
                <w:szCs w:val="17"/>
              </w:rPr>
            </w:pPr>
            <w:r>
              <w:rPr>
                <w:rFonts w:ascii="Times New Roman" w:hAnsi="Times New Roman" w:eastAsia="Times New Roman" w:cs="Times New Roman"/>
                <w:spacing w:val="1"/>
                <w:position w:val="2"/>
                <w:sz w:val="17"/>
                <w:szCs w:val="17"/>
              </w:rPr>
              <w:t>t</w:t>
            </w:r>
          </w:p>
        </w:tc>
        <w:tc>
          <w:tcPr>
            <w:tcW w:w="1300" w:type="dxa"/>
            <w:vAlign w:val="top"/>
          </w:tcPr>
          <w:p>
            <w:pPr>
              <w:spacing w:before="104" w:line="197" w:lineRule="auto"/>
              <w:ind w:left="45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57.78</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600" w:type="dxa"/>
            <w:vMerge w:val="continue"/>
            <w:tcBorders>
              <w:top w:val="nil"/>
              <w:left w:val="single" w:color="000000" w:sz="6" w:space="0"/>
            </w:tcBorders>
            <w:vAlign w:val="top"/>
          </w:tcPr>
          <w:p>
            <w:pPr>
              <w:rPr>
                <w:rFonts w:ascii="Arial"/>
                <w:sz w:val="21"/>
              </w:rPr>
            </w:pPr>
          </w:p>
        </w:tc>
        <w:tc>
          <w:tcPr>
            <w:tcW w:w="211" w:type="dxa"/>
            <w:vMerge w:val="continue"/>
            <w:tcBorders>
              <w:top w:val="nil"/>
            </w:tcBorders>
            <w:vAlign w:val="top"/>
          </w:tcPr>
          <w:p>
            <w:pPr>
              <w:rPr>
                <w:rFonts w:ascii="Arial"/>
                <w:sz w:val="21"/>
              </w:rPr>
            </w:pPr>
          </w:p>
        </w:tc>
        <w:tc>
          <w:tcPr>
            <w:tcW w:w="741" w:type="dxa"/>
            <w:vAlign w:val="top"/>
          </w:tcPr>
          <w:p>
            <w:pPr>
              <w:spacing w:before="106" w:line="194" w:lineRule="auto"/>
              <w:ind w:left="326"/>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4495" w:type="dxa"/>
            <w:vAlign w:val="top"/>
          </w:tcPr>
          <w:p>
            <w:pPr>
              <w:spacing w:before="73" w:line="230" w:lineRule="auto"/>
              <w:ind w:left="2072"/>
              <w:rPr>
                <w:rFonts w:ascii="宋体" w:hAnsi="宋体" w:eastAsia="宋体" w:cs="宋体"/>
                <w:sz w:val="17"/>
                <w:szCs w:val="17"/>
              </w:rPr>
            </w:pPr>
            <w:r>
              <w:rPr>
                <w:rFonts w:ascii="宋体" w:hAnsi="宋体" w:eastAsia="宋体" w:cs="宋体"/>
                <w:spacing w:val="6"/>
                <w:sz w:val="17"/>
                <w:szCs w:val="17"/>
              </w:rPr>
              <w:t>主</w:t>
            </w:r>
            <w:r>
              <w:rPr>
                <w:rFonts w:ascii="宋体" w:hAnsi="宋体" w:eastAsia="宋体" w:cs="宋体"/>
                <w:spacing w:val="5"/>
                <w:sz w:val="17"/>
                <w:szCs w:val="17"/>
              </w:rPr>
              <w:t>梁</w:t>
            </w:r>
          </w:p>
        </w:tc>
        <w:tc>
          <w:tcPr>
            <w:tcW w:w="662" w:type="dxa"/>
            <w:vAlign w:val="top"/>
          </w:tcPr>
          <w:p>
            <w:pPr>
              <w:spacing w:before="40" w:line="242" w:lineRule="exact"/>
              <w:ind w:left="308"/>
              <w:rPr>
                <w:rFonts w:ascii="Times New Roman" w:hAnsi="Times New Roman" w:eastAsia="Times New Roman" w:cs="Times New Roman"/>
                <w:sz w:val="17"/>
                <w:szCs w:val="17"/>
              </w:rPr>
            </w:pPr>
            <w:r>
              <w:rPr>
                <w:rFonts w:ascii="Times New Roman" w:hAnsi="Times New Roman" w:eastAsia="Times New Roman" w:cs="Times New Roman"/>
                <w:spacing w:val="1"/>
                <w:position w:val="2"/>
                <w:sz w:val="17"/>
                <w:szCs w:val="17"/>
              </w:rPr>
              <w:t>t</w:t>
            </w:r>
          </w:p>
        </w:tc>
        <w:tc>
          <w:tcPr>
            <w:tcW w:w="1300" w:type="dxa"/>
            <w:vAlign w:val="top"/>
          </w:tcPr>
          <w:p>
            <w:pPr>
              <w:spacing w:before="104" w:line="197" w:lineRule="auto"/>
              <w:ind w:left="36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5</w:t>
            </w:r>
            <w:r>
              <w:rPr>
                <w:rFonts w:ascii="Times New Roman" w:hAnsi="Times New Roman" w:eastAsia="Times New Roman" w:cs="Times New Roman"/>
                <w:spacing w:val="3"/>
                <w:sz w:val="17"/>
                <w:szCs w:val="17"/>
              </w:rPr>
              <w:t>554.42</w:t>
            </w:r>
          </w:p>
        </w:tc>
        <w:tc>
          <w:tcPr>
            <w:tcW w:w="687" w:type="dxa"/>
            <w:vAlign w:val="top"/>
          </w:tcPr>
          <w:p>
            <w:pPr>
              <w:rPr>
                <w:rFonts w:ascii="Arial"/>
                <w:sz w:val="21"/>
              </w:rPr>
            </w:pPr>
          </w:p>
        </w:tc>
        <w:tc>
          <w:tcPr>
            <w:tcW w:w="221" w:type="dxa"/>
            <w:vMerge w:val="continue"/>
            <w:tcBorders>
              <w:top w:val="nil"/>
              <w:right w:val="single" w:color="000000" w:sz="6" w:space="0"/>
            </w:tcBorders>
            <w:vAlign w:val="top"/>
          </w:tcPr>
          <w:p>
            <w:pPr>
              <w:rPr>
                <w:rFonts w:ascii="Arial"/>
                <w:sz w:val="21"/>
              </w:rPr>
            </w:pPr>
          </w:p>
        </w:tc>
      </w:tr>
    </w:tbl>
    <w:p>
      <w:pPr>
        <w:spacing w:line="212" w:lineRule="exact"/>
        <w:rPr>
          <w:rFonts w:ascii="Arial"/>
          <w:sz w:val="18"/>
        </w:rPr>
      </w:pPr>
    </w:p>
    <w:p>
      <w:pPr>
        <w:sectPr>
          <w:footerReference r:id="rId47" w:type="default"/>
          <w:pgSz w:w="11906" w:h="16839"/>
          <w:pgMar w:top="400" w:right="1487" w:bottom="1475" w:left="1486" w:header="0" w:footer="1315" w:gutter="0"/>
          <w:cols w:space="720" w:num="1"/>
        </w:sectPr>
      </w:pPr>
    </w:p>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211"/>
        <w:gridCol w:w="741"/>
        <w:gridCol w:w="4495"/>
        <w:gridCol w:w="662"/>
        <w:gridCol w:w="1300"/>
        <w:gridCol w:w="687"/>
        <w:gridCol w:w="2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600" w:type="dxa"/>
            <w:vMerge w:val="restart"/>
            <w:tcBorders>
              <w:left w:val="single" w:color="000000" w:sz="6" w:space="0"/>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28" w:lineRule="auto"/>
              <w:ind w:left="91"/>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p>
            <w:pPr>
              <w:spacing w:before="26" w:line="229" w:lineRule="auto"/>
              <w:ind w:left="9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组</w:t>
            </w:r>
            <w:r>
              <w:rPr>
                <w:rFonts w:ascii="宋体" w:hAnsi="宋体" w:eastAsia="宋体" w:cs="宋体"/>
                <w:spacing w:val="4"/>
                <w:sz w:val="20"/>
                <w:szCs w:val="20"/>
                <w14:textOutline w14:w="3795" w14:cap="sq" w14:cmpd="sng">
                  <w14:solidFill>
                    <w14:srgbClr w14:val="000000"/>
                  </w14:solidFill>
                  <w14:prstDash w14:val="solid"/>
                  <w14:bevel/>
                </w14:textOutline>
              </w:rPr>
              <w:t>成</w:t>
            </w:r>
          </w:p>
          <w:p>
            <w:pPr>
              <w:spacing w:before="22" w:line="230" w:lineRule="auto"/>
              <w:ind w:left="8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及规</w:t>
            </w:r>
          </w:p>
          <w:p>
            <w:pPr>
              <w:spacing w:before="24" w:line="228" w:lineRule="auto"/>
              <w:ind w:left="190"/>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模</w:t>
            </w:r>
          </w:p>
        </w:tc>
        <w:tc>
          <w:tcPr>
            <w:tcW w:w="211" w:type="dxa"/>
            <w:vMerge w:val="restart"/>
            <w:tcBorders>
              <w:bottom w:val="nil"/>
            </w:tcBorders>
            <w:vAlign w:val="top"/>
          </w:tcPr>
          <w:p>
            <w:pPr>
              <w:rPr>
                <w:rFonts w:ascii="Arial"/>
                <w:sz w:val="21"/>
              </w:rPr>
            </w:pPr>
          </w:p>
        </w:tc>
        <w:tc>
          <w:tcPr>
            <w:tcW w:w="741" w:type="dxa"/>
            <w:vAlign w:val="top"/>
          </w:tcPr>
          <w:p>
            <w:pPr>
              <w:spacing w:before="114" w:line="197" w:lineRule="auto"/>
              <w:ind w:left="257"/>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5.1</w:t>
            </w:r>
          </w:p>
        </w:tc>
        <w:tc>
          <w:tcPr>
            <w:tcW w:w="4495" w:type="dxa"/>
            <w:vAlign w:val="top"/>
          </w:tcPr>
          <w:p>
            <w:pPr>
              <w:spacing w:before="83" w:line="230" w:lineRule="auto"/>
              <w:ind w:left="1977"/>
              <w:rPr>
                <w:rFonts w:ascii="宋体" w:hAnsi="宋体" w:eastAsia="宋体" w:cs="宋体"/>
                <w:sz w:val="17"/>
                <w:szCs w:val="17"/>
              </w:rPr>
            </w:pPr>
            <w:r>
              <w:rPr>
                <w:rFonts w:ascii="宋体" w:hAnsi="宋体" w:eastAsia="宋体" w:cs="宋体"/>
                <w:spacing w:val="8"/>
                <w:sz w:val="17"/>
                <w:szCs w:val="17"/>
              </w:rPr>
              <w:t>钢箱梁</w:t>
            </w:r>
          </w:p>
        </w:tc>
        <w:tc>
          <w:tcPr>
            <w:tcW w:w="662" w:type="dxa"/>
            <w:vAlign w:val="top"/>
          </w:tcPr>
          <w:p>
            <w:pPr>
              <w:spacing w:before="50" w:line="242" w:lineRule="exact"/>
              <w:ind w:left="308"/>
              <w:rPr>
                <w:rFonts w:ascii="Times New Roman" w:hAnsi="Times New Roman" w:eastAsia="Times New Roman" w:cs="Times New Roman"/>
                <w:sz w:val="17"/>
                <w:szCs w:val="17"/>
              </w:rPr>
            </w:pPr>
            <w:r>
              <w:rPr>
                <w:rFonts w:ascii="Times New Roman" w:hAnsi="Times New Roman" w:eastAsia="Times New Roman" w:cs="Times New Roman"/>
                <w:spacing w:val="1"/>
                <w:position w:val="2"/>
                <w:sz w:val="17"/>
                <w:szCs w:val="17"/>
              </w:rPr>
              <w:t>t</w:t>
            </w:r>
          </w:p>
        </w:tc>
        <w:tc>
          <w:tcPr>
            <w:tcW w:w="1300" w:type="dxa"/>
            <w:vAlign w:val="top"/>
          </w:tcPr>
          <w:p>
            <w:pPr>
              <w:spacing w:before="114" w:line="197" w:lineRule="auto"/>
              <w:ind w:left="36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5</w:t>
            </w:r>
            <w:r>
              <w:rPr>
                <w:rFonts w:ascii="Times New Roman" w:hAnsi="Times New Roman" w:eastAsia="Times New Roman" w:cs="Times New Roman"/>
                <w:spacing w:val="3"/>
                <w:sz w:val="17"/>
                <w:szCs w:val="17"/>
              </w:rPr>
              <w:t>554.42</w:t>
            </w:r>
          </w:p>
        </w:tc>
        <w:tc>
          <w:tcPr>
            <w:tcW w:w="687" w:type="dxa"/>
            <w:vAlign w:val="top"/>
          </w:tcPr>
          <w:p>
            <w:pPr>
              <w:rPr>
                <w:rFonts w:ascii="Arial"/>
                <w:sz w:val="21"/>
              </w:rPr>
            </w:pPr>
          </w:p>
        </w:tc>
        <w:tc>
          <w:tcPr>
            <w:tcW w:w="221" w:type="dxa"/>
            <w:vMerge w:val="restart"/>
            <w:tcBorders>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0" w:line="197" w:lineRule="auto"/>
              <w:ind w:left="25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5.</w:t>
            </w:r>
            <w:r>
              <w:rPr>
                <w:rFonts w:ascii="Times New Roman" w:hAnsi="Times New Roman" w:eastAsia="Times New Roman" w:cs="Times New Roman"/>
                <w:spacing w:val="1"/>
                <w:sz w:val="17"/>
                <w:szCs w:val="17"/>
              </w:rPr>
              <w:t>2</w:t>
            </w:r>
          </w:p>
        </w:tc>
        <w:tc>
          <w:tcPr>
            <w:tcW w:w="4495" w:type="dxa"/>
            <w:vAlign w:val="top"/>
          </w:tcPr>
          <w:p>
            <w:pPr>
              <w:spacing w:before="69" w:line="230" w:lineRule="auto"/>
              <w:ind w:left="1890"/>
              <w:rPr>
                <w:rFonts w:ascii="宋体" w:hAnsi="宋体" w:eastAsia="宋体" w:cs="宋体"/>
                <w:sz w:val="17"/>
                <w:szCs w:val="17"/>
              </w:rPr>
            </w:pPr>
            <w:r>
              <w:rPr>
                <w:rFonts w:ascii="宋体" w:hAnsi="宋体" w:eastAsia="宋体" w:cs="宋体"/>
                <w:spacing w:val="8"/>
                <w:sz w:val="17"/>
                <w:szCs w:val="17"/>
              </w:rPr>
              <w:t>顶推平台</w:t>
            </w:r>
          </w:p>
        </w:tc>
        <w:tc>
          <w:tcPr>
            <w:tcW w:w="662" w:type="dxa"/>
            <w:vAlign w:val="top"/>
          </w:tcPr>
          <w:p>
            <w:pPr>
              <w:spacing w:before="87"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²</w:t>
            </w:r>
          </w:p>
        </w:tc>
        <w:tc>
          <w:tcPr>
            <w:tcW w:w="1300" w:type="dxa"/>
            <w:vAlign w:val="top"/>
          </w:tcPr>
          <w:p>
            <w:pPr>
              <w:spacing w:before="100" w:line="197" w:lineRule="auto"/>
              <w:ind w:left="47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4"/>
                <w:sz w:val="17"/>
                <w:szCs w:val="17"/>
              </w:rPr>
              <w:t>160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0" w:line="197" w:lineRule="auto"/>
              <w:ind w:left="25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2"/>
                <w:sz w:val="17"/>
                <w:szCs w:val="17"/>
              </w:rPr>
              <w:t>.3</w:t>
            </w:r>
          </w:p>
        </w:tc>
        <w:tc>
          <w:tcPr>
            <w:tcW w:w="4495" w:type="dxa"/>
            <w:vAlign w:val="top"/>
          </w:tcPr>
          <w:p>
            <w:pPr>
              <w:spacing w:before="69" w:line="230" w:lineRule="auto"/>
              <w:ind w:left="2075"/>
              <w:rPr>
                <w:rFonts w:ascii="宋体" w:hAnsi="宋体" w:eastAsia="宋体" w:cs="宋体"/>
                <w:sz w:val="17"/>
                <w:szCs w:val="17"/>
              </w:rPr>
            </w:pPr>
            <w:r>
              <w:rPr>
                <w:rFonts w:ascii="宋体" w:hAnsi="宋体" w:eastAsia="宋体" w:cs="宋体"/>
                <w:spacing w:val="4"/>
                <w:sz w:val="17"/>
                <w:szCs w:val="17"/>
              </w:rPr>
              <w:t>导梁</w:t>
            </w:r>
          </w:p>
        </w:tc>
        <w:tc>
          <w:tcPr>
            <w:tcW w:w="662" w:type="dxa"/>
            <w:vAlign w:val="top"/>
          </w:tcPr>
          <w:p>
            <w:pPr>
              <w:spacing w:before="36" w:line="242" w:lineRule="exact"/>
              <w:ind w:left="308"/>
              <w:rPr>
                <w:rFonts w:ascii="Times New Roman" w:hAnsi="Times New Roman" w:eastAsia="Times New Roman" w:cs="Times New Roman"/>
                <w:sz w:val="17"/>
                <w:szCs w:val="17"/>
              </w:rPr>
            </w:pPr>
            <w:r>
              <w:rPr>
                <w:rFonts w:ascii="Times New Roman" w:hAnsi="Times New Roman" w:eastAsia="Times New Roman" w:cs="Times New Roman"/>
                <w:spacing w:val="1"/>
                <w:position w:val="2"/>
                <w:sz w:val="17"/>
                <w:szCs w:val="17"/>
              </w:rPr>
              <w:t>t</w:t>
            </w:r>
          </w:p>
        </w:tc>
        <w:tc>
          <w:tcPr>
            <w:tcW w:w="1300" w:type="dxa"/>
            <w:vAlign w:val="top"/>
          </w:tcPr>
          <w:p>
            <w:pPr>
              <w:spacing w:before="100" w:line="197" w:lineRule="auto"/>
              <w:ind w:left="522"/>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10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0" w:line="197" w:lineRule="auto"/>
              <w:ind w:left="325"/>
              <w:rPr>
                <w:rFonts w:ascii="Times New Roman" w:hAnsi="Times New Roman" w:eastAsia="Times New Roman" w:cs="Times New Roman"/>
                <w:sz w:val="17"/>
                <w:szCs w:val="17"/>
              </w:rPr>
            </w:pPr>
            <w:r>
              <w:rPr>
                <w:rFonts w:ascii="Times New Roman" w:hAnsi="Times New Roman" w:eastAsia="Times New Roman" w:cs="Times New Roman"/>
                <w:sz w:val="17"/>
                <w:szCs w:val="17"/>
              </w:rPr>
              <w:t>6</w:t>
            </w:r>
          </w:p>
        </w:tc>
        <w:tc>
          <w:tcPr>
            <w:tcW w:w="4495" w:type="dxa"/>
            <w:vAlign w:val="top"/>
          </w:tcPr>
          <w:p>
            <w:pPr>
              <w:spacing w:before="69" w:line="229" w:lineRule="auto"/>
              <w:ind w:left="1904"/>
              <w:rPr>
                <w:rFonts w:ascii="宋体" w:hAnsi="宋体" w:eastAsia="宋体" w:cs="宋体"/>
                <w:sz w:val="17"/>
                <w:szCs w:val="17"/>
              </w:rPr>
            </w:pPr>
            <w:r>
              <w:rPr>
                <w:rFonts w:ascii="宋体" w:hAnsi="宋体" w:eastAsia="宋体" w:cs="宋体"/>
                <w:spacing w:val="6"/>
                <w:sz w:val="17"/>
                <w:szCs w:val="17"/>
              </w:rPr>
              <w:t>附</w:t>
            </w:r>
            <w:r>
              <w:rPr>
                <w:rFonts w:ascii="宋体" w:hAnsi="宋体" w:eastAsia="宋体" w:cs="宋体"/>
                <w:spacing w:val="4"/>
                <w:sz w:val="17"/>
                <w:szCs w:val="17"/>
              </w:rPr>
              <w:t>属设施</w:t>
            </w:r>
          </w:p>
        </w:tc>
        <w:tc>
          <w:tcPr>
            <w:tcW w:w="662" w:type="dxa"/>
            <w:vAlign w:val="top"/>
          </w:tcPr>
          <w:p>
            <w:pPr>
              <w:spacing w:before="69" w:line="231" w:lineRule="auto"/>
              <w:ind w:left="252"/>
              <w:rPr>
                <w:rFonts w:ascii="宋体" w:hAnsi="宋体" w:eastAsia="宋体" w:cs="宋体"/>
                <w:sz w:val="17"/>
                <w:szCs w:val="17"/>
              </w:rPr>
            </w:pPr>
            <w:r>
              <w:rPr>
                <w:rFonts w:ascii="宋体" w:hAnsi="宋体" w:eastAsia="宋体" w:cs="宋体"/>
                <w:sz w:val="17"/>
                <w:szCs w:val="17"/>
              </w:rPr>
              <w:t>项</w:t>
            </w:r>
          </w:p>
        </w:tc>
        <w:tc>
          <w:tcPr>
            <w:tcW w:w="1300" w:type="dxa"/>
            <w:vAlign w:val="top"/>
          </w:tcPr>
          <w:p>
            <w:pPr>
              <w:spacing w:before="100" w:line="197" w:lineRule="auto"/>
              <w:ind w:left="628"/>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0" w:line="197" w:lineRule="auto"/>
              <w:ind w:left="256"/>
              <w:rPr>
                <w:rFonts w:ascii="Times New Roman" w:hAnsi="Times New Roman" w:eastAsia="Times New Roman" w:cs="Times New Roman"/>
                <w:sz w:val="17"/>
                <w:szCs w:val="17"/>
              </w:rPr>
            </w:pPr>
            <w:r>
              <w:rPr>
                <w:rFonts w:ascii="Times New Roman" w:hAnsi="Times New Roman" w:eastAsia="Times New Roman" w:cs="Times New Roman"/>
                <w:spacing w:val="8"/>
                <w:sz w:val="17"/>
                <w:szCs w:val="17"/>
              </w:rPr>
              <w:t>6</w:t>
            </w:r>
            <w:r>
              <w:rPr>
                <w:rFonts w:ascii="Times New Roman" w:hAnsi="Times New Roman" w:eastAsia="Times New Roman" w:cs="Times New Roman"/>
                <w:spacing w:val="7"/>
                <w:sz w:val="17"/>
                <w:szCs w:val="17"/>
              </w:rPr>
              <w:t>.1</w:t>
            </w:r>
          </w:p>
        </w:tc>
        <w:tc>
          <w:tcPr>
            <w:tcW w:w="4495" w:type="dxa"/>
            <w:vAlign w:val="top"/>
          </w:tcPr>
          <w:p>
            <w:pPr>
              <w:spacing w:before="69" w:line="229" w:lineRule="auto"/>
              <w:ind w:left="1978"/>
              <w:rPr>
                <w:rFonts w:ascii="宋体" w:hAnsi="宋体" w:eastAsia="宋体" w:cs="宋体"/>
                <w:sz w:val="17"/>
                <w:szCs w:val="17"/>
              </w:rPr>
            </w:pPr>
            <w:r>
              <w:rPr>
                <w:rFonts w:ascii="宋体" w:hAnsi="宋体" w:eastAsia="宋体" w:cs="宋体"/>
                <w:spacing w:val="8"/>
                <w:sz w:val="17"/>
                <w:szCs w:val="17"/>
              </w:rPr>
              <w:t>伸缩</w:t>
            </w:r>
            <w:r>
              <w:rPr>
                <w:rFonts w:ascii="宋体" w:hAnsi="宋体" w:eastAsia="宋体" w:cs="宋体"/>
                <w:spacing w:val="7"/>
                <w:sz w:val="17"/>
                <w:szCs w:val="17"/>
              </w:rPr>
              <w:t>缝</w:t>
            </w:r>
          </w:p>
        </w:tc>
        <w:tc>
          <w:tcPr>
            <w:tcW w:w="662" w:type="dxa"/>
            <w:vAlign w:val="top"/>
          </w:tcPr>
          <w:p>
            <w:pPr>
              <w:spacing w:before="139" w:line="121" w:lineRule="exact"/>
              <w:ind w:left="26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m</w:t>
            </w:r>
          </w:p>
        </w:tc>
        <w:tc>
          <w:tcPr>
            <w:tcW w:w="1300" w:type="dxa"/>
            <w:vAlign w:val="top"/>
          </w:tcPr>
          <w:p>
            <w:pPr>
              <w:spacing w:before="100" w:line="197" w:lineRule="auto"/>
              <w:ind w:left="56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43</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0" w:line="197" w:lineRule="auto"/>
              <w:ind w:left="25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6.2</w:t>
            </w:r>
          </w:p>
        </w:tc>
        <w:tc>
          <w:tcPr>
            <w:tcW w:w="4495" w:type="dxa"/>
            <w:vAlign w:val="top"/>
          </w:tcPr>
          <w:p>
            <w:pPr>
              <w:spacing w:before="69" w:line="231" w:lineRule="auto"/>
              <w:ind w:left="1901"/>
              <w:rPr>
                <w:rFonts w:ascii="宋体" w:hAnsi="宋体" w:eastAsia="宋体" w:cs="宋体"/>
                <w:sz w:val="17"/>
                <w:szCs w:val="17"/>
              </w:rPr>
            </w:pPr>
            <w:r>
              <w:rPr>
                <w:rFonts w:ascii="宋体" w:hAnsi="宋体" w:eastAsia="宋体" w:cs="宋体"/>
                <w:spacing w:val="6"/>
                <w:sz w:val="17"/>
                <w:szCs w:val="17"/>
              </w:rPr>
              <w:t>防</w:t>
            </w:r>
            <w:r>
              <w:rPr>
                <w:rFonts w:ascii="宋体" w:hAnsi="宋体" w:eastAsia="宋体" w:cs="宋体"/>
                <w:spacing w:val="5"/>
                <w:sz w:val="17"/>
                <w:szCs w:val="17"/>
              </w:rPr>
              <w:t>撞护栏</w:t>
            </w:r>
          </w:p>
        </w:tc>
        <w:tc>
          <w:tcPr>
            <w:tcW w:w="662" w:type="dxa"/>
            <w:vAlign w:val="top"/>
          </w:tcPr>
          <w:p>
            <w:pPr>
              <w:spacing w:before="36" w:line="242" w:lineRule="exact"/>
              <w:ind w:left="308"/>
              <w:rPr>
                <w:rFonts w:ascii="Times New Roman" w:hAnsi="Times New Roman" w:eastAsia="Times New Roman" w:cs="Times New Roman"/>
                <w:sz w:val="17"/>
                <w:szCs w:val="17"/>
              </w:rPr>
            </w:pPr>
            <w:r>
              <w:rPr>
                <w:rFonts w:ascii="Times New Roman" w:hAnsi="Times New Roman" w:eastAsia="Times New Roman" w:cs="Times New Roman"/>
                <w:spacing w:val="1"/>
                <w:position w:val="2"/>
                <w:sz w:val="17"/>
                <w:szCs w:val="17"/>
              </w:rPr>
              <w:t>t</w:t>
            </w:r>
          </w:p>
        </w:tc>
        <w:tc>
          <w:tcPr>
            <w:tcW w:w="1300" w:type="dxa"/>
            <w:vAlign w:val="top"/>
          </w:tcPr>
          <w:p>
            <w:pPr>
              <w:spacing w:before="100" w:line="197" w:lineRule="auto"/>
              <w:ind w:left="45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7</w:t>
            </w:r>
            <w:r>
              <w:rPr>
                <w:rFonts w:ascii="Times New Roman" w:hAnsi="Times New Roman" w:eastAsia="Times New Roman" w:cs="Times New Roman"/>
                <w:spacing w:val="3"/>
                <w:sz w:val="17"/>
                <w:szCs w:val="17"/>
              </w:rPr>
              <w:t>2.64</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0" w:line="197" w:lineRule="auto"/>
              <w:ind w:left="25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6.</w:t>
            </w:r>
            <w:r>
              <w:rPr>
                <w:rFonts w:ascii="Times New Roman" w:hAnsi="Times New Roman" w:eastAsia="Times New Roman" w:cs="Times New Roman"/>
                <w:spacing w:val="2"/>
                <w:sz w:val="17"/>
                <w:szCs w:val="17"/>
              </w:rPr>
              <w:t>3</w:t>
            </w:r>
          </w:p>
        </w:tc>
        <w:tc>
          <w:tcPr>
            <w:tcW w:w="4495" w:type="dxa"/>
            <w:vAlign w:val="top"/>
          </w:tcPr>
          <w:p>
            <w:pPr>
              <w:spacing w:before="69" w:line="231" w:lineRule="auto"/>
              <w:ind w:left="2071"/>
              <w:rPr>
                <w:rFonts w:ascii="宋体" w:hAnsi="宋体" w:eastAsia="宋体" w:cs="宋体"/>
                <w:sz w:val="17"/>
                <w:szCs w:val="17"/>
              </w:rPr>
            </w:pPr>
            <w:r>
              <w:rPr>
                <w:rFonts w:ascii="宋体" w:hAnsi="宋体" w:eastAsia="宋体" w:cs="宋体"/>
                <w:spacing w:val="6"/>
                <w:sz w:val="17"/>
                <w:szCs w:val="17"/>
              </w:rPr>
              <w:t>支座</w:t>
            </w:r>
          </w:p>
        </w:tc>
        <w:tc>
          <w:tcPr>
            <w:tcW w:w="662" w:type="dxa"/>
            <w:vAlign w:val="top"/>
          </w:tcPr>
          <w:p>
            <w:pPr>
              <w:spacing w:before="69" w:line="230" w:lineRule="auto"/>
              <w:ind w:left="249"/>
              <w:rPr>
                <w:rFonts w:ascii="宋体" w:hAnsi="宋体" w:eastAsia="宋体" w:cs="宋体"/>
                <w:sz w:val="17"/>
                <w:szCs w:val="17"/>
              </w:rPr>
            </w:pPr>
            <w:r>
              <w:rPr>
                <w:rFonts w:ascii="宋体" w:hAnsi="宋体" w:eastAsia="宋体" w:cs="宋体"/>
                <w:spacing w:val="2"/>
                <w:sz w:val="17"/>
                <w:szCs w:val="17"/>
              </w:rPr>
              <w:t>个</w:t>
            </w:r>
          </w:p>
        </w:tc>
        <w:tc>
          <w:tcPr>
            <w:tcW w:w="1300" w:type="dxa"/>
            <w:vAlign w:val="top"/>
          </w:tcPr>
          <w:p>
            <w:pPr>
              <w:spacing w:before="100" w:line="197" w:lineRule="auto"/>
              <w:ind w:left="618"/>
              <w:rPr>
                <w:rFonts w:ascii="Times New Roman" w:hAnsi="Times New Roman" w:eastAsia="Times New Roman" w:cs="Times New Roman"/>
                <w:sz w:val="17"/>
                <w:szCs w:val="17"/>
              </w:rPr>
            </w:pPr>
            <w:r>
              <w:rPr>
                <w:rFonts w:ascii="Times New Roman" w:hAnsi="Times New Roman" w:eastAsia="Times New Roman" w:cs="Times New Roman"/>
                <w:sz w:val="17"/>
                <w:szCs w:val="17"/>
              </w:rPr>
              <w:t>8</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0" w:line="197" w:lineRule="auto"/>
              <w:ind w:left="25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6.4</w:t>
            </w:r>
          </w:p>
        </w:tc>
        <w:tc>
          <w:tcPr>
            <w:tcW w:w="4495" w:type="dxa"/>
            <w:vAlign w:val="top"/>
          </w:tcPr>
          <w:p>
            <w:pPr>
              <w:spacing w:before="69" w:line="229" w:lineRule="auto"/>
              <w:ind w:left="899"/>
              <w:rPr>
                <w:rFonts w:ascii="宋体" w:hAnsi="宋体" w:eastAsia="宋体" w:cs="宋体"/>
                <w:sz w:val="17"/>
                <w:szCs w:val="17"/>
              </w:rPr>
            </w:pPr>
            <w:r>
              <w:rPr>
                <w:rFonts w:ascii="宋体" w:hAnsi="宋体" w:eastAsia="宋体" w:cs="宋体"/>
                <w:spacing w:val="12"/>
                <w:sz w:val="17"/>
                <w:szCs w:val="17"/>
              </w:rPr>
              <w:t>桥</w:t>
            </w:r>
            <w:r>
              <w:rPr>
                <w:rFonts w:ascii="宋体" w:hAnsi="宋体" w:eastAsia="宋体" w:cs="宋体"/>
                <w:spacing w:val="8"/>
                <w:sz w:val="17"/>
                <w:szCs w:val="17"/>
              </w:rPr>
              <w:t>面铺装 (浇筑式沥青桥面铺装)</w:t>
            </w:r>
          </w:p>
        </w:tc>
        <w:tc>
          <w:tcPr>
            <w:tcW w:w="662" w:type="dxa"/>
            <w:vAlign w:val="top"/>
          </w:tcPr>
          <w:p>
            <w:pPr>
              <w:spacing w:before="87"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²</w:t>
            </w:r>
          </w:p>
        </w:tc>
        <w:tc>
          <w:tcPr>
            <w:tcW w:w="1300" w:type="dxa"/>
            <w:vAlign w:val="top"/>
          </w:tcPr>
          <w:p>
            <w:pPr>
              <w:spacing w:before="100" w:line="197" w:lineRule="auto"/>
              <w:ind w:left="4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5865</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0" w:line="197" w:lineRule="auto"/>
              <w:ind w:left="25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6</w:t>
            </w:r>
            <w:r>
              <w:rPr>
                <w:rFonts w:ascii="Times New Roman" w:hAnsi="Times New Roman" w:eastAsia="Times New Roman" w:cs="Times New Roman"/>
                <w:spacing w:val="3"/>
                <w:sz w:val="17"/>
                <w:szCs w:val="17"/>
              </w:rPr>
              <w:t>.5</w:t>
            </w:r>
          </w:p>
        </w:tc>
        <w:tc>
          <w:tcPr>
            <w:tcW w:w="4495" w:type="dxa"/>
            <w:vAlign w:val="top"/>
          </w:tcPr>
          <w:p>
            <w:pPr>
              <w:spacing w:before="69" w:line="229" w:lineRule="auto"/>
              <w:ind w:left="1892"/>
              <w:rPr>
                <w:rFonts w:ascii="宋体" w:hAnsi="宋体" w:eastAsia="宋体" w:cs="宋体"/>
                <w:sz w:val="17"/>
                <w:szCs w:val="17"/>
              </w:rPr>
            </w:pPr>
            <w:r>
              <w:rPr>
                <w:rFonts w:ascii="宋体" w:hAnsi="宋体" w:eastAsia="宋体" w:cs="宋体"/>
                <w:spacing w:val="8"/>
                <w:sz w:val="17"/>
                <w:szCs w:val="17"/>
              </w:rPr>
              <w:t>人行道</w:t>
            </w:r>
            <w:r>
              <w:rPr>
                <w:rFonts w:ascii="宋体" w:hAnsi="宋体" w:eastAsia="宋体" w:cs="宋体"/>
                <w:spacing w:val="7"/>
                <w:sz w:val="17"/>
                <w:szCs w:val="17"/>
              </w:rPr>
              <w:t>板</w:t>
            </w:r>
          </w:p>
        </w:tc>
        <w:tc>
          <w:tcPr>
            <w:tcW w:w="662" w:type="dxa"/>
            <w:vAlign w:val="top"/>
          </w:tcPr>
          <w:p>
            <w:pPr>
              <w:spacing w:before="87"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²</w:t>
            </w:r>
          </w:p>
        </w:tc>
        <w:tc>
          <w:tcPr>
            <w:tcW w:w="1300" w:type="dxa"/>
            <w:vAlign w:val="top"/>
          </w:tcPr>
          <w:p>
            <w:pPr>
              <w:spacing w:before="100" w:line="197" w:lineRule="auto"/>
              <w:ind w:left="494"/>
              <w:rPr>
                <w:rFonts w:ascii="Times New Roman" w:hAnsi="Times New Roman" w:eastAsia="Times New Roman" w:cs="Times New Roman"/>
                <w:sz w:val="17"/>
                <w:szCs w:val="17"/>
              </w:rPr>
            </w:pPr>
            <w:r>
              <w:rPr>
                <w:rFonts w:ascii="Times New Roman" w:hAnsi="Times New Roman" w:eastAsia="Times New Roman" w:cs="Times New Roman"/>
                <w:sz w:val="17"/>
                <w:szCs w:val="17"/>
              </w:rPr>
              <w:t>1610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1" w:line="197" w:lineRule="auto"/>
              <w:ind w:left="25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6.6</w:t>
            </w:r>
          </w:p>
        </w:tc>
        <w:tc>
          <w:tcPr>
            <w:tcW w:w="4495" w:type="dxa"/>
            <w:vAlign w:val="top"/>
          </w:tcPr>
          <w:p>
            <w:pPr>
              <w:spacing w:before="70" w:line="231" w:lineRule="auto"/>
              <w:ind w:left="1800"/>
              <w:rPr>
                <w:rFonts w:ascii="宋体" w:hAnsi="宋体" w:eastAsia="宋体" w:cs="宋体"/>
                <w:sz w:val="17"/>
                <w:szCs w:val="17"/>
              </w:rPr>
            </w:pPr>
            <w:r>
              <w:rPr>
                <w:rFonts w:ascii="宋体" w:hAnsi="宋体" w:eastAsia="宋体" w:cs="宋体"/>
                <w:spacing w:val="9"/>
                <w:sz w:val="17"/>
                <w:szCs w:val="17"/>
              </w:rPr>
              <w:t>人</w:t>
            </w:r>
            <w:r>
              <w:rPr>
                <w:rFonts w:ascii="宋体" w:hAnsi="宋体" w:eastAsia="宋体" w:cs="宋体"/>
                <w:spacing w:val="8"/>
                <w:sz w:val="17"/>
                <w:szCs w:val="17"/>
              </w:rPr>
              <w:t>行道铺装</w:t>
            </w:r>
          </w:p>
        </w:tc>
        <w:tc>
          <w:tcPr>
            <w:tcW w:w="662" w:type="dxa"/>
            <w:vAlign w:val="top"/>
          </w:tcPr>
          <w:p>
            <w:pPr>
              <w:spacing w:before="88"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²</w:t>
            </w:r>
          </w:p>
        </w:tc>
        <w:tc>
          <w:tcPr>
            <w:tcW w:w="1300" w:type="dxa"/>
            <w:vAlign w:val="top"/>
          </w:tcPr>
          <w:p>
            <w:pPr>
              <w:spacing w:before="101" w:line="197" w:lineRule="auto"/>
              <w:ind w:left="494"/>
              <w:rPr>
                <w:rFonts w:ascii="Times New Roman" w:hAnsi="Times New Roman" w:eastAsia="Times New Roman" w:cs="Times New Roman"/>
                <w:sz w:val="17"/>
                <w:szCs w:val="17"/>
              </w:rPr>
            </w:pPr>
            <w:r>
              <w:rPr>
                <w:rFonts w:ascii="Times New Roman" w:hAnsi="Times New Roman" w:eastAsia="Times New Roman" w:cs="Times New Roman"/>
                <w:sz w:val="17"/>
                <w:szCs w:val="17"/>
              </w:rPr>
              <w:t>1610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1" w:line="197" w:lineRule="auto"/>
              <w:ind w:left="25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6</w:t>
            </w:r>
            <w:r>
              <w:rPr>
                <w:rFonts w:ascii="Times New Roman" w:hAnsi="Times New Roman" w:eastAsia="Times New Roman" w:cs="Times New Roman"/>
                <w:spacing w:val="2"/>
                <w:sz w:val="17"/>
                <w:szCs w:val="17"/>
              </w:rPr>
              <w:t>.7</w:t>
            </w:r>
          </w:p>
        </w:tc>
        <w:tc>
          <w:tcPr>
            <w:tcW w:w="4495" w:type="dxa"/>
            <w:vAlign w:val="top"/>
          </w:tcPr>
          <w:p>
            <w:pPr>
              <w:spacing w:before="70" w:line="231" w:lineRule="auto"/>
              <w:ind w:left="1800"/>
              <w:rPr>
                <w:rFonts w:ascii="宋体" w:hAnsi="宋体" w:eastAsia="宋体" w:cs="宋体"/>
                <w:sz w:val="17"/>
                <w:szCs w:val="17"/>
              </w:rPr>
            </w:pPr>
            <w:r>
              <w:rPr>
                <w:rFonts w:ascii="宋体" w:hAnsi="宋体" w:eastAsia="宋体" w:cs="宋体"/>
                <w:spacing w:val="9"/>
                <w:sz w:val="17"/>
                <w:szCs w:val="17"/>
              </w:rPr>
              <w:t>人</w:t>
            </w:r>
            <w:r>
              <w:rPr>
                <w:rFonts w:ascii="宋体" w:hAnsi="宋体" w:eastAsia="宋体" w:cs="宋体"/>
                <w:spacing w:val="8"/>
                <w:sz w:val="17"/>
                <w:szCs w:val="17"/>
              </w:rPr>
              <w:t>行道护栏</w:t>
            </w:r>
          </w:p>
        </w:tc>
        <w:tc>
          <w:tcPr>
            <w:tcW w:w="662" w:type="dxa"/>
            <w:vAlign w:val="top"/>
          </w:tcPr>
          <w:p>
            <w:pPr>
              <w:spacing w:before="37" w:line="242" w:lineRule="exact"/>
              <w:ind w:left="308"/>
              <w:rPr>
                <w:rFonts w:ascii="Times New Roman" w:hAnsi="Times New Roman" w:eastAsia="Times New Roman" w:cs="Times New Roman"/>
                <w:sz w:val="17"/>
                <w:szCs w:val="17"/>
              </w:rPr>
            </w:pPr>
            <w:r>
              <w:rPr>
                <w:rFonts w:ascii="Times New Roman" w:hAnsi="Times New Roman" w:eastAsia="Times New Roman" w:cs="Times New Roman"/>
                <w:spacing w:val="1"/>
                <w:position w:val="2"/>
                <w:sz w:val="17"/>
                <w:szCs w:val="17"/>
              </w:rPr>
              <w:t>t</w:t>
            </w:r>
          </w:p>
        </w:tc>
        <w:tc>
          <w:tcPr>
            <w:tcW w:w="1300" w:type="dxa"/>
            <w:vAlign w:val="top"/>
          </w:tcPr>
          <w:p>
            <w:pPr>
              <w:spacing w:before="101" w:line="200" w:lineRule="auto"/>
              <w:ind w:left="451"/>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2.62</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1" w:line="197" w:lineRule="auto"/>
              <w:ind w:left="25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6.8</w:t>
            </w:r>
          </w:p>
        </w:tc>
        <w:tc>
          <w:tcPr>
            <w:tcW w:w="4495" w:type="dxa"/>
            <w:vAlign w:val="top"/>
          </w:tcPr>
          <w:p>
            <w:pPr>
              <w:spacing w:before="70" w:line="230" w:lineRule="auto"/>
              <w:ind w:left="1890"/>
              <w:rPr>
                <w:rFonts w:ascii="宋体" w:hAnsi="宋体" w:eastAsia="宋体" w:cs="宋体"/>
                <w:sz w:val="17"/>
                <w:szCs w:val="17"/>
              </w:rPr>
            </w:pPr>
            <w:r>
              <w:rPr>
                <w:rFonts w:ascii="宋体" w:hAnsi="宋体" w:eastAsia="宋体" w:cs="宋体"/>
                <w:spacing w:val="8"/>
                <w:sz w:val="17"/>
                <w:szCs w:val="17"/>
              </w:rPr>
              <w:t>桥面排水</w:t>
            </w:r>
          </w:p>
        </w:tc>
        <w:tc>
          <w:tcPr>
            <w:tcW w:w="662" w:type="dxa"/>
            <w:vAlign w:val="top"/>
          </w:tcPr>
          <w:p>
            <w:pPr>
              <w:spacing w:before="70" w:line="231" w:lineRule="auto"/>
              <w:ind w:left="252"/>
              <w:rPr>
                <w:rFonts w:ascii="宋体" w:hAnsi="宋体" w:eastAsia="宋体" w:cs="宋体"/>
                <w:sz w:val="17"/>
                <w:szCs w:val="17"/>
              </w:rPr>
            </w:pPr>
            <w:r>
              <w:rPr>
                <w:rFonts w:ascii="宋体" w:hAnsi="宋体" w:eastAsia="宋体" w:cs="宋体"/>
                <w:sz w:val="17"/>
                <w:szCs w:val="17"/>
              </w:rPr>
              <w:t>项</w:t>
            </w:r>
          </w:p>
        </w:tc>
        <w:tc>
          <w:tcPr>
            <w:tcW w:w="1300" w:type="dxa"/>
            <w:vAlign w:val="top"/>
          </w:tcPr>
          <w:p>
            <w:pPr>
              <w:spacing w:before="101" w:line="197" w:lineRule="auto"/>
              <w:ind w:left="628"/>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3" w:line="194" w:lineRule="auto"/>
              <w:ind w:left="324"/>
              <w:rPr>
                <w:rFonts w:ascii="Times New Roman" w:hAnsi="Times New Roman" w:eastAsia="Times New Roman" w:cs="Times New Roman"/>
                <w:sz w:val="17"/>
                <w:szCs w:val="17"/>
              </w:rPr>
            </w:pPr>
            <w:r>
              <w:rPr>
                <w:rFonts w:ascii="Times New Roman" w:hAnsi="Times New Roman" w:eastAsia="Times New Roman" w:cs="Times New Roman"/>
                <w:sz w:val="17"/>
                <w:szCs w:val="17"/>
              </w:rPr>
              <w:t>7</w:t>
            </w:r>
          </w:p>
        </w:tc>
        <w:tc>
          <w:tcPr>
            <w:tcW w:w="4495" w:type="dxa"/>
            <w:vAlign w:val="top"/>
          </w:tcPr>
          <w:p>
            <w:pPr>
              <w:spacing w:before="70" w:line="230" w:lineRule="auto"/>
              <w:ind w:left="1889"/>
              <w:rPr>
                <w:rFonts w:ascii="宋体" w:hAnsi="宋体" w:eastAsia="宋体" w:cs="宋体"/>
                <w:sz w:val="17"/>
                <w:szCs w:val="17"/>
              </w:rPr>
            </w:pPr>
            <w:r>
              <w:rPr>
                <w:rFonts w:ascii="宋体" w:hAnsi="宋体" w:eastAsia="宋体" w:cs="宋体"/>
                <w:spacing w:val="9"/>
                <w:sz w:val="17"/>
                <w:szCs w:val="17"/>
              </w:rPr>
              <w:t>施</w:t>
            </w:r>
            <w:r>
              <w:rPr>
                <w:rFonts w:ascii="宋体" w:hAnsi="宋体" w:eastAsia="宋体" w:cs="宋体"/>
                <w:spacing w:val="8"/>
                <w:sz w:val="17"/>
                <w:szCs w:val="17"/>
              </w:rPr>
              <w:t>工栈桥</w:t>
            </w:r>
          </w:p>
        </w:tc>
        <w:tc>
          <w:tcPr>
            <w:tcW w:w="662" w:type="dxa"/>
            <w:vAlign w:val="top"/>
          </w:tcPr>
          <w:p>
            <w:pPr>
              <w:spacing w:before="140" w:line="121" w:lineRule="exact"/>
              <w:ind w:left="26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m</w:t>
            </w:r>
          </w:p>
        </w:tc>
        <w:tc>
          <w:tcPr>
            <w:tcW w:w="1300" w:type="dxa"/>
            <w:vAlign w:val="top"/>
          </w:tcPr>
          <w:p>
            <w:pPr>
              <w:spacing w:before="101" w:line="197" w:lineRule="auto"/>
              <w:ind w:left="52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6</w:t>
            </w:r>
            <w:r>
              <w:rPr>
                <w:rFonts w:ascii="Times New Roman" w:hAnsi="Times New Roman" w:eastAsia="Times New Roman" w:cs="Times New Roman"/>
                <w:spacing w:val="2"/>
                <w:sz w:val="17"/>
                <w:szCs w:val="17"/>
              </w:rPr>
              <w:t>20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1" w:line="197" w:lineRule="auto"/>
              <w:ind w:left="329"/>
              <w:rPr>
                <w:rFonts w:ascii="Times New Roman" w:hAnsi="Times New Roman" w:eastAsia="Times New Roman" w:cs="Times New Roman"/>
                <w:sz w:val="17"/>
                <w:szCs w:val="17"/>
              </w:rPr>
            </w:pPr>
            <w:r>
              <w:rPr>
                <w:rFonts w:ascii="Times New Roman" w:hAnsi="Times New Roman" w:eastAsia="Times New Roman" w:cs="Times New Roman"/>
                <w:sz w:val="17"/>
                <w:szCs w:val="17"/>
              </w:rPr>
              <w:t>8</w:t>
            </w:r>
          </w:p>
        </w:tc>
        <w:tc>
          <w:tcPr>
            <w:tcW w:w="4495" w:type="dxa"/>
            <w:vAlign w:val="top"/>
          </w:tcPr>
          <w:p>
            <w:pPr>
              <w:spacing w:before="70" w:line="230" w:lineRule="auto"/>
              <w:ind w:left="1989"/>
              <w:rPr>
                <w:rFonts w:ascii="宋体" w:hAnsi="宋体" w:eastAsia="宋体" w:cs="宋体"/>
                <w:sz w:val="17"/>
                <w:szCs w:val="17"/>
              </w:rPr>
            </w:pPr>
            <w:r>
              <w:rPr>
                <w:rFonts w:ascii="宋体" w:hAnsi="宋体" w:eastAsia="宋体" w:cs="宋体"/>
                <w:spacing w:val="5"/>
                <w:sz w:val="17"/>
                <w:szCs w:val="17"/>
              </w:rPr>
              <w:t>临</w:t>
            </w:r>
            <w:r>
              <w:rPr>
                <w:rFonts w:ascii="宋体" w:hAnsi="宋体" w:eastAsia="宋体" w:cs="宋体"/>
                <w:spacing w:val="4"/>
                <w:sz w:val="17"/>
                <w:szCs w:val="17"/>
              </w:rPr>
              <w:t>时墩</w:t>
            </w:r>
          </w:p>
        </w:tc>
        <w:tc>
          <w:tcPr>
            <w:tcW w:w="662" w:type="dxa"/>
            <w:vAlign w:val="top"/>
          </w:tcPr>
          <w:p>
            <w:pPr>
              <w:spacing w:before="70" w:line="230" w:lineRule="auto"/>
              <w:ind w:left="250"/>
              <w:rPr>
                <w:rFonts w:ascii="宋体" w:hAnsi="宋体" w:eastAsia="宋体" w:cs="宋体"/>
                <w:sz w:val="17"/>
                <w:szCs w:val="17"/>
              </w:rPr>
            </w:pPr>
            <w:r>
              <w:rPr>
                <w:rFonts w:ascii="宋体" w:hAnsi="宋体" w:eastAsia="宋体" w:cs="宋体"/>
                <w:spacing w:val="1"/>
                <w:sz w:val="17"/>
                <w:szCs w:val="17"/>
              </w:rPr>
              <w:t>座</w:t>
            </w:r>
          </w:p>
        </w:tc>
        <w:tc>
          <w:tcPr>
            <w:tcW w:w="1300" w:type="dxa"/>
            <w:vAlign w:val="top"/>
          </w:tcPr>
          <w:p>
            <w:pPr>
              <w:spacing w:before="101" w:line="197" w:lineRule="auto"/>
              <w:ind w:left="628"/>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2" w:line="197" w:lineRule="auto"/>
              <w:ind w:left="325"/>
              <w:rPr>
                <w:rFonts w:ascii="Times New Roman" w:hAnsi="Times New Roman" w:eastAsia="Times New Roman" w:cs="Times New Roman"/>
                <w:sz w:val="17"/>
                <w:szCs w:val="17"/>
              </w:rPr>
            </w:pPr>
            <w:r>
              <w:rPr>
                <w:rFonts w:ascii="Times New Roman" w:hAnsi="Times New Roman" w:eastAsia="Times New Roman" w:cs="Times New Roman"/>
                <w:sz w:val="17"/>
                <w:szCs w:val="17"/>
              </w:rPr>
              <w:t>9</w:t>
            </w:r>
          </w:p>
        </w:tc>
        <w:tc>
          <w:tcPr>
            <w:tcW w:w="4495" w:type="dxa"/>
            <w:vAlign w:val="top"/>
          </w:tcPr>
          <w:p>
            <w:pPr>
              <w:spacing w:before="71" w:line="230" w:lineRule="auto"/>
              <w:ind w:left="1349"/>
              <w:rPr>
                <w:rFonts w:ascii="宋体" w:hAnsi="宋体" w:eastAsia="宋体" w:cs="宋体"/>
                <w:sz w:val="17"/>
                <w:szCs w:val="17"/>
              </w:rPr>
            </w:pPr>
            <w:r>
              <w:rPr>
                <w:rFonts w:ascii="宋体" w:hAnsi="宋体" w:eastAsia="宋体" w:cs="宋体"/>
                <w:spacing w:val="14"/>
                <w:sz w:val="17"/>
                <w:szCs w:val="17"/>
              </w:rPr>
              <w:t>钢</w:t>
            </w:r>
            <w:r>
              <w:rPr>
                <w:rFonts w:ascii="宋体" w:hAnsi="宋体" w:eastAsia="宋体" w:cs="宋体"/>
                <w:spacing w:val="7"/>
                <w:sz w:val="17"/>
                <w:szCs w:val="17"/>
              </w:rPr>
              <w:t>梁检查车 (含轨道)</w:t>
            </w:r>
          </w:p>
        </w:tc>
        <w:tc>
          <w:tcPr>
            <w:tcW w:w="662" w:type="dxa"/>
            <w:vAlign w:val="top"/>
          </w:tcPr>
          <w:p>
            <w:pPr>
              <w:spacing w:before="71" w:line="230" w:lineRule="auto"/>
              <w:ind w:left="263"/>
              <w:rPr>
                <w:rFonts w:ascii="宋体" w:hAnsi="宋体" w:eastAsia="宋体" w:cs="宋体"/>
                <w:sz w:val="17"/>
                <w:szCs w:val="17"/>
              </w:rPr>
            </w:pPr>
            <w:r>
              <w:rPr>
                <w:rFonts w:ascii="宋体" w:hAnsi="宋体" w:eastAsia="宋体" w:cs="宋体"/>
                <w:sz w:val="17"/>
                <w:szCs w:val="17"/>
              </w:rPr>
              <w:t>台</w:t>
            </w:r>
          </w:p>
        </w:tc>
        <w:tc>
          <w:tcPr>
            <w:tcW w:w="1300" w:type="dxa"/>
            <w:vAlign w:val="top"/>
          </w:tcPr>
          <w:p>
            <w:pPr>
              <w:spacing w:before="102" w:line="197" w:lineRule="auto"/>
              <w:ind w:left="628"/>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2" w:line="197" w:lineRule="auto"/>
              <w:ind w:left="293"/>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10</w:t>
            </w:r>
          </w:p>
        </w:tc>
        <w:tc>
          <w:tcPr>
            <w:tcW w:w="4495" w:type="dxa"/>
            <w:vAlign w:val="top"/>
          </w:tcPr>
          <w:p>
            <w:pPr>
              <w:spacing w:before="71" w:line="229" w:lineRule="auto"/>
              <w:ind w:left="1621"/>
              <w:rPr>
                <w:rFonts w:ascii="宋体" w:hAnsi="宋体" w:eastAsia="宋体" w:cs="宋体"/>
                <w:sz w:val="17"/>
                <w:szCs w:val="17"/>
              </w:rPr>
            </w:pPr>
            <w:r>
              <w:rPr>
                <w:rFonts w:ascii="宋体" w:hAnsi="宋体" w:eastAsia="宋体" w:cs="宋体"/>
                <w:spacing w:val="12"/>
                <w:sz w:val="17"/>
                <w:szCs w:val="17"/>
              </w:rPr>
              <w:t>大</w:t>
            </w:r>
            <w:r>
              <w:rPr>
                <w:rFonts w:ascii="宋体" w:hAnsi="宋体" w:eastAsia="宋体" w:cs="宋体"/>
                <w:spacing w:val="8"/>
                <w:sz w:val="17"/>
                <w:szCs w:val="17"/>
              </w:rPr>
              <w:t>型机械进出场</w:t>
            </w:r>
          </w:p>
        </w:tc>
        <w:tc>
          <w:tcPr>
            <w:tcW w:w="662" w:type="dxa"/>
            <w:vAlign w:val="top"/>
          </w:tcPr>
          <w:p>
            <w:pPr>
              <w:spacing w:before="71" w:line="230" w:lineRule="auto"/>
              <w:ind w:left="252"/>
              <w:rPr>
                <w:rFonts w:ascii="宋体" w:hAnsi="宋体" w:eastAsia="宋体" w:cs="宋体"/>
                <w:sz w:val="17"/>
                <w:szCs w:val="17"/>
              </w:rPr>
            </w:pPr>
            <w:r>
              <w:rPr>
                <w:rFonts w:ascii="宋体" w:hAnsi="宋体" w:eastAsia="宋体" w:cs="宋体"/>
                <w:sz w:val="17"/>
                <w:szCs w:val="17"/>
              </w:rPr>
              <w:t>项</w:t>
            </w:r>
          </w:p>
        </w:tc>
        <w:tc>
          <w:tcPr>
            <w:tcW w:w="1300" w:type="dxa"/>
            <w:vAlign w:val="top"/>
          </w:tcPr>
          <w:p>
            <w:pPr>
              <w:spacing w:before="102" w:line="197" w:lineRule="auto"/>
              <w:ind w:left="628"/>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71" w:line="230" w:lineRule="auto"/>
              <w:ind w:left="279"/>
              <w:rPr>
                <w:rFonts w:ascii="宋体" w:hAnsi="宋体" w:eastAsia="宋体" w:cs="宋体"/>
                <w:sz w:val="17"/>
                <w:szCs w:val="17"/>
              </w:rPr>
            </w:pPr>
            <w:r>
              <w:rPr>
                <w:rFonts w:ascii="宋体" w:hAnsi="宋体" w:eastAsia="宋体" w:cs="宋体"/>
                <w:spacing w:val="2"/>
                <w:sz w:val="17"/>
                <w:szCs w:val="17"/>
                <w14:textOutline w14:w="3268" w14:cap="sq" w14:cmpd="sng">
                  <w14:solidFill>
                    <w14:srgbClr w14:val="000000"/>
                  </w14:solidFill>
                  <w14:prstDash w14:val="solid"/>
                  <w14:bevel/>
                </w14:textOutline>
              </w:rPr>
              <w:t>三</w:t>
            </w:r>
          </w:p>
        </w:tc>
        <w:tc>
          <w:tcPr>
            <w:tcW w:w="4495" w:type="dxa"/>
            <w:vAlign w:val="top"/>
          </w:tcPr>
          <w:p>
            <w:pPr>
              <w:spacing w:before="71" w:line="230" w:lineRule="auto"/>
              <w:ind w:left="1890"/>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排水工</w:t>
            </w:r>
            <w:r>
              <w:rPr>
                <w:rFonts w:ascii="宋体" w:hAnsi="宋体" w:eastAsia="宋体" w:cs="宋体"/>
                <w:spacing w:val="8"/>
                <w:sz w:val="17"/>
                <w:szCs w:val="17"/>
                <w14:textOutline w14:w="3268" w14:cap="sq" w14:cmpd="sng">
                  <w14:solidFill>
                    <w14:srgbClr w14:val="000000"/>
                  </w14:solidFill>
                  <w14:prstDash w14:val="solid"/>
                  <w14:bevel/>
                </w14:textOutline>
              </w:rPr>
              <w:t>程</w:t>
            </w:r>
          </w:p>
        </w:tc>
        <w:tc>
          <w:tcPr>
            <w:tcW w:w="662" w:type="dxa"/>
            <w:vAlign w:val="top"/>
          </w:tcPr>
          <w:p>
            <w:pPr>
              <w:spacing w:before="71" w:line="230" w:lineRule="auto"/>
              <w:ind w:left="252"/>
              <w:rPr>
                <w:rFonts w:ascii="宋体" w:hAnsi="宋体" w:eastAsia="宋体" w:cs="宋体"/>
                <w:sz w:val="17"/>
                <w:szCs w:val="17"/>
              </w:rPr>
            </w:pPr>
            <w:r>
              <w:rPr>
                <w:rFonts w:ascii="宋体" w:hAnsi="宋体" w:eastAsia="宋体" w:cs="宋体"/>
                <w:sz w:val="17"/>
                <w:szCs w:val="17"/>
                <w14:textOutline w14:w="3268" w14:cap="sq" w14:cmpd="sng">
                  <w14:solidFill>
                    <w14:srgbClr w14:val="000000"/>
                  </w14:solidFill>
                  <w14:prstDash w14:val="solid"/>
                  <w14:bevel/>
                </w14:textOutline>
              </w:rPr>
              <w:t>项</w:t>
            </w:r>
          </w:p>
        </w:tc>
        <w:tc>
          <w:tcPr>
            <w:tcW w:w="1300" w:type="dxa"/>
            <w:vAlign w:val="top"/>
          </w:tcPr>
          <w:p>
            <w:pPr>
              <w:spacing w:before="102" w:line="197" w:lineRule="auto"/>
              <w:ind w:left="619"/>
              <w:rPr>
                <w:rFonts w:ascii="Times New Roman" w:hAnsi="Times New Roman" w:eastAsia="Times New Roman" w:cs="Times New Roman"/>
                <w:sz w:val="17"/>
                <w:szCs w:val="17"/>
              </w:rPr>
            </w:pPr>
            <w:r>
              <w:rPr>
                <w:rFonts w:ascii="Times New Roman" w:hAnsi="Times New Roman" w:eastAsia="Times New Roman" w:cs="Times New Roman"/>
                <w:b/>
                <w:bCs/>
                <w:sz w:val="17"/>
                <w:szCs w:val="17"/>
              </w:rPr>
              <w:t>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2" w:line="197" w:lineRule="auto"/>
              <w:ind w:left="339"/>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4495" w:type="dxa"/>
            <w:vAlign w:val="top"/>
          </w:tcPr>
          <w:p>
            <w:pPr>
              <w:spacing w:before="71" w:line="229" w:lineRule="auto"/>
              <w:ind w:left="1531"/>
              <w:rPr>
                <w:rFonts w:ascii="宋体" w:hAnsi="宋体" w:eastAsia="宋体" w:cs="宋体"/>
                <w:sz w:val="17"/>
                <w:szCs w:val="17"/>
              </w:rPr>
            </w:pPr>
            <w:r>
              <w:rPr>
                <w:rFonts w:ascii="宋体" w:hAnsi="宋体" w:eastAsia="宋体" w:cs="宋体"/>
                <w:spacing w:val="9"/>
                <w:sz w:val="17"/>
                <w:szCs w:val="17"/>
              </w:rPr>
              <w:t>土石方及砂石基础</w:t>
            </w:r>
          </w:p>
        </w:tc>
        <w:tc>
          <w:tcPr>
            <w:tcW w:w="662" w:type="dxa"/>
            <w:vAlign w:val="top"/>
          </w:tcPr>
          <w:p>
            <w:pPr>
              <w:spacing w:before="71" w:line="229" w:lineRule="auto"/>
              <w:ind w:left="252"/>
              <w:rPr>
                <w:rFonts w:ascii="宋体" w:hAnsi="宋体" w:eastAsia="宋体" w:cs="宋体"/>
                <w:sz w:val="17"/>
                <w:szCs w:val="17"/>
              </w:rPr>
            </w:pPr>
            <w:r>
              <w:rPr>
                <w:rFonts w:ascii="宋体" w:hAnsi="宋体" w:eastAsia="宋体" w:cs="宋体"/>
                <w:sz w:val="17"/>
                <w:szCs w:val="17"/>
              </w:rPr>
              <w:t>项</w:t>
            </w:r>
          </w:p>
        </w:tc>
        <w:tc>
          <w:tcPr>
            <w:tcW w:w="1300" w:type="dxa"/>
            <w:vAlign w:val="top"/>
          </w:tcPr>
          <w:p>
            <w:pPr>
              <w:spacing w:before="102" w:line="197" w:lineRule="auto"/>
              <w:ind w:left="628"/>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3" w:line="200" w:lineRule="auto"/>
              <w:ind w:left="26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1.1</w:t>
            </w:r>
          </w:p>
        </w:tc>
        <w:tc>
          <w:tcPr>
            <w:tcW w:w="4495" w:type="dxa"/>
            <w:vAlign w:val="top"/>
          </w:tcPr>
          <w:p>
            <w:pPr>
              <w:spacing w:before="72" w:line="229" w:lineRule="auto"/>
              <w:ind w:left="1798"/>
              <w:rPr>
                <w:rFonts w:ascii="宋体" w:hAnsi="宋体" w:eastAsia="宋体" w:cs="宋体"/>
                <w:sz w:val="17"/>
                <w:szCs w:val="17"/>
              </w:rPr>
            </w:pPr>
            <w:r>
              <w:rPr>
                <w:rFonts w:ascii="宋体" w:hAnsi="宋体" w:eastAsia="宋体" w:cs="宋体"/>
                <w:spacing w:val="11"/>
                <w:sz w:val="17"/>
                <w:szCs w:val="17"/>
              </w:rPr>
              <w:t>挖</w:t>
            </w:r>
            <w:r>
              <w:rPr>
                <w:rFonts w:ascii="宋体" w:hAnsi="宋体" w:eastAsia="宋体" w:cs="宋体"/>
                <w:spacing w:val="8"/>
                <w:sz w:val="17"/>
                <w:szCs w:val="17"/>
              </w:rPr>
              <w:t>沟槽土方</w:t>
            </w:r>
          </w:p>
        </w:tc>
        <w:tc>
          <w:tcPr>
            <w:tcW w:w="662" w:type="dxa"/>
            <w:vAlign w:val="top"/>
          </w:tcPr>
          <w:p>
            <w:pPr>
              <w:spacing w:before="90"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03" w:line="197" w:lineRule="auto"/>
              <w:ind w:left="36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3</w:t>
            </w:r>
            <w:r>
              <w:rPr>
                <w:rFonts w:ascii="Times New Roman" w:hAnsi="Times New Roman" w:eastAsia="Times New Roman" w:cs="Times New Roman"/>
                <w:spacing w:val="3"/>
                <w:sz w:val="17"/>
                <w:szCs w:val="17"/>
              </w:rPr>
              <w:t>757.60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3" w:line="200" w:lineRule="auto"/>
              <w:ind w:left="26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w:t>
            </w:r>
          </w:p>
        </w:tc>
        <w:tc>
          <w:tcPr>
            <w:tcW w:w="4495" w:type="dxa"/>
            <w:vAlign w:val="top"/>
          </w:tcPr>
          <w:p>
            <w:pPr>
              <w:spacing w:before="72" w:line="229" w:lineRule="auto"/>
              <w:ind w:left="1799"/>
              <w:rPr>
                <w:rFonts w:ascii="宋体" w:hAnsi="宋体" w:eastAsia="宋体" w:cs="宋体"/>
                <w:sz w:val="17"/>
                <w:szCs w:val="17"/>
              </w:rPr>
            </w:pPr>
            <w:r>
              <w:rPr>
                <w:rFonts w:ascii="宋体" w:hAnsi="宋体" w:eastAsia="宋体" w:cs="宋体"/>
                <w:spacing w:val="10"/>
                <w:sz w:val="17"/>
                <w:szCs w:val="17"/>
              </w:rPr>
              <w:t>沟</w:t>
            </w:r>
            <w:r>
              <w:rPr>
                <w:rFonts w:ascii="宋体" w:hAnsi="宋体" w:eastAsia="宋体" w:cs="宋体"/>
                <w:spacing w:val="8"/>
                <w:sz w:val="17"/>
                <w:szCs w:val="17"/>
              </w:rPr>
              <w:t>槽回填方</w:t>
            </w:r>
          </w:p>
        </w:tc>
        <w:tc>
          <w:tcPr>
            <w:tcW w:w="662" w:type="dxa"/>
            <w:vAlign w:val="top"/>
          </w:tcPr>
          <w:p>
            <w:pPr>
              <w:spacing w:before="90"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03" w:line="197" w:lineRule="auto"/>
              <w:ind w:left="38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192</w:t>
            </w:r>
            <w:r>
              <w:rPr>
                <w:rFonts w:ascii="Times New Roman" w:hAnsi="Times New Roman" w:eastAsia="Times New Roman" w:cs="Times New Roman"/>
                <w:spacing w:val="1"/>
                <w:sz w:val="17"/>
                <w:szCs w:val="17"/>
              </w:rPr>
              <w:t>1.60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3" w:line="200" w:lineRule="auto"/>
              <w:ind w:left="26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3</w:t>
            </w:r>
          </w:p>
        </w:tc>
        <w:tc>
          <w:tcPr>
            <w:tcW w:w="4495" w:type="dxa"/>
            <w:vAlign w:val="top"/>
          </w:tcPr>
          <w:p>
            <w:pPr>
              <w:spacing w:before="72" w:line="228" w:lineRule="auto"/>
              <w:ind w:left="1889"/>
              <w:rPr>
                <w:rFonts w:ascii="宋体" w:hAnsi="宋体" w:eastAsia="宋体" w:cs="宋体"/>
                <w:sz w:val="17"/>
                <w:szCs w:val="17"/>
              </w:rPr>
            </w:pPr>
            <w:r>
              <w:rPr>
                <w:rFonts w:ascii="宋体" w:hAnsi="宋体" w:eastAsia="宋体" w:cs="宋体"/>
                <w:spacing w:val="9"/>
                <w:sz w:val="17"/>
                <w:szCs w:val="17"/>
              </w:rPr>
              <w:t>砂</w:t>
            </w:r>
            <w:r>
              <w:rPr>
                <w:rFonts w:ascii="宋体" w:hAnsi="宋体" w:eastAsia="宋体" w:cs="宋体"/>
                <w:spacing w:val="8"/>
                <w:sz w:val="17"/>
                <w:szCs w:val="17"/>
              </w:rPr>
              <w:t>石基础</w:t>
            </w:r>
          </w:p>
        </w:tc>
        <w:tc>
          <w:tcPr>
            <w:tcW w:w="662" w:type="dxa"/>
            <w:vAlign w:val="top"/>
          </w:tcPr>
          <w:p>
            <w:pPr>
              <w:spacing w:before="90"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03" w:line="197" w:lineRule="auto"/>
              <w:ind w:left="494"/>
              <w:rPr>
                <w:rFonts w:ascii="Times New Roman" w:hAnsi="Times New Roman" w:eastAsia="Times New Roman" w:cs="Times New Roman"/>
                <w:sz w:val="17"/>
                <w:szCs w:val="17"/>
              </w:rPr>
            </w:pPr>
            <w:r>
              <w:rPr>
                <w:rFonts w:ascii="Times New Roman" w:hAnsi="Times New Roman" w:eastAsia="Times New Roman" w:cs="Times New Roman"/>
                <w:sz w:val="17"/>
                <w:szCs w:val="17"/>
              </w:rPr>
              <w:t>1640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197" w:lineRule="auto"/>
              <w:ind w:left="321"/>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4495" w:type="dxa"/>
            <w:vAlign w:val="top"/>
          </w:tcPr>
          <w:p>
            <w:pPr>
              <w:spacing w:before="73" w:line="228" w:lineRule="auto"/>
              <w:ind w:left="1800"/>
              <w:rPr>
                <w:rFonts w:ascii="宋体" w:hAnsi="宋体" w:eastAsia="宋体" w:cs="宋体"/>
                <w:sz w:val="17"/>
                <w:szCs w:val="17"/>
              </w:rPr>
            </w:pPr>
            <w:r>
              <w:rPr>
                <w:rFonts w:ascii="宋体" w:hAnsi="宋体" w:eastAsia="宋体" w:cs="宋体"/>
                <w:spacing w:val="10"/>
                <w:sz w:val="17"/>
                <w:szCs w:val="17"/>
              </w:rPr>
              <w:t>给</w:t>
            </w:r>
            <w:r>
              <w:rPr>
                <w:rFonts w:ascii="宋体" w:hAnsi="宋体" w:eastAsia="宋体" w:cs="宋体"/>
                <w:spacing w:val="8"/>
                <w:sz w:val="17"/>
                <w:szCs w:val="17"/>
              </w:rPr>
              <w:t>排水管涵</w:t>
            </w:r>
          </w:p>
        </w:tc>
        <w:tc>
          <w:tcPr>
            <w:tcW w:w="662" w:type="dxa"/>
            <w:vAlign w:val="top"/>
          </w:tcPr>
          <w:p>
            <w:pPr>
              <w:spacing w:before="73" w:line="228" w:lineRule="auto"/>
              <w:ind w:left="252"/>
              <w:rPr>
                <w:rFonts w:ascii="宋体" w:hAnsi="宋体" w:eastAsia="宋体" w:cs="宋体"/>
                <w:sz w:val="17"/>
                <w:szCs w:val="17"/>
              </w:rPr>
            </w:pPr>
            <w:r>
              <w:rPr>
                <w:rFonts w:ascii="宋体" w:hAnsi="宋体" w:eastAsia="宋体" w:cs="宋体"/>
                <w:sz w:val="17"/>
                <w:szCs w:val="17"/>
              </w:rPr>
              <w:t>项</w:t>
            </w:r>
          </w:p>
        </w:tc>
        <w:tc>
          <w:tcPr>
            <w:tcW w:w="1300" w:type="dxa"/>
            <w:vAlign w:val="top"/>
          </w:tcPr>
          <w:p>
            <w:pPr>
              <w:spacing w:before="104" w:line="197" w:lineRule="auto"/>
              <w:ind w:left="628"/>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200" w:lineRule="auto"/>
              <w:ind w:left="252"/>
              <w:rPr>
                <w:rFonts w:ascii="Times New Roman" w:hAnsi="Times New Roman" w:eastAsia="Times New Roman" w:cs="Times New Roman"/>
                <w:sz w:val="17"/>
                <w:szCs w:val="17"/>
              </w:rPr>
            </w:pPr>
            <w:r>
              <w:rPr>
                <w:rFonts w:ascii="Times New Roman" w:hAnsi="Times New Roman" w:eastAsia="Times New Roman" w:cs="Times New Roman"/>
                <w:spacing w:val="9"/>
                <w:sz w:val="17"/>
                <w:szCs w:val="17"/>
              </w:rPr>
              <w:t>2.</w:t>
            </w:r>
            <w:r>
              <w:rPr>
                <w:rFonts w:ascii="Times New Roman" w:hAnsi="Times New Roman" w:eastAsia="Times New Roman" w:cs="Times New Roman"/>
                <w:spacing w:val="8"/>
                <w:sz w:val="17"/>
                <w:szCs w:val="17"/>
              </w:rPr>
              <w:t>1</w:t>
            </w:r>
          </w:p>
        </w:tc>
        <w:tc>
          <w:tcPr>
            <w:tcW w:w="4495" w:type="dxa"/>
            <w:vAlign w:val="top"/>
          </w:tcPr>
          <w:p>
            <w:pPr>
              <w:spacing w:before="73" w:line="228" w:lineRule="auto"/>
              <w:ind w:left="2077"/>
              <w:rPr>
                <w:rFonts w:ascii="宋体" w:hAnsi="宋体" w:eastAsia="宋体" w:cs="宋体"/>
                <w:sz w:val="17"/>
                <w:szCs w:val="17"/>
              </w:rPr>
            </w:pPr>
            <w:r>
              <w:rPr>
                <w:rFonts w:ascii="宋体" w:hAnsi="宋体" w:eastAsia="宋体" w:cs="宋体"/>
                <w:spacing w:val="3"/>
                <w:sz w:val="17"/>
                <w:szCs w:val="17"/>
              </w:rPr>
              <w:t>雨</w:t>
            </w:r>
            <w:r>
              <w:rPr>
                <w:rFonts w:ascii="宋体" w:hAnsi="宋体" w:eastAsia="宋体" w:cs="宋体"/>
                <w:spacing w:val="2"/>
                <w:sz w:val="17"/>
                <w:szCs w:val="17"/>
              </w:rPr>
              <w:t>水</w:t>
            </w:r>
          </w:p>
        </w:tc>
        <w:tc>
          <w:tcPr>
            <w:tcW w:w="662" w:type="dxa"/>
            <w:vAlign w:val="top"/>
          </w:tcPr>
          <w:p>
            <w:pPr>
              <w:spacing w:before="73" w:line="228" w:lineRule="auto"/>
              <w:ind w:left="252"/>
              <w:rPr>
                <w:rFonts w:ascii="宋体" w:hAnsi="宋体" w:eastAsia="宋体" w:cs="宋体"/>
                <w:sz w:val="17"/>
                <w:szCs w:val="17"/>
              </w:rPr>
            </w:pPr>
            <w:r>
              <w:rPr>
                <w:rFonts w:ascii="宋体" w:hAnsi="宋体" w:eastAsia="宋体" w:cs="宋体"/>
                <w:sz w:val="17"/>
                <w:szCs w:val="17"/>
              </w:rPr>
              <w:t>项</w:t>
            </w:r>
          </w:p>
        </w:tc>
        <w:tc>
          <w:tcPr>
            <w:tcW w:w="1300" w:type="dxa"/>
            <w:vAlign w:val="top"/>
          </w:tcPr>
          <w:p>
            <w:pPr>
              <w:spacing w:before="104" w:line="197" w:lineRule="auto"/>
              <w:ind w:left="628"/>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200" w:lineRule="auto"/>
              <w:ind w:left="185"/>
              <w:rPr>
                <w:rFonts w:ascii="Times New Roman" w:hAnsi="Times New Roman" w:eastAsia="Times New Roman" w:cs="Times New Roman"/>
                <w:sz w:val="17"/>
                <w:szCs w:val="17"/>
              </w:rPr>
            </w:pPr>
            <w:r>
              <w:rPr>
                <w:rFonts w:ascii="Times New Roman" w:hAnsi="Times New Roman" w:eastAsia="Times New Roman" w:cs="Times New Roman"/>
                <w:spacing w:val="9"/>
                <w:sz w:val="17"/>
                <w:szCs w:val="17"/>
              </w:rPr>
              <w:t>2</w:t>
            </w:r>
            <w:r>
              <w:rPr>
                <w:rFonts w:ascii="Times New Roman" w:hAnsi="Times New Roman" w:eastAsia="Times New Roman" w:cs="Times New Roman"/>
                <w:spacing w:val="6"/>
                <w:sz w:val="17"/>
                <w:szCs w:val="17"/>
              </w:rPr>
              <w:t>.1.1</w:t>
            </w:r>
          </w:p>
        </w:tc>
        <w:tc>
          <w:tcPr>
            <w:tcW w:w="4495" w:type="dxa"/>
            <w:vAlign w:val="top"/>
          </w:tcPr>
          <w:p>
            <w:pPr>
              <w:spacing w:before="40" w:line="242" w:lineRule="exact"/>
              <w:ind w:left="785"/>
              <w:rPr>
                <w:rFonts w:ascii="宋体" w:hAnsi="宋体" w:eastAsia="宋体" w:cs="宋体"/>
                <w:sz w:val="17"/>
                <w:szCs w:val="17"/>
              </w:rPr>
            </w:pPr>
            <w:r>
              <w:rPr>
                <w:rFonts w:ascii="Times New Roman" w:hAnsi="Times New Roman" w:eastAsia="Times New Roman" w:cs="Times New Roman"/>
                <w:position w:val="1"/>
                <w:sz w:val="17"/>
                <w:szCs w:val="17"/>
              </w:rPr>
              <w:t>d</w:t>
            </w:r>
            <w:r>
              <w:rPr>
                <w:rFonts w:ascii="Times New Roman" w:hAnsi="Times New Roman" w:eastAsia="Times New Roman" w:cs="Times New Roman"/>
                <w:spacing w:val="12"/>
                <w:position w:val="1"/>
                <w:sz w:val="17"/>
                <w:szCs w:val="17"/>
              </w:rPr>
              <w:t>8</w:t>
            </w:r>
            <w:r>
              <w:rPr>
                <w:rFonts w:ascii="Times New Roman" w:hAnsi="Times New Roman" w:eastAsia="Times New Roman" w:cs="Times New Roman"/>
                <w:spacing w:val="11"/>
                <w:position w:val="1"/>
                <w:sz w:val="17"/>
                <w:szCs w:val="17"/>
              </w:rPr>
              <w:t>0</w:t>
            </w:r>
            <w:r>
              <w:rPr>
                <w:rFonts w:ascii="Times New Roman" w:hAnsi="Times New Roman" w:eastAsia="Times New Roman" w:cs="Times New Roman"/>
                <w:spacing w:val="6"/>
                <w:position w:val="1"/>
                <w:sz w:val="17"/>
                <w:szCs w:val="17"/>
              </w:rPr>
              <w:t xml:space="preserve">0 </w:t>
            </w:r>
            <w:r>
              <w:rPr>
                <w:rFonts w:ascii="宋体" w:hAnsi="宋体" w:eastAsia="宋体" w:cs="宋体"/>
                <w:spacing w:val="6"/>
                <w:position w:val="1"/>
                <w:sz w:val="17"/>
                <w:szCs w:val="17"/>
              </w:rPr>
              <w:t xml:space="preserve">聚丙烯缠绕结构壁 </w:t>
            </w:r>
            <w:r>
              <w:rPr>
                <w:rFonts w:ascii="Times New Roman" w:hAnsi="Times New Roman" w:eastAsia="Times New Roman" w:cs="Times New Roman"/>
                <w:position w:val="1"/>
                <w:sz w:val="17"/>
                <w:szCs w:val="17"/>
              </w:rPr>
              <w:t>SN</w:t>
            </w:r>
            <w:r>
              <w:rPr>
                <w:rFonts w:ascii="宋体" w:hAnsi="宋体" w:eastAsia="宋体" w:cs="宋体"/>
                <w:spacing w:val="6"/>
                <w:position w:val="1"/>
                <w:sz w:val="17"/>
                <w:szCs w:val="17"/>
              </w:rPr>
              <w:t>≥</w:t>
            </w:r>
            <w:r>
              <w:rPr>
                <w:rFonts w:ascii="Times New Roman" w:hAnsi="Times New Roman" w:eastAsia="Times New Roman" w:cs="Times New Roman"/>
                <w:spacing w:val="6"/>
                <w:position w:val="1"/>
                <w:sz w:val="17"/>
                <w:szCs w:val="17"/>
              </w:rPr>
              <w:t>8</w:t>
            </w:r>
            <w:r>
              <w:rPr>
                <w:rFonts w:ascii="Times New Roman" w:hAnsi="Times New Roman" w:eastAsia="Times New Roman" w:cs="Times New Roman"/>
                <w:position w:val="1"/>
                <w:sz w:val="17"/>
                <w:szCs w:val="17"/>
              </w:rPr>
              <w:t>KN</w:t>
            </w:r>
            <w:r>
              <w:rPr>
                <w:rFonts w:ascii="Times New Roman" w:hAnsi="Times New Roman" w:eastAsia="Times New Roman" w:cs="Times New Roman"/>
                <w:spacing w:val="6"/>
                <w:position w:val="1"/>
                <w:sz w:val="17"/>
                <w:szCs w:val="17"/>
              </w:rPr>
              <w:t>/</w:t>
            </w:r>
            <w:r>
              <w:rPr>
                <w:rFonts w:ascii="Times New Roman" w:hAnsi="Times New Roman" w:eastAsia="Times New Roman" w:cs="Times New Roman"/>
                <w:position w:val="1"/>
                <w:sz w:val="17"/>
                <w:szCs w:val="17"/>
              </w:rPr>
              <w:t>m</w:t>
            </w:r>
            <w:r>
              <w:rPr>
                <w:rFonts w:ascii="宋体" w:hAnsi="宋体" w:eastAsia="宋体" w:cs="宋体"/>
                <w:spacing w:val="6"/>
                <w:position w:val="1"/>
                <w:sz w:val="17"/>
                <w:szCs w:val="17"/>
              </w:rPr>
              <w:t>²</w:t>
            </w:r>
          </w:p>
        </w:tc>
        <w:tc>
          <w:tcPr>
            <w:tcW w:w="662" w:type="dxa"/>
            <w:vAlign w:val="top"/>
          </w:tcPr>
          <w:p>
            <w:pPr>
              <w:spacing w:before="143" w:line="121" w:lineRule="exact"/>
              <w:ind w:left="26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m</w:t>
            </w:r>
          </w:p>
        </w:tc>
        <w:tc>
          <w:tcPr>
            <w:tcW w:w="1300" w:type="dxa"/>
            <w:vAlign w:val="top"/>
          </w:tcPr>
          <w:p>
            <w:pPr>
              <w:spacing w:before="104" w:line="197" w:lineRule="auto"/>
              <w:ind w:left="56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2</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200" w:lineRule="auto"/>
              <w:ind w:left="185"/>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4"/>
                <w:sz w:val="17"/>
                <w:szCs w:val="17"/>
              </w:rPr>
              <w:t>. 1.2</w:t>
            </w:r>
          </w:p>
        </w:tc>
        <w:tc>
          <w:tcPr>
            <w:tcW w:w="4495" w:type="dxa"/>
            <w:vAlign w:val="top"/>
          </w:tcPr>
          <w:p>
            <w:pPr>
              <w:spacing w:before="40" w:line="242" w:lineRule="exact"/>
              <w:ind w:left="838"/>
              <w:rPr>
                <w:rFonts w:ascii="宋体" w:hAnsi="宋体" w:eastAsia="宋体" w:cs="宋体"/>
                <w:sz w:val="17"/>
                <w:szCs w:val="17"/>
              </w:rPr>
            </w:pPr>
            <w:r>
              <w:rPr>
                <w:rFonts w:ascii="Times New Roman" w:hAnsi="Times New Roman" w:eastAsia="Times New Roman" w:cs="Times New Roman"/>
                <w:position w:val="1"/>
                <w:sz w:val="17"/>
                <w:szCs w:val="17"/>
              </w:rPr>
              <w:t>d</w:t>
            </w:r>
            <w:r>
              <w:rPr>
                <w:rFonts w:ascii="Times New Roman" w:hAnsi="Times New Roman" w:eastAsia="Times New Roman" w:cs="Times New Roman"/>
                <w:spacing w:val="5"/>
                <w:position w:val="1"/>
                <w:sz w:val="17"/>
                <w:szCs w:val="17"/>
              </w:rPr>
              <w:t xml:space="preserve"> 1000 </w:t>
            </w:r>
            <w:r>
              <w:rPr>
                <w:rFonts w:ascii="宋体" w:hAnsi="宋体" w:eastAsia="宋体" w:cs="宋体"/>
                <w:spacing w:val="5"/>
                <w:position w:val="1"/>
                <w:sz w:val="17"/>
                <w:szCs w:val="17"/>
              </w:rPr>
              <w:t>承插式钢筋混凝土管 (</w:t>
            </w:r>
            <w:r>
              <w:rPr>
                <w:rFonts w:ascii="Times New Roman" w:hAnsi="Times New Roman" w:eastAsia="Times New Roman" w:cs="Times New Roman"/>
                <w:position w:val="1"/>
                <w:sz w:val="17"/>
                <w:szCs w:val="17"/>
              </w:rPr>
              <w:t>II</w:t>
            </w:r>
            <w:r>
              <w:rPr>
                <w:rFonts w:ascii="Times New Roman" w:hAnsi="Times New Roman" w:eastAsia="Times New Roman" w:cs="Times New Roman"/>
                <w:spacing w:val="5"/>
                <w:position w:val="1"/>
                <w:sz w:val="17"/>
                <w:szCs w:val="17"/>
              </w:rPr>
              <w:t xml:space="preserve"> </w:t>
            </w:r>
            <w:r>
              <w:rPr>
                <w:rFonts w:ascii="宋体" w:hAnsi="宋体" w:eastAsia="宋体" w:cs="宋体"/>
                <w:spacing w:val="5"/>
                <w:position w:val="1"/>
                <w:sz w:val="17"/>
                <w:szCs w:val="17"/>
              </w:rPr>
              <w:t>级</w:t>
            </w:r>
            <w:r>
              <w:rPr>
                <w:rFonts w:ascii="宋体" w:hAnsi="宋体" w:eastAsia="宋体" w:cs="宋体"/>
                <w:spacing w:val="3"/>
                <w:position w:val="1"/>
                <w:sz w:val="17"/>
                <w:szCs w:val="17"/>
              </w:rPr>
              <w:t>)</w:t>
            </w:r>
          </w:p>
        </w:tc>
        <w:tc>
          <w:tcPr>
            <w:tcW w:w="662" w:type="dxa"/>
            <w:vAlign w:val="top"/>
          </w:tcPr>
          <w:p>
            <w:pPr>
              <w:spacing w:before="143" w:line="121" w:lineRule="exact"/>
              <w:ind w:left="26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m</w:t>
            </w:r>
          </w:p>
        </w:tc>
        <w:tc>
          <w:tcPr>
            <w:tcW w:w="1300" w:type="dxa"/>
            <w:vAlign w:val="top"/>
          </w:tcPr>
          <w:p>
            <w:pPr>
              <w:spacing w:before="104" w:line="197" w:lineRule="auto"/>
              <w:ind w:left="522"/>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02</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200" w:lineRule="auto"/>
              <w:ind w:left="185"/>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w:t>
            </w:r>
            <w:r>
              <w:rPr>
                <w:rFonts w:ascii="Times New Roman" w:hAnsi="Times New Roman" w:eastAsia="Times New Roman" w:cs="Times New Roman"/>
                <w:spacing w:val="-3"/>
                <w:sz w:val="17"/>
                <w:szCs w:val="17"/>
              </w:rPr>
              <w:t xml:space="preserve"> 1.3</w:t>
            </w:r>
          </w:p>
        </w:tc>
        <w:tc>
          <w:tcPr>
            <w:tcW w:w="4495" w:type="dxa"/>
            <w:vAlign w:val="top"/>
          </w:tcPr>
          <w:p>
            <w:pPr>
              <w:spacing w:before="73" w:line="228" w:lineRule="auto"/>
              <w:ind w:left="1094"/>
              <w:rPr>
                <w:rFonts w:ascii="宋体" w:hAnsi="宋体" w:eastAsia="宋体" w:cs="宋体"/>
                <w:sz w:val="17"/>
                <w:szCs w:val="17"/>
              </w:rPr>
            </w:pPr>
            <w:r>
              <w:rPr>
                <w:rFonts w:ascii="宋体" w:hAnsi="宋体" w:eastAsia="宋体" w:cs="宋体"/>
                <w:spacing w:val="1"/>
                <w:sz w:val="17"/>
                <w:szCs w:val="17"/>
              </w:rPr>
              <w:t xml:space="preserve">φ </w:t>
            </w:r>
            <w:r>
              <w:rPr>
                <w:rFonts w:ascii="Times New Roman" w:hAnsi="Times New Roman" w:eastAsia="Times New Roman" w:cs="Times New Roman"/>
                <w:spacing w:val="1"/>
                <w:sz w:val="17"/>
                <w:szCs w:val="17"/>
              </w:rPr>
              <w:t>12</w:t>
            </w:r>
            <w:r>
              <w:rPr>
                <w:rFonts w:ascii="Times New Roman" w:hAnsi="Times New Roman" w:eastAsia="Times New Roman" w:cs="Times New Roman"/>
                <w:sz w:val="17"/>
                <w:szCs w:val="17"/>
              </w:rPr>
              <w:t xml:space="preserve">50 </w:t>
            </w:r>
            <w:r>
              <w:rPr>
                <w:rFonts w:ascii="宋体" w:hAnsi="宋体" w:eastAsia="宋体" w:cs="宋体"/>
                <w:sz w:val="17"/>
                <w:szCs w:val="17"/>
              </w:rPr>
              <w:t>圆形混凝土雨水检查井</w:t>
            </w:r>
          </w:p>
        </w:tc>
        <w:tc>
          <w:tcPr>
            <w:tcW w:w="662" w:type="dxa"/>
            <w:vAlign w:val="top"/>
          </w:tcPr>
          <w:p>
            <w:pPr>
              <w:spacing w:before="73" w:line="228" w:lineRule="auto"/>
              <w:ind w:left="250"/>
              <w:rPr>
                <w:rFonts w:ascii="宋体" w:hAnsi="宋体" w:eastAsia="宋体" w:cs="宋体"/>
                <w:sz w:val="17"/>
                <w:szCs w:val="17"/>
              </w:rPr>
            </w:pPr>
            <w:r>
              <w:rPr>
                <w:rFonts w:ascii="宋体" w:hAnsi="宋体" w:eastAsia="宋体" w:cs="宋体"/>
                <w:spacing w:val="1"/>
                <w:sz w:val="17"/>
                <w:szCs w:val="17"/>
              </w:rPr>
              <w:t>座</w:t>
            </w:r>
          </w:p>
        </w:tc>
        <w:tc>
          <w:tcPr>
            <w:tcW w:w="1300" w:type="dxa"/>
            <w:vAlign w:val="top"/>
          </w:tcPr>
          <w:p>
            <w:pPr>
              <w:spacing w:before="104" w:line="197" w:lineRule="auto"/>
              <w:ind w:left="611"/>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200" w:lineRule="auto"/>
              <w:ind w:left="185"/>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4"/>
                <w:sz w:val="17"/>
                <w:szCs w:val="17"/>
              </w:rPr>
              <w:t>. 1.4</w:t>
            </w:r>
          </w:p>
        </w:tc>
        <w:tc>
          <w:tcPr>
            <w:tcW w:w="4495" w:type="dxa"/>
            <w:vAlign w:val="top"/>
          </w:tcPr>
          <w:p>
            <w:pPr>
              <w:spacing w:before="73" w:line="228" w:lineRule="auto"/>
              <w:ind w:left="1094"/>
              <w:rPr>
                <w:rFonts w:ascii="宋体" w:hAnsi="宋体" w:eastAsia="宋体" w:cs="宋体"/>
                <w:sz w:val="17"/>
                <w:szCs w:val="17"/>
              </w:rPr>
            </w:pPr>
            <w:r>
              <w:rPr>
                <w:rFonts w:ascii="宋体" w:hAnsi="宋体" w:eastAsia="宋体" w:cs="宋体"/>
                <w:spacing w:val="1"/>
                <w:sz w:val="17"/>
                <w:szCs w:val="17"/>
              </w:rPr>
              <w:t xml:space="preserve">φ </w:t>
            </w:r>
            <w:r>
              <w:rPr>
                <w:rFonts w:ascii="Times New Roman" w:hAnsi="Times New Roman" w:eastAsia="Times New Roman" w:cs="Times New Roman"/>
                <w:spacing w:val="1"/>
                <w:sz w:val="17"/>
                <w:szCs w:val="17"/>
              </w:rPr>
              <w:t>15</w:t>
            </w:r>
            <w:r>
              <w:rPr>
                <w:rFonts w:ascii="Times New Roman" w:hAnsi="Times New Roman" w:eastAsia="Times New Roman" w:cs="Times New Roman"/>
                <w:sz w:val="17"/>
                <w:szCs w:val="17"/>
              </w:rPr>
              <w:t xml:space="preserve">00 </w:t>
            </w:r>
            <w:r>
              <w:rPr>
                <w:rFonts w:ascii="宋体" w:hAnsi="宋体" w:eastAsia="宋体" w:cs="宋体"/>
                <w:sz w:val="17"/>
                <w:szCs w:val="17"/>
              </w:rPr>
              <w:t>圆形混凝土雨水检查井</w:t>
            </w:r>
          </w:p>
        </w:tc>
        <w:tc>
          <w:tcPr>
            <w:tcW w:w="662" w:type="dxa"/>
            <w:vAlign w:val="top"/>
          </w:tcPr>
          <w:p>
            <w:pPr>
              <w:spacing w:before="73" w:line="228" w:lineRule="auto"/>
              <w:ind w:left="250"/>
              <w:rPr>
                <w:rFonts w:ascii="宋体" w:hAnsi="宋体" w:eastAsia="宋体" w:cs="宋体"/>
                <w:sz w:val="17"/>
                <w:szCs w:val="17"/>
              </w:rPr>
            </w:pPr>
            <w:r>
              <w:rPr>
                <w:rFonts w:ascii="宋体" w:hAnsi="宋体" w:eastAsia="宋体" w:cs="宋体"/>
                <w:spacing w:val="1"/>
                <w:sz w:val="17"/>
                <w:szCs w:val="17"/>
              </w:rPr>
              <w:t>座</w:t>
            </w:r>
          </w:p>
        </w:tc>
        <w:tc>
          <w:tcPr>
            <w:tcW w:w="1300" w:type="dxa"/>
            <w:vAlign w:val="top"/>
          </w:tcPr>
          <w:p>
            <w:pPr>
              <w:spacing w:before="104" w:line="197" w:lineRule="auto"/>
              <w:ind w:left="618"/>
              <w:rPr>
                <w:rFonts w:ascii="Times New Roman" w:hAnsi="Times New Roman" w:eastAsia="Times New Roman" w:cs="Times New Roman"/>
                <w:sz w:val="17"/>
                <w:szCs w:val="17"/>
              </w:rPr>
            </w:pPr>
            <w:r>
              <w:rPr>
                <w:rFonts w:ascii="Times New Roman" w:hAnsi="Times New Roman" w:eastAsia="Times New Roman" w:cs="Times New Roman"/>
                <w:sz w:val="17"/>
                <w:szCs w:val="17"/>
              </w:rPr>
              <w:t>8</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200" w:lineRule="auto"/>
              <w:ind w:left="25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.2</w:t>
            </w:r>
          </w:p>
        </w:tc>
        <w:tc>
          <w:tcPr>
            <w:tcW w:w="4495" w:type="dxa"/>
            <w:vAlign w:val="top"/>
          </w:tcPr>
          <w:p>
            <w:pPr>
              <w:spacing w:before="73" w:line="228" w:lineRule="auto"/>
              <w:ind w:left="1892"/>
              <w:rPr>
                <w:rFonts w:ascii="宋体" w:hAnsi="宋体" w:eastAsia="宋体" w:cs="宋体"/>
                <w:sz w:val="17"/>
                <w:szCs w:val="17"/>
              </w:rPr>
            </w:pPr>
            <w:r>
              <w:rPr>
                <w:rFonts w:ascii="宋体" w:hAnsi="宋体" w:eastAsia="宋体" w:cs="宋体"/>
                <w:spacing w:val="8"/>
                <w:sz w:val="17"/>
                <w:szCs w:val="17"/>
              </w:rPr>
              <w:t>路面雨</w:t>
            </w:r>
            <w:r>
              <w:rPr>
                <w:rFonts w:ascii="宋体" w:hAnsi="宋体" w:eastAsia="宋体" w:cs="宋体"/>
                <w:spacing w:val="7"/>
                <w:sz w:val="17"/>
                <w:szCs w:val="17"/>
              </w:rPr>
              <w:t>水</w:t>
            </w:r>
          </w:p>
        </w:tc>
        <w:tc>
          <w:tcPr>
            <w:tcW w:w="662" w:type="dxa"/>
            <w:vAlign w:val="top"/>
          </w:tcPr>
          <w:p>
            <w:pPr>
              <w:spacing w:before="73" w:line="228" w:lineRule="auto"/>
              <w:ind w:left="252"/>
              <w:rPr>
                <w:rFonts w:ascii="宋体" w:hAnsi="宋体" w:eastAsia="宋体" w:cs="宋体"/>
                <w:sz w:val="17"/>
                <w:szCs w:val="17"/>
              </w:rPr>
            </w:pPr>
            <w:r>
              <w:rPr>
                <w:rFonts w:ascii="宋体" w:hAnsi="宋体" w:eastAsia="宋体" w:cs="宋体"/>
                <w:sz w:val="17"/>
                <w:szCs w:val="17"/>
              </w:rPr>
              <w:t>项</w:t>
            </w:r>
          </w:p>
        </w:tc>
        <w:tc>
          <w:tcPr>
            <w:tcW w:w="1300" w:type="dxa"/>
            <w:vAlign w:val="top"/>
          </w:tcPr>
          <w:p>
            <w:pPr>
              <w:spacing w:before="104" w:line="197" w:lineRule="auto"/>
              <w:ind w:left="628"/>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200" w:lineRule="auto"/>
              <w:ind w:left="18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2.2.</w:t>
            </w:r>
            <w:r>
              <w:rPr>
                <w:rFonts w:ascii="Times New Roman" w:hAnsi="Times New Roman" w:eastAsia="Times New Roman" w:cs="Times New Roman"/>
                <w:spacing w:val="-1"/>
                <w:sz w:val="17"/>
                <w:szCs w:val="17"/>
              </w:rPr>
              <w:t xml:space="preserve"> 1</w:t>
            </w:r>
          </w:p>
        </w:tc>
        <w:tc>
          <w:tcPr>
            <w:tcW w:w="4495" w:type="dxa"/>
            <w:vAlign w:val="top"/>
          </w:tcPr>
          <w:p>
            <w:pPr>
              <w:spacing w:before="40" w:line="242" w:lineRule="exact"/>
              <w:ind w:left="883"/>
              <w:rPr>
                <w:rFonts w:ascii="宋体" w:hAnsi="宋体" w:eastAsia="宋体" w:cs="宋体"/>
                <w:sz w:val="17"/>
                <w:szCs w:val="17"/>
              </w:rPr>
            </w:pPr>
            <w:r>
              <w:rPr>
                <w:rFonts w:ascii="Times New Roman" w:hAnsi="Times New Roman" w:eastAsia="Times New Roman" w:cs="Times New Roman"/>
                <w:position w:val="1"/>
                <w:sz w:val="17"/>
                <w:szCs w:val="17"/>
              </w:rPr>
              <w:t>d</w:t>
            </w:r>
            <w:r>
              <w:rPr>
                <w:rFonts w:ascii="Times New Roman" w:hAnsi="Times New Roman" w:eastAsia="Times New Roman" w:cs="Times New Roman"/>
                <w:spacing w:val="14"/>
                <w:position w:val="1"/>
                <w:sz w:val="17"/>
                <w:szCs w:val="17"/>
              </w:rPr>
              <w:t>3</w:t>
            </w:r>
            <w:r>
              <w:rPr>
                <w:rFonts w:ascii="Times New Roman" w:hAnsi="Times New Roman" w:eastAsia="Times New Roman" w:cs="Times New Roman"/>
                <w:spacing w:val="8"/>
                <w:position w:val="1"/>
                <w:sz w:val="17"/>
                <w:szCs w:val="17"/>
              </w:rPr>
              <w:t>0</w:t>
            </w:r>
            <w:r>
              <w:rPr>
                <w:rFonts w:ascii="Times New Roman" w:hAnsi="Times New Roman" w:eastAsia="Times New Roman" w:cs="Times New Roman"/>
                <w:spacing w:val="7"/>
                <w:position w:val="1"/>
                <w:sz w:val="17"/>
                <w:szCs w:val="17"/>
              </w:rPr>
              <w:t xml:space="preserve">0 </w:t>
            </w:r>
            <w:r>
              <w:rPr>
                <w:rFonts w:ascii="宋体" w:hAnsi="宋体" w:eastAsia="宋体" w:cs="宋体"/>
                <w:spacing w:val="7"/>
                <w:position w:val="1"/>
                <w:sz w:val="17"/>
                <w:szCs w:val="17"/>
              </w:rPr>
              <w:t>承插式钢筋混凝土管 (</w:t>
            </w:r>
            <w:r>
              <w:rPr>
                <w:rFonts w:ascii="Times New Roman" w:hAnsi="Times New Roman" w:eastAsia="Times New Roman" w:cs="Times New Roman"/>
                <w:position w:val="1"/>
                <w:sz w:val="17"/>
                <w:szCs w:val="17"/>
              </w:rPr>
              <w:t>II</w:t>
            </w:r>
            <w:r>
              <w:rPr>
                <w:rFonts w:ascii="Times New Roman" w:hAnsi="Times New Roman" w:eastAsia="Times New Roman" w:cs="Times New Roman"/>
                <w:spacing w:val="7"/>
                <w:position w:val="1"/>
                <w:sz w:val="17"/>
                <w:szCs w:val="17"/>
              </w:rPr>
              <w:t xml:space="preserve"> </w:t>
            </w:r>
            <w:r>
              <w:rPr>
                <w:rFonts w:ascii="宋体" w:hAnsi="宋体" w:eastAsia="宋体" w:cs="宋体"/>
                <w:spacing w:val="7"/>
                <w:position w:val="1"/>
                <w:sz w:val="17"/>
                <w:szCs w:val="17"/>
              </w:rPr>
              <w:t>级)</w:t>
            </w:r>
          </w:p>
        </w:tc>
        <w:tc>
          <w:tcPr>
            <w:tcW w:w="662" w:type="dxa"/>
            <w:vAlign w:val="top"/>
          </w:tcPr>
          <w:p>
            <w:pPr>
              <w:spacing w:before="143" w:line="121" w:lineRule="exact"/>
              <w:ind w:left="26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m</w:t>
            </w:r>
          </w:p>
        </w:tc>
        <w:tc>
          <w:tcPr>
            <w:tcW w:w="1300" w:type="dxa"/>
            <w:vAlign w:val="top"/>
          </w:tcPr>
          <w:p>
            <w:pPr>
              <w:spacing w:before="104" w:line="197" w:lineRule="auto"/>
              <w:ind w:left="53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48</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200" w:lineRule="auto"/>
              <w:ind w:left="18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.2.2</w:t>
            </w:r>
          </w:p>
        </w:tc>
        <w:tc>
          <w:tcPr>
            <w:tcW w:w="4495" w:type="dxa"/>
            <w:vAlign w:val="top"/>
          </w:tcPr>
          <w:p>
            <w:pPr>
              <w:spacing w:before="73" w:line="228" w:lineRule="auto"/>
              <w:ind w:left="940"/>
              <w:rPr>
                <w:rFonts w:ascii="Times New Roman" w:hAnsi="Times New Roman" w:eastAsia="Times New Roman" w:cs="Times New Roman"/>
                <w:sz w:val="17"/>
                <w:szCs w:val="17"/>
              </w:rPr>
            </w:pPr>
            <w:r>
              <w:rPr>
                <w:rFonts w:ascii="宋体" w:hAnsi="宋体" w:eastAsia="宋体" w:cs="宋体"/>
                <w:spacing w:val="4"/>
                <w:sz w:val="17"/>
                <w:szCs w:val="17"/>
              </w:rPr>
              <w:t>雨水连接管</w:t>
            </w:r>
            <w:r>
              <w:rPr>
                <w:rFonts w:ascii="宋体" w:hAnsi="宋体" w:eastAsia="宋体" w:cs="宋体"/>
                <w:spacing w:val="3"/>
                <w:sz w:val="17"/>
                <w:szCs w:val="17"/>
              </w:rPr>
              <w:t xml:space="preserve"> </w:t>
            </w:r>
            <w:r>
              <w:rPr>
                <w:rFonts w:ascii="Times New Roman" w:hAnsi="Times New Roman" w:eastAsia="Times New Roman" w:cs="Times New Roman"/>
                <w:sz w:val="17"/>
                <w:szCs w:val="17"/>
              </w:rPr>
              <w:t>C</w:t>
            </w:r>
            <w:r>
              <w:rPr>
                <w:rFonts w:ascii="Times New Roman" w:hAnsi="Times New Roman" w:eastAsia="Times New Roman" w:cs="Times New Roman"/>
                <w:spacing w:val="2"/>
                <w:sz w:val="17"/>
                <w:szCs w:val="17"/>
              </w:rPr>
              <w:t xml:space="preserve">30 </w:t>
            </w:r>
            <w:r>
              <w:rPr>
                <w:rFonts w:ascii="宋体" w:hAnsi="宋体" w:eastAsia="宋体" w:cs="宋体"/>
                <w:spacing w:val="2"/>
                <w:sz w:val="17"/>
                <w:szCs w:val="17"/>
              </w:rPr>
              <w:t xml:space="preserve">混凝土满包 </w:t>
            </w:r>
            <w:r>
              <w:rPr>
                <w:rFonts w:ascii="Times New Roman" w:hAnsi="Times New Roman" w:eastAsia="Times New Roman" w:cs="Times New Roman"/>
                <w:spacing w:val="2"/>
                <w:sz w:val="17"/>
                <w:szCs w:val="17"/>
              </w:rPr>
              <w:t>20</w:t>
            </w:r>
            <w:r>
              <w:rPr>
                <w:rFonts w:ascii="Times New Roman" w:hAnsi="Times New Roman" w:eastAsia="Times New Roman" w:cs="Times New Roman"/>
                <w:sz w:val="17"/>
                <w:szCs w:val="17"/>
              </w:rPr>
              <w:t>cm</w:t>
            </w:r>
          </w:p>
        </w:tc>
        <w:tc>
          <w:tcPr>
            <w:tcW w:w="662" w:type="dxa"/>
            <w:vAlign w:val="top"/>
          </w:tcPr>
          <w:p>
            <w:pPr>
              <w:spacing w:before="91" w:line="202" w:lineRule="auto"/>
              <w:ind w:left="217"/>
              <w:rPr>
                <w:rFonts w:ascii="宋体" w:hAnsi="宋体" w:eastAsia="宋体" w:cs="宋体"/>
                <w:sz w:val="17"/>
                <w:szCs w:val="17"/>
              </w:rPr>
            </w:pPr>
            <w:r>
              <w:rPr>
                <w:rFonts w:ascii="Times New Roman" w:hAnsi="Times New Roman" w:eastAsia="Times New Roman" w:cs="Times New Roman"/>
                <w:sz w:val="17"/>
                <w:szCs w:val="17"/>
              </w:rPr>
              <w:t>m</w:t>
            </w:r>
            <w:r>
              <w:rPr>
                <w:rFonts w:ascii="宋体" w:hAnsi="宋体" w:eastAsia="宋体" w:cs="宋体"/>
                <w:spacing w:val="12"/>
                <w:sz w:val="17"/>
                <w:szCs w:val="17"/>
              </w:rPr>
              <w:t>³</w:t>
            </w:r>
          </w:p>
        </w:tc>
        <w:tc>
          <w:tcPr>
            <w:tcW w:w="1300" w:type="dxa"/>
            <w:vAlign w:val="top"/>
          </w:tcPr>
          <w:p>
            <w:pPr>
              <w:spacing w:before="104" w:line="197" w:lineRule="auto"/>
              <w:ind w:left="568"/>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74</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200" w:lineRule="auto"/>
              <w:ind w:left="18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2.2.</w:t>
            </w:r>
            <w:r>
              <w:rPr>
                <w:rFonts w:ascii="Times New Roman" w:hAnsi="Times New Roman" w:eastAsia="Times New Roman" w:cs="Times New Roman"/>
                <w:spacing w:val="3"/>
                <w:sz w:val="17"/>
                <w:szCs w:val="17"/>
              </w:rPr>
              <w:t>3</w:t>
            </w:r>
          </w:p>
        </w:tc>
        <w:tc>
          <w:tcPr>
            <w:tcW w:w="4495" w:type="dxa"/>
            <w:vAlign w:val="top"/>
          </w:tcPr>
          <w:p>
            <w:pPr>
              <w:spacing w:before="73" w:line="228" w:lineRule="auto"/>
              <w:ind w:left="1350"/>
              <w:rPr>
                <w:rFonts w:ascii="宋体" w:hAnsi="宋体" w:eastAsia="宋体" w:cs="宋体"/>
                <w:sz w:val="17"/>
                <w:szCs w:val="17"/>
              </w:rPr>
            </w:pPr>
            <w:r>
              <w:rPr>
                <w:rFonts w:ascii="宋体" w:hAnsi="宋体" w:eastAsia="宋体" w:cs="宋体"/>
                <w:spacing w:val="11"/>
                <w:sz w:val="17"/>
                <w:szCs w:val="17"/>
              </w:rPr>
              <w:t>偏</w:t>
            </w:r>
            <w:r>
              <w:rPr>
                <w:rFonts w:ascii="宋体" w:hAnsi="宋体" w:eastAsia="宋体" w:cs="宋体"/>
                <w:spacing w:val="9"/>
                <w:sz w:val="17"/>
                <w:szCs w:val="17"/>
              </w:rPr>
              <w:t>沟式截污双箅雨水口</w:t>
            </w:r>
          </w:p>
        </w:tc>
        <w:tc>
          <w:tcPr>
            <w:tcW w:w="662" w:type="dxa"/>
            <w:vAlign w:val="top"/>
          </w:tcPr>
          <w:p>
            <w:pPr>
              <w:spacing w:before="73" w:line="228" w:lineRule="auto"/>
              <w:ind w:left="250"/>
              <w:rPr>
                <w:rFonts w:ascii="宋体" w:hAnsi="宋体" w:eastAsia="宋体" w:cs="宋体"/>
                <w:sz w:val="17"/>
                <w:szCs w:val="17"/>
              </w:rPr>
            </w:pPr>
            <w:r>
              <w:rPr>
                <w:rFonts w:ascii="宋体" w:hAnsi="宋体" w:eastAsia="宋体" w:cs="宋体"/>
                <w:spacing w:val="1"/>
                <w:sz w:val="17"/>
                <w:szCs w:val="17"/>
              </w:rPr>
              <w:t>座</w:t>
            </w:r>
          </w:p>
        </w:tc>
        <w:tc>
          <w:tcPr>
            <w:tcW w:w="1300" w:type="dxa"/>
            <w:vAlign w:val="top"/>
          </w:tcPr>
          <w:p>
            <w:pPr>
              <w:spacing w:before="104" w:line="197" w:lineRule="auto"/>
              <w:ind w:left="582"/>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12</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200" w:lineRule="auto"/>
              <w:ind w:left="18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.2.4</w:t>
            </w:r>
          </w:p>
        </w:tc>
        <w:tc>
          <w:tcPr>
            <w:tcW w:w="4495" w:type="dxa"/>
            <w:vAlign w:val="top"/>
          </w:tcPr>
          <w:p>
            <w:pPr>
              <w:spacing w:before="73" w:line="228" w:lineRule="auto"/>
              <w:ind w:left="1620"/>
              <w:rPr>
                <w:rFonts w:ascii="宋体" w:hAnsi="宋体" w:eastAsia="宋体" w:cs="宋体"/>
                <w:sz w:val="17"/>
                <w:szCs w:val="17"/>
              </w:rPr>
            </w:pPr>
            <w:r>
              <w:rPr>
                <w:rFonts w:ascii="宋体" w:hAnsi="宋体" w:eastAsia="宋体" w:cs="宋体"/>
                <w:spacing w:val="9"/>
                <w:sz w:val="17"/>
                <w:szCs w:val="17"/>
              </w:rPr>
              <w:t>新建雨水口加</w:t>
            </w:r>
            <w:r>
              <w:rPr>
                <w:rFonts w:ascii="宋体" w:hAnsi="宋体" w:eastAsia="宋体" w:cs="宋体"/>
                <w:spacing w:val="8"/>
                <w:sz w:val="17"/>
                <w:szCs w:val="17"/>
              </w:rPr>
              <w:t>固</w:t>
            </w:r>
          </w:p>
        </w:tc>
        <w:tc>
          <w:tcPr>
            <w:tcW w:w="662" w:type="dxa"/>
            <w:vAlign w:val="top"/>
          </w:tcPr>
          <w:p>
            <w:pPr>
              <w:spacing w:before="73" w:line="228" w:lineRule="auto"/>
              <w:ind w:left="250"/>
              <w:rPr>
                <w:rFonts w:ascii="宋体" w:hAnsi="宋体" w:eastAsia="宋体" w:cs="宋体"/>
                <w:sz w:val="17"/>
                <w:szCs w:val="17"/>
              </w:rPr>
            </w:pPr>
            <w:r>
              <w:rPr>
                <w:rFonts w:ascii="宋体" w:hAnsi="宋体" w:eastAsia="宋体" w:cs="宋体"/>
                <w:spacing w:val="1"/>
                <w:sz w:val="17"/>
                <w:szCs w:val="17"/>
              </w:rPr>
              <w:t>座</w:t>
            </w:r>
          </w:p>
        </w:tc>
        <w:tc>
          <w:tcPr>
            <w:tcW w:w="1300" w:type="dxa"/>
            <w:vAlign w:val="top"/>
          </w:tcPr>
          <w:p>
            <w:pPr>
              <w:spacing w:before="104" w:line="197" w:lineRule="auto"/>
              <w:ind w:left="582"/>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12</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200" w:lineRule="auto"/>
              <w:ind w:left="25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2.3</w:t>
            </w:r>
          </w:p>
        </w:tc>
        <w:tc>
          <w:tcPr>
            <w:tcW w:w="4495" w:type="dxa"/>
            <w:vAlign w:val="top"/>
          </w:tcPr>
          <w:p>
            <w:pPr>
              <w:spacing w:before="73" w:line="228" w:lineRule="auto"/>
              <w:ind w:left="2072"/>
              <w:rPr>
                <w:rFonts w:ascii="宋体" w:hAnsi="宋体" w:eastAsia="宋体" w:cs="宋体"/>
                <w:sz w:val="17"/>
                <w:szCs w:val="17"/>
              </w:rPr>
            </w:pPr>
            <w:r>
              <w:rPr>
                <w:rFonts w:ascii="宋体" w:hAnsi="宋体" w:eastAsia="宋体" w:cs="宋体"/>
                <w:spacing w:val="6"/>
                <w:sz w:val="17"/>
                <w:szCs w:val="17"/>
              </w:rPr>
              <w:t>污</w:t>
            </w:r>
            <w:r>
              <w:rPr>
                <w:rFonts w:ascii="宋体" w:hAnsi="宋体" w:eastAsia="宋体" w:cs="宋体"/>
                <w:spacing w:val="5"/>
                <w:sz w:val="17"/>
                <w:szCs w:val="17"/>
              </w:rPr>
              <w:t>水</w:t>
            </w:r>
          </w:p>
        </w:tc>
        <w:tc>
          <w:tcPr>
            <w:tcW w:w="662" w:type="dxa"/>
            <w:vAlign w:val="top"/>
          </w:tcPr>
          <w:p>
            <w:pPr>
              <w:spacing w:before="73" w:line="228" w:lineRule="auto"/>
              <w:ind w:left="252"/>
              <w:rPr>
                <w:rFonts w:ascii="宋体" w:hAnsi="宋体" w:eastAsia="宋体" w:cs="宋体"/>
                <w:sz w:val="17"/>
                <w:szCs w:val="17"/>
              </w:rPr>
            </w:pPr>
            <w:r>
              <w:rPr>
                <w:rFonts w:ascii="宋体" w:hAnsi="宋体" w:eastAsia="宋体" w:cs="宋体"/>
                <w:sz w:val="17"/>
                <w:szCs w:val="17"/>
              </w:rPr>
              <w:t>项</w:t>
            </w:r>
          </w:p>
        </w:tc>
        <w:tc>
          <w:tcPr>
            <w:tcW w:w="1300" w:type="dxa"/>
            <w:vAlign w:val="top"/>
          </w:tcPr>
          <w:p>
            <w:pPr>
              <w:spacing w:before="104" w:line="197" w:lineRule="auto"/>
              <w:ind w:left="628"/>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200" w:lineRule="auto"/>
              <w:ind w:left="18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2.3.</w:t>
            </w:r>
            <w:r>
              <w:rPr>
                <w:rFonts w:ascii="Times New Roman" w:hAnsi="Times New Roman" w:eastAsia="Times New Roman" w:cs="Times New Roman"/>
                <w:spacing w:val="-1"/>
                <w:sz w:val="17"/>
                <w:szCs w:val="17"/>
              </w:rPr>
              <w:t xml:space="preserve"> 1</w:t>
            </w:r>
          </w:p>
        </w:tc>
        <w:tc>
          <w:tcPr>
            <w:tcW w:w="4495" w:type="dxa"/>
            <w:vAlign w:val="top"/>
          </w:tcPr>
          <w:p>
            <w:pPr>
              <w:spacing w:before="40" w:line="242" w:lineRule="exact"/>
              <w:ind w:left="761"/>
              <w:rPr>
                <w:rFonts w:ascii="宋体" w:hAnsi="宋体" w:eastAsia="宋体" w:cs="宋体"/>
                <w:sz w:val="17"/>
                <w:szCs w:val="17"/>
              </w:rPr>
            </w:pPr>
            <w:r>
              <w:rPr>
                <w:rFonts w:ascii="Times New Roman" w:hAnsi="Times New Roman" w:eastAsia="Times New Roman" w:cs="Times New Roman"/>
                <w:position w:val="1"/>
                <w:sz w:val="17"/>
                <w:szCs w:val="17"/>
              </w:rPr>
              <w:t>D</w:t>
            </w:r>
            <w:r>
              <w:rPr>
                <w:rFonts w:ascii="Times New Roman" w:hAnsi="Times New Roman" w:eastAsia="Times New Roman" w:cs="Times New Roman"/>
                <w:spacing w:val="7"/>
                <w:position w:val="1"/>
                <w:sz w:val="17"/>
                <w:szCs w:val="17"/>
              </w:rPr>
              <w:t xml:space="preserve">400 </w:t>
            </w:r>
            <w:r>
              <w:rPr>
                <w:rFonts w:ascii="宋体" w:hAnsi="宋体" w:eastAsia="宋体" w:cs="宋体"/>
                <w:spacing w:val="7"/>
                <w:position w:val="1"/>
                <w:sz w:val="17"/>
                <w:szCs w:val="17"/>
              </w:rPr>
              <w:t xml:space="preserve">聚丙烯缠绕结构壁 </w:t>
            </w:r>
            <w:r>
              <w:rPr>
                <w:rFonts w:ascii="Times New Roman" w:hAnsi="Times New Roman" w:eastAsia="Times New Roman" w:cs="Times New Roman"/>
                <w:position w:val="1"/>
                <w:sz w:val="17"/>
                <w:szCs w:val="17"/>
              </w:rPr>
              <w:t>SN</w:t>
            </w:r>
            <w:r>
              <w:rPr>
                <w:rFonts w:ascii="宋体" w:hAnsi="宋体" w:eastAsia="宋体" w:cs="宋体"/>
                <w:spacing w:val="7"/>
                <w:position w:val="1"/>
                <w:sz w:val="17"/>
                <w:szCs w:val="17"/>
              </w:rPr>
              <w:t>≥</w:t>
            </w:r>
            <w:r>
              <w:rPr>
                <w:rFonts w:ascii="Times New Roman" w:hAnsi="Times New Roman" w:eastAsia="Times New Roman" w:cs="Times New Roman"/>
                <w:spacing w:val="7"/>
                <w:position w:val="1"/>
                <w:sz w:val="17"/>
                <w:szCs w:val="17"/>
              </w:rPr>
              <w:t>8</w:t>
            </w:r>
            <w:r>
              <w:rPr>
                <w:rFonts w:ascii="Times New Roman" w:hAnsi="Times New Roman" w:eastAsia="Times New Roman" w:cs="Times New Roman"/>
                <w:position w:val="1"/>
                <w:sz w:val="17"/>
                <w:szCs w:val="17"/>
              </w:rPr>
              <w:t>KN</w:t>
            </w:r>
            <w:r>
              <w:rPr>
                <w:rFonts w:ascii="Times New Roman" w:hAnsi="Times New Roman" w:eastAsia="Times New Roman" w:cs="Times New Roman"/>
                <w:spacing w:val="7"/>
                <w:position w:val="1"/>
                <w:sz w:val="17"/>
                <w:szCs w:val="17"/>
              </w:rPr>
              <w:t>/</w:t>
            </w:r>
            <w:r>
              <w:rPr>
                <w:rFonts w:ascii="Times New Roman" w:hAnsi="Times New Roman" w:eastAsia="Times New Roman" w:cs="Times New Roman"/>
                <w:position w:val="1"/>
                <w:sz w:val="17"/>
                <w:szCs w:val="17"/>
              </w:rPr>
              <w:t>m</w:t>
            </w:r>
            <w:r>
              <w:rPr>
                <w:rFonts w:ascii="宋体" w:hAnsi="宋体" w:eastAsia="宋体" w:cs="宋体"/>
                <w:spacing w:val="7"/>
                <w:position w:val="1"/>
                <w:sz w:val="17"/>
                <w:szCs w:val="17"/>
              </w:rPr>
              <w:t>²</w:t>
            </w:r>
          </w:p>
        </w:tc>
        <w:tc>
          <w:tcPr>
            <w:tcW w:w="662" w:type="dxa"/>
            <w:vAlign w:val="top"/>
          </w:tcPr>
          <w:p>
            <w:pPr>
              <w:spacing w:before="143" w:line="121" w:lineRule="exact"/>
              <w:ind w:left="26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m</w:t>
            </w:r>
          </w:p>
        </w:tc>
        <w:tc>
          <w:tcPr>
            <w:tcW w:w="1300" w:type="dxa"/>
            <w:vAlign w:val="top"/>
          </w:tcPr>
          <w:p>
            <w:pPr>
              <w:spacing w:before="104" w:line="197" w:lineRule="auto"/>
              <w:ind w:left="56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2</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200" w:lineRule="auto"/>
              <w:ind w:left="18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.3.2</w:t>
            </w:r>
          </w:p>
        </w:tc>
        <w:tc>
          <w:tcPr>
            <w:tcW w:w="4495" w:type="dxa"/>
            <w:vAlign w:val="top"/>
          </w:tcPr>
          <w:p>
            <w:pPr>
              <w:spacing w:before="73" w:line="228" w:lineRule="auto"/>
              <w:ind w:left="1094"/>
              <w:rPr>
                <w:rFonts w:ascii="宋体" w:hAnsi="宋体" w:eastAsia="宋体" w:cs="宋体"/>
                <w:sz w:val="17"/>
                <w:szCs w:val="17"/>
              </w:rPr>
            </w:pPr>
            <w:r>
              <w:rPr>
                <w:rFonts w:ascii="宋体" w:hAnsi="宋体" w:eastAsia="宋体" w:cs="宋体"/>
                <w:spacing w:val="1"/>
                <w:sz w:val="17"/>
                <w:szCs w:val="17"/>
              </w:rPr>
              <w:t xml:space="preserve">φ </w:t>
            </w:r>
            <w:r>
              <w:rPr>
                <w:rFonts w:ascii="Times New Roman" w:hAnsi="Times New Roman" w:eastAsia="Times New Roman" w:cs="Times New Roman"/>
                <w:spacing w:val="1"/>
                <w:sz w:val="17"/>
                <w:szCs w:val="17"/>
              </w:rPr>
              <w:t>10</w:t>
            </w:r>
            <w:r>
              <w:rPr>
                <w:rFonts w:ascii="Times New Roman" w:hAnsi="Times New Roman" w:eastAsia="Times New Roman" w:cs="Times New Roman"/>
                <w:sz w:val="17"/>
                <w:szCs w:val="17"/>
              </w:rPr>
              <w:t xml:space="preserve">00 </w:t>
            </w:r>
            <w:r>
              <w:rPr>
                <w:rFonts w:ascii="宋体" w:hAnsi="宋体" w:eastAsia="宋体" w:cs="宋体"/>
                <w:sz w:val="17"/>
                <w:szCs w:val="17"/>
              </w:rPr>
              <w:t>圆形混凝土污水检查井</w:t>
            </w:r>
          </w:p>
        </w:tc>
        <w:tc>
          <w:tcPr>
            <w:tcW w:w="662" w:type="dxa"/>
            <w:vAlign w:val="top"/>
          </w:tcPr>
          <w:p>
            <w:pPr>
              <w:spacing w:before="73" w:line="228" w:lineRule="auto"/>
              <w:ind w:left="250"/>
              <w:rPr>
                <w:rFonts w:ascii="宋体" w:hAnsi="宋体" w:eastAsia="宋体" w:cs="宋体"/>
                <w:sz w:val="17"/>
                <w:szCs w:val="17"/>
              </w:rPr>
            </w:pPr>
            <w:r>
              <w:rPr>
                <w:rFonts w:ascii="宋体" w:hAnsi="宋体" w:eastAsia="宋体" w:cs="宋体"/>
                <w:spacing w:val="1"/>
                <w:sz w:val="17"/>
                <w:szCs w:val="17"/>
              </w:rPr>
              <w:t>座</w:t>
            </w:r>
          </w:p>
        </w:tc>
        <w:tc>
          <w:tcPr>
            <w:tcW w:w="1300" w:type="dxa"/>
            <w:vAlign w:val="top"/>
          </w:tcPr>
          <w:p>
            <w:pPr>
              <w:spacing w:before="104" w:line="197" w:lineRule="auto"/>
              <w:ind w:left="611"/>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197" w:lineRule="auto"/>
              <w:ind w:left="325"/>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tc>
        <w:tc>
          <w:tcPr>
            <w:tcW w:w="4495" w:type="dxa"/>
            <w:vAlign w:val="top"/>
          </w:tcPr>
          <w:p>
            <w:pPr>
              <w:spacing w:before="73" w:line="228" w:lineRule="auto"/>
              <w:ind w:left="1891"/>
              <w:rPr>
                <w:rFonts w:ascii="宋体" w:hAnsi="宋体" w:eastAsia="宋体" w:cs="宋体"/>
                <w:sz w:val="17"/>
                <w:szCs w:val="17"/>
              </w:rPr>
            </w:pPr>
            <w:r>
              <w:rPr>
                <w:rFonts w:ascii="宋体" w:hAnsi="宋体" w:eastAsia="宋体" w:cs="宋体"/>
                <w:spacing w:val="8"/>
                <w:sz w:val="17"/>
                <w:szCs w:val="17"/>
              </w:rPr>
              <w:t>其他工程</w:t>
            </w:r>
          </w:p>
        </w:tc>
        <w:tc>
          <w:tcPr>
            <w:tcW w:w="662" w:type="dxa"/>
            <w:vAlign w:val="top"/>
          </w:tcPr>
          <w:p>
            <w:pPr>
              <w:spacing w:before="73" w:line="228" w:lineRule="auto"/>
              <w:ind w:left="252"/>
              <w:rPr>
                <w:rFonts w:ascii="宋体" w:hAnsi="宋体" w:eastAsia="宋体" w:cs="宋体"/>
                <w:sz w:val="17"/>
                <w:szCs w:val="17"/>
              </w:rPr>
            </w:pPr>
            <w:r>
              <w:rPr>
                <w:rFonts w:ascii="宋体" w:hAnsi="宋体" w:eastAsia="宋体" w:cs="宋体"/>
                <w:sz w:val="17"/>
                <w:szCs w:val="17"/>
              </w:rPr>
              <w:t>项</w:t>
            </w:r>
          </w:p>
        </w:tc>
        <w:tc>
          <w:tcPr>
            <w:tcW w:w="1300" w:type="dxa"/>
            <w:vAlign w:val="top"/>
          </w:tcPr>
          <w:p>
            <w:pPr>
              <w:spacing w:before="104" w:line="197" w:lineRule="auto"/>
              <w:ind w:left="628"/>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197" w:lineRule="auto"/>
              <w:ind w:left="32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4495" w:type="dxa"/>
            <w:vAlign w:val="top"/>
          </w:tcPr>
          <w:p>
            <w:pPr>
              <w:spacing w:before="73" w:line="228" w:lineRule="auto"/>
              <w:ind w:left="1894"/>
              <w:rPr>
                <w:rFonts w:ascii="宋体" w:hAnsi="宋体" w:eastAsia="宋体" w:cs="宋体"/>
                <w:sz w:val="17"/>
                <w:szCs w:val="17"/>
              </w:rPr>
            </w:pPr>
            <w:r>
              <w:rPr>
                <w:rFonts w:ascii="宋体" w:hAnsi="宋体" w:eastAsia="宋体" w:cs="宋体"/>
                <w:spacing w:val="7"/>
                <w:sz w:val="17"/>
                <w:szCs w:val="17"/>
              </w:rPr>
              <w:t>管线迁改</w:t>
            </w:r>
          </w:p>
        </w:tc>
        <w:tc>
          <w:tcPr>
            <w:tcW w:w="662" w:type="dxa"/>
            <w:vAlign w:val="top"/>
          </w:tcPr>
          <w:p>
            <w:pPr>
              <w:spacing w:before="73" w:line="228" w:lineRule="auto"/>
              <w:ind w:left="252"/>
              <w:rPr>
                <w:rFonts w:ascii="宋体" w:hAnsi="宋体" w:eastAsia="宋体" w:cs="宋体"/>
                <w:sz w:val="17"/>
                <w:szCs w:val="17"/>
              </w:rPr>
            </w:pPr>
            <w:r>
              <w:rPr>
                <w:rFonts w:ascii="宋体" w:hAnsi="宋体" w:eastAsia="宋体" w:cs="宋体"/>
                <w:sz w:val="17"/>
                <w:szCs w:val="17"/>
              </w:rPr>
              <w:t>项</w:t>
            </w:r>
          </w:p>
        </w:tc>
        <w:tc>
          <w:tcPr>
            <w:tcW w:w="1300" w:type="dxa"/>
            <w:vAlign w:val="top"/>
          </w:tcPr>
          <w:p>
            <w:pPr>
              <w:spacing w:before="104" w:line="197" w:lineRule="auto"/>
              <w:ind w:left="628"/>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73" w:line="228" w:lineRule="auto"/>
              <w:ind w:left="296"/>
              <w:rPr>
                <w:rFonts w:ascii="宋体" w:hAnsi="宋体" w:eastAsia="宋体" w:cs="宋体"/>
                <w:sz w:val="17"/>
                <w:szCs w:val="17"/>
              </w:rPr>
            </w:pPr>
            <w:r>
              <w:rPr>
                <w:rFonts w:ascii="宋体" w:hAnsi="宋体" w:eastAsia="宋体" w:cs="宋体"/>
                <w:sz w:val="17"/>
                <w:szCs w:val="17"/>
                <w14:textOutline w14:w="3268" w14:cap="sq" w14:cmpd="sng">
                  <w14:solidFill>
                    <w14:srgbClr w14:val="000000"/>
                  </w14:solidFill>
                  <w14:prstDash w14:val="solid"/>
                  <w14:bevel/>
                </w14:textOutline>
              </w:rPr>
              <w:t>四</w:t>
            </w:r>
          </w:p>
        </w:tc>
        <w:tc>
          <w:tcPr>
            <w:tcW w:w="4495" w:type="dxa"/>
            <w:vAlign w:val="top"/>
          </w:tcPr>
          <w:p>
            <w:pPr>
              <w:spacing w:before="73" w:line="228" w:lineRule="auto"/>
              <w:ind w:left="1894"/>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交通工</w:t>
            </w:r>
            <w:r>
              <w:rPr>
                <w:rFonts w:ascii="宋体" w:hAnsi="宋体" w:eastAsia="宋体" w:cs="宋体"/>
                <w:spacing w:val="7"/>
                <w:sz w:val="17"/>
                <w:szCs w:val="17"/>
                <w14:textOutline w14:w="3268" w14:cap="sq" w14:cmpd="sng">
                  <w14:solidFill>
                    <w14:srgbClr w14:val="000000"/>
                  </w14:solidFill>
                  <w14:prstDash w14:val="solid"/>
                  <w14:bevel/>
                </w14:textOutline>
              </w:rPr>
              <w:t>程</w:t>
            </w:r>
          </w:p>
        </w:tc>
        <w:tc>
          <w:tcPr>
            <w:tcW w:w="662" w:type="dxa"/>
            <w:vAlign w:val="top"/>
          </w:tcPr>
          <w:p>
            <w:pPr>
              <w:spacing w:before="73" w:line="228" w:lineRule="auto"/>
              <w:ind w:left="252"/>
              <w:rPr>
                <w:rFonts w:ascii="宋体" w:hAnsi="宋体" w:eastAsia="宋体" w:cs="宋体"/>
                <w:sz w:val="17"/>
                <w:szCs w:val="17"/>
              </w:rPr>
            </w:pPr>
            <w:r>
              <w:rPr>
                <w:rFonts w:ascii="宋体" w:hAnsi="宋体" w:eastAsia="宋体" w:cs="宋体"/>
                <w:sz w:val="17"/>
                <w:szCs w:val="17"/>
                <w14:textOutline w14:w="3268" w14:cap="sq" w14:cmpd="sng">
                  <w14:solidFill>
                    <w14:srgbClr w14:val="000000"/>
                  </w14:solidFill>
                  <w14:prstDash w14:val="solid"/>
                  <w14:bevel/>
                </w14:textOutline>
              </w:rPr>
              <w:t>项</w:t>
            </w:r>
          </w:p>
        </w:tc>
        <w:tc>
          <w:tcPr>
            <w:tcW w:w="1300" w:type="dxa"/>
            <w:vAlign w:val="top"/>
          </w:tcPr>
          <w:p>
            <w:pPr>
              <w:spacing w:before="104" w:line="197" w:lineRule="auto"/>
              <w:ind w:left="619"/>
              <w:rPr>
                <w:rFonts w:ascii="Times New Roman" w:hAnsi="Times New Roman" w:eastAsia="Times New Roman" w:cs="Times New Roman"/>
                <w:sz w:val="17"/>
                <w:szCs w:val="17"/>
              </w:rPr>
            </w:pPr>
            <w:r>
              <w:rPr>
                <w:rFonts w:ascii="Times New Roman" w:hAnsi="Times New Roman" w:eastAsia="Times New Roman" w:cs="Times New Roman"/>
                <w:b/>
                <w:bCs/>
                <w:sz w:val="17"/>
                <w:szCs w:val="17"/>
              </w:rPr>
              <w:t>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197" w:lineRule="auto"/>
              <w:ind w:left="339"/>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4495" w:type="dxa"/>
            <w:vAlign w:val="top"/>
          </w:tcPr>
          <w:p>
            <w:pPr>
              <w:spacing w:before="73" w:line="228" w:lineRule="auto"/>
              <w:ind w:left="1891"/>
              <w:rPr>
                <w:rFonts w:ascii="宋体" w:hAnsi="宋体" w:eastAsia="宋体" w:cs="宋体"/>
                <w:sz w:val="17"/>
                <w:szCs w:val="17"/>
              </w:rPr>
            </w:pPr>
            <w:r>
              <w:rPr>
                <w:rFonts w:ascii="宋体" w:hAnsi="宋体" w:eastAsia="宋体" w:cs="宋体"/>
                <w:spacing w:val="8"/>
                <w:sz w:val="17"/>
                <w:szCs w:val="17"/>
              </w:rPr>
              <w:t>标线工程</w:t>
            </w:r>
          </w:p>
        </w:tc>
        <w:tc>
          <w:tcPr>
            <w:tcW w:w="662" w:type="dxa"/>
            <w:vAlign w:val="top"/>
          </w:tcPr>
          <w:p>
            <w:pPr>
              <w:spacing w:before="73" w:line="228" w:lineRule="auto"/>
              <w:ind w:left="252"/>
              <w:rPr>
                <w:rFonts w:ascii="宋体" w:hAnsi="宋体" w:eastAsia="宋体" w:cs="宋体"/>
                <w:sz w:val="17"/>
                <w:szCs w:val="17"/>
              </w:rPr>
            </w:pPr>
            <w:r>
              <w:rPr>
                <w:rFonts w:ascii="宋体" w:hAnsi="宋体" w:eastAsia="宋体" w:cs="宋体"/>
                <w:sz w:val="17"/>
                <w:szCs w:val="17"/>
              </w:rPr>
              <w:t>项</w:t>
            </w:r>
          </w:p>
        </w:tc>
        <w:tc>
          <w:tcPr>
            <w:tcW w:w="1300" w:type="dxa"/>
            <w:vAlign w:val="top"/>
          </w:tcPr>
          <w:p>
            <w:pPr>
              <w:spacing w:before="104" w:line="197" w:lineRule="auto"/>
              <w:ind w:left="628"/>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197" w:lineRule="auto"/>
              <w:ind w:left="321"/>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4495" w:type="dxa"/>
            <w:vAlign w:val="top"/>
          </w:tcPr>
          <w:p>
            <w:pPr>
              <w:spacing w:before="73" w:line="228" w:lineRule="auto"/>
              <w:ind w:left="1440"/>
              <w:rPr>
                <w:rFonts w:ascii="宋体" w:hAnsi="宋体" w:eastAsia="宋体" w:cs="宋体"/>
                <w:sz w:val="17"/>
                <w:szCs w:val="17"/>
              </w:rPr>
            </w:pPr>
            <w:r>
              <w:rPr>
                <w:rFonts w:ascii="宋体" w:hAnsi="宋体" w:eastAsia="宋体" w:cs="宋体"/>
                <w:spacing w:val="10"/>
                <w:sz w:val="17"/>
                <w:szCs w:val="17"/>
              </w:rPr>
              <w:t>标</w:t>
            </w:r>
            <w:r>
              <w:rPr>
                <w:rFonts w:ascii="宋体" w:hAnsi="宋体" w:eastAsia="宋体" w:cs="宋体"/>
                <w:spacing w:val="9"/>
                <w:sz w:val="17"/>
                <w:szCs w:val="17"/>
              </w:rPr>
              <w:t>志及路面设施工程</w:t>
            </w:r>
          </w:p>
        </w:tc>
        <w:tc>
          <w:tcPr>
            <w:tcW w:w="662" w:type="dxa"/>
            <w:vAlign w:val="top"/>
          </w:tcPr>
          <w:p>
            <w:pPr>
              <w:spacing w:before="73" w:line="228" w:lineRule="auto"/>
              <w:ind w:left="252"/>
              <w:rPr>
                <w:rFonts w:ascii="宋体" w:hAnsi="宋体" w:eastAsia="宋体" w:cs="宋体"/>
                <w:sz w:val="17"/>
                <w:szCs w:val="17"/>
              </w:rPr>
            </w:pPr>
            <w:r>
              <w:rPr>
                <w:rFonts w:ascii="宋体" w:hAnsi="宋体" w:eastAsia="宋体" w:cs="宋体"/>
                <w:sz w:val="17"/>
                <w:szCs w:val="17"/>
              </w:rPr>
              <w:t>项</w:t>
            </w:r>
          </w:p>
        </w:tc>
        <w:tc>
          <w:tcPr>
            <w:tcW w:w="1300" w:type="dxa"/>
            <w:vAlign w:val="top"/>
          </w:tcPr>
          <w:p>
            <w:pPr>
              <w:spacing w:before="104" w:line="197" w:lineRule="auto"/>
              <w:ind w:left="628"/>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197" w:lineRule="auto"/>
              <w:ind w:left="325"/>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tc>
        <w:tc>
          <w:tcPr>
            <w:tcW w:w="4495" w:type="dxa"/>
            <w:vAlign w:val="top"/>
          </w:tcPr>
          <w:p>
            <w:pPr>
              <w:spacing w:before="73" w:line="228" w:lineRule="auto"/>
              <w:ind w:left="1803"/>
              <w:rPr>
                <w:rFonts w:ascii="宋体" w:hAnsi="宋体" w:eastAsia="宋体" w:cs="宋体"/>
                <w:sz w:val="17"/>
                <w:szCs w:val="17"/>
              </w:rPr>
            </w:pPr>
            <w:r>
              <w:rPr>
                <w:rFonts w:ascii="宋体" w:hAnsi="宋体" w:eastAsia="宋体" w:cs="宋体"/>
                <w:spacing w:val="8"/>
                <w:sz w:val="17"/>
                <w:szCs w:val="17"/>
              </w:rPr>
              <w:t>交通信号</w:t>
            </w:r>
            <w:r>
              <w:rPr>
                <w:rFonts w:ascii="宋体" w:hAnsi="宋体" w:eastAsia="宋体" w:cs="宋体"/>
                <w:spacing w:val="7"/>
                <w:sz w:val="17"/>
                <w:szCs w:val="17"/>
              </w:rPr>
              <w:t>灯</w:t>
            </w:r>
          </w:p>
        </w:tc>
        <w:tc>
          <w:tcPr>
            <w:tcW w:w="662" w:type="dxa"/>
            <w:vAlign w:val="top"/>
          </w:tcPr>
          <w:p>
            <w:pPr>
              <w:spacing w:before="73" w:line="228" w:lineRule="auto"/>
              <w:ind w:left="252"/>
              <w:rPr>
                <w:rFonts w:ascii="宋体" w:hAnsi="宋体" w:eastAsia="宋体" w:cs="宋体"/>
                <w:sz w:val="17"/>
                <w:szCs w:val="17"/>
              </w:rPr>
            </w:pPr>
            <w:r>
              <w:rPr>
                <w:rFonts w:ascii="宋体" w:hAnsi="宋体" w:eastAsia="宋体" w:cs="宋体"/>
                <w:sz w:val="17"/>
                <w:szCs w:val="17"/>
              </w:rPr>
              <w:t>项</w:t>
            </w:r>
          </w:p>
        </w:tc>
        <w:tc>
          <w:tcPr>
            <w:tcW w:w="1300" w:type="dxa"/>
            <w:vAlign w:val="top"/>
          </w:tcPr>
          <w:p>
            <w:pPr>
              <w:spacing w:before="104" w:line="197" w:lineRule="auto"/>
              <w:ind w:left="628"/>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197" w:lineRule="auto"/>
              <w:ind w:left="32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4495" w:type="dxa"/>
            <w:vAlign w:val="top"/>
          </w:tcPr>
          <w:p>
            <w:pPr>
              <w:spacing w:before="73" w:line="228" w:lineRule="auto"/>
              <w:ind w:left="1731"/>
              <w:rPr>
                <w:rFonts w:ascii="宋体" w:hAnsi="宋体" w:eastAsia="宋体" w:cs="宋体"/>
                <w:sz w:val="17"/>
                <w:szCs w:val="17"/>
              </w:rPr>
            </w:pPr>
            <w:r>
              <w:rPr>
                <w:rFonts w:ascii="宋体" w:hAnsi="宋体" w:eastAsia="宋体" w:cs="宋体"/>
                <w:spacing w:val="6"/>
                <w:sz w:val="17"/>
                <w:szCs w:val="17"/>
              </w:rPr>
              <w:t>电</w:t>
            </w:r>
            <w:r>
              <w:rPr>
                <w:rFonts w:ascii="宋体" w:hAnsi="宋体" w:eastAsia="宋体" w:cs="宋体"/>
                <w:spacing w:val="5"/>
                <w:sz w:val="17"/>
                <w:szCs w:val="17"/>
              </w:rPr>
              <w:t>子警察工程</w:t>
            </w:r>
          </w:p>
        </w:tc>
        <w:tc>
          <w:tcPr>
            <w:tcW w:w="662" w:type="dxa"/>
            <w:vAlign w:val="top"/>
          </w:tcPr>
          <w:p>
            <w:pPr>
              <w:spacing w:before="73" w:line="228" w:lineRule="auto"/>
              <w:ind w:left="252"/>
              <w:rPr>
                <w:rFonts w:ascii="宋体" w:hAnsi="宋体" w:eastAsia="宋体" w:cs="宋体"/>
                <w:sz w:val="17"/>
                <w:szCs w:val="17"/>
              </w:rPr>
            </w:pPr>
            <w:r>
              <w:rPr>
                <w:rFonts w:ascii="宋体" w:hAnsi="宋体" w:eastAsia="宋体" w:cs="宋体"/>
                <w:sz w:val="17"/>
                <w:szCs w:val="17"/>
              </w:rPr>
              <w:t>项</w:t>
            </w:r>
          </w:p>
        </w:tc>
        <w:tc>
          <w:tcPr>
            <w:tcW w:w="1300" w:type="dxa"/>
            <w:vAlign w:val="top"/>
          </w:tcPr>
          <w:p>
            <w:pPr>
              <w:spacing w:before="104" w:line="197" w:lineRule="auto"/>
              <w:ind w:left="628"/>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6" w:line="194" w:lineRule="auto"/>
              <w:ind w:left="326"/>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4495" w:type="dxa"/>
            <w:vAlign w:val="top"/>
          </w:tcPr>
          <w:p>
            <w:pPr>
              <w:spacing w:before="73" w:line="228" w:lineRule="auto"/>
              <w:ind w:left="1892"/>
              <w:rPr>
                <w:rFonts w:ascii="宋体" w:hAnsi="宋体" w:eastAsia="宋体" w:cs="宋体"/>
                <w:sz w:val="17"/>
                <w:szCs w:val="17"/>
              </w:rPr>
            </w:pPr>
            <w:r>
              <w:rPr>
                <w:rFonts w:ascii="宋体" w:hAnsi="宋体" w:eastAsia="宋体" w:cs="宋体"/>
                <w:spacing w:val="8"/>
                <w:sz w:val="17"/>
                <w:szCs w:val="17"/>
              </w:rPr>
              <w:t>人脸识</w:t>
            </w:r>
            <w:r>
              <w:rPr>
                <w:rFonts w:ascii="宋体" w:hAnsi="宋体" w:eastAsia="宋体" w:cs="宋体"/>
                <w:spacing w:val="7"/>
                <w:sz w:val="17"/>
                <w:szCs w:val="17"/>
              </w:rPr>
              <w:t>别</w:t>
            </w:r>
          </w:p>
        </w:tc>
        <w:tc>
          <w:tcPr>
            <w:tcW w:w="662" w:type="dxa"/>
            <w:vAlign w:val="top"/>
          </w:tcPr>
          <w:p>
            <w:pPr>
              <w:spacing w:before="73" w:line="228" w:lineRule="auto"/>
              <w:ind w:left="252"/>
              <w:rPr>
                <w:rFonts w:ascii="宋体" w:hAnsi="宋体" w:eastAsia="宋体" w:cs="宋体"/>
                <w:sz w:val="17"/>
                <w:szCs w:val="17"/>
              </w:rPr>
            </w:pPr>
            <w:r>
              <w:rPr>
                <w:rFonts w:ascii="宋体" w:hAnsi="宋体" w:eastAsia="宋体" w:cs="宋体"/>
                <w:sz w:val="17"/>
                <w:szCs w:val="17"/>
              </w:rPr>
              <w:t>项</w:t>
            </w:r>
          </w:p>
        </w:tc>
        <w:tc>
          <w:tcPr>
            <w:tcW w:w="1300" w:type="dxa"/>
            <w:vAlign w:val="top"/>
          </w:tcPr>
          <w:p>
            <w:pPr>
              <w:spacing w:before="104" w:line="197" w:lineRule="auto"/>
              <w:ind w:left="628"/>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197" w:lineRule="auto"/>
              <w:ind w:left="325"/>
              <w:rPr>
                <w:rFonts w:ascii="Times New Roman" w:hAnsi="Times New Roman" w:eastAsia="Times New Roman" w:cs="Times New Roman"/>
                <w:sz w:val="17"/>
                <w:szCs w:val="17"/>
              </w:rPr>
            </w:pPr>
            <w:r>
              <w:rPr>
                <w:rFonts w:ascii="Times New Roman" w:hAnsi="Times New Roman" w:eastAsia="Times New Roman" w:cs="Times New Roman"/>
                <w:sz w:val="17"/>
                <w:szCs w:val="17"/>
              </w:rPr>
              <w:t>6</w:t>
            </w:r>
          </w:p>
        </w:tc>
        <w:tc>
          <w:tcPr>
            <w:tcW w:w="4495" w:type="dxa"/>
            <w:vAlign w:val="top"/>
          </w:tcPr>
          <w:p>
            <w:pPr>
              <w:spacing w:before="73" w:line="228" w:lineRule="auto"/>
              <w:ind w:left="1709"/>
              <w:rPr>
                <w:rFonts w:ascii="宋体" w:hAnsi="宋体" w:eastAsia="宋体" w:cs="宋体"/>
                <w:sz w:val="17"/>
                <w:szCs w:val="17"/>
              </w:rPr>
            </w:pPr>
            <w:r>
              <w:rPr>
                <w:rFonts w:ascii="宋体" w:hAnsi="宋体" w:eastAsia="宋体" w:cs="宋体"/>
                <w:spacing w:val="9"/>
                <w:sz w:val="17"/>
                <w:szCs w:val="17"/>
              </w:rPr>
              <w:t>视频监控工</w:t>
            </w:r>
            <w:r>
              <w:rPr>
                <w:rFonts w:ascii="宋体" w:hAnsi="宋体" w:eastAsia="宋体" w:cs="宋体"/>
                <w:spacing w:val="8"/>
                <w:sz w:val="17"/>
                <w:szCs w:val="17"/>
              </w:rPr>
              <w:t>程</w:t>
            </w:r>
          </w:p>
        </w:tc>
        <w:tc>
          <w:tcPr>
            <w:tcW w:w="662" w:type="dxa"/>
            <w:vAlign w:val="top"/>
          </w:tcPr>
          <w:p>
            <w:pPr>
              <w:spacing w:before="73" w:line="228" w:lineRule="auto"/>
              <w:ind w:left="252"/>
              <w:rPr>
                <w:rFonts w:ascii="宋体" w:hAnsi="宋体" w:eastAsia="宋体" w:cs="宋体"/>
                <w:sz w:val="17"/>
                <w:szCs w:val="17"/>
              </w:rPr>
            </w:pPr>
            <w:r>
              <w:rPr>
                <w:rFonts w:ascii="宋体" w:hAnsi="宋体" w:eastAsia="宋体" w:cs="宋体"/>
                <w:sz w:val="17"/>
                <w:szCs w:val="17"/>
              </w:rPr>
              <w:t>项</w:t>
            </w:r>
          </w:p>
        </w:tc>
        <w:tc>
          <w:tcPr>
            <w:tcW w:w="1300" w:type="dxa"/>
            <w:vAlign w:val="top"/>
          </w:tcPr>
          <w:p>
            <w:pPr>
              <w:spacing w:before="104" w:line="197" w:lineRule="auto"/>
              <w:ind w:left="628"/>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73" w:line="228" w:lineRule="auto"/>
              <w:ind w:left="282"/>
              <w:rPr>
                <w:rFonts w:ascii="宋体" w:hAnsi="宋体" w:eastAsia="宋体" w:cs="宋体"/>
                <w:sz w:val="17"/>
                <w:szCs w:val="17"/>
              </w:rPr>
            </w:pPr>
            <w:r>
              <w:rPr>
                <w:rFonts w:ascii="宋体" w:hAnsi="宋体" w:eastAsia="宋体" w:cs="宋体"/>
                <w:sz w:val="17"/>
                <w:szCs w:val="17"/>
                <w14:textOutline w14:w="3268" w14:cap="sq" w14:cmpd="sng">
                  <w14:solidFill>
                    <w14:srgbClr w14:val="000000"/>
                  </w14:solidFill>
                  <w14:prstDash w14:val="solid"/>
                  <w14:bevel/>
                </w14:textOutline>
              </w:rPr>
              <w:t>五</w:t>
            </w:r>
          </w:p>
        </w:tc>
        <w:tc>
          <w:tcPr>
            <w:tcW w:w="4495" w:type="dxa"/>
            <w:vAlign w:val="top"/>
          </w:tcPr>
          <w:p>
            <w:pPr>
              <w:spacing w:before="73" w:line="228" w:lineRule="auto"/>
              <w:ind w:left="1896"/>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照</w:t>
            </w:r>
            <w:r>
              <w:rPr>
                <w:rFonts w:ascii="宋体" w:hAnsi="宋体" w:eastAsia="宋体" w:cs="宋体"/>
                <w:spacing w:val="7"/>
                <w:sz w:val="17"/>
                <w:szCs w:val="17"/>
                <w14:textOutline w14:w="3268" w14:cap="sq" w14:cmpd="sng">
                  <w14:solidFill>
                    <w14:srgbClr w14:val="000000"/>
                  </w14:solidFill>
                  <w14:prstDash w14:val="solid"/>
                  <w14:bevel/>
                </w14:textOutline>
              </w:rPr>
              <w:t>明工程</w:t>
            </w:r>
          </w:p>
        </w:tc>
        <w:tc>
          <w:tcPr>
            <w:tcW w:w="662" w:type="dxa"/>
            <w:vAlign w:val="top"/>
          </w:tcPr>
          <w:p>
            <w:pPr>
              <w:spacing w:before="73" w:line="228" w:lineRule="auto"/>
              <w:ind w:left="252"/>
              <w:rPr>
                <w:rFonts w:ascii="宋体" w:hAnsi="宋体" w:eastAsia="宋体" w:cs="宋体"/>
                <w:sz w:val="17"/>
                <w:szCs w:val="17"/>
              </w:rPr>
            </w:pPr>
            <w:r>
              <w:rPr>
                <w:rFonts w:ascii="宋体" w:hAnsi="宋体" w:eastAsia="宋体" w:cs="宋体"/>
                <w:sz w:val="17"/>
                <w:szCs w:val="17"/>
                <w14:textOutline w14:w="3268" w14:cap="sq" w14:cmpd="sng">
                  <w14:solidFill>
                    <w14:srgbClr w14:val="000000"/>
                  </w14:solidFill>
                  <w14:prstDash w14:val="solid"/>
                  <w14:bevel/>
                </w14:textOutline>
              </w:rPr>
              <w:t>项</w:t>
            </w:r>
          </w:p>
        </w:tc>
        <w:tc>
          <w:tcPr>
            <w:tcW w:w="1300" w:type="dxa"/>
            <w:vAlign w:val="top"/>
          </w:tcPr>
          <w:p>
            <w:pPr>
              <w:spacing w:before="104" w:line="197" w:lineRule="auto"/>
              <w:ind w:left="619"/>
              <w:rPr>
                <w:rFonts w:ascii="Times New Roman" w:hAnsi="Times New Roman" w:eastAsia="Times New Roman" w:cs="Times New Roman"/>
                <w:sz w:val="17"/>
                <w:szCs w:val="17"/>
              </w:rPr>
            </w:pPr>
            <w:r>
              <w:rPr>
                <w:rFonts w:ascii="Times New Roman" w:hAnsi="Times New Roman" w:eastAsia="Times New Roman" w:cs="Times New Roman"/>
                <w:b/>
                <w:bCs/>
                <w:sz w:val="17"/>
                <w:szCs w:val="17"/>
              </w:rPr>
              <w:t>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4" w:line="197" w:lineRule="auto"/>
              <w:ind w:left="339"/>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4495" w:type="dxa"/>
            <w:vAlign w:val="top"/>
          </w:tcPr>
          <w:p>
            <w:pPr>
              <w:spacing w:before="40" w:line="242" w:lineRule="exact"/>
              <w:ind w:left="317"/>
              <w:rPr>
                <w:rFonts w:ascii="宋体" w:hAnsi="宋体" w:eastAsia="宋体" w:cs="宋体"/>
                <w:sz w:val="17"/>
                <w:szCs w:val="17"/>
              </w:rPr>
            </w:pPr>
            <w:r>
              <w:rPr>
                <w:rFonts w:ascii="Times New Roman" w:hAnsi="Times New Roman" w:eastAsia="Times New Roman" w:cs="Times New Roman"/>
                <w:position w:val="1"/>
                <w:sz w:val="17"/>
                <w:szCs w:val="17"/>
              </w:rPr>
              <w:t>H</w:t>
            </w:r>
            <w:r>
              <w:rPr>
                <w:rFonts w:ascii="Times New Roman" w:hAnsi="Times New Roman" w:eastAsia="Times New Roman" w:cs="Times New Roman"/>
                <w:spacing w:val="2"/>
                <w:position w:val="1"/>
                <w:sz w:val="17"/>
                <w:szCs w:val="17"/>
              </w:rPr>
              <w:t>= 10</w:t>
            </w:r>
            <w:r>
              <w:rPr>
                <w:rFonts w:ascii="Times New Roman" w:hAnsi="Times New Roman" w:eastAsia="Times New Roman" w:cs="Times New Roman"/>
                <w:position w:val="1"/>
                <w:sz w:val="17"/>
                <w:szCs w:val="17"/>
              </w:rPr>
              <w:t>m</w:t>
            </w:r>
            <w:r>
              <w:rPr>
                <w:rFonts w:ascii="Times New Roman" w:hAnsi="Times New Roman" w:eastAsia="Times New Roman" w:cs="Times New Roman"/>
                <w:spacing w:val="2"/>
                <w:position w:val="1"/>
                <w:sz w:val="17"/>
                <w:szCs w:val="17"/>
              </w:rPr>
              <w:t xml:space="preserve"> </w:t>
            </w:r>
            <w:r>
              <w:rPr>
                <w:rFonts w:ascii="宋体" w:hAnsi="宋体" w:eastAsia="宋体" w:cs="宋体"/>
                <w:spacing w:val="2"/>
                <w:position w:val="1"/>
                <w:sz w:val="17"/>
                <w:szCs w:val="17"/>
              </w:rPr>
              <w:t>，</w:t>
            </w:r>
            <w:r>
              <w:rPr>
                <w:rFonts w:ascii="Times New Roman" w:hAnsi="Times New Roman" w:eastAsia="Times New Roman" w:cs="Times New Roman"/>
                <w:spacing w:val="2"/>
                <w:position w:val="1"/>
                <w:sz w:val="17"/>
                <w:szCs w:val="17"/>
              </w:rPr>
              <w:t>200</w:t>
            </w:r>
            <w:r>
              <w:rPr>
                <w:rFonts w:ascii="Times New Roman" w:hAnsi="Times New Roman" w:eastAsia="Times New Roman" w:cs="Times New Roman"/>
                <w:position w:val="1"/>
                <w:sz w:val="17"/>
                <w:szCs w:val="17"/>
              </w:rPr>
              <w:t>W</w:t>
            </w:r>
            <w:r>
              <w:rPr>
                <w:rFonts w:ascii="Times New Roman" w:hAnsi="Times New Roman" w:eastAsia="Times New Roman" w:cs="Times New Roman"/>
                <w:spacing w:val="2"/>
                <w:position w:val="1"/>
                <w:sz w:val="17"/>
                <w:szCs w:val="17"/>
              </w:rPr>
              <w:t xml:space="preserve"> </w:t>
            </w:r>
            <w:r>
              <w:rPr>
                <w:rFonts w:ascii="宋体" w:hAnsi="宋体" w:eastAsia="宋体" w:cs="宋体"/>
                <w:spacing w:val="2"/>
                <w:position w:val="1"/>
                <w:sz w:val="17"/>
                <w:szCs w:val="17"/>
              </w:rPr>
              <w:t>，</w:t>
            </w:r>
            <w:r>
              <w:rPr>
                <w:rFonts w:ascii="Times New Roman" w:hAnsi="Times New Roman" w:eastAsia="Times New Roman" w:cs="Times New Roman"/>
                <w:position w:val="1"/>
                <w:sz w:val="17"/>
                <w:szCs w:val="17"/>
              </w:rPr>
              <w:t>LED</w:t>
            </w:r>
            <w:r>
              <w:rPr>
                <w:rFonts w:ascii="Times New Roman" w:hAnsi="Times New Roman" w:eastAsia="Times New Roman" w:cs="Times New Roman"/>
                <w:spacing w:val="2"/>
                <w:position w:val="1"/>
                <w:sz w:val="17"/>
                <w:szCs w:val="17"/>
              </w:rPr>
              <w:t xml:space="preserve"> </w:t>
            </w:r>
            <w:r>
              <w:rPr>
                <w:rFonts w:ascii="宋体" w:hAnsi="宋体" w:eastAsia="宋体" w:cs="宋体"/>
                <w:spacing w:val="2"/>
                <w:position w:val="1"/>
                <w:sz w:val="17"/>
                <w:szCs w:val="17"/>
              </w:rPr>
              <w:t>灯，</w:t>
            </w:r>
            <w:r>
              <w:rPr>
                <w:rFonts w:ascii="宋体" w:hAnsi="宋体" w:eastAsia="宋体" w:cs="宋体"/>
                <w:spacing w:val="1"/>
                <w:position w:val="1"/>
                <w:sz w:val="17"/>
                <w:szCs w:val="17"/>
              </w:rPr>
              <w:t xml:space="preserve">半截光型，臂长 </w:t>
            </w:r>
            <w:r>
              <w:rPr>
                <w:rFonts w:ascii="Times New Roman" w:hAnsi="Times New Roman" w:eastAsia="Times New Roman" w:cs="Times New Roman"/>
                <w:spacing w:val="1"/>
                <w:position w:val="1"/>
                <w:sz w:val="17"/>
                <w:szCs w:val="17"/>
              </w:rPr>
              <w:t xml:space="preserve">1.5 </w:t>
            </w:r>
            <w:r>
              <w:rPr>
                <w:rFonts w:ascii="宋体" w:hAnsi="宋体" w:eastAsia="宋体" w:cs="宋体"/>
                <w:spacing w:val="1"/>
                <w:position w:val="1"/>
                <w:sz w:val="17"/>
                <w:szCs w:val="17"/>
              </w:rPr>
              <w:t>米</w:t>
            </w:r>
          </w:p>
        </w:tc>
        <w:tc>
          <w:tcPr>
            <w:tcW w:w="662" w:type="dxa"/>
            <w:vAlign w:val="top"/>
          </w:tcPr>
          <w:p>
            <w:pPr>
              <w:spacing w:before="73" w:line="228" w:lineRule="auto"/>
              <w:ind w:left="249"/>
              <w:rPr>
                <w:rFonts w:ascii="宋体" w:hAnsi="宋体" w:eastAsia="宋体" w:cs="宋体"/>
                <w:sz w:val="17"/>
                <w:szCs w:val="17"/>
              </w:rPr>
            </w:pPr>
            <w:r>
              <w:rPr>
                <w:rFonts w:ascii="宋体" w:hAnsi="宋体" w:eastAsia="宋体" w:cs="宋体"/>
                <w:spacing w:val="2"/>
                <w:sz w:val="17"/>
                <w:szCs w:val="17"/>
              </w:rPr>
              <w:t>套</w:t>
            </w:r>
          </w:p>
        </w:tc>
        <w:tc>
          <w:tcPr>
            <w:tcW w:w="1300" w:type="dxa"/>
            <w:vAlign w:val="top"/>
          </w:tcPr>
          <w:p>
            <w:pPr>
              <w:spacing w:before="104" w:line="197" w:lineRule="auto"/>
              <w:ind w:left="56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600" w:type="dxa"/>
            <w:vMerge w:val="continue"/>
            <w:tcBorders>
              <w:top w:val="nil"/>
              <w:left w:val="single" w:color="000000" w:sz="6" w:space="0"/>
            </w:tcBorders>
            <w:vAlign w:val="top"/>
          </w:tcPr>
          <w:p>
            <w:pPr>
              <w:rPr>
                <w:rFonts w:ascii="Arial"/>
                <w:sz w:val="21"/>
              </w:rPr>
            </w:pPr>
          </w:p>
        </w:tc>
        <w:tc>
          <w:tcPr>
            <w:tcW w:w="211" w:type="dxa"/>
            <w:vMerge w:val="continue"/>
            <w:tcBorders>
              <w:top w:val="nil"/>
            </w:tcBorders>
            <w:vAlign w:val="top"/>
          </w:tcPr>
          <w:p>
            <w:pPr>
              <w:rPr>
                <w:rFonts w:ascii="Arial"/>
                <w:sz w:val="21"/>
              </w:rPr>
            </w:pPr>
          </w:p>
        </w:tc>
        <w:tc>
          <w:tcPr>
            <w:tcW w:w="741" w:type="dxa"/>
            <w:vAlign w:val="top"/>
          </w:tcPr>
          <w:p>
            <w:pPr>
              <w:spacing w:before="104" w:line="197" w:lineRule="auto"/>
              <w:ind w:left="321"/>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4495" w:type="dxa"/>
            <w:vAlign w:val="top"/>
          </w:tcPr>
          <w:p>
            <w:pPr>
              <w:spacing w:before="40" w:line="242" w:lineRule="exact"/>
              <w:ind w:left="744"/>
              <w:rPr>
                <w:rFonts w:ascii="宋体" w:hAnsi="宋体" w:eastAsia="宋体" w:cs="宋体"/>
                <w:sz w:val="17"/>
                <w:szCs w:val="17"/>
              </w:rPr>
            </w:pPr>
            <w:r>
              <w:rPr>
                <w:rFonts w:ascii="Times New Roman" w:hAnsi="Times New Roman" w:eastAsia="Times New Roman" w:cs="Times New Roman"/>
                <w:position w:val="1"/>
                <w:sz w:val="17"/>
                <w:szCs w:val="17"/>
              </w:rPr>
              <w:t>H</w:t>
            </w:r>
            <w:r>
              <w:rPr>
                <w:rFonts w:ascii="Times New Roman" w:hAnsi="Times New Roman" w:eastAsia="Times New Roman" w:cs="Times New Roman"/>
                <w:spacing w:val="2"/>
                <w:position w:val="1"/>
                <w:sz w:val="17"/>
                <w:szCs w:val="17"/>
              </w:rPr>
              <w:t>= 15</w:t>
            </w:r>
            <w:r>
              <w:rPr>
                <w:rFonts w:ascii="Times New Roman" w:hAnsi="Times New Roman" w:eastAsia="Times New Roman" w:cs="Times New Roman"/>
                <w:position w:val="1"/>
                <w:sz w:val="17"/>
                <w:szCs w:val="17"/>
              </w:rPr>
              <w:t>m</w:t>
            </w:r>
            <w:r>
              <w:rPr>
                <w:rFonts w:ascii="Times New Roman" w:hAnsi="Times New Roman" w:eastAsia="Times New Roman" w:cs="Times New Roman"/>
                <w:spacing w:val="2"/>
                <w:position w:val="1"/>
                <w:sz w:val="17"/>
                <w:szCs w:val="17"/>
              </w:rPr>
              <w:t xml:space="preserve"> </w:t>
            </w:r>
            <w:r>
              <w:rPr>
                <w:rFonts w:ascii="宋体" w:hAnsi="宋体" w:eastAsia="宋体" w:cs="宋体"/>
                <w:spacing w:val="2"/>
                <w:position w:val="1"/>
                <w:sz w:val="17"/>
                <w:szCs w:val="17"/>
              </w:rPr>
              <w:t>，</w:t>
            </w:r>
            <w:r>
              <w:rPr>
                <w:rFonts w:ascii="Times New Roman" w:hAnsi="Times New Roman" w:eastAsia="Times New Roman" w:cs="Times New Roman"/>
                <w:spacing w:val="2"/>
                <w:position w:val="1"/>
                <w:sz w:val="17"/>
                <w:szCs w:val="17"/>
              </w:rPr>
              <w:t>3</w:t>
            </w:r>
            <w:r>
              <w:rPr>
                <w:rFonts w:ascii="Times New Roman" w:hAnsi="Times New Roman" w:eastAsia="Times New Roman" w:cs="Times New Roman"/>
                <w:position w:val="1"/>
                <w:sz w:val="17"/>
                <w:szCs w:val="17"/>
              </w:rPr>
              <w:t>x</w:t>
            </w:r>
            <w:r>
              <w:rPr>
                <w:rFonts w:ascii="Times New Roman" w:hAnsi="Times New Roman" w:eastAsia="Times New Roman" w:cs="Times New Roman"/>
                <w:spacing w:val="2"/>
                <w:position w:val="1"/>
                <w:sz w:val="17"/>
                <w:szCs w:val="17"/>
              </w:rPr>
              <w:t>250</w:t>
            </w:r>
            <w:r>
              <w:rPr>
                <w:rFonts w:ascii="Times New Roman" w:hAnsi="Times New Roman" w:eastAsia="Times New Roman" w:cs="Times New Roman"/>
                <w:position w:val="1"/>
                <w:sz w:val="17"/>
                <w:szCs w:val="17"/>
              </w:rPr>
              <w:t>W</w:t>
            </w:r>
            <w:r>
              <w:rPr>
                <w:rFonts w:ascii="Times New Roman" w:hAnsi="Times New Roman" w:eastAsia="Times New Roman" w:cs="Times New Roman"/>
                <w:spacing w:val="2"/>
                <w:position w:val="1"/>
                <w:sz w:val="17"/>
                <w:szCs w:val="17"/>
              </w:rPr>
              <w:t xml:space="preserve"> </w:t>
            </w:r>
            <w:r>
              <w:rPr>
                <w:rFonts w:ascii="宋体" w:hAnsi="宋体" w:eastAsia="宋体" w:cs="宋体"/>
                <w:spacing w:val="2"/>
                <w:position w:val="1"/>
                <w:sz w:val="17"/>
                <w:szCs w:val="17"/>
              </w:rPr>
              <w:t>，</w:t>
            </w:r>
            <w:r>
              <w:rPr>
                <w:rFonts w:ascii="Times New Roman" w:hAnsi="Times New Roman" w:eastAsia="Times New Roman" w:cs="Times New Roman"/>
                <w:position w:val="1"/>
                <w:sz w:val="17"/>
                <w:szCs w:val="17"/>
              </w:rPr>
              <w:t>LED</w:t>
            </w:r>
            <w:r>
              <w:rPr>
                <w:rFonts w:ascii="Times New Roman" w:hAnsi="Times New Roman" w:eastAsia="Times New Roman" w:cs="Times New Roman"/>
                <w:spacing w:val="2"/>
                <w:position w:val="1"/>
                <w:sz w:val="17"/>
                <w:szCs w:val="17"/>
              </w:rPr>
              <w:t xml:space="preserve"> </w:t>
            </w:r>
            <w:r>
              <w:rPr>
                <w:rFonts w:ascii="宋体" w:hAnsi="宋体" w:eastAsia="宋体" w:cs="宋体"/>
                <w:spacing w:val="2"/>
                <w:position w:val="1"/>
                <w:sz w:val="17"/>
                <w:szCs w:val="17"/>
              </w:rPr>
              <w:t>灯，半截</w:t>
            </w:r>
            <w:r>
              <w:rPr>
                <w:rFonts w:ascii="宋体" w:hAnsi="宋体" w:eastAsia="宋体" w:cs="宋体"/>
                <w:position w:val="1"/>
                <w:sz w:val="17"/>
                <w:szCs w:val="17"/>
              </w:rPr>
              <w:t>光型</w:t>
            </w:r>
          </w:p>
        </w:tc>
        <w:tc>
          <w:tcPr>
            <w:tcW w:w="662" w:type="dxa"/>
            <w:vAlign w:val="top"/>
          </w:tcPr>
          <w:p>
            <w:pPr>
              <w:spacing w:before="73" w:line="231" w:lineRule="auto"/>
              <w:ind w:left="249"/>
              <w:rPr>
                <w:rFonts w:ascii="宋体" w:hAnsi="宋体" w:eastAsia="宋体" w:cs="宋体"/>
                <w:sz w:val="17"/>
                <w:szCs w:val="17"/>
              </w:rPr>
            </w:pPr>
            <w:r>
              <w:rPr>
                <w:rFonts w:ascii="宋体" w:hAnsi="宋体" w:eastAsia="宋体" w:cs="宋体"/>
                <w:spacing w:val="2"/>
                <w:sz w:val="17"/>
                <w:szCs w:val="17"/>
              </w:rPr>
              <w:t>套</w:t>
            </w:r>
          </w:p>
        </w:tc>
        <w:tc>
          <w:tcPr>
            <w:tcW w:w="1300" w:type="dxa"/>
            <w:vAlign w:val="top"/>
          </w:tcPr>
          <w:p>
            <w:pPr>
              <w:spacing w:before="104" w:line="197" w:lineRule="auto"/>
              <w:ind w:left="628"/>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687" w:type="dxa"/>
            <w:vAlign w:val="top"/>
          </w:tcPr>
          <w:p>
            <w:pPr>
              <w:rPr>
                <w:rFonts w:ascii="Arial"/>
                <w:sz w:val="21"/>
              </w:rPr>
            </w:pPr>
          </w:p>
        </w:tc>
        <w:tc>
          <w:tcPr>
            <w:tcW w:w="221" w:type="dxa"/>
            <w:vMerge w:val="continue"/>
            <w:tcBorders>
              <w:top w:val="nil"/>
              <w:right w:val="single" w:color="000000" w:sz="6" w:space="0"/>
            </w:tcBorders>
            <w:vAlign w:val="top"/>
          </w:tcPr>
          <w:p>
            <w:pPr>
              <w:rPr>
                <w:rFonts w:ascii="Arial"/>
                <w:sz w:val="21"/>
              </w:rPr>
            </w:pPr>
          </w:p>
        </w:tc>
      </w:tr>
    </w:tbl>
    <w:p>
      <w:pPr>
        <w:spacing w:line="212" w:lineRule="exact"/>
        <w:rPr>
          <w:rFonts w:ascii="Arial"/>
          <w:sz w:val="18"/>
        </w:rPr>
      </w:pPr>
    </w:p>
    <w:p>
      <w:pPr>
        <w:sectPr>
          <w:footerReference r:id="rId48" w:type="default"/>
          <w:pgSz w:w="11906" w:h="16839"/>
          <w:pgMar w:top="400" w:right="1487" w:bottom="1475" w:left="1486" w:header="0" w:footer="1315" w:gutter="0"/>
          <w:cols w:space="720" w:num="1"/>
        </w:sectPr>
      </w:pPr>
    </w:p>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211"/>
        <w:gridCol w:w="741"/>
        <w:gridCol w:w="4495"/>
        <w:gridCol w:w="662"/>
        <w:gridCol w:w="1300"/>
        <w:gridCol w:w="687"/>
        <w:gridCol w:w="2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600" w:type="dxa"/>
            <w:vMerge w:val="restart"/>
            <w:tcBorders>
              <w:left w:val="single" w:color="000000" w:sz="6" w:space="0"/>
              <w:bottom w:val="nil"/>
            </w:tcBorders>
            <w:vAlign w:val="top"/>
          </w:tcPr>
          <w:p>
            <w:pPr>
              <w:spacing w:line="346" w:lineRule="auto"/>
              <w:rPr>
                <w:rFonts w:ascii="Arial"/>
                <w:sz w:val="21"/>
              </w:rPr>
            </w:pPr>
          </w:p>
          <w:p>
            <w:pPr>
              <w:spacing w:line="346" w:lineRule="auto"/>
              <w:rPr>
                <w:rFonts w:ascii="Arial"/>
                <w:sz w:val="21"/>
              </w:rPr>
            </w:pPr>
          </w:p>
          <w:p>
            <w:pPr>
              <w:spacing w:before="65" w:line="228" w:lineRule="auto"/>
              <w:ind w:left="91"/>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p>
            <w:pPr>
              <w:spacing w:before="23" w:line="229" w:lineRule="auto"/>
              <w:ind w:left="9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组</w:t>
            </w:r>
            <w:r>
              <w:rPr>
                <w:rFonts w:ascii="宋体" w:hAnsi="宋体" w:eastAsia="宋体" w:cs="宋体"/>
                <w:spacing w:val="4"/>
                <w:sz w:val="20"/>
                <w:szCs w:val="20"/>
                <w14:textOutline w14:w="3795" w14:cap="sq" w14:cmpd="sng">
                  <w14:solidFill>
                    <w14:srgbClr w14:val="000000"/>
                  </w14:solidFill>
                  <w14:prstDash w14:val="solid"/>
                  <w14:bevel/>
                </w14:textOutline>
              </w:rPr>
              <w:t>成</w:t>
            </w:r>
          </w:p>
          <w:p>
            <w:pPr>
              <w:spacing w:before="25" w:line="230" w:lineRule="auto"/>
              <w:ind w:left="8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及规</w:t>
            </w:r>
          </w:p>
          <w:p>
            <w:pPr>
              <w:spacing w:before="21" w:line="228" w:lineRule="auto"/>
              <w:ind w:left="190"/>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模</w:t>
            </w:r>
          </w:p>
        </w:tc>
        <w:tc>
          <w:tcPr>
            <w:tcW w:w="211" w:type="dxa"/>
            <w:vMerge w:val="restart"/>
            <w:tcBorders>
              <w:bottom w:val="nil"/>
            </w:tcBorders>
            <w:vAlign w:val="top"/>
          </w:tcPr>
          <w:p>
            <w:pPr>
              <w:rPr>
                <w:rFonts w:ascii="Arial"/>
                <w:sz w:val="21"/>
              </w:rPr>
            </w:pPr>
          </w:p>
        </w:tc>
        <w:tc>
          <w:tcPr>
            <w:tcW w:w="741" w:type="dxa"/>
            <w:vAlign w:val="top"/>
          </w:tcPr>
          <w:p>
            <w:pPr>
              <w:spacing w:before="114" w:line="197" w:lineRule="auto"/>
              <w:ind w:left="325"/>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tc>
        <w:tc>
          <w:tcPr>
            <w:tcW w:w="4495" w:type="dxa"/>
            <w:vAlign w:val="top"/>
          </w:tcPr>
          <w:p>
            <w:pPr>
              <w:spacing w:before="100" w:line="203" w:lineRule="auto"/>
              <w:ind w:left="1410"/>
              <w:rPr>
                <w:rFonts w:ascii="宋体" w:hAnsi="宋体" w:eastAsia="宋体" w:cs="宋体"/>
                <w:sz w:val="17"/>
                <w:szCs w:val="17"/>
              </w:rPr>
            </w:pPr>
            <w:r>
              <w:rPr>
                <w:rFonts w:ascii="Times New Roman" w:hAnsi="Times New Roman" w:eastAsia="Times New Roman" w:cs="Times New Roman"/>
                <w:spacing w:val="-1"/>
                <w:sz w:val="17"/>
                <w:szCs w:val="17"/>
              </w:rPr>
              <w:t>YJV- 1</w:t>
            </w:r>
            <w:r>
              <w:rPr>
                <w:rFonts w:ascii="Times New Roman" w:hAnsi="Times New Roman" w:eastAsia="Times New Roman" w:cs="Times New Roman"/>
                <w:sz w:val="17"/>
                <w:szCs w:val="17"/>
              </w:rPr>
              <w:t>KV</w:t>
            </w:r>
            <w:r>
              <w:rPr>
                <w:rFonts w:ascii="Times New Roman" w:hAnsi="Times New Roman" w:eastAsia="Times New Roman" w:cs="Times New Roman"/>
                <w:spacing w:val="-1"/>
                <w:sz w:val="17"/>
                <w:szCs w:val="17"/>
              </w:rPr>
              <w:t xml:space="preserve"> </w:t>
            </w:r>
            <w:r>
              <w:rPr>
                <w:rFonts w:ascii="宋体" w:hAnsi="宋体" w:eastAsia="宋体" w:cs="宋体"/>
                <w:spacing w:val="-1"/>
                <w:sz w:val="17"/>
                <w:szCs w:val="17"/>
              </w:rPr>
              <w:t>，</w:t>
            </w:r>
            <w:r>
              <w:rPr>
                <w:rFonts w:ascii="Times New Roman" w:hAnsi="Times New Roman" w:eastAsia="Times New Roman" w:cs="Times New Roman"/>
                <w:spacing w:val="-1"/>
                <w:sz w:val="17"/>
                <w:szCs w:val="17"/>
              </w:rPr>
              <w:t>5</w:t>
            </w:r>
            <w:r>
              <w:rPr>
                <w:rFonts w:ascii="Times New Roman" w:hAnsi="Times New Roman" w:eastAsia="Times New Roman" w:cs="Times New Roman"/>
                <w:sz w:val="17"/>
                <w:szCs w:val="17"/>
              </w:rPr>
              <w:t>X</w:t>
            </w:r>
            <w:r>
              <w:rPr>
                <w:rFonts w:ascii="Times New Roman" w:hAnsi="Times New Roman" w:eastAsia="Times New Roman" w:cs="Times New Roman"/>
                <w:spacing w:val="-1"/>
                <w:sz w:val="17"/>
                <w:szCs w:val="17"/>
              </w:rPr>
              <w:t>25</w:t>
            </w:r>
            <w:r>
              <w:rPr>
                <w:rFonts w:ascii="Times New Roman" w:hAnsi="Times New Roman" w:eastAsia="Times New Roman" w:cs="Times New Roman"/>
                <w:sz w:val="17"/>
                <w:szCs w:val="17"/>
              </w:rPr>
              <w:t>mm</w:t>
            </w:r>
            <w:r>
              <w:rPr>
                <w:rFonts w:ascii="宋体" w:hAnsi="宋体" w:eastAsia="宋体" w:cs="宋体"/>
                <w:spacing w:val="-1"/>
                <w:sz w:val="17"/>
                <w:szCs w:val="17"/>
              </w:rPr>
              <w:t>²</w:t>
            </w:r>
          </w:p>
        </w:tc>
        <w:tc>
          <w:tcPr>
            <w:tcW w:w="662" w:type="dxa"/>
            <w:vAlign w:val="top"/>
          </w:tcPr>
          <w:p>
            <w:pPr>
              <w:spacing w:before="153" w:line="121" w:lineRule="exact"/>
              <w:ind w:left="26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m</w:t>
            </w:r>
          </w:p>
        </w:tc>
        <w:tc>
          <w:tcPr>
            <w:tcW w:w="1300" w:type="dxa"/>
            <w:vAlign w:val="top"/>
          </w:tcPr>
          <w:p>
            <w:pPr>
              <w:spacing w:before="114" w:line="197" w:lineRule="auto"/>
              <w:ind w:left="494"/>
              <w:rPr>
                <w:rFonts w:ascii="Times New Roman" w:hAnsi="Times New Roman" w:eastAsia="Times New Roman" w:cs="Times New Roman"/>
                <w:sz w:val="17"/>
                <w:szCs w:val="17"/>
              </w:rPr>
            </w:pPr>
            <w:r>
              <w:rPr>
                <w:rFonts w:ascii="Times New Roman" w:hAnsi="Times New Roman" w:eastAsia="Times New Roman" w:cs="Times New Roman"/>
                <w:sz w:val="17"/>
                <w:szCs w:val="17"/>
              </w:rPr>
              <w:t>1000</w:t>
            </w:r>
          </w:p>
        </w:tc>
        <w:tc>
          <w:tcPr>
            <w:tcW w:w="687" w:type="dxa"/>
            <w:vAlign w:val="top"/>
          </w:tcPr>
          <w:p>
            <w:pPr>
              <w:rPr>
                <w:rFonts w:ascii="Arial"/>
                <w:sz w:val="21"/>
              </w:rPr>
            </w:pPr>
          </w:p>
        </w:tc>
        <w:tc>
          <w:tcPr>
            <w:tcW w:w="221" w:type="dxa"/>
            <w:vMerge w:val="restart"/>
            <w:tcBorders>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0" w:line="197" w:lineRule="auto"/>
              <w:ind w:left="32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4495" w:type="dxa"/>
            <w:vAlign w:val="top"/>
          </w:tcPr>
          <w:p>
            <w:pPr>
              <w:spacing w:before="69" w:line="232" w:lineRule="auto"/>
              <w:ind w:left="1313"/>
              <w:rPr>
                <w:rFonts w:ascii="宋体" w:hAnsi="宋体" w:eastAsia="宋体" w:cs="宋体"/>
                <w:sz w:val="17"/>
                <w:szCs w:val="17"/>
              </w:rPr>
            </w:pPr>
            <w:r>
              <w:rPr>
                <w:rFonts w:ascii="Times New Roman" w:hAnsi="Times New Roman" w:eastAsia="Times New Roman" w:cs="Times New Roman"/>
                <w:sz w:val="17"/>
                <w:szCs w:val="17"/>
              </w:rPr>
              <w:t>BVV</w:t>
            </w:r>
            <w:r>
              <w:rPr>
                <w:rFonts w:ascii="Times New Roman" w:hAnsi="Times New Roman" w:eastAsia="Times New Roman" w:cs="Times New Roman"/>
                <w:spacing w:val="6"/>
                <w:sz w:val="17"/>
                <w:szCs w:val="17"/>
              </w:rPr>
              <w:t>-5</w:t>
            </w:r>
            <w:r>
              <w:rPr>
                <w:rFonts w:ascii="Times New Roman" w:hAnsi="Times New Roman" w:eastAsia="Times New Roman" w:cs="Times New Roman"/>
                <w:spacing w:val="3"/>
                <w:sz w:val="17"/>
                <w:szCs w:val="17"/>
              </w:rPr>
              <w:t>00</w:t>
            </w:r>
            <w:r>
              <w:rPr>
                <w:rFonts w:ascii="Times New Roman" w:hAnsi="Times New Roman" w:eastAsia="Times New Roman" w:cs="Times New Roman"/>
                <w:sz w:val="17"/>
                <w:szCs w:val="17"/>
              </w:rPr>
              <w:t>V</w:t>
            </w:r>
            <w:r>
              <w:rPr>
                <w:rFonts w:ascii="Times New Roman" w:hAnsi="Times New Roman" w:eastAsia="Times New Roman" w:cs="Times New Roman"/>
                <w:spacing w:val="3"/>
                <w:sz w:val="17"/>
                <w:szCs w:val="17"/>
              </w:rPr>
              <w:t xml:space="preserve"> </w:t>
            </w:r>
            <w:r>
              <w:rPr>
                <w:rFonts w:ascii="宋体" w:hAnsi="宋体" w:eastAsia="宋体" w:cs="宋体"/>
                <w:spacing w:val="3"/>
                <w:sz w:val="17"/>
                <w:szCs w:val="17"/>
              </w:rPr>
              <w:t>，</w:t>
            </w:r>
            <w:r>
              <w:rPr>
                <w:rFonts w:ascii="Times New Roman" w:hAnsi="Times New Roman" w:eastAsia="Times New Roman" w:cs="Times New Roman"/>
                <w:spacing w:val="3"/>
                <w:sz w:val="17"/>
                <w:szCs w:val="17"/>
              </w:rPr>
              <w:t>3</w:t>
            </w:r>
            <w:r>
              <w:rPr>
                <w:rFonts w:ascii="宋体" w:hAnsi="宋体" w:eastAsia="宋体" w:cs="宋体"/>
                <w:spacing w:val="3"/>
                <w:sz w:val="17"/>
                <w:szCs w:val="17"/>
              </w:rPr>
              <w:t>×</w:t>
            </w:r>
            <w:r>
              <w:rPr>
                <w:rFonts w:ascii="Times New Roman" w:hAnsi="Times New Roman" w:eastAsia="Times New Roman" w:cs="Times New Roman"/>
                <w:spacing w:val="3"/>
                <w:sz w:val="17"/>
                <w:szCs w:val="17"/>
              </w:rPr>
              <w:t>2.5</w:t>
            </w:r>
            <w:r>
              <w:rPr>
                <w:rFonts w:ascii="Times New Roman" w:hAnsi="Times New Roman" w:eastAsia="Times New Roman" w:cs="Times New Roman"/>
                <w:sz w:val="17"/>
                <w:szCs w:val="17"/>
              </w:rPr>
              <w:t>mm</w:t>
            </w:r>
            <w:r>
              <w:rPr>
                <w:rFonts w:ascii="宋体" w:hAnsi="宋体" w:eastAsia="宋体" w:cs="宋体"/>
                <w:spacing w:val="3"/>
                <w:sz w:val="17"/>
                <w:szCs w:val="17"/>
              </w:rPr>
              <w:t>²</w:t>
            </w:r>
          </w:p>
        </w:tc>
        <w:tc>
          <w:tcPr>
            <w:tcW w:w="662" w:type="dxa"/>
            <w:vAlign w:val="top"/>
          </w:tcPr>
          <w:p>
            <w:pPr>
              <w:spacing w:before="139" w:line="121" w:lineRule="exact"/>
              <w:ind w:left="26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m</w:t>
            </w:r>
          </w:p>
        </w:tc>
        <w:tc>
          <w:tcPr>
            <w:tcW w:w="1300" w:type="dxa"/>
            <w:vAlign w:val="top"/>
          </w:tcPr>
          <w:p>
            <w:pPr>
              <w:spacing w:before="100" w:line="197" w:lineRule="auto"/>
              <w:ind w:left="52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500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2" w:line="194" w:lineRule="auto"/>
              <w:ind w:left="326"/>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4495" w:type="dxa"/>
            <w:vAlign w:val="top"/>
          </w:tcPr>
          <w:p>
            <w:pPr>
              <w:spacing w:before="69" w:line="230" w:lineRule="auto"/>
              <w:ind w:left="1270"/>
              <w:rPr>
                <w:rFonts w:ascii="宋体" w:hAnsi="宋体" w:eastAsia="宋体" w:cs="宋体"/>
                <w:sz w:val="17"/>
                <w:szCs w:val="17"/>
              </w:rPr>
            </w:pPr>
            <w:r>
              <w:rPr>
                <w:rFonts w:ascii="宋体" w:hAnsi="宋体" w:eastAsia="宋体" w:cs="宋体"/>
                <w:sz w:val="17"/>
                <w:szCs w:val="17"/>
              </w:rPr>
              <w:t xml:space="preserve">电缆保护管 </w:t>
            </w:r>
            <w:r>
              <w:rPr>
                <w:rFonts w:ascii="Times New Roman" w:hAnsi="Times New Roman" w:eastAsia="Times New Roman" w:cs="Times New Roman"/>
                <w:sz w:val="17"/>
                <w:szCs w:val="17"/>
              </w:rPr>
              <w:t xml:space="preserve">DN75 </w:t>
            </w:r>
            <w:r>
              <w:rPr>
                <w:rFonts w:ascii="宋体" w:hAnsi="宋体" w:eastAsia="宋体" w:cs="宋体"/>
                <w:sz w:val="17"/>
                <w:szCs w:val="17"/>
              </w:rPr>
              <w:t>，</w:t>
            </w:r>
            <w:r>
              <w:rPr>
                <w:rFonts w:ascii="Times New Roman" w:hAnsi="Times New Roman" w:eastAsia="Times New Roman" w:cs="Times New Roman"/>
                <w:sz w:val="17"/>
                <w:szCs w:val="17"/>
              </w:rPr>
              <w:t xml:space="preserve">PE </w:t>
            </w:r>
            <w:r>
              <w:rPr>
                <w:rFonts w:ascii="宋体" w:hAnsi="宋体" w:eastAsia="宋体" w:cs="宋体"/>
                <w:sz w:val="17"/>
                <w:szCs w:val="17"/>
              </w:rPr>
              <w:t>管</w:t>
            </w:r>
          </w:p>
        </w:tc>
        <w:tc>
          <w:tcPr>
            <w:tcW w:w="662" w:type="dxa"/>
            <w:vAlign w:val="top"/>
          </w:tcPr>
          <w:p>
            <w:pPr>
              <w:spacing w:before="139" w:line="121" w:lineRule="exact"/>
              <w:ind w:left="26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m</w:t>
            </w:r>
          </w:p>
        </w:tc>
        <w:tc>
          <w:tcPr>
            <w:tcW w:w="1300" w:type="dxa"/>
            <w:vAlign w:val="top"/>
          </w:tcPr>
          <w:p>
            <w:pPr>
              <w:spacing w:before="100" w:line="197" w:lineRule="auto"/>
              <w:ind w:left="32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74300.4</w:t>
            </w:r>
            <w:r>
              <w:rPr>
                <w:rFonts w:ascii="Times New Roman" w:hAnsi="Times New Roman" w:eastAsia="Times New Roman" w:cs="Times New Roman"/>
                <w:spacing w:val="3"/>
                <w:sz w:val="17"/>
                <w:szCs w:val="17"/>
              </w:rPr>
              <w:t>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0" w:line="197" w:lineRule="auto"/>
              <w:ind w:left="325"/>
              <w:rPr>
                <w:rFonts w:ascii="Times New Roman" w:hAnsi="Times New Roman" w:eastAsia="Times New Roman" w:cs="Times New Roman"/>
                <w:sz w:val="17"/>
                <w:szCs w:val="17"/>
              </w:rPr>
            </w:pPr>
            <w:r>
              <w:rPr>
                <w:rFonts w:ascii="Times New Roman" w:hAnsi="Times New Roman" w:eastAsia="Times New Roman" w:cs="Times New Roman"/>
                <w:sz w:val="17"/>
                <w:szCs w:val="17"/>
              </w:rPr>
              <w:t>6</w:t>
            </w:r>
          </w:p>
        </w:tc>
        <w:tc>
          <w:tcPr>
            <w:tcW w:w="4495" w:type="dxa"/>
            <w:vAlign w:val="top"/>
          </w:tcPr>
          <w:p>
            <w:pPr>
              <w:spacing w:before="69" w:line="230" w:lineRule="auto"/>
              <w:ind w:left="1808"/>
              <w:rPr>
                <w:rFonts w:ascii="宋体" w:hAnsi="宋体" w:eastAsia="宋体" w:cs="宋体"/>
                <w:sz w:val="17"/>
                <w:szCs w:val="17"/>
              </w:rPr>
            </w:pPr>
            <w:r>
              <w:rPr>
                <w:rFonts w:ascii="Times New Roman" w:hAnsi="Times New Roman" w:eastAsia="Times New Roman" w:cs="Times New Roman"/>
                <w:sz w:val="17"/>
                <w:szCs w:val="17"/>
              </w:rPr>
              <w:t>SC</w:t>
            </w:r>
            <w:r>
              <w:rPr>
                <w:rFonts w:ascii="Times New Roman" w:hAnsi="Times New Roman" w:eastAsia="Times New Roman" w:cs="Times New Roman"/>
                <w:spacing w:val="8"/>
                <w:sz w:val="17"/>
                <w:szCs w:val="17"/>
              </w:rPr>
              <w:t>1</w:t>
            </w:r>
            <w:r>
              <w:rPr>
                <w:rFonts w:ascii="Times New Roman" w:hAnsi="Times New Roman" w:eastAsia="Times New Roman" w:cs="Times New Roman"/>
                <w:spacing w:val="6"/>
                <w:sz w:val="17"/>
                <w:szCs w:val="17"/>
              </w:rPr>
              <w:t xml:space="preserve">00 </w:t>
            </w:r>
            <w:r>
              <w:rPr>
                <w:rFonts w:ascii="宋体" w:hAnsi="宋体" w:eastAsia="宋体" w:cs="宋体"/>
                <w:spacing w:val="6"/>
                <w:sz w:val="17"/>
                <w:szCs w:val="17"/>
              </w:rPr>
              <w:t>钢管</w:t>
            </w:r>
          </w:p>
        </w:tc>
        <w:tc>
          <w:tcPr>
            <w:tcW w:w="662" w:type="dxa"/>
            <w:vAlign w:val="top"/>
          </w:tcPr>
          <w:p>
            <w:pPr>
              <w:spacing w:before="139" w:line="121" w:lineRule="exact"/>
              <w:ind w:left="26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m</w:t>
            </w:r>
          </w:p>
        </w:tc>
        <w:tc>
          <w:tcPr>
            <w:tcW w:w="1300" w:type="dxa"/>
            <w:vAlign w:val="top"/>
          </w:tcPr>
          <w:p>
            <w:pPr>
              <w:spacing w:before="100" w:line="197" w:lineRule="auto"/>
              <w:ind w:left="522"/>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00</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102" w:line="194" w:lineRule="auto"/>
              <w:ind w:left="324"/>
              <w:rPr>
                <w:rFonts w:ascii="Times New Roman" w:hAnsi="Times New Roman" w:eastAsia="Times New Roman" w:cs="Times New Roman"/>
                <w:sz w:val="17"/>
                <w:szCs w:val="17"/>
              </w:rPr>
            </w:pPr>
            <w:r>
              <w:rPr>
                <w:rFonts w:ascii="Times New Roman" w:hAnsi="Times New Roman" w:eastAsia="Times New Roman" w:cs="Times New Roman"/>
                <w:sz w:val="17"/>
                <w:szCs w:val="17"/>
              </w:rPr>
              <w:t>7</w:t>
            </w:r>
          </w:p>
        </w:tc>
        <w:tc>
          <w:tcPr>
            <w:tcW w:w="4495" w:type="dxa"/>
            <w:vAlign w:val="top"/>
          </w:tcPr>
          <w:p>
            <w:pPr>
              <w:spacing w:before="69" w:line="229" w:lineRule="auto"/>
              <w:ind w:left="365"/>
              <w:rPr>
                <w:rFonts w:ascii="宋体" w:hAnsi="宋体" w:eastAsia="宋体" w:cs="宋体"/>
                <w:sz w:val="17"/>
                <w:szCs w:val="17"/>
              </w:rPr>
            </w:pPr>
            <w:r>
              <w:rPr>
                <w:rFonts w:ascii="宋体" w:hAnsi="宋体" w:eastAsia="宋体" w:cs="宋体"/>
                <w:spacing w:val="8"/>
                <w:sz w:val="17"/>
                <w:szCs w:val="17"/>
              </w:rPr>
              <w:t>照明</w:t>
            </w:r>
            <w:r>
              <w:rPr>
                <w:rFonts w:ascii="宋体" w:hAnsi="宋体" w:eastAsia="宋体" w:cs="宋体"/>
                <w:spacing w:val="6"/>
                <w:sz w:val="17"/>
                <w:szCs w:val="17"/>
              </w:rPr>
              <w:t>附</w:t>
            </w:r>
            <w:r>
              <w:rPr>
                <w:rFonts w:ascii="宋体" w:hAnsi="宋体" w:eastAsia="宋体" w:cs="宋体"/>
                <w:spacing w:val="4"/>
                <w:sz w:val="17"/>
                <w:szCs w:val="17"/>
              </w:rPr>
              <w:t>属工程 (电力井、接地系统、 电力电缆)</w:t>
            </w:r>
          </w:p>
        </w:tc>
        <w:tc>
          <w:tcPr>
            <w:tcW w:w="662" w:type="dxa"/>
            <w:vAlign w:val="top"/>
          </w:tcPr>
          <w:p>
            <w:pPr>
              <w:spacing w:before="69" w:line="231" w:lineRule="auto"/>
              <w:ind w:left="252"/>
              <w:rPr>
                <w:rFonts w:ascii="宋体" w:hAnsi="宋体" w:eastAsia="宋体" w:cs="宋体"/>
                <w:sz w:val="17"/>
                <w:szCs w:val="17"/>
              </w:rPr>
            </w:pPr>
            <w:r>
              <w:rPr>
                <w:rFonts w:ascii="宋体" w:hAnsi="宋体" w:eastAsia="宋体" w:cs="宋体"/>
                <w:sz w:val="17"/>
                <w:szCs w:val="17"/>
              </w:rPr>
              <w:t>项</w:t>
            </w:r>
          </w:p>
        </w:tc>
        <w:tc>
          <w:tcPr>
            <w:tcW w:w="1300" w:type="dxa"/>
            <w:vAlign w:val="top"/>
          </w:tcPr>
          <w:p>
            <w:pPr>
              <w:spacing w:before="100" w:line="197" w:lineRule="auto"/>
              <w:ind w:left="628"/>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69" w:line="232" w:lineRule="auto"/>
              <w:ind w:left="281"/>
              <w:rPr>
                <w:rFonts w:ascii="宋体" w:hAnsi="宋体" w:eastAsia="宋体" w:cs="宋体"/>
                <w:sz w:val="17"/>
                <w:szCs w:val="17"/>
              </w:rPr>
            </w:pPr>
            <w:r>
              <w:rPr>
                <w:rFonts w:ascii="宋体" w:hAnsi="宋体" w:eastAsia="宋体" w:cs="宋体"/>
                <w:spacing w:val="1"/>
                <w:sz w:val="17"/>
                <w:szCs w:val="17"/>
                <w14:textOutline w14:w="3268" w14:cap="sq" w14:cmpd="sng">
                  <w14:solidFill>
                    <w14:srgbClr w14:val="000000"/>
                  </w14:solidFill>
                  <w14:prstDash w14:val="solid"/>
                  <w14:bevel/>
                </w14:textOutline>
              </w:rPr>
              <w:t>六</w:t>
            </w:r>
          </w:p>
        </w:tc>
        <w:tc>
          <w:tcPr>
            <w:tcW w:w="4495" w:type="dxa"/>
            <w:vAlign w:val="top"/>
          </w:tcPr>
          <w:p>
            <w:pPr>
              <w:spacing w:before="69" w:line="230" w:lineRule="auto"/>
              <w:ind w:left="1625"/>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公园拆除及恢</w:t>
            </w:r>
            <w:r>
              <w:rPr>
                <w:rFonts w:ascii="宋体" w:hAnsi="宋体" w:eastAsia="宋体" w:cs="宋体"/>
                <w:spacing w:val="8"/>
                <w:sz w:val="17"/>
                <w:szCs w:val="17"/>
                <w14:textOutline w14:w="3268" w14:cap="sq" w14:cmpd="sng">
                  <w14:solidFill>
                    <w14:srgbClr w14:val="000000"/>
                  </w14:solidFill>
                  <w14:prstDash w14:val="solid"/>
                  <w14:bevel/>
                </w14:textOutline>
              </w:rPr>
              <w:t>复</w:t>
            </w:r>
          </w:p>
        </w:tc>
        <w:tc>
          <w:tcPr>
            <w:tcW w:w="662" w:type="dxa"/>
            <w:vAlign w:val="top"/>
          </w:tcPr>
          <w:p>
            <w:pPr>
              <w:spacing w:before="69" w:line="231" w:lineRule="auto"/>
              <w:ind w:left="252"/>
              <w:rPr>
                <w:rFonts w:ascii="宋体" w:hAnsi="宋体" w:eastAsia="宋体" w:cs="宋体"/>
                <w:sz w:val="17"/>
                <w:szCs w:val="17"/>
              </w:rPr>
            </w:pPr>
            <w:r>
              <w:rPr>
                <w:rFonts w:ascii="宋体" w:hAnsi="宋体" w:eastAsia="宋体" w:cs="宋体"/>
                <w:sz w:val="17"/>
                <w:szCs w:val="17"/>
                <w14:textOutline w14:w="3268" w14:cap="sq" w14:cmpd="sng">
                  <w14:solidFill>
                    <w14:srgbClr w14:val="000000"/>
                  </w14:solidFill>
                  <w14:prstDash w14:val="solid"/>
                  <w14:bevel/>
                </w14:textOutline>
              </w:rPr>
              <w:t>项</w:t>
            </w:r>
          </w:p>
        </w:tc>
        <w:tc>
          <w:tcPr>
            <w:tcW w:w="1300" w:type="dxa"/>
            <w:vAlign w:val="top"/>
          </w:tcPr>
          <w:p>
            <w:pPr>
              <w:spacing w:before="100" w:line="197" w:lineRule="auto"/>
              <w:ind w:left="619"/>
              <w:rPr>
                <w:rFonts w:ascii="Times New Roman" w:hAnsi="Times New Roman" w:eastAsia="Times New Roman" w:cs="Times New Roman"/>
                <w:sz w:val="17"/>
                <w:szCs w:val="17"/>
              </w:rPr>
            </w:pPr>
            <w:r>
              <w:rPr>
                <w:rFonts w:ascii="Times New Roman" w:hAnsi="Times New Roman" w:eastAsia="Times New Roman" w:cs="Times New Roman"/>
                <w:b/>
                <w:bCs/>
                <w:sz w:val="17"/>
                <w:szCs w:val="17"/>
              </w:rPr>
              <w:t>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bottom w:val="nil"/>
            </w:tcBorders>
            <w:vAlign w:val="top"/>
          </w:tcPr>
          <w:p>
            <w:pPr>
              <w:rPr>
                <w:rFonts w:ascii="Arial"/>
                <w:sz w:val="21"/>
              </w:rPr>
            </w:pPr>
          </w:p>
        </w:tc>
        <w:tc>
          <w:tcPr>
            <w:tcW w:w="211" w:type="dxa"/>
            <w:vMerge w:val="continue"/>
            <w:tcBorders>
              <w:top w:val="nil"/>
              <w:bottom w:val="nil"/>
            </w:tcBorders>
            <w:vAlign w:val="top"/>
          </w:tcPr>
          <w:p>
            <w:pPr>
              <w:rPr>
                <w:rFonts w:ascii="Arial"/>
                <w:sz w:val="21"/>
              </w:rPr>
            </w:pPr>
          </w:p>
        </w:tc>
        <w:tc>
          <w:tcPr>
            <w:tcW w:w="741" w:type="dxa"/>
            <w:vAlign w:val="top"/>
          </w:tcPr>
          <w:p>
            <w:pPr>
              <w:spacing w:before="69" w:line="232" w:lineRule="auto"/>
              <w:ind w:left="278"/>
              <w:rPr>
                <w:rFonts w:ascii="宋体" w:hAnsi="宋体" w:eastAsia="宋体" w:cs="宋体"/>
                <w:sz w:val="17"/>
                <w:szCs w:val="17"/>
              </w:rPr>
            </w:pPr>
            <w:r>
              <w:rPr>
                <w:rFonts w:ascii="宋体" w:hAnsi="宋体" w:eastAsia="宋体" w:cs="宋体"/>
                <w:spacing w:val="3"/>
                <w:sz w:val="17"/>
                <w:szCs w:val="17"/>
                <w14:textOutline w14:w="3268" w14:cap="sq" w14:cmpd="sng">
                  <w14:solidFill>
                    <w14:srgbClr w14:val="000000"/>
                  </w14:solidFill>
                  <w14:prstDash w14:val="solid"/>
                  <w14:bevel/>
                </w14:textOutline>
              </w:rPr>
              <w:t>七</w:t>
            </w:r>
          </w:p>
        </w:tc>
        <w:tc>
          <w:tcPr>
            <w:tcW w:w="4495" w:type="dxa"/>
            <w:vAlign w:val="top"/>
          </w:tcPr>
          <w:p>
            <w:pPr>
              <w:spacing w:before="69" w:line="230" w:lineRule="auto"/>
              <w:ind w:left="1893"/>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景观工程</w:t>
            </w:r>
          </w:p>
        </w:tc>
        <w:tc>
          <w:tcPr>
            <w:tcW w:w="662" w:type="dxa"/>
            <w:vAlign w:val="top"/>
          </w:tcPr>
          <w:p>
            <w:pPr>
              <w:spacing w:before="69" w:line="231" w:lineRule="auto"/>
              <w:ind w:left="252"/>
              <w:rPr>
                <w:rFonts w:ascii="宋体" w:hAnsi="宋体" w:eastAsia="宋体" w:cs="宋体"/>
                <w:sz w:val="17"/>
                <w:szCs w:val="17"/>
              </w:rPr>
            </w:pPr>
            <w:r>
              <w:rPr>
                <w:rFonts w:ascii="宋体" w:hAnsi="宋体" w:eastAsia="宋体" w:cs="宋体"/>
                <w:sz w:val="17"/>
                <w:szCs w:val="17"/>
                <w14:textOutline w14:w="3268" w14:cap="sq" w14:cmpd="sng">
                  <w14:solidFill>
                    <w14:srgbClr w14:val="000000"/>
                  </w14:solidFill>
                  <w14:prstDash w14:val="solid"/>
                  <w14:bevel/>
                </w14:textOutline>
              </w:rPr>
              <w:t>项</w:t>
            </w:r>
          </w:p>
        </w:tc>
        <w:tc>
          <w:tcPr>
            <w:tcW w:w="1300" w:type="dxa"/>
            <w:vAlign w:val="top"/>
          </w:tcPr>
          <w:p>
            <w:pPr>
              <w:spacing w:before="100" w:line="197" w:lineRule="auto"/>
              <w:ind w:left="619"/>
              <w:rPr>
                <w:rFonts w:ascii="Times New Roman" w:hAnsi="Times New Roman" w:eastAsia="Times New Roman" w:cs="Times New Roman"/>
                <w:sz w:val="17"/>
                <w:szCs w:val="17"/>
              </w:rPr>
            </w:pPr>
            <w:r>
              <w:rPr>
                <w:rFonts w:ascii="Times New Roman" w:hAnsi="Times New Roman" w:eastAsia="Times New Roman" w:cs="Times New Roman"/>
                <w:b/>
                <w:bCs/>
                <w:sz w:val="17"/>
                <w:szCs w:val="17"/>
              </w:rPr>
              <w:t>1</w:t>
            </w:r>
          </w:p>
        </w:tc>
        <w:tc>
          <w:tcPr>
            <w:tcW w:w="687" w:type="dxa"/>
            <w:vAlign w:val="top"/>
          </w:tcPr>
          <w:p>
            <w:pPr>
              <w:rPr>
                <w:rFonts w:ascii="Arial"/>
                <w:sz w:val="21"/>
              </w:rPr>
            </w:pPr>
          </w:p>
        </w:tc>
        <w:tc>
          <w:tcPr>
            <w:tcW w:w="22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00" w:type="dxa"/>
            <w:vMerge w:val="continue"/>
            <w:tcBorders>
              <w:top w:val="nil"/>
              <w:left w:val="single" w:color="000000" w:sz="6" w:space="0"/>
            </w:tcBorders>
            <w:vAlign w:val="top"/>
          </w:tcPr>
          <w:p>
            <w:pPr>
              <w:rPr>
                <w:rFonts w:ascii="Arial"/>
                <w:sz w:val="21"/>
              </w:rPr>
            </w:pPr>
          </w:p>
        </w:tc>
        <w:tc>
          <w:tcPr>
            <w:tcW w:w="211" w:type="dxa"/>
            <w:vMerge w:val="continue"/>
            <w:tcBorders>
              <w:top w:val="nil"/>
            </w:tcBorders>
            <w:vAlign w:val="top"/>
          </w:tcPr>
          <w:p>
            <w:pPr>
              <w:rPr>
                <w:rFonts w:ascii="Arial"/>
                <w:sz w:val="21"/>
              </w:rPr>
            </w:pPr>
          </w:p>
        </w:tc>
        <w:tc>
          <w:tcPr>
            <w:tcW w:w="741" w:type="dxa"/>
            <w:vAlign w:val="top"/>
          </w:tcPr>
          <w:p>
            <w:pPr>
              <w:spacing w:before="69" w:line="231" w:lineRule="auto"/>
              <w:ind w:left="282"/>
              <w:rPr>
                <w:rFonts w:ascii="宋体" w:hAnsi="宋体" w:eastAsia="宋体" w:cs="宋体"/>
                <w:sz w:val="17"/>
                <w:szCs w:val="17"/>
              </w:rPr>
            </w:pPr>
            <w:r>
              <w:rPr>
                <w:rFonts w:ascii="宋体" w:hAnsi="宋体" w:eastAsia="宋体" w:cs="宋体"/>
                <w:sz w:val="17"/>
                <w:szCs w:val="17"/>
                <w14:textOutline w14:w="3268" w14:cap="sq" w14:cmpd="sng">
                  <w14:solidFill>
                    <w14:srgbClr w14:val="000000"/>
                  </w14:solidFill>
                  <w14:prstDash w14:val="solid"/>
                  <w14:bevel/>
                </w14:textOutline>
              </w:rPr>
              <w:t>八</w:t>
            </w:r>
          </w:p>
        </w:tc>
        <w:tc>
          <w:tcPr>
            <w:tcW w:w="4495" w:type="dxa"/>
            <w:vAlign w:val="top"/>
          </w:tcPr>
          <w:p>
            <w:pPr>
              <w:spacing w:before="69" w:line="231" w:lineRule="auto"/>
              <w:ind w:left="1901"/>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防撞设施</w:t>
            </w:r>
          </w:p>
        </w:tc>
        <w:tc>
          <w:tcPr>
            <w:tcW w:w="662" w:type="dxa"/>
            <w:vAlign w:val="top"/>
          </w:tcPr>
          <w:p>
            <w:pPr>
              <w:spacing w:before="69" w:line="231" w:lineRule="auto"/>
              <w:ind w:left="252"/>
              <w:rPr>
                <w:rFonts w:ascii="宋体" w:hAnsi="宋体" w:eastAsia="宋体" w:cs="宋体"/>
                <w:sz w:val="17"/>
                <w:szCs w:val="17"/>
              </w:rPr>
            </w:pPr>
            <w:r>
              <w:rPr>
                <w:rFonts w:ascii="宋体" w:hAnsi="宋体" w:eastAsia="宋体" w:cs="宋体"/>
                <w:sz w:val="17"/>
                <w:szCs w:val="17"/>
                <w14:textOutline w14:w="3268" w14:cap="sq" w14:cmpd="sng">
                  <w14:solidFill>
                    <w14:srgbClr w14:val="000000"/>
                  </w14:solidFill>
                  <w14:prstDash w14:val="solid"/>
                  <w14:bevel/>
                </w14:textOutline>
              </w:rPr>
              <w:t>项</w:t>
            </w:r>
          </w:p>
        </w:tc>
        <w:tc>
          <w:tcPr>
            <w:tcW w:w="1300" w:type="dxa"/>
            <w:vAlign w:val="top"/>
          </w:tcPr>
          <w:p>
            <w:pPr>
              <w:spacing w:before="100" w:line="197" w:lineRule="auto"/>
              <w:ind w:left="619"/>
              <w:rPr>
                <w:rFonts w:ascii="Times New Roman" w:hAnsi="Times New Roman" w:eastAsia="Times New Roman" w:cs="Times New Roman"/>
                <w:sz w:val="17"/>
                <w:szCs w:val="17"/>
              </w:rPr>
            </w:pPr>
            <w:r>
              <w:rPr>
                <w:rFonts w:ascii="Times New Roman" w:hAnsi="Times New Roman" w:eastAsia="Times New Roman" w:cs="Times New Roman"/>
                <w:b/>
                <w:bCs/>
                <w:sz w:val="17"/>
                <w:szCs w:val="17"/>
              </w:rPr>
              <w:t>1</w:t>
            </w:r>
          </w:p>
        </w:tc>
        <w:tc>
          <w:tcPr>
            <w:tcW w:w="687" w:type="dxa"/>
            <w:vAlign w:val="top"/>
          </w:tcPr>
          <w:p>
            <w:pPr>
              <w:rPr>
                <w:rFonts w:ascii="Arial"/>
                <w:sz w:val="21"/>
              </w:rPr>
            </w:pPr>
          </w:p>
        </w:tc>
        <w:tc>
          <w:tcPr>
            <w:tcW w:w="221"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55" w:hRule="atLeast"/>
        </w:trPr>
        <w:tc>
          <w:tcPr>
            <w:tcW w:w="600" w:type="dxa"/>
            <w:tcBorders>
              <w:left w:val="single" w:color="00000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65" w:line="259" w:lineRule="auto"/>
              <w:ind w:left="88" w:right="89" w:firstLine="5"/>
              <w:rPr>
                <w:rFonts w:ascii="宋体" w:hAnsi="宋体" w:eastAsia="宋体" w:cs="宋体"/>
                <w:sz w:val="20"/>
                <w:szCs w:val="20"/>
              </w:rPr>
            </w:pPr>
            <w:r>
              <w:rPr>
                <w:rFonts w:ascii="宋体" w:hAnsi="宋体" w:eastAsia="宋体" w:cs="宋体"/>
                <w:spacing w:val="3"/>
                <w:sz w:val="20"/>
                <w:szCs w:val="20"/>
                <w14:textOutline w14:w="3795" w14:cap="sq" w14:cmpd="sng">
                  <w14:solidFill>
                    <w14:srgbClr w14:val="000000"/>
                  </w14:solidFill>
                  <w14:prstDash w14:val="solid"/>
                  <w14:bevel/>
                </w14:textOutline>
              </w:rPr>
              <w:t>总平</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面及</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现场</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布置</w:t>
            </w:r>
          </w:p>
        </w:tc>
        <w:tc>
          <w:tcPr>
            <w:tcW w:w="8317" w:type="dxa"/>
            <w:gridSpan w:val="7"/>
            <w:tcBorders>
              <w:right w:val="single" w:color="000000" w:sz="6" w:space="0"/>
            </w:tcBorders>
            <w:vAlign w:val="top"/>
          </w:tcPr>
          <w:p>
            <w:pPr>
              <w:spacing w:before="151" w:line="242" w:lineRule="auto"/>
              <w:ind w:left="124"/>
              <w:rPr>
                <w:rFonts w:ascii="黑体" w:hAnsi="黑体" w:eastAsia="黑体" w:cs="黑体"/>
                <w:sz w:val="20"/>
                <w:szCs w:val="20"/>
              </w:rPr>
            </w:pPr>
            <w:r>
              <w:rPr>
                <w:rFonts w:ascii="Times New Roman" w:hAnsi="Times New Roman" w:eastAsia="Times New Roman" w:cs="Times New Roman"/>
                <w:spacing w:val="-1"/>
                <w:sz w:val="20"/>
                <w:szCs w:val="20"/>
              </w:rPr>
              <w:t xml:space="preserve">1 </w:t>
            </w:r>
            <w:r>
              <w:rPr>
                <w:rFonts w:ascii="黑体" w:hAnsi="黑体" w:eastAsia="黑体" w:cs="黑体"/>
                <w:spacing w:val="-1"/>
                <w:sz w:val="20"/>
                <w:szCs w:val="20"/>
              </w:rPr>
              <w:t>、</w:t>
            </w:r>
            <w:r>
              <w:rPr>
                <w:rFonts w:ascii="黑体" w:hAnsi="黑体" w:eastAsia="黑体" w:cs="黑体"/>
                <w:sz w:val="20"/>
                <w:szCs w:val="20"/>
              </w:rPr>
              <w:t>工程布局情况</w:t>
            </w:r>
          </w:p>
          <w:p>
            <w:pPr>
              <w:spacing w:before="138" w:line="369" w:lineRule="auto"/>
              <w:ind w:left="107" w:right="50" w:firstLine="420"/>
              <w:rPr>
                <w:rFonts w:ascii="宋体" w:hAnsi="宋体" w:eastAsia="宋体" w:cs="宋体"/>
                <w:sz w:val="20"/>
                <w:szCs w:val="20"/>
              </w:rPr>
            </w:pPr>
            <w:r>
              <w:rPr>
                <w:rFonts w:ascii="宋体" w:hAnsi="宋体" w:eastAsia="宋体" w:cs="宋体"/>
                <w:spacing w:val="14"/>
                <w:sz w:val="20"/>
                <w:szCs w:val="20"/>
              </w:rPr>
              <w:t>根据</w:t>
            </w:r>
            <w:r>
              <w:rPr>
                <w:rFonts w:ascii="宋体" w:hAnsi="宋体" w:eastAsia="宋体" w:cs="宋体"/>
                <w:spacing w:val="8"/>
                <w:sz w:val="20"/>
                <w:szCs w:val="20"/>
              </w:rPr>
              <w:t>《</w:t>
            </w:r>
            <w:r>
              <w:rPr>
                <w:rFonts w:ascii="宋体" w:hAnsi="宋体" w:eastAsia="宋体" w:cs="宋体"/>
                <w:spacing w:val="7"/>
                <w:sz w:val="20"/>
                <w:szCs w:val="20"/>
              </w:rPr>
              <w:t>达州市高家坝城市组团控制性详细规划》及《达州市高家坝大桥建设项目初步</w:t>
            </w:r>
            <w:r>
              <w:rPr>
                <w:rFonts w:ascii="宋体" w:hAnsi="宋体" w:eastAsia="宋体" w:cs="宋体"/>
                <w:sz w:val="20"/>
                <w:szCs w:val="20"/>
              </w:rPr>
              <w:t xml:space="preserve"> </w:t>
            </w:r>
            <w:r>
              <w:rPr>
                <w:rFonts w:ascii="宋体" w:hAnsi="宋体" w:eastAsia="宋体" w:cs="宋体"/>
                <w:spacing w:val="6"/>
                <w:sz w:val="20"/>
                <w:szCs w:val="20"/>
              </w:rPr>
              <w:t>设计说明》</w:t>
            </w:r>
            <w:r>
              <w:rPr>
                <w:rFonts w:ascii="宋体" w:hAnsi="宋体" w:eastAsia="宋体" w:cs="宋体"/>
                <w:spacing w:val="5"/>
                <w:sz w:val="20"/>
                <w:szCs w:val="20"/>
              </w:rPr>
              <w:t>，</w:t>
            </w:r>
            <w:r>
              <w:rPr>
                <w:rFonts w:ascii="宋体" w:hAnsi="宋体" w:eastAsia="宋体" w:cs="宋体"/>
                <w:spacing w:val="3"/>
                <w:sz w:val="20"/>
                <w:szCs w:val="20"/>
              </w:rPr>
              <w:t xml:space="preserve">项目桥梁包茂高速州河大桥下游约 </w:t>
            </w:r>
            <w:r>
              <w:rPr>
                <w:rFonts w:ascii="Times New Roman" w:hAnsi="Times New Roman" w:eastAsia="Times New Roman" w:cs="Times New Roman"/>
                <w:spacing w:val="3"/>
                <w:sz w:val="20"/>
                <w:szCs w:val="20"/>
              </w:rPr>
              <w:t>200</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的位置，桥位桥梁与州河基本正交，</w:t>
            </w:r>
            <w:r>
              <w:rPr>
                <w:rFonts w:ascii="宋体" w:hAnsi="宋体" w:eastAsia="宋体" w:cs="宋体"/>
                <w:sz w:val="20"/>
                <w:szCs w:val="20"/>
              </w:rPr>
              <w:t xml:space="preserve"> </w:t>
            </w:r>
            <w:r>
              <w:rPr>
                <w:rFonts w:ascii="宋体" w:hAnsi="宋体" w:eastAsia="宋体" w:cs="宋体"/>
                <w:spacing w:val="6"/>
                <w:sz w:val="20"/>
                <w:szCs w:val="20"/>
              </w:rPr>
              <w:t>偏角约</w:t>
            </w:r>
            <w:r>
              <w:rPr>
                <w:rFonts w:ascii="宋体" w:hAnsi="宋体" w:eastAsia="宋体" w:cs="宋体"/>
                <w:spacing w:val="5"/>
                <w:sz w:val="20"/>
                <w:szCs w:val="20"/>
              </w:rPr>
              <w:t xml:space="preserve"> </w:t>
            </w: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，线位为一条直线，呈西北</w:t>
            </w:r>
            <w:r>
              <w:rPr>
                <w:rFonts w:ascii="Times New Roman" w:hAnsi="Times New Roman" w:eastAsia="Times New Roman" w:cs="Times New Roman"/>
                <w:spacing w:val="3"/>
                <w:sz w:val="20"/>
                <w:szCs w:val="20"/>
              </w:rPr>
              <w:t>-</w:t>
            </w:r>
            <w:r>
              <w:rPr>
                <w:rFonts w:ascii="宋体" w:hAnsi="宋体" w:eastAsia="宋体" w:cs="宋体"/>
                <w:spacing w:val="3"/>
                <w:sz w:val="20"/>
                <w:szCs w:val="20"/>
              </w:rPr>
              <w:t xml:space="preserve">东南走向，全线长约 </w:t>
            </w:r>
            <w:r>
              <w:rPr>
                <w:rFonts w:ascii="Times New Roman" w:hAnsi="Times New Roman" w:eastAsia="Times New Roman" w:cs="Times New Roman"/>
                <w:spacing w:val="3"/>
                <w:sz w:val="20"/>
                <w:szCs w:val="20"/>
              </w:rPr>
              <w:t>297</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。西岸起于高家坝片区，</w:t>
            </w:r>
            <w:r>
              <w:rPr>
                <w:rFonts w:ascii="宋体" w:hAnsi="宋体" w:eastAsia="宋体" w:cs="宋体"/>
                <w:sz w:val="20"/>
                <w:szCs w:val="20"/>
              </w:rPr>
              <w:t xml:space="preserve"> </w:t>
            </w:r>
            <w:r>
              <w:rPr>
                <w:rFonts w:ascii="宋体" w:hAnsi="宋体" w:eastAsia="宋体" w:cs="宋体"/>
                <w:spacing w:val="14"/>
                <w:sz w:val="20"/>
                <w:szCs w:val="20"/>
              </w:rPr>
              <w:t>与</w:t>
            </w:r>
            <w:r>
              <w:rPr>
                <w:rFonts w:ascii="宋体" w:hAnsi="宋体" w:eastAsia="宋体" w:cs="宋体"/>
                <w:spacing w:val="7"/>
                <w:sz w:val="20"/>
                <w:szCs w:val="20"/>
              </w:rPr>
              <w:t>规划的滨河路平面交叉，向东跨州河，与张家坝片区现状南北主干道 (犀牛大道) 交叉</w:t>
            </w:r>
          </w:p>
          <w:p>
            <w:pPr>
              <w:spacing w:line="227" w:lineRule="auto"/>
              <w:ind w:left="139"/>
              <w:rPr>
                <w:rFonts w:ascii="宋体" w:hAnsi="宋体" w:eastAsia="宋体" w:cs="宋体"/>
                <w:sz w:val="20"/>
                <w:szCs w:val="20"/>
              </w:rPr>
            </w:pPr>
            <w:r>
              <w:rPr>
                <w:rFonts w:ascii="宋体" w:hAnsi="宋体" w:eastAsia="宋体" w:cs="宋体"/>
                <w:spacing w:val="15"/>
                <w:sz w:val="20"/>
                <w:szCs w:val="20"/>
              </w:rPr>
              <w:t>口</w:t>
            </w:r>
            <w:r>
              <w:rPr>
                <w:rFonts w:ascii="宋体" w:hAnsi="宋体" w:eastAsia="宋体" w:cs="宋体"/>
                <w:spacing w:val="8"/>
                <w:sz w:val="20"/>
                <w:szCs w:val="20"/>
              </w:rPr>
              <w:t>平交，全桥长约</w:t>
            </w:r>
            <w:r>
              <w:rPr>
                <w:rFonts w:ascii="Times New Roman" w:hAnsi="Times New Roman" w:eastAsia="Times New Roman" w:cs="Times New Roman"/>
                <w:spacing w:val="8"/>
                <w:sz w:val="20"/>
                <w:szCs w:val="20"/>
              </w:rPr>
              <w:t xml:space="preserve">240 </w:t>
            </w:r>
            <w:r>
              <w:rPr>
                <w:rFonts w:ascii="宋体" w:hAnsi="宋体" w:eastAsia="宋体" w:cs="宋体"/>
                <w:spacing w:val="8"/>
                <w:sz w:val="20"/>
                <w:szCs w:val="20"/>
              </w:rPr>
              <w:t>米。</w:t>
            </w:r>
          </w:p>
          <w:p>
            <w:pPr>
              <w:spacing w:before="114" w:line="378" w:lineRule="auto"/>
              <w:ind w:left="107" w:right="50" w:firstLine="425"/>
              <w:rPr>
                <w:rFonts w:ascii="宋体" w:hAnsi="宋体" w:eastAsia="宋体" w:cs="宋体"/>
                <w:sz w:val="20"/>
                <w:szCs w:val="20"/>
              </w:rPr>
            </w:pPr>
            <w:r>
              <w:rPr>
                <w:rFonts w:ascii="宋体" w:hAnsi="宋体" w:eastAsia="宋体" w:cs="宋体"/>
                <w:spacing w:val="12"/>
                <w:sz w:val="20"/>
                <w:szCs w:val="20"/>
              </w:rPr>
              <w:t>西</w:t>
            </w:r>
            <w:r>
              <w:rPr>
                <w:rFonts w:ascii="宋体" w:hAnsi="宋体" w:eastAsia="宋体" w:cs="宋体"/>
                <w:spacing w:val="10"/>
                <w:sz w:val="20"/>
                <w:szCs w:val="20"/>
              </w:rPr>
              <w:t>岸</w:t>
            </w:r>
            <w:r>
              <w:rPr>
                <w:rFonts w:ascii="宋体" w:hAnsi="宋体" w:eastAsia="宋体" w:cs="宋体"/>
                <w:spacing w:val="6"/>
                <w:sz w:val="20"/>
                <w:szCs w:val="20"/>
              </w:rPr>
              <w:t xml:space="preserve">滨河路与本项目相交处 </w:t>
            </w:r>
            <w:r>
              <w:rPr>
                <w:rFonts w:ascii="Times New Roman" w:hAnsi="Times New Roman" w:eastAsia="Times New Roman" w:cs="Times New Roman"/>
                <w:sz w:val="20"/>
                <w:szCs w:val="20"/>
              </w:rPr>
              <w:t>K</w:t>
            </w:r>
            <w:r>
              <w:rPr>
                <w:rFonts w:ascii="Times New Roman" w:hAnsi="Times New Roman" w:eastAsia="Times New Roman" w:cs="Times New Roman"/>
                <w:spacing w:val="6"/>
                <w:sz w:val="20"/>
                <w:szCs w:val="20"/>
              </w:rPr>
              <w:t xml:space="preserve">0+000 </w:t>
            </w:r>
            <w:r>
              <w:rPr>
                <w:rFonts w:ascii="宋体" w:hAnsi="宋体" w:eastAsia="宋体" w:cs="宋体"/>
                <w:spacing w:val="6"/>
                <w:sz w:val="20"/>
                <w:szCs w:val="20"/>
              </w:rPr>
              <w:t>，设计将与滨河路路口平交处往南北方向各偏移</w:t>
            </w:r>
            <w:r>
              <w:rPr>
                <w:rFonts w:ascii="宋体" w:hAnsi="宋体" w:eastAsia="宋体" w:cs="宋体"/>
                <w:sz w:val="20"/>
                <w:szCs w:val="20"/>
              </w:rPr>
              <w:t xml:space="preserve"> </w:t>
            </w:r>
            <w:r>
              <w:rPr>
                <w:rFonts w:ascii="Times New Roman" w:hAnsi="Times New Roman" w:eastAsia="Times New Roman" w:cs="Times New Roman"/>
                <w:spacing w:val="2"/>
                <w:sz w:val="20"/>
                <w:szCs w:val="20"/>
              </w:rPr>
              <w:t>31</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，即滨河支路 </w:t>
            </w:r>
            <w:r>
              <w:rPr>
                <w:rFonts w:ascii="Times New Roman" w:hAnsi="Times New Roman" w:eastAsia="Times New Roman" w:cs="Times New Roman"/>
                <w:spacing w:val="2"/>
                <w:sz w:val="20"/>
                <w:szCs w:val="20"/>
              </w:rPr>
              <w:t>62</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(桩号 </w:t>
            </w:r>
            <w:r>
              <w:rPr>
                <w:rFonts w:ascii="Times New Roman" w:hAnsi="Times New Roman" w:eastAsia="Times New Roman" w:cs="Times New Roman"/>
                <w:sz w:val="20"/>
                <w:szCs w:val="20"/>
              </w:rPr>
              <w:t>K</w:t>
            </w:r>
            <w:r>
              <w:rPr>
                <w:rFonts w:ascii="Times New Roman" w:hAnsi="Times New Roman" w:eastAsia="Times New Roman" w:cs="Times New Roman"/>
                <w:spacing w:val="2"/>
                <w:sz w:val="20"/>
                <w:szCs w:val="20"/>
              </w:rPr>
              <w:t>0+506.363-</w:t>
            </w:r>
            <w:r>
              <w:rPr>
                <w:rFonts w:ascii="Times New Roman" w:hAnsi="Times New Roman" w:eastAsia="Times New Roman" w:cs="Times New Roman"/>
                <w:sz w:val="20"/>
                <w:szCs w:val="20"/>
              </w:rPr>
              <w:t>K</w:t>
            </w:r>
            <w:r>
              <w:rPr>
                <w:rFonts w:ascii="Times New Roman" w:hAnsi="Times New Roman" w:eastAsia="Times New Roman" w:cs="Times New Roman"/>
                <w:spacing w:val="2"/>
                <w:sz w:val="20"/>
                <w:szCs w:val="20"/>
              </w:rPr>
              <w:t>0+568. 183</w:t>
            </w:r>
            <w:r>
              <w:rPr>
                <w:rFonts w:ascii="宋体" w:hAnsi="宋体" w:eastAsia="宋体" w:cs="宋体"/>
                <w:spacing w:val="2"/>
                <w:sz w:val="20"/>
                <w:szCs w:val="20"/>
              </w:rPr>
              <w:t>) 范围纳入本项目的范围同步实施</w:t>
            </w:r>
            <w:r>
              <w:rPr>
                <w:rFonts w:ascii="宋体" w:hAnsi="宋体" w:eastAsia="宋体" w:cs="宋体"/>
                <w:sz w:val="20"/>
                <w:szCs w:val="20"/>
              </w:rPr>
              <w:t xml:space="preserve">， </w:t>
            </w:r>
            <w:r>
              <w:rPr>
                <w:rFonts w:ascii="宋体" w:hAnsi="宋体" w:eastAsia="宋体" w:cs="宋体"/>
                <w:spacing w:val="28"/>
                <w:sz w:val="20"/>
                <w:szCs w:val="20"/>
              </w:rPr>
              <w:t>且</w:t>
            </w:r>
            <w:r>
              <w:rPr>
                <w:rFonts w:ascii="宋体" w:hAnsi="宋体" w:eastAsia="宋体" w:cs="宋体"/>
                <w:spacing w:val="18"/>
                <w:sz w:val="20"/>
                <w:szCs w:val="20"/>
              </w:rPr>
              <w:t>设计标高和路口方案需与滨河路合理衔接 。滨河路等级为城市次干路 ，设计车速</w:t>
            </w:r>
            <w:r>
              <w:rPr>
                <w:rFonts w:ascii="宋体" w:hAnsi="宋体" w:eastAsia="宋体" w:cs="宋体"/>
                <w:sz w:val="20"/>
                <w:szCs w:val="20"/>
              </w:rPr>
              <w:t xml:space="preserve"> </w:t>
            </w:r>
            <w:r>
              <w:rPr>
                <w:rFonts w:ascii="Times New Roman" w:hAnsi="Times New Roman" w:eastAsia="Times New Roman" w:cs="Times New Roman"/>
                <w:spacing w:val="12"/>
                <w:sz w:val="20"/>
                <w:szCs w:val="20"/>
              </w:rPr>
              <w:t>3</w:t>
            </w:r>
            <w:r>
              <w:rPr>
                <w:rFonts w:ascii="Times New Roman" w:hAnsi="Times New Roman" w:eastAsia="Times New Roman" w:cs="Times New Roman"/>
                <w:spacing w:val="11"/>
                <w:sz w:val="20"/>
                <w:szCs w:val="20"/>
              </w:rPr>
              <w:t>0</w:t>
            </w:r>
            <w:r>
              <w:rPr>
                <w:rFonts w:ascii="Times New Roman" w:hAnsi="Times New Roman" w:eastAsia="Times New Roman" w:cs="Times New Roman"/>
                <w:sz w:val="20"/>
                <w:szCs w:val="20"/>
              </w:rPr>
              <w:t>Km</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h</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，设计范围内平面为一直线，无圆曲线。</w:t>
            </w:r>
          </w:p>
          <w:p>
            <w:pPr>
              <w:spacing w:before="2" w:line="369" w:lineRule="auto"/>
              <w:ind w:left="106" w:right="102" w:firstLine="446"/>
              <w:rPr>
                <w:rFonts w:ascii="宋体" w:hAnsi="宋体" w:eastAsia="宋体" w:cs="宋体"/>
                <w:sz w:val="20"/>
                <w:szCs w:val="20"/>
              </w:rPr>
            </w:pPr>
            <w:r>
              <w:rPr>
                <w:rFonts w:ascii="宋体" w:hAnsi="宋体" w:eastAsia="宋体" w:cs="宋体"/>
                <w:spacing w:val="10"/>
                <w:sz w:val="20"/>
                <w:szCs w:val="20"/>
              </w:rPr>
              <w:t>由</w:t>
            </w:r>
            <w:r>
              <w:rPr>
                <w:rFonts w:ascii="宋体" w:hAnsi="宋体" w:eastAsia="宋体" w:cs="宋体"/>
                <w:spacing w:val="9"/>
                <w:sz w:val="20"/>
                <w:szCs w:val="20"/>
              </w:rPr>
              <w:t>于</w:t>
            </w:r>
            <w:r>
              <w:rPr>
                <w:rFonts w:ascii="宋体" w:hAnsi="宋体" w:eastAsia="宋体" w:cs="宋体"/>
                <w:spacing w:val="5"/>
                <w:sz w:val="20"/>
                <w:szCs w:val="20"/>
              </w:rPr>
              <w:t xml:space="preserve">东岸为现状南北主干道 (犀牛大道) ，与桥梁线位夹角为 </w:t>
            </w:r>
            <w:r>
              <w:rPr>
                <w:rFonts w:ascii="Times New Roman" w:hAnsi="Times New Roman" w:eastAsia="Times New Roman" w:cs="Times New Roman"/>
                <w:spacing w:val="5"/>
                <w:sz w:val="20"/>
                <w:szCs w:val="20"/>
              </w:rPr>
              <w:t xml:space="preserve">49° </w:t>
            </w:r>
            <w:r>
              <w:rPr>
                <w:rFonts w:ascii="宋体" w:hAnsi="宋体" w:eastAsia="宋体" w:cs="宋体"/>
                <w:spacing w:val="5"/>
                <w:sz w:val="20"/>
                <w:szCs w:val="20"/>
              </w:rPr>
              <w:t>，大于规定的特殊</w:t>
            </w:r>
            <w:r>
              <w:rPr>
                <w:rFonts w:ascii="宋体" w:hAnsi="宋体" w:eastAsia="宋体" w:cs="宋体"/>
                <w:sz w:val="20"/>
                <w:szCs w:val="20"/>
              </w:rPr>
              <w:t xml:space="preserve"> </w:t>
            </w:r>
            <w:r>
              <w:rPr>
                <w:rFonts w:ascii="宋体" w:hAnsi="宋体" w:eastAsia="宋体" w:cs="宋体"/>
                <w:spacing w:val="10"/>
                <w:sz w:val="20"/>
                <w:szCs w:val="20"/>
              </w:rPr>
              <w:t>困难时的最小夹角 (</w:t>
            </w:r>
            <w:r>
              <w:rPr>
                <w:rFonts w:ascii="Times New Roman" w:hAnsi="Times New Roman" w:eastAsia="Times New Roman" w:cs="Times New Roman"/>
                <w:spacing w:val="10"/>
                <w:sz w:val="20"/>
                <w:szCs w:val="20"/>
              </w:rPr>
              <w:t>45°</w:t>
            </w:r>
            <w:r>
              <w:rPr>
                <w:rFonts w:ascii="宋体" w:hAnsi="宋体" w:eastAsia="宋体" w:cs="宋体"/>
                <w:spacing w:val="10"/>
                <w:sz w:val="20"/>
                <w:szCs w:val="20"/>
              </w:rPr>
              <w:t>) ，与南北干道交叉口的交通组织满足最小转弯半径要求。但</w:t>
            </w:r>
            <w:r>
              <w:rPr>
                <w:rFonts w:ascii="宋体" w:hAnsi="宋体" w:eastAsia="宋体" w:cs="宋体"/>
                <w:spacing w:val="5"/>
                <w:sz w:val="20"/>
                <w:szCs w:val="20"/>
              </w:rPr>
              <w:t>需</w:t>
            </w:r>
            <w:r>
              <w:rPr>
                <w:rFonts w:ascii="宋体" w:hAnsi="宋体" w:eastAsia="宋体" w:cs="宋体"/>
                <w:sz w:val="20"/>
                <w:szCs w:val="20"/>
              </w:rPr>
              <w:t xml:space="preserve"> </w:t>
            </w:r>
            <w:r>
              <w:rPr>
                <w:rFonts w:ascii="宋体" w:hAnsi="宋体" w:eastAsia="宋体" w:cs="宋体"/>
                <w:spacing w:val="2"/>
                <w:sz w:val="20"/>
                <w:szCs w:val="20"/>
              </w:rPr>
              <w:t xml:space="preserve">对该路口向南延伸 </w:t>
            </w:r>
            <w:r>
              <w:rPr>
                <w:rFonts w:ascii="Times New Roman" w:hAnsi="Times New Roman" w:eastAsia="Times New Roman" w:cs="Times New Roman"/>
                <w:spacing w:val="2"/>
                <w:sz w:val="20"/>
                <w:szCs w:val="20"/>
              </w:rPr>
              <w:t>80</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、向北延伸 </w:t>
            </w:r>
            <w:r>
              <w:rPr>
                <w:rFonts w:ascii="Times New Roman" w:hAnsi="Times New Roman" w:eastAsia="Times New Roman" w:cs="Times New Roman"/>
                <w:spacing w:val="2"/>
                <w:sz w:val="20"/>
                <w:szCs w:val="20"/>
              </w:rPr>
              <w:t>60</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，便于路口展宽衔接、交通标志标线的改造等；江</w:t>
            </w:r>
            <w:r>
              <w:rPr>
                <w:rFonts w:ascii="宋体" w:hAnsi="宋体" w:eastAsia="宋体" w:cs="宋体"/>
                <w:sz w:val="20"/>
                <w:szCs w:val="20"/>
              </w:rPr>
              <w:t xml:space="preserve"> </w:t>
            </w:r>
            <w:r>
              <w:rPr>
                <w:rFonts w:ascii="宋体" w:hAnsi="宋体" w:eastAsia="宋体" w:cs="宋体"/>
                <w:spacing w:val="8"/>
                <w:sz w:val="20"/>
                <w:szCs w:val="20"/>
              </w:rPr>
              <w:t>湾路</w:t>
            </w:r>
            <w:r>
              <w:rPr>
                <w:rFonts w:ascii="宋体" w:hAnsi="宋体" w:eastAsia="宋体" w:cs="宋体"/>
                <w:spacing w:val="7"/>
                <w:sz w:val="20"/>
                <w:szCs w:val="20"/>
              </w:rPr>
              <w:t>改</w:t>
            </w:r>
            <w:r>
              <w:rPr>
                <w:rFonts w:ascii="宋体" w:hAnsi="宋体" w:eastAsia="宋体" w:cs="宋体"/>
                <w:spacing w:val="4"/>
                <w:sz w:val="20"/>
                <w:szCs w:val="20"/>
              </w:rPr>
              <w:t xml:space="preserve">造 </w:t>
            </w:r>
            <w:r>
              <w:rPr>
                <w:rFonts w:ascii="Times New Roman" w:hAnsi="Times New Roman" w:eastAsia="Times New Roman" w:cs="Times New Roman"/>
                <w:spacing w:val="4"/>
                <w:sz w:val="20"/>
                <w:szCs w:val="20"/>
              </w:rPr>
              <w:t>105</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，便于交通导流岛、车道拓宽的新建。</w:t>
            </w:r>
          </w:p>
          <w:p>
            <w:pPr>
              <w:spacing w:before="2" w:line="369" w:lineRule="auto"/>
              <w:ind w:left="103" w:right="102" w:firstLine="427"/>
              <w:rPr>
                <w:rFonts w:ascii="宋体" w:hAnsi="宋体" w:eastAsia="宋体" w:cs="宋体"/>
                <w:sz w:val="20"/>
                <w:szCs w:val="20"/>
              </w:rPr>
            </w:pPr>
            <w:r>
              <w:rPr>
                <w:rFonts w:ascii="宋体" w:hAnsi="宋体" w:eastAsia="宋体" w:cs="宋体"/>
                <w:spacing w:val="14"/>
                <w:sz w:val="20"/>
                <w:szCs w:val="20"/>
              </w:rPr>
              <w:t>项目</w:t>
            </w:r>
            <w:r>
              <w:rPr>
                <w:rFonts w:ascii="宋体" w:hAnsi="宋体" w:eastAsia="宋体" w:cs="宋体"/>
                <w:spacing w:val="7"/>
                <w:sz w:val="20"/>
                <w:szCs w:val="20"/>
              </w:rPr>
              <w:t>桥位处跨越州河，东岸与现在道路相接，南北主干道在该处交叉口的道路标高约</w:t>
            </w:r>
            <w:r>
              <w:rPr>
                <w:rFonts w:ascii="宋体" w:hAnsi="宋体" w:eastAsia="宋体" w:cs="宋体"/>
                <w:sz w:val="20"/>
                <w:szCs w:val="20"/>
              </w:rPr>
              <w:t xml:space="preserve"> </w:t>
            </w:r>
            <w:r>
              <w:rPr>
                <w:rFonts w:ascii="Times New Roman" w:hAnsi="Times New Roman" w:eastAsia="Times New Roman" w:cs="Times New Roman"/>
                <w:spacing w:val="10"/>
                <w:sz w:val="20"/>
                <w:szCs w:val="20"/>
              </w:rPr>
              <w:t>291.582</w:t>
            </w:r>
            <w:r>
              <w:rPr>
                <w:rFonts w:ascii="Times New Roman" w:hAnsi="Times New Roman" w:eastAsia="Times New Roman" w:cs="Times New Roman"/>
                <w:sz w:val="20"/>
                <w:szCs w:val="20"/>
              </w:rPr>
              <w:t>m</w:t>
            </w:r>
            <w:r>
              <w:rPr>
                <w:rFonts w:ascii="Times New Roman" w:hAnsi="Times New Roman" w:eastAsia="Times New Roman" w:cs="Times New Roman"/>
                <w:spacing w:val="9"/>
                <w:sz w:val="20"/>
                <w:szCs w:val="20"/>
              </w:rPr>
              <w:t xml:space="preserve"> </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w:t>
            </w:r>
            <w:r>
              <w:rPr>
                <w:rFonts w:ascii="Times New Roman" w:hAnsi="Times New Roman" w:eastAsia="Times New Roman" w:cs="Times New Roman"/>
                <w:spacing w:val="5"/>
                <w:sz w:val="20"/>
                <w:szCs w:val="20"/>
              </w:rPr>
              <w:t xml:space="preserve">85 </w:t>
            </w:r>
            <w:r>
              <w:rPr>
                <w:rFonts w:ascii="宋体" w:hAnsi="宋体" w:eastAsia="宋体" w:cs="宋体"/>
                <w:spacing w:val="5"/>
                <w:sz w:val="20"/>
                <w:szCs w:val="20"/>
              </w:rPr>
              <w:t xml:space="preserve">国家高程，下同) ，西岸与规划的滨河路相接，规划道路标高约 </w:t>
            </w:r>
            <w:r>
              <w:rPr>
                <w:rFonts w:ascii="Times New Roman" w:hAnsi="Times New Roman" w:eastAsia="Times New Roman" w:cs="Times New Roman"/>
                <w:spacing w:val="5"/>
                <w:sz w:val="20"/>
                <w:szCs w:val="20"/>
              </w:rPr>
              <w:t>291.5</w:t>
            </w:r>
            <w:r>
              <w:rPr>
                <w:rFonts w:ascii="Times New Roman" w:hAnsi="Times New Roman" w:eastAsia="Times New Roman" w:cs="Times New Roman"/>
                <w:sz w:val="20"/>
                <w:szCs w:val="20"/>
              </w:rPr>
              <w:t>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14"/>
                <w:sz w:val="20"/>
                <w:szCs w:val="20"/>
              </w:rPr>
              <w:t>为保证</w:t>
            </w:r>
            <w:r>
              <w:rPr>
                <w:rFonts w:ascii="宋体" w:hAnsi="宋体" w:eastAsia="宋体" w:cs="宋体"/>
                <w:spacing w:val="13"/>
                <w:sz w:val="20"/>
                <w:szCs w:val="20"/>
              </w:rPr>
              <w:t>桥</w:t>
            </w:r>
            <w:r>
              <w:rPr>
                <w:rFonts w:ascii="宋体" w:hAnsi="宋体" w:eastAsia="宋体" w:cs="宋体"/>
                <w:spacing w:val="7"/>
                <w:sz w:val="20"/>
                <w:szCs w:val="20"/>
              </w:rPr>
              <w:t>梁与两岸道路接顺，桥梁通过设置合理的纵坡，顺介入两岸接线和达州市区城市</w:t>
            </w:r>
            <w:r>
              <w:rPr>
                <w:rFonts w:ascii="宋体" w:hAnsi="宋体" w:eastAsia="宋体" w:cs="宋体"/>
                <w:sz w:val="20"/>
                <w:szCs w:val="20"/>
              </w:rPr>
              <w:t xml:space="preserve"> </w:t>
            </w:r>
            <w:r>
              <w:rPr>
                <w:rFonts w:ascii="宋体" w:hAnsi="宋体" w:eastAsia="宋体" w:cs="宋体"/>
                <w:spacing w:val="6"/>
                <w:sz w:val="20"/>
                <w:szCs w:val="20"/>
              </w:rPr>
              <w:t>路网中。</w:t>
            </w:r>
          </w:p>
          <w:p>
            <w:pPr>
              <w:spacing w:before="1" w:line="369" w:lineRule="auto"/>
              <w:ind w:left="106" w:right="50" w:firstLine="420"/>
              <w:rPr>
                <w:rFonts w:ascii="宋体" w:hAnsi="宋体" w:eastAsia="宋体" w:cs="宋体"/>
                <w:sz w:val="20"/>
                <w:szCs w:val="20"/>
              </w:rPr>
            </w:pPr>
            <w:r>
              <w:rPr>
                <w:rFonts w:ascii="宋体" w:hAnsi="宋体" w:eastAsia="宋体" w:cs="宋体"/>
                <w:spacing w:val="4"/>
                <w:sz w:val="20"/>
                <w:szCs w:val="20"/>
              </w:rPr>
              <w:t>根据目前相关资料，该桥的通航标准采用内河</w:t>
            </w:r>
            <w:r>
              <w:rPr>
                <w:rFonts w:ascii="Times New Roman" w:hAnsi="Times New Roman" w:eastAsia="Times New Roman" w:cs="Times New Roman"/>
                <w:spacing w:val="4"/>
                <w:sz w:val="20"/>
                <w:szCs w:val="20"/>
              </w:rPr>
              <w:t>Ⅶ</w:t>
            </w:r>
            <w:r>
              <w:rPr>
                <w:rFonts w:ascii="宋体" w:hAnsi="宋体" w:eastAsia="宋体" w:cs="宋体"/>
                <w:spacing w:val="4"/>
                <w:sz w:val="20"/>
                <w:szCs w:val="20"/>
              </w:rPr>
              <w:t xml:space="preserve">级航道的通航要求，通航净高 </w:t>
            </w:r>
            <w:r>
              <w:rPr>
                <w:rFonts w:ascii="Times New Roman" w:hAnsi="Times New Roman" w:eastAsia="Times New Roman" w:cs="Times New Roman"/>
                <w:spacing w:val="4"/>
                <w:sz w:val="20"/>
                <w:szCs w:val="20"/>
              </w:rPr>
              <w:t>4.</w:t>
            </w:r>
            <w:r>
              <w:rPr>
                <w:rFonts w:ascii="Times New Roman" w:hAnsi="Times New Roman" w:eastAsia="Times New Roman" w:cs="Times New Roman"/>
                <w:spacing w:val="3"/>
                <w:sz w:val="20"/>
                <w:szCs w:val="20"/>
              </w:rPr>
              <w:t>5</w:t>
            </w:r>
            <w:r>
              <w:rPr>
                <w:rFonts w:ascii="Times New Roman" w:hAnsi="Times New Roman" w:eastAsia="Times New Roman" w:cs="Times New Roman"/>
                <w:sz w:val="20"/>
                <w:szCs w:val="20"/>
              </w:rPr>
              <w:t>m</w:t>
            </w:r>
            <w:r>
              <w:rPr>
                <w:rFonts w:ascii="宋体" w:hAnsi="宋体" w:eastAsia="宋体" w:cs="宋体"/>
                <w:sz w:val="20"/>
                <w:szCs w:val="20"/>
              </w:rPr>
              <w:t xml:space="preserve">， </w:t>
            </w:r>
            <w:r>
              <w:rPr>
                <w:rFonts w:ascii="宋体" w:hAnsi="宋体" w:eastAsia="宋体" w:cs="宋体"/>
                <w:spacing w:val="6"/>
                <w:sz w:val="20"/>
                <w:szCs w:val="20"/>
              </w:rPr>
              <w:t>设</w:t>
            </w:r>
            <w:r>
              <w:rPr>
                <w:rFonts w:ascii="宋体" w:hAnsi="宋体" w:eastAsia="宋体" w:cs="宋体"/>
                <w:spacing w:val="4"/>
                <w:sz w:val="20"/>
                <w:szCs w:val="20"/>
              </w:rPr>
              <w:t xml:space="preserve">计通航最高水位为 </w:t>
            </w:r>
            <w:r>
              <w:rPr>
                <w:rFonts w:ascii="Times New Roman" w:hAnsi="Times New Roman" w:eastAsia="Times New Roman" w:cs="Times New Roman"/>
                <w:spacing w:val="4"/>
                <w:sz w:val="20"/>
                <w:szCs w:val="20"/>
              </w:rPr>
              <w:t>281.440</w:t>
            </w:r>
            <w:r>
              <w:rPr>
                <w:rFonts w:ascii="Times New Roman" w:hAnsi="Times New Roman" w:eastAsia="Times New Roman" w:cs="Times New Roman"/>
                <w:sz w:val="20"/>
                <w:szCs w:val="20"/>
              </w:rPr>
              <w:t>m</w:t>
            </w:r>
            <w:r>
              <w:rPr>
                <w:rFonts w:ascii="宋体" w:hAnsi="宋体" w:eastAsia="宋体" w:cs="宋体"/>
                <w:spacing w:val="4"/>
                <w:sz w:val="20"/>
                <w:szCs w:val="20"/>
              </w:rPr>
              <w:t xml:space="preserve">。桥梁处百年一遇洪水位标高为 </w:t>
            </w:r>
            <w:r>
              <w:rPr>
                <w:rFonts w:ascii="Times New Roman" w:hAnsi="Times New Roman" w:eastAsia="Times New Roman" w:cs="Times New Roman"/>
                <w:spacing w:val="4"/>
                <w:sz w:val="20"/>
                <w:szCs w:val="20"/>
              </w:rPr>
              <w:t>288.64</w:t>
            </w:r>
            <w:r>
              <w:rPr>
                <w:rFonts w:ascii="Times New Roman" w:hAnsi="Times New Roman" w:eastAsia="Times New Roman" w:cs="Times New Roman"/>
                <w:sz w:val="20"/>
                <w:szCs w:val="20"/>
              </w:rPr>
              <w:t>m</w:t>
            </w:r>
            <w:r>
              <w:rPr>
                <w:rFonts w:ascii="宋体" w:hAnsi="宋体" w:eastAsia="宋体" w:cs="宋体"/>
                <w:spacing w:val="4"/>
                <w:sz w:val="20"/>
                <w:szCs w:val="20"/>
              </w:rPr>
              <w:t>，与两岸道路设计</w:t>
            </w:r>
            <w:r>
              <w:rPr>
                <w:rFonts w:ascii="宋体" w:hAnsi="宋体" w:eastAsia="宋体" w:cs="宋体"/>
                <w:sz w:val="20"/>
                <w:szCs w:val="20"/>
              </w:rPr>
              <w:t xml:space="preserve"> </w:t>
            </w:r>
            <w:r>
              <w:rPr>
                <w:rFonts w:ascii="宋体" w:hAnsi="宋体" w:eastAsia="宋体" w:cs="宋体"/>
                <w:spacing w:val="14"/>
                <w:sz w:val="20"/>
                <w:szCs w:val="20"/>
              </w:rPr>
              <w:t>标高相</w:t>
            </w:r>
            <w:r>
              <w:rPr>
                <w:rFonts w:ascii="宋体" w:hAnsi="宋体" w:eastAsia="宋体" w:cs="宋体"/>
                <w:spacing w:val="10"/>
                <w:sz w:val="20"/>
                <w:szCs w:val="20"/>
              </w:rPr>
              <w:t>差</w:t>
            </w:r>
            <w:r>
              <w:rPr>
                <w:rFonts w:ascii="宋体" w:hAnsi="宋体" w:eastAsia="宋体" w:cs="宋体"/>
                <w:spacing w:val="7"/>
                <w:sz w:val="20"/>
                <w:szCs w:val="20"/>
              </w:rPr>
              <w:t>不大，桥梁跨越州河需在州河中布置桥墩，对于行洪有一定影响。桥梁在考虑在</w:t>
            </w:r>
            <w:r>
              <w:rPr>
                <w:rFonts w:ascii="宋体" w:hAnsi="宋体" w:eastAsia="宋体" w:cs="宋体"/>
                <w:sz w:val="20"/>
                <w:szCs w:val="20"/>
              </w:rPr>
              <w:t xml:space="preserve"> </w:t>
            </w:r>
            <w:r>
              <w:rPr>
                <w:rFonts w:ascii="宋体" w:hAnsi="宋体" w:eastAsia="宋体" w:cs="宋体"/>
                <w:spacing w:val="14"/>
                <w:sz w:val="20"/>
                <w:szCs w:val="20"/>
              </w:rPr>
              <w:t>保证通</w:t>
            </w:r>
            <w:r>
              <w:rPr>
                <w:rFonts w:ascii="宋体" w:hAnsi="宋体" w:eastAsia="宋体" w:cs="宋体"/>
                <w:spacing w:val="10"/>
                <w:sz w:val="20"/>
                <w:szCs w:val="20"/>
              </w:rPr>
              <w:t>航</w:t>
            </w:r>
            <w:r>
              <w:rPr>
                <w:rFonts w:ascii="宋体" w:hAnsi="宋体" w:eastAsia="宋体" w:cs="宋体"/>
                <w:spacing w:val="7"/>
                <w:sz w:val="20"/>
                <w:szCs w:val="20"/>
              </w:rPr>
              <w:t>的基础上尽量少布置桥墩，降低过水断面桥墩阻水率。桥梁跨越州河直接与两岸</w:t>
            </w:r>
            <w:r>
              <w:rPr>
                <w:rFonts w:ascii="宋体" w:hAnsi="宋体" w:eastAsia="宋体" w:cs="宋体"/>
                <w:sz w:val="20"/>
                <w:szCs w:val="20"/>
              </w:rPr>
              <w:t xml:space="preserve"> </w:t>
            </w:r>
            <w:r>
              <w:rPr>
                <w:rFonts w:ascii="宋体" w:hAnsi="宋体" w:eastAsia="宋体" w:cs="宋体"/>
                <w:spacing w:val="14"/>
                <w:sz w:val="20"/>
                <w:szCs w:val="20"/>
              </w:rPr>
              <w:t>道路相</w:t>
            </w:r>
            <w:r>
              <w:rPr>
                <w:rFonts w:ascii="宋体" w:hAnsi="宋体" w:eastAsia="宋体" w:cs="宋体"/>
                <w:spacing w:val="10"/>
                <w:sz w:val="20"/>
                <w:szCs w:val="20"/>
              </w:rPr>
              <w:t>接</w:t>
            </w:r>
            <w:r>
              <w:rPr>
                <w:rFonts w:ascii="宋体" w:hAnsi="宋体" w:eastAsia="宋体" w:cs="宋体"/>
                <w:spacing w:val="7"/>
                <w:sz w:val="20"/>
                <w:szCs w:val="20"/>
              </w:rPr>
              <w:t>，州河两岸并未规划桥下滨江道路或者人行步道，因此桥梁建筑高度除了需要满</w:t>
            </w:r>
            <w:r>
              <w:rPr>
                <w:rFonts w:ascii="宋体" w:hAnsi="宋体" w:eastAsia="宋体" w:cs="宋体"/>
                <w:sz w:val="20"/>
                <w:szCs w:val="20"/>
              </w:rPr>
              <w:t xml:space="preserve"> </w:t>
            </w:r>
            <w:r>
              <w:rPr>
                <w:rFonts w:ascii="宋体" w:hAnsi="宋体" w:eastAsia="宋体" w:cs="宋体"/>
                <w:spacing w:val="14"/>
                <w:sz w:val="20"/>
                <w:szCs w:val="20"/>
              </w:rPr>
              <w:t>足</w:t>
            </w:r>
            <w:r>
              <w:rPr>
                <w:rFonts w:ascii="宋体" w:hAnsi="宋体" w:eastAsia="宋体" w:cs="宋体"/>
                <w:spacing w:val="9"/>
                <w:sz w:val="20"/>
                <w:szCs w:val="20"/>
              </w:rPr>
              <w:t>通航净空要求和防洪要求以外，没有其他净空要求。</w:t>
            </w:r>
          </w:p>
          <w:p>
            <w:pPr>
              <w:spacing w:before="2" w:line="374" w:lineRule="auto"/>
              <w:ind w:left="107" w:right="102" w:firstLine="420"/>
              <w:rPr>
                <w:rFonts w:ascii="宋体" w:hAnsi="宋体" w:eastAsia="宋体" w:cs="宋体"/>
                <w:sz w:val="20"/>
                <w:szCs w:val="20"/>
              </w:rPr>
            </w:pPr>
            <w:r>
              <w:rPr>
                <w:rFonts w:ascii="宋体" w:hAnsi="宋体" w:eastAsia="宋体" w:cs="宋体"/>
                <w:spacing w:val="14"/>
                <w:sz w:val="20"/>
                <w:szCs w:val="20"/>
              </w:rPr>
              <w:t>通过</w:t>
            </w:r>
            <w:r>
              <w:rPr>
                <w:rFonts w:ascii="宋体" w:hAnsi="宋体" w:eastAsia="宋体" w:cs="宋体"/>
                <w:spacing w:val="8"/>
                <w:sz w:val="20"/>
                <w:szCs w:val="20"/>
              </w:rPr>
              <w:t>从</w:t>
            </w:r>
            <w:r>
              <w:rPr>
                <w:rFonts w:ascii="宋体" w:hAnsi="宋体" w:eastAsia="宋体" w:cs="宋体"/>
                <w:spacing w:val="7"/>
                <w:sz w:val="20"/>
                <w:szCs w:val="20"/>
              </w:rPr>
              <w:t>防洪、通航、管线迁改、交通、桥梁结构设计要求及本桥梁与滨河路及绿地楼</w:t>
            </w:r>
            <w:r>
              <w:rPr>
                <w:rFonts w:ascii="宋体" w:hAnsi="宋体" w:eastAsia="宋体" w:cs="宋体"/>
                <w:sz w:val="20"/>
                <w:szCs w:val="20"/>
              </w:rPr>
              <w:t xml:space="preserve"> </w:t>
            </w:r>
            <w:r>
              <w:rPr>
                <w:rFonts w:ascii="宋体" w:hAnsi="宋体" w:eastAsia="宋体" w:cs="宋体"/>
                <w:spacing w:val="9"/>
                <w:sz w:val="20"/>
                <w:szCs w:val="20"/>
              </w:rPr>
              <w:t xml:space="preserve">盘竖向标高的关系等综合考虑，最终桥位桥梁与州河基本正交，偏角约 </w:t>
            </w:r>
            <w:r>
              <w:rPr>
                <w:rFonts w:ascii="Times New Roman" w:hAnsi="Times New Roman" w:eastAsia="Times New Roman" w:cs="Times New Roman"/>
                <w:spacing w:val="9"/>
                <w:sz w:val="20"/>
                <w:szCs w:val="20"/>
              </w:rPr>
              <w:t xml:space="preserve">5° </w:t>
            </w:r>
            <w:r>
              <w:rPr>
                <w:rFonts w:ascii="宋体" w:hAnsi="宋体" w:eastAsia="宋体" w:cs="宋体"/>
                <w:spacing w:val="9"/>
                <w:sz w:val="20"/>
                <w:szCs w:val="20"/>
              </w:rPr>
              <w:t>，线位为一</w:t>
            </w:r>
            <w:r>
              <w:rPr>
                <w:rFonts w:ascii="宋体" w:hAnsi="宋体" w:eastAsia="宋体" w:cs="宋体"/>
                <w:spacing w:val="6"/>
                <w:sz w:val="20"/>
                <w:szCs w:val="20"/>
              </w:rPr>
              <w:t>条</w:t>
            </w:r>
            <w:r>
              <w:rPr>
                <w:rFonts w:ascii="宋体" w:hAnsi="宋体" w:eastAsia="宋体" w:cs="宋体"/>
                <w:sz w:val="20"/>
                <w:szCs w:val="20"/>
              </w:rPr>
              <w:t xml:space="preserve"> </w:t>
            </w:r>
            <w:r>
              <w:rPr>
                <w:rFonts w:ascii="宋体" w:hAnsi="宋体" w:eastAsia="宋体" w:cs="宋体"/>
                <w:spacing w:val="4"/>
                <w:sz w:val="20"/>
                <w:szCs w:val="20"/>
              </w:rPr>
              <w:t>直</w:t>
            </w:r>
            <w:r>
              <w:rPr>
                <w:rFonts w:ascii="宋体" w:hAnsi="宋体" w:eastAsia="宋体" w:cs="宋体"/>
                <w:spacing w:val="2"/>
                <w:sz w:val="20"/>
                <w:szCs w:val="20"/>
              </w:rPr>
              <w:t xml:space="preserve">线，全线长约 </w:t>
            </w:r>
            <w:r>
              <w:rPr>
                <w:rFonts w:ascii="Times New Roman" w:hAnsi="Times New Roman" w:eastAsia="Times New Roman" w:cs="Times New Roman"/>
                <w:spacing w:val="2"/>
                <w:sz w:val="20"/>
                <w:szCs w:val="20"/>
              </w:rPr>
              <w:t>297</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(包括西侧连接路 </w:t>
            </w:r>
            <w:r>
              <w:rPr>
                <w:rFonts w:ascii="Times New Roman" w:hAnsi="Times New Roman" w:eastAsia="Times New Roman" w:cs="Times New Roman"/>
                <w:spacing w:val="2"/>
                <w:sz w:val="20"/>
                <w:szCs w:val="20"/>
              </w:rPr>
              <w:t>20</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，东侧连接路 </w:t>
            </w:r>
            <w:r>
              <w:rPr>
                <w:rFonts w:ascii="Times New Roman" w:hAnsi="Times New Roman" w:eastAsia="Times New Roman" w:cs="Times New Roman"/>
                <w:spacing w:val="2"/>
                <w:sz w:val="20"/>
                <w:szCs w:val="20"/>
              </w:rPr>
              <w:t>37</w:t>
            </w:r>
            <w:r>
              <w:rPr>
                <w:rFonts w:ascii="Times New Roman" w:hAnsi="Times New Roman" w:eastAsia="Times New Roman" w:cs="Times New Roman"/>
                <w:sz w:val="20"/>
                <w:szCs w:val="20"/>
              </w:rPr>
              <w:t>m</w:t>
            </w:r>
            <w:r>
              <w:rPr>
                <w:rFonts w:ascii="宋体" w:hAnsi="宋体" w:eastAsia="宋体" w:cs="宋体"/>
                <w:spacing w:val="2"/>
                <w:sz w:val="20"/>
                <w:szCs w:val="20"/>
              </w:rPr>
              <w:t>) 。</w:t>
            </w:r>
          </w:p>
        </w:tc>
      </w:tr>
    </w:tbl>
    <w:p>
      <w:pPr>
        <w:spacing w:line="192" w:lineRule="exact"/>
        <w:rPr>
          <w:rFonts w:ascii="Arial"/>
          <w:sz w:val="16"/>
        </w:rPr>
      </w:pPr>
    </w:p>
    <w:p>
      <w:pPr>
        <w:sectPr>
          <w:footerReference r:id="rId49" w:type="default"/>
          <w:pgSz w:w="11906" w:h="16839"/>
          <w:pgMar w:top="400" w:right="1487" w:bottom="1475" w:left="1486" w:header="0" w:footer="1315" w:gutter="0"/>
          <w:cols w:space="720" w:num="1"/>
        </w:sectPr>
      </w:pPr>
    </w:p>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8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17" w:hRule="atLeast"/>
        </w:trPr>
        <w:tc>
          <w:tcPr>
            <w:tcW w:w="600" w:type="dxa"/>
            <w:tcBorders>
              <w:left w:val="single" w:color="00000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59" w:lineRule="auto"/>
              <w:ind w:left="88" w:right="89" w:firstLine="5"/>
              <w:rPr>
                <w:rFonts w:ascii="宋体" w:hAnsi="宋体" w:eastAsia="宋体" w:cs="宋体"/>
                <w:sz w:val="20"/>
                <w:szCs w:val="20"/>
              </w:rPr>
            </w:pPr>
            <w:r>
              <w:rPr>
                <w:rFonts w:ascii="宋体" w:hAnsi="宋体" w:eastAsia="宋体" w:cs="宋体"/>
                <w:spacing w:val="3"/>
                <w:sz w:val="20"/>
                <w:szCs w:val="20"/>
                <w14:textOutline w14:w="3795" w14:cap="sq" w14:cmpd="sng">
                  <w14:solidFill>
                    <w14:srgbClr w14:val="000000"/>
                  </w14:solidFill>
                  <w14:prstDash w14:val="solid"/>
                  <w14:bevel/>
                </w14:textOutline>
              </w:rPr>
              <w:t>总平</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面及</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现场</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布置</w:t>
            </w:r>
          </w:p>
        </w:tc>
        <w:tc>
          <w:tcPr>
            <w:tcW w:w="8317" w:type="dxa"/>
            <w:tcBorders>
              <w:right w:val="single" w:color="000000" w:sz="6" w:space="0"/>
            </w:tcBorders>
            <w:vAlign w:val="top"/>
          </w:tcPr>
          <w:p>
            <w:pPr>
              <w:spacing w:before="144" w:line="242" w:lineRule="auto"/>
              <w:ind w:left="103"/>
              <w:rPr>
                <w:rFonts w:ascii="黑体" w:hAnsi="黑体" w:eastAsia="黑体" w:cs="黑体"/>
                <w:sz w:val="20"/>
                <w:szCs w:val="20"/>
              </w:rPr>
            </w:pPr>
            <w:r>
              <w:rPr>
                <w:rFonts w:ascii="Times New Roman" w:hAnsi="Times New Roman" w:eastAsia="Times New Roman" w:cs="Times New Roman"/>
                <w:spacing w:val="2"/>
                <w:sz w:val="20"/>
                <w:szCs w:val="20"/>
              </w:rPr>
              <w:t xml:space="preserve">2 </w:t>
            </w:r>
            <w:r>
              <w:rPr>
                <w:rFonts w:ascii="黑体" w:hAnsi="黑体" w:eastAsia="黑体" w:cs="黑体"/>
                <w:spacing w:val="2"/>
                <w:sz w:val="20"/>
                <w:szCs w:val="20"/>
              </w:rPr>
              <w:t>、施工布局情</w:t>
            </w:r>
            <w:r>
              <w:rPr>
                <w:rFonts w:ascii="黑体" w:hAnsi="黑体" w:eastAsia="黑体" w:cs="黑体"/>
                <w:spacing w:val="1"/>
                <w:sz w:val="20"/>
                <w:szCs w:val="20"/>
              </w:rPr>
              <w:t>况</w:t>
            </w:r>
          </w:p>
          <w:p>
            <w:pPr>
              <w:spacing w:before="138" w:line="369" w:lineRule="auto"/>
              <w:ind w:left="106" w:right="53" w:firstLine="421"/>
              <w:rPr>
                <w:rFonts w:ascii="宋体" w:hAnsi="宋体" w:eastAsia="宋体" w:cs="宋体"/>
                <w:sz w:val="20"/>
                <w:szCs w:val="20"/>
              </w:rPr>
            </w:pPr>
            <w:r>
              <w:rPr>
                <w:rFonts w:ascii="宋体" w:hAnsi="宋体" w:eastAsia="宋体" w:cs="宋体"/>
                <w:spacing w:val="16"/>
                <w:sz w:val="20"/>
                <w:szCs w:val="20"/>
              </w:rPr>
              <w:t>根据</w:t>
            </w:r>
            <w:r>
              <w:rPr>
                <w:rFonts w:ascii="宋体" w:hAnsi="宋体" w:eastAsia="宋体" w:cs="宋体"/>
                <w:spacing w:val="14"/>
                <w:sz w:val="20"/>
                <w:szCs w:val="20"/>
              </w:rPr>
              <w:t>项</w:t>
            </w:r>
            <w:r>
              <w:rPr>
                <w:rFonts w:ascii="宋体" w:hAnsi="宋体" w:eastAsia="宋体" w:cs="宋体"/>
                <w:spacing w:val="8"/>
                <w:sz w:val="20"/>
                <w:szCs w:val="20"/>
              </w:rPr>
              <w:t>目初设资料，项目不设取土场、取料场，所需建筑材料 (如石料、砂卵石砾、</w:t>
            </w:r>
            <w:r>
              <w:rPr>
                <w:rFonts w:ascii="宋体" w:hAnsi="宋体" w:eastAsia="宋体" w:cs="宋体"/>
                <w:sz w:val="20"/>
                <w:szCs w:val="20"/>
              </w:rPr>
              <w:t xml:space="preserve"> </w:t>
            </w:r>
            <w:r>
              <w:rPr>
                <w:rFonts w:ascii="宋体" w:hAnsi="宋体" w:eastAsia="宋体" w:cs="宋体"/>
                <w:spacing w:val="7"/>
                <w:sz w:val="20"/>
                <w:szCs w:val="20"/>
              </w:rPr>
              <w:t xml:space="preserve">钢材、木材、水泥、沥青等) 均外购，运输距离在 </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km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以内</w:t>
            </w:r>
            <w:r>
              <w:rPr>
                <w:rFonts w:ascii="宋体" w:hAnsi="宋体" w:eastAsia="宋体" w:cs="宋体"/>
                <w:spacing w:val="5"/>
                <w:sz w:val="20"/>
                <w:szCs w:val="20"/>
              </w:rPr>
              <w:t>。</w:t>
            </w:r>
          </w:p>
          <w:p>
            <w:pPr>
              <w:spacing w:before="2" w:line="369" w:lineRule="auto"/>
              <w:ind w:left="106" w:right="102" w:firstLine="420"/>
              <w:rPr>
                <w:rFonts w:ascii="宋体" w:hAnsi="宋体" w:eastAsia="宋体" w:cs="宋体"/>
                <w:sz w:val="20"/>
                <w:szCs w:val="20"/>
              </w:rPr>
            </w:pPr>
            <w:r>
              <w:rPr>
                <w:rFonts w:ascii="宋体" w:hAnsi="宋体" w:eastAsia="宋体" w:cs="宋体"/>
                <w:spacing w:val="14"/>
                <w:sz w:val="20"/>
                <w:szCs w:val="20"/>
              </w:rPr>
              <w:t>桥梁</w:t>
            </w:r>
            <w:r>
              <w:rPr>
                <w:rFonts w:ascii="宋体" w:hAnsi="宋体" w:eastAsia="宋体" w:cs="宋体"/>
                <w:spacing w:val="10"/>
                <w:sz w:val="20"/>
                <w:szCs w:val="20"/>
              </w:rPr>
              <w:t>上</w:t>
            </w:r>
            <w:r>
              <w:rPr>
                <w:rFonts w:ascii="宋体" w:hAnsi="宋体" w:eastAsia="宋体" w:cs="宋体"/>
                <w:spacing w:val="7"/>
                <w:sz w:val="20"/>
                <w:szCs w:val="20"/>
              </w:rPr>
              <w:t>部主梁采用整体钢箱梁结构形式、桥塔采用钢塔，钢结构在钢梁工厂加工，现</w:t>
            </w:r>
            <w:r>
              <w:rPr>
                <w:rFonts w:ascii="宋体" w:hAnsi="宋体" w:eastAsia="宋体" w:cs="宋体"/>
                <w:sz w:val="20"/>
                <w:szCs w:val="20"/>
              </w:rPr>
              <w:t xml:space="preserve"> </w:t>
            </w:r>
            <w:r>
              <w:rPr>
                <w:rFonts w:ascii="宋体" w:hAnsi="宋体" w:eastAsia="宋体" w:cs="宋体"/>
                <w:spacing w:val="9"/>
                <w:sz w:val="20"/>
                <w:szCs w:val="20"/>
              </w:rPr>
              <w:t>场逐段拼装，本项目不设置钢箱梁场</w:t>
            </w:r>
            <w:r>
              <w:rPr>
                <w:rFonts w:ascii="宋体" w:hAnsi="宋体" w:eastAsia="宋体" w:cs="宋体"/>
                <w:spacing w:val="6"/>
                <w:sz w:val="20"/>
                <w:szCs w:val="20"/>
              </w:rPr>
              <w:t>。</w:t>
            </w:r>
          </w:p>
          <w:p>
            <w:pPr>
              <w:spacing w:before="1" w:line="368" w:lineRule="auto"/>
              <w:ind w:left="108" w:right="102" w:firstLine="425"/>
              <w:rPr>
                <w:rFonts w:ascii="宋体" w:hAnsi="宋体" w:eastAsia="宋体" w:cs="宋体"/>
                <w:sz w:val="20"/>
                <w:szCs w:val="20"/>
              </w:rPr>
            </w:pPr>
            <w:r>
              <w:rPr>
                <w:rFonts w:ascii="宋体" w:hAnsi="宋体" w:eastAsia="宋体" w:cs="宋体"/>
                <w:spacing w:val="14"/>
                <w:sz w:val="20"/>
                <w:szCs w:val="20"/>
              </w:rPr>
              <w:t>下</w:t>
            </w:r>
            <w:r>
              <w:rPr>
                <w:rFonts w:ascii="宋体" w:hAnsi="宋体" w:eastAsia="宋体" w:cs="宋体"/>
                <w:spacing w:val="11"/>
                <w:sz w:val="20"/>
                <w:szCs w:val="20"/>
              </w:rPr>
              <w:t>部</w:t>
            </w:r>
            <w:r>
              <w:rPr>
                <w:rFonts w:ascii="宋体" w:hAnsi="宋体" w:eastAsia="宋体" w:cs="宋体"/>
                <w:spacing w:val="7"/>
                <w:sz w:val="20"/>
                <w:szCs w:val="20"/>
              </w:rPr>
              <w:t>承台、桥墩、桥台均为现浇施工，路基水稳层、路面铺装沥青等均外购成品，因</w:t>
            </w:r>
            <w:r>
              <w:rPr>
                <w:rFonts w:ascii="宋体" w:hAnsi="宋体" w:eastAsia="宋体" w:cs="宋体"/>
                <w:sz w:val="20"/>
                <w:szCs w:val="20"/>
              </w:rPr>
              <w:t xml:space="preserve"> </w:t>
            </w:r>
            <w:r>
              <w:rPr>
                <w:rFonts w:ascii="宋体" w:hAnsi="宋体" w:eastAsia="宋体" w:cs="宋体"/>
                <w:spacing w:val="14"/>
                <w:sz w:val="20"/>
                <w:szCs w:val="20"/>
              </w:rPr>
              <w:t>此</w:t>
            </w:r>
            <w:r>
              <w:rPr>
                <w:rFonts w:ascii="宋体" w:hAnsi="宋体" w:eastAsia="宋体" w:cs="宋体"/>
                <w:spacing w:val="9"/>
                <w:sz w:val="20"/>
                <w:szCs w:val="20"/>
              </w:rPr>
              <w:t>项目不设置不设预制场、拌和站、沥青搅拌站等临时工程。</w:t>
            </w:r>
          </w:p>
          <w:p>
            <w:pPr>
              <w:spacing w:line="226" w:lineRule="auto"/>
              <w:ind w:left="526"/>
              <w:rPr>
                <w:rFonts w:ascii="宋体" w:hAnsi="宋体" w:eastAsia="宋体" w:cs="宋体"/>
                <w:sz w:val="20"/>
                <w:szCs w:val="20"/>
              </w:rPr>
            </w:pPr>
            <w:r>
              <w:rPr>
                <w:rFonts w:ascii="宋体" w:hAnsi="宋体" w:eastAsia="宋体" w:cs="宋体"/>
                <w:spacing w:val="18"/>
                <w:sz w:val="20"/>
                <w:szCs w:val="20"/>
              </w:rPr>
              <w:t>施</w:t>
            </w:r>
            <w:r>
              <w:rPr>
                <w:rFonts w:ascii="宋体" w:hAnsi="宋体" w:eastAsia="宋体" w:cs="宋体"/>
                <w:spacing w:val="13"/>
                <w:sz w:val="20"/>
                <w:szCs w:val="20"/>
              </w:rPr>
              <w:t>工</w:t>
            </w:r>
            <w:r>
              <w:rPr>
                <w:rFonts w:ascii="宋体" w:hAnsi="宋体" w:eastAsia="宋体" w:cs="宋体"/>
                <w:spacing w:val="9"/>
                <w:sz w:val="20"/>
                <w:szCs w:val="20"/>
              </w:rPr>
              <w:t>机械就近维修、停放，利用附近的机修设施，项目不设置机械维修站。</w:t>
            </w:r>
          </w:p>
          <w:p>
            <w:pPr>
              <w:spacing w:before="155" w:line="369" w:lineRule="auto"/>
              <w:ind w:left="110" w:right="102" w:firstLine="420"/>
              <w:rPr>
                <w:rFonts w:ascii="宋体" w:hAnsi="宋体" w:eastAsia="宋体" w:cs="宋体"/>
                <w:sz w:val="20"/>
                <w:szCs w:val="20"/>
              </w:rPr>
            </w:pPr>
            <w:r>
              <w:rPr>
                <w:rFonts w:ascii="宋体" w:hAnsi="宋体" w:eastAsia="宋体" w:cs="宋体"/>
                <w:spacing w:val="14"/>
                <w:sz w:val="20"/>
                <w:szCs w:val="20"/>
              </w:rPr>
              <w:t>项目</w:t>
            </w:r>
            <w:r>
              <w:rPr>
                <w:rFonts w:ascii="宋体" w:hAnsi="宋体" w:eastAsia="宋体" w:cs="宋体"/>
                <w:spacing w:val="7"/>
                <w:sz w:val="20"/>
                <w:szCs w:val="20"/>
              </w:rPr>
              <w:t>位于城区，施工人员生活城市设施自行解决，不设置施工营地，施工项目部或管</w:t>
            </w:r>
            <w:r>
              <w:rPr>
                <w:rFonts w:ascii="宋体" w:hAnsi="宋体" w:eastAsia="宋体" w:cs="宋体"/>
                <w:sz w:val="20"/>
                <w:szCs w:val="20"/>
              </w:rPr>
              <w:t xml:space="preserve"> </w:t>
            </w:r>
            <w:r>
              <w:rPr>
                <w:rFonts w:ascii="宋体" w:hAnsi="宋体" w:eastAsia="宋体" w:cs="宋体"/>
                <w:spacing w:val="16"/>
                <w:sz w:val="20"/>
                <w:szCs w:val="20"/>
              </w:rPr>
              <w:t>理</w:t>
            </w:r>
            <w:r>
              <w:rPr>
                <w:rFonts w:ascii="宋体" w:hAnsi="宋体" w:eastAsia="宋体" w:cs="宋体"/>
                <w:spacing w:val="15"/>
                <w:sz w:val="20"/>
                <w:szCs w:val="20"/>
              </w:rPr>
              <w:t>用</w:t>
            </w:r>
            <w:r>
              <w:rPr>
                <w:rFonts w:ascii="宋体" w:hAnsi="宋体" w:eastAsia="宋体" w:cs="宋体"/>
                <w:spacing w:val="8"/>
                <w:sz w:val="20"/>
                <w:szCs w:val="20"/>
              </w:rPr>
              <w:t>房租用附近已建的房屋，不单独新建。</w:t>
            </w:r>
          </w:p>
          <w:p>
            <w:pPr>
              <w:spacing w:before="1" w:line="226" w:lineRule="auto"/>
              <w:ind w:left="526"/>
              <w:rPr>
                <w:rFonts w:ascii="宋体" w:hAnsi="宋体" w:eastAsia="宋体" w:cs="宋体"/>
                <w:sz w:val="20"/>
                <w:szCs w:val="20"/>
              </w:rPr>
            </w:pPr>
            <w:r>
              <w:rPr>
                <w:rFonts w:ascii="宋体" w:hAnsi="宋体" w:eastAsia="宋体" w:cs="宋体"/>
                <w:spacing w:val="18"/>
                <w:sz w:val="20"/>
                <w:szCs w:val="20"/>
              </w:rPr>
              <w:t>施</w:t>
            </w:r>
            <w:r>
              <w:rPr>
                <w:rFonts w:ascii="宋体" w:hAnsi="宋体" w:eastAsia="宋体" w:cs="宋体"/>
                <w:spacing w:val="15"/>
                <w:sz w:val="20"/>
                <w:szCs w:val="20"/>
              </w:rPr>
              <w:t>工</w:t>
            </w:r>
            <w:r>
              <w:rPr>
                <w:rFonts w:ascii="宋体" w:hAnsi="宋体" w:eastAsia="宋体" w:cs="宋体"/>
                <w:spacing w:val="9"/>
                <w:sz w:val="20"/>
                <w:szCs w:val="20"/>
              </w:rPr>
              <w:t>布局主要为施工运输道路、施工栈桥、表土临时堆场、泥浆干化场等的布设。</w:t>
            </w:r>
          </w:p>
          <w:p>
            <w:pPr>
              <w:spacing w:before="117" w:line="381" w:lineRule="auto"/>
              <w:ind w:left="109" w:right="50" w:firstLine="418"/>
              <w:rPr>
                <w:rFonts w:ascii="宋体" w:hAnsi="宋体" w:eastAsia="宋体" w:cs="宋体"/>
                <w:sz w:val="20"/>
                <w:szCs w:val="20"/>
              </w:rPr>
            </w:pPr>
            <w:r>
              <w:rPr>
                <w:rFonts w:ascii="宋体" w:hAnsi="宋体" w:eastAsia="宋体" w:cs="宋体"/>
                <w:spacing w:val="18"/>
                <w:sz w:val="20"/>
                <w:szCs w:val="20"/>
              </w:rPr>
              <w:t>根据</w:t>
            </w:r>
            <w:r>
              <w:rPr>
                <w:rFonts w:ascii="宋体" w:hAnsi="宋体" w:eastAsia="宋体" w:cs="宋体"/>
                <w:spacing w:val="9"/>
                <w:sz w:val="20"/>
                <w:szCs w:val="20"/>
              </w:rPr>
              <w:t xml:space="preserve">初设方案说明，项目施工拟在西岸 </w:t>
            </w:r>
            <w:r>
              <w:rPr>
                <w:rFonts w:ascii="Times New Roman" w:hAnsi="Times New Roman" w:eastAsia="Times New Roman" w:cs="Times New Roman"/>
                <w:sz w:val="20"/>
                <w:szCs w:val="20"/>
              </w:rPr>
              <w:t>K</w:t>
            </w:r>
            <w:r>
              <w:rPr>
                <w:rFonts w:ascii="Times New Roman" w:hAnsi="Times New Roman" w:eastAsia="Times New Roman" w:cs="Times New Roman"/>
                <w:spacing w:val="9"/>
                <w:sz w:val="20"/>
                <w:szCs w:val="20"/>
              </w:rPr>
              <w:t xml:space="preserve">0+00 </w:t>
            </w:r>
            <w:r>
              <w:rPr>
                <w:rFonts w:ascii="宋体" w:hAnsi="宋体" w:eastAsia="宋体" w:cs="宋体"/>
                <w:spacing w:val="9"/>
                <w:sz w:val="20"/>
                <w:szCs w:val="20"/>
              </w:rPr>
              <w:t>处设置施工便道一条，施工便道长约</w:t>
            </w:r>
            <w:r>
              <w:rPr>
                <w:rFonts w:ascii="宋体" w:hAnsi="宋体" w:eastAsia="宋体" w:cs="宋体"/>
                <w:sz w:val="20"/>
                <w:szCs w:val="20"/>
              </w:rPr>
              <w:t xml:space="preserve"> </w:t>
            </w:r>
            <w:r>
              <w:rPr>
                <w:rFonts w:ascii="Times New Roman" w:hAnsi="Times New Roman" w:eastAsia="Times New Roman" w:cs="Times New Roman"/>
                <w:spacing w:val="6"/>
                <w:sz w:val="20"/>
                <w:szCs w:val="20"/>
              </w:rPr>
              <w:t>56</w:t>
            </w:r>
            <w:r>
              <w:rPr>
                <w:rFonts w:ascii="Times New Roman" w:hAnsi="Times New Roman" w:eastAsia="Times New Roman" w:cs="Times New Roman"/>
                <w:spacing w:val="3"/>
                <w:sz w:val="20"/>
                <w:szCs w:val="20"/>
              </w:rPr>
              <w:t>8</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，宽 </w:t>
            </w:r>
            <w:r>
              <w:rPr>
                <w:rFonts w:ascii="Times New Roman" w:hAnsi="Times New Roman" w:eastAsia="Times New Roman" w:cs="Times New Roman"/>
                <w:spacing w:val="3"/>
                <w:sz w:val="20"/>
                <w:szCs w:val="20"/>
              </w:rPr>
              <w:t>8.5</w:t>
            </w:r>
            <w:r>
              <w:rPr>
                <w:rFonts w:ascii="Times New Roman" w:hAnsi="Times New Roman" w:eastAsia="Times New Roman" w:cs="Times New Roman"/>
                <w:sz w:val="20"/>
                <w:szCs w:val="20"/>
              </w:rPr>
              <w:t>m</w:t>
            </w:r>
            <w:r>
              <w:rPr>
                <w:rFonts w:ascii="宋体" w:hAnsi="宋体" w:eastAsia="宋体" w:cs="宋体"/>
                <w:spacing w:val="3"/>
                <w:sz w:val="20"/>
                <w:szCs w:val="20"/>
              </w:rPr>
              <w:t>，接凤北大道。临时道路两侧建排水沟。施工完成后施工便道将保留现状，</w:t>
            </w:r>
            <w:r>
              <w:rPr>
                <w:rFonts w:ascii="宋体" w:hAnsi="宋体" w:eastAsia="宋体" w:cs="宋体"/>
                <w:sz w:val="20"/>
                <w:szCs w:val="20"/>
              </w:rPr>
              <w:t xml:space="preserve"> </w:t>
            </w:r>
            <w:r>
              <w:rPr>
                <w:rFonts w:ascii="宋体" w:hAnsi="宋体" w:eastAsia="宋体" w:cs="宋体"/>
                <w:spacing w:val="11"/>
                <w:sz w:val="20"/>
                <w:szCs w:val="20"/>
              </w:rPr>
              <w:t>为</w:t>
            </w:r>
            <w:r>
              <w:rPr>
                <w:rFonts w:ascii="宋体" w:hAnsi="宋体" w:eastAsia="宋体" w:cs="宋体"/>
                <w:spacing w:val="8"/>
                <w:sz w:val="20"/>
                <w:szCs w:val="20"/>
              </w:rPr>
              <w:t>下一阶段滨河路修建使用。</w:t>
            </w:r>
          </w:p>
          <w:p>
            <w:pPr>
              <w:spacing w:before="2" w:line="368" w:lineRule="auto"/>
              <w:ind w:left="106" w:right="102" w:firstLine="420"/>
              <w:rPr>
                <w:rFonts w:ascii="宋体" w:hAnsi="宋体" w:eastAsia="宋体" w:cs="宋体"/>
                <w:sz w:val="20"/>
                <w:szCs w:val="20"/>
              </w:rPr>
            </w:pPr>
            <w:r>
              <w:rPr>
                <w:rFonts w:ascii="宋体" w:hAnsi="宋体" w:eastAsia="宋体" w:cs="宋体"/>
                <w:spacing w:val="14"/>
                <w:sz w:val="20"/>
                <w:szCs w:val="20"/>
              </w:rPr>
              <w:t>桥梁</w:t>
            </w:r>
            <w:r>
              <w:rPr>
                <w:rFonts w:ascii="宋体" w:hAnsi="宋体" w:eastAsia="宋体" w:cs="宋体"/>
                <w:spacing w:val="10"/>
                <w:sz w:val="20"/>
                <w:szCs w:val="20"/>
              </w:rPr>
              <w:t>下</w:t>
            </w:r>
            <w:r>
              <w:rPr>
                <w:rFonts w:ascii="宋体" w:hAnsi="宋体" w:eastAsia="宋体" w:cs="宋体"/>
                <w:spacing w:val="7"/>
                <w:sz w:val="20"/>
                <w:szCs w:val="20"/>
              </w:rPr>
              <w:t>部结构施工主要是立模现浇施工，河中施工时的设备和材料通过设置临时栈桥</w:t>
            </w:r>
            <w:r>
              <w:rPr>
                <w:rFonts w:ascii="宋体" w:hAnsi="宋体" w:eastAsia="宋体" w:cs="宋体"/>
                <w:sz w:val="20"/>
                <w:szCs w:val="20"/>
              </w:rPr>
              <w:t xml:space="preserve"> </w:t>
            </w:r>
            <w:r>
              <w:rPr>
                <w:rFonts w:ascii="宋体" w:hAnsi="宋体" w:eastAsia="宋体" w:cs="宋体"/>
                <w:spacing w:val="7"/>
                <w:sz w:val="20"/>
                <w:szCs w:val="20"/>
              </w:rPr>
              <w:t>解</w:t>
            </w:r>
            <w:r>
              <w:rPr>
                <w:rFonts w:ascii="宋体" w:hAnsi="宋体" w:eastAsia="宋体" w:cs="宋体"/>
                <w:spacing w:val="4"/>
                <w:sz w:val="20"/>
                <w:szCs w:val="20"/>
              </w:rPr>
              <w:t xml:space="preserve">决，栈桥长度约 </w:t>
            </w:r>
            <w:r>
              <w:rPr>
                <w:rFonts w:ascii="Times New Roman" w:hAnsi="Times New Roman" w:eastAsia="Times New Roman" w:cs="Times New Roman"/>
                <w:spacing w:val="4"/>
                <w:sz w:val="20"/>
                <w:szCs w:val="20"/>
              </w:rPr>
              <w:t>620</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(拟建桥梁两侧各约 </w:t>
            </w:r>
            <w:r>
              <w:rPr>
                <w:rFonts w:ascii="Times New Roman" w:hAnsi="Times New Roman" w:eastAsia="Times New Roman" w:cs="Times New Roman"/>
                <w:spacing w:val="4"/>
                <w:sz w:val="20"/>
                <w:szCs w:val="20"/>
              </w:rPr>
              <w:t>310</w:t>
            </w:r>
            <w:r>
              <w:rPr>
                <w:rFonts w:ascii="Times New Roman" w:hAnsi="Times New Roman" w:eastAsia="Times New Roman" w:cs="Times New Roman"/>
                <w:sz w:val="20"/>
                <w:szCs w:val="20"/>
              </w:rPr>
              <w:t>m</w:t>
            </w:r>
            <w:r>
              <w:rPr>
                <w:rFonts w:ascii="宋体" w:hAnsi="宋体" w:eastAsia="宋体" w:cs="宋体"/>
                <w:spacing w:val="4"/>
                <w:sz w:val="20"/>
                <w:szCs w:val="20"/>
              </w:rPr>
              <w:t>) 。</w:t>
            </w:r>
          </w:p>
          <w:p>
            <w:pPr>
              <w:spacing w:before="2" w:line="368" w:lineRule="auto"/>
              <w:ind w:left="124" w:right="104" w:firstLine="403"/>
              <w:rPr>
                <w:rFonts w:ascii="宋体" w:hAnsi="宋体" w:eastAsia="宋体" w:cs="宋体"/>
                <w:sz w:val="20"/>
                <w:szCs w:val="20"/>
              </w:rPr>
            </w:pPr>
            <w:r>
              <w:rPr>
                <w:rFonts w:ascii="宋体" w:hAnsi="宋体" w:eastAsia="宋体" w:cs="宋体"/>
                <w:spacing w:val="17"/>
                <w:sz w:val="20"/>
                <w:szCs w:val="20"/>
              </w:rPr>
              <w:t xml:space="preserve">桥梁两端施工产生和土石方，分别在用地范围内设置 </w:t>
            </w:r>
            <w:r>
              <w:rPr>
                <w:rFonts w:ascii="Times New Roman" w:hAnsi="Times New Roman" w:eastAsia="Times New Roman" w:cs="Times New Roman"/>
                <w:spacing w:val="17"/>
                <w:sz w:val="20"/>
                <w:szCs w:val="20"/>
              </w:rPr>
              <w:t xml:space="preserve">1 </w:t>
            </w:r>
            <w:r>
              <w:rPr>
                <w:rFonts w:ascii="宋体" w:hAnsi="宋体" w:eastAsia="宋体" w:cs="宋体"/>
                <w:spacing w:val="17"/>
                <w:sz w:val="20"/>
                <w:szCs w:val="20"/>
              </w:rPr>
              <w:t>个临时堆放区，面积均</w:t>
            </w:r>
            <w:r>
              <w:rPr>
                <w:rFonts w:ascii="宋体" w:hAnsi="宋体" w:eastAsia="宋体" w:cs="宋体"/>
                <w:spacing w:val="12"/>
                <w:sz w:val="20"/>
                <w:szCs w:val="20"/>
              </w:rPr>
              <w:t>约</w:t>
            </w:r>
            <w:r>
              <w:rPr>
                <w:rFonts w:ascii="宋体" w:hAnsi="宋体" w:eastAsia="宋体" w:cs="宋体"/>
                <w:sz w:val="20"/>
                <w:szCs w:val="20"/>
              </w:rPr>
              <w:t xml:space="preserve"> </w:t>
            </w:r>
            <w:r>
              <w:rPr>
                <w:rFonts w:ascii="Times New Roman" w:hAnsi="Times New Roman" w:eastAsia="Times New Roman" w:cs="Times New Roman"/>
                <w:spacing w:val="2"/>
                <w:sz w:val="20"/>
                <w:szCs w:val="20"/>
              </w:rPr>
              <w:t>1500</w:t>
            </w:r>
            <w:r>
              <w:rPr>
                <w:rFonts w:ascii="Times New Roman" w:hAnsi="Times New Roman" w:eastAsia="Times New Roman" w:cs="Times New Roman"/>
                <w:sz w:val="20"/>
                <w:szCs w:val="20"/>
              </w:rPr>
              <w:t>m</w:t>
            </w:r>
            <w:r>
              <w:rPr>
                <w:rFonts w:ascii="宋体" w:hAnsi="宋体" w:eastAsia="宋体" w:cs="宋体"/>
                <w:spacing w:val="2"/>
                <w:sz w:val="20"/>
                <w:szCs w:val="20"/>
              </w:rPr>
              <w:t xml:space="preserve">² </w:t>
            </w:r>
            <w:r>
              <w:rPr>
                <w:rFonts w:ascii="宋体" w:hAnsi="宋体" w:eastAsia="宋体" w:cs="宋体"/>
                <w:spacing w:val="1"/>
                <w:sz w:val="20"/>
                <w:szCs w:val="20"/>
              </w:rPr>
              <w:t xml:space="preserve">，堆放高度 </w:t>
            </w:r>
            <w:r>
              <w:rPr>
                <w:rFonts w:ascii="Times New Roman" w:hAnsi="Times New Roman" w:eastAsia="Times New Roman" w:cs="Times New Roman"/>
                <w:spacing w:val="1"/>
                <w:sz w:val="20"/>
                <w:szCs w:val="20"/>
              </w:rPr>
              <w:t>2~3</w:t>
            </w:r>
            <w:r>
              <w:rPr>
                <w:rFonts w:ascii="Times New Roman" w:hAnsi="Times New Roman" w:eastAsia="Times New Roman" w:cs="Times New Roman"/>
                <w:sz w:val="20"/>
                <w:szCs w:val="20"/>
              </w:rPr>
              <w:t>m</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，表土临时堆场容量约 </w:t>
            </w:r>
            <w:r>
              <w:rPr>
                <w:rFonts w:ascii="Times New Roman" w:hAnsi="Times New Roman" w:eastAsia="Times New Roman" w:cs="Times New Roman"/>
                <w:spacing w:val="1"/>
                <w:sz w:val="20"/>
                <w:szCs w:val="20"/>
              </w:rPr>
              <w:t>1000</w:t>
            </w:r>
            <w:r>
              <w:rPr>
                <w:rFonts w:ascii="Times New Roman" w:hAnsi="Times New Roman" w:eastAsia="Times New Roman" w:cs="Times New Roman"/>
                <w:sz w:val="20"/>
                <w:szCs w:val="20"/>
              </w:rPr>
              <w:t>m</w:t>
            </w:r>
            <w:r>
              <w:rPr>
                <w:rFonts w:ascii="宋体" w:hAnsi="宋体" w:eastAsia="宋体" w:cs="宋体"/>
                <w:spacing w:val="1"/>
                <w:sz w:val="20"/>
                <w:szCs w:val="20"/>
              </w:rPr>
              <w:t>³ ，满足表土堆放要求，临时堆场</w:t>
            </w:r>
          </w:p>
          <w:p>
            <w:pPr>
              <w:spacing w:line="227" w:lineRule="auto"/>
              <w:ind w:left="108"/>
              <w:rPr>
                <w:rFonts w:ascii="宋体" w:hAnsi="宋体" w:eastAsia="宋体" w:cs="宋体"/>
                <w:sz w:val="20"/>
                <w:szCs w:val="20"/>
              </w:rPr>
            </w:pPr>
            <w:r>
              <w:rPr>
                <w:rFonts w:ascii="宋体" w:hAnsi="宋体" w:eastAsia="宋体" w:cs="宋体"/>
                <w:spacing w:val="12"/>
                <w:sz w:val="20"/>
                <w:szCs w:val="20"/>
              </w:rPr>
              <w:t>周</w:t>
            </w:r>
            <w:r>
              <w:rPr>
                <w:rFonts w:ascii="宋体" w:hAnsi="宋体" w:eastAsia="宋体" w:cs="宋体"/>
                <w:spacing w:val="7"/>
                <w:sz w:val="20"/>
                <w:szCs w:val="20"/>
              </w:rPr>
              <w:t>围需建截排水沟。</w:t>
            </w:r>
          </w:p>
          <w:p>
            <w:pPr>
              <w:spacing w:before="117" w:line="378" w:lineRule="auto"/>
              <w:ind w:left="106" w:right="50" w:firstLine="420"/>
              <w:rPr>
                <w:rFonts w:ascii="宋体" w:hAnsi="宋体" w:eastAsia="宋体" w:cs="宋体"/>
                <w:sz w:val="20"/>
                <w:szCs w:val="20"/>
              </w:rPr>
            </w:pPr>
            <w:r>
              <w:rPr>
                <w:rFonts w:ascii="宋体" w:hAnsi="宋体" w:eastAsia="宋体" w:cs="宋体"/>
                <w:spacing w:val="2"/>
                <w:sz w:val="20"/>
                <w:szCs w:val="20"/>
              </w:rPr>
              <w:t xml:space="preserve">施工前期拟对河内标高 </w:t>
            </w:r>
            <w:r>
              <w:rPr>
                <w:rFonts w:ascii="Times New Roman" w:hAnsi="Times New Roman" w:eastAsia="Times New Roman" w:cs="Times New Roman"/>
                <w:spacing w:val="2"/>
                <w:sz w:val="20"/>
                <w:szCs w:val="20"/>
              </w:rPr>
              <w:t>268</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以上的</w:t>
            </w:r>
            <w:r>
              <w:rPr>
                <w:rFonts w:ascii="宋体" w:hAnsi="宋体" w:eastAsia="宋体" w:cs="宋体"/>
                <w:spacing w:val="1"/>
                <w:sz w:val="20"/>
                <w:szCs w:val="20"/>
              </w:rPr>
              <w:t xml:space="preserve">礁石全部清除，面积约 </w:t>
            </w:r>
            <w:r>
              <w:rPr>
                <w:rFonts w:ascii="Times New Roman" w:hAnsi="Times New Roman" w:eastAsia="Times New Roman" w:cs="Times New Roman"/>
                <w:spacing w:val="1"/>
                <w:sz w:val="20"/>
                <w:szCs w:val="20"/>
              </w:rPr>
              <w:t>0.38</w:t>
            </w:r>
            <w:r>
              <w:rPr>
                <w:rFonts w:ascii="Times New Roman" w:hAnsi="Times New Roman" w:eastAsia="Times New Roman" w:cs="Times New Roman"/>
                <w:sz w:val="20"/>
                <w:szCs w:val="20"/>
              </w:rPr>
              <w:t>hm</w:t>
            </w:r>
            <w:r>
              <w:rPr>
                <w:rFonts w:ascii="宋体" w:hAnsi="宋体" w:eastAsia="宋体" w:cs="宋体"/>
                <w:spacing w:val="1"/>
                <w:sz w:val="20"/>
                <w:szCs w:val="20"/>
              </w:rPr>
              <w:t xml:space="preserve">² ，深度约 </w:t>
            </w:r>
            <w:r>
              <w:rPr>
                <w:rFonts w:ascii="Times New Roman" w:hAnsi="Times New Roman" w:eastAsia="Times New Roman" w:cs="Times New Roman"/>
                <w:spacing w:val="1"/>
                <w:sz w:val="20"/>
                <w:szCs w:val="20"/>
              </w:rPr>
              <w:t>0.4</w:t>
            </w:r>
            <w:r>
              <w:rPr>
                <w:rFonts w:ascii="Times New Roman" w:hAnsi="Times New Roman" w:eastAsia="Times New Roman" w:cs="Times New Roman"/>
                <w:sz w:val="20"/>
                <w:szCs w:val="20"/>
              </w:rPr>
              <w:t>m</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10"/>
                <w:sz w:val="20"/>
                <w:szCs w:val="20"/>
              </w:rPr>
              <w:t xml:space="preserve">礁石量约 </w:t>
            </w:r>
            <w:r>
              <w:rPr>
                <w:rFonts w:ascii="Times New Roman" w:hAnsi="Times New Roman" w:eastAsia="Times New Roman" w:cs="Times New Roman"/>
                <w:spacing w:val="7"/>
                <w:sz w:val="20"/>
                <w:szCs w:val="20"/>
              </w:rPr>
              <w:t>0</w:t>
            </w:r>
            <w:r>
              <w:rPr>
                <w:rFonts w:ascii="Times New Roman" w:hAnsi="Times New Roman" w:eastAsia="Times New Roman" w:cs="Times New Roman"/>
                <w:spacing w:val="5"/>
                <w:sz w:val="20"/>
                <w:szCs w:val="20"/>
              </w:rPr>
              <w:t xml:space="preserve">.6 </w:t>
            </w:r>
            <w:r>
              <w:rPr>
                <w:rFonts w:ascii="宋体" w:hAnsi="宋体" w:eastAsia="宋体" w:cs="宋体"/>
                <w:spacing w:val="5"/>
                <w:sz w:val="20"/>
                <w:szCs w:val="20"/>
              </w:rPr>
              <w:t xml:space="preserve">万 </w:t>
            </w:r>
            <w:r>
              <w:rPr>
                <w:rFonts w:ascii="Times New Roman" w:hAnsi="Times New Roman" w:eastAsia="Times New Roman" w:cs="Times New Roman"/>
                <w:sz w:val="20"/>
                <w:szCs w:val="20"/>
              </w:rPr>
              <w:t>m</w:t>
            </w:r>
            <w:r>
              <w:rPr>
                <w:rFonts w:ascii="宋体" w:hAnsi="宋体" w:eastAsia="宋体" w:cs="宋体"/>
                <w:spacing w:val="5"/>
                <w:sz w:val="20"/>
                <w:szCs w:val="20"/>
              </w:rPr>
              <w:t>³ ；基础阶段礁石清理措施采用围堰施工。礁石采用机械或人工方式破</w:t>
            </w:r>
            <w:r>
              <w:rPr>
                <w:rFonts w:ascii="宋体" w:hAnsi="宋体" w:eastAsia="宋体" w:cs="宋体"/>
                <w:sz w:val="20"/>
                <w:szCs w:val="20"/>
              </w:rPr>
              <w:t xml:space="preserve"> </w:t>
            </w:r>
            <w:r>
              <w:rPr>
                <w:rFonts w:ascii="宋体" w:hAnsi="宋体" w:eastAsia="宋体" w:cs="宋体"/>
                <w:spacing w:val="-4"/>
                <w:sz w:val="20"/>
                <w:szCs w:val="20"/>
              </w:rPr>
              <w:t>除后作为本项目西岸</w:t>
            </w:r>
            <w:r>
              <w:rPr>
                <w:rFonts w:ascii="宋体" w:hAnsi="宋体" w:eastAsia="宋体" w:cs="宋体"/>
                <w:spacing w:val="-2"/>
                <w:sz w:val="20"/>
                <w:szCs w:val="20"/>
              </w:rPr>
              <w:t xml:space="preserve">桥台台后填料利用。清理礁石设置施工围堰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 xml:space="preserve">处，长约 </w:t>
            </w:r>
            <w:r>
              <w:rPr>
                <w:rFonts w:ascii="Times New Roman" w:hAnsi="Times New Roman" w:eastAsia="Times New Roman" w:cs="Times New Roman"/>
                <w:spacing w:val="-2"/>
                <w:sz w:val="20"/>
                <w:szCs w:val="20"/>
              </w:rPr>
              <w:t>140m</w:t>
            </w:r>
            <w:r>
              <w:rPr>
                <w:rFonts w:ascii="宋体" w:hAnsi="宋体" w:eastAsia="宋体" w:cs="宋体"/>
                <w:spacing w:val="-2"/>
                <w:sz w:val="20"/>
                <w:szCs w:val="20"/>
              </w:rPr>
              <w:t xml:space="preserve">，宽 </w:t>
            </w:r>
            <w:r>
              <w:rPr>
                <w:rFonts w:ascii="Times New Roman" w:hAnsi="Times New Roman" w:eastAsia="Times New Roman" w:cs="Times New Roman"/>
                <w:spacing w:val="-2"/>
                <w:sz w:val="20"/>
                <w:szCs w:val="20"/>
              </w:rPr>
              <w:t>10m</w:t>
            </w:r>
            <w:r>
              <w:rPr>
                <w:rFonts w:ascii="宋体" w:hAnsi="宋体" w:eastAsia="宋体" w:cs="宋体"/>
                <w:spacing w:val="-2"/>
                <w:sz w:val="20"/>
                <w:szCs w:val="20"/>
              </w:rPr>
              <w:t>，</w:t>
            </w:r>
            <w:r>
              <w:rPr>
                <w:rFonts w:ascii="宋体" w:hAnsi="宋体" w:eastAsia="宋体" w:cs="宋体"/>
                <w:sz w:val="20"/>
                <w:szCs w:val="20"/>
              </w:rPr>
              <w:t xml:space="preserve"> </w:t>
            </w:r>
            <w:r>
              <w:rPr>
                <w:rFonts w:ascii="宋体" w:hAnsi="宋体" w:eastAsia="宋体" w:cs="宋体"/>
                <w:spacing w:val="-1"/>
                <w:sz w:val="20"/>
                <w:szCs w:val="20"/>
              </w:rPr>
              <w:t>施</w:t>
            </w:r>
            <w:r>
              <w:rPr>
                <w:rFonts w:ascii="宋体" w:hAnsi="宋体" w:eastAsia="宋体" w:cs="宋体"/>
                <w:sz w:val="20"/>
                <w:szCs w:val="20"/>
              </w:rPr>
              <w:t xml:space="preserve">工围堰占地约 </w:t>
            </w:r>
            <w:r>
              <w:rPr>
                <w:rFonts w:ascii="Times New Roman" w:hAnsi="Times New Roman" w:eastAsia="Times New Roman" w:cs="Times New Roman"/>
                <w:sz w:val="20"/>
                <w:szCs w:val="20"/>
              </w:rPr>
              <w:t>0. 14hm</w:t>
            </w:r>
            <w:r>
              <w:rPr>
                <w:rFonts w:ascii="宋体" w:hAnsi="宋体" w:eastAsia="宋体" w:cs="宋体"/>
                <w:sz w:val="20"/>
                <w:szCs w:val="20"/>
              </w:rPr>
              <w:t>²。</w:t>
            </w:r>
          </w:p>
          <w:p>
            <w:pPr>
              <w:spacing w:before="4" w:line="368" w:lineRule="auto"/>
              <w:ind w:left="108" w:right="102" w:firstLine="418"/>
              <w:rPr>
                <w:rFonts w:ascii="宋体" w:hAnsi="宋体" w:eastAsia="宋体" w:cs="宋体"/>
                <w:sz w:val="20"/>
                <w:szCs w:val="20"/>
              </w:rPr>
            </w:pPr>
            <w:r>
              <w:rPr>
                <w:rFonts w:ascii="宋体" w:hAnsi="宋体" w:eastAsia="宋体" w:cs="宋体"/>
                <w:spacing w:val="14"/>
                <w:sz w:val="20"/>
                <w:szCs w:val="20"/>
              </w:rPr>
              <w:t>在桥</w:t>
            </w:r>
            <w:r>
              <w:rPr>
                <w:rFonts w:ascii="宋体" w:hAnsi="宋体" w:eastAsia="宋体" w:cs="宋体"/>
                <w:spacing w:val="9"/>
                <w:sz w:val="20"/>
                <w:szCs w:val="20"/>
              </w:rPr>
              <w:t>梁</w:t>
            </w:r>
            <w:r>
              <w:rPr>
                <w:rFonts w:ascii="宋体" w:hAnsi="宋体" w:eastAsia="宋体" w:cs="宋体"/>
                <w:spacing w:val="7"/>
                <w:sz w:val="20"/>
                <w:szCs w:val="20"/>
              </w:rPr>
              <w:t>桩基础施工过程中将产生钻孔泥浆，为循环使用泥浆沉淀钻渣，方案考虑在每</w:t>
            </w:r>
            <w:r>
              <w:rPr>
                <w:rFonts w:ascii="宋体" w:hAnsi="宋体" w:eastAsia="宋体" w:cs="宋体"/>
                <w:sz w:val="20"/>
                <w:szCs w:val="20"/>
              </w:rPr>
              <w:t xml:space="preserve"> </w:t>
            </w:r>
            <w:r>
              <w:rPr>
                <w:rFonts w:ascii="宋体" w:hAnsi="宋体" w:eastAsia="宋体" w:cs="宋体"/>
                <w:spacing w:val="8"/>
                <w:sz w:val="20"/>
                <w:szCs w:val="20"/>
              </w:rPr>
              <w:t>组桩基础施工</w:t>
            </w:r>
            <w:r>
              <w:rPr>
                <w:rFonts w:ascii="宋体" w:hAnsi="宋体" w:eastAsia="宋体" w:cs="宋体"/>
                <w:spacing w:val="4"/>
                <w:sz w:val="20"/>
                <w:szCs w:val="20"/>
              </w:rPr>
              <w:t xml:space="preserve">区域设置一组泥浆沉淀池，泥浆沉淀池由 </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 xml:space="preserve">个泥浆池及 </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个沉淀池组成，串</w:t>
            </w:r>
            <w:r>
              <w:rPr>
                <w:rFonts w:ascii="宋体" w:hAnsi="宋体" w:eastAsia="宋体" w:cs="宋体"/>
                <w:sz w:val="20"/>
                <w:szCs w:val="20"/>
              </w:rPr>
              <w:t xml:space="preserve"> </w:t>
            </w:r>
            <w:r>
              <w:rPr>
                <w:rFonts w:ascii="宋体" w:hAnsi="宋体" w:eastAsia="宋体" w:cs="宋体"/>
                <w:spacing w:val="-4"/>
                <w:sz w:val="20"/>
                <w:szCs w:val="20"/>
              </w:rPr>
              <w:t>联使用，泥浆及沉</w:t>
            </w:r>
            <w:r>
              <w:rPr>
                <w:rFonts w:ascii="宋体" w:hAnsi="宋体" w:eastAsia="宋体" w:cs="宋体"/>
                <w:spacing w:val="-2"/>
                <w:sz w:val="20"/>
                <w:szCs w:val="20"/>
              </w:rPr>
              <w:t xml:space="preserve">淀池尺寸为长 </w:t>
            </w:r>
            <w:r>
              <w:rPr>
                <w:rFonts w:ascii="Times New Roman" w:hAnsi="Times New Roman" w:eastAsia="Times New Roman" w:cs="Times New Roman"/>
                <w:spacing w:val="-2"/>
                <w:sz w:val="20"/>
                <w:szCs w:val="20"/>
              </w:rPr>
              <w:t xml:space="preserve">3.5m </w:t>
            </w:r>
            <w:r>
              <w:rPr>
                <w:rFonts w:ascii="宋体" w:hAnsi="宋体" w:eastAsia="宋体" w:cs="宋体"/>
                <w:spacing w:val="-2"/>
                <w:sz w:val="20"/>
                <w:szCs w:val="20"/>
              </w:rPr>
              <w:t xml:space="preserve">，宽 </w:t>
            </w:r>
            <w:r>
              <w:rPr>
                <w:rFonts w:ascii="Times New Roman" w:hAnsi="Times New Roman" w:eastAsia="Times New Roman" w:cs="Times New Roman"/>
                <w:spacing w:val="-2"/>
                <w:sz w:val="20"/>
                <w:szCs w:val="20"/>
              </w:rPr>
              <w:t xml:space="preserve">2.5m </w:t>
            </w:r>
            <w:r>
              <w:rPr>
                <w:rFonts w:ascii="宋体" w:hAnsi="宋体" w:eastAsia="宋体" w:cs="宋体"/>
                <w:spacing w:val="-2"/>
                <w:sz w:val="20"/>
                <w:szCs w:val="20"/>
              </w:rPr>
              <w:t xml:space="preserve">，深 </w:t>
            </w:r>
            <w:r>
              <w:rPr>
                <w:rFonts w:ascii="Times New Roman" w:hAnsi="Times New Roman" w:eastAsia="Times New Roman" w:cs="Times New Roman"/>
                <w:spacing w:val="-2"/>
                <w:sz w:val="20"/>
                <w:szCs w:val="20"/>
              </w:rPr>
              <w:t xml:space="preserve">1.5m </w:t>
            </w:r>
            <w:r>
              <w:rPr>
                <w:rFonts w:ascii="宋体" w:hAnsi="宋体" w:eastAsia="宋体" w:cs="宋体"/>
                <w:spacing w:val="-2"/>
                <w:sz w:val="20"/>
                <w:szCs w:val="20"/>
              </w:rPr>
              <w:t xml:space="preserve">，边坡坡比 </w:t>
            </w:r>
            <w:r>
              <w:rPr>
                <w:rFonts w:ascii="Times New Roman" w:hAnsi="Times New Roman" w:eastAsia="Times New Roman" w:cs="Times New Roman"/>
                <w:spacing w:val="-2"/>
                <w:sz w:val="20"/>
                <w:szCs w:val="20"/>
              </w:rPr>
              <w:t xml:space="preserve">1:0.5 </w:t>
            </w:r>
            <w:r>
              <w:rPr>
                <w:rFonts w:ascii="宋体" w:hAnsi="宋体" w:eastAsia="宋体" w:cs="宋体"/>
                <w:spacing w:val="-2"/>
                <w:sz w:val="20"/>
                <w:szCs w:val="20"/>
              </w:rPr>
              <w:t xml:space="preserve">。项目共设置 </w:t>
            </w:r>
            <w:r>
              <w:rPr>
                <w:rFonts w:ascii="Times New Roman" w:hAnsi="Times New Roman" w:eastAsia="Times New Roman" w:cs="Times New Roman"/>
                <w:spacing w:val="-2"/>
                <w:sz w:val="20"/>
                <w:szCs w:val="20"/>
              </w:rPr>
              <w:t>2</w:t>
            </w:r>
            <w:r>
              <w:rPr>
                <w:rFonts w:ascii="Times New Roman" w:hAnsi="Times New Roman" w:eastAsia="Times New Roman" w:cs="Times New Roman"/>
                <w:sz w:val="20"/>
                <w:szCs w:val="20"/>
              </w:rPr>
              <w:t xml:space="preserve"> </w:t>
            </w:r>
            <w:r>
              <w:rPr>
                <w:rFonts w:ascii="宋体" w:hAnsi="宋体" w:eastAsia="宋体" w:cs="宋体"/>
                <w:spacing w:val="7"/>
                <w:sz w:val="20"/>
                <w:szCs w:val="20"/>
              </w:rPr>
              <w:t>组泥浆沉淀池</w:t>
            </w:r>
            <w:r>
              <w:rPr>
                <w:rFonts w:ascii="宋体" w:hAnsi="宋体" w:eastAsia="宋体" w:cs="宋体"/>
                <w:spacing w:val="6"/>
                <w:sz w:val="20"/>
                <w:szCs w:val="20"/>
              </w:rPr>
              <w:t>。</w:t>
            </w:r>
          </w:p>
          <w:p>
            <w:pPr>
              <w:spacing w:before="2" w:line="369" w:lineRule="auto"/>
              <w:ind w:left="106" w:right="102" w:firstLine="425"/>
              <w:rPr>
                <w:rFonts w:ascii="宋体" w:hAnsi="宋体" w:eastAsia="宋体" w:cs="宋体"/>
                <w:sz w:val="20"/>
                <w:szCs w:val="20"/>
              </w:rPr>
            </w:pPr>
            <w:r>
              <w:rPr>
                <w:rFonts w:ascii="宋体" w:hAnsi="宋体" w:eastAsia="宋体" w:cs="宋体"/>
                <w:spacing w:val="14"/>
                <w:sz w:val="20"/>
                <w:szCs w:val="20"/>
              </w:rPr>
              <w:t>另</w:t>
            </w:r>
            <w:r>
              <w:rPr>
                <w:rFonts w:ascii="宋体" w:hAnsi="宋体" w:eastAsia="宋体" w:cs="宋体"/>
                <w:spacing w:val="10"/>
                <w:sz w:val="20"/>
                <w:szCs w:val="20"/>
              </w:rPr>
              <w:t>外</w:t>
            </w:r>
            <w:r>
              <w:rPr>
                <w:rFonts w:ascii="宋体" w:hAnsi="宋体" w:eastAsia="宋体" w:cs="宋体"/>
                <w:spacing w:val="7"/>
                <w:sz w:val="20"/>
                <w:szCs w:val="20"/>
              </w:rPr>
              <w:t>，在东、西端施工场地内主要为材料堆放、钢筋笼制作、设备停放等，周围建排</w:t>
            </w:r>
            <w:r>
              <w:rPr>
                <w:rFonts w:ascii="宋体" w:hAnsi="宋体" w:eastAsia="宋体" w:cs="宋体"/>
                <w:sz w:val="20"/>
                <w:szCs w:val="20"/>
              </w:rPr>
              <w:t xml:space="preserve"> </w:t>
            </w:r>
            <w:r>
              <w:rPr>
                <w:rFonts w:ascii="宋体" w:hAnsi="宋体" w:eastAsia="宋体" w:cs="宋体"/>
                <w:spacing w:val="6"/>
                <w:sz w:val="20"/>
                <w:szCs w:val="20"/>
              </w:rPr>
              <w:t xml:space="preserve">水沟；并设置成套活动板房，设置为办公室和值班室，各配套设置移动式公厕 </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个，收</w:t>
            </w:r>
            <w:r>
              <w:rPr>
                <w:rFonts w:ascii="宋体" w:hAnsi="宋体" w:eastAsia="宋体" w:cs="宋体"/>
                <w:spacing w:val="5"/>
                <w:sz w:val="20"/>
                <w:szCs w:val="20"/>
              </w:rPr>
              <w:t>集</w:t>
            </w:r>
            <w:r>
              <w:rPr>
                <w:rFonts w:ascii="宋体" w:hAnsi="宋体" w:eastAsia="宋体" w:cs="宋体"/>
                <w:sz w:val="20"/>
                <w:szCs w:val="20"/>
              </w:rPr>
              <w:t xml:space="preserve"> </w:t>
            </w:r>
            <w:r>
              <w:rPr>
                <w:rFonts w:ascii="宋体" w:hAnsi="宋体" w:eastAsia="宋体" w:cs="宋体"/>
                <w:spacing w:val="14"/>
                <w:sz w:val="20"/>
                <w:szCs w:val="20"/>
              </w:rPr>
              <w:t>施工、</w:t>
            </w:r>
            <w:r>
              <w:rPr>
                <w:rFonts w:ascii="宋体" w:hAnsi="宋体" w:eastAsia="宋体" w:cs="宋体"/>
                <w:spacing w:val="10"/>
                <w:sz w:val="20"/>
                <w:szCs w:val="20"/>
              </w:rPr>
              <w:t>值</w:t>
            </w:r>
            <w:r>
              <w:rPr>
                <w:rFonts w:ascii="宋体" w:hAnsi="宋体" w:eastAsia="宋体" w:cs="宋体"/>
                <w:spacing w:val="7"/>
                <w:sz w:val="20"/>
                <w:szCs w:val="20"/>
              </w:rPr>
              <w:t>班人员的生活污水，定期委托环卫清运。施工场地大门口分别设置车辆冲洗台及</w:t>
            </w:r>
            <w:r>
              <w:rPr>
                <w:rFonts w:ascii="宋体" w:hAnsi="宋体" w:eastAsia="宋体" w:cs="宋体"/>
                <w:sz w:val="20"/>
                <w:szCs w:val="20"/>
              </w:rPr>
              <w:t xml:space="preserve"> </w:t>
            </w:r>
            <w:r>
              <w:rPr>
                <w:rFonts w:ascii="宋体" w:hAnsi="宋体" w:eastAsia="宋体" w:cs="宋体"/>
                <w:spacing w:val="14"/>
                <w:sz w:val="20"/>
                <w:szCs w:val="20"/>
              </w:rPr>
              <w:t>废水沉</w:t>
            </w:r>
            <w:r>
              <w:rPr>
                <w:rFonts w:ascii="宋体" w:hAnsi="宋体" w:eastAsia="宋体" w:cs="宋体"/>
                <w:spacing w:val="13"/>
                <w:sz w:val="20"/>
                <w:szCs w:val="20"/>
              </w:rPr>
              <w:t>淀</w:t>
            </w:r>
            <w:r>
              <w:rPr>
                <w:rFonts w:ascii="宋体" w:hAnsi="宋体" w:eastAsia="宋体" w:cs="宋体"/>
                <w:spacing w:val="7"/>
                <w:sz w:val="20"/>
                <w:szCs w:val="20"/>
              </w:rPr>
              <w:t xml:space="preserve">池 </w:t>
            </w:r>
            <w:r>
              <w:rPr>
                <w:rFonts w:ascii="Times New Roman" w:hAnsi="Times New Roman" w:eastAsia="Times New Roman" w:cs="Times New Roman"/>
                <w:spacing w:val="7"/>
                <w:sz w:val="20"/>
                <w:szCs w:val="20"/>
              </w:rPr>
              <w:t xml:space="preserve">1 </w:t>
            </w:r>
            <w:r>
              <w:rPr>
                <w:rFonts w:ascii="宋体" w:hAnsi="宋体" w:eastAsia="宋体" w:cs="宋体"/>
                <w:spacing w:val="7"/>
                <w:sz w:val="20"/>
                <w:szCs w:val="20"/>
              </w:rPr>
              <w:t>个，便于对进出的运输车辆进行冲洗，避免车辆将泥土带出施工区域。</w:t>
            </w:r>
          </w:p>
          <w:p>
            <w:pPr>
              <w:spacing w:before="2" w:line="368" w:lineRule="auto"/>
              <w:ind w:left="120" w:right="102" w:firstLine="408"/>
              <w:rPr>
                <w:rFonts w:ascii="宋体" w:hAnsi="宋体" w:eastAsia="宋体" w:cs="宋体"/>
                <w:sz w:val="20"/>
                <w:szCs w:val="20"/>
              </w:rPr>
            </w:pPr>
            <w:r>
              <w:rPr>
                <w:rFonts w:ascii="宋体" w:hAnsi="宋体" w:eastAsia="宋体" w:cs="宋体"/>
                <w:spacing w:val="14"/>
                <w:sz w:val="20"/>
                <w:szCs w:val="20"/>
              </w:rPr>
              <w:t>本项</w:t>
            </w:r>
            <w:r>
              <w:rPr>
                <w:rFonts w:ascii="宋体" w:hAnsi="宋体" w:eastAsia="宋体" w:cs="宋体"/>
                <w:spacing w:val="10"/>
                <w:sz w:val="20"/>
                <w:szCs w:val="20"/>
              </w:rPr>
              <w:t>目</w:t>
            </w:r>
            <w:r>
              <w:rPr>
                <w:rFonts w:ascii="宋体" w:hAnsi="宋体" w:eastAsia="宋体" w:cs="宋体"/>
                <w:spacing w:val="7"/>
                <w:sz w:val="20"/>
                <w:szCs w:val="20"/>
              </w:rPr>
              <w:t>施工场地及施工营地的所有设施均为临时修建，待项目完工后将及时拆除，拆</w:t>
            </w:r>
            <w:r>
              <w:rPr>
                <w:rFonts w:ascii="宋体" w:hAnsi="宋体" w:eastAsia="宋体" w:cs="宋体"/>
                <w:sz w:val="20"/>
                <w:szCs w:val="20"/>
              </w:rPr>
              <w:t xml:space="preserve"> </w:t>
            </w:r>
            <w:r>
              <w:rPr>
                <w:rFonts w:ascii="宋体" w:hAnsi="宋体" w:eastAsia="宋体" w:cs="宋体"/>
                <w:spacing w:val="14"/>
                <w:sz w:val="20"/>
                <w:szCs w:val="20"/>
              </w:rPr>
              <w:t>除</w:t>
            </w:r>
            <w:r>
              <w:rPr>
                <w:rFonts w:ascii="宋体" w:hAnsi="宋体" w:eastAsia="宋体" w:cs="宋体"/>
                <w:spacing w:val="11"/>
                <w:sz w:val="20"/>
                <w:szCs w:val="20"/>
              </w:rPr>
              <w:t>产</w:t>
            </w:r>
            <w:r>
              <w:rPr>
                <w:rFonts w:ascii="宋体" w:hAnsi="宋体" w:eastAsia="宋体" w:cs="宋体"/>
                <w:spacing w:val="7"/>
                <w:sz w:val="20"/>
                <w:szCs w:val="20"/>
              </w:rPr>
              <w:t>生的渣土及时清运，做到“工完料尽场地清”。项目施工临时占地较小，场地布置做</w:t>
            </w:r>
          </w:p>
          <w:p>
            <w:pPr>
              <w:spacing w:line="227" w:lineRule="auto"/>
              <w:ind w:left="113"/>
              <w:rPr>
                <w:rFonts w:ascii="宋体" w:hAnsi="宋体" w:eastAsia="宋体" w:cs="宋体"/>
                <w:sz w:val="20"/>
                <w:szCs w:val="20"/>
              </w:rPr>
            </w:pPr>
            <w:r>
              <w:rPr>
                <w:rFonts w:ascii="宋体" w:hAnsi="宋体" w:eastAsia="宋体" w:cs="宋体"/>
                <w:spacing w:val="15"/>
                <w:sz w:val="20"/>
                <w:szCs w:val="20"/>
              </w:rPr>
              <w:t>到</w:t>
            </w:r>
            <w:r>
              <w:rPr>
                <w:rFonts w:ascii="宋体" w:hAnsi="宋体" w:eastAsia="宋体" w:cs="宋体"/>
                <w:spacing w:val="8"/>
                <w:sz w:val="20"/>
                <w:szCs w:val="20"/>
              </w:rPr>
              <w:t>管理方便、运输便捷、影响较小。</w:t>
            </w:r>
          </w:p>
        </w:tc>
      </w:tr>
    </w:tbl>
    <w:p>
      <w:pPr>
        <w:spacing w:line="148" w:lineRule="exact"/>
        <w:rPr>
          <w:rFonts w:ascii="Arial"/>
          <w:sz w:val="12"/>
        </w:rPr>
      </w:pPr>
    </w:p>
    <w:p>
      <w:pPr>
        <w:sectPr>
          <w:footerReference r:id="rId50" w:type="default"/>
          <w:pgSz w:w="11906" w:h="16839"/>
          <w:pgMar w:top="400" w:right="1487" w:bottom="1475" w:left="1486" w:header="0" w:footer="1315" w:gutter="0"/>
          <w:cols w:space="720" w:num="1"/>
        </w:sectPr>
      </w:pPr>
    </w:p>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8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12" w:hRule="atLeast"/>
        </w:trPr>
        <w:tc>
          <w:tcPr>
            <w:tcW w:w="600" w:type="dxa"/>
            <w:tcBorders>
              <w:left w:val="single" w:color="00000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65" w:lineRule="auto"/>
              <w:ind w:left="88" w:right="89" w:hanging="1"/>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施工</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方</w:t>
            </w:r>
            <w:r>
              <w:rPr>
                <w:rFonts w:ascii="宋体" w:hAnsi="宋体" w:eastAsia="宋体" w:cs="宋体"/>
                <w:spacing w:val="5"/>
                <w:sz w:val="20"/>
                <w:szCs w:val="20"/>
                <w14:textOutline w14:w="3795" w14:cap="sq" w14:cmpd="sng">
                  <w14:solidFill>
                    <w14:srgbClr w14:val="000000"/>
                  </w14:solidFill>
                  <w14:prstDash w14:val="solid"/>
                  <w14:bevel/>
                </w14:textOutline>
              </w:rPr>
              <w:t>案</w:t>
            </w:r>
          </w:p>
        </w:tc>
        <w:tc>
          <w:tcPr>
            <w:tcW w:w="8317" w:type="dxa"/>
            <w:tcBorders>
              <w:right w:val="single" w:color="000000" w:sz="6" w:space="0"/>
            </w:tcBorders>
            <w:vAlign w:val="top"/>
          </w:tcPr>
          <w:p>
            <w:pPr>
              <w:spacing w:before="304" w:line="242" w:lineRule="auto"/>
              <w:ind w:left="124"/>
              <w:rPr>
                <w:rFonts w:ascii="黑体" w:hAnsi="黑体" w:eastAsia="黑体" w:cs="黑体"/>
                <w:sz w:val="20"/>
                <w:szCs w:val="20"/>
              </w:rPr>
            </w:pPr>
            <w:r>
              <w:pict>
                <v:rect id="_x0000_s1066" o:spid="_x0000_s1066" o:spt="1" style="position:absolute;left:0pt;margin-left:157pt;margin-top:139.75pt;height:0.8pt;width:228.7pt;mso-position-horizontal-relative:page;mso-position-vertical-relative:page;z-index:251683840;mso-width-relative:page;mso-height-relative:page;" fillcolor="#000000" filled="t" stroked="f" coordsize="21600,21600">
                  <v:path/>
                  <v:fill on="t" focussize="0,0"/>
                  <v:stroke on="f"/>
                  <v:imagedata o:title=""/>
                  <o:lock v:ext="edit"/>
                </v:rect>
              </w:pict>
            </w:r>
            <w:r>
              <w:drawing>
                <wp:anchor distT="0" distB="0" distL="0" distR="0" simplePos="0" relativeHeight="251689984" behindDoc="0" locked="0" layoutInCell="1" allowOverlap="1">
                  <wp:simplePos x="0" y="0"/>
                  <wp:positionH relativeFrom="rightMargin">
                    <wp:posOffset>-2863850</wp:posOffset>
                  </wp:positionH>
                  <wp:positionV relativeFrom="topMargin">
                    <wp:posOffset>1777365</wp:posOffset>
                  </wp:positionV>
                  <wp:extent cx="76200" cy="339090"/>
                  <wp:effectExtent l="0" t="0" r="0" b="0"/>
                  <wp:wrapNone/>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r:embed="rId187"/>
                          <a:stretch>
                            <a:fillRect/>
                          </a:stretch>
                        </pic:blipFill>
                        <pic:spPr>
                          <a:xfrm>
                            <a:off x="0" y="0"/>
                            <a:ext cx="76200" cy="338873"/>
                          </a:xfrm>
                          <a:prstGeom prst="rect">
                            <a:avLst/>
                          </a:prstGeom>
                        </pic:spPr>
                      </pic:pic>
                    </a:graphicData>
                  </a:graphic>
                </wp:anchor>
              </w:drawing>
            </w:r>
            <w:r>
              <w:drawing>
                <wp:anchor distT="0" distB="0" distL="0" distR="0" simplePos="0" relativeHeight="251685888" behindDoc="0" locked="0" layoutInCell="1" allowOverlap="1">
                  <wp:simplePos x="0" y="0"/>
                  <wp:positionH relativeFrom="rightMargin">
                    <wp:posOffset>-415925</wp:posOffset>
                  </wp:positionH>
                  <wp:positionV relativeFrom="topMargin">
                    <wp:posOffset>1771015</wp:posOffset>
                  </wp:positionV>
                  <wp:extent cx="76200" cy="346075"/>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88"/>
                          <a:stretch>
                            <a:fillRect/>
                          </a:stretch>
                        </pic:blipFill>
                        <pic:spPr>
                          <a:xfrm>
                            <a:off x="0" y="0"/>
                            <a:ext cx="76200" cy="345909"/>
                          </a:xfrm>
                          <a:prstGeom prst="rect">
                            <a:avLst/>
                          </a:prstGeom>
                        </pic:spPr>
                      </pic:pic>
                    </a:graphicData>
                  </a:graphic>
                </wp:anchor>
              </w:drawing>
            </w:r>
            <w:r>
              <w:drawing>
                <wp:anchor distT="0" distB="0" distL="0" distR="0" simplePos="0" relativeHeight="251688960" behindDoc="0" locked="0" layoutInCell="1" allowOverlap="1">
                  <wp:simplePos x="0" y="0"/>
                  <wp:positionH relativeFrom="rightMargin">
                    <wp:posOffset>-2271395</wp:posOffset>
                  </wp:positionH>
                  <wp:positionV relativeFrom="topMargin">
                    <wp:posOffset>1777365</wp:posOffset>
                  </wp:positionV>
                  <wp:extent cx="76200" cy="339090"/>
                  <wp:effectExtent l="0" t="0" r="0" b="0"/>
                  <wp:wrapNone/>
                  <wp:docPr id="45" name="IM 45"/>
                  <wp:cNvGraphicFramePr/>
                  <a:graphic xmlns:a="http://schemas.openxmlformats.org/drawingml/2006/main">
                    <a:graphicData uri="http://schemas.openxmlformats.org/drawingml/2006/picture">
                      <pic:pic xmlns:pic="http://schemas.openxmlformats.org/drawingml/2006/picture">
                        <pic:nvPicPr>
                          <pic:cNvPr id="45" name="IM 45"/>
                          <pic:cNvPicPr/>
                        </pic:nvPicPr>
                        <pic:blipFill>
                          <a:blip r:embed="rId189"/>
                          <a:stretch>
                            <a:fillRect/>
                          </a:stretch>
                        </pic:blipFill>
                        <pic:spPr>
                          <a:xfrm>
                            <a:off x="0" y="0"/>
                            <a:ext cx="76200" cy="338873"/>
                          </a:xfrm>
                          <a:prstGeom prst="rect">
                            <a:avLst/>
                          </a:prstGeom>
                        </pic:spPr>
                      </pic:pic>
                    </a:graphicData>
                  </a:graphic>
                </wp:anchor>
              </w:drawing>
            </w:r>
            <w:r>
              <w:drawing>
                <wp:anchor distT="0" distB="0" distL="0" distR="0" simplePos="0" relativeHeight="251686912" behindDoc="0" locked="0" layoutInCell="1" allowOverlap="1">
                  <wp:simplePos x="0" y="0"/>
                  <wp:positionH relativeFrom="rightMargin">
                    <wp:posOffset>-1670685</wp:posOffset>
                  </wp:positionH>
                  <wp:positionV relativeFrom="topMargin">
                    <wp:posOffset>1777365</wp:posOffset>
                  </wp:positionV>
                  <wp:extent cx="76200" cy="346075"/>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90"/>
                          <a:stretch>
                            <a:fillRect/>
                          </a:stretch>
                        </pic:blipFill>
                        <pic:spPr>
                          <a:xfrm>
                            <a:off x="0" y="0"/>
                            <a:ext cx="76200" cy="345909"/>
                          </a:xfrm>
                          <a:prstGeom prst="rect">
                            <a:avLst/>
                          </a:prstGeom>
                        </pic:spPr>
                      </pic:pic>
                    </a:graphicData>
                  </a:graphic>
                </wp:anchor>
              </w:drawing>
            </w:r>
            <w:r>
              <w:drawing>
                <wp:anchor distT="0" distB="0" distL="0" distR="0" simplePos="0" relativeHeight="251687936" behindDoc="0" locked="0" layoutInCell="1" allowOverlap="1">
                  <wp:simplePos x="0" y="0"/>
                  <wp:positionH relativeFrom="rightMargin">
                    <wp:posOffset>-1102360</wp:posOffset>
                  </wp:positionH>
                  <wp:positionV relativeFrom="topMargin">
                    <wp:posOffset>1777365</wp:posOffset>
                  </wp:positionV>
                  <wp:extent cx="76200" cy="346075"/>
                  <wp:effectExtent l="0" t="0" r="0" b="0"/>
                  <wp:wrapNone/>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r:embed="rId191"/>
                          <a:stretch>
                            <a:fillRect/>
                          </a:stretch>
                        </pic:blipFill>
                        <pic:spPr>
                          <a:xfrm>
                            <a:off x="0" y="0"/>
                            <a:ext cx="76200" cy="345909"/>
                          </a:xfrm>
                          <a:prstGeom prst="rect">
                            <a:avLst/>
                          </a:prstGeom>
                        </pic:spPr>
                      </pic:pic>
                    </a:graphicData>
                  </a:graphic>
                </wp:anchor>
              </w:drawing>
            </w:r>
            <w:r>
              <w:drawing>
                <wp:anchor distT="0" distB="0" distL="0" distR="0" simplePos="0" relativeHeight="251693056" behindDoc="0" locked="0" layoutInCell="1" allowOverlap="1">
                  <wp:simplePos x="0" y="0"/>
                  <wp:positionH relativeFrom="rightMargin">
                    <wp:posOffset>-889635</wp:posOffset>
                  </wp:positionH>
                  <wp:positionV relativeFrom="topMargin">
                    <wp:posOffset>2203450</wp:posOffset>
                  </wp:positionV>
                  <wp:extent cx="232410" cy="7620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92"/>
                          <a:stretch>
                            <a:fillRect/>
                          </a:stretch>
                        </pic:blipFill>
                        <pic:spPr>
                          <a:xfrm>
                            <a:off x="0" y="0"/>
                            <a:ext cx="232422" cy="76200"/>
                          </a:xfrm>
                          <a:prstGeom prst="rect">
                            <a:avLst/>
                          </a:prstGeom>
                        </pic:spPr>
                      </pic:pic>
                    </a:graphicData>
                  </a:graphic>
                </wp:anchor>
              </w:drawing>
            </w:r>
            <w:r>
              <w:drawing>
                <wp:anchor distT="0" distB="0" distL="0" distR="0" simplePos="0" relativeHeight="251692032" behindDoc="0" locked="0" layoutInCell="1" allowOverlap="1">
                  <wp:simplePos x="0" y="0"/>
                  <wp:positionH relativeFrom="rightMargin">
                    <wp:posOffset>-2637155</wp:posOffset>
                  </wp:positionH>
                  <wp:positionV relativeFrom="topMargin">
                    <wp:posOffset>2221865</wp:posOffset>
                  </wp:positionV>
                  <wp:extent cx="232410" cy="76200"/>
                  <wp:effectExtent l="0" t="0" r="0" b="0"/>
                  <wp:wrapNone/>
                  <wp:docPr id="49" name="IM 49"/>
                  <wp:cNvGraphicFramePr/>
                  <a:graphic xmlns:a="http://schemas.openxmlformats.org/drawingml/2006/main">
                    <a:graphicData uri="http://schemas.openxmlformats.org/drawingml/2006/picture">
                      <pic:pic xmlns:pic="http://schemas.openxmlformats.org/drawingml/2006/picture">
                        <pic:nvPicPr>
                          <pic:cNvPr id="49" name="IM 49"/>
                          <pic:cNvPicPr/>
                        </pic:nvPicPr>
                        <pic:blipFill>
                          <a:blip r:embed="rId193"/>
                          <a:stretch>
                            <a:fillRect/>
                          </a:stretch>
                        </pic:blipFill>
                        <pic:spPr>
                          <a:xfrm>
                            <a:off x="0" y="0"/>
                            <a:ext cx="232423" cy="76200"/>
                          </a:xfrm>
                          <a:prstGeom prst="rect">
                            <a:avLst/>
                          </a:prstGeom>
                        </pic:spPr>
                      </pic:pic>
                    </a:graphicData>
                  </a:graphic>
                </wp:anchor>
              </w:drawing>
            </w:r>
            <w:r>
              <w:drawing>
                <wp:anchor distT="0" distB="0" distL="0" distR="0" simplePos="0" relativeHeight="251694080" behindDoc="0" locked="0" layoutInCell="1" allowOverlap="1">
                  <wp:simplePos x="0" y="0"/>
                  <wp:positionH relativeFrom="rightMargin">
                    <wp:posOffset>-1474470</wp:posOffset>
                  </wp:positionH>
                  <wp:positionV relativeFrom="topMargin">
                    <wp:posOffset>2218690</wp:posOffset>
                  </wp:positionV>
                  <wp:extent cx="232410" cy="7620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94"/>
                          <a:stretch>
                            <a:fillRect/>
                          </a:stretch>
                        </pic:blipFill>
                        <pic:spPr>
                          <a:xfrm>
                            <a:off x="0" y="0"/>
                            <a:ext cx="232409" cy="76186"/>
                          </a:xfrm>
                          <a:prstGeom prst="rect">
                            <a:avLst/>
                          </a:prstGeom>
                        </pic:spPr>
                      </pic:pic>
                    </a:graphicData>
                  </a:graphic>
                </wp:anchor>
              </w:drawing>
            </w:r>
            <w:r>
              <w:pict>
                <v:shape id="_x0000_s1067" o:spid="_x0000_s1067" o:spt="202" type="#_x0000_t202" style="position:absolute;left:0pt;margin-left:368.05pt;margin-top:212.65pt;height:24.4pt;width:38.25pt;mso-position-horizontal-relative:page;mso-position-vertical-relative:page;z-index:25170124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699"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699"/>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397" w:hRule="atLeast"/>
                          </w:trPr>
                          <w:tc>
                            <w:tcPr>
                              <w:tcW w:w="699" w:type="dxa"/>
                              <w:vAlign w:val="top"/>
                            </w:tcPr>
                            <w:p>
                              <w:pPr>
                                <w:spacing w:before="93" w:line="228" w:lineRule="auto"/>
                                <w:ind w:left="130"/>
                                <w:rPr>
                                  <w:rFonts w:ascii="宋体" w:hAnsi="宋体" w:eastAsia="宋体" w:cs="宋体"/>
                                  <w:sz w:val="20"/>
                                  <w:szCs w:val="20"/>
                                </w:rPr>
                              </w:pPr>
                              <w:r>
                                <w:rPr>
                                  <w:rFonts w:ascii="宋体" w:hAnsi="宋体" w:eastAsia="宋体" w:cs="宋体"/>
                                  <w:spacing w:val="-15"/>
                                  <w:sz w:val="20"/>
                                  <w:szCs w:val="20"/>
                                </w:rPr>
                                <w:t>验</w:t>
                              </w:r>
                              <w:r>
                                <w:rPr>
                                  <w:rFonts w:ascii="宋体" w:hAnsi="宋体" w:eastAsia="宋体" w:cs="宋体"/>
                                  <w:spacing w:val="-14"/>
                                  <w:sz w:val="20"/>
                                  <w:szCs w:val="20"/>
                                </w:rPr>
                                <w:t xml:space="preserve"> 收</w:t>
                              </w:r>
                            </w:p>
                          </w:tc>
                        </w:tr>
                      </w:tbl>
                      <w:p>
                        <w:pPr>
                          <w:rPr>
                            <w:rFonts w:ascii="Arial"/>
                            <w:sz w:val="21"/>
                          </w:rPr>
                        </w:pPr>
                      </w:p>
                    </w:txbxContent>
                  </v:textbox>
                </v:shape>
              </w:pict>
            </w:r>
            <w:r>
              <w:drawing>
                <wp:anchor distT="0" distB="0" distL="0" distR="0" simplePos="0" relativeHeight="251711488" behindDoc="0" locked="0" layoutInCell="1" allowOverlap="1">
                  <wp:simplePos x="0" y="0"/>
                  <wp:positionH relativeFrom="rightMargin">
                    <wp:posOffset>-2285365</wp:posOffset>
                  </wp:positionH>
                  <wp:positionV relativeFrom="topMargin">
                    <wp:posOffset>2802255</wp:posOffset>
                  </wp:positionV>
                  <wp:extent cx="76200" cy="82550"/>
                  <wp:effectExtent l="0" t="0" r="0" b="0"/>
                  <wp:wrapNone/>
                  <wp:docPr id="51" name="IM 51"/>
                  <wp:cNvGraphicFramePr/>
                  <a:graphic xmlns:a="http://schemas.openxmlformats.org/drawingml/2006/main">
                    <a:graphicData uri="http://schemas.openxmlformats.org/drawingml/2006/picture">
                      <pic:pic xmlns:pic="http://schemas.openxmlformats.org/drawingml/2006/picture">
                        <pic:nvPicPr>
                          <pic:cNvPr id="51" name="IM 51"/>
                          <pic:cNvPicPr/>
                        </pic:nvPicPr>
                        <pic:blipFill>
                          <a:blip r:embed="rId195"/>
                          <a:stretch>
                            <a:fillRect/>
                          </a:stretch>
                        </pic:blipFill>
                        <pic:spPr>
                          <a:xfrm>
                            <a:off x="0" y="0"/>
                            <a:ext cx="76200" cy="82601"/>
                          </a:xfrm>
                          <a:prstGeom prst="rect">
                            <a:avLst/>
                          </a:prstGeom>
                        </pic:spPr>
                      </pic:pic>
                    </a:graphicData>
                  </a:graphic>
                </wp:anchor>
              </w:drawing>
            </w:r>
            <w:r>
              <w:drawing>
                <wp:anchor distT="0" distB="0" distL="0" distR="0" simplePos="0" relativeHeight="251691008" behindDoc="0" locked="0" layoutInCell="1" allowOverlap="1">
                  <wp:simplePos x="0" y="0"/>
                  <wp:positionH relativeFrom="rightMargin">
                    <wp:posOffset>-400685</wp:posOffset>
                  </wp:positionH>
                  <wp:positionV relativeFrom="topMargin">
                    <wp:posOffset>2998470</wp:posOffset>
                  </wp:positionV>
                  <wp:extent cx="76200" cy="26035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96"/>
                          <a:stretch>
                            <a:fillRect/>
                          </a:stretch>
                        </pic:blipFill>
                        <pic:spPr>
                          <a:xfrm>
                            <a:off x="0" y="0"/>
                            <a:ext cx="76200" cy="260312"/>
                          </a:xfrm>
                          <a:prstGeom prst="rect">
                            <a:avLst/>
                          </a:prstGeom>
                        </pic:spPr>
                      </pic:pic>
                    </a:graphicData>
                  </a:graphic>
                </wp:anchor>
              </w:drawing>
            </w:r>
            <w:r>
              <w:pict>
                <v:shape id="_x0000_s1068" o:spid="_x0000_s1068" o:spt="202" type="#_x0000_t202" style="position:absolute;left:0pt;margin-left:359.5pt;margin-top:255.1pt;height:24.4pt;width:50.8pt;mso-position-horizontal-relative:page;mso-position-vertical-relative:page;z-index:25170022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953" w:type="dxa"/>
                          <w:tblInd w:w="30" w:type="dxa"/>
                          <w:tblBorders>
                            <w:top w:val="single" w:color="000000" w:sz="10" w:space="0"/>
                            <w:left w:val="single" w:color="000000" w:sz="8" w:space="0"/>
                            <w:bottom w:val="single" w:color="000000" w:sz="8"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953"/>
                        </w:tblGrid>
                        <w:tr>
                          <w:tblPrEx>
                            <w:tblBorders>
                              <w:top w:val="single" w:color="000000" w:sz="10" w:space="0"/>
                              <w:left w:val="single" w:color="000000" w:sz="8" w:space="0"/>
                              <w:bottom w:val="single" w:color="000000" w:sz="8"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02" w:hRule="atLeast"/>
                          </w:trPr>
                          <w:tc>
                            <w:tcPr>
                              <w:tcW w:w="953" w:type="dxa"/>
                              <w:vAlign w:val="top"/>
                            </w:tcPr>
                            <w:p>
                              <w:pPr>
                                <w:spacing w:before="94" w:line="228" w:lineRule="auto"/>
                                <w:ind w:left="63"/>
                                <w:rPr>
                                  <w:rFonts w:ascii="宋体" w:hAnsi="宋体" w:eastAsia="宋体" w:cs="宋体"/>
                                  <w:sz w:val="20"/>
                                  <w:szCs w:val="20"/>
                                </w:rPr>
                              </w:pPr>
                              <w:r>
                                <w:rPr>
                                  <w:rFonts w:ascii="宋体" w:hAnsi="宋体" w:eastAsia="宋体" w:cs="宋体"/>
                                  <w:spacing w:val="-13"/>
                                  <w:sz w:val="20"/>
                                  <w:szCs w:val="20"/>
                                </w:rPr>
                                <w:t>交</w:t>
                              </w:r>
                              <w:r>
                                <w:rPr>
                                  <w:rFonts w:ascii="宋体" w:hAnsi="宋体" w:eastAsia="宋体" w:cs="宋体"/>
                                  <w:spacing w:val="-12"/>
                                  <w:sz w:val="20"/>
                                  <w:szCs w:val="20"/>
                                </w:rPr>
                                <w:t>付使用</w:t>
                              </w:r>
                            </w:p>
                          </w:tc>
                        </w:tr>
                      </w:tbl>
                      <w:p>
                        <w:pPr>
                          <w:rPr>
                            <w:rFonts w:ascii="Arial"/>
                            <w:sz w:val="21"/>
                          </w:rPr>
                        </w:pPr>
                      </w:p>
                    </w:txbxContent>
                  </v:textbox>
                </v:shape>
              </w:pict>
            </w:r>
            <w:r>
              <w:drawing>
                <wp:anchor distT="0" distB="0" distL="0" distR="0" simplePos="0" relativeHeight="251714560" behindDoc="0" locked="0" layoutInCell="1" allowOverlap="1">
                  <wp:simplePos x="0" y="0"/>
                  <wp:positionH relativeFrom="rightMargin">
                    <wp:posOffset>-936625</wp:posOffset>
                  </wp:positionH>
                  <wp:positionV relativeFrom="topMargin">
                    <wp:posOffset>3387090</wp:posOffset>
                  </wp:positionV>
                  <wp:extent cx="244475" cy="27940"/>
                  <wp:effectExtent l="0" t="0" r="0" b="0"/>
                  <wp:wrapNone/>
                  <wp:docPr id="53" name="IM 53"/>
                  <wp:cNvGraphicFramePr/>
                  <a:graphic xmlns:a="http://schemas.openxmlformats.org/drawingml/2006/main">
                    <a:graphicData uri="http://schemas.openxmlformats.org/drawingml/2006/picture">
                      <pic:pic xmlns:pic="http://schemas.openxmlformats.org/drawingml/2006/picture">
                        <pic:nvPicPr>
                          <pic:cNvPr id="53" name="IM 53"/>
                          <pic:cNvPicPr/>
                        </pic:nvPicPr>
                        <pic:blipFill>
                          <a:blip r:embed="rId197"/>
                          <a:stretch>
                            <a:fillRect/>
                          </a:stretch>
                        </pic:blipFill>
                        <pic:spPr>
                          <a:xfrm>
                            <a:off x="0" y="0"/>
                            <a:ext cx="244640" cy="28105"/>
                          </a:xfrm>
                          <a:prstGeom prst="rect">
                            <a:avLst/>
                          </a:prstGeom>
                        </pic:spPr>
                      </pic:pic>
                    </a:graphicData>
                  </a:graphic>
                </wp:anchor>
              </w:drawing>
            </w:r>
            <w:r>
              <w:drawing>
                <wp:anchor distT="0" distB="0" distL="0" distR="0" simplePos="0" relativeHeight="251695104" behindDoc="0" locked="0" layoutInCell="1" allowOverlap="1">
                  <wp:simplePos x="0" y="0"/>
                  <wp:positionH relativeFrom="rightMargin">
                    <wp:posOffset>-1071245</wp:posOffset>
                  </wp:positionH>
                  <wp:positionV relativeFrom="topMargin">
                    <wp:posOffset>3367405</wp:posOffset>
                  </wp:positionV>
                  <wp:extent cx="119380" cy="7620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98"/>
                          <a:stretch>
                            <a:fillRect/>
                          </a:stretch>
                        </pic:blipFill>
                        <pic:spPr>
                          <a:xfrm>
                            <a:off x="0" y="0"/>
                            <a:ext cx="119214" cy="76174"/>
                          </a:xfrm>
                          <a:prstGeom prst="rect">
                            <a:avLst/>
                          </a:prstGeom>
                        </pic:spPr>
                      </pic:pic>
                    </a:graphicData>
                  </a:graphic>
                </wp:anchor>
              </w:drawing>
            </w:r>
            <w:r>
              <w:drawing>
                <wp:anchor distT="0" distB="0" distL="0" distR="0" simplePos="0" relativeHeight="251697152" behindDoc="0" locked="0" layoutInCell="1" allowOverlap="1">
                  <wp:simplePos x="0" y="0"/>
                  <wp:positionH relativeFrom="rightMargin">
                    <wp:posOffset>-3523615</wp:posOffset>
                  </wp:positionH>
                  <wp:positionV relativeFrom="topMargin">
                    <wp:posOffset>2393950</wp:posOffset>
                  </wp:positionV>
                  <wp:extent cx="22860" cy="377825"/>
                  <wp:effectExtent l="0" t="0" r="0" b="0"/>
                  <wp:wrapNone/>
                  <wp:docPr id="55" name="IM 55"/>
                  <wp:cNvGraphicFramePr/>
                  <a:graphic xmlns:a="http://schemas.openxmlformats.org/drawingml/2006/main">
                    <a:graphicData uri="http://schemas.openxmlformats.org/drawingml/2006/picture">
                      <pic:pic xmlns:pic="http://schemas.openxmlformats.org/drawingml/2006/picture">
                        <pic:nvPicPr>
                          <pic:cNvPr id="55" name="IM 55"/>
                          <pic:cNvPicPr/>
                        </pic:nvPicPr>
                        <pic:blipFill>
                          <a:blip r:embed="rId199"/>
                          <a:stretch>
                            <a:fillRect/>
                          </a:stretch>
                        </pic:blipFill>
                        <pic:spPr>
                          <a:xfrm>
                            <a:off x="0" y="0"/>
                            <a:ext cx="22694" cy="377825"/>
                          </a:xfrm>
                          <a:prstGeom prst="rect">
                            <a:avLst/>
                          </a:prstGeom>
                        </pic:spPr>
                      </pic:pic>
                    </a:graphicData>
                  </a:graphic>
                </wp:anchor>
              </w:drawing>
            </w:r>
            <w:r>
              <w:drawing>
                <wp:anchor distT="0" distB="0" distL="0" distR="0" simplePos="0" relativeHeight="251682816" behindDoc="0" locked="0" layoutInCell="1" allowOverlap="1">
                  <wp:simplePos x="0" y="0"/>
                  <wp:positionH relativeFrom="rightMargin">
                    <wp:posOffset>-2023110</wp:posOffset>
                  </wp:positionH>
                  <wp:positionV relativeFrom="topMargin">
                    <wp:posOffset>2390775</wp:posOffset>
                  </wp:positionV>
                  <wp:extent cx="323850" cy="410845"/>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200"/>
                          <a:stretch>
                            <a:fillRect/>
                          </a:stretch>
                        </pic:blipFill>
                        <pic:spPr>
                          <a:xfrm>
                            <a:off x="0" y="0"/>
                            <a:ext cx="323697" cy="410768"/>
                          </a:xfrm>
                          <a:prstGeom prst="rect">
                            <a:avLst/>
                          </a:prstGeom>
                        </pic:spPr>
                      </pic:pic>
                    </a:graphicData>
                  </a:graphic>
                </wp:anchor>
              </w:drawing>
            </w:r>
            <w:r>
              <w:drawing>
                <wp:anchor distT="0" distB="0" distL="0" distR="0" simplePos="0" relativeHeight="251681792" behindDoc="0" locked="0" layoutInCell="1" allowOverlap="1">
                  <wp:simplePos x="0" y="0"/>
                  <wp:positionH relativeFrom="rightMargin">
                    <wp:posOffset>-1691640</wp:posOffset>
                  </wp:positionH>
                  <wp:positionV relativeFrom="topMargin">
                    <wp:posOffset>2398395</wp:posOffset>
                  </wp:positionV>
                  <wp:extent cx="459740" cy="369570"/>
                  <wp:effectExtent l="0" t="0" r="0" b="0"/>
                  <wp:wrapNone/>
                  <wp:docPr id="57" name="IM 57"/>
                  <wp:cNvGraphicFramePr/>
                  <a:graphic xmlns:a="http://schemas.openxmlformats.org/drawingml/2006/main">
                    <a:graphicData uri="http://schemas.openxmlformats.org/drawingml/2006/picture">
                      <pic:pic xmlns:pic="http://schemas.openxmlformats.org/drawingml/2006/picture">
                        <pic:nvPicPr>
                          <pic:cNvPr id="57" name="IM 57"/>
                          <pic:cNvPicPr/>
                        </pic:nvPicPr>
                        <pic:blipFill>
                          <a:blip r:embed="rId201"/>
                          <a:stretch>
                            <a:fillRect/>
                          </a:stretch>
                        </pic:blipFill>
                        <pic:spPr>
                          <a:xfrm>
                            <a:off x="0" y="0"/>
                            <a:ext cx="459435" cy="369696"/>
                          </a:xfrm>
                          <a:prstGeom prst="rect">
                            <a:avLst/>
                          </a:prstGeom>
                        </pic:spPr>
                      </pic:pic>
                    </a:graphicData>
                  </a:graphic>
                </wp:anchor>
              </w:drawing>
            </w:r>
            <w:r>
              <w:drawing>
                <wp:anchor distT="0" distB="0" distL="0" distR="0" simplePos="0" relativeHeight="251698176" behindDoc="0" locked="0" layoutInCell="1" allowOverlap="1">
                  <wp:simplePos x="0" y="0"/>
                  <wp:positionH relativeFrom="rightMargin">
                    <wp:posOffset>-2843530</wp:posOffset>
                  </wp:positionH>
                  <wp:positionV relativeFrom="topMargin">
                    <wp:posOffset>2393950</wp:posOffset>
                  </wp:positionV>
                  <wp:extent cx="22860" cy="377825"/>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202"/>
                          <a:stretch>
                            <a:fillRect/>
                          </a:stretch>
                        </pic:blipFill>
                        <pic:spPr>
                          <a:xfrm>
                            <a:off x="0" y="0"/>
                            <a:ext cx="22694" cy="377825"/>
                          </a:xfrm>
                          <a:prstGeom prst="rect">
                            <a:avLst/>
                          </a:prstGeom>
                        </pic:spPr>
                      </pic:pic>
                    </a:graphicData>
                  </a:graphic>
                </wp:anchor>
              </w:drawing>
            </w:r>
            <w:r>
              <w:drawing>
                <wp:anchor distT="0" distB="0" distL="0" distR="0" simplePos="0" relativeHeight="251696128" behindDoc="0" locked="0" layoutInCell="1" allowOverlap="1">
                  <wp:simplePos x="0" y="0"/>
                  <wp:positionH relativeFrom="rightMargin">
                    <wp:posOffset>-2258695</wp:posOffset>
                  </wp:positionH>
                  <wp:positionV relativeFrom="topMargin">
                    <wp:posOffset>2409825</wp:posOffset>
                  </wp:positionV>
                  <wp:extent cx="22860" cy="377825"/>
                  <wp:effectExtent l="0" t="0" r="0" b="0"/>
                  <wp:wrapNone/>
                  <wp:docPr id="59" name="IM 59"/>
                  <wp:cNvGraphicFramePr/>
                  <a:graphic xmlns:a="http://schemas.openxmlformats.org/drawingml/2006/main">
                    <a:graphicData uri="http://schemas.openxmlformats.org/drawingml/2006/picture">
                      <pic:pic xmlns:pic="http://schemas.openxmlformats.org/drawingml/2006/picture">
                        <pic:nvPicPr>
                          <pic:cNvPr id="59" name="IM 59"/>
                          <pic:cNvPicPr/>
                        </pic:nvPicPr>
                        <pic:blipFill>
                          <a:blip r:embed="rId203"/>
                          <a:stretch>
                            <a:fillRect/>
                          </a:stretch>
                        </pic:blipFill>
                        <pic:spPr>
                          <a:xfrm>
                            <a:off x="0" y="0"/>
                            <a:ext cx="22694" cy="377838"/>
                          </a:xfrm>
                          <a:prstGeom prst="rect">
                            <a:avLst/>
                          </a:prstGeom>
                        </pic:spPr>
                      </pic:pic>
                    </a:graphicData>
                  </a:graphic>
                </wp:anchor>
              </w:drawing>
            </w:r>
            <w:r>
              <w:drawing>
                <wp:anchor distT="0" distB="0" distL="0" distR="0" simplePos="0" relativeHeight="251708416" behindDoc="0" locked="0" layoutInCell="1" allowOverlap="1">
                  <wp:simplePos x="0" y="0"/>
                  <wp:positionH relativeFrom="rightMargin">
                    <wp:posOffset>-3716020</wp:posOffset>
                  </wp:positionH>
                  <wp:positionV relativeFrom="topMargin">
                    <wp:posOffset>2776220</wp:posOffset>
                  </wp:positionV>
                  <wp:extent cx="88265" cy="85725"/>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204"/>
                          <a:stretch>
                            <a:fillRect/>
                          </a:stretch>
                        </pic:blipFill>
                        <pic:spPr>
                          <a:xfrm>
                            <a:off x="0" y="0"/>
                            <a:ext cx="88506" cy="85585"/>
                          </a:xfrm>
                          <a:prstGeom prst="rect">
                            <a:avLst/>
                          </a:prstGeom>
                        </pic:spPr>
                      </pic:pic>
                    </a:graphicData>
                  </a:graphic>
                </wp:anchor>
              </w:drawing>
            </w:r>
            <w:r>
              <w:drawing>
                <wp:anchor distT="0" distB="0" distL="0" distR="0" simplePos="0" relativeHeight="251709440" behindDoc="0" locked="0" layoutInCell="1" allowOverlap="1">
                  <wp:simplePos x="0" y="0"/>
                  <wp:positionH relativeFrom="rightMargin">
                    <wp:posOffset>-3549650</wp:posOffset>
                  </wp:positionH>
                  <wp:positionV relativeFrom="topMargin">
                    <wp:posOffset>2786380</wp:posOffset>
                  </wp:positionV>
                  <wp:extent cx="76200" cy="82550"/>
                  <wp:effectExtent l="0" t="0" r="0" b="0"/>
                  <wp:wrapNone/>
                  <wp:docPr id="61" name="IM 61"/>
                  <wp:cNvGraphicFramePr/>
                  <a:graphic xmlns:a="http://schemas.openxmlformats.org/drawingml/2006/main">
                    <a:graphicData uri="http://schemas.openxmlformats.org/drawingml/2006/picture">
                      <pic:pic xmlns:pic="http://schemas.openxmlformats.org/drawingml/2006/picture">
                        <pic:nvPicPr>
                          <pic:cNvPr id="61" name="IM 61"/>
                          <pic:cNvPicPr/>
                        </pic:nvPicPr>
                        <pic:blipFill>
                          <a:blip r:embed="rId205"/>
                          <a:stretch>
                            <a:fillRect/>
                          </a:stretch>
                        </pic:blipFill>
                        <pic:spPr>
                          <a:xfrm>
                            <a:off x="0" y="0"/>
                            <a:ext cx="76200" cy="82587"/>
                          </a:xfrm>
                          <a:prstGeom prst="rect">
                            <a:avLst/>
                          </a:prstGeom>
                        </pic:spPr>
                      </pic:pic>
                    </a:graphicData>
                  </a:graphic>
                </wp:anchor>
              </w:drawing>
            </w:r>
            <w:r>
              <w:drawing>
                <wp:anchor distT="0" distB="0" distL="0" distR="0" simplePos="0" relativeHeight="251710464" behindDoc="0" locked="0" layoutInCell="1" allowOverlap="1">
                  <wp:simplePos x="0" y="0"/>
                  <wp:positionH relativeFrom="rightMargin">
                    <wp:posOffset>-2065655</wp:posOffset>
                  </wp:positionH>
                  <wp:positionV relativeFrom="topMargin">
                    <wp:posOffset>2770505</wp:posOffset>
                  </wp:positionV>
                  <wp:extent cx="83185" cy="9017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206"/>
                          <a:stretch>
                            <a:fillRect/>
                          </a:stretch>
                        </pic:blipFill>
                        <pic:spPr>
                          <a:xfrm>
                            <a:off x="0" y="0"/>
                            <a:ext cx="83197" cy="89890"/>
                          </a:xfrm>
                          <a:prstGeom prst="rect">
                            <a:avLst/>
                          </a:prstGeom>
                        </pic:spPr>
                      </pic:pic>
                    </a:graphicData>
                  </a:graphic>
                </wp:anchor>
              </w:drawing>
            </w:r>
            <w:r>
              <w:drawing>
                <wp:anchor distT="0" distB="0" distL="0" distR="0" simplePos="0" relativeHeight="251699200" behindDoc="0" locked="0" layoutInCell="1" allowOverlap="1">
                  <wp:simplePos x="0" y="0"/>
                  <wp:positionH relativeFrom="rightMargin">
                    <wp:posOffset>-1790700</wp:posOffset>
                  </wp:positionH>
                  <wp:positionV relativeFrom="topMargin">
                    <wp:posOffset>2760345</wp:posOffset>
                  </wp:positionV>
                  <wp:extent cx="95250" cy="83820"/>
                  <wp:effectExtent l="0" t="0" r="0" b="0"/>
                  <wp:wrapNone/>
                  <wp:docPr id="63" name="IM 63"/>
                  <wp:cNvGraphicFramePr/>
                  <a:graphic xmlns:a="http://schemas.openxmlformats.org/drawingml/2006/main">
                    <a:graphicData uri="http://schemas.openxmlformats.org/drawingml/2006/picture">
                      <pic:pic xmlns:pic="http://schemas.openxmlformats.org/drawingml/2006/picture">
                        <pic:nvPicPr>
                          <pic:cNvPr id="63" name="IM 63"/>
                          <pic:cNvPicPr/>
                        </pic:nvPicPr>
                        <pic:blipFill>
                          <a:blip r:embed="rId207"/>
                          <a:stretch>
                            <a:fillRect/>
                          </a:stretch>
                        </pic:blipFill>
                        <pic:spPr>
                          <a:xfrm>
                            <a:off x="0" y="0"/>
                            <a:ext cx="95211" cy="83604"/>
                          </a:xfrm>
                          <a:prstGeom prst="rect">
                            <a:avLst/>
                          </a:prstGeom>
                        </pic:spPr>
                      </pic:pic>
                    </a:graphicData>
                  </a:graphic>
                </wp:anchor>
              </w:drawing>
            </w:r>
            <w:r>
              <w:drawing>
                <wp:anchor distT="0" distB="0" distL="0" distR="0" simplePos="0" relativeHeight="251712512" behindDoc="0" locked="0" layoutInCell="1" allowOverlap="1">
                  <wp:simplePos x="0" y="0"/>
                  <wp:positionH relativeFrom="rightMargin">
                    <wp:posOffset>-2870200</wp:posOffset>
                  </wp:positionH>
                  <wp:positionV relativeFrom="topMargin">
                    <wp:posOffset>2786380</wp:posOffset>
                  </wp:positionV>
                  <wp:extent cx="76200" cy="8255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208"/>
                          <a:stretch>
                            <a:fillRect/>
                          </a:stretch>
                        </pic:blipFill>
                        <pic:spPr>
                          <a:xfrm>
                            <a:off x="0" y="0"/>
                            <a:ext cx="76200" cy="82587"/>
                          </a:xfrm>
                          <a:prstGeom prst="rect">
                            <a:avLst/>
                          </a:prstGeom>
                        </pic:spPr>
                      </pic:pic>
                    </a:graphicData>
                  </a:graphic>
                </wp:anchor>
              </w:drawing>
            </w:r>
            <w:r>
              <w:drawing>
                <wp:anchor distT="0" distB="0" distL="0" distR="0" simplePos="0" relativeHeight="251684864" behindDoc="0" locked="0" layoutInCell="1" allowOverlap="1">
                  <wp:simplePos x="0" y="0"/>
                  <wp:positionH relativeFrom="rightMargin">
                    <wp:posOffset>-400685</wp:posOffset>
                  </wp:positionH>
                  <wp:positionV relativeFrom="topMargin">
                    <wp:posOffset>2365375</wp:posOffset>
                  </wp:positionV>
                  <wp:extent cx="76200" cy="346075"/>
                  <wp:effectExtent l="0" t="0" r="0" b="0"/>
                  <wp:wrapNone/>
                  <wp:docPr id="65" name="IM 65"/>
                  <wp:cNvGraphicFramePr/>
                  <a:graphic xmlns:a="http://schemas.openxmlformats.org/drawingml/2006/main">
                    <a:graphicData uri="http://schemas.openxmlformats.org/drawingml/2006/picture">
                      <pic:pic xmlns:pic="http://schemas.openxmlformats.org/drawingml/2006/picture">
                        <pic:nvPicPr>
                          <pic:cNvPr id="65" name="IM 65"/>
                          <pic:cNvPicPr/>
                        </pic:nvPicPr>
                        <pic:blipFill>
                          <a:blip r:embed="rId209"/>
                          <a:stretch>
                            <a:fillRect/>
                          </a:stretch>
                        </pic:blipFill>
                        <pic:spPr>
                          <a:xfrm>
                            <a:off x="0" y="0"/>
                            <a:ext cx="76200" cy="345910"/>
                          </a:xfrm>
                          <a:prstGeom prst="rect">
                            <a:avLst/>
                          </a:prstGeom>
                        </pic:spPr>
                      </pic:pic>
                    </a:graphicData>
                  </a:graphic>
                </wp:anchor>
              </w:drawing>
            </w:r>
            <w:r>
              <w:rPr>
                <w:rFonts w:ascii="Times New Roman" w:hAnsi="Times New Roman" w:eastAsia="Times New Roman" w:cs="Times New Roman"/>
                <w:spacing w:val="-5"/>
                <w:sz w:val="20"/>
                <w:szCs w:val="20"/>
              </w:rPr>
              <w:t>1</w:t>
            </w:r>
            <w:r>
              <w:rPr>
                <w:rFonts w:ascii="Times New Roman" w:hAnsi="Times New Roman" w:eastAsia="Times New Roman" w:cs="Times New Roman"/>
                <w:spacing w:val="-3"/>
                <w:sz w:val="20"/>
                <w:szCs w:val="20"/>
              </w:rPr>
              <w:t xml:space="preserve"> </w:t>
            </w:r>
            <w:r>
              <w:rPr>
                <w:rFonts w:ascii="黑体" w:hAnsi="黑体" w:eastAsia="黑体" w:cs="黑体"/>
                <w:spacing w:val="-3"/>
                <w:sz w:val="20"/>
                <w:szCs w:val="20"/>
              </w:rPr>
              <w:t>、施工工艺</w:t>
            </w:r>
          </w:p>
          <w:p>
            <w:pPr>
              <w:spacing w:before="138" w:line="228" w:lineRule="auto"/>
              <w:ind w:left="537"/>
              <w:rPr>
                <w:rFonts w:ascii="宋体" w:hAnsi="宋体" w:eastAsia="宋体" w:cs="宋体"/>
                <w:sz w:val="20"/>
                <w:szCs w:val="20"/>
              </w:rPr>
            </w:pPr>
            <w:r>
              <w:rPr>
                <w:rFonts w:ascii="宋体" w:hAnsi="宋体" w:eastAsia="宋体" w:cs="宋体"/>
                <w:spacing w:val="17"/>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7"/>
                <w:sz w:val="20"/>
                <w:szCs w:val="20"/>
              </w:rPr>
              <w:t>1</w:t>
            </w:r>
            <w:r>
              <w:rPr>
                <w:rFonts w:ascii="宋体" w:hAnsi="宋体" w:eastAsia="宋体" w:cs="宋体"/>
                <w:spacing w:val="17"/>
                <w:sz w:val="20"/>
                <w:szCs w:val="20"/>
                <w14:textOutline w14:w="3795" w14:cap="sq" w14:cmpd="sng">
                  <w14:solidFill>
                    <w14:srgbClr w14:val="000000"/>
                  </w14:solidFill>
                  <w14:prstDash w14:val="solid"/>
                  <w14:bevel/>
                </w14:textOutline>
              </w:rPr>
              <w:t>)</w:t>
            </w:r>
            <w:r>
              <w:rPr>
                <w:rFonts w:ascii="宋体" w:hAnsi="宋体" w:eastAsia="宋体" w:cs="宋体"/>
                <w:spacing w:val="17"/>
                <w:sz w:val="20"/>
                <w:szCs w:val="20"/>
              </w:rPr>
              <w:t xml:space="preserve"> </w:t>
            </w:r>
            <w:r>
              <w:rPr>
                <w:rFonts w:ascii="宋体" w:hAnsi="宋体" w:eastAsia="宋体" w:cs="宋体"/>
                <w:spacing w:val="17"/>
                <w:sz w:val="20"/>
                <w:szCs w:val="20"/>
                <w14:textOutline w14:w="3795" w14:cap="sq" w14:cmpd="sng">
                  <w14:solidFill>
                    <w14:srgbClr w14:val="000000"/>
                  </w14:solidFill>
                  <w14:prstDash w14:val="solid"/>
                  <w14:bevel/>
                </w14:textOutline>
              </w:rPr>
              <w:t>桥梁施工工</w:t>
            </w:r>
            <w:r>
              <w:rPr>
                <w:rFonts w:ascii="宋体" w:hAnsi="宋体" w:eastAsia="宋体" w:cs="宋体"/>
                <w:spacing w:val="16"/>
                <w:sz w:val="20"/>
                <w:szCs w:val="20"/>
                <w14:textOutline w14:w="3795" w14:cap="sq" w14:cmpd="sng">
                  <w14:solidFill>
                    <w14:srgbClr w14:val="000000"/>
                  </w14:solidFill>
                  <w14:prstDash w14:val="solid"/>
                  <w14:bevel/>
                </w14:textOutline>
              </w:rPr>
              <w:t>艺</w:t>
            </w:r>
          </w:p>
          <w:p>
            <w:pPr>
              <w:spacing w:before="152" w:line="369" w:lineRule="auto"/>
              <w:ind w:left="109" w:right="59" w:firstLine="421"/>
              <w:rPr>
                <w:rFonts w:ascii="宋体" w:hAnsi="宋体" w:eastAsia="宋体" w:cs="宋体"/>
                <w:sz w:val="20"/>
                <w:szCs w:val="20"/>
              </w:rPr>
            </w:pPr>
            <w:r>
              <w:rPr>
                <w:rFonts w:ascii="宋体" w:hAnsi="宋体" w:eastAsia="宋体" w:cs="宋体"/>
                <w:spacing w:val="14"/>
                <w:sz w:val="20"/>
                <w:szCs w:val="20"/>
              </w:rPr>
              <w:t>项目</w:t>
            </w:r>
            <w:r>
              <w:rPr>
                <w:rFonts w:ascii="宋体" w:hAnsi="宋体" w:eastAsia="宋体" w:cs="宋体"/>
                <w:spacing w:val="7"/>
                <w:sz w:val="20"/>
                <w:szCs w:val="20"/>
              </w:rPr>
              <w:t>桥梁主要为跨越州河，根据初设资料，桥梁主体结构采用矮塔斜拉桥，主跨跨径</w:t>
            </w:r>
            <w:r>
              <w:rPr>
                <w:rFonts w:ascii="宋体" w:hAnsi="宋体" w:eastAsia="宋体" w:cs="宋体"/>
                <w:sz w:val="20"/>
                <w:szCs w:val="20"/>
              </w:rPr>
              <w:t xml:space="preserve"> </w:t>
            </w:r>
            <w:r>
              <w:rPr>
                <w:rFonts w:ascii="Times New Roman" w:hAnsi="Times New Roman" w:eastAsia="Times New Roman" w:cs="Times New Roman"/>
                <w:spacing w:val="4"/>
                <w:sz w:val="20"/>
                <w:szCs w:val="20"/>
              </w:rPr>
              <w:t>110</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，边孔为 </w:t>
            </w:r>
            <w:r>
              <w:rPr>
                <w:rFonts w:ascii="Times New Roman" w:hAnsi="Times New Roman" w:eastAsia="Times New Roman" w:cs="Times New Roman"/>
                <w:spacing w:val="4"/>
                <w:sz w:val="20"/>
                <w:szCs w:val="20"/>
              </w:rPr>
              <w:t>60</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。吊索</w:t>
            </w:r>
            <w:r>
              <w:rPr>
                <w:rFonts w:ascii="宋体" w:hAnsi="宋体" w:eastAsia="宋体" w:cs="宋体"/>
                <w:spacing w:val="2"/>
                <w:sz w:val="20"/>
                <w:szCs w:val="20"/>
              </w:rPr>
              <w:t xml:space="preserve">采用扇形布置，主梁采用钢箱梁，桥塔采用钢塔。桥宽 </w:t>
            </w:r>
            <w:r>
              <w:rPr>
                <w:rFonts w:ascii="Times New Roman" w:hAnsi="Times New Roman" w:eastAsia="Times New Roman" w:cs="Times New Roman"/>
                <w:spacing w:val="2"/>
                <w:sz w:val="20"/>
                <w:szCs w:val="20"/>
              </w:rPr>
              <w:t>34.5</w:t>
            </w:r>
            <w:r>
              <w:rPr>
                <w:rFonts w:ascii="Times New Roman" w:hAnsi="Times New Roman" w:eastAsia="Times New Roman" w:cs="Times New Roman"/>
                <w:sz w:val="20"/>
                <w:szCs w:val="20"/>
              </w:rPr>
              <w:t>m</w:t>
            </w:r>
            <w:r>
              <w:rPr>
                <w:rFonts w:ascii="宋体" w:hAnsi="宋体" w:eastAsia="宋体" w:cs="宋体"/>
                <w:spacing w:val="2"/>
                <w:sz w:val="20"/>
                <w:szCs w:val="20"/>
              </w:rPr>
              <w:t>，</w:t>
            </w:r>
            <w:r>
              <w:rPr>
                <w:rFonts w:ascii="宋体" w:hAnsi="宋体" w:eastAsia="宋体" w:cs="宋体"/>
                <w:sz w:val="20"/>
                <w:szCs w:val="20"/>
              </w:rPr>
              <w:t xml:space="preserve"> </w:t>
            </w:r>
            <w:r>
              <w:rPr>
                <w:rFonts w:ascii="宋体" w:hAnsi="宋体" w:eastAsia="宋体" w:cs="宋体"/>
                <w:spacing w:val="12"/>
                <w:sz w:val="20"/>
                <w:szCs w:val="20"/>
              </w:rPr>
              <w:t>主</w:t>
            </w:r>
            <w:r>
              <w:rPr>
                <w:rFonts w:ascii="宋体" w:hAnsi="宋体" w:eastAsia="宋体" w:cs="宋体"/>
                <w:spacing w:val="7"/>
                <w:sz w:val="20"/>
                <w:szCs w:val="20"/>
              </w:rPr>
              <w:t>梁</w:t>
            </w:r>
            <w:r>
              <w:rPr>
                <w:rFonts w:ascii="宋体" w:hAnsi="宋体" w:eastAsia="宋体" w:cs="宋体"/>
                <w:spacing w:val="6"/>
                <w:sz w:val="20"/>
                <w:szCs w:val="20"/>
              </w:rPr>
              <w:t xml:space="preserve">中心梁高 </w:t>
            </w:r>
            <w:r>
              <w:rPr>
                <w:rFonts w:ascii="Times New Roman" w:hAnsi="Times New Roman" w:eastAsia="Times New Roman" w:cs="Times New Roman"/>
                <w:spacing w:val="6"/>
                <w:sz w:val="20"/>
                <w:szCs w:val="20"/>
              </w:rPr>
              <w:t>2.8</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。下部结构桥墩采用分离式矩形墩，基础采用钻孔灌注桩基础。</w:t>
            </w:r>
          </w:p>
          <w:p>
            <w:pPr>
              <w:spacing w:line="228" w:lineRule="auto"/>
              <w:ind w:left="528"/>
              <w:rPr>
                <w:rFonts w:ascii="宋体" w:hAnsi="宋体" w:eastAsia="宋体" w:cs="宋体"/>
                <w:sz w:val="20"/>
                <w:szCs w:val="20"/>
              </w:rPr>
            </w:pPr>
            <w:r>
              <w:rPr>
                <w:rFonts w:ascii="宋体" w:hAnsi="宋体" w:eastAsia="宋体" w:cs="宋体"/>
                <w:spacing w:val="8"/>
                <w:sz w:val="20"/>
                <w:szCs w:val="20"/>
              </w:rPr>
              <w:t>其施工工艺流程如下</w:t>
            </w:r>
            <w:r>
              <w:rPr>
                <w:rFonts w:ascii="宋体" w:hAnsi="宋体" w:eastAsia="宋体" w:cs="宋体"/>
                <w:spacing w:val="7"/>
                <w:sz w:val="20"/>
                <w:szCs w:val="20"/>
              </w:rPr>
              <w:t>。</w:t>
            </w:r>
          </w:p>
          <w:p>
            <w:pPr>
              <w:spacing w:line="136" w:lineRule="auto"/>
              <w:rPr>
                <w:rFonts w:ascii="Arial"/>
                <w:sz w:val="2"/>
              </w:rPr>
            </w:pPr>
          </w:p>
          <w:tbl>
            <w:tblPr>
              <w:tblStyle w:val="4"/>
              <w:tblW w:w="998" w:type="dxa"/>
              <w:tblInd w:w="212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998"/>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PrEx>
              <w:trPr>
                <w:trHeight w:val="396" w:hRule="atLeast"/>
              </w:trPr>
              <w:tc>
                <w:tcPr>
                  <w:tcW w:w="998" w:type="dxa"/>
                  <w:vAlign w:val="top"/>
                </w:tcPr>
                <w:p>
                  <w:pPr>
                    <w:spacing w:before="94" w:line="227" w:lineRule="auto"/>
                    <w:ind w:left="56"/>
                    <w:rPr>
                      <w:rFonts w:ascii="宋体" w:hAnsi="宋体" w:eastAsia="宋体" w:cs="宋体"/>
                      <w:sz w:val="20"/>
                      <w:szCs w:val="20"/>
                    </w:rPr>
                  </w:pPr>
                  <w:r>
                    <w:rPr>
                      <w:rFonts w:ascii="宋体" w:hAnsi="宋体" w:eastAsia="宋体" w:cs="宋体"/>
                      <w:spacing w:val="-11"/>
                      <w:sz w:val="20"/>
                      <w:szCs w:val="20"/>
                    </w:rPr>
                    <w:t>材料运输</w:t>
                  </w:r>
                </w:p>
              </w:tc>
            </w:tr>
          </w:tbl>
          <w:p>
            <w:pPr>
              <w:spacing w:before="5" w:line="346" w:lineRule="exact"/>
              <w:ind w:left="2580"/>
            </w:pPr>
            <w:r>
              <w:rPr>
                <w:position w:val="-7"/>
              </w:rPr>
              <w:drawing>
                <wp:inline distT="0" distB="0" distL="0" distR="0">
                  <wp:extent cx="76200" cy="21971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210"/>
                          <a:stretch>
                            <a:fillRect/>
                          </a:stretch>
                        </pic:blipFill>
                        <pic:spPr>
                          <a:xfrm>
                            <a:off x="0" y="0"/>
                            <a:ext cx="76200" cy="219888"/>
                          </a:xfrm>
                          <a:prstGeom prst="rect">
                            <a:avLst/>
                          </a:prstGeom>
                        </pic:spPr>
                      </pic:pic>
                    </a:graphicData>
                  </a:graphic>
                </wp:inline>
              </w:drawing>
            </w:r>
          </w:p>
          <w:p>
            <w:pPr>
              <w:spacing w:before="85" w:line="228" w:lineRule="auto"/>
              <w:ind w:left="1858"/>
              <w:rPr>
                <w:sz w:val="20"/>
                <w:szCs w:val="20"/>
              </w:rPr>
            </w:pPr>
            <w:r>
              <w:pict>
                <v:shape id="_x0000_s1069" o:spid="_x0000_s1069" o:spt="202" type="#_x0000_t202" style="position:absolute;left:0pt;margin-left:362.5pt;margin-top:-3.6pt;height:23.75pt;width:43.1pt;z-index:25171353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796"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796"/>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384" w:hRule="atLeast"/>
                          </w:trPr>
                          <w:tc>
                            <w:tcPr>
                              <w:tcW w:w="796" w:type="dxa"/>
                              <w:vAlign w:val="top"/>
                            </w:tcPr>
                            <w:p>
                              <w:pPr>
                                <w:spacing w:before="95" w:line="228" w:lineRule="auto"/>
                                <w:ind w:left="42"/>
                                <w:rPr>
                                  <w:rFonts w:ascii="宋体" w:hAnsi="宋体" w:eastAsia="宋体" w:cs="宋体"/>
                                  <w:sz w:val="20"/>
                                  <w:szCs w:val="20"/>
                                </w:rPr>
                              </w:pPr>
                              <w:r>
                                <w:rPr>
                                  <w:rFonts w:ascii="宋体" w:hAnsi="宋体" w:eastAsia="宋体" w:cs="宋体"/>
                                  <w:spacing w:val="-18"/>
                                  <w:sz w:val="20"/>
                                  <w:szCs w:val="20"/>
                                </w:rPr>
                                <w:t>安装工程</w:t>
                              </w:r>
                            </w:p>
                          </w:tc>
                        </w:tr>
                      </w:tbl>
                      <w:p>
                        <w:pPr>
                          <w:rPr>
                            <w:rFonts w:ascii="Arial"/>
                            <w:sz w:val="21"/>
                          </w:rPr>
                        </w:pPr>
                      </w:p>
                    </w:txbxContent>
                  </v:textbox>
                </v:shape>
              </w:pict>
            </w:r>
            <w:r>
              <w:pict>
                <v:shape id="_x0000_s1070" o:spid="_x0000_s1070" o:spt="202" type="#_x0000_t202" style="position:absolute;left:0pt;margin-left:316.1pt;margin-top:-2.35pt;height:23.75pt;width:29.95pt;z-index:25170739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533"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533"/>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384" w:hRule="atLeast"/>
                          </w:trPr>
                          <w:tc>
                            <w:tcPr>
                              <w:tcW w:w="533" w:type="dxa"/>
                              <w:vAlign w:val="top"/>
                            </w:tcPr>
                            <w:p>
                              <w:pPr>
                                <w:spacing w:before="94" w:line="228" w:lineRule="auto"/>
                                <w:ind w:left="47"/>
                                <w:rPr>
                                  <w:rFonts w:ascii="宋体" w:hAnsi="宋体" w:eastAsia="宋体" w:cs="宋体"/>
                                  <w:sz w:val="20"/>
                                  <w:szCs w:val="20"/>
                                </w:rPr>
                              </w:pPr>
                              <w:r>
                                <w:rPr>
                                  <w:rFonts w:ascii="宋体" w:hAnsi="宋体" w:eastAsia="宋体" w:cs="宋体"/>
                                  <w:spacing w:val="-18"/>
                                  <w:sz w:val="20"/>
                                  <w:szCs w:val="20"/>
                                </w:rPr>
                                <w:t>桥</w:t>
                              </w:r>
                              <w:r>
                                <w:rPr>
                                  <w:rFonts w:ascii="宋体" w:hAnsi="宋体" w:eastAsia="宋体" w:cs="宋体"/>
                                  <w:spacing w:val="-15"/>
                                  <w:sz w:val="20"/>
                                  <w:szCs w:val="20"/>
                                </w:rPr>
                                <w:t xml:space="preserve"> 面</w:t>
                              </w:r>
                            </w:p>
                          </w:tc>
                        </w:tr>
                      </w:tbl>
                      <w:p>
                        <w:pPr>
                          <w:rPr>
                            <w:rFonts w:ascii="Arial"/>
                            <w:sz w:val="21"/>
                          </w:rPr>
                        </w:pPr>
                      </w:p>
                    </w:txbxContent>
                  </v:textbox>
                </v:shape>
              </w:pict>
            </w:r>
            <w:r>
              <w:pict>
                <v:shape id="_x0000_s1071" o:spid="_x0000_s1071" o:spt="202" type="#_x0000_t202" style="position:absolute;left:0pt;margin-left:176.9pt;margin-top:-2.1pt;height:23.75pt;width:32.05pt;z-index:25170432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577" w:type="dxa"/>
                          <w:tblInd w:w="30" w:type="dxa"/>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577"/>
                        </w:tblGrid>
                        <w:tr>
                          <w:tblPrEx>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384" w:hRule="atLeast"/>
                          </w:trPr>
                          <w:tc>
                            <w:tcPr>
                              <w:tcW w:w="577" w:type="dxa"/>
                              <w:vAlign w:val="top"/>
                            </w:tcPr>
                            <w:p>
                              <w:pPr>
                                <w:spacing w:before="94" w:line="228" w:lineRule="auto"/>
                                <w:ind w:left="73"/>
                                <w:rPr>
                                  <w:rFonts w:ascii="宋体" w:hAnsi="宋体" w:eastAsia="宋体" w:cs="宋体"/>
                                  <w:sz w:val="20"/>
                                  <w:szCs w:val="20"/>
                                </w:rPr>
                              </w:pPr>
                              <w:r>
                                <w:rPr>
                                  <w:rFonts w:ascii="宋体" w:hAnsi="宋体" w:eastAsia="宋体" w:cs="宋体"/>
                                  <w:spacing w:val="-17"/>
                                  <w:sz w:val="20"/>
                                  <w:szCs w:val="20"/>
                                </w:rPr>
                                <w:t>桥</w:t>
                              </w:r>
                              <w:r>
                                <w:rPr>
                                  <w:rFonts w:ascii="宋体" w:hAnsi="宋体" w:eastAsia="宋体" w:cs="宋体"/>
                                  <w:spacing w:val="-16"/>
                                  <w:sz w:val="20"/>
                                  <w:szCs w:val="20"/>
                                </w:rPr>
                                <w:t xml:space="preserve"> 墩</w:t>
                              </w:r>
                            </w:p>
                          </w:tc>
                        </w:tr>
                      </w:tbl>
                      <w:p>
                        <w:pPr>
                          <w:rPr>
                            <w:rFonts w:ascii="Arial"/>
                            <w:sz w:val="21"/>
                          </w:rPr>
                        </w:pPr>
                      </w:p>
                    </w:txbxContent>
                  </v:textbox>
                </v:shape>
              </w:pict>
            </w:r>
            <w:r>
              <w:pict>
                <v:shape id="_x0000_s1072" o:spid="_x0000_s1072" o:spt="202" type="#_x0000_t202" style="position:absolute;left:0pt;margin-left:224.3pt;margin-top:-1.75pt;height:23.75pt;width:30pt;z-index:25170329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534"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534"/>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384" w:hRule="atLeast"/>
                          </w:trPr>
                          <w:tc>
                            <w:tcPr>
                              <w:tcW w:w="534" w:type="dxa"/>
                              <w:vAlign w:val="top"/>
                            </w:tcPr>
                            <w:p>
                              <w:pPr>
                                <w:spacing w:before="94" w:line="228" w:lineRule="auto"/>
                                <w:ind w:left="47"/>
                                <w:rPr>
                                  <w:rFonts w:ascii="宋体" w:hAnsi="宋体" w:eastAsia="宋体" w:cs="宋体"/>
                                  <w:sz w:val="20"/>
                                  <w:szCs w:val="20"/>
                                </w:rPr>
                              </w:pPr>
                              <w:r>
                                <w:rPr>
                                  <w:rFonts w:ascii="宋体" w:hAnsi="宋体" w:eastAsia="宋体" w:cs="宋体"/>
                                  <w:spacing w:val="-18"/>
                                  <w:sz w:val="20"/>
                                  <w:szCs w:val="20"/>
                                </w:rPr>
                                <w:t>桥</w:t>
                              </w:r>
                              <w:r>
                                <w:rPr>
                                  <w:rFonts w:ascii="宋体" w:hAnsi="宋体" w:eastAsia="宋体" w:cs="宋体"/>
                                  <w:spacing w:val="-15"/>
                                  <w:sz w:val="20"/>
                                  <w:szCs w:val="20"/>
                                </w:rPr>
                                <w:t xml:space="preserve"> 台</w:t>
                              </w:r>
                            </w:p>
                          </w:tc>
                        </w:tr>
                      </w:tbl>
                      <w:p>
                        <w:pPr>
                          <w:rPr>
                            <w:rFonts w:ascii="Arial"/>
                            <w:sz w:val="21"/>
                          </w:rPr>
                        </w:pPr>
                      </w:p>
                    </w:txbxContent>
                  </v:textbox>
                </v:shape>
              </w:pict>
            </w:r>
            <w:r>
              <w:pict>
                <v:shape id="_x0000_s1073" o:spid="_x0000_s1073" o:spt="202" type="#_x0000_t202" style="position:absolute;left:0pt;margin-left:4pt;margin-top:2.7pt;height:14.35pt;width:49.5pt;z-index:251706368;mso-width-relative:page;mso-height-relative:page;" filled="f" stroked="f" coordsize="21600,21600">
                  <v:path/>
                  <v:fill on="f" focussize="0,0"/>
                  <v:stroke on="f"/>
                  <v:imagedata o:title=""/>
                  <o:lock v:ext="edit" aspectratio="f"/>
                  <v:textbox inset="0mm,0mm,0mm,0mm">
                    <w:txbxContent>
                      <w:p>
                        <w:pPr>
                          <w:tabs>
                            <w:tab w:val="left" w:pos="150"/>
                          </w:tabs>
                          <w:spacing w:before="19" w:line="228" w:lineRule="auto"/>
                          <w:ind w:left="20"/>
                          <w:rPr>
                            <w:sz w:val="20"/>
                            <w:szCs w:val="20"/>
                          </w:rPr>
                        </w:pPr>
                        <w:r>
                          <w:rPr>
                            <w:rFonts w:ascii="宋体" w:hAnsi="宋体" w:eastAsia="宋体" w:cs="宋体"/>
                            <w:sz w:val="20"/>
                            <w:szCs w:val="20"/>
                          </w:rPr>
                          <w:tab/>
                        </w:r>
                        <w:r>
                          <w:rPr>
                            <w:rFonts w:ascii="宋体" w:hAnsi="宋体" w:eastAsia="宋体" w:cs="宋体"/>
                            <w:spacing w:val="-17"/>
                            <w:sz w:val="20"/>
                            <w:szCs w:val="20"/>
                          </w:rPr>
                          <w:t>征</w:t>
                        </w:r>
                        <w:r>
                          <w:rPr>
                            <w:rFonts w:ascii="宋体" w:hAnsi="宋体" w:eastAsia="宋体" w:cs="宋体"/>
                            <w:spacing w:val="-15"/>
                            <w:sz w:val="20"/>
                            <w:szCs w:val="20"/>
                          </w:rPr>
                          <w:t xml:space="preserve">地 </w:t>
                        </w:r>
                        <w:r>
                          <w:rPr>
                            <w:sz w:val="20"/>
                            <w:szCs w:val="20"/>
                          </w:rPr>
                          <w:drawing>
                            <wp:inline distT="0" distB="0" distL="0" distR="0">
                              <wp:extent cx="232410" cy="75565"/>
                              <wp:effectExtent l="0" t="0" r="0" b="0"/>
                              <wp:docPr id="67" name="IM 67"/>
                              <wp:cNvGraphicFramePr/>
                              <a:graphic xmlns:a="http://schemas.openxmlformats.org/drawingml/2006/main">
                                <a:graphicData uri="http://schemas.openxmlformats.org/drawingml/2006/picture">
                                  <pic:pic xmlns:pic="http://schemas.openxmlformats.org/drawingml/2006/picture">
                                    <pic:nvPicPr>
                                      <pic:cNvPr id="67" name="IM 67"/>
                                      <pic:cNvPicPr/>
                                    </pic:nvPicPr>
                                    <pic:blipFill>
                                      <a:blip r:embed="rId211"/>
                                      <a:stretch>
                                        <a:fillRect/>
                                      </a:stretch>
                                    </pic:blipFill>
                                    <pic:spPr>
                                      <a:xfrm>
                                        <a:off x="0" y="0"/>
                                        <a:ext cx="232410" cy="76187"/>
                                      </a:xfrm>
                                      <a:prstGeom prst="rect">
                                        <a:avLst/>
                                      </a:prstGeom>
                                    </pic:spPr>
                                  </pic:pic>
                                </a:graphicData>
                              </a:graphic>
                            </wp:inline>
                          </w:drawing>
                        </w:r>
                      </w:p>
                    </w:txbxContent>
                  </v:textbox>
                </v:shape>
              </w:pict>
            </w:r>
            <w:r>
              <w:pict>
                <v:shape id="_x0000_s1074" o:spid="_x0000_s1074" o:spt="202" type="#_x0000_t202" style="position:absolute;left:0pt;margin-left:50.15pt;margin-top:-2.75pt;height:23.75pt;width:43.8pt;z-index:25170534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810"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810"/>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384" w:hRule="atLeast"/>
                          </w:trPr>
                          <w:tc>
                            <w:tcPr>
                              <w:tcW w:w="810" w:type="dxa"/>
                              <w:vAlign w:val="top"/>
                            </w:tcPr>
                            <w:p>
                              <w:pPr>
                                <w:spacing w:before="95" w:line="228" w:lineRule="auto"/>
                                <w:ind w:left="43"/>
                                <w:rPr>
                                  <w:rFonts w:ascii="宋体" w:hAnsi="宋体" w:eastAsia="宋体" w:cs="宋体"/>
                                  <w:sz w:val="20"/>
                                  <w:szCs w:val="20"/>
                                </w:rPr>
                              </w:pPr>
                              <w:r>
                                <w:rPr>
                                  <w:rFonts w:ascii="宋体" w:hAnsi="宋体" w:eastAsia="宋体" w:cs="宋体"/>
                                  <w:spacing w:val="-19"/>
                                  <w:sz w:val="20"/>
                                  <w:szCs w:val="20"/>
                                </w:rPr>
                                <w:t>地</w:t>
                              </w:r>
                              <w:r>
                                <w:rPr>
                                  <w:rFonts w:ascii="宋体" w:hAnsi="宋体" w:eastAsia="宋体" w:cs="宋体"/>
                                  <w:spacing w:val="-16"/>
                                  <w:sz w:val="20"/>
                                  <w:szCs w:val="20"/>
                                </w:rPr>
                                <w:t>表清理</w:t>
                              </w:r>
                            </w:p>
                          </w:tc>
                        </w:tr>
                      </w:tbl>
                      <w:p>
                        <w:pPr>
                          <w:rPr>
                            <w:rFonts w:ascii="Arial"/>
                            <w:sz w:val="21"/>
                          </w:rPr>
                        </w:pPr>
                      </w:p>
                    </w:txbxContent>
                  </v:textbox>
                </v:shape>
              </w:pict>
            </w:r>
            <w:r>
              <w:pict>
                <v:shape id="_x0000_s1075" o:spid="_x0000_s1075" o:spt="202" type="#_x0000_t202" style="position:absolute;left:0pt;margin-left:251.75pt;margin-top:4.15pt;height:14.35pt;width:46.55pt;z-index:251702272;mso-width-relative:page;mso-height-relative:page;" filled="f" stroked="f" coordsize="21600,21600">
                  <v:path/>
                  <v:fill on="f" focussize="0,0"/>
                  <v:stroke on="f"/>
                  <v:imagedata o:title=""/>
                  <o:lock v:ext="edit" aspectratio="f"/>
                  <v:textbox inset="0mm,0mm,0mm,0mm">
                    <w:txbxContent>
                      <w:p>
                        <w:pPr>
                          <w:spacing w:before="19" w:line="228" w:lineRule="auto"/>
                          <w:ind w:left="20"/>
                          <w:rPr>
                            <w:rFonts w:ascii="宋体" w:hAnsi="宋体" w:eastAsia="宋体" w:cs="宋体"/>
                            <w:sz w:val="20"/>
                            <w:szCs w:val="20"/>
                          </w:rPr>
                        </w:pPr>
                        <w:r>
                          <w:rPr>
                            <w:rFonts w:ascii="宋体" w:hAnsi="宋体" w:eastAsia="宋体" w:cs="宋体"/>
                            <w:position w:val="2"/>
                            <w:sz w:val="20"/>
                            <w:szCs w:val="20"/>
                          </w:rPr>
                          <w:drawing>
                            <wp:inline distT="0" distB="0" distL="0" distR="0">
                              <wp:extent cx="232410" cy="7620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212"/>
                                      <a:stretch>
                                        <a:fillRect/>
                                      </a:stretch>
                                    </pic:blipFill>
                                    <pic:spPr>
                                      <a:xfrm>
                                        <a:off x="0" y="0"/>
                                        <a:ext cx="232422" cy="76200"/>
                                      </a:xfrm>
                                      <a:prstGeom prst="rect">
                                        <a:avLst/>
                                      </a:prstGeom>
                                    </pic:spPr>
                                  </pic:pic>
                                </a:graphicData>
                              </a:graphic>
                            </wp:inline>
                          </w:drawing>
                        </w:r>
                        <w:r>
                          <w:rPr>
                            <w:rFonts w:ascii="宋体" w:hAnsi="宋体" w:eastAsia="宋体" w:cs="宋体"/>
                            <w:spacing w:val="-19"/>
                            <w:sz w:val="20"/>
                            <w:szCs w:val="20"/>
                          </w:rPr>
                          <w:t xml:space="preserve"> 桥 梁</w:t>
                        </w:r>
                      </w:p>
                    </w:txbxContent>
                  </v:textbox>
                </v:shape>
              </w:pict>
            </w:r>
            <w:r>
              <w:rPr>
                <w:rFonts w:ascii="宋体" w:hAnsi="宋体" w:eastAsia="宋体" w:cs="宋体"/>
                <w:position w:val="2"/>
                <w:sz w:val="20"/>
                <w:szCs w:val="20"/>
              </w:rPr>
              <w:drawing>
                <wp:inline distT="0" distB="0" distL="0" distR="0">
                  <wp:extent cx="232410" cy="75565"/>
                  <wp:effectExtent l="0" t="0" r="0" b="0"/>
                  <wp:docPr id="69" name="IM 69"/>
                  <wp:cNvGraphicFramePr/>
                  <a:graphic xmlns:a="http://schemas.openxmlformats.org/drawingml/2006/main">
                    <a:graphicData uri="http://schemas.openxmlformats.org/drawingml/2006/picture">
                      <pic:pic xmlns:pic="http://schemas.openxmlformats.org/drawingml/2006/picture">
                        <pic:nvPicPr>
                          <pic:cNvPr id="69" name="IM 69"/>
                          <pic:cNvPicPr/>
                        </pic:nvPicPr>
                        <pic:blipFill>
                          <a:blip r:embed="rId213"/>
                          <a:stretch>
                            <a:fillRect/>
                          </a:stretch>
                        </pic:blipFill>
                        <pic:spPr>
                          <a:xfrm>
                            <a:off x="0" y="0"/>
                            <a:ext cx="232422" cy="76187"/>
                          </a:xfrm>
                          <a:prstGeom prst="rect">
                            <a:avLst/>
                          </a:prstGeom>
                        </pic:spPr>
                      </pic:pic>
                    </a:graphicData>
                  </a:graphic>
                </wp:inline>
              </w:drawing>
            </w:r>
            <w:r>
              <w:rPr>
                <w:rFonts w:ascii="宋体" w:hAnsi="宋体" w:eastAsia="宋体" w:cs="宋体"/>
                <w:spacing w:val="-1"/>
                <w:sz w:val="20"/>
                <w:szCs w:val="20"/>
              </w:rPr>
              <w:t xml:space="preserve"> 钻孔</w:t>
            </w:r>
            <w:r>
              <w:rPr>
                <w:rFonts w:ascii="宋体" w:hAnsi="宋体" w:eastAsia="宋体" w:cs="宋体"/>
                <w:sz w:val="20"/>
                <w:szCs w:val="20"/>
              </w:rPr>
              <w:t xml:space="preserve">注桩 </w:t>
            </w:r>
            <w:r>
              <w:rPr>
                <w:sz w:val="20"/>
                <w:szCs w:val="20"/>
              </w:rPr>
              <w:drawing>
                <wp:inline distT="0" distB="0" distL="0" distR="0">
                  <wp:extent cx="213995" cy="7556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214"/>
                          <a:stretch>
                            <a:fillRect/>
                          </a:stretch>
                        </pic:blipFill>
                        <pic:spPr>
                          <a:xfrm>
                            <a:off x="0" y="0"/>
                            <a:ext cx="214071" cy="76187"/>
                          </a:xfrm>
                          <a:prstGeom prst="rect">
                            <a:avLst/>
                          </a:prstGeom>
                        </pic:spPr>
                      </pic:pic>
                    </a:graphicData>
                  </a:graphic>
                </wp:inline>
              </w:drawing>
            </w:r>
          </w:p>
          <w:p>
            <w:pPr>
              <w:spacing w:before="43" w:line="692" w:lineRule="exact"/>
              <w:ind w:firstLine="1737"/>
              <w:textAlignment w:val="center"/>
            </w:pPr>
            <w:r>
              <w:drawing>
                <wp:inline distT="0" distB="0" distL="0" distR="0">
                  <wp:extent cx="487680" cy="439420"/>
                  <wp:effectExtent l="0" t="0" r="0" b="0"/>
                  <wp:docPr id="71" name="IM 71"/>
                  <wp:cNvGraphicFramePr/>
                  <a:graphic xmlns:a="http://schemas.openxmlformats.org/drawingml/2006/main">
                    <a:graphicData uri="http://schemas.openxmlformats.org/drawingml/2006/picture">
                      <pic:pic xmlns:pic="http://schemas.openxmlformats.org/drawingml/2006/picture">
                        <pic:nvPicPr>
                          <pic:cNvPr id="71" name="IM 71"/>
                          <pic:cNvPicPr/>
                        </pic:nvPicPr>
                        <pic:blipFill>
                          <a:blip r:embed="rId215"/>
                          <a:stretch>
                            <a:fillRect/>
                          </a:stretch>
                        </pic:blipFill>
                        <pic:spPr>
                          <a:xfrm>
                            <a:off x="0" y="0"/>
                            <a:ext cx="487781" cy="439572"/>
                          </a:xfrm>
                          <a:prstGeom prst="rect">
                            <a:avLst/>
                          </a:prstGeom>
                        </pic:spPr>
                      </pic:pic>
                    </a:graphicData>
                  </a:graphic>
                </wp:inline>
              </w:drawing>
            </w:r>
          </w:p>
          <w:p>
            <w:pPr>
              <w:spacing w:line="72" w:lineRule="exact"/>
            </w:pPr>
          </w:p>
          <w:tbl>
            <w:tblPr>
              <w:tblStyle w:val="4"/>
              <w:tblW w:w="3016" w:type="dxa"/>
              <w:tblInd w:w="2539"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3016"/>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01" w:hRule="atLeast"/>
              </w:trPr>
              <w:tc>
                <w:tcPr>
                  <w:tcW w:w="3016" w:type="dxa"/>
                  <w:shd w:val="clear" w:color="auto" w:fill="FFCC99"/>
                  <w:vAlign w:val="top"/>
                </w:tcPr>
                <w:p>
                  <w:pPr>
                    <w:spacing w:before="95" w:line="228" w:lineRule="auto"/>
                    <w:ind w:left="92"/>
                    <w:rPr>
                      <w:rFonts w:ascii="宋体" w:hAnsi="宋体" w:eastAsia="宋体" w:cs="宋体"/>
                      <w:sz w:val="20"/>
                      <w:szCs w:val="20"/>
                    </w:rPr>
                  </w:pPr>
                  <w:r>
                    <w:rPr>
                      <w:rFonts w:ascii="宋体" w:hAnsi="宋体" w:eastAsia="宋体" w:cs="宋体"/>
                      <w:spacing w:val="-20"/>
                      <w:sz w:val="20"/>
                      <w:szCs w:val="20"/>
                    </w:rPr>
                    <w:t>噪声、废气、废水、固废、水土流</w:t>
                  </w:r>
                  <w:r>
                    <w:rPr>
                      <w:rFonts w:ascii="宋体" w:hAnsi="宋体" w:eastAsia="宋体" w:cs="宋体"/>
                      <w:spacing w:val="-18"/>
                      <w:sz w:val="20"/>
                      <w:szCs w:val="20"/>
                    </w:rPr>
                    <w:t>失</w:t>
                  </w:r>
                </w:p>
              </w:tc>
            </w:tr>
          </w:tbl>
          <w:p>
            <w:pPr>
              <w:spacing w:line="190" w:lineRule="exact"/>
            </w:pPr>
          </w:p>
          <w:tbl>
            <w:tblPr>
              <w:tblStyle w:val="4"/>
              <w:tblW w:w="1081" w:type="dxa"/>
              <w:tblInd w:w="5501"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081"/>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01" w:hRule="atLeast"/>
              </w:trPr>
              <w:tc>
                <w:tcPr>
                  <w:tcW w:w="1081" w:type="dxa"/>
                  <w:shd w:val="clear" w:color="auto" w:fill="FFCC99"/>
                  <w:vAlign w:val="top"/>
                </w:tcPr>
                <w:p>
                  <w:pPr>
                    <w:spacing w:before="94" w:line="228" w:lineRule="auto"/>
                    <w:ind w:left="66"/>
                    <w:rPr>
                      <w:rFonts w:ascii="宋体" w:hAnsi="宋体" w:eastAsia="宋体" w:cs="宋体"/>
                      <w:sz w:val="20"/>
                      <w:szCs w:val="20"/>
                    </w:rPr>
                  </w:pPr>
                  <w:r>
                    <w:rPr>
                      <w:rFonts w:ascii="宋体" w:hAnsi="宋体" w:eastAsia="宋体" w:cs="宋体"/>
                      <w:spacing w:val="-17"/>
                      <w:sz w:val="20"/>
                      <w:szCs w:val="20"/>
                    </w:rPr>
                    <w:t>噪</w:t>
                  </w:r>
                  <w:r>
                    <w:rPr>
                      <w:rFonts w:ascii="宋体" w:hAnsi="宋体" w:eastAsia="宋体" w:cs="宋体"/>
                      <w:spacing w:val="-15"/>
                      <w:sz w:val="20"/>
                      <w:szCs w:val="20"/>
                    </w:rPr>
                    <w:t>声、废气</w:t>
                  </w:r>
                </w:p>
              </w:tc>
            </w:tr>
          </w:tbl>
          <w:p>
            <w:pPr>
              <w:spacing w:before="47" w:line="231" w:lineRule="auto"/>
              <w:ind w:left="2571"/>
              <w:rPr>
                <w:rFonts w:ascii="黑体" w:hAnsi="黑体" w:eastAsia="黑体" w:cs="黑体"/>
                <w:sz w:val="19"/>
                <w:szCs w:val="19"/>
              </w:rPr>
            </w:pPr>
            <w:r>
              <w:rPr>
                <w:rFonts w:ascii="黑体" w:hAnsi="黑体" w:eastAsia="黑体" w:cs="黑体"/>
                <w:spacing w:val="11"/>
                <w:sz w:val="19"/>
                <w:szCs w:val="19"/>
              </w:rPr>
              <w:t>图</w:t>
            </w:r>
            <w:r>
              <w:rPr>
                <w:rFonts w:ascii="Times New Roman" w:hAnsi="Times New Roman" w:eastAsia="Times New Roman" w:cs="Times New Roman"/>
                <w:spacing w:val="8"/>
                <w:sz w:val="19"/>
                <w:szCs w:val="19"/>
              </w:rPr>
              <w:t>27</w:t>
            </w:r>
            <w:r>
              <w:rPr>
                <w:rFonts w:ascii="黑体" w:hAnsi="黑体" w:eastAsia="黑体" w:cs="黑体"/>
                <w:spacing w:val="8"/>
                <w:sz w:val="19"/>
                <w:szCs w:val="19"/>
              </w:rPr>
              <w:t>：桥梁施工艺流程及产污位置图</w:t>
            </w:r>
          </w:p>
          <w:p>
            <w:pPr>
              <w:spacing w:before="132" w:line="369" w:lineRule="auto"/>
              <w:ind w:left="106" w:right="53" w:firstLine="421"/>
              <w:rPr>
                <w:rFonts w:ascii="宋体" w:hAnsi="宋体" w:eastAsia="宋体" w:cs="宋体"/>
                <w:sz w:val="20"/>
                <w:szCs w:val="20"/>
              </w:rPr>
            </w:pPr>
            <w:r>
              <w:rPr>
                <w:rFonts w:ascii="宋体" w:hAnsi="宋体" w:eastAsia="宋体" w:cs="宋体"/>
                <w:spacing w:val="14"/>
                <w:sz w:val="20"/>
                <w:szCs w:val="20"/>
              </w:rPr>
              <w:t>本项</w:t>
            </w:r>
            <w:r>
              <w:rPr>
                <w:rFonts w:ascii="宋体" w:hAnsi="宋体" w:eastAsia="宋体" w:cs="宋体"/>
                <w:spacing w:val="7"/>
                <w:sz w:val="20"/>
                <w:szCs w:val="20"/>
              </w:rPr>
              <w:t>目为跨河桥梁，基于现场情况，桥梁东岸为现状道路，场地高差较大，东岸材料</w:t>
            </w:r>
            <w:r>
              <w:rPr>
                <w:rFonts w:ascii="宋体" w:hAnsi="宋体" w:eastAsia="宋体" w:cs="宋体"/>
                <w:sz w:val="20"/>
                <w:szCs w:val="20"/>
              </w:rPr>
              <w:t xml:space="preserve"> </w:t>
            </w:r>
            <w:r>
              <w:rPr>
                <w:rFonts w:ascii="宋体" w:hAnsi="宋体" w:eastAsia="宋体" w:cs="宋体"/>
                <w:spacing w:val="14"/>
                <w:sz w:val="20"/>
                <w:szCs w:val="20"/>
              </w:rPr>
              <w:t>运输进</w:t>
            </w:r>
            <w:r>
              <w:rPr>
                <w:rFonts w:ascii="宋体" w:hAnsi="宋体" w:eastAsia="宋体" w:cs="宋体"/>
                <w:spacing w:val="8"/>
                <w:sz w:val="20"/>
                <w:szCs w:val="20"/>
              </w:rPr>
              <w:t>场</w:t>
            </w:r>
            <w:r>
              <w:rPr>
                <w:rFonts w:ascii="宋体" w:hAnsi="宋体" w:eastAsia="宋体" w:cs="宋体"/>
                <w:spacing w:val="7"/>
                <w:sz w:val="20"/>
                <w:szCs w:val="20"/>
              </w:rPr>
              <w:t>难度较大。本项目桥梁施工按照桥梁基础→桥墩施工→桥台施工→桥面结构的程</w:t>
            </w:r>
            <w:r>
              <w:rPr>
                <w:rFonts w:ascii="宋体" w:hAnsi="宋体" w:eastAsia="宋体" w:cs="宋体"/>
                <w:sz w:val="20"/>
                <w:szCs w:val="20"/>
              </w:rPr>
              <w:t xml:space="preserve"> </w:t>
            </w:r>
            <w:r>
              <w:rPr>
                <w:rFonts w:ascii="宋体" w:hAnsi="宋体" w:eastAsia="宋体" w:cs="宋体"/>
                <w:spacing w:val="14"/>
                <w:sz w:val="20"/>
                <w:szCs w:val="20"/>
              </w:rPr>
              <w:t>序进行</w:t>
            </w:r>
            <w:r>
              <w:rPr>
                <w:rFonts w:ascii="宋体" w:hAnsi="宋体" w:eastAsia="宋体" w:cs="宋体"/>
                <w:spacing w:val="10"/>
                <w:sz w:val="20"/>
                <w:szCs w:val="20"/>
              </w:rPr>
              <w:t>。</w:t>
            </w:r>
            <w:r>
              <w:rPr>
                <w:rFonts w:ascii="宋体" w:hAnsi="宋体" w:eastAsia="宋体" w:cs="宋体"/>
                <w:spacing w:val="7"/>
                <w:sz w:val="20"/>
                <w:szCs w:val="20"/>
              </w:rPr>
              <w:t>施工采用机械化作业，主要材料集中供应。因地制宜选择施工方法，尽量减少对</w:t>
            </w:r>
            <w:r>
              <w:rPr>
                <w:rFonts w:ascii="宋体" w:hAnsi="宋体" w:eastAsia="宋体" w:cs="宋体"/>
                <w:sz w:val="20"/>
                <w:szCs w:val="20"/>
              </w:rPr>
              <w:t xml:space="preserve"> </w:t>
            </w:r>
            <w:r>
              <w:rPr>
                <w:rFonts w:ascii="宋体" w:hAnsi="宋体" w:eastAsia="宋体" w:cs="宋体"/>
                <w:spacing w:val="9"/>
                <w:sz w:val="20"/>
                <w:szCs w:val="20"/>
              </w:rPr>
              <w:t>现有城市交通的影响，并有机结合施工能力、周围环境、地下管线、地质情况综合考虑</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14"/>
                <w:sz w:val="20"/>
                <w:szCs w:val="20"/>
              </w:rPr>
              <w:t>经过现</w:t>
            </w:r>
            <w:r>
              <w:rPr>
                <w:rFonts w:ascii="宋体" w:hAnsi="宋体" w:eastAsia="宋体" w:cs="宋体"/>
                <w:spacing w:val="8"/>
                <w:sz w:val="20"/>
                <w:szCs w:val="20"/>
              </w:rPr>
              <w:t>场</w:t>
            </w:r>
            <w:r>
              <w:rPr>
                <w:rFonts w:ascii="宋体" w:hAnsi="宋体" w:eastAsia="宋体" w:cs="宋体"/>
                <w:spacing w:val="7"/>
                <w:sz w:val="20"/>
                <w:szCs w:val="20"/>
              </w:rPr>
              <w:t>调查，本项目航道为规划航道，现状暂无船舶通航需求。主梁施工考虑在西岸滩</w:t>
            </w:r>
            <w:r>
              <w:rPr>
                <w:rFonts w:ascii="宋体" w:hAnsi="宋体" w:eastAsia="宋体" w:cs="宋体"/>
                <w:sz w:val="20"/>
                <w:szCs w:val="20"/>
              </w:rPr>
              <w:t xml:space="preserve"> </w:t>
            </w:r>
            <w:r>
              <w:rPr>
                <w:rFonts w:ascii="宋体" w:hAnsi="宋体" w:eastAsia="宋体" w:cs="宋体"/>
                <w:spacing w:val="16"/>
                <w:sz w:val="20"/>
                <w:szCs w:val="20"/>
              </w:rPr>
              <w:t>地设</w:t>
            </w:r>
            <w:r>
              <w:rPr>
                <w:rFonts w:ascii="宋体" w:hAnsi="宋体" w:eastAsia="宋体" w:cs="宋体"/>
                <w:spacing w:val="9"/>
                <w:sz w:val="20"/>
                <w:szCs w:val="20"/>
              </w:rPr>
              <w:t>置</w:t>
            </w:r>
            <w:r>
              <w:rPr>
                <w:rFonts w:ascii="宋体" w:hAnsi="宋体" w:eastAsia="宋体" w:cs="宋体"/>
                <w:spacing w:val="8"/>
                <w:sz w:val="20"/>
                <w:szCs w:val="20"/>
              </w:rPr>
              <w:t>顶推平台，主梁通过顶推的方式，最大程度减少临时墩个数。具体施工步骤如下：</w:t>
            </w:r>
          </w:p>
          <w:p>
            <w:pPr>
              <w:tabs>
                <w:tab w:val="left" w:pos="599"/>
              </w:tabs>
              <w:spacing w:line="227" w:lineRule="auto"/>
              <w:ind w:left="519"/>
              <w:rPr>
                <w:rFonts w:ascii="宋体" w:hAnsi="宋体" w:eastAsia="宋体" w:cs="宋体"/>
                <w:sz w:val="20"/>
                <w:szCs w:val="20"/>
              </w:rPr>
            </w:pPr>
            <w:r>
              <w:rPr>
                <w:rFonts w:ascii="宋体" w:hAnsi="宋体" w:eastAsia="宋体" w:cs="宋体"/>
                <w:sz w:val="17"/>
                <w:szCs w:val="17"/>
              </w:rPr>
              <w:tab/>
            </w:r>
            <w:r>
              <w:rPr>
                <w:rFonts w:ascii="宋体" w:hAnsi="宋体" w:eastAsia="宋体" w:cs="宋体"/>
                <w:spacing w:val="6"/>
                <w:sz w:val="17"/>
                <w:szCs w:val="17"/>
              </w:rPr>
              <w:t xml:space="preserve">1   </w:t>
            </w:r>
            <w:r>
              <w:rPr>
                <w:rFonts w:ascii="宋体" w:hAnsi="宋体" w:eastAsia="宋体" w:cs="宋体"/>
                <w:spacing w:val="6"/>
                <w:sz w:val="20"/>
                <w:szCs w:val="20"/>
              </w:rPr>
              <w:t>下部结构施</w:t>
            </w:r>
            <w:r>
              <w:rPr>
                <w:rFonts w:ascii="宋体" w:hAnsi="宋体" w:eastAsia="宋体" w:cs="宋体"/>
                <w:spacing w:val="4"/>
                <w:sz w:val="20"/>
                <w:szCs w:val="20"/>
              </w:rPr>
              <w:t>工</w:t>
            </w:r>
          </w:p>
          <w:p>
            <w:pPr>
              <w:spacing w:before="156" w:line="369" w:lineRule="auto"/>
              <w:ind w:left="106" w:right="69" w:firstLine="420"/>
              <w:rPr>
                <w:rFonts w:ascii="宋体" w:hAnsi="宋体" w:eastAsia="宋体" w:cs="宋体"/>
                <w:sz w:val="20"/>
                <w:szCs w:val="20"/>
              </w:rPr>
            </w:pPr>
            <w:r>
              <w:rPr>
                <w:rFonts w:ascii="宋体" w:hAnsi="宋体" w:eastAsia="宋体" w:cs="宋体"/>
                <w:spacing w:val="14"/>
                <w:sz w:val="20"/>
                <w:szCs w:val="20"/>
              </w:rPr>
              <w:t>桥梁</w:t>
            </w:r>
            <w:r>
              <w:rPr>
                <w:rFonts w:ascii="宋体" w:hAnsi="宋体" w:eastAsia="宋体" w:cs="宋体"/>
                <w:spacing w:val="8"/>
                <w:sz w:val="20"/>
                <w:szCs w:val="20"/>
              </w:rPr>
              <w:t>基</w:t>
            </w:r>
            <w:r>
              <w:rPr>
                <w:rFonts w:ascii="宋体" w:hAnsi="宋体" w:eastAsia="宋体" w:cs="宋体"/>
                <w:spacing w:val="7"/>
                <w:sz w:val="20"/>
                <w:szCs w:val="20"/>
              </w:rPr>
              <w:t>础采用钻孔灌注桩基础，下部结构施工主要步骤为基坑开挖或围堰施工、桩基</w:t>
            </w:r>
            <w:r>
              <w:rPr>
                <w:rFonts w:ascii="宋体" w:hAnsi="宋体" w:eastAsia="宋体" w:cs="宋体"/>
                <w:sz w:val="20"/>
                <w:szCs w:val="20"/>
              </w:rPr>
              <w:t xml:space="preserve"> </w:t>
            </w:r>
            <w:r>
              <w:rPr>
                <w:rFonts w:ascii="宋体" w:hAnsi="宋体" w:eastAsia="宋体" w:cs="宋体"/>
                <w:spacing w:val="14"/>
                <w:sz w:val="20"/>
                <w:szCs w:val="20"/>
              </w:rPr>
              <w:t>施工、</w:t>
            </w:r>
            <w:r>
              <w:rPr>
                <w:rFonts w:ascii="宋体" w:hAnsi="宋体" w:eastAsia="宋体" w:cs="宋体"/>
                <w:spacing w:val="10"/>
                <w:sz w:val="20"/>
                <w:szCs w:val="20"/>
              </w:rPr>
              <w:t>承</w:t>
            </w:r>
            <w:r>
              <w:rPr>
                <w:rFonts w:ascii="宋体" w:hAnsi="宋体" w:eastAsia="宋体" w:cs="宋体"/>
                <w:spacing w:val="7"/>
                <w:sz w:val="20"/>
                <w:szCs w:val="20"/>
              </w:rPr>
              <w:t>台施工、桥墩、桥台立模现浇施工。对于跨越现状河道的情况，施工中应注意做</w:t>
            </w:r>
            <w:r>
              <w:rPr>
                <w:rFonts w:ascii="宋体" w:hAnsi="宋体" w:eastAsia="宋体" w:cs="宋体"/>
                <w:sz w:val="20"/>
                <w:szCs w:val="20"/>
              </w:rPr>
              <w:t xml:space="preserve"> </w:t>
            </w:r>
            <w:r>
              <w:rPr>
                <w:rFonts w:ascii="宋体" w:hAnsi="宋体" w:eastAsia="宋体" w:cs="宋体"/>
                <w:spacing w:val="14"/>
                <w:sz w:val="20"/>
                <w:szCs w:val="20"/>
              </w:rPr>
              <w:t>好现状</w:t>
            </w:r>
            <w:r>
              <w:rPr>
                <w:rFonts w:ascii="宋体" w:hAnsi="宋体" w:eastAsia="宋体" w:cs="宋体"/>
                <w:spacing w:val="8"/>
                <w:sz w:val="20"/>
                <w:szCs w:val="20"/>
              </w:rPr>
              <w:t>河</w:t>
            </w:r>
            <w:r>
              <w:rPr>
                <w:rFonts w:ascii="宋体" w:hAnsi="宋体" w:eastAsia="宋体" w:cs="宋体"/>
                <w:spacing w:val="7"/>
                <w:sz w:val="20"/>
                <w:szCs w:val="20"/>
              </w:rPr>
              <w:t>道的导流和防汛工作。河中有一定的淤泥厚度，施工设备和材料通过船运进出有</w:t>
            </w:r>
            <w:r>
              <w:rPr>
                <w:rFonts w:ascii="宋体" w:hAnsi="宋体" w:eastAsia="宋体" w:cs="宋体"/>
                <w:sz w:val="20"/>
                <w:szCs w:val="20"/>
              </w:rPr>
              <w:t xml:space="preserve"> </w:t>
            </w:r>
            <w:r>
              <w:rPr>
                <w:rFonts w:ascii="宋体" w:hAnsi="宋体" w:eastAsia="宋体" w:cs="宋体"/>
                <w:spacing w:val="14"/>
                <w:sz w:val="20"/>
                <w:szCs w:val="20"/>
              </w:rPr>
              <w:t>难度，</w:t>
            </w:r>
            <w:r>
              <w:rPr>
                <w:rFonts w:ascii="宋体" w:hAnsi="宋体" w:eastAsia="宋体" w:cs="宋体"/>
                <w:spacing w:val="10"/>
                <w:sz w:val="20"/>
                <w:szCs w:val="20"/>
              </w:rPr>
              <w:t>可</w:t>
            </w:r>
            <w:r>
              <w:rPr>
                <w:rFonts w:ascii="宋体" w:hAnsi="宋体" w:eastAsia="宋体" w:cs="宋体"/>
                <w:spacing w:val="7"/>
                <w:sz w:val="20"/>
                <w:szCs w:val="20"/>
              </w:rPr>
              <w:t>通过设置临时栈桥解决。在承台周边筑临时围堰，施工灌注桩、承台和立柱，施</w:t>
            </w:r>
            <w:r>
              <w:rPr>
                <w:rFonts w:ascii="宋体" w:hAnsi="宋体" w:eastAsia="宋体" w:cs="宋体"/>
                <w:sz w:val="20"/>
                <w:szCs w:val="20"/>
              </w:rPr>
              <w:t xml:space="preserve"> </w:t>
            </w:r>
            <w:r>
              <w:rPr>
                <w:rFonts w:ascii="宋体" w:hAnsi="宋体" w:eastAsia="宋体" w:cs="宋体"/>
                <w:spacing w:val="16"/>
                <w:sz w:val="20"/>
                <w:szCs w:val="20"/>
              </w:rPr>
              <w:t>工时</w:t>
            </w:r>
            <w:r>
              <w:rPr>
                <w:rFonts w:ascii="宋体" w:hAnsi="宋体" w:eastAsia="宋体" w:cs="宋体"/>
                <w:spacing w:val="10"/>
                <w:sz w:val="20"/>
                <w:szCs w:val="20"/>
              </w:rPr>
              <w:t>需</w:t>
            </w:r>
            <w:r>
              <w:rPr>
                <w:rFonts w:ascii="宋体" w:hAnsi="宋体" w:eastAsia="宋体" w:cs="宋体"/>
                <w:spacing w:val="8"/>
                <w:sz w:val="20"/>
                <w:szCs w:val="20"/>
              </w:rPr>
              <w:t>按环保要求进行泥浆外排。总之，水中施工务必安排好施工工序，尽量缩短工期，</w:t>
            </w:r>
            <w:r>
              <w:rPr>
                <w:rFonts w:ascii="宋体" w:hAnsi="宋体" w:eastAsia="宋体" w:cs="宋体"/>
                <w:sz w:val="20"/>
                <w:szCs w:val="20"/>
              </w:rPr>
              <w:t xml:space="preserve"> </w:t>
            </w:r>
            <w:r>
              <w:rPr>
                <w:rFonts w:ascii="宋体" w:hAnsi="宋体" w:eastAsia="宋体" w:cs="宋体"/>
                <w:spacing w:val="8"/>
                <w:sz w:val="20"/>
                <w:szCs w:val="20"/>
              </w:rPr>
              <w:t>减小对交通的影响</w:t>
            </w:r>
            <w:r>
              <w:rPr>
                <w:rFonts w:ascii="宋体" w:hAnsi="宋体" w:eastAsia="宋体" w:cs="宋体"/>
                <w:spacing w:val="6"/>
                <w:sz w:val="20"/>
                <w:szCs w:val="20"/>
              </w:rPr>
              <w:t>。</w:t>
            </w:r>
          </w:p>
          <w:p>
            <w:pPr>
              <w:spacing w:before="6" w:line="371" w:lineRule="auto"/>
              <w:ind w:left="106" w:right="60" w:firstLine="437"/>
              <w:rPr>
                <w:rFonts w:ascii="宋体" w:hAnsi="宋体" w:eastAsia="宋体" w:cs="宋体"/>
                <w:sz w:val="20"/>
                <w:szCs w:val="20"/>
              </w:rPr>
            </w:pPr>
            <w:r>
              <w:rPr>
                <w:rFonts w:ascii="Times New Roman" w:hAnsi="Times New Roman" w:eastAsia="Times New Roman" w:cs="Times New Roman"/>
                <w:spacing w:val="18"/>
                <w:sz w:val="20"/>
                <w:szCs w:val="20"/>
              </w:rPr>
              <w:t>1</w:t>
            </w:r>
            <w:r>
              <w:rPr>
                <w:rFonts w:ascii="宋体" w:hAnsi="宋体" w:eastAsia="宋体" w:cs="宋体"/>
                <w:spacing w:val="15"/>
                <w:sz w:val="20"/>
                <w:szCs w:val="20"/>
              </w:rPr>
              <w:t>)</w:t>
            </w:r>
            <w:r>
              <w:rPr>
                <w:rFonts w:ascii="宋体" w:hAnsi="宋体" w:eastAsia="宋体" w:cs="宋体"/>
                <w:spacing w:val="9"/>
                <w:sz w:val="20"/>
                <w:szCs w:val="20"/>
              </w:rPr>
              <w:t xml:space="preserve"> 陆地桥桩基础采用旋挖钻孔，施工时应严防塌孔，保证桩基础施工质量。成孔后</w:t>
            </w:r>
            <w:r>
              <w:rPr>
                <w:rFonts w:ascii="宋体" w:hAnsi="宋体" w:eastAsia="宋体" w:cs="宋体"/>
                <w:sz w:val="20"/>
                <w:szCs w:val="20"/>
              </w:rPr>
              <w:t xml:space="preserve"> </w:t>
            </w:r>
            <w:r>
              <w:rPr>
                <w:rFonts w:ascii="宋体" w:hAnsi="宋体" w:eastAsia="宋体" w:cs="宋体"/>
                <w:spacing w:val="12"/>
                <w:sz w:val="20"/>
                <w:szCs w:val="20"/>
              </w:rPr>
              <w:t>应</w:t>
            </w:r>
            <w:r>
              <w:rPr>
                <w:rFonts w:ascii="宋体" w:hAnsi="宋体" w:eastAsia="宋体" w:cs="宋体"/>
                <w:spacing w:val="6"/>
                <w:sz w:val="20"/>
                <w:szCs w:val="20"/>
              </w:rPr>
              <w:t xml:space="preserve">及时清孔，确保桩底沉渣厚度不超过 </w:t>
            </w:r>
            <w:r>
              <w:rPr>
                <w:rFonts w:ascii="Times New Roman" w:hAnsi="Times New Roman" w:eastAsia="Times New Roman" w:cs="Times New Roman"/>
                <w:spacing w:val="6"/>
                <w:sz w:val="20"/>
                <w:szCs w:val="20"/>
              </w:rPr>
              <w:t>5</w:t>
            </w:r>
            <w:r>
              <w:rPr>
                <w:rFonts w:ascii="Times New Roman" w:hAnsi="Times New Roman" w:eastAsia="Times New Roman" w:cs="Times New Roman"/>
                <w:sz w:val="20"/>
                <w:szCs w:val="20"/>
              </w:rPr>
              <w:t>cm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，不得采用加深钻孔深度的方式来代替清孔。</w:t>
            </w:r>
            <w:r>
              <w:rPr>
                <w:rFonts w:ascii="宋体" w:hAnsi="宋体" w:eastAsia="宋体" w:cs="宋体"/>
                <w:sz w:val="20"/>
                <w:szCs w:val="20"/>
              </w:rPr>
              <w:t xml:space="preserve"> </w:t>
            </w:r>
            <w:r>
              <w:rPr>
                <w:rFonts w:ascii="宋体" w:hAnsi="宋体" w:eastAsia="宋体" w:cs="宋体"/>
                <w:spacing w:val="12"/>
                <w:sz w:val="20"/>
                <w:szCs w:val="20"/>
              </w:rPr>
              <w:t>钻</w:t>
            </w:r>
            <w:r>
              <w:rPr>
                <w:rFonts w:ascii="宋体" w:hAnsi="宋体" w:eastAsia="宋体" w:cs="宋体"/>
                <w:spacing w:val="8"/>
                <w:sz w:val="20"/>
                <w:szCs w:val="20"/>
              </w:rPr>
              <w:t>孔</w:t>
            </w:r>
            <w:r>
              <w:rPr>
                <w:rFonts w:ascii="宋体" w:hAnsi="宋体" w:eastAsia="宋体" w:cs="宋体"/>
                <w:spacing w:val="6"/>
                <w:sz w:val="20"/>
                <w:szCs w:val="20"/>
              </w:rPr>
              <w:t>灌注桩施工方法为：施工准备</w:t>
            </w:r>
            <w:r>
              <w:rPr>
                <w:rFonts w:ascii="Times New Roman" w:hAnsi="Times New Roman" w:eastAsia="Times New Roman" w:cs="Times New Roman"/>
                <w:spacing w:val="6"/>
                <w:sz w:val="20"/>
                <w:szCs w:val="20"/>
              </w:rPr>
              <w:t>→</w:t>
            </w:r>
            <w:r>
              <w:rPr>
                <w:rFonts w:ascii="宋体" w:hAnsi="宋体" w:eastAsia="宋体" w:cs="宋体"/>
                <w:spacing w:val="6"/>
                <w:sz w:val="20"/>
                <w:szCs w:val="20"/>
              </w:rPr>
              <w:t>测量定位</w:t>
            </w:r>
            <w:r>
              <w:rPr>
                <w:rFonts w:ascii="Times New Roman" w:hAnsi="Times New Roman" w:eastAsia="Times New Roman" w:cs="Times New Roman"/>
                <w:spacing w:val="6"/>
                <w:sz w:val="20"/>
                <w:szCs w:val="20"/>
              </w:rPr>
              <w:t>→</w:t>
            </w:r>
            <w:r>
              <w:rPr>
                <w:rFonts w:ascii="宋体" w:hAnsi="宋体" w:eastAsia="宋体" w:cs="宋体"/>
                <w:spacing w:val="6"/>
                <w:sz w:val="20"/>
                <w:szCs w:val="20"/>
              </w:rPr>
              <w:t>护筒埋设</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设备安装</w:t>
            </w:r>
            <w:r>
              <w:rPr>
                <w:rFonts w:ascii="Times New Roman" w:hAnsi="Times New Roman" w:eastAsia="Times New Roman" w:cs="Times New Roman"/>
                <w:spacing w:val="6"/>
                <w:sz w:val="20"/>
                <w:szCs w:val="20"/>
              </w:rPr>
              <w:t>→</w:t>
            </w:r>
            <w:r>
              <w:rPr>
                <w:rFonts w:ascii="宋体" w:hAnsi="宋体" w:eastAsia="宋体" w:cs="宋体"/>
                <w:spacing w:val="6"/>
                <w:sz w:val="20"/>
                <w:szCs w:val="20"/>
              </w:rPr>
              <w:t>循环系统设置</w:t>
            </w:r>
            <w:r>
              <w:rPr>
                <w:rFonts w:ascii="Times New Roman" w:hAnsi="Times New Roman" w:eastAsia="Times New Roman" w:cs="Times New Roman"/>
                <w:spacing w:val="6"/>
                <w:sz w:val="20"/>
                <w:szCs w:val="20"/>
              </w:rPr>
              <w:t>→</w:t>
            </w:r>
            <w:r>
              <w:rPr>
                <w:rFonts w:ascii="宋体" w:hAnsi="宋体" w:eastAsia="宋体" w:cs="宋体"/>
                <w:spacing w:val="6"/>
                <w:sz w:val="20"/>
                <w:szCs w:val="20"/>
              </w:rPr>
              <w:t>钻</w:t>
            </w:r>
            <w:r>
              <w:rPr>
                <w:rFonts w:ascii="宋体" w:hAnsi="宋体" w:eastAsia="宋体" w:cs="宋体"/>
                <w:sz w:val="20"/>
                <w:szCs w:val="20"/>
              </w:rPr>
              <w:t xml:space="preserve"> </w:t>
            </w:r>
            <w:r>
              <w:rPr>
                <w:rFonts w:ascii="宋体" w:hAnsi="宋体" w:eastAsia="宋体" w:cs="宋体"/>
                <w:spacing w:val="5"/>
                <w:sz w:val="20"/>
                <w:szCs w:val="20"/>
              </w:rPr>
              <w:t>进成孔</w:t>
            </w:r>
            <w:r>
              <w:rPr>
                <w:rFonts w:ascii="Times New Roman" w:hAnsi="Times New Roman" w:eastAsia="Times New Roman" w:cs="Times New Roman"/>
                <w:spacing w:val="5"/>
                <w:sz w:val="20"/>
                <w:szCs w:val="20"/>
              </w:rPr>
              <w:t>→</w:t>
            </w:r>
            <w:r>
              <w:rPr>
                <w:rFonts w:ascii="宋体" w:hAnsi="宋体" w:eastAsia="宋体" w:cs="宋体"/>
                <w:spacing w:val="5"/>
                <w:sz w:val="20"/>
                <w:szCs w:val="20"/>
              </w:rPr>
              <w:t>清孔并检查成孔质量</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下放钢筋笼</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灌注混凝土</w:t>
            </w:r>
            <w:r>
              <w:rPr>
                <w:rFonts w:ascii="Times New Roman" w:hAnsi="Times New Roman" w:eastAsia="Times New Roman" w:cs="Times New Roman"/>
                <w:spacing w:val="5"/>
                <w:sz w:val="20"/>
                <w:szCs w:val="20"/>
              </w:rPr>
              <w:t>→</w:t>
            </w:r>
            <w:r>
              <w:rPr>
                <w:rFonts w:ascii="宋体" w:hAnsi="宋体" w:eastAsia="宋体" w:cs="宋体"/>
                <w:spacing w:val="5"/>
                <w:sz w:val="20"/>
                <w:szCs w:val="20"/>
              </w:rPr>
              <w:t>拔出护筒</w:t>
            </w:r>
            <w:r>
              <w:rPr>
                <w:rFonts w:ascii="Times New Roman" w:hAnsi="Times New Roman" w:eastAsia="Times New Roman" w:cs="Times New Roman"/>
                <w:spacing w:val="5"/>
                <w:sz w:val="20"/>
                <w:szCs w:val="20"/>
              </w:rPr>
              <w:t>→</w:t>
            </w:r>
            <w:r>
              <w:rPr>
                <w:rFonts w:ascii="宋体" w:hAnsi="宋体" w:eastAsia="宋体" w:cs="宋体"/>
                <w:spacing w:val="5"/>
                <w:sz w:val="20"/>
                <w:szCs w:val="20"/>
              </w:rPr>
              <w:t>检查质量。施</w:t>
            </w:r>
            <w:r>
              <w:rPr>
                <w:rFonts w:ascii="宋体" w:hAnsi="宋体" w:eastAsia="宋体" w:cs="宋体"/>
                <w:spacing w:val="3"/>
                <w:sz w:val="20"/>
                <w:szCs w:val="20"/>
              </w:rPr>
              <w:t>工</w:t>
            </w:r>
            <w:r>
              <w:rPr>
                <w:rFonts w:ascii="宋体" w:hAnsi="宋体" w:eastAsia="宋体" w:cs="宋体"/>
                <w:sz w:val="20"/>
                <w:szCs w:val="20"/>
              </w:rPr>
              <w:t xml:space="preserve">中 </w:t>
            </w:r>
            <w:r>
              <w:rPr>
                <w:rFonts w:ascii="宋体" w:hAnsi="宋体" w:eastAsia="宋体" w:cs="宋体"/>
                <w:spacing w:val="14"/>
                <w:sz w:val="20"/>
                <w:szCs w:val="20"/>
              </w:rPr>
              <w:t>泥浆反</w:t>
            </w:r>
            <w:r>
              <w:rPr>
                <w:rFonts w:ascii="宋体" w:hAnsi="宋体" w:eastAsia="宋体" w:cs="宋体"/>
                <w:spacing w:val="9"/>
                <w:sz w:val="20"/>
                <w:szCs w:val="20"/>
              </w:rPr>
              <w:t>复</w:t>
            </w:r>
            <w:r>
              <w:rPr>
                <w:rFonts w:ascii="宋体" w:hAnsi="宋体" w:eastAsia="宋体" w:cs="宋体"/>
                <w:spacing w:val="7"/>
                <w:sz w:val="20"/>
                <w:szCs w:val="20"/>
              </w:rPr>
              <w:t>循环利用，在桩位埋设护筒，工程占地范围内设泥浆池、沉淀池，钻渣泥浆通过</w:t>
            </w:r>
            <w:r>
              <w:rPr>
                <w:rFonts w:ascii="宋体" w:hAnsi="宋体" w:eastAsia="宋体" w:cs="宋体"/>
                <w:sz w:val="20"/>
                <w:szCs w:val="20"/>
              </w:rPr>
              <w:t xml:space="preserve"> </w:t>
            </w:r>
            <w:r>
              <w:rPr>
                <w:rFonts w:ascii="宋体" w:hAnsi="宋体" w:eastAsia="宋体" w:cs="宋体"/>
                <w:spacing w:val="14"/>
                <w:sz w:val="20"/>
                <w:szCs w:val="20"/>
              </w:rPr>
              <w:t>管道流</w:t>
            </w:r>
            <w:r>
              <w:rPr>
                <w:rFonts w:ascii="宋体" w:hAnsi="宋体" w:eastAsia="宋体" w:cs="宋体"/>
                <w:spacing w:val="11"/>
                <w:sz w:val="20"/>
                <w:szCs w:val="20"/>
              </w:rPr>
              <w:t>入</w:t>
            </w:r>
            <w:r>
              <w:rPr>
                <w:rFonts w:ascii="宋体" w:hAnsi="宋体" w:eastAsia="宋体" w:cs="宋体"/>
                <w:spacing w:val="7"/>
                <w:sz w:val="20"/>
                <w:szCs w:val="20"/>
              </w:rPr>
              <w:t>沉淀池沉降，分离处理的泥浆循环利用，钻渣置于沉淀池固化处理，最终运至政</w:t>
            </w:r>
          </w:p>
        </w:tc>
      </w:tr>
    </w:tbl>
    <w:p>
      <w:pPr>
        <w:spacing w:line="153" w:lineRule="exact"/>
        <w:rPr>
          <w:rFonts w:ascii="Arial"/>
          <w:sz w:val="13"/>
        </w:rPr>
      </w:pPr>
    </w:p>
    <w:p>
      <w:pPr>
        <w:sectPr>
          <w:footerReference r:id="rId51" w:type="default"/>
          <w:pgSz w:w="11906" w:h="16839"/>
          <w:pgMar w:top="400" w:right="1487" w:bottom="1475" w:left="1486" w:header="0" w:footer="1315" w:gutter="0"/>
          <w:cols w:space="720" w:num="1"/>
        </w:sectPr>
      </w:pPr>
    </w:p>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8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12" w:hRule="atLeast"/>
        </w:trPr>
        <w:tc>
          <w:tcPr>
            <w:tcW w:w="600" w:type="dxa"/>
            <w:tcBorders>
              <w:left w:val="single" w:color="00000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65" w:lineRule="auto"/>
              <w:ind w:left="88" w:right="89" w:hanging="1"/>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施工</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方</w:t>
            </w:r>
            <w:r>
              <w:rPr>
                <w:rFonts w:ascii="宋体" w:hAnsi="宋体" w:eastAsia="宋体" w:cs="宋体"/>
                <w:spacing w:val="5"/>
                <w:sz w:val="20"/>
                <w:szCs w:val="20"/>
                <w14:textOutline w14:w="3795" w14:cap="sq" w14:cmpd="sng">
                  <w14:solidFill>
                    <w14:srgbClr w14:val="000000"/>
                  </w14:solidFill>
                  <w14:prstDash w14:val="solid"/>
                  <w14:bevel/>
                </w14:textOutline>
              </w:rPr>
              <w:t>案</w:t>
            </w:r>
          </w:p>
        </w:tc>
        <w:tc>
          <w:tcPr>
            <w:tcW w:w="8317" w:type="dxa"/>
            <w:tcBorders>
              <w:right w:val="single" w:color="000000" w:sz="6" w:space="0"/>
            </w:tcBorders>
            <w:vAlign w:val="top"/>
          </w:tcPr>
          <w:p>
            <w:pPr>
              <w:spacing w:before="154" w:line="227" w:lineRule="auto"/>
              <w:ind w:left="106"/>
              <w:rPr>
                <w:rFonts w:ascii="宋体" w:hAnsi="宋体" w:eastAsia="宋体" w:cs="宋体"/>
                <w:sz w:val="20"/>
                <w:szCs w:val="20"/>
              </w:rPr>
            </w:pPr>
            <w:r>
              <w:rPr>
                <w:rFonts w:ascii="宋体" w:hAnsi="宋体" w:eastAsia="宋体" w:cs="宋体"/>
                <w:spacing w:val="8"/>
                <w:sz w:val="20"/>
                <w:szCs w:val="20"/>
              </w:rPr>
              <w:t>府指定建渣场处置</w:t>
            </w:r>
            <w:r>
              <w:rPr>
                <w:rFonts w:ascii="宋体" w:hAnsi="宋体" w:eastAsia="宋体" w:cs="宋体"/>
                <w:spacing w:val="6"/>
                <w:sz w:val="20"/>
                <w:szCs w:val="20"/>
              </w:rPr>
              <w:t>。</w:t>
            </w:r>
          </w:p>
          <w:p>
            <w:pPr>
              <w:spacing w:before="14" w:line="9691" w:lineRule="exact"/>
              <w:ind w:firstLine="867"/>
              <w:textAlignment w:val="center"/>
            </w:pPr>
            <w:r>
              <w:drawing>
                <wp:inline distT="0" distB="0" distL="0" distR="0">
                  <wp:extent cx="4157345" cy="615378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216"/>
                          <a:stretch>
                            <a:fillRect/>
                          </a:stretch>
                        </pic:blipFill>
                        <pic:spPr>
                          <a:xfrm>
                            <a:off x="0" y="0"/>
                            <a:ext cx="4157471" cy="6153911"/>
                          </a:xfrm>
                          <a:prstGeom prst="rect">
                            <a:avLst/>
                          </a:prstGeom>
                        </pic:spPr>
                      </pic:pic>
                    </a:graphicData>
                  </a:graphic>
                </wp:inline>
              </w:drawing>
            </w:r>
          </w:p>
          <w:p>
            <w:pPr>
              <w:spacing w:before="60" w:line="231" w:lineRule="auto"/>
              <w:ind w:left="2771"/>
              <w:rPr>
                <w:rFonts w:ascii="黑体" w:hAnsi="黑体" w:eastAsia="黑体" w:cs="黑体"/>
                <w:sz w:val="19"/>
                <w:szCs w:val="19"/>
              </w:rPr>
            </w:pPr>
            <w:r>
              <w:rPr>
                <w:rFonts w:ascii="黑体" w:hAnsi="黑体" w:eastAsia="黑体" w:cs="黑体"/>
                <w:spacing w:val="9"/>
                <w:sz w:val="19"/>
                <w:szCs w:val="19"/>
              </w:rPr>
              <w:t>图</w:t>
            </w:r>
            <w:r>
              <w:rPr>
                <w:rFonts w:ascii="Times New Roman" w:hAnsi="Times New Roman" w:eastAsia="Times New Roman" w:cs="Times New Roman"/>
                <w:spacing w:val="8"/>
                <w:sz w:val="19"/>
                <w:szCs w:val="19"/>
              </w:rPr>
              <w:t>28</w:t>
            </w:r>
            <w:r>
              <w:rPr>
                <w:rFonts w:ascii="黑体" w:hAnsi="黑体" w:eastAsia="黑体" w:cs="黑体"/>
                <w:spacing w:val="8"/>
                <w:sz w:val="19"/>
                <w:szCs w:val="19"/>
              </w:rPr>
              <w:t>：地面桥墩施工工艺流程图</w:t>
            </w:r>
          </w:p>
          <w:p>
            <w:pPr>
              <w:spacing w:before="132" w:line="369" w:lineRule="auto"/>
              <w:ind w:left="106" w:right="102" w:firstLine="417"/>
              <w:rPr>
                <w:rFonts w:ascii="宋体" w:hAnsi="宋体" w:eastAsia="宋体" w:cs="宋体"/>
                <w:sz w:val="20"/>
                <w:szCs w:val="20"/>
              </w:rPr>
            </w:pPr>
            <w:r>
              <w:rPr>
                <w:rFonts w:ascii="Times New Roman" w:hAnsi="Times New Roman" w:eastAsia="Times New Roman" w:cs="Times New Roman"/>
                <w:spacing w:val="10"/>
                <w:sz w:val="20"/>
                <w:szCs w:val="20"/>
              </w:rPr>
              <w:t>2</w:t>
            </w:r>
            <w:r>
              <w:rPr>
                <w:rFonts w:ascii="宋体" w:hAnsi="宋体" w:eastAsia="宋体" w:cs="宋体"/>
                <w:spacing w:val="10"/>
                <w:sz w:val="20"/>
                <w:szCs w:val="20"/>
              </w:rPr>
              <w:t>) 涉水桥墩一般施工工序为：搭建施工平台</w:t>
            </w:r>
            <w:r>
              <w:rPr>
                <w:rFonts w:ascii="Times New Roman" w:hAnsi="Times New Roman" w:eastAsia="Times New Roman" w:cs="Times New Roman"/>
                <w:spacing w:val="10"/>
                <w:sz w:val="20"/>
                <w:szCs w:val="20"/>
              </w:rPr>
              <w:t>—</w:t>
            </w:r>
            <w:r>
              <w:rPr>
                <w:rFonts w:ascii="宋体" w:hAnsi="宋体" w:eastAsia="宋体" w:cs="宋体"/>
                <w:spacing w:val="10"/>
                <w:sz w:val="20"/>
                <w:szCs w:val="20"/>
              </w:rPr>
              <w:t>基础施工</w:t>
            </w:r>
            <w:r>
              <w:rPr>
                <w:rFonts w:ascii="Times New Roman" w:hAnsi="Times New Roman" w:eastAsia="Times New Roman" w:cs="Times New Roman"/>
                <w:spacing w:val="10"/>
                <w:sz w:val="20"/>
                <w:szCs w:val="20"/>
              </w:rPr>
              <w:t>—</w:t>
            </w:r>
            <w:r>
              <w:rPr>
                <w:rFonts w:ascii="宋体" w:hAnsi="宋体" w:eastAsia="宋体" w:cs="宋体"/>
                <w:spacing w:val="10"/>
                <w:sz w:val="20"/>
                <w:szCs w:val="20"/>
              </w:rPr>
              <w:t>桥梁上部构造施工。涉</w:t>
            </w:r>
            <w:r>
              <w:rPr>
                <w:rFonts w:ascii="宋体" w:hAnsi="宋体" w:eastAsia="宋体" w:cs="宋体"/>
                <w:spacing w:val="8"/>
                <w:sz w:val="20"/>
                <w:szCs w:val="20"/>
              </w:rPr>
              <w:t>水</w:t>
            </w:r>
            <w:r>
              <w:rPr>
                <w:rFonts w:ascii="宋体" w:hAnsi="宋体" w:eastAsia="宋体" w:cs="宋体"/>
                <w:sz w:val="20"/>
                <w:szCs w:val="20"/>
              </w:rPr>
              <w:t xml:space="preserve"> </w:t>
            </w:r>
            <w:r>
              <w:rPr>
                <w:rFonts w:ascii="宋体" w:hAnsi="宋体" w:eastAsia="宋体" w:cs="宋体"/>
                <w:spacing w:val="14"/>
                <w:sz w:val="20"/>
                <w:szCs w:val="20"/>
              </w:rPr>
              <w:t>桥墩在</w:t>
            </w:r>
            <w:r>
              <w:rPr>
                <w:rFonts w:ascii="宋体" w:hAnsi="宋体" w:eastAsia="宋体" w:cs="宋体"/>
                <w:spacing w:val="8"/>
                <w:sz w:val="20"/>
                <w:szCs w:val="20"/>
              </w:rPr>
              <w:t>实</w:t>
            </w:r>
            <w:r>
              <w:rPr>
                <w:rFonts w:ascii="宋体" w:hAnsi="宋体" w:eastAsia="宋体" w:cs="宋体"/>
                <w:spacing w:val="7"/>
                <w:sz w:val="20"/>
                <w:szCs w:val="20"/>
              </w:rPr>
              <w:t>施时根据河流水深、流速及距离河岸位置选用围堰施工，一次性做好施工范围的</w:t>
            </w:r>
            <w:r>
              <w:rPr>
                <w:rFonts w:ascii="宋体" w:hAnsi="宋体" w:eastAsia="宋体" w:cs="宋体"/>
                <w:sz w:val="20"/>
                <w:szCs w:val="20"/>
              </w:rPr>
              <w:t xml:space="preserve"> </w:t>
            </w:r>
            <w:r>
              <w:rPr>
                <w:rFonts w:ascii="宋体" w:hAnsi="宋体" w:eastAsia="宋体" w:cs="宋体"/>
                <w:spacing w:val="14"/>
                <w:sz w:val="20"/>
                <w:szCs w:val="20"/>
              </w:rPr>
              <w:t>围堰。</w:t>
            </w:r>
            <w:r>
              <w:rPr>
                <w:rFonts w:ascii="宋体" w:hAnsi="宋体" w:eastAsia="宋体" w:cs="宋体"/>
                <w:spacing w:val="10"/>
                <w:sz w:val="20"/>
                <w:szCs w:val="20"/>
              </w:rPr>
              <w:t>钢</w:t>
            </w:r>
            <w:r>
              <w:rPr>
                <w:rFonts w:ascii="宋体" w:hAnsi="宋体" w:eastAsia="宋体" w:cs="宋体"/>
                <w:spacing w:val="7"/>
                <w:sz w:val="20"/>
                <w:szCs w:val="20"/>
              </w:rPr>
              <w:t>围堰施工首先要确定围堰几何尺寸，围堰水平尺寸根据承台的水平几何尺寸再加</w:t>
            </w:r>
            <w:r>
              <w:rPr>
                <w:rFonts w:ascii="宋体" w:hAnsi="宋体" w:eastAsia="宋体" w:cs="宋体"/>
                <w:sz w:val="20"/>
                <w:szCs w:val="20"/>
              </w:rPr>
              <w:t xml:space="preserve"> </w:t>
            </w:r>
            <w:r>
              <w:rPr>
                <w:rFonts w:ascii="宋体" w:hAnsi="宋体" w:eastAsia="宋体" w:cs="宋体"/>
                <w:spacing w:val="18"/>
                <w:sz w:val="20"/>
                <w:szCs w:val="20"/>
              </w:rPr>
              <w:t>上各边</w:t>
            </w:r>
            <w:r>
              <w:rPr>
                <w:rFonts w:ascii="宋体" w:hAnsi="宋体" w:eastAsia="宋体" w:cs="宋体"/>
                <w:spacing w:val="11"/>
                <w:sz w:val="20"/>
                <w:szCs w:val="20"/>
              </w:rPr>
              <w:t xml:space="preserve"> </w:t>
            </w:r>
            <w:r>
              <w:rPr>
                <w:rFonts w:ascii="Times New Roman" w:hAnsi="Times New Roman" w:eastAsia="Times New Roman" w:cs="Times New Roman"/>
                <w:spacing w:val="9"/>
                <w:sz w:val="20"/>
                <w:szCs w:val="20"/>
              </w:rPr>
              <w:t>0.6</w:t>
            </w:r>
            <w:r>
              <w:rPr>
                <w:rFonts w:ascii="宋体" w:hAnsi="宋体" w:eastAsia="宋体" w:cs="宋体"/>
                <w:spacing w:val="9"/>
                <w:sz w:val="20"/>
                <w:szCs w:val="20"/>
              </w:rPr>
              <w:t>~</w:t>
            </w:r>
            <w:r>
              <w:rPr>
                <w:rFonts w:ascii="Times New Roman" w:hAnsi="Times New Roman" w:eastAsia="Times New Roman" w:cs="Times New Roman"/>
                <w:spacing w:val="9"/>
                <w:sz w:val="20"/>
                <w:szCs w:val="20"/>
              </w:rPr>
              <w:t>0.8</w:t>
            </w:r>
            <w:r>
              <w:rPr>
                <w:rFonts w:ascii="Times New Roman" w:hAnsi="Times New Roman" w:eastAsia="Times New Roman" w:cs="Times New Roman"/>
                <w:sz w:val="20"/>
                <w:szCs w:val="20"/>
              </w:rPr>
              <w:t>m</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 xml:space="preserve">的操作宽度确定；竖向尺寸根据水深确定，并考虑 </w:t>
            </w:r>
            <w:r>
              <w:rPr>
                <w:rFonts w:ascii="Times New Roman" w:hAnsi="Times New Roman" w:eastAsia="Times New Roman" w:cs="Times New Roman"/>
                <w:spacing w:val="9"/>
                <w:sz w:val="20"/>
                <w:szCs w:val="20"/>
              </w:rPr>
              <w:t>0.5</w:t>
            </w:r>
            <w:r>
              <w:rPr>
                <w:rFonts w:ascii="Times New Roman" w:hAnsi="Times New Roman" w:eastAsia="Times New Roman" w:cs="Times New Roman"/>
                <w:sz w:val="20"/>
                <w:szCs w:val="20"/>
              </w:rPr>
              <w:t>m</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的超高和不小</w:t>
            </w:r>
            <w:r>
              <w:rPr>
                <w:rFonts w:ascii="宋体" w:hAnsi="宋体" w:eastAsia="宋体" w:cs="宋体"/>
                <w:sz w:val="20"/>
                <w:szCs w:val="20"/>
              </w:rPr>
              <w:t xml:space="preserve"> </w:t>
            </w:r>
            <w:r>
              <w:rPr>
                <w:rFonts w:ascii="宋体" w:hAnsi="宋体" w:eastAsia="宋体" w:cs="宋体"/>
                <w:spacing w:val="16"/>
                <w:sz w:val="20"/>
                <w:szCs w:val="20"/>
              </w:rPr>
              <w:t>于</w:t>
            </w:r>
            <w:r>
              <w:rPr>
                <w:rFonts w:ascii="宋体" w:hAnsi="宋体" w:eastAsia="宋体" w:cs="宋体"/>
                <w:spacing w:val="13"/>
                <w:sz w:val="20"/>
                <w:szCs w:val="20"/>
              </w:rPr>
              <w:t xml:space="preserve"> </w:t>
            </w:r>
            <w:r>
              <w:rPr>
                <w:rFonts w:ascii="Times New Roman" w:hAnsi="Times New Roman" w:eastAsia="Times New Roman" w:cs="Times New Roman"/>
                <w:spacing w:val="8"/>
                <w:sz w:val="20"/>
                <w:szCs w:val="20"/>
              </w:rPr>
              <w:t>0.5</w:t>
            </w:r>
            <w:r>
              <w:rPr>
                <w:rFonts w:ascii="Times New Roman" w:hAnsi="Times New Roman" w:eastAsia="Times New Roman" w:cs="Times New Roman"/>
                <w:sz w:val="20"/>
                <w:szCs w:val="20"/>
              </w:rPr>
              <w:t>m</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的埋深。尺寸确定后在施工场地进行放样、制作，在场外加工结束后，需进行现</w:t>
            </w:r>
            <w:r>
              <w:rPr>
                <w:rFonts w:ascii="宋体" w:hAnsi="宋体" w:eastAsia="宋体" w:cs="宋体"/>
                <w:sz w:val="20"/>
                <w:szCs w:val="20"/>
              </w:rPr>
              <w:t xml:space="preserve"> </w:t>
            </w:r>
            <w:r>
              <w:rPr>
                <w:rFonts w:ascii="宋体" w:hAnsi="宋体" w:eastAsia="宋体" w:cs="宋体"/>
                <w:spacing w:val="14"/>
                <w:sz w:val="20"/>
                <w:szCs w:val="20"/>
              </w:rPr>
              <w:t>场吊装</w:t>
            </w:r>
            <w:r>
              <w:rPr>
                <w:rFonts w:ascii="宋体" w:hAnsi="宋体" w:eastAsia="宋体" w:cs="宋体"/>
                <w:spacing w:val="8"/>
                <w:sz w:val="20"/>
                <w:szCs w:val="20"/>
              </w:rPr>
              <w:t>就</w:t>
            </w:r>
            <w:r>
              <w:rPr>
                <w:rFonts w:ascii="宋体" w:hAnsi="宋体" w:eastAsia="宋体" w:cs="宋体"/>
                <w:spacing w:val="7"/>
                <w:sz w:val="20"/>
                <w:szCs w:val="20"/>
              </w:rPr>
              <w:t>位，就位之前应整平水下地基槽，以利于围堰平稳均衡下沉，使承台四周的施工</w:t>
            </w:r>
            <w:r>
              <w:rPr>
                <w:rFonts w:ascii="宋体" w:hAnsi="宋体" w:eastAsia="宋体" w:cs="宋体"/>
                <w:sz w:val="20"/>
                <w:szCs w:val="20"/>
              </w:rPr>
              <w:t xml:space="preserve"> </w:t>
            </w:r>
            <w:r>
              <w:rPr>
                <w:rFonts w:ascii="宋体" w:hAnsi="宋体" w:eastAsia="宋体" w:cs="宋体"/>
                <w:spacing w:val="14"/>
                <w:sz w:val="20"/>
                <w:szCs w:val="20"/>
              </w:rPr>
              <w:t>空间达</w:t>
            </w:r>
            <w:r>
              <w:rPr>
                <w:rFonts w:ascii="宋体" w:hAnsi="宋体" w:eastAsia="宋体" w:cs="宋体"/>
                <w:spacing w:val="10"/>
                <w:sz w:val="20"/>
                <w:szCs w:val="20"/>
              </w:rPr>
              <w:t>到</w:t>
            </w:r>
            <w:r>
              <w:rPr>
                <w:rFonts w:ascii="宋体" w:hAnsi="宋体" w:eastAsia="宋体" w:cs="宋体"/>
                <w:spacing w:val="7"/>
                <w:sz w:val="20"/>
                <w:szCs w:val="20"/>
              </w:rPr>
              <w:t>均衡。围堰下沉就位后，要在其内填入一定高度的土料和滤层，填入的土料一般</w:t>
            </w:r>
          </w:p>
          <w:p>
            <w:pPr>
              <w:spacing w:line="227" w:lineRule="auto"/>
              <w:ind w:left="131"/>
              <w:rPr>
                <w:rFonts w:ascii="宋体" w:hAnsi="宋体" w:eastAsia="宋体" w:cs="宋体"/>
                <w:sz w:val="20"/>
                <w:szCs w:val="20"/>
              </w:rPr>
            </w:pPr>
            <w:r>
              <w:rPr>
                <w:rFonts w:ascii="宋体" w:hAnsi="宋体" w:eastAsia="宋体" w:cs="宋体"/>
                <w:spacing w:val="7"/>
                <w:sz w:val="20"/>
                <w:szCs w:val="20"/>
              </w:rPr>
              <w:t xml:space="preserve">以粉质黏土为宜，有条件的还可以对土略加夯实。土料填完平整后，在其上加 </w:t>
            </w:r>
            <w:r>
              <w:rPr>
                <w:rFonts w:ascii="Times New Roman" w:hAnsi="Times New Roman" w:eastAsia="Times New Roman" w:cs="Times New Roman"/>
                <w:spacing w:val="7"/>
                <w:sz w:val="20"/>
                <w:szCs w:val="20"/>
              </w:rPr>
              <w:t>30</w:t>
            </w:r>
            <w:r>
              <w:rPr>
                <w:rFonts w:ascii="Times New Roman" w:hAnsi="Times New Roman" w:eastAsia="Times New Roman" w:cs="Times New Roman"/>
                <w:sz w:val="20"/>
                <w:szCs w:val="20"/>
              </w:rPr>
              <w:t>cm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厚</w:t>
            </w:r>
            <w:r>
              <w:rPr>
                <w:rFonts w:ascii="宋体" w:hAnsi="宋体" w:eastAsia="宋体" w:cs="宋体"/>
                <w:spacing w:val="3"/>
                <w:sz w:val="20"/>
                <w:szCs w:val="20"/>
              </w:rPr>
              <w:t>的</w:t>
            </w:r>
          </w:p>
        </w:tc>
      </w:tr>
    </w:tbl>
    <w:p>
      <w:pPr>
        <w:spacing w:line="153" w:lineRule="exact"/>
        <w:rPr>
          <w:rFonts w:ascii="Arial"/>
          <w:sz w:val="13"/>
        </w:rPr>
      </w:pPr>
    </w:p>
    <w:p>
      <w:pPr>
        <w:sectPr>
          <w:footerReference r:id="rId52" w:type="default"/>
          <w:pgSz w:w="11906" w:h="16839"/>
          <w:pgMar w:top="400" w:right="1487" w:bottom="1475" w:left="1486" w:header="0" w:footer="1315" w:gutter="0"/>
          <w:cols w:space="720" w:num="1"/>
        </w:sectPr>
      </w:pPr>
    </w:p>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8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12" w:hRule="atLeast"/>
        </w:trPr>
        <w:tc>
          <w:tcPr>
            <w:tcW w:w="600" w:type="dxa"/>
            <w:tcBorders>
              <w:left w:val="single" w:color="00000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65" w:lineRule="auto"/>
              <w:ind w:left="88" w:right="89" w:hanging="1"/>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施工</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方</w:t>
            </w:r>
            <w:r>
              <w:rPr>
                <w:rFonts w:ascii="宋体" w:hAnsi="宋体" w:eastAsia="宋体" w:cs="宋体"/>
                <w:spacing w:val="5"/>
                <w:sz w:val="20"/>
                <w:szCs w:val="20"/>
                <w14:textOutline w14:w="3795" w14:cap="sq" w14:cmpd="sng">
                  <w14:solidFill>
                    <w14:srgbClr w14:val="000000"/>
                  </w14:solidFill>
                  <w14:prstDash w14:val="solid"/>
                  <w14:bevel/>
                </w14:textOutline>
              </w:rPr>
              <w:t>案</w:t>
            </w:r>
          </w:p>
        </w:tc>
        <w:tc>
          <w:tcPr>
            <w:tcW w:w="8317" w:type="dxa"/>
            <w:tcBorders>
              <w:right w:val="single" w:color="000000" w:sz="6" w:space="0"/>
            </w:tcBorders>
            <w:vAlign w:val="top"/>
          </w:tcPr>
          <w:p>
            <w:pPr>
              <w:spacing w:before="151" w:line="370" w:lineRule="auto"/>
              <w:ind w:left="106" w:right="69"/>
              <w:rPr>
                <w:rFonts w:ascii="宋体" w:hAnsi="宋体" w:eastAsia="宋体" w:cs="宋体"/>
                <w:sz w:val="20"/>
                <w:szCs w:val="20"/>
              </w:rPr>
            </w:pPr>
            <w:r>
              <w:rPr>
                <w:rFonts w:ascii="宋体" w:hAnsi="宋体" w:eastAsia="宋体" w:cs="宋体"/>
                <w:spacing w:val="14"/>
                <w:sz w:val="20"/>
                <w:szCs w:val="20"/>
              </w:rPr>
              <w:t>黄砂</w:t>
            </w:r>
            <w:r>
              <w:rPr>
                <w:rFonts w:ascii="宋体" w:hAnsi="宋体" w:eastAsia="宋体" w:cs="宋体"/>
                <w:spacing w:val="13"/>
                <w:sz w:val="20"/>
                <w:szCs w:val="20"/>
              </w:rPr>
              <w:t>，</w:t>
            </w:r>
            <w:r>
              <w:rPr>
                <w:rFonts w:ascii="宋体" w:hAnsi="宋体" w:eastAsia="宋体" w:cs="宋体"/>
                <w:spacing w:val="7"/>
                <w:sz w:val="20"/>
                <w:szCs w:val="20"/>
              </w:rPr>
              <w:t xml:space="preserve">最后填入 </w:t>
            </w:r>
            <w:r>
              <w:rPr>
                <w:rFonts w:ascii="Times New Roman" w:hAnsi="Times New Roman" w:eastAsia="Times New Roman" w:cs="Times New Roman"/>
                <w:spacing w:val="7"/>
                <w:sz w:val="20"/>
                <w:szCs w:val="20"/>
              </w:rPr>
              <w:t>30</w:t>
            </w:r>
            <w:r>
              <w:rPr>
                <w:rFonts w:ascii="Times New Roman" w:hAnsi="Times New Roman" w:eastAsia="Times New Roman" w:cs="Times New Roman"/>
                <w:sz w:val="20"/>
                <w:szCs w:val="20"/>
              </w:rPr>
              <w:t>cm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厚的碎石。土料填筑顶面的高程根据承台底立模的高度确定。工作</w:t>
            </w:r>
            <w:r>
              <w:rPr>
                <w:rFonts w:ascii="宋体" w:hAnsi="宋体" w:eastAsia="宋体" w:cs="宋体"/>
                <w:sz w:val="20"/>
                <w:szCs w:val="20"/>
              </w:rPr>
              <w:t xml:space="preserve"> </w:t>
            </w:r>
            <w:r>
              <w:rPr>
                <w:rFonts w:ascii="宋体" w:hAnsi="宋体" w:eastAsia="宋体" w:cs="宋体"/>
                <w:spacing w:val="14"/>
                <w:sz w:val="20"/>
                <w:szCs w:val="20"/>
              </w:rPr>
              <w:t>平台形</w:t>
            </w:r>
            <w:r>
              <w:rPr>
                <w:rFonts w:ascii="宋体" w:hAnsi="宋体" w:eastAsia="宋体" w:cs="宋体"/>
                <w:spacing w:val="10"/>
                <w:sz w:val="20"/>
                <w:szCs w:val="20"/>
              </w:rPr>
              <w:t>成</w:t>
            </w:r>
            <w:r>
              <w:rPr>
                <w:rFonts w:ascii="宋体" w:hAnsi="宋体" w:eastAsia="宋体" w:cs="宋体"/>
                <w:spacing w:val="7"/>
                <w:sz w:val="20"/>
                <w:szCs w:val="20"/>
              </w:rPr>
              <w:t>后，需在河岸适当位置设置泥浆调节池，用于观测钻渣情况。在填料过程中，若</w:t>
            </w:r>
            <w:r>
              <w:rPr>
                <w:rFonts w:ascii="宋体" w:hAnsi="宋体" w:eastAsia="宋体" w:cs="宋体"/>
                <w:sz w:val="20"/>
                <w:szCs w:val="20"/>
              </w:rPr>
              <w:t xml:space="preserve"> </w:t>
            </w:r>
            <w:r>
              <w:rPr>
                <w:rFonts w:ascii="宋体" w:hAnsi="宋体" w:eastAsia="宋体" w:cs="宋体"/>
                <w:spacing w:val="16"/>
                <w:sz w:val="20"/>
                <w:szCs w:val="20"/>
              </w:rPr>
              <w:t>围内</w:t>
            </w:r>
            <w:r>
              <w:rPr>
                <w:rFonts w:ascii="宋体" w:hAnsi="宋体" w:eastAsia="宋体" w:cs="宋体"/>
                <w:spacing w:val="10"/>
                <w:sz w:val="20"/>
                <w:szCs w:val="20"/>
              </w:rPr>
              <w:t>水</w:t>
            </w:r>
            <w:r>
              <w:rPr>
                <w:rFonts w:ascii="宋体" w:hAnsi="宋体" w:eastAsia="宋体" w:cs="宋体"/>
                <w:spacing w:val="8"/>
                <w:sz w:val="20"/>
                <w:szCs w:val="20"/>
              </w:rPr>
              <w:t>位上升太高，应及时排除，以减少水位差，避免引起反穿孔，在整个滤层填完后，</w:t>
            </w:r>
            <w:r>
              <w:rPr>
                <w:rFonts w:ascii="宋体" w:hAnsi="宋体" w:eastAsia="宋体" w:cs="宋体"/>
                <w:sz w:val="20"/>
                <w:szCs w:val="20"/>
              </w:rPr>
              <w:t xml:space="preserve"> </w:t>
            </w:r>
            <w:r>
              <w:rPr>
                <w:rFonts w:ascii="宋体" w:hAnsi="宋体" w:eastAsia="宋体" w:cs="宋体"/>
                <w:spacing w:val="14"/>
                <w:sz w:val="20"/>
                <w:szCs w:val="20"/>
              </w:rPr>
              <w:t>才可减</w:t>
            </w:r>
            <w:r>
              <w:rPr>
                <w:rFonts w:ascii="宋体" w:hAnsi="宋体" w:eastAsia="宋体" w:cs="宋体"/>
                <w:spacing w:val="10"/>
                <w:sz w:val="20"/>
                <w:szCs w:val="20"/>
              </w:rPr>
              <w:t>低</w:t>
            </w:r>
            <w:r>
              <w:rPr>
                <w:rFonts w:ascii="宋体" w:hAnsi="宋体" w:eastAsia="宋体" w:cs="宋体"/>
                <w:spacing w:val="7"/>
                <w:sz w:val="20"/>
                <w:szCs w:val="20"/>
              </w:rPr>
              <w:t>堰内水位，否则也有可能引起穿孔。在承台的施工过程中，仍要配置水泵进行渗</w:t>
            </w:r>
            <w:r>
              <w:rPr>
                <w:rFonts w:ascii="宋体" w:hAnsi="宋体" w:eastAsia="宋体" w:cs="宋体"/>
                <w:sz w:val="20"/>
                <w:szCs w:val="20"/>
              </w:rPr>
              <w:t xml:space="preserve"> </w:t>
            </w:r>
            <w:r>
              <w:rPr>
                <w:rFonts w:ascii="宋体" w:hAnsi="宋体" w:eastAsia="宋体" w:cs="宋体"/>
                <w:spacing w:val="16"/>
                <w:sz w:val="20"/>
                <w:szCs w:val="20"/>
              </w:rPr>
              <w:t>水排</w:t>
            </w:r>
            <w:r>
              <w:rPr>
                <w:rFonts w:ascii="宋体" w:hAnsi="宋体" w:eastAsia="宋体" w:cs="宋体"/>
                <w:spacing w:val="10"/>
                <w:sz w:val="20"/>
                <w:szCs w:val="20"/>
              </w:rPr>
              <w:t>除</w:t>
            </w:r>
            <w:r>
              <w:rPr>
                <w:rFonts w:ascii="宋体" w:hAnsi="宋体" w:eastAsia="宋体" w:cs="宋体"/>
                <w:spacing w:val="8"/>
                <w:sz w:val="20"/>
                <w:szCs w:val="20"/>
              </w:rPr>
              <w:t>。承台浇筑后，其承载力达到设计要求时即可拆卸围堰，拆除的钢板可回收利用，</w:t>
            </w:r>
          </w:p>
          <w:p>
            <w:pPr>
              <w:spacing w:line="227" w:lineRule="auto"/>
              <w:ind w:left="107"/>
              <w:rPr>
                <w:rFonts w:ascii="宋体" w:hAnsi="宋体" w:eastAsia="宋体" w:cs="宋体"/>
                <w:sz w:val="20"/>
                <w:szCs w:val="20"/>
              </w:rPr>
            </w:pPr>
            <w:r>
              <w:rPr>
                <w:rFonts w:ascii="宋体" w:hAnsi="宋体" w:eastAsia="宋体" w:cs="宋体"/>
                <w:spacing w:val="13"/>
                <w:sz w:val="20"/>
                <w:szCs w:val="20"/>
              </w:rPr>
              <w:t>拆</w:t>
            </w:r>
            <w:r>
              <w:rPr>
                <w:rFonts w:ascii="宋体" w:hAnsi="宋体" w:eastAsia="宋体" w:cs="宋体"/>
                <w:spacing w:val="9"/>
                <w:sz w:val="20"/>
                <w:szCs w:val="20"/>
              </w:rPr>
              <w:t>除的砂砾石料运至弃渣场集中堆放，禁止向河道倾倒。</w:t>
            </w:r>
          </w:p>
          <w:p>
            <w:pPr>
              <w:spacing w:before="13" w:line="10786" w:lineRule="exact"/>
              <w:ind w:firstLine="1541"/>
              <w:textAlignment w:val="center"/>
            </w:pPr>
            <w:r>
              <w:drawing>
                <wp:inline distT="0" distB="0" distL="0" distR="0">
                  <wp:extent cx="3305175" cy="6848475"/>
                  <wp:effectExtent l="0" t="0" r="0" b="0"/>
                  <wp:docPr id="73" name="IM 73"/>
                  <wp:cNvGraphicFramePr/>
                  <a:graphic xmlns:a="http://schemas.openxmlformats.org/drawingml/2006/main">
                    <a:graphicData uri="http://schemas.openxmlformats.org/drawingml/2006/picture">
                      <pic:pic xmlns:pic="http://schemas.openxmlformats.org/drawingml/2006/picture">
                        <pic:nvPicPr>
                          <pic:cNvPr id="73" name="IM 73"/>
                          <pic:cNvPicPr/>
                        </pic:nvPicPr>
                        <pic:blipFill>
                          <a:blip r:embed="rId217"/>
                          <a:stretch>
                            <a:fillRect/>
                          </a:stretch>
                        </pic:blipFill>
                        <pic:spPr>
                          <a:xfrm>
                            <a:off x="0" y="0"/>
                            <a:ext cx="3305556" cy="6848856"/>
                          </a:xfrm>
                          <a:prstGeom prst="rect">
                            <a:avLst/>
                          </a:prstGeom>
                        </pic:spPr>
                      </pic:pic>
                    </a:graphicData>
                  </a:graphic>
                </wp:inline>
              </w:drawing>
            </w:r>
          </w:p>
          <w:p>
            <w:pPr>
              <w:spacing w:before="43" w:line="231" w:lineRule="auto"/>
              <w:ind w:left="2771"/>
              <w:rPr>
                <w:rFonts w:ascii="黑体" w:hAnsi="黑体" w:eastAsia="黑体" w:cs="黑体"/>
                <w:sz w:val="19"/>
                <w:szCs w:val="19"/>
              </w:rPr>
            </w:pPr>
            <w:r>
              <w:rPr>
                <w:rFonts w:ascii="黑体" w:hAnsi="黑体" w:eastAsia="黑体" w:cs="黑体"/>
                <w:spacing w:val="8"/>
                <w:sz w:val="19"/>
                <w:szCs w:val="19"/>
              </w:rPr>
              <w:t>图</w:t>
            </w:r>
            <w:r>
              <w:rPr>
                <w:rFonts w:ascii="Times New Roman" w:hAnsi="Times New Roman" w:eastAsia="Times New Roman" w:cs="Times New Roman"/>
                <w:spacing w:val="8"/>
                <w:sz w:val="19"/>
                <w:szCs w:val="19"/>
              </w:rPr>
              <w:t>29</w:t>
            </w:r>
            <w:r>
              <w:rPr>
                <w:rFonts w:ascii="黑体" w:hAnsi="黑体" w:eastAsia="黑体" w:cs="黑体"/>
                <w:spacing w:val="8"/>
                <w:sz w:val="19"/>
                <w:szCs w:val="19"/>
              </w:rPr>
              <w:t>：涉水桥墩施工工艺流程</w:t>
            </w:r>
            <w:r>
              <w:rPr>
                <w:rFonts w:ascii="黑体" w:hAnsi="黑体" w:eastAsia="黑体" w:cs="黑体"/>
                <w:spacing w:val="6"/>
                <w:sz w:val="19"/>
                <w:szCs w:val="19"/>
              </w:rPr>
              <w:t>图</w:t>
            </w:r>
          </w:p>
        </w:tc>
      </w:tr>
    </w:tbl>
    <w:p>
      <w:pPr>
        <w:spacing w:line="153" w:lineRule="exact"/>
        <w:rPr>
          <w:rFonts w:ascii="Arial"/>
          <w:sz w:val="13"/>
        </w:rPr>
      </w:pPr>
    </w:p>
    <w:p>
      <w:pPr>
        <w:sectPr>
          <w:footerReference r:id="rId53" w:type="default"/>
          <w:pgSz w:w="11906" w:h="16839"/>
          <w:pgMar w:top="400" w:right="1487" w:bottom="1475" w:left="1486" w:header="0" w:footer="1315" w:gutter="0"/>
          <w:cols w:space="720" w:num="1"/>
        </w:sectPr>
      </w:pPr>
    </w:p>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8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2" w:hRule="atLeast"/>
        </w:trPr>
        <w:tc>
          <w:tcPr>
            <w:tcW w:w="600" w:type="dxa"/>
            <w:tcBorders>
              <w:left w:val="single" w:color="00000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65" w:lineRule="auto"/>
              <w:ind w:left="88" w:right="89" w:hanging="1"/>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施工</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方</w:t>
            </w:r>
            <w:r>
              <w:rPr>
                <w:rFonts w:ascii="宋体" w:hAnsi="宋体" w:eastAsia="宋体" w:cs="宋体"/>
                <w:spacing w:val="5"/>
                <w:sz w:val="20"/>
                <w:szCs w:val="20"/>
                <w14:textOutline w14:w="3795" w14:cap="sq" w14:cmpd="sng">
                  <w14:solidFill>
                    <w14:srgbClr w14:val="000000"/>
                  </w14:solidFill>
                  <w14:prstDash w14:val="solid"/>
                  <w14:bevel/>
                </w14:textOutline>
              </w:rPr>
              <w:t>案</w:t>
            </w:r>
          </w:p>
        </w:tc>
        <w:tc>
          <w:tcPr>
            <w:tcW w:w="8317" w:type="dxa"/>
            <w:tcBorders>
              <w:right w:val="single" w:color="000000" w:sz="6" w:space="0"/>
            </w:tcBorders>
            <w:vAlign w:val="top"/>
          </w:tcPr>
          <w:p>
            <w:pPr>
              <w:spacing w:before="154" w:line="370" w:lineRule="auto"/>
              <w:ind w:left="107" w:right="102" w:firstLine="419"/>
              <w:rPr>
                <w:rFonts w:ascii="宋体" w:hAnsi="宋体" w:eastAsia="宋体" w:cs="宋体"/>
                <w:sz w:val="20"/>
                <w:szCs w:val="20"/>
              </w:rPr>
            </w:pPr>
            <w:r>
              <w:rPr>
                <w:rFonts w:ascii="宋体" w:hAnsi="宋体" w:eastAsia="宋体" w:cs="宋体"/>
                <w:spacing w:val="14"/>
                <w:sz w:val="20"/>
                <w:szCs w:val="20"/>
              </w:rPr>
              <w:t>施工</w:t>
            </w:r>
            <w:r>
              <w:rPr>
                <w:rFonts w:ascii="宋体" w:hAnsi="宋体" w:eastAsia="宋体" w:cs="宋体"/>
                <w:spacing w:val="11"/>
                <w:sz w:val="20"/>
                <w:szCs w:val="20"/>
              </w:rPr>
              <w:t>导</w:t>
            </w:r>
            <w:r>
              <w:rPr>
                <w:rFonts w:ascii="宋体" w:hAnsi="宋体" w:eastAsia="宋体" w:cs="宋体"/>
                <w:spacing w:val="7"/>
                <w:sz w:val="20"/>
                <w:szCs w:val="20"/>
              </w:rPr>
              <w:t>流：本项目导流方式为河床内导流，由于州河河面较宽，项目桥墩施工面相对</w:t>
            </w:r>
            <w:r>
              <w:rPr>
                <w:rFonts w:ascii="宋体" w:hAnsi="宋体" w:eastAsia="宋体" w:cs="宋体"/>
                <w:sz w:val="20"/>
                <w:szCs w:val="20"/>
              </w:rPr>
              <w:t xml:space="preserve"> </w:t>
            </w:r>
            <w:r>
              <w:rPr>
                <w:rFonts w:ascii="宋体" w:hAnsi="宋体" w:eastAsia="宋体" w:cs="宋体"/>
                <w:spacing w:val="14"/>
                <w:sz w:val="20"/>
                <w:szCs w:val="20"/>
              </w:rPr>
              <w:t>较小，</w:t>
            </w:r>
            <w:r>
              <w:rPr>
                <w:rFonts w:ascii="宋体" w:hAnsi="宋体" w:eastAsia="宋体" w:cs="宋体"/>
                <w:spacing w:val="7"/>
                <w:sz w:val="20"/>
                <w:szCs w:val="20"/>
              </w:rPr>
              <w:t>施工时采用围堰将施工区域河床围护，河水通过围堰外的河床导走，不会影响河道</w:t>
            </w:r>
          </w:p>
          <w:p>
            <w:pPr>
              <w:spacing w:line="227" w:lineRule="auto"/>
              <w:ind w:left="110"/>
              <w:rPr>
                <w:rFonts w:ascii="宋体" w:hAnsi="宋体" w:eastAsia="宋体" w:cs="宋体"/>
                <w:sz w:val="20"/>
                <w:szCs w:val="20"/>
              </w:rPr>
            </w:pPr>
            <w:r>
              <w:rPr>
                <w:rFonts w:ascii="宋体" w:hAnsi="宋体" w:eastAsia="宋体" w:cs="宋体"/>
                <w:spacing w:val="15"/>
                <w:sz w:val="20"/>
                <w:szCs w:val="20"/>
              </w:rPr>
              <w:t>水</w:t>
            </w:r>
            <w:r>
              <w:rPr>
                <w:rFonts w:ascii="宋体" w:hAnsi="宋体" w:eastAsia="宋体" w:cs="宋体"/>
                <w:spacing w:val="8"/>
                <w:sz w:val="20"/>
                <w:szCs w:val="20"/>
              </w:rPr>
              <w:t>流方式和下游的水生生态环境。</w:t>
            </w:r>
          </w:p>
          <w:p>
            <w:pPr>
              <w:spacing w:before="13" w:line="3319" w:lineRule="exact"/>
              <w:ind w:firstLine="226"/>
              <w:textAlignment w:val="center"/>
            </w:pPr>
            <w:r>
              <w:drawing>
                <wp:inline distT="0" distB="0" distL="0" distR="0">
                  <wp:extent cx="4973955" cy="210756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218"/>
                          <a:stretch>
                            <a:fillRect/>
                          </a:stretch>
                        </pic:blipFill>
                        <pic:spPr>
                          <a:xfrm>
                            <a:off x="0" y="0"/>
                            <a:ext cx="4974335" cy="2107691"/>
                          </a:xfrm>
                          <a:prstGeom prst="rect">
                            <a:avLst/>
                          </a:prstGeom>
                        </pic:spPr>
                      </pic:pic>
                    </a:graphicData>
                  </a:graphic>
                </wp:inline>
              </w:drawing>
            </w:r>
          </w:p>
          <w:p>
            <w:pPr>
              <w:spacing w:before="46" w:line="231" w:lineRule="auto"/>
              <w:ind w:left="3171"/>
              <w:rPr>
                <w:rFonts w:ascii="黑体" w:hAnsi="黑体" w:eastAsia="黑体" w:cs="黑体"/>
                <w:sz w:val="19"/>
                <w:szCs w:val="19"/>
              </w:rPr>
            </w:pPr>
            <w:r>
              <w:rPr>
                <w:rFonts w:ascii="黑体" w:hAnsi="黑体" w:eastAsia="黑体" w:cs="黑体"/>
                <w:spacing w:val="9"/>
                <w:sz w:val="19"/>
                <w:szCs w:val="19"/>
              </w:rPr>
              <w:t>图</w:t>
            </w:r>
            <w:r>
              <w:rPr>
                <w:rFonts w:ascii="Times New Roman" w:hAnsi="Times New Roman" w:eastAsia="Times New Roman" w:cs="Times New Roman"/>
                <w:spacing w:val="7"/>
                <w:sz w:val="19"/>
                <w:szCs w:val="19"/>
              </w:rPr>
              <w:t>30</w:t>
            </w:r>
            <w:r>
              <w:rPr>
                <w:rFonts w:ascii="黑体" w:hAnsi="黑体" w:eastAsia="黑体" w:cs="黑体"/>
                <w:spacing w:val="7"/>
                <w:sz w:val="19"/>
                <w:szCs w:val="19"/>
              </w:rPr>
              <w:t>：围堰施工示意图</w:t>
            </w:r>
          </w:p>
          <w:p>
            <w:pPr>
              <w:spacing w:before="131" w:line="369" w:lineRule="auto"/>
              <w:ind w:left="110" w:right="102" w:firstLine="417"/>
              <w:rPr>
                <w:rFonts w:ascii="宋体" w:hAnsi="宋体" w:eastAsia="宋体" w:cs="宋体"/>
                <w:sz w:val="20"/>
                <w:szCs w:val="20"/>
              </w:rPr>
            </w:pPr>
            <w:r>
              <w:rPr>
                <w:rFonts w:ascii="Times New Roman" w:hAnsi="Times New Roman" w:eastAsia="Times New Roman" w:cs="Times New Roman"/>
                <w:spacing w:val="10"/>
                <w:sz w:val="20"/>
                <w:szCs w:val="20"/>
              </w:rPr>
              <w:t>3</w:t>
            </w:r>
            <w:r>
              <w:rPr>
                <w:rFonts w:ascii="宋体" w:hAnsi="宋体" w:eastAsia="宋体" w:cs="宋体"/>
                <w:spacing w:val="10"/>
                <w:sz w:val="20"/>
                <w:szCs w:val="20"/>
              </w:rPr>
              <w:t>) 钢筋笼施工：钢筋笼在现场设置的施工场地焊接制作，然后吊装。制作流程主</w:t>
            </w:r>
            <w:r>
              <w:rPr>
                <w:rFonts w:ascii="宋体" w:hAnsi="宋体" w:eastAsia="宋体" w:cs="宋体"/>
                <w:spacing w:val="3"/>
                <w:sz w:val="20"/>
                <w:szCs w:val="20"/>
              </w:rPr>
              <w:t>要</w:t>
            </w:r>
            <w:r>
              <w:rPr>
                <w:rFonts w:ascii="宋体" w:hAnsi="宋体" w:eastAsia="宋体" w:cs="宋体"/>
                <w:sz w:val="20"/>
                <w:szCs w:val="20"/>
              </w:rPr>
              <w:t xml:space="preserve"> </w:t>
            </w:r>
            <w:r>
              <w:rPr>
                <w:rFonts w:ascii="宋体" w:hAnsi="宋体" w:eastAsia="宋体" w:cs="宋体"/>
                <w:spacing w:val="14"/>
                <w:sz w:val="20"/>
                <w:szCs w:val="20"/>
              </w:rPr>
              <w:t>为：钢</w:t>
            </w:r>
            <w:r>
              <w:rPr>
                <w:rFonts w:ascii="宋体" w:hAnsi="宋体" w:eastAsia="宋体" w:cs="宋体"/>
                <w:spacing w:val="7"/>
                <w:sz w:val="20"/>
                <w:szCs w:val="20"/>
              </w:rPr>
              <w:t>筋原材料检验→钢筋下料→钢筋主筋焊接连接、加筋圈加工成型→焊接加筋圈到主</w:t>
            </w:r>
            <w:r>
              <w:rPr>
                <w:rFonts w:ascii="宋体" w:hAnsi="宋体" w:eastAsia="宋体" w:cs="宋体"/>
                <w:sz w:val="20"/>
                <w:szCs w:val="20"/>
              </w:rPr>
              <w:t xml:space="preserve"> </w:t>
            </w:r>
            <w:r>
              <w:rPr>
                <w:rFonts w:ascii="宋体" w:hAnsi="宋体" w:eastAsia="宋体" w:cs="宋体"/>
                <w:spacing w:val="17"/>
                <w:sz w:val="20"/>
                <w:szCs w:val="20"/>
              </w:rPr>
              <w:t>筋</w:t>
            </w:r>
            <w:r>
              <w:rPr>
                <w:rFonts w:ascii="宋体" w:hAnsi="宋体" w:eastAsia="宋体" w:cs="宋体"/>
                <w:spacing w:val="9"/>
                <w:sz w:val="20"/>
                <w:szCs w:val="20"/>
              </w:rPr>
              <w:t>上→缠绕螺旋筋、绑扎→钢筋笼检查→钢筋笼吊装→钢筋笼校正。</w:t>
            </w:r>
          </w:p>
          <w:p>
            <w:pPr>
              <w:spacing w:before="3" w:line="347" w:lineRule="auto"/>
              <w:ind w:left="108" w:right="102" w:firstLine="414"/>
              <w:rPr>
                <w:rFonts w:ascii="宋体" w:hAnsi="宋体" w:eastAsia="宋体" w:cs="宋体"/>
                <w:sz w:val="20"/>
                <w:szCs w:val="20"/>
              </w:rPr>
            </w:pPr>
            <w:r>
              <w:rPr>
                <w:rFonts w:ascii="Times New Roman" w:hAnsi="Times New Roman" w:eastAsia="Times New Roman" w:cs="Times New Roman"/>
                <w:spacing w:val="10"/>
                <w:sz w:val="20"/>
                <w:szCs w:val="20"/>
              </w:rPr>
              <w:t>4</w:t>
            </w:r>
            <w:r>
              <w:rPr>
                <w:rFonts w:ascii="宋体" w:hAnsi="宋体" w:eastAsia="宋体" w:cs="宋体"/>
                <w:spacing w:val="10"/>
                <w:sz w:val="20"/>
                <w:szCs w:val="20"/>
              </w:rPr>
              <w:t>) 桥台施工：桥台采用组合钢模板。浇注混凝土，并用振捣器振捣密实。桥桩基</w:t>
            </w:r>
            <w:r>
              <w:rPr>
                <w:rFonts w:ascii="宋体" w:hAnsi="宋体" w:eastAsia="宋体" w:cs="宋体"/>
                <w:spacing w:val="9"/>
                <w:sz w:val="20"/>
                <w:szCs w:val="20"/>
              </w:rPr>
              <w:t>钻</w:t>
            </w:r>
            <w:r>
              <w:rPr>
                <w:rFonts w:ascii="宋体" w:hAnsi="宋体" w:eastAsia="宋体" w:cs="宋体"/>
                <w:sz w:val="20"/>
                <w:szCs w:val="20"/>
              </w:rPr>
              <w:t xml:space="preserve"> </w:t>
            </w:r>
            <w:r>
              <w:rPr>
                <w:rFonts w:ascii="宋体" w:hAnsi="宋体" w:eastAsia="宋体" w:cs="宋体"/>
                <w:spacing w:val="14"/>
                <w:sz w:val="20"/>
                <w:szCs w:val="20"/>
              </w:rPr>
              <w:t>孔采</w:t>
            </w:r>
            <w:r>
              <w:rPr>
                <w:rFonts w:ascii="宋体" w:hAnsi="宋体" w:eastAsia="宋体" w:cs="宋体"/>
                <w:spacing w:val="13"/>
                <w:sz w:val="20"/>
                <w:szCs w:val="20"/>
              </w:rPr>
              <w:t>用</w:t>
            </w:r>
            <w:r>
              <w:rPr>
                <w:rFonts w:ascii="宋体" w:hAnsi="宋体" w:eastAsia="宋体" w:cs="宋体"/>
                <w:spacing w:val="7"/>
                <w:sz w:val="20"/>
                <w:szCs w:val="20"/>
              </w:rPr>
              <w:t>冲击钻机成孔施工工艺，桥台在开挖时应隔离地表水，根据实际情况采取临时或永</w:t>
            </w:r>
            <w:r>
              <w:rPr>
                <w:rFonts w:ascii="宋体" w:hAnsi="宋体" w:eastAsia="宋体" w:cs="宋体"/>
                <w:sz w:val="20"/>
                <w:szCs w:val="20"/>
              </w:rPr>
              <w:t xml:space="preserve"> </w:t>
            </w:r>
            <w:r>
              <w:rPr>
                <w:rFonts w:ascii="宋体" w:hAnsi="宋体" w:eastAsia="宋体" w:cs="宋体"/>
                <w:spacing w:val="14"/>
                <w:sz w:val="20"/>
                <w:szCs w:val="20"/>
              </w:rPr>
              <w:t>久支护</w:t>
            </w:r>
            <w:r>
              <w:rPr>
                <w:rFonts w:ascii="宋体" w:hAnsi="宋体" w:eastAsia="宋体" w:cs="宋体"/>
                <w:spacing w:val="8"/>
                <w:sz w:val="20"/>
                <w:szCs w:val="20"/>
              </w:rPr>
              <w:t>措</w:t>
            </w:r>
            <w:r>
              <w:rPr>
                <w:rFonts w:ascii="宋体" w:hAnsi="宋体" w:eastAsia="宋体" w:cs="宋体"/>
                <w:spacing w:val="7"/>
                <w:sz w:val="20"/>
                <w:szCs w:val="20"/>
              </w:rPr>
              <w:t>施，确保施工安全。桥台基底岩石表面应修凿平整，并浇注混凝土垫层，桥台各</w:t>
            </w:r>
            <w:r>
              <w:rPr>
                <w:rFonts w:ascii="宋体" w:hAnsi="宋体" w:eastAsia="宋体" w:cs="宋体"/>
                <w:sz w:val="20"/>
                <w:szCs w:val="20"/>
              </w:rPr>
              <w:t xml:space="preserve"> </w:t>
            </w:r>
            <w:r>
              <w:rPr>
                <w:rFonts w:ascii="宋体" w:hAnsi="宋体" w:eastAsia="宋体" w:cs="宋体"/>
                <w:spacing w:val="14"/>
                <w:sz w:val="20"/>
                <w:szCs w:val="20"/>
              </w:rPr>
              <w:t>部分应</w:t>
            </w:r>
            <w:r>
              <w:rPr>
                <w:rFonts w:ascii="宋体" w:hAnsi="宋体" w:eastAsia="宋体" w:cs="宋体"/>
                <w:spacing w:val="8"/>
                <w:sz w:val="20"/>
                <w:szCs w:val="20"/>
              </w:rPr>
              <w:t>分</w:t>
            </w:r>
            <w:r>
              <w:rPr>
                <w:rFonts w:ascii="宋体" w:hAnsi="宋体" w:eastAsia="宋体" w:cs="宋体"/>
                <w:spacing w:val="7"/>
                <w:sz w:val="20"/>
                <w:szCs w:val="20"/>
              </w:rPr>
              <w:t>层浇注并注意混凝土的养护。台后填土应为砂卵石或其他透水性土，摩擦角不小</w:t>
            </w:r>
            <w:r>
              <w:rPr>
                <w:rFonts w:ascii="宋体" w:hAnsi="宋体" w:eastAsia="宋体" w:cs="宋体"/>
                <w:sz w:val="20"/>
                <w:szCs w:val="20"/>
              </w:rPr>
              <w:t xml:space="preserve"> </w:t>
            </w:r>
            <w:r>
              <w:rPr>
                <w:rFonts w:ascii="宋体" w:hAnsi="宋体" w:eastAsia="宋体" w:cs="宋体"/>
                <w:spacing w:val="4"/>
                <w:sz w:val="20"/>
                <w:szCs w:val="20"/>
              </w:rPr>
              <w:t xml:space="preserve">于 </w:t>
            </w:r>
            <w:r>
              <w:rPr>
                <w:rFonts w:ascii="Times New Roman" w:hAnsi="Times New Roman" w:eastAsia="Times New Roman" w:cs="Times New Roman"/>
                <w:spacing w:val="4"/>
                <w:sz w:val="20"/>
                <w:szCs w:val="20"/>
              </w:rPr>
              <w:t xml:space="preserve">35 </w:t>
            </w:r>
            <w:r>
              <w:rPr>
                <w:rFonts w:ascii="宋体" w:hAnsi="宋体" w:eastAsia="宋体" w:cs="宋体"/>
                <w:spacing w:val="3"/>
                <w:sz w:val="20"/>
                <w:szCs w:val="20"/>
              </w:rPr>
              <w:t>度</w:t>
            </w:r>
            <w:r>
              <w:rPr>
                <w:rFonts w:ascii="宋体" w:hAnsi="宋体" w:eastAsia="宋体" w:cs="宋体"/>
                <w:spacing w:val="2"/>
                <w:sz w:val="20"/>
                <w:szCs w:val="20"/>
              </w:rPr>
              <w:t xml:space="preserve">，要求台后密实度不小于 </w:t>
            </w:r>
            <w:r>
              <w:rPr>
                <w:rFonts w:ascii="Times New Roman" w:hAnsi="Times New Roman" w:eastAsia="Times New Roman" w:cs="Times New Roman"/>
                <w:spacing w:val="2"/>
                <w:sz w:val="20"/>
                <w:szCs w:val="20"/>
              </w:rPr>
              <w:t>96%</w:t>
            </w:r>
            <w:r>
              <w:rPr>
                <w:rFonts w:ascii="宋体" w:hAnsi="宋体" w:eastAsia="宋体" w:cs="宋体"/>
                <w:spacing w:val="2"/>
                <w:sz w:val="20"/>
                <w:szCs w:val="20"/>
              </w:rPr>
              <w:t>。</w:t>
            </w:r>
          </w:p>
          <w:p>
            <w:pPr>
              <w:spacing w:before="118" w:line="228" w:lineRule="auto"/>
              <w:ind w:left="588"/>
              <w:rPr>
                <w:rFonts w:ascii="宋体" w:hAnsi="宋体" w:eastAsia="宋体" w:cs="宋体"/>
                <w:sz w:val="20"/>
                <w:szCs w:val="20"/>
              </w:rPr>
            </w:pPr>
            <w:r>
              <w:rPr>
                <w:rFonts w:ascii="宋体" w:hAnsi="宋体" w:eastAsia="宋体" w:cs="宋体"/>
                <w:spacing w:val="7"/>
                <w:sz w:val="17"/>
                <w:szCs w:val="17"/>
              </w:rPr>
              <w:t xml:space="preserve">2   </w:t>
            </w:r>
            <w:r>
              <w:rPr>
                <w:rFonts w:ascii="宋体" w:hAnsi="宋体" w:eastAsia="宋体" w:cs="宋体"/>
                <w:spacing w:val="7"/>
                <w:sz w:val="20"/>
                <w:szCs w:val="20"/>
              </w:rPr>
              <w:t>上部结构施</w:t>
            </w:r>
            <w:r>
              <w:rPr>
                <w:rFonts w:ascii="宋体" w:hAnsi="宋体" w:eastAsia="宋体" w:cs="宋体"/>
                <w:spacing w:val="5"/>
                <w:sz w:val="20"/>
                <w:szCs w:val="20"/>
              </w:rPr>
              <w:t>工</w:t>
            </w:r>
          </w:p>
          <w:p>
            <w:pPr>
              <w:spacing w:before="154" w:line="369" w:lineRule="auto"/>
              <w:ind w:left="107" w:right="102" w:firstLine="418"/>
              <w:rPr>
                <w:rFonts w:ascii="宋体" w:hAnsi="宋体" w:eastAsia="宋体" w:cs="宋体"/>
                <w:sz w:val="20"/>
                <w:szCs w:val="20"/>
              </w:rPr>
            </w:pPr>
            <w:r>
              <w:rPr>
                <w:rFonts w:ascii="宋体" w:hAnsi="宋体" w:eastAsia="宋体" w:cs="宋体"/>
                <w:spacing w:val="14"/>
                <w:sz w:val="20"/>
                <w:szCs w:val="20"/>
              </w:rPr>
              <w:t>钢</w:t>
            </w:r>
            <w:r>
              <w:rPr>
                <w:rFonts w:ascii="宋体" w:hAnsi="宋体" w:eastAsia="宋体" w:cs="宋体"/>
                <w:spacing w:val="10"/>
                <w:sz w:val="20"/>
                <w:szCs w:val="20"/>
              </w:rPr>
              <w:t>箱</w:t>
            </w:r>
            <w:r>
              <w:rPr>
                <w:rFonts w:ascii="宋体" w:hAnsi="宋体" w:eastAsia="宋体" w:cs="宋体"/>
                <w:spacing w:val="7"/>
                <w:sz w:val="20"/>
                <w:szCs w:val="20"/>
              </w:rPr>
              <w:t>梁主梁、主斜拉桥塔等钢结构件委托有资质的工厂进行节段制造 (预制加工工艺</w:t>
            </w:r>
            <w:r>
              <w:rPr>
                <w:rFonts w:ascii="宋体" w:hAnsi="宋体" w:eastAsia="宋体" w:cs="宋体"/>
                <w:sz w:val="20"/>
                <w:szCs w:val="20"/>
              </w:rPr>
              <w:t xml:space="preserve"> </w:t>
            </w:r>
            <w:r>
              <w:rPr>
                <w:rFonts w:ascii="宋体" w:hAnsi="宋体" w:eastAsia="宋体" w:cs="宋体"/>
                <w:spacing w:val="14"/>
                <w:sz w:val="20"/>
                <w:szCs w:val="20"/>
              </w:rPr>
              <w:t>流程为</w:t>
            </w:r>
            <w:r>
              <w:rPr>
                <w:rFonts w:ascii="宋体" w:hAnsi="宋体" w:eastAsia="宋体" w:cs="宋体"/>
                <w:spacing w:val="9"/>
                <w:sz w:val="20"/>
                <w:szCs w:val="20"/>
              </w:rPr>
              <w:t>：</w:t>
            </w:r>
            <w:r>
              <w:rPr>
                <w:rFonts w:ascii="宋体" w:hAnsi="宋体" w:eastAsia="宋体" w:cs="宋体"/>
                <w:spacing w:val="7"/>
                <w:sz w:val="20"/>
                <w:szCs w:val="20"/>
              </w:rPr>
              <w:t>施工准备→施工放样→钢筋制作→钢绞线定位→模板安装→混凝土拌制→混凝土</w:t>
            </w:r>
            <w:r>
              <w:rPr>
                <w:rFonts w:ascii="宋体" w:hAnsi="宋体" w:eastAsia="宋体" w:cs="宋体"/>
                <w:sz w:val="20"/>
                <w:szCs w:val="20"/>
              </w:rPr>
              <w:t xml:space="preserve"> </w:t>
            </w:r>
            <w:r>
              <w:rPr>
                <w:rFonts w:ascii="宋体" w:hAnsi="宋体" w:eastAsia="宋体" w:cs="宋体"/>
                <w:spacing w:val="5"/>
                <w:sz w:val="20"/>
                <w:szCs w:val="20"/>
              </w:rPr>
              <w:t>浇筑、振捣→混凝土养护→预应力筋张拉→预应力孔压浆→浇筑端封砼→ 吊装) ，通</w:t>
            </w:r>
            <w:r>
              <w:rPr>
                <w:rFonts w:ascii="宋体" w:hAnsi="宋体" w:eastAsia="宋体" w:cs="宋体"/>
                <w:spacing w:val="1"/>
                <w:sz w:val="20"/>
                <w:szCs w:val="20"/>
              </w:rPr>
              <w:t>过</w:t>
            </w:r>
            <w:r>
              <w:rPr>
                <w:rFonts w:ascii="宋体" w:hAnsi="宋体" w:eastAsia="宋体" w:cs="宋体"/>
                <w:sz w:val="20"/>
                <w:szCs w:val="20"/>
              </w:rPr>
              <w:t xml:space="preserve">公 </w:t>
            </w:r>
            <w:r>
              <w:rPr>
                <w:rFonts w:ascii="宋体" w:hAnsi="宋体" w:eastAsia="宋体" w:cs="宋体"/>
                <w:spacing w:val="14"/>
                <w:sz w:val="20"/>
                <w:szCs w:val="20"/>
              </w:rPr>
              <w:t>路运输</w:t>
            </w:r>
            <w:r>
              <w:rPr>
                <w:rFonts w:ascii="宋体" w:hAnsi="宋体" w:eastAsia="宋体" w:cs="宋体"/>
                <w:spacing w:val="9"/>
                <w:sz w:val="20"/>
                <w:szCs w:val="20"/>
              </w:rPr>
              <w:t>的</w:t>
            </w:r>
            <w:r>
              <w:rPr>
                <w:rFonts w:ascii="宋体" w:hAnsi="宋体" w:eastAsia="宋体" w:cs="宋体"/>
                <w:spacing w:val="7"/>
                <w:sz w:val="20"/>
                <w:szCs w:val="20"/>
              </w:rPr>
              <w:t>方式分段运输到现场，在顶推平台上逐段拼装后，在梁段前端安装导梁，开始顶</w:t>
            </w:r>
            <w:r>
              <w:rPr>
                <w:rFonts w:ascii="宋体" w:hAnsi="宋体" w:eastAsia="宋体" w:cs="宋体"/>
                <w:sz w:val="20"/>
                <w:szCs w:val="20"/>
              </w:rPr>
              <w:t xml:space="preserve"> </w:t>
            </w:r>
            <w:r>
              <w:rPr>
                <w:rFonts w:ascii="宋体" w:hAnsi="宋体" w:eastAsia="宋体" w:cs="宋体"/>
                <w:spacing w:val="14"/>
                <w:sz w:val="20"/>
                <w:szCs w:val="20"/>
              </w:rPr>
              <w:t>推施工</w:t>
            </w:r>
            <w:r>
              <w:rPr>
                <w:rFonts w:ascii="宋体" w:hAnsi="宋体" w:eastAsia="宋体" w:cs="宋体"/>
                <w:spacing w:val="7"/>
                <w:sz w:val="20"/>
                <w:szCs w:val="20"/>
              </w:rPr>
              <w:t>，通过逐步顶推、逐步拼装梁段的方式完成主桥钢箱梁的安装。钢梁安装完成后进</w:t>
            </w:r>
            <w:r>
              <w:rPr>
                <w:rFonts w:ascii="宋体" w:hAnsi="宋体" w:eastAsia="宋体" w:cs="宋体"/>
                <w:sz w:val="20"/>
                <w:szCs w:val="20"/>
              </w:rPr>
              <w:t xml:space="preserve"> </w:t>
            </w:r>
            <w:r>
              <w:rPr>
                <w:rFonts w:ascii="宋体" w:hAnsi="宋体" w:eastAsia="宋体" w:cs="宋体"/>
                <w:spacing w:val="14"/>
                <w:sz w:val="20"/>
                <w:szCs w:val="20"/>
              </w:rPr>
              <w:t>行主塔</w:t>
            </w:r>
            <w:r>
              <w:rPr>
                <w:rFonts w:ascii="宋体" w:hAnsi="宋体" w:eastAsia="宋体" w:cs="宋体"/>
                <w:spacing w:val="7"/>
                <w:sz w:val="20"/>
                <w:szCs w:val="20"/>
              </w:rPr>
              <w:t>的架设，主塔架设后安装、张拉斜拉索。所有纵横向块件单元拼接完毕后浇筑桥面</w:t>
            </w:r>
            <w:r>
              <w:rPr>
                <w:rFonts w:ascii="宋体" w:hAnsi="宋体" w:eastAsia="宋体" w:cs="宋体"/>
                <w:sz w:val="20"/>
                <w:szCs w:val="20"/>
              </w:rPr>
              <w:t xml:space="preserve"> </w:t>
            </w:r>
            <w:r>
              <w:rPr>
                <w:rFonts w:ascii="宋体" w:hAnsi="宋体" w:eastAsia="宋体" w:cs="宋体"/>
                <w:spacing w:val="13"/>
                <w:sz w:val="20"/>
                <w:szCs w:val="20"/>
              </w:rPr>
              <w:t>板</w:t>
            </w:r>
            <w:r>
              <w:rPr>
                <w:rFonts w:ascii="宋体" w:hAnsi="宋体" w:eastAsia="宋体" w:cs="宋体"/>
                <w:spacing w:val="9"/>
                <w:sz w:val="20"/>
                <w:szCs w:val="20"/>
              </w:rPr>
              <w:t>砼。最后进行防撞护栏及沥青铺装等附属工程施工。</w:t>
            </w:r>
          </w:p>
          <w:p>
            <w:pPr>
              <w:spacing w:before="3" w:line="347" w:lineRule="auto"/>
              <w:ind w:left="106" w:right="102" w:firstLine="419"/>
              <w:rPr>
                <w:rFonts w:ascii="宋体" w:hAnsi="宋体" w:eastAsia="宋体" w:cs="宋体"/>
                <w:sz w:val="20"/>
                <w:szCs w:val="20"/>
              </w:rPr>
            </w:pPr>
            <w:r>
              <w:rPr>
                <w:rFonts w:ascii="宋体" w:hAnsi="宋体" w:eastAsia="宋体" w:cs="宋体"/>
                <w:spacing w:val="14"/>
                <w:sz w:val="20"/>
                <w:szCs w:val="20"/>
              </w:rPr>
              <w:t>钢箱</w:t>
            </w:r>
            <w:r>
              <w:rPr>
                <w:rFonts w:ascii="宋体" w:hAnsi="宋体" w:eastAsia="宋体" w:cs="宋体"/>
                <w:spacing w:val="10"/>
                <w:sz w:val="20"/>
                <w:szCs w:val="20"/>
              </w:rPr>
              <w:t>组</w:t>
            </w:r>
            <w:r>
              <w:rPr>
                <w:rFonts w:ascii="宋体" w:hAnsi="宋体" w:eastAsia="宋体" w:cs="宋体"/>
                <w:spacing w:val="7"/>
                <w:sz w:val="20"/>
                <w:szCs w:val="20"/>
              </w:rPr>
              <w:t>合梁主要施工步骤如下：施工桥梁下部结构→钢梁在工厂进行节段制造→运输</w:t>
            </w:r>
            <w:r>
              <w:rPr>
                <w:rFonts w:ascii="宋体" w:hAnsi="宋体" w:eastAsia="宋体" w:cs="宋体"/>
                <w:sz w:val="20"/>
                <w:szCs w:val="20"/>
              </w:rPr>
              <w:t xml:space="preserve"> </w:t>
            </w:r>
            <w:r>
              <w:rPr>
                <w:rFonts w:ascii="宋体" w:hAnsi="宋体" w:eastAsia="宋体" w:cs="宋体"/>
                <w:spacing w:val="14"/>
                <w:sz w:val="20"/>
                <w:szCs w:val="20"/>
              </w:rPr>
              <w:t>至现</w:t>
            </w:r>
            <w:r>
              <w:rPr>
                <w:rFonts w:ascii="宋体" w:hAnsi="宋体" w:eastAsia="宋体" w:cs="宋体"/>
                <w:spacing w:val="9"/>
                <w:sz w:val="20"/>
                <w:szCs w:val="20"/>
              </w:rPr>
              <w:t>场</w:t>
            </w:r>
            <w:r>
              <w:rPr>
                <w:rFonts w:ascii="宋体" w:hAnsi="宋体" w:eastAsia="宋体" w:cs="宋体"/>
                <w:spacing w:val="7"/>
                <w:sz w:val="20"/>
                <w:szCs w:val="20"/>
              </w:rPr>
              <w:t>进行纵横向节段单元拼接，形成整跨梁片 (钢梁节段逐步顶推、逐步拼装梁段就位</w:t>
            </w:r>
            <w:r>
              <w:rPr>
                <w:rFonts w:ascii="宋体" w:hAnsi="宋体" w:eastAsia="宋体" w:cs="宋体"/>
                <w:sz w:val="20"/>
                <w:szCs w:val="20"/>
              </w:rPr>
              <w:t xml:space="preserve"> </w:t>
            </w:r>
            <w:r>
              <w:rPr>
                <w:rFonts w:ascii="宋体" w:hAnsi="宋体" w:eastAsia="宋体" w:cs="宋体"/>
                <w:spacing w:val="14"/>
                <w:sz w:val="20"/>
                <w:szCs w:val="20"/>
              </w:rPr>
              <w:t>后，均</w:t>
            </w:r>
            <w:r>
              <w:rPr>
                <w:rFonts w:ascii="宋体" w:hAnsi="宋体" w:eastAsia="宋体" w:cs="宋体"/>
                <w:spacing w:val="11"/>
                <w:sz w:val="20"/>
                <w:szCs w:val="20"/>
              </w:rPr>
              <w:t>应</w:t>
            </w:r>
            <w:r>
              <w:rPr>
                <w:rFonts w:ascii="宋体" w:hAnsi="宋体" w:eastAsia="宋体" w:cs="宋体"/>
                <w:spacing w:val="7"/>
                <w:sz w:val="20"/>
                <w:szCs w:val="20"/>
              </w:rPr>
              <w:t>对钢梁采取临时固定措施，防止钢梁侧翻、倾覆；钢梁梁底应设置防护装置，以</w:t>
            </w:r>
            <w:r>
              <w:rPr>
                <w:rFonts w:ascii="宋体" w:hAnsi="宋体" w:eastAsia="宋体" w:cs="宋体"/>
                <w:sz w:val="20"/>
                <w:szCs w:val="20"/>
              </w:rPr>
              <w:t xml:space="preserve"> </w:t>
            </w:r>
            <w:r>
              <w:rPr>
                <w:rFonts w:ascii="宋体" w:hAnsi="宋体" w:eastAsia="宋体" w:cs="宋体"/>
                <w:spacing w:val="9"/>
                <w:sz w:val="20"/>
                <w:szCs w:val="20"/>
              </w:rPr>
              <w:t>免高空坠物，影响桥下通行安全) →拆除临时支撑</w:t>
            </w:r>
            <w:r>
              <w:rPr>
                <w:rFonts w:ascii="Times New Roman" w:hAnsi="Times New Roman" w:eastAsia="Times New Roman" w:cs="Times New Roman"/>
                <w:spacing w:val="9"/>
                <w:sz w:val="20"/>
                <w:szCs w:val="20"/>
              </w:rPr>
              <w:t>(</w:t>
            </w:r>
            <w:r>
              <w:rPr>
                <w:rFonts w:ascii="宋体" w:hAnsi="宋体" w:eastAsia="宋体" w:cs="宋体"/>
                <w:spacing w:val="9"/>
                <w:sz w:val="20"/>
                <w:szCs w:val="20"/>
              </w:rPr>
              <w:t>整孔高强螺栓连接完毕后才能拆除</w:t>
            </w:r>
            <w:r>
              <w:rPr>
                <w:rFonts w:ascii="Times New Roman" w:hAnsi="Times New Roman" w:eastAsia="Times New Roman" w:cs="Times New Roman"/>
                <w:spacing w:val="9"/>
                <w:sz w:val="20"/>
                <w:szCs w:val="20"/>
              </w:rPr>
              <w:t>)</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10"/>
                <w:sz w:val="20"/>
                <w:szCs w:val="20"/>
              </w:rPr>
              <w:t xml:space="preserve">按照设计图纸要求内侧钢箱有序、对称进行铁砂砼压重→焊接 </w:t>
            </w:r>
            <w:r>
              <w:rPr>
                <w:rFonts w:ascii="Times New Roman" w:hAnsi="Times New Roman" w:eastAsia="Times New Roman" w:cs="Times New Roman"/>
                <w:sz w:val="20"/>
                <w:szCs w:val="20"/>
              </w:rPr>
              <w:t>PBL</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剪力键、绑扎桥面</w:t>
            </w:r>
            <w:r>
              <w:rPr>
                <w:rFonts w:ascii="宋体" w:hAnsi="宋体" w:eastAsia="宋体" w:cs="宋体"/>
                <w:spacing w:val="9"/>
                <w:sz w:val="20"/>
                <w:szCs w:val="20"/>
              </w:rPr>
              <w:t>板</w:t>
            </w:r>
            <w:r>
              <w:rPr>
                <w:rFonts w:ascii="宋体" w:hAnsi="宋体" w:eastAsia="宋体" w:cs="宋体"/>
                <w:sz w:val="20"/>
                <w:szCs w:val="20"/>
              </w:rPr>
              <w:t xml:space="preserve"> </w:t>
            </w:r>
            <w:r>
              <w:rPr>
                <w:rFonts w:ascii="宋体" w:hAnsi="宋体" w:eastAsia="宋体" w:cs="宋体"/>
                <w:spacing w:val="10"/>
                <w:sz w:val="20"/>
                <w:szCs w:val="20"/>
              </w:rPr>
              <w:t>钢筋→浇筑桥面板砼</w:t>
            </w:r>
            <w:r>
              <w:rPr>
                <w:rFonts w:ascii="Times New Roman" w:hAnsi="Times New Roman" w:eastAsia="Times New Roman" w:cs="Times New Roman"/>
                <w:spacing w:val="10"/>
                <w:sz w:val="20"/>
                <w:szCs w:val="20"/>
              </w:rPr>
              <w:t>(</w:t>
            </w:r>
            <w:r>
              <w:rPr>
                <w:rFonts w:ascii="宋体" w:hAnsi="宋体" w:eastAsia="宋体" w:cs="宋体"/>
                <w:spacing w:val="10"/>
                <w:sz w:val="20"/>
                <w:szCs w:val="20"/>
              </w:rPr>
              <w:t>浇筑砼之前必须拆除临时支撑</w:t>
            </w:r>
            <w:r>
              <w:rPr>
                <w:rFonts w:ascii="Times New Roman" w:hAnsi="Times New Roman" w:eastAsia="Times New Roman" w:cs="Times New Roman"/>
                <w:spacing w:val="10"/>
                <w:sz w:val="20"/>
                <w:szCs w:val="20"/>
              </w:rPr>
              <w:t>)</w:t>
            </w:r>
            <w:r>
              <w:rPr>
                <w:rFonts w:ascii="宋体" w:hAnsi="宋体" w:eastAsia="宋体" w:cs="宋体"/>
                <w:spacing w:val="10"/>
                <w:sz w:val="20"/>
                <w:szCs w:val="20"/>
              </w:rPr>
              <w:t xml:space="preserve">→ 已浇筑墩顶段桥面砼养护 </w:t>
            </w:r>
            <w:r>
              <w:rPr>
                <w:rFonts w:ascii="Times New Roman" w:hAnsi="Times New Roman" w:eastAsia="Times New Roman" w:cs="Times New Roman"/>
                <w:spacing w:val="10"/>
                <w:sz w:val="20"/>
                <w:szCs w:val="20"/>
              </w:rPr>
              <w:t xml:space="preserve">7 </w:t>
            </w:r>
            <w:r>
              <w:rPr>
                <w:rFonts w:ascii="宋体" w:hAnsi="宋体" w:eastAsia="宋体" w:cs="宋体"/>
                <w:spacing w:val="10"/>
                <w:sz w:val="20"/>
                <w:szCs w:val="20"/>
              </w:rPr>
              <w:t>天</w:t>
            </w:r>
            <w:r>
              <w:rPr>
                <w:rFonts w:ascii="宋体" w:hAnsi="宋体" w:eastAsia="宋体" w:cs="宋体"/>
                <w:spacing w:val="5"/>
                <w:sz w:val="20"/>
                <w:szCs w:val="20"/>
              </w:rPr>
              <w:t>以</w:t>
            </w:r>
          </w:p>
        </w:tc>
      </w:tr>
    </w:tbl>
    <w:p>
      <w:pPr>
        <w:spacing w:line="143" w:lineRule="exact"/>
        <w:rPr>
          <w:rFonts w:ascii="Arial"/>
          <w:sz w:val="12"/>
        </w:rPr>
      </w:pPr>
    </w:p>
    <w:p>
      <w:pPr>
        <w:sectPr>
          <w:footerReference r:id="rId54" w:type="default"/>
          <w:pgSz w:w="11906" w:h="16839"/>
          <w:pgMar w:top="400" w:right="1487" w:bottom="1475" w:left="1486" w:header="0" w:footer="1315" w:gutter="0"/>
          <w:cols w:space="720" w:num="1"/>
        </w:sectPr>
      </w:pPr>
    </w:p>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8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612" w:hRule="atLeast"/>
        </w:trPr>
        <w:tc>
          <w:tcPr>
            <w:tcW w:w="600" w:type="dxa"/>
            <w:tcBorders>
              <w:left w:val="single" w:color="00000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65" w:lineRule="auto"/>
              <w:ind w:left="88" w:right="89" w:hanging="1"/>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施工</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方</w:t>
            </w:r>
            <w:r>
              <w:rPr>
                <w:rFonts w:ascii="宋体" w:hAnsi="宋体" w:eastAsia="宋体" w:cs="宋体"/>
                <w:spacing w:val="5"/>
                <w:sz w:val="20"/>
                <w:szCs w:val="20"/>
                <w14:textOutline w14:w="3795" w14:cap="sq" w14:cmpd="sng">
                  <w14:solidFill>
                    <w14:srgbClr w14:val="000000"/>
                  </w14:solidFill>
                  <w14:prstDash w14:val="solid"/>
                  <w14:bevel/>
                </w14:textOutline>
              </w:rPr>
              <w:t>案</w:t>
            </w:r>
          </w:p>
        </w:tc>
        <w:tc>
          <w:tcPr>
            <w:tcW w:w="8317" w:type="dxa"/>
            <w:tcBorders>
              <w:right w:val="single" w:color="000000" w:sz="6" w:space="0"/>
            </w:tcBorders>
            <w:vAlign w:val="top"/>
          </w:tcPr>
          <w:p>
            <w:pPr>
              <w:spacing w:before="156" w:line="369" w:lineRule="auto"/>
              <w:ind w:left="106" w:right="102" w:firstLine="2"/>
              <w:rPr>
                <w:rFonts w:ascii="宋体" w:hAnsi="宋体" w:eastAsia="宋体" w:cs="宋体"/>
                <w:sz w:val="20"/>
                <w:szCs w:val="20"/>
              </w:rPr>
            </w:pPr>
            <w:r>
              <w:pict>
                <v:rect id="_x0000_s1076" o:spid="_x0000_s1076" o:spt="1" style="position:absolute;left:0pt;margin-left:297.35pt;margin-top:449.65pt;height:25.05pt;width:1.3pt;mso-position-horizontal-relative:page;mso-position-vertical-relative:page;z-index:251732992;mso-width-relative:page;mso-height-relative:page;" fillcolor="#000000" filled="t" stroked="f" coordsize="21600,21600">
                  <v:path/>
                  <v:fill on="t" focussize="0,0"/>
                  <v:stroke on="f"/>
                  <v:imagedata o:title=""/>
                  <o:lock v:ext="edit"/>
                </v:rect>
              </w:pict>
            </w:r>
            <w:r>
              <w:pict>
                <v:rect id="_x0000_s1077" o:spid="_x0000_s1077" o:spt="1" style="position:absolute;left:0pt;margin-left:403.9pt;margin-top:488.65pt;height:21.65pt;width:0.8pt;mso-position-horizontal-relative:page;mso-position-vertical-relative:page;z-index:-251595776;mso-width-relative:page;mso-height-relative:page;" fillcolor="#000000" filled="t" stroked="f" coordsize="21600,21600">
                  <v:path/>
                  <v:fill on="t" focussize="0,0"/>
                  <v:stroke on="f"/>
                  <v:imagedata o:title=""/>
                  <o:lock v:ext="edit"/>
                </v:rect>
              </w:pict>
            </w:r>
            <w:r>
              <w:drawing>
                <wp:anchor distT="0" distB="0" distL="0" distR="0" simplePos="0" relativeHeight="251725824" behindDoc="0" locked="0" layoutInCell="1" allowOverlap="1">
                  <wp:simplePos x="0" y="0"/>
                  <wp:positionH relativeFrom="rightMargin">
                    <wp:posOffset>-3691255</wp:posOffset>
                  </wp:positionH>
                  <wp:positionV relativeFrom="topMargin">
                    <wp:posOffset>4972050</wp:posOffset>
                  </wp:positionV>
                  <wp:extent cx="2202180" cy="10160"/>
                  <wp:effectExtent l="0" t="0" r="0" b="0"/>
                  <wp:wrapNone/>
                  <wp:docPr id="75" name="IM 75"/>
                  <wp:cNvGraphicFramePr/>
                  <a:graphic xmlns:a="http://schemas.openxmlformats.org/drawingml/2006/main">
                    <a:graphicData uri="http://schemas.openxmlformats.org/drawingml/2006/picture">
                      <pic:pic xmlns:pic="http://schemas.openxmlformats.org/drawingml/2006/picture">
                        <pic:nvPicPr>
                          <pic:cNvPr id="75" name="IM 75"/>
                          <pic:cNvPicPr/>
                        </pic:nvPicPr>
                        <pic:blipFill>
                          <a:blip r:embed="rId219"/>
                          <a:stretch>
                            <a:fillRect/>
                          </a:stretch>
                        </pic:blipFill>
                        <pic:spPr>
                          <a:xfrm>
                            <a:off x="0" y="0"/>
                            <a:ext cx="2202281" cy="10109"/>
                          </a:xfrm>
                          <a:prstGeom prst="rect">
                            <a:avLst/>
                          </a:prstGeom>
                        </pic:spPr>
                      </pic:pic>
                    </a:graphicData>
                  </a:graphic>
                </wp:anchor>
              </w:drawing>
            </w:r>
            <w:r>
              <w:drawing>
                <wp:anchor distT="0" distB="0" distL="0" distR="0" simplePos="0" relativeHeight="251717632" behindDoc="1" locked="0" layoutInCell="1" allowOverlap="1">
                  <wp:simplePos x="0" y="0"/>
                  <wp:positionH relativeFrom="rightMargin">
                    <wp:posOffset>-5181600</wp:posOffset>
                  </wp:positionH>
                  <wp:positionV relativeFrom="topMargin">
                    <wp:posOffset>6202680</wp:posOffset>
                  </wp:positionV>
                  <wp:extent cx="10160" cy="274955"/>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220"/>
                          <a:stretch>
                            <a:fillRect/>
                          </a:stretch>
                        </pic:blipFill>
                        <pic:spPr>
                          <a:xfrm>
                            <a:off x="0" y="0"/>
                            <a:ext cx="10096" cy="275246"/>
                          </a:xfrm>
                          <a:prstGeom prst="rect">
                            <a:avLst/>
                          </a:prstGeom>
                        </pic:spPr>
                      </pic:pic>
                    </a:graphicData>
                  </a:graphic>
                </wp:anchor>
              </w:drawing>
            </w:r>
            <w:r>
              <w:drawing>
                <wp:anchor distT="0" distB="0" distL="0" distR="0" simplePos="0" relativeHeight="251727872" behindDoc="0" locked="0" layoutInCell="1" allowOverlap="1">
                  <wp:simplePos x="0" y="0"/>
                  <wp:positionH relativeFrom="rightMargin">
                    <wp:posOffset>-3210560</wp:posOffset>
                  </wp:positionH>
                  <wp:positionV relativeFrom="topMargin">
                    <wp:posOffset>4976495</wp:posOffset>
                  </wp:positionV>
                  <wp:extent cx="76200" cy="370205"/>
                  <wp:effectExtent l="0" t="0" r="0" b="0"/>
                  <wp:wrapNone/>
                  <wp:docPr id="77" name="IM 77"/>
                  <wp:cNvGraphicFramePr/>
                  <a:graphic xmlns:a="http://schemas.openxmlformats.org/drawingml/2006/main">
                    <a:graphicData uri="http://schemas.openxmlformats.org/drawingml/2006/picture">
                      <pic:pic xmlns:pic="http://schemas.openxmlformats.org/drawingml/2006/picture">
                        <pic:nvPicPr>
                          <pic:cNvPr id="77" name="IM 77"/>
                          <pic:cNvPicPr/>
                        </pic:nvPicPr>
                        <pic:blipFill>
                          <a:blip r:embed="rId221"/>
                          <a:stretch>
                            <a:fillRect/>
                          </a:stretch>
                        </pic:blipFill>
                        <pic:spPr>
                          <a:xfrm>
                            <a:off x="0" y="0"/>
                            <a:ext cx="76200" cy="370103"/>
                          </a:xfrm>
                          <a:prstGeom prst="rect">
                            <a:avLst/>
                          </a:prstGeom>
                        </pic:spPr>
                      </pic:pic>
                    </a:graphicData>
                  </a:graphic>
                </wp:anchor>
              </w:drawing>
            </w:r>
            <w:r>
              <w:drawing>
                <wp:anchor distT="0" distB="0" distL="0" distR="0" simplePos="0" relativeHeight="251726848" behindDoc="0" locked="0" layoutInCell="1" allowOverlap="1">
                  <wp:simplePos x="0" y="0"/>
                  <wp:positionH relativeFrom="rightMargin">
                    <wp:posOffset>-2382520</wp:posOffset>
                  </wp:positionH>
                  <wp:positionV relativeFrom="topMargin">
                    <wp:posOffset>4976495</wp:posOffset>
                  </wp:positionV>
                  <wp:extent cx="76200" cy="38227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222"/>
                          <a:stretch>
                            <a:fillRect/>
                          </a:stretch>
                        </pic:blipFill>
                        <pic:spPr>
                          <a:xfrm>
                            <a:off x="0" y="0"/>
                            <a:ext cx="76200" cy="382409"/>
                          </a:xfrm>
                          <a:prstGeom prst="rect">
                            <a:avLst/>
                          </a:prstGeom>
                        </pic:spPr>
                      </pic:pic>
                    </a:graphicData>
                  </a:graphic>
                </wp:anchor>
              </w:drawing>
            </w:r>
            <w:r>
              <w:drawing>
                <wp:anchor distT="0" distB="0" distL="0" distR="0" simplePos="0" relativeHeight="251728896" behindDoc="0" locked="0" layoutInCell="1" allowOverlap="1">
                  <wp:simplePos x="0" y="0"/>
                  <wp:positionH relativeFrom="rightMargin">
                    <wp:posOffset>-1527175</wp:posOffset>
                  </wp:positionH>
                  <wp:positionV relativeFrom="topMargin">
                    <wp:posOffset>4976495</wp:posOffset>
                  </wp:positionV>
                  <wp:extent cx="76200" cy="274320"/>
                  <wp:effectExtent l="0" t="0" r="0" b="0"/>
                  <wp:wrapNone/>
                  <wp:docPr id="79" name="IM 79"/>
                  <wp:cNvGraphicFramePr/>
                  <a:graphic xmlns:a="http://schemas.openxmlformats.org/drawingml/2006/main">
                    <a:graphicData uri="http://schemas.openxmlformats.org/drawingml/2006/picture">
                      <pic:pic xmlns:pic="http://schemas.openxmlformats.org/drawingml/2006/picture">
                        <pic:nvPicPr>
                          <pic:cNvPr id="79" name="IM 79"/>
                          <pic:cNvPicPr/>
                        </pic:nvPicPr>
                        <pic:blipFill>
                          <a:blip r:embed="rId223"/>
                          <a:stretch>
                            <a:fillRect/>
                          </a:stretch>
                        </pic:blipFill>
                        <pic:spPr>
                          <a:xfrm>
                            <a:off x="0" y="0"/>
                            <a:ext cx="76200" cy="274066"/>
                          </a:xfrm>
                          <a:prstGeom prst="rect">
                            <a:avLst/>
                          </a:prstGeom>
                        </pic:spPr>
                      </pic:pic>
                    </a:graphicData>
                  </a:graphic>
                </wp:anchor>
              </w:drawing>
            </w:r>
            <w:r>
              <w:pict>
                <v:shape id="_x0000_s1078" o:spid="_x0000_s1078" o:spt="202" type="#_x0000_t202" style="position:absolute;left:0pt;margin-left:6.5pt;margin-top:419.5pt;height:23.7pt;width:52.3pt;mso-position-horizontal-relative:page;mso-position-vertical-relative:page;z-index:25174528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980"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980"/>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383" w:hRule="atLeast"/>
                          </w:trPr>
                          <w:tc>
                            <w:tcPr>
                              <w:tcW w:w="980" w:type="dxa"/>
                              <w:vAlign w:val="top"/>
                            </w:tcPr>
                            <w:p>
                              <w:pPr>
                                <w:spacing w:before="95" w:line="228" w:lineRule="auto"/>
                                <w:ind w:left="130"/>
                                <w:rPr>
                                  <w:rFonts w:ascii="宋体" w:hAnsi="宋体" w:eastAsia="宋体" w:cs="宋体"/>
                                  <w:sz w:val="20"/>
                                  <w:szCs w:val="20"/>
                                </w:rPr>
                              </w:pPr>
                              <w:r>
                                <w:rPr>
                                  <w:rFonts w:ascii="宋体" w:hAnsi="宋体" w:eastAsia="宋体" w:cs="宋体"/>
                                  <w:spacing w:val="-11"/>
                                  <w:sz w:val="20"/>
                                  <w:szCs w:val="20"/>
                                </w:rPr>
                                <w:t>地表清理</w:t>
                              </w:r>
                            </w:p>
                          </w:tc>
                        </w:tr>
                      </w:tbl>
                      <w:p>
                        <w:pPr>
                          <w:rPr>
                            <w:rFonts w:ascii="Arial"/>
                            <w:sz w:val="21"/>
                          </w:rPr>
                        </w:pPr>
                      </w:p>
                    </w:txbxContent>
                  </v:textbox>
                </v:shape>
              </w:pict>
            </w:r>
            <w:r>
              <w:pict>
                <v:shape id="_x0000_s1079" o:spid="_x0000_s1079" o:spt="202" type="#_x0000_t202" style="position:absolute;left:0pt;margin-left:139.45pt;margin-top:419.75pt;height:23.95pt;width:52.25pt;mso-position-horizontal-relative:page;mso-position-vertical-relative:page;z-index:25174425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979"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979"/>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388" w:hRule="atLeast"/>
                          </w:trPr>
                          <w:tc>
                            <w:tcPr>
                              <w:tcW w:w="979" w:type="dxa"/>
                              <w:vAlign w:val="top"/>
                            </w:tcPr>
                            <w:p>
                              <w:pPr>
                                <w:spacing w:before="95" w:line="228" w:lineRule="auto"/>
                                <w:ind w:left="129"/>
                                <w:rPr>
                                  <w:rFonts w:ascii="宋体" w:hAnsi="宋体" w:eastAsia="宋体" w:cs="宋体"/>
                                  <w:sz w:val="20"/>
                                  <w:szCs w:val="20"/>
                                </w:rPr>
                              </w:pPr>
                              <w:r>
                                <w:rPr>
                                  <w:rFonts w:ascii="宋体" w:hAnsi="宋体" w:eastAsia="宋体" w:cs="宋体"/>
                                  <w:spacing w:val="-14"/>
                                  <w:sz w:val="20"/>
                                  <w:szCs w:val="20"/>
                                </w:rPr>
                                <w:t>边</w:t>
                              </w:r>
                              <w:r>
                                <w:rPr>
                                  <w:rFonts w:ascii="宋体" w:hAnsi="宋体" w:eastAsia="宋体" w:cs="宋体"/>
                                  <w:spacing w:val="-10"/>
                                  <w:sz w:val="20"/>
                                  <w:szCs w:val="20"/>
                                </w:rPr>
                                <w:t>坡防护</w:t>
                              </w:r>
                            </w:p>
                          </w:tc>
                        </w:tr>
                      </w:tbl>
                      <w:p>
                        <w:pPr>
                          <w:rPr>
                            <w:rFonts w:ascii="Arial"/>
                            <w:sz w:val="21"/>
                          </w:rPr>
                        </w:pPr>
                      </w:p>
                    </w:txbxContent>
                  </v:textbox>
                </v:shape>
              </w:pict>
            </w:r>
            <w:r>
              <w:pict>
                <v:shape id="_x0000_s1080" o:spid="_x0000_s1080" o:spt="202" type="#_x0000_t202" style="position:absolute;left:0pt;margin-left:207pt;margin-top:420.1pt;height:23.95pt;width:50.75pt;mso-position-horizontal-relative:page;mso-position-vertical-relative:page;z-index:25174118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952" w:type="dxa"/>
                          <w:tblInd w:w="30" w:type="dxa"/>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952"/>
                        </w:tblGrid>
                        <w:tr>
                          <w:tblPrEx>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388" w:hRule="atLeast"/>
                          </w:trPr>
                          <w:tc>
                            <w:tcPr>
                              <w:tcW w:w="952" w:type="dxa"/>
                              <w:vAlign w:val="top"/>
                            </w:tcPr>
                            <w:p>
                              <w:pPr>
                                <w:spacing w:before="94" w:line="228" w:lineRule="auto"/>
                                <w:ind w:left="121"/>
                                <w:rPr>
                                  <w:rFonts w:ascii="宋体" w:hAnsi="宋体" w:eastAsia="宋体" w:cs="宋体"/>
                                  <w:sz w:val="20"/>
                                  <w:szCs w:val="20"/>
                                </w:rPr>
                              </w:pPr>
                              <w:r>
                                <w:rPr>
                                  <w:rFonts w:ascii="宋体" w:hAnsi="宋体" w:eastAsia="宋体" w:cs="宋体"/>
                                  <w:spacing w:val="-13"/>
                                  <w:sz w:val="20"/>
                                  <w:szCs w:val="20"/>
                                </w:rPr>
                                <w:t>路</w:t>
                              </w:r>
                              <w:r>
                                <w:rPr>
                                  <w:rFonts w:ascii="宋体" w:hAnsi="宋体" w:eastAsia="宋体" w:cs="宋体"/>
                                  <w:spacing w:val="-11"/>
                                  <w:sz w:val="20"/>
                                  <w:szCs w:val="20"/>
                                </w:rPr>
                                <w:t>面工程</w:t>
                              </w:r>
                            </w:p>
                          </w:tc>
                        </w:tr>
                      </w:tbl>
                      <w:p>
                        <w:pPr>
                          <w:rPr>
                            <w:rFonts w:ascii="Arial"/>
                            <w:sz w:val="21"/>
                          </w:rPr>
                        </w:pPr>
                      </w:p>
                    </w:txbxContent>
                  </v:textbox>
                </v:shape>
              </w:pict>
            </w:r>
            <w:r>
              <w:pict>
                <v:shape id="_x0000_s1081" o:spid="_x0000_s1081" o:spt="202" type="#_x0000_t202" style="position:absolute;left:0pt;margin-left:274.65pt;margin-top:418.05pt;height:28.05pt;width:53pt;mso-position-horizontal-relative:page;mso-position-vertical-relative:page;z-index:251743232;mso-width-relative:page;mso-height-relative:page;" filled="f" stroked="f" coordsize="21600,21600">
                  <v:path/>
                  <v:fill on="f" focussize="0,0"/>
                  <v:stroke on="f"/>
                  <v:imagedata o:title=""/>
                  <o:lock v:ext="edit" aspectratio="f"/>
                  <v:textbox inset="0mm,0mm,0mm,0mm">
                    <w:txbxContent>
                      <w:p>
                        <w:pPr>
                          <w:spacing w:before="20"/>
                          <w:ind w:left="427" w:right="20" w:hanging="407"/>
                          <w:rPr>
                            <w:rFonts w:ascii="宋体" w:hAnsi="宋体" w:eastAsia="宋体" w:cs="宋体"/>
                            <w:sz w:val="20"/>
                            <w:szCs w:val="20"/>
                          </w:rPr>
                        </w:pPr>
                        <w:r>
                          <w:rPr>
                            <w:rFonts w:ascii="宋体" w:hAnsi="宋体" w:eastAsia="宋体" w:cs="宋体"/>
                            <w:spacing w:val="-31"/>
                            <w:sz w:val="20"/>
                            <w:szCs w:val="20"/>
                          </w:rPr>
                          <w:t>绿</w:t>
                        </w:r>
                        <w:r>
                          <w:rPr>
                            <w:rFonts w:ascii="宋体" w:hAnsi="宋体" w:eastAsia="宋体" w:cs="宋体"/>
                            <w:spacing w:val="-30"/>
                            <w:sz w:val="20"/>
                            <w:szCs w:val="20"/>
                          </w:rPr>
                          <w:t>化、装饰工</w:t>
                        </w:r>
                        <w:r>
                          <w:rPr>
                            <w:rFonts w:ascii="宋体" w:hAnsi="宋体" w:eastAsia="宋体" w:cs="宋体"/>
                            <w:sz w:val="20"/>
                            <w:szCs w:val="20"/>
                          </w:rPr>
                          <w:t xml:space="preserve"> </w:t>
                        </w:r>
                        <w:r>
                          <w:rPr>
                            <w:rFonts w:ascii="宋体" w:hAnsi="宋体" w:eastAsia="宋体" w:cs="宋体"/>
                            <w:spacing w:val="1"/>
                            <w:sz w:val="20"/>
                            <w:szCs w:val="20"/>
                          </w:rPr>
                          <w:t>程</w:t>
                        </w:r>
                      </w:p>
                    </w:txbxContent>
                  </v:textbox>
                </v:shape>
              </w:pict>
            </w:r>
            <w:r>
              <w:pict>
                <v:shape id="_x0000_s1082" o:spid="_x0000_s1082" o:spt="202" type="#_x0000_t202" style="position:absolute;left:0pt;margin-left:349.65pt;margin-top:425.35pt;height:24.05pt;width:56.15pt;mso-position-horizontal-relative:page;mso-position-vertical-relative:page;z-index:25173708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1062"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062"/>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00" w:hRule="atLeast"/>
                          </w:trPr>
                          <w:tc>
                            <w:tcPr>
                              <w:tcW w:w="1062" w:type="dxa"/>
                              <w:shd w:val="clear" w:color="auto" w:fill="FFCC99"/>
                              <w:vAlign w:val="top"/>
                            </w:tcPr>
                            <w:p>
                              <w:pPr>
                                <w:spacing w:before="96" w:line="228" w:lineRule="auto"/>
                                <w:ind w:left="64"/>
                                <w:rPr>
                                  <w:rFonts w:ascii="宋体" w:hAnsi="宋体" w:eastAsia="宋体" w:cs="宋体"/>
                                  <w:sz w:val="20"/>
                                  <w:szCs w:val="20"/>
                                </w:rPr>
                              </w:pPr>
                              <w:r>
                                <w:rPr>
                                  <w:rFonts w:ascii="宋体" w:hAnsi="宋体" w:eastAsia="宋体" w:cs="宋体"/>
                                  <w:spacing w:val="-17"/>
                                  <w:sz w:val="20"/>
                                  <w:szCs w:val="20"/>
                                </w:rPr>
                                <w:t>噪</w:t>
                              </w:r>
                              <w:r>
                                <w:rPr>
                                  <w:rFonts w:ascii="宋体" w:hAnsi="宋体" w:eastAsia="宋体" w:cs="宋体"/>
                                  <w:spacing w:val="-15"/>
                                  <w:sz w:val="20"/>
                                  <w:szCs w:val="20"/>
                                </w:rPr>
                                <w:t>声、废气</w:t>
                              </w:r>
                            </w:p>
                          </w:tc>
                        </w:tr>
                      </w:tbl>
                      <w:p>
                        <w:pPr>
                          <w:rPr>
                            <w:rFonts w:ascii="Arial"/>
                            <w:sz w:val="21"/>
                          </w:rPr>
                        </w:pPr>
                      </w:p>
                    </w:txbxContent>
                  </v:textbox>
                </v:shape>
              </w:pict>
            </w:r>
            <w:r>
              <w:drawing>
                <wp:anchor distT="0" distB="0" distL="0" distR="0" simplePos="0" relativeHeight="251719680" behindDoc="1" locked="0" layoutInCell="1" allowOverlap="1">
                  <wp:simplePos x="0" y="0"/>
                  <wp:positionH relativeFrom="rightMargin">
                    <wp:posOffset>-2039620</wp:posOffset>
                  </wp:positionH>
                  <wp:positionV relativeFrom="topMargin">
                    <wp:posOffset>5243830</wp:posOffset>
                  </wp:positionV>
                  <wp:extent cx="936625" cy="466090"/>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224"/>
                          <a:stretch>
                            <a:fillRect/>
                          </a:stretch>
                        </pic:blipFill>
                        <pic:spPr>
                          <a:xfrm>
                            <a:off x="0" y="0"/>
                            <a:ext cx="936421" cy="466293"/>
                          </a:xfrm>
                          <a:prstGeom prst="rect">
                            <a:avLst/>
                          </a:prstGeom>
                        </pic:spPr>
                      </pic:pic>
                    </a:graphicData>
                  </a:graphic>
                </wp:anchor>
              </w:drawing>
            </w:r>
            <w:r>
              <w:drawing>
                <wp:anchor distT="0" distB="0" distL="0" distR="0" simplePos="0" relativeHeight="251730944" behindDoc="0" locked="0" layoutInCell="1" allowOverlap="1">
                  <wp:simplePos x="0" y="0"/>
                  <wp:positionH relativeFrom="rightMargin">
                    <wp:posOffset>-3705225</wp:posOffset>
                  </wp:positionH>
                  <wp:positionV relativeFrom="topMargin">
                    <wp:posOffset>5441950</wp:posOffset>
                  </wp:positionV>
                  <wp:extent cx="228600" cy="76200"/>
                  <wp:effectExtent l="0" t="0" r="0" b="0"/>
                  <wp:wrapNone/>
                  <wp:docPr id="81" name="IM 81"/>
                  <wp:cNvGraphicFramePr/>
                  <a:graphic xmlns:a="http://schemas.openxmlformats.org/drawingml/2006/main">
                    <a:graphicData uri="http://schemas.openxmlformats.org/drawingml/2006/picture">
                      <pic:pic xmlns:pic="http://schemas.openxmlformats.org/drawingml/2006/picture">
                        <pic:nvPicPr>
                          <pic:cNvPr id="81" name="IM 81"/>
                          <pic:cNvPicPr/>
                        </pic:nvPicPr>
                        <pic:blipFill>
                          <a:blip r:embed="rId225"/>
                          <a:stretch>
                            <a:fillRect/>
                          </a:stretch>
                        </pic:blipFill>
                        <pic:spPr>
                          <a:xfrm>
                            <a:off x="0" y="0"/>
                            <a:ext cx="228447" cy="76200"/>
                          </a:xfrm>
                          <a:prstGeom prst="rect">
                            <a:avLst/>
                          </a:prstGeom>
                        </pic:spPr>
                      </pic:pic>
                    </a:graphicData>
                  </a:graphic>
                </wp:anchor>
              </w:drawing>
            </w:r>
            <w:r>
              <w:drawing>
                <wp:anchor distT="0" distB="0" distL="0" distR="0" simplePos="0" relativeHeight="251729920" behindDoc="0" locked="0" layoutInCell="1" allowOverlap="1">
                  <wp:simplePos x="0" y="0"/>
                  <wp:positionH relativeFrom="rightMargin">
                    <wp:posOffset>-4547235</wp:posOffset>
                  </wp:positionH>
                  <wp:positionV relativeFrom="topMargin">
                    <wp:posOffset>5440045</wp:posOffset>
                  </wp:positionV>
                  <wp:extent cx="228600" cy="76200"/>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226"/>
                          <a:stretch>
                            <a:fillRect/>
                          </a:stretch>
                        </pic:blipFill>
                        <pic:spPr>
                          <a:xfrm>
                            <a:off x="0" y="0"/>
                            <a:ext cx="228447" cy="76200"/>
                          </a:xfrm>
                          <a:prstGeom prst="rect">
                            <a:avLst/>
                          </a:prstGeom>
                        </pic:spPr>
                      </pic:pic>
                    </a:graphicData>
                  </a:graphic>
                </wp:anchor>
              </w:drawing>
            </w:r>
            <w:r>
              <w:drawing>
                <wp:anchor distT="0" distB="0" distL="0" distR="0" simplePos="0" relativeHeight="251731968" behindDoc="0" locked="0" layoutInCell="1" allowOverlap="1">
                  <wp:simplePos x="0" y="0"/>
                  <wp:positionH relativeFrom="rightMargin">
                    <wp:posOffset>-2866390</wp:posOffset>
                  </wp:positionH>
                  <wp:positionV relativeFrom="topMargin">
                    <wp:posOffset>5440045</wp:posOffset>
                  </wp:positionV>
                  <wp:extent cx="228600" cy="76200"/>
                  <wp:effectExtent l="0" t="0" r="0" b="0"/>
                  <wp:wrapNone/>
                  <wp:docPr id="83" name="IM 83"/>
                  <wp:cNvGraphicFramePr/>
                  <a:graphic xmlns:a="http://schemas.openxmlformats.org/drawingml/2006/main">
                    <a:graphicData uri="http://schemas.openxmlformats.org/drawingml/2006/picture">
                      <pic:pic xmlns:pic="http://schemas.openxmlformats.org/drawingml/2006/picture">
                        <pic:nvPicPr>
                          <pic:cNvPr id="83" name="IM 83"/>
                          <pic:cNvPicPr/>
                        </pic:nvPicPr>
                        <pic:blipFill>
                          <a:blip r:embed="rId227"/>
                          <a:stretch>
                            <a:fillRect/>
                          </a:stretch>
                        </pic:blipFill>
                        <pic:spPr>
                          <a:xfrm>
                            <a:off x="0" y="0"/>
                            <a:ext cx="228434" cy="76200"/>
                          </a:xfrm>
                          <a:prstGeom prst="rect">
                            <a:avLst/>
                          </a:prstGeom>
                        </pic:spPr>
                      </pic:pic>
                    </a:graphicData>
                  </a:graphic>
                </wp:anchor>
              </w:drawing>
            </w:r>
            <w:r>
              <w:drawing>
                <wp:anchor distT="0" distB="0" distL="0" distR="0" simplePos="0" relativeHeight="251715584" behindDoc="1" locked="0" layoutInCell="1" allowOverlap="1">
                  <wp:simplePos x="0" y="0"/>
                  <wp:positionH relativeFrom="rightMargin">
                    <wp:posOffset>-5176520</wp:posOffset>
                  </wp:positionH>
                  <wp:positionV relativeFrom="topMargin">
                    <wp:posOffset>6202680</wp:posOffset>
                  </wp:positionV>
                  <wp:extent cx="4316730" cy="274955"/>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228"/>
                          <a:stretch>
                            <a:fillRect/>
                          </a:stretch>
                        </pic:blipFill>
                        <pic:spPr>
                          <a:xfrm>
                            <a:off x="0" y="0"/>
                            <a:ext cx="4316577" cy="274663"/>
                          </a:xfrm>
                          <a:prstGeom prst="rect">
                            <a:avLst/>
                          </a:prstGeom>
                        </pic:spPr>
                      </pic:pic>
                    </a:graphicData>
                  </a:graphic>
                </wp:anchor>
              </w:drawing>
            </w:r>
            <w:r>
              <w:drawing>
                <wp:anchor distT="0" distB="0" distL="0" distR="0" simplePos="0" relativeHeight="251721728" behindDoc="0" locked="0" layoutInCell="1" allowOverlap="1">
                  <wp:simplePos x="0" y="0"/>
                  <wp:positionH relativeFrom="rightMargin">
                    <wp:posOffset>-3759835</wp:posOffset>
                  </wp:positionH>
                  <wp:positionV relativeFrom="topMargin">
                    <wp:posOffset>6055995</wp:posOffset>
                  </wp:positionV>
                  <wp:extent cx="1895475" cy="280035"/>
                  <wp:effectExtent l="0" t="0" r="0" b="0"/>
                  <wp:wrapNone/>
                  <wp:docPr id="85" name="IM 85"/>
                  <wp:cNvGraphicFramePr/>
                  <a:graphic xmlns:a="http://schemas.openxmlformats.org/drawingml/2006/main">
                    <a:graphicData uri="http://schemas.openxmlformats.org/drawingml/2006/picture">
                      <pic:pic xmlns:pic="http://schemas.openxmlformats.org/drawingml/2006/picture">
                        <pic:nvPicPr>
                          <pic:cNvPr id="85" name="IM 85"/>
                          <pic:cNvPicPr/>
                        </pic:nvPicPr>
                        <pic:blipFill>
                          <a:blip r:embed="rId229"/>
                          <a:stretch>
                            <a:fillRect/>
                          </a:stretch>
                        </pic:blipFill>
                        <pic:spPr>
                          <a:xfrm>
                            <a:off x="0" y="0"/>
                            <a:ext cx="1895284" cy="279920"/>
                          </a:xfrm>
                          <a:prstGeom prst="rect">
                            <a:avLst/>
                          </a:prstGeom>
                        </pic:spPr>
                      </pic:pic>
                    </a:graphicData>
                  </a:graphic>
                </wp:anchor>
              </w:drawing>
            </w:r>
            <w:r>
              <w:drawing>
                <wp:anchor distT="0" distB="0" distL="0" distR="0" simplePos="0" relativeHeight="251722752" behindDoc="0" locked="0" layoutInCell="1" allowOverlap="1">
                  <wp:simplePos x="0" y="0"/>
                  <wp:positionH relativeFrom="rightMargin">
                    <wp:posOffset>-5208905</wp:posOffset>
                  </wp:positionH>
                  <wp:positionV relativeFrom="topMargin">
                    <wp:posOffset>5873750</wp:posOffset>
                  </wp:positionV>
                  <wp:extent cx="739775" cy="464185"/>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230"/>
                          <a:stretch>
                            <a:fillRect/>
                          </a:stretch>
                        </pic:blipFill>
                        <pic:spPr>
                          <a:xfrm>
                            <a:off x="0" y="0"/>
                            <a:ext cx="739978" cy="464388"/>
                          </a:xfrm>
                          <a:prstGeom prst="rect">
                            <a:avLst/>
                          </a:prstGeom>
                        </pic:spPr>
                      </pic:pic>
                    </a:graphicData>
                  </a:graphic>
                </wp:anchor>
              </w:drawing>
            </w:r>
            <w:r>
              <w:drawing>
                <wp:anchor distT="0" distB="0" distL="0" distR="0" simplePos="0" relativeHeight="251723776" behindDoc="0" locked="0" layoutInCell="1" allowOverlap="1">
                  <wp:simplePos x="0" y="0"/>
                  <wp:positionH relativeFrom="rightMargin">
                    <wp:posOffset>-1301115</wp:posOffset>
                  </wp:positionH>
                  <wp:positionV relativeFrom="topMargin">
                    <wp:posOffset>5885815</wp:posOffset>
                  </wp:positionV>
                  <wp:extent cx="429260" cy="283845"/>
                  <wp:effectExtent l="0" t="0" r="0" b="0"/>
                  <wp:wrapNone/>
                  <wp:docPr id="87" name="IM 87"/>
                  <wp:cNvGraphicFramePr/>
                  <a:graphic xmlns:a="http://schemas.openxmlformats.org/drawingml/2006/main">
                    <a:graphicData uri="http://schemas.openxmlformats.org/drawingml/2006/picture">
                      <pic:pic xmlns:pic="http://schemas.openxmlformats.org/drawingml/2006/picture">
                        <pic:nvPicPr>
                          <pic:cNvPr id="87" name="IM 87"/>
                          <pic:cNvPicPr/>
                        </pic:nvPicPr>
                        <pic:blipFill>
                          <a:blip r:embed="rId231"/>
                          <a:stretch>
                            <a:fillRect/>
                          </a:stretch>
                        </pic:blipFill>
                        <pic:spPr>
                          <a:xfrm>
                            <a:off x="0" y="0"/>
                            <a:ext cx="429005" cy="283578"/>
                          </a:xfrm>
                          <a:prstGeom prst="rect">
                            <a:avLst/>
                          </a:prstGeom>
                        </pic:spPr>
                      </pic:pic>
                    </a:graphicData>
                  </a:graphic>
                </wp:anchor>
              </w:drawing>
            </w:r>
            <w:r>
              <w:drawing>
                <wp:anchor distT="0" distB="0" distL="0" distR="0" simplePos="0" relativeHeight="251718656" behindDoc="1" locked="0" layoutInCell="1" allowOverlap="1">
                  <wp:simplePos x="0" y="0"/>
                  <wp:positionH relativeFrom="rightMargin">
                    <wp:posOffset>-5207000</wp:posOffset>
                  </wp:positionH>
                  <wp:positionV relativeFrom="topMargin">
                    <wp:posOffset>5792470</wp:posOffset>
                  </wp:positionV>
                  <wp:extent cx="734695" cy="542290"/>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232"/>
                          <a:stretch>
                            <a:fillRect/>
                          </a:stretch>
                        </pic:blipFill>
                        <pic:spPr>
                          <a:xfrm>
                            <a:off x="0" y="0"/>
                            <a:ext cx="734568" cy="542035"/>
                          </a:xfrm>
                          <a:prstGeom prst="rect">
                            <a:avLst/>
                          </a:prstGeom>
                        </pic:spPr>
                      </pic:pic>
                    </a:graphicData>
                  </a:graphic>
                </wp:anchor>
              </w:drawing>
            </w:r>
            <w:r>
              <w:drawing>
                <wp:anchor distT="0" distB="0" distL="0" distR="0" simplePos="0" relativeHeight="251724800" behindDoc="0" locked="0" layoutInCell="1" allowOverlap="1">
                  <wp:simplePos x="0" y="0"/>
                  <wp:positionH relativeFrom="rightMargin">
                    <wp:posOffset>-3710940</wp:posOffset>
                  </wp:positionH>
                  <wp:positionV relativeFrom="topMargin">
                    <wp:posOffset>5648325</wp:posOffset>
                  </wp:positionV>
                  <wp:extent cx="225425" cy="317500"/>
                  <wp:effectExtent l="0" t="0" r="0" b="0"/>
                  <wp:wrapNone/>
                  <wp:docPr id="89" name="IM 89"/>
                  <wp:cNvGraphicFramePr/>
                  <a:graphic xmlns:a="http://schemas.openxmlformats.org/drawingml/2006/main">
                    <a:graphicData uri="http://schemas.openxmlformats.org/drawingml/2006/picture">
                      <pic:pic xmlns:pic="http://schemas.openxmlformats.org/drawingml/2006/picture">
                        <pic:nvPicPr>
                          <pic:cNvPr id="89" name="IM 89"/>
                          <pic:cNvPicPr/>
                        </pic:nvPicPr>
                        <pic:blipFill>
                          <a:blip r:embed="rId233"/>
                          <a:stretch>
                            <a:fillRect/>
                          </a:stretch>
                        </pic:blipFill>
                        <pic:spPr>
                          <a:xfrm>
                            <a:off x="0" y="0"/>
                            <a:ext cx="225514" cy="317272"/>
                          </a:xfrm>
                          <a:prstGeom prst="rect">
                            <a:avLst/>
                          </a:prstGeom>
                        </pic:spPr>
                      </pic:pic>
                    </a:graphicData>
                  </a:graphic>
                </wp:anchor>
              </w:drawing>
            </w:r>
            <w:r>
              <w:drawing>
                <wp:anchor distT="0" distB="0" distL="0" distR="0" simplePos="0" relativeHeight="251736064" behindDoc="0" locked="0" layoutInCell="1" allowOverlap="1">
                  <wp:simplePos x="0" y="0"/>
                  <wp:positionH relativeFrom="rightMargin">
                    <wp:posOffset>-3202940</wp:posOffset>
                  </wp:positionH>
                  <wp:positionV relativeFrom="topMargin">
                    <wp:posOffset>5617210</wp:posOffset>
                  </wp:positionV>
                  <wp:extent cx="22860" cy="311150"/>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234"/>
                          <a:stretch>
                            <a:fillRect/>
                          </a:stretch>
                        </pic:blipFill>
                        <pic:spPr>
                          <a:xfrm>
                            <a:off x="0" y="0"/>
                            <a:ext cx="22631" cy="311162"/>
                          </a:xfrm>
                          <a:prstGeom prst="rect">
                            <a:avLst/>
                          </a:prstGeom>
                        </pic:spPr>
                      </pic:pic>
                    </a:graphicData>
                  </a:graphic>
                </wp:anchor>
              </w:drawing>
            </w:r>
            <w:r>
              <w:drawing>
                <wp:anchor distT="0" distB="0" distL="0" distR="0" simplePos="0" relativeHeight="251734016" behindDoc="0" locked="0" layoutInCell="1" allowOverlap="1">
                  <wp:simplePos x="0" y="0"/>
                  <wp:positionH relativeFrom="rightMargin">
                    <wp:posOffset>-1488440</wp:posOffset>
                  </wp:positionH>
                  <wp:positionV relativeFrom="topMargin">
                    <wp:posOffset>5991225</wp:posOffset>
                  </wp:positionV>
                  <wp:extent cx="183515" cy="76200"/>
                  <wp:effectExtent l="0" t="0" r="0" b="0"/>
                  <wp:wrapNone/>
                  <wp:docPr id="91" name="IM 91"/>
                  <wp:cNvGraphicFramePr/>
                  <a:graphic xmlns:a="http://schemas.openxmlformats.org/drawingml/2006/main">
                    <a:graphicData uri="http://schemas.openxmlformats.org/drawingml/2006/picture">
                      <pic:pic xmlns:pic="http://schemas.openxmlformats.org/drawingml/2006/picture">
                        <pic:nvPicPr>
                          <pic:cNvPr id="91" name="IM 91"/>
                          <pic:cNvPicPr/>
                        </pic:nvPicPr>
                        <pic:blipFill>
                          <a:blip r:embed="rId235"/>
                          <a:stretch>
                            <a:fillRect/>
                          </a:stretch>
                        </pic:blipFill>
                        <pic:spPr>
                          <a:xfrm>
                            <a:off x="0" y="0"/>
                            <a:ext cx="183540" cy="76200"/>
                          </a:xfrm>
                          <a:prstGeom prst="rect">
                            <a:avLst/>
                          </a:prstGeom>
                        </pic:spPr>
                      </pic:pic>
                    </a:graphicData>
                  </a:graphic>
                </wp:anchor>
              </w:drawing>
            </w:r>
            <w:r>
              <w:drawing>
                <wp:anchor distT="0" distB="0" distL="0" distR="0" simplePos="0" relativeHeight="251746304" behindDoc="0" locked="0" layoutInCell="1" allowOverlap="1">
                  <wp:simplePos x="0" y="0"/>
                  <wp:positionH relativeFrom="rightMargin">
                    <wp:posOffset>-504825</wp:posOffset>
                  </wp:positionH>
                  <wp:positionV relativeFrom="topMargin">
                    <wp:posOffset>5683885</wp:posOffset>
                  </wp:positionV>
                  <wp:extent cx="76200" cy="193675"/>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236"/>
                          <a:stretch>
                            <a:fillRect/>
                          </a:stretch>
                        </pic:blipFill>
                        <pic:spPr>
                          <a:xfrm>
                            <a:off x="0" y="0"/>
                            <a:ext cx="76136" cy="193447"/>
                          </a:xfrm>
                          <a:prstGeom prst="rect">
                            <a:avLst/>
                          </a:prstGeom>
                        </pic:spPr>
                      </pic:pic>
                    </a:graphicData>
                  </a:graphic>
                </wp:anchor>
              </w:drawing>
            </w:r>
            <w:r>
              <w:drawing>
                <wp:anchor distT="0" distB="0" distL="0" distR="0" simplePos="0" relativeHeight="251735040" behindDoc="0" locked="0" layoutInCell="1" allowOverlap="1">
                  <wp:simplePos x="0" y="0"/>
                  <wp:positionH relativeFrom="rightMargin">
                    <wp:posOffset>-876935</wp:posOffset>
                  </wp:positionH>
                  <wp:positionV relativeFrom="topMargin">
                    <wp:posOffset>5996940</wp:posOffset>
                  </wp:positionV>
                  <wp:extent cx="122555" cy="76200"/>
                  <wp:effectExtent l="0" t="0" r="0" b="0"/>
                  <wp:wrapNone/>
                  <wp:docPr id="93" name="IM 93"/>
                  <wp:cNvGraphicFramePr/>
                  <a:graphic xmlns:a="http://schemas.openxmlformats.org/drawingml/2006/main">
                    <a:graphicData uri="http://schemas.openxmlformats.org/drawingml/2006/picture">
                      <pic:pic xmlns:pic="http://schemas.openxmlformats.org/drawingml/2006/picture">
                        <pic:nvPicPr>
                          <pic:cNvPr id="93" name="IM 93"/>
                          <pic:cNvPicPr/>
                        </pic:nvPicPr>
                        <pic:blipFill>
                          <a:blip r:embed="rId237"/>
                          <a:stretch>
                            <a:fillRect/>
                          </a:stretch>
                        </pic:blipFill>
                        <pic:spPr>
                          <a:xfrm>
                            <a:off x="0" y="0"/>
                            <a:ext cx="122377" cy="76200"/>
                          </a:xfrm>
                          <a:prstGeom prst="rect">
                            <a:avLst/>
                          </a:prstGeom>
                        </pic:spPr>
                      </pic:pic>
                    </a:graphicData>
                  </a:graphic>
                </wp:anchor>
              </w:drawing>
            </w:r>
            <w:r>
              <w:rPr>
                <w:rFonts w:ascii="宋体" w:hAnsi="宋体" w:eastAsia="宋体" w:cs="宋体"/>
                <w:spacing w:val="10"/>
                <w:sz w:val="20"/>
                <w:szCs w:val="20"/>
              </w:rPr>
              <w:t xml:space="preserve">上，并且砼强度达标准强度的 </w:t>
            </w:r>
            <w:r>
              <w:rPr>
                <w:rFonts w:ascii="Times New Roman" w:hAnsi="Times New Roman" w:eastAsia="Times New Roman" w:cs="Times New Roman"/>
                <w:spacing w:val="10"/>
                <w:sz w:val="20"/>
                <w:szCs w:val="20"/>
              </w:rPr>
              <w:t>80</w:t>
            </w:r>
            <w:r>
              <w:rPr>
                <w:rFonts w:ascii="宋体" w:hAnsi="宋体" w:eastAsia="宋体" w:cs="宋体"/>
                <w:spacing w:val="10"/>
                <w:sz w:val="20"/>
                <w:szCs w:val="20"/>
              </w:rPr>
              <w:t>％以上→先浇筑曲线内侧防撞护栏，后浇筑曲线外侧</w:t>
            </w:r>
            <w:r>
              <w:rPr>
                <w:rFonts w:ascii="宋体" w:hAnsi="宋体" w:eastAsia="宋体" w:cs="宋体"/>
                <w:spacing w:val="2"/>
                <w:sz w:val="20"/>
                <w:szCs w:val="20"/>
              </w:rPr>
              <w:t>防</w:t>
            </w:r>
            <w:r>
              <w:rPr>
                <w:rFonts w:ascii="宋体" w:hAnsi="宋体" w:eastAsia="宋体" w:cs="宋体"/>
                <w:sz w:val="20"/>
                <w:szCs w:val="20"/>
              </w:rPr>
              <w:t xml:space="preserve"> </w:t>
            </w:r>
            <w:r>
              <w:rPr>
                <w:rFonts w:ascii="宋体" w:hAnsi="宋体" w:eastAsia="宋体" w:cs="宋体"/>
                <w:spacing w:val="14"/>
                <w:sz w:val="20"/>
                <w:szCs w:val="20"/>
              </w:rPr>
              <w:t>撞护栏</w:t>
            </w:r>
            <w:r>
              <w:rPr>
                <w:rFonts w:ascii="宋体" w:hAnsi="宋体" w:eastAsia="宋体" w:cs="宋体"/>
                <w:spacing w:val="10"/>
                <w:sz w:val="20"/>
                <w:szCs w:val="20"/>
              </w:rPr>
              <w:t>；</w:t>
            </w:r>
            <w:r>
              <w:rPr>
                <w:rFonts w:ascii="宋体" w:hAnsi="宋体" w:eastAsia="宋体" w:cs="宋体"/>
                <w:spacing w:val="7"/>
                <w:sz w:val="20"/>
                <w:szCs w:val="20"/>
              </w:rPr>
              <w:t>沥青砼铺装施工，桥面连续、伸缩缝、防震缓冲橡胶垫块、排水系统等附属结构</w:t>
            </w:r>
            <w:r>
              <w:rPr>
                <w:rFonts w:ascii="宋体" w:hAnsi="宋体" w:eastAsia="宋体" w:cs="宋体"/>
                <w:sz w:val="20"/>
                <w:szCs w:val="20"/>
              </w:rPr>
              <w:t xml:space="preserve"> </w:t>
            </w:r>
            <w:r>
              <w:rPr>
                <w:rFonts w:ascii="宋体" w:hAnsi="宋体" w:eastAsia="宋体" w:cs="宋体"/>
                <w:spacing w:val="14"/>
                <w:sz w:val="20"/>
                <w:szCs w:val="20"/>
              </w:rPr>
              <w:t>施工→</w:t>
            </w:r>
            <w:r>
              <w:rPr>
                <w:rFonts w:ascii="宋体" w:hAnsi="宋体" w:eastAsia="宋体" w:cs="宋体"/>
                <w:spacing w:val="10"/>
                <w:sz w:val="20"/>
                <w:szCs w:val="20"/>
              </w:rPr>
              <w:t>对</w:t>
            </w:r>
            <w:r>
              <w:rPr>
                <w:rFonts w:ascii="宋体" w:hAnsi="宋体" w:eastAsia="宋体" w:cs="宋体"/>
                <w:spacing w:val="7"/>
                <w:sz w:val="20"/>
                <w:szCs w:val="20"/>
              </w:rPr>
              <w:t>钢梁局部涂装损伤部分及现场焊接接头补充涂装。钢梁形成整体后，就可以进行</w:t>
            </w:r>
            <w:r>
              <w:rPr>
                <w:rFonts w:ascii="宋体" w:hAnsi="宋体" w:eastAsia="宋体" w:cs="宋体"/>
                <w:sz w:val="20"/>
                <w:szCs w:val="20"/>
              </w:rPr>
              <w:t xml:space="preserve"> </w:t>
            </w:r>
            <w:r>
              <w:rPr>
                <w:rFonts w:ascii="宋体" w:hAnsi="宋体" w:eastAsia="宋体" w:cs="宋体"/>
                <w:spacing w:val="9"/>
                <w:sz w:val="20"/>
                <w:szCs w:val="20"/>
              </w:rPr>
              <w:t>混</w:t>
            </w:r>
            <w:r>
              <w:rPr>
                <w:rFonts w:ascii="宋体" w:hAnsi="宋体" w:eastAsia="宋体" w:cs="宋体"/>
                <w:spacing w:val="8"/>
                <w:sz w:val="20"/>
                <w:szCs w:val="20"/>
              </w:rPr>
              <w:t>凝土桥面板的浇筑。</w:t>
            </w:r>
          </w:p>
          <w:p>
            <w:pPr>
              <w:spacing w:line="226" w:lineRule="auto"/>
              <w:ind w:left="590"/>
              <w:rPr>
                <w:rFonts w:ascii="宋体" w:hAnsi="宋体" w:eastAsia="宋体" w:cs="宋体"/>
                <w:sz w:val="20"/>
                <w:szCs w:val="20"/>
              </w:rPr>
            </w:pPr>
            <w:r>
              <w:rPr>
                <w:rFonts w:ascii="宋体" w:hAnsi="宋体" w:eastAsia="宋体" w:cs="宋体"/>
                <w:spacing w:val="10"/>
                <w:sz w:val="17"/>
                <w:szCs w:val="17"/>
              </w:rPr>
              <w:t>3</w:t>
            </w:r>
            <w:r>
              <w:rPr>
                <w:rFonts w:ascii="宋体" w:hAnsi="宋体" w:eastAsia="宋体" w:cs="宋体"/>
                <w:spacing w:val="7"/>
                <w:sz w:val="17"/>
                <w:szCs w:val="17"/>
              </w:rPr>
              <w:t xml:space="preserve">   </w:t>
            </w:r>
            <w:r>
              <w:rPr>
                <w:rFonts w:ascii="宋体" w:hAnsi="宋体" w:eastAsia="宋体" w:cs="宋体"/>
                <w:spacing w:val="7"/>
                <w:sz w:val="20"/>
                <w:szCs w:val="20"/>
              </w:rPr>
              <w:t>桥面附属设施施工</w:t>
            </w:r>
          </w:p>
          <w:p>
            <w:pPr>
              <w:spacing w:before="156" w:line="369" w:lineRule="auto"/>
              <w:ind w:left="106" w:right="34" w:firstLine="422"/>
              <w:rPr>
                <w:rFonts w:ascii="宋体" w:hAnsi="宋体" w:eastAsia="宋体" w:cs="宋体"/>
                <w:sz w:val="20"/>
                <w:szCs w:val="20"/>
              </w:rPr>
            </w:pPr>
            <w:r>
              <w:rPr>
                <w:rFonts w:ascii="宋体" w:hAnsi="宋体" w:eastAsia="宋体" w:cs="宋体"/>
                <w:spacing w:val="14"/>
                <w:sz w:val="20"/>
                <w:szCs w:val="20"/>
              </w:rPr>
              <w:t>主体</w:t>
            </w:r>
            <w:r>
              <w:rPr>
                <w:rFonts w:ascii="宋体" w:hAnsi="宋体" w:eastAsia="宋体" w:cs="宋体"/>
                <w:spacing w:val="9"/>
                <w:sz w:val="20"/>
                <w:szCs w:val="20"/>
              </w:rPr>
              <w:t>结</w:t>
            </w:r>
            <w:r>
              <w:rPr>
                <w:rFonts w:ascii="宋体" w:hAnsi="宋体" w:eastAsia="宋体" w:cs="宋体"/>
                <w:spacing w:val="7"/>
                <w:sz w:val="20"/>
                <w:szCs w:val="20"/>
              </w:rPr>
              <w:t>构施工完成后，拆除临时墩，进行桥面附属结构的施工。施工时必须对桥面板</w:t>
            </w:r>
            <w:r>
              <w:rPr>
                <w:rFonts w:ascii="宋体" w:hAnsi="宋体" w:eastAsia="宋体" w:cs="宋体"/>
                <w:sz w:val="20"/>
                <w:szCs w:val="20"/>
              </w:rPr>
              <w:t xml:space="preserve"> </w:t>
            </w:r>
            <w:r>
              <w:rPr>
                <w:rFonts w:ascii="宋体" w:hAnsi="宋体" w:eastAsia="宋体" w:cs="宋体"/>
                <w:spacing w:val="18"/>
                <w:sz w:val="20"/>
                <w:szCs w:val="20"/>
              </w:rPr>
              <w:t>顶</w:t>
            </w:r>
            <w:r>
              <w:rPr>
                <w:rFonts w:ascii="宋体" w:hAnsi="宋体" w:eastAsia="宋体" w:cs="宋体"/>
                <w:spacing w:val="15"/>
                <w:sz w:val="20"/>
                <w:szCs w:val="20"/>
              </w:rPr>
              <w:t>面</w:t>
            </w:r>
            <w:r>
              <w:rPr>
                <w:rFonts w:ascii="宋体" w:hAnsi="宋体" w:eastAsia="宋体" w:cs="宋体"/>
                <w:spacing w:val="9"/>
                <w:sz w:val="20"/>
                <w:szCs w:val="20"/>
              </w:rPr>
              <w:t>进行凿毛，并用高压水枪冲洗干净，即按施工缝处理，待冲洗水干后进行桥面铺装。</w:t>
            </w:r>
            <w:r>
              <w:rPr>
                <w:rFonts w:ascii="宋体" w:hAnsi="宋体" w:eastAsia="宋体" w:cs="宋体"/>
                <w:sz w:val="20"/>
                <w:szCs w:val="20"/>
              </w:rPr>
              <w:t xml:space="preserve"> </w:t>
            </w:r>
            <w:r>
              <w:rPr>
                <w:rFonts w:ascii="宋体" w:hAnsi="宋体" w:eastAsia="宋体" w:cs="宋体"/>
                <w:spacing w:val="14"/>
                <w:sz w:val="20"/>
                <w:szCs w:val="20"/>
              </w:rPr>
              <w:t>在进行</w:t>
            </w:r>
            <w:r>
              <w:rPr>
                <w:rFonts w:ascii="宋体" w:hAnsi="宋体" w:eastAsia="宋体" w:cs="宋体"/>
                <w:spacing w:val="8"/>
                <w:sz w:val="20"/>
                <w:szCs w:val="20"/>
              </w:rPr>
              <w:t>桥</w:t>
            </w:r>
            <w:r>
              <w:rPr>
                <w:rFonts w:ascii="宋体" w:hAnsi="宋体" w:eastAsia="宋体" w:cs="宋体"/>
                <w:spacing w:val="7"/>
                <w:sz w:val="20"/>
                <w:szCs w:val="20"/>
              </w:rPr>
              <w:t>面铺装施工之前，应首先对桥梁现阶段梁顶标高进行一次全面复测。用高压水枪</w:t>
            </w:r>
            <w:r>
              <w:rPr>
                <w:rFonts w:ascii="宋体" w:hAnsi="宋体" w:eastAsia="宋体" w:cs="宋体"/>
                <w:sz w:val="20"/>
                <w:szCs w:val="20"/>
              </w:rPr>
              <w:t xml:space="preserve"> </w:t>
            </w:r>
            <w:r>
              <w:rPr>
                <w:rFonts w:ascii="宋体" w:hAnsi="宋体" w:eastAsia="宋体" w:cs="宋体"/>
                <w:spacing w:val="14"/>
                <w:sz w:val="20"/>
                <w:szCs w:val="20"/>
              </w:rPr>
              <w:t>冲洗桥</w:t>
            </w:r>
            <w:r>
              <w:rPr>
                <w:rFonts w:ascii="宋体" w:hAnsi="宋体" w:eastAsia="宋体" w:cs="宋体"/>
                <w:spacing w:val="8"/>
                <w:sz w:val="20"/>
                <w:szCs w:val="20"/>
              </w:rPr>
              <w:t>面</w:t>
            </w:r>
            <w:r>
              <w:rPr>
                <w:rFonts w:ascii="宋体" w:hAnsi="宋体" w:eastAsia="宋体" w:cs="宋体"/>
                <w:spacing w:val="7"/>
                <w:sz w:val="20"/>
                <w:szCs w:val="20"/>
              </w:rPr>
              <w:t>，然后施工防水材料，防水材料应抹刷均匀，不可在阴雨天施工。最后施工砼桥</w:t>
            </w:r>
            <w:r>
              <w:rPr>
                <w:rFonts w:ascii="宋体" w:hAnsi="宋体" w:eastAsia="宋体" w:cs="宋体"/>
                <w:sz w:val="20"/>
                <w:szCs w:val="20"/>
              </w:rPr>
              <w:t xml:space="preserve"> </w:t>
            </w:r>
            <w:r>
              <w:rPr>
                <w:rFonts w:ascii="宋体" w:hAnsi="宋体" w:eastAsia="宋体" w:cs="宋体"/>
                <w:spacing w:val="8"/>
                <w:sz w:val="20"/>
                <w:szCs w:val="20"/>
              </w:rPr>
              <w:t>面</w:t>
            </w:r>
            <w:r>
              <w:rPr>
                <w:rFonts w:ascii="宋体" w:hAnsi="宋体" w:eastAsia="宋体" w:cs="宋体"/>
                <w:spacing w:val="6"/>
                <w:sz w:val="20"/>
                <w:szCs w:val="20"/>
              </w:rPr>
              <w:t>调</w:t>
            </w:r>
            <w:r>
              <w:rPr>
                <w:rFonts w:ascii="宋体" w:hAnsi="宋体" w:eastAsia="宋体" w:cs="宋体"/>
                <w:spacing w:val="4"/>
                <w:sz w:val="20"/>
                <w:szCs w:val="20"/>
              </w:rPr>
              <w:t>平层，应严格控制设计标高和铺装层厚度，确保桥面铺装和桥面板连成整体。分隔带、</w:t>
            </w:r>
            <w:r>
              <w:rPr>
                <w:rFonts w:ascii="宋体" w:hAnsi="宋体" w:eastAsia="宋体" w:cs="宋体"/>
                <w:sz w:val="20"/>
                <w:szCs w:val="20"/>
              </w:rPr>
              <w:t xml:space="preserve"> </w:t>
            </w:r>
            <w:r>
              <w:rPr>
                <w:rFonts w:ascii="宋体" w:hAnsi="宋体" w:eastAsia="宋体" w:cs="宋体"/>
                <w:spacing w:val="14"/>
                <w:sz w:val="20"/>
                <w:szCs w:val="20"/>
              </w:rPr>
              <w:t>人</w:t>
            </w:r>
            <w:r>
              <w:rPr>
                <w:rFonts w:ascii="宋体" w:hAnsi="宋体" w:eastAsia="宋体" w:cs="宋体"/>
                <w:spacing w:val="9"/>
                <w:sz w:val="20"/>
                <w:szCs w:val="20"/>
              </w:rPr>
              <w:t>行道板预制件与桥面板的连接面必须按施工缝处理。</w:t>
            </w:r>
          </w:p>
          <w:p>
            <w:pPr>
              <w:spacing w:before="1" w:line="368" w:lineRule="auto"/>
              <w:ind w:left="106" w:right="104" w:firstLine="420"/>
              <w:rPr>
                <w:rFonts w:ascii="宋体" w:hAnsi="宋体" w:eastAsia="宋体" w:cs="宋体"/>
                <w:sz w:val="20"/>
                <w:szCs w:val="20"/>
              </w:rPr>
            </w:pPr>
            <w:r>
              <w:rPr>
                <w:rFonts w:ascii="宋体" w:hAnsi="宋体" w:eastAsia="宋体" w:cs="宋体"/>
                <w:spacing w:val="19"/>
                <w:sz w:val="20"/>
                <w:szCs w:val="20"/>
              </w:rPr>
              <w:t>桥</w:t>
            </w:r>
            <w:r>
              <w:rPr>
                <w:rFonts w:ascii="宋体" w:hAnsi="宋体" w:eastAsia="宋体" w:cs="宋体"/>
                <w:spacing w:val="13"/>
                <w:sz w:val="20"/>
                <w:szCs w:val="20"/>
              </w:rPr>
              <w:t>面附属设施的施工顺序为先安装事先预制好的分隔带→绑扎桥面钢筋→浇注桥面</w:t>
            </w:r>
            <w:r>
              <w:rPr>
                <w:rFonts w:ascii="宋体" w:hAnsi="宋体" w:eastAsia="宋体" w:cs="宋体"/>
                <w:sz w:val="20"/>
                <w:szCs w:val="20"/>
              </w:rPr>
              <w:t xml:space="preserve"> </w:t>
            </w:r>
            <w:r>
              <w:rPr>
                <w:rFonts w:ascii="宋体" w:hAnsi="宋体" w:eastAsia="宋体" w:cs="宋体"/>
                <w:spacing w:val="9"/>
                <w:sz w:val="20"/>
                <w:szCs w:val="20"/>
              </w:rPr>
              <w:t>砼→等强→浇注桥面沥青砼→其他安装</w:t>
            </w:r>
            <w:r>
              <w:rPr>
                <w:rFonts w:ascii="宋体" w:hAnsi="宋体" w:eastAsia="宋体" w:cs="宋体"/>
                <w:spacing w:val="6"/>
                <w:sz w:val="20"/>
                <w:szCs w:val="20"/>
              </w:rPr>
              <w:t>。</w:t>
            </w:r>
          </w:p>
          <w:p>
            <w:pPr>
              <w:spacing w:before="2" w:line="368" w:lineRule="auto"/>
              <w:ind w:left="107" w:right="69" w:firstLine="420"/>
              <w:rPr>
                <w:rFonts w:ascii="宋体" w:hAnsi="宋体" w:eastAsia="宋体" w:cs="宋体"/>
                <w:sz w:val="20"/>
                <w:szCs w:val="20"/>
              </w:rPr>
            </w:pPr>
            <w:r>
              <w:rPr>
                <w:rFonts w:ascii="宋体" w:hAnsi="宋体" w:eastAsia="宋体" w:cs="宋体"/>
                <w:spacing w:val="16"/>
                <w:sz w:val="20"/>
                <w:szCs w:val="20"/>
              </w:rPr>
              <w:t>桥</w:t>
            </w:r>
            <w:r>
              <w:rPr>
                <w:rFonts w:ascii="宋体" w:hAnsi="宋体" w:eastAsia="宋体" w:cs="宋体"/>
                <w:spacing w:val="13"/>
                <w:sz w:val="20"/>
                <w:szCs w:val="20"/>
              </w:rPr>
              <w:t>梁</w:t>
            </w:r>
            <w:r>
              <w:rPr>
                <w:rFonts w:ascii="宋体" w:hAnsi="宋体" w:eastAsia="宋体" w:cs="宋体"/>
                <w:spacing w:val="8"/>
                <w:sz w:val="20"/>
                <w:szCs w:val="20"/>
              </w:rPr>
              <w:t>的施工及使用过程应实行严格管理，在桥面铺装未达到设计强度前的整个过程，</w:t>
            </w:r>
            <w:r>
              <w:rPr>
                <w:rFonts w:ascii="宋体" w:hAnsi="宋体" w:eastAsia="宋体" w:cs="宋体"/>
                <w:sz w:val="20"/>
                <w:szCs w:val="20"/>
              </w:rPr>
              <w:t xml:space="preserve"> </w:t>
            </w:r>
            <w:r>
              <w:rPr>
                <w:rFonts w:ascii="宋体" w:hAnsi="宋体" w:eastAsia="宋体" w:cs="宋体"/>
                <w:spacing w:val="11"/>
                <w:sz w:val="20"/>
                <w:szCs w:val="20"/>
              </w:rPr>
              <w:t>禁</w:t>
            </w:r>
            <w:r>
              <w:rPr>
                <w:rFonts w:ascii="宋体" w:hAnsi="宋体" w:eastAsia="宋体" w:cs="宋体"/>
                <w:spacing w:val="9"/>
                <w:sz w:val="20"/>
                <w:szCs w:val="20"/>
              </w:rPr>
              <w:t>止车辆通行；使用过程必须进行定期检查和维护。</w:t>
            </w:r>
          </w:p>
          <w:p>
            <w:pPr>
              <w:spacing w:before="2" w:line="369" w:lineRule="auto"/>
              <w:ind w:left="110" w:right="102" w:firstLine="419"/>
              <w:rPr>
                <w:rFonts w:ascii="宋体" w:hAnsi="宋体" w:eastAsia="宋体" w:cs="宋体"/>
                <w:sz w:val="20"/>
                <w:szCs w:val="20"/>
              </w:rPr>
            </w:pPr>
            <w:r>
              <w:rPr>
                <w:rFonts w:ascii="宋体" w:hAnsi="宋体" w:eastAsia="宋体" w:cs="宋体"/>
                <w:spacing w:val="14"/>
                <w:sz w:val="20"/>
                <w:szCs w:val="20"/>
              </w:rPr>
              <w:t>综上</w:t>
            </w:r>
            <w:r>
              <w:rPr>
                <w:rFonts w:ascii="宋体" w:hAnsi="宋体" w:eastAsia="宋体" w:cs="宋体"/>
                <w:spacing w:val="8"/>
                <w:sz w:val="20"/>
                <w:szCs w:val="20"/>
              </w:rPr>
              <w:t>所</w:t>
            </w:r>
            <w:r>
              <w:rPr>
                <w:rFonts w:ascii="宋体" w:hAnsi="宋体" w:eastAsia="宋体" w:cs="宋体"/>
                <w:spacing w:val="7"/>
                <w:sz w:val="20"/>
                <w:szCs w:val="20"/>
              </w:rPr>
              <w:t>述，主桥工期在确保施工安全的基础上，安排工期时应统筹兼顾，尽量保证各</w:t>
            </w:r>
            <w:r>
              <w:rPr>
                <w:rFonts w:ascii="宋体" w:hAnsi="宋体" w:eastAsia="宋体" w:cs="宋体"/>
                <w:sz w:val="20"/>
                <w:szCs w:val="20"/>
              </w:rPr>
              <w:t xml:space="preserve"> </w:t>
            </w:r>
            <w:r>
              <w:rPr>
                <w:rFonts w:ascii="宋体" w:hAnsi="宋体" w:eastAsia="宋体" w:cs="宋体"/>
                <w:spacing w:val="18"/>
                <w:sz w:val="20"/>
                <w:szCs w:val="20"/>
              </w:rPr>
              <w:t>工</w:t>
            </w:r>
            <w:r>
              <w:rPr>
                <w:rFonts w:ascii="宋体" w:hAnsi="宋体" w:eastAsia="宋体" w:cs="宋体"/>
                <w:spacing w:val="16"/>
                <w:sz w:val="20"/>
                <w:szCs w:val="20"/>
              </w:rPr>
              <w:t>序</w:t>
            </w:r>
            <w:r>
              <w:rPr>
                <w:rFonts w:ascii="宋体" w:hAnsi="宋体" w:eastAsia="宋体" w:cs="宋体"/>
                <w:spacing w:val="9"/>
                <w:sz w:val="20"/>
                <w:szCs w:val="20"/>
              </w:rPr>
              <w:t>间连续作业。施工安排时，尽量利用枯水期施工主墩基。工期可按下述计划安排：</w:t>
            </w:r>
          </w:p>
          <w:p>
            <w:pPr>
              <w:spacing w:before="1" w:line="227" w:lineRule="auto"/>
              <w:ind w:left="537"/>
              <w:rPr>
                <w:rFonts w:ascii="宋体" w:hAnsi="宋体" w:eastAsia="宋体" w:cs="宋体"/>
                <w:sz w:val="20"/>
                <w:szCs w:val="20"/>
              </w:rPr>
            </w:pPr>
            <w:r>
              <w:rPr>
                <w:rFonts w:ascii="宋体" w:hAnsi="宋体" w:eastAsia="宋体" w:cs="宋体"/>
                <w:spacing w:val="17"/>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7"/>
                <w:sz w:val="20"/>
                <w:szCs w:val="20"/>
              </w:rPr>
              <w:t>2</w:t>
            </w:r>
            <w:r>
              <w:rPr>
                <w:rFonts w:ascii="宋体" w:hAnsi="宋体" w:eastAsia="宋体" w:cs="宋体"/>
                <w:spacing w:val="17"/>
                <w:sz w:val="20"/>
                <w:szCs w:val="20"/>
                <w14:textOutline w14:w="3795" w14:cap="sq" w14:cmpd="sng">
                  <w14:solidFill>
                    <w14:srgbClr w14:val="000000"/>
                  </w14:solidFill>
                  <w14:prstDash w14:val="solid"/>
                  <w14:bevel/>
                </w14:textOutline>
              </w:rPr>
              <w:t>)</w:t>
            </w:r>
            <w:r>
              <w:rPr>
                <w:rFonts w:ascii="宋体" w:hAnsi="宋体" w:eastAsia="宋体" w:cs="宋体"/>
                <w:spacing w:val="17"/>
                <w:sz w:val="20"/>
                <w:szCs w:val="20"/>
              </w:rPr>
              <w:t xml:space="preserve"> </w:t>
            </w:r>
            <w:r>
              <w:rPr>
                <w:rFonts w:ascii="宋体" w:hAnsi="宋体" w:eastAsia="宋体" w:cs="宋体"/>
                <w:spacing w:val="17"/>
                <w:sz w:val="20"/>
                <w:szCs w:val="20"/>
                <w14:textOutline w14:w="3795" w14:cap="sq" w14:cmpd="sng">
                  <w14:solidFill>
                    <w14:srgbClr w14:val="000000"/>
                  </w14:solidFill>
                  <w14:prstDash w14:val="solid"/>
                  <w14:bevel/>
                </w14:textOutline>
              </w:rPr>
              <w:t>道路施工工</w:t>
            </w:r>
            <w:r>
              <w:rPr>
                <w:rFonts w:ascii="宋体" w:hAnsi="宋体" w:eastAsia="宋体" w:cs="宋体"/>
                <w:spacing w:val="16"/>
                <w:sz w:val="20"/>
                <w:szCs w:val="20"/>
                <w14:textOutline w14:w="3795" w14:cap="sq" w14:cmpd="sng">
                  <w14:solidFill>
                    <w14:srgbClr w14:val="000000"/>
                  </w14:solidFill>
                  <w14:prstDash w14:val="solid"/>
                  <w14:bevel/>
                </w14:textOutline>
              </w:rPr>
              <w:t>艺</w:t>
            </w:r>
          </w:p>
          <w:p>
            <w:pPr>
              <w:spacing w:before="151" w:line="228" w:lineRule="auto"/>
              <w:ind w:left="531"/>
              <w:rPr>
                <w:rFonts w:ascii="宋体" w:hAnsi="宋体" w:eastAsia="宋体" w:cs="宋体"/>
                <w:sz w:val="20"/>
                <w:szCs w:val="20"/>
              </w:rPr>
            </w:pPr>
            <w:r>
              <w:rPr>
                <w:rFonts w:ascii="宋体" w:hAnsi="宋体" w:eastAsia="宋体" w:cs="宋体"/>
                <w:spacing w:val="9"/>
                <w:sz w:val="20"/>
                <w:szCs w:val="20"/>
              </w:rPr>
              <w:t>项目施工期及营运期流程及产污位置图见下图</w:t>
            </w:r>
            <w:r>
              <w:rPr>
                <w:rFonts w:ascii="宋体" w:hAnsi="宋体" w:eastAsia="宋体" w:cs="宋体"/>
                <w:spacing w:val="6"/>
                <w:sz w:val="20"/>
                <w:szCs w:val="20"/>
              </w:rPr>
              <w:t>。</w:t>
            </w:r>
          </w:p>
          <w:p>
            <w:pPr>
              <w:spacing w:line="15" w:lineRule="exact"/>
            </w:pPr>
          </w:p>
          <w:tbl>
            <w:tblPr>
              <w:tblStyle w:val="4"/>
              <w:tblW w:w="980" w:type="dxa"/>
              <w:tblInd w:w="1483"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980"/>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PrEx>
              <w:trPr>
                <w:trHeight w:val="395" w:hRule="atLeast"/>
              </w:trPr>
              <w:tc>
                <w:tcPr>
                  <w:tcW w:w="980" w:type="dxa"/>
                  <w:vAlign w:val="top"/>
                </w:tcPr>
                <w:p>
                  <w:pPr>
                    <w:spacing w:before="92" w:line="227" w:lineRule="auto"/>
                    <w:ind w:left="131"/>
                    <w:rPr>
                      <w:rFonts w:ascii="宋体" w:hAnsi="宋体" w:eastAsia="宋体" w:cs="宋体"/>
                      <w:sz w:val="20"/>
                      <w:szCs w:val="20"/>
                    </w:rPr>
                  </w:pPr>
                  <w:r>
                    <w:rPr>
                      <w:rFonts w:ascii="宋体" w:hAnsi="宋体" w:eastAsia="宋体" w:cs="宋体"/>
                      <w:spacing w:val="-11"/>
                      <w:sz w:val="20"/>
                      <w:szCs w:val="20"/>
                    </w:rPr>
                    <w:t>材料运输</w:t>
                  </w:r>
                </w:p>
              </w:tc>
            </w:tr>
          </w:tbl>
          <w:p>
            <w:pPr>
              <w:spacing w:before="8" w:line="363" w:lineRule="exact"/>
              <w:ind w:firstLine="1907"/>
              <w:textAlignment w:val="center"/>
            </w:pPr>
            <w:r>
              <w:drawing>
                <wp:inline distT="0" distB="0" distL="0" distR="0">
                  <wp:extent cx="75565" cy="23050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238"/>
                          <a:stretch>
                            <a:fillRect/>
                          </a:stretch>
                        </pic:blipFill>
                        <pic:spPr>
                          <a:xfrm>
                            <a:off x="0" y="0"/>
                            <a:ext cx="76187" cy="230714"/>
                          </a:xfrm>
                          <a:prstGeom prst="rect">
                            <a:avLst/>
                          </a:prstGeom>
                        </pic:spPr>
                      </pic:pic>
                    </a:graphicData>
                  </a:graphic>
                </wp:inline>
              </w:drawing>
            </w:r>
          </w:p>
          <w:tbl>
            <w:tblPr>
              <w:tblStyle w:val="4"/>
              <w:tblW w:w="980" w:type="dxa"/>
              <w:tblInd w:w="1497"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980"/>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369" w:hRule="atLeast"/>
              </w:trPr>
              <w:tc>
                <w:tcPr>
                  <w:tcW w:w="980" w:type="dxa"/>
                  <w:vAlign w:val="top"/>
                </w:tcPr>
                <w:p>
                  <w:pPr>
                    <w:spacing w:before="72" w:line="228" w:lineRule="auto"/>
                    <w:ind w:left="133"/>
                    <w:rPr>
                      <w:rFonts w:ascii="宋体" w:hAnsi="宋体" w:eastAsia="宋体" w:cs="宋体"/>
                      <w:sz w:val="20"/>
                      <w:szCs w:val="20"/>
                    </w:rPr>
                  </w:pPr>
                  <w:r>
                    <w:rPr>
                      <w:rFonts w:ascii="宋体" w:hAnsi="宋体" w:eastAsia="宋体" w:cs="宋体"/>
                      <w:spacing w:val="-13"/>
                      <w:sz w:val="20"/>
                      <w:szCs w:val="20"/>
                    </w:rPr>
                    <w:t>路</w:t>
                  </w:r>
                  <w:r>
                    <w:rPr>
                      <w:rFonts w:ascii="宋体" w:hAnsi="宋体" w:eastAsia="宋体" w:cs="宋体"/>
                      <w:spacing w:val="-11"/>
                      <w:sz w:val="20"/>
                      <w:szCs w:val="20"/>
                    </w:rPr>
                    <w:t>基施工</w:t>
                  </w:r>
                </w:p>
              </w:tc>
            </w:tr>
          </w:tbl>
          <w:p>
            <w:pPr>
              <w:spacing w:line="618" w:lineRule="exact"/>
              <w:ind w:firstLine="632"/>
              <w:textAlignment w:val="center"/>
            </w:pPr>
            <w:r>
              <w:drawing>
                <wp:inline distT="0" distB="0" distL="0" distR="0">
                  <wp:extent cx="3060700" cy="391795"/>
                  <wp:effectExtent l="0" t="0" r="0" b="0"/>
                  <wp:docPr id="95" name="IM 95"/>
                  <wp:cNvGraphicFramePr/>
                  <a:graphic xmlns:a="http://schemas.openxmlformats.org/drawingml/2006/main">
                    <a:graphicData uri="http://schemas.openxmlformats.org/drawingml/2006/picture">
                      <pic:pic xmlns:pic="http://schemas.openxmlformats.org/drawingml/2006/picture">
                        <pic:nvPicPr>
                          <pic:cNvPr id="95" name="IM 95"/>
                          <pic:cNvPicPr/>
                        </pic:nvPicPr>
                        <pic:blipFill>
                          <a:blip r:embed="rId239"/>
                          <a:stretch>
                            <a:fillRect/>
                          </a:stretch>
                        </pic:blipFill>
                        <pic:spPr>
                          <a:xfrm>
                            <a:off x="0" y="0"/>
                            <a:ext cx="3061093" cy="392341"/>
                          </a:xfrm>
                          <a:prstGeom prst="rect">
                            <a:avLst/>
                          </a:prstGeom>
                        </pic:spPr>
                      </pic:pic>
                    </a:graphicData>
                  </a:graphic>
                </wp:inline>
              </w:drawing>
            </w:r>
          </w:p>
          <w:p>
            <w:pPr>
              <w:spacing w:before="184" w:line="228" w:lineRule="auto"/>
              <w:ind w:left="2471"/>
              <w:rPr>
                <w:rFonts w:ascii="宋体" w:hAnsi="宋体" w:eastAsia="宋体" w:cs="宋体"/>
                <w:sz w:val="20"/>
                <w:szCs w:val="20"/>
              </w:rPr>
            </w:pPr>
            <w:r>
              <w:pict>
                <v:shape id="_x0000_s1083" o:spid="_x0000_s1083" o:spt="202" type="#_x0000_t202" style="position:absolute;left:0pt;margin-left:355.45pt;margin-top:-11pt;height:24.35pt;width:50pt;z-index:25174016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4"/>
                          <w:tblW w:w="934"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934"/>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396" w:hRule="atLeast"/>
                          </w:trPr>
                          <w:tc>
                            <w:tcPr>
                              <w:tcW w:w="934" w:type="dxa"/>
                              <w:vAlign w:val="top"/>
                            </w:tcPr>
                            <w:p>
                              <w:pPr>
                                <w:spacing w:before="92" w:line="228" w:lineRule="auto"/>
                                <w:ind w:left="111"/>
                                <w:rPr>
                                  <w:rFonts w:ascii="宋体" w:hAnsi="宋体" w:eastAsia="宋体" w:cs="宋体"/>
                                  <w:sz w:val="20"/>
                                  <w:szCs w:val="20"/>
                                </w:rPr>
                              </w:pPr>
                              <w:r>
                                <w:rPr>
                                  <w:rFonts w:ascii="宋体" w:hAnsi="宋体" w:eastAsia="宋体" w:cs="宋体"/>
                                  <w:spacing w:val="-13"/>
                                  <w:sz w:val="20"/>
                                  <w:szCs w:val="20"/>
                                </w:rPr>
                                <w:t>交</w:t>
                              </w:r>
                              <w:r>
                                <w:rPr>
                                  <w:rFonts w:ascii="宋体" w:hAnsi="宋体" w:eastAsia="宋体" w:cs="宋体"/>
                                  <w:spacing w:val="-12"/>
                                  <w:sz w:val="20"/>
                                  <w:szCs w:val="20"/>
                                </w:rPr>
                                <w:t>付使用</w:t>
                              </w:r>
                            </w:p>
                          </w:tc>
                        </w:tr>
                      </w:tbl>
                      <w:p>
                        <w:pPr>
                          <w:rPr>
                            <w:rFonts w:ascii="Arial"/>
                            <w:sz w:val="21"/>
                          </w:rPr>
                        </w:pPr>
                      </w:p>
                    </w:txbxContent>
                  </v:textbox>
                </v:shape>
              </w:pict>
            </w:r>
            <w:r>
              <w:pict>
                <v:shape id="_x0000_s1084" o:spid="_x0000_s1084" o:spt="202" type="#_x0000_t202" style="position:absolute;left:0pt;margin-left:320.15pt;margin-top:-5.1pt;height:14.35pt;width:21pt;z-index:251742208;mso-width-relative:page;mso-height-relative:page;" filled="f" stroked="f" coordsize="21600,21600">
                  <v:path/>
                  <v:fill on="f" focussize="0,0"/>
                  <v:stroke on="f"/>
                  <v:imagedata o:title=""/>
                  <o:lock v:ext="edit" aspectratio="f"/>
                  <v:textbox inset="0mm,0mm,0mm,0mm">
                    <w:txbxContent>
                      <w:p>
                        <w:pPr>
                          <w:spacing w:before="19" w:line="228" w:lineRule="auto"/>
                          <w:ind w:left="20"/>
                          <w:rPr>
                            <w:rFonts w:ascii="宋体" w:hAnsi="宋体" w:eastAsia="宋体" w:cs="宋体"/>
                            <w:sz w:val="20"/>
                            <w:szCs w:val="20"/>
                          </w:rPr>
                        </w:pPr>
                        <w:r>
                          <w:rPr>
                            <w:rFonts w:ascii="宋体" w:hAnsi="宋体" w:eastAsia="宋体" w:cs="宋体"/>
                            <w:spacing w:val="-11"/>
                            <w:sz w:val="20"/>
                            <w:szCs w:val="20"/>
                          </w:rPr>
                          <w:t>验</w:t>
                        </w:r>
                        <w:r>
                          <w:rPr>
                            <w:rFonts w:ascii="宋体" w:hAnsi="宋体" w:eastAsia="宋体" w:cs="宋体"/>
                            <w:spacing w:val="-10"/>
                            <w:sz w:val="20"/>
                            <w:szCs w:val="20"/>
                          </w:rPr>
                          <w:t>收</w:t>
                        </w:r>
                      </w:p>
                    </w:txbxContent>
                  </v:textbox>
                </v:shape>
              </w:pict>
            </w:r>
            <w:r>
              <w:pict>
                <v:shape id="_x0000_s1085" o:spid="_x0000_s1085" o:spt="202" type="#_x0000_t202" style="position:absolute;left:0pt;margin-left:8.35pt;margin-top:-6.15pt;height:27.95pt;width:54.35pt;z-index:251738112;mso-width-relative:page;mso-height-relative:page;" filled="f" stroked="f" coordsize="21600,21600">
                  <v:path/>
                  <v:fill on="f" focussize="0,0"/>
                  <v:stroke on="f"/>
                  <v:imagedata o:title=""/>
                  <o:lock v:ext="edit" aspectratio="f"/>
                  <v:textbox inset="0mm,0mm,0mm,0mm">
                    <w:txbxContent>
                      <w:p>
                        <w:pPr>
                          <w:spacing w:before="20" w:line="239" w:lineRule="auto"/>
                          <w:ind w:left="171" w:right="20" w:hanging="151"/>
                          <w:rPr>
                            <w:rFonts w:ascii="宋体" w:hAnsi="宋体" w:eastAsia="宋体" w:cs="宋体"/>
                            <w:sz w:val="20"/>
                            <w:szCs w:val="20"/>
                          </w:rPr>
                        </w:pPr>
                        <w:r>
                          <w:rPr>
                            <w:rFonts w:ascii="宋体" w:hAnsi="宋体" w:eastAsia="宋体" w:cs="宋体"/>
                            <w:spacing w:val="-29"/>
                            <w:sz w:val="20"/>
                            <w:szCs w:val="20"/>
                          </w:rPr>
                          <w:t>噪</w:t>
                        </w:r>
                        <w:r>
                          <w:rPr>
                            <w:rFonts w:ascii="宋体" w:hAnsi="宋体" w:eastAsia="宋体" w:cs="宋体"/>
                            <w:spacing w:val="-25"/>
                            <w:sz w:val="20"/>
                            <w:szCs w:val="20"/>
                          </w:rPr>
                          <w:t>声、粉尘、</w:t>
                        </w:r>
                        <w:r>
                          <w:rPr>
                            <w:rFonts w:ascii="宋体" w:hAnsi="宋体" w:eastAsia="宋体" w:cs="宋体"/>
                            <w:sz w:val="20"/>
                            <w:szCs w:val="20"/>
                          </w:rPr>
                          <w:t xml:space="preserve"> </w:t>
                        </w:r>
                        <w:r>
                          <w:rPr>
                            <w:rFonts w:ascii="宋体" w:hAnsi="宋体" w:eastAsia="宋体" w:cs="宋体"/>
                            <w:spacing w:val="-14"/>
                            <w:sz w:val="20"/>
                            <w:szCs w:val="20"/>
                          </w:rPr>
                          <w:t>建</w:t>
                        </w:r>
                        <w:r>
                          <w:rPr>
                            <w:rFonts w:ascii="宋体" w:hAnsi="宋体" w:eastAsia="宋体" w:cs="宋体"/>
                            <w:spacing w:val="-11"/>
                            <w:sz w:val="20"/>
                            <w:szCs w:val="20"/>
                          </w:rPr>
                          <w:t>筑垃圾</w:t>
                        </w:r>
                      </w:p>
                    </w:txbxContent>
                  </v:textbox>
                </v:shape>
              </w:pict>
            </w:r>
            <w:r>
              <w:drawing>
                <wp:anchor distT="0" distB="0" distL="0" distR="0" simplePos="0" relativeHeight="251716608" behindDoc="1" locked="0" layoutInCell="1" allowOverlap="1">
                  <wp:simplePos x="0" y="0"/>
                  <wp:positionH relativeFrom="column">
                    <wp:posOffset>1518285</wp:posOffset>
                  </wp:positionH>
                  <wp:positionV relativeFrom="paragraph">
                    <wp:posOffset>-67945</wp:posOffset>
                  </wp:positionV>
                  <wp:extent cx="1886585" cy="388620"/>
                  <wp:effectExtent l="0" t="0" r="0" b="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240"/>
                          <a:stretch>
                            <a:fillRect/>
                          </a:stretch>
                        </pic:blipFill>
                        <pic:spPr>
                          <a:xfrm>
                            <a:off x="0" y="0"/>
                            <a:ext cx="1886711" cy="388518"/>
                          </a:xfrm>
                          <a:prstGeom prst="rect">
                            <a:avLst/>
                          </a:prstGeom>
                        </pic:spPr>
                      </pic:pic>
                    </a:graphicData>
                  </a:graphic>
                </wp:anchor>
              </w:drawing>
            </w:r>
            <w:r>
              <w:rPr>
                <w:rFonts w:ascii="宋体" w:hAnsi="宋体" w:eastAsia="宋体" w:cs="宋体"/>
                <w:spacing w:val="-20"/>
                <w:sz w:val="20"/>
                <w:szCs w:val="20"/>
              </w:rPr>
              <w:t>噪声、废气、废水、固废、水土流</w:t>
            </w:r>
            <w:r>
              <w:rPr>
                <w:rFonts w:ascii="宋体" w:hAnsi="宋体" w:eastAsia="宋体" w:cs="宋体"/>
                <w:spacing w:val="-18"/>
                <w:sz w:val="20"/>
                <w:szCs w:val="20"/>
              </w:rPr>
              <w:t>失</w:t>
            </w:r>
          </w:p>
          <w:p>
            <w:pPr>
              <w:spacing w:before="95" w:line="120" w:lineRule="exact"/>
              <w:ind w:firstLine="6924"/>
              <w:textAlignment w:val="center"/>
            </w:pPr>
            <w:r>
              <w:drawing>
                <wp:inline distT="0" distB="0" distL="0" distR="0">
                  <wp:extent cx="734060" cy="76200"/>
                  <wp:effectExtent l="0" t="0" r="0" b="0"/>
                  <wp:docPr id="97" name="IM 97"/>
                  <wp:cNvGraphicFramePr/>
                  <a:graphic xmlns:a="http://schemas.openxmlformats.org/drawingml/2006/main">
                    <a:graphicData uri="http://schemas.openxmlformats.org/drawingml/2006/picture">
                      <pic:pic xmlns:pic="http://schemas.openxmlformats.org/drawingml/2006/picture">
                        <pic:nvPicPr>
                          <pic:cNvPr id="97" name="IM 97"/>
                          <pic:cNvPicPr/>
                        </pic:nvPicPr>
                        <pic:blipFill>
                          <a:blip r:embed="rId241"/>
                          <a:stretch>
                            <a:fillRect/>
                          </a:stretch>
                        </pic:blipFill>
                        <pic:spPr>
                          <a:xfrm>
                            <a:off x="0" y="0"/>
                            <a:ext cx="734681" cy="76225"/>
                          </a:xfrm>
                          <a:prstGeom prst="rect">
                            <a:avLst/>
                          </a:prstGeom>
                        </pic:spPr>
                      </pic:pic>
                    </a:graphicData>
                  </a:graphic>
                </wp:inline>
              </w:drawing>
            </w:r>
          </w:p>
          <w:p>
            <w:pPr>
              <w:spacing w:before="25" w:line="228" w:lineRule="auto"/>
              <w:ind w:left="2782"/>
              <w:rPr>
                <w:rFonts w:ascii="宋体" w:hAnsi="宋体" w:eastAsia="宋体" w:cs="宋体"/>
                <w:sz w:val="20"/>
                <w:szCs w:val="20"/>
              </w:rPr>
            </w:pPr>
            <w:r>
              <w:pict>
                <v:shape id="_x0000_s1086" o:spid="_x0000_s1086" o:spt="202" type="#_x0000_t202" style="position:absolute;left:0pt;margin-left:363.6pt;margin-top:-2.2pt;height:14.4pt;width:32.75pt;z-index:25173913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6"/>
                            <w:sz w:val="20"/>
                            <w:szCs w:val="20"/>
                          </w:rPr>
                          <w:t>营</w:t>
                        </w:r>
                        <w:r>
                          <w:rPr>
                            <w:rFonts w:ascii="宋体" w:hAnsi="宋体" w:eastAsia="宋体" w:cs="宋体"/>
                            <w:spacing w:val="4"/>
                            <w:sz w:val="20"/>
                            <w:szCs w:val="20"/>
                          </w:rPr>
                          <w:t>运期</w:t>
                        </w:r>
                      </w:p>
                    </w:txbxContent>
                  </v:textbox>
                </v:shape>
              </w:pict>
            </w:r>
            <w:r>
              <w:rPr>
                <w:rFonts w:ascii="宋体" w:hAnsi="宋体" w:eastAsia="宋体" w:cs="宋体"/>
                <w:spacing w:val="7"/>
                <w:sz w:val="20"/>
                <w:szCs w:val="20"/>
              </w:rPr>
              <w:t>施工期</w:t>
            </w:r>
          </w:p>
          <w:p>
            <w:pPr>
              <w:spacing w:before="112" w:line="231" w:lineRule="auto"/>
              <w:ind w:left="2471"/>
              <w:rPr>
                <w:rFonts w:ascii="黑体" w:hAnsi="黑体" w:eastAsia="黑体" w:cs="黑体"/>
                <w:sz w:val="19"/>
                <w:szCs w:val="19"/>
              </w:rPr>
            </w:pPr>
            <w:r>
              <w:rPr>
                <w:rFonts w:ascii="黑体" w:hAnsi="黑体" w:eastAsia="黑体" w:cs="黑体"/>
                <w:spacing w:val="14"/>
                <w:sz w:val="19"/>
                <w:szCs w:val="19"/>
              </w:rPr>
              <w:t>图</w:t>
            </w:r>
            <w:r>
              <w:rPr>
                <w:rFonts w:ascii="Times New Roman" w:hAnsi="Times New Roman" w:eastAsia="Times New Roman" w:cs="Times New Roman"/>
                <w:spacing w:val="8"/>
                <w:sz w:val="19"/>
                <w:szCs w:val="19"/>
              </w:rPr>
              <w:t>31</w:t>
            </w:r>
            <w:r>
              <w:rPr>
                <w:rFonts w:ascii="黑体" w:hAnsi="黑体" w:eastAsia="黑体" w:cs="黑体"/>
                <w:spacing w:val="8"/>
                <w:sz w:val="19"/>
                <w:szCs w:val="19"/>
              </w:rPr>
              <w:t>：道路施工工艺流程及产污位置图</w:t>
            </w:r>
          </w:p>
          <w:p>
            <w:pPr>
              <w:spacing w:before="130" w:line="369" w:lineRule="auto"/>
              <w:ind w:left="106" w:right="104" w:firstLine="423"/>
              <w:rPr>
                <w:rFonts w:ascii="宋体" w:hAnsi="宋体" w:eastAsia="宋体" w:cs="宋体"/>
                <w:sz w:val="20"/>
                <w:szCs w:val="20"/>
              </w:rPr>
            </w:pPr>
            <w:r>
              <w:rPr>
                <w:rFonts w:ascii="宋体" w:hAnsi="宋体" w:eastAsia="宋体" w:cs="宋体"/>
                <w:spacing w:val="14"/>
                <w:sz w:val="20"/>
                <w:szCs w:val="20"/>
              </w:rPr>
              <w:t>工</w:t>
            </w:r>
            <w:r>
              <w:rPr>
                <w:rFonts w:ascii="宋体" w:hAnsi="宋体" w:eastAsia="宋体" w:cs="宋体"/>
                <w:spacing w:val="12"/>
                <w:sz w:val="20"/>
                <w:szCs w:val="20"/>
              </w:rPr>
              <w:t>程</w:t>
            </w:r>
            <w:r>
              <w:rPr>
                <w:rFonts w:ascii="宋体" w:hAnsi="宋体" w:eastAsia="宋体" w:cs="宋体"/>
                <w:spacing w:val="7"/>
                <w:sz w:val="20"/>
                <w:szCs w:val="20"/>
              </w:rPr>
              <w:t>连接道路施工按照先路基、边坡，再路面，最后沿线设施的程序进行。其路基工</w:t>
            </w:r>
            <w:r>
              <w:rPr>
                <w:rFonts w:ascii="宋体" w:hAnsi="宋体" w:eastAsia="宋体" w:cs="宋体"/>
                <w:sz w:val="20"/>
                <w:szCs w:val="20"/>
              </w:rPr>
              <w:t xml:space="preserve"> </w:t>
            </w:r>
            <w:r>
              <w:rPr>
                <w:rFonts w:ascii="宋体" w:hAnsi="宋体" w:eastAsia="宋体" w:cs="宋体"/>
                <w:spacing w:val="18"/>
                <w:sz w:val="20"/>
                <w:szCs w:val="20"/>
              </w:rPr>
              <w:t>程</w:t>
            </w:r>
            <w:r>
              <w:rPr>
                <w:rFonts w:ascii="宋体" w:hAnsi="宋体" w:eastAsia="宋体" w:cs="宋体"/>
                <w:spacing w:val="17"/>
                <w:sz w:val="20"/>
                <w:szCs w:val="20"/>
              </w:rPr>
              <w:t>、</w:t>
            </w:r>
            <w:r>
              <w:rPr>
                <w:rFonts w:ascii="宋体" w:hAnsi="宋体" w:eastAsia="宋体" w:cs="宋体"/>
                <w:spacing w:val="9"/>
                <w:sz w:val="20"/>
                <w:szCs w:val="20"/>
              </w:rPr>
              <w:t>路面工程以机械化施工为主，边坡防护以人工施工为主。施工工艺和方法如下：</w:t>
            </w:r>
          </w:p>
          <w:p>
            <w:pPr>
              <w:tabs>
                <w:tab w:val="left" w:pos="599"/>
              </w:tabs>
              <w:spacing w:before="1" w:line="227" w:lineRule="auto"/>
              <w:ind w:left="519"/>
              <w:rPr>
                <w:rFonts w:ascii="宋体" w:hAnsi="宋体" w:eastAsia="宋体" w:cs="宋体"/>
                <w:sz w:val="20"/>
                <w:szCs w:val="20"/>
              </w:rPr>
            </w:pPr>
            <w:r>
              <w:rPr>
                <w:rFonts w:ascii="宋体" w:hAnsi="宋体" w:eastAsia="宋体" w:cs="宋体"/>
                <w:sz w:val="17"/>
                <w:szCs w:val="17"/>
              </w:rPr>
              <w:tab/>
            </w:r>
            <w:r>
              <w:rPr>
                <w:rFonts w:ascii="宋体" w:hAnsi="宋体" w:eastAsia="宋体" w:cs="宋体"/>
                <w:spacing w:val="8"/>
                <w:sz w:val="17"/>
                <w:szCs w:val="17"/>
              </w:rPr>
              <w:t>1</w:t>
            </w:r>
            <w:r>
              <w:rPr>
                <w:rFonts w:ascii="宋体" w:hAnsi="宋体" w:eastAsia="宋体" w:cs="宋体"/>
                <w:spacing w:val="6"/>
                <w:sz w:val="17"/>
                <w:szCs w:val="17"/>
              </w:rPr>
              <w:t xml:space="preserve"> </w:t>
            </w:r>
            <w:r>
              <w:rPr>
                <w:rFonts w:ascii="宋体" w:hAnsi="宋体" w:eastAsia="宋体" w:cs="宋体"/>
                <w:spacing w:val="4"/>
                <w:sz w:val="17"/>
                <w:szCs w:val="17"/>
              </w:rPr>
              <w:t xml:space="preserve">  </w:t>
            </w:r>
            <w:r>
              <w:rPr>
                <w:rFonts w:ascii="宋体" w:hAnsi="宋体" w:eastAsia="宋体" w:cs="宋体"/>
                <w:spacing w:val="4"/>
                <w:sz w:val="20"/>
                <w:szCs w:val="20"/>
              </w:rPr>
              <w:t>路基工程</w:t>
            </w:r>
          </w:p>
          <w:p>
            <w:pPr>
              <w:spacing w:before="155" w:line="369" w:lineRule="auto"/>
              <w:ind w:left="109" w:right="102" w:firstLine="420"/>
              <w:rPr>
                <w:rFonts w:ascii="宋体" w:hAnsi="宋体" w:eastAsia="宋体" w:cs="宋体"/>
                <w:sz w:val="20"/>
                <w:szCs w:val="20"/>
              </w:rPr>
            </w:pPr>
            <w:r>
              <w:rPr>
                <w:rFonts w:ascii="宋体" w:hAnsi="宋体" w:eastAsia="宋体" w:cs="宋体"/>
                <w:spacing w:val="14"/>
                <w:sz w:val="20"/>
                <w:szCs w:val="20"/>
              </w:rPr>
              <w:t>路基</w:t>
            </w:r>
            <w:r>
              <w:rPr>
                <w:rFonts w:ascii="宋体" w:hAnsi="宋体" w:eastAsia="宋体" w:cs="宋体"/>
                <w:spacing w:val="9"/>
                <w:sz w:val="20"/>
                <w:szCs w:val="20"/>
              </w:rPr>
              <w:t>工</w:t>
            </w:r>
            <w:r>
              <w:rPr>
                <w:rFonts w:ascii="宋体" w:hAnsi="宋体" w:eastAsia="宋体" w:cs="宋体"/>
                <w:spacing w:val="7"/>
                <w:sz w:val="20"/>
                <w:szCs w:val="20"/>
              </w:rPr>
              <w:t>程包括土石方、特殊路基处理、防护及排水、小型构造物等，路基土石方施工</w:t>
            </w:r>
            <w:r>
              <w:rPr>
                <w:rFonts w:ascii="宋体" w:hAnsi="宋体" w:eastAsia="宋体" w:cs="宋体"/>
                <w:sz w:val="20"/>
                <w:szCs w:val="20"/>
              </w:rPr>
              <w:t xml:space="preserve"> </w:t>
            </w:r>
            <w:r>
              <w:rPr>
                <w:rFonts w:ascii="宋体" w:hAnsi="宋体" w:eastAsia="宋体" w:cs="宋体"/>
                <w:spacing w:val="14"/>
                <w:sz w:val="20"/>
                <w:szCs w:val="20"/>
              </w:rPr>
              <w:t>主要采</w:t>
            </w:r>
            <w:r>
              <w:rPr>
                <w:rFonts w:ascii="宋体" w:hAnsi="宋体" w:eastAsia="宋体" w:cs="宋体"/>
                <w:spacing w:val="8"/>
                <w:sz w:val="20"/>
                <w:szCs w:val="20"/>
              </w:rPr>
              <w:t>用</w:t>
            </w:r>
            <w:r>
              <w:rPr>
                <w:rFonts w:ascii="宋体" w:hAnsi="宋体" w:eastAsia="宋体" w:cs="宋体"/>
                <w:spacing w:val="7"/>
                <w:sz w:val="20"/>
                <w:szCs w:val="20"/>
              </w:rPr>
              <w:t>机械化施工。路基填筑或开挖应按边坡分级逐级施工逐级支护，必要时应增加前</w:t>
            </w:r>
            <w:r>
              <w:rPr>
                <w:rFonts w:ascii="宋体" w:hAnsi="宋体" w:eastAsia="宋体" w:cs="宋体"/>
                <w:sz w:val="20"/>
                <w:szCs w:val="20"/>
              </w:rPr>
              <w:t xml:space="preserve"> </w:t>
            </w:r>
            <w:r>
              <w:rPr>
                <w:rFonts w:ascii="宋体" w:hAnsi="宋体" w:eastAsia="宋体" w:cs="宋体"/>
                <w:spacing w:val="14"/>
                <w:sz w:val="20"/>
                <w:szCs w:val="20"/>
              </w:rPr>
              <w:t>期支护</w:t>
            </w:r>
            <w:r>
              <w:rPr>
                <w:rFonts w:ascii="宋体" w:hAnsi="宋体" w:eastAsia="宋体" w:cs="宋体"/>
                <w:spacing w:val="8"/>
                <w:sz w:val="20"/>
                <w:szCs w:val="20"/>
              </w:rPr>
              <w:t>措</w:t>
            </w:r>
            <w:r>
              <w:rPr>
                <w:rFonts w:ascii="宋体" w:hAnsi="宋体" w:eastAsia="宋体" w:cs="宋体"/>
                <w:spacing w:val="7"/>
                <w:sz w:val="20"/>
                <w:szCs w:val="20"/>
              </w:rPr>
              <w:t>施。防护工程施工与路基施工平行交叉进行，影响路基稳定的防护工程先于路基</w:t>
            </w:r>
          </w:p>
          <w:p>
            <w:pPr>
              <w:spacing w:line="230" w:lineRule="auto"/>
              <w:ind w:left="106"/>
              <w:rPr>
                <w:rFonts w:ascii="宋体" w:hAnsi="宋体" w:eastAsia="宋体" w:cs="宋体"/>
                <w:sz w:val="20"/>
                <w:szCs w:val="20"/>
              </w:rPr>
            </w:pPr>
            <w:r>
              <w:rPr>
                <w:rFonts w:ascii="宋体" w:hAnsi="宋体" w:eastAsia="宋体" w:cs="宋体"/>
                <w:spacing w:val="14"/>
                <w:sz w:val="20"/>
                <w:szCs w:val="20"/>
              </w:rPr>
              <w:t>施工，</w:t>
            </w:r>
            <w:r>
              <w:rPr>
                <w:rFonts w:ascii="宋体" w:hAnsi="宋体" w:eastAsia="宋体" w:cs="宋体"/>
                <w:spacing w:val="10"/>
                <w:sz w:val="20"/>
                <w:szCs w:val="20"/>
              </w:rPr>
              <w:t>原</w:t>
            </w:r>
            <w:r>
              <w:rPr>
                <w:rFonts w:ascii="宋体" w:hAnsi="宋体" w:eastAsia="宋体" w:cs="宋体"/>
                <w:spacing w:val="7"/>
                <w:sz w:val="20"/>
                <w:szCs w:val="20"/>
              </w:rPr>
              <w:t>有路基改造工程可根据具体情况与路基施工并行或滞后，路堑边坡防护工程、护</w:t>
            </w:r>
          </w:p>
        </w:tc>
      </w:tr>
    </w:tbl>
    <w:p>
      <w:pPr>
        <w:spacing w:line="153" w:lineRule="exact"/>
        <w:rPr>
          <w:rFonts w:ascii="Arial"/>
          <w:sz w:val="13"/>
        </w:rPr>
      </w:pPr>
    </w:p>
    <w:p>
      <w:pPr>
        <w:sectPr>
          <w:footerReference r:id="rId55" w:type="default"/>
          <w:pgSz w:w="11906" w:h="16839"/>
          <w:pgMar w:top="400" w:right="1487" w:bottom="1475" w:left="1486" w:header="0" w:footer="1315" w:gutter="0"/>
          <w:cols w:space="720" w:num="1"/>
        </w:sectPr>
      </w:pPr>
    </w:p>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8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7" w:hRule="atLeast"/>
        </w:trPr>
        <w:tc>
          <w:tcPr>
            <w:tcW w:w="600" w:type="dxa"/>
            <w:tcBorders>
              <w:left w:val="single" w:color="00000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67" w:lineRule="auto"/>
              <w:ind w:left="88" w:right="89" w:hanging="1"/>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施工</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方</w:t>
            </w:r>
            <w:r>
              <w:rPr>
                <w:rFonts w:ascii="宋体" w:hAnsi="宋体" w:eastAsia="宋体" w:cs="宋体"/>
                <w:spacing w:val="5"/>
                <w:sz w:val="20"/>
                <w:szCs w:val="20"/>
                <w14:textOutline w14:w="3795" w14:cap="sq" w14:cmpd="sng">
                  <w14:solidFill>
                    <w14:srgbClr w14:val="000000"/>
                  </w14:solidFill>
                  <w14:prstDash w14:val="solid"/>
                  <w14:bevel/>
                </w14:textOutline>
              </w:rPr>
              <w:t>案</w:t>
            </w:r>
          </w:p>
        </w:tc>
        <w:tc>
          <w:tcPr>
            <w:tcW w:w="8317" w:type="dxa"/>
            <w:tcBorders>
              <w:right w:val="single" w:color="000000" w:sz="6" w:space="0"/>
            </w:tcBorders>
            <w:vAlign w:val="top"/>
          </w:tcPr>
          <w:p>
            <w:pPr>
              <w:spacing w:before="154" w:line="370" w:lineRule="auto"/>
              <w:ind w:left="120" w:right="104" w:hanging="12"/>
              <w:rPr>
                <w:rFonts w:ascii="宋体" w:hAnsi="宋体" w:eastAsia="宋体" w:cs="宋体"/>
                <w:sz w:val="20"/>
                <w:szCs w:val="20"/>
              </w:rPr>
            </w:pPr>
            <w:r>
              <w:rPr>
                <w:rFonts w:ascii="宋体" w:hAnsi="宋体" w:eastAsia="宋体" w:cs="宋体"/>
                <w:spacing w:val="14"/>
                <w:sz w:val="20"/>
                <w:szCs w:val="20"/>
              </w:rPr>
              <w:t>面工</w:t>
            </w:r>
            <w:r>
              <w:rPr>
                <w:rFonts w:ascii="宋体" w:hAnsi="宋体" w:eastAsia="宋体" w:cs="宋体"/>
                <w:spacing w:val="13"/>
                <w:sz w:val="20"/>
                <w:szCs w:val="20"/>
              </w:rPr>
              <w:t>程</w:t>
            </w:r>
            <w:r>
              <w:rPr>
                <w:rFonts w:ascii="宋体" w:hAnsi="宋体" w:eastAsia="宋体" w:cs="宋体"/>
                <w:spacing w:val="7"/>
                <w:sz w:val="20"/>
                <w:szCs w:val="20"/>
              </w:rPr>
              <w:t>滞后于路基施工。根据本工程路基施工特点，共分为路基土石方、路基排水、路基</w:t>
            </w:r>
            <w:r>
              <w:rPr>
                <w:rFonts w:ascii="宋体" w:hAnsi="宋体" w:eastAsia="宋体" w:cs="宋体"/>
                <w:sz w:val="20"/>
                <w:szCs w:val="20"/>
              </w:rPr>
              <w:t xml:space="preserve"> </w:t>
            </w:r>
            <w:r>
              <w:rPr>
                <w:rFonts w:ascii="宋体" w:hAnsi="宋体" w:eastAsia="宋体" w:cs="宋体"/>
                <w:spacing w:val="14"/>
                <w:sz w:val="20"/>
                <w:szCs w:val="20"/>
              </w:rPr>
              <w:t>防</w:t>
            </w:r>
            <w:r>
              <w:rPr>
                <w:rFonts w:ascii="宋体" w:hAnsi="宋体" w:eastAsia="宋体" w:cs="宋体"/>
                <w:spacing w:val="7"/>
                <w:sz w:val="20"/>
                <w:szCs w:val="20"/>
              </w:rPr>
              <w:t xml:space="preserve">护 </w:t>
            </w: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部分。雨季应采取临时排水措施，避免雨水对已开挖和填筑边坡的冲刷。</w:t>
            </w:r>
          </w:p>
          <w:p>
            <w:pPr>
              <w:spacing w:line="369" w:lineRule="auto"/>
              <w:ind w:left="106" w:right="102" w:firstLine="422"/>
              <w:rPr>
                <w:rFonts w:ascii="宋体" w:hAnsi="宋体" w:eastAsia="宋体" w:cs="宋体"/>
                <w:sz w:val="20"/>
                <w:szCs w:val="20"/>
              </w:rPr>
            </w:pPr>
            <w:r>
              <w:rPr>
                <w:rFonts w:ascii="宋体" w:hAnsi="宋体" w:eastAsia="宋体" w:cs="宋体"/>
                <w:spacing w:val="14"/>
                <w:sz w:val="20"/>
                <w:szCs w:val="20"/>
              </w:rPr>
              <w:t>路</w:t>
            </w:r>
            <w:r>
              <w:rPr>
                <w:rFonts w:ascii="宋体" w:hAnsi="宋体" w:eastAsia="宋体" w:cs="宋体"/>
                <w:spacing w:val="13"/>
                <w:sz w:val="20"/>
                <w:szCs w:val="20"/>
              </w:rPr>
              <w:t>基</w:t>
            </w:r>
            <w:r>
              <w:rPr>
                <w:rFonts w:ascii="宋体" w:hAnsi="宋体" w:eastAsia="宋体" w:cs="宋体"/>
                <w:spacing w:val="7"/>
                <w:sz w:val="20"/>
                <w:szCs w:val="20"/>
              </w:rPr>
              <w:t>土石方：路基处理前的地表清理主要是对占地范围内的地表植物、建筑物等进行</w:t>
            </w:r>
            <w:r>
              <w:rPr>
                <w:rFonts w:ascii="宋体" w:hAnsi="宋体" w:eastAsia="宋体" w:cs="宋体"/>
                <w:sz w:val="20"/>
                <w:szCs w:val="20"/>
              </w:rPr>
              <w:t xml:space="preserve"> </w:t>
            </w:r>
            <w:r>
              <w:rPr>
                <w:rFonts w:ascii="宋体" w:hAnsi="宋体" w:eastAsia="宋体" w:cs="宋体"/>
                <w:spacing w:val="10"/>
                <w:sz w:val="20"/>
                <w:szCs w:val="20"/>
              </w:rPr>
              <w:t>清除。路基土石方施工总体按</w:t>
            </w:r>
            <w:r>
              <w:rPr>
                <w:rFonts w:ascii="Times New Roman" w:hAnsi="Times New Roman" w:eastAsia="Times New Roman" w:cs="Times New Roman"/>
                <w:spacing w:val="10"/>
                <w:sz w:val="20"/>
                <w:szCs w:val="20"/>
              </w:rPr>
              <w:t>“</w:t>
            </w:r>
            <w:r>
              <w:rPr>
                <w:rFonts w:ascii="宋体" w:hAnsi="宋体" w:eastAsia="宋体" w:cs="宋体"/>
                <w:spacing w:val="10"/>
                <w:sz w:val="20"/>
                <w:szCs w:val="20"/>
              </w:rPr>
              <w:t>施工测量</w:t>
            </w:r>
            <w:r>
              <w:rPr>
                <w:rFonts w:ascii="Times New Roman" w:hAnsi="Times New Roman" w:eastAsia="Times New Roman" w:cs="Times New Roman"/>
                <w:spacing w:val="10"/>
                <w:sz w:val="20"/>
                <w:szCs w:val="20"/>
              </w:rPr>
              <w:t>→</w:t>
            </w:r>
            <w:r>
              <w:rPr>
                <w:rFonts w:ascii="宋体" w:hAnsi="宋体" w:eastAsia="宋体" w:cs="宋体"/>
                <w:spacing w:val="10"/>
                <w:sz w:val="20"/>
                <w:szCs w:val="20"/>
              </w:rPr>
              <w:t xml:space="preserve">地表清理 (路面破除) </w:t>
            </w:r>
            <w:r>
              <w:rPr>
                <w:rFonts w:ascii="Times New Roman" w:hAnsi="Times New Roman" w:eastAsia="Times New Roman" w:cs="Times New Roman"/>
                <w:spacing w:val="10"/>
                <w:sz w:val="20"/>
                <w:szCs w:val="20"/>
              </w:rPr>
              <w:t>→</w:t>
            </w:r>
            <w:r>
              <w:rPr>
                <w:rFonts w:ascii="宋体" w:hAnsi="宋体" w:eastAsia="宋体" w:cs="宋体"/>
                <w:spacing w:val="10"/>
                <w:sz w:val="20"/>
                <w:szCs w:val="20"/>
              </w:rPr>
              <w:t>机械开挖</w:t>
            </w:r>
            <w:r>
              <w:rPr>
                <w:rFonts w:ascii="Times New Roman" w:hAnsi="Times New Roman" w:eastAsia="Times New Roman" w:cs="Times New Roman"/>
                <w:spacing w:val="10"/>
                <w:sz w:val="20"/>
                <w:szCs w:val="20"/>
              </w:rPr>
              <w:t>→</w:t>
            </w:r>
            <w:r>
              <w:rPr>
                <w:rFonts w:ascii="宋体" w:hAnsi="宋体" w:eastAsia="宋体" w:cs="宋体"/>
                <w:spacing w:val="10"/>
                <w:sz w:val="20"/>
                <w:szCs w:val="20"/>
              </w:rPr>
              <w:t>汽车运</w:t>
            </w:r>
            <w:r>
              <w:rPr>
                <w:rFonts w:ascii="宋体" w:hAnsi="宋体" w:eastAsia="宋体" w:cs="宋体"/>
                <w:spacing w:val="8"/>
                <w:sz w:val="20"/>
                <w:szCs w:val="20"/>
              </w:rPr>
              <w:t>输</w:t>
            </w:r>
            <w:r>
              <w:rPr>
                <w:rFonts w:ascii="宋体" w:hAnsi="宋体" w:eastAsia="宋体" w:cs="宋体"/>
                <w:sz w:val="20"/>
                <w:szCs w:val="20"/>
              </w:rPr>
              <w:t xml:space="preserve"> </w:t>
            </w:r>
            <w:r>
              <w:rPr>
                <w:rFonts w:ascii="Times New Roman" w:hAnsi="Times New Roman" w:eastAsia="Times New Roman" w:cs="Times New Roman"/>
                <w:spacing w:val="9"/>
                <w:sz w:val="20"/>
                <w:szCs w:val="20"/>
              </w:rPr>
              <w:t>→</w:t>
            </w:r>
            <w:r>
              <w:rPr>
                <w:rFonts w:ascii="宋体" w:hAnsi="宋体" w:eastAsia="宋体" w:cs="宋体"/>
                <w:spacing w:val="9"/>
                <w:sz w:val="20"/>
                <w:szCs w:val="20"/>
              </w:rPr>
              <w:t>机械摊铺</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洒水</w:t>
            </w:r>
            <w:r>
              <w:rPr>
                <w:rFonts w:ascii="Times New Roman" w:hAnsi="Times New Roman" w:eastAsia="Times New Roman" w:cs="Times New Roman"/>
                <w:spacing w:val="9"/>
                <w:sz w:val="20"/>
                <w:szCs w:val="20"/>
              </w:rPr>
              <w:t>→</w:t>
            </w:r>
            <w:r>
              <w:rPr>
                <w:rFonts w:ascii="宋体" w:hAnsi="宋体" w:eastAsia="宋体" w:cs="宋体"/>
                <w:spacing w:val="9"/>
                <w:sz w:val="20"/>
                <w:szCs w:val="20"/>
              </w:rPr>
              <w:t>机械碾压</w:t>
            </w:r>
            <w:r>
              <w:rPr>
                <w:rFonts w:ascii="Times New Roman" w:hAnsi="Times New Roman" w:eastAsia="Times New Roman" w:cs="Times New Roman"/>
                <w:spacing w:val="9"/>
                <w:sz w:val="20"/>
                <w:szCs w:val="20"/>
              </w:rPr>
              <w:t>”</w:t>
            </w:r>
            <w:r>
              <w:rPr>
                <w:rFonts w:ascii="宋体" w:hAnsi="宋体" w:eastAsia="宋体" w:cs="宋体"/>
                <w:spacing w:val="9"/>
                <w:sz w:val="20"/>
                <w:szCs w:val="20"/>
              </w:rPr>
              <w:t>的施工流程进行。路堑开挖全部采用放坡开挖，开挖过</w:t>
            </w:r>
            <w:r>
              <w:rPr>
                <w:rFonts w:ascii="宋体" w:hAnsi="宋体" w:eastAsia="宋体" w:cs="宋体"/>
                <w:spacing w:val="5"/>
                <w:sz w:val="20"/>
                <w:szCs w:val="20"/>
              </w:rPr>
              <w:t>程</w:t>
            </w:r>
            <w:r>
              <w:rPr>
                <w:rFonts w:ascii="宋体" w:hAnsi="宋体" w:eastAsia="宋体" w:cs="宋体"/>
                <w:sz w:val="20"/>
                <w:szCs w:val="20"/>
              </w:rPr>
              <w:t xml:space="preserve"> </w:t>
            </w:r>
            <w:r>
              <w:rPr>
                <w:rFonts w:ascii="宋体" w:hAnsi="宋体" w:eastAsia="宋体" w:cs="宋体"/>
                <w:spacing w:val="14"/>
                <w:sz w:val="20"/>
                <w:szCs w:val="20"/>
              </w:rPr>
              <w:t>严格控</w:t>
            </w:r>
            <w:r>
              <w:rPr>
                <w:rFonts w:ascii="宋体" w:hAnsi="宋体" w:eastAsia="宋体" w:cs="宋体"/>
                <w:spacing w:val="10"/>
                <w:sz w:val="20"/>
                <w:szCs w:val="20"/>
              </w:rPr>
              <w:t>制</w:t>
            </w:r>
            <w:r>
              <w:rPr>
                <w:rFonts w:ascii="宋体" w:hAnsi="宋体" w:eastAsia="宋体" w:cs="宋体"/>
                <w:spacing w:val="7"/>
                <w:sz w:val="20"/>
                <w:szCs w:val="20"/>
              </w:rPr>
              <w:t>开挖边界线，以减少开挖扰动地表面积。土方采用平地机整平，光轮或振动压路</w:t>
            </w:r>
            <w:r>
              <w:rPr>
                <w:rFonts w:ascii="宋体" w:hAnsi="宋体" w:eastAsia="宋体" w:cs="宋体"/>
                <w:sz w:val="20"/>
                <w:szCs w:val="20"/>
              </w:rPr>
              <w:t xml:space="preserve"> </w:t>
            </w:r>
            <w:r>
              <w:rPr>
                <w:rFonts w:ascii="宋体" w:hAnsi="宋体" w:eastAsia="宋体" w:cs="宋体"/>
                <w:spacing w:val="12"/>
                <w:sz w:val="20"/>
                <w:szCs w:val="20"/>
              </w:rPr>
              <w:t>机</w:t>
            </w:r>
            <w:r>
              <w:rPr>
                <w:rFonts w:ascii="宋体" w:hAnsi="宋体" w:eastAsia="宋体" w:cs="宋体"/>
                <w:spacing w:val="9"/>
                <w:sz w:val="20"/>
                <w:szCs w:val="20"/>
              </w:rPr>
              <w:t>碾压。路基多余的土地方运往指定的弃渣场堆放。</w:t>
            </w:r>
          </w:p>
          <w:p>
            <w:pPr>
              <w:spacing w:before="1" w:line="369" w:lineRule="auto"/>
              <w:ind w:left="106" w:right="104" w:firstLine="420"/>
              <w:rPr>
                <w:rFonts w:ascii="宋体" w:hAnsi="宋体" w:eastAsia="宋体" w:cs="宋体"/>
                <w:sz w:val="20"/>
                <w:szCs w:val="20"/>
              </w:rPr>
            </w:pPr>
            <w:r>
              <w:rPr>
                <w:rFonts w:ascii="宋体" w:hAnsi="宋体" w:eastAsia="宋体" w:cs="宋体"/>
                <w:spacing w:val="14"/>
                <w:sz w:val="20"/>
                <w:szCs w:val="20"/>
              </w:rPr>
              <w:t>施工</w:t>
            </w:r>
            <w:r>
              <w:rPr>
                <w:rFonts w:ascii="宋体" w:hAnsi="宋体" w:eastAsia="宋体" w:cs="宋体"/>
                <w:spacing w:val="9"/>
                <w:sz w:val="20"/>
                <w:szCs w:val="20"/>
              </w:rPr>
              <w:t>测</w:t>
            </w:r>
            <w:r>
              <w:rPr>
                <w:rFonts w:ascii="宋体" w:hAnsi="宋体" w:eastAsia="宋体" w:cs="宋体"/>
                <w:spacing w:val="7"/>
                <w:sz w:val="20"/>
                <w:szCs w:val="20"/>
              </w:rPr>
              <w:t>量主要是确定路基设计标高基点、划分挖填区域、确定路基设计上、下边坡边</w:t>
            </w:r>
            <w:r>
              <w:rPr>
                <w:rFonts w:ascii="宋体" w:hAnsi="宋体" w:eastAsia="宋体" w:cs="宋体"/>
                <w:sz w:val="20"/>
                <w:szCs w:val="20"/>
              </w:rPr>
              <w:t xml:space="preserve"> </w:t>
            </w:r>
            <w:r>
              <w:rPr>
                <w:rFonts w:ascii="宋体" w:hAnsi="宋体" w:eastAsia="宋体" w:cs="宋体"/>
                <w:spacing w:val="14"/>
                <w:sz w:val="20"/>
                <w:szCs w:val="20"/>
              </w:rPr>
              <w:t>线位置</w:t>
            </w:r>
            <w:r>
              <w:rPr>
                <w:rFonts w:ascii="宋体" w:hAnsi="宋体" w:eastAsia="宋体" w:cs="宋体"/>
                <w:spacing w:val="8"/>
                <w:sz w:val="20"/>
                <w:szCs w:val="20"/>
              </w:rPr>
              <w:t>及</w:t>
            </w:r>
            <w:r>
              <w:rPr>
                <w:rFonts w:ascii="宋体" w:hAnsi="宋体" w:eastAsia="宋体" w:cs="宋体"/>
                <w:spacing w:val="7"/>
                <w:sz w:val="20"/>
                <w:szCs w:val="20"/>
              </w:rPr>
              <w:t>地表清理的范围。机械开挖中特别注意路堑开挖的施工方法，项目全部采用放坡</w:t>
            </w:r>
            <w:r>
              <w:rPr>
                <w:rFonts w:ascii="宋体" w:hAnsi="宋体" w:eastAsia="宋体" w:cs="宋体"/>
                <w:sz w:val="20"/>
                <w:szCs w:val="20"/>
              </w:rPr>
              <w:t xml:space="preserve"> </w:t>
            </w:r>
            <w:r>
              <w:rPr>
                <w:rFonts w:ascii="宋体" w:hAnsi="宋体" w:eastAsia="宋体" w:cs="宋体"/>
                <w:spacing w:val="14"/>
                <w:sz w:val="20"/>
                <w:szCs w:val="20"/>
              </w:rPr>
              <w:t>开挖，</w:t>
            </w:r>
            <w:r>
              <w:rPr>
                <w:rFonts w:ascii="宋体" w:hAnsi="宋体" w:eastAsia="宋体" w:cs="宋体"/>
                <w:spacing w:val="8"/>
                <w:sz w:val="20"/>
                <w:szCs w:val="20"/>
              </w:rPr>
              <w:t>开</w:t>
            </w:r>
            <w:r>
              <w:rPr>
                <w:rFonts w:ascii="宋体" w:hAnsi="宋体" w:eastAsia="宋体" w:cs="宋体"/>
                <w:spacing w:val="7"/>
                <w:sz w:val="20"/>
                <w:szCs w:val="20"/>
              </w:rPr>
              <w:t>挖过程必须严格控制开挖边界线，以减少开挖扰动地表面积。土方采用平地机整</w:t>
            </w:r>
            <w:r>
              <w:rPr>
                <w:rFonts w:ascii="宋体" w:hAnsi="宋体" w:eastAsia="宋体" w:cs="宋体"/>
                <w:sz w:val="20"/>
                <w:szCs w:val="20"/>
              </w:rPr>
              <w:t xml:space="preserve"> </w:t>
            </w:r>
            <w:r>
              <w:rPr>
                <w:rFonts w:ascii="宋体" w:hAnsi="宋体" w:eastAsia="宋体" w:cs="宋体"/>
                <w:spacing w:val="18"/>
                <w:sz w:val="20"/>
                <w:szCs w:val="20"/>
              </w:rPr>
              <w:t>平</w:t>
            </w:r>
            <w:r>
              <w:rPr>
                <w:rFonts w:ascii="宋体" w:hAnsi="宋体" w:eastAsia="宋体" w:cs="宋体"/>
                <w:spacing w:val="13"/>
                <w:sz w:val="20"/>
                <w:szCs w:val="20"/>
              </w:rPr>
              <w:t>，</w:t>
            </w:r>
            <w:r>
              <w:rPr>
                <w:rFonts w:ascii="宋体" w:hAnsi="宋体" w:eastAsia="宋体" w:cs="宋体"/>
                <w:spacing w:val="9"/>
                <w:sz w:val="20"/>
                <w:szCs w:val="20"/>
              </w:rPr>
              <w:t>光轮或振动压路机碾压。路基多余的土地方运往指定的弃渣场堆放。</w:t>
            </w:r>
          </w:p>
          <w:p>
            <w:pPr>
              <w:spacing w:before="3" w:line="368" w:lineRule="auto"/>
              <w:ind w:left="106" w:right="103" w:firstLine="422"/>
              <w:rPr>
                <w:rFonts w:ascii="宋体" w:hAnsi="宋体" w:eastAsia="宋体" w:cs="宋体"/>
                <w:sz w:val="20"/>
                <w:szCs w:val="20"/>
              </w:rPr>
            </w:pPr>
            <w:r>
              <w:rPr>
                <w:rFonts w:ascii="宋体" w:hAnsi="宋体" w:eastAsia="宋体" w:cs="宋体"/>
                <w:spacing w:val="14"/>
                <w:sz w:val="20"/>
                <w:szCs w:val="20"/>
              </w:rPr>
              <w:t>路</w:t>
            </w:r>
            <w:r>
              <w:rPr>
                <w:rFonts w:ascii="宋体" w:hAnsi="宋体" w:eastAsia="宋体" w:cs="宋体"/>
                <w:spacing w:val="13"/>
                <w:sz w:val="20"/>
                <w:szCs w:val="20"/>
              </w:rPr>
              <w:t>基</w:t>
            </w:r>
            <w:r>
              <w:rPr>
                <w:rFonts w:ascii="宋体" w:hAnsi="宋体" w:eastAsia="宋体" w:cs="宋体"/>
                <w:spacing w:val="7"/>
                <w:sz w:val="20"/>
                <w:szCs w:val="20"/>
              </w:rPr>
              <w:t>排水：路面水通过路面横坡排至边沟，超高路段路面水排入超高内侧的边沟或排</w:t>
            </w:r>
            <w:r>
              <w:rPr>
                <w:rFonts w:ascii="宋体" w:hAnsi="宋体" w:eastAsia="宋体" w:cs="宋体"/>
                <w:sz w:val="20"/>
                <w:szCs w:val="20"/>
              </w:rPr>
              <w:t xml:space="preserve"> </w:t>
            </w:r>
            <w:r>
              <w:rPr>
                <w:rFonts w:ascii="宋体" w:hAnsi="宋体" w:eastAsia="宋体" w:cs="宋体"/>
                <w:spacing w:val="12"/>
                <w:sz w:val="20"/>
                <w:szCs w:val="20"/>
              </w:rPr>
              <w:t>水沟。</w:t>
            </w:r>
            <w:r>
              <w:rPr>
                <w:rFonts w:ascii="宋体" w:hAnsi="宋体" w:eastAsia="宋体" w:cs="宋体"/>
                <w:spacing w:val="10"/>
                <w:sz w:val="20"/>
                <w:szCs w:val="20"/>
              </w:rPr>
              <w:t>根</w:t>
            </w:r>
            <w:r>
              <w:rPr>
                <w:rFonts w:ascii="宋体" w:hAnsi="宋体" w:eastAsia="宋体" w:cs="宋体"/>
                <w:spacing w:val="6"/>
                <w:sz w:val="20"/>
                <w:szCs w:val="20"/>
              </w:rPr>
              <w:t xml:space="preserve">据不同路段的地形条件，路基两侧设置边沟、排水沟等措施，构筑材料采用 </w:t>
            </w:r>
            <w:r>
              <w:rPr>
                <w:rFonts w:ascii="Times New Roman" w:hAnsi="Times New Roman" w:eastAsia="Times New Roman" w:cs="Times New Roman"/>
                <w:sz w:val="20"/>
                <w:szCs w:val="20"/>
              </w:rPr>
              <w:t>C</w:t>
            </w:r>
            <w:r>
              <w:rPr>
                <w:rFonts w:ascii="Times New Roman" w:hAnsi="Times New Roman" w:eastAsia="Times New Roman" w:cs="Times New Roman"/>
                <w:spacing w:val="6"/>
                <w:sz w:val="20"/>
                <w:szCs w:val="20"/>
              </w:rPr>
              <w:t>20</w:t>
            </w:r>
            <w:r>
              <w:rPr>
                <w:rFonts w:ascii="Times New Roman" w:hAnsi="Times New Roman" w:eastAsia="Times New Roman" w:cs="Times New Roman"/>
                <w:sz w:val="20"/>
                <w:szCs w:val="20"/>
              </w:rPr>
              <w:t xml:space="preserve"> </w:t>
            </w:r>
            <w:r>
              <w:rPr>
                <w:rFonts w:ascii="宋体" w:hAnsi="宋体" w:eastAsia="宋体" w:cs="宋体"/>
                <w:spacing w:val="16"/>
                <w:sz w:val="20"/>
                <w:szCs w:val="20"/>
              </w:rPr>
              <w:t>混凝</w:t>
            </w:r>
            <w:r>
              <w:rPr>
                <w:rFonts w:ascii="宋体" w:hAnsi="宋体" w:eastAsia="宋体" w:cs="宋体"/>
                <w:spacing w:val="15"/>
                <w:sz w:val="20"/>
                <w:szCs w:val="20"/>
              </w:rPr>
              <w:t>土</w:t>
            </w:r>
            <w:r>
              <w:rPr>
                <w:rFonts w:ascii="宋体" w:hAnsi="宋体" w:eastAsia="宋体" w:cs="宋体"/>
                <w:spacing w:val="8"/>
                <w:sz w:val="20"/>
                <w:szCs w:val="20"/>
              </w:rPr>
              <w:t xml:space="preserve">浇筑，均采用矩形盖板沟，断面尺寸为 </w:t>
            </w:r>
            <w:r>
              <w:rPr>
                <w:rFonts w:ascii="Times New Roman" w:hAnsi="Times New Roman" w:eastAsia="Times New Roman" w:cs="Times New Roman"/>
                <w:spacing w:val="8"/>
                <w:sz w:val="20"/>
                <w:szCs w:val="20"/>
              </w:rPr>
              <w:t>50</w:t>
            </w:r>
            <w:r>
              <w:rPr>
                <w:rFonts w:ascii="Times New Roman" w:hAnsi="Times New Roman" w:eastAsia="Times New Roman" w:cs="Times New Roman"/>
                <w:sz w:val="20"/>
                <w:szCs w:val="20"/>
              </w:rPr>
              <w:t>cm</w:t>
            </w:r>
            <w:r>
              <w:rPr>
                <w:rFonts w:ascii="Times New Roman" w:hAnsi="Times New Roman" w:eastAsia="Times New Roman" w:cs="Times New Roman"/>
                <w:spacing w:val="8"/>
                <w:sz w:val="20"/>
                <w:szCs w:val="20"/>
              </w:rPr>
              <w:t>×50</w:t>
            </w:r>
            <w:r>
              <w:rPr>
                <w:rFonts w:ascii="Times New Roman" w:hAnsi="Times New Roman" w:eastAsia="Times New Roman" w:cs="Times New Roman"/>
                <w:sz w:val="20"/>
                <w:szCs w:val="20"/>
              </w:rPr>
              <w:t>cm</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。施工工序为：放线</w:t>
            </w:r>
            <w:r>
              <w:rPr>
                <w:rFonts w:ascii="Times New Roman" w:hAnsi="Times New Roman" w:eastAsia="Times New Roman" w:cs="Times New Roman"/>
                <w:spacing w:val="8"/>
                <w:sz w:val="20"/>
                <w:szCs w:val="20"/>
              </w:rPr>
              <w:t>→</w:t>
            </w:r>
            <w:r>
              <w:rPr>
                <w:rFonts w:ascii="宋体" w:hAnsi="宋体" w:eastAsia="宋体" w:cs="宋体"/>
                <w:spacing w:val="8"/>
                <w:sz w:val="20"/>
                <w:szCs w:val="20"/>
              </w:rPr>
              <w:t>人工基</w:t>
            </w:r>
            <w:r>
              <w:rPr>
                <w:rFonts w:ascii="宋体" w:hAnsi="宋体" w:eastAsia="宋体" w:cs="宋体"/>
                <w:sz w:val="20"/>
                <w:szCs w:val="20"/>
              </w:rPr>
              <w:t xml:space="preserve"> </w:t>
            </w:r>
            <w:r>
              <w:rPr>
                <w:rFonts w:ascii="宋体" w:hAnsi="宋体" w:eastAsia="宋体" w:cs="宋体"/>
                <w:spacing w:val="18"/>
                <w:sz w:val="20"/>
                <w:szCs w:val="20"/>
              </w:rPr>
              <w:t>础</w:t>
            </w:r>
            <w:r>
              <w:rPr>
                <w:rFonts w:ascii="宋体" w:hAnsi="宋体" w:eastAsia="宋体" w:cs="宋体"/>
                <w:spacing w:val="13"/>
                <w:sz w:val="20"/>
                <w:szCs w:val="20"/>
              </w:rPr>
              <w:t>开</w:t>
            </w:r>
            <w:r>
              <w:rPr>
                <w:rFonts w:ascii="宋体" w:hAnsi="宋体" w:eastAsia="宋体" w:cs="宋体"/>
                <w:spacing w:val="9"/>
                <w:sz w:val="20"/>
                <w:szCs w:val="20"/>
              </w:rPr>
              <w:t>挖</w:t>
            </w:r>
            <w:r>
              <w:rPr>
                <w:rFonts w:ascii="Times New Roman" w:hAnsi="Times New Roman" w:eastAsia="Times New Roman" w:cs="Times New Roman"/>
                <w:spacing w:val="9"/>
                <w:sz w:val="20"/>
                <w:szCs w:val="20"/>
              </w:rPr>
              <w:t>→</w:t>
            </w:r>
            <w:r>
              <w:rPr>
                <w:rFonts w:ascii="宋体" w:hAnsi="宋体" w:eastAsia="宋体" w:cs="宋体"/>
                <w:spacing w:val="9"/>
                <w:sz w:val="20"/>
                <w:szCs w:val="20"/>
              </w:rPr>
              <w:t>人工砌石</w:t>
            </w:r>
            <w:r>
              <w:rPr>
                <w:rFonts w:ascii="Times New Roman" w:hAnsi="Times New Roman" w:eastAsia="Times New Roman" w:cs="Times New Roman"/>
                <w:spacing w:val="9"/>
                <w:sz w:val="20"/>
                <w:szCs w:val="20"/>
              </w:rPr>
              <w:t>→</w:t>
            </w:r>
            <w:r>
              <w:rPr>
                <w:rFonts w:ascii="宋体" w:hAnsi="宋体" w:eastAsia="宋体" w:cs="宋体"/>
                <w:spacing w:val="9"/>
                <w:sz w:val="20"/>
                <w:szCs w:val="20"/>
              </w:rPr>
              <w:t>勾缝抹面，均以人工施工为主，机械为辅的施工方法。</w:t>
            </w:r>
          </w:p>
          <w:p>
            <w:pPr>
              <w:spacing w:before="3" w:line="341" w:lineRule="auto"/>
              <w:ind w:left="107" w:right="102" w:firstLine="421"/>
              <w:rPr>
                <w:rFonts w:ascii="宋体" w:hAnsi="宋体" w:eastAsia="宋体" w:cs="宋体"/>
                <w:sz w:val="20"/>
                <w:szCs w:val="20"/>
              </w:rPr>
            </w:pPr>
            <w:r>
              <w:rPr>
                <w:rFonts w:ascii="宋体" w:hAnsi="宋体" w:eastAsia="宋体" w:cs="宋体"/>
                <w:spacing w:val="14"/>
                <w:sz w:val="20"/>
                <w:szCs w:val="20"/>
              </w:rPr>
              <w:t>路基</w:t>
            </w:r>
            <w:r>
              <w:rPr>
                <w:rFonts w:ascii="宋体" w:hAnsi="宋体" w:eastAsia="宋体" w:cs="宋体"/>
                <w:spacing w:val="9"/>
                <w:sz w:val="20"/>
                <w:szCs w:val="20"/>
              </w:rPr>
              <w:t>防</w:t>
            </w:r>
            <w:r>
              <w:rPr>
                <w:rFonts w:ascii="宋体" w:hAnsi="宋体" w:eastAsia="宋体" w:cs="宋体"/>
                <w:spacing w:val="7"/>
                <w:sz w:val="20"/>
                <w:szCs w:val="20"/>
              </w:rPr>
              <w:t>护：本项目路基位于斜坡地段，地形坡度较陡，路堤全部需放坡开挖，无填方</w:t>
            </w:r>
            <w:r>
              <w:rPr>
                <w:rFonts w:ascii="宋体" w:hAnsi="宋体" w:eastAsia="宋体" w:cs="宋体"/>
                <w:sz w:val="20"/>
                <w:szCs w:val="20"/>
              </w:rPr>
              <w:t xml:space="preserve"> </w:t>
            </w:r>
            <w:r>
              <w:rPr>
                <w:rFonts w:ascii="宋体" w:hAnsi="宋体" w:eastAsia="宋体" w:cs="宋体"/>
                <w:spacing w:val="13"/>
                <w:sz w:val="20"/>
                <w:szCs w:val="20"/>
              </w:rPr>
              <w:t>路</w:t>
            </w:r>
            <w:r>
              <w:rPr>
                <w:rFonts w:ascii="宋体" w:hAnsi="宋体" w:eastAsia="宋体" w:cs="宋体"/>
                <w:spacing w:val="8"/>
                <w:sz w:val="20"/>
                <w:szCs w:val="20"/>
              </w:rPr>
              <w:t xml:space="preserve">段，最高坡度为 </w:t>
            </w:r>
            <w:r>
              <w:rPr>
                <w:rFonts w:ascii="Times New Roman" w:hAnsi="Times New Roman" w:eastAsia="Times New Roman" w:cs="Times New Roman"/>
                <w:spacing w:val="8"/>
                <w:sz w:val="20"/>
                <w:szCs w:val="20"/>
              </w:rPr>
              <w:t>12.45</w:t>
            </w:r>
            <w:r>
              <w:rPr>
                <w:rFonts w:ascii="Times New Roman" w:hAnsi="Times New Roman" w:eastAsia="Times New Roman" w:cs="Times New Roman"/>
                <w:sz w:val="20"/>
                <w:szCs w:val="20"/>
              </w:rPr>
              <w:t>m</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，岩层呈层状结构，岩体完整程度为较完整，层面结合差。裂</w:t>
            </w:r>
            <w:r>
              <w:rPr>
                <w:rFonts w:ascii="宋体" w:hAnsi="宋体" w:eastAsia="宋体" w:cs="宋体"/>
                <w:sz w:val="20"/>
                <w:szCs w:val="20"/>
              </w:rPr>
              <w:t xml:space="preserve"> </w:t>
            </w:r>
            <w:r>
              <w:rPr>
                <w:rFonts w:ascii="宋体" w:hAnsi="宋体" w:eastAsia="宋体" w:cs="宋体"/>
                <w:spacing w:val="14"/>
                <w:sz w:val="20"/>
                <w:szCs w:val="20"/>
              </w:rPr>
              <w:t>隙及层面</w:t>
            </w:r>
            <w:r>
              <w:rPr>
                <w:rFonts w:ascii="宋体" w:hAnsi="宋体" w:eastAsia="宋体" w:cs="宋体"/>
                <w:spacing w:val="10"/>
                <w:sz w:val="20"/>
                <w:szCs w:val="20"/>
              </w:rPr>
              <w:t>均</w:t>
            </w:r>
            <w:r>
              <w:rPr>
                <w:rFonts w:ascii="宋体" w:hAnsi="宋体" w:eastAsia="宋体" w:cs="宋体"/>
                <w:spacing w:val="7"/>
                <w:sz w:val="20"/>
                <w:szCs w:val="20"/>
              </w:rPr>
              <w:t xml:space="preserve">为硬性结构面，放坡条件较好。地面横坡如大于 </w:t>
            </w:r>
            <w:r>
              <w:rPr>
                <w:rFonts w:ascii="Times New Roman" w:hAnsi="Times New Roman" w:eastAsia="Times New Roman" w:cs="Times New Roman"/>
                <w:spacing w:val="7"/>
                <w:sz w:val="20"/>
                <w:szCs w:val="20"/>
              </w:rPr>
              <w:t xml:space="preserve">1:5 </w:t>
            </w:r>
            <w:r>
              <w:rPr>
                <w:rFonts w:ascii="宋体" w:hAnsi="宋体" w:eastAsia="宋体" w:cs="宋体"/>
                <w:spacing w:val="7"/>
                <w:sz w:val="20"/>
                <w:szCs w:val="20"/>
              </w:rPr>
              <w:t xml:space="preserve">时，挖成宽度不小于 </w:t>
            </w:r>
            <w:r>
              <w:rPr>
                <w:rFonts w:ascii="Times New Roman" w:hAnsi="Times New Roman" w:eastAsia="Times New Roman" w:cs="Times New Roman"/>
                <w:spacing w:val="7"/>
                <w:sz w:val="20"/>
                <w:szCs w:val="20"/>
              </w:rPr>
              <w:t>1.0</w:t>
            </w:r>
            <w:r>
              <w:rPr>
                <w:rFonts w:ascii="Times New Roman" w:hAnsi="Times New Roman" w:eastAsia="Times New Roman" w:cs="Times New Roman"/>
                <w:sz w:val="20"/>
                <w:szCs w:val="20"/>
              </w:rPr>
              <w:t xml:space="preserve"> </w:t>
            </w:r>
            <w:r>
              <w:rPr>
                <w:rFonts w:ascii="宋体" w:hAnsi="宋体" w:eastAsia="宋体" w:cs="宋体"/>
                <w:spacing w:val="6"/>
                <w:sz w:val="20"/>
                <w:szCs w:val="20"/>
              </w:rPr>
              <w:t xml:space="preserve">米的台阶，台阶表面做向内倾的 </w:t>
            </w:r>
            <w:r>
              <w:rPr>
                <w:rFonts w:ascii="Times New Roman" w:hAnsi="Times New Roman" w:eastAsia="Times New Roman" w:cs="Times New Roman"/>
                <w:spacing w:val="6"/>
                <w:sz w:val="20"/>
                <w:szCs w:val="20"/>
              </w:rPr>
              <w:t>3%</w:t>
            </w:r>
            <w:r>
              <w:rPr>
                <w:rFonts w:ascii="宋体" w:hAnsi="宋体" w:eastAsia="宋体" w:cs="宋体"/>
                <w:spacing w:val="6"/>
                <w:sz w:val="20"/>
                <w:szCs w:val="20"/>
              </w:rPr>
              <w:t>的横坡</w:t>
            </w:r>
            <w:r>
              <w:rPr>
                <w:rFonts w:ascii="宋体" w:hAnsi="宋体" w:eastAsia="宋体" w:cs="宋体"/>
                <w:spacing w:val="5"/>
                <w:sz w:val="20"/>
                <w:szCs w:val="20"/>
              </w:rPr>
              <w:t>。</w:t>
            </w:r>
          </w:p>
          <w:p>
            <w:pPr>
              <w:spacing w:before="119" w:line="228" w:lineRule="auto"/>
              <w:ind w:left="588"/>
              <w:rPr>
                <w:rFonts w:ascii="宋体" w:hAnsi="宋体" w:eastAsia="宋体" w:cs="宋体"/>
                <w:sz w:val="20"/>
                <w:szCs w:val="20"/>
              </w:rPr>
            </w:pPr>
            <w:r>
              <w:rPr>
                <w:rFonts w:ascii="宋体" w:hAnsi="宋体" w:eastAsia="宋体" w:cs="宋体"/>
                <w:spacing w:val="6"/>
                <w:sz w:val="17"/>
                <w:szCs w:val="17"/>
              </w:rPr>
              <w:t xml:space="preserve">2   </w:t>
            </w:r>
            <w:r>
              <w:rPr>
                <w:rFonts w:ascii="宋体" w:hAnsi="宋体" w:eastAsia="宋体" w:cs="宋体"/>
                <w:spacing w:val="6"/>
                <w:sz w:val="20"/>
                <w:szCs w:val="20"/>
              </w:rPr>
              <w:t>管道铺设</w:t>
            </w:r>
          </w:p>
          <w:p>
            <w:pPr>
              <w:spacing w:before="115" w:line="378" w:lineRule="auto"/>
              <w:ind w:left="106" w:right="102" w:firstLine="421"/>
              <w:rPr>
                <w:rFonts w:ascii="宋体" w:hAnsi="宋体" w:eastAsia="宋体" w:cs="宋体"/>
                <w:sz w:val="20"/>
                <w:szCs w:val="20"/>
              </w:rPr>
            </w:pPr>
            <w:r>
              <w:rPr>
                <w:rFonts w:ascii="宋体" w:hAnsi="宋体" w:eastAsia="宋体" w:cs="宋体"/>
                <w:spacing w:val="6"/>
                <w:sz w:val="20"/>
                <w:szCs w:val="20"/>
              </w:rPr>
              <w:t>本项目向滨河支路平交</w:t>
            </w:r>
            <w:r>
              <w:rPr>
                <w:rFonts w:ascii="宋体" w:hAnsi="宋体" w:eastAsia="宋体" w:cs="宋体"/>
                <w:spacing w:val="3"/>
                <w:sz w:val="20"/>
                <w:szCs w:val="20"/>
              </w:rPr>
              <w:t xml:space="preserve">段 </w:t>
            </w:r>
            <w:r>
              <w:rPr>
                <w:rFonts w:ascii="Times New Roman" w:hAnsi="Times New Roman" w:eastAsia="Times New Roman" w:cs="Times New Roman"/>
                <w:sz w:val="20"/>
                <w:szCs w:val="20"/>
              </w:rPr>
              <w:t>K</w:t>
            </w:r>
            <w:r>
              <w:rPr>
                <w:rFonts w:ascii="Times New Roman" w:hAnsi="Times New Roman" w:eastAsia="Times New Roman" w:cs="Times New Roman"/>
                <w:spacing w:val="3"/>
                <w:sz w:val="20"/>
                <w:szCs w:val="20"/>
              </w:rPr>
              <w:t>0+470~</w:t>
            </w:r>
            <w:r>
              <w:rPr>
                <w:rFonts w:ascii="Times New Roman" w:hAnsi="Times New Roman" w:eastAsia="Times New Roman" w:cs="Times New Roman"/>
                <w:sz w:val="20"/>
                <w:szCs w:val="20"/>
              </w:rPr>
              <w:t>K</w:t>
            </w:r>
            <w:r>
              <w:rPr>
                <w:rFonts w:ascii="Times New Roman" w:hAnsi="Times New Roman" w:eastAsia="Times New Roman" w:cs="Times New Roman"/>
                <w:spacing w:val="3"/>
                <w:sz w:val="20"/>
                <w:szCs w:val="20"/>
              </w:rPr>
              <w:t xml:space="preserve">0+602 </w:t>
            </w:r>
            <w:r>
              <w:rPr>
                <w:rFonts w:ascii="宋体" w:hAnsi="宋体" w:eastAsia="宋体" w:cs="宋体"/>
                <w:spacing w:val="3"/>
                <w:sz w:val="20"/>
                <w:szCs w:val="20"/>
              </w:rPr>
              <w:t xml:space="preserve">段新建一道 </w:t>
            </w:r>
            <w:r>
              <w:rPr>
                <w:rFonts w:ascii="Times New Roman" w:hAnsi="Times New Roman" w:eastAsia="Times New Roman" w:cs="Times New Roman"/>
                <w:sz w:val="20"/>
                <w:szCs w:val="20"/>
              </w:rPr>
              <w:t>DN</w:t>
            </w:r>
            <w:r>
              <w:rPr>
                <w:rFonts w:ascii="Times New Roman" w:hAnsi="Times New Roman" w:eastAsia="Times New Roman" w:cs="Times New Roman"/>
                <w:spacing w:val="3"/>
                <w:sz w:val="20"/>
                <w:szCs w:val="20"/>
              </w:rPr>
              <w:t xml:space="preserve">800 </w:t>
            </w:r>
            <w:r>
              <w:rPr>
                <w:rFonts w:ascii="宋体" w:hAnsi="宋体" w:eastAsia="宋体" w:cs="宋体"/>
                <w:spacing w:val="3"/>
                <w:sz w:val="20"/>
                <w:szCs w:val="20"/>
              </w:rPr>
              <w:t>雨水管，衔接滨河路已</w:t>
            </w:r>
            <w:r>
              <w:rPr>
                <w:rFonts w:ascii="宋体" w:hAnsi="宋体" w:eastAsia="宋体" w:cs="宋体"/>
                <w:sz w:val="20"/>
                <w:szCs w:val="20"/>
              </w:rPr>
              <w:t xml:space="preserve"> </w:t>
            </w:r>
            <w:r>
              <w:rPr>
                <w:rFonts w:ascii="宋体" w:hAnsi="宋体" w:eastAsia="宋体" w:cs="宋体"/>
                <w:spacing w:val="10"/>
                <w:sz w:val="20"/>
                <w:szCs w:val="20"/>
              </w:rPr>
              <w:t>设</w:t>
            </w:r>
            <w:r>
              <w:rPr>
                <w:rFonts w:ascii="宋体" w:hAnsi="宋体" w:eastAsia="宋体" w:cs="宋体"/>
                <w:spacing w:val="9"/>
                <w:sz w:val="20"/>
                <w:szCs w:val="20"/>
              </w:rPr>
              <w:t>计</w:t>
            </w:r>
            <w:r>
              <w:rPr>
                <w:rFonts w:ascii="宋体" w:hAnsi="宋体" w:eastAsia="宋体" w:cs="宋体"/>
                <w:spacing w:val="5"/>
                <w:sz w:val="20"/>
                <w:szCs w:val="20"/>
              </w:rPr>
              <w:t xml:space="preserve"> </w:t>
            </w:r>
            <w:r>
              <w:rPr>
                <w:rFonts w:ascii="Times New Roman" w:hAnsi="Times New Roman" w:eastAsia="Times New Roman" w:cs="Times New Roman"/>
                <w:sz w:val="20"/>
                <w:szCs w:val="20"/>
              </w:rPr>
              <w:t>DN</w:t>
            </w:r>
            <w:r>
              <w:rPr>
                <w:rFonts w:ascii="Times New Roman" w:hAnsi="Times New Roman" w:eastAsia="Times New Roman" w:cs="Times New Roman"/>
                <w:spacing w:val="5"/>
                <w:sz w:val="20"/>
                <w:szCs w:val="20"/>
              </w:rPr>
              <w:t xml:space="preserve">800 </w:t>
            </w:r>
            <w:r>
              <w:rPr>
                <w:rFonts w:ascii="宋体" w:hAnsi="宋体" w:eastAsia="宋体" w:cs="宋体"/>
                <w:spacing w:val="5"/>
                <w:sz w:val="20"/>
                <w:szCs w:val="20"/>
              </w:rPr>
              <w:t xml:space="preserve">雨水管，自东向西最终排入凤北大道雨水系统；同时新建 </w:t>
            </w:r>
            <w:r>
              <w:rPr>
                <w:rFonts w:ascii="Times New Roman" w:hAnsi="Times New Roman" w:eastAsia="Times New Roman" w:cs="Times New Roman"/>
                <w:sz w:val="20"/>
                <w:szCs w:val="20"/>
              </w:rPr>
              <w:t>DN</w:t>
            </w:r>
            <w:r>
              <w:rPr>
                <w:rFonts w:ascii="Times New Roman" w:hAnsi="Times New Roman" w:eastAsia="Times New Roman" w:cs="Times New Roman"/>
                <w:spacing w:val="5"/>
                <w:sz w:val="20"/>
                <w:szCs w:val="20"/>
              </w:rPr>
              <w:t xml:space="preserve">400 </w:t>
            </w:r>
            <w:r>
              <w:rPr>
                <w:rFonts w:ascii="宋体" w:hAnsi="宋体" w:eastAsia="宋体" w:cs="宋体"/>
                <w:spacing w:val="5"/>
                <w:sz w:val="20"/>
                <w:szCs w:val="20"/>
              </w:rPr>
              <w:t>污水管，衔</w:t>
            </w:r>
            <w:r>
              <w:rPr>
                <w:rFonts w:ascii="宋体" w:hAnsi="宋体" w:eastAsia="宋体" w:cs="宋体"/>
                <w:sz w:val="20"/>
                <w:szCs w:val="20"/>
              </w:rPr>
              <w:t xml:space="preserve"> </w:t>
            </w:r>
            <w:r>
              <w:rPr>
                <w:rFonts w:ascii="宋体" w:hAnsi="宋体" w:eastAsia="宋体" w:cs="宋体"/>
                <w:spacing w:val="4"/>
                <w:sz w:val="20"/>
                <w:szCs w:val="20"/>
              </w:rPr>
              <w:t xml:space="preserve">接滨河路已设计 </w:t>
            </w:r>
            <w:r>
              <w:rPr>
                <w:rFonts w:ascii="Times New Roman" w:hAnsi="Times New Roman" w:eastAsia="Times New Roman" w:cs="Times New Roman"/>
                <w:sz w:val="20"/>
                <w:szCs w:val="20"/>
              </w:rPr>
              <w:t>DN</w:t>
            </w:r>
            <w:r>
              <w:rPr>
                <w:rFonts w:ascii="Times New Roman" w:hAnsi="Times New Roman" w:eastAsia="Times New Roman" w:cs="Times New Roman"/>
                <w:spacing w:val="4"/>
                <w:sz w:val="20"/>
                <w:szCs w:val="20"/>
              </w:rPr>
              <w:t xml:space="preserve">400 </w:t>
            </w:r>
            <w:r>
              <w:rPr>
                <w:rFonts w:ascii="宋体" w:hAnsi="宋体" w:eastAsia="宋体" w:cs="宋体"/>
                <w:spacing w:val="4"/>
                <w:sz w:val="20"/>
                <w:szCs w:val="20"/>
              </w:rPr>
              <w:t>污水管，</w:t>
            </w:r>
            <w:r>
              <w:rPr>
                <w:rFonts w:ascii="宋体" w:hAnsi="宋体" w:eastAsia="宋体" w:cs="宋体"/>
                <w:spacing w:val="3"/>
                <w:sz w:val="20"/>
                <w:szCs w:val="20"/>
              </w:rPr>
              <w:t xml:space="preserve"> </w:t>
            </w:r>
            <w:r>
              <w:rPr>
                <w:rFonts w:ascii="宋体" w:hAnsi="宋体" w:eastAsia="宋体" w:cs="宋体"/>
                <w:spacing w:val="2"/>
                <w:sz w:val="20"/>
                <w:szCs w:val="20"/>
              </w:rPr>
              <w:t xml:space="preserve">自东向西最终排入州河设计截污管 </w:t>
            </w:r>
            <w:r>
              <w:rPr>
                <w:rFonts w:ascii="Times New Roman" w:hAnsi="Times New Roman" w:eastAsia="Times New Roman" w:cs="Times New Roman"/>
                <w:sz w:val="20"/>
                <w:szCs w:val="20"/>
              </w:rPr>
              <w:t>DN</w:t>
            </w:r>
            <w:r>
              <w:rPr>
                <w:rFonts w:ascii="Times New Roman" w:hAnsi="Times New Roman" w:eastAsia="Times New Roman" w:cs="Times New Roman"/>
                <w:spacing w:val="2"/>
                <w:sz w:val="20"/>
                <w:szCs w:val="20"/>
              </w:rPr>
              <w:t xml:space="preserve">800 </w:t>
            </w:r>
            <w:r>
              <w:rPr>
                <w:rFonts w:ascii="宋体" w:hAnsi="宋体" w:eastAsia="宋体" w:cs="宋体"/>
                <w:spacing w:val="2"/>
                <w:sz w:val="20"/>
                <w:szCs w:val="20"/>
              </w:rPr>
              <w:t>，最后进入城</w:t>
            </w:r>
            <w:r>
              <w:rPr>
                <w:rFonts w:ascii="宋体" w:hAnsi="宋体" w:eastAsia="宋体" w:cs="宋体"/>
                <w:sz w:val="20"/>
                <w:szCs w:val="20"/>
              </w:rPr>
              <w:t xml:space="preserve"> </w:t>
            </w:r>
            <w:r>
              <w:rPr>
                <w:rFonts w:ascii="宋体" w:hAnsi="宋体" w:eastAsia="宋体" w:cs="宋体"/>
                <w:spacing w:val="8"/>
                <w:sz w:val="20"/>
                <w:szCs w:val="20"/>
              </w:rPr>
              <w:t>区</w:t>
            </w:r>
            <w:r>
              <w:rPr>
                <w:rFonts w:ascii="宋体" w:hAnsi="宋体" w:eastAsia="宋体" w:cs="宋体"/>
                <w:spacing w:val="7"/>
                <w:sz w:val="20"/>
                <w:szCs w:val="20"/>
              </w:rPr>
              <w:t>污水处理厂。</w:t>
            </w:r>
          </w:p>
          <w:p>
            <w:pPr>
              <w:spacing w:before="2" w:line="369" w:lineRule="auto"/>
              <w:ind w:left="106" w:right="34" w:firstLine="425"/>
              <w:rPr>
                <w:rFonts w:ascii="宋体" w:hAnsi="宋体" w:eastAsia="宋体" w:cs="宋体"/>
                <w:sz w:val="20"/>
                <w:szCs w:val="20"/>
              </w:rPr>
            </w:pPr>
            <w:r>
              <w:rPr>
                <w:rFonts w:ascii="宋体" w:hAnsi="宋体" w:eastAsia="宋体" w:cs="宋体"/>
                <w:spacing w:val="6"/>
                <w:sz w:val="20"/>
                <w:szCs w:val="20"/>
              </w:rPr>
              <w:t>管道施工采用开槽</w:t>
            </w:r>
            <w:r>
              <w:rPr>
                <w:rFonts w:ascii="宋体" w:hAnsi="宋体" w:eastAsia="宋体" w:cs="宋体"/>
                <w:spacing w:val="5"/>
                <w:sz w:val="20"/>
                <w:szCs w:val="20"/>
              </w:rPr>
              <w:t>施</w:t>
            </w:r>
            <w:r>
              <w:rPr>
                <w:rFonts w:ascii="宋体" w:hAnsi="宋体" w:eastAsia="宋体" w:cs="宋体"/>
                <w:spacing w:val="3"/>
                <w:sz w:val="20"/>
                <w:szCs w:val="20"/>
              </w:rPr>
              <w:t>工，直接在路面或地面开挖管道沟槽，进行管道安装，沟槽回填。</w:t>
            </w:r>
            <w:r>
              <w:rPr>
                <w:rFonts w:ascii="宋体" w:hAnsi="宋体" w:eastAsia="宋体" w:cs="宋体"/>
                <w:sz w:val="20"/>
                <w:szCs w:val="20"/>
              </w:rPr>
              <w:t xml:space="preserve"> </w:t>
            </w:r>
            <w:r>
              <w:rPr>
                <w:rFonts w:ascii="宋体" w:hAnsi="宋体" w:eastAsia="宋体" w:cs="宋体"/>
                <w:spacing w:val="10"/>
                <w:sz w:val="20"/>
                <w:szCs w:val="20"/>
              </w:rPr>
              <w:t>选</w:t>
            </w:r>
            <w:r>
              <w:rPr>
                <w:rFonts w:ascii="宋体" w:hAnsi="宋体" w:eastAsia="宋体" w:cs="宋体"/>
                <w:spacing w:val="8"/>
                <w:sz w:val="20"/>
                <w:szCs w:val="20"/>
              </w:rPr>
              <w:t>用</w:t>
            </w:r>
            <w:r>
              <w:rPr>
                <w:rFonts w:ascii="宋体" w:hAnsi="宋体" w:eastAsia="宋体" w:cs="宋体"/>
                <w:spacing w:val="5"/>
                <w:sz w:val="20"/>
                <w:szCs w:val="20"/>
              </w:rPr>
              <w:t xml:space="preserve">聚丙烯缠绕结构壁管，采用 </w:t>
            </w:r>
            <w:r>
              <w:rPr>
                <w:rFonts w:ascii="Times New Roman" w:hAnsi="Times New Roman" w:eastAsia="Times New Roman" w:cs="Times New Roman"/>
                <w:spacing w:val="5"/>
                <w:sz w:val="20"/>
                <w:szCs w:val="20"/>
              </w:rPr>
              <w:t>180°</w:t>
            </w:r>
            <w:r>
              <w:rPr>
                <w:rFonts w:ascii="宋体" w:hAnsi="宋体" w:eastAsia="宋体" w:cs="宋体"/>
                <w:spacing w:val="5"/>
                <w:sz w:val="20"/>
                <w:szCs w:val="20"/>
              </w:rPr>
              <w:t xml:space="preserve">砂石基础，管道基础下增加 </w:t>
            </w:r>
            <w:r>
              <w:rPr>
                <w:rFonts w:ascii="Times New Roman" w:hAnsi="Times New Roman" w:eastAsia="Times New Roman" w:cs="Times New Roman"/>
                <w:spacing w:val="5"/>
                <w:sz w:val="20"/>
                <w:szCs w:val="20"/>
              </w:rPr>
              <w:t>20</w:t>
            </w:r>
            <w:r>
              <w:rPr>
                <w:rFonts w:ascii="Times New Roman" w:hAnsi="Times New Roman" w:eastAsia="Times New Roman" w:cs="Times New Roman"/>
                <w:sz w:val="20"/>
                <w:szCs w:val="20"/>
              </w:rPr>
              <w:t>cm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砂石垫层，中粗砂</w:t>
            </w:r>
            <w:r>
              <w:rPr>
                <w:rFonts w:ascii="宋体" w:hAnsi="宋体" w:eastAsia="宋体" w:cs="宋体"/>
                <w:sz w:val="20"/>
                <w:szCs w:val="20"/>
              </w:rPr>
              <w:t xml:space="preserve"> </w:t>
            </w:r>
            <w:r>
              <w:rPr>
                <w:rFonts w:ascii="宋体" w:hAnsi="宋体" w:eastAsia="宋体" w:cs="宋体"/>
                <w:spacing w:val="14"/>
                <w:sz w:val="20"/>
                <w:szCs w:val="20"/>
              </w:rPr>
              <w:t>回填</w:t>
            </w:r>
            <w:r>
              <w:rPr>
                <w:rFonts w:ascii="宋体" w:hAnsi="宋体" w:eastAsia="宋体" w:cs="宋体"/>
                <w:spacing w:val="13"/>
                <w:sz w:val="20"/>
                <w:szCs w:val="20"/>
              </w:rPr>
              <w:t>至</w:t>
            </w:r>
            <w:r>
              <w:rPr>
                <w:rFonts w:ascii="宋体" w:hAnsi="宋体" w:eastAsia="宋体" w:cs="宋体"/>
                <w:spacing w:val="7"/>
                <w:sz w:val="20"/>
                <w:szCs w:val="20"/>
              </w:rPr>
              <w:t xml:space="preserve">管顶以上 </w:t>
            </w:r>
            <w:r>
              <w:rPr>
                <w:rFonts w:ascii="Times New Roman" w:hAnsi="Times New Roman" w:eastAsia="Times New Roman" w:cs="Times New Roman"/>
                <w:spacing w:val="7"/>
                <w:sz w:val="20"/>
                <w:szCs w:val="20"/>
              </w:rPr>
              <w:t>50</w:t>
            </w:r>
            <w:r>
              <w:rPr>
                <w:rFonts w:ascii="Times New Roman" w:hAnsi="Times New Roman" w:eastAsia="Times New Roman" w:cs="Times New Roman"/>
                <w:sz w:val="20"/>
                <w:szCs w:val="20"/>
              </w:rPr>
              <w:t>cm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。后沟槽回填符合道路要求的素土至道路结构层。雨水口连接管采</w:t>
            </w:r>
            <w:r>
              <w:rPr>
                <w:rFonts w:ascii="宋体" w:hAnsi="宋体" w:eastAsia="宋体" w:cs="宋体"/>
                <w:sz w:val="20"/>
                <w:szCs w:val="20"/>
              </w:rPr>
              <w:t xml:space="preserve"> </w:t>
            </w:r>
            <w:r>
              <w:rPr>
                <w:rFonts w:ascii="宋体" w:hAnsi="宋体" w:eastAsia="宋体" w:cs="宋体"/>
                <w:spacing w:val="7"/>
                <w:sz w:val="20"/>
                <w:szCs w:val="20"/>
              </w:rPr>
              <w:t>用满包加固</w:t>
            </w:r>
            <w:r>
              <w:rPr>
                <w:rFonts w:ascii="宋体" w:hAnsi="宋体" w:eastAsia="宋体" w:cs="宋体"/>
                <w:spacing w:val="6"/>
                <w:sz w:val="20"/>
                <w:szCs w:val="20"/>
              </w:rPr>
              <w:t>。</w:t>
            </w:r>
          </w:p>
          <w:p>
            <w:pPr>
              <w:spacing w:before="1" w:line="227" w:lineRule="auto"/>
              <w:ind w:left="590"/>
              <w:rPr>
                <w:rFonts w:ascii="宋体" w:hAnsi="宋体" w:eastAsia="宋体" w:cs="宋体"/>
                <w:sz w:val="20"/>
                <w:szCs w:val="20"/>
              </w:rPr>
            </w:pPr>
            <w:r>
              <w:rPr>
                <w:rFonts w:ascii="宋体" w:hAnsi="宋体" w:eastAsia="宋体" w:cs="宋体"/>
                <w:spacing w:val="6"/>
                <w:sz w:val="17"/>
                <w:szCs w:val="17"/>
              </w:rPr>
              <w:t xml:space="preserve">3   </w:t>
            </w:r>
            <w:r>
              <w:rPr>
                <w:rFonts w:ascii="宋体" w:hAnsi="宋体" w:eastAsia="宋体" w:cs="宋体"/>
                <w:spacing w:val="6"/>
                <w:sz w:val="20"/>
                <w:szCs w:val="20"/>
              </w:rPr>
              <w:t>路面工</w:t>
            </w:r>
            <w:r>
              <w:rPr>
                <w:rFonts w:ascii="宋体" w:hAnsi="宋体" w:eastAsia="宋体" w:cs="宋体"/>
                <w:spacing w:val="5"/>
                <w:sz w:val="20"/>
                <w:szCs w:val="20"/>
              </w:rPr>
              <w:t>程</w:t>
            </w:r>
          </w:p>
          <w:p>
            <w:pPr>
              <w:spacing w:before="154" w:line="227" w:lineRule="auto"/>
              <w:ind w:left="529"/>
              <w:rPr>
                <w:rFonts w:ascii="宋体" w:hAnsi="宋体" w:eastAsia="宋体" w:cs="宋体"/>
                <w:sz w:val="20"/>
                <w:szCs w:val="20"/>
              </w:rPr>
            </w:pPr>
            <w:r>
              <w:rPr>
                <w:rFonts w:ascii="宋体" w:hAnsi="宋体" w:eastAsia="宋体" w:cs="宋体"/>
                <w:spacing w:val="8"/>
                <w:sz w:val="20"/>
                <w:szCs w:val="20"/>
              </w:rPr>
              <w:t>路面采</w:t>
            </w:r>
            <w:r>
              <w:rPr>
                <w:rFonts w:ascii="宋体" w:hAnsi="宋体" w:eastAsia="宋体" w:cs="宋体"/>
                <w:spacing w:val="7"/>
                <w:sz w:val="20"/>
                <w:szCs w:val="20"/>
              </w:rPr>
              <w:t>用</w:t>
            </w:r>
            <w:r>
              <w:rPr>
                <w:rFonts w:ascii="宋体" w:hAnsi="宋体" w:eastAsia="宋体" w:cs="宋体"/>
                <w:spacing w:val="4"/>
                <w:sz w:val="20"/>
                <w:szCs w:val="20"/>
              </w:rPr>
              <w:t>沥青混凝土路面。路面结构层包括级配碎(砾) 石底基层、水泥级配碎石 (砂</w:t>
            </w:r>
          </w:p>
          <w:p>
            <w:pPr>
              <w:spacing w:before="152" w:line="228" w:lineRule="auto"/>
              <w:ind w:left="106"/>
              <w:rPr>
                <w:rFonts w:ascii="宋体" w:hAnsi="宋体" w:eastAsia="宋体" w:cs="宋体"/>
                <w:sz w:val="20"/>
                <w:szCs w:val="20"/>
              </w:rPr>
            </w:pPr>
            <w:r>
              <w:rPr>
                <w:rFonts w:ascii="宋体" w:hAnsi="宋体" w:eastAsia="宋体" w:cs="宋体"/>
                <w:spacing w:val="8"/>
                <w:sz w:val="20"/>
                <w:szCs w:val="20"/>
              </w:rPr>
              <w:t>砾) 基层、沥青混凝土面层</w:t>
            </w:r>
            <w:r>
              <w:rPr>
                <w:rFonts w:ascii="宋体" w:hAnsi="宋体" w:eastAsia="宋体" w:cs="宋体"/>
                <w:spacing w:val="6"/>
                <w:sz w:val="20"/>
                <w:szCs w:val="20"/>
              </w:rPr>
              <w:t>。</w:t>
            </w:r>
          </w:p>
          <w:p>
            <w:pPr>
              <w:spacing w:before="154" w:line="369" w:lineRule="auto"/>
              <w:ind w:left="108" w:right="104" w:firstLine="420"/>
              <w:rPr>
                <w:rFonts w:ascii="宋体" w:hAnsi="宋体" w:eastAsia="宋体" w:cs="宋体"/>
                <w:sz w:val="20"/>
                <w:szCs w:val="20"/>
              </w:rPr>
            </w:pPr>
            <w:r>
              <w:rPr>
                <w:rFonts w:ascii="宋体" w:hAnsi="宋体" w:eastAsia="宋体" w:cs="宋体"/>
                <w:spacing w:val="14"/>
                <w:sz w:val="20"/>
                <w:szCs w:val="20"/>
              </w:rPr>
              <w:t>路</w:t>
            </w:r>
            <w:r>
              <w:rPr>
                <w:rFonts w:ascii="宋体" w:hAnsi="宋体" w:eastAsia="宋体" w:cs="宋体"/>
                <w:spacing w:val="13"/>
                <w:sz w:val="20"/>
                <w:szCs w:val="20"/>
              </w:rPr>
              <w:t>面</w:t>
            </w:r>
            <w:r>
              <w:rPr>
                <w:rFonts w:ascii="宋体" w:hAnsi="宋体" w:eastAsia="宋体" w:cs="宋体"/>
                <w:spacing w:val="7"/>
                <w:sz w:val="20"/>
                <w:szCs w:val="20"/>
              </w:rPr>
              <w:t>工程以采用大型机械专业化施工为主，以少量人工操作小型机械为辅。沥青混凝</w:t>
            </w:r>
            <w:r>
              <w:rPr>
                <w:rFonts w:ascii="宋体" w:hAnsi="宋体" w:eastAsia="宋体" w:cs="宋体"/>
                <w:sz w:val="20"/>
                <w:szCs w:val="20"/>
              </w:rPr>
              <w:t xml:space="preserve"> </w:t>
            </w:r>
            <w:r>
              <w:rPr>
                <w:rFonts w:ascii="宋体" w:hAnsi="宋体" w:eastAsia="宋体" w:cs="宋体"/>
                <w:spacing w:val="14"/>
                <w:sz w:val="20"/>
                <w:szCs w:val="20"/>
              </w:rPr>
              <w:t>土路</w:t>
            </w:r>
            <w:r>
              <w:rPr>
                <w:rFonts w:ascii="宋体" w:hAnsi="宋体" w:eastAsia="宋体" w:cs="宋体"/>
                <w:spacing w:val="13"/>
                <w:sz w:val="20"/>
                <w:szCs w:val="20"/>
              </w:rPr>
              <w:t>面</w:t>
            </w:r>
            <w:r>
              <w:rPr>
                <w:rFonts w:ascii="宋体" w:hAnsi="宋体" w:eastAsia="宋体" w:cs="宋体"/>
                <w:spacing w:val="7"/>
                <w:sz w:val="20"/>
                <w:szCs w:val="20"/>
              </w:rPr>
              <w:t>底基层、基层、面层，均采用外购成品、机械摊铺法进行施工。按照路面结构自下</w:t>
            </w:r>
          </w:p>
          <w:p>
            <w:pPr>
              <w:spacing w:line="227" w:lineRule="auto"/>
              <w:ind w:left="108"/>
              <w:rPr>
                <w:rFonts w:ascii="宋体" w:hAnsi="宋体" w:eastAsia="宋体" w:cs="宋体"/>
                <w:sz w:val="20"/>
                <w:szCs w:val="20"/>
              </w:rPr>
            </w:pPr>
            <w:r>
              <w:rPr>
                <w:rFonts w:ascii="宋体" w:hAnsi="宋体" w:eastAsia="宋体" w:cs="宋体"/>
                <w:spacing w:val="8"/>
                <w:sz w:val="20"/>
                <w:szCs w:val="20"/>
              </w:rPr>
              <w:t>而上逐层进行铺</w:t>
            </w:r>
            <w:r>
              <w:rPr>
                <w:rFonts w:ascii="宋体" w:hAnsi="宋体" w:eastAsia="宋体" w:cs="宋体"/>
                <w:spacing w:val="6"/>
                <w:sz w:val="20"/>
                <w:szCs w:val="20"/>
              </w:rPr>
              <w:t>设</w:t>
            </w:r>
            <w:r>
              <w:rPr>
                <w:rFonts w:ascii="宋体" w:hAnsi="宋体" w:eastAsia="宋体" w:cs="宋体"/>
                <w:spacing w:val="4"/>
                <w:sz w:val="20"/>
                <w:szCs w:val="20"/>
              </w:rPr>
              <w:t>，为确保路面工程的平整度和质量，路面各结构层全部由专业队伍承担，</w:t>
            </w:r>
          </w:p>
        </w:tc>
      </w:tr>
    </w:tbl>
    <w:p>
      <w:pPr>
        <w:spacing w:line="138" w:lineRule="exact"/>
        <w:rPr>
          <w:rFonts w:ascii="Arial"/>
          <w:sz w:val="12"/>
        </w:rPr>
      </w:pPr>
    </w:p>
    <w:p>
      <w:pPr>
        <w:sectPr>
          <w:footerReference r:id="rId56" w:type="default"/>
          <w:pgSz w:w="11906" w:h="16839"/>
          <w:pgMar w:top="400" w:right="1487" w:bottom="1475" w:left="1486" w:header="0" w:footer="1315" w:gutter="0"/>
          <w:cols w:space="720" w:num="1"/>
        </w:sectPr>
      </w:pPr>
    </w:p>
    <w:p/>
    <w:p/>
    <w:p/>
    <w:p/>
    <w:p>
      <w:pPr>
        <w:spacing w:line="221" w:lineRule="exact"/>
      </w:pPr>
    </w:p>
    <w:tbl>
      <w:tblPr>
        <w:tblStyle w:val="4"/>
        <w:tblW w:w="8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8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15" w:hRule="atLeast"/>
        </w:trPr>
        <w:tc>
          <w:tcPr>
            <w:tcW w:w="600" w:type="dxa"/>
            <w:tcBorders>
              <w:left w:val="single" w:color="00000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65" w:line="267" w:lineRule="auto"/>
              <w:ind w:left="88" w:right="89" w:hanging="1"/>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施工</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方</w:t>
            </w:r>
            <w:r>
              <w:rPr>
                <w:rFonts w:ascii="宋体" w:hAnsi="宋体" w:eastAsia="宋体" w:cs="宋体"/>
                <w:spacing w:val="5"/>
                <w:sz w:val="20"/>
                <w:szCs w:val="20"/>
                <w14:textOutline w14:w="3795" w14:cap="sq" w14:cmpd="sng">
                  <w14:solidFill>
                    <w14:srgbClr w14:val="000000"/>
                  </w14:solidFill>
                  <w14:prstDash w14:val="solid"/>
                  <w14:bevel/>
                </w14:textOutline>
              </w:rPr>
              <w:t>案</w:t>
            </w:r>
          </w:p>
        </w:tc>
        <w:tc>
          <w:tcPr>
            <w:tcW w:w="8317" w:type="dxa"/>
            <w:tcBorders>
              <w:right w:val="single" w:color="000000" w:sz="6" w:space="0"/>
            </w:tcBorders>
            <w:vAlign w:val="top"/>
          </w:tcPr>
          <w:p>
            <w:pPr>
              <w:spacing w:before="154" w:line="370" w:lineRule="auto"/>
              <w:ind w:left="110" w:right="102" w:hanging="4"/>
              <w:rPr>
                <w:rFonts w:ascii="宋体" w:hAnsi="宋体" w:eastAsia="宋体" w:cs="宋体"/>
                <w:sz w:val="20"/>
                <w:szCs w:val="20"/>
              </w:rPr>
            </w:pPr>
            <w:r>
              <w:rPr>
                <w:rFonts w:ascii="宋体" w:hAnsi="宋体" w:eastAsia="宋体" w:cs="宋体"/>
                <w:spacing w:val="14"/>
                <w:sz w:val="20"/>
                <w:szCs w:val="20"/>
              </w:rPr>
              <w:t>底基层</w:t>
            </w:r>
            <w:r>
              <w:rPr>
                <w:rFonts w:ascii="宋体" w:hAnsi="宋体" w:eastAsia="宋体" w:cs="宋体"/>
                <w:spacing w:val="10"/>
                <w:sz w:val="20"/>
                <w:szCs w:val="20"/>
              </w:rPr>
              <w:t>、</w:t>
            </w:r>
            <w:r>
              <w:rPr>
                <w:rFonts w:ascii="宋体" w:hAnsi="宋体" w:eastAsia="宋体" w:cs="宋体"/>
                <w:spacing w:val="7"/>
                <w:sz w:val="20"/>
                <w:szCs w:val="20"/>
              </w:rPr>
              <w:t>基层均应以机械拌合，摊铺机分层摊铺，压路机压实，各面层采用洒布机洒透层</w:t>
            </w:r>
            <w:r>
              <w:rPr>
                <w:rFonts w:ascii="宋体" w:hAnsi="宋体" w:eastAsia="宋体" w:cs="宋体"/>
                <w:sz w:val="20"/>
                <w:szCs w:val="20"/>
              </w:rPr>
              <w:t xml:space="preserve"> </w:t>
            </w:r>
            <w:r>
              <w:rPr>
                <w:rFonts w:ascii="宋体" w:hAnsi="宋体" w:eastAsia="宋体" w:cs="宋体"/>
                <w:spacing w:val="16"/>
                <w:sz w:val="20"/>
                <w:szCs w:val="20"/>
              </w:rPr>
              <w:t>油</w:t>
            </w:r>
            <w:r>
              <w:rPr>
                <w:rFonts w:ascii="宋体" w:hAnsi="宋体" w:eastAsia="宋体" w:cs="宋体"/>
                <w:spacing w:val="9"/>
                <w:sz w:val="20"/>
                <w:szCs w:val="20"/>
              </w:rPr>
              <w:t>，摊铺机配以自卸车连续摊铺沥青拌和料，压路机碾压密实成型。</w:t>
            </w:r>
          </w:p>
          <w:p>
            <w:pPr>
              <w:spacing w:line="226" w:lineRule="auto"/>
              <w:ind w:left="585"/>
              <w:rPr>
                <w:rFonts w:ascii="宋体" w:hAnsi="宋体" w:eastAsia="宋体" w:cs="宋体"/>
                <w:sz w:val="20"/>
                <w:szCs w:val="20"/>
              </w:rPr>
            </w:pPr>
            <w:r>
              <w:rPr>
                <w:rFonts w:ascii="宋体" w:hAnsi="宋体" w:eastAsia="宋体" w:cs="宋体"/>
                <w:spacing w:val="8"/>
                <w:sz w:val="17"/>
                <w:szCs w:val="17"/>
              </w:rPr>
              <w:t>4</w:t>
            </w:r>
            <w:r>
              <w:rPr>
                <w:rFonts w:ascii="宋体" w:hAnsi="宋体" w:eastAsia="宋体" w:cs="宋体"/>
                <w:spacing w:val="7"/>
                <w:sz w:val="17"/>
                <w:szCs w:val="17"/>
              </w:rPr>
              <w:t xml:space="preserve">   </w:t>
            </w:r>
            <w:r>
              <w:rPr>
                <w:rFonts w:ascii="宋体" w:hAnsi="宋体" w:eastAsia="宋体" w:cs="宋体"/>
                <w:spacing w:val="7"/>
                <w:sz w:val="20"/>
                <w:szCs w:val="20"/>
              </w:rPr>
              <w:t>附属设施施工</w:t>
            </w:r>
          </w:p>
          <w:p>
            <w:pPr>
              <w:spacing w:before="152" w:line="227" w:lineRule="auto"/>
              <w:ind w:left="544"/>
              <w:rPr>
                <w:rFonts w:ascii="宋体" w:hAnsi="宋体" w:eastAsia="宋体" w:cs="宋体"/>
                <w:sz w:val="20"/>
                <w:szCs w:val="20"/>
              </w:rPr>
            </w:pPr>
            <w:r>
              <w:rPr>
                <w:rFonts w:ascii="宋体" w:hAnsi="宋体" w:eastAsia="宋体" w:cs="宋体"/>
                <w:spacing w:val="12"/>
                <w:sz w:val="20"/>
                <w:szCs w:val="20"/>
              </w:rPr>
              <w:t>附</w:t>
            </w:r>
            <w:r>
              <w:rPr>
                <w:rFonts w:ascii="宋体" w:hAnsi="宋体" w:eastAsia="宋体" w:cs="宋体"/>
                <w:spacing w:val="8"/>
                <w:sz w:val="20"/>
                <w:szCs w:val="20"/>
              </w:rPr>
              <w:t>属设施主要为路面交安工程、边坡绿化等。</w:t>
            </w:r>
          </w:p>
          <w:p>
            <w:pPr>
              <w:spacing w:before="152" w:line="369" w:lineRule="auto"/>
              <w:ind w:left="107" w:right="69" w:firstLine="419"/>
              <w:rPr>
                <w:rFonts w:ascii="宋体" w:hAnsi="宋体" w:eastAsia="宋体" w:cs="宋体"/>
                <w:sz w:val="20"/>
                <w:szCs w:val="20"/>
              </w:rPr>
            </w:pPr>
            <w:r>
              <w:rPr>
                <w:rFonts w:ascii="宋体" w:hAnsi="宋体" w:eastAsia="宋体" w:cs="宋体"/>
                <w:spacing w:val="16"/>
                <w:sz w:val="20"/>
                <w:szCs w:val="20"/>
              </w:rPr>
              <w:t>施</w:t>
            </w:r>
            <w:r>
              <w:rPr>
                <w:rFonts w:ascii="宋体" w:hAnsi="宋体" w:eastAsia="宋体" w:cs="宋体"/>
                <w:spacing w:val="14"/>
                <w:sz w:val="20"/>
                <w:szCs w:val="20"/>
              </w:rPr>
              <w:t>工</w:t>
            </w:r>
            <w:r>
              <w:rPr>
                <w:rFonts w:ascii="宋体" w:hAnsi="宋体" w:eastAsia="宋体" w:cs="宋体"/>
                <w:spacing w:val="8"/>
                <w:sz w:val="20"/>
                <w:szCs w:val="20"/>
              </w:rPr>
              <w:t>方案、施工时序、时段、时限：本项目采用机械与人工相结合的方式进行施工，</w:t>
            </w:r>
            <w:r>
              <w:rPr>
                <w:rFonts w:ascii="宋体" w:hAnsi="宋体" w:eastAsia="宋体" w:cs="宋体"/>
                <w:sz w:val="20"/>
                <w:szCs w:val="20"/>
              </w:rPr>
              <w:t xml:space="preserve"> </w:t>
            </w:r>
            <w:r>
              <w:rPr>
                <w:rFonts w:ascii="宋体" w:hAnsi="宋体" w:eastAsia="宋体" w:cs="宋体"/>
                <w:spacing w:val="14"/>
                <w:sz w:val="20"/>
                <w:szCs w:val="20"/>
              </w:rPr>
              <w:t>为尽量</w:t>
            </w:r>
            <w:r>
              <w:rPr>
                <w:rFonts w:ascii="宋体" w:hAnsi="宋体" w:eastAsia="宋体" w:cs="宋体"/>
                <w:spacing w:val="7"/>
                <w:sz w:val="20"/>
                <w:szCs w:val="20"/>
              </w:rPr>
              <w:t>减轻施工活动对人群带来的不利影响，评价要求：建设单位应监督施工部门合理安</w:t>
            </w:r>
            <w:r>
              <w:rPr>
                <w:rFonts w:ascii="宋体" w:hAnsi="宋体" w:eastAsia="宋体" w:cs="宋体"/>
                <w:sz w:val="20"/>
                <w:szCs w:val="20"/>
              </w:rPr>
              <w:t xml:space="preserve"> </w:t>
            </w:r>
            <w:r>
              <w:rPr>
                <w:rFonts w:ascii="宋体" w:hAnsi="宋体" w:eastAsia="宋体" w:cs="宋体"/>
                <w:spacing w:val="20"/>
                <w:sz w:val="20"/>
                <w:szCs w:val="20"/>
              </w:rPr>
              <w:t>排好</w:t>
            </w:r>
            <w:r>
              <w:rPr>
                <w:rFonts w:ascii="宋体" w:hAnsi="宋体" w:eastAsia="宋体" w:cs="宋体"/>
                <w:spacing w:val="13"/>
                <w:sz w:val="20"/>
                <w:szCs w:val="20"/>
              </w:rPr>
              <w:t>施</w:t>
            </w:r>
            <w:r>
              <w:rPr>
                <w:rFonts w:ascii="宋体" w:hAnsi="宋体" w:eastAsia="宋体" w:cs="宋体"/>
                <w:spacing w:val="10"/>
                <w:sz w:val="20"/>
                <w:szCs w:val="20"/>
              </w:rPr>
              <w:t>工时间、严禁夜间</w:t>
            </w:r>
            <w:r>
              <w:rPr>
                <w:rFonts w:ascii="Times New Roman" w:hAnsi="Times New Roman" w:eastAsia="Times New Roman" w:cs="Times New Roman"/>
                <w:spacing w:val="10"/>
                <w:sz w:val="20"/>
                <w:szCs w:val="20"/>
              </w:rPr>
              <w:t>(22</w:t>
            </w:r>
            <w:r>
              <w:rPr>
                <w:rFonts w:ascii="宋体" w:hAnsi="宋体" w:eastAsia="宋体" w:cs="宋体"/>
                <w:spacing w:val="10"/>
                <w:sz w:val="20"/>
                <w:szCs w:val="20"/>
              </w:rPr>
              <w:t>：</w:t>
            </w:r>
            <w:r>
              <w:rPr>
                <w:rFonts w:ascii="Times New Roman" w:hAnsi="Times New Roman" w:eastAsia="Times New Roman" w:cs="Times New Roman"/>
                <w:spacing w:val="10"/>
                <w:sz w:val="20"/>
                <w:szCs w:val="20"/>
              </w:rPr>
              <w:t>00</w:t>
            </w:r>
            <w:r>
              <w:rPr>
                <w:rFonts w:ascii="宋体" w:hAnsi="宋体" w:eastAsia="宋体" w:cs="宋体"/>
                <w:spacing w:val="10"/>
                <w:sz w:val="20"/>
                <w:szCs w:val="20"/>
              </w:rPr>
              <w:t>~</w:t>
            </w:r>
            <w:r>
              <w:rPr>
                <w:rFonts w:ascii="Times New Roman" w:hAnsi="Times New Roman" w:eastAsia="Times New Roman" w:cs="Times New Roman"/>
                <w:spacing w:val="10"/>
                <w:sz w:val="20"/>
                <w:szCs w:val="20"/>
              </w:rPr>
              <w:t>06</w:t>
            </w:r>
            <w:r>
              <w:rPr>
                <w:rFonts w:ascii="宋体" w:hAnsi="宋体" w:eastAsia="宋体" w:cs="宋体"/>
                <w:spacing w:val="10"/>
                <w:sz w:val="20"/>
                <w:szCs w:val="20"/>
              </w:rPr>
              <w:t>：</w:t>
            </w:r>
            <w:r>
              <w:rPr>
                <w:rFonts w:ascii="Times New Roman" w:hAnsi="Times New Roman" w:eastAsia="Times New Roman" w:cs="Times New Roman"/>
                <w:spacing w:val="10"/>
                <w:sz w:val="20"/>
                <w:szCs w:val="20"/>
              </w:rPr>
              <w:t>00)</w:t>
            </w:r>
            <w:r>
              <w:rPr>
                <w:rFonts w:ascii="宋体" w:hAnsi="宋体" w:eastAsia="宋体" w:cs="宋体"/>
                <w:spacing w:val="10"/>
                <w:sz w:val="20"/>
                <w:szCs w:val="20"/>
              </w:rPr>
              <w:t>进行机械施工，同时还应避免大风天气以及雨</w:t>
            </w:r>
            <w:r>
              <w:rPr>
                <w:rFonts w:ascii="宋体" w:hAnsi="宋体" w:eastAsia="宋体" w:cs="宋体"/>
                <w:sz w:val="20"/>
                <w:szCs w:val="20"/>
              </w:rPr>
              <w:t xml:space="preserve"> </w:t>
            </w:r>
            <w:r>
              <w:rPr>
                <w:rFonts w:ascii="宋体" w:hAnsi="宋体" w:eastAsia="宋体" w:cs="宋体"/>
                <w:spacing w:val="16"/>
                <w:sz w:val="20"/>
                <w:szCs w:val="20"/>
              </w:rPr>
              <w:t>季</w:t>
            </w:r>
            <w:r>
              <w:rPr>
                <w:rFonts w:ascii="宋体" w:hAnsi="宋体" w:eastAsia="宋体" w:cs="宋体"/>
                <w:spacing w:val="8"/>
                <w:sz w:val="20"/>
                <w:szCs w:val="20"/>
              </w:rPr>
              <w:t>施工，重污染天气禁止施工。</w:t>
            </w:r>
          </w:p>
          <w:p>
            <w:pPr>
              <w:spacing w:before="4" w:line="228" w:lineRule="auto"/>
              <w:ind w:left="590"/>
              <w:rPr>
                <w:rFonts w:ascii="宋体" w:hAnsi="宋体" w:eastAsia="宋体" w:cs="宋体"/>
                <w:sz w:val="20"/>
                <w:szCs w:val="20"/>
              </w:rPr>
            </w:pPr>
            <w:r>
              <w:rPr>
                <w:rFonts w:ascii="宋体" w:hAnsi="宋体" w:eastAsia="宋体" w:cs="宋体"/>
                <w:spacing w:val="12"/>
                <w:sz w:val="17"/>
                <w:szCs w:val="17"/>
              </w:rPr>
              <w:t>5</w:t>
            </w:r>
            <w:r>
              <w:rPr>
                <w:rFonts w:ascii="宋体" w:hAnsi="宋体" w:eastAsia="宋体" w:cs="宋体"/>
                <w:spacing w:val="7"/>
                <w:sz w:val="17"/>
                <w:szCs w:val="17"/>
              </w:rPr>
              <w:t xml:space="preserve"> </w:t>
            </w:r>
            <w:r>
              <w:rPr>
                <w:rFonts w:ascii="宋体" w:hAnsi="宋体" w:eastAsia="宋体" w:cs="宋体"/>
                <w:spacing w:val="6"/>
                <w:sz w:val="17"/>
                <w:szCs w:val="17"/>
              </w:rPr>
              <w:t xml:space="preserve">  </w:t>
            </w:r>
            <w:r>
              <w:rPr>
                <w:rFonts w:ascii="宋体" w:hAnsi="宋体" w:eastAsia="宋体" w:cs="宋体"/>
                <w:spacing w:val="6"/>
                <w:sz w:val="20"/>
                <w:szCs w:val="20"/>
              </w:rPr>
              <w:t>施工交通运输</w:t>
            </w:r>
          </w:p>
          <w:p>
            <w:pPr>
              <w:spacing w:before="154" w:line="369" w:lineRule="auto"/>
              <w:ind w:left="106" w:right="53" w:firstLine="425"/>
              <w:rPr>
                <w:rFonts w:ascii="宋体" w:hAnsi="宋体" w:eastAsia="宋体" w:cs="宋体"/>
                <w:sz w:val="20"/>
                <w:szCs w:val="20"/>
              </w:rPr>
            </w:pPr>
            <w:r>
              <w:rPr>
                <w:rFonts w:ascii="宋体" w:hAnsi="宋体" w:eastAsia="宋体" w:cs="宋体"/>
                <w:spacing w:val="16"/>
                <w:sz w:val="20"/>
                <w:szCs w:val="20"/>
              </w:rPr>
              <w:t>结</w:t>
            </w:r>
            <w:r>
              <w:rPr>
                <w:rFonts w:ascii="宋体" w:hAnsi="宋体" w:eastAsia="宋体" w:cs="宋体"/>
                <w:spacing w:val="13"/>
                <w:sz w:val="20"/>
                <w:szCs w:val="20"/>
              </w:rPr>
              <w:t>合项目实际情况，主要利用项目运输主要利用已建的村道以及项目附近的其他道</w:t>
            </w:r>
            <w:r>
              <w:rPr>
                <w:rFonts w:ascii="宋体" w:hAnsi="宋体" w:eastAsia="宋体" w:cs="宋体"/>
                <w:sz w:val="20"/>
                <w:szCs w:val="20"/>
              </w:rPr>
              <w:t xml:space="preserve"> </w:t>
            </w:r>
            <w:r>
              <w:rPr>
                <w:rFonts w:ascii="宋体" w:hAnsi="宋体" w:eastAsia="宋体" w:cs="宋体"/>
                <w:spacing w:val="14"/>
                <w:sz w:val="20"/>
                <w:szCs w:val="20"/>
              </w:rPr>
              <w:t>路，根</w:t>
            </w:r>
            <w:r>
              <w:rPr>
                <w:rFonts w:ascii="宋体" w:hAnsi="宋体" w:eastAsia="宋体" w:cs="宋体"/>
                <w:spacing w:val="8"/>
                <w:sz w:val="20"/>
                <w:szCs w:val="20"/>
              </w:rPr>
              <w:t>据</w:t>
            </w:r>
            <w:r>
              <w:rPr>
                <w:rFonts w:ascii="宋体" w:hAnsi="宋体" w:eastAsia="宋体" w:cs="宋体"/>
                <w:spacing w:val="7"/>
                <w:sz w:val="20"/>
                <w:szCs w:val="20"/>
              </w:rPr>
              <w:t>施工需要设置村道至施工现场的便道。一定程度会增加运输路线沿线地区的车流</w:t>
            </w:r>
            <w:r>
              <w:rPr>
                <w:rFonts w:ascii="宋体" w:hAnsi="宋体" w:eastAsia="宋体" w:cs="宋体"/>
                <w:sz w:val="20"/>
                <w:szCs w:val="20"/>
              </w:rPr>
              <w:t xml:space="preserve"> </w:t>
            </w:r>
            <w:r>
              <w:rPr>
                <w:rFonts w:ascii="宋体" w:hAnsi="宋体" w:eastAsia="宋体" w:cs="宋体"/>
                <w:spacing w:val="14"/>
                <w:sz w:val="20"/>
                <w:szCs w:val="20"/>
              </w:rPr>
              <w:t>量，对</w:t>
            </w:r>
            <w:r>
              <w:rPr>
                <w:rFonts w:ascii="宋体" w:hAnsi="宋体" w:eastAsia="宋体" w:cs="宋体"/>
                <w:spacing w:val="10"/>
                <w:sz w:val="20"/>
                <w:szCs w:val="20"/>
              </w:rPr>
              <w:t>现</w:t>
            </w:r>
            <w:r>
              <w:rPr>
                <w:rFonts w:ascii="宋体" w:hAnsi="宋体" w:eastAsia="宋体" w:cs="宋体"/>
                <w:spacing w:val="7"/>
                <w:sz w:val="20"/>
                <w:szCs w:val="20"/>
              </w:rPr>
              <w:t>有交通产生干扰，部分路段高峰小时可能造成交通拥挤、堵塞。施工单位应与交</w:t>
            </w:r>
            <w:r>
              <w:rPr>
                <w:rFonts w:ascii="宋体" w:hAnsi="宋体" w:eastAsia="宋体" w:cs="宋体"/>
                <w:sz w:val="20"/>
                <w:szCs w:val="20"/>
              </w:rPr>
              <w:t xml:space="preserve"> </w:t>
            </w:r>
            <w:r>
              <w:rPr>
                <w:rFonts w:ascii="宋体" w:hAnsi="宋体" w:eastAsia="宋体" w:cs="宋体"/>
                <w:spacing w:val="14"/>
                <w:sz w:val="20"/>
                <w:szCs w:val="20"/>
              </w:rPr>
              <w:t>通部门</w:t>
            </w:r>
            <w:r>
              <w:rPr>
                <w:rFonts w:ascii="宋体" w:hAnsi="宋体" w:eastAsia="宋体" w:cs="宋体"/>
                <w:spacing w:val="10"/>
                <w:sz w:val="20"/>
                <w:szCs w:val="20"/>
              </w:rPr>
              <w:t>协</w:t>
            </w:r>
            <w:r>
              <w:rPr>
                <w:rFonts w:ascii="宋体" w:hAnsi="宋体" w:eastAsia="宋体" w:cs="宋体"/>
                <w:spacing w:val="7"/>
                <w:sz w:val="20"/>
                <w:szCs w:val="20"/>
              </w:rPr>
              <w:t>调做好运输车辆路线规划，避开交通拥堵路段以及人群集中段进行运输，尽量降</w:t>
            </w:r>
            <w:r>
              <w:rPr>
                <w:rFonts w:ascii="宋体" w:hAnsi="宋体" w:eastAsia="宋体" w:cs="宋体"/>
                <w:sz w:val="20"/>
                <w:szCs w:val="20"/>
              </w:rPr>
              <w:t xml:space="preserve"> </w:t>
            </w:r>
            <w:r>
              <w:rPr>
                <w:rFonts w:ascii="宋体" w:hAnsi="宋体" w:eastAsia="宋体" w:cs="宋体"/>
                <w:spacing w:val="14"/>
                <w:sz w:val="20"/>
                <w:szCs w:val="20"/>
              </w:rPr>
              <w:t>低对周</w:t>
            </w:r>
            <w:r>
              <w:rPr>
                <w:rFonts w:ascii="宋体" w:hAnsi="宋体" w:eastAsia="宋体" w:cs="宋体"/>
                <w:spacing w:val="10"/>
                <w:sz w:val="20"/>
                <w:szCs w:val="20"/>
              </w:rPr>
              <w:t>边</w:t>
            </w:r>
            <w:r>
              <w:rPr>
                <w:rFonts w:ascii="宋体" w:hAnsi="宋体" w:eastAsia="宋体" w:cs="宋体"/>
                <w:spacing w:val="7"/>
                <w:sz w:val="20"/>
                <w:szCs w:val="20"/>
              </w:rPr>
              <w:t>居民和行人的影响；在施工过程中应安排工作人员维持施工现场的交通秩序。同</w:t>
            </w:r>
            <w:r>
              <w:rPr>
                <w:rFonts w:ascii="宋体" w:hAnsi="宋体" w:eastAsia="宋体" w:cs="宋体"/>
                <w:sz w:val="20"/>
                <w:szCs w:val="20"/>
              </w:rPr>
              <w:t xml:space="preserve"> </w:t>
            </w:r>
            <w:r>
              <w:rPr>
                <w:rFonts w:ascii="宋体" w:hAnsi="宋体" w:eastAsia="宋体" w:cs="宋体"/>
                <w:spacing w:val="14"/>
                <w:sz w:val="20"/>
                <w:szCs w:val="20"/>
              </w:rPr>
              <w:t>时要求</w:t>
            </w:r>
            <w:r>
              <w:rPr>
                <w:rFonts w:ascii="宋体" w:hAnsi="宋体" w:eastAsia="宋体" w:cs="宋体"/>
                <w:spacing w:val="10"/>
                <w:sz w:val="20"/>
                <w:szCs w:val="20"/>
              </w:rPr>
              <w:t>项</w:t>
            </w:r>
            <w:r>
              <w:rPr>
                <w:rFonts w:ascii="宋体" w:hAnsi="宋体" w:eastAsia="宋体" w:cs="宋体"/>
                <w:spacing w:val="7"/>
                <w:sz w:val="20"/>
                <w:szCs w:val="20"/>
              </w:rPr>
              <w:t>目建渣、弃土运输过程中应尽量避开人群较多的地方，同时避开早晚上下班高峰</w:t>
            </w:r>
            <w:r>
              <w:rPr>
                <w:rFonts w:ascii="宋体" w:hAnsi="宋体" w:eastAsia="宋体" w:cs="宋体"/>
                <w:sz w:val="20"/>
                <w:szCs w:val="20"/>
              </w:rPr>
              <w:t xml:space="preserve"> </w:t>
            </w:r>
            <w:r>
              <w:rPr>
                <w:rFonts w:ascii="宋体" w:hAnsi="宋体" w:eastAsia="宋体" w:cs="宋体"/>
                <w:spacing w:val="14"/>
                <w:sz w:val="20"/>
                <w:szCs w:val="20"/>
              </w:rPr>
              <w:t>期。环</w:t>
            </w:r>
            <w:r>
              <w:rPr>
                <w:rFonts w:ascii="宋体" w:hAnsi="宋体" w:eastAsia="宋体" w:cs="宋体"/>
                <w:spacing w:val="8"/>
                <w:sz w:val="20"/>
                <w:szCs w:val="20"/>
              </w:rPr>
              <w:t>评</w:t>
            </w:r>
            <w:r>
              <w:rPr>
                <w:rFonts w:ascii="宋体" w:hAnsi="宋体" w:eastAsia="宋体" w:cs="宋体"/>
                <w:spacing w:val="7"/>
                <w:sz w:val="20"/>
                <w:szCs w:val="20"/>
              </w:rPr>
              <w:t>要求在土石方等材料的运输过程中采取密闭覆盖措施，不得沿途抛洒滴漏，按照</w:t>
            </w:r>
            <w:r>
              <w:rPr>
                <w:rFonts w:ascii="宋体" w:hAnsi="宋体" w:eastAsia="宋体" w:cs="宋体"/>
                <w:sz w:val="20"/>
                <w:szCs w:val="20"/>
              </w:rPr>
              <w:t xml:space="preserve"> </w:t>
            </w:r>
            <w:r>
              <w:rPr>
                <w:rFonts w:ascii="宋体" w:hAnsi="宋体" w:eastAsia="宋体" w:cs="宋体"/>
                <w:spacing w:val="9"/>
                <w:sz w:val="20"/>
                <w:szCs w:val="20"/>
              </w:rPr>
              <w:t>交通管理部门确定的线路、时间运输，同时在途经沿线的居民敏感点路段时，减速慢行</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6"/>
                <w:sz w:val="20"/>
                <w:szCs w:val="20"/>
              </w:rPr>
              <w:t>禁止鸣笛。</w:t>
            </w:r>
          </w:p>
          <w:p>
            <w:pPr>
              <w:spacing w:line="227" w:lineRule="auto"/>
              <w:ind w:left="588"/>
              <w:rPr>
                <w:rFonts w:ascii="宋体" w:hAnsi="宋体" w:eastAsia="宋体" w:cs="宋体"/>
                <w:sz w:val="20"/>
                <w:szCs w:val="20"/>
              </w:rPr>
            </w:pPr>
            <w:r>
              <w:rPr>
                <w:rFonts w:ascii="宋体" w:hAnsi="宋体" w:eastAsia="宋体" w:cs="宋体"/>
                <w:spacing w:val="12"/>
                <w:sz w:val="17"/>
                <w:szCs w:val="17"/>
              </w:rPr>
              <w:t>6</w:t>
            </w:r>
            <w:r>
              <w:rPr>
                <w:rFonts w:ascii="宋体" w:hAnsi="宋体" w:eastAsia="宋体" w:cs="宋体"/>
                <w:spacing w:val="7"/>
                <w:sz w:val="17"/>
                <w:szCs w:val="17"/>
              </w:rPr>
              <w:t xml:space="preserve">   </w:t>
            </w:r>
            <w:r>
              <w:rPr>
                <w:rFonts w:ascii="宋体" w:hAnsi="宋体" w:eastAsia="宋体" w:cs="宋体"/>
                <w:spacing w:val="7"/>
                <w:sz w:val="20"/>
                <w:szCs w:val="20"/>
              </w:rPr>
              <w:t>现状道路改造施工</w:t>
            </w:r>
          </w:p>
          <w:p>
            <w:pPr>
              <w:spacing w:before="155" w:line="369" w:lineRule="auto"/>
              <w:ind w:left="111" w:right="102" w:firstLine="420"/>
              <w:rPr>
                <w:rFonts w:ascii="宋体" w:hAnsi="宋体" w:eastAsia="宋体" w:cs="宋体"/>
                <w:sz w:val="20"/>
                <w:szCs w:val="20"/>
              </w:rPr>
            </w:pPr>
            <w:r>
              <w:rPr>
                <w:rFonts w:ascii="宋体" w:hAnsi="宋体" w:eastAsia="宋体" w:cs="宋体"/>
                <w:spacing w:val="14"/>
                <w:sz w:val="20"/>
                <w:szCs w:val="20"/>
              </w:rPr>
              <w:t>项目</w:t>
            </w:r>
            <w:r>
              <w:rPr>
                <w:rFonts w:ascii="宋体" w:hAnsi="宋体" w:eastAsia="宋体" w:cs="宋体"/>
                <w:spacing w:val="7"/>
                <w:sz w:val="20"/>
                <w:szCs w:val="20"/>
              </w:rPr>
              <w:t>东岸与犀牛大道、江湾路连接处改造施工主要是与工程相关的管线改造、交通标</w:t>
            </w:r>
            <w:r>
              <w:rPr>
                <w:rFonts w:ascii="宋体" w:hAnsi="宋体" w:eastAsia="宋体" w:cs="宋体"/>
                <w:sz w:val="20"/>
                <w:szCs w:val="20"/>
              </w:rPr>
              <w:t xml:space="preserve"> </w:t>
            </w:r>
            <w:r>
              <w:rPr>
                <w:rFonts w:ascii="宋体" w:hAnsi="宋体" w:eastAsia="宋体" w:cs="宋体"/>
                <w:spacing w:val="14"/>
                <w:sz w:val="20"/>
                <w:szCs w:val="20"/>
              </w:rPr>
              <w:t>志标</w:t>
            </w:r>
            <w:r>
              <w:rPr>
                <w:rFonts w:ascii="宋体" w:hAnsi="宋体" w:eastAsia="宋体" w:cs="宋体"/>
                <w:spacing w:val="11"/>
                <w:sz w:val="20"/>
                <w:szCs w:val="20"/>
              </w:rPr>
              <w:t>线</w:t>
            </w:r>
            <w:r>
              <w:rPr>
                <w:rFonts w:ascii="宋体" w:hAnsi="宋体" w:eastAsia="宋体" w:cs="宋体"/>
                <w:spacing w:val="7"/>
                <w:sz w:val="20"/>
                <w:szCs w:val="20"/>
              </w:rPr>
              <w:t>、交叉口信号设施设计、电子警察等改造施工，不会破坏原有路面。施工期间采取</w:t>
            </w:r>
            <w:r>
              <w:rPr>
                <w:rFonts w:ascii="宋体" w:hAnsi="宋体" w:eastAsia="宋体" w:cs="宋体"/>
                <w:sz w:val="20"/>
                <w:szCs w:val="20"/>
              </w:rPr>
              <w:t xml:space="preserve"> </w:t>
            </w:r>
            <w:r>
              <w:rPr>
                <w:rFonts w:ascii="宋体" w:hAnsi="宋体" w:eastAsia="宋体" w:cs="宋体"/>
                <w:spacing w:val="9"/>
                <w:sz w:val="20"/>
                <w:szCs w:val="20"/>
              </w:rPr>
              <w:t>半幅施工、半幅通车的方式，可减小对交通的影响</w:t>
            </w:r>
            <w:r>
              <w:rPr>
                <w:rFonts w:ascii="宋体" w:hAnsi="宋体" w:eastAsia="宋体" w:cs="宋体"/>
                <w:spacing w:val="8"/>
                <w:sz w:val="20"/>
                <w:szCs w:val="20"/>
              </w:rPr>
              <w:t>。</w:t>
            </w:r>
          </w:p>
          <w:p>
            <w:pPr>
              <w:spacing w:before="1" w:line="241" w:lineRule="auto"/>
              <w:ind w:left="103"/>
              <w:rPr>
                <w:rFonts w:ascii="黑体" w:hAnsi="黑体" w:eastAsia="黑体" w:cs="黑体"/>
                <w:sz w:val="20"/>
                <w:szCs w:val="20"/>
              </w:rPr>
            </w:pPr>
            <w:r>
              <w:rPr>
                <w:rFonts w:ascii="Times New Roman" w:hAnsi="Times New Roman" w:eastAsia="Times New Roman" w:cs="Times New Roman"/>
                <w:spacing w:val="4"/>
                <w:sz w:val="20"/>
                <w:szCs w:val="20"/>
              </w:rPr>
              <w:t xml:space="preserve">2 </w:t>
            </w:r>
            <w:r>
              <w:rPr>
                <w:rFonts w:ascii="黑体" w:hAnsi="黑体" w:eastAsia="黑体" w:cs="黑体"/>
                <w:spacing w:val="4"/>
                <w:sz w:val="20"/>
                <w:szCs w:val="20"/>
              </w:rPr>
              <w:t>、施工时序、建设周期</w:t>
            </w:r>
          </w:p>
          <w:p>
            <w:pPr>
              <w:spacing w:before="139" w:line="369" w:lineRule="auto"/>
              <w:ind w:left="106" w:right="104" w:firstLine="420"/>
              <w:rPr>
                <w:rFonts w:ascii="宋体" w:hAnsi="宋体" w:eastAsia="宋体" w:cs="宋体"/>
                <w:sz w:val="20"/>
                <w:szCs w:val="20"/>
              </w:rPr>
            </w:pPr>
            <w:r>
              <w:rPr>
                <w:rFonts w:ascii="宋体" w:hAnsi="宋体" w:eastAsia="宋体" w:cs="宋体"/>
                <w:spacing w:val="8"/>
                <w:sz w:val="20"/>
                <w:szCs w:val="20"/>
              </w:rPr>
              <w:t>根</w:t>
            </w:r>
            <w:r>
              <w:rPr>
                <w:rFonts w:ascii="宋体" w:hAnsi="宋体" w:eastAsia="宋体" w:cs="宋体"/>
                <w:spacing w:val="6"/>
                <w:sz w:val="20"/>
                <w:szCs w:val="20"/>
              </w:rPr>
              <w:t>据</w:t>
            </w:r>
            <w:r>
              <w:rPr>
                <w:rFonts w:ascii="宋体" w:hAnsi="宋体" w:eastAsia="宋体" w:cs="宋体"/>
                <w:spacing w:val="4"/>
                <w:sz w:val="20"/>
                <w:szCs w:val="20"/>
              </w:rPr>
              <w:t xml:space="preserve">工程的工期安排，项目建设周期为 </w:t>
            </w:r>
            <w:r>
              <w:rPr>
                <w:rFonts w:ascii="Times New Roman" w:hAnsi="Times New Roman" w:eastAsia="Times New Roman" w:cs="Times New Roman"/>
                <w:spacing w:val="4"/>
                <w:sz w:val="20"/>
                <w:szCs w:val="20"/>
              </w:rPr>
              <w:t xml:space="preserve">30 </w:t>
            </w:r>
            <w:r>
              <w:rPr>
                <w:rFonts w:ascii="宋体" w:hAnsi="宋体" w:eastAsia="宋体" w:cs="宋体"/>
                <w:spacing w:val="4"/>
                <w:sz w:val="20"/>
                <w:szCs w:val="20"/>
              </w:rPr>
              <w:t xml:space="preserve">个月，项目具体实施周期为 </w:t>
            </w:r>
            <w:r>
              <w:rPr>
                <w:rFonts w:ascii="Times New Roman" w:hAnsi="Times New Roman" w:eastAsia="Times New Roman" w:cs="Times New Roman"/>
                <w:spacing w:val="4"/>
                <w:sz w:val="20"/>
                <w:szCs w:val="20"/>
              </w:rPr>
              <w:t xml:space="preserve">16 </w:t>
            </w:r>
            <w:r>
              <w:rPr>
                <w:rFonts w:ascii="宋体" w:hAnsi="宋体" w:eastAsia="宋体" w:cs="宋体"/>
                <w:spacing w:val="4"/>
                <w:sz w:val="20"/>
                <w:szCs w:val="20"/>
              </w:rPr>
              <w:t>个月。工程</w:t>
            </w:r>
            <w:r>
              <w:rPr>
                <w:rFonts w:ascii="宋体" w:hAnsi="宋体" w:eastAsia="宋体" w:cs="宋体"/>
                <w:sz w:val="20"/>
                <w:szCs w:val="20"/>
              </w:rPr>
              <w:t xml:space="preserve"> </w:t>
            </w:r>
            <w:r>
              <w:rPr>
                <w:rFonts w:ascii="宋体" w:hAnsi="宋体" w:eastAsia="宋体" w:cs="宋体"/>
                <w:spacing w:val="9"/>
                <w:sz w:val="20"/>
                <w:szCs w:val="20"/>
              </w:rPr>
              <w:t>采</w:t>
            </w:r>
            <w:r>
              <w:rPr>
                <w:rFonts w:ascii="宋体" w:hAnsi="宋体" w:eastAsia="宋体" w:cs="宋体"/>
                <w:spacing w:val="8"/>
                <w:sz w:val="20"/>
                <w:szCs w:val="20"/>
              </w:rPr>
              <w:t>取总体分阶段安排。</w:t>
            </w:r>
          </w:p>
          <w:p>
            <w:pPr>
              <w:spacing w:line="400" w:lineRule="exact"/>
              <w:ind w:left="526"/>
              <w:rPr>
                <w:rFonts w:ascii="宋体" w:hAnsi="宋体" w:eastAsia="宋体" w:cs="宋体"/>
                <w:sz w:val="20"/>
                <w:szCs w:val="20"/>
              </w:rPr>
            </w:pPr>
            <w:r>
              <w:rPr>
                <w:rFonts w:ascii="宋体" w:hAnsi="宋体" w:eastAsia="宋体" w:cs="宋体"/>
                <w:spacing w:val="4"/>
                <w:position w:val="14"/>
                <w:sz w:val="20"/>
                <w:szCs w:val="20"/>
              </w:rPr>
              <w:t>施</w:t>
            </w:r>
            <w:r>
              <w:rPr>
                <w:rFonts w:ascii="宋体" w:hAnsi="宋体" w:eastAsia="宋体" w:cs="宋体"/>
                <w:spacing w:val="2"/>
                <w:position w:val="14"/>
                <w:sz w:val="20"/>
                <w:szCs w:val="20"/>
              </w:rPr>
              <w:t>工准备：</w:t>
            </w:r>
            <w:r>
              <w:rPr>
                <w:rFonts w:ascii="Times New Roman" w:hAnsi="Times New Roman" w:eastAsia="Times New Roman" w:cs="Times New Roman"/>
                <w:spacing w:val="2"/>
                <w:position w:val="14"/>
                <w:sz w:val="20"/>
                <w:szCs w:val="20"/>
              </w:rPr>
              <w:t xml:space="preserve">2023 </w:t>
            </w:r>
            <w:r>
              <w:rPr>
                <w:rFonts w:ascii="宋体" w:hAnsi="宋体" w:eastAsia="宋体" w:cs="宋体"/>
                <w:spacing w:val="2"/>
                <w:position w:val="14"/>
                <w:sz w:val="20"/>
                <w:szCs w:val="20"/>
              </w:rPr>
              <w:t xml:space="preserve">年 </w:t>
            </w:r>
            <w:r>
              <w:rPr>
                <w:rFonts w:ascii="Times New Roman" w:hAnsi="Times New Roman" w:eastAsia="Times New Roman" w:cs="Times New Roman"/>
                <w:spacing w:val="2"/>
                <w:position w:val="14"/>
                <w:sz w:val="20"/>
                <w:szCs w:val="20"/>
              </w:rPr>
              <w:t xml:space="preserve">3 </w:t>
            </w:r>
            <w:r>
              <w:rPr>
                <w:rFonts w:ascii="宋体" w:hAnsi="宋体" w:eastAsia="宋体" w:cs="宋体"/>
                <w:spacing w:val="2"/>
                <w:position w:val="14"/>
                <w:sz w:val="20"/>
                <w:szCs w:val="20"/>
              </w:rPr>
              <w:t>月</w:t>
            </w:r>
            <w:r>
              <w:rPr>
                <w:rFonts w:ascii="Times New Roman" w:hAnsi="Times New Roman" w:eastAsia="Times New Roman" w:cs="Times New Roman"/>
                <w:spacing w:val="2"/>
                <w:position w:val="14"/>
                <w:sz w:val="20"/>
                <w:szCs w:val="20"/>
              </w:rPr>
              <w:t xml:space="preserve">—2023 </w:t>
            </w:r>
            <w:r>
              <w:rPr>
                <w:rFonts w:ascii="宋体" w:hAnsi="宋体" w:eastAsia="宋体" w:cs="宋体"/>
                <w:spacing w:val="2"/>
                <w:position w:val="14"/>
                <w:sz w:val="20"/>
                <w:szCs w:val="20"/>
              </w:rPr>
              <w:t xml:space="preserve">年 </w:t>
            </w:r>
            <w:r>
              <w:rPr>
                <w:rFonts w:ascii="Times New Roman" w:hAnsi="Times New Roman" w:eastAsia="Times New Roman" w:cs="Times New Roman"/>
                <w:spacing w:val="2"/>
                <w:position w:val="14"/>
                <w:sz w:val="20"/>
                <w:szCs w:val="20"/>
              </w:rPr>
              <w:t xml:space="preserve">6 </w:t>
            </w:r>
            <w:r>
              <w:rPr>
                <w:rFonts w:ascii="宋体" w:hAnsi="宋体" w:eastAsia="宋体" w:cs="宋体"/>
                <w:spacing w:val="2"/>
                <w:position w:val="14"/>
                <w:sz w:val="20"/>
                <w:szCs w:val="20"/>
              </w:rPr>
              <w:t>月；</w:t>
            </w:r>
          </w:p>
          <w:p>
            <w:pPr>
              <w:spacing w:before="1" w:line="227" w:lineRule="auto"/>
              <w:ind w:left="529"/>
              <w:rPr>
                <w:rFonts w:ascii="宋体" w:hAnsi="宋体" w:eastAsia="宋体" w:cs="宋体"/>
                <w:sz w:val="20"/>
                <w:szCs w:val="20"/>
              </w:rPr>
            </w:pPr>
            <w:r>
              <w:rPr>
                <w:rFonts w:ascii="宋体" w:hAnsi="宋体" w:eastAsia="宋体" w:cs="宋体"/>
                <w:spacing w:val="2"/>
                <w:sz w:val="20"/>
                <w:szCs w:val="20"/>
              </w:rPr>
              <w:t>路基工程：</w:t>
            </w:r>
            <w:r>
              <w:rPr>
                <w:rFonts w:ascii="Times New Roman" w:hAnsi="Times New Roman" w:eastAsia="Times New Roman" w:cs="Times New Roman"/>
                <w:spacing w:val="2"/>
                <w:sz w:val="20"/>
                <w:szCs w:val="20"/>
              </w:rPr>
              <w:t xml:space="preserve">2023 </w:t>
            </w:r>
            <w:r>
              <w:rPr>
                <w:rFonts w:ascii="宋体" w:hAnsi="宋体" w:eastAsia="宋体" w:cs="宋体"/>
                <w:spacing w:val="2"/>
                <w:sz w:val="20"/>
                <w:szCs w:val="20"/>
              </w:rPr>
              <w:t xml:space="preserve">年 </w:t>
            </w:r>
            <w:r>
              <w:rPr>
                <w:rFonts w:ascii="Times New Roman" w:hAnsi="Times New Roman" w:eastAsia="Times New Roman" w:cs="Times New Roman"/>
                <w:spacing w:val="2"/>
                <w:sz w:val="20"/>
                <w:szCs w:val="20"/>
              </w:rPr>
              <w:t xml:space="preserve">7 </w:t>
            </w:r>
            <w:r>
              <w:rPr>
                <w:rFonts w:ascii="宋体" w:hAnsi="宋体" w:eastAsia="宋体" w:cs="宋体"/>
                <w:spacing w:val="2"/>
                <w:sz w:val="20"/>
                <w:szCs w:val="20"/>
              </w:rPr>
              <w:t>月</w:t>
            </w:r>
            <w:r>
              <w:rPr>
                <w:rFonts w:ascii="Times New Roman" w:hAnsi="Times New Roman" w:eastAsia="Times New Roman" w:cs="Times New Roman"/>
                <w:spacing w:val="2"/>
                <w:sz w:val="20"/>
                <w:szCs w:val="20"/>
              </w:rPr>
              <w:t xml:space="preserve">—2023 </w:t>
            </w:r>
            <w:r>
              <w:rPr>
                <w:rFonts w:ascii="宋体" w:hAnsi="宋体" w:eastAsia="宋体" w:cs="宋体"/>
                <w:spacing w:val="2"/>
                <w:sz w:val="20"/>
                <w:szCs w:val="20"/>
              </w:rPr>
              <w:t xml:space="preserve">年 </w:t>
            </w:r>
            <w:r>
              <w:rPr>
                <w:rFonts w:ascii="Times New Roman" w:hAnsi="Times New Roman" w:eastAsia="Times New Roman" w:cs="Times New Roman"/>
                <w:spacing w:val="2"/>
                <w:sz w:val="20"/>
                <w:szCs w:val="20"/>
              </w:rPr>
              <w:t xml:space="preserve">8 </w:t>
            </w:r>
            <w:r>
              <w:rPr>
                <w:rFonts w:ascii="宋体" w:hAnsi="宋体" w:eastAsia="宋体" w:cs="宋体"/>
                <w:spacing w:val="2"/>
                <w:sz w:val="20"/>
                <w:szCs w:val="20"/>
              </w:rPr>
              <w:t>月</w:t>
            </w:r>
            <w:r>
              <w:rPr>
                <w:rFonts w:ascii="宋体" w:hAnsi="宋体" w:eastAsia="宋体" w:cs="宋体"/>
                <w:spacing w:val="1"/>
                <w:sz w:val="20"/>
                <w:szCs w:val="20"/>
              </w:rPr>
              <w:t>；</w:t>
            </w:r>
          </w:p>
          <w:p>
            <w:pPr>
              <w:spacing w:before="152" w:line="228" w:lineRule="auto"/>
              <w:ind w:left="527"/>
              <w:rPr>
                <w:rFonts w:ascii="宋体" w:hAnsi="宋体" w:eastAsia="宋体" w:cs="宋体"/>
                <w:sz w:val="20"/>
                <w:szCs w:val="20"/>
              </w:rPr>
            </w:pPr>
            <w:r>
              <w:rPr>
                <w:rFonts w:ascii="宋体" w:hAnsi="宋体" w:eastAsia="宋体" w:cs="宋体"/>
                <w:spacing w:val="3"/>
                <w:sz w:val="20"/>
                <w:szCs w:val="20"/>
              </w:rPr>
              <w:t>桥</w:t>
            </w:r>
            <w:r>
              <w:rPr>
                <w:rFonts w:ascii="宋体" w:hAnsi="宋体" w:eastAsia="宋体" w:cs="宋体"/>
                <w:spacing w:val="2"/>
                <w:sz w:val="20"/>
                <w:szCs w:val="20"/>
              </w:rPr>
              <w:t>梁工程：</w:t>
            </w:r>
            <w:r>
              <w:rPr>
                <w:rFonts w:ascii="Times New Roman" w:hAnsi="Times New Roman" w:eastAsia="Times New Roman" w:cs="Times New Roman"/>
                <w:spacing w:val="2"/>
                <w:sz w:val="20"/>
                <w:szCs w:val="20"/>
              </w:rPr>
              <w:t xml:space="preserve">2023 </w:t>
            </w:r>
            <w:r>
              <w:rPr>
                <w:rFonts w:ascii="宋体" w:hAnsi="宋体" w:eastAsia="宋体" w:cs="宋体"/>
                <w:spacing w:val="2"/>
                <w:sz w:val="20"/>
                <w:szCs w:val="20"/>
              </w:rPr>
              <w:t xml:space="preserve">年 </w:t>
            </w:r>
            <w:r>
              <w:rPr>
                <w:rFonts w:ascii="Times New Roman" w:hAnsi="Times New Roman" w:eastAsia="Times New Roman" w:cs="Times New Roman"/>
                <w:spacing w:val="2"/>
                <w:sz w:val="20"/>
                <w:szCs w:val="20"/>
              </w:rPr>
              <w:t xml:space="preserve">8 </w:t>
            </w:r>
            <w:r>
              <w:rPr>
                <w:rFonts w:ascii="宋体" w:hAnsi="宋体" w:eastAsia="宋体" w:cs="宋体"/>
                <w:spacing w:val="2"/>
                <w:sz w:val="20"/>
                <w:szCs w:val="20"/>
              </w:rPr>
              <w:t>月</w:t>
            </w:r>
            <w:r>
              <w:rPr>
                <w:rFonts w:ascii="Times New Roman" w:hAnsi="Times New Roman" w:eastAsia="Times New Roman" w:cs="Times New Roman"/>
                <w:spacing w:val="2"/>
                <w:sz w:val="20"/>
                <w:szCs w:val="20"/>
              </w:rPr>
              <w:t xml:space="preserve">—2025 </w:t>
            </w:r>
            <w:r>
              <w:rPr>
                <w:rFonts w:ascii="宋体" w:hAnsi="宋体" w:eastAsia="宋体" w:cs="宋体"/>
                <w:spacing w:val="2"/>
                <w:sz w:val="20"/>
                <w:szCs w:val="20"/>
              </w:rPr>
              <w:t xml:space="preserve">年 </w:t>
            </w:r>
            <w:r>
              <w:rPr>
                <w:rFonts w:ascii="Times New Roman" w:hAnsi="Times New Roman" w:eastAsia="Times New Roman" w:cs="Times New Roman"/>
                <w:spacing w:val="2"/>
                <w:sz w:val="20"/>
                <w:szCs w:val="20"/>
              </w:rPr>
              <w:t xml:space="preserve">7 </w:t>
            </w:r>
            <w:r>
              <w:rPr>
                <w:rFonts w:ascii="宋体" w:hAnsi="宋体" w:eastAsia="宋体" w:cs="宋体"/>
                <w:spacing w:val="2"/>
                <w:sz w:val="20"/>
                <w:szCs w:val="20"/>
              </w:rPr>
              <w:t>月；</w:t>
            </w:r>
          </w:p>
          <w:p>
            <w:pPr>
              <w:spacing w:before="153" w:line="228" w:lineRule="auto"/>
              <w:ind w:left="529"/>
              <w:rPr>
                <w:rFonts w:ascii="宋体" w:hAnsi="宋体" w:eastAsia="宋体" w:cs="宋体"/>
                <w:sz w:val="20"/>
                <w:szCs w:val="20"/>
              </w:rPr>
            </w:pPr>
            <w:r>
              <w:rPr>
                <w:rFonts w:ascii="宋体" w:hAnsi="宋体" w:eastAsia="宋体" w:cs="宋体"/>
                <w:spacing w:val="2"/>
                <w:sz w:val="20"/>
                <w:szCs w:val="20"/>
              </w:rPr>
              <w:t>路面工程：</w:t>
            </w:r>
            <w:r>
              <w:rPr>
                <w:rFonts w:ascii="Times New Roman" w:hAnsi="Times New Roman" w:eastAsia="Times New Roman" w:cs="Times New Roman"/>
                <w:spacing w:val="2"/>
                <w:sz w:val="20"/>
                <w:szCs w:val="20"/>
              </w:rPr>
              <w:t xml:space="preserve">2025 </w:t>
            </w:r>
            <w:r>
              <w:rPr>
                <w:rFonts w:ascii="宋体" w:hAnsi="宋体" w:eastAsia="宋体" w:cs="宋体"/>
                <w:spacing w:val="2"/>
                <w:sz w:val="20"/>
                <w:szCs w:val="20"/>
              </w:rPr>
              <w:t xml:space="preserve">年 </w:t>
            </w:r>
            <w:r>
              <w:rPr>
                <w:rFonts w:ascii="Times New Roman" w:hAnsi="Times New Roman" w:eastAsia="Times New Roman" w:cs="Times New Roman"/>
                <w:spacing w:val="2"/>
                <w:sz w:val="20"/>
                <w:szCs w:val="20"/>
              </w:rPr>
              <w:t xml:space="preserve">7 </w:t>
            </w:r>
            <w:r>
              <w:rPr>
                <w:rFonts w:ascii="宋体" w:hAnsi="宋体" w:eastAsia="宋体" w:cs="宋体"/>
                <w:spacing w:val="2"/>
                <w:sz w:val="20"/>
                <w:szCs w:val="20"/>
              </w:rPr>
              <w:t>月</w:t>
            </w:r>
            <w:r>
              <w:rPr>
                <w:rFonts w:ascii="Times New Roman" w:hAnsi="Times New Roman" w:eastAsia="Times New Roman" w:cs="Times New Roman"/>
                <w:spacing w:val="2"/>
                <w:sz w:val="20"/>
                <w:szCs w:val="20"/>
              </w:rPr>
              <w:t xml:space="preserve">—2025 </w:t>
            </w:r>
            <w:r>
              <w:rPr>
                <w:rFonts w:ascii="宋体" w:hAnsi="宋体" w:eastAsia="宋体" w:cs="宋体"/>
                <w:spacing w:val="2"/>
                <w:sz w:val="20"/>
                <w:szCs w:val="20"/>
              </w:rPr>
              <w:t xml:space="preserve">年 </w:t>
            </w:r>
            <w:r>
              <w:rPr>
                <w:rFonts w:ascii="Times New Roman" w:hAnsi="Times New Roman" w:eastAsia="Times New Roman" w:cs="Times New Roman"/>
                <w:spacing w:val="2"/>
                <w:sz w:val="20"/>
                <w:szCs w:val="20"/>
              </w:rPr>
              <w:t xml:space="preserve">8 </w:t>
            </w:r>
            <w:r>
              <w:rPr>
                <w:rFonts w:ascii="宋体" w:hAnsi="宋体" w:eastAsia="宋体" w:cs="宋体"/>
                <w:spacing w:val="2"/>
                <w:sz w:val="20"/>
                <w:szCs w:val="20"/>
              </w:rPr>
              <w:t>月</w:t>
            </w:r>
            <w:r>
              <w:rPr>
                <w:rFonts w:ascii="宋体" w:hAnsi="宋体" w:eastAsia="宋体" w:cs="宋体"/>
                <w:spacing w:val="1"/>
                <w:sz w:val="20"/>
                <w:szCs w:val="20"/>
              </w:rPr>
              <w:t>；</w:t>
            </w:r>
          </w:p>
          <w:p>
            <w:pPr>
              <w:spacing w:before="155" w:line="398" w:lineRule="exact"/>
              <w:ind w:left="531"/>
              <w:rPr>
                <w:rFonts w:ascii="宋体" w:hAnsi="宋体" w:eastAsia="宋体" w:cs="宋体"/>
                <w:sz w:val="20"/>
                <w:szCs w:val="20"/>
              </w:rPr>
            </w:pPr>
            <w:r>
              <w:rPr>
                <w:rFonts w:ascii="宋体" w:hAnsi="宋体" w:eastAsia="宋体" w:cs="宋体"/>
                <w:spacing w:val="6"/>
                <w:position w:val="14"/>
                <w:sz w:val="20"/>
                <w:szCs w:val="20"/>
              </w:rPr>
              <w:t>交通</w:t>
            </w:r>
            <w:r>
              <w:rPr>
                <w:rFonts w:ascii="宋体" w:hAnsi="宋体" w:eastAsia="宋体" w:cs="宋体"/>
                <w:spacing w:val="3"/>
                <w:position w:val="14"/>
                <w:sz w:val="20"/>
                <w:szCs w:val="20"/>
              </w:rPr>
              <w:t>工程及沿线设施：</w:t>
            </w:r>
            <w:r>
              <w:rPr>
                <w:rFonts w:ascii="Times New Roman" w:hAnsi="Times New Roman" w:eastAsia="Times New Roman" w:cs="Times New Roman"/>
                <w:spacing w:val="3"/>
                <w:position w:val="14"/>
                <w:sz w:val="20"/>
                <w:szCs w:val="20"/>
              </w:rPr>
              <w:t xml:space="preserve">2025 </w:t>
            </w:r>
            <w:r>
              <w:rPr>
                <w:rFonts w:ascii="宋体" w:hAnsi="宋体" w:eastAsia="宋体" w:cs="宋体"/>
                <w:spacing w:val="3"/>
                <w:position w:val="14"/>
                <w:sz w:val="20"/>
                <w:szCs w:val="20"/>
              </w:rPr>
              <w:t xml:space="preserve">年 </w:t>
            </w:r>
            <w:r>
              <w:rPr>
                <w:rFonts w:ascii="Times New Roman" w:hAnsi="Times New Roman" w:eastAsia="Times New Roman" w:cs="Times New Roman"/>
                <w:spacing w:val="3"/>
                <w:position w:val="14"/>
                <w:sz w:val="20"/>
                <w:szCs w:val="20"/>
              </w:rPr>
              <w:t xml:space="preserve">8 </w:t>
            </w:r>
            <w:r>
              <w:rPr>
                <w:rFonts w:ascii="宋体" w:hAnsi="宋体" w:eastAsia="宋体" w:cs="宋体"/>
                <w:spacing w:val="3"/>
                <w:position w:val="14"/>
                <w:sz w:val="20"/>
                <w:szCs w:val="20"/>
              </w:rPr>
              <w:t>月</w:t>
            </w:r>
            <w:r>
              <w:rPr>
                <w:rFonts w:ascii="Times New Roman" w:hAnsi="Times New Roman" w:eastAsia="Times New Roman" w:cs="Times New Roman"/>
                <w:spacing w:val="3"/>
                <w:position w:val="14"/>
                <w:sz w:val="20"/>
                <w:szCs w:val="20"/>
              </w:rPr>
              <w:t xml:space="preserve">—2025 </w:t>
            </w:r>
            <w:r>
              <w:rPr>
                <w:rFonts w:ascii="宋体" w:hAnsi="宋体" w:eastAsia="宋体" w:cs="宋体"/>
                <w:spacing w:val="3"/>
                <w:position w:val="14"/>
                <w:sz w:val="20"/>
                <w:szCs w:val="20"/>
              </w:rPr>
              <w:t xml:space="preserve">年 </w:t>
            </w:r>
            <w:r>
              <w:rPr>
                <w:rFonts w:ascii="Times New Roman" w:hAnsi="Times New Roman" w:eastAsia="Times New Roman" w:cs="Times New Roman"/>
                <w:spacing w:val="3"/>
                <w:position w:val="14"/>
                <w:sz w:val="20"/>
                <w:szCs w:val="20"/>
              </w:rPr>
              <w:t xml:space="preserve">9 </w:t>
            </w:r>
            <w:r>
              <w:rPr>
                <w:rFonts w:ascii="宋体" w:hAnsi="宋体" w:eastAsia="宋体" w:cs="宋体"/>
                <w:spacing w:val="3"/>
                <w:position w:val="14"/>
                <w:sz w:val="20"/>
                <w:szCs w:val="20"/>
              </w:rPr>
              <w:t>月；</w:t>
            </w:r>
          </w:p>
          <w:p>
            <w:pPr>
              <w:spacing w:before="1" w:line="227" w:lineRule="auto"/>
              <w:ind w:left="529"/>
              <w:rPr>
                <w:rFonts w:ascii="宋体" w:hAnsi="宋体" w:eastAsia="宋体" w:cs="宋体"/>
                <w:sz w:val="20"/>
                <w:szCs w:val="20"/>
              </w:rPr>
            </w:pPr>
            <w:r>
              <w:rPr>
                <w:rFonts w:ascii="宋体" w:hAnsi="宋体" w:eastAsia="宋体" w:cs="宋体"/>
                <w:spacing w:val="2"/>
                <w:sz w:val="20"/>
                <w:szCs w:val="20"/>
              </w:rPr>
              <w:t>绿化工程：</w:t>
            </w:r>
            <w:r>
              <w:rPr>
                <w:rFonts w:ascii="Times New Roman" w:hAnsi="Times New Roman" w:eastAsia="Times New Roman" w:cs="Times New Roman"/>
                <w:spacing w:val="2"/>
                <w:sz w:val="20"/>
                <w:szCs w:val="20"/>
              </w:rPr>
              <w:t xml:space="preserve">2025 </w:t>
            </w:r>
            <w:r>
              <w:rPr>
                <w:rFonts w:ascii="宋体" w:hAnsi="宋体" w:eastAsia="宋体" w:cs="宋体"/>
                <w:spacing w:val="2"/>
                <w:sz w:val="20"/>
                <w:szCs w:val="20"/>
              </w:rPr>
              <w:t xml:space="preserve">年 </w:t>
            </w:r>
            <w:r>
              <w:rPr>
                <w:rFonts w:ascii="Times New Roman" w:hAnsi="Times New Roman" w:eastAsia="Times New Roman" w:cs="Times New Roman"/>
                <w:spacing w:val="2"/>
                <w:sz w:val="20"/>
                <w:szCs w:val="20"/>
              </w:rPr>
              <w:t xml:space="preserve">7 </w:t>
            </w:r>
            <w:r>
              <w:rPr>
                <w:rFonts w:ascii="宋体" w:hAnsi="宋体" w:eastAsia="宋体" w:cs="宋体"/>
                <w:spacing w:val="2"/>
                <w:sz w:val="20"/>
                <w:szCs w:val="20"/>
              </w:rPr>
              <w:t>月</w:t>
            </w:r>
            <w:r>
              <w:rPr>
                <w:rFonts w:ascii="Times New Roman" w:hAnsi="Times New Roman" w:eastAsia="Times New Roman" w:cs="Times New Roman"/>
                <w:spacing w:val="2"/>
                <w:sz w:val="20"/>
                <w:szCs w:val="20"/>
              </w:rPr>
              <w:t xml:space="preserve">—2025 </w:t>
            </w:r>
            <w:r>
              <w:rPr>
                <w:rFonts w:ascii="宋体" w:hAnsi="宋体" w:eastAsia="宋体" w:cs="宋体"/>
                <w:spacing w:val="2"/>
                <w:sz w:val="20"/>
                <w:szCs w:val="20"/>
              </w:rPr>
              <w:t xml:space="preserve">年 </w:t>
            </w:r>
            <w:r>
              <w:rPr>
                <w:rFonts w:ascii="Times New Roman" w:hAnsi="Times New Roman" w:eastAsia="Times New Roman" w:cs="Times New Roman"/>
                <w:spacing w:val="2"/>
                <w:sz w:val="20"/>
                <w:szCs w:val="20"/>
              </w:rPr>
              <w:t xml:space="preserve">9 </w:t>
            </w:r>
            <w:r>
              <w:rPr>
                <w:rFonts w:ascii="宋体" w:hAnsi="宋体" w:eastAsia="宋体" w:cs="宋体"/>
                <w:spacing w:val="2"/>
                <w:sz w:val="20"/>
                <w:szCs w:val="20"/>
              </w:rPr>
              <w:t>月</w:t>
            </w:r>
            <w:r>
              <w:rPr>
                <w:rFonts w:ascii="宋体" w:hAnsi="宋体" w:eastAsia="宋体" w:cs="宋体"/>
                <w:spacing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600" w:type="dxa"/>
            <w:tcBorders>
              <w:left w:val="single" w:color="000000" w:sz="6" w:space="0"/>
            </w:tcBorders>
            <w:vAlign w:val="top"/>
          </w:tcPr>
          <w:p>
            <w:pPr>
              <w:spacing w:line="389" w:lineRule="auto"/>
              <w:rPr>
                <w:rFonts w:ascii="Arial"/>
                <w:sz w:val="21"/>
              </w:rPr>
            </w:pPr>
          </w:p>
          <w:p>
            <w:pPr>
              <w:spacing w:before="65" w:line="228" w:lineRule="auto"/>
              <w:ind w:left="89"/>
              <w:outlineLvl w:val="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其</w:t>
            </w:r>
            <w:r>
              <w:rPr>
                <w:rFonts w:ascii="宋体" w:hAnsi="宋体" w:eastAsia="宋体" w:cs="宋体"/>
                <w:spacing w:val="5"/>
                <w:sz w:val="20"/>
                <w:szCs w:val="20"/>
                <w14:textOutline w14:w="3795" w14:cap="sq" w14:cmpd="sng">
                  <w14:solidFill>
                    <w14:srgbClr w14:val="000000"/>
                  </w14:solidFill>
                  <w14:prstDash w14:val="solid"/>
                  <w14:bevel/>
                </w14:textOutline>
              </w:rPr>
              <w:t>他</w:t>
            </w:r>
          </w:p>
        </w:tc>
        <w:tc>
          <w:tcPr>
            <w:tcW w:w="8317" w:type="dxa"/>
            <w:tcBorders>
              <w:right w:val="single" w:color="000000" w:sz="6" w:space="0"/>
            </w:tcBorders>
            <w:vAlign w:val="top"/>
          </w:tcPr>
          <w:p>
            <w:pPr>
              <w:spacing w:line="451" w:lineRule="auto"/>
              <w:rPr>
                <w:rFonts w:ascii="Arial"/>
                <w:sz w:val="21"/>
              </w:rPr>
            </w:pPr>
          </w:p>
          <w:p>
            <w:pPr>
              <w:spacing w:before="65" w:line="228" w:lineRule="auto"/>
              <w:ind w:left="109"/>
              <w:rPr>
                <w:rFonts w:ascii="宋体" w:hAnsi="宋体" w:eastAsia="宋体" w:cs="宋体"/>
                <w:sz w:val="20"/>
                <w:szCs w:val="20"/>
              </w:rPr>
            </w:pPr>
            <w:r>
              <w:rPr>
                <w:rFonts w:ascii="宋体" w:hAnsi="宋体" w:eastAsia="宋体" w:cs="宋体"/>
                <w:sz w:val="20"/>
                <w:szCs w:val="20"/>
              </w:rPr>
              <w:t>无</w:t>
            </w:r>
          </w:p>
        </w:tc>
      </w:tr>
    </w:tbl>
    <w:p>
      <w:pPr>
        <w:spacing w:line="213" w:lineRule="exact"/>
        <w:rPr>
          <w:rFonts w:ascii="Arial"/>
          <w:sz w:val="18"/>
        </w:rPr>
      </w:pPr>
    </w:p>
    <w:p>
      <w:pPr>
        <w:sectPr>
          <w:footerReference r:id="rId57" w:type="default"/>
          <w:pgSz w:w="11906" w:h="16839"/>
          <w:pgMar w:top="400" w:right="1487" w:bottom="1475" w:left="1486" w:header="0" w:footer="1315" w:gutter="0"/>
          <w:cols w:space="720" w:num="1"/>
        </w:sectPr>
      </w:pPr>
    </w:p>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94" w:line="242" w:lineRule="auto"/>
        <w:ind w:left="1787"/>
        <w:rPr>
          <w:rFonts w:ascii="黑体" w:hAnsi="黑体" w:eastAsia="黑体" w:cs="黑体"/>
          <w:sz w:val="29"/>
          <w:szCs w:val="29"/>
        </w:rPr>
      </w:pPr>
      <w:bookmarkStart w:id="2" w:name="_bookmark3"/>
      <w:bookmarkEnd w:id="2"/>
      <w:r>
        <w:rPr>
          <w:rFonts w:ascii="黑体" w:hAnsi="黑体" w:eastAsia="黑体" w:cs="黑体"/>
          <w:spacing w:val="9"/>
          <w:sz w:val="29"/>
          <w:szCs w:val="29"/>
        </w:rPr>
        <w:t>三、生态环境现状、保护目标及评价标准</w:t>
      </w:r>
    </w:p>
    <w:p/>
    <w:p>
      <w:pPr>
        <w:spacing w:line="19" w:lineRule="auto"/>
        <w:rPr>
          <w:rFonts w:ascii="Arial"/>
          <w:sz w:val="2"/>
        </w:rPr>
      </w:pPr>
    </w:p>
    <w:tbl>
      <w:tblPr>
        <w:tblStyle w:val="4"/>
        <w:tblW w:w="892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2"/>
        <w:gridCol w:w="83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7" w:hRule="atLeast"/>
        </w:trPr>
        <w:tc>
          <w:tcPr>
            <w:tcW w:w="622" w:type="dxa"/>
            <w:tcBorders>
              <w:left w:val="single" w:color="00000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61" w:lineRule="auto"/>
              <w:ind w:left="99" w:right="100" w:firstLine="1"/>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生态</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环境</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现状</w:t>
            </w:r>
          </w:p>
        </w:tc>
        <w:tc>
          <w:tcPr>
            <w:tcW w:w="8304" w:type="dxa"/>
            <w:tcBorders>
              <w:right w:val="single" w:color="000000" w:sz="6" w:space="0"/>
            </w:tcBorders>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65" w:line="242" w:lineRule="auto"/>
              <w:ind w:left="122"/>
              <w:rPr>
                <w:rFonts w:ascii="黑体" w:hAnsi="黑体" w:eastAsia="黑体" w:cs="黑体"/>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 xml:space="preserve"> </w:t>
            </w:r>
            <w:r>
              <w:rPr>
                <w:rFonts w:ascii="黑体" w:hAnsi="黑体" w:eastAsia="黑体" w:cs="黑体"/>
                <w:spacing w:val="1"/>
                <w:sz w:val="20"/>
                <w:szCs w:val="20"/>
              </w:rPr>
              <w:t>、主体功能区规划</w:t>
            </w:r>
          </w:p>
          <w:p>
            <w:pPr>
              <w:spacing w:before="138" w:line="369" w:lineRule="auto"/>
              <w:ind w:left="109" w:right="102" w:firstLine="416"/>
              <w:rPr>
                <w:rFonts w:ascii="宋体" w:hAnsi="宋体" w:eastAsia="宋体" w:cs="宋体"/>
                <w:sz w:val="20"/>
                <w:szCs w:val="20"/>
              </w:rPr>
            </w:pPr>
            <w:r>
              <w:rPr>
                <w:rFonts w:ascii="宋体" w:hAnsi="宋体" w:eastAsia="宋体" w:cs="宋体"/>
                <w:spacing w:val="4"/>
                <w:sz w:val="20"/>
                <w:szCs w:val="20"/>
              </w:rPr>
              <w:t>根据《四川省主体功能区规划》  (川府发〔</w:t>
            </w:r>
            <w:r>
              <w:rPr>
                <w:rFonts w:ascii="Times New Roman" w:hAnsi="Times New Roman" w:eastAsia="Times New Roman" w:cs="Times New Roman"/>
                <w:spacing w:val="4"/>
                <w:sz w:val="20"/>
                <w:szCs w:val="20"/>
              </w:rPr>
              <w:t>2013</w:t>
            </w:r>
            <w:r>
              <w:rPr>
                <w:rFonts w:ascii="宋体" w:hAnsi="宋体" w:eastAsia="宋体" w:cs="宋体"/>
                <w:spacing w:val="4"/>
                <w:sz w:val="20"/>
                <w:szCs w:val="20"/>
              </w:rPr>
              <w:t>〕</w:t>
            </w:r>
            <w:r>
              <w:rPr>
                <w:rFonts w:ascii="Times New Roman" w:hAnsi="Times New Roman" w:eastAsia="Times New Roman" w:cs="Times New Roman"/>
                <w:spacing w:val="4"/>
                <w:sz w:val="20"/>
                <w:szCs w:val="20"/>
              </w:rPr>
              <w:t>16</w:t>
            </w:r>
            <w:r>
              <w:rPr>
                <w:rFonts w:ascii="宋体" w:hAnsi="宋体" w:eastAsia="宋体" w:cs="宋体"/>
                <w:spacing w:val="4"/>
                <w:sz w:val="20"/>
                <w:szCs w:val="20"/>
              </w:rPr>
              <w:t>号) ，将四川省国土空间分</w:t>
            </w:r>
            <w:r>
              <w:rPr>
                <w:rFonts w:ascii="宋体" w:hAnsi="宋体" w:eastAsia="宋体" w:cs="宋体"/>
                <w:sz w:val="20"/>
                <w:szCs w:val="20"/>
              </w:rPr>
              <w:t xml:space="preserve">为以 </w:t>
            </w:r>
            <w:r>
              <w:rPr>
                <w:rFonts w:ascii="宋体" w:hAnsi="宋体" w:eastAsia="宋体" w:cs="宋体"/>
                <w:spacing w:val="13"/>
                <w:sz w:val="20"/>
                <w:szCs w:val="20"/>
              </w:rPr>
              <w:t>下</w:t>
            </w:r>
            <w:r>
              <w:rPr>
                <w:rFonts w:ascii="宋体" w:hAnsi="宋体" w:eastAsia="宋体" w:cs="宋体"/>
                <w:spacing w:val="7"/>
                <w:sz w:val="20"/>
                <w:szCs w:val="20"/>
              </w:rPr>
              <w:t>主体功能区：按开发方式分为重点开发区域、限制开发区域和禁止开发区域。本项目位</w:t>
            </w:r>
            <w:r>
              <w:rPr>
                <w:rFonts w:ascii="宋体" w:hAnsi="宋体" w:eastAsia="宋体" w:cs="宋体"/>
                <w:sz w:val="20"/>
                <w:szCs w:val="20"/>
              </w:rPr>
              <w:t xml:space="preserve"> </w:t>
            </w:r>
            <w:r>
              <w:rPr>
                <w:rFonts w:ascii="宋体" w:hAnsi="宋体" w:eastAsia="宋体" w:cs="宋体"/>
                <w:spacing w:val="13"/>
                <w:sz w:val="20"/>
                <w:szCs w:val="20"/>
              </w:rPr>
              <w:t>于</w:t>
            </w:r>
            <w:r>
              <w:rPr>
                <w:rFonts w:ascii="宋体" w:hAnsi="宋体" w:eastAsia="宋体" w:cs="宋体"/>
                <w:spacing w:val="7"/>
                <w:sz w:val="20"/>
                <w:szCs w:val="20"/>
              </w:rPr>
              <w:t>达州市通川区北城滨江片区高家坝社区和张家坝社区碗厂沟村，属于省级层面重点开发</w:t>
            </w:r>
            <w:r>
              <w:rPr>
                <w:rFonts w:ascii="宋体" w:hAnsi="宋体" w:eastAsia="宋体" w:cs="宋体"/>
                <w:sz w:val="20"/>
                <w:szCs w:val="20"/>
              </w:rPr>
              <w:t xml:space="preserve"> </w:t>
            </w:r>
            <w:r>
              <w:rPr>
                <w:rFonts w:ascii="宋体" w:hAnsi="宋体" w:eastAsia="宋体" w:cs="宋体"/>
                <w:spacing w:val="16"/>
                <w:sz w:val="20"/>
                <w:szCs w:val="20"/>
              </w:rPr>
              <w:t>区</w:t>
            </w:r>
            <w:r>
              <w:rPr>
                <w:rFonts w:ascii="宋体" w:hAnsi="宋体" w:eastAsia="宋体" w:cs="宋体"/>
                <w:spacing w:val="9"/>
                <w:sz w:val="20"/>
                <w:szCs w:val="20"/>
              </w:rPr>
              <w:t>域</w:t>
            </w:r>
            <w:r>
              <w:rPr>
                <w:rFonts w:ascii="Times New Roman" w:hAnsi="Times New Roman" w:eastAsia="Times New Roman" w:cs="Times New Roman"/>
                <w:spacing w:val="9"/>
                <w:sz w:val="20"/>
                <w:szCs w:val="20"/>
              </w:rPr>
              <w:t>——</w:t>
            </w:r>
            <w:r>
              <w:rPr>
                <w:rFonts w:ascii="宋体" w:hAnsi="宋体" w:eastAsia="宋体" w:cs="宋体"/>
                <w:spacing w:val="9"/>
                <w:sz w:val="20"/>
                <w:szCs w:val="20"/>
              </w:rPr>
              <w:t>川东北地区。位于川渝陕结合部，天然气、煤矿等储量丰富。</w:t>
            </w:r>
          </w:p>
          <w:p>
            <w:pPr>
              <w:spacing w:line="369" w:lineRule="auto"/>
              <w:ind w:left="106" w:right="105" w:firstLine="423"/>
              <w:rPr>
                <w:rFonts w:ascii="宋体" w:hAnsi="宋体" w:eastAsia="宋体" w:cs="宋体"/>
                <w:sz w:val="20"/>
                <w:szCs w:val="20"/>
              </w:rPr>
            </w:pPr>
            <w:r>
              <w:rPr>
                <w:rFonts w:ascii="宋体" w:hAnsi="宋体" w:eastAsia="宋体" w:cs="宋体"/>
                <w:spacing w:val="7"/>
                <w:sz w:val="20"/>
                <w:szCs w:val="20"/>
              </w:rPr>
              <w:t>该区域主体功能定位：我国西部重要的能源化工基地，农产品深加工基地，红色旅游</w:t>
            </w:r>
            <w:r>
              <w:rPr>
                <w:rFonts w:ascii="宋体" w:hAnsi="宋体" w:eastAsia="宋体" w:cs="宋体"/>
                <w:sz w:val="20"/>
                <w:szCs w:val="20"/>
              </w:rPr>
              <w:t xml:space="preserve"> </w:t>
            </w:r>
            <w:r>
              <w:rPr>
                <w:rFonts w:ascii="宋体" w:hAnsi="宋体" w:eastAsia="宋体" w:cs="宋体"/>
                <w:spacing w:val="14"/>
                <w:sz w:val="20"/>
                <w:szCs w:val="20"/>
              </w:rPr>
              <w:t>基</w:t>
            </w:r>
            <w:r>
              <w:rPr>
                <w:rFonts w:ascii="宋体" w:hAnsi="宋体" w:eastAsia="宋体" w:cs="宋体"/>
                <w:spacing w:val="9"/>
                <w:sz w:val="20"/>
                <w:szCs w:val="20"/>
              </w:rPr>
              <w:t>地</w:t>
            </w:r>
            <w:r>
              <w:rPr>
                <w:rFonts w:ascii="宋体" w:hAnsi="宋体" w:eastAsia="宋体" w:cs="宋体"/>
                <w:spacing w:val="7"/>
                <w:sz w:val="20"/>
                <w:szCs w:val="20"/>
              </w:rPr>
              <w:t>，川渝陕结合部的区域经济中心和交通物流中心，构建连接我国西北、西南地区的新</w:t>
            </w:r>
            <w:r>
              <w:rPr>
                <w:rFonts w:ascii="宋体" w:hAnsi="宋体" w:eastAsia="宋体" w:cs="宋体"/>
                <w:sz w:val="20"/>
                <w:szCs w:val="20"/>
              </w:rPr>
              <w:t xml:space="preserve"> </w:t>
            </w:r>
            <w:r>
              <w:rPr>
                <w:rFonts w:ascii="宋体" w:hAnsi="宋体" w:eastAsia="宋体" w:cs="宋体"/>
                <w:spacing w:val="6"/>
                <w:sz w:val="20"/>
                <w:szCs w:val="20"/>
              </w:rPr>
              <w:t>兴经济带</w:t>
            </w:r>
            <w:r>
              <w:rPr>
                <w:rFonts w:ascii="宋体" w:hAnsi="宋体" w:eastAsia="宋体" w:cs="宋体"/>
                <w:spacing w:val="5"/>
                <w:sz w:val="20"/>
                <w:szCs w:val="20"/>
              </w:rPr>
              <w:t>。</w:t>
            </w:r>
          </w:p>
          <w:p>
            <w:pPr>
              <w:spacing w:before="2" w:line="368" w:lineRule="auto"/>
              <w:ind w:left="109" w:right="105" w:firstLine="406"/>
              <w:rPr>
                <w:rFonts w:ascii="宋体" w:hAnsi="宋体" w:eastAsia="宋体" w:cs="宋体"/>
                <w:sz w:val="20"/>
                <w:szCs w:val="20"/>
              </w:rPr>
            </w:pPr>
            <w:r>
              <w:rPr>
                <w:rFonts w:ascii="Times New Roman" w:hAnsi="Times New Roman" w:eastAsia="Times New Roman" w:cs="Times New Roman"/>
                <w:spacing w:val="14"/>
                <w:sz w:val="20"/>
                <w:szCs w:val="20"/>
              </w:rPr>
              <w:t>—</w:t>
            </w:r>
            <w:r>
              <w:rPr>
                <w:rFonts w:ascii="Times New Roman" w:hAnsi="Times New Roman" w:eastAsia="Times New Roman" w:cs="Times New Roman"/>
                <w:spacing w:val="13"/>
                <w:sz w:val="20"/>
                <w:szCs w:val="20"/>
              </w:rPr>
              <w:t>—</w:t>
            </w:r>
            <w:r>
              <w:rPr>
                <w:rFonts w:ascii="宋体" w:hAnsi="宋体" w:eastAsia="宋体" w:cs="宋体"/>
                <w:spacing w:val="7"/>
                <w:sz w:val="20"/>
                <w:szCs w:val="20"/>
              </w:rPr>
              <w:t>形成以南充、达州、遂宁、广安、广元、巴中等中心城市为依托的城镇群空间开</w:t>
            </w:r>
            <w:r>
              <w:rPr>
                <w:rFonts w:ascii="宋体" w:hAnsi="宋体" w:eastAsia="宋体" w:cs="宋体"/>
                <w:sz w:val="20"/>
                <w:szCs w:val="20"/>
              </w:rPr>
              <w:t xml:space="preserve"> </w:t>
            </w:r>
            <w:r>
              <w:rPr>
                <w:rFonts w:ascii="宋体" w:hAnsi="宋体" w:eastAsia="宋体" w:cs="宋体"/>
                <w:spacing w:val="5"/>
                <w:sz w:val="20"/>
                <w:szCs w:val="20"/>
              </w:rPr>
              <w:t>发</w:t>
            </w:r>
            <w:r>
              <w:rPr>
                <w:rFonts w:ascii="宋体" w:hAnsi="宋体" w:eastAsia="宋体" w:cs="宋体"/>
                <w:spacing w:val="4"/>
                <w:sz w:val="20"/>
                <w:szCs w:val="20"/>
              </w:rPr>
              <w:t>格局。</w:t>
            </w:r>
          </w:p>
          <w:p>
            <w:pPr>
              <w:spacing w:before="2" w:line="369" w:lineRule="auto"/>
              <w:ind w:left="112" w:right="102" w:firstLine="404"/>
              <w:rPr>
                <w:rFonts w:ascii="宋体" w:hAnsi="宋体" w:eastAsia="宋体" w:cs="宋体"/>
                <w:sz w:val="20"/>
                <w:szCs w:val="20"/>
              </w:rPr>
            </w:pPr>
            <w:r>
              <w:rPr>
                <w:rFonts w:ascii="Times New Roman" w:hAnsi="Times New Roman" w:eastAsia="Times New Roman" w:cs="Times New Roman"/>
                <w:spacing w:val="14"/>
                <w:sz w:val="20"/>
                <w:szCs w:val="20"/>
              </w:rPr>
              <w:t>——</w:t>
            </w:r>
            <w:r>
              <w:rPr>
                <w:rFonts w:ascii="宋体" w:hAnsi="宋体" w:eastAsia="宋体" w:cs="宋体"/>
                <w:spacing w:val="8"/>
                <w:sz w:val="20"/>
                <w:szCs w:val="20"/>
              </w:rPr>
              <w:t>加</w:t>
            </w:r>
            <w:r>
              <w:rPr>
                <w:rFonts w:ascii="宋体" w:hAnsi="宋体" w:eastAsia="宋体" w:cs="宋体"/>
                <w:spacing w:val="7"/>
                <w:sz w:val="20"/>
                <w:szCs w:val="20"/>
              </w:rPr>
              <w:t>快推进区域性中心城市发展，优化城市空间布局，拓展城市发展空间，增强城</w:t>
            </w:r>
            <w:r>
              <w:rPr>
                <w:rFonts w:ascii="宋体" w:hAnsi="宋体" w:eastAsia="宋体" w:cs="宋体"/>
                <w:sz w:val="20"/>
                <w:szCs w:val="20"/>
              </w:rPr>
              <w:t xml:space="preserve"> </w:t>
            </w:r>
            <w:r>
              <w:rPr>
                <w:rFonts w:ascii="宋体" w:hAnsi="宋体" w:eastAsia="宋体" w:cs="宋体"/>
                <w:spacing w:val="9"/>
                <w:sz w:val="20"/>
                <w:szCs w:val="20"/>
              </w:rPr>
              <w:t>市综合服务功能，提高人口集聚能力，强化辐射和带动作用。</w:t>
            </w:r>
          </w:p>
          <w:p>
            <w:pPr>
              <w:spacing w:line="369" w:lineRule="auto"/>
              <w:ind w:left="105" w:right="105" w:firstLine="411"/>
              <w:rPr>
                <w:rFonts w:ascii="宋体" w:hAnsi="宋体" w:eastAsia="宋体" w:cs="宋体"/>
                <w:sz w:val="20"/>
                <w:szCs w:val="20"/>
              </w:rPr>
            </w:pPr>
            <w:r>
              <w:rPr>
                <w:rFonts w:ascii="Times New Roman" w:hAnsi="Times New Roman" w:eastAsia="Times New Roman" w:cs="Times New Roman"/>
                <w:spacing w:val="14"/>
                <w:sz w:val="20"/>
                <w:szCs w:val="20"/>
              </w:rPr>
              <w:t>—</w:t>
            </w:r>
            <w:r>
              <w:rPr>
                <w:rFonts w:ascii="Times New Roman" w:hAnsi="Times New Roman" w:eastAsia="Times New Roman" w:cs="Times New Roman"/>
                <w:spacing w:val="13"/>
                <w:sz w:val="20"/>
                <w:szCs w:val="20"/>
              </w:rPr>
              <w:t>—</w:t>
            </w:r>
            <w:r>
              <w:rPr>
                <w:rFonts w:ascii="宋体" w:hAnsi="宋体" w:eastAsia="宋体" w:cs="宋体"/>
                <w:spacing w:val="7"/>
                <w:sz w:val="20"/>
                <w:szCs w:val="20"/>
              </w:rPr>
              <w:t>加快嘉陵江产业带和渠江产业带发展。利用嘉陵江流域和渠江流域丰富的自然资</w:t>
            </w:r>
            <w:r>
              <w:rPr>
                <w:rFonts w:ascii="宋体" w:hAnsi="宋体" w:eastAsia="宋体" w:cs="宋体"/>
                <w:sz w:val="20"/>
                <w:szCs w:val="20"/>
              </w:rPr>
              <w:t xml:space="preserve"> </w:t>
            </w:r>
            <w:r>
              <w:rPr>
                <w:rFonts w:ascii="宋体" w:hAnsi="宋体" w:eastAsia="宋体" w:cs="宋体"/>
                <w:spacing w:val="14"/>
                <w:sz w:val="20"/>
                <w:szCs w:val="20"/>
              </w:rPr>
              <w:t>源</w:t>
            </w:r>
            <w:r>
              <w:rPr>
                <w:rFonts w:ascii="宋体" w:hAnsi="宋体" w:eastAsia="宋体" w:cs="宋体"/>
                <w:spacing w:val="10"/>
                <w:sz w:val="20"/>
                <w:szCs w:val="20"/>
              </w:rPr>
              <w:t>。</w:t>
            </w:r>
            <w:r>
              <w:rPr>
                <w:rFonts w:ascii="宋体" w:hAnsi="宋体" w:eastAsia="宋体" w:cs="宋体"/>
                <w:spacing w:val="7"/>
                <w:sz w:val="20"/>
                <w:szCs w:val="20"/>
              </w:rPr>
              <w:t>加快川东北地区特色优势资源深度开发和加工转化，积极承接产业转移，重点发展清</w:t>
            </w:r>
            <w:r>
              <w:rPr>
                <w:rFonts w:ascii="宋体" w:hAnsi="宋体" w:eastAsia="宋体" w:cs="宋体"/>
                <w:sz w:val="20"/>
                <w:szCs w:val="20"/>
              </w:rPr>
              <w:t xml:space="preserve"> </w:t>
            </w:r>
            <w:r>
              <w:rPr>
                <w:rFonts w:ascii="宋体" w:hAnsi="宋体" w:eastAsia="宋体" w:cs="宋体"/>
                <w:spacing w:val="18"/>
                <w:sz w:val="20"/>
                <w:szCs w:val="20"/>
              </w:rPr>
              <w:t>洁</w:t>
            </w:r>
            <w:r>
              <w:rPr>
                <w:rFonts w:ascii="宋体" w:hAnsi="宋体" w:eastAsia="宋体" w:cs="宋体"/>
                <w:spacing w:val="15"/>
                <w:sz w:val="20"/>
                <w:szCs w:val="20"/>
              </w:rPr>
              <w:t>能</w:t>
            </w:r>
            <w:r>
              <w:rPr>
                <w:rFonts w:ascii="宋体" w:hAnsi="宋体" w:eastAsia="宋体" w:cs="宋体"/>
                <w:spacing w:val="9"/>
                <w:sz w:val="20"/>
                <w:szCs w:val="20"/>
              </w:rPr>
              <w:t>源和石油、天然气化工、农产品加工业，大力发展特色农业和红色旅游。</w:t>
            </w:r>
          </w:p>
          <w:p>
            <w:pPr>
              <w:spacing w:before="4" w:line="368" w:lineRule="auto"/>
              <w:ind w:left="106" w:right="41" w:firstLine="410"/>
              <w:rPr>
                <w:rFonts w:ascii="宋体" w:hAnsi="宋体" w:eastAsia="宋体" w:cs="宋体"/>
                <w:sz w:val="20"/>
                <w:szCs w:val="20"/>
              </w:rPr>
            </w:pPr>
            <w:r>
              <w:rPr>
                <w:rFonts w:ascii="Times New Roman" w:hAnsi="Times New Roman" w:eastAsia="Times New Roman" w:cs="Times New Roman"/>
                <w:spacing w:val="14"/>
                <w:sz w:val="20"/>
                <w:szCs w:val="20"/>
              </w:rPr>
              <w:t>——</w:t>
            </w:r>
            <w:r>
              <w:rPr>
                <w:rFonts w:ascii="宋体" w:hAnsi="宋体" w:eastAsia="宋体" w:cs="宋体"/>
                <w:spacing w:val="8"/>
                <w:sz w:val="20"/>
                <w:szCs w:val="20"/>
              </w:rPr>
              <w:t>加</w:t>
            </w:r>
            <w:r>
              <w:rPr>
                <w:rFonts w:ascii="宋体" w:hAnsi="宋体" w:eastAsia="宋体" w:cs="宋体"/>
                <w:spacing w:val="7"/>
                <w:sz w:val="20"/>
                <w:szCs w:val="20"/>
              </w:rPr>
              <w:t>强区域合作，大力发展配套产业。加强广安、达州与重庆的协作，建设川渝合</w:t>
            </w:r>
            <w:r>
              <w:rPr>
                <w:rFonts w:ascii="宋体" w:hAnsi="宋体" w:eastAsia="宋体" w:cs="宋体"/>
                <w:sz w:val="20"/>
                <w:szCs w:val="20"/>
              </w:rPr>
              <w:t xml:space="preserve"> </w:t>
            </w:r>
            <w:r>
              <w:rPr>
                <w:rFonts w:ascii="宋体" w:hAnsi="宋体" w:eastAsia="宋体" w:cs="宋体"/>
                <w:spacing w:val="12"/>
                <w:sz w:val="20"/>
                <w:szCs w:val="20"/>
              </w:rPr>
              <w:t>作</w:t>
            </w:r>
            <w:r>
              <w:rPr>
                <w:rFonts w:ascii="宋体" w:hAnsi="宋体" w:eastAsia="宋体" w:cs="宋体"/>
                <w:spacing w:val="6"/>
                <w:sz w:val="20"/>
                <w:szCs w:val="20"/>
              </w:rPr>
              <w:t>示范区，主动承接重庆的产业转移，加快发展汽车和摩托车配套零部件﹑ 轻纺等工业。</w:t>
            </w:r>
            <w:r>
              <w:rPr>
                <w:rFonts w:ascii="宋体" w:hAnsi="宋体" w:eastAsia="宋体" w:cs="宋体"/>
                <w:sz w:val="20"/>
                <w:szCs w:val="20"/>
              </w:rPr>
              <w:t xml:space="preserve"> </w:t>
            </w:r>
            <w:r>
              <w:rPr>
                <w:rFonts w:ascii="宋体" w:hAnsi="宋体" w:eastAsia="宋体" w:cs="宋体"/>
                <w:spacing w:val="14"/>
                <w:sz w:val="20"/>
                <w:szCs w:val="20"/>
              </w:rPr>
              <w:t>加</w:t>
            </w:r>
            <w:r>
              <w:rPr>
                <w:rFonts w:ascii="宋体" w:hAnsi="宋体" w:eastAsia="宋体" w:cs="宋体"/>
                <w:spacing w:val="11"/>
                <w:sz w:val="20"/>
                <w:szCs w:val="20"/>
              </w:rPr>
              <w:t>强</w:t>
            </w:r>
            <w:r>
              <w:rPr>
                <w:rFonts w:ascii="宋体" w:hAnsi="宋体" w:eastAsia="宋体" w:cs="宋体"/>
                <w:spacing w:val="7"/>
                <w:sz w:val="20"/>
                <w:szCs w:val="20"/>
              </w:rPr>
              <w:t>南充、遂宁与成都的产业化协作，承接成都平原地区的产业转移，形成机械加工、轻</w:t>
            </w:r>
            <w:r>
              <w:rPr>
                <w:rFonts w:ascii="宋体" w:hAnsi="宋体" w:eastAsia="宋体" w:cs="宋体"/>
                <w:sz w:val="20"/>
                <w:szCs w:val="20"/>
              </w:rPr>
              <w:t xml:space="preserve"> </w:t>
            </w:r>
            <w:r>
              <w:rPr>
                <w:rFonts w:ascii="宋体" w:hAnsi="宋体" w:eastAsia="宋体" w:cs="宋体"/>
                <w:spacing w:val="7"/>
                <w:sz w:val="20"/>
                <w:szCs w:val="20"/>
              </w:rPr>
              <w:t>纺等优势产业。</w:t>
            </w:r>
          </w:p>
          <w:p>
            <w:pPr>
              <w:spacing w:before="2" w:line="369" w:lineRule="auto"/>
              <w:ind w:left="107" w:right="102" w:firstLine="409"/>
              <w:rPr>
                <w:rFonts w:ascii="宋体" w:hAnsi="宋体" w:eastAsia="宋体" w:cs="宋体"/>
                <w:sz w:val="20"/>
                <w:szCs w:val="20"/>
              </w:rPr>
            </w:pPr>
            <w:r>
              <w:rPr>
                <w:rFonts w:ascii="Times New Roman" w:hAnsi="Times New Roman" w:eastAsia="Times New Roman" w:cs="Times New Roman"/>
                <w:spacing w:val="14"/>
                <w:sz w:val="20"/>
                <w:szCs w:val="20"/>
              </w:rPr>
              <w:t>——</w:t>
            </w:r>
            <w:r>
              <w:rPr>
                <w:rFonts w:ascii="宋体" w:hAnsi="宋体" w:eastAsia="宋体" w:cs="宋体"/>
                <w:spacing w:val="8"/>
                <w:sz w:val="20"/>
                <w:szCs w:val="20"/>
              </w:rPr>
              <w:t>坚</w:t>
            </w:r>
            <w:r>
              <w:rPr>
                <w:rFonts w:ascii="宋体" w:hAnsi="宋体" w:eastAsia="宋体" w:cs="宋体"/>
                <w:spacing w:val="7"/>
                <w:sz w:val="20"/>
                <w:szCs w:val="20"/>
              </w:rPr>
              <w:t>持兴利除害结合，全力推进渠江、嘉陵江流域防洪控制性工程和供水保障工程</w:t>
            </w:r>
            <w:r>
              <w:rPr>
                <w:rFonts w:ascii="宋体" w:hAnsi="宋体" w:eastAsia="宋体" w:cs="宋体"/>
                <w:sz w:val="20"/>
                <w:szCs w:val="20"/>
              </w:rPr>
              <w:t xml:space="preserve"> </w:t>
            </w:r>
            <w:r>
              <w:rPr>
                <w:rFonts w:ascii="宋体" w:hAnsi="宋体" w:eastAsia="宋体" w:cs="宋体"/>
                <w:spacing w:val="14"/>
                <w:sz w:val="20"/>
                <w:szCs w:val="20"/>
              </w:rPr>
              <w:t>建</w:t>
            </w:r>
            <w:r>
              <w:rPr>
                <w:rFonts w:ascii="宋体" w:hAnsi="宋体" w:eastAsia="宋体" w:cs="宋体"/>
                <w:spacing w:val="8"/>
                <w:sz w:val="20"/>
                <w:szCs w:val="20"/>
              </w:rPr>
              <w:t>设</w:t>
            </w:r>
            <w:r>
              <w:rPr>
                <w:rFonts w:ascii="宋体" w:hAnsi="宋体" w:eastAsia="宋体" w:cs="宋体"/>
                <w:spacing w:val="7"/>
                <w:sz w:val="20"/>
                <w:szCs w:val="20"/>
              </w:rPr>
              <w:t>，增强对江河洪水的调控能力，提高防洪抗旱能力。大力加强生态环境保护和流域综</w:t>
            </w:r>
            <w:r>
              <w:rPr>
                <w:rFonts w:ascii="宋体" w:hAnsi="宋体" w:eastAsia="宋体" w:cs="宋体"/>
                <w:sz w:val="20"/>
                <w:szCs w:val="20"/>
              </w:rPr>
              <w:t xml:space="preserve"> </w:t>
            </w:r>
            <w:r>
              <w:rPr>
                <w:rFonts w:ascii="宋体" w:hAnsi="宋体" w:eastAsia="宋体" w:cs="宋体"/>
                <w:spacing w:val="-1"/>
                <w:sz w:val="20"/>
                <w:szCs w:val="20"/>
              </w:rPr>
              <w:t>合整治，构建以嘉陵江﹑ 渠江为主体，森</w:t>
            </w:r>
            <w:r>
              <w:rPr>
                <w:rFonts w:ascii="宋体" w:hAnsi="宋体" w:eastAsia="宋体" w:cs="宋体"/>
                <w:sz w:val="20"/>
                <w:szCs w:val="20"/>
              </w:rPr>
              <w:t xml:space="preserve">林、丘陵、水面﹑ 湿地相连，带状环绕﹑ 块状相 </w:t>
            </w:r>
            <w:r>
              <w:rPr>
                <w:rFonts w:ascii="宋体" w:hAnsi="宋体" w:eastAsia="宋体" w:cs="宋体"/>
                <w:spacing w:val="12"/>
                <w:sz w:val="20"/>
                <w:szCs w:val="20"/>
              </w:rPr>
              <w:t>间</w:t>
            </w:r>
            <w:r>
              <w:rPr>
                <w:rFonts w:ascii="宋体" w:hAnsi="宋体" w:eastAsia="宋体" w:cs="宋体"/>
                <w:spacing w:val="7"/>
                <w:sz w:val="20"/>
                <w:szCs w:val="20"/>
              </w:rPr>
              <w:t>的流域生态屏障。</w:t>
            </w:r>
          </w:p>
          <w:p>
            <w:pPr>
              <w:spacing w:before="5" w:line="372" w:lineRule="auto"/>
              <w:ind w:left="105" w:right="50" w:firstLine="424"/>
              <w:rPr>
                <w:rFonts w:ascii="宋体" w:hAnsi="宋体" w:eastAsia="宋体" w:cs="宋体"/>
                <w:sz w:val="20"/>
                <w:szCs w:val="20"/>
              </w:rPr>
            </w:pPr>
            <w:r>
              <w:rPr>
                <w:rFonts w:ascii="宋体" w:hAnsi="宋体" w:eastAsia="宋体" w:cs="宋体"/>
                <w:spacing w:val="9"/>
                <w:sz w:val="20"/>
                <w:szCs w:val="20"/>
              </w:rPr>
              <w:t>项</w:t>
            </w:r>
            <w:r>
              <w:rPr>
                <w:rFonts w:ascii="宋体" w:hAnsi="宋体" w:eastAsia="宋体" w:cs="宋体"/>
                <w:spacing w:val="7"/>
                <w:sz w:val="20"/>
                <w:szCs w:val="20"/>
              </w:rPr>
              <w:t>目所在地川东北地区作为省级层面的重点开发区，不属于重点生态功能区、农产品</w:t>
            </w:r>
            <w:r>
              <w:rPr>
                <w:rFonts w:ascii="宋体" w:hAnsi="宋体" w:eastAsia="宋体" w:cs="宋体"/>
                <w:sz w:val="20"/>
                <w:szCs w:val="20"/>
              </w:rPr>
              <w:t xml:space="preserve"> </w:t>
            </w:r>
            <w:r>
              <w:rPr>
                <w:rFonts w:ascii="宋体" w:hAnsi="宋体" w:eastAsia="宋体" w:cs="宋体"/>
                <w:spacing w:val="14"/>
                <w:sz w:val="20"/>
                <w:szCs w:val="20"/>
              </w:rPr>
              <w:t>主</w:t>
            </w:r>
            <w:r>
              <w:rPr>
                <w:rFonts w:ascii="宋体" w:hAnsi="宋体" w:eastAsia="宋体" w:cs="宋体"/>
                <w:spacing w:val="10"/>
                <w:sz w:val="20"/>
                <w:szCs w:val="20"/>
              </w:rPr>
              <w:t>产</w:t>
            </w:r>
            <w:r>
              <w:rPr>
                <w:rFonts w:ascii="宋体" w:hAnsi="宋体" w:eastAsia="宋体" w:cs="宋体"/>
                <w:spacing w:val="7"/>
                <w:sz w:val="20"/>
                <w:szCs w:val="20"/>
              </w:rPr>
              <w:t>区和禁止开发区，是我国西部重要的能源化工基地，构建连接着我国西北、西南地区</w:t>
            </w:r>
            <w:r>
              <w:rPr>
                <w:rFonts w:ascii="宋体" w:hAnsi="宋体" w:eastAsia="宋体" w:cs="宋体"/>
                <w:sz w:val="20"/>
                <w:szCs w:val="20"/>
              </w:rPr>
              <w:t xml:space="preserve"> </w:t>
            </w:r>
            <w:r>
              <w:rPr>
                <w:rFonts w:ascii="宋体" w:hAnsi="宋体" w:eastAsia="宋体" w:cs="宋体"/>
                <w:spacing w:val="6"/>
                <w:sz w:val="20"/>
                <w:szCs w:val="20"/>
              </w:rPr>
              <w:t>的新兴经济</w:t>
            </w:r>
            <w:r>
              <w:rPr>
                <w:rFonts w:ascii="宋体" w:hAnsi="宋体" w:eastAsia="宋体" w:cs="宋体"/>
                <w:spacing w:val="5"/>
                <w:sz w:val="20"/>
                <w:szCs w:val="20"/>
              </w:rPr>
              <w:t>带</w:t>
            </w:r>
            <w:r>
              <w:rPr>
                <w:rFonts w:ascii="宋体" w:hAnsi="宋体" w:eastAsia="宋体" w:cs="宋体"/>
                <w:spacing w:val="3"/>
                <w:sz w:val="20"/>
                <w:szCs w:val="20"/>
              </w:rPr>
              <w:t>。本项目作为建设石料开采加工项目，在实施过程中必须加强生态环境保护，</w:t>
            </w:r>
            <w:r>
              <w:rPr>
                <w:rFonts w:ascii="宋体" w:hAnsi="宋体" w:eastAsia="宋体" w:cs="宋体"/>
                <w:sz w:val="20"/>
                <w:szCs w:val="20"/>
              </w:rPr>
              <w:t xml:space="preserve"> </w:t>
            </w:r>
            <w:r>
              <w:rPr>
                <w:rFonts w:ascii="宋体" w:hAnsi="宋体" w:eastAsia="宋体" w:cs="宋体"/>
                <w:spacing w:val="16"/>
                <w:sz w:val="20"/>
                <w:szCs w:val="20"/>
              </w:rPr>
              <w:t>采取必</w:t>
            </w:r>
            <w:r>
              <w:rPr>
                <w:rFonts w:ascii="宋体" w:hAnsi="宋体" w:eastAsia="宋体" w:cs="宋体"/>
                <w:spacing w:val="9"/>
                <w:sz w:val="20"/>
                <w:szCs w:val="20"/>
              </w:rPr>
              <w:t>要</w:t>
            </w:r>
            <w:r>
              <w:rPr>
                <w:rFonts w:ascii="宋体" w:hAnsi="宋体" w:eastAsia="宋体" w:cs="宋体"/>
                <w:spacing w:val="8"/>
                <w:sz w:val="20"/>
                <w:szCs w:val="20"/>
              </w:rPr>
              <w:t>的措施开展生态修复和环境保护与治理，严格遵循《四川省主体功能区规划》，</w:t>
            </w:r>
            <w:r>
              <w:rPr>
                <w:rFonts w:ascii="宋体" w:hAnsi="宋体" w:eastAsia="宋体" w:cs="宋体"/>
                <w:sz w:val="20"/>
                <w:szCs w:val="20"/>
              </w:rPr>
              <w:t xml:space="preserve"> </w:t>
            </w:r>
            <w:r>
              <w:rPr>
                <w:rFonts w:ascii="宋体" w:hAnsi="宋体" w:eastAsia="宋体" w:cs="宋体"/>
                <w:spacing w:val="9"/>
                <w:sz w:val="20"/>
                <w:szCs w:val="20"/>
              </w:rPr>
              <w:t>实现产业发展和生态保护的协调统一</w:t>
            </w:r>
            <w:r>
              <w:rPr>
                <w:rFonts w:ascii="宋体" w:hAnsi="宋体" w:eastAsia="宋体" w:cs="宋体"/>
                <w:spacing w:val="6"/>
                <w:sz w:val="20"/>
                <w:szCs w:val="20"/>
              </w:rPr>
              <w:t>。</w:t>
            </w:r>
          </w:p>
        </w:tc>
      </w:tr>
    </w:tbl>
    <w:p>
      <w:pPr>
        <w:spacing w:line="139" w:lineRule="exact"/>
        <w:rPr>
          <w:rFonts w:ascii="Arial"/>
          <w:sz w:val="12"/>
        </w:rPr>
      </w:pPr>
    </w:p>
    <w:p>
      <w:pPr>
        <w:sectPr>
          <w:footerReference r:id="rId58" w:type="default"/>
          <w:pgSz w:w="11906" w:h="16839"/>
          <w:pgMar w:top="400" w:right="1482" w:bottom="1475" w:left="1482" w:header="0" w:footer="1315" w:gutter="0"/>
          <w:cols w:space="720" w:num="1"/>
        </w:sectPr>
      </w:pPr>
    </w:p>
    <w:p/>
    <w:p/>
    <w:p/>
    <w:p/>
    <w:p>
      <w:pPr>
        <w:spacing w:line="221" w:lineRule="exact"/>
      </w:pPr>
    </w:p>
    <w:tbl>
      <w:tblPr>
        <w:tblStyle w:val="4"/>
        <w:tblW w:w="892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2"/>
        <w:gridCol w:w="83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2" w:hRule="atLeast"/>
        </w:trPr>
        <w:tc>
          <w:tcPr>
            <w:tcW w:w="622" w:type="dxa"/>
            <w:tcBorders>
              <w:left w:val="single" w:color="00000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61" w:lineRule="auto"/>
              <w:ind w:left="99" w:right="100" w:firstLine="1"/>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生态</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环境</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现状</w:t>
            </w:r>
          </w:p>
        </w:tc>
        <w:tc>
          <w:tcPr>
            <w:tcW w:w="8304" w:type="dxa"/>
            <w:tcBorders>
              <w:right w:val="single" w:color="000000" w:sz="6" w:space="0"/>
            </w:tcBorders>
            <w:vAlign w:val="top"/>
          </w:tcPr>
          <w:p>
            <w:pPr>
              <w:spacing w:before="16" w:line="5505" w:lineRule="exact"/>
              <w:ind w:firstLine="276"/>
              <w:textAlignment w:val="center"/>
            </w:pPr>
            <w:r>
              <w:drawing>
                <wp:inline distT="0" distB="0" distL="0" distR="0">
                  <wp:extent cx="4908550" cy="349567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242"/>
                          <a:stretch>
                            <a:fillRect/>
                          </a:stretch>
                        </pic:blipFill>
                        <pic:spPr>
                          <a:xfrm>
                            <a:off x="0" y="0"/>
                            <a:ext cx="4908803" cy="3496055"/>
                          </a:xfrm>
                          <a:prstGeom prst="rect">
                            <a:avLst/>
                          </a:prstGeom>
                        </pic:spPr>
                      </pic:pic>
                    </a:graphicData>
                  </a:graphic>
                </wp:inline>
              </w:drawing>
            </w:r>
          </w:p>
          <w:p>
            <w:pPr>
              <w:spacing w:before="43" w:line="231" w:lineRule="auto"/>
              <w:ind w:left="2765"/>
              <w:rPr>
                <w:rFonts w:ascii="黑体" w:hAnsi="黑体" w:eastAsia="黑体" w:cs="黑体"/>
                <w:sz w:val="19"/>
                <w:szCs w:val="19"/>
              </w:rPr>
            </w:pPr>
            <w:r>
              <w:rPr>
                <w:rFonts w:ascii="黑体" w:hAnsi="黑体" w:eastAsia="黑体" w:cs="黑体"/>
                <w:spacing w:val="8"/>
                <w:sz w:val="19"/>
                <w:szCs w:val="19"/>
              </w:rPr>
              <w:t>图</w:t>
            </w:r>
            <w:r>
              <w:rPr>
                <w:rFonts w:ascii="Times New Roman" w:hAnsi="Times New Roman" w:eastAsia="Times New Roman" w:cs="Times New Roman"/>
                <w:spacing w:val="8"/>
                <w:sz w:val="19"/>
                <w:szCs w:val="19"/>
              </w:rPr>
              <w:t>32</w:t>
            </w:r>
            <w:r>
              <w:rPr>
                <w:rFonts w:ascii="黑体" w:hAnsi="黑体" w:eastAsia="黑体" w:cs="黑体"/>
                <w:spacing w:val="8"/>
                <w:sz w:val="19"/>
                <w:szCs w:val="19"/>
              </w:rPr>
              <w:t>：四川省主体功能区划分</w:t>
            </w:r>
            <w:r>
              <w:rPr>
                <w:rFonts w:ascii="黑体" w:hAnsi="黑体" w:eastAsia="黑体" w:cs="黑体"/>
                <w:spacing w:val="6"/>
                <w:sz w:val="19"/>
                <w:szCs w:val="19"/>
              </w:rPr>
              <w:t>图</w:t>
            </w:r>
          </w:p>
          <w:p>
            <w:pPr>
              <w:spacing w:before="129" w:line="242" w:lineRule="auto"/>
              <w:ind w:left="102"/>
              <w:rPr>
                <w:rFonts w:ascii="黑体" w:hAnsi="黑体" w:eastAsia="黑体" w:cs="黑体"/>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2"/>
                <w:sz w:val="20"/>
                <w:szCs w:val="20"/>
              </w:rPr>
              <w:t xml:space="preserve"> </w:t>
            </w:r>
            <w:r>
              <w:rPr>
                <w:rFonts w:ascii="黑体" w:hAnsi="黑体" w:eastAsia="黑体" w:cs="黑体"/>
                <w:spacing w:val="2"/>
                <w:sz w:val="20"/>
                <w:szCs w:val="20"/>
              </w:rPr>
              <w:t>、生态功能区划</w:t>
            </w:r>
          </w:p>
          <w:p>
            <w:pPr>
              <w:spacing w:before="101" w:line="374" w:lineRule="auto"/>
              <w:ind w:left="106" w:right="102" w:firstLine="420"/>
              <w:rPr>
                <w:rFonts w:ascii="宋体" w:hAnsi="宋体" w:eastAsia="宋体" w:cs="宋体"/>
                <w:sz w:val="20"/>
                <w:szCs w:val="20"/>
              </w:rPr>
            </w:pPr>
            <w:r>
              <w:rPr>
                <w:rFonts w:ascii="宋体" w:hAnsi="宋体" w:eastAsia="宋体" w:cs="宋体"/>
                <w:spacing w:val="6"/>
                <w:sz w:val="20"/>
                <w:szCs w:val="20"/>
              </w:rPr>
              <w:t>根</w:t>
            </w:r>
            <w:r>
              <w:rPr>
                <w:rFonts w:ascii="宋体" w:hAnsi="宋体" w:eastAsia="宋体" w:cs="宋体"/>
                <w:spacing w:val="5"/>
                <w:sz w:val="20"/>
                <w:szCs w:val="20"/>
              </w:rPr>
              <w:t>据《四川省生态功能区划》</w:t>
            </w:r>
            <w:r>
              <w:rPr>
                <w:rFonts w:ascii="Times New Roman" w:hAnsi="Times New Roman" w:eastAsia="Times New Roman" w:cs="Times New Roman"/>
                <w:spacing w:val="5"/>
                <w:sz w:val="20"/>
                <w:szCs w:val="20"/>
              </w:rPr>
              <w:t xml:space="preserve">(2010 </w:t>
            </w:r>
            <w:r>
              <w:rPr>
                <w:rFonts w:ascii="宋体" w:hAnsi="宋体" w:eastAsia="宋体" w:cs="宋体"/>
                <w:spacing w:val="5"/>
                <w:sz w:val="20"/>
                <w:szCs w:val="20"/>
              </w:rPr>
              <w:t>年</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，项目所在地 (达州市通川区) 属于</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I</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四川盆</w:t>
            </w:r>
            <w:r>
              <w:rPr>
                <w:rFonts w:ascii="宋体" w:hAnsi="宋体" w:eastAsia="宋体" w:cs="宋体"/>
                <w:sz w:val="20"/>
                <w:szCs w:val="20"/>
              </w:rPr>
              <w:t xml:space="preserve"> </w:t>
            </w:r>
            <w:r>
              <w:rPr>
                <w:rFonts w:ascii="宋体" w:hAnsi="宋体" w:eastAsia="宋体" w:cs="宋体"/>
                <w:spacing w:val="7"/>
                <w:sz w:val="20"/>
                <w:szCs w:val="20"/>
              </w:rPr>
              <w:t>地亚热带湿润气候生态区</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I</w:t>
            </w:r>
            <w:r>
              <w:rPr>
                <w:rFonts w:ascii="Times New Roman" w:hAnsi="Times New Roman" w:eastAsia="Times New Roman" w:cs="Times New Roman"/>
                <w:spacing w:val="7"/>
                <w:sz w:val="20"/>
                <w:szCs w:val="20"/>
              </w:rPr>
              <w:t xml:space="preserve">-4 </w:t>
            </w:r>
            <w:r>
              <w:rPr>
                <w:rFonts w:ascii="宋体" w:hAnsi="宋体" w:eastAsia="宋体" w:cs="宋体"/>
                <w:spacing w:val="7"/>
                <w:sz w:val="20"/>
                <w:szCs w:val="20"/>
              </w:rPr>
              <w:t>盆东平行岭谷农林复合生态亚区</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I</w:t>
            </w:r>
            <w:r>
              <w:rPr>
                <w:rFonts w:ascii="Times New Roman" w:hAnsi="Times New Roman" w:eastAsia="Times New Roman" w:cs="Times New Roman"/>
                <w:spacing w:val="7"/>
                <w:sz w:val="20"/>
                <w:szCs w:val="20"/>
              </w:rPr>
              <w:t xml:space="preserve">-4- 1 </w:t>
            </w:r>
            <w:r>
              <w:rPr>
                <w:rFonts w:ascii="宋体" w:hAnsi="宋体" w:eastAsia="宋体" w:cs="宋体"/>
                <w:spacing w:val="7"/>
                <w:sz w:val="20"/>
                <w:szCs w:val="20"/>
              </w:rPr>
              <w:t>华蓥山农</w:t>
            </w:r>
            <w:r>
              <w:rPr>
                <w:rFonts w:ascii="宋体" w:hAnsi="宋体" w:eastAsia="宋体" w:cs="宋体"/>
                <w:spacing w:val="5"/>
                <w:sz w:val="20"/>
                <w:szCs w:val="20"/>
              </w:rPr>
              <w:t>林</w:t>
            </w:r>
            <w:r>
              <w:rPr>
                <w:rFonts w:ascii="宋体" w:hAnsi="宋体" w:eastAsia="宋体" w:cs="宋体"/>
                <w:sz w:val="20"/>
                <w:szCs w:val="20"/>
              </w:rPr>
              <w:t xml:space="preserve">业 </w:t>
            </w:r>
            <w:r>
              <w:rPr>
                <w:rFonts w:ascii="宋体" w:hAnsi="宋体" w:eastAsia="宋体" w:cs="宋体"/>
                <w:spacing w:val="8"/>
                <w:sz w:val="20"/>
                <w:szCs w:val="20"/>
              </w:rPr>
              <w:t>与土壤保持生态功能区</w:t>
            </w:r>
            <w:r>
              <w:rPr>
                <w:rFonts w:ascii="Times New Roman" w:hAnsi="Times New Roman" w:eastAsia="Times New Roman" w:cs="Times New Roman"/>
                <w:spacing w:val="8"/>
                <w:sz w:val="20"/>
                <w:szCs w:val="20"/>
              </w:rPr>
              <w:t>”</w:t>
            </w:r>
            <w:r>
              <w:rPr>
                <w:rFonts w:ascii="宋体" w:hAnsi="宋体" w:eastAsia="宋体" w:cs="宋体"/>
                <w:spacing w:val="7"/>
                <w:sz w:val="20"/>
                <w:szCs w:val="20"/>
              </w:rPr>
              <w:t>。</w:t>
            </w:r>
          </w:p>
          <w:p>
            <w:pPr>
              <w:spacing w:line="229" w:lineRule="auto"/>
              <w:ind w:left="2655"/>
              <w:rPr>
                <w:rFonts w:ascii="黑体" w:hAnsi="黑体" w:eastAsia="黑体" w:cs="黑体"/>
                <w:sz w:val="19"/>
                <w:szCs w:val="19"/>
              </w:rPr>
            </w:pPr>
            <w:r>
              <w:rPr>
                <w:rFonts w:ascii="黑体" w:hAnsi="黑体" w:eastAsia="黑体" w:cs="黑体"/>
                <w:spacing w:val="12"/>
                <w:sz w:val="19"/>
                <w:szCs w:val="19"/>
              </w:rPr>
              <w:t>表</w:t>
            </w:r>
            <w:r>
              <w:rPr>
                <w:rFonts w:ascii="Times New Roman" w:hAnsi="Times New Roman" w:eastAsia="Times New Roman" w:cs="Times New Roman"/>
                <w:spacing w:val="7"/>
                <w:sz w:val="19"/>
                <w:szCs w:val="19"/>
              </w:rPr>
              <w:t xml:space="preserve">19    </w:t>
            </w:r>
            <w:r>
              <w:rPr>
                <w:rFonts w:ascii="黑体" w:hAnsi="黑体" w:eastAsia="黑体" w:cs="黑体"/>
                <w:spacing w:val="7"/>
                <w:sz w:val="19"/>
                <w:szCs w:val="19"/>
              </w:rPr>
              <w:t>项目所在地生态功能区概况</w:t>
            </w:r>
          </w:p>
          <w:p>
            <w:pPr>
              <w:spacing w:line="72" w:lineRule="auto"/>
              <w:rPr>
                <w:rFonts w:ascii="Arial"/>
                <w:sz w:val="2"/>
              </w:rPr>
            </w:pPr>
          </w:p>
          <w:tbl>
            <w:tblPr>
              <w:tblStyle w:val="4"/>
              <w:tblW w:w="7999" w:type="dxa"/>
              <w:tblInd w:w="14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1"/>
              <w:gridCol w:w="467"/>
              <w:gridCol w:w="664"/>
              <w:gridCol w:w="777"/>
              <w:gridCol w:w="1745"/>
              <w:gridCol w:w="604"/>
              <w:gridCol w:w="783"/>
              <w:gridCol w:w="787"/>
              <w:gridCol w:w="17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471" w:type="dxa"/>
                  <w:vAlign w:val="top"/>
                </w:tcPr>
                <w:p>
                  <w:pPr>
                    <w:spacing w:before="75" w:line="268" w:lineRule="auto"/>
                    <w:ind w:left="162" w:right="52" w:hanging="100"/>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生</w:t>
                  </w:r>
                  <w:r>
                    <w:rPr>
                      <w:rFonts w:ascii="宋体" w:hAnsi="宋体" w:eastAsia="宋体" w:cs="宋体"/>
                      <w:spacing w:val="5"/>
                      <w:sz w:val="17"/>
                      <w:szCs w:val="17"/>
                      <w14:textOutline w14:w="3268" w14:cap="sq" w14:cmpd="sng">
                        <w14:solidFill>
                          <w14:srgbClr w14:val="000000"/>
                        </w14:solidFill>
                        <w14:prstDash w14:val="solid"/>
                        <w14:bevel/>
                      </w14:textOutline>
                    </w:rPr>
                    <w:t>态</w:t>
                  </w:r>
                  <w:r>
                    <w:rPr>
                      <w:rFonts w:ascii="宋体" w:hAnsi="宋体" w:eastAsia="宋体" w:cs="宋体"/>
                      <w:sz w:val="17"/>
                      <w:szCs w:val="17"/>
                    </w:rPr>
                    <w:t xml:space="preserve"> </w:t>
                  </w:r>
                  <w:r>
                    <w:rPr>
                      <w:rFonts w:ascii="宋体" w:hAnsi="宋体" w:eastAsia="宋体" w:cs="宋体"/>
                      <w:sz w:val="17"/>
                      <w:szCs w:val="17"/>
                      <w14:textOutline w14:w="3268" w14:cap="sq" w14:cmpd="sng">
                        <w14:solidFill>
                          <w14:srgbClr w14:val="000000"/>
                        </w14:solidFill>
                        <w14:prstDash w14:val="solid"/>
                        <w14:bevel/>
                      </w14:textOutline>
                    </w:rPr>
                    <w:t>区</w:t>
                  </w:r>
                </w:p>
              </w:tc>
              <w:tc>
                <w:tcPr>
                  <w:tcW w:w="467" w:type="dxa"/>
                  <w:vAlign w:val="top"/>
                </w:tcPr>
                <w:p>
                  <w:pPr>
                    <w:spacing w:before="75" w:line="268" w:lineRule="auto"/>
                    <w:ind w:left="56" w:right="53"/>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生</w:t>
                  </w:r>
                  <w:r>
                    <w:rPr>
                      <w:rFonts w:ascii="宋体" w:hAnsi="宋体" w:eastAsia="宋体" w:cs="宋体"/>
                      <w:spacing w:val="5"/>
                      <w:sz w:val="17"/>
                      <w:szCs w:val="17"/>
                      <w14:textOutline w14:w="3268" w14:cap="sq" w14:cmpd="sng">
                        <w14:solidFill>
                          <w14:srgbClr w14:val="000000"/>
                        </w14:solidFill>
                        <w14:prstDash w14:val="solid"/>
                        <w14:bevel/>
                      </w14:textOutline>
                    </w:rPr>
                    <w:t>态</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亚</w:t>
                  </w:r>
                  <w:r>
                    <w:rPr>
                      <w:rFonts w:ascii="宋体" w:hAnsi="宋体" w:eastAsia="宋体" w:cs="宋体"/>
                      <w:spacing w:val="5"/>
                      <w:sz w:val="17"/>
                      <w:szCs w:val="17"/>
                      <w14:textOutline w14:w="3268" w14:cap="sq" w14:cmpd="sng">
                        <w14:solidFill>
                          <w14:srgbClr w14:val="000000"/>
                        </w14:solidFill>
                        <w14:prstDash w14:val="solid"/>
                        <w14:bevel/>
                      </w14:textOutline>
                    </w:rPr>
                    <w:t>区</w:t>
                  </w:r>
                </w:p>
              </w:tc>
              <w:tc>
                <w:tcPr>
                  <w:tcW w:w="664" w:type="dxa"/>
                  <w:vAlign w:val="top"/>
                </w:tcPr>
                <w:p>
                  <w:pPr>
                    <w:spacing w:before="76" w:line="267" w:lineRule="auto"/>
                    <w:ind w:left="161" w:right="60" w:hanging="96"/>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生态</w:t>
                  </w:r>
                  <w:r>
                    <w:rPr>
                      <w:rFonts w:ascii="宋体" w:hAnsi="宋体" w:eastAsia="宋体" w:cs="宋体"/>
                      <w:spacing w:val="7"/>
                      <w:sz w:val="17"/>
                      <w:szCs w:val="17"/>
                      <w14:textOutline w14:w="3268" w14:cap="sq" w14:cmpd="sng">
                        <w14:solidFill>
                          <w14:srgbClr w14:val="000000"/>
                        </w14:solidFill>
                        <w14:prstDash w14:val="solid"/>
                        <w14:bevel/>
                      </w14:textOutline>
                    </w:rPr>
                    <w:t>功</w:t>
                  </w:r>
                  <w:r>
                    <w:rPr>
                      <w:rFonts w:ascii="宋体" w:hAnsi="宋体" w:eastAsia="宋体" w:cs="宋体"/>
                      <w:sz w:val="17"/>
                      <w:szCs w:val="17"/>
                    </w:rPr>
                    <w:t xml:space="preserve"> </w:t>
                  </w:r>
                  <w:r>
                    <w:rPr>
                      <w:rFonts w:ascii="宋体" w:hAnsi="宋体" w:eastAsia="宋体" w:cs="宋体"/>
                      <w:spacing w:val="3"/>
                      <w:sz w:val="17"/>
                      <w:szCs w:val="17"/>
                      <w14:textOutline w14:w="3268" w14:cap="sq" w14:cmpd="sng">
                        <w14:solidFill>
                          <w14:srgbClr w14:val="000000"/>
                        </w14:solidFill>
                        <w14:prstDash w14:val="solid"/>
                        <w14:bevel/>
                      </w14:textOutline>
                    </w:rPr>
                    <w:t>能</w:t>
                  </w:r>
                  <w:r>
                    <w:rPr>
                      <w:rFonts w:ascii="宋体" w:hAnsi="宋体" w:eastAsia="宋体" w:cs="宋体"/>
                      <w:spacing w:val="2"/>
                      <w:sz w:val="17"/>
                      <w:szCs w:val="17"/>
                      <w14:textOutline w14:w="3268" w14:cap="sq" w14:cmpd="sng">
                        <w14:solidFill>
                          <w14:srgbClr w14:val="000000"/>
                        </w14:solidFill>
                        <w14:prstDash w14:val="solid"/>
                        <w14:bevel/>
                      </w14:textOutline>
                    </w:rPr>
                    <w:t>区</w:t>
                  </w:r>
                </w:p>
              </w:tc>
              <w:tc>
                <w:tcPr>
                  <w:tcW w:w="777" w:type="dxa"/>
                  <w:vAlign w:val="top"/>
                </w:tcPr>
                <w:p>
                  <w:pPr>
                    <w:spacing w:before="75" w:line="267" w:lineRule="auto"/>
                    <w:ind w:left="122" w:right="25" w:hanging="92"/>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所在区</w:t>
                  </w:r>
                  <w:r>
                    <w:rPr>
                      <w:rFonts w:ascii="宋体" w:hAnsi="宋体" w:eastAsia="宋体" w:cs="宋体"/>
                      <w:spacing w:val="8"/>
                      <w:sz w:val="17"/>
                      <w:szCs w:val="17"/>
                      <w14:textOutline w14:w="3268" w14:cap="sq" w14:cmpd="sng">
                        <w14:solidFill>
                          <w14:srgbClr w14:val="000000"/>
                        </w14:solidFill>
                        <w14:prstDash w14:val="solid"/>
                        <w14:bevel/>
                      </w14:textOutline>
                    </w:rPr>
                    <w:t>域</w:t>
                  </w:r>
                  <w:r>
                    <w:rPr>
                      <w:rFonts w:ascii="宋体" w:hAnsi="宋体" w:eastAsia="宋体" w:cs="宋体"/>
                      <w:sz w:val="17"/>
                      <w:szCs w:val="17"/>
                    </w:rPr>
                    <w:t xml:space="preserve"> </w:t>
                  </w:r>
                  <w:r>
                    <w:rPr>
                      <w:rFonts w:ascii="宋体" w:hAnsi="宋体" w:eastAsia="宋体" w:cs="宋体"/>
                      <w:spacing w:val="7"/>
                      <w:sz w:val="17"/>
                      <w:szCs w:val="17"/>
                      <w14:textOutline w14:w="3268" w14:cap="sq" w14:cmpd="sng">
                        <w14:solidFill>
                          <w14:srgbClr w14:val="000000"/>
                        </w14:solidFill>
                        <w14:prstDash w14:val="solid"/>
                        <w14:bevel/>
                      </w14:textOutline>
                    </w:rPr>
                    <w:t>与面积</w:t>
                  </w:r>
                </w:p>
              </w:tc>
              <w:tc>
                <w:tcPr>
                  <w:tcW w:w="1745" w:type="dxa"/>
                  <w:vAlign w:val="top"/>
                </w:tcPr>
                <w:p>
                  <w:pPr>
                    <w:spacing w:before="215" w:line="230" w:lineRule="auto"/>
                    <w:ind w:left="335"/>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主要生态特</w:t>
                  </w:r>
                  <w:r>
                    <w:rPr>
                      <w:rFonts w:ascii="宋体" w:hAnsi="宋体" w:eastAsia="宋体" w:cs="宋体"/>
                      <w:spacing w:val="8"/>
                      <w:sz w:val="17"/>
                      <w:szCs w:val="17"/>
                      <w14:textOutline w14:w="3268" w14:cap="sq" w14:cmpd="sng">
                        <w14:solidFill>
                          <w14:srgbClr w14:val="000000"/>
                        </w14:solidFill>
                        <w14:prstDash w14:val="solid"/>
                        <w14:bevel/>
                      </w14:textOutline>
                    </w:rPr>
                    <w:t>征</w:t>
                  </w:r>
                </w:p>
              </w:tc>
              <w:tc>
                <w:tcPr>
                  <w:tcW w:w="604" w:type="dxa"/>
                  <w:vAlign w:val="top"/>
                </w:tcPr>
                <w:p>
                  <w:pPr>
                    <w:spacing w:before="76" w:line="267" w:lineRule="auto"/>
                    <w:ind w:left="36" w:right="27" w:firstLine="1"/>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主要</w:t>
                  </w:r>
                  <w:r>
                    <w:rPr>
                      <w:rFonts w:ascii="宋体" w:hAnsi="宋体" w:eastAsia="宋体" w:cs="宋体"/>
                      <w:spacing w:val="7"/>
                      <w:sz w:val="17"/>
                      <w:szCs w:val="17"/>
                      <w14:textOutline w14:w="3268" w14:cap="sq" w14:cmpd="sng">
                        <w14:solidFill>
                          <w14:srgbClr w14:val="000000"/>
                        </w14:solidFill>
                        <w14:prstDash w14:val="solid"/>
                        <w14:bevel/>
                      </w14:textOutline>
                    </w:rPr>
                    <w:t>生</w:t>
                  </w:r>
                  <w:r>
                    <w:rPr>
                      <w:rFonts w:ascii="宋体" w:hAnsi="宋体" w:eastAsia="宋体" w:cs="宋体"/>
                      <w:sz w:val="17"/>
                      <w:szCs w:val="17"/>
                    </w:rPr>
                    <w:t xml:space="preserve"> </w:t>
                  </w:r>
                  <w:r>
                    <w:rPr>
                      <w:rFonts w:ascii="宋体" w:hAnsi="宋体" w:eastAsia="宋体" w:cs="宋体"/>
                      <w:spacing w:val="9"/>
                      <w:sz w:val="17"/>
                      <w:szCs w:val="17"/>
                      <w14:textOutline w14:w="3268" w14:cap="sq" w14:cmpd="sng">
                        <w14:solidFill>
                          <w14:srgbClr w14:val="000000"/>
                        </w14:solidFill>
                        <w14:prstDash w14:val="solid"/>
                        <w14:bevel/>
                      </w14:textOutline>
                    </w:rPr>
                    <w:t>态</w:t>
                  </w:r>
                  <w:r>
                    <w:rPr>
                      <w:rFonts w:ascii="宋体" w:hAnsi="宋体" w:eastAsia="宋体" w:cs="宋体"/>
                      <w:spacing w:val="8"/>
                      <w:sz w:val="17"/>
                      <w:szCs w:val="17"/>
                      <w14:textOutline w14:w="3268" w14:cap="sq" w14:cmpd="sng">
                        <w14:solidFill>
                          <w14:srgbClr w14:val="000000"/>
                        </w14:solidFill>
                        <w14:prstDash w14:val="solid"/>
                        <w14:bevel/>
                      </w14:textOutline>
                    </w:rPr>
                    <w:t>问题</w:t>
                  </w:r>
                </w:p>
              </w:tc>
              <w:tc>
                <w:tcPr>
                  <w:tcW w:w="783" w:type="dxa"/>
                  <w:vAlign w:val="top"/>
                </w:tcPr>
                <w:p>
                  <w:pPr>
                    <w:spacing w:before="76" w:line="266" w:lineRule="auto"/>
                    <w:ind w:left="125" w:right="28" w:hanging="90"/>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生</w:t>
                  </w:r>
                  <w:r>
                    <w:rPr>
                      <w:rFonts w:ascii="宋体" w:hAnsi="宋体" w:eastAsia="宋体" w:cs="宋体"/>
                      <w:spacing w:val="8"/>
                      <w:sz w:val="17"/>
                      <w:szCs w:val="17"/>
                      <w14:textOutline w14:w="3268" w14:cap="sq" w14:cmpd="sng">
                        <w14:solidFill>
                          <w14:srgbClr w14:val="000000"/>
                        </w14:solidFill>
                        <w14:prstDash w14:val="solid"/>
                        <w14:bevel/>
                      </w14:textOutline>
                    </w:rPr>
                    <w:t>态环境</w:t>
                  </w:r>
                  <w:r>
                    <w:rPr>
                      <w:rFonts w:ascii="宋体" w:hAnsi="宋体" w:eastAsia="宋体" w:cs="宋体"/>
                      <w:sz w:val="17"/>
                      <w:szCs w:val="17"/>
                    </w:rPr>
                    <w:t xml:space="preserve"> </w:t>
                  </w:r>
                  <w:r>
                    <w:rPr>
                      <w:rFonts w:ascii="宋体" w:hAnsi="宋体" w:eastAsia="宋体" w:cs="宋体"/>
                      <w:spacing w:val="8"/>
                      <w:sz w:val="17"/>
                      <w:szCs w:val="17"/>
                      <w14:textOutline w14:w="3268" w14:cap="sq" w14:cmpd="sng">
                        <w14:solidFill>
                          <w14:srgbClr w14:val="000000"/>
                        </w14:solidFill>
                        <w14:prstDash w14:val="solid"/>
                        <w14:bevel/>
                      </w14:textOutline>
                    </w:rPr>
                    <w:t>敏感性</w:t>
                  </w:r>
                </w:p>
              </w:tc>
              <w:tc>
                <w:tcPr>
                  <w:tcW w:w="787" w:type="dxa"/>
                  <w:vAlign w:val="top"/>
                </w:tcPr>
                <w:p>
                  <w:pPr>
                    <w:spacing w:before="76" w:line="266" w:lineRule="auto"/>
                    <w:ind w:left="38" w:right="28" w:firstLine="1"/>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主</w:t>
                  </w:r>
                  <w:r>
                    <w:rPr>
                      <w:rFonts w:ascii="宋体" w:hAnsi="宋体" w:eastAsia="宋体" w:cs="宋体"/>
                      <w:spacing w:val="8"/>
                      <w:sz w:val="17"/>
                      <w:szCs w:val="17"/>
                      <w14:textOutline w14:w="3268" w14:cap="sq" w14:cmpd="sng">
                        <w14:solidFill>
                          <w14:srgbClr w14:val="000000"/>
                        </w14:solidFill>
                        <w14:prstDash w14:val="solid"/>
                        <w14:bevel/>
                      </w14:textOutline>
                    </w:rPr>
                    <w:t>要生态</w:t>
                  </w:r>
                  <w:r>
                    <w:rPr>
                      <w:rFonts w:ascii="宋体" w:hAnsi="宋体" w:eastAsia="宋体" w:cs="宋体"/>
                      <w:sz w:val="17"/>
                      <w:szCs w:val="17"/>
                    </w:rPr>
                    <w:t xml:space="preserve"> </w:t>
                  </w:r>
                  <w:r>
                    <w:rPr>
                      <w:rFonts w:ascii="宋体" w:hAnsi="宋体" w:eastAsia="宋体" w:cs="宋体"/>
                      <w:spacing w:val="9"/>
                      <w:sz w:val="17"/>
                      <w:szCs w:val="17"/>
                      <w14:textOutline w14:w="3268" w14:cap="sq" w14:cmpd="sng">
                        <w14:solidFill>
                          <w14:srgbClr w14:val="000000"/>
                        </w14:solidFill>
                        <w14:prstDash w14:val="solid"/>
                        <w14:bevel/>
                      </w14:textOutline>
                    </w:rPr>
                    <w:t>服务功</w:t>
                  </w:r>
                  <w:r>
                    <w:rPr>
                      <w:rFonts w:ascii="宋体" w:hAnsi="宋体" w:eastAsia="宋体" w:cs="宋体"/>
                      <w:spacing w:val="8"/>
                      <w:sz w:val="17"/>
                      <w:szCs w:val="17"/>
                      <w14:textOutline w14:w="3268" w14:cap="sq" w14:cmpd="sng">
                        <w14:solidFill>
                          <w14:srgbClr w14:val="000000"/>
                        </w14:solidFill>
                        <w14:prstDash w14:val="solid"/>
                        <w14:bevel/>
                      </w14:textOutline>
                    </w:rPr>
                    <w:t>能</w:t>
                  </w:r>
                </w:p>
              </w:tc>
              <w:tc>
                <w:tcPr>
                  <w:tcW w:w="1701" w:type="dxa"/>
                  <w:vAlign w:val="top"/>
                </w:tcPr>
                <w:p>
                  <w:pPr>
                    <w:spacing w:before="215" w:line="231" w:lineRule="auto"/>
                    <w:ind w:left="42"/>
                    <w:rPr>
                      <w:rFonts w:ascii="宋体" w:hAnsi="宋体" w:eastAsia="宋体" w:cs="宋体"/>
                      <w:sz w:val="17"/>
                      <w:szCs w:val="17"/>
                    </w:rPr>
                  </w:pPr>
                  <w:r>
                    <w:rPr>
                      <w:rFonts w:ascii="宋体" w:hAnsi="宋体" w:eastAsia="宋体" w:cs="宋体"/>
                      <w:spacing w:val="14"/>
                      <w:sz w:val="17"/>
                      <w:szCs w:val="17"/>
                      <w14:textOutline w14:w="3268" w14:cap="sq" w14:cmpd="sng">
                        <w14:solidFill>
                          <w14:srgbClr w14:val="000000"/>
                        </w14:solidFill>
                        <w14:prstDash w14:val="solid"/>
                        <w14:bevel/>
                      </w14:textOutline>
                    </w:rPr>
                    <w:t>生</w:t>
                  </w:r>
                  <w:r>
                    <w:rPr>
                      <w:rFonts w:ascii="宋体" w:hAnsi="宋体" w:eastAsia="宋体" w:cs="宋体"/>
                      <w:spacing w:val="9"/>
                      <w:sz w:val="17"/>
                      <w:szCs w:val="17"/>
                      <w14:textOutline w14:w="3268" w14:cap="sq" w14:cmpd="sng">
                        <w14:solidFill>
                          <w14:srgbClr w14:val="000000"/>
                        </w14:solidFill>
                        <w14:prstDash w14:val="solid"/>
                        <w14:bevel/>
                      </w14:textOutline>
                    </w:rPr>
                    <w:t>态保护与发展方向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5" w:hRule="atLeast"/>
              </w:trPr>
              <w:tc>
                <w:tcPr>
                  <w:tcW w:w="471"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55" w:line="233" w:lineRule="auto"/>
                    <w:ind w:left="94"/>
                    <w:rPr>
                      <w:rFonts w:ascii="宋体" w:hAnsi="宋体" w:eastAsia="宋体" w:cs="宋体"/>
                      <w:sz w:val="17"/>
                      <w:szCs w:val="17"/>
                    </w:rPr>
                  </w:pPr>
                  <w:r>
                    <w:rPr>
                      <w:rFonts w:ascii="Times New Roman" w:hAnsi="Times New Roman" w:eastAsia="Times New Roman" w:cs="Times New Roman"/>
                      <w:sz w:val="17"/>
                      <w:szCs w:val="17"/>
                    </w:rPr>
                    <w:t>I</w:t>
                  </w:r>
                  <w:r>
                    <w:rPr>
                      <w:rFonts w:ascii="Times New Roman" w:hAnsi="Times New Roman" w:eastAsia="Times New Roman" w:cs="Times New Roman"/>
                      <w:spacing w:val="13"/>
                      <w:sz w:val="17"/>
                      <w:szCs w:val="17"/>
                    </w:rPr>
                    <w:t xml:space="preserve"> </w:t>
                  </w:r>
                  <w:r>
                    <w:rPr>
                      <w:rFonts w:ascii="宋体" w:hAnsi="宋体" w:eastAsia="宋体" w:cs="宋体"/>
                      <w:spacing w:val="12"/>
                      <w:sz w:val="17"/>
                      <w:szCs w:val="17"/>
                    </w:rPr>
                    <w:t>四</w:t>
                  </w:r>
                </w:p>
                <w:p>
                  <w:pPr>
                    <w:spacing w:before="66" w:line="230" w:lineRule="auto"/>
                    <w:ind w:left="65"/>
                    <w:rPr>
                      <w:rFonts w:ascii="宋体" w:hAnsi="宋体" w:eastAsia="宋体" w:cs="宋体"/>
                      <w:sz w:val="17"/>
                      <w:szCs w:val="17"/>
                    </w:rPr>
                  </w:pPr>
                  <w:r>
                    <w:rPr>
                      <w:rFonts w:ascii="宋体" w:hAnsi="宋体" w:eastAsia="宋体" w:cs="宋体"/>
                      <w:spacing w:val="4"/>
                      <w:sz w:val="17"/>
                      <w:szCs w:val="17"/>
                    </w:rPr>
                    <w:t>川盆</w:t>
                  </w:r>
                </w:p>
                <w:p>
                  <w:pPr>
                    <w:spacing w:before="68"/>
                    <w:ind w:left="60"/>
                    <w:rPr>
                      <w:rFonts w:ascii="宋体" w:hAnsi="宋体" w:eastAsia="宋体" w:cs="宋体"/>
                      <w:sz w:val="17"/>
                      <w:szCs w:val="17"/>
                    </w:rPr>
                  </w:pPr>
                  <w:r>
                    <w:rPr>
                      <w:rFonts w:ascii="宋体" w:hAnsi="宋体" w:eastAsia="宋体" w:cs="宋体"/>
                      <w:spacing w:val="6"/>
                      <w:sz w:val="17"/>
                      <w:szCs w:val="17"/>
                    </w:rPr>
                    <w:t>地亚</w:t>
                  </w:r>
                </w:p>
                <w:p>
                  <w:pPr>
                    <w:spacing w:before="57" w:line="230" w:lineRule="auto"/>
                    <w:ind w:left="64"/>
                    <w:rPr>
                      <w:rFonts w:ascii="宋体" w:hAnsi="宋体" w:eastAsia="宋体" w:cs="宋体"/>
                      <w:sz w:val="17"/>
                      <w:szCs w:val="17"/>
                    </w:rPr>
                  </w:pPr>
                  <w:r>
                    <w:rPr>
                      <w:rFonts w:ascii="宋体" w:hAnsi="宋体" w:eastAsia="宋体" w:cs="宋体"/>
                      <w:spacing w:val="5"/>
                      <w:sz w:val="17"/>
                      <w:szCs w:val="17"/>
                    </w:rPr>
                    <w:t>热</w:t>
                  </w:r>
                  <w:r>
                    <w:rPr>
                      <w:rFonts w:ascii="宋体" w:hAnsi="宋体" w:eastAsia="宋体" w:cs="宋体"/>
                      <w:spacing w:val="4"/>
                      <w:sz w:val="17"/>
                      <w:szCs w:val="17"/>
                    </w:rPr>
                    <w:t>带</w:t>
                  </w:r>
                </w:p>
                <w:p>
                  <w:pPr>
                    <w:spacing w:before="69" w:line="231" w:lineRule="auto"/>
                    <w:ind w:left="60"/>
                    <w:rPr>
                      <w:rFonts w:ascii="宋体" w:hAnsi="宋体" w:eastAsia="宋体" w:cs="宋体"/>
                      <w:sz w:val="17"/>
                      <w:szCs w:val="17"/>
                    </w:rPr>
                  </w:pPr>
                  <w:r>
                    <w:rPr>
                      <w:rFonts w:ascii="宋体" w:hAnsi="宋体" w:eastAsia="宋体" w:cs="宋体"/>
                      <w:spacing w:val="6"/>
                      <w:sz w:val="17"/>
                      <w:szCs w:val="17"/>
                    </w:rPr>
                    <w:t>湿润</w:t>
                  </w:r>
                </w:p>
                <w:p>
                  <w:pPr>
                    <w:spacing w:before="68" w:line="230" w:lineRule="auto"/>
                    <w:ind w:left="61"/>
                    <w:rPr>
                      <w:rFonts w:ascii="宋体" w:hAnsi="宋体" w:eastAsia="宋体" w:cs="宋体"/>
                      <w:sz w:val="17"/>
                      <w:szCs w:val="17"/>
                    </w:rPr>
                  </w:pPr>
                  <w:r>
                    <w:rPr>
                      <w:rFonts w:ascii="宋体" w:hAnsi="宋体" w:eastAsia="宋体" w:cs="宋体"/>
                      <w:spacing w:val="6"/>
                      <w:sz w:val="17"/>
                      <w:szCs w:val="17"/>
                    </w:rPr>
                    <w:t>气候</w:t>
                  </w:r>
                </w:p>
                <w:p>
                  <w:pPr>
                    <w:spacing w:before="67" w:line="235" w:lineRule="auto"/>
                    <w:ind w:left="62"/>
                    <w:rPr>
                      <w:rFonts w:ascii="宋体" w:hAnsi="宋体" w:eastAsia="宋体" w:cs="宋体"/>
                      <w:sz w:val="17"/>
                      <w:szCs w:val="17"/>
                    </w:rPr>
                  </w:pPr>
                  <w:r>
                    <w:rPr>
                      <w:rFonts w:ascii="宋体" w:hAnsi="宋体" w:eastAsia="宋体" w:cs="宋体"/>
                      <w:spacing w:val="6"/>
                      <w:sz w:val="17"/>
                      <w:szCs w:val="17"/>
                    </w:rPr>
                    <w:t>生</w:t>
                  </w:r>
                  <w:r>
                    <w:rPr>
                      <w:rFonts w:ascii="宋体" w:hAnsi="宋体" w:eastAsia="宋体" w:cs="宋体"/>
                      <w:spacing w:val="5"/>
                      <w:sz w:val="17"/>
                      <w:szCs w:val="17"/>
                    </w:rPr>
                    <w:t>态</w:t>
                  </w:r>
                </w:p>
                <w:p>
                  <w:pPr>
                    <w:spacing w:before="64" w:line="235" w:lineRule="auto"/>
                    <w:ind w:left="162"/>
                    <w:rPr>
                      <w:rFonts w:ascii="宋体" w:hAnsi="宋体" w:eastAsia="宋体" w:cs="宋体"/>
                      <w:sz w:val="17"/>
                      <w:szCs w:val="17"/>
                    </w:rPr>
                  </w:pPr>
                  <w:r>
                    <w:rPr>
                      <w:rFonts w:ascii="宋体" w:hAnsi="宋体" w:eastAsia="宋体" w:cs="宋体"/>
                      <w:sz w:val="17"/>
                      <w:szCs w:val="17"/>
                    </w:rPr>
                    <w:t>区</w:t>
                  </w:r>
                </w:p>
              </w:tc>
              <w:tc>
                <w:tcPr>
                  <w:tcW w:w="467"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before="56" w:line="237" w:lineRule="auto"/>
                    <w:ind w:left="24"/>
                    <w:rPr>
                      <w:rFonts w:ascii="宋体" w:hAnsi="宋体" w:eastAsia="宋体" w:cs="宋体"/>
                      <w:sz w:val="17"/>
                      <w:szCs w:val="17"/>
                    </w:rPr>
                  </w:pPr>
                  <w:r>
                    <w:rPr>
                      <w:rFonts w:ascii="Times New Roman" w:hAnsi="Times New Roman" w:eastAsia="Times New Roman" w:cs="Times New Roman"/>
                      <w:sz w:val="17"/>
                      <w:szCs w:val="17"/>
                    </w:rPr>
                    <w:t>I</w:t>
                  </w:r>
                  <w:r>
                    <w:rPr>
                      <w:rFonts w:ascii="Times New Roman" w:hAnsi="Times New Roman" w:eastAsia="Times New Roman" w:cs="Times New Roman"/>
                      <w:spacing w:val="1"/>
                      <w:sz w:val="17"/>
                      <w:szCs w:val="17"/>
                    </w:rPr>
                    <w:t xml:space="preserve">-4 </w:t>
                  </w:r>
                  <w:r>
                    <w:rPr>
                      <w:rFonts w:ascii="宋体" w:hAnsi="宋体" w:eastAsia="宋体" w:cs="宋体"/>
                      <w:spacing w:val="1"/>
                      <w:sz w:val="17"/>
                      <w:szCs w:val="17"/>
                    </w:rPr>
                    <w:t>盆</w:t>
                  </w:r>
                </w:p>
                <w:p>
                  <w:pPr>
                    <w:spacing w:before="63" w:line="230" w:lineRule="auto"/>
                    <w:ind w:left="61"/>
                    <w:rPr>
                      <w:rFonts w:ascii="宋体" w:hAnsi="宋体" w:eastAsia="宋体" w:cs="宋体"/>
                      <w:sz w:val="17"/>
                      <w:szCs w:val="17"/>
                    </w:rPr>
                  </w:pPr>
                  <w:r>
                    <w:rPr>
                      <w:rFonts w:ascii="宋体" w:hAnsi="宋体" w:eastAsia="宋体" w:cs="宋体"/>
                      <w:spacing w:val="3"/>
                      <w:sz w:val="17"/>
                      <w:szCs w:val="17"/>
                    </w:rPr>
                    <w:t>东平</w:t>
                  </w:r>
                </w:p>
                <w:p>
                  <w:pPr>
                    <w:spacing w:before="68" w:line="231" w:lineRule="auto"/>
                    <w:ind w:left="58"/>
                    <w:rPr>
                      <w:rFonts w:ascii="宋体" w:hAnsi="宋体" w:eastAsia="宋体" w:cs="宋体"/>
                      <w:sz w:val="17"/>
                      <w:szCs w:val="17"/>
                    </w:rPr>
                  </w:pPr>
                  <w:r>
                    <w:rPr>
                      <w:rFonts w:ascii="宋体" w:hAnsi="宋体" w:eastAsia="宋体" w:cs="宋体"/>
                      <w:spacing w:val="5"/>
                      <w:sz w:val="17"/>
                      <w:szCs w:val="17"/>
                    </w:rPr>
                    <w:t>行岭</w:t>
                  </w:r>
                </w:p>
                <w:p>
                  <w:pPr>
                    <w:spacing w:before="65" w:line="232" w:lineRule="auto"/>
                    <w:ind w:left="56"/>
                    <w:rPr>
                      <w:rFonts w:ascii="宋体" w:hAnsi="宋体" w:eastAsia="宋体" w:cs="宋体"/>
                      <w:sz w:val="17"/>
                      <w:szCs w:val="17"/>
                    </w:rPr>
                  </w:pPr>
                  <w:r>
                    <w:rPr>
                      <w:rFonts w:ascii="宋体" w:hAnsi="宋体" w:eastAsia="宋体" w:cs="宋体"/>
                      <w:spacing w:val="6"/>
                      <w:sz w:val="17"/>
                      <w:szCs w:val="17"/>
                    </w:rPr>
                    <w:t>谷</w:t>
                  </w:r>
                  <w:r>
                    <w:rPr>
                      <w:rFonts w:ascii="宋体" w:hAnsi="宋体" w:eastAsia="宋体" w:cs="宋体"/>
                      <w:spacing w:val="5"/>
                      <w:sz w:val="17"/>
                      <w:szCs w:val="17"/>
                    </w:rPr>
                    <w:t>农</w:t>
                  </w:r>
                </w:p>
                <w:p>
                  <w:pPr>
                    <w:spacing w:before="67" w:line="230" w:lineRule="auto"/>
                    <w:ind w:left="56"/>
                    <w:rPr>
                      <w:rFonts w:ascii="宋体" w:hAnsi="宋体" w:eastAsia="宋体" w:cs="宋体"/>
                      <w:sz w:val="17"/>
                      <w:szCs w:val="17"/>
                    </w:rPr>
                  </w:pPr>
                  <w:r>
                    <w:rPr>
                      <w:rFonts w:ascii="宋体" w:hAnsi="宋体" w:eastAsia="宋体" w:cs="宋体"/>
                      <w:spacing w:val="6"/>
                      <w:sz w:val="17"/>
                      <w:szCs w:val="17"/>
                    </w:rPr>
                    <w:t>林复</w:t>
                  </w:r>
                </w:p>
                <w:p>
                  <w:pPr>
                    <w:spacing w:before="68" w:line="234" w:lineRule="auto"/>
                    <w:ind w:left="56"/>
                    <w:rPr>
                      <w:rFonts w:ascii="宋体" w:hAnsi="宋体" w:eastAsia="宋体" w:cs="宋体"/>
                      <w:sz w:val="17"/>
                      <w:szCs w:val="17"/>
                    </w:rPr>
                  </w:pPr>
                  <w:r>
                    <w:rPr>
                      <w:rFonts w:ascii="宋体" w:hAnsi="宋体" w:eastAsia="宋体" w:cs="宋体"/>
                      <w:spacing w:val="6"/>
                      <w:sz w:val="17"/>
                      <w:szCs w:val="17"/>
                    </w:rPr>
                    <w:t>合生</w:t>
                  </w:r>
                </w:p>
                <w:p>
                  <w:pPr>
                    <w:spacing w:before="64" w:line="235" w:lineRule="auto"/>
                    <w:ind w:left="55"/>
                    <w:rPr>
                      <w:rFonts w:ascii="宋体" w:hAnsi="宋体" w:eastAsia="宋体" w:cs="宋体"/>
                      <w:sz w:val="17"/>
                      <w:szCs w:val="17"/>
                    </w:rPr>
                  </w:pPr>
                  <w:r>
                    <w:rPr>
                      <w:rFonts w:ascii="宋体" w:hAnsi="宋体" w:eastAsia="宋体" w:cs="宋体"/>
                      <w:spacing w:val="6"/>
                      <w:sz w:val="17"/>
                      <w:szCs w:val="17"/>
                    </w:rPr>
                    <w:t>态亚</w:t>
                  </w:r>
                </w:p>
                <w:p>
                  <w:pPr>
                    <w:spacing w:before="64" w:line="235" w:lineRule="auto"/>
                    <w:ind w:left="159"/>
                    <w:rPr>
                      <w:rFonts w:ascii="宋体" w:hAnsi="宋体" w:eastAsia="宋体" w:cs="宋体"/>
                      <w:sz w:val="17"/>
                      <w:szCs w:val="17"/>
                    </w:rPr>
                  </w:pPr>
                  <w:r>
                    <w:rPr>
                      <w:rFonts w:ascii="宋体" w:hAnsi="宋体" w:eastAsia="宋体" w:cs="宋体"/>
                      <w:sz w:val="17"/>
                      <w:szCs w:val="17"/>
                    </w:rPr>
                    <w:t>区</w:t>
                  </w:r>
                </w:p>
              </w:tc>
              <w:tc>
                <w:tcPr>
                  <w:tcW w:w="664"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5" w:line="308" w:lineRule="auto"/>
                    <w:ind w:left="63" w:right="40" w:hanging="24"/>
                    <w:rPr>
                      <w:rFonts w:ascii="宋体" w:hAnsi="宋体" w:eastAsia="宋体" w:cs="宋体"/>
                      <w:sz w:val="17"/>
                      <w:szCs w:val="17"/>
                    </w:rPr>
                  </w:pPr>
                  <w:r>
                    <w:rPr>
                      <w:rFonts w:ascii="Times New Roman" w:hAnsi="Times New Roman" w:eastAsia="Times New Roman" w:cs="Times New Roman"/>
                      <w:spacing w:val="-2"/>
                      <w:sz w:val="17"/>
                      <w:szCs w:val="17"/>
                    </w:rPr>
                    <w:t>I</w:t>
                  </w:r>
                  <w:r>
                    <w:rPr>
                      <w:rFonts w:ascii="Times New Roman" w:hAnsi="Times New Roman" w:eastAsia="Times New Roman" w:cs="Times New Roman"/>
                      <w:spacing w:val="-3"/>
                      <w:sz w:val="17"/>
                      <w:szCs w:val="17"/>
                    </w:rPr>
                    <w:t>-</w:t>
                  </w:r>
                  <w:r>
                    <w:rPr>
                      <w:rFonts w:ascii="Times New Roman" w:hAnsi="Times New Roman" w:eastAsia="Times New Roman" w:cs="Times New Roman"/>
                      <w:spacing w:val="-2"/>
                      <w:sz w:val="17"/>
                      <w:szCs w:val="17"/>
                    </w:rPr>
                    <w:t xml:space="preserve">4- 1 </w:t>
                  </w:r>
                  <w:r>
                    <w:rPr>
                      <w:rFonts w:ascii="宋体" w:hAnsi="宋体" w:eastAsia="宋体" w:cs="宋体"/>
                      <w:spacing w:val="-2"/>
                      <w:sz w:val="17"/>
                      <w:szCs w:val="17"/>
                    </w:rPr>
                    <w:t>华</w:t>
                  </w:r>
                  <w:r>
                    <w:rPr>
                      <w:rFonts w:ascii="宋体" w:hAnsi="宋体" w:eastAsia="宋体" w:cs="宋体"/>
                      <w:sz w:val="17"/>
                      <w:szCs w:val="17"/>
                    </w:rPr>
                    <w:t xml:space="preserve"> </w:t>
                  </w:r>
                  <w:r>
                    <w:rPr>
                      <w:rFonts w:ascii="宋体" w:hAnsi="宋体" w:eastAsia="宋体" w:cs="宋体"/>
                      <w:spacing w:val="8"/>
                      <w:sz w:val="17"/>
                      <w:szCs w:val="17"/>
                    </w:rPr>
                    <w:t>蓥</w:t>
                  </w:r>
                  <w:r>
                    <w:rPr>
                      <w:rFonts w:ascii="宋体" w:hAnsi="宋体" w:eastAsia="宋体" w:cs="宋体"/>
                      <w:spacing w:val="7"/>
                      <w:sz w:val="17"/>
                      <w:szCs w:val="17"/>
                    </w:rPr>
                    <w:t>山农</w:t>
                  </w:r>
                  <w:r>
                    <w:rPr>
                      <w:rFonts w:ascii="宋体" w:hAnsi="宋体" w:eastAsia="宋体" w:cs="宋体"/>
                      <w:sz w:val="17"/>
                      <w:szCs w:val="17"/>
                    </w:rPr>
                    <w:t xml:space="preserve"> </w:t>
                  </w:r>
                  <w:r>
                    <w:rPr>
                      <w:rFonts w:ascii="宋体" w:hAnsi="宋体" w:eastAsia="宋体" w:cs="宋体"/>
                      <w:spacing w:val="8"/>
                      <w:sz w:val="17"/>
                      <w:szCs w:val="17"/>
                    </w:rPr>
                    <w:t>林</w:t>
                  </w:r>
                  <w:r>
                    <w:rPr>
                      <w:rFonts w:ascii="宋体" w:hAnsi="宋体" w:eastAsia="宋体" w:cs="宋体"/>
                      <w:spacing w:val="7"/>
                      <w:sz w:val="17"/>
                      <w:szCs w:val="17"/>
                    </w:rPr>
                    <w:t>业与</w:t>
                  </w:r>
                  <w:r>
                    <w:rPr>
                      <w:rFonts w:ascii="宋体" w:hAnsi="宋体" w:eastAsia="宋体" w:cs="宋体"/>
                      <w:sz w:val="17"/>
                      <w:szCs w:val="17"/>
                    </w:rPr>
                    <w:t xml:space="preserve"> </w:t>
                  </w:r>
                  <w:r>
                    <w:rPr>
                      <w:rFonts w:ascii="宋体" w:hAnsi="宋体" w:eastAsia="宋体" w:cs="宋体"/>
                      <w:spacing w:val="8"/>
                      <w:sz w:val="17"/>
                      <w:szCs w:val="17"/>
                    </w:rPr>
                    <w:t>土</w:t>
                  </w:r>
                  <w:r>
                    <w:rPr>
                      <w:rFonts w:ascii="宋体" w:hAnsi="宋体" w:eastAsia="宋体" w:cs="宋体"/>
                      <w:spacing w:val="7"/>
                      <w:sz w:val="17"/>
                      <w:szCs w:val="17"/>
                    </w:rPr>
                    <w:t>壤保</w:t>
                  </w:r>
                  <w:r>
                    <w:rPr>
                      <w:rFonts w:ascii="宋体" w:hAnsi="宋体" w:eastAsia="宋体" w:cs="宋体"/>
                      <w:sz w:val="17"/>
                      <w:szCs w:val="17"/>
                    </w:rPr>
                    <w:t xml:space="preserve"> </w:t>
                  </w:r>
                  <w:r>
                    <w:rPr>
                      <w:rFonts w:ascii="宋体" w:hAnsi="宋体" w:eastAsia="宋体" w:cs="宋体"/>
                      <w:spacing w:val="8"/>
                      <w:sz w:val="17"/>
                      <w:szCs w:val="17"/>
                    </w:rPr>
                    <w:t>持</w:t>
                  </w:r>
                  <w:r>
                    <w:rPr>
                      <w:rFonts w:ascii="宋体" w:hAnsi="宋体" w:eastAsia="宋体" w:cs="宋体"/>
                      <w:spacing w:val="7"/>
                      <w:sz w:val="17"/>
                      <w:szCs w:val="17"/>
                    </w:rPr>
                    <w:t>生态</w:t>
                  </w:r>
                  <w:r>
                    <w:rPr>
                      <w:rFonts w:ascii="宋体" w:hAnsi="宋体" w:eastAsia="宋体" w:cs="宋体"/>
                      <w:sz w:val="17"/>
                      <w:szCs w:val="17"/>
                    </w:rPr>
                    <w:t xml:space="preserve"> </w:t>
                  </w:r>
                  <w:r>
                    <w:rPr>
                      <w:rFonts w:ascii="宋体" w:hAnsi="宋体" w:eastAsia="宋体" w:cs="宋体"/>
                      <w:spacing w:val="8"/>
                      <w:sz w:val="17"/>
                      <w:szCs w:val="17"/>
                    </w:rPr>
                    <w:t>功</w:t>
                  </w:r>
                  <w:r>
                    <w:rPr>
                      <w:rFonts w:ascii="宋体" w:hAnsi="宋体" w:eastAsia="宋体" w:cs="宋体"/>
                      <w:spacing w:val="7"/>
                      <w:sz w:val="17"/>
                      <w:szCs w:val="17"/>
                    </w:rPr>
                    <w:t>能区</w:t>
                  </w:r>
                </w:p>
              </w:tc>
              <w:tc>
                <w:tcPr>
                  <w:tcW w:w="77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55" w:line="304" w:lineRule="auto"/>
                    <w:ind w:left="32" w:right="28" w:hanging="2"/>
                    <w:rPr>
                      <w:rFonts w:ascii="宋体" w:hAnsi="宋体" w:eastAsia="宋体" w:cs="宋体"/>
                      <w:sz w:val="17"/>
                      <w:szCs w:val="17"/>
                    </w:rPr>
                  </w:pPr>
                  <w:r>
                    <w:rPr>
                      <w:rFonts w:ascii="宋体" w:hAnsi="宋体" w:eastAsia="宋体" w:cs="宋体"/>
                      <w:spacing w:val="9"/>
                      <w:sz w:val="17"/>
                      <w:szCs w:val="17"/>
                    </w:rPr>
                    <w:t>在</w:t>
                  </w:r>
                  <w:r>
                    <w:rPr>
                      <w:rFonts w:ascii="宋体" w:hAnsi="宋体" w:eastAsia="宋体" w:cs="宋体"/>
                      <w:spacing w:val="8"/>
                      <w:sz w:val="17"/>
                      <w:szCs w:val="17"/>
                    </w:rPr>
                    <w:t>四川东</w:t>
                  </w:r>
                  <w:r>
                    <w:rPr>
                      <w:rFonts w:ascii="宋体" w:hAnsi="宋体" w:eastAsia="宋体" w:cs="宋体"/>
                      <w:sz w:val="17"/>
                      <w:szCs w:val="17"/>
                    </w:rPr>
                    <w:t xml:space="preserve"> </w:t>
                  </w:r>
                  <w:r>
                    <w:rPr>
                      <w:rFonts w:ascii="宋体" w:hAnsi="宋体" w:eastAsia="宋体" w:cs="宋体"/>
                      <w:spacing w:val="5"/>
                      <w:sz w:val="17"/>
                      <w:szCs w:val="17"/>
                    </w:rPr>
                    <w:t>部边缘，</w:t>
                  </w:r>
                </w:p>
                <w:p>
                  <w:pPr>
                    <w:spacing w:line="231" w:lineRule="auto"/>
                    <w:ind w:left="123"/>
                    <w:rPr>
                      <w:rFonts w:ascii="宋体" w:hAnsi="宋体" w:eastAsia="宋体" w:cs="宋体"/>
                      <w:sz w:val="17"/>
                      <w:szCs w:val="17"/>
                    </w:rPr>
                  </w:pPr>
                  <w:r>
                    <w:rPr>
                      <w:rFonts w:ascii="宋体" w:hAnsi="宋体" w:eastAsia="宋体" w:cs="宋体"/>
                      <w:spacing w:val="7"/>
                      <w:sz w:val="17"/>
                      <w:szCs w:val="17"/>
                    </w:rPr>
                    <w:t>涉及达</w:t>
                  </w:r>
                </w:p>
                <w:p>
                  <w:pPr>
                    <w:spacing w:before="67" w:line="229" w:lineRule="auto"/>
                    <w:ind w:left="31"/>
                    <w:rPr>
                      <w:rFonts w:ascii="宋体" w:hAnsi="宋体" w:eastAsia="宋体" w:cs="宋体"/>
                      <w:sz w:val="17"/>
                      <w:szCs w:val="17"/>
                    </w:rPr>
                  </w:pPr>
                  <w:r>
                    <w:rPr>
                      <w:rFonts w:ascii="宋体" w:hAnsi="宋体" w:eastAsia="宋体" w:cs="宋体"/>
                      <w:spacing w:val="8"/>
                      <w:sz w:val="17"/>
                      <w:szCs w:val="17"/>
                    </w:rPr>
                    <w:t>州、广安</w:t>
                  </w:r>
                </w:p>
                <w:p>
                  <w:pPr>
                    <w:spacing w:before="69" w:line="230" w:lineRule="auto"/>
                    <w:ind w:left="35"/>
                    <w:rPr>
                      <w:rFonts w:ascii="宋体" w:hAnsi="宋体" w:eastAsia="宋体" w:cs="宋体"/>
                      <w:sz w:val="17"/>
                      <w:szCs w:val="17"/>
                    </w:rPr>
                  </w:pPr>
                  <w:r>
                    <w:rPr>
                      <w:rFonts w:ascii="宋体" w:hAnsi="宋体" w:eastAsia="宋体" w:cs="宋体"/>
                      <w:spacing w:val="14"/>
                      <w:sz w:val="17"/>
                      <w:szCs w:val="17"/>
                    </w:rPr>
                    <w:t>市的</w:t>
                  </w:r>
                  <w:r>
                    <w:rPr>
                      <w:rFonts w:ascii="Times New Roman" w:hAnsi="Times New Roman" w:eastAsia="Times New Roman" w:cs="Times New Roman"/>
                      <w:spacing w:val="14"/>
                      <w:sz w:val="17"/>
                      <w:szCs w:val="17"/>
                    </w:rPr>
                    <w:t xml:space="preserve">9 </w:t>
                  </w:r>
                  <w:r>
                    <w:rPr>
                      <w:rFonts w:ascii="宋体" w:hAnsi="宋体" w:eastAsia="宋体" w:cs="宋体"/>
                      <w:spacing w:val="14"/>
                      <w:sz w:val="17"/>
                      <w:szCs w:val="17"/>
                    </w:rPr>
                    <w:t>个</w:t>
                  </w:r>
                </w:p>
                <w:p>
                  <w:pPr>
                    <w:spacing w:before="67" w:line="231" w:lineRule="auto"/>
                    <w:ind w:left="31"/>
                    <w:rPr>
                      <w:rFonts w:ascii="宋体" w:hAnsi="宋体" w:eastAsia="宋体" w:cs="宋体"/>
                      <w:sz w:val="17"/>
                      <w:szCs w:val="17"/>
                    </w:rPr>
                  </w:pPr>
                  <w:r>
                    <w:rPr>
                      <w:rFonts w:ascii="宋体" w:hAnsi="宋体" w:eastAsia="宋体" w:cs="宋体"/>
                      <w:spacing w:val="8"/>
                      <w:sz w:val="17"/>
                      <w:szCs w:val="17"/>
                    </w:rPr>
                    <w:t>县级行政</w:t>
                  </w:r>
                </w:p>
                <w:p>
                  <w:pPr>
                    <w:spacing w:before="68" w:line="235" w:lineRule="auto"/>
                    <w:ind w:left="39"/>
                    <w:rPr>
                      <w:rFonts w:ascii="宋体" w:hAnsi="宋体" w:eastAsia="宋体" w:cs="宋体"/>
                      <w:sz w:val="17"/>
                      <w:szCs w:val="17"/>
                    </w:rPr>
                  </w:pPr>
                  <w:r>
                    <w:rPr>
                      <w:rFonts w:ascii="宋体" w:hAnsi="宋体" w:eastAsia="宋体" w:cs="宋体"/>
                      <w:spacing w:val="5"/>
                      <w:sz w:val="17"/>
                      <w:szCs w:val="17"/>
                    </w:rPr>
                    <w:t>区。面</w:t>
                  </w:r>
                  <w:r>
                    <w:rPr>
                      <w:rFonts w:ascii="宋体" w:hAnsi="宋体" w:eastAsia="宋体" w:cs="宋体"/>
                      <w:spacing w:val="4"/>
                      <w:sz w:val="17"/>
                      <w:szCs w:val="17"/>
                    </w:rPr>
                    <w:t>积</w:t>
                  </w:r>
                </w:p>
                <w:p>
                  <w:pPr>
                    <w:spacing w:before="64" w:line="231" w:lineRule="auto"/>
                    <w:ind w:left="30"/>
                    <w:rPr>
                      <w:rFonts w:ascii="宋体" w:hAnsi="宋体" w:eastAsia="宋体" w:cs="宋体"/>
                      <w:sz w:val="17"/>
                      <w:szCs w:val="17"/>
                    </w:rPr>
                  </w:pPr>
                  <w:r>
                    <w:rPr>
                      <w:rFonts w:ascii="Times New Roman" w:hAnsi="Times New Roman" w:eastAsia="Times New Roman" w:cs="Times New Roman"/>
                      <w:spacing w:val="8"/>
                      <w:sz w:val="17"/>
                      <w:szCs w:val="17"/>
                    </w:rPr>
                    <w:t>0</w:t>
                  </w:r>
                  <w:r>
                    <w:rPr>
                      <w:rFonts w:ascii="Times New Roman" w:hAnsi="Times New Roman" w:eastAsia="Times New Roman" w:cs="Times New Roman"/>
                      <w:spacing w:val="5"/>
                      <w:sz w:val="17"/>
                      <w:szCs w:val="17"/>
                    </w:rPr>
                    <w:t>.</w:t>
                  </w:r>
                  <w:r>
                    <w:rPr>
                      <w:rFonts w:ascii="Times New Roman" w:hAnsi="Times New Roman" w:eastAsia="Times New Roman" w:cs="Times New Roman"/>
                      <w:spacing w:val="4"/>
                      <w:sz w:val="17"/>
                      <w:szCs w:val="17"/>
                    </w:rPr>
                    <w:t xml:space="preserve">91 </w:t>
                  </w:r>
                  <w:r>
                    <w:rPr>
                      <w:rFonts w:ascii="宋体" w:hAnsi="宋体" w:eastAsia="宋体" w:cs="宋体"/>
                      <w:spacing w:val="4"/>
                      <w:sz w:val="17"/>
                      <w:szCs w:val="17"/>
                    </w:rPr>
                    <w:t>万平</w:t>
                  </w:r>
                </w:p>
                <w:p>
                  <w:pPr>
                    <w:spacing w:before="65" w:line="232" w:lineRule="auto"/>
                    <w:ind w:left="122"/>
                    <w:rPr>
                      <w:rFonts w:ascii="宋体" w:hAnsi="宋体" w:eastAsia="宋体" w:cs="宋体"/>
                      <w:sz w:val="17"/>
                      <w:szCs w:val="17"/>
                    </w:rPr>
                  </w:pPr>
                  <w:r>
                    <w:rPr>
                      <w:rFonts w:ascii="宋体" w:hAnsi="宋体" w:eastAsia="宋体" w:cs="宋体"/>
                      <w:spacing w:val="8"/>
                      <w:sz w:val="17"/>
                      <w:szCs w:val="17"/>
                    </w:rPr>
                    <w:t>方</w:t>
                  </w:r>
                  <w:r>
                    <w:rPr>
                      <w:rFonts w:ascii="宋体" w:hAnsi="宋体" w:eastAsia="宋体" w:cs="宋体"/>
                      <w:spacing w:val="7"/>
                      <w:sz w:val="17"/>
                      <w:szCs w:val="17"/>
                    </w:rPr>
                    <w:t>公里</w:t>
                  </w:r>
                </w:p>
              </w:tc>
              <w:tc>
                <w:tcPr>
                  <w:tcW w:w="1745" w:type="dxa"/>
                  <w:vAlign w:val="top"/>
                </w:tcPr>
                <w:p>
                  <w:pPr>
                    <w:spacing w:before="207" w:line="294" w:lineRule="auto"/>
                    <w:ind w:left="66" w:right="59"/>
                    <w:rPr>
                      <w:rFonts w:ascii="宋体" w:hAnsi="宋体" w:eastAsia="宋体" w:cs="宋体"/>
                      <w:sz w:val="17"/>
                      <w:szCs w:val="17"/>
                    </w:rPr>
                  </w:pPr>
                  <w:r>
                    <w:rPr>
                      <w:rFonts w:ascii="宋体" w:hAnsi="宋体" w:eastAsia="宋体" w:cs="宋体"/>
                      <w:spacing w:val="11"/>
                      <w:sz w:val="17"/>
                      <w:szCs w:val="17"/>
                    </w:rPr>
                    <w:t>低</w:t>
                  </w:r>
                  <w:r>
                    <w:rPr>
                      <w:rFonts w:ascii="宋体" w:hAnsi="宋体" w:eastAsia="宋体" w:cs="宋体"/>
                      <w:spacing w:val="9"/>
                      <w:sz w:val="17"/>
                      <w:szCs w:val="17"/>
                    </w:rPr>
                    <w:t>山丘陵地貌，并有</w:t>
                  </w:r>
                  <w:r>
                    <w:rPr>
                      <w:rFonts w:ascii="宋体" w:hAnsi="宋体" w:eastAsia="宋体" w:cs="宋体"/>
                      <w:sz w:val="17"/>
                      <w:szCs w:val="17"/>
                    </w:rPr>
                    <w:t xml:space="preserve"> </w:t>
                  </w:r>
                  <w:r>
                    <w:rPr>
                      <w:rFonts w:ascii="宋体" w:hAnsi="宋体" w:eastAsia="宋体" w:cs="宋体"/>
                      <w:spacing w:val="11"/>
                      <w:sz w:val="17"/>
                      <w:szCs w:val="17"/>
                    </w:rPr>
                    <w:t>岩</w:t>
                  </w:r>
                  <w:r>
                    <w:rPr>
                      <w:rFonts w:ascii="宋体" w:hAnsi="宋体" w:eastAsia="宋体" w:cs="宋体"/>
                      <w:spacing w:val="9"/>
                      <w:sz w:val="17"/>
                      <w:szCs w:val="17"/>
                    </w:rPr>
                    <w:t>溶地貌发育：山体</w:t>
                  </w:r>
                  <w:r>
                    <w:rPr>
                      <w:rFonts w:ascii="宋体" w:hAnsi="宋体" w:eastAsia="宋体" w:cs="宋体"/>
                      <w:sz w:val="17"/>
                      <w:szCs w:val="17"/>
                    </w:rPr>
                    <w:t xml:space="preserve"> </w:t>
                  </w:r>
                  <w:r>
                    <w:rPr>
                      <w:rFonts w:ascii="宋体" w:hAnsi="宋体" w:eastAsia="宋体" w:cs="宋体"/>
                      <w:spacing w:val="11"/>
                      <w:sz w:val="17"/>
                      <w:szCs w:val="17"/>
                    </w:rPr>
                    <w:t>南</w:t>
                  </w:r>
                  <w:r>
                    <w:rPr>
                      <w:rFonts w:ascii="宋体" w:hAnsi="宋体" w:eastAsia="宋体" w:cs="宋体"/>
                      <w:spacing w:val="9"/>
                      <w:sz w:val="17"/>
                      <w:szCs w:val="17"/>
                    </w:rPr>
                    <w:t>北走向，呈平行岭</w:t>
                  </w:r>
                  <w:r>
                    <w:rPr>
                      <w:rFonts w:ascii="宋体" w:hAnsi="宋体" w:eastAsia="宋体" w:cs="宋体"/>
                      <w:sz w:val="17"/>
                      <w:szCs w:val="17"/>
                    </w:rPr>
                    <w:t xml:space="preserve"> </w:t>
                  </w:r>
                  <w:r>
                    <w:rPr>
                      <w:rFonts w:ascii="宋体" w:hAnsi="宋体" w:eastAsia="宋体" w:cs="宋体"/>
                      <w:spacing w:val="11"/>
                      <w:sz w:val="17"/>
                      <w:szCs w:val="17"/>
                    </w:rPr>
                    <w:t>谷</w:t>
                  </w:r>
                  <w:r>
                    <w:rPr>
                      <w:rFonts w:ascii="宋体" w:hAnsi="宋体" w:eastAsia="宋体" w:cs="宋体"/>
                      <w:spacing w:val="9"/>
                      <w:sz w:val="17"/>
                      <w:szCs w:val="17"/>
                    </w:rPr>
                    <w:t>特征。全省海拔最</w:t>
                  </w:r>
                  <w:r>
                    <w:rPr>
                      <w:rFonts w:ascii="宋体" w:hAnsi="宋体" w:eastAsia="宋体" w:cs="宋体"/>
                      <w:sz w:val="17"/>
                      <w:szCs w:val="17"/>
                    </w:rPr>
                    <w:t xml:space="preserve"> </w:t>
                  </w:r>
                  <w:r>
                    <w:rPr>
                      <w:rFonts w:ascii="宋体" w:hAnsi="宋体" w:eastAsia="宋体" w:cs="宋体"/>
                      <w:spacing w:val="11"/>
                      <w:sz w:val="17"/>
                      <w:szCs w:val="17"/>
                    </w:rPr>
                    <w:t>低</w:t>
                  </w:r>
                  <w:r>
                    <w:rPr>
                      <w:rFonts w:ascii="宋体" w:hAnsi="宋体" w:eastAsia="宋体" w:cs="宋体"/>
                      <w:spacing w:val="9"/>
                      <w:sz w:val="17"/>
                      <w:szCs w:val="17"/>
                    </w:rPr>
                    <w:t>点就在本区邻水县</w:t>
                  </w:r>
                  <w:r>
                    <w:rPr>
                      <w:rFonts w:ascii="宋体" w:hAnsi="宋体" w:eastAsia="宋体" w:cs="宋体"/>
                      <w:sz w:val="17"/>
                      <w:szCs w:val="17"/>
                    </w:rPr>
                    <w:t xml:space="preserve"> </w:t>
                  </w:r>
                  <w:r>
                    <w:rPr>
                      <w:rFonts w:ascii="宋体" w:hAnsi="宋体" w:eastAsia="宋体" w:cs="宋体"/>
                      <w:spacing w:val="11"/>
                      <w:sz w:val="17"/>
                      <w:szCs w:val="17"/>
                    </w:rPr>
                    <w:t>御</w:t>
                  </w:r>
                  <w:r>
                    <w:rPr>
                      <w:rFonts w:ascii="宋体" w:hAnsi="宋体" w:eastAsia="宋体" w:cs="宋体"/>
                      <w:spacing w:val="9"/>
                      <w:sz w:val="17"/>
                      <w:szCs w:val="17"/>
                    </w:rPr>
                    <w:t>临河出境处，海拔</w:t>
                  </w:r>
                  <w:r>
                    <w:rPr>
                      <w:rFonts w:ascii="宋体" w:hAnsi="宋体" w:eastAsia="宋体" w:cs="宋体"/>
                      <w:sz w:val="17"/>
                      <w:szCs w:val="17"/>
                    </w:rPr>
                    <w:t xml:space="preserve"> </w:t>
                  </w:r>
                  <w:r>
                    <w:rPr>
                      <w:rFonts w:ascii="Times New Roman" w:hAnsi="Times New Roman" w:eastAsia="Times New Roman" w:cs="Times New Roman"/>
                      <w:spacing w:val="11"/>
                      <w:sz w:val="17"/>
                      <w:szCs w:val="17"/>
                    </w:rPr>
                    <w:t>1</w:t>
                  </w:r>
                  <w:r>
                    <w:rPr>
                      <w:rFonts w:ascii="Times New Roman" w:hAnsi="Times New Roman" w:eastAsia="Times New Roman" w:cs="Times New Roman"/>
                      <w:spacing w:val="6"/>
                      <w:sz w:val="17"/>
                      <w:szCs w:val="17"/>
                    </w:rPr>
                    <w:t xml:space="preserve">86.77 </w:t>
                  </w:r>
                  <w:r>
                    <w:rPr>
                      <w:rFonts w:ascii="宋体" w:hAnsi="宋体" w:eastAsia="宋体" w:cs="宋体"/>
                      <w:spacing w:val="6"/>
                      <w:sz w:val="17"/>
                      <w:szCs w:val="17"/>
                    </w:rPr>
                    <w:t>米。年平均气</w:t>
                  </w:r>
                </w:p>
                <w:p>
                  <w:pPr>
                    <w:spacing w:before="35" w:line="304" w:lineRule="auto"/>
                    <w:ind w:left="460" w:right="169" w:hanging="332"/>
                    <w:rPr>
                      <w:rFonts w:ascii="宋体" w:hAnsi="宋体" w:eastAsia="宋体" w:cs="宋体"/>
                      <w:sz w:val="17"/>
                      <w:szCs w:val="17"/>
                    </w:rPr>
                  </w:pPr>
                  <w:r>
                    <w:rPr>
                      <w:rFonts w:ascii="宋体" w:hAnsi="宋体" w:eastAsia="宋体" w:cs="宋体"/>
                      <w:spacing w:val="-6"/>
                      <w:sz w:val="17"/>
                      <w:szCs w:val="17"/>
                    </w:rPr>
                    <w:t xml:space="preserve">温为 </w:t>
                  </w:r>
                  <w:r>
                    <w:rPr>
                      <w:rFonts w:ascii="Times New Roman" w:hAnsi="Times New Roman" w:eastAsia="Times New Roman" w:cs="Times New Roman"/>
                      <w:spacing w:val="-6"/>
                      <w:sz w:val="17"/>
                      <w:szCs w:val="17"/>
                    </w:rPr>
                    <w:t>1</w:t>
                  </w:r>
                  <w:r>
                    <w:rPr>
                      <w:rFonts w:ascii="Times New Roman" w:hAnsi="Times New Roman" w:eastAsia="Times New Roman" w:cs="Times New Roman"/>
                      <w:spacing w:val="-3"/>
                      <w:sz w:val="17"/>
                      <w:szCs w:val="17"/>
                    </w:rPr>
                    <w:t>3.4~ 16.9℃</w:t>
                  </w:r>
                  <w:r>
                    <w:rPr>
                      <w:rFonts w:ascii="宋体" w:hAnsi="宋体" w:eastAsia="宋体" w:cs="宋体"/>
                      <w:spacing w:val="-3"/>
                      <w:sz w:val="17"/>
                      <w:szCs w:val="17"/>
                    </w:rPr>
                    <w:t>，</w:t>
                  </w:r>
                  <w:r>
                    <w:rPr>
                      <w:rFonts w:ascii="宋体" w:hAnsi="宋体" w:eastAsia="宋体" w:cs="宋体"/>
                      <w:sz w:val="17"/>
                      <w:szCs w:val="17"/>
                    </w:rPr>
                    <w:t xml:space="preserve"> </w:t>
                  </w:r>
                  <w:r>
                    <w:rPr>
                      <w:rFonts w:ascii="Times New Roman" w:hAnsi="Times New Roman" w:eastAsia="Times New Roman" w:cs="Times New Roman"/>
                      <w:spacing w:val="-1"/>
                      <w:sz w:val="17"/>
                      <w:szCs w:val="17"/>
                    </w:rPr>
                    <w:t xml:space="preserve">≥ </w:t>
                  </w:r>
                  <w:r>
                    <w:rPr>
                      <w:rFonts w:ascii="Times New Roman" w:hAnsi="Times New Roman" w:eastAsia="Times New Roman" w:cs="Times New Roman"/>
                      <w:sz w:val="17"/>
                      <w:szCs w:val="17"/>
                    </w:rPr>
                    <w:t>10℃</w:t>
                  </w:r>
                  <w:r>
                    <w:rPr>
                      <w:rFonts w:ascii="宋体" w:hAnsi="宋体" w:eastAsia="宋体" w:cs="宋体"/>
                      <w:sz w:val="17"/>
                      <w:szCs w:val="17"/>
                    </w:rPr>
                    <w:t>积温</w:t>
                  </w:r>
                </w:p>
                <w:p>
                  <w:pPr>
                    <w:spacing w:line="242" w:lineRule="exact"/>
                    <w:ind w:left="28"/>
                    <w:rPr>
                      <w:rFonts w:ascii="宋体" w:hAnsi="宋体" w:eastAsia="宋体" w:cs="宋体"/>
                      <w:sz w:val="17"/>
                      <w:szCs w:val="17"/>
                    </w:rPr>
                  </w:pPr>
                  <w:r>
                    <w:rPr>
                      <w:rFonts w:ascii="Times New Roman" w:hAnsi="Times New Roman" w:eastAsia="Times New Roman" w:cs="Times New Roman"/>
                      <w:spacing w:val="8"/>
                      <w:position w:val="2"/>
                      <w:sz w:val="17"/>
                      <w:szCs w:val="17"/>
                    </w:rPr>
                    <w:t>51</w:t>
                  </w:r>
                  <w:r>
                    <w:rPr>
                      <w:rFonts w:ascii="Times New Roman" w:hAnsi="Times New Roman" w:eastAsia="Times New Roman" w:cs="Times New Roman"/>
                      <w:spacing w:val="4"/>
                      <w:position w:val="2"/>
                      <w:sz w:val="17"/>
                      <w:szCs w:val="17"/>
                    </w:rPr>
                    <w:t>00~5400℃</w:t>
                  </w:r>
                  <w:r>
                    <w:rPr>
                      <w:rFonts w:ascii="宋体" w:hAnsi="宋体" w:eastAsia="宋体" w:cs="宋体"/>
                      <w:spacing w:val="4"/>
                      <w:position w:val="2"/>
                      <w:sz w:val="17"/>
                      <w:szCs w:val="17"/>
                    </w:rPr>
                    <w:t>，平均年</w:t>
                  </w:r>
                </w:p>
                <w:p>
                  <w:pPr>
                    <w:spacing w:before="71" w:line="230" w:lineRule="auto"/>
                    <w:ind w:left="100"/>
                    <w:rPr>
                      <w:rFonts w:ascii="Times New Roman" w:hAnsi="Times New Roman" w:eastAsia="Times New Roman" w:cs="Times New Roman"/>
                      <w:sz w:val="17"/>
                      <w:szCs w:val="17"/>
                    </w:rPr>
                  </w:pPr>
                  <w:r>
                    <w:rPr>
                      <w:rFonts w:ascii="宋体" w:hAnsi="宋体" w:eastAsia="宋体" w:cs="宋体"/>
                      <w:spacing w:val="-2"/>
                      <w:sz w:val="17"/>
                      <w:szCs w:val="17"/>
                    </w:rPr>
                    <w:t xml:space="preserve">降水量为 </w:t>
                  </w: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200~ 1538</w:t>
                  </w:r>
                </w:p>
                <w:p>
                  <w:pPr>
                    <w:spacing w:before="68" w:line="230" w:lineRule="auto"/>
                    <w:ind w:left="69"/>
                    <w:rPr>
                      <w:rFonts w:ascii="宋体" w:hAnsi="宋体" w:eastAsia="宋体" w:cs="宋体"/>
                      <w:sz w:val="17"/>
                      <w:szCs w:val="17"/>
                    </w:rPr>
                  </w:pPr>
                  <w:r>
                    <w:rPr>
                      <w:rFonts w:ascii="宋体" w:hAnsi="宋体" w:eastAsia="宋体" w:cs="宋体"/>
                      <w:spacing w:val="9"/>
                      <w:sz w:val="17"/>
                      <w:szCs w:val="17"/>
                    </w:rPr>
                    <w:t>毫米。河流主要属</w:t>
                  </w:r>
                  <w:r>
                    <w:rPr>
                      <w:rFonts w:ascii="宋体" w:hAnsi="宋体" w:eastAsia="宋体" w:cs="宋体"/>
                      <w:spacing w:val="8"/>
                      <w:sz w:val="17"/>
                      <w:szCs w:val="17"/>
                    </w:rPr>
                    <w:t>渠</w:t>
                  </w:r>
                </w:p>
                <w:p>
                  <w:pPr>
                    <w:spacing w:before="67" w:line="229" w:lineRule="auto"/>
                    <w:ind w:left="68"/>
                    <w:rPr>
                      <w:rFonts w:ascii="宋体" w:hAnsi="宋体" w:eastAsia="宋体" w:cs="宋体"/>
                      <w:sz w:val="17"/>
                      <w:szCs w:val="17"/>
                    </w:rPr>
                  </w:pPr>
                  <w:r>
                    <w:rPr>
                      <w:rFonts w:ascii="宋体" w:hAnsi="宋体" w:eastAsia="宋体" w:cs="宋体"/>
                      <w:spacing w:val="10"/>
                      <w:sz w:val="17"/>
                      <w:szCs w:val="17"/>
                    </w:rPr>
                    <w:t>江</w:t>
                  </w:r>
                  <w:r>
                    <w:rPr>
                      <w:rFonts w:ascii="宋体" w:hAnsi="宋体" w:eastAsia="宋体" w:cs="宋体"/>
                      <w:spacing w:val="9"/>
                      <w:sz w:val="17"/>
                      <w:szCs w:val="17"/>
                    </w:rPr>
                    <w:t>水系和长江干流水</w:t>
                  </w:r>
                </w:p>
                <w:p>
                  <w:pPr>
                    <w:spacing w:before="69" w:line="232" w:lineRule="auto"/>
                    <w:ind w:left="71"/>
                    <w:rPr>
                      <w:rFonts w:ascii="宋体" w:hAnsi="宋体" w:eastAsia="宋体" w:cs="宋体"/>
                      <w:sz w:val="17"/>
                      <w:szCs w:val="17"/>
                    </w:rPr>
                  </w:pPr>
                  <w:r>
                    <w:rPr>
                      <w:rFonts w:ascii="宋体" w:hAnsi="宋体" w:eastAsia="宋体" w:cs="宋体"/>
                      <w:spacing w:val="9"/>
                      <w:sz w:val="17"/>
                      <w:szCs w:val="17"/>
                    </w:rPr>
                    <w:t>系。森林植被主要</w:t>
                  </w:r>
                  <w:r>
                    <w:rPr>
                      <w:rFonts w:ascii="宋体" w:hAnsi="宋体" w:eastAsia="宋体" w:cs="宋体"/>
                      <w:spacing w:val="7"/>
                      <w:sz w:val="17"/>
                      <w:szCs w:val="17"/>
                    </w:rPr>
                    <w:t>由</w:t>
                  </w:r>
                </w:p>
                <w:p>
                  <w:pPr>
                    <w:spacing w:before="67" w:line="230" w:lineRule="auto"/>
                    <w:ind w:left="73"/>
                    <w:rPr>
                      <w:rFonts w:ascii="宋体" w:hAnsi="宋体" w:eastAsia="宋体" w:cs="宋体"/>
                      <w:sz w:val="17"/>
                      <w:szCs w:val="17"/>
                    </w:rPr>
                  </w:pPr>
                  <w:r>
                    <w:rPr>
                      <w:rFonts w:ascii="宋体" w:hAnsi="宋体" w:eastAsia="宋体" w:cs="宋体"/>
                      <w:spacing w:val="13"/>
                      <w:sz w:val="17"/>
                      <w:szCs w:val="17"/>
                    </w:rPr>
                    <w:t>马</w:t>
                  </w:r>
                  <w:r>
                    <w:rPr>
                      <w:rFonts w:ascii="宋体" w:hAnsi="宋体" w:eastAsia="宋体" w:cs="宋体"/>
                      <w:spacing w:val="8"/>
                      <w:sz w:val="17"/>
                      <w:szCs w:val="17"/>
                    </w:rPr>
                    <w:t>尾松林、柏木林和</w:t>
                  </w:r>
                </w:p>
                <w:p>
                  <w:pPr>
                    <w:spacing w:before="67" w:line="230" w:lineRule="auto"/>
                    <w:ind w:left="67"/>
                    <w:rPr>
                      <w:rFonts w:ascii="宋体" w:hAnsi="宋体" w:eastAsia="宋体" w:cs="宋体"/>
                      <w:sz w:val="17"/>
                      <w:szCs w:val="17"/>
                    </w:rPr>
                  </w:pPr>
                  <w:r>
                    <w:rPr>
                      <w:rFonts w:ascii="宋体" w:hAnsi="宋体" w:eastAsia="宋体" w:cs="宋体"/>
                      <w:spacing w:val="10"/>
                      <w:sz w:val="17"/>
                      <w:szCs w:val="17"/>
                    </w:rPr>
                    <w:t>竹</w:t>
                  </w:r>
                  <w:r>
                    <w:rPr>
                      <w:rFonts w:ascii="宋体" w:hAnsi="宋体" w:eastAsia="宋体" w:cs="宋体"/>
                      <w:spacing w:val="9"/>
                      <w:sz w:val="17"/>
                      <w:szCs w:val="17"/>
                    </w:rPr>
                    <w:t>林组成。生物多样</w:t>
                  </w:r>
                </w:p>
                <w:p>
                  <w:pPr>
                    <w:spacing w:before="69" w:line="230" w:lineRule="auto"/>
                    <w:ind w:left="69"/>
                    <w:rPr>
                      <w:rFonts w:ascii="宋体" w:hAnsi="宋体" w:eastAsia="宋体" w:cs="宋体"/>
                      <w:sz w:val="17"/>
                      <w:szCs w:val="17"/>
                    </w:rPr>
                  </w:pPr>
                  <w:r>
                    <w:rPr>
                      <w:rFonts w:ascii="宋体" w:hAnsi="宋体" w:eastAsia="宋体" w:cs="宋体"/>
                      <w:spacing w:val="9"/>
                      <w:sz w:val="17"/>
                      <w:szCs w:val="17"/>
                    </w:rPr>
                    <w:t>性及矿产资源较丰</w:t>
                  </w:r>
                  <w:r>
                    <w:rPr>
                      <w:rFonts w:ascii="宋体" w:hAnsi="宋体" w:eastAsia="宋体" w:cs="宋体"/>
                      <w:spacing w:val="8"/>
                      <w:sz w:val="17"/>
                      <w:szCs w:val="17"/>
                    </w:rPr>
                    <w:t>富</w:t>
                  </w:r>
                </w:p>
              </w:tc>
              <w:tc>
                <w:tcPr>
                  <w:tcW w:w="604" w:type="dxa"/>
                  <w:vAlign w:val="top"/>
                </w:tcPr>
                <w:p>
                  <w:pPr>
                    <w:spacing w:line="295" w:lineRule="auto"/>
                    <w:rPr>
                      <w:rFonts w:ascii="Arial"/>
                      <w:sz w:val="21"/>
                    </w:rPr>
                  </w:pPr>
                </w:p>
                <w:p>
                  <w:pPr>
                    <w:spacing w:before="55" w:line="304" w:lineRule="auto"/>
                    <w:ind w:left="36" w:right="30" w:firstLine="99"/>
                    <w:rPr>
                      <w:rFonts w:ascii="宋体" w:hAnsi="宋体" w:eastAsia="宋体" w:cs="宋体"/>
                      <w:sz w:val="17"/>
                      <w:szCs w:val="17"/>
                    </w:rPr>
                  </w:pPr>
                  <w:r>
                    <w:rPr>
                      <w:rFonts w:ascii="宋体" w:hAnsi="宋体" w:eastAsia="宋体" w:cs="宋体"/>
                      <w:spacing w:val="2"/>
                      <w:sz w:val="17"/>
                      <w:szCs w:val="17"/>
                    </w:rPr>
                    <w:t>多洪</w:t>
                  </w:r>
                  <w:r>
                    <w:rPr>
                      <w:rFonts w:ascii="宋体" w:hAnsi="宋体" w:eastAsia="宋体" w:cs="宋体"/>
                      <w:sz w:val="17"/>
                      <w:szCs w:val="17"/>
                    </w:rPr>
                    <w:t xml:space="preserve"> </w:t>
                  </w:r>
                  <w:r>
                    <w:rPr>
                      <w:rFonts w:ascii="宋体" w:hAnsi="宋体" w:eastAsia="宋体" w:cs="宋体"/>
                      <w:spacing w:val="8"/>
                      <w:sz w:val="17"/>
                      <w:szCs w:val="17"/>
                    </w:rPr>
                    <w:t>灾</w:t>
                  </w:r>
                  <w:r>
                    <w:rPr>
                      <w:rFonts w:ascii="宋体" w:hAnsi="宋体" w:eastAsia="宋体" w:cs="宋体"/>
                      <w:spacing w:val="7"/>
                      <w:sz w:val="17"/>
                      <w:szCs w:val="17"/>
                    </w:rPr>
                    <w:t>，滑</w:t>
                  </w:r>
                  <w:r>
                    <w:rPr>
                      <w:rFonts w:ascii="宋体" w:hAnsi="宋体" w:eastAsia="宋体" w:cs="宋体"/>
                      <w:sz w:val="17"/>
                      <w:szCs w:val="17"/>
                    </w:rPr>
                    <w:t xml:space="preserve"> </w:t>
                  </w:r>
                  <w:r>
                    <w:rPr>
                      <w:rFonts w:ascii="宋体" w:hAnsi="宋体" w:eastAsia="宋体" w:cs="宋体"/>
                      <w:spacing w:val="8"/>
                      <w:sz w:val="17"/>
                      <w:szCs w:val="17"/>
                    </w:rPr>
                    <w:t>坡</w:t>
                  </w:r>
                  <w:r>
                    <w:rPr>
                      <w:rFonts w:ascii="宋体" w:hAnsi="宋体" w:eastAsia="宋体" w:cs="宋体"/>
                      <w:spacing w:val="7"/>
                      <w:sz w:val="17"/>
                      <w:szCs w:val="17"/>
                    </w:rPr>
                    <w:t>塌陷</w:t>
                  </w:r>
                  <w:r>
                    <w:rPr>
                      <w:rFonts w:ascii="宋体" w:hAnsi="宋体" w:eastAsia="宋体" w:cs="宋体"/>
                      <w:sz w:val="17"/>
                      <w:szCs w:val="17"/>
                    </w:rPr>
                    <w:t xml:space="preserve"> </w:t>
                  </w:r>
                  <w:r>
                    <w:rPr>
                      <w:rFonts w:ascii="宋体" w:hAnsi="宋体" w:eastAsia="宋体" w:cs="宋体"/>
                      <w:spacing w:val="8"/>
                      <w:sz w:val="17"/>
                      <w:szCs w:val="17"/>
                    </w:rPr>
                    <w:t>较</w:t>
                  </w:r>
                  <w:r>
                    <w:rPr>
                      <w:rFonts w:ascii="宋体" w:hAnsi="宋体" w:eastAsia="宋体" w:cs="宋体"/>
                      <w:spacing w:val="7"/>
                      <w:sz w:val="17"/>
                      <w:szCs w:val="17"/>
                    </w:rPr>
                    <w:t>强发</w:t>
                  </w:r>
                  <w:r>
                    <w:rPr>
                      <w:rFonts w:ascii="宋体" w:hAnsi="宋体" w:eastAsia="宋体" w:cs="宋体"/>
                      <w:sz w:val="17"/>
                      <w:szCs w:val="17"/>
                    </w:rPr>
                    <w:t xml:space="preserve"> </w:t>
                  </w:r>
                  <w:r>
                    <w:rPr>
                      <w:rFonts w:ascii="宋体" w:hAnsi="宋体" w:eastAsia="宋体" w:cs="宋体"/>
                      <w:spacing w:val="8"/>
                      <w:sz w:val="17"/>
                      <w:szCs w:val="17"/>
                    </w:rPr>
                    <w:t>育</w:t>
                  </w:r>
                  <w:r>
                    <w:rPr>
                      <w:rFonts w:ascii="宋体" w:hAnsi="宋体" w:eastAsia="宋体" w:cs="宋体"/>
                      <w:spacing w:val="7"/>
                      <w:sz w:val="17"/>
                      <w:szCs w:val="17"/>
                    </w:rPr>
                    <w:t>，水</w:t>
                  </w:r>
                  <w:r>
                    <w:rPr>
                      <w:rFonts w:ascii="宋体" w:hAnsi="宋体" w:eastAsia="宋体" w:cs="宋体"/>
                      <w:sz w:val="17"/>
                      <w:szCs w:val="17"/>
                    </w:rPr>
                    <w:t xml:space="preserve"> </w:t>
                  </w:r>
                  <w:r>
                    <w:rPr>
                      <w:rFonts w:ascii="宋体" w:hAnsi="宋体" w:eastAsia="宋体" w:cs="宋体"/>
                      <w:spacing w:val="8"/>
                      <w:sz w:val="17"/>
                      <w:szCs w:val="17"/>
                    </w:rPr>
                    <w:t>土</w:t>
                  </w:r>
                  <w:r>
                    <w:rPr>
                      <w:rFonts w:ascii="宋体" w:hAnsi="宋体" w:eastAsia="宋体" w:cs="宋体"/>
                      <w:spacing w:val="7"/>
                      <w:sz w:val="17"/>
                      <w:szCs w:val="17"/>
                    </w:rPr>
                    <w:t>流失</w:t>
                  </w:r>
                </w:p>
                <w:p>
                  <w:pPr>
                    <w:spacing w:line="304" w:lineRule="auto"/>
                    <w:ind w:left="35" w:right="30" w:firstLine="91"/>
                    <w:rPr>
                      <w:rFonts w:ascii="宋体" w:hAnsi="宋体" w:eastAsia="宋体" w:cs="宋体"/>
                      <w:sz w:val="17"/>
                      <w:szCs w:val="17"/>
                    </w:rPr>
                  </w:pPr>
                  <w:r>
                    <w:rPr>
                      <w:rFonts w:ascii="宋体" w:hAnsi="宋体" w:eastAsia="宋体" w:cs="宋体"/>
                      <w:spacing w:val="6"/>
                      <w:sz w:val="17"/>
                      <w:szCs w:val="17"/>
                    </w:rPr>
                    <w:t>较严</w:t>
                  </w:r>
                  <w:r>
                    <w:rPr>
                      <w:rFonts w:ascii="宋体" w:hAnsi="宋体" w:eastAsia="宋体" w:cs="宋体"/>
                      <w:sz w:val="17"/>
                      <w:szCs w:val="17"/>
                    </w:rPr>
                    <w:t xml:space="preserve"> </w:t>
                  </w:r>
                  <w:r>
                    <w:rPr>
                      <w:rFonts w:ascii="宋体" w:hAnsi="宋体" w:eastAsia="宋体" w:cs="宋体"/>
                      <w:spacing w:val="8"/>
                      <w:sz w:val="17"/>
                      <w:szCs w:val="17"/>
                    </w:rPr>
                    <w:t>重，</w:t>
                  </w:r>
                  <w:r>
                    <w:rPr>
                      <w:rFonts w:ascii="宋体" w:hAnsi="宋体" w:eastAsia="宋体" w:cs="宋体"/>
                      <w:spacing w:val="7"/>
                      <w:sz w:val="17"/>
                      <w:szCs w:val="17"/>
                    </w:rPr>
                    <w:t>局</w:t>
                  </w:r>
                  <w:r>
                    <w:rPr>
                      <w:rFonts w:ascii="宋体" w:hAnsi="宋体" w:eastAsia="宋体" w:cs="宋体"/>
                      <w:sz w:val="17"/>
                      <w:szCs w:val="17"/>
                    </w:rPr>
                    <w:t xml:space="preserve"> </w:t>
                  </w:r>
                  <w:r>
                    <w:rPr>
                      <w:rFonts w:ascii="宋体" w:hAnsi="宋体" w:eastAsia="宋体" w:cs="宋体"/>
                      <w:spacing w:val="8"/>
                      <w:sz w:val="17"/>
                      <w:szCs w:val="17"/>
                    </w:rPr>
                    <w:t>部地</w:t>
                  </w:r>
                  <w:r>
                    <w:rPr>
                      <w:rFonts w:ascii="宋体" w:hAnsi="宋体" w:eastAsia="宋体" w:cs="宋体"/>
                      <w:spacing w:val="7"/>
                      <w:sz w:val="17"/>
                      <w:szCs w:val="17"/>
                    </w:rPr>
                    <w:t>区</w:t>
                  </w:r>
                  <w:r>
                    <w:rPr>
                      <w:rFonts w:ascii="宋体" w:hAnsi="宋体" w:eastAsia="宋体" w:cs="宋体"/>
                      <w:sz w:val="17"/>
                      <w:szCs w:val="17"/>
                    </w:rPr>
                    <w:t xml:space="preserve"> </w:t>
                  </w:r>
                  <w:r>
                    <w:rPr>
                      <w:rFonts w:ascii="宋体" w:hAnsi="宋体" w:eastAsia="宋体" w:cs="宋体"/>
                      <w:spacing w:val="8"/>
                      <w:sz w:val="17"/>
                      <w:szCs w:val="17"/>
                    </w:rPr>
                    <w:t>出现</w:t>
                  </w:r>
                  <w:r>
                    <w:rPr>
                      <w:rFonts w:ascii="宋体" w:hAnsi="宋体" w:eastAsia="宋体" w:cs="宋体"/>
                      <w:spacing w:val="7"/>
                      <w:sz w:val="17"/>
                      <w:szCs w:val="17"/>
                    </w:rPr>
                    <w:t>石</w:t>
                  </w:r>
                  <w:r>
                    <w:rPr>
                      <w:rFonts w:ascii="宋体" w:hAnsi="宋体" w:eastAsia="宋体" w:cs="宋体"/>
                      <w:sz w:val="17"/>
                      <w:szCs w:val="17"/>
                    </w:rPr>
                    <w:t xml:space="preserve"> </w:t>
                  </w:r>
                  <w:r>
                    <w:rPr>
                      <w:rFonts w:ascii="宋体" w:hAnsi="宋体" w:eastAsia="宋体" w:cs="宋体"/>
                      <w:spacing w:val="8"/>
                      <w:sz w:val="17"/>
                      <w:szCs w:val="17"/>
                    </w:rPr>
                    <w:t>漠化</w:t>
                  </w:r>
                  <w:r>
                    <w:rPr>
                      <w:rFonts w:ascii="宋体" w:hAnsi="宋体" w:eastAsia="宋体" w:cs="宋体"/>
                      <w:spacing w:val="7"/>
                      <w:sz w:val="17"/>
                      <w:szCs w:val="17"/>
                    </w:rPr>
                    <w:t>，</w:t>
                  </w:r>
                  <w:r>
                    <w:rPr>
                      <w:rFonts w:ascii="宋体" w:hAnsi="宋体" w:eastAsia="宋体" w:cs="宋体"/>
                      <w:sz w:val="17"/>
                      <w:szCs w:val="17"/>
                    </w:rPr>
                    <w:t xml:space="preserve"> </w:t>
                  </w:r>
                  <w:r>
                    <w:rPr>
                      <w:rFonts w:ascii="宋体" w:hAnsi="宋体" w:eastAsia="宋体" w:cs="宋体"/>
                      <w:spacing w:val="8"/>
                      <w:sz w:val="17"/>
                      <w:szCs w:val="17"/>
                    </w:rPr>
                    <w:t>城镇</w:t>
                  </w:r>
                  <w:r>
                    <w:rPr>
                      <w:rFonts w:ascii="宋体" w:hAnsi="宋体" w:eastAsia="宋体" w:cs="宋体"/>
                      <w:spacing w:val="7"/>
                      <w:sz w:val="17"/>
                      <w:szCs w:val="17"/>
                    </w:rPr>
                    <w:t>及</w:t>
                  </w:r>
                  <w:r>
                    <w:rPr>
                      <w:rFonts w:ascii="宋体" w:hAnsi="宋体" w:eastAsia="宋体" w:cs="宋体"/>
                      <w:sz w:val="17"/>
                      <w:szCs w:val="17"/>
                    </w:rPr>
                    <w:t xml:space="preserve"> </w:t>
                  </w:r>
                  <w:r>
                    <w:rPr>
                      <w:rFonts w:ascii="宋体" w:hAnsi="宋体" w:eastAsia="宋体" w:cs="宋体"/>
                      <w:spacing w:val="8"/>
                      <w:sz w:val="17"/>
                      <w:szCs w:val="17"/>
                    </w:rPr>
                    <w:t>农村</w:t>
                  </w:r>
                  <w:r>
                    <w:rPr>
                      <w:rFonts w:ascii="宋体" w:hAnsi="宋体" w:eastAsia="宋体" w:cs="宋体"/>
                      <w:spacing w:val="7"/>
                      <w:sz w:val="17"/>
                      <w:szCs w:val="17"/>
                    </w:rPr>
                    <w:t>面</w:t>
                  </w:r>
                  <w:r>
                    <w:rPr>
                      <w:rFonts w:ascii="宋体" w:hAnsi="宋体" w:eastAsia="宋体" w:cs="宋体"/>
                      <w:sz w:val="17"/>
                      <w:szCs w:val="17"/>
                    </w:rPr>
                    <w:t xml:space="preserve"> </w:t>
                  </w:r>
                  <w:r>
                    <w:rPr>
                      <w:rFonts w:ascii="宋体" w:hAnsi="宋体" w:eastAsia="宋体" w:cs="宋体"/>
                      <w:spacing w:val="8"/>
                      <w:sz w:val="17"/>
                      <w:szCs w:val="17"/>
                    </w:rPr>
                    <w:t>源污</w:t>
                  </w:r>
                  <w:r>
                    <w:rPr>
                      <w:rFonts w:ascii="宋体" w:hAnsi="宋体" w:eastAsia="宋体" w:cs="宋体"/>
                      <w:spacing w:val="7"/>
                      <w:sz w:val="17"/>
                      <w:szCs w:val="17"/>
                    </w:rPr>
                    <w:t>染</w:t>
                  </w:r>
                  <w:r>
                    <w:rPr>
                      <w:rFonts w:ascii="宋体" w:hAnsi="宋体" w:eastAsia="宋体" w:cs="宋体"/>
                      <w:sz w:val="17"/>
                      <w:szCs w:val="17"/>
                    </w:rPr>
                    <w:t xml:space="preserve"> </w:t>
                  </w:r>
                  <w:r>
                    <w:rPr>
                      <w:rFonts w:ascii="宋体" w:hAnsi="宋体" w:eastAsia="宋体" w:cs="宋体"/>
                      <w:spacing w:val="8"/>
                      <w:sz w:val="17"/>
                      <w:szCs w:val="17"/>
                    </w:rPr>
                    <w:t>呈加</w:t>
                  </w:r>
                  <w:r>
                    <w:rPr>
                      <w:rFonts w:ascii="宋体" w:hAnsi="宋体" w:eastAsia="宋体" w:cs="宋体"/>
                      <w:spacing w:val="7"/>
                      <w:sz w:val="17"/>
                      <w:szCs w:val="17"/>
                    </w:rPr>
                    <w:t>重</w:t>
                  </w:r>
                </w:p>
                <w:p>
                  <w:pPr>
                    <w:spacing w:line="230" w:lineRule="auto"/>
                    <w:ind w:left="126"/>
                    <w:rPr>
                      <w:rFonts w:ascii="宋体" w:hAnsi="宋体" w:eastAsia="宋体" w:cs="宋体"/>
                      <w:sz w:val="17"/>
                      <w:szCs w:val="17"/>
                    </w:rPr>
                  </w:pPr>
                  <w:r>
                    <w:rPr>
                      <w:rFonts w:ascii="宋体" w:hAnsi="宋体" w:eastAsia="宋体" w:cs="宋体"/>
                      <w:spacing w:val="7"/>
                      <w:sz w:val="17"/>
                      <w:szCs w:val="17"/>
                    </w:rPr>
                    <w:t>趋</w:t>
                  </w:r>
                  <w:r>
                    <w:rPr>
                      <w:rFonts w:ascii="宋体" w:hAnsi="宋体" w:eastAsia="宋体" w:cs="宋体"/>
                      <w:spacing w:val="6"/>
                      <w:sz w:val="17"/>
                      <w:szCs w:val="17"/>
                    </w:rPr>
                    <w:t>势</w:t>
                  </w:r>
                </w:p>
              </w:tc>
              <w:tc>
                <w:tcPr>
                  <w:tcW w:w="783"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55" w:line="232" w:lineRule="auto"/>
                    <w:ind w:left="37"/>
                    <w:rPr>
                      <w:rFonts w:ascii="宋体" w:hAnsi="宋体" w:eastAsia="宋体" w:cs="宋体"/>
                      <w:sz w:val="17"/>
                      <w:szCs w:val="17"/>
                    </w:rPr>
                  </w:pPr>
                  <w:r>
                    <w:rPr>
                      <w:rFonts w:ascii="宋体" w:hAnsi="宋体" w:eastAsia="宋体" w:cs="宋体"/>
                      <w:spacing w:val="8"/>
                      <w:sz w:val="17"/>
                      <w:szCs w:val="17"/>
                    </w:rPr>
                    <w:t>土壤侵蚀</w:t>
                  </w:r>
                </w:p>
                <w:p>
                  <w:pPr>
                    <w:spacing w:before="67" w:line="230" w:lineRule="auto"/>
                    <w:ind w:left="130"/>
                    <w:rPr>
                      <w:rFonts w:ascii="宋体" w:hAnsi="宋体" w:eastAsia="宋体" w:cs="宋体"/>
                      <w:sz w:val="17"/>
                      <w:szCs w:val="17"/>
                    </w:rPr>
                  </w:pPr>
                  <w:r>
                    <w:rPr>
                      <w:rFonts w:ascii="宋体" w:hAnsi="宋体" w:eastAsia="宋体" w:cs="宋体"/>
                      <w:spacing w:val="6"/>
                      <w:sz w:val="17"/>
                      <w:szCs w:val="17"/>
                    </w:rPr>
                    <w:t>高度敏</w:t>
                  </w:r>
                </w:p>
                <w:p>
                  <w:pPr>
                    <w:spacing w:before="66" w:line="235" w:lineRule="auto"/>
                    <w:ind w:left="37"/>
                    <w:rPr>
                      <w:rFonts w:ascii="宋体" w:hAnsi="宋体" w:eastAsia="宋体" w:cs="宋体"/>
                      <w:sz w:val="17"/>
                      <w:szCs w:val="17"/>
                    </w:rPr>
                  </w:pPr>
                  <w:r>
                    <w:rPr>
                      <w:rFonts w:ascii="宋体" w:hAnsi="宋体" w:eastAsia="宋体" w:cs="宋体"/>
                      <w:spacing w:val="8"/>
                      <w:sz w:val="17"/>
                      <w:szCs w:val="17"/>
                    </w:rPr>
                    <w:t>感，野生</w:t>
                  </w:r>
                </w:p>
                <w:p>
                  <w:pPr>
                    <w:spacing w:before="64" w:line="231" w:lineRule="auto"/>
                    <w:ind w:left="37"/>
                    <w:rPr>
                      <w:rFonts w:ascii="宋体" w:hAnsi="宋体" w:eastAsia="宋体" w:cs="宋体"/>
                      <w:sz w:val="17"/>
                      <w:szCs w:val="17"/>
                    </w:rPr>
                  </w:pPr>
                  <w:r>
                    <w:rPr>
                      <w:rFonts w:ascii="宋体" w:hAnsi="宋体" w:eastAsia="宋体" w:cs="宋体"/>
                      <w:spacing w:val="8"/>
                      <w:sz w:val="17"/>
                      <w:szCs w:val="17"/>
                    </w:rPr>
                    <w:t>动物生境</w:t>
                  </w:r>
                </w:p>
                <w:p>
                  <w:pPr>
                    <w:spacing w:before="68" w:line="230" w:lineRule="auto"/>
                    <w:ind w:left="130"/>
                    <w:rPr>
                      <w:rFonts w:ascii="宋体" w:hAnsi="宋体" w:eastAsia="宋体" w:cs="宋体"/>
                      <w:sz w:val="17"/>
                      <w:szCs w:val="17"/>
                    </w:rPr>
                  </w:pPr>
                  <w:r>
                    <w:rPr>
                      <w:rFonts w:ascii="宋体" w:hAnsi="宋体" w:eastAsia="宋体" w:cs="宋体"/>
                      <w:spacing w:val="6"/>
                      <w:sz w:val="17"/>
                      <w:szCs w:val="17"/>
                    </w:rPr>
                    <w:t>高度敏</w:t>
                  </w:r>
                </w:p>
                <w:p>
                  <w:pPr>
                    <w:spacing w:before="66" w:line="235" w:lineRule="auto"/>
                    <w:ind w:left="37"/>
                    <w:rPr>
                      <w:rFonts w:ascii="宋体" w:hAnsi="宋体" w:eastAsia="宋体" w:cs="宋体"/>
                      <w:sz w:val="17"/>
                      <w:szCs w:val="17"/>
                    </w:rPr>
                  </w:pPr>
                  <w:r>
                    <w:rPr>
                      <w:rFonts w:ascii="宋体" w:hAnsi="宋体" w:eastAsia="宋体" w:cs="宋体"/>
                      <w:spacing w:val="8"/>
                      <w:sz w:val="17"/>
                      <w:szCs w:val="17"/>
                    </w:rPr>
                    <w:t>感，水环</w:t>
                  </w:r>
                </w:p>
                <w:p>
                  <w:pPr>
                    <w:spacing w:before="64" w:line="231" w:lineRule="auto"/>
                    <w:ind w:left="37"/>
                    <w:rPr>
                      <w:rFonts w:ascii="宋体" w:hAnsi="宋体" w:eastAsia="宋体" w:cs="宋体"/>
                      <w:sz w:val="17"/>
                      <w:szCs w:val="17"/>
                    </w:rPr>
                  </w:pPr>
                  <w:r>
                    <w:rPr>
                      <w:rFonts w:ascii="宋体" w:hAnsi="宋体" w:eastAsia="宋体" w:cs="宋体"/>
                      <w:spacing w:val="8"/>
                      <w:sz w:val="17"/>
                      <w:szCs w:val="17"/>
                    </w:rPr>
                    <w:t>境污染中</w:t>
                  </w:r>
                </w:p>
                <w:p>
                  <w:pPr>
                    <w:spacing w:before="69" w:line="230" w:lineRule="auto"/>
                    <w:ind w:left="36"/>
                    <w:rPr>
                      <w:rFonts w:ascii="宋体" w:hAnsi="宋体" w:eastAsia="宋体" w:cs="宋体"/>
                      <w:sz w:val="17"/>
                      <w:szCs w:val="17"/>
                    </w:rPr>
                  </w:pPr>
                  <w:r>
                    <w:rPr>
                      <w:rFonts w:ascii="宋体" w:hAnsi="宋体" w:eastAsia="宋体" w:cs="宋体"/>
                      <w:spacing w:val="6"/>
                      <w:sz w:val="17"/>
                      <w:szCs w:val="17"/>
                    </w:rPr>
                    <w:t>度敏感</w:t>
                  </w:r>
                  <w:r>
                    <w:rPr>
                      <w:rFonts w:ascii="宋体" w:hAnsi="宋体" w:eastAsia="宋体" w:cs="宋体"/>
                      <w:spacing w:val="5"/>
                      <w:sz w:val="17"/>
                      <w:szCs w:val="17"/>
                    </w:rPr>
                    <w:t>，</w:t>
                  </w:r>
                </w:p>
                <w:p>
                  <w:pPr>
                    <w:spacing w:before="66" w:line="230" w:lineRule="auto"/>
                    <w:ind w:left="37"/>
                    <w:rPr>
                      <w:rFonts w:ascii="宋体" w:hAnsi="宋体" w:eastAsia="宋体" w:cs="宋体"/>
                      <w:sz w:val="17"/>
                      <w:szCs w:val="17"/>
                    </w:rPr>
                  </w:pPr>
                  <w:r>
                    <w:rPr>
                      <w:rFonts w:ascii="宋体" w:hAnsi="宋体" w:eastAsia="宋体" w:cs="宋体"/>
                      <w:spacing w:val="8"/>
                      <w:sz w:val="17"/>
                      <w:szCs w:val="17"/>
                    </w:rPr>
                    <w:t>酸雨轻度</w:t>
                  </w:r>
                </w:p>
                <w:p>
                  <w:pPr>
                    <w:spacing w:before="69" w:line="230" w:lineRule="auto"/>
                    <w:ind w:left="37"/>
                    <w:rPr>
                      <w:rFonts w:ascii="宋体" w:hAnsi="宋体" w:eastAsia="宋体" w:cs="宋体"/>
                      <w:sz w:val="17"/>
                      <w:szCs w:val="17"/>
                    </w:rPr>
                  </w:pPr>
                  <w:r>
                    <w:rPr>
                      <w:rFonts w:ascii="宋体" w:hAnsi="宋体" w:eastAsia="宋体" w:cs="宋体"/>
                      <w:spacing w:val="8"/>
                      <w:sz w:val="17"/>
                      <w:szCs w:val="17"/>
                    </w:rPr>
                    <w:t>敏感，石</w:t>
                  </w:r>
                </w:p>
                <w:p>
                  <w:pPr>
                    <w:spacing w:before="69" w:line="231" w:lineRule="auto"/>
                    <w:ind w:left="36"/>
                    <w:rPr>
                      <w:rFonts w:ascii="宋体" w:hAnsi="宋体" w:eastAsia="宋体" w:cs="宋体"/>
                      <w:sz w:val="17"/>
                      <w:szCs w:val="17"/>
                    </w:rPr>
                  </w:pPr>
                  <w:r>
                    <w:rPr>
                      <w:rFonts w:ascii="宋体" w:hAnsi="宋体" w:eastAsia="宋体" w:cs="宋体"/>
                      <w:spacing w:val="8"/>
                      <w:sz w:val="17"/>
                      <w:szCs w:val="17"/>
                    </w:rPr>
                    <w:t>漠化中度</w:t>
                  </w:r>
                </w:p>
                <w:p>
                  <w:pPr>
                    <w:spacing w:before="66" w:line="230" w:lineRule="auto"/>
                    <w:ind w:left="217"/>
                    <w:rPr>
                      <w:rFonts w:ascii="宋体" w:hAnsi="宋体" w:eastAsia="宋体" w:cs="宋体"/>
                      <w:sz w:val="17"/>
                      <w:szCs w:val="17"/>
                    </w:rPr>
                  </w:pPr>
                  <w:r>
                    <w:rPr>
                      <w:rFonts w:ascii="宋体" w:hAnsi="宋体" w:eastAsia="宋体" w:cs="宋体"/>
                      <w:spacing w:val="6"/>
                      <w:sz w:val="17"/>
                      <w:szCs w:val="17"/>
                    </w:rPr>
                    <w:t>敏感</w:t>
                  </w:r>
                </w:p>
              </w:tc>
              <w:tc>
                <w:tcPr>
                  <w:tcW w:w="787"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55" w:line="230" w:lineRule="auto"/>
                    <w:ind w:left="38"/>
                    <w:rPr>
                      <w:rFonts w:ascii="宋体" w:hAnsi="宋体" w:eastAsia="宋体" w:cs="宋体"/>
                      <w:sz w:val="17"/>
                      <w:szCs w:val="17"/>
                    </w:rPr>
                  </w:pPr>
                  <w:r>
                    <w:rPr>
                      <w:rFonts w:ascii="宋体" w:hAnsi="宋体" w:eastAsia="宋体" w:cs="宋体"/>
                      <w:spacing w:val="8"/>
                      <w:sz w:val="17"/>
                      <w:szCs w:val="17"/>
                    </w:rPr>
                    <w:t>农林产品</w:t>
                  </w:r>
                </w:p>
                <w:p>
                  <w:pPr>
                    <w:spacing w:before="66" w:line="229" w:lineRule="auto"/>
                    <w:ind w:left="130"/>
                    <w:rPr>
                      <w:rFonts w:ascii="宋体" w:hAnsi="宋体" w:eastAsia="宋体" w:cs="宋体"/>
                      <w:sz w:val="17"/>
                      <w:szCs w:val="17"/>
                    </w:rPr>
                  </w:pPr>
                  <w:r>
                    <w:rPr>
                      <w:rFonts w:ascii="宋体" w:hAnsi="宋体" w:eastAsia="宋体" w:cs="宋体"/>
                      <w:spacing w:val="8"/>
                      <w:sz w:val="17"/>
                      <w:szCs w:val="17"/>
                    </w:rPr>
                    <w:t>提</w:t>
                  </w:r>
                  <w:r>
                    <w:rPr>
                      <w:rFonts w:ascii="宋体" w:hAnsi="宋体" w:eastAsia="宋体" w:cs="宋体"/>
                      <w:spacing w:val="7"/>
                      <w:sz w:val="17"/>
                      <w:szCs w:val="17"/>
                    </w:rPr>
                    <w:t>供功</w:t>
                  </w:r>
                </w:p>
                <w:p>
                  <w:pPr>
                    <w:spacing w:before="69" w:line="232" w:lineRule="auto"/>
                    <w:ind w:left="45"/>
                    <w:rPr>
                      <w:rFonts w:ascii="宋体" w:hAnsi="宋体" w:eastAsia="宋体" w:cs="宋体"/>
                      <w:sz w:val="17"/>
                      <w:szCs w:val="17"/>
                    </w:rPr>
                  </w:pPr>
                  <w:r>
                    <w:rPr>
                      <w:rFonts w:ascii="宋体" w:hAnsi="宋体" w:eastAsia="宋体" w:cs="宋体"/>
                      <w:spacing w:val="7"/>
                      <w:sz w:val="17"/>
                      <w:szCs w:val="17"/>
                    </w:rPr>
                    <w:t>能</w:t>
                  </w:r>
                  <w:r>
                    <w:rPr>
                      <w:rFonts w:ascii="宋体" w:hAnsi="宋体" w:eastAsia="宋体" w:cs="宋体"/>
                      <w:spacing w:val="6"/>
                      <w:sz w:val="17"/>
                      <w:szCs w:val="17"/>
                    </w:rPr>
                    <w:t>，土壤</w:t>
                  </w:r>
                </w:p>
                <w:p>
                  <w:pPr>
                    <w:spacing w:before="67" w:line="230" w:lineRule="auto"/>
                    <w:ind w:left="130"/>
                    <w:rPr>
                      <w:rFonts w:ascii="宋体" w:hAnsi="宋体" w:eastAsia="宋体" w:cs="宋体"/>
                      <w:sz w:val="17"/>
                      <w:szCs w:val="17"/>
                    </w:rPr>
                  </w:pPr>
                  <w:r>
                    <w:rPr>
                      <w:rFonts w:ascii="宋体" w:hAnsi="宋体" w:eastAsia="宋体" w:cs="宋体"/>
                      <w:spacing w:val="8"/>
                      <w:sz w:val="17"/>
                      <w:szCs w:val="17"/>
                    </w:rPr>
                    <w:t>保</w:t>
                  </w:r>
                  <w:r>
                    <w:rPr>
                      <w:rFonts w:ascii="宋体" w:hAnsi="宋体" w:eastAsia="宋体" w:cs="宋体"/>
                      <w:spacing w:val="7"/>
                      <w:sz w:val="17"/>
                      <w:szCs w:val="17"/>
                    </w:rPr>
                    <w:t>持功</w:t>
                  </w:r>
                </w:p>
                <w:p>
                  <w:pPr>
                    <w:spacing w:before="66" w:line="232" w:lineRule="auto"/>
                    <w:ind w:left="45"/>
                    <w:rPr>
                      <w:rFonts w:ascii="宋体" w:hAnsi="宋体" w:eastAsia="宋体" w:cs="宋体"/>
                      <w:sz w:val="17"/>
                      <w:szCs w:val="17"/>
                    </w:rPr>
                  </w:pPr>
                  <w:r>
                    <w:rPr>
                      <w:rFonts w:ascii="宋体" w:hAnsi="宋体" w:eastAsia="宋体" w:cs="宋体"/>
                      <w:spacing w:val="7"/>
                      <w:sz w:val="17"/>
                      <w:szCs w:val="17"/>
                    </w:rPr>
                    <w:t>能</w:t>
                  </w:r>
                  <w:r>
                    <w:rPr>
                      <w:rFonts w:ascii="宋体" w:hAnsi="宋体" w:eastAsia="宋体" w:cs="宋体"/>
                      <w:spacing w:val="6"/>
                      <w:sz w:val="17"/>
                      <w:szCs w:val="17"/>
                    </w:rPr>
                    <w:t>，生物</w:t>
                  </w:r>
                </w:p>
                <w:p>
                  <w:pPr>
                    <w:spacing w:before="67" w:line="230" w:lineRule="auto"/>
                    <w:ind w:left="47"/>
                    <w:rPr>
                      <w:rFonts w:ascii="宋体" w:hAnsi="宋体" w:eastAsia="宋体" w:cs="宋体"/>
                      <w:sz w:val="17"/>
                      <w:szCs w:val="17"/>
                    </w:rPr>
                  </w:pPr>
                  <w:r>
                    <w:rPr>
                      <w:rFonts w:ascii="宋体" w:hAnsi="宋体" w:eastAsia="宋体" w:cs="宋体"/>
                      <w:spacing w:val="6"/>
                      <w:sz w:val="17"/>
                      <w:szCs w:val="17"/>
                    </w:rPr>
                    <w:t>多样性保</w:t>
                  </w:r>
                </w:p>
                <w:p>
                  <w:pPr>
                    <w:spacing w:before="69" w:line="231" w:lineRule="auto"/>
                    <w:ind w:left="130"/>
                    <w:rPr>
                      <w:rFonts w:ascii="宋体" w:hAnsi="宋体" w:eastAsia="宋体" w:cs="宋体"/>
                      <w:sz w:val="17"/>
                      <w:szCs w:val="17"/>
                    </w:rPr>
                  </w:pPr>
                  <w:r>
                    <w:rPr>
                      <w:rFonts w:ascii="宋体" w:hAnsi="宋体" w:eastAsia="宋体" w:cs="宋体"/>
                      <w:spacing w:val="8"/>
                      <w:sz w:val="17"/>
                      <w:szCs w:val="17"/>
                    </w:rPr>
                    <w:t>护</w:t>
                  </w:r>
                  <w:r>
                    <w:rPr>
                      <w:rFonts w:ascii="宋体" w:hAnsi="宋体" w:eastAsia="宋体" w:cs="宋体"/>
                      <w:spacing w:val="7"/>
                      <w:sz w:val="17"/>
                      <w:szCs w:val="17"/>
                    </w:rPr>
                    <w:t>功能</w:t>
                  </w:r>
                </w:p>
              </w:tc>
              <w:tc>
                <w:tcPr>
                  <w:tcW w:w="1701" w:type="dxa"/>
                  <w:vAlign w:val="top"/>
                </w:tcPr>
                <w:p>
                  <w:pPr>
                    <w:spacing w:before="71" w:line="304" w:lineRule="auto"/>
                    <w:ind w:left="42" w:right="39" w:firstLine="4"/>
                    <w:rPr>
                      <w:rFonts w:ascii="宋体" w:hAnsi="宋体" w:eastAsia="宋体" w:cs="宋体"/>
                      <w:sz w:val="17"/>
                      <w:szCs w:val="17"/>
                    </w:rPr>
                  </w:pPr>
                  <w:r>
                    <w:rPr>
                      <w:rFonts w:ascii="宋体" w:hAnsi="宋体" w:eastAsia="宋体" w:cs="宋体"/>
                      <w:spacing w:val="9"/>
                      <w:sz w:val="17"/>
                      <w:szCs w:val="17"/>
                    </w:rPr>
                    <w:t>发挥区域中心城市</w:t>
                  </w:r>
                  <w:r>
                    <w:rPr>
                      <w:rFonts w:ascii="宋体" w:hAnsi="宋体" w:eastAsia="宋体" w:cs="宋体"/>
                      <w:spacing w:val="8"/>
                      <w:sz w:val="17"/>
                      <w:szCs w:val="17"/>
                    </w:rPr>
                    <w:t>的</w:t>
                  </w:r>
                  <w:r>
                    <w:rPr>
                      <w:rFonts w:ascii="宋体" w:hAnsi="宋体" w:eastAsia="宋体" w:cs="宋体"/>
                      <w:sz w:val="17"/>
                      <w:szCs w:val="17"/>
                    </w:rPr>
                    <w:t xml:space="preserve"> </w:t>
                  </w:r>
                  <w:r>
                    <w:rPr>
                      <w:rFonts w:ascii="宋体" w:hAnsi="宋体" w:eastAsia="宋体" w:cs="宋体"/>
                      <w:spacing w:val="12"/>
                      <w:sz w:val="17"/>
                      <w:szCs w:val="17"/>
                    </w:rPr>
                    <w:t>辐</w:t>
                  </w:r>
                  <w:r>
                    <w:rPr>
                      <w:rFonts w:ascii="宋体" w:hAnsi="宋体" w:eastAsia="宋体" w:cs="宋体"/>
                      <w:spacing w:val="9"/>
                      <w:sz w:val="17"/>
                      <w:szCs w:val="17"/>
                    </w:rPr>
                    <w:t>射作用，防治城乡</w:t>
                  </w:r>
                  <w:r>
                    <w:rPr>
                      <w:rFonts w:ascii="宋体" w:hAnsi="宋体" w:eastAsia="宋体" w:cs="宋体"/>
                      <w:sz w:val="17"/>
                      <w:szCs w:val="17"/>
                    </w:rPr>
                    <w:t xml:space="preserve"> </w:t>
                  </w:r>
                  <w:r>
                    <w:rPr>
                      <w:rFonts w:ascii="宋体" w:hAnsi="宋体" w:eastAsia="宋体" w:cs="宋体"/>
                      <w:spacing w:val="12"/>
                      <w:sz w:val="17"/>
                      <w:szCs w:val="17"/>
                    </w:rPr>
                    <w:t>环</w:t>
                  </w:r>
                  <w:r>
                    <w:rPr>
                      <w:rFonts w:ascii="宋体" w:hAnsi="宋体" w:eastAsia="宋体" w:cs="宋体"/>
                      <w:spacing w:val="9"/>
                      <w:sz w:val="17"/>
                      <w:szCs w:val="17"/>
                    </w:rPr>
                    <w:t>境污染。保护森林</w:t>
                  </w:r>
                  <w:r>
                    <w:rPr>
                      <w:rFonts w:ascii="宋体" w:hAnsi="宋体" w:eastAsia="宋体" w:cs="宋体"/>
                      <w:sz w:val="17"/>
                      <w:szCs w:val="17"/>
                    </w:rPr>
                    <w:t xml:space="preserve"> </w:t>
                  </w:r>
                  <w:r>
                    <w:rPr>
                      <w:rFonts w:ascii="宋体" w:hAnsi="宋体" w:eastAsia="宋体" w:cs="宋体"/>
                      <w:spacing w:val="12"/>
                      <w:sz w:val="17"/>
                      <w:szCs w:val="17"/>
                    </w:rPr>
                    <w:t>植</w:t>
                  </w:r>
                  <w:r>
                    <w:rPr>
                      <w:rFonts w:ascii="宋体" w:hAnsi="宋体" w:eastAsia="宋体" w:cs="宋体"/>
                      <w:spacing w:val="9"/>
                      <w:sz w:val="17"/>
                      <w:szCs w:val="17"/>
                    </w:rPr>
                    <w:t>被和生物多样性，</w:t>
                  </w:r>
                  <w:r>
                    <w:rPr>
                      <w:rFonts w:ascii="宋体" w:hAnsi="宋体" w:eastAsia="宋体" w:cs="宋体"/>
                      <w:sz w:val="17"/>
                      <w:szCs w:val="17"/>
                    </w:rPr>
                    <w:t xml:space="preserve"> </w:t>
                  </w:r>
                  <w:r>
                    <w:rPr>
                      <w:rFonts w:ascii="宋体" w:hAnsi="宋体" w:eastAsia="宋体" w:cs="宋体"/>
                      <w:spacing w:val="12"/>
                      <w:sz w:val="17"/>
                      <w:szCs w:val="17"/>
                    </w:rPr>
                    <w:t>巩</w:t>
                  </w:r>
                  <w:r>
                    <w:rPr>
                      <w:rFonts w:ascii="宋体" w:hAnsi="宋体" w:eastAsia="宋体" w:cs="宋体"/>
                      <w:spacing w:val="9"/>
                      <w:sz w:val="17"/>
                      <w:szCs w:val="17"/>
                    </w:rPr>
                    <w:t>固长江上游防护林</w:t>
                  </w:r>
                  <w:r>
                    <w:rPr>
                      <w:rFonts w:ascii="宋体" w:hAnsi="宋体" w:eastAsia="宋体" w:cs="宋体"/>
                      <w:sz w:val="17"/>
                      <w:szCs w:val="17"/>
                    </w:rPr>
                    <w:t xml:space="preserve"> </w:t>
                  </w:r>
                  <w:r>
                    <w:rPr>
                      <w:rFonts w:ascii="宋体" w:hAnsi="宋体" w:eastAsia="宋体" w:cs="宋体"/>
                      <w:spacing w:val="12"/>
                      <w:sz w:val="17"/>
                      <w:szCs w:val="17"/>
                    </w:rPr>
                    <w:t>建</w:t>
                  </w:r>
                  <w:r>
                    <w:rPr>
                      <w:rFonts w:ascii="宋体" w:hAnsi="宋体" w:eastAsia="宋体" w:cs="宋体"/>
                      <w:spacing w:val="9"/>
                      <w:sz w:val="17"/>
                      <w:szCs w:val="17"/>
                    </w:rPr>
                    <w:t>设、天然林保护和</w:t>
                  </w:r>
                  <w:r>
                    <w:rPr>
                      <w:rFonts w:ascii="宋体" w:hAnsi="宋体" w:eastAsia="宋体" w:cs="宋体"/>
                      <w:sz w:val="17"/>
                      <w:szCs w:val="17"/>
                    </w:rPr>
                    <w:t xml:space="preserve"> </w:t>
                  </w:r>
                  <w:r>
                    <w:rPr>
                      <w:rFonts w:ascii="宋体" w:hAnsi="宋体" w:eastAsia="宋体" w:cs="宋体"/>
                      <w:spacing w:val="12"/>
                      <w:sz w:val="17"/>
                      <w:szCs w:val="17"/>
                    </w:rPr>
                    <w:t>退</w:t>
                  </w:r>
                  <w:r>
                    <w:rPr>
                      <w:rFonts w:ascii="宋体" w:hAnsi="宋体" w:eastAsia="宋体" w:cs="宋体"/>
                      <w:spacing w:val="9"/>
                      <w:sz w:val="17"/>
                      <w:szCs w:val="17"/>
                    </w:rPr>
                    <w:t>耕还林成果，提高</w:t>
                  </w:r>
                  <w:r>
                    <w:rPr>
                      <w:rFonts w:ascii="宋体" w:hAnsi="宋体" w:eastAsia="宋体" w:cs="宋体"/>
                      <w:sz w:val="17"/>
                      <w:szCs w:val="17"/>
                    </w:rPr>
                    <w:t xml:space="preserve"> </w:t>
                  </w:r>
                  <w:r>
                    <w:rPr>
                      <w:rFonts w:ascii="宋体" w:hAnsi="宋体" w:eastAsia="宋体" w:cs="宋体"/>
                      <w:spacing w:val="12"/>
                      <w:sz w:val="17"/>
                      <w:szCs w:val="17"/>
                    </w:rPr>
                    <w:t>森</w:t>
                  </w:r>
                  <w:r>
                    <w:rPr>
                      <w:rFonts w:ascii="宋体" w:hAnsi="宋体" w:eastAsia="宋体" w:cs="宋体"/>
                      <w:spacing w:val="9"/>
                      <w:sz w:val="17"/>
                      <w:szCs w:val="17"/>
                    </w:rPr>
                    <w:t>林覆盖率，减轻水</w:t>
                  </w:r>
                  <w:r>
                    <w:rPr>
                      <w:rFonts w:ascii="宋体" w:hAnsi="宋体" w:eastAsia="宋体" w:cs="宋体"/>
                      <w:sz w:val="17"/>
                      <w:szCs w:val="17"/>
                    </w:rPr>
                    <w:t xml:space="preserve"> </w:t>
                  </w:r>
                  <w:r>
                    <w:rPr>
                      <w:rFonts w:ascii="宋体" w:hAnsi="宋体" w:eastAsia="宋体" w:cs="宋体"/>
                      <w:spacing w:val="12"/>
                      <w:sz w:val="17"/>
                      <w:szCs w:val="17"/>
                    </w:rPr>
                    <w:t>土</w:t>
                  </w:r>
                  <w:r>
                    <w:rPr>
                      <w:rFonts w:ascii="宋体" w:hAnsi="宋体" w:eastAsia="宋体" w:cs="宋体"/>
                      <w:spacing w:val="9"/>
                      <w:sz w:val="17"/>
                      <w:szCs w:val="17"/>
                    </w:rPr>
                    <w:t>流失，防止喀斯特</w:t>
                  </w:r>
                  <w:r>
                    <w:rPr>
                      <w:rFonts w:ascii="宋体" w:hAnsi="宋体" w:eastAsia="宋体" w:cs="宋体"/>
                      <w:sz w:val="17"/>
                      <w:szCs w:val="17"/>
                    </w:rPr>
                    <w:t xml:space="preserve"> </w:t>
                  </w:r>
                  <w:r>
                    <w:rPr>
                      <w:rFonts w:ascii="宋体" w:hAnsi="宋体" w:eastAsia="宋体" w:cs="宋体"/>
                      <w:spacing w:val="12"/>
                      <w:sz w:val="17"/>
                      <w:szCs w:val="17"/>
                    </w:rPr>
                    <w:t>地</w:t>
                  </w:r>
                  <w:r>
                    <w:rPr>
                      <w:rFonts w:ascii="宋体" w:hAnsi="宋体" w:eastAsia="宋体" w:cs="宋体"/>
                      <w:spacing w:val="9"/>
                      <w:sz w:val="17"/>
                      <w:szCs w:val="17"/>
                    </w:rPr>
                    <w:t>貌区石漠化。保护</w:t>
                  </w:r>
                  <w:r>
                    <w:rPr>
                      <w:rFonts w:ascii="宋体" w:hAnsi="宋体" w:eastAsia="宋体" w:cs="宋体"/>
                      <w:sz w:val="17"/>
                      <w:szCs w:val="17"/>
                    </w:rPr>
                    <w:t xml:space="preserve"> </w:t>
                  </w:r>
                  <w:r>
                    <w:rPr>
                      <w:rFonts w:ascii="宋体" w:hAnsi="宋体" w:eastAsia="宋体" w:cs="宋体"/>
                      <w:spacing w:val="12"/>
                      <w:sz w:val="17"/>
                      <w:szCs w:val="17"/>
                    </w:rPr>
                    <w:t>耕</w:t>
                  </w:r>
                  <w:r>
                    <w:rPr>
                      <w:rFonts w:ascii="宋体" w:hAnsi="宋体" w:eastAsia="宋体" w:cs="宋体"/>
                      <w:spacing w:val="9"/>
                      <w:sz w:val="17"/>
                      <w:szCs w:val="17"/>
                    </w:rPr>
                    <w:t>地。因地制宜发展</w:t>
                  </w:r>
                  <w:r>
                    <w:rPr>
                      <w:rFonts w:ascii="宋体" w:hAnsi="宋体" w:eastAsia="宋体" w:cs="宋体"/>
                      <w:sz w:val="17"/>
                      <w:szCs w:val="17"/>
                    </w:rPr>
                    <w:t xml:space="preserve"> </w:t>
                  </w:r>
                  <w:r>
                    <w:rPr>
                      <w:rFonts w:ascii="宋体" w:hAnsi="宋体" w:eastAsia="宋体" w:cs="宋体"/>
                      <w:spacing w:val="12"/>
                      <w:sz w:val="17"/>
                      <w:szCs w:val="17"/>
                    </w:rPr>
                    <w:t>沼</w:t>
                  </w:r>
                  <w:r>
                    <w:rPr>
                      <w:rFonts w:ascii="宋体" w:hAnsi="宋体" w:eastAsia="宋体" w:cs="宋体"/>
                      <w:spacing w:val="9"/>
                      <w:sz w:val="17"/>
                      <w:szCs w:val="17"/>
                    </w:rPr>
                    <w:t>气等清洁能源。合</w:t>
                  </w:r>
                  <w:r>
                    <w:rPr>
                      <w:rFonts w:ascii="宋体" w:hAnsi="宋体" w:eastAsia="宋体" w:cs="宋体"/>
                      <w:sz w:val="17"/>
                      <w:szCs w:val="17"/>
                    </w:rPr>
                    <w:t xml:space="preserve"> </w:t>
                  </w:r>
                  <w:r>
                    <w:rPr>
                      <w:rFonts w:ascii="宋体" w:hAnsi="宋体" w:eastAsia="宋体" w:cs="宋体"/>
                      <w:spacing w:val="-1"/>
                      <w:sz w:val="17"/>
                      <w:szCs w:val="17"/>
                    </w:rPr>
                    <w:t>理</w:t>
                  </w:r>
                  <w:r>
                    <w:rPr>
                      <w:rFonts w:ascii="宋体" w:hAnsi="宋体" w:eastAsia="宋体" w:cs="宋体"/>
                      <w:sz w:val="17"/>
                      <w:szCs w:val="17"/>
                    </w:rPr>
                    <w:t xml:space="preserve">开发矿产资源、 自 </w:t>
                  </w:r>
                  <w:r>
                    <w:rPr>
                      <w:rFonts w:ascii="宋体" w:hAnsi="宋体" w:eastAsia="宋体" w:cs="宋体"/>
                      <w:spacing w:val="12"/>
                      <w:sz w:val="17"/>
                      <w:szCs w:val="17"/>
                    </w:rPr>
                    <w:t>然</w:t>
                  </w:r>
                  <w:r>
                    <w:rPr>
                      <w:rFonts w:ascii="宋体" w:hAnsi="宋体" w:eastAsia="宋体" w:cs="宋体"/>
                      <w:spacing w:val="9"/>
                      <w:sz w:val="17"/>
                      <w:szCs w:val="17"/>
                    </w:rPr>
                    <w:t>和人文景观资源，</w:t>
                  </w:r>
                  <w:r>
                    <w:rPr>
                      <w:rFonts w:ascii="宋体" w:hAnsi="宋体" w:eastAsia="宋体" w:cs="宋体"/>
                      <w:sz w:val="17"/>
                      <w:szCs w:val="17"/>
                    </w:rPr>
                    <w:t xml:space="preserve"> </w:t>
                  </w:r>
                  <w:r>
                    <w:rPr>
                      <w:rFonts w:ascii="宋体" w:hAnsi="宋体" w:eastAsia="宋体" w:cs="宋体"/>
                      <w:spacing w:val="12"/>
                      <w:sz w:val="17"/>
                      <w:szCs w:val="17"/>
                    </w:rPr>
                    <w:t>培</w:t>
                  </w:r>
                  <w:r>
                    <w:rPr>
                      <w:rFonts w:ascii="宋体" w:hAnsi="宋体" w:eastAsia="宋体" w:cs="宋体"/>
                      <w:spacing w:val="9"/>
                      <w:sz w:val="17"/>
                      <w:szCs w:val="17"/>
                    </w:rPr>
                    <w:t>育和发展特色优势</w:t>
                  </w:r>
                  <w:r>
                    <w:rPr>
                      <w:rFonts w:ascii="宋体" w:hAnsi="宋体" w:eastAsia="宋体" w:cs="宋体"/>
                      <w:sz w:val="17"/>
                      <w:szCs w:val="17"/>
                    </w:rPr>
                    <w:t xml:space="preserve"> </w:t>
                  </w:r>
                  <w:r>
                    <w:rPr>
                      <w:rFonts w:ascii="宋体" w:hAnsi="宋体" w:eastAsia="宋体" w:cs="宋体"/>
                      <w:spacing w:val="12"/>
                      <w:sz w:val="17"/>
                      <w:szCs w:val="17"/>
                    </w:rPr>
                    <w:t>产</w:t>
                  </w:r>
                  <w:r>
                    <w:rPr>
                      <w:rFonts w:ascii="宋体" w:hAnsi="宋体" w:eastAsia="宋体" w:cs="宋体"/>
                      <w:spacing w:val="9"/>
                      <w:sz w:val="17"/>
                      <w:szCs w:val="17"/>
                    </w:rPr>
                    <w:t>业集群，建设天然</w:t>
                  </w:r>
                  <w:r>
                    <w:rPr>
                      <w:rFonts w:ascii="宋体" w:hAnsi="宋体" w:eastAsia="宋体" w:cs="宋体"/>
                      <w:sz w:val="17"/>
                      <w:szCs w:val="17"/>
                    </w:rPr>
                    <w:t xml:space="preserve"> </w:t>
                  </w:r>
                  <w:r>
                    <w:rPr>
                      <w:rFonts w:ascii="宋体" w:hAnsi="宋体" w:eastAsia="宋体" w:cs="宋体"/>
                      <w:spacing w:val="10"/>
                      <w:sz w:val="17"/>
                      <w:szCs w:val="17"/>
                    </w:rPr>
                    <w:t>气</w:t>
                  </w:r>
                  <w:r>
                    <w:rPr>
                      <w:rFonts w:ascii="宋体" w:hAnsi="宋体" w:eastAsia="宋体" w:cs="宋体"/>
                      <w:spacing w:val="8"/>
                      <w:sz w:val="17"/>
                      <w:szCs w:val="17"/>
                    </w:rPr>
                    <w:t>能源、化工基地，</w:t>
                  </w:r>
                </w:p>
                <w:p>
                  <w:pPr>
                    <w:spacing w:line="230" w:lineRule="auto"/>
                    <w:ind w:left="135"/>
                    <w:rPr>
                      <w:rFonts w:ascii="宋体" w:hAnsi="宋体" w:eastAsia="宋体" w:cs="宋体"/>
                      <w:sz w:val="17"/>
                      <w:szCs w:val="17"/>
                    </w:rPr>
                  </w:pPr>
                  <w:r>
                    <w:rPr>
                      <w:rFonts w:ascii="宋体" w:hAnsi="宋体" w:eastAsia="宋体" w:cs="宋体"/>
                      <w:spacing w:val="9"/>
                      <w:sz w:val="17"/>
                      <w:szCs w:val="17"/>
                    </w:rPr>
                    <w:t>严格防治环境污染</w:t>
                  </w:r>
                </w:p>
              </w:tc>
            </w:tr>
          </w:tbl>
          <w:p>
            <w:pPr>
              <w:rPr>
                <w:rFonts w:ascii="Arial"/>
                <w:sz w:val="21"/>
              </w:rPr>
            </w:pPr>
          </w:p>
        </w:tc>
      </w:tr>
    </w:tbl>
    <w:p>
      <w:pPr>
        <w:spacing w:line="123" w:lineRule="exact"/>
        <w:rPr>
          <w:rFonts w:ascii="Arial"/>
          <w:sz w:val="10"/>
        </w:rPr>
      </w:pPr>
    </w:p>
    <w:p>
      <w:pPr>
        <w:sectPr>
          <w:footerReference r:id="rId59" w:type="default"/>
          <w:pgSz w:w="11906" w:h="16839"/>
          <w:pgMar w:top="400" w:right="1482" w:bottom="1475" w:left="1482" w:header="0" w:footer="1315" w:gutter="0"/>
          <w:cols w:space="720" w:num="1"/>
        </w:sectPr>
      </w:pPr>
    </w:p>
    <w:p>
      <w:r>
        <w:pict>
          <v:rect id="_x0000_s1087" o:spid="_x0000_s1087" o:spt="1" style="position:absolute;left:0pt;margin-left:113.8pt;margin-top:535.3pt;height:125.5pt;width:0.5pt;mso-position-horizontal-relative:page;mso-position-vertical-relative:page;z-index:251747328;mso-width-relative:page;mso-height-relative:page;" fillcolor="#000000" filled="t" stroked="f" coordsize="21600,21600" o:allowincell="f">
            <v:path/>
            <v:fill on="t" focussize="0,0"/>
            <v:stroke on="f"/>
            <v:imagedata o:title=""/>
            <o:lock v:ext="edit"/>
          </v:rect>
        </w:pict>
      </w:r>
    </w:p>
    <w:p/>
    <w:p/>
    <w:p/>
    <w:p>
      <w:pPr>
        <w:spacing w:line="221" w:lineRule="exact"/>
      </w:pPr>
    </w:p>
    <w:tbl>
      <w:tblPr>
        <w:tblStyle w:val="4"/>
        <w:tblW w:w="892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3"/>
        <w:gridCol w:w="1576"/>
        <w:gridCol w:w="1239"/>
        <w:gridCol w:w="617"/>
        <w:gridCol w:w="638"/>
        <w:gridCol w:w="687"/>
        <w:gridCol w:w="666"/>
        <w:gridCol w:w="823"/>
        <w:gridCol w:w="933"/>
        <w:gridCol w:w="940"/>
        <w:gridCol w:w="1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5" w:hRule="atLeast"/>
        </w:trPr>
        <w:tc>
          <w:tcPr>
            <w:tcW w:w="623" w:type="dxa"/>
            <w:vMerge w:val="restart"/>
            <w:tcBorders>
              <w:left w:val="single" w:color="000000" w:sz="6" w:space="0"/>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61" w:lineRule="auto"/>
              <w:ind w:left="99" w:right="101" w:firstLine="1"/>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生态</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环境</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现状</w:t>
            </w:r>
          </w:p>
        </w:tc>
        <w:tc>
          <w:tcPr>
            <w:tcW w:w="8303" w:type="dxa"/>
            <w:gridSpan w:val="10"/>
            <w:tcBorders>
              <w:right w:val="single" w:color="000000" w:sz="6" w:space="0"/>
            </w:tcBorders>
            <w:vAlign w:val="top"/>
          </w:tcPr>
          <w:p>
            <w:pPr>
              <w:spacing w:before="154" w:line="401" w:lineRule="exact"/>
              <w:ind w:left="526"/>
              <w:rPr>
                <w:rFonts w:ascii="宋体" w:hAnsi="宋体" w:eastAsia="宋体" w:cs="宋体"/>
                <w:sz w:val="20"/>
                <w:szCs w:val="20"/>
              </w:rPr>
            </w:pPr>
            <w:r>
              <w:rPr>
                <w:rFonts w:ascii="宋体" w:hAnsi="宋体" w:eastAsia="宋体" w:cs="宋体"/>
                <w:spacing w:val="7"/>
                <w:position w:val="14"/>
                <w:sz w:val="20"/>
                <w:szCs w:val="20"/>
              </w:rPr>
              <w:t>本</w:t>
            </w:r>
            <w:r>
              <w:rPr>
                <w:rFonts w:ascii="宋体" w:hAnsi="宋体" w:eastAsia="宋体" w:cs="宋体"/>
                <w:spacing w:val="4"/>
                <w:position w:val="14"/>
                <w:sz w:val="20"/>
                <w:szCs w:val="20"/>
              </w:rPr>
              <w:t>项目为城市桥梁项目，与《四川省生态功能区划》是相协调的，但在建设和运营中，</w:t>
            </w:r>
          </w:p>
          <w:p>
            <w:pPr>
              <w:spacing w:line="227" w:lineRule="auto"/>
              <w:ind w:left="106"/>
              <w:rPr>
                <w:rFonts w:ascii="宋体" w:hAnsi="宋体" w:eastAsia="宋体" w:cs="宋体"/>
                <w:sz w:val="20"/>
                <w:szCs w:val="20"/>
              </w:rPr>
            </w:pPr>
            <w:r>
              <w:rPr>
                <w:rFonts w:ascii="宋体" w:hAnsi="宋体" w:eastAsia="宋体" w:cs="宋体"/>
                <w:spacing w:val="18"/>
                <w:sz w:val="20"/>
                <w:szCs w:val="20"/>
              </w:rPr>
              <w:t>要</w:t>
            </w:r>
            <w:r>
              <w:rPr>
                <w:rFonts w:ascii="宋体" w:hAnsi="宋体" w:eastAsia="宋体" w:cs="宋体"/>
                <w:spacing w:val="15"/>
                <w:sz w:val="20"/>
                <w:szCs w:val="20"/>
              </w:rPr>
              <w:t>规</w:t>
            </w:r>
            <w:r>
              <w:rPr>
                <w:rFonts w:ascii="宋体" w:hAnsi="宋体" w:eastAsia="宋体" w:cs="宋体"/>
                <w:spacing w:val="9"/>
                <w:sz w:val="20"/>
                <w:szCs w:val="20"/>
              </w:rPr>
              <w:t>范和严格制定施工方案，营运期加强管理，保护生态环境，严格控制环境污染。</w:t>
            </w:r>
          </w:p>
          <w:p>
            <w:pPr>
              <w:spacing w:before="13" w:line="5268" w:lineRule="exact"/>
              <w:ind w:firstLine="147"/>
              <w:textAlignment w:val="center"/>
            </w:pPr>
            <w:r>
              <w:drawing>
                <wp:inline distT="0" distB="0" distL="0" distR="0">
                  <wp:extent cx="5059045" cy="3345180"/>
                  <wp:effectExtent l="0" t="0" r="0" b="0"/>
                  <wp:docPr id="99" name="IM 99"/>
                  <wp:cNvGraphicFramePr/>
                  <a:graphic xmlns:a="http://schemas.openxmlformats.org/drawingml/2006/main">
                    <a:graphicData uri="http://schemas.openxmlformats.org/drawingml/2006/picture">
                      <pic:pic xmlns:pic="http://schemas.openxmlformats.org/drawingml/2006/picture">
                        <pic:nvPicPr>
                          <pic:cNvPr id="99" name="IM 99"/>
                          <pic:cNvPicPr/>
                        </pic:nvPicPr>
                        <pic:blipFill>
                          <a:blip r:embed="rId243"/>
                          <a:stretch>
                            <a:fillRect/>
                          </a:stretch>
                        </pic:blipFill>
                        <pic:spPr>
                          <a:xfrm>
                            <a:off x="0" y="0"/>
                            <a:ext cx="5059679" cy="3345180"/>
                          </a:xfrm>
                          <a:prstGeom prst="rect">
                            <a:avLst/>
                          </a:prstGeom>
                        </pic:spPr>
                      </pic:pic>
                    </a:graphicData>
                  </a:graphic>
                </wp:inline>
              </w:drawing>
            </w:r>
          </w:p>
          <w:p>
            <w:pPr>
              <w:spacing w:before="43" w:line="231" w:lineRule="auto"/>
              <w:ind w:left="2864"/>
              <w:rPr>
                <w:rFonts w:ascii="黑体" w:hAnsi="黑体" w:eastAsia="黑体" w:cs="黑体"/>
                <w:sz w:val="19"/>
                <w:szCs w:val="19"/>
              </w:rPr>
            </w:pPr>
            <w:r>
              <w:rPr>
                <w:rFonts w:ascii="黑体" w:hAnsi="黑体" w:eastAsia="黑体" w:cs="黑体"/>
                <w:spacing w:val="8"/>
                <w:sz w:val="19"/>
                <w:szCs w:val="19"/>
              </w:rPr>
              <w:t>图</w:t>
            </w:r>
            <w:r>
              <w:rPr>
                <w:rFonts w:ascii="Times New Roman" w:hAnsi="Times New Roman" w:eastAsia="Times New Roman" w:cs="Times New Roman"/>
                <w:spacing w:val="8"/>
                <w:sz w:val="19"/>
                <w:szCs w:val="19"/>
              </w:rPr>
              <w:t>33</w:t>
            </w:r>
            <w:r>
              <w:rPr>
                <w:rFonts w:ascii="黑体" w:hAnsi="黑体" w:eastAsia="黑体" w:cs="黑体"/>
                <w:spacing w:val="8"/>
                <w:sz w:val="19"/>
                <w:szCs w:val="19"/>
              </w:rPr>
              <w:t>：四川省生态功能区划</w:t>
            </w:r>
            <w:r>
              <w:rPr>
                <w:rFonts w:ascii="黑体" w:hAnsi="黑体" w:eastAsia="黑体" w:cs="黑体"/>
                <w:spacing w:val="5"/>
                <w:sz w:val="19"/>
                <w:szCs w:val="19"/>
              </w:rPr>
              <w:t>图</w:t>
            </w:r>
          </w:p>
          <w:p>
            <w:pPr>
              <w:spacing w:before="129" w:line="242" w:lineRule="auto"/>
              <w:ind w:left="105"/>
              <w:rPr>
                <w:rFonts w:ascii="黑体" w:hAnsi="黑体" w:eastAsia="黑体" w:cs="黑体"/>
                <w:sz w:val="20"/>
                <w:szCs w:val="20"/>
              </w:rPr>
            </w:pPr>
            <w:r>
              <w:rPr>
                <w:rFonts w:ascii="Times New Roman" w:hAnsi="Times New Roman" w:eastAsia="Times New Roman" w:cs="Times New Roman"/>
                <w:spacing w:val="2"/>
                <w:sz w:val="20"/>
                <w:szCs w:val="20"/>
              </w:rPr>
              <w:t xml:space="preserve">3 </w:t>
            </w:r>
            <w:r>
              <w:rPr>
                <w:rFonts w:ascii="黑体" w:hAnsi="黑体" w:eastAsia="黑体" w:cs="黑体"/>
                <w:spacing w:val="2"/>
                <w:sz w:val="20"/>
                <w:szCs w:val="20"/>
              </w:rPr>
              <w:t>、生态环</w:t>
            </w:r>
            <w:r>
              <w:rPr>
                <w:rFonts w:ascii="黑体" w:hAnsi="黑体" w:eastAsia="黑体" w:cs="黑体"/>
                <w:spacing w:val="1"/>
                <w:sz w:val="20"/>
                <w:szCs w:val="20"/>
              </w:rPr>
              <w:t>境现状</w:t>
            </w:r>
          </w:p>
          <w:p>
            <w:pPr>
              <w:spacing w:before="137" w:line="228" w:lineRule="auto"/>
              <w:ind w:left="535"/>
              <w:rPr>
                <w:rFonts w:ascii="宋体" w:hAnsi="宋体" w:eastAsia="宋体" w:cs="宋体"/>
                <w:sz w:val="20"/>
                <w:szCs w:val="20"/>
              </w:rPr>
            </w:pPr>
            <w:r>
              <w:rPr>
                <w:rFonts w:ascii="宋体" w:hAnsi="宋体" w:eastAsia="宋体" w:cs="宋体"/>
                <w:spacing w:val="19"/>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7"/>
                <w:sz w:val="20"/>
                <w:szCs w:val="20"/>
              </w:rPr>
              <w:t>1</w:t>
            </w:r>
            <w:r>
              <w:rPr>
                <w:rFonts w:ascii="宋体" w:hAnsi="宋体" w:eastAsia="宋体" w:cs="宋体"/>
                <w:spacing w:val="17"/>
                <w:sz w:val="20"/>
                <w:szCs w:val="20"/>
                <w14:textOutline w14:w="3795" w14:cap="sq" w14:cmpd="sng">
                  <w14:solidFill>
                    <w14:srgbClr w14:val="000000"/>
                  </w14:solidFill>
                  <w14:prstDash w14:val="solid"/>
                  <w14:bevel/>
                </w14:textOutline>
              </w:rPr>
              <w:t>)</w:t>
            </w:r>
            <w:r>
              <w:rPr>
                <w:rFonts w:ascii="宋体" w:hAnsi="宋体" w:eastAsia="宋体" w:cs="宋体"/>
                <w:spacing w:val="17"/>
                <w:sz w:val="20"/>
                <w:szCs w:val="20"/>
              </w:rPr>
              <w:t xml:space="preserve"> </w:t>
            </w:r>
            <w:r>
              <w:rPr>
                <w:rFonts w:ascii="宋体" w:hAnsi="宋体" w:eastAsia="宋体" w:cs="宋体"/>
                <w:spacing w:val="17"/>
                <w:sz w:val="20"/>
                <w:szCs w:val="20"/>
                <w14:textOutline w14:w="3795" w14:cap="sq" w14:cmpd="sng">
                  <w14:solidFill>
                    <w14:srgbClr w14:val="000000"/>
                  </w14:solidFill>
                  <w14:prstDash w14:val="solid"/>
                  <w14:bevel/>
                </w14:textOutline>
              </w:rPr>
              <w:t>土地利用类型</w:t>
            </w:r>
          </w:p>
          <w:p>
            <w:pPr>
              <w:spacing w:before="116" w:line="370" w:lineRule="auto"/>
              <w:ind w:left="108" w:right="34" w:firstLine="418"/>
              <w:rPr>
                <w:rFonts w:ascii="宋体" w:hAnsi="宋体" w:eastAsia="宋体" w:cs="宋体"/>
                <w:sz w:val="20"/>
                <w:szCs w:val="20"/>
              </w:rPr>
            </w:pPr>
            <w:r>
              <w:rPr>
                <w:rFonts w:ascii="宋体" w:hAnsi="宋体" w:eastAsia="宋体" w:cs="宋体"/>
                <w:spacing w:val="6"/>
                <w:sz w:val="20"/>
                <w:szCs w:val="20"/>
              </w:rPr>
              <w:t>本项目为城市桥</w:t>
            </w:r>
            <w:r>
              <w:rPr>
                <w:rFonts w:ascii="宋体" w:hAnsi="宋体" w:eastAsia="宋体" w:cs="宋体"/>
                <w:spacing w:val="4"/>
                <w:sz w:val="20"/>
                <w:szCs w:val="20"/>
              </w:rPr>
              <w:t>梁</w:t>
            </w:r>
            <w:r>
              <w:rPr>
                <w:rFonts w:ascii="宋体" w:hAnsi="宋体" w:eastAsia="宋体" w:cs="宋体"/>
                <w:spacing w:val="3"/>
                <w:sz w:val="20"/>
                <w:szCs w:val="20"/>
              </w:rPr>
              <w:t xml:space="preserve">建项目，总占地面积 </w:t>
            </w:r>
            <w:r>
              <w:rPr>
                <w:rFonts w:ascii="Times New Roman" w:hAnsi="Times New Roman" w:eastAsia="Times New Roman" w:cs="Times New Roman"/>
                <w:spacing w:val="3"/>
                <w:sz w:val="20"/>
                <w:szCs w:val="20"/>
              </w:rPr>
              <w:t>3.24</w:t>
            </w:r>
            <w:r>
              <w:rPr>
                <w:rFonts w:ascii="Times New Roman" w:hAnsi="Times New Roman" w:eastAsia="Times New Roman" w:cs="Times New Roman"/>
                <w:sz w:val="20"/>
                <w:szCs w:val="20"/>
              </w:rPr>
              <w:t>hm</w:t>
            </w:r>
            <w:r>
              <w:rPr>
                <w:rFonts w:ascii="Times New Roman" w:hAnsi="Times New Roman" w:eastAsia="Times New Roman" w:cs="Times New Roman"/>
                <w:spacing w:val="3"/>
                <w:sz w:val="20"/>
                <w:szCs w:val="20"/>
              </w:rPr>
              <w:t xml:space="preserve">² </w:t>
            </w:r>
            <w:r>
              <w:rPr>
                <w:rFonts w:ascii="宋体" w:hAnsi="宋体" w:eastAsia="宋体" w:cs="宋体"/>
                <w:spacing w:val="3"/>
                <w:sz w:val="20"/>
                <w:szCs w:val="20"/>
              </w:rPr>
              <w:t xml:space="preserve">，其中永久占地 </w:t>
            </w:r>
            <w:r>
              <w:rPr>
                <w:rFonts w:ascii="Times New Roman" w:hAnsi="Times New Roman" w:eastAsia="Times New Roman" w:cs="Times New Roman"/>
                <w:spacing w:val="3"/>
                <w:sz w:val="20"/>
                <w:szCs w:val="20"/>
              </w:rPr>
              <w:t>1.40</w:t>
            </w:r>
            <w:r>
              <w:rPr>
                <w:rFonts w:ascii="Times New Roman" w:hAnsi="Times New Roman" w:eastAsia="Times New Roman" w:cs="Times New Roman"/>
                <w:sz w:val="20"/>
                <w:szCs w:val="20"/>
              </w:rPr>
              <w:t>hm</w:t>
            </w:r>
            <w:r>
              <w:rPr>
                <w:rFonts w:ascii="Times New Roman" w:hAnsi="Times New Roman" w:eastAsia="Times New Roman" w:cs="Times New Roman"/>
                <w:spacing w:val="3"/>
                <w:sz w:val="20"/>
                <w:szCs w:val="20"/>
              </w:rPr>
              <w:t xml:space="preserve">² </w:t>
            </w:r>
            <w:r>
              <w:rPr>
                <w:rFonts w:ascii="宋体" w:hAnsi="宋体" w:eastAsia="宋体" w:cs="宋体"/>
                <w:spacing w:val="3"/>
                <w:sz w:val="20"/>
                <w:szCs w:val="20"/>
              </w:rPr>
              <w:t>，临时占地</w:t>
            </w:r>
            <w:r>
              <w:rPr>
                <w:rFonts w:ascii="宋体" w:hAnsi="宋体" w:eastAsia="宋体" w:cs="宋体"/>
                <w:sz w:val="20"/>
                <w:szCs w:val="20"/>
              </w:rPr>
              <w:t xml:space="preserve"> </w:t>
            </w:r>
            <w:r>
              <w:rPr>
                <w:rFonts w:ascii="Times New Roman" w:hAnsi="Times New Roman" w:eastAsia="Times New Roman" w:cs="Times New Roman"/>
                <w:spacing w:val="4"/>
                <w:sz w:val="20"/>
                <w:szCs w:val="20"/>
              </w:rPr>
              <w:t>1.84</w:t>
            </w:r>
            <w:r>
              <w:rPr>
                <w:rFonts w:ascii="Times New Roman" w:hAnsi="Times New Roman" w:eastAsia="Times New Roman" w:cs="Times New Roman"/>
                <w:sz w:val="20"/>
                <w:szCs w:val="20"/>
              </w:rPr>
              <w:t>hm</w:t>
            </w:r>
            <w:r>
              <w:rPr>
                <w:rFonts w:ascii="Times New Roman" w:hAnsi="Times New Roman" w:eastAsia="Times New Roman" w:cs="Times New Roman"/>
                <w:spacing w:val="4"/>
                <w:sz w:val="20"/>
                <w:szCs w:val="20"/>
              </w:rPr>
              <w:t xml:space="preserve">² </w:t>
            </w:r>
            <w:r>
              <w:rPr>
                <w:rFonts w:ascii="宋体" w:hAnsi="宋体" w:eastAsia="宋体" w:cs="宋体"/>
                <w:spacing w:val="4"/>
                <w:sz w:val="20"/>
                <w:szCs w:val="20"/>
              </w:rPr>
              <w:t>。其中主体工程</w:t>
            </w:r>
            <w:r>
              <w:rPr>
                <w:rFonts w:ascii="宋体" w:hAnsi="宋体" w:eastAsia="宋体" w:cs="宋体"/>
                <w:spacing w:val="3"/>
                <w:sz w:val="20"/>
                <w:szCs w:val="20"/>
              </w:rPr>
              <w:t>区</w:t>
            </w:r>
            <w:r>
              <w:rPr>
                <w:rFonts w:ascii="宋体" w:hAnsi="宋体" w:eastAsia="宋体" w:cs="宋体"/>
                <w:spacing w:val="2"/>
                <w:sz w:val="20"/>
                <w:szCs w:val="20"/>
              </w:rPr>
              <w:t xml:space="preserve">占地 </w:t>
            </w:r>
            <w:r>
              <w:rPr>
                <w:rFonts w:ascii="Times New Roman" w:hAnsi="Times New Roman" w:eastAsia="Times New Roman" w:cs="Times New Roman"/>
                <w:spacing w:val="2"/>
                <w:sz w:val="20"/>
                <w:szCs w:val="20"/>
              </w:rPr>
              <w:t>1.40</w:t>
            </w:r>
            <w:r>
              <w:rPr>
                <w:rFonts w:ascii="Times New Roman" w:hAnsi="Times New Roman" w:eastAsia="Times New Roman" w:cs="Times New Roman"/>
                <w:sz w:val="20"/>
                <w:szCs w:val="20"/>
              </w:rPr>
              <w:t>hm</w:t>
            </w:r>
            <w:r>
              <w:rPr>
                <w:rFonts w:ascii="Times New Roman" w:hAnsi="Times New Roman" w:eastAsia="Times New Roman" w:cs="Times New Roman"/>
                <w:spacing w:val="2"/>
                <w:sz w:val="20"/>
                <w:szCs w:val="20"/>
              </w:rPr>
              <w:t xml:space="preserve">² </w:t>
            </w:r>
            <w:r>
              <w:rPr>
                <w:rFonts w:ascii="宋体" w:hAnsi="宋体" w:eastAsia="宋体" w:cs="宋体"/>
                <w:spacing w:val="2"/>
                <w:sz w:val="20"/>
                <w:szCs w:val="20"/>
              </w:rPr>
              <w:t xml:space="preserve">，施工便道区占地 </w:t>
            </w:r>
            <w:r>
              <w:rPr>
                <w:rFonts w:ascii="Times New Roman" w:hAnsi="Times New Roman" w:eastAsia="Times New Roman" w:cs="Times New Roman"/>
                <w:spacing w:val="2"/>
                <w:sz w:val="20"/>
                <w:szCs w:val="20"/>
              </w:rPr>
              <w:t>0.49</w:t>
            </w:r>
            <w:r>
              <w:rPr>
                <w:rFonts w:ascii="Times New Roman" w:hAnsi="Times New Roman" w:eastAsia="Times New Roman" w:cs="Times New Roman"/>
                <w:sz w:val="20"/>
                <w:szCs w:val="20"/>
              </w:rPr>
              <w:t>hm</w:t>
            </w:r>
            <w:r>
              <w:rPr>
                <w:rFonts w:ascii="Times New Roman" w:hAnsi="Times New Roman" w:eastAsia="Times New Roman" w:cs="Times New Roman"/>
                <w:spacing w:val="2"/>
                <w:sz w:val="20"/>
                <w:szCs w:val="20"/>
              </w:rPr>
              <w:t xml:space="preserve">² </w:t>
            </w:r>
            <w:r>
              <w:rPr>
                <w:rFonts w:ascii="宋体" w:hAnsi="宋体" w:eastAsia="宋体" w:cs="宋体"/>
                <w:spacing w:val="2"/>
                <w:sz w:val="20"/>
                <w:szCs w:val="20"/>
              </w:rPr>
              <w:t>，施工临时场地区占地</w:t>
            </w:r>
            <w:r>
              <w:rPr>
                <w:rFonts w:ascii="宋体" w:hAnsi="宋体" w:eastAsia="宋体" w:cs="宋体"/>
                <w:sz w:val="20"/>
                <w:szCs w:val="20"/>
              </w:rPr>
              <w:t xml:space="preserve"> </w:t>
            </w:r>
            <w:r>
              <w:rPr>
                <w:rFonts w:ascii="Times New Roman" w:hAnsi="Times New Roman" w:eastAsia="Times New Roman" w:cs="Times New Roman"/>
                <w:spacing w:val="10"/>
                <w:sz w:val="20"/>
                <w:szCs w:val="20"/>
              </w:rPr>
              <w:t>1.35</w:t>
            </w:r>
            <w:r>
              <w:rPr>
                <w:rFonts w:ascii="Times New Roman" w:hAnsi="Times New Roman" w:eastAsia="Times New Roman" w:cs="Times New Roman"/>
                <w:sz w:val="20"/>
                <w:szCs w:val="20"/>
              </w:rPr>
              <w:t>hm</w:t>
            </w:r>
            <w:r>
              <w:rPr>
                <w:rFonts w:ascii="Times New Roman" w:hAnsi="Times New Roman" w:eastAsia="Times New Roman" w:cs="Times New Roman"/>
                <w:spacing w:val="10"/>
                <w:sz w:val="20"/>
                <w:szCs w:val="20"/>
              </w:rPr>
              <w:t>²</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。本项目占地类型包括公共管理与公共服务用地、旱地、河滩地、交通运输用地、</w:t>
            </w:r>
            <w:r>
              <w:rPr>
                <w:rFonts w:ascii="宋体" w:hAnsi="宋体" w:eastAsia="宋体" w:cs="宋体"/>
                <w:sz w:val="20"/>
                <w:szCs w:val="20"/>
              </w:rPr>
              <w:t xml:space="preserve"> </w:t>
            </w:r>
            <w:r>
              <w:rPr>
                <w:rFonts w:ascii="宋体" w:hAnsi="宋体" w:eastAsia="宋体" w:cs="宋体"/>
                <w:spacing w:val="16"/>
                <w:sz w:val="20"/>
                <w:szCs w:val="20"/>
              </w:rPr>
              <w:t>水</w:t>
            </w:r>
            <w:r>
              <w:rPr>
                <w:rFonts w:ascii="宋体" w:hAnsi="宋体" w:eastAsia="宋体" w:cs="宋体"/>
                <w:spacing w:val="15"/>
                <w:sz w:val="20"/>
                <w:szCs w:val="20"/>
              </w:rPr>
              <w:t>域</w:t>
            </w:r>
            <w:r>
              <w:rPr>
                <w:rFonts w:ascii="宋体" w:hAnsi="宋体" w:eastAsia="宋体" w:cs="宋体"/>
                <w:spacing w:val="8"/>
                <w:sz w:val="20"/>
                <w:szCs w:val="20"/>
              </w:rPr>
              <w:t>用地。项目占地面积统计表如下所示。</w:t>
            </w:r>
          </w:p>
          <w:p>
            <w:pPr>
              <w:spacing w:before="12" w:line="230" w:lineRule="auto"/>
              <w:ind w:left="2654"/>
              <w:rPr>
                <w:rFonts w:ascii="黑体" w:hAnsi="黑体" w:eastAsia="黑体" w:cs="黑体"/>
                <w:sz w:val="19"/>
                <w:szCs w:val="19"/>
              </w:rPr>
            </w:pPr>
            <w:r>
              <w:rPr>
                <w:rFonts w:ascii="黑体" w:hAnsi="黑体" w:eastAsia="黑体" w:cs="黑体"/>
                <w:spacing w:val="12"/>
                <w:sz w:val="19"/>
                <w:szCs w:val="19"/>
              </w:rPr>
              <w:t>表</w:t>
            </w:r>
            <w:r>
              <w:rPr>
                <w:rFonts w:ascii="Times New Roman" w:hAnsi="Times New Roman" w:eastAsia="Times New Roman" w:cs="Times New Roman"/>
                <w:spacing w:val="7"/>
                <w:sz w:val="19"/>
                <w:szCs w:val="19"/>
              </w:rPr>
              <w:t xml:space="preserve">20    </w:t>
            </w:r>
            <w:r>
              <w:rPr>
                <w:rFonts w:ascii="黑体" w:hAnsi="黑体" w:eastAsia="黑体" w:cs="黑体"/>
                <w:spacing w:val="7"/>
                <w:sz w:val="19"/>
                <w:szCs w:val="19"/>
              </w:rPr>
              <w:t>工程占地类型及面积汇总表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23" w:type="dxa"/>
            <w:vMerge w:val="continue"/>
            <w:tcBorders>
              <w:top w:val="nil"/>
              <w:left w:val="single" w:color="000000" w:sz="6" w:space="0"/>
              <w:bottom w:val="nil"/>
            </w:tcBorders>
            <w:vAlign w:val="top"/>
          </w:tcPr>
          <w:p>
            <w:pPr>
              <w:rPr>
                <w:rFonts w:ascii="Arial"/>
                <w:sz w:val="21"/>
              </w:rPr>
            </w:pPr>
          </w:p>
        </w:tc>
        <w:tc>
          <w:tcPr>
            <w:tcW w:w="1576" w:type="dxa"/>
            <w:vMerge w:val="restart"/>
            <w:tcBorders>
              <w:bottom w:val="nil"/>
            </w:tcBorders>
            <w:vAlign w:val="top"/>
          </w:tcPr>
          <w:p>
            <w:pPr>
              <w:spacing w:line="409" w:lineRule="auto"/>
              <w:rPr>
                <w:rFonts w:ascii="Arial"/>
                <w:sz w:val="21"/>
              </w:rPr>
            </w:pPr>
          </w:p>
          <w:p>
            <w:pPr>
              <w:spacing w:before="55" w:line="231" w:lineRule="auto"/>
              <w:ind w:left="515"/>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项目组成</w:t>
            </w:r>
          </w:p>
        </w:tc>
        <w:tc>
          <w:tcPr>
            <w:tcW w:w="3847" w:type="dxa"/>
            <w:gridSpan w:val="5"/>
            <w:vAlign w:val="top"/>
          </w:tcPr>
          <w:p>
            <w:pPr>
              <w:spacing w:before="23" w:line="249" w:lineRule="exact"/>
              <w:ind w:left="1092"/>
              <w:rPr>
                <w:rFonts w:ascii="Times New Roman" w:hAnsi="Times New Roman" w:eastAsia="Times New Roman" w:cs="Times New Roman"/>
                <w:sz w:val="17"/>
                <w:szCs w:val="17"/>
              </w:rPr>
            </w:pPr>
            <w:r>
              <w:rPr>
                <w:rFonts w:ascii="宋体" w:hAnsi="宋体" w:eastAsia="宋体" w:cs="宋体"/>
                <w:spacing w:val="10"/>
                <w:position w:val="2"/>
                <w:sz w:val="17"/>
                <w:szCs w:val="17"/>
                <w14:textOutline w14:w="3268" w14:cap="sq" w14:cmpd="sng">
                  <w14:solidFill>
                    <w14:srgbClr w14:val="000000"/>
                  </w14:solidFill>
                  <w14:prstDash w14:val="solid"/>
                  <w14:bevel/>
                </w14:textOutline>
              </w:rPr>
              <w:t>占</w:t>
            </w:r>
            <w:r>
              <w:rPr>
                <w:rFonts w:ascii="宋体" w:hAnsi="宋体" w:eastAsia="宋体" w:cs="宋体"/>
                <w:spacing w:val="6"/>
                <w:position w:val="2"/>
                <w:sz w:val="17"/>
                <w:szCs w:val="17"/>
                <w14:textOutline w14:w="3268" w14:cap="sq" w14:cmpd="sng">
                  <w14:solidFill>
                    <w14:srgbClr w14:val="000000"/>
                  </w14:solidFill>
                  <w14:prstDash w14:val="solid"/>
                  <w14:bevel/>
                </w14:textOutline>
              </w:rPr>
              <w:t>地类型及面积</w:t>
            </w:r>
            <w:r>
              <w:rPr>
                <w:rFonts w:ascii="Times New Roman" w:hAnsi="Times New Roman" w:eastAsia="Times New Roman" w:cs="Times New Roman"/>
                <w:b/>
                <w:bCs/>
                <w:spacing w:val="6"/>
                <w:position w:val="2"/>
                <w:sz w:val="17"/>
                <w:szCs w:val="17"/>
              </w:rPr>
              <w:t>(</w:t>
            </w:r>
            <w:r>
              <w:rPr>
                <w:rFonts w:ascii="Times New Roman" w:hAnsi="Times New Roman" w:eastAsia="Times New Roman" w:cs="Times New Roman"/>
                <w:b/>
                <w:bCs/>
                <w:position w:val="2"/>
                <w:sz w:val="17"/>
                <w:szCs w:val="17"/>
              </w:rPr>
              <w:t>hm</w:t>
            </w:r>
            <w:r>
              <w:rPr>
                <w:rFonts w:ascii="宋体" w:hAnsi="宋体" w:eastAsia="宋体" w:cs="宋体"/>
                <w:spacing w:val="6"/>
                <w:position w:val="2"/>
                <w:sz w:val="17"/>
                <w:szCs w:val="17"/>
                <w14:textOutline w14:w="3268" w14:cap="sq" w14:cmpd="sng">
                  <w14:solidFill>
                    <w14:srgbClr w14:val="000000"/>
                  </w14:solidFill>
                  <w14:prstDash w14:val="solid"/>
                  <w14:bevel/>
                </w14:textOutline>
              </w:rPr>
              <w:t>²</w:t>
            </w:r>
            <w:r>
              <w:rPr>
                <w:rFonts w:ascii="Times New Roman" w:hAnsi="Times New Roman" w:eastAsia="Times New Roman" w:cs="Times New Roman"/>
                <w:b/>
                <w:bCs/>
                <w:spacing w:val="6"/>
                <w:position w:val="2"/>
                <w:sz w:val="17"/>
                <w:szCs w:val="17"/>
              </w:rPr>
              <w:t>)</w:t>
            </w:r>
          </w:p>
        </w:tc>
        <w:tc>
          <w:tcPr>
            <w:tcW w:w="823" w:type="dxa"/>
            <w:vMerge w:val="restart"/>
            <w:tcBorders>
              <w:bottom w:val="nil"/>
            </w:tcBorders>
            <w:vAlign w:val="top"/>
          </w:tcPr>
          <w:p>
            <w:pPr>
              <w:spacing w:line="292" w:lineRule="auto"/>
              <w:rPr>
                <w:rFonts w:ascii="Arial"/>
                <w:sz w:val="21"/>
              </w:rPr>
            </w:pPr>
          </w:p>
          <w:p>
            <w:pPr>
              <w:spacing w:before="55" w:line="215" w:lineRule="auto"/>
              <w:ind w:left="238"/>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合计</w:t>
            </w:r>
          </w:p>
          <w:p>
            <w:pPr>
              <w:spacing w:line="248" w:lineRule="exact"/>
              <w:ind w:left="187"/>
              <w:rPr>
                <w:rFonts w:ascii="Times New Roman" w:hAnsi="Times New Roman" w:eastAsia="Times New Roman" w:cs="Times New Roman"/>
                <w:sz w:val="17"/>
                <w:szCs w:val="17"/>
              </w:rPr>
            </w:pPr>
            <w:r>
              <w:rPr>
                <w:rFonts w:ascii="Times New Roman" w:hAnsi="Times New Roman" w:eastAsia="Times New Roman" w:cs="Times New Roman"/>
                <w:b/>
                <w:bCs/>
                <w:spacing w:val="7"/>
                <w:position w:val="3"/>
                <w:sz w:val="17"/>
                <w:szCs w:val="17"/>
              </w:rPr>
              <w:t>(</w:t>
            </w:r>
            <w:r>
              <w:rPr>
                <w:rFonts w:ascii="Times New Roman" w:hAnsi="Times New Roman" w:eastAsia="Times New Roman" w:cs="Times New Roman"/>
                <w:b/>
                <w:bCs/>
                <w:position w:val="3"/>
                <w:sz w:val="17"/>
                <w:szCs w:val="17"/>
              </w:rPr>
              <w:t>hm</w:t>
            </w:r>
            <w:r>
              <w:rPr>
                <w:rFonts w:ascii="宋体" w:hAnsi="宋体" w:eastAsia="宋体" w:cs="宋体"/>
                <w:spacing w:val="6"/>
                <w:position w:val="3"/>
                <w:sz w:val="17"/>
                <w:szCs w:val="17"/>
                <w14:textOutline w14:w="3268" w14:cap="sq" w14:cmpd="sng">
                  <w14:solidFill>
                    <w14:srgbClr w14:val="000000"/>
                  </w14:solidFill>
                  <w14:prstDash w14:val="solid"/>
                  <w14:bevel/>
                </w14:textOutline>
              </w:rPr>
              <w:t>²</w:t>
            </w:r>
            <w:r>
              <w:rPr>
                <w:rFonts w:ascii="Times New Roman" w:hAnsi="Times New Roman" w:eastAsia="Times New Roman" w:cs="Times New Roman"/>
                <w:b/>
                <w:bCs/>
                <w:spacing w:val="6"/>
                <w:position w:val="3"/>
                <w:sz w:val="17"/>
                <w:szCs w:val="17"/>
              </w:rPr>
              <w:t>)</w:t>
            </w:r>
          </w:p>
        </w:tc>
        <w:tc>
          <w:tcPr>
            <w:tcW w:w="933" w:type="dxa"/>
            <w:vMerge w:val="restart"/>
            <w:tcBorders>
              <w:bottom w:val="nil"/>
            </w:tcBorders>
            <w:vAlign w:val="top"/>
          </w:tcPr>
          <w:p>
            <w:pPr>
              <w:spacing w:line="293" w:lineRule="auto"/>
              <w:rPr>
                <w:rFonts w:ascii="Arial"/>
                <w:sz w:val="21"/>
              </w:rPr>
            </w:pPr>
          </w:p>
          <w:p>
            <w:pPr>
              <w:spacing w:before="55" w:line="259" w:lineRule="auto"/>
              <w:ind w:left="244" w:right="99" w:hanging="130"/>
              <w:rPr>
                <w:rFonts w:ascii="Times New Roman" w:hAnsi="Times New Roman" w:eastAsia="Times New Roman" w:cs="Times New Roman"/>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永</w:t>
            </w:r>
            <w:r>
              <w:rPr>
                <w:rFonts w:ascii="宋体" w:hAnsi="宋体" w:eastAsia="宋体" w:cs="宋体"/>
                <w:spacing w:val="8"/>
                <w:sz w:val="17"/>
                <w:szCs w:val="17"/>
                <w14:textOutline w14:w="3268" w14:cap="sq" w14:cmpd="sng">
                  <w14:solidFill>
                    <w14:srgbClr w14:val="000000"/>
                  </w14:solidFill>
                  <w14:prstDash w14:val="solid"/>
                  <w14:bevel/>
                </w14:textOutline>
              </w:rPr>
              <w:t>久占地</w:t>
            </w:r>
            <w:r>
              <w:rPr>
                <w:rFonts w:ascii="宋体" w:hAnsi="宋体" w:eastAsia="宋体" w:cs="宋体"/>
                <w:sz w:val="17"/>
                <w:szCs w:val="17"/>
              </w:rPr>
              <w:t xml:space="preserve"> </w:t>
            </w:r>
            <w:r>
              <w:rPr>
                <w:rFonts w:ascii="Times New Roman" w:hAnsi="Times New Roman" w:eastAsia="Times New Roman" w:cs="Times New Roman"/>
                <w:b/>
                <w:bCs/>
                <w:spacing w:val="7"/>
                <w:sz w:val="17"/>
                <w:szCs w:val="17"/>
              </w:rPr>
              <w:t>(</w:t>
            </w:r>
            <w:r>
              <w:rPr>
                <w:rFonts w:ascii="Times New Roman" w:hAnsi="Times New Roman" w:eastAsia="Times New Roman" w:cs="Times New Roman"/>
                <w:b/>
                <w:bCs/>
                <w:sz w:val="17"/>
                <w:szCs w:val="17"/>
              </w:rPr>
              <w:t>hm</w:t>
            </w:r>
            <w:r>
              <w:rPr>
                <w:rFonts w:ascii="宋体" w:hAnsi="宋体" w:eastAsia="宋体" w:cs="宋体"/>
                <w:spacing w:val="6"/>
                <w:sz w:val="17"/>
                <w:szCs w:val="17"/>
                <w14:textOutline w14:w="3268" w14:cap="sq" w14:cmpd="sng">
                  <w14:solidFill>
                    <w14:srgbClr w14:val="000000"/>
                  </w14:solidFill>
                  <w14:prstDash w14:val="solid"/>
                  <w14:bevel/>
                </w14:textOutline>
              </w:rPr>
              <w:t>²</w:t>
            </w:r>
            <w:r>
              <w:rPr>
                <w:rFonts w:ascii="Times New Roman" w:hAnsi="Times New Roman" w:eastAsia="Times New Roman" w:cs="Times New Roman"/>
                <w:b/>
                <w:bCs/>
                <w:spacing w:val="6"/>
                <w:sz w:val="17"/>
                <w:szCs w:val="17"/>
              </w:rPr>
              <w:t>)</w:t>
            </w:r>
          </w:p>
        </w:tc>
        <w:tc>
          <w:tcPr>
            <w:tcW w:w="940" w:type="dxa"/>
            <w:vMerge w:val="restart"/>
            <w:tcBorders>
              <w:bottom w:val="nil"/>
            </w:tcBorders>
            <w:vAlign w:val="top"/>
          </w:tcPr>
          <w:p>
            <w:pPr>
              <w:spacing w:line="293" w:lineRule="auto"/>
              <w:rPr>
                <w:rFonts w:ascii="Arial"/>
                <w:sz w:val="21"/>
              </w:rPr>
            </w:pPr>
          </w:p>
          <w:p>
            <w:pPr>
              <w:spacing w:before="55" w:line="259" w:lineRule="auto"/>
              <w:ind w:left="250" w:right="101" w:hanging="122"/>
              <w:rPr>
                <w:rFonts w:ascii="Times New Roman" w:hAnsi="Times New Roman" w:eastAsia="Times New Roman" w:cs="Times New Roman"/>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临</w:t>
            </w:r>
            <w:r>
              <w:rPr>
                <w:rFonts w:ascii="宋体" w:hAnsi="宋体" w:eastAsia="宋体" w:cs="宋体"/>
                <w:spacing w:val="6"/>
                <w:sz w:val="17"/>
                <w:szCs w:val="17"/>
                <w14:textOutline w14:w="3268" w14:cap="sq" w14:cmpd="sng">
                  <w14:solidFill>
                    <w14:srgbClr w14:val="000000"/>
                  </w14:solidFill>
                  <w14:prstDash w14:val="solid"/>
                  <w14:bevel/>
                </w14:textOutline>
              </w:rPr>
              <w:t>时占地</w:t>
            </w:r>
            <w:r>
              <w:rPr>
                <w:rFonts w:ascii="宋体" w:hAnsi="宋体" w:eastAsia="宋体" w:cs="宋体"/>
                <w:sz w:val="17"/>
                <w:szCs w:val="17"/>
              </w:rPr>
              <w:t xml:space="preserve"> </w:t>
            </w:r>
            <w:r>
              <w:rPr>
                <w:rFonts w:ascii="Times New Roman" w:hAnsi="Times New Roman" w:eastAsia="Times New Roman" w:cs="Times New Roman"/>
                <w:b/>
                <w:bCs/>
                <w:spacing w:val="6"/>
                <w:sz w:val="17"/>
                <w:szCs w:val="17"/>
              </w:rPr>
              <w:t>(</w:t>
            </w:r>
            <w:r>
              <w:rPr>
                <w:rFonts w:ascii="Times New Roman" w:hAnsi="Times New Roman" w:eastAsia="Times New Roman" w:cs="Times New Roman"/>
                <w:b/>
                <w:bCs/>
                <w:sz w:val="17"/>
                <w:szCs w:val="17"/>
              </w:rPr>
              <w:t>hm</w:t>
            </w:r>
            <w:r>
              <w:rPr>
                <w:rFonts w:ascii="宋体" w:hAnsi="宋体" w:eastAsia="宋体" w:cs="宋体"/>
                <w:spacing w:val="5"/>
                <w:sz w:val="17"/>
                <w:szCs w:val="17"/>
                <w14:textOutline w14:w="3268" w14:cap="sq" w14:cmpd="sng">
                  <w14:solidFill>
                    <w14:srgbClr w14:val="000000"/>
                  </w14:solidFill>
                  <w14:prstDash w14:val="solid"/>
                  <w14:bevel/>
                </w14:textOutline>
              </w:rPr>
              <w:t>²</w:t>
            </w:r>
            <w:r>
              <w:rPr>
                <w:rFonts w:ascii="Times New Roman" w:hAnsi="Times New Roman" w:eastAsia="Times New Roman" w:cs="Times New Roman"/>
                <w:b/>
                <w:bCs/>
                <w:spacing w:val="5"/>
                <w:sz w:val="17"/>
                <w:szCs w:val="17"/>
              </w:rPr>
              <w:t>)</w:t>
            </w:r>
          </w:p>
        </w:tc>
        <w:tc>
          <w:tcPr>
            <w:tcW w:w="184"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23" w:type="dxa"/>
            <w:vMerge w:val="continue"/>
            <w:tcBorders>
              <w:top w:val="nil"/>
              <w:left w:val="single" w:color="000000" w:sz="6" w:space="0"/>
              <w:bottom w:val="nil"/>
            </w:tcBorders>
            <w:vAlign w:val="top"/>
          </w:tcPr>
          <w:p>
            <w:pPr>
              <w:rPr>
                <w:rFonts w:ascii="Arial"/>
                <w:sz w:val="21"/>
              </w:rPr>
            </w:pPr>
          </w:p>
        </w:tc>
        <w:tc>
          <w:tcPr>
            <w:tcW w:w="1576" w:type="dxa"/>
            <w:vMerge w:val="continue"/>
            <w:tcBorders>
              <w:top w:val="nil"/>
              <w:bottom w:val="nil"/>
            </w:tcBorders>
            <w:vAlign w:val="top"/>
          </w:tcPr>
          <w:p>
            <w:pPr>
              <w:rPr>
                <w:rFonts w:ascii="Arial"/>
                <w:sz w:val="21"/>
              </w:rPr>
            </w:pPr>
          </w:p>
        </w:tc>
        <w:tc>
          <w:tcPr>
            <w:tcW w:w="1239" w:type="dxa"/>
            <w:vAlign w:val="top"/>
          </w:tcPr>
          <w:p>
            <w:pPr>
              <w:spacing w:before="60" w:line="242" w:lineRule="auto"/>
              <w:ind w:left="166" w:right="79" w:hanging="82"/>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公</w:t>
            </w:r>
            <w:r>
              <w:rPr>
                <w:rFonts w:ascii="宋体" w:hAnsi="宋体" w:eastAsia="宋体" w:cs="宋体"/>
                <w:spacing w:val="8"/>
                <w:sz w:val="17"/>
                <w:szCs w:val="17"/>
                <w14:textOutline w14:w="3268" w14:cap="sq" w14:cmpd="sng">
                  <w14:solidFill>
                    <w14:srgbClr w14:val="000000"/>
                  </w14:solidFill>
                  <w14:prstDash w14:val="solid"/>
                  <w14:bevel/>
                </w14:textOutline>
              </w:rPr>
              <w:t>共管理与公</w:t>
            </w:r>
            <w:r>
              <w:rPr>
                <w:rFonts w:ascii="宋体" w:hAnsi="宋体" w:eastAsia="宋体" w:cs="宋体"/>
                <w:sz w:val="17"/>
                <w:szCs w:val="17"/>
              </w:rPr>
              <w:t xml:space="preserve"> </w:t>
            </w:r>
            <w:r>
              <w:rPr>
                <w:rFonts w:ascii="宋体" w:hAnsi="宋体" w:eastAsia="宋体" w:cs="宋体"/>
                <w:spacing w:val="10"/>
                <w:sz w:val="17"/>
                <w:szCs w:val="17"/>
                <w14:textOutline w14:w="3268" w14:cap="sq" w14:cmpd="sng">
                  <w14:solidFill>
                    <w14:srgbClr w14:val="000000"/>
                  </w14:solidFill>
                  <w14:prstDash w14:val="solid"/>
                  <w14:bevel/>
                </w14:textOutline>
              </w:rPr>
              <w:t>共</w:t>
            </w:r>
            <w:r>
              <w:rPr>
                <w:rFonts w:ascii="宋体" w:hAnsi="宋体" w:eastAsia="宋体" w:cs="宋体"/>
                <w:spacing w:val="9"/>
                <w:sz w:val="17"/>
                <w:szCs w:val="17"/>
                <w14:textOutline w14:w="3268" w14:cap="sq" w14:cmpd="sng">
                  <w14:solidFill>
                    <w14:srgbClr w14:val="000000"/>
                  </w14:solidFill>
                  <w14:prstDash w14:val="solid"/>
                  <w14:bevel/>
                </w14:textOutline>
              </w:rPr>
              <w:t>服务用地</w:t>
            </w:r>
          </w:p>
        </w:tc>
        <w:tc>
          <w:tcPr>
            <w:tcW w:w="617" w:type="dxa"/>
            <w:vMerge w:val="restart"/>
            <w:tcBorders>
              <w:bottom w:val="nil"/>
            </w:tcBorders>
            <w:vAlign w:val="top"/>
          </w:tcPr>
          <w:p>
            <w:pPr>
              <w:spacing w:line="265" w:lineRule="auto"/>
              <w:rPr>
                <w:rFonts w:ascii="Arial"/>
                <w:sz w:val="21"/>
              </w:rPr>
            </w:pPr>
          </w:p>
          <w:p>
            <w:pPr>
              <w:spacing w:before="56" w:line="232" w:lineRule="auto"/>
              <w:ind w:left="133"/>
              <w:rPr>
                <w:rFonts w:ascii="宋体" w:hAnsi="宋体" w:eastAsia="宋体" w:cs="宋体"/>
                <w:sz w:val="17"/>
                <w:szCs w:val="17"/>
              </w:rPr>
            </w:pPr>
            <w:r>
              <w:rPr>
                <w:rFonts w:ascii="宋体" w:hAnsi="宋体" w:eastAsia="宋体" w:cs="宋体"/>
                <w:spacing w:val="5"/>
                <w:sz w:val="17"/>
                <w:szCs w:val="17"/>
                <w14:textOutline w14:w="3268" w14:cap="sq" w14:cmpd="sng">
                  <w14:solidFill>
                    <w14:srgbClr w14:val="000000"/>
                  </w14:solidFill>
                  <w14:prstDash w14:val="solid"/>
                  <w14:bevel/>
                </w14:textOutline>
              </w:rPr>
              <w:t>旱地</w:t>
            </w:r>
          </w:p>
        </w:tc>
        <w:tc>
          <w:tcPr>
            <w:tcW w:w="638" w:type="dxa"/>
            <w:vMerge w:val="restart"/>
            <w:tcBorders>
              <w:bottom w:val="nil"/>
            </w:tcBorders>
            <w:vAlign w:val="top"/>
          </w:tcPr>
          <w:p>
            <w:pPr>
              <w:spacing w:line="266" w:lineRule="auto"/>
              <w:rPr>
                <w:rFonts w:ascii="Arial"/>
                <w:sz w:val="21"/>
              </w:rPr>
            </w:pPr>
          </w:p>
          <w:p>
            <w:pPr>
              <w:spacing w:before="55" w:line="231" w:lineRule="auto"/>
              <w:ind w:left="50"/>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河</w:t>
            </w:r>
            <w:r>
              <w:rPr>
                <w:rFonts w:ascii="宋体" w:hAnsi="宋体" w:eastAsia="宋体" w:cs="宋体"/>
                <w:spacing w:val="8"/>
                <w:sz w:val="17"/>
                <w:szCs w:val="17"/>
                <w14:textOutline w14:w="3268" w14:cap="sq" w14:cmpd="sng">
                  <w14:solidFill>
                    <w14:srgbClr w14:val="000000"/>
                  </w14:solidFill>
                  <w14:prstDash w14:val="solid"/>
                  <w14:bevel/>
                </w14:textOutline>
              </w:rPr>
              <w:t>滩地</w:t>
            </w:r>
          </w:p>
        </w:tc>
        <w:tc>
          <w:tcPr>
            <w:tcW w:w="687" w:type="dxa"/>
            <w:vMerge w:val="restart"/>
            <w:tcBorders>
              <w:bottom w:val="nil"/>
            </w:tcBorders>
            <w:vAlign w:val="top"/>
          </w:tcPr>
          <w:p>
            <w:pPr>
              <w:spacing w:before="206" w:line="267" w:lineRule="auto"/>
              <w:ind w:left="77" w:right="68" w:firstLine="4"/>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交通运</w:t>
            </w:r>
            <w:r>
              <w:rPr>
                <w:rFonts w:ascii="宋体" w:hAnsi="宋体" w:eastAsia="宋体" w:cs="宋体"/>
                <w:sz w:val="17"/>
                <w:szCs w:val="17"/>
              </w:rPr>
              <w:t xml:space="preserve"> </w:t>
            </w:r>
            <w:r>
              <w:rPr>
                <w:rFonts w:ascii="宋体" w:hAnsi="宋体" w:eastAsia="宋体" w:cs="宋体"/>
                <w:spacing w:val="10"/>
                <w:sz w:val="17"/>
                <w:szCs w:val="17"/>
                <w14:textOutline w14:w="3268" w14:cap="sq" w14:cmpd="sng">
                  <w14:solidFill>
                    <w14:srgbClr w14:val="000000"/>
                  </w14:solidFill>
                  <w14:prstDash w14:val="solid"/>
                  <w14:bevel/>
                </w14:textOutline>
              </w:rPr>
              <w:t>输</w:t>
            </w:r>
            <w:r>
              <w:rPr>
                <w:rFonts w:ascii="宋体" w:hAnsi="宋体" w:eastAsia="宋体" w:cs="宋体"/>
                <w:spacing w:val="8"/>
                <w:sz w:val="17"/>
                <w:szCs w:val="17"/>
                <w14:textOutline w14:w="3268" w14:cap="sq" w14:cmpd="sng">
                  <w14:solidFill>
                    <w14:srgbClr w14:val="000000"/>
                  </w14:solidFill>
                  <w14:prstDash w14:val="solid"/>
                  <w14:bevel/>
                </w14:textOutline>
              </w:rPr>
              <w:t>用地</w:t>
            </w:r>
          </w:p>
        </w:tc>
        <w:tc>
          <w:tcPr>
            <w:tcW w:w="666" w:type="dxa"/>
            <w:vMerge w:val="restart"/>
            <w:tcBorders>
              <w:bottom w:val="nil"/>
            </w:tcBorders>
            <w:vAlign w:val="top"/>
          </w:tcPr>
          <w:p>
            <w:pPr>
              <w:spacing w:before="205" w:line="233" w:lineRule="exact"/>
              <w:ind w:left="161"/>
              <w:rPr>
                <w:rFonts w:ascii="宋体" w:hAnsi="宋体" w:eastAsia="宋体" w:cs="宋体"/>
                <w:sz w:val="17"/>
                <w:szCs w:val="17"/>
              </w:rPr>
            </w:pPr>
            <w:r>
              <w:rPr>
                <w:rFonts w:ascii="宋体" w:hAnsi="宋体" w:eastAsia="宋体" w:cs="宋体"/>
                <w:spacing w:val="5"/>
                <w:position w:val="4"/>
                <w:sz w:val="17"/>
                <w:szCs w:val="17"/>
                <w14:textOutline w14:w="3268" w14:cap="sq" w14:cmpd="sng">
                  <w14:solidFill>
                    <w14:srgbClr w14:val="000000"/>
                  </w14:solidFill>
                  <w14:prstDash w14:val="solid"/>
                  <w14:bevel/>
                </w14:textOutline>
              </w:rPr>
              <w:t>水域</w:t>
            </w:r>
          </w:p>
          <w:p>
            <w:pPr>
              <w:spacing w:line="231" w:lineRule="auto"/>
              <w:ind w:left="160"/>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用</w:t>
            </w:r>
            <w:r>
              <w:rPr>
                <w:rFonts w:ascii="宋体" w:hAnsi="宋体" w:eastAsia="宋体" w:cs="宋体"/>
                <w:spacing w:val="5"/>
                <w:sz w:val="17"/>
                <w:szCs w:val="17"/>
                <w14:textOutline w14:w="3268" w14:cap="sq" w14:cmpd="sng">
                  <w14:solidFill>
                    <w14:srgbClr w14:val="000000"/>
                  </w14:solidFill>
                  <w14:prstDash w14:val="solid"/>
                  <w14:bevel/>
                </w14:textOutline>
              </w:rPr>
              <w:t>地</w:t>
            </w:r>
          </w:p>
        </w:tc>
        <w:tc>
          <w:tcPr>
            <w:tcW w:w="823" w:type="dxa"/>
            <w:vMerge w:val="continue"/>
            <w:tcBorders>
              <w:top w:val="nil"/>
              <w:bottom w:val="nil"/>
            </w:tcBorders>
            <w:vAlign w:val="top"/>
          </w:tcPr>
          <w:p>
            <w:pPr>
              <w:rPr>
                <w:rFonts w:ascii="Arial"/>
                <w:sz w:val="21"/>
              </w:rPr>
            </w:pPr>
          </w:p>
        </w:tc>
        <w:tc>
          <w:tcPr>
            <w:tcW w:w="933" w:type="dxa"/>
            <w:vMerge w:val="continue"/>
            <w:tcBorders>
              <w:top w:val="nil"/>
              <w:bottom w:val="nil"/>
            </w:tcBorders>
            <w:vAlign w:val="top"/>
          </w:tcPr>
          <w:p>
            <w:pPr>
              <w:rPr>
                <w:rFonts w:ascii="Arial"/>
                <w:sz w:val="21"/>
              </w:rPr>
            </w:pPr>
          </w:p>
        </w:tc>
        <w:tc>
          <w:tcPr>
            <w:tcW w:w="940" w:type="dxa"/>
            <w:vMerge w:val="continue"/>
            <w:tcBorders>
              <w:top w:val="nil"/>
              <w:bottom w:val="nil"/>
            </w:tcBorders>
            <w:vAlign w:val="top"/>
          </w:tcPr>
          <w:p>
            <w:pPr>
              <w:rPr>
                <w:rFonts w:ascii="Arial"/>
                <w:sz w:val="21"/>
              </w:rPr>
            </w:pPr>
          </w:p>
        </w:tc>
        <w:tc>
          <w:tcPr>
            <w:tcW w:w="18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23" w:type="dxa"/>
            <w:vMerge w:val="continue"/>
            <w:tcBorders>
              <w:top w:val="nil"/>
              <w:left w:val="single" w:color="000000" w:sz="6" w:space="0"/>
              <w:bottom w:val="nil"/>
            </w:tcBorders>
            <w:vAlign w:val="top"/>
          </w:tcPr>
          <w:p>
            <w:pPr>
              <w:rPr>
                <w:rFonts w:ascii="Arial"/>
                <w:sz w:val="21"/>
              </w:rPr>
            </w:pPr>
          </w:p>
        </w:tc>
        <w:tc>
          <w:tcPr>
            <w:tcW w:w="1576" w:type="dxa"/>
            <w:vMerge w:val="continue"/>
            <w:tcBorders>
              <w:top w:val="nil"/>
            </w:tcBorders>
            <w:vAlign w:val="top"/>
          </w:tcPr>
          <w:p>
            <w:pPr>
              <w:rPr>
                <w:rFonts w:ascii="Arial"/>
                <w:sz w:val="21"/>
              </w:rPr>
            </w:pPr>
          </w:p>
        </w:tc>
        <w:tc>
          <w:tcPr>
            <w:tcW w:w="1239" w:type="dxa"/>
            <w:vAlign w:val="top"/>
          </w:tcPr>
          <w:p>
            <w:pPr>
              <w:spacing w:before="59" w:line="230" w:lineRule="auto"/>
              <w:ind w:left="83"/>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市</w:t>
            </w:r>
            <w:r>
              <w:rPr>
                <w:rFonts w:ascii="宋体" w:hAnsi="宋体" w:eastAsia="宋体" w:cs="宋体"/>
                <w:spacing w:val="8"/>
                <w:sz w:val="17"/>
                <w:szCs w:val="17"/>
                <w14:textOutline w14:w="3268" w14:cap="sq" w14:cmpd="sng">
                  <w14:solidFill>
                    <w14:srgbClr w14:val="000000"/>
                  </w14:solidFill>
                  <w14:prstDash w14:val="solid"/>
                  <w14:bevel/>
                </w14:textOutline>
              </w:rPr>
              <w:t>政绿化用地</w:t>
            </w:r>
          </w:p>
        </w:tc>
        <w:tc>
          <w:tcPr>
            <w:tcW w:w="617" w:type="dxa"/>
            <w:vMerge w:val="continue"/>
            <w:tcBorders>
              <w:top w:val="nil"/>
            </w:tcBorders>
            <w:vAlign w:val="top"/>
          </w:tcPr>
          <w:p>
            <w:pPr>
              <w:rPr>
                <w:rFonts w:ascii="Arial"/>
                <w:sz w:val="21"/>
              </w:rPr>
            </w:pPr>
          </w:p>
        </w:tc>
        <w:tc>
          <w:tcPr>
            <w:tcW w:w="638"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666" w:type="dxa"/>
            <w:vMerge w:val="continue"/>
            <w:tcBorders>
              <w:top w:val="nil"/>
            </w:tcBorders>
            <w:vAlign w:val="top"/>
          </w:tcPr>
          <w:p>
            <w:pPr>
              <w:rPr>
                <w:rFonts w:ascii="Arial"/>
                <w:sz w:val="21"/>
              </w:rPr>
            </w:pPr>
          </w:p>
        </w:tc>
        <w:tc>
          <w:tcPr>
            <w:tcW w:w="823" w:type="dxa"/>
            <w:vMerge w:val="continue"/>
            <w:tcBorders>
              <w:top w:val="nil"/>
            </w:tcBorders>
            <w:vAlign w:val="top"/>
          </w:tcPr>
          <w:p>
            <w:pPr>
              <w:rPr>
                <w:rFonts w:ascii="Arial"/>
                <w:sz w:val="21"/>
              </w:rPr>
            </w:pPr>
          </w:p>
        </w:tc>
        <w:tc>
          <w:tcPr>
            <w:tcW w:w="933" w:type="dxa"/>
            <w:vMerge w:val="continue"/>
            <w:tcBorders>
              <w:top w:val="nil"/>
            </w:tcBorders>
            <w:vAlign w:val="top"/>
          </w:tcPr>
          <w:p>
            <w:pPr>
              <w:rPr>
                <w:rFonts w:ascii="Arial"/>
                <w:sz w:val="21"/>
              </w:rPr>
            </w:pPr>
          </w:p>
        </w:tc>
        <w:tc>
          <w:tcPr>
            <w:tcW w:w="940" w:type="dxa"/>
            <w:vMerge w:val="continue"/>
            <w:tcBorders>
              <w:top w:val="nil"/>
            </w:tcBorders>
            <w:vAlign w:val="top"/>
          </w:tcPr>
          <w:p>
            <w:pPr>
              <w:rPr>
                <w:rFonts w:ascii="Arial"/>
                <w:sz w:val="21"/>
              </w:rPr>
            </w:pPr>
          </w:p>
        </w:tc>
        <w:tc>
          <w:tcPr>
            <w:tcW w:w="18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23" w:type="dxa"/>
            <w:vMerge w:val="continue"/>
            <w:tcBorders>
              <w:top w:val="nil"/>
              <w:left w:val="single" w:color="000000" w:sz="6" w:space="0"/>
              <w:bottom w:val="nil"/>
            </w:tcBorders>
            <w:vAlign w:val="top"/>
          </w:tcPr>
          <w:p>
            <w:pPr>
              <w:rPr>
                <w:rFonts w:ascii="Arial"/>
                <w:sz w:val="21"/>
              </w:rPr>
            </w:pPr>
          </w:p>
        </w:tc>
        <w:tc>
          <w:tcPr>
            <w:tcW w:w="1576" w:type="dxa"/>
            <w:vAlign w:val="top"/>
          </w:tcPr>
          <w:p>
            <w:pPr>
              <w:spacing w:before="62" w:line="247" w:lineRule="auto"/>
              <w:ind w:left="404" w:right="223" w:firstLine="18"/>
              <w:rPr>
                <w:rFonts w:ascii="Times New Roman" w:hAnsi="Times New Roman" w:eastAsia="Times New Roman" w:cs="Times New Roman"/>
                <w:sz w:val="17"/>
                <w:szCs w:val="17"/>
              </w:rPr>
            </w:pPr>
            <w:r>
              <w:rPr>
                <w:rFonts w:ascii="宋体" w:hAnsi="宋体" w:eastAsia="宋体" w:cs="宋体"/>
                <w:spacing w:val="11"/>
                <w:sz w:val="17"/>
                <w:szCs w:val="17"/>
              </w:rPr>
              <w:t>道</w:t>
            </w:r>
            <w:r>
              <w:rPr>
                <w:rFonts w:ascii="宋体" w:hAnsi="宋体" w:eastAsia="宋体" w:cs="宋体"/>
                <w:spacing w:val="8"/>
                <w:sz w:val="17"/>
                <w:szCs w:val="17"/>
              </w:rPr>
              <w:t>路、桥梁</w:t>
            </w:r>
            <w:r>
              <w:rPr>
                <w:rFonts w:ascii="宋体" w:hAnsi="宋体" w:eastAsia="宋体" w:cs="宋体"/>
                <w:sz w:val="17"/>
                <w:szCs w:val="17"/>
              </w:rPr>
              <w:t xml:space="preserve"> </w:t>
            </w:r>
            <w:r>
              <w:rPr>
                <w:rFonts w:ascii="宋体" w:hAnsi="宋体" w:eastAsia="宋体" w:cs="宋体"/>
                <w:spacing w:val="21"/>
                <w:sz w:val="17"/>
                <w:szCs w:val="17"/>
              </w:rPr>
              <w:t>(</w:t>
            </w:r>
            <w:r>
              <w:rPr>
                <w:rFonts w:ascii="宋体" w:hAnsi="宋体" w:eastAsia="宋体" w:cs="宋体"/>
                <w:spacing w:val="20"/>
                <w:sz w:val="17"/>
                <w:szCs w:val="17"/>
              </w:rPr>
              <w:t>主体工程</w:t>
            </w:r>
            <w:r>
              <w:rPr>
                <w:rFonts w:ascii="Times New Roman" w:hAnsi="Times New Roman" w:eastAsia="Times New Roman" w:cs="Times New Roman"/>
                <w:spacing w:val="20"/>
                <w:sz w:val="17"/>
                <w:szCs w:val="17"/>
              </w:rPr>
              <w:t>)</w:t>
            </w:r>
          </w:p>
        </w:tc>
        <w:tc>
          <w:tcPr>
            <w:tcW w:w="1239" w:type="dxa"/>
            <w:vAlign w:val="top"/>
          </w:tcPr>
          <w:p>
            <w:pPr>
              <w:spacing w:before="208" w:line="197" w:lineRule="auto"/>
              <w:ind w:left="46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0.2</w:t>
            </w:r>
            <w:r>
              <w:rPr>
                <w:rFonts w:ascii="Times New Roman" w:hAnsi="Times New Roman" w:eastAsia="Times New Roman" w:cs="Times New Roman"/>
                <w:spacing w:val="2"/>
                <w:sz w:val="17"/>
                <w:szCs w:val="17"/>
              </w:rPr>
              <w:t>9</w:t>
            </w:r>
          </w:p>
        </w:tc>
        <w:tc>
          <w:tcPr>
            <w:tcW w:w="617" w:type="dxa"/>
            <w:vAlign w:val="top"/>
          </w:tcPr>
          <w:p>
            <w:pPr>
              <w:spacing w:before="208" w:line="197" w:lineRule="auto"/>
              <w:ind w:left="63"/>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0</w:t>
            </w:r>
            <w:r>
              <w:rPr>
                <w:rFonts w:ascii="Times New Roman" w:hAnsi="Times New Roman" w:eastAsia="Times New Roman" w:cs="Times New Roman"/>
                <w:spacing w:val="3"/>
                <w:sz w:val="17"/>
                <w:szCs w:val="17"/>
              </w:rPr>
              <w:t>.0954</w:t>
            </w:r>
          </w:p>
        </w:tc>
        <w:tc>
          <w:tcPr>
            <w:tcW w:w="638" w:type="dxa"/>
            <w:vAlign w:val="top"/>
          </w:tcPr>
          <w:p>
            <w:pPr>
              <w:spacing w:before="208" w:line="197" w:lineRule="auto"/>
              <w:ind w:left="7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0. 1002</w:t>
            </w:r>
          </w:p>
        </w:tc>
        <w:tc>
          <w:tcPr>
            <w:tcW w:w="687" w:type="dxa"/>
            <w:vAlign w:val="top"/>
          </w:tcPr>
          <w:p>
            <w:pPr>
              <w:spacing w:before="208" w:line="197" w:lineRule="auto"/>
              <w:ind w:left="99"/>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0</w:t>
            </w:r>
            <w:r>
              <w:rPr>
                <w:rFonts w:ascii="Times New Roman" w:hAnsi="Times New Roman" w:eastAsia="Times New Roman" w:cs="Times New Roman"/>
                <w:spacing w:val="3"/>
                <w:sz w:val="17"/>
                <w:szCs w:val="17"/>
              </w:rPr>
              <w:t>.4226</w:t>
            </w:r>
          </w:p>
        </w:tc>
        <w:tc>
          <w:tcPr>
            <w:tcW w:w="666" w:type="dxa"/>
            <w:vAlign w:val="top"/>
          </w:tcPr>
          <w:p>
            <w:pPr>
              <w:spacing w:before="208" w:line="197" w:lineRule="auto"/>
              <w:ind w:left="91"/>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0</w:t>
            </w:r>
            <w:r>
              <w:rPr>
                <w:rFonts w:ascii="Times New Roman" w:hAnsi="Times New Roman" w:eastAsia="Times New Roman" w:cs="Times New Roman"/>
                <w:spacing w:val="3"/>
                <w:sz w:val="17"/>
                <w:szCs w:val="17"/>
              </w:rPr>
              <w:t>.4937</w:t>
            </w:r>
          </w:p>
        </w:tc>
        <w:tc>
          <w:tcPr>
            <w:tcW w:w="823" w:type="dxa"/>
            <w:vAlign w:val="top"/>
          </w:tcPr>
          <w:p>
            <w:pPr>
              <w:spacing w:before="208" w:line="200" w:lineRule="auto"/>
              <w:ind w:left="18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.4019</w:t>
            </w:r>
          </w:p>
        </w:tc>
        <w:tc>
          <w:tcPr>
            <w:tcW w:w="933" w:type="dxa"/>
            <w:vAlign w:val="top"/>
          </w:tcPr>
          <w:p>
            <w:pPr>
              <w:spacing w:before="208" w:line="200" w:lineRule="auto"/>
              <w:ind w:left="24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.4019</w:t>
            </w:r>
          </w:p>
        </w:tc>
        <w:tc>
          <w:tcPr>
            <w:tcW w:w="940" w:type="dxa"/>
            <w:vAlign w:val="top"/>
          </w:tcPr>
          <w:p>
            <w:pPr>
              <w:rPr>
                <w:rFonts w:ascii="Arial"/>
                <w:sz w:val="21"/>
              </w:rPr>
            </w:pPr>
          </w:p>
        </w:tc>
        <w:tc>
          <w:tcPr>
            <w:tcW w:w="18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23" w:type="dxa"/>
            <w:vMerge w:val="continue"/>
            <w:tcBorders>
              <w:top w:val="nil"/>
              <w:left w:val="single" w:color="000000" w:sz="6" w:space="0"/>
              <w:bottom w:val="nil"/>
            </w:tcBorders>
            <w:vAlign w:val="top"/>
          </w:tcPr>
          <w:p>
            <w:pPr>
              <w:rPr>
                <w:rFonts w:ascii="Arial"/>
                <w:sz w:val="21"/>
              </w:rPr>
            </w:pPr>
          </w:p>
        </w:tc>
        <w:tc>
          <w:tcPr>
            <w:tcW w:w="1576" w:type="dxa"/>
            <w:vAlign w:val="top"/>
          </w:tcPr>
          <w:p>
            <w:pPr>
              <w:spacing w:before="60" w:line="230" w:lineRule="auto"/>
              <w:ind w:left="422"/>
              <w:rPr>
                <w:rFonts w:ascii="宋体" w:hAnsi="宋体" w:eastAsia="宋体" w:cs="宋体"/>
                <w:sz w:val="17"/>
                <w:szCs w:val="17"/>
              </w:rPr>
            </w:pPr>
            <w:r>
              <w:rPr>
                <w:rFonts w:ascii="宋体" w:hAnsi="宋体" w:eastAsia="宋体" w:cs="宋体"/>
                <w:spacing w:val="11"/>
                <w:sz w:val="17"/>
                <w:szCs w:val="17"/>
              </w:rPr>
              <w:t>施</w:t>
            </w:r>
            <w:r>
              <w:rPr>
                <w:rFonts w:ascii="宋体" w:hAnsi="宋体" w:eastAsia="宋体" w:cs="宋体"/>
                <w:spacing w:val="8"/>
                <w:sz w:val="17"/>
                <w:szCs w:val="17"/>
              </w:rPr>
              <w:t>工便道区</w:t>
            </w:r>
          </w:p>
        </w:tc>
        <w:tc>
          <w:tcPr>
            <w:tcW w:w="1239" w:type="dxa"/>
            <w:vAlign w:val="top"/>
          </w:tcPr>
          <w:p>
            <w:pPr>
              <w:rPr>
                <w:rFonts w:ascii="Arial"/>
                <w:sz w:val="21"/>
              </w:rPr>
            </w:pPr>
          </w:p>
        </w:tc>
        <w:tc>
          <w:tcPr>
            <w:tcW w:w="617" w:type="dxa"/>
            <w:vAlign w:val="top"/>
          </w:tcPr>
          <w:p>
            <w:pPr>
              <w:rPr>
                <w:rFonts w:ascii="Arial"/>
                <w:sz w:val="21"/>
              </w:rPr>
            </w:pPr>
          </w:p>
        </w:tc>
        <w:tc>
          <w:tcPr>
            <w:tcW w:w="638" w:type="dxa"/>
            <w:vAlign w:val="top"/>
          </w:tcPr>
          <w:p>
            <w:pPr>
              <w:rPr>
                <w:rFonts w:ascii="Arial"/>
                <w:sz w:val="21"/>
              </w:rPr>
            </w:pPr>
          </w:p>
        </w:tc>
        <w:tc>
          <w:tcPr>
            <w:tcW w:w="687" w:type="dxa"/>
            <w:vAlign w:val="top"/>
          </w:tcPr>
          <w:p>
            <w:pPr>
              <w:spacing w:before="91"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0.4</w:t>
            </w:r>
            <w:r>
              <w:rPr>
                <w:rFonts w:ascii="Times New Roman" w:hAnsi="Times New Roman" w:eastAsia="Times New Roman" w:cs="Times New Roman"/>
                <w:spacing w:val="2"/>
                <w:sz w:val="17"/>
                <w:szCs w:val="17"/>
              </w:rPr>
              <w:t>9</w:t>
            </w:r>
          </w:p>
        </w:tc>
        <w:tc>
          <w:tcPr>
            <w:tcW w:w="666" w:type="dxa"/>
            <w:vAlign w:val="top"/>
          </w:tcPr>
          <w:p>
            <w:pPr>
              <w:rPr>
                <w:rFonts w:ascii="Arial"/>
                <w:sz w:val="21"/>
              </w:rPr>
            </w:pPr>
          </w:p>
        </w:tc>
        <w:tc>
          <w:tcPr>
            <w:tcW w:w="823" w:type="dxa"/>
            <w:vAlign w:val="top"/>
          </w:tcPr>
          <w:p>
            <w:pPr>
              <w:spacing w:before="91" w:line="197" w:lineRule="auto"/>
              <w:ind w:left="26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0.4</w:t>
            </w:r>
            <w:r>
              <w:rPr>
                <w:rFonts w:ascii="Times New Roman" w:hAnsi="Times New Roman" w:eastAsia="Times New Roman" w:cs="Times New Roman"/>
                <w:spacing w:val="2"/>
                <w:sz w:val="17"/>
                <w:szCs w:val="17"/>
              </w:rPr>
              <w:t>9</w:t>
            </w:r>
          </w:p>
        </w:tc>
        <w:tc>
          <w:tcPr>
            <w:tcW w:w="933" w:type="dxa"/>
            <w:vAlign w:val="top"/>
          </w:tcPr>
          <w:p>
            <w:pPr>
              <w:rPr>
                <w:rFonts w:ascii="Arial"/>
                <w:sz w:val="21"/>
              </w:rPr>
            </w:pPr>
          </w:p>
        </w:tc>
        <w:tc>
          <w:tcPr>
            <w:tcW w:w="940" w:type="dxa"/>
            <w:vAlign w:val="top"/>
          </w:tcPr>
          <w:p>
            <w:pPr>
              <w:spacing w:before="91" w:line="197" w:lineRule="auto"/>
              <w:ind w:left="32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0.4</w:t>
            </w:r>
            <w:r>
              <w:rPr>
                <w:rFonts w:ascii="Times New Roman" w:hAnsi="Times New Roman" w:eastAsia="Times New Roman" w:cs="Times New Roman"/>
                <w:spacing w:val="2"/>
                <w:sz w:val="17"/>
                <w:szCs w:val="17"/>
              </w:rPr>
              <w:t>9</w:t>
            </w:r>
          </w:p>
        </w:tc>
        <w:tc>
          <w:tcPr>
            <w:tcW w:w="18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623" w:type="dxa"/>
            <w:vMerge w:val="continue"/>
            <w:tcBorders>
              <w:top w:val="nil"/>
              <w:left w:val="single" w:color="000000" w:sz="6" w:space="0"/>
              <w:bottom w:val="nil"/>
            </w:tcBorders>
            <w:vAlign w:val="top"/>
          </w:tcPr>
          <w:p>
            <w:pPr>
              <w:rPr>
                <w:rFonts w:ascii="Arial"/>
                <w:sz w:val="21"/>
              </w:rPr>
            </w:pPr>
          </w:p>
        </w:tc>
        <w:tc>
          <w:tcPr>
            <w:tcW w:w="1576" w:type="dxa"/>
            <w:vAlign w:val="top"/>
          </w:tcPr>
          <w:p>
            <w:pPr>
              <w:spacing w:before="60" w:line="212" w:lineRule="auto"/>
              <w:ind w:left="242"/>
              <w:rPr>
                <w:rFonts w:ascii="宋体" w:hAnsi="宋体" w:eastAsia="宋体" w:cs="宋体"/>
                <w:sz w:val="17"/>
                <w:szCs w:val="17"/>
              </w:rPr>
            </w:pPr>
            <w:r>
              <w:rPr>
                <w:rFonts w:ascii="宋体" w:hAnsi="宋体" w:eastAsia="宋体" w:cs="宋体"/>
                <w:spacing w:val="9"/>
                <w:sz w:val="17"/>
                <w:szCs w:val="17"/>
              </w:rPr>
              <w:t>施工临时场地区</w:t>
            </w:r>
          </w:p>
        </w:tc>
        <w:tc>
          <w:tcPr>
            <w:tcW w:w="1239" w:type="dxa"/>
            <w:vAlign w:val="top"/>
          </w:tcPr>
          <w:p>
            <w:pPr>
              <w:spacing w:before="91" w:line="197" w:lineRule="auto"/>
              <w:ind w:left="46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0 7</w:t>
            </w:r>
            <w:r>
              <w:rPr>
                <w:rFonts w:ascii="Times New Roman" w:hAnsi="Times New Roman" w:eastAsia="Times New Roman" w:cs="Times New Roman"/>
                <w:spacing w:val="2"/>
                <w:sz w:val="17"/>
                <w:szCs w:val="17"/>
              </w:rPr>
              <w:t>8</w:t>
            </w:r>
          </w:p>
        </w:tc>
        <w:tc>
          <w:tcPr>
            <w:tcW w:w="617" w:type="dxa"/>
            <w:vAlign w:val="top"/>
          </w:tcPr>
          <w:p>
            <w:pPr>
              <w:spacing w:before="91" w:line="197" w:lineRule="auto"/>
              <w:ind w:left="1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0 0</w:t>
            </w:r>
            <w:r>
              <w:rPr>
                <w:rFonts w:ascii="Times New Roman" w:hAnsi="Times New Roman" w:eastAsia="Times New Roman" w:cs="Times New Roman"/>
                <w:spacing w:val="2"/>
                <w:sz w:val="17"/>
                <w:szCs w:val="17"/>
              </w:rPr>
              <w:t>3</w:t>
            </w:r>
          </w:p>
        </w:tc>
        <w:tc>
          <w:tcPr>
            <w:tcW w:w="638" w:type="dxa"/>
            <w:vAlign w:val="top"/>
          </w:tcPr>
          <w:p>
            <w:pPr>
              <w:spacing w:before="91" w:line="197" w:lineRule="auto"/>
              <w:ind w:left="16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0 0</w:t>
            </w:r>
            <w:r>
              <w:rPr>
                <w:rFonts w:ascii="Times New Roman" w:hAnsi="Times New Roman" w:eastAsia="Times New Roman" w:cs="Times New Roman"/>
                <w:spacing w:val="2"/>
                <w:sz w:val="17"/>
                <w:szCs w:val="17"/>
              </w:rPr>
              <w:t>3</w:t>
            </w:r>
          </w:p>
        </w:tc>
        <w:tc>
          <w:tcPr>
            <w:tcW w:w="687" w:type="dxa"/>
            <w:vAlign w:val="top"/>
          </w:tcPr>
          <w:p>
            <w:pPr>
              <w:rPr>
                <w:rFonts w:ascii="Arial"/>
                <w:sz w:val="21"/>
              </w:rPr>
            </w:pPr>
          </w:p>
        </w:tc>
        <w:tc>
          <w:tcPr>
            <w:tcW w:w="666" w:type="dxa"/>
            <w:vAlign w:val="top"/>
          </w:tcPr>
          <w:p>
            <w:pPr>
              <w:spacing w:before="91" w:line="197" w:lineRule="auto"/>
              <w:ind w:left="18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0 5</w:t>
            </w:r>
            <w:r>
              <w:rPr>
                <w:rFonts w:ascii="Times New Roman" w:hAnsi="Times New Roman" w:eastAsia="Times New Roman" w:cs="Times New Roman"/>
                <w:spacing w:val="2"/>
                <w:sz w:val="17"/>
                <w:szCs w:val="17"/>
              </w:rPr>
              <w:t>1</w:t>
            </w:r>
          </w:p>
        </w:tc>
        <w:tc>
          <w:tcPr>
            <w:tcW w:w="823" w:type="dxa"/>
            <w:vAlign w:val="top"/>
          </w:tcPr>
          <w:p>
            <w:pPr>
              <w:spacing w:before="91" w:line="197" w:lineRule="auto"/>
              <w:ind w:left="27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1 3</w:t>
            </w:r>
            <w:r>
              <w:rPr>
                <w:rFonts w:ascii="Times New Roman" w:hAnsi="Times New Roman" w:eastAsia="Times New Roman" w:cs="Times New Roman"/>
                <w:sz w:val="17"/>
                <w:szCs w:val="17"/>
              </w:rPr>
              <w:t>5</w:t>
            </w:r>
          </w:p>
        </w:tc>
        <w:tc>
          <w:tcPr>
            <w:tcW w:w="933" w:type="dxa"/>
            <w:vAlign w:val="top"/>
          </w:tcPr>
          <w:p>
            <w:pPr>
              <w:rPr>
                <w:rFonts w:ascii="Arial"/>
                <w:sz w:val="21"/>
              </w:rPr>
            </w:pPr>
          </w:p>
        </w:tc>
        <w:tc>
          <w:tcPr>
            <w:tcW w:w="940" w:type="dxa"/>
            <w:vAlign w:val="top"/>
          </w:tcPr>
          <w:p>
            <w:pPr>
              <w:spacing w:before="91" w:line="197" w:lineRule="auto"/>
              <w:ind w:left="33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1 3</w:t>
            </w:r>
            <w:r>
              <w:rPr>
                <w:rFonts w:ascii="Times New Roman" w:hAnsi="Times New Roman" w:eastAsia="Times New Roman" w:cs="Times New Roman"/>
                <w:sz w:val="17"/>
                <w:szCs w:val="17"/>
              </w:rPr>
              <w:t>5</w:t>
            </w:r>
          </w:p>
        </w:tc>
        <w:tc>
          <w:tcPr>
            <w:tcW w:w="18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23" w:type="dxa"/>
            <w:vMerge w:val="continue"/>
            <w:tcBorders>
              <w:top w:val="nil"/>
              <w:left w:val="single" w:color="000000" w:sz="6" w:space="0"/>
              <w:bottom w:val="nil"/>
            </w:tcBorders>
            <w:vAlign w:val="top"/>
          </w:tcPr>
          <w:p>
            <w:pPr>
              <w:rPr>
                <w:rFonts w:ascii="Arial"/>
                <w:sz w:val="21"/>
              </w:rPr>
            </w:pPr>
          </w:p>
        </w:tc>
        <w:tc>
          <w:tcPr>
            <w:tcW w:w="1576" w:type="dxa"/>
            <w:vAlign w:val="top"/>
          </w:tcPr>
          <w:p>
            <w:pPr>
              <w:spacing w:before="91" w:line="232" w:lineRule="auto"/>
              <w:ind w:left="695"/>
              <w:rPr>
                <w:rFonts w:ascii="宋体" w:hAnsi="宋体" w:eastAsia="宋体" w:cs="宋体"/>
                <w:sz w:val="17"/>
                <w:szCs w:val="17"/>
              </w:rPr>
            </w:pPr>
            <w:r>
              <w:rPr>
                <w:rFonts w:ascii="宋体" w:hAnsi="宋体" w:eastAsia="宋体" w:cs="宋体"/>
                <w:spacing w:val="6"/>
                <w:sz w:val="17"/>
                <w:szCs w:val="17"/>
              </w:rPr>
              <w:t>合计</w:t>
            </w:r>
          </w:p>
        </w:tc>
        <w:tc>
          <w:tcPr>
            <w:tcW w:w="1239" w:type="dxa"/>
            <w:vAlign w:val="top"/>
          </w:tcPr>
          <w:p>
            <w:pPr>
              <w:spacing w:before="123" w:line="200" w:lineRule="auto"/>
              <w:ind w:left="47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1.0</w:t>
            </w:r>
            <w:r>
              <w:rPr>
                <w:rFonts w:ascii="Times New Roman" w:hAnsi="Times New Roman" w:eastAsia="Times New Roman" w:cs="Times New Roman"/>
                <w:sz w:val="17"/>
                <w:szCs w:val="17"/>
              </w:rPr>
              <w:t>7</w:t>
            </w:r>
          </w:p>
        </w:tc>
        <w:tc>
          <w:tcPr>
            <w:tcW w:w="617" w:type="dxa"/>
            <w:vAlign w:val="top"/>
          </w:tcPr>
          <w:p>
            <w:pPr>
              <w:spacing w:before="123" w:line="197" w:lineRule="auto"/>
              <w:ind w:left="6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0. 1254</w:t>
            </w:r>
          </w:p>
        </w:tc>
        <w:tc>
          <w:tcPr>
            <w:tcW w:w="638" w:type="dxa"/>
            <w:vAlign w:val="top"/>
          </w:tcPr>
          <w:p>
            <w:pPr>
              <w:spacing w:before="123" w:line="197" w:lineRule="auto"/>
              <w:ind w:left="7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0. 1302</w:t>
            </w:r>
          </w:p>
        </w:tc>
        <w:tc>
          <w:tcPr>
            <w:tcW w:w="687" w:type="dxa"/>
            <w:vAlign w:val="top"/>
          </w:tcPr>
          <w:p>
            <w:pPr>
              <w:spacing w:before="123" w:line="197" w:lineRule="auto"/>
              <w:ind w:left="99"/>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0</w:t>
            </w:r>
            <w:r>
              <w:rPr>
                <w:rFonts w:ascii="Times New Roman" w:hAnsi="Times New Roman" w:eastAsia="Times New Roman" w:cs="Times New Roman"/>
                <w:spacing w:val="3"/>
                <w:sz w:val="17"/>
                <w:szCs w:val="17"/>
              </w:rPr>
              <w:t>.9126</w:t>
            </w:r>
          </w:p>
        </w:tc>
        <w:tc>
          <w:tcPr>
            <w:tcW w:w="666" w:type="dxa"/>
            <w:vAlign w:val="top"/>
          </w:tcPr>
          <w:p>
            <w:pPr>
              <w:spacing w:before="123" w:line="200" w:lineRule="auto"/>
              <w:ind w:left="10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1.0037</w:t>
            </w:r>
          </w:p>
        </w:tc>
        <w:tc>
          <w:tcPr>
            <w:tcW w:w="823" w:type="dxa"/>
            <w:vAlign w:val="top"/>
          </w:tcPr>
          <w:p>
            <w:pPr>
              <w:spacing w:before="123" w:line="197" w:lineRule="auto"/>
              <w:ind w:left="17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3</w:t>
            </w:r>
            <w:r>
              <w:rPr>
                <w:rFonts w:ascii="Times New Roman" w:hAnsi="Times New Roman" w:eastAsia="Times New Roman" w:cs="Times New Roman"/>
                <w:spacing w:val="3"/>
                <w:sz w:val="17"/>
                <w:szCs w:val="17"/>
              </w:rPr>
              <w:t>.2419</w:t>
            </w:r>
          </w:p>
        </w:tc>
        <w:tc>
          <w:tcPr>
            <w:tcW w:w="933" w:type="dxa"/>
            <w:vAlign w:val="top"/>
          </w:tcPr>
          <w:p>
            <w:pPr>
              <w:spacing w:before="123" w:line="200" w:lineRule="auto"/>
              <w:ind w:left="24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.4019</w:t>
            </w:r>
          </w:p>
        </w:tc>
        <w:tc>
          <w:tcPr>
            <w:tcW w:w="940" w:type="dxa"/>
            <w:vAlign w:val="top"/>
          </w:tcPr>
          <w:p>
            <w:pPr>
              <w:spacing w:before="123" w:line="200" w:lineRule="auto"/>
              <w:ind w:left="33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1.8</w:t>
            </w:r>
            <w:r>
              <w:rPr>
                <w:rFonts w:ascii="Times New Roman" w:hAnsi="Times New Roman" w:eastAsia="Times New Roman" w:cs="Times New Roman"/>
                <w:sz w:val="17"/>
                <w:szCs w:val="17"/>
              </w:rPr>
              <w:t>4</w:t>
            </w:r>
          </w:p>
        </w:tc>
        <w:tc>
          <w:tcPr>
            <w:tcW w:w="18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3" w:hRule="atLeast"/>
        </w:trPr>
        <w:tc>
          <w:tcPr>
            <w:tcW w:w="623" w:type="dxa"/>
            <w:vMerge w:val="continue"/>
            <w:tcBorders>
              <w:top w:val="nil"/>
              <w:left w:val="single" w:color="000000" w:sz="6" w:space="0"/>
            </w:tcBorders>
            <w:vAlign w:val="top"/>
          </w:tcPr>
          <w:p>
            <w:pPr>
              <w:rPr>
                <w:rFonts w:ascii="Arial"/>
                <w:sz w:val="21"/>
              </w:rPr>
            </w:pPr>
          </w:p>
        </w:tc>
        <w:tc>
          <w:tcPr>
            <w:tcW w:w="8303" w:type="dxa"/>
            <w:gridSpan w:val="10"/>
            <w:tcBorders>
              <w:right w:val="single" w:color="000000" w:sz="6" w:space="0"/>
            </w:tcBorders>
            <w:vAlign w:val="top"/>
          </w:tcPr>
          <w:p>
            <w:pPr>
              <w:spacing w:before="146" w:line="369" w:lineRule="auto"/>
              <w:ind w:left="104" w:right="102" w:firstLine="424"/>
              <w:rPr>
                <w:rFonts w:ascii="宋体" w:hAnsi="宋体" w:eastAsia="宋体" w:cs="宋体"/>
                <w:sz w:val="20"/>
                <w:szCs w:val="20"/>
              </w:rPr>
            </w:pPr>
            <w:r>
              <w:rPr>
                <w:rFonts w:ascii="宋体" w:hAnsi="宋体" w:eastAsia="宋体" w:cs="宋体"/>
                <w:spacing w:val="9"/>
                <w:sz w:val="20"/>
                <w:szCs w:val="20"/>
              </w:rPr>
              <w:t>项</w:t>
            </w:r>
            <w:r>
              <w:rPr>
                <w:rFonts w:ascii="宋体" w:hAnsi="宋体" w:eastAsia="宋体" w:cs="宋体"/>
                <w:spacing w:val="7"/>
                <w:sz w:val="20"/>
                <w:szCs w:val="20"/>
              </w:rPr>
              <w:t>目主要为道路占地，占地类型主要为线型和小块型，占地不涉及永久基本农田，涉</w:t>
            </w:r>
            <w:r>
              <w:rPr>
                <w:rFonts w:ascii="宋体" w:hAnsi="宋体" w:eastAsia="宋体" w:cs="宋体"/>
                <w:sz w:val="20"/>
                <w:szCs w:val="20"/>
              </w:rPr>
              <w:t xml:space="preserve"> </w:t>
            </w:r>
            <w:r>
              <w:rPr>
                <w:rFonts w:ascii="宋体" w:hAnsi="宋体" w:eastAsia="宋体" w:cs="宋体"/>
                <w:spacing w:val="12"/>
                <w:sz w:val="20"/>
                <w:szCs w:val="20"/>
              </w:rPr>
              <w:t>及</w:t>
            </w:r>
            <w:r>
              <w:rPr>
                <w:rFonts w:ascii="宋体" w:hAnsi="宋体" w:eastAsia="宋体" w:cs="宋体"/>
                <w:spacing w:val="9"/>
                <w:sz w:val="20"/>
                <w:szCs w:val="20"/>
              </w:rPr>
              <w:t>的生态系统主要为水生生态系统、市政绿地系统。</w:t>
            </w:r>
          </w:p>
          <w:p>
            <w:pPr>
              <w:spacing w:line="226" w:lineRule="auto"/>
              <w:ind w:left="535"/>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6"/>
                <w:sz w:val="20"/>
                <w:szCs w:val="20"/>
              </w:rPr>
              <w:t>2</w:t>
            </w: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宋体" w:hAnsi="宋体" w:eastAsia="宋体" w:cs="宋体"/>
                <w:spacing w:val="16"/>
                <w:sz w:val="20"/>
                <w:szCs w:val="20"/>
              </w:rPr>
              <w:t xml:space="preserve"> </w:t>
            </w:r>
            <w:r>
              <w:rPr>
                <w:rFonts w:ascii="宋体" w:hAnsi="宋体" w:eastAsia="宋体" w:cs="宋体"/>
                <w:spacing w:val="16"/>
                <w:sz w:val="20"/>
                <w:szCs w:val="20"/>
                <w14:textOutline w14:w="3795" w14:cap="sq" w14:cmpd="sng">
                  <w14:solidFill>
                    <w14:srgbClr w14:val="000000"/>
                  </w14:solidFill>
                  <w14:prstDash w14:val="solid"/>
                  <w14:bevel/>
                </w14:textOutline>
              </w:rPr>
              <w:t>工程河段地形地貌</w:t>
            </w:r>
          </w:p>
          <w:p>
            <w:pPr>
              <w:spacing w:before="154" w:line="399" w:lineRule="exact"/>
              <w:ind w:left="531"/>
              <w:rPr>
                <w:rFonts w:ascii="宋体" w:hAnsi="宋体" w:eastAsia="宋体" w:cs="宋体"/>
                <w:sz w:val="20"/>
                <w:szCs w:val="20"/>
              </w:rPr>
            </w:pPr>
            <w:r>
              <w:rPr>
                <w:rFonts w:ascii="宋体" w:hAnsi="宋体" w:eastAsia="宋体" w:cs="宋体"/>
                <w:spacing w:val="7"/>
                <w:position w:val="14"/>
                <w:sz w:val="20"/>
                <w:szCs w:val="20"/>
              </w:rPr>
              <w:t>高家坝大气拟建场地属构造剥蚀丘陵地貌，州河内第四系松散堆积层厚度不大，出</w:t>
            </w:r>
            <w:r>
              <w:rPr>
                <w:rFonts w:ascii="宋体" w:hAnsi="宋体" w:eastAsia="宋体" w:cs="宋体"/>
                <w:spacing w:val="4"/>
                <w:position w:val="14"/>
                <w:sz w:val="20"/>
                <w:szCs w:val="20"/>
              </w:rPr>
              <w:t>露</w:t>
            </w:r>
          </w:p>
          <w:p>
            <w:pPr>
              <w:spacing w:line="227" w:lineRule="auto"/>
              <w:ind w:left="105"/>
              <w:rPr>
                <w:rFonts w:ascii="宋体" w:hAnsi="宋体" w:eastAsia="宋体" w:cs="宋体"/>
                <w:sz w:val="20"/>
                <w:szCs w:val="20"/>
              </w:rPr>
            </w:pPr>
            <w:r>
              <w:rPr>
                <w:rFonts w:ascii="宋体" w:hAnsi="宋体" w:eastAsia="宋体" w:cs="宋体"/>
                <w:spacing w:val="14"/>
                <w:sz w:val="20"/>
                <w:szCs w:val="20"/>
              </w:rPr>
              <w:t>基</w:t>
            </w:r>
            <w:r>
              <w:rPr>
                <w:rFonts w:ascii="宋体" w:hAnsi="宋体" w:eastAsia="宋体" w:cs="宋体"/>
                <w:spacing w:val="9"/>
                <w:sz w:val="20"/>
                <w:szCs w:val="20"/>
              </w:rPr>
              <w:t>岩</w:t>
            </w:r>
            <w:r>
              <w:rPr>
                <w:rFonts w:ascii="宋体" w:hAnsi="宋体" w:eastAsia="宋体" w:cs="宋体"/>
                <w:spacing w:val="7"/>
                <w:sz w:val="20"/>
                <w:szCs w:val="20"/>
              </w:rPr>
              <w:t>为侏罗系中统上沙溪庙组砂岩与粉砂质泥岩等土层，工程处河流较为平顺。河床和漫</w:t>
            </w:r>
          </w:p>
        </w:tc>
      </w:tr>
    </w:tbl>
    <w:p>
      <w:pPr>
        <w:spacing w:before="125" w:line="194" w:lineRule="auto"/>
        <w:ind w:right="49"/>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- 55 </w:t>
      </w:r>
      <w:r>
        <w:rPr>
          <w:rFonts w:ascii="Times New Roman" w:hAnsi="Times New Roman" w:eastAsia="Times New Roman" w:cs="Times New Roman"/>
          <w:spacing w:val="2"/>
          <w:sz w:val="17"/>
          <w:szCs w:val="17"/>
        </w:rPr>
        <w:t>-</w:t>
      </w:r>
    </w:p>
    <w:p>
      <w:pPr>
        <w:sectPr>
          <w:footerReference r:id="rId60" w:type="default"/>
          <w:pgSz w:w="11906" w:h="16839"/>
          <w:pgMar w:top="400" w:right="1482" w:bottom="400" w:left="1482" w:header="0" w:footer="0" w:gutter="0"/>
          <w:cols w:space="720" w:num="1"/>
        </w:sectPr>
      </w:pPr>
    </w:p>
    <w:p/>
    <w:p/>
    <w:p/>
    <w:p/>
    <w:p>
      <w:pPr>
        <w:spacing w:line="221" w:lineRule="exact"/>
      </w:pPr>
    </w:p>
    <w:tbl>
      <w:tblPr>
        <w:tblStyle w:val="4"/>
        <w:tblW w:w="892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2"/>
        <w:gridCol w:w="83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7" w:hRule="atLeast"/>
        </w:trPr>
        <w:tc>
          <w:tcPr>
            <w:tcW w:w="622" w:type="dxa"/>
            <w:tcBorders>
              <w:left w:val="single" w:color="00000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5" w:line="261" w:lineRule="auto"/>
              <w:ind w:left="99" w:right="100" w:firstLine="1"/>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生态</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环境</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现状</w:t>
            </w:r>
          </w:p>
        </w:tc>
        <w:tc>
          <w:tcPr>
            <w:tcW w:w="8304" w:type="dxa"/>
            <w:tcBorders>
              <w:right w:val="single" w:color="000000" w:sz="6" w:space="0"/>
            </w:tcBorders>
            <w:vAlign w:val="top"/>
          </w:tcPr>
          <w:p>
            <w:pPr>
              <w:spacing w:before="155" w:line="369" w:lineRule="auto"/>
              <w:ind w:left="106" w:right="57"/>
              <w:rPr>
                <w:rFonts w:ascii="宋体" w:hAnsi="宋体" w:eastAsia="宋体" w:cs="宋体"/>
                <w:sz w:val="20"/>
                <w:szCs w:val="20"/>
              </w:rPr>
            </w:pPr>
            <w:r>
              <w:rPr>
                <w:rFonts w:ascii="宋体" w:hAnsi="宋体" w:eastAsia="宋体" w:cs="宋体"/>
                <w:spacing w:val="8"/>
                <w:sz w:val="20"/>
                <w:szCs w:val="20"/>
              </w:rPr>
              <w:t xml:space="preserve">滩多见粉质粘土，两岸低山海拔 </w:t>
            </w:r>
            <w:r>
              <w:rPr>
                <w:rFonts w:ascii="Times New Roman" w:hAnsi="Times New Roman" w:eastAsia="Times New Roman" w:cs="Times New Roman"/>
                <w:spacing w:val="8"/>
                <w:sz w:val="20"/>
                <w:szCs w:val="20"/>
              </w:rPr>
              <w:t>340</w:t>
            </w:r>
            <w:r>
              <w:rPr>
                <w:rFonts w:ascii="宋体" w:hAnsi="宋体" w:eastAsia="宋体" w:cs="宋体"/>
                <w:spacing w:val="8"/>
                <w:sz w:val="20"/>
                <w:szCs w:val="20"/>
              </w:rPr>
              <w:t>~</w:t>
            </w:r>
            <w:r>
              <w:rPr>
                <w:rFonts w:ascii="Times New Roman" w:hAnsi="Times New Roman" w:eastAsia="Times New Roman" w:cs="Times New Roman"/>
                <w:spacing w:val="8"/>
                <w:sz w:val="20"/>
                <w:szCs w:val="20"/>
              </w:rPr>
              <w:t>420</w:t>
            </w:r>
            <w:r>
              <w:rPr>
                <w:rFonts w:ascii="Times New Roman" w:hAnsi="Times New Roman" w:eastAsia="Times New Roman" w:cs="Times New Roman"/>
                <w:sz w:val="20"/>
                <w:szCs w:val="20"/>
              </w:rPr>
              <w:t>m</w:t>
            </w:r>
            <w:r>
              <w:rPr>
                <w:rFonts w:ascii="宋体" w:hAnsi="宋体" w:eastAsia="宋体" w:cs="宋体"/>
                <w:spacing w:val="8"/>
                <w:sz w:val="20"/>
                <w:szCs w:val="20"/>
              </w:rPr>
              <w:t>，厚层砂岩出露处形成陡坎。两岸斜坡受坡</w:t>
            </w:r>
            <w:r>
              <w:rPr>
                <w:rFonts w:ascii="宋体" w:hAnsi="宋体" w:eastAsia="宋体" w:cs="宋体"/>
                <w:spacing w:val="1"/>
                <w:sz w:val="20"/>
                <w:szCs w:val="20"/>
              </w:rPr>
              <w:t>表</w:t>
            </w:r>
            <w:r>
              <w:rPr>
                <w:rFonts w:ascii="宋体" w:hAnsi="宋体" w:eastAsia="宋体" w:cs="宋体"/>
                <w:sz w:val="20"/>
                <w:szCs w:val="20"/>
              </w:rPr>
              <w:t xml:space="preserve"> </w:t>
            </w:r>
            <w:r>
              <w:rPr>
                <w:rFonts w:ascii="宋体" w:hAnsi="宋体" w:eastAsia="宋体" w:cs="宋体"/>
                <w:spacing w:val="16"/>
                <w:sz w:val="20"/>
                <w:szCs w:val="20"/>
              </w:rPr>
              <w:t>冲沟</w:t>
            </w:r>
            <w:r>
              <w:rPr>
                <w:rFonts w:ascii="宋体" w:hAnsi="宋体" w:eastAsia="宋体" w:cs="宋体"/>
                <w:spacing w:val="9"/>
                <w:sz w:val="20"/>
                <w:szCs w:val="20"/>
              </w:rPr>
              <w:t>及</w:t>
            </w:r>
            <w:r>
              <w:rPr>
                <w:rFonts w:ascii="宋体" w:hAnsi="宋体" w:eastAsia="宋体" w:cs="宋体"/>
                <w:spacing w:val="8"/>
                <w:sz w:val="20"/>
                <w:szCs w:val="20"/>
              </w:rPr>
              <w:t>人工改造影响，地形呈陡缓相间的阶梯状台地呈带状分布，多开垦为水田或旱地，</w:t>
            </w:r>
            <w:r>
              <w:rPr>
                <w:rFonts w:ascii="宋体" w:hAnsi="宋体" w:eastAsia="宋体" w:cs="宋体"/>
                <w:sz w:val="20"/>
                <w:szCs w:val="20"/>
              </w:rPr>
              <w:t xml:space="preserve"> </w:t>
            </w:r>
            <w:r>
              <w:rPr>
                <w:rFonts w:ascii="宋体" w:hAnsi="宋体" w:eastAsia="宋体" w:cs="宋体"/>
                <w:spacing w:val="9"/>
                <w:sz w:val="20"/>
                <w:szCs w:val="20"/>
              </w:rPr>
              <w:t>坡表多为坡洪积及坡残积层的粉质粘土</w:t>
            </w:r>
            <w:r>
              <w:rPr>
                <w:rFonts w:ascii="宋体" w:hAnsi="宋体" w:eastAsia="宋体" w:cs="宋体"/>
                <w:spacing w:val="7"/>
                <w:sz w:val="20"/>
                <w:szCs w:val="20"/>
              </w:rPr>
              <w:t>。</w:t>
            </w:r>
          </w:p>
          <w:p>
            <w:pPr>
              <w:spacing w:before="2" w:line="369" w:lineRule="auto"/>
              <w:ind w:left="107" w:right="102" w:firstLine="419"/>
              <w:rPr>
                <w:rFonts w:ascii="宋体" w:hAnsi="宋体" w:eastAsia="宋体" w:cs="宋体"/>
                <w:sz w:val="20"/>
                <w:szCs w:val="20"/>
              </w:rPr>
            </w:pPr>
            <w:r>
              <w:rPr>
                <w:rFonts w:ascii="宋体" w:hAnsi="宋体" w:eastAsia="宋体" w:cs="宋体"/>
                <w:spacing w:val="12"/>
                <w:sz w:val="20"/>
                <w:szCs w:val="20"/>
              </w:rPr>
              <w:t>拟</w:t>
            </w:r>
            <w:r>
              <w:rPr>
                <w:rFonts w:ascii="宋体" w:hAnsi="宋体" w:eastAsia="宋体" w:cs="宋体"/>
                <w:spacing w:val="7"/>
                <w:sz w:val="20"/>
                <w:szCs w:val="20"/>
              </w:rPr>
              <w:t>建工程区横跨州河，河道属于侵蚀堆积地貌，河岸属于构造剥蚀丘陵地貌。场地钻</w:t>
            </w:r>
            <w:r>
              <w:rPr>
                <w:rFonts w:ascii="宋体" w:hAnsi="宋体" w:eastAsia="宋体" w:cs="宋体"/>
                <w:sz w:val="20"/>
                <w:szCs w:val="20"/>
              </w:rPr>
              <w:t xml:space="preserve"> </w:t>
            </w:r>
            <w:r>
              <w:rPr>
                <w:rFonts w:ascii="宋体" w:hAnsi="宋体" w:eastAsia="宋体" w:cs="宋体"/>
                <w:spacing w:val="2"/>
                <w:sz w:val="20"/>
                <w:szCs w:val="20"/>
              </w:rPr>
              <w:t xml:space="preserve">孔孔口标高在 </w:t>
            </w:r>
            <w:r>
              <w:rPr>
                <w:rFonts w:ascii="Times New Roman" w:hAnsi="Times New Roman" w:eastAsia="Times New Roman" w:cs="Times New Roman"/>
                <w:spacing w:val="2"/>
                <w:sz w:val="20"/>
                <w:szCs w:val="20"/>
              </w:rPr>
              <w:t>259.9</w:t>
            </w:r>
            <w:r>
              <w:rPr>
                <w:rFonts w:ascii="Times New Roman" w:hAnsi="Times New Roman" w:eastAsia="Times New Roman" w:cs="Times New Roman"/>
                <w:spacing w:val="1"/>
                <w:sz w:val="20"/>
                <w:szCs w:val="20"/>
              </w:rPr>
              <w:t>2-285.07</w:t>
            </w:r>
            <w:r>
              <w:rPr>
                <w:rFonts w:ascii="Times New Roman" w:hAnsi="Times New Roman" w:eastAsia="Times New Roman" w:cs="Times New Roman"/>
                <w:sz w:val="20"/>
                <w:szCs w:val="20"/>
              </w:rPr>
              <w:t>m</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，高差达 </w:t>
            </w:r>
            <w:r>
              <w:rPr>
                <w:rFonts w:ascii="Times New Roman" w:hAnsi="Times New Roman" w:eastAsia="Times New Roman" w:cs="Times New Roman"/>
                <w:spacing w:val="1"/>
                <w:sz w:val="20"/>
                <w:szCs w:val="20"/>
              </w:rPr>
              <w:t>25</w:t>
            </w:r>
            <w:r>
              <w:rPr>
                <w:rFonts w:ascii="Times New Roman" w:hAnsi="Times New Roman" w:eastAsia="Times New Roman" w:cs="Times New Roman"/>
                <w:sz w:val="20"/>
                <w:szCs w:val="20"/>
              </w:rPr>
              <w:t>m</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，地形起伏较大。</w:t>
            </w:r>
          </w:p>
          <w:p>
            <w:pPr>
              <w:spacing w:line="227" w:lineRule="auto"/>
              <w:ind w:left="536"/>
              <w:rPr>
                <w:rFonts w:ascii="宋体" w:hAnsi="宋体" w:eastAsia="宋体" w:cs="宋体"/>
                <w:sz w:val="20"/>
                <w:szCs w:val="20"/>
              </w:rPr>
            </w:pPr>
            <w:r>
              <w:rPr>
                <w:rFonts w:ascii="宋体" w:hAnsi="宋体" w:eastAsia="宋体" w:cs="宋体"/>
                <w:spacing w:val="19"/>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9"/>
                <w:sz w:val="20"/>
                <w:szCs w:val="20"/>
              </w:rPr>
              <w:t>3</w:t>
            </w:r>
            <w:r>
              <w:rPr>
                <w:rFonts w:ascii="宋体" w:hAnsi="宋体" w:eastAsia="宋体" w:cs="宋体"/>
                <w:spacing w:val="19"/>
                <w:sz w:val="20"/>
                <w:szCs w:val="20"/>
                <w14:textOutline w14:w="3795" w14:cap="sq" w14:cmpd="sng">
                  <w14:solidFill>
                    <w14:srgbClr w14:val="000000"/>
                  </w14:solidFill>
                  <w14:prstDash w14:val="solid"/>
                  <w14:bevel/>
                </w14:textOutline>
              </w:rPr>
              <w:t>)</w:t>
            </w:r>
            <w:r>
              <w:rPr>
                <w:rFonts w:ascii="宋体" w:hAnsi="宋体" w:eastAsia="宋体" w:cs="宋体"/>
                <w:spacing w:val="19"/>
                <w:sz w:val="20"/>
                <w:szCs w:val="20"/>
              </w:rPr>
              <w:t xml:space="preserve"> </w:t>
            </w:r>
            <w:r>
              <w:rPr>
                <w:rFonts w:ascii="宋体" w:hAnsi="宋体" w:eastAsia="宋体" w:cs="宋体"/>
                <w:spacing w:val="19"/>
                <w:sz w:val="20"/>
                <w:szCs w:val="20"/>
                <w14:textOutline w14:w="3795" w14:cap="sq" w14:cmpd="sng">
                  <w14:solidFill>
                    <w14:srgbClr w14:val="000000"/>
                  </w14:solidFill>
                  <w14:prstDash w14:val="solid"/>
                  <w14:bevel/>
                </w14:textOutline>
              </w:rPr>
              <w:t>流域现状</w:t>
            </w:r>
          </w:p>
          <w:p>
            <w:pPr>
              <w:spacing w:before="149" w:line="370" w:lineRule="auto"/>
              <w:ind w:left="107" w:right="102" w:firstLine="420"/>
              <w:rPr>
                <w:rFonts w:ascii="宋体" w:hAnsi="宋体" w:eastAsia="宋体" w:cs="宋体"/>
                <w:sz w:val="20"/>
                <w:szCs w:val="20"/>
              </w:rPr>
            </w:pPr>
            <w:r>
              <w:rPr>
                <w:rFonts w:ascii="宋体" w:hAnsi="宋体" w:eastAsia="宋体" w:cs="宋体"/>
                <w:spacing w:val="11"/>
                <w:sz w:val="20"/>
                <w:szCs w:val="20"/>
              </w:rPr>
              <w:t>州</w:t>
            </w:r>
            <w:r>
              <w:rPr>
                <w:rFonts w:ascii="宋体" w:hAnsi="宋体" w:eastAsia="宋体" w:cs="宋体"/>
                <w:spacing w:val="7"/>
                <w:sz w:val="20"/>
                <w:szCs w:val="20"/>
              </w:rPr>
              <w:t>河属渠江水系一级支流，上源分前、中、后河三支，均发源于大巴山南麓。前河为</w:t>
            </w:r>
            <w:r>
              <w:rPr>
                <w:rFonts w:ascii="宋体" w:hAnsi="宋体" w:eastAsia="宋体" w:cs="宋体"/>
                <w:sz w:val="20"/>
                <w:szCs w:val="20"/>
              </w:rPr>
              <w:t xml:space="preserve"> </w:t>
            </w:r>
            <w:r>
              <w:rPr>
                <w:rFonts w:ascii="宋体" w:hAnsi="宋体" w:eastAsia="宋体" w:cs="宋体"/>
                <w:spacing w:val="10"/>
                <w:sz w:val="20"/>
                <w:szCs w:val="20"/>
              </w:rPr>
              <w:t>主流</w:t>
            </w:r>
            <w:r>
              <w:rPr>
                <w:rFonts w:ascii="宋体" w:hAnsi="宋体" w:eastAsia="宋体" w:cs="宋体"/>
                <w:spacing w:val="5"/>
                <w:sz w:val="20"/>
                <w:szCs w:val="20"/>
              </w:rPr>
              <w:t xml:space="preserve">，发源于城口县燕麦乡光头山，海拔 </w:t>
            </w:r>
            <w:r>
              <w:rPr>
                <w:rFonts w:ascii="Times New Roman" w:hAnsi="Times New Roman" w:eastAsia="Times New Roman" w:cs="Times New Roman"/>
                <w:spacing w:val="5"/>
                <w:sz w:val="20"/>
                <w:szCs w:val="20"/>
              </w:rPr>
              <w:t>2685.7</w:t>
            </w:r>
            <w:r>
              <w:rPr>
                <w:rFonts w:ascii="Times New Roman" w:hAnsi="Times New Roman" w:eastAsia="Times New Roman" w:cs="Times New Roman"/>
                <w:sz w:val="20"/>
                <w:szCs w:val="20"/>
              </w:rPr>
              <w:t>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，自北东向西南流，至宣汉县城附近与</w:t>
            </w:r>
            <w:r>
              <w:rPr>
                <w:rFonts w:ascii="宋体" w:hAnsi="宋体" w:eastAsia="宋体" w:cs="宋体"/>
                <w:sz w:val="20"/>
                <w:szCs w:val="20"/>
              </w:rPr>
              <w:t xml:space="preserve"> </w:t>
            </w:r>
            <w:r>
              <w:rPr>
                <w:rFonts w:ascii="宋体" w:hAnsi="宋体" w:eastAsia="宋体" w:cs="宋体"/>
                <w:spacing w:val="14"/>
                <w:sz w:val="20"/>
                <w:szCs w:val="20"/>
              </w:rPr>
              <w:t>后</w:t>
            </w:r>
            <w:r>
              <w:rPr>
                <w:rFonts w:ascii="宋体" w:hAnsi="宋体" w:eastAsia="宋体" w:cs="宋体"/>
                <w:spacing w:val="11"/>
                <w:sz w:val="20"/>
                <w:szCs w:val="20"/>
              </w:rPr>
              <w:t>河</w:t>
            </w:r>
            <w:r>
              <w:rPr>
                <w:rFonts w:ascii="宋体" w:hAnsi="宋体" w:eastAsia="宋体" w:cs="宋体"/>
                <w:spacing w:val="7"/>
                <w:sz w:val="20"/>
                <w:szCs w:val="20"/>
              </w:rPr>
              <w:t>汇合后始称州河，继续西南流，经宣汉、通川区、达川区至渠县三汇镇汇入渠江。地</w:t>
            </w:r>
            <w:r>
              <w:rPr>
                <w:rFonts w:ascii="宋体" w:hAnsi="宋体" w:eastAsia="宋体" w:cs="宋体"/>
                <w:sz w:val="20"/>
                <w:szCs w:val="20"/>
              </w:rPr>
              <w:t xml:space="preserve"> </w:t>
            </w:r>
            <w:r>
              <w:rPr>
                <w:rFonts w:ascii="宋体" w:hAnsi="宋体" w:eastAsia="宋体" w:cs="宋体"/>
                <w:spacing w:val="6"/>
                <w:sz w:val="20"/>
                <w:szCs w:val="20"/>
              </w:rPr>
              <w:t xml:space="preserve">理位置介于东经 </w:t>
            </w:r>
            <w:r>
              <w:rPr>
                <w:rFonts w:ascii="Times New Roman" w:hAnsi="Times New Roman" w:eastAsia="Times New Roman" w:cs="Times New Roman"/>
                <w:spacing w:val="6"/>
                <w:sz w:val="20"/>
                <w:szCs w:val="20"/>
              </w:rPr>
              <w:t>107°10′</w:t>
            </w:r>
            <w:r>
              <w:rPr>
                <w:rFonts w:ascii="宋体" w:hAnsi="宋体" w:eastAsia="宋体" w:cs="宋体"/>
                <w:spacing w:val="6"/>
                <w:sz w:val="20"/>
                <w:szCs w:val="20"/>
              </w:rPr>
              <w:t>~</w:t>
            </w:r>
            <w:r>
              <w:rPr>
                <w:rFonts w:ascii="Times New Roman" w:hAnsi="Times New Roman" w:eastAsia="Times New Roman" w:cs="Times New Roman"/>
                <w:spacing w:val="6"/>
                <w:sz w:val="20"/>
                <w:szCs w:val="20"/>
              </w:rPr>
              <w:t>109°01′</w:t>
            </w:r>
            <w:r>
              <w:rPr>
                <w:rFonts w:ascii="宋体" w:hAnsi="宋体" w:eastAsia="宋体" w:cs="宋体"/>
                <w:spacing w:val="6"/>
                <w:sz w:val="20"/>
                <w:szCs w:val="20"/>
              </w:rPr>
              <w:t xml:space="preserve">、北纬 </w:t>
            </w:r>
            <w:r>
              <w:rPr>
                <w:rFonts w:ascii="Times New Roman" w:hAnsi="Times New Roman" w:eastAsia="Times New Roman" w:cs="Times New Roman"/>
                <w:spacing w:val="6"/>
                <w:sz w:val="20"/>
                <w:szCs w:val="20"/>
              </w:rPr>
              <w:t>30°37′</w:t>
            </w:r>
            <w:r>
              <w:rPr>
                <w:rFonts w:ascii="宋体" w:hAnsi="宋体" w:eastAsia="宋体" w:cs="宋体"/>
                <w:spacing w:val="6"/>
                <w:sz w:val="20"/>
                <w:szCs w:val="20"/>
              </w:rPr>
              <w:t>~</w:t>
            </w:r>
            <w:r>
              <w:rPr>
                <w:rFonts w:ascii="Times New Roman" w:hAnsi="Times New Roman" w:eastAsia="Times New Roman" w:cs="Times New Roman"/>
                <w:spacing w:val="6"/>
                <w:sz w:val="20"/>
                <w:szCs w:val="20"/>
              </w:rPr>
              <w:t>32°15′</w:t>
            </w:r>
            <w:r>
              <w:rPr>
                <w:rFonts w:ascii="宋体" w:hAnsi="宋体" w:eastAsia="宋体" w:cs="宋体"/>
                <w:spacing w:val="6"/>
                <w:sz w:val="20"/>
                <w:szCs w:val="20"/>
              </w:rPr>
              <w:t xml:space="preserve">之间，主河道长 </w:t>
            </w:r>
            <w:r>
              <w:rPr>
                <w:rFonts w:ascii="Times New Roman" w:hAnsi="Times New Roman" w:eastAsia="Times New Roman" w:cs="Times New Roman"/>
                <w:spacing w:val="6"/>
                <w:sz w:val="20"/>
                <w:szCs w:val="20"/>
              </w:rPr>
              <w:t>310</w:t>
            </w:r>
            <w:r>
              <w:rPr>
                <w:rFonts w:ascii="Times New Roman" w:hAnsi="Times New Roman" w:eastAsia="Times New Roman" w:cs="Times New Roman"/>
                <w:sz w:val="20"/>
                <w:szCs w:val="20"/>
              </w:rPr>
              <w:t>km</w:t>
            </w:r>
            <w:r>
              <w:rPr>
                <w:rFonts w:ascii="宋体" w:hAnsi="宋体" w:eastAsia="宋体" w:cs="宋体"/>
                <w:spacing w:val="6"/>
                <w:sz w:val="20"/>
                <w:szCs w:val="20"/>
              </w:rPr>
              <w:t>，控制流</w:t>
            </w:r>
            <w:r>
              <w:rPr>
                <w:rFonts w:ascii="宋体" w:hAnsi="宋体" w:eastAsia="宋体" w:cs="宋体"/>
                <w:spacing w:val="1"/>
                <w:sz w:val="20"/>
                <w:szCs w:val="20"/>
              </w:rPr>
              <w:t>域</w:t>
            </w:r>
            <w:r>
              <w:rPr>
                <w:rFonts w:ascii="宋体" w:hAnsi="宋体" w:eastAsia="宋体" w:cs="宋体"/>
                <w:sz w:val="20"/>
                <w:szCs w:val="20"/>
              </w:rPr>
              <w:t xml:space="preserve"> </w:t>
            </w:r>
            <w:r>
              <w:rPr>
                <w:rFonts w:ascii="宋体" w:hAnsi="宋体" w:eastAsia="宋体" w:cs="宋体"/>
                <w:spacing w:val="-2"/>
                <w:sz w:val="20"/>
                <w:szCs w:val="20"/>
              </w:rPr>
              <w:t xml:space="preserve">面积 </w:t>
            </w:r>
            <w:r>
              <w:rPr>
                <w:rFonts w:ascii="Times New Roman" w:hAnsi="Times New Roman" w:eastAsia="Times New Roman" w:cs="Times New Roman"/>
                <w:spacing w:val="-2"/>
                <w:sz w:val="20"/>
                <w:szCs w:val="20"/>
              </w:rPr>
              <w:t>11165</w:t>
            </w:r>
            <w:r>
              <w:rPr>
                <w:rFonts w:ascii="Times New Roman" w:hAnsi="Times New Roman" w:eastAsia="Times New Roman" w:cs="Times New Roman"/>
                <w:spacing w:val="-1"/>
                <w:sz w:val="20"/>
                <w:szCs w:val="20"/>
              </w:rPr>
              <w:t>km</w:t>
            </w:r>
            <w:r>
              <w:rPr>
                <w:rFonts w:ascii="宋体" w:hAnsi="宋体" w:eastAsia="宋体" w:cs="宋体"/>
                <w:spacing w:val="-2"/>
                <w:sz w:val="20"/>
                <w:szCs w:val="20"/>
              </w:rPr>
              <w:t xml:space="preserve">² </w:t>
            </w:r>
            <w:r>
              <w:rPr>
                <w:rFonts w:ascii="宋体" w:hAnsi="宋体" w:eastAsia="宋体" w:cs="宋体"/>
                <w:spacing w:val="-1"/>
                <w:sz w:val="20"/>
                <w:szCs w:val="20"/>
              </w:rPr>
              <w:t>，流域形状呈扇形。</w:t>
            </w:r>
          </w:p>
          <w:p>
            <w:pPr>
              <w:spacing w:before="1" w:line="369" w:lineRule="auto"/>
              <w:ind w:left="106" w:right="102" w:firstLine="420"/>
              <w:rPr>
                <w:rFonts w:ascii="宋体" w:hAnsi="宋体" w:eastAsia="宋体" w:cs="宋体"/>
                <w:sz w:val="20"/>
                <w:szCs w:val="20"/>
              </w:rPr>
            </w:pPr>
            <w:r>
              <w:rPr>
                <w:rFonts w:ascii="宋体" w:hAnsi="宋体" w:eastAsia="宋体" w:cs="宋体"/>
                <w:spacing w:val="11"/>
                <w:sz w:val="20"/>
                <w:szCs w:val="20"/>
              </w:rPr>
              <w:t>州</w:t>
            </w:r>
            <w:r>
              <w:rPr>
                <w:rFonts w:ascii="宋体" w:hAnsi="宋体" w:eastAsia="宋体" w:cs="宋体"/>
                <w:spacing w:val="7"/>
                <w:sz w:val="20"/>
                <w:szCs w:val="20"/>
              </w:rPr>
              <w:t>河流域水系发育，支流密布，上游主要支流有前河、中河和后河，中下游主要支流</w:t>
            </w:r>
            <w:r>
              <w:rPr>
                <w:rFonts w:ascii="宋体" w:hAnsi="宋体" w:eastAsia="宋体" w:cs="宋体"/>
                <w:sz w:val="20"/>
                <w:szCs w:val="20"/>
              </w:rPr>
              <w:t xml:space="preserve"> </w:t>
            </w:r>
            <w:r>
              <w:rPr>
                <w:rFonts w:ascii="宋体" w:hAnsi="宋体" w:eastAsia="宋体" w:cs="宋体"/>
                <w:spacing w:val="14"/>
                <w:sz w:val="20"/>
                <w:szCs w:val="20"/>
              </w:rPr>
              <w:t>有</w:t>
            </w:r>
            <w:r>
              <w:rPr>
                <w:rFonts w:ascii="宋体" w:hAnsi="宋体" w:eastAsia="宋体" w:cs="宋体"/>
                <w:spacing w:val="9"/>
                <w:sz w:val="20"/>
                <w:szCs w:val="20"/>
              </w:rPr>
              <w:t>明</w:t>
            </w:r>
            <w:r>
              <w:rPr>
                <w:rFonts w:ascii="宋体" w:hAnsi="宋体" w:eastAsia="宋体" w:cs="宋体"/>
                <w:spacing w:val="7"/>
                <w:sz w:val="20"/>
                <w:szCs w:val="20"/>
              </w:rPr>
              <w:t>月江、铜钵河、东柳河等，呈不对称分布，中下游主要支流均在左岸。地势由北向南</w:t>
            </w:r>
            <w:r>
              <w:rPr>
                <w:rFonts w:ascii="宋体" w:hAnsi="宋体" w:eastAsia="宋体" w:cs="宋体"/>
                <w:sz w:val="20"/>
                <w:szCs w:val="20"/>
              </w:rPr>
              <w:t xml:space="preserve"> </w:t>
            </w:r>
            <w:r>
              <w:rPr>
                <w:rFonts w:ascii="宋体" w:hAnsi="宋体" w:eastAsia="宋体" w:cs="宋体"/>
                <w:spacing w:val="17"/>
                <w:sz w:val="20"/>
                <w:szCs w:val="20"/>
              </w:rPr>
              <w:t>倾</w:t>
            </w:r>
            <w:r>
              <w:rPr>
                <w:rFonts w:ascii="宋体" w:hAnsi="宋体" w:eastAsia="宋体" w:cs="宋体"/>
                <w:spacing w:val="11"/>
                <w:sz w:val="20"/>
                <w:szCs w:val="20"/>
              </w:rPr>
              <w:t xml:space="preserve">斜，地形复杂，源头区域为重山叠嶂的高山区，分水岭海拔高程多在 </w:t>
            </w:r>
            <w:r>
              <w:rPr>
                <w:rFonts w:ascii="Times New Roman" w:hAnsi="Times New Roman" w:eastAsia="Times New Roman" w:cs="Times New Roman"/>
                <w:spacing w:val="11"/>
                <w:sz w:val="20"/>
                <w:szCs w:val="20"/>
              </w:rPr>
              <w:t>1500</w:t>
            </w:r>
            <w:r>
              <w:rPr>
                <w:rFonts w:ascii="宋体" w:hAnsi="宋体" w:eastAsia="宋体" w:cs="宋体"/>
                <w:spacing w:val="11"/>
                <w:sz w:val="20"/>
                <w:szCs w:val="20"/>
              </w:rPr>
              <w:t>~</w:t>
            </w:r>
            <w:r>
              <w:rPr>
                <w:rFonts w:ascii="Times New Roman" w:hAnsi="Times New Roman" w:eastAsia="Times New Roman" w:cs="Times New Roman"/>
                <w:spacing w:val="11"/>
                <w:sz w:val="20"/>
                <w:szCs w:val="20"/>
              </w:rPr>
              <w:t>2200</w:t>
            </w:r>
            <w:r>
              <w:rPr>
                <w:rFonts w:ascii="Times New Roman" w:hAnsi="Times New Roman" w:eastAsia="Times New Roman" w:cs="Times New Roman"/>
                <w:sz w:val="20"/>
                <w:szCs w:val="20"/>
              </w:rPr>
              <w:t>m</w:t>
            </w:r>
            <w:r>
              <w:rPr>
                <w:rFonts w:ascii="Times New Roman" w:hAnsi="Times New Roman" w:eastAsia="Times New Roman" w:cs="Times New Roman"/>
                <w:spacing w:val="11"/>
                <w:sz w:val="20"/>
                <w:szCs w:val="20"/>
              </w:rPr>
              <w:t xml:space="preserve"> </w:t>
            </w:r>
            <w:r>
              <w:rPr>
                <w:rFonts w:ascii="宋体" w:hAnsi="宋体" w:eastAsia="宋体" w:cs="宋体"/>
                <w:spacing w:val="11"/>
                <w:sz w:val="20"/>
                <w:szCs w:val="20"/>
              </w:rPr>
              <w:t>之</w:t>
            </w:r>
            <w:r>
              <w:rPr>
                <w:rFonts w:ascii="宋体" w:hAnsi="宋体" w:eastAsia="宋体" w:cs="宋体"/>
                <w:sz w:val="20"/>
                <w:szCs w:val="20"/>
              </w:rPr>
              <w:t xml:space="preserve"> </w:t>
            </w:r>
            <w:r>
              <w:rPr>
                <w:rFonts w:ascii="宋体" w:hAnsi="宋体" w:eastAsia="宋体" w:cs="宋体"/>
                <w:spacing w:val="9"/>
                <w:sz w:val="20"/>
                <w:szCs w:val="20"/>
              </w:rPr>
              <w:t xml:space="preserve">间，中、下游为低山深丘区，海拔高程多在 </w:t>
            </w:r>
            <w:r>
              <w:rPr>
                <w:rFonts w:ascii="Times New Roman" w:hAnsi="Times New Roman" w:eastAsia="Times New Roman" w:cs="Times New Roman"/>
                <w:spacing w:val="9"/>
                <w:sz w:val="20"/>
                <w:szCs w:val="20"/>
              </w:rPr>
              <w:t>500</w:t>
            </w:r>
            <w:r>
              <w:rPr>
                <w:rFonts w:ascii="宋体" w:hAnsi="宋体" w:eastAsia="宋体" w:cs="宋体"/>
                <w:spacing w:val="9"/>
                <w:sz w:val="20"/>
                <w:szCs w:val="20"/>
              </w:rPr>
              <w:t>~</w:t>
            </w:r>
            <w:r>
              <w:rPr>
                <w:rFonts w:ascii="Times New Roman" w:hAnsi="Times New Roman" w:eastAsia="Times New Roman" w:cs="Times New Roman"/>
                <w:spacing w:val="9"/>
                <w:sz w:val="20"/>
                <w:szCs w:val="20"/>
              </w:rPr>
              <w:t>1200</w:t>
            </w:r>
            <w:r>
              <w:rPr>
                <w:rFonts w:ascii="Times New Roman" w:hAnsi="Times New Roman" w:eastAsia="Times New Roman" w:cs="Times New Roman"/>
                <w:sz w:val="20"/>
                <w:szCs w:val="20"/>
              </w:rPr>
              <w:t>m</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，干流区域为丘陵区，海拔高</w:t>
            </w:r>
            <w:r>
              <w:rPr>
                <w:rFonts w:ascii="宋体" w:hAnsi="宋体" w:eastAsia="宋体" w:cs="宋体"/>
                <w:spacing w:val="1"/>
                <w:sz w:val="20"/>
                <w:szCs w:val="20"/>
              </w:rPr>
              <w:t>程</w:t>
            </w:r>
            <w:r>
              <w:rPr>
                <w:rFonts w:ascii="宋体" w:hAnsi="宋体" w:eastAsia="宋体" w:cs="宋体"/>
                <w:sz w:val="20"/>
                <w:szCs w:val="20"/>
              </w:rPr>
              <w:t xml:space="preserve"> </w:t>
            </w:r>
            <w:r>
              <w:rPr>
                <w:rFonts w:ascii="宋体" w:hAnsi="宋体" w:eastAsia="宋体" w:cs="宋体"/>
                <w:spacing w:val="16"/>
                <w:sz w:val="20"/>
                <w:szCs w:val="20"/>
              </w:rPr>
              <w:t>自上游</w:t>
            </w:r>
            <w:r>
              <w:rPr>
                <w:rFonts w:ascii="宋体" w:hAnsi="宋体" w:eastAsia="宋体" w:cs="宋体"/>
                <w:spacing w:val="13"/>
                <w:sz w:val="20"/>
                <w:szCs w:val="20"/>
              </w:rPr>
              <w:t>向</w:t>
            </w:r>
            <w:r>
              <w:rPr>
                <w:rFonts w:ascii="宋体" w:hAnsi="宋体" w:eastAsia="宋体" w:cs="宋体"/>
                <w:spacing w:val="8"/>
                <w:sz w:val="20"/>
                <w:szCs w:val="20"/>
              </w:rPr>
              <w:t xml:space="preserve">下游逐渐递减，至渠县三汇镇降至 </w:t>
            </w:r>
            <w:r>
              <w:rPr>
                <w:rFonts w:ascii="Times New Roman" w:hAnsi="Times New Roman" w:eastAsia="Times New Roman" w:cs="Times New Roman"/>
                <w:spacing w:val="8"/>
                <w:sz w:val="20"/>
                <w:szCs w:val="20"/>
              </w:rPr>
              <w:t>240</w:t>
            </w:r>
            <w:r>
              <w:rPr>
                <w:rFonts w:ascii="Times New Roman" w:hAnsi="Times New Roman" w:eastAsia="Times New Roman" w:cs="Times New Roman"/>
                <w:sz w:val="20"/>
                <w:szCs w:val="20"/>
              </w:rPr>
              <w:t>m</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。上游属山溪性河流，河槽呈</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V</w:t>
            </w:r>
            <w:r>
              <w:rPr>
                <w:rFonts w:ascii="Times New Roman" w:hAnsi="Times New Roman" w:eastAsia="Times New Roman" w:cs="Times New Roman"/>
                <w:spacing w:val="8"/>
                <w:sz w:val="20"/>
                <w:szCs w:val="20"/>
              </w:rPr>
              <w:t>”</w:t>
            </w:r>
            <w:r>
              <w:rPr>
                <w:rFonts w:ascii="宋体" w:hAnsi="宋体" w:eastAsia="宋体" w:cs="宋体"/>
                <w:spacing w:val="8"/>
                <w:sz w:val="20"/>
                <w:szCs w:val="20"/>
              </w:rPr>
              <w:t>型，</w:t>
            </w:r>
            <w:r>
              <w:rPr>
                <w:rFonts w:ascii="宋体" w:hAnsi="宋体" w:eastAsia="宋体" w:cs="宋体"/>
                <w:sz w:val="20"/>
                <w:szCs w:val="20"/>
              </w:rPr>
              <w:t xml:space="preserve"> </w:t>
            </w:r>
            <w:r>
              <w:rPr>
                <w:rFonts w:ascii="宋体" w:hAnsi="宋体" w:eastAsia="宋体" w:cs="宋体"/>
                <w:spacing w:val="12"/>
                <w:sz w:val="20"/>
                <w:szCs w:val="20"/>
              </w:rPr>
              <w:t>两岸</w:t>
            </w:r>
            <w:r>
              <w:rPr>
                <w:rFonts w:ascii="宋体" w:hAnsi="宋体" w:eastAsia="宋体" w:cs="宋体"/>
                <w:spacing w:val="9"/>
                <w:sz w:val="20"/>
                <w:szCs w:val="20"/>
              </w:rPr>
              <w:t>山</w:t>
            </w:r>
            <w:r>
              <w:rPr>
                <w:rFonts w:ascii="宋体" w:hAnsi="宋体" w:eastAsia="宋体" w:cs="宋体"/>
                <w:spacing w:val="6"/>
                <w:sz w:val="20"/>
                <w:szCs w:val="20"/>
              </w:rPr>
              <w:t xml:space="preserve">势陡峻，相对高差在 </w:t>
            </w:r>
            <w:r>
              <w:rPr>
                <w:rFonts w:ascii="Times New Roman" w:hAnsi="Times New Roman" w:eastAsia="Times New Roman" w:cs="Times New Roman"/>
                <w:spacing w:val="6"/>
                <w:sz w:val="20"/>
                <w:szCs w:val="20"/>
              </w:rPr>
              <w:t>1000</w:t>
            </w:r>
            <w:r>
              <w:rPr>
                <w:rFonts w:ascii="宋体" w:hAnsi="宋体" w:eastAsia="宋体" w:cs="宋体"/>
                <w:spacing w:val="6"/>
                <w:sz w:val="20"/>
                <w:szCs w:val="20"/>
              </w:rPr>
              <w:t>~</w:t>
            </w:r>
            <w:r>
              <w:rPr>
                <w:rFonts w:ascii="Times New Roman" w:hAnsi="Times New Roman" w:eastAsia="Times New Roman" w:cs="Times New Roman"/>
                <w:spacing w:val="6"/>
                <w:sz w:val="20"/>
                <w:szCs w:val="20"/>
              </w:rPr>
              <w:t>1500</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，河道蜿蜒曲折，沙滩、沙洲、卵砾石漫滩相间</w:t>
            </w:r>
            <w:r>
              <w:rPr>
                <w:rFonts w:ascii="宋体" w:hAnsi="宋体" w:eastAsia="宋体" w:cs="宋体"/>
                <w:sz w:val="20"/>
                <w:szCs w:val="20"/>
              </w:rPr>
              <w:t xml:space="preserve"> </w:t>
            </w:r>
            <w:r>
              <w:rPr>
                <w:rFonts w:ascii="宋体" w:hAnsi="宋体" w:eastAsia="宋体" w:cs="宋体"/>
                <w:spacing w:val="18"/>
                <w:sz w:val="20"/>
                <w:szCs w:val="20"/>
              </w:rPr>
              <w:t>分</w:t>
            </w:r>
            <w:r>
              <w:rPr>
                <w:rFonts w:ascii="宋体" w:hAnsi="宋体" w:eastAsia="宋体" w:cs="宋体"/>
                <w:spacing w:val="11"/>
                <w:sz w:val="20"/>
                <w:szCs w:val="20"/>
              </w:rPr>
              <w:t>布</w:t>
            </w:r>
            <w:r>
              <w:rPr>
                <w:rFonts w:ascii="宋体" w:hAnsi="宋体" w:eastAsia="宋体" w:cs="宋体"/>
                <w:spacing w:val="9"/>
                <w:sz w:val="20"/>
                <w:szCs w:val="20"/>
              </w:rPr>
              <w:t>，水流湍急，河道宽阔，河槽呈</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U</w:t>
            </w:r>
            <w:r>
              <w:rPr>
                <w:rFonts w:ascii="Times New Roman" w:hAnsi="Times New Roman" w:eastAsia="Times New Roman" w:cs="Times New Roman"/>
                <w:spacing w:val="9"/>
                <w:sz w:val="20"/>
                <w:szCs w:val="20"/>
              </w:rPr>
              <w:t>”</w:t>
            </w:r>
            <w:r>
              <w:rPr>
                <w:rFonts w:ascii="宋体" w:hAnsi="宋体" w:eastAsia="宋体" w:cs="宋体"/>
                <w:spacing w:val="9"/>
                <w:sz w:val="20"/>
                <w:szCs w:val="20"/>
              </w:rPr>
              <w:t>型，两岸山岭相对较低，河道坡降逐渐变缓，有</w:t>
            </w:r>
            <w:r>
              <w:rPr>
                <w:rFonts w:ascii="宋体" w:hAnsi="宋体" w:eastAsia="宋体" w:cs="宋体"/>
                <w:sz w:val="20"/>
                <w:szCs w:val="20"/>
              </w:rPr>
              <w:t xml:space="preserve"> </w:t>
            </w:r>
            <w:r>
              <w:rPr>
                <w:rFonts w:ascii="宋体" w:hAnsi="宋体" w:eastAsia="宋体" w:cs="宋体"/>
                <w:spacing w:val="14"/>
                <w:sz w:val="20"/>
                <w:szCs w:val="20"/>
              </w:rPr>
              <w:t>较</w:t>
            </w:r>
            <w:r>
              <w:rPr>
                <w:rFonts w:ascii="宋体" w:hAnsi="宋体" w:eastAsia="宋体" w:cs="宋体"/>
                <w:spacing w:val="9"/>
                <w:sz w:val="20"/>
                <w:szCs w:val="20"/>
              </w:rPr>
              <w:t>开</w:t>
            </w:r>
            <w:r>
              <w:rPr>
                <w:rFonts w:ascii="宋体" w:hAnsi="宋体" w:eastAsia="宋体" w:cs="宋体"/>
                <w:spacing w:val="7"/>
                <w:sz w:val="20"/>
                <w:szCs w:val="20"/>
              </w:rPr>
              <w:t>阔的河谷平坝出现，农耕发达，人烟稠密，经济繁荣，交通方便；流域地质构造属盆</w:t>
            </w:r>
            <w:r>
              <w:rPr>
                <w:rFonts w:ascii="宋体" w:hAnsi="宋体" w:eastAsia="宋体" w:cs="宋体"/>
                <w:sz w:val="20"/>
                <w:szCs w:val="20"/>
              </w:rPr>
              <w:t xml:space="preserve"> </w:t>
            </w:r>
            <w:r>
              <w:rPr>
                <w:rFonts w:ascii="宋体" w:hAnsi="宋体" w:eastAsia="宋体" w:cs="宋体"/>
                <w:spacing w:val="14"/>
                <w:sz w:val="20"/>
                <w:szCs w:val="20"/>
              </w:rPr>
              <w:t>地</w:t>
            </w:r>
            <w:r>
              <w:rPr>
                <w:rFonts w:ascii="宋体" w:hAnsi="宋体" w:eastAsia="宋体" w:cs="宋体"/>
                <w:spacing w:val="9"/>
                <w:sz w:val="20"/>
                <w:szCs w:val="20"/>
              </w:rPr>
              <w:t>东</w:t>
            </w:r>
            <w:r>
              <w:rPr>
                <w:rFonts w:ascii="宋体" w:hAnsi="宋体" w:eastAsia="宋体" w:cs="宋体"/>
                <w:spacing w:val="7"/>
                <w:sz w:val="20"/>
                <w:szCs w:val="20"/>
              </w:rPr>
              <w:t>北部大巴山弧形褶皱带及川中台拱边缘，出露地层有白垩系砂岩、砾岩夹泥层及侏罗</w:t>
            </w:r>
            <w:r>
              <w:rPr>
                <w:rFonts w:ascii="宋体" w:hAnsi="宋体" w:eastAsia="宋体" w:cs="宋体"/>
                <w:sz w:val="20"/>
                <w:szCs w:val="20"/>
              </w:rPr>
              <w:t xml:space="preserve"> </w:t>
            </w:r>
            <w:r>
              <w:rPr>
                <w:rFonts w:ascii="宋体" w:hAnsi="宋体" w:eastAsia="宋体" w:cs="宋体"/>
                <w:spacing w:val="14"/>
                <w:sz w:val="20"/>
                <w:szCs w:val="20"/>
              </w:rPr>
              <w:t>系</w:t>
            </w:r>
            <w:r>
              <w:rPr>
                <w:rFonts w:ascii="宋体" w:hAnsi="宋体" w:eastAsia="宋体" w:cs="宋体"/>
                <w:spacing w:val="11"/>
                <w:sz w:val="20"/>
                <w:szCs w:val="20"/>
              </w:rPr>
              <w:t>紫</w:t>
            </w:r>
            <w:r>
              <w:rPr>
                <w:rFonts w:ascii="宋体" w:hAnsi="宋体" w:eastAsia="宋体" w:cs="宋体"/>
                <w:spacing w:val="7"/>
                <w:sz w:val="20"/>
                <w:szCs w:val="20"/>
              </w:rPr>
              <w:t>色沙泥岩互层。流域内土壤多属紫灰色、棕色壤土和粘壤土，易被雨水冲刷。域内森</w:t>
            </w:r>
            <w:r>
              <w:rPr>
                <w:rFonts w:ascii="宋体" w:hAnsi="宋体" w:eastAsia="宋体" w:cs="宋体"/>
                <w:sz w:val="20"/>
                <w:szCs w:val="20"/>
              </w:rPr>
              <w:t xml:space="preserve"> </w:t>
            </w:r>
            <w:r>
              <w:rPr>
                <w:rFonts w:ascii="宋体" w:hAnsi="宋体" w:eastAsia="宋体" w:cs="宋体"/>
                <w:spacing w:val="11"/>
                <w:sz w:val="20"/>
                <w:szCs w:val="20"/>
              </w:rPr>
              <w:t>林</w:t>
            </w:r>
            <w:r>
              <w:rPr>
                <w:rFonts w:ascii="宋体" w:hAnsi="宋体" w:eastAsia="宋体" w:cs="宋体"/>
                <w:spacing w:val="9"/>
                <w:sz w:val="20"/>
                <w:szCs w:val="20"/>
              </w:rPr>
              <w:t>覆盖率小，开垦率大，植被差，水土流失较重。</w:t>
            </w:r>
          </w:p>
          <w:p>
            <w:pPr>
              <w:spacing w:before="1" w:line="343" w:lineRule="auto"/>
              <w:ind w:left="107" w:right="102" w:firstLine="420"/>
              <w:rPr>
                <w:rFonts w:ascii="宋体" w:hAnsi="宋体" w:eastAsia="宋体" w:cs="宋体"/>
                <w:sz w:val="20"/>
                <w:szCs w:val="20"/>
              </w:rPr>
            </w:pPr>
            <w:r>
              <w:rPr>
                <w:rFonts w:ascii="宋体" w:hAnsi="宋体" w:eastAsia="宋体" w:cs="宋体"/>
                <w:spacing w:val="11"/>
                <w:sz w:val="20"/>
                <w:szCs w:val="20"/>
              </w:rPr>
              <w:t>州</w:t>
            </w:r>
            <w:r>
              <w:rPr>
                <w:rFonts w:ascii="宋体" w:hAnsi="宋体" w:eastAsia="宋体" w:cs="宋体"/>
                <w:spacing w:val="7"/>
                <w:sz w:val="20"/>
                <w:szCs w:val="20"/>
              </w:rPr>
              <w:t>河流域已按规划逐步进行综合性开发利用，州河干流</w:t>
            </w:r>
            <w:r>
              <w:rPr>
                <w:rFonts w:hint="eastAsia" w:ascii="宋体" w:hAnsi="宋体" w:eastAsia="宋体" w:cs="宋体"/>
                <w:spacing w:val="7"/>
                <w:sz w:val="20"/>
                <w:szCs w:val="20"/>
                <w:lang w:eastAsia="zh-CN"/>
              </w:rPr>
              <w:t>上游</w:t>
            </w:r>
            <w:r>
              <w:rPr>
                <w:rFonts w:ascii="宋体" w:hAnsi="宋体" w:eastAsia="宋体" w:cs="宋体"/>
                <w:spacing w:val="7"/>
                <w:sz w:val="20"/>
                <w:szCs w:val="20"/>
              </w:rPr>
              <w:t>已建成江口水电站和已建</w:t>
            </w:r>
            <w:r>
              <w:rPr>
                <w:rFonts w:ascii="宋体" w:hAnsi="宋体" w:eastAsia="宋体" w:cs="宋体"/>
                <w:sz w:val="20"/>
                <w:szCs w:val="20"/>
              </w:rPr>
              <w:t xml:space="preserve"> </w:t>
            </w:r>
            <w:r>
              <w:rPr>
                <w:rFonts w:ascii="宋体" w:hAnsi="宋体" w:eastAsia="宋体" w:cs="宋体"/>
                <w:spacing w:val="1"/>
                <w:sz w:val="20"/>
                <w:szCs w:val="20"/>
              </w:rPr>
              <w:t xml:space="preserve">的罗江口水电站。江口水电站为年调节，装机容量 </w:t>
            </w:r>
            <w:r>
              <w:rPr>
                <w:rFonts w:ascii="Times New Roman" w:hAnsi="Times New Roman" w:eastAsia="Times New Roman" w:cs="Times New Roman"/>
                <w:spacing w:val="1"/>
                <w:sz w:val="20"/>
                <w:szCs w:val="20"/>
              </w:rPr>
              <w:t xml:space="preserve">5. 1 </w:t>
            </w:r>
            <w:r>
              <w:rPr>
                <w:rFonts w:ascii="宋体" w:hAnsi="宋体" w:eastAsia="宋体" w:cs="宋体"/>
                <w:spacing w:val="1"/>
                <w:sz w:val="20"/>
                <w:szCs w:val="20"/>
              </w:rPr>
              <w:t xml:space="preserve">万 </w:t>
            </w:r>
            <w:r>
              <w:rPr>
                <w:rFonts w:ascii="Times New Roman" w:hAnsi="Times New Roman" w:eastAsia="Times New Roman" w:cs="Times New Roman"/>
                <w:sz w:val="20"/>
                <w:szCs w:val="20"/>
              </w:rPr>
              <w:t>kW</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，总库容 </w:t>
            </w:r>
            <w:r>
              <w:rPr>
                <w:rFonts w:ascii="Times New Roman" w:hAnsi="Times New Roman" w:eastAsia="Times New Roman" w:cs="Times New Roman"/>
                <w:spacing w:val="1"/>
                <w:sz w:val="20"/>
                <w:szCs w:val="20"/>
              </w:rPr>
              <w:t>2.7</w:t>
            </w:r>
            <w:r>
              <w:rPr>
                <w:rFonts w:ascii="Times New Roman" w:hAnsi="Times New Roman" w:eastAsia="Times New Roman" w:cs="Times New Roman"/>
                <w:sz w:val="20"/>
                <w:szCs w:val="20"/>
              </w:rPr>
              <w:t xml:space="preserve">7 </w:t>
            </w:r>
            <w:r>
              <w:rPr>
                <w:rFonts w:ascii="宋体" w:hAnsi="宋体" w:eastAsia="宋体" w:cs="宋体"/>
                <w:sz w:val="20"/>
                <w:szCs w:val="20"/>
              </w:rPr>
              <w:t xml:space="preserve">亿 </w:t>
            </w:r>
            <w:r>
              <w:rPr>
                <w:rFonts w:ascii="Times New Roman" w:hAnsi="Times New Roman" w:eastAsia="Times New Roman" w:cs="Times New Roman"/>
                <w:sz w:val="20"/>
                <w:szCs w:val="20"/>
              </w:rPr>
              <w:t>m</w:t>
            </w:r>
            <w:r>
              <w:rPr>
                <w:rFonts w:ascii="宋体" w:hAnsi="宋体" w:eastAsia="宋体" w:cs="宋体"/>
                <w:sz w:val="20"/>
                <w:szCs w:val="20"/>
              </w:rPr>
              <w:t xml:space="preserve">³ ，调洪 </w:t>
            </w:r>
            <w:r>
              <w:rPr>
                <w:rFonts w:ascii="宋体" w:hAnsi="宋体" w:eastAsia="宋体" w:cs="宋体"/>
                <w:spacing w:val="3"/>
                <w:sz w:val="20"/>
                <w:szCs w:val="20"/>
              </w:rPr>
              <w:t xml:space="preserve">库容 </w:t>
            </w:r>
            <w:r>
              <w:rPr>
                <w:rFonts w:ascii="Times New Roman" w:hAnsi="Times New Roman" w:eastAsia="Times New Roman" w:cs="Times New Roman"/>
                <w:spacing w:val="3"/>
                <w:sz w:val="20"/>
                <w:szCs w:val="20"/>
              </w:rPr>
              <w:t xml:space="preserve">1.33 </w:t>
            </w:r>
            <w:r>
              <w:rPr>
                <w:rFonts w:ascii="宋体" w:hAnsi="宋体" w:eastAsia="宋体" w:cs="宋体"/>
                <w:spacing w:val="3"/>
                <w:sz w:val="20"/>
                <w:szCs w:val="20"/>
              </w:rPr>
              <w:t xml:space="preserve">亿 </w:t>
            </w:r>
            <w:r>
              <w:rPr>
                <w:rFonts w:ascii="Times New Roman" w:hAnsi="Times New Roman" w:eastAsia="Times New Roman" w:cs="Times New Roman"/>
                <w:sz w:val="20"/>
                <w:szCs w:val="20"/>
              </w:rPr>
              <w:t>m</w:t>
            </w:r>
            <w:r>
              <w:rPr>
                <w:rFonts w:ascii="宋体" w:hAnsi="宋体" w:eastAsia="宋体" w:cs="宋体"/>
                <w:spacing w:val="3"/>
                <w:sz w:val="20"/>
                <w:szCs w:val="20"/>
              </w:rPr>
              <w:t>³ ，具有一定调洪削峰能力；工程河段下游有达川区金盘子水电站和</w:t>
            </w:r>
            <w:r>
              <w:rPr>
                <w:rFonts w:ascii="宋体" w:hAnsi="宋体" w:eastAsia="宋体" w:cs="宋体"/>
                <w:spacing w:val="2"/>
                <w:sz w:val="20"/>
                <w:szCs w:val="20"/>
              </w:rPr>
              <w:t>舵</w:t>
            </w:r>
            <w:r>
              <w:rPr>
                <w:rFonts w:ascii="宋体" w:hAnsi="宋体" w:eastAsia="宋体" w:cs="宋体"/>
                <w:sz w:val="20"/>
                <w:szCs w:val="20"/>
              </w:rPr>
              <w:t xml:space="preserve">石鼓 </w:t>
            </w:r>
            <w:r>
              <w:rPr>
                <w:rFonts w:ascii="宋体" w:hAnsi="宋体" w:eastAsia="宋体" w:cs="宋体"/>
                <w:spacing w:val="4"/>
                <w:sz w:val="20"/>
                <w:szCs w:val="20"/>
              </w:rPr>
              <w:t>水电站，金盘子水电站距达州主城区</w:t>
            </w:r>
            <w:r>
              <w:rPr>
                <w:rFonts w:ascii="宋体" w:hAnsi="宋体" w:eastAsia="宋体" w:cs="宋体"/>
                <w:spacing w:val="2"/>
                <w:sz w:val="20"/>
                <w:szCs w:val="20"/>
              </w:rPr>
              <w:t xml:space="preserve">约 </w:t>
            </w:r>
            <w:r>
              <w:rPr>
                <w:rFonts w:ascii="Times New Roman" w:hAnsi="Times New Roman" w:eastAsia="Times New Roman" w:cs="Times New Roman"/>
                <w:spacing w:val="2"/>
                <w:sz w:val="20"/>
                <w:szCs w:val="20"/>
              </w:rPr>
              <w:t>37</w:t>
            </w:r>
            <w:r>
              <w:rPr>
                <w:rFonts w:ascii="Times New Roman" w:hAnsi="Times New Roman" w:eastAsia="Times New Roman" w:cs="Times New Roman"/>
                <w:sz w:val="20"/>
                <w:szCs w:val="20"/>
              </w:rPr>
              <w:t>km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，正常蓄水位 </w:t>
            </w:r>
            <w:r>
              <w:rPr>
                <w:rFonts w:ascii="Times New Roman" w:hAnsi="Times New Roman" w:eastAsia="Times New Roman" w:cs="Times New Roman"/>
                <w:spacing w:val="2"/>
                <w:sz w:val="20"/>
                <w:szCs w:val="20"/>
              </w:rPr>
              <w:t>270.0</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，电站回水至达州市城</w:t>
            </w:r>
            <w:r>
              <w:rPr>
                <w:rFonts w:ascii="宋体" w:hAnsi="宋体" w:eastAsia="宋体" w:cs="宋体"/>
                <w:sz w:val="20"/>
                <w:szCs w:val="20"/>
              </w:rPr>
              <w:t xml:space="preserve"> </w:t>
            </w:r>
            <w:r>
              <w:rPr>
                <w:rFonts w:ascii="宋体" w:hAnsi="宋体" w:eastAsia="宋体" w:cs="宋体"/>
                <w:spacing w:val="14"/>
                <w:sz w:val="20"/>
                <w:szCs w:val="20"/>
              </w:rPr>
              <w:t>区</w:t>
            </w:r>
            <w:r>
              <w:rPr>
                <w:rFonts w:ascii="宋体" w:hAnsi="宋体" w:eastAsia="宋体" w:cs="宋体"/>
                <w:spacing w:val="8"/>
                <w:sz w:val="20"/>
                <w:szCs w:val="20"/>
              </w:rPr>
              <w:t>小</w:t>
            </w:r>
            <w:r>
              <w:rPr>
                <w:rFonts w:ascii="宋体" w:hAnsi="宋体" w:eastAsia="宋体" w:cs="宋体"/>
                <w:spacing w:val="7"/>
                <w:sz w:val="20"/>
                <w:szCs w:val="20"/>
              </w:rPr>
              <w:t>河咀</w:t>
            </w:r>
            <w:r>
              <w:rPr>
                <w:rFonts w:ascii="Times New Roman" w:hAnsi="Times New Roman" w:eastAsia="Times New Roman" w:cs="Times New Roman"/>
                <w:spacing w:val="7"/>
                <w:sz w:val="20"/>
                <w:szCs w:val="20"/>
              </w:rPr>
              <w:t>(</w:t>
            </w:r>
            <w:r>
              <w:rPr>
                <w:rFonts w:ascii="宋体" w:hAnsi="宋体" w:eastAsia="宋体" w:cs="宋体"/>
                <w:spacing w:val="7"/>
                <w:sz w:val="20"/>
                <w:szCs w:val="20"/>
              </w:rPr>
              <w:t>明月江入汇口</w:t>
            </w:r>
            <w:r>
              <w:rPr>
                <w:rFonts w:ascii="Times New Roman" w:hAnsi="Times New Roman" w:eastAsia="Times New Roman" w:cs="Times New Roman"/>
                <w:spacing w:val="7"/>
                <w:sz w:val="20"/>
                <w:szCs w:val="20"/>
              </w:rPr>
              <w:t>)</w:t>
            </w:r>
            <w:r>
              <w:rPr>
                <w:rFonts w:ascii="宋体" w:hAnsi="宋体" w:eastAsia="宋体" w:cs="宋体"/>
                <w:spacing w:val="7"/>
                <w:sz w:val="20"/>
                <w:szCs w:val="20"/>
              </w:rPr>
              <w:t>处。</w:t>
            </w:r>
          </w:p>
          <w:p>
            <w:pPr>
              <w:spacing w:before="101" w:line="382" w:lineRule="auto"/>
              <w:ind w:left="107" w:right="102" w:firstLine="420"/>
              <w:rPr>
                <w:rFonts w:ascii="宋体" w:hAnsi="宋体" w:eastAsia="宋体" w:cs="宋体"/>
                <w:sz w:val="20"/>
                <w:szCs w:val="20"/>
              </w:rPr>
            </w:pPr>
            <w:r>
              <w:rPr>
                <w:rFonts w:ascii="宋体" w:hAnsi="宋体" w:eastAsia="宋体" w:cs="宋体"/>
                <w:spacing w:val="10"/>
                <w:sz w:val="20"/>
                <w:szCs w:val="20"/>
              </w:rPr>
              <w:t>本工</w:t>
            </w:r>
            <w:r>
              <w:rPr>
                <w:rFonts w:ascii="宋体" w:hAnsi="宋体" w:eastAsia="宋体" w:cs="宋体"/>
                <w:spacing w:val="8"/>
                <w:sz w:val="20"/>
                <w:szCs w:val="20"/>
              </w:rPr>
              <w:t>程</w:t>
            </w:r>
            <w:r>
              <w:rPr>
                <w:rFonts w:ascii="宋体" w:hAnsi="宋体" w:eastAsia="宋体" w:cs="宋体"/>
                <w:spacing w:val="5"/>
                <w:sz w:val="20"/>
                <w:szCs w:val="20"/>
              </w:rPr>
              <w:t xml:space="preserve">位于达州市主城区的州河干流，控制流域面积 </w:t>
            </w:r>
            <w:r>
              <w:rPr>
                <w:rFonts w:ascii="Times New Roman" w:hAnsi="Times New Roman" w:eastAsia="Times New Roman" w:cs="Times New Roman"/>
                <w:spacing w:val="5"/>
                <w:sz w:val="20"/>
                <w:szCs w:val="20"/>
              </w:rPr>
              <w:t>6923</w:t>
            </w:r>
            <w:r>
              <w:rPr>
                <w:rFonts w:ascii="Times New Roman" w:hAnsi="Times New Roman" w:eastAsia="Times New Roman" w:cs="Times New Roman"/>
                <w:sz w:val="20"/>
                <w:szCs w:val="20"/>
              </w:rPr>
              <w:t>km</w:t>
            </w:r>
            <w:r>
              <w:rPr>
                <w:rFonts w:ascii="宋体" w:hAnsi="宋体" w:eastAsia="宋体" w:cs="宋体"/>
                <w:spacing w:val="5"/>
                <w:sz w:val="20"/>
                <w:szCs w:val="20"/>
              </w:rPr>
              <w:t>³，处于下游金盘子水电</w:t>
            </w:r>
            <w:r>
              <w:rPr>
                <w:rFonts w:ascii="宋体" w:hAnsi="宋体" w:eastAsia="宋体" w:cs="宋体"/>
                <w:sz w:val="20"/>
                <w:szCs w:val="20"/>
              </w:rPr>
              <w:t xml:space="preserve"> </w:t>
            </w:r>
            <w:r>
              <w:rPr>
                <w:rFonts w:ascii="宋体" w:hAnsi="宋体" w:eastAsia="宋体" w:cs="宋体"/>
                <w:spacing w:val="10"/>
                <w:sz w:val="20"/>
                <w:szCs w:val="20"/>
              </w:rPr>
              <w:t>站</w:t>
            </w:r>
            <w:r>
              <w:rPr>
                <w:rFonts w:ascii="宋体" w:hAnsi="宋体" w:eastAsia="宋体" w:cs="宋体"/>
                <w:spacing w:val="9"/>
                <w:sz w:val="20"/>
                <w:szCs w:val="20"/>
              </w:rPr>
              <w:t>工程库尾段，不受金盘子水电站回水顶托影响。</w:t>
            </w:r>
          </w:p>
          <w:p>
            <w:pPr>
              <w:spacing w:before="12" w:line="228" w:lineRule="auto"/>
              <w:ind w:left="536"/>
              <w:rPr>
                <w:rFonts w:ascii="宋体" w:hAnsi="宋体" w:eastAsia="宋体" w:cs="宋体"/>
                <w:sz w:val="20"/>
                <w:szCs w:val="20"/>
              </w:rPr>
            </w:pPr>
            <w:r>
              <w:rPr>
                <w:rFonts w:ascii="宋体" w:hAnsi="宋体" w:eastAsia="宋体" w:cs="宋体"/>
                <w:spacing w:val="19"/>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9"/>
                <w:sz w:val="20"/>
                <w:szCs w:val="20"/>
              </w:rPr>
              <w:t>4</w:t>
            </w:r>
            <w:r>
              <w:rPr>
                <w:rFonts w:ascii="宋体" w:hAnsi="宋体" w:eastAsia="宋体" w:cs="宋体"/>
                <w:spacing w:val="19"/>
                <w:sz w:val="20"/>
                <w:szCs w:val="20"/>
                <w14:textOutline w14:w="3795" w14:cap="sq" w14:cmpd="sng">
                  <w14:solidFill>
                    <w14:srgbClr w14:val="000000"/>
                  </w14:solidFill>
                  <w14:prstDash w14:val="solid"/>
                  <w14:bevel/>
                </w14:textOutline>
              </w:rPr>
              <w:t>)</w:t>
            </w:r>
            <w:r>
              <w:rPr>
                <w:rFonts w:ascii="宋体" w:hAnsi="宋体" w:eastAsia="宋体" w:cs="宋体"/>
                <w:spacing w:val="19"/>
                <w:sz w:val="20"/>
                <w:szCs w:val="20"/>
              </w:rPr>
              <w:t xml:space="preserve"> </w:t>
            </w:r>
            <w:r>
              <w:rPr>
                <w:rFonts w:ascii="宋体" w:hAnsi="宋体" w:eastAsia="宋体" w:cs="宋体"/>
                <w:spacing w:val="19"/>
                <w:sz w:val="20"/>
                <w:szCs w:val="20"/>
                <w14:textOutline w14:w="3795" w14:cap="sq" w14:cmpd="sng">
                  <w14:solidFill>
                    <w14:srgbClr w14:val="000000"/>
                  </w14:solidFill>
                  <w14:prstDash w14:val="solid"/>
                  <w14:bevel/>
                </w14:textOutline>
              </w:rPr>
              <w:t>植被类型</w:t>
            </w:r>
          </w:p>
          <w:p>
            <w:pPr>
              <w:spacing w:before="153" w:line="369" w:lineRule="auto"/>
              <w:ind w:left="105" w:right="102" w:firstLine="421"/>
              <w:rPr>
                <w:rFonts w:ascii="宋体" w:hAnsi="宋体" w:eastAsia="宋体" w:cs="宋体"/>
                <w:sz w:val="20"/>
                <w:szCs w:val="20"/>
              </w:rPr>
            </w:pPr>
            <w:r>
              <w:rPr>
                <w:rFonts w:ascii="宋体" w:hAnsi="宋体" w:eastAsia="宋体" w:cs="宋体"/>
                <w:spacing w:val="11"/>
                <w:sz w:val="20"/>
                <w:szCs w:val="20"/>
              </w:rPr>
              <w:t>本</w:t>
            </w:r>
            <w:r>
              <w:rPr>
                <w:rFonts w:ascii="宋体" w:hAnsi="宋体" w:eastAsia="宋体" w:cs="宋体"/>
                <w:spacing w:val="7"/>
                <w:sz w:val="20"/>
                <w:szCs w:val="20"/>
              </w:rPr>
              <w:t>项目生态环境影响评价区域内主要为城市绿地，地表植被主要为人工乔木、灌木以</w:t>
            </w:r>
            <w:r>
              <w:rPr>
                <w:rFonts w:ascii="宋体" w:hAnsi="宋体" w:eastAsia="宋体" w:cs="宋体"/>
                <w:sz w:val="20"/>
                <w:szCs w:val="20"/>
              </w:rPr>
              <w:t xml:space="preserve"> </w:t>
            </w:r>
            <w:r>
              <w:rPr>
                <w:rFonts w:ascii="宋体" w:hAnsi="宋体" w:eastAsia="宋体" w:cs="宋体"/>
                <w:spacing w:val="14"/>
                <w:sz w:val="20"/>
                <w:szCs w:val="20"/>
              </w:rPr>
              <w:t>及</w:t>
            </w:r>
            <w:r>
              <w:rPr>
                <w:rFonts w:ascii="宋体" w:hAnsi="宋体" w:eastAsia="宋体" w:cs="宋体"/>
                <w:spacing w:val="10"/>
                <w:sz w:val="20"/>
                <w:szCs w:val="20"/>
              </w:rPr>
              <w:t>草</w:t>
            </w:r>
            <w:r>
              <w:rPr>
                <w:rFonts w:ascii="宋体" w:hAnsi="宋体" w:eastAsia="宋体" w:cs="宋体"/>
                <w:spacing w:val="7"/>
                <w:sz w:val="20"/>
                <w:szCs w:val="20"/>
              </w:rPr>
              <w:t>本等，无野生植被。根据调查，本项目生态影响区域范围无《国家重点保护野生植物</w:t>
            </w:r>
            <w:r>
              <w:rPr>
                <w:rFonts w:ascii="宋体" w:hAnsi="宋体" w:eastAsia="宋体" w:cs="宋体"/>
                <w:sz w:val="20"/>
                <w:szCs w:val="20"/>
              </w:rPr>
              <w:t xml:space="preserve"> </w:t>
            </w:r>
            <w:r>
              <w:rPr>
                <w:rFonts w:ascii="宋体" w:hAnsi="宋体" w:eastAsia="宋体" w:cs="宋体"/>
                <w:spacing w:val="14"/>
                <w:sz w:val="20"/>
                <w:szCs w:val="20"/>
              </w:rPr>
              <w:t>名</w:t>
            </w:r>
            <w:r>
              <w:rPr>
                <w:rFonts w:ascii="宋体" w:hAnsi="宋体" w:eastAsia="宋体" w:cs="宋体"/>
                <w:spacing w:val="10"/>
                <w:sz w:val="20"/>
                <w:szCs w:val="20"/>
              </w:rPr>
              <w:t>录</w:t>
            </w:r>
            <w:r>
              <w:rPr>
                <w:rFonts w:ascii="宋体" w:hAnsi="宋体" w:eastAsia="宋体" w:cs="宋体"/>
                <w:spacing w:val="7"/>
                <w:sz w:val="20"/>
                <w:szCs w:val="20"/>
              </w:rPr>
              <w:t>》《四川省重点野生植物保护名录》中所列的保护物种，评价区域范围内没有挂牌古</w:t>
            </w:r>
          </w:p>
          <w:p>
            <w:pPr>
              <w:spacing w:before="1" w:line="226" w:lineRule="auto"/>
              <w:ind w:left="106"/>
              <w:rPr>
                <w:rFonts w:ascii="宋体" w:hAnsi="宋体" w:eastAsia="宋体" w:cs="宋体"/>
                <w:sz w:val="20"/>
                <w:szCs w:val="20"/>
              </w:rPr>
            </w:pPr>
            <w:r>
              <w:rPr>
                <w:rFonts w:ascii="宋体" w:hAnsi="宋体" w:eastAsia="宋体" w:cs="宋体"/>
                <w:spacing w:val="7"/>
                <w:sz w:val="20"/>
                <w:szCs w:val="20"/>
              </w:rPr>
              <w:t>树名木分布</w:t>
            </w:r>
            <w:r>
              <w:rPr>
                <w:rFonts w:ascii="宋体" w:hAnsi="宋体" w:eastAsia="宋体" w:cs="宋体"/>
                <w:spacing w:val="5"/>
                <w:sz w:val="20"/>
                <w:szCs w:val="20"/>
              </w:rPr>
              <w:t>。</w:t>
            </w:r>
          </w:p>
        </w:tc>
      </w:tr>
    </w:tbl>
    <w:p>
      <w:pPr>
        <w:spacing w:line="138" w:lineRule="exact"/>
        <w:rPr>
          <w:rFonts w:ascii="Arial"/>
          <w:sz w:val="12"/>
        </w:rPr>
      </w:pPr>
    </w:p>
    <w:p>
      <w:pPr>
        <w:sectPr>
          <w:footerReference r:id="rId61" w:type="default"/>
          <w:pgSz w:w="11906" w:h="16839"/>
          <w:pgMar w:top="400" w:right="1482" w:bottom="1475" w:left="1482" w:header="0" w:footer="1315" w:gutter="0"/>
          <w:cols w:space="720" w:num="1"/>
        </w:sectPr>
      </w:pPr>
    </w:p>
    <w:p>
      <w:r>
        <w:pict>
          <v:rect id="_x0000_s1088" o:spid="_x0000_s1088" o:spt="1" style="position:absolute;left:0pt;margin-left:112.35pt;margin-top:318.35pt;height:72.45pt;width:0.5pt;mso-position-horizontal-relative:page;mso-position-vertical-relative:page;z-index:251749376;mso-width-relative:page;mso-height-relative:page;" fillcolor="#000000" filled="t" stroked="f" coordsize="21600,21600" o:allowincell="f">
            <v:path/>
            <v:fill on="t" focussize="0,0"/>
            <v:stroke on="f"/>
            <v:imagedata o:title=""/>
            <o:lock v:ext="edit"/>
          </v:rect>
        </w:pict>
      </w:r>
      <w:r>
        <w:pict>
          <v:rect id="_x0000_s1089" o:spid="_x0000_s1089" o:spt="1" style="position:absolute;left:0pt;margin-left:513.15pt;margin-top:318.35pt;height:72.45pt;width:0.5pt;mso-position-horizontal-relative:page;mso-position-vertical-relative:page;z-index:251750400;mso-width-relative:page;mso-height-relative:page;" fillcolor="#000000" filled="t" stroked="f" coordsize="21600,21600" o:allowincell="f">
            <v:path/>
            <v:fill on="t" focussize="0,0"/>
            <v:stroke on="f"/>
            <v:imagedata o:title=""/>
            <o:lock v:ext="edit"/>
          </v:rect>
        </w:pict>
      </w:r>
      <w:r>
        <w:pict>
          <v:rect id="_x0000_s1090" o:spid="_x0000_s1090" o:spt="1" style="position:absolute;left:0pt;margin-left:114.85pt;margin-top:509.25pt;height:81.85pt;width:0.5pt;mso-position-horizontal-relative:page;mso-position-vertical-relative:page;z-index:251748352;mso-width-relative:page;mso-height-relative:page;" fillcolor="#000000" filled="t" stroked="f" coordsize="21600,21600" o:allowincell="f">
            <v:path/>
            <v:fill on="t" focussize="0,0"/>
            <v:stroke on="f"/>
            <v:imagedata o:title=""/>
            <o:lock v:ext="edit"/>
          </v:rect>
        </w:pict>
      </w:r>
    </w:p>
    <w:p/>
    <w:p/>
    <w:p/>
    <w:p>
      <w:pPr>
        <w:spacing w:line="221" w:lineRule="exact"/>
      </w:pPr>
    </w:p>
    <w:tbl>
      <w:tblPr>
        <w:tblStyle w:val="4"/>
        <w:tblW w:w="892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2"/>
        <w:gridCol w:w="563"/>
        <w:gridCol w:w="972"/>
        <w:gridCol w:w="776"/>
        <w:gridCol w:w="128"/>
        <w:gridCol w:w="724"/>
        <w:gridCol w:w="180"/>
        <w:gridCol w:w="657"/>
        <w:gridCol w:w="246"/>
        <w:gridCol w:w="844"/>
        <w:gridCol w:w="59"/>
        <w:gridCol w:w="860"/>
        <w:gridCol w:w="111"/>
        <w:gridCol w:w="681"/>
        <w:gridCol w:w="672"/>
        <w:gridCol w:w="626"/>
        <w:gridCol w:w="2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8" w:hRule="atLeast"/>
        </w:trPr>
        <w:tc>
          <w:tcPr>
            <w:tcW w:w="622" w:type="dxa"/>
            <w:vMerge w:val="restart"/>
            <w:tcBorders>
              <w:left w:val="single" w:color="000000" w:sz="6" w:space="0"/>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65" w:line="261" w:lineRule="auto"/>
              <w:ind w:left="99" w:right="100" w:firstLine="1"/>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生态</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环境</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现状</w:t>
            </w:r>
          </w:p>
        </w:tc>
        <w:tc>
          <w:tcPr>
            <w:tcW w:w="8304" w:type="dxa"/>
            <w:gridSpan w:val="16"/>
            <w:tcBorders>
              <w:right w:val="single" w:color="000000" w:sz="6" w:space="0"/>
            </w:tcBorders>
            <w:vAlign w:val="top"/>
          </w:tcPr>
          <w:p>
            <w:pPr>
              <w:spacing w:before="153" w:line="228" w:lineRule="auto"/>
              <w:ind w:left="536"/>
              <w:rPr>
                <w:rFonts w:ascii="宋体" w:hAnsi="宋体" w:eastAsia="宋体" w:cs="宋体"/>
                <w:sz w:val="20"/>
                <w:szCs w:val="20"/>
              </w:rPr>
            </w:pPr>
            <w:r>
              <w:rPr>
                <w:rFonts w:ascii="宋体" w:hAnsi="宋体" w:eastAsia="宋体" w:cs="宋体"/>
                <w:spacing w:val="19"/>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7"/>
                <w:sz w:val="20"/>
                <w:szCs w:val="20"/>
              </w:rPr>
              <w:t>5</w:t>
            </w:r>
            <w:r>
              <w:rPr>
                <w:rFonts w:ascii="宋体" w:hAnsi="宋体" w:eastAsia="宋体" w:cs="宋体"/>
                <w:spacing w:val="17"/>
                <w:sz w:val="20"/>
                <w:szCs w:val="20"/>
                <w14:textOutline w14:w="3795" w14:cap="sq" w14:cmpd="sng">
                  <w14:solidFill>
                    <w14:srgbClr w14:val="000000"/>
                  </w14:solidFill>
                  <w14:prstDash w14:val="solid"/>
                  <w14:bevel/>
                </w14:textOutline>
              </w:rPr>
              <w:t>)</w:t>
            </w:r>
            <w:r>
              <w:rPr>
                <w:rFonts w:ascii="宋体" w:hAnsi="宋体" w:eastAsia="宋体" w:cs="宋体"/>
                <w:spacing w:val="17"/>
                <w:sz w:val="20"/>
                <w:szCs w:val="20"/>
              </w:rPr>
              <w:t xml:space="preserve"> </w:t>
            </w:r>
            <w:r>
              <w:rPr>
                <w:rFonts w:ascii="宋体" w:hAnsi="宋体" w:eastAsia="宋体" w:cs="宋体"/>
                <w:spacing w:val="17"/>
                <w:sz w:val="20"/>
                <w:szCs w:val="20"/>
                <w14:textOutline w14:w="3795" w14:cap="sq" w14:cmpd="sng">
                  <w14:solidFill>
                    <w14:srgbClr w14:val="000000"/>
                  </w14:solidFill>
                  <w14:prstDash w14:val="solid"/>
                  <w14:bevel/>
                </w14:textOutline>
              </w:rPr>
              <w:t>区域动物现状</w:t>
            </w:r>
          </w:p>
          <w:p>
            <w:pPr>
              <w:spacing w:before="154" w:line="369" w:lineRule="auto"/>
              <w:ind w:left="107" w:right="105" w:firstLine="419"/>
              <w:rPr>
                <w:rFonts w:ascii="宋体" w:hAnsi="宋体" w:eastAsia="宋体" w:cs="宋体"/>
                <w:sz w:val="20"/>
                <w:szCs w:val="20"/>
              </w:rPr>
            </w:pPr>
            <w:r>
              <w:rPr>
                <w:rFonts w:ascii="宋体" w:hAnsi="宋体" w:eastAsia="宋体" w:cs="宋体"/>
                <w:spacing w:val="10"/>
                <w:sz w:val="20"/>
                <w:szCs w:val="20"/>
              </w:rPr>
              <w:t>根</w:t>
            </w:r>
            <w:r>
              <w:rPr>
                <w:rFonts w:ascii="宋体" w:hAnsi="宋体" w:eastAsia="宋体" w:cs="宋体"/>
                <w:spacing w:val="7"/>
                <w:sz w:val="20"/>
                <w:szCs w:val="20"/>
              </w:rPr>
              <w:t>据调查，项目拟建区域属城市开发建设区，周围植被主要为城市绿化，无野生脊椎</w:t>
            </w:r>
            <w:r>
              <w:rPr>
                <w:rFonts w:ascii="宋体" w:hAnsi="宋体" w:eastAsia="宋体" w:cs="宋体"/>
                <w:sz w:val="20"/>
                <w:szCs w:val="20"/>
              </w:rPr>
              <w:t xml:space="preserve"> </w:t>
            </w:r>
            <w:r>
              <w:rPr>
                <w:rFonts w:ascii="宋体" w:hAnsi="宋体" w:eastAsia="宋体" w:cs="宋体"/>
                <w:spacing w:val="14"/>
                <w:sz w:val="20"/>
                <w:szCs w:val="20"/>
              </w:rPr>
              <w:t>动</w:t>
            </w:r>
            <w:r>
              <w:rPr>
                <w:rFonts w:ascii="宋体" w:hAnsi="宋体" w:eastAsia="宋体" w:cs="宋体"/>
                <w:spacing w:val="8"/>
                <w:sz w:val="20"/>
                <w:szCs w:val="20"/>
              </w:rPr>
              <w:t>物</w:t>
            </w:r>
            <w:r>
              <w:rPr>
                <w:rFonts w:ascii="宋体" w:hAnsi="宋体" w:eastAsia="宋体" w:cs="宋体"/>
                <w:spacing w:val="7"/>
                <w:sz w:val="20"/>
                <w:szCs w:val="20"/>
              </w:rPr>
              <w:t>种类相对较少。评价区内无野生脊椎动物、两栖、爬行动物、兽类等动物，区内偶有</w:t>
            </w:r>
            <w:r>
              <w:rPr>
                <w:rFonts w:ascii="宋体" w:hAnsi="宋体" w:eastAsia="宋体" w:cs="宋体"/>
                <w:sz w:val="20"/>
                <w:szCs w:val="20"/>
              </w:rPr>
              <w:t xml:space="preserve"> </w:t>
            </w:r>
            <w:r>
              <w:rPr>
                <w:rFonts w:ascii="宋体" w:hAnsi="宋体" w:eastAsia="宋体" w:cs="宋体"/>
                <w:spacing w:val="16"/>
                <w:sz w:val="20"/>
                <w:szCs w:val="20"/>
              </w:rPr>
              <w:t>鸟</w:t>
            </w:r>
            <w:r>
              <w:rPr>
                <w:rFonts w:ascii="宋体" w:hAnsi="宋体" w:eastAsia="宋体" w:cs="宋体"/>
                <w:spacing w:val="11"/>
                <w:sz w:val="20"/>
                <w:szCs w:val="20"/>
              </w:rPr>
              <w:t>类</w:t>
            </w:r>
            <w:r>
              <w:rPr>
                <w:rFonts w:ascii="宋体" w:hAnsi="宋体" w:eastAsia="宋体" w:cs="宋体"/>
                <w:spacing w:val="8"/>
                <w:sz w:val="20"/>
                <w:szCs w:val="20"/>
              </w:rPr>
              <w:t>飞过，无鸟类栖息地和觅食地。</w:t>
            </w:r>
          </w:p>
          <w:p>
            <w:pPr>
              <w:spacing w:before="1" w:line="368" w:lineRule="auto"/>
              <w:ind w:left="107" w:right="105" w:firstLine="419"/>
              <w:rPr>
                <w:rFonts w:ascii="宋体" w:hAnsi="宋体" w:eastAsia="宋体" w:cs="宋体"/>
                <w:sz w:val="20"/>
                <w:szCs w:val="20"/>
              </w:rPr>
            </w:pPr>
            <w:r>
              <w:rPr>
                <w:rFonts w:ascii="宋体" w:hAnsi="宋体" w:eastAsia="宋体" w:cs="宋体"/>
                <w:spacing w:val="10"/>
                <w:sz w:val="20"/>
                <w:szCs w:val="20"/>
              </w:rPr>
              <w:t>通</w:t>
            </w:r>
            <w:r>
              <w:rPr>
                <w:rFonts w:ascii="宋体" w:hAnsi="宋体" w:eastAsia="宋体" w:cs="宋体"/>
                <w:spacing w:val="7"/>
                <w:sz w:val="20"/>
                <w:szCs w:val="20"/>
              </w:rPr>
              <w:t>过查阅资料及走访调查，项目区无国家重要野生动物、濒危动物分布，无国家重点</w:t>
            </w:r>
            <w:r>
              <w:rPr>
                <w:rFonts w:ascii="宋体" w:hAnsi="宋体" w:eastAsia="宋体" w:cs="宋体"/>
                <w:sz w:val="20"/>
                <w:szCs w:val="20"/>
              </w:rPr>
              <w:t xml:space="preserve"> </w:t>
            </w:r>
            <w:r>
              <w:rPr>
                <w:rFonts w:ascii="宋体" w:hAnsi="宋体" w:eastAsia="宋体" w:cs="宋体"/>
                <w:spacing w:val="12"/>
                <w:sz w:val="20"/>
                <w:szCs w:val="20"/>
              </w:rPr>
              <w:t>保</w:t>
            </w:r>
            <w:r>
              <w:rPr>
                <w:rFonts w:ascii="宋体" w:hAnsi="宋体" w:eastAsia="宋体" w:cs="宋体"/>
                <w:spacing w:val="9"/>
                <w:sz w:val="20"/>
                <w:szCs w:val="20"/>
              </w:rPr>
              <w:t>护野生鸟类，无国家级保护两栖、爬行动物和兽类。</w:t>
            </w:r>
          </w:p>
          <w:p>
            <w:pPr>
              <w:spacing w:before="1" w:line="227" w:lineRule="auto"/>
              <w:ind w:left="536"/>
              <w:rPr>
                <w:rFonts w:ascii="宋体" w:hAnsi="宋体" w:eastAsia="宋体" w:cs="宋体"/>
                <w:sz w:val="20"/>
                <w:szCs w:val="20"/>
              </w:rPr>
            </w:pPr>
            <w:r>
              <w:rPr>
                <w:rFonts w:ascii="宋体" w:hAnsi="宋体" w:eastAsia="宋体" w:cs="宋体"/>
                <w:spacing w:val="19"/>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7"/>
                <w:sz w:val="20"/>
                <w:szCs w:val="20"/>
              </w:rPr>
              <w:t>6</w:t>
            </w:r>
            <w:r>
              <w:rPr>
                <w:rFonts w:ascii="宋体" w:hAnsi="宋体" w:eastAsia="宋体" w:cs="宋体"/>
                <w:spacing w:val="17"/>
                <w:sz w:val="20"/>
                <w:szCs w:val="20"/>
                <w14:textOutline w14:w="3795" w14:cap="sq" w14:cmpd="sng">
                  <w14:solidFill>
                    <w14:srgbClr w14:val="000000"/>
                  </w14:solidFill>
                  <w14:prstDash w14:val="solid"/>
                  <w14:bevel/>
                </w14:textOutline>
              </w:rPr>
              <w:t>)</w:t>
            </w:r>
            <w:r>
              <w:rPr>
                <w:rFonts w:ascii="宋体" w:hAnsi="宋体" w:eastAsia="宋体" w:cs="宋体"/>
                <w:spacing w:val="17"/>
                <w:sz w:val="20"/>
                <w:szCs w:val="20"/>
              </w:rPr>
              <w:t xml:space="preserve"> </w:t>
            </w:r>
            <w:r>
              <w:rPr>
                <w:rFonts w:ascii="宋体" w:hAnsi="宋体" w:eastAsia="宋体" w:cs="宋体"/>
                <w:spacing w:val="17"/>
                <w:sz w:val="20"/>
                <w:szCs w:val="20"/>
                <w14:textOutline w14:w="3795" w14:cap="sq" w14:cmpd="sng">
                  <w14:solidFill>
                    <w14:srgbClr w14:val="000000"/>
                  </w14:solidFill>
                  <w14:prstDash w14:val="solid"/>
                  <w14:bevel/>
                </w14:textOutline>
              </w:rPr>
              <w:t>水生生态现状</w:t>
            </w:r>
          </w:p>
          <w:p>
            <w:pPr>
              <w:spacing w:before="155" w:line="364" w:lineRule="auto"/>
              <w:ind w:left="106" w:right="102" w:firstLine="422"/>
              <w:rPr>
                <w:rFonts w:ascii="宋体" w:hAnsi="宋体" w:eastAsia="宋体" w:cs="宋体"/>
                <w:sz w:val="20"/>
                <w:szCs w:val="20"/>
              </w:rPr>
            </w:pPr>
            <w:r>
              <w:rPr>
                <w:rFonts w:ascii="宋体" w:hAnsi="宋体" w:eastAsia="宋体" w:cs="宋体"/>
                <w:spacing w:val="7"/>
                <w:sz w:val="20"/>
                <w:szCs w:val="20"/>
              </w:rPr>
              <w:t>工程跨越州河段的水生生态现状引用《达州市高家坝大桥建设项目对州河流域水生生</w:t>
            </w:r>
            <w:r>
              <w:rPr>
                <w:rFonts w:ascii="宋体" w:hAnsi="宋体" w:eastAsia="宋体" w:cs="宋体"/>
                <w:sz w:val="20"/>
                <w:szCs w:val="20"/>
              </w:rPr>
              <w:t xml:space="preserve"> </w:t>
            </w:r>
            <w:r>
              <w:rPr>
                <w:rFonts w:ascii="宋体" w:hAnsi="宋体" w:eastAsia="宋体" w:cs="宋体"/>
                <w:spacing w:val="16"/>
                <w:sz w:val="20"/>
                <w:szCs w:val="20"/>
              </w:rPr>
              <w:t>物多样</w:t>
            </w:r>
            <w:r>
              <w:rPr>
                <w:rFonts w:ascii="宋体" w:hAnsi="宋体" w:eastAsia="宋体" w:cs="宋体"/>
                <w:spacing w:val="15"/>
                <w:sz w:val="20"/>
                <w:szCs w:val="20"/>
              </w:rPr>
              <w:t>性</w:t>
            </w:r>
            <w:r>
              <w:rPr>
                <w:rFonts w:ascii="宋体" w:hAnsi="宋体" w:eastAsia="宋体" w:cs="宋体"/>
                <w:spacing w:val="8"/>
                <w:sz w:val="20"/>
                <w:szCs w:val="20"/>
              </w:rPr>
              <w:t>影响专题论证报告》的资料。该项目工作组在州河徐家坝</w:t>
            </w:r>
            <w:r>
              <w:rPr>
                <w:rFonts w:ascii="Times New Roman" w:hAnsi="Times New Roman" w:eastAsia="Times New Roman" w:cs="Times New Roman"/>
                <w:spacing w:val="8"/>
                <w:sz w:val="20"/>
                <w:szCs w:val="20"/>
              </w:rPr>
              <w:t>--</w:t>
            </w:r>
            <w:r>
              <w:rPr>
                <w:rFonts w:ascii="宋体" w:hAnsi="宋体" w:eastAsia="宋体" w:cs="宋体"/>
                <w:spacing w:val="8"/>
                <w:sz w:val="20"/>
                <w:szCs w:val="20"/>
              </w:rPr>
              <w:t>通川桥桥址河段之间</w:t>
            </w:r>
            <w:r>
              <w:rPr>
                <w:rFonts w:ascii="宋体" w:hAnsi="宋体" w:eastAsia="宋体" w:cs="宋体"/>
                <w:sz w:val="20"/>
                <w:szCs w:val="20"/>
              </w:rPr>
              <w:t xml:space="preserve"> </w:t>
            </w:r>
            <w:r>
              <w:rPr>
                <w:rFonts w:ascii="宋体" w:hAnsi="宋体" w:eastAsia="宋体" w:cs="宋体"/>
                <w:spacing w:val="6"/>
                <w:sz w:val="20"/>
                <w:szCs w:val="20"/>
              </w:rPr>
              <w:t>的</w:t>
            </w:r>
            <w:r>
              <w:rPr>
                <w:rFonts w:ascii="宋体" w:hAnsi="宋体" w:eastAsia="宋体" w:cs="宋体"/>
                <w:spacing w:val="5"/>
                <w:sz w:val="20"/>
                <w:szCs w:val="20"/>
              </w:rPr>
              <w:t xml:space="preserve"> </w:t>
            </w:r>
            <w:r>
              <w:rPr>
                <w:rFonts w:ascii="Times New Roman" w:hAnsi="Times New Roman" w:eastAsia="Times New Roman" w:cs="Times New Roman"/>
                <w:spacing w:val="5"/>
                <w:sz w:val="20"/>
                <w:szCs w:val="20"/>
              </w:rPr>
              <w:t>15</w:t>
            </w:r>
            <w:r>
              <w:rPr>
                <w:rFonts w:ascii="Times New Roman" w:hAnsi="Times New Roman" w:eastAsia="Times New Roman" w:cs="Times New Roman"/>
                <w:sz w:val="20"/>
                <w:szCs w:val="20"/>
              </w:rPr>
              <w:t>km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河段内设置了 </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 xml:space="preserve">个水生生物采样点：分别为州河高家坝大桥桥址上游 </w:t>
            </w:r>
            <w:r>
              <w:rPr>
                <w:rFonts w:ascii="Times New Roman" w:hAnsi="Times New Roman" w:eastAsia="Times New Roman" w:cs="Times New Roman"/>
                <w:spacing w:val="5"/>
                <w:sz w:val="20"/>
                <w:szCs w:val="20"/>
              </w:rPr>
              <w:t>100</w:t>
            </w:r>
            <w:r>
              <w:rPr>
                <w:rFonts w:ascii="Times New Roman" w:hAnsi="Times New Roman" w:eastAsia="Times New Roman" w:cs="Times New Roman"/>
                <w:sz w:val="20"/>
                <w:szCs w:val="20"/>
              </w:rPr>
              <w:t>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彩虹</w:t>
            </w:r>
            <w:r>
              <w:rPr>
                <w:rFonts w:ascii="宋体" w:hAnsi="宋体" w:eastAsia="宋体" w:cs="宋体"/>
                <w:sz w:val="20"/>
                <w:szCs w:val="20"/>
              </w:rPr>
              <w:t xml:space="preserve"> </w:t>
            </w:r>
            <w:r>
              <w:rPr>
                <w:rFonts w:ascii="宋体" w:hAnsi="宋体" w:eastAsia="宋体" w:cs="宋体"/>
                <w:spacing w:val="15"/>
                <w:sz w:val="20"/>
                <w:szCs w:val="20"/>
              </w:rPr>
              <w:t>桥</w:t>
            </w:r>
            <w:r>
              <w:rPr>
                <w:rFonts w:ascii="宋体" w:hAnsi="宋体" w:eastAsia="宋体" w:cs="宋体"/>
                <w:spacing w:val="9"/>
                <w:sz w:val="20"/>
                <w:szCs w:val="20"/>
              </w:rPr>
              <w:t>河滩下游、州河高家坝桥址河段和州河下游小河嘴河段。</w:t>
            </w:r>
          </w:p>
          <w:p>
            <w:pPr>
              <w:spacing w:line="230" w:lineRule="auto"/>
              <w:ind w:left="1155"/>
              <w:rPr>
                <w:rFonts w:ascii="黑体" w:hAnsi="黑体" w:eastAsia="黑体" w:cs="黑体"/>
                <w:sz w:val="19"/>
                <w:szCs w:val="19"/>
              </w:rPr>
            </w:pPr>
            <w:r>
              <w:rPr>
                <w:rFonts w:ascii="黑体" w:hAnsi="黑体" w:eastAsia="黑体" w:cs="黑体"/>
                <w:spacing w:val="16"/>
                <w:sz w:val="19"/>
                <w:szCs w:val="19"/>
              </w:rPr>
              <w:t>表</w:t>
            </w:r>
            <w:r>
              <w:rPr>
                <w:rFonts w:ascii="Times New Roman" w:hAnsi="Times New Roman" w:eastAsia="Times New Roman" w:cs="Times New Roman"/>
                <w:spacing w:val="16"/>
                <w:sz w:val="19"/>
                <w:szCs w:val="19"/>
              </w:rPr>
              <w:t>2</w:t>
            </w:r>
            <w:r>
              <w:rPr>
                <w:rFonts w:ascii="Times New Roman" w:hAnsi="Times New Roman" w:eastAsia="Times New Roman" w:cs="Times New Roman"/>
                <w:spacing w:val="8"/>
                <w:sz w:val="19"/>
                <w:szCs w:val="19"/>
              </w:rPr>
              <w:t xml:space="preserve">1    </w:t>
            </w:r>
            <w:r>
              <w:rPr>
                <w:rFonts w:ascii="黑体" w:hAnsi="黑体" w:eastAsia="黑体" w:cs="黑体"/>
                <w:spacing w:val="8"/>
                <w:sz w:val="19"/>
                <w:szCs w:val="19"/>
              </w:rPr>
              <w:t>州河水生生态调查采样点物理特性及与高家坝大桥的位置关系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622" w:type="dxa"/>
            <w:vMerge w:val="continue"/>
            <w:tcBorders>
              <w:top w:val="nil"/>
              <w:left w:val="single" w:color="000000" w:sz="6" w:space="0"/>
              <w:bottom w:val="nil"/>
            </w:tcBorders>
            <w:vAlign w:val="top"/>
          </w:tcPr>
          <w:p>
            <w:pPr>
              <w:rPr>
                <w:rFonts w:ascii="Arial"/>
                <w:sz w:val="21"/>
              </w:rPr>
            </w:pPr>
          </w:p>
        </w:tc>
        <w:tc>
          <w:tcPr>
            <w:tcW w:w="563" w:type="dxa"/>
            <w:vAlign w:val="top"/>
          </w:tcPr>
          <w:p>
            <w:pPr>
              <w:spacing w:before="107" w:line="232" w:lineRule="auto"/>
              <w:ind w:left="171"/>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序</w:t>
            </w:r>
            <w:r>
              <w:rPr>
                <w:rFonts w:ascii="宋体" w:hAnsi="宋体" w:eastAsia="宋体" w:cs="宋体"/>
                <w:spacing w:val="6"/>
                <w:sz w:val="17"/>
                <w:szCs w:val="17"/>
                <w14:textOutline w14:w="3268" w14:cap="sq" w14:cmpd="sng">
                  <w14:solidFill>
                    <w14:srgbClr w14:val="000000"/>
                  </w14:solidFill>
                  <w14:prstDash w14:val="solid"/>
                  <w14:bevel/>
                </w14:textOutline>
              </w:rPr>
              <w:t>号</w:t>
            </w:r>
          </w:p>
        </w:tc>
        <w:tc>
          <w:tcPr>
            <w:tcW w:w="1748" w:type="dxa"/>
            <w:gridSpan w:val="2"/>
            <w:vAlign w:val="top"/>
          </w:tcPr>
          <w:p>
            <w:pPr>
              <w:spacing w:before="107" w:line="229" w:lineRule="auto"/>
              <w:ind w:left="244"/>
              <w:rPr>
                <w:rFonts w:ascii="宋体" w:hAnsi="宋体" w:eastAsia="宋体" w:cs="宋体"/>
                <w:sz w:val="17"/>
                <w:szCs w:val="17"/>
              </w:rPr>
            </w:pPr>
            <w:r>
              <w:rPr>
                <w:rFonts w:ascii="宋体" w:hAnsi="宋体" w:eastAsia="宋体" w:cs="宋体"/>
                <w:spacing w:val="12"/>
                <w:sz w:val="17"/>
                <w:szCs w:val="17"/>
                <w14:textOutline w14:w="3268" w14:cap="sq" w14:cmpd="sng">
                  <w14:solidFill>
                    <w14:srgbClr w14:val="000000"/>
                  </w14:solidFill>
                  <w14:prstDash w14:val="solid"/>
                  <w14:bevel/>
                </w14:textOutline>
              </w:rPr>
              <w:t>调</w:t>
            </w:r>
            <w:r>
              <w:rPr>
                <w:rFonts w:ascii="宋体" w:hAnsi="宋体" w:eastAsia="宋体" w:cs="宋体"/>
                <w:spacing w:val="9"/>
                <w:sz w:val="17"/>
                <w:szCs w:val="17"/>
                <w14:textOutline w14:w="3268" w14:cap="sq" w14:cmpd="sng">
                  <w14:solidFill>
                    <w14:srgbClr w14:val="000000"/>
                  </w14:solidFill>
                  <w14:prstDash w14:val="solid"/>
                  <w14:bevel/>
                </w14:textOutline>
              </w:rPr>
              <w:t>查采样点名称</w:t>
            </w:r>
          </w:p>
        </w:tc>
        <w:tc>
          <w:tcPr>
            <w:tcW w:w="852" w:type="dxa"/>
            <w:gridSpan w:val="2"/>
            <w:vAlign w:val="top"/>
          </w:tcPr>
          <w:p>
            <w:pPr>
              <w:spacing w:before="107" w:line="242" w:lineRule="auto"/>
              <w:ind w:left="28"/>
              <w:rPr>
                <w:rFonts w:ascii="宋体" w:hAnsi="宋体" w:eastAsia="宋体" w:cs="宋体"/>
                <w:sz w:val="16"/>
                <w:szCs w:val="16"/>
              </w:rPr>
            </w:pPr>
            <w:r>
              <w:rPr>
                <w:rFonts w:ascii="宋体" w:hAnsi="宋体" w:eastAsia="宋体" w:cs="宋体"/>
                <w:spacing w:val="3"/>
                <w:sz w:val="16"/>
                <w:szCs w:val="16"/>
                <w14:textOutline w14:w="3078" w14:cap="sq" w14:cmpd="sng">
                  <w14:solidFill>
                    <w14:srgbClr w14:val="000000"/>
                  </w14:solidFill>
                  <w14:prstDash w14:val="solid"/>
                  <w14:bevel/>
                </w14:textOutline>
              </w:rPr>
              <w:t>水温</w:t>
            </w:r>
            <w:r>
              <w:rPr>
                <w:rFonts w:ascii="宋体" w:hAnsi="宋体" w:eastAsia="宋体" w:cs="宋体"/>
                <w:spacing w:val="3"/>
                <w:sz w:val="16"/>
                <w:szCs w:val="16"/>
              </w:rPr>
              <w:t xml:space="preserve"> </w:t>
            </w:r>
            <w:r>
              <w:rPr>
                <w:rFonts w:ascii="宋体" w:hAnsi="宋体" w:eastAsia="宋体" w:cs="宋体"/>
                <w:spacing w:val="3"/>
                <w:sz w:val="16"/>
                <w:szCs w:val="16"/>
                <w14:textOutline w14:w="3078" w14:cap="sq" w14:cmpd="sng">
                  <w14:solidFill>
                    <w14:srgbClr w14:val="000000"/>
                  </w14:solidFill>
                  <w14:prstDash w14:val="solid"/>
                  <w14:bevel/>
                </w14:textOutline>
              </w:rPr>
              <w:t>(℃)</w:t>
            </w:r>
          </w:p>
        </w:tc>
        <w:tc>
          <w:tcPr>
            <w:tcW w:w="837" w:type="dxa"/>
            <w:gridSpan w:val="2"/>
            <w:vAlign w:val="top"/>
          </w:tcPr>
          <w:p>
            <w:pPr>
              <w:spacing w:before="107" w:line="230" w:lineRule="auto"/>
              <w:ind w:left="244"/>
              <w:rPr>
                <w:rFonts w:ascii="宋体" w:hAnsi="宋体" w:eastAsia="宋体" w:cs="宋体"/>
                <w:sz w:val="17"/>
                <w:szCs w:val="17"/>
              </w:rPr>
            </w:pPr>
            <w:r>
              <w:rPr>
                <w:rFonts w:ascii="宋体" w:hAnsi="宋体" w:eastAsia="宋体" w:cs="宋体"/>
                <w:spacing w:val="5"/>
                <w:sz w:val="17"/>
                <w:szCs w:val="17"/>
                <w14:textOutline w14:w="3268" w14:cap="sq" w14:cmpd="sng">
                  <w14:solidFill>
                    <w14:srgbClr w14:val="000000"/>
                  </w14:solidFill>
                  <w14:prstDash w14:val="solid"/>
                  <w14:bevel/>
                </w14:textOutline>
              </w:rPr>
              <w:t>水色</w:t>
            </w:r>
          </w:p>
        </w:tc>
        <w:tc>
          <w:tcPr>
            <w:tcW w:w="1090" w:type="dxa"/>
            <w:gridSpan w:val="2"/>
            <w:vAlign w:val="top"/>
          </w:tcPr>
          <w:p>
            <w:pPr>
              <w:spacing w:before="69" w:line="249" w:lineRule="exact"/>
              <w:ind w:left="103"/>
              <w:rPr>
                <w:rFonts w:ascii="Times New Roman" w:hAnsi="Times New Roman" w:eastAsia="Times New Roman" w:cs="Times New Roman"/>
                <w:sz w:val="17"/>
                <w:szCs w:val="17"/>
              </w:rPr>
            </w:pPr>
            <w:r>
              <w:rPr>
                <w:rFonts w:ascii="宋体" w:hAnsi="宋体" w:eastAsia="宋体" w:cs="宋体"/>
                <w:spacing w:val="9"/>
                <w:position w:val="2"/>
                <w:sz w:val="17"/>
                <w:szCs w:val="17"/>
                <w14:textOutline w14:w="3268" w14:cap="sq" w14:cmpd="sng">
                  <w14:solidFill>
                    <w14:srgbClr w14:val="000000"/>
                  </w14:solidFill>
                  <w14:prstDash w14:val="solid"/>
                  <w14:bevel/>
                </w14:textOutline>
              </w:rPr>
              <w:t>透</w:t>
            </w:r>
            <w:r>
              <w:rPr>
                <w:rFonts w:ascii="宋体" w:hAnsi="宋体" w:eastAsia="宋体" w:cs="宋体"/>
                <w:spacing w:val="8"/>
                <w:position w:val="2"/>
                <w:sz w:val="17"/>
                <w:szCs w:val="17"/>
                <w14:textOutline w14:w="3268" w14:cap="sq" w14:cmpd="sng">
                  <w14:solidFill>
                    <w14:srgbClr w14:val="000000"/>
                  </w14:solidFill>
                  <w14:prstDash w14:val="solid"/>
                  <w14:bevel/>
                </w14:textOutline>
              </w:rPr>
              <w:t>明度</w:t>
            </w:r>
            <w:r>
              <w:rPr>
                <w:rFonts w:ascii="Times New Roman" w:hAnsi="Times New Roman" w:eastAsia="Times New Roman" w:cs="Times New Roman"/>
                <w:b/>
                <w:bCs/>
                <w:spacing w:val="8"/>
                <w:position w:val="2"/>
                <w:sz w:val="17"/>
                <w:szCs w:val="17"/>
              </w:rPr>
              <w:t>(</w:t>
            </w:r>
            <w:r>
              <w:rPr>
                <w:rFonts w:ascii="Times New Roman" w:hAnsi="Times New Roman" w:eastAsia="Times New Roman" w:cs="Times New Roman"/>
                <w:b/>
                <w:bCs/>
                <w:position w:val="2"/>
                <w:sz w:val="17"/>
                <w:szCs w:val="17"/>
              </w:rPr>
              <w:t>cm</w:t>
            </w:r>
            <w:r>
              <w:rPr>
                <w:rFonts w:ascii="Times New Roman" w:hAnsi="Times New Roman" w:eastAsia="Times New Roman" w:cs="Times New Roman"/>
                <w:b/>
                <w:bCs/>
                <w:spacing w:val="8"/>
                <w:position w:val="2"/>
                <w:sz w:val="17"/>
                <w:szCs w:val="17"/>
              </w:rPr>
              <w:t>)</w:t>
            </w:r>
          </w:p>
        </w:tc>
        <w:tc>
          <w:tcPr>
            <w:tcW w:w="919" w:type="dxa"/>
            <w:gridSpan w:val="2"/>
            <w:vAlign w:val="top"/>
          </w:tcPr>
          <w:p>
            <w:pPr>
              <w:spacing w:before="107" w:line="231" w:lineRule="auto"/>
              <w:ind w:left="285"/>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底</w:t>
            </w:r>
            <w:r>
              <w:rPr>
                <w:rFonts w:ascii="宋体" w:hAnsi="宋体" w:eastAsia="宋体" w:cs="宋体"/>
                <w:spacing w:val="6"/>
                <w:sz w:val="17"/>
                <w:szCs w:val="17"/>
                <w14:textOutline w14:w="3268" w14:cap="sq" w14:cmpd="sng">
                  <w14:solidFill>
                    <w14:srgbClr w14:val="000000"/>
                  </w14:solidFill>
                  <w14:prstDash w14:val="solid"/>
                  <w14:bevel/>
                </w14:textOutline>
              </w:rPr>
              <w:t>质</w:t>
            </w:r>
          </w:p>
        </w:tc>
        <w:tc>
          <w:tcPr>
            <w:tcW w:w="792" w:type="dxa"/>
            <w:gridSpan w:val="2"/>
            <w:vAlign w:val="top"/>
          </w:tcPr>
          <w:p>
            <w:pPr>
              <w:spacing w:before="107" w:line="231" w:lineRule="auto"/>
              <w:ind w:left="43"/>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位置关</w:t>
            </w:r>
            <w:r>
              <w:rPr>
                <w:rFonts w:ascii="宋体" w:hAnsi="宋体" w:eastAsia="宋体" w:cs="宋体"/>
                <w:spacing w:val="8"/>
                <w:sz w:val="17"/>
                <w:szCs w:val="17"/>
                <w14:textOutline w14:w="3268" w14:cap="sq" w14:cmpd="sng">
                  <w14:solidFill>
                    <w14:srgbClr w14:val="000000"/>
                  </w14:solidFill>
                  <w14:prstDash w14:val="solid"/>
                  <w14:bevel/>
                </w14:textOutline>
              </w:rPr>
              <w:t>系</w:t>
            </w:r>
          </w:p>
        </w:tc>
        <w:tc>
          <w:tcPr>
            <w:tcW w:w="672" w:type="dxa"/>
            <w:vAlign w:val="top"/>
          </w:tcPr>
          <w:p>
            <w:pPr>
              <w:spacing w:before="69" w:line="249" w:lineRule="exact"/>
              <w:ind w:left="64"/>
              <w:rPr>
                <w:rFonts w:ascii="Times New Roman" w:hAnsi="Times New Roman" w:eastAsia="Times New Roman" w:cs="Times New Roman"/>
                <w:sz w:val="17"/>
                <w:szCs w:val="17"/>
              </w:rPr>
            </w:pPr>
            <w:r>
              <w:rPr>
                <w:rFonts w:ascii="宋体" w:hAnsi="宋体" w:eastAsia="宋体" w:cs="宋体"/>
                <w:spacing w:val="9"/>
                <w:position w:val="1"/>
                <w:sz w:val="17"/>
                <w:szCs w:val="17"/>
                <w14:textOutline w14:w="3268" w14:cap="sq" w14:cmpd="sng">
                  <w14:solidFill>
                    <w14:srgbClr w14:val="000000"/>
                  </w14:solidFill>
                  <w14:prstDash w14:val="solid"/>
                  <w14:bevel/>
                </w14:textOutline>
              </w:rPr>
              <w:t>距离</w:t>
            </w:r>
            <w:r>
              <w:rPr>
                <w:rFonts w:ascii="Times New Roman" w:hAnsi="Times New Roman" w:eastAsia="Times New Roman" w:cs="Times New Roman"/>
                <w:b/>
                <w:bCs/>
                <w:spacing w:val="9"/>
                <w:position w:val="1"/>
                <w:sz w:val="17"/>
                <w:szCs w:val="17"/>
              </w:rPr>
              <w:t>/</w:t>
            </w:r>
            <w:r>
              <w:rPr>
                <w:rFonts w:ascii="Times New Roman" w:hAnsi="Times New Roman" w:eastAsia="Times New Roman" w:cs="Times New Roman"/>
                <w:b/>
                <w:bCs/>
                <w:position w:val="1"/>
                <w:sz w:val="17"/>
                <w:szCs w:val="17"/>
              </w:rPr>
              <w:t>m</w:t>
            </w:r>
          </w:p>
        </w:tc>
        <w:tc>
          <w:tcPr>
            <w:tcW w:w="831" w:type="dxa"/>
            <w:gridSpan w:val="2"/>
            <w:tcBorders>
              <w:right w:val="single" w:color="000000" w:sz="6" w:space="0"/>
            </w:tcBorders>
            <w:vAlign w:val="top"/>
          </w:tcPr>
          <w:p>
            <w:pPr>
              <w:spacing w:before="107" w:line="232" w:lineRule="auto"/>
              <w:ind w:left="170"/>
              <w:rPr>
                <w:rFonts w:ascii="宋体" w:hAnsi="宋体" w:eastAsia="宋体" w:cs="宋体"/>
                <w:sz w:val="17"/>
                <w:szCs w:val="17"/>
              </w:rPr>
            </w:pPr>
            <w:r>
              <w:rPr>
                <w:rFonts w:ascii="宋体" w:hAnsi="宋体" w:eastAsia="宋体" w:cs="宋体"/>
                <w:spacing w:val="5"/>
                <w:sz w:val="17"/>
                <w:szCs w:val="17"/>
                <w14:textOutline w14:w="3268" w14:cap="sq" w14:cmpd="sng">
                  <w14:solidFill>
                    <w14:srgbClr w14:val="000000"/>
                  </w14:solidFill>
                  <w14:prstDash w14:val="solid"/>
                  <w14:bevel/>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622" w:type="dxa"/>
            <w:vMerge w:val="continue"/>
            <w:tcBorders>
              <w:top w:val="nil"/>
              <w:left w:val="single" w:color="000000" w:sz="6" w:space="0"/>
              <w:bottom w:val="nil"/>
            </w:tcBorders>
            <w:vAlign w:val="top"/>
          </w:tcPr>
          <w:p>
            <w:pPr>
              <w:rPr>
                <w:rFonts w:ascii="Arial"/>
                <w:sz w:val="21"/>
              </w:rPr>
            </w:pPr>
          </w:p>
        </w:tc>
        <w:tc>
          <w:tcPr>
            <w:tcW w:w="563" w:type="dxa"/>
            <w:vAlign w:val="top"/>
          </w:tcPr>
          <w:p>
            <w:pPr>
              <w:spacing w:before="136" w:line="197" w:lineRule="auto"/>
              <w:ind w:left="323"/>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1748" w:type="dxa"/>
            <w:gridSpan w:val="2"/>
            <w:vAlign w:val="top"/>
          </w:tcPr>
          <w:p>
            <w:pPr>
              <w:spacing w:before="105" w:line="231" w:lineRule="auto"/>
              <w:ind w:left="426"/>
              <w:rPr>
                <w:rFonts w:ascii="宋体" w:hAnsi="宋体" w:eastAsia="宋体" w:cs="宋体"/>
                <w:sz w:val="17"/>
                <w:szCs w:val="17"/>
              </w:rPr>
            </w:pPr>
            <w:r>
              <w:rPr>
                <w:rFonts w:ascii="宋体" w:hAnsi="宋体" w:eastAsia="宋体" w:cs="宋体"/>
                <w:spacing w:val="10"/>
                <w:sz w:val="17"/>
                <w:szCs w:val="17"/>
              </w:rPr>
              <w:t>彩</w:t>
            </w:r>
            <w:r>
              <w:rPr>
                <w:rFonts w:ascii="宋体" w:hAnsi="宋体" w:eastAsia="宋体" w:cs="宋体"/>
                <w:spacing w:val="8"/>
                <w:sz w:val="17"/>
                <w:szCs w:val="17"/>
              </w:rPr>
              <w:t>虹桥河滩</w:t>
            </w:r>
          </w:p>
        </w:tc>
        <w:tc>
          <w:tcPr>
            <w:tcW w:w="852" w:type="dxa"/>
            <w:gridSpan w:val="2"/>
            <w:vAlign w:val="top"/>
          </w:tcPr>
          <w:p>
            <w:pPr>
              <w:spacing w:before="137" w:line="197" w:lineRule="auto"/>
              <w:ind w:left="285"/>
              <w:rPr>
                <w:rFonts w:ascii="Times New Roman" w:hAnsi="Times New Roman" w:eastAsia="Times New Roman" w:cs="Times New Roman"/>
                <w:sz w:val="17"/>
                <w:szCs w:val="17"/>
              </w:rPr>
            </w:pPr>
            <w:r>
              <w:rPr>
                <w:rFonts w:ascii="Times New Roman" w:hAnsi="Times New Roman" w:eastAsia="Times New Roman" w:cs="Times New Roman"/>
                <w:sz w:val="17"/>
                <w:szCs w:val="17"/>
              </w:rPr>
              <w:t>16.5</w:t>
            </w:r>
          </w:p>
        </w:tc>
        <w:tc>
          <w:tcPr>
            <w:tcW w:w="837" w:type="dxa"/>
            <w:gridSpan w:val="2"/>
            <w:vAlign w:val="top"/>
          </w:tcPr>
          <w:p>
            <w:pPr>
              <w:spacing w:before="106" w:line="230" w:lineRule="auto"/>
              <w:ind w:left="62"/>
              <w:rPr>
                <w:rFonts w:ascii="宋体" w:hAnsi="宋体" w:eastAsia="宋体" w:cs="宋体"/>
                <w:sz w:val="17"/>
                <w:szCs w:val="17"/>
              </w:rPr>
            </w:pPr>
            <w:r>
              <w:rPr>
                <w:rFonts w:ascii="宋体" w:hAnsi="宋体" w:eastAsia="宋体" w:cs="宋体"/>
                <w:spacing w:val="8"/>
                <w:sz w:val="17"/>
                <w:szCs w:val="17"/>
              </w:rPr>
              <w:t>微蓝清澈</w:t>
            </w:r>
          </w:p>
        </w:tc>
        <w:tc>
          <w:tcPr>
            <w:tcW w:w="1090" w:type="dxa"/>
            <w:gridSpan w:val="2"/>
            <w:vAlign w:val="top"/>
          </w:tcPr>
          <w:p>
            <w:pPr>
              <w:spacing w:before="136" w:line="197" w:lineRule="auto"/>
              <w:ind w:left="42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05</w:t>
            </w:r>
          </w:p>
        </w:tc>
        <w:tc>
          <w:tcPr>
            <w:tcW w:w="919" w:type="dxa"/>
            <w:gridSpan w:val="2"/>
            <w:vAlign w:val="top"/>
          </w:tcPr>
          <w:p>
            <w:pPr>
              <w:spacing w:before="105" w:line="231" w:lineRule="auto"/>
              <w:ind w:left="110"/>
              <w:rPr>
                <w:rFonts w:ascii="宋体" w:hAnsi="宋体" w:eastAsia="宋体" w:cs="宋体"/>
                <w:sz w:val="17"/>
                <w:szCs w:val="17"/>
              </w:rPr>
            </w:pPr>
            <w:r>
              <w:rPr>
                <w:rFonts w:ascii="宋体" w:hAnsi="宋体" w:eastAsia="宋体" w:cs="宋体"/>
                <w:spacing w:val="7"/>
                <w:sz w:val="17"/>
                <w:szCs w:val="17"/>
              </w:rPr>
              <w:t>卵石沙土</w:t>
            </w:r>
          </w:p>
        </w:tc>
        <w:tc>
          <w:tcPr>
            <w:tcW w:w="792" w:type="dxa"/>
            <w:gridSpan w:val="2"/>
            <w:vAlign w:val="top"/>
          </w:tcPr>
          <w:p>
            <w:pPr>
              <w:spacing w:before="105" w:line="231" w:lineRule="auto"/>
              <w:ind w:left="225"/>
              <w:rPr>
                <w:rFonts w:ascii="宋体" w:hAnsi="宋体" w:eastAsia="宋体" w:cs="宋体"/>
                <w:sz w:val="17"/>
                <w:szCs w:val="17"/>
              </w:rPr>
            </w:pPr>
            <w:r>
              <w:rPr>
                <w:rFonts w:ascii="宋体" w:hAnsi="宋体" w:eastAsia="宋体" w:cs="宋体"/>
                <w:spacing w:val="6"/>
                <w:sz w:val="17"/>
                <w:szCs w:val="17"/>
              </w:rPr>
              <w:t>上</w:t>
            </w:r>
            <w:r>
              <w:rPr>
                <w:rFonts w:ascii="宋体" w:hAnsi="宋体" w:eastAsia="宋体" w:cs="宋体"/>
                <w:spacing w:val="5"/>
                <w:sz w:val="17"/>
                <w:szCs w:val="17"/>
              </w:rPr>
              <w:t>游</w:t>
            </w:r>
          </w:p>
        </w:tc>
        <w:tc>
          <w:tcPr>
            <w:tcW w:w="672" w:type="dxa"/>
            <w:vAlign w:val="top"/>
          </w:tcPr>
          <w:p>
            <w:pPr>
              <w:spacing w:before="136" w:line="197" w:lineRule="auto"/>
              <w:ind w:left="22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00</w:t>
            </w:r>
          </w:p>
        </w:tc>
        <w:tc>
          <w:tcPr>
            <w:tcW w:w="831"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622" w:type="dxa"/>
            <w:vMerge w:val="continue"/>
            <w:tcBorders>
              <w:top w:val="nil"/>
              <w:left w:val="single" w:color="000000" w:sz="6" w:space="0"/>
              <w:bottom w:val="nil"/>
            </w:tcBorders>
            <w:vAlign w:val="top"/>
          </w:tcPr>
          <w:p>
            <w:pPr>
              <w:rPr>
                <w:rFonts w:ascii="Arial"/>
                <w:sz w:val="21"/>
              </w:rPr>
            </w:pPr>
          </w:p>
        </w:tc>
        <w:tc>
          <w:tcPr>
            <w:tcW w:w="563" w:type="dxa"/>
            <w:vAlign w:val="top"/>
          </w:tcPr>
          <w:p>
            <w:pPr>
              <w:spacing w:before="135" w:line="197" w:lineRule="auto"/>
              <w:ind w:left="30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1748" w:type="dxa"/>
            <w:gridSpan w:val="2"/>
            <w:vAlign w:val="top"/>
          </w:tcPr>
          <w:p>
            <w:pPr>
              <w:spacing w:before="107" w:line="229" w:lineRule="auto"/>
              <w:ind w:left="66"/>
              <w:rPr>
                <w:rFonts w:ascii="宋体" w:hAnsi="宋体" w:eastAsia="宋体" w:cs="宋体"/>
                <w:sz w:val="17"/>
                <w:szCs w:val="17"/>
              </w:rPr>
            </w:pPr>
            <w:r>
              <w:rPr>
                <w:rFonts w:ascii="宋体" w:hAnsi="宋体" w:eastAsia="宋体" w:cs="宋体"/>
                <w:spacing w:val="10"/>
                <w:sz w:val="17"/>
                <w:szCs w:val="17"/>
              </w:rPr>
              <w:t>州</w:t>
            </w:r>
            <w:r>
              <w:rPr>
                <w:rFonts w:ascii="宋体" w:hAnsi="宋体" w:eastAsia="宋体" w:cs="宋体"/>
                <w:spacing w:val="9"/>
                <w:sz w:val="17"/>
                <w:szCs w:val="17"/>
              </w:rPr>
              <w:t>河高家坝桥址河段</w:t>
            </w:r>
          </w:p>
        </w:tc>
        <w:tc>
          <w:tcPr>
            <w:tcW w:w="852" w:type="dxa"/>
            <w:gridSpan w:val="2"/>
            <w:vAlign w:val="top"/>
          </w:tcPr>
          <w:p>
            <w:pPr>
              <w:spacing w:before="135" w:line="197" w:lineRule="auto"/>
              <w:ind w:left="28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w:t>
            </w:r>
            <w:r>
              <w:rPr>
                <w:rFonts w:ascii="Times New Roman" w:hAnsi="Times New Roman" w:eastAsia="Times New Roman" w:cs="Times New Roman"/>
                <w:sz w:val="17"/>
                <w:szCs w:val="17"/>
              </w:rPr>
              <w:t>6.3</w:t>
            </w:r>
          </w:p>
        </w:tc>
        <w:tc>
          <w:tcPr>
            <w:tcW w:w="837" w:type="dxa"/>
            <w:gridSpan w:val="2"/>
            <w:vAlign w:val="top"/>
          </w:tcPr>
          <w:p>
            <w:pPr>
              <w:spacing w:before="107" w:line="230" w:lineRule="auto"/>
              <w:ind w:left="62"/>
              <w:rPr>
                <w:rFonts w:ascii="宋体" w:hAnsi="宋体" w:eastAsia="宋体" w:cs="宋体"/>
                <w:sz w:val="17"/>
                <w:szCs w:val="17"/>
              </w:rPr>
            </w:pPr>
            <w:r>
              <w:rPr>
                <w:rFonts w:ascii="宋体" w:hAnsi="宋体" w:eastAsia="宋体" w:cs="宋体"/>
                <w:spacing w:val="8"/>
                <w:sz w:val="17"/>
                <w:szCs w:val="17"/>
              </w:rPr>
              <w:t>微蓝清澈</w:t>
            </w:r>
          </w:p>
        </w:tc>
        <w:tc>
          <w:tcPr>
            <w:tcW w:w="1090" w:type="dxa"/>
            <w:gridSpan w:val="2"/>
            <w:vAlign w:val="top"/>
          </w:tcPr>
          <w:p>
            <w:pPr>
              <w:spacing w:before="135" w:line="197" w:lineRule="auto"/>
              <w:ind w:left="42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04</w:t>
            </w:r>
          </w:p>
        </w:tc>
        <w:tc>
          <w:tcPr>
            <w:tcW w:w="919" w:type="dxa"/>
            <w:gridSpan w:val="2"/>
            <w:vAlign w:val="top"/>
          </w:tcPr>
          <w:p>
            <w:pPr>
              <w:spacing w:before="106" w:line="231" w:lineRule="auto"/>
              <w:ind w:left="110"/>
              <w:rPr>
                <w:rFonts w:ascii="宋体" w:hAnsi="宋体" w:eastAsia="宋体" w:cs="宋体"/>
                <w:sz w:val="17"/>
                <w:szCs w:val="17"/>
              </w:rPr>
            </w:pPr>
            <w:r>
              <w:rPr>
                <w:rFonts w:ascii="宋体" w:hAnsi="宋体" w:eastAsia="宋体" w:cs="宋体"/>
                <w:spacing w:val="7"/>
                <w:sz w:val="17"/>
                <w:szCs w:val="17"/>
              </w:rPr>
              <w:t>卵石沙土</w:t>
            </w:r>
          </w:p>
        </w:tc>
        <w:tc>
          <w:tcPr>
            <w:tcW w:w="792" w:type="dxa"/>
            <w:gridSpan w:val="2"/>
            <w:vAlign w:val="top"/>
          </w:tcPr>
          <w:p>
            <w:pPr>
              <w:spacing w:before="106" w:line="231" w:lineRule="auto"/>
              <w:ind w:left="229"/>
              <w:rPr>
                <w:rFonts w:ascii="宋体" w:hAnsi="宋体" w:eastAsia="宋体" w:cs="宋体"/>
                <w:sz w:val="17"/>
                <w:szCs w:val="17"/>
              </w:rPr>
            </w:pPr>
            <w:r>
              <w:rPr>
                <w:rFonts w:ascii="宋体" w:hAnsi="宋体" w:eastAsia="宋体" w:cs="宋体"/>
                <w:spacing w:val="4"/>
                <w:sz w:val="17"/>
                <w:szCs w:val="17"/>
              </w:rPr>
              <w:t>下</w:t>
            </w:r>
            <w:r>
              <w:rPr>
                <w:rFonts w:ascii="宋体" w:hAnsi="宋体" w:eastAsia="宋体" w:cs="宋体"/>
                <w:spacing w:val="3"/>
                <w:sz w:val="17"/>
                <w:szCs w:val="17"/>
              </w:rPr>
              <w:t>游</w:t>
            </w:r>
          </w:p>
        </w:tc>
        <w:tc>
          <w:tcPr>
            <w:tcW w:w="672" w:type="dxa"/>
            <w:vAlign w:val="top"/>
          </w:tcPr>
          <w:p>
            <w:pPr>
              <w:spacing w:before="135" w:line="197"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0</w:t>
            </w:r>
          </w:p>
        </w:tc>
        <w:tc>
          <w:tcPr>
            <w:tcW w:w="831"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22" w:type="dxa"/>
            <w:vMerge w:val="continue"/>
            <w:tcBorders>
              <w:top w:val="nil"/>
              <w:left w:val="single" w:color="000000" w:sz="6" w:space="0"/>
              <w:bottom w:val="nil"/>
            </w:tcBorders>
            <w:vAlign w:val="top"/>
          </w:tcPr>
          <w:p>
            <w:pPr>
              <w:rPr>
                <w:rFonts w:ascii="Arial"/>
                <w:sz w:val="21"/>
              </w:rPr>
            </w:pPr>
          </w:p>
        </w:tc>
        <w:tc>
          <w:tcPr>
            <w:tcW w:w="563" w:type="dxa"/>
            <w:vAlign w:val="top"/>
          </w:tcPr>
          <w:p>
            <w:pPr>
              <w:spacing w:before="141" w:line="197" w:lineRule="auto"/>
              <w:ind w:left="309"/>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tc>
        <w:tc>
          <w:tcPr>
            <w:tcW w:w="1748" w:type="dxa"/>
            <w:gridSpan w:val="2"/>
            <w:vAlign w:val="top"/>
          </w:tcPr>
          <w:p>
            <w:pPr>
              <w:spacing w:before="112" w:line="230" w:lineRule="auto"/>
              <w:ind w:left="430"/>
              <w:rPr>
                <w:rFonts w:ascii="宋体" w:hAnsi="宋体" w:eastAsia="宋体" w:cs="宋体"/>
                <w:sz w:val="17"/>
                <w:szCs w:val="17"/>
              </w:rPr>
            </w:pPr>
            <w:r>
              <w:rPr>
                <w:rFonts w:ascii="宋体" w:hAnsi="宋体" w:eastAsia="宋体" w:cs="宋体"/>
                <w:spacing w:val="10"/>
                <w:sz w:val="17"/>
                <w:szCs w:val="17"/>
              </w:rPr>
              <w:t>小</w:t>
            </w:r>
            <w:r>
              <w:rPr>
                <w:rFonts w:ascii="宋体" w:hAnsi="宋体" w:eastAsia="宋体" w:cs="宋体"/>
                <w:spacing w:val="7"/>
                <w:sz w:val="17"/>
                <w:szCs w:val="17"/>
              </w:rPr>
              <w:t>河嘴河段</w:t>
            </w:r>
          </w:p>
        </w:tc>
        <w:tc>
          <w:tcPr>
            <w:tcW w:w="852" w:type="dxa"/>
            <w:gridSpan w:val="2"/>
            <w:vAlign w:val="top"/>
          </w:tcPr>
          <w:p>
            <w:pPr>
              <w:spacing w:before="141" w:line="197" w:lineRule="auto"/>
              <w:ind w:left="28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16.</w:t>
            </w:r>
            <w:r>
              <w:rPr>
                <w:rFonts w:ascii="Times New Roman" w:hAnsi="Times New Roman" w:eastAsia="Times New Roman" w:cs="Times New Roman"/>
                <w:sz w:val="17"/>
                <w:szCs w:val="17"/>
              </w:rPr>
              <w:t>2</w:t>
            </w:r>
          </w:p>
        </w:tc>
        <w:tc>
          <w:tcPr>
            <w:tcW w:w="837" w:type="dxa"/>
            <w:gridSpan w:val="2"/>
            <w:vAlign w:val="top"/>
          </w:tcPr>
          <w:p>
            <w:pPr>
              <w:spacing w:before="112" w:line="230" w:lineRule="auto"/>
              <w:ind w:left="62"/>
              <w:rPr>
                <w:rFonts w:ascii="宋体" w:hAnsi="宋体" w:eastAsia="宋体" w:cs="宋体"/>
                <w:sz w:val="17"/>
                <w:szCs w:val="17"/>
              </w:rPr>
            </w:pPr>
            <w:r>
              <w:rPr>
                <w:rFonts w:ascii="宋体" w:hAnsi="宋体" w:eastAsia="宋体" w:cs="宋体"/>
                <w:spacing w:val="8"/>
                <w:sz w:val="17"/>
                <w:szCs w:val="17"/>
              </w:rPr>
              <w:t>微蓝清澈</w:t>
            </w:r>
          </w:p>
        </w:tc>
        <w:tc>
          <w:tcPr>
            <w:tcW w:w="1090" w:type="dxa"/>
            <w:gridSpan w:val="2"/>
            <w:vAlign w:val="top"/>
          </w:tcPr>
          <w:p>
            <w:pPr>
              <w:spacing w:before="141" w:line="197" w:lineRule="auto"/>
              <w:ind w:left="46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5</w:t>
            </w:r>
          </w:p>
        </w:tc>
        <w:tc>
          <w:tcPr>
            <w:tcW w:w="919" w:type="dxa"/>
            <w:gridSpan w:val="2"/>
            <w:vAlign w:val="top"/>
          </w:tcPr>
          <w:p>
            <w:pPr>
              <w:spacing w:before="112" w:line="231" w:lineRule="auto"/>
              <w:ind w:left="110"/>
              <w:rPr>
                <w:rFonts w:ascii="宋体" w:hAnsi="宋体" w:eastAsia="宋体" w:cs="宋体"/>
                <w:sz w:val="17"/>
                <w:szCs w:val="17"/>
              </w:rPr>
            </w:pPr>
            <w:r>
              <w:rPr>
                <w:rFonts w:ascii="宋体" w:hAnsi="宋体" w:eastAsia="宋体" w:cs="宋体"/>
                <w:spacing w:val="7"/>
                <w:sz w:val="17"/>
                <w:szCs w:val="17"/>
              </w:rPr>
              <w:t>卵石泥沙</w:t>
            </w:r>
          </w:p>
        </w:tc>
        <w:tc>
          <w:tcPr>
            <w:tcW w:w="792" w:type="dxa"/>
            <w:gridSpan w:val="2"/>
            <w:vAlign w:val="top"/>
          </w:tcPr>
          <w:p>
            <w:pPr>
              <w:spacing w:before="112" w:line="231" w:lineRule="auto"/>
              <w:ind w:left="229"/>
              <w:rPr>
                <w:rFonts w:ascii="宋体" w:hAnsi="宋体" w:eastAsia="宋体" w:cs="宋体"/>
                <w:sz w:val="17"/>
                <w:szCs w:val="17"/>
              </w:rPr>
            </w:pPr>
            <w:r>
              <w:rPr>
                <w:rFonts w:ascii="宋体" w:hAnsi="宋体" w:eastAsia="宋体" w:cs="宋体"/>
                <w:spacing w:val="4"/>
                <w:sz w:val="17"/>
                <w:szCs w:val="17"/>
              </w:rPr>
              <w:t>下</w:t>
            </w:r>
            <w:r>
              <w:rPr>
                <w:rFonts w:ascii="宋体" w:hAnsi="宋体" w:eastAsia="宋体" w:cs="宋体"/>
                <w:spacing w:val="3"/>
                <w:sz w:val="17"/>
                <w:szCs w:val="17"/>
              </w:rPr>
              <w:t>游</w:t>
            </w:r>
          </w:p>
        </w:tc>
        <w:tc>
          <w:tcPr>
            <w:tcW w:w="672" w:type="dxa"/>
            <w:vAlign w:val="top"/>
          </w:tcPr>
          <w:p>
            <w:pPr>
              <w:spacing w:before="141" w:line="197" w:lineRule="auto"/>
              <w:ind w:left="16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3"/>
                <w:sz w:val="17"/>
                <w:szCs w:val="17"/>
              </w:rPr>
              <w:t>000</w:t>
            </w:r>
          </w:p>
        </w:tc>
        <w:tc>
          <w:tcPr>
            <w:tcW w:w="831"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4" w:hRule="atLeast"/>
        </w:trPr>
        <w:tc>
          <w:tcPr>
            <w:tcW w:w="622" w:type="dxa"/>
            <w:vMerge w:val="continue"/>
            <w:tcBorders>
              <w:top w:val="nil"/>
              <w:left w:val="single" w:color="000000" w:sz="6" w:space="0"/>
              <w:bottom w:val="nil"/>
            </w:tcBorders>
            <w:vAlign w:val="top"/>
          </w:tcPr>
          <w:p>
            <w:pPr>
              <w:rPr>
                <w:rFonts w:ascii="Arial"/>
                <w:sz w:val="21"/>
              </w:rPr>
            </w:pPr>
          </w:p>
        </w:tc>
        <w:tc>
          <w:tcPr>
            <w:tcW w:w="8304" w:type="dxa"/>
            <w:gridSpan w:val="16"/>
            <w:tcBorders>
              <w:right w:val="single" w:color="000000" w:sz="6" w:space="0"/>
            </w:tcBorders>
            <w:vAlign w:val="top"/>
          </w:tcPr>
          <w:p>
            <w:pPr>
              <w:spacing w:before="142" w:line="228" w:lineRule="auto"/>
              <w:ind w:left="526"/>
              <w:rPr>
                <w:rFonts w:ascii="宋体" w:hAnsi="宋体" w:eastAsia="宋体" w:cs="宋体"/>
                <w:sz w:val="20"/>
                <w:szCs w:val="20"/>
              </w:rPr>
            </w:pPr>
            <w:r>
              <w:rPr>
                <w:rFonts w:ascii="宋体" w:hAnsi="宋体" w:eastAsia="宋体" w:cs="宋体"/>
                <w:spacing w:val="9"/>
                <w:sz w:val="20"/>
                <w:szCs w:val="20"/>
              </w:rPr>
              <w:t>根</w:t>
            </w:r>
            <w:r>
              <w:rPr>
                <w:rFonts w:ascii="宋体" w:hAnsi="宋体" w:eastAsia="宋体" w:cs="宋体"/>
                <w:spacing w:val="8"/>
                <w:sz w:val="20"/>
                <w:szCs w:val="20"/>
              </w:rPr>
              <w:t>据调查成果引用如下：</w:t>
            </w:r>
          </w:p>
          <w:p>
            <w:pPr>
              <w:tabs>
                <w:tab w:val="left" w:pos="597"/>
              </w:tabs>
              <w:spacing w:before="153" w:line="228" w:lineRule="auto"/>
              <w:ind w:left="519"/>
              <w:rPr>
                <w:rFonts w:ascii="宋体" w:hAnsi="宋体" w:eastAsia="宋体" w:cs="宋体"/>
                <w:sz w:val="20"/>
                <w:szCs w:val="20"/>
              </w:rPr>
            </w:pPr>
            <w:r>
              <w:rPr>
                <w:rFonts w:ascii="宋体" w:hAnsi="宋体" w:eastAsia="宋体" w:cs="宋体"/>
                <w:sz w:val="17"/>
                <w:szCs w:val="17"/>
              </w:rPr>
              <w:tab/>
            </w:r>
            <w:r>
              <w:rPr>
                <w:rFonts w:ascii="宋体" w:hAnsi="宋体" w:eastAsia="宋体" w:cs="宋体"/>
                <w:spacing w:val="8"/>
                <w:sz w:val="17"/>
                <w:szCs w:val="17"/>
              </w:rPr>
              <w:t>1</w:t>
            </w:r>
            <w:r>
              <w:rPr>
                <w:rFonts w:ascii="宋体" w:hAnsi="宋体" w:eastAsia="宋体" w:cs="宋体"/>
                <w:spacing w:val="6"/>
                <w:sz w:val="17"/>
                <w:szCs w:val="17"/>
              </w:rPr>
              <w:t xml:space="preserve"> </w:t>
            </w:r>
            <w:r>
              <w:rPr>
                <w:rFonts w:ascii="宋体" w:hAnsi="宋体" w:eastAsia="宋体" w:cs="宋体"/>
                <w:spacing w:val="4"/>
                <w:sz w:val="17"/>
                <w:szCs w:val="17"/>
              </w:rPr>
              <w:t xml:space="preserve">  </w:t>
            </w:r>
            <w:r>
              <w:rPr>
                <w:rFonts w:ascii="宋体" w:hAnsi="宋体" w:eastAsia="宋体" w:cs="宋体"/>
                <w:spacing w:val="4"/>
                <w:sz w:val="20"/>
                <w:szCs w:val="20"/>
              </w:rPr>
              <w:t>浮游植物</w:t>
            </w:r>
          </w:p>
          <w:p>
            <w:pPr>
              <w:spacing w:before="155" w:line="362" w:lineRule="auto"/>
              <w:ind w:left="107" w:right="52" w:firstLine="420"/>
              <w:rPr>
                <w:rFonts w:ascii="宋体" w:hAnsi="宋体" w:eastAsia="宋体" w:cs="宋体"/>
                <w:sz w:val="20"/>
                <w:szCs w:val="20"/>
              </w:rPr>
            </w:pPr>
            <w:r>
              <w:rPr>
                <w:rFonts w:ascii="宋体" w:hAnsi="宋体" w:eastAsia="宋体" w:cs="宋体"/>
                <w:spacing w:val="2"/>
                <w:sz w:val="20"/>
                <w:szCs w:val="20"/>
              </w:rPr>
              <w:t>州河流</w:t>
            </w:r>
            <w:r>
              <w:rPr>
                <w:rFonts w:ascii="宋体" w:hAnsi="宋体" w:eastAsia="宋体" w:cs="宋体"/>
                <w:spacing w:val="1"/>
                <w:sz w:val="20"/>
                <w:szCs w:val="20"/>
              </w:rPr>
              <w:t xml:space="preserve">域三个采样点共收集到浮游藻类 </w:t>
            </w:r>
            <w:r>
              <w:rPr>
                <w:rFonts w:ascii="Times New Roman" w:hAnsi="Times New Roman" w:eastAsia="Times New Roman" w:cs="Times New Roman"/>
                <w:spacing w:val="1"/>
                <w:sz w:val="20"/>
                <w:szCs w:val="20"/>
              </w:rPr>
              <w:t xml:space="preserve">3 </w:t>
            </w:r>
            <w:r>
              <w:rPr>
                <w:rFonts w:ascii="宋体" w:hAnsi="宋体" w:eastAsia="宋体" w:cs="宋体"/>
                <w:spacing w:val="1"/>
                <w:sz w:val="20"/>
                <w:szCs w:val="20"/>
              </w:rPr>
              <w:t xml:space="preserve">门 </w:t>
            </w:r>
            <w:r>
              <w:rPr>
                <w:rFonts w:ascii="Times New Roman" w:hAnsi="Times New Roman" w:eastAsia="Times New Roman" w:cs="Times New Roman"/>
                <w:spacing w:val="1"/>
                <w:sz w:val="20"/>
                <w:szCs w:val="20"/>
              </w:rPr>
              <w:t xml:space="preserve">5 </w:t>
            </w:r>
            <w:r>
              <w:rPr>
                <w:rFonts w:ascii="宋体" w:hAnsi="宋体" w:eastAsia="宋体" w:cs="宋体"/>
                <w:spacing w:val="1"/>
                <w:sz w:val="20"/>
                <w:szCs w:val="20"/>
              </w:rPr>
              <w:t xml:space="preserve">纲 </w:t>
            </w:r>
            <w:r>
              <w:rPr>
                <w:rFonts w:ascii="Times New Roman" w:hAnsi="Times New Roman" w:eastAsia="Times New Roman" w:cs="Times New Roman"/>
                <w:spacing w:val="1"/>
                <w:sz w:val="20"/>
                <w:szCs w:val="20"/>
              </w:rPr>
              <w:t xml:space="preserve">13 </w:t>
            </w:r>
            <w:r>
              <w:rPr>
                <w:rFonts w:ascii="宋体" w:hAnsi="宋体" w:eastAsia="宋体" w:cs="宋体"/>
                <w:spacing w:val="1"/>
                <w:sz w:val="20"/>
                <w:szCs w:val="20"/>
              </w:rPr>
              <w:t xml:space="preserve">目 </w:t>
            </w:r>
            <w:r>
              <w:rPr>
                <w:rFonts w:ascii="Times New Roman" w:hAnsi="Times New Roman" w:eastAsia="Times New Roman" w:cs="Times New Roman"/>
                <w:spacing w:val="1"/>
                <w:sz w:val="20"/>
                <w:szCs w:val="20"/>
              </w:rPr>
              <w:t xml:space="preserve">19 </w:t>
            </w:r>
            <w:r>
              <w:rPr>
                <w:rFonts w:ascii="宋体" w:hAnsi="宋体" w:eastAsia="宋体" w:cs="宋体"/>
                <w:spacing w:val="1"/>
                <w:sz w:val="20"/>
                <w:szCs w:val="20"/>
              </w:rPr>
              <w:t xml:space="preserve">科 </w:t>
            </w:r>
            <w:r>
              <w:rPr>
                <w:rFonts w:ascii="Times New Roman" w:hAnsi="Times New Roman" w:eastAsia="Times New Roman" w:cs="Times New Roman"/>
                <w:spacing w:val="1"/>
                <w:sz w:val="20"/>
                <w:szCs w:val="20"/>
              </w:rPr>
              <w:t xml:space="preserve">33 </w:t>
            </w:r>
            <w:r>
              <w:rPr>
                <w:rFonts w:ascii="宋体" w:hAnsi="宋体" w:eastAsia="宋体" w:cs="宋体"/>
                <w:spacing w:val="1"/>
                <w:sz w:val="20"/>
                <w:szCs w:val="20"/>
              </w:rPr>
              <w:t xml:space="preserve">属 </w:t>
            </w:r>
            <w:r>
              <w:rPr>
                <w:rFonts w:ascii="Times New Roman" w:hAnsi="Times New Roman" w:eastAsia="Times New Roman" w:cs="Times New Roman"/>
                <w:spacing w:val="1"/>
                <w:sz w:val="20"/>
                <w:szCs w:val="20"/>
              </w:rPr>
              <w:t xml:space="preserve">102 </w:t>
            </w:r>
            <w:r>
              <w:rPr>
                <w:rFonts w:ascii="宋体" w:hAnsi="宋体" w:eastAsia="宋体" w:cs="宋体"/>
                <w:spacing w:val="1"/>
                <w:sz w:val="20"/>
                <w:szCs w:val="20"/>
              </w:rPr>
              <w:t>种，其中硅藻</w:t>
            </w:r>
            <w:r>
              <w:rPr>
                <w:rFonts w:ascii="宋体" w:hAnsi="宋体" w:eastAsia="宋体" w:cs="宋体"/>
                <w:sz w:val="20"/>
                <w:szCs w:val="20"/>
              </w:rPr>
              <w:t xml:space="preserve"> </w:t>
            </w:r>
            <w:r>
              <w:rPr>
                <w:rFonts w:ascii="宋体" w:hAnsi="宋体" w:eastAsia="宋体" w:cs="宋体"/>
                <w:spacing w:val="-1"/>
                <w:sz w:val="20"/>
                <w:szCs w:val="20"/>
              </w:rPr>
              <w:t xml:space="preserve">门最多，有 </w:t>
            </w:r>
            <w:r>
              <w:rPr>
                <w:rFonts w:ascii="Times New Roman" w:hAnsi="Times New Roman" w:eastAsia="Times New Roman" w:cs="Times New Roman"/>
                <w:spacing w:val="-1"/>
                <w:sz w:val="20"/>
                <w:szCs w:val="20"/>
              </w:rPr>
              <w:t xml:space="preserve">82 </w:t>
            </w:r>
            <w:r>
              <w:rPr>
                <w:rFonts w:ascii="宋体" w:hAnsi="宋体" w:eastAsia="宋体" w:cs="宋体"/>
                <w:spacing w:val="-1"/>
                <w:sz w:val="20"/>
                <w:szCs w:val="20"/>
              </w:rPr>
              <w:t xml:space="preserve">种，占种类总数的 </w:t>
            </w:r>
            <w:r>
              <w:rPr>
                <w:rFonts w:ascii="Times New Roman" w:hAnsi="Times New Roman" w:eastAsia="Times New Roman" w:cs="Times New Roman"/>
                <w:spacing w:val="-1"/>
                <w:sz w:val="20"/>
                <w:szCs w:val="20"/>
              </w:rPr>
              <w:t>80.39%</w:t>
            </w:r>
            <w:r>
              <w:rPr>
                <w:rFonts w:ascii="宋体" w:hAnsi="宋体" w:eastAsia="宋体" w:cs="宋体"/>
                <w:spacing w:val="-1"/>
                <w:sz w:val="20"/>
                <w:szCs w:val="20"/>
              </w:rPr>
              <w:t xml:space="preserve">；绿藻门次之，有 </w:t>
            </w:r>
            <w:r>
              <w:rPr>
                <w:rFonts w:ascii="Times New Roman" w:hAnsi="Times New Roman" w:eastAsia="Times New Roman" w:cs="Times New Roman"/>
                <w:spacing w:val="-1"/>
                <w:sz w:val="20"/>
                <w:szCs w:val="20"/>
              </w:rPr>
              <w:t xml:space="preserve">12  </w:t>
            </w:r>
            <w:r>
              <w:rPr>
                <w:rFonts w:ascii="宋体" w:hAnsi="宋体" w:eastAsia="宋体" w:cs="宋体"/>
                <w:spacing w:val="-1"/>
                <w:sz w:val="20"/>
                <w:szCs w:val="20"/>
              </w:rPr>
              <w:t xml:space="preserve">种，占种类总数的 </w:t>
            </w:r>
            <w:r>
              <w:rPr>
                <w:rFonts w:ascii="Times New Roman" w:hAnsi="Times New Roman" w:eastAsia="Times New Roman" w:cs="Times New Roman"/>
                <w:spacing w:val="-1"/>
                <w:sz w:val="20"/>
                <w:szCs w:val="20"/>
              </w:rPr>
              <w:t>11.7</w:t>
            </w:r>
            <w:r>
              <w:rPr>
                <w:rFonts w:ascii="Times New Roman" w:hAnsi="Times New Roman" w:eastAsia="Times New Roman" w:cs="Times New Roman"/>
                <w:sz w:val="20"/>
                <w:szCs w:val="20"/>
              </w:rPr>
              <w:t>7%</w:t>
            </w:r>
            <w:r>
              <w:rPr>
                <w:rFonts w:ascii="宋体" w:hAnsi="宋体" w:eastAsia="宋体" w:cs="宋体"/>
                <w:sz w:val="20"/>
                <w:szCs w:val="20"/>
              </w:rPr>
              <w:t xml:space="preserve">； </w:t>
            </w:r>
            <w:r>
              <w:rPr>
                <w:rFonts w:ascii="宋体" w:hAnsi="宋体" w:eastAsia="宋体" w:cs="宋体"/>
                <w:spacing w:val="-4"/>
                <w:sz w:val="20"/>
                <w:szCs w:val="20"/>
              </w:rPr>
              <w:t xml:space="preserve">蓝藻门 </w:t>
            </w:r>
            <w:r>
              <w:rPr>
                <w:rFonts w:ascii="Times New Roman" w:hAnsi="Times New Roman" w:eastAsia="Times New Roman" w:cs="Times New Roman"/>
                <w:spacing w:val="-4"/>
                <w:sz w:val="20"/>
                <w:szCs w:val="20"/>
              </w:rPr>
              <w:t>8</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种， 占种类总数的 </w:t>
            </w:r>
            <w:r>
              <w:rPr>
                <w:rFonts w:ascii="Times New Roman" w:hAnsi="Times New Roman" w:eastAsia="Times New Roman" w:cs="Times New Roman"/>
                <w:spacing w:val="-2"/>
                <w:sz w:val="20"/>
                <w:szCs w:val="20"/>
              </w:rPr>
              <w:t>7.84%</w:t>
            </w:r>
            <w:r>
              <w:rPr>
                <w:rFonts w:ascii="宋体" w:hAnsi="宋体" w:eastAsia="宋体" w:cs="宋体"/>
                <w:spacing w:val="-2"/>
                <w:sz w:val="20"/>
                <w:szCs w:val="20"/>
              </w:rPr>
              <w:t>。</w:t>
            </w:r>
          </w:p>
          <w:p>
            <w:pPr>
              <w:spacing w:line="229" w:lineRule="auto"/>
              <w:ind w:left="2355"/>
              <w:rPr>
                <w:rFonts w:ascii="黑体" w:hAnsi="黑体" w:eastAsia="黑体" w:cs="黑体"/>
                <w:sz w:val="19"/>
                <w:szCs w:val="19"/>
              </w:rPr>
            </w:pPr>
            <w:r>
              <w:rPr>
                <w:rFonts w:ascii="黑体" w:hAnsi="黑体" w:eastAsia="黑体" w:cs="黑体"/>
                <w:spacing w:val="14"/>
                <w:sz w:val="19"/>
                <w:szCs w:val="19"/>
              </w:rPr>
              <w:t>表</w:t>
            </w:r>
            <w:r>
              <w:rPr>
                <w:rFonts w:ascii="Times New Roman" w:hAnsi="Times New Roman" w:eastAsia="Times New Roman" w:cs="Times New Roman"/>
                <w:spacing w:val="14"/>
                <w:sz w:val="19"/>
                <w:szCs w:val="19"/>
              </w:rPr>
              <w:t>2</w:t>
            </w:r>
            <w:r>
              <w:rPr>
                <w:rFonts w:ascii="Times New Roman" w:hAnsi="Times New Roman" w:eastAsia="Times New Roman" w:cs="Times New Roman"/>
                <w:spacing w:val="7"/>
                <w:sz w:val="19"/>
                <w:szCs w:val="19"/>
              </w:rPr>
              <w:t xml:space="preserve">2    </w:t>
            </w:r>
            <w:r>
              <w:rPr>
                <w:rFonts w:ascii="黑体" w:hAnsi="黑体" w:eastAsia="黑体" w:cs="黑体"/>
                <w:spacing w:val="7"/>
                <w:sz w:val="19"/>
                <w:szCs w:val="19"/>
              </w:rPr>
              <w:t>州河流域采样点浮游植物区系组成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2" w:type="dxa"/>
            <w:vMerge w:val="continue"/>
            <w:tcBorders>
              <w:top w:val="nil"/>
              <w:left w:val="single" w:color="000000" w:sz="6" w:space="0"/>
              <w:bottom w:val="nil"/>
            </w:tcBorders>
            <w:vAlign w:val="top"/>
          </w:tcPr>
          <w:p>
            <w:pPr>
              <w:rPr>
                <w:rFonts w:ascii="Arial"/>
                <w:sz w:val="21"/>
              </w:rPr>
            </w:pPr>
          </w:p>
        </w:tc>
        <w:tc>
          <w:tcPr>
            <w:tcW w:w="1535" w:type="dxa"/>
            <w:gridSpan w:val="2"/>
            <w:vAlign w:val="top"/>
          </w:tcPr>
          <w:p>
            <w:pPr>
              <w:spacing w:before="90" w:line="234" w:lineRule="auto"/>
              <w:ind w:left="795"/>
              <w:rPr>
                <w:rFonts w:ascii="宋体" w:hAnsi="宋体" w:eastAsia="宋体" w:cs="宋体"/>
                <w:sz w:val="17"/>
                <w:szCs w:val="17"/>
              </w:rPr>
            </w:pPr>
            <w:r>
              <w:rPr>
                <w:rFonts w:ascii="宋体" w:hAnsi="宋体" w:eastAsia="宋体" w:cs="宋体"/>
                <w:sz w:val="17"/>
                <w:szCs w:val="17"/>
                <w14:textOutline w14:w="3268" w14:cap="sq" w14:cmpd="sng">
                  <w14:solidFill>
                    <w14:srgbClr w14:val="000000"/>
                  </w14:solidFill>
                  <w14:prstDash w14:val="solid"/>
                  <w14:bevel/>
                </w14:textOutline>
              </w:rPr>
              <w:t>门</w:t>
            </w:r>
          </w:p>
        </w:tc>
        <w:tc>
          <w:tcPr>
            <w:tcW w:w="904" w:type="dxa"/>
            <w:gridSpan w:val="2"/>
            <w:vAlign w:val="top"/>
          </w:tcPr>
          <w:p>
            <w:pPr>
              <w:spacing w:before="90" w:line="233" w:lineRule="auto"/>
              <w:ind w:left="366"/>
              <w:rPr>
                <w:rFonts w:ascii="宋体" w:hAnsi="宋体" w:eastAsia="宋体" w:cs="宋体"/>
                <w:sz w:val="17"/>
                <w:szCs w:val="17"/>
              </w:rPr>
            </w:pPr>
            <w:r>
              <w:rPr>
                <w:rFonts w:ascii="宋体" w:hAnsi="宋体" w:eastAsia="宋体" w:cs="宋体"/>
                <w:sz w:val="17"/>
                <w:szCs w:val="17"/>
                <w14:textOutline w14:w="3268" w14:cap="sq" w14:cmpd="sng">
                  <w14:solidFill>
                    <w14:srgbClr w14:val="000000"/>
                  </w14:solidFill>
                  <w14:prstDash w14:val="solid"/>
                  <w14:bevel/>
                </w14:textOutline>
              </w:rPr>
              <w:t>纲</w:t>
            </w:r>
          </w:p>
        </w:tc>
        <w:tc>
          <w:tcPr>
            <w:tcW w:w="904" w:type="dxa"/>
            <w:gridSpan w:val="2"/>
            <w:vAlign w:val="top"/>
          </w:tcPr>
          <w:p>
            <w:pPr>
              <w:spacing w:before="90" w:line="233" w:lineRule="auto"/>
              <w:ind w:left="398"/>
              <w:rPr>
                <w:rFonts w:ascii="宋体" w:hAnsi="宋体" w:eastAsia="宋体" w:cs="宋体"/>
                <w:sz w:val="17"/>
                <w:szCs w:val="17"/>
              </w:rPr>
            </w:pPr>
            <w:r>
              <w:rPr>
                <w:rFonts w:ascii="宋体" w:hAnsi="宋体" w:eastAsia="宋体" w:cs="宋体"/>
                <w:sz w:val="17"/>
                <w:szCs w:val="17"/>
                <w14:textOutline w14:w="3268" w14:cap="sq" w14:cmpd="sng">
                  <w14:solidFill>
                    <w14:srgbClr w14:val="000000"/>
                  </w14:solidFill>
                  <w14:prstDash w14:val="solid"/>
                  <w14:bevel/>
                </w14:textOutline>
              </w:rPr>
              <w:t>目</w:t>
            </w:r>
          </w:p>
        </w:tc>
        <w:tc>
          <w:tcPr>
            <w:tcW w:w="903" w:type="dxa"/>
            <w:gridSpan w:val="2"/>
            <w:vAlign w:val="top"/>
          </w:tcPr>
          <w:p>
            <w:pPr>
              <w:spacing w:before="90" w:line="229" w:lineRule="auto"/>
              <w:ind w:left="364"/>
              <w:rPr>
                <w:rFonts w:ascii="宋体" w:hAnsi="宋体" w:eastAsia="宋体" w:cs="宋体"/>
                <w:sz w:val="17"/>
                <w:szCs w:val="17"/>
              </w:rPr>
            </w:pPr>
            <w:r>
              <w:rPr>
                <w:rFonts w:ascii="宋体" w:hAnsi="宋体" w:eastAsia="宋体" w:cs="宋体"/>
                <w:spacing w:val="2"/>
                <w:sz w:val="17"/>
                <w:szCs w:val="17"/>
                <w14:textOutline w14:w="3268" w14:cap="sq" w14:cmpd="sng">
                  <w14:solidFill>
                    <w14:srgbClr w14:val="000000"/>
                  </w14:solidFill>
                  <w14:prstDash w14:val="solid"/>
                  <w14:bevel/>
                </w14:textOutline>
              </w:rPr>
              <w:t>科</w:t>
            </w:r>
          </w:p>
        </w:tc>
        <w:tc>
          <w:tcPr>
            <w:tcW w:w="903" w:type="dxa"/>
            <w:gridSpan w:val="2"/>
            <w:vAlign w:val="top"/>
          </w:tcPr>
          <w:p>
            <w:pPr>
              <w:spacing w:before="90" w:line="232" w:lineRule="auto"/>
              <w:ind w:left="368"/>
              <w:rPr>
                <w:rFonts w:ascii="宋体" w:hAnsi="宋体" w:eastAsia="宋体" w:cs="宋体"/>
                <w:sz w:val="17"/>
                <w:szCs w:val="17"/>
              </w:rPr>
            </w:pPr>
            <w:r>
              <w:rPr>
                <w:rFonts w:ascii="宋体" w:hAnsi="宋体" w:eastAsia="宋体" w:cs="宋体"/>
                <w:spacing w:val="1"/>
                <w:sz w:val="17"/>
                <w:szCs w:val="17"/>
                <w14:textOutline w14:w="3268" w14:cap="sq" w14:cmpd="sng">
                  <w14:solidFill>
                    <w14:srgbClr w14:val="000000"/>
                  </w14:solidFill>
                  <w14:prstDash w14:val="solid"/>
                  <w14:bevel/>
                </w14:textOutline>
              </w:rPr>
              <w:t>属</w:t>
            </w:r>
          </w:p>
        </w:tc>
        <w:tc>
          <w:tcPr>
            <w:tcW w:w="971" w:type="dxa"/>
            <w:gridSpan w:val="2"/>
            <w:vAlign w:val="top"/>
          </w:tcPr>
          <w:p>
            <w:pPr>
              <w:spacing w:before="90" w:line="231" w:lineRule="auto"/>
              <w:ind w:left="402"/>
              <w:rPr>
                <w:rFonts w:ascii="宋体" w:hAnsi="宋体" w:eastAsia="宋体" w:cs="宋体"/>
                <w:sz w:val="17"/>
                <w:szCs w:val="17"/>
              </w:rPr>
            </w:pPr>
            <w:r>
              <w:rPr>
                <w:rFonts w:ascii="宋体" w:hAnsi="宋体" w:eastAsia="宋体" w:cs="宋体"/>
                <w:spacing w:val="2"/>
                <w:sz w:val="17"/>
                <w:szCs w:val="17"/>
                <w14:textOutline w14:w="3268" w14:cap="sq" w14:cmpd="sng">
                  <w14:solidFill>
                    <w14:srgbClr w14:val="000000"/>
                  </w14:solidFill>
                  <w14:prstDash w14:val="solid"/>
                  <w14:bevel/>
                </w14:textOutline>
              </w:rPr>
              <w:t>种</w:t>
            </w:r>
          </w:p>
        </w:tc>
        <w:tc>
          <w:tcPr>
            <w:tcW w:w="1979" w:type="dxa"/>
            <w:gridSpan w:val="3"/>
            <w:vAlign w:val="top"/>
          </w:tcPr>
          <w:p>
            <w:pPr>
              <w:spacing w:before="52" w:line="249" w:lineRule="exact"/>
              <w:ind w:left="458"/>
              <w:rPr>
                <w:rFonts w:ascii="Times New Roman" w:hAnsi="Times New Roman" w:eastAsia="Times New Roman" w:cs="Times New Roman"/>
                <w:sz w:val="17"/>
                <w:szCs w:val="17"/>
              </w:rPr>
            </w:pPr>
            <w:r>
              <w:rPr>
                <w:rFonts w:ascii="宋体" w:hAnsi="宋体" w:eastAsia="宋体" w:cs="宋体"/>
                <w:spacing w:val="10"/>
                <w:position w:val="1"/>
                <w:sz w:val="17"/>
                <w:szCs w:val="17"/>
                <w14:textOutline w14:w="3268" w14:cap="sq" w14:cmpd="sng">
                  <w14:solidFill>
                    <w14:srgbClr w14:val="000000"/>
                  </w14:solidFill>
                  <w14:prstDash w14:val="solid"/>
                  <w14:bevel/>
                </w14:textOutline>
              </w:rPr>
              <w:t>种</w:t>
            </w:r>
            <w:r>
              <w:rPr>
                <w:rFonts w:ascii="宋体" w:hAnsi="宋体" w:eastAsia="宋体" w:cs="宋体"/>
                <w:spacing w:val="9"/>
                <w:position w:val="1"/>
                <w:sz w:val="17"/>
                <w:szCs w:val="17"/>
                <w14:textOutline w14:w="3268" w14:cap="sq" w14:cmpd="sng">
                  <w14:solidFill>
                    <w14:srgbClr w14:val="000000"/>
                  </w14:solidFill>
                  <w14:prstDash w14:val="solid"/>
                  <w14:bevel/>
                </w14:textOutline>
              </w:rPr>
              <w:t>数百分比</w:t>
            </w:r>
            <w:r>
              <w:rPr>
                <w:rFonts w:ascii="Times New Roman" w:hAnsi="Times New Roman" w:eastAsia="Times New Roman" w:cs="Times New Roman"/>
                <w:b/>
                <w:bCs/>
                <w:spacing w:val="9"/>
                <w:position w:val="1"/>
                <w:sz w:val="17"/>
                <w:szCs w:val="17"/>
              </w:rPr>
              <w:t>%</w:t>
            </w:r>
          </w:p>
        </w:tc>
        <w:tc>
          <w:tcPr>
            <w:tcW w:w="205"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2" w:type="dxa"/>
            <w:vMerge w:val="continue"/>
            <w:tcBorders>
              <w:top w:val="nil"/>
              <w:left w:val="single" w:color="000000" w:sz="6" w:space="0"/>
              <w:bottom w:val="nil"/>
            </w:tcBorders>
            <w:vAlign w:val="top"/>
          </w:tcPr>
          <w:p>
            <w:pPr>
              <w:rPr>
                <w:rFonts w:ascii="Arial"/>
                <w:sz w:val="21"/>
              </w:rPr>
            </w:pPr>
          </w:p>
        </w:tc>
        <w:tc>
          <w:tcPr>
            <w:tcW w:w="1535" w:type="dxa"/>
            <w:gridSpan w:val="2"/>
            <w:vAlign w:val="top"/>
          </w:tcPr>
          <w:p>
            <w:pPr>
              <w:spacing w:before="89" w:line="231" w:lineRule="auto"/>
              <w:ind w:left="594"/>
              <w:rPr>
                <w:rFonts w:ascii="宋体" w:hAnsi="宋体" w:eastAsia="宋体" w:cs="宋体"/>
                <w:sz w:val="17"/>
                <w:szCs w:val="17"/>
              </w:rPr>
            </w:pPr>
            <w:r>
              <w:rPr>
                <w:rFonts w:ascii="宋体" w:hAnsi="宋体" w:eastAsia="宋体" w:cs="宋体"/>
                <w:spacing w:val="8"/>
                <w:sz w:val="17"/>
                <w:szCs w:val="17"/>
              </w:rPr>
              <w:t>硅藻</w:t>
            </w:r>
            <w:r>
              <w:rPr>
                <w:rFonts w:ascii="宋体" w:hAnsi="宋体" w:eastAsia="宋体" w:cs="宋体"/>
                <w:spacing w:val="7"/>
                <w:sz w:val="17"/>
                <w:szCs w:val="17"/>
              </w:rPr>
              <w:t>门</w:t>
            </w:r>
          </w:p>
        </w:tc>
        <w:tc>
          <w:tcPr>
            <w:tcW w:w="904" w:type="dxa"/>
            <w:gridSpan w:val="2"/>
            <w:vAlign w:val="top"/>
          </w:tcPr>
          <w:p>
            <w:pPr>
              <w:spacing w:before="120" w:line="197" w:lineRule="auto"/>
              <w:ind w:left="40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904" w:type="dxa"/>
            <w:gridSpan w:val="2"/>
            <w:vAlign w:val="top"/>
          </w:tcPr>
          <w:p>
            <w:pPr>
              <w:spacing w:before="122" w:line="194" w:lineRule="auto"/>
              <w:ind w:left="411"/>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903" w:type="dxa"/>
            <w:gridSpan w:val="2"/>
            <w:vAlign w:val="top"/>
          </w:tcPr>
          <w:p>
            <w:pPr>
              <w:spacing w:before="120" w:line="197" w:lineRule="auto"/>
              <w:ind w:left="414"/>
              <w:rPr>
                <w:rFonts w:ascii="Times New Roman" w:hAnsi="Times New Roman" w:eastAsia="Times New Roman" w:cs="Times New Roman"/>
                <w:sz w:val="17"/>
                <w:szCs w:val="17"/>
              </w:rPr>
            </w:pPr>
            <w:r>
              <w:rPr>
                <w:rFonts w:ascii="Times New Roman" w:hAnsi="Times New Roman" w:eastAsia="Times New Roman" w:cs="Times New Roman"/>
                <w:sz w:val="17"/>
                <w:szCs w:val="17"/>
              </w:rPr>
              <w:t>8</w:t>
            </w:r>
          </w:p>
        </w:tc>
        <w:tc>
          <w:tcPr>
            <w:tcW w:w="903" w:type="dxa"/>
            <w:gridSpan w:val="2"/>
            <w:vAlign w:val="top"/>
          </w:tcPr>
          <w:p>
            <w:pPr>
              <w:spacing w:before="120" w:line="197" w:lineRule="auto"/>
              <w:ind w:left="38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19</w:t>
            </w:r>
          </w:p>
        </w:tc>
        <w:tc>
          <w:tcPr>
            <w:tcW w:w="971" w:type="dxa"/>
            <w:gridSpan w:val="2"/>
            <w:vAlign w:val="top"/>
          </w:tcPr>
          <w:p>
            <w:pPr>
              <w:spacing w:before="120" w:line="197" w:lineRule="auto"/>
              <w:ind w:left="405"/>
              <w:rPr>
                <w:rFonts w:ascii="Times New Roman" w:hAnsi="Times New Roman" w:eastAsia="Times New Roman" w:cs="Times New Roman"/>
                <w:sz w:val="17"/>
                <w:szCs w:val="17"/>
              </w:rPr>
            </w:pPr>
            <w:r>
              <w:rPr>
                <w:rFonts w:ascii="Times New Roman" w:hAnsi="Times New Roman" w:eastAsia="Times New Roman" w:cs="Times New Roman"/>
                <w:sz w:val="17"/>
                <w:szCs w:val="17"/>
              </w:rPr>
              <w:t>82</w:t>
            </w:r>
          </w:p>
        </w:tc>
        <w:tc>
          <w:tcPr>
            <w:tcW w:w="1979" w:type="dxa"/>
            <w:gridSpan w:val="3"/>
            <w:vAlign w:val="top"/>
          </w:tcPr>
          <w:p>
            <w:pPr>
              <w:spacing w:before="120" w:line="197" w:lineRule="auto"/>
              <w:ind w:left="80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8</w:t>
            </w: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.39</w:t>
            </w:r>
          </w:p>
        </w:tc>
        <w:tc>
          <w:tcPr>
            <w:tcW w:w="20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2" w:type="dxa"/>
            <w:vMerge w:val="continue"/>
            <w:tcBorders>
              <w:top w:val="nil"/>
              <w:left w:val="single" w:color="000000" w:sz="6" w:space="0"/>
              <w:bottom w:val="nil"/>
            </w:tcBorders>
            <w:vAlign w:val="top"/>
          </w:tcPr>
          <w:p>
            <w:pPr>
              <w:rPr>
                <w:rFonts w:ascii="Arial"/>
                <w:sz w:val="21"/>
              </w:rPr>
            </w:pPr>
          </w:p>
        </w:tc>
        <w:tc>
          <w:tcPr>
            <w:tcW w:w="1535" w:type="dxa"/>
            <w:gridSpan w:val="2"/>
            <w:vAlign w:val="top"/>
          </w:tcPr>
          <w:p>
            <w:pPr>
              <w:spacing w:before="90" w:line="231" w:lineRule="auto"/>
              <w:ind w:left="596"/>
              <w:rPr>
                <w:rFonts w:ascii="宋体" w:hAnsi="宋体" w:eastAsia="宋体" w:cs="宋体"/>
                <w:sz w:val="17"/>
                <w:szCs w:val="17"/>
              </w:rPr>
            </w:pPr>
            <w:r>
              <w:rPr>
                <w:rFonts w:ascii="宋体" w:hAnsi="宋体" w:eastAsia="宋体" w:cs="宋体"/>
                <w:spacing w:val="7"/>
                <w:sz w:val="17"/>
                <w:szCs w:val="17"/>
              </w:rPr>
              <w:t>绿藻门</w:t>
            </w:r>
          </w:p>
        </w:tc>
        <w:tc>
          <w:tcPr>
            <w:tcW w:w="904" w:type="dxa"/>
            <w:gridSpan w:val="2"/>
            <w:vAlign w:val="top"/>
          </w:tcPr>
          <w:p>
            <w:pPr>
              <w:spacing w:before="121" w:line="197" w:lineRule="auto"/>
              <w:ind w:left="40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904" w:type="dxa"/>
            <w:gridSpan w:val="2"/>
            <w:vAlign w:val="top"/>
          </w:tcPr>
          <w:p>
            <w:pPr>
              <w:spacing w:before="123" w:line="194" w:lineRule="auto"/>
              <w:ind w:left="411"/>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903" w:type="dxa"/>
            <w:gridSpan w:val="2"/>
            <w:vAlign w:val="top"/>
          </w:tcPr>
          <w:p>
            <w:pPr>
              <w:spacing w:before="121" w:line="197" w:lineRule="auto"/>
              <w:ind w:left="411"/>
              <w:rPr>
                <w:rFonts w:ascii="Times New Roman" w:hAnsi="Times New Roman" w:eastAsia="Times New Roman" w:cs="Times New Roman"/>
                <w:sz w:val="17"/>
                <w:szCs w:val="17"/>
              </w:rPr>
            </w:pPr>
            <w:r>
              <w:rPr>
                <w:rFonts w:ascii="Times New Roman" w:hAnsi="Times New Roman" w:eastAsia="Times New Roman" w:cs="Times New Roman"/>
                <w:sz w:val="17"/>
                <w:szCs w:val="17"/>
              </w:rPr>
              <w:t>6</w:t>
            </w:r>
          </w:p>
        </w:tc>
        <w:tc>
          <w:tcPr>
            <w:tcW w:w="903" w:type="dxa"/>
            <w:gridSpan w:val="2"/>
            <w:vAlign w:val="top"/>
          </w:tcPr>
          <w:p>
            <w:pPr>
              <w:spacing w:before="121" w:line="197" w:lineRule="auto"/>
              <w:ind w:left="416"/>
              <w:rPr>
                <w:rFonts w:ascii="Times New Roman" w:hAnsi="Times New Roman" w:eastAsia="Times New Roman" w:cs="Times New Roman"/>
                <w:sz w:val="17"/>
                <w:szCs w:val="17"/>
              </w:rPr>
            </w:pPr>
            <w:r>
              <w:rPr>
                <w:rFonts w:ascii="Times New Roman" w:hAnsi="Times New Roman" w:eastAsia="Times New Roman" w:cs="Times New Roman"/>
                <w:sz w:val="17"/>
                <w:szCs w:val="17"/>
              </w:rPr>
              <w:t>8</w:t>
            </w:r>
          </w:p>
        </w:tc>
        <w:tc>
          <w:tcPr>
            <w:tcW w:w="971" w:type="dxa"/>
            <w:gridSpan w:val="2"/>
            <w:vAlign w:val="top"/>
          </w:tcPr>
          <w:p>
            <w:pPr>
              <w:spacing w:before="121" w:line="197" w:lineRule="auto"/>
              <w:ind w:left="41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12</w:t>
            </w:r>
          </w:p>
        </w:tc>
        <w:tc>
          <w:tcPr>
            <w:tcW w:w="1979" w:type="dxa"/>
            <w:gridSpan w:val="3"/>
            <w:vAlign w:val="top"/>
          </w:tcPr>
          <w:p>
            <w:pPr>
              <w:spacing w:before="121" w:line="200" w:lineRule="auto"/>
              <w:ind w:left="81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11.7</w:t>
            </w:r>
            <w:r>
              <w:rPr>
                <w:rFonts w:ascii="Times New Roman" w:hAnsi="Times New Roman" w:eastAsia="Times New Roman" w:cs="Times New Roman"/>
                <w:sz w:val="17"/>
                <w:szCs w:val="17"/>
              </w:rPr>
              <w:t>7</w:t>
            </w:r>
          </w:p>
        </w:tc>
        <w:tc>
          <w:tcPr>
            <w:tcW w:w="20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22" w:type="dxa"/>
            <w:vMerge w:val="continue"/>
            <w:tcBorders>
              <w:top w:val="nil"/>
              <w:left w:val="single" w:color="000000" w:sz="6" w:space="0"/>
              <w:bottom w:val="nil"/>
            </w:tcBorders>
            <w:vAlign w:val="top"/>
          </w:tcPr>
          <w:p>
            <w:pPr>
              <w:rPr>
                <w:rFonts w:ascii="Arial"/>
                <w:sz w:val="21"/>
              </w:rPr>
            </w:pPr>
          </w:p>
        </w:tc>
        <w:tc>
          <w:tcPr>
            <w:tcW w:w="1535" w:type="dxa"/>
            <w:gridSpan w:val="2"/>
            <w:vAlign w:val="top"/>
          </w:tcPr>
          <w:p>
            <w:pPr>
              <w:spacing w:before="91" w:line="231" w:lineRule="auto"/>
              <w:ind w:left="595"/>
              <w:rPr>
                <w:rFonts w:ascii="宋体" w:hAnsi="宋体" w:eastAsia="宋体" w:cs="宋体"/>
                <w:sz w:val="17"/>
                <w:szCs w:val="17"/>
              </w:rPr>
            </w:pPr>
            <w:r>
              <w:rPr>
                <w:rFonts w:ascii="宋体" w:hAnsi="宋体" w:eastAsia="宋体" w:cs="宋体"/>
                <w:spacing w:val="8"/>
                <w:sz w:val="17"/>
                <w:szCs w:val="17"/>
              </w:rPr>
              <w:t>蓝</w:t>
            </w:r>
            <w:r>
              <w:rPr>
                <w:rFonts w:ascii="宋体" w:hAnsi="宋体" w:eastAsia="宋体" w:cs="宋体"/>
                <w:spacing w:val="7"/>
                <w:sz w:val="17"/>
                <w:szCs w:val="17"/>
              </w:rPr>
              <w:t>藻门</w:t>
            </w:r>
          </w:p>
        </w:tc>
        <w:tc>
          <w:tcPr>
            <w:tcW w:w="904" w:type="dxa"/>
            <w:gridSpan w:val="2"/>
            <w:vAlign w:val="top"/>
          </w:tcPr>
          <w:p>
            <w:pPr>
              <w:spacing w:before="119" w:line="197" w:lineRule="auto"/>
              <w:ind w:left="422"/>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904" w:type="dxa"/>
            <w:gridSpan w:val="2"/>
            <w:vAlign w:val="top"/>
          </w:tcPr>
          <w:p>
            <w:pPr>
              <w:spacing w:before="119" w:line="197" w:lineRule="auto"/>
              <w:ind w:left="409"/>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tc>
        <w:tc>
          <w:tcPr>
            <w:tcW w:w="903" w:type="dxa"/>
            <w:gridSpan w:val="2"/>
            <w:vAlign w:val="top"/>
          </w:tcPr>
          <w:p>
            <w:pPr>
              <w:spacing w:before="122" w:line="194" w:lineRule="auto"/>
              <w:ind w:left="412"/>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903" w:type="dxa"/>
            <w:gridSpan w:val="2"/>
            <w:vAlign w:val="top"/>
          </w:tcPr>
          <w:p>
            <w:pPr>
              <w:spacing w:before="119" w:line="197" w:lineRule="auto"/>
              <w:ind w:left="412"/>
              <w:rPr>
                <w:rFonts w:ascii="Times New Roman" w:hAnsi="Times New Roman" w:eastAsia="Times New Roman" w:cs="Times New Roman"/>
                <w:sz w:val="17"/>
                <w:szCs w:val="17"/>
              </w:rPr>
            </w:pPr>
            <w:r>
              <w:rPr>
                <w:rFonts w:ascii="Times New Roman" w:hAnsi="Times New Roman" w:eastAsia="Times New Roman" w:cs="Times New Roman"/>
                <w:sz w:val="17"/>
                <w:szCs w:val="17"/>
              </w:rPr>
              <w:t>6</w:t>
            </w:r>
          </w:p>
        </w:tc>
        <w:tc>
          <w:tcPr>
            <w:tcW w:w="971" w:type="dxa"/>
            <w:gridSpan w:val="2"/>
            <w:vAlign w:val="top"/>
          </w:tcPr>
          <w:p>
            <w:pPr>
              <w:spacing w:before="119" w:line="197" w:lineRule="auto"/>
              <w:ind w:left="451"/>
              <w:rPr>
                <w:rFonts w:ascii="Times New Roman" w:hAnsi="Times New Roman" w:eastAsia="Times New Roman" w:cs="Times New Roman"/>
                <w:sz w:val="17"/>
                <w:szCs w:val="17"/>
              </w:rPr>
            </w:pPr>
            <w:r>
              <w:rPr>
                <w:rFonts w:ascii="Times New Roman" w:hAnsi="Times New Roman" w:eastAsia="Times New Roman" w:cs="Times New Roman"/>
                <w:sz w:val="17"/>
                <w:szCs w:val="17"/>
              </w:rPr>
              <w:t>8</w:t>
            </w:r>
          </w:p>
        </w:tc>
        <w:tc>
          <w:tcPr>
            <w:tcW w:w="1979" w:type="dxa"/>
            <w:gridSpan w:val="3"/>
            <w:vAlign w:val="top"/>
          </w:tcPr>
          <w:p>
            <w:pPr>
              <w:spacing w:before="119" w:line="197" w:lineRule="auto"/>
              <w:ind w:left="84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7.8</w:t>
            </w:r>
            <w:r>
              <w:rPr>
                <w:rFonts w:ascii="Times New Roman" w:hAnsi="Times New Roman" w:eastAsia="Times New Roman" w:cs="Times New Roman"/>
                <w:spacing w:val="2"/>
                <w:sz w:val="17"/>
                <w:szCs w:val="17"/>
              </w:rPr>
              <w:t>4</w:t>
            </w:r>
          </w:p>
        </w:tc>
        <w:tc>
          <w:tcPr>
            <w:tcW w:w="20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22" w:type="dxa"/>
            <w:vMerge w:val="continue"/>
            <w:tcBorders>
              <w:top w:val="nil"/>
              <w:left w:val="single" w:color="000000" w:sz="6" w:space="0"/>
              <w:bottom w:val="nil"/>
            </w:tcBorders>
            <w:vAlign w:val="top"/>
          </w:tcPr>
          <w:p>
            <w:pPr>
              <w:rPr>
                <w:rFonts w:ascii="Arial"/>
                <w:sz w:val="21"/>
              </w:rPr>
            </w:pPr>
          </w:p>
        </w:tc>
        <w:tc>
          <w:tcPr>
            <w:tcW w:w="1535" w:type="dxa"/>
            <w:gridSpan w:val="2"/>
            <w:vAlign w:val="top"/>
          </w:tcPr>
          <w:p>
            <w:pPr>
              <w:spacing w:before="101" w:line="232" w:lineRule="auto"/>
              <w:ind w:left="686"/>
              <w:rPr>
                <w:rFonts w:ascii="宋体" w:hAnsi="宋体" w:eastAsia="宋体" w:cs="宋体"/>
                <w:sz w:val="17"/>
                <w:szCs w:val="17"/>
              </w:rPr>
            </w:pPr>
            <w:r>
              <w:rPr>
                <w:rFonts w:ascii="宋体" w:hAnsi="宋体" w:eastAsia="宋体" w:cs="宋体"/>
                <w:spacing w:val="6"/>
                <w:sz w:val="17"/>
                <w:szCs w:val="17"/>
              </w:rPr>
              <w:t>合计</w:t>
            </w:r>
          </w:p>
        </w:tc>
        <w:tc>
          <w:tcPr>
            <w:tcW w:w="904" w:type="dxa"/>
            <w:gridSpan w:val="2"/>
            <w:vAlign w:val="top"/>
          </w:tcPr>
          <w:p>
            <w:pPr>
              <w:spacing w:before="132" w:line="194" w:lineRule="auto"/>
              <w:ind w:left="410"/>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904" w:type="dxa"/>
            <w:gridSpan w:val="2"/>
            <w:vAlign w:val="top"/>
          </w:tcPr>
          <w:p>
            <w:pPr>
              <w:spacing w:before="130" w:line="197" w:lineRule="auto"/>
              <w:ind w:left="37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13</w:t>
            </w:r>
          </w:p>
        </w:tc>
        <w:tc>
          <w:tcPr>
            <w:tcW w:w="903" w:type="dxa"/>
            <w:gridSpan w:val="2"/>
            <w:vAlign w:val="top"/>
          </w:tcPr>
          <w:p>
            <w:pPr>
              <w:spacing w:before="130" w:line="197" w:lineRule="auto"/>
              <w:ind w:left="37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19</w:t>
            </w:r>
          </w:p>
        </w:tc>
        <w:tc>
          <w:tcPr>
            <w:tcW w:w="903" w:type="dxa"/>
            <w:gridSpan w:val="2"/>
            <w:vAlign w:val="top"/>
          </w:tcPr>
          <w:p>
            <w:pPr>
              <w:spacing w:before="130" w:line="197" w:lineRule="auto"/>
              <w:ind w:left="36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3</w:t>
            </w:r>
          </w:p>
        </w:tc>
        <w:tc>
          <w:tcPr>
            <w:tcW w:w="971" w:type="dxa"/>
            <w:gridSpan w:val="2"/>
            <w:vAlign w:val="top"/>
          </w:tcPr>
          <w:p>
            <w:pPr>
              <w:spacing w:before="130" w:line="197" w:lineRule="auto"/>
              <w:ind w:left="37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02</w:t>
            </w:r>
          </w:p>
        </w:tc>
        <w:tc>
          <w:tcPr>
            <w:tcW w:w="1979" w:type="dxa"/>
            <w:gridSpan w:val="3"/>
            <w:vAlign w:val="top"/>
          </w:tcPr>
          <w:p>
            <w:pPr>
              <w:spacing w:before="130" w:line="197" w:lineRule="auto"/>
              <w:ind w:left="87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00</w:t>
            </w:r>
          </w:p>
        </w:tc>
        <w:tc>
          <w:tcPr>
            <w:tcW w:w="20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6" w:hRule="atLeast"/>
        </w:trPr>
        <w:tc>
          <w:tcPr>
            <w:tcW w:w="622" w:type="dxa"/>
            <w:vMerge w:val="continue"/>
            <w:tcBorders>
              <w:top w:val="nil"/>
              <w:left w:val="single" w:color="000000" w:sz="6" w:space="0"/>
            </w:tcBorders>
            <w:vAlign w:val="top"/>
          </w:tcPr>
          <w:p>
            <w:pPr>
              <w:rPr>
                <w:rFonts w:ascii="Arial"/>
                <w:sz w:val="21"/>
              </w:rPr>
            </w:pPr>
          </w:p>
        </w:tc>
        <w:tc>
          <w:tcPr>
            <w:tcW w:w="8304" w:type="dxa"/>
            <w:gridSpan w:val="16"/>
            <w:tcBorders>
              <w:right w:val="single" w:color="000000" w:sz="6" w:space="0"/>
            </w:tcBorders>
            <w:vAlign w:val="top"/>
          </w:tcPr>
          <w:p>
            <w:pPr>
              <w:spacing w:before="145" w:line="369" w:lineRule="auto"/>
              <w:ind w:left="107" w:right="102" w:firstLine="420"/>
              <w:rPr>
                <w:rFonts w:ascii="宋体" w:hAnsi="宋体" w:eastAsia="宋体" w:cs="宋体"/>
                <w:sz w:val="20"/>
                <w:szCs w:val="20"/>
              </w:rPr>
            </w:pPr>
            <w:r>
              <w:rPr>
                <w:rFonts w:ascii="宋体" w:hAnsi="宋体" w:eastAsia="宋体" w:cs="宋体"/>
                <w:spacing w:val="11"/>
                <w:sz w:val="20"/>
                <w:szCs w:val="20"/>
              </w:rPr>
              <w:t>浮</w:t>
            </w:r>
            <w:r>
              <w:rPr>
                <w:rFonts w:ascii="宋体" w:hAnsi="宋体" w:eastAsia="宋体" w:cs="宋体"/>
                <w:spacing w:val="7"/>
                <w:sz w:val="20"/>
                <w:szCs w:val="20"/>
              </w:rPr>
              <w:t>游藻类以流水的硅藻门种类为主，如变异直链藻、库津小环藻等。多污染水体的指</w:t>
            </w:r>
            <w:r>
              <w:rPr>
                <w:rFonts w:ascii="宋体" w:hAnsi="宋体" w:eastAsia="宋体" w:cs="宋体"/>
                <w:sz w:val="20"/>
                <w:szCs w:val="20"/>
              </w:rPr>
              <w:t xml:space="preserve"> </w:t>
            </w:r>
            <w:r>
              <w:rPr>
                <w:rFonts w:ascii="宋体" w:hAnsi="宋体" w:eastAsia="宋体" w:cs="宋体"/>
                <w:spacing w:val="14"/>
                <w:sz w:val="20"/>
                <w:szCs w:val="20"/>
              </w:rPr>
              <w:t>示</w:t>
            </w:r>
            <w:r>
              <w:rPr>
                <w:rFonts w:ascii="宋体" w:hAnsi="宋体" w:eastAsia="宋体" w:cs="宋体"/>
                <w:spacing w:val="10"/>
                <w:sz w:val="20"/>
                <w:szCs w:val="20"/>
              </w:rPr>
              <w:t>藻</w:t>
            </w:r>
            <w:r>
              <w:rPr>
                <w:rFonts w:ascii="宋体" w:hAnsi="宋体" w:eastAsia="宋体" w:cs="宋体"/>
                <w:spacing w:val="7"/>
                <w:sz w:val="20"/>
                <w:szCs w:val="20"/>
              </w:rPr>
              <w:t>类极少，且为偶见种类。由于水体较少污染，蓝藻门种类和数量均较少，主要为席藻</w:t>
            </w:r>
            <w:r>
              <w:rPr>
                <w:rFonts w:ascii="宋体" w:hAnsi="宋体" w:eastAsia="宋体" w:cs="宋体"/>
                <w:sz w:val="20"/>
                <w:szCs w:val="20"/>
              </w:rPr>
              <w:t xml:space="preserve"> </w:t>
            </w:r>
            <w:r>
              <w:rPr>
                <w:rFonts w:ascii="宋体" w:hAnsi="宋体" w:eastAsia="宋体" w:cs="宋体"/>
                <w:spacing w:val="8"/>
                <w:sz w:val="20"/>
                <w:szCs w:val="20"/>
              </w:rPr>
              <w:t>和</w:t>
            </w:r>
            <w:r>
              <w:rPr>
                <w:rFonts w:ascii="宋体" w:hAnsi="宋体" w:eastAsia="宋体" w:cs="宋体"/>
                <w:spacing w:val="5"/>
                <w:sz w:val="20"/>
                <w:szCs w:val="20"/>
              </w:rPr>
              <w:t>颤藻等。</w:t>
            </w:r>
          </w:p>
          <w:p>
            <w:pPr>
              <w:spacing w:line="228" w:lineRule="auto"/>
              <w:ind w:left="587"/>
              <w:rPr>
                <w:rFonts w:ascii="宋体" w:hAnsi="宋体" w:eastAsia="宋体" w:cs="宋体"/>
                <w:sz w:val="20"/>
                <w:szCs w:val="20"/>
              </w:rPr>
            </w:pPr>
            <w:r>
              <w:rPr>
                <w:rFonts w:ascii="宋体" w:hAnsi="宋体" w:eastAsia="宋体" w:cs="宋体"/>
                <w:spacing w:val="6"/>
                <w:sz w:val="17"/>
                <w:szCs w:val="17"/>
              </w:rPr>
              <w:t xml:space="preserve">2   </w:t>
            </w:r>
            <w:r>
              <w:rPr>
                <w:rFonts w:ascii="宋体" w:hAnsi="宋体" w:eastAsia="宋体" w:cs="宋体"/>
                <w:spacing w:val="6"/>
                <w:sz w:val="20"/>
                <w:szCs w:val="20"/>
              </w:rPr>
              <w:t>浮游动物</w:t>
            </w:r>
          </w:p>
          <w:p>
            <w:pPr>
              <w:spacing w:before="153" w:line="228" w:lineRule="auto"/>
              <w:ind w:left="528"/>
              <w:rPr>
                <w:rFonts w:ascii="宋体" w:hAnsi="宋体" w:eastAsia="宋体" w:cs="宋体"/>
                <w:sz w:val="20"/>
                <w:szCs w:val="20"/>
              </w:rPr>
            </w:pPr>
            <w:r>
              <w:rPr>
                <w:rFonts w:ascii="宋体" w:hAnsi="宋体" w:eastAsia="宋体" w:cs="宋体"/>
                <w:spacing w:val="18"/>
                <w:sz w:val="20"/>
                <w:szCs w:val="20"/>
              </w:rPr>
              <w:t>浮游</w:t>
            </w:r>
            <w:r>
              <w:rPr>
                <w:rFonts w:ascii="宋体" w:hAnsi="宋体" w:eastAsia="宋体" w:cs="宋体"/>
                <w:spacing w:val="14"/>
                <w:sz w:val="20"/>
                <w:szCs w:val="20"/>
              </w:rPr>
              <w:t>动</w:t>
            </w:r>
            <w:r>
              <w:rPr>
                <w:rFonts w:ascii="宋体" w:hAnsi="宋体" w:eastAsia="宋体" w:cs="宋体"/>
                <w:spacing w:val="9"/>
                <w:sz w:val="20"/>
                <w:szCs w:val="20"/>
              </w:rPr>
              <w:t>物以水生细菌和浮游植物为食，是属于水生生态系统中的消费者和第二营养</w:t>
            </w:r>
          </w:p>
          <w:p>
            <w:pPr>
              <w:spacing w:before="151" w:line="376" w:lineRule="auto"/>
              <w:ind w:left="107" w:right="105" w:firstLine="2"/>
              <w:rPr>
                <w:rFonts w:ascii="宋体" w:hAnsi="宋体" w:eastAsia="宋体" w:cs="宋体"/>
                <w:sz w:val="20"/>
                <w:szCs w:val="20"/>
              </w:rPr>
            </w:pPr>
            <w:r>
              <w:rPr>
                <w:rFonts w:ascii="宋体" w:hAnsi="宋体" w:eastAsia="宋体" w:cs="宋体"/>
                <w:spacing w:val="13"/>
                <w:sz w:val="20"/>
                <w:szCs w:val="20"/>
              </w:rPr>
              <w:t>级</w:t>
            </w:r>
            <w:r>
              <w:rPr>
                <w:rFonts w:ascii="宋体" w:hAnsi="宋体" w:eastAsia="宋体" w:cs="宋体"/>
                <w:spacing w:val="7"/>
                <w:sz w:val="20"/>
                <w:szCs w:val="20"/>
              </w:rPr>
              <w:t>，亦称次级生产力，由于浮游动物摄取大量藻类，所以使水体产生自净作用，它也是所</w:t>
            </w:r>
            <w:r>
              <w:rPr>
                <w:rFonts w:ascii="宋体" w:hAnsi="宋体" w:eastAsia="宋体" w:cs="宋体"/>
                <w:sz w:val="20"/>
                <w:szCs w:val="20"/>
              </w:rPr>
              <w:t xml:space="preserve"> </w:t>
            </w:r>
            <w:r>
              <w:rPr>
                <w:rFonts w:ascii="宋体" w:hAnsi="宋体" w:eastAsia="宋体" w:cs="宋体"/>
                <w:spacing w:val="2"/>
                <w:sz w:val="20"/>
                <w:szCs w:val="20"/>
              </w:rPr>
              <w:t xml:space="preserve">有幼鱼和某些成鱼的饵料基础。三个采样点共采集到浮游动物 </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 xml:space="preserve">门 </w:t>
            </w:r>
            <w:r>
              <w:rPr>
                <w:rFonts w:ascii="Times New Roman" w:hAnsi="Times New Roman" w:eastAsia="Times New Roman" w:cs="Times New Roman"/>
                <w:spacing w:val="2"/>
                <w:sz w:val="20"/>
                <w:szCs w:val="20"/>
              </w:rPr>
              <w:t>4</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纲 </w:t>
            </w:r>
            <w:r>
              <w:rPr>
                <w:rFonts w:ascii="Times New Roman" w:hAnsi="Times New Roman" w:eastAsia="Times New Roman" w:cs="Times New Roman"/>
                <w:spacing w:val="1"/>
                <w:sz w:val="20"/>
                <w:szCs w:val="20"/>
              </w:rPr>
              <w:t xml:space="preserve">14 </w:t>
            </w:r>
            <w:r>
              <w:rPr>
                <w:rFonts w:ascii="宋体" w:hAnsi="宋体" w:eastAsia="宋体" w:cs="宋体"/>
                <w:spacing w:val="1"/>
                <w:sz w:val="20"/>
                <w:szCs w:val="20"/>
              </w:rPr>
              <w:t xml:space="preserve">属 </w:t>
            </w:r>
            <w:r>
              <w:rPr>
                <w:rFonts w:ascii="Times New Roman" w:hAnsi="Times New Roman" w:eastAsia="Times New Roman" w:cs="Times New Roman"/>
                <w:spacing w:val="1"/>
                <w:sz w:val="20"/>
                <w:szCs w:val="20"/>
              </w:rPr>
              <w:t xml:space="preserve">17 </w:t>
            </w:r>
            <w:r>
              <w:rPr>
                <w:rFonts w:ascii="宋体" w:hAnsi="宋体" w:eastAsia="宋体" w:cs="宋体"/>
                <w:spacing w:val="1"/>
                <w:sz w:val="20"/>
                <w:szCs w:val="20"/>
              </w:rPr>
              <w:t>种，其中</w:t>
            </w:r>
            <w:r>
              <w:rPr>
                <w:rFonts w:ascii="宋体" w:hAnsi="宋体" w:eastAsia="宋体" w:cs="宋体"/>
                <w:sz w:val="20"/>
                <w:szCs w:val="20"/>
              </w:rPr>
              <w:t xml:space="preserve"> </w:t>
            </w:r>
            <w:r>
              <w:rPr>
                <w:rFonts w:ascii="宋体" w:hAnsi="宋体" w:eastAsia="宋体" w:cs="宋体"/>
                <w:spacing w:val="4"/>
                <w:sz w:val="20"/>
                <w:szCs w:val="20"/>
              </w:rPr>
              <w:t>原生动物门</w:t>
            </w:r>
            <w:r>
              <w:rPr>
                <w:rFonts w:ascii="宋体" w:hAnsi="宋体" w:eastAsia="宋体" w:cs="宋体"/>
                <w:spacing w:val="2"/>
                <w:sz w:val="20"/>
                <w:szCs w:val="20"/>
              </w:rPr>
              <w:t xml:space="preserve"> </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 xml:space="preserve">种，轮形动物门 </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 xml:space="preserve">种，节肢动物门 </w:t>
            </w:r>
            <w:r>
              <w:rPr>
                <w:rFonts w:ascii="Times New Roman" w:hAnsi="Times New Roman" w:eastAsia="Times New Roman" w:cs="Times New Roman"/>
                <w:spacing w:val="2"/>
                <w:sz w:val="20"/>
                <w:szCs w:val="20"/>
              </w:rPr>
              <w:t xml:space="preserve">7 </w:t>
            </w:r>
            <w:r>
              <w:rPr>
                <w:rFonts w:ascii="宋体" w:hAnsi="宋体" w:eastAsia="宋体" w:cs="宋体"/>
                <w:spacing w:val="2"/>
                <w:sz w:val="20"/>
                <w:szCs w:val="20"/>
              </w:rPr>
              <w:t>种。</w:t>
            </w:r>
          </w:p>
        </w:tc>
      </w:tr>
    </w:tbl>
    <w:p>
      <w:pPr>
        <w:spacing w:line="125" w:lineRule="exact"/>
        <w:rPr>
          <w:rFonts w:ascii="Arial"/>
          <w:sz w:val="10"/>
        </w:rPr>
      </w:pPr>
    </w:p>
    <w:p>
      <w:pPr>
        <w:sectPr>
          <w:footerReference r:id="rId62" w:type="default"/>
          <w:pgSz w:w="11906" w:h="16839"/>
          <w:pgMar w:top="400" w:right="1482" w:bottom="1473" w:left="1482" w:header="0" w:footer="1315" w:gutter="0"/>
          <w:cols w:space="720" w:num="1"/>
        </w:sectPr>
      </w:pPr>
    </w:p>
    <w:p>
      <w:r>
        <w:pict>
          <v:rect id="_x0000_s1091" o:spid="_x0000_s1091" o:spt="1" style="position:absolute;left:0pt;margin-left:512.7pt;margin-top:98.35pt;height:81.5pt;width:0.5pt;mso-position-horizontal-relative:page;mso-position-vertical-relative:page;z-index:251751424;mso-width-relative:page;mso-height-relative:page;" fillcolor="#000000" filled="t" stroked="f" coordsize="21600,21600" o:allowincell="f">
            <v:path/>
            <v:fill on="t" focussize="0,0"/>
            <v:stroke on="f"/>
            <v:imagedata o:title=""/>
            <o:lock v:ext="edit"/>
          </v:rect>
        </w:pict>
      </w:r>
    </w:p>
    <w:p/>
    <w:p/>
    <w:p/>
    <w:p>
      <w:pPr>
        <w:spacing w:line="221" w:lineRule="exact"/>
      </w:pPr>
    </w:p>
    <w:tbl>
      <w:tblPr>
        <w:tblStyle w:val="4"/>
        <w:tblW w:w="892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3"/>
        <w:gridCol w:w="155"/>
        <w:gridCol w:w="1512"/>
        <w:gridCol w:w="926"/>
        <w:gridCol w:w="925"/>
        <w:gridCol w:w="927"/>
        <w:gridCol w:w="927"/>
        <w:gridCol w:w="927"/>
        <w:gridCol w:w="20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623" w:type="dxa"/>
            <w:vMerge w:val="restart"/>
            <w:tcBorders>
              <w:left w:val="single" w:color="000000" w:sz="6" w:space="0"/>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before="65" w:line="261" w:lineRule="auto"/>
              <w:ind w:left="99" w:right="101" w:firstLine="1"/>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生态</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环境</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现状</w:t>
            </w:r>
          </w:p>
        </w:tc>
        <w:tc>
          <w:tcPr>
            <w:tcW w:w="8303" w:type="dxa"/>
            <w:gridSpan w:val="8"/>
            <w:tcBorders>
              <w:right w:val="single" w:color="000000" w:sz="6" w:space="0"/>
            </w:tcBorders>
            <w:vAlign w:val="top"/>
          </w:tcPr>
          <w:p>
            <w:pPr>
              <w:spacing w:before="133" w:line="230" w:lineRule="auto"/>
              <w:ind w:left="2354"/>
              <w:rPr>
                <w:rFonts w:ascii="黑体" w:hAnsi="黑体" w:eastAsia="黑体" w:cs="黑体"/>
                <w:sz w:val="19"/>
                <w:szCs w:val="19"/>
              </w:rPr>
            </w:pPr>
            <w:r>
              <w:rPr>
                <w:rFonts w:ascii="黑体" w:hAnsi="黑体" w:eastAsia="黑体" w:cs="黑体"/>
                <w:spacing w:val="14"/>
                <w:sz w:val="19"/>
                <w:szCs w:val="19"/>
              </w:rPr>
              <w:t>表</w:t>
            </w:r>
            <w:r>
              <w:rPr>
                <w:rFonts w:ascii="Times New Roman" w:hAnsi="Times New Roman" w:eastAsia="Times New Roman" w:cs="Times New Roman"/>
                <w:spacing w:val="14"/>
                <w:sz w:val="19"/>
                <w:szCs w:val="19"/>
              </w:rPr>
              <w:t>2</w:t>
            </w:r>
            <w:r>
              <w:rPr>
                <w:rFonts w:ascii="Times New Roman" w:hAnsi="Times New Roman" w:eastAsia="Times New Roman" w:cs="Times New Roman"/>
                <w:spacing w:val="7"/>
                <w:sz w:val="19"/>
                <w:szCs w:val="19"/>
              </w:rPr>
              <w:t xml:space="preserve">3    </w:t>
            </w:r>
            <w:r>
              <w:rPr>
                <w:rFonts w:ascii="黑体" w:hAnsi="黑体" w:eastAsia="黑体" w:cs="黑体"/>
                <w:spacing w:val="7"/>
                <w:sz w:val="19"/>
                <w:szCs w:val="19"/>
              </w:rPr>
              <w:t>州河流域采样点浮游动物区系组成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23" w:type="dxa"/>
            <w:vMerge w:val="continue"/>
            <w:tcBorders>
              <w:top w:val="nil"/>
              <w:left w:val="single" w:color="000000" w:sz="6" w:space="0"/>
              <w:bottom w:val="nil"/>
            </w:tcBorders>
            <w:vAlign w:val="top"/>
          </w:tcPr>
          <w:p>
            <w:pPr>
              <w:rPr>
                <w:rFonts w:ascii="Arial"/>
                <w:sz w:val="21"/>
              </w:rPr>
            </w:pPr>
          </w:p>
        </w:tc>
        <w:tc>
          <w:tcPr>
            <w:tcW w:w="155" w:type="dxa"/>
            <w:vMerge w:val="restart"/>
            <w:tcBorders>
              <w:top w:val="nil"/>
              <w:bottom w:val="nil"/>
            </w:tcBorders>
            <w:vAlign w:val="top"/>
          </w:tcPr>
          <w:p>
            <w:pPr>
              <w:rPr>
                <w:rFonts w:ascii="Arial"/>
                <w:sz w:val="21"/>
              </w:rPr>
            </w:pPr>
          </w:p>
        </w:tc>
        <w:tc>
          <w:tcPr>
            <w:tcW w:w="1512" w:type="dxa"/>
            <w:vAlign w:val="top"/>
          </w:tcPr>
          <w:p>
            <w:pPr>
              <w:spacing w:before="85" w:line="234" w:lineRule="auto"/>
              <w:ind w:left="684"/>
              <w:rPr>
                <w:rFonts w:ascii="宋体" w:hAnsi="宋体" w:eastAsia="宋体" w:cs="宋体"/>
                <w:sz w:val="17"/>
                <w:szCs w:val="17"/>
              </w:rPr>
            </w:pPr>
            <w:r>
              <w:rPr>
                <w:rFonts w:ascii="宋体" w:hAnsi="宋体" w:eastAsia="宋体" w:cs="宋体"/>
                <w:sz w:val="17"/>
                <w:szCs w:val="17"/>
                <w14:textOutline w14:w="3268" w14:cap="sq" w14:cmpd="sng">
                  <w14:solidFill>
                    <w14:srgbClr w14:val="000000"/>
                  </w14:solidFill>
                  <w14:prstDash w14:val="solid"/>
                  <w14:bevel/>
                </w14:textOutline>
              </w:rPr>
              <w:t>门</w:t>
            </w:r>
          </w:p>
        </w:tc>
        <w:tc>
          <w:tcPr>
            <w:tcW w:w="926" w:type="dxa"/>
            <w:vAlign w:val="top"/>
          </w:tcPr>
          <w:p>
            <w:pPr>
              <w:spacing w:before="85" w:line="233" w:lineRule="auto"/>
              <w:ind w:left="374"/>
              <w:rPr>
                <w:rFonts w:ascii="宋体" w:hAnsi="宋体" w:eastAsia="宋体" w:cs="宋体"/>
                <w:sz w:val="17"/>
                <w:szCs w:val="17"/>
              </w:rPr>
            </w:pPr>
            <w:r>
              <w:rPr>
                <w:rFonts w:ascii="宋体" w:hAnsi="宋体" w:eastAsia="宋体" w:cs="宋体"/>
                <w:sz w:val="17"/>
                <w:szCs w:val="17"/>
                <w14:textOutline w14:w="3268" w14:cap="sq" w14:cmpd="sng">
                  <w14:solidFill>
                    <w14:srgbClr w14:val="000000"/>
                  </w14:solidFill>
                  <w14:prstDash w14:val="solid"/>
                  <w14:bevel/>
                </w14:textOutline>
              </w:rPr>
              <w:t>纲</w:t>
            </w:r>
          </w:p>
        </w:tc>
        <w:tc>
          <w:tcPr>
            <w:tcW w:w="925" w:type="dxa"/>
            <w:vAlign w:val="top"/>
          </w:tcPr>
          <w:p>
            <w:pPr>
              <w:spacing w:before="85" w:line="233" w:lineRule="auto"/>
              <w:ind w:left="409"/>
              <w:rPr>
                <w:rFonts w:ascii="宋体" w:hAnsi="宋体" w:eastAsia="宋体" w:cs="宋体"/>
                <w:sz w:val="17"/>
                <w:szCs w:val="17"/>
              </w:rPr>
            </w:pPr>
            <w:r>
              <w:rPr>
                <w:rFonts w:ascii="宋体" w:hAnsi="宋体" w:eastAsia="宋体" w:cs="宋体"/>
                <w:sz w:val="17"/>
                <w:szCs w:val="17"/>
                <w14:textOutline w14:w="3268" w14:cap="sq" w14:cmpd="sng">
                  <w14:solidFill>
                    <w14:srgbClr w14:val="000000"/>
                  </w14:solidFill>
                  <w14:prstDash w14:val="solid"/>
                  <w14:bevel/>
                </w14:textOutline>
              </w:rPr>
              <w:t>目</w:t>
            </w:r>
          </w:p>
        </w:tc>
        <w:tc>
          <w:tcPr>
            <w:tcW w:w="927" w:type="dxa"/>
            <w:vAlign w:val="top"/>
          </w:tcPr>
          <w:p>
            <w:pPr>
              <w:spacing w:before="85" w:line="229" w:lineRule="auto"/>
              <w:ind w:left="376"/>
              <w:rPr>
                <w:rFonts w:ascii="宋体" w:hAnsi="宋体" w:eastAsia="宋体" w:cs="宋体"/>
                <w:sz w:val="17"/>
                <w:szCs w:val="17"/>
              </w:rPr>
            </w:pPr>
            <w:r>
              <w:rPr>
                <w:rFonts w:ascii="宋体" w:hAnsi="宋体" w:eastAsia="宋体" w:cs="宋体"/>
                <w:spacing w:val="2"/>
                <w:sz w:val="17"/>
                <w:szCs w:val="17"/>
                <w14:textOutline w14:w="3268" w14:cap="sq" w14:cmpd="sng">
                  <w14:solidFill>
                    <w14:srgbClr w14:val="000000"/>
                  </w14:solidFill>
                  <w14:prstDash w14:val="solid"/>
                  <w14:bevel/>
                </w14:textOutline>
              </w:rPr>
              <w:t>科</w:t>
            </w:r>
          </w:p>
        </w:tc>
        <w:tc>
          <w:tcPr>
            <w:tcW w:w="927" w:type="dxa"/>
            <w:vAlign w:val="top"/>
          </w:tcPr>
          <w:p>
            <w:pPr>
              <w:spacing w:before="85" w:line="232" w:lineRule="auto"/>
              <w:ind w:left="379"/>
              <w:rPr>
                <w:rFonts w:ascii="宋体" w:hAnsi="宋体" w:eastAsia="宋体" w:cs="宋体"/>
                <w:sz w:val="17"/>
                <w:szCs w:val="17"/>
              </w:rPr>
            </w:pPr>
            <w:r>
              <w:rPr>
                <w:rFonts w:ascii="宋体" w:hAnsi="宋体" w:eastAsia="宋体" w:cs="宋体"/>
                <w:spacing w:val="1"/>
                <w:sz w:val="17"/>
                <w:szCs w:val="17"/>
                <w14:textOutline w14:w="3268" w14:cap="sq" w14:cmpd="sng">
                  <w14:solidFill>
                    <w14:srgbClr w14:val="000000"/>
                  </w14:solidFill>
                  <w14:prstDash w14:val="solid"/>
                  <w14:bevel/>
                </w14:textOutline>
              </w:rPr>
              <w:t>属</w:t>
            </w:r>
          </w:p>
        </w:tc>
        <w:tc>
          <w:tcPr>
            <w:tcW w:w="927" w:type="dxa"/>
            <w:vAlign w:val="top"/>
          </w:tcPr>
          <w:p>
            <w:pPr>
              <w:spacing w:before="85" w:line="231" w:lineRule="auto"/>
              <w:ind w:left="379"/>
              <w:rPr>
                <w:rFonts w:ascii="宋体" w:hAnsi="宋体" w:eastAsia="宋体" w:cs="宋体"/>
                <w:sz w:val="17"/>
                <w:szCs w:val="17"/>
              </w:rPr>
            </w:pPr>
            <w:r>
              <w:rPr>
                <w:rFonts w:ascii="宋体" w:hAnsi="宋体" w:eastAsia="宋体" w:cs="宋体"/>
                <w:spacing w:val="2"/>
                <w:sz w:val="17"/>
                <w:szCs w:val="17"/>
                <w14:textOutline w14:w="3268" w14:cap="sq" w14:cmpd="sng">
                  <w14:solidFill>
                    <w14:srgbClr w14:val="000000"/>
                  </w14:solidFill>
                  <w14:prstDash w14:val="solid"/>
                  <w14:bevel/>
                </w14:textOutline>
              </w:rPr>
              <w:t>种</w:t>
            </w:r>
          </w:p>
        </w:tc>
        <w:tc>
          <w:tcPr>
            <w:tcW w:w="2004" w:type="dxa"/>
            <w:tcBorders>
              <w:right w:val="single" w:color="000000" w:sz="6" w:space="0"/>
            </w:tcBorders>
            <w:vAlign w:val="top"/>
          </w:tcPr>
          <w:p>
            <w:pPr>
              <w:spacing w:before="50" w:line="249" w:lineRule="exact"/>
              <w:ind w:left="388"/>
              <w:rPr>
                <w:rFonts w:ascii="Times New Roman" w:hAnsi="Times New Roman" w:eastAsia="Times New Roman" w:cs="Times New Roman"/>
                <w:sz w:val="17"/>
                <w:szCs w:val="17"/>
              </w:rPr>
            </w:pPr>
            <w:r>
              <w:rPr>
                <w:rFonts w:ascii="宋体" w:hAnsi="宋体" w:eastAsia="宋体" w:cs="宋体"/>
                <w:spacing w:val="10"/>
                <w:position w:val="1"/>
                <w:sz w:val="17"/>
                <w:szCs w:val="17"/>
                <w14:textOutline w14:w="3268" w14:cap="sq" w14:cmpd="sng">
                  <w14:solidFill>
                    <w14:srgbClr w14:val="000000"/>
                  </w14:solidFill>
                  <w14:prstDash w14:val="solid"/>
                  <w14:bevel/>
                </w14:textOutline>
              </w:rPr>
              <w:t>种</w:t>
            </w:r>
            <w:r>
              <w:rPr>
                <w:rFonts w:ascii="宋体" w:hAnsi="宋体" w:eastAsia="宋体" w:cs="宋体"/>
                <w:spacing w:val="9"/>
                <w:position w:val="1"/>
                <w:sz w:val="17"/>
                <w:szCs w:val="17"/>
                <w14:textOutline w14:w="3268" w14:cap="sq" w14:cmpd="sng">
                  <w14:solidFill>
                    <w14:srgbClr w14:val="000000"/>
                  </w14:solidFill>
                  <w14:prstDash w14:val="solid"/>
                  <w14:bevel/>
                </w14:textOutline>
              </w:rPr>
              <w:t>数百分比</w:t>
            </w:r>
            <w:r>
              <w:rPr>
                <w:rFonts w:ascii="Times New Roman" w:hAnsi="Times New Roman" w:eastAsia="Times New Roman" w:cs="Times New Roman"/>
                <w:b/>
                <w:bCs/>
                <w:spacing w:val="9"/>
                <w:position w:val="1"/>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23" w:type="dxa"/>
            <w:vMerge w:val="continue"/>
            <w:tcBorders>
              <w:top w:val="nil"/>
              <w:left w:val="single" w:color="000000" w:sz="6" w:space="0"/>
              <w:bottom w:val="nil"/>
            </w:tcBorders>
            <w:vAlign w:val="top"/>
          </w:tcPr>
          <w:p>
            <w:pPr>
              <w:rPr>
                <w:rFonts w:ascii="Arial"/>
                <w:sz w:val="21"/>
              </w:rPr>
            </w:pPr>
          </w:p>
        </w:tc>
        <w:tc>
          <w:tcPr>
            <w:tcW w:w="155" w:type="dxa"/>
            <w:vMerge w:val="continue"/>
            <w:tcBorders>
              <w:top w:val="nil"/>
              <w:bottom w:val="nil"/>
            </w:tcBorders>
            <w:vAlign w:val="top"/>
          </w:tcPr>
          <w:p>
            <w:pPr>
              <w:rPr>
                <w:rFonts w:ascii="Arial"/>
                <w:sz w:val="21"/>
              </w:rPr>
            </w:pPr>
          </w:p>
        </w:tc>
        <w:tc>
          <w:tcPr>
            <w:tcW w:w="1512" w:type="dxa"/>
            <w:vAlign w:val="top"/>
          </w:tcPr>
          <w:p>
            <w:pPr>
              <w:spacing w:before="87" w:line="231" w:lineRule="auto"/>
              <w:ind w:left="308"/>
              <w:rPr>
                <w:rFonts w:ascii="宋体" w:hAnsi="宋体" w:eastAsia="宋体" w:cs="宋体"/>
                <w:sz w:val="17"/>
                <w:szCs w:val="17"/>
              </w:rPr>
            </w:pPr>
            <w:r>
              <w:rPr>
                <w:rFonts w:ascii="宋体" w:hAnsi="宋体" w:eastAsia="宋体" w:cs="宋体"/>
                <w:spacing w:val="10"/>
                <w:sz w:val="17"/>
                <w:szCs w:val="17"/>
              </w:rPr>
              <w:t>原</w:t>
            </w:r>
            <w:r>
              <w:rPr>
                <w:rFonts w:ascii="宋体" w:hAnsi="宋体" w:eastAsia="宋体" w:cs="宋体"/>
                <w:spacing w:val="7"/>
                <w:sz w:val="17"/>
                <w:szCs w:val="17"/>
              </w:rPr>
              <w:t>生动物门</w:t>
            </w:r>
          </w:p>
        </w:tc>
        <w:tc>
          <w:tcPr>
            <w:tcW w:w="926" w:type="dxa"/>
            <w:vAlign w:val="top"/>
          </w:tcPr>
          <w:p>
            <w:pPr>
              <w:spacing w:before="115" w:line="197" w:lineRule="auto"/>
              <w:ind w:left="41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925" w:type="dxa"/>
            <w:vAlign w:val="top"/>
          </w:tcPr>
          <w:p>
            <w:pPr>
              <w:spacing w:before="115" w:line="197" w:lineRule="auto"/>
              <w:ind w:left="41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927" w:type="dxa"/>
            <w:vAlign w:val="top"/>
          </w:tcPr>
          <w:p>
            <w:pPr>
              <w:spacing w:before="115" w:line="197" w:lineRule="auto"/>
              <w:ind w:left="418"/>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927" w:type="dxa"/>
            <w:vAlign w:val="top"/>
          </w:tcPr>
          <w:p>
            <w:pPr>
              <w:spacing w:before="115" w:line="197" w:lineRule="auto"/>
              <w:ind w:left="42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927" w:type="dxa"/>
            <w:vAlign w:val="top"/>
          </w:tcPr>
          <w:p>
            <w:pPr>
              <w:spacing w:before="118" w:line="194" w:lineRule="auto"/>
              <w:ind w:left="426"/>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2004" w:type="dxa"/>
            <w:tcBorders>
              <w:right w:val="single" w:color="000000" w:sz="6" w:space="0"/>
            </w:tcBorders>
            <w:vAlign w:val="top"/>
          </w:tcPr>
          <w:p>
            <w:pPr>
              <w:spacing w:before="52" w:line="242" w:lineRule="exact"/>
              <w:ind w:left="649"/>
              <w:rPr>
                <w:rFonts w:ascii="Times New Roman" w:hAnsi="Times New Roman" w:eastAsia="Times New Roman" w:cs="Times New Roman"/>
                <w:sz w:val="17"/>
                <w:szCs w:val="17"/>
              </w:rPr>
            </w:pPr>
            <w:r>
              <w:rPr>
                <w:rFonts w:ascii="Times New Roman" w:hAnsi="Times New Roman" w:eastAsia="Times New Roman" w:cs="Times New Roman"/>
                <w:spacing w:val="7"/>
                <w:position w:val="2"/>
                <w:sz w:val="17"/>
                <w:szCs w:val="17"/>
              </w:rPr>
              <w:t>2</w:t>
            </w:r>
            <w:r>
              <w:rPr>
                <w:rFonts w:ascii="Times New Roman" w:hAnsi="Times New Roman" w:eastAsia="Times New Roman" w:cs="Times New Roman"/>
                <w:spacing w:val="4"/>
                <w:position w:val="2"/>
                <w:sz w:val="17"/>
                <w:szCs w:val="17"/>
              </w:rPr>
              <w:t>9.41%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23" w:type="dxa"/>
            <w:vMerge w:val="continue"/>
            <w:tcBorders>
              <w:top w:val="nil"/>
              <w:left w:val="single" w:color="000000" w:sz="6" w:space="0"/>
              <w:bottom w:val="nil"/>
            </w:tcBorders>
            <w:vAlign w:val="top"/>
          </w:tcPr>
          <w:p>
            <w:pPr>
              <w:rPr>
                <w:rFonts w:ascii="Arial"/>
                <w:sz w:val="21"/>
              </w:rPr>
            </w:pPr>
          </w:p>
        </w:tc>
        <w:tc>
          <w:tcPr>
            <w:tcW w:w="155" w:type="dxa"/>
            <w:vMerge w:val="continue"/>
            <w:tcBorders>
              <w:top w:val="nil"/>
              <w:bottom w:val="nil"/>
            </w:tcBorders>
            <w:vAlign w:val="top"/>
          </w:tcPr>
          <w:p>
            <w:pPr>
              <w:rPr>
                <w:rFonts w:ascii="Arial"/>
                <w:sz w:val="21"/>
              </w:rPr>
            </w:pPr>
          </w:p>
        </w:tc>
        <w:tc>
          <w:tcPr>
            <w:tcW w:w="1512" w:type="dxa"/>
            <w:vAlign w:val="top"/>
          </w:tcPr>
          <w:p>
            <w:pPr>
              <w:spacing w:before="86" w:line="231" w:lineRule="auto"/>
              <w:ind w:left="304"/>
              <w:rPr>
                <w:rFonts w:ascii="宋体" w:hAnsi="宋体" w:eastAsia="宋体" w:cs="宋体"/>
                <w:sz w:val="17"/>
                <w:szCs w:val="17"/>
              </w:rPr>
            </w:pPr>
            <w:r>
              <w:rPr>
                <w:rFonts w:ascii="宋体" w:hAnsi="宋体" w:eastAsia="宋体" w:cs="宋体"/>
                <w:spacing w:val="10"/>
                <w:sz w:val="17"/>
                <w:szCs w:val="17"/>
              </w:rPr>
              <w:t>轮</w:t>
            </w:r>
            <w:r>
              <w:rPr>
                <w:rFonts w:ascii="宋体" w:hAnsi="宋体" w:eastAsia="宋体" w:cs="宋体"/>
                <w:spacing w:val="8"/>
                <w:sz w:val="17"/>
                <w:szCs w:val="17"/>
              </w:rPr>
              <w:t>虫动物门</w:t>
            </w:r>
          </w:p>
        </w:tc>
        <w:tc>
          <w:tcPr>
            <w:tcW w:w="926" w:type="dxa"/>
            <w:vAlign w:val="top"/>
          </w:tcPr>
          <w:p>
            <w:pPr>
              <w:spacing w:before="117" w:line="197" w:lineRule="auto"/>
              <w:ind w:left="431"/>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925" w:type="dxa"/>
            <w:vAlign w:val="top"/>
          </w:tcPr>
          <w:p>
            <w:pPr>
              <w:spacing w:before="117" w:line="197" w:lineRule="auto"/>
              <w:ind w:left="431"/>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927" w:type="dxa"/>
            <w:vAlign w:val="top"/>
          </w:tcPr>
          <w:p>
            <w:pPr>
              <w:spacing w:before="117" w:line="197" w:lineRule="auto"/>
              <w:ind w:left="41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927" w:type="dxa"/>
            <w:vAlign w:val="top"/>
          </w:tcPr>
          <w:p>
            <w:pPr>
              <w:spacing w:before="119" w:line="194" w:lineRule="auto"/>
              <w:ind w:left="425"/>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927" w:type="dxa"/>
            <w:vAlign w:val="top"/>
          </w:tcPr>
          <w:p>
            <w:pPr>
              <w:spacing w:before="119" w:line="194" w:lineRule="auto"/>
              <w:ind w:left="426"/>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2004" w:type="dxa"/>
            <w:tcBorders>
              <w:right w:val="single" w:color="000000" w:sz="6" w:space="0"/>
            </w:tcBorders>
            <w:vAlign w:val="top"/>
          </w:tcPr>
          <w:p>
            <w:pPr>
              <w:spacing w:before="53" w:line="243" w:lineRule="exact"/>
              <w:ind w:left="649"/>
              <w:rPr>
                <w:rFonts w:ascii="Times New Roman" w:hAnsi="Times New Roman" w:eastAsia="Times New Roman" w:cs="Times New Roman"/>
                <w:sz w:val="17"/>
                <w:szCs w:val="17"/>
              </w:rPr>
            </w:pPr>
            <w:r>
              <w:rPr>
                <w:rFonts w:ascii="Times New Roman" w:hAnsi="Times New Roman" w:eastAsia="Times New Roman" w:cs="Times New Roman"/>
                <w:spacing w:val="7"/>
                <w:position w:val="2"/>
                <w:sz w:val="17"/>
                <w:szCs w:val="17"/>
              </w:rPr>
              <w:t>2</w:t>
            </w:r>
            <w:r>
              <w:rPr>
                <w:rFonts w:ascii="Times New Roman" w:hAnsi="Times New Roman" w:eastAsia="Times New Roman" w:cs="Times New Roman"/>
                <w:spacing w:val="4"/>
                <w:position w:val="2"/>
                <w:sz w:val="17"/>
                <w:szCs w:val="17"/>
              </w:rPr>
              <w:t>9.41%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23" w:type="dxa"/>
            <w:vMerge w:val="continue"/>
            <w:tcBorders>
              <w:top w:val="nil"/>
              <w:left w:val="single" w:color="000000" w:sz="6" w:space="0"/>
              <w:bottom w:val="nil"/>
            </w:tcBorders>
            <w:vAlign w:val="top"/>
          </w:tcPr>
          <w:p>
            <w:pPr>
              <w:rPr>
                <w:rFonts w:ascii="Arial"/>
                <w:sz w:val="21"/>
              </w:rPr>
            </w:pPr>
          </w:p>
        </w:tc>
        <w:tc>
          <w:tcPr>
            <w:tcW w:w="155" w:type="dxa"/>
            <w:vMerge w:val="continue"/>
            <w:tcBorders>
              <w:top w:val="nil"/>
              <w:bottom w:val="nil"/>
            </w:tcBorders>
            <w:vAlign w:val="top"/>
          </w:tcPr>
          <w:p>
            <w:pPr>
              <w:rPr>
                <w:rFonts w:ascii="Arial"/>
                <w:sz w:val="21"/>
              </w:rPr>
            </w:pPr>
          </w:p>
        </w:tc>
        <w:tc>
          <w:tcPr>
            <w:tcW w:w="1512" w:type="dxa"/>
            <w:vAlign w:val="top"/>
          </w:tcPr>
          <w:p>
            <w:pPr>
              <w:spacing w:before="85" w:line="231" w:lineRule="auto"/>
              <w:ind w:left="304"/>
              <w:rPr>
                <w:rFonts w:ascii="宋体" w:hAnsi="宋体" w:eastAsia="宋体" w:cs="宋体"/>
                <w:sz w:val="17"/>
                <w:szCs w:val="17"/>
              </w:rPr>
            </w:pPr>
            <w:r>
              <w:rPr>
                <w:rFonts w:ascii="宋体" w:hAnsi="宋体" w:eastAsia="宋体" w:cs="宋体"/>
                <w:spacing w:val="10"/>
                <w:sz w:val="17"/>
                <w:szCs w:val="17"/>
              </w:rPr>
              <w:t>节</w:t>
            </w:r>
            <w:r>
              <w:rPr>
                <w:rFonts w:ascii="宋体" w:hAnsi="宋体" w:eastAsia="宋体" w:cs="宋体"/>
                <w:spacing w:val="8"/>
                <w:sz w:val="17"/>
                <w:szCs w:val="17"/>
              </w:rPr>
              <w:t>肢动物门</w:t>
            </w:r>
          </w:p>
        </w:tc>
        <w:tc>
          <w:tcPr>
            <w:tcW w:w="926" w:type="dxa"/>
            <w:vAlign w:val="top"/>
          </w:tcPr>
          <w:p>
            <w:pPr>
              <w:spacing w:before="116" w:line="197" w:lineRule="auto"/>
              <w:ind w:left="431"/>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925" w:type="dxa"/>
            <w:vAlign w:val="top"/>
          </w:tcPr>
          <w:p>
            <w:pPr>
              <w:spacing w:before="116" w:line="197" w:lineRule="auto"/>
              <w:ind w:left="41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927" w:type="dxa"/>
            <w:vAlign w:val="top"/>
          </w:tcPr>
          <w:p>
            <w:pPr>
              <w:spacing w:before="118" w:line="194" w:lineRule="auto"/>
              <w:ind w:left="421"/>
              <w:rPr>
                <w:rFonts w:ascii="Times New Roman" w:hAnsi="Times New Roman" w:eastAsia="Times New Roman" w:cs="Times New Roman"/>
                <w:sz w:val="17"/>
                <w:szCs w:val="17"/>
              </w:rPr>
            </w:pPr>
            <w:r>
              <w:rPr>
                <w:rFonts w:ascii="Times New Roman" w:hAnsi="Times New Roman" w:eastAsia="Times New Roman" w:cs="Times New Roman"/>
                <w:sz w:val="17"/>
                <w:szCs w:val="17"/>
              </w:rPr>
              <w:t>7</w:t>
            </w:r>
          </w:p>
        </w:tc>
        <w:tc>
          <w:tcPr>
            <w:tcW w:w="927" w:type="dxa"/>
            <w:vAlign w:val="top"/>
          </w:tcPr>
          <w:p>
            <w:pPr>
              <w:spacing w:before="118" w:line="194" w:lineRule="auto"/>
              <w:ind w:left="423"/>
              <w:rPr>
                <w:rFonts w:ascii="Times New Roman" w:hAnsi="Times New Roman" w:eastAsia="Times New Roman" w:cs="Times New Roman"/>
                <w:sz w:val="17"/>
                <w:szCs w:val="17"/>
              </w:rPr>
            </w:pPr>
            <w:r>
              <w:rPr>
                <w:rFonts w:ascii="Times New Roman" w:hAnsi="Times New Roman" w:eastAsia="Times New Roman" w:cs="Times New Roman"/>
                <w:sz w:val="17"/>
                <w:szCs w:val="17"/>
              </w:rPr>
              <w:t>7</w:t>
            </w:r>
          </w:p>
        </w:tc>
        <w:tc>
          <w:tcPr>
            <w:tcW w:w="927" w:type="dxa"/>
            <w:vAlign w:val="top"/>
          </w:tcPr>
          <w:p>
            <w:pPr>
              <w:spacing w:before="118" w:line="194" w:lineRule="auto"/>
              <w:ind w:left="424"/>
              <w:rPr>
                <w:rFonts w:ascii="Times New Roman" w:hAnsi="Times New Roman" w:eastAsia="Times New Roman" w:cs="Times New Roman"/>
                <w:sz w:val="17"/>
                <w:szCs w:val="17"/>
              </w:rPr>
            </w:pPr>
            <w:r>
              <w:rPr>
                <w:rFonts w:ascii="Times New Roman" w:hAnsi="Times New Roman" w:eastAsia="Times New Roman" w:cs="Times New Roman"/>
                <w:sz w:val="17"/>
                <w:szCs w:val="17"/>
              </w:rPr>
              <w:t>7</w:t>
            </w:r>
          </w:p>
        </w:tc>
        <w:tc>
          <w:tcPr>
            <w:tcW w:w="2004" w:type="dxa"/>
            <w:tcBorders>
              <w:right w:val="single" w:color="000000" w:sz="6" w:space="0"/>
            </w:tcBorders>
            <w:vAlign w:val="top"/>
          </w:tcPr>
          <w:p>
            <w:pPr>
              <w:spacing w:before="53" w:line="242" w:lineRule="exact"/>
              <w:ind w:left="648"/>
              <w:rPr>
                <w:rFonts w:ascii="Times New Roman" w:hAnsi="Times New Roman" w:eastAsia="Times New Roman" w:cs="Times New Roman"/>
                <w:sz w:val="17"/>
                <w:szCs w:val="17"/>
              </w:rPr>
            </w:pPr>
            <w:r>
              <w:rPr>
                <w:rFonts w:ascii="Times New Roman" w:hAnsi="Times New Roman" w:eastAsia="Times New Roman" w:cs="Times New Roman"/>
                <w:spacing w:val="-2"/>
                <w:position w:val="2"/>
                <w:sz w:val="17"/>
                <w:szCs w:val="17"/>
              </w:rPr>
              <w:t>41. 18%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23" w:type="dxa"/>
            <w:vMerge w:val="continue"/>
            <w:tcBorders>
              <w:top w:val="nil"/>
              <w:left w:val="single" w:color="000000" w:sz="6" w:space="0"/>
              <w:bottom w:val="nil"/>
            </w:tcBorders>
            <w:vAlign w:val="top"/>
          </w:tcPr>
          <w:p>
            <w:pPr>
              <w:rPr>
                <w:rFonts w:ascii="Arial"/>
                <w:sz w:val="21"/>
              </w:rPr>
            </w:pPr>
          </w:p>
        </w:tc>
        <w:tc>
          <w:tcPr>
            <w:tcW w:w="155" w:type="dxa"/>
            <w:vMerge w:val="continue"/>
            <w:tcBorders>
              <w:top w:val="nil"/>
              <w:bottom w:val="nil"/>
            </w:tcBorders>
            <w:vAlign w:val="top"/>
          </w:tcPr>
          <w:p>
            <w:pPr>
              <w:rPr>
                <w:rFonts w:ascii="Arial"/>
                <w:sz w:val="21"/>
              </w:rPr>
            </w:pPr>
          </w:p>
        </w:tc>
        <w:tc>
          <w:tcPr>
            <w:tcW w:w="1512" w:type="dxa"/>
            <w:vAlign w:val="top"/>
          </w:tcPr>
          <w:p>
            <w:pPr>
              <w:spacing w:before="98" w:line="232" w:lineRule="auto"/>
              <w:ind w:left="574"/>
              <w:rPr>
                <w:rFonts w:ascii="宋体" w:hAnsi="宋体" w:eastAsia="宋体" w:cs="宋体"/>
                <w:sz w:val="17"/>
                <w:szCs w:val="17"/>
              </w:rPr>
            </w:pPr>
            <w:r>
              <w:rPr>
                <w:rFonts w:ascii="宋体" w:hAnsi="宋体" w:eastAsia="宋体" w:cs="宋体"/>
                <w:spacing w:val="6"/>
                <w:sz w:val="17"/>
                <w:szCs w:val="17"/>
              </w:rPr>
              <w:t>合计</w:t>
            </w:r>
          </w:p>
        </w:tc>
        <w:tc>
          <w:tcPr>
            <w:tcW w:w="926" w:type="dxa"/>
            <w:vAlign w:val="top"/>
          </w:tcPr>
          <w:p>
            <w:pPr>
              <w:spacing w:before="130" w:line="197" w:lineRule="auto"/>
              <w:ind w:left="41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925" w:type="dxa"/>
            <w:vAlign w:val="top"/>
          </w:tcPr>
          <w:p>
            <w:pPr>
              <w:spacing w:before="132" w:line="194" w:lineRule="auto"/>
              <w:ind w:left="417"/>
              <w:rPr>
                <w:rFonts w:ascii="Times New Roman" w:hAnsi="Times New Roman" w:eastAsia="Times New Roman" w:cs="Times New Roman"/>
                <w:sz w:val="17"/>
                <w:szCs w:val="17"/>
              </w:rPr>
            </w:pPr>
            <w:r>
              <w:rPr>
                <w:rFonts w:ascii="Times New Roman" w:hAnsi="Times New Roman" w:eastAsia="Times New Roman" w:cs="Times New Roman"/>
                <w:sz w:val="17"/>
                <w:szCs w:val="17"/>
              </w:rPr>
              <w:t>7</w:t>
            </w:r>
          </w:p>
        </w:tc>
        <w:tc>
          <w:tcPr>
            <w:tcW w:w="927" w:type="dxa"/>
            <w:vAlign w:val="top"/>
          </w:tcPr>
          <w:p>
            <w:pPr>
              <w:spacing w:before="130" w:line="197" w:lineRule="auto"/>
              <w:ind w:left="39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13</w:t>
            </w:r>
          </w:p>
        </w:tc>
        <w:tc>
          <w:tcPr>
            <w:tcW w:w="927" w:type="dxa"/>
            <w:vAlign w:val="top"/>
          </w:tcPr>
          <w:p>
            <w:pPr>
              <w:spacing w:before="130" w:line="197" w:lineRule="auto"/>
              <w:ind w:left="391"/>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14</w:t>
            </w:r>
          </w:p>
        </w:tc>
        <w:tc>
          <w:tcPr>
            <w:tcW w:w="927" w:type="dxa"/>
            <w:vAlign w:val="top"/>
          </w:tcPr>
          <w:p>
            <w:pPr>
              <w:spacing w:before="130" w:line="197" w:lineRule="auto"/>
              <w:ind w:left="393"/>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17</w:t>
            </w:r>
          </w:p>
        </w:tc>
        <w:tc>
          <w:tcPr>
            <w:tcW w:w="2004" w:type="dxa"/>
            <w:tcBorders>
              <w:right w:val="single" w:color="000000" w:sz="6" w:space="0"/>
            </w:tcBorders>
            <w:vAlign w:val="top"/>
          </w:tcPr>
          <w:p>
            <w:pPr>
              <w:spacing w:before="130" w:line="197" w:lineRule="auto"/>
              <w:ind w:left="808"/>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29" w:hRule="atLeast"/>
        </w:trPr>
        <w:tc>
          <w:tcPr>
            <w:tcW w:w="623" w:type="dxa"/>
            <w:vMerge w:val="continue"/>
            <w:tcBorders>
              <w:top w:val="nil"/>
              <w:left w:val="single" w:color="000000" w:sz="6" w:space="0"/>
            </w:tcBorders>
            <w:vAlign w:val="top"/>
          </w:tcPr>
          <w:p>
            <w:pPr>
              <w:rPr>
                <w:rFonts w:ascii="Arial"/>
                <w:sz w:val="21"/>
              </w:rPr>
            </w:pPr>
          </w:p>
        </w:tc>
        <w:tc>
          <w:tcPr>
            <w:tcW w:w="8303" w:type="dxa"/>
            <w:gridSpan w:val="8"/>
            <w:tcBorders>
              <w:right w:val="single" w:color="000000" w:sz="6" w:space="0"/>
            </w:tcBorders>
            <w:vAlign w:val="top"/>
          </w:tcPr>
          <w:p>
            <w:pPr>
              <w:spacing w:before="102" w:line="383" w:lineRule="auto"/>
              <w:ind w:left="105" w:right="50" w:firstLine="420"/>
              <w:rPr>
                <w:rFonts w:ascii="Times New Roman" w:hAnsi="Times New Roman" w:eastAsia="Times New Roman" w:cs="Times New Roman"/>
                <w:sz w:val="20"/>
                <w:szCs w:val="20"/>
              </w:rPr>
            </w:pPr>
            <w:r>
              <w:rPr>
                <w:rFonts w:ascii="宋体" w:hAnsi="宋体" w:eastAsia="宋体" w:cs="宋体"/>
                <w:spacing w:val="4"/>
                <w:sz w:val="20"/>
                <w:szCs w:val="20"/>
              </w:rPr>
              <w:t>州河浮游动物平均生物量相差不</w:t>
            </w:r>
            <w:r>
              <w:rPr>
                <w:rFonts w:ascii="宋体" w:hAnsi="宋体" w:eastAsia="宋体" w:cs="宋体"/>
                <w:spacing w:val="2"/>
                <w:sz w:val="20"/>
                <w:szCs w:val="20"/>
              </w:rPr>
              <w:t xml:space="preserve">大，其中原生动物平均密度为 </w:t>
            </w:r>
            <w:r>
              <w:rPr>
                <w:rFonts w:ascii="Times New Roman" w:hAnsi="Times New Roman" w:eastAsia="Times New Roman" w:cs="Times New Roman"/>
                <w:spacing w:val="2"/>
                <w:sz w:val="20"/>
                <w:szCs w:val="20"/>
              </w:rPr>
              <w:t>13.3</w:t>
            </w:r>
            <w:r>
              <w:rPr>
                <w:rFonts w:ascii="Times New Roman" w:hAnsi="Times New Roman" w:eastAsia="Times New Roman" w:cs="Times New Roman"/>
                <w:sz w:val="20"/>
                <w:szCs w:val="20"/>
              </w:rPr>
              <w:t>ind</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L</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、占 </w:t>
            </w:r>
            <w:r>
              <w:rPr>
                <w:rFonts w:ascii="Times New Roman" w:hAnsi="Times New Roman" w:eastAsia="Times New Roman" w:cs="Times New Roman"/>
                <w:spacing w:val="2"/>
                <w:sz w:val="20"/>
                <w:szCs w:val="20"/>
              </w:rPr>
              <w:t>78.7%</w:t>
            </w:r>
            <w:r>
              <w:rPr>
                <w:rFonts w:ascii="宋体" w:hAnsi="宋体" w:eastAsia="宋体" w:cs="宋体"/>
                <w:spacing w:val="2"/>
                <w:sz w:val="20"/>
                <w:szCs w:val="20"/>
              </w:rPr>
              <w:t>，</w:t>
            </w:r>
            <w:r>
              <w:rPr>
                <w:rFonts w:ascii="宋体" w:hAnsi="宋体" w:eastAsia="宋体" w:cs="宋体"/>
                <w:sz w:val="20"/>
                <w:szCs w:val="20"/>
              </w:rPr>
              <w:t xml:space="preserve"> </w:t>
            </w:r>
            <w:r>
              <w:rPr>
                <w:rFonts w:ascii="宋体" w:hAnsi="宋体" w:eastAsia="宋体" w:cs="宋体"/>
                <w:spacing w:val="-12"/>
                <w:sz w:val="20"/>
                <w:szCs w:val="20"/>
              </w:rPr>
              <w:t xml:space="preserve">轮虫为 </w:t>
            </w:r>
            <w:r>
              <w:rPr>
                <w:rFonts w:ascii="Times New Roman" w:hAnsi="Times New Roman" w:eastAsia="Times New Roman" w:cs="Times New Roman"/>
                <w:spacing w:val="-12"/>
                <w:sz w:val="20"/>
                <w:szCs w:val="20"/>
              </w:rPr>
              <w:t>1.3</w:t>
            </w:r>
            <w:r>
              <w:rPr>
                <w:rFonts w:ascii="Times New Roman" w:hAnsi="Times New Roman" w:eastAsia="Times New Roman" w:cs="Times New Roman"/>
                <w:spacing w:val="-6"/>
                <w:sz w:val="20"/>
                <w:szCs w:val="20"/>
              </w:rPr>
              <w:t>ind</w:t>
            </w:r>
            <w:r>
              <w:rPr>
                <w:rFonts w:ascii="Times New Roman" w:hAnsi="Times New Roman" w:eastAsia="Times New Roman" w:cs="Times New Roman"/>
                <w:spacing w:val="-12"/>
                <w:sz w:val="20"/>
                <w:szCs w:val="20"/>
              </w:rPr>
              <w:t>.</w:t>
            </w:r>
            <w:r>
              <w:rPr>
                <w:rFonts w:ascii="Times New Roman" w:hAnsi="Times New Roman" w:eastAsia="Times New Roman" w:cs="Times New Roman"/>
                <w:spacing w:val="-9"/>
                <w:sz w:val="20"/>
                <w:szCs w:val="20"/>
              </w:rPr>
              <w:t>/</w:t>
            </w:r>
            <w:r>
              <w:rPr>
                <w:rFonts w:ascii="Times New Roman" w:hAnsi="Times New Roman" w:eastAsia="Times New Roman" w:cs="Times New Roman"/>
                <w:spacing w:val="-6"/>
                <w:sz w:val="20"/>
                <w:szCs w:val="20"/>
              </w:rPr>
              <w:t xml:space="preserve">L </w:t>
            </w:r>
            <w:r>
              <w:rPr>
                <w:rFonts w:ascii="宋体" w:hAnsi="宋体" w:eastAsia="宋体" w:cs="宋体"/>
                <w:spacing w:val="-6"/>
                <w:sz w:val="20"/>
                <w:szCs w:val="20"/>
              </w:rPr>
              <w:t xml:space="preserve">、 占 </w:t>
            </w:r>
            <w:r>
              <w:rPr>
                <w:rFonts w:ascii="Times New Roman" w:hAnsi="Times New Roman" w:eastAsia="Times New Roman" w:cs="Times New Roman"/>
                <w:spacing w:val="-6"/>
                <w:sz w:val="20"/>
                <w:szCs w:val="20"/>
              </w:rPr>
              <w:t xml:space="preserve">7.69% </w:t>
            </w:r>
            <w:r>
              <w:rPr>
                <w:rFonts w:ascii="宋体" w:hAnsi="宋体" w:eastAsia="宋体" w:cs="宋体"/>
                <w:spacing w:val="-6"/>
                <w:sz w:val="20"/>
                <w:szCs w:val="20"/>
              </w:rPr>
              <w:t xml:space="preserve">，枝角类为 </w:t>
            </w:r>
            <w:r>
              <w:rPr>
                <w:rFonts w:ascii="Times New Roman" w:hAnsi="Times New Roman" w:eastAsia="Times New Roman" w:cs="Times New Roman"/>
                <w:spacing w:val="-6"/>
                <w:sz w:val="20"/>
                <w:szCs w:val="20"/>
              </w:rPr>
              <w:t xml:space="preserve">1ind./L </w:t>
            </w:r>
            <w:r>
              <w:rPr>
                <w:rFonts w:ascii="宋体" w:hAnsi="宋体" w:eastAsia="宋体" w:cs="宋体"/>
                <w:spacing w:val="-6"/>
                <w:sz w:val="20"/>
                <w:szCs w:val="20"/>
              </w:rPr>
              <w:t xml:space="preserve">、 占 </w:t>
            </w:r>
            <w:r>
              <w:rPr>
                <w:rFonts w:ascii="Times New Roman" w:hAnsi="Times New Roman" w:eastAsia="Times New Roman" w:cs="Times New Roman"/>
                <w:spacing w:val="-6"/>
                <w:sz w:val="20"/>
                <w:szCs w:val="20"/>
              </w:rPr>
              <w:t xml:space="preserve">5.92% </w:t>
            </w:r>
            <w:r>
              <w:rPr>
                <w:rFonts w:ascii="宋体" w:hAnsi="宋体" w:eastAsia="宋体" w:cs="宋体"/>
                <w:spacing w:val="-6"/>
                <w:sz w:val="20"/>
                <w:szCs w:val="20"/>
              </w:rPr>
              <w:t xml:space="preserve">，桡足类 </w:t>
            </w:r>
            <w:r>
              <w:rPr>
                <w:rFonts w:ascii="Times New Roman" w:hAnsi="Times New Roman" w:eastAsia="Times New Roman" w:cs="Times New Roman"/>
                <w:spacing w:val="-6"/>
                <w:sz w:val="20"/>
                <w:szCs w:val="20"/>
              </w:rPr>
              <w:t xml:space="preserve">1.3ind./L </w:t>
            </w:r>
            <w:r>
              <w:rPr>
                <w:rFonts w:ascii="宋体" w:hAnsi="宋体" w:eastAsia="宋体" w:cs="宋体"/>
                <w:spacing w:val="-6"/>
                <w:sz w:val="20"/>
                <w:szCs w:val="20"/>
              </w:rPr>
              <w:t xml:space="preserve">、 占 </w:t>
            </w:r>
            <w:r>
              <w:rPr>
                <w:rFonts w:ascii="Times New Roman" w:hAnsi="Times New Roman" w:eastAsia="Times New Roman" w:cs="Times New Roman"/>
                <w:spacing w:val="-6"/>
                <w:sz w:val="20"/>
                <w:szCs w:val="20"/>
              </w:rPr>
              <w:t>7.69%</w:t>
            </w:r>
          </w:p>
          <w:p>
            <w:pPr>
              <w:spacing w:before="10" w:line="228" w:lineRule="auto"/>
              <w:ind w:left="588"/>
              <w:rPr>
                <w:rFonts w:ascii="宋体" w:hAnsi="宋体" w:eastAsia="宋体" w:cs="宋体"/>
                <w:sz w:val="20"/>
                <w:szCs w:val="20"/>
              </w:rPr>
            </w:pPr>
            <w:r>
              <w:rPr>
                <w:rFonts w:ascii="宋体" w:hAnsi="宋体" w:eastAsia="宋体" w:cs="宋体"/>
                <w:spacing w:val="6"/>
                <w:sz w:val="17"/>
                <w:szCs w:val="17"/>
              </w:rPr>
              <w:t xml:space="preserve">3   </w:t>
            </w:r>
            <w:r>
              <w:rPr>
                <w:rFonts w:ascii="宋体" w:hAnsi="宋体" w:eastAsia="宋体" w:cs="宋体"/>
                <w:spacing w:val="6"/>
                <w:sz w:val="20"/>
                <w:szCs w:val="20"/>
              </w:rPr>
              <w:t>底栖动</w:t>
            </w:r>
            <w:r>
              <w:rPr>
                <w:rFonts w:ascii="宋体" w:hAnsi="宋体" w:eastAsia="宋体" w:cs="宋体"/>
                <w:spacing w:val="5"/>
                <w:sz w:val="20"/>
                <w:szCs w:val="20"/>
              </w:rPr>
              <w:t>物</w:t>
            </w:r>
          </w:p>
          <w:p>
            <w:pPr>
              <w:spacing w:before="150" w:line="370" w:lineRule="auto"/>
              <w:ind w:left="108" w:right="57" w:firstLine="416"/>
              <w:rPr>
                <w:rFonts w:ascii="宋体" w:hAnsi="宋体" w:eastAsia="宋体" w:cs="宋体"/>
                <w:sz w:val="20"/>
                <w:szCs w:val="20"/>
              </w:rPr>
            </w:pPr>
            <w:r>
              <w:rPr>
                <w:rFonts w:ascii="宋体" w:hAnsi="宋体" w:eastAsia="宋体" w:cs="宋体"/>
                <w:spacing w:val="16"/>
                <w:sz w:val="20"/>
                <w:szCs w:val="20"/>
              </w:rPr>
              <w:t>底</w:t>
            </w:r>
            <w:r>
              <w:rPr>
                <w:rFonts w:ascii="宋体" w:hAnsi="宋体" w:eastAsia="宋体" w:cs="宋体"/>
                <w:spacing w:val="14"/>
                <w:sz w:val="20"/>
                <w:szCs w:val="20"/>
              </w:rPr>
              <w:t>栖</w:t>
            </w:r>
            <w:r>
              <w:rPr>
                <w:rFonts w:ascii="宋体" w:hAnsi="宋体" w:eastAsia="宋体" w:cs="宋体"/>
                <w:spacing w:val="8"/>
                <w:sz w:val="20"/>
                <w:szCs w:val="20"/>
              </w:rPr>
              <w:t>动物是第三营养级的主要组成，也是原河道形态饵料生物中生物量较大的类群，</w:t>
            </w:r>
            <w:r>
              <w:rPr>
                <w:rFonts w:ascii="宋体" w:hAnsi="宋体" w:eastAsia="宋体" w:cs="宋体"/>
                <w:sz w:val="20"/>
                <w:szCs w:val="20"/>
              </w:rPr>
              <w:t xml:space="preserve"> </w:t>
            </w:r>
            <w:r>
              <w:rPr>
                <w:rFonts w:ascii="宋体" w:hAnsi="宋体" w:eastAsia="宋体" w:cs="宋体"/>
                <w:spacing w:val="18"/>
                <w:sz w:val="20"/>
                <w:szCs w:val="20"/>
              </w:rPr>
              <w:t>为</w:t>
            </w:r>
            <w:r>
              <w:rPr>
                <w:rFonts w:ascii="宋体" w:hAnsi="宋体" w:eastAsia="宋体" w:cs="宋体"/>
                <w:spacing w:val="13"/>
                <w:sz w:val="20"/>
                <w:szCs w:val="20"/>
              </w:rPr>
              <w:t>江</w:t>
            </w:r>
            <w:r>
              <w:rPr>
                <w:rFonts w:ascii="宋体" w:hAnsi="宋体" w:eastAsia="宋体" w:cs="宋体"/>
                <w:spacing w:val="9"/>
                <w:sz w:val="20"/>
                <w:szCs w:val="20"/>
              </w:rPr>
              <w:t>河中多数鱼类的饵料基础，并且与江河鱼类的生态类群和区系组成有密切关系。</w:t>
            </w:r>
          </w:p>
          <w:p>
            <w:pPr>
              <w:spacing w:line="226" w:lineRule="auto"/>
              <w:ind w:left="527"/>
              <w:rPr>
                <w:rFonts w:ascii="Times New Roman" w:hAnsi="Times New Roman" w:eastAsia="Times New Roman" w:cs="Times New Roman"/>
                <w:sz w:val="20"/>
                <w:szCs w:val="20"/>
              </w:rPr>
            </w:pPr>
            <w:r>
              <w:rPr>
                <w:rFonts w:ascii="宋体" w:hAnsi="宋体" w:eastAsia="宋体" w:cs="宋体"/>
                <w:spacing w:val="4"/>
                <w:sz w:val="20"/>
                <w:szCs w:val="20"/>
              </w:rPr>
              <w:t>经调查，州河流域工程</w:t>
            </w:r>
            <w:r>
              <w:rPr>
                <w:rFonts w:ascii="宋体" w:hAnsi="宋体" w:eastAsia="宋体" w:cs="宋体"/>
                <w:spacing w:val="3"/>
                <w:sz w:val="20"/>
                <w:szCs w:val="20"/>
              </w:rPr>
              <w:t>调</w:t>
            </w:r>
            <w:r>
              <w:rPr>
                <w:rFonts w:ascii="宋体" w:hAnsi="宋体" w:eastAsia="宋体" w:cs="宋体"/>
                <w:spacing w:val="2"/>
                <w:sz w:val="20"/>
                <w:szCs w:val="20"/>
              </w:rPr>
              <w:t xml:space="preserve">查河段共调查到底栖动物 </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 xml:space="preserve">门 </w:t>
            </w:r>
            <w:r>
              <w:rPr>
                <w:rFonts w:ascii="Times New Roman" w:hAnsi="Times New Roman" w:eastAsia="Times New Roman" w:cs="Times New Roman"/>
                <w:spacing w:val="2"/>
                <w:sz w:val="20"/>
                <w:szCs w:val="20"/>
              </w:rPr>
              <w:t xml:space="preserve">11 </w:t>
            </w:r>
            <w:r>
              <w:rPr>
                <w:rFonts w:ascii="宋体" w:hAnsi="宋体" w:eastAsia="宋体" w:cs="宋体"/>
                <w:spacing w:val="2"/>
                <w:sz w:val="20"/>
                <w:szCs w:val="20"/>
              </w:rPr>
              <w:t xml:space="preserve">科 </w:t>
            </w:r>
            <w:r>
              <w:rPr>
                <w:rFonts w:ascii="Times New Roman" w:hAnsi="Times New Roman" w:eastAsia="Times New Roman" w:cs="Times New Roman"/>
                <w:spacing w:val="2"/>
                <w:sz w:val="20"/>
                <w:szCs w:val="20"/>
              </w:rPr>
              <w:t xml:space="preserve">15 </w:t>
            </w:r>
            <w:r>
              <w:rPr>
                <w:rFonts w:ascii="宋体" w:hAnsi="宋体" w:eastAsia="宋体" w:cs="宋体"/>
                <w:spacing w:val="2"/>
                <w:sz w:val="20"/>
                <w:szCs w:val="20"/>
              </w:rPr>
              <w:t xml:space="preserve">种，其中环节动物 </w:t>
            </w:r>
            <w:r>
              <w:rPr>
                <w:rFonts w:ascii="Times New Roman" w:hAnsi="Times New Roman" w:eastAsia="Times New Roman" w:cs="Times New Roman"/>
                <w:spacing w:val="2"/>
                <w:sz w:val="20"/>
                <w:szCs w:val="20"/>
              </w:rPr>
              <w:t>2</w:t>
            </w:r>
          </w:p>
          <w:p>
            <w:pPr>
              <w:spacing w:before="155" w:line="365" w:lineRule="auto"/>
              <w:ind w:left="104" w:right="102"/>
              <w:rPr>
                <w:rFonts w:ascii="宋体" w:hAnsi="宋体" w:eastAsia="宋体" w:cs="宋体"/>
                <w:sz w:val="20"/>
                <w:szCs w:val="20"/>
              </w:rPr>
            </w:pPr>
            <w:r>
              <w:rPr>
                <w:rFonts w:ascii="宋体" w:hAnsi="宋体" w:eastAsia="宋体" w:cs="宋体"/>
                <w:spacing w:val="20"/>
                <w:sz w:val="20"/>
                <w:szCs w:val="20"/>
              </w:rPr>
              <w:t>种</w:t>
            </w:r>
            <w:r>
              <w:rPr>
                <w:rFonts w:ascii="宋体" w:hAnsi="宋体" w:eastAsia="宋体" w:cs="宋体"/>
                <w:spacing w:val="14"/>
                <w:sz w:val="20"/>
                <w:szCs w:val="20"/>
              </w:rPr>
              <w:t>，</w:t>
            </w:r>
            <w:r>
              <w:rPr>
                <w:rFonts w:ascii="宋体" w:hAnsi="宋体" w:eastAsia="宋体" w:cs="宋体"/>
                <w:spacing w:val="10"/>
                <w:sz w:val="20"/>
                <w:szCs w:val="20"/>
              </w:rPr>
              <w:t>软体动物门</w:t>
            </w:r>
            <w:r>
              <w:rPr>
                <w:rFonts w:ascii="Times New Roman" w:hAnsi="Times New Roman" w:eastAsia="Times New Roman" w:cs="Times New Roman"/>
                <w:spacing w:val="10"/>
                <w:sz w:val="20"/>
                <w:szCs w:val="20"/>
              </w:rPr>
              <w:t xml:space="preserve">4 </w:t>
            </w:r>
            <w:r>
              <w:rPr>
                <w:rFonts w:ascii="宋体" w:hAnsi="宋体" w:eastAsia="宋体" w:cs="宋体"/>
                <w:spacing w:val="10"/>
                <w:sz w:val="20"/>
                <w:szCs w:val="20"/>
              </w:rPr>
              <w:t>种，节肢动物门</w:t>
            </w:r>
            <w:r>
              <w:rPr>
                <w:rFonts w:ascii="Times New Roman" w:hAnsi="Times New Roman" w:eastAsia="Times New Roman" w:cs="Times New Roman"/>
                <w:spacing w:val="10"/>
                <w:sz w:val="20"/>
                <w:szCs w:val="20"/>
              </w:rPr>
              <w:t xml:space="preserve">9 </w:t>
            </w:r>
            <w:r>
              <w:rPr>
                <w:rFonts w:ascii="宋体" w:hAnsi="宋体" w:eastAsia="宋体" w:cs="宋体"/>
                <w:spacing w:val="10"/>
                <w:sz w:val="20"/>
                <w:szCs w:val="20"/>
              </w:rPr>
              <w:t>种。</w:t>
            </w:r>
            <w:r>
              <w:rPr>
                <w:rFonts w:ascii="Times New Roman" w:hAnsi="Times New Roman" w:eastAsia="Times New Roman" w:cs="Times New Roman"/>
                <w:spacing w:val="10"/>
                <w:sz w:val="20"/>
                <w:szCs w:val="20"/>
              </w:rPr>
              <w:t xml:space="preserve">3 </w:t>
            </w:r>
            <w:r>
              <w:rPr>
                <w:rFonts w:ascii="宋体" w:hAnsi="宋体" w:eastAsia="宋体" w:cs="宋体"/>
                <w:spacing w:val="10"/>
                <w:sz w:val="20"/>
                <w:szCs w:val="20"/>
              </w:rPr>
              <w:t>个采样断面的底栖动物种类基本一致，主要包</w:t>
            </w:r>
            <w:r>
              <w:rPr>
                <w:rFonts w:ascii="宋体" w:hAnsi="宋体" w:eastAsia="宋体" w:cs="宋体"/>
                <w:sz w:val="20"/>
                <w:szCs w:val="20"/>
              </w:rPr>
              <w:t xml:space="preserve"> </w:t>
            </w:r>
            <w:r>
              <w:rPr>
                <w:rFonts w:ascii="宋体" w:hAnsi="宋体" w:eastAsia="宋体" w:cs="宋体"/>
                <w:spacing w:val="8"/>
                <w:sz w:val="20"/>
                <w:szCs w:val="20"/>
              </w:rPr>
              <w:t>括蛭纲的巴</w:t>
            </w:r>
            <w:r>
              <w:rPr>
                <w:rFonts w:ascii="宋体" w:hAnsi="宋体" w:eastAsia="宋体" w:cs="宋体"/>
                <w:spacing w:val="7"/>
                <w:sz w:val="20"/>
                <w:szCs w:val="20"/>
              </w:rPr>
              <w:t>蛭</w:t>
            </w:r>
            <w:r>
              <w:rPr>
                <w:rFonts w:ascii="宋体" w:hAnsi="宋体" w:eastAsia="宋体" w:cs="宋体"/>
                <w:spacing w:val="4"/>
                <w:sz w:val="20"/>
                <w:szCs w:val="20"/>
              </w:rPr>
              <w:t>，腹足纲的萝 卜螺、圆田螺，昆虫纲的扁蜉、小裳蜉、二翼蜉、蜉蝣、纹石</w:t>
            </w:r>
            <w:r>
              <w:rPr>
                <w:rFonts w:ascii="宋体" w:hAnsi="宋体" w:eastAsia="宋体" w:cs="宋体"/>
                <w:sz w:val="20"/>
                <w:szCs w:val="20"/>
              </w:rPr>
              <w:t xml:space="preserve"> </w:t>
            </w:r>
            <w:r>
              <w:rPr>
                <w:rFonts w:ascii="宋体" w:hAnsi="宋体" w:eastAsia="宋体" w:cs="宋体"/>
                <w:spacing w:val="8"/>
                <w:sz w:val="20"/>
                <w:szCs w:val="20"/>
              </w:rPr>
              <w:t>蚕</w:t>
            </w:r>
            <w:r>
              <w:rPr>
                <w:rFonts w:ascii="宋体" w:hAnsi="宋体" w:eastAsia="宋体" w:cs="宋体"/>
                <w:spacing w:val="6"/>
                <w:sz w:val="20"/>
                <w:szCs w:val="20"/>
              </w:rPr>
              <w:t>和</w:t>
            </w:r>
            <w:r>
              <w:rPr>
                <w:rFonts w:ascii="宋体" w:hAnsi="宋体" w:eastAsia="宋体" w:cs="宋体"/>
                <w:spacing w:val="4"/>
                <w:sz w:val="20"/>
                <w:szCs w:val="20"/>
              </w:rPr>
              <w:t xml:space="preserve">摇蚊等。州河 </w:t>
            </w: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 xml:space="preserve">个采样断面底栖动物的个体密度介于 </w:t>
            </w:r>
            <w:r>
              <w:rPr>
                <w:rFonts w:ascii="Times New Roman" w:hAnsi="Times New Roman" w:eastAsia="Times New Roman" w:cs="Times New Roman"/>
                <w:spacing w:val="4"/>
                <w:sz w:val="20"/>
                <w:szCs w:val="20"/>
              </w:rPr>
              <w:t xml:space="preserve">6 </w:t>
            </w:r>
            <w:r>
              <w:rPr>
                <w:rFonts w:ascii="宋体" w:hAnsi="宋体" w:eastAsia="宋体" w:cs="宋体"/>
                <w:spacing w:val="4"/>
                <w:sz w:val="20"/>
                <w:szCs w:val="20"/>
              </w:rPr>
              <w:t>个</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m</w:t>
            </w:r>
            <w:r>
              <w:rPr>
                <w:rFonts w:ascii="宋体" w:hAnsi="宋体" w:eastAsia="宋体" w:cs="宋体"/>
                <w:spacing w:val="4"/>
                <w:sz w:val="20"/>
                <w:szCs w:val="20"/>
              </w:rPr>
              <w:t>²</w:t>
            </w:r>
            <w:r>
              <w:rPr>
                <w:rFonts w:ascii="Times New Roman" w:hAnsi="Times New Roman" w:eastAsia="Times New Roman" w:cs="Times New Roman"/>
                <w:spacing w:val="4"/>
                <w:sz w:val="20"/>
                <w:szCs w:val="20"/>
              </w:rPr>
              <w:t xml:space="preserve">- 11 </w:t>
            </w:r>
            <w:r>
              <w:rPr>
                <w:rFonts w:ascii="宋体" w:hAnsi="宋体" w:eastAsia="宋体" w:cs="宋体"/>
                <w:spacing w:val="4"/>
                <w:sz w:val="20"/>
                <w:szCs w:val="20"/>
              </w:rPr>
              <w:t>个</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m</w:t>
            </w:r>
            <w:r>
              <w:rPr>
                <w:rFonts w:ascii="宋体" w:hAnsi="宋体" w:eastAsia="宋体" w:cs="宋体"/>
                <w:spacing w:val="4"/>
                <w:sz w:val="20"/>
                <w:szCs w:val="20"/>
              </w:rPr>
              <w:t>²之间，平均密</w:t>
            </w:r>
            <w:r>
              <w:rPr>
                <w:rFonts w:ascii="宋体" w:hAnsi="宋体" w:eastAsia="宋体" w:cs="宋体"/>
                <w:sz w:val="20"/>
                <w:szCs w:val="20"/>
              </w:rPr>
              <w:t xml:space="preserve"> </w:t>
            </w:r>
            <w:r>
              <w:rPr>
                <w:rFonts w:ascii="宋体" w:hAnsi="宋体" w:eastAsia="宋体" w:cs="宋体"/>
                <w:spacing w:val="4"/>
                <w:sz w:val="20"/>
                <w:szCs w:val="20"/>
              </w:rPr>
              <w:t xml:space="preserve">度为 </w:t>
            </w:r>
            <w:r>
              <w:rPr>
                <w:rFonts w:ascii="Times New Roman" w:hAnsi="Times New Roman" w:eastAsia="Times New Roman" w:cs="Times New Roman"/>
                <w:spacing w:val="4"/>
                <w:sz w:val="20"/>
                <w:szCs w:val="20"/>
              </w:rPr>
              <w:t xml:space="preserve">8.33 </w:t>
            </w:r>
            <w:r>
              <w:rPr>
                <w:rFonts w:ascii="宋体" w:hAnsi="宋体" w:eastAsia="宋体" w:cs="宋体"/>
                <w:spacing w:val="4"/>
                <w:sz w:val="20"/>
                <w:szCs w:val="20"/>
              </w:rPr>
              <w:t>个</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m</w:t>
            </w:r>
            <w:r>
              <w:rPr>
                <w:rFonts w:ascii="宋体" w:hAnsi="宋体" w:eastAsia="宋体" w:cs="宋体"/>
                <w:spacing w:val="4"/>
                <w:sz w:val="20"/>
                <w:szCs w:val="20"/>
              </w:rPr>
              <w:t>² ，其中，扁蜉的出现率最高，所占的比例也最大，其占到各采样断面个</w:t>
            </w:r>
            <w:r>
              <w:rPr>
                <w:rFonts w:ascii="宋体" w:hAnsi="宋体" w:eastAsia="宋体" w:cs="宋体"/>
                <w:sz w:val="20"/>
                <w:szCs w:val="20"/>
              </w:rPr>
              <w:t xml:space="preserve">体 </w:t>
            </w:r>
            <w:r>
              <w:rPr>
                <w:rFonts w:ascii="宋体" w:hAnsi="宋体" w:eastAsia="宋体" w:cs="宋体"/>
                <w:spacing w:val="2"/>
                <w:sz w:val="20"/>
                <w:szCs w:val="20"/>
              </w:rPr>
              <w:t>平均数</w:t>
            </w:r>
            <w:r>
              <w:rPr>
                <w:rFonts w:ascii="宋体" w:hAnsi="宋体" w:eastAsia="宋体" w:cs="宋体"/>
                <w:spacing w:val="1"/>
                <w:sz w:val="20"/>
                <w:szCs w:val="20"/>
              </w:rPr>
              <w:t xml:space="preserve">的 </w:t>
            </w:r>
            <w:r>
              <w:rPr>
                <w:rFonts w:ascii="Times New Roman" w:hAnsi="Times New Roman" w:eastAsia="Times New Roman" w:cs="Times New Roman"/>
                <w:spacing w:val="1"/>
                <w:sz w:val="20"/>
                <w:szCs w:val="20"/>
              </w:rPr>
              <w:t>34.78%</w:t>
            </w:r>
            <w:r>
              <w:rPr>
                <w:rFonts w:ascii="宋体" w:hAnsi="宋体" w:eastAsia="宋体" w:cs="宋体"/>
                <w:spacing w:val="1"/>
                <w:sz w:val="20"/>
                <w:szCs w:val="20"/>
              </w:rPr>
              <w:t>。</w:t>
            </w:r>
          </w:p>
          <w:p>
            <w:pPr>
              <w:spacing w:line="229" w:lineRule="auto"/>
              <w:ind w:left="2354"/>
              <w:rPr>
                <w:rFonts w:ascii="黑体" w:hAnsi="黑体" w:eastAsia="黑体" w:cs="黑体"/>
                <w:sz w:val="19"/>
                <w:szCs w:val="19"/>
              </w:rPr>
            </w:pPr>
            <w:r>
              <w:rPr>
                <w:rFonts w:ascii="黑体" w:hAnsi="黑体" w:eastAsia="黑体" w:cs="黑体"/>
                <w:spacing w:val="14"/>
                <w:sz w:val="19"/>
                <w:szCs w:val="19"/>
              </w:rPr>
              <w:t>表</w:t>
            </w:r>
            <w:r>
              <w:rPr>
                <w:rFonts w:ascii="Times New Roman" w:hAnsi="Times New Roman" w:eastAsia="Times New Roman" w:cs="Times New Roman"/>
                <w:spacing w:val="14"/>
                <w:sz w:val="19"/>
                <w:szCs w:val="19"/>
              </w:rPr>
              <w:t>2</w:t>
            </w:r>
            <w:r>
              <w:rPr>
                <w:rFonts w:ascii="Times New Roman" w:hAnsi="Times New Roman" w:eastAsia="Times New Roman" w:cs="Times New Roman"/>
                <w:spacing w:val="7"/>
                <w:sz w:val="19"/>
                <w:szCs w:val="19"/>
              </w:rPr>
              <w:t xml:space="preserve">4    </w:t>
            </w:r>
            <w:r>
              <w:rPr>
                <w:rFonts w:ascii="黑体" w:hAnsi="黑体" w:eastAsia="黑体" w:cs="黑体"/>
                <w:spacing w:val="7"/>
                <w:sz w:val="19"/>
                <w:szCs w:val="19"/>
              </w:rPr>
              <w:t>州河流域采样点底栖动物区系组成</w:t>
            </w:r>
          </w:p>
          <w:p>
            <w:pPr>
              <w:spacing w:line="61" w:lineRule="auto"/>
              <w:rPr>
                <w:rFonts w:ascii="Arial"/>
                <w:sz w:val="2"/>
              </w:rPr>
            </w:pPr>
          </w:p>
          <w:tbl>
            <w:tblPr>
              <w:tblStyle w:val="4"/>
              <w:tblW w:w="7841" w:type="dxa"/>
              <w:tblInd w:w="2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04"/>
              <w:gridCol w:w="1134"/>
              <w:gridCol w:w="941"/>
              <w:gridCol w:w="942"/>
              <w:gridCol w:w="942"/>
              <w:gridCol w:w="18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2004" w:type="dxa"/>
                  <w:vAlign w:val="top"/>
                </w:tcPr>
                <w:p>
                  <w:pPr>
                    <w:spacing w:before="93" w:line="234" w:lineRule="auto"/>
                    <w:ind w:left="935"/>
                    <w:rPr>
                      <w:rFonts w:ascii="宋体" w:hAnsi="宋体" w:eastAsia="宋体" w:cs="宋体"/>
                      <w:sz w:val="17"/>
                      <w:szCs w:val="17"/>
                    </w:rPr>
                  </w:pPr>
                  <w:r>
                    <w:rPr>
                      <w:rFonts w:ascii="宋体" w:hAnsi="宋体" w:eastAsia="宋体" w:cs="宋体"/>
                      <w:sz w:val="17"/>
                      <w:szCs w:val="17"/>
                      <w14:textOutline w14:w="3268" w14:cap="sq" w14:cmpd="sng">
                        <w14:solidFill>
                          <w14:srgbClr w14:val="000000"/>
                        </w14:solidFill>
                        <w14:prstDash w14:val="solid"/>
                        <w14:bevel/>
                      </w14:textOutline>
                    </w:rPr>
                    <w:t>门</w:t>
                  </w:r>
                </w:p>
              </w:tc>
              <w:tc>
                <w:tcPr>
                  <w:tcW w:w="1134" w:type="dxa"/>
                  <w:vAlign w:val="top"/>
                </w:tcPr>
                <w:p>
                  <w:pPr>
                    <w:spacing w:before="93" w:line="233" w:lineRule="auto"/>
                    <w:ind w:left="481"/>
                    <w:rPr>
                      <w:rFonts w:ascii="宋体" w:hAnsi="宋体" w:eastAsia="宋体" w:cs="宋体"/>
                      <w:sz w:val="17"/>
                      <w:szCs w:val="17"/>
                    </w:rPr>
                  </w:pPr>
                  <w:r>
                    <w:rPr>
                      <w:rFonts w:ascii="宋体" w:hAnsi="宋体" w:eastAsia="宋体" w:cs="宋体"/>
                      <w:sz w:val="17"/>
                      <w:szCs w:val="17"/>
                      <w14:textOutline w14:w="3268" w14:cap="sq" w14:cmpd="sng">
                        <w14:solidFill>
                          <w14:srgbClr w14:val="000000"/>
                        </w14:solidFill>
                        <w14:prstDash w14:val="solid"/>
                        <w14:bevel/>
                      </w14:textOutline>
                    </w:rPr>
                    <w:t>纲</w:t>
                  </w:r>
                </w:p>
              </w:tc>
              <w:tc>
                <w:tcPr>
                  <w:tcW w:w="941" w:type="dxa"/>
                  <w:vAlign w:val="top"/>
                </w:tcPr>
                <w:p>
                  <w:pPr>
                    <w:spacing w:before="93" w:line="233" w:lineRule="auto"/>
                    <w:ind w:left="418"/>
                    <w:rPr>
                      <w:rFonts w:ascii="宋体" w:hAnsi="宋体" w:eastAsia="宋体" w:cs="宋体"/>
                      <w:sz w:val="17"/>
                      <w:szCs w:val="17"/>
                    </w:rPr>
                  </w:pPr>
                  <w:r>
                    <w:rPr>
                      <w:rFonts w:ascii="宋体" w:hAnsi="宋体" w:eastAsia="宋体" w:cs="宋体"/>
                      <w:sz w:val="17"/>
                      <w:szCs w:val="17"/>
                      <w14:textOutline w14:w="3268" w14:cap="sq" w14:cmpd="sng">
                        <w14:solidFill>
                          <w14:srgbClr w14:val="000000"/>
                        </w14:solidFill>
                        <w14:prstDash w14:val="solid"/>
                        <w14:bevel/>
                      </w14:textOutline>
                    </w:rPr>
                    <w:t>目</w:t>
                  </w:r>
                </w:p>
              </w:tc>
              <w:tc>
                <w:tcPr>
                  <w:tcW w:w="942" w:type="dxa"/>
                  <w:vAlign w:val="top"/>
                </w:tcPr>
                <w:p>
                  <w:pPr>
                    <w:spacing w:before="94" w:line="229" w:lineRule="auto"/>
                    <w:ind w:left="385"/>
                    <w:rPr>
                      <w:rFonts w:ascii="宋体" w:hAnsi="宋体" w:eastAsia="宋体" w:cs="宋体"/>
                      <w:sz w:val="17"/>
                      <w:szCs w:val="17"/>
                    </w:rPr>
                  </w:pPr>
                  <w:r>
                    <w:rPr>
                      <w:rFonts w:ascii="宋体" w:hAnsi="宋体" w:eastAsia="宋体" w:cs="宋体"/>
                      <w:spacing w:val="2"/>
                      <w:sz w:val="17"/>
                      <w:szCs w:val="17"/>
                      <w14:textOutline w14:w="3268" w14:cap="sq" w14:cmpd="sng">
                        <w14:solidFill>
                          <w14:srgbClr w14:val="000000"/>
                        </w14:solidFill>
                        <w14:prstDash w14:val="solid"/>
                        <w14:bevel/>
                      </w14:textOutline>
                    </w:rPr>
                    <w:t>科</w:t>
                  </w:r>
                </w:p>
              </w:tc>
              <w:tc>
                <w:tcPr>
                  <w:tcW w:w="942" w:type="dxa"/>
                  <w:vAlign w:val="top"/>
                </w:tcPr>
                <w:p>
                  <w:pPr>
                    <w:spacing w:before="93" w:line="231" w:lineRule="auto"/>
                    <w:ind w:left="387"/>
                    <w:rPr>
                      <w:rFonts w:ascii="宋体" w:hAnsi="宋体" w:eastAsia="宋体" w:cs="宋体"/>
                      <w:sz w:val="17"/>
                      <w:szCs w:val="17"/>
                    </w:rPr>
                  </w:pPr>
                  <w:r>
                    <w:rPr>
                      <w:rFonts w:ascii="宋体" w:hAnsi="宋体" w:eastAsia="宋体" w:cs="宋体"/>
                      <w:spacing w:val="2"/>
                      <w:sz w:val="17"/>
                      <w:szCs w:val="17"/>
                      <w14:textOutline w14:w="3268" w14:cap="sq" w14:cmpd="sng">
                        <w14:solidFill>
                          <w14:srgbClr w14:val="000000"/>
                        </w14:solidFill>
                        <w14:prstDash w14:val="solid"/>
                        <w14:bevel/>
                      </w14:textOutline>
                    </w:rPr>
                    <w:t>种</w:t>
                  </w:r>
                </w:p>
              </w:tc>
              <w:tc>
                <w:tcPr>
                  <w:tcW w:w="1878" w:type="dxa"/>
                  <w:vAlign w:val="top"/>
                </w:tcPr>
                <w:p>
                  <w:pPr>
                    <w:spacing w:before="56" w:line="248" w:lineRule="exact"/>
                    <w:ind w:left="402"/>
                    <w:rPr>
                      <w:rFonts w:ascii="Times New Roman" w:hAnsi="Times New Roman" w:eastAsia="Times New Roman" w:cs="Times New Roman"/>
                      <w:sz w:val="17"/>
                      <w:szCs w:val="17"/>
                    </w:rPr>
                  </w:pPr>
                  <w:r>
                    <w:rPr>
                      <w:rFonts w:ascii="宋体" w:hAnsi="宋体" w:eastAsia="宋体" w:cs="宋体"/>
                      <w:spacing w:val="10"/>
                      <w:position w:val="1"/>
                      <w:sz w:val="17"/>
                      <w:szCs w:val="17"/>
                      <w14:textOutline w14:w="3268" w14:cap="sq" w14:cmpd="sng">
                        <w14:solidFill>
                          <w14:srgbClr w14:val="000000"/>
                        </w14:solidFill>
                        <w14:prstDash w14:val="solid"/>
                        <w14:bevel/>
                      </w14:textOutline>
                    </w:rPr>
                    <w:t>种</w:t>
                  </w:r>
                  <w:r>
                    <w:rPr>
                      <w:rFonts w:ascii="宋体" w:hAnsi="宋体" w:eastAsia="宋体" w:cs="宋体"/>
                      <w:spacing w:val="9"/>
                      <w:position w:val="1"/>
                      <w:sz w:val="17"/>
                      <w:szCs w:val="17"/>
                      <w14:textOutline w14:w="3268" w14:cap="sq" w14:cmpd="sng">
                        <w14:solidFill>
                          <w14:srgbClr w14:val="000000"/>
                        </w14:solidFill>
                        <w14:prstDash w14:val="solid"/>
                        <w14:bevel/>
                      </w14:textOutline>
                    </w:rPr>
                    <w:t>数百分比</w:t>
                  </w:r>
                  <w:r>
                    <w:rPr>
                      <w:rFonts w:ascii="Times New Roman" w:hAnsi="Times New Roman" w:eastAsia="Times New Roman" w:cs="Times New Roman"/>
                      <w:b/>
                      <w:bCs/>
                      <w:spacing w:val="9"/>
                      <w:position w:val="1"/>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2004" w:type="dxa"/>
                  <w:vAlign w:val="top"/>
                </w:tcPr>
                <w:p>
                  <w:pPr>
                    <w:spacing w:before="90" w:line="231" w:lineRule="auto"/>
                    <w:ind w:left="557"/>
                    <w:rPr>
                      <w:rFonts w:ascii="宋体" w:hAnsi="宋体" w:eastAsia="宋体" w:cs="宋体"/>
                      <w:sz w:val="17"/>
                      <w:szCs w:val="17"/>
                    </w:rPr>
                  </w:pPr>
                  <w:r>
                    <w:rPr>
                      <w:rFonts w:ascii="宋体" w:hAnsi="宋体" w:eastAsia="宋体" w:cs="宋体"/>
                      <w:spacing w:val="10"/>
                      <w:sz w:val="17"/>
                      <w:szCs w:val="17"/>
                    </w:rPr>
                    <w:t>环</w:t>
                  </w:r>
                  <w:r>
                    <w:rPr>
                      <w:rFonts w:ascii="宋体" w:hAnsi="宋体" w:eastAsia="宋体" w:cs="宋体"/>
                      <w:spacing w:val="8"/>
                      <w:sz w:val="17"/>
                      <w:szCs w:val="17"/>
                    </w:rPr>
                    <w:t>节动物门</w:t>
                  </w:r>
                </w:p>
              </w:tc>
              <w:tc>
                <w:tcPr>
                  <w:tcW w:w="1134" w:type="dxa"/>
                  <w:vAlign w:val="top"/>
                </w:tcPr>
                <w:p>
                  <w:pPr>
                    <w:spacing w:before="118" w:line="197" w:lineRule="auto"/>
                    <w:ind w:left="52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941" w:type="dxa"/>
                  <w:vAlign w:val="top"/>
                </w:tcPr>
                <w:p>
                  <w:pPr>
                    <w:spacing w:before="118" w:line="197" w:lineRule="auto"/>
                    <w:ind w:left="42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942" w:type="dxa"/>
                  <w:vAlign w:val="top"/>
                </w:tcPr>
                <w:p>
                  <w:pPr>
                    <w:spacing w:before="118" w:line="197" w:lineRule="auto"/>
                    <w:ind w:left="428"/>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942" w:type="dxa"/>
                  <w:vAlign w:val="top"/>
                </w:tcPr>
                <w:p>
                  <w:pPr>
                    <w:spacing w:before="118" w:line="197" w:lineRule="auto"/>
                    <w:ind w:left="42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1878" w:type="dxa"/>
                  <w:vAlign w:val="top"/>
                </w:tcPr>
                <w:p>
                  <w:pPr>
                    <w:spacing w:before="55" w:line="242" w:lineRule="exact"/>
                    <w:ind w:left="680"/>
                    <w:rPr>
                      <w:rFonts w:ascii="Times New Roman" w:hAnsi="Times New Roman" w:eastAsia="Times New Roman" w:cs="Times New Roman"/>
                      <w:sz w:val="17"/>
                      <w:szCs w:val="17"/>
                    </w:rPr>
                  </w:pPr>
                  <w:r>
                    <w:rPr>
                      <w:rFonts w:ascii="Times New Roman" w:hAnsi="Times New Roman" w:eastAsia="Times New Roman" w:cs="Times New Roman"/>
                      <w:spacing w:val="2"/>
                      <w:position w:val="2"/>
                      <w:sz w:val="17"/>
                      <w:szCs w:val="17"/>
                    </w:rPr>
                    <w:t>13.3</w:t>
                  </w:r>
                  <w:r>
                    <w:rPr>
                      <w:rFonts w:ascii="Times New Roman" w:hAnsi="Times New Roman" w:eastAsia="Times New Roman" w:cs="Times New Roman"/>
                      <w:spacing w:val="1"/>
                      <w:position w:val="2"/>
                      <w:sz w:val="17"/>
                      <w:szCs w:val="17"/>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2004" w:type="dxa"/>
                  <w:vAlign w:val="top"/>
                </w:tcPr>
                <w:p>
                  <w:pPr>
                    <w:spacing w:before="89" w:line="231" w:lineRule="auto"/>
                    <w:ind w:left="559"/>
                    <w:rPr>
                      <w:rFonts w:ascii="宋体" w:hAnsi="宋体" w:eastAsia="宋体" w:cs="宋体"/>
                      <w:sz w:val="17"/>
                      <w:szCs w:val="17"/>
                    </w:rPr>
                  </w:pPr>
                  <w:r>
                    <w:rPr>
                      <w:rFonts w:ascii="宋体" w:hAnsi="宋体" w:eastAsia="宋体" w:cs="宋体"/>
                      <w:spacing w:val="8"/>
                      <w:sz w:val="17"/>
                      <w:szCs w:val="17"/>
                    </w:rPr>
                    <w:t>软体动物门</w:t>
                  </w:r>
                </w:p>
              </w:tc>
              <w:tc>
                <w:tcPr>
                  <w:tcW w:w="1134" w:type="dxa"/>
                  <w:vAlign w:val="top"/>
                </w:tcPr>
                <w:p>
                  <w:pPr>
                    <w:spacing w:before="120" w:line="197" w:lineRule="auto"/>
                    <w:ind w:left="538"/>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941" w:type="dxa"/>
                  <w:vAlign w:val="top"/>
                </w:tcPr>
                <w:p>
                  <w:pPr>
                    <w:spacing w:before="120" w:line="197" w:lineRule="auto"/>
                    <w:ind w:left="429"/>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tc>
              <w:tc>
                <w:tcPr>
                  <w:tcW w:w="942" w:type="dxa"/>
                  <w:vAlign w:val="top"/>
                </w:tcPr>
                <w:p>
                  <w:pPr>
                    <w:spacing w:before="120" w:line="197" w:lineRule="auto"/>
                    <w:ind w:left="431"/>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tc>
              <w:tc>
                <w:tcPr>
                  <w:tcW w:w="942" w:type="dxa"/>
                  <w:vAlign w:val="top"/>
                </w:tcPr>
                <w:p>
                  <w:pPr>
                    <w:spacing w:before="120" w:line="197" w:lineRule="auto"/>
                    <w:ind w:left="428"/>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1878" w:type="dxa"/>
                  <w:vAlign w:val="top"/>
                </w:tcPr>
                <w:p>
                  <w:pPr>
                    <w:spacing w:before="56" w:line="242" w:lineRule="exact"/>
                    <w:ind w:left="663"/>
                    <w:rPr>
                      <w:rFonts w:ascii="Times New Roman" w:hAnsi="Times New Roman" w:eastAsia="Times New Roman" w:cs="Times New Roman"/>
                      <w:sz w:val="17"/>
                      <w:szCs w:val="17"/>
                    </w:rPr>
                  </w:pPr>
                  <w:r>
                    <w:rPr>
                      <w:rFonts w:ascii="Times New Roman" w:hAnsi="Times New Roman" w:eastAsia="Times New Roman" w:cs="Times New Roman"/>
                      <w:spacing w:val="7"/>
                      <w:position w:val="2"/>
                      <w:sz w:val="17"/>
                      <w:szCs w:val="17"/>
                    </w:rPr>
                    <w:t>2</w:t>
                  </w:r>
                  <w:r>
                    <w:rPr>
                      <w:rFonts w:ascii="Times New Roman" w:hAnsi="Times New Roman" w:eastAsia="Times New Roman" w:cs="Times New Roman"/>
                      <w:spacing w:val="4"/>
                      <w:position w:val="2"/>
                      <w:sz w:val="17"/>
                      <w:szCs w:val="17"/>
                    </w:rPr>
                    <w:t>6.67%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0" w:hRule="atLeast"/>
              </w:trPr>
              <w:tc>
                <w:tcPr>
                  <w:tcW w:w="2004" w:type="dxa"/>
                  <w:vAlign w:val="top"/>
                </w:tcPr>
                <w:p>
                  <w:pPr>
                    <w:spacing w:before="90" w:line="231" w:lineRule="auto"/>
                    <w:ind w:left="557"/>
                    <w:rPr>
                      <w:rFonts w:ascii="宋体" w:hAnsi="宋体" w:eastAsia="宋体" w:cs="宋体"/>
                      <w:sz w:val="17"/>
                      <w:szCs w:val="17"/>
                    </w:rPr>
                  </w:pPr>
                  <w:r>
                    <w:rPr>
                      <w:rFonts w:ascii="宋体" w:hAnsi="宋体" w:eastAsia="宋体" w:cs="宋体"/>
                      <w:spacing w:val="10"/>
                      <w:sz w:val="17"/>
                      <w:szCs w:val="17"/>
                    </w:rPr>
                    <w:t>节</w:t>
                  </w:r>
                  <w:r>
                    <w:rPr>
                      <w:rFonts w:ascii="宋体" w:hAnsi="宋体" w:eastAsia="宋体" w:cs="宋体"/>
                      <w:spacing w:val="8"/>
                      <w:sz w:val="17"/>
                      <w:szCs w:val="17"/>
                    </w:rPr>
                    <w:t>肢动物门</w:t>
                  </w:r>
                </w:p>
              </w:tc>
              <w:tc>
                <w:tcPr>
                  <w:tcW w:w="1134" w:type="dxa"/>
                  <w:vAlign w:val="top"/>
                </w:tcPr>
                <w:p>
                  <w:pPr>
                    <w:spacing w:before="121" w:line="197" w:lineRule="auto"/>
                    <w:ind w:left="52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941" w:type="dxa"/>
                  <w:vAlign w:val="top"/>
                </w:tcPr>
                <w:p>
                  <w:pPr>
                    <w:spacing w:before="121" w:line="197" w:lineRule="auto"/>
                    <w:ind w:left="42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942" w:type="dxa"/>
                  <w:vAlign w:val="top"/>
                </w:tcPr>
                <w:p>
                  <w:pPr>
                    <w:spacing w:before="121" w:line="197" w:lineRule="auto"/>
                    <w:ind w:left="432"/>
                    <w:rPr>
                      <w:rFonts w:ascii="Times New Roman" w:hAnsi="Times New Roman" w:eastAsia="Times New Roman" w:cs="Times New Roman"/>
                      <w:sz w:val="17"/>
                      <w:szCs w:val="17"/>
                    </w:rPr>
                  </w:pPr>
                  <w:r>
                    <w:rPr>
                      <w:rFonts w:ascii="Times New Roman" w:hAnsi="Times New Roman" w:eastAsia="Times New Roman" w:cs="Times New Roman"/>
                      <w:sz w:val="17"/>
                      <w:szCs w:val="17"/>
                    </w:rPr>
                    <w:t>6</w:t>
                  </w:r>
                </w:p>
              </w:tc>
              <w:tc>
                <w:tcPr>
                  <w:tcW w:w="942" w:type="dxa"/>
                  <w:vAlign w:val="top"/>
                </w:tcPr>
                <w:p>
                  <w:pPr>
                    <w:spacing w:before="121" w:line="197" w:lineRule="auto"/>
                    <w:ind w:left="432"/>
                    <w:rPr>
                      <w:rFonts w:ascii="Times New Roman" w:hAnsi="Times New Roman" w:eastAsia="Times New Roman" w:cs="Times New Roman"/>
                      <w:sz w:val="17"/>
                      <w:szCs w:val="17"/>
                    </w:rPr>
                  </w:pPr>
                  <w:r>
                    <w:rPr>
                      <w:rFonts w:ascii="Times New Roman" w:hAnsi="Times New Roman" w:eastAsia="Times New Roman" w:cs="Times New Roman"/>
                      <w:sz w:val="17"/>
                      <w:szCs w:val="17"/>
                    </w:rPr>
                    <w:t>9</w:t>
                  </w:r>
                </w:p>
              </w:tc>
              <w:tc>
                <w:tcPr>
                  <w:tcW w:w="1878" w:type="dxa"/>
                  <w:vAlign w:val="top"/>
                </w:tcPr>
                <w:p>
                  <w:pPr>
                    <w:spacing w:before="58" w:line="242" w:lineRule="exact"/>
                    <w:ind w:left="780"/>
                    <w:rPr>
                      <w:rFonts w:ascii="Times New Roman" w:hAnsi="Times New Roman" w:eastAsia="Times New Roman" w:cs="Times New Roman"/>
                      <w:sz w:val="17"/>
                      <w:szCs w:val="17"/>
                    </w:rPr>
                  </w:pPr>
                  <w:r>
                    <w:rPr>
                      <w:rFonts w:ascii="Times New Roman" w:hAnsi="Times New Roman" w:eastAsia="Times New Roman" w:cs="Times New Roman"/>
                      <w:spacing w:val="4"/>
                      <w:position w:val="2"/>
                      <w:sz w:val="17"/>
                      <w:szCs w:val="17"/>
                    </w:rPr>
                    <w:t>6</w:t>
                  </w:r>
                  <w:r>
                    <w:rPr>
                      <w:rFonts w:ascii="Times New Roman" w:hAnsi="Times New Roman" w:eastAsia="Times New Roman" w:cs="Times New Roman"/>
                      <w:spacing w:val="3"/>
                      <w:position w:val="2"/>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5" w:hRule="atLeast"/>
              </w:trPr>
              <w:tc>
                <w:tcPr>
                  <w:tcW w:w="2004" w:type="dxa"/>
                  <w:vAlign w:val="top"/>
                </w:tcPr>
                <w:p>
                  <w:pPr>
                    <w:spacing w:before="96" w:line="232" w:lineRule="auto"/>
                    <w:ind w:left="827"/>
                    <w:rPr>
                      <w:rFonts w:ascii="宋体" w:hAnsi="宋体" w:eastAsia="宋体" w:cs="宋体"/>
                      <w:sz w:val="17"/>
                      <w:szCs w:val="17"/>
                    </w:rPr>
                  </w:pPr>
                  <w:r>
                    <w:rPr>
                      <w:rFonts w:ascii="宋体" w:hAnsi="宋体" w:eastAsia="宋体" w:cs="宋体"/>
                      <w:spacing w:val="6"/>
                      <w:sz w:val="17"/>
                      <w:szCs w:val="17"/>
                    </w:rPr>
                    <w:t>合计</w:t>
                  </w:r>
                </w:p>
              </w:tc>
              <w:tc>
                <w:tcPr>
                  <w:tcW w:w="1134" w:type="dxa"/>
                  <w:vAlign w:val="top"/>
                </w:tcPr>
                <w:p>
                  <w:pPr>
                    <w:spacing w:before="130" w:line="194" w:lineRule="auto"/>
                    <w:ind w:left="525"/>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941" w:type="dxa"/>
                  <w:vAlign w:val="top"/>
                </w:tcPr>
                <w:p>
                  <w:pPr>
                    <w:spacing w:before="127" w:line="197" w:lineRule="auto"/>
                    <w:ind w:left="429"/>
                    <w:rPr>
                      <w:rFonts w:ascii="Times New Roman" w:hAnsi="Times New Roman" w:eastAsia="Times New Roman" w:cs="Times New Roman"/>
                      <w:sz w:val="17"/>
                      <w:szCs w:val="17"/>
                    </w:rPr>
                  </w:pPr>
                  <w:r>
                    <w:rPr>
                      <w:rFonts w:ascii="Times New Roman" w:hAnsi="Times New Roman" w:eastAsia="Times New Roman" w:cs="Times New Roman"/>
                      <w:sz w:val="17"/>
                      <w:szCs w:val="17"/>
                    </w:rPr>
                    <w:t>9</w:t>
                  </w:r>
                </w:p>
              </w:tc>
              <w:tc>
                <w:tcPr>
                  <w:tcW w:w="942" w:type="dxa"/>
                  <w:vAlign w:val="top"/>
                </w:tcPr>
                <w:p>
                  <w:pPr>
                    <w:spacing w:before="127" w:line="197" w:lineRule="auto"/>
                    <w:ind w:left="404"/>
                    <w:rPr>
                      <w:rFonts w:ascii="Times New Roman" w:hAnsi="Times New Roman" w:eastAsia="Times New Roman" w:cs="Times New Roman"/>
                      <w:sz w:val="17"/>
                      <w:szCs w:val="17"/>
                    </w:rPr>
                  </w:pPr>
                  <w:r>
                    <w:rPr>
                      <w:rFonts w:ascii="Times New Roman" w:hAnsi="Times New Roman" w:eastAsia="Times New Roman" w:cs="Times New Roman"/>
                      <w:spacing w:val="-8"/>
                      <w:sz w:val="17"/>
                      <w:szCs w:val="17"/>
                    </w:rPr>
                    <w:t>1</w:t>
                  </w:r>
                  <w:r>
                    <w:rPr>
                      <w:rFonts w:ascii="Times New Roman" w:hAnsi="Times New Roman" w:eastAsia="Times New Roman" w:cs="Times New Roman"/>
                      <w:spacing w:val="-7"/>
                      <w:sz w:val="17"/>
                      <w:szCs w:val="17"/>
                    </w:rPr>
                    <w:t>1</w:t>
                  </w:r>
                </w:p>
              </w:tc>
              <w:tc>
                <w:tcPr>
                  <w:tcW w:w="942" w:type="dxa"/>
                  <w:vAlign w:val="top"/>
                </w:tcPr>
                <w:p>
                  <w:pPr>
                    <w:spacing w:before="127" w:line="197" w:lineRule="auto"/>
                    <w:ind w:left="401"/>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15</w:t>
                  </w:r>
                </w:p>
              </w:tc>
              <w:tc>
                <w:tcPr>
                  <w:tcW w:w="1878" w:type="dxa"/>
                  <w:vAlign w:val="top"/>
                </w:tcPr>
                <w:p>
                  <w:pPr>
                    <w:spacing w:before="127" w:line="197" w:lineRule="auto"/>
                    <w:ind w:left="82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00</w:t>
                  </w:r>
                </w:p>
              </w:tc>
            </w:tr>
          </w:tbl>
          <w:p>
            <w:pPr>
              <w:spacing w:before="141" w:line="228" w:lineRule="auto"/>
              <w:ind w:left="583"/>
              <w:rPr>
                <w:rFonts w:ascii="宋体" w:hAnsi="宋体" w:eastAsia="宋体" w:cs="宋体"/>
                <w:sz w:val="20"/>
                <w:szCs w:val="20"/>
              </w:rPr>
            </w:pPr>
            <w:r>
              <w:rPr>
                <w:rFonts w:ascii="宋体" w:hAnsi="宋体" w:eastAsia="宋体" w:cs="宋体"/>
                <w:spacing w:val="12"/>
                <w:sz w:val="17"/>
                <w:szCs w:val="17"/>
              </w:rPr>
              <w:t>4</w:t>
            </w:r>
            <w:r>
              <w:rPr>
                <w:rFonts w:ascii="宋体" w:hAnsi="宋体" w:eastAsia="宋体" w:cs="宋体"/>
                <w:spacing w:val="7"/>
                <w:sz w:val="17"/>
                <w:szCs w:val="17"/>
              </w:rPr>
              <w:t xml:space="preserve">   </w:t>
            </w:r>
            <w:r>
              <w:rPr>
                <w:rFonts w:ascii="宋体" w:hAnsi="宋体" w:eastAsia="宋体" w:cs="宋体"/>
                <w:spacing w:val="7"/>
                <w:sz w:val="20"/>
                <w:szCs w:val="20"/>
              </w:rPr>
              <w:t>水生维管束植物</w:t>
            </w:r>
          </w:p>
          <w:p>
            <w:pPr>
              <w:spacing w:before="152" w:line="370" w:lineRule="auto"/>
              <w:ind w:left="106" w:right="105" w:firstLine="421"/>
              <w:rPr>
                <w:rFonts w:ascii="宋体" w:hAnsi="宋体" w:eastAsia="宋体" w:cs="宋体"/>
                <w:sz w:val="20"/>
                <w:szCs w:val="20"/>
              </w:rPr>
            </w:pPr>
            <w:r>
              <w:rPr>
                <w:rFonts w:ascii="宋体" w:hAnsi="宋体" w:eastAsia="宋体" w:cs="宋体"/>
                <w:spacing w:val="7"/>
                <w:sz w:val="20"/>
                <w:szCs w:val="20"/>
              </w:rPr>
              <w:t>水生维管束植物是水体中的生产者，能直接利用太阳能，通过光合作用制造有机质营</w:t>
            </w:r>
            <w:r>
              <w:rPr>
                <w:rFonts w:ascii="宋体" w:hAnsi="宋体" w:eastAsia="宋体" w:cs="宋体"/>
                <w:sz w:val="20"/>
                <w:szCs w:val="20"/>
              </w:rPr>
              <w:t xml:space="preserve"> </w:t>
            </w:r>
            <w:r>
              <w:rPr>
                <w:rFonts w:ascii="宋体" w:hAnsi="宋体" w:eastAsia="宋体" w:cs="宋体"/>
                <w:spacing w:val="18"/>
                <w:sz w:val="20"/>
                <w:szCs w:val="20"/>
              </w:rPr>
              <w:t>养</w:t>
            </w:r>
            <w:r>
              <w:rPr>
                <w:rFonts w:ascii="宋体" w:hAnsi="宋体" w:eastAsia="宋体" w:cs="宋体"/>
                <w:spacing w:val="13"/>
                <w:sz w:val="20"/>
                <w:szCs w:val="20"/>
              </w:rPr>
              <w:t>物</w:t>
            </w:r>
            <w:r>
              <w:rPr>
                <w:rFonts w:ascii="宋体" w:hAnsi="宋体" w:eastAsia="宋体" w:cs="宋体"/>
                <w:spacing w:val="9"/>
                <w:sz w:val="20"/>
                <w:szCs w:val="20"/>
              </w:rPr>
              <w:t>质，使之变成可供生物生长繁殖的能量，是水生生态系统中的基本环节。</w:t>
            </w:r>
          </w:p>
          <w:p>
            <w:pPr>
              <w:spacing w:before="3" w:line="363" w:lineRule="auto"/>
              <w:ind w:left="107" w:right="34" w:firstLine="418"/>
              <w:rPr>
                <w:rFonts w:ascii="宋体" w:hAnsi="宋体" w:eastAsia="宋体" w:cs="宋体"/>
                <w:sz w:val="20"/>
                <w:szCs w:val="20"/>
              </w:rPr>
            </w:pPr>
            <w:r>
              <w:rPr>
                <w:rFonts w:ascii="宋体" w:hAnsi="宋体" w:eastAsia="宋体" w:cs="宋体"/>
                <w:spacing w:val="10"/>
                <w:sz w:val="20"/>
                <w:szCs w:val="20"/>
              </w:rPr>
              <w:t>根</w:t>
            </w:r>
            <w:r>
              <w:rPr>
                <w:rFonts w:ascii="宋体" w:hAnsi="宋体" w:eastAsia="宋体" w:cs="宋体"/>
                <w:spacing w:val="7"/>
                <w:sz w:val="20"/>
                <w:szCs w:val="20"/>
              </w:rPr>
              <w:t>据调查，本次调查区域内，无大面积水生维管束植物。仅有被子植物中的喜旱莲子</w:t>
            </w:r>
            <w:r>
              <w:rPr>
                <w:rFonts w:ascii="宋体" w:hAnsi="宋体" w:eastAsia="宋体" w:cs="宋体"/>
                <w:sz w:val="20"/>
                <w:szCs w:val="20"/>
              </w:rPr>
              <w:t xml:space="preserve"> </w:t>
            </w:r>
            <w:r>
              <w:rPr>
                <w:rFonts w:ascii="宋体" w:hAnsi="宋体" w:eastAsia="宋体" w:cs="宋体"/>
                <w:spacing w:val="6"/>
                <w:sz w:val="20"/>
                <w:szCs w:val="20"/>
              </w:rPr>
              <w:t>草(</w:t>
            </w:r>
            <w:r>
              <w:rPr>
                <w:rFonts w:ascii="Times New Roman" w:hAnsi="Times New Roman" w:eastAsia="Times New Roman" w:cs="Times New Roman"/>
                <w:sz w:val="20"/>
                <w:szCs w:val="20"/>
              </w:rPr>
              <w:t>Alternanthera</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z w:val="20"/>
                <w:szCs w:val="20"/>
              </w:rPr>
              <w:t>philoxeroides</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)、水蓼(</w:t>
            </w:r>
            <w:r>
              <w:rPr>
                <w:rFonts w:ascii="Times New Roman" w:hAnsi="Times New Roman" w:eastAsia="Times New Roman" w:cs="Times New Roman"/>
                <w:sz w:val="20"/>
                <w:szCs w:val="20"/>
              </w:rPr>
              <w:t>Polygonum</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z w:val="20"/>
                <w:szCs w:val="20"/>
              </w:rPr>
              <w:t>hydropiper</w:t>
            </w:r>
            <w:r>
              <w:rPr>
                <w:rFonts w:ascii="宋体" w:hAnsi="宋体" w:eastAsia="宋体" w:cs="宋体"/>
                <w:spacing w:val="6"/>
                <w:sz w:val="20"/>
                <w:szCs w:val="20"/>
              </w:rPr>
              <w:t>)、小叶狸藻</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Utricularia</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z w:val="20"/>
                <w:szCs w:val="20"/>
              </w:rPr>
              <w:t>gibba</w:t>
            </w:r>
            <w:r>
              <w:rPr>
                <w:rFonts w:ascii="Times New Roman" w:hAnsi="Times New Roman" w:eastAsia="Times New Roman" w:cs="Times New Roman"/>
                <w:spacing w:val="6"/>
                <w:sz w:val="20"/>
                <w:szCs w:val="20"/>
              </w:rPr>
              <w:t>)</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20"/>
                <w:sz w:val="20"/>
                <w:szCs w:val="20"/>
              </w:rPr>
              <w:t>水</w:t>
            </w:r>
            <w:r>
              <w:rPr>
                <w:rFonts w:ascii="宋体" w:hAnsi="宋体" w:eastAsia="宋体" w:cs="宋体"/>
                <w:spacing w:val="16"/>
                <w:sz w:val="20"/>
                <w:szCs w:val="20"/>
              </w:rPr>
              <w:t>葱</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Scirpus</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prostrata</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、牛毛毡</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Eleocharisyokoscensis</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、眼子菜</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Potamogoton</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distinctus</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w:t>
            </w:r>
            <w:r>
              <w:rPr>
                <w:rFonts w:ascii="宋体" w:hAnsi="宋体" w:eastAsia="宋体" w:cs="宋体"/>
                <w:sz w:val="20"/>
                <w:szCs w:val="20"/>
              </w:rPr>
              <w:t xml:space="preserve"> </w:t>
            </w:r>
            <w:r>
              <w:rPr>
                <w:rFonts w:ascii="宋体" w:hAnsi="宋体" w:eastAsia="宋体" w:cs="宋体"/>
                <w:spacing w:val="15"/>
                <w:sz w:val="20"/>
                <w:szCs w:val="20"/>
              </w:rPr>
              <w:t>篦</w:t>
            </w:r>
            <w:r>
              <w:rPr>
                <w:rFonts w:ascii="宋体" w:hAnsi="宋体" w:eastAsia="宋体" w:cs="宋体"/>
                <w:spacing w:val="9"/>
                <w:sz w:val="20"/>
                <w:szCs w:val="20"/>
              </w:rPr>
              <w:t>齿眼子菜</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P</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pectinatus</w:t>
            </w:r>
            <w:r>
              <w:rPr>
                <w:rFonts w:ascii="Times New Roman" w:hAnsi="Times New Roman" w:eastAsia="Times New Roman" w:cs="Times New Roman"/>
                <w:spacing w:val="9"/>
                <w:sz w:val="20"/>
                <w:szCs w:val="20"/>
              </w:rPr>
              <w:t>)</w:t>
            </w:r>
            <w:r>
              <w:rPr>
                <w:rFonts w:ascii="宋体" w:hAnsi="宋体" w:eastAsia="宋体" w:cs="宋体"/>
                <w:spacing w:val="9"/>
                <w:sz w:val="20"/>
                <w:szCs w:val="20"/>
              </w:rPr>
              <w:t>等在州河河岸分布较多，比较茂密。</w:t>
            </w:r>
          </w:p>
          <w:p>
            <w:pPr>
              <w:spacing w:before="22" w:line="228" w:lineRule="auto"/>
              <w:ind w:left="588"/>
              <w:rPr>
                <w:rFonts w:ascii="宋体" w:hAnsi="宋体" w:eastAsia="宋体" w:cs="宋体"/>
                <w:sz w:val="20"/>
                <w:szCs w:val="20"/>
              </w:rPr>
            </w:pPr>
            <w:r>
              <w:rPr>
                <w:rFonts w:ascii="宋体" w:hAnsi="宋体" w:eastAsia="宋体" w:cs="宋体"/>
                <w:spacing w:val="7"/>
                <w:sz w:val="17"/>
                <w:szCs w:val="17"/>
              </w:rPr>
              <w:t>5</w:t>
            </w:r>
            <w:r>
              <w:rPr>
                <w:rFonts w:ascii="宋体" w:hAnsi="宋体" w:eastAsia="宋体" w:cs="宋体"/>
                <w:spacing w:val="4"/>
                <w:sz w:val="17"/>
                <w:szCs w:val="17"/>
              </w:rPr>
              <w:t xml:space="preserve">   </w:t>
            </w:r>
            <w:r>
              <w:rPr>
                <w:rFonts w:ascii="宋体" w:hAnsi="宋体" w:eastAsia="宋体" w:cs="宋体"/>
                <w:spacing w:val="4"/>
                <w:sz w:val="20"/>
                <w:szCs w:val="20"/>
              </w:rPr>
              <w:t>鱼类</w:t>
            </w:r>
          </w:p>
          <w:p>
            <w:pPr>
              <w:spacing w:before="116" w:line="281" w:lineRule="exact"/>
              <w:ind w:left="541"/>
              <w:rPr>
                <w:rFonts w:ascii="宋体" w:hAnsi="宋体" w:eastAsia="宋体" w:cs="宋体"/>
                <w:sz w:val="20"/>
                <w:szCs w:val="20"/>
              </w:rPr>
            </w:pPr>
            <w:r>
              <w:rPr>
                <w:rFonts w:ascii="Times New Roman" w:hAnsi="Times New Roman" w:eastAsia="Times New Roman" w:cs="Times New Roman"/>
                <w:spacing w:val="3"/>
                <w:position w:val="2"/>
                <w:sz w:val="20"/>
                <w:szCs w:val="20"/>
              </w:rPr>
              <w:t xml:space="preserve">1)     </w:t>
            </w:r>
            <w:r>
              <w:rPr>
                <w:rFonts w:ascii="宋体" w:hAnsi="宋体" w:eastAsia="宋体" w:cs="宋体"/>
                <w:spacing w:val="3"/>
                <w:position w:val="2"/>
                <w:sz w:val="20"/>
                <w:szCs w:val="20"/>
              </w:rPr>
              <w:t>鱼类资源现</w:t>
            </w:r>
            <w:r>
              <w:rPr>
                <w:rFonts w:ascii="宋体" w:hAnsi="宋体" w:eastAsia="宋体" w:cs="宋体"/>
                <w:position w:val="2"/>
                <w:sz w:val="20"/>
                <w:szCs w:val="20"/>
              </w:rPr>
              <w:t>状</w:t>
            </w:r>
          </w:p>
          <w:p>
            <w:pPr>
              <w:spacing w:before="158" w:line="369" w:lineRule="auto"/>
              <w:ind w:left="105" w:right="105" w:firstLine="420"/>
              <w:rPr>
                <w:rFonts w:ascii="宋体" w:hAnsi="宋体" w:eastAsia="宋体" w:cs="宋体"/>
                <w:sz w:val="20"/>
                <w:szCs w:val="20"/>
              </w:rPr>
            </w:pPr>
            <w:r>
              <w:rPr>
                <w:rFonts w:ascii="宋体" w:hAnsi="宋体" w:eastAsia="宋体" w:cs="宋体"/>
                <w:spacing w:val="4"/>
                <w:sz w:val="20"/>
                <w:szCs w:val="20"/>
              </w:rPr>
              <w:t xml:space="preserve">州河有 </w:t>
            </w:r>
            <w:r>
              <w:rPr>
                <w:rFonts w:ascii="Times New Roman" w:hAnsi="Times New Roman" w:eastAsia="Times New Roman" w:cs="Times New Roman"/>
                <w:spacing w:val="4"/>
                <w:sz w:val="20"/>
                <w:szCs w:val="20"/>
              </w:rPr>
              <w:t xml:space="preserve">73 </w:t>
            </w:r>
            <w:r>
              <w:rPr>
                <w:rFonts w:ascii="宋体" w:hAnsi="宋体" w:eastAsia="宋体" w:cs="宋体"/>
                <w:spacing w:val="4"/>
                <w:sz w:val="20"/>
                <w:szCs w:val="20"/>
              </w:rPr>
              <w:t xml:space="preserve">种鱼类，其中 </w:t>
            </w:r>
            <w:r>
              <w:rPr>
                <w:rFonts w:ascii="Times New Roman" w:hAnsi="Times New Roman" w:eastAsia="Times New Roman" w:cs="Times New Roman"/>
                <w:spacing w:val="4"/>
                <w:sz w:val="20"/>
                <w:szCs w:val="20"/>
              </w:rPr>
              <w:t xml:space="preserve">30 </w:t>
            </w:r>
            <w:r>
              <w:rPr>
                <w:rFonts w:ascii="宋体" w:hAnsi="宋体" w:eastAsia="宋体" w:cs="宋体"/>
                <w:spacing w:val="4"/>
                <w:sz w:val="20"/>
                <w:szCs w:val="20"/>
              </w:rPr>
              <w:t>多种为重要的经济鱼类，在主产量中占有较大比例，</w:t>
            </w:r>
            <w:r>
              <w:rPr>
                <w:rFonts w:ascii="宋体" w:hAnsi="宋体" w:eastAsia="宋体" w:cs="宋体"/>
                <w:spacing w:val="1"/>
                <w:sz w:val="20"/>
                <w:szCs w:val="20"/>
              </w:rPr>
              <w:t>为</w:t>
            </w:r>
            <w:r>
              <w:rPr>
                <w:rFonts w:ascii="宋体" w:hAnsi="宋体" w:eastAsia="宋体" w:cs="宋体"/>
                <w:sz w:val="20"/>
                <w:szCs w:val="20"/>
              </w:rPr>
              <w:t xml:space="preserve">主 </w:t>
            </w:r>
            <w:r>
              <w:rPr>
                <w:rFonts w:ascii="宋体" w:hAnsi="宋体" w:eastAsia="宋体" w:cs="宋体"/>
                <w:spacing w:val="14"/>
                <w:sz w:val="20"/>
                <w:szCs w:val="20"/>
              </w:rPr>
              <w:t>要</w:t>
            </w:r>
            <w:r>
              <w:rPr>
                <w:rFonts w:ascii="宋体" w:hAnsi="宋体" w:eastAsia="宋体" w:cs="宋体"/>
                <w:spacing w:val="9"/>
                <w:sz w:val="20"/>
                <w:szCs w:val="20"/>
              </w:rPr>
              <w:t>捕</w:t>
            </w:r>
            <w:r>
              <w:rPr>
                <w:rFonts w:ascii="宋体" w:hAnsi="宋体" w:eastAsia="宋体" w:cs="宋体"/>
                <w:spacing w:val="7"/>
                <w:sz w:val="20"/>
                <w:szCs w:val="20"/>
              </w:rPr>
              <w:t>捞对象。本次调查使用的工具主要采用刺网、手撒网和地笼网，调查期间收集的渔获</w:t>
            </w:r>
            <w:r>
              <w:rPr>
                <w:rFonts w:ascii="宋体" w:hAnsi="宋体" w:eastAsia="宋体" w:cs="宋体"/>
                <w:sz w:val="20"/>
                <w:szCs w:val="20"/>
              </w:rPr>
              <w:t xml:space="preserve"> </w:t>
            </w:r>
            <w:r>
              <w:rPr>
                <w:rFonts w:ascii="宋体" w:hAnsi="宋体" w:eastAsia="宋体" w:cs="宋体"/>
                <w:spacing w:val="2"/>
                <w:sz w:val="20"/>
                <w:szCs w:val="20"/>
              </w:rPr>
              <w:t xml:space="preserve">物包括 </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 xml:space="preserve">目 </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 xml:space="preserve">科 </w:t>
            </w:r>
            <w:r>
              <w:rPr>
                <w:rFonts w:ascii="Times New Roman" w:hAnsi="Times New Roman" w:eastAsia="Times New Roman" w:cs="Times New Roman"/>
                <w:spacing w:val="2"/>
                <w:sz w:val="20"/>
                <w:szCs w:val="20"/>
              </w:rPr>
              <w:t xml:space="preserve">16 </w:t>
            </w:r>
            <w:r>
              <w:rPr>
                <w:rFonts w:ascii="宋体" w:hAnsi="宋体" w:eastAsia="宋体" w:cs="宋体"/>
                <w:spacing w:val="2"/>
                <w:sz w:val="20"/>
                <w:szCs w:val="20"/>
              </w:rPr>
              <w:t xml:space="preserve">属 </w:t>
            </w:r>
            <w:r>
              <w:rPr>
                <w:rFonts w:ascii="Times New Roman" w:hAnsi="Times New Roman" w:eastAsia="Times New Roman" w:cs="Times New Roman"/>
                <w:spacing w:val="2"/>
                <w:sz w:val="20"/>
                <w:szCs w:val="20"/>
              </w:rPr>
              <w:t xml:space="preserve">22 </w:t>
            </w:r>
            <w:r>
              <w:rPr>
                <w:rFonts w:ascii="宋体" w:hAnsi="宋体" w:eastAsia="宋体" w:cs="宋体"/>
                <w:spacing w:val="2"/>
                <w:sz w:val="20"/>
                <w:szCs w:val="20"/>
              </w:rPr>
              <w:t>种，主要有厚颌鲂、鲢、鳙、吻</w:t>
            </w:r>
            <w:r>
              <w:rPr>
                <w:rFonts w:ascii="宋体" w:hAnsi="宋体" w:eastAsia="宋体" w:cs="宋体"/>
                <w:spacing w:val="1"/>
                <w:sz w:val="20"/>
                <w:szCs w:val="20"/>
              </w:rPr>
              <w:t>鮈、黄颡鱼、光泽黄颡鱼、翘嘴</w:t>
            </w:r>
          </w:p>
          <w:p>
            <w:pPr>
              <w:spacing w:before="1" w:line="231" w:lineRule="auto"/>
              <w:ind w:left="110"/>
              <w:rPr>
                <w:rFonts w:ascii="宋体" w:hAnsi="宋体" w:eastAsia="宋体" w:cs="宋体"/>
                <w:sz w:val="20"/>
                <w:szCs w:val="20"/>
              </w:rPr>
            </w:pPr>
            <w:r>
              <w:rPr>
                <w:rFonts w:ascii="宋体" w:hAnsi="宋体" w:eastAsia="宋体" w:cs="宋体"/>
                <w:spacing w:val="14"/>
                <w:sz w:val="20"/>
                <w:szCs w:val="20"/>
              </w:rPr>
              <w:t>红鲌、</w:t>
            </w:r>
            <w:r>
              <w:rPr>
                <w:rFonts w:ascii="宋体" w:hAnsi="宋体" w:eastAsia="宋体" w:cs="宋体"/>
                <w:spacing w:val="9"/>
                <w:sz w:val="20"/>
                <w:szCs w:val="20"/>
              </w:rPr>
              <w:t>高</w:t>
            </w:r>
            <w:r>
              <w:rPr>
                <w:rFonts w:ascii="宋体" w:hAnsi="宋体" w:eastAsia="宋体" w:cs="宋体"/>
                <w:spacing w:val="7"/>
                <w:sz w:val="20"/>
                <w:szCs w:val="20"/>
              </w:rPr>
              <w:t>体近红鲌、黑尾近红鲌、大鳍鳠、鲫、鲤、棒花鱼、鳊、黄尾鲴、银鲴、鳜、中</w:t>
            </w:r>
          </w:p>
        </w:tc>
      </w:tr>
    </w:tbl>
    <w:p>
      <w:pPr>
        <w:spacing w:line="123" w:lineRule="exact"/>
        <w:rPr>
          <w:rFonts w:ascii="Arial"/>
          <w:sz w:val="10"/>
        </w:rPr>
      </w:pPr>
    </w:p>
    <w:p>
      <w:pPr>
        <w:sectPr>
          <w:footerReference r:id="rId63" w:type="default"/>
          <w:pgSz w:w="11906" w:h="16839"/>
          <w:pgMar w:top="400" w:right="1482" w:bottom="1475" w:left="1482" w:header="0" w:footer="1315" w:gutter="0"/>
          <w:cols w:space="720" w:num="1"/>
        </w:sectPr>
      </w:pPr>
    </w:p>
    <w:p/>
    <w:p/>
    <w:p/>
    <w:p/>
    <w:p>
      <w:pPr>
        <w:spacing w:line="221" w:lineRule="exact"/>
      </w:pPr>
    </w:p>
    <w:tbl>
      <w:tblPr>
        <w:tblStyle w:val="4"/>
        <w:tblW w:w="892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2"/>
        <w:gridCol w:w="83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1" w:hRule="atLeast"/>
        </w:trPr>
        <w:tc>
          <w:tcPr>
            <w:tcW w:w="622" w:type="dxa"/>
            <w:tcBorders>
              <w:left w:val="single" w:color="00000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65" w:line="261" w:lineRule="auto"/>
              <w:ind w:left="99" w:right="100" w:firstLine="1"/>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生态</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环境</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现状</w:t>
            </w:r>
          </w:p>
        </w:tc>
        <w:tc>
          <w:tcPr>
            <w:tcW w:w="8304" w:type="dxa"/>
            <w:tcBorders>
              <w:right w:val="single" w:color="000000" w:sz="6" w:space="0"/>
            </w:tcBorders>
            <w:vAlign w:val="top"/>
          </w:tcPr>
          <w:p>
            <w:pPr>
              <w:spacing w:before="154" w:line="401" w:lineRule="exact"/>
              <w:ind w:left="107"/>
              <w:rPr>
                <w:rFonts w:ascii="宋体" w:hAnsi="宋体" w:eastAsia="宋体" w:cs="宋体"/>
                <w:sz w:val="20"/>
                <w:szCs w:val="20"/>
              </w:rPr>
            </w:pPr>
            <w:r>
              <w:rPr>
                <w:rFonts w:ascii="宋体" w:hAnsi="宋体" w:eastAsia="宋体" w:cs="宋体"/>
                <w:spacing w:val="14"/>
                <w:position w:val="14"/>
                <w:sz w:val="20"/>
                <w:szCs w:val="20"/>
              </w:rPr>
              <w:t>华</w:t>
            </w:r>
            <w:r>
              <w:rPr>
                <w:rFonts w:ascii="宋体" w:hAnsi="宋体" w:eastAsia="宋体" w:cs="宋体"/>
                <w:spacing w:val="8"/>
                <w:position w:val="14"/>
                <w:sz w:val="20"/>
                <w:szCs w:val="20"/>
              </w:rPr>
              <w:t>倒</w:t>
            </w:r>
            <w:r>
              <w:rPr>
                <w:rFonts w:ascii="宋体" w:hAnsi="宋体" w:eastAsia="宋体" w:cs="宋体"/>
                <w:spacing w:val="7"/>
                <w:position w:val="14"/>
                <w:sz w:val="20"/>
                <w:szCs w:val="20"/>
              </w:rPr>
              <w:t>刺鲃、䱗。从渔获量的比例来看，中华倒刺鲃、黄颡鱼、大鳍鳠等中、小型经济鱼类</w:t>
            </w:r>
          </w:p>
          <w:p>
            <w:pPr>
              <w:spacing w:line="229" w:lineRule="auto"/>
              <w:ind w:left="123"/>
              <w:rPr>
                <w:rFonts w:ascii="宋体" w:hAnsi="宋体" w:eastAsia="宋体" w:cs="宋体"/>
                <w:sz w:val="20"/>
                <w:szCs w:val="20"/>
              </w:rPr>
            </w:pPr>
            <w:r>
              <w:rPr>
                <w:rFonts w:ascii="宋体" w:hAnsi="宋体" w:eastAsia="宋体" w:cs="宋体"/>
                <w:spacing w:val="4"/>
                <w:sz w:val="20"/>
                <w:szCs w:val="20"/>
              </w:rPr>
              <w:t>的比例较小</w:t>
            </w:r>
            <w:r>
              <w:rPr>
                <w:rFonts w:ascii="宋体" w:hAnsi="宋体" w:eastAsia="宋体" w:cs="宋体"/>
                <w:spacing w:val="3"/>
                <w:sz w:val="20"/>
                <w:szCs w:val="20"/>
              </w:rPr>
              <w:t>。</w:t>
            </w:r>
          </w:p>
          <w:p>
            <w:pPr>
              <w:spacing w:before="115" w:line="281" w:lineRule="exact"/>
              <w:ind w:left="522"/>
              <w:rPr>
                <w:rFonts w:ascii="宋体" w:hAnsi="宋体" w:eastAsia="宋体" w:cs="宋体"/>
                <w:sz w:val="20"/>
                <w:szCs w:val="20"/>
              </w:rPr>
            </w:pPr>
            <w:r>
              <w:rPr>
                <w:rFonts w:ascii="Times New Roman" w:hAnsi="Times New Roman" w:eastAsia="Times New Roman" w:cs="Times New Roman"/>
                <w:spacing w:val="6"/>
                <w:position w:val="2"/>
                <w:sz w:val="20"/>
                <w:szCs w:val="20"/>
              </w:rPr>
              <w:t>2</w:t>
            </w:r>
            <w:r>
              <w:rPr>
                <w:rFonts w:ascii="Times New Roman" w:hAnsi="Times New Roman" w:eastAsia="Times New Roman" w:cs="Times New Roman"/>
                <w:spacing w:val="3"/>
                <w:position w:val="2"/>
                <w:sz w:val="20"/>
                <w:szCs w:val="20"/>
              </w:rPr>
              <w:t xml:space="preserve">)     </w:t>
            </w:r>
            <w:r>
              <w:rPr>
                <w:rFonts w:ascii="宋体" w:hAnsi="宋体" w:eastAsia="宋体" w:cs="宋体"/>
                <w:spacing w:val="3"/>
                <w:position w:val="2"/>
                <w:sz w:val="20"/>
                <w:szCs w:val="20"/>
              </w:rPr>
              <w:t>调查成果</w:t>
            </w:r>
          </w:p>
          <w:p>
            <w:pPr>
              <w:spacing w:before="156" w:line="347" w:lineRule="auto"/>
              <w:ind w:left="105" w:right="102" w:firstLine="420"/>
              <w:rPr>
                <w:rFonts w:ascii="宋体" w:hAnsi="宋体" w:eastAsia="宋体" w:cs="宋体"/>
                <w:sz w:val="20"/>
                <w:szCs w:val="20"/>
              </w:rPr>
            </w:pPr>
            <w:r>
              <w:rPr>
                <w:rFonts w:ascii="宋体" w:hAnsi="宋体" w:eastAsia="宋体" w:cs="宋体"/>
                <w:spacing w:val="12"/>
                <w:sz w:val="20"/>
                <w:szCs w:val="20"/>
              </w:rPr>
              <w:t>根</w:t>
            </w:r>
            <w:r>
              <w:rPr>
                <w:rFonts w:ascii="宋体" w:hAnsi="宋体" w:eastAsia="宋体" w:cs="宋体"/>
                <w:spacing w:val="7"/>
                <w:sz w:val="20"/>
                <w:szCs w:val="20"/>
              </w:rPr>
              <w:t>据实地采集和对沿河退捕渔民的访问结果，结合《嘉陵江鱼类调查报告》《四川江</w:t>
            </w:r>
            <w:r>
              <w:rPr>
                <w:rFonts w:ascii="宋体" w:hAnsi="宋体" w:eastAsia="宋体" w:cs="宋体"/>
                <w:sz w:val="20"/>
                <w:szCs w:val="20"/>
              </w:rPr>
              <w:t xml:space="preserve"> </w:t>
            </w:r>
            <w:r>
              <w:rPr>
                <w:rFonts w:ascii="宋体" w:hAnsi="宋体" w:eastAsia="宋体" w:cs="宋体"/>
                <w:spacing w:val="9"/>
                <w:sz w:val="20"/>
                <w:szCs w:val="20"/>
              </w:rPr>
              <w:t>河</w:t>
            </w:r>
            <w:r>
              <w:rPr>
                <w:rFonts w:ascii="宋体" w:hAnsi="宋体" w:eastAsia="宋体" w:cs="宋体"/>
                <w:spacing w:val="5"/>
                <w:sz w:val="20"/>
                <w:szCs w:val="20"/>
              </w:rPr>
              <w:t xml:space="preserve">鱼类资源与利用保护》 ，结合本次调查结果分析，州河有鱼类有 </w:t>
            </w:r>
            <w:r>
              <w:rPr>
                <w:rFonts w:ascii="Times New Roman" w:hAnsi="Times New Roman" w:eastAsia="Times New Roman" w:cs="Times New Roman"/>
                <w:spacing w:val="5"/>
                <w:sz w:val="20"/>
                <w:szCs w:val="20"/>
              </w:rPr>
              <w:t xml:space="preserve">73 </w:t>
            </w:r>
            <w:r>
              <w:rPr>
                <w:rFonts w:ascii="宋体" w:hAnsi="宋体" w:eastAsia="宋体" w:cs="宋体"/>
                <w:spacing w:val="5"/>
                <w:sz w:val="20"/>
                <w:szCs w:val="20"/>
              </w:rPr>
              <w:t xml:space="preserve">种，隶属 </w:t>
            </w:r>
            <w:r>
              <w:rPr>
                <w:rFonts w:ascii="Times New Roman" w:hAnsi="Times New Roman" w:eastAsia="Times New Roman" w:cs="Times New Roman"/>
                <w:spacing w:val="5"/>
                <w:sz w:val="20"/>
                <w:szCs w:val="20"/>
              </w:rPr>
              <w:t xml:space="preserve">5  </w:t>
            </w:r>
            <w:r>
              <w:rPr>
                <w:rFonts w:ascii="宋体" w:hAnsi="宋体" w:eastAsia="宋体" w:cs="宋体"/>
                <w:spacing w:val="5"/>
                <w:sz w:val="20"/>
                <w:szCs w:val="20"/>
              </w:rPr>
              <w:t xml:space="preserve">目 </w:t>
            </w:r>
            <w:r>
              <w:rPr>
                <w:rFonts w:ascii="Times New Roman" w:hAnsi="Times New Roman" w:eastAsia="Times New Roman" w:cs="Times New Roman"/>
                <w:spacing w:val="5"/>
                <w:sz w:val="20"/>
                <w:szCs w:val="20"/>
              </w:rPr>
              <w:t>13</w:t>
            </w:r>
            <w:r>
              <w:rPr>
                <w:rFonts w:ascii="Times New Roman" w:hAnsi="Times New Roman" w:eastAsia="Times New Roman" w:cs="Times New Roman"/>
                <w:sz w:val="20"/>
                <w:szCs w:val="20"/>
              </w:rPr>
              <w:t xml:space="preserve"> </w:t>
            </w:r>
            <w:r>
              <w:rPr>
                <w:rFonts w:ascii="宋体" w:hAnsi="宋体" w:eastAsia="宋体" w:cs="宋体"/>
                <w:spacing w:val="2"/>
                <w:sz w:val="20"/>
                <w:szCs w:val="20"/>
              </w:rPr>
              <w:t xml:space="preserve">科 </w:t>
            </w:r>
            <w:r>
              <w:rPr>
                <w:rFonts w:ascii="Times New Roman" w:hAnsi="Times New Roman" w:eastAsia="Times New Roman" w:cs="Times New Roman"/>
                <w:spacing w:val="2"/>
                <w:sz w:val="20"/>
                <w:szCs w:val="20"/>
              </w:rPr>
              <w:t xml:space="preserve">53 </w:t>
            </w:r>
            <w:r>
              <w:rPr>
                <w:rFonts w:ascii="宋体" w:hAnsi="宋体" w:eastAsia="宋体" w:cs="宋体"/>
                <w:spacing w:val="2"/>
                <w:sz w:val="20"/>
                <w:szCs w:val="20"/>
              </w:rPr>
              <w:t xml:space="preserve">属。本次调查的州河工程影响河段捕获鱼类 </w:t>
            </w:r>
            <w:r>
              <w:rPr>
                <w:rFonts w:ascii="Times New Roman" w:hAnsi="Times New Roman" w:eastAsia="Times New Roman" w:cs="Times New Roman"/>
                <w:spacing w:val="2"/>
                <w:sz w:val="20"/>
                <w:szCs w:val="20"/>
              </w:rPr>
              <w:t xml:space="preserve">22 </w:t>
            </w:r>
            <w:r>
              <w:rPr>
                <w:rFonts w:ascii="宋体" w:hAnsi="宋体" w:eastAsia="宋体" w:cs="宋体"/>
                <w:spacing w:val="2"/>
                <w:sz w:val="20"/>
                <w:szCs w:val="20"/>
              </w:rPr>
              <w:t>种，分别隶属</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 xml:space="preserve">3  </w:t>
            </w:r>
            <w:r>
              <w:rPr>
                <w:rFonts w:ascii="宋体" w:hAnsi="宋体" w:eastAsia="宋体" w:cs="宋体"/>
                <w:spacing w:val="1"/>
                <w:sz w:val="20"/>
                <w:szCs w:val="20"/>
              </w:rPr>
              <w:t xml:space="preserve">目 </w:t>
            </w:r>
            <w:r>
              <w:rPr>
                <w:rFonts w:ascii="Times New Roman" w:hAnsi="Times New Roman" w:eastAsia="Times New Roman" w:cs="Times New Roman"/>
                <w:spacing w:val="1"/>
                <w:sz w:val="20"/>
                <w:szCs w:val="20"/>
              </w:rPr>
              <w:t xml:space="preserve">3 </w:t>
            </w:r>
            <w:r>
              <w:rPr>
                <w:rFonts w:ascii="宋体" w:hAnsi="宋体" w:eastAsia="宋体" w:cs="宋体"/>
                <w:spacing w:val="1"/>
                <w:sz w:val="20"/>
                <w:szCs w:val="20"/>
              </w:rPr>
              <w:t xml:space="preserve">科 </w:t>
            </w:r>
            <w:r>
              <w:rPr>
                <w:rFonts w:ascii="Times New Roman" w:hAnsi="Times New Roman" w:eastAsia="Times New Roman" w:cs="Times New Roman"/>
                <w:spacing w:val="1"/>
                <w:sz w:val="20"/>
                <w:szCs w:val="20"/>
              </w:rPr>
              <w:t xml:space="preserve">16 </w:t>
            </w:r>
            <w:r>
              <w:rPr>
                <w:rFonts w:ascii="宋体" w:hAnsi="宋体" w:eastAsia="宋体" w:cs="宋体"/>
                <w:spacing w:val="1"/>
                <w:sz w:val="20"/>
                <w:szCs w:val="20"/>
              </w:rPr>
              <w:t>属。鲤形</w:t>
            </w:r>
            <w:r>
              <w:rPr>
                <w:rFonts w:ascii="宋体" w:hAnsi="宋体" w:eastAsia="宋体" w:cs="宋体"/>
                <w:sz w:val="20"/>
                <w:szCs w:val="20"/>
              </w:rPr>
              <w:t xml:space="preserve"> </w:t>
            </w:r>
            <w:r>
              <w:rPr>
                <w:rFonts w:ascii="宋体" w:hAnsi="宋体" w:eastAsia="宋体" w:cs="宋体"/>
                <w:spacing w:val="-4"/>
                <w:sz w:val="20"/>
                <w:szCs w:val="20"/>
              </w:rPr>
              <w:t xml:space="preserve">目为主要类群，有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科 </w:t>
            </w:r>
            <w:r>
              <w:rPr>
                <w:rFonts w:ascii="Times New Roman" w:hAnsi="Times New Roman" w:eastAsia="Times New Roman" w:cs="Times New Roman"/>
                <w:spacing w:val="-2"/>
                <w:sz w:val="20"/>
                <w:szCs w:val="20"/>
              </w:rPr>
              <w:t xml:space="preserve">14 </w:t>
            </w:r>
            <w:r>
              <w:rPr>
                <w:rFonts w:ascii="宋体" w:hAnsi="宋体" w:eastAsia="宋体" w:cs="宋体"/>
                <w:spacing w:val="-2"/>
                <w:sz w:val="20"/>
                <w:szCs w:val="20"/>
              </w:rPr>
              <w:t xml:space="preserve">属 </w:t>
            </w:r>
            <w:r>
              <w:rPr>
                <w:rFonts w:ascii="Times New Roman" w:hAnsi="Times New Roman" w:eastAsia="Times New Roman" w:cs="Times New Roman"/>
                <w:spacing w:val="-2"/>
                <w:sz w:val="20"/>
                <w:szCs w:val="20"/>
              </w:rPr>
              <w:t xml:space="preserve">18 </w:t>
            </w:r>
            <w:r>
              <w:rPr>
                <w:rFonts w:ascii="宋体" w:hAnsi="宋体" w:eastAsia="宋体" w:cs="宋体"/>
                <w:spacing w:val="-2"/>
                <w:sz w:val="20"/>
                <w:szCs w:val="20"/>
              </w:rPr>
              <w:t xml:space="preserve">种， 占总种数的 </w:t>
            </w:r>
            <w:r>
              <w:rPr>
                <w:rFonts w:ascii="Times New Roman" w:hAnsi="Times New Roman" w:eastAsia="Times New Roman" w:cs="Times New Roman"/>
                <w:spacing w:val="-2"/>
                <w:sz w:val="20"/>
                <w:szCs w:val="20"/>
              </w:rPr>
              <w:t>85.72%</w:t>
            </w:r>
            <w:r>
              <w:rPr>
                <w:rFonts w:ascii="宋体" w:hAnsi="宋体" w:eastAsia="宋体" w:cs="宋体"/>
                <w:spacing w:val="-2"/>
                <w:sz w:val="20"/>
                <w:szCs w:val="20"/>
              </w:rPr>
              <w:t xml:space="preserve">；鲇形目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 xml:space="preserve">科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 xml:space="preserve">属 </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种， 占总种</w:t>
            </w:r>
            <w:r>
              <w:rPr>
                <w:rFonts w:ascii="宋体" w:hAnsi="宋体" w:eastAsia="宋体" w:cs="宋体"/>
                <w:sz w:val="20"/>
                <w:szCs w:val="20"/>
              </w:rPr>
              <w:t xml:space="preserve"> </w:t>
            </w:r>
            <w:r>
              <w:rPr>
                <w:rFonts w:ascii="宋体" w:hAnsi="宋体" w:eastAsia="宋体" w:cs="宋体"/>
                <w:spacing w:val="-6"/>
                <w:sz w:val="20"/>
                <w:szCs w:val="20"/>
              </w:rPr>
              <w:t>数</w:t>
            </w:r>
            <w:r>
              <w:rPr>
                <w:rFonts w:ascii="宋体" w:hAnsi="宋体" w:eastAsia="宋体" w:cs="宋体"/>
                <w:spacing w:val="-5"/>
                <w:sz w:val="20"/>
                <w:szCs w:val="20"/>
              </w:rPr>
              <w:t>的</w:t>
            </w:r>
            <w:r>
              <w:rPr>
                <w:rFonts w:ascii="宋体" w:hAnsi="宋体" w:eastAsia="宋体" w:cs="宋体"/>
                <w:spacing w:val="-3"/>
                <w:sz w:val="20"/>
                <w:szCs w:val="20"/>
              </w:rPr>
              <w:t xml:space="preserve"> </w:t>
            </w:r>
            <w:r>
              <w:rPr>
                <w:rFonts w:ascii="Times New Roman" w:hAnsi="Times New Roman" w:eastAsia="Times New Roman" w:cs="Times New Roman"/>
                <w:spacing w:val="-3"/>
                <w:sz w:val="20"/>
                <w:szCs w:val="20"/>
              </w:rPr>
              <w:t>9.52%</w:t>
            </w:r>
            <w:r>
              <w:rPr>
                <w:rFonts w:ascii="宋体" w:hAnsi="宋体" w:eastAsia="宋体" w:cs="宋体"/>
                <w:spacing w:val="-3"/>
                <w:sz w:val="20"/>
                <w:szCs w:val="20"/>
              </w:rPr>
              <w:t xml:space="preserve">；鲈形目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 xml:space="preserve">科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 xml:space="preserve">属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 xml:space="preserve">种， 占总种数的 </w:t>
            </w:r>
            <w:r>
              <w:rPr>
                <w:rFonts w:ascii="Times New Roman" w:hAnsi="Times New Roman" w:eastAsia="Times New Roman" w:cs="Times New Roman"/>
                <w:spacing w:val="-3"/>
                <w:sz w:val="20"/>
                <w:szCs w:val="20"/>
              </w:rPr>
              <w:t>4.76%</w:t>
            </w:r>
            <w:r>
              <w:rPr>
                <w:rFonts w:ascii="宋体" w:hAnsi="宋体" w:eastAsia="宋体" w:cs="宋体"/>
                <w:spacing w:val="-3"/>
                <w:sz w:val="20"/>
                <w:szCs w:val="20"/>
              </w:rPr>
              <w:t>。</w:t>
            </w:r>
          </w:p>
          <w:p>
            <w:pPr>
              <w:spacing w:before="97" w:line="230" w:lineRule="auto"/>
              <w:ind w:left="2655"/>
              <w:rPr>
                <w:rFonts w:ascii="黑体" w:hAnsi="黑体" w:eastAsia="黑体" w:cs="黑体"/>
                <w:sz w:val="19"/>
                <w:szCs w:val="19"/>
              </w:rPr>
            </w:pPr>
            <w:r>
              <w:rPr>
                <w:rFonts w:ascii="黑体" w:hAnsi="黑体" w:eastAsia="黑体" w:cs="黑体"/>
                <w:spacing w:val="12"/>
                <w:sz w:val="19"/>
                <w:szCs w:val="19"/>
              </w:rPr>
              <w:t>表</w:t>
            </w:r>
            <w:r>
              <w:rPr>
                <w:rFonts w:ascii="Times New Roman" w:hAnsi="Times New Roman" w:eastAsia="Times New Roman" w:cs="Times New Roman"/>
                <w:spacing w:val="7"/>
                <w:sz w:val="19"/>
                <w:szCs w:val="19"/>
              </w:rPr>
              <w:t xml:space="preserve">25    </w:t>
            </w:r>
            <w:r>
              <w:rPr>
                <w:rFonts w:ascii="黑体" w:hAnsi="黑体" w:eastAsia="黑体" w:cs="黑体"/>
                <w:spacing w:val="7"/>
                <w:sz w:val="19"/>
                <w:szCs w:val="19"/>
              </w:rPr>
              <w:t>州河调查流域渔获物组成表</w:t>
            </w:r>
          </w:p>
          <w:p>
            <w:pPr>
              <w:spacing w:line="55" w:lineRule="auto"/>
              <w:rPr>
                <w:rFonts w:ascii="Arial"/>
                <w:sz w:val="2"/>
              </w:rPr>
            </w:pPr>
          </w:p>
          <w:tbl>
            <w:tblPr>
              <w:tblStyle w:val="4"/>
              <w:tblW w:w="7863" w:type="dxa"/>
              <w:tblInd w:w="2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4"/>
              <w:gridCol w:w="864"/>
              <w:gridCol w:w="1153"/>
              <w:gridCol w:w="1059"/>
              <w:gridCol w:w="1061"/>
              <w:gridCol w:w="1119"/>
              <w:gridCol w:w="11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414" w:type="dxa"/>
                  <w:vMerge w:val="restart"/>
                  <w:tcBorders>
                    <w:bottom w:val="nil"/>
                  </w:tcBorders>
                  <w:vAlign w:val="top"/>
                </w:tcPr>
                <w:p>
                  <w:pPr>
                    <w:spacing w:line="353" w:lineRule="auto"/>
                    <w:rPr>
                      <w:rFonts w:ascii="Arial"/>
                      <w:sz w:val="21"/>
                    </w:rPr>
                  </w:pPr>
                </w:p>
                <w:p>
                  <w:pPr>
                    <w:spacing w:before="55" w:line="230" w:lineRule="auto"/>
                    <w:ind w:left="530"/>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种类</w:t>
                  </w:r>
                </w:p>
              </w:tc>
              <w:tc>
                <w:tcPr>
                  <w:tcW w:w="6449" w:type="dxa"/>
                  <w:gridSpan w:val="6"/>
                  <w:vAlign w:val="top"/>
                </w:tcPr>
                <w:p>
                  <w:pPr>
                    <w:spacing w:before="96" w:line="229" w:lineRule="auto"/>
                    <w:ind w:left="2685"/>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州河调查流域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1414" w:type="dxa"/>
                  <w:vMerge w:val="continue"/>
                  <w:tcBorders>
                    <w:top w:val="nil"/>
                  </w:tcBorders>
                  <w:vAlign w:val="top"/>
                </w:tcPr>
                <w:p>
                  <w:pPr>
                    <w:rPr>
                      <w:rFonts w:ascii="Arial"/>
                      <w:sz w:val="21"/>
                    </w:rPr>
                  </w:pPr>
                </w:p>
              </w:tc>
              <w:tc>
                <w:tcPr>
                  <w:tcW w:w="864" w:type="dxa"/>
                  <w:vAlign w:val="top"/>
                </w:tcPr>
                <w:p>
                  <w:pPr>
                    <w:spacing w:before="98" w:line="281" w:lineRule="exact"/>
                    <w:ind w:left="255"/>
                    <w:rPr>
                      <w:rFonts w:ascii="宋体" w:hAnsi="宋体" w:eastAsia="宋体" w:cs="宋体"/>
                      <w:sz w:val="17"/>
                      <w:szCs w:val="17"/>
                    </w:rPr>
                  </w:pPr>
                  <w:r>
                    <w:rPr>
                      <w:rFonts w:ascii="宋体" w:hAnsi="宋体" w:eastAsia="宋体" w:cs="宋体"/>
                      <w:spacing w:val="6"/>
                      <w:position w:val="7"/>
                      <w:sz w:val="17"/>
                      <w:szCs w:val="17"/>
                      <w14:textOutline w14:w="3268" w14:cap="sq" w14:cmpd="sng">
                        <w14:solidFill>
                          <w14:srgbClr w14:val="000000"/>
                        </w14:solidFill>
                        <w14:prstDash w14:val="solid"/>
                        <w14:bevel/>
                      </w14:textOutline>
                    </w:rPr>
                    <w:t>数</w:t>
                  </w:r>
                  <w:r>
                    <w:rPr>
                      <w:rFonts w:ascii="宋体" w:hAnsi="宋体" w:eastAsia="宋体" w:cs="宋体"/>
                      <w:spacing w:val="5"/>
                      <w:position w:val="7"/>
                      <w:sz w:val="17"/>
                      <w:szCs w:val="17"/>
                      <w14:textOutline w14:w="3268" w14:cap="sq" w14:cmpd="sng">
                        <w14:solidFill>
                          <w14:srgbClr w14:val="000000"/>
                        </w14:solidFill>
                        <w14:prstDash w14:val="solid"/>
                        <w14:bevel/>
                      </w14:textOutline>
                    </w:rPr>
                    <w:t>量</w:t>
                  </w:r>
                </w:p>
                <w:p>
                  <w:pPr>
                    <w:spacing w:line="232" w:lineRule="auto"/>
                    <w:ind w:left="172"/>
                    <w:rPr>
                      <w:rFonts w:ascii="宋体" w:hAnsi="宋体" w:eastAsia="宋体" w:cs="宋体"/>
                      <w:sz w:val="17"/>
                      <w:szCs w:val="17"/>
                    </w:rPr>
                  </w:pPr>
                  <w:r>
                    <w:rPr>
                      <w:rFonts w:ascii="宋体" w:hAnsi="宋体" w:eastAsia="宋体" w:cs="宋体"/>
                      <w:spacing w:val="30"/>
                      <w:sz w:val="17"/>
                      <w:szCs w:val="17"/>
                      <w14:textOutline w14:w="3268" w14:cap="sq" w14:cmpd="sng">
                        <w14:solidFill>
                          <w14:srgbClr w14:val="000000"/>
                        </w14:solidFill>
                        <w14:prstDash w14:val="solid"/>
                        <w14:bevel/>
                      </w14:textOutline>
                    </w:rPr>
                    <w:t>(</w:t>
                  </w:r>
                  <w:r>
                    <w:rPr>
                      <w:rFonts w:ascii="宋体" w:hAnsi="宋体" w:eastAsia="宋体" w:cs="宋体"/>
                      <w:spacing w:val="29"/>
                      <w:sz w:val="17"/>
                      <w:szCs w:val="17"/>
                      <w14:textOutline w14:w="3268" w14:cap="sq" w14:cmpd="sng">
                        <w14:solidFill>
                          <w14:srgbClr w14:val="000000"/>
                        </w14:solidFill>
                        <w14:prstDash w14:val="solid"/>
                        <w14:bevel/>
                      </w14:textOutline>
                    </w:rPr>
                    <w:t>尾)</w:t>
                  </w:r>
                </w:p>
              </w:tc>
              <w:tc>
                <w:tcPr>
                  <w:tcW w:w="1153" w:type="dxa"/>
                  <w:vAlign w:val="top"/>
                </w:tcPr>
                <w:p>
                  <w:pPr>
                    <w:spacing w:before="202" w:line="249" w:lineRule="exact"/>
                    <w:ind w:left="219"/>
                    <w:rPr>
                      <w:rFonts w:ascii="Times New Roman" w:hAnsi="Times New Roman" w:eastAsia="Times New Roman" w:cs="Times New Roman"/>
                      <w:sz w:val="17"/>
                      <w:szCs w:val="17"/>
                    </w:rPr>
                  </w:pPr>
                  <w:r>
                    <w:rPr>
                      <w:rFonts w:ascii="宋体" w:hAnsi="宋体" w:eastAsia="宋体" w:cs="宋体"/>
                      <w:spacing w:val="9"/>
                      <w:position w:val="1"/>
                      <w:sz w:val="17"/>
                      <w:szCs w:val="17"/>
                      <w14:textOutline w14:w="3268" w14:cap="sq" w14:cmpd="sng">
                        <w14:solidFill>
                          <w14:srgbClr w14:val="000000"/>
                        </w14:solidFill>
                        <w14:prstDash w14:val="solid"/>
                        <w14:bevel/>
                      </w14:textOutline>
                    </w:rPr>
                    <w:t>数</w:t>
                  </w:r>
                  <w:r>
                    <w:rPr>
                      <w:rFonts w:ascii="宋体" w:hAnsi="宋体" w:eastAsia="宋体" w:cs="宋体"/>
                      <w:spacing w:val="8"/>
                      <w:position w:val="1"/>
                      <w:sz w:val="17"/>
                      <w:szCs w:val="17"/>
                      <w14:textOutline w14:w="3268" w14:cap="sq" w14:cmpd="sng">
                        <w14:solidFill>
                          <w14:srgbClr w14:val="000000"/>
                        </w14:solidFill>
                        <w14:prstDash w14:val="solid"/>
                        <w14:bevel/>
                      </w14:textOutline>
                    </w:rPr>
                    <w:t>量比</w:t>
                  </w:r>
                  <w:r>
                    <w:rPr>
                      <w:rFonts w:ascii="Times New Roman" w:hAnsi="Times New Roman" w:eastAsia="Times New Roman" w:cs="Times New Roman"/>
                      <w:b/>
                      <w:bCs/>
                      <w:spacing w:val="8"/>
                      <w:position w:val="1"/>
                      <w:sz w:val="17"/>
                      <w:szCs w:val="17"/>
                    </w:rPr>
                    <w:t>%</w:t>
                  </w:r>
                </w:p>
              </w:tc>
              <w:tc>
                <w:tcPr>
                  <w:tcW w:w="1059" w:type="dxa"/>
                  <w:vAlign w:val="top"/>
                </w:tcPr>
                <w:p>
                  <w:pPr>
                    <w:spacing w:before="202" w:line="249" w:lineRule="exact"/>
                    <w:ind w:left="112"/>
                    <w:rPr>
                      <w:rFonts w:ascii="宋体" w:hAnsi="宋体" w:eastAsia="宋体" w:cs="宋体"/>
                      <w:sz w:val="17"/>
                      <w:szCs w:val="17"/>
                    </w:rPr>
                  </w:pPr>
                  <w:r>
                    <w:rPr>
                      <w:rFonts w:ascii="宋体" w:hAnsi="宋体" w:eastAsia="宋体" w:cs="宋体"/>
                      <w:spacing w:val="9"/>
                      <w:position w:val="2"/>
                      <w:sz w:val="17"/>
                      <w:szCs w:val="17"/>
                      <w14:textOutline w14:w="3268" w14:cap="sq" w14:cmpd="sng">
                        <w14:solidFill>
                          <w14:srgbClr w14:val="000000"/>
                        </w14:solidFill>
                        <w14:prstDash w14:val="solid"/>
                        <w14:bevel/>
                      </w14:textOutline>
                    </w:rPr>
                    <w:t>重</w:t>
                  </w:r>
                  <w:r>
                    <w:rPr>
                      <w:rFonts w:ascii="宋体" w:hAnsi="宋体" w:eastAsia="宋体" w:cs="宋体"/>
                      <w:spacing w:val="6"/>
                      <w:position w:val="2"/>
                      <w:sz w:val="17"/>
                      <w:szCs w:val="17"/>
                      <w14:textOutline w14:w="3268" w14:cap="sq" w14:cmpd="sng">
                        <w14:solidFill>
                          <w14:srgbClr w14:val="000000"/>
                        </w14:solidFill>
                        <w14:prstDash w14:val="solid"/>
                        <w14:bevel/>
                      </w14:textOutline>
                    </w:rPr>
                    <w:t>量</w:t>
                  </w:r>
                  <w:r>
                    <w:rPr>
                      <w:rFonts w:ascii="宋体" w:hAnsi="宋体" w:eastAsia="宋体" w:cs="宋体"/>
                      <w:spacing w:val="6"/>
                      <w:position w:val="2"/>
                      <w:sz w:val="17"/>
                      <w:szCs w:val="17"/>
                    </w:rPr>
                    <w:t xml:space="preserve"> </w:t>
                  </w:r>
                  <w:r>
                    <w:rPr>
                      <w:rFonts w:ascii="宋体" w:hAnsi="宋体" w:eastAsia="宋体" w:cs="宋体"/>
                      <w:spacing w:val="6"/>
                      <w:position w:val="2"/>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position w:val="2"/>
                      <w:sz w:val="17"/>
                      <w:szCs w:val="17"/>
                    </w:rPr>
                    <w:t>kg</w:t>
                  </w:r>
                  <w:r>
                    <w:rPr>
                      <w:rFonts w:ascii="宋体" w:hAnsi="宋体" w:eastAsia="宋体" w:cs="宋体"/>
                      <w:spacing w:val="6"/>
                      <w:position w:val="2"/>
                      <w:sz w:val="17"/>
                      <w:szCs w:val="17"/>
                      <w14:textOutline w14:w="3268" w14:cap="sq" w14:cmpd="sng">
                        <w14:solidFill>
                          <w14:srgbClr w14:val="000000"/>
                        </w14:solidFill>
                        <w14:prstDash w14:val="solid"/>
                        <w14:bevel/>
                      </w14:textOutline>
                    </w:rPr>
                    <w:t>)</w:t>
                  </w:r>
                </w:p>
              </w:tc>
              <w:tc>
                <w:tcPr>
                  <w:tcW w:w="1061" w:type="dxa"/>
                  <w:vAlign w:val="top"/>
                </w:tcPr>
                <w:p>
                  <w:pPr>
                    <w:spacing w:before="202" w:line="249" w:lineRule="exact"/>
                    <w:ind w:left="176"/>
                    <w:rPr>
                      <w:rFonts w:ascii="Times New Roman" w:hAnsi="Times New Roman" w:eastAsia="Times New Roman" w:cs="Times New Roman"/>
                      <w:sz w:val="17"/>
                      <w:szCs w:val="17"/>
                    </w:rPr>
                  </w:pPr>
                  <w:r>
                    <w:rPr>
                      <w:rFonts w:ascii="宋体" w:hAnsi="宋体" w:eastAsia="宋体" w:cs="宋体"/>
                      <w:spacing w:val="8"/>
                      <w:position w:val="1"/>
                      <w:sz w:val="17"/>
                      <w:szCs w:val="17"/>
                      <w14:textOutline w14:w="3268" w14:cap="sq" w14:cmpd="sng">
                        <w14:solidFill>
                          <w14:srgbClr w14:val="000000"/>
                        </w14:solidFill>
                        <w14:prstDash w14:val="solid"/>
                        <w14:bevel/>
                      </w14:textOutline>
                    </w:rPr>
                    <w:t>重量比</w:t>
                  </w:r>
                  <w:r>
                    <w:rPr>
                      <w:rFonts w:ascii="Times New Roman" w:hAnsi="Times New Roman" w:eastAsia="Times New Roman" w:cs="Times New Roman"/>
                      <w:b/>
                      <w:bCs/>
                      <w:spacing w:val="8"/>
                      <w:position w:val="1"/>
                      <w:sz w:val="17"/>
                      <w:szCs w:val="17"/>
                    </w:rPr>
                    <w:t>%</w:t>
                  </w:r>
                </w:p>
              </w:tc>
              <w:tc>
                <w:tcPr>
                  <w:tcW w:w="1119" w:type="dxa"/>
                  <w:vAlign w:val="top"/>
                </w:tcPr>
                <w:p>
                  <w:pPr>
                    <w:spacing w:before="98" w:line="231" w:lineRule="auto"/>
                    <w:ind w:left="204"/>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体长范</w:t>
                  </w:r>
                  <w:r>
                    <w:rPr>
                      <w:rFonts w:ascii="宋体" w:hAnsi="宋体" w:eastAsia="宋体" w:cs="宋体"/>
                      <w:spacing w:val="8"/>
                      <w:sz w:val="17"/>
                      <w:szCs w:val="17"/>
                      <w14:textOutline w14:w="3268" w14:cap="sq" w14:cmpd="sng">
                        <w14:solidFill>
                          <w14:srgbClr w14:val="000000"/>
                        </w14:solidFill>
                        <w14:prstDash w14:val="solid"/>
                        <w14:bevel/>
                      </w14:textOutline>
                    </w:rPr>
                    <w:t>围</w:t>
                  </w:r>
                </w:p>
                <w:p>
                  <w:pPr>
                    <w:spacing w:before="68" w:line="233" w:lineRule="auto"/>
                    <w:ind w:left="278"/>
                    <w:rPr>
                      <w:rFonts w:ascii="宋体" w:hAnsi="宋体" w:eastAsia="宋体" w:cs="宋体"/>
                      <w:sz w:val="17"/>
                      <w:szCs w:val="17"/>
                    </w:rPr>
                  </w:pPr>
                  <w:r>
                    <w:rPr>
                      <w:rFonts w:ascii="宋体" w:hAnsi="宋体" w:eastAsia="宋体" w:cs="宋体"/>
                      <w:spacing w:val="25"/>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z w:val="17"/>
                      <w:szCs w:val="17"/>
                    </w:rPr>
                    <w:t>cm</w:t>
                  </w:r>
                  <w:r>
                    <w:rPr>
                      <w:rFonts w:ascii="Times New Roman" w:hAnsi="Times New Roman" w:eastAsia="Times New Roman" w:cs="Times New Roman"/>
                      <w:spacing w:val="25"/>
                      <w:sz w:val="17"/>
                      <w:szCs w:val="17"/>
                    </w:rPr>
                    <w:t xml:space="preserve"> </w:t>
                  </w:r>
                  <w:r>
                    <w:rPr>
                      <w:rFonts w:ascii="宋体" w:hAnsi="宋体" w:eastAsia="宋体" w:cs="宋体"/>
                      <w:spacing w:val="25"/>
                      <w:sz w:val="17"/>
                      <w:szCs w:val="17"/>
                      <w14:textOutline w14:w="3268" w14:cap="sq" w14:cmpd="sng">
                        <w14:solidFill>
                          <w14:srgbClr w14:val="000000"/>
                        </w14:solidFill>
                        <w14:prstDash w14:val="solid"/>
                        <w14:bevel/>
                      </w14:textOutline>
                    </w:rPr>
                    <w:t>)</w:t>
                  </w:r>
                </w:p>
              </w:tc>
              <w:tc>
                <w:tcPr>
                  <w:tcW w:w="1193" w:type="dxa"/>
                  <w:vAlign w:val="top"/>
                </w:tcPr>
                <w:p>
                  <w:pPr>
                    <w:spacing w:before="98" w:line="231" w:lineRule="auto"/>
                    <w:ind w:left="238"/>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平均体长</w:t>
                  </w:r>
                </w:p>
                <w:p>
                  <w:pPr>
                    <w:spacing w:before="68" w:line="233" w:lineRule="auto"/>
                    <w:ind w:left="316"/>
                    <w:rPr>
                      <w:rFonts w:ascii="宋体" w:hAnsi="宋体" w:eastAsia="宋体" w:cs="宋体"/>
                      <w:sz w:val="17"/>
                      <w:szCs w:val="17"/>
                    </w:rPr>
                  </w:pPr>
                  <w:r>
                    <w:rPr>
                      <w:rFonts w:ascii="宋体" w:hAnsi="宋体" w:eastAsia="宋体" w:cs="宋体"/>
                      <w:spacing w:val="45"/>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z w:val="17"/>
                      <w:szCs w:val="17"/>
                    </w:rPr>
                    <w:t>cm</w:t>
                  </w:r>
                  <w:r>
                    <w:rPr>
                      <w:rFonts w:ascii="宋体" w:hAnsi="宋体" w:eastAsia="宋体" w:cs="宋体"/>
                      <w:spacing w:val="45"/>
                      <w:sz w:val="17"/>
                      <w:szCs w:val="17"/>
                      <w14:textOutline w14:w="3268"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414" w:type="dxa"/>
                  <w:vAlign w:val="top"/>
                </w:tcPr>
                <w:p>
                  <w:pPr>
                    <w:spacing w:before="92" w:line="231" w:lineRule="auto"/>
                    <w:ind w:left="445"/>
                    <w:rPr>
                      <w:rFonts w:ascii="宋体" w:hAnsi="宋体" w:eastAsia="宋体" w:cs="宋体"/>
                      <w:sz w:val="17"/>
                      <w:szCs w:val="17"/>
                    </w:rPr>
                  </w:pPr>
                  <w:r>
                    <w:rPr>
                      <w:rFonts w:ascii="宋体" w:hAnsi="宋体" w:eastAsia="宋体" w:cs="宋体"/>
                      <w:spacing w:val="6"/>
                      <w:sz w:val="17"/>
                      <w:szCs w:val="17"/>
                    </w:rPr>
                    <w:t>厚颌鲂</w:t>
                  </w:r>
                </w:p>
              </w:tc>
              <w:tc>
                <w:tcPr>
                  <w:tcW w:w="864" w:type="dxa"/>
                  <w:vAlign w:val="top"/>
                </w:tcPr>
                <w:p>
                  <w:pPr>
                    <w:spacing w:before="123" w:line="197" w:lineRule="auto"/>
                    <w:ind w:left="34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7</w:t>
                  </w:r>
                </w:p>
              </w:tc>
              <w:tc>
                <w:tcPr>
                  <w:tcW w:w="1153" w:type="dxa"/>
                  <w:vAlign w:val="top"/>
                </w:tcPr>
                <w:p>
                  <w:pPr>
                    <w:spacing w:before="60" w:line="242" w:lineRule="exact"/>
                    <w:ind w:left="302"/>
                    <w:rPr>
                      <w:rFonts w:ascii="Times New Roman" w:hAnsi="Times New Roman" w:eastAsia="Times New Roman" w:cs="Times New Roman"/>
                      <w:sz w:val="17"/>
                      <w:szCs w:val="17"/>
                    </w:rPr>
                  </w:pPr>
                  <w:r>
                    <w:rPr>
                      <w:rFonts w:ascii="Times New Roman" w:hAnsi="Times New Roman" w:eastAsia="Times New Roman" w:cs="Times New Roman"/>
                      <w:spacing w:val="4"/>
                      <w:position w:val="2"/>
                      <w:sz w:val="17"/>
                      <w:szCs w:val="17"/>
                    </w:rPr>
                    <w:t>35.64%</w:t>
                  </w:r>
                </w:p>
              </w:tc>
              <w:tc>
                <w:tcPr>
                  <w:tcW w:w="1059" w:type="dxa"/>
                  <w:vAlign w:val="top"/>
                </w:tcPr>
                <w:p>
                  <w:pPr>
                    <w:spacing w:before="123" w:line="197" w:lineRule="auto"/>
                    <w:ind w:left="33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56.90</w:t>
                  </w:r>
                </w:p>
              </w:tc>
              <w:tc>
                <w:tcPr>
                  <w:tcW w:w="1061" w:type="dxa"/>
                  <w:vAlign w:val="top"/>
                </w:tcPr>
                <w:p>
                  <w:pPr>
                    <w:spacing w:before="60" w:line="242" w:lineRule="exact"/>
                    <w:ind w:left="253"/>
                    <w:rPr>
                      <w:rFonts w:ascii="Times New Roman" w:hAnsi="Times New Roman" w:eastAsia="Times New Roman" w:cs="Times New Roman"/>
                      <w:sz w:val="17"/>
                      <w:szCs w:val="17"/>
                    </w:rPr>
                  </w:pPr>
                  <w:r>
                    <w:rPr>
                      <w:rFonts w:ascii="Times New Roman" w:hAnsi="Times New Roman" w:eastAsia="Times New Roman" w:cs="Times New Roman"/>
                      <w:spacing w:val="7"/>
                      <w:position w:val="2"/>
                      <w:sz w:val="17"/>
                      <w:szCs w:val="17"/>
                    </w:rPr>
                    <w:t>2</w:t>
                  </w:r>
                  <w:r>
                    <w:rPr>
                      <w:rFonts w:ascii="Times New Roman" w:hAnsi="Times New Roman" w:eastAsia="Times New Roman" w:cs="Times New Roman"/>
                      <w:spacing w:val="4"/>
                      <w:position w:val="2"/>
                      <w:sz w:val="17"/>
                      <w:szCs w:val="17"/>
                    </w:rPr>
                    <w:t>9.74%</w:t>
                  </w:r>
                </w:p>
              </w:tc>
              <w:tc>
                <w:tcPr>
                  <w:tcW w:w="1119" w:type="dxa"/>
                  <w:vAlign w:val="top"/>
                </w:tcPr>
                <w:p>
                  <w:pPr>
                    <w:spacing w:before="123" w:line="197" w:lineRule="auto"/>
                    <w:ind w:left="20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34.8~42.6</w:t>
                  </w:r>
                </w:p>
              </w:tc>
              <w:tc>
                <w:tcPr>
                  <w:tcW w:w="1193" w:type="dxa"/>
                  <w:vAlign w:val="top"/>
                </w:tcPr>
                <w:p>
                  <w:pPr>
                    <w:spacing w:before="123" w:line="197" w:lineRule="auto"/>
                    <w:ind w:left="44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2"/>
                      <w:sz w:val="17"/>
                      <w:szCs w:val="17"/>
                    </w:rPr>
                    <w:t>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414" w:type="dxa"/>
                  <w:vAlign w:val="top"/>
                </w:tcPr>
                <w:p>
                  <w:pPr>
                    <w:spacing w:before="95" w:line="235" w:lineRule="auto"/>
                    <w:ind w:left="621"/>
                    <w:rPr>
                      <w:rFonts w:ascii="宋体" w:hAnsi="宋体" w:eastAsia="宋体" w:cs="宋体"/>
                      <w:sz w:val="17"/>
                      <w:szCs w:val="17"/>
                    </w:rPr>
                  </w:pPr>
                  <w:r>
                    <w:rPr>
                      <w:rFonts w:ascii="宋体" w:hAnsi="宋体" w:eastAsia="宋体" w:cs="宋体"/>
                      <w:spacing w:val="2"/>
                      <w:sz w:val="17"/>
                      <w:szCs w:val="17"/>
                    </w:rPr>
                    <w:t>鲢</w:t>
                  </w:r>
                </w:p>
              </w:tc>
              <w:tc>
                <w:tcPr>
                  <w:tcW w:w="864" w:type="dxa"/>
                  <w:vAlign w:val="top"/>
                </w:tcPr>
                <w:p>
                  <w:pPr>
                    <w:spacing w:before="123" w:line="197" w:lineRule="auto"/>
                    <w:ind w:left="34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3</w:t>
                  </w:r>
                </w:p>
              </w:tc>
              <w:tc>
                <w:tcPr>
                  <w:tcW w:w="1153" w:type="dxa"/>
                  <w:vAlign w:val="top"/>
                </w:tcPr>
                <w:p>
                  <w:pPr>
                    <w:spacing w:before="60" w:line="242" w:lineRule="exact"/>
                    <w:ind w:left="316"/>
                    <w:rPr>
                      <w:rFonts w:ascii="Times New Roman" w:hAnsi="Times New Roman" w:eastAsia="Times New Roman" w:cs="Times New Roman"/>
                      <w:sz w:val="17"/>
                      <w:szCs w:val="17"/>
                    </w:rPr>
                  </w:pPr>
                  <w:r>
                    <w:rPr>
                      <w:rFonts w:ascii="Times New Roman" w:hAnsi="Times New Roman" w:eastAsia="Times New Roman" w:cs="Times New Roman"/>
                      <w:spacing w:val="2"/>
                      <w:position w:val="2"/>
                      <w:sz w:val="17"/>
                      <w:szCs w:val="17"/>
                    </w:rPr>
                    <w:t>12.2</w:t>
                  </w:r>
                  <w:r>
                    <w:rPr>
                      <w:rFonts w:ascii="Times New Roman" w:hAnsi="Times New Roman" w:eastAsia="Times New Roman" w:cs="Times New Roman"/>
                      <w:spacing w:val="1"/>
                      <w:position w:val="2"/>
                      <w:sz w:val="17"/>
                      <w:szCs w:val="17"/>
                    </w:rPr>
                    <w:t>3%</w:t>
                  </w:r>
                </w:p>
              </w:tc>
              <w:tc>
                <w:tcPr>
                  <w:tcW w:w="1059" w:type="dxa"/>
                  <w:vAlign w:val="top"/>
                </w:tcPr>
                <w:p>
                  <w:pPr>
                    <w:spacing w:before="123" w:line="197" w:lineRule="auto"/>
                    <w:ind w:left="32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7</w:t>
                  </w:r>
                  <w:r>
                    <w:rPr>
                      <w:rFonts w:ascii="Times New Roman" w:hAnsi="Times New Roman" w:eastAsia="Times New Roman" w:cs="Times New Roman"/>
                      <w:spacing w:val="3"/>
                      <w:sz w:val="17"/>
                      <w:szCs w:val="17"/>
                    </w:rPr>
                    <w:t>8.20</w:t>
                  </w:r>
                </w:p>
              </w:tc>
              <w:tc>
                <w:tcPr>
                  <w:tcW w:w="1061" w:type="dxa"/>
                  <w:vAlign w:val="top"/>
                </w:tcPr>
                <w:p>
                  <w:pPr>
                    <w:spacing w:before="60" w:line="242" w:lineRule="exact"/>
                    <w:ind w:left="253"/>
                    <w:rPr>
                      <w:rFonts w:ascii="Times New Roman" w:hAnsi="Times New Roman" w:eastAsia="Times New Roman" w:cs="Times New Roman"/>
                      <w:sz w:val="17"/>
                      <w:szCs w:val="17"/>
                    </w:rPr>
                  </w:pPr>
                  <w:r>
                    <w:rPr>
                      <w:rFonts w:ascii="Times New Roman" w:hAnsi="Times New Roman" w:eastAsia="Times New Roman" w:cs="Times New Roman"/>
                      <w:spacing w:val="8"/>
                      <w:position w:val="2"/>
                      <w:sz w:val="17"/>
                      <w:szCs w:val="17"/>
                    </w:rPr>
                    <w:t>4</w:t>
                  </w:r>
                  <w:r>
                    <w:rPr>
                      <w:rFonts w:ascii="Times New Roman" w:hAnsi="Times New Roman" w:eastAsia="Times New Roman" w:cs="Times New Roman"/>
                      <w:spacing w:val="4"/>
                      <w:position w:val="2"/>
                      <w:sz w:val="17"/>
                      <w:szCs w:val="17"/>
                    </w:rPr>
                    <w:t>0.88%</w:t>
                  </w:r>
                </w:p>
              </w:tc>
              <w:tc>
                <w:tcPr>
                  <w:tcW w:w="1119" w:type="dxa"/>
                  <w:vAlign w:val="top"/>
                </w:tcPr>
                <w:p>
                  <w:pPr>
                    <w:spacing w:before="124" w:line="197" w:lineRule="auto"/>
                    <w:ind w:left="20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55. 1~83.4</w:t>
                  </w:r>
                </w:p>
              </w:tc>
              <w:tc>
                <w:tcPr>
                  <w:tcW w:w="1193" w:type="dxa"/>
                  <w:vAlign w:val="top"/>
                </w:tcPr>
                <w:p>
                  <w:pPr>
                    <w:spacing w:before="124" w:line="197" w:lineRule="auto"/>
                    <w:ind w:left="44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6</w:t>
                  </w:r>
                  <w:r>
                    <w:rPr>
                      <w:rFonts w:ascii="Times New Roman" w:hAnsi="Times New Roman" w:eastAsia="Times New Roman" w:cs="Times New Roman"/>
                      <w:spacing w:val="2"/>
                      <w:sz w:val="17"/>
                      <w:szCs w:val="17"/>
                    </w:rPr>
                    <w:t>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414" w:type="dxa"/>
                  <w:vAlign w:val="top"/>
                </w:tcPr>
                <w:p>
                  <w:pPr>
                    <w:spacing w:before="94" w:line="231" w:lineRule="auto"/>
                    <w:ind w:left="621"/>
                    <w:rPr>
                      <w:rFonts w:ascii="宋体" w:hAnsi="宋体" w:eastAsia="宋体" w:cs="宋体"/>
                      <w:sz w:val="17"/>
                      <w:szCs w:val="17"/>
                    </w:rPr>
                  </w:pPr>
                  <w:r>
                    <w:rPr>
                      <w:rFonts w:ascii="宋体" w:hAnsi="宋体" w:eastAsia="宋体" w:cs="宋体"/>
                      <w:spacing w:val="2"/>
                      <w:sz w:val="17"/>
                      <w:szCs w:val="17"/>
                    </w:rPr>
                    <w:t>鳙</w:t>
                  </w:r>
                </w:p>
              </w:tc>
              <w:tc>
                <w:tcPr>
                  <w:tcW w:w="864" w:type="dxa"/>
                  <w:vAlign w:val="top"/>
                </w:tcPr>
                <w:p>
                  <w:pPr>
                    <w:spacing w:before="127" w:line="194" w:lineRule="auto"/>
                    <w:ind w:left="390"/>
                    <w:rPr>
                      <w:rFonts w:ascii="Times New Roman" w:hAnsi="Times New Roman" w:eastAsia="Times New Roman" w:cs="Times New Roman"/>
                      <w:sz w:val="17"/>
                      <w:szCs w:val="17"/>
                    </w:rPr>
                  </w:pPr>
                  <w:r>
                    <w:rPr>
                      <w:rFonts w:ascii="Times New Roman" w:hAnsi="Times New Roman" w:eastAsia="Times New Roman" w:cs="Times New Roman"/>
                      <w:sz w:val="17"/>
                      <w:szCs w:val="17"/>
                    </w:rPr>
                    <w:t>7</w:t>
                  </w:r>
                </w:p>
              </w:tc>
              <w:tc>
                <w:tcPr>
                  <w:tcW w:w="1153" w:type="dxa"/>
                  <w:vAlign w:val="top"/>
                </w:tcPr>
                <w:p>
                  <w:pPr>
                    <w:spacing w:before="61" w:line="243" w:lineRule="exact"/>
                    <w:ind w:left="347"/>
                    <w:rPr>
                      <w:rFonts w:ascii="Times New Roman" w:hAnsi="Times New Roman" w:eastAsia="Times New Roman" w:cs="Times New Roman"/>
                      <w:sz w:val="17"/>
                      <w:szCs w:val="17"/>
                    </w:rPr>
                  </w:pPr>
                  <w:r>
                    <w:rPr>
                      <w:rFonts w:ascii="Times New Roman" w:hAnsi="Times New Roman" w:eastAsia="Times New Roman" w:cs="Times New Roman"/>
                      <w:spacing w:val="5"/>
                      <w:position w:val="2"/>
                      <w:sz w:val="17"/>
                      <w:szCs w:val="17"/>
                    </w:rPr>
                    <w:t>3</w:t>
                  </w:r>
                  <w:r>
                    <w:rPr>
                      <w:rFonts w:ascii="Times New Roman" w:hAnsi="Times New Roman" w:eastAsia="Times New Roman" w:cs="Times New Roman"/>
                      <w:spacing w:val="3"/>
                      <w:position w:val="2"/>
                      <w:sz w:val="17"/>
                      <w:szCs w:val="17"/>
                    </w:rPr>
                    <w:t>.72%</w:t>
                  </w:r>
                </w:p>
              </w:tc>
              <w:tc>
                <w:tcPr>
                  <w:tcW w:w="1059" w:type="dxa"/>
                  <w:vAlign w:val="top"/>
                </w:tcPr>
                <w:p>
                  <w:pPr>
                    <w:spacing w:before="125" w:line="200" w:lineRule="auto"/>
                    <w:ind w:left="348"/>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11.8</w:t>
                  </w:r>
                  <w:r>
                    <w:rPr>
                      <w:rFonts w:ascii="Times New Roman" w:hAnsi="Times New Roman" w:eastAsia="Times New Roman" w:cs="Times New Roman"/>
                      <w:sz w:val="17"/>
                      <w:szCs w:val="17"/>
                    </w:rPr>
                    <w:t>0</w:t>
                  </w:r>
                </w:p>
              </w:tc>
              <w:tc>
                <w:tcPr>
                  <w:tcW w:w="1061" w:type="dxa"/>
                  <w:vAlign w:val="top"/>
                </w:tcPr>
                <w:p>
                  <w:pPr>
                    <w:spacing w:before="61" w:line="243" w:lineRule="exact"/>
                    <w:ind w:left="303"/>
                    <w:rPr>
                      <w:rFonts w:ascii="Times New Roman" w:hAnsi="Times New Roman" w:eastAsia="Times New Roman" w:cs="Times New Roman"/>
                      <w:sz w:val="17"/>
                      <w:szCs w:val="17"/>
                    </w:rPr>
                  </w:pPr>
                  <w:r>
                    <w:rPr>
                      <w:rFonts w:ascii="Times New Roman" w:hAnsi="Times New Roman" w:eastAsia="Times New Roman" w:cs="Times New Roman"/>
                      <w:spacing w:val="-6"/>
                      <w:position w:val="2"/>
                      <w:sz w:val="17"/>
                      <w:szCs w:val="17"/>
                    </w:rPr>
                    <w:t>6</w:t>
                  </w:r>
                  <w:r>
                    <w:rPr>
                      <w:rFonts w:ascii="Times New Roman" w:hAnsi="Times New Roman" w:eastAsia="Times New Roman" w:cs="Times New Roman"/>
                      <w:spacing w:val="-5"/>
                      <w:position w:val="2"/>
                      <w:sz w:val="17"/>
                      <w:szCs w:val="17"/>
                    </w:rPr>
                    <w:t>.</w:t>
                  </w:r>
                  <w:r>
                    <w:rPr>
                      <w:rFonts w:ascii="Times New Roman" w:hAnsi="Times New Roman" w:eastAsia="Times New Roman" w:cs="Times New Roman"/>
                      <w:spacing w:val="-3"/>
                      <w:position w:val="2"/>
                      <w:sz w:val="17"/>
                      <w:szCs w:val="17"/>
                    </w:rPr>
                    <w:t xml:space="preserve"> 17%</w:t>
                  </w:r>
                </w:p>
              </w:tc>
              <w:tc>
                <w:tcPr>
                  <w:tcW w:w="1119" w:type="dxa"/>
                  <w:vAlign w:val="top"/>
                </w:tcPr>
                <w:p>
                  <w:pPr>
                    <w:spacing w:before="125" w:line="197" w:lineRule="auto"/>
                    <w:ind w:left="202"/>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3</w:t>
                  </w:r>
                  <w:r>
                    <w:rPr>
                      <w:rFonts w:ascii="Times New Roman" w:hAnsi="Times New Roman" w:eastAsia="Times New Roman" w:cs="Times New Roman"/>
                      <w:spacing w:val="4"/>
                      <w:sz w:val="17"/>
                      <w:szCs w:val="17"/>
                    </w:rPr>
                    <w:t>3.2~39.5</w:t>
                  </w:r>
                </w:p>
              </w:tc>
              <w:tc>
                <w:tcPr>
                  <w:tcW w:w="1193" w:type="dxa"/>
                  <w:vAlign w:val="top"/>
                </w:tcPr>
                <w:p>
                  <w:pPr>
                    <w:spacing w:before="125" w:line="197" w:lineRule="auto"/>
                    <w:ind w:left="44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414" w:type="dxa"/>
                  <w:vAlign w:val="top"/>
                </w:tcPr>
                <w:p>
                  <w:pPr>
                    <w:spacing w:before="93" w:line="232" w:lineRule="auto"/>
                    <w:ind w:left="539"/>
                    <w:rPr>
                      <w:rFonts w:ascii="宋体" w:hAnsi="宋体" w:eastAsia="宋体" w:cs="宋体"/>
                      <w:sz w:val="17"/>
                      <w:szCs w:val="17"/>
                    </w:rPr>
                  </w:pPr>
                  <w:r>
                    <w:rPr>
                      <w:rFonts w:ascii="宋体" w:hAnsi="宋体" w:eastAsia="宋体" w:cs="宋体"/>
                      <w:spacing w:val="3"/>
                      <w:sz w:val="17"/>
                      <w:szCs w:val="17"/>
                    </w:rPr>
                    <w:t>吻</w:t>
                  </w:r>
                  <w:r>
                    <w:rPr>
                      <w:rFonts w:ascii="宋体" w:hAnsi="宋体" w:eastAsia="宋体" w:cs="宋体"/>
                      <w:spacing w:val="2"/>
                      <w:sz w:val="17"/>
                      <w:szCs w:val="17"/>
                    </w:rPr>
                    <w:t>鮈</w:t>
                  </w:r>
                </w:p>
              </w:tc>
              <w:tc>
                <w:tcPr>
                  <w:tcW w:w="864" w:type="dxa"/>
                  <w:vAlign w:val="top"/>
                </w:tcPr>
                <w:p>
                  <w:pPr>
                    <w:spacing w:before="124" w:line="197" w:lineRule="auto"/>
                    <w:ind w:left="391"/>
                    <w:rPr>
                      <w:rFonts w:ascii="Times New Roman" w:hAnsi="Times New Roman" w:eastAsia="Times New Roman" w:cs="Times New Roman"/>
                      <w:sz w:val="17"/>
                      <w:szCs w:val="17"/>
                    </w:rPr>
                  </w:pPr>
                  <w:r>
                    <w:rPr>
                      <w:rFonts w:ascii="Times New Roman" w:hAnsi="Times New Roman" w:eastAsia="Times New Roman" w:cs="Times New Roman"/>
                      <w:sz w:val="17"/>
                      <w:szCs w:val="17"/>
                    </w:rPr>
                    <w:t>6</w:t>
                  </w:r>
                </w:p>
              </w:tc>
              <w:tc>
                <w:tcPr>
                  <w:tcW w:w="1153" w:type="dxa"/>
                  <w:vAlign w:val="top"/>
                </w:tcPr>
                <w:p>
                  <w:pPr>
                    <w:spacing w:before="61" w:line="242" w:lineRule="exact"/>
                    <w:ind w:left="347"/>
                    <w:rPr>
                      <w:rFonts w:ascii="Times New Roman" w:hAnsi="Times New Roman" w:eastAsia="Times New Roman" w:cs="Times New Roman"/>
                      <w:sz w:val="17"/>
                      <w:szCs w:val="17"/>
                    </w:rPr>
                  </w:pPr>
                  <w:r>
                    <w:rPr>
                      <w:rFonts w:ascii="Times New Roman" w:hAnsi="Times New Roman" w:eastAsia="Times New Roman" w:cs="Times New Roman"/>
                      <w:spacing w:val="-5"/>
                      <w:position w:val="2"/>
                      <w:sz w:val="17"/>
                      <w:szCs w:val="17"/>
                    </w:rPr>
                    <w:t>3</w:t>
                  </w:r>
                  <w:r>
                    <w:rPr>
                      <w:rFonts w:ascii="Times New Roman" w:hAnsi="Times New Roman" w:eastAsia="Times New Roman" w:cs="Times New Roman"/>
                      <w:spacing w:val="-4"/>
                      <w:position w:val="2"/>
                      <w:sz w:val="17"/>
                      <w:szCs w:val="17"/>
                    </w:rPr>
                    <w:t>. 19%</w:t>
                  </w:r>
                </w:p>
              </w:tc>
              <w:tc>
                <w:tcPr>
                  <w:tcW w:w="1059" w:type="dxa"/>
                  <w:vAlign w:val="top"/>
                </w:tcPr>
                <w:p>
                  <w:pPr>
                    <w:spacing w:before="124" w:line="197" w:lineRule="auto"/>
                    <w:ind w:left="374"/>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0.6</w:t>
                  </w:r>
                  <w:r>
                    <w:rPr>
                      <w:rFonts w:ascii="Times New Roman" w:hAnsi="Times New Roman" w:eastAsia="Times New Roman" w:cs="Times New Roman"/>
                      <w:spacing w:val="2"/>
                      <w:sz w:val="17"/>
                      <w:szCs w:val="17"/>
                    </w:rPr>
                    <w:t>3</w:t>
                  </w:r>
                </w:p>
              </w:tc>
              <w:tc>
                <w:tcPr>
                  <w:tcW w:w="1061" w:type="dxa"/>
                  <w:vAlign w:val="top"/>
                </w:tcPr>
                <w:p>
                  <w:pPr>
                    <w:spacing w:before="61" w:line="242" w:lineRule="exact"/>
                    <w:ind w:left="302"/>
                    <w:rPr>
                      <w:rFonts w:ascii="Times New Roman" w:hAnsi="Times New Roman" w:eastAsia="Times New Roman" w:cs="Times New Roman"/>
                      <w:sz w:val="17"/>
                      <w:szCs w:val="17"/>
                    </w:rPr>
                  </w:pPr>
                  <w:r>
                    <w:rPr>
                      <w:rFonts w:ascii="Times New Roman" w:hAnsi="Times New Roman" w:eastAsia="Times New Roman" w:cs="Times New Roman"/>
                      <w:spacing w:val="5"/>
                      <w:position w:val="2"/>
                      <w:sz w:val="17"/>
                      <w:szCs w:val="17"/>
                    </w:rPr>
                    <w:t>0</w:t>
                  </w:r>
                  <w:r>
                    <w:rPr>
                      <w:rFonts w:ascii="Times New Roman" w:hAnsi="Times New Roman" w:eastAsia="Times New Roman" w:cs="Times New Roman"/>
                      <w:spacing w:val="4"/>
                      <w:position w:val="2"/>
                      <w:sz w:val="17"/>
                      <w:szCs w:val="17"/>
                    </w:rPr>
                    <w:t>.33%</w:t>
                  </w:r>
                </w:p>
              </w:tc>
              <w:tc>
                <w:tcPr>
                  <w:tcW w:w="1119" w:type="dxa"/>
                  <w:vAlign w:val="top"/>
                </w:tcPr>
                <w:p>
                  <w:pPr>
                    <w:spacing w:before="124" w:line="197" w:lineRule="auto"/>
                    <w:ind w:left="198"/>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23. 1</w:t>
                  </w:r>
                  <w:r>
                    <w:rPr>
                      <w:rFonts w:ascii="Times New Roman" w:hAnsi="Times New Roman" w:eastAsia="Times New Roman" w:cs="Times New Roman"/>
                      <w:sz w:val="17"/>
                      <w:szCs w:val="17"/>
                    </w:rPr>
                    <w:t>~28.4</w:t>
                  </w:r>
                </w:p>
              </w:tc>
              <w:tc>
                <w:tcPr>
                  <w:tcW w:w="1193" w:type="dxa"/>
                  <w:vAlign w:val="top"/>
                </w:tcPr>
                <w:p>
                  <w:pPr>
                    <w:spacing w:before="124" w:line="197" w:lineRule="auto"/>
                    <w:ind w:left="4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25.</w:t>
                  </w:r>
                  <w:r>
                    <w:rPr>
                      <w:rFonts w:ascii="Times New Roman" w:hAnsi="Times New Roman" w:eastAsia="Times New Roman" w:cs="Times New Roman"/>
                      <w:spacing w:val="3"/>
                      <w:sz w:val="17"/>
                      <w:szCs w:val="17"/>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414" w:type="dxa"/>
                  <w:vAlign w:val="top"/>
                </w:tcPr>
                <w:p>
                  <w:pPr>
                    <w:spacing w:before="96" w:line="230" w:lineRule="auto"/>
                    <w:ind w:left="440"/>
                    <w:rPr>
                      <w:rFonts w:ascii="宋体" w:hAnsi="宋体" w:eastAsia="宋体" w:cs="宋体"/>
                      <w:sz w:val="17"/>
                      <w:szCs w:val="17"/>
                    </w:rPr>
                  </w:pPr>
                  <w:r>
                    <w:rPr>
                      <w:rFonts w:ascii="宋体" w:hAnsi="宋体" w:eastAsia="宋体" w:cs="宋体"/>
                      <w:spacing w:val="8"/>
                      <w:sz w:val="17"/>
                      <w:szCs w:val="17"/>
                    </w:rPr>
                    <w:t>黄颡</w:t>
                  </w:r>
                  <w:r>
                    <w:rPr>
                      <w:rFonts w:ascii="宋体" w:hAnsi="宋体" w:eastAsia="宋体" w:cs="宋体"/>
                      <w:spacing w:val="7"/>
                      <w:sz w:val="17"/>
                      <w:szCs w:val="17"/>
                    </w:rPr>
                    <w:t>鱼</w:t>
                  </w:r>
                </w:p>
              </w:tc>
              <w:tc>
                <w:tcPr>
                  <w:tcW w:w="864" w:type="dxa"/>
                  <w:vAlign w:val="top"/>
                </w:tcPr>
                <w:p>
                  <w:pPr>
                    <w:spacing w:before="124" w:line="197" w:lineRule="auto"/>
                    <w:ind w:left="391"/>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tc>
              <w:tc>
                <w:tcPr>
                  <w:tcW w:w="1153" w:type="dxa"/>
                  <w:vAlign w:val="top"/>
                </w:tcPr>
                <w:p>
                  <w:pPr>
                    <w:spacing w:before="61" w:line="242" w:lineRule="exact"/>
                    <w:ind w:left="361"/>
                    <w:rPr>
                      <w:rFonts w:ascii="Times New Roman" w:hAnsi="Times New Roman" w:eastAsia="Times New Roman" w:cs="Times New Roman"/>
                      <w:sz w:val="17"/>
                      <w:szCs w:val="17"/>
                    </w:rPr>
                  </w:pPr>
                  <w:r>
                    <w:rPr>
                      <w:rFonts w:ascii="Times New Roman" w:hAnsi="Times New Roman" w:eastAsia="Times New Roman" w:cs="Times New Roman"/>
                      <w:spacing w:val="1"/>
                      <w:position w:val="2"/>
                      <w:sz w:val="17"/>
                      <w:szCs w:val="17"/>
                    </w:rPr>
                    <w:t>1.60</w:t>
                  </w:r>
                  <w:r>
                    <w:rPr>
                      <w:rFonts w:ascii="Times New Roman" w:hAnsi="Times New Roman" w:eastAsia="Times New Roman" w:cs="Times New Roman"/>
                      <w:position w:val="2"/>
                      <w:sz w:val="17"/>
                      <w:szCs w:val="17"/>
                    </w:rPr>
                    <w:t>%</w:t>
                  </w:r>
                </w:p>
              </w:tc>
              <w:tc>
                <w:tcPr>
                  <w:tcW w:w="1059" w:type="dxa"/>
                  <w:vAlign w:val="top"/>
                </w:tcPr>
                <w:p>
                  <w:pPr>
                    <w:spacing w:before="125" w:line="197" w:lineRule="auto"/>
                    <w:ind w:left="374"/>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0.5</w:t>
                  </w:r>
                  <w:r>
                    <w:rPr>
                      <w:rFonts w:ascii="Times New Roman" w:hAnsi="Times New Roman" w:eastAsia="Times New Roman" w:cs="Times New Roman"/>
                      <w:spacing w:val="2"/>
                      <w:sz w:val="17"/>
                      <w:szCs w:val="17"/>
                    </w:rPr>
                    <w:t>8</w:t>
                  </w:r>
                </w:p>
              </w:tc>
              <w:tc>
                <w:tcPr>
                  <w:tcW w:w="1061" w:type="dxa"/>
                  <w:vAlign w:val="top"/>
                </w:tcPr>
                <w:p>
                  <w:pPr>
                    <w:spacing w:before="61" w:line="242" w:lineRule="exact"/>
                    <w:ind w:left="302"/>
                    <w:rPr>
                      <w:rFonts w:ascii="Times New Roman" w:hAnsi="Times New Roman" w:eastAsia="Times New Roman" w:cs="Times New Roman"/>
                      <w:sz w:val="17"/>
                      <w:szCs w:val="17"/>
                    </w:rPr>
                  </w:pPr>
                  <w:r>
                    <w:rPr>
                      <w:rFonts w:ascii="Times New Roman" w:hAnsi="Times New Roman" w:eastAsia="Times New Roman" w:cs="Times New Roman"/>
                      <w:spacing w:val="5"/>
                      <w:position w:val="2"/>
                      <w:sz w:val="17"/>
                      <w:szCs w:val="17"/>
                    </w:rPr>
                    <w:t>0</w:t>
                  </w:r>
                  <w:r>
                    <w:rPr>
                      <w:rFonts w:ascii="Times New Roman" w:hAnsi="Times New Roman" w:eastAsia="Times New Roman" w:cs="Times New Roman"/>
                      <w:spacing w:val="4"/>
                      <w:position w:val="2"/>
                      <w:sz w:val="17"/>
                      <w:szCs w:val="17"/>
                    </w:rPr>
                    <w:t>.30%</w:t>
                  </w:r>
                </w:p>
              </w:tc>
              <w:tc>
                <w:tcPr>
                  <w:tcW w:w="1119" w:type="dxa"/>
                  <w:vAlign w:val="top"/>
                </w:tcPr>
                <w:p>
                  <w:pPr>
                    <w:spacing w:before="125" w:line="197" w:lineRule="auto"/>
                    <w:ind w:left="198"/>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2</w:t>
                  </w:r>
                  <w:r>
                    <w:rPr>
                      <w:rFonts w:ascii="Times New Roman" w:hAnsi="Times New Roman" w:eastAsia="Times New Roman" w:cs="Times New Roman"/>
                      <w:spacing w:val="1"/>
                      <w:sz w:val="17"/>
                      <w:szCs w:val="17"/>
                    </w:rPr>
                    <w:t>0.2~25. 1</w:t>
                  </w:r>
                </w:p>
              </w:tc>
              <w:tc>
                <w:tcPr>
                  <w:tcW w:w="1193" w:type="dxa"/>
                  <w:vAlign w:val="top"/>
                </w:tcPr>
                <w:p>
                  <w:pPr>
                    <w:spacing w:before="125" w:line="197" w:lineRule="auto"/>
                    <w:ind w:left="44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4"/>
                      <w:sz w:val="17"/>
                      <w:szCs w:val="17"/>
                    </w:rPr>
                    <w:t>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414" w:type="dxa"/>
                  <w:vAlign w:val="top"/>
                </w:tcPr>
                <w:p>
                  <w:pPr>
                    <w:spacing w:before="95" w:line="230" w:lineRule="auto"/>
                    <w:ind w:left="263"/>
                    <w:rPr>
                      <w:rFonts w:ascii="宋体" w:hAnsi="宋体" w:eastAsia="宋体" w:cs="宋体"/>
                      <w:sz w:val="17"/>
                      <w:szCs w:val="17"/>
                    </w:rPr>
                  </w:pPr>
                  <w:r>
                    <w:rPr>
                      <w:rFonts w:ascii="宋体" w:hAnsi="宋体" w:eastAsia="宋体" w:cs="宋体"/>
                      <w:spacing w:val="9"/>
                      <w:sz w:val="17"/>
                      <w:szCs w:val="17"/>
                    </w:rPr>
                    <w:t>光</w:t>
                  </w:r>
                  <w:r>
                    <w:rPr>
                      <w:rFonts w:ascii="宋体" w:hAnsi="宋体" w:eastAsia="宋体" w:cs="宋体"/>
                      <w:spacing w:val="8"/>
                      <w:sz w:val="17"/>
                      <w:szCs w:val="17"/>
                    </w:rPr>
                    <w:t>泽黄颡鱼</w:t>
                  </w:r>
                </w:p>
              </w:tc>
              <w:tc>
                <w:tcPr>
                  <w:tcW w:w="864" w:type="dxa"/>
                  <w:vAlign w:val="top"/>
                </w:tcPr>
                <w:p>
                  <w:pPr>
                    <w:spacing w:before="126" w:line="197" w:lineRule="auto"/>
                    <w:ind w:left="38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1153" w:type="dxa"/>
                  <w:vAlign w:val="top"/>
                </w:tcPr>
                <w:p>
                  <w:pPr>
                    <w:spacing w:before="62" w:line="243" w:lineRule="exact"/>
                    <w:ind w:left="344"/>
                    <w:rPr>
                      <w:rFonts w:ascii="Times New Roman" w:hAnsi="Times New Roman" w:eastAsia="Times New Roman" w:cs="Times New Roman"/>
                      <w:sz w:val="17"/>
                      <w:szCs w:val="17"/>
                    </w:rPr>
                  </w:pPr>
                  <w:r>
                    <w:rPr>
                      <w:rFonts w:ascii="Times New Roman" w:hAnsi="Times New Roman" w:eastAsia="Times New Roman" w:cs="Times New Roman"/>
                      <w:spacing w:val="-6"/>
                      <w:position w:val="2"/>
                      <w:sz w:val="17"/>
                      <w:szCs w:val="17"/>
                    </w:rPr>
                    <w:t>2</w:t>
                  </w:r>
                  <w:r>
                    <w:rPr>
                      <w:rFonts w:ascii="Times New Roman" w:hAnsi="Times New Roman" w:eastAsia="Times New Roman" w:cs="Times New Roman"/>
                      <w:spacing w:val="-4"/>
                      <w:position w:val="2"/>
                      <w:sz w:val="17"/>
                      <w:szCs w:val="17"/>
                    </w:rPr>
                    <w:t>.</w:t>
                  </w:r>
                  <w:r>
                    <w:rPr>
                      <w:rFonts w:ascii="Times New Roman" w:hAnsi="Times New Roman" w:eastAsia="Times New Roman" w:cs="Times New Roman"/>
                      <w:spacing w:val="-3"/>
                      <w:position w:val="2"/>
                      <w:sz w:val="17"/>
                      <w:szCs w:val="17"/>
                    </w:rPr>
                    <w:t xml:space="preserve"> 13%</w:t>
                  </w:r>
                </w:p>
              </w:tc>
              <w:tc>
                <w:tcPr>
                  <w:tcW w:w="1059" w:type="dxa"/>
                  <w:vAlign w:val="top"/>
                </w:tcPr>
                <w:p>
                  <w:pPr>
                    <w:spacing w:before="126" w:line="200" w:lineRule="auto"/>
                    <w:ind w:left="389"/>
                    <w:rPr>
                      <w:rFonts w:ascii="Times New Roman" w:hAnsi="Times New Roman" w:eastAsia="Times New Roman" w:cs="Times New Roman"/>
                      <w:sz w:val="17"/>
                      <w:szCs w:val="17"/>
                    </w:rPr>
                  </w:pPr>
                  <w:r>
                    <w:rPr>
                      <w:rFonts w:ascii="Times New Roman" w:hAnsi="Times New Roman" w:eastAsia="Times New Roman" w:cs="Times New Roman"/>
                      <w:spacing w:val="-10"/>
                      <w:sz w:val="17"/>
                      <w:szCs w:val="17"/>
                    </w:rPr>
                    <w:t>1</w:t>
                  </w:r>
                  <w:r>
                    <w:rPr>
                      <w:rFonts w:ascii="Times New Roman" w:hAnsi="Times New Roman" w:eastAsia="Times New Roman" w:cs="Times New Roman"/>
                      <w:spacing w:val="-9"/>
                      <w:sz w:val="17"/>
                      <w:szCs w:val="17"/>
                    </w:rPr>
                    <w:t>. 12</w:t>
                  </w:r>
                </w:p>
              </w:tc>
              <w:tc>
                <w:tcPr>
                  <w:tcW w:w="1061" w:type="dxa"/>
                  <w:vAlign w:val="top"/>
                </w:tcPr>
                <w:p>
                  <w:pPr>
                    <w:spacing w:before="62" w:line="243" w:lineRule="exact"/>
                    <w:ind w:left="302"/>
                    <w:rPr>
                      <w:rFonts w:ascii="Times New Roman" w:hAnsi="Times New Roman" w:eastAsia="Times New Roman" w:cs="Times New Roman"/>
                      <w:sz w:val="17"/>
                      <w:szCs w:val="17"/>
                    </w:rPr>
                  </w:pPr>
                  <w:r>
                    <w:rPr>
                      <w:rFonts w:ascii="Times New Roman" w:hAnsi="Times New Roman" w:eastAsia="Times New Roman" w:cs="Times New Roman"/>
                      <w:spacing w:val="5"/>
                      <w:position w:val="2"/>
                      <w:sz w:val="17"/>
                      <w:szCs w:val="17"/>
                    </w:rPr>
                    <w:t>0</w:t>
                  </w:r>
                  <w:r>
                    <w:rPr>
                      <w:rFonts w:ascii="Times New Roman" w:hAnsi="Times New Roman" w:eastAsia="Times New Roman" w:cs="Times New Roman"/>
                      <w:spacing w:val="4"/>
                      <w:position w:val="2"/>
                      <w:sz w:val="17"/>
                      <w:szCs w:val="17"/>
                    </w:rPr>
                    <w:t>.59%</w:t>
                  </w:r>
                </w:p>
              </w:tc>
              <w:tc>
                <w:tcPr>
                  <w:tcW w:w="1119" w:type="dxa"/>
                  <w:vAlign w:val="top"/>
                </w:tcPr>
                <w:p>
                  <w:pPr>
                    <w:spacing w:before="126" w:line="197" w:lineRule="auto"/>
                    <w:ind w:left="21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w:t>
                  </w:r>
                  <w:r>
                    <w:rPr>
                      <w:rFonts w:ascii="Times New Roman" w:hAnsi="Times New Roman" w:eastAsia="Times New Roman" w:cs="Times New Roman"/>
                      <w:spacing w:val="3"/>
                      <w:sz w:val="17"/>
                      <w:szCs w:val="17"/>
                    </w:rPr>
                    <w:t>6</w:t>
                  </w:r>
                  <w:r>
                    <w:rPr>
                      <w:rFonts w:ascii="Times New Roman" w:hAnsi="Times New Roman" w:eastAsia="Times New Roman" w:cs="Times New Roman"/>
                      <w:spacing w:val="2"/>
                      <w:sz w:val="17"/>
                      <w:szCs w:val="17"/>
                    </w:rPr>
                    <w:t>.2~23.7</w:t>
                  </w:r>
                </w:p>
              </w:tc>
              <w:tc>
                <w:tcPr>
                  <w:tcW w:w="1193" w:type="dxa"/>
                  <w:vAlign w:val="top"/>
                </w:tcPr>
                <w:p>
                  <w:pPr>
                    <w:spacing w:before="126" w:line="197" w:lineRule="auto"/>
                    <w:ind w:left="45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18. 1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414" w:type="dxa"/>
                  <w:vAlign w:val="top"/>
                </w:tcPr>
                <w:p>
                  <w:pPr>
                    <w:spacing w:before="94" w:line="230" w:lineRule="auto"/>
                    <w:ind w:left="352"/>
                    <w:rPr>
                      <w:rFonts w:ascii="宋体" w:hAnsi="宋体" w:eastAsia="宋体" w:cs="宋体"/>
                      <w:sz w:val="17"/>
                      <w:szCs w:val="17"/>
                    </w:rPr>
                  </w:pPr>
                  <w:r>
                    <w:rPr>
                      <w:rFonts w:ascii="宋体" w:hAnsi="宋体" w:eastAsia="宋体" w:cs="宋体"/>
                      <w:spacing w:val="9"/>
                      <w:sz w:val="17"/>
                      <w:szCs w:val="17"/>
                    </w:rPr>
                    <w:t>翘</w:t>
                  </w:r>
                  <w:r>
                    <w:rPr>
                      <w:rFonts w:ascii="宋体" w:hAnsi="宋体" w:eastAsia="宋体" w:cs="宋体"/>
                      <w:spacing w:val="8"/>
                      <w:sz w:val="17"/>
                      <w:szCs w:val="17"/>
                    </w:rPr>
                    <w:t>嘴红鲌</w:t>
                  </w:r>
                </w:p>
              </w:tc>
              <w:tc>
                <w:tcPr>
                  <w:tcW w:w="864" w:type="dxa"/>
                  <w:vAlign w:val="top"/>
                </w:tcPr>
                <w:p>
                  <w:pPr>
                    <w:spacing w:before="125" w:line="197" w:lineRule="auto"/>
                    <w:ind w:left="35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13</w:t>
                  </w:r>
                </w:p>
              </w:tc>
              <w:tc>
                <w:tcPr>
                  <w:tcW w:w="1153" w:type="dxa"/>
                  <w:vAlign w:val="top"/>
                </w:tcPr>
                <w:p>
                  <w:pPr>
                    <w:spacing w:before="62" w:line="242" w:lineRule="exact"/>
                    <w:ind w:left="348"/>
                    <w:rPr>
                      <w:rFonts w:ascii="Times New Roman" w:hAnsi="Times New Roman" w:eastAsia="Times New Roman" w:cs="Times New Roman"/>
                      <w:sz w:val="17"/>
                      <w:szCs w:val="17"/>
                    </w:rPr>
                  </w:pPr>
                  <w:r>
                    <w:rPr>
                      <w:rFonts w:ascii="Times New Roman" w:hAnsi="Times New Roman" w:eastAsia="Times New Roman" w:cs="Times New Roman"/>
                      <w:spacing w:val="5"/>
                      <w:position w:val="2"/>
                      <w:sz w:val="17"/>
                      <w:szCs w:val="17"/>
                    </w:rPr>
                    <w:t>6</w:t>
                  </w:r>
                  <w:r>
                    <w:rPr>
                      <w:rFonts w:ascii="Times New Roman" w:hAnsi="Times New Roman" w:eastAsia="Times New Roman" w:cs="Times New Roman"/>
                      <w:spacing w:val="3"/>
                      <w:position w:val="2"/>
                      <w:sz w:val="17"/>
                      <w:szCs w:val="17"/>
                    </w:rPr>
                    <w:t>.91%</w:t>
                  </w:r>
                </w:p>
              </w:tc>
              <w:tc>
                <w:tcPr>
                  <w:tcW w:w="1059" w:type="dxa"/>
                  <w:vAlign w:val="top"/>
                </w:tcPr>
                <w:p>
                  <w:pPr>
                    <w:spacing w:before="125" w:line="200" w:lineRule="auto"/>
                    <w:ind w:left="372"/>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.87</w:t>
                  </w:r>
                </w:p>
              </w:tc>
              <w:tc>
                <w:tcPr>
                  <w:tcW w:w="1061" w:type="dxa"/>
                  <w:vAlign w:val="top"/>
                </w:tcPr>
                <w:p>
                  <w:pPr>
                    <w:spacing w:before="62" w:line="242" w:lineRule="exact"/>
                    <w:ind w:left="316"/>
                    <w:rPr>
                      <w:rFonts w:ascii="Times New Roman" w:hAnsi="Times New Roman" w:eastAsia="Times New Roman" w:cs="Times New Roman"/>
                      <w:sz w:val="17"/>
                      <w:szCs w:val="17"/>
                    </w:rPr>
                  </w:pPr>
                  <w:r>
                    <w:rPr>
                      <w:rFonts w:ascii="Times New Roman" w:hAnsi="Times New Roman" w:eastAsia="Times New Roman" w:cs="Times New Roman"/>
                      <w:spacing w:val="2"/>
                      <w:position w:val="2"/>
                      <w:sz w:val="17"/>
                      <w:szCs w:val="17"/>
                    </w:rPr>
                    <w:t>1</w:t>
                  </w:r>
                  <w:r>
                    <w:rPr>
                      <w:rFonts w:ascii="Times New Roman" w:hAnsi="Times New Roman" w:eastAsia="Times New Roman" w:cs="Times New Roman"/>
                      <w:spacing w:val="1"/>
                      <w:position w:val="2"/>
                      <w:sz w:val="17"/>
                      <w:szCs w:val="17"/>
                    </w:rPr>
                    <w:t>.50%</w:t>
                  </w:r>
                </w:p>
              </w:tc>
              <w:tc>
                <w:tcPr>
                  <w:tcW w:w="1119" w:type="dxa"/>
                  <w:vAlign w:val="top"/>
                </w:tcPr>
                <w:p>
                  <w:pPr>
                    <w:spacing w:before="125" w:line="197" w:lineRule="auto"/>
                    <w:ind w:left="198"/>
                    <w:rPr>
                      <w:rFonts w:ascii="Times New Roman" w:hAnsi="Times New Roman" w:eastAsia="Times New Roman" w:cs="Times New Roman"/>
                      <w:sz w:val="17"/>
                      <w:szCs w:val="17"/>
                    </w:rPr>
                  </w:pPr>
                  <w:r>
                    <w:rPr>
                      <w:rFonts w:ascii="Times New Roman" w:hAnsi="Times New Roman" w:eastAsia="Times New Roman" w:cs="Times New Roman"/>
                      <w:spacing w:val="8"/>
                      <w:sz w:val="17"/>
                      <w:szCs w:val="17"/>
                    </w:rPr>
                    <w:t>2</w:t>
                  </w:r>
                  <w:r>
                    <w:rPr>
                      <w:rFonts w:ascii="Times New Roman" w:hAnsi="Times New Roman" w:eastAsia="Times New Roman" w:cs="Times New Roman"/>
                      <w:spacing w:val="4"/>
                      <w:sz w:val="17"/>
                      <w:szCs w:val="17"/>
                    </w:rPr>
                    <w:t>0.3~24.6</w:t>
                  </w:r>
                </w:p>
              </w:tc>
              <w:tc>
                <w:tcPr>
                  <w:tcW w:w="1193" w:type="dxa"/>
                  <w:vAlign w:val="top"/>
                </w:tcPr>
                <w:p>
                  <w:pPr>
                    <w:spacing w:before="125" w:line="200" w:lineRule="auto"/>
                    <w:ind w:left="44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414" w:type="dxa"/>
                  <w:vAlign w:val="top"/>
                </w:tcPr>
                <w:p>
                  <w:pPr>
                    <w:spacing w:before="96" w:line="230" w:lineRule="auto"/>
                    <w:ind w:left="266"/>
                    <w:rPr>
                      <w:rFonts w:ascii="宋体" w:hAnsi="宋体" w:eastAsia="宋体" w:cs="宋体"/>
                      <w:sz w:val="17"/>
                      <w:szCs w:val="17"/>
                    </w:rPr>
                  </w:pPr>
                  <w:r>
                    <w:rPr>
                      <w:rFonts w:ascii="宋体" w:hAnsi="宋体" w:eastAsia="宋体" w:cs="宋体"/>
                      <w:spacing w:val="10"/>
                      <w:sz w:val="17"/>
                      <w:szCs w:val="17"/>
                    </w:rPr>
                    <w:t>高</w:t>
                  </w:r>
                  <w:r>
                    <w:rPr>
                      <w:rFonts w:ascii="宋体" w:hAnsi="宋体" w:eastAsia="宋体" w:cs="宋体"/>
                      <w:spacing w:val="7"/>
                      <w:sz w:val="17"/>
                      <w:szCs w:val="17"/>
                    </w:rPr>
                    <w:t>体近红鲌</w:t>
                  </w:r>
                </w:p>
              </w:tc>
              <w:tc>
                <w:tcPr>
                  <w:tcW w:w="864" w:type="dxa"/>
                  <w:vAlign w:val="top"/>
                </w:tcPr>
                <w:p>
                  <w:pPr>
                    <w:spacing w:before="124" w:line="197" w:lineRule="auto"/>
                    <w:ind w:left="38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1153" w:type="dxa"/>
                  <w:vAlign w:val="top"/>
                </w:tcPr>
                <w:p>
                  <w:pPr>
                    <w:spacing w:before="61" w:line="242" w:lineRule="exact"/>
                    <w:ind w:left="344"/>
                    <w:rPr>
                      <w:rFonts w:ascii="Times New Roman" w:hAnsi="Times New Roman" w:eastAsia="Times New Roman" w:cs="Times New Roman"/>
                      <w:sz w:val="17"/>
                      <w:szCs w:val="17"/>
                    </w:rPr>
                  </w:pPr>
                  <w:r>
                    <w:rPr>
                      <w:rFonts w:ascii="Times New Roman" w:hAnsi="Times New Roman" w:eastAsia="Times New Roman" w:cs="Times New Roman"/>
                      <w:spacing w:val="-6"/>
                      <w:position w:val="2"/>
                      <w:sz w:val="17"/>
                      <w:szCs w:val="17"/>
                    </w:rPr>
                    <w:t>2</w:t>
                  </w:r>
                  <w:r>
                    <w:rPr>
                      <w:rFonts w:ascii="Times New Roman" w:hAnsi="Times New Roman" w:eastAsia="Times New Roman" w:cs="Times New Roman"/>
                      <w:spacing w:val="-4"/>
                      <w:position w:val="2"/>
                      <w:sz w:val="17"/>
                      <w:szCs w:val="17"/>
                    </w:rPr>
                    <w:t>.</w:t>
                  </w:r>
                  <w:r>
                    <w:rPr>
                      <w:rFonts w:ascii="Times New Roman" w:hAnsi="Times New Roman" w:eastAsia="Times New Roman" w:cs="Times New Roman"/>
                      <w:spacing w:val="-3"/>
                      <w:position w:val="2"/>
                      <w:sz w:val="17"/>
                      <w:szCs w:val="17"/>
                    </w:rPr>
                    <w:t xml:space="preserve"> 13%</w:t>
                  </w:r>
                </w:p>
              </w:tc>
              <w:tc>
                <w:tcPr>
                  <w:tcW w:w="1059" w:type="dxa"/>
                  <w:vAlign w:val="top"/>
                </w:tcPr>
                <w:p>
                  <w:pPr>
                    <w:spacing w:before="124" w:line="200" w:lineRule="auto"/>
                    <w:ind w:left="372"/>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.59</w:t>
                  </w:r>
                </w:p>
              </w:tc>
              <w:tc>
                <w:tcPr>
                  <w:tcW w:w="1061" w:type="dxa"/>
                  <w:vAlign w:val="top"/>
                </w:tcPr>
                <w:p>
                  <w:pPr>
                    <w:spacing w:before="61" w:line="242" w:lineRule="exact"/>
                    <w:ind w:left="316"/>
                    <w:rPr>
                      <w:rFonts w:ascii="Times New Roman" w:hAnsi="Times New Roman" w:eastAsia="Times New Roman" w:cs="Times New Roman"/>
                      <w:sz w:val="17"/>
                      <w:szCs w:val="17"/>
                    </w:rPr>
                  </w:pPr>
                  <w:r>
                    <w:rPr>
                      <w:rFonts w:ascii="Times New Roman" w:hAnsi="Times New Roman" w:eastAsia="Times New Roman" w:cs="Times New Roman"/>
                      <w:spacing w:val="2"/>
                      <w:position w:val="2"/>
                      <w:sz w:val="17"/>
                      <w:szCs w:val="17"/>
                    </w:rPr>
                    <w:t>1</w:t>
                  </w:r>
                  <w:r>
                    <w:rPr>
                      <w:rFonts w:ascii="Times New Roman" w:hAnsi="Times New Roman" w:eastAsia="Times New Roman" w:cs="Times New Roman"/>
                      <w:spacing w:val="1"/>
                      <w:position w:val="2"/>
                      <w:sz w:val="17"/>
                      <w:szCs w:val="17"/>
                    </w:rPr>
                    <w:t>.35%</w:t>
                  </w:r>
                </w:p>
              </w:tc>
              <w:tc>
                <w:tcPr>
                  <w:tcW w:w="1119" w:type="dxa"/>
                  <w:vAlign w:val="top"/>
                </w:tcPr>
                <w:p>
                  <w:pPr>
                    <w:spacing w:before="124" w:line="200" w:lineRule="auto"/>
                    <w:ind w:left="198"/>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1.2~26.3</w:t>
                  </w:r>
                </w:p>
              </w:tc>
              <w:tc>
                <w:tcPr>
                  <w:tcW w:w="1193" w:type="dxa"/>
                  <w:vAlign w:val="top"/>
                </w:tcPr>
                <w:p>
                  <w:pPr>
                    <w:spacing w:before="124" w:line="200" w:lineRule="auto"/>
                    <w:ind w:left="4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24.</w:t>
                  </w:r>
                  <w:r>
                    <w:rPr>
                      <w:rFonts w:ascii="Times New Roman" w:hAnsi="Times New Roman" w:eastAsia="Times New Roman" w:cs="Times New Roman"/>
                      <w:spacing w:val="3"/>
                      <w:sz w:val="17"/>
                      <w:szCs w:val="17"/>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414" w:type="dxa"/>
                  <w:vAlign w:val="top"/>
                </w:tcPr>
                <w:p>
                  <w:pPr>
                    <w:spacing w:before="95" w:line="232" w:lineRule="auto"/>
                    <w:ind w:left="266"/>
                    <w:rPr>
                      <w:rFonts w:ascii="宋体" w:hAnsi="宋体" w:eastAsia="宋体" w:cs="宋体"/>
                      <w:sz w:val="17"/>
                      <w:szCs w:val="17"/>
                    </w:rPr>
                  </w:pPr>
                  <w:r>
                    <w:rPr>
                      <w:rFonts w:ascii="宋体" w:hAnsi="宋体" w:eastAsia="宋体" w:cs="宋体"/>
                      <w:spacing w:val="10"/>
                      <w:sz w:val="17"/>
                      <w:szCs w:val="17"/>
                    </w:rPr>
                    <w:t>黑</w:t>
                  </w:r>
                  <w:r>
                    <w:rPr>
                      <w:rFonts w:ascii="宋体" w:hAnsi="宋体" w:eastAsia="宋体" w:cs="宋体"/>
                      <w:spacing w:val="7"/>
                      <w:sz w:val="17"/>
                      <w:szCs w:val="17"/>
                    </w:rPr>
                    <w:t>尾近红鲌</w:t>
                  </w:r>
                </w:p>
              </w:tc>
              <w:tc>
                <w:tcPr>
                  <w:tcW w:w="864" w:type="dxa"/>
                  <w:vAlign w:val="top"/>
                </w:tcPr>
                <w:p>
                  <w:pPr>
                    <w:spacing w:before="126" w:line="197" w:lineRule="auto"/>
                    <w:ind w:left="404"/>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1153" w:type="dxa"/>
                  <w:vAlign w:val="top"/>
                </w:tcPr>
                <w:p>
                  <w:pPr>
                    <w:spacing w:before="62" w:line="243" w:lineRule="exact"/>
                    <w:ind w:left="347"/>
                    <w:rPr>
                      <w:rFonts w:ascii="Times New Roman" w:hAnsi="Times New Roman" w:eastAsia="Times New Roman" w:cs="Times New Roman"/>
                      <w:sz w:val="17"/>
                      <w:szCs w:val="17"/>
                    </w:rPr>
                  </w:pPr>
                  <w:r>
                    <w:rPr>
                      <w:rFonts w:ascii="Times New Roman" w:hAnsi="Times New Roman" w:eastAsia="Times New Roman" w:cs="Times New Roman"/>
                      <w:spacing w:val="6"/>
                      <w:position w:val="2"/>
                      <w:sz w:val="17"/>
                      <w:szCs w:val="17"/>
                    </w:rPr>
                    <w:t>0</w:t>
                  </w:r>
                  <w:r>
                    <w:rPr>
                      <w:rFonts w:ascii="Times New Roman" w:hAnsi="Times New Roman" w:eastAsia="Times New Roman" w:cs="Times New Roman"/>
                      <w:spacing w:val="3"/>
                      <w:position w:val="2"/>
                      <w:sz w:val="17"/>
                      <w:szCs w:val="17"/>
                    </w:rPr>
                    <w:t>.53%</w:t>
                  </w:r>
                </w:p>
              </w:tc>
              <w:tc>
                <w:tcPr>
                  <w:tcW w:w="1059" w:type="dxa"/>
                  <w:vAlign w:val="top"/>
                </w:tcPr>
                <w:p>
                  <w:pPr>
                    <w:spacing w:before="126" w:line="197" w:lineRule="auto"/>
                    <w:ind w:left="374"/>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0.3</w:t>
                  </w:r>
                  <w:r>
                    <w:rPr>
                      <w:rFonts w:ascii="Times New Roman" w:hAnsi="Times New Roman" w:eastAsia="Times New Roman" w:cs="Times New Roman"/>
                      <w:spacing w:val="2"/>
                      <w:sz w:val="17"/>
                      <w:szCs w:val="17"/>
                    </w:rPr>
                    <w:t>5</w:t>
                  </w:r>
                </w:p>
              </w:tc>
              <w:tc>
                <w:tcPr>
                  <w:tcW w:w="1061" w:type="dxa"/>
                  <w:vAlign w:val="top"/>
                </w:tcPr>
                <w:p>
                  <w:pPr>
                    <w:spacing w:before="62" w:line="243" w:lineRule="exact"/>
                    <w:ind w:left="302"/>
                    <w:rPr>
                      <w:rFonts w:ascii="Times New Roman" w:hAnsi="Times New Roman" w:eastAsia="Times New Roman" w:cs="Times New Roman"/>
                      <w:sz w:val="17"/>
                      <w:szCs w:val="17"/>
                    </w:rPr>
                  </w:pPr>
                  <w:r>
                    <w:rPr>
                      <w:rFonts w:ascii="Times New Roman" w:hAnsi="Times New Roman" w:eastAsia="Times New Roman" w:cs="Times New Roman"/>
                      <w:spacing w:val="-6"/>
                      <w:position w:val="2"/>
                      <w:sz w:val="17"/>
                      <w:szCs w:val="17"/>
                    </w:rPr>
                    <w:t>0</w:t>
                  </w:r>
                  <w:r>
                    <w:rPr>
                      <w:rFonts w:ascii="Times New Roman" w:hAnsi="Times New Roman" w:eastAsia="Times New Roman" w:cs="Times New Roman"/>
                      <w:spacing w:val="-4"/>
                      <w:position w:val="2"/>
                      <w:sz w:val="17"/>
                      <w:szCs w:val="17"/>
                    </w:rPr>
                    <w:t>.</w:t>
                  </w:r>
                  <w:r>
                    <w:rPr>
                      <w:rFonts w:ascii="Times New Roman" w:hAnsi="Times New Roman" w:eastAsia="Times New Roman" w:cs="Times New Roman"/>
                      <w:spacing w:val="-3"/>
                      <w:position w:val="2"/>
                      <w:sz w:val="17"/>
                      <w:szCs w:val="17"/>
                    </w:rPr>
                    <w:t xml:space="preserve"> 18%</w:t>
                  </w:r>
                </w:p>
              </w:tc>
              <w:tc>
                <w:tcPr>
                  <w:tcW w:w="1119" w:type="dxa"/>
                  <w:vAlign w:val="top"/>
                </w:tcPr>
                <w:p>
                  <w:pPr>
                    <w:spacing w:before="126" w:line="200" w:lineRule="auto"/>
                    <w:ind w:left="40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1.4</w:t>
                  </w:r>
                </w:p>
              </w:tc>
              <w:tc>
                <w:tcPr>
                  <w:tcW w:w="1193" w:type="dxa"/>
                  <w:vAlign w:val="top"/>
                </w:tcPr>
                <w:p>
                  <w:pPr>
                    <w:spacing w:before="126" w:line="200" w:lineRule="auto"/>
                    <w:ind w:left="44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414" w:type="dxa"/>
                  <w:vAlign w:val="top"/>
                </w:tcPr>
                <w:p>
                  <w:pPr>
                    <w:spacing w:before="95" w:line="230" w:lineRule="auto"/>
                    <w:ind w:left="443"/>
                    <w:rPr>
                      <w:rFonts w:ascii="宋体" w:hAnsi="宋体" w:eastAsia="宋体" w:cs="宋体"/>
                      <w:sz w:val="17"/>
                      <w:szCs w:val="17"/>
                    </w:rPr>
                  </w:pPr>
                  <w:r>
                    <w:rPr>
                      <w:rFonts w:ascii="宋体" w:hAnsi="宋体" w:eastAsia="宋体" w:cs="宋体"/>
                      <w:spacing w:val="7"/>
                      <w:sz w:val="17"/>
                      <w:szCs w:val="17"/>
                    </w:rPr>
                    <w:t>大鳍</w:t>
                  </w:r>
                  <w:r>
                    <w:rPr>
                      <w:rFonts w:ascii="宋体" w:hAnsi="宋体" w:eastAsia="宋体" w:cs="宋体"/>
                      <w:spacing w:val="6"/>
                      <w:sz w:val="17"/>
                      <w:szCs w:val="17"/>
                    </w:rPr>
                    <w:t>鳠</w:t>
                  </w:r>
                </w:p>
              </w:tc>
              <w:tc>
                <w:tcPr>
                  <w:tcW w:w="864" w:type="dxa"/>
                  <w:vAlign w:val="top"/>
                </w:tcPr>
                <w:p>
                  <w:pPr>
                    <w:spacing w:before="128" w:line="194" w:lineRule="auto"/>
                    <w:ind w:left="392"/>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1153" w:type="dxa"/>
                  <w:vAlign w:val="top"/>
                </w:tcPr>
                <w:p>
                  <w:pPr>
                    <w:spacing w:before="63" w:line="242" w:lineRule="exact"/>
                    <w:ind w:left="344"/>
                    <w:rPr>
                      <w:rFonts w:ascii="Times New Roman" w:hAnsi="Times New Roman" w:eastAsia="Times New Roman" w:cs="Times New Roman"/>
                      <w:sz w:val="17"/>
                      <w:szCs w:val="17"/>
                    </w:rPr>
                  </w:pPr>
                  <w:r>
                    <w:rPr>
                      <w:rFonts w:ascii="Times New Roman" w:hAnsi="Times New Roman" w:eastAsia="Times New Roman" w:cs="Times New Roman"/>
                      <w:spacing w:val="5"/>
                      <w:position w:val="2"/>
                      <w:sz w:val="17"/>
                      <w:szCs w:val="17"/>
                    </w:rPr>
                    <w:t>2</w:t>
                  </w:r>
                  <w:r>
                    <w:rPr>
                      <w:rFonts w:ascii="Times New Roman" w:hAnsi="Times New Roman" w:eastAsia="Times New Roman" w:cs="Times New Roman"/>
                      <w:spacing w:val="4"/>
                      <w:position w:val="2"/>
                      <w:sz w:val="17"/>
                      <w:szCs w:val="17"/>
                    </w:rPr>
                    <w:t>.66%</w:t>
                  </w:r>
                </w:p>
              </w:tc>
              <w:tc>
                <w:tcPr>
                  <w:tcW w:w="1059" w:type="dxa"/>
                  <w:vAlign w:val="top"/>
                </w:tcPr>
                <w:p>
                  <w:pPr>
                    <w:spacing w:before="126" w:line="200" w:lineRule="auto"/>
                    <w:ind w:left="38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1.3</w:t>
                  </w:r>
                  <w:r>
                    <w:rPr>
                      <w:rFonts w:ascii="Times New Roman" w:hAnsi="Times New Roman" w:eastAsia="Times New Roman" w:cs="Times New Roman"/>
                      <w:sz w:val="17"/>
                      <w:szCs w:val="17"/>
                    </w:rPr>
                    <w:t>4</w:t>
                  </w:r>
                </w:p>
              </w:tc>
              <w:tc>
                <w:tcPr>
                  <w:tcW w:w="1061" w:type="dxa"/>
                  <w:vAlign w:val="top"/>
                </w:tcPr>
                <w:p>
                  <w:pPr>
                    <w:spacing w:before="63" w:line="242" w:lineRule="exact"/>
                    <w:ind w:left="302"/>
                    <w:rPr>
                      <w:rFonts w:ascii="Times New Roman" w:hAnsi="Times New Roman" w:eastAsia="Times New Roman" w:cs="Times New Roman"/>
                      <w:sz w:val="17"/>
                      <w:szCs w:val="17"/>
                    </w:rPr>
                  </w:pPr>
                  <w:r>
                    <w:rPr>
                      <w:rFonts w:ascii="Times New Roman" w:hAnsi="Times New Roman" w:eastAsia="Times New Roman" w:cs="Times New Roman"/>
                      <w:spacing w:val="5"/>
                      <w:position w:val="2"/>
                      <w:sz w:val="17"/>
                      <w:szCs w:val="17"/>
                    </w:rPr>
                    <w:t>0</w:t>
                  </w:r>
                  <w:r>
                    <w:rPr>
                      <w:rFonts w:ascii="Times New Roman" w:hAnsi="Times New Roman" w:eastAsia="Times New Roman" w:cs="Times New Roman"/>
                      <w:spacing w:val="4"/>
                      <w:position w:val="2"/>
                      <w:sz w:val="17"/>
                      <w:szCs w:val="17"/>
                    </w:rPr>
                    <w:t>.70%</w:t>
                  </w:r>
                </w:p>
              </w:tc>
              <w:tc>
                <w:tcPr>
                  <w:tcW w:w="1119" w:type="dxa"/>
                  <w:vAlign w:val="top"/>
                </w:tcPr>
                <w:p>
                  <w:pPr>
                    <w:spacing w:before="126" w:line="197" w:lineRule="auto"/>
                    <w:ind w:left="21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w:t>
                  </w:r>
                  <w:r>
                    <w:rPr>
                      <w:rFonts w:ascii="Times New Roman" w:hAnsi="Times New Roman" w:eastAsia="Times New Roman" w:cs="Times New Roman"/>
                      <w:spacing w:val="3"/>
                      <w:sz w:val="17"/>
                      <w:szCs w:val="17"/>
                    </w:rPr>
                    <w:t>7</w:t>
                  </w:r>
                  <w:r>
                    <w:rPr>
                      <w:rFonts w:ascii="Times New Roman" w:hAnsi="Times New Roman" w:eastAsia="Times New Roman" w:cs="Times New Roman"/>
                      <w:spacing w:val="2"/>
                      <w:sz w:val="17"/>
                      <w:szCs w:val="17"/>
                    </w:rPr>
                    <w:t>.6~24.7</w:t>
                  </w:r>
                </w:p>
              </w:tc>
              <w:tc>
                <w:tcPr>
                  <w:tcW w:w="1193" w:type="dxa"/>
                  <w:vAlign w:val="top"/>
                </w:tcPr>
                <w:p>
                  <w:pPr>
                    <w:spacing w:before="126" w:line="197" w:lineRule="auto"/>
                    <w:ind w:left="45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w:t>
                  </w:r>
                  <w:r>
                    <w:rPr>
                      <w:rFonts w:ascii="Times New Roman" w:hAnsi="Times New Roman" w:eastAsia="Times New Roman" w:cs="Times New Roman"/>
                      <w:sz w:val="17"/>
                      <w:szCs w:val="17"/>
                    </w:rPr>
                    <w:t>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414" w:type="dxa"/>
                  <w:vAlign w:val="top"/>
                </w:tcPr>
                <w:p>
                  <w:pPr>
                    <w:spacing w:before="97" w:line="231" w:lineRule="auto"/>
                    <w:ind w:left="621"/>
                    <w:rPr>
                      <w:rFonts w:ascii="宋体" w:hAnsi="宋体" w:eastAsia="宋体" w:cs="宋体"/>
                      <w:sz w:val="17"/>
                      <w:szCs w:val="17"/>
                    </w:rPr>
                  </w:pPr>
                  <w:r>
                    <w:rPr>
                      <w:rFonts w:ascii="宋体" w:hAnsi="宋体" w:eastAsia="宋体" w:cs="宋体"/>
                      <w:spacing w:val="2"/>
                      <w:sz w:val="17"/>
                      <w:szCs w:val="17"/>
                    </w:rPr>
                    <w:t>鲫</w:t>
                  </w:r>
                </w:p>
              </w:tc>
              <w:tc>
                <w:tcPr>
                  <w:tcW w:w="864" w:type="dxa"/>
                  <w:vAlign w:val="top"/>
                </w:tcPr>
                <w:p>
                  <w:pPr>
                    <w:spacing w:before="125" w:line="197" w:lineRule="auto"/>
                    <w:ind w:left="391"/>
                    <w:rPr>
                      <w:rFonts w:ascii="Times New Roman" w:hAnsi="Times New Roman" w:eastAsia="Times New Roman" w:cs="Times New Roman"/>
                      <w:sz w:val="17"/>
                      <w:szCs w:val="17"/>
                    </w:rPr>
                  </w:pPr>
                  <w:r>
                    <w:rPr>
                      <w:rFonts w:ascii="Times New Roman" w:hAnsi="Times New Roman" w:eastAsia="Times New Roman" w:cs="Times New Roman"/>
                      <w:sz w:val="17"/>
                      <w:szCs w:val="17"/>
                    </w:rPr>
                    <w:t>6</w:t>
                  </w:r>
                </w:p>
              </w:tc>
              <w:tc>
                <w:tcPr>
                  <w:tcW w:w="1153" w:type="dxa"/>
                  <w:vAlign w:val="top"/>
                </w:tcPr>
                <w:p>
                  <w:pPr>
                    <w:spacing w:before="62" w:line="242" w:lineRule="exact"/>
                    <w:ind w:left="347"/>
                    <w:rPr>
                      <w:rFonts w:ascii="Times New Roman" w:hAnsi="Times New Roman" w:eastAsia="Times New Roman" w:cs="Times New Roman"/>
                      <w:sz w:val="17"/>
                      <w:szCs w:val="17"/>
                    </w:rPr>
                  </w:pPr>
                  <w:r>
                    <w:rPr>
                      <w:rFonts w:ascii="Times New Roman" w:hAnsi="Times New Roman" w:eastAsia="Times New Roman" w:cs="Times New Roman"/>
                      <w:spacing w:val="-5"/>
                      <w:position w:val="2"/>
                      <w:sz w:val="17"/>
                      <w:szCs w:val="17"/>
                    </w:rPr>
                    <w:t>3</w:t>
                  </w:r>
                  <w:r>
                    <w:rPr>
                      <w:rFonts w:ascii="Times New Roman" w:hAnsi="Times New Roman" w:eastAsia="Times New Roman" w:cs="Times New Roman"/>
                      <w:spacing w:val="-4"/>
                      <w:position w:val="2"/>
                      <w:sz w:val="17"/>
                      <w:szCs w:val="17"/>
                    </w:rPr>
                    <w:t>. 19%</w:t>
                  </w:r>
                </w:p>
              </w:tc>
              <w:tc>
                <w:tcPr>
                  <w:tcW w:w="1059" w:type="dxa"/>
                  <w:vAlign w:val="top"/>
                </w:tcPr>
                <w:p>
                  <w:pPr>
                    <w:spacing w:before="126" w:line="197" w:lineRule="auto"/>
                    <w:ind w:left="37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2"/>
                      <w:sz w:val="17"/>
                      <w:szCs w:val="17"/>
                    </w:rPr>
                    <w:t>.06</w:t>
                  </w:r>
                </w:p>
              </w:tc>
              <w:tc>
                <w:tcPr>
                  <w:tcW w:w="1061" w:type="dxa"/>
                  <w:vAlign w:val="top"/>
                </w:tcPr>
                <w:p>
                  <w:pPr>
                    <w:spacing w:before="62" w:line="242" w:lineRule="exact"/>
                    <w:ind w:left="316"/>
                    <w:rPr>
                      <w:rFonts w:ascii="Times New Roman" w:hAnsi="Times New Roman" w:eastAsia="Times New Roman" w:cs="Times New Roman"/>
                      <w:sz w:val="17"/>
                      <w:szCs w:val="17"/>
                    </w:rPr>
                  </w:pPr>
                  <w:r>
                    <w:rPr>
                      <w:rFonts w:ascii="Times New Roman" w:hAnsi="Times New Roman" w:eastAsia="Times New Roman" w:cs="Times New Roman"/>
                      <w:spacing w:val="2"/>
                      <w:position w:val="2"/>
                      <w:sz w:val="17"/>
                      <w:szCs w:val="17"/>
                    </w:rPr>
                    <w:t>1</w:t>
                  </w:r>
                  <w:r>
                    <w:rPr>
                      <w:rFonts w:ascii="Times New Roman" w:hAnsi="Times New Roman" w:eastAsia="Times New Roman" w:cs="Times New Roman"/>
                      <w:spacing w:val="1"/>
                      <w:position w:val="2"/>
                      <w:sz w:val="17"/>
                      <w:szCs w:val="17"/>
                    </w:rPr>
                    <w:t>.60%</w:t>
                  </w:r>
                </w:p>
              </w:tc>
              <w:tc>
                <w:tcPr>
                  <w:tcW w:w="1119" w:type="dxa"/>
                  <w:vAlign w:val="top"/>
                </w:tcPr>
                <w:p>
                  <w:pPr>
                    <w:spacing w:before="126" w:line="197" w:lineRule="auto"/>
                    <w:ind w:left="17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12. 1</w:t>
                  </w:r>
                  <w:r>
                    <w:rPr>
                      <w:rFonts w:ascii="Times New Roman" w:hAnsi="Times New Roman" w:eastAsia="Times New Roman" w:cs="Times New Roman"/>
                      <w:spacing w:val="-1"/>
                      <w:sz w:val="17"/>
                      <w:szCs w:val="17"/>
                    </w:rPr>
                    <w:t>~23.91</w:t>
                  </w:r>
                </w:p>
              </w:tc>
              <w:tc>
                <w:tcPr>
                  <w:tcW w:w="1193" w:type="dxa"/>
                  <w:vAlign w:val="top"/>
                </w:tcPr>
                <w:p>
                  <w:pPr>
                    <w:spacing w:before="125" w:line="200" w:lineRule="auto"/>
                    <w:ind w:left="43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414" w:type="dxa"/>
                  <w:vAlign w:val="top"/>
                </w:tcPr>
                <w:p>
                  <w:pPr>
                    <w:spacing w:before="96" w:line="238" w:lineRule="auto"/>
                    <w:ind w:left="622"/>
                    <w:rPr>
                      <w:rFonts w:ascii="宋体" w:hAnsi="宋体" w:eastAsia="宋体" w:cs="宋体"/>
                      <w:sz w:val="17"/>
                      <w:szCs w:val="17"/>
                    </w:rPr>
                  </w:pPr>
                  <w:r>
                    <w:rPr>
                      <w:rFonts w:ascii="宋体" w:hAnsi="宋体" w:eastAsia="宋体" w:cs="宋体"/>
                      <w:spacing w:val="2"/>
                      <w:sz w:val="17"/>
                      <w:szCs w:val="17"/>
                    </w:rPr>
                    <w:t>鲤</w:t>
                  </w:r>
                </w:p>
              </w:tc>
              <w:tc>
                <w:tcPr>
                  <w:tcW w:w="864" w:type="dxa"/>
                  <w:vAlign w:val="top"/>
                </w:tcPr>
                <w:p>
                  <w:pPr>
                    <w:spacing w:before="129" w:line="194" w:lineRule="auto"/>
                    <w:ind w:left="390"/>
                    <w:rPr>
                      <w:rFonts w:ascii="Times New Roman" w:hAnsi="Times New Roman" w:eastAsia="Times New Roman" w:cs="Times New Roman"/>
                      <w:sz w:val="17"/>
                      <w:szCs w:val="17"/>
                    </w:rPr>
                  </w:pPr>
                  <w:r>
                    <w:rPr>
                      <w:rFonts w:ascii="Times New Roman" w:hAnsi="Times New Roman" w:eastAsia="Times New Roman" w:cs="Times New Roman"/>
                      <w:sz w:val="17"/>
                      <w:szCs w:val="17"/>
                    </w:rPr>
                    <w:t>7</w:t>
                  </w:r>
                </w:p>
              </w:tc>
              <w:tc>
                <w:tcPr>
                  <w:tcW w:w="1153" w:type="dxa"/>
                  <w:vAlign w:val="top"/>
                </w:tcPr>
                <w:p>
                  <w:pPr>
                    <w:spacing w:before="63" w:line="243" w:lineRule="exact"/>
                    <w:ind w:left="347"/>
                    <w:rPr>
                      <w:rFonts w:ascii="Times New Roman" w:hAnsi="Times New Roman" w:eastAsia="Times New Roman" w:cs="Times New Roman"/>
                      <w:sz w:val="17"/>
                      <w:szCs w:val="17"/>
                    </w:rPr>
                  </w:pPr>
                  <w:r>
                    <w:rPr>
                      <w:rFonts w:ascii="Times New Roman" w:hAnsi="Times New Roman" w:eastAsia="Times New Roman" w:cs="Times New Roman"/>
                      <w:spacing w:val="5"/>
                      <w:position w:val="2"/>
                      <w:sz w:val="17"/>
                      <w:szCs w:val="17"/>
                    </w:rPr>
                    <w:t>3</w:t>
                  </w:r>
                  <w:r>
                    <w:rPr>
                      <w:rFonts w:ascii="Times New Roman" w:hAnsi="Times New Roman" w:eastAsia="Times New Roman" w:cs="Times New Roman"/>
                      <w:spacing w:val="3"/>
                      <w:position w:val="2"/>
                      <w:sz w:val="17"/>
                      <w:szCs w:val="17"/>
                    </w:rPr>
                    <w:t>.72%</w:t>
                  </w:r>
                </w:p>
              </w:tc>
              <w:tc>
                <w:tcPr>
                  <w:tcW w:w="1059" w:type="dxa"/>
                  <w:vAlign w:val="top"/>
                </w:tcPr>
                <w:p>
                  <w:pPr>
                    <w:spacing w:before="127" w:line="197" w:lineRule="auto"/>
                    <w:ind w:left="34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16.</w:t>
                  </w:r>
                  <w:r>
                    <w:rPr>
                      <w:rFonts w:ascii="Times New Roman" w:hAnsi="Times New Roman" w:eastAsia="Times New Roman" w:cs="Times New Roman"/>
                      <w:sz w:val="17"/>
                      <w:szCs w:val="17"/>
                    </w:rPr>
                    <w:t>70</w:t>
                  </w:r>
                </w:p>
              </w:tc>
              <w:tc>
                <w:tcPr>
                  <w:tcW w:w="1061" w:type="dxa"/>
                  <w:vAlign w:val="top"/>
                </w:tcPr>
                <w:p>
                  <w:pPr>
                    <w:spacing w:before="63" w:line="243" w:lineRule="exact"/>
                    <w:ind w:left="306"/>
                    <w:rPr>
                      <w:rFonts w:ascii="Times New Roman" w:hAnsi="Times New Roman" w:eastAsia="Times New Roman" w:cs="Times New Roman"/>
                      <w:sz w:val="17"/>
                      <w:szCs w:val="17"/>
                    </w:rPr>
                  </w:pPr>
                  <w:r>
                    <w:rPr>
                      <w:rFonts w:ascii="Times New Roman" w:hAnsi="Times New Roman" w:eastAsia="Times New Roman" w:cs="Times New Roman"/>
                      <w:spacing w:val="4"/>
                      <w:position w:val="2"/>
                      <w:sz w:val="17"/>
                      <w:szCs w:val="17"/>
                    </w:rPr>
                    <w:t>8</w:t>
                  </w:r>
                  <w:r>
                    <w:rPr>
                      <w:rFonts w:ascii="Times New Roman" w:hAnsi="Times New Roman" w:eastAsia="Times New Roman" w:cs="Times New Roman"/>
                      <w:spacing w:val="3"/>
                      <w:position w:val="2"/>
                      <w:sz w:val="17"/>
                      <w:szCs w:val="17"/>
                    </w:rPr>
                    <w:t>.73%</w:t>
                  </w:r>
                </w:p>
              </w:tc>
              <w:tc>
                <w:tcPr>
                  <w:tcW w:w="1119" w:type="dxa"/>
                  <w:vAlign w:val="top"/>
                </w:tcPr>
                <w:p>
                  <w:pPr>
                    <w:spacing w:before="127" w:line="197" w:lineRule="auto"/>
                    <w:ind w:left="202"/>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3</w:t>
                  </w:r>
                  <w:r>
                    <w:rPr>
                      <w:rFonts w:ascii="Times New Roman" w:hAnsi="Times New Roman" w:eastAsia="Times New Roman" w:cs="Times New Roman"/>
                      <w:spacing w:val="4"/>
                      <w:sz w:val="17"/>
                      <w:szCs w:val="17"/>
                    </w:rPr>
                    <w:t>3.3~40.5</w:t>
                  </w:r>
                </w:p>
              </w:tc>
              <w:tc>
                <w:tcPr>
                  <w:tcW w:w="1193" w:type="dxa"/>
                  <w:vAlign w:val="top"/>
                </w:tcPr>
                <w:p>
                  <w:pPr>
                    <w:spacing w:before="127" w:line="197" w:lineRule="auto"/>
                    <w:ind w:left="44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2"/>
                      <w:sz w:val="17"/>
                      <w:szCs w:val="17"/>
                    </w:rPr>
                    <w:t>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414" w:type="dxa"/>
                  <w:vAlign w:val="top"/>
                </w:tcPr>
                <w:p>
                  <w:pPr>
                    <w:spacing w:before="95" w:line="230" w:lineRule="auto"/>
                    <w:ind w:left="441"/>
                    <w:rPr>
                      <w:rFonts w:ascii="宋体" w:hAnsi="宋体" w:eastAsia="宋体" w:cs="宋体"/>
                      <w:sz w:val="17"/>
                      <w:szCs w:val="17"/>
                    </w:rPr>
                  </w:pPr>
                  <w:r>
                    <w:rPr>
                      <w:rFonts w:ascii="宋体" w:hAnsi="宋体" w:eastAsia="宋体" w:cs="宋体"/>
                      <w:spacing w:val="8"/>
                      <w:sz w:val="17"/>
                      <w:szCs w:val="17"/>
                    </w:rPr>
                    <w:t>棒</w:t>
                  </w:r>
                  <w:r>
                    <w:rPr>
                      <w:rFonts w:ascii="宋体" w:hAnsi="宋体" w:eastAsia="宋体" w:cs="宋体"/>
                      <w:spacing w:val="7"/>
                      <w:sz w:val="17"/>
                      <w:szCs w:val="17"/>
                    </w:rPr>
                    <w:t>花鱼</w:t>
                  </w:r>
                </w:p>
              </w:tc>
              <w:tc>
                <w:tcPr>
                  <w:tcW w:w="864" w:type="dxa"/>
                  <w:vAlign w:val="top"/>
                </w:tcPr>
                <w:p>
                  <w:pPr>
                    <w:spacing w:before="126" w:line="197" w:lineRule="auto"/>
                    <w:ind w:left="38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1153" w:type="dxa"/>
                  <w:vAlign w:val="top"/>
                </w:tcPr>
                <w:p>
                  <w:pPr>
                    <w:spacing w:before="63" w:line="242" w:lineRule="exact"/>
                    <w:ind w:left="361"/>
                    <w:rPr>
                      <w:rFonts w:ascii="Times New Roman" w:hAnsi="Times New Roman" w:eastAsia="Times New Roman" w:cs="Times New Roman"/>
                      <w:sz w:val="17"/>
                      <w:szCs w:val="17"/>
                    </w:rPr>
                  </w:pPr>
                  <w:r>
                    <w:rPr>
                      <w:rFonts w:ascii="Times New Roman" w:hAnsi="Times New Roman" w:eastAsia="Times New Roman" w:cs="Times New Roman"/>
                      <w:spacing w:val="1"/>
                      <w:position w:val="2"/>
                      <w:sz w:val="17"/>
                      <w:szCs w:val="17"/>
                    </w:rPr>
                    <w:t>1.06</w:t>
                  </w:r>
                  <w:r>
                    <w:rPr>
                      <w:rFonts w:ascii="Times New Roman" w:hAnsi="Times New Roman" w:eastAsia="Times New Roman" w:cs="Times New Roman"/>
                      <w:position w:val="2"/>
                      <w:sz w:val="17"/>
                      <w:szCs w:val="17"/>
                    </w:rPr>
                    <w:t>%</w:t>
                  </w:r>
                </w:p>
              </w:tc>
              <w:tc>
                <w:tcPr>
                  <w:tcW w:w="1059" w:type="dxa"/>
                  <w:vAlign w:val="top"/>
                </w:tcPr>
                <w:p>
                  <w:pPr>
                    <w:spacing w:before="126" w:line="197" w:lineRule="auto"/>
                    <w:ind w:left="374"/>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0</w:t>
                  </w:r>
                  <w:r>
                    <w:rPr>
                      <w:rFonts w:ascii="Times New Roman" w:hAnsi="Times New Roman" w:eastAsia="Times New Roman" w:cs="Times New Roman"/>
                      <w:spacing w:val="-6"/>
                      <w:sz w:val="17"/>
                      <w:szCs w:val="17"/>
                    </w:rPr>
                    <w:t>. 10</w:t>
                  </w:r>
                </w:p>
              </w:tc>
              <w:tc>
                <w:tcPr>
                  <w:tcW w:w="1061" w:type="dxa"/>
                  <w:vAlign w:val="top"/>
                </w:tcPr>
                <w:p>
                  <w:pPr>
                    <w:spacing w:before="63" w:line="242" w:lineRule="exact"/>
                    <w:ind w:left="302"/>
                    <w:rPr>
                      <w:rFonts w:ascii="Times New Roman" w:hAnsi="Times New Roman" w:eastAsia="Times New Roman" w:cs="Times New Roman"/>
                      <w:sz w:val="17"/>
                      <w:szCs w:val="17"/>
                    </w:rPr>
                  </w:pPr>
                  <w:r>
                    <w:rPr>
                      <w:rFonts w:ascii="Times New Roman" w:hAnsi="Times New Roman" w:eastAsia="Times New Roman" w:cs="Times New Roman"/>
                      <w:spacing w:val="5"/>
                      <w:position w:val="2"/>
                      <w:sz w:val="17"/>
                      <w:szCs w:val="17"/>
                    </w:rPr>
                    <w:t>0</w:t>
                  </w:r>
                  <w:r>
                    <w:rPr>
                      <w:rFonts w:ascii="Times New Roman" w:hAnsi="Times New Roman" w:eastAsia="Times New Roman" w:cs="Times New Roman"/>
                      <w:spacing w:val="4"/>
                      <w:position w:val="2"/>
                      <w:sz w:val="17"/>
                      <w:szCs w:val="17"/>
                    </w:rPr>
                    <w:t>.05%</w:t>
                  </w:r>
                </w:p>
              </w:tc>
              <w:tc>
                <w:tcPr>
                  <w:tcW w:w="1119" w:type="dxa"/>
                  <w:vAlign w:val="top"/>
                </w:tcPr>
                <w:p>
                  <w:pPr>
                    <w:spacing w:before="126" w:line="197" w:lineRule="auto"/>
                    <w:ind w:left="25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8</w:t>
                  </w:r>
                  <w:r>
                    <w:rPr>
                      <w:rFonts w:ascii="Times New Roman" w:hAnsi="Times New Roman" w:eastAsia="Times New Roman" w:cs="Times New Roman"/>
                      <w:spacing w:val="-2"/>
                      <w:sz w:val="17"/>
                      <w:szCs w:val="17"/>
                    </w:rPr>
                    <w:t>.2~ 11.5</w:t>
                  </w:r>
                </w:p>
              </w:tc>
              <w:tc>
                <w:tcPr>
                  <w:tcW w:w="1193" w:type="dxa"/>
                  <w:vAlign w:val="top"/>
                </w:tcPr>
                <w:p>
                  <w:pPr>
                    <w:spacing w:before="126" w:line="197" w:lineRule="auto"/>
                    <w:ind w:left="48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9</w:t>
                  </w:r>
                  <w:r>
                    <w:rPr>
                      <w:rFonts w:ascii="Times New Roman" w:hAnsi="Times New Roman" w:eastAsia="Times New Roman" w:cs="Times New Roman"/>
                      <w:spacing w:val="4"/>
                      <w:sz w:val="17"/>
                      <w:szCs w:val="17"/>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414" w:type="dxa"/>
                  <w:vAlign w:val="top"/>
                </w:tcPr>
                <w:p>
                  <w:pPr>
                    <w:spacing w:before="97" w:line="231" w:lineRule="auto"/>
                    <w:ind w:left="620"/>
                    <w:rPr>
                      <w:rFonts w:ascii="宋体" w:hAnsi="宋体" w:eastAsia="宋体" w:cs="宋体"/>
                      <w:sz w:val="17"/>
                      <w:szCs w:val="17"/>
                    </w:rPr>
                  </w:pPr>
                  <w:r>
                    <w:rPr>
                      <w:rFonts w:ascii="宋体" w:hAnsi="宋体" w:eastAsia="宋体" w:cs="宋体"/>
                      <w:spacing w:val="3"/>
                      <w:sz w:val="17"/>
                      <w:szCs w:val="17"/>
                    </w:rPr>
                    <w:t>鳊</w:t>
                  </w:r>
                </w:p>
              </w:tc>
              <w:tc>
                <w:tcPr>
                  <w:tcW w:w="864" w:type="dxa"/>
                  <w:vAlign w:val="top"/>
                </w:tcPr>
                <w:p>
                  <w:pPr>
                    <w:spacing w:before="125" w:line="197" w:lineRule="auto"/>
                    <w:ind w:left="38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1153" w:type="dxa"/>
                  <w:vAlign w:val="top"/>
                </w:tcPr>
                <w:p>
                  <w:pPr>
                    <w:spacing w:before="62" w:line="242" w:lineRule="exact"/>
                    <w:ind w:left="361"/>
                    <w:rPr>
                      <w:rFonts w:ascii="Times New Roman" w:hAnsi="Times New Roman" w:eastAsia="Times New Roman" w:cs="Times New Roman"/>
                      <w:sz w:val="17"/>
                      <w:szCs w:val="17"/>
                    </w:rPr>
                  </w:pPr>
                  <w:r>
                    <w:rPr>
                      <w:rFonts w:ascii="Times New Roman" w:hAnsi="Times New Roman" w:eastAsia="Times New Roman" w:cs="Times New Roman"/>
                      <w:spacing w:val="1"/>
                      <w:position w:val="2"/>
                      <w:sz w:val="17"/>
                      <w:szCs w:val="17"/>
                    </w:rPr>
                    <w:t>1.06</w:t>
                  </w:r>
                  <w:r>
                    <w:rPr>
                      <w:rFonts w:ascii="Times New Roman" w:hAnsi="Times New Roman" w:eastAsia="Times New Roman" w:cs="Times New Roman"/>
                      <w:position w:val="2"/>
                      <w:sz w:val="17"/>
                      <w:szCs w:val="17"/>
                    </w:rPr>
                    <w:t>%</w:t>
                  </w:r>
                </w:p>
              </w:tc>
              <w:tc>
                <w:tcPr>
                  <w:tcW w:w="1059" w:type="dxa"/>
                  <w:vAlign w:val="top"/>
                </w:tcPr>
                <w:p>
                  <w:pPr>
                    <w:spacing w:before="125" w:line="200" w:lineRule="auto"/>
                    <w:ind w:left="372"/>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.38</w:t>
                  </w:r>
                </w:p>
              </w:tc>
              <w:tc>
                <w:tcPr>
                  <w:tcW w:w="1061" w:type="dxa"/>
                  <w:vAlign w:val="top"/>
                </w:tcPr>
                <w:p>
                  <w:pPr>
                    <w:spacing w:before="62" w:line="242" w:lineRule="exact"/>
                    <w:ind w:left="316"/>
                    <w:rPr>
                      <w:rFonts w:ascii="Times New Roman" w:hAnsi="Times New Roman" w:eastAsia="Times New Roman" w:cs="Times New Roman"/>
                      <w:sz w:val="17"/>
                      <w:szCs w:val="17"/>
                    </w:rPr>
                  </w:pPr>
                  <w:r>
                    <w:rPr>
                      <w:rFonts w:ascii="Times New Roman" w:hAnsi="Times New Roman" w:eastAsia="Times New Roman" w:cs="Times New Roman"/>
                      <w:spacing w:val="2"/>
                      <w:position w:val="2"/>
                      <w:sz w:val="17"/>
                      <w:szCs w:val="17"/>
                    </w:rPr>
                    <w:t>1</w:t>
                  </w:r>
                  <w:r>
                    <w:rPr>
                      <w:rFonts w:ascii="Times New Roman" w:hAnsi="Times New Roman" w:eastAsia="Times New Roman" w:cs="Times New Roman"/>
                      <w:spacing w:val="1"/>
                      <w:position w:val="2"/>
                      <w:sz w:val="17"/>
                      <w:szCs w:val="17"/>
                    </w:rPr>
                    <w:t>.24%</w:t>
                  </w:r>
                </w:p>
              </w:tc>
              <w:tc>
                <w:tcPr>
                  <w:tcW w:w="1119" w:type="dxa"/>
                  <w:vAlign w:val="top"/>
                </w:tcPr>
                <w:p>
                  <w:pPr>
                    <w:spacing w:before="126" w:line="197" w:lineRule="auto"/>
                    <w:ind w:left="20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35</w:t>
                  </w:r>
                  <w:r>
                    <w:rPr>
                      <w:rFonts w:ascii="Times New Roman" w:hAnsi="Times New Roman" w:eastAsia="Times New Roman" w:cs="Times New Roman"/>
                      <w:spacing w:val="3"/>
                      <w:sz w:val="17"/>
                      <w:szCs w:val="17"/>
                    </w:rPr>
                    <w:t>.6~44.2</w:t>
                  </w:r>
                </w:p>
              </w:tc>
              <w:tc>
                <w:tcPr>
                  <w:tcW w:w="1193" w:type="dxa"/>
                  <w:vAlign w:val="top"/>
                </w:tcPr>
                <w:p>
                  <w:pPr>
                    <w:spacing w:before="125" w:line="197" w:lineRule="auto"/>
                    <w:ind w:left="44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414" w:type="dxa"/>
                  <w:vAlign w:val="top"/>
                </w:tcPr>
                <w:p>
                  <w:pPr>
                    <w:spacing w:before="96" w:line="230" w:lineRule="auto"/>
                    <w:ind w:left="440"/>
                    <w:rPr>
                      <w:rFonts w:ascii="宋体" w:hAnsi="宋体" w:eastAsia="宋体" w:cs="宋体"/>
                      <w:sz w:val="17"/>
                      <w:szCs w:val="17"/>
                    </w:rPr>
                  </w:pPr>
                  <w:r>
                    <w:rPr>
                      <w:rFonts w:ascii="宋体" w:hAnsi="宋体" w:eastAsia="宋体" w:cs="宋体"/>
                      <w:spacing w:val="8"/>
                      <w:sz w:val="17"/>
                      <w:szCs w:val="17"/>
                    </w:rPr>
                    <w:t>黄尾</w:t>
                  </w:r>
                  <w:r>
                    <w:rPr>
                      <w:rFonts w:ascii="宋体" w:hAnsi="宋体" w:eastAsia="宋体" w:cs="宋体"/>
                      <w:spacing w:val="7"/>
                      <w:sz w:val="17"/>
                      <w:szCs w:val="17"/>
                    </w:rPr>
                    <w:t>鲴</w:t>
                  </w:r>
                </w:p>
              </w:tc>
              <w:tc>
                <w:tcPr>
                  <w:tcW w:w="864" w:type="dxa"/>
                  <w:vAlign w:val="top"/>
                </w:tcPr>
                <w:p>
                  <w:pPr>
                    <w:spacing w:before="129" w:line="194" w:lineRule="auto"/>
                    <w:ind w:left="390"/>
                    <w:rPr>
                      <w:rFonts w:ascii="Times New Roman" w:hAnsi="Times New Roman" w:eastAsia="Times New Roman" w:cs="Times New Roman"/>
                      <w:sz w:val="17"/>
                      <w:szCs w:val="17"/>
                    </w:rPr>
                  </w:pPr>
                  <w:r>
                    <w:rPr>
                      <w:rFonts w:ascii="Times New Roman" w:hAnsi="Times New Roman" w:eastAsia="Times New Roman" w:cs="Times New Roman"/>
                      <w:sz w:val="17"/>
                      <w:szCs w:val="17"/>
                    </w:rPr>
                    <w:t>7</w:t>
                  </w:r>
                </w:p>
              </w:tc>
              <w:tc>
                <w:tcPr>
                  <w:tcW w:w="1153" w:type="dxa"/>
                  <w:vAlign w:val="top"/>
                </w:tcPr>
                <w:p>
                  <w:pPr>
                    <w:spacing w:before="63" w:line="243" w:lineRule="exact"/>
                    <w:ind w:left="347"/>
                    <w:rPr>
                      <w:rFonts w:ascii="Times New Roman" w:hAnsi="Times New Roman" w:eastAsia="Times New Roman" w:cs="Times New Roman"/>
                      <w:sz w:val="17"/>
                      <w:szCs w:val="17"/>
                    </w:rPr>
                  </w:pPr>
                  <w:r>
                    <w:rPr>
                      <w:rFonts w:ascii="Times New Roman" w:hAnsi="Times New Roman" w:eastAsia="Times New Roman" w:cs="Times New Roman"/>
                      <w:spacing w:val="5"/>
                      <w:position w:val="2"/>
                      <w:sz w:val="17"/>
                      <w:szCs w:val="17"/>
                    </w:rPr>
                    <w:t>3</w:t>
                  </w:r>
                  <w:r>
                    <w:rPr>
                      <w:rFonts w:ascii="Times New Roman" w:hAnsi="Times New Roman" w:eastAsia="Times New Roman" w:cs="Times New Roman"/>
                      <w:spacing w:val="3"/>
                      <w:position w:val="2"/>
                      <w:sz w:val="17"/>
                      <w:szCs w:val="17"/>
                    </w:rPr>
                    <w:t>.72%</w:t>
                  </w:r>
                </w:p>
              </w:tc>
              <w:tc>
                <w:tcPr>
                  <w:tcW w:w="1059" w:type="dxa"/>
                  <w:vAlign w:val="top"/>
                </w:tcPr>
                <w:p>
                  <w:pPr>
                    <w:spacing w:before="127" w:line="200" w:lineRule="auto"/>
                    <w:ind w:left="38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1.8</w:t>
                  </w:r>
                  <w:r>
                    <w:rPr>
                      <w:rFonts w:ascii="Times New Roman" w:hAnsi="Times New Roman" w:eastAsia="Times New Roman" w:cs="Times New Roman"/>
                      <w:sz w:val="17"/>
                      <w:szCs w:val="17"/>
                    </w:rPr>
                    <w:t>2</w:t>
                  </w:r>
                </w:p>
              </w:tc>
              <w:tc>
                <w:tcPr>
                  <w:tcW w:w="1061" w:type="dxa"/>
                  <w:vAlign w:val="top"/>
                </w:tcPr>
                <w:p>
                  <w:pPr>
                    <w:spacing w:before="63" w:line="243" w:lineRule="exact"/>
                    <w:ind w:left="302"/>
                    <w:rPr>
                      <w:rFonts w:ascii="Times New Roman" w:hAnsi="Times New Roman" w:eastAsia="Times New Roman" w:cs="Times New Roman"/>
                      <w:sz w:val="17"/>
                      <w:szCs w:val="17"/>
                    </w:rPr>
                  </w:pPr>
                  <w:r>
                    <w:rPr>
                      <w:rFonts w:ascii="Times New Roman" w:hAnsi="Times New Roman" w:eastAsia="Times New Roman" w:cs="Times New Roman"/>
                      <w:spacing w:val="5"/>
                      <w:position w:val="2"/>
                      <w:sz w:val="17"/>
                      <w:szCs w:val="17"/>
                    </w:rPr>
                    <w:t>0</w:t>
                  </w:r>
                  <w:r>
                    <w:rPr>
                      <w:rFonts w:ascii="Times New Roman" w:hAnsi="Times New Roman" w:eastAsia="Times New Roman" w:cs="Times New Roman"/>
                      <w:spacing w:val="4"/>
                      <w:position w:val="2"/>
                      <w:sz w:val="17"/>
                      <w:szCs w:val="17"/>
                    </w:rPr>
                    <w:t>.95%</w:t>
                  </w:r>
                </w:p>
              </w:tc>
              <w:tc>
                <w:tcPr>
                  <w:tcW w:w="1119" w:type="dxa"/>
                  <w:vAlign w:val="top"/>
                </w:tcPr>
                <w:p>
                  <w:pPr>
                    <w:spacing w:before="127" w:line="197" w:lineRule="auto"/>
                    <w:ind w:left="21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w:t>
                  </w:r>
                  <w:r>
                    <w:rPr>
                      <w:rFonts w:ascii="Times New Roman" w:hAnsi="Times New Roman" w:eastAsia="Times New Roman" w:cs="Times New Roman"/>
                      <w:spacing w:val="2"/>
                      <w:sz w:val="17"/>
                      <w:szCs w:val="17"/>
                    </w:rPr>
                    <w:t>6.3~21.2</w:t>
                  </w:r>
                </w:p>
              </w:tc>
              <w:tc>
                <w:tcPr>
                  <w:tcW w:w="1193" w:type="dxa"/>
                  <w:vAlign w:val="top"/>
                </w:tcPr>
                <w:p>
                  <w:pPr>
                    <w:spacing w:before="127" w:line="197" w:lineRule="auto"/>
                    <w:ind w:left="45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19</w:t>
                  </w:r>
                  <w:r>
                    <w:rPr>
                      <w:rFonts w:ascii="Times New Roman" w:hAnsi="Times New Roman" w:eastAsia="Times New Roman" w:cs="Times New Roman"/>
                      <w:sz w:val="17"/>
                      <w:szCs w:val="17"/>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414" w:type="dxa"/>
                  <w:vAlign w:val="top"/>
                </w:tcPr>
                <w:p>
                  <w:pPr>
                    <w:spacing w:before="95" w:line="232" w:lineRule="auto"/>
                    <w:ind w:left="533"/>
                    <w:rPr>
                      <w:rFonts w:ascii="宋体" w:hAnsi="宋体" w:eastAsia="宋体" w:cs="宋体"/>
                      <w:sz w:val="17"/>
                      <w:szCs w:val="17"/>
                    </w:rPr>
                  </w:pPr>
                  <w:r>
                    <w:rPr>
                      <w:rFonts w:ascii="宋体" w:hAnsi="宋体" w:eastAsia="宋体" w:cs="宋体"/>
                      <w:spacing w:val="6"/>
                      <w:sz w:val="17"/>
                      <w:szCs w:val="17"/>
                    </w:rPr>
                    <w:t>银鲴</w:t>
                  </w:r>
                </w:p>
              </w:tc>
              <w:tc>
                <w:tcPr>
                  <w:tcW w:w="864" w:type="dxa"/>
                  <w:vAlign w:val="top"/>
                </w:tcPr>
                <w:p>
                  <w:pPr>
                    <w:spacing w:before="126" w:line="197" w:lineRule="auto"/>
                    <w:ind w:left="391"/>
                    <w:rPr>
                      <w:rFonts w:ascii="Times New Roman" w:hAnsi="Times New Roman" w:eastAsia="Times New Roman" w:cs="Times New Roman"/>
                      <w:sz w:val="17"/>
                      <w:szCs w:val="17"/>
                    </w:rPr>
                  </w:pPr>
                  <w:r>
                    <w:rPr>
                      <w:rFonts w:ascii="Times New Roman" w:hAnsi="Times New Roman" w:eastAsia="Times New Roman" w:cs="Times New Roman"/>
                      <w:sz w:val="17"/>
                      <w:szCs w:val="17"/>
                    </w:rPr>
                    <w:t>6</w:t>
                  </w:r>
                </w:p>
              </w:tc>
              <w:tc>
                <w:tcPr>
                  <w:tcW w:w="1153" w:type="dxa"/>
                  <w:vAlign w:val="top"/>
                </w:tcPr>
                <w:p>
                  <w:pPr>
                    <w:spacing w:before="63" w:line="242" w:lineRule="exact"/>
                    <w:ind w:left="347"/>
                    <w:rPr>
                      <w:rFonts w:ascii="Times New Roman" w:hAnsi="Times New Roman" w:eastAsia="Times New Roman" w:cs="Times New Roman"/>
                      <w:sz w:val="17"/>
                      <w:szCs w:val="17"/>
                    </w:rPr>
                  </w:pPr>
                  <w:r>
                    <w:rPr>
                      <w:rFonts w:ascii="Times New Roman" w:hAnsi="Times New Roman" w:eastAsia="Times New Roman" w:cs="Times New Roman"/>
                      <w:spacing w:val="-5"/>
                      <w:position w:val="2"/>
                      <w:sz w:val="17"/>
                      <w:szCs w:val="17"/>
                    </w:rPr>
                    <w:t>3</w:t>
                  </w:r>
                  <w:r>
                    <w:rPr>
                      <w:rFonts w:ascii="Times New Roman" w:hAnsi="Times New Roman" w:eastAsia="Times New Roman" w:cs="Times New Roman"/>
                      <w:spacing w:val="-4"/>
                      <w:position w:val="2"/>
                      <w:sz w:val="17"/>
                      <w:szCs w:val="17"/>
                    </w:rPr>
                    <w:t>. 19%</w:t>
                  </w:r>
                </w:p>
              </w:tc>
              <w:tc>
                <w:tcPr>
                  <w:tcW w:w="1059" w:type="dxa"/>
                  <w:vAlign w:val="top"/>
                </w:tcPr>
                <w:p>
                  <w:pPr>
                    <w:spacing w:before="126" w:line="200" w:lineRule="auto"/>
                    <w:ind w:left="38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1.3</w:t>
                  </w:r>
                  <w:r>
                    <w:rPr>
                      <w:rFonts w:ascii="Times New Roman" w:hAnsi="Times New Roman" w:eastAsia="Times New Roman" w:cs="Times New Roman"/>
                      <w:sz w:val="17"/>
                      <w:szCs w:val="17"/>
                    </w:rPr>
                    <w:t>0</w:t>
                  </w:r>
                </w:p>
              </w:tc>
              <w:tc>
                <w:tcPr>
                  <w:tcW w:w="1061" w:type="dxa"/>
                  <w:vAlign w:val="top"/>
                </w:tcPr>
                <w:p>
                  <w:pPr>
                    <w:spacing w:before="63" w:line="242" w:lineRule="exact"/>
                    <w:ind w:left="302"/>
                    <w:rPr>
                      <w:rFonts w:ascii="Times New Roman" w:hAnsi="Times New Roman" w:eastAsia="Times New Roman" w:cs="Times New Roman"/>
                      <w:sz w:val="17"/>
                      <w:szCs w:val="17"/>
                    </w:rPr>
                  </w:pPr>
                  <w:r>
                    <w:rPr>
                      <w:rFonts w:ascii="Times New Roman" w:hAnsi="Times New Roman" w:eastAsia="Times New Roman" w:cs="Times New Roman"/>
                      <w:spacing w:val="5"/>
                      <w:position w:val="2"/>
                      <w:sz w:val="17"/>
                      <w:szCs w:val="17"/>
                    </w:rPr>
                    <w:t>0</w:t>
                  </w:r>
                  <w:r>
                    <w:rPr>
                      <w:rFonts w:ascii="Times New Roman" w:hAnsi="Times New Roman" w:eastAsia="Times New Roman" w:cs="Times New Roman"/>
                      <w:spacing w:val="4"/>
                      <w:position w:val="2"/>
                      <w:sz w:val="17"/>
                      <w:szCs w:val="17"/>
                    </w:rPr>
                    <w:t>.68%</w:t>
                  </w:r>
                </w:p>
              </w:tc>
              <w:tc>
                <w:tcPr>
                  <w:tcW w:w="1119" w:type="dxa"/>
                  <w:vAlign w:val="top"/>
                </w:tcPr>
                <w:p>
                  <w:pPr>
                    <w:spacing w:before="126" w:line="197" w:lineRule="auto"/>
                    <w:ind w:left="21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15</w:t>
                  </w:r>
                  <w:r>
                    <w:rPr>
                      <w:rFonts w:ascii="Times New Roman" w:hAnsi="Times New Roman" w:eastAsia="Times New Roman" w:cs="Times New Roman"/>
                      <w:spacing w:val="3"/>
                      <w:sz w:val="17"/>
                      <w:szCs w:val="17"/>
                    </w:rPr>
                    <w:t>.</w:t>
                  </w:r>
                  <w:r>
                    <w:rPr>
                      <w:rFonts w:ascii="Times New Roman" w:hAnsi="Times New Roman" w:eastAsia="Times New Roman" w:cs="Times New Roman"/>
                      <w:spacing w:val="2"/>
                      <w:sz w:val="17"/>
                      <w:szCs w:val="17"/>
                    </w:rPr>
                    <w:t>3~22.6</w:t>
                  </w:r>
                </w:p>
              </w:tc>
              <w:tc>
                <w:tcPr>
                  <w:tcW w:w="1193" w:type="dxa"/>
                  <w:vAlign w:val="top"/>
                </w:tcPr>
                <w:p>
                  <w:pPr>
                    <w:spacing w:before="126" w:line="197" w:lineRule="auto"/>
                    <w:ind w:left="45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w:t>
                  </w:r>
                  <w:r>
                    <w:rPr>
                      <w:rFonts w:ascii="Times New Roman" w:hAnsi="Times New Roman" w:eastAsia="Times New Roman" w:cs="Times New Roman"/>
                      <w:sz w:val="17"/>
                      <w:szCs w:val="17"/>
                    </w:rPr>
                    <w:t>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414" w:type="dxa"/>
                  <w:vAlign w:val="top"/>
                </w:tcPr>
                <w:p>
                  <w:pPr>
                    <w:spacing w:before="97" w:line="230" w:lineRule="auto"/>
                    <w:ind w:left="622"/>
                    <w:rPr>
                      <w:rFonts w:ascii="宋体" w:hAnsi="宋体" w:eastAsia="宋体" w:cs="宋体"/>
                      <w:sz w:val="17"/>
                      <w:szCs w:val="17"/>
                    </w:rPr>
                  </w:pPr>
                  <w:r>
                    <w:rPr>
                      <w:rFonts w:ascii="宋体" w:hAnsi="宋体" w:eastAsia="宋体" w:cs="宋体"/>
                      <w:spacing w:val="2"/>
                      <w:sz w:val="17"/>
                      <w:szCs w:val="17"/>
                    </w:rPr>
                    <w:t>鳜</w:t>
                  </w:r>
                </w:p>
              </w:tc>
              <w:tc>
                <w:tcPr>
                  <w:tcW w:w="864" w:type="dxa"/>
                  <w:vAlign w:val="top"/>
                </w:tcPr>
                <w:p>
                  <w:pPr>
                    <w:spacing w:before="128" w:line="194" w:lineRule="auto"/>
                    <w:ind w:left="390"/>
                    <w:rPr>
                      <w:rFonts w:ascii="Times New Roman" w:hAnsi="Times New Roman" w:eastAsia="Times New Roman" w:cs="Times New Roman"/>
                      <w:sz w:val="17"/>
                      <w:szCs w:val="17"/>
                    </w:rPr>
                  </w:pPr>
                  <w:r>
                    <w:rPr>
                      <w:rFonts w:ascii="Times New Roman" w:hAnsi="Times New Roman" w:eastAsia="Times New Roman" w:cs="Times New Roman"/>
                      <w:sz w:val="17"/>
                      <w:szCs w:val="17"/>
                    </w:rPr>
                    <w:t>7</w:t>
                  </w:r>
                </w:p>
              </w:tc>
              <w:tc>
                <w:tcPr>
                  <w:tcW w:w="1153" w:type="dxa"/>
                  <w:vAlign w:val="top"/>
                </w:tcPr>
                <w:p>
                  <w:pPr>
                    <w:spacing w:before="62" w:line="242" w:lineRule="exact"/>
                    <w:ind w:left="347"/>
                    <w:rPr>
                      <w:rFonts w:ascii="Times New Roman" w:hAnsi="Times New Roman" w:eastAsia="Times New Roman" w:cs="Times New Roman"/>
                      <w:sz w:val="17"/>
                      <w:szCs w:val="17"/>
                    </w:rPr>
                  </w:pPr>
                  <w:r>
                    <w:rPr>
                      <w:rFonts w:ascii="Times New Roman" w:hAnsi="Times New Roman" w:eastAsia="Times New Roman" w:cs="Times New Roman"/>
                      <w:spacing w:val="5"/>
                      <w:position w:val="2"/>
                      <w:sz w:val="17"/>
                      <w:szCs w:val="17"/>
                    </w:rPr>
                    <w:t>3</w:t>
                  </w:r>
                  <w:r>
                    <w:rPr>
                      <w:rFonts w:ascii="Times New Roman" w:hAnsi="Times New Roman" w:eastAsia="Times New Roman" w:cs="Times New Roman"/>
                      <w:spacing w:val="3"/>
                      <w:position w:val="2"/>
                      <w:sz w:val="17"/>
                      <w:szCs w:val="17"/>
                    </w:rPr>
                    <w:t>.72%</w:t>
                  </w:r>
                </w:p>
              </w:tc>
              <w:tc>
                <w:tcPr>
                  <w:tcW w:w="1059" w:type="dxa"/>
                  <w:vAlign w:val="top"/>
                </w:tcPr>
                <w:p>
                  <w:pPr>
                    <w:spacing w:before="126" w:line="197" w:lineRule="auto"/>
                    <w:ind w:left="374"/>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0.3</w:t>
                  </w:r>
                  <w:r>
                    <w:rPr>
                      <w:rFonts w:ascii="Times New Roman" w:hAnsi="Times New Roman" w:eastAsia="Times New Roman" w:cs="Times New Roman"/>
                      <w:spacing w:val="2"/>
                      <w:sz w:val="17"/>
                      <w:szCs w:val="17"/>
                    </w:rPr>
                    <w:t>7</w:t>
                  </w:r>
                </w:p>
              </w:tc>
              <w:tc>
                <w:tcPr>
                  <w:tcW w:w="1061" w:type="dxa"/>
                  <w:vAlign w:val="top"/>
                </w:tcPr>
                <w:p>
                  <w:pPr>
                    <w:spacing w:before="62" w:line="242" w:lineRule="exact"/>
                    <w:ind w:left="302"/>
                    <w:rPr>
                      <w:rFonts w:ascii="Times New Roman" w:hAnsi="Times New Roman" w:eastAsia="Times New Roman" w:cs="Times New Roman"/>
                      <w:sz w:val="17"/>
                      <w:szCs w:val="17"/>
                    </w:rPr>
                  </w:pPr>
                  <w:r>
                    <w:rPr>
                      <w:rFonts w:ascii="Times New Roman" w:hAnsi="Times New Roman" w:eastAsia="Times New Roman" w:cs="Times New Roman"/>
                      <w:spacing w:val="-6"/>
                      <w:position w:val="2"/>
                      <w:sz w:val="17"/>
                      <w:szCs w:val="17"/>
                    </w:rPr>
                    <w:t>0</w:t>
                  </w:r>
                  <w:r>
                    <w:rPr>
                      <w:rFonts w:ascii="Times New Roman" w:hAnsi="Times New Roman" w:eastAsia="Times New Roman" w:cs="Times New Roman"/>
                      <w:spacing w:val="-4"/>
                      <w:position w:val="2"/>
                      <w:sz w:val="17"/>
                      <w:szCs w:val="17"/>
                    </w:rPr>
                    <w:t>.</w:t>
                  </w:r>
                  <w:r>
                    <w:rPr>
                      <w:rFonts w:ascii="Times New Roman" w:hAnsi="Times New Roman" w:eastAsia="Times New Roman" w:cs="Times New Roman"/>
                      <w:spacing w:val="-3"/>
                      <w:position w:val="2"/>
                      <w:sz w:val="17"/>
                      <w:szCs w:val="17"/>
                    </w:rPr>
                    <w:t xml:space="preserve"> 19%</w:t>
                  </w:r>
                </w:p>
              </w:tc>
              <w:tc>
                <w:tcPr>
                  <w:tcW w:w="1119" w:type="dxa"/>
                  <w:vAlign w:val="top"/>
                </w:tcPr>
                <w:p>
                  <w:pPr>
                    <w:spacing w:before="125"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7.3~ 1</w:t>
                  </w:r>
                  <w:r>
                    <w:rPr>
                      <w:rFonts w:ascii="Times New Roman" w:hAnsi="Times New Roman" w:eastAsia="Times New Roman" w:cs="Times New Roman"/>
                      <w:spacing w:val="-1"/>
                      <w:sz w:val="17"/>
                      <w:szCs w:val="17"/>
                    </w:rPr>
                    <w:t>0.2</w:t>
                  </w:r>
                </w:p>
              </w:tc>
              <w:tc>
                <w:tcPr>
                  <w:tcW w:w="1193" w:type="dxa"/>
                  <w:vAlign w:val="top"/>
                </w:tcPr>
                <w:p>
                  <w:pPr>
                    <w:spacing w:before="126" w:line="197" w:lineRule="auto"/>
                    <w:ind w:left="49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8</w:t>
                  </w:r>
                  <w:r>
                    <w:rPr>
                      <w:rFonts w:ascii="Times New Roman" w:hAnsi="Times New Roman" w:eastAsia="Times New Roman" w:cs="Times New Roman"/>
                      <w:spacing w:val="1"/>
                      <w:sz w:val="17"/>
                      <w:szCs w:val="17"/>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414" w:type="dxa"/>
                  <w:vAlign w:val="top"/>
                </w:tcPr>
                <w:p>
                  <w:pPr>
                    <w:spacing w:before="96" w:line="230" w:lineRule="auto"/>
                    <w:ind w:left="278"/>
                    <w:rPr>
                      <w:rFonts w:ascii="宋体" w:hAnsi="宋体" w:eastAsia="宋体" w:cs="宋体"/>
                      <w:sz w:val="17"/>
                      <w:szCs w:val="17"/>
                    </w:rPr>
                  </w:pPr>
                  <w:r>
                    <w:rPr>
                      <w:rFonts w:ascii="宋体" w:hAnsi="宋体" w:eastAsia="宋体" w:cs="宋体"/>
                      <w:spacing w:val="6"/>
                      <w:sz w:val="17"/>
                      <w:szCs w:val="17"/>
                    </w:rPr>
                    <w:t>中</w:t>
                  </w:r>
                  <w:r>
                    <w:rPr>
                      <w:rFonts w:ascii="宋体" w:hAnsi="宋体" w:eastAsia="宋体" w:cs="宋体"/>
                      <w:spacing w:val="5"/>
                      <w:sz w:val="17"/>
                      <w:szCs w:val="17"/>
                    </w:rPr>
                    <w:t>华倒刺鲃</w:t>
                  </w:r>
                </w:p>
              </w:tc>
              <w:tc>
                <w:tcPr>
                  <w:tcW w:w="864" w:type="dxa"/>
                  <w:vAlign w:val="top"/>
                </w:tcPr>
                <w:p>
                  <w:pPr>
                    <w:spacing w:before="127" w:line="197" w:lineRule="auto"/>
                    <w:ind w:left="35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10</w:t>
                  </w:r>
                </w:p>
              </w:tc>
              <w:tc>
                <w:tcPr>
                  <w:tcW w:w="1153" w:type="dxa"/>
                  <w:vAlign w:val="top"/>
                </w:tcPr>
                <w:p>
                  <w:pPr>
                    <w:spacing w:before="63" w:line="243" w:lineRule="exact"/>
                    <w:ind w:left="349"/>
                    <w:rPr>
                      <w:rFonts w:ascii="Times New Roman" w:hAnsi="Times New Roman" w:eastAsia="Times New Roman" w:cs="Times New Roman"/>
                      <w:sz w:val="17"/>
                      <w:szCs w:val="17"/>
                    </w:rPr>
                  </w:pPr>
                  <w:r>
                    <w:rPr>
                      <w:rFonts w:ascii="Times New Roman" w:hAnsi="Times New Roman" w:eastAsia="Times New Roman" w:cs="Times New Roman"/>
                      <w:spacing w:val="4"/>
                      <w:position w:val="2"/>
                      <w:sz w:val="17"/>
                      <w:szCs w:val="17"/>
                    </w:rPr>
                    <w:t>5</w:t>
                  </w:r>
                  <w:r>
                    <w:rPr>
                      <w:rFonts w:ascii="Times New Roman" w:hAnsi="Times New Roman" w:eastAsia="Times New Roman" w:cs="Times New Roman"/>
                      <w:spacing w:val="3"/>
                      <w:position w:val="2"/>
                      <w:sz w:val="17"/>
                      <w:szCs w:val="17"/>
                    </w:rPr>
                    <w:t>.32%</w:t>
                  </w:r>
                </w:p>
              </w:tc>
              <w:tc>
                <w:tcPr>
                  <w:tcW w:w="1059" w:type="dxa"/>
                  <w:vAlign w:val="top"/>
                </w:tcPr>
                <w:p>
                  <w:pPr>
                    <w:spacing w:before="127" w:line="197" w:lineRule="auto"/>
                    <w:ind w:left="37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7.6</w:t>
                  </w:r>
                  <w:r>
                    <w:rPr>
                      <w:rFonts w:ascii="Times New Roman" w:hAnsi="Times New Roman" w:eastAsia="Times New Roman" w:cs="Times New Roman"/>
                      <w:spacing w:val="2"/>
                      <w:sz w:val="17"/>
                      <w:szCs w:val="17"/>
                    </w:rPr>
                    <w:t>1</w:t>
                  </w:r>
                </w:p>
              </w:tc>
              <w:tc>
                <w:tcPr>
                  <w:tcW w:w="1061" w:type="dxa"/>
                  <w:vAlign w:val="top"/>
                </w:tcPr>
                <w:p>
                  <w:pPr>
                    <w:spacing w:before="63" w:line="243" w:lineRule="exact"/>
                    <w:ind w:left="303"/>
                    <w:rPr>
                      <w:rFonts w:ascii="Times New Roman" w:hAnsi="Times New Roman" w:eastAsia="Times New Roman" w:cs="Times New Roman"/>
                      <w:sz w:val="17"/>
                      <w:szCs w:val="17"/>
                    </w:rPr>
                  </w:pPr>
                  <w:r>
                    <w:rPr>
                      <w:rFonts w:ascii="Times New Roman" w:hAnsi="Times New Roman" w:eastAsia="Times New Roman" w:cs="Times New Roman"/>
                      <w:spacing w:val="4"/>
                      <w:position w:val="2"/>
                      <w:sz w:val="17"/>
                      <w:szCs w:val="17"/>
                    </w:rPr>
                    <w:t>3.98%</w:t>
                  </w:r>
                </w:p>
              </w:tc>
              <w:tc>
                <w:tcPr>
                  <w:tcW w:w="1119" w:type="dxa"/>
                  <w:vAlign w:val="top"/>
                </w:tcPr>
                <w:p>
                  <w:pPr>
                    <w:spacing w:before="127" w:line="197" w:lineRule="auto"/>
                    <w:ind w:left="198"/>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20.</w:t>
                  </w:r>
                  <w:r>
                    <w:rPr>
                      <w:rFonts w:ascii="Times New Roman" w:hAnsi="Times New Roman" w:eastAsia="Times New Roman" w:cs="Times New Roman"/>
                      <w:sz w:val="17"/>
                      <w:szCs w:val="17"/>
                    </w:rPr>
                    <w:t xml:space="preserve"> 1~34.6</w:t>
                  </w:r>
                </w:p>
              </w:tc>
              <w:tc>
                <w:tcPr>
                  <w:tcW w:w="1193" w:type="dxa"/>
                  <w:vAlign w:val="top"/>
                </w:tcPr>
                <w:p>
                  <w:pPr>
                    <w:spacing w:before="127" w:line="197" w:lineRule="auto"/>
                    <w:ind w:left="4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414" w:type="dxa"/>
                  <w:vAlign w:val="top"/>
                </w:tcPr>
                <w:p>
                  <w:pPr>
                    <w:spacing w:before="76" w:line="229" w:lineRule="auto"/>
                    <w:ind w:left="621"/>
                    <w:rPr>
                      <w:rFonts w:ascii="宋体" w:hAnsi="宋体" w:eastAsia="宋体" w:cs="宋体"/>
                      <w:sz w:val="17"/>
                      <w:szCs w:val="17"/>
                    </w:rPr>
                  </w:pPr>
                  <w:r>
                    <w:rPr>
                      <w:rFonts w:ascii="宋体" w:hAnsi="宋体" w:eastAsia="宋体" w:cs="宋体"/>
                      <w:spacing w:val="2"/>
                      <w:sz w:val="17"/>
                      <w:szCs w:val="17"/>
                    </w:rPr>
                    <w:t>䱗</w:t>
                  </w:r>
                </w:p>
              </w:tc>
              <w:tc>
                <w:tcPr>
                  <w:tcW w:w="864" w:type="dxa"/>
                  <w:vAlign w:val="top"/>
                </w:tcPr>
                <w:p>
                  <w:pPr>
                    <w:spacing w:before="104" w:line="197" w:lineRule="auto"/>
                    <w:ind w:left="404"/>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1153" w:type="dxa"/>
                  <w:vAlign w:val="top"/>
                </w:tcPr>
                <w:p>
                  <w:pPr>
                    <w:spacing w:before="41" w:line="242" w:lineRule="exact"/>
                    <w:ind w:left="347"/>
                    <w:rPr>
                      <w:rFonts w:ascii="Times New Roman" w:hAnsi="Times New Roman" w:eastAsia="Times New Roman" w:cs="Times New Roman"/>
                      <w:sz w:val="17"/>
                      <w:szCs w:val="17"/>
                    </w:rPr>
                  </w:pPr>
                  <w:r>
                    <w:rPr>
                      <w:rFonts w:ascii="Times New Roman" w:hAnsi="Times New Roman" w:eastAsia="Times New Roman" w:cs="Times New Roman"/>
                      <w:spacing w:val="6"/>
                      <w:position w:val="2"/>
                      <w:sz w:val="17"/>
                      <w:szCs w:val="17"/>
                    </w:rPr>
                    <w:t>0</w:t>
                  </w:r>
                  <w:r>
                    <w:rPr>
                      <w:rFonts w:ascii="Times New Roman" w:hAnsi="Times New Roman" w:eastAsia="Times New Roman" w:cs="Times New Roman"/>
                      <w:spacing w:val="3"/>
                      <w:position w:val="2"/>
                      <w:sz w:val="17"/>
                      <w:szCs w:val="17"/>
                    </w:rPr>
                    <w:t>.53%</w:t>
                  </w:r>
                </w:p>
              </w:tc>
              <w:tc>
                <w:tcPr>
                  <w:tcW w:w="1059" w:type="dxa"/>
                  <w:vAlign w:val="top"/>
                </w:tcPr>
                <w:p>
                  <w:pPr>
                    <w:spacing w:before="105" w:line="197" w:lineRule="auto"/>
                    <w:ind w:left="374"/>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0.0</w:t>
                  </w:r>
                  <w:r>
                    <w:rPr>
                      <w:rFonts w:ascii="Times New Roman" w:hAnsi="Times New Roman" w:eastAsia="Times New Roman" w:cs="Times New Roman"/>
                      <w:spacing w:val="2"/>
                      <w:sz w:val="17"/>
                      <w:szCs w:val="17"/>
                    </w:rPr>
                    <w:t>9</w:t>
                  </w:r>
                </w:p>
              </w:tc>
              <w:tc>
                <w:tcPr>
                  <w:tcW w:w="1061" w:type="dxa"/>
                  <w:vAlign w:val="top"/>
                </w:tcPr>
                <w:p>
                  <w:pPr>
                    <w:spacing w:before="41" w:line="242" w:lineRule="exact"/>
                    <w:ind w:left="302"/>
                    <w:rPr>
                      <w:rFonts w:ascii="Times New Roman" w:hAnsi="Times New Roman" w:eastAsia="Times New Roman" w:cs="Times New Roman"/>
                      <w:sz w:val="17"/>
                      <w:szCs w:val="17"/>
                    </w:rPr>
                  </w:pPr>
                  <w:r>
                    <w:rPr>
                      <w:rFonts w:ascii="Times New Roman" w:hAnsi="Times New Roman" w:eastAsia="Times New Roman" w:cs="Times New Roman"/>
                      <w:spacing w:val="5"/>
                      <w:position w:val="2"/>
                      <w:sz w:val="17"/>
                      <w:szCs w:val="17"/>
                    </w:rPr>
                    <w:t>0</w:t>
                  </w:r>
                  <w:r>
                    <w:rPr>
                      <w:rFonts w:ascii="Times New Roman" w:hAnsi="Times New Roman" w:eastAsia="Times New Roman" w:cs="Times New Roman"/>
                      <w:spacing w:val="4"/>
                      <w:position w:val="2"/>
                      <w:sz w:val="17"/>
                      <w:szCs w:val="17"/>
                    </w:rPr>
                    <w:t>.05%</w:t>
                  </w:r>
                </w:p>
              </w:tc>
              <w:tc>
                <w:tcPr>
                  <w:tcW w:w="1119" w:type="dxa"/>
                  <w:vAlign w:val="top"/>
                </w:tcPr>
                <w:p>
                  <w:pPr>
                    <w:spacing w:before="104" w:line="197" w:lineRule="auto"/>
                    <w:ind w:left="422"/>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17.</w:t>
                  </w:r>
                  <w:r>
                    <w:rPr>
                      <w:rFonts w:ascii="Times New Roman" w:hAnsi="Times New Roman" w:eastAsia="Times New Roman" w:cs="Times New Roman"/>
                      <w:sz w:val="17"/>
                      <w:szCs w:val="17"/>
                    </w:rPr>
                    <w:t>4</w:t>
                  </w:r>
                </w:p>
              </w:tc>
              <w:tc>
                <w:tcPr>
                  <w:tcW w:w="1193" w:type="dxa"/>
                  <w:vAlign w:val="top"/>
                </w:tcPr>
                <w:p>
                  <w:pPr>
                    <w:spacing w:before="104" w:line="197" w:lineRule="auto"/>
                    <w:ind w:left="45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17.</w:t>
                  </w:r>
                  <w:r>
                    <w:rPr>
                      <w:rFonts w:ascii="Times New Roman" w:hAnsi="Times New Roman" w:eastAsia="Times New Roman" w:cs="Times New Roman"/>
                      <w:sz w:val="17"/>
                      <w:szCs w:val="17"/>
                    </w:rPr>
                    <w:t>4</w:t>
                  </w:r>
                </w:p>
              </w:tc>
            </w:tr>
          </w:tbl>
          <w:p>
            <w:pPr>
              <w:spacing w:before="103" w:line="281" w:lineRule="exact"/>
              <w:ind w:left="526"/>
              <w:rPr>
                <w:rFonts w:ascii="宋体" w:hAnsi="宋体" w:eastAsia="宋体" w:cs="宋体"/>
                <w:sz w:val="20"/>
                <w:szCs w:val="20"/>
              </w:rPr>
            </w:pPr>
            <w:r>
              <w:rPr>
                <w:rFonts w:ascii="Times New Roman" w:hAnsi="Times New Roman" w:eastAsia="Times New Roman" w:cs="Times New Roman"/>
                <w:spacing w:val="12"/>
                <w:position w:val="2"/>
                <w:sz w:val="20"/>
                <w:szCs w:val="20"/>
              </w:rPr>
              <w:t>3</w:t>
            </w:r>
            <w:r>
              <w:rPr>
                <w:rFonts w:ascii="Times New Roman" w:hAnsi="Times New Roman" w:eastAsia="Times New Roman" w:cs="Times New Roman"/>
                <w:spacing w:val="6"/>
                <w:position w:val="2"/>
                <w:sz w:val="20"/>
                <w:szCs w:val="20"/>
              </w:rPr>
              <w:t xml:space="preserve">)     </w:t>
            </w:r>
            <w:r>
              <w:rPr>
                <w:rFonts w:ascii="宋体" w:hAnsi="宋体" w:eastAsia="宋体" w:cs="宋体"/>
                <w:spacing w:val="6"/>
                <w:position w:val="2"/>
                <w:sz w:val="20"/>
                <w:szCs w:val="20"/>
              </w:rPr>
              <w:t>珍稀、特有和濒危水生生物现状</w:t>
            </w:r>
          </w:p>
          <w:p>
            <w:pPr>
              <w:spacing w:before="157" w:line="369" w:lineRule="auto"/>
              <w:ind w:left="107" w:right="57" w:firstLine="420"/>
              <w:rPr>
                <w:rFonts w:ascii="宋体" w:hAnsi="宋体" w:eastAsia="宋体" w:cs="宋体"/>
                <w:sz w:val="20"/>
                <w:szCs w:val="20"/>
              </w:rPr>
            </w:pPr>
            <w:r>
              <w:rPr>
                <w:rFonts w:ascii="宋体" w:hAnsi="宋体" w:eastAsia="宋体" w:cs="宋体"/>
                <w:spacing w:val="12"/>
                <w:sz w:val="20"/>
                <w:szCs w:val="20"/>
              </w:rPr>
              <w:t>州</w:t>
            </w:r>
            <w:r>
              <w:rPr>
                <w:rFonts w:ascii="宋体" w:hAnsi="宋体" w:eastAsia="宋体" w:cs="宋体"/>
                <w:spacing w:val="7"/>
                <w:sz w:val="20"/>
                <w:szCs w:val="20"/>
              </w:rPr>
              <w:t>河是渠江的主要支流，上溯于宣汉后河。工程河段两岸为自然岸坡，河道单一，为</w:t>
            </w:r>
            <w:r>
              <w:rPr>
                <w:rFonts w:ascii="宋体" w:hAnsi="宋体" w:eastAsia="宋体" w:cs="宋体"/>
                <w:sz w:val="20"/>
                <w:szCs w:val="20"/>
              </w:rPr>
              <w:t xml:space="preserve"> </w:t>
            </w:r>
            <w:r>
              <w:rPr>
                <w:rFonts w:ascii="宋体" w:hAnsi="宋体" w:eastAsia="宋体" w:cs="宋体"/>
                <w:spacing w:val="9"/>
                <w:sz w:val="20"/>
                <w:szCs w:val="20"/>
              </w:rPr>
              <w:t>典型的“</w:t>
            </w:r>
            <w:r>
              <w:rPr>
                <w:rFonts w:ascii="Times New Roman" w:hAnsi="Times New Roman" w:eastAsia="Times New Roman" w:cs="Times New Roman"/>
                <w:sz w:val="20"/>
                <w:szCs w:val="20"/>
              </w:rPr>
              <w:t>U</w:t>
            </w:r>
            <w:r>
              <w:rPr>
                <w:rFonts w:ascii="宋体" w:hAnsi="宋体" w:eastAsia="宋体" w:cs="宋体"/>
                <w:spacing w:val="9"/>
                <w:sz w:val="20"/>
                <w:szCs w:val="20"/>
              </w:rPr>
              <w:t>”型河道，水流流向总体自北向南流，蜿蜒曲折。通过州河高家坝桥址河段</w:t>
            </w:r>
            <w:r>
              <w:rPr>
                <w:rFonts w:ascii="宋体" w:hAnsi="宋体" w:eastAsia="宋体" w:cs="宋体"/>
                <w:spacing w:val="4"/>
                <w:sz w:val="20"/>
                <w:szCs w:val="20"/>
              </w:rPr>
              <w:t>一</w:t>
            </w:r>
            <w:r>
              <w:rPr>
                <w:rFonts w:ascii="宋体" w:hAnsi="宋体" w:eastAsia="宋体" w:cs="宋体"/>
                <w:sz w:val="20"/>
                <w:szCs w:val="20"/>
              </w:rPr>
              <w:t xml:space="preserve"> </w:t>
            </w:r>
            <w:r>
              <w:rPr>
                <w:rFonts w:ascii="宋体" w:hAnsi="宋体" w:eastAsia="宋体" w:cs="宋体"/>
                <w:spacing w:val="14"/>
                <w:sz w:val="20"/>
                <w:szCs w:val="20"/>
              </w:rPr>
              <w:t>直</w:t>
            </w:r>
            <w:r>
              <w:rPr>
                <w:rFonts w:ascii="宋体" w:hAnsi="宋体" w:eastAsia="宋体" w:cs="宋体"/>
                <w:spacing w:val="10"/>
                <w:sz w:val="20"/>
                <w:szCs w:val="20"/>
              </w:rPr>
              <w:t>向</w:t>
            </w:r>
            <w:r>
              <w:rPr>
                <w:rFonts w:ascii="宋体" w:hAnsi="宋体" w:eastAsia="宋体" w:cs="宋体"/>
                <w:spacing w:val="7"/>
                <w:sz w:val="20"/>
                <w:szCs w:val="20"/>
              </w:rPr>
              <w:t>南，经河市、渡市流向三汇镇汇入渠江。桥址刚好位于州河罗江口水电站下游和达州</w:t>
            </w:r>
            <w:r>
              <w:rPr>
                <w:rFonts w:ascii="宋体" w:hAnsi="宋体" w:eastAsia="宋体" w:cs="宋体"/>
                <w:sz w:val="20"/>
                <w:szCs w:val="20"/>
              </w:rPr>
              <w:t xml:space="preserve"> </w:t>
            </w:r>
            <w:r>
              <w:rPr>
                <w:rFonts w:ascii="宋体" w:hAnsi="宋体" w:eastAsia="宋体" w:cs="宋体"/>
                <w:spacing w:val="16"/>
                <w:sz w:val="20"/>
                <w:szCs w:val="20"/>
              </w:rPr>
              <w:t>市主</w:t>
            </w:r>
            <w:r>
              <w:rPr>
                <w:rFonts w:ascii="宋体" w:hAnsi="宋体" w:eastAsia="宋体" w:cs="宋体"/>
                <w:spacing w:val="8"/>
                <w:sz w:val="20"/>
                <w:szCs w:val="20"/>
              </w:rPr>
              <w:t>城区景观湖尾水上游，河段水流平缓，水域较宽，水体较浅，滩沱交替，水质肥沃，</w:t>
            </w:r>
            <w:r>
              <w:rPr>
                <w:rFonts w:ascii="宋体" w:hAnsi="宋体" w:eastAsia="宋体" w:cs="宋体"/>
                <w:sz w:val="20"/>
                <w:szCs w:val="20"/>
              </w:rPr>
              <w:t xml:space="preserve"> </w:t>
            </w:r>
            <w:r>
              <w:rPr>
                <w:rFonts w:ascii="宋体" w:hAnsi="宋体" w:eastAsia="宋体" w:cs="宋体"/>
                <w:spacing w:val="14"/>
                <w:sz w:val="20"/>
                <w:szCs w:val="20"/>
              </w:rPr>
              <w:t>有</w:t>
            </w:r>
            <w:r>
              <w:rPr>
                <w:rFonts w:ascii="宋体" w:hAnsi="宋体" w:eastAsia="宋体" w:cs="宋体"/>
                <w:spacing w:val="10"/>
                <w:sz w:val="20"/>
                <w:szCs w:val="20"/>
              </w:rPr>
              <w:t>机</w:t>
            </w:r>
            <w:r>
              <w:rPr>
                <w:rFonts w:ascii="宋体" w:hAnsi="宋体" w:eastAsia="宋体" w:cs="宋体"/>
                <w:spacing w:val="7"/>
                <w:sz w:val="20"/>
                <w:szCs w:val="20"/>
              </w:rPr>
              <w:t>物和营养盐丰富，日照充分，水温较高，饵料生物丰富居。本次调查到高家坝大桥工</w:t>
            </w:r>
          </w:p>
          <w:p>
            <w:pPr>
              <w:spacing w:before="1" w:line="226" w:lineRule="auto"/>
              <w:ind w:left="105"/>
              <w:rPr>
                <w:rFonts w:ascii="宋体" w:hAnsi="宋体" w:eastAsia="宋体" w:cs="宋体"/>
                <w:sz w:val="20"/>
                <w:szCs w:val="20"/>
              </w:rPr>
            </w:pPr>
            <w:r>
              <w:rPr>
                <w:rFonts w:ascii="宋体" w:hAnsi="宋体" w:eastAsia="宋体" w:cs="宋体"/>
                <w:spacing w:val="8"/>
                <w:sz w:val="20"/>
                <w:szCs w:val="20"/>
              </w:rPr>
              <w:t>程影响河段分布着国家Ⅱ级保护鱼类岩原鲤和四川白甲</w:t>
            </w: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种 (此次调查未捕获) 。岩原</w:t>
            </w:r>
            <w:r>
              <w:rPr>
                <w:rFonts w:ascii="宋体" w:hAnsi="宋体" w:eastAsia="宋体" w:cs="宋体"/>
                <w:spacing w:val="7"/>
                <w:sz w:val="20"/>
                <w:szCs w:val="20"/>
              </w:rPr>
              <w:t>鲤</w:t>
            </w:r>
          </w:p>
        </w:tc>
      </w:tr>
    </w:tbl>
    <w:p>
      <w:pPr>
        <w:spacing w:line="144" w:lineRule="exact"/>
        <w:rPr>
          <w:rFonts w:ascii="Arial"/>
          <w:sz w:val="12"/>
        </w:rPr>
      </w:pPr>
    </w:p>
    <w:p>
      <w:pPr>
        <w:sectPr>
          <w:footerReference r:id="rId64" w:type="default"/>
          <w:pgSz w:w="11906" w:h="16839"/>
          <w:pgMar w:top="400" w:right="1482" w:bottom="1475" w:left="1482" w:header="0" w:footer="1315" w:gutter="0"/>
          <w:cols w:space="720" w:num="1"/>
        </w:sectPr>
      </w:pPr>
    </w:p>
    <w:p/>
    <w:p/>
    <w:p/>
    <w:p/>
    <w:p>
      <w:pPr>
        <w:spacing w:line="221" w:lineRule="exact"/>
      </w:pPr>
    </w:p>
    <w:tbl>
      <w:tblPr>
        <w:tblStyle w:val="4"/>
        <w:tblW w:w="892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2"/>
        <w:gridCol w:w="83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2" w:hRule="atLeast"/>
        </w:trPr>
        <w:tc>
          <w:tcPr>
            <w:tcW w:w="622" w:type="dxa"/>
            <w:tcBorders>
              <w:left w:val="single" w:color="000000" w:sz="6" w:space="0"/>
            </w:tcBorders>
            <w:vAlign w:val="top"/>
          </w:tcPr>
          <w:p>
            <w:pPr>
              <w:rPr>
                <w:rFonts w:ascii="Arial"/>
                <w:sz w:val="21"/>
              </w:rPr>
            </w:pPr>
          </w:p>
        </w:tc>
        <w:tc>
          <w:tcPr>
            <w:tcW w:w="8304" w:type="dxa"/>
            <w:tcBorders>
              <w:right w:val="single" w:color="000000" w:sz="6" w:space="0"/>
            </w:tcBorders>
            <w:vAlign w:val="top"/>
          </w:tcPr>
          <w:p>
            <w:pPr>
              <w:spacing w:before="151" w:line="370" w:lineRule="auto"/>
              <w:ind w:left="106" w:right="102" w:firstLine="3"/>
              <w:rPr>
                <w:rFonts w:ascii="宋体" w:hAnsi="宋体" w:eastAsia="宋体" w:cs="宋体"/>
                <w:sz w:val="20"/>
                <w:szCs w:val="20"/>
              </w:rPr>
            </w:pPr>
            <w:r>
              <w:rPr>
                <w:rFonts w:ascii="宋体" w:hAnsi="宋体" w:eastAsia="宋体" w:cs="宋体"/>
                <w:spacing w:val="13"/>
                <w:sz w:val="20"/>
                <w:szCs w:val="20"/>
              </w:rPr>
              <w:t>是</w:t>
            </w:r>
            <w:r>
              <w:rPr>
                <w:rFonts w:ascii="宋体" w:hAnsi="宋体" w:eastAsia="宋体" w:cs="宋体"/>
                <w:spacing w:val="7"/>
                <w:sz w:val="20"/>
                <w:szCs w:val="20"/>
              </w:rPr>
              <w:t>一种中型鱼类，由于其肉质细嫩、味美，具有较高的经济价值，在长江上游地区的渔业</w:t>
            </w:r>
            <w:r>
              <w:rPr>
                <w:rFonts w:ascii="宋体" w:hAnsi="宋体" w:eastAsia="宋体" w:cs="宋体"/>
                <w:sz w:val="20"/>
                <w:szCs w:val="20"/>
              </w:rPr>
              <w:t xml:space="preserve"> </w:t>
            </w:r>
            <w:r>
              <w:rPr>
                <w:rFonts w:ascii="宋体" w:hAnsi="宋体" w:eastAsia="宋体" w:cs="宋体"/>
                <w:spacing w:val="14"/>
                <w:sz w:val="20"/>
                <w:szCs w:val="20"/>
              </w:rPr>
              <w:t>中</w:t>
            </w:r>
            <w:r>
              <w:rPr>
                <w:rFonts w:ascii="宋体" w:hAnsi="宋体" w:eastAsia="宋体" w:cs="宋体"/>
                <w:spacing w:val="9"/>
                <w:sz w:val="20"/>
                <w:szCs w:val="20"/>
              </w:rPr>
              <w:t>占</w:t>
            </w:r>
            <w:r>
              <w:rPr>
                <w:rFonts w:ascii="宋体" w:hAnsi="宋体" w:eastAsia="宋体" w:cs="宋体"/>
                <w:spacing w:val="7"/>
                <w:sz w:val="20"/>
                <w:szCs w:val="20"/>
              </w:rPr>
              <w:t>有较为重要的地位。由于岩原鲤和四川白甲需在流水生境中栖息，一般生活于含氧量</w:t>
            </w:r>
            <w:r>
              <w:rPr>
                <w:rFonts w:ascii="宋体" w:hAnsi="宋体" w:eastAsia="宋体" w:cs="宋体"/>
                <w:sz w:val="20"/>
                <w:szCs w:val="20"/>
              </w:rPr>
              <w:t xml:space="preserve"> </w:t>
            </w:r>
            <w:r>
              <w:rPr>
                <w:rFonts w:ascii="宋体" w:hAnsi="宋体" w:eastAsia="宋体" w:cs="宋体"/>
                <w:spacing w:val="18"/>
                <w:sz w:val="20"/>
                <w:szCs w:val="20"/>
              </w:rPr>
              <w:t>较高的</w:t>
            </w:r>
            <w:r>
              <w:rPr>
                <w:rFonts w:ascii="宋体" w:hAnsi="宋体" w:eastAsia="宋体" w:cs="宋体"/>
                <w:spacing w:val="10"/>
                <w:sz w:val="20"/>
                <w:szCs w:val="20"/>
              </w:rPr>
              <w:t>水</w:t>
            </w:r>
            <w:r>
              <w:rPr>
                <w:rFonts w:ascii="宋体" w:hAnsi="宋体" w:eastAsia="宋体" w:cs="宋体"/>
                <w:spacing w:val="9"/>
                <w:sz w:val="20"/>
                <w:szCs w:val="20"/>
              </w:rPr>
              <w:t xml:space="preserve">体，高家坝大桥工程区段上游约 </w:t>
            </w:r>
            <w:r>
              <w:rPr>
                <w:rFonts w:ascii="Times New Roman" w:hAnsi="Times New Roman" w:eastAsia="Times New Roman" w:cs="Times New Roman"/>
                <w:spacing w:val="9"/>
                <w:sz w:val="20"/>
                <w:szCs w:val="20"/>
              </w:rPr>
              <w:t>8</w:t>
            </w:r>
            <w:r>
              <w:rPr>
                <w:rFonts w:ascii="Times New Roman" w:hAnsi="Times New Roman" w:eastAsia="Times New Roman" w:cs="Times New Roman"/>
                <w:sz w:val="20"/>
                <w:szCs w:val="20"/>
              </w:rPr>
              <w:t>km</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处的罗江口电站已阻隔了上、下游江段的</w:t>
            </w:r>
            <w:r>
              <w:rPr>
                <w:rFonts w:ascii="宋体" w:hAnsi="宋体" w:eastAsia="宋体" w:cs="宋体"/>
                <w:sz w:val="20"/>
                <w:szCs w:val="20"/>
              </w:rPr>
              <w:t xml:space="preserve"> </w:t>
            </w:r>
            <w:r>
              <w:rPr>
                <w:rFonts w:ascii="宋体" w:hAnsi="宋体" w:eastAsia="宋体" w:cs="宋体"/>
                <w:spacing w:val="14"/>
                <w:sz w:val="20"/>
                <w:szCs w:val="20"/>
              </w:rPr>
              <w:t>洄</w:t>
            </w:r>
            <w:r>
              <w:rPr>
                <w:rFonts w:ascii="宋体" w:hAnsi="宋体" w:eastAsia="宋体" w:cs="宋体"/>
                <w:spacing w:val="9"/>
                <w:sz w:val="20"/>
                <w:szCs w:val="20"/>
              </w:rPr>
              <w:t>游</w:t>
            </w:r>
            <w:r>
              <w:rPr>
                <w:rFonts w:ascii="宋体" w:hAnsi="宋体" w:eastAsia="宋体" w:cs="宋体"/>
                <w:spacing w:val="7"/>
                <w:sz w:val="20"/>
                <w:szCs w:val="20"/>
              </w:rPr>
              <w:t>和交流，流水生境范围也逐渐缩小，导致岩原鲤等喜流水的鱼类栖息地减少。本次调</w:t>
            </w:r>
            <w:r>
              <w:rPr>
                <w:rFonts w:ascii="宋体" w:hAnsi="宋体" w:eastAsia="宋体" w:cs="宋体"/>
                <w:sz w:val="20"/>
                <w:szCs w:val="20"/>
              </w:rPr>
              <w:t xml:space="preserve"> </w:t>
            </w:r>
            <w:r>
              <w:rPr>
                <w:rFonts w:ascii="宋体" w:hAnsi="宋体" w:eastAsia="宋体" w:cs="宋体"/>
                <w:spacing w:val="16"/>
                <w:sz w:val="20"/>
                <w:szCs w:val="20"/>
              </w:rPr>
              <w:t>查</w:t>
            </w:r>
            <w:r>
              <w:rPr>
                <w:rFonts w:ascii="宋体" w:hAnsi="宋体" w:eastAsia="宋体" w:cs="宋体"/>
                <w:spacing w:val="13"/>
                <w:sz w:val="20"/>
                <w:szCs w:val="20"/>
              </w:rPr>
              <w:t>在</w:t>
            </w:r>
            <w:r>
              <w:rPr>
                <w:rFonts w:ascii="宋体" w:hAnsi="宋体" w:eastAsia="宋体" w:cs="宋体"/>
                <w:spacing w:val="8"/>
                <w:sz w:val="20"/>
                <w:szCs w:val="20"/>
              </w:rPr>
              <w:t>工程影响水域未捕获岩四川白甲。</w:t>
            </w:r>
          </w:p>
          <w:p>
            <w:pPr>
              <w:spacing w:before="1" w:line="332" w:lineRule="auto"/>
              <w:ind w:left="107" w:right="102" w:firstLine="420"/>
              <w:rPr>
                <w:rFonts w:ascii="宋体" w:hAnsi="宋体" w:eastAsia="宋体" w:cs="宋体"/>
                <w:sz w:val="20"/>
                <w:szCs w:val="20"/>
              </w:rPr>
            </w:pPr>
            <w:r>
              <w:rPr>
                <w:rFonts w:ascii="宋体" w:hAnsi="宋体" w:eastAsia="宋体" w:cs="宋体"/>
                <w:spacing w:val="20"/>
                <w:sz w:val="20"/>
                <w:szCs w:val="20"/>
              </w:rPr>
              <w:t>长江</w:t>
            </w:r>
            <w:r>
              <w:rPr>
                <w:rFonts w:ascii="宋体" w:hAnsi="宋体" w:eastAsia="宋体" w:cs="宋体"/>
                <w:spacing w:val="14"/>
                <w:sz w:val="20"/>
                <w:szCs w:val="20"/>
              </w:rPr>
              <w:t>上</w:t>
            </w:r>
            <w:r>
              <w:rPr>
                <w:rFonts w:ascii="宋体" w:hAnsi="宋体" w:eastAsia="宋体" w:cs="宋体"/>
                <w:spacing w:val="10"/>
                <w:sz w:val="20"/>
                <w:szCs w:val="20"/>
              </w:rPr>
              <w:t xml:space="preserve">游及其支流中约有特有鱼类 </w:t>
            </w:r>
            <w:r>
              <w:rPr>
                <w:rFonts w:ascii="Times New Roman" w:hAnsi="Times New Roman" w:eastAsia="Times New Roman" w:cs="Times New Roman"/>
                <w:spacing w:val="10"/>
                <w:sz w:val="20"/>
                <w:szCs w:val="20"/>
              </w:rPr>
              <w:t xml:space="preserve">112 </w:t>
            </w:r>
            <w:r>
              <w:rPr>
                <w:rFonts w:ascii="宋体" w:hAnsi="宋体" w:eastAsia="宋体" w:cs="宋体"/>
                <w:spacing w:val="10"/>
                <w:sz w:val="20"/>
                <w:szCs w:val="20"/>
              </w:rPr>
              <w:t>种，调查评价河段分布的长江上游特有鱼类</w:t>
            </w:r>
            <w:r>
              <w:rPr>
                <w:rFonts w:ascii="宋体" w:hAnsi="宋体" w:eastAsia="宋体" w:cs="宋体"/>
                <w:sz w:val="20"/>
                <w:szCs w:val="20"/>
              </w:rPr>
              <w:t xml:space="preserve"> </w:t>
            </w:r>
            <w:r>
              <w:rPr>
                <w:rFonts w:ascii="Times New Roman" w:hAnsi="Times New Roman" w:eastAsia="Times New Roman" w:cs="Times New Roman"/>
                <w:spacing w:val="11"/>
                <w:sz w:val="20"/>
                <w:szCs w:val="20"/>
              </w:rPr>
              <w:t xml:space="preserve">12 </w:t>
            </w:r>
            <w:r>
              <w:rPr>
                <w:rFonts w:ascii="宋体" w:hAnsi="宋体" w:eastAsia="宋体" w:cs="宋体"/>
                <w:spacing w:val="11"/>
                <w:sz w:val="20"/>
                <w:szCs w:val="20"/>
              </w:rPr>
              <w:t>种，分别厚颌鲂、黄颡鱼、翘嘴红鲌、高体近红鲌、黑尾近红鲌、大鳍鳠、黄尾鲴</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6"/>
                <w:sz w:val="20"/>
                <w:szCs w:val="20"/>
              </w:rPr>
              <w:t>银鲴、鳜、中华</w:t>
            </w:r>
            <w:r>
              <w:rPr>
                <w:rFonts w:ascii="宋体" w:hAnsi="宋体" w:eastAsia="宋体" w:cs="宋体"/>
                <w:spacing w:val="5"/>
                <w:sz w:val="20"/>
                <w:szCs w:val="20"/>
              </w:rPr>
              <w:t>倒</w:t>
            </w:r>
            <w:r>
              <w:rPr>
                <w:rFonts w:ascii="宋体" w:hAnsi="宋体" w:eastAsia="宋体" w:cs="宋体"/>
                <w:spacing w:val="3"/>
                <w:sz w:val="20"/>
                <w:szCs w:val="20"/>
              </w:rPr>
              <w:t xml:space="preserve">刺鲃等， 占长江上游特有鱼类总种数的 </w:t>
            </w:r>
            <w:r>
              <w:rPr>
                <w:rFonts w:ascii="Times New Roman" w:hAnsi="Times New Roman" w:eastAsia="Times New Roman" w:cs="Times New Roman"/>
                <w:spacing w:val="3"/>
                <w:sz w:val="20"/>
                <w:szCs w:val="20"/>
              </w:rPr>
              <w:t>10.71%</w:t>
            </w:r>
            <w:r>
              <w:rPr>
                <w:rFonts w:ascii="宋体" w:hAnsi="宋体" w:eastAsia="宋体" w:cs="宋体"/>
                <w:spacing w:val="3"/>
                <w:sz w:val="20"/>
                <w:szCs w:val="20"/>
              </w:rPr>
              <w:t>。</w:t>
            </w:r>
          </w:p>
          <w:p>
            <w:pPr>
              <w:spacing w:before="81" w:line="281" w:lineRule="exact"/>
              <w:ind w:left="521"/>
              <w:rPr>
                <w:rFonts w:ascii="宋体" w:hAnsi="宋体" w:eastAsia="宋体" w:cs="宋体"/>
                <w:sz w:val="20"/>
                <w:szCs w:val="20"/>
              </w:rPr>
            </w:pPr>
            <w:r>
              <w:rPr>
                <w:rFonts w:ascii="Times New Roman" w:hAnsi="Times New Roman" w:eastAsia="Times New Roman" w:cs="Times New Roman"/>
                <w:spacing w:val="8"/>
                <w:position w:val="2"/>
                <w:sz w:val="20"/>
                <w:szCs w:val="20"/>
              </w:rPr>
              <w:t>4</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spacing w:val="4"/>
                <w:position w:val="2"/>
                <w:sz w:val="20"/>
                <w:szCs w:val="20"/>
              </w:rPr>
              <w:t xml:space="preserve">     </w:t>
            </w:r>
            <w:r>
              <w:rPr>
                <w:rFonts w:ascii="宋体" w:hAnsi="宋体" w:eastAsia="宋体" w:cs="宋体"/>
                <w:spacing w:val="4"/>
                <w:position w:val="2"/>
                <w:sz w:val="20"/>
                <w:szCs w:val="20"/>
              </w:rPr>
              <w:t>鱼类生境现状</w:t>
            </w:r>
          </w:p>
          <w:p>
            <w:pPr>
              <w:spacing w:before="16" w:line="6456" w:lineRule="exact"/>
              <w:ind w:firstLine="196"/>
              <w:textAlignment w:val="center"/>
            </w:pPr>
            <w:r>
              <w:drawing>
                <wp:inline distT="0" distB="0" distL="0" distR="0">
                  <wp:extent cx="5006340" cy="409892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244"/>
                          <a:stretch>
                            <a:fillRect/>
                          </a:stretch>
                        </pic:blipFill>
                        <pic:spPr>
                          <a:xfrm>
                            <a:off x="0" y="0"/>
                            <a:ext cx="5006340" cy="4099559"/>
                          </a:xfrm>
                          <a:prstGeom prst="rect">
                            <a:avLst/>
                          </a:prstGeom>
                        </pic:spPr>
                      </pic:pic>
                    </a:graphicData>
                  </a:graphic>
                </wp:inline>
              </w:drawing>
            </w:r>
          </w:p>
          <w:p>
            <w:pPr>
              <w:spacing w:before="30" w:line="231" w:lineRule="auto"/>
              <w:ind w:left="2064"/>
              <w:rPr>
                <w:rFonts w:ascii="黑体" w:hAnsi="黑体" w:eastAsia="黑体" w:cs="黑体"/>
                <w:sz w:val="19"/>
                <w:szCs w:val="19"/>
              </w:rPr>
            </w:pPr>
            <w:r>
              <w:rPr>
                <w:rFonts w:ascii="黑体" w:hAnsi="黑体" w:eastAsia="黑体" w:cs="黑体"/>
                <w:spacing w:val="16"/>
                <w:sz w:val="19"/>
                <w:szCs w:val="19"/>
              </w:rPr>
              <w:t>图</w:t>
            </w:r>
            <w:r>
              <w:rPr>
                <w:rFonts w:ascii="Times New Roman" w:hAnsi="Times New Roman" w:eastAsia="Times New Roman" w:cs="Times New Roman"/>
                <w:spacing w:val="14"/>
                <w:sz w:val="19"/>
                <w:szCs w:val="19"/>
              </w:rPr>
              <w:t>3</w:t>
            </w:r>
            <w:r>
              <w:rPr>
                <w:rFonts w:ascii="Times New Roman" w:hAnsi="Times New Roman" w:eastAsia="Times New Roman" w:cs="Times New Roman"/>
                <w:spacing w:val="8"/>
                <w:sz w:val="19"/>
                <w:szCs w:val="19"/>
              </w:rPr>
              <w:t>4</w:t>
            </w:r>
            <w:r>
              <w:rPr>
                <w:rFonts w:ascii="黑体" w:hAnsi="黑体" w:eastAsia="黑体" w:cs="黑体"/>
                <w:spacing w:val="8"/>
                <w:sz w:val="19"/>
                <w:szCs w:val="19"/>
              </w:rPr>
              <w:t>：高家坝大桥影响河段鱼类三场分布示意图</w:t>
            </w:r>
          </w:p>
          <w:p>
            <w:pPr>
              <w:spacing w:before="126" w:line="355" w:lineRule="auto"/>
              <w:ind w:left="105" w:right="50" w:firstLine="421"/>
              <w:rPr>
                <w:rFonts w:ascii="宋体" w:hAnsi="宋体" w:eastAsia="宋体" w:cs="宋体"/>
                <w:sz w:val="20"/>
                <w:szCs w:val="20"/>
              </w:rPr>
            </w:pPr>
            <w:r>
              <w:rPr>
                <w:rFonts w:ascii="宋体" w:hAnsi="宋体" w:eastAsia="宋体" w:cs="宋体"/>
                <w:spacing w:val="5"/>
                <w:sz w:val="20"/>
                <w:szCs w:val="20"/>
              </w:rPr>
              <w:t>州</w:t>
            </w:r>
            <w:r>
              <w:rPr>
                <w:rFonts w:ascii="宋体" w:hAnsi="宋体" w:eastAsia="宋体" w:cs="宋体"/>
                <w:spacing w:val="3"/>
                <w:sz w:val="20"/>
                <w:szCs w:val="20"/>
              </w:rPr>
              <w:t>河流域鱼类数量和资源量历史上均较为丰富。然而，近年来由于梯级水电站的建设，</w:t>
            </w:r>
            <w:r>
              <w:rPr>
                <w:rFonts w:ascii="宋体" w:hAnsi="宋体" w:eastAsia="宋体" w:cs="宋体"/>
                <w:sz w:val="20"/>
                <w:szCs w:val="20"/>
              </w:rPr>
              <w:t xml:space="preserve"> </w:t>
            </w:r>
            <w:r>
              <w:rPr>
                <w:rFonts w:ascii="宋体" w:hAnsi="宋体" w:eastAsia="宋体" w:cs="宋体"/>
                <w:spacing w:val="14"/>
                <w:sz w:val="20"/>
                <w:szCs w:val="20"/>
              </w:rPr>
              <w:t>改</w:t>
            </w:r>
            <w:r>
              <w:rPr>
                <w:rFonts w:ascii="宋体" w:hAnsi="宋体" w:eastAsia="宋体" w:cs="宋体"/>
                <w:spacing w:val="10"/>
                <w:sz w:val="20"/>
                <w:szCs w:val="20"/>
              </w:rPr>
              <w:t>变</w:t>
            </w:r>
            <w:r>
              <w:rPr>
                <w:rFonts w:ascii="宋体" w:hAnsi="宋体" w:eastAsia="宋体" w:cs="宋体"/>
                <w:spacing w:val="7"/>
                <w:sz w:val="20"/>
                <w:szCs w:val="20"/>
              </w:rPr>
              <w:t>了河流水文、景观和生态，城镇化和工业发展等带来的水环境发生改变。高家坝大桥</w:t>
            </w:r>
            <w:r>
              <w:rPr>
                <w:rFonts w:ascii="宋体" w:hAnsi="宋体" w:eastAsia="宋体" w:cs="宋体"/>
                <w:sz w:val="20"/>
                <w:szCs w:val="20"/>
              </w:rPr>
              <w:t xml:space="preserve"> </w:t>
            </w:r>
            <w:r>
              <w:rPr>
                <w:rFonts w:ascii="宋体" w:hAnsi="宋体" w:eastAsia="宋体" w:cs="宋体"/>
                <w:spacing w:val="7"/>
                <w:sz w:val="20"/>
                <w:szCs w:val="20"/>
              </w:rPr>
              <w:t>址处是达州市主城区景观湖 (塔沱液压升降坝形成) 尾水区和罗江口水电站减水河段尾</w:t>
            </w:r>
            <w:r>
              <w:rPr>
                <w:rFonts w:ascii="宋体" w:hAnsi="宋体" w:eastAsia="宋体" w:cs="宋体"/>
                <w:spacing w:val="3"/>
                <w:sz w:val="20"/>
                <w:szCs w:val="20"/>
              </w:rPr>
              <w:t>部</w:t>
            </w:r>
            <w:r>
              <w:rPr>
                <w:rFonts w:ascii="宋体" w:hAnsi="宋体" w:eastAsia="宋体" w:cs="宋体"/>
                <w:sz w:val="20"/>
                <w:szCs w:val="20"/>
              </w:rPr>
              <w:t xml:space="preserve"> </w:t>
            </w:r>
            <w:r>
              <w:rPr>
                <w:rFonts w:ascii="宋体" w:hAnsi="宋体" w:eastAsia="宋体" w:cs="宋体"/>
                <w:spacing w:val="14"/>
                <w:sz w:val="20"/>
                <w:szCs w:val="20"/>
              </w:rPr>
              <w:t>结</w:t>
            </w:r>
            <w:r>
              <w:rPr>
                <w:rFonts w:ascii="宋体" w:hAnsi="宋体" w:eastAsia="宋体" w:cs="宋体"/>
                <w:spacing w:val="12"/>
                <w:sz w:val="20"/>
                <w:szCs w:val="20"/>
              </w:rPr>
              <w:t>合</w:t>
            </w:r>
            <w:r>
              <w:rPr>
                <w:rFonts w:ascii="宋体" w:hAnsi="宋体" w:eastAsia="宋体" w:cs="宋体"/>
                <w:spacing w:val="7"/>
                <w:sz w:val="20"/>
                <w:szCs w:val="20"/>
              </w:rPr>
              <w:t>部，河水浅，受电站发电水流急剧变化的影响，鱼类“三场”功能消失。工程河段最</w:t>
            </w:r>
            <w:r>
              <w:rPr>
                <w:rFonts w:ascii="宋体" w:hAnsi="宋体" w:eastAsia="宋体" w:cs="宋体"/>
                <w:sz w:val="20"/>
                <w:szCs w:val="20"/>
              </w:rPr>
              <w:t xml:space="preserve"> </w:t>
            </w:r>
            <w:r>
              <w:rPr>
                <w:rFonts w:ascii="宋体" w:hAnsi="宋体" w:eastAsia="宋体" w:cs="宋体"/>
                <w:spacing w:val="10"/>
                <w:sz w:val="20"/>
                <w:szCs w:val="20"/>
              </w:rPr>
              <w:t>近的苦竹溪</w:t>
            </w:r>
            <w:r>
              <w:rPr>
                <w:rFonts w:ascii="宋体" w:hAnsi="宋体" w:eastAsia="宋体" w:cs="宋体"/>
                <w:spacing w:val="5"/>
                <w:sz w:val="20"/>
                <w:szCs w:val="20"/>
              </w:rPr>
              <w:t xml:space="preserve">越冬、索饵、产卵场位于拟建桥梁上游约 </w:t>
            </w:r>
            <w:r>
              <w:rPr>
                <w:rFonts w:ascii="Times New Roman" w:hAnsi="Times New Roman" w:eastAsia="Times New Roman" w:cs="Times New Roman"/>
                <w:spacing w:val="5"/>
                <w:sz w:val="20"/>
                <w:szCs w:val="20"/>
              </w:rPr>
              <w:t>2.2</w:t>
            </w:r>
            <w:r>
              <w:rPr>
                <w:rFonts w:ascii="Times New Roman" w:hAnsi="Times New Roman" w:eastAsia="Times New Roman" w:cs="Times New Roman"/>
                <w:sz w:val="20"/>
                <w:szCs w:val="20"/>
              </w:rPr>
              <w:t>km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，下游最近的小河嘴越冬、索</w:t>
            </w:r>
            <w:r>
              <w:rPr>
                <w:rFonts w:ascii="宋体" w:hAnsi="宋体" w:eastAsia="宋体" w:cs="宋体"/>
                <w:sz w:val="20"/>
                <w:szCs w:val="20"/>
              </w:rPr>
              <w:t xml:space="preserve"> </w:t>
            </w:r>
            <w:r>
              <w:rPr>
                <w:rFonts w:ascii="宋体" w:hAnsi="宋体" w:eastAsia="宋体" w:cs="宋体"/>
                <w:spacing w:val="10"/>
                <w:sz w:val="20"/>
                <w:szCs w:val="20"/>
              </w:rPr>
              <w:t>饵、产卵场</w:t>
            </w:r>
            <w:r>
              <w:rPr>
                <w:rFonts w:ascii="宋体" w:hAnsi="宋体" w:eastAsia="宋体" w:cs="宋体"/>
                <w:spacing w:val="5"/>
                <w:sz w:val="20"/>
                <w:szCs w:val="20"/>
              </w:rPr>
              <w:t xml:space="preserve">位于拟建桥梁下游约 </w:t>
            </w:r>
            <w:r>
              <w:rPr>
                <w:rFonts w:ascii="Times New Roman" w:hAnsi="Times New Roman" w:eastAsia="Times New Roman" w:cs="Times New Roman"/>
                <w:spacing w:val="5"/>
                <w:sz w:val="20"/>
                <w:szCs w:val="20"/>
              </w:rPr>
              <w:t>3.0</w:t>
            </w:r>
            <w:r>
              <w:rPr>
                <w:rFonts w:ascii="Times New Roman" w:hAnsi="Times New Roman" w:eastAsia="Times New Roman" w:cs="Times New Roman"/>
                <w:sz w:val="20"/>
                <w:szCs w:val="20"/>
              </w:rPr>
              <w:t>km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。因此工程涉水影响河段不涉及重要水生生物“三</w:t>
            </w:r>
            <w:r>
              <w:rPr>
                <w:rFonts w:ascii="宋体" w:hAnsi="宋体" w:eastAsia="宋体" w:cs="宋体"/>
                <w:sz w:val="20"/>
                <w:szCs w:val="20"/>
              </w:rPr>
              <w:t xml:space="preserve"> </w:t>
            </w:r>
            <w:r>
              <w:rPr>
                <w:rFonts w:ascii="宋体" w:hAnsi="宋体" w:eastAsia="宋体" w:cs="宋体"/>
                <w:spacing w:val="8"/>
                <w:sz w:val="20"/>
                <w:szCs w:val="20"/>
              </w:rPr>
              <w:t>场一通</w:t>
            </w:r>
            <w:r>
              <w:rPr>
                <w:rFonts w:ascii="宋体" w:hAnsi="宋体" w:eastAsia="宋体" w:cs="宋体"/>
                <w:spacing w:val="4"/>
                <w:sz w:val="20"/>
                <w:szCs w:val="20"/>
              </w:rPr>
              <w:t xml:space="preserve">道”。根据调查，州河上下游的主要水工设施为拟建桥梁上游约 </w:t>
            </w:r>
            <w:r>
              <w:rPr>
                <w:rFonts w:ascii="Times New Roman" w:hAnsi="Times New Roman" w:eastAsia="Times New Roman" w:cs="Times New Roman"/>
                <w:spacing w:val="4"/>
                <w:sz w:val="20"/>
                <w:szCs w:val="20"/>
              </w:rPr>
              <w:t>8. 1</w:t>
            </w:r>
            <w:r>
              <w:rPr>
                <w:rFonts w:ascii="Times New Roman" w:hAnsi="Times New Roman" w:eastAsia="Times New Roman" w:cs="Times New Roman"/>
                <w:sz w:val="20"/>
                <w:szCs w:val="20"/>
              </w:rPr>
              <w:t>km</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的罗江口大</w:t>
            </w:r>
            <w:r>
              <w:rPr>
                <w:rFonts w:ascii="宋体" w:hAnsi="宋体" w:eastAsia="宋体" w:cs="宋体"/>
                <w:sz w:val="20"/>
                <w:szCs w:val="20"/>
              </w:rPr>
              <w:t xml:space="preserve"> </w:t>
            </w:r>
            <w:r>
              <w:rPr>
                <w:rFonts w:ascii="宋体" w:hAnsi="宋体" w:eastAsia="宋体" w:cs="宋体"/>
                <w:spacing w:val="14"/>
                <w:sz w:val="20"/>
                <w:szCs w:val="20"/>
              </w:rPr>
              <w:t>坝、</w:t>
            </w:r>
            <w:r>
              <w:rPr>
                <w:rFonts w:ascii="宋体" w:hAnsi="宋体" w:eastAsia="宋体" w:cs="宋体"/>
                <w:spacing w:val="12"/>
                <w:sz w:val="20"/>
                <w:szCs w:val="20"/>
              </w:rPr>
              <w:t>下</w:t>
            </w:r>
            <w:r>
              <w:rPr>
                <w:rFonts w:ascii="宋体" w:hAnsi="宋体" w:eastAsia="宋体" w:cs="宋体"/>
                <w:spacing w:val="7"/>
                <w:sz w:val="20"/>
                <w:szCs w:val="20"/>
              </w:rPr>
              <w:t xml:space="preserve">游约 </w:t>
            </w:r>
            <w:r>
              <w:rPr>
                <w:rFonts w:ascii="Times New Roman" w:hAnsi="Times New Roman" w:eastAsia="Times New Roman" w:cs="Times New Roman"/>
                <w:spacing w:val="7"/>
                <w:sz w:val="20"/>
                <w:szCs w:val="20"/>
              </w:rPr>
              <w:t>10</w:t>
            </w:r>
            <w:r>
              <w:rPr>
                <w:rFonts w:ascii="Times New Roman" w:hAnsi="Times New Roman" w:eastAsia="Times New Roman" w:cs="Times New Roman"/>
                <w:sz w:val="20"/>
                <w:szCs w:val="20"/>
              </w:rPr>
              <w:t>km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的塔沱液压升降坝，以及城区段河道两岸的防洪堤等。</w:t>
            </w:r>
          </w:p>
        </w:tc>
      </w:tr>
    </w:tbl>
    <w:p>
      <w:pPr>
        <w:spacing w:line="223" w:lineRule="exact"/>
        <w:rPr>
          <w:rFonts w:ascii="Arial"/>
          <w:sz w:val="19"/>
        </w:rPr>
      </w:pPr>
    </w:p>
    <w:p>
      <w:pPr>
        <w:sectPr>
          <w:footerReference r:id="rId65" w:type="default"/>
          <w:pgSz w:w="11906" w:h="16839"/>
          <w:pgMar w:top="400" w:right="1482" w:bottom="1475" w:left="1482" w:header="0" w:footer="1315" w:gutter="0"/>
          <w:cols w:space="720" w:num="1"/>
        </w:sectPr>
      </w:pPr>
    </w:p>
    <w:p>
      <w:r>
        <w:pict>
          <v:rect id="_x0000_s1092" o:spid="_x0000_s1092" o:spt="1" style="position:absolute;left:0pt;margin-left:514.6pt;margin-top:338.8pt;height:133.55pt;width:0.5pt;mso-position-horizontal-relative:page;mso-position-vertical-relative:page;z-index:251752448;mso-width-relative:page;mso-height-relative:page;" fillcolor="#000000" filled="t" stroked="f" coordsize="21600,21600" o:allowincell="f">
            <v:path/>
            <v:fill on="t" focussize="0,0"/>
            <v:stroke on="f"/>
            <v:imagedata o:title=""/>
            <o:lock v:ext="edit"/>
          </v:rect>
        </w:pict>
      </w:r>
    </w:p>
    <w:p/>
    <w:p/>
    <w:p/>
    <w:p>
      <w:pPr>
        <w:spacing w:line="221" w:lineRule="exact"/>
      </w:pPr>
    </w:p>
    <w:tbl>
      <w:tblPr>
        <w:tblStyle w:val="4"/>
        <w:tblW w:w="892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2"/>
        <w:gridCol w:w="116"/>
        <w:gridCol w:w="776"/>
        <w:gridCol w:w="1139"/>
        <w:gridCol w:w="649"/>
        <w:gridCol w:w="838"/>
        <w:gridCol w:w="779"/>
        <w:gridCol w:w="638"/>
        <w:gridCol w:w="1218"/>
        <w:gridCol w:w="1184"/>
        <w:gridCol w:w="9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78" w:hRule="atLeast"/>
        </w:trPr>
        <w:tc>
          <w:tcPr>
            <w:tcW w:w="622" w:type="dxa"/>
            <w:vMerge w:val="restart"/>
            <w:tcBorders>
              <w:left w:val="single" w:color="000000" w:sz="6" w:space="0"/>
              <w:bottom w:val="nil"/>
            </w:tcBorders>
            <w:vAlign w:val="top"/>
          </w:tcPr>
          <w:p>
            <w:pPr>
              <w:rPr>
                <w:rFonts w:ascii="Arial"/>
                <w:sz w:val="21"/>
              </w:rPr>
            </w:pPr>
          </w:p>
        </w:tc>
        <w:tc>
          <w:tcPr>
            <w:tcW w:w="8304" w:type="dxa"/>
            <w:gridSpan w:val="10"/>
            <w:tcBorders>
              <w:right w:val="single" w:color="000000" w:sz="6" w:space="0"/>
            </w:tcBorders>
            <w:vAlign w:val="top"/>
          </w:tcPr>
          <w:p>
            <w:pPr>
              <w:spacing w:before="153" w:line="228" w:lineRule="auto"/>
              <w:ind w:left="536"/>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6"/>
                <w:sz w:val="20"/>
                <w:szCs w:val="20"/>
              </w:rPr>
              <w:t>7</w:t>
            </w: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宋体" w:hAnsi="宋体" w:eastAsia="宋体" w:cs="宋体"/>
                <w:spacing w:val="16"/>
                <w:sz w:val="20"/>
                <w:szCs w:val="20"/>
              </w:rPr>
              <w:t xml:space="preserve"> </w:t>
            </w:r>
            <w:r>
              <w:rPr>
                <w:rFonts w:ascii="宋体" w:hAnsi="宋体" w:eastAsia="宋体" w:cs="宋体"/>
                <w:spacing w:val="16"/>
                <w:sz w:val="20"/>
                <w:szCs w:val="20"/>
                <w14:textOutline w14:w="3795" w14:cap="sq" w14:cmpd="sng">
                  <w14:solidFill>
                    <w14:srgbClr w14:val="000000"/>
                  </w14:solidFill>
                  <w14:prstDash w14:val="solid"/>
                  <w14:bevel/>
                </w14:textOutline>
              </w:rPr>
              <w:t>区域水土流失现状</w:t>
            </w:r>
          </w:p>
          <w:p>
            <w:pPr>
              <w:spacing w:before="158" w:line="353" w:lineRule="auto"/>
              <w:ind w:left="106" w:right="34" w:firstLine="420"/>
              <w:rPr>
                <w:rFonts w:ascii="宋体" w:hAnsi="宋体" w:eastAsia="宋体" w:cs="宋体"/>
                <w:sz w:val="20"/>
                <w:szCs w:val="20"/>
              </w:rPr>
            </w:pPr>
            <w:r>
              <w:rPr>
                <w:rFonts w:ascii="宋体" w:hAnsi="宋体" w:eastAsia="宋体" w:cs="宋体"/>
                <w:spacing w:val="12"/>
                <w:sz w:val="20"/>
                <w:szCs w:val="20"/>
              </w:rPr>
              <w:t>根</w:t>
            </w:r>
            <w:r>
              <w:rPr>
                <w:rFonts w:ascii="宋体" w:hAnsi="宋体" w:eastAsia="宋体" w:cs="宋体"/>
                <w:spacing w:val="7"/>
                <w:sz w:val="20"/>
                <w:szCs w:val="20"/>
              </w:rPr>
              <w:t>据《达州市高家坝大桥建设项目水土保持方案报告表》，项目区水土流失类型主要</w:t>
            </w:r>
            <w:r>
              <w:rPr>
                <w:rFonts w:ascii="宋体" w:hAnsi="宋体" w:eastAsia="宋体" w:cs="宋体"/>
                <w:sz w:val="20"/>
                <w:szCs w:val="20"/>
              </w:rPr>
              <w:t xml:space="preserve"> </w:t>
            </w:r>
            <w:r>
              <w:rPr>
                <w:rFonts w:ascii="宋体" w:hAnsi="宋体" w:eastAsia="宋体" w:cs="宋体"/>
                <w:spacing w:val="14"/>
                <w:sz w:val="20"/>
                <w:szCs w:val="20"/>
              </w:rPr>
              <w:t>为</w:t>
            </w:r>
            <w:r>
              <w:rPr>
                <w:rFonts w:ascii="宋体" w:hAnsi="宋体" w:eastAsia="宋体" w:cs="宋体"/>
                <w:spacing w:val="11"/>
                <w:sz w:val="20"/>
                <w:szCs w:val="20"/>
              </w:rPr>
              <w:t>水</w:t>
            </w:r>
            <w:r>
              <w:rPr>
                <w:rFonts w:ascii="宋体" w:hAnsi="宋体" w:eastAsia="宋体" w:cs="宋体"/>
                <w:spacing w:val="7"/>
                <w:sz w:val="20"/>
                <w:szCs w:val="20"/>
              </w:rPr>
              <w:t>力侵蚀，根据地方水保部门提供的水土保持规划报告和土壤侵蚀分布图，结合项目区</w:t>
            </w:r>
            <w:r>
              <w:rPr>
                <w:rFonts w:ascii="宋体" w:hAnsi="宋体" w:eastAsia="宋体" w:cs="宋体"/>
                <w:sz w:val="20"/>
                <w:szCs w:val="20"/>
              </w:rPr>
              <w:t xml:space="preserve"> </w:t>
            </w:r>
            <w:r>
              <w:rPr>
                <w:rFonts w:ascii="Times New Roman" w:hAnsi="Times New Roman" w:eastAsia="Times New Roman" w:cs="Times New Roman"/>
                <w:spacing w:val="20"/>
                <w:sz w:val="20"/>
                <w:szCs w:val="20"/>
              </w:rPr>
              <w:t>1:</w:t>
            </w:r>
            <w:r>
              <w:rPr>
                <w:rFonts w:ascii="Times New Roman" w:hAnsi="Times New Roman" w:eastAsia="Times New Roman" w:cs="Times New Roman"/>
                <w:spacing w:val="18"/>
                <w:sz w:val="20"/>
                <w:szCs w:val="20"/>
              </w:rPr>
              <w:t>1</w:t>
            </w:r>
            <w:r>
              <w:rPr>
                <w:rFonts w:ascii="宋体" w:hAnsi="宋体" w:eastAsia="宋体" w:cs="宋体"/>
                <w:spacing w:val="10"/>
                <w:sz w:val="20"/>
                <w:szCs w:val="20"/>
              </w:rPr>
              <w:t>万地形图分析，并经现场踏勘调查项目区土地利用类型、面积、地形坡度和植被覆盖</w:t>
            </w:r>
            <w:r>
              <w:rPr>
                <w:rFonts w:ascii="宋体" w:hAnsi="宋体" w:eastAsia="宋体" w:cs="宋体"/>
                <w:sz w:val="20"/>
                <w:szCs w:val="20"/>
              </w:rPr>
              <w:t xml:space="preserve"> </w:t>
            </w:r>
            <w:r>
              <w:rPr>
                <w:rFonts w:ascii="宋体" w:hAnsi="宋体" w:eastAsia="宋体" w:cs="宋体"/>
                <w:spacing w:val="22"/>
                <w:sz w:val="20"/>
                <w:szCs w:val="20"/>
              </w:rPr>
              <w:t>率</w:t>
            </w:r>
            <w:r>
              <w:rPr>
                <w:rFonts w:ascii="宋体" w:hAnsi="宋体" w:eastAsia="宋体" w:cs="宋体"/>
                <w:spacing w:val="20"/>
                <w:sz w:val="20"/>
                <w:szCs w:val="20"/>
              </w:rPr>
              <w:t>等</w:t>
            </w:r>
            <w:r>
              <w:rPr>
                <w:rFonts w:ascii="宋体" w:hAnsi="宋体" w:eastAsia="宋体" w:cs="宋体"/>
                <w:spacing w:val="11"/>
                <w:sz w:val="20"/>
                <w:szCs w:val="20"/>
              </w:rPr>
              <w:t>， 同时结合项目区地貌、土壤和气候特征，参照《土壤侵蚀分类分级标准》  (</w:t>
            </w:r>
            <w:r>
              <w:rPr>
                <w:rFonts w:ascii="Times New Roman" w:hAnsi="Times New Roman" w:eastAsia="Times New Roman" w:cs="Times New Roman"/>
                <w:sz w:val="20"/>
                <w:szCs w:val="20"/>
              </w:rPr>
              <w:t xml:space="preserve">SL </w:t>
            </w:r>
            <w:r>
              <w:rPr>
                <w:rFonts w:ascii="Times New Roman" w:hAnsi="Times New Roman" w:eastAsia="Times New Roman" w:cs="Times New Roman"/>
                <w:spacing w:val="14"/>
                <w:sz w:val="20"/>
                <w:szCs w:val="20"/>
              </w:rPr>
              <w:t>1</w:t>
            </w:r>
            <w:r>
              <w:rPr>
                <w:rFonts w:ascii="Times New Roman" w:hAnsi="Times New Roman" w:eastAsia="Times New Roman" w:cs="Times New Roman"/>
                <w:spacing w:val="7"/>
                <w:sz w:val="20"/>
                <w:szCs w:val="20"/>
              </w:rPr>
              <w:t>90-2007</w:t>
            </w:r>
            <w:r>
              <w:rPr>
                <w:rFonts w:ascii="宋体" w:hAnsi="宋体" w:eastAsia="宋体" w:cs="宋体"/>
                <w:spacing w:val="7"/>
                <w:sz w:val="20"/>
                <w:szCs w:val="20"/>
              </w:rPr>
              <w:t>) 推求各工程单元不同土地利用类型下的侵蚀强度，再根据《四川省水土保持方</w:t>
            </w:r>
            <w:r>
              <w:rPr>
                <w:rFonts w:ascii="宋体" w:hAnsi="宋体" w:eastAsia="宋体" w:cs="宋体"/>
                <w:sz w:val="20"/>
                <w:szCs w:val="20"/>
              </w:rPr>
              <w:t xml:space="preserve"> </w:t>
            </w:r>
            <w:r>
              <w:rPr>
                <w:rFonts w:ascii="宋体" w:hAnsi="宋体" w:eastAsia="宋体" w:cs="宋体"/>
                <w:spacing w:val="4"/>
                <w:sz w:val="20"/>
                <w:szCs w:val="20"/>
              </w:rPr>
              <w:t>案编制和审查若干技术问题暂行规定》中关于土壤侵蚀模数背景值的相关规定，“对水</w:t>
            </w:r>
            <w:r>
              <w:rPr>
                <w:rFonts w:ascii="宋体" w:hAnsi="宋体" w:eastAsia="宋体" w:cs="宋体"/>
                <w:spacing w:val="1"/>
                <w:sz w:val="20"/>
                <w:szCs w:val="20"/>
              </w:rPr>
              <w:t>域</w:t>
            </w:r>
            <w:r>
              <w:rPr>
                <w:rFonts w:ascii="宋体" w:hAnsi="宋体" w:eastAsia="宋体" w:cs="宋体"/>
                <w:sz w:val="20"/>
                <w:szCs w:val="20"/>
              </w:rPr>
              <w:t xml:space="preserve">、 </w:t>
            </w:r>
            <w:r>
              <w:rPr>
                <w:rFonts w:ascii="宋体" w:hAnsi="宋体" w:eastAsia="宋体" w:cs="宋体"/>
                <w:spacing w:val="14"/>
                <w:sz w:val="20"/>
                <w:szCs w:val="20"/>
              </w:rPr>
              <w:t>硬</w:t>
            </w:r>
            <w:r>
              <w:rPr>
                <w:rFonts w:ascii="宋体" w:hAnsi="宋体" w:eastAsia="宋体" w:cs="宋体"/>
                <w:spacing w:val="9"/>
                <w:sz w:val="20"/>
                <w:szCs w:val="20"/>
              </w:rPr>
              <w:t>化</w:t>
            </w:r>
            <w:r>
              <w:rPr>
                <w:rFonts w:ascii="宋体" w:hAnsi="宋体" w:eastAsia="宋体" w:cs="宋体"/>
                <w:spacing w:val="7"/>
                <w:sz w:val="20"/>
                <w:szCs w:val="20"/>
              </w:rPr>
              <w:t>地面、裸岩等无土体的微度流失区可不计背景值；对有土体的微度流失区，背景值可</w:t>
            </w:r>
            <w:r>
              <w:rPr>
                <w:rFonts w:ascii="宋体" w:hAnsi="宋体" w:eastAsia="宋体" w:cs="宋体"/>
                <w:sz w:val="20"/>
                <w:szCs w:val="20"/>
              </w:rPr>
              <w:t xml:space="preserve"> </w:t>
            </w:r>
            <w:r>
              <w:rPr>
                <w:rFonts w:ascii="宋体" w:hAnsi="宋体" w:eastAsia="宋体" w:cs="宋体"/>
                <w:spacing w:val="6"/>
                <w:sz w:val="20"/>
                <w:szCs w:val="20"/>
              </w:rPr>
              <w:t>直接取</w:t>
            </w:r>
            <w:r>
              <w:rPr>
                <w:rFonts w:ascii="Times New Roman" w:hAnsi="Times New Roman" w:eastAsia="Times New Roman" w:cs="Times New Roman"/>
                <w:spacing w:val="6"/>
                <w:sz w:val="20"/>
                <w:szCs w:val="20"/>
              </w:rPr>
              <w:t>30</w:t>
            </w:r>
            <w:r>
              <w:rPr>
                <w:rFonts w:ascii="Times New Roman" w:hAnsi="Times New Roman" w:eastAsia="Times New Roman" w:cs="Times New Roman"/>
                <w:spacing w:val="5"/>
                <w:sz w:val="20"/>
                <w:szCs w:val="20"/>
              </w:rPr>
              <w:t>0</w:t>
            </w:r>
            <w:r>
              <w:rPr>
                <w:rFonts w:ascii="Times New Roman" w:hAnsi="Times New Roman" w:eastAsia="Times New Roman" w:cs="Times New Roman"/>
                <w:sz w:val="20"/>
                <w:szCs w:val="20"/>
              </w:rPr>
              <w:t>t</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km</w:t>
            </w:r>
            <w:r>
              <w:rPr>
                <w:rFonts w:ascii="宋体" w:hAnsi="宋体" w:eastAsia="宋体" w:cs="宋体"/>
                <w:spacing w:val="3"/>
                <w:sz w:val="20"/>
                <w:szCs w:val="20"/>
              </w:rPr>
              <w:t>² ·</w:t>
            </w:r>
            <w:r>
              <w:rPr>
                <w:rFonts w:ascii="Times New Roman" w:hAnsi="Times New Roman" w:eastAsia="Times New Roman" w:cs="Times New Roman"/>
                <w:sz w:val="20"/>
                <w:szCs w:val="20"/>
              </w:rPr>
              <w:t>a</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。微度以上的流失区，背景值一般取标准中的区间平均值。”确定项</w:t>
            </w:r>
            <w:r>
              <w:rPr>
                <w:rFonts w:ascii="宋体" w:hAnsi="宋体" w:eastAsia="宋体" w:cs="宋体"/>
                <w:sz w:val="20"/>
                <w:szCs w:val="20"/>
              </w:rPr>
              <w:t xml:space="preserve"> </w:t>
            </w:r>
            <w:r>
              <w:rPr>
                <w:rFonts w:ascii="宋体" w:hAnsi="宋体" w:eastAsia="宋体" w:cs="宋体"/>
                <w:spacing w:val="16"/>
                <w:sz w:val="20"/>
                <w:szCs w:val="20"/>
              </w:rPr>
              <w:t>目</w:t>
            </w:r>
            <w:r>
              <w:rPr>
                <w:rFonts w:ascii="宋体" w:hAnsi="宋体" w:eastAsia="宋体" w:cs="宋体"/>
                <w:spacing w:val="9"/>
                <w:sz w:val="20"/>
                <w:szCs w:val="20"/>
              </w:rPr>
              <w:t>区</w:t>
            </w:r>
            <w:r>
              <w:rPr>
                <w:rFonts w:ascii="宋体" w:hAnsi="宋体" w:eastAsia="宋体" w:cs="宋体"/>
                <w:spacing w:val="8"/>
                <w:sz w:val="20"/>
                <w:szCs w:val="20"/>
              </w:rPr>
              <w:t>各地类的背景土壤侵蚀模数。</w:t>
            </w:r>
          </w:p>
          <w:p>
            <w:pPr>
              <w:spacing w:before="116" w:line="377" w:lineRule="auto"/>
              <w:ind w:left="109" w:right="102" w:firstLine="418"/>
              <w:rPr>
                <w:rFonts w:ascii="宋体" w:hAnsi="宋体" w:eastAsia="宋体" w:cs="宋体"/>
                <w:sz w:val="20"/>
                <w:szCs w:val="20"/>
              </w:rPr>
            </w:pPr>
            <w:r>
              <w:rPr>
                <w:rFonts w:ascii="宋体" w:hAnsi="宋体" w:eastAsia="宋体" w:cs="宋体"/>
                <w:spacing w:val="4"/>
                <w:sz w:val="20"/>
                <w:szCs w:val="20"/>
              </w:rPr>
              <w:t>经</w:t>
            </w:r>
            <w:r>
              <w:rPr>
                <w:rFonts w:ascii="宋体" w:hAnsi="宋体" w:eastAsia="宋体" w:cs="宋体"/>
                <w:spacing w:val="3"/>
                <w:sz w:val="20"/>
                <w:szCs w:val="20"/>
              </w:rPr>
              <w:t>计算，项目区平均土壤侵蚀模数背景值为</w:t>
            </w:r>
            <w:r>
              <w:rPr>
                <w:rFonts w:ascii="Times New Roman" w:hAnsi="Times New Roman" w:eastAsia="Times New Roman" w:cs="Times New Roman"/>
                <w:spacing w:val="3"/>
                <w:sz w:val="20"/>
                <w:szCs w:val="20"/>
              </w:rPr>
              <w:t>589</w:t>
            </w:r>
            <w:r>
              <w:rPr>
                <w:rFonts w:ascii="Times New Roman" w:hAnsi="Times New Roman" w:eastAsia="Times New Roman" w:cs="Times New Roman"/>
                <w:sz w:val="20"/>
                <w:szCs w:val="20"/>
              </w:rPr>
              <w:t>t</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km</w:t>
            </w:r>
            <w:r>
              <w:rPr>
                <w:rFonts w:ascii="宋体" w:hAnsi="宋体" w:eastAsia="宋体" w:cs="宋体"/>
                <w:spacing w:val="3"/>
                <w:sz w:val="20"/>
                <w:szCs w:val="20"/>
              </w:rPr>
              <w:t>² ·</w:t>
            </w:r>
            <w:r>
              <w:rPr>
                <w:rFonts w:ascii="Times New Roman" w:hAnsi="Times New Roman" w:eastAsia="Times New Roman" w:cs="Times New Roman"/>
                <w:sz w:val="20"/>
                <w:szCs w:val="20"/>
              </w:rPr>
              <w:t>a</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，属于轻度侵蚀区。项目建</w:t>
            </w:r>
            <w:r>
              <w:rPr>
                <w:rFonts w:ascii="宋体" w:hAnsi="宋体" w:eastAsia="宋体" w:cs="宋体"/>
                <w:sz w:val="20"/>
                <w:szCs w:val="20"/>
              </w:rPr>
              <w:t xml:space="preserve"> </w:t>
            </w:r>
            <w:r>
              <w:rPr>
                <w:rFonts w:ascii="宋体" w:hAnsi="宋体" w:eastAsia="宋体" w:cs="宋体"/>
                <w:spacing w:val="16"/>
                <w:sz w:val="20"/>
                <w:szCs w:val="20"/>
              </w:rPr>
              <w:t>设</w:t>
            </w:r>
            <w:r>
              <w:rPr>
                <w:rFonts w:ascii="宋体" w:hAnsi="宋体" w:eastAsia="宋体" w:cs="宋体"/>
                <w:spacing w:val="9"/>
                <w:sz w:val="20"/>
                <w:szCs w:val="20"/>
              </w:rPr>
              <w:t>区各工程区域不同地形条件下的平均土壤侵蚀模数背景值详见下表。</w:t>
            </w:r>
          </w:p>
          <w:p>
            <w:pPr>
              <w:spacing w:line="229" w:lineRule="auto"/>
              <w:ind w:left="2655"/>
              <w:rPr>
                <w:rFonts w:ascii="黑体" w:hAnsi="黑体" w:eastAsia="黑体" w:cs="黑体"/>
                <w:sz w:val="19"/>
                <w:szCs w:val="19"/>
              </w:rPr>
            </w:pPr>
            <w:r>
              <w:rPr>
                <w:rFonts w:ascii="黑体" w:hAnsi="黑体" w:eastAsia="黑体" w:cs="黑体"/>
                <w:spacing w:val="12"/>
                <w:sz w:val="19"/>
                <w:szCs w:val="19"/>
              </w:rPr>
              <w:t>表</w:t>
            </w:r>
            <w:r>
              <w:rPr>
                <w:rFonts w:ascii="Times New Roman" w:hAnsi="Times New Roman" w:eastAsia="Times New Roman" w:cs="Times New Roman"/>
                <w:spacing w:val="7"/>
                <w:sz w:val="19"/>
                <w:szCs w:val="19"/>
              </w:rPr>
              <w:t xml:space="preserve">26    </w:t>
            </w:r>
            <w:r>
              <w:rPr>
                <w:rFonts w:ascii="黑体" w:hAnsi="黑体" w:eastAsia="黑体" w:cs="黑体"/>
                <w:spacing w:val="7"/>
                <w:sz w:val="19"/>
                <w:szCs w:val="19"/>
              </w:rPr>
              <w:t>项目区土壤侵蚀模数背景值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22" w:type="dxa"/>
            <w:vMerge w:val="continue"/>
            <w:tcBorders>
              <w:top w:val="nil"/>
              <w:left w:val="single" w:color="000000" w:sz="6" w:space="0"/>
              <w:bottom w:val="nil"/>
            </w:tcBorders>
            <w:vAlign w:val="top"/>
          </w:tcPr>
          <w:p>
            <w:pPr>
              <w:rPr>
                <w:rFonts w:ascii="Arial"/>
                <w:sz w:val="21"/>
              </w:rPr>
            </w:pPr>
          </w:p>
        </w:tc>
        <w:tc>
          <w:tcPr>
            <w:tcW w:w="116" w:type="dxa"/>
            <w:vMerge w:val="restart"/>
            <w:tcBorders>
              <w:top w:val="nil"/>
              <w:bottom w:val="nil"/>
            </w:tcBorders>
            <w:vAlign w:val="top"/>
          </w:tcPr>
          <w:p>
            <w:pPr>
              <w:rPr>
                <w:rFonts w:ascii="Arial"/>
                <w:sz w:val="21"/>
              </w:rPr>
            </w:pPr>
          </w:p>
        </w:tc>
        <w:tc>
          <w:tcPr>
            <w:tcW w:w="776" w:type="dxa"/>
            <w:vAlign w:val="top"/>
          </w:tcPr>
          <w:p>
            <w:pPr>
              <w:spacing w:before="168" w:line="231" w:lineRule="auto"/>
              <w:ind w:left="119"/>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项</w:t>
            </w:r>
            <w:r>
              <w:rPr>
                <w:rFonts w:ascii="宋体" w:hAnsi="宋体" w:eastAsia="宋体" w:cs="宋体"/>
                <w:spacing w:val="7"/>
                <w:sz w:val="17"/>
                <w:szCs w:val="17"/>
                <w14:textOutline w14:w="3268" w14:cap="sq" w14:cmpd="sng">
                  <w14:solidFill>
                    <w14:srgbClr w14:val="000000"/>
                  </w14:solidFill>
                  <w14:prstDash w14:val="solid"/>
                  <w14:bevel/>
                </w14:textOutline>
              </w:rPr>
              <w:t>目区</w:t>
            </w:r>
          </w:p>
        </w:tc>
        <w:tc>
          <w:tcPr>
            <w:tcW w:w="1139" w:type="dxa"/>
            <w:vAlign w:val="top"/>
          </w:tcPr>
          <w:p>
            <w:pPr>
              <w:spacing w:before="168" w:line="230" w:lineRule="auto"/>
              <w:ind w:left="389"/>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地类</w:t>
            </w:r>
          </w:p>
        </w:tc>
        <w:tc>
          <w:tcPr>
            <w:tcW w:w="649" w:type="dxa"/>
            <w:vAlign w:val="top"/>
          </w:tcPr>
          <w:p>
            <w:pPr>
              <w:spacing w:before="53" w:line="253" w:lineRule="auto"/>
              <w:ind w:left="35" w:firstLine="106"/>
              <w:rPr>
                <w:rFonts w:ascii="宋体" w:hAnsi="宋体" w:eastAsia="宋体" w:cs="宋体"/>
                <w:sz w:val="17"/>
                <w:szCs w:val="17"/>
              </w:rPr>
            </w:pPr>
            <w:r>
              <w:rPr>
                <w:rFonts w:ascii="宋体" w:hAnsi="宋体" w:eastAsia="宋体" w:cs="宋体"/>
                <w:spacing w:val="-1"/>
                <w:sz w:val="17"/>
                <w:szCs w:val="17"/>
                <w14:textOutline w14:w="3152" w14:cap="sq" w14:cmpd="sng">
                  <w14:solidFill>
                    <w14:srgbClr w14:val="000000"/>
                  </w14:solidFill>
                  <w14:prstDash w14:val="solid"/>
                  <w14:bevel/>
                </w14:textOutline>
              </w:rPr>
              <w:t>面</w:t>
            </w:r>
            <w:r>
              <w:rPr>
                <w:rFonts w:ascii="宋体" w:hAnsi="宋体" w:eastAsia="宋体" w:cs="宋体"/>
                <w:sz w:val="17"/>
                <w:szCs w:val="17"/>
                <w14:textOutline w14:w="3152" w14:cap="sq" w14:cmpd="sng">
                  <w14:solidFill>
                    <w14:srgbClr w14:val="000000"/>
                  </w14:solidFill>
                  <w14:prstDash w14:val="solid"/>
                  <w14:bevel/>
                </w14:textOutline>
              </w:rPr>
              <w:t>积</w:t>
            </w:r>
            <w:r>
              <w:rPr>
                <w:rFonts w:ascii="宋体" w:hAnsi="宋体" w:eastAsia="宋体" w:cs="宋体"/>
                <w:sz w:val="17"/>
                <w:szCs w:val="17"/>
              </w:rPr>
              <w:t xml:space="preserve">  </w:t>
            </w:r>
            <w:r>
              <w:rPr>
                <w:rFonts w:ascii="宋体" w:hAnsi="宋体" w:eastAsia="宋体" w:cs="宋体"/>
                <w:spacing w:val="23"/>
                <w:sz w:val="17"/>
                <w:szCs w:val="17"/>
                <w14:textOutline w14:w="3152" w14:cap="sq" w14:cmpd="sng">
                  <w14:solidFill>
                    <w14:srgbClr w14:val="000000"/>
                  </w14:solidFill>
                  <w14:prstDash w14:val="solid"/>
                  <w14:bevel/>
                </w14:textOutline>
              </w:rPr>
              <w:t>(</w:t>
            </w:r>
            <w:r>
              <w:rPr>
                <w:rFonts w:ascii="Times New Roman" w:hAnsi="Times New Roman" w:eastAsia="Times New Roman" w:cs="Times New Roman"/>
                <w:b/>
                <w:bCs/>
                <w:sz w:val="17"/>
                <w:szCs w:val="17"/>
              </w:rPr>
              <w:t>hm</w:t>
            </w:r>
            <w:r>
              <w:rPr>
                <w:rFonts w:ascii="Times New Roman" w:hAnsi="Times New Roman" w:eastAsia="Times New Roman" w:cs="Times New Roman"/>
                <w:b/>
                <w:bCs/>
                <w:spacing w:val="23"/>
                <w:sz w:val="17"/>
                <w:szCs w:val="17"/>
              </w:rPr>
              <w:t>²</w:t>
            </w:r>
            <w:r>
              <w:rPr>
                <w:rFonts w:ascii="宋体" w:hAnsi="宋体" w:eastAsia="宋体" w:cs="宋体"/>
                <w:spacing w:val="23"/>
                <w:sz w:val="17"/>
                <w:szCs w:val="17"/>
                <w14:textOutline w14:w="3152" w14:cap="sq" w14:cmpd="sng">
                  <w14:solidFill>
                    <w14:srgbClr w14:val="000000"/>
                  </w14:solidFill>
                  <w14:prstDash w14:val="solid"/>
                  <w14:bevel/>
                </w14:textOutline>
              </w:rPr>
              <w:t>)</w:t>
            </w:r>
          </w:p>
        </w:tc>
        <w:tc>
          <w:tcPr>
            <w:tcW w:w="838" w:type="dxa"/>
            <w:vAlign w:val="top"/>
          </w:tcPr>
          <w:p>
            <w:pPr>
              <w:spacing w:before="52" w:line="231" w:lineRule="auto"/>
              <w:ind w:left="60"/>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地形坡</w:t>
            </w:r>
            <w:r>
              <w:rPr>
                <w:rFonts w:ascii="宋体" w:hAnsi="宋体" w:eastAsia="宋体" w:cs="宋体"/>
                <w:spacing w:val="8"/>
                <w:sz w:val="17"/>
                <w:szCs w:val="17"/>
                <w14:textOutline w14:w="3268" w14:cap="sq" w14:cmpd="sng">
                  <w14:solidFill>
                    <w14:srgbClr w14:val="000000"/>
                  </w14:solidFill>
                  <w14:prstDash w14:val="solid"/>
                  <w14:bevel/>
                </w14:textOutline>
              </w:rPr>
              <w:t>度</w:t>
            </w:r>
          </w:p>
          <w:p>
            <w:pPr>
              <w:spacing w:before="20" w:line="233" w:lineRule="auto"/>
              <w:ind w:left="214"/>
              <w:rPr>
                <w:rFonts w:ascii="宋体" w:hAnsi="宋体" w:eastAsia="宋体" w:cs="宋体"/>
                <w:sz w:val="17"/>
                <w:szCs w:val="17"/>
              </w:rPr>
            </w:pPr>
            <w:r>
              <w:rPr>
                <w:rFonts w:ascii="宋体" w:hAnsi="宋体" w:eastAsia="宋体" w:cs="宋体"/>
                <w:spacing w:val="27"/>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27"/>
                <w:sz w:val="17"/>
                <w:szCs w:val="17"/>
              </w:rPr>
              <w:t>°</w:t>
            </w:r>
            <w:r>
              <w:rPr>
                <w:rFonts w:ascii="宋体" w:hAnsi="宋体" w:eastAsia="宋体" w:cs="宋体"/>
                <w:spacing w:val="27"/>
                <w:sz w:val="17"/>
                <w:szCs w:val="17"/>
                <w14:textOutline w14:w="3268" w14:cap="sq" w14:cmpd="sng">
                  <w14:solidFill>
                    <w14:srgbClr w14:val="000000"/>
                  </w14:solidFill>
                  <w14:prstDash w14:val="solid"/>
                  <w14:bevel/>
                </w14:textOutline>
              </w:rPr>
              <w:t>)</w:t>
            </w:r>
          </w:p>
        </w:tc>
        <w:tc>
          <w:tcPr>
            <w:tcW w:w="779" w:type="dxa"/>
            <w:vAlign w:val="top"/>
          </w:tcPr>
          <w:p>
            <w:pPr>
              <w:spacing w:before="53" w:line="253" w:lineRule="auto"/>
              <w:ind w:left="32" w:right="27"/>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植</w:t>
            </w:r>
            <w:r>
              <w:rPr>
                <w:rFonts w:ascii="宋体" w:hAnsi="宋体" w:eastAsia="宋体" w:cs="宋体"/>
                <w:spacing w:val="8"/>
                <w:sz w:val="17"/>
                <w:szCs w:val="17"/>
                <w14:textOutline w14:w="3268" w14:cap="sq" w14:cmpd="sng">
                  <w14:solidFill>
                    <w14:srgbClr w14:val="000000"/>
                  </w14:solidFill>
                  <w14:prstDash w14:val="solid"/>
                  <w14:bevel/>
                </w14:textOutline>
              </w:rPr>
              <w:t>被覆盖</w:t>
            </w:r>
            <w:r>
              <w:rPr>
                <w:rFonts w:ascii="宋体" w:hAnsi="宋体" w:eastAsia="宋体" w:cs="宋体"/>
                <w:sz w:val="17"/>
                <w:szCs w:val="17"/>
              </w:rPr>
              <w:t xml:space="preserve"> </w:t>
            </w:r>
            <w:r>
              <w:rPr>
                <w:rFonts w:ascii="宋体" w:hAnsi="宋体" w:eastAsia="宋体" w:cs="宋体"/>
                <w:spacing w:val="7"/>
                <w:sz w:val="17"/>
                <w:szCs w:val="17"/>
                <w14:textOutline w14:w="3268" w14:cap="sq" w14:cmpd="sng">
                  <w14:solidFill>
                    <w14:srgbClr w14:val="000000"/>
                  </w14:solidFill>
                  <w14:prstDash w14:val="solid"/>
                  <w14:bevel/>
                </w14:textOutline>
              </w:rPr>
              <w:t>度</w:t>
            </w:r>
            <w:r>
              <w:rPr>
                <w:rFonts w:ascii="宋体" w:hAnsi="宋体" w:eastAsia="宋体" w:cs="宋体"/>
                <w:spacing w:val="4"/>
                <w:sz w:val="17"/>
                <w:szCs w:val="17"/>
              </w:rPr>
              <w:t xml:space="preserve"> </w:t>
            </w:r>
            <w:r>
              <w:rPr>
                <w:rFonts w:ascii="宋体" w:hAnsi="宋体" w:eastAsia="宋体" w:cs="宋体"/>
                <w:spacing w:val="4"/>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4"/>
                <w:sz w:val="17"/>
                <w:szCs w:val="17"/>
              </w:rPr>
              <w:t>%</w:t>
            </w:r>
            <w:r>
              <w:rPr>
                <w:rFonts w:ascii="宋体" w:hAnsi="宋体" w:eastAsia="宋体" w:cs="宋体"/>
                <w:spacing w:val="4"/>
                <w:sz w:val="17"/>
                <w:szCs w:val="17"/>
                <w14:textOutline w14:w="3268" w14:cap="sq" w14:cmpd="sng">
                  <w14:solidFill>
                    <w14:srgbClr w14:val="000000"/>
                  </w14:solidFill>
                  <w14:prstDash w14:val="solid"/>
                  <w14:bevel/>
                </w14:textOutline>
              </w:rPr>
              <w:t>)</w:t>
            </w:r>
          </w:p>
        </w:tc>
        <w:tc>
          <w:tcPr>
            <w:tcW w:w="638" w:type="dxa"/>
            <w:vAlign w:val="top"/>
          </w:tcPr>
          <w:p>
            <w:pPr>
              <w:spacing w:before="53" w:line="253" w:lineRule="auto"/>
              <w:ind w:left="232" w:right="43" w:hanging="177"/>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侵蚀</w:t>
            </w:r>
            <w:r>
              <w:rPr>
                <w:rFonts w:ascii="宋体" w:hAnsi="宋体" w:eastAsia="宋体" w:cs="宋体"/>
                <w:spacing w:val="7"/>
                <w:sz w:val="17"/>
                <w:szCs w:val="17"/>
                <w14:textOutline w14:w="3268" w14:cap="sq" w14:cmpd="sng">
                  <w14:solidFill>
                    <w14:srgbClr w14:val="000000"/>
                  </w14:solidFill>
                  <w14:prstDash w14:val="solid"/>
                  <w14:bevel/>
                </w14:textOutline>
              </w:rPr>
              <w:t>强</w:t>
            </w:r>
            <w:r>
              <w:rPr>
                <w:rFonts w:ascii="宋体" w:hAnsi="宋体" w:eastAsia="宋体" w:cs="宋体"/>
                <w:sz w:val="17"/>
                <w:szCs w:val="17"/>
              </w:rPr>
              <w:t xml:space="preserve"> </w:t>
            </w:r>
            <w:r>
              <w:rPr>
                <w:rFonts w:ascii="宋体" w:hAnsi="宋体" w:eastAsia="宋体" w:cs="宋体"/>
                <w:spacing w:val="3"/>
                <w:sz w:val="17"/>
                <w:szCs w:val="17"/>
                <w14:textOutline w14:w="3268" w14:cap="sq" w14:cmpd="sng">
                  <w14:solidFill>
                    <w14:srgbClr w14:val="000000"/>
                  </w14:solidFill>
                  <w14:prstDash w14:val="solid"/>
                  <w14:bevel/>
                </w14:textOutline>
              </w:rPr>
              <w:t>度</w:t>
            </w:r>
          </w:p>
        </w:tc>
        <w:tc>
          <w:tcPr>
            <w:tcW w:w="1218" w:type="dxa"/>
            <w:vAlign w:val="top"/>
          </w:tcPr>
          <w:p>
            <w:pPr>
              <w:spacing w:before="53" w:line="253" w:lineRule="auto"/>
              <w:ind w:left="183" w:right="64" w:hanging="108"/>
              <w:rPr>
                <w:rFonts w:ascii="Times New Roman" w:hAnsi="Times New Roman" w:eastAsia="Times New Roman" w:cs="Times New Roman"/>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侵蚀模数背</w:t>
            </w:r>
            <w:r>
              <w:rPr>
                <w:rFonts w:ascii="宋体" w:hAnsi="宋体" w:eastAsia="宋体" w:cs="宋体"/>
                <w:spacing w:val="8"/>
                <w:sz w:val="17"/>
                <w:szCs w:val="17"/>
                <w14:textOutline w14:w="3268" w14:cap="sq" w14:cmpd="sng">
                  <w14:solidFill>
                    <w14:srgbClr w14:val="000000"/>
                  </w14:solidFill>
                  <w14:prstDash w14:val="solid"/>
                  <w14:bevel/>
                </w14:textOutline>
              </w:rPr>
              <w:t>景</w:t>
            </w:r>
            <w:r>
              <w:rPr>
                <w:rFonts w:ascii="宋体" w:hAnsi="宋体" w:eastAsia="宋体" w:cs="宋体"/>
                <w:sz w:val="17"/>
                <w:szCs w:val="17"/>
              </w:rPr>
              <w:t xml:space="preserve"> </w:t>
            </w:r>
            <w:r>
              <w:rPr>
                <w:rFonts w:ascii="宋体" w:hAnsi="宋体" w:eastAsia="宋体" w:cs="宋体"/>
                <w:spacing w:val="8"/>
                <w:sz w:val="17"/>
                <w:szCs w:val="17"/>
                <w14:textOutline w14:w="3268" w14:cap="sq" w14:cmpd="sng">
                  <w14:solidFill>
                    <w14:srgbClr w14:val="000000"/>
                  </w14:solidFill>
                  <w14:prstDash w14:val="solid"/>
                  <w14:bevel/>
                </w14:textOutline>
              </w:rPr>
              <w:t>值</w:t>
            </w:r>
            <w:r>
              <w:rPr>
                <w:rFonts w:ascii="Times New Roman" w:hAnsi="Times New Roman" w:eastAsia="Times New Roman" w:cs="Times New Roman"/>
                <w:b/>
                <w:bCs/>
                <w:spacing w:val="6"/>
                <w:sz w:val="17"/>
                <w:szCs w:val="17"/>
              </w:rPr>
              <w:t>(</w:t>
            </w:r>
            <w:r>
              <w:rPr>
                <w:rFonts w:ascii="Times New Roman" w:hAnsi="Times New Roman" w:eastAsia="Times New Roman" w:cs="Times New Roman"/>
                <w:b/>
                <w:bCs/>
                <w:sz w:val="17"/>
                <w:szCs w:val="17"/>
              </w:rPr>
              <w:t>t</w:t>
            </w:r>
            <w:r>
              <w:rPr>
                <w:rFonts w:ascii="Times New Roman" w:hAnsi="Times New Roman" w:eastAsia="Times New Roman" w:cs="Times New Roman"/>
                <w:b/>
                <w:bCs/>
                <w:spacing w:val="6"/>
                <w:sz w:val="17"/>
                <w:szCs w:val="17"/>
              </w:rPr>
              <w:t>/</w:t>
            </w:r>
            <w:r>
              <w:rPr>
                <w:rFonts w:ascii="Times New Roman" w:hAnsi="Times New Roman" w:eastAsia="Times New Roman" w:cs="Times New Roman"/>
                <w:b/>
                <w:bCs/>
                <w:sz w:val="17"/>
                <w:szCs w:val="17"/>
              </w:rPr>
              <w:t>km</w:t>
            </w:r>
            <w:r>
              <w:rPr>
                <w:rFonts w:ascii="Times New Roman" w:hAnsi="Times New Roman" w:eastAsia="Times New Roman" w:cs="Times New Roman"/>
                <w:b/>
                <w:bCs/>
                <w:spacing w:val="6"/>
                <w:sz w:val="17"/>
                <w:szCs w:val="17"/>
              </w:rPr>
              <w:t>²·</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6"/>
                <w:sz w:val="17"/>
                <w:szCs w:val="17"/>
              </w:rPr>
              <w:t>)</w:t>
            </w:r>
          </w:p>
        </w:tc>
        <w:tc>
          <w:tcPr>
            <w:tcW w:w="1184" w:type="dxa"/>
            <w:vAlign w:val="top"/>
          </w:tcPr>
          <w:p>
            <w:pPr>
              <w:spacing w:before="52" w:line="212" w:lineRule="auto"/>
              <w:ind w:left="59"/>
              <w:rPr>
                <w:rFonts w:ascii="宋体" w:hAnsi="宋体" w:eastAsia="宋体" w:cs="宋体"/>
                <w:sz w:val="17"/>
                <w:szCs w:val="17"/>
              </w:rPr>
            </w:pPr>
            <w:r>
              <w:rPr>
                <w:rFonts w:ascii="宋体" w:hAnsi="宋体" w:eastAsia="宋体" w:cs="宋体"/>
                <w:spacing w:val="11"/>
                <w:sz w:val="17"/>
                <w:szCs w:val="17"/>
                <w14:textOutline w14:w="3268" w14:cap="sq" w14:cmpd="sng">
                  <w14:solidFill>
                    <w14:srgbClr w14:val="000000"/>
                  </w14:solidFill>
                  <w14:prstDash w14:val="solid"/>
                  <w14:bevel/>
                </w14:textOutline>
              </w:rPr>
              <w:t>平</w:t>
            </w:r>
            <w:r>
              <w:rPr>
                <w:rFonts w:ascii="宋体" w:hAnsi="宋体" w:eastAsia="宋体" w:cs="宋体"/>
                <w:spacing w:val="9"/>
                <w:sz w:val="17"/>
                <w:szCs w:val="17"/>
                <w14:textOutline w14:w="3268" w14:cap="sq" w14:cmpd="sng">
                  <w14:solidFill>
                    <w14:srgbClr w14:val="000000"/>
                  </w14:solidFill>
                  <w14:prstDash w14:val="solid"/>
                  <w14:bevel/>
                </w14:textOutline>
              </w:rPr>
              <w:t>均侵蚀模数</w:t>
            </w:r>
          </w:p>
          <w:p>
            <w:pPr>
              <w:spacing w:line="248" w:lineRule="exact"/>
              <w:ind w:left="149"/>
              <w:rPr>
                <w:rFonts w:ascii="宋体" w:hAnsi="宋体" w:eastAsia="宋体" w:cs="宋体"/>
                <w:sz w:val="17"/>
                <w:szCs w:val="17"/>
              </w:rPr>
            </w:pPr>
            <w:r>
              <w:rPr>
                <w:rFonts w:ascii="宋体" w:hAnsi="宋体" w:eastAsia="宋体" w:cs="宋体"/>
                <w:spacing w:val="18"/>
                <w:position w:val="1"/>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position w:val="1"/>
                <w:sz w:val="17"/>
                <w:szCs w:val="17"/>
              </w:rPr>
              <w:t>t</w:t>
            </w:r>
            <w:r>
              <w:rPr>
                <w:rFonts w:ascii="Times New Roman" w:hAnsi="Times New Roman" w:eastAsia="Times New Roman" w:cs="Times New Roman"/>
                <w:b/>
                <w:bCs/>
                <w:spacing w:val="15"/>
                <w:position w:val="1"/>
                <w:sz w:val="17"/>
                <w:szCs w:val="17"/>
              </w:rPr>
              <w:t>/</w:t>
            </w:r>
            <w:r>
              <w:rPr>
                <w:rFonts w:ascii="Times New Roman" w:hAnsi="Times New Roman" w:eastAsia="Times New Roman" w:cs="Times New Roman"/>
                <w:b/>
                <w:bCs/>
                <w:position w:val="1"/>
                <w:sz w:val="17"/>
                <w:szCs w:val="17"/>
              </w:rPr>
              <w:t>km</w:t>
            </w:r>
            <w:r>
              <w:rPr>
                <w:rFonts w:ascii="Times New Roman" w:hAnsi="Times New Roman" w:eastAsia="Times New Roman" w:cs="Times New Roman"/>
                <w:b/>
                <w:bCs/>
                <w:spacing w:val="15"/>
                <w:position w:val="1"/>
                <w:sz w:val="17"/>
                <w:szCs w:val="17"/>
              </w:rPr>
              <w:t>²·</w:t>
            </w:r>
            <w:r>
              <w:rPr>
                <w:rFonts w:ascii="Times New Roman" w:hAnsi="Times New Roman" w:eastAsia="Times New Roman" w:cs="Times New Roman"/>
                <w:b/>
                <w:bCs/>
                <w:position w:val="1"/>
                <w:sz w:val="17"/>
                <w:szCs w:val="17"/>
              </w:rPr>
              <w:t>a</w:t>
            </w:r>
            <w:r>
              <w:rPr>
                <w:rFonts w:ascii="Times New Roman" w:hAnsi="Times New Roman" w:eastAsia="Times New Roman" w:cs="Times New Roman"/>
                <w:spacing w:val="15"/>
                <w:position w:val="1"/>
                <w:sz w:val="17"/>
                <w:szCs w:val="17"/>
              </w:rPr>
              <w:t xml:space="preserve"> </w:t>
            </w:r>
            <w:r>
              <w:rPr>
                <w:rFonts w:ascii="宋体" w:hAnsi="宋体" w:eastAsia="宋体" w:cs="宋体"/>
                <w:spacing w:val="15"/>
                <w:position w:val="1"/>
                <w:sz w:val="17"/>
                <w:szCs w:val="17"/>
                <w14:textOutline w14:w="3268" w14:cap="sq" w14:cmpd="sng">
                  <w14:solidFill>
                    <w14:srgbClr w14:val="000000"/>
                  </w14:solidFill>
                  <w14:prstDash w14:val="solid"/>
                  <w14:bevel/>
                </w14:textOutline>
              </w:rPr>
              <w:t>)</w:t>
            </w:r>
          </w:p>
        </w:tc>
        <w:tc>
          <w:tcPr>
            <w:tcW w:w="967" w:type="dxa"/>
            <w:tcBorders>
              <w:right w:val="single" w:color="000000" w:sz="6" w:space="0"/>
            </w:tcBorders>
            <w:vAlign w:val="top"/>
          </w:tcPr>
          <w:p>
            <w:pPr>
              <w:spacing w:before="52" w:line="212" w:lineRule="auto"/>
              <w:ind w:left="69"/>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年</w:t>
            </w:r>
            <w:r>
              <w:rPr>
                <w:rFonts w:ascii="宋体" w:hAnsi="宋体" w:eastAsia="宋体" w:cs="宋体"/>
                <w:spacing w:val="8"/>
                <w:sz w:val="17"/>
                <w:szCs w:val="17"/>
                <w14:textOutline w14:w="3268" w14:cap="sq" w14:cmpd="sng">
                  <w14:solidFill>
                    <w14:srgbClr w14:val="000000"/>
                  </w14:solidFill>
                  <w14:prstDash w14:val="solid"/>
                  <w14:bevel/>
                </w14:textOutline>
              </w:rPr>
              <w:t>流失量</w:t>
            </w:r>
          </w:p>
          <w:p>
            <w:pPr>
              <w:spacing w:line="248" w:lineRule="exact"/>
              <w:ind w:left="160"/>
              <w:rPr>
                <w:rFonts w:ascii="宋体" w:hAnsi="宋体" w:eastAsia="宋体" w:cs="宋体"/>
                <w:sz w:val="17"/>
                <w:szCs w:val="17"/>
              </w:rPr>
            </w:pPr>
            <w:r>
              <w:rPr>
                <w:rFonts w:ascii="宋体" w:hAnsi="宋体" w:eastAsia="宋体" w:cs="宋体"/>
                <w:spacing w:val="18"/>
                <w:position w:val="1"/>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position w:val="1"/>
                <w:sz w:val="17"/>
                <w:szCs w:val="17"/>
              </w:rPr>
              <w:t>t</w:t>
            </w:r>
            <w:r>
              <w:rPr>
                <w:rFonts w:ascii="Times New Roman" w:hAnsi="Times New Roman" w:eastAsia="Times New Roman" w:cs="Times New Roman"/>
                <w:b/>
                <w:bCs/>
                <w:spacing w:val="18"/>
                <w:position w:val="1"/>
                <w:sz w:val="17"/>
                <w:szCs w:val="17"/>
              </w:rPr>
              <w:t>/</w:t>
            </w:r>
            <w:r>
              <w:rPr>
                <w:rFonts w:ascii="Times New Roman" w:hAnsi="Times New Roman" w:eastAsia="Times New Roman" w:cs="Times New Roman"/>
                <w:b/>
                <w:bCs/>
                <w:position w:val="1"/>
                <w:sz w:val="17"/>
                <w:szCs w:val="17"/>
              </w:rPr>
              <w:t>a</w:t>
            </w:r>
            <w:r>
              <w:rPr>
                <w:rFonts w:ascii="Times New Roman" w:hAnsi="Times New Roman" w:eastAsia="Times New Roman" w:cs="Times New Roman"/>
                <w:spacing w:val="18"/>
                <w:position w:val="1"/>
                <w:sz w:val="17"/>
                <w:szCs w:val="17"/>
              </w:rPr>
              <w:t xml:space="preserve"> </w:t>
            </w:r>
            <w:r>
              <w:rPr>
                <w:rFonts w:ascii="宋体" w:hAnsi="宋体" w:eastAsia="宋体" w:cs="宋体"/>
                <w:spacing w:val="18"/>
                <w:position w:val="1"/>
                <w:sz w:val="17"/>
                <w:szCs w:val="17"/>
                <w14:textOutline w14:w="3268"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9" w:hRule="atLeast"/>
        </w:trPr>
        <w:tc>
          <w:tcPr>
            <w:tcW w:w="622" w:type="dxa"/>
            <w:vMerge w:val="continue"/>
            <w:tcBorders>
              <w:top w:val="nil"/>
              <w:left w:val="single" w:color="000000" w:sz="6" w:space="0"/>
              <w:bottom w:val="nil"/>
            </w:tcBorders>
            <w:vAlign w:val="top"/>
          </w:tcPr>
          <w:p>
            <w:pPr>
              <w:rPr>
                <w:rFonts w:ascii="Arial"/>
                <w:sz w:val="21"/>
              </w:rPr>
            </w:pPr>
          </w:p>
        </w:tc>
        <w:tc>
          <w:tcPr>
            <w:tcW w:w="116" w:type="dxa"/>
            <w:vMerge w:val="continue"/>
            <w:tcBorders>
              <w:top w:val="nil"/>
              <w:bottom w:val="nil"/>
            </w:tcBorders>
            <w:vAlign w:val="top"/>
          </w:tcPr>
          <w:p>
            <w:pPr>
              <w:rPr>
                <w:rFonts w:ascii="Arial"/>
                <w:sz w:val="21"/>
              </w:rPr>
            </w:pPr>
          </w:p>
        </w:tc>
        <w:tc>
          <w:tcPr>
            <w:tcW w:w="776" w:type="dxa"/>
            <w:vMerge w:val="restart"/>
            <w:tcBorders>
              <w:bottom w:val="nil"/>
            </w:tcBorders>
            <w:vAlign w:val="top"/>
          </w:tcPr>
          <w:p>
            <w:pPr>
              <w:spacing w:line="383" w:lineRule="auto"/>
              <w:rPr>
                <w:rFonts w:ascii="Arial"/>
                <w:sz w:val="21"/>
              </w:rPr>
            </w:pPr>
          </w:p>
          <w:p>
            <w:pPr>
              <w:spacing w:before="55" w:line="231" w:lineRule="auto"/>
              <w:ind w:left="26"/>
              <w:rPr>
                <w:rFonts w:ascii="宋体" w:hAnsi="宋体" w:eastAsia="宋体" w:cs="宋体"/>
                <w:sz w:val="17"/>
                <w:szCs w:val="17"/>
              </w:rPr>
            </w:pPr>
            <w:r>
              <w:rPr>
                <w:rFonts w:ascii="宋体" w:hAnsi="宋体" w:eastAsia="宋体" w:cs="宋体"/>
                <w:spacing w:val="8"/>
                <w:sz w:val="17"/>
                <w:szCs w:val="17"/>
              </w:rPr>
              <w:t>主体工</w:t>
            </w:r>
            <w:r>
              <w:rPr>
                <w:rFonts w:ascii="宋体" w:hAnsi="宋体" w:eastAsia="宋体" w:cs="宋体"/>
                <w:spacing w:val="7"/>
                <w:sz w:val="17"/>
                <w:szCs w:val="17"/>
              </w:rPr>
              <w:t>程</w:t>
            </w:r>
          </w:p>
        </w:tc>
        <w:tc>
          <w:tcPr>
            <w:tcW w:w="1139" w:type="dxa"/>
            <w:vAlign w:val="top"/>
          </w:tcPr>
          <w:p>
            <w:pPr>
              <w:spacing w:before="53" w:line="253" w:lineRule="auto"/>
              <w:ind w:left="118" w:right="31" w:hanging="84"/>
              <w:rPr>
                <w:rFonts w:ascii="宋体" w:hAnsi="宋体" w:eastAsia="宋体" w:cs="宋体"/>
                <w:sz w:val="17"/>
                <w:szCs w:val="17"/>
              </w:rPr>
            </w:pPr>
            <w:r>
              <w:rPr>
                <w:rFonts w:ascii="宋体" w:hAnsi="宋体" w:eastAsia="宋体" w:cs="宋体"/>
                <w:spacing w:val="8"/>
                <w:sz w:val="17"/>
                <w:szCs w:val="17"/>
              </w:rPr>
              <w:t>公共管理与</w:t>
            </w:r>
            <w:r>
              <w:rPr>
                <w:rFonts w:ascii="宋体" w:hAnsi="宋体" w:eastAsia="宋体" w:cs="宋体"/>
                <w:spacing w:val="7"/>
                <w:sz w:val="17"/>
                <w:szCs w:val="17"/>
              </w:rPr>
              <w:t>公</w:t>
            </w:r>
            <w:r>
              <w:rPr>
                <w:rFonts w:ascii="宋体" w:hAnsi="宋体" w:eastAsia="宋体" w:cs="宋体"/>
                <w:sz w:val="17"/>
                <w:szCs w:val="17"/>
              </w:rPr>
              <w:t xml:space="preserve"> </w:t>
            </w:r>
            <w:r>
              <w:rPr>
                <w:rFonts w:ascii="宋体" w:hAnsi="宋体" w:eastAsia="宋体" w:cs="宋体"/>
                <w:spacing w:val="11"/>
                <w:sz w:val="17"/>
                <w:szCs w:val="17"/>
              </w:rPr>
              <w:t>共</w:t>
            </w:r>
            <w:r>
              <w:rPr>
                <w:rFonts w:ascii="宋体" w:hAnsi="宋体" w:eastAsia="宋体" w:cs="宋体"/>
                <w:spacing w:val="8"/>
                <w:sz w:val="17"/>
                <w:szCs w:val="17"/>
              </w:rPr>
              <w:t>服务用地</w:t>
            </w:r>
          </w:p>
        </w:tc>
        <w:tc>
          <w:tcPr>
            <w:tcW w:w="649" w:type="dxa"/>
            <w:vAlign w:val="top"/>
          </w:tcPr>
          <w:p>
            <w:pPr>
              <w:spacing w:before="198" w:line="197" w:lineRule="auto"/>
              <w:ind w:left="16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0.2</w:t>
            </w:r>
            <w:r>
              <w:rPr>
                <w:rFonts w:ascii="Times New Roman" w:hAnsi="Times New Roman" w:eastAsia="Times New Roman" w:cs="Times New Roman"/>
                <w:spacing w:val="2"/>
                <w:sz w:val="17"/>
                <w:szCs w:val="17"/>
              </w:rPr>
              <w:t>9</w:t>
            </w:r>
          </w:p>
        </w:tc>
        <w:tc>
          <w:tcPr>
            <w:tcW w:w="838" w:type="dxa"/>
            <w:vAlign w:val="top"/>
          </w:tcPr>
          <w:p>
            <w:pPr>
              <w:spacing w:before="198" w:line="197" w:lineRule="auto"/>
              <w:ind w:left="28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5~8</w:t>
            </w:r>
          </w:p>
        </w:tc>
        <w:tc>
          <w:tcPr>
            <w:tcW w:w="779" w:type="dxa"/>
            <w:vAlign w:val="top"/>
          </w:tcPr>
          <w:p>
            <w:pPr>
              <w:spacing w:before="198" w:line="197" w:lineRule="auto"/>
              <w:ind w:left="30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w:t>
            </w:r>
          </w:p>
        </w:tc>
        <w:tc>
          <w:tcPr>
            <w:tcW w:w="638" w:type="dxa"/>
            <w:vAlign w:val="top"/>
          </w:tcPr>
          <w:p>
            <w:pPr>
              <w:spacing w:before="169" w:line="230" w:lineRule="auto"/>
              <w:ind w:left="145"/>
              <w:rPr>
                <w:rFonts w:ascii="宋体" w:hAnsi="宋体" w:eastAsia="宋体" w:cs="宋体"/>
                <w:sz w:val="17"/>
                <w:szCs w:val="17"/>
              </w:rPr>
            </w:pPr>
            <w:r>
              <w:rPr>
                <w:rFonts w:ascii="宋体" w:hAnsi="宋体" w:eastAsia="宋体" w:cs="宋体"/>
                <w:spacing w:val="6"/>
                <w:sz w:val="17"/>
                <w:szCs w:val="17"/>
              </w:rPr>
              <w:t>轻度</w:t>
            </w:r>
          </w:p>
        </w:tc>
        <w:tc>
          <w:tcPr>
            <w:tcW w:w="1218" w:type="dxa"/>
            <w:vAlign w:val="top"/>
          </w:tcPr>
          <w:p>
            <w:pPr>
              <w:spacing w:before="198" w:line="197" w:lineRule="auto"/>
              <w:ind w:left="450"/>
              <w:rPr>
                <w:rFonts w:ascii="Times New Roman" w:hAnsi="Times New Roman" w:eastAsia="Times New Roman" w:cs="Times New Roman"/>
                <w:sz w:val="17"/>
                <w:szCs w:val="17"/>
              </w:rPr>
            </w:pPr>
            <w:r>
              <w:rPr>
                <w:rFonts w:ascii="Times New Roman" w:hAnsi="Times New Roman" w:eastAsia="Times New Roman" w:cs="Times New Roman"/>
                <w:sz w:val="17"/>
                <w:szCs w:val="17"/>
              </w:rPr>
              <w:t>1500</w:t>
            </w:r>
          </w:p>
        </w:tc>
        <w:tc>
          <w:tcPr>
            <w:tcW w:w="1184" w:type="dxa"/>
            <w:vMerge w:val="restart"/>
            <w:tcBorders>
              <w:bottom w:val="nil"/>
            </w:tcBorders>
            <w:vAlign w:val="top"/>
          </w:tcPr>
          <w:p>
            <w:pPr>
              <w:spacing w:line="420" w:lineRule="auto"/>
              <w:rPr>
                <w:rFonts w:ascii="Arial"/>
                <w:sz w:val="21"/>
              </w:rPr>
            </w:pPr>
          </w:p>
          <w:p>
            <w:pPr>
              <w:spacing w:before="49" w:line="197" w:lineRule="auto"/>
              <w:ind w:left="46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549</w:t>
            </w:r>
          </w:p>
        </w:tc>
        <w:tc>
          <w:tcPr>
            <w:tcW w:w="967" w:type="dxa"/>
            <w:tcBorders>
              <w:right w:val="single" w:color="000000" w:sz="6" w:space="0"/>
            </w:tcBorders>
            <w:vAlign w:val="top"/>
          </w:tcPr>
          <w:p>
            <w:pPr>
              <w:spacing w:before="198" w:line="200" w:lineRule="auto"/>
              <w:ind w:left="269"/>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55" w:hRule="atLeast"/>
        </w:trPr>
        <w:tc>
          <w:tcPr>
            <w:tcW w:w="622" w:type="dxa"/>
            <w:vMerge w:val="continue"/>
            <w:tcBorders>
              <w:top w:val="nil"/>
              <w:left w:val="single" w:color="000000" w:sz="6" w:space="0"/>
              <w:bottom w:val="nil"/>
            </w:tcBorders>
            <w:vAlign w:val="top"/>
          </w:tcPr>
          <w:p>
            <w:pPr>
              <w:rPr>
                <w:rFonts w:ascii="Arial"/>
                <w:sz w:val="21"/>
              </w:rPr>
            </w:pPr>
          </w:p>
        </w:tc>
        <w:tc>
          <w:tcPr>
            <w:tcW w:w="116" w:type="dxa"/>
            <w:vMerge w:val="continue"/>
            <w:tcBorders>
              <w:top w:val="nil"/>
              <w:bottom w:val="nil"/>
            </w:tcBorders>
            <w:vAlign w:val="top"/>
          </w:tcPr>
          <w:p>
            <w:pPr>
              <w:rPr>
                <w:rFonts w:ascii="Arial"/>
                <w:sz w:val="21"/>
              </w:rPr>
            </w:pPr>
          </w:p>
        </w:tc>
        <w:tc>
          <w:tcPr>
            <w:tcW w:w="776" w:type="dxa"/>
            <w:vMerge w:val="continue"/>
            <w:tcBorders>
              <w:top w:val="nil"/>
              <w:bottom w:val="nil"/>
            </w:tcBorders>
            <w:vAlign w:val="top"/>
          </w:tcPr>
          <w:p>
            <w:pPr>
              <w:rPr>
                <w:rFonts w:ascii="Arial"/>
                <w:sz w:val="21"/>
              </w:rPr>
            </w:pPr>
          </w:p>
        </w:tc>
        <w:tc>
          <w:tcPr>
            <w:tcW w:w="1139" w:type="dxa"/>
            <w:vAlign w:val="top"/>
          </w:tcPr>
          <w:p>
            <w:pPr>
              <w:spacing w:before="44" w:line="229" w:lineRule="auto"/>
              <w:ind w:left="33"/>
              <w:rPr>
                <w:rFonts w:ascii="宋体" w:hAnsi="宋体" w:eastAsia="宋体" w:cs="宋体"/>
                <w:sz w:val="17"/>
                <w:szCs w:val="17"/>
              </w:rPr>
            </w:pPr>
            <w:r>
              <w:rPr>
                <w:rFonts w:ascii="宋体" w:hAnsi="宋体" w:eastAsia="宋体" w:cs="宋体"/>
                <w:spacing w:val="9"/>
                <w:sz w:val="17"/>
                <w:szCs w:val="17"/>
              </w:rPr>
              <w:t>交</w:t>
            </w:r>
            <w:r>
              <w:rPr>
                <w:rFonts w:ascii="宋体" w:hAnsi="宋体" w:eastAsia="宋体" w:cs="宋体"/>
                <w:spacing w:val="8"/>
                <w:sz w:val="17"/>
                <w:szCs w:val="17"/>
              </w:rPr>
              <w:t>通运输用地</w:t>
            </w:r>
          </w:p>
        </w:tc>
        <w:tc>
          <w:tcPr>
            <w:tcW w:w="649" w:type="dxa"/>
            <w:vAlign w:val="top"/>
          </w:tcPr>
          <w:p>
            <w:pPr>
              <w:spacing w:before="72" w:line="197" w:lineRule="auto"/>
              <w:ind w:left="16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0 2</w:t>
            </w:r>
            <w:r>
              <w:rPr>
                <w:rFonts w:ascii="Times New Roman" w:hAnsi="Times New Roman" w:eastAsia="Times New Roman" w:cs="Times New Roman"/>
                <w:spacing w:val="2"/>
                <w:sz w:val="17"/>
                <w:szCs w:val="17"/>
              </w:rPr>
              <w:t>8</w:t>
            </w:r>
          </w:p>
        </w:tc>
        <w:tc>
          <w:tcPr>
            <w:tcW w:w="838" w:type="dxa"/>
            <w:vAlign w:val="top"/>
          </w:tcPr>
          <w:p>
            <w:pPr>
              <w:spacing w:before="72" w:line="197" w:lineRule="auto"/>
              <w:ind w:left="28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5</w:t>
            </w:r>
          </w:p>
        </w:tc>
        <w:tc>
          <w:tcPr>
            <w:tcW w:w="779" w:type="dxa"/>
            <w:vAlign w:val="top"/>
          </w:tcPr>
          <w:p>
            <w:pPr>
              <w:spacing w:before="9" w:line="242" w:lineRule="exact"/>
              <w:ind w:left="362"/>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38" w:type="dxa"/>
            <w:vAlign w:val="top"/>
          </w:tcPr>
          <w:p>
            <w:pPr>
              <w:spacing w:before="44" w:line="229" w:lineRule="auto"/>
              <w:ind w:left="145"/>
              <w:rPr>
                <w:rFonts w:ascii="宋体" w:hAnsi="宋体" w:eastAsia="宋体" w:cs="宋体"/>
                <w:sz w:val="17"/>
                <w:szCs w:val="17"/>
              </w:rPr>
            </w:pPr>
            <w:r>
              <w:rPr>
                <w:rFonts w:ascii="宋体" w:hAnsi="宋体" w:eastAsia="宋体" w:cs="宋体"/>
                <w:spacing w:val="6"/>
                <w:sz w:val="17"/>
                <w:szCs w:val="17"/>
              </w:rPr>
              <w:t>微度</w:t>
            </w:r>
          </w:p>
        </w:tc>
        <w:tc>
          <w:tcPr>
            <w:tcW w:w="1218" w:type="dxa"/>
            <w:vAlign w:val="top"/>
          </w:tcPr>
          <w:p>
            <w:pPr>
              <w:spacing w:before="72" w:line="197" w:lineRule="auto"/>
              <w:ind w:left="4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00</w:t>
            </w:r>
          </w:p>
        </w:tc>
        <w:tc>
          <w:tcPr>
            <w:tcW w:w="1184" w:type="dxa"/>
            <w:vMerge w:val="continue"/>
            <w:tcBorders>
              <w:top w:val="nil"/>
              <w:bottom w:val="nil"/>
            </w:tcBorders>
            <w:vAlign w:val="top"/>
          </w:tcPr>
          <w:p>
            <w:pPr>
              <w:rPr>
                <w:rFonts w:ascii="Arial"/>
                <w:sz w:val="21"/>
              </w:rPr>
            </w:pPr>
          </w:p>
        </w:tc>
        <w:tc>
          <w:tcPr>
            <w:tcW w:w="967" w:type="dxa"/>
            <w:tcBorders>
              <w:right w:val="single" w:color="000000" w:sz="6" w:space="0"/>
            </w:tcBorders>
            <w:vAlign w:val="top"/>
          </w:tcPr>
          <w:p>
            <w:pPr>
              <w:spacing w:before="72" w:line="197" w:lineRule="auto"/>
              <w:ind w:left="27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0 8</w:t>
            </w:r>
            <w:r>
              <w:rPr>
                <w:rFonts w:ascii="Times New Roman" w:hAnsi="Times New Roman" w:eastAsia="Times New Roman" w:cs="Times New Roman"/>
                <w:spacing w:val="2"/>
                <w:sz w:val="17"/>
                <w:szCs w:val="17"/>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622" w:type="dxa"/>
            <w:vMerge w:val="continue"/>
            <w:tcBorders>
              <w:top w:val="nil"/>
              <w:left w:val="single" w:color="000000" w:sz="6" w:space="0"/>
              <w:bottom w:val="nil"/>
            </w:tcBorders>
            <w:vAlign w:val="top"/>
          </w:tcPr>
          <w:p>
            <w:pPr>
              <w:rPr>
                <w:rFonts w:ascii="Arial"/>
                <w:sz w:val="21"/>
              </w:rPr>
            </w:pPr>
          </w:p>
        </w:tc>
        <w:tc>
          <w:tcPr>
            <w:tcW w:w="116" w:type="dxa"/>
            <w:vMerge w:val="continue"/>
            <w:tcBorders>
              <w:top w:val="nil"/>
              <w:bottom w:val="nil"/>
            </w:tcBorders>
            <w:vAlign w:val="top"/>
          </w:tcPr>
          <w:p>
            <w:pPr>
              <w:rPr>
                <w:rFonts w:ascii="Arial"/>
                <w:sz w:val="21"/>
              </w:rPr>
            </w:pPr>
          </w:p>
        </w:tc>
        <w:tc>
          <w:tcPr>
            <w:tcW w:w="776" w:type="dxa"/>
            <w:vMerge w:val="continue"/>
            <w:tcBorders>
              <w:top w:val="nil"/>
            </w:tcBorders>
            <w:vAlign w:val="top"/>
          </w:tcPr>
          <w:p>
            <w:pPr>
              <w:rPr>
                <w:rFonts w:ascii="Arial"/>
                <w:sz w:val="21"/>
              </w:rPr>
            </w:pPr>
          </w:p>
        </w:tc>
        <w:tc>
          <w:tcPr>
            <w:tcW w:w="1139" w:type="dxa"/>
            <w:vAlign w:val="top"/>
          </w:tcPr>
          <w:p>
            <w:pPr>
              <w:spacing w:before="55" w:line="230" w:lineRule="auto"/>
              <w:ind w:left="211"/>
              <w:rPr>
                <w:rFonts w:ascii="宋体" w:hAnsi="宋体" w:eastAsia="宋体" w:cs="宋体"/>
                <w:sz w:val="17"/>
                <w:szCs w:val="17"/>
              </w:rPr>
            </w:pPr>
            <w:r>
              <w:rPr>
                <w:rFonts w:ascii="宋体" w:hAnsi="宋体" w:eastAsia="宋体" w:cs="宋体"/>
                <w:spacing w:val="9"/>
                <w:sz w:val="17"/>
                <w:szCs w:val="17"/>
              </w:rPr>
              <w:t>水</w:t>
            </w:r>
            <w:r>
              <w:rPr>
                <w:rFonts w:ascii="宋体" w:hAnsi="宋体" w:eastAsia="宋体" w:cs="宋体"/>
                <w:spacing w:val="7"/>
                <w:sz w:val="17"/>
                <w:szCs w:val="17"/>
              </w:rPr>
              <w:t>域用地</w:t>
            </w:r>
          </w:p>
        </w:tc>
        <w:tc>
          <w:tcPr>
            <w:tcW w:w="649" w:type="dxa"/>
            <w:vAlign w:val="top"/>
          </w:tcPr>
          <w:p>
            <w:pPr>
              <w:spacing w:before="86" w:line="197" w:lineRule="auto"/>
              <w:ind w:left="16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0.8</w:t>
            </w:r>
            <w:r>
              <w:rPr>
                <w:rFonts w:ascii="Times New Roman" w:hAnsi="Times New Roman" w:eastAsia="Times New Roman" w:cs="Times New Roman"/>
                <w:spacing w:val="2"/>
                <w:sz w:val="17"/>
                <w:szCs w:val="17"/>
              </w:rPr>
              <w:t>3</w:t>
            </w:r>
          </w:p>
        </w:tc>
        <w:tc>
          <w:tcPr>
            <w:tcW w:w="838" w:type="dxa"/>
            <w:vAlign w:val="top"/>
          </w:tcPr>
          <w:p>
            <w:pPr>
              <w:spacing w:before="86" w:line="197" w:lineRule="auto"/>
              <w:ind w:left="28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5</w:t>
            </w:r>
          </w:p>
        </w:tc>
        <w:tc>
          <w:tcPr>
            <w:tcW w:w="779" w:type="dxa"/>
            <w:vAlign w:val="top"/>
          </w:tcPr>
          <w:p>
            <w:pPr>
              <w:spacing w:before="22" w:line="243" w:lineRule="exact"/>
              <w:ind w:left="362"/>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38" w:type="dxa"/>
            <w:vAlign w:val="top"/>
          </w:tcPr>
          <w:p>
            <w:pPr>
              <w:spacing w:before="55" w:line="230" w:lineRule="auto"/>
              <w:ind w:left="145"/>
              <w:rPr>
                <w:rFonts w:ascii="宋体" w:hAnsi="宋体" w:eastAsia="宋体" w:cs="宋体"/>
                <w:sz w:val="17"/>
                <w:szCs w:val="17"/>
              </w:rPr>
            </w:pPr>
            <w:r>
              <w:rPr>
                <w:rFonts w:ascii="宋体" w:hAnsi="宋体" w:eastAsia="宋体" w:cs="宋体"/>
                <w:spacing w:val="6"/>
                <w:sz w:val="17"/>
                <w:szCs w:val="17"/>
              </w:rPr>
              <w:t>微度</w:t>
            </w:r>
          </w:p>
        </w:tc>
        <w:tc>
          <w:tcPr>
            <w:tcW w:w="1218" w:type="dxa"/>
            <w:vAlign w:val="top"/>
          </w:tcPr>
          <w:p>
            <w:pPr>
              <w:spacing w:before="86" w:line="197" w:lineRule="auto"/>
              <w:ind w:left="4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00</w:t>
            </w:r>
          </w:p>
        </w:tc>
        <w:tc>
          <w:tcPr>
            <w:tcW w:w="1184" w:type="dxa"/>
            <w:vMerge w:val="continue"/>
            <w:tcBorders>
              <w:top w:val="nil"/>
            </w:tcBorders>
            <w:vAlign w:val="top"/>
          </w:tcPr>
          <w:p>
            <w:pPr>
              <w:rPr>
                <w:rFonts w:ascii="Arial"/>
                <w:sz w:val="21"/>
              </w:rPr>
            </w:pPr>
          </w:p>
        </w:tc>
        <w:tc>
          <w:tcPr>
            <w:tcW w:w="967" w:type="dxa"/>
            <w:tcBorders>
              <w:right w:val="single" w:color="000000" w:sz="6" w:space="0"/>
            </w:tcBorders>
            <w:vAlign w:val="top"/>
          </w:tcPr>
          <w:p>
            <w:pPr>
              <w:spacing w:before="86" w:line="200" w:lineRule="auto"/>
              <w:ind w:left="26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622" w:type="dxa"/>
            <w:vMerge w:val="continue"/>
            <w:tcBorders>
              <w:top w:val="nil"/>
              <w:left w:val="single" w:color="000000" w:sz="6" w:space="0"/>
              <w:bottom w:val="nil"/>
            </w:tcBorders>
            <w:vAlign w:val="top"/>
          </w:tcPr>
          <w:p>
            <w:pPr>
              <w:rPr>
                <w:rFonts w:ascii="Arial"/>
                <w:sz w:val="21"/>
              </w:rPr>
            </w:pPr>
          </w:p>
        </w:tc>
        <w:tc>
          <w:tcPr>
            <w:tcW w:w="116" w:type="dxa"/>
            <w:vMerge w:val="continue"/>
            <w:tcBorders>
              <w:top w:val="nil"/>
              <w:bottom w:val="nil"/>
            </w:tcBorders>
            <w:vAlign w:val="top"/>
          </w:tcPr>
          <w:p>
            <w:pPr>
              <w:rPr>
                <w:rFonts w:ascii="Arial"/>
                <w:sz w:val="21"/>
              </w:rPr>
            </w:pPr>
          </w:p>
        </w:tc>
        <w:tc>
          <w:tcPr>
            <w:tcW w:w="776" w:type="dxa"/>
            <w:vAlign w:val="top"/>
          </w:tcPr>
          <w:p>
            <w:pPr>
              <w:spacing w:before="43" w:line="230" w:lineRule="auto"/>
              <w:ind w:left="24"/>
              <w:rPr>
                <w:rFonts w:ascii="宋体" w:hAnsi="宋体" w:eastAsia="宋体" w:cs="宋体"/>
                <w:sz w:val="17"/>
                <w:szCs w:val="17"/>
              </w:rPr>
            </w:pPr>
            <w:r>
              <w:rPr>
                <w:rFonts w:ascii="宋体" w:hAnsi="宋体" w:eastAsia="宋体" w:cs="宋体"/>
                <w:spacing w:val="9"/>
                <w:sz w:val="17"/>
                <w:szCs w:val="17"/>
              </w:rPr>
              <w:t>施</w:t>
            </w:r>
            <w:r>
              <w:rPr>
                <w:rFonts w:ascii="宋体" w:hAnsi="宋体" w:eastAsia="宋体" w:cs="宋体"/>
                <w:spacing w:val="8"/>
                <w:sz w:val="17"/>
                <w:szCs w:val="17"/>
              </w:rPr>
              <w:t>工便道</w:t>
            </w:r>
          </w:p>
        </w:tc>
        <w:tc>
          <w:tcPr>
            <w:tcW w:w="1139" w:type="dxa"/>
            <w:vAlign w:val="top"/>
          </w:tcPr>
          <w:p>
            <w:pPr>
              <w:spacing w:before="43" w:line="230" w:lineRule="auto"/>
              <w:ind w:left="33"/>
              <w:rPr>
                <w:rFonts w:ascii="宋体" w:hAnsi="宋体" w:eastAsia="宋体" w:cs="宋体"/>
                <w:sz w:val="17"/>
                <w:szCs w:val="17"/>
              </w:rPr>
            </w:pPr>
            <w:r>
              <w:rPr>
                <w:rFonts w:ascii="宋体" w:hAnsi="宋体" w:eastAsia="宋体" w:cs="宋体"/>
                <w:spacing w:val="9"/>
                <w:sz w:val="17"/>
                <w:szCs w:val="17"/>
              </w:rPr>
              <w:t>交</w:t>
            </w:r>
            <w:r>
              <w:rPr>
                <w:rFonts w:ascii="宋体" w:hAnsi="宋体" w:eastAsia="宋体" w:cs="宋体"/>
                <w:spacing w:val="8"/>
                <w:sz w:val="17"/>
                <w:szCs w:val="17"/>
              </w:rPr>
              <w:t>通运输用地</w:t>
            </w:r>
          </w:p>
        </w:tc>
        <w:tc>
          <w:tcPr>
            <w:tcW w:w="649" w:type="dxa"/>
            <w:vAlign w:val="top"/>
          </w:tcPr>
          <w:p>
            <w:pPr>
              <w:spacing w:before="74" w:line="197" w:lineRule="auto"/>
              <w:ind w:left="16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0.4</w:t>
            </w:r>
            <w:r>
              <w:rPr>
                <w:rFonts w:ascii="Times New Roman" w:hAnsi="Times New Roman" w:eastAsia="Times New Roman" w:cs="Times New Roman"/>
                <w:spacing w:val="2"/>
                <w:sz w:val="17"/>
                <w:szCs w:val="17"/>
              </w:rPr>
              <w:t>9</w:t>
            </w:r>
          </w:p>
        </w:tc>
        <w:tc>
          <w:tcPr>
            <w:tcW w:w="838" w:type="dxa"/>
            <w:vAlign w:val="top"/>
          </w:tcPr>
          <w:p>
            <w:pPr>
              <w:spacing w:before="74" w:line="197" w:lineRule="auto"/>
              <w:ind w:left="28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5~8</w:t>
            </w:r>
          </w:p>
        </w:tc>
        <w:tc>
          <w:tcPr>
            <w:tcW w:w="779" w:type="dxa"/>
            <w:vAlign w:val="top"/>
          </w:tcPr>
          <w:p>
            <w:pPr>
              <w:spacing w:before="74" w:line="197" w:lineRule="auto"/>
              <w:ind w:left="30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w:t>
            </w:r>
          </w:p>
        </w:tc>
        <w:tc>
          <w:tcPr>
            <w:tcW w:w="638" w:type="dxa"/>
            <w:vAlign w:val="top"/>
          </w:tcPr>
          <w:p>
            <w:pPr>
              <w:spacing w:before="43" w:line="230" w:lineRule="auto"/>
              <w:ind w:left="145"/>
              <w:rPr>
                <w:rFonts w:ascii="宋体" w:hAnsi="宋体" w:eastAsia="宋体" w:cs="宋体"/>
                <w:sz w:val="17"/>
                <w:szCs w:val="17"/>
              </w:rPr>
            </w:pPr>
            <w:r>
              <w:rPr>
                <w:rFonts w:ascii="宋体" w:hAnsi="宋体" w:eastAsia="宋体" w:cs="宋体"/>
                <w:spacing w:val="6"/>
                <w:sz w:val="17"/>
                <w:szCs w:val="17"/>
              </w:rPr>
              <w:t>轻度</w:t>
            </w:r>
          </w:p>
        </w:tc>
        <w:tc>
          <w:tcPr>
            <w:tcW w:w="1218" w:type="dxa"/>
            <w:vAlign w:val="top"/>
          </w:tcPr>
          <w:p>
            <w:pPr>
              <w:spacing w:before="74" w:line="197" w:lineRule="auto"/>
              <w:ind w:left="450"/>
              <w:rPr>
                <w:rFonts w:ascii="Times New Roman" w:hAnsi="Times New Roman" w:eastAsia="Times New Roman" w:cs="Times New Roman"/>
                <w:sz w:val="17"/>
                <w:szCs w:val="17"/>
              </w:rPr>
            </w:pPr>
            <w:r>
              <w:rPr>
                <w:rFonts w:ascii="Times New Roman" w:hAnsi="Times New Roman" w:eastAsia="Times New Roman" w:cs="Times New Roman"/>
                <w:sz w:val="17"/>
                <w:szCs w:val="17"/>
              </w:rPr>
              <w:t>1500</w:t>
            </w:r>
          </w:p>
        </w:tc>
        <w:tc>
          <w:tcPr>
            <w:tcW w:w="1184" w:type="dxa"/>
            <w:vAlign w:val="top"/>
          </w:tcPr>
          <w:p>
            <w:pPr>
              <w:spacing w:before="74" w:line="197" w:lineRule="auto"/>
              <w:ind w:left="434"/>
              <w:rPr>
                <w:rFonts w:ascii="Times New Roman" w:hAnsi="Times New Roman" w:eastAsia="Times New Roman" w:cs="Times New Roman"/>
                <w:sz w:val="17"/>
                <w:szCs w:val="17"/>
              </w:rPr>
            </w:pPr>
            <w:r>
              <w:rPr>
                <w:rFonts w:ascii="Times New Roman" w:hAnsi="Times New Roman" w:eastAsia="Times New Roman" w:cs="Times New Roman"/>
                <w:sz w:val="17"/>
                <w:szCs w:val="17"/>
              </w:rPr>
              <w:t>1500</w:t>
            </w:r>
          </w:p>
        </w:tc>
        <w:tc>
          <w:tcPr>
            <w:tcW w:w="967" w:type="dxa"/>
            <w:tcBorders>
              <w:right w:val="single" w:color="000000" w:sz="6" w:space="0"/>
            </w:tcBorders>
            <w:vAlign w:val="top"/>
          </w:tcPr>
          <w:p>
            <w:pPr>
              <w:spacing w:before="74" w:line="197" w:lineRule="auto"/>
              <w:ind w:left="27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7.3</w:t>
            </w:r>
            <w:r>
              <w:rPr>
                <w:rFonts w:ascii="Times New Roman" w:hAnsi="Times New Roman" w:eastAsia="Times New Roman" w:cs="Times New Roman"/>
                <w:spacing w:val="2"/>
                <w:sz w:val="17"/>
                <w:szCs w:val="17"/>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9" w:hRule="atLeast"/>
        </w:trPr>
        <w:tc>
          <w:tcPr>
            <w:tcW w:w="622" w:type="dxa"/>
            <w:vMerge w:val="continue"/>
            <w:tcBorders>
              <w:top w:val="nil"/>
              <w:left w:val="single" w:color="000000" w:sz="6" w:space="0"/>
              <w:bottom w:val="nil"/>
            </w:tcBorders>
            <w:vAlign w:val="top"/>
          </w:tcPr>
          <w:p>
            <w:pPr>
              <w:rPr>
                <w:rFonts w:ascii="Arial"/>
                <w:sz w:val="21"/>
              </w:rPr>
            </w:pPr>
          </w:p>
        </w:tc>
        <w:tc>
          <w:tcPr>
            <w:tcW w:w="116" w:type="dxa"/>
            <w:vMerge w:val="continue"/>
            <w:tcBorders>
              <w:top w:val="nil"/>
              <w:bottom w:val="nil"/>
            </w:tcBorders>
            <w:vAlign w:val="top"/>
          </w:tcPr>
          <w:p>
            <w:pPr>
              <w:rPr>
                <w:rFonts w:ascii="Arial"/>
                <w:sz w:val="21"/>
              </w:rPr>
            </w:pPr>
          </w:p>
        </w:tc>
        <w:tc>
          <w:tcPr>
            <w:tcW w:w="776" w:type="dxa"/>
            <w:vAlign w:val="top"/>
          </w:tcPr>
          <w:p>
            <w:pPr>
              <w:spacing w:before="53" w:line="253" w:lineRule="auto"/>
              <w:ind w:left="204" w:right="32" w:hanging="180"/>
              <w:rPr>
                <w:rFonts w:ascii="宋体" w:hAnsi="宋体" w:eastAsia="宋体" w:cs="宋体"/>
                <w:sz w:val="17"/>
                <w:szCs w:val="17"/>
              </w:rPr>
            </w:pPr>
            <w:r>
              <w:rPr>
                <w:rFonts w:ascii="宋体" w:hAnsi="宋体" w:eastAsia="宋体" w:cs="宋体"/>
                <w:spacing w:val="9"/>
                <w:sz w:val="17"/>
                <w:szCs w:val="17"/>
              </w:rPr>
              <w:t>施</w:t>
            </w:r>
            <w:r>
              <w:rPr>
                <w:rFonts w:ascii="宋体" w:hAnsi="宋体" w:eastAsia="宋体" w:cs="宋体"/>
                <w:spacing w:val="8"/>
                <w:sz w:val="17"/>
                <w:szCs w:val="17"/>
              </w:rPr>
              <w:t>工临时</w:t>
            </w:r>
            <w:r>
              <w:rPr>
                <w:rFonts w:ascii="宋体" w:hAnsi="宋体" w:eastAsia="宋体" w:cs="宋体"/>
                <w:sz w:val="17"/>
                <w:szCs w:val="17"/>
              </w:rPr>
              <w:t xml:space="preserve"> </w:t>
            </w:r>
            <w:r>
              <w:rPr>
                <w:rFonts w:ascii="宋体" w:hAnsi="宋体" w:eastAsia="宋体" w:cs="宋体"/>
                <w:spacing w:val="7"/>
                <w:sz w:val="17"/>
                <w:szCs w:val="17"/>
              </w:rPr>
              <w:t>场</w:t>
            </w:r>
            <w:r>
              <w:rPr>
                <w:rFonts w:ascii="宋体" w:hAnsi="宋体" w:eastAsia="宋体" w:cs="宋体"/>
                <w:spacing w:val="6"/>
                <w:sz w:val="17"/>
                <w:szCs w:val="17"/>
              </w:rPr>
              <w:t>地</w:t>
            </w:r>
          </w:p>
        </w:tc>
        <w:tc>
          <w:tcPr>
            <w:tcW w:w="1139" w:type="dxa"/>
            <w:vAlign w:val="top"/>
          </w:tcPr>
          <w:p>
            <w:pPr>
              <w:spacing w:before="170" w:line="230" w:lineRule="auto"/>
              <w:ind w:left="211"/>
              <w:rPr>
                <w:rFonts w:ascii="宋体" w:hAnsi="宋体" w:eastAsia="宋体" w:cs="宋体"/>
                <w:sz w:val="17"/>
                <w:szCs w:val="17"/>
              </w:rPr>
            </w:pPr>
            <w:r>
              <w:rPr>
                <w:rFonts w:ascii="宋体" w:hAnsi="宋体" w:eastAsia="宋体" w:cs="宋体"/>
                <w:spacing w:val="9"/>
                <w:sz w:val="17"/>
                <w:szCs w:val="17"/>
              </w:rPr>
              <w:t>水</w:t>
            </w:r>
            <w:r>
              <w:rPr>
                <w:rFonts w:ascii="宋体" w:hAnsi="宋体" w:eastAsia="宋体" w:cs="宋体"/>
                <w:spacing w:val="7"/>
                <w:sz w:val="17"/>
                <w:szCs w:val="17"/>
              </w:rPr>
              <w:t>域用地</w:t>
            </w:r>
          </w:p>
        </w:tc>
        <w:tc>
          <w:tcPr>
            <w:tcW w:w="649" w:type="dxa"/>
            <w:vAlign w:val="top"/>
          </w:tcPr>
          <w:p>
            <w:pPr>
              <w:spacing w:before="200" w:line="200" w:lineRule="auto"/>
              <w:ind w:left="18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1.3</w:t>
            </w:r>
            <w:r>
              <w:rPr>
                <w:rFonts w:ascii="Times New Roman" w:hAnsi="Times New Roman" w:eastAsia="Times New Roman" w:cs="Times New Roman"/>
                <w:sz w:val="17"/>
                <w:szCs w:val="17"/>
              </w:rPr>
              <w:t>5</w:t>
            </w:r>
          </w:p>
        </w:tc>
        <w:tc>
          <w:tcPr>
            <w:tcW w:w="838" w:type="dxa"/>
            <w:vAlign w:val="top"/>
          </w:tcPr>
          <w:p>
            <w:pPr>
              <w:spacing w:before="200" w:line="197" w:lineRule="auto"/>
              <w:ind w:left="28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5</w:t>
            </w:r>
          </w:p>
        </w:tc>
        <w:tc>
          <w:tcPr>
            <w:tcW w:w="779" w:type="dxa"/>
            <w:vAlign w:val="top"/>
          </w:tcPr>
          <w:p>
            <w:pPr>
              <w:spacing w:before="137" w:line="242" w:lineRule="exact"/>
              <w:ind w:left="362"/>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38" w:type="dxa"/>
            <w:vAlign w:val="top"/>
          </w:tcPr>
          <w:p>
            <w:pPr>
              <w:spacing w:before="170" w:line="230" w:lineRule="auto"/>
              <w:ind w:left="145"/>
              <w:rPr>
                <w:rFonts w:ascii="宋体" w:hAnsi="宋体" w:eastAsia="宋体" w:cs="宋体"/>
                <w:sz w:val="17"/>
                <w:szCs w:val="17"/>
              </w:rPr>
            </w:pPr>
            <w:r>
              <w:rPr>
                <w:rFonts w:ascii="宋体" w:hAnsi="宋体" w:eastAsia="宋体" w:cs="宋体"/>
                <w:spacing w:val="6"/>
                <w:sz w:val="17"/>
                <w:szCs w:val="17"/>
              </w:rPr>
              <w:t>微度</w:t>
            </w:r>
          </w:p>
        </w:tc>
        <w:tc>
          <w:tcPr>
            <w:tcW w:w="1218" w:type="dxa"/>
            <w:vAlign w:val="top"/>
          </w:tcPr>
          <w:p>
            <w:pPr>
              <w:spacing w:before="200" w:line="197" w:lineRule="auto"/>
              <w:ind w:left="4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00</w:t>
            </w:r>
          </w:p>
        </w:tc>
        <w:tc>
          <w:tcPr>
            <w:tcW w:w="1184" w:type="dxa"/>
            <w:vAlign w:val="top"/>
          </w:tcPr>
          <w:p>
            <w:pPr>
              <w:spacing w:before="200" w:line="197" w:lineRule="auto"/>
              <w:ind w:left="46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00</w:t>
            </w:r>
          </w:p>
        </w:tc>
        <w:tc>
          <w:tcPr>
            <w:tcW w:w="967" w:type="dxa"/>
            <w:tcBorders>
              <w:right w:val="single" w:color="000000" w:sz="6" w:space="0"/>
            </w:tcBorders>
            <w:vAlign w:val="top"/>
          </w:tcPr>
          <w:p>
            <w:pPr>
              <w:spacing w:before="200" w:line="200" w:lineRule="auto"/>
              <w:ind w:left="269"/>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69" w:hRule="atLeast"/>
        </w:trPr>
        <w:tc>
          <w:tcPr>
            <w:tcW w:w="622" w:type="dxa"/>
            <w:vMerge w:val="continue"/>
            <w:tcBorders>
              <w:top w:val="nil"/>
              <w:left w:val="single" w:color="000000" w:sz="6" w:space="0"/>
              <w:bottom w:val="nil"/>
            </w:tcBorders>
            <w:vAlign w:val="top"/>
          </w:tcPr>
          <w:p>
            <w:pPr>
              <w:rPr>
                <w:rFonts w:ascii="Arial"/>
                <w:sz w:val="21"/>
              </w:rPr>
            </w:pPr>
          </w:p>
        </w:tc>
        <w:tc>
          <w:tcPr>
            <w:tcW w:w="116" w:type="dxa"/>
            <w:vMerge w:val="continue"/>
            <w:tcBorders>
              <w:top w:val="nil"/>
              <w:bottom w:val="nil"/>
            </w:tcBorders>
            <w:vAlign w:val="top"/>
          </w:tcPr>
          <w:p>
            <w:pPr>
              <w:rPr>
                <w:rFonts w:ascii="Arial"/>
                <w:sz w:val="21"/>
              </w:rPr>
            </w:pPr>
          </w:p>
        </w:tc>
        <w:tc>
          <w:tcPr>
            <w:tcW w:w="1915" w:type="dxa"/>
            <w:gridSpan w:val="2"/>
            <w:vAlign w:val="top"/>
          </w:tcPr>
          <w:p>
            <w:pPr>
              <w:spacing w:before="48" w:line="232" w:lineRule="auto"/>
              <w:ind w:left="777"/>
              <w:rPr>
                <w:rFonts w:ascii="宋体" w:hAnsi="宋体" w:eastAsia="宋体" w:cs="宋体"/>
                <w:sz w:val="17"/>
                <w:szCs w:val="17"/>
              </w:rPr>
            </w:pPr>
            <w:r>
              <w:rPr>
                <w:rFonts w:ascii="宋体" w:hAnsi="宋体" w:eastAsia="宋体" w:cs="宋体"/>
                <w:spacing w:val="6"/>
                <w:sz w:val="17"/>
                <w:szCs w:val="17"/>
              </w:rPr>
              <w:t>合计</w:t>
            </w:r>
          </w:p>
        </w:tc>
        <w:tc>
          <w:tcPr>
            <w:tcW w:w="649" w:type="dxa"/>
            <w:vAlign w:val="top"/>
          </w:tcPr>
          <w:p>
            <w:pPr>
              <w:spacing w:before="80" w:line="197" w:lineRule="auto"/>
              <w:ind w:left="16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2"/>
                <w:sz w:val="17"/>
                <w:szCs w:val="17"/>
              </w:rPr>
              <w:t xml:space="preserve"> 24</w:t>
            </w:r>
          </w:p>
        </w:tc>
        <w:tc>
          <w:tcPr>
            <w:tcW w:w="838" w:type="dxa"/>
            <w:vAlign w:val="top"/>
          </w:tcPr>
          <w:p>
            <w:pPr>
              <w:rPr>
                <w:rFonts w:ascii="Arial"/>
                <w:sz w:val="21"/>
              </w:rPr>
            </w:pPr>
          </w:p>
        </w:tc>
        <w:tc>
          <w:tcPr>
            <w:tcW w:w="779" w:type="dxa"/>
            <w:vAlign w:val="top"/>
          </w:tcPr>
          <w:p>
            <w:pPr>
              <w:rPr>
                <w:rFonts w:ascii="Arial"/>
                <w:sz w:val="21"/>
              </w:rPr>
            </w:pPr>
          </w:p>
        </w:tc>
        <w:tc>
          <w:tcPr>
            <w:tcW w:w="638" w:type="dxa"/>
            <w:vAlign w:val="top"/>
          </w:tcPr>
          <w:p>
            <w:pPr>
              <w:spacing w:before="49" w:line="230" w:lineRule="auto"/>
              <w:ind w:left="145"/>
              <w:rPr>
                <w:rFonts w:ascii="宋体" w:hAnsi="宋体" w:eastAsia="宋体" w:cs="宋体"/>
                <w:sz w:val="17"/>
                <w:szCs w:val="17"/>
              </w:rPr>
            </w:pPr>
            <w:r>
              <w:rPr>
                <w:rFonts w:ascii="宋体" w:hAnsi="宋体" w:eastAsia="宋体" w:cs="宋体"/>
                <w:spacing w:val="6"/>
                <w:sz w:val="17"/>
                <w:szCs w:val="17"/>
              </w:rPr>
              <w:t>轻度</w:t>
            </w:r>
          </w:p>
        </w:tc>
        <w:tc>
          <w:tcPr>
            <w:tcW w:w="1218" w:type="dxa"/>
            <w:vAlign w:val="top"/>
          </w:tcPr>
          <w:p>
            <w:pPr>
              <w:rPr>
                <w:rFonts w:ascii="Arial"/>
                <w:sz w:val="21"/>
              </w:rPr>
            </w:pPr>
          </w:p>
        </w:tc>
        <w:tc>
          <w:tcPr>
            <w:tcW w:w="1184" w:type="dxa"/>
            <w:vAlign w:val="top"/>
          </w:tcPr>
          <w:p>
            <w:pPr>
              <w:spacing w:before="80" w:line="197" w:lineRule="auto"/>
              <w:ind w:left="46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589</w:t>
            </w:r>
          </w:p>
        </w:tc>
        <w:tc>
          <w:tcPr>
            <w:tcW w:w="967" w:type="dxa"/>
            <w:tcBorders>
              <w:right w:val="single" w:color="000000" w:sz="6" w:space="0"/>
            </w:tcBorders>
            <w:vAlign w:val="top"/>
          </w:tcPr>
          <w:p>
            <w:pPr>
              <w:spacing w:before="80" w:line="197" w:lineRule="auto"/>
              <w:ind w:left="241"/>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 xml:space="preserve">19 </w:t>
            </w:r>
            <w:r>
              <w:rPr>
                <w:rFonts w:ascii="Times New Roman" w:hAnsi="Times New Roman" w:eastAsia="Times New Roman" w:cs="Times New Roman"/>
                <w:sz w:val="17"/>
                <w:szCs w:val="17"/>
              </w:rPr>
              <w:t>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96" w:hRule="atLeast"/>
        </w:trPr>
        <w:tc>
          <w:tcPr>
            <w:tcW w:w="622" w:type="dxa"/>
            <w:vMerge w:val="continue"/>
            <w:tcBorders>
              <w:top w:val="nil"/>
              <w:left w:val="single" w:color="000000" w:sz="6" w:space="0"/>
            </w:tcBorders>
            <w:vAlign w:val="top"/>
          </w:tcPr>
          <w:p>
            <w:pPr>
              <w:rPr>
                <w:rFonts w:ascii="Arial"/>
                <w:sz w:val="21"/>
              </w:rPr>
            </w:pPr>
          </w:p>
        </w:tc>
        <w:tc>
          <w:tcPr>
            <w:tcW w:w="8304" w:type="dxa"/>
            <w:gridSpan w:val="10"/>
            <w:tcBorders>
              <w:right w:val="single" w:color="000000" w:sz="6" w:space="0"/>
            </w:tcBorders>
            <w:vAlign w:val="top"/>
          </w:tcPr>
          <w:p>
            <w:pPr>
              <w:spacing w:before="153" w:line="226" w:lineRule="auto"/>
              <w:ind w:left="536"/>
              <w:rPr>
                <w:rFonts w:ascii="宋体" w:hAnsi="宋体" w:eastAsia="宋体" w:cs="宋体"/>
                <w:sz w:val="20"/>
                <w:szCs w:val="20"/>
              </w:rPr>
            </w:pPr>
            <w:r>
              <w:rPr>
                <w:rFonts w:ascii="宋体" w:hAnsi="宋体" w:eastAsia="宋体" w:cs="宋体"/>
                <w:spacing w:val="22"/>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5"/>
                <w:sz w:val="20"/>
                <w:szCs w:val="20"/>
              </w:rPr>
              <w:t>8</w:t>
            </w:r>
            <w:r>
              <w:rPr>
                <w:rFonts w:ascii="宋体" w:hAnsi="宋体" w:eastAsia="宋体" w:cs="宋体"/>
                <w:spacing w:val="15"/>
                <w:sz w:val="20"/>
                <w:szCs w:val="20"/>
                <w14:textOutline w14:w="3795" w14:cap="sq" w14:cmpd="sng">
                  <w14:solidFill>
                    <w14:srgbClr w14:val="000000"/>
                  </w14:solidFill>
                  <w14:prstDash w14:val="solid"/>
                  <w14:bevel/>
                </w14:textOutline>
              </w:rPr>
              <w:t>)</w:t>
            </w:r>
            <w:r>
              <w:rPr>
                <w:rFonts w:ascii="宋体" w:hAnsi="宋体" w:eastAsia="宋体" w:cs="宋体"/>
                <w:spacing w:val="15"/>
                <w:sz w:val="20"/>
                <w:szCs w:val="20"/>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区域生态环境现状评价</w:t>
            </w:r>
          </w:p>
          <w:p>
            <w:pPr>
              <w:spacing w:before="159" w:line="376" w:lineRule="auto"/>
              <w:ind w:left="105" w:right="57" w:firstLine="424"/>
              <w:rPr>
                <w:rFonts w:ascii="宋体" w:hAnsi="宋体" w:eastAsia="宋体" w:cs="宋体"/>
                <w:sz w:val="20"/>
                <w:szCs w:val="20"/>
              </w:rPr>
            </w:pPr>
            <w:r>
              <w:rPr>
                <w:rFonts w:ascii="宋体" w:hAnsi="宋体" w:eastAsia="宋体" w:cs="宋体"/>
                <w:spacing w:val="7"/>
                <w:sz w:val="20"/>
                <w:szCs w:val="20"/>
              </w:rPr>
              <w:t>项目所在地位于达州市通川区北城滨江片区高家坝社区和张家坝社区，区域内主要生</w:t>
            </w:r>
            <w:r>
              <w:rPr>
                <w:rFonts w:ascii="宋体" w:hAnsi="宋体" w:eastAsia="宋体" w:cs="宋体"/>
                <w:sz w:val="20"/>
                <w:szCs w:val="20"/>
              </w:rPr>
              <w:t xml:space="preserve"> </w:t>
            </w:r>
            <w:r>
              <w:rPr>
                <w:rFonts w:ascii="宋体" w:hAnsi="宋体" w:eastAsia="宋体" w:cs="宋体"/>
                <w:spacing w:val="14"/>
                <w:sz w:val="20"/>
                <w:szCs w:val="20"/>
              </w:rPr>
              <w:t>态</w:t>
            </w:r>
            <w:r>
              <w:rPr>
                <w:rFonts w:ascii="宋体" w:hAnsi="宋体" w:eastAsia="宋体" w:cs="宋体"/>
                <w:spacing w:val="10"/>
                <w:sz w:val="20"/>
                <w:szCs w:val="20"/>
              </w:rPr>
              <w:t>类</w:t>
            </w:r>
            <w:r>
              <w:rPr>
                <w:rFonts w:ascii="宋体" w:hAnsi="宋体" w:eastAsia="宋体" w:cs="宋体"/>
                <w:spacing w:val="7"/>
                <w:sz w:val="20"/>
                <w:szCs w:val="20"/>
              </w:rPr>
              <w:t>型有：水生生态系统、灌丛生态系统、湿地生态系和城镇生态系统等。区内水热条件</w:t>
            </w:r>
            <w:r>
              <w:rPr>
                <w:rFonts w:ascii="宋体" w:hAnsi="宋体" w:eastAsia="宋体" w:cs="宋体"/>
                <w:sz w:val="20"/>
                <w:szCs w:val="20"/>
              </w:rPr>
              <w:t xml:space="preserve"> </w:t>
            </w:r>
            <w:r>
              <w:rPr>
                <w:rFonts w:ascii="宋体" w:hAnsi="宋体" w:eastAsia="宋体" w:cs="宋体"/>
                <w:spacing w:val="16"/>
                <w:sz w:val="20"/>
                <w:szCs w:val="20"/>
              </w:rPr>
              <w:t>优越</w:t>
            </w:r>
            <w:r>
              <w:rPr>
                <w:rFonts w:ascii="宋体" w:hAnsi="宋体" w:eastAsia="宋体" w:cs="宋体"/>
                <w:spacing w:val="10"/>
                <w:sz w:val="20"/>
                <w:szCs w:val="20"/>
              </w:rPr>
              <w:t>，</w:t>
            </w:r>
            <w:r>
              <w:rPr>
                <w:rFonts w:ascii="宋体" w:hAnsi="宋体" w:eastAsia="宋体" w:cs="宋体"/>
                <w:spacing w:val="8"/>
                <w:sz w:val="20"/>
                <w:szCs w:val="20"/>
              </w:rPr>
              <w:t>土壤微生物过程和凋落物分解都非常迅速，水热同步性好、植被的光温潜力较大，</w:t>
            </w:r>
            <w:r>
              <w:rPr>
                <w:rFonts w:ascii="宋体" w:hAnsi="宋体" w:eastAsia="宋体" w:cs="宋体"/>
                <w:sz w:val="20"/>
                <w:szCs w:val="20"/>
              </w:rPr>
              <w:t xml:space="preserve"> </w:t>
            </w:r>
            <w:r>
              <w:rPr>
                <w:rFonts w:ascii="宋体" w:hAnsi="宋体" w:eastAsia="宋体" w:cs="宋体"/>
                <w:spacing w:val="14"/>
                <w:sz w:val="20"/>
                <w:szCs w:val="20"/>
              </w:rPr>
              <w:t>生</w:t>
            </w:r>
            <w:r>
              <w:rPr>
                <w:rFonts w:ascii="宋体" w:hAnsi="宋体" w:eastAsia="宋体" w:cs="宋体"/>
                <w:spacing w:val="12"/>
                <w:sz w:val="20"/>
                <w:szCs w:val="20"/>
              </w:rPr>
              <w:t>态</w:t>
            </w:r>
            <w:r>
              <w:rPr>
                <w:rFonts w:ascii="宋体" w:hAnsi="宋体" w:eastAsia="宋体" w:cs="宋体"/>
                <w:spacing w:val="7"/>
                <w:sz w:val="20"/>
                <w:szCs w:val="20"/>
              </w:rPr>
              <w:t>系统热量生产力处于较高水平；地表生态过程和土壤特性都有利于评价区生态系统的</w:t>
            </w:r>
            <w:r>
              <w:rPr>
                <w:rFonts w:ascii="宋体" w:hAnsi="宋体" w:eastAsia="宋体" w:cs="宋体"/>
                <w:sz w:val="20"/>
                <w:szCs w:val="20"/>
              </w:rPr>
              <w:t xml:space="preserve"> </w:t>
            </w:r>
            <w:r>
              <w:rPr>
                <w:rFonts w:ascii="宋体" w:hAnsi="宋体" w:eastAsia="宋体" w:cs="宋体"/>
                <w:spacing w:val="14"/>
                <w:sz w:val="20"/>
                <w:szCs w:val="20"/>
              </w:rPr>
              <w:t>物</w:t>
            </w:r>
            <w:r>
              <w:rPr>
                <w:rFonts w:ascii="宋体" w:hAnsi="宋体" w:eastAsia="宋体" w:cs="宋体"/>
                <w:spacing w:val="12"/>
                <w:sz w:val="20"/>
                <w:szCs w:val="20"/>
              </w:rPr>
              <w:t>质</w:t>
            </w:r>
            <w:r>
              <w:rPr>
                <w:rFonts w:ascii="宋体" w:hAnsi="宋体" w:eastAsia="宋体" w:cs="宋体"/>
                <w:spacing w:val="7"/>
                <w:sz w:val="20"/>
                <w:szCs w:val="20"/>
              </w:rPr>
              <w:t>循环和能量流动。评价区内生态系统的抗干扰及恢复能力、自组织能力较强，可以基</w:t>
            </w:r>
            <w:r>
              <w:rPr>
                <w:rFonts w:ascii="宋体" w:hAnsi="宋体" w:eastAsia="宋体" w:cs="宋体"/>
                <w:sz w:val="20"/>
                <w:szCs w:val="20"/>
              </w:rPr>
              <w:t xml:space="preserve"> </w:t>
            </w:r>
            <w:r>
              <w:rPr>
                <w:rFonts w:ascii="宋体" w:hAnsi="宋体" w:eastAsia="宋体" w:cs="宋体"/>
                <w:spacing w:val="14"/>
                <w:sz w:val="20"/>
                <w:szCs w:val="20"/>
              </w:rPr>
              <w:t>本</w:t>
            </w:r>
            <w:r>
              <w:rPr>
                <w:rFonts w:ascii="宋体" w:hAnsi="宋体" w:eastAsia="宋体" w:cs="宋体"/>
                <w:spacing w:val="10"/>
                <w:sz w:val="20"/>
                <w:szCs w:val="20"/>
              </w:rPr>
              <w:t>满</w:t>
            </w:r>
            <w:r>
              <w:rPr>
                <w:rFonts w:ascii="宋体" w:hAnsi="宋体" w:eastAsia="宋体" w:cs="宋体"/>
                <w:spacing w:val="7"/>
                <w:sz w:val="20"/>
                <w:szCs w:val="20"/>
              </w:rPr>
              <w:t>足当地社会经济发展和群众生产生活所必需的物质生产、调节气候、涵养水源、保持</w:t>
            </w:r>
            <w:r>
              <w:rPr>
                <w:rFonts w:ascii="宋体" w:hAnsi="宋体" w:eastAsia="宋体" w:cs="宋体"/>
                <w:sz w:val="20"/>
                <w:szCs w:val="20"/>
              </w:rPr>
              <w:t xml:space="preserve"> </w:t>
            </w:r>
            <w:r>
              <w:rPr>
                <w:rFonts w:ascii="宋体" w:hAnsi="宋体" w:eastAsia="宋体" w:cs="宋体"/>
                <w:spacing w:val="14"/>
                <w:sz w:val="20"/>
                <w:szCs w:val="20"/>
              </w:rPr>
              <w:t>水</w:t>
            </w:r>
            <w:r>
              <w:rPr>
                <w:rFonts w:ascii="宋体" w:hAnsi="宋体" w:eastAsia="宋体" w:cs="宋体"/>
                <w:spacing w:val="10"/>
                <w:sz w:val="20"/>
                <w:szCs w:val="20"/>
              </w:rPr>
              <w:t>土</w:t>
            </w:r>
            <w:r>
              <w:rPr>
                <w:rFonts w:ascii="宋体" w:hAnsi="宋体" w:eastAsia="宋体" w:cs="宋体"/>
                <w:spacing w:val="7"/>
                <w:sz w:val="20"/>
                <w:szCs w:val="20"/>
              </w:rPr>
              <w:t>、净化环境、维持生物多样性、防灾减灾等多功能需求，具备较为完整的生态服务功</w:t>
            </w:r>
            <w:r>
              <w:rPr>
                <w:rFonts w:ascii="宋体" w:hAnsi="宋体" w:eastAsia="宋体" w:cs="宋体"/>
                <w:sz w:val="20"/>
                <w:szCs w:val="20"/>
              </w:rPr>
              <w:t xml:space="preserve"> </w:t>
            </w:r>
            <w:r>
              <w:rPr>
                <w:rFonts w:ascii="宋体" w:hAnsi="宋体" w:eastAsia="宋体" w:cs="宋体"/>
                <w:spacing w:val="10"/>
                <w:sz w:val="20"/>
                <w:szCs w:val="20"/>
              </w:rPr>
              <w:t>能。 由此可</w:t>
            </w:r>
            <w:r>
              <w:rPr>
                <w:rFonts w:ascii="宋体" w:hAnsi="宋体" w:eastAsia="宋体" w:cs="宋体"/>
                <w:spacing w:val="5"/>
                <w:sz w:val="20"/>
                <w:szCs w:val="20"/>
              </w:rPr>
              <w:t>以认为，评价区域内生态系统的结构和功能较为完备，生态系统完整性尚好，</w:t>
            </w:r>
            <w:r>
              <w:rPr>
                <w:rFonts w:ascii="宋体" w:hAnsi="宋体" w:eastAsia="宋体" w:cs="宋体"/>
                <w:sz w:val="20"/>
                <w:szCs w:val="20"/>
              </w:rPr>
              <w:t xml:space="preserve"> </w:t>
            </w:r>
            <w:r>
              <w:rPr>
                <w:rFonts w:ascii="宋体" w:hAnsi="宋体" w:eastAsia="宋体" w:cs="宋体"/>
                <w:spacing w:val="10"/>
                <w:sz w:val="20"/>
                <w:szCs w:val="20"/>
              </w:rPr>
              <w:t>在</w:t>
            </w:r>
            <w:r>
              <w:rPr>
                <w:rFonts w:ascii="宋体" w:hAnsi="宋体" w:eastAsia="宋体" w:cs="宋体"/>
                <w:spacing w:val="9"/>
                <w:sz w:val="20"/>
                <w:szCs w:val="20"/>
              </w:rPr>
              <w:t>维持区域生态服务功能方面发挥了重要作用。</w:t>
            </w:r>
          </w:p>
          <w:p>
            <w:pPr>
              <w:spacing w:line="241" w:lineRule="auto"/>
              <w:ind w:left="101"/>
              <w:rPr>
                <w:rFonts w:ascii="黑体" w:hAnsi="黑体" w:eastAsia="黑体" w:cs="黑体"/>
                <w:sz w:val="20"/>
                <w:szCs w:val="20"/>
              </w:rPr>
            </w:pPr>
            <w:r>
              <w:rPr>
                <w:rFonts w:ascii="Times New Roman" w:hAnsi="Times New Roman" w:eastAsia="Times New Roman" w:cs="Times New Roman"/>
                <w:spacing w:val="7"/>
                <w:sz w:val="20"/>
                <w:szCs w:val="20"/>
              </w:rPr>
              <w:t>4</w:t>
            </w:r>
            <w:r>
              <w:rPr>
                <w:rFonts w:ascii="Times New Roman" w:hAnsi="Times New Roman" w:eastAsia="Times New Roman" w:cs="Times New Roman"/>
                <w:spacing w:val="5"/>
                <w:sz w:val="20"/>
                <w:szCs w:val="20"/>
              </w:rPr>
              <w:t xml:space="preserve"> </w:t>
            </w:r>
            <w:r>
              <w:rPr>
                <w:rFonts w:ascii="黑体" w:hAnsi="黑体" w:eastAsia="黑体" w:cs="黑体"/>
                <w:spacing w:val="5"/>
                <w:sz w:val="20"/>
                <w:szCs w:val="20"/>
              </w:rPr>
              <w:t>、环境空气质量现状及评价</w:t>
            </w:r>
          </w:p>
          <w:p>
            <w:pPr>
              <w:spacing w:before="138" w:line="322" w:lineRule="auto"/>
              <w:ind w:left="107" w:right="102" w:firstLine="419"/>
              <w:rPr>
                <w:rFonts w:ascii="宋体" w:hAnsi="宋体" w:eastAsia="宋体" w:cs="宋体"/>
                <w:sz w:val="20"/>
                <w:szCs w:val="20"/>
              </w:rPr>
            </w:pPr>
            <w:r>
              <w:rPr>
                <w:rFonts w:ascii="宋体" w:hAnsi="宋体" w:eastAsia="宋体" w:cs="宋体"/>
                <w:spacing w:val="16"/>
                <w:sz w:val="20"/>
                <w:szCs w:val="20"/>
              </w:rPr>
              <w:t>根据达</w:t>
            </w:r>
            <w:r>
              <w:rPr>
                <w:rFonts w:ascii="宋体" w:hAnsi="宋体" w:eastAsia="宋体" w:cs="宋体"/>
                <w:spacing w:val="12"/>
                <w:sz w:val="20"/>
                <w:szCs w:val="20"/>
              </w:rPr>
              <w:t>州</w:t>
            </w:r>
            <w:r>
              <w:rPr>
                <w:rFonts w:ascii="宋体" w:hAnsi="宋体" w:eastAsia="宋体" w:cs="宋体"/>
                <w:spacing w:val="8"/>
                <w:sz w:val="20"/>
                <w:szCs w:val="20"/>
              </w:rPr>
              <w:t>市生态环境局官方网站发布的</w:t>
            </w:r>
            <w:r>
              <w:rPr>
                <w:rFonts w:ascii="Times New Roman" w:hAnsi="Times New Roman" w:eastAsia="Times New Roman" w:cs="Times New Roman"/>
                <w:spacing w:val="8"/>
                <w:sz w:val="20"/>
                <w:szCs w:val="20"/>
              </w:rPr>
              <w:t>2023</w:t>
            </w:r>
            <w:r>
              <w:rPr>
                <w:rFonts w:ascii="宋体" w:hAnsi="宋体" w:eastAsia="宋体" w:cs="宋体"/>
                <w:spacing w:val="8"/>
                <w:sz w:val="20"/>
                <w:szCs w:val="20"/>
              </w:rPr>
              <w:t>年</w:t>
            </w:r>
            <w:r>
              <w:rPr>
                <w:rFonts w:ascii="Times New Roman" w:hAnsi="Times New Roman" w:eastAsia="Times New Roman" w:cs="Times New Roman"/>
                <w:spacing w:val="8"/>
                <w:sz w:val="20"/>
                <w:szCs w:val="20"/>
              </w:rPr>
              <w:t>1</w:t>
            </w:r>
            <w:r>
              <w:rPr>
                <w:rFonts w:ascii="宋体" w:hAnsi="宋体" w:eastAsia="宋体" w:cs="宋体"/>
                <w:spacing w:val="8"/>
                <w:sz w:val="20"/>
                <w:szCs w:val="20"/>
              </w:rPr>
              <w:t>月</w:t>
            </w:r>
            <w:r>
              <w:rPr>
                <w:rFonts w:ascii="Times New Roman" w:hAnsi="Times New Roman" w:eastAsia="Times New Roman" w:cs="Times New Roman"/>
                <w:spacing w:val="8"/>
                <w:sz w:val="20"/>
                <w:szCs w:val="20"/>
              </w:rPr>
              <w:t>18</w:t>
            </w:r>
            <w:r>
              <w:rPr>
                <w:rFonts w:ascii="宋体" w:hAnsi="宋体" w:eastAsia="宋体" w:cs="宋体"/>
                <w:spacing w:val="8"/>
                <w:sz w:val="20"/>
                <w:szCs w:val="20"/>
              </w:rPr>
              <w:t>日发布的《达州市</w:t>
            </w:r>
            <w:r>
              <w:rPr>
                <w:rFonts w:ascii="Times New Roman" w:hAnsi="Times New Roman" w:eastAsia="Times New Roman" w:cs="Times New Roman"/>
                <w:spacing w:val="8"/>
                <w:sz w:val="20"/>
                <w:szCs w:val="20"/>
              </w:rPr>
              <w:t>2022</w:t>
            </w:r>
            <w:r>
              <w:rPr>
                <w:rFonts w:ascii="宋体" w:hAnsi="宋体" w:eastAsia="宋体" w:cs="宋体"/>
                <w:spacing w:val="8"/>
                <w:sz w:val="20"/>
                <w:szCs w:val="20"/>
              </w:rPr>
              <w:t>年环境空</w:t>
            </w:r>
            <w:r>
              <w:rPr>
                <w:rFonts w:ascii="宋体" w:hAnsi="宋体" w:eastAsia="宋体" w:cs="宋体"/>
                <w:sz w:val="20"/>
                <w:szCs w:val="20"/>
              </w:rPr>
              <w:t xml:space="preserve"> </w:t>
            </w:r>
            <w:r>
              <w:rPr>
                <w:rFonts w:ascii="宋体" w:hAnsi="宋体" w:eastAsia="宋体" w:cs="宋体"/>
                <w:spacing w:val="10"/>
                <w:sz w:val="20"/>
                <w:szCs w:val="20"/>
              </w:rPr>
              <w:t>气质</w:t>
            </w:r>
            <w:r>
              <w:rPr>
                <w:rFonts w:ascii="宋体" w:hAnsi="宋体" w:eastAsia="宋体" w:cs="宋体"/>
                <w:spacing w:val="8"/>
                <w:sz w:val="20"/>
                <w:szCs w:val="20"/>
              </w:rPr>
              <w:t>量</w:t>
            </w:r>
            <w:r>
              <w:rPr>
                <w:rFonts w:ascii="宋体" w:hAnsi="宋体" w:eastAsia="宋体" w:cs="宋体"/>
                <w:spacing w:val="5"/>
                <w:sz w:val="20"/>
                <w:szCs w:val="20"/>
              </w:rPr>
              <w:t>状况》，</w:t>
            </w:r>
            <w:r>
              <w:rPr>
                <w:rFonts w:ascii="Times New Roman" w:hAnsi="Times New Roman" w:eastAsia="Times New Roman" w:cs="Times New Roman"/>
                <w:spacing w:val="5"/>
                <w:sz w:val="20"/>
                <w:szCs w:val="20"/>
              </w:rPr>
              <w:t>2022</w:t>
            </w:r>
            <w:r>
              <w:rPr>
                <w:rFonts w:ascii="宋体" w:hAnsi="宋体" w:eastAsia="宋体" w:cs="宋体"/>
                <w:spacing w:val="5"/>
                <w:sz w:val="20"/>
                <w:szCs w:val="20"/>
              </w:rPr>
              <w:t>年达州市主城区环境空气质量达标率为</w:t>
            </w:r>
            <w:r>
              <w:rPr>
                <w:rFonts w:ascii="Times New Roman" w:hAnsi="Times New Roman" w:eastAsia="Times New Roman" w:cs="Times New Roman"/>
                <w:spacing w:val="5"/>
                <w:sz w:val="20"/>
                <w:szCs w:val="20"/>
              </w:rPr>
              <w:t xml:space="preserve">94.0% </w:t>
            </w:r>
            <w:r>
              <w:rPr>
                <w:rFonts w:ascii="宋体" w:hAnsi="宋体" w:eastAsia="宋体" w:cs="宋体"/>
                <w:spacing w:val="5"/>
                <w:sz w:val="20"/>
                <w:szCs w:val="20"/>
              </w:rPr>
              <w:t>，同比上升</w:t>
            </w:r>
            <w:r>
              <w:rPr>
                <w:rFonts w:ascii="Times New Roman" w:hAnsi="Times New Roman" w:eastAsia="Times New Roman" w:cs="Times New Roman"/>
                <w:spacing w:val="5"/>
                <w:sz w:val="20"/>
                <w:szCs w:val="20"/>
              </w:rPr>
              <w:t xml:space="preserve">5.2% </w:t>
            </w:r>
            <w:r>
              <w:rPr>
                <w:rFonts w:ascii="宋体" w:hAnsi="宋体" w:eastAsia="宋体" w:cs="宋体"/>
                <w:spacing w:val="5"/>
                <w:sz w:val="20"/>
                <w:szCs w:val="20"/>
              </w:rPr>
              <w:t>，达标</w:t>
            </w:r>
            <w:r>
              <w:rPr>
                <w:rFonts w:ascii="宋体" w:hAnsi="宋体" w:eastAsia="宋体" w:cs="宋体"/>
                <w:sz w:val="20"/>
                <w:szCs w:val="20"/>
              </w:rPr>
              <w:t xml:space="preserve"> </w:t>
            </w:r>
            <w:r>
              <w:rPr>
                <w:rFonts w:ascii="宋体" w:hAnsi="宋体" w:eastAsia="宋体" w:cs="宋体"/>
                <w:spacing w:val="12"/>
                <w:sz w:val="20"/>
                <w:szCs w:val="20"/>
              </w:rPr>
              <w:t>天</w:t>
            </w:r>
            <w:r>
              <w:rPr>
                <w:rFonts w:ascii="宋体" w:hAnsi="宋体" w:eastAsia="宋体" w:cs="宋体"/>
                <w:spacing w:val="7"/>
                <w:sz w:val="20"/>
                <w:szCs w:val="20"/>
              </w:rPr>
              <w:t>数</w:t>
            </w:r>
            <w:r>
              <w:rPr>
                <w:rFonts w:ascii="宋体" w:hAnsi="宋体" w:eastAsia="宋体" w:cs="宋体"/>
                <w:spacing w:val="6"/>
                <w:sz w:val="20"/>
                <w:szCs w:val="20"/>
              </w:rPr>
              <w:t>全年</w:t>
            </w:r>
            <w:r>
              <w:rPr>
                <w:rFonts w:ascii="Times New Roman" w:hAnsi="Times New Roman" w:eastAsia="Times New Roman" w:cs="Times New Roman"/>
                <w:spacing w:val="6"/>
                <w:sz w:val="20"/>
                <w:szCs w:val="20"/>
              </w:rPr>
              <w:t>343</w:t>
            </w:r>
            <w:r>
              <w:rPr>
                <w:rFonts w:ascii="宋体" w:hAnsi="宋体" w:eastAsia="宋体" w:cs="宋体"/>
                <w:spacing w:val="6"/>
                <w:sz w:val="20"/>
                <w:szCs w:val="20"/>
              </w:rPr>
              <w:t>天，同比增加</w:t>
            </w:r>
            <w:r>
              <w:rPr>
                <w:rFonts w:ascii="Times New Roman" w:hAnsi="Times New Roman" w:eastAsia="Times New Roman" w:cs="Times New Roman"/>
                <w:spacing w:val="6"/>
                <w:sz w:val="20"/>
                <w:szCs w:val="20"/>
              </w:rPr>
              <w:t>19</w:t>
            </w:r>
            <w:r>
              <w:rPr>
                <w:rFonts w:ascii="宋体" w:hAnsi="宋体" w:eastAsia="宋体" w:cs="宋体"/>
                <w:spacing w:val="6"/>
                <w:sz w:val="20"/>
                <w:szCs w:val="20"/>
              </w:rPr>
              <w:t>天。其中空气质量优</w:t>
            </w:r>
            <w:r>
              <w:rPr>
                <w:rFonts w:ascii="Times New Roman" w:hAnsi="Times New Roman" w:eastAsia="Times New Roman" w:cs="Times New Roman"/>
                <w:spacing w:val="6"/>
                <w:sz w:val="20"/>
                <w:szCs w:val="20"/>
              </w:rPr>
              <w:t>162</w:t>
            </w:r>
            <w:r>
              <w:rPr>
                <w:rFonts w:ascii="宋体" w:hAnsi="宋体" w:eastAsia="宋体" w:cs="宋体"/>
                <w:spacing w:val="6"/>
                <w:sz w:val="20"/>
                <w:szCs w:val="20"/>
              </w:rPr>
              <w:t>天、 良</w:t>
            </w:r>
            <w:r>
              <w:rPr>
                <w:rFonts w:ascii="Times New Roman" w:hAnsi="Times New Roman" w:eastAsia="Times New Roman" w:cs="Times New Roman"/>
                <w:spacing w:val="6"/>
                <w:sz w:val="20"/>
                <w:szCs w:val="20"/>
              </w:rPr>
              <w:t>181</w:t>
            </w:r>
            <w:r>
              <w:rPr>
                <w:rFonts w:ascii="宋体" w:hAnsi="宋体" w:eastAsia="宋体" w:cs="宋体"/>
                <w:spacing w:val="6"/>
                <w:sz w:val="20"/>
                <w:szCs w:val="20"/>
              </w:rPr>
              <w:t>天、轻度污染</w:t>
            </w:r>
            <w:r>
              <w:rPr>
                <w:rFonts w:ascii="Times New Roman" w:hAnsi="Times New Roman" w:eastAsia="Times New Roman" w:cs="Times New Roman"/>
                <w:spacing w:val="6"/>
                <w:sz w:val="20"/>
                <w:szCs w:val="20"/>
              </w:rPr>
              <w:t>17</w:t>
            </w:r>
            <w:r>
              <w:rPr>
                <w:rFonts w:ascii="宋体" w:hAnsi="宋体" w:eastAsia="宋体" w:cs="宋体"/>
                <w:spacing w:val="6"/>
                <w:sz w:val="20"/>
                <w:szCs w:val="20"/>
              </w:rPr>
              <w:t>天、中度</w:t>
            </w:r>
          </w:p>
        </w:tc>
      </w:tr>
    </w:tbl>
    <w:p>
      <w:pPr>
        <w:spacing w:line="225" w:lineRule="exact"/>
        <w:rPr>
          <w:rFonts w:ascii="Arial"/>
          <w:sz w:val="19"/>
        </w:rPr>
      </w:pPr>
    </w:p>
    <w:p>
      <w:pPr>
        <w:sectPr>
          <w:footerReference r:id="rId66" w:type="default"/>
          <w:pgSz w:w="11906" w:h="16839"/>
          <w:pgMar w:top="400" w:right="1482" w:bottom="1475" w:left="1482" w:header="0" w:footer="1315" w:gutter="0"/>
          <w:cols w:space="720" w:num="1"/>
        </w:sectPr>
      </w:pPr>
    </w:p>
    <w:p>
      <w:r>
        <w:pict>
          <v:rect id="_x0000_s1093" o:spid="_x0000_s1093" o:spt="1" style="position:absolute;left:0pt;margin-left:112.8pt;margin-top:589.25pt;height:168.2pt;width:0.5pt;mso-position-horizontal-relative:page;mso-position-vertical-relative:page;z-index:251753472;mso-width-relative:page;mso-height-relative:page;" fillcolor="#000000" filled="t" stroked="f" coordsize="21600,21600" o:allowincell="f">
            <v:path/>
            <v:fill on="t" focussize="0,0"/>
            <v:stroke on="f"/>
            <v:imagedata o:title=""/>
            <o:lock v:ext="edit"/>
          </v:rect>
        </w:pict>
      </w:r>
    </w:p>
    <w:p/>
    <w:p/>
    <w:p/>
    <w:p>
      <w:pPr>
        <w:spacing w:line="221" w:lineRule="exact"/>
      </w:pPr>
    </w:p>
    <w:tbl>
      <w:tblPr>
        <w:tblStyle w:val="4"/>
        <w:tblW w:w="892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3"/>
        <w:gridCol w:w="1056"/>
        <w:gridCol w:w="5232"/>
        <w:gridCol w:w="908"/>
        <w:gridCol w:w="942"/>
        <w:gridCol w:w="1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94" w:hRule="atLeast"/>
        </w:trPr>
        <w:tc>
          <w:tcPr>
            <w:tcW w:w="623" w:type="dxa"/>
            <w:vMerge w:val="restart"/>
            <w:tcBorders>
              <w:left w:val="single" w:color="000000" w:sz="6" w:space="0"/>
              <w:bottom w:val="nil"/>
            </w:tcBorders>
            <w:vAlign w:val="top"/>
          </w:tcPr>
          <w:p>
            <w:pPr>
              <w:rPr>
                <w:rFonts w:ascii="Arial"/>
                <w:sz w:val="21"/>
              </w:rPr>
            </w:pPr>
          </w:p>
        </w:tc>
        <w:tc>
          <w:tcPr>
            <w:tcW w:w="8303" w:type="dxa"/>
            <w:gridSpan w:val="5"/>
            <w:tcBorders>
              <w:right w:val="single" w:color="000000" w:sz="6" w:space="0"/>
            </w:tcBorders>
            <w:vAlign w:val="top"/>
          </w:tcPr>
          <w:p>
            <w:pPr>
              <w:spacing w:before="117" w:line="369" w:lineRule="auto"/>
              <w:ind w:left="105" w:right="102" w:firstLine="1"/>
              <w:rPr>
                <w:rFonts w:ascii="宋体" w:hAnsi="宋体" w:eastAsia="宋体" w:cs="宋体"/>
                <w:sz w:val="20"/>
                <w:szCs w:val="20"/>
              </w:rPr>
            </w:pPr>
            <w:r>
              <w:rPr>
                <w:rFonts w:ascii="宋体" w:hAnsi="宋体" w:eastAsia="宋体" w:cs="宋体"/>
                <w:spacing w:val="14"/>
                <w:sz w:val="20"/>
                <w:szCs w:val="20"/>
              </w:rPr>
              <w:t>污</w:t>
            </w:r>
            <w:r>
              <w:rPr>
                <w:rFonts w:ascii="宋体" w:hAnsi="宋体" w:eastAsia="宋体" w:cs="宋体"/>
                <w:spacing w:val="7"/>
                <w:sz w:val="20"/>
                <w:szCs w:val="20"/>
              </w:rPr>
              <w:t>染</w:t>
            </w:r>
            <w:r>
              <w:rPr>
                <w:rFonts w:ascii="Times New Roman" w:hAnsi="Times New Roman" w:eastAsia="Times New Roman" w:cs="Times New Roman"/>
                <w:spacing w:val="7"/>
                <w:sz w:val="20"/>
                <w:szCs w:val="20"/>
              </w:rPr>
              <w:t>5</w:t>
            </w:r>
            <w:r>
              <w:rPr>
                <w:rFonts w:ascii="宋体" w:hAnsi="宋体" w:eastAsia="宋体" w:cs="宋体"/>
                <w:spacing w:val="7"/>
                <w:sz w:val="20"/>
                <w:szCs w:val="20"/>
              </w:rPr>
              <w:t>天。</w:t>
            </w:r>
            <w:r>
              <w:rPr>
                <w:rFonts w:ascii="Times New Roman" w:hAnsi="Times New Roman" w:eastAsia="Times New Roman" w:cs="Times New Roman"/>
                <w:spacing w:val="7"/>
                <w:sz w:val="20"/>
                <w:szCs w:val="20"/>
              </w:rPr>
              <w:t>2022</w:t>
            </w:r>
            <w:r>
              <w:rPr>
                <w:rFonts w:ascii="宋体" w:hAnsi="宋体" w:eastAsia="宋体" w:cs="宋体"/>
                <w:spacing w:val="7"/>
                <w:sz w:val="20"/>
                <w:szCs w:val="20"/>
              </w:rPr>
              <w:t>年通川区</w:t>
            </w:r>
            <w:r>
              <w:rPr>
                <w:rFonts w:ascii="Times New Roman" w:hAnsi="Times New Roman" w:eastAsia="Times New Roman" w:cs="Times New Roman"/>
                <w:sz w:val="20"/>
                <w:szCs w:val="20"/>
              </w:rPr>
              <w:t>SO</w:t>
            </w:r>
            <w:r>
              <w:rPr>
                <w:rFonts w:ascii="Times New Roman" w:hAnsi="Times New Roman" w:eastAsia="Times New Roman" w:cs="Times New Roman"/>
                <w:spacing w:val="7"/>
                <w:position w:val="-1"/>
                <w:sz w:val="13"/>
                <w:szCs w:val="13"/>
              </w:rPr>
              <w:t>2</w:t>
            </w:r>
            <w:r>
              <w:rPr>
                <w:rFonts w:ascii="宋体" w:hAnsi="宋体" w:eastAsia="宋体" w:cs="宋体"/>
                <w:spacing w:val="7"/>
                <w:sz w:val="20"/>
                <w:szCs w:val="20"/>
              </w:rPr>
              <w:t>平均浓度平均为</w:t>
            </w:r>
            <w:r>
              <w:rPr>
                <w:rFonts w:ascii="Times New Roman" w:hAnsi="Times New Roman" w:eastAsia="Times New Roman" w:cs="Times New Roman"/>
                <w:spacing w:val="7"/>
                <w:sz w:val="20"/>
                <w:szCs w:val="20"/>
              </w:rPr>
              <w:t>8μ</w:t>
            </w:r>
            <w:r>
              <w:rPr>
                <w:rFonts w:ascii="Times New Roman" w:hAnsi="Times New Roman" w:eastAsia="Times New Roman" w:cs="Times New Roman"/>
                <w:sz w:val="20"/>
                <w:szCs w:val="20"/>
              </w:rPr>
              <w:t>g</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m</w:t>
            </w:r>
            <w:r>
              <w:rPr>
                <w:rFonts w:ascii="宋体" w:hAnsi="宋体" w:eastAsia="宋体" w:cs="宋体"/>
                <w:spacing w:val="7"/>
                <w:sz w:val="20"/>
                <w:szCs w:val="20"/>
              </w:rPr>
              <w:t>³，</w:t>
            </w:r>
            <w:r>
              <w:rPr>
                <w:rFonts w:ascii="Times New Roman" w:hAnsi="Times New Roman" w:eastAsia="Times New Roman" w:cs="Times New Roman"/>
                <w:sz w:val="20"/>
                <w:szCs w:val="20"/>
              </w:rPr>
              <w:t>NO</w:t>
            </w:r>
            <w:r>
              <w:rPr>
                <w:rFonts w:ascii="Times New Roman" w:hAnsi="Times New Roman" w:eastAsia="Times New Roman" w:cs="Times New Roman"/>
                <w:spacing w:val="7"/>
                <w:position w:val="-1"/>
                <w:sz w:val="13"/>
                <w:szCs w:val="13"/>
              </w:rPr>
              <w:t>2</w:t>
            </w:r>
            <w:r>
              <w:rPr>
                <w:rFonts w:ascii="宋体" w:hAnsi="宋体" w:eastAsia="宋体" w:cs="宋体"/>
                <w:spacing w:val="7"/>
                <w:sz w:val="20"/>
                <w:szCs w:val="20"/>
              </w:rPr>
              <w:t>平均浓度为</w:t>
            </w:r>
            <w:r>
              <w:rPr>
                <w:rFonts w:ascii="Times New Roman" w:hAnsi="Times New Roman" w:eastAsia="Times New Roman" w:cs="Times New Roman"/>
                <w:spacing w:val="7"/>
                <w:sz w:val="20"/>
                <w:szCs w:val="20"/>
              </w:rPr>
              <w:t>33μ</w:t>
            </w:r>
            <w:r>
              <w:rPr>
                <w:rFonts w:ascii="Times New Roman" w:hAnsi="Times New Roman" w:eastAsia="Times New Roman" w:cs="Times New Roman"/>
                <w:sz w:val="20"/>
                <w:szCs w:val="20"/>
              </w:rPr>
              <w:t>g</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m</w:t>
            </w:r>
            <w:r>
              <w:rPr>
                <w:rFonts w:ascii="宋体" w:hAnsi="宋体" w:eastAsia="宋体" w:cs="宋体"/>
                <w:spacing w:val="7"/>
                <w:sz w:val="20"/>
                <w:szCs w:val="20"/>
              </w:rPr>
              <w:t>³，</w:t>
            </w:r>
            <w:r>
              <w:rPr>
                <w:rFonts w:ascii="Times New Roman" w:hAnsi="Times New Roman" w:eastAsia="Times New Roman" w:cs="Times New Roman"/>
                <w:sz w:val="20"/>
                <w:szCs w:val="20"/>
              </w:rPr>
              <w:t>CO</w:t>
            </w:r>
            <w:r>
              <w:rPr>
                <w:rFonts w:ascii="宋体" w:hAnsi="宋体" w:eastAsia="宋体" w:cs="宋体"/>
                <w:spacing w:val="7"/>
                <w:sz w:val="20"/>
                <w:szCs w:val="20"/>
              </w:rPr>
              <w:t>浓度为</w:t>
            </w:r>
            <w:r>
              <w:rPr>
                <w:rFonts w:ascii="宋体" w:hAnsi="宋体" w:eastAsia="宋体" w:cs="宋体"/>
                <w:sz w:val="20"/>
                <w:szCs w:val="20"/>
              </w:rPr>
              <w:t xml:space="preserve"> </w:t>
            </w:r>
            <w:r>
              <w:rPr>
                <w:rFonts w:ascii="Times New Roman" w:hAnsi="Times New Roman" w:eastAsia="Times New Roman" w:cs="Times New Roman"/>
                <w:spacing w:val="12"/>
                <w:sz w:val="20"/>
                <w:szCs w:val="20"/>
              </w:rPr>
              <w:t>1.2</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³  </w:t>
            </w:r>
            <w:r>
              <w:rPr>
                <w:rFonts w:ascii="宋体" w:hAnsi="宋体" w:eastAsia="宋体" w:cs="宋体"/>
                <w:spacing w:val="6"/>
                <w:sz w:val="20"/>
                <w:szCs w:val="20"/>
              </w:rPr>
              <w:t>(</w:t>
            </w:r>
            <w:r>
              <w:rPr>
                <w:rFonts w:ascii="Times New Roman" w:hAnsi="Times New Roman" w:eastAsia="Times New Roman" w:cs="Times New Roman"/>
                <w:spacing w:val="6"/>
                <w:sz w:val="20"/>
                <w:szCs w:val="20"/>
              </w:rPr>
              <w:t>24</w:t>
            </w:r>
            <w:r>
              <w:rPr>
                <w:rFonts w:ascii="宋体" w:hAnsi="宋体" w:eastAsia="宋体" w:cs="宋体"/>
                <w:spacing w:val="6"/>
                <w:sz w:val="20"/>
                <w:szCs w:val="20"/>
              </w:rPr>
              <w:t>小时平均第</w:t>
            </w:r>
            <w:r>
              <w:rPr>
                <w:rFonts w:ascii="Times New Roman" w:hAnsi="Times New Roman" w:eastAsia="Times New Roman" w:cs="Times New Roman"/>
                <w:spacing w:val="6"/>
                <w:sz w:val="20"/>
                <w:szCs w:val="20"/>
              </w:rPr>
              <w:t>95</w:t>
            </w:r>
            <w:r>
              <w:rPr>
                <w:rFonts w:ascii="宋体" w:hAnsi="宋体" w:eastAsia="宋体" w:cs="宋体"/>
                <w:spacing w:val="6"/>
                <w:sz w:val="20"/>
                <w:szCs w:val="20"/>
              </w:rPr>
              <w:t>百分位数) ，</w:t>
            </w:r>
            <w:r>
              <w:rPr>
                <w:rFonts w:ascii="Times New Roman" w:hAnsi="Times New Roman" w:eastAsia="Times New Roman" w:cs="Times New Roman"/>
                <w:sz w:val="20"/>
                <w:szCs w:val="20"/>
              </w:rPr>
              <w:t>O</w:t>
            </w:r>
            <w:r>
              <w:rPr>
                <w:rFonts w:ascii="Times New Roman" w:hAnsi="Times New Roman" w:eastAsia="Times New Roman" w:cs="Times New Roman"/>
                <w:spacing w:val="6"/>
                <w:position w:val="-1"/>
                <w:sz w:val="13"/>
                <w:szCs w:val="13"/>
              </w:rPr>
              <w:t>3</w:t>
            </w:r>
            <w:r>
              <w:rPr>
                <w:rFonts w:ascii="宋体" w:hAnsi="宋体" w:eastAsia="宋体" w:cs="宋体"/>
                <w:spacing w:val="6"/>
                <w:sz w:val="20"/>
                <w:szCs w:val="20"/>
              </w:rPr>
              <w:t>浓度为</w:t>
            </w:r>
            <w:r>
              <w:rPr>
                <w:rFonts w:ascii="Times New Roman" w:hAnsi="Times New Roman" w:eastAsia="Times New Roman" w:cs="Times New Roman"/>
                <w:spacing w:val="6"/>
                <w:sz w:val="20"/>
                <w:szCs w:val="20"/>
              </w:rPr>
              <w:t>118μ</w:t>
            </w:r>
            <w:r>
              <w:rPr>
                <w:rFonts w:ascii="Times New Roman" w:hAnsi="Times New Roman" w:eastAsia="Times New Roman" w:cs="Times New Roman"/>
                <w:sz w:val="20"/>
                <w:szCs w:val="20"/>
              </w:rPr>
              <w:t>g</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³  </w:t>
            </w:r>
            <w:r>
              <w:rPr>
                <w:rFonts w:ascii="宋体" w:hAnsi="宋体" w:eastAsia="宋体" w:cs="宋体"/>
                <w:spacing w:val="6"/>
                <w:sz w:val="20"/>
                <w:szCs w:val="20"/>
              </w:rPr>
              <w:t>( 日最大</w:t>
            </w:r>
            <w:r>
              <w:rPr>
                <w:rFonts w:ascii="Times New Roman" w:hAnsi="Times New Roman" w:eastAsia="Times New Roman" w:cs="Times New Roman"/>
                <w:spacing w:val="6"/>
                <w:sz w:val="20"/>
                <w:szCs w:val="20"/>
              </w:rPr>
              <w:t>8</w:t>
            </w:r>
            <w:r>
              <w:rPr>
                <w:rFonts w:ascii="宋体" w:hAnsi="宋体" w:eastAsia="宋体" w:cs="宋体"/>
                <w:spacing w:val="6"/>
                <w:sz w:val="20"/>
                <w:szCs w:val="20"/>
              </w:rPr>
              <w:t>小时滑动平均值的</w:t>
            </w:r>
            <w:r>
              <w:rPr>
                <w:rFonts w:ascii="宋体" w:hAnsi="宋体" w:eastAsia="宋体" w:cs="宋体"/>
                <w:sz w:val="20"/>
                <w:szCs w:val="20"/>
              </w:rPr>
              <w:t xml:space="preserve"> </w:t>
            </w:r>
            <w:r>
              <w:rPr>
                <w:rFonts w:ascii="宋体" w:hAnsi="宋体" w:eastAsia="宋体" w:cs="宋体"/>
                <w:spacing w:val="12"/>
                <w:sz w:val="20"/>
                <w:szCs w:val="20"/>
              </w:rPr>
              <w:t>第</w:t>
            </w:r>
            <w:r>
              <w:rPr>
                <w:rFonts w:ascii="Times New Roman" w:hAnsi="Times New Roman" w:eastAsia="Times New Roman" w:cs="Times New Roman"/>
                <w:spacing w:val="12"/>
                <w:sz w:val="20"/>
                <w:szCs w:val="20"/>
              </w:rPr>
              <w:t>9</w:t>
            </w:r>
            <w:r>
              <w:rPr>
                <w:rFonts w:ascii="Times New Roman" w:hAnsi="Times New Roman" w:eastAsia="Times New Roman" w:cs="Times New Roman"/>
                <w:spacing w:val="7"/>
                <w:sz w:val="20"/>
                <w:szCs w:val="20"/>
              </w:rPr>
              <w:t>0</w:t>
            </w:r>
            <w:r>
              <w:rPr>
                <w:rFonts w:ascii="宋体" w:hAnsi="宋体" w:eastAsia="宋体" w:cs="宋体"/>
                <w:spacing w:val="6"/>
                <w:sz w:val="20"/>
                <w:szCs w:val="20"/>
              </w:rPr>
              <w:t>百分位数) ，</w:t>
            </w:r>
            <w:r>
              <w:rPr>
                <w:rFonts w:ascii="Times New Roman" w:hAnsi="Times New Roman" w:eastAsia="Times New Roman" w:cs="Times New Roman"/>
                <w:sz w:val="20"/>
                <w:szCs w:val="20"/>
              </w:rPr>
              <w:t>PM</w:t>
            </w:r>
            <w:r>
              <w:rPr>
                <w:rFonts w:ascii="Times New Roman" w:hAnsi="Times New Roman" w:eastAsia="Times New Roman" w:cs="Times New Roman"/>
                <w:spacing w:val="6"/>
                <w:position w:val="-1"/>
                <w:sz w:val="13"/>
                <w:szCs w:val="13"/>
              </w:rPr>
              <w:t>2.5</w:t>
            </w:r>
            <w:r>
              <w:rPr>
                <w:rFonts w:ascii="宋体" w:hAnsi="宋体" w:eastAsia="宋体" w:cs="宋体"/>
                <w:spacing w:val="6"/>
                <w:sz w:val="20"/>
                <w:szCs w:val="20"/>
              </w:rPr>
              <w:t>平均浓度为</w:t>
            </w:r>
            <w:r>
              <w:rPr>
                <w:rFonts w:ascii="Times New Roman" w:hAnsi="Times New Roman" w:eastAsia="Times New Roman" w:cs="Times New Roman"/>
                <w:spacing w:val="6"/>
                <w:sz w:val="20"/>
                <w:szCs w:val="20"/>
              </w:rPr>
              <w:t>30μ</w:t>
            </w:r>
            <w:r>
              <w:rPr>
                <w:rFonts w:ascii="Times New Roman" w:hAnsi="Times New Roman" w:eastAsia="Times New Roman" w:cs="Times New Roman"/>
                <w:sz w:val="20"/>
                <w:szCs w:val="20"/>
              </w:rPr>
              <w:t>g</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³ </w:t>
            </w:r>
            <w:r>
              <w:rPr>
                <w:rFonts w:ascii="宋体" w:hAnsi="宋体" w:eastAsia="宋体" w:cs="宋体"/>
                <w:spacing w:val="6"/>
                <w:sz w:val="20"/>
                <w:szCs w:val="20"/>
              </w:rPr>
              <w:t>，</w:t>
            </w:r>
            <w:r>
              <w:rPr>
                <w:rFonts w:ascii="Times New Roman" w:hAnsi="Times New Roman" w:eastAsia="Times New Roman" w:cs="Times New Roman"/>
                <w:sz w:val="20"/>
                <w:szCs w:val="20"/>
              </w:rPr>
              <w:t>PM</w:t>
            </w:r>
            <w:r>
              <w:rPr>
                <w:rFonts w:ascii="Times New Roman" w:hAnsi="Times New Roman" w:eastAsia="Times New Roman" w:cs="Times New Roman"/>
                <w:spacing w:val="6"/>
                <w:position w:val="-1"/>
                <w:sz w:val="13"/>
                <w:szCs w:val="13"/>
              </w:rPr>
              <w:t>10</w:t>
            </w:r>
            <w:r>
              <w:rPr>
                <w:rFonts w:ascii="宋体" w:hAnsi="宋体" w:eastAsia="宋体" w:cs="宋体"/>
                <w:spacing w:val="6"/>
                <w:sz w:val="20"/>
                <w:szCs w:val="20"/>
              </w:rPr>
              <w:t>平均浓度为</w:t>
            </w:r>
            <w:r>
              <w:rPr>
                <w:rFonts w:ascii="Times New Roman" w:hAnsi="Times New Roman" w:eastAsia="Times New Roman" w:cs="Times New Roman"/>
                <w:spacing w:val="6"/>
                <w:sz w:val="20"/>
                <w:szCs w:val="20"/>
              </w:rPr>
              <w:t>48μ</w:t>
            </w:r>
            <w:r>
              <w:rPr>
                <w:rFonts w:ascii="Times New Roman" w:hAnsi="Times New Roman" w:eastAsia="Times New Roman" w:cs="Times New Roman"/>
                <w:sz w:val="20"/>
                <w:szCs w:val="20"/>
              </w:rPr>
              <w:t>g</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³</w:t>
            </w:r>
            <w:r>
              <w:rPr>
                <w:rFonts w:ascii="宋体" w:hAnsi="宋体" w:eastAsia="宋体" w:cs="宋体"/>
                <w:spacing w:val="6"/>
                <w:sz w:val="20"/>
                <w:szCs w:val="20"/>
              </w:rPr>
              <w:t>。</w:t>
            </w:r>
          </w:p>
          <w:p>
            <w:pPr>
              <w:spacing w:before="1" w:line="381" w:lineRule="auto"/>
              <w:ind w:left="53" w:right="49" w:firstLine="418"/>
              <w:rPr>
                <w:rFonts w:ascii="宋体" w:hAnsi="宋体" w:eastAsia="宋体" w:cs="宋体"/>
                <w:sz w:val="20"/>
                <w:szCs w:val="20"/>
              </w:rPr>
            </w:pPr>
            <w:r>
              <w:rPr>
                <w:rFonts w:ascii="宋体" w:hAnsi="宋体" w:eastAsia="宋体" w:cs="宋体"/>
                <w:spacing w:val="4"/>
                <w:sz w:val="20"/>
                <w:szCs w:val="20"/>
              </w:rPr>
              <w:t>达州市通川区</w:t>
            </w:r>
            <w:r>
              <w:rPr>
                <w:rFonts w:ascii="Times New Roman" w:hAnsi="Times New Roman" w:eastAsia="Times New Roman" w:cs="Times New Roman"/>
                <w:spacing w:val="4"/>
                <w:sz w:val="20"/>
                <w:szCs w:val="20"/>
              </w:rPr>
              <w:t xml:space="preserve">2022 </w:t>
            </w:r>
            <w:r>
              <w:rPr>
                <w:rFonts w:ascii="宋体" w:hAnsi="宋体" w:eastAsia="宋体" w:cs="宋体"/>
                <w:spacing w:val="4"/>
                <w:sz w:val="20"/>
                <w:szCs w:val="20"/>
              </w:rPr>
              <w:t xml:space="preserve">年环境空气质量达标率为 </w:t>
            </w:r>
            <w:r>
              <w:rPr>
                <w:rFonts w:ascii="Times New Roman" w:hAnsi="Times New Roman" w:eastAsia="Times New Roman" w:cs="Times New Roman"/>
                <w:spacing w:val="4"/>
                <w:sz w:val="20"/>
                <w:szCs w:val="20"/>
              </w:rPr>
              <w:t xml:space="preserve">93.4% </w:t>
            </w:r>
            <w:r>
              <w:rPr>
                <w:rFonts w:ascii="宋体" w:hAnsi="宋体" w:eastAsia="宋体" w:cs="宋体"/>
                <w:spacing w:val="4"/>
                <w:sz w:val="20"/>
                <w:szCs w:val="20"/>
              </w:rPr>
              <w:t xml:space="preserve">，同比上升 </w:t>
            </w:r>
            <w:r>
              <w:rPr>
                <w:rFonts w:ascii="Times New Roman" w:hAnsi="Times New Roman" w:eastAsia="Times New Roman" w:cs="Times New Roman"/>
                <w:spacing w:val="4"/>
                <w:sz w:val="20"/>
                <w:szCs w:val="20"/>
              </w:rPr>
              <w:t xml:space="preserve">4.76% </w:t>
            </w:r>
            <w:r>
              <w:rPr>
                <w:rFonts w:ascii="宋体" w:hAnsi="宋体" w:eastAsia="宋体" w:cs="宋体"/>
                <w:spacing w:val="4"/>
                <w:sz w:val="20"/>
                <w:szCs w:val="20"/>
              </w:rPr>
              <w:t>，达标天数全</w:t>
            </w:r>
            <w:r>
              <w:rPr>
                <w:rFonts w:ascii="宋体" w:hAnsi="宋体" w:eastAsia="宋体" w:cs="宋体"/>
                <w:sz w:val="20"/>
                <w:szCs w:val="20"/>
              </w:rPr>
              <w:t xml:space="preserve">年 </w:t>
            </w:r>
            <w:r>
              <w:rPr>
                <w:rFonts w:ascii="Times New Roman" w:hAnsi="Times New Roman" w:eastAsia="Times New Roman" w:cs="Times New Roman"/>
                <w:spacing w:val="8"/>
                <w:sz w:val="20"/>
                <w:szCs w:val="20"/>
              </w:rPr>
              <w:t xml:space="preserve">341 </w:t>
            </w:r>
            <w:r>
              <w:rPr>
                <w:rFonts w:ascii="宋体" w:hAnsi="宋体" w:eastAsia="宋体" w:cs="宋体"/>
                <w:spacing w:val="8"/>
                <w:sz w:val="20"/>
                <w:szCs w:val="20"/>
              </w:rPr>
              <w:t>天，所在区域为环境空气质量达标区</w:t>
            </w:r>
            <w:r>
              <w:rPr>
                <w:rFonts w:ascii="宋体" w:hAnsi="宋体" w:eastAsia="宋体" w:cs="宋体"/>
                <w:spacing w:val="6"/>
                <w:sz w:val="20"/>
                <w:szCs w:val="20"/>
              </w:rPr>
              <w:t>。</w:t>
            </w:r>
          </w:p>
          <w:p>
            <w:pPr>
              <w:spacing w:before="11" w:line="242" w:lineRule="auto"/>
              <w:ind w:left="107"/>
              <w:rPr>
                <w:rFonts w:ascii="黑体" w:hAnsi="黑体" w:eastAsia="黑体" w:cs="黑体"/>
                <w:sz w:val="20"/>
                <w:szCs w:val="20"/>
              </w:rPr>
            </w:pPr>
            <w:r>
              <w:rPr>
                <w:rFonts w:ascii="Times New Roman" w:hAnsi="Times New Roman" w:eastAsia="Times New Roman" w:cs="Times New Roman"/>
                <w:spacing w:val="5"/>
                <w:sz w:val="20"/>
                <w:szCs w:val="20"/>
              </w:rPr>
              <w:t xml:space="preserve">5 </w:t>
            </w:r>
            <w:r>
              <w:rPr>
                <w:rFonts w:ascii="黑体" w:hAnsi="黑体" w:eastAsia="黑体" w:cs="黑体"/>
                <w:spacing w:val="5"/>
                <w:sz w:val="20"/>
                <w:szCs w:val="20"/>
              </w:rPr>
              <w:t>、地表水环境质量现状及评</w:t>
            </w:r>
            <w:r>
              <w:rPr>
                <w:rFonts w:ascii="黑体" w:hAnsi="黑体" w:eastAsia="黑体" w:cs="黑体"/>
                <w:spacing w:val="4"/>
                <w:sz w:val="20"/>
                <w:szCs w:val="20"/>
              </w:rPr>
              <w:t>价</w:t>
            </w:r>
          </w:p>
          <w:p>
            <w:pPr>
              <w:spacing w:before="100" w:line="375" w:lineRule="auto"/>
              <w:ind w:left="105" w:right="102" w:firstLine="420"/>
              <w:rPr>
                <w:rFonts w:ascii="宋体" w:hAnsi="宋体" w:eastAsia="宋体" w:cs="宋体"/>
                <w:sz w:val="20"/>
                <w:szCs w:val="20"/>
              </w:rPr>
            </w:pPr>
            <w:r>
              <w:rPr>
                <w:rFonts w:ascii="宋体" w:hAnsi="宋体" w:eastAsia="宋体" w:cs="宋体"/>
                <w:spacing w:val="20"/>
                <w:sz w:val="20"/>
                <w:szCs w:val="20"/>
              </w:rPr>
              <w:t>根</w:t>
            </w:r>
            <w:r>
              <w:rPr>
                <w:rFonts w:ascii="宋体" w:hAnsi="宋体" w:eastAsia="宋体" w:cs="宋体"/>
                <w:spacing w:val="19"/>
                <w:sz w:val="20"/>
                <w:szCs w:val="20"/>
              </w:rPr>
              <w:t>据</w:t>
            </w:r>
            <w:r>
              <w:rPr>
                <w:rFonts w:ascii="宋体" w:hAnsi="宋体" w:eastAsia="宋体" w:cs="宋体"/>
                <w:spacing w:val="10"/>
                <w:sz w:val="20"/>
                <w:szCs w:val="20"/>
              </w:rPr>
              <w:t>达州市生态环境局网站 (</w:t>
            </w:r>
            <w:r>
              <w:rPr>
                <w:rFonts w:ascii="Times New Roman" w:hAnsi="Times New Roman" w:eastAsia="Times New Roman" w:cs="Times New Roman"/>
                <w:sz w:val="20"/>
                <w:szCs w:val="20"/>
              </w:rPr>
              <w:t>https</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sthjj</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dazhou</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gov</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cn</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news</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show</w:t>
            </w:r>
            <w:r>
              <w:rPr>
                <w:rFonts w:ascii="Times New Roman" w:hAnsi="Times New Roman" w:eastAsia="Times New Roman" w:cs="Times New Roman"/>
                <w:spacing w:val="10"/>
                <w:sz w:val="20"/>
                <w:szCs w:val="20"/>
              </w:rPr>
              <w:t>- 15656.</w:t>
            </w:r>
            <w:r>
              <w:rPr>
                <w:rFonts w:ascii="Times New Roman" w:hAnsi="Times New Roman" w:eastAsia="Times New Roman" w:cs="Times New Roman"/>
                <w:sz w:val="20"/>
                <w:szCs w:val="20"/>
              </w:rPr>
              <w:t>html</w:t>
            </w:r>
            <w:r>
              <w:rPr>
                <w:rFonts w:ascii="宋体" w:hAnsi="宋体" w:eastAsia="宋体" w:cs="宋体"/>
                <w:spacing w:val="10"/>
                <w:sz w:val="20"/>
                <w:szCs w:val="20"/>
              </w:rPr>
              <w:t>) 发布</w:t>
            </w:r>
            <w:r>
              <w:rPr>
                <w:rFonts w:ascii="宋体" w:hAnsi="宋体" w:eastAsia="宋体" w:cs="宋体"/>
                <w:sz w:val="20"/>
                <w:szCs w:val="20"/>
              </w:rPr>
              <w:t xml:space="preserve"> </w:t>
            </w:r>
            <w:r>
              <w:rPr>
                <w:rFonts w:ascii="宋体" w:hAnsi="宋体" w:eastAsia="宋体" w:cs="宋体"/>
                <w:spacing w:val="14"/>
                <w:sz w:val="20"/>
                <w:szCs w:val="20"/>
              </w:rPr>
              <w:t>的《</w:t>
            </w:r>
            <w:r>
              <w:rPr>
                <w:rFonts w:ascii="Times New Roman" w:hAnsi="Times New Roman" w:eastAsia="Times New Roman" w:cs="Times New Roman"/>
                <w:spacing w:val="14"/>
                <w:sz w:val="20"/>
                <w:szCs w:val="20"/>
              </w:rPr>
              <w:t>20</w:t>
            </w:r>
            <w:r>
              <w:rPr>
                <w:rFonts w:ascii="Times New Roman" w:hAnsi="Times New Roman" w:eastAsia="Times New Roman" w:cs="Times New Roman"/>
                <w:spacing w:val="12"/>
                <w:sz w:val="20"/>
                <w:szCs w:val="20"/>
              </w:rPr>
              <w:t>2</w:t>
            </w:r>
            <w:r>
              <w:rPr>
                <w:rFonts w:ascii="Times New Roman" w:hAnsi="Times New Roman" w:eastAsia="Times New Roman" w:cs="Times New Roman"/>
                <w:spacing w:val="7"/>
                <w:sz w:val="20"/>
                <w:szCs w:val="20"/>
              </w:rPr>
              <w:t>3</w:t>
            </w:r>
            <w:r>
              <w:rPr>
                <w:rFonts w:ascii="宋体" w:hAnsi="宋体" w:eastAsia="宋体" w:cs="宋体"/>
                <w:spacing w:val="7"/>
                <w:sz w:val="20"/>
                <w:szCs w:val="20"/>
              </w:rPr>
              <w:t>年</w:t>
            </w:r>
            <w:r>
              <w:rPr>
                <w:rFonts w:ascii="Times New Roman" w:hAnsi="Times New Roman" w:eastAsia="Times New Roman" w:cs="Times New Roman"/>
                <w:spacing w:val="7"/>
                <w:sz w:val="20"/>
                <w:szCs w:val="20"/>
              </w:rPr>
              <w:t>2</w:t>
            </w:r>
            <w:r>
              <w:rPr>
                <w:rFonts w:ascii="宋体" w:hAnsi="宋体" w:eastAsia="宋体" w:cs="宋体"/>
                <w:spacing w:val="7"/>
                <w:sz w:val="20"/>
                <w:szCs w:val="20"/>
              </w:rPr>
              <w:t>月达州市地表水水质月报》：</w:t>
            </w:r>
            <w:r>
              <w:rPr>
                <w:rFonts w:ascii="Times New Roman" w:hAnsi="Times New Roman" w:eastAsia="Times New Roman" w:cs="Times New Roman"/>
                <w:spacing w:val="7"/>
                <w:sz w:val="20"/>
                <w:szCs w:val="20"/>
              </w:rPr>
              <w:t>2023</w:t>
            </w:r>
            <w:r>
              <w:rPr>
                <w:rFonts w:ascii="宋体" w:hAnsi="宋体" w:eastAsia="宋体" w:cs="宋体"/>
                <w:spacing w:val="7"/>
                <w:sz w:val="20"/>
                <w:szCs w:val="20"/>
              </w:rPr>
              <w:t>年</w:t>
            </w:r>
            <w:r>
              <w:rPr>
                <w:rFonts w:ascii="Times New Roman" w:hAnsi="Times New Roman" w:eastAsia="Times New Roman" w:cs="Times New Roman"/>
                <w:spacing w:val="7"/>
                <w:sz w:val="20"/>
                <w:szCs w:val="20"/>
              </w:rPr>
              <w:t>2</w:t>
            </w:r>
            <w:r>
              <w:rPr>
                <w:rFonts w:ascii="宋体" w:hAnsi="宋体" w:eastAsia="宋体" w:cs="宋体"/>
                <w:spacing w:val="7"/>
                <w:sz w:val="20"/>
                <w:szCs w:val="20"/>
              </w:rPr>
              <w:t>月全市</w:t>
            </w:r>
            <w:r>
              <w:rPr>
                <w:rFonts w:ascii="Times New Roman" w:hAnsi="Times New Roman" w:eastAsia="Times New Roman" w:cs="Times New Roman"/>
                <w:spacing w:val="7"/>
                <w:sz w:val="20"/>
                <w:szCs w:val="20"/>
              </w:rPr>
              <w:t>35</w:t>
            </w:r>
            <w:r>
              <w:rPr>
                <w:rFonts w:ascii="宋体" w:hAnsi="宋体" w:eastAsia="宋体" w:cs="宋体"/>
                <w:spacing w:val="7"/>
                <w:sz w:val="20"/>
                <w:szCs w:val="20"/>
              </w:rPr>
              <w:t>个河流断面中，优 (</w:t>
            </w:r>
            <w:r>
              <w:rPr>
                <w:rFonts w:ascii="Times New Roman" w:hAnsi="Times New Roman" w:eastAsia="Times New Roman" w:cs="Times New Roman"/>
                <w:spacing w:val="7"/>
                <w:sz w:val="20"/>
                <w:szCs w:val="20"/>
              </w:rPr>
              <w:t>Ⅰ~Ⅱ</w:t>
            </w:r>
            <w:r>
              <w:rPr>
                <w:rFonts w:ascii="宋体" w:hAnsi="宋体" w:eastAsia="宋体" w:cs="宋体"/>
                <w:spacing w:val="7"/>
                <w:sz w:val="20"/>
                <w:szCs w:val="20"/>
              </w:rPr>
              <w:t>类)</w:t>
            </w:r>
            <w:r>
              <w:rPr>
                <w:rFonts w:ascii="宋体" w:hAnsi="宋体" w:eastAsia="宋体" w:cs="宋体"/>
                <w:sz w:val="20"/>
                <w:szCs w:val="20"/>
              </w:rPr>
              <w:t xml:space="preserve"> </w:t>
            </w:r>
            <w:r>
              <w:rPr>
                <w:rFonts w:ascii="宋体" w:hAnsi="宋体" w:eastAsia="宋体" w:cs="宋体"/>
                <w:spacing w:val="4"/>
                <w:sz w:val="20"/>
                <w:szCs w:val="20"/>
              </w:rPr>
              <w:t>良 (</w:t>
            </w:r>
            <w:r>
              <w:rPr>
                <w:rFonts w:ascii="Times New Roman" w:hAnsi="Times New Roman" w:eastAsia="Times New Roman" w:cs="Times New Roman"/>
                <w:spacing w:val="4"/>
                <w:sz w:val="20"/>
                <w:szCs w:val="20"/>
              </w:rPr>
              <w:t>Ⅲ</w:t>
            </w:r>
            <w:r>
              <w:rPr>
                <w:rFonts w:ascii="宋体" w:hAnsi="宋体" w:eastAsia="宋体" w:cs="宋体"/>
                <w:spacing w:val="4"/>
                <w:sz w:val="20"/>
                <w:szCs w:val="20"/>
              </w:rPr>
              <w:t>类) 水质断面</w:t>
            </w:r>
            <w:r>
              <w:rPr>
                <w:rFonts w:ascii="Times New Roman" w:hAnsi="Times New Roman" w:eastAsia="Times New Roman" w:cs="Times New Roman"/>
                <w:spacing w:val="4"/>
                <w:sz w:val="20"/>
                <w:szCs w:val="20"/>
              </w:rPr>
              <w:t>33</w:t>
            </w:r>
            <w:r>
              <w:rPr>
                <w:rFonts w:ascii="宋体" w:hAnsi="宋体" w:eastAsia="宋体" w:cs="宋体"/>
                <w:spacing w:val="4"/>
                <w:sz w:val="20"/>
                <w:szCs w:val="20"/>
              </w:rPr>
              <w:t>个， 占比</w:t>
            </w:r>
            <w:r>
              <w:rPr>
                <w:rFonts w:ascii="Times New Roman" w:hAnsi="Times New Roman" w:eastAsia="Times New Roman" w:cs="Times New Roman"/>
                <w:spacing w:val="4"/>
                <w:sz w:val="20"/>
                <w:szCs w:val="20"/>
              </w:rPr>
              <w:t>94.3%</w:t>
            </w:r>
            <w:r>
              <w:rPr>
                <w:rFonts w:ascii="宋体" w:hAnsi="宋体" w:eastAsia="宋体" w:cs="宋体"/>
                <w:spacing w:val="4"/>
                <w:sz w:val="20"/>
                <w:szCs w:val="20"/>
              </w:rPr>
              <w:t>；轻度污染 (</w:t>
            </w:r>
            <w:r>
              <w:rPr>
                <w:rFonts w:ascii="Times New Roman" w:hAnsi="Times New Roman" w:eastAsia="Times New Roman" w:cs="Times New Roman"/>
                <w:spacing w:val="4"/>
                <w:sz w:val="20"/>
                <w:szCs w:val="20"/>
              </w:rPr>
              <w:t>Ⅳ</w:t>
            </w:r>
            <w:r>
              <w:rPr>
                <w:rFonts w:ascii="宋体" w:hAnsi="宋体" w:eastAsia="宋体" w:cs="宋体"/>
                <w:spacing w:val="4"/>
                <w:sz w:val="20"/>
                <w:szCs w:val="20"/>
              </w:rPr>
              <w:t>类) 水质断面</w:t>
            </w:r>
            <w:r>
              <w:rPr>
                <w:rFonts w:ascii="Times New Roman" w:hAnsi="Times New Roman" w:eastAsia="Times New Roman" w:cs="Times New Roman"/>
                <w:spacing w:val="4"/>
                <w:sz w:val="20"/>
                <w:szCs w:val="20"/>
              </w:rPr>
              <w:t>2</w:t>
            </w:r>
            <w:r>
              <w:rPr>
                <w:rFonts w:ascii="宋体" w:hAnsi="宋体" w:eastAsia="宋体" w:cs="宋体"/>
                <w:spacing w:val="4"/>
                <w:sz w:val="20"/>
                <w:szCs w:val="20"/>
              </w:rPr>
              <w:t>个， 占比</w:t>
            </w:r>
            <w:r>
              <w:rPr>
                <w:rFonts w:ascii="Times New Roman" w:hAnsi="Times New Roman" w:eastAsia="Times New Roman" w:cs="Times New Roman"/>
                <w:spacing w:val="4"/>
                <w:sz w:val="20"/>
                <w:szCs w:val="20"/>
              </w:rPr>
              <w:t xml:space="preserve">5.7% </w:t>
            </w:r>
            <w:r>
              <w:rPr>
                <w:rFonts w:ascii="宋体" w:hAnsi="宋体" w:eastAsia="宋体" w:cs="宋体"/>
                <w:spacing w:val="1"/>
                <w:sz w:val="20"/>
                <w:szCs w:val="20"/>
              </w:rPr>
              <w:t>。</w:t>
            </w:r>
            <w:r>
              <w:rPr>
                <w:rFonts w:ascii="宋体" w:hAnsi="宋体" w:eastAsia="宋体" w:cs="宋体"/>
                <w:sz w:val="20"/>
                <w:szCs w:val="20"/>
              </w:rPr>
              <w:t xml:space="preserve">全 </w:t>
            </w:r>
            <w:r>
              <w:rPr>
                <w:rFonts w:ascii="宋体" w:hAnsi="宋体" w:eastAsia="宋体" w:cs="宋体"/>
                <w:spacing w:val="14"/>
                <w:sz w:val="20"/>
                <w:szCs w:val="20"/>
              </w:rPr>
              <w:t>市</w:t>
            </w:r>
            <w:r>
              <w:rPr>
                <w:rFonts w:ascii="宋体" w:hAnsi="宋体" w:eastAsia="宋体" w:cs="宋体"/>
                <w:spacing w:val="9"/>
                <w:sz w:val="20"/>
                <w:szCs w:val="20"/>
              </w:rPr>
              <w:t>河</w:t>
            </w:r>
            <w:r>
              <w:rPr>
                <w:rFonts w:ascii="宋体" w:hAnsi="宋体" w:eastAsia="宋体" w:cs="宋体"/>
                <w:spacing w:val="7"/>
                <w:sz w:val="20"/>
                <w:szCs w:val="20"/>
              </w:rPr>
              <w:t>流超标情况为：流江河白兔乡断面受到轻度污染，主要污染指标为高锰酸盐指数；东</w:t>
            </w:r>
            <w:r>
              <w:rPr>
                <w:rFonts w:ascii="宋体" w:hAnsi="宋体" w:eastAsia="宋体" w:cs="宋体"/>
                <w:sz w:val="20"/>
                <w:szCs w:val="20"/>
              </w:rPr>
              <w:t xml:space="preserve"> </w:t>
            </w:r>
            <w:r>
              <w:rPr>
                <w:rFonts w:ascii="宋体" w:hAnsi="宋体" w:eastAsia="宋体" w:cs="宋体"/>
                <w:spacing w:val="14"/>
                <w:sz w:val="20"/>
                <w:szCs w:val="20"/>
              </w:rPr>
              <w:t>柳</w:t>
            </w:r>
            <w:r>
              <w:rPr>
                <w:rFonts w:ascii="宋体" w:hAnsi="宋体" w:eastAsia="宋体" w:cs="宋体"/>
                <w:spacing w:val="9"/>
                <w:sz w:val="20"/>
                <w:szCs w:val="20"/>
              </w:rPr>
              <w:t>河</w:t>
            </w:r>
            <w:r>
              <w:rPr>
                <w:rFonts w:ascii="宋体" w:hAnsi="宋体" w:eastAsia="宋体" w:cs="宋体"/>
                <w:spacing w:val="7"/>
                <w:sz w:val="20"/>
                <w:szCs w:val="20"/>
              </w:rPr>
              <w:t>墩子河断面受到轻度污染，主要污染指标为氨氮、化学需氧量、高锰酸盐指数。区域</w:t>
            </w:r>
          </w:p>
          <w:p>
            <w:pPr>
              <w:spacing w:before="6" w:line="226" w:lineRule="auto"/>
              <w:ind w:left="108"/>
              <w:rPr>
                <w:rFonts w:ascii="宋体" w:hAnsi="宋体" w:eastAsia="宋体" w:cs="宋体"/>
                <w:sz w:val="20"/>
                <w:szCs w:val="20"/>
              </w:rPr>
            </w:pPr>
            <w:r>
              <w:rPr>
                <w:rFonts w:ascii="宋体" w:hAnsi="宋体" w:eastAsia="宋体" w:cs="宋体"/>
                <w:spacing w:val="8"/>
                <w:sz w:val="20"/>
                <w:szCs w:val="20"/>
              </w:rPr>
              <w:t>水质评价结果表如下</w:t>
            </w:r>
            <w:r>
              <w:rPr>
                <w:rFonts w:ascii="宋体" w:hAnsi="宋体" w:eastAsia="宋体" w:cs="宋体"/>
                <w:spacing w:val="6"/>
                <w:sz w:val="20"/>
                <w:szCs w:val="20"/>
              </w:rPr>
              <w:t>。</w:t>
            </w:r>
          </w:p>
          <w:p>
            <w:pPr>
              <w:spacing w:before="100" w:line="228" w:lineRule="auto"/>
              <w:ind w:left="2705"/>
              <w:rPr>
                <w:rFonts w:ascii="黑体" w:hAnsi="黑体" w:eastAsia="黑体" w:cs="黑体"/>
                <w:sz w:val="19"/>
                <w:szCs w:val="19"/>
              </w:rPr>
            </w:pPr>
            <w:r>
              <w:rPr>
                <w:rFonts w:ascii="黑体" w:hAnsi="黑体" w:eastAsia="黑体" w:cs="黑体"/>
                <w:spacing w:val="12"/>
                <w:sz w:val="19"/>
                <w:szCs w:val="19"/>
              </w:rPr>
              <w:t>表</w:t>
            </w:r>
            <w:r>
              <w:rPr>
                <w:rFonts w:ascii="Times New Roman" w:hAnsi="Times New Roman" w:eastAsia="Times New Roman" w:cs="Times New Roman"/>
                <w:spacing w:val="12"/>
                <w:sz w:val="19"/>
                <w:szCs w:val="19"/>
              </w:rPr>
              <w:t>2</w:t>
            </w:r>
            <w:r>
              <w:rPr>
                <w:rFonts w:ascii="Times New Roman" w:hAnsi="Times New Roman" w:eastAsia="Times New Roman" w:cs="Times New Roman"/>
                <w:spacing w:val="9"/>
                <w:sz w:val="19"/>
                <w:szCs w:val="19"/>
              </w:rPr>
              <w:t>7</w:t>
            </w:r>
            <w:r>
              <w:rPr>
                <w:rFonts w:ascii="Times New Roman" w:hAnsi="Times New Roman" w:eastAsia="Times New Roman" w:cs="Times New Roman"/>
                <w:spacing w:val="6"/>
                <w:sz w:val="19"/>
                <w:szCs w:val="19"/>
              </w:rPr>
              <w:t xml:space="preserve">    2023</w:t>
            </w:r>
            <w:r>
              <w:rPr>
                <w:rFonts w:ascii="黑体" w:hAnsi="黑体" w:eastAsia="黑体" w:cs="黑体"/>
                <w:spacing w:val="6"/>
                <w:sz w:val="19"/>
                <w:szCs w:val="19"/>
              </w:rPr>
              <w:t>年</w:t>
            </w:r>
            <w:r>
              <w:rPr>
                <w:rFonts w:ascii="Times New Roman" w:hAnsi="Times New Roman" w:eastAsia="Times New Roman" w:cs="Times New Roman"/>
                <w:spacing w:val="6"/>
                <w:sz w:val="19"/>
                <w:szCs w:val="19"/>
              </w:rPr>
              <w:t>2</w:t>
            </w:r>
            <w:r>
              <w:rPr>
                <w:rFonts w:ascii="黑体" w:hAnsi="黑体" w:eastAsia="黑体" w:cs="黑体"/>
                <w:spacing w:val="6"/>
                <w:sz w:val="19"/>
                <w:szCs w:val="19"/>
              </w:rPr>
              <w:t>月州河水质评价结果表</w:t>
            </w:r>
          </w:p>
          <w:tbl>
            <w:tblPr>
              <w:tblStyle w:val="4"/>
              <w:tblW w:w="7859" w:type="dxa"/>
              <w:tblInd w:w="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3"/>
              <w:gridCol w:w="452"/>
              <w:gridCol w:w="463"/>
              <w:gridCol w:w="789"/>
              <w:gridCol w:w="1540"/>
              <w:gridCol w:w="1158"/>
              <w:gridCol w:w="507"/>
              <w:gridCol w:w="601"/>
              <w:gridCol w:w="606"/>
              <w:gridCol w:w="12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513" w:type="dxa"/>
                  <w:tcBorders>
                    <w:top w:val="single" w:color="000000" w:sz="2" w:space="0"/>
                    <w:bottom w:val="single" w:color="000000" w:sz="2" w:space="0"/>
                  </w:tcBorders>
                  <w:vAlign w:val="top"/>
                </w:tcPr>
                <w:p>
                  <w:pPr>
                    <w:spacing w:before="153" w:line="232" w:lineRule="auto"/>
                    <w:ind w:left="76"/>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序</w:t>
                  </w:r>
                  <w:r>
                    <w:rPr>
                      <w:rFonts w:ascii="宋体" w:hAnsi="宋体" w:eastAsia="宋体" w:cs="宋体"/>
                      <w:spacing w:val="6"/>
                      <w:sz w:val="17"/>
                      <w:szCs w:val="17"/>
                      <w14:textOutline w14:w="3268" w14:cap="sq" w14:cmpd="sng">
                        <w14:solidFill>
                          <w14:srgbClr w14:val="000000"/>
                        </w14:solidFill>
                        <w14:prstDash w14:val="solid"/>
                        <w14:bevel/>
                      </w14:textOutline>
                    </w:rPr>
                    <w:t>号</w:t>
                  </w:r>
                </w:p>
              </w:tc>
              <w:tc>
                <w:tcPr>
                  <w:tcW w:w="915" w:type="dxa"/>
                  <w:gridSpan w:val="2"/>
                  <w:tcBorders>
                    <w:top w:val="single" w:color="000000" w:sz="2" w:space="0"/>
                    <w:bottom w:val="single" w:color="000000" w:sz="2" w:space="0"/>
                  </w:tcBorders>
                  <w:vAlign w:val="top"/>
                </w:tcPr>
                <w:p>
                  <w:pPr>
                    <w:spacing w:before="153" w:line="232" w:lineRule="auto"/>
                    <w:ind w:left="273"/>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河</w:t>
                  </w:r>
                  <w:r>
                    <w:rPr>
                      <w:rFonts w:ascii="宋体" w:hAnsi="宋体" w:eastAsia="宋体" w:cs="宋体"/>
                      <w:spacing w:val="6"/>
                      <w:sz w:val="17"/>
                      <w:szCs w:val="17"/>
                      <w14:textOutline w14:w="3268" w14:cap="sq" w14:cmpd="sng">
                        <w14:solidFill>
                          <w14:srgbClr w14:val="000000"/>
                        </w14:solidFill>
                        <w14:prstDash w14:val="solid"/>
                        <w14:bevel/>
                      </w14:textOutline>
                    </w:rPr>
                    <w:t>流</w:t>
                  </w:r>
                </w:p>
              </w:tc>
              <w:tc>
                <w:tcPr>
                  <w:tcW w:w="789" w:type="dxa"/>
                  <w:tcBorders>
                    <w:top w:val="single" w:color="000000" w:sz="2" w:space="0"/>
                    <w:bottom w:val="single" w:color="000000" w:sz="2" w:space="0"/>
                  </w:tcBorders>
                  <w:vAlign w:val="top"/>
                </w:tcPr>
                <w:p>
                  <w:pPr>
                    <w:spacing w:before="153" w:line="230" w:lineRule="auto"/>
                    <w:ind w:left="38"/>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断面名称</w:t>
                  </w:r>
                </w:p>
              </w:tc>
              <w:tc>
                <w:tcPr>
                  <w:tcW w:w="1540" w:type="dxa"/>
                  <w:tcBorders>
                    <w:top w:val="single" w:color="000000" w:sz="2" w:space="0"/>
                    <w:bottom w:val="single" w:color="000000" w:sz="2" w:space="0"/>
                  </w:tcBorders>
                  <w:vAlign w:val="top"/>
                </w:tcPr>
                <w:p>
                  <w:pPr>
                    <w:spacing w:before="153" w:line="230" w:lineRule="auto"/>
                    <w:ind w:left="415"/>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断面属性</w:t>
                  </w:r>
                </w:p>
              </w:tc>
              <w:tc>
                <w:tcPr>
                  <w:tcW w:w="1158" w:type="dxa"/>
                  <w:tcBorders>
                    <w:top w:val="single" w:color="000000" w:sz="2" w:space="0"/>
                    <w:bottom w:val="single" w:color="000000" w:sz="2" w:space="0"/>
                  </w:tcBorders>
                  <w:vAlign w:val="top"/>
                </w:tcPr>
                <w:p>
                  <w:pPr>
                    <w:spacing w:before="153" w:line="230" w:lineRule="auto"/>
                    <w:ind w:left="227"/>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断面性质</w:t>
                  </w:r>
                </w:p>
              </w:tc>
              <w:tc>
                <w:tcPr>
                  <w:tcW w:w="507" w:type="dxa"/>
                  <w:tcBorders>
                    <w:top w:val="single" w:color="000000" w:sz="2" w:space="0"/>
                    <w:bottom w:val="single" w:color="000000" w:sz="2" w:space="0"/>
                  </w:tcBorders>
                  <w:vAlign w:val="top"/>
                </w:tcPr>
                <w:p>
                  <w:pPr>
                    <w:spacing w:before="39" w:line="241" w:lineRule="auto"/>
                    <w:ind w:left="94" w:right="66" w:hanging="16"/>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上</w:t>
                  </w:r>
                  <w:r>
                    <w:rPr>
                      <w:rFonts w:ascii="宋体" w:hAnsi="宋体" w:eastAsia="宋体" w:cs="宋体"/>
                      <w:spacing w:val="5"/>
                      <w:sz w:val="17"/>
                      <w:szCs w:val="17"/>
                      <w14:textOutline w14:w="3268" w14:cap="sq" w14:cmpd="sng">
                        <w14:solidFill>
                          <w14:srgbClr w14:val="000000"/>
                        </w14:solidFill>
                        <w14:prstDash w14:val="solid"/>
                        <w14:bevel/>
                      </w14:textOutline>
                    </w:rPr>
                    <w:t>年</w:t>
                  </w:r>
                  <w:r>
                    <w:rPr>
                      <w:rFonts w:ascii="宋体" w:hAnsi="宋体" w:eastAsia="宋体" w:cs="宋体"/>
                      <w:sz w:val="17"/>
                      <w:szCs w:val="17"/>
                    </w:rPr>
                    <w:t xml:space="preserve"> </w:t>
                  </w:r>
                  <w:r>
                    <w:rPr>
                      <w:rFonts w:ascii="宋体" w:hAnsi="宋体" w:eastAsia="宋体" w:cs="宋体"/>
                      <w:spacing w:val="-3"/>
                      <w:sz w:val="17"/>
                      <w:szCs w:val="17"/>
                      <w14:textOutline w14:w="3268" w14:cap="sq" w14:cmpd="sng">
                        <w14:solidFill>
                          <w14:srgbClr w14:val="000000"/>
                        </w14:solidFill>
                        <w14:prstDash w14:val="solid"/>
                        <w14:bevel/>
                      </w14:textOutline>
                    </w:rPr>
                    <w:t>同</w:t>
                  </w:r>
                  <w:r>
                    <w:rPr>
                      <w:rFonts w:ascii="宋体" w:hAnsi="宋体" w:eastAsia="宋体" w:cs="宋体"/>
                      <w:spacing w:val="-2"/>
                      <w:sz w:val="17"/>
                      <w:szCs w:val="17"/>
                      <w14:textOutline w14:w="3268" w14:cap="sq" w14:cmpd="sng">
                        <w14:solidFill>
                          <w14:srgbClr w14:val="000000"/>
                        </w14:solidFill>
                        <w14:prstDash w14:val="solid"/>
                        <w14:bevel/>
                      </w14:textOutline>
                    </w:rPr>
                    <w:t>期</w:t>
                  </w:r>
                </w:p>
              </w:tc>
              <w:tc>
                <w:tcPr>
                  <w:tcW w:w="601" w:type="dxa"/>
                  <w:tcBorders>
                    <w:top w:val="single" w:color="000000" w:sz="2" w:space="0"/>
                    <w:bottom w:val="single" w:color="000000" w:sz="2" w:space="0"/>
                  </w:tcBorders>
                  <w:vAlign w:val="top"/>
                </w:tcPr>
                <w:p>
                  <w:pPr>
                    <w:spacing w:before="39" w:line="241" w:lineRule="auto"/>
                    <w:ind w:left="124" w:right="113" w:firstLine="1"/>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上</w:t>
                  </w:r>
                  <w:r>
                    <w:rPr>
                      <w:rFonts w:ascii="宋体" w:hAnsi="宋体" w:eastAsia="宋体" w:cs="宋体"/>
                      <w:spacing w:val="5"/>
                      <w:sz w:val="17"/>
                      <w:szCs w:val="17"/>
                      <w14:textOutline w14:w="3268" w14:cap="sq" w14:cmpd="sng">
                        <w14:solidFill>
                          <w14:srgbClr w14:val="000000"/>
                        </w14:solidFill>
                        <w14:prstDash w14:val="solid"/>
                        <w14:bevel/>
                      </w14:textOutline>
                    </w:rPr>
                    <w:t>月</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类别</w:t>
                  </w:r>
                </w:p>
              </w:tc>
              <w:tc>
                <w:tcPr>
                  <w:tcW w:w="606" w:type="dxa"/>
                  <w:tcBorders>
                    <w:top w:val="single" w:color="000000" w:sz="2" w:space="0"/>
                    <w:bottom w:val="single" w:color="000000" w:sz="2" w:space="0"/>
                  </w:tcBorders>
                  <w:vAlign w:val="top"/>
                </w:tcPr>
                <w:p>
                  <w:pPr>
                    <w:spacing w:before="39" w:line="241" w:lineRule="auto"/>
                    <w:ind w:left="128" w:right="114"/>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本月</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类别</w:t>
                  </w:r>
                </w:p>
              </w:tc>
              <w:tc>
                <w:tcPr>
                  <w:tcW w:w="1230" w:type="dxa"/>
                  <w:tcBorders>
                    <w:top w:val="single" w:color="000000" w:sz="2" w:space="0"/>
                    <w:bottom w:val="single" w:color="000000" w:sz="2" w:space="0"/>
                  </w:tcBorders>
                  <w:vAlign w:val="top"/>
                </w:tcPr>
                <w:p>
                  <w:pPr>
                    <w:spacing w:before="38" w:line="231" w:lineRule="auto"/>
                    <w:ind w:left="78"/>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主要污染指</w:t>
                  </w:r>
                  <w:r>
                    <w:rPr>
                      <w:rFonts w:ascii="宋体" w:hAnsi="宋体" w:eastAsia="宋体" w:cs="宋体"/>
                      <w:spacing w:val="8"/>
                      <w:sz w:val="17"/>
                      <w:szCs w:val="17"/>
                      <w14:textOutline w14:w="3268" w14:cap="sq" w14:cmpd="sng">
                        <w14:solidFill>
                          <w14:srgbClr w14:val="000000"/>
                        </w14:solidFill>
                        <w14:prstDash w14:val="solid"/>
                        <w14:bevel/>
                      </w14:textOutline>
                    </w:rPr>
                    <w:t>标</w:t>
                  </w:r>
                </w:p>
                <w:p>
                  <w:pPr>
                    <w:spacing w:before="20" w:line="230" w:lineRule="auto"/>
                    <w:ind w:left="266"/>
                    <w:rPr>
                      <w:rFonts w:ascii="宋体" w:hAnsi="宋体" w:eastAsia="宋体" w:cs="宋体"/>
                      <w:sz w:val="17"/>
                      <w:szCs w:val="17"/>
                    </w:rPr>
                  </w:pPr>
                  <w:r>
                    <w:rPr>
                      <w:rFonts w:ascii="宋体" w:hAnsi="宋体" w:eastAsia="宋体" w:cs="宋体"/>
                      <w:spacing w:val="25"/>
                      <w:sz w:val="17"/>
                      <w:szCs w:val="17"/>
                      <w14:textOutline w14:w="3268" w14:cap="sq" w14:cmpd="sng">
                        <w14:solidFill>
                          <w14:srgbClr w14:val="000000"/>
                        </w14:solidFill>
                        <w14:prstDash w14:val="solid"/>
                        <w14:bevel/>
                      </w14:textOutline>
                    </w:rPr>
                    <w:t>(类别)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513" w:type="dxa"/>
                  <w:tcBorders>
                    <w:top w:val="single" w:color="000000" w:sz="2" w:space="0"/>
                    <w:bottom w:val="single" w:color="000000" w:sz="2" w:space="0"/>
                  </w:tcBorders>
                  <w:vAlign w:val="top"/>
                </w:tcPr>
                <w:p>
                  <w:pPr>
                    <w:spacing w:before="61" w:line="197" w:lineRule="auto"/>
                    <w:ind w:left="225"/>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452" w:type="dxa"/>
                  <w:vMerge w:val="restart"/>
                  <w:tcBorders>
                    <w:top w:val="single" w:color="000000" w:sz="2" w:space="0"/>
                    <w:bottom w:val="nil"/>
                  </w:tcBorders>
                  <w:vAlign w:val="top"/>
                </w:tcPr>
                <w:p>
                  <w:pPr>
                    <w:spacing w:line="462" w:lineRule="auto"/>
                    <w:rPr>
                      <w:rFonts w:ascii="Arial"/>
                      <w:sz w:val="21"/>
                    </w:rPr>
                  </w:pPr>
                </w:p>
                <w:p>
                  <w:pPr>
                    <w:spacing w:before="55" w:line="267" w:lineRule="auto"/>
                    <w:ind w:left="45" w:right="45" w:hanging="1"/>
                    <w:rPr>
                      <w:rFonts w:ascii="宋体" w:hAnsi="宋体" w:eastAsia="宋体" w:cs="宋体"/>
                      <w:sz w:val="17"/>
                      <w:szCs w:val="17"/>
                    </w:rPr>
                  </w:pPr>
                  <w:r>
                    <w:rPr>
                      <w:rFonts w:ascii="宋体" w:hAnsi="宋体" w:eastAsia="宋体" w:cs="宋体"/>
                      <w:spacing w:val="6"/>
                      <w:sz w:val="17"/>
                      <w:szCs w:val="17"/>
                    </w:rPr>
                    <w:t>州河</w:t>
                  </w:r>
                  <w:r>
                    <w:rPr>
                      <w:rFonts w:ascii="宋体" w:hAnsi="宋体" w:eastAsia="宋体" w:cs="宋体"/>
                      <w:sz w:val="17"/>
                      <w:szCs w:val="17"/>
                    </w:rPr>
                    <w:t xml:space="preserve"> </w:t>
                  </w:r>
                  <w:r>
                    <w:rPr>
                      <w:rFonts w:ascii="宋体" w:hAnsi="宋体" w:eastAsia="宋体" w:cs="宋体"/>
                      <w:spacing w:val="5"/>
                      <w:sz w:val="17"/>
                      <w:szCs w:val="17"/>
                    </w:rPr>
                    <w:t>水系</w:t>
                  </w:r>
                </w:p>
              </w:tc>
              <w:tc>
                <w:tcPr>
                  <w:tcW w:w="463" w:type="dxa"/>
                  <w:vMerge w:val="restart"/>
                  <w:tcBorders>
                    <w:top w:val="single" w:color="000000" w:sz="2" w:space="0"/>
                    <w:bottom w:val="nil"/>
                  </w:tcBorders>
                  <w:vAlign w:val="top"/>
                </w:tcPr>
                <w:p>
                  <w:pPr>
                    <w:spacing w:line="288" w:lineRule="auto"/>
                    <w:rPr>
                      <w:rFonts w:ascii="Arial"/>
                      <w:sz w:val="21"/>
                    </w:rPr>
                  </w:pPr>
                </w:p>
                <w:p>
                  <w:pPr>
                    <w:spacing w:line="288" w:lineRule="auto"/>
                    <w:rPr>
                      <w:rFonts w:ascii="Arial"/>
                      <w:sz w:val="21"/>
                    </w:rPr>
                  </w:pPr>
                </w:p>
                <w:p>
                  <w:pPr>
                    <w:spacing w:before="56" w:line="229" w:lineRule="auto"/>
                    <w:ind w:left="49"/>
                    <w:rPr>
                      <w:rFonts w:ascii="宋体" w:hAnsi="宋体" w:eastAsia="宋体" w:cs="宋体"/>
                      <w:sz w:val="17"/>
                      <w:szCs w:val="17"/>
                    </w:rPr>
                  </w:pPr>
                  <w:r>
                    <w:rPr>
                      <w:rFonts w:ascii="宋体" w:hAnsi="宋体" w:eastAsia="宋体" w:cs="宋体"/>
                      <w:spacing w:val="7"/>
                      <w:sz w:val="17"/>
                      <w:szCs w:val="17"/>
                    </w:rPr>
                    <w:t>干</w:t>
                  </w:r>
                  <w:r>
                    <w:rPr>
                      <w:rFonts w:ascii="宋体" w:hAnsi="宋体" w:eastAsia="宋体" w:cs="宋体"/>
                      <w:spacing w:val="6"/>
                      <w:sz w:val="17"/>
                      <w:szCs w:val="17"/>
                    </w:rPr>
                    <w:t>流</w:t>
                  </w:r>
                </w:p>
              </w:tc>
              <w:tc>
                <w:tcPr>
                  <w:tcW w:w="789" w:type="dxa"/>
                  <w:tcBorders>
                    <w:top w:val="single" w:color="000000" w:sz="2" w:space="0"/>
                    <w:bottom w:val="single" w:color="000000" w:sz="2" w:space="0"/>
                  </w:tcBorders>
                  <w:vAlign w:val="top"/>
                </w:tcPr>
                <w:p>
                  <w:pPr>
                    <w:spacing w:before="30" w:line="229" w:lineRule="auto"/>
                    <w:ind w:left="125"/>
                    <w:rPr>
                      <w:rFonts w:ascii="宋体" w:hAnsi="宋体" w:eastAsia="宋体" w:cs="宋体"/>
                      <w:sz w:val="17"/>
                      <w:szCs w:val="17"/>
                    </w:rPr>
                  </w:pPr>
                  <w:r>
                    <w:rPr>
                      <w:rFonts w:ascii="宋体" w:hAnsi="宋体" w:eastAsia="宋体" w:cs="宋体"/>
                      <w:spacing w:val="8"/>
                      <w:sz w:val="17"/>
                      <w:szCs w:val="17"/>
                    </w:rPr>
                    <w:t>舵</w:t>
                  </w:r>
                  <w:r>
                    <w:rPr>
                      <w:rFonts w:ascii="宋体" w:hAnsi="宋体" w:eastAsia="宋体" w:cs="宋体"/>
                      <w:spacing w:val="7"/>
                      <w:sz w:val="17"/>
                      <w:szCs w:val="17"/>
                    </w:rPr>
                    <w:t>盘石</w:t>
                  </w:r>
                </w:p>
              </w:tc>
              <w:tc>
                <w:tcPr>
                  <w:tcW w:w="1540" w:type="dxa"/>
                  <w:tcBorders>
                    <w:top w:val="single" w:color="000000" w:sz="2" w:space="0"/>
                    <w:bottom w:val="single" w:color="000000" w:sz="2" w:space="0"/>
                  </w:tcBorders>
                  <w:vAlign w:val="top"/>
                </w:tcPr>
                <w:p>
                  <w:pPr>
                    <w:spacing w:before="30" w:line="230" w:lineRule="auto"/>
                    <w:ind w:left="411"/>
                    <w:rPr>
                      <w:rFonts w:ascii="宋体" w:hAnsi="宋体" w:eastAsia="宋体" w:cs="宋体"/>
                      <w:sz w:val="17"/>
                      <w:szCs w:val="17"/>
                    </w:rPr>
                  </w:pPr>
                  <w:r>
                    <w:rPr>
                      <w:rFonts w:ascii="宋体" w:hAnsi="宋体" w:eastAsia="宋体" w:cs="宋体"/>
                      <w:spacing w:val="8"/>
                      <w:sz w:val="17"/>
                      <w:szCs w:val="17"/>
                    </w:rPr>
                    <w:t>渠县境内</w:t>
                  </w:r>
                </w:p>
              </w:tc>
              <w:tc>
                <w:tcPr>
                  <w:tcW w:w="1158" w:type="dxa"/>
                  <w:tcBorders>
                    <w:top w:val="single" w:color="000000" w:sz="2" w:space="0"/>
                    <w:bottom w:val="single" w:color="000000" w:sz="2" w:space="0"/>
                  </w:tcBorders>
                  <w:vAlign w:val="top"/>
                </w:tcPr>
                <w:p>
                  <w:pPr>
                    <w:spacing w:before="30" w:line="230" w:lineRule="auto"/>
                    <w:ind w:left="417"/>
                    <w:rPr>
                      <w:rFonts w:ascii="宋体" w:hAnsi="宋体" w:eastAsia="宋体" w:cs="宋体"/>
                      <w:sz w:val="17"/>
                      <w:szCs w:val="17"/>
                    </w:rPr>
                  </w:pPr>
                  <w:r>
                    <w:rPr>
                      <w:rFonts w:ascii="宋体" w:hAnsi="宋体" w:eastAsia="宋体" w:cs="宋体"/>
                      <w:spacing w:val="-3"/>
                      <w:sz w:val="17"/>
                      <w:szCs w:val="17"/>
                    </w:rPr>
                    <w:t>国</w:t>
                  </w:r>
                  <w:r>
                    <w:rPr>
                      <w:rFonts w:ascii="宋体" w:hAnsi="宋体" w:eastAsia="宋体" w:cs="宋体"/>
                      <w:spacing w:val="-2"/>
                      <w:sz w:val="17"/>
                      <w:szCs w:val="17"/>
                    </w:rPr>
                    <w:t>考</w:t>
                  </w:r>
                </w:p>
              </w:tc>
              <w:tc>
                <w:tcPr>
                  <w:tcW w:w="507" w:type="dxa"/>
                  <w:tcBorders>
                    <w:top w:val="single" w:color="000000" w:sz="2" w:space="0"/>
                    <w:bottom w:val="single" w:color="000000" w:sz="2" w:space="0"/>
                  </w:tcBorders>
                  <w:vAlign w:val="top"/>
                </w:tcPr>
                <w:p>
                  <w:pPr>
                    <w:spacing w:before="63" w:line="194" w:lineRule="auto"/>
                    <w:ind w:left="16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II</w:t>
                  </w:r>
                  <w:r>
                    <w:rPr>
                      <w:rFonts w:ascii="Times New Roman" w:hAnsi="Times New Roman" w:eastAsia="Times New Roman" w:cs="Times New Roman"/>
                      <w:spacing w:val="1"/>
                      <w:sz w:val="17"/>
                      <w:szCs w:val="17"/>
                    </w:rPr>
                    <w:t>I</w:t>
                  </w:r>
                </w:p>
              </w:tc>
              <w:tc>
                <w:tcPr>
                  <w:tcW w:w="601" w:type="dxa"/>
                  <w:tcBorders>
                    <w:top w:val="single" w:color="000000" w:sz="2" w:space="0"/>
                    <w:bottom w:val="single" w:color="000000" w:sz="2" w:space="0"/>
                  </w:tcBorders>
                  <w:vAlign w:val="top"/>
                </w:tcPr>
                <w:p>
                  <w:pPr>
                    <w:spacing w:before="63" w:line="194" w:lineRule="auto"/>
                    <w:ind w:left="24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Ⅱ</w:t>
                  </w:r>
                </w:p>
              </w:tc>
              <w:tc>
                <w:tcPr>
                  <w:tcW w:w="606" w:type="dxa"/>
                  <w:tcBorders>
                    <w:top w:val="single" w:color="000000" w:sz="2" w:space="0"/>
                    <w:bottom w:val="single" w:color="000000" w:sz="2" w:space="0"/>
                  </w:tcBorders>
                  <w:vAlign w:val="top"/>
                </w:tcPr>
                <w:p>
                  <w:pPr>
                    <w:spacing w:before="63" w:line="194" w:lineRule="auto"/>
                    <w:ind w:left="248"/>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Ⅱ</w:t>
                  </w:r>
                </w:p>
              </w:tc>
              <w:tc>
                <w:tcPr>
                  <w:tcW w:w="1230" w:type="dxa"/>
                  <w:tcBorders>
                    <w:top w:val="single" w:color="000000" w:sz="2" w:space="0"/>
                    <w:bottom w:val="single" w:color="000000" w:sz="2" w:space="0"/>
                  </w:tcBorders>
                  <w:vAlign w:val="top"/>
                </w:tcPr>
                <w:p>
                  <w:pPr>
                    <w:spacing w:line="240" w:lineRule="exact"/>
                    <w:ind w:left="58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 w:hRule="atLeast"/>
              </w:trPr>
              <w:tc>
                <w:tcPr>
                  <w:tcW w:w="513" w:type="dxa"/>
                  <w:tcBorders>
                    <w:top w:val="single" w:color="000000" w:sz="2" w:space="0"/>
                    <w:bottom w:val="single" w:color="000000" w:sz="2" w:space="0"/>
                  </w:tcBorders>
                  <w:vAlign w:val="top"/>
                </w:tcPr>
                <w:p>
                  <w:pPr>
                    <w:spacing w:before="61" w:line="197" w:lineRule="auto"/>
                    <w:ind w:left="208"/>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452" w:type="dxa"/>
                  <w:vMerge w:val="continue"/>
                  <w:tcBorders>
                    <w:top w:val="nil"/>
                    <w:bottom w:val="nil"/>
                  </w:tcBorders>
                  <w:vAlign w:val="top"/>
                </w:tcPr>
                <w:p>
                  <w:pPr>
                    <w:rPr>
                      <w:rFonts w:ascii="Arial"/>
                      <w:sz w:val="21"/>
                    </w:rPr>
                  </w:pPr>
                </w:p>
              </w:tc>
              <w:tc>
                <w:tcPr>
                  <w:tcW w:w="463" w:type="dxa"/>
                  <w:vMerge w:val="continue"/>
                  <w:tcBorders>
                    <w:top w:val="nil"/>
                    <w:bottom w:val="nil"/>
                  </w:tcBorders>
                  <w:vAlign w:val="top"/>
                </w:tcPr>
                <w:p>
                  <w:pPr>
                    <w:rPr>
                      <w:rFonts w:ascii="Arial"/>
                      <w:sz w:val="21"/>
                    </w:rPr>
                  </w:pPr>
                </w:p>
              </w:tc>
              <w:tc>
                <w:tcPr>
                  <w:tcW w:w="789" w:type="dxa"/>
                  <w:tcBorders>
                    <w:top w:val="single" w:color="000000" w:sz="2" w:space="0"/>
                    <w:bottom w:val="single" w:color="000000" w:sz="2" w:space="0"/>
                  </w:tcBorders>
                  <w:vAlign w:val="top"/>
                </w:tcPr>
                <w:p>
                  <w:pPr>
                    <w:spacing w:before="33" w:line="228" w:lineRule="auto"/>
                    <w:ind w:left="126"/>
                    <w:rPr>
                      <w:rFonts w:ascii="宋体" w:hAnsi="宋体" w:eastAsia="宋体" w:cs="宋体"/>
                      <w:sz w:val="17"/>
                      <w:szCs w:val="17"/>
                    </w:rPr>
                  </w:pPr>
                  <w:r>
                    <w:rPr>
                      <w:rFonts w:ascii="宋体" w:hAnsi="宋体" w:eastAsia="宋体" w:cs="宋体"/>
                      <w:spacing w:val="7"/>
                      <w:sz w:val="17"/>
                      <w:szCs w:val="17"/>
                    </w:rPr>
                    <w:t>车家河</w:t>
                  </w:r>
                </w:p>
              </w:tc>
              <w:tc>
                <w:tcPr>
                  <w:tcW w:w="1540" w:type="dxa"/>
                  <w:tcBorders>
                    <w:top w:val="single" w:color="000000" w:sz="2" w:space="0"/>
                    <w:bottom w:val="single" w:color="000000" w:sz="2" w:space="0"/>
                  </w:tcBorders>
                  <w:vAlign w:val="top"/>
                </w:tcPr>
                <w:p>
                  <w:pPr>
                    <w:spacing w:before="33" w:line="228" w:lineRule="auto"/>
                    <w:ind w:left="504"/>
                    <w:rPr>
                      <w:rFonts w:ascii="宋体" w:hAnsi="宋体" w:eastAsia="宋体" w:cs="宋体"/>
                      <w:sz w:val="17"/>
                      <w:szCs w:val="17"/>
                    </w:rPr>
                  </w:pPr>
                  <w:r>
                    <w:rPr>
                      <w:rFonts w:ascii="宋体" w:hAnsi="宋体" w:eastAsia="宋体" w:cs="宋体"/>
                      <w:spacing w:val="6"/>
                      <w:sz w:val="17"/>
                      <w:szCs w:val="17"/>
                    </w:rPr>
                    <w:t>市城区</w:t>
                  </w:r>
                </w:p>
              </w:tc>
              <w:tc>
                <w:tcPr>
                  <w:tcW w:w="1158" w:type="dxa"/>
                  <w:tcBorders>
                    <w:top w:val="single" w:color="000000" w:sz="2" w:space="0"/>
                    <w:bottom w:val="single" w:color="000000" w:sz="2" w:space="0"/>
                  </w:tcBorders>
                  <w:vAlign w:val="top"/>
                </w:tcPr>
                <w:p>
                  <w:pPr>
                    <w:spacing w:before="33" w:line="228" w:lineRule="auto"/>
                    <w:ind w:left="417"/>
                    <w:rPr>
                      <w:rFonts w:ascii="宋体" w:hAnsi="宋体" w:eastAsia="宋体" w:cs="宋体"/>
                      <w:sz w:val="17"/>
                      <w:szCs w:val="17"/>
                    </w:rPr>
                  </w:pPr>
                  <w:r>
                    <w:rPr>
                      <w:rFonts w:ascii="宋体" w:hAnsi="宋体" w:eastAsia="宋体" w:cs="宋体"/>
                      <w:spacing w:val="-3"/>
                      <w:sz w:val="17"/>
                      <w:szCs w:val="17"/>
                    </w:rPr>
                    <w:t>国</w:t>
                  </w:r>
                  <w:r>
                    <w:rPr>
                      <w:rFonts w:ascii="宋体" w:hAnsi="宋体" w:eastAsia="宋体" w:cs="宋体"/>
                      <w:spacing w:val="-2"/>
                      <w:sz w:val="17"/>
                      <w:szCs w:val="17"/>
                    </w:rPr>
                    <w:t>考</w:t>
                  </w:r>
                </w:p>
              </w:tc>
              <w:tc>
                <w:tcPr>
                  <w:tcW w:w="507" w:type="dxa"/>
                  <w:tcBorders>
                    <w:top w:val="single" w:color="000000" w:sz="2" w:space="0"/>
                    <w:bottom w:val="single" w:color="000000" w:sz="2" w:space="0"/>
                  </w:tcBorders>
                  <w:vAlign w:val="top"/>
                </w:tcPr>
                <w:p>
                  <w:pPr>
                    <w:spacing w:before="63" w:line="194" w:lineRule="auto"/>
                    <w:ind w:left="19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Ⅱ</w:t>
                  </w:r>
                </w:p>
              </w:tc>
              <w:tc>
                <w:tcPr>
                  <w:tcW w:w="601" w:type="dxa"/>
                  <w:tcBorders>
                    <w:top w:val="single" w:color="000000" w:sz="2" w:space="0"/>
                    <w:bottom w:val="single" w:color="000000" w:sz="2" w:space="0"/>
                  </w:tcBorders>
                  <w:vAlign w:val="top"/>
                </w:tcPr>
                <w:p>
                  <w:pPr>
                    <w:spacing w:before="63" w:line="194" w:lineRule="auto"/>
                    <w:ind w:left="24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Ⅱ</w:t>
                  </w:r>
                </w:p>
              </w:tc>
              <w:tc>
                <w:tcPr>
                  <w:tcW w:w="606" w:type="dxa"/>
                  <w:tcBorders>
                    <w:top w:val="single" w:color="000000" w:sz="2" w:space="0"/>
                    <w:bottom w:val="single" w:color="000000" w:sz="2" w:space="0"/>
                  </w:tcBorders>
                  <w:vAlign w:val="top"/>
                </w:tcPr>
                <w:p>
                  <w:pPr>
                    <w:spacing w:before="63" w:line="194" w:lineRule="auto"/>
                    <w:ind w:left="248"/>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Ⅱ</w:t>
                  </w:r>
                </w:p>
              </w:tc>
              <w:tc>
                <w:tcPr>
                  <w:tcW w:w="1230" w:type="dxa"/>
                  <w:tcBorders>
                    <w:top w:val="single" w:color="000000" w:sz="2" w:space="0"/>
                    <w:bottom w:val="single" w:color="000000" w:sz="2" w:space="0"/>
                  </w:tcBorders>
                  <w:vAlign w:val="top"/>
                </w:tcPr>
                <w:p>
                  <w:pPr>
                    <w:spacing w:line="240" w:lineRule="exact"/>
                    <w:ind w:left="58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513" w:type="dxa"/>
                  <w:tcBorders>
                    <w:top w:val="single" w:color="000000" w:sz="2" w:space="0"/>
                    <w:bottom w:val="single" w:color="000000" w:sz="2" w:space="0"/>
                  </w:tcBorders>
                  <w:vAlign w:val="top"/>
                </w:tcPr>
                <w:p>
                  <w:pPr>
                    <w:spacing w:before="178" w:line="197" w:lineRule="auto"/>
                    <w:ind w:left="211"/>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tc>
              <w:tc>
                <w:tcPr>
                  <w:tcW w:w="452" w:type="dxa"/>
                  <w:vMerge w:val="continue"/>
                  <w:tcBorders>
                    <w:top w:val="nil"/>
                    <w:bottom w:val="nil"/>
                  </w:tcBorders>
                  <w:vAlign w:val="top"/>
                </w:tcPr>
                <w:p>
                  <w:pPr>
                    <w:rPr>
                      <w:rFonts w:ascii="Arial"/>
                      <w:sz w:val="21"/>
                    </w:rPr>
                  </w:pPr>
                </w:p>
              </w:tc>
              <w:tc>
                <w:tcPr>
                  <w:tcW w:w="463" w:type="dxa"/>
                  <w:vMerge w:val="continue"/>
                  <w:tcBorders>
                    <w:top w:val="nil"/>
                    <w:bottom w:val="nil"/>
                  </w:tcBorders>
                  <w:vAlign w:val="top"/>
                </w:tcPr>
                <w:p>
                  <w:pPr>
                    <w:rPr>
                      <w:rFonts w:ascii="Arial"/>
                      <w:sz w:val="21"/>
                    </w:rPr>
                  </w:pPr>
                </w:p>
              </w:tc>
              <w:tc>
                <w:tcPr>
                  <w:tcW w:w="789" w:type="dxa"/>
                  <w:tcBorders>
                    <w:top w:val="single" w:color="000000" w:sz="2" w:space="0"/>
                    <w:bottom w:val="single" w:color="000000" w:sz="2" w:space="0"/>
                  </w:tcBorders>
                  <w:vAlign w:val="top"/>
                </w:tcPr>
                <w:p>
                  <w:pPr>
                    <w:spacing w:before="147" w:line="230" w:lineRule="auto"/>
                    <w:ind w:left="129"/>
                    <w:rPr>
                      <w:rFonts w:ascii="宋体" w:hAnsi="宋体" w:eastAsia="宋体" w:cs="宋体"/>
                      <w:sz w:val="17"/>
                      <w:szCs w:val="17"/>
                    </w:rPr>
                  </w:pPr>
                  <w:r>
                    <w:rPr>
                      <w:rFonts w:ascii="宋体" w:hAnsi="宋体" w:eastAsia="宋体" w:cs="宋体"/>
                      <w:spacing w:val="6"/>
                      <w:sz w:val="17"/>
                      <w:szCs w:val="17"/>
                    </w:rPr>
                    <w:t>张鼓坪</w:t>
                  </w:r>
                </w:p>
              </w:tc>
              <w:tc>
                <w:tcPr>
                  <w:tcW w:w="1540" w:type="dxa"/>
                  <w:tcBorders>
                    <w:top w:val="single" w:color="000000" w:sz="2" w:space="0"/>
                    <w:bottom w:val="single" w:color="000000" w:sz="2" w:space="0"/>
                  </w:tcBorders>
                  <w:vAlign w:val="top"/>
                </w:tcPr>
                <w:p>
                  <w:pPr>
                    <w:spacing w:before="31" w:line="232" w:lineRule="auto"/>
                    <w:ind w:left="591"/>
                    <w:rPr>
                      <w:rFonts w:ascii="宋体" w:hAnsi="宋体" w:eastAsia="宋体" w:cs="宋体"/>
                      <w:sz w:val="17"/>
                      <w:szCs w:val="17"/>
                    </w:rPr>
                  </w:pPr>
                  <w:r>
                    <w:rPr>
                      <w:rFonts w:ascii="宋体" w:hAnsi="宋体" w:eastAsia="宋体" w:cs="宋体"/>
                      <w:spacing w:val="6"/>
                      <w:sz w:val="17"/>
                      <w:szCs w:val="17"/>
                    </w:rPr>
                    <w:t>县界</w:t>
                  </w:r>
                </w:p>
                <w:p>
                  <w:pPr>
                    <w:spacing w:before="19" w:line="229" w:lineRule="auto"/>
                    <w:rPr>
                      <w:rFonts w:ascii="宋体" w:hAnsi="宋体" w:eastAsia="宋体" w:cs="宋体"/>
                      <w:sz w:val="17"/>
                      <w:szCs w:val="17"/>
                    </w:rPr>
                  </w:pPr>
                  <w:r>
                    <w:rPr>
                      <w:rFonts w:ascii="宋体" w:hAnsi="宋体" w:eastAsia="宋体" w:cs="宋体"/>
                      <w:spacing w:val="16"/>
                      <w:sz w:val="17"/>
                      <w:szCs w:val="17"/>
                    </w:rPr>
                    <w:t>(</w:t>
                  </w:r>
                  <w:r>
                    <w:rPr>
                      <w:rFonts w:ascii="宋体" w:hAnsi="宋体" w:eastAsia="宋体" w:cs="宋体"/>
                      <w:spacing w:val="9"/>
                      <w:sz w:val="17"/>
                      <w:szCs w:val="17"/>
                    </w:rPr>
                    <w:t>宣汉县</w:t>
                  </w:r>
                  <w:r>
                    <w:rPr>
                      <w:rFonts w:ascii="Times New Roman" w:hAnsi="Times New Roman" w:eastAsia="Times New Roman" w:cs="Times New Roman"/>
                      <w:spacing w:val="9"/>
                      <w:sz w:val="17"/>
                      <w:szCs w:val="17"/>
                    </w:rPr>
                    <w:t>→</w:t>
                  </w:r>
                  <w:r>
                    <w:rPr>
                      <w:rFonts w:ascii="宋体" w:hAnsi="宋体" w:eastAsia="宋体" w:cs="宋体"/>
                      <w:spacing w:val="9"/>
                      <w:sz w:val="17"/>
                      <w:szCs w:val="17"/>
                    </w:rPr>
                    <w:t>通川区)</w:t>
                  </w:r>
                </w:p>
              </w:tc>
              <w:tc>
                <w:tcPr>
                  <w:tcW w:w="1158" w:type="dxa"/>
                  <w:tcBorders>
                    <w:top w:val="single" w:color="000000" w:sz="2" w:space="0"/>
                    <w:bottom w:val="single" w:color="000000" w:sz="2" w:space="0"/>
                  </w:tcBorders>
                  <w:vAlign w:val="top"/>
                </w:tcPr>
                <w:p>
                  <w:pPr>
                    <w:spacing w:before="147" w:line="229" w:lineRule="auto"/>
                    <w:ind w:left="42"/>
                    <w:rPr>
                      <w:rFonts w:ascii="宋体" w:hAnsi="宋体" w:eastAsia="宋体" w:cs="宋体"/>
                      <w:sz w:val="17"/>
                      <w:szCs w:val="17"/>
                    </w:rPr>
                  </w:pPr>
                  <w:r>
                    <w:rPr>
                      <w:rFonts w:ascii="宋体" w:hAnsi="宋体" w:eastAsia="宋体" w:cs="宋体"/>
                      <w:spacing w:val="10"/>
                      <w:sz w:val="17"/>
                      <w:szCs w:val="17"/>
                    </w:rPr>
                    <w:t>省</w:t>
                  </w:r>
                  <w:r>
                    <w:rPr>
                      <w:rFonts w:ascii="宋体" w:hAnsi="宋体" w:eastAsia="宋体" w:cs="宋体"/>
                      <w:spacing w:val="8"/>
                      <w:sz w:val="17"/>
                      <w:szCs w:val="17"/>
                    </w:rPr>
                    <w:t>控考核评价</w:t>
                  </w:r>
                </w:p>
              </w:tc>
              <w:tc>
                <w:tcPr>
                  <w:tcW w:w="507" w:type="dxa"/>
                  <w:tcBorders>
                    <w:top w:val="single" w:color="000000" w:sz="2" w:space="0"/>
                    <w:bottom w:val="single" w:color="000000" w:sz="2" w:space="0"/>
                  </w:tcBorders>
                  <w:vAlign w:val="top"/>
                </w:tcPr>
                <w:p>
                  <w:pPr>
                    <w:spacing w:before="180" w:line="194" w:lineRule="auto"/>
                    <w:ind w:left="19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Ⅱ</w:t>
                  </w:r>
                </w:p>
              </w:tc>
              <w:tc>
                <w:tcPr>
                  <w:tcW w:w="601" w:type="dxa"/>
                  <w:tcBorders>
                    <w:top w:val="single" w:color="000000" w:sz="2" w:space="0"/>
                    <w:bottom w:val="single" w:color="000000" w:sz="2" w:space="0"/>
                  </w:tcBorders>
                  <w:vAlign w:val="top"/>
                </w:tcPr>
                <w:p>
                  <w:pPr>
                    <w:spacing w:before="180" w:line="194" w:lineRule="auto"/>
                    <w:ind w:left="21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II</w:t>
                  </w:r>
                  <w:r>
                    <w:rPr>
                      <w:rFonts w:ascii="Times New Roman" w:hAnsi="Times New Roman" w:eastAsia="Times New Roman" w:cs="Times New Roman"/>
                      <w:spacing w:val="1"/>
                      <w:sz w:val="17"/>
                      <w:szCs w:val="17"/>
                    </w:rPr>
                    <w:t>I</w:t>
                  </w:r>
                </w:p>
              </w:tc>
              <w:tc>
                <w:tcPr>
                  <w:tcW w:w="606" w:type="dxa"/>
                  <w:tcBorders>
                    <w:top w:val="single" w:color="000000" w:sz="2" w:space="0"/>
                    <w:bottom w:val="single" w:color="000000" w:sz="2" w:space="0"/>
                  </w:tcBorders>
                  <w:vAlign w:val="top"/>
                </w:tcPr>
                <w:p>
                  <w:pPr>
                    <w:spacing w:before="180" w:line="194" w:lineRule="auto"/>
                    <w:ind w:left="248"/>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Ⅱ</w:t>
                  </w:r>
                </w:p>
              </w:tc>
              <w:tc>
                <w:tcPr>
                  <w:tcW w:w="1230" w:type="dxa"/>
                  <w:tcBorders>
                    <w:top w:val="single" w:color="000000" w:sz="2" w:space="0"/>
                    <w:bottom w:val="single" w:color="000000" w:sz="2" w:space="0"/>
                  </w:tcBorders>
                  <w:vAlign w:val="top"/>
                </w:tcPr>
                <w:p>
                  <w:pPr>
                    <w:spacing w:before="114" w:line="243" w:lineRule="exact"/>
                    <w:ind w:left="58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513" w:type="dxa"/>
                  <w:tcBorders>
                    <w:top w:val="single" w:color="000000" w:sz="2" w:space="0"/>
                    <w:bottom w:val="single" w:color="000000" w:sz="2" w:space="0"/>
                  </w:tcBorders>
                  <w:vAlign w:val="top"/>
                </w:tcPr>
                <w:p>
                  <w:pPr>
                    <w:spacing w:before="179" w:line="197" w:lineRule="auto"/>
                    <w:ind w:left="20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452" w:type="dxa"/>
                  <w:vMerge w:val="continue"/>
                  <w:tcBorders>
                    <w:top w:val="nil"/>
                    <w:bottom w:val="single" w:color="000000" w:sz="2" w:space="0"/>
                  </w:tcBorders>
                  <w:vAlign w:val="top"/>
                </w:tcPr>
                <w:p>
                  <w:pPr>
                    <w:rPr>
                      <w:rFonts w:ascii="Arial"/>
                      <w:sz w:val="21"/>
                    </w:rPr>
                  </w:pPr>
                </w:p>
              </w:tc>
              <w:tc>
                <w:tcPr>
                  <w:tcW w:w="463" w:type="dxa"/>
                  <w:vMerge w:val="continue"/>
                  <w:tcBorders>
                    <w:top w:val="nil"/>
                    <w:bottom w:val="single" w:color="000000" w:sz="2" w:space="0"/>
                  </w:tcBorders>
                  <w:vAlign w:val="top"/>
                </w:tcPr>
                <w:p>
                  <w:pPr>
                    <w:rPr>
                      <w:rFonts w:ascii="Arial"/>
                      <w:sz w:val="21"/>
                    </w:rPr>
                  </w:pPr>
                </w:p>
              </w:tc>
              <w:tc>
                <w:tcPr>
                  <w:tcW w:w="789" w:type="dxa"/>
                  <w:tcBorders>
                    <w:top w:val="single" w:color="000000" w:sz="2" w:space="0"/>
                    <w:bottom w:val="single" w:color="000000" w:sz="2" w:space="0"/>
                  </w:tcBorders>
                  <w:vAlign w:val="top"/>
                </w:tcPr>
                <w:p>
                  <w:pPr>
                    <w:spacing w:before="148" w:line="230" w:lineRule="auto"/>
                    <w:ind w:left="151"/>
                    <w:rPr>
                      <w:rFonts w:ascii="宋体" w:hAnsi="宋体" w:eastAsia="宋体" w:cs="宋体"/>
                      <w:sz w:val="17"/>
                      <w:szCs w:val="17"/>
                    </w:rPr>
                  </w:pPr>
                  <w:r>
                    <w:rPr>
                      <w:rFonts w:ascii="宋体" w:hAnsi="宋体" w:eastAsia="宋体" w:cs="宋体"/>
                      <w:spacing w:val="-2"/>
                      <w:sz w:val="17"/>
                      <w:szCs w:val="17"/>
                    </w:rPr>
                    <w:t>白</w:t>
                  </w:r>
                  <w:r>
                    <w:rPr>
                      <w:rFonts w:ascii="宋体" w:hAnsi="宋体" w:eastAsia="宋体" w:cs="宋体"/>
                      <w:spacing w:val="-1"/>
                      <w:sz w:val="17"/>
                      <w:szCs w:val="17"/>
                    </w:rPr>
                    <w:t>鹤山</w:t>
                  </w:r>
                </w:p>
              </w:tc>
              <w:tc>
                <w:tcPr>
                  <w:tcW w:w="1540" w:type="dxa"/>
                  <w:tcBorders>
                    <w:top w:val="single" w:color="000000" w:sz="2" w:space="0"/>
                    <w:bottom w:val="single" w:color="000000" w:sz="2" w:space="0"/>
                  </w:tcBorders>
                  <w:vAlign w:val="top"/>
                </w:tcPr>
                <w:p>
                  <w:pPr>
                    <w:spacing w:before="33" w:line="218" w:lineRule="auto"/>
                    <w:ind w:left="591"/>
                    <w:rPr>
                      <w:rFonts w:ascii="宋体" w:hAnsi="宋体" w:eastAsia="宋体" w:cs="宋体"/>
                      <w:sz w:val="17"/>
                      <w:szCs w:val="17"/>
                    </w:rPr>
                  </w:pPr>
                  <w:r>
                    <w:rPr>
                      <w:rFonts w:ascii="宋体" w:hAnsi="宋体" w:eastAsia="宋体" w:cs="宋体"/>
                      <w:spacing w:val="6"/>
                      <w:sz w:val="17"/>
                      <w:szCs w:val="17"/>
                    </w:rPr>
                    <w:t>县界</w:t>
                  </w:r>
                </w:p>
                <w:p>
                  <w:pPr>
                    <w:spacing w:line="242" w:lineRule="exact"/>
                    <w:ind w:left="171"/>
                    <w:rPr>
                      <w:rFonts w:ascii="Times New Roman" w:hAnsi="Times New Roman" w:eastAsia="Times New Roman" w:cs="Times New Roman"/>
                      <w:sz w:val="17"/>
                      <w:szCs w:val="17"/>
                    </w:rPr>
                  </w:pPr>
                  <w:r>
                    <w:rPr>
                      <w:rFonts w:ascii="Times New Roman" w:hAnsi="Times New Roman" w:eastAsia="Times New Roman" w:cs="Times New Roman"/>
                      <w:spacing w:val="10"/>
                      <w:position w:val="2"/>
                      <w:sz w:val="17"/>
                      <w:szCs w:val="17"/>
                    </w:rPr>
                    <w:t>(</w:t>
                  </w:r>
                  <w:r>
                    <w:rPr>
                      <w:rFonts w:ascii="宋体" w:hAnsi="宋体" w:eastAsia="宋体" w:cs="宋体"/>
                      <w:spacing w:val="7"/>
                      <w:position w:val="2"/>
                      <w:sz w:val="17"/>
                      <w:szCs w:val="17"/>
                    </w:rPr>
                    <w:t>达川区</w:t>
                  </w:r>
                  <w:r>
                    <w:rPr>
                      <w:rFonts w:ascii="Times New Roman" w:hAnsi="Times New Roman" w:eastAsia="Times New Roman" w:cs="Times New Roman"/>
                      <w:spacing w:val="7"/>
                      <w:position w:val="2"/>
                      <w:sz w:val="17"/>
                      <w:szCs w:val="17"/>
                    </w:rPr>
                    <w:t>→</w:t>
                  </w:r>
                  <w:r>
                    <w:rPr>
                      <w:rFonts w:ascii="宋体" w:hAnsi="宋体" w:eastAsia="宋体" w:cs="宋体"/>
                      <w:spacing w:val="7"/>
                      <w:position w:val="2"/>
                      <w:sz w:val="17"/>
                      <w:szCs w:val="17"/>
                    </w:rPr>
                    <w:t>渠县</w:t>
                  </w:r>
                  <w:r>
                    <w:rPr>
                      <w:rFonts w:ascii="Times New Roman" w:hAnsi="Times New Roman" w:eastAsia="Times New Roman" w:cs="Times New Roman"/>
                      <w:spacing w:val="7"/>
                      <w:position w:val="2"/>
                      <w:sz w:val="17"/>
                      <w:szCs w:val="17"/>
                    </w:rPr>
                    <w:t>)</w:t>
                  </w:r>
                </w:p>
              </w:tc>
              <w:tc>
                <w:tcPr>
                  <w:tcW w:w="1158" w:type="dxa"/>
                  <w:tcBorders>
                    <w:top w:val="single" w:color="000000" w:sz="2" w:space="0"/>
                    <w:bottom w:val="single" w:color="000000" w:sz="2" w:space="0"/>
                  </w:tcBorders>
                  <w:vAlign w:val="top"/>
                </w:tcPr>
                <w:p>
                  <w:pPr>
                    <w:spacing w:before="148" w:line="229" w:lineRule="auto"/>
                    <w:ind w:left="42"/>
                    <w:rPr>
                      <w:rFonts w:ascii="宋体" w:hAnsi="宋体" w:eastAsia="宋体" w:cs="宋体"/>
                      <w:sz w:val="17"/>
                      <w:szCs w:val="17"/>
                    </w:rPr>
                  </w:pPr>
                  <w:r>
                    <w:rPr>
                      <w:rFonts w:ascii="宋体" w:hAnsi="宋体" w:eastAsia="宋体" w:cs="宋体"/>
                      <w:spacing w:val="10"/>
                      <w:sz w:val="17"/>
                      <w:szCs w:val="17"/>
                    </w:rPr>
                    <w:t>省</w:t>
                  </w:r>
                  <w:r>
                    <w:rPr>
                      <w:rFonts w:ascii="宋体" w:hAnsi="宋体" w:eastAsia="宋体" w:cs="宋体"/>
                      <w:spacing w:val="8"/>
                      <w:sz w:val="17"/>
                      <w:szCs w:val="17"/>
                    </w:rPr>
                    <w:t>控考核评价</w:t>
                  </w:r>
                </w:p>
              </w:tc>
              <w:tc>
                <w:tcPr>
                  <w:tcW w:w="507" w:type="dxa"/>
                  <w:tcBorders>
                    <w:top w:val="single" w:color="000000" w:sz="2" w:space="0"/>
                    <w:bottom w:val="single" w:color="000000" w:sz="2" w:space="0"/>
                  </w:tcBorders>
                  <w:vAlign w:val="top"/>
                </w:tcPr>
                <w:p>
                  <w:pPr>
                    <w:spacing w:before="182" w:line="194" w:lineRule="auto"/>
                    <w:ind w:left="16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II</w:t>
                  </w:r>
                  <w:r>
                    <w:rPr>
                      <w:rFonts w:ascii="Times New Roman" w:hAnsi="Times New Roman" w:eastAsia="Times New Roman" w:cs="Times New Roman"/>
                      <w:spacing w:val="1"/>
                      <w:sz w:val="17"/>
                      <w:szCs w:val="17"/>
                    </w:rPr>
                    <w:t>I</w:t>
                  </w:r>
                </w:p>
              </w:tc>
              <w:tc>
                <w:tcPr>
                  <w:tcW w:w="601" w:type="dxa"/>
                  <w:tcBorders>
                    <w:top w:val="single" w:color="000000" w:sz="2" w:space="0"/>
                    <w:bottom w:val="single" w:color="000000" w:sz="2" w:space="0"/>
                  </w:tcBorders>
                  <w:vAlign w:val="top"/>
                </w:tcPr>
                <w:p>
                  <w:pPr>
                    <w:spacing w:before="182" w:line="194" w:lineRule="auto"/>
                    <w:ind w:left="21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II</w:t>
                  </w:r>
                  <w:r>
                    <w:rPr>
                      <w:rFonts w:ascii="Times New Roman" w:hAnsi="Times New Roman" w:eastAsia="Times New Roman" w:cs="Times New Roman"/>
                      <w:spacing w:val="1"/>
                      <w:sz w:val="17"/>
                      <w:szCs w:val="17"/>
                    </w:rPr>
                    <w:t>I</w:t>
                  </w:r>
                </w:p>
              </w:tc>
              <w:tc>
                <w:tcPr>
                  <w:tcW w:w="606" w:type="dxa"/>
                  <w:tcBorders>
                    <w:top w:val="single" w:color="000000" w:sz="2" w:space="0"/>
                    <w:bottom w:val="single" w:color="000000" w:sz="2" w:space="0"/>
                  </w:tcBorders>
                  <w:vAlign w:val="top"/>
                </w:tcPr>
                <w:p>
                  <w:pPr>
                    <w:spacing w:before="182" w:line="194" w:lineRule="auto"/>
                    <w:ind w:left="21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II</w:t>
                  </w:r>
                  <w:r>
                    <w:rPr>
                      <w:rFonts w:ascii="Times New Roman" w:hAnsi="Times New Roman" w:eastAsia="Times New Roman" w:cs="Times New Roman"/>
                      <w:spacing w:val="1"/>
                      <w:sz w:val="17"/>
                      <w:szCs w:val="17"/>
                    </w:rPr>
                    <w:t>I</w:t>
                  </w:r>
                </w:p>
              </w:tc>
              <w:tc>
                <w:tcPr>
                  <w:tcW w:w="1230" w:type="dxa"/>
                  <w:tcBorders>
                    <w:top w:val="single" w:color="000000" w:sz="2" w:space="0"/>
                    <w:bottom w:val="single" w:color="000000" w:sz="2" w:space="0"/>
                  </w:tcBorders>
                  <w:vAlign w:val="top"/>
                </w:tcPr>
                <w:p>
                  <w:pPr>
                    <w:spacing w:before="116" w:line="242" w:lineRule="exact"/>
                    <w:ind w:left="58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r>
          </w:tbl>
          <w:p>
            <w:pPr>
              <w:spacing w:before="140" w:line="369" w:lineRule="auto"/>
              <w:ind w:left="52" w:right="59" w:firstLine="420"/>
              <w:rPr>
                <w:rFonts w:ascii="宋体" w:hAnsi="宋体" w:eastAsia="宋体" w:cs="宋体"/>
                <w:sz w:val="20"/>
                <w:szCs w:val="20"/>
              </w:rPr>
            </w:pPr>
            <w:r>
              <w:rPr>
                <w:rFonts w:ascii="宋体" w:hAnsi="宋体" w:eastAsia="宋体" w:cs="宋体"/>
                <w:spacing w:val="18"/>
                <w:sz w:val="20"/>
                <w:szCs w:val="20"/>
              </w:rPr>
              <w:t>本项</w:t>
            </w:r>
            <w:r>
              <w:rPr>
                <w:rFonts w:ascii="宋体" w:hAnsi="宋体" w:eastAsia="宋体" w:cs="宋体"/>
                <w:spacing w:val="17"/>
                <w:sz w:val="20"/>
                <w:szCs w:val="20"/>
              </w:rPr>
              <w:t>目</w:t>
            </w:r>
            <w:r>
              <w:rPr>
                <w:rFonts w:ascii="宋体" w:hAnsi="宋体" w:eastAsia="宋体" w:cs="宋体"/>
                <w:spacing w:val="9"/>
                <w:sz w:val="20"/>
                <w:szCs w:val="20"/>
              </w:rPr>
              <w:t>附近的地表水体为州河，与项目建设地最近的为州河断面为车家河断面。根据</w:t>
            </w:r>
            <w:r>
              <w:rPr>
                <w:rFonts w:ascii="宋体" w:hAnsi="宋体" w:eastAsia="宋体" w:cs="宋体"/>
                <w:sz w:val="20"/>
                <w:szCs w:val="20"/>
              </w:rPr>
              <w:t xml:space="preserve"> </w:t>
            </w:r>
            <w:r>
              <w:rPr>
                <w:rFonts w:ascii="宋体" w:hAnsi="宋体" w:eastAsia="宋体" w:cs="宋体"/>
                <w:spacing w:val="18"/>
                <w:sz w:val="20"/>
                <w:szCs w:val="20"/>
              </w:rPr>
              <w:t>上表例</w:t>
            </w:r>
            <w:r>
              <w:rPr>
                <w:rFonts w:ascii="宋体" w:hAnsi="宋体" w:eastAsia="宋体" w:cs="宋体"/>
                <w:spacing w:val="11"/>
                <w:sz w:val="20"/>
                <w:szCs w:val="20"/>
              </w:rPr>
              <w:t>行</w:t>
            </w:r>
            <w:r>
              <w:rPr>
                <w:rFonts w:ascii="宋体" w:hAnsi="宋体" w:eastAsia="宋体" w:cs="宋体"/>
                <w:spacing w:val="9"/>
                <w:sz w:val="20"/>
                <w:szCs w:val="20"/>
              </w:rPr>
              <w:t>监测数据表明：项目所属州河水系车家河监测断面水质能够满足《地表水环境质</w:t>
            </w:r>
            <w:r>
              <w:rPr>
                <w:rFonts w:ascii="宋体" w:hAnsi="宋体" w:eastAsia="宋体" w:cs="宋体"/>
                <w:sz w:val="20"/>
                <w:szCs w:val="20"/>
              </w:rPr>
              <w:t xml:space="preserve"> </w:t>
            </w:r>
            <w:r>
              <w:rPr>
                <w:rFonts w:ascii="宋体" w:hAnsi="宋体" w:eastAsia="宋体" w:cs="宋体"/>
                <w:spacing w:val="6"/>
                <w:sz w:val="20"/>
                <w:szCs w:val="20"/>
              </w:rPr>
              <w:t>量标</w:t>
            </w:r>
            <w:r>
              <w:rPr>
                <w:rFonts w:ascii="宋体" w:hAnsi="宋体" w:eastAsia="宋体" w:cs="宋体"/>
                <w:spacing w:val="4"/>
                <w:sz w:val="20"/>
                <w:szCs w:val="20"/>
              </w:rPr>
              <w:t>准</w:t>
            </w:r>
            <w:r>
              <w:rPr>
                <w:rFonts w:ascii="宋体" w:hAnsi="宋体" w:eastAsia="宋体" w:cs="宋体"/>
                <w:spacing w:val="3"/>
                <w:sz w:val="20"/>
                <w:szCs w:val="20"/>
              </w:rPr>
              <w:t>》  (</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3838-2002</w:t>
            </w:r>
            <w:r>
              <w:rPr>
                <w:rFonts w:ascii="宋体" w:hAnsi="宋体" w:eastAsia="宋体" w:cs="宋体"/>
                <w:spacing w:val="3"/>
                <w:sz w:val="20"/>
                <w:szCs w:val="20"/>
              </w:rPr>
              <w:t xml:space="preserve">) </w:t>
            </w:r>
            <w:r>
              <w:rPr>
                <w:rFonts w:ascii="Times New Roman" w:hAnsi="Times New Roman" w:eastAsia="Times New Roman" w:cs="Times New Roman"/>
                <w:spacing w:val="3"/>
                <w:sz w:val="20"/>
                <w:szCs w:val="20"/>
              </w:rPr>
              <w:t>Ⅲ</w:t>
            </w:r>
            <w:r>
              <w:rPr>
                <w:rFonts w:ascii="宋体" w:hAnsi="宋体" w:eastAsia="宋体" w:cs="宋体"/>
                <w:spacing w:val="3"/>
                <w:sz w:val="20"/>
                <w:szCs w:val="20"/>
              </w:rPr>
              <w:t>类水域水质标准。</w:t>
            </w:r>
          </w:p>
          <w:p>
            <w:pPr>
              <w:spacing w:before="1" w:line="241" w:lineRule="auto"/>
              <w:ind w:left="106"/>
              <w:rPr>
                <w:rFonts w:ascii="黑体" w:hAnsi="黑体" w:eastAsia="黑体" w:cs="黑体"/>
                <w:sz w:val="20"/>
                <w:szCs w:val="20"/>
              </w:rPr>
            </w:pPr>
            <w:r>
              <w:rPr>
                <w:rFonts w:ascii="Times New Roman" w:hAnsi="Times New Roman" w:eastAsia="Times New Roman" w:cs="Times New Roman"/>
                <w:spacing w:val="7"/>
                <w:sz w:val="20"/>
                <w:szCs w:val="20"/>
              </w:rPr>
              <w:t>6</w:t>
            </w:r>
            <w:r>
              <w:rPr>
                <w:rFonts w:ascii="Times New Roman" w:hAnsi="Times New Roman" w:eastAsia="Times New Roman" w:cs="Times New Roman"/>
                <w:spacing w:val="4"/>
                <w:sz w:val="20"/>
                <w:szCs w:val="20"/>
              </w:rPr>
              <w:t xml:space="preserve"> </w:t>
            </w:r>
            <w:r>
              <w:rPr>
                <w:rFonts w:ascii="黑体" w:hAnsi="黑体" w:eastAsia="黑体" w:cs="黑体"/>
                <w:spacing w:val="4"/>
                <w:sz w:val="20"/>
                <w:szCs w:val="20"/>
              </w:rPr>
              <w:t>、声环境质量现状及评价</w:t>
            </w:r>
          </w:p>
          <w:p>
            <w:pPr>
              <w:spacing w:before="122" w:line="349" w:lineRule="auto"/>
              <w:ind w:left="104" w:right="102" w:firstLine="420"/>
              <w:rPr>
                <w:rFonts w:ascii="宋体" w:hAnsi="宋体" w:eastAsia="宋体" w:cs="宋体"/>
                <w:sz w:val="20"/>
                <w:szCs w:val="20"/>
              </w:rPr>
            </w:pPr>
            <w:r>
              <w:rPr>
                <w:rFonts w:ascii="宋体" w:hAnsi="宋体" w:eastAsia="宋体" w:cs="宋体"/>
                <w:spacing w:val="7"/>
                <w:sz w:val="20"/>
                <w:szCs w:val="20"/>
              </w:rPr>
              <w:t>根据拟建桥梁附近的敏感目标分布情况，本次评价设置了</w:t>
            </w:r>
            <w:r>
              <w:rPr>
                <w:rFonts w:ascii="Times New Roman" w:hAnsi="Times New Roman" w:eastAsia="Times New Roman" w:cs="Times New Roman"/>
                <w:spacing w:val="7"/>
                <w:sz w:val="20"/>
                <w:szCs w:val="20"/>
              </w:rPr>
              <w:t>10</w:t>
            </w:r>
            <w:r>
              <w:rPr>
                <w:rFonts w:ascii="宋体" w:hAnsi="宋体" w:eastAsia="宋体" w:cs="宋体"/>
                <w:spacing w:val="7"/>
                <w:sz w:val="20"/>
                <w:szCs w:val="20"/>
              </w:rPr>
              <w:t>个现状监测点位，达州</w:t>
            </w:r>
            <w:r>
              <w:rPr>
                <w:rFonts w:ascii="宋体" w:hAnsi="宋体" w:eastAsia="宋体" w:cs="宋体"/>
                <w:spacing w:val="5"/>
                <w:sz w:val="20"/>
                <w:szCs w:val="20"/>
              </w:rPr>
              <w:t>恒</w:t>
            </w:r>
            <w:r>
              <w:rPr>
                <w:rFonts w:ascii="宋体" w:hAnsi="宋体" w:eastAsia="宋体" w:cs="宋体"/>
                <w:sz w:val="20"/>
                <w:szCs w:val="20"/>
              </w:rPr>
              <w:t xml:space="preserve"> </w:t>
            </w:r>
            <w:r>
              <w:rPr>
                <w:rFonts w:ascii="宋体" w:hAnsi="宋体" w:eastAsia="宋体" w:cs="宋体"/>
                <w:spacing w:val="20"/>
                <w:sz w:val="20"/>
                <w:szCs w:val="20"/>
              </w:rPr>
              <w:t>福环境</w:t>
            </w:r>
            <w:r>
              <w:rPr>
                <w:rFonts w:ascii="宋体" w:hAnsi="宋体" w:eastAsia="宋体" w:cs="宋体"/>
                <w:spacing w:val="13"/>
                <w:sz w:val="20"/>
                <w:szCs w:val="20"/>
              </w:rPr>
              <w:t>监</w:t>
            </w:r>
            <w:r>
              <w:rPr>
                <w:rFonts w:ascii="宋体" w:hAnsi="宋体" w:eastAsia="宋体" w:cs="宋体"/>
                <w:spacing w:val="10"/>
                <w:sz w:val="20"/>
                <w:szCs w:val="20"/>
              </w:rPr>
              <w:t>测服务有限公司于</w:t>
            </w:r>
            <w:r>
              <w:rPr>
                <w:rFonts w:ascii="Times New Roman" w:hAnsi="Times New Roman" w:eastAsia="Times New Roman" w:cs="Times New Roman"/>
                <w:spacing w:val="10"/>
                <w:sz w:val="20"/>
                <w:szCs w:val="20"/>
              </w:rPr>
              <w:t>2023</w:t>
            </w:r>
            <w:r>
              <w:rPr>
                <w:rFonts w:ascii="宋体" w:hAnsi="宋体" w:eastAsia="宋体" w:cs="宋体"/>
                <w:spacing w:val="10"/>
                <w:sz w:val="20"/>
                <w:szCs w:val="20"/>
              </w:rPr>
              <w:t>年</w:t>
            </w:r>
            <w:r>
              <w:rPr>
                <w:rFonts w:ascii="Times New Roman" w:hAnsi="Times New Roman" w:eastAsia="Times New Roman" w:cs="Times New Roman"/>
                <w:spacing w:val="10"/>
                <w:sz w:val="20"/>
                <w:szCs w:val="20"/>
              </w:rPr>
              <w:t>3</w:t>
            </w:r>
            <w:r>
              <w:rPr>
                <w:rFonts w:ascii="宋体" w:hAnsi="宋体" w:eastAsia="宋体" w:cs="宋体"/>
                <w:spacing w:val="10"/>
                <w:sz w:val="20"/>
                <w:szCs w:val="20"/>
              </w:rPr>
              <w:t>月</w:t>
            </w:r>
            <w:r>
              <w:rPr>
                <w:rFonts w:ascii="Times New Roman" w:hAnsi="Times New Roman" w:eastAsia="Times New Roman" w:cs="Times New Roman"/>
                <w:spacing w:val="10"/>
                <w:sz w:val="20"/>
                <w:szCs w:val="20"/>
              </w:rPr>
              <w:t>30</w:t>
            </w:r>
            <w:r>
              <w:rPr>
                <w:rFonts w:ascii="宋体" w:hAnsi="宋体" w:eastAsia="宋体" w:cs="宋体"/>
                <w:spacing w:val="10"/>
                <w:sz w:val="20"/>
                <w:szCs w:val="20"/>
              </w:rPr>
              <w:t>日至</w:t>
            </w:r>
            <w:r>
              <w:rPr>
                <w:rFonts w:ascii="Times New Roman" w:hAnsi="Times New Roman" w:eastAsia="Times New Roman" w:cs="Times New Roman"/>
                <w:spacing w:val="10"/>
                <w:sz w:val="20"/>
                <w:szCs w:val="20"/>
              </w:rPr>
              <w:t>2023</w:t>
            </w:r>
            <w:r>
              <w:rPr>
                <w:rFonts w:ascii="宋体" w:hAnsi="宋体" w:eastAsia="宋体" w:cs="宋体"/>
                <w:spacing w:val="10"/>
                <w:sz w:val="20"/>
                <w:szCs w:val="20"/>
              </w:rPr>
              <w:t>年</w:t>
            </w:r>
            <w:r>
              <w:rPr>
                <w:rFonts w:ascii="Times New Roman" w:hAnsi="Times New Roman" w:eastAsia="Times New Roman" w:cs="Times New Roman"/>
                <w:spacing w:val="10"/>
                <w:sz w:val="20"/>
                <w:szCs w:val="20"/>
              </w:rPr>
              <w:t>3</w:t>
            </w:r>
            <w:r>
              <w:rPr>
                <w:rFonts w:ascii="宋体" w:hAnsi="宋体" w:eastAsia="宋体" w:cs="宋体"/>
                <w:spacing w:val="10"/>
                <w:sz w:val="20"/>
                <w:szCs w:val="20"/>
              </w:rPr>
              <w:t>月</w:t>
            </w:r>
            <w:r>
              <w:rPr>
                <w:rFonts w:ascii="Times New Roman" w:hAnsi="Times New Roman" w:eastAsia="Times New Roman" w:cs="Times New Roman"/>
                <w:spacing w:val="10"/>
                <w:sz w:val="20"/>
                <w:szCs w:val="20"/>
              </w:rPr>
              <w:t>31</w:t>
            </w:r>
            <w:r>
              <w:rPr>
                <w:rFonts w:ascii="宋体" w:hAnsi="宋体" w:eastAsia="宋体" w:cs="宋体"/>
                <w:spacing w:val="10"/>
                <w:sz w:val="20"/>
                <w:szCs w:val="20"/>
              </w:rPr>
              <w:t>日对项目区域噪声现状及周围</w:t>
            </w:r>
            <w:r>
              <w:rPr>
                <w:rFonts w:ascii="宋体" w:hAnsi="宋体" w:eastAsia="宋体" w:cs="宋体"/>
                <w:sz w:val="20"/>
                <w:szCs w:val="20"/>
              </w:rPr>
              <w:t xml:space="preserve"> </w:t>
            </w:r>
            <w:r>
              <w:rPr>
                <w:rFonts w:ascii="宋体" w:hAnsi="宋体" w:eastAsia="宋体" w:cs="宋体"/>
                <w:spacing w:val="18"/>
                <w:sz w:val="20"/>
                <w:szCs w:val="20"/>
              </w:rPr>
              <w:t>住</w:t>
            </w:r>
            <w:r>
              <w:rPr>
                <w:rFonts w:ascii="宋体" w:hAnsi="宋体" w:eastAsia="宋体" w:cs="宋体"/>
                <w:spacing w:val="15"/>
                <w:sz w:val="20"/>
                <w:szCs w:val="20"/>
              </w:rPr>
              <w:t>户</w:t>
            </w:r>
            <w:r>
              <w:rPr>
                <w:rFonts w:ascii="宋体" w:hAnsi="宋体" w:eastAsia="宋体" w:cs="宋体"/>
                <w:spacing w:val="9"/>
                <w:sz w:val="20"/>
                <w:szCs w:val="20"/>
              </w:rPr>
              <w:t>等敏感目标处的环境噪声现状进行了现场监测，监测点位等信息见下表。</w:t>
            </w:r>
          </w:p>
          <w:p>
            <w:pPr>
              <w:spacing w:line="230" w:lineRule="auto"/>
              <w:ind w:left="2155"/>
              <w:rPr>
                <w:rFonts w:ascii="黑体" w:hAnsi="黑体" w:eastAsia="黑体" w:cs="黑体"/>
                <w:sz w:val="19"/>
                <w:szCs w:val="19"/>
              </w:rPr>
            </w:pPr>
            <w:r>
              <w:rPr>
                <w:rFonts w:ascii="黑体" w:hAnsi="黑体" w:eastAsia="黑体" w:cs="黑体"/>
                <w:spacing w:val="8"/>
                <w:sz w:val="19"/>
                <w:szCs w:val="19"/>
              </w:rPr>
              <w:t>表</w:t>
            </w:r>
            <w:r>
              <w:rPr>
                <w:rFonts w:ascii="Times New Roman" w:hAnsi="Times New Roman" w:eastAsia="Times New Roman" w:cs="Times New Roman"/>
                <w:spacing w:val="8"/>
                <w:sz w:val="19"/>
                <w:szCs w:val="19"/>
              </w:rPr>
              <w:t xml:space="preserve">28    </w:t>
            </w:r>
            <w:r>
              <w:rPr>
                <w:rFonts w:ascii="黑体" w:hAnsi="黑体" w:eastAsia="黑体" w:cs="黑体"/>
                <w:spacing w:val="8"/>
                <w:sz w:val="19"/>
                <w:szCs w:val="19"/>
              </w:rPr>
              <w:t>检测项目、测点布置及检测频率一览</w:t>
            </w:r>
            <w:r>
              <w:rPr>
                <w:rFonts w:ascii="黑体" w:hAnsi="黑体" w:eastAsia="黑体" w:cs="黑体"/>
                <w:spacing w:val="5"/>
                <w:sz w:val="19"/>
                <w:szCs w:val="19"/>
              </w:rPr>
              <w:t>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623" w:type="dxa"/>
            <w:vMerge w:val="continue"/>
            <w:tcBorders>
              <w:top w:val="nil"/>
              <w:left w:val="single" w:color="000000" w:sz="6" w:space="0"/>
              <w:bottom w:val="nil"/>
            </w:tcBorders>
            <w:vAlign w:val="top"/>
          </w:tcPr>
          <w:p>
            <w:pPr>
              <w:rPr>
                <w:rFonts w:ascii="Arial"/>
                <w:sz w:val="21"/>
              </w:rPr>
            </w:pPr>
          </w:p>
        </w:tc>
        <w:tc>
          <w:tcPr>
            <w:tcW w:w="1056" w:type="dxa"/>
            <w:vAlign w:val="top"/>
          </w:tcPr>
          <w:p>
            <w:pPr>
              <w:spacing w:before="79" w:line="230" w:lineRule="auto"/>
              <w:ind w:left="243"/>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检测项</w:t>
            </w:r>
            <w:r>
              <w:rPr>
                <w:rFonts w:ascii="宋体" w:hAnsi="宋体" w:eastAsia="宋体" w:cs="宋体"/>
                <w:spacing w:val="8"/>
                <w:sz w:val="17"/>
                <w:szCs w:val="17"/>
                <w14:textOutline w14:w="3268" w14:cap="sq" w14:cmpd="sng">
                  <w14:solidFill>
                    <w14:srgbClr w14:val="000000"/>
                  </w14:solidFill>
                  <w14:prstDash w14:val="solid"/>
                  <w14:bevel/>
                </w14:textOutline>
              </w:rPr>
              <w:t>目</w:t>
            </w:r>
          </w:p>
        </w:tc>
        <w:tc>
          <w:tcPr>
            <w:tcW w:w="5232" w:type="dxa"/>
            <w:vAlign w:val="top"/>
          </w:tcPr>
          <w:p>
            <w:pPr>
              <w:spacing w:before="79" w:line="230" w:lineRule="auto"/>
              <w:ind w:left="1897"/>
              <w:rPr>
                <w:rFonts w:ascii="宋体" w:hAnsi="宋体" w:eastAsia="宋体" w:cs="宋体"/>
                <w:sz w:val="17"/>
                <w:szCs w:val="17"/>
              </w:rPr>
            </w:pPr>
            <w:r>
              <w:rPr>
                <w:rFonts w:ascii="宋体" w:hAnsi="宋体" w:eastAsia="宋体" w:cs="宋体"/>
                <w:spacing w:val="12"/>
                <w:sz w:val="17"/>
                <w:szCs w:val="17"/>
                <w14:textOutline w14:w="3268" w14:cap="sq" w14:cmpd="sng">
                  <w14:solidFill>
                    <w14:srgbClr w14:val="000000"/>
                  </w14:solidFill>
                  <w14:prstDash w14:val="solid"/>
                  <w14:bevel/>
                </w14:textOutline>
              </w:rPr>
              <w:t>检</w:t>
            </w:r>
            <w:r>
              <w:rPr>
                <w:rFonts w:ascii="宋体" w:hAnsi="宋体" w:eastAsia="宋体" w:cs="宋体"/>
                <w:spacing w:val="9"/>
                <w:sz w:val="17"/>
                <w:szCs w:val="17"/>
                <w14:textOutline w14:w="3268" w14:cap="sq" w14:cmpd="sng">
                  <w14:solidFill>
                    <w14:srgbClr w14:val="000000"/>
                  </w14:solidFill>
                  <w14:prstDash w14:val="solid"/>
                  <w14:bevel/>
                </w14:textOutline>
              </w:rPr>
              <w:t>测点编号及位置</w:t>
            </w:r>
          </w:p>
        </w:tc>
        <w:tc>
          <w:tcPr>
            <w:tcW w:w="908" w:type="dxa"/>
            <w:vAlign w:val="top"/>
          </w:tcPr>
          <w:p>
            <w:pPr>
              <w:spacing w:before="79" w:line="230" w:lineRule="auto"/>
              <w:ind w:left="102"/>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检测因</w:t>
            </w:r>
            <w:r>
              <w:rPr>
                <w:rFonts w:ascii="宋体" w:hAnsi="宋体" w:eastAsia="宋体" w:cs="宋体"/>
                <w:spacing w:val="8"/>
                <w:sz w:val="17"/>
                <w:szCs w:val="17"/>
                <w14:textOutline w14:w="3268" w14:cap="sq" w14:cmpd="sng">
                  <w14:solidFill>
                    <w14:srgbClr w14:val="000000"/>
                  </w14:solidFill>
                  <w14:prstDash w14:val="solid"/>
                  <w14:bevel/>
                </w14:textOutline>
              </w:rPr>
              <w:t>子</w:t>
            </w:r>
          </w:p>
        </w:tc>
        <w:tc>
          <w:tcPr>
            <w:tcW w:w="942" w:type="dxa"/>
            <w:vAlign w:val="top"/>
          </w:tcPr>
          <w:p>
            <w:pPr>
              <w:spacing w:before="79" w:line="230" w:lineRule="auto"/>
              <w:ind w:left="120"/>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检测频</w:t>
            </w:r>
            <w:r>
              <w:rPr>
                <w:rFonts w:ascii="宋体" w:hAnsi="宋体" w:eastAsia="宋体" w:cs="宋体"/>
                <w:spacing w:val="8"/>
                <w:sz w:val="17"/>
                <w:szCs w:val="17"/>
                <w14:textOutline w14:w="3268" w14:cap="sq" w14:cmpd="sng">
                  <w14:solidFill>
                    <w14:srgbClr w14:val="000000"/>
                  </w14:solidFill>
                  <w14:prstDash w14:val="solid"/>
                  <w14:bevel/>
                </w14:textOutline>
              </w:rPr>
              <w:t>率</w:t>
            </w:r>
          </w:p>
        </w:tc>
        <w:tc>
          <w:tcPr>
            <w:tcW w:w="165"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623" w:type="dxa"/>
            <w:vMerge w:val="continue"/>
            <w:tcBorders>
              <w:top w:val="nil"/>
              <w:left w:val="single" w:color="000000" w:sz="6" w:space="0"/>
              <w:bottom w:val="nil"/>
            </w:tcBorders>
            <w:vAlign w:val="top"/>
          </w:tcPr>
          <w:p>
            <w:pPr>
              <w:rPr>
                <w:rFonts w:ascii="Arial"/>
                <w:sz w:val="21"/>
              </w:rPr>
            </w:pPr>
          </w:p>
        </w:tc>
        <w:tc>
          <w:tcPr>
            <w:tcW w:w="1056" w:type="dxa"/>
            <w:vMerge w:val="restart"/>
            <w:tcBorders>
              <w:bottom w:val="nil"/>
            </w:tcBorders>
            <w:vAlign w:val="top"/>
          </w:tcPr>
          <w:p>
            <w:pPr>
              <w:spacing w:before="231" w:line="231" w:lineRule="auto"/>
              <w:ind w:left="247"/>
              <w:rPr>
                <w:rFonts w:ascii="宋体" w:hAnsi="宋体" w:eastAsia="宋体" w:cs="宋体"/>
                <w:sz w:val="17"/>
                <w:szCs w:val="17"/>
              </w:rPr>
            </w:pPr>
            <w:r>
              <w:rPr>
                <w:rFonts w:ascii="宋体" w:hAnsi="宋体" w:eastAsia="宋体" w:cs="宋体"/>
                <w:spacing w:val="8"/>
                <w:sz w:val="17"/>
                <w:szCs w:val="17"/>
              </w:rPr>
              <w:t>交</w:t>
            </w:r>
            <w:r>
              <w:rPr>
                <w:rFonts w:ascii="宋体" w:hAnsi="宋体" w:eastAsia="宋体" w:cs="宋体"/>
                <w:spacing w:val="7"/>
                <w:sz w:val="17"/>
                <w:szCs w:val="17"/>
              </w:rPr>
              <w:t>通噪声</w:t>
            </w:r>
          </w:p>
        </w:tc>
        <w:tc>
          <w:tcPr>
            <w:tcW w:w="5232" w:type="dxa"/>
            <w:vAlign w:val="top"/>
          </w:tcPr>
          <w:p>
            <w:pPr>
              <w:spacing w:before="47" w:line="242" w:lineRule="exact"/>
              <w:ind w:left="1825"/>
              <w:rPr>
                <w:rFonts w:ascii="宋体" w:hAnsi="宋体" w:eastAsia="宋体" w:cs="宋体"/>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8"/>
                <w:position w:val="2"/>
                <w:sz w:val="17"/>
                <w:szCs w:val="17"/>
              </w:rPr>
              <w:t>1</w:t>
            </w:r>
            <w:r>
              <w:rPr>
                <w:rFonts w:ascii="Times New Roman" w:hAnsi="Times New Roman" w:eastAsia="Times New Roman" w:cs="Times New Roman"/>
                <w:spacing w:val="6"/>
                <w:position w:val="2"/>
                <w:sz w:val="17"/>
                <w:szCs w:val="17"/>
              </w:rPr>
              <w:t>#</w:t>
            </w:r>
            <w:r>
              <w:rPr>
                <w:rFonts w:ascii="Times New Roman" w:hAnsi="Times New Roman" w:eastAsia="Times New Roman" w:cs="Times New Roman"/>
                <w:spacing w:val="4"/>
                <w:position w:val="2"/>
                <w:sz w:val="17"/>
                <w:szCs w:val="17"/>
              </w:rPr>
              <w:t xml:space="preserve"> </w:t>
            </w:r>
            <w:r>
              <w:rPr>
                <w:rFonts w:ascii="宋体" w:hAnsi="宋体" w:eastAsia="宋体" w:cs="宋体"/>
                <w:spacing w:val="4"/>
                <w:position w:val="2"/>
                <w:sz w:val="17"/>
                <w:szCs w:val="17"/>
              </w:rPr>
              <w:t>，拟建大桥西端</w:t>
            </w:r>
          </w:p>
        </w:tc>
        <w:tc>
          <w:tcPr>
            <w:tcW w:w="908"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49" w:line="213" w:lineRule="auto"/>
              <w:ind w:left="350"/>
              <w:rPr>
                <w:rFonts w:ascii="Times New Roman" w:hAnsi="Times New Roman" w:eastAsia="Times New Roman" w:cs="Times New Roman"/>
                <w:sz w:val="11"/>
                <w:szCs w:val="11"/>
              </w:rPr>
            </w:pPr>
            <w:r>
              <w:rPr>
                <w:rFonts w:ascii="Times New Roman" w:hAnsi="Times New Roman" w:eastAsia="Times New Roman" w:cs="Times New Roman"/>
                <w:spacing w:val="2"/>
                <w:sz w:val="17"/>
                <w:szCs w:val="17"/>
              </w:rPr>
              <w:t>L</w:t>
            </w:r>
            <w:r>
              <w:rPr>
                <w:rFonts w:ascii="Times New Roman" w:hAnsi="Times New Roman" w:eastAsia="Times New Roman" w:cs="Times New Roman"/>
                <w:spacing w:val="1"/>
                <w:sz w:val="11"/>
                <w:szCs w:val="11"/>
              </w:rPr>
              <w:t>eq</w:t>
            </w:r>
          </w:p>
        </w:tc>
        <w:tc>
          <w:tcPr>
            <w:tcW w:w="942" w:type="dxa"/>
            <w:vMerge w:val="restart"/>
            <w:tcBorders>
              <w:bottom w:val="nil"/>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6" w:line="304" w:lineRule="auto"/>
              <w:ind w:left="46" w:right="29"/>
              <w:jc w:val="right"/>
              <w:rPr>
                <w:rFonts w:ascii="宋体" w:hAnsi="宋体" w:eastAsia="宋体" w:cs="宋体"/>
                <w:sz w:val="17"/>
                <w:szCs w:val="17"/>
              </w:rPr>
            </w:pPr>
            <w:r>
              <w:rPr>
                <w:rFonts w:ascii="宋体" w:hAnsi="宋体" w:eastAsia="宋体" w:cs="宋体"/>
                <w:spacing w:val="9"/>
                <w:sz w:val="17"/>
                <w:szCs w:val="17"/>
              </w:rPr>
              <w:t>检测</w:t>
            </w:r>
            <w:r>
              <w:rPr>
                <w:rFonts w:ascii="Times New Roman" w:hAnsi="Times New Roman" w:eastAsia="Times New Roman" w:cs="Times New Roman"/>
                <w:spacing w:val="9"/>
                <w:sz w:val="17"/>
                <w:szCs w:val="17"/>
              </w:rPr>
              <w:t xml:space="preserve">2 </w:t>
            </w:r>
            <w:r>
              <w:rPr>
                <w:rFonts w:ascii="宋体" w:hAnsi="宋体" w:eastAsia="宋体" w:cs="宋体"/>
                <w:spacing w:val="9"/>
                <w:sz w:val="17"/>
                <w:szCs w:val="17"/>
              </w:rPr>
              <w:t>天，</w:t>
            </w:r>
            <w:r>
              <w:rPr>
                <w:rFonts w:ascii="宋体" w:hAnsi="宋体" w:eastAsia="宋体" w:cs="宋体"/>
                <w:sz w:val="17"/>
                <w:szCs w:val="17"/>
              </w:rPr>
              <w:t xml:space="preserve"> </w:t>
            </w:r>
            <w:r>
              <w:rPr>
                <w:rFonts w:ascii="宋体" w:hAnsi="宋体" w:eastAsia="宋体" w:cs="宋体"/>
                <w:spacing w:val="3"/>
                <w:sz w:val="17"/>
                <w:szCs w:val="17"/>
              </w:rPr>
              <w:t>每</w:t>
            </w:r>
            <w:r>
              <w:rPr>
                <w:rFonts w:ascii="宋体" w:hAnsi="宋体" w:eastAsia="宋体" w:cs="宋体"/>
                <w:spacing w:val="2"/>
                <w:sz w:val="17"/>
                <w:szCs w:val="17"/>
              </w:rPr>
              <w:t>天昼间、</w:t>
            </w:r>
            <w:r>
              <w:rPr>
                <w:rFonts w:ascii="宋体" w:hAnsi="宋体" w:eastAsia="宋体" w:cs="宋体"/>
                <w:sz w:val="17"/>
                <w:szCs w:val="17"/>
              </w:rPr>
              <w:t xml:space="preserve"> </w:t>
            </w:r>
            <w:r>
              <w:rPr>
                <w:rFonts w:ascii="宋体" w:hAnsi="宋体" w:eastAsia="宋体" w:cs="宋体"/>
                <w:spacing w:val="9"/>
                <w:sz w:val="17"/>
                <w:szCs w:val="17"/>
              </w:rPr>
              <w:t>夜</w:t>
            </w:r>
            <w:r>
              <w:rPr>
                <w:rFonts w:ascii="宋体" w:hAnsi="宋体" w:eastAsia="宋体" w:cs="宋体"/>
                <w:spacing w:val="7"/>
                <w:sz w:val="17"/>
                <w:szCs w:val="17"/>
              </w:rPr>
              <w:t>间各检</w:t>
            </w:r>
          </w:p>
          <w:p>
            <w:pPr>
              <w:spacing w:line="230" w:lineRule="auto"/>
              <w:ind w:left="212"/>
              <w:rPr>
                <w:rFonts w:ascii="宋体" w:hAnsi="宋体" w:eastAsia="宋体" w:cs="宋体"/>
                <w:sz w:val="17"/>
                <w:szCs w:val="17"/>
              </w:rPr>
            </w:pPr>
            <w:r>
              <w:rPr>
                <w:rFonts w:ascii="宋体" w:hAnsi="宋体" w:eastAsia="宋体" w:cs="宋体"/>
                <w:spacing w:val="-6"/>
                <w:sz w:val="17"/>
                <w:szCs w:val="17"/>
              </w:rPr>
              <w:t>测</w:t>
            </w:r>
            <w:r>
              <w:rPr>
                <w:rFonts w:ascii="宋体" w:hAnsi="宋体" w:eastAsia="宋体" w:cs="宋体"/>
                <w:spacing w:val="-4"/>
                <w:sz w:val="17"/>
                <w:szCs w:val="17"/>
              </w:rPr>
              <w:t xml:space="preserve"> </w:t>
            </w:r>
            <w:r>
              <w:rPr>
                <w:rFonts w:ascii="Times New Roman" w:hAnsi="Times New Roman" w:eastAsia="Times New Roman" w:cs="Times New Roman"/>
                <w:spacing w:val="-3"/>
                <w:sz w:val="17"/>
                <w:szCs w:val="17"/>
              </w:rPr>
              <w:t xml:space="preserve">1 </w:t>
            </w:r>
            <w:r>
              <w:rPr>
                <w:rFonts w:ascii="宋体" w:hAnsi="宋体" w:eastAsia="宋体" w:cs="宋体"/>
                <w:spacing w:val="-3"/>
                <w:sz w:val="17"/>
                <w:szCs w:val="17"/>
              </w:rPr>
              <w:t>次</w:t>
            </w:r>
          </w:p>
        </w:tc>
        <w:tc>
          <w:tcPr>
            <w:tcW w:w="16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623" w:type="dxa"/>
            <w:vMerge w:val="continue"/>
            <w:tcBorders>
              <w:top w:val="nil"/>
              <w:left w:val="single" w:color="000000" w:sz="6" w:space="0"/>
              <w:bottom w:val="nil"/>
            </w:tcBorders>
            <w:vAlign w:val="top"/>
          </w:tcPr>
          <w:p>
            <w:pPr>
              <w:rPr>
                <w:rFonts w:ascii="Arial"/>
                <w:sz w:val="21"/>
              </w:rPr>
            </w:pPr>
          </w:p>
        </w:tc>
        <w:tc>
          <w:tcPr>
            <w:tcW w:w="1056" w:type="dxa"/>
            <w:vMerge w:val="continue"/>
            <w:tcBorders>
              <w:top w:val="nil"/>
            </w:tcBorders>
            <w:vAlign w:val="top"/>
          </w:tcPr>
          <w:p>
            <w:pPr>
              <w:rPr>
                <w:rFonts w:ascii="Arial"/>
                <w:sz w:val="21"/>
              </w:rPr>
            </w:pPr>
          </w:p>
        </w:tc>
        <w:tc>
          <w:tcPr>
            <w:tcW w:w="5232" w:type="dxa"/>
            <w:vAlign w:val="top"/>
          </w:tcPr>
          <w:p>
            <w:pPr>
              <w:spacing w:before="46" w:line="242" w:lineRule="exact"/>
              <w:ind w:left="1825"/>
              <w:rPr>
                <w:rFonts w:ascii="宋体" w:hAnsi="宋体" w:eastAsia="宋体" w:cs="宋体"/>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8"/>
                <w:position w:val="2"/>
                <w:sz w:val="17"/>
                <w:szCs w:val="17"/>
              </w:rPr>
              <w:t>2</w:t>
            </w:r>
            <w:r>
              <w:rPr>
                <w:rFonts w:ascii="Times New Roman" w:hAnsi="Times New Roman" w:eastAsia="Times New Roman" w:cs="Times New Roman"/>
                <w:spacing w:val="6"/>
                <w:position w:val="2"/>
                <w:sz w:val="17"/>
                <w:szCs w:val="17"/>
              </w:rPr>
              <w:t>#</w:t>
            </w:r>
            <w:r>
              <w:rPr>
                <w:rFonts w:ascii="Times New Roman" w:hAnsi="Times New Roman" w:eastAsia="Times New Roman" w:cs="Times New Roman"/>
                <w:spacing w:val="4"/>
                <w:position w:val="2"/>
                <w:sz w:val="17"/>
                <w:szCs w:val="17"/>
              </w:rPr>
              <w:t xml:space="preserve"> </w:t>
            </w:r>
            <w:r>
              <w:rPr>
                <w:rFonts w:ascii="宋体" w:hAnsi="宋体" w:eastAsia="宋体" w:cs="宋体"/>
                <w:spacing w:val="4"/>
                <w:position w:val="2"/>
                <w:sz w:val="17"/>
                <w:szCs w:val="17"/>
              </w:rPr>
              <w:t>，拟建大桥东端</w:t>
            </w:r>
          </w:p>
        </w:tc>
        <w:tc>
          <w:tcPr>
            <w:tcW w:w="908" w:type="dxa"/>
            <w:vMerge w:val="continue"/>
            <w:tcBorders>
              <w:top w:val="nil"/>
              <w:bottom w:val="nil"/>
            </w:tcBorders>
            <w:vAlign w:val="top"/>
          </w:tcPr>
          <w:p>
            <w:pPr>
              <w:rPr>
                <w:rFonts w:ascii="Arial"/>
                <w:sz w:val="21"/>
              </w:rPr>
            </w:pPr>
          </w:p>
        </w:tc>
        <w:tc>
          <w:tcPr>
            <w:tcW w:w="942" w:type="dxa"/>
            <w:vMerge w:val="continue"/>
            <w:tcBorders>
              <w:top w:val="nil"/>
              <w:bottom w:val="nil"/>
            </w:tcBorders>
            <w:vAlign w:val="top"/>
          </w:tcPr>
          <w:p>
            <w:pPr>
              <w:rPr>
                <w:rFonts w:ascii="Arial"/>
                <w:sz w:val="21"/>
              </w:rPr>
            </w:pPr>
          </w:p>
        </w:tc>
        <w:tc>
          <w:tcPr>
            <w:tcW w:w="16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623" w:type="dxa"/>
            <w:vMerge w:val="continue"/>
            <w:tcBorders>
              <w:top w:val="nil"/>
              <w:left w:val="single" w:color="000000" w:sz="6" w:space="0"/>
              <w:bottom w:val="nil"/>
            </w:tcBorders>
            <w:vAlign w:val="top"/>
          </w:tcPr>
          <w:p>
            <w:pPr>
              <w:rPr>
                <w:rFonts w:ascii="Arial"/>
                <w:sz w:val="21"/>
              </w:rPr>
            </w:pPr>
          </w:p>
        </w:tc>
        <w:tc>
          <w:tcPr>
            <w:tcW w:w="1056" w:type="dxa"/>
            <w:vMerge w:val="restart"/>
            <w:tcBorders>
              <w:bottom w:val="nil"/>
            </w:tcBorders>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55" w:line="231" w:lineRule="auto"/>
              <w:ind w:left="243"/>
              <w:rPr>
                <w:rFonts w:ascii="宋体" w:hAnsi="宋体" w:eastAsia="宋体" w:cs="宋体"/>
                <w:sz w:val="17"/>
                <w:szCs w:val="17"/>
              </w:rPr>
            </w:pPr>
            <w:r>
              <w:rPr>
                <w:rFonts w:ascii="宋体" w:hAnsi="宋体" w:eastAsia="宋体" w:cs="宋体"/>
                <w:spacing w:val="8"/>
                <w:sz w:val="17"/>
                <w:szCs w:val="17"/>
              </w:rPr>
              <w:t>环境噪声</w:t>
            </w:r>
          </w:p>
        </w:tc>
        <w:tc>
          <w:tcPr>
            <w:tcW w:w="5232" w:type="dxa"/>
            <w:vAlign w:val="top"/>
          </w:tcPr>
          <w:p>
            <w:pPr>
              <w:spacing w:before="46" w:line="243" w:lineRule="exact"/>
              <w:ind w:left="148"/>
              <w:rPr>
                <w:rFonts w:ascii="Times New Roman" w:hAnsi="Times New Roman" w:eastAsia="Times New Roman" w:cs="Times New Roman"/>
                <w:sz w:val="17"/>
                <w:szCs w:val="17"/>
              </w:rPr>
            </w:pPr>
            <w:r>
              <w:rPr>
                <w:rFonts w:ascii="Times New Roman" w:hAnsi="Times New Roman" w:eastAsia="Times New Roman" w:cs="Times New Roman"/>
                <w:position w:val="1"/>
                <w:sz w:val="17"/>
                <w:szCs w:val="17"/>
              </w:rPr>
              <w:t>N</w:t>
            </w:r>
            <w:r>
              <w:rPr>
                <w:rFonts w:ascii="Times New Roman" w:hAnsi="Times New Roman" w:eastAsia="Times New Roman" w:cs="Times New Roman"/>
                <w:spacing w:val="-1"/>
                <w:position w:val="1"/>
                <w:sz w:val="17"/>
                <w:szCs w:val="17"/>
              </w:rPr>
              <w:t xml:space="preserve">3- 1# </w:t>
            </w:r>
            <w:r>
              <w:rPr>
                <w:rFonts w:ascii="宋体" w:hAnsi="宋体" w:eastAsia="宋体" w:cs="宋体"/>
                <w:spacing w:val="-1"/>
                <w:position w:val="1"/>
                <w:sz w:val="17"/>
                <w:szCs w:val="17"/>
              </w:rPr>
              <w:t xml:space="preserve">，“宏义 ·江湾城”小区 </w:t>
            </w:r>
            <w:r>
              <w:rPr>
                <w:rFonts w:ascii="Times New Roman" w:hAnsi="Times New Roman" w:eastAsia="Times New Roman" w:cs="Times New Roman"/>
                <w:spacing w:val="-1"/>
                <w:position w:val="1"/>
                <w:sz w:val="17"/>
                <w:szCs w:val="17"/>
              </w:rPr>
              <w:t xml:space="preserve">5 </w:t>
            </w:r>
            <w:r>
              <w:rPr>
                <w:rFonts w:ascii="宋体" w:hAnsi="宋体" w:eastAsia="宋体" w:cs="宋体"/>
                <w:position w:val="1"/>
                <w:sz w:val="17"/>
                <w:szCs w:val="17"/>
              </w:rPr>
              <w:t xml:space="preserve">期 </w:t>
            </w:r>
            <w:r>
              <w:rPr>
                <w:rFonts w:ascii="Times New Roman" w:hAnsi="Times New Roman" w:eastAsia="Times New Roman" w:cs="Times New Roman"/>
                <w:position w:val="1"/>
                <w:sz w:val="17"/>
                <w:szCs w:val="17"/>
              </w:rPr>
              <w:t xml:space="preserve">15 </w:t>
            </w:r>
            <w:r>
              <w:rPr>
                <w:rFonts w:ascii="宋体" w:hAnsi="宋体" w:eastAsia="宋体" w:cs="宋体"/>
                <w:position w:val="1"/>
                <w:sz w:val="17"/>
                <w:szCs w:val="17"/>
              </w:rPr>
              <w:t xml:space="preserve">号楼临拟建桥梁一侧 </w:t>
            </w:r>
            <w:r>
              <w:rPr>
                <w:rFonts w:ascii="Times New Roman" w:hAnsi="Times New Roman" w:eastAsia="Times New Roman" w:cs="Times New Roman"/>
                <w:position w:val="1"/>
                <w:sz w:val="17"/>
                <w:szCs w:val="17"/>
              </w:rPr>
              <w:t>1F</w:t>
            </w:r>
          </w:p>
        </w:tc>
        <w:tc>
          <w:tcPr>
            <w:tcW w:w="908" w:type="dxa"/>
            <w:vMerge w:val="continue"/>
            <w:tcBorders>
              <w:top w:val="nil"/>
              <w:bottom w:val="nil"/>
            </w:tcBorders>
            <w:vAlign w:val="top"/>
          </w:tcPr>
          <w:p>
            <w:pPr>
              <w:rPr>
                <w:rFonts w:ascii="Arial"/>
                <w:sz w:val="21"/>
              </w:rPr>
            </w:pPr>
          </w:p>
        </w:tc>
        <w:tc>
          <w:tcPr>
            <w:tcW w:w="942" w:type="dxa"/>
            <w:vMerge w:val="continue"/>
            <w:tcBorders>
              <w:top w:val="nil"/>
              <w:bottom w:val="nil"/>
            </w:tcBorders>
            <w:vAlign w:val="top"/>
          </w:tcPr>
          <w:p>
            <w:pPr>
              <w:rPr>
                <w:rFonts w:ascii="Arial"/>
                <w:sz w:val="21"/>
              </w:rPr>
            </w:pPr>
          </w:p>
        </w:tc>
        <w:tc>
          <w:tcPr>
            <w:tcW w:w="16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623" w:type="dxa"/>
            <w:vMerge w:val="continue"/>
            <w:tcBorders>
              <w:top w:val="nil"/>
              <w:left w:val="single" w:color="000000" w:sz="6" w:space="0"/>
              <w:bottom w:val="nil"/>
            </w:tcBorders>
            <w:vAlign w:val="top"/>
          </w:tcPr>
          <w:p>
            <w:pPr>
              <w:rPr>
                <w:rFonts w:ascii="Arial"/>
                <w:sz w:val="21"/>
              </w:rPr>
            </w:pPr>
          </w:p>
        </w:tc>
        <w:tc>
          <w:tcPr>
            <w:tcW w:w="1056" w:type="dxa"/>
            <w:vMerge w:val="continue"/>
            <w:tcBorders>
              <w:top w:val="nil"/>
              <w:bottom w:val="nil"/>
            </w:tcBorders>
            <w:vAlign w:val="top"/>
          </w:tcPr>
          <w:p>
            <w:pPr>
              <w:rPr>
                <w:rFonts w:ascii="Arial"/>
                <w:sz w:val="21"/>
              </w:rPr>
            </w:pPr>
          </w:p>
        </w:tc>
        <w:tc>
          <w:tcPr>
            <w:tcW w:w="5232" w:type="dxa"/>
            <w:vAlign w:val="top"/>
          </w:tcPr>
          <w:p>
            <w:pPr>
              <w:spacing w:before="47" w:line="242" w:lineRule="exact"/>
              <w:ind w:left="148"/>
              <w:rPr>
                <w:rFonts w:ascii="Times New Roman" w:hAnsi="Times New Roman" w:eastAsia="Times New Roman" w:cs="Times New Roman"/>
                <w:sz w:val="17"/>
                <w:szCs w:val="17"/>
              </w:rPr>
            </w:pPr>
            <w:r>
              <w:rPr>
                <w:rFonts w:ascii="Times New Roman" w:hAnsi="Times New Roman" w:eastAsia="Times New Roman" w:cs="Times New Roman"/>
                <w:position w:val="1"/>
                <w:sz w:val="17"/>
                <w:szCs w:val="17"/>
              </w:rPr>
              <w:t>N</w:t>
            </w:r>
            <w:r>
              <w:rPr>
                <w:rFonts w:ascii="Times New Roman" w:hAnsi="Times New Roman" w:eastAsia="Times New Roman" w:cs="Times New Roman"/>
                <w:spacing w:val="1"/>
                <w:position w:val="1"/>
                <w:sz w:val="17"/>
                <w:szCs w:val="17"/>
              </w:rPr>
              <w:t xml:space="preserve">3-2# </w:t>
            </w:r>
            <w:r>
              <w:rPr>
                <w:rFonts w:ascii="宋体" w:hAnsi="宋体" w:eastAsia="宋体" w:cs="宋体"/>
                <w:spacing w:val="1"/>
                <w:position w:val="1"/>
                <w:sz w:val="17"/>
                <w:szCs w:val="17"/>
              </w:rPr>
              <w:t xml:space="preserve">，“宏义 ·江湾城”小区 </w:t>
            </w:r>
            <w:r>
              <w:rPr>
                <w:rFonts w:ascii="Times New Roman" w:hAnsi="Times New Roman" w:eastAsia="Times New Roman" w:cs="Times New Roman"/>
                <w:spacing w:val="1"/>
                <w:position w:val="1"/>
                <w:sz w:val="17"/>
                <w:szCs w:val="17"/>
              </w:rPr>
              <w:t xml:space="preserve">5 </w:t>
            </w:r>
            <w:r>
              <w:rPr>
                <w:rFonts w:ascii="宋体" w:hAnsi="宋体" w:eastAsia="宋体" w:cs="宋体"/>
                <w:spacing w:val="1"/>
                <w:position w:val="1"/>
                <w:sz w:val="17"/>
                <w:szCs w:val="17"/>
              </w:rPr>
              <w:t xml:space="preserve">期 </w:t>
            </w:r>
            <w:r>
              <w:rPr>
                <w:rFonts w:ascii="Times New Roman" w:hAnsi="Times New Roman" w:eastAsia="Times New Roman" w:cs="Times New Roman"/>
                <w:position w:val="1"/>
                <w:sz w:val="17"/>
                <w:szCs w:val="17"/>
              </w:rPr>
              <w:t xml:space="preserve">15 </w:t>
            </w:r>
            <w:r>
              <w:rPr>
                <w:rFonts w:ascii="宋体" w:hAnsi="宋体" w:eastAsia="宋体" w:cs="宋体"/>
                <w:position w:val="1"/>
                <w:sz w:val="17"/>
                <w:szCs w:val="17"/>
              </w:rPr>
              <w:t xml:space="preserve">号楼临拟建桥梁一侧 </w:t>
            </w:r>
            <w:r>
              <w:rPr>
                <w:rFonts w:ascii="Times New Roman" w:hAnsi="Times New Roman" w:eastAsia="Times New Roman" w:cs="Times New Roman"/>
                <w:position w:val="1"/>
                <w:sz w:val="17"/>
                <w:szCs w:val="17"/>
              </w:rPr>
              <w:t>4F</w:t>
            </w:r>
          </w:p>
        </w:tc>
        <w:tc>
          <w:tcPr>
            <w:tcW w:w="908" w:type="dxa"/>
            <w:vMerge w:val="continue"/>
            <w:tcBorders>
              <w:top w:val="nil"/>
              <w:bottom w:val="nil"/>
            </w:tcBorders>
            <w:vAlign w:val="top"/>
          </w:tcPr>
          <w:p>
            <w:pPr>
              <w:rPr>
                <w:rFonts w:ascii="Arial"/>
                <w:sz w:val="21"/>
              </w:rPr>
            </w:pPr>
          </w:p>
        </w:tc>
        <w:tc>
          <w:tcPr>
            <w:tcW w:w="942" w:type="dxa"/>
            <w:vMerge w:val="continue"/>
            <w:tcBorders>
              <w:top w:val="nil"/>
              <w:bottom w:val="nil"/>
            </w:tcBorders>
            <w:vAlign w:val="top"/>
          </w:tcPr>
          <w:p>
            <w:pPr>
              <w:rPr>
                <w:rFonts w:ascii="Arial"/>
                <w:sz w:val="21"/>
              </w:rPr>
            </w:pPr>
          </w:p>
        </w:tc>
        <w:tc>
          <w:tcPr>
            <w:tcW w:w="16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623" w:type="dxa"/>
            <w:vMerge w:val="continue"/>
            <w:tcBorders>
              <w:top w:val="nil"/>
              <w:left w:val="single" w:color="000000" w:sz="6" w:space="0"/>
              <w:bottom w:val="nil"/>
            </w:tcBorders>
            <w:vAlign w:val="top"/>
          </w:tcPr>
          <w:p>
            <w:pPr>
              <w:rPr>
                <w:rFonts w:ascii="Arial"/>
                <w:sz w:val="21"/>
              </w:rPr>
            </w:pPr>
          </w:p>
        </w:tc>
        <w:tc>
          <w:tcPr>
            <w:tcW w:w="1056" w:type="dxa"/>
            <w:vMerge w:val="continue"/>
            <w:tcBorders>
              <w:top w:val="nil"/>
              <w:bottom w:val="nil"/>
            </w:tcBorders>
            <w:vAlign w:val="top"/>
          </w:tcPr>
          <w:p>
            <w:pPr>
              <w:rPr>
                <w:rFonts w:ascii="Arial"/>
                <w:sz w:val="21"/>
              </w:rPr>
            </w:pPr>
          </w:p>
        </w:tc>
        <w:tc>
          <w:tcPr>
            <w:tcW w:w="5232" w:type="dxa"/>
            <w:vAlign w:val="top"/>
          </w:tcPr>
          <w:p>
            <w:pPr>
              <w:spacing w:before="46" w:line="242" w:lineRule="exact"/>
              <w:ind w:left="148"/>
              <w:rPr>
                <w:rFonts w:ascii="Times New Roman" w:hAnsi="Times New Roman" w:eastAsia="Times New Roman" w:cs="Times New Roman"/>
                <w:sz w:val="17"/>
                <w:szCs w:val="17"/>
              </w:rPr>
            </w:pPr>
            <w:r>
              <w:rPr>
                <w:rFonts w:ascii="Times New Roman" w:hAnsi="Times New Roman" w:eastAsia="Times New Roman" w:cs="Times New Roman"/>
                <w:position w:val="1"/>
                <w:sz w:val="17"/>
                <w:szCs w:val="17"/>
              </w:rPr>
              <w:t>N</w:t>
            </w:r>
            <w:r>
              <w:rPr>
                <w:rFonts w:ascii="Times New Roman" w:hAnsi="Times New Roman" w:eastAsia="Times New Roman" w:cs="Times New Roman"/>
                <w:spacing w:val="1"/>
                <w:position w:val="1"/>
                <w:sz w:val="17"/>
                <w:szCs w:val="17"/>
              </w:rPr>
              <w:t xml:space="preserve">3-3# </w:t>
            </w:r>
            <w:r>
              <w:rPr>
                <w:rFonts w:ascii="宋体" w:hAnsi="宋体" w:eastAsia="宋体" w:cs="宋体"/>
                <w:spacing w:val="1"/>
                <w:position w:val="1"/>
                <w:sz w:val="17"/>
                <w:szCs w:val="17"/>
              </w:rPr>
              <w:t xml:space="preserve">，“宏义 ·江湾城”小区 </w:t>
            </w:r>
            <w:r>
              <w:rPr>
                <w:rFonts w:ascii="Times New Roman" w:hAnsi="Times New Roman" w:eastAsia="Times New Roman" w:cs="Times New Roman"/>
                <w:spacing w:val="1"/>
                <w:position w:val="1"/>
                <w:sz w:val="17"/>
                <w:szCs w:val="17"/>
              </w:rPr>
              <w:t xml:space="preserve">5 </w:t>
            </w:r>
            <w:r>
              <w:rPr>
                <w:rFonts w:ascii="宋体" w:hAnsi="宋体" w:eastAsia="宋体" w:cs="宋体"/>
                <w:spacing w:val="1"/>
                <w:position w:val="1"/>
                <w:sz w:val="17"/>
                <w:szCs w:val="17"/>
              </w:rPr>
              <w:t xml:space="preserve">期 </w:t>
            </w:r>
            <w:r>
              <w:rPr>
                <w:rFonts w:ascii="Times New Roman" w:hAnsi="Times New Roman" w:eastAsia="Times New Roman" w:cs="Times New Roman"/>
                <w:position w:val="1"/>
                <w:sz w:val="17"/>
                <w:szCs w:val="17"/>
              </w:rPr>
              <w:t xml:space="preserve">15 </w:t>
            </w:r>
            <w:r>
              <w:rPr>
                <w:rFonts w:ascii="宋体" w:hAnsi="宋体" w:eastAsia="宋体" w:cs="宋体"/>
                <w:position w:val="1"/>
                <w:sz w:val="17"/>
                <w:szCs w:val="17"/>
              </w:rPr>
              <w:t xml:space="preserve">号楼临拟建桥梁一侧 </w:t>
            </w:r>
            <w:r>
              <w:rPr>
                <w:rFonts w:ascii="Times New Roman" w:hAnsi="Times New Roman" w:eastAsia="Times New Roman" w:cs="Times New Roman"/>
                <w:position w:val="1"/>
                <w:sz w:val="17"/>
                <w:szCs w:val="17"/>
              </w:rPr>
              <w:t>7F</w:t>
            </w:r>
          </w:p>
        </w:tc>
        <w:tc>
          <w:tcPr>
            <w:tcW w:w="908" w:type="dxa"/>
            <w:vMerge w:val="continue"/>
            <w:tcBorders>
              <w:top w:val="nil"/>
              <w:bottom w:val="nil"/>
            </w:tcBorders>
            <w:vAlign w:val="top"/>
          </w:tcPr>
          <w:p>
            <w:pPr>
              <w:rPr>
                <w:rFonts w:ascii="Arial"/>
                <w:sz w:val="21"/>
              </w:rPr>
            </w:pPr>
          </w:p>
        </w:tc>
        <w:tc>
          <w:tcPr>
            <w:tcW w:w="942" w:type="dxa"/>
            <w:vMerge w:val="continue"/>
            <w:tcBorders>
              <w:top w:val="nil"/>
              <w:bottom w:val="nil"/>
            </w:tcBorders>
            <w:vAlign w:val="top"/>
          </w:tcPr>
          <w:p>
            <w:pPr>
              <w:rPr>
                <w:rFonts w:ascii="Arial"/>
                <w:sz w:val="21"/>
              </w:rPr>
            </w:pPr>
          </w:p>
        </w:tc>
        <w:tc>
          <w:tcPr>
            <w:tcW w:w="16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623" w:type="dxa"/>
            <w:vMerge w:val="continue"/>
            <w:tcBorders>
              <w:top w:val="nil"/>
              <w:left w:val="single" w:color="000000" w:sz="6" w:space="0"/>
              <w:bottom w:val="nil"/>
            </w:tcBorders>
            <w:vAlign w:val="top"/>
          </w:tcPr>
          <w:p>
            <w:pPr>
              <w:rPr>
                <w:rFonts w:ascii="Arial"/>
                <w:sz w:val="21"/>
              </w:rPr>
            </w:pPr>
          </w:p>
        </w:tc>
        <w:tc>
          <w:tcPr>
            <w:tcW w:w="1056" w:type="dxa"/>
            <w:vMerge w:val="continue"/>
            <w:tcBorders>
              <w:top w:val="nil"/>
              <w:bottom w:val="nil"/>
            </w:tcBorders>
            <w:vAlign w:val="top"/>
          </w:tcPr>
          <w:p>
            <w:pPr>
              <w:rPr>
                <w:rFonts w:ascii="Arial"/>
                <w:sz w:val="21"/>
              </w:rPr>
            </w:pPr>
          </w:p>
        </w:tc>
        <w:tc>
          <w:tcPr>
            <w:tcW w:w="5232" w:type="dxa"/>
            <w:vAlign w:val="top"/>
          </w:tcPr>
          <w:p>
            <w:pPr>
              <w:spacing w:before="47" w:line="243" w:lineRule="exact"/>
              <w:ind w:left="102"/>
              <w:rPr>
                <w:rFonts w:ascii="Times New Roman" w:hAnsi="Times New Roman" w:eastAsia="Times New Roman" w:cs="Times New Roman"/>
                <w:sz w:val="17"/>
                <w:szCs w:val="17"/>
              </w:rPr>
            </w:pPr>
            <w:r>
              <w:rPr>
                <w:rFonts w:ascii="Times New Roman" w:hAnsi="Times New Roman" w:eastAsia="Times New Roman" w:cs="Times New Roman"/>
                <w:position w:val="1"/>
                <w:sz w:val="17"/>
                <w:szCs w:val="17"/>
              </w:rPr>
              <w:t>N</w:t>
            </w:r>
            <w:r>
              <w:rPr>
                <w:rFonts w:ascii="Times New Roman" w:hAnsi="Times New Roman" w:eastAsia="Times New Roman" w:cs="Times New Roman"/>
                <w:spacing w:val="1"/>
                <w:position w:val="1"/>
                <w:sz w:val="17"/>
                <w:szCs w:val="17"/>
              </w:rPr>
              <w:t xml:space="preserve">3-4# </w:t>
            </w:r>
            <w:r>
              <w:rPr>
                <w:rFonts w:ascii="宋体" w:hAnsi="宋体" w:eastAsia="宋体" w:cs="宋体"/>
                <w:spacing w:val="1"/>
                <w:position w:val="1"/>
                <w:sz w:val="17"/>
                <w:szCs w:val="17"/>
              </w:rPr>
              <w:t xml:space="preserve">，“宏义 ·江湾城”小区 </w:t>
            </w:r>
            <w:r>
              <w:rPr>
                <w:rFonts w:ascii="Times New Roman" w:hAnsi="Times New Roman" w:eastAsia="Times New Roman" w:cs="Times New Roman"/>
                <w:spacing w:val="1"/>
                <w:position w:val="1"/>
                <w:sz w:val="17"/>
                <w:szCs w:val="17"/>
              </w:rPr>
              <w:t xml:space="preserve">5 </w:t>
            </w:r>
            <w:r>
              <w:rPr>
                <w:rFonts w:ascii="宋体" w:hAnsi="宋体" w:eastAsia="宋体" w:cs="宋体"/>
                <w:spacing w:val="1"/>
                <w:position w:val="1"/>
                <w:sz w:val="17"/>
                <w:szCs w:val="17"/>
              </w:rPr>
              <w:t xml:space="preserve">期 </w:t>
            </w:r>
            <w:r>
              <w:rPr>
                <w:rFonts w:ascii="Times New Roman" w:hAnsi="Times New Roman" w:eastAsia="Times New Roman" w:cs="Times New Roman"/>
                <w:spacing w:val="1"/>
                <w:position w:val="1"/>
                <w:sz w:val="17"/>
                <w:szCs w:val="17"/>
              </w:rPr>
              <w:t xml:space="preserve">15 </w:t>
            </w:r>
            <w:r>
              <w:rPr>
                <w:rFonts w:ascii="宋体" w:hAnsi="宋体" w:eastAsia="宋体" w:cs="宋体"/>
                <w:position w:val="1"/>
                <w:sz w:val="17"/>
                <w:szCs w:val="17"/>
              </w:rPr>
              <w:t xml:space="preserve">号楼临拟建桥梁一侧 </w:t>
            </w:r>
            <w:r>
              <w:rPr>
                <w:rFonts w:ascii="Times New Roman" w:hAnsi="Times New Roman" w:eastAsia="Times New Roman" w:cs="Times New Roman"/>
                <w:position w:val="1"/>
                <w:sz w:val="17"/>
                <w:szCs w:val="17"/>
              </w:rPr>
              <w:t>10F</w:t>
            </w:r>
          </w:p>
        </w:tc>
        <w:tc>
          <w:tcPr>
            <w:tcW w:w="908" w:type="dxa"/>
            <w:vMerge w:val="continue"/>
            <w:tcBorders>
              <w:top w:val="nil"/>
              <w:bottom w:val="nil"/>
            </w:tcBorders>
            <w:vAlign w:val="top"/>
          </w:tcPr>
          <w:p>
            <w:pPr>
              <w:rPr>
                <w:rFonts w:ascii="Arial"/>
                <w:sz w:val="21"/>
              </w:rPr>
            </w:pPr>
          </w:p>
        </w:tc>
        <w:tc>
          <w:tcPr>
            <w:tcW w:w="942" w:type="dxa"/>
            <w:vMerge w:val="continue"/>
            <w:tcBorders>
              <w:top w:val="nil"/>
              <w:bottom w:val="nil"/>
            </w:tcBorders>
            <w:vAlign w:val="top"/>
          </w:tcPr>
          <w:p>
            <w:pPr>
              <w:rPr>
                <w:rFonts w:ascii="Arial"/>
                <w:sz w:val="21"/>
              </w:rPr>
            </w:pPr>
          </w:p>
        </w:tc>
        <w:tc>
          <w:tcPr>
            <w:tcW w:w="16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623" w:type="dxa"/>
            <w:vMerge w:val="continue"/>
            <w:tcBorders>
              <w:top w:val="nil"/>
              <w:left w:val="single" w:color="000000" w:sz="6" w:space="0"/>
              <w:bottom w:val="nil"/>
            </w:tcBorders>
            <w:vAlign w:val="top"/>
          </w:tcPr>
          <w:p>
            <w:pPr>
              <w:rPr>
                <w:rFonts w:ascii="Arial"/>
                <w:sz w:val="21"/>
              </w:rPr>
            </w:pPr>
          </w:p>
        </w:tc>
        <w:tc>
          <w:tcPr>
            <w:tcW w:w="1056" w:type="dxa"/>
            <w:vMerge w:val="continue"/>
            <w:tcBorders>
              <w:top w:val="nil"/>
              <w:bottom w:val="nil"/>
            </w:tcBorders>
            <w:vAlign w:val="top"/>
          </w:tcPr>
          <w:p>
            <w:pPr>
              <w:rPr>
                <w:rFonts w:ascii="Arial"/>
                <w:sz w:val="21"/>
              </w:rPr>
            </w:pPr>
          </w:p>
        </w:tc>
        <w:tc>
          <w:tcPr>
            <w:tcW w:w="5232" w:type="dxa"/>
            <w:vAlign w:val="top"/>
          </w:tcPr>
          <w:p>
            <w:pPr>
              <w:spacing w:before="48" w:line="242" w:lineRule="exact"/>
              <w:ind w:left="102"/>
              <w:rPr>
                <w:rFonts w:ascii="Times New Roman" w:hAnsi="Times New Roman" w:eastAsia="Times New Roman" w:cs="Times New Roman"/>
                <w:sz w:val="17"/>
                <w:szCs w:val="17"/>
              </w:rPr>
            </w:pPr>
            <w:r>
              <w:rPr>
                <w:rFonts w:ascii="Times New Roman" w:hAnsi="Times New Roman" w:eastAsia="Times New Roman" w:cs="Times New Roman"/>
                <w:position w:val="1"/>
                <w:sz w:val="17"/>
                <w:szCs w:val="17"/>
              </w:rPr>
              <w:t>N</w:t>
            </w:r>
            <w:r>
              <w:rPr>
                <w:rFonts w:ascii="Times New Roman" w:hAnsi="Times New Roman" w:eastAsia="Times New Roman" w:cs="Times New Roman"/>
                <w:spacing w:val="1"/>
                <w:position w:val="1"/>
                <w:sz w:val="17"/>
                <w:szCs w:val="17"/>
              </w:rPr>
              <w:t xml:space="preserve">3-5# </w:t>
            </w:r>
            <w:r>
              <w:rPr>
                <w:rFonts w:ascii="宋体" w:hAnsi="宋体" w:eastAsia="宋体" w:cs="宋体"/>
                <w:spacing w:val="1"/>
                <w:position w:val="1"/>
                <w:sz w:val="17"/>
                <w:szCs w:val="17"/>
              </w:rPr>
              <w:t xml:space="preserve">，“宏义 ·江湾城”小区 </w:t>
            </w:r>
            <w:r>
              <w:rPr>
                <w:rFonts w:ascii="Times New Roman" w:hAnsi="Times New Roman" w:eastAsia="Times New Roman" w:cs="Times New Roman"/>
                <w:spacing w:val="1"/>
                <w:position w:val="1"/>
                <w:sz w:val="17"/>
                <w:szCs w:val="17"/>
              </w:rPr>
              <w:t xml:space="preserve">5 </w:t>
            </w:r>
            <w:r>
              <w:rPr>
                <w:rFonts w:ascii="宋体" w:hAnsi="宋体" w:eastAsia="宋体" w:cs="宋体"/>
                <w:spacing w:val="1"/>
                <w:position w:val="1"/>
                <w:sz w:val="17"/>
                <w:szCs w:val="17"/>
              </w:rPr>
              <w:t xml:space="preserve">期 </w:t>
            </w:r>
            <w:r>
              <w:rPr>
                <w:rFonts w:ascii="Times New Roman" w:hAnsi="Times New Roman" w:eastAsia="Times New Roman" w:cs="Times New Roman"/>
                <w:spacing w:val="1"/>
                <w:position w:val="1"/>
                <w:sz w:val="17"/>
                <w:szCs w:val="17"/>
              </w:rPr>
              <w:t xml:space="preserve">15 </w:t>
            </w:r>
            <w:r>
              <w:rPr>
                <w:rFonts w:ascii="宋体" w:hAnsi="宋体" w:eastAsia="宋体" w:cs="宋体"/>
                <w:position w:val="1"/>
                <w:sz w:val="17"/>
                <w:szCs w:val="17"/>
              </w:rPr>
              <w:t xml:space="preserve">号楼临拟建桥梁一侧 </w:t>
            </w:r>
            <w:r>
              <w:rPr>
                <w:rFonts w:ascii="Times New Roman" w:hAnsi="Times New Roman" w:eastAsia="Times New Roman" w:cs="Times New Roman"/>
                <w:position w:val="1"/>
                <w:sz w:val="17"/>
                <w:szCs w:val="17"/>
              </w:rPr>
              <w:t>15F</w:t>
            </w:r>
          </w:p>
        </w:tc>
        <w:tc>
          <w:tcPr>
            <w:tcW w:w="908" w:type="dxa"/>
            <w:vMerge w:val="continue"/>
            <w:tcBorders>
              <w:top w:val="nil"/>
              <w:bottom w:val="nil"/>
            </w:tcBorders>
            <w:vAlign w:val="top"/>
          </w:tcPr>
          <w:p>
            <w:pPr>
              <w:rPr>
                <w:rFonts w:ascii="Arial"/>
                <w:sz w:val="21"/>
              </w:rPr>
            </w:pPr>
          </w:p>
        </w:tc>
        <w:tc>
          <w:tcPr>
            <w:tcW w:w="942" w:type="dxa"/>
            <w:vMerge w:val="continue"/>
            <w:tcBorders>
              <w:top w:val="nil"/>
              <w:bottom w:val="nil"/>
            </w:tcBorders>
            <w:vAlign w:val="top"/>
          </w:tcPr>
          <w:p>
            <w:pPr>
              <w:rPr>
                <w:rFonts w:ascii="Arial"/>
                <w:sz w:val="21"/>
              </w:rPr>
            </w:pPr>
          </w:p>
        </w:tc>
        <w:tc>
          <w:tcPr>
            <w:tcW w:w="16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623" w:type="dxa"/>
            <w:vMerge w:val="continue"/>
            <w:tcBorders>
              <w:top w:val="nil"/>
              <w:left w:val="single" w:color="000000" w:sz="6" w:space="0"/>
              <w:bottom w:val="nil"/>
            </w:tcBorders>
            <w:vAlign w:val="top"/>
          </w:tcPr>
          <w:p>
            <w:pPr>
              <w:rPr>
                <w:rFonts w:ascii="Arial"/>
                <w:sz w:val="21"/>
              </w:rPr>
            </w:pPr>
          </w:p>
        </w:tc>
        <w:tc>
          <w:tcPr>
            <w:tcW w:w="1056" w:type="dxa"/>
            <w:vMerge w:val="continue"/>
            <w:tcBorders>
              <w:top w:val="nil"/>
              <w:bottom w:val="nil"/>
            </w:tcBorders>
            <w:vAlign w:val="top"/>
          </w:tcPr>
          <w:p>
            <w:pPr>
              <w:rPr>
                <w:rFonts w:ascii="Arial"/>
                <w:sz w:val="21"/>
              </w:rPr>
            </w:pPr>
          </w:p>
        </w:tc>
        <w:tc>
          <w:tcPr>
            <w:tcW w:w="5232" w:type="dxa"/>
            <w:vAlign w:val="top"/>
          </w:tcPr>
          <w:p>
            <w:pPr>
              <w:spacing w:before="47" w:line="242" w:lineRule="exact"/>
              <w:ind w:left="102"/>
              <w:rPr>
                <w:rFonts w:ascii="Times New Roman" w:hAnsi="Times New Roman" w:eastAsia="Times New Roman" w:cs="Times New Roman"/>
                <w:sz w:val="17"/>
                <w:szCs w:val="17"/>
              </w:rPr>
            </w:pPr>
            <w:r>
              <w:rPr>
                <w:rFonts w:ascii="Times New Roman" w:hAnsi="Times New Roman" w:eastAsia="Times New Roman" w:cs="Times New Roman"/>
                <w:position w:val="1"/>
                <w:sz w:val="17"/>
                <w:szCs w:val="17"/>
              </w:rPr>
              <w:t>N</w:t>
            </w:r>
            <w:r>
              <w:rPr>
                <w:rFonts w:ascii="Times New Roman" w:hAnsi="Times New Roman" w:eastAsia="Times New Roman" w:cs="Times New Roman"/>
                <w:spacing w:val="1"/>
                <w:position w:val="1"/>
                <w:sz w:val="17"/>
                <w:szCs w:val="17"/>
              </w:rPr>
              <w:t xml:space="preserve">3-6# </w:t>
            </w:r>
            <w:r>
              <w:rPr>
                <w:rFonts w:ascii="宋体" w:hAnsi="宋体" w:eastAsia="宋体" w:cs="宋体"/>
                <w:spacing w:val="1"/>
                <w:position w:val="1"/>
                <w:sz w:val="17"/>
                <w:szCs w:val="17"/>
              </w:rPr>
              <w:t xml:space="preserve">，“宏义 ·江湾城”小区 </w:t>
            </w:r>
            <w:r>
              <w:rPr>
                <w:rFonts w:ascii="Times New Roman" w:hAnsi="Times New Roman" w:eastAsia="Times New Roman" w:cs="Times New Roman"/>
                <w:spacing w:val="1"/>
                <w:position w:val="1"/>
                <w:sz w:val="17"/>
                <w:szCs w:val="17"/>
              </w:rPr>
              <w:t xml:space="preserve">5 </w:t>
            </w:r>
            <w:r>
              <w:rPr>
                <w:rFonts w:ascii="宋体" w:hAnsi="宋体" w:eastAsia="宋体" w:cs="宋体"/>
                <w:spacing w:val="1"/>
                <w:position w:val="1"/>
                <w:sz w:val="17"/>
                <w:szCs w:val="17"/>
              </w:rPr>
              <w:t xml:space="preserve">期 </w:t>
            </w:r>
            <w:r>
              <w:rPr>
                <w:rFonts w:ascii="Times New Roman" w:hAnsi="Times New Roman" w:eastAsia="Times New Roman" w:cs="Times New Roman"/>
                <w:spacing w:val="1"/>
                <w:position w:val="1"/>
                <w:sz w:val="17"/>
                <w:szCs w:val="17"/>
              </w:rPr>
              <w:t xml:space="preserve">15 </w:t>
            </w:r>
            <w:r>
              <w:rPr>
                <w:rFonts w:ascii="宋体" w:hAnsi="宋体" w:eastAsia="宋体" w:cs="宋体"/>
                <w:position w:val="1"/>
                <w:sz w:val="17"/>
                <w:szCs w:val="17"/>
              </w:rPr>
              <w:t xml:space="preserve">号楼临拟建桥梁一侧 </w:t>
            </w:r>
            <w:r>
              <w:rPr>
                <w:rFonts w:ascii="Times New Roman" w:hAnsi="Times New Roman" w:eastAsia="Times New Roman" w:cs="Times New Roman"/>
                <w:position w:val="1"/>
                <w:sz w:val="17"/>
                <w:szCs w:val="17"/>
              </w:rPr>
              <w:t>20F</w:t>
            </w:r>
          </w:p>
        </w:tc>
        <w:tc>
          <w:tcPr>
            <w:tcW w:w="908" w:type="dxa"/>
            <w:vMerge w:val="continue"/>
            <w:tcBorders>
              <w:top w:val="nil"/>
              <w:bottom w:val="nil"/>
            </w:tcBorders>
            <w:vAlign w:val="top"/>
          </w:tcPr>
          <w:p>
            <w:pPr>
              <w:rPr>
                <w:rFonts w:ascii="Arial"/>
                <w:sz w:val="21"/>
              </w:rPr>
            </w:pPr>
          </w:p>
        </w:tc>
        <w:tc>
          <w:tcPr>
            <w:tcW w:w="942" w:type="dxa"/>
            <w:vMerge w:val="continue"/>
            <w:tcBorders>
              <w:top w:val="nil"/>
              <w:bottom w:val="nil"/>
            </w:tcBorders>
            <w:vAlign w:val="top"/>
          </w:tcPr>
          <w:p>
            <w:pPr>
              <w:rPr>
                <w:rFonts w:ascii="Arial"/>
                <w:sz w:val="21"/>
              </w:rPr>
            </w:pPr>
          </w:p>
        </w:tc>
        <w:tc>
          <w:tcPr>
            <w:tcW w:w="16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623" w:type="dxa"/>
            <w:vMerge w:val="continue"/>
            <w:tcBorders>
              <w:top w:val="nil"/>
              <w:left w:val="single" w:color="000000" w:sz="6" w:space="0"/>
              <w:bottom w:val="nil"/>
            </w:tcBorders>
            <w:vAlign w:val="top"/>
          </w:tcPr>
          <w:p>
            <w:pPr>
              <w:rPr>
                <w:rFonts w:ascii="Arial"/>
                <w:sz w:val="21"/>
              </w:rPr>
            </w:pPr>
          </w:p>
        </w:tc>
        <w:tc>
          <w:tcPr>
            <w:tcW w:w="1056" w:type="dxa"/>
            <w:vMerge w:val="continue"/>
            <w:tcBorders>
              <w:top w:val="nil"/>
              <w:bottom w:val="nil"/>
            </w:tcBorders>
            <w:vAlign w:val="top"/>
          </w:tcPr>
          <w:p>
            <w:pPr>
              <w:rPr>
                <w:rFonts w:ascii="Arial"/>
                <w:sz w:val="21"/>
              </w:rPr>
            </w:pPr>
          </w:p>
        </w:tc>
        <w:tc>
          <w:tcPr>
            <w:tcW w:w="5232" w:type="dxa"/>
            <w:vAlign w:val="top"/>
          </w:tcPr>
          <w:p>
            <w:pPr>
              <w:spacing w:before="47" w:line="243" w:lineRule="exact"/>
              <w:ind w:left="102"/>
              <w:rPr>
                <w:rFonts w:ascii="Times New Roman" w:hAnsi="Times New Roman" w:eastAsia="Times New Roman" w:cs="Times New Roman"/>
                <w:sz w:val="17"/>
                <w:szCs w:val="17"/>
              </w:rPr>
            </w:pPr>
            <w:r>
              <w:rPr>
                <w:rFonts w:ascii="Times New Roman" w:hAnsi="Times New Roman" w:eastAsia="Times New Roman" w:cs="Times New Roman"/>
                <w:position w:val="1"/>
                <w:sz w:val="17"/>
                <w:szCs w:val="17"/>
              </w:rPr>
              <w:t>N</w:t>
            </w:r>
            <w:r>
              <w:rPr>
                <w:rFonts w:ascii="Times New Roman" w:hAnsi="Times New Roman" w:eastAsia="Times New Roman" w:cs="Times New Roman"/>
                <w:spacing w:val="1"/>
                <w:position w:val="1"/>
                <w:sz w:val="17"/>
                <w:szCs w:val="17"/>
              </w:rPr>
              <w:t xml:space="preserve">3-7# </w:t>
            </w:r>
            <w:r>
              <w:rPr>
                <w:rFonts w:ascii="宋体" w:hAnsi="宋体" w:eastAsia="宋体" w:cs="宋体"/>
                <w:spacing w:val="1"/>
                <w:position w:val="1"/>
                <w:sz w:val="17"/>
                <w:szCs w:val="17"/>
              </w:rPr>
              <w:t xml:space="preserve">，“宏义 ·江湾城”小区 </w:t>
            </w:r>
            <w:r>
              <w:rPr>
                <w:rFonts w:ascii="Times New Roman" w:hAnsi="Times New Roman" w:eastAsia="Times New Roman" w:cs="Times New Roman"/>
                <w:spacing w:val="1"/>
                <w:position w:val="1"/>
                <w:sz w:val="17"/>
                <w:szCs w:val="17"/>
              </w:rPr>
              <w:t xml:space="preserve">5 </w:t>
            </w:r>
            <w:r>
              <w:rPr>
                <w:rFonts w:ascii="宋体" w:hAnsi="宋体" w:eastAsia="宋体" w:cs="宋体"/>
                <w:spacing w:val="1"/>
                <w:position w:val="1"/>
                <w:sz w:val="17"/>
                <w:szCs w:val="17"/>
              </w:rPr>
              <w:t xml:space="preserve">期 </w:t>
            </w:r>
            <w:r>
              <w:rPr>
                <w:rFonts w:ascii="Times New Roman" w:hAnsi="Times New Roman" w:eastAsia="Times New Roman" w:cs="Times New Roman"/>
                <w:spacing w:val="1"/>
                <w:position w:val="1"/>
                <w:sz w:val="17"/>
                <w:szCs w:val="17"/>
              </w:rPr>
              <w:t xml:space="preserve">15 </w:t>
            </w:r>
            <w:r>
              <w:rPr>
                <w:rFonts w:ascii="宋体" w:hAnsi="宋体" w:eastAsia="宋体" w:cs="宋体"/>
                <w:position w:val="1"/>
                <w:sz w:val="17"/>
                <w:szCs w:val="17"/>
              </w:rPr>
              <w:t xml:space="preserve">号楼临拟建桥梁一侧 </w:t>
            </w:r>
            <w:r>
              <w:rPr>
                <w:rFonts w:ascii="Times New Roman" w:hAnsi="Times New Roman" w:eastAsia="Times New Roman" w:cs="Times New Roman"/>
                <w:position w:val="1"/>
                <w:sz w:val="17"/>
                <w:szCs w:val="17"/>
              </w:rPr>
              <w:t>25F</w:t>
            </w:r>
          </w:p>
        </w:tc>
        <w:tc>
          <w:tcPr>
            <w:tcW w:w="908" w:type="dxa"/>
            <w:vMerge w:val="continue"/>
            <w:tcBorders>
              <w:top w:val="nil"/>
              <w:bottom w:val="nil"/>
            </w:tcBorders>
            <w:vAlign w:val="top"/>
          </w:tcPr>
          <w:p>
            <w:pPr>
              <w:rPr>
                <w:rFonts w:ascii="Arial"/>
                <w:sz w:val="21"/>
              </w:rPr>
            </w:pPr>
          </w:p>
        </w:tc>
        <w:tc>
          <w:tcPr>
            <w:tcW w:w="942" w:type="dxa"/>
            <w:vMerge w:val="continue"/>
            <w:tcBorders>
              <w:top w:val="nil"/>
              <w:bottom w:val="nil"/>
            </w:tcBorders>
            <w:vAlign w:val="top"/>
          </w:tcPr>
          <w:p>
            <w:pPr>
              <w:rPr>
                <w:rFonts w:ascii="Arial"/>
                <w:sz w:val="21"/>
              </w:rPr>
            </w:pPr>
          </w:p>
        </w:tc>
        <w:tc>
          <w:tcPr>
            <w:tcW w:w="16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23" w:type="dxa"/>
            <w:vMerge w:val="continue"/>
            <w:tcBorders>
              <w:top w:val="nil"/>
              <w:left w:val="single" w:color="000000" w:sz="6" w:space="0"/>
            </w:tcBorders>
            <w:vAlign w:val="top"/>
          </w:tcPr>
          <w:p>
            <w:pPr>
              <w:rPr>
                <w:rFonts w:ascii="Arial"/>
                <w:sz w:val="21"/>
              </w:rPr>
            </w:pPr>
          </w:p>
        </w:tc>
        <w:tc>
          <w:tcPr>
            <w:tcW w:w="1056" w:type="dxa"/>
            <w:vMerge w:val="continue"/>
            <w:tcBorders>
              <w:top w:val="nil"/>
            </w:tcBorders>
            <w:vAlign w:val="top"/>
          </w:tcPr>
          <w:p>
            <w:pPr>
              <w:rPr>
                <w:rFonts w:ascii="Arial"/>
                <w:sz w:val="21"/>
              </w:rPr>
            </w:pPr>
          </w:p>
        </w:tc>
        <w:tc>
          <w:tcPr>
            <w:tcW w:w="5232" w:type="dxa"/>
            <w:vAlign w:val="top"/>
          </w:tcPr>
          <w:p>
            <w:pPr>
              <w:spacing w:before="53" w:line="242" w:lineRule="exact"/>
              <w:ind w:left="102"/>
              <w:rPr>
                <w:rFonts w:ascii="Times New Roman" w:hAnsi="Times New Roman" w:eastAsia="Times New Roman" w:cs="Times New Roman"/>
                <w:sz w:val="17"/>
                <w:szCs w:val="17"/>
              </w:rPr>
            </w:pPr>
            <w:r>
              <w:rPr>
                <w:rFonts w:ascii="Times New Roman" w:hAnsi="Times New Roman" w:eastAsia="Times New Roman" w:cs="Times New Roman"/>
                <w:position w:val="1"/>
                <w:sz w:val="17"/>
                <w:szCs w:val="17"/>
              </w:rPr>
              <w:t>N</w:t>
            </w:r>
            <w:r>
              <w:rPr>
                <w:rFonts w:ascii="Times New Roman" w:hAnsi="Times New Roman" w:eastAsia="Times New Roman" w:cs="Times New Roman"/>
                <w:spacing w:val="1"/>
                <w:position w:val="1"/>
                <w:sz w:val="17"/>
                <w:szCs w:val="17"/>
              </w:rPr>
              <w:t xml:space="preserve">3-8# </w:t>
            </w:r>
            <w:r>
              <w:rPr>
                <w:rFonts w:ascii="宋体" w:hAnsi="宋体" w:eastAsia="宋体" w:cs="宋体"/>
                <w:spacing w:val="1"/>
                <w:position w:val="1"/>
                <w:sz w:val="17"/>
                <w:szCs w:val="17"/>
              </w:rPr>
              <w:t xml:space="preserve">，“宏义 ·江湾城”小区 </w:t>
            </w:r>
            <w:r>
              <w:rPr>
                <w:rFonts w:ascii="Times New Roman" w:hAnsi="Times New Roman" w:eastAsia="Times New Roman" w:cs="Times New Roman"/>
                <w:spacing w:val="1"/>
                <w:position w:val="1"/>
                <w:sz w:val="17"/>
                <w:szCs w:val="17"/>
              </w:rPr>
              <w:t xml:space="preserve">5 </w:t>
            </w:r>
            <w:r>
              <w:rPr>
                <w:rFonts w:ascii="宋体" w:hAnsi="宋体" w:eastAsia="宋体" w:cs="宋体"/>
                <w:spacing w:val="1"/>
                <w:position w:val="1"/>
                <w:sz w:val="17"/>
                <w:szCs w:val="17"/>
              </w:rPr>
              <w:t xml:space="preserve">期 </w:t>
            </w:r>
            <w:r>
              <w:rPr>
                <w:rFonts w:ascii="Times New Roman" w:hAnsi="Times New Roman" w:eastAsia="Times New Roman" w:cs="Times New Roman"/>
                <w:spacing w:val="1"/>
                <w:position w:val="1"/>
                <w:sz w:val="17"/>
                <w:szCs w:val="17"/>
              </w:rPr>
              <w:t xml:space="preserve">15 </w:t>
            </w:r>
            <w:r>
              <w:rPr>
                <w:rFonts w:ascii="宋体" w:hAnsi="宋体" w:eastAsia="宋体" w:cs="宋体"/>
                <w:position w:val="1"/>
                <w:sz w:val="17"/>
                <w:szCs w:val="17"/>
              </w:rPr>
              <w:t xml:space="preserve">号楼临拟建桥梁一侧 </w:t>
            </w:r>
            <w:r>
              <w:rPr>
                <w:rFonts w:ascii="Times New Roman" w:hAnsi="Times New Roman" w:eastAsia="Times New Roman" w:cs="Times New Roman"/>
                <w:position w:val="1"/>
                <w:sz w:val="17"/>
                <w:szCs w:val="17"/>
              </w:rPr>
              <w:t>30F</w:t>
            </w:r>
          </w:p>
        </w:tc>
        <w:tc>
          <w:tcPr>
            <w:tcW w:w="908" w:type="dxa"/>
            <w:vMerge w:val="continue"/>
            <w:tcBorders>
              <w:top w:val="nil"/>
            </w:tcBorders>
            <w:vAlign w:val="top"/>
          </w:tcPr>
          <w:p>
            <w:pPr>
              <w:rPr>
                <w:rFonts w:ascii="Arial"/>
                <w:sz w:val="21"/>
              </w:rPr>
            </w:pPr>
          </w:p>
        </w:tc>
        <w:tc>
          <w:tcPr>
            <w:tcW w:w="942" w:type="dxa"/>
            <w:vMerge w:val="continue"/>
            <w:tcBorders>
              <w:top w:val="nil"/>
            </w:tcBorders>
            <w:vAlign w:val="top"/>
          </w:tcPr>
          <w:p>
            <w:pPr>
              <w:rPr>
                <w:rFonts w:ascii="Arial"/>
                <w:sz w:val="21"/>
              </w:rPr>
            </w:pPr>
          </w:p>
        </w:tc>
        <w:tc>
          <w:tcPr>
            <w:tcW w:w="165" w:type="dxa"/>
            <w:vMerge w:val="continue"/>
            <w:tcBorders>
              <w:top w:val="nil"/>
              <w:right w:val="single" w:color="000000" w:sz="6" w:space="0"/>
            </w:tcBorders>
            <w:vAlign w:val="top"/>
          </w:tcPr>
          <w:p>
            <w:pPr>
              <w:rPr>
                <w:rFonts w:ascii="Arial"/>
                <w:sz w:val="21"/>
              </w:rPr>
            </w:pPr>
          </w:p>
        </w:tc>
      </w:tr>
    </w:tbl>
    <w:p>
      <w:pPr>
        <w:spacing w:line="196" w:lineRule="exact"/>
        <w:rPr>
          <w:rFonts w:ascii="Arial"/>
          <w:sz w:val="17"/>
        </w:rPr>
      </w:pPr>
    </w:p>
    <w:p>
      <w:pPr>
        <w:sectPr>
          <w:footerReference r:id="rId67" w:type="default"/>
          <w:pgSz w:w="11906" w:h="16839"/>
          <w:pgMar w:top="400" w:right="1482" w:bottom="1475" w:left="1482" w:header="0" w:footer="1315" w:gutter="0"/>
          <w:cols w:space="720" w:num="1"/>
        </w:sectPr>
      </w:pPr>
    </w:p>
    <w:p/>
    <w:p/>
    <w:p/>
    <w:p/>
    <w:p>
      <w:pPr>
        <w:spacing w:line="221" w:lineRule="exact"/>
      </w:pPr>
    </w:p>
    <w:tbl>
      <w:tblPr>
        <w:tblStyle w:val="4"/>
        <w:tblW w:w="892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2"/>
        <w:gridCol w:w="83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93" w:hRule="atLeast"/>
        </w:trPr>
        <w:tc>
          <w:tcPr>
            <w:tcW w:w="622" w:type="dxa"/>
            <w:tcBorders>
              <w:left w:val="single" w:color="000000" w:sz="6" w:space="0"/>
            </w:tcBorders>
            <w:vAlign w:val="top"/>
          </w:tcPr>
          <w:p>
            <w:pPr>
              <w:rPr>
                <w:rFonts w:ascii="Arial"/>
                <w:sz w:val="21"/>
              </w:rPr>
            </w:pPr>
          </w:p>
        </w:tc>
        <w:tc>
          <w:tcPr>
            <w:tcW w:w="8304" w:type="dxa"/>
            <w:tcBorders>
              <w:right w:val="single" w:color="000000" w:sz="6" w:space="0"/>
            </w:tcBorders>
            <w:vAlign w:val="top"/>
          </w:tcPr>
          <w:p>
            <w:pPr>
              <w:spacing w:before="140" w:line="226" w:lineRule="auto"/>
              <w:ind w:left="524"/>
              <w:rPr>
                <w:rFonts w:ascii="宋体" w:hAnsi="宋体" w:eastAsia="宋体" w:cs="宋体"/>
                <w:sz w:val="20"/>
                <w:szCs w:val="20"/>
              </w:rPr>
            </w:pPr>
            <w:r>
              <w:rPr>
                <w:rFonts w:ascii="宋体" w:hAnsi="宋体" w:eastAsia="宋体" w:cs="宋体"/>
                <w:spacing w:val="15"/>
                <w:sz w:val="20"/>
                <w:szCs w:val="20"/>
              </w:rPr>
              <w:t>将</w:t>
            </w:r>
            <w:r>
              <w:rPr>
                <w:rFonts w:ascii="宋体" w:hAnsi="宋体" w:eastAsia="宋体" w:cs="宋体"/>
                <w:spacing w:val="9"/>
                <w:sz w:val="20"/>
                <w:szCs w:val="20"/>
              </w:rPr>
              <w:t>监测结果与评价标准进行对照，得出评价结果如下。</w:t>
            </w:r>
          </w:p>
          <w:p>
            <w:pPr>
              <w:spacing w:before="92" w:line="268" w:lineRule="exact"/>
              <w:ind w:left="1666"/>
              <w:rPr>
                <w:rFonts w:ascii="黑体" w:hAnsi="黑体" w:eastAsia="黑体" w:cs="黑体"/>
                <w:sz w:val="19"/>
                <w:szCs w:val="19"/>
              </w:rPr>
            </w:pPr>
            <w:r>
              <w:rPr>
                <w:rFonts w:ascii="黑体" w:hAnsi="黑体" w:eastAsia="黑体" w:cs="黑体"/>
                <w:spacing w:val="7"/>
                <w:position w:val="1"/>
                <w:sz w:val="19"/>
                <w:szCs w:val="19"/>
              </w:rPr>
              <w:t>表</w:t>
            </w:r>
            <w:r>
              <w:rPr>
                <w:rFonts w:ascii="Times New Roman" w:hAnsi="Times New Roman" w:eastAsia="Times New Roman" w:cs="Times New Roman"/>
                <w:spacing w:val="7"/>
                <w:position w:val="1"/>
                <w:sz w:val="19"/>
                <w:szCs w:val="19"/>
              </w:rPr>
              <w:t xml:space="preserve">29    </w:t>
            </w:r>
            <w:r>
              <w:rPr>
                <w:rFonts w:ascii="黑体" w:hAnsi="黑体" w:eastAsia="黑体" w:cs="黑体"/>
                <w:spacing w:val="7"/>
                <w:position w:val="1"/>
                <w:sz w:val="19"/>
                <w:szCs w:val="19"/>
              </w:rPr>
              <w:t>噪声环境现状评价结果表        单位：</w:t>
            </w:r>
            <w:r>
              <w:rPr>
                <w:rFonts w:ascii="Times New Roman" w:hAnsi="Times New Roman" w:eastAsia="Times New Roman" w:cs="Times New Roman"/>
                <w:position w:val="1"/>
                <w:sz w:val="19"/>
                <w:szCs w:val="19"/>
              </w:rPr>
              <w:t>dB</w:t>
            </w:r>
            <w:r>
              <w:rPr>
                <w:rFonts w:ascii="Times New Roman" w:hAnsi="Times New Roman" w:eastAsia="Times New Roman" w:cs="Times New Roman"/>
                <w:spacing w:val="7"/>
                <w:position w:val="1"/>
                <w:sz w:val="19"/>
                <w:szCs w:val="19"/>
              </w:rPr>
              <w:t xml:space="preserve">  </w:t>
            </w:r>
            <w:r>
              <w:rPr>
                <w:rFonts w:ascii="黑体" w:hAnsi="黑体" w:eastAsia="黑体" w:cs="黑体"/>
                <w:spacing w:val="7"/>
                <w:position w:val="1"/>
                <w:sz w:val="19"/>
                <w:szCs w:val="19"/>
              </w:rPr>
              <w:t>(</w:t>
            </w:r>
            <w:r>
              <w:rPr>
                <w:rFonts w:ascii="Times New Roman" w:hAnsi="Times New Roman" w:eastAsia="Times New Roman" w:cs="Times New Roman"/>
                <w:position w:val="1"/>
                <w:sz w:val="19"/>
                <w:szCs w:val="19"/>
              </w:rPr>
              <w:t>A</w:t>
            </w:r>
            <w:r>
              <w:rPr>
                <w:rFonts w:ascii="黑体" w:hAnsi="黑体" w:eastAsia="黑体" w:cs="黑体"/>
                <w:spacing w:val="4"/>
                <w:position w:val="1"/>
                <w:sz w:val="19"/>
                <w:szCs w:val="19"/>
              </w:rPr>
              <w:t>)</w:t>
            </w:r>
          </w:p>
          <w:p>
            <w:pPr>
              <w:spacing w:line="103" w:lineRule="auto"/>
              <w:rPr>
                <w:rFonts w:ascii="Arial"/>
                <w:sz w:val="2"/>
              </w:rPr>
            </w:pPr>
          </w:p>
          <w:tbl>
            <w:tblPr>
              <w:tblStyle w:val="4"/>
              <w:tblW w:w="7841" w:type="dxa"/>
              <w:tblInd w:w="2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8"/>
              <w:gridCol w:w="609"/>
              <w:gridCol w:w="1195"/>
              <w:gridCol w:w="697"/>
              <w:gridCol w:w="1163"/>
              <w:gridCol w:w="669"/>
              <w:gridCol w:w="855"/>
              <w:gridCol w:w="867"/>
              <w:gridCol w:w="8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898" w:type="dxa"/>
                  <w:vMerge w:val="restart"/>
                  <w:tcBorders>
                    <w:bottom w:val="nil"/>
                  </w:tcBorders>
                  <w:vAlign w:val="top"/>
                </w:tcPr>
                <w:p>
                  <w:pPr>
                    <w:spacing w:before="240" w:line="230" w:lineRule="auto"/>
                    <w:ind w:left="101"/>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点</w:t>
                  </w:r>
                  <w:r>
                    <w:rPr>
                      <w:rFonts w:ascii="宋体" w:hAnsi="宋体" w:eastAsia="宋体" w:cs="宋体"/>
                      <w:spacing w:val="6"/>
                      <w:sz w:val="17"/>
                      <w:szCs w:val="17"/>
                      <w14:textOutline w14:w="3268" w14:cap="sq" w14:cmpd="sng">
                        <w14:solidFill>
                          <w14:srgbClr w14:val="000000"/>
                        </w14:solidFill>
                        <w14:prstDash w14:val="solid"/>
                        <w14:bevel/>
                      </w14:textOutline>
                    </w:rPr>
                    <w:t>位编号</w:t>
                  </w:r>
                </w:p>
              </w:tc>
              <w:tc>
                <w:tcPr>
                  <w:tcW w:w="609" w:type="dxa"/>
                  <w:vMerge w:val="restart"/>
                  <w:tcBorders>
                    <w:bottom w:val="nil"/>
                  </w:tcBorders>
                  <w:vAlign w:val="top"/>
                </w:tcPr>
                <w:p>
                  <w:pPr>
                    <w:spacing w:before="239" w:line="232" w:lineRule="auto"/>
                    <w:ind w:left="136"/>
                    <w:rPr>
                      <w:rFonts w:ascii="宋体" w:hAnsi="宋体" w:eastAsia="宋体" w:cs="宋体"/>
                      <w:sz w:val="17"/>
                      <w:szCs w:val="17"/>
                    </w:rPr>
                  </w:pPr>
                  <w:r>
                    <w:rPr>
                      <w:rFonts w:ascii="宋体" w:hAnsi="宋体" w:eastAsia="宋体" w:cs="宋体"/>
                      <w:spacing w:val="2"/>
                      <w:sz w:val="17"/>
                      <w:szCs w:val="17"/>
                      <w14:textOutline w14:w="3268" w14:cap="sq" w14:cmpd="sng">
                        <w14:solidFill>
                          <w14:srgbClr w14:val="000000"/>
                        </w14:solidFill>
                        <w14:prstDash w14:val="solid"/>
                        <w14:bevel/>
                      </w14:textOutline>
                    </w:rPr>
                    <w:t>时段</w:t>
                  </w:r>
                </w:p>
              </w:tc>
              <w:tc>
                <w:tcPr>
                  <w:tcW w:w="1892" w:type="dxa"/>
                  <w:gridSpan w:val="2"/>
                  <w:vAlign w:val="top"/>
                </w:tcPr>
                <w:p>
                  <w:pPr>
                    <w:spacing w:before="110" w:line="197" w:lineRule="auto"/>
                    <w:ind w:left="586"/>
                    <w:rPr>
                      <w:rFonts w:ascii="Times New Roman" w:hAnsi="Times New Roman" w:eastAsia="Times New Roman" w:cs="Times New Roman"/>
                      <w:sz w:val="17"/>
                      <w:szCs w:val="17"/>
                    </w:rPr>
                  </w:pPr>
                  <w:r>
                    <w:rPr>
                      <w:rFonts w:ascii="Times New Roman" w:hAnsi="Times New Roman" w:eastAsia="Times New Roman" w:cs="Times New Roman"/>
                      <w:b/>
                      <w:bCs/>
                      <w:spacing w:val="4"/>
                      <w:sz w:val="17"/>
                      <w:szCs w:val="17"/>
                    </w:rPr>
                    <w:t>2023.3.30</w:t>
                  </w:r>
                </w:p>
              </w:tc>
              <w:tc>
                <w:tcPr>
                  <w:tcW w:w="1832" w:type="dxa"/>
                  <w:gridSpan w:val="2"/>
                  <w:vAlign w:val="top"/>
                </w:tcPr>
                <w:p>
                  <w:pPr>
                    <w:spacing w:before="110" w:line="197" w:lineRule="auto"/>
                    <w:ind w:left="556"/>
                    <w:rPr>
                      <w:rFonts w:ascii="Times New Roman" w:hAnsi="Times New Roman" w:eastAsia="Times New Roman" w:cs="Times New Roman"/>
                      <w:sz w:val="17"/>
                      <w:szCs w:val="17"/>
                    </w:rPr>
                  </w:pPr>
                  <w:r>
                    <w:rPr>
                      <w:rFonts w:ascii="Times New Roman" w:hAnsi="Times New Roman" w:eastAsia="Times New Roman" w:cs="Times New Roman"/>
                      <w:b/>
                      <w:bCs/>
                      <w:spacing w:val="4"/>
                      <w:sz w:val="17"/>
                      <w:szCs w:val="17"/>
                    </w:rPr>
                    <w:t>2023.3.31</w:t>
                  </w:r>
                </w:p>
              </w:tc>
              <w:tc>
                <w:tcPr>
                  <w:tcW w:w="855" w:type="dxa"/>
                  <w:vMerge w:val="restart"/>
                  <w:tcBorders>
                    <w:bottom w:val="nil"/>
                  </w:tcBorders>
                  <w:vAlign w:val="top"/>
                </w:tcPr>
                <w:p>
                  <w:pPr>
                    <w:spacing w:before="239" w:line="229" w:lineRule="auto"/>
                    <w:ind w:left="70"/>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评价标准</w:t>
                  </w:r>
                </w:p>
              </w:tc>
              <w:tc>
                <w:tcPr>
                  <w:tcW w:w="1755" w:type="dxa"/>
                  <w:gridSpan w:val="2"/>
                  <w:vAlign w:val="top"/>
                </w:tcPr>
                <w:p>
                  <w:pPr>
                    <w:spacing w:before="81" w:line="229" w:lineRule="auto"/>
                    <w:ind w:left="519"/>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评价结果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98" w:type="dxa"/>
                  <w:vMerge w:val="continue"/>
                  <w:tcBorders>
                    <w:top w:val="nil"/>
                  </w:tcBorders>
                  <w:vAlign w:val="top"/>
                </w:tcPr>
                <w:p>
                  <w:pPr>
                    <w:rPr>
                      <w:rFonts w:ascii="Arial"/>
                      <w:sz w:val="21"/>
                    </w:rPr>
                  </w:pPr>
                </w:p>
              </w:tc>
              <w:tc>
                <w:tcPr>
                  <w:tcW w:w="609" w:type="dxa"/>
                  <w:vMerge w:val="continue"/>
                  <w:tcBorders>
                    <w:top w:val="nil"/>
                  </w:tcBorders>
                  <w:vAlign w:val="top"/>
                </w:tcPr>
                <w:p>
                  <w:pPr>
                    <w:rPr>
                      <w:rFonts w:ascii="Arial"/>
                      <w:sz w:val="21"/>
                    </w:rPr>
                  </w:pPr>
                </w:p>
              </w:tc>
              <w:tc>
                <w:tcPr>
                  <w:tcW w:w="1195" w:type="dxa"/>
                  <w:vAlign w:val="top"/>
                </w:tcPr>
                <w:p>
                  <w:pPr>
                    <w:spacing w:before="76" w:line="232" w:lineRule="auto"/>
                    <w:ind w:left="239"/>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监</w:t>
                  </w:r>
                  <w:r>
                    <w:rPr>
                      <w:rFonts w:ascii="宋体" w:hAnsi="宋体" w:eastAsia="宋体" w:cs="宋体"/>
                      <w:spacing w:val="8"/>
                      <w:sz w:val="17"/>
                      <w:szCs w:val="17"/>
                      <w14:textOutline w14:w="3268" w14:cap="sq" w14:cmpd="sng">
                        <w14:solidFill>
                          <w14:srgbClr w14:val="000000"/>
                        </w14:solidFill>
                        <w14:prstDash w14:val="solid"/>
                        <w14:bevel/>
                      </w14:textOutline>
                    </w:rPr>
                    <w:t>测时间</w:t>
                  </w:r>
                </w:p>
              </w:tc>
              <w:tc>
                <w:tcPr>
                  <w:tcW w:w="697" w:type="dxa"/>
                  <w:vAlign w:val="top"/>
                </w:tcPr>
                <w:p>
                  <w:pPr>
                    <w:spacing w:before="77" w:line="230" w:lineRule="auto"/>
                    <w:ind w:left="89"/>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噪</w:t>
                  </w:r>
                  <w:r>
                    <w:rPr>
                      <w:rFonts w:ascii="宋体" w:hAnsi="宋体" w:eastAsia="宋体" w:cs="宋体"/>
                      <w:spacing w:val="5"/>
                      <w:sz w:val="17"/>
                      <w:szCs w:val="17"/>
                      <w14:textOutline w14:w="3268" w14:cap="sq" w14:cmpd="sng">
                        <w14:solidFill>
                          <w14:srgbClr w14:val="000000"/>
                        </w14:solidFill>
                        <w14:prstDash w14:val="solid"/>
                        <w14:bevel/>
                      </w14:textOutline>
                    </w:rPr>
                    <w:t>声值</w:t>
                  </w:r>
                </w:p>
              </w:tc>
              <w:tc>
                <w:tcPr>
                  <w:tcW w:w="1163" w:type="dxa"/>
                  <w:vAlign w:val="top"/>
                </w:tcPr>
                <w:p>
                  <w:pPr>
                    <w:spacing w:before="76" w:line="232" w:lineRule="auto"/>
                    <w:ind w:left="224"/>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监</w:t>
                  </w:r>
                  <w:r>
                    <w:rPr>
                      <w:rFonts w:ascii="宋体" w:hAnsi="宋体" w:eastAsia="宋体" w:cs="宋体"/>
                      <w:spacing w:val="8"/>
                      <w:sz w:val="17"/>
                      <w:szCs w:val="17"/>
                      <w14:textOutline w14:w="3268" w14:cap="sq" w14:cmpd="sng">
                        <w14:solidFill>
                          <w14:srgbClr w14:val="000000"/>
                        </w14:solidFill>
                        <w14:prstDash w14:val="solid"/>
                        <w14:bevel/>
                      </w14:textOutline>
                    </w:rPr>
                    <w:t>测时间</w:t>
                  </w:r>
                </w:p>
              </w:tc>
              <w:tc>
                <w:tcPr>
                  <w:tcW w:w="669" w:type="dxa"/>
                  <w:vAlign w:val="top"/>
                </w:tcPr>
                <w:p>
                  <w:pPr>
                    <w:spacing w:before="77" w:line="230" w:lineRule="auto"/>
                    <w:ind w:left="77"/>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噪</w:t>
                  </w:r>
                  <w:r>
                    <w:rPr>
                      <w:rFonts w:ascii="宋体" w:hAnsi="宋体" w:eastAsia="宋体" w:cs="宋体"/>
                      <w:spacing w:val="5"/>
                      <w:sz w:val="17"/>
                      <w:szCs w:val="17"/>
                      <w14:textOutline w14:w="3268" w14:cap="sq" w14:cmpd="sng">
                        <w14:solidFill>
                          <w14:srgbClr w14:val="000000"/>
                        </w14:solidFill>
                        <w14:prstDash w14:val="solid"/>
                        <w14:bevel/>
                      </w14:textOutline>
                    </w:rPr>
                    <w:t>声值</w:t>
                  </w:r>
                </w:p>
              </w:tc>
              <w:tc>
                <w:tcPr>
                  <w:tcW w:w="855" w:type="dxa"/>
                  <w:vMerge w:val="continue"/>
                  <w:tcBorders>
                    <w:top w:val="nil"/>
                  </w:tcBorders>
                  <w:vAlign w:val="top"/>
                </w:tcPr>
                <w:p>
                  <w:pPr>
                    <w:rPr>
                      <w:rFonts w:ascii="Arial"/>
                      <w:sz w:val="21"/>
                    </w:rPr>
                  </w:pPr>
                </w:p>
              </w:tc>
              <w:tc>
                <w:tcPr>
                  <w:tcW w:w="867" w:type="dxa"/>
                  <w:vAlign w:val="top"/>
                </w:tcPr>
                <w:p>
                  <w:pPr>
                    <w:spacing w:before="107" w:line="197" w:lineRule="auto"/>
                    <w:ind w:left="77"/>
                    <w:rPr>
                      <w:rFonts w:ascii="Times New Roman" w:hAnsi="Times New Roman" w:eastAsia="Times New Roman" w:cs="Times New Roman"/>
                      <w:sz w:val="17"/>
                      <w:szCs w:val="17"/>
                    </w:rPr>
                  </w:pPr>
                  <w:r>
                    <w:rPr>
                      <w:rFonts w:ascii="Times New Roman" w:hAnsi="Times New Roman" w:eastAsia="Times New Roman" w:cs="Times New Roman"/>
                      <w:b/>
                      <w:bCs/>
                      <w:spacing w:val="4"/>
                      <w:sz w:val="17"/>
                      <w:szCs w:val="17"/>
                    </w:rPr>
                    <w:t>2023.3.30</w:t>
                  </w:r>
                </w:p>
              </w:tc>
              <w:tc>
                <w:tcPr>
                  <w:tcW w:w="888" w:type="dxa"/>
                  <w:vAlign w:val="top"/>
                </w:tcPr>
                <w:p>
                  <w:pPr>
                    <w:spacing w:before="107" w:line="197" w:lineRule="auto"/>
                    <w:ind w:left="86"/>
                    <w:rPr>
                      <w:rFonts w:ascii="Times New Roman" w:hAnsi="Times New Roman" w:eastAsia="Times New Roman" w:cs="Times New Roman"/>
                      <w:sz w:val="17"/>
                      <w:szCs w:val="17"/>
                    </w:rPr>
                  </w:pPr>
                  <w:r>
                    <w:rPr>
                      <w:rFonts w:ascii="Times New Roman" w:hAnsi="Times New Roman" w:eastAsia="Times New Roman" w:cs="Times New Roman"/>
                      <w:b/>
                      <w:bCs/>
                      <w:spacing w:val="4"/>
                      <w:sz w:val="17"/>
                      <w:szCs w:val="17"/>
                    </w:rPr>
                    <w:t>2023.3.31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98" w:type="dxa"/>
                  <w:vMerge w:val="restart"/>
                  <w:tcBorders>
                    <w:bottom w:val="nil"/>
                  </w:tcBorders>
                  <w:vAlign w:val="top"/>
                </w:tcPr>
                <w:p>
                  <w:pPr>
                    <w:spacing w:before="203" w:line="242" w:lineRule="exact"/>
                    <w:ind w:left="289"/>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10"/>
                      <w:position w:val="2"/>
                      <w:sz w:val="17"/>
                      <w:szCs w:val="17"/>
                    </w:rPr>
                    <w:t>1#</w:t>
                  </w:r>
                </w:p>
              </w:tc>
              <w:tc>
                <w:tcPr>
                  <w:tcW w:w="609" w:type="dxa"/>
                  <w:vAlign w:val="top"/>
                </w:tcPr>
                <w:p>
                  <w:pPr>
                    <w:spacing w:before="77" w:line="233" w:lineRule="auto"/>
                    <w:ind w:left="127"/>
                    <w:rPr>
                      <w:rFonts w:ascii="宋体" w:hAnsi="宋体" w:eastAsia="宋体" w:cs="宋体"/>
                      <w:sz w:val="17"/>
                      <w:szCs w:val="17"/>
                    </w:rPr>
                  </w:pPr>
                  <w:r>
                    <w:rPr>
                      <w:rFonts w:ascii="宋体" w:hAnsi="宋体" w:eastAsia="宋体" w:cs="宋体"/>
                      <w:spacing w:val="7"/>
                      <w:sz w:val="17"/>
                      <w:szCs w:val="17"/>
                    </w:rPr>
                    <w:t>昼</w:t>
                  </w:r>
                  <w:r>
                    <w:rPr>
                      <w:rFonts w:ascii="宋体" w:hAnsi="宋体" w:eastAsia="宋体" w:cs="宋体"/>
                      <w:spacing w:val="6"/>
                      <w:sz w:val="17"/>
                      <w:szCs w:val="17"/>
                    </w:rPr>
                    <w:t>间</w:t>
                  </w:r>
                </w:p>
              </w:tc>
              <w:tc>
                <w:tcPr>
                  <w:tcW w:w="1195" w:type="dxa"/>
                  <w:vAlign w:val="top"/>
                </w:tcPr>
                <w:p>
                  <w:pPr>
                    <w:spacing w:before="108" w:line="197" w:lineRule="auto"/>
                    <w:ind w:left="15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0:32~ 10:52</w:t>
                  </w:r>
                </w:p>
              </w:tc>
              <w:tc>
                <w:tcPr>
                  <w:tcW w:w="697" w:type="dxa"/>
                  <w:vAlign w:val="top"/>
                </w:tcPr>
                <w:p>
                  <w:pPr>
                    <w:spacing w:before="108" w:line="197" w:lineRule="auto"/>
                    <w:ind w:left="26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1163" w:type="dxa"/>
                  <w:vAlign w:val="top"/>
                </w:tcPr>
                <w:p>
                  <w:pPr>
                    <w:spacing w:before="108" w:line="197" w:lineRule="auto"/>
                    <w:ind w:left="14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4:00~ 14:20</w:t>
                  </w:r>
                </w:p>
              </w:tc>
              <w:tc>
                <w:tcPr>
                  <w:tcW w:w="669" w:type="dxa"/>
                  <w:vAlign w:val="top"/>
                </w:tcPr>
                <w:p>
                  <w:pPr>
                    <w:spacing w:before="108" w:line="197" w:lineRule="auto"/>
                    <w:ind w:left="25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855" w:type="dxa"/>
                  <w:vAlign w:val="top"/>
                </w:tcPr>
                <w:p>
                  <w:pPr>
                    <w:spacing w:before="108" w:line="197" w:lineRule="auto"/>
                    <w:ind w:left="34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867" w:type="dxa"/>
                  <w:vAlign w:val="top"/>
                </w:tcPr>
                <w:p>
                  <w:pPr>
                    <w:spacing w:before="77" w:line="231" w:lineRule="auto"/>
                    <w:ind w:left="259"/>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888" w:type="dxa"/>
                  <w:vAlign w:val="top"/>
                </w:tcPr>
                <w:p>
                  <w:pPr>
                    <w:spacing w:before="77" w:line="231" w:lineRule="auto"/>
                    <w:ind w:left="268"/>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98" w:type="dxa"/>
                  <w:vMerge w:val="continue"/>
                  <w:tcBorders>
                    <w:top w:val="nil"/>
                  </w:tcBorders>
                  <w:vAlign w:val="top"/>
                </w:tcPr>
                <w:p>
                  <w:pPr>
                    <w:rPr>
                      <w:rFonts w:ascii="Arial"/>
                      <w:sz w:val="21"/>
                    </w:rPr>
                  </w:pPr>
                </w:p>
              </w:tc>
              <w:tc>
                <w:tcPr>
                  <w:tcW w:w="609" w:type="dxa"/>
                  <w:vAlign w:val="top"/>
                </w:tcPr>
                <w:p>
                  <w:pPr>
                    <w:spacing w:before="80" w:line="230" w:lineRule="auto"/>
                    <w:ind w:left="130"/>
                    <w:rPr>
                      <w:rFonts w:ascii="宋体" w:hAnsi="宋体" w:eastAsia="宋体" w:cs="宋体"/>
                      <w:sz w:val="17"/>
                      <w:szCs w:val="17"/>
                    </w:rPr>
                  </w:pPr>
                  <w:r>
                    <w:rPr>
                      <w:rFonts w:ascii="宋体" w:hAnsi="宋体" w:eastAsia="宋体" w:cs="宋体"/>
                      <w:spacing w:val="5"/>
                      <w:sz w:val="17"/>
                      <w:szCs w:val="17"/>
                    </w:rPr>
                    <w:t>夜间</w:t>
                  </w:r>
                </w:p>
              </w:tc>
              <w:tc>
                <w:tcPr>
                  <w:tcW w:w="1195" w:type="dxa"/>
                  <w:vAlign w:val="top"/>
                </w:tcPr>
                <w:p>
                  <w:pPr>
                    <w:spacing w:before="108" w:line="197" w:lineRule="auto"/>
                    <w:ind w:left="139"/>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2:00~22:20</w:t>
                  </w:r>
                </w:p>
              </w:tc>
              <w:tc>
                <w:tcPr>
                  <w:tcW w:w="697" w:type="dxa"/>
                  <w:vAlign w:val="top"/>
                </w:tcPr>
                <w:p>
                  <w:pPr>
                    <w:spacing w:before="108" w:line="197" w:lineRule="auto"/>
                    <w:ind w:left="25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1163" w:type="dxa"/>
                  <w:vAlign w:val="top"/>
                </w:tcPr>
                <w:p>
                  <w:pPr>
                    <w:spacing w:before="108" w:line="197" w:lineRule="auto"/>
                    <w:ind w:left="124"/>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2:00~22:20</w:t>
                  </w:r>
                </w:p>
              </w:tc>
              <w:tc>
                <w:tcPr>
                  <w:tcW w:w="669" w:type="dxa"/>
                  <w:vAlign w:val="top"/>
                </w:tcPr>
                <w:p>
                  <w:pPr>
                    <w:spacing w:before="108" w:line="197" w:lineRule="auto"/>
                    <w:ind w:left="24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855" w:type="dxa"/>
                  <w:vAlign w:val="top"/>
                </w:tcPr>
                <w:p>
                  <w:pPr>
                    <w:spacing w:before="108" w:line="197" w:lineRule="auto"/>
                    <w:ind w:left="34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867" w:type="dxa"/>
                  <w:vAlign w:val="top"/>
                </w:tcPr>
                <w:p>
                  <w:pPr>
                    <w:spacing w:before="80" w:line="231" w:lineRule="auto"/>
                    <w:ind w:left="259"/>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888" w:type="dxa"/>
                  <w:vAlign w:val="top"/>
                </w:tcPr>
                <w:p>
                  <w:pPr>
                    <w:spacing w:before="80" w:line="231" w:lineRule="auto"/>
                    <w:ind w:left="268"/>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98" w:type="dxa"/>
                  <w:vMerge w:val="restart"/>
                  <w:tcBorders>
                    <w:bottom w:val="nil"/>
                  </w:tcBorders>
                  <w:vAlign w:val="top"/>
                </w:tcPr>
                <w:p>
                  <w:pPr>
                    <w:spacing w:before="204" w:line="242" w:lineRule="exact"/>
                    <w:ind w:left="243"/>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12"/>
                      <w:position w:val="2"/>
                      <w:sz w:val="17"/>
                      <w:szCs w:val="17"/>
                    </w:rPr>
                    <w:t>2</w:t>
                  </w:r>
                  <w:r>
                    <w:rPr>
                      <w:rFonts w:ascii="Times New Roman" w:hAnsi="Times New Roman" w:eastAsia="Times New Roman" w:cs="Times New Roman"/>
                      <w:spacing w:val="11"/>
                      <w:position w:val="2"/>
                      <w:sz w:val="17"/>
                      <w:szCs w:val="17"/>
                    </w:rPr>
                    <w:t>#*</w:t>
                  </w:r>
                </w:p>
              </w:tc>
              <w:tc>
                <w:tcPr>
                  <w:tcW w:w="609" w:type="dxa"/>
                  <w:vAlign w:val="top"/>
                </w:tcPr>
                <w:p>
                  <w:pPr>
                    <w:spacing w:before="80" w:line="233" w:lineRule="auto"/>
                    <w:ind w:left="127"/>
                    <w:rPr>
                      <w:rFonts w:ascii="宋体" w:hAnsi="宋体" w:eastAsia="宋体" w:cs="宋体"/>
                      <w:sz w:val="17"/>
                      <w:szCs w:val="17"/>
                    </w:rPr>
                  </w:pPr>
                  <w:r>
                    <w:rPr>
                      <w:rFonts w:ascii="宋体" w:hAnsi="宋体" w:eastAsia="宋体" w:cs="宋体"/>
                      <w:spacing w:val="7"/>
                      <w:sz w:val="17"/>
                      <w:szCs w:val="17"/>
                    </w:rPr>
                    <w:t>昼</w:t>
                  </w:r>
                  <w:r>
                    <w:rPr>
                      <w:rFonts w:ascii="宋体" w:hAnsi="宋体" w:eastAsia="宋体" w:cs="宋体"/>
                      <w:spacing w:val="6"/>
                      <w:sz w:val="17"/>
                      <w:szCs w:val="17"/>
                    </w:rPr>
                    <w:t>间</w:t>
                  </w:r>
                </w:p>
              </w:tc>
              <w:tc>
                <w:tcPr>
                  <w:tcW w:w="1195" w:type="dxa"/>
                  <w:vAlign w:val="top"/>
                </w:tcPr>
                <w:p>
                  <w:pPr>
                    <w:spacing w:before="109" w:line="197" w:lineRule="auto"/>
                    <w:ind w:left="15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0:32~ 10:52</w:t>
                  </w:r>
                </w:p>
              </w:tc>
              <w:tc>
                <w:tcPr>
                  <w:tcW w:w="697" w:type="dxa"/>
                  <w:vAlign w:val="top"/>
                </w:tcPr>
                <w:p>
                  <w:pPr>
                    <w:spacing w:before="109" w:line="197" w:lineRule="auto"/>
                    <w:ind w:left="26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2</w:t>
                  </w:r>
                </w:p>
              </w:tc>
              <w:tc>
                <w:tcPr>
                  <w:tcW w:w="1163" w:type="dxa"/>
                  <w:vAlign w:val="top"/>
                </w:tcPr>
                <w:p>
                  <w:pPr>
                    <w:spacing w:before="109" w:line="197" w:lineRule="auto"/>
                    <w:ind w:left="14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4:00~ 14:20</w:t>
                  </w:r>
                </w:p>
              </w:tc>
              <w:tc>
                <w:tcPr>
                  <w:tcW w:w="669" w:type="dxa"/>
                  <w:vAlign w:val="top"/>
                </w:tcPr>
                <w:p>
                  <w:pPr>
                    <w:spacing w:before="109" w:line="197" w:lineRule="auto"/>
                    <w:ind w:left="24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1</w:t>
                  </w:r>
                </w:p>
              </w:tc>
              <w:tc>
                <w:tcPr>
                  <w:tcW w:w="855" w:type="dxa"/>
                  <w:vAlign w:val="top"/>
                </w:tcPr>
                <w:p>
                  <w:pPr>
                    <w:spacing w:before="109" w:line="197" w:lineRule="auto"/>
                    <w:ind w:left="34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70</w:t>
                  </w:r>
                </w:p>
              </w:tc>
              <w:tc>
                <w:tcPr>
                  <w:tcW w:w="867" w:type="dxa"/>
                  <w:vAlign w:val="top"/>
                </w:tcPr>
                <w:p>
                  <w:pPr>
                    <w:spacing w:before="80" w:line="231" w:lineRule="auto"/>
                    <w:ind w:left="259"/>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888" w:type="dxa"/>
                  <w:vAlign w:val="top"/>
                </w:tcPr>
                <w:p>
                  <w:pPr>
                    <w:spacing w:before="80" w:line="231" w:lineRule="auto"/>
                    <w:ind w:left="268"/>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898" w:type="dxa"/>
                  <w:vMerge w:val="continue"/>
                  <w:tcBorders>
                    <w:top w:val="nil"/>
                  </w:tcBorders>
                  <w:vAlign w:val="top"/>
                </w:tcPr>
                <w:p>
                  <w:pPr>
                    <w:rPr>
                      <w:rFonts w:ascii="Arial"/>
                      <w:sz w:val="21"/>
                    </w:rPr>
                  </w:pPr>
                </w:p>
              </w:tc>
              <w:tc>
                <w:tcPr>
                  <w:tcW w:w="609" w:type="dxa"/>
                  <w:vAlign w:val="top"/>
                </w:tcPr>
                <w:p>
                  <w:pPr>
                    <w:spacing w:before="81" w:line="230" w:lineRule="auto"/>
                    <w:ind w:left="130"/>
                    <w:rPr>
                      <w:rFonts w:ascii="宋体" w:hAnsi="宋体" w:eastAsia="宋体" w:cs="宋体"/>
                      <w:sz w:val="17"/>
                      <w:szCs w:val="17"/>
                    </w:rPr>
                  </w:pPr>
                  <w:r>
                    <w:rPr>
                      <w:rFonts w:ascii="宋体" w:hAnsi="宋体" w:eastAsia="宋体" w:cs="宋体"/>
                      <w:spacing w:val="5"/>
                      <w:sz w:val="17"/>
                      <w:szCs w:val="17"/>
                    </w:rPr>
                    <w:t>夜间</w:t>
                  </w:r>
                </w:p>
              </w:tc>
              <w:tc>
                <w:tcPr>
                  <w:tcW w:w="1195" w:type="dxa"/>
                  <w:vAlign w:val="top"/>
                </w:tcPr>
                <w:p>
                  <w:pPr>
                    <w:spacing w:before="111" w:line="197" w:lineRule="auto"/>
                    <w:ind w:left="139"/>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2:00~22:20</w:t>
                  </w:r>
                </w:p>
              </w:tc>
              <w:tc>
                <w:tcPr>
                  <w:tcW w:w="697" w:type="dxa"/>
                  <w:vAlign w:val="top"/>
                </w:tcPr>
                <w:p>
                  <w:pPr>
                    <w:spacing w:before="111" w:line="197" w:lineRule="auto"/>
                    <w:ind w:left="262"/>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1163" w:type="dxa"/>
                  <w:vAlign w:val="top"/>
                </w:tcPr>
                <w:p>
                  <w:pPr>
                    <w:spacing w:before="111" w:line="197" w:lineRule="auto"/>
                    <w:ind w:left="124"/>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2:00~22:20</w:t>
                  </w:r>
                </w:p>
              </w:tc>
              <w:tc>
                <w:tcPr>
                  <w:tcW w:w="669" w:type="dxa"/>
                  <w:vAlign w:val="top"/>
                </w:tcPr>
                <w:p>
                  <w:pPr>
                    <w:spacing w:before="111" w:line="197" w:lineRule="auto"/>
                    <w:ind w:left="25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51</w:t>
                  </w:r>
                </w:p>
              </w:tc>
              <w:tc>
                <w:tcPr>
                  <w:tcW w:w="855" w:type="dxa"/>
                  <w:vAlign w:val="top"/>
                </w:tcPr>
                <w:p>
                  <w:pPr>
                    <w:spacing w:before="114" w:line="194" w:lineRule="auto"/>
                    <w:ind w:left="34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55</w:t>
                  </w:r>
                </w:p>
              </w:tc>
              <w:tc>
                <w:tcPr>
                  <w:tcW w:w="867" w:type="dxa"/>
                  <w:vAlign w:val="top"/>
                </w:tcPr>
                <w:p>
                  <w:pPr>
                    <w:spacing w:before="80" w:line="231" w:lineRule="auto"/>
                    <w:ind w:left="259"/>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888" w:type="dxa"/>
                  <w:vAlign w:val="top"/>
                </w:tcPr>
                <w:p>
                  <w:pPr>
                    <w:spacing w:before="80" w:line="231" w:lineRule="auto"/>
                    <w:ind w:left="268"/>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898" w:type="dxa"/>
                  <w:vMerge w:val="restart"/>
                  <w:tcBorders>
                    <w:bottom w:val="nil"/>
                  </w:tcBorders>
                  <w:vAlign w:val="top"/>
                </w:tcPr>
                <w:p>
                  <w:pPr>
                    <w:spacing w:before="206" w:line="242" w:lineRule="exact"/>
                    <w:ind w:left="215"/>
                    <w:rPr>
                      <w:rFonts w:ascii="Times New Roman" w:hAnsi="Times New Roman" w:eastAsia="Times New Roman" w:cs="Times New Roman"/>
                      <w:sz w:val="17"/>
                      <w:szCs w:val="17"/>
                    </w:rPr>
                  </w:pPr>
                  <w:r>
                    <w:rPr>
                      <w:rFonts w:ascii="Times New Roman" w:hAnsi="Times New Roman" w:eastAsia="Times New Roman" w:cs="Times New Roman"/>
                      <w:spacing w:val="-2"/>
                      <w:position w:val="2"/>
                      <w:sz w:val="17"/>
                      <w:szCs w:val="17"/>
                    </w:rPr>
                    <w:t>N</w:t>
                  </w:r>
                  <w:r>
                    <w:rPr>
                      <w:rFonts w:ascii="Times New Roman" w:hAnsi="Times New Roman" w:eastAsia="Times New Roman" w:cs="Times New Roman"/>
                      <w:spacing w:val="-4"/>
                      <w:position w:val="2"/>
                      <w:sz w:val="17"/>
                      <w:szCs w:val="17"/>
                    </w:rPr>
                    <w:t>3-</w:t>
                  </w:r>
                  <w:r>
                    <w:rPr>
                      <w:rFonts w:ascii="Times New Roman" w:hAnsi="Times New Roman" w:eastAsia="Times New Roman" w:cs="Times New Roman"/>
                      <w:spacing w:val="-2"/>
                      <w:position w:val="2"/>
                      <w:sz w:val="17"/>
                      <w:szCs w:val="17"/>
                    </w:rPr>
                    <w:t xml:space="preserve"> 1#</w:t>
                  </w:r>
                </w:p>
              </w:tc>
              <w:tc>
                <w:tcPr>
                  <w:tcW w:w="609" w:type="dxa"/>
                  <w:vAlign w:val="top"/>
                </w:tcPr>
                <w:p>
                  <w:pPr>
                    <w:spacing w:before="80" w:line="233" w:lineRule="auto"/>
                    <w:ind w:left="127"/>
                    <w:rPr>
                      <w:rFonts w:ascii="宋体" w:hAnsi="宋体" w:eastAsia="宋体" w:cs="宋体"/>
                      <w:sz w:val="17"/>
                      <w:szCs w:val="17"/>
                    </w:rPr>
                  </w:pPr>
                  <w:r>
                    <w:rPr>
                      <w:rFonts w:ascii="宋体" w:hAnsi="宋体" w:eastAsia="宋体" w:cs="宋体"/>
                      <w:spacing w:val="7"/>
                      <w:sz w:val="17"/>
                      <w:szCs w:val="17"/>
                    </w:rPr>
                    <w:t>昼</w:t>
                  </w:r>
                  <w:r>
                    <w:rPr>
                      <w:rFonts w:ascii="宋体" w:hAnsi="宋体" w:eastAsia="宋体" w:cs="宋体"/>
                      <w:spacing w:val="6"/>
                      <w:sz w:val="17"/>
                      <w:szCs w:val="17"/>
                    </w:rPr>
                    <w:t>间</w:t>
                  </w:r>
                </w:p>
              </w:tc>
              <w:tc>
                <w:tcPr>
                  <w:tcW w:w="1195" w:type="dxa"/>
                  <w:vAlign w:val="top"/>
                </w:tcPr>
                <w:p>
                  <w:pPr>
                    <w:spacing w:before="111" w:line="197" w:lineRule="auto"/>
                    <w:ind w:left="16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1:26~ 11:46</w:t>
                  </w:r>
                </w:p>
              </w:tc>
              <w:tc>
                <w:tcPr>
                  <w:tcW w:w="697" w:type="dxa"/>
                  <w:vAlign w:val="top"/>
                </w:tcPr>
                <w:p>
                  <w:pPr>
                    <w:spacing w:before="111" w:line="197" w:lineRule="auto"/>
                    <w:ind w:left="262"/>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53</w:t>
                  </w:r>
                </w:p>
              </w:tc>
              <w:tc>
                <w:tcPr>
                  <w:tcW w:w="1163" w:type="dxa"/>
                  <w:vAlign w:val="top"/>
                </w:tcPr>
                <w:p>
                  <w:pPr>
                    <w:spacing w:before="111" w:line="197" w:lineRule="auto"/>
                    <w:ind w:left="14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4:26~ 14:26</w:t>
                  </w:r>
                </w:p>
              </w:tc>
              <w:tc>
                <w:tcPr>
                  <w:tcW w:w="669" w:type="dxa"/>
                  <w:vAlign w:val="top"/>
                </w:tcPr>
                <w:p>
                  <w:pPr>
                    <w:spacing w:before="111" w:line="197" w:lineRule="auto"/>
                    <w:ind w:left="25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51</w:t>
                  </w:r>
                </w:p>
              </w:tc>
              <w:tc>
                <w:tcPr>
                  <w:tcW w:w="855" w:type="dxa"/>
                  <w:vAlign w:val="top"/>
                </w:tcPr>
                <w:p>
                  <w:pPr>
                    <w:spacing w:before="111" w:line="197" w:lineRule="auto"/>
                    <w:ind w:left="34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867" w:type="dxa"/>
                  <w:vAlign w:val="top"/>
                </w:tcPr>
                <w:p>
                  <w:pPr>
                    <w:spacing w:before="80" w:line="231" w:lineRule="auto"/>
                    <w:ind w:left="259"/>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888" w:type="dxa"/>
                  <w:vAlign w:val="top"/>
                </w:tcPr>
                <w:p>
                  <w:pPr>
                    <w:spacing w:before="80" w:line="231" w:lineRule="auto"/>
                    <w:ind w:left="268"/>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898" w:type="dxa"/>
                  <w:vMerge w:val="continue"/>
                  <w:tcBorders>
                    <w:top w:val="nil"/>
                  </w:tcBorders>
                  <w:vAlign w:val="top"/>
                </w:tcPr>
                <w:p>
                  <w:pPr>
                    <w:rPr>
                      <w:rFonts w:ascii="Arial"/>
                      <w:sz w:val="21"/>
                    </w:rPr>
                  </w:pPr>
                </w:p>
              </w:tc>
              <w:tc>
                <w:tcPr>
                  <w:tcW w:w="609" w:type="dxa"/>
                  <w:vAlign w:val="top"/>
                </w:tcPr>
                <w:p>
                  <w:pPr>
                    <w:spacing w:before="82" w:line="230" w:lineRule="auto"/>
                    <w:ind w:left="130"/>
                    <w:rPr>
                      <w:rFonts w:ascii="宋体" w:hAnsi="宋体" w:eastAsia="宋体" w:cs="宋体"/>
                      <w:sz w:val="17"/>
                      <w:szCs w:val="17"/>
                    </w:rPr>
                  </w:pPr>
                  <w:r>
                    <w:rPr>
                      <w:rFonts w:ascii="宋体" w:hAnsi="宋体" w:eastAsia="宋体" w:cs="宋体"/>
                      <w:spacing w:val="5"/>
                      <w:sz w:val="17"/>
                      <w:szCs w:val="17"/>
                    </w:rPr>
                    <w:t>夜间</w:t>
                  </w:r>
                </w:p>
              </w:tc>
              <w:tc>
                <w:tcPr>
                  <w:tcW w:w="1195" w:type="dxa"/>
                  <w:vAlign w:val="top"/>
                </w:tcPr>
                <w:p>
                  <w:pPr>
                    <w:spacing w:before="110" w:line="197" w:lineRule="auto"/>
                    <w:ind w:left="139"/>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2:33~22:53</w:t>
                  </w:r>
                </w:p>
              </w:tc>
              <w:tc>
                <w:tcPr>
                  <w:tcW w:w="697" w:type="dxa"/>
                  <w:vAlign w:val="top"/>
                </w:tcPr>
                <w:p>
                  <w:pPr>
                    <w:spacing w:before="110" w:line="197" w:lineRule="auto"/>
                    <w:ind w:left="25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48</w:t>
                  </w:r>
                </w:p>
              </w:tc>
              <w:tc>
                <w:tcPr>
                  <w:tcW w:w="1163" w:type="dxa"/>
                  <w:vAlign w:val="top"/>
                </w:tcPr>
                <w:p>
                  <w:pPr>
                    <w:spacing w:before="110" w:line="197" w:lineRule="auto"/>
                    <w:ind w:left="124"/>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2:27~22:47</w:t>
                  </w:r>
                </w:p>
              </w:tc>
              <w:tc>
                <w:tcPr>
                  <w:tcW w:w="669" w:type="dxa"/>
                  <w:vAlign w:val="top"/>
                </w:tcPr>
                <w:p>
                  <w:pPr>
                    <w:spacing w:before="110" w:line="197" w:lineRule="auto"/>
                    <w:ind w:left="24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47</w:t>
                  </w:r>
                </w:p>
              </w:tc>
              <w:tc>
                <w:tcPr>
                  <w:tcW w:w="855" w:type="dxa"/>
                  <w:vAlign w:val="top"/>
                </w:tcPr>
                <w:p>
                  <w:pPr>
                    <w:spacing w:before="110" w:line="197" w:lineRule="auto"/>
                    <w:ind w:left="34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867" w:type="dxa"/>
                  <w:vAlign w:val="top"/>
                </w:tcPr>
                <w:p>
                  <w:pPr>
                    <w:spacing w:before="82" w:line="231" w:lineRule="auto"/>
                    <w:ind w:left="259"/>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888" w:type="dxa"/>
                  <w:vAlign w:val="top"/>
                </w:tcPr>
                <w:p>
                  <w:pPr>
                    <w:spacing w:before="82" w:line="231" w:lineRule="auto"/>
                    <w:ind w:left="268"/>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898" w:type="dxa"/>
                  <w:vMerge w:val="restart"/>
                  <w:tcBorders>
                    <w:bottom w:val="nil"/>
                  </w:tcBorders>
                  <w:vAlign w:val="top"/>
                </w:tcPr>
                <w:p>
                  <w:pPr>
                    <w:spacing w:before="205" w:line="242" w:lineRule="exact"/>
                    <w:ind w:left="215"/>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7"/>
                      <w:position w:val="2"/>
                      <w:sz w:val="17"/>
                      <w:szCs w:val="17"/>
                    </w:rPr>
                    <w:t>3-2</w:t>
                  </w:r>
                  <w:r>
                    <w:rPr>
                      <w:rFonts w:ascii="Times New Roman" w:hAnsi="Times New Roman" w:eastAsia="Times New Roman" w:cs="Times New Roman"/>
                      <w:spacing w:val="6"/>
                      <w:position w:val="2"/>
                      <w:sz w:val="17"/>
                      <w:szCs w:val="17"/>
                    </w:rPr>
                    <w:t>#</w:t>
                  </w:r>
                </w:p>
              </w:tc>
              <w:tc>
                <w:tcPr>
                  <w:tcW w:w="609" w:type="dxa"/>
                  <w:vAlign w:val="top"/>
                </w:tcPr>
                <w:p>
                  <w:pPr>
                    <w:spacing w:before="81" w:line="233" w:lineRule="auto"/>
                    <w:ind w:left="127"/>
                    <w:rPr>
                      <w:rFonts w:ascii="宋体" w:hAnsi="宋体" w:eastAsia="宋体" w:cs="宋体"/>
                      <w:sz w:val="17"/>
                      <w:szCs w:val="17"/>
                    </w:rPr>
                  </w:pPr>
                  <w:r>
                    <w:rPr>
                      <w:rFonts w:ascii="宋体" w:hAnsi="宋体" w:eastAsia="宋体" w:cs="宋体"/>
                      <w:spacing w:val="7"/>
                      <w:sz w:val="17"/>
                      <w:szCs w:val="17"/>
                    </w:rPr>
                    <w:t>昼</w:t>
                  </w:r>
                  <w:r>
                    <w:rPr>
                      <w:rFonts w:ascii="宋体" w:hAnsi="宋体" w:eastAsia="宋体" w:cs="宋体"/>
                      <w:spacing w:val="6"/>
                      <w:sz w:val="17"/>
                      <w:szCs w:val="17"/>
                    </w:rPr>
                    <w:t>间</w:t>
                  </w:r>
                </w:p>
              </w:tc>
              <w:tc>
                <w:tcPr>
                  <w:tcW w:w="1195" w:type="dxa"/>
                  <w:vAlign w:val="top"/>
                </w:tcPr>
                <w:p>
                  <w:pPr>
                    <w:spacing w:before="110" w:line="197" w:lineRule="auto"/>
                    <w:ind w:left="16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1:30~ 11:50</w:t>
                  </w:r>
                </w:p>
              </w:tc>
              <w:tc>
                <w:tcPr>
                  <w:tcW w:w="697" w:type="dxa"/>
                  <w:vAlign w:val="top"/>
                </w:tcPr>
                <w:p>
                  <w:pPr>
                    <w:spacing w:before="110" w:line="197" w:lineRule="auto"/>
                    <w:ind w:left="262"/>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52</w:t>
                  </w:r>
                </w:p>
              </w:tc>
              <w:tc>
                <w:tcPr>
                  <w:tcW w:w="1163" w:type="dxa"/>
                  <w:vAlign w:val="top"/>
                </w:tcPr>
                <w:p>
                  <w:pPr>
                    <w:spacing w:before="110" w:line="197" w:lineRule="auto"/>
                    <w:ind w:left="14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4:28~ 14:48</w:t>
                  </w:r>
                </w:p>
              </w:tc>
              <w:tc>
                <w:tcPr>
                  <w:tcW w:w="669" w:type="dxa"/>
                  <w:vAlign w:val="top"/>
                </w:tcPr>
                <w:p>
                  <w:pPr>
                    <w:spacing w:before="110" w:line="197" w:lineRule="auto"/>
                    <w:ind w:left="25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51</w:t>
                  </w:r>
                </w:p>
              </w:tc>
              <w:tc>
                <w:tcPr>
                  <w:tcW w:w="855" w:type="dxa"/>
                  <w:vAlign w:val="top"/>
                </w:tcPr>
                <w:p>
                  <w:pPr>
                    <w:spacing w:before="110" w:line="197" w:lineRule="auto"/>
                    <w:ind w:left="34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867" w:type="dxa"/>
                  <w:vAlign w:val="top"/>
                </w:tcPr>
                <w:p>
                  <w:pPr>
                    <w:spacing w:before="81" w:line="231" w:lineRule="auto"/>
                    <w:ind w:left="259"/>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888" w:type="dxa"/>
                  <w:vAlign w:val="top"/>
                </w:tcPr>
                <w:p>
                  <w:pPr>
                    <w:spacing w:before="81" w:line="231" w:lineRule="auto"/>
                    <w:ind w:left="268"/>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898" w:type="dxa"/>
                  <w:vMerge w:val="continue"/>
                  <w:tcBorders>
                    <w:top w:val="nil"/>
                  </w:tcBorders>
                  <w:vAlign w:val="top"/>
                </w:tcPr>
                <w:p>
                  <w:pPr>
                    <w:rPr>
                      <w:rFonts w:ascii="Arial"/>
                      <w:sz w:val="21"/>
                    </w:rPr>
                  </w:pPr>
                </w:p>
              </w:tc>
              <w:tc>
                <w:tcPr>
                  <w:tcW w:w="609" w:type="dxa"/>
                  <w:vAlign w:val="top"/>
                </w:tcPr>
                <w:p>
                  <w:pPr>
                    <w:spacing w:before="81" w:line="230" w:lineRule="auto"/>
                    <w:ind w:left="130"/>
                    <w:rPr>
                      <w:rFonts w:ascii="宋体" w:hAnsi="宋体" w:eastAsia="宋体" w:cs="宋体"/>
                      <w:sz w:val="17"/>
                      <w:szCs w:val="17"/>
                    </w:rPr>
                  </w:pPr>
                  <w:r>
                    <w:rPr>
                      <w:rFonts w:ascii="宋体" w:hAnsi="宋体" w:eastAsia="宋体" w:cs="宋体"/>
                      <w:spacing w:val="5"/>
                      <w:sz w:val="17"/>
                      <w:szCs w:val="17"/>
                    </w:rPr>
                    <w:t>夜间</w:t>
                  </w:r>
                </w:p>
              </w:tc>
              <w:tc>
                <w:tcPr>
                  <w:tcW w:w="1195" w:type="dxa"/>
                  <w:vAlign w:val="top"/>
                </w:tcPr>
                <w:p>
                  <w:pPr>
                    <w:spacing w:before="111" w:line="197" w:lineRule="auto"/>
                    <w:ind w:left="139"/>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2:36~22:56</w:t>
                  </w:r>
                </w:p>
              </w:tc>
              <w:tc>
                <w:tcPr>
                  <w:tcW w:w="697" w:type="dxa"/>
                  <w:vAlign w:val="top"/>
                </w:tcPr>
                <w:p>
                  <w:pPr>
                    <w:spacing w:before="111" w:line="197" w:lineRule="auto"/>
                    <w:ind w:left="25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48</w:t>
                  </w:r>
                </w:p>
              </w:tc>
              <w:tc>
                <w:tcPr>
                  <w:tcW w:w="1163" w:type="dxa"/>
                  <w:vAlign w:val="top"/>
                </w:tcPr>
                <w:p>
                  <w:pPr>
                    <w:spacing w:before="111" w:line="197" w:lineRule="auto"/>
                    <w:ind w:left="124"/>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2:29~22:49</w:t>
                  </w:r>
                </w:p>
              </w:tc>
              <w:tc>
                <w:tcPr>
                  <w:tcW w:w="669" w:type="dxa"/>
                  <w:vAlign w:val="top"/>
                </w:tcPr>
                <w:p>
                  <w:pPr>
                    <w:spacing w:before="111" w:line="197" w:lineRule="auto"/>
                    <w:ind w:left="24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47</w:t>
                  </w:r>
                </w:p>
              </w:tc>
              <w:tc>
                <w:tcPr>
                  <w:tcW w:w="855" w:type="dxa"/>
                  <w:vAlign w:val="top"/>
                </w:tcPr>
                <w:p>
                  <w:pPr>
                    <w:spacing w:before="111" w:line="197" w:lineRule="auto"/>
                    <w:ind w:left="34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867" w:type="dxa"/>
                  <w:vAlign w:val="top"/>
                </w:tcPr>
                <w:p>
                  <w:pPr>
                    <w:spacing w:before="80" w:line="231" w:lineRule="auto"/>
                    <w:ind w:left="259"/>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888" w:type="dxa"/>
                  <w:vAlign w:val="top"/>
                </w:tcPr>
                <w:p>
                  <w:pPr>
                    <w:spacing w:before="80" w:line="231" w:lineRule="auto"/>
                    <w:ind w:left="268"/>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898" w:type="dxa"/>
                  <w:vMerge w:val="restart"/>
                  <w:tcBorders>
                    <w:bottom w:val="nil"/>
                  </w:tcBorders>
                  <w:vAlign w:val="top"/>
                </w:tcPr>
                <w:p>
                  <w:pPr>
                    <w:spacing w:before="206" w:line="242" w:lineRule="exact"/>
                    <w:ind w:left="215"/>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7"/>
                      <w:position w:val="2"/>
                      <w:sz w:val="17"/>
                      <w:szCs w:val="17"/>
                    </w:rPr>
                    <w:t>3-3</w:t>
                  </w:r>
                  <w:r>
                    <w:rPr>
                      <w:rFonts w:ascii="Times New Roman" w:hAnsi="Times New Roman" w:eastAsia="Times New Roman" w:cs="Times New Roman"/>
                      <w:spacing w:val="6"/>
                      <w:position w:val="2"/>
                      <w:sz w:val="17"/>
                      <w:szCs w:val="17"/>
                    </w:rPr>
                    <w:t>#</w:t>
                  </w:r>
                </w:p>
              </w:tc>
              <w:tc>
                <w:tcPr>
                  <w:tcW w:w="609" w:type="dxa"/>
                  <w:vAlign w:val="top"/>
                </w:tcPr>
                <w:p>
                  <w:pPr>
                    <w:spacing w:before="80" w:line="233" w:lineRule="auto"/>
                    <w:ind w:left="127"/>
                    <w:rPr>
                      <w:rFonts w:ascii="宋体" w:hAnsi="宋体" w:eastAsia="宋体" w:cs="宋体"/>
                      <w:sz w:val="17"/>
                      <w:szCs w:val="17"/>
                    </w:rPr>
                  </w:pPr>
                  <w:r>
                    <w:rPr>
                      <w:rFonts w:ascii="宋体" w:hAnsi="宋体" w:eastAsia="宋体" w:cs="宋体"/>
                      <w:spacing w:val="7"/>
                      <w:sz w:val="17"/>
                      <w:szCs w:val="17"/>
                    </w:rPr>
                    <w:t>昼</w:t>
                  </w:r>
                  <w:r>
                    <w:rPr>
                      <w:rFonts w:ascii="宋体" w:hAnsi="宋体" w:eastAsia="宋体" w:cs="宋体"/>
                      <w:spacing w:val="6"/>
                      <w:sz w:val="17"/>
                      <w:szCs w:val="17"/>
                    </w:rPr>
                    <w:t>间</w:t>
                  </w:r>
                </w:p>
              </w:tc>
              <w:tc>
                <w:tcPr>
                  <w:tcW w:w="1195" w:type="dxa"/>
                  <w:vAlign w:val="top"/>
                </w:tcPr>
                <w:p>
                  <w:pPr>
                    <w:spacing w:before="111" w:line="197" w:lineRule="auto"/>
                    <w:ind w:left="16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1:27~ 11:47</w:t>
                  </w:r>
                </w:p>
              </w:tc>
              <w:tc>
                <w:tcPr>
                  <w:tcW w:w="697" w:type="dxa"/>
                  <w:vAlign w:val="top"/>
                </w:tcPr>
                <w:p>
                  <w:pPr>
                    <w:spacing w:before="113" w:line="194" w:lineRule="auto"/>
                    <w:ind w:left="262"/>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55</w:t>
                  </w:r>
                </w:p>
              </w:tc>
              <w:tc>
                <w:tcPr>
                  <w:tcW w:w="1163" w:type="dxa"/>
                  <w:vAlign w:val="top"/>
                </w:tcPr>
                <w:p>
                  <w:pPr>
                    <w:spacing w:before="111" w:line="197" w:lineRule="auto"/>
                    <w:ind w:left="14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4:27~ 14:47</w:t>
                  </w:r>
                </w:p>
              </w:tc>
              <w:tc>
                <w:tcPr>
                  <w:tcW w:w="669" w:type="dxa"/>
                  <w:vAlign w:val="top"/>
                </w:tcPr>
                <w:p>
                  <w:pPr>
                    <w:spacing w:before="113" w:line="194" w:lineRule="auto"/>
                    <w:ind w:left="25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55</w:t>
                  </w:r>
                </w:p>
              </w:tc>
              <w:tc>
                <w:tcPr>
                  <w:tcW w:w="855" w:type="dxa"/>
                  <w:vAlign w:val="top"/>
                </w:tcPr>
                <w:p>
                  <w:pPr>
                    <w:spacing w:before="111" w:line="197" w:lineRule="auto"/>
                    <w:ind w:left="34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867" w:type="dxa"/>
                  <w:vAlign w:val="top"/>
                </w:tcPr>
                <w:p>
                  <w:pPr>
                    <w:spacing w:before="80" w:line="231" w:lineRule="auto"/>
                    <w:ind w:left="259"/>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888" w:type="dxa"/>
                  <w:vAlign w:val="top"/>
                </w:tcPr>
                <w:p>
                  <w:pPr>
                    <w:spacing w:before="80" w:line="231" w:lineRule="auto"/>
                    <w:ind w:left="268"/>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898" w:type="dxa"/>
                  <w:vMerge w:val="continue"/>
                  <w:tcBorders>
                    <w:top w:val="nil"/>
                  </w:tcBorders>
                  <w:vAlign w:val="top"/>
                </w:tcPr>
                <w:p>
                  <w:pPr>
                    <w:rPr>
                      <w:rFonts w:ascii="Arial"/>
                      <w:sz w:val="21"/>
                    </w:rPr>
                  </w:pPr>
                </w:p>
              </w:tc>
              <w:tc>
                <w:tcPr>
                  <w:tcW w:w="609" w:type="dxa"/>
                  <w:vAlign w:val="top"/>
                </w:tcPr>
                <w:p>
                  <w:pPr>
                    <w:spacing w:before="82" w:line="230" w:lineRule="auto"/>
                    <w:ind w:left="130"/>
                    <w:rPr>
                      <w:rFonts w:ascii="宋体" w:hAnsi="宋体" w:eastAsia="宋体" w:cs="宋体"/>
                      <w:sz w:val="17"/>
                      <w:szCs w:val="17"/>
                    </w:rPr>
                  </w:pPr>
                  <w:r>
                    <w:rPr>
                      <w:rFonts w:ascii="宋体" w:hAnsi="宋体" w:eastAsia="宋体" w:cs="宋体"/>
                      <w:spacing w:val="5"/>
                      <w:sz w:val="17"/>
                      <w:szCs w:val="17"/>
                    </w:rPr>
                    <w:t>夜间</w:t>
                  </w:r>
                </w:p>
              </w:tc>
              <w:tc>
                <w:tcPr>
                  <w:tcW w:w="1195" w:type="dxa"/>
                  <w:vAlign w:val="top"/>
                </w:tcPr>
                <w:p>
                  <w:pPr>
                    <w:spacing w:before="110" w:line="197" w:lineRule="auto"/>
                    <w:ind w:left="139"/>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2:34~22:54</w:t>
                  </w:r>
                </w:p>
              </w:tc>
              <w:tc>
                <w:tcPr>
                  <w:tcW w:w="697" w:type="dxa"/>
                  <w:vAlign w:val="top"/>
                </w:tcPr>
                <w:p>
                  <w:pPr>
                    <w:spacing w:before="110" w:line="197" w:lineRule="auto"/>
                    <w:ind w:left="25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42</w:t>
                  </w:r>
                </w:p>
              </w:tc>
              <w:tc>
                <w:tcPr>
                  <w:tcW w:w="1163" w:type="dxa"/>
                  <w:vAlign w:val="top"/>
                </w:tcPr>
                <w:p>
                  <w:pPr>
                    <w:spacing w:before="110" w:line="197" w:lineRule="auto"/>
                    <w:ind w:left="124"/>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2:27~22:47</w:t>
                  </w:r>
                </w:p>
              </w:tc>
              <w:tc>
                <w:tcPr>
                  <w:tcW w:w="669" w:type="dxa"/>
                  <w:vAlign w:val="top"/>
                </w:tcPr>
                <w:p>
                  <w:pPr>
                    <w:spacing w:before="110" w:line="197" w:lineRule="auto"/>
                    <w:ind w:left="24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w:t>
                  </w:r>
                </w:p>
              </w:tc>
              <w:tc>
                <w:tcPr>
                  <w:tcW w:w="855" w:type="dxa"/>
                  <w:vAlign w:val="top"/>
                </w:tcPr>
                <w:p>
                  <w:pPr>
                    <w:spacing w:before="110" w:line="197" w:lineRule="auto"/>
                    <w:ind w:left="34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867" w:type="dxa"/>
                  <w:vAlign w:val="top"/>
                </w:tcPr>
                <w:p>
                  <w:pPr>
                    <w:spacing w:before="82" w:line="231" w:lineRule="auto"/>
                    <w:ind w:left="259"/>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888" w:type="dxa"/>
                  <w:vAlign w:val="top"/>
                </w:tcPr>
                <w:p>
                  <w:pPr>
                    <w:spacing w:before="82" w:line="231" w:lineRule="auto"/>
                    <w:ind w:left="268"/>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898" w:type="dxa"/>
                  <w:vMerge w:val="restart"/>
                  <w:tcBorders>
                    <w:bottom w:val="nil"/>
                  </w:tcBorders>
                  <w:vAlign w:val="top"/>
                </w:tcPr>
                <w:p>
                  <w:pPr>
                    <w:spacing w:before="205" w:line="242" w:lineRule="exact"/>
                    <w:ind w:left="215"/>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7"/>
                      <w:position w:val="2"/>
                      <w:sz w:val="17"/>
                      <w:szCs w:val="17"/>
                    </w:rPr>
                    <w:t>3-4</w:t>
                  </w:r>
                  <w:r>
                    <w:rPr>
                      <w:rFonts w:ascii="Times New Roman" w:hAnsi="Times New Roman" w:eastAsia="Times New Roman" w:cs="Times New Roman"/>
                      <w:spacing w:val="6"/>
                      <w:position w:val="2"/>
                      <w:sz w:val="17"/>
                      <w:szCs w:val="17"/>
                    </w:rPr>
                    <w:t>#</w:t>
                  </w:r>
                </w:p>
              </w:tc>
              <w:tc>
                <w:tcPr>
                  <w:tcW w:w="609" w:type="dxa"/>
                  <w:vAlign w:val="top"/>
                </w:tcPr>
                <w:p>
                  <w:pPr>
                    <w:spacing w:before="81" w:line="233" w:lineRule="auto"/>
                    <w:ind w:left="127"/>
                    <w:rPr>
                      <w:rFonts w:ascii="宋体" w:hAnsi="宋体" w:eastAsia="宋体" w:cs="宋体"/>
                      <w:sz w:val="17"/>
                      <w:szCs w:val="17"/>
                    </w:rPr>
                  </w:pPr>
                  <w:r>
                    <w:rPr>
                      <w:rFonts w:ascii="宋体" w:hAnsi="宋体" w:eastAsia="宋体" w:cs="宋体"/>
                      <w:spacing w:val="7"/>
                      <w:sz w:val="17"/>
                      <w:szCs w:val="17"/>
                    </w:rPr>
                    <w:t>昼</w:t>
                  </w:r>
                  <w:r>
                    <w:rPr>
                      <w:rFonts w:ascii="宋体" w:hAnsi="宋体" w:eastAsia="宋体" w:cs="宋体"/>
                      <w:spacing w:val="6"/>
                      <w:sz w:val="17"/>
                      <w:szCs w:val="17"/>
                    </w:rPr>
                    <w:t>间</w:t>
                  </w:r>
                </w:p>
              </w:tc>
              <w:tc>
                <w:tcPr>
                  <w:tcW w:w="1195" w:type="dxa"/>
                  <w:vAlign w:val="top"/>
                </w:tcPr>
                <w:p>
                  <w:pPr>
                    <w:spacing w:before="110" w:line="197" w:lineRule="auto"/>
                    <w:ind w:left="16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1:27~ 11:47</w:t>
                  </w:r>
                </w:p>
              </w:tc>
              <w:tc>
                <w:tcPr>
                  <w:tcW w:w="697" w:type="dxa"/>
                  <w:vAlign w:val="top"/>
                </w:tcPr>
                <w:p>
                  <w:pPr>
                    <w:spacing w:before="112" w:line="194" w:lineRule="auto"/>
                    <w:ind w:left="262"/>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57</w:t>
                  </w:r>
                </w:p>
              </w:tc>
              <w:tc>
                <w:tcPr>
                  <w:tcW w:w="1163" w:type="dxa"/>
                  <w:vAlign w:val="top"/>
                </w:tcPr>
                <w:p>
                  <w:pPr>
                    <w:spacing w:before="110" w:line="197" w:lineRule="auto"/>
                    <w:ind w:left="14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4:27~ 14:47</w:t>
                  </w:r>
                </w:p>
              </w:tc>
              <w:tc>
                <w:tcPr>
                  <w:tcW w:w="669" w:type="dxa"/>
                  <w:vAlign w:val="top"/>
                </w:tcPr>
                <w:p>
                  <w:pPr>
                    <w:spacing w:before="110" w:line="197" w:lineRule="auto"/>
                    <w:ind w:left="25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53</w:t>
                  </w:r>
                </w:p>
              </w:tc>
              <w:tc>
                <w:tcPr>
                  <w:tcW w:w="855" w:type="dxa"/>
                  <w:vAlign w:val="top"/>
                </w:tcPr>
                <w:p>
                  <w:pPr>
                    <w:spacing w:before="110" w:line="197" w:lineRule="auto"/>
                    <w:ind w:left="34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867" w:type="dxa"/>
                  <w:vAlign w:val="top"/>
                </w:tcPr>
                <w:p>
                  <w:pPr>
                    <w:spacing w:before="81" w:line="231" w:lineRule="auto"/>
                    <w:ind w:left="259"/>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888" w:type="dxa"/>
                  <w:vAlign w:val="top"/>
                </w:tcPr>
                <w:p>
                  <w:pPr>
                    <w:spacing w:before="81" w:line="231" w:lineRule="auto"/>
                    <w:ind w:left="268"/>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898" w:type="dxa"/>
                  <w:vMerge w:val="continue"/>
                  <w:tcBorders>
                    <w:top w:val="nil"/>
                  </w:tcBorders>
                  <w:vAlign w:val="top"/>
                </w:tcPr>
                <w:p>
                  <w:pPr>
                    <w:rPr>
                      <w:rFonts w:ascii="Arial"/>
                      <w:sz w:val="21"/>
                    </w:rPr>
                  </w:pPr>
                </w:p>
              </w:tc>
              <w:tc>
                <w:tcPr>
                  <w:tcW w:w="609" w:type="dxa"/>
                  <w:vAlign w:val="top"/>
                </w:tcPr>
                <w:p>
                  <w:pPr>
                    <w:spacing w:before="81" w:line="230" w:lineRule="auto"/>
                    <w:ind w:left="130"/>
                    <w:rPr>
                      <w:rFonts w:ascii="宋体" w:hAnsi="宋体" w:eastAsia="宋体" w:cs="宋体"/>
                      <w:sz w:val="17"/>
                      <w:szCs w:val="17"/>
                    </w:rPr>
                  </w:pPr>
                  <w:r>
                    <w:rPr>
                      <w:rFonts w:ascii="宋体" w:hAnsi="宋体" w:eastAsia="宋体" w:cs="宋体"/>
                      <w:spacing w:val="5"/>
                      <w:sz w:val="17"/>
                      <w:szCs w:val="17"/>
                    </w:rPr>
                    <w:t>夜间</w:t>
                  </w:r>
                </w:p>
              </w:tc>
              <w:tc>
                <w:tcPr>
                  <w:tcW w:w="1195" w:type="dxa"/>
                  <w:vAlign w:val="top"/>
                </w:tcPr>
                <w:p>
                  <w:pPr>
                    <w:spacing w:before="111" w:line="197" w:lineRule="auto"/>
                    <w:ind w:left="139"/>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2:34~22:54</w:t>
                  </w:r>
                </w:p>
              </w:tc>
              <w:tc>
                <w:tcPr>
                  <w:tcW w:w="697" w:type="dxa"/>
                  <w:vAlign w:val="top"/>
                </w:tcPr>
                <w:p>
                  <w:pPr>
                    <w:spacing w:before="111" w:line="197" w:lineRule="auto"/>
                    <w:ind w:left="25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48</w:t>
                  </w:r>
                </w:p>
              </w:tc>
              <w:tc>
                <w:tcPr>
                  <w:tcW w:w="1163" w:type="dxa"/>
                  <w:vAlign w:val="top"/>
                </w:tcPr>
                <w:p>
                  <w:pPr>
                    <w:spacing w:before="111" w:line="197" w:lineRule="auto"/>
                    <w:ind w:left="124"/>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2:27~22:47</w:t>
                  </w:r>
                </w:p>
              </w:tc>
              <w:tc>
                <w:tcPr>
                  <w:tcW w:w="669" w:type="dxa"/>
                  <w:vAlign w:val="top"/>
                </w:tcPr>
                <w:p>
                  <w:pPr>
                    <w:spacing w:before="111" w:line="197" w:lineRule="auto"/>
                    <w:ind w:left="24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48</w:t>
                  </w:r>
                </w:p>
              </w:tc>
              <w:tc>
                <w:tcPr>
                  <w:tcW w:w="855" w:type="dxa"/>
                  <w:vAlign w:val="top"/>
                </w:tcPr>
                <w:p>
                  <w:pPr>
                    <w:spacing w:before="111" w:line="197" w:lineRule="auto"/>
                    <w:ind w:left="34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867" w:type="dxa"/>
                  <w:vAlign w:val="top"/>
                </w:tcPr>
                <w:p>
                  <w:pPr>
                    <w:spacing w:before="80" w:line="231" w:lineRule="auto"/>
                    <w:ind w:left="259"/>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888" w:type="dxa"/>
                  <w:vAlign w:val="top"/>
                </w:tcPr>
                <w:p>
                  <w:pPr>
                    <w:spacing w:before="80" w:line="231" w:lineRule="auto"/>
                    <w:ind w:left="268"/>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898" w:type="dxa"/>
                  <w:vMerge w:val="restart"/>
                  <w:tcBorders>
                    <w:bottom w:val="nil"/>
                  </w:tcBorders>
                  <w:vAlign w:val="top"/>
                </w:tcPr>
                <w:p>
                  <w:pPr>
                    <w:spacing w:before="206" w:line="242" w:lineRule="exact"/>
                    <w:ind w:left="215"/>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7"/>
                      <w:position w:val="2"/>
                      <w:sz w:val="17"/>
                      <w:szCs w:val="17"/>
                    </w:rPr>
                    <w:t>3-5</w:t>
                  </w:r>
                  <w:r>
                    <w:rPr>
                      <w:rFonts w:ascii="Times New Roman" w:hAnsi="Times New Roman" w:eastAsia="Times New Roman" w:cs="Times New Roman"/>
                      <w:spacing w:val="6"/>
                      <w:position w:val="2"/>
                      <w:sz w:val="17"/>
                      <w:szCs w:val="17"/>
                    </w:rPr>
                    <w:t>#</w:t>
                  </w:r>
                </w:p>
              </w:tc>
              <w:tc>
                <w:tcPr>
                  <w:tcW w:w="609" w:type="dxa"/>
                  <w:vAlign w:val="top"/>
                </w:tcPr>
                <w:p>
                  <w:pPr>
                    <w:spacing w:before="80" w:line="233" w:lineRule="auto"/>
                    <w:ind w:left="127"/>
                    <w:rPr>
                      <w:rFonts w:ascii="宋体" w:hAnsi="宋体" w:eastAsia="宋体" w:cs="宋体"/>
                      <w:sz w:val="17"/>
                      <w:szCs w:val="17"/>
                    </w:rPr>
                  </w:pPr>
                  <w:r>
                    <w:rPr>
                      <w:rFonts w:ascii="宋体" w:hAnsi="宋体" w:eastAsia="宋体" w:cs="宋体"/>
                      <w:spacing w:val="7"/>
                      <w:sz w:val="17"/>
                      <w:szCs w:val="17"/>
                    </w:rPr>
                    <w:t>昼</w:t>
                  </w:r>
                  <w:r>
                    <w:rPr>
                      <w:rFonts w:ascii="宋体" w:hAnsi="宋体" w:eastAsia="宋体" w:cs="宋体"/>
                      <w:spacing w:val="6"/>
                      <w:sz w:val="17"/>
                      <w:szCs w:val="17"/>
                    </w:rPr>
                    <w:t>间</w:t>
                  </w:r>
                </w:p>
              </w:tc>
              <w:tc>
                <w:tcPr>
                  <w:tcW w:w="1195" w:type="dxa"/>
                  <w:vAlign w:val="top"/>
                </w:tcPr>
                <w:p>
                  <w:pPr>
                    <w:spacing w:before="111" w:line="197" w:lineRule="auto"/>
                    <w:ind w:left="16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11:51~ 12:1</w:t>
                  </w:r>
                  <w:r>
                    <w:rPr>
                      <w:rFonts w:ascii="Times New Roman" w:hAnsi="Times New Roman" w:eastAsia="Times New Roman" w:cs="Times New Roman"/>
                      <w:sz w:val="17"/>
                      <w:szCs w:val="17"/>
                    </w:rPr>
                    <w:t>1</w:t>
                  </w:r>
                </w:p>
              </w:tc>
              <w:tc>
                <w:tcPr>
                  <w:tcW w:w="697" w:type="dxa"/>
                  <w:vAlign w:val="top"/>
                </w:tcPr>
                <w:p>
                  <w:pPr>
                    <w:spacing w:before="111" w:line="197" w:lineRule="auto"/>
                    <w:ind w:left="262"/>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51</w:t>
                  </w:r>
                </w:p>
              </w:tc>
              <w:tc>
                <w:tcPr>
                  <w:tcW w:w="1163" w:type="dxa"/>
                  <w:vAlign w:val="top"/>
                </w:tcPr>
                <w:p>
                  <w:pPr>
                    <w:spacing w:before="111" w:line="197" w:lineRule="auto"/>
                    <w:ind w:left="14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4:50~ 15:10</w:t>
                  </w:r>
                </w:p>
              </w:tc>
              <w:tc>
                <w:tcPr>
                  <w:tcW w:w="669" w:type="dxa"/>
                  <w:vAlign w:val="top"/>
                </w:tcPr>
                <w:p>
                  <w:pPr>
                    <w:spacing w:before="111" w:line="197" w:lineRule="auto"/>
                    <w:ind w:left="25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855" w:type="dxa"/>
                  <w:vAlign w:val="top"/>
                </w:tcPr>
                <w:p>
                  <w:pPr>
                    <w:spacing w:before="111" w:line="197" w:lineRule="auto"/>
                    <w:ind w:left="34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867" w:type="dxa"/>
                  <w:vAlign w:val="top"/>
                </w:tcPr>
                <w:p>
                  <w:pPr>
                    <w:spacing w:before="80" w:line="231" w:lineRule="auto"/>
                    <w:ind w:left="259"/>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888" w:type="dxa"/>
                  <w:vAlign w:val="top"/>
                </w:tcPr>
                <w:p>
                  <w:pPr>
                    <w:spacing w:before="80" w:line="231" w:lineRule="auto"/>
                    <w:ind w:left="268"/>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898" w:type="dxa"/>
                  <w:vMerge w:val="continue"/>
                  <w:tcBorders>
                    <w:top w:val="nil"/>
                  </w:tcBorders>
                  <w:vAlign w:val="top"/>
                </w:tcPr>
                <w:p>
                  <w:pPr>
                    <w:rPr>
                      <w:rFonts w:ascii="Arial"/>
                      <w:sz w:val="21"/>
                    </w:rPr>
                  </w:pPr>
                </w:p>
              </w:tc>
              <w:tc>
                <w:tcPr>
                  <w:tcW w:w="609" w:type="dxa"/>
                  <w:vAlign w:val="top"/>
                </w:tcPr>
                <w:p>
                  <w:pPr>
                    <w:spacing w:before="82" w:line="230" w:lineRule="auto"/>
                    <w:ind w:left="130"/>
                    <w:rPr>
                      <w:rFonts w:ascii="宋体" w:hAnsi="宋体" w:eastAsia="宋体" w:cs="宋体"/>
                      <w:sz w:val="17"/>
                      <w:szCs w:val="17"/>
                    </w:rPr>
                  </w:pPr>
                  <w:r>
                    <w:rPr>
                      <w:rFonts w:ascii="宋体" w:hAnsi="宋体" w:eastAsia="宋体" w:cs="宋体"/>
                      <w:spacing w:val="5"/>
                      <w:sz w:val="17"/>
                      <w:szCs w:val="17"/>
                    </w:rPr>
                    <w:t>夜间</w:t>
                  </w:r>
                </w:p>
              </w:tc>
              <w:tc>
                <w:tcPr>
                  <w:tcW w:w="1195" w:type="dxa"/>
                  <w:vAlign w:val="top"/>
                </w:tcPr>
                <w:p>
                  <w:pPr>
                    <w:spacing w:before="110" w:line="197" w:lineRule="auto"/>
                    <w:ind w:left="139"/>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2:59~23:19</w:t>
                  </w:r>
                </w:p>
              </w:tc>
              <w:tc>
                <w:tcPr>
                  <w:tcW w:w="697" w:type="dxa"/>
                  <w:vAlign w:val="top"/>
                </w:tcPr>
                <w:p>
                  <w:pPr>
                    <w:spacing w:before="110" w:line="197" w:lineRule="auto"/>
                    <w:ind w:left="25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47</w:t>
                  </w:r>
                </w:p>
              </w:tc>
              <w:tc>
                <w:tcPr>
                  <w:tcW w:w="1163" w:type="dxa"/>
                  <w:vAlign w:val="top"/>
                </w:tcPr>
                <w:p>
                  <w:pPr>
                    <w:spacing w:before="110" w:line="197" w:lineRule="auto"/>
                    <w:ind w:left="12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22:51~23:1</w:t>
                  </w:r>
                  <w:r>
                    <w:rPr>
                      <w:rFonts w:ascii="Times New Roman" w:hAnsi="Times New Roman" w:eastAsia="Times New Roman" w:cs="Times New Roman"/>
                      <w:spacing w:val="3"/>
                      <w:sz w:val="17"/>
                      <w:szCs w:val="17"/>
                    </w:rPr>
                    <w:t>1</w:t>
                  </w:r>
                </w:p>
              </w:tc>
              <w:tc>
                <w:tcPr>
                  <w:tcW w:w="669" w:type="dxa"/>
                  <w:vAlign w:val="top"/>
                </w:tcPr>
                <w:p>
                  <w:pPr>
                    <w:spacing w:before="110" w:line="197" w:lineRule="auto"/>
                    <w:ind w:left="24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w:t>
                  </w:r>
                </w:p>
              </w:tc>
              <w:tc>
                <w:tcPr>
                  <w:tcW w:w="855" w:type="dxa"/>
                  <w:vAlign w:val="top"/>
                </w:tcPr>
                <w:p>
                  <w:pPr>
                    <w:spacing w:before="110" w:line="197" w:lineRule="auto"/>
                    <w:ind w:left="34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867" w:type="dxa"/>
                  <w:vAlign w:val="top"/>
                </w:tcPr>
                <w:p>
                  <w:pPr>
                    <w:spacing w:before="82" w:line="231" w:lineRule="auto"/>
                    <w:ind w:left="259"/>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888" w:type="dxa"/>
                  <w:vAlign w:val="top"/>
                </w:tcPr>
                <w:p>
                  <w:pPr>
                    <w:spacing w:before="82" w:line="231" w:lineRule="auto"/>
                    <w:ind w:left="268"/>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898" w:type="dxa"/>
                  <w:vMerge w:val="restart"/>
                  <w:tcBorders>
                    <w:bottom w:val="nil"/>
                  </w:tcBorders>
                  <w:vAlign w:val="top"/>
                </w:tcPr>
                <w:p>
                  <w:pPr>
                    <w:spacing w:before="205" w:line="242" w:lineRule="exact"/>
                    <w:ind w:left="215"/>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7"/>
                      <w:position w:val="2"/>
                      <w:sz w:val="17"/>
                      <w:szCs w:val="17"/>
                    </w:rPr>
                    <w:t>3-6</w:t>
                  </w:r>
                  <w:r>
                    <w:rPr>
                      <w:rFonts w:ascii="Times New Roman" w:hAnsi="Times New Roman" w:eastAsia="Times New Roman" w:cs="Times New Roman"/>
                      <w:spacing w:val="6"/>
                      <w:position w:val="2"/>
                      <w:sz w:val="17"/>
                      <w:szCs w:val="17"/>
                    </w:rPr>
                    <w:t>#</w:t>
                  </w:r>
                </w:p>
              </w:tc>
              <w:tc>
                <w:tcPr>
                  <w:tcW w:w="609" w:type="dxa"/>
                  <w:vAlign w:val="top"/>
                </w:tcPr>
                <w:p>
                  <w:pPr>
                    <w:spacing w:before="81" w:line="233" w:lineRule="auto"/>
                    <w:ind w:left="127"/>
                    <w:rPr>
                      <w:rFonts w:ascii="宋体" w:hAnsi="宋体" w:eastAsia="宋体" w:cs="宋体"/>
                      <w:sz w:val="17"/>
                      <w:szCs w:val="17"/>
                    </w:rPr>
                  </w:pPr>
                  <w:r>
                    <w:rPr>
                      <w:rFonts w:ascii="宋体" w:hAnsi="宋体" w:eastAsia="宋体" w:cs="宋体"/>
                      <w:spacing w:val="7"/>
                      <w:sz w:val="17"/>
                      <w:szCs w:val="17"/>
                    </w:rPr>
                    <w:t>昼</w:t>
                  </w:r>
                  <w:r>
                    <w:rPr>
                      <w:rFonts w:ascii="宋体" w:hAnsi="宋体" w:eastAsia="宋体" w:cs="宋体"/>
                      <w:spacing w:val="6"/>
                      <w:sz w:val="17"/>
                      <w:szCs w:val="17"/>
                    </w:rPr>
                    <w:t>间</w:t>
                  </w:r>
                </w:p>
              </w:tc>
              <w:tc>
                <w:tcPr>
                  <w:tcW w:w="1195" w:type="dxa"/>
                  <w:vAlign w:val="top"/>
                </w:tcPr>
                <w:p>
                  <w:pPr>
                    <w:spacing w:before="110" w:line="197" w:lineRule="auto"/>
                    <w:ind w:left="15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11:55~ 1</w:t>
                  </w:r>
                  <w:r>
                    <w:rPr>
                      <w:rFonts w:ascii="Times New Roman" w:hAnsi="Times New Roman" w:eastAsia="Times New Roman" w:cs="Times New Roman"/>
                      <w:spacing w:val="-1"/>
                      <w:sz w:val="17"/>
                      <w:szCs w:val="17"/>
                    </w:rPr>
                    <w:t>2:15</w:t>
                  </w:r>
                </w:p>
              </w:tc>
              <w:tc>
                <w:tcPr>
                  <w:tcW w:w="697" w:type="dxa"/>
                  <w:vAlign w:val="top"/>
                </w:tcPr>
                <w:p>
                  <w:pPr>
                    <w:spacing w:before="110" w:line="197" w:lineRule="auto"/>
                    <w:ind w:left="262"/>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1163" w:type="dxa"/>
                  <w:vAlign w:val="top"/>
                </w:tcPr>
                <w:p>
                  <w:pPr>
                    <w:spacing w:before="110" w:line="197" w:lineRule="auto"/>
                    <w:ind w:left="14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4:52~ 15:12</w:t>
                  </w:r>
                </w:p>
              </w:tc>
              <w:tc>
                <w:tcPr>
                  <w:tcW w:w="669" w:type="dxa"/>
                  <w:vAlign w:val="top"/>
                </w:tcPr>
                <w:p>
                  <w:pPr>
                    <w:spacing w:before="110" w:line="197" w:lineRule="auto"/>
                    <w:ind w:left="24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855" w:type="dxa"/>
                  <w:vAlign w:val="top"/>
                </w:tcPr>
                <w:p>
                  <w:pPr>
                    <w:spacing w:before="110" w:line="197" w:lineRule="auto"/>
                    <w:ind w:left="34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867" w:type="dxa"/>
                  <w:vAlign w:val="top"/>
                </w:tcPr>
                <w:p>
                  <w:pPr>
                    <w:spacing w:before="81" w:line="231" w:lineRule="auto"/>
                    <w:ind w:left="259"/>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888" w:type="dxa"/>
                  <w:vAlign w:val="top"/>
                </w:tcPr>
                <w:p>
                  <w:pPr>
                    <w:spacing w:before="81" w:line="231" w:lineRule="auto"/>
                    <w:ind w:left="268"/>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898" w:type="dxa"/>
                  <w:vMerge w:val="continue"/>
                  <w:tcBorders>
                    <w:top w:val="nil"/>
                  </w:tcBorders>
                  <w:vAlign w:val="top"/>
                </w:tcPr>
                <w:p>
                  <w:pPr>
                    <w:rPr>
                      <w:rFonts w:ascii="Arial"/>
                      <w:sz w:val="21"/>
                    </w:rPr>
                  </w:pPr>
                </w:p>
              </w:tc>
              <w:tc>
                <w:tcPr>
                  <w:tcW w:w="609" w:type="dxa"/>
                  <w:vAlign w:val="top"/>
                </w:tcPr>
                <w:p>
                  <w:pPr>
                    <w:spacing w:before="81" w:line="230" w:lineRule="auto"/>
                    <w:ind w:left="130"/>
                    <w:rPr>
                      <w:rFonts w:ascii="宋体" w:hAnsi="宋体" w:eastAsia="宋体" w:cs="宋体"/>
                      <w:sz w:val="17"/>
                      <w:szCs w:val="17"/>
                    </w:rPr>
                  </w:pPr>
                  <w:r>
                    <w:rPr>
                      <w:rFonts w:ascii="宋体" w:hAnsi="宋体" w:eastAsia="宋体" w:cs="宋体"/>
                      <w:spacing w:val="5"/>
                      <w:sz w:val="17"/>
                      <w:szCs w:val="17"/>
                    </w:rPr>
                    <w:t>夜间</w:t>
                  </w:r>
                </w:p>
              </w:tc>
              <w:tc>
                <w:tcPr>
                  <w:tcW w:w="1195" w:type="dxa"/>
                  <w:vAlign w:val="top"/>
                </w:tcPr>
                <w:p>
                  <w:pPr>
                    <w:spacing w:before="111" w:line="197" w:lineRule="auto"/>
                    <w:ind w:left="139"/>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3:02~23:22</w:t>
                  </w:r>
                </w:p>
              </w:tc>
              <w:tc>
                <w:tcPr>
                  <w:tcW w:w="697" w:type="dxa"/>
                  <w:vAlign w:val="top"/>
                </w:tcPr>
                <w:p>
                  <w:pPr>
                    <w:spacing w:before="111" w:line="197" w:lineRule="auto"/>
                    <w:ind w:left="25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47</w:t>
                  </w:r>
                </w:p>
              </w:tc>
              <w:tc>
                <w:tcPr>
                  <w:tcW w:w="1163" w:type="dxa"/>
                  <w:vAlign w:val="top"/>
                </w:tcPr>
                <w:p>
                  <w:pPr>
                    <w:spacing w:before="111" w:line="197" w:lineRule="auto"/>
                    <w:ind w:left="124"/>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2:53~23:13</w:t>
                  </w:r>
                </w:p>
              </w:tc>
              <w:tc>
                <w:tcPr>
                  <w:tcW w:w="669" w:type="dxa"/>
                  <w:vAlign w:val="top"/>
                </w:tcPr>
                <w:p>
                  <w:pPr>
                    <w:spacing w:before="111" w:line="197" w:lineRule="auto"/>
                    <w:ind w:left="24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w:t>
                  </w:r>
                </w:p>
              </w:tc>
              <w:tc>
                <w:tcPr>
                  <w:tcW w:w="855" w:type="dxa"/>
                  <w:vAlign w:val="top"/>
                </w:tcPr>
                <w:p>
                  <w:pPr>
                    <w:spacing w:before="111" w:line="197" w:lineRule="auto"/>
                    <w:ind w:left="34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867" w:type="dxa"/>
                  <w:vAlign w:val="top"/>
                </w:tcPr>
                <w:p>
                  <w:pPr>
                    <w:spacing w:before="80" w:line="231" w:lineRule="auto"/>
                    <w:ind w:left="259"/>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888" w:type="dxa"/>
                  <w:vAlign w:val="top"/>
                </w:tcPr>
                <w:p>
                  <w:pPr>
                    <w:spacing w:before="80" w:line="231" w:lineRule="auto"/>
                    <w:ind w:left="268"/>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898" w:type="dxa"/>
                  <w:vMerge w:val="restart"/>
                  <w:tcBorders>
                    <w:bottom w:val="nil"/>
                  </w:tcBorders>
                  <w:vAlign w:val="top"/>
                </w:tcPr>
                <w:p>
                  <w:pPr>
                    <w:spacing w:before="206" w:line="242" w:lineRule="exact"/>
                    <w:ind w:left="215"/>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7"/>
                      <w:position w:val="2"/>
                      <w:sz w:val="17"/>
                      <w:szCs w:val="17"/>
                    </w:rPr>
                    <w:t>3-7</w:t>
                  </w:r>
                  <w:r>
                    <w:rPr>
                      <w:rFonts w:ascii="Times New Roman" w:hAnsi="Times New Roman" w:eastAsia="Times New Roman" w:cs="Times New Roman"/>
                      <w:spacing w:val="6"/>
                      <w:position w:val="2"/>
                      <w:sz w:val="17"/>
                      <w:szCs w:val="17"/>
                    </w:rPr>
                    <w:t>#</w:t>
                  </w:r>
                </w:p>
              </w:tc>
              <w:tc>
                <w:tcPr>
                  <w:tcW w:w="609" w:type="dxa"/>
                  <w:vAlign w:val="top"/>
                </w:tcPr>
                <w:p>
                  <w:pPr>
                    <w:spacing w:before="80" w:line="233" w:lineRule="auto"/>
                    <w:ind w:left="127"/>
                    <w:rPr>
                      <w:rFonts w:ascii="宋体" w:hAnsi="宋体" w:eastAsia="宋体" w:cs="宋体"/>
                      <w:sz w:val="17"/>
                      <w:szCs w:val="17"/>
                    </w:rPr>
                  </w:pPr>
                  <w:r>
                    <w:rPr>
                      <w:rFonts w:ascii="宋体" w:hAnsi="宋体" w:eastAsia="宋体" w:cs="宋体"/>
                      <w:spacing w:val="7"/>
                      <w:sz w:val="17"/>
                      <w:szCs w:val="17"/>
                    </w:rPr>
                    <w:t>昼</w:t>
                  </w:r>
                  <w:r>
                    <w:rPr>
                      <w:rFonts w:ascii="宋体" w:hAnsi="宋体" w:eastAsia="宋体" w:cs="宋体"/>
                      <w:spacing w:val="6"/>
                      <w:sz w:val="17"/>
                      <w:szCs w:val="17"/>
                    </w:rPr>
                    <w:t>间</w:t>
                  </w:r>
                </w:p>
              </w:tc>
              <w:tc>
                <w:tcPr>
                  <w:tcW w:w="1195" w:type="dxa"/>
                  <w:vAlign w:val="top"/>
                </w:tcPr>
                <w:p>
                  <w:pPr>
                    <w:spacing w:before="111" w:line="197" w:lineRule="auto"/>
                    <w:ind w:left="15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11:52~ 1</w:t>
                  </w:r>
                  <w:r>
                    <w:rPr>
                      <w:rFonts w:ascii="Times New Roman" w:hAnsi="Times New Roman" w:eastAsia="Times New Roman" w:cs="Times New Roman"/>
                      <w:spacing w:val="-1"/>
                      <w:sz w:val="17"/>
                      <w:szCs w:val="17"/>
                    </w:rPr>
                    <w:t>2:12</w:t>
                  </w:r>
                </w:p>
              </w:tc>
              <w:tc>
                <w:tcPr>
                  <w:tcW w:w="697" w:type="dxa"/>
                  <w:vAlign w:val="top"/>
                </w:tcPr>
                <w:p>
                  <w:pPr>
                    <w:spacing w:before="111" w:line="197" w:lineRule="auto"/>
                    <w:ind w:left="262"/>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53</w:t>
                  </w:r>
                </w:p>
              </w:tc>
              <w:tc>
                <w:tcPr>
                  <w:tcW w:w="1163" w:type="dxa"/>
                  <w:vAlign w:val="top"/>
                </w:tcPr>
                <w:p>
                  <w:pPr>
                    <w:spacing w:before="111" w:line="197" w:lineRule="auto"/>
                    <w:ind w:left="14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4:49~ 15:09</w:t>
                  </w:r>
                </w:p>
              </w:tc>
              <w:tc>
                <w:tcPr>
                  <w:tcW w:w="669" w:type="dxa"/>
                  <w:vAlign w:val="top"/>
                </w:tcPr>
                <w:p>
                  <w:pPr>
                    <w:spacing w:before="113" w:line="194" w:lineRule="auto"/>
                    <w:ind w:left="25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55</w:t>
                  </w:r>
                </w:p>
              </w:tc>
              <w:tc>
                <w:tcPr>
                  <w:tcW w:w="855" w:type="dxa"/>
                  <w:vAlign w:val="top"/>
                </w:tcPr>
                <w:p>
                  <w:pPr>
                    <w:spacing w:before="111" w:line="197" w:lineRule="auto"/>
                    <w:ind w:left="34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867" w:type="dxa"/>
                  <w:vAlign w:val="top"/>
                </w:tcPr>
                <w:p>
                  <w:pPr>
                    <w:spacing w:before="80" w:line="231" w:lineRule="auto"/>
                    <w:ind w:left="259"/>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888" w:type="dxa"/>
                  <w:vAlign w:val="top"/>
                </w:tcPr>
                <w:p>
                  <w:pPr>
                    <w:spacing w:before="80" w:line="231" w:lineRule="auto"/>
                    <w:ind w:left="268"/>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898" w:type="dxa"/>
                  <w:vMerge w:val="continue"/>
                  <w:tcBorders>
                    <w:top w:val="nil"/>
                  </w:tcBorders>
                  <w:vAlign w:val="top"/>
                </w:tcPr>
                <w:p>
                  <w:pPr>
                    <w:rPr>
                      <w:rFonts w:ascii="Arial"/>
                      <w:sz w:val="21"/>
                    </w:rPr>
                  </w:pPr>
                </w:p>
              </w:tc>
              <w:tc>
                <w:tcPr>
                  <w:tcW w:w="609" w:type="dxa"/>
                  <w:vAlign w:val="top"/>
                </w:tcPr>
                <w:p>
                  <w:pPr>
                    <w:spacing w:before="82" w:line="230" w:lineRule="auto"/>
                    <w:ind w:left="130"/>
                    <w:rPr>
                      <w:rFonts w:ascii="宋体" w:hAnsi="宋体" w:eastAsia="宋体" w:cs="宋体"/>
                      <w:sz w:val="17"/>
                      <w:szCs w:val="17"/>
                    </w:rPr>
                  </w:pPr>
                  <w:r>
                    <w:rPr>
                      <w:rFonts w:ascii="宋体" w:hAnsi="宋体" w:eastAsia="宋体" w:cs="宋体"/>
                      <w:spacing w:val="5"/>
                      <w:sz w:val="17"/>
                      <w:szCs w:val="17"/>
                    </w:rPr>
                    <w:t>夜间</w:t>
                  </w:r>
                </w:p>
              </w:tc>
              <w:tc>
                <w:tcPr>
                  <w:tcW w:w="1195" w:type="dxa"/>
                  <w:vAlign w:val="top"/>
                </w:tcPr>
                <w:p>
                  <w:pPr>
                    <w:spacing w:before="110" w:line="197" w:lineRule="auto"/>
                    <w:ind w:left="139"/>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2:57~23:17</w:t>
                  </w:r>
                </w:p>
              </w:tc>
              <w:tc>
                <w:tcPr>
                  <w:tcW w:w="697" w:type="dxa"/>
                  <w:vAlign w:val="top"/>
                </w:tcPr>
                <w:p>
                  <w:pPr>
                    <w:spacing w:before="110" w:line="197" w:lineRule="auto"/>
                    <w:ind w:left="25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w:t>
                  </w:r>
                </w:p>
              </w:tc>
              <w:tc>
                <w:tcPr>
                  <w:tcW w:w="1163" w:type="dxa"/>
                  <w:vAlign w:val="top"/>
                </w:tcPr>
                <w:p>
                  <w:pPr>
                    <w:spacing w:before="110" w:line="197" w:lineRule="auto"/>
                    <w:ind w:left="124"/>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2:50~23:10</w:t>
                  </w:r>
                </w:p>
              </w:tc>
              <w:tc>
                <w:tcPr>
                  <w:tcW w:w="669" w:type="dxa"/>
                  <w:vAlign w:val="top"/>
                </w:tcPr>
                <w:p>
                  <w:pPr>
                    <w:spacing w:before="110" w:line="197" w:lineRule="auto"/>
                    <w:ind w:left="24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w:t>
                  </w:r>
                </w:p>
              </w:tc>
              <w:tc>
                <w:tcPr>
                  <w:tcW w:w="855" w:type="dxa"/>
                  <w:vAlign w:val="top"/>
                </w:tcPr>
                <w:p>
                  <w:pPr>
                    <w:spacing w:before="110" w:line="197" w:lineRule="auto"/>
                    <w:ind w:left="34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867" w:type="dxa"/>
                  <w:vAlign w:val="top"/>
                </w:tcPr>
                <w:p>
                  <w:pPr>
                    <w:spacing w:before="82" w:line="231" w:lineRule="auto"/>
                    <w:ind w:left="259"/>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888" w:type="dxa"/>
                  <w:vAlign w:val="top"/>
                </w:tcPr>
                <w:p>
                  <w:pPr>
                    <w:spacing w:before="82" w:line="231" w:lineRule="auto"/>
                    <w:ind w:left="268"/>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898" w:type="dxa"/>
                  <w:vMerge w:val="restart"/>
                  <w:tcBorders>
                    <w:bottom w:val="nil"/>
                  </w:tcBorders>
                  <w:vAlign w:val="top"/>
                </w:tcPr>
                <w:p>
                  <w:pPr>
                    <w:spacing w:before="205" w:line="242" w:lineRule="exact"/>
                    <w:ind w:left="215"/>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7"/>
                      <w:position w:val="2"/>
                      <w:sz w:val="17"/>
                      <w:szCs w:val="17"/>
                    </w:rPr>
                    <w:t>3-8</w:t>
                  </w:r>
                  <w:r>
                    <w:rPr>
                      <w:rFonts w:ascii="Times New Roman" w:hAnsi="Times New Roman" w:eastAsia="Times New Roman" w:cs="Times New Roman"/>
                      <w:spacing w:val="6"/>
                      <w:position w:val="2"/>
                      <w:sz w:val="17"/>
                      <w:szCs w:val="17"/>
                    </w:rPr>
                    <w:t>#</w:t>
                  </w:r>
                </w:p>
              </w:tc>
              <w:tc>
                <w:tcPr>
                  <w:tcW w:w="609" w:type="dxa"/>
                  <w:vAlign w:val="top"/>
                </w:tcPr>
                <w:p>
                  <w:pPr>
                    <w:spacing w:before="81" w:line="233" w:lineRule="auto"/>
                    <w:ind w:left="127"/>
                    <w:rPr>
                      <w:rFonts w:ascii="宋体" w:hAnsi="宋体" w:eastAsia="宋体" w:cs="宋体"/>
                      <w:sz w:val="17"/>
                      <w:szCs w:val="17"/>
                    </w:rPr>
                  </w:pPr>
                  <w:r>
                    <w:rPr>
                      <w:rFonts w:ascii="宋体" w:hAnsi="宋体" w:eastAsia="宋体" w:cs="宋体"/>
                      <w:spacing w:val="7"/>
                      <w:sz w:val="17"/>
                      <w:szCs w:val="17"/>
                    </w:rPr>
                    <w:t>昼</w:t>
                  </w:r>
                  <w:r>
                    <w:rPr>
                      <w:rFonts w:ascii="宋体" w:hAnsi="宋体" w:eastAsia="宋体" w:cs="宋体"/>
                      <w:spacing w:val="6"/>
                      <w:sz w:val="17"/>
                      <w:szCs w:val="17"/>
                    </w:rPr>
                    <w:t>间</w:t>
                  </w:r>
                </w:p>
              </w:tc>
              <w:tc>
                <w:tcPr>
                  <w:tcW w:w="1195" w:type="dxa"/>
                  <w:vAlign w:val="top"/>
                </w:tcPr>
                <w:p>
                  <w:pPr>
                    <w:spacing w:before="110" w:line="197" w:lineRule="auto"/>
                    <w:ind w:left="15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11:52~ 1</w:t>
                  </w:r>
                  <w:r>
                    <w:rPr>
                      <w:rFonts w:ascii="Times New Roman" w:hAnsi="Times New Roman" w:eastAsia="Times New Roman" w:cs="Times New Roman"/>
                      <w:spacing w:val="-1"/>
                      <w:sz w:val="17"/>
                      <w:szCs w:val="17"/>
                    </w:rPr>
                    <w:t>2:12</w:t>
                  </w:r>
                </w:p>
              </w:tc>
              <w:tc>
                <w:tcPr>
                  <w:tcW w:w="697" w:type="dxa"/>
                  <w:vAlign w:val="top"/>
                </w:tcPr>
                <w:p>
                  <w:pPr>
                    <w:spacing w:before="112" w:line="194" w:lineRule="auto"/>
                    <w:ind w:left="262"/>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55</w:t>
                  </w:r>
                </w:p>
              </w:tc>
              <w:tc>
                <w:tcPr>
                  <w:tcW w:w="1163" w:type="dxa"/>
                  <w:vAlign w:val="top"/>
                </w:tcPr>
                <w:p>
                  <w:pPr>
                    <w:spacing w:before="110" w:line="197" w:lineRule="auto"/>
                    <w:ind w:left="14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4:49~ 15:09</w:t>
                  </w:r>
                </w:p>
              </w:tc>
              <w:tc>
                <w:tcPr>
                  <w:tcW w:w="669" w:type="dxa"/>
                  <w:vAlign w:val="top"/>
                </w:tcPr>
                <w:p>
                  <w:pPr>
                    <w:spacing w:before="110" w:line="197" w:lineRule="auto"/>
                    <w:ind w:left="25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56</w:t>
                  </w:r>
                </w:p>
              </w:tc>
              <w:tc>
                <w:tcPr>
                  <w:tcW w:w="855" w:type="dxa"/>
                  <w:vAlign w:val="top"/>
                </w:tcPr>
                <w:p>
                  <w:pPr>
                    <w:spacing w:before="110" w:line="197" w:lineRule="auto"/>
                    <w:ind w:left="34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867" w:type="dxa"/>
                  <w:vAlign w:val="top"/>
                </w:tcPr>
                <w:p>
                  <w:pPr>
                    <w:spacing w:before="81" w:line="231" w:lineRule="auto"/>
                    <w:ind w:left="259"/>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888" w:type="dxa"/>
                  <w:vAlign w:val="top"/>
                </w:tcPr>
                <w:p>
                  <w:pPr>
                    <w:spacing w:before="81" w:line="231" w:lineRule="auto"/>
                    <w:ind w:left="268"/>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898" w:type="dxa"/>
                  <w:vMerge w:val="continue"/>
                  <w:tcBorders>
                    <w:top w:val="nil"/>
                  </w:tcBorders>
                  <w:vAlign w:val="top"/>
                </w:tcPr>
                <w:p>
                  <w:pPr>
                    <w:rPr>
                      <w:rFonts w:ascii="Arial"/>
                      <w:sz w:val="21"/>
                    </w:rPr>
                  </w:pPr>
                </w:p>
              </w:tc>
              <w:tc>
                <w:tcPr>
                  <w:tcW w:w="609" w:type="dxa"/>
                  <w:vAlign w:val="top"/>
                </w:tcPr>
                <w:p>
                  <w:pPr>
                    <w:spacing w:before="81" w:line="230" w:lineRule="auto"/>
                    <w:ind w:left="130"/>
                    <w:rPr>
                      <w:rFonts w:ascii="宋体" w:hAnsi="宋体" w:eastAsia="宋体" w:cs="宋体"/>
                      <w:sz w:val="17"/>
                      <w:szCs w:val="17"/>
                    </w:rPr>
                  </w:pPr>
                  <w:r>
                    <w:rPr>
                      <w:rFonts w:ascii="宋体" w:hAnsi="宋体" w:eastAsia="宋体" w:cs="宋体"/>
                      <w:spacing w:val="5"/>
                      <w:sz w:val="17"/>
                      <w:szCs w:val="17"/>
                    </w:rPr>
                    <w:t>夜间</w:t>
                  </w:r>
                </w:p>
              </w:tc>
              <w:tc>
                <w:tcPr>
                  <w:tcW w:w="1195" w:type="dxa"/>
                  <w:vAlign w:val="top"/>
                </w:tcPr>
                <w:p>
                  <w:pPr>
                    <w:spacing w:before="111" w:line="197" w:lineRule="auto"/>
                    <w:ind w:left="139"/>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2:57~23:17</w:t>
                  </w:r>
                </w:p>
              </w:tc>
              <w:tc>
                <w:tcPr>
                  <w:tcW w:w="697" w:type="dxa"/>
                  <w:vAlign w:val="top"/>
                </w:tcPr>
                <w:p>
                  <w:pPr>
                    <w:spacing w:before="111" w:line="197" w:lineRule="auto"/>
                    <w:ind w:left="25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44</w:t>
                  </w:r>
                </w:p>
              </w:tc>
              <w:tc>
                <w:tcPr>
                  <w:tcW w:w="1163" w:type="dxa"/>
                  <w:vAlign w:val="top"/>
                </w:tcPr>
                <w:p>
                  <w:pPr>
                    <w:spacing w:before="111" w:line="197" w:lineRule="auto"/>
                    <w:ind w:left="124"/>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2:50~23:10</w:t>
                  </w:r>
                </w:p>
              </w:tc>
              <w:tc>
                <w:tcPr>
                  <w:tcW w:w="669" w:type="dxa"/>
                  <w:vAlign w:val="top"/>
                </w:tcPr>
                <w:p>
                  <w:pPr>
                    <w:spacing w:before="111" w:line="197" w:lineRule="auto"/>
                    <w:ind w:left="24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w:t>
                  </w:r>
                </w:p>
              </w:tc>
              <w:tc>
                <w:tcPr>
                  <w:tcW w:w="855" w:type="dxa"/>
                  <w:vAlign w:val="top"/>
                </w:tcPr>
                <w:p>
                  <w:pPr>
                    <w:spacing w:before="111" w:line="197" w:lineRule="auto"/>
                    <w:ind w:left="34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867" w:type="dxa"/>
                  <w:vAlign w:val="top"/>
                </w:tcPr>
                <w:p>
                  <w:pPr>
                    <w:spacing w:before="80" w:line="231" w:lineRule="auto"/>
                    <w:ind w:left="259"/>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888" w:type="dxa"/>
                  <w:vAlign w:val="top"/>
                </w:tcPr>
                <w:p>
                  <w:pPr>
                    <w:spacing w:before="80" w:line="231" w:lineRule="auto"/>
                    <w:ind w:left="268"/>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7841" w:type="dxa"/>
                  <w:gridSpan w:val="9"/>
                  <w:vAlign w:val="top"/>
                </w:tcPr>
                <w:p>
                  <w:pPr>
                    <w:spacing w:before="59" w:line="243" w:lineRule="exact"/>
                    <w:ind w:left="60"/>
                    <w:rPr>
                      <w:rFonts w:ascii="宋体" w:hAnsi="宋体" w:eastAsia="宋体" w:cs="宋体"/>
                      <w:sz w:val="17"/>
                      <w:szCs w:val="17"/>
                    </w:rPr>
                  </w:pPr>
                  <w:r>
                    <w:rPr>
                      <w:rFonts w:ascii="宋体" w:hAnsi="宋体" w:eastAsia="宋体" w:cs="宋体"/>
                      <w:spacing w:val="7"/>
                      <w:position w:val="1"/>
                      <w:sz w:val="17"/>
                      <w:szCs w:val="17"/>
                    </w:rPr>
                    <w:t>注：</w:t>
                  </w:r>
                  <w:r>
                    <w:rPr>
                      <w:rFonts w:ascii="Times New Roman" w:hAnsi="Times New Roman" w:eastAsia="Times New Roman" w:cs="Times New Roman"/>
                      <w:spacing w:val="7"/>
                      <w:position w:val="1"/>
                      <w:sz w:val="17"/>
                      <w:szCs w:val="17"/>
                    </w:rPr>
                    <w:t>*</w:t>
                  </w:r>
                  <w:r>
                    <w:rPr>
                      <w:rFonts w:ascii="Times New Roman" w:hAnsi="Times New Roman" w:eastAsia="Times New Roman" w:cs="Times New Roman"/>
                      <w:position w:val="1"/>
                      <w:sz w:val="17"/>
                      <w:szCs w:val="17"/>
                    </w:rPr>
                    <w:t>N</w:t>
                  </w:r>
                  <w:r>
                    <w:rPr>
                      <w:rFonts w:ascii="Times New Roman" w:hAnsi="Times New Roman" w:eastAsia="Times New Roman" w:cs="Times New Roman"/>
                      <w:spacing w:val="7"/>
                      <w:position w:val="1"/>
                      <w:sz w:val="17"/>
                      <w:szCs w:val="17"/>
                    </w:rPr>
                    <w:t>2#</w:t>
                  </w:r>
                  <w:r>
                    <w:rPr>
                      <w:rFonts w:ascii="宋体" w:hAnsi="宋体" w:eastAsia="宋体" w:cs="宋体"/>
                      <w:spacing w:val="7"/>
                      <w:position w:val="1"/>
                      <w:sz w:val="17"/>
                      <w:szCs w:val="17"/>
                    </w:rPr>
                    <w:t xml:space="preserve">位于犀牛大道 (城市主干道) </w:t>
                  </w:r>
                  <w:r>
                    <w:rPr>
                      <w:rFonts w:ascii="Times New Roman" w:hAnsi="Times New Roman" w:eastAsia="Times New Roman" w:cs="Times New Roman"/>
                      <w:spacing w:val="7"/>
                      <w:position w:val="1"/>
                      <w:sz w:val="17"/>
                      <w:szCs w:val="17"/>
                    </w:rPr>
                    <w:t>35</w:t>
                  </w:r>
                  <w:r>
                    <w:rPr>
                      <w:rFonts w:ascii="Times New Roman" w:hAnsi="Times New Roman" w:eastAsia="Times New Roman" w:cs="Times New Roman"/>
                      <w:position w:val="1"/>
                      <w:sz w:val="17"/>
                      <w:szCs w:val="17"/>
                    </w:rPr>
                    <w:t>m</w:t>
                  </w:r>
                  <w:r>
                    <w:rPr>
                      <w:rFonts w:ascii="Times New Roman" w:hAnsi="Times New Roman" w:eastAsia="Times New Roman" w:cs="Times New Roman"/>
                      <w:spacing w:val="7"/>
                      <w:position w:val="1"/>
                      <w:sz w:val="17"/>
                      <w:szCs w:val="17"/>
                    </w:rPr>
                    <w:t xml:space="preserve"> </w:t>
                  </w:r>
                  <w:r>
                    <w:rPr>
                      <w:rFonts w:ascii="宋体" w:hAnsi="宋体" w:eastAsia="宋体" w:cs="宋体"/>
                      <w:spacing w:val="7"/>
                      <w:position w:val="1"/>
                      <w:sz w:val="17"/>
                      <w:szCs w:val="17"/>
                    </w:rPr>
                    <w:t xml:space="preserve">范围内，属于 </w:t>
                  </w:r>
                  <w:r>
                    <w:rPr>
                      <w:rFonts w:ascii="Times New Roman" w:hAnsi="Times New Roman" w:eastAsia="Times New Roman" w:cs="Times New Roman"/>
                      <w:spacing w:val="7"/>
                      <w:position w:val="1"/>
                      <w:sz w:val="17"/>
                      <w:szCs w:val="17"/>
                    </w:rPr>
                    <w:t>4</w:t>
                  </w:r>
                  <w:r>
                    <w:rPr>
                      <w:rFonts w:ascii="Times New Roman" w:hAnsi="Times New Roman" w:eastAsia="Times New Roman" w:cs="Times New Roman"/>
                      <w:position w:val="1"/>
                      <w:sz w:val="17"/>
                      <w:szCs w:val="17"/>
                    </w:rPr>
                    <w:t>a</w:t>
                  </w:r>
                  <w:r>
                    <w:rPr>
                      <w:rFonts w:ascii="Times New Roman" w:hAnsi="Times New Roman" w:eastAsia="Times New Roman" w:cs="Times New Roman"/>
                      <w:spacing w:val="7"/>
                      <w:position w:val="1"/>
                      <w:sz w:val="17"/>
                      <w:szCs w:val="17"/>
                    </w:rPr>
                    <w:t xml:space="preserve"> </w:t>
                  </w:r>
                  <w:r>
                    <w:rPr>
                      <w:rFonts w:ascii="宋体" w:hAnsi="宋体" w:eastAsia="宋体" w:cs="宋体"/>
                      <w:spacing w:val="7"/>
                      <w:position w:val="1"/>
                      <w:sz w:val="17"/>
                      <w:szCs w:val="17"/>
                    </w:rPr>
                    <w:t>内区域</w:t>
                  </w:r>
                  <w:r>
                    <w:rPr>
                      <w:rFonts w:ascii="宋体" w:hAnsi="宋体" w:eastAsia="宋体" w:cs="宋体"/>
                      <w:spacing w:val="2"/>
                      <w:position w:val="1"/>
                      <w:sz w:val="17"/>
                      <w:szCs w:val="17"/>
                    </w:rPr>
                    <w:t>。</w:t>
                  </w:r>
                </w:p>
              </w:tc>
            </w:tr>
          </w:tbl>
          <w:p>
            <w:pPr>
              <w:spacing w:before="123" w:line="228" w:lineRule="auto"/>
              <w:ind w:left="551"/>
              <w:rPr>
                <w:rFonts w:ascii="宋体" w:hAnsi="宋体" w:eastAsia="宋体" w:cs="宋体"/>
                <w:sz w:val="20"/>
                <w:szCs w:val="20"/>
              </w:rPr>
            </w:pPr>
            <w:r>
              <w:rPr>
                <w:rFonts w:ascii="宋体" w:hAnsi="宋体" w:eastAsia="宋体" w:cs="宋体"/>
                <w:spacing w:val="12"/>
                <w:sz w:val="20"/>
                <w:szCs w:val="20"/>
              </w:rPr>
              <w:t>由</w:t>
            </w:r>
            <w:r>
              <w:rPr>
                <w:rFonts w:ascii="宋体" w:hAnsi="宋体" w:eastAsia="宋体" w:cs="宋体"/>
                <w:spacing w:val="7"/>
                <w:sz w:val="20"/>
                <w:szCs w:val="20"/>
              </w:rPr>
              <w:t>上表可得项目区环境噪声现状结果：</w:t>
            </w:r>
          </w:p>
          <w:p>
            <w:pPr>
              <w:tabs>
                <w:tab w:val="left" w:pos="216"/>
              </w:tabs>
              <w:spacing w:before="96" w:line="351" w:lineRule="auto"/>
              <w:ind w:left="107" w:right="102" w:firstLine="429"/>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1"/>
                <w:sz w:val="20"/>
                <w:szCs w:val="20"/>
              </w:rPr>
              <w:t>1</w:t>
            </w:r>
            <w:r>
              <w:rPr>
                <w:rFonts w:ascii="宋体" w:hAnsi="宋体" w:eastAsia="宋体" w:cs="宋体"/>
                <w:spacing w:val="11"/>
                <w:sz w:val="20"/>
                <w:szCs w:val="20"/>
              </w:rPr>
              <w:t xml:space="preserve">) </w:t>
            </w:r>
            <w:r>
              <w:rPr>
                <w:rFonts w:ascii="Times New Roman" w:hAnsi="Times New Roman" w:eastAsia="Times New Roman" w:cs="Times New Roman"/>
                <w:spacing w:val="11"/>
                <w:sz w:val="20"/>
                <w:szCs w:val="20"/>
              </w:rPr>
              <w:t>2</w:t>
            </w:r>
            <w:r>
              <w:rPr>
                <w:rFonts w:ascii="宋体" w:hAnsi="宋体" w:eastAsia="宋体" w:cs="宋体"/>
                <w:spacing w:val="11"/>
                <w:sz w:val="20"/>
                <w:szCs w:val="20"/>
              </w:rPr>
              <w:t>类区点位：</w:t>
            </w:r>
            <w:r>
              <w:rPr>
                <w:rFonts w:ascii="Times New Roman" w:hAnsi="Times New Roman" w:eastAsia="Times New Roman" w:cs="Times New Roman"/>
                <w:sz w:val="20"/>
                <w:szCs w:val="20"/>
              </w:rPr>
              <w:t>N</w:t>
            </w:r>
            <w:r>
              <w:rPr>
                <w:rFonts w:ascii="Times New Roman" w:hAnsi="Times New Roman" w:eastAsia="Times New Roman" w:cs="Times New Roman"/>
                <w:spacing w:val="11"/>
                <w:sz w:val="20"/>
                <w:szCs w:val="20"/>
              </w:rPr>
              <w:t>1#</w:t>
            </w:r>
            <w:r>
              <w:rPr>
                <w:rFonts w:ascii="宋体" w:hAnsi="宋体" w:eastAsia="宋体" w:cs="宋体"/>
                <w:spacing w:val="11"/>
                <w:sz w:val="20"/>
                <w:szCs w:val="20"/>
              </w:rPr>
              <w:t>、</w:t>
            </w:r>
            <w:r>
              <w:rPr>
                <w:rFonts w:ascii="Times New Roman" w:hAnsi="Times New Roman" w:eastAsia="Times New Roman" w:cs="Times New Roman"/>
                <w:sz w:val="20"/>
                <w:szCs w:val="20"/>
              </w:rPr>
              <w:t>N</w:t>
            </w:r>
            <w:r>
              <w:rPr>
                <w:rFonts w:ascii="Times New Roman" w:hAnsi="Times New Roman" w:eastAsia="Times New Roman" w:cs="Times New Roman"/>
                <w:spacing w:val="11"/>
                <w:sz w:val="20"/>
                <w:szCs w:val="20"/>
              </w:rPr>
              <w:t>3#</w:t>
            </w:r>
            <w:r>
              <w:rPr>
                <w:rFonts w:ascii="宋体" w:hAnsi="宋体" w:eastAsia="宋体" w:cs="宋体"/>
                <w:spacing w:val="11"/>
                <w:sz w:val="20"/>
                <w:szCs w:val="20"/>
              </w:rPr>
              <w:t>现状噪声昼间的环境噪声值在</w:t>
            </w:r>
            <w:r>
              <w:rPr>
                <w:rFonts w:ascii="Times New Roman" w:hAnsi="Times New Roman" w:eastAsia="Times New Roman" w:cs="Times New Roman"/>
                <w:spacing w:val="11"/>
                <w:sz w:val="20"/>
                <w:szCs w:val="20"/>
              </w:rPr>
              <w:t>49</w:t>
            </w:r>
            <w:r>
              <w:rPr>
                <w:rFonts w:ascii="宋体" w:hAnsi="宋体" w:eastAsia="宋体" w:cs="宋体"/>
                <w:spacing w:val="11"/>
                <w:sz w:val="20"/>
                <w:szCs w:val="20"/>
              </w:rPr>
              <w:t>~</w:t>
            </w:r>
            <w:r>
              <w:rPr>
                <w:rFonts w:ascii="Times New Roman" w:hAnsi="Times New Roman" w:eastAsia="Times New Roman" w:cs="Times New Roman"/>
                <w:spacing w:val="11"/>
                <w:sz w:val="20"/>
                <w:szCs w:val="20"/>
              </w:rPr>
              <w:t>60</w:t>
            </w:r>
            <w:r>
              <w:rPr>
                <w:rFonts w:ascii="Times New Roman" w:hAnsi="Times New Roman" w:eastAsia="Times New Roman" w:cs="Times New Roman"/>
                <w:sz w:val="20"/>
                <w:szCs w:val="20"/>
              </w:rPr>
              <w:t>dB</w:t>
            </w:r>
            <w:r>
              <w:rPr>
                <w:rFonts w:ascii="Times New Roman" w:hAnsi="Times New Roman" w:eastAsia="Times New Roman" w:cs="Times New Roman"/>
                <w:spacing w:val="11"/>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11"/>
                <w:sz w:val="20"/>
                <w:szCs w:val="20"/>
              </w:rPr>
              <w:t>)</w:t>
            </w:r>
            <w:r>
              <w:rPr>
                <w:rFonts w:ascii="宋体" w:hAnsi="宋体" w:eastAsia="宋体" w:cs="宋体"/>
                <w:spacing w:val="11"/>
                <w:sz w:val="20"/>
                <w:szCs w:val="20"/>
              </w:rPr>
              <w:t>之间，夜间环</w:t>
            </w:r>
            <w:r>
              <w:rPr>
                <w:rFonts w:ascii="宋体" w:hAnsi="宋体" w:eastAsia="宋体" w:cs="宋体"/>
                <w:sz w:val="20"/>
                <w:szCs w:val="20"/>
              </w:rPr>
              <w:t xml:space="preserve"> </w:t>
            </w:r>
            <w:r>
              <w:rPr>
                <w:rFonts w:ascii="宋体" w:hAnsi="宋体" w:eastAsia="宋体" w:cs="宋体"/>
                <w:spacing w:val="35"/>
                <w:sz w:val="20"/>
                <w:szCs w:val="20"/>
              </w:rPr>
              <w:t>境</w:t>
            </w:r>
            <w:r>
              <w:rPr>
                <w:rFonts w:ascii="宋体" w:hAnsi="宋体" w:eastAsia="宋体" w:cs="宋体"/>
                <w:spacing w:val="19"/>
                <w:sz w:val="20"/>
                <w:szCs w:val="20"/>
              </w:rPr>
              <w:t>噪声值在</w:t>
            </w:r>
            <w:r>
              <w:rPr>
                <w:rFonts w:ascii="Times New Roman" w:hAnsi="Times New Roman" w:eastAsia="Times New Roman" w:cs="Times New Roman"/>
                <w:spacing w:val="19"/>
                <w:sz w:val="20"/>
                <w:szCs w:val="20"/>
              </w:rPr>
              <w:t>42</w:t>
            </w:r>
            <w:r>
              <w:rPr>
                <w:rFonts w:ascii="宋体" w:hAnsi="宋体" w:eastAsia="宋体" w:cs="宋体"/>
                <w:spacing w:val="19"/>
                <w:sz w:val="20"/>
                <w:szCs w:val="20"/>
              </w:rPr>
              <w:t>~</w:t>
            </w:r>
            <w:r>
              <w:rPr>
                <w:rFonts w:ascii="Times New Roman" w:hAnsi="Times New Roman" w:eastAsia="Times New Roman" w:cs="Times New Roman"/>
                <w:spacing w:val="19"/>
                <w:sz w:val="20"/>
                <w:szCs w:val="20"/>
              </w:rPr>
              <w:t>49</w:t>
            </w:r>
            <w:r>
              <w:rPr>
                <w:rFonts w:ascii="Times New Roman" w:hAnsi="Times New Roman" w:eastAsia="Times New Roman" w:cs="Times New Roman"/>
                <w:sz w:val="20"/>
                <w:szCs w:val="20"/>
              </w:rPr>
              <w:t>dB</w:t>
            </w:r>
            <w:r>
              <w:rPr>
                <w:rFonts w:ascii="Times New Roman" w:hAnsi="Times New Roman" w:eastAsia="Times New Roman" w:cs="Times New Roman"/>
                <w:spacing w:val="19"/>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19"/>
                <w:sz w:val="20"/>
                <w:szCs w:val="20"/>
              </w:rPr>
              <w:t>)</w:t>
            </w:r>
            <w:r>
              <w:rPr>
                <w:rFonts w:ascii="宋体" w:hAnsi="宋体" w:eastAsia="宋体" w:cs="宋体"/>
                <w:spacing w:val="19"/>
                <w:sz w:val="20"/>
                <w:szCs w:val="20"/>
              </w:rPr>
              <w:t>之间 。该监测点位昼间噪声值均能满足《声环境质量标准》</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12"/>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1"/>
                <w:sz w:val="20"/>
                <w:szCs w:val="20"/>
              </w:rPr>
              <w:t>3</w:t>
            </w:r>
            <w:r>
              <w:rPr>
                <w:rFonts w:ascii="Times New Roman" w:hAnsi="Times New Roman" w:eastAsia="Times New Roman" w:cs="Times New Roman"/>
                <w:spacing w:val="6"/>
                <w:sz w:val="20"/>
                <w:szCs w:val="20"/>
              </w:rPr>
              <w:t>096-2008</w:t>
            </w:r>
            <w:r>
              <w:rPr>
                <w:rFonts w:ascii="宋体" w:hAnsi="宋体" w:eastAsia="宋体" w:cs="宋体"/>
                <w:spacing w:val="6"/>
                <w:sz w:val="20"/>
                <w:szCs w:val="20"/>
              </w:rPr>
              <w:t>) 中的</w:t>
            </w:r>
            <w:r>
              <w:rPr>
                <w:rFonts w:ascii="Times New Roman" w:hAnsi="Times New Roman" w:eastAsia="Times New Roman" w:cs="Times New Roman"/>
                <w:spacing w:val="6"/>
                <w:sz w:val="20"/>
                <w:szCs w:val="20"/>
              </w:rPr>
              <w:t>2</w:t>
            </w:r>
            <w:r>
              <w:rPr>
                <w:rFonts w:ascii="宋体" w:hAnsi="宋体" w:eastAsia="宋体" w:cs="宋体"/>
                <w:spacing w:val="6"/>
                <w:sz w:val="20"/>
                <w:szCs w:val="20"/>
              </w:rPr>
              <w:t>类区标准要求。</w:t>
            </w:r>
          </w:p>
          <w:p>
            <w:pPr>
              <w:spacing w:before="2" w:line="320" w:lineRule="auto"/>
              <w:ind w:left="106" w:right="101" w:firstLine="430"/>
              <w:rPr>
                <w:rFonts w:ascii="宋体" w:hAnsi="宋体" w:eastAsia="宋体" w:cs="宋体"/>
                <w:sz w:val="20"/>
                <w:szCs w:val="20"/>
              </w:rPr>
            </w:pPr>
            <w:r>
              <w:rPr>
                <w:rFonts w:ascii="宋体" w:hAnsi="宋体" w:eastAsia="宋体" w:cs="宋体"/>
                <w:spacing w:val="24"/>
                <w:sz w:val="20"/>
                <w:szCs w:val="20"/>
              </w:rPr>
              <w:t>(</w:t>
            </w:r>
            <w:r>
              <w:rPr>
                <w:rFonts w:ascii="Times New Roman" w:hAnsi="Times New Roman" w:eastAsia="Times New Roman" w:cs="Times New Roman"/>
                <w:spacing w:val="24"/>
                <w:sz w:val="20"/>
                <w:szCs w:val="20"/>
              </w:rPr>
              <w:t>2</w:t>
            </w:r>
            <w:r>
              <w:rPr>
                <w:rFonts w:ascii="宋体" w:hAnsi="宋体" w:eastAsia="宋体" w:cs="宋体"/>
                <w:spacing w:val="16"/>
                <w:sz w:val="20"/>
                <w:szCs w:val="20"/>
              </w:rPr>
              <w:t>)</w:t>
            </w:r>
            <w:r>
              <w:rPr>
                <w:rFonts w:ascii="宋体" w:hAnsi="宋体" w:eastAsia="宋体" w:cs="宋体"/>
                <w:spacing w:val="12"/>
                <w:sz w:val="20"/>
                <w:szCs w:val="20"/>
              </w:rPr>
              <w:t xml:space="preserve"> </w:t>
            </w:r>
            <w:r>
              <w:rPr>
                <w:rFonts w:ascii="Times New Roman" w:hAnsi="Times New Roman" w:eastAsia="Times New Roman" w:cs="Times New Roman"/>
                <w:spacing w:val="12"/>
                <w:sz w:val="20"/>
                <w:szCs w:val="20"/>
              </w:rPr>
              <w:t>4</w:t>
            </w:r>
            <w:r>
              <w:rPr>
                <w:rFonts w:ascii="Times New Roman" w:hAnsi="Times New Roman" w:eastAsia="Times New Roman" w:cs="Times New Roman"/>
                <w:sz w:val="20"/>
                <w:szCs w:val="20"/>
              </w:rPr>
              <w:t>a</w:t>
            </w:r>
            <w:r>
              <w:rPr>
                <w:rFonts w:ascii="宋体" w:hAnsi="宋体" w:eastAsia="宋体" w:cs="宋体"/>
                <w:spacing w:val="12"/>
                <w:sz w:val="20"/>
                <w:szCs w:val="20"/>
              </w:rPr>
              <w:t>类区点位：</w:t>
            </w:r>
            <w:r>
              <w:rPr>
                <w:rFonts w:ascii="Times New Roman" w:hAnsi="Times New Roman" w:eastAsia="Times New Roman" w:cs="Times New Roman"/>
                <w:sz w:val="20"/>
                <w:szCs w:val="20"/>
              </w:rPr>
              <w:t>N</w:t>
            </w:r>
            <w:r>
              <w:rPr>
                <w:rFonts w:ascii="Times New Roman" w:hAnsi="Times New Roman" w:eastAsia="Times New Roman" w:cs="Times New Roman"/>
                <w:spacing w:val="12"/>
                <w:sz w:val="20"/>
                <w:szCs w:val="20"/>
              </w:rPr>
              <w:t>2#</w:t>
            </w:r>
            <w:r>
              <w:rPr>
                <w:rFonts w:ascii="宋体" w:hAnsi="宋体" w:eastAsia="宋体" w:cs="宋体"/>
                <w:spacing w:val="12"/>
                <w:sz w:val="20"/>
                <w:szCs w:val="20"/>
              </w:rPr>
              <w:t>监测点现状噪声昼间的环境噪声值在</w:t>
            </w:r>
            <w:r>
              <w:rPr>
                <w:rFonts w:ascii="Times New Roman" w:hAnsi="Times New Roman" w:eastAsia="Times New Roman" w:cs="Times New Roman"/>
                <w:spacing w:val="12"/>
                <w:sz w:val="20"/>
                <w:szCs w:val="20"/>
              </w:rPr>
              <w:t>61</w:t>
            </w:r>
            <w:r>
              <w:rPr>
                <w:rFonts w:ascii="宋体" w:hAnsi="宋体" w:eastAsia="宋体" w:cs="宋体"/>
                <w:spacing w:val="12"/>
                <w:sz w:val="20"/>
                <w:szCs w:val="20"/>
              </w:rPr>
              <w:t>~</w:t>
            </w:r>
            <w:r>
              <w:rPr>
                <w:rFonts w:ascii="Times New Roman" w:hAnsi="Times New Roman" w:eastAsia="Times New Roman" w:cs="Times New Roman"/>
                <w:spacing w:val="12"/>
                <w:sz w:val="20"/>
                <w:szCs w:val="20"/>
              </w:rPr>
              <w:t>62</w:t>
            </w:r>
            <w:r>
              <w:rPr>
                <w:rFonts w:ascii="Times New Roman" w:hAnsi="Times New Roman" w:eastAsia="Times New Roman" w:cs="Times New Roman"/>
                <w:sz w:val="20"/>
                <w:szCs w:val="20"/>
              </w:rPr>
              <w:t>dB</w:t>
            </w:r>
            <w:r>
              <w:rPr>
                <w:rFonts w:ascii="Times New Roman" w:hAnsi="Times New Roman" w:eastAsia="Times New Roman" w:cs="Times New Roman"/>
                <w:spacing w:val="12"/>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12"/>
                <w:sz w:val="20"/>
                <w:szCs w:val="20"/>
              </w:rPr>
              <w:t>)</w:t>
            </w:r>
            <w:r>
              <w:rPr>
                <w:rFonts w:ascii="宋体" w:hAnsi="宋体" w:eastAsia="宋体" w:cs="宋体"/>
                <w:spacing w:val="12"/>
                <w:sz w:val="20"/>
                <w:szCs w:val="20"/>
              </w:rPr>
              <w:t>之间、夜间</w:t>
            </w:r>
            <w:r>
              <w:rPr>
                <w:rFonts w:ascii="宋体" w:hAnsi="宋体" w:eastAsia="宋体" w:cs="宋体"/>
                <w:sz w:val="20"/>
                <w:szCs w:val="20"/>
              </w:rPr>
              <w:t xml:space="preserve"> </w:t>
            </w:r>
            <w:r>
              <w:rPr>
                <w:rFonts w:ascii="宋体" w:hAnsi="宋体" w:eastAsia="宋体" w:cs="宋体"/>
                <w:spacing w:val="18"/>
                <w:sz w:val="20"/>
                <w:szCs w:val="20"/>
              </w:rPr>
              <w:t>环境噪</w:t>
            </w:r>
            <w:r>
              <w:rPr>
                <w:rFonts w:ascii="宋体" w:hAnsi="宋体" w:eastAsia="宋体" w:cs="宋体"/>
                <w:spacing w:val="9"/>
                <w:sz w:val="20"/>
                <w:szCs w:val="20"/>
              </w:rPr>
              <w:t>声值在</w:t>
            </w:r>
            <w:r>
              <w:rPr>
                <w:rFonts w:ascii="Times New Roman" w:hAnsi="Times New Roman" w:eastAsia="Times New Roman" w:cs="Times New Roman"/>
                <w:spacing w:val="9"/>
                <w:sz w:val="20"/>
                <w:szCs w:val="20"/>
              </w:rPr>
              <w:t>50</w:t>
            </w:r>
            <w:r>
              <w:rPr>
                <w:rFonts w:ascii="宋体" w:hAnsi="宋体" w:eastAsia="宋体" w:cs="宋体"/>
                <w:spacing w:val="9"/>
                <w:sz w:val="20"/>
                <w:szCs w:val="20"/>
              </w:rPr>
              <w:t>~</w:t>
            </w:r>
            <w:r>
              <w:rPr>
                <w:rFonts w:ascii="Times New Roman" w:hAnsi="Times New Roman" w:eastAsia="Times New Roman" w:cs="Times New Roman"/>
                <w:spacing w:val="9"/>
                <w:sz w:val="20"/>
                <w:szCs w:val="20"/>
              </w:rPr>
              <w:t>51</w:t>
            </w:r>
            <w:r>
              <w:rPr>
                <w:rFonts w:ascii="Times New Roman" w:hAnsi="Times New Roman" w:eastAsia="Times New Roman" w:cs="Times New Roman"/>
                <w:sz w:val="20"/>
                <w:szCs w:val="20"/>
              </w:rPr>
              <w:t>dB</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9"/>
                <w:sz w:val="20"/>
                <w:szCs w:val="20"/>
              </w:rPr>
              <w:t>)</w:t>
            </w:r>
            <w:r>
              <w:rPr>
                <w:rFonts w:ascii="宋体" w:hAnsi="宋体" w:eastAsia="宋体" w:cs="宋体"/>
                <w:spacing w:val="9"/>
                <w:sz w:val="20"/>
                <w:szCs w:val="20"/>
              </w:rPr>
              <w:t>之间，均能满足《声环境质量标准》  (</w:t>
            </w:r>
            <w:r>
              <w:rPr>
                <w:rFonts w:ascii="Times New Roman" w:hAnsi="Times New Roman" w:eastAsia="Times New Roman" w:cs="Times New Roman"/>
                <w:sz w:val="20"/>
                <w:szCs w:val="20"/>
              </w:rPr>
              <w:t>GB</w:t>
            </w:r>
            <w:r>
              <w:rPr>
                <w:rFonts w:ascii="Times New Roman" w:hAnsi="Times New Roman" w:eastAsia="Times New Roman" w:cs="Times New Roman"/>
                <w:spacing w:val="9"/>
                <w:sz w:val="20"/>
                <w:szCs w:val="20"/>
              </w:rPr>
              <w:t>3096-2008</w:t>
            </w:r>
            <w:r>
              <w:rPr>
                <w:rFonts w:ascii="宋体" w:hAnsi="宋体" w:eastAsia="宋体" w:cs="宋体"/>
                <w:spacing w:val="9"/>
                <w:sz w:val="20"/>
                <w:szCs w:val="20"/>
              </w:rPr>
              <w:t>) 中的</w:t>
            </w:r>
            <w:r>
              <w:rPr>
                <w:rFonts w:ascii="Times New Roman" w:hAnsi="Times New Roman" w:eastAsia="Times New Roman" w:cs="Times New Roman"/>
                <w:spacing w:val="9"/>
                <w:sz w:val="20"/>
                <w:szCs w:val="20"/>
              </w:rPr>
              <w:t>4</w:t>
            </w:r>
            <w:r>
              <w:rPr>
                <w:rFonts w:ascii="Times New Roman" w:hAnsi="Times New Roman" w:eastAsia="Times New Roman" w:cs="Times New Roman"/>
                <w:sz w:val="20"/>
                <w:szCs w:val="20"/>
              </w:rPr>
              <w:t xml:space="preserve">a </w:t>
            </w:r>
            <w:r>
              <w:rPr>
                <w:rFonts w:ascii="宋体" w:hAnsi="宋体" w:eastAsia="宋体" w:cs="宋体"/>
                <w:spacing w:val="7"/>
                <w:sz w:val="20"/>
                <w:szCs w:val="20"/>
              </w:rPr>
              <w:t>类区标准要求。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9" w:hRule="atLeast"/>
        </w:trPr>
        <w:tc>
          <w:tcPr>
            <w:tcW w:w="622" w:type="dxa"/>
            <w:tcBorders>
              <w:left w:val="single" w:color="000000" w:sz="6" w:space="0"/>
            </w:tcBorders>
            <w:vAlign w:val="top"/>
          </w:tcPr>
          <w:p>
            <w:pPr>
              <w:spacing w:before="105" w:line="228" w:lineRule="auto"/>
              <w:ind w:left="103"/>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与</w:t>
            </w:r>
            <w:r>
              <w:rPr>
                <w:rFonts w:ascii="宋体" w:hAnsi="宋体" w:eastAsia="宋体" w:cs="宋体"/>
                <w:spacing w:val="3"/>
                <w:sz w:val="20"/>
                <w:szCs w:val="20"/>
                <w14:textOutline w14:w="3795" w14:cap="sq" w14:cmpd="sng">
                  <w14:solidFill>
                    <w14:srgbClr w14:val="000000"/>
                  </w14:solidFill>
                  <w14:prstDash w14:val="solid"/>
                  <w14:bevel/>
                </w14:textOutline>
              </w:rPr>
              <w:t>项</w:t>
            </w:r>
          </w:p>
          <w:p>
            <w:pPr>
              <w:spacing w:before="24" w:line="228" w:lineRule="auto"/>
              <w:ind w:left="139"/>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目有</w:t>
            </w:r>
          </w:p>
          <w:p>
            <w:pPr>
              <w:spacing w:before="24" w:line="228" w:lineRule="auto"/>
              <w:ind w:left="102"/>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关的</w:t>
            </w:r>
          </w:p>
          <w:p>
            <w:pPr>
              <w:spacing w:before="26" w:line="228" w:lineRule="auto"/>
              <w:ind w:left="104"/>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原</w:t>
            </w:r>
            <w:r>
              <w:rPr>
                <w:rFonts w:ascii="宋体" w:hAnsi="宋体" w:eastAsia="宋体" w:cs="宋体"/>
                <w:spacing w:val="3"/>
                <w:sz w:val="20"/>
                <w:szCs w:val="20"/>
                <w14:textOutline w14:w="3795" w14:cap="sq" w14:cmpd="sng">
                  <w14:solidFill>
                    <w14:srgbClr w14:val="000000"/>
                  </w14:solidFill>
                  <w14:prstDash w14:val="solid"/>
                  <w14:bevel/>
                </w14:textOutline>
              </w:rPr>
              <w:t>有</w:t>
            </w:r>
          </w:p>
          <w:p>
            <w:pPr>
              <w:spacing w:before="24" w:line="228" w:lineRule="auto"/>
              <w:ind w:left="99"/>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环境</w:t>
            </w:r>
          </w:p>
          <w:p>
            <w:pPr>
              <w:spacing w:before="26" w:line="228" w:lineRule="auto"/>
              <w:ind w:left="101"/>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污染</w:t>
            </w:r>
          </w:p>
          <w:p>
            <w:pPr>
              <w:spacing w:before="25" w:line="231" w:lineRule="auto"/>
              <w:ind w:left="10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和</w:t>
            </w:r>
            <w:r>
              <w:rPr>
                <w:rFonts w:ascii="宋体" w:hAnsi="宋体" w:eastAsia="宋体" w:cs="宋体"/>
                <w:spacing w:val="5"/>
                <w:sz w:val="20"/>
                <w:szCs w:val="20"/>
                <w14:textOutline w14:w="3795" w14:cap="sq" w14:cmpd="sng">
                  <w14:solidFill>
                    <w14:srgbClr w14:val="000000"/>
                  </w14:solidFill>
                  <w14:prstDash w14:val="solid"/>
                  <w14:bevel/>
                </w14:textOutline>
              </w:rPr>
              <w:t>生</w:t>
            </w:r>
          </w:p>
          <w:p>
            <w:pPr>
              <w:spacing w:before="21" w:line="231" w:lineRule="auto"/>
              <w:ind w:left="99"/>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态破</w:t>
            </w:r>
          </w:p>
          <w:p>
            <w:pPr>
              <w:spacing w:before="22" w:line="228" w:lineRule="auto"/>
              <w:ind w:left="99"/>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坏问</w:t>
            </w:r>
          </w:p>
          <w:p>
            <w:pPr>
              <w:spacing w:before="26" w:line="230" w:lineRule="auto"/>
              <w:ind w:left="202"/>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题</w:t>
            </w:r>
          </w:p>
        </w:tc>
        <w:tc>
          <w:tcPr>
            <w:tcW w:w="8304" w:type="dxa"/>
            <w:tcBorders>
              <w:right w:val="single" w:color="000000" w:sz="6" w:space="0"/>
            </w:tcBorders>
            <w:vAlign w:val="top"/>
          </w:tcPr>
          <w:p>
            <w:pPr>
              <w:spacing w:line="295" w:lineRule="auto"/>
              <w:rPr>
                <w:rFonts w:ascii="Arial"/>
                <w:sz w:val="21"/>
              </w:rPr>
            </w:pPr>
          </w:p>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before="65" w:line="228" w:lineRule="auto"/>
              <w:ind w:left="108"/>
              <w:rPr>
                <w:rFonts w:ascii="宋体" w:hAnsi="宋体" w:eastAsia="宋体" w:cs="宋体"/>
                <w:sz w:val="20"/>
                <w:szCs w:val="20"/>
              </w:rPr>
            </w:pPr>
            <w:r>
              <w:rPr>
                <w:rFonts w:ascii="宋体" w:hAnsi="宋体" w:eastAsia="宋体" w:cs="宋体"/>
                <w:sz w:val="20"/>
                <w:szCs w:val="20"/>
              </w:rPr>
              <w:t>无</w:t>
            </w:r>
          </w:p>
        </w:tc>
      </w:tr>
    </w:tbl>
    <w:p>
      <w:pPr>
        <w:spacing w:line="188" w:lineRule="exact"/>
        <w:rPr>
          <w:rFonts w:ascii="Arial"/>
          <w:sz w:val="16"/>
        </w:rPr>
      </w:pPr>
    </w:p>
    <w:p>
      <w:pPr>
        <w:sectPr>
          <w:footerReference r:id="rId68" w:type="default"/>
          <w:pgSz w:w="11906" w:h="16839"/>
          <w:pgMar w:top="400" w:right="1482" w:bottom="1475" w:left="1482" w:header="0" w:footer="1315" w:gutter="0"/>
          <w:cols w:space="720" w:num="1"/>
        </w:sectPr>
      </w:pPr>
    </w:p>
    <w:p/>
    <w:p/>
    <w:p/>
    <w:p/>
    <w:p>
      <w:pPr>
        <w:spacing w:line="221" w:lineRule="exact"/>
      </w:pPr>
    </w:p>
    <w:tbl>
      <w:tblPr>
        <w:tblStyle w:val="4"/>
        <w:tblW w:w="892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3"/>
        <w:gridCol w:w="126"/>
        <w:gridCol w:w="280"/>
        <w:gridCol w:w="591"/>
        <w:gridCol w:w="473"/>
        <w:gridCol w:w="524"/>
        <w:gridCol w:w="621"/>
        <w:gridCol w:w="480"/>
        <w:gridCol w:w="428"/>
        <w:gridCol w:w="784"/>
        <w:gridCol w:w="591"/>
        <w:gridCol w:w="741"/>
        <w:gridCol w:w="783"/>
        <w:gridCol w:w="1746"/>
        <w:gridCol w:w="1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1" w:hRule="atLeast"/>
        </w:trPr>
        <w:tc>
          <w:tcPr>
            <w:tcW w:w="623" w:type="dxa"/>
            <w:vMerge w:val="restart"/>
            <w:tcBorders>
              <w:left w:val="single" w:color="000000" w:sz="6" w:space="0"/>
              <w:bottom w:val="nil"/>
            </w:tcBorders>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5" w:line="259" w:lineRule="auto"/>
              <w:ind w:left="99" w:right="101" w:firstLine="1"/>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生态</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环境</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保护</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目标</w:t>
            </w:r>
          </w:p>
        </w:tc>
        <w:tc>
          <w:tcPr>
            <w:tcW w:w="8303" w:type="dxa"/>
            <w:gridSpan w:val="14"/>
            <w:tcBorders>
              <w:right w:val="single" w:color="000000" w:sz="6" w:space="0"/>
            </w:tcBorders>
            <w:vAlign w:val="top"/>
          </w:tcPr>
          <w:p>
            <w:pPr>
              <w:spacing w:before="153" w:line="242" w:lineRule="auto"/>
              <w:ind w:left="121"/>
              <w:rPr>
                <w:rFonts w:ascii="黑体" w:hAnsi="黑体" w:eastAsia="黑体" w:cs="黑体"/>
                <w:sz w:val="20"/>
                <w:szCs w:val="20"/>
              </w:rPr>
            </w:pPr>
            <w:r>
              <w:rPr>
                <w:rFonts w:ascii="Times New Roman" w:hAnsi="Times New Roman" w:eastAsia="Times New Roman" w:cs="Times New Roman"/>
                <w:sz w:val="20"/>
                <w:szCs w:val="20"/>
              </w:rPr>
              <w:t xml:space="preserve">1 </w:t>
            </w:r>
            <w:r>
              <w:rPr>
                <w:rFonts w:ascii="黑体" w:hAnsi="黑体" w:eastAsia="黑体" w:cs="黑体"/>
                <w:sz w:val="20"/>
                <w:szCs w:val="20"/>
              </w:rPr>
              <w:t>、生态保护目标</w:t>
            </w:r>
          </w:p>
          <w:p>
            <w:pPr>
              <w:spacing w:before="139" w:line="369" w:lineRule="auto"/>
              <w:ind w:left="107" w:right="34" w:firstLine="421"/>
              <w:rPr>
                <w:rFonts w:ascii="宋体" w:hAnsi="宋体" w:eastAsia="宋体" w:cs="宋体"/>
                <w:sz w:val="20"/>
                <w:szCs w:val="20"/>
              </w:rPr>
            </w:pPr>
            <w:r>
              <w:rPr>
                <w:rFonts w:ascii="宋体" w:hAnsi="宋体" w:eastAsia="宋体" w:cs="宋体"/>
                <w:spacing w:val="7"/>
                <w:sz w:val="20"/>
                <w:szCs w:val="20"/>
              </w:rPr>
              <w:t>项目区不涉及四川省自然保护区、风景名胜区、湿地公园、森林公园、饮用水源保护</w:t>
            </w:r>
            <w:r>
              <w:rPr>
                <w:rFonts w:ascii="宋体" w:hAnsi="宋体" w:eastAsia="宋体" w:cs="宋体"/>
                <w:sz w:val="20"/>
                <w:szCs w:val="20"/>
              </w:rPr>
              <w:t xml:space="preserve"> </w:t>
            </w:r>
            <w:r>
              <w:rPr>
                <w:rFonts w:ascii="宋体" w:hAnsi="宋体" w:eastAsia="宋体" w:cs="宋体"/>
                <w:spacing w:val="6"/>
                <w:sz w:val="20"/>
                <w:szCs w:val="20"/>
              </w:rPr>
              <w:t>区、重点保护文物及珍</w:t>
            </w:r>
            <w:r>
              <w:rPr>
                <w:rFonts w:ascii="宋体" w:hAnsi="宋体" w:eastAsia="宋体" w:cs="宋体"/>
                <w:spacing w:val="4"/>
                <w:sz w:val="20"/>
                <w:szCs w:val="20"/>
              </w:rPr>
              <w:t>稀</w:t>
            </w:r>
            <w:r>
              <w:rPr>
                <w:rFonts w:ascii="宋体" w:hAnsi="宋体" w:eastAsia="宋体" w:cs="宋体"/>
                <w:spacing w:val="3"/>
                <w:sz w:val="20"/>
                <w:szCs w:val="20"/>
              </w:rPr>
              <w:t>动植物资源等特殊或重要生态敏感区，沿线无生态保护红线分布。</w:t>
            </w:r>
            <w:r>
              <w:rPr>
                <w:rFonts w:ascii="宋体" w:hAnsi="宋体" w:eastAsia="宋体" w:cs="宋体"/>
                <w:sz w:val="20"/>
                <w:szCs w:val="20"/>
              </w:rPr>
              <w:t xml:space="preserve"> </w:t>
            </w:r>
            <w:r>
              <w:rPr>
                <w:rFonts w:ascii="宋体" w:hAnsi="宋体" w:eastAsia="宋体" w:cs="宋体"/>
                <w:spacing w:val="14"/>
                <w:sz w:val="20"/>
                <w:szCs w:val="20"/>
              </w:rPr>
              <w:t>主</w:t>
            </w:r>
            <w:r>
              <w:rPr>
                <w:rFonts w:ascii="宋体" w:hAnsi="宋体" w:eastAsia="宋体" w:cs="宋体"/>
                <w:spacing w:val="7"/>
                <w:sz w:val="20"/>
                <w:szCs w:val="20"/>
              </w:rPr>
              <w:t>要生态保护目标为沿线土地资源、植被、野生动物、鱼类、生态系统以及明月山风景名</w:t>
            </w:r>
          </w:p>
          <w:p>
            <w:pPr>
              <w:spacing w:line="227" w:lineRule="auto"/>
              <w:ind w:left="105"/>
              <w:rPr>
                <w:rFonts w:ascii="宋体" w:hAnsi="宋体" w:eastAsia="宋体" w:cs="宋体"/>
                <w:sz w:val="20"/>
                <w:szCs w:val="20"/>
              </w:rPr>
            </w:pPr>
            <w:r>
              <w:rPr>
                <w:rFonts w:ascii="宋体" w:hAnsi="宋体" w:eastAsia="宋体" w:cs="宋体"/>
                <w:spacing w:val="9"/>
                <w:sz w:val="20"/>
                <w:szCs w:val="20"/>
              </w:rPr>
              <w:t>胜区等。根据调查，确定本项目的主要生态保护目标见下表</w:t>
            </w:r>
            <w:r>
              <w:rPr>
                <w:rFonts w:ascii="Times New Roman" w:hAnsi="Times New Roman" w:eastAsia="Times New Roman" w:cs="Times New Roman"/>
                <w:spacing w:val="9"/>
                <w:sz w:val="20"/>
                <w:szCs w:val="20"/>
              </w:rPr>
              <w:t>3-9</w:t>
            </w:r>
            <w:r>
              <w:rPr>
                <w:rFonts w:ascii="宋体" w:hAnsi="宋体" w:eastAsia="宋体" w:cs="宋体"/>
                <w:spacing w:val="3"/>
                <w:sz w:val="20"/>
                <w:szCs w:val="20"/>
              </w:rPr>
              <w:t>。</w:t>
            </w:r>
          </w:p>
          <w:p>
            <w:pPr>
              <w:spacing w:before="132" w:line="230" w:lineRule="auto"/>
              <w:ind w:left="2556"/>
              <w:rPr>
                <w:rFonts w:ascii="黑体" w:hAnsi="黑体" w:eastAsia="黑体" w:cs="黑体"/>
                <w:sz w:val="19"/>
                <w:szCs w:val="19"/>
              </w:rPr>
            </w:pPr>
            <w:r>
              <w:rPr>
                <w:rFonts w:ascii="黑体" w:hAnsi="黑体" w:eastAsia="黑体" w:cs="黑体"/>
                <w:spacing w:val="14"/>
                <w:sz w:val="19"/>
                <w:szCs w:val="19"/>
              </w:rPr>
              <w:t>表</w:t>
            </w:r>
            <w:r>
              <w:rPr>
                <w:rFonts w:ascii="Times New Roman" w:hAnsi="Times New Roman" w:eastAsia="Times New Roman" w:cs="Times New Roman"/>
                <w:spacing w:val="7"/>
                <w:sz w:val="19"/>
                <w:szCs w:val="19"/>
              </w:rPr>
              <w:t xml:space="preserve">30    </w:t>
            </w:r>
            <w:r>
              <w:rPr>
                <w:rFonts w:ascii="黑体" w:hAnsi="黑体" w:eastAsia="黑体" w:cs="黑体"/>
                <w:spacing w:val="7"/>
                <w:sz w:val="19"/>
                <w:szCs w:val="19"/>
              </w:rPr>
              <w:t>主要生态环境保护目标一览表</w:t>
            </w:r>
          </w:p>
          <w:p>
            <w:pPr>
              <w:spacing w:line="51" w:lineRule="auto"/>
              <w:rPr>
                <w:rFonts w:ascii="Arial"/>
                <w:sz w:val="2"/>
              </w:rPr>
            </w:pPr>
          </w:p>
          <w:tbl>
            <w:tblPr>
              <w:tblStyle w:val="4"/>
              <w:tblW w:w="8026" w:type="dxa"/>
              <w:tblInd w:w="1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9"/>
              <w:gridCol w:w="976"/>
              <w:gridCol w:w="1728"/>
              <w:gridCol w:w="48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479" w:type="dxa"/>
                  <w:vAlign w:val="top"/>
                </w:tcPr>
                <w:p>
                  <w:pPr>
                    <w:spacing w:before="98" w:line="232" w:lineRule="auto"/>
                    <w:ind w:left="62"/>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序</w:t>
                  </w:r>
                  <w:r>
                    <w:rPr>
                      <w:rFonts w:ascii="宋体" w:hAnsi="宋体" w:eastAsia="宋体" w:cs="宋体"/>
                      <w:spacing w:val="6"/>
                      <w:sz w:val="17"/>
                      <w:szCs w:val="17"/>
                      <w14:textOutline w14:w="3268" w14:cap="sq" w14:cmpd="sng">
                        <w14:solidFill>
                          <w14:srgbClr w14:val="000000"/>
                        </w14:solidFill>
                        <w14:prstDash w14:val="solid"/>
                        <w14:bevel/>
                      </w14:textOutline>
                    </w:rPr>
                    <w:t>号</w:t>
                  </w:r>
                </w:p>
              </w:tc>
              <w:tc>
                <w:tcPr>
                  <w:tcW w:w="976" w:type="dxa"/>
                  <w:vAlign w:val="top"/>
                </w:tcPr>
                <w:p>
                  <w:pPr>
                    <w:spacing w:before="98" w:line="231" w:lineRule="auto"/>
                    <w:ind w:left="127"/>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保</w:t>
                  </w:r>
                  <w:r>
                    <w:rPr>
                      <w:rFonts w:ascii="宋体" w:hAnsi="宋体" w:eastAsia="宋体" w:cs="宋体"/>
                      <w:spacing w:val="8"/>
                      <w:sz w:val="17"/>
                      <w:szCs w:val="17"/>
                      <w14:textOutline w14:w="3268" w14:cap="sq" w14:cmpd="sng">
                        <w14:solidFill>
                          <w14:srgbClr w14:val="000000"/>
                        </w14:solidFill>
                        <w14:prstDash w14:val="solid"/>
                        <w14:bevel/>
                      </w14:textOutline>
                    </w:rPr>
                    <w:t>护目标</w:t>
                  </w:r>
                </w:p>
              </w:tc>
              <w:tc>
                <w:tcPr>
                  <w:tcW w:w="1728" w:type="dxa"/>
                  <w:vAlign w:val="top"/>
                </w:tcPr>
                <w:p>
                  <w:pPr>
                    <w:spacing w:before="98" w:line="230" w:lineRule="auto"/>
                    <w:ind w:left="504"/>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保</w:t>
                  </w:r>
                  <w:r>
                    <w:rPr>
                      <w:rFonts w:ascii="宋体" w:hAnsi="宋体" w:eastAsia="宋体" w:cs="宋体"/>
                      <w:spacing w:val="8"/>
                      <w:sz w:val="17"/>
                      <w:szCs w:val="17"/>
                      <w14:textOutline w14:w="3268" w14:cap="sq" w14:cmpd="sng">
                        <w14:solidFill>
                          <w14:srgbClr w14:val="000000"/>
                        </w14:solidFill>
                        <w14:prstDash w14:val="solid"/>
                        <w14:bevel/>
                      </w14:textOutline>
                    </w:rPr>
                    <w:t>护内容</w:t>
                  </w:r>
                </w:p>
              </w:tc>
              <w:tc>
                <w:tcPr>
                  <w:tcW w:w="4843" w:type="dxa"/>
                  <w:tcBorders>
                    <w:right w:val="nil"/>
                  </w:tcBorders>
                  <w:vAlign w:val="top"/>
                </w:tcPr>
                <w:p>
                  <w:pPr>
                    <w:spacing w:before="98" w:line="232" w:lineRule="auto"/>
                    <w:ind w:left="2243"/>
                    <w:rPr>
                      <w:rFonts w:ascii="宋体" w:hAnsi="宋体" w:eastAsia="宋体" w:cs="宋体"/>
                      <w:sz w:val="17"/>
                      <w:szCs w:val="17"/>
                    </w:rPr>
                  </w:pPr>
                  <w:r>
                    <w:rPr>
                      <w:rFonts w:ascii="宋体" w:hAnsi="宋体" w:eastAsia="宋体" w:cs="宋体"/>
                      <w:spacing w:val="5"/>
                      <w:sz w:val="17"/>
                      <w:szCs w:val="17"/>
                      <w14:textOutline w14:w="3268" w14:cap="sq" w14:cmpd="sng">
                        <w14:solidFill>
                          <w14:srgbClr w14:val="000000"/>
                        </w14:solidFill>
                        <w14:prstDash w14:val="solid"/>
                        <w14:bevel/>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479" w:type="dxa"/>
                  <w:vAlign w:val="top"/>
                </w:tcPr>
                <w:p>
                  <w:pPr>
                    <w:spacing w:line="383" w:lineRule="auto"/>
                    <w:rPr>
                      <w:rFonts w:ascii="Arial"/>
                      <w:sz w:val="21"/>
                    </w:rPr>
                  </w:pPr>
                </w:p>
                <w:p>
                  <w:pPr>
                    <w:spacing w:before="48" w:line="197" w:lineRule="auto"/>
                    <w:ind w:left="247"/>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976" w:type="dxa"/>
                  <w:vAlign w:val="top"/>
                </w:tcPr>
                <w:p>
                  <w:pPr>
                    <w:spacing w:line="345" w:lineRule="auto"/>
                    <w:rPr>
                      <w:rFonts w:ascii="Arial"/>
                      <w:sz w:val="21"/>
                    </w:rPr>
                  </w:pPr>
                </w:p>
                <w:p>
                  <w:pPr>
                    <w:spacing w:before="55" w:line="232" w:lineRule="auto"/>
                    <w:ind w:left="129"/>
                    <w:rPr>
                      <w:rFonts w:ascii="宋体" w:hAnsi="宋体" w:eastAsia="宋体" w:cs="宋体"/>
                      <w:sz w:val="17"/>
                      <w:szCs w:val="17"/>
                    </w:rPr>
                  </w:pPr>
                  <w:r>
                    <w:rPr>
                      <w:rFonts w:ascii="宋体" w:hAnsi="宋体" w:eastAsia="宋体" w:cs="宋体"/>
                      <w:spacing w:val="8"/>
                      <w:sz w:val="17"/>
                      <w:szCs w:val="17"/>
                    </w:rPr>
                    <w:t>土地资源</w:t>
                  </w:r>
                </w:p>
              </w:tc>
              <w:tc>
                <w:tcPr>
                  <w:tcW w:w="1728" w:type="dxa"/>
                  <w:vAlign w:val="top"/>
                </w:tcPr>
                <w:p>
                  <w:pPr>
                    <w:spacing w:before="251" w:line="337" w:lineRule="auto"/>
                    <w:ind w:left="146" w:right="143"/>
                    <w:rPr>
                      <w:rFonts w:ascii="宋体" w:hAnsi="宋体" w:eastAsia="宋体" w:cs="宋体"/>
                      <w:sz w:val="17"/>
                      <w:szCs w:val="17"/>
                    </w:rPr>
                  </w:pPr>
                  <w:r>
                    <w:rPr>
                      <w:rFonts w:ascii="宋体" w:hAnsi="宋体" w:eastAsia="宋体" w:cs="宋体"/>
                      <w:spacing w:val="9"/>
                      <w:sz w:val="17"/>
                      <w:szCs w:val="17"/>
                    </w:rPr>
                    <w:t>耕地，特别是基本</w:t>
                  </w:r>
                  <w:r>
                    <w:rPr>
                      <w:rFonts w:ascii="宋体" w:hAnsi="宋体" w:eastAsia="宋体" w:cs="宋体"/>
                      <w:sz w:val="17"/>
                      <w:szCs w:val="17"/>
                    </w:rPr>
                    <w:t xml:space="preserve"> </w:t>
                  </w:r>
                  <w:r>
                    <w:rPr>
                      <w:rFonts w:ascii="宋体" w:hAnsi="宋体" w:eastAsia="宋体" w:cs="宋体"/>
                      <w:spacing w:val="9"/>
                      <w:sz w:val="17"/>
                      <w:szCs w:val="17"/>
                    </w:rPr>
                    <w:t>农田的数量和质量</w:t>
                  </w:r>
                </w:p>
              </w:tc>
              <w:tc>
                <w:tcPr>
                  <w:tcW w:w="4843" w:type="dxa"/>
                  <w:tcBorders>
                    <w:right w:val="nil"/>
                  </w:tcBorders>
                  <w:vAlign w:val="top"/>
                </w:tcPr>
                <w:p>
                  <w:pPr>
                    <w:spacing w:before="70" w:line="306" w:lineRule="auto"/>
                    <w:ind w:left="40" w:right="42" w:hanging="1"/>
                    <w:rPr>
                      <w:rFonts w:ascii="宋体" w:hAnsi="宋体" w:eastAsia="宋体" w:cs="宋体"/>
                      <w:sz w:val="17"/>
                      <w:szCs w:val="17"/>
                    </w:rPr>
                  </w:pPr>
                  <w:r>
                    <w:rPr>
                      <w:rFonts w:ascii="宋体" w:hAnsi="宋体" w:eastAsia="宋体" w:cs="宋体"/>
                      <w:spacing w:val="2"/>
                      <w:sz w:val="17"/>
                      <w:szCs w:val="17"/>
                    </w:rPr>
                    <w:t xml:space="preserve">其中永久占地 </w:t>
                  </w:r>
                  <w:r>
                    <w:rPr>
                      <w:rFonts w:ascii="Times New Roman" w:hAnsi="Times New Roman" w:eastAsia="Times New Roman" w:cs="Times New Roman"/>
                      <w:spacing w:val="2"/>
                      <w:sz w:val="17"/>
                      <w:szCs w:val="17"/>
                    </w:rPr>
                    <w:t>1.4019</w:t>
                  </w:r>
                  <w:r>
                    <w:rPr>
                      <w:rFonts w:ascii="Times New Roman" w:hAnsi="Times New Roman" w:eastAsia="Times New Roman" w:cs="Times New Roman"/>
                      <w:sz w:val="17"/>
                      <w:szCs w:val="17"/>
                    </w:rPr>
                    <w:t>hm</w:t>
                  </w:r>
                  <w:r>
                    <w:rPr>
                      <w:rFonts w:ascii="Times New Roman" w:hAnsi="Times New Roman" w:eastAsia="Times New Roman" w:cs="Times New Roman"/>
                      <w:spacing w:val="2"/>
                      <w:sz w:val="17"/>
                      <w:szCs w:val="17"/>
                    </w:rPr>
                    <w:t xml:space="preserve">² </w:t>
                  </w:r>
                  <w:r>
                    <w:rPr>
                      <w:rFonts w:ascii="宋体" w:hAnsi="宋体" w:eastAsia="宋体" w:cs="宋体"/>
                      <w:spacing w:val="2"/>
                      <w:sz w:val="17"/>
                      <w:szCs w:val="17"/>
                    </w:rPr>
                    <w:t xml:space="preserve">，临时占地 </w:t>
                  </w: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.84</w:t>
                  </w:r>
                  <w:r>
                    <w:rPr>
                      <w:rFonts w:ascii="Times New Roman" w:hAnsi="Times New Roman" w:eastAsia="Times New Roman" w:cs="Times New Roman"/>
                      <w:sz w:val="17"/>
                      <w:szCs w:val="17"/>
                    </w:rPr>
                    <w:t>hm</w:t>
                  </w:r>
                  <w:r>
                    <w:rPr>
                      <w:rFonts w:ascii="Times New Roman" w:hAnsi="Times New Roman" w:eastAsia="Times New Roman" w:cs="Times New Roman"/>
                      <w:spacing w:val="1"/>
                      <w:sz w:val="17"/>
                      <w:szCs w:val="17"/>
                    </w:rPr>
                    <w:t xml:space="preserve">² </w:t>
                  </w:r>
                  <w:r>
                    <w:rPr>
                      <w:rFonts w:ascii="宋体" w:hAnsi="宋体" w:eastAsia="宋体" w:cs="宋体"/>
                      <w:spacing w:val="1"/>
                      <w:sz w:val="17"/>
                      <w:szCs w:val="17"/>
                    </w:rPr>
                    <w:t>。 占地类型包括</w:t>
                  </w:r>
                  <w:r>
                    <w:rPr>
                      <w:rFonts w:ascii="宋体" w:hAnsi="宋体" w:eastAsia="宋体" w:cs="宋体"/>
                      <w:sz w:val="17"/>
                      <w:szCs w:val="17"/>
                    </w:rPr>
                    <w:t xml:space="preserve"> </w:t>
                  </w:r>
                  <w:r>
                    <w:rPr>
                      <w:rFonts w:ascii="宋体" w:hAnsi="宋体" w:eastAsia="宋体" w:cs="宋体"/>
                      <w:spacing w:val="13"/>
                      <w:sz w:val="17"/>
                      <w:szCs w:val="17"/>
                    </w:rPr>
                    <w:t>公共管理与公共服务用地、旱地、河滩地、交通运输用地</w:t>
                  </w:r>
                  <w:r>
                    <w:rPr>
                      <w:rFonts w:ascii="宋体" w:hAnsi="宋体" w:eastAsia="宋体" w:cs="宋体"/>
                      <w:spacing w:val="12"/>
                      <w:sz w:val="17"/>
                      <w:szCs w:val="17"/>
                    </w:rPr>
                    <w:t>、</w:t>
                  </w:r>
                  <w:r>
                    <w:rPr>
                      <w:rFonts w:ascii="宋体" w:hAnsi="宋体" w:eastAsia="宋体" w:cs="宋体"/>
                      <w:sz w:val="17"/>
                      <w:szCs w:val="17"/>
                    </w:rPr>
                    <w:t xml:space="preserve"> </w:t>
                  </w:r>
                  <w:r>
                    <w:rPr>
                      <w:rFonts w:ascii="宋体" w:hAnsi="宋体" w:eastAsia="宋体" w:cs="宋体"/>
                      <w:spacing w:val="12"/>
                      <w:sz w:val="17"/>
                      <w:szCs w:val="17"/>
                    </w:rPr>
                    <w:t>水</w:t>
                  </w:r>
                  <w:r>
                    <w:rPr>
                      <w:rFonts w:ascii="宋体" w:hAnsi="宋体" w:eastAsia="宋体" w:cs="宋体"/>
                      <w:spacing w:val="9"/>
                      <w:sz w:val="17"/>
                      <w:szCs w:val="17"/>
                    </w:rPr>
                    <w:t>域用地，不占永久基本农田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79" w:type="dxa"/>
                  <w:vAlign w:val="top"/>
                </w:tcPr>
                <w:p>
                  <w:pPr>
                    <w:spacing w:before="280" w:line="197" w:lineRule="auto"/>
                    <w:ind w:left="23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976" w:type="dxa"/>
                  <w:vAlign w:val="top"/>
                </w:tcPr>
                <w:p>
                  <w:pPr>
                    <w:spacing w:before="249" w:line="230" w:lineRule="auto"/>
                    <w:ind w:left="309"/>
                    <w:rPr>
                      <w:rFonts w:ascii="宋体" w:hAnsi="宋体" w:eastAsia="宋体" w:cs="宋体"/>
                      <w:sz w:val="17"/>
                      <w:szCs w:val="17"/>
                    </w:rPr>
                  </w:pPr>
                  <w:r>
                    <w:rPr>
                      <w:rFonts w:ascii="宋体" w:hAnsi="宋体" w:eastAsia="宋体" w:cs="宋体"/>
                      <w:spacing w:val="6"/>
                      <w:sz w:val="17"/>
                      <w:szCs w:val="17"/>
                    </w:rPr>
                    <w:t>植被</w:t>
                  </w:r>
                </w:p>
              </w:tc>
              <w:tc>
                <w:tcPr>
                  <w:tcW w:w="1728" w:type="dxa"/>
                  <w:vAlign w:val="top"/>
                </w:tcPr>
                <w:p>
                  <w:pPr>
                    <w:spacing w:before="249" w:line="230" w:lineRule="auto"/>
                    <w:ind w:left="146"/>
                    <w:rPr>
                      <w:rFonts w:ascii="宋体" w:hAnsi="宋体" w:eastAsia="宋体" w:cs="宋体"/>
                      <w:sz w:val="17"/>
                      <w:szCs w:val="17"/>
                    </w:rPr>
                  </w:pPr>
                  <w:r>
                    <w:rPr>
                      <w:rFonts w:ascii="宋体" w:hAnsi="宋体" w:eastAsia="宋体" w:cs="宋体"/>
                      <w:spacing w:val="9"/>
                      <w:sz w:val="17"/>
                      <w:szCs w:val="17"/>
                    </w:rPr>
                    <w:t>减少自然植被破坏</w:t>
                  </w:r>
                </w:p>
              </w:tc>
              <w:tc>
                <w:tcPr>
                  <w:tcW w:w="4843" w:type="dxa"/>
                  <w:tcBorders>
                    <w:right w:val="nil"/>
                  </w:tcBorders>
                  <w:vAlign w:val="top"/>
                </w:tcPr>
                <w:p>
                  <w:pPr>
                    <w:spacing w:before="100" w:line="278" w:lineRule="auto"/>
                    <w:ind w:left="38" w:right="42" w:firstLine="2"/>
                    <w:rPr>
                      <w:rFonts w:ascii="宋体" w:hAnsi="宋体" w:eastAsia="宋体" w:cs="宋体"/>
                      <w:sz w:val="17"/>
                      <w:szCs w:val="17"/>
                    </w:rPr>
                  </w:pPr>
                  <w:r>
                    <w:rPr>
                      <w:rFonts w:ascii="宋体" w:hAnsi="宋体" w:eastAsia="宋体" w:cs="宋体"/>
                      <w:spacing w:val="6"/>
                      <w:sz w:val="17"/>
                      <w:szCs w:val="17"/>
                    </w:rPr>
                    <w:t xml:space="preserve">项目占地区域植被以城市绿化为主，不会减少自然植被；  </w:t>
                  </w:r>
                  <w:r>
                    <w:rPr>
                      <w:rFonts w:ascii="宋体" w:hAnsi="宋体" w:eastAsia="宋体" w:cs="宋体"/>
                      <w:spacing w:val="4"/>
                      <w:sz w:val="17"/>
                      <w:szCs w:val="17"/>
                    </w:rPr>
                    <w:t>占</w:t>
                  </w:r>
                  <w:r>
                    <w:rPr>
                      <w:rFonts w:ascii="宋体" w:hAnsi="宋体" w:eastAsia="宋体" w:cs="宋体"/>
                      <w:sz w:val="17"/>
                      <w:szCs w:val="17"/>
                    </w:rPr>
                    <w:t xml:space="preserve"> </w:t>
                  </w:r>
                  <w:r>
                    <w:rPr>
                      <w:rFonts w:ascii="宋体" w:hAnsi="宋体" w:eastAsia="宋体" w:cs="宋体"/>
                      <w:spacing w:val="18"/>
                      <w:sz w:val="17"/>
                      <w:szCs w:val="17"/>
                    </w:rPr>
                    <w:t>地</w:t>
                  </w:r>
                  <w:r>
                    <w:rPr>
                      <w:rFonts w:ascii="宋体" w:hAnsi="宋体" w:eastAsia="宋体" w:cs="宋体"/>
                      <w:spacing w:val="11"/>
                      <w:sz w:val="17"/>
                      <w:szCs w:val="17"/>
                    </w:rPr>
                    <w:t>范</w:t>
                  </w:r>
                  <w:r>
                    <w:rPr>
                      <w:rFonts w:ascii="宋体" w:hAnsi="宋体" w:eastAsia="宋体" w:cs="宋体"/>
                      <w:spacing w:val="9"/>
                      <w:sz w:val="17"/>
                      <w:szCs w:val="17"/>
                    </w:rPr>
                    <w:t>围未发现国家保护野生植物和古树名木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479" w:type="dxa"/>
                  <w:vAlign w:val="top"/>
                </w:tcPr>
                <w:p>
                  <w:pPr>
                    <w:spacing w:before="127" w:line="197" w:lineRule="auto"/>
                    <w:ind w:left="233"/>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tc>
              <w:tc>
                <w:tcPr>
                  <w:tcW w:w="976" w:type="dxa"/>
                  <w:vAlign w:val="top"/>
                </w:tcPr>
                <w:p>
                  <w:pPr>
                    <w:spacing w:before="96" w:line="231" w:lineRule="auto"/>
                    <w:ind w:left="129"/>
                    <w:rPr>
                      <w:rFonts w:ascii="宋体" w:hAnsi="宋体" w:eastAsia="宋体" w:cs="宋体"/>
                      <w:sz w:val="17"/>
                      <w:szCs w:val="17"/>
                    </w:rPr>
                  </w:pPr>
                  <w:r>
                    <w:rPr>
                      <w:rFonts w:ascii="宋体" w:hAnsi="宋体" w:eastAsia="宋体" w:cs="宋体"/>
                      <w:spacing w:val="8"/>
                      <w:sz w:val="17"/>
                      <w:szCs w:val="17"/>
                    </w:rPr>
                    <w:t>野生动物</w:t>
                  </w:r>
                </w:p>
              </w:tc>
              <w:tc>
                <w:tcPr>
                  <w:tcW w:w="1728" w:type="dxa"/>
                  <w:vAlign w:val="top"/>
                </w:tcPr>
                <w:p>
                  <w:pPr>
                    <w:spacing w:before="96" w:line="231" w:lineRule="auto"/>
                    <w:ind w:left="56"/>
                    <w:rPr>
                      <w:rFonts w:ascii="宋体" w:hAnsi="宋体" w:eastAsia="宋体" w:cs="宋体"/>
                      <w:sz w:val="17"/>
                      <w:szCs w:val="17"/>
                    </w:rPr>
                  </w:pPr>
                  <w:r>
                    <w:rPr>
                      <w:rFonts w:ascii="宋体" w:hAnsi="宋体" w:eastAsia="宋体" w:cs="宋体"/>
                      <w:spacing w:val="9"/>
                      <w:sz w:val="17"/>
                      <w:szCs w:val="17"/>
                    </w:rPr>
                    <w:t>可能出现的野生动物</w:t>
                  </w:r>
                </w:p>
              </w:tc>
              <w:tc>
                <w:tcPr>
                  <w:tcW w:w="4843" w:type="dxa"/>
                  <w:tcBorders>
                    <w:right w:val="nil"/>
                  </w:tcBorders>
                  <w:vAlign w:val="top"/>
                </w:tcPr>
                <w:p>
                  <w:pPr>
                    <w:spacing w:before="96" w:line="230" w:lineRule="auto"/>
                    <w:ind w:left="41"/>
                    <w:rPr>
                      <w:rFonts w:ascii="宋体" w:hAnsi="宋体" w:eastAsia="宋体" w:cs="宋体"/>
                      <w:sz w:val="17"/>
                      <w:szCs w:val="17"/>
                    </w:rPr>
                  </w:pPr>
                  <w:r>
                    <w:rPr>
                      <w:rFonts w:ascii="宋体" w:hAnsi="宋体" w:eastAsia="宋体" w:cs="宋体"/>
                      <w:spacing w:val="18"/>
                      <w:sz w:val="17"/>
                      <w:szCs w:val="17"/>
                    </w:rPr>
                    <w:t>项</w:t>
                  </w:r>
                  <w:r>
                    <w:rPr>
                      <w:rFonts w:ascii="宋体" w:hAnsi="宋体" w:eastAsia="宋体" w:cs="宋体"/>
                      <w:spacing w:val="16"/>
                      <w:sz w:val="17"/>
                      <w:szCs w:val="17"/>
                    </w:rPr>
                    <w:t>目</w:t>
                  </w:r>
                  <w:r>
                    <w:rPr>
                      <w:rFonts w:ascii="宋体" w:hAnsi="宋体" w:eastAsia="宋体" w:cs="宋体"/>
                      <w:spacing w:val="9"/>
                      <w:sz w:val="17"/>
                      <w:szCs w:val="17"/>
                    </w:rPr>
                    <w:t>位于城市开发建设区，区域内无野生动物和保护性动物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79" w:type="dxa"/>
                  <w:vAlign w:val="top"/>
                </w:tcPr>
                <w:p>
                  <w:pPr>
                    <w:spacing w:before="280" w:line="197" w:lineRule="auto"/>
                    <w:ind w:left="22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976" w:type="dxa"/>
                  <w:vAlign w:val="top"/>
                </w:tcPr>
                <w:p>
                  <w:pPr>
                    <w:spacing w:before="252" w:line="230" w:lineRule="auto"/>
                    <w:ind w:left="131"/>
                    <w:rPr>
                      <w:rFonts w:ascii="宋体" w:hAnsi="宋体" w:eastAsia="宋体" w:cs="宋体"/>
                      <w:sz w:val="17"/>
                      <w:szCs w:val="17"/>
                    </w:rPr>
                  </w:pPr>
                  <w:r>
                    <w:rPr>
                      <w:rFonts w:ascii="宋体" w:hAnsi="宋体" w:eastAsia="宋体" w:cs="宋体"/>
                      <w:spacing w:val="9"/>
                      <w:sz w:val="17"/>
                      <w:szCs w:val="17"/>
                    </w:rPr>
                    <w:t>水</w:t>
                  </w:r>
                  <w:r>
                    <w:rPr>
                      <w:rFonts w:ascii="宋体" w:hAnsi="宋体" w:eastAsia="宋体" w:cs="宋体"/>
                      <w:spacing w:val="7"/>
                      <w:sz w:val="17"/>
                      <w:szCs w:val="17"/>
                    </w:rPr>
                    <w:t>生生物</w:t>
                  </w:r>
                </w:p>
              </w:tc>
              <w:tc>
                <w:tcPr>
                  <w:tcW w:w="1728" w:type="dxa"/>
                  <w:vAlign w:val="top"/>
                </w:tcPr>
                <w:p>
                  <w:pPr>
                    <w:spacing w:before="100" w:line="278" w:lineRule="auto"/>
                    <w:ind w:left="55" w:right="54" w:firstLine="1"/>
                    <w:rPr>
                      <w:rFonts w:ascii="宋体" w:hAnsi="宋体" w:eastAsia="宋体" w:cs="宋体"/>
                      <w:sz w:val="17"/>
                      <w:szCs w:val="17"/>
                    </w:rPr>
                  </w:pPr>
                  <w:r>
                    <w:rPr>
                      <w:rFonts w:ascii="宋体" w:hAnsi="宋体" w:eastAsia="宋体" w:cs="宋体"/>
                      <w:spacing w:val="9"/>
                      <w:sz w:val="17"/>
                      <w:szCs w:val="17"/>
                    </w:rPr>
                    <w:t>主要为鲤科、鲇科、</w:t>
                  </w:r>
                  <w:r>
                    <w:rPr>
                      <w:rFonts w:ascii="宋体" w:hAnsi="宋体" w:eastAsia="宋体" w:cs="宋体"/>
                      <w:sz w:val="17"/>
                      <w:szCs w:val="17"/>
                    </w:rPr>
                    <w:t xml:space="preserve"> </w:t>
                  </w:r>
                  <w:r>
                    <w:rPr>
                      <w:rFonts w:ascii="宋体" w:hAnsi="宋体" w:eastAsia="宋体" w:cs="宋体"/>
                      <w:spacing w:val="10"/>
                      <w:sz w:val="17"/>
                      <w:szCs w:val="17"/>
                    </w:rPr>
                    <w:t>鲈</w:t>
                  </w:r>
                  <w:r>
                    <w:rPr>
                      <w:rFonts w:ascii="宋体" w:hAnsi="宋体" w:eastAsia="宋体" w:cs="宋体"/>
                      <w:spacing w:val="9"/>
                      <w:sz w:val="17"/>
                      <w:szCs w:val="17"/>
                    </w:rPr>
                    <w:t>科等常见经济鱼类</w:t>
                  </w:r>
                </w:p>
              </w:tc>
              <w:tc>
                <w:tcPr>
                  <w:tcW w:w="4843" w:type="dxa"/>
                  <w:tcBorders>
                    <w:right w:val="nil"/>
                  </w:tcBorders>
                  <w:vAlign w:val="top"/>
                </w:tcPr>
                <w:p>
                  <w:pPr>
                    <w:spacing w:before="101" w:line="278" w:lineRule="auto"/>
                    <w:ind w:left="42" w:right="42" w:hanging="2"/>
                    <w:rPr>
                      <w:rFonts w:ascii="宋体" w:hAnsi="宋体" w:eastAsia="宋体" w:cs="宋体"/>
                      <w:sz w:val="17"/>
                      <w:szCs w:val="17"/>
                    </w:rPr>
                  </w:pPr>
                  <w:r>
                    <w:rPr>
                      <w:rFonts w:ascii="宋体" w:hAnsi="宋体" w:eastAsia="宋体" w:cs="宋体"/>
                      <w:spacing w:val="18"/>
                      <w:sz w:val="17"/>
                      <w:szCs w:val="17"/>
                    </w:rPr>
                    <w:t>工</w:t>
                  </w:r>
                  <w:r>
                    <w:rPr>
                      <w:rFonts w:ascii="宋体" w:hAnsi="宋体" w:eastAsia="宋体" w:cs="宋体"/>
                      <w:spacing w:val="9"/>
                      <w:sz w:val="17"/>
                      <w:szCs w:val="17"/>
                    </w:rPr>
                    <w:t>程影响水域内无珍稀保护鱼类等重要水生生物， 以及其产</w:t>
                  </w:r>
                  <w:r>
                    <w:rPr>
                      <w:rFonts w:ascii="宋体" w:hAnsi="宋体" w:eastAsia="宋体" w:cs="宋体"/>
                      <w:sz w:val="17"/>
                      <w:szCs w:val="17"/>
                    </w:rPr>
                    <w:t xml:space="preserve"> </w:t>
                  </w:r>
                  <w:r>
                    <w:rPr>
                      <w:rFonts w:ascii="宋体" w:hAnsi="宋体" w:eastAsia="宋体" w:cs="宋体"/>
                      <w:spacing w:val="18"/>
                      <w:sz w:val="17"/>
                      <w:szCs w:val="17"/>
                    </w:rPr>
                    <w:t>卵</w:t>
                  </w:r>
                  <w:r>
                    <w:rPr>
                      <w:rFonts w:ascii="宋体" w:hAnsi="宋体" w:eastAsia="宋体" w:cs="宋体"/>
                      <w:spacing w:val="12"/>
                      <w:sz w:val="17"/>
                      <w:szCs w:val="17"/>
                    </w:rPr>
                    <w:t>场</w:t>
                  </w:r>
                  <w:r>
                    <w:rPr>
                      <w:rFonts w:ascii="宋体" w:hAnsi="宋体" w:eastAsia="宋体" w:cs="宋体"/>
                      <w:spacing w:val="9"/>
                      <w:sz w:val="17"/>
                      <w:szCs w:val="17"/>
                    </w:rPr>
                    <w:t>、索饵场、越冬场和洄游通道，也不涉及天然渔场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79" w:type="dxa"/>
                  <w:vAlign w:val="top"/>
                </w:tcPr>
                <w:p>
                  <w:pPr>
                    <w:spacing w:before="283" w:line="194" w:lineRule="auto"/>
                    <w:ind w:left="235"/>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976" w:type="dxa"/>
                  <w:vAlign w:val="top"/>
                </w:tcPr>
                <w:p>
                  <w:pPr>
                    <w:spacing w:before="252" w:line="232" w:lineRule="auto"/>
                    <w:ind w:left="130"/>
                    <w:rPr>
                      <w:rFonts w:ascii="宋体" w:hAnsi="宋体" w:eastAsia="宋体" w:cs="宋体"/>
                      <w:sz w:val="17"/>
                      <w:szCs w:val="17"/>
                    </w:rPr>
                  </w:pPr>
                  <w:r>
                    <w:rPr>
                      <w:rFonts w:ascii="宋体" w:hAnsi="宋体" w:eastAsia="宋体" w:cs="宋体"/>
                      <w:spacing w:val="8"/>
                      <w:sz w:val="17"/>
                      <w:szCs w:val="17"/>
                    </w:rPr>
                    <w:t>生态系</w:t>
                  </w:r>
                  <w:r>
                    <w:rPr>
                      <w:rFonts w:ascii="宋体" w:hAnsi="宋体" w:eastAsia="宋体" w:cs="宋体"/>
                      <w:spacing w:val="7"/>
                      <w:sz w:val="17"/>
                      <w:szCs w:val="17"/>
                    </w:rPr>
                    <w:t>统</w:t>
                  </w:r>
                </w:p>
              </w:tc>
              <w:tc>
                <w:tcPr>
                  <w:tcW w:w="1728" w:type="dxa"/>
                  <w:vAlign w:val="top"/>
                </w:tcPr>
                <w:p>
                  <w:pPr>
                    <w:spacing w:before="101" w:line="278" w:lineRule="auto"/>
                    <w:ind w:left="416" w:right="54" w:hanging="359"/>
                    <w:rPr>
                      <w:rFonts w:ascii="宋体" w:hAnsi="宋体" w:eastAsia="宋体" w:cs="宋体"/>
                      <w:sz w:val="17"/>
                      <w:szCs w:val="17"/>
                    </w:rPr>
                  </w:pPr>
                  <w:r>
                    <w:rPr>
                      <w:rFonts w:ascii="宋体" w:hAnsi="宋体" w:eastAsia="宋体" w:cs="宋体"/>
                      <w:spacing w:val="9"/>
                      <w:sz w:val="17"/>
                      <w:szCs w:val="17"/>
                    </w:rPr>
                    <w:t>水生生态系统、城</w:t>
                  </w:r>
                  <w:r>
                    <w:rPr>
                      <w:rFonts w:ascii="宋体" w:hAnsi="宋体" w:eastAsia="宋体" w:cs="宋体"/>
                      <w:spacing w:val="8"/>
                      <w:sz w:val="17"/>
                      <w:szCs w:val="17"/>
                    </w:rPr>
                    <w:t>市</w:t>
                  </w:r>
                  <w:r>
                    <w:rPr>
                      <w:rFonts w:ascii="宋体" w:hAnsi="宋体" w:eastAsia="宋体" w:cs="宋体"/>
                      <w:sz w:val="17"/>
                      <w:szCs w:val="17"/>
                    </w:rPr>
                    <w:t xml:space="preserve"> </w:t>
                  </w:r>
                  <w:r>
                    <w:rPr>
                      <w:rFonts w:ascii="宋体" w:hAnsi="宋体" w:eastAsia="宋体" w:cs="宋体"/>
                      <w:spacing w:val="9"/>
                      <w:sz w:val="17"/>
                      <w:szCs w:val="17"/>
                    </w:rPr>
                    <w:t>生</w:t>
                  </w:r>
                  <w:r>
                    <w:rPr>
                      <w:rFonts w:ascii="宋体" w:hAnsi="宋体" w:eastAsia="宋体" w:cs="宋体"/>
                      <w:spacing w:val="8"/>
                      <w:sz w:val="17"/>
                      <w:szCs w:val="17"/>
                    </w:rPr>
                    <w:t>态系统等</w:t>
                  </w:r>
                </w:p>
              </w:tc>
              <w:tc>
                <w:tcPr>
                  <w:tcW w:w="4843" w:type="dxa"/>
                  <w:tcBorders>
                    <w:right w:val="nil"/>
                  </w:tcBorders>
                  <w:vAlign w:val="top"/>
                </w:tcPr>
                <w:p>
                  <w:pPr>
                    <w:spacing w:before="101" w:line="278" w:lineRule="auto"/>
                    <w:ind w:left="41" w:right="42" w:hanging="3"/>
                    <w:rPr>
                      <w:rFonts w:ascii="宋体" w:hAnsi="宋体" w:eastAsia="宋体" w:cs="宋体"/>
                      <w:sz w:val="17"/>
                      <w:szCs w:val="17"/>
                    </w:rPr>
                  </w:pPr>
                  <w:r>
                    <w:rPr>
                      <w:rFonts w:ascii="宋体" w:hAnsi="宋体" w:eastAsia="宋体" w:cs="宋体"/>
                      <w:spacing w:val="14"/>
                      <w:sz w:val="17"/>
                      <w:szCs w:val="17"/>
                    </w:rPr>
                    <w:t>城</w:t>
                  </w:r>
                  <w:r>
                    <w:rPr>
                      <w:rFonts w:ascii="宋体" w:hAnsi="宋体" w:eastAsia="宋体" w:cs="宋体"/>
                      <w:spacing w:val="13"/>
                      <w:sz w:val="17"/>
                      <w:szCs w:val="17"/>
                    </w:rPr>
                    <w:t>市生态系统占主导地位，其次为水生生态系统，保护生态</w:t>
                  </w:r>
                  <w:r>
                    <w:rPr>
                      <w:rFonts w:ascii="宋体" w:hAnsi="宋体" w:eastAsia="宋体" w:cs="宋体"/>
                      <w:sz w:val="17"/>
                      <w:szCs w:val="17"/>
                    </w:rPr>
                    <w:t xml:space="preserve"> </w:t>
                  </w:r>
                  <w:r>
                    <w:rPr>
                      <w:rFonts w:ascii="宋体" w:hAnsi="宋体" w:eastAsia="宋体" w:cs="宋体"/>
                      <w:spacing w:val="9"/>
                      <w:sz w:val="17"/>
                      <w:szCs w:val="17"/>
                    </w:rPr>
                    <w:t>系</w:t>
                  </w:r>
                  <w:r>
                    <w:rPr>
                      <w:rFonts w:ascii="宋体" w:hAnsi="宋体" w:eastAsia="宋体" w:cs="宋体"/>
                      <w:spacing w:val="8"/>
                      <w:sz w:val="17"/>
                      <w:szCs w:val="17"/>
                    </w:rPr>
                    <w:t>统的完整性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479" w:type="dxa"/>
                  <w:vAlign w:val="top"/>
                </w:tcPr>
                <w:p>
                  <w:pPr>
                    <w:spacing w:before="142" w:line="197" w:lineRule="auto"/>
                    <w:ind w:left="234"/>
                    <w:rPr>
                      <w:rFonts w:ascii="Times New Roman" w:hAnsi="Times New Roman" w:eastAsia="Times New Roman" w:cs="Times New Roman"/>
                      <w:sz w:val="17"/>
                      <w:szCs w:val="17"/>
                    </w:rPr>
                  </w:pPr>
                  <w:r>
                    <w:rPr>
                      <w:rFonts w:ascii="Times New Roman" w:hAnsi="Times New Roman" w:eastAsia="Times New Roman" w:cs="Times New Roman"/>
                      <w:sz w:val="17"/>
                      <w:szCs w:val="17"/>
                    </w:rPr>
                    <w:t>6</w:t>
                  </w:r>
                </w:p>
              </w:tc>
              <w:tc>
                <w:tcPr>
                  <w:tcW w:w="976" w:type="dxa"/>
                  <w:vAlign w:val="top"/>
                </w:tcPr>
                <w:p>
                  <w:pPr>
                    <w:spacing w:before="111" w:line="230" w:lineRule="auto"/>
                    <w:ind w:left="131"/>
                    <w:rPr>
                      <w:rFonts w:ascii="宋体" w:hAnsi="宋体" w:eastAsia="宋体" w:cs="宋体"/>
                      <w:sz w:val="17"/>
                      <w:szCs w:val="17"/>
                    </w:rPr>
                  </w:pPr>
                  <w:r>
                    <w:rPr>
                      <w:rFonts w:ascii="宋体" w:hAnsi="宋体" w:eastAsia="宋体" w:cs="宋体"/>
                      <w:spacing w:val="9"/>
                      <w:sz w:val="17"/>
                      <w:szCs w:val="17"/>
                    </w:rPr>
                    <w:t>景</w:t>
                  </w:r>
                  <w:r>
                    <w:rPr>
                      <w:rFonts w:ascii="宋体" w:hAnsi="宋体" w:eastAsia="宋体" w:cs="宋体"/>
                      <w:spacing w:val="7"/>
                      <w:sz w:val="17"/>
                      <w:szCs w:val="17"/>
                    </w:rPr>
                    <w:t>观格局</w:t>
                  </w:r>
                </w:p>
              </w:tc>
              <w:tc>
                <w:tcPr>
                  <w:tcW w:w="1728" w:type="dxa"/>
                  <w:vAlign w:val="top"/>
                </w:tcPr>
                <w:p>
                  <w:pPr>
                    <w:spacing w:before="111" w:line="230" w:lineRule="auto"/>
                    <w:ind w:left="59"/>
                    <w:rPr>
                      <w:rFonts w:ascii="宋体" w:hAnsi="宋体" w:eastAsia="宋体" w:cs="宋体"/>
                      <w:sz w:val="17"/>
                      <w:szCs w:val="17"/>
                    </w:rPr>
                  </w:pPr>
                  <w:r>
                    <w:rPr>
                      <w:rFonts w:ascii="宋体" w:hAnsi="宋体" w:eastAsia="宋体" w:cs="宋体"/>
                      <w:spacing w:val="9"/>
                      <w:sz w:val="17"/>
                      <w:szCs w:val="17"/>
                    </w:rPr>
                    <w:t>与周边自然景观协</w:t>
                  </w:r>
                  <w:r>
                    <w:rPr>
                      <w:rFonts w:ascii="宋体" w:hAnsi="宋体" w:eastAsia="宋体" w:cs="宋体"/>
                      <w:spacing w:val="7"/>
                      <w:sz w:val="17"/>
                      <w:szCs w:val="17"/>
                    </w:rPr>
                    <w:t>调</w:t>
                  </w:r>
                </w:p>
              </w:tc>
              <w:tc>
                <w:tcPr>
                  <w:tcW w:w="4843" w:type="dxa"/>
                  <w:tcBorders>
                    <w:right w:val="nil"/>
                  </w:tcBorders>
                  <w:vAlign w:val="top"/>
                </w:tcPr>
                <w:p>
                  <w:pPr>
                    <w:spacing w:before="111" w:line="229" w:lineRule="auto"/>
                    <w:ind w:left="984"/>
                    <w:rPr>
                      <w:rFonts w:ascii="宋体" w:hAnsi="宋体" w:eastAsia="宋体" w:cs="宋体"/>
                      <w:sz w:val="17"/>
                      <w:szCs w:val="17"/>
                    </w:rPr>
                  </w:pPr>
                  <w:r>
                    <w:rPr>
                      <w:rFonts w:ascii="宋体" w:hAnsi="宋体" w:eastAsia="宋体" w:cs="宋体"/>
                      <w:spacing w:val="16"/>
                      <w:sz w:val="17"/>
                      <w:szCs w:val="17"/>
                    </w:rPr>
                    <w:t>设</w:t>
                  </w:r>
                  <w:r>
                    <w:rPr>
                      <w:rFonts w:ascii="宋体" w:hAnsi="宋体" w:eastAsia="宋体" w:cs="宋体"/>
                      <w:spacing w:val="12"/>
                      <w:sz w:val="17"/>
                      <w:szCs w:val="17"/>
                    </w:rPr>
                    <w:t>计</w:t>
                  </w:r>
                  <w:r>
                    <w:rPr>
                      <w:rFonts w:ascii="宋体" w:hAnsi="宋体" w:eastAsia="宋体" w:cs="宋体"/>
                      <w:spacing w:val="8"/>
                      <w:sz w:val="17"/>
                      <w:szCs w:val="17"/>
                    </w:rPr>
                    <w:t>应与周围景观风貌与景观格局。</w:t>
                  </w:r>
                </w:p>
              </w:tc>
            </w:tr>
          </w:tbl>
          <w:p>
            <w:pPr>
              <w:spacing w:before="140" w:line="242" w:lineRule="auto"/>
              <w:ind w:left="101"/>
              <w:rPr>
                <w:rFonts w:ascii="黑体" w:hAnsi="黑体" w:eastAsia="黑体" w:cs="黑体"/>
                <w:sz w:val="20"/>
                <w:szCs w:val="20"/>
              </w:rPr>
            </w:pPr>
            <w:r>
              <w:rPr>
                <w:rFonts w:ascii="Times New Roman" w:hAnsi="Times New Roman" w:eastAsia="Times New Roman" w:cs="Times New Roman"/>
                <w:spacing w:val="6"/>
                <w:sz w:val="20"/>
                <w:szCs w:val="20"/>
              </w:rPr>
              <w:t xml:space="preserve">2 </w:t>
            </w:r>
            <w:r>
              <w:rPr>
                <w:rFonts w:ascii="黑体" w:hAnsi="黑体" w:eastAsia="黑体" w:cs="黑体"/>
                <w:spacing w:val="4"/>
                <w:sz w:val="20"/>
                <w:szCs w:val="20"/>
              </w:rPr>
              <w:t>、</w:t>
            </w:r>
            <w:r>
              <w:rPr>
                <w:rFonts w:ascii="黑体" w:hAnsi="黑体" w:eastAsia="黑体" w:cs="黑体"/>
                <w:spacing w:val="3"/>
                <w:sz w:val="20"/>
                <w:szCs w:val="20"/>
              </w:rPr>
              <w:t>大气环境保护目标</w:t>
            </w:r>
          </w:p>
          <w:p>
            <w:pPr>
              <w:spacing w:before="139" w:line="398" w:lineRule="exact"/>
              <w:ind w:left="528"/>
              <w:rPr>
                <w:rFonts w:ascii="宋体" w:hAnsi="宋体" w:eastAsia="宋体" w:cs="宋体"/>
                <w:sz w:val="20"/>
                <w:szCs w:val="20"/>
              </w:rPr>
            </w:pPr>
            <w:r>
              <w:rPr>
                <w:rFonts w:ascii="宋体" w:hAnsi="宋体" w:eastAsia="宋体" w:cs="宋体"/>
                <w:spacing w:val="18"/>
                <w:position w:val="14"/>
                <w:sz w:val="20"/>
                <w:szCs w:val="20"/>
              </w:rPr>
              <w:t>项</w:t>
            </w:r>
            <w:r>
              <w:rPr>
                <w:rFonts w:ascii="宋体" w:hAnsi="宋体" w:eastAsia="宋体" w:cs="宋体"/>
                <w:spacing w:val="17"/>
                <w:position w:val="14"/>
                <w:sz w:val="20"/>
                <w:szCs w:val="20"/>
              </w:rPr>
              <w:t>目</w:t>
            </w:r>
            <w:r>
              <w:rPr>
                <w:rFonts w:ascii="宋体" w:hAnsi="宋体" w:eastAsia="宋体" w:cs="宋体"/>
                <w:spacing w:val="9"/>
                <w:position w:val="14"/>
                <w:sz w:val="20"/>
                <w:szCs w:val="20"/>
              </w:rPr>
              <w:t>道路红线两侧</w:t>
            </w:r>
            <w:r>
              <w:rPr>
                <w:rFonts w:ascii="Times New Roman" w:hAnsi="Times New Roman" w:eastAsia="Times New Roman" w:cs="Times New Roman"/>
                <w:spacing w:val="9"/>
                <w:position w:val="14"/>
                <w:sz w:val="20"/>
                <w:szCs w:val="20"/>
              </w:rPr>
              <w:t>500</w:t>
            </w:r>
            <w:r>
              <w:rPr>
                <w:rFonts w:ascii="Times New Roman" w:hAnsi="Times New Roman" w:eastAsia="Times New Roman" w:cs="Times New Roman"/>
                <w:position w:val="14"/>
                <w:sz w:val="20"/>
                <w:szCs w:val="20"/>
              </w:rPr>
              <w:t>m</w:t>
            </w:r>
            <w:r>
              <w:rPr>
                <w:rFonts w:ascii="宋体" w:hAnsi="宋体" w:eastAsia="宋体" w:cs="宋体"/>
                <w:spacing w:val="9"/>
                <w:position w:val="14"/>
                <w:sz w:val="20"/>
                <w:szCs w:val="20"/>
              </w:rPr>
              <w:t>范围内无自然保护区、风景名胜区等保护目标，周围主要为</w:t>
            </w:r>
          </w:p>
          <w:p>
            <w:pPr>
              <w:spacing w:before="1" w:line="227" w:lineRule="auto"/>
              <w:ind w:left="105"/>
              <w:rPr>
                <w:rFonts w:ascii="宋体" w:hAnsi="宋体" w:eastAsia="宋体" w:cs="宋体"/>
                <w:sz w:val="20"/>
                <w:szCs w:val="20"/>
              </w:rPr>
            </w:pPr>
            <w:r>
              <w:rPr>
                <w:rFonts w:ascii="宋体" w:hAnsi="宋体" w:eastAsia="宋体" w:cs="宋体"/>
                <w:spacing w:val="12"/>
                <w:sz w:val="20"/>
                <w:szCs w:val="20"/>
              </w:rPr>
              <w:t>城</w:t>
            </w:r>
            <w:r>
              <w:rPr>
                <w:rFonts w:ascii="宋体" w:hAnsi="宋体" w:eastAsia="宋体" w:cs="宋体"/>
                <w:spacing w:val="8"/>
                <w:sz w:val="20"/>
                <w:szCs w:val="20"/>
              </w:rPr>
              <w:t>市居住小区等保护目标。</w:t>
            </w:r>
          </w:p>
          <w:p>
            <w:pPr>
              <w:spacing w:before="132" w:line="230" w:lineRule="auto"/>
              <w:ind w:left="3055"/>
              <w:rPr>
                <w:rFonts w:ascii="黑体" w:hAnsi="黑体" w:eastAsia="黑体" w:cs="黑体"/>
                <w:sz w:val="19"/>
                <w:szCs w:val="19"/>
              </w:rPr>
            </w:pPr>
            <w:r>
              <w:rPr>
                <w:rFonts w:ascii="黑体" w:hAnsi="黑体" w:eastAsia="黑体" w:cs="黑体"/>
                <w:spacing w:val="12"/>
                <w:sz w:val="19"/>
                <w:szCs w:val="19"/>
              </w:rPr>
              <w:t>表</w:t>
            </w:r>
            <w:r>
              <w:rPr>
                <w:rFonts w:ascii="Times New Roman" w:hAnsi="Times New Roman" w:eastAsia="Times New Roman" w:cs="Times New Roman"/>
                <w:spacing w:val="9"/>
                <w:sz w:val="19"/>
                <w:szCs w:val="19"/>
              </w:rPr>
              <w:t>3</w:t>
            </w:r>
            <w:r>
              <w:rPr>
                <w:rFonts w:ascii="Times New Roman" w:hAnsi="Times New Roman" w:eastAsia="Times New Roman" w:cs="Times New Roman"/>
                <w:spacing w:val="6"/>
                <w:sz w:val="19"/>
                <w:szCs w:val="19"/>
              </w:rPr>
              <w:t xml:space="preserve">1    </w:t>
            </w:r>
            <w:r>
              <w:rPr>
                <w:rFonts w:ascii="黑体" w:hAnsi="黑体" w:eastAsia="黑体" w:cs="黑体"/>
                <w:spacing w:val="6"/>
                <w:sz w:val="19"/>
                <w:szCs w:val="19"/>
              </w:rPr>
              <w:t>大气环境保护目标</w:t>
            </w:r>
          </w:p>
          <w:p>
            <w:pPr>
              <w:spacing w:line="59" w:lineRule="auto"/>
              <w:rPr>
                <w:rFonts w:ascii="Arial"/>
                <w:sz w:val="2"/>
              </w:rPr>
            </w:pPr>
          </w:p>
          <w:tbl>
            <w:tblPr>
              <w:tblStyle w:val="4"/>
              <w:tblW w:w="7963" w:type="dxa"/>
              <w:tblInd w:w="16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6"/>
              <w:gridCol w:w="1745"/>
              <w:gridCol w:w="1065"/>
              <w:gridCol w:w="1387"/>
              <w:gridCol w:w="1136"/>
              <w:gridCol w:w="974"/>
              <w:gridCol w:w="11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496" w:type="dxa"/>
                  <w:vAlign w:val="top"/>
                </w:tcPr>
                <w:p>
                  <w:pPr>
                    <w:spacing w:before="82" w:line="232" w:lineRule="auto"/>
                    <w:ind w:left="71"/>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序</w:t>
                  </w:r>
                  <w:r>
                    <w:rPr>
                      <w:rFonts w:ascii="宋体" w:hAnsi="宋体" w:eastAsia="宋体" w:cs="宋体"/>
                      <w:spacing w:val="6"/>
                      <w:sz w:val="17"/>
                      <w:szCs w:val="17"/>
                      <w14:textOutline w14:w="3268" w14:cap="sq" w14:cmpd="sng">
                        <w14:solidFill>
                          <w14:srgbClr w14:val="000000"/>
                        </w14:solidFill>
                        <w14:prstDash w14:val="solid"/>
                        <w14:bevel/>
                      </w14:textOutline>
                    </w:rPr>
                    <w:t>号</w:t>
                  </w:r>
                </w:p>
              </w:tc>
              <w:tc>
                <w:tcPr>
                  <w:tcW w:w="1745" w:type="dxa"/>
                  <w:vAlign w:val="top"/>
                </w:tcPr>
                <w:p>
                  <w:pPr>
                    <w:spacing w:before="83" w:line="231" w:lineRule="auto"/>
                    <w:ind w:left="512"/>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保</w:t>
                  </w:r>
                  <w:r>
                    <w:rPr>
                      <w:rFonts w:ascii="宋体" w:hAnsi="宋体" w:eastAsia="宋体" w:cs="宋体"/>
                      <w:spacing w:val="8"/>
                      <w:sz w:val="17"/>
                      <w:szCs w:val="17"/>
                      <w14:textOutline w14:w="3268" w14:cap="sq" w14:cmpd="sng">
                        <w14:solidFill>
                          <w14:srgbClr w14:val="000000"/>
                        </w14:solidFill>
                        <w14:prstDash w14:val="solid"/>
                        <w14:bevel/>
                      </w14:textOutline>
                    </w:rPr>
                    <w:t>护目标</w:t>
                  </w:r>
                </w:p>
              </w:tc>
              <w:tc>
                <w:tcPr>
                  <w:tcW w:w="1065" w:type="dxa"/>
                  <w:vAlign w:val="top"/>
                </w:tcPr>
                <w:p>
                  <w:pPr>
                    <w:spacing w:before="83" w:line="230" w:lineRule="auto"/>
                    <w:ind w:left="356"/>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规模</w:t>
                  </w:r>
                </w:p>
              </w:tc>
              <w:tc>
                <w:tcPr>
                  <w:tcW w:w="1387" w:type="dxa"/>
                  <w:vAlign w:val="top"/>
                </w:tcPr>
                <w:p>
                  <w:pPr>
                    <w:spacing w:before="83" w:line="231" w:lineRule="auto"/>
                    <w:ind w:left="80"/>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位</w:t>
                  </w:r>
                  <w:r>
                    <w:rPr>
                      <w:rFonts w:ascii="宋体" w:hAnsi="宋体" w:eastAsia="宋体" w:cs="宋体"/>
                      <w:spacing w:val="4"/>
                      <w:sz w:val="17"/>
                      <w:szCs w:val="17"/>
                      <w14:textOutline w14:w="3268" w14:cap="sq" w14:cmpd="sng">
                        <w14:solidFill>
                          <w14:srgbClr w14:val="000000"/>
                        </w14:solidFill>
                        <w14:prstDash w14:val="solid"/>
                        <w14:bevel/>
                      </w14:textOutline>
                    </w:rPr>
                    <w:t>置关系</w:t>
                  </w:r>
                  <w:r>
                    <w:rPr>
                      <w:rFonts w:ascii="宋体" w:hAnsi="宋体" w:eastAsia="宋体" w:cs="宋体"/>
                      <w:spacing w:val="4"/>
                      <w:sz w:val="17"/>
                      <w:szCs w:val="17"/>
                    </w:rPr>
                    <w:t xml:space="preserve"> </w:t>
                  </w:r>
                  <w:r>
                    <w:rPr>
                      <w:rFonts w:ascii="宋体" w:hAnsi="宋体" w:eastAsia="宋体" w:cs="宋体"/>
                      <w:spacing w:val="4"/>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z w:val="17"/>
                      <w:szCs w:val="17"/>
                    </w:rPr>
                    <w:t>m</w:t>
                  </w:r>
                  <w:r>
                    <w:rPr>
                      <w:rFonts w:ascii="Times New Roman" w:hAnsi="Times New Roman" w:eastAsia="Times New Roman" w:cs="Times New Roman"/>
                      <w:spacing w:val="4"/>
                      <w:sz w:val="17"/>
                      <w:szCs w:val="17"/>
                    </w:rPr>
                    <w:t xml:space="preserve"> </w:t>
                  </w:r>
                  <w:r>
                    <w:rPr>
                      <w:rFonts w:ascii="宋体" w:hAnsi="宋体" w:eastAsia="宋体" w:cs="宋体"/>
                      <w:spacing w:val="4"/>
                      <w:sz w:val="17"/>
                      <w:szCs w:val="17"/>
                      <w14:textOutline w14:w="3268" w14:cap="sq" w14:cmpd="sng">
                        <w14:solidFill>
                          <w14:srgbClr w14:val="000000"/>
                        </w14:solidFill>
                        <w14:prstDash w14:val="solid"/>
                        <w14:bevel/>
                      </w14:textOutline>
                    </w:rPr>
                    <w:t>)</w:t>
                  </w:r>
                </w:p>
              </w:tc>
              <w:tc>
                <w:tcPr>
                  <w:tcW w:w="1136" w:type="dxa"/>
                  <w:vAlign w:val="top"/>
                </w:tcPr>
                <w:p>
                  <w:pPr>
                    <w:spacing w:before="83" w:line="230" w:lineRule="auto"/>
                    <w:ind w:left="306"/>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高程</w:t>
                  </w:r>
                  <w:r>
                    <w:rPr>
                      <w:rFonts w:ascii="宋体" w:hAnsi="宋体" w:eastAsia="宋体" w:cs="宋体"/>
                      <w:spacing w:val="6"/>
                      <w:sz w:val="17"/>
                      <w:szCs w:val="17"/>
                      <w14:textOutline w14:w="3268" w14:cap="sq" w14:cmpd="sng">
                        <w14:solidFill>
                          <w14:srgbClr w14:val="000000"/>
                        </w14:solidFill>
                        <w14:prstDash w14:val="solid"/>
                        <w14:bevel/>
                      </w14:textOutline>
                    </w:rPr>
                    <w:t>差</w:t>
                  </w:r>
                </w:p>
              </w:tc>
              <w:tc>
                <w:tcPr>
                  <w:tcW w:w="974" w:type="dxa"/>
                  <w:vAlign w:val="top"/>
                </w:tcPr>
                <w:p>
                  <w:pPr>
                    <w:spacing w:before="83" w:line="230" w:lineRule="auto"/>
                    <w:ind w:left="127"/>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环境要</w:t>
                  </w:r>
                  <w:r>
                    <w:rPr>
                      <w:rFonts w:ascii="宋体" w:hAnsi="宋体" w:eastAsia="宋体" w:cs="宋体"/>
                      <w:spacing w:val="8"/>
                      <w:sz w:val="17"/>
                      <w:szCs w:val="17"/>
                      <w14:textOutline w14:w="3268" w14:cap="sq" w14:cmpd="sng">
                        <w14:solidFill>
                          <w14:srgbClr w14:val="000000"/>
                        </w14:solidFill>
                        <w14:prstDash w14:val="solid"/>
                        <w14:bevel/>
                      </w14:textOutline>
                    </w:rPr>
                    <w:t>素</w:t>
                  </w:r>
                </w:p>
              </w:tc>
              <w:tc>
                <w:tcPr>
                  <w:tcW w:w="1160" w:type="dxa"/>
                  <w:tcBorders>
                    <w:right w:val="nil"/>
                  </w:tcBorders>
                  <w:vAlign w:val="top"/>
                </w:tcPr>
                <w:p>
                  <w:pPr>
                    <w:spacing w:before="83" w:line="231" w:lineRule="auto"/>
                    <w:ind w:left="220"/>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保</w:t>
                  </w:r>
                  <w:r>
                    <w:rPr>
                      <w:rFonts w:ascii="宋体" w:hAnsi="宋体" w:eastAsia="宋体" w:cs="宋体"/>
                      <w:spacing w:val="8"/>
                      <w:sz w:val="17"/>
                      <w:szCs w:val="17"/>
                      <w14:textOutline w14:w="3268" w14:cap="sq" w14:cmpd="sng">
                        <w14:solidFill>
                          <w14:srgbClr w14:val="000000"/>
                        </w14:solidFill>
                        <w14:prstDash w14:val="solid"/>
                        <w14:bevel/>
                      </w14:textOutline>
                    </w:rPr>
                    <w:t>护级别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496" w:type="dxa"/>
                  <w:vAlign w:val="top"/>
                </w:tcPr>
                <w:p>
                  <w:pPr>
                    <w:spacing w:before="254" w:line="197" w:lineRule="auto"/>
                    <w:ind w:left="220"/>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1745" w:type="dxa"/>
                  <w:vAlign w:val="top"/>
                </w:tcPr>
                <w:p>
                  <w:pPr>
                    <w:spacing w:before="84" w:line="268" w:lineRule="auto"/>
                    <w:ind w:left="155" w:right="126" w:hanging="30"/>
                    <w:rPr>
                      <w:rFonts w:ascii="宋体" w:hAnsi="宋体" w:eastAsia="宋体" w:cs="宋体"/>
                      <w:sz w:val="17"/>
                      <w:szCs w:val="17"/>
                    </w:rPr>
                  </w:pPr>
                  <w:r>
                    <w:rPr>
                      <w:rFonts w:ascii="Times New Roman" w:hAnsi="Times New Roman" w:eastAsia="Times New Roman" w:cs="Times New Roman"/>
                      <w:spacing w:val="8"/>
                      <w:sz w:val="17"/>
                      <w:szCs w:val="17"/>
                    </w:rPr>
                    <w:t>“</w:t>
                  </w:r>
                  <w:r>
                    <w:rPr>
                      <w:rFonts w:ascii="宋体" w:hAnsi="宋体" w:eastAsia="宋体" w:cs="宋体"/>
                      <w:spacing w:val="6"/>
                      <w:sz w:val="17"/>
                      <w:szCs w:val="17"/>
                    </w:rPr>
                    <w:t>绿地 ·外滩名门</w:t>
                  </w:r>
                  <w:r>
                    <w:rPr>
                      <w:rFonts w:ascii="Times New Roman" w:hAnsi="Times New Roman" w:eastAsia="Times New Roman" w:cs="Times New Roman"/>
                      <w:spacing w:val="6"/>
                      <w:sz w:val="17"/>
                      <w:szCs w:val="17"/>
                    </w:rPr>
                    <w:t>”</w:t>
                  </w:r>
                  <w:r>
                    <w:rPr>
                      <w:rFonts w:ascii="Times New Roman" w:hAnsi="Times New Roman" w:eastAsia="Times New Roman" w:cs="Times New Roman"/>
                      <w:sz w:val="17"/>
                      <w:szCs w:val="17"/>
                    </w:rPr>
                    <w:t xml:space="preserve"> </w:t>
                  </w:r>
                  <w:r>
                    <w:rPr>
                      <w:rFonts w:ascii="宋体" w:hAnsi="宋体" w:eastAsia="宋体" w:cs="宋体"/>
                      <w:spacing w:val="7"/>
                      <w:sz w:val="17"/>
                      <w:szCs w:val="17"/>
                    </w:rPr>
                    <w:t>居住小区 (在建</w:t>
                  </w:r>
                  <w:r>
                    <w:rPr>
                      <w:rFonts w:ascii="宋体" w:hAnsi="宋体" w:eastAsia="宋体" w:cs="宋体"/>
                      <w:spacing w:val="5"/>
                      <w:sz w:val="17"/>
                      <w:szCs w:val="17"/>
                    </w:rPr>
                    <w:t>)</w:t>
                  </w:r>
                </w:p>
              </w:tc>
              <w:tc>
                <w:tcPr>
                  <w:tcW w:w="1065" w:type="dxa"/>
                  <w:vAlign w:val="top"/>
                </w:tcPr>
                <w:p>
                  <w:pPr>
                    <w:spacing w:before="226" w:line="231" w:lineRule="auto"/>
                    <w:ind w:left="134"/>
                    <w:rPr>
                      <w:rFonts w:ascii="宋体" w:hAnsi="宋体" w:eastAsia="宋体" w:cs="宋体"/>
                      <w:sz w:val="17"/>
                      <w:szCs w:val="17"/>
                    </w:rPr>
                  </w:pPr>
                  <w:r>
                    <w:rPr>
                      <w:rFonts w:ascii="宋体" w:hAnsi="宋体" w:eastAsia="宋体" w:cs="宋体"/>
                      <w:spacing w:val="-2"/>
                      <w:sz w:val="17"/>
                      <w:szCs w:val="17"/>
                    </w:rPr>
                    <w:t xml:space="preserve">约 </w:t>
                  </w:r>
                  <w:r>
                    <w:rPr>
                      <w:rFonts w:ascii="Times New Roman" w:hAnsi="Times New Roman" w:eastAsia="Times New Roman" w:cs="Times New Roman"/>
                      <w:spacing w:val="-2"/>
                      <w:sz w:val="17"/>
                      <w:szCs w:val="17"/>
                    </w:rPr>
                    <w:t>2</w:t>
                  </w:r>
                  <w:r>
                    <w:rPr>
                      <w:rFonts w:ascii="Times New Roman" w:hAnsi="Times New Roman" w:eastAsia="Times New Roman" w:cs="Times New Roman"/>
                      <w:spacing w:val="-1"/>
                      <w:sz w:val="17"/>
                      <w:szCs w:val="17"/>
                    </w:rPr>
                    <w:t xml:space="preserve">000 </w:t>
                  </w:r>
                  <w:r>
                    <w:rPr>
                      <w:rFonts w:ascii="宋体" w:hAnsi="宋体" w:eastAsia="宋体" w:cs="宋体"/>
                      <w:spacing w:val="-1"/>
                      <w:sz w:val="17"/>
                      <w:szCs w:val="17"/>
                    </w:rPr>
                    <w:t>户</w:t>
                  </w:r>
                </w:p>
              </w:tc>
              <w:tc>
                <w:tcPr>
                  <w:tcW w:w="1387" w:type="dxa"/>
                  <w:vAlign w:val="top"/>
                </w:tcPr>
                <w:p>
                  <w:pPr>
                    <w:spacing w:before="84" w:line="272" w:lineRule="auto"/>
                    <w:ind w:left="423" w:right="108" w:hanging="353"/>
                    <w:rPr>
                      <w:rFonts w:ascii="Times New Roman" w:hAnsi="Times New Roman" w:eastAsia="Times New Roman" w:cs="Times New Roman"/>
                      <w:sz w:val="17"/>
                      <w:szCs w:val="17"/>
                    </w:rPr>
                  </w:pPr>
                  <w:r>
                    <w:rPr>
                      <w:rFonts w:ascii="宋体" w:hAnsi="宋体" w:eastAsia="宋体" w:cs="宋体"/>
                      <w:spacing w:val="2"/>
                      <w:sz w:val="17"/>
                      <w:szCs w:val="17"/>
                    </w:rPr>
                    <w:t>西、西北、北</w:t>
                  </w:r>
                  <w:r>
                    <w:rPr>
                      <w:rFonts w:ascii="宋体" w:hAnsi="宋体" w:eastAsia="宋体" w:cs="宋体"/>
                      <w:spacing w:val="1"/>
                      <w:sz w:val="17"/>
                      <w:szCs w:val="17"/>
                    </w:rPr>
                    <w:t>，</w:t>
                  </w:r>
                  <w:r>
                    <w:rPr>
                      <w:rFonts w:ascii="宋体" w:hAnsi="宋体" w:eastAsia="宋体" w:cs="宋体"/>
                      <w:sz w:val="17"/>
                      <w:szCs w:val="17"/>
                    </w:rPr>
                    <w:t xml:space="preserve"> </w:t>
                  </w:r>
                  <w:r>
                    <w:rPr>
                      <w:rFonts w:ascii="Times New Roman" w:hAnsi="Times New Roman" w:eastAsia="Times New Roman" w:cs="Times New Roman"/>
                      <w:spacing w:val="6"/>
                      <w:sz w:val="17"/>
                      <w:szCs w:val="17"/>
                    </w:rPr>
                    <w:t>3</w:t>
                  </w:r>
                  <w:r>
                    <w:rPr>
                      <w:rFonts w:ascii="Times New Roman" w:hAnsi="Times New Roman" w:eastAsia="Times New Roman" w:cs="Times New Roman"/>
                      <w:spacing w:val="3"/>
                      <w:sz w:val="17"/>
                      <w:szCs w:val="17"/>
                    </w:rPr>
                    <w:t>0~500</w:t>
                  </w:r>
                </w:p>
              </w:tc>
              <w:tc>
                <w:tcPr>
                  <w:tcW w:w="1136" w:type="dxa"/>
                  <w:vAlign w:val="top"/>
                </w:tcPr>
                <w:p>
                  <w:pPr>
                    <w:spacing w:before="191" w:line="242" w:lineRule="exact"/>
                    <w:ind w:left="240"/>
                    <w:rPr>
                      <w:rFonts w:ascii="Times New Roman" w:hAnsi="Times New Roman" w:eastAsia="Times New Roman" w:cs="Times New Roman"/>
                      <w:sz w:val="17"/>
                      <w:szCs w:val="17"/>
                    </w:rPr>
                  </w:pPr>
                  <w:r>
                    <w:rPr>
                      <w:rFonts w:ascii="Times New Roman" w:hAnsi="Times New Roman" w:eastAsia="Times New Roman" w:cs="Times New Roman"/>
                      <w:spacing w:val="8"/>
                      <w:position w:val="2"/>
                      <w:sz w:val="17"/>
                      <w:szCs w:val="17"/>
                    </w:rPr>
                    <w:t>0</w:t>
                  </w:r>
                  <w:r>
                    <w:rPr>
                      <w:rFonts w:ascii="Times New Roman" w:hAnsi="Times New Roman" w:eastAsia="Times New Roman" w:cs="Times New Roman"/>
                      <w:position w:val="2"/>
                      <w:sz w:val="17"/>
                      <w:szCs w:val="17"/>
                    </w:rPr>
                    <w:t>m</w:t>
                  </w:r>
                  <w:r>
                    <w:rPr>
                      <w:rFonts w:ascii="Times New Roman" w:hAnsi="Times New Roman" w:eastAsia="Times New Roman" w:cs="Times New Roman"/>
                      <w:spacing w:val="7"/>
                      <w:position w:val="2"/>
                      <w:sz w:val="17"/>
                      <w:szCs w:val="17"/>
                    </w:rPr>
                    <w:t>~+5</w:t>
                  </w:r>
                  <w:r>
                    <w:rPr>
                      <w:rFonts w:ascii="Times New Roman" w:hAnsi="Times New Roman" w:eastAsia="Times New Roman" w:cs="Times New Roman"/>
                      <w:position w:val="2"/>
                      <w:sz w:val="17"/>
                      <w:szCs w:val="17"/>
                    </w:rPr>
                    <w:t>m</w:t>
                  </w:r>
                </w:p>
              </w:tc>
              <w:tc>
                <w:tcPr>
                  <w:tcW w:w="974" w:type="dxa"/>
                  <w:vMerge w:val="restart"/>
                  <w:tcBorders>
                    <w:bottom w:val="nil"/>
                  </w:tcBorders>
                  <w:vAlign w:val="top"/>
                </w:tcPr>
                <w:p>
                  <w:pPr>
                    <w:spacing w:line="335" w:lineRule="auto"/>
                    <w:rPr>
                      <w:rFonts w:ascii="Arial"/>
                      <w:sz w:val="21"/>
                    </w:rPr>
                  </w:pPr>
                </w:p>
                <w:p>
                  <w:pPr>
                    <w:spacing w:line="335" w:lineRule="auto"/>
                    <w:rPr>
                      <w:rFonts w:ascii="Arial"/>
                      <w:sz w:val="21"/>
                    </w:rPr>
                  </w:pPr>
                </w:p>
                <w:p>
                  <w:pPr>
                    <w:spacing w:before="55" w:line="231" w:lineRule="auto"/>
                    <w:ind w:left="132"/>
                    <w:rPr>
                      <w:rFonts w:ascii="宋体" w:hAnsi="宋体" w:eastAsia="宋体" w:cs="宋体"/>
                      <w:sz w:val="17"/>
                      <w:szCs w:val="17"/>
                    </w:rPr>
                  </w:pPr>
                  <w:r>
                    <w:rPr>
                      <w:rFonts w:ascii="宋体" w:hAnsi="宋体" w:eastAsia="宋体" w:cs="宋体"/>
                      <w:spacing w:val="9"/>
                      <w:sz w:val="17"/>
                      <w:szCs w:val="17"/>
                    </w:rPr>
                    <w:t>大</w:t>
                  </w:r>
                  <w:r>
                    <w:rPr>
                      <w:rFonts w:ascii="宋体" w:hAnsi="宋体" w:eastAsia="宋体" w:cs="宋体"/>
                      <w:spacing w:val="7"/>
                      <w:sz w:val="17"/>
                      <w:szCs w:val="17"/>
                    </w:rPr>
                    <w:t>气环境</w:t>
                  </w:r>
                </w:p>
              </w:tc>
              <w:tc>
                <w:tcPr>
                  <w:tcW w:w="1160" w:type="dxa"/>
                  <w:vMerge w:val="restart"/>
                  <w:tcBorders>
                    <w:bottom w:val="nil"/>
                    <w:right w:val="nil"/>
                  </w:tcBorders>
                  <w:vAlign w:val="top"/>
                </w:tcPr>
                <w:p>
                  <w:pPr>
                    <w:spacing w:line="252" w:lineRule="auto"/>
                    <w:rPr>
                      <w:rFonts w:ascii="Arial"/>
                      <w:sz w:val="21"/>
                    </w:rPr>
                  </w:pPr>
                </w:p>
                <w:p>
                  <w:pPr>
                    <w:spacing w:before="55" w:line="267" w:lineRule="auto"/>
                    <w:ind w:left="131" w:right="133" w:firstLine="5"/>
                    <w:rPr>
                      <w:rFonts w:ascii="宋体" w:hAnsi="宋体" w:eastAsia="宋体" w:cs="宋体"/>
                      <w:sz w:val="17"/>
                      <w:szCs w:val="17"/>
                    </w:rPr>
                  </w:pPr>
                  <w:r>
                    <w:rPr>
                      <w:rFonts w:ascii="宋体" w:hAnsi="宋体" w:eastAsia="宋体" w:cs="宋体"/>
                      <w:spacing w:val="9"/>
                      <w:sz w:val="17"/>
                      <w:szCs w:val="17"/>
                    </w:rPr>
                    <w:t>《</w:t>
                  </w:r>
                  <w:r>
                    <w:rPr>
                      <w:rFonts w:ascii="宋体" w:hAnsi="宋体" w:eastAsia="宋体" w:cs="宋体"/>
                      <w:spacing w:val="7"/>
                      <w:sz w:val="17"/>
                      <w:szCs w:val="17"/>
                    </w:rPr>
                    <w:t>环境空气</w:t>
                  </w:r>
                  <w:r>
                    <w:rPr>
                      <w:rFonts w:ascii="宋体" w:hAnsi="宋体" w:eastAsia="宋体" w:cs="宋体"/>
                      <w:sz w:val="17"/>
                      <w:szCs w:val="17"/>
                    </w:rPr>
                    <w:t xml:space="preserve"> </w:t>
                  </w:r>
                  <w:r>
                    <w:rPr>
                      <w:rFonts w:ascii="宋体" w:hAnsi="宋体" w:eastAsia="宋体" w:cs="宋体"/>
                      <w:spacing w:val="8"/>
                      <w:sz w:val="17"/>
                      <w:szCs w:val="17"/>
                    </w:rPr>
                    <w:t>质</w:t>
                  </w:r>
                  <w:r>
                    <w:rPr>
                      <w:rFonts w:ascii="宋体" w:hAnsi="宋体" w:eastAsia="宋体" w:cs="宋体"/>
                      <w:spacing w:val="6"/>
                      <w:sz w:val="17"/>
                      <w:szCs w:val="17"/>
                    </w:rPr>
                    <w:t>量标准》</w:t>
                  </w:r>
                </w:p>
                <w:p>
                  <w:pPr>
                    <w:spacing w:before="36" w:line="326" w:lineRule="auto"/>
                    <w:ind w:left="277" w:right="82" w:hanging="195"/>
                    <w:rPr>
                      <w:rFonts w:ascii="宋体" w:hAnsi="宋体" w:eastAsia="宋体" w:cs="宋体"/>
                      <w:sz w:val="17"/>
                      <w:szCs w:val="17"/>
                    </w:rPr>
                  </w:pPr>
                  <w:r>
                    <w:rPr>
                      <w:rFonts w:ascii="Times New Roman" w:hAnsi="Times New Roman" w:eastAsia="Times New Roman" w:cs="Times New Roman"/>
                      <w:spacing w:val="7"/>
                      <w:sz w:val="17"/>
                      <w:szCs w:val="17"/>
                    </w:rPr>
                    <w:t>(</w:t>
                  </w:r>
                  <w:r>
                    <w:rPr>
                      <w:rFonts w:ascii="Times New Roman" w:hAnsi="Times New Roman" w:eastAsia="Times New Roman" w:cs="Times New Roman"/>
                      <w:sz w:val="17"/>
                      <w:szCs w:val="17"/>
                    </w:rPr>
                    <w:t>GB</w:t>
                  </w:r>
                  <w:r>
                    <w:rPr>
                      <w:rFonts w:ascii="Times New Roman" w:hAnsi="Times New Roman" w:eastAsia="Times New Roman" w:cs="Times New Roman"/>
                      <w:spacing w:val="5"/>
                      <w:sz w:val="17"/>
                      <w:szCs w:val="17"/>
                    </w:rPr>
                    <w:t>3095-201</w:t>
                  </w:r>
                  <w:r>
                    <w:rPr>
                      <w:rFonts w:ascii="Times New Roman" w:hAnsi="Times New Roman" w:eastAsia="Times New Roman" w:cs="Times New Roman"/>
                      <w:sz w:val="17"/>
                      <w:szCs w:val="17"/>
                    </w:rPr>
                    <w:t xml:space="preserve"> </w:t>
                  </w:r>
                  <w:r>
                    <w:rPr>
                      <w:rFonts w:ascii="Times New Roman" w:hAnsi="Times New Roman" w:eastAsia="Times New Roman" w:cs="Times New Roman"/>
                      <w:spacing w:val="9"/>
                      <w:sz w:val="17"/>
                      <w:szCs w:val="17"/>
                    </w:rPr>
                    <w:t>2</w:t>
                  </w:r>
                  <w:r>
                    <w:rPr>
                      <w:rFonts w:ascii="Times New Roman" w:hAnsi="Times New Roman" w:eastAsia="Times New Roman" w:cs="Times New Roman"/>
                      <w:spacing w:val="6"/>
                      <w:sz w:val="17"/>
                      <w:szCs w:val="17"/>
                    </w:rPr>
                    <w:t>)</w:t>
                  </w:r>
                  <w:r>
                    <w:rPr>
                      <w:rFonts w:ascii="宋体" w:hAnsi="宋体" w:eastAsia="宋体" w:cs="宋体"/>
                      <w:spacing w:val="6"/>
                      <w:sz w:val="17"/>
                      <w:szCs w:val="17"/>
                    </w:rPr>
                    <w:t>中二级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496" w:type="dxa"/>
                  <w:vAlign w:val="top"/>
                </w:tcPr>
                <w:p>
                  <w:pPr>
                    <w:spacing w:before="256" w:line="197" w:lineRule="auto"/>
                    <w:ind w:left="20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1745" w:type="dxa"/>
                  <w:vAlign w:val="top"/>
                </w:tcPr>
                <w:p>
                  <w:pPr>
                    <w:spacing w:before="86" w:line="268" w:lineRule="auto"/>
                    <w:ind w:left="717" w:right="133" w:hanging="621"/>
                    <w:rPr>
                      <w:rFonts w:ascii="宋体" w:hAnsi="宋体" w:eastAsia="宋体" w:cs="宋体"/>
                      <w:sz w:val="17"/>
                      <w:szCs w:val="17"/>
                    </w:rPr>
                  </w:pPr>
                  <w:r>
                    <w:rPr>
                      <w:rFonts w:ascii="Times New Roman" w:hAnsi="Times New Roman" w:eastAsia="Times New Roman" w:cs="Times New Roman"/>
                      <w:spacing w:val="13"/>
                      <w:sz w:val="17"/>
                      <w:szCs w:val="17"/>
                    </w:rPr>
                    <w:t>“</w:t>
                  </w:r>
                  <w:r>
                    <w:rPr>
                      <w:rFonts w:ascii="宋体" w:hAnsi="宋体" w:eastAsia="宋体" w:cs="宋体"/>
                      <w:spacing w:val="11"/>
                      <w:sz w:val="17"/>
                      <w:szCs w:val="17"/>
                    </w:rPr>
                    <w:t>宏义</w:t>
                  </w:r>
                  <w:r>
                    <w:rPr>
                      <w:rFonts w:ascii="Times New Roman" w:hAnsi="Times New Roman" w:eastAsia="Times New Roman" w:cs="Times New Roman"/>
                      <w:spacing w:val="11"/>
                      <w:sz w:val="17"/>
                      <w:szCs w:val="17"/>
                    </w:rPr>
                    <w:t>·</w:t>
                  </w:r>
                  <w:r>
                    <w:rPr>
                      <w:rFonts w:ascii="宋体" w:hAnsi="宋体" w:eastAsia="宋体" w:cs="宋体"/>
                      <w:spacing w:val="11"/>
                      <w:sz w:val="17"/>
                      <w:szCs w:val="17"/>
                    </w:rPr>
                    <w:t>江湾城</w:t>
                  </w:r>
                  <w:r>
                    <w:rPr>
                      <w:rFonts w:ascii="Times New Roman" w:hAnsi="Times New Roman" w:eastAsia="Times New Roman" w:cs="Times New Roman"/>
                      <w:spacing w:val="11"/>
                      <w:sz w:val="17"/>
                      <w:szCs w:val="17"/>
                    </w:rPr>
                    <w:t>”</w:t>
                  </w:r>
                  <w:r>
                    <w:rPr>
                      <w:rFonts w:ascii="宋体" w:hAnsi="宋体" w:eastAsia="宋体" w:cs="宋体"/>
                      <w:spacing w:val="11"/>
                      <w:sz w:val="17"/>
                      <w:szCs w:val="17"/>
                    </w:rPr>
                    <w:t>小区</w:t>
                  </w:r>
                  <w:r>
                    <w:rPr>
                      <w:rFonts w:ascii="宋体" w:hAnsi="宋体" w:eastAsia="宋体" w:cs="宋体"/>
                      <w:sz w:val="17"/>
                      <w:szCs w:val="17"/>
                    </w:rPr>
                    <w:t xml:space="preserve"> </w:t>
                  </w: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 xml:space="preserve"> </w:t>
                  </w:r>
                  <w:r>
                    <w:rPr>
                      <w:rFonts w:ascii="宋体" w:hAnsi="宋体" w:eastAsia="宋体" w:cs="宋体"/>
                      <w:spacing w:val="3"/>
                      <w:sz w:val="17"/>
                      <w:szCs w:val="17"/>
                    </w:rPr>
                    <w:t>期</w:t>
                  </w:r>
                </w:p>
              </w:tc>
              <w:tc>
                <w:tcPr>
                  <w:tcW w:w="1065" w:type="dxa"/>
                  <w:vAlign w:val="top"/>
                </w:tcPr>
                <w:p>
                  <w:pPr>
                    <w:spacing w:before="227" w:line="231" w:lineRule="auto"/>
                    <w:ind w:left="134"/>
                    <w:rPr>
                      <w:rFonts w:ascii="宋体" w:hAnsi="宋体" w:eastAsia="宋体" w:cs="宋体"/>
                      <w:sz w:val="17"/>
                      <w:szCs w:val="17"/>
                    </w:rPr>
                  </w:pPr>
                  <w:r>
                    <w:rPr>
                      <w:rFonts w:ascii="宋体" w:hAnsi="宋体" w:eastAsia="宋体" w:cs="宋体"/>
                      <w:spacing w:val="-2"/>
                      <w:sz w:val="17"/>
                      <w:szCs w:val="17"/>
                    </w:rPr>
                    <w:t xml:space="preserve">约 </w:t>
                  </w: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 xml:space="preserve">600 </w:t>
                  </w:r>
                  <w:r>
                    <w:rPr>
                      <w:rFonts w:ascii="宋体" w:hAnsi="宋体" w:eastAsia="宋体" w:cs="宋体"/>
                      <w:spacing w:val="-1"/>
                      <w:sz w:val="17"/>
                      <w:szCs w:val="17"/>
                    </w:rPr>
                    <w:t>户</w:t>
                  </w:r>
                </w:p>
              </w:tc>
              <w:tc>
                <w:tcPr>
                  <w:tcW w:w="1387" w:type="dxa"/>
                  <w:vAlign w:val="top"/>
                </w:tcPr>
                <w:p>
                  <w:pPr>
                    <w:spacing w:before="228" w:line="232" w:lineRule="auto"/>
                    <w:ind w:left="200"/>
                    <w:rPr>
                      <w:rFonts w:ascii="Times New Roman" w:hAnsi="Times New Roman" w:eastAsia="Times New Roman" w:cs="Times New Roman"/>
                      <w:sz w:val="17"/>
                      <w:szCs w:val="17"/>
                    </w:rPr>
                  </w:pPr>
                  <w:r>
                    <w:rPr>
                      <w:rFonts w:ascii="宋体" w:hAnsi="宋体" w:eastAsia="宋体" w:cs="宋体"/>
                      <w:spacing w:val="6"/>
                      <w:sz w:val="17"/>
                      <w:szCs w:val="17"/>
                    </w:rPr>
                    <w:t>南</w:t>
                  </w:r>
                  <w:r>
                    <w:rPr>
                      <w:rFonts w:ascii="宋体" w:hAnsi="宋体" w:eastAsia="宋体" w:cs="宋体"/>
                      <w:spacing w:val="5"/>
                      <w:sz w:val="17"/>
                      <w:szCs w:val="17"/>
                    </w:rPr>
                    <w:t>，</w:t>
                  </w:r>
                  <w:r>
                    <w:rPr>
                      <w:rFonts w:ascii="Times New Roman" w:hAnsi="Times New Roman" w:eastAsia="Times New Roman" w:cs="Times New Roman"/>
                      <w:spacing w:val="5"/>
                      <w:sz w:val="17"/>
                      <w:szCs w:val="17"/>
                    </w:rPr>
                    <w:t>130~500</w:t>
                  </w:r>
                </w:p>
              </w:tc>
              <w:tc>
                <w:tcPr>
                  <w:tcW w:w="1136" w:type="dxa"/>
                  <w:vAlign w:val="top"/>
                </w:tcPr>
                <w:p>
                  <w:pPr>
                    <w:spacing w:before="192" w:line="243" w:lineRule="exact"/>
                    <w:ind w:left="212"/>
                    <w:rPr>
                      <w:rFonts w:ascii="Times New Roman" w:hAnsi="Times New Roman" w:eastAsia="Times New Roman" w:cs="Times New Roman"/>
                      <w:sz w:val="17"/>
                      <w:szCs w:val="17"/>
                    </w:rPr>
                  </w:pPr>
                  <w:r>
                    <w:rPr>
                      <w:rFonts w:ascii="Times New Roman" w:hAnsi="Times New Roman" w:eastAsia="Times New Roman" w:cs="Times New Roman"/>
                      <w:spacing w:val="7"/>
                      <w:position w:val="2"/>
                      <w:sz w:val="17"/>
                      <w:szCs w:val="17"/>
                    </w:rPr>
                    <w:t>-</w:t>
                  </w:r>
                  <w:r>
                    <w:rPr>
                      <w:rFonts w:ascii="Times New Roman" w:hAnsi="Times New Roman" w:eastAsia="Times New Roman" w:cs="Times New Roman"/>
                      <w:spacing w:val="6"/>
                      <w:position w:val="2"/>
                      <w:sz w:val="17"/>
                      <w:szCs w:val="17"/>
                    </w:rPr>
                    <w:t>5</w:t>
                  </w:r>
                  <w:r>
                    <w:rPr>
                      <w:rFonts w:ascii="Times New Roman" w:hAnsi="Times New Roman" w:eastAsia="Times New Roman" w:cs="Times New Roman"/>
                      <w:position w:val="2"/>
                      <w:sz w:val="17"/>
                      <w:szCs w:val="17"/>
                    </w:rPr>
                    <w:t>m</w:t>
                  </w:r>
                  <w:r>
                    <w:rPr>
                      <w:rFonts w:ascii="Times New Roman" w:hAnsi="Times New Roman" w:eastAsia="Times New Roman" w:cs="Times New Roman"/>
                      <w:spacing w:val="6"/>
                      <w:position w:val="2"/>
                      <w:sz w:val="17"/>
                      <w:szCs w:val="17"/>
                    </w:rPr>
                    <w:t>~+5</w:t>
                  </w:r>
                  <w:r>
                    <w:rPr>
                      <w:rFonts w:ascii="Times New Roman" w:hAnsi="Times New Roman" w:eastAsia="Times New Roman" w:cs="Times New Roman"/>
                      <w:position w:val="2"/>
                      <w:sz w:val="17"/>
                      <w:szCs w:val="17"/>
                    </w:rPr>
                    <w:t>m</w:t>
                  </w:r>
                </w:p>
              </w:tc>
              <w:tc>
                <w:tcPr>
                  <w:tcW w:w="974" w:type="dxa"/>
                  <w:vMerge w:val="continue"/>
                  <w:tcBorders>
                    <w:top w:val="nil"/>
                    <w:bottom w:val="nil"/>
                  </w:tcBorders>
                  <w:vAlign w:val="top"/>
                </w:tcPr>
                <w:p>
                  <w:pPr>
                    <w:rPr>
                      <w:rFonts w:ascii="Arial"/>
                      <w:sz w:val="21"/>
                    </w:rPr>
                  </w:pPr>
                </w:p>
              </w:tc>
              <w:tc>
                <w:tcPr>
                  <w:tcW w:w="1160"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496" w:type="dxa"/>
                  <w:vAlign w:val="top"/>
                </w:tcPr>
                <w:p>
                  <w:pPr>
                    <w:spacing w:before="164" w:line="197" w:lineRule="auto"/>
                    <w:ind w:left="206"/>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tc>
              <w:tc>
                <w:tcPr>
                  <w:tcW w:w="1745" w:type="dxa"/>
                  <w:vAlign w:val="top"/>
                </w:tcPr>
                <w:p>
                  <w:pPr>
                    <w:spacing w:before="135" w:line="231" w:lineRule="auto"/>
                    <w:ind w:left="246"/>
                    <w:rPr>
                      <w:rFonts w:ascii="宋体" w:hAnsi="宋体" w:eastAsia="宋体" w:cs="宋体"/>
                      <w:sz w:val="17"/>
                      <w:szCs w:val="17"/>
                    </w:rPr>
                  </w:pPr>
                  <w:r>
                    <w:rPr>
                      <w:rFonts w:ascii="宋体" w:hAnsi="宋体" w:eastAsia="宋体" w:cs="宋体"/>
                      <w:spacing w:val="9"/>
                      <w:sz w:val="17"/>
                      <w:szCs w:val="17"/>
                    </w:rPr>
                    <w:t>韩家坝安置小</w:t>
                  </w:r>
                  <w:r>
                    <w:rPr>
                      <w:rFonts w:ascii="宋体" w:hAnsi="宋体" w:eastAsia="宋体" w:cs="宋体"/>
                      <w:spacing w:val="8"/>
                      <w:sz w:val="17"/>
                      <w:szCs w:val="17"/>
                    </w:rPr>
                    <w:t>区</w:t>
                  </w:r>
                </w:p>
              </w:tc>
              <w:tc>
                <w:tcPr>
                  <w:tcW w:w="1065" w:type="dxa"/>
                  <w:vAlign w:val="top"/>
                </w:tcPr>
                <w:p>
                  <w:pPr>
                    <w:spacing w:before="135" w:line="231" w:lineRule="auto"/>
                    <w:ind w:left="180"/>
                    <w:rPr>
                      <w:rFonts w:ascii="宋体" w:hAnsi="宋体" w:eastAsia="宋体" w:cs="宋体"/>
                      <w:sz w:val="17"/>
                      <w:szCs w:val="17"/>
                    </w:rPr>
                  </w:pPr>
                  <w:r>
                    <w:rPr>
                      <w:rFonts w:ascii="宋体" w:hAnsi="宋体" w:eastAsia="宋体" w:cs="宋体"/>
                      <w:spacing w:val="-2"/>
                      <w:sz w:val="17"/>
                      <w:szCs w:val="17"/>
                    </w:rPr>
                    <w:t xml:space="preserve">约 </w:t>
                  </w:r>
                  <w:r>
                    <w:rPr>
                      <w:rFonts w:ascii="Times New Roman" w:hAnsi="Times New Roman" w:eastAsia="Times New Roman" w:cs="Times New Roman"/>
                      <w:spacing w:val="-2"/>
                      <w:sz w:val="17"/>
                      <w:szCs w:val="17"/>
                    </w:rPr>
                    <w:t xml:space="preserve">500 </w:t>
                  </w:r>
                  <w:r>
                    <w:rPr>
                      <w:rFonts w:ascii="宋体" w:hAnsi="宋体" w:eastAsia="宋体" w:cs="宋体"/>
                      <w:spacing w:val="-2"/>
                      <w:sz w:val="17"/>
                      <w:szCs w:val="17"/>
                    </w:rPr>
                    <w:t>户</w:t>
                  </w:r>
                </w:p>
              </w:tc>
              <w:tc>
                <w:tcPr>
                  <w:tcW w:w="1387" w:type="dxa"/>
                  <w:vAlign w:val="top"/>
                </w:tcPr>
                <w:p>
                  <w:pPr>
                    <w:spacing w:before="135" w:line="230" w:lineRule="auto"/>
                    <w:ind w:left="204"/>
                    <w:rPr>
                      <w:rFonts w:ascii="Times New Roman" w:hAnsi="Times New Roman" w:eastAsia="Times New Roman" w:cs="Times New Roman"/>
                      <w:sz w:val="17"/>
                      <w:szCs w:val="17"/>
                    </w:rPr>
                  </w:pPr>
                  <w:r>
                    <w:rPr>
                      <w:rFonts w:ascii="宋体" w:hAnsi="宋体" w:eastAsia="宋体" w:cs="宋体"/>
                      <w:spacing w:val="8"/>
                      <w:sz w:val="17"/>
                      <w:szCs w:val="17"/>
                    </w:rPr>
                    <w:t>东</w:t>
                  </w:r>
                  <w:r>
                    <w:rPr>
                      <w:rFonts w:ascii="宋体" w:hAnsi="宋体" w:eastAsia="宋体" w:cs="宋体"/>
                      <w:spacing w:val="5"/>
                      <w:sz w:val="17"/>
                      <w:szCs w:val="17"/>
                    </w:rPr>
                    <w:t>，</w:t>
                  </w:r>
                  <w:r>
                    <w:rPr>
                      <w:rFonts w:ascii="Times New Roman" w:hAnsi="Times New Roman" w:eastAsia="Times New Roman" w:cs="Times New Roman"/>
                      <w:spacing w:val="4"/>
                      <w:sz w:val="17"/>
                      <w:szCs w:val="17"/>
                    </w:rPr>
                    <w:t>300~500</w:t>
                  </w:r>
                </w:p>
              </w:tc>
              <w:tc>
                <w:tcPr>
                  <w:tcW w:w="1136" w:type="dxa"/>
                  <w:vAlign w:val="top"/>
                </w:tcPr>
                <w:p>
                  <w:pPr>
                    <w:spacing w:before="100" w:line="243" w:lineRule="exact"/>
                    <w:ind w:left="195"/>
                    <w:rPr>
                      <w:rFonts w:ascii="Times New Roman" w:hAnsi="Times New Roman" w:eastAsia="Times New Roman" w:cs="Times New Roman"/>
                      <w:sz w:val="17"/>
                      <w:szCs w:val="17"/>
                    </w:rPr>
                  </w:pPr>
                  <w:r>
                    <w:rPr>
                      <w:rFonts w:ascii="Times New Roman" w:hAnsi="Times New Roman" w:eastAsia="Times New Roman" w:cs="Times New Roman"/>
                      <w:spacing w:val="-1"/>
                      <w:position w:val="2"/>
                      <w:sz w:val="17"/>
                      <w:szCs w:val="17"/>
                    </w:rPr>
                    <w:t>0m~+ 10</w:t>
                  </w:r>
                  <w:r>
                    <w:rPr>
                      <w:rFonts w:ascii="Times New Roman" w:hAnsi="Times New Roman" w:eastAsia="Times New Roman" w:cs="Times New Roman"/>
                      <w:position w:val="2"/>
                      <w:sz w:val="17"/>
                      <w:szCs w:val="17"/>
                    </w:rPr>
                    <w:t>m</w:t>
                  </w:r>
                </w:p>
              </w:tc>
              <w:tc>
                <w:tcPr>
                  <w:tcW w:w="974" w:type="dxa"/>
                  <w:vMerge w:val="continue"/>
                  <w:tcBorders>
                    <w:top w:val="nil"/>
                  </w:tcBorders>
                  <w:vAlign w:val="top"/>
                </w:tcPr>
                <w:p>
                  <w:pPr>
                    <w:rPr>
                      <w:rFonts w:ascii="Arial"/>
                      <w:sz w:val="21"/>
                    </w:rPr>
                  </w:pPr>
                </w:p>
              </w:tc>
              <w:tc>
                <w:tcPr>
                  <w:tcW w:w="1160" w:type="dxa"/>
                  <w:vMerge w:val="continue"/>
                  <w:tcBorders>
                    <w:top w:val="nil"/>
                    <w:right w:val="nil"/>
                  </w:tcBorders>
                  <w:vAlign w:val="top"/>
                </w:tcPr>
                <w:p>
                  <w:pPr>
                    <w:rPr>
                      <w:rFonts w:ascii="Arial"/>
                      <w:sz w:val="21"/>
                    </w:rPr>
                  </w:pPr>
                </w:p>
              </w:tc>
            </w:tr>
          </w:tbl>
          <w:p>
            <w:pPr>
              <w:spacing w:before="141" w:line="242" w:lineRule="auto"/>
              <w:ind w:left="105"/>
              <w:rPr>
                <w:rFonts w:ascii="黑体" w:hAnsi="黑体" w:eastAsia="黑体" w:cs="黑体"/>
                <w:sz w:val="20"/>
                <w:szCs w:val="20"/>
              </w:rPr>
            </w:pPr>
            <w:r>
              <w:rPr>
                <w:rFonts w:ascii="Times New Roman" w:hAnsi="Times New Roman" w:eastAsia="Times New Roman" w:cs="Times New Roman"/>
                <w:spacing w:val="4"/>
                <w:sz w:val="20"/>
                <w:szCs w:val="20"/>
              </w:rPr>
              <w:t xml:space="preserve">3 </w:t>
            </w:r>
            <w:r>
              <w:rPr>
                <w:rFonts w:ascii="黑体" w:hAnsi="黑体" w:eastAsia="黑体" w:cs="黑体"/>
                <w:spacing w:val="4"/>
                <w:sz w:val="20"/>
                <w:szCs w:val="20"/>
              </w:rPr>
              <w:t>、</w:t>
            </w:r>
            <w:r>
              <w:rPr>
                <w:rFonts w:ascii="黑体" w:hAnsi="黑体" w:eastAsia="黑体" w:cs="黑体"/>
                <w:spacing w:val="3"/>
                <w:sz w:val="20"/>
                <w:szCs w:val="20"/>
              </w:rPr>
              <w:t>声</w:t>
            </w:r>
            <w:r>
              <w:rPr>
                <w:rFonts w:ascii="黑体" w:hAnsi="黑体" w:eastAsia="黑体" w:cs="黑体"/>
                <w:spacing w:val="2"/>
                <w:sz w:val="20"/>
                <w:szCs w:val="20"/>
              </w:rPr>
              <w:t>环境保护目标</w:t>
            </w:r>
          </w:p>
          <w:p>
            <w:pPr>
              <w:spacing w:before="136" w:line="401" w:lineRule="exact"/>
              <w:ind w:left="526"/>
              <w:rPr>
                <w:rFonts w:ascii="宋体" w:hAnsi="宋体" w:eastAsia="宋体" w:cs="宋体"/>
                <w:sz w:val="20"/>
                <w:szCs w:val="20"/>
              </w:rPr>
            </w:pPr>
            <w:r>
              <w:rPr>
                <w:rFonts w:ascii="宋体" w:hAnsi="宋体" w:eastAsia="宋体" w:cs="宋体"/>
                <w:spacing w:val="18"/>
                <w:position w:val="14"/>
                <w:sz w:val="20"/>
                <w:szCs w:val="20"/>
              </w:rPr>
              <w:t>本项</w:t>
            </w:r>
            <w:r>
              <w:rPr>
                <w:rFonts w:ascii="宋体" w:hAnsi="宋体" w:eastAsia="宋体" w:cs="宋体"/>
                <w:spacing w:val="14"/>
                <w:position w:val="14"/>
                <w:sz w:val="20"/>
                <w:szCs w:val="20"/>
              </w:rPr>
              <w:t>目</w:t>
            </w:r>
            <w:r>
              <w:rPr>
                <w:rFonts w:ascii="宋体" w:hAnsi="宋体" w:eastAsia="宋体" w:cs="宋体"/>
                <w:spacing w:val="9"/>
                <w:position w:val="14"/>
                <w:sz w:val="20"/>
                <w:szCs w:val="20"/>
              </w:rPr>
              <w:t>营运期声环境保护目标为桥梁两端的住宅小区，该区域属于声环境</w:t>
            </w:r>
            <w:r>
              <w:rPr>
                <w:rFonts w:ascii="Times New Roman" w:hAnsi="Times New Roman" w:eastAsia="Times New Roman" w:cs="Times New Roman"/>
                <w:spacing w:val="9"/>
                <w:position w:val="14"/>
                <w:sz w:val="20"/>
                <w:szCs w:val="20"/>
              </w:rPr>
              <w:t>2</w:t>
            </w:r>
            <w:r>
              <w:rPr>
                <w:rFonts w:ascii="宋体" w:hAnsi="宋体" w:eastAsia="宋体" w:cs="宋体"/>
                <w:spacing w:val="9"/>
                <w:position w:val="14"/>
                <w:sz w:val="20"/>
                <w:szCs w:val="20"/>
              </w:rPr>
              <w:t>类区。项</w:t>
            </w:r>
          </w:p>
          <w:p>
            <w:pPr>
              <w:spacing w:line="226" w:lineRule="auto"/>
              <w:ind w:left="145"/>
              <w:rPr>
                <w:rFonts w:ascii="宋体" w:hAnsi="宋体" w:eastAsia="宋体" w:cs="宋体"/>
                <w:sz w:val="20"/>
                <w:szCs w:val="20"/>
              </w:rPr>
            </w:pPr>
            <w:r>
              <w:rPr>
                <w:rFonts w:ascii="宋体" w:hAnsi="宋体" w:eastAsia="宋体" w:cs="宋体"/>
                <w:spacing w:val="7"/>
                <w:sz w:val="20"/>
                <w:szCs w:val="20"/>
              </w:rPr>
              <w:t>目评价范围声环境保护目标具体情况见下表。</w:t>
            </w:r>
          </w:p>
          <w:p>
            <w:pPr>
              <w:spacing w:before="134" w:line="230" w:lineRule="auto"/>
              <w:ind w:left="2455"/>
              <w:rPr>
                <w:rFonts w:ascii="黑体" w:hAnsi="黑体" w:eastAsia="黑体" w:cs="黑体"/>
                <w:sz w:val="19"/>
                <w:szCs w:val="19"/>
              </w:rPr>
            </w:pPr>
            <w:r>
              <w:rPr>
                <w:rFonts w:ascii="黑体" w:hAnsi="黑体" w:eastAsia="黑体" w:cs="黑体"/>
                <w:spacing w:val="14"/>
                <w:sz w:val="19"/>
                <w:szCs w:val="19"/>
              </w:rPr>
              <w:t>表</w:t>
            </w:r>
            <w:r>
              <w:rPr>
                <w:rFonts w:ascii="Times New Roman" w:hAnsi="Times New Roman" w:eastAsia="Times New Roman" w:cs="Times New Roman"/>
                <w:spacing w:val="10"/>
                <w:sz w:val="19"/>
                <w:szCs w:val="19"/>
              </w:rPr>
              <w:t>3</w:t>
            </w:r>
            <w:r>
              <w:rPr>
                <w:rFonts w:ascii="Times New Roman" w:hAnsi="Times New Roman" w:eastAsia="Times New Roman" w:cs="Times New Roman"/>
                <w:spacing w:val="7"/>
                <w:sz w:val="19"/>
                <w:szCs w:val="19"/>
              </w:rPr>
              <w:t xml:space="preserve">2    </w:t>
            </w:r>
            <w:r>
              <w:rPr>
                <w:rFonts w:ascii="黑体" w:hAnsi="黑体" w:eastAsia="黑体" w:cs="黑体"/>
                <w:spacing w:val="7"/>
                <w:sz w:val="19"/>
                <w:szCs w:val="19"/>
              </w:rPr>
              <w:t>项目声环境主要保护目标一览表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623" w:type="dxa"/>
            <w:vMerge w:val="continue"/>
            <w:tcBorders>
              <w:top w:val="nil"/>
              <w:left w:val="single" w:color="000000" w:sz="6" w:space="0"/>
              <w:bottom w:val="nil"/>
            </w:tcBorders>
            <w:vAlign w:val="top"/>
          </w:tcPr>
          <w:p>
            <w:pPr>
              <w:rPr>
                <w:rFonts w:ascii="Arial"/>
                <w:sz w:val="21"/>
              </w:rPr>
            </w:pPr>
          </w:p>
        </w:tc>
        <w:tc>
          <w:tcPr>
            <w:tcW w:w="126" w:type="dxa"/>
            <w:vMerge w:val="restart"/>
            <w:tcBorders>
              <w:top w:val="nil"/>
              <w:bottom w:val="nil"/>
            </w:tcBorders>
            <w:vAlign w:val="top"/>
          </w:tcPr>
          <w:p>
            <w:pPr>
              <w:rPr>
                <w:rFonts w:ascii="Arial"/>
                <w:sz w:val="21"/>
              </w:rPr>
            </w:pPr>
          </w:p>
        </w:tc>
        <w:tc>
          <w:tcPr>
            <w:tcW w:w="280" w:type="dxa"/>
            <w:vMerge w:val="restart"/>
            <w:tcBorders>
              <w:bottom w:val="nil"/>
            </w:tcBorders>
            <w:textDirection w:val="tbRlV"/>
            <w:vAlign w:val="top"/>
          </w:tcPr>
          <w:p>
            <w:pPr>
              <w:spacing w:before="54" w:line="220" w:lineRule="auto"/>
              <w:ind w:left="540"/>
              <w:rPr>
                <w:rFonts w:ascii="宋体" w:hAnsi="宋体" w:eastAsia="宋体" w:cs="宋体"/>
                <w:sz w:val="17"/>
                <w:szCs w:val="17"/>
              </w:rPr>
            </w:pPr>
            <w:r>
              <w:rPr>
                <w:rFonts w:ascii="宋体" w:hAnsi="宋体" w:eastAsia="宋体" w:cs="宋体"/>
                <w:spacing w:val="12"/>
                <w:sz w:val="17"/>
                <w:szCs w:val="17"/>
                <w14:textOutline w14:w="3268" w14:cap="sq" w14:cmpd="sng">
                  <w14:solidFill>
                    <w14:srgbClr w14:val="000000"/>
                  </w14:solidFill>
                  <w14:prstDash w14:val="solid"/>
                  <w14:bevel/>
                </w14:textOutline>
              </w:rPr>
              <w:t>序</w:t>
            </w:r>
            <w:r>
              <w:rPr>
                <w:rFonts w:ascii="宋体" w:hAnsi="宋体" w:eastAsia="宋体" w:cs="宋体"/>
                <w:spacing w:val="12"/>
                <w:sz w:val="17"/>
                <w:szCs w:val="17"/>
              </w:rPr>
              <w:t xml:space="preserve"> </w:t>
            </w:r>
            <w:r>
              <w:rPr>
                <w:rFonts w:ascii="宋体" w:hAnsi="宋体" w:eastAsia="宋体" w:cs="宋体"/>
                <w:spacing w:val="11"/>
                <w:sz w:val="17"/>
                <w:szCs w:val="17"/>
                <w14:textOutline w14:w="3268" w14:cap="sq" w14:cmpd="sng">
                  <w14:solidFill>
                    <w14:srgbClr w14:val="000000"/>
                  </w14:solidFill>
                  <w14:prstDash w14:val="solid"/>
                  <w14:bevel/>
                </w14:textOutline>
              </w:rPr>
              <w:t>号</w:t>
            </w:r>
          </w:p>
        </w:tc>
        <w:tc>
          <w:tcPr>
            <w:tcW w:w="1064" w:type="dxa"/>
            <w:gridSpan w:val="2"/>
            <w:vMerge w:val="restart"/>
            <w:tcBorders>
              <w:bottom w:val="nil"/>
            </w:tcBorders>
            <w:vAlign w:val="top"/>
          </w:tcPr>
          <w:p>
            <w:pPr>
              <w:spacing w:line="241" w:lineRule="auto"/>
              <w:rPr>
                <w:rFonts w:ascii="Arial"/>
                <w:sz w:val="21"/>
              </w:rPr>
            </w:pPr>
          </w:p>
          <w:p>
            <w:pPr>
              <w:spacing w:line="241" w:lineRule="auto"/>
              <w:rPr>
                <w:rFonts w:ascii="Arial"/>
                <w:sz w:val="21"/>
              </w:rPr>
            </w:pPr>
          </w:p>
          <w:p>
            <w:pPr>
              <w:spacing w:before="55" w:line="317" w:lineRule="auto"/>
              <w:ind w:left="202" w:right="83" w:hanging="119"/>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声</w:t>
            </w:r>
            <w:r>
              <w:rPr>
                <w:rFonts w:ascii="宋体" w:hAnsi="宋体" w:eastAsia="宋体" w:cs="宋体"/>
                <w:spacing w:val="8"/>
                <w:sz w:val="17"/>
                <w:szCs w:val="17"/>
                <w14:textOutline w14:w="3268" w14:cap="sq" w14:cmpd="sng">
                  <w14:solidFill>
                    <w14:srgbClr w14:val="000000"/>
                  </w14:solidFill>
                  <w14:prstDash w14:val="solid"/>
                  <w14:bevel/>
                </w14:textOutline>
              </w:rPr>
              <w:t>环境保护</w:t>
            </w:r>
            <w:r>
              <w:rPr>
                <w:rFonts w:ascii="宋体" w:hAnsi="宋体" w:eastAsia="宋体" w:cs="宋体"/>
                <w:sz w:val="17"/>
                <w:szCs w:val="17"/>
              </w:rPr>
              <w:t xml:space="preserve"> </w:t>
            </w:r>
            <w:r>
              <w:rPr>
                <w:rFonts w:ascii="宋体" w:hAnsi="宋体" w:eastAsia="宋体" w:cs="宋体"/>
                <w:sz w:val="17"/>
                <w:szCs w:val="17"/>
                <w14:textOutline w14:w="3268" w14:cap="sq" w14:cmpd="sng">
                  <w14:solidFill>
                    <w14:srgbClr w14:val="000000"/>
                  </w14:solidFill>
                  <w14:prstDash w14:val="solid"/>
                  <w14:bevel/>
                </w14:textOutline>
              </w:rPr>
              <w:t>目标名称</w:t>
            </w:r>
          </w:p>
        </w:tc>
        <w:tc>
          <w:tcPr>
            <w:tcW w:w="524" w:type="dxa"/>
            <w:vMerge w:val="restart"/>
            <w:tcBorders>
              <w:bottom w:val="nil"/>
            </w:tcBorders>
            <w:vAlign w:val="top"/>
          </w:tcPr>
          <w:p>
            <w:pPr>
              <w:rPr>
                <w:rFonts w:ascii="Arial"/>
                <w:sz w:val="21"/>
              </w:rPr>
            </w:pPr>
          </w:p>
          <w:p>
            <w:pPr>
              <w:spacing w:line="241" w:lineRule="auto"/>
              <w:rPr>
                <w:rFonts w:ascii="Arial"/>
                <w:sz w:val="21"/>
              </w:rPr>
            </w:pPr>
          </w:p>
          <w:p>
            <w:pPr>
              <w:spacing w:before="56" w:line="317" w:lineRule="auto"/>
              <w:ind w:left="82" w:right="84" w:hanging="1"/>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所在</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路</w:t>
            </w:r>
            <w:r>
              <w:rPr>
                <w:rFonts w:ascii="宋体" w:hAnsi="宋体" w:eastAsia="宋体" w:cs="宋体"/>
                <w:spacing w:val="5"/>
                <w:sz w:val="17"/>
                <w:szCs w:val="17"/>
                <w14:textOutline w14:w="3268" w14:cap="sq" w14:cmpd="sng">
                  <w14:solidFill>
                    <w14:srgbClr w14:val="000000"/>
                  </w14:solidFill>
                  <w14:prstDash w14:val="solid"/>
                  <w14:bevel/>
                </w14:textOutline>
              </w:rPr>
              <w:t>段</w:t>
            </w:r>
          </w:p>
        </w:tc>
        <w:tc>
          <w:tcPr>
            <w:tcW w:w="621"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before="55" w:line="317" w:lineRule="auto"/>
              <w:ind w:left="238" w:right="38" w:hanging="194"/>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里</w:t>
            </w:r>
            <w:r>
              <w:rPr>
                <w:rFonts w:ascii="宋体" w:hAnsi="宋体" w:eastAsia="宋体" w:cs="宋体"/>
                <w:spacing w:val="7"/>
                <w:sz w:val="17"/>
                <w:szCs w:val="17"/>
                <w14:textOutline w14:w="3268" w14:cap="sq" w14:cmpd="sng">
                  <w14:solidFill>
                    <w14:srgbClr w14:val="000000"/>
                  </w14:solidFill>
                  <w14:prstDash w14:val="solid"/>
                  <w14:bevel/>
                </w14:textOutline>
              </w:rPr>
              <w:t>程范</w:t>
            </w:r>
            <w:r>
              <w:rPr>
                <w:rFonts w:ascii="宋体" w:hAnsi="宋体" w:eastAsia="宋体" w:cs="宋体"/>
                <w:sz w:val="17"/>
                <w:szCs w:val="17"/>
              </w:rPr>
              <w:t xml:space="preserve"> </w:t>
            </w:r>
            <w:r>
              <w:rPr>
                <w:rFonts w:ascii="宋体" w:hAnsi="宋体" w:eastAsia="宋体" w:cs="宋体"/>
                <w:sz w:val="17"/>
                <w:szCs w:val="17"/>
                <w14:textOutline w14:w="3268" w14:cap="sq" w14:cmpd="sng">
                  <w14:solidFill>
                    <w14:srgbClr w14:val="000000"/>
                  </w14:solidFill>
                  <w14:prstDash w14:val="solid"/>
                  <w14:bevel/>
                </w14:textOutline>
              </w:rPr>
              <w:t>围</w:t>
            </w:r>
          </w:p>
        </w:tc>
        <w:tc>
          <w:tcPr>
            <w:tcW w:w="480" w:type="dxa"/>
            <w:vMerge w:val="restart"/>
            <w:tcBorders>
              <w:bottom w:val="nil"/>
            </w:tcBorders>
            <w:vAlign w:val="top"/>
          </w:tcPr>
          <w:p>
            <w:pPr>
              <w:rPr>
                <w:rFonts w:ascii="Arial"/>
                <w:sz w:val="21"/>
              </w:rPr>
            </w:pPr>
          </w:p>
          <w:p>
            <w:pPr>
              <w:spacing w:line="241" w:lineRule="auto"/>
              <w:rPr>
                <w:rFonts w:ascii="Arial"/>
                <w:sz w:val="21"/>
              </w:rPr>
            </w:pPr>
          </w:p>
          <w:p>
            <w:pPr>
              <w:spacing w:before="55" w:line="318" w:lineRule="auto"/>
              <w:ind w:left="64" w:right="59"/>
              <w:rPr>
                <w:rFonts w:ascii="宋体" w:hAnsi="宋体" w:eastAsia="宋体" w:cs="宋体"/>
                <w:sz w:val="17"/>
                <w:szCs w:val="17"/>
              </w:rPr>
            </w:pPr>
            <w:r>
              <w:rPr>
                <w:rFonts w:ascii="宋体" w:hAnsi="宋体" w:eastAsia="宋体" w:cs="宋体"/>
                <w:spacing w:val="5"/>
                <w:sz w:val="17"/>
                <w:szCs w:val="17"/>
                <w14:textOutline w14:w="3268" w14:cap="sq" w14:cmpd="sng">
                  <w14:solidFill>
                    <w14:srgbClr w14:val="000000"/>
                  </w14:solidFill>
                  <w14:prstDash w14:val="solid"/>
                  <w14:bevel/>
                </w14:textOutline>
              </w:rPr>
              <w:t>线路</w:t>
            </w:r>
            <w:r>
              <w:rPr>
                <w:rFonts w:ascii="宋体" w:hAnsi="宋体" w:eastAsia="宋体" w:cs="宋体"/>
                <w:sz w:val="17"/>
                <w:szCs w:val="17"/>
              </w:rPr>
              <w:t xml:space="preserve"> </w:t>
            </w:r>
            <w:r>
              <w:rPr>
                <w:rFonts w:ascii="宋体" w:hAnsi="宋体" w:eastAsia="宋体" w:cs="宋体"/>
                <w:spacing w:val="5"/>
                <w:sz w:val="17"/>
                <w:szCs w:val="17"/>
                <w14:textOutline w14:w="3268" w14:cap="sq" w14:cmpd="sng">
                  <w14:solidFill>
                    <w14:srgbClr w14:val="000000"/>
                  </w14:solidFill>
                  <w14:prstDash w14:val="solid"/>
                  <w14:bevel/>
                </w14:textOutline>
              </w:rPr>
              <w:t>形式</w:t>
            </w:r>
          </w:p>
        </w:tc>
        <w:tc>
          <w:tcPr>
            <w:tcW w:w="428" w:type="dxa"/>
            <w:vMerge w:val="restart"/>
            <w:tcBorders>
              <w:bottom w:val="nil"/>
            </w:tcBorders>
            <w:vAlign w:val="top"/>
          </w:tcPr>
          <w:p>
            <w:pPr>
              <w:spacing w:line="310" w:lineRule="auto"/>
              <w:rPr>
                <w:rFonts w:ascii="Arial"/>
                <w:sz w:val="21"/>
              </w:rPr>
            </w:pPr>
          </w:p>
          <w:p>
            <w:pPr>
              <w:spacing w:line="310" w:lineRule="auto"/>
              <w:rPr>
                <w:rFonts w:ascii="Arial"/>
                <w:sz w:val="21"/>
              </w:rPr>
            </w:pPr>
          </w:p>
          <w:p>
            <w:pPr>
              <w:spacing w:before="55" w:line="232" w:lineRule="auto"/>
              <w:ind w:left="38"/>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方位</w:t>
            </w:r>
          </w:p>
        </w:tc>
        <w:tc>
          <w:tcPr>
            <w:tcW w:w="784" w:type="dxa"/>
            <w:vMerge w:val="restart"/>
            <w:tcBorders>
              <w:bottom w:val="nil"/>
            </w:tcBorders>
            <w:vAlign w:val="top"/>
          </w:tcPr>
          <w:p>
            <w:pPr>
              <w:spacing w:before="119" w:line="295" w:lineRule="auto"/>
              <w:ind w:left="26" w:right="17" w:firstLine="12"/>
              <w:rPr>
                <w:rFonts w:ascii="Times New Roman" w:hAnsi="Times New Roman" w:eastAsia="Times New Roman" w:cs="Times New Roman"/>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声环境</w:t>
            </w:r>
            <w:r>
              <w:rPr>
                <w:rFonts w:ascii="宋体" w:hAnsi="宋体" w:eastAsia="宋体" w:cs="宋体"/>
                <w:spacing w:val="7"/>
                <w:sz w:val="17"/>
                <w:szCs w:val="17"/>
                <w14:textOutline w14:w="3268" w14:cap="sq" w14:cmpd="sng">
                  <w14:solidFill>
                    <w14:srgbClr w14:val="000000"/>
                  </w14:solidFill>
                  <w14:prstDash w14:val="solid"/>
                  <w14:bevel/>
                </w14:textOutline>
              </w:rPr>
              <w:t>保</w:t>
            </w:r>
            <w:r>
              <w:rPr>
                <w:rFonts w:ascii="宋体" w:hAnsi="宋体" w:eastAsia="宋体" w:cs="宋体"/>
                <w:sz w:val="17"/>
                <w:szCs w:val="17"/>
              </w:rPr>
              <w:t xml:space="preserve"> </w:t>
            </w:r>
            <w:r>
              <w:rPr>
                <w:rFonts w:ascii="宋体" w:hAnsi="宋体" w:eastAsia="宋体" w:cs="宋体"/>
                <w:spacing w:val="11"/>
                <w:sz w:val="17"/>
                <w:szCs w:val="17"/>
                <w14:textOutline w14:w="3268" w14:cap="sq" w14:cmpd="sng">
                  <w14:solidFill>
                    <w14:srgbClr w14:val="000000"/>
                  </w14:solidFill>
                  <w14:prstDash w14:val="solid"/>
                  <w14:bevel/>
                </w14:textOutline>
              </w:rPr>
              <w:t>护目标预</w:t>
            </w:r>
            <w:r>
              <w:rPr>
                <w:rFonts w:ascii="宋体" w:hAnsi="宋体" w:eastAsia="宋体" w:cs="宋体"/>
                <w:sz w:val="17"/>
                <w:szCs w:val="17"/>
              </w:rPr>
              <w:t xml:space="preserve"> </w:t>
            </w:r>
            <w:r>
              <w:rPr>
                <w:rFonts w:ascii="宋体" w:hAnsi="宋体" w:eastAsia="宋体" w:cs="宋体"/>
                <w:spacing w:val="11"/>
                <w:sz w:val="17"/>
                <w:szCs w:val="17"/>
                <w14:textOutline w14:w="3268" w14:cap="sq" w14:cmpd="sng">
                  <w14:solidFill>
                    <w14:srgbClr w14:val="000000"/>
                  </w14:solidFill>
                  <w14:prstDash w14:val="solid"/>
                  <w14:bevel/>
                </w14:textOutline>
              </w:rPr>
              <w:t>测点与路</w:t>
            </w:r>
            <w:r>
              <w:rPr>
                <w:rFonts w:ascii="宋体" w:hAnsi="宋体" w:eastAsia="宋体" w:cs="宋体"/>
                <w:sz w:val="17"/>
                <w:szCs w:val="17"/>
              </w:rPr>
              <w:t xml:space="preserve"> </w:t>
            </w:r>
            <w:r>
              <w:rPr>
                <w:rFonts w:ascii="宋体" w:hAnsi="宋体" w:eastAsia="宋体" w:cs="宋体"/>
                <w:spacing w:val="9"/>
                <w:sz w:val="17"/>
                <w:szCs w:val="17"/>
                <w14:textOutline w14:w="3268" w14:cap="sq" w14:cmpd="sng">
                  <w14:solidFill>
                    <w14:srgbClr w14:val="000000"/>
                  </w14:solidFill>
                  <w14:prstDash w14:val="solid"/>
                  <w14:bevel/>
                </w14:textOutline>
              </w:rPr>
              <w:t>面高差</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m</w:t>
            </w:r>
          </w:p>
        </w:tc>
        <w:tc>
          <w:tcPr>
            <w:tcW w:w="591" w:type="dxa"/>
            <w:vMerge w:val="restart"/>
            <w:tcBorders>
              <w:bottom w:val="nil"/>
            </w:tcBorders>
            <w:vAlign w:val="top"/>
          </w:tcPr>
          <w:p>
            <w:pPr>
              <w:spacing w:before="120" w:line="230" w:lineRule="auto"/>
              <w:ind w:left="30"/>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距</w:t>
            </w:r>
            <w:r>
              <w:rPr>
                <w:rFonts w:ascii="宋体" w:hAnsi="宋体" w:eastAsia="宋体" w:cs="宋体"/>
                <w:spacing w:val="8"/>
                <w:sz w:val="17"/>
                <w:szCs w:val="17"/>
                <w14:textOutline w14:w="3268" w14:cap="sq" w14:cmpd="sng">
                  <w14:solidFill>
                    <w14:srgbClr w14:val="000000"/>
                  </w14:solidFill>
                  <w14:prstDash w14:val="solid"/>
                  <w14:bevel/>
                </w14:textOutline>
              </w:rPr>
              <w:t>道路</w:t>
            </w:r>
          </w:p>
          <w:p>
            <w:pPr>
              <w:spacing w:before="68" w:line="232" w:lineRule="auto"/>
              <w:ind w:left="30"/>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边</w:t>
            </w:r>
            <w:r>
              <w:rPr>
                <w:rFonts w:ascii="宋体" w:hAnsi="宋体" w:eastAsia="宋体" w:cs="宋体"/>
                <w:spacing w:val="8"/>
                <w:sz w:val="17"/>
                <w:szCs w:val="17"/>
                <w14:textOutline w14:w="3268" w14:cap="sq" w14:cmpd="sng">
                  <w14:solidFill>
                    <w14:srgbClr w14:val="000000"/>
                  </w14:solidFill>
                  <w14:prstDash w14:val="solid"/>
                  <w14:bevel/>
                </w14:textOutline>
              </w:rPr>
              <w:t>界红</w:t>
            </w:r>
          </w:p>
          <w:p>
            <w:pPr>
              <w:spacing w:before="65" w:line="231" w:lineRule="auto"/>
              <w:ind w:left="33"/>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线</w:t>
            </w:r>
            <w:r>
              <w:rPr>
                <w:rFonts w:ascii="宋体" w:hAnsi="宋体" w:eastAsia="宋体" w:cs="宋体"/>
                <w:spacing w:val="7"/>
                <w:sz w:val="17"/>
                <w:szCs w:val="17"/>
                <w14:textOutline w14:w="3268" w14:cap="sq" w14:cmpd="sng">
                  <w14:solidFill>
                    <w14:srgbClr w14:val="000000"/>
                  </w14:solidFill>
                  <w14:prstDash w14:val="solid"/>
                  <w14:bevel/>
                </w14:textOutline>
              </w:rPr>
              <w:t>距离</w:t>
            </w:r>
          </w:p>
          <w:p>
            <w:pPr>
              <w:spacing w:before="32" w:line="249" w:lineRule="exact"/>
              <w:ind w:left="194"/>
              <w:rPr>
                <w:rFonts w:ascii="Times New Roman" w:hAnsi="Times New Roman" w:eastAsia="Times New Roman" w:cs="Times New Roman"/>
                <w:sz w:val="17"/>
                <w:szCs w:val="17"/>
              </w:rPr>
            </w:pPr>
            <w:r>
              <w:rPr>
                <w:rFonts w:ascii="Times New Roman" w:hAnsi="Times New Roman" w:eastAsia="Times New Roman" w:cs="Times New Roman"/>
                <w:b/>
                <w:bCs/>
                <w:spacing w:val="11"/>
                <w:position w:val="2"/>
                <w:sz w:val="17"/>
                <w:szCs w:val="17"/>
              </w:rPr>
              <w:t>/</w:t>
            </w:r>
            <w:r>
              <w:rPr>
                <w:rFonts w:ascii="Times New Roman" w:hAnsi="Times New Roman" w:eastAsia="Times New Roman" w:cs="Times New Roman"/>
                <w:b/>
                <w:bCs/>
                <w:position w:val="2"/>
                <w:sz w:val="17"/>
                <w:szCs w:val="17"/>
              </w:rPr>
              <w:t>m</w:t>
            </w:r>
          </w:p>
        </w:tc>
        <w:tc>
          <w:tcPr>
            <w:tcW w:w="741" w:type="dxa"/>
            <w:vMerge w:val="restart"/>
            <w:tcBorders>
              <w:bottom w:val="nil"/>
            </w:tcBorders>
            <w:vAlign w:val="top"/>
          </w:tcPr>
          <w:p>
            <w:pPr>
              <w:spacing w:line="343" w:lineRule="auto"/>
              <w:rPr>
                <w:rFonts w:ascii="Arial"/>
                <w:sz w:val="21"/>
              </w:rPr>
            </w:pPr>
          </w:p>
          <w:p>
            <w:pPr>
              <w:spacing w:before="56" w:line="230" w:lineRule="auto"/>
              <w:ind w:left="15"/>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距道路中</w:t>
            </w:r>
          </w:p>
          <w:p>
            <w:pPr>
              <w:spacing w:before="66" w:line="231" w:lineRule="auto"/>
              <w:ind w:left="22"/>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心</w:t>
            </w:r>
            <w:r>
              <w:rPr>
                <w:rFonts w:ascii="宋体" w:hAnsi="宋体" w:eastAsia="宋体" w:cs="宋体"/>
                <w:spacing w:val="7"/>
                <w:sz w:val="17"/>
                <w:szCs w:val="17"/>
                <w14:textOutline w14:w="3268" w14:cap="sq" w14:cmpd="sng">
                  <w14:solidFill>
                    <w14:srgbClr w14:val="000000"/>
                  </w14:solidFill>
                  <w14:prstDash w14:val="solid"/>
                  <w14:bevel/>
                </w14:textOutline>
              </w:rPr>
              <w:t>线距离</w:t>
            </w:r>
          </w:p>
          <w:p>
            <w:pPr>
              <w:spacing w:before="32" w:line="249" w:lineRule="exact"/>
              <w:ind w:left="270"/>
              <w:rPr>
                <w:rFonts w:ascii="Times New Roman" w:hAnsi="Times New Roman" w:eastAsia="Times New Roman" w:cs="Times New Roman"/>
                <w:sz w:val="17"/>
                <w:szCs w:val="17"/>
              </w:rPr>
            </w:pPr>
            <w:r>
              <w:rPr>
                <w:rFonts w:ascii="Times New Roman" w:hAnsi="Times New Roman" w:eastAsia="Times New Roman" w:cs="Times New Roman"/>
                <w:b/>
                <w:bCs/>
                <w:spacing w:val="11"/>
                <w:position w:val="2"/>
                <w:sz w:val="17"/>
                <w:szCs w:val="17"/>
              </w:rPr>
              <w:t>/</w:t>
            </w:r>
            <w:r>
              <w:rPr>
                <w:rFonts w:ascii="Times New Roman" w:hAnsi="Times New Roman" w:eastAsia="Times New Roman" w:cs="Times New Roman"/>
                <w:b/>
                <w:bCs/>
                <w:position w:val="2"/>
                <w:sz w:val="17"/>
                <w:szCs w:val="17"/>
              </w:rPr>
              <w:t>m</w:t>
            </w:r>
          </w:p>
        </w:tc>
        <w:tc>
          <w:tcPr>
            <w:tcW w:w="783" w:type="dxa"/>
            <w:vAlign w:val="top"/>
          </w:tcPr>
          <w:p>
            <w:pPr>
              <w:spacing w:before="95" w:line="268" w:lineRule="auto"/>
              <w:ind w:left="142" w:right="24" w:hanging="101"/>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不同功能</w:t>
            </w:r>
            <w:r>
              <w:rPr>
                <w:rFonts w:ascii="宋体" w:hAnsi="宋体" w:eastAsia="宋体" w:cs="宋体"/>
                <w:sz w:val="17"/>
                <w:szCs w:val="17"/>
              </w:rPr>
              <w:t xml:space="preserve"> </w:t>
            </w:r>
            <w:r>
              <w:rPr>
                <w:rFonts w:ascii="宋体" w:hAnsi="宋体" w:eastAsia="宋体" w:cs="宋体"/>
                <w:spacing w:val="4"/>
                <w:sz w:val="17"/>
                <w:szCs w:val="17"/>
                <w14:textOutline w14:w="3268" w14:cap="sq" w14:cmpd="sng">
                  <w14:solidFill>
                    <w14:srgbClr w14:val="000000"/>
                  </w14:solidFill>
                  <w14:prstDash w14:val="solid"/>
                  <w14:bevel/>
                </w14:textOutline>
              </w:rPr>
              <w:t>区户数</w:t>
            </w:r>
          </w:p>
        </w:tc>
        <w:tc>
          <w:tcPr>
            <w:tcW w:w="1746" w:type="dxa"/>
            <w:vMerge w:val="restart"/>
            <w:tcBorders>
              <w:bottom w:val="nil"/>
            </w:tcBorders>
            <w:vAlign w:val="top"/>
          </w:tcPr>
          <w:p>
            <w:pPr>
              <w:spacing w:before="118" w:line="286" w:lineRule="auto"/>
              <w:ind w:left="12" w:firstLine="57"/>
              <w:rPr>
                <w:rFonts w:ascii="宋体" w:hAnsi="宋体" w:eastAsia="宋体" w:cs="宋体"/>
                <w:sz w:val="17"/>
                <w:szCs w:val="17"/>
              </w:rPr>
            </w:pPr>
            <w:r>
              <w:rPr>
                <w:rFonts w:ascii="宋体" w:hAnsi="宋体" w:eastAsia="宋体" w:cs="宋体"/>
                <w:spacing w:val="4"/>
                <w:sz w:val="17"/>
                <w:szCs w:val="17"/>
                <w14:textOutline w14:w="3170" w14:cap="sq" w14:cmpd="sng">
                  <w14:solidFill>
                    <w14:srgbClr w14:val="000000"/>
                  </w14:solidFill>
                  <w14:prstDash w14:val="solid"/>
                  <w14:bevel/>
                </w14:textOutline>
              </w:rPr>
              <w:t>声环境保护目标情</w:t>
            </w:r>
            <w:r>
              <w:rPr>
                <w:rFonts w:ascii="宋体" w:hAnsi="宋体" w:eastAsia="宋体" w:cs="宋体"/>
                <w:spacing w:val="3"/>
                <w:sz w:val="17"/>
                <w:szCs w:val="17"/>
                <w14:textOutline w14:w="3170" w14:cap="sq" w14:cmpd="sng">
                  <w14:solidFill>
                    <w14:srgbClr w14:val="000000"/>
                  </w14:solidFill>
                  <w14:prstDash w14:val="solid"/>
                  <w14:bevel/>
                </w14:textOutline>
              </w:rPr>
              <w:t>况</w:t>
            </w:r>
            <w:r>
              <w:rPr>
                <w:rFonts w:ascii="宋体" w:hAnsi="宋体" w:eastAsia="宋体" w:cs="宋体"/>
                <w:sz w:val="17"/>
                <w:szCs w:val="17"/>
              </w:rPr>
              <w:t xml:space="preserve"> </w:t>
            </w:r>
            <w:r>
              <w:rPr>
                <w:rFonts w:ascii="宋体" w:hAnsi="宋体" w:eastAsia="宋体" w:cs="宋体"/>
                <w:spacing w:val="10"/>
                <w:sz w:val="17"/>
                <w:szCs w:val="17"/>
                <w14:textOutline w14:w="3170" w14:cap="sq" w14:cmpd="sng">
                  <w14:solidFill>
                    <w14:srgbClr w14:val="000000"/>
                  </w14:solidFill>
                  <w14:prstDash w14:val="solid"/>
                  <w14:bevel/>
                </w14:textOutline>
              </w:rPr>
              <w:t>说</w:t>
            </w:r>
            <w:r>
              <w:rPr>
                <w:rFonts w:ascii="宋体" w:hAnsi="宋体" w:eastAsia="宋体" w:cs="宋体"/>
                <w:spacing w:val="6"/>
                <w:sz w:val="17"/>
                <w:szCs w:val="17"/>
                <w14:textOutline w14:w="3170" w14:cap="sq" w14:cmpd="sng">
                  <w14:solidFill>
                    <w14:srgbClr w14:val="000000"/>
                  </w14:solidFill>
                  <w14:prstDash w14:val="solid"/>
                  <w14:bevel/>
                </w14:textOutline>
              </w:rPr>
              <w:t>明(介绍声环境保护</w:t>
            </w:r>
            <w:r>
              <w:rPr>
                <w:rFonts w:ascii="宋体" w:hAnsi="宋体" w:eastAsia="宋体" w:cs="宋体"/>
                <w:sz w:val="17"/>
                <w:szCs w:val="17"/>
              </w:rPr>
              <w:t xml:space="preserve"> </w:t>
            </w:r>
            <w:r>
              <w:rPr>
                <w:rFonts w:ascii="宋体" w:hAnsi="宋体" w:eastAsia="宋体" w:cs="宋体"/>
                <w:spacing w:val="3"/>
                <w:sz w:val="17"/>
                <w:szCs w:val="17"/>
                <w14:textOutline w14:w="3170" w14:cap="sq" w14:cmpd="sng">
                  <w14:solidFill>
                    <w14:srgbClr w14:val="000000"/>
                  </w14:solidFill>
                  <w14:prstDash w14:val="solid"/>
                  <w14:bevel/>
                </w14:textOutline>
              </w:rPr>
              <w:t>目标建筑结构、朝向</w:t>
            </w:r>
            <w:r>
              <w:rPr>
                <w:rFonts w:ascii="宋体" w:hAnsi="宋体" w:eastAsia="宋体" w:cs="宋体"/>
                <w:spacing w:val="1"/>
                <w:sz w:val="17"/>
                <w:szCs w:val="17"/>
                <w14:textOutline w14:w="3170" w14:cap="sq" w14:cmpd="sng">
                  <w14:solidFill>
                    <w14:srgbClr w14:val="000000"/>
                  </w14:solidFill>
                  <w14:prstDash w14:val="solid"/>
                  <w14:bevel/>
                </w14:textOutline>
              </w:rPr>
              <w:t>、</w:t>
            </w:r>
            <w:r>
              <w:rPr>
                <w:rFonts w:ascii="宋体" w:hAnsi="宋体" w:eastAsia="宋体" w:cs="宋体"/>
                <w:sz w:val="17"/>
                <w:szCs w:val="17"/>
              </w:rPr>
              <w:t xml:space="preserve"> </w:t>
            </w:r>
            <w:r>
              <w:rPr>
                <w:rFonts w:ascii="宋体" w:hAnsi="宋体" w:eastAsia="宋体" w:cs="宋体"/>
                <w:spacing w:val="3"/>
                <w:sz w:val="17"/>
                <w:szCs w:val="17"/>
                <w14:textOutline w14:w="3170" w14:cap="sq" w14:cmpd="sng">
                  <w14:solidFill>
                    <w14:srgbClr w14:val="000000"/>
                  </w14:solidFill>
                  <w14:prstDash w14:val="solid"/>
                  <w14:bevel/>
                </w14:textOutline>
              </w:rPr>
              <w:t>楼层、周围环境情况)</w:t>
            </w:r>
          </w:p>
        </w:tc>
        <w:tc>
          <w:tcPr>
            <w:tcW w:w="135"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623" w:type="dxa"/>
            <w:vMerge w:val="continue"/>
            <w:tcBorders>
              <w:top w:val="nil"/>
              <w:left w:val="single" w:color="000000" w:sz="6" w:space="0"/>
              <w:bottom w:val="nil"/>
            </w:tcBorders>
            <w:vAlign w:val="top"/>
          </w:tcPr>
          <w:p>
            <w:pPr>
              <w:rPr>
                <w:rFonts w:ascii="Arial"/>
                <w:sz w:val="21"/>
              </w:rPr>
            </w:pPr>
          </w:p>
        </w:tc>
        <w:tc>
          <w:tcPr>
            <w:tcW w:w="126" w:type="dxa"/>
            <w:vMerge w:val="continue"/>
            <w:tcBorders>
              <w:top w:val="nil"/>
              <w:bottom w:val="nil"/>
            </w:tcBorders>
            <w:vAlign w:val="top"/>
          </w:tcPr>
          <w:p>
            <w:pPr>
              <w:rPr>
                <w:rFonts w:ascii="Arial"/>
                <w:sz w:val="21"/>
              </w:rPr>
            </w:pPr>
          </w:p>
        </w:tc>
        <w:tc>
          <w:tcPr>
            <w:tcW w:w="280" w:type="dxa"/>
            <w:vMerge w:val="continue"/>
            <w:tcBorders>
              <w:top w:val="nil"/>
            </w:tcBorders>
            <w:textDirection w:val="tbRlV"/>
            <w:vAlign w:val="top"/>
          </w:tcPr>
          <w:p>
            <w:pPr>
              <w:rPr>
                <w:rFonts w:ascii="Arial"/>
                <w:sz w:val="21"/>
              </w:rPr>
            </w:pPr>
          </w:p>
        </w:tc>
        <w:tc>
          <w:tcPr>
            <w:tcW w:w="1064" w:type="dxa"/>
            <w:gridSpan w:val="2"/>
            <w:vMerge w:val="continue"/>
            <w:tcBorders>
              <w:top w:val="nil"/>
            </w:tcBorders>
            <w:vAlign w:val="top"/>
          </w:tcPr>
          <w:p>
            <w:pPr>
              <w:rPr>
                <w:rFonts w:ascii="Arial"/>
                <w:sz w:val="21"/>
              </w:rPr>
            </w:pPr>
          </w:p>
        </w:tc>
        <w:tc>
          <w:tcPr>
            <w:tcW w:w="524" w:type="dxa"/>
            <w:vMerge w:val="continue"/>
            <w:tcBorders>
              <w:top w:val="nil"/>
            </w:tcBorders>
            <w:vAlign w:val="top"/>
          </w:tcPr>
          <w:p>
            <w:pPr>
              <w:rPr>
                <w:rFonts w:ascii="Arial"/>
                <w:sz w:val="21"/>
              </w:rPr>
            </w:pPr>
          </w:p>
        </w:tc>
        <w:tc>
          <w:tcPr>
            <w:tcW w:w="621" w:type="dxa"/>
            <w:vMerge w:val="continue"/>
            <w:tcBorders>
              <w:top w:val="nil"/>
            </w:tcBorders>
            <w:vAlign w:val="top"/>
          </w:tcPr>
          <w:p>
            <w:pPr>
              <w:rPr>
                <w:rFonts w:ascii="Arial"/>
                <w:sz w:val="21"/>
              </w:rPr>
            </w:pPr>
          </w:p>
        </w:tc>
        <w:tc>
          <w:tcPr>
            <w:tcW w:w="480" w:type="dxa"/>
            <w:vMerge w:val="continue"/>
            <w:tcBorders>
              <w:top w:val="nil"/>
            </w:tcBorders>
            <w:vAlign w:val="top"/>
          </w:tcPr>
          <w:p>
            <w:pPr>
              <w:rPr>
                <w:rFonts w:ascii="Arial"/>
                <w:sz w:val="21"/>
              </w:rPr>
            </w:pPr>
          </w:p>
        </w:tc>
        <w:tc>
          <w:tcPr>
            <w:tcW w:w="428" w:type="dxa"/>
            <w:vMerge w:val="continue"/>
            <w:tcBorders>
              <w:top w:val="nil"/>
            </w:tcBorders>
            <w:vAlign w:val="top"/>
          </w:tcPr>
          <w:p>
            <w:pPr>
              <w:rPr>
                <w:rFonts w:ascii="Arial"/>
                <w:sz w:val="21"/>
              </w:rPr>
            </w:pPr>
          </w:p>
        </w:tc>
        <w:tc>
          <w:tcPr>
            <w:tcW w:w="784" w:type="dxa"/>
            <w:vMerge w:val="continue"/>
            <w:tcBorders>
              <w:top w:val="nil"/>
            </w:tcBorders>
            <w:vAlign w:val="top"/>
          </w:tcPr>
          <w:p>
            <w:pPr>
              <w:rPr>
                <w:rFonts w:ascii="Arial"/>
                <w:sz w:val="21"/>
              </w:rPr>
            </w:pPr>
          </w:p>
        </w:tc>
        <w:tc>
          <w:tcPr>
            <w:tcW w:w="591" w:type="dxa"/>
            <w:vMerge w:val="continue"/>
            <w:tcBorders>
              <w:top w:val="nil"/>
            </w:tcBorders>
            <w:vAlign w:val="top"/>
          </w:tcPr>
          <w:p>
            <w:pPr>
              <w:rPr>
                <w:rFonts w:ascii="Arial"/>
                <w:sz w:val="21"/>
              </w:rPr>
            </w:pPr>
          </w:p>
        </w:tc>
        <w:tc>
          <w:tcPr>
            <w:tcW w:w="741" w:type="dxa"/>
            <w:vMerge w:val="continue"/>
            <w:tcBorders>
              <w:top w:val="nil"/>
            </w:tcBorders>
            <w:vAlign w:val="top"/>
          </w:tcPr>
          <w:p>
            <w:pPr>
              <w:rPr>
                <w:rFonts w:ascii="Arial"/>
                <w:sz w:val="21"/>
              </w:rPr>
            </w:pPr>
          </w:p>
        </w:tc>
        <w:tc>
          <w:tcPr>
            <w:tcW w:w="783" w:type="dxa"/>
            <w:vAlign w:val="top"/>
          </w:tcPr>
          <w:p>
            <w:pPr>
              <w:spacing w:before="233" w:line="230" w:lineRule="auto"/>
              <w:ind w:left="239"/>
              <w:rPr>
                <w:rFonts w:ascii="宋体" w:hAnsi="宋体" w:eastAsia="宋体" w:cs="宋体"/>
                <w:sz w:val="17"/>
                <w:szCs w:val="17"/>
              </w:rPr>
            </w:pPr>
            <w:r>
              <w:rPr>
                <w:rFonts w:ascii="Times New Roman" w:hAnsi="Times New Roman" w:eastAsia="Times New Roman" w:cs="Times New Roman"/>
                <w:b/>
                <w:bCs/>
                <w:spacing w:val="4"/>
                <w:sz w:val="17"/>
                <w:szCs w:val="17"/>
              </w:rPr>
              <w:t>2</w:t>
            </w:r>
            <w:r>
              <w:rPr>
                <w:rFonts w:ascii="Times New Roman" w:hAnsi="Times New Roman" w:eastAsia="Times New Roman" w:cs="Times New Roman"/>
                <w:spacing w:val="4"/>
                <w:sz w:val="17"/>
                <w:szCs w:val="17"/>
              </w:rPr>
              <w:t xml:space="preserve"> </w:t>
            </w:r>
            <w:r>
              <w:rPr>
                <w:rFonts w:ascii="宋体" w:hAnsi="宋体" w:eastAsia="宋体" w:cs="宋体"/>
                <w:spacing w:val="4"/>
                <w:sz w:val="17"/>
                <w:szCs w:val="17"/>
                <w14:textOutline w14:w="3268" w14:cap="sq" w14:cmpd="sng">
                  <w14:solidFill>
                    <w14:srgbClr w14:val="000000"/>
                  </w14:solidFill>
                  <w14:prstDash w14:val="solid"/>
                  <w14:bevel/>
                </w14:textOutline>
              </w:rPr>
              <w:t>类</w:t>
            </w:r>
          </w:p>
        </w:tc>
        <w:tc>
          <w:tcPr>
            <w:tcW w:w="1746" w:type="dxa"/>
            <w:vMerge w:val="continue"/>
            <w:tcBorders>
              <w:top w:val="nil"/>
            </w:tcBorders>
            <w:vAlign w:val="top"/>
          </w:tcPr>
          <w:p>
            <w:pPr>
              <w:rPr>
                <w:rFonts w:ascii="Arial"/>
                <w:sz w:val="21"/>
              </w:rPr>
            </w:pPr>
          </w:p>
        </w:tc>
        <w:tc>
          <w:tcPr>
            <w:tcW w:w="13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23" w:type="dxa"/>
            <w:vMerge w:val="continue"/>
            <w:tcBorders>
              <w:top w:val="nil"/>
              <w:left w:val="single" w:color="000000" w:sz="6" w:space="0"/>
              <w:bottom w:val="nil"/>
            </w:tcBorders>
            <w:vAlign w:val="top"/>
          </w:tcPr>
          <w:p>
            <w:pPr>
              <w:rPr>
                <w:rFonts w:ascii="Arial"/>
                <w:sz w:val="21"/>
              </w:rPr>
            </w:pPr>
          </w:p>
        </w:tc>
        <w:tc>
          <w:tcPr>
            <w:tcW w:w="126" w:type="dxa"/>
            <w:vMerge w:val="continue"/>
            <w:tcBorders>
              <w:top w:val="nil"/>
              <w:bottom w:val="nil"/>
            </w:tcBorders>
            <w:vAlign w:val="top"/>
          </w:tcPr>
          <w:p>
            <w:pPr>
              <w:rPr>
                <w:rFonts w:ascii="Arial"/>
                <w:sz w:val="21"/>
              </w:rPr>
            </w:pPr>
          </w:p>
        </w:tc>
        <w:tc>
          <w:tcPr>
            <w:tcW w:w="280" w:type="dxa"/>
            <w:vMerge w:val="restart"/>
            <w:tcBorders>
              <w:bottom w:val="nil"/>
            </w:tcBorders>
            <w:vAlign w:val="top"/>
          </w:tcPr>
          <w:p>
            <w:pPr>
              <w:spacing w:line="411" w:lineRule="auto"/>
              <w:rPr>
                <w:rFonts w:ascii="Arial"/>
                <w:sz w:val="21"/>
              </w:rPr>
            </w:pPr>
          </w:p>
          <w:p>
            <w:pPr>
              <w:spacing w:before="48" w:line="197" w:lineRule="auto"/>
              <w:ind w:left="107"/>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591" w:type="dxa"/>
            <w:vMerge w:val="restart"/>
            <w:tcBorders>
              <w:bottom w:val="nil"/>
            </w:tcBorders>
            <w:vAlign w:val="top"/>
          </w:tcPr>
          <w:p>
            <w:pPr>
              <w:spacing w:before="152" w:line="232" w:lineRule="auto"/>
              <w:ind w:left="17"/>
              <w:rPr>
                <w:rFonts w:ascii="宋体" w:hAnsi="宋体" w:eastAsia="宋体" w:cs="宋体"/>
                <w:sz w:val="17"/>
                <w:szCs w:val="17"/>
              </w:rPr>
            </w:pPr>
            <w:r>
              <w:rPr>
                <w:rFonts w:ascii="宋体" w:hAnsi="宋体" w:eastAsia="宋体" w:cs="宋体"/>
                <w:spacing w:val="10"/>
                <w:sz w:val="17"/>
                <w:szCs w:val="17"/>
              </w:rPr>
              <w:t>“绿地</w:t>
            </w:r>
          </w:p>
          <w:p>
            <w:pPr>
              <w:spacing w:before="65" w:line="315" w:lineRule="auto"/>
              <w:ind w:left="133" w:right="28" w:hanging="105"/>
              <w:rPr>
                <w:rFonts w:ascii="宋体" w:hAnsi="宋体" w:eastAsia="宋体" w:cs="宋体"/>
                <w:sz w:val="17"/>
                <w:szCs w:val="17"/>
              </w:rPr>
            </w:pPr>
            <w:r>
              <w:rPr>
                <w:rFonts w:ascii="宋体" w:hAnsi="宋体" w:eastAsia="宋体" w:cs="宋体"/>
                <w:spacing w:val="7"/>
                <w:sz w:val="17"/>
                <w:szCs w:val="17"/>
              </w:rPr>
              <w:t>外</w:t>
            </w:r>
            <w:r>
              <w:rPr>
                <w:rFonts w:ascii="宋体" w:hAnsi="宋体" w:eastAsia="宋体" w:cs="宋体"/>
                <w:spacing w:val="6"/>
                <w:sz w:val="17"/>
                <w:szCs w:val="17"/>
              </w:rPr>
              <w:t>滩名</w:t>
            </w:r>
            <w:r>
              <w:rPr>
                <w:rFonts w:ascii="宋体" w:hAnsi="宋体" w:eastAsia="宋体" w:cs="宋体"/>
                <w:sz w:val="17"/>
                <w:szCs w:val="17"/>
              </w:rPr>
              <w:t xml:space="preserve"> </w:t>
            </w:r>
            <w:r>
              <w:rPr>
                <w:rFonts w:ascii="宋体" w:hAnsi="宋体" w:eastAsia="宋体" w:cs="宋体"/>
                <w:spacing w:val="39"/>
                <w:sz w:val="17"/>
                <w:szCs w:val="17"/>
              </w:rPr>
              <w:t>门</w:t>
            </w:r>
            <w:r>
              <w:rPr>
                <w:rFonts w:ascii="宋体" w:hAnsi="宋体" w:eastAsia="宋体" w:cs="宋体"/>
                <w:spacing w:val="38"/>
                <w:sz w:val="17"/>
                <w:szCs w:val="17"/>
              </w:rPr>
              <w:t>”</w:t>
            </w:r>
          </w:p>
        </w:tc>
        <w:tc>
          <w:tcPr>
            <w:tcW w:w="473" w:type="dxa"/>
            <w:vAlign w:val="top"/>
          </w:tcPr>
          <w:p>
            <w:pPr>
              <w:spacing w:before="63" w:line="242" w:lineRule="exact"/>
              <w:ind w:left="56"/>
              <w:rPr>
                <w:rFonts w:ascii="宋体" w:hAnsi="宋体" w:eastAsia="宋体" w:cs="宋体"/>
                <w:sz w:val="17"/>
                <w:szCs w:val="17"/>
              </w:rPr>
            </w:pPr>
            <w:r>
              <w:rPr>
                <w:rFonts w:ascii="Times New Roman" w:hAnsi="Times New Roman" w:eastAsia="Times New Roman" w:cs="Times New Roman"/>
                <w:spacing w:val="4"/>
                <w:position w:val="1"/>
                <w:sz w:val="17"/>
                <w:szCs w:val="17"/>
              </w:rPr>
              <w:t>6#</w:t>
            </w:r>
            <w:r>
              <w:rPr>
                <w:rFonts w:ascii="宋体" w:hAnsi="宋体" w:eastAsia="宋体" w:cs="宋体"/>
                <w:spacing w:val="4"/>
                <w:position w:val="1"/>
                <w:sz w:val="17"/>
                <w:szCs w:val="17"/>
              </w:rPr>
              <w:t>楼</w:t>
            </w:r>
          </w:p>
        </w:tc>
        <w:tc>
          <w:tcPr>
            <w:tcW w:w="524" w:type="dxa"/>
            <w:vMerge w:val="restart"/>
            <w:tcBorders>
              <w:bottom w:val="nil"/>
            </w:tcBorders>
            <w:vAlign w:val="top"/>
          </w:tcPr>
          <w:p>
            <w:pPr>
              <w:spacing w:before="152" w:line="311" w:lineRule="auto"/>
              <w:ind w:left="80" w:right="84" w:firstLine="5"/>
              <w:rPr>
                <w:rFonts w:ascii="宋体" w:hAnsi="宋体" w:eastAsia="宋体" w:cs="宋体"/>
                <w:sz w:val="17"/>
                <w:szCs w:val="17"/>
              </w:rPr>
            </w:pPr>
            <w:r>
              <w:rPr>
                <w:rFonts w:ascii="宋体" w:hAnsi="宋体" w:eastAsia="宋体" w:cs="宋体"/>
                <w:spacing w:val="4"/>
                <w:sz w:val="17"/>
                <w:szCs w:val="17"/>
              </w:rPr>
              <w:t>高家</w:t>
            </w:r>
            <w:r>
              <w:rPr>
                <w:rFonts w:ascii="宋体" w:hAnsi="宋体" w:eastAsia="宋体" w:cs="宋体"/>
                <w:sz w:val="17"/>
                <w:szCs w:val="17"/>
              </w:rPr>
              <w:t xml:space="preserve"> </w:t>
            </w:r>
            <w:r>
              <w:rPr>
                <w:rFonts w:ascii="宋体" w:hAnsi="宋体" w:eastAsia="宋体" w:cs="宋体"/>
                <w:spacing w:val="7"/>
                <w:sz w:val="17"/>
                <w:szCs w:val="17"/>
              </w:rPr>
              <w:t>坝</w:t>
            </w:r>
            <w:r>
              <w:rPr>
                <w:rFonts w:ascii="宋体" w:hAnsi="宋体" w:eastAsia="宋体" w:cs="宋体"/>
                <w:spacing w:val="6"/>
                <w:sz w:val="17"/>
                <w:szCs w:val="17"/>
              </w:rPr>
              <w:t>大</w:t>
            </w:r>
            <w:r>
              <w:rPr>
                <w:rFonts w:ascii="宋体" w:hAnsi="宋体" w:eastAsia="宋体" w:cs="宋体"/>
                <w:sz w:val="17"/>
                <w:szCs w:val="17"/>
              </w:rPr>
              <w:t xml:space="preserve"> </w:t>
            </w:r>
            <w:r>
              <w:rPr>
                <w:rFonts w:ascii="宋体" w:hAnsi="宋体" w:eastAsia="宋体" w:cs="宋体"/>
                <w:spacing w:val="7"/>
                <w:sz w:val="17"/>
                <w:szCs w:val="17"/>
              </w:rPr>
              <w:t>桥</w:t>
            </w:r>
            <w:r>
              <w:rPr>
                <w:rFonts w:ascii="宋体" w:hAnsi="宋体" w:eastAsia="宋体" w:cs="宋体"/>
                <w:spacing w:val="6"/>
                <w:sz w:val="17"/>
                <w:szCs w:val="17"/>
              </w:rPr>
              <w:t>起</w:t>
            </w:r>
          </w:p>
        </w:tc>
        <w:tc>
          <w:tcPr>
            <w:tcW w:w="621" w:type="dxa"/>
            <w:vAlign w:val="top"/>
          </w:tcPr>
          <w:p>
            <w:pPr>
              <w:spacing w:before="63" w:line="242" w:lineRule="exact"/>
              <w:ind w:left="12"/>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K</w:t>
            </w:r>
            <w:r>
              <w:rPr>
                <w:rFonts w:ascii="Times New Roman" w:hAnsi="Times New Roman" w:eastAsia="Times New Roman" w:cs="Times New Roman"/>
                <w:spacing w:val="6"/>
                <w:position w:val="2"/>
                <w:sz w:val="17"/>
                <w:szCs w:val="17"/>
              </w:rPr>
              <w:t>0+00</w:t>
            </w:r>
            <w:r>
              <w:rPr>
                <w:rFonts w:ascii="Times New Roman" w:hAnsi="Times New Roman" w:eastAsia="Times New Roman" w:cs="Times New Roman"/>
                <w:spacing w:val="5"/>
                <w:position w:val="2"/>
                <w:sz w:val="17"/>
                <w:szCs w:val="17"/>
              </w:rPr>
              <w:t>0</w:t>
            </w:r>
          </w:p>
        </w:tc>
        <w:tc>
          <w:tcPr>
            <w:tcW w:w="480" w:type="dxa"/>
            <w:vAlign w:val="top"/>
          </w:tcPr>
          <w:p>
            <w:pPr>
              <w:spacing w:before="98" w:line="230" w:lineRule="auto"/>
              <w:ind w:left="63"/>
              <w:rPr>
                <w:rFonts w:ascii="宋体" w:hAnsi="宋体" w:eastAsia="宋体" w:cs="宋体"/>
                <w:sz w:val="17"/>
                <w:szCs w:val="17"/>
              </w:rPr>
            </w:pPr>
            <w:r>
              <w:rPr>
                <w:rFonts w:ascii="宋体" w:hAnsi="宋体" w:eastAsia="宋体" w:cs="宋体"/>
                <w:spacing w:val="6"/>
                <w:sz w:val="17"/>
                <w:szCs w:val="17"/>
              </w:rPr>
              <w:t>路</w:t>
            </w:r>
            <w:r>
              <w:rPr>
                <w:rFonts w:ascii="宋体" w:hAnsi="宋体" w:eastAsia="宋体" w:cs="宋体"/>
                <w:spacing w:val="5"/>
                <w:sz w:val="17"/>
                <w:szCs w:val="17"/>
              </w:rPr>
              <w:t>基</w:t>
            </w:r>
          </w:p>
        </w:tc>
        <w:tc>
          <w:tcPr>
            <w:tcW w:w="428" w:type="dxa"/>
            <w:vAlign w:val="top"/>
          </w:tcPr>
          <w:p>
            <w:pPr>
              <w:spacing w:before="98" w:line="230" w:lineRule="auto"/>
              <w:ind w:left="42"/>
              <w:rPr>
                <w:rFonts w:ascii="宋体" w:hAnsi="宋体" w:eastAsia="宋体" w:cs="宋体"/>
                <w:sz w:val="17"/>
                <w:szCs w:val="17"/>
              </w:rPr>
            </w:pPr>
            <w:r>
              <w:rPr>
                <w:rFonts w:ascii="宋体" w:hAnsi="宋体" w:eastAsia="宋体" w:cs="宋体"/>
                <w:spacing w:val="4"/>
                <w:sz w:val="17"/>
                <w:szCs w:val="17"/>
              </w:rPr>
              <w:t>西侧</w:t>
            </w:r>
          </w:p>
        </w:tc>
        <w:tc>
          <w:tcPr>
            <w:tcW w:w="784" w:type="dxa"/>
            <w:vAlign w:val="top"/>
          </w:tcPr>
          <w:p>
            <w:pPr>
              <w:spacing w:before="126" w:line="197" w:lineRule="auto"/>
              <w:ind w:left="351"/>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591" w:type="dxa"/>
            <w:vAlign w:val="top"/>
          </w:tcPr>
          <w:p>
            <w:pPr>
              <w:spacing w:before="126" w:line="197" w:lineRule="auto"/>
              <w:ind w:left="21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5</w:t>
            </w:r>
          </w:p>
        </w:tc>
        <w:tc>
          <w:tcPr>
            <w:tcW w:w="741" w:type="dxa"/>
            <w:vAlign w:val="top"/>
          </w:tcPr>
          <w:p>
            <w:pPr>
              <w:spacing w:before="126" w:line="197" w:lineRule="auto"/>
              <w:ind w:left="28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74</w:t>
            </w:r>
          </w:p>
        </w:tc>
        <w:tc>
          <w:tcPr>
            <w:tcW w:w="783" w:type="dxa"/>
            <w:vAlign w:val="top"/>
          </w:tcPr>
          <w:p>
            <w:pPr>
              <w:spacing w:before="126" w:line="197" w:lineRule="auto"/>
              <w:ind w:left="27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50</w:t>
            </w:r>
          </w:p>
        </w:tc>
        <w:tc>
          <w:tcPr>
            <w:tcW w:w="1746" w:type="dxa"/>
            <w:vMerge w:val="restart"/>
            <w:tcBorders>
              <w:bottom w:val="nil"/>
            </w:tcBorders>
            <w:vAlign w:val="top"/>
          </w:tcPr>
          <w:p>
            <w:pPr>
              <w:spacing w:before="152" w:line="311" w:lineRule="auto"/>
              <w:ind w:left="12"/>
              <w:rPr>
                <w:rFonts w:ascii="宋体" w:hAnsi="宋体" w:eastAsia="宋体" w:cs="宋体"/>
                <w:sz w:val="17"/>
                <w:szCs w:val="17"/>
              </w:rPr>
            </w:pPr>
            <w:r>
              <w:rPr>
                <w:rFonts w:ascii="宋体" w:hAnsi="宋体" w:eastAsia="宋体" w:cs="宋体"/>
                <w:spacing w:val="3"/>
                <w:sz w:val="17"/>
                <w:szCs w:val="17"/>
              </w:rPr>
              <w:t>钢砼结构，东南朝向</w:t>
            </w:r>
            <w:r>
              <w:rPr>
                <w:rFonts w:ascii="宋体" w:hAnsi="宋体" w:eastAsia="宋体" w:cs="宋体"/>
                <w:spacing w:val="1"/>
                <w:sz w:val="17"/>
                <w:szCs w:val="17"/>
              </w:rPr>
              <w:t>，</w:t>
            </w:r>
            <w:r>
              <w:rPr>
                <w:rFonts w:ascii="宋体" w:hAnsi="宋体" w:eastAsia="宋体" w:cs="宋体"/>
                <w:sz w:val="17"/>
                <w:szCs w:val="17"/>
              </w:rPr>
              <w:t xml:space="preserve"> </w:t>
            </w:r>
            <w:r>
              <w:rPr>
                <w:rFonts w:ascii="Times New Roman" w:hAnsi="Times New Roman" w:eastAsia="Times New Roman" w:cs="Times New Roman"/>
                <w:spacing w:val="12"/>
                <w:sz w:val="17"/>
                <w:szCs w:val="17"/>
              </w:rPr>
              <w:t>2</w:t>
            </w:r>
            <w:r>
              <w:rPr>
                <w:rFonts w:ascii="Times New Roman" w:hAnsi="Times New Roman" w:eastAsia="Times New Roman" w:cs="Times New Roman"/>
                <w:spacing w:val="9"/>
                <w:sz w:val="17"/>
                <w:szCs w:val="17"/>
              </w:rPr>
              <w:t xml:space="preserve">5 </w:t>
            </w:r>
            <w:r>
              <w:rPr>
                <w:rFonts w:ascii="宋体" w:hAnsi="宋体" w:eastAsia="宋体" w:cs="宋体"/>
                <w:spacing w:val="9"/>
                <w:sz w:val="17"/>
                <w:szCs w:val="17"/>
              </w:rPr>
              <w:t>层，东南面为州河</w:t>
            </w:r>
            <w:r>
              <w:rPr>
                <w:rFonts w:ascii="宋体" w:hAnsi="宋体" w:eastAsia="宋体" w:cs="宋体"/>
                <w:sz w:val="17"/>
                <w:szCs w:val="17"/>
              </w:rPr>
              <w:t xml:space="preserve"> </w:t>
            </w:r>
            <w:r>
              <w:rPr>
                <w:rFonts w:ascii="宋体" w:hAnsi="宋体" w:eastAsia="宋体" w:cs="宋体"/>
                <w:spacing w:val="2"/>
                <w:sz w:val="17"/>
                <w:szCs w:val="17"/>
              </w:rPr>
              <w:t>及本项</w:t>
            </w:r>
            <w:r>
              <w:rPr>
                <w:rFonts w:ascii="宋体" w:hAnsi="宋体" w:eastAsia="宋体" w:cs="宋体"/>
                <w:spacing w:val="1"/>
                <w:sz w:val="17"/>
                <w:szCs w:val="17"/>
              </w:rPr>
              <w:t>目，西北面为高</w:t>
            </w:r>
          </w:p>
        </w:tc>
        <w:tc>
          <w:tcPr>
            <w:tcW w:w="13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23" w:type="dxa"/>
            <w:vMerge w:val="continue"/>
            <w:tcBorders>
              <w:top w:val="nil"/>
              <w:left w:val="single" w:color="000000" w:sz="6" w:space="0"/>
              <w:bottom w:val="nil"/>
            </w:tcBorders>
            <w:vAlign w:val="top"/>
          </w:tcPr>
          <w:p>
            <w:pPr>
              <w:rPr>
                <w:rFonts w:ascii="Arial"/>
                <w:sz w:val="21"/>
              </w:rPr>
            </w:pPr>
          </w:p>
        </w:tc>
        <w:tc>
          <w:tcPr>
            <w:tcW w:w="126" w:type="dxa"/>
            <w:vMerge w:val="continue"/>
            <w:tcBorders>
              <w:top w:val="nil"/>
              <w:bottom w:val="nil"/>
            </w:tcBorders>
            <w:vAlign w:val="top"/>
          </w:tcPr>
          <w:p>
            <w:pPr>
              <w:rPr>
                <w:rFonts w:ascii="Arial"/>
                <w:sz w:val="21"/>
              </w:rPr>
            </w:pPr>
          </w:p>
        </w:tc>
        <w:tc>
          <w:tcPr>
            <w:tcW w:w="280" w:type="dxa"/>
            <w:vMerge w:val="continue"/>
            <w:tcBorders>
              <w:top w:val="nil"/>
              <w:bottom w:val="nil"/>
            </w:tcBorders>
            <w:vAlign w:val="top"/>
          </w:tcPr>
          <w:p>
            <w:pPr>
              <w:rPr>
                <w:rFonts w:ascii="Arial"/>
                <w:sz w:val="21"/>
              </w:rPr>
            </w:pPr>
          </w:p>
        </w:tc>
        <w:tc>
          <w:tcPr>
            <w:tcW w:w="591" w:type="dxa"/>
            <w:vMerge w:val="continue"/>
            <w:tcBorders>
              <w:top w:val="nil"/>
              <w:bottom w:val="nil"/>
            </w:tcBorders>
            <w:vAlign w:val="top"/>
          </w:tcPr>
          <w:p>
            <w:pPr>
              <w:rPr>
                <w:rFonts w:ascii="Arial"/>
                <w:sz w:val="21"/>
              </w:rPr>
            </w:pPr>
          </w:p>
        </w:tc>
        <w:tc>
          <w:tcPr>
            <w:tcW w:w="473" w:type="dxa"/>
            <w:vAlign w:val="top"/>
          </w:tcPr>
          <w:p>
            <w:pPr>
              <w:spacing w:before="64" w:line="242" w:lineRule="exact"/>
              <w:ind w:left="55"/>
              <w:rPr>
                <w:rFonts w:ascii="宋体" w:hAnsi="宋体" w:eastAsia="宋体" w:cs="宋体"/>
                <w:sz w:val="17"/>
                <w:szCs w:val="17"/>
              </w:rPr>
            </w:pPr>
            <w:r>
              <w:rPr>
                <w:rFonts w:ascii="Times New Roman" w:hAnsi="Times New Roman" w:eastAsia="Times New Roman" w:cs="Times New Roman"/>
                <w:spacing w:val="5"/>
                <w:position w:val="1"/>
                <w:sz w:val="17"/>
                <w:szCs w:val="17"/>
              </w:rPr>
              <w:t>7</w:t>
            </w:r>
            <w:r>
              <w:rPr>
                <w:rFonts w:ascii="Times New Roman" w:hAnsi="Times New Roman" w:eastAsia="Times New Roman" w:cs="Times New Roman"/>
                <w:spacing w:val="4"/>
                <w:position w:val="1"/>
                <w:sz w:val="17"/>
                <w:szCs w:val="17"/>
              </w:rPr>
              <w:t>#</w:t>
            </w:r>
            <w:r>
              <w:rPr>
                <w:rFonts w:ascii="宋体" w:hAnsi="宋体" w:eastAsia="宋体" w:cs="宋体"/>
                <w:spacing w:val="4"/>
                <w:position w:val="1"/>
                <w:sz w:val="17"/>
                <w:szCs w:val="17"/>
              </w:rPr>
              <w:t>楼</w:t>
            </w:r>
          </w:p>
        </w:tc>
        <w:tc>
          <w:tcPr>
            <w:tcW w:w="524" w:type="dxa"/>
            <w:vMerge w:val="continue"/>
            <w:tcBorders>
              <w:top w:val="nil"/>
              <w:bottom w:val="nil"/>
            </w:tcBorders>
            <w:vAlign w:val="top"/>
          </w:tcPr>
          <w:p>
            <w:pPr>
              <w:rPr>
                <w:rFonts w:ascii="Arial"/>
                <w:sz w:val="21"/>
              </w:rPr>
            </w:pPr>
          </w:p>
        </w:tc>
        <w:tc>
          <w:tcPr>
            <w:tcW w:w="621" w:type="dxa"/>
            <w:vAlign w:val="top"/>
          </w:tcPr>
          <w:p>
            <w:pPr>
              <w:spacing w:before="64" w:line="242" w:lineRule="exact"/>
              <w:ind w:left="12"/>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K</w:t>
            </w:r>
            <w:r>
              <w:rPr>
                <w:rFonts w:ascii="Times New Roman" w:hAnsi="Times New Roman" w:eastAsia="Times New Roman" w:cs="Times New Roman"/>
                <w:spacing w:val="6"/>
                <w:position w:val="2"/>
                <w:sz w:val="17"/>
                <w:szCs w:val="17"/>
              </w:rPr>
              <w:t>0+00</w:t>
            </w:r>
            <w:r>
              <w:rPr>
                <w:rFonts w:ascii="Times New Roman" w:hAnsi="Times New Roman" w:eastAsia="Times New Roman" w:cs="Times New Roman"/>
                <w:spacing w:val="5"/>
                <w:position w:val="2"/>
                <w:sz w:val="17"/>
                <w:szCs w:val="17"/>
              </w:rPr>
              <w:t>0</w:t>
            </w:r>
          </w:p>
        </w:tc>
        <w:tc>
          <w:tcPr>
            <w:tcW w:w="480" w:type="dxa"/>
            <w:vAlign w:val="top"/>
          </w:tcPr>
          <w:p>
            <w:pPr>
              <w:spacing w:before="96" w:line="230" w:lineRule="auto"/>
              <w:ind w:left="63"/>
              <w:rPr>
                <w:rFonts w:ascii="宋体" w:hAnsi="宋体" w:eastAsia="宋体" w:cs="宋体"/>
                <w:sz w:val="17"/>
                <w:szCs w:val="17"/>
              </w:rPr>
            </w:pPr>
            <w:r>
              <w:rPr>
                <w:rFonts w:ascii="宋体" w:hAnsi="宋体" w:eastAsia="宋体" w:cs="宋体"/>
                <w:spacing w:val="6"/>
                <w:sz w:val="17"/>
                <w:szCs w:val="17"/>
              </w:rPr>
              <w:t>路</w:t>
            </w:r>
            <w:r>
              <w:rPr>
                <w:rFonts w:ascii="宋体" w:hAnsi="宋体" w:eastAsia="宋体" w:cs="宋体"/>
                <w:spacing w:val="5"/>
                <w:sz w:val="17"/>
                <w:szCs w:val="17"/>
              </w:rPr>
              <w:t>基</w:t>
            </w:r>
          </w:p>
        </w:tc>
        <w:tc>
          <w:tcPr>
            <w:tcW w:w="428" w:type="dxa"/>
            <w:vAlign w:val="top"/>
          </w:tcPr>
          <w:p>
            <w:pPr>
              <w:spacing w:before="96" w:line="234" w:lineRule="auto"/>
              <w:ind w:left="42"/>
              <w:rPr>
                <w:rFonts w:ascii="宋体" w:hAnsi="宋体" w:eastAsia="宋体" w:cs="宋体"/>
                <w:sz w:val="17"/>
                <w:szCs w:val="17"/>
              </w:rPr>
            </w:pPr>
            <w:r>
              <w:rPr>
                <w:rFonts w:ascii="宋体" w:hAnsi="宋体" w:eastAsia="宋体" w:cs="宋体"/>
                <w:spacing w:val="4"/>
                <w:sz w:val="17"/>
                <w:szCs w:val="17"/>
              </w:rPr>
              <w:t>西北</w:t>
            </w:r>
          </w:p>
        </w:tc>
        <w:tc>
          <w:tcPr>
            <w:tcW w:w="784" w:type="dxa"/>
            <w:vAlign w:val="top"/>
          </w:tcPr>
          <w:p>
            <w:pPr>
              <w:spacing w:before="127" w:line="197" w:lineRule="auto"/>
              <w:ind w:left="351"/>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591" w:type="dxa"/>
            <w:vAlign w:val="top"/>
          </w:tcPr>
          <w:p>
            <w:pPr>
              <w:spacing w:before="127" w:line="197" w:lineRule="auto"/>
              <w:ind w:left="21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0</w:t>
            </w:r>
          </w:p>
        </w:tc>
        <w:tc>
          <w:tcPr>
            <w:tcW w:w="741" w:type="dxa"/>
            <w:vAlign w:val="top"/>
          </w:tcPr>
          <w:p>
            <w:pPr>
              <w:spacing w:before="127" w:line="197" w:lineRule="auto"/>
              <w:ind w:left="28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6</w:t>
            </w:r>
          </w:p>
        </w:tc>
        <w:tc>
          <w:tcPr>
            <w:tcW w:w="783" w:type="dxa"/>
            <w:vAlign w:val="top"/>
          </w:tcPr>
          <w:p>
            <w:pPr>
              <w:spacing w:before="127" w:line="197" w:lineRule="auto"/>
              <w:ind w:left="27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50</w:t>
            </w:r>
          </w:p>
        </w:tc>
        <w:tc>
          <w:tcPr>
            <w:tcW w:w="1746" w:type="dxa"/>
            <w:vMerge w:val="continue"/>
            <w:tcBorders>
              <w:top w:val="nil"/>
              <w:bottom w:val="nil"/>
            </w:tcBorders>
            <w:vAlign w:val="top"/>
          </w:tcPr>
          <w:p>
            <w:pPr>
              <w:rPr>
                <w:rFonts w:ascii="Arial"/>
                <w:sz w:val="21"/>
              </w:rPr>
            </w:pPr>
          </w:p>
        </w:tc>
        <w:tc>
          <w:tcPr>
            <w:tcW w:w="13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623" w:type="dxa"/>
            <w:vMerge w:val="continue"/>
            <w:tcBorders>
              <w:top w:val="nil"/>
              <w:left w:val="single" w:color="000000" w:sz="6" w:space="0"/>
            </w:tcBorders>
            <w:vAlign w:val="top"/>
          </w:tcPr>
          <w:p>
            <w:pPr>
              <w:rPr>
                <w:rFonts w:ascii="Arial"/>
                <w:sz w:val="21"/>
              </w:rPr>
            </w:pPr>
          </w:p>
        </w:tc>
        <w:tc>
          <w:tcPr>
            <w:tcW w:w="126" w:type="dxa"/>
            <w:vMerge w:val="continue"/>
            <w:tcBorders>
              <w:top w:val="nil"/>
            </w:tcBorders>
            <w:vAlign w:val="top"/>
          </w:tcPr>
          <w:p>
            <w:pPr>
              <w:rPr>
                <w:rFonts w:ascii="Arial"/>
                <w:sz w:val="21"/>
              </w:rPr>
            </w:pPr>
          </w:p>
        </w:tc>
        <w:tc>
          <w:tcPr>
            <w:tcW w:w="280" w:type="dxa"/>
            <w:vMerge w:val="continue"/>
            <w:tcBorders>
              <w:top w:val="nil"/>
            </w:tcBorders>
            <w:vAlign w:val="top"/>
          </w:tcPr>
          <w:p>
            <w:pPr>
              <w:rPr>
                <w:rFonts w:ascii="Arial"/>
                <w:sz w:val="21"/>
              </w:rPr>
            </w:pPr>
          </w:p>
        </w:tc>
        <w:tc>
          <w:tcPr>
            <w:tcW w:w="591" w:type="dxa"/>
            <w:vMerge w:val="continue"/>
            <w:tcBorders>
              <w:top w:val="nil"/>
            </w:tcBorders>
            <w:vAlign w:val="top"/>
          </w:tcPr>
          <w:p>
            <w:pPr>
              <w:rPr>
                <w:rFonts w:ascii="Arial"/>
                <w:sz w:val="21"/>
              </w:rPr>
            </w:pPr>
          </w:p>
        </w:tc>
        <w:tc>
          <w:tcPr>
            <w:tcW w:w="473" w:type="dxa"/>
            <w:vAlign w:val="top"/>
          </w:tcPr>
          <w:p>
            <w:pPr>
              <w:spacing w:before="62" w:line="242" w:lineRule="exact"/>
              <w:ind w:left="59"/>
              <w:rPr>
                <w:rFonts w:ascii="宋体" w:hAnsi="宋体" w:eastAsia="宋体" w:cs="宋体"/>
                <w:sz w:val="17"/>
                <w:szCs w:val="17"/>
              </w:rPr>
            </w:pPr>
            <w:r>
              <w:rPr>
                <w:rFonts w:ascii="Times New Roman" w:hAnsi="Times New Roman" w:eastAsia="Times New Roman" w:cs="Times New Roman"/>
                <w:spacing w:val="3"/>
                <w:position w:val="1"/>
                <w:sz w:val="17"/>
                <w:szCs w:val="17"/>
              </w:rPr>
              <w:t>8#</w:t>
            </w:r>
            <w:r>
              <w:rPr>
                <w:rFonts w:ascii="宋体" w:hAnsi="宋体" w:eastAsia="宋体" w:cs="宋体"/>
                <w:spacing w:val="3"/>
                <w:position w:val="1"/>
                <w:sz w:val="17"/>
                <w:szCs w:val="17"/>
              </w:rPr>
              <w:t>楼</w:t>
            </w:r>
          </w:p>
        </w:tc>
        <w:tc>
          <w:tcPr>
            <w:tcW w:w="524" w:type="dxa"/>
            <w:vMerge w:val="continue"/>
            <w:tcBorders>
              <w:top w:val="nil"/>
            </w:tcBorders>
            <w:vAlign w:val="top"/>
          </w:tcPr>
          <w:p>
            <w:pPr>
              <w:rPr>
                <w:rFonts w:ascii="Arial"/>
                <w:sz w:val="21"/>
              </w:rPr>
            </w:pPr>
          </w:p>
        </w:tc>
        <w:tc>
          <w:tcPr>
            <w:tcW w:w="621" w:type="dxa"/>
            <w:vAlign w:val="top"/>
          </w:tcPr>
          <w:p>
            <w:pPr>
              <w:spacing w:before="62" w:line="242" w:lineRule="exact"/>
              <w:ind w:left="12"/>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K</w:t>
            </w:r>
            <w:r>
              <w:rPr>
                <w:rFonts w:ascii="Times New Roman" w:hAnsi="Times New Roman" w:eastAsia="Times New Roman" w:cs="Times New Roman"/>
                <w:spacing w:val="6"/>
                <w:position w:val="2"/>
                <w:sz w:val="17"/>
                <w:szCs w:val="17"/>
              </w:rPr>
              <w:t>0+00</w:t>
            </w:r>
            <w:r>
              <w:rPr>
                <w:rFonts w:ascii="Times New Roman" w:hAnsi="Times New Roman" w:eastAsia="Times New Roman" w:cs="Times New Roman"/>
                <w:spacing w:val="5"/>
                <w:position w:val="2"/>
                <w:sz w:val="17"/>
                <w:szCs w:val="17"/>
              </w:rPr>
              <w:t>0</w:t>
            </w:r>
          </w:p>
        </w:tc>
        <w:tc>
          <w:tcPr>
            <w:tcW w:w="480" w:type="dxa"/>
            <w:vAlign w:val="top"/>
          </w:tcPr>
          <w:p>
            <w:pPr>
              <w:spacing w:before="97" w:line="230" w:lineRule="auto"/>
              <w:ind w:left="63"/>
              <w:rPr>
                <w:rFonts w:ascii="宋体" w:hAnsi="宋体" w:eastAsia="宋体" w:cs="宋体"/>
                <w:sz w:val="17"/>
                <w:szCs w:val="17"/>
              </w:rPr>
            </w:pPr>
            <w:r>
              <w:rPr>
                <w:rFonts w:ascii="宋体" w:hAnsi="宋体" w:eastAsia="宋体" w:cs="宋体"/>
                <w:spacing w:val="6"/>
                <w:sz w:val="17"/>
                <w:szCs w:val="17"/>
              </w:rPr>
              <w:t>路</w:t>
            </w:r>
            <w:r>
              <w:rPr>
                <w:rFonts w:ascii="宋体" w:hAnsi="宋体" w:eastAsia="宋体" w:cs="宋体"/>
                <w:spacing w:val="5"/>
                <w:sz w:val="17"/>
                <w:szCs w:val="17"/>
              </w:rPr>
              <w:t>基</w:t>
            </w:r>
          </w:p>
        </w:tc>
        <w:tc>
          <w:tcPr>
            <w:tcW w:w="428" w:type="dxa"/>
            <w:vAlign w:val="top"/>
          </w:tcPr>
          <w:p>
            <w:pPr>
              <w:spacing w:before="97" w:line="234" w:lineRule="auto"/>
              <w:ind w:left="129"/>
              <w:rPr>
                <w:rFonts w:ascii="宋体" w:hAnsi="宋体" w:eastAsia="宋体" w:cs="宋体"/>
                <w:sz w:val="17"/>
                <w:szCs w:val="17"/>
              </w:rPr>
            </w:pPr>
            <w:r>
              <w:rPr>
                <w:rFonts w:ascii="宋体" w:hAnsi="宋体" w:eastAsia="宋体" w:cs="宋体"/>
                <w:sz w:val="17"/>
                <w:szCs w:val="17"/>
              </w:rPr>
              <w:t>北</w:t>
            </w:r>
          </w:p>
        </w:tc>
        <w:tc>
          <w:tcPr>
            <w:tcW w:w="784" w:type="dxa"/>
            <w:vAlign w:val="top"/>
          </w:tcPr>
          <w:p>
            <w:pPr>
              <w:spacing w:before="126" w:line="197" w:lineRule="auto"/>
              <w:ind w:left="351"/>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591" w:type="dxa"/>
            <w:vAlign w:val="top"/>
          </w:tcPr>
          <w:p>
            <w:pPr>
              <w:spacing w:before="126" w:line="197" w:lineRule="auto"/>
              <w:ind w:left="20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w:t>
            </w:r>
          </w:p>
        </w:tc>
        <w:tc>
          <w:tcPr>
            <w:tcW w:w="741" w:type="dxa"/>
            <w:vAlign w:val="top"/>
          </w:tcPr>
          <w:p>
            <w:pPr>
              <w:spacing w:before="126" w:line="197" w:lineRule="auto"/>
              <w:ind w:left="28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w:t>
            </w:r>
          </w:p>
        </w:tc>
        <w:tc>
          <w:tcPr>
            <w:tcW w:w="783" w:type="dxa"/>
            <w:vAlign w:val="top"/>
          </w:tcPr>
          <w:p>
            <w:pPr>
              <w:spacing w:before="126" w:line="197" w:lineRule="auto"/>
              <w:ind w:left="27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50</w:t>
            </w:r>
          </w:p>
        </w:tc>
        <w:tc>
          <w:tcPr>
            <w:tcW w:w="1746" w:type="dxa"/>
            <w:vMerge w:val="continue"/>
            <w:tcBorders>
              <w:top w:val="nil"/>
            </w:tcBorders>
            <w:vAlign w:val="top"/>
          </w:tcPr>
          <w:p>
            <w:pPr>
              <w:rPr>
                <w:rFonts w:ascii="Arial"/>
                <w:sz w:val="21"/>
              </w:rPr>
            </w:pPr>
          </w:p>
        </w:tc>
        <w:tc>
          <w:tcPr>
            <w:tcW w:w="135" w:type="dxa"/>
            <w:vMerge w:val="continue"/>
            <w:tcBorders>
              <w:top w:val="nil"/>
              <w:right w:val="single" w:color="000000" w:sz="6" w:space="0"/>
            </w:tcBorders>
            <w:vAlign w:val="top"/>
          </w:tcPr>
          <w:p>
            <w:pPr>
              <w:rPr>
                <w:rFonts w:ascii="Arial"/>
                <w:sz w:val="21"/>
              </w:rPr>
            </w:pPr>
          </w:p>
        </w:tc>
      </w:tr>
    </w:tbl>
    <w:p>
      <w:pPr>
        <w:rPr>
          <w:rFonts w:ascii="Arial"/>
          <w:sz w:val="21"/>
        </w:rPr>
      </w:pPr>
    </w:p>
    <w:p>
      <w:pPr>
        <w:sectPr>
          <w:footerReference r:id="rId69" w:type="default"/>
          <w:pgSz w:w="11906" w:h="16839"/>
          <w:pgMar w:top="400" w:right="1482" w:bottom="1475" w:left="1482" w:header="0" w:footer="1315" w:gutter="0"/>
          <w:cols w:space="720" w:num="1"/>
        </w:sectPr>
      </w:pPr>
    </w:p>
    <w:p>
      <w:r>
        <w:pict>
          <v:rect id="_x0000_s1094" o:spid="_x0000_s1094" o:spt="1" style="position:absolute;left:0pt;margin-left:111.35pt;margin-top:80.35pt;height:334.1pt;width:0.5pt;mso-position-horizontal-relative:page;mso-position-vertical-relative:page;z-index:251755520;mso-width-relative:page;mso-height-relative:page;" fillcolor="#000000" filled="t" stroked="f" coordsize="21600,21600" o:allowincell="f">
            <v:path/>
            <v:fill on="t" focussize="0,0"/>
            <v:stroke on="f"/>
            <v:imagedata o:title=""/>
            <o:lock v:ext="edit"/>
          </v:rect>
        </w:pict>
      </w:r>
      <w:r>
        <w:pict>
          <v:rect id="_x0000_s1095" o:spid="_x0000_s1095" o:spt="1" style="position:absolute;left:0pt;margin-left:514.15pt;margin-top:80.8pt;height:333.6pt;width:0.5pt;mso-position-horizontal-relative:page;mso-position-vertical-relative:page;z-index:251757568;mso-width-relative:page;mso-height-relative:page;" fillcolor="#000000" filled="t" stroked="f" coordsize="21600,21600" o:allowincell="f">
            <v:path/>
            <v:fill on="t" focussize="0,0"/>
            <v:stroke on="f"/>
            <v:imagedata o:title=""/>
            <o:lock v:ext="edit"/>
          </v:rect>
        </w:pict>
      </w:r>
      <w:r>
        <w:pict>
          <v:rect id="_x0000_s1096" o:spid="_x0000_s1096" o:spt="1" style="position:absolute;left:0pt;margin-left:111.3pt;margin-top:592.45pt;height:152.5pt;width:0.5pt;mso-position-horizontal-relative:page;mso-position-vertical-relative:page;z-index:251754496;mso-width-relative:page;mso-height-relative:page;" fillcolor="#000000" filled="t" stroked="f" coordsize="21600,21600" o:allowincell="f">
            <v:path/>
            <v:fill on="t" focussize="0,0"/>
            <v:stroke on="f"/>
            <v:imagedata o:title=""/>
            <o:lock v:ext="edit"/>
          </v:rect>
        </w:pict>
      </w:r>
      <w:r>
        <w:pict>
          <v:rect id="_x0000_s1097" o:spid="_x0000_s1097" o:spt="1" style="position:absolute;left:0pt;margin-left:514.2pt;margin-top:592.9pt;height:152pt;width:0.5pt;mso-position-horizontal-relative:page;mso-position-vertical-relative:page;z-index:251756544;mso-width-relative:page;mso-height-relative:page;" fillcolor="#000000" filled="t" stroked="f" coordsize="21600,21600" o:allowincell="f">
            <v:path/>
            <v:fill on="t" focussize="0,0"/>
            <v:stroke on="f"/>
            <v:imagedata o:title=""/>
            <o:lock v:ext="edit"/>
          </v:rect>
        </w:pict>
      </w:r>
    </w:p>
    <w:p/>
    <w:p/>
    <w:p/>
    <w:p>
      <w:pPr>
        <w:spacing w:line="221" w:lineRule="exact"/>
      </w:pPr>
    </w:p>
    <w:tbl>
      <w:tblPr>
        <w:tblStyle w:val="4"/>
        <w:tblW w:w="892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3"/>
        <w:gridCol w:w="406"/>
        <w:gridCol w:w="156"/>
        <w:gridCol w:w="435"/>
        <w:gridCol w:w="473"/>
        <w:gridCol w:w="170"/>
        <w:gridCol w:w="354"/>
        <w:gridCol w:w="462"/>
        <w:gridCol w:w="159"/>
        <w:gridCol w:w="480"/>
        <w:gridCol w:w="428"/>
        <w:gridCol w:w="784"/>
        <w:gridCol w:w="591"/>
        <w:gridCol w:w="492"/>
        <w:gridCol w:w="249"/>
        <w:gridCol w:w="783"/>
        <w:gridCol w:w="627"/>
        <w:gridCol w:w="12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623" w:type="dxa"/>
            <w:vMerge w:val="restart"/>
            <w:tcBorders>
              <w:left w:val="single" w:color="000000" w:sz="6" w:space="0"/>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59" w:lineRule="auto"/>
              <w:ind w:left="99" w:right="101" w:firstLine="1"/>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生态</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环境</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保护</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目标</w:t>
            </w:r>
          </w:p>
        </w:tc>
        <w:tc>
          <w:tcPr>
            <w:tcW w:w="406" w:type="dxa"/>
            <w:vMerge w:val="restart"/>
            <w:tcBorders>
              <w:bottom w:val="nil"/>
            </w:tcBorders>
            <w:vAlign w:val="top"/>
          </w:tcPr>
          <w:p>
            <w:pPr>
              <w:rPr>
                <w:rFonts w:ascii="Arial"/>
                <w:sz w:val="21"/>
              </w:rPr>
            </w:pPr>
          </w:p>
        </w:tc>
        <w:tc>
          <w:tcPr>
            <w:tcW w:w="591" w:type="dxa"/>
            <w:gridSpan w:val="2"/>
            <w:vMerge w:val="restart"/>
            <w:tcBorders>
              <w:bottom w:val="nil"/>
            </w:tcBorders>
            <w:vAlign w:val="top"/>
          </w:tcPr>
          <w:p>
            <w:pPr>
              <w:spacing w:before="95" w:line="231" w:lineRule="auto"/>
              <w:ind w:left="26"/>
              <w:rPr>
                <w:rFonts w:ascii="宋体" w:hAnsi="宋体" w:eastAsia="宋体" w:cs="宋体"/>
                <w:sz w:val="17"/>
                <w:szCs w:val="17"/>
              </w:rPr>
            </w:pPr>
            <w:r>
              <w:rPr>
                <w:rFonts w:ascii="宋体" w:hAnsi="宋体" w:eastAsia="宋体" w:cs="宋体"/>
                <w:spacing w:val="7"/>
                <w:sz w:val="17"/>
                <w:szCs w:val="17"/>
              </w:rPr>
              <w:t>居住小</w:t>
            </w:r>
          </w:p>
          <w:p>
            <w:pPr>
              <w:spacing w:before="68" w:line="267" w:lineRule="auto"/>
              <w:ind w:left="115" w:right="28" w:hanging="77"/>
              <w:rPr>
                <w:rFonts w:ascii="宋体" w:hAnsi="宋体" w:eastAsia="宋体" w:cs="宋体"/>
                <w:sz w:val="17"/>
                <w:szCs w:val="17"/>
              </w:rPr>
            </w:pPr>
            <w:r>
              <w:rPr>
                <w:rFonts w:ascii="宋体" w:hAnsi="宋体" w:eastAsia="宋体" w:cs="宋体"/>
                <w:spacing w:val="3"/>
                <w:sz w:val="17"/>
                <w:szCs w:val="17"/>
              </w:rPr>
              <w:t>区</w:t>
            </w:r>
            <w:r>
              <w:rPr>
                <w:rFonts w:ascii="宋体" w:hAnsi="宋体" w:eastAsia="宋体" w:cs="宋体"/>
                <w:spacing w:val="2"/>
                <w:sz w:val="17"/>
                <w:szCs w:val="17"/>
              </w:rPr>
              <w:t xml:space="preserve"> (在</w:t>
            </w:r>
            <w:r>
              <w:rPr>
                <w:rFonts w:ascii="宋体" w:hAnsi="宋体" w:eastAsia="宋体" w:cs="宋体"/>
                <w:sz w:val="17"/>
                <w:szCs w:val="17"/>
              </w:rPr>
              <w:t xml:space="preserve"> 建)</w:t>
            </w:r>
          </w:p>
        </w:tc>
        <w:tc>
          <w:tcPr>
            <w:tcW w:w="473" w:type="dxa"/>
            <w:vAlign w:val="top"/>
          </w:tcPr>
          <w:p>
            <w:pPr>
              <w:spacing w:before="84" w:line="242" w:lineRule="exact"/>
              <w:ind w:left="55"/>
              <w:rPr>
                <w:rFonts w:ascii="宋体" w:hAnsi="宋体" w:eastAsia="宋体" w:cs="宋体"/>
                <w:sz w:val="17"/>
                <w:szCs w:val="17"/>
              </w:rPr>
            </w:pPr>
            <w:r>
              <w:rPr>
                <w:rFonts w:ascii="Times New Roman" w:hAnsi="Times New Roman" w:eastAsia="Times New Roman" w:cs="Times New Roman"/>
                <w:spacing w:val="4"/>
                <w:position w:val="1"/>
                <w:sz w:val="17"/>
                <w:szCs w:val="17"/>
              </w:rPr>
              <w:t>9#</w:t>
            </w:r>
            <w:r>
              <w:rPr>
                <w:rFonts w:ascii="宋体" w:hAnsi="宋体" w:eastAsia="宋体" w:cs="宋体"/>
                <w:spacing w:val="4"/>
                <w:position w:val="1"/>
                <w:sz w:val="17"/>
                <w:szCs w:val="17"/>
              </w:rPr>
              <w:t>楼</w:t>
            </w:r>
          </w:p>
        </w:tc>
        <w:tc>
          <w:tcPr>
            <w:tcW w:w="524" w:type="dxa"/>
            <w:gridSpan w:val="2"/>
            <w:vMerge w:val="restart"/>
            <w:tcBorders>
              <w:bottom w:val="nil"/>
            </w:tcBorders>
            <w:vAlign w:val="top"/>
          </w:tcPr>
          <w:p>
            <w:pPr>
              <w:spacing w:before="94" w:line="235" w:lineRule="auto"/>
              <w:ind w:left="181"/>
              <w:rPr>
                <w:rFonts w:ascii="宋体" w:hAnsi="宋体" w:eastAsia="宋体" w:cs="宋体"/>
                <w:sz w:val="17"/>
                <w:szCs w:val="17"/>
              </w:rPr>
            </w:pPr>
            <w:r>
              <w:rPr>
                <w:rFonts w:ascii="宋体" w:hAnsi="宋体" w:eastAsia="宋体" w:cs="宋体"/>
                <w:sz w:val="17"/>
                <w:szCs w:val="17"/>
              </w:rPr>
              <w:t>点</w:t>
            </w:r>
          </w:p>
        </w:tc>
        <w:tc>
          <w:tcPr>
            <w:tcW w:w="621" w:type="dxa"/>
            <w:gridSpan w:val="2"/>
            <w:vAlign w:val="top"/>
          </w:tcPr>
          <w:p>
            <w:pPr>
              <w:spacing w:before="84" w:line="242" w:lineRule="exact"/>
              <w:ind w:left="12"/>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K</w:t>
            </w:r>
            <w:r>
              <w:rPr>
                <w:rFonts w:ascii="Times New Roman" w:hAnsi="Times New Roman" w:eastAsia="Times New Roman" w:cs="Times New Roman"/>
                <w:spacing w:val="6"/>
                <w:position w:val="2"/>
                <w:sz w:val="17"/>
                <w:szCs w:val="17"/>
              </w:rPr>
              <w:t>0+00</w:t>
            </w:r>
            <w:r>
              <w:rPr>
                <w:rFonts w:ascii="Times New Roman" w:hAnsi="Times New Roman" w:eastAsia="Times New Roman" w:cs="Times New Roman"/>
                <w:spacing w:val="5"/>
                <w:position w:val="2"/>
                <w:sz w:val="17"/>
                <w:szCs w:val="17"/>
              </w:rPr>
              <w:t>0</w:t>
            </w:r>
          </w:p>
        </w:tc>
        <w:tc>
          <w:tcPr>
            <w:tcW w:w="480" w:type="dxa"/>
            <w:vAlign w:val="top"/>
          </w:tcPr>
          <w:p>
            <w:pPr>
              <w:spacing w:before="116" w:line="230" w:lineRule="auto"/>
              <w:ind w:left="63"/>
              <w:rPr>
                <w:rFonts w:ascii="宋体" w:hAnsi="宋体" w:eastAsia="宋体" w:cs="宋体"/>
                <w:sz w:val="17"/>
                <w:szCs w:val="17"/>
              </w:rPr>
            </w:pPr>
            <w:r>
              <w:rPr>
                <w:rFonts w:ascii="宋体" w:hAnsi="宋体" w:eastAsia="宋体" w:cs="宋体"/>
                <w:spacing w:val="6"/>
                <w:sz w:val="17"/>
                <w:szCs w:val="17"/>
              </w:rPr>
              <w:t>路</w:t>
            </w:r>
            <w:r>
              <w:rPr>
                <w:rFonts w:ascii="宋体" w:hAnsi="宋体" w:eastAsia="宋体" w:cs="宋体"/>
                <w:spacing w:val="5"/>
                <w:sz w:val="17"/>
                <w:szCs w:val="17"/>
              </w:rPr>
              <w:t>基</w:t>
            </w:r>
          </w:p>
        </w:tc>
        <w:tc>
          <w:tcPr>
            <w:tcW w:w="428" w:type="dxa"/>
            <w:vAlign w:val="top"/>
          </w:tcPr>
          <w:p>
            <w:pPr>
              <w:spacing w:before="116" w:line="230" w:lineRule="auto"/>
              <w:ind w:left="44"/>
              <w:rPr>
                <w:rFonts w:ascii="宋体" w:hAnsi="宋体" w:eastAsia="宋体" w:cs="宋体"/>
                <w:sz w:val="17"/>
                <w:szCs w:val="17"/>
              </w:rPr>
            </w:pPr>
            <w:r>
              <w:rPr>
                <w:rFonts w:ascii="宋体" w:hAnsi="宋体" w:eastAsia="宋体" w:cs="宋体"/>
                <w:spacing w:val="3"/>
                <w:sz w:val="17"/>
                <w:szCs w:val="17"/>
              </w:rPr>
              <w:t>东北</w:t>
            </w:r>
          </w:p>
        </w:tc>
        <w:tc>
          <w:tcPr>
            <w:tcW w:w="784" w:type="dxa"/>
            <w:vAlign w:val="top"/>
          </w:tcPr>
          <w:p>
            <w:pPr>
              <w:spacing w:before="147" w:line="197" w:lineRule="auto"/>
              <w:ind w:left="351"/>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591" w:type="dxa"/>
            <w:vAlign w:val="top"/>
          </w:tcPr>
          <w:p>
            <w:pPr>
              <w:spacing w:before="147" w:line="197" w:lineRule="auto"/>
              <w:ind w:left="21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70</w:t>
            </w:r>
          </w:p>
        </w:tc>
        <w:tc>
          <w:tcPr>
            <w:tcW w:w="741" w:type="dxa"/>
            <w:gridSpan w:val="2"/>
            <w:vAlign w:val="top"/>
          </w:tcPr>
          <w:p>
            <w:pPr>
              <w:spacing w:before="147" w:line="197" w:lineRule="auto"/>
              <w:ind w:left="291"/>
              <w:rPr>
                <w:rFonts w:ascii="Times New Roman" w:hAnsi="Times New Roman" w:eastAsia="Times New Roman" w:cs="Times New Roman"/>
                <w:sz w:val="17"/>
                <w:szCs w:val="17"/>
              </w:rPr>
            </w:pPr>
            <w:r>
              <w:rPr>
                <w:rFonts w:ascii="Times New Roman" w:hAnsi="Times New Roman" w:eastAsia="Times New Roman" w:cs="Times New Roman"/>
                <w:sz w:val="17"/>
                <w:szCs w:val="17"/>
              </w:rPr>
              <w:t>82</w:t>
            </w:r>
          </w:p>
        </w:tc>
        <w:tc>
          <w:tcPr>
            <w:tcW w:w="783" w:type="dxa"/>
            <w:vAlign w:val="top"/>
          </w:tcPr>
          <w:p>
            <w:pPr>
              <w:spacing w:before="147" w:line="197" w:lineRule="auto"/>
              <w:ind w:left="27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50</w:t>
            </w:r>
          </w:p>
        </w:tc>
        <w:tc>
          <w:tcPr>
            <w:tcW w:w="1881" w:type="dxa"/>
            <w:gridSpan w:val="2"/>
            <w:vMerge w:val="restart"/>
            <w:tcBorders>
              <w:bottom w:val="nil"/>
              <w:right w:val="single" w:color="000000" w:sz="6" w:space="0"/>
            </w:tcBorders>
            <w:vAlign w:val="top"/>
          </w:tcPr>
          <w:p>
            <w:pPr>
              <w:spacing w:before="95" w:line="317" w:lineRule="auto"/>
              <w:ind w:left="344" w:right="124" w:hanging="329"/>
              <w:rPr>
                <w:rFonts w:ascii="宋体" w:hAnsi="宋体" w:eastAsia="宋体" w:cs="宋体"/>
                <w:sz w:val="17"/>
                <w:szCs w:val="17"/>
              </w:rPr>
            </w:pPr>
            <w:r>
              <w:rPr>
                <w:rFonts w:ascii="宋体" w:hAnsi="宋体" w:eastAsia="宋体" w:cs="宋体"/>
                <w:spacing w:val="4"/>
                <w:sz w:val="17"/>
                <w:szCs w:val="17"/>
              </w:rPr>
              <w:t>家</w:t>
            </w:r>
            <w:r>
              <w:rPr>
                <w:rFonts w:ascii="宋体" w:hAnsi="宋体" w:eastAsia="宋体" w:cs="宋体"/>
                <w:spacing w:val="3"/>
                <w:sz w:val="17"/>
                <w:szCs w:val="17"/>
              </w:rPr>
              <w:t>坝路，东北及西南面</w:t>
            </w:r>
            <w:r>
              <w:rPr>
                <w:rFonts w:ascii="宋体" w:hAnsi="宋体" w:eastAsia="宋体" w:cs="宋体"/>
                <w:sz w:val="17"/>
                <w:szCs w:val="17"/>
              </w:rPr>
              <w:t xml:space="preserve"> </w:t>
            </w:r>
            <w:r>
              <w:rPr>
                <w:rFonts w:ascii="宋体" w:hAnsi="宋体" w:eastAsia="宋体" w:cs="宋体"/>
                <w:spacing w:val="10"/>
                <w:sz w:val="17"/>
                <w:szCs w:val="17"/>
              </w:rPr>
              <w:t>为</w:t>
            </w:r>
            <w:r>
              <w:rPr>
                <w:rFonts w:ascii="宋体" w:hAnsi="宋体" w:eastAsia="宋体" w:cs="宋体"/>
                <w:spacing w:val="8"/>
                <w:sz w:val="17"/>
                <w:szCs w:val="17"/>
              </w:rPr>
              <w:t>小区住宅楼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623" w:type="dxa"/>
            <w:vMerge w:val="continue"/>
            <w:tcBorders>
              <w:top w:val="nil"/>
              <w:left w:val="single" w:color="000000" w:sz="6" w:space="0"/>
              <w:bottom w:val="nil"/>
            </w:tcBorders>
            <w:vAlign w:val="top"/>
          </w:tcPr>
          <w:p>
            <w:pPr>
              <w:rPr>
                <w:rFonts w:ascii="Arial"/>
                <w:sz w:val="21"/>
              </w:rPr>
            </w:pPr>
          </w:p>
        </w:tc>
        <w:tc>
          <w:tcPr>
            <w:tcW w:w="406" w:type="dxa"/>
            <w:vMerge w:val="continue"/>
            <w:tcBorders>
              <w:top w:val="nil"/>
              <w:bottom w:val="nil"/>
            </w:tcBorders>
            <w:vAlign w:val="top"/>
          </w:tcPr>
          <w:p>
            <w:pPr>
              <w:rPr>
                <w:rFonts w:ascii="Arial"/>
                <w:sz w:val="21"/>
              </w:rPr>
            </w:pPr>
          </w:p>
        </w:tc>
        <w:tc>
          <w:tcPr>
            <w:tcW w:w="591" w:type="dxa"/>
            <w:gridSpan w:val="2"/>
            <w:vMerge w:val="continue"/>
            <w:tcBorders>
              <w:top w:val="nil"/>
            </w:tcBorders>
            <w:vAlign w:val="top"/>
          </w:tcPr>
          <w:p>
            <w:pPr>
              <w:rPr>
                <w:rFonts w:ascii="Arial"/>
                <w:sz w:val="21"/>
              </w:rPr>
            </w:pPr>
          </w:p>
        </w:tc>
        <w:tc>
          <w:tcPr>
            <w:tcW w:w="473" w:type="dxa"/>
            <w:vAlign w:val="top"/>
          </w:tcPr>
          <w:p>
            <w:pPr>
              <w:spacing w:before="170" w:line="242" w:lineRule="exact"/>
              <w:ind w:left="26"/>
              <w:rPr>
                <w:rFonts w:ascii="宋体" w:hAnsi="宋体" w:eastAsia="宋体" w:cs="宋体"/>
                <w:sz w:val="17"/>
                <w:szCs w:val="17"/>
              </w:rPr>
            </w:pPr>
            <w:r>
              <w:rPr>
                <w:rFonts w:ascii="Times New Roman" w:hAnsi="Times New Roman" w:eastAsia="Times New Roman" w:cs="Times New Roman"/>
                <w:spacing w:val="1"/>
                <w:position w:val="1"/>
                <w:sz w:val="17"/>
                <w:szCs w:val="17"/>
              </w:rPr>
              <w:t>10</w:t>
            </w:r>
            <w:r>
              <w:rPr>
                <w:rFonts w:ascii="Times New Roman" w:hAnsi="Times New Roman" w:eastAsia="Times New Roman" w:cs="Times New Roman"/>
                <w:position w:val="1"/>
                <w:sz w:val="17"/>
                <w:szCs w:val="17"/>
              </w:rPr>
              <w:t>#</w:t>
            </w:r>
            <w:r>
              <w:rPr>
                <w:rFonts w:ascii="宋体" w:hAnsi="宋体" w:eastAsia="宋体" w:cs="宋体"/>
                <w:position w:val="1"/>
                <w:sz w:val="17"/>
                <w:szCs w:val="17"/>
              </w:rPr>
              <w:t>楼</w:t>
            </w:r>
          </w:p>
        </w:tc>
        <w:tc>
          <w:tcPr>
            <w:tcW w:w="524" w:type="dxa"/>
            <w:gridSpan w:val="2"/>
            <w:vMerge w:val="continue"/>
            <w:tcBorders>
              <w:top w:val="nil"/>
            </w:tcBorders>
            <w:vAlign w:val="top"/>
          </w:tcPr>
          <w:p>
            <w:pPr>
              <w:rPr>
                <w:rFonts w:ascii="Arial"/>
                <w:sz w:val="21"/>
              </w:rPr>
            </w:pPr>
          </w:p>
        </w:tc>
        <w:tc>
          <w:tcPr>
            <w:tcW w:w="621" w:type="dxa"/>
            <w:gridSpan w:val="2"/>
            <w:vAlign w:val="top"/>
          </w:tcPr>
          <w:p>
            <w:pPr>
              <w:spacing w:before="170" w:line="242" w:lineRule="exact"/>
              <w:ind w:left="12"/>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K</w:t>
            </w:r>
            <w:r>
              <w:rPr>
                <w:rFonts w:ascii="Times New Roman" w:hAnsi="Times New Roman" w:eastAsia="Times New Roman" w:cs="Times New Roman"/>
                <w:spacing w:val="6"/>
                <w:position w:val="2"/>
                <w:sz w:val="17"/>
                <w:szCs w:val="17"/>
              </w:rPr>
              <w:t>0+00</w:t>
            </w:r>
            <w:r>
              <w:rPr>
                <w:rFonts w:ascii="Times New Roman" w:hAnsi="Times New Roman" w:eastAsia="Times New Roman" w:cs="Times New Roman"/>
                <w:spacing w:val="5"/>
                <w:position w:val="2"/>
                <w:sz w:val="17"/>
                <w:szCs w:val="17"/>
              </w:rPr>
              <w:t>0</w:t>
            </w:r>
          </w:p>
        </w:tc>
        <w:tc>
          <w:tcPr>
            <w:tcW w:w="480" w:type="dxa"/>
            <w:vAlign w:val="top"/>
          </w:tcPr>
          <w:p>
            <w:pPr>
              <w:rPr>
                <w:rFonts w:ascii="Arial"/>
                <w:sz w:val="21"/>
              </w:rPr>
            </w:pPr>
          </w:p>
        </w:tc>
        <w:tc>
          <w:tcPr>
            <w:tcW w:w="428" w:type="dxa"/>
            <w:vAlign w:val="top"/>
          </w:tcPr>
          <w:p>
            <w:pPr>
              <w:spacing w:before="203" w:line="230" w:lineRule="auto"/>
              <w:ind w:left="44"/>
              <w:rPr>
                <w:rFonts w:ascii="宋体" w:hAnsi="宋体" w:eastAsia="宋体" w:cs="宋体"/>
                <w:sz w:val="17"/>
                <w:szCs w:val="17"/>
              </w:rPr>
            </w:pPr>
            <w:r>
              <w:rPr>
                <w:rFonts w:ascii="宋体" w:hAnsi="宋体" w:eastAsia="宋体" w:cs="宋体"/>
                <w:spacing w:val="3"/>
                <w:sz w:val="17"/>
                <w:szCs w:val="17"/>
              </w:rPr>
              <w:t>东北</w:t>
            </w:r>
          </w:p>
        </w:tc>
        <w:tc>
          <w:tcPr>
            <w:tcW w:w="784" w:type="dxa"/>
            <w:vAlign w:val="top"/>
          </w:tcPr>
          <w:p>
            <w:pPr>
              <w:spacing w:before="234" w:line="197" w:lineRule="auto"/>
              <w:ind w:left="351"/>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591" w:type="dxa"/>
            <w:vAlign w:val="top"/>
          </w:tcPr>
          <w:p>
            <w:pPr>
              <w:spacing w:before="234" w:line="197" w:lineRule="auto"/>
              <w:ind w:left="17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00</w:t>
            </w:r>
          </w:p>
        </w:tc>
        <w:tc>
          <w:tcPr>
            <w:tcW w:w="741" w:type="dxa"/>
            <w:gridSpan w:val="2"/>
            <w:vAlign w:val="top"/>
          </w:tcPr>
          <w:p>
            <w:pPr>
              <w:spacing w:before="234" w:line="197" w:lineRule="auto"/>
              <w:ind w:left="2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22</w:t>
            </w:r>
          </w:p>
        </w:tc>
        <w:tc>
          <w:tcPr>
            <w:tcW w:w="783" w:type="dxa"/>
            <w:vAlign w:val="top"/>
          </w:tcPr>
          <w:p>
            <w:pPr>
              <w:spacing w:before="234" w:line="197" w:lineRule="auto"/>
              <w:ind w:left="27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50</w:t>
            </w:r>
          </w:p>
        </w:tc>
        <w:tc>
          <w:tcPr>
            <w:tcW w:w="1881" w:type="dxa"/>
            <w:gridSpan w:val="2"/>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4" w:hRule="atLeast"/>
        </w:trPr>
        <w:tc>
          <w:tcPr>
            <w:tcW w:w="623" w:type="dxa"/>
            <w:vMerge w:val="continue"/>
            <w:tcBorders>
              <w:top w:val="nil"/>
              <w:left w:val="single" w:color="000000" w:sz="6" w:space="0"/>
              <w:bottom w:val="nil"/>
            </w:tcBorders>
            <w:vAlign w:val="top"/>
          </w:tcPr>
          <w:p>
            <w:pPr>
              <w:rPr>
                <w:rFonts w:ascii="Arial"/>
                <w:sz w:val="21"/>
              </w:rPr>
            </w:pPr>
          </w:p>
        </w:tc>
        <w:tc>
          <w:tcPr>
            <w:tcW w:w="406" w:type="dxa"/>
            <w:vMerge w:val="continue"/>
            <w:tcBorders>
              <w:top w:val="nil"/>
            </w:tcBorders>
            <w:vAlign w:val="top"/>
          </w:tcPr>
          <w:p>
            <w:pPr>
              <w:rPr>
                <w:rFonts w:ascii="Arial"/>
                <w:sz w:val="21"/>
              </w:rPr>
            </w:pPr>
          </w:p>
        </w:tc>
        <w:tc>
          <w:tcPr>
            <w:tcW w:w="7897" w:type="dxa"/>
            <w:gridSpan w:val="16"/>
            <w:tcBorders>
              <w:right w:val="single" w:color="000000" w:sz="6" w:space="0"/>
            </w:tcBorders>
            <w:vAlign w:val="top"/>
          </w:tcPr>
          <w:p>
            <w:pPr>
              <w:spacing w:line="2120" w:lineRule="exact"/>
              <w:ind w:firstLine="99"/>
              <w:textAlignment w:val="center"/>
            </w:pPr>
            <w:r>
              <w:drawing>
                <wp:inline distT="0" distB="0" distL="0" distR="0">
                  <wp:extent cx="4797425" cy="1346200"/>
                  <wp:effectExtent l="0" t="0" r="0" b="0"/>
                  <wp:docPr id="101" name="IM 101"/>
                  <wp:cNvGraphicFramePr/>
                  <a:graphic xmlns:a="http://schemas.openxmlformats.org/drawingml/2006/main">
                    <a:graphicData uri="http://schemas.openxmlformats.org/drawingml/2006/picture">
                      <pic:pic xmlns:pic="http://schemas.openxmlformats.org/drawingml/2006/picture">
                        <pic:nvPicPr>
                          <pic:cNvPr id="101" name="IM 101"/>
                          <pic:cNvPicPr/>
                        </pic:nvPicPr>
                        <pic:blipFill>
                          <a:blip r:embed="rId245"/>
                          <a:stretch>
                            <a:fillRect/>
                          </a:stretch>
                        </pic:blipFill>
                        <pic:spPr>
                          <a:xfrm>
                            <a:off x="0" y="0"/>
                            <a:ext cx="4797552" cy="1346581"/>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623" w:type="dxa"/>
            <w:vMerge w:val="continue"/>
            <w:tcBorders>
              <w:top w:val="nil"/>
              <w:left w:val="single" w:color="000000" w:sz="6" w:space="0"/>
              <w:bottom w:val="nil"/>
            </w:tcBorders>
            <w:vAlign w:val="top"/>
          </w:tcPr>
          <w:p>
            <w:pPr>
              <w:rPr>
                <w:rFonts w:ascii="Arial"/>
                <w:sz w:val="21"/>
              </w:rPr>
            </w:pPr>
          </w:p>
        </w:tc>
        <w:tc>
          <w:tcPr>
            <w:tcW w:w="406"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48" w:line="197" w:lineRule="auto"/>
              <w:ind w:left="21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1064" w:type="dxa"/>
            <w:gridSpan w:val="3"/>
            <w:vAlign w:val="top"/>
          </w:tcPr>
          <w:p>
            <w:pPr>
              <w:spacing w:line="294" w:lineRule="auto"/>
              <w:rPr>
                <w:rFonts w:ascii="Arial"/>
                <w:sz w:val="21"/>
              </w:rPr>
            </w:pPr>
          </w:p>
          <w:p>
            <w:pPr>
              <w:spacing w:before="55" w:line="231" w:lineRule="auto"/>
              <w:ind w:left="62"/>
              <w:rPr>
                <w:rFonts w:ascii="宋体" w:hAnsi="宋体" w:eastAsia="宋体" w:cs="宋体"/>
                <w:sz w:val="17"/>
                <w:szCs w:val="17"/>
              </w:rPr>
            </w:pPr>
            <w:r>
              <w:rPr>
                <w:rFonts w:ascii="Times New Roman" w:hAnsi="Times New Roman" w:eastAsia="Times New Roman" w:cs="Times New Roman"/>
                <w:spacing w:val="13"/>
                <w:sz w:val="17"/>
                <w:szCs w:val="17"/>
              </w:rPr>
              <w:t>“</w:t>
            </w:r>
            <w:r>
              <w:rPr>
                <w:rFonts w:ascii="宋体" w:hAnsi="宋体" w:eastAsia="宋体" w:cs="宋体"/>
                <w:spacing w:val="13"/>
                <w:sz w:val="17"/>
                <w:szCs w:val="17"/>
              </w:rPr>
              <w:t>宏义</w:t>
            </w:r>
            <w:r>
              <w:rPr>
                <w:rFonts w:ascii="Times New Roman" w:hAnsi="Times New Roman" w:eastAsia="Times New Roman" w:cs="Times New Roman"/>
                <w:spacing w:val="13"/>
                <w:sz w:val="17"/>
                <w:szCs w:val="17"/>
              </w:rPr>
              <w:t>·</w:t>
            </w:r>
            <w:r>
              <w:rPr>
                <w:rFonts w:ascii="宋体" w:hAnsi="宋体" w:eastAsia="宋体" w:cs="宋体"/>
                <w:spacing w:val="13"/>
                <w:sz w:val="17"/>
                <w:szCs w:val="17"/>
              </w:rPr>
              <w:t>江湾</w:t>
            </w:r>
          </w:p>
          <w:p>
            <w:pPr>
              <w:spacing w:before="68" w:line="230" w:lineRule="auto"/>
              <w:ind w:left="221"/>
              <w:rPr>
                <w:rFonts w:ascii="宋体" w:hAnsi="宋体" w:eastAsia="宋体" w:cs="宋体"/>
                <w:sz w:val="17"/>
                <w:szCs w:val="17"/>
              </w:rPr>
            </w:pPr>
            <w:r>
              <w:rPr>
                <w:rFonts w:ascii="宋体" w:hAnsi="宋体" w:eastAsia="宋体" w:cs="宋体"/>
                <w:spacing w:val="8"/>
                <w:sz w:val="17"/>
                <w:szCs w:val="17"/>
              </w:rPr>
              <w:t>城</w:t>
            </w:r>
            <w:r>
              <w:rPr>
                <w:rFonts w:ascii="Times New Roman" w:hAnsi="Times New Roman" w:eastAsia="Times New Roman" w:cs="Times New Roman"/>
                <w:spacing w:val="6"/>
                <w:sz w:val="17"/>
                <w:szCs w:val="17"/>
              </w:rPr>
              <w:t>”</w:t>
            </w:r>
            <w:r>
              <w:rPr>
                <w:rFonts w:ascii="宋体" w:hAnsi="宋体" w:eastAsia="宋体" w:cs="宋体"/>
                <w:spacing w:val="6"/>
                <w:sz w:val="17"/>
                <w:szCs w:val="17"/>
              </w:rPr>
              <w:t>小区</w:t>
            </w:r>
          </w:p>
          <w:p>
            <w:pPr>
              <w:spacing w:before="66" w:line="230" w:lineRule="auto"/>
              <w:ind w:left="60"/>
              <w:rPr>
                <w:rFonts w:ascii="宋体" w:hAnsi="宋体" w:eastAsia="宋体" w:cs="宋体"/>
                <w:sz w:val="17"/>
                <w:szCs w:val="17"/>
              </w:rPr>
            </w:pPr>
            <w:r>
              <w:rPr>
                <w:rFonts w:ascii="Times New Roman" w:hAnsi="Times New Roman" w:eastAsia="Times New Roman" w:cs="Times New Roman"/>
                <w:spacing w:val="1"/>
                <w:sz w:val="17"/>
                <w:szCs w:val="17"/>
              </w:rPr>
              <w:t>5</w:t>
            </w:r>
            <w:r>
              <w:rPr>
                <w:rFonts w:ascii="Times New Roman" w:hAnsi="Times New Roman" w:eastAsia="Times New Roman" w:cs="Times New Roman"/>
                <w:sz w:val="17"/>
                <w:szCs w:val="17"/>
              </w:rPr>
              <w:t xml:space="preserve"> </w:t>
            </w:r>
            <w:r>
              <w:rPr>
                <w:rFonts w:ascii="宋体" w:hAnsi="宋体" w:eastAsia="宋体" w:cs="宋体"/>
                <w:sz w:val="17"/>
                <w:szCs w:val="17"/>
              </w:rPr>
              <w:t xml:space="preserve">期 </w:t>
            </w:r>
            <w:r>
              <w:rPr>
                <w:rFonts w:ascii="Times New Roman" w:hAnsi="Times New Roman" w:eastAsia="Times New Roman" w:cs="Times New Roman"/>
                <w:sz w:val="17"/>
                <w:szCs w:val="17"/>
              </w:rPr>
              <w:t xml:space="preserve">15 </w:t>
            </w:r>
            <w:r>
              <w:rPr>
                <w:rFonts w:ascii="宋体" w:hAnsi="宋体" w:eastAsia="宋体" w:cs="宋体"/>
                <w:sz w:val="17"/>
                <w:szCs w:val="17"/>
              </w:rPr>
              <w:t>号楼</w:t>
            </w:r>
          </w:p>
        </w:tc>
        <w:tc>
          <w:tcPr>
            <w:tcW w:w="524" w:type="dxa"/>
            <w:gridSpan w:val="2"/>
            <w:vAlign w:val="top"/>
          </w:tcPr>
          <w:p>
            <w:pPr>
              <w:spacing w:before="212" w:line="230" w:lineRule="auto"/>
              <w:ind w:left="86"/>
              <w:rPr>
                <w:rFonts w:ascii="宋体" w:hAnsi="宋体" w:eastAsia="宋体" w:cs="宋体"/>
                <w:sz w:val="17"/>
                <w:szCs w:val="17"/>
              </w:rPr>
            </w:pPr>
            <w:r>
              <w:rPr>
                <w:rFonts w:ascii="宋体" w:hAnsi="宋体" w:eastAsia="宋体" w:cs="宋体"/>
                <w:spacing w:val="4"/>
                <w:sz w:val="17"/>
                <w:szCs w:val="17"/>
              </w:rPr>
              <w:t>高家</w:t>
            </w:r>
          </w:p>
          <w:p>
            <w:pPr>
              <w:spacing w:before="66" w:line="231" w:lineRule="auto"/>
              <w:ind w:left="80"/>
              <w:rPr>
                <w:rFonts w:ascii="宋体" w:hAnsi="宋体" w:eastAsia="宋体" w:cs="宋体"/>
                <w:sz w:val="17"/>
                <w:szCs w:val="17"/>
              </w:rPr>
            </w:pPr>
            <w:r>
              <w:rPr>
                <w:rFonts w:ascii="宋体" w:hAnsi="宋体" w:eastAsia="宋体" w:cs="宋体"/>
                <w:spacing w:val="7"/>
                <w:sz w:val="17"/>
                <w:szCs w:val="17"/>
              </w:rPr>
              <w:t>坝</w:t>
            </w:r>
            <w:r>
              <w:rPr>
                <w:rFonts w:ascii="宋体" w:hAnsi="宋体" w:eastAsia="宋体" w:cs="宋体"/>
                <w:spacing w:val="6"/>
                <w:sz w:val="17"/>
                <w:szCs w:val="17"/>
              </w:rPr>
              <w:t>大</w:t>
            </w:r>
          </w:p>
          <w:p>
            <w:pPr>
              <w:spacing w:before="68" w:line="231" w:lineRule="auto"/>
              <w:ind w:left="81"/>
              <w:rPr>
                <w:rFonts w:ascii="宋体" w:hAnsi="宋体" w:eastAsia="宋体" w:cs="宋体"/>
                <w:sz w:val="17"/>
                <w:szCs w:val="17"/>
              </w:rPr>
            </w:pPr>
            <w:r>
              <w:rPr>
                <w:rFonts w:ascii="宋体" w:hAnsi="宋体" w:eastAsia="宋体" w:cs="宋体"/>
                <w:spacing w:val="6"/>
                <w:sz w:val="17"/>
                <w:szCs w:val="17"/>
              </w:rPr>
              <w:t>桥终</w:t>
            </w:r>
          </w:p>
          <w:p>
            <w:pPr>
              <w:spacing w:before="67" w:line="235" w:lineRule="auto"/>
              <w:ind w:left="181"/>
              <w:rPr>
                <w:rFonts w:ascii="宋体" w:hAnsi="宋体" w:eastAsia="宋体" w:cs="宋体"/>
                <w:sz w:val="17"/>
                <w:szCs w:val="17"/>
              </w:rPr>
            </w:pPr>
            <w:r>
              <w:rPr>
                <w:rFonts w:ascii="宋体" w:hAnsi="宋体" w:eastAsia="宋体" w:cs="宋体"/>
                <w:sz w:val="17"/>
                <w:szCs w:val="17"/>
              </w:rPr>
              <w:t>点</w:t>
            </w:r>
          </w:p>
        </w:tc>
        <w:tc>
          <w:tcPr>
            <w:tcW w:w="621" w:type="dxa"/>
            <w:gridSpan w:val="2"/>
            <w:vAlign w:val="top"/>
          </w:tcPr>
          <w:p>
            <w:pPr>
              <w:spacing w:line="272" w:lineRule="auto"/>
              <w:rPr>
                <w:rFonts w:ascii="Arial"/>
                <w:sz w:val="21"/>
              </w:rPr>
            </w:pPr>
          </w:p>
          <w:p>
            <w:pPr>
              <w:spacing w:line="272" w:lineRule="auto"/>
              <w:rPr>
                <w:rFonts w:ascii="Arial"/>
                <w:sz w:val="21"/>
              </w:rPr>
            </w:pPr>
          </w:p>
          <w:p>
            <w:pPr>
              <w:spacing w:before="49" w:line="242" w:lineRule="exact"/>
              <w:ind w:left="12"/>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K</w:t>
            </w:r>
            <w:r>
              <w:rPr>
                <w:rFonts w:ascii="Times New Roman" w:hAnsi="Times New Roman" w:eastAsia="Times New Roman" w:cs="Times New Roman"/>
                <w:spacing w:val="6"/>
                <w:position w:val="2"/>
                <w:sz w:val="17"/>
                <w:szCs w:val="17"/>
              </w:rPr>
              <w:t>0+28</w:t>
            </w:r>
            <w:r>
              <w:rPr>
                <w:rFonts w:ascii="Times New Roman" w:hAnsi="Times New Roman" w:eastAsia="Times New Roman" w:cs="Times New Roman"/>
                <w:spacing w:val="5"/>
                <w:position w:val="2"/>
                <w:sz w:val="17"/>
                <w:szCs w:val="17"/>
              </w:rPr>
              <w:t>0</w:t>
            </w:r>
          </w:p>
        </w:tc>
        <w:tc>
          <w:tcPr>
            <w:tcW w:w="480" w:type="dxa"/>
            <w:vAlign w:val="top"/>
          </w:tcPr>
          <w:p>
            <w:pPr>
              <w:spacing w:line="286" w:lineRule="auto"/>
              <w:rPr>
                <w:rFonts w:ascii="Arial"/>
                <w:sz w:val="21"/>
              </w:rPr>
            </w:pPr>
          </w:p>
          <w:p>
            <w:pPr>
              <w:spacing w:line="287" w:lineRule="auto"/>
              <w:rPr>
                <w:rFonts w:ascii="Arial"/>
                <w:sz w:val="21"/>
              </w:rPr>
            </w:pPr>
          </w:p>
          <w:p>
            <w:pPr>
              <w:spacing w:before="55" w:line="230" w:lineRule="auto"/>
              <w:ind w:left="63"/>
              <w:rPr>
                <w:rFonts w:ascii="宋体" w:hAnsi="宋体" w:eastAsia="宋体" w:cs="宋体"/>
                <w:sz w:val="17"/>
                <w:szCs w:val="17"/>
              </w:rPr>
            </w:pPr>
            <w:r>
              <w:rPr>
                <w:rFonts w:ascii="宋体" w:hAnsi="宋体" w:eastAsia="宋体" w:cs="宋体"/>
                <w:spacing w:val="6"/>
                <w:sz w:val="17"/>
                <w:szCs w:val="17"/>
              </w:rPr>
              <w:t>路</w:t>
            </w:r>
            <w:r>
              <w:rPr>
                <w:rFonts w:ascii="宋体" w:hAnsi="宋体" w:eastAsia="宋体" w:cs="宋体"/>
                <w:spacing w:val="5"/>
                <w:sz w:val="17"/>
                <w:szCs w:val="17"/>
              </w:rPr>
              <w:t>基</w:t>
            </w:r>
          </w:p>
        </w:tc>
        <w:tc>
          <w:tcPr>
            <w:tcW w:w="428" w:type="dxa"/>
            <w:vAlign w:val="top"/>
          </w:tcPr>
          <w:p>
            <w:pPr>
              <w:spacing w:line="286" w:lineRule="auto"/>
              <w:rPr>
                <w:rFonts w:ascii="Arial"/>
                <w:sz w:val="21"/>
              </w:rPr>
            </w:pPr>
          </w:p>
          <w:p>
            <w:pPr>
              <w:spacing w:line="287" w:lineRule="auto"/>
              <w:rPr>
                <w:rFonts w:ascii="Arial"/>
                <w:sz w:val="21"/>
              </w:rPr>
            </w:pPr>
          </w:p>
          <w:p>
            <w:pPr>
              <w:spacing w:before="55" w:line="232" w:lineRule="auto"/>
              <w:ind w:left="42"/>
              <w:rPr>
                <w:rFonts w:ascii="宋体" w:hAnsi="宋体" w:eastAsia="宋体" w:cs="宋体"/>
                <w:sz w:val="17"/>
                <w:szCs w:val="17"/>
              </w:rPr>
            </w:pPr>
            <w:r>
              <w:rPr>
                <w:rFonts w:ascii="宋体" w:hAnsi="宋体" w:eastAsia="宋体" w:cs="宋体"/>
                <w:spacing w:val="4"/>
                <w:sz w:val="17"/>
                <w:szCs w:val="17"/>
              </w:rPr>
              <w:t>西南</w:t>
            </w:r>
          </w:p>
        </w:tc>
        <w:tc>
          <w:tcPr>
            <w:tcW w:w="784" w:type="dxa"/>
            <w:vAlign w:val="top"/>
          </w:tcPr>
          <w:p>
            <w:pPr>
              <w:spacing w:line="303" w:lineRule="auto"/>
              <w:rPr>
                <w:rFonts w:ascii="Arial"/>
                <w:sz w:val="21"/>
              </w:rPr>
            </w:pPr>
          </w:p>
          <w:p>
            <w:pPr>
              <w:spacing w:line="304" w:lineRule="auto"/>
              <w:rPr>
                <w:rFonts w:ascii="Arial"/>
                <w:sz w:val="21"/>
              </w:rPr>
            </w:pPr>
          </w:p>
          <w:p>
            <w:pPr>
              <w:spacing w:before="49" w:line="197" w:lineRule="auto"/>
              <w:ind w:left="351"/>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591" w:type="dxa"/>
            <w:vAlign w:val="top"/>
          </w:tcPr>
          <w:p>
            <w:pPr>
              <w:spacing w:line="303" w:lineRule="auto"/>
              <w:rPr>
                <w:rFonts w:ascii="Arial"/>
                <w:sz w:val="21"/>
              </w:rPr>
            </w:pPr>
          </w:p>
          <w:p>
            <w:pPr>
              <w:spacing w:line="304" w:lineRule="auto"/>
              <w:rPr>
                <w:rFonts w:ascii="Arial"/>
                <w:sz w:val="21"/>
              </w:rPr>
            </w:pPr>
          </w:p>
          <w:p>
            <w:pPr>
              <w:spacing w:before="49" w:line="197" w:lineRule="auto"/>
              <w:ind w:left="21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70</w:t>
            </w:r>
          </w:p>
        </w:tc>
        <w:tc>
          <w:tcPr>
            <w:tcW w:w="741" w:type="dxa"/>
            <w:gridSpan w:val="2"/>
            <w:vAlign w:val="top"/>
          </w:tcPr>
          <w:p>
            <w:pPr>
              <w:spacing w:line="303" w:lineRule="auto"/>
              <w:rPr>
                <w:rFonts w:ascii="Arial"/>
                <w:sz w:val="21"/>
              </w:rPr>
            </w:pPr>
          </w:p>
          <w:p>
            <w:pPr>
              <w:spacing w:line="304" w:lineRule="auto"/>
              <w:rPr>
                <w:rFonts w:ascii="Arial"/>
                <w:sz w:val="21"/>
              </w:rPr>
            </w:pPr>
          </w:p>
          <w:p>
            <w:pPr>
              <w:spacing w:before="49" w:line="197" w:lineRule="auto"/>
              <w:ind w:left="2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50</w:t>
            </w:r>
          </w:p>
        </w:tc>
        <w:tc>
          <w:tcPr>
            <w:tcW w:w="783" w:type="dxa"/>
            <w:vAlign w:val="top"/>
          </w:tcPr>
          <w:p>
            <w:pPr>
              <w:spacing w:line="303" w:lineRule="auto"/>
              <w:rPr>
                <w:rFonts w:ascii="Arial"/>
                <w:sz w:val="21"/>
              </w:rPr>
            </w:pPr>
          </w:p>
          <w:p>
            <w:pPr>
              <w:spacing w:line="304" w:lineRule="auto"/>
              <w:rPr>
                <w:rFonts w:ascii="Arial"/>
                <w:sz w:val="21"/>
              </w:rPr>
            </w:pPr>
          </w:p>
          <w:p>
            <w:pPr>
              <w:spacing w:before="49" w:line="197" w:lineRule="auto"/>
              <w:ind w:left="27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98</w:t>
            </w:r>
          </w:p>
        </w:tc>
        <w:tc>
          <w:tcPr>
            <w:tcW w:w="1881" w:type="dxa"/>
            <w:gridSpan w:val="2"/>
            <w:tcBorders>
              <w:right w:val="single" w:color="000000" w:sz="6" w:space="0"/>
            </w:tcBorders>
            <w:vAlign w:val="top"/>
          </w:tcPr>
          <w:p>
            <w:pPr>
              <w:spacing w:before="70" w:line="231" w:lineRule="auto"/>
              <w:ind w:left="12"/>
              <w:rPr>
                <w:rFonts w:ascii="宋体" w:hAnsi="宋体" w:eastAsia="宋体" w:cs="宋体"/>
                <w:sz w:val="17"/>
                <w:szCs w:val="17"/>
              </w:rPr>
            </w:pPr>
            <w:r>
              <w:rPr>
                <w:rFonts w:ascii="宋体" w:hAnsi="宋体" w:eastAsia="宋体" w:cs="宋体"/>
                <w:spacing w:val="12"/>
                <w:sz w:val="17"/>
                <w:szCs w:val="17"/>
              </w:rPr>
              <w:t>钢</w:t>
            </w:r>
            <w:r>
              <w:rPr>
                <w:rFonts w:ascii="宋体" w:hAnsi="宋体" w:eastAsia="宋体" w:cs="宋体"/>
                <w:spacing w:val="8"/>
                <w:sz w:val="17"/>
                <w:szCs w:val="17"/>
              </w:rPr>
              <w:t>砼结构，西北朝向，</w:t>
            </w:r>
          </w:p>
          <w:p>
            <w:pPr>
              <w:spacing w:before="68" w:line="230" w:lineRule="auto"/>
              <w:ind w:left="49"/>
              <w:rPr>
                <w:rFonts w:ascii="宋体" w:hAnsi="宋体" w:eastAsia="宋体" w:cs="宋体"/>
                <w:sz w:val="17"/>
                <w:szCs w:val="17"/>
              </w:rPr>
            </w:pPr>
            <w:r>
              <w:rPr>
                <w:rFonts w:ascii="Times New Roman" w:hAnsi="Times New Roman" w:eastAsia="Times New Roman" w:cs="Times New Roman"/>
                <w:spacing w:val="14"/>
                <w:sz w:val="17"/>
                <w:szCs w:val="17"/>
              </w:rPr>
              <w:t>3</w:t>
            </w:r>
            <w:r>
              <w:rPr>
                <w:rFonts w:ascii="Times New Roman" w:hAnsi="Times New Roman" w:eastAsia="Times New Roman" w:cs="Times New Roman"/>
                <w:spacing w:val="8"/>
                <w:sz w:val="17"/>
                <w:szCs w:val="17"/>
              </w:rPr>
              <w:t>3</w:t>
            </w:r>
            <w:r>
              <w:rPr>
                <w:rFonts w:ascii="Times New Roman" w:hAnsi="Times New Roman" w:eastAsia="Times New Roman" w:cs="Times New Roman"/>
                <w:spacing w:val="7"/>
                <w:sz w:val="17"/>
                <w:szCs w:val="17"/>
              </w:rPr>
              <w:t xml:space="preserve"> </w:t>
            </w:r>
            <w:r>
              <w:rPr>
                <w:rFonts w:ascii="宋体" w:hAnsi="宋体" w:eastAsia="宋体" w:cs="宋体"/>
                <w:spacing w:val="7"/>
                <w:sz w:val="17"/>
                <w:szCs w:val="17"/>
              </w:rPr>
              <w:t>层，西北面为江湾</w:t>
            </w:r>
          </w:p>
          <w:p>
            <w:pPr>
              <w:spacing w:before="69" w:line="229" w:lineRule="auto"/>
              <w:ind w:left="15"/>
              <w:rPr>
                <w:rFonts w:ascii="宋体" w:hAnsi="宋体" w:eastAsia="宋体" w:cs="宋体"/>
                <w:sz w:val="17"/>
                <w:szCs w:val="17"/>
              </w:rPr>
            </w:pPr>
            <w:r>
              <w:rPr>
                <w:rFonts w:ascii="宋体" w:hAnsi="宋体" w:eastAsia="宋体" w:cs="宋体"/>
                <w:spacing w:val="4"/>
                <w:sz w:val="17"/>
                <w:szCs w:val="17"/>
              </w:rPr>
              <w:t>路</w:t>
            </w:r>
            <w:r>
              <w:rPr>
                <w:rFonts w:ascii="宋体" w:hAnsi="宋体" w:eastAsia="宋体" w:cs="宋体"/>
                <w:spacing w:val="3"/>
                <w:sz w:val="17"/>
                <w:szCs w:val="17"/>
              </w:rPr>
              <w:t>及州河、西北面为本</w:t>
            </w:r>
          </w:p>
          <w:p>
            <w:pPr>
              <w:spacing w:before="67" w:line="231" w:lineRule="auto"/>
              <w:ind w:left="76"/>
              <w:rPr>
                <w:rFonts w:ascii="宋体" w:hAnsi="宋体" w:eastAsia="宋体" w:cs="宋体"/>
                <w:sz w:val="17"/>
                <w:szCs w:val="17"/>
              </w:rPr>
            </w:pPr>
            <w:r>
              <w:rPr>
                <w:rFonts w:ascii="宋体" w:hAnsi="宋体" w:eastAsia="宋体" w:cs="宋体"/>
                <w:spacing w:val="9"/>
                <w:sz w:val="17"/>
                <w:szCs w:val="17"/>
              </w:rPr>
              <w:t>项目，东面为包茂</w:t>
            </w:r>
            <w:r>
              <w:rPr>
                <w:rFonts w:ascii="宋体" w:hAnsi="宋体" w:eastAsia="宋体" w:cs="宋体"/>
                <w:spacing w:val="8"/>
                <w:sz w:val="17"/>
                <w:szCs w:val="17"/>
              </w:rPr>
              <w:t>高</w:t>
            </w:r>
          </w:p>
          <w:p>
            <w:pPr>
              <w:spacing w:before="68" w:line="231" w:lineRule="auto"/>
              <w:ind w:left="12"/>
              <w:rPr>
                <w:rFonts w:ascii="宋体" w:hAnsi="宋体" w:eastAsia="宋体" w:cs="宋体"/>
                <w:sz w:val="17"/>
                <w:szCs w:val="17"/>
              </w:rPr>
            </w:pPr>
            <w:r>
              <w:rPr>
                <w:rFonts w:ascii="宋体" w:hAnsi="宋体" w:eastAsia="宋体" w:cs="宋体"/>
                <w:spacing w:val="6"/>
                <w:sz w:val="17"/>
                <w:szCs w:val="17"/>
              </w:rPr>
              <w:t>速</w:t>
            </w:r>
            <w:r>
              <w:rPr>
                <w:rFonts w:ascii="宋体" w:hAnsi="宋体" w:eastAsia="宋体" w:cs="宋体"/>
                <w:spacing w:val="3"/>
                <w:sz w:val="17"/>
                <w:szCs w:val="17"/>
              </w:rPr>
              <w:t>、南面为小区住宅楼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4" w:hRule="atLeast"/>
        </w:trPr>
        <w:tc>
          <w:tcPr>
            <w:tcW w:w="623" w:type="dxa"/>
            <w:vMerge w:val="continue"/>
            <w:tcBorders>
              <w:top w:val="nil"/>
              <w:left w:val="single" w:color="000000" w:sz="6" w:space="0"/>
              <w:bottom w:val="nil"/>
            </w:tcBorders>
            <w:vAlign w:val="top"/>
          </w:tcPr>
          <w:p>
            <w:pPr>
              <w:rPr>
                <w:rFonts w:ascii="Arial"/>
                <w:sz w:val="21"/>
              </w:rPr>
            </w:pPr>
          </w:p>
        </w:tc>
        <w:tc>
          <w:tcPr>
            <w:tcW w:w="406" w:type="dxa"/>
            <w:vMerge w:val="continue"/>
            <w:tcBorders>
              <w:top w:val="nil"/>
            </w:tcBorders>
            <w:vAlign w:val="top"/>
          </w:tcPr>
          <w:p>
            <w:pPr>
              <w:rPr>
                <w:rFonts w:ascii="Arial"/>
                <w:sz w:val="21"/>
              </w:rPr>
            </w:pPr>
          </w:p>
        </w:tc>
        <w:tc>
          <w:tcPr>
            <w:tcW w:w="7897" w:type="dxa"/>
            <w:gridSpan w:val="16"/>
            <w:tcBorders>
              <w:right w:val="single" w:color="000000" w:sz="6" w:space="0"/>
            </w:tcBorders>
            <w:vAlign w:val="top"/>
          </w:tcPr>
          <w:p>
            <w:pPr>
              <w:spacing w:before="3" w:line="2215" w:lineRule="exact"/>
              <w:ind w:firstLine="53"/>
              <w:textAlignment w:val="center"/>
            </w:pPr>
            <w:r>
              <w:drawing>
                <wp:inline distT="0" distB="0" distL="0" distR="0">
                  <wp:extent cx="4838700" cy="140652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246"/>
                          <a:stretch>
                            <a:fillRect/>
                          </a:stretch>
                        </pic:blipFill>
                        <pic:spPr>
                          <a:xfrm>
                            <a:off x="0" y="0"/>
                            <a:ext cx="4838700" cy="1406652"/>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4" w:hRule="atLeast"/>
        </w:trPr>
        <w:tc>
          <w:tcPr>
            <w:tcW w:w="623" w:type="dxa"/>
            <w:vMerge w:val="continue"/>
            <w:tcBorders>
              <w:top w:val="nil"/>
              <w:left w:val="single" w:color="000000" w:sz="6" w:space="0"/>
              <w:bottom w:val="nil"/>
            </w:tcBorders>
            <w:vAlign w:val="top"/>
          </w:tcPr>
          <w:p>
            <w:pPr>
              <w:rPr>
                <w:rFonts w:ascii="Arial"/>
                <w:sz w:val="21"/>
              </w:rPr>
            </w:pPr>
          </w:p>
        </w:tc>
        <w:tc>
          <w:tcPr>
            <w:tcW w:w="8303" w:type="dxa"/>
            <w:gridSpan w:val="17"/>
            <w:tcBorders>
              <w:right w:val="single" w:color="000000" w:sz="6" w:space="0"/>
            </w:tcBorders>
            <w:vAlign w:val="top"/>
          </w:tcPr>
          <w:p>
            <w:pPr>
              <w:spacing w:before="143" w:line="242" w:lineRule="auto"/>
              <w:ind w:left="100"/>
              <w:rPr>
                <w:rFonts w:ascii="黑体" w:hAnsi="黑体" w:eastAsia="黑体" w:cs="黑体"/>
                <w:sz w:val="20"/>
                <w:szCs w:val="20"/>
              </w:rPr>
            </w:pPr>
            <w:r>
              <w:rPr>
                <w:rFonts w:ascii="Times New Roman" w:hAnsi="Times New Roman" w:eastAsia="Times New Roman" w:cs="Times New Roman"/>
                <w:spacing w:val="5"/>
                <w:sz w:val="20"/>
                <w:szCs w:val="20"/>
              </w:rPr>
              <w:t>4</w:t>
            </w:r>
            <w:r>
              <w:rPr>
                <w:rFonts w:ascii="Times New Roman" w:hAnsi="Times New Roman" w:eastAsia="Times New Roman" w:cs="Times New Roman"/>
                <w:spacing w:val="3"/>
                <w:sz w:val="20"/>
                <w:szCs w:val="20"/>
              </w:rPr>
              <w:t xml:space="preserve"> </w:t>
            </w:r>
            <w:r>
              <w:rPr>
                <w:rFonts w:ascii="黑体" w:hAnsi="黑体" w:eastAsia="黑体" w:cs="黑体"/>
                <w:spacing w:val="3"/>
                <w:sz w:val="20"/>
                <w:szCs w:val="20"/>
              </w:rPr>
              <w:t>、地表水保护目标</w:t>
            </w:r>
          </w:p>
          <w:p>
            <w:pPr>
              <w:spacing w:before="136" w:line="227" w:lineRule="auto"/>
              <w:ind w:left="526"/>
              <w:rPr>
                <w:rFonts w:ascii="宋体" w:hAnsi="宋体" w:eastAsia="宋体" w:cs="宋体"/>
                <w:sz w:val="20"/>
                <w:szCs w:val="20"/>
              </w:rPr>
            </w:pPr>
            <w:r>
              <w:rPr>
                <w:rFonts w:ascii="宋体" w:hAnsi="宋体" w:eastAsia="宋体" w:cs="宋体"/>
                <w:spacing w:val="16"/>
                <w:sz w:val="20"/>
                <w:szCs w:val="20"/>
              </w:rPr>
              <w:t>本</w:t>
            </w:r>
            <w:r>
              <w:rPr>
                <w:rFonts w:ascii="宋体" w:hAnsi="宋体" w:eastAsia="宋体" w:cs="宋体"/>
                <w:spacing w:val="12"/>
                <w:sz w:val="20"/>
                <w:szCs w:val="20"/>
              </w:rPr>
              <w:t>工</w:t>
            </w:r>
            <w:r>
              <w:rPr>
                <w:rFonts w:ascii="宋体" w:hAnsi="宋体" w:eastAsia="宋体" w:cs="宋体"/>
                <w:spacing w:val="8"/>
                <w:sz w:val="20"/>
                <w:szCs w:val="20"/>
              </w:rPr>
              <w:t>程水环境保护目标为跨越的州河。</w:t>
            </w:r>
          </w:p>
          <w:p>
            <w:pPr>
              <w:spacing w:before="155" w:line="226" w:lineRule="auto"/>
              <w:ind w:left="526"/>
              <w:rPr>
                <w:rFonts w:ascii="宋体" w:hAnsi="宋体" w:eastAsia="宋体" w:cs="宋体"/>
                <w:sz w:val="20"/>
                <w:szCs w:val="20"/>
              </w:rPr>
            </w:pPr>
            <w:r>
              <w:rPr>
                <w:rFonts w:ascii="宋体" w:hAnsi="宋体" w:eastAsia="宋体" w:cs="宋体"/>
                <w:spacing w:val="8"/>
                <w:sz w:val="20"/>
                <w:szCs w:val="20"/>
              </w:rPr>
              <w:t xml:space="preserve">州河项目评价河段水域功能均 </w:t>
            </w:r>
            <w:r>
              <w:rPr>
                <w:rFonts w:ascii="Times New Roman" w:hAnsi="Times New Roman" w:eastAsia="Times New Roman" w:cs="Times New Roman"/>
                <w:sz w:val="20"/>
                <w:szCs w:val="20"/>
              </w:rPr>
              <w:t>III</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类水域，主要功能为行洪、泄洪、城市景观等</w:t>
            </w:r>
            <w:r>
              <w:rPr>
                <w:rFonts w:ascii="宋体" w:hAnsi="宋体" w:eastAsia="宋体" w:cs="宋体"/>
                <w:spacing w:val="4"/>
                <w:sz w:val="20"/>
                <w:szCs w:val="20"/>
              </w:rPr>
              <w:t>。</w:t>
            </w:r>
          </w:p>
          <w:p>
            <w:pPr>
              <w:spacing w:before="155" w:line="369" w:lineRule="auto"/>
              <w:ind w:left="104" w:right="102" w:firstLine="420"/>
              <w:rPr>
                <w:rFonts w:ascii="宋体" w:hAnsi="宋体" w:eastAsia="宋体" w:cs="宋体"/>
                <w:sz w:val="20"/>
                <w:szCs w:val="20"/>
              </w:rPr>
            </w:pPr>
            <w:r>
              <w:rPr>
                <w:rFonts w:ascii="宋体" w:hAnsi="宋体" w:eastAsia="宋体" w:cs="宋体"/>
                <w:spacing w:val="10"/>
                <w:sz w:val="20"/>
                <w:szCs w:val="20"/>
              </w:rPr>
              <w:t>根</w:t>
            </w:r>
            <w:r>
              <w:rPr>
                <w:rFonts w:ascii="宋体" w:hAnsi="宋体" w:eastAsia="宋体" w:cs="宋体"/>
                <w:spacing w:val="7"/>
                <w:sz w:val="20"/>
                <w:szCs w:val="20"/>
              </w:rPr>
              <w:t>据调查，项目评价河段无取水口，本工程不涉及集中式饮用水水源保护区；不涉及</w:t>
            </w:r>
            <w:r>
              <w:rPr>
                <w:rFonts w:ascii="宋体" w:hAnsi="宋体" w:eastAsia="宋体" w:cs="宋体"/>
                <w:sz w:val="20"/>
                <w:szCs w:val="20"/>
              </w:rPr>
              <w:t xml:space="preserve"> </w:t>
            </w:r>
            <w:r>
              <w:rPr>
                <w:rFonts w:ascii="宋体" w:hAnsi="宋体" w:eastAsia="宋体" w:cs="宋体"/>
                <w:spacing w:val="14"/>
                <w:sz w:val="20"/>
                <w:szCs w:val="20"/>
              </w:rPr>
              <w:t>特</w:t>
            </w:r>
            <w:r>
              <w:rPr>
                <w:rFonts w:ascii="宋体" w:hAnsi="宋体" w:eastAsia="宋体" w:cs="宋体"/>
                <w:spacing w:val="10"/>
                <w:sz w:val="20"/>
                <w:szCs w:val="20"/>
              </w:rPr>
              <w:t>有</w:t>
            </w:r>
            <w:r>
              <w:rPr>
                <w:rFonts w:ascii="宋体" w:hAnsi="宋体" w:eastAsia="宋体" w:cs="宋体"/>
                <w:spacing w:val="7"/>
                <w:sz w:val="20"/>
                <w:szCs w:val="20"/>
              </w:rPr>
              <w:t>鱼类国家级水产种质资源保护区，也不涉及重要水生生物自然产卵场、索饵场、越冬</w:t>
            </w:r>
            <w:r>
              <w:rPr>
                <w:rFonts w:ascii="宋体" w:hAnsi="宋体" w:eastAsia="宋体" w:cs="宋体"/>
                <w:sz w:val="20"/>
                <w:szCs w:val="20"/>
              </w:rPr>
              <w:t xml:space="preserve"> </w:t>
            </w:r>
            <w:r>
              <w:rPr>
                <w:rFonts w:ascii="宋体" w:hAnsi="宋体" w:eastAsia="宋体" w:cs="宋体"/>
                <w:spacing w:val="14"/>
                <w:sz w:val="20"/>
                <w:szCs w:val="20"/>
              </w:rPr>
              <w:t>场</w:t>
            </w:r>
            <w:r>
              <w:rPr>
                <w:rFonts w:ascii="宋体" w:hAnsi="宋体" w:eastAsia="宋体" w:cs="宋体"/>
                <w:spacing w:val="12"/>
                <w:sz w:val="20"/>
                <w:szCs w:val="20"/>
              </w:rPr>
              <w:t>和</w:t>
            </w:r>
            <w:r>
              <w:rPr>
                <w:rFonts w:ascii="宋体" w:hAnsi="宋体" w:eastAsia="宋体" w:cs="宋体"/>
                <w:spacing w:val="7"/>
                <w:sz w:val="20"/>
                <w:szCs w:val="20"/>
              </w:rPr>
              <w:t>洄游通道、天然渔场等水环境敏感区域。本次评价水环境保护目标主要考虑桥梁施工</w:t>
            </w:r>
            <w:r>
              <w:rPr>
                <w:rFonts w:ascii="宋体" w:hAnsi="宋体" w:eastAsia="宋体" w:cs="宋体"/>
                <w:sz w:val="20"/>
                <w:szCs w:val="20"/>
              </w:rPr>
              <w:t xml:space="preserve"> </w:t>
            </w:r>
            <w:r>
              <w:rPr>
                <w:rFonts w:ascii="宋体" w:hAnsi="宋体" w:eastAsia="宋体" w:cs="宋体"/>
                <w:spacing w:val="13"/>
                <w:sz w:val="20"/>
                <w:szCs w:val="20"/>
              </w:rPr>
              <w:t>段</w:t>
            </w:r>
            <w:r>
              <w:rPr>
                <w:rFonts w:ascii="宋体" w:hAnsi="宋体" w:eastAsia="宋体" w:cs="宋体"/>
                <w:spacing w:val="8"/>
                <w:sz w:val="20"/>
                <w:szCs w:val="20"/>
              </w:rPr>
              <w:t>地表水环境质量的保护。</w:t>
            </w:r>
          </w:p>
          <w:p>
            <w:pPr>
              <w:spacing w:line="226" w:lineRule="auto"/>
              <w:ind w:left="526"/>
              <w:rPr>
                <w:rFonts w:ascii="宋体" w:hAnsi="宋体" w:eastAsia="宋体" w:cs="宋体"/>
                <w:sz w:val="20"/>
                <w:szCs w:val="20"/>
              </w:rPr>
            </w:pPr>
            <w:r>
              <w:rPr>
                <w:rFonts w:ascii="宋体" w:hAnsi="宋体" w:eastAsia="宋体" w:cs="宋体"/>
                <w:spacing w:val="9"/>
                <w:sz w:val="20"/>
                <w:szCs w:val="20"/>
              </w:rPr>
              <w:t>本工程与地表水环境保护目标位置关系见下表</w:t>
            </w:r>
            <w:r>
              <w:rPr>
                <w:rFonts w:ascii="宋体" w:hAnsi="宋体" w:eastAsia="宋体" w:cs="宋体"/>
                <w:spacing w:val="8"/>
                <w:sz w:val="20"/>
                <w:szCs w:val="20"/>
              </w:rPr>
              <w:t>。</w:t>
            </w:r>
          </w:p>
          <w:p>
            <w:pPr>
              <w:spacing w:before="133" w:line="230" w:lineRule="auto"/>
              <w:ind w:left="2954"/>
              <w:rPr>
                <w:rFonts w:ascii="黑体" w:hAnsi="黑体" w:eastAsia="黑体" w:cs="黑体"/>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33    </w:t>
            </w:r>
            <w:r>
              <w:rPr>
                <w:rFonts w:ascii="黑体" w:hAnsi="黑体" w:eastAsia="黑体" w:cs="黑体"/>
                <w:spacing w:val="7"/>
                <w:sz w:val="19"/>
                <w:szCs w:val="19"/>
              </w:rPr>
              <w:t>地表水环境保护目</w:t>
            </w:r>
            <w:r>
              <w:rPr>
                <w:rFonts w:ascii="黑体" w:hAnsi="黑体" w:eastAsia="黑体" w:cs="黑体"/>
                <w:spacing w:val="3"/>
                <w:sz w:val="19"/>
                <w:szCs w:val="19"/>
              </w:rPr>
              <w:t>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623" w:type="dxa"/>
            <w:vMerge w:val="continue"/>
            <w:tcBorders>
              <w:top w:val="nil"/>
              <w:left w:val="single" w:color="000000" w:sz="6" w:space="0"/>
              <w:bottom w:val="nil"/>
            </w:tcBorders>
            <w:vAlign w:val="top"/>
          </w:tcPr>
          <w:p>
            <w:pPr>
              <w:rPr>
                <w:rFonts w:ascii="Arial"/>
                <w:sz w:val="21"/>
              </w:rPr>
            </w:pPr>
          </w:p>
        </w:tc>
        <w:tc>
          <w:tcPr>
            <w:tcW w:w="562" w:type="dxa"/>
            <w:gridSpan w:val="2"/>
            <w:vAlign w:val="top"/>
          </w:tcPr>
          <w:p>
            <w:pPr>
              <w:spacing w:before="106" w:line="232" w:lineRule="auto"/>
              <w:ind w:left="158"/>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序</w:t>
            </w:r>
            <w:r>
              <w:rPr>
                <w:rFonts w:ascii="宋体" w:hAnsi="宋体" w:eastAsia="宋体" w:cs="宋体"/>
                <w:spacing w:val="6"/>
                <w:sz w:val="17"/>
                <w:szCs w:val="17"/>
                <w14:textOutline w14:w="3268" w14:cap="sq" w14:cmpd="sng">
                  <w14:solidFill>
                    <w14:srgbClr w14:val="000000"/>
                  </w14:solidFill>
                  <w14:prstDash w14:val="solid"/>
                  <w14:bevel/>
                </w14:textOutline>
              </w:rPr>
              <w:t>号</w:t>
            </w:r>
          </w:p>
        </w:tc>
        <w:tc>
          <w:tcPr>
            <w:tcW w:w="1078" w:type="dxa"/>
            <w:gridSpan w:val="3"/>
            <w:vAlign w:val="top"/>
          </w:tcPr>
          <w:p>
            <w:pPr>
              <w:spacing w:before="106" w:line="231" w:lineRule="auto"/>
              <w:ind w:left="176"/>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保</w:t>
            </w:r>
            <w:r>
              <w:rPr>
                <w:rFonts w:ascii="宋体" w:hAnsi="宋体" w:eastAsia="宋体" w:cs="宋体"/>
                <w:spacing w:val="8"/>
                <w:sz w:val="17"/>
                <w:szCs w:val="17"/>
                <w14:textOutline w14:w="3268" w14:cap="sq" w14:cmpd="sng">
                  <w14:solidFill>
                    <w14:srgbClr w14:val="000000"/>
                  </w14:solidFill>
                  <w14:prstDash w14:val="solid"/>
                  <w14:bevel/>
                </w14:textOutline>
              </w:rPr>
              <w:t>护目标</w:t>
            </w:r>
          </w:p>
        </w:tc>
        <w:tc>
          <w:tcPr>
            <w:tcW w:w="816" w:type="dxa"/>
            <w:gridSpan w:val="2"/>
            <w:vAlign w:val="top"/>
          </w:tcPr>
          <w:p>
            <w:pPr>
              <w:spacing w:before="106" w:line="230" w:lineRule="auto"/>
              <w:ind w:left="229"/>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规模</w:t>
            </w:r>
          </w:p>
        </w:tc>
        <w:tc>
          <w:tcPr>
            <w:tcW w:w="2934" w:type="dxa"/>
            <w:gridSpan w:val="6"/>
            <w:vAlign w:val="top"/>
          </w:tcPr>
          <w:p>
            <w:pPr>
              <w:spacing w:before="106" w:line="230" w:lineRule="auto"/>
              <w:ind w:left="388"/>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路线与水环境保护目标位</w:t>
            </w:r>
            <w:r>
              <w:rPr>
                <w:rFonts w:ascii="宋体" w:hAnsi="宋体" w:eastAsia="宋体" w:cs="宋体"/>
                <w:spacing w:val="8"/>
                <w:sz w:val="17"/>
                <w:szCs w:val="17"/>
                <w14:textOutline w14:w="3268" w14:cap="sq" w14:cmpd="sng">
                  <w14:solidFill>
                    <w14:srgbClr w14:val="000000"/>
                  </w14:solidFill>
                  <w14:prstDash w14:val="solid"/>
                  <w14:bevel/>
                </w14:textOutline>
              </w:rPr>
              <w:t>置</w:t>
            </w:r>
          </w:p>
        </w:tc>
        <w:tc>
          <w:tcPr>
            <w:tcW w:w="1659" w:type="dxa"/>
            <w:gridSpan w:val="3"/>
            <w:vAlign w:val="top"/>
          </w:tcPr>
          <w:p>
            <w:pPr>
              <w:spacing w:before="106" w:line="230" w:lineRule="auto"/>
              <w:ind w:left="478"/>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涉</w:t>
            </w:r>
            <w:r>
              <w:rPr>
                <w:rFonts w:ascii="宋体" w:hAnsi="宋体" w:eastAsia="宋体" w:cs="宋体"/>
                <w:spacing w:val="8"/>
                <w:sz w:val="17"/>
                <w:szCs w:val="17"/>
                <w14:textOutline w14:w="3268" w14:cap="sq" w14:cmpd="sng">
                  <w14:solidFill>
                    <w14:srgbClr w14:val="000000"/>
                  </w14:solidFill>
                  <w14:prstDash w14:val="solid"/>
                  <w14:bevel/>
                </w14:textOutline>
              </w:rPr>
              <w:t>水工程</w:t>
            </w:r>
          </w:p>
        </w:tc>
        <w:tc>
          <w:tcPr>
            <w:tcW w:w="1254" w:type="dxa"/>
            <w:tcBorders>
              <w:right w:val="single" w:color="000000" w:sz="6" w:space="0"/>
            </w:tcBorders>
            <w:vAlign w:val="top"/>
          </w:tcPr>
          <w:p>
            <w:pPr>
              <w:spacing w:before="106" w:line="230" w:lineRule="auto"/>
              <w:ind w:left="209"/>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水</w:t>
            </w:r>
            <w:r>
              <w:rPr>
                <w:rFonts w:ascii="宋体" w:hAnsi="宋体" w:eastAsia="宋体" w:cs="宋体"/>
                <w:spacing w:val="8"/>
                <w:sz w:val="17"/>
                <w:szCs w:val="17"/>
                <w14:textOutline w14:w="3268" w14:cap="sq" w14:cmpd="sng">
                  <w14:solidFill>
                    <w14:srgbClr w14:val="000000"/>
                  </w14:solidFill>
                  <w14:prstDash w14:val="solid"/>
                  <w14:bevel/>
                </w14:textOutline>
              </w:rPr>
              <w:t>体功能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23" w:type="dxa"/>
            <w:vMerge w:val="continue"/>
            <w:tcBorders>
              <w:top w:val="nil"/>
              <w:left w:val="single" w:color="000000" w:sz="6" w:space="0"/>
              <w:bottom w:val="nil"/>
            </w:tcBorders>
            <w:vAlign w:val="top"/>
          </w:tcPr>
          <w:p>
            <w:pPr>
              <w:rPr>
                <w:rFonts w:ascii="Arial"/>
                <w:sz w:val="21"/>
              </w:rPr>
            </w:pPr>
          </w:p>
        </w:tc>
        <w:tc>
          <w:tcPr>
            <w:tcW w:w="562" w:type="dxa"/>
            <w:gridSpan w:val="2"/>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49" w:line="197" w:lineRule="auto"/>
              <w:ind w:left="310"/>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1078" w:type="dxa"/>
            <w:gridSpan w:val="3"/>
            <w:vAlign w:val="top"/>
          </w:tcPr>
          <w:p>
            <w:pPr>
              <w:spacing w:before="94" w:line="229" w:lineRule="auto"/>
              <w:ind w:left="359"/>
              <w:rPr>
                <w:rFonts w:ascii="宋体" w:hAnsi="宋体" w:eastAsia="宋体" w:cs="宋体"/>
                <w:sz w:val="17"/>
                <w:szCs w:val="17"/>
              </w:rPr>
            </w:pPr>
            <w:r>
              <w:rPr>
                <w:rFonts w:ascii="宋体" w:hAnsi="宋体" w:eastAsia="宋体" w:cs="宋体"/>
                <w:spacing w:val="6"/>
                <w:sz w:val="17"/>
                <w:szCs w:val="17"/>
              </w:rPr>
              <w:t>州河</w:t>
            </w:r>
          </w:p>
        </w:tc>
        <w:tc>
          <w:tcPr>
            <w:tcW w:w="816" w:type="dxa"/>
            <w:gridSpan w:val="2"/>
            <w:vAlign w:val="top"/>
          </w:tcPr>
          <w:p>
            <w:pPr>
              <w:spacing w:before="93" w:line="231" w:lineRule="auto"/>
              <w:ind w:left="230"/>
              <w:rPr>
                <w:rFonts w:ascii="宋体" w:hAnsi="宋体" w:eastAsia="宋体" w:cs="宋体"/>
                <w:sz w:val="17"/>
                <w:szCs w:val="17"/>
              </w:rPr>
            </w:pPr>
            <w:r>
              <w:rPr>
                <w:rFonts w:ascii="宋体" w:hAnsi="宋体" w:eastAsia="宋体" w:cs="宋体"/>
                <w:spacing w:val="5"/>
                <w:sz w:val="17"/>
                <w:szCs w:val="17"/>
              </w:rPr>
              <w:t>大河</w:t>
            </w:r>
          </w:p>
        </w:tc>
        <w:tc>
          <w:tcPr>
            <w:tcW w:w="2934" w:type="dxa"/>
            <w:gridSpan w:val="6"/>
            <w:vAlign w:val="top"/>
          </w:tcPr>
          <w:p>
            <w:pPr>
              <w:spacing w:before="93" w:line="230" w:lineRule="auto"/>
              <w:ind w:left="1020"/>
              <w:rPr>
                <w:rFonts w:ascii="宋体" w:hAnsi="宋体" w:eastAsia="宋体" w:cs="宋体"/>
                <w:sz w:val="17"/>
                <w:szCs w:val="17"/>
              </w:rPr>
            </w:pPr>
            <w:r>
              <w:rPr>
                <w:rFonts w:ascii="宋体" w:hAnsi="宋体" w:eastAsia="宋体" w:cs="宋体"/>
                <w:spacing w:val="10"/>
                <w:sz w:val="17"/>
                <w:szCs w:val="17"/>
              </w:rPr>
              <w:t>桥</w:t>
            </w:r>
            <w:r>
              <w:rPr>
                <w:rFonts w:ascii="宋体" w:hAnsi="宋体" w:eastAsia="宋体" w:cs="宋体"/>
                <w:spacing w:val="8"/>
                <w:sz w:val="17"/>
                <w:szCs w:val="17"/>
              </w:rPr>
              <w:t>梁正下方</w:t>
            </w:r>
          </w:p>
        </w:tc>
        <w:tc>
          <w:tcPr>
            <w:tcW w:w="1659" w:type="dxa"/>
            <w:gridSpan w:val="3"/>
            <w:vAlign w:val="top"/>
          </w:tcPr>
          <w:p>
            <w:pPr>
              <w:spacing w:before="93" w:line="230" w:lineRule="auto"/>
              <w:ind w:left="497"/>
              <w:rPr>
                <w:rFonts w:ascii="宋体" w:hAnsi="宋体" w:eastAsia="宋体" w:cs="宋体"/>
                <w:sz w:val="17"/>
                <w:szCs w:val="17"/>
              </w:rPr>
            </w:pPr>
            <w:r>
              <w:rPr>
                <w:rFonts w:ascii="Times New Roman" w:hAnsi="Times New Roman" w:eastAsia="Times New Roman" w:cs="Times New Roman"/>
                <w:spacing w:val="9"/>
                <w:sz w:val="17"/>
                <w:szCs w:val="17"/>
              </w:rPr>
              <w:t>2</w:t>
            </w:r>
            <w:r>
              <w:rPr>
                <w:rFonts w:ascii="Times New Roman" w:hAnsi="Times New Roman" w:eastAsia="Times New Roman" w:cs="Times New Roman"/>
                <w:spacing w:val="6"/>
                <w:sz w:val="17"/>
                <w:szCs w:val="17"/>
              </w:rPr>
              <w:t xml:space="preserve"> </w:t>
            </w:r>
            <w:r>
              <w:rPr>
                <w:rFonts w:ascii="宋体" w:hAnsi="宋体" w:eastAsia="宋体" w:cs="宋体"/>
                <w:spacing w:val="6"/>
                <w:sz w:val="17"/>
                <w:szCs w:val="17"/>
              </w:rPr>
              <w:t>个桥墩</w:t>
            </w:r>
          </w:p>
        </w:tc>
        <w:tc>
          <w:tcPr>
            <w:tcW w:w="1254" w:type="dxa"/>
            <w:tcBorders>
              <w:right w:val="single" w:color="000000" w:sz="6" w:space="0"/>
            </w:tcBorders>
            <w:vAlign w:val="top"/>
          </w:tcPr>
          <w:p>
            <w:pPr>
              <w:spacing w:before="93" w:line="230" w:lineRule="auto"/>
              <w:ind w:left="392"/>
              <w:rPr>
                <w:rFonts w:ascii="宋体" w:hAnsi="宋体" w:eastAsia="宋体" w:cs="宋体"/>
                <w:sz w:val="17"/>
                <w:szCs w:val="17"/>
              </w:rPr>
            </w:pPr>
            <w:r>
              <w:rPr>
                <w:rFonts w:ascii="Times New Roman" w:hAnsi="Times New Roman" w:eastAsia="Times New Roman" w:cs="Times New Roman"/>
                <w:spacing w:val="6"/>
                <w:sz w:val="17"/>
                <w:szCs w:val="17"/>
              </w:rPr>
              <w:t>Ⅲ</w:t>
            </w:r>
            <w:r>
              <w:rPr>
                <w:rFonts w:ascii="宋体" w:hAnsi="宋体" w:eastAsia="宋体" w:cs="宋体"/>
                <w:spacing w:val="6"/>
                <w:sz w:val="17"/>
                <w:szCs w:val="17"/>
              </w:rP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2" w:hRule="atLeast"/>
        </w:trPr>
        <w:tc>
          <w:tcPr>
            <w:tcW w:w="623" w:type="dxa"/>
            <w:vMerge w:val="continue"/>
            <w:tcBorders>
              <w:top w:val="nil"/>
              <w:left w:val="single" w:color="000000" w:sz="6" w:space="0"/>
            </w:tcBorders>
            <w:vAlign w:val="top"/>
          </w:tcPr>
          <w:p>
            <w:pPr>
              <w:rPr>
                <w:rFonts w:ascii="Arial"/>
                <w:sz w:val="21"/>
              </w:rPr>
            </w:pPr>
          </w:p>
        </w:tc>
        <w:tc>
          <w:tcPr>
            <w:tcW w:w="562" w:type="dxa"/>
            <w:gridSpan w:val="2"/>
            <w:vMerge w:val="continue"/>
            <w:tcBorders>
              <w:top w:val="nil"/>
            </w:tcBorders>
            <w:vAlign w:val="top"/>
          </w:tcPr>
          <w:p>
            <w:pPr>
              <w:rPr>
                <w:rFonts w:ascii="Arial"/>
                <w:sz w:val="21"/>
              </w:rPr>
            </w:pPr>
          </w:p>
        </w:tc>
        <w:tc>
          <w:tcPr>
            <w:tcW w:w="7741" w:type="dxa"/>
            <w:gridSpan w:val="15"/>
            <w:tcBorders>
              <w:right w:val="single" w:color="000000" w:sz="6" w:space="0"/>
            </w:tcBorders>
            <w:vAlign w:val="top"/>
          </w:tcPr>
          <w:p>
            <w:pPr>
              <w:spacing w:before="63" w:line="2180" w:lineRule="exact"/>
              <w:ind w:firstLine="82"/>
              <w:textAlignment w:val="center"/>
            </w:pPr>
            <w:r>
              <w:drawing>
                <wp:inline distT="0" distB="0" distL="0" distR="0">
                  <wp:extent cx="4716780" cy="1383665"/>
                  <wp:effectExtent l="0" t="0" r="0" b="0"/>
                  <wp:docPr id="103" name="IM 103"/>
                  <wp:cNvGraphicFramePr/>
                  <a:graphic xmlns:a="http://schemas.openxmlformats.org/drawingml/2006/main">
                    <a:graphicData uri="http://schemas.openxmlformats.org/drawingml/2006/picture">
                      <pic:pic xmlns:pic="http://schemas.openxmlformats.org/drawingml/2006/picture">
                        <pic:nvPicPr>
                          <pic:cNvPr id="103" name="IM 103"/>
                          <pic:cNvPicPr/>
                        </pic:nvPicPr>
                        <pic:blipFill>
                          <a:blip r:embed="rId247"/>
                          <a:stretch>
                            <a:fillRect/>
                          </a:stretch>
                        </pic:blipFill>
                        <pic:spPr>
                          <a:xfrm>
                            <a:off x="0" y="0"/>
                            <a:ext cx="4716780" cy="1383792"/>
                          </a:xfrm>
                          <a:prstGeom prst="rect">
                            <a:avLst/>
                          </a:prstGeom>
                        </pic:spPr>
                      </pic:pic>
                    </a:graphicData>
                  </a:graphic>
                </wp:inline>
              </w:drawing>
            </w:r>
          </w:p>
        </w:tc>
      </w:tr>
    </w:tbl>
    <w:p>
      <w:pPr>
        <w:rPr>
          <w:rFonts w:ascii="Arial"/>
          <w:sz w:val="21"/>
        </w:rPr>
      </w:pPr>
    </w:p>
    <w:p>
      <w:pPr>
        <w:sectPr>
          <w:footerReference r:id="rId70" w:type="default"/>
          <w:pgSz w:w="11906" w:h="16839"/>
          <w:pgMar w:top="400" w:right="1482" w:bottom="1475" w:left="1482" w:header="0" w:footer="1315" w:gutter="0"/>
          <w:cols w:space="720" w:num="1"/>
        </w:sectPr>
      </w:pPr>
    </w:p>
    <w:p>
      <w:r>
        <w:pict>
          <v:rect id="_x0000_s1098" o:spid="_x0000_s1098" o:spt="1" style="position:absolute;left:0pt;margin-left:111.35pt;margin-top:136.35pt;height:87.5pt;width:0.5pt;mso-position-horizontal-relative:page;mso-position-vertical-relative:page;z-index:251759616;mso-width-relative:page;mso-height-relative:page;" fillcolor="#000000" filled="t" stroked="f" coordsize="21600,21600" o:allowincell="f">
            <v:path/>
            <v:fill on="t" focussize="0,0"/>
            <v:stroke on="f"/>
            <v:imagedata o:title=""/>
            <o:lock v:ext="edit"/>
          </v:rect>
        </w:pict>
      </w:r>
      <w:r>
        <w:pict>
          <v:rect id="_x0000_s1099" o:spid="_x0000_s1099" o:spt="1" style="position:absolute;left:0pt;margin-left:111.35pt;margin-top:279.85pt;height:39.4pt;width:0.5pt;mso-position-horizontal-relative:page;mso-position-vertical-relative:page;z-index:251758592;mso-width-relative:page;mso-height-relative:page;" fillcolor="#000000" filled="t" stroked="f" coordsize="21600,21600" o:allowincell="f">
            <v:path/>
            <v:fill on="t" focussize="0,0"/>
            <v:stroke on="f"/>
            <v:imagedata o:title=""/>
            <o:lock v:ext="edit"/>
          </v:rect>
        </w:pict>
      </w:r>
      <w:r>
        <w:pict>
          <v:rect id="_x0000_s1100" o:spid="_x0000_s1100" o:spt="1" style="position:absolute;left:0pt;margin-left:111.3pt;margin-top:480.7pt;height:71.5pt;width:0.5pt;mso-position-horizontal-relative:page;mso-position-vertical-relative:page;z-index:251761664;mso-width-relative:page;mso-height-relative:page;" fillcolor="#000000" filled="t" stroked="f" coordsize="21600,21600" o:allowincell="f">
            <v:path/>
            <v:fill on="t" focussize="0,0"/>
            <v:stroke on="f"/>
            <v:imagedata o:title=""/>
            <o:lock v:ext="edit"/>
          </v:rect>
        </w:pict>
      </w:r>
      <w:r>
        <w:pict>
          <v:rect id="_x0000_s1101" o:spid="_x0000_s1101" o:spt="1" style="position:absolute;left:0pt;margin-left:514.2pt;margin-top:481.15pt;height:71pt;width:0.5pt;mso-position-horizontal-relative:page;mso-position-vertical-relative:page;z-index:251760640;mso-width-relative:page;mso-height-relative:page;" fillcolor="#000000" filled="t" stroked="f" coordsize="21600,21600" o:allowincell="f">
            <v:path/>
            <v:fill on="t" focussize="0,0"/>
            <v:stroke on="f"/>
            <v:imagedata o:title=""/>
            <o:lock v:ext="edit"/>
          </v:rect>
        </w:pict>
      </w:r>
    </w:p>
    <w:p/>
    <w:p/>
    <w:p/>
    <w:p>
      <w:pPr>
        <w:spacing w:line="221" w:lineRule="exact"/>
      </w:pPr>
    </w:p>
    <w:tbl>
      <w:tblPr>
        <w:tblStyle w:val="4"/>
        <w:tblW w:w="892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3"/>
        <w:gridCol w:w="951"/>
        <w:gridCol w:w="1098"/>
        <w:gridCol w:w="36"/>
        <w:gridCol w:w="737"/>
        <w:gridCol w:w="333"/>
        <w:gridCol w:w="558"/>
        <w:gridCol w:w="400"/>
        <w:gridCol w:w="208"/>
        <w:gridCol w:w="179"/>
        <w:gridCol w:w="553"/>
        <w:gridCol w:w="303"/>
        <w:gridCol w:w="439"/>
        <w:gridCol w:w="203"/>
        <w:gridCol w:w="228"/>
        <w:gridCol w:w="760"/>
        <w:gridCol w:w="194"/>
        <w:gridCol w:w="987"/>
        <w:gridCol w:w="1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9" w:hRule="atLeast"/>
        </w:trPr>
        <w:tc>
          <w:tcPr>
            <w:tcW w:w="623" w:type="dxa"/>
            <w:vMerge w:val="restart"/>
            <w:tcBorders>
              <w:left w:val="single" w:color="000000" w:sz="6" w:space="0"/>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5" w:line="265" w:lineRule="auto"/>
              <w:ind w:left="99" w:right="101" w:hanging="1"/>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评价</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标</w:t>
            </w:r>
            <w:r>
              <w:rPr>
                <w:rFonts w:ascii="宋体" w:hAnsi="宋体" w:eastAsia="宋体" w:cs="宋体"/>
                <w:spacing w:val="5"/>
                <w:sz w:val="20"/>
                <w:szCs w:val="20"/>
                <w14:textOutline w14:w="3795" w14:cap="sq" w14:cmpd="sng">
                  <w14:solidFill>
                    <w14:srgbClr w14:val="000000"/>
                  </w14:solidFill>
                  <w14:prstDash w14:val="solid"/>
                  <w14:bevel/>
                </w14:textOutline>
              </w:rPr>
              <w:t>准</w:t>
            </w:r>
          </w:p>
        </w:tc>
        <w:tc>
          <w:tcPr>
            <w:tcW w:w="8303" w:type="dxa"/>
            <w:gridSpan w:val="18"/>
            <w:tcBorders>
              <w:right w:val="single" w:color="000000" w:sz="6" w:space="0"/>
            </w:tcBorders>
            <w:vAlign w:val="top"/>
          </w:tcPr>
          <w:p>
            <w:pPr>
              <w:spacing w:before="153" w:line="242" w:lineRule="auto"/>
              <w:ind w:left="121"/>
              <w:rPr>
                <w:rFonts w:ascii="黑体" w:hAnsi="黑体" w:eastAsia="黑体" w:cs="黑体"/>
                <w:sz w:val="20"/>
                <w:szCs w:val="20"/>
              </w:rPr>
            </w:pPr>
            <w:r>
              <w:rPr>
                <w:rFonts w:ascii="Times New Roman" w:hAnsi="Times New Roman" w:eastAsia="Times New Roman" w:cs="Times New Roman"/>
                <w:spacing w:val="-3"/>
                <w:sz w:val="20"/>
                <w:szCs w:val="20"/>
              </w:rPr>
              <w:t xml:space="preserve">1 </w:t>
            </w:r>
            <w:r>
              <w:rPr>
                <w:rFonts w:ascii="黑体" w:hAnsi="黑体" w:eastAsia="黑体" w:cs="黑体"/>
                <w:spacing w:val="-3"/>
                <w:sz w:val="20"/>
                <w:szCs w:val="20"/>
              </w:rPr>
              <w:t>、环境空</w:t>
            </w:r>
            <w:r>
              <w:rPr>
                <w:rFonts w:ascii="黑体" w:hAnsi="黑体" w:eastAsia="黑体" w:cs="黑体"/>
                <w:spacing w:val="-2"/>
                <w:sz w:val="20"/>
                <w:szCs w:val="20"/>
              </w:rPr>
              <w:t>气</w:t>
            </w:r>
          </w:p>
          <w:p>
            <w:pPr>
              <w:spacing w:before="101" w:line="385" w:lineRule="exact"/>
              <w:ind w:left="525"/>
              <w:rPr>
                <w:rFonts w:ascii="宋体" w:hAnsi="宋体" w:eastAsia="宋体" w:cs="宋体"/>
                <w:sz w:val="20"/>
                <w:szCs w:val="20"/>
              </w:rPr>
            </w:pPr>
            <w:r>
              <w:rPr>
                <w:rFonts w:ascii="宋体" w:hAnsi="宋体" w:eastAsia="宋体" w:cs="宋体"/>
                <w:spacing w:val="14"/>
                <w:position w:val="11"/>
                <w:sz w:val="20"/>
                <w:szCs w:val="20"/>
              </w:rPr>
              <w:t>执行《</w:t>
            </w:r>
            <w:r>
              <w:rPr>
                <w:rFonts w:ascii="宋体" w:hAnsi="宋体" w:eastAsia="宋体" w:cs="宋体"/>
                <w:spacing w:val="9"/>
                <w:position w:val="11"/>
                <w:sz w:val="20"/>
                <w:szCs w:val="20"/>
              </w:rPr>
              <w:t>环</w:t>
            </w:r>
            <w:r>
              <w:rPr>
                <w:rFonts w:ascii="宋体" w:hAnsi="宋体" w:eastAsia="宋体" w:cs="宋体"/>
                <w:spacing w:val="7"/>
                <w:position w:val="11"/>
                <w:sz w:val="20"/>
                <w:szCs w:val="20"/>
              </w:rPr>
              <w:t>境空气质量标准》</w:t>
            </w:r>
            <w:r>
              <w:rPr>
                <w:rFonts w:ascii="Times New Roman" w:hAnsi="Times New Roman" w:eastAsia="Times New Roman" w:cs="Times New Roman"/>
                <w:spacing w:val="7"/>
                <w:position w:val="11"/>
                <w:sz w:val="20"/>
                <w:szCs w:val="20"/>
              </w:rPr>
              <w:t>(</w:t>
            </w:r>
            <w:r>
              <w:rPr>
                <w:rFonts w:ascii="Times New Roman" w:hAnsi="Times New Roman" w:eastAsia="Times New Roman" w:cs="Times New Roman"/>
                <w:position w:val="11"/>
                <w:sz w:val="20"/>
                <w:szCs w:val="20"/>
              </w:rPr>
              <w:t>GB</w:t>
            </w:r>
            <w:r>
              <w:rPr>
                <w:rFonts w:ascii="Times New Roman" w:hAnsi="Times New Roman" w:eastAsia="Times New Roman" w:cs="Times New Roman"/>
                <w:spacing w:val="7"/>
                <w:position w:val="11"/>
                <w:sz w:val="20"/>
                <w:szCs w:val="20"/>
              </w:rPr>
              <w:t>3095-2012)</w:t>
            </w:r>
            <w:r>
              <w:rPr>
                <w:rFonts w:ascii="宋体" w:hAnsi="宋体" w:eastAsia="宋体" w:cs="宋体"/>
                <w:spacing w:val="7"/>
                <w:position w:val="11"/>
                <w:sz w:val="20"/>
                <w:szCs w:val="20"/>
              </w:rPr>
              <w:t>表</w:t>
            </w:r>
            <w:r>
              <w:rPr>
                <w:rFonts w:ascii="Times New Roman" w:hAnsi="Times New Roman" w:eastAsia="Times New Roman" w:cs="Times New Roman"/>
                <w:spacing w:val="7"/>
                <w:position w:val="11"/>
                <w:sz w:val="20"/>
                <w:szCs w:val="20"/>
              </w:rPr>
              <w:t>1</w:t>
            </w:r>
            <w:r>
              <w:rPr>
                <w:rFonts w:ascii="宋体" w:hAnsi="宋体" w:eastAsia="宋体" w:cs="宋体"/>
                <w:spacing w:val="7"/>
                <w:position w:val="11"/>
                <w:sz w:val="20"/>
                <w:szCs w:val="20"/>
              </w:rPr>
              <w:t>中的二级标准。</w:t>
            </w:r>
          </w:p>
          <w:p>
            <w:pPr>
              <w:spacing w:line="230" w:lineRule="auto"/>
              <w:ind w:left="2856"/>
              <w:rPr>
                <w:rFonts w:ascii="黑体" w:hAnsi="黑体" w:eastAsia="黑体" w:cs="黑体"/>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34    </w:t>
            </w:r>
            <w:r>
              <w:rPr>
                <w:rFonts w:ascii="黑体" w:hAnsi="黑体" w:eastAsia="黑体" w:cs="黑体"/>
                <w:spacing w:val="7"/>
                <w:sz w:val="19"/>
                <w:szCs w:val="19"/>
              </w:rPr>
              <w:t>环境空气质量标准限</w:t>
            </w:r>
            <w:r>
              <w:rPr>
                <w:rFonts w:ascii="黑体" w:hAnsi="黑体" w:eastAsia="黑体" w:cs="黑体"/>
                <w:spacing w:val="5"/>
                <w:sz w:val="19"/>
                <w:szCs w:val="19"/>
              </w:rPr>
              <w:t>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23" w:type="dxa"/>
            <w:vMerge w:val="continue"/>
            <w:tcBorders>
              <w:top w:val="nil"/>
              <w:left w:val="single" w:color="000000" w:sz="6" w:space="0"/>
              <w:bottom w:val="nil"/>
            </w:tcBorders>
            <w:vAlign w:val="top"/>
          </w:tcPr>
          <w:p>
            <w:pPr>
              <w:rPr>
                <w:rFonts w:ascii="Arial"/>
                <w:sz w:val="21"/>
              </w:rPr>
            </w:pPr>
          </w:p>
        </w:tc>
        <w:tc>
          <w:tcPr>
            <w:tcW w:w="2085" w:type="dxa"/>
            <w:gridSpan w:val="3"/>
            <w:vAlign w:val="top"/>
          </w:tcPr>
          <w:p>
            <w:pPr>
              <w:spacing w:before="71" w:line="231" w:lineRule="auto"/>
              <w:ind w:left="927"/>
              <w:rPr>
                <w:rFonts w:ascii="宋体" w:hAnsi="宋体" w:eastAsia="宋体" w:cs="宋体"/>
                <w:sz w:val="17"/>
                <w:szCs w:val="17"/>
              </w:rPr>
            </w:pPr>
            <w:r>
              <w:rPr>
                <w:rFonts w:ascii="宋体" w:hAnsi="宋体" w:eastAsia="宋体" w:cs="宋体"/>
                <w:spacing w:val="5"/>
                <w:sz w:val="17"/>
                <w:szCs w:val="17"/>
                <w14:textOutline w14:w="3268" w14:cap="sq" w14:cmpd="sng">
                  <w14:solidFill>
                    <w14:srgbClr w14:val="000000"/>
                  </w14:solidFill>
                  <w14:prstDash w14:val="solid"/>
                  <w14:bevel/>
                </w14:textOutline>
              </w:rPr>
              <w:t>指标</w:t>
            </w:r>
          </w:p>
        </w:tc>
        <w:tc>
          <w:tcPr>
            <w:tcW w:w="737" w:type="dxa"/>
            <w:vAlign w:val="top"/>
          </w:tcPr>
          <w:p>
            <w:pPr>
              <w:spacing w:before="100" w:line="202" w:lineRule="auto"/>
              <w:ind w:left="224"/>
              <w:rPr>
                <w:rFonts w:ascii="Times New Roman" w:hAnsi="Times New Roman" w:eastAsia="Times New Roman" w:cs="Times New Roman"/>
                <w:sz w:val="11"/>
                <w:szCs w:val="11"/>
              </w:rPr>
            </w:pPr>
            <w:r>
              <w:rPr>
                <w:rFonts w:ascii="Times New Roman" w:hAnsi="Times New Roman" w:eastAsia="Times New Roman" w:cs="Times New Roman"/>
                <w:b/>
                <w:bCs/>
                <w:sz w:val="17"/>
                <w:szCs w:val="17"/>
              </w:rPr>
              <w:t>SO</w:t>
            </w:r>
            <w:r>
              <w:rPr>
                <w:rFonts w:ascii="Times New Roman" w:hAnsi="Times New Roman" w:eastAsia="Times New Roman" w:cs="Times New Roman"/>
                <w:b/>
                <w:bCs/>
                <w:spacing w:val="6"/>
                <w:position w:val="-1"/>
                <w:sz w:val="11"/>
                <w:szCs w:val="11"/>
              </w:rPr>
              <w:t>2</w:t>
            </w:r>
          </w:p>
        </w:tc>
        <w:tc>
          <w:tcPr>
            <w:tcW w:w="891" w:type="dxa"/>
            <w:gridSpan w:val="2"/>
            <w:vAlign w:val="top"/>
          </w:tcPr>
          <w:p>
            <w:pPr>
              <w:spacing w:before="100" w:line="202" w:lineRule="auto"/>
              <w:ind w:left="280"/>
              <w:rPr>
                <w:rFonts w:ascii="Times New Roman" w:hAnsi="Times New Roman" w:eastAsia="Times New Roman" w:cs="Times New Roman"/>
                <w:sz w:val="11"/>
                <w:szCs w:val="11"/>
              </w:rPr>
            </w:pPr>
            <w:r>
              <w:rPr>
                <w:rFonts w:ascii="Times New Roman" w:hAnsi="Times New Roman" w:eastAsia="Times New Roman" w:cs="Times New Roman"/>
                <w:b/>
                <w:bCs/>
                <w:sz w:val="17"/>
                <w:szCs w:val="17"/>
              </w:rPr>
              <w:t>NO</w:t>
            </w:r>
            <w:r>
              <w:rPr>
                <w:rFonts w:ascii="Times New Roman" w:hAnsi="Times New Roman" w:eastAsia="Times New Roman" w:cs="Times New Roman"/>
                <w:b/>
                <w:bCs/>
                <w:spacing w:val="13"/>
                <w:position w:val="-1"/>
                <w:sz w:val="11"/>
                <w:szCs w:val="11"/>
              </w:rPr>
              <w:t>2</w:t>
            </w:r>
          </w:p>
        </w:tc>
        <w:tc>
          <w:tcPr>
            <w:tcW w:w="787" w:type="dxa"/>
            <w:gridSpan w:val="3"/>
            <w:vAlign w:val="top"/>
          </w:tcPr>
          <w:p>
            <w:pPr>
              <w:spacing w:before="103" w:line="199" w:lineRule="auto"/>
              <w:ind w:left="197"/>
              <w:rPr>
                <w:rFonts w:ascii="Times New Roman" w:hAnsi="Times New Roman" w:eastAsia="Times New Roman" w:cs="Times New Roman"/>
                <w:sz w:val="11"/>
                <w:szCs w:val="11"/>
              </w:rPr>
            </w:pPr>
            <w:r>
              <w:rPr>
                <w:rFonts w:ascii="Times New Roman" w:hAnsi="Times New Roman" w:eastAsia="Times New Roman" w:cs="Times New Roman"/>
                <w:b/>
                <w:bCs/>
                <w:sz w:val="17"/>
                <w:szCs w:val="17"/>
              </w:rPr>
              <w:t>PM</w:t>
            </w:r>
            <w:r>
              <w:rPr>
                <w:rFonts w:ascii="Times New Roman" w:hAnsi="Times New Roman" w:eastAsia="Times New Roman" w:cs="Times New Roman"/>
                <w:b/>
                <w:bCs/>
                <w:spacing w:val="7"/>
                <w:position w:val="-1"/>
                <w:sz w:val="11"/>
                <w:szCs w:val="11"/>
              </w:rPr>
              <w:t>10</w:t>
            </w:r>
          </w:p>
        </w:tc>
        <w:tc>
          <w:tcPr>
            <w:tcW w:w="856" w:type="dxa"/>
            <w:gridSpan w:val="2"/>
            <w:vAlign w:val="top"/>
          </w:tcPr>
          <w:p>
            <w:pPr>
              <w:spacing w:before="103" w:line="199" w:lineRule="auto"/>
              <w:ind w:left="219"/>
              <w:rPr>
                <w:rFonts w:ascii="Times New Roman" w:hAnsi="Times New Roman" w:eastAsia="Times New Roman" w:cs="Times New Roman"/>
                <w:sz w:val="11"/>
                <w:szCs w:val="11"/>
              </w:rPr>
            </w:pPr>
            <w:r>
              <w:rPr>
                <w:rFonts w:ascii="Times New Roman" w:hAnsi="Times New Roman" w:eastAsia="Times New Roman" w:cs="Times New Roman"/>
                <w:b/>
                <w:bCs/>
                <w:sz w:val="17"/>
                <w:szCs w:val="17"/>
              </w:rPr>
              <w:t>PM</w:t>
            </w:r>
            <w:r>
              <w:rPr>
                <w:rFonts w:ascii="Times New Roman" w:hAnsi="Times New Roman" w:eastAsia="Times New Roman" w:cs="Times New Roman"/>
                <w:b/>
                <w:bCs/>
                <w:spacing w:val="5"/>
                <w:position w:val="-1"/>
                <w:sz w:val="11"/>
                <w:szCs w:val="11"/>
              </w:rPr>
              <w:t>2.5</w:t>
            </w:r>
          </w:p>
        </w:tc>
        <w:tc>
          <w:tcPr>
            <w:tcW w:w="870" w:type="dxa"/>
            <w:gridSpan w:val="3"/>
            <w:vAlign w:val="top"/>
          </w:tcPr>
          <w:p>
            <w:pPr>
              <w:spacing w:before="56" w:line="234" w:lineRule="auto"/>
              <w:ind w:left="189"/>
              <w:rPr>
                <w:rFonts w:ascii="宋体" w:hAnsi="宋体" w:eastAsia="宋体" w:cs="宋体"/>
                <w:sz w:val="8"/>
                <w:szCs w:val="8"/>
              </w:rPr>
            </w:pPr>
            <w:r>
              <w:rPr>
                <w:rFonts w:ascii="Times New Roman" w:hAnsi="Times New Roman" w:eastAsia="Times New Roman" w:cs="Times New Roman"/>
                <w:b/>
                <w:bCs/>
                <w:position w:val="-3"/>
                <w:sz w:val="17"/>
                <w:szCs w:val="17"/>
              </w:rPr>
              <w:t>CO</w:t>
            </w:r>
            <w:r>
              <w:rPr>
                <w:rFonts w:ascii="Times New Roman" w:hAnsi="Times New Roman" w:eastAsia="Times New Roman" w:cs="Times New Roman"/>
                <w:spacing w:val="5"/>
                <w:position w:val="-3"/>
                <w:sz w:val="17"/>
                <w:szCs w:val="17"/>
              </w:rPr>
              <w:t xml:space="preserve"> </w:t>
            </w:r>
            <w:r>
              <w:rPr>
                <w:rFonts w:ascii="宋体" w:hAnsi="宋体" w:eastAsia="宋体" w:cs="宋体"/>
                <w:spacing w:val="4"/>
                <w:position w:val="4"/>
                <w:sz w:val="8"/>
                <w:szCs w:val="8"/>
                <w14:textOutline w14:w="1616" w14:cap="sq" w14:cmpd="sng">
                  <w14:solidFill>
                    <w14:srgbClr w14:val="000000"/>
                  </w14:solidFill>
                  <w14:prstDash w14:val="solid"/>
                  <w14:bevel/>
                </w14:textOutline>
              </w:rPr>
              <w:t>(</w:t>
            </w:r>
            <w:r>
              <w:rPr>
                <w:rFonts w:ascii="Times New Roman" w:hAnsi="Times New Roman" w:eastAsia="Times New Roman" w:cs="Times New Roman"/>
                <w:b/>
                <w:bCs/>
                <w:spacing w:val="4"/>
                <w:position w:val="4"/>
                <w:sz w:val="11"/>
                <w:szCs w:val="11"/>
              </w:rPr>
              <w:t>1</w:t>
            </w:r>
            <w:r>
              <w:rPr>
                <w:rFonts w:ascii="宋体" w:hAnsi="宋体" w:eastAsia="宋体" w:cs="宋体"/>
                <w:spacing w:val="4"/>
                <w:position w:val="4"/>
                <w:sz w:val="8"/>
                <w:szCs w:val="8"/>
                <w14:textOutline w14:w="1616" w14:cap="sq" w14:cmpd="sng">
                  <w14:solidFill>
                    <w14:srgbClr w14:val="000000"/>
                  </w14:solidFill>
                  <w14:prstDash w14:val="solid"/>
                  <w14:bevel/>
                </w14:textOutline>
              </w:rPr>
              <w:t>)</w:t>
            </w:r>
          </w:p>
        </w:tc>
        <w:tc>
          <w:tcPr>
            <w:tcW w:w="954" w:type="dxa"/>
            <w:gridSpan w:val="2"/>
            <w:vAlign w:val="top"/>
          </w:tcPr>
          <w:p>
            <w:pPr>
              <w:spacing w:before="100" w:line="202" w:lineRule="auto"/>
              <w:ind w:left="394"/>
              <w:rPr>
                <w:rFonts w:ascii="Times New Roman" w:hAnsi="Times New Roman" w:eastAsia="Times New Roman" w:cs="Times New Roman"/>
                <w:sz w:val="11"/>
                <w:szCs w:val="11"/>
              </w:rPr>
            </w:pPr>
            <w:r>
              <w:rPr>
                <w:rFonts w:ascii="Times New Roman" w:hAnsi="Times New Roman" w:eastAsia="Times New Roman" w:cs="Times New Roman"/>
                <w:b/>
                <w:bCs/>
                <w:sz w:val="17"/>
                <w:szCs w:val="17"/>
              </w:rPr>
              <w:t>O</w:t>
            </w:r>
            <w:r>
              <w:rPr>
                <w:rFonts w:ascii="Times New Roman" w:hAnsi="Times New Roman" w:eastAsia="Times New Roman" w:cs="Times New Roman"/>
                <w:b/>
                <w:bCs/>
                <w:spacing w:val="4"/>
                <w:position w:val="-1"/>
                <w:sz w:val="11"/>
                <w:szCs w:val="11"/>
              </w:rPr>
              <w:t>3</w:t>
            </w:r>
          </w:p>
        </w:tc>
        <w:tc>
          <w:tcPr>
            <w:tcW w:w="987" w:type="dxa"/>
            <w:vAlign w:val="top"/>
          </w:tcPr>
          <w:p>
            <w:pPr>
              <w:spacing w:before="100" w:line="197" w:lineRule="auto"/>
              <w:ind w:left="347"/>
              <w:rPr>
                <w:rFonts w:ascii="Times New Roman" w:hAnsi="Times New Roman" w:eastAsia="Times New Roman" w:cs="Times New Roman"/>
                <w:sz w:val="17"/>
                <w:szCs w:val="17"/>
              </w:rPr>
            </w:pPr>
            <w:r>
              <w:rPr>
                <w:rFonts w:ascii="Times New Roman" w:hAnsi="Times New Roman" w:eastAsia="Times New Roman" w:cs="Times New Roman"/>
                <w:b/>
                <w:bCs/>
                <w:spacing w:val="4"/>
                <w:sz w:val="17"/>
                <w:szCs w:val="17"/>
              </w:rPr>
              <w:t>TSP</w:t>
            </w:r>
          </w:p>
        </w:tc>
        <w:tc>
          <w:tcPr>
            <w:tcW w:w="136"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23" w:type="dxa"/>
            <w:vMerge w:val="continue"/>
            <w:tcBorders>
              <w:top w:val="nil"/>
              <w:left w:val="single" w:color="000000" w:sz="6" w:space="0"/>
              <w:bottom w:val="nil"/>
            </w:tcBorders>
            <w:vAlign w:val="top"/>
          </w:tcPr>
          <w:p>
            <w:pPr>
              <w:rPr>
                <w:rFonts w:ascii="Arial"/>
                <w:sz w:val="21"/>
              </w:rPr>
            </w:pPr>
          </w:p>
        </w:tc>
        <w:tc>
          <w:tcPr>
            <w:tcW w:w="2085" w:type="dxa"/>
            <w:gridSpan w:val="3"/>
            <w:vAlign w:val="top"/>
          </w:tcPr>
          <w:p>
            <w:pPr>
              <w:spacing w:before="72" w:line="231" w:lineRule="auto"/>
              <w:ind w:left="750"/>
              <w:rPr>
                <w:rFonts w:ascii="宋体" w:hAnsi="宋体" w:eastAsia="宋体" w:cs="宋体"/>
                <w:sz w:val="17"/>
                <w:szCs w:val="17"/>
              </w:rPr>
            </w:pPr>
            <w:r>
              <w:rPr>
                <w:rFonts w:ascii="宋体" w:hAnsi="宋体" w:eastAsia="宋体" w:cs="宋体"/>
                <w:spacing w:val="7"/>
                <w:sz w:val="17"/>
                <w:szCs w:val="17"/>
              </w:rPr>
              <w:t>小时平均</w:t>
            </w:r>
          </w:p>
        </w:tc>
        <w:tc>
          <w:tcPr>
            <w:tcW w:w="737" w:type="dxa"/>
            <w:vAlign w:val="top"/>
          </w:tcPr>
          <w:p>
            <w:pPr>
              <w:spacing w:before="100"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500</w:t>
            </w:r>
          </w:p>
        </w:tc>
        <w:tc>
          <w:tcPr>
            <w:tcW w:w="891" w:type="dxa"/>
            <w:gridSpan w:val="2"/>
            <w:vAlign w:val="top"/>
          </w:tcPr>
          <w:p>
            <w:pPr>
              <w:spacing w:before="100" w:line="197" w:lineRule="auto"/>
              <w:ind w:left="31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00</w:t>
            </w:r>
          </w:p>
        </w:tc>
        <w:tc>
          <w:tcPr>
            <w:tcW w:w="787" w:type="dxa"/>
            <w:gridSpan w:val="3"/>
            <w:vAlign w:val="top"/>
          </w:tcPr>
          <w:p>
            <w:pPr>
              <w:spacing w:before="37" w:line="242" w:lineRule="exact"/>
              <w:ind w:left="366"/>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56" w:type="dxa"/>
            <w:gridSpan w:val="2"/>
            <w:vAlign w:val="top"/>
          </w:tcPr>
          <w:p>
            <w:pPr>
              <w:spacing w:before="37" w:line="242" w:lineRule="exact"/>
              <w:ind w:left="402"/>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70" w:type="dxa"/>
            <w:gridSpan w:val="3"/>
            <w:vAlign w:val="top"/>
          </w:tcPr>
          <w:p>
            <w:pPr>
              <w:spacing w:before="100" w:line="197" w:lineRule="auto"/>
              <w:ind w:left="36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10</w:t>
            </w:r>
          </w:p>
        </w:tc>
        <w:tc>
          <w:tcPr>
            <w:tcW w:w="954" w:type="dxa"/>
            <w:gridSpan w:val="2"/>
            <w:vAlign w:val="top"/>
          </w:tcPr>
          <w:p>
            <w:pPr>
              <w:spacing w:before="100" w:line="197" w:lineRule="auto"/>
              <w:ind w:left="35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00</w:t>
            </w:r>
          </w:p>
        </w:tc>
        <w:tc>
          <w:tcPr>
            <w:tcW w:w="987" w:type="dxa"/>
            <w:vAlign w:val="top"/>
          </w:tcPr>
          <w:p>
            <w:pPr>
              <w:spacing w:before="37" w:line="242" w:lineRule="exact"/>
              <w:ind w:left="47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3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23" w:type="dxa"/>
            <w:vMerge w:val="continue"/>
            <w:tcBorders>
              <w:top w:val="nil"/>
              <w:left w:val="single" w:color="000000" w:sz="6" w:space="0"/>
              <w:bottom w:val="nil"/>
            </w:tcBorders>
            <w:vAlign w:val="top"/>
          </w:tcPr>
          <w:p>
            <w:pPr>
              <w:rPr>
                <w:rFonts w:ascii="Arial"/>
                <w:sz w:val="21"/>
              </w:rPr>
            </w:pPr>
          </w:p>
        </w:tc>
        <w:tc>
          <w:tcPr>
            <w:tcW w:w="2085" w:type="dxa"/>
            <w:gridSpan w:val="3"/>
            <w:vAlign w:val="top"/>
          </w:tcPr>
          <w:p>
            <w:pPr>
              <w:spacing w:before="70" w:line="231" w:lineRule="auto"/>
              <w:ind w:left="864"/>
              <w:rPr>
                <w:rFonts w:ascii="宋体" w:hAnsi="宋体" w:eastAsia="宋体" w:cs="宋体"/>
                <w:sz w:val="17"/>
                <w:szCs w:val="17"/>
              </w:rPr>
            </w:pPr>
            <w:r>
              <w:rPr>
                <w:rFonts w:ascii="宋体" w:hAnsi="宋体" w:eastAsia="宋体" w:cs="宋体"/>
                <w:spacing w:val="-4"/>
                <w:sz w:val="17"/>
                <w:szCs w:val="17"/>
              </w:rPr>
              <w:t>日</w:t>
            </w:r>
            <w:r>
              <w:rPr>
                <w:rFonts w:ascii="宋体" w:hAnsi="宋体" w:eastAsia="宋体" w:cs="宋体"/>
                <w:spacing w:val="-2"/>
                <w:sz w:val="17"/>
                <w:szCs w:val="17"/>
              </w:rPr>
              <w:t>平均</w:t>
            </w:r>
          </w:p>
        </w:tc>
        <w:tc>
          <w:tcPr>
            <w:tcW w:w="737" w:type="dxa"/>
            <w:vAlign w:val="top"/>
          </w:tcPr>
          <w:p>
            <w:pPr>
              <w:spacing w:before="101" w:line="197" w:lineRule="auto"/>
              <w:ind w:left="248"/>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50</w:t>
            </w:r>
          </w:p>
        </w:tc>
        <w:tc>
          <w:tcPr>
            <w:tcW w:w="891" w:type="dxa"/>
            <w:gridSpan w:val="2"/>
            <w:vAlign w:val="top"/>
          </w:tcPr>
          <w:p>
            <w:pPr>
              <w:spacing w:before="101" w:line="197" w:lineRule="auto"/>
              <w:ind w:left="363"/>
              <w:rPr>
                <w:rFonts w:ascii="Times New Roman" w:hAnsi="Times New Roman" w:eastAsia="Times New Roman" w:cs="Times New Roman"/>
                <w:sz w:val="17"/>
                <w:szCs w:val="17"/>
              </w:rPr>
            </w:pPr>
            <w:r>
              <w:rPr>
                <w:rFonts w:ascii="Times New Roman" w:hAnsi="Times New Roman" w:eastAsia="Times New Roman" w:cs="Times New Roman"/>
                <w:sz w:val="17"/>
                <w:szCs w:val="17"/>
              </w:rPr>
              <w:t>80</w:t>
            </w:r>
          </w:p>
        </w:tc>
        <w:tc>
          <w:tcPr>
            <w:tcW w:w="787" w:type="dxa"/>
            <w:gridSpan w:val="3"/>
            <w:vAlign w:val="top"/>
          </w:tcPr>
          <w:p>
            <w:pPr>
              <w:spacing w:before="101" w:line="197" w:lineRule="auto"/>
              <w:ind w:left="27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50</w:t>
            </w:r>
          </w:p>
        </w:tc>
        <w:tc>
          <w:tcPr>
            <w:tcW w:w="856" w:type="dxa"/>
            <w:gridSpan w:val="2"/>
            <w:vAlign w:val="top"/>
          </w:tcPr>
          <w:p>
            <w:pPr>
              <w:spacing w:before="103" w:line="194" w:lineRule="auto"/>
              <w:ind w:left="34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75</w:t>
            </w:r>
          </w:p>
        </w:tc>
        <w:tc>
          <w:tcPr>
            <w:tcW w:w="870" w:type="dxa"/>
            <w:gridSpan w:val="3"/>
            <w:vAlign w:val="top"/>
          </w:tcPr>
          <w:p>
            <w:pPr>
              <w:spacing w:before="101" w:line="197" w:lineRule="auto"/>
              <w:ind w:left="39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954" w:type="dxa"/>
            <w:gridSpan w:val="2"/>
            <w:vAlign w:val="top"/>
          </w:tcPr>
          <w:p>
            <w:pPr>
              <w:spacing w:before="57" w:line="234" w:lineRule="auto"/>
              <w:ind w:left="254"/>
              <w:rPr>
                <w:rFonts w:ascii="宋体" w:hAnsi="宋体" w:eastAsia="宋体" w:cs="宋体"/>
                <w:sz w:val="8"/>
                <w:szCs w:val="8"/>
              </w:rPr>
            </w:pPr>
            <w:r>
              <w:rPr>
                <w:rFonts w:ascii="Times New Roman" w:hAnsi="Times New Roman" w:eastAsia="Times New Roman" w:cs="Times New Roman"/>
                <w:spacing w:val="1"/>
                <w:position w:val="-2"/>
                <w:sz w:val="17"/>
                <w:szCs w:val="17"/>
              </w:rPr>
              <w:t>160</w:t>
            </w:r>
            <w:r>
              <w:rPr>
                <w:rFonts w:ascii="Times New Roman" w:hAnsi="Times New Roman" w:eastAsia="Times New Roman" w:cs="Times New Roman"/>
                <w:position w:val="-2"/>
                <w:sz w:val="17"/>
                <w:szCs w:val="17"/>
              </w:rPr>
              <w:t xml:space="preserve"> </w:t>
            </w:r>
            <w:r>
              <w:rPr>
                <w:rFonts w:ascii="宋体" w:hAnsi="宋体" w:eastAsia="宋体" w:cs="宋体"/>
                <w:position w:val="5"/>
                <w:sz w:val="8"/>
                <w:szCs w:val="8"/>
              </w:rPr>
              <w:t>(</w:t>
            </w:r>
            <w:r>
              <w:rPr>
                <w:rFonts w:ascii="Times New Roman" w:hAnsi="Times New Roman" w:eastAsia="Times New Roman" w:cs="Times New Roman"/>
                <w:position w:val="5"/>
                <w:sz w:val="11"/>
                <w:szCs w:val="11"/>
              </w:rPr>
              <w:t>2</w:t>
            </w:r>
            <w:r>
              <w:rPr>
                <w:rFonts w:ascii="宋体" w:hAnsi="宋体" w:eastAsia="宋体" w:cs="宋体"/>
                <w:position w:val="5"/>
                <w:sz w:val="8"/>
                <w:szCs w:val="8"/>
              </w:rPr>
              <w:t>)</w:t>
            </w:r>
          </w:p>
        </w:tc>
        <w:tc>
          <w:tcPr>
            <w:tcW w:w="987" w:type="dxa"/>
            <w:vAlign w:val="top"/>
          </w:tcPr>
          <w:p>
            <w:pPr>
              <w:spacing w:before="101" w:line="197" w:lineRule="auto"/>
              <w:ind w:left="37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00</w:t>
            </w:r>
          </w:p>
        </w:tc>
        <w:tc>
          <w:tcPr>
            <w:tcW w:w="13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23" w:type="dxa"/>
            <w:vMerge w:val="continue"/>
            <w:tcBorders>
              <w:top w:val="nil"/>
              <w:left w:val="single" w:color="000000" w:sz="6" w:space="0"/>
              <w:bottom w:val="nil"/>
            </w:tcBorders>
            <w:vAlign w:val="top"/>
          </w:tcPr>
          <w:p>
            <w:pPr>
              <w:rPr>
                <w:rFonts w:ascii="Arial"/>
                <w:sz w:val="21"/>
              </w:rPr>
            </w:pPr>
          </w:p>
        </w:tc>
        <w:tc>
          <w:tcPr>
            <w:tcW w:w="2085" w:type="dxa"/>
            <w:gridSpan w:val="3"/>
            <w:vAlign w:val="top"/>
          </w:tcPr>
          <w:p>
            <w:pPr>
              <w:spacing w:before="70" w:line="230" w:lineRule="auto"/>
              <w:ind w:left="834"/>
              <w:rPr>
                <w:rFonts w:ascii="宋体" w:hAnsi="宋体" w:eastAsia="宋体" w:cs="宋体"/>
                <w:sz w:val="17"/>
                <w:szCs w:val="17"/>
              </w:rPr>
            </w:pPr>
            <w:r>
              <w:rPr>
                <w:rFonts w:ascii="宋体" w:hAnsi="宋体" w:eastAsia="宋体" w:cs="宋体"/>
                <w:spacing w:val="8"/>
                <w:sz w:val="17"/>
                <w:szCs w:val="17"/>
              </w:rPr>
              <w:t>年</w:t>
            </w:r>
            <w:r>
              <w:rPr>
                <w:rFonts w:ascii="宋体" w:hAnsi="宋体" w:eastAsia="宋体" w:cs="宋体"/>
                <w:spacing w:val="7"/>
                <w:sz w:val="17"/>
                <w:szCs w:val="17"/>
              </w:rPr>
              <w:t>平均</w:t>
            </w:r>
          </w:p>
        </w:tc>
        <w:tc>
          <w:tcPr>
            <w:tcW w:w="737" w:type="dxa"/>
            <w:vAlign w:val="top"/>
          </w:tcPr>
          <w:p>
            <w:pPr>
              <w:spacing w:before="101" w:line="197" w:lineRule="auto"/>
              <w:ind w:left="28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891" w:type="dxa"/>
            <w:gridSpan w:val="2"/>
            <w:vAlign w:val="top"/>
          </w:tcPr>
          <w:p>
            <w:pPr>
              <w:spacing w:before="101" w:line="197" w:lineRule="auto"/>
              <w:ind w:left="35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40</w:t>
            </w:r>
          </w:p>
        </w:tc>
        <w:tc>
          <w:tcPr>
            <w:tcW w:w="787" w:type="dxa"/>
            <w:gridSpan w:val="3"/>
            <w:vAlign w:val="top"/>
          </w:tcPr>
          <w:p>
            <w:pPr>
              <w:spacing w:before="101" w:line="197" w:lineRule="auto"/>
              <w:ind w:left="30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70</w:t>
            </w:r>
          </w:p>
        </w:tc>
        <w:tc>
          <w:tcPr>
            <w:tcW w:w="856" w:type="dxa"/>
            <w:gridSpan w:val="2"/>
            <w:vAlign w:val="top"/>
          </w:tcPr>
          <w:p>
            <w:pPr>
              <w:spacing w:before="101" w:line="197" w:lineRule="auto"/>
              <w:ind w:left="34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5</w:t>
            </w:r>
          </w:p>
        </w:tc>
        <w:tc>
          <w:tcPr>
            <w:tcW w:w="870" w:type="dxa"/>
            <w:gridSpan w:val="3"/>
            <w:vAlign w:val="top"/>
          </w:tcPr>
          <w:p>
            <w:pPr>
              <w:spacing w:before="38" w:line="242" w:lineRule="exact"/>
              <w:ind w:left="410"/>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954" w:type="dxa"/>
            <w:gridSpan w:val="2"/>
            <w:vAlign w:val="top"/>
          </w:tcPr>
          <w:p>
            <w:pPr>
              <w:spacing w:before="38" w:line="242" w:lineRule="exact"/>
              <w:ind w:left="461"/>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987" w:type="dxa"/>
            <w:vAlign w:val="top"/>
          </w:tcPr>
          <w:p>
            <w:pPr>
              <w:spacing w:before="101" w:line="197" w:lineRule="auto"/>
              <w:ind w:left="373"/>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00</w:t>
            </w:r>
          </w:p>
        </w:tc>
        <w:tc>
          <w:tcPr>
            <w:tcW w:w="13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23" w:type="dxa"/>
            <w:vMerge w:val="continue"/>
            <w:tcBorders>
              <w:top w:val="nil"/>
              <w:left w:val="single" w:color="000000" w:sz="6" w:space="0"/>
              <w:bottom w:val="nil"/>
            </w:tcBorders>
            <w:vAlign w:val="top"/>
          </w:tcPr>
          <w:p>
            <w:pPr>
              <w:rPr>
                <w:rFonts w:ascii="Arial"/>
                <w:sz w:val="21"/>
              </w:rPr>
            </w:pPr>
          </w:p>
        </w:tc>
        <w:tc>
          <w:tcPr>
            <w:tcW w:w="2085" w:type="dxa"/>
            <w:gridSpan w:val="3"/>
            <w:vAlign w:val="top"/>
          </w:tcPr>
          <w:p>
            <w:pPr>
              <w:spacing w:before="71" w:line="231" w:lineRule="auto"/>
              <w:ind w:left="925"/>
              <w:rPr>
                <w:rFonts w:ascii="宋体" w:hAnsi="宋体" w:eastAsia="宋体" w:cs="宋体"/>
                <w:sz w:val="17"/>
                <w:szCs w:val="17"/>
              </w:rPr>
            </w:pPr>
            <w:r>
              <w:rPr>
                <w:rFonts w:ascii="宋体" w:hAnsi="宋体" w:eastAsia="宋体" w:cs="宋体"/>
                <w:spacing w:val="6"/>
                <w:sz w:val="17"/>
                <w:szCs w:val="17"/>
              </w:rPr>
              <w:t>标准</w:t>
            </w:r>
          </w:p>
        </w:tc>
        <w:tc>
          <w:tcPr>
            <w:tcW w:w="5095" w:type="dxa"/>
            <w:gridSpan w:val="13"/>
            <w:vAlign w:val="top"/>
          </w:tcPr>
          <w:p>
            <w:pPr>
              <w:spacing w:before="71" w:line="231" w:lineRule="auto"/>
              <w:ind w:left="768"/>
              <w:rPr>
                <w:rFonts w:ascii="宋体" w:hAnsi="宋体" w:eastAsia="宋体" w:cs="宋体"/>
                <w:sz w:val="17"/>
                <w:szCs w:val="17"/>
              </w:rPr>
            </w:pPr>
            <w:r>
              <w:rPr>
                <w:rFonts w:ascii="宋体" w:hAnsi="宋体" w:eastAsia="宋体" w:cs="宋体"/>
                <w:spacing w:val="14"/>
                <w:sz w:val="17"/>
                <w:szCs w:val="17"/>
              </w:rPr>
              <w:t>《环</w:t>
            </w:r>
            <w:r>
              <w:rPr>
                <w:rFonts w:ascii="宋体" w:hAnsi="宋体" w:eastAsia="宋体" w:cs="宋体"/>
                <w:spacing w:val="12"/>
                <w:sz w:val="17"/>
                <w:szCs w:val="17"/>
              </w:rPr>
              <w:t>境</w:t>
            </w:r>
            <w:r>
              <w:rPr>
                <w:rFonts w:ascii="宋体" w:hAnsi="宋体" w:eastAsia="宋体" w:cs="宋体"/>
                <w:spacing w:val="7"/>
                <w:sz w:val="17"/>
                <w:szCs w:val="17"/>
              </w:rPr>
              <w:t>空气质量标准》</w:t>
            </w:r>
            <w:r>
              <w:rPr>
                <w:rFonts w:ascii="Times New Roman" w:hAnsi="Times New Roman" w:eastAsia="Times New Roman" w:cs="Times New Roman"/>
                <w:sz w:val="17"/>
                <w:szCs w:val="17"/>
              </w:rPr>
              <w:t>GB</w:t>
            </w:r>
            <w:r>
              <w:rPr>
                <w:rFonts w:ascii="Times New Roman" w:hAnsi="Times New Roman" w:eastAsia="Times New Roman" w:cs="Times New Roman"/>
                <w:spacing w:val="7"/>
                <w:sz w:val="17"/>
                <w:szCs w:val="17"/>
              </w:rPr>
              <w:t xml:space="preserve">3095-2012 </w:t>
            </w:r>
            <w:r>
              <w:rPr>
                <w:rFonts w:ascii="宋体" w:hAnsi="宋体" w:eastAsia="宋体" w:cs="宋体"/>
                <w:spacing w:val="7"/>
                <w:sz w:val="17"/>
                <w:szCs w:val="17"/>
              </w:rPr>
              <w:t>二级标准</w:t>
            </w:r>
          </w:p>
        </w:tc>
        <w:tc>
          <w:tcPr>
            <w:tcW w:w="987" w:type="dxa"/>
            <w:vAlign w:val="top"/>
          </w:tcPr>
          <w:p>
            <w:pPr>
              <w:rPr>
                <w:rFonts w:ascii="Arial"/>
                <w:sz w:val="21"/>
              </w:rPr>
            </w:pPr>
          </w:p>
        </w:tc>
        <w:tc>
          <w:tcPr>
            <w:tcW w:w="13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5" w:hRule="atLeast"/>
        </w:trPr>
        <w:tc>
          <w:tcPr>
            <w:tcW w:w="623" w:type="dxa"/>
            <w:vMerge w:val="continue"/>
            <w:tcBorders>
              <w:top w:val="nil"/>
              <w:left w:val="single" w:color="000000" w:sz="6" w:space="0"/>
              <w:bottom w:val="nil"/>
            </w:tcBorders>
            <w:vAlign w:val="top"/>
          </w:tcPr>
          <w:p>
            <w:pPr>
              <w:rPr>
                <w:rFonts w:ascii="Arial"/>
                <w:sz w:val="21"/>
              </w:rPr>
            </w:pPr>
          </w:p>
        </w:tc>
        <w:tc>
          <w:tcPr>
            <w:tcW w:w="8167" w:type="dxa"/>
            <w:gridSpan w:val="17"/>
            <w:vAlign w:val="top"/>
          </w:tcPr>
          <w:p>
            <w:pPr>
              <w:spacing w:before="36" w:line="242" w:lineRule="exact"/>
              <w:ind w:left="161"/>
              <w:rPr>
                <w:rFonts w:ascii="宋体" w:hAnsi="宋体" w:eastAsia="宋体" w:cs="宋体"/>
                <w:sz w:val="17"/>
                <w:szCs w:val="17"/>
              </w:rPr>
            </w:pPr>
            <w:r>
              <w:rPr>
                <w:rFonts w:ascii="新宋体" w:hAnsi="新宋体" w:eastAsia="新宋体" w:cs="新宋体"/>
                <w:spacing w:val="-1"/>
                <w:position w:val="2"/>
                <w:sz w:val="17"/>
                <w:szCs w:val="17"/>
                <w14:textOutline w14:w="3268" w14:cap="sq" w14:cmpd="sng">
                  <w14:solidFill>
                    <w14:srgbClr w14:val="000000"/>
                  </w14:solidFill>
                  <w14:prstDash w14:val="solid"/>
                  <w14:bevel/>
                </w14:textOutline>
              </w:rPr>
              <w:t>说明</w:t>
            </w:r>
            <w:r>
              <w:rPr>
                <w:rFonts w:ascii="新宋体" w:hAnsi="新宋体" w:eastAsia="新宋体" w:cs="新宋体"/>
                <w:spacing w:val="-1"/>
                <w:position w:val="2"/>
                <w:sz w:val="17"/>
                <w:szCs w:val="17"/>
              </w:rPr>
              <w:t>：  (</w:t>
            </w:r>
            <w:r>
              <w:rPr>
                <w:rFonts w:ascii="Times New Roman" w:hAnsi="Times New Roman" w:eastAsia="Times New Roman" w:cs="Times New Roman"/>
                <w:spacing w:val="-1"/>
                <w:position w:val="2"/>
                <w:sz w:val="17"/>
                <w:szCs w:val="17"/>
              </w:rPr>
              <w:t>1</w:t>
            </w:r>
            <w:r>
              <w:rPr>
                <w:rFonts w:ascii="新宋体" w:hAnsi="新宋体" w:eastAsia="新宋体" w:cs="新宋体"/>
                <w:spacing w:val="-1"/>
                <w:position w:val="2"/>
                <w:sz w:val="17"/>
                <w:szCs w:val="17"/>
              </w:rPr>
              <w:t xml:space="preserve">) </w:t>
            </w:r>
            <w:r>
              <w:rPr>
                <w:rFonts w:ascii="Times New Roman" w:hAnsi="Times New Roman" w:eastAsia="Times New Roman" w:cs="Times New Roman"/>
                <w:position w:val="2"/>
                <w:sz w:val="17"/>
                <w:szCs w:val="17"/>
              </w:rPr>
              <w:t>CO</w:t>
            </w:r>
            <w:r>
              <w:rPr>
                <w:rFonts w:ascii="Times New Roman" w:hAnsi="Times New Roman" w:eastAsia="Times New Roman" w:cs="Times New Roman"/>
                <w:spacing w:val="-1"/>
                <w:position w:val="2"/>
                <w:sz w:val="17"/>
                <w:szCs w:val="17"/>
              </w:rPr>
              <w:t xml:space="preserve"> </w:t>
            </w:r>
            <w:r>
              <w:rPr>
                <w:rFonts w:ascii="新宋体" w:hAnsi="新宋体" w:eastAsia="新宋体" w:cs="新宋体"/>
                <w:spacing w:val="-1"/>
                <w:position w:val="2"/>
                <w:sz w:val="17"/>
                <w:szCs w:val="17"/>
              </w:rPr>
              <w:t xml:space="preserve">单位为 </w:t>
            </w:r>
            <w:r>
              <w:rPr>
                <w:rFonts w:ascii="Times New Roman" w:hAnsi="Times New Roman" w:eastAsia="Times New Roman" w:cs="Times New Roman"/>
                <w:position w:val="2"/>
                <w:sz w:val="17"/>
                <w:szCs w:val="17"/>
              </w:rPr>
              <w:t>mg</w:t>
            </w:r>
            <w:r>
              <w:rPr>
                <w:rFonts w:ascii="Times New Roman" w:hAnsi="Times New Roman" w:eastAsia="Times New Roman" w:cs="Times New Roman"/>
                <w:spacing w:val="-1"/>
                <w:position w:val="2"/>
                <w:sz w:val="17"/>
                <w:szCs w:val="17"/>
              </w:rPr>
              <w:t>/</w:t>
            </w:r>
            <w:r>
              <w:rPr>
                <w:rFonts w:ascii="Times New Roman" w:hAnsi="Times New Roman" w:eastAsia="Times New Roman" w:cs="Times New Roman"/>
                <w:position w:val="2"/>
                <w:sz w:val="17"/>
                <w:szCs w:val="17"/>
              </w:rPr>
              <w:t>m</w:t>
            </w:r>
            <w:r>
              <w:rPr>
                <w:rFonts w:ascii="新宋体" w:hAnsi="新宋体" w:eastAsia="新宋体" w:cs="新宋体"/>
                <w:spacing w:val="-1"/>
                <w:position w:val="2"/>
                <w:sz w:val="17"/>
                <w:szCs w:val="17"/>
              </w:rPr>
              <w:t xml:space="preserve">³，其余单位均为 </w:t>
            </w:r>
            <w:r>
              <w:rPr>
                <w:rFonts w:ascii="Times New Roman" w:hAnsi="Times New Roman" w:eastAsia="Times New Roman" w:cs="Times New Roman"/>
                <w:position w:val="2"/>
                <w:sz w:val="17"/>
                <w:szCs w:val="17"/>
              </w:rPr>
              <w:t>ug</w:t>
            </w:r>
            <w:r>
              <w:rPr>
                <w:rFonts w:ascii="Times New Roman" w:hAnsi="Times New Roman" w:eastAsia="Times New Roman" w:cs="Times New Roman"/>
                <w:spacing w:val="-1"/>
                <w:position w:val="2"/>
                <w:sz w:val="17"/>
                <w:szCs w:val="17"/>
              </w:rPr>
              <w:t>/</w:t>
            </w:r>
            <w:r>
              <w:rPr>
                <w:rFonts w:ascii="Times New Roman" w:hAnsi="Times New Roman" w:eastAsia="Times New Roman" w:cs="Times New Roman"/>
                <w:position w:val="2"/>
                <w:sz w:val="17"/>
                <w:szCs w:val="17"/>
              </w:rPr>
              <w:t>m</w:t>
            </w:r>
            <w:r>
              <w:rPr>
                <w:rFonts w:ascii="新宋体" w:hAnsi="新宋体" w:eastAsia="新宋体" w:cs="新宋体"/>
                <w:spacing w:val="-1"/>
                <w:position w:val="2"/>
                <w:sz w:val="17"/>
                <w:szCs w:val="17"/>
              </w:rPr>
              <w:t>³ ；  (</w:t>
            </w:r>
            <w:r>
              <w:rPr>
                <w:rFonts w:ascii="Times New Roman" w:hAnsi="Times New Roman" w:eastAsia="Times New Roman" w:cs="Times New Roman"/>
                <w:spacing w:val="-1"/>
                <w:position w:val="2"/>
                <w:sz w:val="17"/>
                <w:szCs w:val="17"/>
              </w:rPr>
              <w:t>2</w:t>
            </w:r>
            <w:r>
              <w:rPr>
                <w:rFonts w:ascii="新宋体" w:hAnsi="新宋体" w:eastAsia="新宋体" w:cs="新宋体"/>
                <w:spacing w:val="-1"/>
                <w:position w:val="2"/>
                <w:sz w:val="17"/>
                <w:szCs w:val="17"/>
              </w:rPr>
              <w:t xml:space="preserve">) 为日最大 </w:t>
            </w:r>
            <w:r>
              <w:rPr>
                <w:rFonts w:ascii="Times New Roman" w:hAnsi="Times New Roman" w:eastAsia="Times New Roman" w:cs="Times New Roman"/>
                <w:spacing w:val="-1"/>
                <w:position w:val="2"/>
                <w:sz w:val="17"/>
                <w:szCs w:val="17"/>
              </w:rPr>
              <w:t>8</w:t>
            </w:r>
            <w:r>
              <w:rPr>
                <w:rFonts w:ascii="Times New Roman" w:hAnsi="Times New Roman" w:eastAsia="Times New Roman" w:cs="Times New Roman"/>
                <w:position w:val="2"/>
                <w:sz w:val="17"/>
                <w:szCs w:val="17"/>
              </w:rPr>
              <w:t xml:space="preserve">h </w:t>
            </w:r>
            <w:r>
              <w:rPr>
                <w:rFonts w:ascii="新宋体" w:hAnsi="新宋体" w:eastAsia="新宋体" w:cs="新宋体"/>
                <w:position w:val="2"/>
                <w:sz w:val="17"/>
                <w:szCs w:val="17"/>
              </w:rPr>
              <w:t>平均值</w:t>
            </w:r>
            <w:r>
              <w:rPr>
                <w:rFonts w:ascii="宋体" w:hAnsi="宋体" w:eastAsia="宋体" w:cs="宋体"/>
                <w:position w:val="2"/>
                <w:sz w:val="17"/>
                <w:szCs w:val="17"/>
              </w:rPr>
              <w:t>。</w:t>
            </w:r>
          </w:p>
        </w:tc>
        <w:tc>
          <w:tcPr>
            <w:tcW w:w="13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623" w:type="dxa"/>
            <w:vMerge w:val="continue"/>
            <w:tcBorders>
              <w:top w:val="nil"/>
              <w:left w:val="single" w:color="000000" w:sz="6" w:space="0"/>
              <w:bottom w:val="nil"/>
            </w:tcBorders>
            <w:vAlign w:val="top"/>
          </w:tcPr>
          <w:p>
            <w:pPr>
              <w:rPr>
                <w:rFonts w:ascii="Arial"/>
                <w:sz w:val="21"/>
              </w:rPr>
            </w:pPr>
          </w:p>
        </w:tc>
        <w:tc>
          <w:tcPr>
            <w:tcW w:w="8303" w:type="dxa"/>
            <w:gridSpan w:val="18"/>
            <w:tcBorders>
              <w:right w:val="single" w:color="000000" w:sz="6" w:space="0"/>
            </w:tcBorders>
            <w:vAlign w:val="top"/>
          </w:tcPr>
          <w:p>
            <w:pPr>
              <w:spacing w:before="140" w:line="242" w:lineRule="auto"/>
              <w:ind w:left="101"/>
              <w:rPr>
                <w:rFonts w:ascii="黑体" w:hAnsi="黑体" w:eastAsia="黑体" w:cs="黑体"/>
                <w:sz w:val="20"/>
                <w:szCs w:val="20"/>
              </w:rPr>
            </w:pPr>
            <w:r>
              <w:rPr>
                <w:rFonts w:ascii="Times New Roman" w:hAnsi="Times New Roman" w:eastAsia="Times New Roman" w:cs="Times New Roman"/>
                <w:spacing w:val="2"/>
                <w:sz w:val="20"/>
                <w:szCs w:val="20"/>
              </w:rPr>
              <w:t xml:space="preserve">2 </w:t>
            </w:r>
            <w:r>
              <w:rPr>
                <w:rFonts w:ascii="黑体" w:hAnsi="黑体" w:eastAsia="黑体" w:cs="黑体"/>
                <w:spacing w:val="2"/>
                <w:sz w:val="20"/>
                <w:szCs w:val="20"/>
              </w:rPr>
              <w:t>、</w:t>
            </w:r>
            <w:r>
              <w:rPr>
                <w:rFonts w:ascii="黑体" w:hAnsi="黑体" w:eastAsia="黑体" w:cs="黑体"/>
                <w:spacing w:val="1"/>
                <w:sz w:val="20"/>
                <w:szCs w:val="20"/>
              </w:rPr>
              <w:t>地表水环境</w:t>
            </w:r>
          </w:p>
          <w:p>
            <w:pPr>
              <w:spacing w:before="101" w:line="382" w:lineRule="exact"/>
              <w:ind w:left="525"/>
              <w:rPr>
                <w:rFonts w:ascii="宋体" w:hAnsi="宋体" w:eastAsia="宋体" w:cs="宋体"/>
                <w:sz w:val="20"/>
                <w:szCs w:val="20"/>
              </w:rPr>
            </w:pPr>
            <w:r>
              <w:rPr>
                <w:rFonts w:ascii="宋体" w:hAnsi="宋体" w:eastAsia="宋体" w:cs="宋体"/>
                <w:spacing w:val="9"/>
                <w:position w:val="10"/>
                <w:sz w:val="20"/>
                <w:szCs w:val="20"/>
              </w:rPr>
              <w:t>执</w:t>
            </w:r>
            <w:r>
              <w:rPr>
                <w:rFonts w:ascii="宋体" w:hAnsi="宋体" w:eastAsia="宋体" w:cs="宋体"/>
                <w:spacing w:val="8"/>
                <w:position w:val="10"/>
                <w:sz w:val="20"/>
                <w:szCs w:val="20"/>
              </w:rPr>
              <w:t>行《地表水环境质量标准》</w:t>
            </w:r>
            <w:r>
              <w:rPr>
                <w:rFonts w:ascii="Times New Roman" w:hAnsi="Times New Roman" w:eastAsia="Times New Roman" w:cs="Times New Roman"/>
                <w:spacing w:val="8"/>
                <w:position w:val="10"/>
                <w:sz w:val="20"/>
                <w:szCs w:val="20"/>
              </w:rPr>
              <w:t>(</w:t>
            </w:r>
            <w:r>
              <w:rPr>
                <w:rFonts w:ascii="Times New Roman" w:hAnsi="Times New Roman" w:eastAsia="Times New Roman" w:cs="Times New Roman"/>
                <w:position w:val="10"/>
                <w:sz w:val="20"/>
                <w:szCs w:val="20"/>
              </w:rPr>
              <w:t>GB</w:t>
            </w:r>
            <w:r>
              <w:rPr>
                <w:rFonts w:ascii="Times New Roman" w:hAnsi="Times New Roman" w:eastAsia="Times New Roman" w:cs="Times New Roman"/>
                <w:spacing w:val="8"/>
                <w:position w:val="10"/>
                <w:sz w:val="20"/>
                <w:szCs w:val="20"/>
              </w:rPr>
              <w:t>3838-2002)</w:t>
            </w:r>
            <w:r>
              <w:rPr>
                <w:rFonts w:ascii="宋体" w:hAnsi="宋体" w:eastAsia="宋体" w:cs="宋体"/>
                <w:spacing w:val="8"/>
                <w:position w:val="10"/>
                <w:sz w:val="20"/>
                <w:szCs w:val="20"/>
              </w:rPr>
              <w:t>中的</w:t>
            </w:r>
            <w:r>
              <w:rPr>
                <w:rFonts w:ascii="Times New Roman" w:hAnsi="Times New Roman" w:eastAsia="Times New Roman" w:cs="Times New Roman"/>
                <w:spacing w:val="8"/>
                <w:position w:val="10"/>
                <w:sz w:val="20"/>
                <w:szCs w:val="20"/>
              </w:rPr>
              <w:t>Ⅲ</w:t>
            </w:r>
            <w:r>
              <w:rPr>
                <w:rFonts w:ascii="宋体" w:hAnsi="宋体" w:eastAsia="宋体" w:cs="宋体"/>
                <w:spacing w:val="8"/>
                <w:position w:val="10"/>
                <w:sz w:val="20"/>
                <w:szCs w:val="20"/>
              </w:rPr>
              <w:t>类水域标准。</w:t>
            </w:r>
          </w:p>
          <w:p>
            <w:pPr>
              <w:spacing w:line="230" w:lineRule="auto"/>
              <w:ind w:left="2755"/>
              <w:rPr>
                <w:rFonts w:ascii="黑体" w:hAnsi="黑体" w:eastAsia="黑体" w:cs="黑体"/>
                <w:sz w:val="19"/>
                <w:szCs w:val="19"/>
              </w:rPr>
            </w:pPr>
            <w:r>
              <w:rPr>
                <w:rFonts w:ascii="黑体" w:hAnsi="黑体" w:eastAsia="黑体" w:cs="黑体"/>
                <w:spacing w:val="8"/>
                <w:sz w:val="19"/>
                <w:szCs w:val="19"/>
              </w:rPr>
              <w:t>表</w:t>
            </w:r>
            <w:r>
              <w:rPr>
                <w:rFonts w:ascii="Times New Roman" w:hAnsi="Times New Roman" w:eastAsia="Times New Roman" w:cs="Times New Roman"/>
                <w:spacing w:val="7"/>
                <w:sz w:val="19"/>
                <w:szCs w:val="19"/>
              </w:rPr>
              <w:t xml:space="preserve">35    </w:t>
            </w:r>
            <w:r>
              <w:rPr>
                <w:rFonts w:ascii="黑体" w:hAnsi="黑体" w:eastAsia="黑体" w:cs="黑体"/>
                <w:spacing w:val="7"/>
                <w:sz w:val="19"/>
                <w:szCs w:val="19"/>
              </w:rPr>
              <w:t>地表水环境质量标准限值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23" w:type="dxa"/>
            <w:vMerge w:val="continue"/>
            <w:tcBorders>
              <w:top w:val="nil"/>
              <w:left w:val="single" w:color="000000" w:sz="6" w:space="0"/>
              <w:bottom w:val="nil"/>
            </w:tcBorders>
            <w:vAlign w:val="top"/>
          </w:tcPr>
          <w:p>
            <w:pPr>
              <w:rPr>
                <w:rFonts w:ascii="Arial"/>
                <w:sz w:val="21"/>
              </w:rPr>
            </w:pPr>
          </w:p>
        </w:tc>
        <w:tc>
          <w:tcPr>
            <w:tcW w:w="2049" w:type="dxa"/>
            <w:gridSpan w:val="2"/>
            <w:vAlign w:val="top"/>
          </w:tcPr>
          <w:p>
            <w:pPr>
              <w:spacing w:before="171" w:line="231" w:lineRule="auto"/>
              <w:ind w:left="820"/>
              <w:rPr>
                <w:rFonts w:ascii="宋体" w:hAnsi="宋体" w:eastAsia="宋体" w:cs="宋体"/>
                <w:sz w:val="17"/>
                <w:szCs w:val="17"/>
              </w:rPr>
            </w:pPr>
            <w:r>
              <w:rPr>
                <w:rFonts w:ascii="宋体" w:hAnsi="宋体" w:eastAsia="宋体" w:cs="宋体"/>
                <w:spacing w:val="13"/>
                <w:sz w:val="17"/>
                <w:szCs w:val="17"/>
                <w14:textOutline w14:w="3268" w14:cap="sq" w14:cmpd="sng">
                  <w14:solidFill>
                    <w14:srgbClr w14:val="000000"/>
                  </w14:solidFill>
                  <w14:prstDash w14:val="solid"/>
                  <w14:bevel/>
                </w14:textOutline>
              </w:rPr>
              <w:t>项</w:t>
            </w:r>
            <w:r>
              <w:rPr>
                <w:rFonts w:ascii="宋体" w:hAnsi="宋体" w:eastAsia="宋体" w:cs="宋体"/>
                <w:spacing w:val="13"/>
                <w:sz w:val="17"/>
                <w:szCs w:val="17"/>
              </w:rPr>
              <w:t xml:space="preserve">  </w:t>
            </w:r>
            <w:r>
              <w:rPr>
                <w:rFonts w:ascii="宋体" w:hAnsi="宋体" w:eastAsia="宋体" w:cs="宋体"/>
                <w:spacing w:val="12"/>
                <w:sz w:val="17"/>
                <w:szCs w:val="17"/>
                <w14:textOutline w14:w="3268" w14:cap="sq" w14:cmpd="sng">
                  <w14:solidFill>
                    <w14:srgbClr w14:val="000000"/>
                  </w14:solidFill>
                  <w14:prstDash w14:val="solid"/>
                  <w14:bevel/>
                </w14:textOutline>
              </w:rPr>
              <w:t>目</w:t>
            </w:r>
          </w:p>
        </w:tc>
        <w:tc>
          <w:tcPr>
            <w:tcW w:w="1106" w:type="dxa"/>
            <w:gridSpan w:val="3"/>
            <w:vAlign w:val="top"/>
          </w:tcPr>
          <w:p>
            <w:pPr>
              <w:spacing w:before="60" w:line="237" w:lineRule="auto"/>
              <w:ind w:left="112" w:right="119" w:firstLine="320"/>
              <w:rPr>
                <w:rFonts w:ascii="宋体" w:hAnsi="宋体" w:eastAsia="宋体" w:cs="宋体"/>
                <w:sz w:val="17"/>
                <w:szCs w:val="17"/>
              </w:rPr>
            </w:pPr>
            <w:r>
              <w:rPr>
                <w:rFonts w:ascii="Times New Roman" w:hAnsi="Times New Roman" w:eastAsia="Times New Roman" w:cs="Times New Roman"/>
                <w:b/>
                <w:bCs/>
                <w:spacing w:val="4"/>
                <w:sz w:val="17"/>
                <w:szCs w:val="17"/>
              </w:rPr>
              <w:t>pH</w:t>
            </w:r>
            <w:r>
              <w:rPr>
                <w:rFonts w:ascii="Times New Roman" w:hAnsi="Times New Roman" w:eastAsia="Times New Roman" w:cs="Times New Roman"/>
                <w:sz w:val="17"/>
                <w:szCs w:val="17"/>
              </w:rPr>
              <w:t xml:space="preserve">       </w:t>
            </w:r>
            <w:r>
              <w:rPr>
                <w:rFonts w:ascii="宋体" w:hAnsi="宋体" w:eastAsia="宋体" w:cs="宋体"/>
                <w:spacing w:val="23"/>
                <w:sz w:val="17"/>
                <w:szCs w:val="17"/>
                <w14:textOutline w14:w="3268" w14:cap="sq" w14:cmpd="sng">
                  <w14:solidFill>
                    <w14:srgbClr w14:val="000000"/>
                  </w14:solidFill>
                  <w14:prstDash w14:val="solid"/>
                  <w14:bevel/>
                </w14:textOutline>
              </w:rPr>
              <w:t>(</w:t>
            </w:r>
            <w:r>
              <w:rPr>
                <w:rFonts w:ascii="宋体" w:hAnsi="宋体" w:eastAsia="宋体" w:cs="宋体"/>
                <w:spacing w:val="20"/>
                <w:sz w:val="17"/>
                <w:szCs w:val="17"/>
                <w14:textOutline w14:w="3268" w14:cap="sq" w14:cmpd="sng">
                  <w14:solidFill>
                    <w14:srgbClr w14:val="000000"/>
                  </w14:solidFill>
                  <w14:prstDash w14:val="solid"/>
                  <w14:bevel/>
                </w14:textOutline>
              </w:rPr>
              <w:t>无量纲)</w:t>
            </w:r>
          </w:p>
        </w:tc>
        <w:tc>
          <w:tcPr>
            <w:tcW w:w="958" w:type="dxa"/>
            <w:gridSpan w:val="2"/>
            <w:vAlign w:val="top"/>
          </w:tcPr>
          <w:p>
            <w:pPr>
              <w:spacing w:before="58" w:line="187" w:lineRule="auto"/>
              <w:ind w:left="232"/>
              <w:rPr>
                <w:rFonts w:ascii="Times New Roman" w:hAnsi="Times New Roman" w:eastAsia="Times New Roman" w:cs="Times New Roman"/>
                <w:sz w:val="11"/>
                <w:szCs w:val="11"/>
              </w:rPr>
            </w:pPr>
            <w:r>
              <w:rPr>
                <w:rFonts w:ascii="Times New Roman" w:hAnsi="Times New Roman" w:eastAsia="Times New Roman" w:cs="Times New Roman"/>
                <w:b/>
                <w:bCs/>
                <w:spacing w:val="5"/>
                <w:sz w:val="17"/>
                <w:szCs w:val="17"/>
              </w:rPr>
              <w:t>C</w:t>
            </w:r>
            <w:r>
              <w:rPr>
                <w:rFonts w:ascii="Times New Roman" w:hAnsi="Times New Roman" w:eastAsia="Times New Roman" w:cs="Times New Roman"/>
                <w:b/>
                <w:bCs/>
                <w:spacing w:val="3"/>
                <w:sz w:val="17"/>
                <w:szCs w:val="17"/>
              </w:rPr>
              <w:t>OD</w:t>
            </w:r>
            <w:r>
              <w:rPr>
                <w:rFonts w:ascii="Times New Roman" w:hAnsi="Times New Roman" w:eastAsia="Times New Roman" w:cs="Times New Roman"/>
                <w:b/>
                <w:bCs/>
                <w:spacing w:val="3"/>
                <w:position w:val="-1"/>
                <w:sz w:val="11"/>
                <w:szCs w:val="11"/>
              </w:rPr>
              <w:t>cr</w:t>
            </w:r>
          </w:p>
          <w:p>
            <w:pPr>
              <w:spacing w:line="248" w:lineRule="exact"/>
              <w:ind w:left="108"/>
              <w:rPr>
                <w:rFonts w:ascii="宋体" w:hAnsi="宋体" w:eastAsia="宋体" w:cs="宋体"/>
                <w:sz w:val="17"/>
                <w:szCs w:val="17"/>
              </w:rPr>
            </w:pPr>
            <w:r>
              <w:rPr>
                <w:rFonts w:ascii="宋体" w:hAnsi="宋体" w:eastAsia="宋体" w:cs="宋体"/>
                <w:spacing w:val="33"/>
                <w:position w:val="2"/>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position w:val="2"/>
                <w:sz w:val="17"/>
                <w:szCs w:val="17"/>
              </w:rPr>
              <w:t>mg</w:t>
            </w:r>
            <w:r>
              <w:rPr>
                <w:rFonts w:ascii="Times New Roman" w:hAnsi="Times New Roman" w:eastAsia="Times New Roman" w:cs="Times New Roman"/>
                <w:b/>
                <w:bCs/>
                <w:spacing w:val="33"/>
                <w:position w:val="2"/>
                <w:sz w:val="17"/>
                <w:szCs w:val="17"/>
              </w:rPr>
              <w:t>/</w:t>
            </w:r>
            <w:r>
              <w:rPr>
                <w:rFonts w:ascii="Times New Roman" w:hAnsi="Times New Roman" w:eastAsia="Times New Roman" w:cs="Times New Roman"/>
                <w:b/>
                <w:bCs/>
                <w:position w:val="2"/>
                <w:sz w:val="17"/>
                <w:szCs w:val="17"/>
              </w:rPr>
              <w:t>L</w:t>
            </w:r>
            <w:r>
              <w:rPr>
                <w:rFonts w:ascii="宋体" w:hAnsi="宋体" w:eastAsia="宋体" w:cs="宋体"/>
                <w:spacing w:val="32"/>
                <w:position w:val="2"/>
                <w:sz w:val="17"/>
                <w:szCs w:val="17"/>
                <w14:textOutline w14:w="3268" w14:cap="sq" w14:cmpd="sng">
                  <w14:solidFill>
                    <w14:srgbClr w14:val="000000"/>
                  </w14:solidFill>
                  <w14:prstDash w14:val="solid"/>
                  <w14:bevel/>
                </w14:textOutline>
              </w:rPr>
              <w:t>)</w:t>
            </w:r>
          </w:p>
        </w:tc>
        <w:tc>
          <w:tcPr>
            <w:tcW w:w="940" w:type="dxa"/>
            <w:gridSpan w:val="3"/>
            <w:vAlign w:val="top"/>
          </w:tcPr>
          <w:p>
            <w:pPr>
              <w:spacing w:before="58" w:line="187" w:lineRule="auto"/>
              <w:ind w:left="248"/>
              <w:rPr>
                <w:rFonts w:ascii="Times New Roman" w:hAnsi="Times New Roman" w:eastAsia="Times New Roman" w:cs="Times New Roman"/>
                <w:sz w:val="11"/>
                <w:szCs w:val="11"/>
              </w:rPr>
            </w:pPr>
            <w:r>
              <w:rPr>
                <w:rFonts w:ascii="Times New Roman" w:hAnsi="Times New Roman" w:eastAsia="Times New Roman" w:cs="Times New Roman"/>
                <w:b/>
                <w:bCs/>
                <w:sz w:val="17"/>
                <w:szCs w:val="17"/>
              </w:rPr>
              <w:t>BOD</w:t>
            </w:r>
            <w:r>
              <w:rPr>
                <w:rFonts w:ascii="Times New Roman" w:hAnsi="Times New Roman" w:eastAsia="Times New Roman" w:cs="Times New Roman"/>
                <w:b/>
                <w:bCs/>
                <w:spacing w:val="21"/>
                <w:position w:val="-1"/>
                <w:sz w:val="11"/>
                <w:szCs w:val="11"/>
              </w:rPr>
              <w:t>5</w:t>
            </w:r>
          </w:p>
          <w:p>
            <w:pPr>
              <w:spacing w:line="248" w:lineRule="exact"/>
              <w:ind w:left="100"/>
              <w:rPr>
                <w:rFonts w:ascii="宋体" w:hAnsi="宋体" w:eastAsia="宋体" w:cs="宋体"/>
                <w:sz w:val="17"/>
                <w:szCs w:val="17"/>
              </w:rPr>
            </w:pPr>
            <w:r>
              <w:rPr>
                <w:rFonts w:ascii="宋体" w:hAnsi="宋体" w:eastAsia="宋体" w:cs="宋体"/>
                <w:spacing w:val="33"/>
                <w:position w:val="2"/>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position w:val="2"/>
                <w:sz w:val="17"/>
                <w:szCs w:val="17"/>
              </w:rPr>
              <w:t>mg</w:t>
            </w:r>
            <w:r>
              <w:rPr>
                <w:rFonts w:ascii="Times New Roman" w:hAnsi="Times New Roman" w:eastAsia="Times New Roman" w:cs="Times New Roman"/>
                <w:b/>
                <w:bCs/>
                <w:spacing w:val="33"/>
                <w:position w:val="2"/>
                <w:sz w:val="17"/>
                <w:szCs w:val="17"/>
              </w:rPr>
              <w:t>/</w:t>
            </w:r>
            <w:r>
              <w:rPr>
                <w:rFonts w:ascii="Times New Roman" w:hAnsi="Times New Roman" w:eastAsia="Times New Roman" w:cs="Times New Roman"/>
                <w:b/>
                <w:bCs/>
                <w:position w:val="2"/>
                <w:sz w:val="17"/>
                <w:szCs w:val="17"/>
              </w:rPr>
              <w:t>L</w:t>
            </w:r>
            <w:r>
              <w:rPr>
                <w:rFonts w:ascii="宋体" w:hAnsi="宋体" w:eastAsia="宋体" w:cs="宋体"/>
                <w:spacing w:val="32"/>
                <w:position w:val="2"/>
                <w:sz w:val="17"/>
                <w:szCs w:val="17"/>
                <w14:textOutline w14:w="3268" w14:cap="sq" w14:cmpd="sng">
                  <w14:solidFill>
                    <w14:srgbClr w14:val="000000"/>
                  </w14:solidFill>
                  <w14:prstDash w14:val="solid"/>
                  <w14:bevel/>
                </w14:textOutline>
              </w:rPr>
              <w:t>)</w:t>
            </w:r>
          </w:p>
        </w:tc>
        <w:tc>
          <w:tcPr>
            <w:tcW w:w="945" w:type="dxa"/>
            <w:gridSpan w:val="3"/>
            <w:vAlign w:val="top"/>
          </w:tcPr>
          <w:p>
            <w:pPr>
              <w:spacing w:before="61" w:line="183" w:lineRule="auto"/>
              <w:ind w:left="216"/>
              <w:rPr>
                <w:rFonts w:ascii="Times New Roman" w:hAnsi="Times New Roman" w:eastAsia="Times New Roman" w:cs="Times New Roman"/>
                <w:sz w:val="17"/>
                <w:szCs w:val="17"/>
              </w:rPr>
            </w:pPr>
            <w:r>
              <w:rPr>
                <w:rFonts w:ascii="Times New Roman" w:hAnsi="Times New Roman" w:eastAsia="Times New Roman" w:cs="Times New Roman"/>
                <w:b/>
                <w:bCs/>
                <w:sz w:val="17"/>
                <w:szCs w:val="17"/>
              </w:rPr>
              <w:t>NH</w:t>
            </w:r>
            <w:r>
              <w:rPr>
                <w:rFonts w:ascii="Times New Roman" w:hAnsi="Times New Roman" w:eastAsia="Times New Roman" w:cs="Times New Roman"/>
                <w:b/>
                <w:bCs/>
                <w:spacing w:val="12"/>
                <w:position w:val="-1"/>
                <w:sz w:val="11"/>
                <w:szCs w:val="11"/>
              </w:rPr>
              <w:t>3</w:t>
            </w:r>
            <w:r>
              <w:rPr>
                <w:rFonts w:ascii="Times New Roman" w:hAnsi="Times New Roman" w:eastAsia="Times New Roman" w:cs="Times New Roman"/>
                <w:b/>
                <w:bCs/>
                <w:spacing w:val="12"/>
                <w:sz w:val="17"/>
                <w:szCs w:val="17"/>
              </w:rPr>
              <w:t>-</w:t>
            </w:r>
            <w:r>
              <w:rPr>
                <w:rFonts w:ascii="Times New Roman" w:hAnsi="Times New Roman" w:eastAsia="Times New Roman" w:cs="Times New Roman"/>
                <w:b/>
                <w:bCs/>
                <w:sz w:val="17"/>
                <w:szCs w:val="17"/>
              </w:rPr>
              <w:t>N</w:t>
            </w:r>
          </w:p>
          <w:p>
            <w:pPr>
              <w:spacing w:line="248" w:lineRule="exact"/>
              <w:ind w:left="103"/>
              <w:rPr>
                <w:rFonts w:ascii="宋体" w:hAnsi="宋体" w:eastAsia="宋体" w:cs="宋体"/>
                <w:sz w:val="17"/>
                <w:szCs w:val="17"/>
              </w:rPr>
            </w:pPr>
            <w:r>
              <w:rPr>
                <w:rFonts w:ascii="宋体" w:hAnsi="宋体" w:eastAsia="宋体" w:cs="宋体"/>
                <w:spacing w:val="33"/>
                <w:position w:val="2"/>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position w:val="2"/>
                <w:sz w:val="17"/>
                <w:szCs w:val="17"/>
              </w:rPr>
              <w:t>mg</w:t>
            </w:r>
            <w:r>
              <w:rPr>
                <w:rFonts w:ascii="Times New Roman" w:hAnsi="Times New Roman" w:eastAsia="Times New Roman" w:cs="Times New Roman"/>
                <w:b/>
                <w:bCs/>
                <w:spacing w:val="33"/>
                <w:position w:val="2"/>
                <w:sz w:val="17"/>
                <w:szCs w:val="17"/>
              </w:rPr>
              <w:t>/</w:t>
            </w:r>
            <w:r>
              <w:rPr>
                <w:rFonts w:ascii="Times New Roman" w:hAnsi="Times New Roman" w:eastAsia="Times New Roman" w:cs="Times New Roman"/>
                <w:b/>
                <w:bCs/>
                <w:position w:val="2"/>
                <w:sz w:val="17"/>
                <w:szCs w:val="17"/>
              </w:rPr>
              <w:t>L</w:t>
            </w:r>
            <w:r>
              <w:rPr>
                <w:rFonts w:ascii="宋体" w:hAnsi="宋体" w:eastAsia="宋体" w:cs="宋体"/>
                <w:spacing w:val="32"/>
                <w:position w:val="2"/>
                <w:sz w:val="17"/>
                <w:szCs w:val="17"/>
                <w14:textOutline w14:w="3268" w14:cap="sq" w14:cmpd="sng">
                  <w14:solidFill>
                    <w14:srgbClr w14:val="000000"/>
                  </w14:solidFill>
                  <w14:prstDash w14:val="solid"/>
                  <w14:bevel/>
                </w14:textOutline>
              </w:rPr>
              <w:t>)</w:t>
            </w:r>
          </w:p>
        </w:tc>
        <w:tc>
          <w:tcPr>
            <w:tcW w:w="988" w:type="dxa"/>
            <w:gridSpan w:val="2"/>
            <w:vAlign w:val="top"/>
          </w:tcPr>
          <w:p>
            <w:pPr>
              <w:spacing w:before="29"/>
              <w:ind w:left="128" w:right="120" w:firstLine="103"/>
              <w:rPr>
                <w:rFonts w:ascii="宋体" w:hAnsi="宋体" w:eastAsia="宋体" w:cs="宋体"/>
                <w:sz w:val="17"/>
                <w:szCs w:val="17"/>
              </w:rPr>
            </w:pPr>
            <w:r>
              <w:rPr>
                <w:rFonts w:ascii="宋体" w:hAnsi="宋体" w:eastAsia="宋体" w:cs="宋体"/>
                <w:spacing w:val="8"/>
                <w:sz w:val="17"/>
                <w:szCs w:val="17"/>
                <w14:textOutline w14:w="3253" w14:cap="sq" w14:cmpd="sng">
                  <w14:solidFill>
                    <w14:srgbClr w14:val="000000"/>
                  </w14:solidFill>
                  <w14:prstDash w14:val="solid"/>
                  <w14:bevel/>
                </w14:textOutline>
              </w:rPr>
              <w:t>石油类</w:t>
            </w:r>
            <w:r>
              <w:rPr>
                <w:rFonts w:ascii="宋体" w:hAnsi="宋体" w:eastAsia="宋体" w:cs="宋体"/>
                <w:sz w:val="17"/>
                <w:szCs w:val="17"/>
              </w:rPr>
              <w:t xml:space="preserve"> </w:t>
            </w:r>
            <w:r>
              <w:rPr>
                <w:rFonts w:ascii="宋体" w:hAnsi="宋体" w:eastAsia="宋体" w:cs="宋体"/>
                <w:spacing w:val="32"/>
                <w:sz w:val="17"/>
                <w:szCs w:val="17"/>
                <w14:textOutline w14:w="3253" w14:cap="sq" w14:cmpd="sng">
                  <w14:solidFill>
                    <w14:srgbClr w14:val="000000"/>
                  </w14:solidFill>
                  <w14:prstDash w14:val="solid"/>
                  <w14:bevel/>
                </w14:textOutline>
              </w:rPr>
              <w:t>(</w:t>
            </w:r>
            <w:r>
              <w:rPr>
                <w:rFonts w:ascii="Times New Roman" w:hAnsi="Times New Roman" w:eastAsia="Times New Roman" w:cs="Times New Roman"/>
                <w:b/>
                <w:bCs/>
                <w:sz w:val="17"/>
                <w:szCs w:val="17"/>
              </w:rPr>
              <w:t>mg</w:t>
            </w:r>
            <w:r>
              <w:rPr>
                <w:rFonts w:ascii="Times New Roman" w:hAnsi="Times New Roman" w:eastAsia="Times New Roman" w:cs="Times New Roman"/>
                <w:b/>
                <w:bCs/>
                <w:spacing w:val="30"/>
                <w:sz w:val="17"/>
                <w:szCs w:val="17"/>
              </w:rPr>
              <w:t>/</w:t>
            </w:r>
            <w:r>
              <w:rPr>
                <w:rFonts w:ascii="Times New Roman" w:hAnsi="Times New Roman" w:eastAsia="Times New Roman" w:cs="Times New Roman"/>
                <w:b/>
                <w:bCs/>
                <w:sz w:val="17"/>
                <w:szCs w:val="17"/>
              </w:rPr>
              <w:t>L</w:t>
            </w:r>
            <w:r>
              <w:rPr>
                <w:rFonts w:ascii="宋体" w:hAnsi="宋体" w:eastAsia="宋体" w:cs="宋体"/>
                <w:spacing w:val="30"/>
                <w:sz w:val="17"/>
                <w:szCs w:val="17"/>
                <w14:textOutline w14:w="3253" w14:cap="sq" w14:cmpd="sng">
                  <w14:solidFill>
                    <w14:srgbClr w14:val="000000"/>
                  </w14:solidFill>
                  <w14:prstDash w14:val="solid"/>
                  <w14:bevel/>
                </w14:textOutline>
              </w:rPr>
              <w:t>)</w:t>
            </w:r>
          </w:p>
        </w:tc>
        <w:tc>
          <w:tcPr>
            <w:tcW w:w="1181" w:type="dxa"/>
            <w:gridSpan w:val="2"/>
            <w:vAlign w:val="top"/>
          </w:tcPr>
          <w:p>
            <w:pPr>
              <w:spacing w:before="30" w:line="212" w:lineRule="auto"/>
              <w:ind w:left="149"/>
              <w:rPr>
                <w:rFonts w:ascii="宋体" w:hAnsi="宋体" w:eastAsia="宋体" w:cs="宋体"/>
                <w:sz w:val="17"/>
                <w:szCs w:val="17"/>
              </w:rPr>
            </w:pPr>
            <w:r>
              <w:rPr>
                <w:rFonts w:ascii="宋体" w:hAnsi="宋体" w:eastAsia="宋体" w:cs="宋体"/>
                <w:spacing w:val="11"/>
                <w:sz w:val="17"/>
                <w:szCs w:val="17"/>
                <w14:textOutline w14:w="3268" w14:cap="sq" w14:cmpd="sng">
                  <w14:solidFill>
                    <w14:srgbClr w14:val="000000"/>
                  </w14:solidFill>
                  <w14:prstDash w14:val="solid"/>
                  <w14:bevel/>
                </w14:textOutline>
              </w:rPr>
              <w:t>粪</w:t>
            </w:r>
            <w:r>
              <w:rPr>
                <w:rFonts w:ascii="宋体" w:hAnsi="宋体" w:eastAsia="宋体" w:cs="宋体"/>
                <w:spacing w:val="8"/>
                <w:sz w:val="17"/>
                <w:szCs w:val="17"/>
                <w14:textOutline w14:w="3268" w14:cap="sq" w14:cmpd="sng">
                  <w14:solidFill>
                    <w14:srgbClr w14:val="000000"/>
                  </w14:solidFill>
                  <w14:prstDash w14:val="solid"/>
                  <w14:bevel/>
                </w14:textOutline>
              </w:rPr>
              <w:t>大肠菌群</w:t>
            </w:r>
          </w:p>
          <w:p>
            <w:pPr>
              <w:spacing w:line="246" w:lineRule="exact"/>
              <w:ind w:left="253"/>
              <w:rPr>
                <w:rFonts w:ascii="宋体" w:hAnsi="宋体" w:eastAsia="宋体" w:cs="宋体"/>
                <w:sz w:val="17"/>
                <w:szCs w:val="17"/>
              </w:rPr>
            </w:pPr>
            <w:r>
              <w:rPr>
                <w:rFonts w:ascii="宋体" w:hAnsi="宋体" w:eastAsia="宋体" w:cs="宋体"/>
                <w:spacing w:val="25"/>
                <w:position w:val="1"/>
                <w:sz w:val="17"/>
                <w:szCs w:val="17"/>
                <w14:textOutline w14:w="3242" w14:cap="sq" w14:cmpd="sng">
                  <w14:solidFill>
                    <w14:srgbClr w14:val="000000"/>
                  </w14:solidFill>
                  <w14:prstDash w14:val="solid"/>
                  <w14:bevel/>
                </w14:textOutline>
              </w:rPr>
              <w:t>(个</w:t>
            </w:r>
            <w:r>
              <w:rPr>
                <w:rFonts w:ascii="Times New Roman" w:hAnsi="Times New Roman" w:eastAsia="Times New Roman" w:cs="Times New Roman"/>
                <w:b/>
                <w:bCs/>
                <w:spacing w:val="25"/>
                <w:position w:val="1"/>
                <w:sz w:val="17"/>
                <w:szCs w:val="17"/>
              </w:rPr>
              <w:t>/</w:t>
            </w:r>
            <w:r>
              <w:rPr>
                <w:rFonts w:ascii="Times New Roman" w:hAnsi="Times New Roman" w:eastAsia="Times New Roman" w:cs="Times New Roman"/>
                <w:b/>
                <w:bCs/>
                <w:position w:val="1"/>
                <w:sz w:val="17"/>
                <w:szCs w:val="17"/>
              </w:rPr>
              <w:t>L</w:t>
            </w:r>
            <w:r>
              <w:rPr>
                <w:rFonts w:ascii="宋体" w:hAnsi="宋体" w:eastAsia="宋体" w:cs="宋体"/>
                <w:spacing w:val="25"/>
                <w:position w:val="1"/>
                <w:sz w:val="17"/>
                <w:szCs w:val="17"/>
                <w14:textOutline w14:w="3242" w14:cap="sq" w14:cmpd="sng">
                  <w14:solidFill>
                    <w14:srgbClr w14:val="000000"/>
                  </w14:solidFill>
                  <w14:prstDash w14:val="solid"/>
                  <w14:bevel/>
                </w14:textOutline>
              </w:rPr>
              <w:t>)</w:t>
            </w:r>
          </w:p>
        </w:tc>
        <w:tc>
          <w:tcPr>
            <w:tcW w:w="136"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623" w:type="dxa"/>
            <w:vMerge w:val="continue"/>
            <w:tcBorders>
              <w:top w:val="nil"/>
              <w:left w:val="single" w:color="000000" w:sz="6" w:space="0"/>
              <w:bottom w:val="nil"/>
            </w:tcBorders>
            <w:vAlign w:val="top"/>
          </w:tcPr>
          <w:p>
            <w:pPr>
              <w:rPr>
                <w:rFonts w:ascii="Arial"/>
                <w:sz w:val="21"/>
              </w:rPr>
            </w:pPr>
          </w:p>
        </w:tc>
        <w:tc>
          <w:tcPr>
            <w:tcW w:w="2049" w:type="dxa"/>
            <w:gridSpan w:val="2"/>
            <w:vAlign w:val="top"/>
          </w:tcPr>
          <w:p>
            <w:pPr>
              <w:spacing w:before="88" w:line="230" w:lineRule="auto"/>
              <w:ind w:left="366"/>
              <w:rPr>
                <w:rFonts w:ascii="宋体" w:hAnsi="宋体" w:eastAsia="宋体" w:cs="宋体"/>
                <w:sz w:val="17"/>
                <w:szCs w:val="17"/>
              </w:rPr>
            </w:pPr>
            <w:r>
              <w:rPr>
                <w:rFonts w:ascii="宋体" w:hAnsi="宋体" w:eastAsia="宋体" w:cs="宋体"/>
                <w:spacing w:val="9"/>
                <w:sz w:val="17"/>
                <w:szCs w:val="17"/>
              </w:rPr>
              <w:t>环境质量标准限值</w:t>
            </w:r>
          </w:p>
        </w:tc>
        <w:tc>
          <w:tcPr>
            <w:tcW w:w="1106" w:type="dxa"/>
            <w:gridSpan w:val="3"/>
            <w:vAlign w:val="top"/>
          </w:tcPr>
          <w:p>
            <w:pPr>
              <w:spacing w:before="61" w:line="227" w:lineRule="exact"/>
              <w:ind w:left="376"/>
              <w:rPr>
                <w:rFonts w:ascii="Times New Roman" w:hAnsi="Times New Roman" w:eastAsia="Times New Roman" w:cs="Times New Roman"/>
                <w:sz w:val="17"/>
                <w:szCs w:val="17"/>
              </w:rPr>
            </w:pPr>
            <w:r>
              <w:rPr>
                <w:rFonts w:ascii="Times New Roman" w:hAnsi="Times New Roman" w:eastAsia="Times New Roman" w:cs="Times New Roman"/>
                <w:spacing w:val="32"/>
                <w:sz w:val="17"/>
                <w:szCs w:val="17"/>
              </w:rPr>
              <w:t>6</w:t>
            </w:r>
            <w:r>
              <w:rPr>
                <w:rFonts w:ascii="宋体" w:hAnsi="宋体" w:eastAsia="宋体" w:cs="宋体"/>
                <w:spacing w:val="32"/>
                <w:sz w:val="17"/>
                <w:szCs w:val="17"/>
              </w:rPr>
              <w:t>~</w:t>
            </w:r>
            <w:r>
              <w:rPr>
                <w:rFonts w:ascii="Times New Roman" w:hAnsi="Times New Roman" w:eastAsia="Times New Roman" w:cs="Times New Roman"/>
                <w:spacing w:val="32"/>
                <w:sz w:val="17"/>
                <w:szCs w:val="17"/>
              </w:rPr>
              <w:t>9</w:t>
            </w:r>
          </w:p>
        </w:tc>
        <w:tc>
          <w:tcPr>
            <w:tcW w:w="958" w:type="dxa"/>
            <w:gridSpan w:val="2"/>
            <w:vAlign w:val="top"/>
          </w:tcPr>
          <w:p>
            <w:pPr>
              <w:spacing w:before="27" w:line="242" w:lineRule="exact"/>
              <w:ind w:left="270"/>
              <w:rPr>
                <w:rFonts w:ascii="Times New Roman" w:hAnsi="Times New Roman" w:eastAsia="Times New Roman" w:cs="Times New Roman"/>
                <w:sz w:val="17"/>
                <w:szCs w:val="17"/>
              </w:rPr>
            </w:pPr>
            <w:r>
              <w:rPr>
                <w:rFonts w:ascii="Times New Roman" w:hAnsi="Times New Roman" w:eastAsia="Times New Roman" w:cs="Times New Roman"/>
                <w:spacing w:val="6"/>
                <w:position w:val="2"/>
                <w:sz w:val="17"/>
                <w:szCs w:val="17"/>
              </w:rPr>
              <w:t>≤</w:t>
            </w:r>
            <w:r>
              <w:rPr>
                <w:rFonts w:ascii="Times New Roman" w:hAnsi="Times New Roman" w:eastAsia="Times New Roman" w:cs="Times New Roman"/>
                <w:spacing w:val="4"/>
                <w:position w:val="2"/>
                <w:sz w:val="17"/>
                <w:szCs w:val="17"/>
              </w:rPr>
              <w:t>20.0</w:t>
            </w:r>
          </w:p>
        </w:tc>
        <w:tc>
          <w:tcPr>
            <w:tcW w:w="940" w:type="dxa"/>
            <w:gridSpan w:val="3"/>
            <w:vAlign w:val="top"/>
          </w:tcPr>
          <w:p>
            <w:pPr>
              <w:spacing w:before="27" w:line="242" w:lineRule="exact"/>
              <w:ind w:left="308"/>
              <w:rPr>
                <w:rFonts w:ascii="Times New Roman" w:hAnsi="Times New Roman" w:eastAsia="Times New Roman" w:cs="Times New Roman"/>
                <w:sz w:val="17"/>
                <w:szCs w:val="17"/>
              </w:rPr>
            </w:pPr>
            <w:r>
              <w:rPr>
                <w:rFonts w:ascii="Times New Roman" w:hAnsi="Times New Roman" w:eastAsia="Times New Roman" w:cs="Times New Roman"/>
                <w:spacing w:val="5"/>
                <w:position w:val="2"/>
                <w:sz w:val="17"/>
                <w:szCs w:val="17"/>
              </w:rPr>
              <w:t>≤</w:t>
            </w:r>
            <w:r>
              <w:rPr>
                <w:rFonts w:ascii="Times New Roman" w:hAnsi="Times New Roman" w:eastAsia="Times New Roman" w:cs="Times New Roman"/>
                <w:spacing w:val="3"/>
                <w:position w:val="2"/>
                <w:sz w:val="17"/>
                <w:szCs w:val="17"/>
              </w:rPr>
              <w:t>4.0</w:t>
            </w:r>
          </w:p>
        </w:tc>
        <w:tc>
          <w:tcPr>
            <w:tcW w:w="945" w:type="dxa"/>
            <w:gridSpan w:val="3"/>
            <w:vAlign w:val="top"/>
          </w:tcPr>
          <w:p>
            <w:pPr>
              <w:spacing w:before="27" w:line="242" w:lineRule="exact"/>
              <w:ind w:left="312"/>
              <w:rPr>
                <w:rFonts w:ascii="Times New Roman" w:hAnsi="Times New Roman" w:eastAsia="Times New Roman" w:cs="Times New Roman"/>
                <w:sz w:val="17"/>
                <w:szCs w:val="17"/>
              </w:rPr>
            </w:pPr>
            <w:r>
              <w:rPr>
                <w:rFonts w:ascii="Times New Roman" w:hAnsi="Times New Roman" w:eastAsia="Times New Roman" w:cs="Times New Roman"/>
                <w:spacing w:val="-8"/>
                <w:position w:val="2"/>
                <w:sz w:val="17"/>
                <w:szCs w:val="17"/>
              </w:rPr>
              <w:t>≤</w:t>
            </w:r>
            <w:r>
              <w:rPr>
                <w:rFonts w:ascii="Times New Roman" w:hAnsi="Times New Roman" w:eastAsia="Times New Roman" w:cs="Times New Roman"/>
                <w:spacing w:val="-4"/>
                <w:position w:val="2"/>
                <w:sz w:val="17"/>
                <w:szCs w:val="17"/>
              </w:rPr>
              <w:t xml:space="preserve"> 1.0</w:t>
            </w:r>
          </w:p>
        </w:tc>
        <w:tc>
          <w:tcPr>
            <w:tcW w:w="988" w:type="dxa"/>
            <w:gridSpan w:val="2"/>
            <w:vAlign w:val="top"/>
          </w:tcPr>
          <w:p>
            <w:pPr>
              <w:spacing w:before="27" w:line="242" w:lineRule="exact"/>
              <w:ind w:left="336"/>
              <w:rPr>
                <w:rFonts w:ascii="Times New Roman" w:hAnsi="Times New Roman" w:eastAsia="Times New Roman" w:cs="Times New Roman"/>
                <w:sz w:val="17"/>
                <w:szCs w:val="17"/>
              </w:rPr>
            </w:pPr>
            <w:r>
              <w:rPr>
                <w:rFonts w:ascii="Times New Roman" w:hAnsi="Times New Roman" w:eastAsia="Times New Roman" w:cs="Times New Roman"/>
                <w:spacing w:val="6"/>
                <w:position w:val="2"/>
                <w:sz w:val="17"/>
                <w:szCs w:val="17"/>
              </w:rPr>
              <w:t>≤</w:t>
            </w:r>
            <w:r>
              <w:rPr>
                <w:rFonts w:ascii="Times New Roman" w:hAnsi="Times New Roman" w:eastAsia="Times New Roman" w:cs="Times New Roman"/>
                <w:spacing w:val="4"/>
                <w:position w:val="2"/>
                <w:sz w:val="17"/>
                <w:szCs w:val="17"/>
              </w:rPr>
              <w:t>0.5</w:t>
            </w:r>
          </w:p>
        </w:tc>
        <w:tc>
          <w:tcPr>
            <w:tcW w:w="1181" w:type="dxa"/>
            <w:gridSpan w:val="2"/>
            <w:vAlign w:val="top"/>
          </w:tcPr>
          <w:p>
            <w:pPr>
              <w:spacing w:before="27" w:line="242" w:lineRule="exact"/>
              <w:ind w:left="320"/>
              <w:rPr>
                <w:rFonts w:ascii="Times New Roman" w:hAnsi="Times New Roman" w:eastAsia="Times New Roman" w:cs="Times New Roman"/>
                <w:sz w:val="17"/>
                <w:szCs w:val="17"/>
              </w:rPr>
            </w:pPr>
            <w:r>
              <w:rPr>
                <w:rFonts w:ascii="Times New Roman" w:hAnsi="Times New Roman" w:eastAsia="Times New Roman" w:cs="Times New Roman"/>
                <w:spacing w:val="-3"/>
                <w:position w:val="2"/>
                <w:sz w:val="17"/>
                <w:szCs w:val="17"/>
              </w:rPr>
              <w:t>≤</w:t>
            </w:r>
            <w:r>
              <w:rPr>
                <w:rFonts w:ascii="Times New Roman" w:hAnsi="Times New Roman" w:eastAsia="Times New Roman" w:cs="Times New Roman"/>
                <w:spacing w:val="-2"/>
                <w:position w:val="2"/>
                <w:sz w:val="17"/>
                <w:szCs w:val="17"/>
              </w:rPr>
              <w:t xml:space="preserve"> 10000</w:t>
            </w:r>
          </w:p>
        </w:tc>
        <w:tc>
          <w:tcPr>
            <w:tcW w:w="13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4" w:hRule="atLeast"/>
        </w:trPr>
        <w:tc>
          <w:tcPr>
            <w:tcW w:w="623" w:type="dxa"/>
            <w:vMerge w:val="continue"/>
            <w:tcBorders>
              <w:top w:val="nil"/>
              <w:left w:val="single" w:color="000000" w:sz="6" w:space="0"/>
              <w:bottom w:val="nil"/>
            </w:tcBorders>
            <w:vAlign w:val="top"/>
          </w:tcPr>
          <w:p>
            <w:pPr>
              <w:rPr>
                <w:rFonts w:ascii="Arial"/>
                <w:sz w:val="21"/>
              </w:rPr>
            </w:pPr>
          </w:p>
        </w:tc>
        <w:tc>
          <w:tcPr>
            <w:tcW w:w="8303" w:type="dxa"/>
            <w:gridSpan w:val="18"/>
            <w:tcBorders>
              <w:right w:val="single" w:color="000000" w:sz="6" w:space="0"/>
            </w:tcBorders>
            <w:vAlign w:val="top"/>
          </w:tcPr>
          <w:p>
            <w:pPr>
              <w:spacing w:before="141" w:line="242" w:lineRule="auto"/>
              <w:ind w:left="105"/>
              <w:rPr>
                <w:rFonts w:ascii="黑体" w:hAnsi="黑体" w:eastAsia="黑体" w:cs="黑体"/>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 xml:space="preserve"> </w:t>
            </w:r>
            <w:r>
              <w:rPr>
                <w:rFonts w:ascii="黑体" w:hAnsi="黑体" w:eastAsia="黑体" w:cs="黑体"/>
                <w:spacing w:val="-2"/>
                <w:sz w:val="20"/>
                <w:szCs w:val="20"/>
              </w:rPr>
              <w:t>、声环境</w:t>
            </w:r>
          </w:p>
          <w:p>
            <w:pPr>
              <w:spacing w:before="136" w:line="378" w:lineRule="exact"/>
              <w:ind w:left="532"/>
              <w:rPr>
                <w:rFonts w:ascii="宋体" w:hAnsi="宋体" w:eastAsia="宋体" w:cs="宋体"/>
                <w:sz w:val="20"/>
                <w:szCs w:val="20"/>
              </w:rPr>
            </w:pPr>
            <w:r>
              <w:rPr>
                <w:rFonts w:ascii="宋体" w:hAnsi="宋体" w:eastAsia="宋体" w:cs="宋体"/>
                <w:spacing w:val="5"/>
                <w:position w:val="13"/>
                <w:sz w:val="20"/>
                <w:szCs w:val="20"/>
              </w:rPr>
              <w:t>营运期桥梁红线两侧执行《声环境质量标准》  (</w:t>
            </w:r>
            <w:r>
              <w:rPr>
                <w:rFonts w:ascii="Times New Roman" w:hAnsi="Times New Roman" w:eastAsia="Times New Roman" w:cs="Times New Roman"/>
                <w:position w:val="13"/>
                <w:sz w:val="20"/>
                <w:szCs w:val="20"/>
              </w:rPr>
              <w:t>GB</w:t>
            </w:r>
            <w:r>
              <w:rPr>
                <w:rFonts w:ascii="Times New Roman" w:hAnsi="Times New Roman" w:eastAsia="Times New Roman" w:cs="Times New Roman"/>
                <w:spacing w:val="5"/>
                <w:position w:val="13"/>
                <w:sz w:val="20"/>
                <w:szCs w:val="20"/>
              </w:rPr>
              <w:t>3096-2008</w:t>
            </w:r>
            <w:r>
              <w:rPr>
                <w:rFonts w:ascii="宋体" w:hAnsi="宋体" w:eastAsia="宋体" w:cs="宋体"/>
                <w:spacing w:val="5"/>
                <w:position w:val="13"/>
                <w:sz w:val="20"/>
                <w:szCs w:val="20"/>
              </w:rPr>
              <w:t xml:space="preserve">) </w:t>
            </w:r>
            <w:r>
              <w:rPr>
                <w:rFonts w:ascii="Times New Roman" w:hAnsi="Times New Roman" w:eastAsia="Times New Roman" w:cs="Times New Roman"/>
                <w:spacing w:val="5"/>
                <w:position w:val="13"/>
                <w:sz w:val="20"/>
                <w:szCs w:val="20"/>
              </w:rPr>
              <w:t>4</w:t>
            </w:r>
            <w:r>
              <w:rPr>
                <w:rFonts w:ascii="Times New Roman" w:hAnsi="Times New Roman" w:eastAsia="Times New Roman" w:cs="Times New Roman"/>
                <w:position w:val="13"/>
                <w:sz w:val="20"/>
                <w:szCs w:val="20"/>
              </w:rPr>
              <w:t>a</w:t>
            </w:r>
            <w:r>
              <w:rPr>
                <w:rFonts w:ascii="宋体" w:hAnsi="宋体" w:eastAsia="宋体" w:cs="宋体"/>
                <w:spacing w:val="5"/>
                <w:position w:val="13"/>
                <w:sz w:val="20"/>
                <w:szCs w:val="20"/>
              </w:rPr>
              <w:t>类、</w:t>
            </w:r>
            <w:r>
              <w:rPr>
                <w:rFonts w:ascii="Times New Roman" w:hAnsi="Times New Roman" w:eastAsia="Times New Roman" w:cs="Times New Roman"/>
                <w:spacing w:val="5"/>
                <w:position w:val="13"/>
                <w:sz w:val="20"/>
                <w:szCs w:val="20"/>
              </w:rPr>
              <w:t>2</w:t>
            </w:r>
            <w:r>
              <w:rPr>
                <w:rFonts w:ascii="宋体" w:hAnsi="宋体" w:eastAsia="宋体" w:cs="宋体"/>
                <w:spacing w:val="5"/>
                <w:position w:val="13"/>
                <w:sz w:val="20"/>
                <w:szCs w:val="20"/>
              </w:rPr>
              <w:t>类标准要求</w:t>
            </w:r>
            <w:r>
              <w:rPr>
                <w:rFonts w:ascii="宋体" w:hAnsi="宋体" w:eastAsia="宋体" w:cs="宋体"/>
                <w:spacing w:val="2"/>
                <w:position w:val="13"/>
                <w:sz w:val="20"/>
                <w:szCs w:val="20"/>
              </w:rPr>
              <w:t>。</w:t>
            </w:r>
          </w:p>
          <w:p>
            <w:pPr>
              <w:spacing w:line="230" w:lineRule="auto"/>
              <w:ind w:left="2954"/>
              <w:rPr>
                <w:rFonts w:ascii="黑体" w:hAnsi="黑体" w:eastAsia="黑体" w:cs="黑体"/>
                <w:sz w:val="19"/>
                <w:szCs w:val="19"/>
              </w:rPr>
            </w:pPr>
            <w:r>
              <w:rPr>
                <w:rFonts w:ascii="黑体" w:hAnsi="黑体" w:eastAsia="黑体" w:cs="黑体"/>
                <w:spacing w:val="12"/>
                <w:sz w:val="19"/>
                <w:szCs w:val="19"/>
              </w:rPr>
              <w:t>表</w:t>
            </w:r>
            <w:r>
              <w:rPr>
                <w:rFonts w:ascii="Times New Roman" w:hAnsi="Times New Roman" w:eastAsia="Times New Roman" w:cs="Times New Roman"/>
                <w:spacing w:val="12"/>
                <w:sz w:val="19"/>
                <w:szCs w:val="19"/>
              </w:rPr>
              <w:t>3</w:t>
            </w:r>
            <w:r>
              <w:rPr>
                <w:rFonts w:ascii="Times New Roman" w:hAnsi="Times New Roman" w:eastAsia="Times New Roman" w:cs="Times New Roman"/>
                <w:spacing w:val="6"/>
                <w:sz w:val="19"/>
                <w:szCs w:val="19"/>
              </w:rPr>
              <w:t xml:space="preserve">6    </w:t>
            </w:r>
            <w:r>
              <w:rPr>
                <w:rFonts w:ascii="黑体" w:hAnsi="黑体" w:eastAsia="黑体" w:cs="黑体"/>
                <w:spacing w:val="6"/>
                <w:sz w:val="19"/>
                <w:szCs w:val="19"/>
              </w:rPr>
              <w:t>声环境质量标准限值</w:t>
            </w:r>
          </w:p>
          <w:p>
            <w:pPr>
              <w:spacing w:line="63" w:lineRule="auto"/>
              <w:rPr>
                <w:rFonts w:ascii="Arial"/>
                <w:sz w:val="2"/>
              </w:rPr>
            </w:pPr>
          </w:p>
          <w:tbl>
            <w:tblPr>
              <w:tblStyle w:val="4"/>
              <w:tblW w:w="8005" w:type="dxa"/>
              <w:tblInd w:w="1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70"/>
              <w:gridCol w:w="1721"/>
              <w:gridCol w:w="1407"/>
              <w:gridCol w:w="13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3570" w:type="dxa"/>
                  <w:vAlign w:val="top"/>
                </w:tcPr>
                <w:p>
                  <w:pPr>
                    <w:spacing w:before="89" w:line="229" w:lineRule="auto"/>
                    <w:ind w:left="1426"/>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评价范围</w:t>
                  </w:r>
                </w:p>
              </w:tc>
              <w:tc>
                <w:tcPr>
                  <w:tcW w:w="1721" w:type="dxa"/>
                  <w:vAlign w:val="top"/>
                </w:tcPr>
                <w:p>
                  <w:pPr>
                    <w:spacing w:before="89" w:line="230" w:lineRule="auto"/>
                    <w:ind w:left="502"/>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标</w:t>
                  </w:r>
                  <w:r>
                    <w:rPr>
                      <w:rFonts w:ascii="宋体" w:hAnsi="宋体" w:eastAsia="宋体" w:cs="宋体"/>
                      <w:spacing w:val="8"/>
                      <w:sz w:val="17"/>
                      <w:szCs w:val="17"/>
                      <w14:textOutline w14:w="3268" w14:cap="sq" w14:cmpd="sng">
                        <w14:solidFill>
                          <w14:srgbClr w14:val="000000"/>
                        </w14:solidFill>
                        <w14:prstDash w14:val="solid"/>
                        <w14:bevel/>
                      </w14:textOutline>
                    </w:rPr>
                    <w:t>准类别</w:t>
                  </w:r>
                </w:p>
              </w:tc>
              <w:tc>
                <w:tcPr>
                  <w:tcW w:w="1407" w:type="dxa"/>
                  <w:vAlign w:val="top"/>
                </w:tcPr>
                <w:p>
                  <w:pPr>
                    <w:spacing w:before="89" w:line="233" w:lineRule="auto"/>
                    <w:ind w:left="525"/>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昼</w:t>
                  </w:r>
                  <w:r>
                    <w:rPr>
                      <w:rFonts w:ascii="宋体" w:hAnsi="宋体" w:eastAsia="宋体" w:cs="宋体"/>
                      <w:spacing w:val="6"/>
                      <w:sz w:val="17"/>
                      <w:szCs w:val="17"/>
                      <w14:textOutline w14:w="3268" w14:cap="sq" w14:cmpd="sng">
                        <w14:solidFill>
                          <w14:srgbClr w14:val="000000"/>
                        </w14:solidFill>
                        <w14:prstDash w14:val="solid"/>
                        <w14:bevel/>
                      </w14:textOutline>
                    </w:rPr>
                    <w:t>间</w:t>
                  </w:r>
                </w:p>
              </w:tc>
              <w:tc>
                <w:tcPr>
                  <w:tcW w:w="1307" w:type="dxa"/>
                  <w:tcBorders>
                    <w:right w:val="nil"/>
                  </w:tcBorders>
                  <w:vAlign w:val="top"/>
                </w:tcPr>
                <w:p>
                  <w:pPr>
                    <w:spacing w:before="89" w:line="230" w:lineRule="auto"/>
                    <w:ind w:left="477"/>
                    <w:rPr>
                      <w:rFonts w:ascii="宋体" w:hAnsi="宋体" w:eastAsia="宋体" w:cs="宋体"/>
                      <w:sz w:val="17"/>
                      <w:szCs w:val="17"/>
                    </w:rPr>
                  </w:pPr>
                  <w:r>
                    <w:rPr>
                      <w:rFonts w:ascii="宋体" w:hAnsi="宋体" w:eastAsia="宋体" w:cs="宋体"/>
                      <w:spacing w:val="5"/>
                      <w:sz w:val="17"/>
                      <w:szCs w:val="17"/>
                      <w14:textOutline w14:w="3268" w14:cap="sq" w14:cmpd="sng">
                        <w14:solidFill>
                          <w14:srgbClr w14:val="000000"/>
                        </w14:solidFill>
                        <w14:prstDash w14:val="solid"/>
                        <w14:bevel/>
                      </w14:textOutline>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3570" w:type="dxa"/>
                  <w:vAlign w:val="top"/>
                </w:tcPr>
                <w:p>
                  <w:pPr>
                    <w:spacing w:before="86" w:line="230" w:lineRule="auto"/>
                    <w:ind w:left="844"/>
                    <w:rPr>
                      <w:rFonts w:ascii="宋体" w:hAnsi="宋体" w:eastAsia="宋体" w:cs="宋体"/>
                      <w:sz w:val="17"/>
                      <w:szCs w:val="17"/>
                    </w:rPr>
                  </w:pPr>
                  <w:r>
                    <w:rPr>
                      <w:rFonts w:ascii="宋体" w:hAnsi="宋体" w:eastAsia="宋体" w:cs="宋体"/>
                      <w:spacing w:val="12"/>
                      <w:sz w:val="17"/>
                      <w:szCs w:val="17"/>
                    </w:rPr>
                    <w:t>桥梁两侧</w:t>
                  </w:r>
                  <w:r>
                    <w:rPr>
                      <w:rFonts w:ascii="Times New Roman" w:hAnsi="Times New Roman" w:eastAsia="Times New Roman" w:cs="Times New Roman"/>
                      <w:spacing w:val="12"/>
                      <w:sz w:val="17"/>
                      <w:szCs w:val="17"/>
                    </w:rPr>
                    <w:t xml:space="preserve">35 </w:t>
                  </w:r>
                  <w:r>
                    <w:rPr>
                      <w:rFonts w:ascii="宋体" w:hAnsi="宋体" w:eastAsia="宋体" w:cs="宋体"/>
                      <w:spacing w:val="12"/>
                      <w:sz w:val="17"/>
                      <w:szCs w:val="17"/>
                    </w:rPr>
                    <w:t>米范围以</w:t>
                  </w:r>
                  <w:r>
                    <w:rPr>
                      <w:rFonts w:ascii="宋体" w:hAnsi="宋体" w:eastAsia="宋体" w:cs="宋体"/>
                      <w:spacing w:val="9"/>
                      <w:sz w:val="17"/>
                      <w:szCs w:val="17"/>
                    </w:rPr>
                    <w:t>外</w:t>
                  </w:r>
                </w:p>
              </w:tc>
              <w:tc>
                <w:tcPr>
                  <w:tcW w:w="1721" w:type="dxa"/>
                  <w:vAlign w:val="top"/>
                </w:tcPr>
                <w:p>
                  <w:pPr>
                    <w:spacing w:before="86" w:line="230" w:lineRule="auto"/>
                    <w:ind w:left="702"/>
                    <w:rPr>
                      <w:rFonts w:ascii="宋体" w:hAnsi="宋体" w:eastAsia="宋体" w:cs="宋体"/>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4"/>
                      <w:sz w:val="17"/>
                      <w:szCs w:val="17"/>
                    </w:rPr>
                    <w:t xml:space="preserve"> </w:t>
                  </w:r>
                  <w:r>
                    <w:rPr>
                      <w:rFonts w:ascii="宋体" w:hAnsi="宋体" w:eastAsia="宋体" w:cs="宋体"/>
                      <w:spacing w:val="4"/>
                      <w:sz w:val="17"/>
                      <w:szCs w:val="17"/>
                    </w:rPr>
                    <w:t>类</w:t>
                  </w:r>
                </w:p>
              </w:tc>
              <w:tc>
                <w:tcPr>
                  <w:tcW w:w="1407" w:type="dxa"/>
                  <w:vAlign w:val="top"/>
                </w:tcPr>
                <w:p>
                  <w:pPr>
                    <w:spacing w:before="53" w:line="243" w:lineRule="exact"/>
                    <w:ind w:left="387"/>
                    <w:rPr>
                      <w:rFonts w:ascii="Times New Roman" w:hAnsi="Times New Roman" w:eastAsia="Times New Roman" w:cs="Times New Roman"/>
                      <w:sz w:val="17"/>
                      <w:szCs w:val="17"/>
                    </w:rPr>
                  </w:pPr>
                  <w:r>
                    <w:rPr>
                      <w:rFonts w:ascii="Times New Roman" w:hAnsi="Times New Roman" w:eastAsia="Times New Roman" w:cs="Times New Roman"/>
                      <w:spacing w:val="8"/>
                      <w:position w:val="3"/>
                      <w:sz w:val="17"/>
                      <w:szCs w:val="17"/>
                    </w:rPr>
                    <w:t>6</w:t>
                  </w:r>
                  <w:r>
                    <w:rPr>
                      <w:rFonts w:ascii="Times New Roman" w:hAnsi="Times New Roman" w:eastAsia="Times New Roman" w:cs="Times New Roman"/>
                      <w:spacing w:val="6"/>
                      <w:position w:val="3"/>
                      <w:sz w:val="17"/>
                      <w:szCs w:val="17"/>
                    </w:rPr>
                    <w:t>0</w:t>
                  </w:r>
                  <w:r>
                    <w:rPr>
                      <w:rFonts w:ascii="Times New Roman" w:hAnsi="Times New Roman" w:eastAsia="Times New Roman" w:cs="Times New Roman"/>
                      <w:position w:val="3"/>
                      <w:sz w:val="17"/>
                      <w:szCs w:val="17"/>
                    </w:rPr>
                    <w:t>dB</w:t>
                  </w:r>
                  <w:r>
                    <w:rPr>
                      <w:rFonts w:ascii="Times New Roman" w:hAnsi="Times New Roman" w:eastAsia="Times New Roman" w:cs="Times New Roman"/>
                      <w:spacing w:val="6"/>
                      <w:position w:val="3"/>
                      <w:sz w:val="17"/>
                      <w:szCs w:val="17"/>
                    </w:rPr>
                    <w:t>(</w:t>
                  </w:r>
                  <w:r>
                    <w:rPr>
                      <w:rFonts w:ascii="Times New Roman" w:hAnsi="Times New Roman" w:eastAsia="Times New Roman" w:cs="Times New Roman"/>
                      <w:position w:val="3"/>
                      <w:sz w:val="17"/>
                      <w:szCs w:val="17"/>
                    </w:rPr>
                    <w:t>A</w:t>
                  </w:r>
                  <w:r>
                    <w:rPr>
                      <w:rFonts w:ascii="Times New Roman" w:hAnsi="Times New Roman" w:eastAsia="Times New Roman" w:cs="Times New Roman"/>
                      <w:spacing w:val="6"/>
                      <w:position w:val="3"/>
                      <w:sz w:val="17"/>
                      <w:szCs w:val="17"/>
                    </w:rPr>
                    <w:t>)</w:t>
                  </w:r>
                </w:p>
              </w:tc>
              <w:tc>
                <w:tcPr>
                  <w:tcW w:w="1307" w:type="dxa"/>
                  <w:tcBorders>
                    <w:right w:val="nil"/>
                  </w:tcBorders>
                  <w:vAlign w:val="top"/>
                </w:tcPr>
                <w:p>
                  <w:pPr>
                    <w:spacing w:before="53" w:line="243" w:lineRule="exact"/>
                    <w:ind w:left="337"/>
                    <w:rPr>
                      <w:rFonts w:ascii="Times New Roman" w:hAnsi="Times New Roman" w:eastAsia="Times New Roman" w:cs="Times New Roman"/>
                      <w:sz w:val="17"/>
                      <w:szCs w:val="17"/>
                    </w:rPr>
                  </w:pPr>
                  <w:r>
                    <w:rPr>
                      <w:rFonts w:ascii="Times New Roman" w:hAnsi="Times New Roman" w:eastAsia="Times New Roman" w:cs="Times New Roman"/>
                      <w:spacing w:val="7"/>
                      <w:position w:val="3"/>
                      <w:sz w:val="17"/>
                      <w:szCs w:val="17"/>
                    </w:rPr>
                    <w:t>5</w:t>
                  </w:r>
                  <w:r>
                    <w:rPr>
                      <w:rFonts w:ascii="Times New Roman" w:hAnsi="Times New Roman" w:eastAsia="Times New Roman" w:cs="Times New Roman"/>
                      <w:spacing w:val="6"/>
                      <w:position w:val="3"/>
                      <w:sz w:val="17"/>
                      <w:szCs w:val="17"/>
                    </w:rPr>
                    <w:t>0</w:t>
                  </w:r>
                  <w:r>
                    <w:rPr>
                      <w:rFonts w:ascii="Times New Roman" w:hAnsi="Times New Roman" w:eastAsia="Times New Roman" w:cs="Times New Roman"/>
                      <w:position w:val="3"/>
                      <w:sz w:val="17"/>
                      <w:szCs w:val="17"/>
                    </w:rPr>
                    <w:t>dB</w:t>
                  </w:r>
                  <w:r>
                    <w:rPr>
                      <w:rFonts w:ascii="Times New Roman" w:hAnsi="Times New Roman" w:eastAsia="Times New Roman" w:cs="Times New Roman"/>
                      <w:spacing w:val="6"/>
                      <w:position w:val="3"/>
                      <w:sz w:val="17"/>
                      <w:szCs w:val="17"/>
                    </w:rPr>
                    <w:t>(</w:t>
                  </w:r>
                  <w:r>
                    <w:rPr>
                      <w:rFonts w:ascii="Times New Roman" w:hAnsi="Times New Roman" w:eastAsia="Times New Roman" w:cs="Times New Roman"/>
                      <w:position w:val="3"/>
                      <w:sz w:val="17"/>
                      <w:szCs w:val="17"/>
                    </w:rPr>
                    <w:t>A</w:t>
                  </w:r>
                  <w:r>
                    <w:rPr>
                      <w:rFonts w:ascii="Times New Roman" w:hAnsi="Times New Roman" w:eastAsia="Times New Roman" w:cs="Times New Roman"/>
                      <w:spacing w:val="6"/>
                      <w:position w:val="3"/>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3570" w:type="dxa"/>
                  <w:vAlign w:val="top"/>
                </w:tcPr>
                <w:p>
                  <w:pPr>
                    <w:spacing w:before="90" w:line="230" w:lineRule="auto"/>
                    <w:ind w:left="844"/>
                    <w:rPr>
                      <w:rFonts w:ascii="宋体" w:hAnsi="宋体" w:eastAsia="宋体" w:cs="宋体"/>
                      <w:sz w:val="17"/>
                      <w:szCs w:val="17"/>
                    </w:rPr>
                  </w:pPr>
                  <w:r>
                    <w:rPr>
                      <w:rFonts w:ascii="宋体" w:hAnsi="宋体" w:eastAsia="宋体" w:cs="宋体"/>
                      <w:spacing w:val="12"/>
                      <w:sz w:val="17"/>
                      <w:szCs w:val="17"/>
                    </w:rPr>
                    <w:t>桥梁两侧</w:t>
                  </w:r>
                  <w:r>
                    <w:rPr>
                      <w:rFonts w:ascii="Times New Roman" w:hAnsi="Times New Roman" w:eastAsia="Times New Roman" w:cs="Times New Roman"/>
                      <w:spacing w:val="12"/>
                      <w:sz w:val="17"/>
                      <w:szCs w:val="17"/>
                    </w:rPr>
                    <w:t xml:space="preserve">35 </w:t>
                  </w:r>
                  <w:r>
                    <w:rPr>
                      <w:rFonts w:ascii="宋体" w:hAnsi="宋体" w:eastAsia="宋体" w:cs="宋体"/>
                      <w:spacing w:val="12"/>
                      <w:sz w:val="17"/>
                      <w:szCs w:val="17"/>
                    </w:rPr>
                    <w:t>米范围以</w:t>
                  </w:r>
                  <w:r>
                    <w:rPr>
                      <w:rFonts w:ascii="宋体" w:hAnsi="宋体" w:eastAsia="宋体" w:cs="宋体"/>
                      <w:spacing w:val="9"/>
                      <w:sz w:val="17"/>
                      <w:szCs w:val="17"/>
                    </w:rPr>
                    <w:t>内</w:t>
                  </w:r>
                </w:p>
              </w:tc>
              <w:tc>
                <w:tcPr>
                  <w:tcW w:w="1721" w:type="dxa"/>
                  <w:vAlign w:val="top"/>
                </w:tcPr>
                <w:p>
                  <w:pPr>
                    <w:spacing w:before="90" w:line="230" w:lineRule="auto"/>
                    <w:ind w:left="661"/>
                    <w:rPr>
                      <w:rFonts w:ascii="宋体" w:hAnsi="宋体" w:eastAsia="宋体" w:cs="宋体"/>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z w:val="17"/>
                      <w:szCs w:val="17"/>
                    </w:rPr>
                    <w:t>a</w:t>
                  </w:r>
                  <w:r>
                    <w:rPr>
                      <w:rFonts w:ascii="Times New Roman" w:hAnsi="Times New Roman" w:eastAsia="Times New Roman" w:cs="Times New Roman"/>
                      <w:spacing w:val="6"/>
                      <w:sz w:val="17"/>
                      <w:szCs w:val="17"/>
                    </w:rPr>
                    <w:t xml:space="preserve"> </w:t>
                  </w:r>
                  <w:r>
                    <w:rPr>
                      <w:rFonts w:ascii="宋体" w:hAnsi="宋体" w:eastAsia="宋体" w:cs="宋体"/>
                      <w:spacing w:val="5"/>
                      <w:sz w:val="17"/>
                      <w:szCs w:val="17"/>
                    </w:rPr>
                    <w:t>类</w:t>
                  </w:r>
                </w:p>
              </w:tc>
              <w:tc>
                <w:tcPr>
                  <w:tcW w:w="1407" w:type="dxa"/>
                  <w:vAlign w:val="top"/>
                </w:tcPr>
                <w:p>
                  <w:pPr>
                    <w:spacing w:before="55" w:line="242" w:lineRule="exact"/>
                    <w:ind w:left="386"/>
                    <w:rPr>
                      <w:rFonts w:ascii="Times New Roman" w:hAnsi="Times New Roman" w:eastAsia="Times New Roman" w:cs="Times New Roman"/>
                      <w:sz w:val="17"/>
                      <w:szCs w:val="17"/>
                    </w:rPr>
                  </w:pPr>
                  <w:r>
                    <w:rPr>
                      <w:rFonts w:ascii="Times New Roman" w:hAnsi="Times New Roman" w:eastAsia="Times New Roman" w:cs="Times New Roman"/>
                      <w:spacing w:val="7"/>
                      <w:position w:val="3"/>
                      <w:sz w:val="17"/>
                      <w:szCs w:val="17"/>
                    </w:rPr>
                    <w:t>70</w:t>
                  </w:r>
                  <w:r>
                    <w:rPr>
                      <w:rFonts w:ascii="Times New Roman" w:hAnsi="Times New Roman" w:eastAsia="Times New Roman" w:cs="Times New Roman"/>
                      <w:position w:val="3"/>
                      <w:sz w:val="17"/>
                      <w:szCs w:val="17"/>
                    </w:rPr>
                    <w:t>dB</w:t>
                  </w:r>
                  <w:r>
                    <w:rPr>
                      <w:rFonts w:ascii="Times New Roman" w:hAnsi="Times New Roman" w:eastAsia="Times New Roman" w:cs="Times New Roman"/>
                      <w:spacing w:val="7"/>
                      <w:position w:val="3"/>
                      <w:sz w:val="17"/>
                      <w:szCs w:val="17"/>
                    </w:rPr>
                    <w:t>(</w:t>
                  </w:r>
                  <w:r>
                    <w:rPr>
                      <w:rFonts w:ascii="Times New Roman" w:hAnsi="Times New Roman" w:eastAsia="Times New Roman" w:cs="Times New Roman"/>
                      <w:position w:val="3"/>
                      <w:sz w:val="17"/>
                      <w:szCs w:val="17"/>
                    </w:rPr>
                    <w:t>A</w:t>
                  </w:r>
                  <w:r>
                    <w:rPr>
                      <w:rFonts w:ascii="Times New Roman" w:hAnsi="Times New Roman" w:eastAsia="Times New Roman" w:cs="Times New Roman"/>
                      <w:spacing w:val="6"/>
                      <w:position w:val="3"/>
                      <w:sz w:val="17"/>
                      <w:szCs w:val="17"/>
                    </w:rPr>
                    <w:t>)</w:t>
                  </w:r>
                </w:p>
              </w:tc>
              <w:tc>
                <w:tcPr>
                  <w:tcW w:w="1307" w:type="dxa"/>
                  <w:tcBorders>
                    <w:right w:val="nil"/>
                  </w:tcBorders>
                  <w:vAlign w:val="top"/>
                </w:tcPr>
                <w:p>
                  <w:pPr>
                    <w:spacing w:before="55" w:line="242" w:lineRule="exact"/>
                    <w:ind w:left="337"/>
                    <w:rPr>
                      <w:rFonts w:ascii="Times New Roman" w:hAnsi="Times New Roman" w:eastAsia="Times New Roman" w:cs="Times New Roman"/>
                      <w:sz w:val="17"/>
                      <w:szCs w:val="17"/>
                    </w:rPr>
                  </w:pPr>
                  <w:r>
                    <w:rPr>
                      <w:rFonts w:ascii="Times New Roman" w:hAnsi="Times New Roman" w:eastAsia="Times New Roman" w:cs="Times New Roman"/>
                      <w:spacing w:val="7"/>
                      <w:position w:val="3"/>
                      <w:sz w:val="17"/>
                      <w:szCs w:val="17"/>
                    </w:rPr>
                    <w:t>5</w:t>
                  </w:r>
                  <w:r>
                    <w:rPr>
                      <w:rFonts w:ascii="Times New Roman" w:hAnsi="Times New Roman" w:eastAsia="Times New Roman" w:cs="Times New Roman"/>
                      <w:spacing w:val="6"/>
                      <w:position w:val="3"/>
                      <w:sz w:val="17"/>
                      <w:szCs w:val="17"/>
                    </w:rPr>
                    <w:t>5</w:t>
                  </w:r>
                  <w:r>
                    <w:rPr>
                      <w:rFonts w:ascii="Times New Roman" w:hAnsi="Times New Roman" w:eastAsia="Times New Roman" w:cs="Times New Roman"/>
                      <w:position w:val="3"/>
                      <w:sz w:val="17"/>
                      <w:szCs w:val="17"/>
                    </w:rPr>
                    <w:t>dB</w:t>
                  </w:r>
                  <w:r>
                    <w:rPr>
                      <w:rFonts w:ascii="Times New Roman" w:hAnsi="Times New Roman" w:eastAsia="Times New Roman" w:cs="Times New Roman"/>
                      <w:spacing w:val="6"/>
                      <w:position w:val="3"/>
                      <w:sz w:val="17"/>
                      <w:szCs w:val="17"/>
                    </w:rPr>
                    <w:t>(</w:t>
                  </w:r>
                  <w:r>
                    <w:rPr>
                      <w:rFonts w:ascii="Times New Roman" w:hAnsi="Times New Roman" w:eastAsia="Times New Roman" w:cs="Times New Roman"/>
                      <w:position w:val="3"/>
                      <w:sz w:val="17"/>
                      <w:szCs w:val="17"/>
                    </w:rPr>
                    <w:t>A</w:t>
                  </w:r>
                  <w:r>
                    <w:rPr>
                      <w:rFonts w:ascii="Times New Roman" w:hAnsi="Times New Roman" w:eastAsia="Times New Roman" w:cs="Times New Roman"/>
                      <w:spacing w:val="6"/>
                      <w:position w:val="3"/>
                      <w:sz w:val="17"/>
                      <w:szCs w:val="17"/>
                    </w:rPr>
                    <w:t>)</w:t>
                  </w:r>
                </w:p>
              </w:tc>
            </w:tr>
          </w:tbl>
          <w:p>
            <w:pPr>
              <w:spacing w:before="140" w:line="242" w:lineRule="auto"/>
              <w:ind w:left="100"/>
              <w:rPr>
                <w:rFonts w:ascii="黑体" w:hAnsi="黑体" w:eastAsia="黑体" w:cs="黑体"/>
                <w:sz w:val="20"/>
                <w:szCs w:val="20"/>
              </w:rPr>
            </w:pPr>
            <w:r>
              <w:rPr>
                <w:rFonts w:ascii="Times New Roman" w:hAnsi="Times New Roman" w:eastAsia="Times New Roman" w:cs="Times New Roman"/>
                <w:spacing w:val="2"/>
                <w:sz w:val="20"/>
                <w:szCs w:val="20"/>
              </w:rPr>
              <w:t xml:space="preserve">4 </w:t>
            </w:r>
            <w:r>
              <w:rPr>
                <w:rFonts w:ascii="黑体" w:hAnsi="黑体" w:eastAsia="黑体" w:cs="黑体"/>
                <w:spacing w:val="2"/>
                <w:sz w:val="20"/>
                <w:szCs w:val="20"/>
              </w:rPr>
              <w:t>、大</w:t>
            </w:r>
            <w:r>
              <w:rPr>
                <w:rFonts w:ascii="黑体" w:hAnsi="黑体" w:eastAsia="黑体" w:cs="黑体"/>
                <w:spacing w:val="1"/>
                <w:sz w:val="20"/>
                <w:szCs w:val="20"/>
              </w:rPr>
              <w:t>气污染物</w:t>
            </w:r>
          </w:p>
          <w:p>
            <w:pPr>
              <w:spacing w:before="99" w:line="294" w:lineRule="auto"/>
              <w:ind w:left="2555" w:right="41" w:hanging="2031"/>
              <w:rPr>
                <w:rFonts w:ascii="黑体" w:hAnsi="黑体" w:eastAsia="黑体" w:cs="黑体"/>
                <w:sz w:val="19"/>
                <w:szCs w:val="19"/>
              </w:rPr>
            </w:pPr>
            <w:r>
              <w:rPr>
                <w:rFonts w:ascii="宋体" w:hAnsi="宋体" w:eastAsia="宋体" w:cs="宋体"/>
                <w:spacing w:val="6"/>
                <w:sz w:val="20"/>
                <w:szCs w:val="20"/>
              </w:rPr>
              <w:t>施</w:t>
            </w:r>
            <w:r>
              <w:rPr>
                <w:rFonts w:ascii="宋体" w:hAnsi="宋体" w:eastAsia="宋体" w:cs="宋体"/>
                <w:spacing w:val="5"/>
                <w:sz w:val="20"/>
                <w:szCs w:val="20"/>
              </w:rPr>
              <w:t>工扬尘执行《四川省施工场地扬尘排放标准》  (</w:t>
            </w:r>
            <w:r>
              <w:rPr>
                <w:rFonts w:ascii="Times New Roman" w:hAnsi="Times New Roman" w:eastAsia="Times New Roman" w:cs="Times New Roman"/>
                <w:sz w:val="20"/>
                <w:szCs w:val="20"/>
              </w:rPr>
              <w:t>DB</w:t>
            </w:r>
            <w:r>
              <w:rPr>
                <w:rFonts w:ascii="Times New Roman" w:hAnsi="Times New Roman" w:eastAsia="Times New Roman" w:cs="Times New Roman"/>
                <w:spacing w:val="5"/>
                <w:sz w:val="20"/>
                <w:szCs w:val="20"/>
              </w:rPr>
              <w:t>51/2682-2020</w:t>
            </w:r>
            <w:r>
              <w:rPr>
                <w:rFonts w:ascii="宋体" w:hAnsi="宋体" w:eastAsia="宋体" w:cs="宋体"/>
                <w:spacing w:val="5"/>
                <w:sz w:val="20"/>
                <w:szCs w:val="20"/>
              </w:rPr>
              <w:t>) 中的标准限值。</w:t>
            </w:r>
            <w:r>
              <w:rPr>
                <w:rFonts w:ascii="宋体" w:hAnsi="宋体" w:eastAsia="宋体" w:cs="宋体"/>
                <w:sz w:val="20"/>
                <w:szCs w:val="20"/>
              </w:rPr>
              <w:t xml:space="preserve"> </w:t>
            </w:r>
            <w:r>
              <w:rPr>
                <w:rFonts w:ascii="黑体" w:hAnsi="黑体" w:eastAsia="黑体" w:cs="黑体"/>
                <w:spacing w:val="14"/>
                <w:sz w:val="19"/>
                <w:szCs w:val="19"/>
              </w:rPr>
              <w:t>表</w:t>
            </w:r>
            <w:r>
              <w:rPr>
                <w:rFonts w:ascii="Times New Roman" w:hAnsi="Times New Roman" w:eastAsia="Times New Roman" w:cs="Times New Roman"/>
                <w:spacing w:val="7"/>
                <w:sz w:val="19"/>
                <w:szCs w:val="19"/>
              </w:rPr>
              <w:t xml:space="preserve">37    </w:t>
            </w:r>
            <w:r>
              <w:rPr>
                <w:rFonts w:ascii="黑体" w:hAnsi="黑体" w:eastAsia="黑体" w:cs="黑体"/>
                <w:spacing w:val="7"/>
                <w:sz w:val="19"/>
                <w:szCs w:val="19"/>
              </w:rPr>
              <w:t>四川省施工场地扬尘排放限值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23" w:type="dxa"/>
            <w:vMerge w:val="continue"/>
            <w:tcBorders>
              <w:top w:val="nil"/>
              <w:left w:val="single" w:color="000000" w:sz="6" w:space="0"/>
              <w:bottom w:val="nil"/>
            </w:tcBorders>
            <w:vAlign w:val="top"/>
          </w:tcPr>
          <w:p>
            <w:pPr>
              <w:rPr>
                <w:rFonts w:ascii="Arial"/>
                <w:sz w:val="21"/>
              </w:rPr>
            </w:pPr>
          </w:p>
        </w:tc>
        <w:tc>
          <w:tcPr>
            <w:tcW w:w="951" w:type="dxa"/>
            <w:vAlign w:val="top"/>
          </w:tcPr>
          <w:p>
            <w:pPr>
              <w:spacing w:before="72" w:line="231" w:lineRule="auto"/>
              <w:ind w:left="174"/>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监</w:t>
            </w:r>
            <w:r>
              <w:rPr>
                <w:rFonts w:ascii="宋体" w:hAnsi="宋体" w:eastAsia="宋体" w:cs="宋体"/>
                <w:spacing w:val="8"/>
                <w:sz w:val="17"/>
                <w:szCs w:val="17"/>
                <w14:textOutline w14:w="3268" w14:cap="sq" w14:cmpd="sng">
                  <w14:solidFill>
                    <w14:srgbClr w14:val="000000"/>
                  </w14:solidFill>
                  <w14:prstDash w14:val="solid"/>
                  <w14:bevel/>
                </w14:textOutline>
              </w:rPr>
              <w:t>测项目</w:t>
            </w:r>
          </w:p>
        </w:tc>
        <w:tc>
          <w:tcPr>
            <w:tcW w:w="3370" w:type="dxa"/>
            <w:gridSpan w:val="7"/>
            <w:vAlign w:val="top"/>
          </w:tcPr>
          <w:p>
            <w:pPr>
              <w:spacing w:before="72" w:line="231" w:lineRule="auto"/>
              <w:ind w:left="1518"/>
              <w:rPr>
                <w:rFonts w:ascii="宋体" w:hAnsi="宋体" w:eastAsia="宋体" w:cs="宋体"/>
                <w:sz w:val="17"/>
                <w:szCs w:val="17"/>
              </w:rPr>
            </w:pPr>
            <w:r>
              <w:rPr>
                <w:rFonts w:ascii="宋体" w:hAnsi="宋体" w:eastAsia="宋体" w:cs="宋体"/>
                <w:spacing w:val="-1"/>
                <w:sz w:val="17"/>
                <w:szCs w:val="17"/>
                <w14:textOutline w14:w="3268" w14:cap="sq" w14:cmpd="sng">
                  <w14:solidFill>
                    <w14:srgbClr w14:val="000000"/>
                  </w14:solidFill>
                  <w14:prstDash w14:val="solid"/>
                  <w14:bevel/>
                </w14:textOutline>
              </w:rPr>
              <w:t>区</w:t>
            </w:r>
            <w:r>
              <w:rPr>
                <w:rFonts w:ascii="宋体" w:hAnsi="宋体" w:eastAsia="宋体" w:cs="宋体"/>
                <w:sz w:val="17"/>
                <w:szCs w:val="17"/>
                <w14:textOutline w14:w="3268" w14:cap="sq" w14:cmpd="sng">
                  <w14:solidFill>
                    <w14:srgbClr w14:val="000000"/>
                  </w14:solidFill>
                  <w14:prstDash w14:val="solid"/>
                  <w14:bevel/>
                </w14:textOutline>
              </w:rPr>
              <w:t>域</w:t>
            </w:r>
          </w:p>
        </w:tc>
        <w:tc>
          <w:tcPr>
            <w:tcW w:w="1474" w:type="dxa"/>
            <w:gridSpan w:val="4"/>
            <w:vAlign w:val="top"/>
          </w:tcPr>
          <w:p>
            <w:pPr>
              <w:spacing w:before="72" w:line="231" w:lineRule="auto"/>
              <w:ind w:left="381"/>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施工阶段</w:t>
            </w:r>
          </w:p>
        </w:tc>
        <w:tc>
          <w:tcPr>
            <w:tcW w:w="1385" w:type="dxa"/>
            <w:gridSpan w:val="4"/>
            <w:vAlign w:val="top"/>
          </w:tcPr>
          <w:p>
            <w:pPr>
              <w:spacing w:before="72" w:line="230" w:lineRule="auto"/>
              <w:ind w:left="53"/>
              <w:rPr>
                <w:rFonts w:ascii="宋体" w:hAnsi="宋体" w:eastAsia="宋体" w:cs="宋体"/>
                <w:sz w:val="17"/>
                <w:szCs w:val="17"/>
              </w:rPr>
            </w:pPr>
            <w:r>
              <w:rPr>
                <w:rFonts w:ascii="宋体" w:hAnsi="宋体" w:eastAsia="宋体" w:cs="宋体"/>
                <w:spacing w:val="13"/>
                <w:sz w:val="17"/>
                <w:szCs w:val="17"/>
                <w14:textOutline w14:w="3268" w14:cap="sq" w14:cmpd="sng">
                  <w14:solidFill>
                    <w14:srgbClr w14:val="000000"/>
                  </w14:solidFill>
                  <w14:prstDash w14:val="solid"/>
                  <w14:bevel/>
                </w14:textOutline>
              </w:rPr>
              <w:t>监</w:t>
            </w:r>
            <w:r>
              <w:rPr>
                <w:rFonts w:ascii="宋体" w:hAnsi="宋体" w:eastAsia="宋体" w:cs="宋体"/>
                <w:spacing w:val="9"/>
                <w:sz w:val="17"/>
                <w:szCs w:val="17"/>
                <w14:textOutline w14:w="3268" w14:cap="sq" w14:cmpd="sng">
                  <w14:solidFill>
                    <w14:srgbClr w14:val="000000"/>
                  </w14:solidFill>
                  <w14:prstDash w14:val="solid"/>
                  <w14:bevel/>
                </w14:textOutline>
              </w:rPr>
              <w:t>测点排放限值</w:t>
            </w:r>
          </w:p>
        </w:tc>
        <w:tc>
          <w:tcPr>
            <w:tcW w:w="1123" w:type="dxa"/>
            <w:gridSpan w:val="2"/>
            <w:tcBorders>
              <w:right w:val="single" w:color="000000" w:sz="6" w:space="0"/>
            </w:tcBorders>
            <w:vAlign w:val="top"/>
          </w:tcPr>
          <w:p>
            <w:pPr>
              <w:spacing w:before="72" w:line="231" w:lineRule="auto"/>
              <w:ind w:left="127"/>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监</w:t>
            </w:r>
            <w:r>
              <w:rPr>
                <w:rFonts w:ascii="宋体" w:hAnsi="宋体" w:eastAsia="宋体" w:cs="宋体"/>
                <w:spacing w:val="8"/>
                <w:sz w:val="17"/>
                <w:szCs w:val="17"/>
                <w14:textOutline w14:w="3268" w14:cap="sq" w14:cmpd="sng">
                  <w14:solidFill>
                    <w14:srgbClr w14:val="000000"/>
                  </w14:solidFill>
                  <w14:prstDash w14:val="solid"/>
                  <w14:bevel/>
                </w14:textOutline>
              </w:rPr>
              <w:t>测时间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623" w:type="dxa"/>
            <w:vMerge w:val="continue"/>
            <w:tcBorders>
              <w:top w:val="nil"/>
              <w:left w:val="single" w:color="000000" w:sz="6" w:space="0"/>
              <w:bottom w:val="nil"/>
            </w:tcBorders>
            <w:vAlign w:val="top"/>
          </w:tcPr>
          <w:p>
            <w:pPr>
              <w:rPr>
                <w:rFonts w:ascii="Arial"/>
                <w:sz w:val="21"/>
              </w:rPr>
            </w:pPr>
          </w:p>
        </w:tc>
        <w:tc>
          <w:tcPr>
            <w:tcW w:w="951" w:type="dxa"/>
            <w:vMerge w:val="restart"/>
            <w:tcBorders>
              <w:bottom w:val="nil"/>
            </w:tcBorders>
            <w:vAlign w:val="top"/>
          </w:tcPr>
          <w:p>
            <w:pPr>
              <w:spacing w:before="211" w:line="313" w:lineRule="auto"/>
              <w:ind w:left="210" w:right="97" w:firstLine="62"/>
              <w:rPr>
                <w:rFonts w:ascii="宋体" w:hAnsi="宋体" w:eastAsia="宋体" w:cs="宋体"/>
                <w:sz w:val="17"/>
                <w:szCs w:val="17"/>
              </w:rPr>
            </w:pPr>
            <w:r>
              <w:rPr>
                <w:rFonts w:ascii="宋体" w:hAnsi="宋体" w:eastAsia="宋体" w:cs="宋体"/>
                <w:spacing w:val="6"/>
                <w:sz w:val="17"/>
                <w:szCs w:val="17"/>
              </w:rPr>
              <w:t>总悬浮</w:t>
            </w:r>
            <w:r>
              <w:rPr>
                <w:rFonts w:ascii="宋体" w:hAnsi="宋体" w:eastAsia="宋体" w:cs="宋体"/>
                <w:sz w:val="17"/>
                <w:szCs w:val="17"/>
              </w:rPr>
              <w:t xml:space="preserve"> </w:t>
            </w:r>
            <w:r>
              <w:rPr>
                <w:rFonts w:ascii="宋体" w:hAnsi="宋体" w:eastAsia="宋体" w:cs="宋体"/>
                <w:spacing w:val="28"/>
                <w:sz w:val="17"/>
                <w:szCs w:val="17"/>
              </w:rPr>
              <w:t>颗</w:t>
            </w:r>
            <w:r>
              <w:rPr>
                <w:rFonts w:ascii="宋体" w:hAnsi="宋体" w:eastAsia="宋体" w:cs="宋体"/>
                <w:spacing w:val="26"/>
                <w:sz w:val="17"/>
                <w:szCs w:val="17"/>
              </w:rPr>
              <w:t>粒物</w:t>
            </w:r>
            <w:r>
              <w:rPr>
                <w:rFonts w:ascii="宋体" w:hAnsi="宋体" w:eastAsia="宋体" w:cs="宋体"/>
                <w:sz w:val="17"/>
                <w:szCs w:val="17"/>
              </w:rPr>
              <w:t xml:space="preserve"> </w:t>
            </w:r>
            <w:r>
              <w:rPr>
                <w:rFonts w:ascii="宋体" w:hAnsi="宋体" w:eastAsia="宋体" w:cs="宋体"/>
                <w:spacing w:val="45"/>
                <w:sz w:val="17"/>
                <w:szCs w:val="17"/>
              </w:rPr>
              <w:t>(</w:t>
            </w:r>
            <w:r>
              <w:rPr>
                <w:rFonts w:ascii="Times New Roman" w:hAnsi="Times New Roman" w:eastAsia="Times New Roman" w:cs="Times New Roman"/>
                <w:sz w:val="17"/>
                <w:szCs w:val="17"/>
              </w:rPr>
              <w:t>TSP</w:t>
            </w:r>
            <w:r>
              <w:rPr>
                <w:rFonts w:ascii="宋体" w:hAnsi="宋体" w:eastAsia="宋体" w:cs="宋体"/>
                <w:spacing w:val="45"/>
                <w:sz w:val="17"/>
                <w:szCs w:val="17"/>
              </w:rPr>
              <w:t>)</w:t>
            </w:r>
          </w:p>
        </w:tc>
        <w:tc>
          <w:tcPr>
            <w:tcW w:w="3370" w:type="dxa"/>
            <w:gridSpan w:val="7"/>
            <w:vMerge w:val="restart"/>
            <w:tcBorders>
              <w:bottom w:val="nil"/>
            </w:tcBorders>
            <w:vAlign w:val="top"/>
          </w:tcPr>
          <w:p>
            <w:pPr>
              <w:spacing w:before="71" w:line="286" w:lineRule="auto"/>
              <w:ind w:left="38" w:right="33"/>
              <w:rPr>
                <w:rFonts w:ascii="宋体" w:hAnsi="宋体" w:eastAsia="宋体" w:cs="宋体"/>
                <w:sz w:val="17"/>
                <w:szCs w:val="17"/>
              </w:rPr>
            </w:pPr>
            <w:r>
              <w:rPr>
                <w:rFonts w:ascii="宋体" w:hAnsi="宋体" w:eastAsia="宋体" w:cs="宋体"/>
                <w:spacing w:val="8"/>
                <w:sz w:val="17"/>
                <w:szCs w:val="17"/>
              </w:rPr>
              <w:t>成都市、 自贡市、泸州市、德阳市、绵</w:t>
            </w:r>
            <w:r>
              <w:rPr>
                <w:rFonts w:ascii="宋体" w:hAnsi="宋体" w:eastAsia="宋体" w:cs="宋体"/>
                <w:spacing w:val="4"/>
                <w:sz w:val="17"/>
                <w:szCs w:val="17"/>
              </w:rPr>
              <w:t>阳</w:t>
            </w:r>
            <w:r>
              <w:rPr>
                <w:rFonts w:ascii="宋体" w:hAnsi="宋体" w:eastAsia="宋体" w:cs="宋体"/>
                <w:sz w:val="17"/>
                <w:szCs w:val="17"/>
              </w:rPr>
              <w:t xml:space="preserve"> </w:t>
            </w:r>
            <w:r>
              <w:rPr>
                <w:rFonts w:ascii="宋体" w:hAnsi="宋体" w:eastAsia="宋体" w:cs="宋体"/>
                <w:spacing w:val="14"/>
                <w:sz w:val="17"/>
                <w:szCs w:val="17"/>
              </w:rPr>
              <w:t>市、</w:t>
            </w:r>
            <w:r>
              <w:rPr>
                <w:rFonts w:ascii="宋体" w:hAnsi="宋体" w:eastAsia="宋体" w:cs="宋体"/>
                <w:spacing w:val="8"/>
                <w:sz w:val="17"/>
                <w:szCs w:val="17"/>
              </w:rPr>
              <w:t>广</w:t>
            </w:r>
            <w:r>
              <w:rPr>
                <w:rFonts w:ascii="宋体" w:hAnsi="宋体" w:eastAsia="宋体" w:cs="宋体"/>
                <w:spacing w:val="7"/>
                <w:sz w:val="17"/>
                <w:szCs w:val="17"/>
              </w:rPr>
              <w:t>元市、遂宁市、 内江市、乐山市、</w:t>
            </w:r>
            <w:r>
              <w:rPr>
                <w:rFonts w:ascii="宋体" w:hAnsi="宋体" w:eastAsia="宋体" w:cs="宋体"/>
                <w:sz w:val="17"/>
                <w:szCs w:val="17"/>
              </w:rPr>
              <w:t xml:space="preserve"> </w:t>
            </w:r>
            <w:r>
              <w:rPr>
                <w:rFonts w:ascii="宋体" w:hAnsi="宋体" w:eastAsia="宋体" w:cs="宋体"/>
                <w:spacing w:val="14"/>
                <w:sz w:val="17"/>
                <w:szCs w:val="17"/>
              </w:rPr>
              <w:t>南充</w:t>
            </w:r>
            <w:r>
              <w:rPr>
                <w:rFonts w:ascii="宋体" w:hAnsi="宋体" w:eastAsia="宋体" w:cs="宋体"/>
                <w:spacing w:val="8"/>
                <w:sz w:val="17"/>
                <w:szCs w:val="17"/>
              </w:rPr>
              <w:t>市</w:t>
            </w:r>
            <w:r>
              <w:rPr>
                <w:rFonts w:ascii="宋体" w:hAnsi="宋体" w:eastAsia="宋体" w:cs="宋体"/>
                <w:spacing w:val="7"/>
                <w:sz w:val="17"/>
                <w:szCs w:val="17"/>
              </w:rPr>
              <w:t>、宜宾市、广安市、</w:t>
            </w:r>
            <w:r>
              <w:rPr>
                <w:rFonts w:ascii="宋体" w:hAnsi="宋体" w:eastAsia="宋体" w:cs="宋体"/>
                <w:spacing w:val="7"/>
                <w:sz w:val="17"/>
                <w:szCs w:val="17"/>
                <w14:textOutline w14:w="3268" w14:cap="sq" w14:cmpd="sng">
                  <w14:solidFill>
                    <w14:srgbClr w14:val="000000"/>
                  </w14:solidFill>
                  <w14:prstDash w14:val="solid"/>
                  <w14:bevel/>
                </w14:textOutline>
              </w:rPr>
              <w:t>达州市</w:t>
            </w:r>
            <w:r>
              <w:rPr>
                <w:rFonts w:ascii="宋体" w:hAnsi="宋体" w:eastAsia="宋体" w:cs="宋体"/>
                <w:spacing w:val="7"/>
                <w:sz w:val="17"/>
                <w:szCs w:val="17"/>
              </w:rPr>
              <w:t>、 巴中</w:t>
            </w:r>
            <w:r>
              <w:rPr>
                <w:rFonts w:ascii="宋体" w:hAnsi="宋体" w:eastAsia="宋体" w:cs="宋体"/>
                <w:sz w:val="17"/>
                <w:szCs w:val="17"/>
              </w:rPr>
              <w:t xml:space="preserve"> </w:t>
            </w:r>
            <w:r>
              <w:rPr>
                <w:rFonts w:ascii="宋体" w:hAnsi="宋体" w:eastAsia="宋体" w:cs="宋体"/>
                <w:spacing w:val="12"/>
                <w:sz w:val="17"/>
                <w:szCs w:val="17"/>
              </w:rPr>
              <w:t>市</w:t>
            </w:r>
            <w:r>
              <w:rPr>
                <w:rFonts w:ascii="宋体" w:hAnsi="宋体" w:eastAsia="宋体" w:cs="宋体"/>
                <w:spacing w:val="9"/>
                <w:sz w:val="17"/>
                <w:szCs w:val="17"/>
              </w:rPr>
              <w:t>、雅安市、眉山市、资阳市</w:t>
            </w:r>
          </w:p>
        </w:tc>
        <w:tc>
          <w:tcPr>
            <w:tcW w:w="1474" w:type="dxa"/>
            <w:gridSpan w:val="4"/>
            <w:vAlign w:val="top"/>
          </w:tcPr>
          <w:p>
            <w:pPr>
              <w:spacing w:before="38" w:line="286" w:lineRule="auto"/>
              <w:ind w:left="88" w:right="76"/>
              <w:rPr>
                <w:rFonts w:ascii="宋体" w:hAnsi="宋体" w:eastAsia="宋体" w:cs="宋体"/>
                <w:sz w:val="17"/>
                <w:szCs w:val="17"/>
              </w:rPr>
            </w:pPr>
            <w:r>
              <w:rPr>
                <w:rFonts w:ascii="宋体" w:hAnsi="宋体" w:eastAsia="宋体" w:cs="宋体"/>
                <w:spacing w:val="10"/>
                <w:sz w:val="17"/>
                <w:szCs w:val="17"/>
              </w:rPr>
              <w:t>拆</w:t>
            </w:r>
            <w:r>
              <w:rPr>
                <w:rFonts w:ascii="宋体" w:hAnsi="宋体" w:eastAsia="宋体" w:cs="宋体"/>
                <w:spacing w:val="8"/>
                <w:sz w:val="17"/>
                <w:szCs w:val="17"/>
              </w:rPr>
              <w:t>除工程</w:t>
            </w:r>
            <w:r>
              <w:rPr>
                <w:rFonts w:ascii="Times New Roman" w:hAnsi="Times New Roman" w:eastAsia="Times New Roman" w:cs="Times New Roman"/>
                <w:spacing w:val="8"/>
                <w:sz w:val="17"/>
                <w:szCs w:val="17"/>
              </w:rPr>
              <w:t>/</w:t>
            </w:r>
            <w:r>
              <w:rPr>
                <w:rFonts w:ascii="宋体" w:hAnsi="宋体" w:eastAsia="宋体" w:cs="宋体"/>
                <w:spacing w:val="8"/>
                <w:sz w:val="17"/>
                <w:szCs w:val="17"/>
              </w:rPr>
              <w:t>土方开</w:t>
            </w:r>
            <w:r>
              <w:rPr>
                <w:rFonts w:ascii="宋体" w:hAnsi="宋体" w:eastAsia="宋体" w:cs="宋体"/>
                <w:sz w:val="17"/>
                <w:szCs w:val="17"/>
              </w:rPr>
              <w:t xml:space="preserve"> </w:t>
            </w:r>
            <w:r>
              <w:rPr>
                <w:rFonts w:ascii="宋体" w:hAnsi="宋体" w:eastAsia="宋体" w:cs="宋体"/>
                <w:spacing w:val="10"/>
                <w:sz w:val="17"/>
                <w:szCs w:val="17"/>
              </w:rPr>
              <w:t>挖</w:t>
            </w:r>
            <w:r>
              <w:rPr>
                <w:rFonts w:ascii="Times New Roman" w:hAnsi="Times New Roman" w:eastAsia="Times New Roman" w:cs="Times New Roman"/>
                <w:spacing w:val="8"/>
                <w:sz w:val="17"/>
                <w:szCs w:val="17"/>
              </w:rPr>
              <w:t>/</w:t>
            </w:r>
            <w:r>
              <w:rPr>
                <w:rFonts w:ascii="宋体" w:hAnsi="宋体" w:eastAsia="宋体" w:cs="宋体"/>
                <w:spacing w:val="8"/>
                <w:sz w:val="17"/>
                <w:szCs w:val="17"/>
              </w:rPr>
              <w:t>土方回填阶段</w:t>
            </w:r>
          </w:p>
        </w:tc>
        <w:tc>
          <w:tcPr>
            <w:tcW w:w="1385" w:type="dxa"/>
            <w:gridSpan w:val="4"/>
            <w:vAlign w:val="top"/>
          </w:tcPr>
          <w:p>
            <w:pPr>
              <w:spacing w:before="179" w:line="242" w:lineRule="exact"/>
              <w:ind w:left="319"/>
              <w:rPr>
                <w:rFonts w:ascii="宋体" w:hAnsi="宋体" w:eastAsia="宋体" w:cs="宋体"/>
                <w:sz w:val="17"/>
                <w:szCs w:val="17"/>
              </w:rPr>
            </w:pPr>
            <w:r>
              <w:rPr>
                <w:rFonts w:ascii="Times New Roman" w:hAnsi="Times New Roman" w:eastAsia="Times New Roman" w:cs="Times New Roman"/>
                <w:spacing w:val="9"/>
                <w:position w:val="3"/>
                <w:sz w:val="17"/>
                <w:szCs w:val="17"/>
              </w:rPr>
              <w:t>6</w:t>
            </w:r>
            <w:r>
              <w:rPr>
                <w:rFonts w:ascii="Times New Roman" w:hAnsi="Times New Roman" w:eastAsia="Times New Roman" w:cs="Times New Roman"/>
                <w:spacing w:val="6"/>
                <w:position w:val="3"/>
                <w:sz w:val="17"/>
                <w:szCs w:val="17"/>
              </w:rPr>
              <w:t>00</w:t>
            </w:r>
            <w:r>
              <w:rPr>
                <w:rFonts w:ascii="Times New Roman" w:hAnsi="Times New Roman" w:eastAsia="Times New Roman" w:cs="Times New Roman"/>
                <w:position w:val="3"/>
                <w:sz w:val="17"/>
                <w:szCs w:val="17"/>
              </w:rPr>
              <w:t>ug</w:t>
            </w:r>
            <w:r>
              <w:rPr>
                <w:rFonts w:ascii="Times New Roman" w:hAnsi="Times New Roman" w:eastAsia="Times New Roman" w:cs="Times New Roman"/>
                <w:spacing w:val="6"/>
                <w:position w:val="3"/>
                <w:sz w:val="17"/>
                <w:szCs w:val="17"/>
              </w:rPr>
              <w:t>/</w:t>
            </w:r>
            <w:r>
              <w:rPr>
                <w:rFonts w:ascii="Times New Roman" w:hAnsi="Times New Roman" w:eastAsia="Times New Roman" w:cs="Times New Roman"/>
                <w:position w:val="3"/>
                <w:sz w:val="17"/>
                <w:szCs w:val="17"/>
              </w:rPr>
              <w:t>m</w:t>
            </w:r>
            <w:r>
              <w:rPr>
                <w:rFonts w:ascii="宋体" w:hAnsi="宋体" w:eastAsia="宋体" w:cs="宋体"/>
                <w:spacing w:val="6"/>
                <w:position w:val="3"/>
                <w:sz w:val="17"/>
                <w:szCs w:val="17"/>
              </w:rPr>
              <w:t>³</w:t>
            </w:r>
          </w:p>
        </w:tc>
        <w:tc>
          <w:tcPr>
            <w:tcW w:w="1123" w:type="dxa"/>
            <w:gridSpan w:val="2"/>
            <w:vMerge w:val="restart"/>
            <w:tcBorders>
              <w:bottom w:val="nil"/>
              <w:right w:val="single" w:color="000000" w:sz="6" w:space="0"/>
            </w:tcBorders>
            <w:vAlign w:val="top"/>
          </w:tcPr>
          <w:p>
            <w:pPr>
              <w:spacing w:line="294" w:lineRule="auto"/>
              <w:rPr>
                <w:rFonts w:ascii="Arial"/>
                <w:sz w:val="21"/>
              </w:rPr>
            </w:pPr>
          </w:p>
          <w:p>
            <w:pPr>
              <w:spacing w:before="56" w:line="317" w:lineRule="auto"/>
              <w:ind w:left="85" w:right="182" w:hanging="18"/>
              <w:rPr>
                <w:rFonts w:ascii="宋体" w:hAnsi="宋体" w:eastAsia="宋体" w:cs="宋体"/>
                <w:sz w:val="17"/>
                <w:szCs w:val="17"/>
              </w:rPr>
            </w:pPr>
            <w:r>
              <w:rPr>
                <w:rFonts w:ascii="宋体" w:hAnsi="宋体" w:eastAsia="宋体" w:cs="宋体"/>
                <w:spacing w:val="4"/>
                <w:sz w:val="17"/>
                <w:szCs w:val="17"/>
              </w:rPr>
              <w:t>自</w:t>
            </w:r>
            <w:r>
              <w:rPr>
                <w:rFonts w:ascii="宋体" w:hAnsi="宋体" w:eastAsia="宋体" w:cs="宋体"/>
                <w:spacing w:val="3"/>
                <w:sz w:val="17"/>
                <w:szCs w:val="17"/>
              </w:rPr>
              <w:t>监</w:t>
            </w:r>
            <w:r>
              <w:rPr>
                <w:rFonts w:ascii="宋体" w:hAnsi="宋体" w:eastAsia="宋体" w:cs="宋体"/>
                <w:spacing w:val="2"/>
                <w:sz w:val="17"/>
                <w:szCs w:val="17"/>
              </w:rPr>
              <w:t>测起持</w:t>
            </w:r>
            <w:r>
              <w:rPr>
                <w:rFonts w:ascii="宋体" w:hAnsi="宋体" w:eastAsia="宋体" w:cs="宋体"/>
                <w:sz w:val="17"/>
                <w:szCs w:val="17"/>
              </w:rPr>
              <w:t xml:space="preserve"> </w:t>
            </w:r>
            <w:r>
              <w:rPr>
                <w:rFonts w:ascii="宋体" w:hAnsi="宋体" w:eastAsia="宋体" w:cs="宋体"/>
                <w:spacing w:val="-2"/>
                <w:sz w:val="17"/>
                <w:szCs w:val="17"/>
              </w:rPr>
              <w:t>续</w:t>
            </w:r>
            <w:r>
              <w:rPr>
                <w:rFonts w:ascii="宋体" w:hAnsi="宋体" w:eastAsia="宋体" w:cs="宋体"/>
                <w:spacing w:val="-1"/>
                <w:sz w:val="17"/>
                <w:szCs w:val="17"/>
              </w:rPr>
              <w:t xml:space="preserve"> </w:t>
            </w:r>
            <w:r>
              <w:rPr>
                <w:rFonts w:ascii="Times New Roman" w:hAnsi="Times New Roman" w:eastAsia="Times New Roman" w:cs="Times New Roman"/>
                <w:spacing w:val="-1"/>
                <w:sz w:val="17"/>
                <w:szCs w:val="17"/>
              </w:rPr>
              <w:t xml:space="preserve">15 </w:t>
            </w:r>
            <w:r>
              <w:rPr>
                <w:rFonts w:ascii="宋体" w:hAnsi="宋体" w:eastAsia="宋体" w:cs="宋体"/>
                <w:spacing w:val="-1"/>
                <w:sz w:val="17"/>
                <w:szCs w:val="17"/>
              </w:rPr>
              <w:t>分钟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623" w:type="dxa"/>
            <w:vMerge w:val="continue"/>
            <w:tcBorders>
              <w:top w:val="nil"/>
              <w:left w:val="single" w:color="000000" w:sz="6" w:space="0"/>
              <w:bottom w:val="nil"/>
            </w:tcBorders>
            <w:vAlign w:val="top"/>
          </w:tcPr>
          <w:p>
            <w:pPr>
              <w:rPr>
                <w:rFonts w:ascii="Arial"/>
                <w:sz w:val="21"/>
              </w:rPr>
            </w:pPr>
          </w:p>
        </w:tc>
        <w:tc>
          <w:tcPr>
            <w:tcW w:w="951" w:type="dxa"/>
            <w:vMerge w:val="continue"/>
            <w:tcBorders>
              <w:top w:val="nil"/>
            </w:tcBorders>
            <w:vAlign w:val="top"/>
          </w:tcPr>
          <w:p>
            <w:pPr>
              <w:rPr>
                <w:rFonts w:ascii="Arial"/>
                <w:sz w:val="21"/>
              </w:rPr>
            </w:pPr>
          </w:p>
        </w:tc>
        <w:tc>
          <w:tcPr>
            <w:tcW w:w="3370" w:type="dxa"/>
            <w:gridSpan w:val="7"/>
            <w:vMerge w:val="continue"/>
            <w:tcBorders>
              <w:top w:val="nil"/>
            </w:tcBorders>
            <w:vAlign w:val="top"/>
          </w:tcPr>
          <w:p>
            <w:pPr>
              <w:rPr>
                <w:rFonts w:ascii="Arial"/>
                <w:sz w:val="21"/>
              </w:rPr>
            </w:pPr>
          </w:p>
        </w:tc>
        <w:tc>
          <w:tcPr>
            <w:tcW w:w="1474" w:type="dxa"/>
            <w:gridSpan w:val="4"/>
            <w:vAlign w:val="top"/>
          </w:tcPr>
          <w:p>
            <w:pPr>
              <w:spacing w:before="206" w:line="231" w:lineRule="auto"/>
              <w:ind w:left="204"/>
              <w:rPr>
                <w:rFonts w:ascii="宋体" w:hAnsi="宋体" w:eastAsia="宋体" w:cs="宋体"/>
                <w:sz w:val="17"/>
                <w:szCs w:val="17"/>
              </w:rPr>
            </w:pPr>
            <w:r>
              <w:rPr>
                <w:rFonts w:ascii="宋体" w:hAnsi="宋体" w:eastAsia="宋体" w:cs="宋体"/>
                <w:spacing w:val="12"/>
                <w:sz w:val="17"/>
                <w:szCs w:val="17"/>
              </w:rPr>
              <w:t>其</w:t>
            </w:r>
            <w:r>
              <w:rPr>
                <w:rFonts w:ascii="宋体" w:hAnsi="宋体" w:eastAsia="宋体" w:cs="宋体"/>
                <w:spacing w:val="8"/>
                <w:sz w:val="17"/>
                <w:szCs w:val="17"/>
              </w:rPr>
              <w:t>他工程阶段</w:t>
            </w:r>
          </w:p>
        </w:tc>
        <w:tc>
          <w:tcPr>
            <w:tcW w:w="1385" w:type="dxa"/>
            <w:gridSpan w:val="4"/>
            <w:vAlign w:val="top"/>
          </w:tcPr>
          <w:p>
            <w:pPr>
              <w:spacing w:before="173" w:line="242" w:lineRule="exact"/>
              <w:ind w:left="315"/>
              <w:rPr>
                <w:rFonts w:ascii="宋体" w:hAnsi="宋体" w:eastAsia="宋体" w:cs="宋体"/>
                <w:sz w:val="17"/>
                <w:szCs w:val="17"/>
              </w:rPr>
            </w:pPr>
            <w:r>
              <w:rPr>
                <w:rFonts w:ascii="Times New Roman" w:hAnsi="Times New Roman" w:eastAsia="Times New Roman" w:cs="Times New Roman"/>
                <w:spacing w:val="9"/>
                <w:position w:val="3"/>
                <w:sz w:val="17"/>
                <w:szCs w:val="17"/>
              </w:rPr>
              <w:t>2</w:t>
            </w:r>
            <w:r>
              <w:rPr>
                <w:rFonts w:ascii="Times New Roman" w:hAnsi="Times New Roman" w:eastAsia="Times New Roman" w:cs="Times New Roman"/>
                <w:spacing w:val="7"/>
                <w:position w:val="3"/>
                <w:sz w:val="17"/>
                <w:szCs w:val="17"/>
              </w:rPr>
              <w:t>50</w:t>
            </w:r>
            <w:r>
              <w:rPr>
                <w:rFonts w:ascii="Times New Roman" w:hAnsi="Times New Roman" w:eastAsia="Times New Roman" w:cs="Times New Roman"/>
                <w:position w:val="3"/>
                <w:sz w:val="17"/>
                <w:szCs w:val="17"/>
              </w:rPr>
              <w:t>ug</w:t>
            </w:r>
            <w:r>
              <w:rPr>
                <w:rFonts w:ascii="Times New Roman" w:hAnsi="Times New Roman" w:eastAsia="Times New Roman" w:cs="Times New Roman"/>
                <w:spacing w:val="7"/>
                <w:position w:val="3"/>
                <w:sz w:val="17"/>
                <w:szCs w:val="17"/>
              </w:rPr>
              <w:t>/</w:t>
            </w:r>
            <w:r>
              <w:rPr>
                <w:rFonts w:ascii="Times New Roman" w:hAnsi="Times New Roman" w:eastAsia="Times New Roman" w:cs="Times New Roman"/>
                <w:position w:val="3"/>
                <w:sz w:val="17"/>
                <w:szCs w:val="17"/>
              </w:rPr>
              <w:t>m</w:t>
            </w:r>
            <w:r>
              <w:rPr>
                <w:rFonts w:ascii="宋体" w:hAnsi="宋体" w:eastAsia="宋体" w:cs="宋体"/>
                <w:spacing w:val="7"/>
                <w:position w:val="3"/>
                <w:sz w:val="17"/>
                <w:szCs w:val="17"/>
              </w:rPr>
              <w:t>³</w:t>
            </w:r>
          </w:p>
        </w:tc>
        <w:tc>
          <w:tcPr>
            <w:tcW w:w="1123" w:type="dxa"/>
            <w:gridSpan w:val="2"/>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713" w:hRule="atLeast"/>
        </w:trPr>
        <w:tc>
          <w:tcPr>
            <w:tcW w:w="623" w:type="dxa"/>
            <w:vMerge w:val="continue"/>
            <w:tcBorders>
              <w:top w:val="nil"/>
              <w:left w:val="single" w:color="000000" w:sz="6" w:space="0"/>
            </w:tcBorders>
            <w:vAlign w:val="top"/>
          </w:tcPr>
          <w:p>
            <w:pPr>
              <w:rPr>
                <w:rFonts w:ascii="Arial"/>
                <w:sz w:val="21"/>
              </w:rPr>
            </w:pPr>
          </w:p>
        </w:tc>
        <w:tc>
          <w:tcPr>
            <w:tcW w:w="8303" w:type="dxa"/>
            <w:gridSpan w:val="18"/>
            <w:tcBorders>
              <w:right w:val="single" w:color="000000" w:sz="6" w:space="0"/>
            </w:tcBorders>
            <w:vAlign w:val="top"/>
          </w:tcPr>
          <w:p>
            <w:pPr>
              <w:spacing w:before="134" w:line="224" w:lineRule="auto"/>
              <w:ind w:left="108"/>
              <w:rPr>
                <w:rFonts w:ascii="黑体" w:hAnsi="黑体" w:eastAsia="黑体" w:cs="黑体"/>
                <w:sz w:val="20"/>
                <w:szCs w:val="20"/>
              </w:rPr>
            </w:pPr>
            <w:r>
              <w:rPr>
                <w:rFonts w:ascii="Times New Roman" w:hAnsi="Times New Roman" w:eastAsia="Times New Roman" w:cs="Times New Roman"/>
                <w:spacing w:val="-5"/>
                <w:sz w:val="22"/>
                <w:szCs w:val="22"/>
              </w:rPr>
              <w:t xml:space="preserve">5 </w:t>
            </w:r>
            <w:r>
              <w:rPr>
                <w:rFonts w:ascii="黑体" w:hAnsi="黑体" w:eastAsia="黑体" w:cs="黑体"/>
                <w:spacing w:val="-5"/>
                <w:sz w:val="22"/>
                <w:szCs w:val="22"/>
              </w:rPr>
              <w:t>、水</w:t>
            </w:r>
            <w:r>
              <w:rPr>
                <w:rFonts w:ascii="黑体" w:hAnsi="黑体" w:eastAsia="黑体" w:cs="黑体"/>
                <w:spacing w:val="-5"/>
                <w:sz w:val="20"/>
                <w:szCs w:val="20"/>
              </w:rPr>
              <w:t>污染物</w:t>
            </w:r>
          </w:p>
          <w:p>
            <w:pPr>
              <w:spacing w:before="141" w:line="228" w:lineRule="auto"/>
              <w:ind w:left="524"/>
              <w:rPr>
                <w:rFonts w:ascii="宋体" w:hAnsi="宋体" w:eastAsia="宋体" w:cs="宋体"/>
                <w:sz w:val="20"/>
                <w:szCs w:val="20"/>
              </w:rPr>
            </w:pPr>
            <w:r>
              <w:rPr>
                <w:rFonts w:ascii="宋体" w:hAnsi="宋体" w:eastAsia="宋体" w:cs="宋体"/>
                <w:spacing w:val="18"/>
                <w:sz w:val="20"/>
                <w:szCs w:val="20"/>
              </w:rPr>
              <w:t>施</w:t>
            </w:r>
            <w:r>
              <w:rPr>
                <w:rFonts w:ascii="宋体" w:hAnsi="宋体" w:eastAsia="宋体" w:cs="宋体"/>
                <w:spacing w:val="15"/>
                <w:sz w:val="20"/>
                <w:szCs w:val="20"/>
              </w:rPr>
              <w:t>工</w:t>
            </w:r>
            <w:r>
              <w:rPr>
                <w:rFonts w:ascii="宋体" w:hAnsi="宋体" w:eastAsia="宋体" w:cs="宋体"/>
                <w:spacing w:val="9"/>
                <w:sz w:val="20"/>
                <w:szCs w:val="20"/>
              </w:rPr>
              <w:t>废水经收集处理后回用，不外排；施工期生活污水集中收集，定期拉运。</w:t>
            </w:r>
          </w:p>
          <w:p>
            <w:pPr>
              <w:spacing w:before="151" w:line="215" w:lineRule="auto"/>
              <w:ind w:left="106"/>
              <w:rPr>
                <w:rFonts w:ascii="黑体" w:hAnsi="黑体" w:eastAsia="黑体" w:cs="黑体"/>
                <w:sz w:val="20"/>
                <w:szCs w:val="20"/>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9"/>
                <w:sz w:val="22"/>
                <w:szCs w:val="22"/>
              </w:rPr>
              <w:t xml:space="preserve"> </w:t>
            </w:r>
            <w:r>
              <w:rPr>
                <w:rFonts w:ascii="黑体" w:hAnsi="黑体" w:eastAsia="黑体" w:cs="黑体"/>
                <w:spacing w:val="-9"/>
                <w:sz w:val="22"/>
                <w:szCs w:val="22"/>
              </w:rPr>
              <w:t>、</w:t>
            </w:r>
            <w:r>
              <w:rPr>
                <w:rFonts w:ascii="黑体" w:hAnsi="黑体" w:eastAsia="黑体" w:cs="黑体"/>
                <w:spacing w:val="-9"/>
                <w:sz w:val="20"/>
                <w:szCs w:val="20"/>
              </w:rPr>
              <w:t>噪声</w:t>
            </w:r>
          </w:p>
          <w:p>
            <w:pPr>
              <w:spacing w:before="107" w:line="293" w:lineRule="auto"/>
              <w:ind w:left="2454" w:right="77" w:hanging="1930"/>
              <w:rPr>
                <w:rFonts w:ascii="黑体" w:hAnsi="黑体" w:eastAsia="黑体" w:cs="黑体"/>
                <w:sz w:val="19"/>
                <w:szCs w:val="19"/>
              </w:rPr>
            </w:pPr>
            <w:r>
              <w:rPr>
                <w:rFonts w:ascii="宋体" w:hAnsi="宋体" w:eastAsia="宋体" w:cs="宋体"/>
                <w:spacing w:val="8"/>
                <w:sz w:val="20"/>
                <w:szCs w:val="20"/>
              </w:rPr>
              <w:t>施工期执行《建筑施工场界环境噪声排放标准》</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GBl</w:t>
            </w:r>
            <w:r>
              <w:rPr>
                <w:rFonts w:ascii="Times New Roman" w:hAnsi="Times New Roman" w:eastAsia="Times New Roman" w:cs="Times New Roman"/>
                <w:spacing w:val="8"/>
                <w:sz w:val="20"/>
                <w:szCs w:val="20"/>
              </w:rPr>
              <w:t>2523</w:t>
            </w:r>
            <w:r>
              <w:rPr>
                <w:rFonts w:ascii="宋体" w:hAnsi="宋体" w:eastAsia="宋体" w:cs="宋体"/>
                <w:spacing w:val="8"/>
                <w:sz w:val="20"/>
                <w:szCs w:val="20"/>
              </w:rPr>
              <w:t>－</w:t>
            </w:r>
            <w:r>
              <w:rPr>
                <w:rFonts w:ascii="Times New Roman" w:hAnsi="Times New Roman" w:eastAsia="Times New Roman" w:cs="Times New Roman"/>
                <w:spacing w:val="8"/>
                <w:sz w:val="20"/>
                <w:szCs w:val="20"/>
              </w:rPr>
              <w:t>2011)</w:t>
            </w:r>
            <w:r>
              <w:rPr>
                <w:rFonts w:ascii="宋体" w:hAnsi="宋体" w:eastAsia="宋体" w:cs="宋体"/>
                <w:spacing w:val="8"/>
                <w:sz w:val="20"/>
                <w:szCs w:val="20"/>
              </w:rPr>
              <w:t>表</w:t>
            </w:r>
            <w:r>
              <w:rPr>
                <w:rFonts w:ascii="Times New Roman" w:hAnsi="Times New Roman" w:eastAsia="Times New Roman" w:cs="Times New Roman"/>
                <w:spacing w:val="8"/>
                <w:sz w:val="20"/>
                <w:szCs w:val="20"/>
              </w:rPr>
              <w:t>1</w:t>
            </w:r>
            <w:r>
              <w:rPr>
                <w:rFonts w:ascii="宋体" w:hAnsi="宋体" w:eastAsia="宋体" w:cs="宋体"/>
                <w:spacing w:val="8"/>
                <w:sz w:val="20"/>
                <w:szCs w:val="20"/>
              </w:rPr>
              <w:t>中的排放限值</w:t>
            </w:r>
            <w:r>
              <w:rPr>
                <w:rFonts w:ascii="宋体" w:hAnsi="宋体" w:eastAsia="宋体" w:cs="宋体"/>
                <w:spacing w:val="4"/>
                <w:sz w:val="20"/>
                <w:szCs w:val="20"/>
              </w:rPr>
              <w:t>。</w:t>
            </w:r>
            <w:r>
              <w:rPr>
                <w:rFonts w:ascii="宋体" w:hAnsi="宋体" w:eastAsia="宋体" w:cs="宋体"/>
                <w:sz w:val="20"/>
                <w:szCs w:val="20"/>
              </w:rPr>
              <w:t xml:space="preserve"> </w:t>
            </w:r>
            <w:r>
              <w:rPr>
                <w:rFonts w:ascii="黑体" w:hAnsi="黑体" w:eastAsia="黑体" w:cs="黑体"/>
                <w:spacing w:val="14"/>
                <w:sz w:val="19"/>
                <w:szCs w:val="19"/>
              </w:rPr>
              <w:t>表</w:t>
            </w:r>
            <w:r>
              <w:rPr>
                <w:rFonts w:ascii="Times New Roman" w:hAnsi="Times New Roman" w:eastAsia="Times New Roman" w:cs="Times New Roman"/>
                <w:spacing w:val="10"/>
                <w:sz w:val="19"/>
                <w:szCs w:val="19"/>
              </w:rPr>
              <w:t>3</w:t>
            </w:r>
            <w:r>
              <w:rPr>
                <w:rFonts w:ascii="Times New Roman" w:hAnsi="Times New Roman" w:eastAsia="Times New Roman" w:cs="Times New Roman"/>
                <w:spacing w:val="7"/>
                <w:sz w:val="19"/>
                <w:szCs w:val="19"/>
              </w:rPr>
              <w:t xml:space="preserve">8    </w:t>
            </w:r>
            <w:r>
              <w:rPr>
                <w:rFonts w:ascii="黑体" w:hAnsi="黑体" w:eastAsia="黑体" w:cs="黑体"/>
                <w:spacing w:val="7"/>
                <w:sz w:val="19"/>
                <w:szCs w:val="19"/>
              </w:rPr>
              <w:t>建筑施工场界环境噪声排放标准</w:t>
            </w:r>
          </w:p>
          <w:tbl>
            <w:tblPr>
              <w:tblStyle w:val="4"/>
              <w:tblW w:w="8006" w:type="dxa"/>
              <w:tblInd w:w="1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89"/>
              <w:gridCol w:w="2055"/>
              <w:gridCol w:w="20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3889" w:type="dxa"/>
                  <w:vAlign w:val="top"/>
                </w:tcPr>
                <w:p>
                  <w:pPr>
                    <w:spacing w:before="75" w:line="230" w:lineRule="auto"/>
                    <w:ind w:left="1777"/>
                    <w:rPr>
                      <w:rFonts w:ascii="宋体" w:hAnsi="宋体" w:eastAsia="宋体" w:cs="宋体"/>
                      <w:sz w:val="17"/>
                      <w:szCs w:val="17"/>
                    </w:rPr>
                  </w:pPr>
                  <w:r>
                    <w:rPr>
                      <w:rFonts w:ascii="宋体" w:hAnsi="宋体" w:eastAsia="宋体" w:cs="宋体"/>
                      <w:spacing w:val="2"/>
                      <w:sz w:val="17"/>
                      <w:szCs w:val="17"/>
                      <w14:textOutline w14:w="3268" w14:cap="sq" w14:cmpd="sng">
                        <w14:solidFill>
                          <w14:srgbClr w14:val="000000"/>
                        </w14:solidFill>
                        <w14:prstDash w14:val="solid"/>
                        <w14:bevel/>
                      </w14:textOutline>
                    </w:rPr>
                    <w:t>时段</w:t>
                  </w:r>
                </w:p>
              </w:tc>
              <w:tc>
                <w:tcPr>
                  <w:tcW w:w="2055" w:type="dxa"/>
                  <w:vAlign w:val="top"/>
                </w:tcPr>
                <w:p>
                  <w:pPr>
                    <w:spacing w:before="75" w:line="230" w:lineRule="auto"/>
                    <w:ind w:left="848"/>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昼</w:t>
                  </w:r>
                  <w:r>
                    <w:rPr>
                      <w:rFonts w:ascii="宋体" w:hAnsi="宋体" w:eastAsia="宋体" w:cs="宋体"/>
                      <w:spacing w:val="6"/>
                      <w:sz w:val="17"/>
                      <w:szCs w:val="17"/>
                      <w14:textOutline w14:w="3268" w14:cap="sq" w14:cmpd="sng">
                        <w14:solidFill>
                          <w14:srgbClr w14:val="000000"/>
                        </w14:solidFill>
                        <w14:prstDash w14:val="solid"/>
                        <w14:bevel/>
                      </w14:textOutline>
                    </w:rPr>
                    <w:t>间</w:t>
                  </w:r>
                </w:p>
              </w:tc>
              <w:tc>
                <w:tcPr>
                  <w:tcW w:w="2062" w:type="dxa"/>
                  <w:tcBorders>
                    <w:right w:val="nil"/>
                  </w:tcBorders>
                  <w:vAlign w:val="top"/>
                </w:tcPr>
                <w:p>
                  <w:pPr>
                    <w:spacing w:before="75" w:line="230" w:lineRule="auto"/>
                    <w:ind w:left="853"/>
                    <w:rPr>
                      <w:rFonts w:ascii="宋体" w:hAnsi="宋体" w:eastAsia="宋体" w:cs="宋体"/>
                      <w:sz w:val="17"/>
                      <w:szCs w:val="17"/>
                    </w:rPr>
                  </w:pPr>
                  <w:r>
                    <w:rPr>
                      <w:rFonts w:ascii="宋体" w:hAnsi="宋体" w:eastAsia="宋体" w:cs="宋体"/>
                      <w:spacing w:val="5"/>
                      <w:sz w:val="17"/>
                      <w:szCs w:val="17"/>
                      <w14:textOutline w14:w="3268" w14:cap="sq" w14:cmpd="sng">
                        <w14:solidFill>
                          <w14:srgbClr w14:val="000000"/>
                        </w14:solidFill>
                        <w14:prstDash w14:val="solid"/>
                        <w14:bevel/>
                      </w14:textOutline>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3889" w:type="dxa"/>
                  <w:vAlign w:val="top"/>
                </w:tcPr>
                <w:p>
                  <w:pPr>
                    <w:spacing w:before="73" w:line="230" w:lineRule="auto"/>
                    <w:ind w:left="1518"/>
                    <w:rPr>
                      <w:rFonts w:ascii="宋体" w:hAnsi="宋体" w:eastAsia="宋体" w:cs="宋体"/>
                      <w:sz w:val="17"/>
                      <w:szCs w:val="17"/>
                    </w:rPr>
                  </w:pPr>
                  <w:r>
                    <w:rPr>
                      <w:rFonts w:ascii="Times New Roman" w:hAnsi="Times New Roman" w:eastAsia="Times New Roman" w:cs="Times New Roman"/>
                      <w:spacing w:val="8"/>
                      <w:sz w:val="17"/>
                      <w:szCs w:val="17"/>
                    </w:rPr>
                    <w:t>2</w:t>
                  </w:r>
                  <w:r>
                    <w:rPr>
                      <w:rFonts w:ascii="Times New Roman" w:hAnsi="Times New Roman" w:eastAsia="Times New Roman" w:cs="Times New Roman"/>
                      <w:spacing w:val="7"/>
                      <w:sz w:val="17"/>
                      <w:szCs w:val="17"/>
                    </w:rPr>
                    <w:t xml:space="preserve"> </w:t>
                  </w:r>
                  <w:r>
                    <w:rPr>
                      <w:rFonts w:ascii="宋体" w:hAnsi="宋体" w:eastAsia="宋体" w:cs="宋体"/>
                      <w:spacing w:val="7"/>
                      <w:sz w:val="17"/>
                      <w:szCs w:val="17"/>
                    </w:rPr>
                    <w:t>类区标准</w:t>
                  </w:r>
                </w:p>
              </w:tc>
              <w:tc>
                <w:tcPr>
                  <w:tcW w:w="2055" w:type="dxa"/>
                  <w:vAlign w:val="top"/>
                </w:tcPr>
                <w:p>
                  <w:pPr>
                    <w:spacing w:before="38" w:line="242" w:lineRule="exact"/>
                    <w:ind w:left="709"/>
                    <w:rPr>
                      <w:rFonts w:ascii="Times New Roman" w:hAnsi="Times New Roman" w:eastAsia="Times New Roman" w:cs="Times New Roman"/>
                      <w:sz w:val="17"/>
                      <w:szCs w:val="17"/>
                    </w:rPr>
                  </w:pPr>
                  <w:r>
                    <w:rPr>
                      <w:rFonts w:ascii="Times New Roman" w:hAnsi="Times New Roman" w:eastAsia="Times New Roman" w:cs="Times New Roman"/>
                      <w:spacing w:val="8"/>
                      <w:position w:val="3"/>
                      <w:sz w:val="17"/>
                      <w:szCs w:val="17"/>
                    </w:rPr>
                    <w:t>7</w:t>
                  </w:r>
                  <w:r>
                    <w:rPr>
                      <w:rFonts w:ascii="Times New Roman" w:hAnsi="Times New Roman" w:eastAsia="Times New Roman" w:cs="Times New Roman"/>
                      <w:spacing w:val="7"/>
                      <w:position w:val="3"/>
                      <w:sz w:val="17"/>
                      <w:szCs w:val="17"/>
                    </w:rPr>
                    <w:t>0</w:t>
                  </w:r>
                  <w:r>
                    <w:rPr>
                      <w:rFonts w:ascii="Times New Roman" w:hAnsi="Times New Roman" w:eastAsia="Times New Roman" w:cs="Times New Roman"/>
                      <w:position w:val="3"/>
                      <w:sz w:val="17"/>
                      <w:szCs w:val="17"/>
                    </w:rPr>
                    <w:t>dB</w:t>
                  </w:r>
                  <w:r>
                    <w:rPr>
                      <w:rFonts w:ascii="Times New Roman" w:hAnsi="Times New Roman" w:eastAsia="Times New Roman" w:cs="Times New Roman"/>
                      <w:spacing w:val="7"/>
                      <w:position w:val="3"/>
                      <w:sz w:val="17"/>
                      <w:szCs w:val="17"/>
                    </w:rPr>
                    <w:t>(</w:t>
                  </w:r>
                  <w:r>
                    <w:rPr>
                      <w:rFonts w:ascii="Times New Roman" w:hAnsi="Times New Roman" w:eastAsia="Times New Roman" w:cs="Times New Roman"/>
                      <w:position w:val="3"/>
                      <w:sz w:val="17"/>
                      <w:szCs w:val="17"/>
                    </w:rPr>
                    <w:t>A</w:t>
                  </w:r>
                  <w:r>
                    <w:rPr>
                      <w:rFonts w:ascii="Times New Roman" w:hAnsi="Times New Roman" w:eastAsia="Times New Roman" w:cs="Times New Roman"/>
                      <w:spacing w:val="7"/>
                      <w:position w:val="3"/>
                      <w:sz w:val="17"/>
                      <w:szCs w:val="17"/>
                    </w:rPr>
                    <w:t>)</w:t>
                  </w:r>
                </w:p>
              </w:tc>
              <w:tc>
                <w:tcPr>
                  <w:tcW w:w="2062" w:type="dxa"/>
                  <w:tcBorders>
                    <w:right w:val="nil"/>
                  </w:tcBorders>
                  <w:vAlign w:val="top"/>
                </w:tcPr>
                <w:p>
                  <w:pPr>
                    <w:spacing w:before="38" w:line="242" w:lineRule="exact"/>
                    <w:ind w:left="713"/>
                    <w:rPr>
                      <w:rFonts w:ascii="Times New Roman" w:hAnsi="Times New Roman" w:eastAsia="Times New Roman" w:cs="Times New Roman"/>
                      <w:sz w:val="17"/>
                      <w:szCs w:val="17"/>
                    </w:rPr>
                  </w:pPr>
                  <w:r>
                    <w:rPr>
                      <w:rFonts w:ascii="Times New Roman" w:hAnsi="Times New Roman" w:eastAsia="Times New Roman" w:cs="Times New Roman"/>
                      <w:spacing w:val="7"/>
                      <w:position w:val="3"/>
                      <w:sz w:val="17"/>
                      <w:szCs w:val="17"/>
                    </w:rPr>
                    <w:t>5</w:t>
                  </w:r>
                  <w:r>
                    <w:rPr>
                      <w:rFonts w:ascii="Times New Roman" w:hAnsi="Times New Roman" w:eastAsia="Times New Roman" w:cs="Times New Roman"/>
                      <w:spacing w:val="6"/>
                      <w:position w:val="3"/>
                      <w:sz w:val="17"/>
                      <w:szCs w:val="17"/>
                    </w:rPr>
                    <w:t>5</w:t>
                  </w:r>
                  <w:r>
                    <w:rPr>
                      <w:rFonts w:ascii="Times New Roman" w:hAnsi="Times New Roman" w:eastAsia="Times New Roman" w:cs="Times New Roman"/>
                      <w:position w:val="3"/>
                      <w:sz w:val="17"/>
                      <w:szCs w:val="17"/>
                    </w:rPr>
                    <w:t>dB</w:t>
                  </w:r>
                  <w:r>
                    <w:rPr>
                      <w:rFonts w:ascii="Times New Roman" w:hAnsi="Times New Roman" w:eastAsia="Times New Roman" w:cs="Times New Roman"/>
                      <w:spacing w:val="6"/>
                      <w:position w:val="3"/>
                      <w:sz w:val="17"/>
                      <w:szCs w:val="17"/>
                    </w:rPr>
                    <w:t>(</w:t>
                  </w:r>
                  <w:r>
                    <w:rPr>
                      <w:rFonts w:ascii="Times New Roman" w:hAnsi="Times New Roman" w:eastAsia="Times New Roman" w:cs="Times New Roman"/>
                      <w:position w:val="3"/>
                      <w:sz w:val="17"/>
                      <w:szCs w:val="17"/>
                    </w:rPr>
                    <w:t>A</w:t>
                  </w:r>
                  <w:r>
                    <w:rPr>
                      <w:rFonts w:ascii="Times New Roman" w:hAnsi="Times New Roman" w:eastAsia="Times New Roman" w:cs="Times New Roman"/>
                      <w:spacing w:val="6"/>
                      <w:position w:val="3"/>
                      <w:sz w:val="17"/>
                      <w:szCs w:val="17"/>
                    </w:rPr>
                    <w:t>)</w:t>
                  </w:r>
                </w:p>
              </w:tc>
            </w:tr>
          </w:tbl>
          <w:p>
            <w:pPr>
              <w:spacing w:before="130" w:line="222" w:lineRule="auto"/>
              <w:ind w:left="105"/>
              <w:rPr>
                <w:rFonts w:ascii="黑体" w:hAnsi="黑体" w:eastAsia="黑体" w:cs="黑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6"/>
                <w:sz w:val="22"/>
                <w:szCs w:val="22"/>
              </w:rPr>
              <w:t xml:space="preserve"> </w:t>
            </w:r>
            <w:r>
              <w:rPr>
                <w:rFonts w:ascii="黑体" w:hAnsi="黑体" w:eastAsia="黑体" w:cs="黑体"/>
                <w:spacing w:val="-5"/>
                <w:sz w:val="22"/>
                <w:szCs w:val="22"/>
              </w:rPr>
              <w:t>、</w:t>
            </w:r>
            <w:r>
              <w:rPr>
                <w:rFonts w:ascii="黑体" w:hAnsi="黑体" w:eastAsia="黑体" w:cs="黑体"/>
                <w:spacing w:val="-5"/>
                <w:sz w:val="20"/>
                <w:szCs w:val="20"/>
              </w:rPr>
              <w:t>固体</w:t>
            </w:r>
            <w:r>
              <w:rPr>
                <w:rFonts w:ascii="黑体" w:hAnsi="黑体" w:eastAsia="黑体" w:cs="黑体"/>
                <w:spacing w:val="-5"/>
                <w:sz w:val="22"/>
                <w:szCs w:val="22"/>
              </w:rPr>
              <w:t>废物</w:t>
            </w:r>
          </w:p>
          <w:p>
            <w:pPr>
              <w:spacing w:before="145" w:line="228" w:lineRule="auto"/>
              <w:ind w:left="527"/>
              <w:rPr>
                <w:rFonts w:ascii="宋体" w:hAnsi="宋体" w:eastAsia="宋体" w:cs="宋体"/>
                <w:sz w:val="20"/>
                <w:szCs w:val="20"/>
              </w:rPr>
            </w:pPr>
            <w:r>
              <w:rPr>
                <w:rFonts w:ascii="宋体" w:hAnsi="宋体" w:eastAsia="宋体" w:cs="宋体"/>
                <w:spacing w:val="6"/>
                <w:sz w:val="20"/>
                <w:szCs w:val="20"/>
              </w:rPr>
              <w:t>参照执行《一般工业固体废物贮存和填埋污染控制标准》  (</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18599-2020</w:t>
            </w:r>
            <w:r>
              <w:rPr>
                <w:rFonts w:ascii="宋体" w:hAnsi="宋体" w:eastAsia="宋体" w:cs="宋体"/>
                <w:spacing w:val="6"/>
                <w:sz w:val="20"/>
                <w:szCs w:val="20"/>
              </w:rPr>
              <w:t>) 的</w:t>
            </w:r>
            <w:r>
              <w:rPr>
                <w:rFonts w:ascii="宋体" w:hAnsi="宋体" w:eastAsia="宋体" w:cs="宋体"/>
                <w:spacing w:val="5"/>
                <w:sz w:val="20"/>
                <w:szCs w:val="20"/>
              </w:rPr>
              <w:t>有</w:t>
            </w:r>
            <w:r>
              <w:rPr>
                <w:rFonts w:ascii="宋体" w:hAnsi="宋体" w:eastAsia="宋体" w:cs="宋体"/>
                <w:sz w:val="20"/>
                <w:szCs w:val="20"/>
              </w:rPr>
              <w:t>关</w:t>
            </w:r>
          </w:p>
          <w:p>
            <w:pPr>
              <w:spacing w:before="152" w:line="228" w:lineRule="auto"/>
              <w:ind w:left="106"/>
              <w:rPr>
                <w:rFonts w:ascii="宋体" w:hAnsi="宋体" w:eastAsia="宋体" w:cs="宋体"/>
                <w:sz w:val="20"/>
                <w:szCs w:val="20"/>
              </w:rPr>
            </w:pPr>
            <w:r>
              <w:rPr>
                <w:rFonts w:ascii="宋体" w:hAnsi="宋体" w:eastAsia="宋体" w:cs="宋体"/>
                <w:spacing w:val="3"/>
                <w:sz w:val="20"/>
                <w:szCs w:val="20"/>
              </w:rPr>
              <w:t>规定</w:t>
            </w:r>
            <w:r>
              <w:rPr>
                <w:rFonts w:ascii="宋体" w:hAnsi="宋体" w:eastAsia="宋体" w:cs="宋体"/>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623" w:type="dxa"/>
            <w:tcBorders>
              <w:left w:val="single" w:color="000000" w:sz="6" w:space="0"/>
            </w:tcBorders>
            <w:vAlign w:val="top"/>
          </w:tcPr>
          <w:p>
            <w:pPr>
              <w:spacing w:before="98" w:line="228" w:lineRule="auto"/>
              <w:ind w:left="100"/>
              <w:outlineLvl w:val="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其</w:t>
            </w:r>
            <w:r>
              <w:rPr>
                <w:rFonts w:ascii="宋体" w:hAnsi="宋体" w:eastAsia="宋体" w:cs="宋体"/>
                <w:spacing w:val="5"/>
                <w:sz w:val="20"/>
                <w:szCs w:val="20"/>
                <w14:textOutline w14:w="3795" w14:cap="sq" w14:cmpd="sng">
                  <w14:solidFill>
                    <w14:srgbClr w14:val="000000"/>
                  </w14:solidFill>
                  <w14:prstDash w14:val="solid"/>
                  <w14:bevel/>
                </w14:textOutline>
              </w:rPr>
              <w:t>他</w:t>
            </w:r>
          </w:p>
        </w:tc>
        <w:tc>
          <w:tcPr>
            <w:tcW w:w="8303" w:type="dxa"/>
            <w:gridSpan w:val="18"/>
            <w:tcBorders>
              <w:right w:val="single" w:color="000000" w:sz="6" w:space="0"/>
            </w:tcBorders>
            <w:vAlign w:val="top"/>
          </w:tcPr>
          <w:p>
            <w:pPr>
              <w:spacing w:before="144" w:line="228" w:lineRule="auto"/>
              <w:ind w:left="318"/>
              <w:rPr>
                <w:rFonts w:ascii="宋体" w:hAnsi="宋体" w:eastAsia="宋体" w:cs="宋体"/>
                <w:sz w:val="20"/>
                <w:szCs w:val="20"/>
              </w:rPr>
            </w:pPr>
            <w:r>
              <w:rPr>
                <w:rFonts w:ascii="宋体" w:hAnsi="宋体" w:eastAsia="宋体" w:cs="宋体"/>
                <w:sz w:val="20"/>
                <w:szCs w:val="20"/>
              </w:rPr>
              <w:t>无</w:t>
            </w:r>
          </w:p>
        </w:tc>
      </w:tr>
    </w:tbl>
    <w:p>
      <w:pPr>
        <w:spacing w:line="179" w:lineRule="exact"/>
        <w:rPr>
          <w:rFonts w:ascii="Arial"/>
          <w:sz w:val="15"/>
        </w:rPr>
      </w:pPr>
    </w:p>
    <w:p>
      <w:pPr>
        <w:sectPr>
          <w:footerReference r:id="rId71" w:type="default"/>
          <w:pgSz w:w="11906" w:h="16839"/>
          <w:pgMar w:top="400" w:right="1482" w:bottom="1475" w:left="1482" w:header="0" w:footer="1315" w:gutter="0"/>
          <w:cols w:space="720" w:num="1"/>
        </w:sect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94" w:line="233" w:lineRule="auto"/>
        <w:ind w:left="3010"/>
        <w:rPr>
          <w:rFonts w:ascii="黑体" w:hAnsi="黑体" w:eastAsia="黑体" w:cs="黑体"/>
          <w:sz w:val="29"/>
          <w:szCs w:val="29"/>
        </w:rPr>
      </w:pPr>
      <w:bookmarkStart w:id="3" w:name="_bookmark4"/>
      <w:bookmarkEnd w:id="3"/>
      <w:r>
        <w:rPr>
          <w:rFonts w:ascii="黑体" w:hAnsi="黑体" w:eastAsia="黑体" w:cs="黑体"/>
          <w:spacing w:val="7"/>
          <w:sz w:val="29"/>
          <w:szCs w:val="29"/>
        </w:rPr>
        <w:t>四、生态环境影响分析</w:t>
      </w:r>
    </w:p>
    <w:p/>
    <w:p>
      <w:pPr>
        <w:spacing w:line="15" w:lineRule="exact"/>
      </w:pPr>
    </w:p>
    <w:tbl>
      <w:tblPr>
        <w:tblStyle w:val="4"/>
        <w:tblW w:w="894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83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93" w:hRule="atLeast"/>
        </w:trPr>
        <w:tc>
          <w:tcPr>
            <w:tcW w:w="644" w:type="dxa"/>
            <w:tcBorders>
              <w:left w:val="single" w:color="00000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5" w:line="231" w:lineRule="auto"/>
              <w:ind w:left="8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施工</w:t>
            </w:r>
          </w:p>
          <w:p>
            <w:pPr>
              <w:spacing w:before="21" w:line="228" w:lineRule="auto"/>
              <w:ind w:left="91"/>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期生</w:t>
            </w:r>
          </w:p>
          <w:p>
            <w:pPr>
              <w:spacing w:before="26" w:line="230" w:lineRule="auto"/>
              <w:ind w:left="8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态</w:t>
            </w:r>
            <w:r>
              <w:rPr>
                <w:rFonts w:ascii="宋体" w:hAnsi="宋体" w:eastAsia="宋体" w:cs="宋体"/>
                <w:spacing w:val="15"/>
                <w:sz w:val="20"/>
                <w:szCs w:val="20"/>
                <w14:textOutline w14:w="3795" w14:cap="sq" w14:cmpd="sng">
                  <w14:solidFill>
                    <w14:srgbClr w14:val="000000"/>
                  </w14:solidFill>
                  <w14:prstDash w14:val="solid"/>
                  <w14:bevel/>
                </w14:textOutline>
              </w:rPr>
              <w:t>环</w:t>
            </w:r>
          </w:p>
          <w:p>
            <w:pPr>
              <w:spacing w:before="22" w:line="228" w:lineRule="auto"/>
              <w:ind w:left="89"/>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境影</w:t>
            </w:r>
          </w:p>
          <w:p>
            <w:pPr>
              <w:spacing w:before="26" w:line="228" w:lineRule="auto"/>
              <w:ind w:left="99"/>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响分</w:t>
            </w:r>
          </w:p>
          <w:p>
            <w:pPr>
              <w:spacing w:before="24" w:line="228" w:lineRule="auto"/>
              <w:ind w:left="205"/>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析</w:t>
            </w:r>
          </w:p>
        </w:tc>
        <w:tc>
          <w:tcPr>
            <w:tcW w:w="8303" w:type="dxa"/>
            <w:tcBorders>
              <w:right w:val="single" w:color="000000" w:sz="6" w:space="0"/>
            </w:tcBorders>
            <w:vAlign w:val="top"/>
          </w:tcPr>
          <w:p>
            <w:pPr>
              <w:spacing w:before="145" w:line="225" w:lineRule="auto"/>
              <w:ind w:left="123"/>
              <w:rPr>
                <w:rFonts w:ascii="黑体" w:hAnsi="黑体" w:eastAsia="黑体" w:cs="黑体"/>
                <w:sz w:val="20"/>
                <w:szCs w:val="20"/>
              </w:rPr>
            </w:pPr>
            <w:r>
              <w:rPr>
                <w:rFonts w:ascii="Times New Roman" w:hAnsi="Times New Roman" w:eastAsia="Times New Roman" w:cs="Times New Roman"/>
                <w:spacing w:val="-6"/>
                <w:sz w:val="20"/>
                <w:szCs w:val="20"/>
              </w:rPr>
              <w:t xml:space="preserve">1 </w:t>
            </w:r>
            <w:r>
              <w:rPr>
                <w:rFonts w:ascii="黑体" w:hAnsi="黑体" w:eastAsia="黑体" w:cs="黑体"/>
                <w:spacing w:val="-6"/>
                <w:sz w:val="20"/>
                <w:szCs w:val="20"/>
              </w:rPr>
              <w:t>、</w:t>
            </w:r>
            <w:r>
              <w:rPr>
                <w:rFonts w:ascii="黑体" w:hAnsi="黑体" w:eastAsia="黑体" w:cs="黑体"/>
                <w:spacing w:val="-6"/>
                <w:sz w:val="22"/>
                <w:szCs w:val="22"/>
              </w:rPr>
              <w:t>生态</w:t>
            </w:r>
            <w:r>
              <w:rPr>
                <w:rFonts w:ascii="黑体" w:hAnsi="黑体" w:eastAsia="黑体" w:cs="黑体"/>
                <w:spacing w:val="-6"/>
                <w:sz w:val="20"/>
                <w:szCs w:val="20"/>
              </w:rPr>
              <w:t>影</w:t>
            </w:r>
            <w:r>
              <w:rPr>
                <w:rFonts w:ascii="黑体" w:hAnsi="黑体" w:eastAsia="黑体" w:cs="黑体"/>
                <w:spacing w:val="-5"/>
                <w:sz w:val="20"/>
                <w:szCs w:val="20"/>
              </w:rPr>
              <w:t>响</w:t>
            </w:r>
          </w:p>
          <w:p>
            <w:pPr>
              <w:spacing w:before="143" w:line="398" w:lineRule="exact"/>
              <w:ind w:left="527"/>
              <w:rPr>
                <w:rFonts w:ascii="宋体" w:hAnsi="宋体" w:eastAsia="宋体" w:cs="宋体"/>
                <w:sz w:val="20"/>
                <w:szCs w:val="20"/>
              </w:rPr>
            </w:pPr>
            <w:r>
              <w:rPr>
                <w:rFonts w:ascii="宋体" w:hAnsi="宋体" w:eastAsia="宋体" w:cs="宋体"/>
                <w:spacing w:val="10"/>
                <w:position w:val="14"/>
                <w:sz w:val="20"/>
                <w:szCs w:val="20"/>
              </w:rPr>
              <w:t>根</w:t>
            </w:r>
            <w:r>
              <w:rPr>
                <w:rFonts w:ascii="宋体" w:hAnsi="宋体" w:eastAsia="宋体" w:cs="宋体"/>
                <w:spacing w:val="7"/>
                <w:position w:val="14"/>
                <w:sz w:val="20"/>
                <w:szCs w:val="20"/>
              </w:rPr>
              <w:t>据项目对环境的影响和环境对项目的制约程度分析，项目可能产生生态破坏和环境</w:t>
            </w:r>
          </w:p>
          <w:p>
            <w:pPr>
              <w:spacing w:line="227" w:lineRule="auto"/>
              <w:ind w:left="109"/>
              <w:rPr>
                <w:rFonts w:ascii="宋体" w:hAnsi="宋体" w:eastAsia="宋体" w:cs="宋体"/>
                <w:sz w:val="20"/>
                <w:szCs w:val="20"/>
              </w:rPr>
            </w:pPr>
            <w:r>
              <w:rPr>
                <w:rFonts w:ascii="宋体" w:hAnsi="宋体" w:eastAsia="宋体" w:cs="宋体"/>
                <w:spacing w:val="11"/>
                <w:sz w:val="20"/>
                <w:szCs w:val="20"/>
              </w:rPr>
              <w:t>污</w:t>
            </w:r>
            <w:r>
              <w:rPr>
                <w:rFonts w:ascii="宋体" w:hAnsi="宋体" w:eastAsia="宋体" w:cs="宋体"/>
                <w:spacing w:val="8"/>
                <w:sz w:val="20"/>
                <w:szCs w:val="20"/>
              </w:rPr>
              <w:t>染影响因素识别见下表。</w:t>
            </w:r>
          </w:p>
          <w:p>
            <w:pPr>
              <w:spacing w:before="132" w:line="230" w:lineRule="auto"/>
              <w:ind w:left="2954"/>
              <w:rPr>
                <w:rFonts w:ascii="黑体" w:hAnsi="黑体" w:eastAsia="黑体" w:cs="黑体"/>
                <w:sz w:val="19"/>
                <w:szCs w:val="19"/>
              </w:rPr>
            </w:pPr>
            <w:r>
              <w:rPr>
                <w:rFonts w:ascii="黑体" w:hAnsi="黑体" w:eastAsia="黑体" w:cs="黑体"/>
                <w:spacing w:val="12"/>
                <w:sz w:val="19"/>
                <w:szCs w:val="19"/>
              </w:rPr>
              <w:t>表</w:t>
            </w:r>
            <w:r>
              <w:rPr>
                <w:rFonts w:ascii="Times New Roman" w:hAnsi="Times New Roman" w:eastAsia="Times New Roman" w:cs="Times New Roman"/>
                <w:spacing w:val="12"/>
                <w:sz w:val="19"/>
                <w:szCs w:val="19"/>
              </w:rPr>
              <w:t>3</w:t>
            </w:r>
            <w:r>
              <w:rPr>
                <w:rFonts w:ascii="Times New Roman" w:hAnsi="Times New Roman" w:eastAsia="Times New Roman" w:cs="Times New Roman"/>
                <w:spacing w:val="6"/>
                <w:sz w:val="19"/>
                <w:szCs w:val="19"/>
              </w:rPr>
              <w:t xml:space="preserve">9    </w:t>
            </w:r>
            <w:r>
              <w:rPr>
                <w:rFonts w:ascii="黑体" w:hAnsi="黑体" w:eastAsia="黑体" w:cs="黑体"/>
                <w:spacing w:val="6"/>
                <w:sz w:val="19"/>
                <w:szCs w:val="19"/>
              </w:rPr>
              <w:t>项目环境影响识别表</w:t>
            </w:r>
          </w:p>
          <w:p>
            <w:pPr>
              <w:spacing w:line="49" w:lineRule="auto"/>
              <w:rPr>
                <w:rFonts w:ascii="Arial"/>
                <w:sz w:val="2"/>
              </w:rPr>
            </w:pPr>
          </w:p>
          <w:tbl>
            <w:tblPr>
              <w:tblStyle w:val="4"/>
              <w:tblW w:w="8000" w:type="dxa"/>
              <w:tblInd w:w="1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8"/>
              <w:gridCol w:w="808"/>
              <w:gridCol w:w="994"/>
              <w:gridCol w:w="839"/>
              <w:gridCol w:w="811"/>
              <w:gridCol w:w="812"/>
              <w:gridCol w:w="2334"/>
              <w:gridCol w:w="8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578" w:type="dxa"/>
                  <w:vAlign w:val="top"/>
                </w:tcPr>
                <w:p>
                  <w:pPr>
                    <w:spacing w:before="160" w:line="232" w:lineRule="auto"/>
                    <w:ind w:left="121"/>
                    <w:rPr>
                      <w:rFonts w:ascii="宋体" w:hAnsi="宋体" w:eastAsia="宋体" w:cs="宋体"/>
                      <w:sz w:val="17"/>
                      <w:szCs w:val="17"/>
                    </w:rPr>
                  </w:pPr>
                  <w:r>
                    <w:rPr>
                      <w:rFonts w:ascii="宋体" w:hAnsi="宋体" w:eastAsia="宋体" w:cs="宋体"/>
                      <w:spacing w:val="2"/>
                      <w:sz w:val="17"/>
                      <w:szCs w:val="17"/>
                      <w14:textOutline w14:w="3268" w14:cap="sq" w14:cmpd="sng">
                        <w14:solidFill>
                          <w14:srgbClr w14:val="000000"/>
                        </w14:solidFill>
                        <w14:prstDash w14:val="solid"/>
                        <w14:bevel/>
                      </w14:textOutline>
                    </w:rPr>
                    <w:t>时段</w:t>
                  </w:r>
                </w:p>
              </w:tc>
              <w:tc>
                <w:tcPr>
                  <w:tcW w:w="808" w:type="dxa"/>
                  <w:vAlign w:val="top"/>
                </w:tcPr>
                <w:p>
                  <w:pPr>
                    <w:spacing w:before="139" w:line="230" w:lineRule="auto"/>
                    <w:ind w:left="45"/>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生</w:t>
                  </w:r>
                  <w:r>
                    <w:rPr>
                      <w:rFonts w:ascii="宋体" w:hAnsi="宋体" w:eastAsia="宋体" w:cs="宋体"/>
                      <w:spacing w:val="8"/>
                      <w:sz w:val="17"/>
                      <w:szCs w:val="17"/>
                      <w14:textOutline w14:w="3268" w14:cap="sq" w14:cmpd="sng">
                        <w14:solidFill>
                          <w14:srgbClr w14:val="000000"/>
                        </w14:solidFill>
                        <w14:prstDash w14:val="solid"/>
                        <w14:bevel/>
                      </w14:textOutline>
                    </w:rPr>
                    <w:t>产环节</w:t>
                  </w:r>
                </w:p>
              </w:tc>
              <w:tc>
                <w:tcPr>
                  <w:tcW w:w="994" w:type="dxa"/>
                  <w:vAlign w:val="top"/>
                </w:tcPr>
                <w:p>
                  <w:pPr>
                    <w:spacing w:before="139" w:line="230" w:lineRule="auto"/>
                    <w:ind w:left="138"/>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影响因</w:t>
                  </w:r>
                  <w:r>
                    <w:rPr>
                      <w:rFonts w:ascii="宋体" w:hAnsi="宋体" w:eastAsia="宋体" w:cs="宋体"/>
                      <w:spacing w:val="8"/>
                      <w:sz w:val="17"/>
                      <w:szCs w:val="17"/>
                      <w14:textOutline w14:w="3268" w14:cap="sq" w14:cmpd="sng">
                        <w14:solidFill>
                          <w14:srgbClr w14:val="000000"/>
                        </w14:solidFill>
                        <w14:prstDash w14:val="solid"/>
                        <w14:bevel/>
                      </w14:textOutline>
                    </w:rPr>
                    <w:t>素</w:t>
                  </w:r>
                </w:p>
              </w:tc>
              <w:tc>
                <w:tcPr>
                  <w:tcW w:w="839" w:type="dxa"/>
                  <w:vAlign w:val="top"/>
                </w:tcPr>
                <w:p>
                  <w:pPr>
                    <w:spacing w:before="139" w:line="230" w:lineRule="auto"/>
                    <w:ind w:left="61"/>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影响对</w:t>
                  </w:r>
                  <w:r>
                    <w:rPr>
                      <w:rFonts w:ascii="宋体" w:hAnsi="宋体" w:eastAsia="宋体" w:cs="宋体"/>
                      <w:spacing w:val="8"/>
                      <w:sz w:val="17"/>
                      <w:szCs w:val="17"/>
                      <w14:textOutline w14:w="3268" w14:cap="sq" w14:cmpd="sng">
                        <w14:solidFill>
                          <w14:srgbClr w14:val="000000"/>
                        </w14:solidFill>
                        <w14:prstDash w14:val="solid"/>
                        <w14:bevel/>
                      </w14:textOutline>
                    </w:rPr>
                    <w:t>象</w:t>
                  </w:r>
                </w:p>
              </w:tc>
              <w:tc>
                <w:tcPr>
                  <w:tcW w:w="811" w:type="dxa"/>
                  <w:vAlign w:val="top"/>
                </w:tcPr>
                <w:p>
                  <w:pPr>
                    <w:spacing w:before="139" w:line="230" w:lineRule="auto"/>
                    <w:ind w:left="47"/>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影响途</w:t>
                  </w:r>
                  <w:r>
                    <w:rPr>
                      <w:rFonts w:ascii="宋体" w:hAnsi="宋体" w:eastAsia="宋体" w:cs="宋体"/>
                      <w:spacing w:val="8"/>
                      <w:sz w:val="17"/>
                      <w:szCs w:val="17"/>
                      <w14:textOutline w14:w="3268" w14:cap="sq" w14:cmpd="sng">
                        <w14:solidFill>
                          <w14:srgbClr w14:val="000000"/>
                        </w14:solidFill>
                        <w14:prstDash w14:val="solid"/>
                        <w14:bevel/>
                      </w14:textOutline>
                    </w:rPr>
                    <w:t>径</w:t>
                  </w:r>
                </w:p>
              </w:tc>
              <w:tc>
                <w:tcPr>
                  <w:tcW w:w="812" w:type="dxa"/>
                  <w:vAlign w:val="top"/>
                </w:tcPr>
                <w:p>
                  <w:pPr>
                    <w:spacing w:before="138" w:line="231" w:lineRule="auto"/>
                    <w:ind w:left="50"/>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影响性</w:t>
                  </w:r>
                  <w:r>
                    <w:rPr>
                      <w:rFonts w:ascii="宋体" w:hAnsi="宋体" w:eastAsia="宋体" w:cs="宋体"/>
                      <w:spacing w:val="8"/>
                      <w:sz w:val="17"/>
                      <w:szCs w:val="17"/>
                      <w14:textOutline w14:w="3268" w14:cap="sq" w14:cmpd="sng">
                        <w14:solidFill>
                          <w14:srgbClr w14:val="000000"/>
                        </w14:solidFill>
                        <w14:prstDash w14:val="solid"/>
                        <w14:bevel/>
                      </w14:textOutline>
                    </w:rPr>
                    <w:t>质</w:t>
                  </w:r>
                </w:p>
              </w:tc>
              <w:tc>
                <w:tcPr>
                  <w:tcW w:w="2334" w:type="dxa"/>
                  <w:vAlign w:val="top"/>
                </w:tcPr>
                <w:p>
                  <w:pPr>
                    <w:spacing w:before="138" w:line="231" w:lineRule="auto"/>
                    <w:ind w:left="812"/>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影响范</w:t>
                  </w:r>
                  <w:r>
                    <w:rPr>
                      <w:rFonts w:ascii="宋体" w:hAnsi="宋体" w:eastAsia="宋体" w:cs="宋体"/>
                      <w:spacing w:val="8"/>
                      <w:sz w:val="17"/>
                      <w:szCs w:val="17"/>
                      <w14:textOutline w14:w="3268" w14:cap="sq" w14:cmpd="sng">
                        <w14:solidFill>
                          <w14:srgbClr w14:val="000000"/>
                        </w14:solidFill>
                        <w14:prstDash w14:val="solid"/>
                        <w14:bevel/>
                      </w14:textOutline>
                    </w:rPr>
                    <w:t>围</w:t>
                  </w:r>
                </w:p>
              </w:tc>
              <w:tc>
                <w:tcPr>
                  <w:tcW w:w="824" w:type="dxa"/>
                  <w:vAlign w:val="top"/>
                </w:tcPr>
                <w:p>
                  <w:pPr>
                    <w:spacing w:before="138" w:line="231" w:lineRule="auto"/>
                    <w:ind w:left="55"/>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影响程</w:t>
                  </w:r>
                  <w:r>
                    <w:rPr>
                      <w:rFonts w:ascii="宋体" w:hAnsi="宋体" w:eastAsia="宋体" w:cs="宋体"/>
                      <w:spacing w:val="8"/>
                      <w:sz w:val="17"/>
                      <w:szCs w:val="17"/>
                      <w14:textOutline w14:w="3268" w14:cap="sq" w14:cmpd="sng">
                        <w14:solidFill>
                          <w14:srgbClr w14:val="000000"/>
                        </w14:solidFill>
                        <w14:prstDash w14:val="solid"/>
                        <w14:bevel/>
                      </w14:textOutline>
                    </w:rPr>
                    <w:t>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578" w:type="dxa"/>
                  <w:vMerge w:val="restart"/>
                  <w:tcBorders>
                    <w:bottom w:val="nil"/>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56" w:line="231" w:lineRule="auto"/>
                    <w:ind w:left="23"/>
                    <w:rPr>
                      <w:rFonts w:ascii="宋体" w:hAnsi="宋体" w:eastAsia="宋体" w:cs="宋体"/>
                      <w:sz w:val="17"/>
                      <w:szCs w:val="17"/>
                    </w:rPr>
                  </w:pPr>
                  <w:r>
                    <w:rPr>
                      <w:rFonts w:ascii="宋体" w:hAnsi="宋体" w:eastAsia="宋体" w:cs="宋体"/>
                      <w:spacing w:val="8"/>
                      <w:sz w:val="17"/>
                      <w:szCs w:val="17"/>
                    </w:rPr>
                    <w:t>施工</w:t>
                  </w:r>
                  <w:r>
                    <w:rPr>
                      <w:rFonts w:ascii="宋体" w:hAnsi="宋体" w:eastAsia="宋体" w:cs="宋体"/>
                      <w:spacing w:val="7"/>
                      <w:sz w:val="17"/>
                      <w:szCs w:val="17"/>
                    </w:rPr>
                    <w:t>期</w:t>
                  </w:r>
                </w:p>
              </w:tc>
              <w:tc>
                <w:tcPr>
                  <w:tcW w:w="808" w:type="dxa"/>
                  <w:vMerge w:val="restart"/>
                  <w:tcBorders>
                    <w:bottom w:val="nil"/>
                  </w:tcBorders>
                  <w:vAlign w:val="top"/>
                </w:tcPr>
                <w:p>
                  <w:pPr>
                    <w:spacing w:line="457" w:lineRule="auto"/>
                    <w:rPr>
                      <w:rFonts w:ascii="Arial"/>
                      <w:sz w:val="21"/>
                    </w:rPr>
                  </w:pPr>
                </w:p>
                <w:p>
                  <w:pPr>
                    <w:spacing w:before="55" w:line="267" w:lineRule="auto"/>
                    <w:ind w:left="139" w:right="43" w:hanging="93"/>
                    <w:rPr>
                      <w:rFonts w:ascii="宋体" w:hAnsi="宋体" w:eastAsia="宋体" w:cs="宋体"/>
                      <w:sz w:val="17"/>
                      <w:szCs w:val="17"/>
                    </w:rPr>
                  </w:pPr>
                  <w:r>
                    <w:rPr>
                      <w:rFonts w:ascii="宋体" w:hAnsi="宋体" w:eastAsia="宋体" w:cs="宋体"/>
                      <w:spacing w:val="8"/>
                      <w:sz w:val="17"/>
                      <w:szCs w:val="17"/>
                    </w:rPr>
                    <w:t>桥墩及下</w:t>
                  </w:r>
                  <w:r>
                    <w:rPr>
                      <w:rFonts w:ascii="宋体" w:hAnsi="宋体" w:eastAsia="宋体" w:cs="宋体"/>
                      <w:sz w:val="17"/>
                      <w:szCs w:val="17"/>
                    </w:rPr>
                    <w:t xml:space="preserve"> </w:t>
                  </w:r>
                  <w:r>
                    <w:rPr>
                      <w:rFonts w:ascii="宋体" w:hAnsi="宋体" w:eastAsia="宋体" w:cs="宋体"/>
                      <w:spacing w:val="7"/>
                      <w:sz w:val="17"/>
                      <w:szCs w:val="17"/>
                    </w:rPr>
                    <w:t>部结</w:t>
                  </w:r>
                  <w:r>
                    <w:rPr>
                      <w:rFonts w:ascii="宋体" w:hAnsi="宋体" w:eastAsia="宋体" w:cs="宋体"/>
                      <w:spacing w:val="6"/>
                      <w:sz w:val="17"/>
                      <w:szCs w:val="17"/>
                    </w:rPr>
                    <w:t>构</w:t>
                  </w:r>
                </w:p>
              </w:tc>
              <w:tc>
                <w:tcPr>
                  <w:tcW w:w="994" w:type="dxa"/>
                  <w:vMerge w:val="restart"/>
                  <w:tcBorders>
                    <w:bottom w:val="nil"/>
                  </w:tcBorders>
                  <w:vAlign w:val="top"/>
                </w:tcPr>
                <w:p>
                  <w:pPr>
                    <w:spacing w:line="341" w:lineRule="auto"/>
                    <w:rPr>
                      <w:rFonts w:ascii="Arial"/>
                      <w:sz w:val="21"/>
                    </w:rPr>
                  </w:pPr>
                </w:p>
                <w:p>
                  <w:pPr>
                    <w:spacing w:before="55" w:line="253" w:lineRule="auto"/>
                    <w:ind w:left="49" w:right="46" w:firstLine="16"/>
                    <w:rPr>
                      <w:rFonts w:ascii="宋体" w:hAnsi="宋体" w:eastAsia="宋体" w:cs="宋体"/>
                      <w:sz w:val="17"/>
                      <w:szCs w:val="17"/>
                    </w:rPr>
                  </w:pPr>
                  <w:r>
                    <w:rPr>
                      <w:rFonts w:ascii="宋体" w:hAnsi="宋体" w:eastAsia="宋体" w:cs="宋体"/>
                      <w:spacing w:val="6"/>
                      <w:sz w:val="17"/>
                      <w:szCs w:val="17"/>
                    </w:rPr>
                    <w:t>围</w:t>
                  </w:r>
                  <w:r>
                    <w:rPr>
                      <w:rFonts w:ascii="宋体" w:hAnsi="宋体" w:eastAsia="宋体" w:cs="宋体"/>
                      <w:spacing w:val="5"/>
                      <w:sz w:val="17"/>
                      <w:szCs w:val="17"/>
                    </w:rPr>
                    <w:t>堰施工、</w:t>
                  </w:r>
                  <w:r>
                    <w:rPr>
                      <w:rFonts w:ascii="宋体" w:hAnsi="宋体" w:eastAsia="宋体" w:cs="宋体"/>
                      <w:sz w:val="17"/>
                      <w:szCs w:val="17"/>
                    </w:rPr>
                    <w:t xml:space="preserve"> </w:t>
                  </w:r>
                  <w:r>
                    <w:rPr>
                      <w:rFonts w:ascii="宋体" w:hAnsi="宋体" w:eastAsia="宋体" w:cs="宋体"/>
                      <w:spacing w:val="10"/>
                      <w:sz w:val="17"/>
                      <w:szCs w:val="17"/>
                    </w:rPr>
                    <w:t>桥</w:t>
                  </w:r>
                  <w:r>
                    <w:rPr>
                      <w:rFonts w:ascii="宋体" w:hAnsi="宋体" w:eastAsia="宋体" w:cs="宋体"/>
                      <w:spacing w:val="8"/>
                      <w:sz w:val="17"/>
                      <w:szCs w:val="17"/>
                    </w:rPr>
                    <w:t>墩、桥台</w:t>
                  </w:r>
                </w:p>
                <w:p>
                  <w:pPr>
                    <w:spacing w:line="230" w:lineRule="auto"/>
                    <w:ind w:left="231"/>
                    <w:rPr>
                      <w:rFonts w:ascii="宋体" w:hAnsi="宋体" w:eastAsia="宋体" w:cs="宋体"/>
                      <w:sz w:val="17"/>
                      <w:szCs w:val="17"/>
                    </w:rPr>
                  </w:pPr>
                  <w:r>
                    <w:rPr>
                      <w:rFonts w:ascii="宋体" w:hAnsi="宋体" w:eastAsia="宋体" w:cs="宋体"/>
                      <w:spacing w:val="7"/>
                      <w:sz w:val="17"/>
                      <w:szCs w:val="17"/>
                    </w:rPr>
                    <w:t>等施工</w:t>
                  </w:r>
                </w:p>
              </w:tc>
              <w:tc>
                <w:tcPr>
                  <w:tcW w:w="839" w:type="dxa"/>
                  <w:vAlign w:val="top"/>
                </w:tcPr>
                <w:p>
                  <w:pPr>
                    <w:spacing w:before="53" w:line="230" w:lineRule="auto"/>
                    <w:ind w:left="65"/>
                    <w:rPr>
                      <w:rFonts w:ascii="宋体" w:hAnsi="宋体" w:eastAsia="宋体" w:cs="宋体"/>
                      <w:sz w:val="17"/>
                      <w:szCs w:val="17"/>
                    </w:rPr>
                  </w:pPr>
                  <w:r>
                    <w:rPr>
                      <w:rFonts w:ascii="宋体" w:hAnsi="宋体" w:eastAsia="宋体" w:cs="宋体"/>
                      <w:spacing w:val="9"/>
                      <w:sz w:val="17"/>
                      <w:szCs w:val="17"/>
                    </w:rPr>
                    <w:t>水</w:t>
                  </w:r>
                  <w:r>
                    <w:rPr>
                      <w:rFonts w:ascii="宋体" w:hAnsi="宋体" w:eastAsia="宋体" w:cs="宋体"/>
                      <w:spacing w:val="7"/>
                      <w:sz w:val="17"/>
                      <w:szCs w:val="17"/>
                    </w:rPr>
                    <w:t>生生态</w:t>
                  </w:r>
                </w:p>
              </w:tc>
              <w:tc>
                <w:tcPr>
                  <w:tcW w:w="811" w:type="dxa"/>
                  <w:vAlign w:val="top"/>
                </w:tcPr>
                <w:p>
                  <w:pPr>
                    <w:spacing w:before="53" w:line="232" w:lineRule="auto"/>
                    <w:ind w:left="231"/>
                    <w:rPr>
                      <w:rFonts w:ascii="宋体" w:hAnsi="宋体" w:eastAsia="宋体" w:cs="宋体"/>
                      <w:sz w:val="17"/>
                      <w:szCs w:val="17"/>
                    </w:rPr>
                  </w:pPr>
                  <w:r>
                    <w:rPr>
                      <w:rFonts w:ascii="宋体" w:hAnsi="宋体" w:eastAsia="宋体" w:cs="宋体"/>
                      <w:spacing w:val="6"/>
                      <w:sz w:val="17"/>
                      <w:szCs w:val="17"/>
                    </w:rPr>
                    <w:t>直</w:t>
                  </w:r>
                  <w:r>
                    <w:rPr>
                      <w:rFonts w:ascii="宋体" w:hAnsi="宋体" w:eastAsia="宋体" w:cs="宋体"/>
                      <w:spacing w:val="5"/>
                      <w:sz w:val="17"/>
                      <w:szCs w:val="17"/>
                    </w:rPr>
                    <w:t>接</w:t>
                  </w:r>
                </w:p>
              </w:tc>
              <w:tc>
                <w:tcPr>
                  <w:tcW w:w="812" w:type="dxa"/>
                  <w:vAlign w:val="top"/>
                </w:tcPr>
                <w:p>
                  <w:pPr>
                    <w:spacing w:before="53" w:line="231" w:lineRule="auto"/>
                    <w:ind w:left="238"/>
                    <w:rPr>
                      <w:rFonts w:ascii="宋体" w:hAnsi="宋体" w:eastAsia="宋体" w:cs="宋体"/>
                      <w:sz w:val="17"/>
                      <w:szCs w:val="17"/>
                    </w:rPr>
                  </w:pPr>
                  <w:r>
                    <w:rPr>
                      <w:rFonts w:ascii="宋体" w:hAnsi="宋体" w:eastAsia="宋体" w:cs="宋体"/>
                      <w:spacing w:val="4"/>
                      <w:sz w:val="17"/>
                      <w:szCs w:val="17"/>
                    </w:rPr>
                    <w:t>暂</w:t>
                  </w:r>
                  <w:r>
                    <w:rPr>
                      <w:rFonts w:ascii="宋体" w:hAnsi="宋体" w:eastAsia="宋体" w:cs="宋体"/>
                      <w:spacing w:val="3"/>
                      <w:sz w:val="17"/>
                      <w:szCs w:val="17"/>
                    </w:rPr>
                    <w:t>时</w:t>
                  </w:r>
                </w:p>
              </w:tc>
              <w:tc>
                <w:tcPr>
                  <w:tcW w:w="2334" w:type="dxa"/>
                  <w:vAlign w:val="top"/>
                </w:tcPr>
                <w:p>
                  <w:pPr>
                    <w:spacing w:before="21" w:line="242" w:lineRule="exact"/>
                    <w:ind w:left="149"/>
                    <w:rPr>
                      <w:rFonts w:ascii="Times New Roman" w:hAnsi="Times New Roman" w:eastAsia="Times New Roman" w:cs="Times New Roman"/>
                      <w:sz w:val="17"/>
                      <w:szCs w:val="17"/>
                    </w:rPr>
                  </w:pPr>
                  <w:r>
                    <w:rPr>
                      <w:rFonts w:ascii="宋体" w:hAnsi="宋体" w:eastAsia="宋体" w:cs="宋体"/>
                      <w:spacing w:val="-4"/>
                      <w:position w:val="1"/>
                      <w:sz w:val="17"/>
                      <w:szCs w:val="17"/>
                    </w:rPr>
                    <w:t>围堰</w:t>
                  </w:r>
                  <w:r>
                    <w:rPr>
                      <w:rFonts w:ascii="宋体" w:hAnsi="宋体" w:eastAsia="宋体" w:cs="宋体"/>
                      <w:spacing w:val="-3"/>
                      <w:position w:val="1"/>
                      <w:sz w:val="17"/>
                      <w:szCs w:val="17"/>
                    </w:rPr>
                    <w:t>上</w:t>
                  </w:r>
                  <w:r>
                    <w:rPr>
                      <w:rFonts w:ascii="宋体" w:hAnsi="宋体" w:eastAsia="宋体" w:cs="宋体"/>
                      <w:spacing w:val="-2"/>
                      <w:position w:val="1"/>
                      <w:sz w:val="17"/>
                      <w:szCs w:val="17"/>
                    </w:rPr>
                    <w:t xml:space="preserve">游 </w:t>
                  </w:r>
                  <w:r>
                    <w:rPr>
                      <w:rFonts w:ascii="Times New Roman" w:hAnsi="Times New Roman" w:eastAsia="Times New Roman" w:cs="Times New Roman"/>
                      <w:spacing w:val="-2"/>
                      <w:position w:val="1"/>
                      <w:sz w:val="17"/>
                      <w:szCs w:val="17"/>
                    </w:rPr>
                    <w:t xml:space="preserve">5km </w:t>
                  </w:r>
                  <w:r>
                    <w:rPr>
                      <w:rFonts w:ascii="宋体" w:hAnsi="宋体" w:eastAsia="宋体" w:cs="宋体"/>
                      <w:spacing w:val="-2"/>
                      <w:position w:val="1"/>
                      <w:sz w:val="17"/>
                      <w:szCs w:val="17"/>
                    </w:rPr>
                    <w:t xml:space="preserve">，下游 </w:t>
                  </w:r>
                  <w:r>
                    <w:rPr>
                      <w:rFonts w:ascii="Times New Roman" w:hAnsi="Times New Roman" w:eastAsia="Times New Roman" w:cs="Times New Roman"/>
                      <w:spacing w:val="-2"/>
                      <w:position w:val="1"/>
                      <w:sz w:val="17"/>
                      <w:szCs w:val="17"/>
                    </w:rPr>
                    <w:t>10km</w:t>
                  </w:r>
                </w:p>
              </w:tc>
              <w:tc>
                <w:tcPr>
                  <w:tcW w:w="824" w:type="dxa"/>
                  <w:vAlign w:val="top"/>
                </w:tcPr>
                <w:p>
                  <w:pPr>
                    <w:spacing w:before="117" w:line="116" w:lineRule="exact"/>
                    <w:ind w:left="371"/>
                    <w:rPr>
                      <w:rFonts w:ascii="Times New Roman" w:hAnsi="Times New Roman" w:eastAsia="Times New Roman" w:cs="Times New Roman"/>
                      <w:sz w:val="9"/>
                      <w:szCs w:val="9"/>
                    </w:rPr>
                  </w:pPr>
                  <w:r>
                    <w:rPr>
                      <w:rFonts w:ascii="Times New Roman" w:hAnsi="Times New Roman" w:eastAsia="Times New Roman" w:cs="Times New Roman"/>
                      <w:spacing w:val="38"/>
                      <w:position w:val="1"/>
                      <w:sz w:val="9"/>
                      <w:szCs w:val="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578" w:type="dxa"/>
                  <w:vMerge w:val="continue"/>
                  <w:tcBorders>
                    <w:top w:val="nil"/>
                    <w:bottom w:val="nil"/>
                  </w:tcBorders>
                  <w:vAlign w:val="top"/>
                </w:tcPr>
                <w:p>
                  <w:pPr>
                    <w:rPr>
                      <w:rFonts w:ascii="Arial"/>
                      <w:sz w:val="21"/>
                    </w:rPr>
                  </w:pPr>
                </w:p>
              </w:tc>
              <w:tc>
                <w:tcPr>
                  <w:tcW w:w="808" w:type="dxa"/>
                  <w:vMerge w:val="continue"/>
                  <w:tcBorders>
                    <w:top w:val="nil"/>
                    <w:bottom w:val="nil"/>
                  </w:tcBorders>
                  <w:vAlign w:val="top"/>
                </w:tcPr>
                <w:p>
                  <w:pPr>
                    <w:rPr>
                      <w:rFonts w:ascii="Arial"/>
                      <w:sz w:val="21"/>
                    </w:rPr>
                  </w:pPr>
                </w:p>
              </w:tc>
              <w:tc>
                <w:tcPr>
                  <w:tcW w:w="994" w:type="dxa"/>
                  <w:vMerge w:val="continue"/>
                  <w:tcBorders>
                    <w:top w:val="nil"/>
                    <w:bottom w:val="nil"/>
                  </w:tcBorders>
                  <w:vAlign w:val="top"/>
                </w:tcPr>
                <w:p>
                  <w:pPr>
                    <w:rPr>
                      <w:rFonts w:ascii="Arial"/>
                      <w:sz w:val="21"/>
                    </w:rPr>
                  </w:pPr>
                </w:p>
              </w:tc>
              <w:tc>
                <w:tcPr>
                  <w:tcW w:w="839" w:type="dxa"/>
                  <w:vAlign w:val="top"/>
                </w:tcPr>
                <w:p>
                  <w:pPr>
                    <w:spacing w:before="55" w:line="233" w:lineRule="auto"/>
                    <w:ind w:left="72"/>
                    <w:rPr>
                      <w:rFonts w:ascii="宋体" w:hAnsi="宋体" w:eastAsia="宋体" w:cs="宋体"/>
                      <w:sz w:val="17"/>
                      <w:szCs w:val="17"/>
                    </w:rPr>
                  </w:pPr>
                  <w:r>
                    <w:rPr>
                      <w:rFonts w:ascii="宋体" w:hAnsi="宋体" w:eastAsia="宋体" w:cs="宋体"/>
                      <w:spacing w:val="6"/>
                      <w:sz w:val="17"/>
                      <w:szCs w:val="17"/>
                    </w:rPr>
                    <w:t>陆生生</w:t>
                  </w:r>
                  <w:r>
                    <w:rPr>
                      <w:rFonts w:ascii="宋体" w:hAnsi="宋体" w:eastAsia="宋体" w:cs="宋体"/>
                      <w:spacing w:val="5"/>
                      <w:sz w:val="17"/>
                      <w:szCs w:val="17"/>
                    </w:rPr>
                    <w:t>态</w:t>
                  </w:r>
                </w:p>
              </w:tc>
              <w:tc>
                <w:tcPr>
                  <w:tcW w:w="811" w:type="dxa"/>
                  <w:vAlign w:val="top"/>
                </w:tcPr>
                <w:p>
                  <w:pPr>
                    <w:spacing w:before="22" w:line="243" w:lineRule="exact"/>
                    <w:ind w:left="37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12" w:type="dxa"/>
                  <w:vAlign w:val="top"/>
                </w:tcPr>
                <w:p>
                  <w:pPr>
                    <w:spacing w:before="22" w:line="243" w:lineRule="exact"/>
                    <w:ind w:left="37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2334" w:type="dxa"/>
                  <w:vAlign w:val="top"/>
                </w:tcPr>
                <w:p>
                  <w:pPr>
                    <w:spacing w:before="22" w:line="243" w:lineRule="exact"/>
                    <w:ind w:left="1141"/>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24" w:type="dxa"/>
                  <w:vAlign w:val="top"/>
                </w:tcPr>
                <w:p>
                  <w:pPr>
                    <w:spacing w:before="22" w:line="243" w:lineRule="exact"/>
                    <w:ind w:left="38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578" w:type="dxa"/>
                  <w:vMerge w:val="continue"/>
                  <w:tcBorders>
                    <w:top w:val="nil"/>
                    <w:bottom w:val="nil"/>
                  </w:tcBorders>
                  <w:vAlign w:val="top"/>
                </w:tcPr>
                <w:p>
                  <w:pPr>
                    <w:rPr>
                      <w:rFonts w:ascii="Arial"/>
                      <w:sz w:val="21"/>
                    </w:rPr>
                  </w:pPr>
                </w:p>
              </w:tc>
              <w:tc>
                <w:tcPr>
                  <w:tcW w:w="808" w:type="dxa"/>
                  <w:vMerge w:val="continue"/>
                  <w:tcBorders>
                    <w:top w:val="nil"/>
                    <w:bottom w:val="nil"/>
                  </w:tcBorders>
                  <w:vAlign w:val="top"/>
                </w:tcPr>
                <w:p>
                  <w:pPr>
                    <w:rPr>
                      <w:rFonts w:ascii="Arial"/>
                      <w:sz w:val="21"/>
                    </w:rPr>
                  </w:pPr>
                </w:p>
              </w:tc>
              <w:tc>
                <w:tcPr>
                  <w:tcW w:w="994" w:type="dxa"/>
                  <w:vMerge w:val="continue"/>
                  <w:tcBorders>
                    <w:top w:val="nil"/>
                    <w:bottom w:val="nil"/>
                  </w:tcBorders>
                  <w:vAlign w:val="top"/>
                </w:tcPr>
                <w:p>
                  <w:pPr>
                    <w:rPr>
                      <w:rFonts w:ascii="Arial"/>
                      <w:sz w:val="21"/>
                    </w:rPr>
                  </w:pPr>
                </w:p>
              </w:tc>
              <w:tc>
                <w:tcPr>
                  <w:tcW w:w="839" w:type="dxa"/>
                  <w:vAlign w:val="top"/>
                </w:tcPr>
                <w:p>
                  <w:pPr>
                    <w:spacing w:before="52" w:line="230" w:lineRule="auto"/>
                    <w:ind w:left="156"/>
                    <w:rPr>
                      <w:rFonts w:ascii="宋体" w:hAnsi="宋体" w:eastAsia="宋体" w:cs="宋体"/>
                      <w:sz w:val="17"/>
                      <w:szCs w:val="17"/>
                    </w:rPr>
                  </w:pPr>
                  <w:r>
                    <w:rPr>
                      <w:rFonts w:ascii="宋体" w:hAnsi="宋体" w:eastAsia="宋体" w:cs="宋体"/>
                      <w:spacing w:val="7"/>
                      <w:sz w:val="17"/>
                      <w:szCs w:val="17"/>
                    </w:rPr>
                    <w:t>水环</w:t>
                  </w:r>
                  <w:r>
                    <w:rPr>
                      <w:rFonts w:ascii="宋体" w:hAnsi="宋体" w:eastAsia="宋体" w:cs="宋体"/>
                      <w:spacing w:val="6"/>
                      <w:sz w:val="17"/>
                      <w:szCs w:val="17"/>
                    </w:rPr>
                    <w:t>境</w:t>
                  </w:r>
                </w:p>
              </w:tc>
              <w:tc>
                <w:tcPr>
                  <w:tcW w:w="811" w:type="dxa"/>
                  <w:vAlign w:val="top"/>
                </w:tcPr>
                <w:p>
                  <w:pPr>
                    <w:spacing w:before="51" w:line="232" w:lineRule="auto"/>
                    <w:ind w:left="231"/>
                    <w:rPr>
                      <w:rFonts w:ascii="宋体" w:hAnsi="宋体" w:eastAsia="宋体" w:cs="宋体"/>
                      <w:sz w:val="17"/>
                      <w:szCs w:val="17"/>
                    </w:rPr>
                  </w:pPr>
                  <w:r>
                    <w:rPr>
                      <w:rFonts w:ascii="宋体" w:hAnsi="宋体" w:eastAsia="宋体" w:cs="宋体"/>
                      <w:spacing w:val="6"/>
                      <w:sz w:val="17"/>
                      <w:szCs w:val="17"/>
                    </w:rPr>
                    <w:t>直</w:t>
                  </w:r>
                  <w:r>
                    <w:rPr>
                      <w:rFonts w:ascii="宋体" w:hAnsi="宋体" w:eastAsia="宋体" w:cs="宋体"/>
                      <w:spacing w:val="5"/>
                      <w:sz w:val="17"/>
                      <w:szCs w:val="17"/>
                    </w:rPr>
                    <w:t>接</w:t>
                  </w:r>
                </w:p>
              </w:tc>
              <w:tc>
                <w:tcPr>
                  <w:tcW w:w="812" w:type="dxa"/>
                  <w:vAlign w:val="top"/>
                </w:tcPr>
                <w:p>
                  <w:pPr>
                    <w:spacing w:before="52" w:line="231" w:lineRule="auto"/>
                    <w:ind w:left="238"/>
                    <w:rPr>
                      <w:rFonts w:ascii="宋体" w:hAnsi="宋体" w:eastAsia="宋体" w:cs="宋体"/>
                      <w:sz w:val="17"/>
                      <w:szCs w:val="17"/>
                    </w:rPr>
                  </w:pPr>
                  <w:r>
                    <w:rPr>
                      <w:rFonts w:ascii="宋体" w:hAnsi="宋体" w:eastAsia="宋体" w:cs="宋体"/>
                      <w:spacing w:val="4"/>
                      <w:sz w:val="17"/>
                      <w:szCs w:val="17"/>
                    </w:rPr>
                    <w:t>暂</w:t>
                  </w:r>
                  <w:r>
                    <w:rPr>
                      <w:rFonts w:ascii="宋体" w:hAnsi="宋体" w:eastAsia="宋体" w:cs="宋体"/>
                      <w:spacing w:val="3"/>
                      <w:sz w:val="17"/>
                      <w:szCs w:val="17"/>
                    </w:rPr>
                    <w:t>时</w:t>
                  </w:r>
                </w:p>
              </w:tc>
              <w:tc>
                <w:tcPr>
                  <w:tcW w:w="2334" w:type="dxa"/>
                  <w:vAlign w:val="top"/>
                </w:tcPr>
                <w:p>
                  <w:pPr>
                    <w:spacing w:before="17" w:line="242" w:lineRule="exact"/>
                    <w:ind w:left="149"/>
                    <w:rPr>
                      <w:rFonts w:ascii="Times New Roman" w:hAnsi="Times New Roman" w:eastAsia="Times New Roman" w:cs="Times New Roman"/>
                      <w:sz w:val="17"/>
                      <w:szCs w:val="17"/>
                    </w:rPr>
                  </w:pPr>
                  <w:r>
                    <w:rPr>
                      <w:rFonts w:ascii="宋体" w:hAnsi="宋体" w:eastAsia="宋体" w:cs="宋体"/>
                      <w:spacing w:val="-4"/>
                      <w:position w:val="1"/>
                      <w:sz w:val="17"/>
                      <w:szCs w:val="17"/>
                    </w:rPr>
                    <w:t>围</w:t>
                  </w:r>
                  <w:r>
                    <w:rPr>
                      <w:rFonts w:ascii="宋体" w:hAnsi="宋体" w:eastAsia="宋体" w:cs="宋体"/>
                      <w:spacing w:val="-3"/>
                      <w:position w:val="1"/>
                      <w:sz w:val="17"/>
                      <w:szCs w:val="17"/>
                    </w:rPr>
                    <w:t>堰</w:t>
                  </w:r>
                  <w:r>
                    <w:rPr>
                      <w:rFonts w:ascii="宋体" w:hAnsi="宋体" w:eastAsia="宋体" w:cs="宋体"/>
                      <w:spacing w:val="-2"/>
                      <w:position w:val="1"/>
                      <w:sz w:val="17"/>
                      <w:szCs w:val="17"/>
                    </w:rPr>
                    <w:t xml:space="preserve">上游 </w:t>
                  </w:r>
                  <w:r>
                    <w:rPr>
                      <w:rFonts w:ascii="Times New Roman" w:hAnsi="Times New Roman" w:eastAsia="Times New Roman" w:cs="Times New Roman"/>
                      <w:spacing w:val="-2"/>
                      <w:position w:val="1"/>
                      <w:sz w:val="17"/>
                      <w:szCs w:val="17"/>
                    </w:rPr>
                    <w:t xml:space="preserve">100m </w:t>
                  </w:r>
                  <w:r>
                    <w:rPr>
                      <w:rFonts w:ascii="宋体" w:hAnsi="宋体" w:eastAsia="宋体" w:cs="宋体"/>
                      <w:spacing w:val="-2"/>
                      <w:position w:val="1"/>
                      <w:sz w:val="17"/>
                      <w:szCs w:val="17"/>
                    </w:rPr>
                    <w:t xml:space="preserve">，下游 </w:t>
                  </w:r>
                  <w:r>
                    <w:rPr>
                      <w:rFonts w:ascii="Times New Roman" w:hAnsi="Times New Roman" w:eastAsia="Times New Roman" w:cs="Times New Roman"/>
                      <w:spacing w:val="-2"/>
                      <w:position w:val="1"/>
                      <w:sz w:val="17"/>
                      <w:szCs w:val="17"/>
                    </w:rPr>
                    <w:t>1km</w:t>
                  </w:r>
                </w:p>
              </w:tc>
              <w:tc>
                <w:tcPr>
                  <w:tcW w:w="824" w:type="dxa"/>
                  <w:vAlign w:val="top"/>
                </w:tcPr>
                <w:p>
                  <w:pPr>
                    <w:spacing w:before="113" w:line="116" w:lineRule="exact"/>
                    <w:ind w:left="371"/>
                    <w:rPr>
                      <w:rFonts w:ascii="Times New Roman" w:hAnsi="Times New Roman" w:eastAsia="Times New Roman" w:cs="Times New Roman"/>
                      <w:sz w:val="9"/>
                      <w:szCs w:val="9"/>
                    </w:rPr>
                  </w:pPr>
                  <w:r>
                    <w:rPr>
                      <w:rFonts w:ascii="Times New Roman" w:hAnsi="Times New Roman" w:eastAsia="Times New Roman" w:cs="Times New Roman"/>
                      <w:spacing w:val="38"/>
                      <w:position w:val="1"/>
                      <w:sz w:val="9"/>
                      <w:szCs w:val="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578" w:type="dxa"/>
                  <w:vMerge w:val="continue"/>
                  <w:tcBorders>
                    <w:top w:val="nil"/>
                    <w:bottom w:val="nil"/>
                  </w:tcBorders>
                  <w:vAlign w:val="top"/>
                </w:tcPr>
                <w:p>
                  <w:pPr>
                    <w:rPr>
                      <w:rFonts w:ascii="Arial"/>
                      <w:sz w:val="21"/>
                    </w:rPr>
                  </w:pPr>
                </w:p>
              </w:tc>
              <w:tc>
                <w:tcPr>
                  <w:tcW w:w="808" w:type="dxa"/>
                  <w:vMerge w:val="continue"/>
                  <w:tcBorders>
                    <w:top w:val="nil"/>
                    <w:bottom w:val="nil"/>
                  </w:tcBorders>
                  <w:vAlign w:val="top"/>
                </w:tcPr>
                <w:p>
                  <w:pPr>
                    <w:rPr>
                      <w:rFonts w:ascii="Arial"/>
                      <w:sz w:val="21"/>
                    </w:rPr>
                  </w:pPr>
                </w:p>
              </w:tc>
              <w:tc>
                <w:tcPr>
                  <w:tcW w:w="994" w:type="dxa"/>
                  <w:vMerge w:val="continue"/>
                  <w:tcBorders>
                    <w:top w:val="nil"/>
                    <w:bottom w:val="nil"/>
                  </w:tcBorders>
                  <w:vAlign w:val="top"/>
                </w:tcPr>
                <w:p>
                  <w:pPr>
                    <w:rPr>
                      <w:rFonts w:ascii="Arial"/>
                      <w:sz w:val="21"/>
                    </w:rPr>
                  </w:pPr>
                </w:p>
              </w:tc>
              <w:tc>
                <w:tcPr>
                  <w:tcW w:w="839" w:type="dxa"/>
                  <w:vAlign w:val="top"/>
                </w:tcPr>
                <w:p>
                  <w:pPr>
                    <w:spacing w:before="51" w:line="231" w:lineRule="auto"/>
                    <w:ind w:left="65"/>
                    <w:rPr>
                      <w:rFonts w:ascii="宋体" w:hAnsi="宋体" w:eastAsia="宋体" w:cs="宋体"/>
                      <w:sz w:val="17"/>
                      <w:szCs w:val="17"/>
                    </w:rPr>
                  </w:pPr>
                  <w:r>
                    <w:rPr>
                      <w:rFonts w:ascii="宋体" w:hAnsi="宋体" w:eastAsia="宋体" w:cs="宋体"/>
                      <w:spacing w:val="9"/>
                      <w:sz w:val="17"/>
                      <w:szCs w:val="17"/>
                    </w:rPr>
                    <w:t>大</w:t>
                  </w:r>
                  <w:r>
                    <w:rPr>
                      <w:rFonts w:ascii="宋体" w:hAnsi="宋体" w:eastAsia="宋体" w:cs="宋体"/>
                      <w:spacing w:val="7"/>
                      <w:sz w:val="17"/>
                      <w:szCs w:val="17"/>
                    </w:rPr>
                    <w:t>气环境</w:t>
                  </w:r>
                </w:p>
              </w:tc>
              <w:tc>
                <w:tcPr>
                  <w:tcW w:w="811" w:type="dxa"/>
                  <w:vAlign w:val="top"/>
                </w:tcPr>
                <w:p>
                  <w:pPr>
                    <w:spacing w:before="51" w:line="232" w:lineRule="auto"/>
                    <w:ind w:left="231"/>
                    <w:rPr>
                      <w:rFonts w:ascii="宋体" w:hAnsi="宋体" w:eastAsia="宋体" w:cs="宋体"/>
                      <w:sz w:val="17"/>
                      <w:szCs w:val="17"/>
                    </w:rPr>
                  </w:pPr>
                  <w:r>
                    <w:rPr>
                      <w:rFonts w:ascii="宋体" w:hAnsi="宋体" w:eastAsia="宋体" w:cs="宋体"/>
                      <w:spacing w:val="6"/>
                      <w:sz w:val="17"/>
                      <w:szCs w:val="17"/>
                    </w:rPr>
                    <w:t>直</w:t>
                  </w:r>
                  <w:r>
                    <w:rPr>
                      <w:rFonts w:ascii="宋体" w:hAnsi="宋体" w:eastAsia="宋体" w:cs="宋体"/>
                      <w:spacing w:val="5"/>
                      <w:sz w:val="17"/>
                      <w:szCs w:val="17"/>
                    </w:rPr>
                    <w:t>接</w:t>
                  </w:r>
                </w:p>
              </w:tc>
              <w:tc>
                <w:tcPr>
                  <w:tcW w:w="812" w:type="dxa"/>
                  <w:vAlign w:val="top"/>
                </w:tcPr>
                <w:p>
                  <w:pPr>
                    <w:spacing w:before="51" w:line="231" w:lineRule="auto"/>
                    <w:ind w:left="238"/>
                    <w:rPr>
                      <w:rFonts w:ascii="宋体" w:hAnsi="宋体" w:eastAsia="宋体" w:cs="宋体"/>
                      <w:sz w:val="17"/>
                      <w:szCs w:val="17"/>
                    </w:rPr>
                  </w:pPr>
                  <w:r>
                    <w:rPr>
                      <w:rFonts w:ascii="宋体" w:hAnsi="宋体" w:eastAsia="宋体" w:cs="宋体"/>
                      <w:spacing w:val="4"/>
                      <w:sz w:val="17"/>
                      <w:szCs w:val="17"/>
                    </w:rPr>
                    <w:t>暂</w:t>
                  </w:r>
                  <w:r>
                    <w:rPr>
                      <w:rFonts w:ascii="宋体" w:hAnsi="宋体" w:eastAsia="宋体" w:cs="宋体"/>
                      <w:spacing w:val="3"/>
                      <w:sz w:val="17"/>
                      <w:szCs w:val="17"/>
                    </w:rPr>
                    <w:t>时</w:t>
                  </w:r>
                </w:p>
              </w:tc>
              <w:tc>
                <w:tcPr>
                  <w:tcW w:w="2334" w:type="dxa"/>
                  <w:vAlign w:val="top"/>
                </w:tcPr>
                <w:p>
                  <w:pPr>
                    <w:spacing w:before="51" w:line="231" w:lineRule="auto"/>
                    <w:ind w:left="587"/>
                    <w:rPr>
                      <w:rFonts w:ascii="Times New Roman" w:hAnsi="Times New Roman" w:eastAsia="Times New Roman" w:cs="Times New Roman"/>
                      <w:sz w:val="17"/>
                      <w:szCs w:val="17"/>
                    </w:rPr>
                  </w:pPr>
                  <w:r>
                    <w:rPr>
                      <w:rFonts w:ascii="宋体" w:hAnsi="宋体" w:eastAsia="宋体" w:cs="宋体"/>
                      <w:spacing w:val="2"/>
                      <w:sz w:val="17"/>
                      <w:szCs w:val="17"/>
                    </w:rPr>
                    <w:t xml:space="preserve">项目周围 </w:t>
                  </w:r>
                  <w:r>
                    <w:rPr>
                      <w:rFonts w:ascii="Times New Roman" w:hAnsi="Times New Roman" w:eastAsia="Times New Roman" w:cs="Times New Roman"/>
                      <w:spacing w:val="2"/>
                      <w:sz w:val="17"/>
                      <w:szCs w:val="17"/>
                    </w:rPr>
                    <w:t>50</w:t>
                  </w:r>
                  <w:r>
                    <w:rPr>
                      <w:rFonts w:ascii="Times New Roman" w:hAnsi="Times New Roman" w:eastAsia="Times New Roman" w:cs="Times New Roman"/>
                      <w:sz w:val="17"/>
                      <w:szCs w:val="17"/>
                    </w:rPr>
                    <w:t>0m</w:t>
                  </w:r>
                </w:p>
              </w:tc>
              <w:tc>
                <w:tcPr>
                  <w:tcW w:w="824" w:type="dxa"/>
                  <w:vAlign w:val="top"/>
                </w:tcPr>
                <w:p>
                  <w:pPr>
                    <w:spacing w:before="113" w:line="116" w:lineRule="exact"/>
                    <w:ind w:left="371"/>
                    <w:rPr>
                      <w:rFonts w:ascii="Times New Roman" w:hAnsi="Times New Roman" w:eastAsia="Times New Roman" w:cs="Times New Roman"/>
                      <w:sz w:val="9"/>
                      <w:szCs w:val="9"/>
                    </w:rPr>
                  </w:pPr>
                  <w:r>
                    <w:rPr>
                      <w:rFonts w:ascii="Times New Roman" w:hAnsi="Times New Roman" w:eastAsia="Times New Roman" w:cs="Times New Roman"/>
                      <w:spacing w:val="38"/>
                      <w:position w:val="1"/>
                      <w:sz w:val="9"/>
                      <w:szCs w:val="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578" w:type="dxa"/>
                  <w:vMerge w:val="continue"/>
                  <w:tcBorders>
                    <w:top w:val="nil"/>
                    <w:bottom w:val="nil"/>
                  </w:tcBorders>
                  <w:vAlign w:val="top"/>
                </w:tcPr>
                <w:p>
                  <w:pPr>
                    <w:rPr>
                      <w:rFonts w:ascii="Arial"/>
                      <w:sz w:val="21"/>
                    </w:rPr>
                  </w:pPr>
                </w:p>
              </w:tc>
              <w:tc>
                <w:tcPr>
                  <w:tcW w:w="808" w:type="dxa"/>
                  <w:vMerge w:val="continue"/>
                  <w:tcBorders>
                    <w:top w:val="nil"/>
                  </w:tcBorders>
                  <w:vAlign w:val="top"/>
                </w:tcPr>
                <w:p>
                  <w:pPr>
                    <w:rPr>
                      <w:rFonts w:ascii="Arial"/>
                      <w:sz w:val="21"/>
                    </w:rPr>
                  </w:pPr>
                </w:p>
              </w:tc>
              <w:tc>
                <w:tcPr>
                  <w:tcW w:w="994" w:type="dxa"/>
                  <w:vMerge w:val="continue"/>
                  <w:tcBorders>
                    <w:top w:val="nil"/>
                  </w:tcBorders>
                  <w:vAlign w:val="top"/>
                </w:tcPr>
                <w:p>
                  <w:pPr>
                    <w:rPr>
                      <w:rFonts w:ascii="Arial"/>
                      <w:sz w:val="21"/>
                    </w:rPr>
                  </w:pPr>
                </w:p>
              </w:tc>
              <w:tc>
                <w:tcPr>
                  <w:tcW w:w="839" w:type="dxa"/>
                  <w:vAlign w:val="top"/>
                </w:tcPr>
                <w:p>
                  <w:pPr>
                    <w:spacing w:before="51" w:line="231" w:lineRule="auto"/>
                    <w:ind w:left="158"/>
                    <w:rPr>
                      <w:rFonts w:ascii="宋体" w:hAnsi="宋体" w:eastAsia="宋体" w:cs="宋体"/>
                      <w:sz w:val="17"/>
                      <w:szCs w:val="17"/>
                    </w:rPr>
                  </w:pPr>
                  <w:r>
                    <w:rPr>
                      <w:rFonts w:ascii="宋体" w:hAnsi="宋体" w:eastAsia="宋体" w:cs="宋体"/>
                      <w:spacing w:val="7"/>
                      <w:sz w:val="17"/>
                      <w:szCs w:val="17"/>
                    </w:rPr>
                    <w:t>声</w:t>
                  </w:r>
                  <w:r>
                    <w:rPr>
                      <w:rFonts w:ascii="宋体" w:hAnsi="宋体" w:eastAsia="宋体" w:cs="宋体"/>
                      <w:spacing w:val="6"/>
                      <w:sz w:val="17"/>
                      <w:szCs w:val="17"/>
                    </w:rPr>
                    <w:t>环境</w:t>
                  </w:r>
                </w:p>
              </w:tc>
              <w:tc>
                <w:tcPr>
                  <w:tcW w:w="811" w:type="dxa"/>
                  <w:vAlign w:val="top"/>
                </w:tcPr>
                <w:p>
                  <w:pPr>
                    <w:spacing w:before="51" w:line="232" w:lineRule="auto"/>
                    <w:ind w:left="231"/>
                    <w:rPr>
                      <w:rFonts w:ascii="宋体" w:hAnsi="宋体" w:eastAsia="宋体" w:cs="宋体"/>
                      <w:sz w:val="17"/>
                      <w:szCs w:val="17"/>
                    </w:rPr>
                  </w:pPr>
                  <w:r>
                    <w:rPr>
                      <w:rFonts w:ascii="宋体" w:hAnsi="宋体" w:eastAsia="宋体" w:cs="宋体"/>
                      <w:spacing w:val="6"/>
                      <w:sz w:val="17"/>
                      <w:szCs w:val="17"/>
                    </w:rPr>
                    <w:t>直</w:t>
                  </w:r>
                  <w:r>
                    <w:rPr>
                      <w:rFonts w:ascii="宋体" w:hAnsi="宋体" w:eastAsia="宋体" w:cs="宋体"/>
                      <w:spacing w:val="5"/>
                      <w:sz w:val="17"/>
                      <w:szCs w:val="17"/>
                    </w:rPr>
                    <w:t>接</w:t>
                  </w:r>
                </w:p>
              </w:tc>
              <w:tc>
                <w:tcPr>
                  <w:tcW w:w="812" w:type="dxa"/>
                  <w:vAlign w:val="top"/>
                </w:tcPr>
                <w:p>
                  <w:pPr>
                    <w:spacing w:before="51" w:line="231" w:lineRule="auto"/>
                    <w:ind w:left="238"/>
                    <w:rPr>
                      <w:rFonts w:ascii="宋体" w:hAnsi="宋体" w:eastAsia="宋体" w:cs="宋体"/>
                      <w:sz w:val="17"/>
                      <w:szCs w:val="17"/>
                    </w:rPr>
                  </w:pPr>
                  <w:r>
                    <w:rPr>
                      <w:rFonts w:ascii="宋体" w:hAnsi="宋体" w:eastAsia="宋体" w:cs="宋体"/>
                      <w:spacing w:val="4"/>
                      <w:sz w:val="17"/>
                      <w:szCs w:val="17"/>
                    </w:rPr>
                    <w:t>暂</w:t>
                  </w:r>
                  <w:r>
                    <w:rPr>
                      <w:rFonts w:ascii="宋体" w:hAnsi="宋体" w:eastAsia="宋体" w:cs="宋体"/>
                      <w:spacing w:val="3"/>
                      <w:sz w:val="17"/>
                      <w:szCs w:val="17"/>
                    </w:rPr>
                    <w:t>时</w:t>
                  </w:r>
                </w:p>
              </w:tc>
              <w:tc>
                <w:tcPr>
                  <w:tcW w:w="2334" w:type="dxa"/>
                  <w:vAlign w:val="top"/>
                </w:tcPr>
                <w:p>
                  <w:pPr>
                    <w:spacing w:before="51" w:line="231" w:lineRule="auto"/>
                    <w:ind w:left="587"/>
                    <w:rPr>
                      <w:rFonts w:ascii="Times New Roman" w:hAnsi="Times New Roman" w:eastAsia="Times New Roman" w:cs="Times New Roman"/>
                      <w:sz w:val="17"/>
                      <w:szCs w:val="17"/>
                    </w:rPr>
                  </w:pPr>
                  <w:r>
                    <w:rPr>
                      <w:rFonts w:ascii="宋体" w:hAnsi="宋体" w:eastAsia="宋体" w:cs="宋体"/>
                      <w:spacing w:val="2"/>
                      <w:sz w:val="17"/>
                      <w:szCs w:val="17"/>
                    </w:rPr>
                    <w:t xml:space="preserve">项目周围 </w:t>
                  </w:r>
                  <w:r>
                    <w:rPr>
                      <w:rFonts w:ascii="Times New Roman" w:hAnsi="Times New Roman" w:eastAsia="Times New Roman" w:cs="Times New Roman"/>
                      <w:spacing w:val="2"/>
                      <w:sz w:val="17"/>
                      <w:szCs w:val="17"/>
                    </w:rPr>
                    <w:t>20</w:t>
                  </w:r>
                  <w:r>
                    <w:rPr>
                      <w:rFonts w:ascii="Times New Roman" w:hAnsi="Times New Roman" w:eastAsia="Times New Roman" w:cs="Times New Roman"/>
                      <w:sz w:val="17"/>
                      <w:szCs w:val="17"/>
                    </w:rPr>
                    <w:t>0m</w:t>
                  </w:r>
                </w:p>
              </w:tc>
              <w:tc>
                <w:tcPr>
                  <w:tcW w:w="824" w:type="dxa"/>
                  <w:vAlign w:val="top"/>
                </w:tcPr>
                <w:p>
                  <w:pPr>
                    <w:spacing w:before="51" w:line="228" w:lineRule="exact"/>
                    <w:ind w:left="342"/>
                    <w:rPr>
                      <w:rFonts w:ascii="宋体" w:hAnsi="宋体" w:eastAsia="宋体" w:cs="宋体"/>
                      <w:sz w:val="17"/>
                      <w:szCs w:val="17"/>
                    </w:rPr>
                  </w:pPr>
                  <w:r>
                    <w:rPr>
                      <w:rFonts w:ascii="宋体" w:hAnsi="宋体" w:eastAsia="宋体" w:cs="宋体"/>
                      <w:position w:val="1"/>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78" w:type="dxa"/>
                  <w:vMerge w:val="continue"/>
                  <w:tcBorders>
                    <w:top w:val="nil"/>
                    <w:bottom w:val="nil"/>
                  </w:tcBorders>
                  <w:vAlign w:val="top"/>
                </w:tcPr>
                <w:p>
                  <w:pPr>
                    <w:rPr>
                      <w:rFonts w:ascii="Arial"/>
                      <w:sz w:val="21"/>
                    </w:rPr>
                  </w:pPr>
                </w:p>
              </w:tc>
              <w:tc>
                <w:tcPr>
                  <w:tcW w:w="808" w:type="dxa"/>
                  <w:vMerge w:val="restart"/>
                  <w:tcBorders>
                    <w:bottom w:val="nil"/>
                  </w:tcBorders>
                  <w:vAlign w:val="top"/>
                </w:tcPr>
                <w:p>
                  <w:pPr>
                    <w:spacing w:line="449" w:lineRule="auto"/>
                    <w:rPr>
                      <w:rFonts w:ascii="Arial"/>
                      <w:sz w:val="21"/>
                    </w:rPr>
                  </w:pPr>
                </w:p>
                <w:p>
                  <w:pPr>
                    <w:spacing w:before="55" w:line="267" w:lineRule="auto"/>
                    <w:ind w:left="139" w:right="43" w:hanging="93"/>
                    <w:rPr>
                      <w:rFonts w:ascii="宋体" w:hAnsi="宋体" w:eastAsia="宋体" w:cs="宋体"/>
                      <w:sz w:val="17"/>
                      <w:szCs w:val="17"/>
                    </w:rPr>
                  </w:pPr>
                  <w:r>
                    <w:rPr>
                      <w:rFonts w:ascii="宋体" w:hAnsi="宋体" w:eastAsia="宋体" w:cs="宋体"/>
                      <w:spacing w:val="8"/>
                      <w:sz w:val="17"/>
                      <w:szCs w:val="17"/>
                    </w:rPr>
                    <w:t>桥面及上</w:t>
                  </w:r>
                  <w:r>
                    <w:rPr>
                      <w:rFonts w:ascii="宋体" w:hAnsi="宋体" w:eastAsia="宋体" w:cs="宋体"/>
                      <w:sz w:val="17"/>
                      <w:szCs w:val="17"/>
                    </w:rPr>
                    <w:t xml:space="preserve"> </w:t>
                  </w:r>
                  <w:r>
                    <w:rPr>
                      <w:rFonts w:ascii="宋体" w:hAnsi="宋体" w:eastAsia="宋体" w:cs="宋体"/>
                      <w:spacing w:val="7"/>
                      <w:sz w:val="17"/>
                      <w:szCs w:val="17"/>
                    </w:rPr>
                    <w:t>部结</w:t>
                  </w:r>
                  <w:r>
                    <w:rPr>
                      <w:rFonts w:ascii="宋体" w:hAnsi="宋体" w:eastAsia="宋体" w:cs="宋体"/>
                      <w:spacing w:val="6"/>
                      <w:sz w:val="17"/>
                      <w:szCs w:val="17"/>
                    </w:rPr>
                    <w:t>构</w:t>
                  </w:r>
                </w:p>
              </w:tc>
              <w:tc>
                <w:tcPr>
                  <w:tcW w:w="994" w:type="dxa"/>
                  <w:vMerge w:val="restart"/>
                  <w:tcBorders>
                    <w:bottom w:val="nil"/>
                  </w:tcBorders>
                  <w:vAlign w:val="top"/>
                </w:tcPr>
                <w:p>
                  <w:pPr>
                    <w:spacing w:line="449" w:lineRule="auto"/>
                    <w:rPr>
                      <w:rFonts w:ascii="Arial"/>
                      <w:sz w:val="21"/>
                    </w:rPr>
                  </w:pPr>
                </w:p>
                <w:p>
                  <w:pPr>
                    <w:spacing w:before="55" w:line="267" w:lineRule="auto"/>
                    <w:ind w:left="46" w:hanging="38"/>
                    <w:rPr>
                      <w:rFonts w:ascii="宋体" w:hAnsi="宋体" w:eastAsia="宋体" w:cs="宋体"/>
                      <w:sz w:val="17"/>
                      <w:szCs w:val="17"/>
                    </w:rPr>
                  </w:pPr>
                  <w:r>
                    <w:rPr>
                      <w:rFonts w:ascii="宋体" w:hAnsi="宋体" w:eastAsia="宋体" w:cs="宋体"/>
                      <w:spacing w:val="-10"/>
                      <w:sz w:val="17"/>
                      <w:szCs w:val="17"/>
                    </w:rPr>
                    <w:t>桥</w:t>
                  </w:r>
                  <w:r>
                    <w:rPr>
                      <w:rFonts w:ascii="宋体" w:hAnsi="宋体" w:eastAsia="宋体" w:cs="宋体"/>
                      <w:spacing w:val="-6"/>
                      <w:sz w:val="17"/>
                      <w:szCs w:val="17"/>
                    </w:rPr>
                    <w:t>梁、桥面、</w:t>
                  </w:r>
                  <w:r>
                    <w:rPr>
                      <w:rFonts w:ascii="宋体" w:hAnsi="宋体" w:eastAsia="宋体" w:cs="宋体"/>
                      <w:sz w:val="17"/>
                      <w:szCs w:val="17"/>
                    </w:rPr>
                    <w:t xml:space="preserve"> </w:t>
                  </w:r>
                  <w:r>
                    <w:rPr>
                      <w:rFonts w:ascii="宋体" w:hAnsi="宋体" w:eastAsia="宋体" w:cs="宋体"/>
                      <w:spacing w:val="-1"/>
                      <w:sz w:val="17"/>
                      <w:szCs w:val="17"/>
                    </w:rPr>
                    <w:t>桥塔等施工</w:t>
                  </w:r>
                </w:p>
              </w:tc>
              <w:tc>
                <w:tcPr>
                  <w:tcW w:w="839" w:type="dxa"/>
                  <w:vAlign w:val="top"/>
                </w:tcPr>
                <w:p>
                  <w:pPr>
                    <w:spacing w:before="51" w:line="230" w:lineRule="auto"/>
                    <w:ind w:left="65"/>
                    <w:rPr>
                      <w:rFonts w:ascii="宋体" w:hAnsi="宋体" w:eastAsia="宋体" w:cs="宋体"/>
                      <w:sz w:val="17"/>
                      <w:szCs w:val="17"/>
                    </w:rPr>
                  </w:pPr>
                  <w:r>
                    <w:rPr>
                      <w:rFonts w:ascii="宋体" w:hAnsi="宋体" w:eastAsia="宋体" w:cs="宋体"/>
                      <w:spacing w:val="9"/>
                      <w:sz w:val="17"/>
                      <w:szCs w:val="17"/>
                    </w:rPr>
                    <w:t>水</w:t>
                  </w:r>
                  <w:r>
                    <w:rPr>
                      <w:rFonts w:ascii="宋体" w:hAnsi="宋体" w:eastAsia="宋体" w:cs="宋体"/>
                      <w:spacing w:val="7"/>
                      <w:sz w:val="17"/>
                      <w:szCs w:val="17"/>
                    </w:rPr>
                    <w:t>生生态</w:t>
                  </w:r>
                </w:p>
              </w:tc>
              <w:tc>
                <w:tcPr>
                  <w:tcW w:w="811" w:type="dxa"/>
                  <w:vAlign w:val="top"/>
                </w:tcPr>
                <w:p>
                  <w:pPr>
                    <w:spacing w:before="18" w:line="242" w:lineRule="exact"/>
                    <w:ind w:left="37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12" w:type="dxa"/>
                  <w:vAlign w:val="top"/>
                </w:tcPr>
                <w:p>
                  <w:pPr>
                    <w:spacing w:before="18" w:line="242" w:lineRule="exact"/>
                    <w:ind w:left="37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2334" w:type="dxa"/>
                  <w:vAlign w:val="top"/>
                </w:tcPr>
                <w:p>
                  <w:pPr>
                    <w:spacing w:before="18" w:line="242" w:lineRule="exact"/>
                    <w:ind w:left="1141"/>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24" w:type="dxa"/>
                  <w:vAlign w:val="top"/>
                </w:tcPr>
                <w:p>
                  <w:pPr>
                    <w:spacing w:before="18" w:line="242" w:lineRule="exact"/>
                    <w:ind w:left="38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578" w:type="dxa"/>
                  <w:vMerge w:val="continue"/>
                  <w:tcBorders>
                    <w:top w:val="nil"/>
                    <w:bottom w:val="nil"/>
                  </w:tcBorders>
                  <w:vAlign w:val="top"/>
                </w:tcPr>
                <w:p>
                  <w:pPr>
                    <w:rPr>
                      <w:rFonts w:ascii="Arial"/>
                      <w:sz w:val="21"/>
                    </w:rPr>
                  </w:pPr>
                </w:p>
              </w:tc>
              <w:tc>
                <w:tcPr>
                  <w:tcW w:w="808" w:type="dxa"/>
                  <w:vMerge w:val="continue"/>
                  <w:tcBorders>
                    <w:top w:val="nil"/>
                    <w:bottom w:val="nil"/>
                  </w:tcBorders>
                  <w:vAlign w:val="top"/>
                </w:tcPr>
                <w:p>
                  <w:pPr>
                    <w:rPr>
                      <w:rFonts w:ascii="Arial"/>
                      <w:sz w:val="21"/>
                    </w:rPr>
                  </w:pPr>
                </w:p>
              </w:tc>
              <w:tc>
                <w:tcPr>
                  <w:tcW w:w="994" w:type="dxa"/>
                  <w:vMerge w:val="continue"/>
                  <w:tcBorders>
                    <w:top w:val="nil"/>
                    <w:bottom w:val="nil"/>
                  </w:tcBorders>
                  <w:vAlign w:val="top"/>
                </w:tcPr>
                <w:p>
                  <w:pPr>
                    <w:rPr>
                      <w:rFonts w:ascii="Arial"/>
                      <w:sz w:val="21"/>
                    </w:rPr>
                  </w:pPr>
                </w:p>
              </w:tc>
              <w:tc>
                <w:tcPr>
                  <w:tcW w:w="839" w:type="dxa"/>
                  <w:vAlign w:val="top"/>
                </w:tcPr>
                <w:p>
                  <w:pPr>
                    <w:spacing w:before="51" w:line="233" w:lineRule="auto"/>
                    <w:ind w:left="72"/>
                    <w:rPr>
                      <w:rFonts w:ascii="宋体" w:hAnsi="宋体" w:eastAsia="宋体" w:cs="宋体"/>
                      <w:sz w:val="17"/>
                      <w:szCs w:val="17"/>
                    </w:rPr>
                  </w:pPr>
                  <w:r>
                    <w:rPr>
                      <w:rFonts w:ascii="宋体" w:hAnsi="宋体" w:eastAsia="宋体" w:cs="宋体"/>
                      <w:spacing w:val="6"/>
                      <w:sz w:val="17"/>
                      <w:szCs w:val="17"/>
                    </w:rPr>
                    <w:t>陆生生</w:t>
                  </w:r>
                  <w:r>
                    <w:rPr>
                      <w:rFonts w:ascii="宋体" w:hAnsi="宋体" w:eastAsia="宋体" w:cs="宋体"/>
                      <w:spacing w:val="5"/>
                      <w:sz w:val="17"/>
                      <w:szCs w:val="17"/>
                    </w:rPr>
                    <w:t>态</w:t>
                  </w:r>
                </w:p>
              </w:tc>
              <w:tc>
                <w:tcPr>
                  <w:tcW w:w="811" w:type="dxa"/>
                  <w:vAlign w:val="top"/>
                </w:tcPr>
                <w:p>
                  <w:pPr>
                    <w:spacing w:before="19" w:line="242" w:lineRule="exact"/>
                    <w:ind w:left="37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12" w:type="dxa"/>
                  <w:vAlign w:val="top"/>
                </w:tcPr>
                <w:p>
                  <w:pPr>
                    <w:spacing w:before="19" w:line="242" w:lineRule="exact"/>
                    <w:ind w:left="37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2334" w:type="dxa"/>
                  <w:vAlign w:val="top"/>
                </w:tcPr>
                <w:p>
                  <w:pPr>
                    <w:spacing w:before="19" w:line="242" w:lineRule="exact"/>
                    <w:ind w:left="1141"/>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24" w:type="dxa"/>
                  <w:vAlign w:val="top"/>
                </w:tcPr>
                <w:p>
                  <w:pPr>
                    <w:spacing w:before="19" w:line="242" w:lineRule="exact"/>
                    <w:ind w:left="38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578" w:type="dxa"/>
                  <w:vMerge w:val="continue"/>
                  <w:tcBorders>
                    <w:top w:val="nil"/>
                    <w:bottom w:val="nil"/>
                  </w:tcBorders>
                  <w:vAlign w:val="top"/>
                </w:tcPr>
                <w:p>
                  <w:pPr>
                    <w:rPr>
                      <w:rFonts w:ascii="Arial"/>
                      <w:sz w:val="21"/>
                    </w:rPr>
                  </w:pPr>
                </w:p>
              </w:tc>
              <w:tc>
                <w:tcPr>
                  <w:tcW w:w="808" w:type="dxa"/>
                  <w:vMerge w:val="continue"/>
                  <w:tcBorders>
                    <w:top w:val="nil"/>
                    <w:bottom w:val="nil"/>
                  </w:tcBorders>
                  <w:vAlign w:val="top"/>
                </w:tcPr>
                <w:p>
                  <w:pPr>
                    <w:rPr>
                      <w:rFonts w:ascii="Arial"/>
                      <w:sz w:val="21"/>
                    </w:rPr>
                  </w:pPr>
                </w:p>
              </w:tc>
              <w:tc>
                <w:tcPr>
                  <w:tcW w:w="994" w:type="dxa"/>
                  <w:vMerge w:val="continue"/>
                  <w:tcBorders>
                    <w:top w:val="nil"/>
                    <w:bottom w:val="nil"/>
                  </w:tcBorders>
                  <w:vAlign w:val="top"/>
                </w:tcPr>
                <w:p>
                  <w:pPr>
                    <w:rPr>
                      <w:rFonts w:ascii="Arial"/>
                      <w:sz w:val="21"/>
                    </w:rPr>
                  </w:pPr>
                </w:p>
              </w:tc>
              <w:tc>
                <w:tcPr>
                  <w:tcW w:w="839" w:type="dxa"/>
                  <w:vAlign w:val="top"/>
                </w:tcPr>
                <w:p>
                  <w:pPr>
                    <w:spacing w:before="51" w:line="230" w:lineRule="auto"/>
                    <w:ind w:left="156"/>
                    <w:rPr>
                      <w:rFonts w:ascii="宋体" w:hAnsi="宋体" w:eastAsia="宋体" w:cs="宋体"/>
                      <w:sz w:val="17"/>
                      <w:szCs w:val="17"/>
                    </w:rPr>
                  </w:pPr>
                  <w:r>
                    <w:rPr>
                      <w:rFonts w:ascii="宋体" w:hAnsi="宋体" w:eastAsia="宋体" w:cs="宋体"/>
                      <w:spacing w:val="7"/>
                      <w:sz w:val="17"/>
                      <w:szCs w:val="17"/>
                    </w:rPr>
                    <w:t>水环</w:t>
                  </w:r>
                  <w:r>
                    <w:rPr>
                      <w:rFonts w:ascii="宋体" w:hAnsi="宋体" w:eastAsia="宋体" w:cs="宋体"/>
                      <w:spacing w:val="6"/>
                      <w:sz w:val="17"/>
                      <w:szCs w:val="17"/>
                    </w:rPr>
                    <w:t>境</w:t>
                  </w:r>
                </w:p>
              </w:tc>
              <w:tc>
                <w:tcPr>
                  <w:tcW w:w="811" w:type="dxa"/>
                  <w:vAlign w:val="top"/>
                </w:tcPr>
                <w:p>
                  <w:pPr>
                    <w:spacing w:before="18" w:line="242" w:lineRule="exact"/>
                    <w:ind w:left="37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12" w:type="dxa"/>
                  <w:vAlign w:val="top"/>
                </w:tcPr>
                <w:p>
                  <w:pPr>
                    <w:spacing w:before="18" w:line="242" w:lineRule="exact"/>
                    <w:ind w:left="37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2334" w:type="dxa"/>
                  <w:vAlign w:val="top"/>
                </w:tcPr>
                <w:p>
                  <w:pPr>
                    <w:spacing w:before="18" w:line="242" w:lineRule="exact"/>
                    <w:ind w:left="1141"/>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24" w:type="dxa"/>
                  <w:vAlign w:val="top"/>
                </w:tcPr>
                <w:p>
                  <w:pPr>
                    <w:spacing w:before="18" w:line="242" w:lineRule="exact"/>
                    <w:ind w:left="38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578" w:type="dxa"/>
                  <w:vMerge w:val="continue"/>
                  <w:tcBorders>
                    <w:top w:val="nil"/>
                    <w:bottom w:val="nil"/>
                  </w:tcBorders>
                  <w:vAlign w:val="top"/>
                </w:tcPr>
                <w:p>
                  <w:pPr>
                    <w:rPr>
                      <w:rFonts w:ascii="Arial"/>
                      <w:sz w:val="21"/>
                    </w:rPr>
                  </w:pPr>
                </w:p>
              </w:tc>
              <w:tc>
                <w:tcPr>
                  <w:tcW w:w="808" w:type="dxa"/>
                  <w:vMerge w:val="continue"/>
                  <w:tcBorders>
                    <w:top w:val="nil"/>
                    <w:bottom w:val="nil"/>
                  </w:tcBorders>
                  <w:vAlign w:val="top"/>
                </w:tcPr>
                <w:p>
                  <w:pPr>
                    <w:rPr>
                      <w:rFonts w:ascii="Arial"/>
                      <w:sz w:val="21"/>
                    </w:rPr>
                  </w:pPr>
                </w:p>
              </w:tc>
              <w:tc>
                <w:tcPr>
                  <w:tcW w:w="994" w:type="dxa"/>
                  <w:vMerge w:val="continue"/>
                  <w:tcBorders>
                    <w:top w:val="nil"/>
                    <w:bottom w:val="nil"/>
                  </w:tcBorders>
                  <w:vAlign w:val="top"/>
                </w:tcPr>
                <w:p>
                  <w:pPr>
                    <w:rPr>
                      <w:rFonts w:ascii="Arial"/>
                      <w:sz w:val="21"/>
                    </w:rPr>
                  </w:pPr>
                </w:p>
              </w:tc>
              <w:tc>
                <w:tcPr>
                  <w:tcW w:w="839" w:type="dxa"/>
                  <w:vAlign w:val="top"/>
                </w:tcPr>
                <w:p>
                  <w:pPr>
                    <w:spacing w:before="53" w:line="231" w:lineRule="auto"/>
                    <w:ind w:left="65"/>
                    <w:rPr>
                      <w:rFonts w:ascii="宋体" w:hAnsi="宋体" w:eastAsia="宋体" w:cs="宋体"/>
                      <w:sz w:val="17"/>
                      <w:szCs w:val="17"/>
                    </w:rPr>
                  </w:pPr>
                  <w:r>
                    <w:rPr>
                      <w:rFonts w:ascii="宋体" w:hAnsi="宋体" w:eastAsia="宋体" w:cs="宋体"/>
                      <w:spacing w:val="9"/>
                      <w:sz w:val="17"/>
                      <w:szCs w:val="17"/>
                    </w:rPr>
                    <w:t>大</w:t>
                  </w:r>
                  <w:r>
                    <w:rPr>
                      <w:rFonts w:ascii="宋体" w:hAnsi="宋体" w:eastAsia="宋体" w:cs="宋体"/>
                      <w:spacing w:val="7"/>
                      <w:sz w:val="17"/>
                      <w:szCs w:val="17"/>
                    </w:rPr>
                    <w:t>气环境</w:t>
                  </w:r>
                </w:p>
              </w:tc>
              <w:tc>
                <w:tcPr>
                  <w:tcW w:w="811" w:type="dxa"/>
                  <w:vAlign w:val="top"/>
                </w:tcPr>
                <w:p>
                  <w:pPr>
                    <w:spacing w:before="52" w:line="232" w:lineRule="auto"/>
                    <w:ind w:left="231"/>
                    <w:rPr>
                      <w:rFonts w:ascii="宋体" w:hAnsi="宋体" w:eastAsia="宋体" w:cs="宋体"/>
                      <w:sz w:val="17"/>
                      <w:szCs w:val="17"/>
                    </w:rPr>
                  </w:pPr>
                  <w:r>
                    <w:rPr>
                      <w:rFonts w:ascii="宋体" w:hAnsi="宋体" w:eastAsia="宋体" w:cs="宋体"/>
                      <w:spacing w:val="6"/>
                      <w:sz w:val="17"/>
                      <w:szCs w:val="17"/>
                    </w:rPr>
                    <w:t>直</w:t>
                  </w:r>
                  <w:r>
                    <w:rPr>
                      <w:rFonts w:ascii="宋体" w:hAnsi="宋体" w:eastAsia="宋体" w:cs="宋体"/>
                      <w:spacing w:val="5"/>
                      <w:sz w:val="17"/>
                      <w:szCs w:val="17"/>
                    </w:rPr>
                    <w:t>接</w:t>
                  </w:r>
                </w:p>
              </w:tc>
              <w:tc>
                <w:tcPr>
                  <w:tcW w:w="812" w:type="dxa"/>
                  <w:vAlign w:val="top"/>
                </w:tcPr>
                <w:p>
                  <w:pPr>
                    <w:spacing w:before="53" w:line="231" w:lineRule="auto"/>
                    <w:ind w:left="238"/>
                    <w:rPr>
                      <w:rFonts w:ascii="宋体" w:hAnsi="宋体" w:eastAsia="宋体" w:cs="宋体"/>
                      <w:sz w:val="17"/>
                      <w:szCs w:val="17"/>
                    </w:rPr>
                  </w:pPr>
                  <w:r>
                    <w:rPr>
                      <w:rFonts w:ascii="宋体" w:hAnsi="宋体" w:eastAsia="宋体" w:cs="宋体"/>
                      <w:spacing w:val="4"/>
                      <w:sz w:val="17"/>
                      <w:szCs w:val="17"/>
                    </w:rPr>
                    <w:t>暂</w:t>
                  </w:r>
                  <w:r>
                    <w:rPr>
                      <w:rFonts w:ascii="宋体" w:hAnsi="宋体" w:eastAsia="宋体" w:cs="宋体"/>
                      <w:spacing w:val="3"/>
                      <w:sz w:val="17"/>
                      <w:szCs w:val="17"/>
                    </w:rPr>
                    <w:t>时</w:t>
                  </w:r>
                </w:p>
              </w:tc>
              <w:tc>
                <w:tcPr>
                  <w:tcW w:w="2334" w:type="dxa"/>
                  <w:vAlign w:val="top"/>
                </w:tcPr>
                <w:p>
                  <w:pPr>
                    <w:spacing w:before="53" w:line="231" w:lineRule="auto"/>
                    <w:ind w:left="587"/>
                    <w:rPr>
                      <w:rFonts w:ascii="Times New Roman" w:hAnsi="Times New Roman" w:eastAsia="Times New Roman" w:cs="Times New Roman"/>
                      <w:sz w:val="17"/>
                      <w:szCs w:val="17"/>
                    </w:rPr>
                  </w:pPr>
                  <w:r>
                    <w:rPr>
                      <w:rFonts w:ascii="宋体" w:hAnsi="宋体" w:eastAsia="宋体" w:cs="宋体"/>
                      <w:spacing w:val="2"/>
                      <w:sz w:val="17"/>
                      <w:szCs w:val="17"/>
                    </w:rPr>
                    <w:t xml:space="preserve">项目周围 </w:t>
                  </w:r>
                  <w:r>
                    <w:rPr>
                      <w:rFonts w:ascii="Times New Roman" w:hAnsi="Times New Roman" w:eastAsia="Times New Roman" w:cs="Times New Roman"/>
                      <w:spacing w:val="2"/>
                      <w:sz w:val="17"/>
                      <w:szCs w:val="17"/>
                    </w:rPr>
                    <w:t>50</w:t>
                  </w:r>
                  <w:r>
                    <w:rPr>
                      <w:rFonts w:ascii="Times New Roman" w:hAnsi="Times New Roman" w:eastAsia="Times New Roman" w:cs="Times New Roman"/>
                      <w:sz w:val="17"/>
                      <w:szCs w:val="17"/>
                    </w:rPr>
                    <w:t>0m</w:t>
                  </w:r>
                </w:p>
              </w:tc>
              <w:tc>
                <w:tcPr>
                  <w:tcW w:w="824" w:type="dxa"/>
                  <w:vAlign w:val="top"/>
                </w:tcPr>
                <w:p>
                  <w:pPr>
                    <w:spacing w:before="53" w:line="227" w:lineRule="exact"/>
                    <w:ind w:left="342"/>
                    <w:rPr>
                      <w:rFonts w:ascii="宋体" w:hAnsi="宋体" w:eastAsia="宋体" w:cs="宋体"/>
                      <w:sz w:val="17"/>
                      <w:szCs w:val="17"/>
                    </w:rPr>
                  </w:pPr>
                  <w:r>
                    <w:rPr>
                      <w:rFonts w:ascii="宋体" w:hAnsi="宋体" w:eastAsia="宋体" w:cs="宋体"/>
                      <w:position w:val="1"/>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578" w:type="dxa"/>
                  <w:vMerge w:val="continue"/>
                  <w:tcBorders>
                    <w:top w:val="nil"/>
                    <w:bottom w:val="nil"/>
                  </w:tcBorders>
                  <w:vAlign w:val="top"/>
                </w:tcPr>
                <w:p>
                  <w:pPr>
                    <w:rPr>
                      <w:rFonts w:ascii="Arial"/>
                      <w:sz w:val="21"/>
                    </w:rPr>
                  </w:pPr>
                </w:p>
              </w:tc>
              <w:tc>
                <w:tcPr>
                  <w:tcW w:w="808" w:type="dxa"/>
                  <w:vMerge w:val="continue"/>
                  <w:tcBorders>
                    <w:top w:val="nil"/>
                  </w:tcBorders>
                  <w:vAlign w:val="top"/>
                </w:tcPr>
                <w:p>
                  <w:pPr>
                    <w:rPr>
                      <w:rFonts w:ascii="Arial"/>
                      <w:sz w:val="21"/>
                    </w:rPr>
                  </w:pPr>
                </w:p>
              </w:tc>
              <w:tc>
                <w:tcPr>
                  <w:tcW w:w="994" w:type="dxa"/>
                  <w:vMerge w:val="continue"/>
                  <w:tcBorders>
                    <w:top w:val="nil"/>
                  </w:tcBorders>
                  <w:vAlign w:val="top"/>
                </w:tcPr>
                <w:p>
                  <w:pPr>
                    <w:rPr>
                      <w:rFonts w:ascii="Arial"/>
                      <w:sz w:val="21"/>
                    </w:rPr>
                  </w:pPr>
                </w:p>
              </w:tc>
              <w:tc>
                <w:tcPr>
                  <w:tcW w:w="839" w:type="dxa"/>
                  <w:vAlign w:val="top"/>
                </w:tcPr>
                <w:p>
                  <w:pPr>
                    <w:spacing w:before="52" w:line="231" w:lineRule="auto"/>
                    <w:ind w:left="158"/>
                    <w:rPr>
                      <w:rFonts w:ascii="宋体" w:hAnsi="宋体" w:eastAsia="宋体" w:cs="宋体"/>
                      <w:sz w:val="17"/>
                      <w:szCs w:val="17"/>
                    </w:rPr>
                  </w:pPr>
                  <w:r>
                    <w:rPr>
                      <w:rFonts w:ascii="宋体" w:hAnsi="宋体" w:eastAsia="宋体" w:cs="宋体"/>
                      <w:spacing w:val="7"/>
                      <w:sz w:val="17"/>
                      <w:szCs w:val="17"/>
                    </w:rPr>
                    <w:t>声</w:t>
                  </w:r>
                  <w:r>
                    <w:rPr>
                      <w:rFonts w:ascii="宋体" w:hAnsi="宋体" w:eastAsia="宋体" w:cs="宋体"/>
                      <w:spacing w:val="6"/>
                      <w:sz w:val="17"/>
                      <w:szCs w:val="17"/>
                    </w:rPr>
                    <w:t>环境</w:t>
                  </w:r>
                </w:p>
              </w:tc>
              <w:tc>
                <w:tcPr>
                  <w:tcW w:w="811" w:type="dxa"/>
                  <w:vAlign w:val="top"/>
                </w:tcPr>
                <w:p>
                  <w:pPr>
                    <w:spacing w:before="52" w:line="232" w:lineRule="auto"/>
                    <w:ind w:left="231"/>
                    <w:rPr>
                      <w:rFonts w:ascii="宋体" w:hAnsi="宋体" w:eastAsia="宋体" w:cs="宋体"/>
                      <w:sz w:val="17"/>
                      <w:szCs w:val="17"/>
                    </w:rPr>
                  </w:pPr>
                  <w:r>
                    <w:rPr>
                      <w:rFonts w:ascii="宋体" w:hAnsi="宋体" w:eastAsia="宋体" w:cs="宋体"/>
                      <w:spacing w:val="6"/>
                      <w:sz w:val="17"/>
                      <w:szCs w:val="17"/>
                    </w:rPr>
                    <w:t>直</w:t>
                  </w:r>
                  <w:r>
                    <w:rPr>
                      <w:rFonts w:ascii="宋体" w:hAnsi="宋体" w:eastAsia="宋体" w:cs="宋体"/>
                      <w:spacing w:val="5"/>
                      <w:sz w:val="17"/>
                      <w:szCs w:val="17"/>
                    </w:rPr>
                    <w:t>接</w:t>
                  </w:r>
                </w:p>
              </w:tc>
              <w:tc>
                <w:tcPr>
                  <w:tcW w:w="812" w:type="dxa"/>
                  <w:vAlign w:val="top"/>
                </w:tcPr>
                <w:p>
                  <w:pPr>
                    <w:spacing w:before="52" w:line="231" w:lineRule="auto"/>
                    <w:ind w:left="238"/>
                    <w:rPr>
                      <w:rFonts w:ascii="宋体" w:hAnsi="宋体" w:eastAsia="宋体" w:cs="宋体"/>
                      <w:sz w:val="17"/>
                      <w:szCs w:val="17"/>
                    </w:rPr>
                  </w:pPr>
                  <w:r>
                    <w:rPr>
                      <w:rFonts w:ascii="宋体" w:hAnsi="宋体" w:eastAsia="宋体" w:cs="宋体"/>
                      <w:spacing w:val="4"/>
                      <w:sz w:val="17"/>
                      <w:szCs w:val="17"/>
                    </w:rPr>
                    <w:t>暂</w:t>
                  </w:r>
                  <w:r>
                    <w:rPr>
                      <w:rFonts w:ascii="宋体" w:hAnsi="宋体" w:eastAsia="宋体" w:cs="宋体"/>
                      <w:spacing w:val="3"/>
                      <w:sz w:val="17"/>
                      <w:szCs w:val="17"/>
                    </w:rPr>
                    <w:t>时</w:t>
                  </w:r>
                </w:p>
              </w:tc>
              <w:tc>
                <w:tcPr>
                  <w:tcW w:w="2334" w:type="dxa"/>
                  <w:vAlign w:val="top"/>
                </w:tcPr>
                <w:p>
                  <w:pPr>
                    <w:spacing w:before="52" w:line="231" w:lineRule="auto"/>
                    <w:ind w:left="587"/>
                    <w:rPr>
                      <w:rFonts w:ascii="Times New Roman" w:hAnsi="Times New Roman" w:eastAsia="Times New Roman" w:cs="Times New Roman"/>
                      <w:sz w:val="17"/>
                      <w:szCs w:val="17"/>
                    </w:rPr>
                  </w:pPr>
                  <w:r>
                    <w:rPr>
                      <w:rFonts w:ascii="宋体" w:hAnsi="宋体" w:eastAsia="宋体" w:cs="宋体"/>
                      <w:spacing w:val="2"/>
                      <w:sz w:val="17"/>
                      <w:szCs w:val="17"/>
                    </w:rPr>
                    <w:t xml:space="preserve">项目周围 </w:t>
                  </w:r>
                  <w:r>
                    <w:rPr>
                      <w:rFonts w:ascii="Times New Roman" w:hAnsi="Times New Roman" w:eastAsia="Times New Roman" w:cs="Times New Roman"/>
                      <w:spacing w:val="2"/>
                      <w:sz w:val="17"/>
                      <w:szCs w:val="17"/>
                    </w:rPr>
                    <w:t>20</w:t>
                  </w:r>
                  <w:r>
                    <w:rPr>
                      <w:rFonts w:ascii="Times New Roman" w:hAnsi="Times New Roman" w:eastAsia="Times New Roman" w:cs="Times New Roman"/>
                      <w:sz w:val="17"/>
                      <w:szCs w:val="17"/>
                    </w:rPr>
                    <w:t>0m</w:t>
                  </w:r>
                </w:p>
              </w:tc>
              <w:tc>
                <w:tcPr>
                  <w:tcW w:w="824" w:type="dxa"/>
                  <w:vAlign w:val="top"/>
                </w:tcPr>
                <w:p>
                  <w:pPr>
                    <w:spacing w:before="114" w:line="116" w:lineRule="exact"/>
                    <w:ind w:left="371"/>
                    <w:rPr>
                      <w:rFonts w:ascii="Times New Roman" w:hAnsi="Times New Roman" w:eastAsia="Times New Roman" w:cs="Times New Roman"/>
                      <w:sz w:val="9"/>
                      <w:szCs w:val="9"/>
                    </w:rPr>
                  </w:pPr>
                  <w:r>
                    <w:rPr>
                      <w:rFonts w:ascii="Times New Roman" w:hAnsi="Times New Roman" w:eastAsia="Times New Roman" w:cs="Times New Roman"/>
                      <w:spacing w:val="38"/>
                      <w:position w:val="1"/>
                      <w:sz w:val="9"/>
                      <w:szCs w:val="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78" w:type="dxa"/>
                  <w:vMerge w:val="continue"/>
                  <w:tcBorders>
                    <w:top w:val="nil"/>
                    <w:bottom w:val="nil"/>
                  </w:tcBorders>
                  <w:vAlign w:val="top"/>
                </w:tcPr>
                <w:p>
                  <w:pPr>
                    <w:rPr>
                      <w:rFonts w:ascii="Arial"/>
                      <w:sz w:val="21"/>
                    </w:rPr>
                  </w:pPr>
                </w:p>
              </w:tc>
              <w:tc>
                <w:tcPr>
                  <w:tcW w:w="808" w:type="dxa"/>
                  <w:vMerge w:val="restart"/>
                  <w:tcBorders>
                    <w:bottom w:val="nil"/>
                  </w:tcBorders>
                  <w:vAlign w:val="top"/>
                </w:tcPr>
                <w:p>
                  <w:pPr>
                    <w:spacing w:line="297" w:lineRule="auto"/>
                    <w:rPr>
                      <w:rFonts w:ascii="Arial"/>
                      <w:sz w:val="21"/>
                    </w:rPr>
                  </w:pPr>
                </w:p>
                <w:p>
                  <w:pPr>
                    <w:spacing w:line="297" w:lineRule="auto"/>
                    <w:rPr>
                      <w:rFonts w:ascii="Arial"/>
                      <w:sz w:val="21"/>
                    </w:rPr>
                  </w:pPr>
                </w:p>
                <w:p>
                  <w:pPr>
                    <w:spacing w:before="55" w:line="267" w:lineRule="auto"/>
                    <w:ind w:left="227" w:right="43" w:hanging="180"/>
                    <w:rPr>
                      <w:rFonts w:ascii="宋体" w:hAnsi="宋体" w:eastAsia="宋体" w:cs="宋体"/>
                      <w:sz w:val="17"/>
                      <w:szCs w:val="17"/>
                    </w:rPr>
                  </w:pPr>
                  <w:r>
                    <w:rPr>
                      <w:rFonts w:ascii="宋体" w:hAnsi="宋体" w:eastAsia="宋体" w:cs="宋体"/>
                      <w:spacing w:val="8"/>
                      <w:sz w:val="17"/>
                      <w:szCs w:val="17"/>
                    </w:rPr>
                    <w:t>连接道路</w:t>
                  </w:r>
                  <w:r>
                    <w:rPr>
                      <w:rFonts w:ascii="宋体" w:hAnsi="宋体" w:eastAsia="宋体" w:cs="宋体"/>
                      <w:sz w:val="17"/>
                      <w:szCs w:val="17"/>
                    </w:rPr>
                    <w:t xml:space="preserve"> </w:t>
                  </w:r>
                  <w:r>
                    <w:rPr>
                      <w:rFonts w:ascii="宋体" w:hAnsi="宋体" w:eastAsia="宋体" w:cs="宋体"/>
                      <w:spacing w:val="6"/>
                      <w:sz w:val="17"/>
                      <w:szCs w:val="17"/>
                    </w:rPr>
                    <w:t>路</w:t>
                  </w:r>
                  <w:r>
                    <w:rPr>
                      <w:rFonts w:ascii="宋体" w:hAnsi="宋体" w:eastAsia="宋体" w:cs="宋体"/>
                      <w:spacing w:val="5"/>
                      <w:sz w:val="17"/>
                      <w:szCs w:val="17"/>
                    </w:rPr>
                    <w:t>基</w:t>
                  </w:r>
                </w:p>
              </w:tc>
              <w:tc>
                <w:tcPr>
                  <w:tcW w:w="994" w:type="dxa"/>
                  <w:vMerge w:val="restart"/>
                  <w:tcBorders>
                    <w:bottom w:val="nil"/>
                  </w:tcBorders>
                  <w:vAlign w:val="top"/>
                </w:tcPr>
                <w:p>
                  <w:pPr>
                    <w:spacing w:line="296" w:lineRule="auto"/>
                    <w:rPr>
                      <w:rFonts w:ascii="Arial"/>
                      <w:sz w:val="21"/>
                    </w:rPr>
                  </w:pPr>
                </w:p>
                <w:p>
                  <w:pPr>
                    <w:spacing w:line="297" w:lineRule="auto"/>
                    <w:rPr>
                      <w:rFonts w:ascii="Arial"/>
                      <w:sz w:val="21"/>
                    </w:rPr>
                  </w:pPr>
                </w:p>
                <w:p>
                  <w:pPr>
                    <w:spacing w:before="55" w:line="268" w:lineRule="auto"/>
                    <w:ind w:left="321" w:right="46" w:hanging="270"/>
                    <w:rPr>
                      <w:rFonts w:ascii="宋体" w:hAnsi="宋体" w:eastAsia="宋体" w:cs="宋体"/>
                      <w:sz w:val="17"/>
                      <w:szCs w:val="17"/>
                    </w:rPr>
                  </w:pPr>
                  <w:r>
                    <w:rPr>
                      <w:rFonts w:ascii="宋体" w:hAnsi="宋体" w:eastAsia="宋体" w:cs="宋体"/>
                      <w:spacing w:val="9"/>
                      <w:sz w:val="17"/>
                      <w:szCs w:val="17"/>
                    </w:rPr>
                    <w:t>路</w:t>
                  </w:r>
                  <w:r>
                    <w:rPr>
                      <w:rFonts w:ascii="宋体" w:hAnsi="宋体" w:eastAsia="宋体" w:cs="宋体"/>
                      <w:spacing w:val="8"/>
                      <w:sz w:val="17"/>
                      <w:szCs w:val="17"/>
                    </w:rPr>
                    <w:t>基、边坡</w:t>
                  </w:r>
                  <w:r>
                    <w:rPr>
                      <w:rFonts w:ascii="宋体" w:hAnsi="宋体" w:eastAsia="宋体" w:cs="宋体"/>
                      <w:sz w:val="17"/>
                      <w:szCs w:val="17"/>
                    </w:rPr>
                    <w:t xml:space="preserve"> </w:t>
                  </w:r>
                  <w:r>
                    <w:rPr>
                      <w:rFonts w:ascii="宋体" w:hAnsi="宋体" w:eastAsia="宋体" w:cs="宋体"/>
                      <w:spacing w:val="6"/>
                      <w:sz w:val="17"/>
                      <w:szCs w:val="17"/>
                    </w:rPr>
                    <w:t>开挖</w:t>
                  </w:r>
                </w:p>
              </w:tc>
              <w:tc>
                <w:tcPr>
                  <w:tcW w:w="839" w:type="dxa"/>
                  <w:vAlign w:val="top"/>
                </w:tcPr>
                <w:p>
                  <w:pPr>
                    <w:spacing w:before="54" w:line="230" w:lineRule="auto"/>
                    <w:ind w:left="65"/>
                    <w:rPr>
                      <w:rFonts w:ascii="宋体" w:hAnsi="宋体" w:eastAsia="宋体" w:cs="宋体"/>
                      <w:sz w:val="17"/>
                      <w:szCs w:val="17"/>
                    </w:rPr>
                  </w:pPr>
                  <w:r>
                    <w:rPr>
                      <w:rFonts w:ascii="宋体" w:hAnsi="宋体" w:eastAsia="宋体" w:cs="宋体"/>
                      <w:spacing w:val="9"/>
                      <w:sz w:val="17"/>
                      <w:szCs w:val="17"/>
                    </w:rPr>
                    <w:t>水</w:t>
                  </w:r>
                  <w:r>
                    <w:rPr>
                      <w:rFonts w:ascii="宋体" w:hAnsi="宋体" w:eastAsia="宋体" w:cs="宋体"/>
                      <w:spacing w:val="7"/>
                      <w:sz w:val="17"/>
                      <w:szCs w:val="17"/>
                    </w:rPr>
                    <w:t>生生态</w:t>
                  </w:r>
                </w:p>
              </w:tc>
              <w:tc>
                <w:tcPr>
                  <w:tcW w:w="811" w:type="dxa"/>
                  <w:vAlign w:val="top"/>
                </w:tcPr>
                <w:p>
                  <w:pPr>
                    <w:spacing w:before="54" w:line="232" w:lineRule="auto"/>
                    <w:ind w:left="244"/>
                    <w:rPr>
                      <w:rFonts w:ascii="宋体" w:hAnsi="宋体" w:eastAsia="宋体" w:cs="宋体"/>
                      <w:sz w:val="17"/>
                      <w:szCs w:val="17"/>
                    </w:rPr>
                  </w:pPr>
                  <w:r>
                    <w:rPr>
                      <w:rFonts w:ascii="宋体" w:hAnsi="宋体" w:eastAsia="宋体" w:cs="宋体"/>
                      <w:spacing w:val="-1"/>
                      <w:sz w:val="17"/>
                      <w:szCs w:val="17"/>
                    </w:rPr>
                    <w:t>间接</w:t>
                  </w:r>
                </w:p>
              </w:tc>
              <w:tc>
                <w:tcPr>
                  <w:tcW w:w="812" w:type="dxa"/>
                  <w:vAlign w:val="top"/>
                </w:tcPr>
                <w:p>
                  <w:pPr>
                    <w:spacing w:before="54" w:line="231" w:lineRule="auto"/>
                    <w:ind w:left="238"/>
                    <w:rPr>
                      <w:rFonts w:ascii="宋体" w:hAnsi="宋体" w:eastAsia="宋体" w:cs="宋体"/>
                      <w:sz w:val="17"/>
                      <w:szCs w:val="17"/>
                    </w:rPr>
                  </w:pPr>
                  <w:r>
                    <w:rPr>
                      <w:rFonts w:ascii="宋体" w:hAnsi="宋体" w:eastAsia="宋体" w:cs="宋体"/>
                      <w:spacing w:val="4"/>
                      <w:sz w:val="17"/>
                      <w:szCs w:val="17"/>
                    </w:rPr>
                    <w:t>暂</w:t>
                  </w:r>
                  <w:r>
                    <w:rPr>
                      <w:rFonts w:ascii="宋体" w:hAnsi="宋体" w:eastAsia="宋体" w:cs="宋体"/>
                      <w:spacing w:val="3"/>
                      <w:sz w:val="17"/>
                      <w:szCs w:val="17"/>
                    </w:rPr>
                    <w:t>时</w:t>
                  </w:r>
                </w:p>
              </w:tc>
              <w:tc>
                <w:tcPr>
                  <w:tcW w:w="2334" w:type="dxa"/>
                  <w:vAlign w:val="top"/>
                </w:tcPr>
                <w:p>
                  <w:pPr>
                    <w:spacing w:before="19" w:line="243" w:lineRule="exact"/>
                    <w:ind w:left="315"/>
                    <w:rPr>
                      <w:rFonts w:ascii="Times New Roman" w:hAnsi="Times New Roman" w:eastAsia="Times New Roman" w:cs="Times New Roman"/>
                      <w:sz w:val="17"/>
                      <w:szCs w:val="17"/>
                    </w:rPr>
                  </w:pPr>
                  <w:r>
                    <w:rPr>
                      <w:rFonts w:ascii="宋体" w:hAnsi="宋体" w:eastAsia="宋体" w:cs="宋体"/>
                      <w:spacing w:val="-3"/>
                      <w:position w:val="1"/>
                      <w:sz w:val="17"/>
                      <w:szCs w:val="17"/>
                    </w:rPr>
                    <w:t xml:space="preserve">上游 </w:t>
                  </w:r>
                  <w:r>
                    <w:rPr>
                      <w:rFonts w:ascii="Times New Roman" w:hAnsi="Times New Roman" w:eastAsia="Times New Roman" w:cs="Times New Roman"/>
                      <w:spacing w:val="-3"/>
                      <w:position w:val="1"/>
                      <w:sz w:val="17"/>
                      <w:szCs w:val="17"/>
                    </w:rPr>
                    <w:t xml:space="preserve">5km </w:t>
                  </w:r>
                  <w:r>
                    <w:rPr>
                      <w:rFonts w:ascii="宋体" w:hAnsi="宋体" w:eastAsia="宋体" w:cs="宋体"/>
                      <w:spacing w:val="-3"/>
                      <w:position w:val="1"/>
                      <w:sz w:val="17"/>
                      <w:szCs w:val="17"/>
                    </w:rPr>
                    <w:t xml:space="preserve">，下游 </w:t>
                  </w:r>
                  <w:r>
                    <w:rPr>
                      <w:rFonts w:ascii="Times New Roman" w:hAnsi="Times New Roman" w:eastAsia="Times New Roman" w:cs="Times New Roman"/>
                      <w:spacing w:val="-3"/>
                      <w:position w:val="1"/>
                      <w:sz w:val="17"/>
                      <w:szCs w:val="17"/>
                    </w:rPr>
                    <w:t>10k</w:t>
                  </w:r>
                  <w:r>
                    <w:rPr>
                      <w:rFonts w:ascii="Times New Roman" w:hAnsi="Times New Roman" w:eastAsia="Times New Roman" w:cs="Times New Roman"/>
                      <w:spacing w:val="-2"/>
                      <w:position w:val="1"/>
                      <w:sz w:val="17"/>
                      <w:szCs w:val="17"/>
                    </w:rPr>
                    <w:t>m</w:t>
                  </w:r>
                </w:p>
              </w:tc>
              <w:tc>
                <w:tcPr>
                  <w:tcW w:w="824" w:type="dxa"/>
                  <w:vAlign w:val="top"/>
                </w:tcPr>
                <w:p>
                  <w:pPr>
                    <w:spacing w:before="116" w:line="116" w:lineRule="exact"/>
                    <w:ind w:left="371"/>
                    <w:rPr>
                      <w:rFonts w:ascii="Times New Roman" w:hAnsi="Times New Roman" w:eastAsia="Times New Roman" w:cs="Times New Roman"/>
                      <w:sz w:val="9"/>
                      <w:szCs w:val="9"/>
                    </w:rPr>
                  </w:pPr>
                  <w:r>
                    <w:rPr>
                      <w:rFonts w:ascii="Times New Roman" w:hAnsi="Times New Roman" w:eastAsia="Times New Roman" w:cs="Times New Roman"/>
                      <w:spacing w:val="38"/>
                      <w:position w:val="1"/>
                      <w:sz w:val="9"/>
                      <w:szCs w:val="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578" w:type="dxa"/>
                  <w:vMerge w:val="continue"/>
                  <w:tcBorders>
                    <w:top w:val="nil"/>
                    <w:bottom w:val="nil"/>
                  </w:tcBorders>
                  <w:vAlign w:val="top"/>
                </w:tcPr>
                <w:p>
                  <w:pPr>
                    <w:rPr>
                      <w:rFonts w:ascii="Arial"/>
                      <w:sz w:val="21"/>
                    </w:rPr>
                  </w:pPr>
                </w:p>
              </w:tc>
              <w:tc>
                <w:tcPr>
                  <w:tcW w:w="808" w:type="dxa"/>
                  <w:vMerge w:val="continue"/>
                  <w:tcBorders>
                    <w:top w:val="nil"/>
                    <w:bottom w:val="nil"/>
                  </w:tcBorders>
                  <w:vAlign w:val="top"/>
                </w:tcPr>
                <w:p>
                  <w:pPr>
                    <w:rPr>
                      <w:rFonts w:ascii="Arial"/>
                      <w:sz w:val="21"/>
                    </w:rPr>
                  </w:pPr>
                </w:p>
              </w:tc>
              <w:tc>
                <w:tcPr>
                  <w:tcW w:w="994" w:type="dxa"/>
                  <w:vMerge w:val="continue"/>
                  <w:tcBorders>
                    <w:top w:val="nil"/>
                    <w:bottom w:val="nil"/>
                  </w:tcBorders>
                  <w:vAlign w:val="top"/>
                </w:tcPr>
                <w:p>
                  <w:pPr>
                    <w:rPr>
                      <w:rFonts w:ascii="Arial"/>
                      <w:sz w:val="21"/>
                    </w:rPr>
                  </w:pPr>
                </w:p>
              </w:tc>
              <w:tc>
                <w:tcPr>
                  <w:tcW w:w="839" w:type="dxa"/>
                  <w:vAlign w:val="top"/>
                </w:tcPr>
                <w:p>
                  <w:pPr>
                    <w:spacing w:before="53" w:line="233" w:lineRule="auto"/>
                    <w:ind w:left="72"/>
                    <w:rPr>
                      <w:rFonts w:ascii="宋体" w:hAnsi="宋体" w:eastAsia="宋体" w:cs="宋体"/>
                      <w:sz w:val="17"/>
                      <w:szCs w:val="17"/>
                    </w:rPr>
                  </w:pPr>
                  <w:r>
                    <w:rPr>
                      <w:rFonts w:ascii="宋体" w:hAnsi="宋体" w:eastAsia="宋体" w:cs="宋体"/>
                      <w:spacing w:val="6"/>
                      <w:sz w:val="17"/>
                      <w:szCs w:val="17"/>
                    </w:rPr>
                    <w:t>陆生生</w:t>
                  </w:r>
                  <w:r>
                    <w:rPr>
                      <w:rFonts w:ascii="宋体" w:hAnsi="宋体" w:eastAsia="宋体" w:cs="宋体"/>
                      <w:spacing w:val="5"/>
                      <w:sz w:val="17"/>
                      <w:szCs w:val="17"/>
                    </w:rPr>
                    <w:t>态</w:t>
                  </w:r>
                </w:p>
              </w:tc>
              <w:tc>
                <w:tcPr>
                  <w:tcW w:w="811" w:type="dxa"/>
                  <w:vAlign w:val="top"/>
                </w:tcPr>
                <w:p>
                  <w:pPr>
                    <w:spacing w:before="53" w:line="232" w:lineRule="auto"/>
                    <w:ind w:left="231"/>
                    <w:rPr>
                      <w:rFonts w:ascii="宋体" w:hAnsi="宋体" w:eastAsia="宋体" w:cs="宋体"/>
                      <w:sz w:val="17"/>
                      <w:szCs w:val="17"/>
                    </w:rPr>
                  </w:pPr>
                  <w:r>
                    <w:rPr>
                      <w:rFonts w:ascii="宋体" w:hAnsi="宋体" w:eastAsia="宋体" w:cs="宋体"/>
                      <w:spacing w:val="6"/>
                      <w:sz w:val="17"/>
                      <w:szCs w:val="17"/>
                    </w:rPr>
                    <w:t>直</w:t>
                  </w:r>
                  <w:r>
                    <w:rPr>
                      <w:rFonts w:ascii="宋体" w:hAnsi="宋体" w:eastAsia="宋体" w:cs="宋体"/>
                      <w:spacing w:val="5"/>
                      <w:sz w:val="17"/>
                      <w:szCs w:val="17"/>
                    </w:rPr>
                    <w:t>接</w:t>
                  </w:r>
                </w:p>
              </w:tc>
              <w:tc>
                <w:tcPr>
                  <w:tcW w:w="812" w:type="dxa"/>
                  <w:vAlign w:val="top"/>
                </w:tcPr>
                <w:p>
                  <w:pPr>
                    <w:spacing w:before="53" w:line="231" w:lineRule="auto"/>
                    <w:ind w:left="238"/>
                    <w:rPr>
                      <w:rFonts w:ascii="宋体" w:hAnsi="宋体" w:eastAsia="宋体" w:cs="宋体"/>
                      <w:sz w:val="17"/>
                      <w:szCs w:val="17"/>
                    </w:rPr>
                  </w:pPr>
                  <w:r>
                    <w:rPr>
                      <w:rFonts w:ascii="宋体" w:hAnsi="宋体" w:eastAsia="宋体" w:cs="宋体"/>
                      <w:spacing w:val="4"/>
                      <w:sz w:val="17"/>
                      <w:szCs w:val="17"/>
                    </w:rPr>
                    <w:t>暂</w:t>
                  </w:r>
                  <w:r>
                    <w:rPr>
                      <w:rFonts w:ascii="宋体" w:hAnsi="宋体" w:eastAsia="宋体" w:cs="宋体"/>
                      <w:spacing w:val="3"/>
                      <w:sz w:val="17"/>
                      <w:szCs w:val="17"/>
                    </w:rPr>
                    <w:t>时</w:t>
                  </w:r>
                </w:p>
              </w:tc>
              <w:tc>
                <w:tcPr>
                  <w:tcW w:w="2334" w:type="dxa"/>
                  <w:vAlign w:val="top"/>
                </w:tcPr>
                <w:p>
                  <w:pPr>
                    <w:spacing w:before="53" w:line="231" w:lineRule="auto"/>
                    <w:ind w:left="587"/>
                    <w:rPr>
                      <w:rFonts w:ascii="Times New Roman" w:hAnsi="Times New Roman" w:eastAsia="Times New Roman" w:cs="Times New Roman"/>
                      <w:sz w:val="17"/>
                      <w:szCs w:val="17"/>
                    </w:rPr>
                  </w:pPr>
                  <w:r>
                    <w:rPr>
                      <w:rFonts w:ascii="宋体" w:hAnsi="宋体" w:eastAsia="宋体" w:cs="宋体"/>
                      <w:spacing w:val="2"/>
                      <w:sz w:val="17"/>
                      <w:szCs w:val="17"/>
                    </w:rPr>
                    <w:t xml:space="preserve">项目周围 </w:t>
                  </w:r>
                  <w:r>
                    <w:rPr>
                      <w:rFonts w:ascii="Times New Roman" w:hAnsi="Times New Roman" w:eastAsia="Times New Roman" w:cs="Times New Roman"/>
                      <w:spacing w:val="2"/>
                      <w:sz w:val="17"/>
                      <w:szCs w:val="17"/>
                    </w:rPr>
                    <w:t>50</w:t>
                  </w:r>
                  <w:r>
                    <w:rPr>
                      <w:rFonts w:ascii="Times New Roman" w:hAnsi="Times New Roman" w:eastAsia="Times New Roman" w:cs="Times New Roman"/>
                      <w:sz w:val="17"/>
                      <w:szCs w:val="17"/>
                    </w:rPr>
                    <w:t>0m</w:t>
                  </w:r>
                </w:p>
              </w:tc>
              <w:tc>
                <w:tcPr>
                  <w:tcW w:w="824" w:type="dxa"/>
                  <w:vAlign w:val="top"/>
                </w:tcPr>
                <w:p>
                  <w:pPr>
                    <w:spacing w:before="115" w:line="116" w:lineRule="exact"/>
                    <w:ind w:left="371"/>
                    <w:rPr>
                      <w:rFonts w:ascii="Times New Roman" w:hAnsi="Times New Roman" w:eastAsia="Times New Roman" w:cs="Times New Roman"/>
                      <w:sz w:val="9"/>
                      <w:szCs w:val="9"/>
                    </w:rPr>
                  </w:pPr>
                  <w:r>
                    <w:rPr>
                      <w:rFonts w:ascii="Times New Roman" w:hAnsi="Times New Roman" w:eastAsia="Times New Roman" w:cs="Times New Roman"/>
                      <w:spacing w:val="38"/>
                      <w:position w:val="1"/>
                      <w:sz w:val="9"/>
                      <w:szCs w:val="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578" w:type="dxa"/>
                  <w:vMerge w:val="continue"/>
                  <w:tcBorders>
                    <w:top w:val="nil"/>
                    <w:bottom w:val="nil"/>
                  </w:tcBorders>
                  <w:vAlign w:val="top"/>
                </w:tcPr>
                <w:p>
                  <w:pPr>
                    <w:rPr>
                      <w:rFonts w:ascii="Arial"/>
                      <w:sz w:val="21"/>
                    </w:rPr>
                  </w:pPr>
                </w:p>
              </w:tc>
              <w:tc>
                <w:tcPr>
                  <w:tcW w:w="808" w:type="dxa"/>
                  <w:vMerge w:val="continue"/>
                  <w:tcBorders>
                    <w:top w:val="nil"/>
                    <w:bottom w:val="nil"/>
                  </w:tcBorders>
                  <w:vAlign w:val="top"/>
                </w:tcPr>
                <w:p>
                  <w:pPr>
                    <w:rPr>
                      <w:rFonts w:ascii="Arial"/>
                      <w:sz w:val="21"/>
                    </w:rPr>
                  </w:pPr>
                </w:p>
              </w:tc>
              <w:tc>
                <w:tcPr>
                  <w:tcW w:w="994" w:type="dxa"/>
                  <w:vMerge w:val="continue"/>
                  <w:tcBorders>
                    <w:top w:val="nil"/>
                    <w:bottom w:val="nil"/>
                  </w:tcBorders>
                  <w:vAlign w:val="top"/>
                </w:tcPr>
                <w:p>
                  <w:pPr>
                    <w:rPr>
                      <w:rFonts w:ascii="Arial"/>
                      <w:sz w:val="21"/>
                    </w:rPr>
                  </w:pPr>
                </w:p>
              </w:tc>
              <w:tc>
                <w:tcPr>
                  <w:tcW w:w="839" w:type="dxa"/>
                  <w:vAlign w:val="top"/>
                </w:tcPr>
                <w:p>
                  <w:pPr>
                    <w:spacing w:before="53" w:line="230" w:lineRule="auto"/>
                    <w:ind w:left="65"/>
                    <w:rPr>
                      <w:rFonts w:ascii="宋体" w:hAnsi="宋体" w:eastAsia="宋体" w:cs="宋体"/>
                      <w:sz w:val="17"/>
                      <w:szCs w:val="17"/>
                    </w:rPr>
                  </w:pPr>
                  <w:r>
                    <w:rPr>
                      <w:rFonts w:ascii="宋体" w:hAnsi="宋体" w:eastAsia="宋体" w:cs="宋体"/>
                      <w:spacing w:val="9"/>
                      <w:sz w:val="17"/>
                      <w:szCs w:val="17"/>
                    </w:rPr>
                    <w:t>水</w:t>
                  </w:r>
                  <w:r>
                    <w:rPr>
                      <w:rFonts w:ascii="宋体" w:hAnsi="宋体" w:eastAsia="宋体" w:cs="宋体"/>
                      <w:spacing w:val="7"/>
                      <w:sz w:val="17"/>
                      <w:szCs w:val="17"/>
                    </w:rPr>
                    <w:t>土流失</w:t>
                  </w:r>
                </w:p>
              </w:tc>
              <w:tc>
                <w:tcPr>
                  <w:tcW w:w="811" w:type="dxa"/>
                  <w:vAlign w:val="top"/>
                </w:tcPr>
                <w:p>
                  <w:pPr>
                    <w:spacing w:before="53" w:line="232" w:lineRule="auto"/>
                    <w:ind w:left="231"/>
                    <w:rPr>
                      <w:rFonts w:ascii="宋体" w:hAnsi="宋体" w:eastAsia="宋体" w:cs="宋体"/>
                      <w:sz w:val="17"/>
                      <w:szCs w:val="17"/>
                    </w:rPr>
                  </w:pPr>
                  <w:r>
                    <w:rPr>
                      <w:rFonts w:ascii="宋体" w:hAnsi="宋体" w:eastAsia="宋体" w:cs="宋体"/>
                      <w:spacing w:val="6"/>
                      <w:sz w:val="17"/>
                      <w:szCs w:val="17"/>
                    </w:rPr>
                    <w:t>直</w:t>
                  </w:r>
                  <w:r>
                    <w:rPr>
                      <w:rFonts w:ascii="宋体" w:hAnsi="宋体" w:eastAsia="宋体" w:cs="宋体"/>
                      <w:spacing w:val="5"/>
                      <w:sz w:val="17"/>
                      <w:szCs w:val="17"/>
                    </w:rPr>
                    <w:t>接</w:t>
                  </w:r>
                </w:p>
              </w:tc>
              <w:tc>
                <w:tcPr>
                  <w:tcW w:w="812" w:type="dxa"/>
                  <w:vAlign w:val="top"/>
                </w:tcPr>
                <w:p>
                  <w:pPr>
                    <w:spacing w:before="53" w:line="231" w:lineRule="auto"/>
                    <w:ind w:left="238"/>
                    <w:rPr>
                      <w:rFonts w:ascii="宋体" w:hAnsi="宋体" w:eastAsia="宋体" w:cs="宋体"/>
                      <w:sz w:val="17"/>
                      <w:szCs w:val="17"/>
                    </w:rPr>
                  </w:pPr>
                  <w:r>
                    <w:rPr>
                      <w:rFonts w:ascii="宋体" w:hAnsi="宋体" w:eastAsia="宋体" w:cs="宋体"/>
                      <w:spacing w:val="4"/>
                      <w:sz w:val="17"/>
                      <w:szCs w:val="17"/>
                    </w:rPr>
                    <w:t>暂</w:t>
                  </w:r>
                  <w:r>
                    <w:rPr>
                      <w:rFonts w:ascii="宋体" w:hAnsi="宋体" w:eastAsia="宋体" w:cs="宋体"/>
                      <w:spacing w:val="3"/>
                      <w:sz w:val="17"/>
                      <w:szCs w:val="17"/>
                    </w:rPr>
                    <w:t>时</w:t>
                  </w:r>
                </w:p>
              </w:tc>
              <w:tc>
                <w:tcPr>
                  <w:tcW w:w="2334" w:type="dxa"/>
                  <w:vAlign w:val="top"/>
                </w:tcPr>
                <w:p>
                  <w:pPr>
                    <w:spacing w:before="53" w:line="231" w:lineRule="auto"/>
                    <w:ind w:left="587"/>
                    <w:rPr>
                      <w:rFonts w:ascii="Times New Roman" w:hAnsi="Times New Roman" w:eastAsia="Times New Roman" w:cs="Times New Roman"/>
                      <w:sz w:val="17"/>
                      <w:szCs w:val="17"/>
                    </w:rPr>
                  </w:pPr>
                  <w:r>
                    <w:rPr>
                      <w:rFonts w:ascii="宋体" w:hAnsi="宋体" w:eastAsia="宋体" w:cs="宋体"/>
                      <w:spacing w:val="2"/>
                      <w:sz w:val="17"/>
                      <w:szCs w:val="17"/>
                    </w:rPr>
                    <w:t xml:space="preserve">项目周围 </w:t>
                  </w:r>
                  <w:r>
                    <w:rPr>
                      <w:rFonts w:ascii="Times New Roman" w:hAnsi="Times New Roman" w:eastAsia="Times New Roman" w:cs="Times New Roman"/>
                      <w:spacing w:val="2"/>
                      <w:sz w:val="17"/>
                      <w:szCs w:val="17"/>
                    </w:rPr>
                    <w:t>20</w:t>
                  </w:r>
                  <w:r>
                    <w:rPr>
                      <w:rFonts w:ascii="Times New Roman" w:hAnsi="Times New Roman" w:eastAsia="Times New Roman" w:cs="Times New Roman"/>
                      <w:sz w:val="17"/>
                      <w:szCs w:val="17"/>
                    </w:rPr>
                    <w:t>0m</w:t>
                  </w:r>
                </w:p>
              </w:tc>
              <w:tc>
                <w:tcPr>
                  <w:tcW w:w="824" w:type="dxa"/>
                  <w:vAlign w:val="top"/>
                </w:tcPr>
                <w:p>
                  <w:pPr>
                    <w:spacing w:before="117" w:line="116" w:lineRule="exact"/>
                    <w:ind w:left="371"/>
                    <w:rPr>
                      <w:rFonts w:ascii="Times New Roman" w:hAnsi="Times New Roman" w:eastAsia="Times New Roman" w:cs="Times New Roman"/>
                      <w:sz w:val="9"/>
                      <w:szCs w:val="9"/>
                    </w:rPr>
                  </w:pPr>
                  <w:r>
                    <w:rPr>
                      <w:rFonts w:ascii="Times New Roman" w:hAnsi="Times New Roman" w:eastAsia="Times New Roman" w:cs="Times New Roman"/>
                      <w:spacing w:val="38"/>
                      <w:position w:val="1"/>
                      <w:sz w:val="9"/>
                      <w:szCs w:val="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578" w:type="dxa"/>
                  <w:vMerge w:val="continue"/>
                  <w:tcBorders>
                    <w:top w:val="nil"/>
                    <w:bottom w:val="nil"/>
                  </w:tcBorders>
                  <w:vAlign w:val="top"/>
                </w:tcPr>
                <w:p>
                  <w:pPr>
                    <w:rPr>
                      <w:rFonts w:ascii="Arial"/>
                      <w:sz w:val="21"/>
                    </w:rPr>
                  </w:pPr>
                </w:p>
              </w:tc>
              <w:tc>
                <w:tcPr>
                  <w:tcW w:w="808" w:type="dxa"/>
                  <w:vMerge w:val="continue"/>
                  <w:tcBorders>
                    <w:top w:val="nil"/>
                    <w:bottom w:val="nil"/>
                  </w:tcBorders>
                  <w:vAlign w:val="top"/>
                </w:tcPr>
                <w:p>
                  <w:pPr>
                    <w:rPr>
                      <w:rFonts w:ascii="Arial"/>
                      <w:sz w:val="21"/>
                    </w:rPr>
                  </w:pPr>
                </w:p>
              </w:tc>
              <w:tc>
                <w:tcPr>
                  <w:tcW w:w="994" w:type="dxa"/>
                  <w:vMerge w:val="continue"/>
                  <w:tcBorders>
                    <w:top w:val="nil"/>
                    <w:bottom w:val="nil"/>
                  </w:tcBorders>
                  <w:vAlign w:val="top"/>
                </w:tcPr>
                <w:p>
                  <w:pPr>
                    <w:rPr>
                      <w:rFonts w:ascii="Arial"/>
                      <w:sz w:val="21"/>
                    </w:rPr>
                  </w:pPr>
                </w:p>
              </w:tc>
              <w:tc>
                <w:tcPr>
                  <w:tcW w:w="839" w:type="dxa"/>
                  <w:vAlign w:val="top"/>
                </w:tcPr>
                <w:p>
                  <w:pPr>
                    <w:spacing w:before="53" w:line="230" w:lineRule="auto"/>
                    <w:ind w:left="156"/>
                    <w:rPr>
                      <w:rFonts w:ascii="宋体" w:hAnsi="宋体" w:eastAsia="宋体" w:cs="宋体"/>
                      <w:sz w:val="17"/>
                      <w:szCs w:val="17"/>
                    </w:rPr>
                  </w:pPr>
                  <w:r>
                    <w:rPr>
                      <w:rFonts w:ascii="宋体" w:hAnsi="宋体" w:eastAsia="宋体" w:cs="宋体"/>
                      <w:spacing w:val="7"/>
                      <w:sz w:val="17"/>
                      <w:szCs w:val="17"/>
                    </w:rPr>
                    <w:t>水环</w:t>
                  </w:r>
                  <w:r>
                    <w:rPr>
                      <w:rFonts w:ascii="宋体" w:hAnsi="宋体" w:eastAsia="宋体" w:cs="宋体"/>
                      <w:spacing w:val="6"/>
                      <w:sz w:val="17"/>
                      <w:szCs w:val="17"/>
                    </w:rPr>
                    <w:t>境</w:t>
                  </w:r>
                </w:p>
              </w:tc>
              <w:tc>
                <w:tcPr>
                  <w:tcW w:w="811" w:type="dxa"/>
                  <w:vAlign w:val="top"/>
                </w:tcPr>
                <w:p>
                  <w:pPr>
                    <w:spacing w:before="52" w:line="232" w:lineRule="auto"/>
                    <w:ind w:left="244"/>
                    <w:rPr>
                      <w:rFonts w:ascii="宋体" w:hAnsi="宋体" w:eastAsia="宋体" w:cs="宋体"/>
                      <w:sz w:val="17"/>
                      <w:szCs w:val="17"/>
                    </w:rPr>
                  </w:pPr>
                  <w:r>
                    <w:rPr>
                      <w:rFonts w:ascii="宋体" w:hAnsi="宋体" w:eastAsia="宋体" w:cs="宋体"/>
                      <w:spacing w:val="-1"/>
                      <w:sz w:val="17"/>
                      <w:szCs w:val="17"/>
                    </w:rPr>
                    <w:t>间接</w:t>
                  </w:r>
                </w:p>
              </w:tc>
              <w:tc>
                <w:tcPr>
                  <w:tcW w:w="812" w:type="dxa"/>
                  <w:vAlign w:val="top"/>
                </w:tcPr>
                <w:p>
                  <w:pPr>
                    <w:spacing w:before="52" w:line="231" w:lineRule="auto"/>
                    <w:ind w:left="238"/>
                    <w:rPr>
                      <w:rFonts w:ascii="宋体" w:hAnsi="宋体" w:eastAsia="宋体" w:cs="宋体"/>
                      <w:sz w:val="17"/>
                      <w:szCs w:val="17"/>
                    </w:rPr>
                  </w:pPr>
                  <w:r>
                    <w:rPr>
                      <w:rFonts w:ascii="宋体" w:hAnsi="宋体" w:eastAsia="宋体" w:cs="宋体"/>
                      <w:spacing w:val="4"/>
                      <w:sz w:val="17"/>
                      <w:szCs w:val="17"/>
                    </w:rPr>
                    <w:t>暂</w:t>
                  </w:r>
                  <w:r>
                    <w:rPr>
                      <w:rFonts w:ascii="宋体" w:hAnsi="宋体" w:eastAsia="宋体" w:cs="宋体"/>
                      <w:spacing w:val="3"/>
                      <w:sz w:val="17"/>
                      <w:szCs w:val="17"/>
                    </w:rPr>
                    <w:t>时</w:t>
                  </w:r>
                </w:p>
              </w:tc>
              <w:tc>
                <w:tcPr>
                  <w:tcW w:w="2334" w:type="dxa"/>
                  <w:vAlign w:val="top"/>
                </w:tcPr>
                <w:p>
                  <w:pPr>
                    <w:spacing w:before="20" w:line="242" w:lineRule="exact"/>
                    <w:ind w:left="149"/>
                    <w:rPr>
                      <w:rFonts w:ascii="Times New Roman" w:hAnsi="Times New Roman" w:eastAsia="Times New Roman" w:cs="Times New Roman"/>
                      <w:sz w:val="17"/>
                      <w:szCs w:val="17"/>
                    </w:rPr>
                  </w:pPr>
                  <w:r>
                    <w:rPr>
                      <w:rFonts w:ascii="宋体" w:hAnsi="宋体" w:eastAsia="宋体" w:cs="宋体"/>
                      <w:spacing w:val="-4"/>
                      <w:position w:val="1"/>
                      <w:sz w:val="17"/>
                      <w:szCs w:val="17"/>
                    </w:rPr>
                    <w:t>围</w:t>
                  </w:r>
                  <w:r>
                    <w:rPr>
                      <w:rFonts w:ascii="宋体" w:hAnsi="宋体" w:eastAsia="宋体" w:cs="宋体"/>
                      <w:spacing w:val="-3"/>
                      <w:position w:val="1"/>
                      <w:sz w:val="17"/>
                      <w:szCs w:val="17"/>
                    </w:rPr>
                    <w:t>堰</w:t>
                  </w:r>
                  <w:r>
                    <w:rPr>
                      <w:rFonts w:ascii="宋体" w:hAnsi="宋体" w:eastAsia="宋体" w:cs="宋体"/>
                      <w:spacing w:val="-2"/>
                      <w:position w:val="1"/>
                      <w:sz w:val="17"/>
                      <w:szCs w:val="17"/>
                    </w:rPr>
                    <w:t xml:space="preserve">上游 </w:t>
                  </w:r>
                  <w:r>
                    <w:rPr>
                      <w:rFonts w:ascii="Times New Roman" w:hAnsi="Times New Roman" w:eastAsia="Times New Roman" w:cs="Times New Roman"/>
                      <w:spacing w:val="-2"/>
                      <w:position w:val="1"/>
                      <w:sz w:val="17"/>
                      <w:szCs w:val="17"/>
                    </w:rPr>
                    <w:t xml:space="preserve">100m </w:t>
                  </w:r>
                  <w:r>
                    <w:rPr>
                      <w:rFonts w:ascii="宋体" w:hAnsi="宋体" w:eastAsia="宋体" w:cs="宋体"/>
                      <w:spacing w:val="-2"/>
                      <w:position w:val="1"/>
                      <w:sz w:val="17"/>
                      <w:szCs w:val="17"/>
                    </w:rPr>
                    <w:t xml:space="preserve">，下游 </w:t>
                  </w:r>
                  <w:r>
                    <w:rPr>
                      <w:rFonts w:ascii="Times New Roman" w:hAnsi="Times New Roman" w:eastAsia="Times New Roman" w:cs="Times New Roman"/>
                      <w:spacing w:val="-2"/>
                      <w:position w:val="1"/>
                      <w:sz w:val="17"/>
                      <w:szCs w:val="17"/>
                    </w:rPr>
                    <w:t>1km</w:t>
                  </w:r>
                </w:p>
              </w:tc>
              <w:tc>
                <w:tcPr>
                  <w:tcW w:w="824" w:type="dxa"/>
                  <w:vAlign w:val="top"/>
                </w:tcPr>
                <w:p>
                  <w:pPr>
                    <w:spacing w:before="116" w:line="117" w:lineRule="exact"/>
                    <w:ind w:left="371"/>
                    <w:rPr>
                      <w:rFonts w:ascii="Times New Roman" w:hAnsi="Times New Roman" w:eastAsia="Times New Roman" w:cs="Times New Roman"/>
                      <w:sz w:val="9"/>
                      <w:szCs w:val="9"/>
                    </w:rPr>
                  </w:pPr>
                  <w:r>
                    <w:rPr>
                      <w:rFonts w:ascii="Times New Roman" w:hAnsi="Times New Roman" w:eastAsia="Times New Roman" w:cs="Times New Roman"/>
                      <w:spacing w:val="38"/>
                      <w:position w:val="1"/>
                      <w:sz w:val="9"/>
                      <w:szCs w:val="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578" w:type="dxa"/>
                  <w:vMerge w:val="continue"/>
                  <w:tcBorders>
                    <w:top w:val="nil"/>
                    <w:bottom w:val="nil"/>
                  </w:tcBorders>
                  <w:vAlign w:val="top"/>
                </w:tcPr>
                <w:p>
                  <w:pPr>
                    <w:rPr>
                      <w:rFonts w:ascii="Arial"/>
                      <w:sz w:val="21"/>
                    </w:rPr>
                  </w:pPr>
                </w:p>
              </w:tc>
              <w:tc>
                <w:tcPr>
                  <w:tcW w:w="808" w:type="dxa"/>
                  <w:vMerge w:val="continue"/>
                  <w:tcBorders>
                    <w:top w:val="nil"/>
                    <w:bottom w:val="nil"/>
                  </w:tcBorders>
                  <w:vAlign w:val="top"/>
                </w:tcPr>
                <w:p>
                  <w:pPr>
                    <w:rPr>
                      <w:rFonts w:ascii="Arial"/>
                      <w:sz w:val="21"/>
                    </w:rPr>
                  </w:pPr>
                </w:p>
              </w:tc>
              <w:tc>
                <w:tcPr>
                  <w:tcW w:w="994" w:type="dxa"/>
                  <w:vMerge w:val="continue"/>
                  <w:tcBorders>
                    <w:top w:val="nil"/>
                    <w:bottom w:val="nil"/>
                  </w:tcBorders>
                  <w:vAlign w:val="top"/>
                </w:tcPr>
                <w:p>
                  <w:pPr>
                    <w:rPr>
                      <w:rFonts w:ascii="Arial"/>
                      <w:sz w:val="21"/>
                    </w:rPr>
                  </w:pPr>
                </w:p>
              </w:tc>
              <w:tc>
                <w:tcPr>
                  <w:tcW w:w="839" w:type="dxa"/>
                  <w:vAlign w:val="top"/>
                </w:tcPr>
                <w:p>
                  <w:pPr>
                    <w:spacing w:before="52" w:line="231" w:lineRule="auto"/>
                    <w:ind w:left="65"/>
                    <w:rPr>
                      <w:rFonts w:ascii="宋体" w:hAnsi="宋体" w:eastAsia="宋体" w:cs="宋体"/>
                      <w:sz w:val="17"/>
                      <w:szCs w:val="17"/>
                    </w:rPr>
                  </w:pPr>
                  <w:r>
                    <w:rPr>
                      <w:rFonts w:ascii="宋体" w:hAnsi="宋体" w:eastAsia="宋体" w:cs="宋体"/>
                      <w:spacing w:val="9"/>
                      <w:sz w:val="17"/>
                      <w:szCs w:val="17"/>
                    </w:rPr>
                    <w:t>大</w:t>
                  </w:r>
                  <w:r>
                    <w:rPr>
                      <w:rFonts w:ascii="宋体" w:hAnsi="宋体" w:eastAsia="宋体" w:cs="宋体"/>
                      <w:spacing w:val="7"/>
                      <w:sz w:val="17"/>
                      <w:szCs w:val="17"/>
                    </w:rPr>
                    <w:t>气环境</w:t>
                  </w:r>
                </w:p>
              </w:tc>
              <w:tc>
                <w:tcPr>
                  <w:tcW w:w="811" w:type="dxa"/>
                  <w:vAlign w:val="top"/>
                </w:tcPr>
                <w:p>
                  <w:pPr>
                    <w:spacing w:before="52" w:line="232" w:lineRule="auto"/>
                    <w:ind w:left="231"/>
                    <w:rPr>
                      <w:rFonts w:ascii="宋体" w:hAnsi="宋体" w:eastAsia="宋体" w:cs="宋体"/>
                      <w:sz w:val="17"/>
                      <w:szCs w:val="17"/>
                    </w:rPr>
                  </w:pPr>
                  <w:r>
                    <w:rPr>
                      <w:rFonts w:ascii="宋体" w:hAnsi="宋体" w:eastAsia="宋体" w:cs="宋体"/>
                      <w:spacing w:val="6"/>
                      <w:sz w:val="17"/>
                      <w:szCs w:val="17"/>
                    </w:rPr>
                    <w:t>直</w:t>
                  </w:r>
                  <w:r>
                    <w:rPr>
                      <w:rFonts w:ascii="宋体" w:hAnsi="宋体" w:eastAsia="宋体" w:cs="宋体"/>
                      <w:spacing w:val="5"/>
                      <w:sz w:val="17"/>
                      <w:szCs w:val="17"/>
                    </w:rPr>
                    <w:t>接</w:t>
                  </w:r>
                </w:p>
              </w:tc>
              <w:tc>
                <w:tcPr>
                  <w:tcW w:w="812" w:type="dxa"/>
                  <w:vAlign w:val="top"/>
                </w:tcPr>
                <w:p>
                  <w:pPr>
                    <w:spacing w:before="52" w:line="231" w:lineRule="auto"/>
                    <w:ind w:left="238"/>
                    <w:rPr>
                      <w:rFonts w:ascii="宋体" w:hAnsi="宋体" w:eastAsia="宋体" w:cs="宋体"/>
                      <w:sz w:val="17"/>
                      <w:szCs w:val="17"/>
                    </w:rPr>
                  </w:pPr>
                  <w:r>
                    <w:rPr>
                      <w:rFonts w:ascii="宋体" w:hAnsi="宋体" w:eastAsia="宋体" w:cs="宋体"/>
                      <w:spacing w:val="4"/>
                      <w:sz w:val="17"/>
                      <w:szCs w:val="17"/>
                    </w:rPr>
                    <w:t>暂</w:t>
                  </w:r>
                  <w:r>
                    <w:rPr>
                      <w:rFonts w:ascii="宋体" w:hAnsi="宋体" w:eastAsia="宋体" w:cs="宋体"/>
                      <w:spacing w:val="3"/>
                      <w:sz w:val="17"/>
                      <w:szCs w:val="17"/>
                    </w:rPr>
                    <w:t>时</w:t>
                  </w:r>
                </w:p>
              </w:tc>
              <w:tc>
                <w:tcPr>
                  <w:tcW w:w="2334" w:type="dxa"/>
                  <w:vAlign w:val="top"/>
                </w:tcPr>
                <w:p>
                  <w:pPr>
                    <w:spacing w:before="52" w:line="231" w:lineRule="auto"/>
                    <w:ind w:left="587"/>
                    <w:rPr>
                      <w:rFonts w:ascii="Times New Roman" w:hAnsi="Times New Roman" w:eastAsia="Times New Roman" w:cs="Times New Roman"/>
                      <w:sz w:val="17"/>
                      <w:szCs w:val="17"/>
                    </w:rPr>
                  </w:pPr>
                  <w:r>
                    <w:rPr>
                      <w:rFonts w:ascii="宋体" w:hAnsi="宋体" w:eastAsia="宋体" w:cs="宋体"/>
                      <w:spacing w:val="2"/>
                      <w:sz w:val="17"/>
                      <w:szCs w:val="17"/>
                    </w:rPr>
                    <w:t xml:space="preserve">项目周围 </w:t>
                  </w:r>
                  <w:r>
                    <w:rPr>
                      <w:rFonts w:ascii="Times New Roman" w:hAnsi="Times New Roman" w:eastAsia="Times New Roman" w:cs="Times New Roman"/>
                      <w:spacing w:val="2"/>
                      <w:sz w:val="17"/>
                      <w:szCs w:val="17"/>
                    </w:rPr>
                    <w:t>50</w:t>
                  </w:r>
                  <w:r>
                    <w:rPr>
                      <w:rFonts w:ascii="Times New Roman" w:hAnsi="Times New Roman" w:eastAsia="Times New Roman" w:cs="Times New Roman"/>
                      <w:sz w:val="17"/>
                      <w:szCs w:val="17"/>
                    </w:rPr>
                    <w:t>0m</w:t>
                  </w:r>
                </w:p>
              </w:tc>
              <w:tc>
                <w:tcPr>
                  <w:tcW w:w="824" w:type="dxa"/>
                  <w:vAlign w:val="top"/>
                </w:tcPr>
                <w:p>
                  <w:pPr>
                    <w:spacing w:before="52" w:line="228" w:lineRule="exact"/>
                    <w:ind w:left="342"/>
                    <w:rPr>
                      <w:rFonts w:ascii="宋体" w:hAnsi="宋体" w:eastAsia="宋体" w:cs="宋体"/>
                      <w:sz w:val="17"/>
                      <w:szCs w:val="17"/>
                    </w:rPr>
                  </w:pPr>
                  <w:r>
                    <w:rPr>
                      <w:rFonts w:ascii="宋体" w:hAnsi="宋体" w:eastAsia="宋体" w:cs="宋体"/>
                      <w:position w:val="1"/>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578" w:type="dxa"/>
                  <w:vMerge w:val="continue"/>
                  <w:tcBorders>
                    <w:top w:val="nil"/>
                    <w:bottom w:val="nil"/>
                  </w:tcBorders>
                  <w:vAlign w:val="top"/>
                </w:tcPr>
                <w:p>
                  <w:pPr>
                    <w:rPr>
                      <w:rFonts w:ascii="Arial"/>
                      <w:sz w:val="21"/>
                    </w:rPr>
                  </w:pPr>
                </w:p>
              </w:tc>
              <w:tc>
                <w:tcPr>
                  <w:tcW w:w="808" w:type="dxa"/>
                  <w:vMerge w:val="continue"/>
                  <w:tcBorders>
                    <w:top w:val="nil"/>
                  </w:tcBorders>
                  <w:vAlign w:val="top"/>
                </w:tcPr>
                <w:p>
                  <w:pPr>
                    <w:rPr>
                      <w:rFonts w:ascii="Arial"/>
                      <w:sz w:val="21"/>
                    </w:rPr>
                  </w:pPr>
                </w:p>
              </w:tc>
              <w:tc>
                <w:tcPr>
                  <w:tcW w:w="994" w:type="dxa"/>
                  <w:vMerge w:val="continue"/>
                  <w:tcBorders>
                    <w:top w:val="nil"/>
                  </w:tcBorders>
                  <w:vAlign w:val="top"/>
                </w:tcPr>
                <w:p>
                  <w:pPr>
                    <w:rPr>
                      <w:rFonts w:ascii="Arial"/>
                      <w:sz w:val="21"/>
                    </w:rPr>
                  </w:pPr>
                </w:p>
              </w:tc>
              <w:tc>
                <w:tcPr>
                  <w:tcW w:w="839" w:type="dxa"/>
                  <w:vAlign w:val="top"/>
                </w:tcPr>
                <w:p>
                  <w:pPr>
                    <w:spacing w:before="52" w:line="231" w:lineRule="auto"/>
                    <w:ind w:left="158"/>
                    <w:rPr>
                      <w:rFonts w:ascii="宋体" w:hAnsi="宋体" w:eastAsia="宋体" w:cs="宋体"/>
                      <w:sz w:val="17"/>
                      <w:szCs w:val="17"/>
                    </w:rPr>
                  </w:pPr>
                  <w:r>
                    <w:rPr>
                      <w:rFonts w:ascii="宋体" w:hAnsi="宋体" w:eastAsia="宋体" w:cs="宋体"/>
                      <w:spacing w:val="7"/>
                      <w:sz w:val="17"/>
                      <w:szCs w:val="17"/>
                    </w:rPr>
                    <w:t>声</w:t>
                  </w:r>
                  <w:r>
                    <w:rPr>
                      <w:rFonts w:ascii="宋体" w:hAnsi="宋体" w:eastAsia="宋体" w:cs="宋体"/>
                      <w:spacing w:val="6"/>
                      <w:sz w:val="17"/>
                      <w:szCs w:val="17"/>
                    </w:rPr>
                    <w:t>环境</w:t>
                  </w:r>
                </w:p>
              </w:tc>
              <w:tc>
                <w:tcPr>
                  <w:tcW w:w="811" w:type="dxa"/>
                  <w:vAlign w:val="top"/>
                </w:tcPr>
                <w:p>
                  <w:pPr>
                    <w:spacing w:before="51" w:line="232" w:lineRule="auto"/>
                    <w:ind w:left="231"/>
                    <w:rPr>
                      <w:rFonts w:ascii="宋体" w:hAnsi="宋体" w:eastAsia="宋体" w:cs="宋体"/>
                      <w:sz w:val="17"/>
                      <w:szCs w:val="17"/>
                    </w:rPr>
                  </w:pPr>
                  <w:r>
                    <w:rPr>
                      <w:rFonts w:ascii="宋体" w:hAnsi="宋体" w:eastAsia="宋体" w:cs="宋体"/>
                      <w:spacing w:val="6"/>
                      <w:sz w:val="17"/>
                      <w:szCs w:val="17"/>
                    </w:rPr>
                    <w:t>直</w:t>
                  </w:r>
                  <w:r>
                    <w:rPr>
                      <w:rFonts w:ascii="宋体" w:hAnsi="宋体" w:eastAsia="宋体" w:cs="宋体"/>
                      <w:spacing w:val="5"/>
                      <w:sz w:val="17"/>
                      <w:szCs w:val="17"/>
                    </w:rPr>
                    <w:t>接</w:t>
                  </w:r>
                </w:p>
              </w:tc>
              <w:tc>
                <w:tcPr>
                  <w:tcW w:w="812" w:type="dxa"/>
                  <w:vAlign w:val="top"/>
                </w:tcPr>
                <w:p>
                  <w:pPr>
                    <w:spacing w:before="52" w:line="231" w:lineRule="auto"/>
                    <w:ind w:left="238"/>
                    <w:rPr>
                      <w:rFonts w:ascii="宋体" w:hAnsi="宋体" w:eastAsia="宋体" w:cs="宋体"/>
                      <w:sz w:val="17"/>
                      <w:szCs w:val="17"/>
                    </w:rPr>
                  </w:pPr>
                  <w:r>
                    <w:rPr>
                      <w:rFonts w:ascii="宋体" w:hAnsi="宋体" w:eastAsia="宋体" w:cs="宋体"/>
                      <w:spacing w:val="4"/>
                      <w:sz w:val="17"/>
                      <w:szCs w:val="17"/>
                    </w:rPr>
                    <w:t>暂</w:t>
                  </w:r>
                  <w:r>
                    <w:rPr>
                      <w:rFonts w:ascii="宋体" w:hAnsi="宋体" w:eastAsia="宋体" w:cs="宋体"/>
                      <w:spacing w:val="3"/>
                      <w:sz w:val="17"/>
                      <w:szCs w:val="17"/>
                    </w:rPr>
                    <w:t>时</w:t>
                  </w:r>
                </w:p>
              </w:tc>
              <w:tc>
                <w:tcPr>
                  <w:tcW w:w="2334" w:type="dxa"/>
                  <w:vAlign w:val="top"/>
                </w:tcPr>
                <w:p>
                  <w:pPr>
                    <w:spacing w:before="52" w:line="231" w:lineRule="auto"/>
                    <w:ind w:left="587"/>
                    <w:rPr>
                      <w:rFonts w:ascii="Times New Roman" w:hAnsi="Times New Roman" w:eastAsia="Times New Roman" w:cs="Times New Roman"/>
                      <w:sz w:val="17"/>
                      <w:szCs w:val="17"/>
                    </w:rPr>
                  </w:pPr>
                  <w:r>
                    <w:rPr>
                      <w:rFonts w:ascii="宋体" w:hAnsi="宋体" w:eastAsia="宋体" w:cs="宋体"/>
                      <w:spacing w:val="2"/>
                      <w:sz w:val="17"/>
                      <w:szCs w:val="17"/>
                    </w:rPr>
                    <w:t xml:space="preserve">项目周围 </w:t>
                  </w:r>
                  <w:r>
                    <w:rPr>
                      <w:rFonts w:ascii="Times New Roman" w:hAnsi="Times New Roman" w:eastAsia="Times New Roman" w:cs="Times New Roman"/>
                      <w:spacing w:val="2"/>
                      <w:sz w:val="17"/>
                      <w:szCs w:val="17"/>
                    </w:rPr>
                    <w:t>20</w:t>
                  </w:r>
                  <w:r>
                    <w:rPr>
                      <w:rFonts w:ascii="Times New Roman" w:hAnsi="Times New Roman" w:eastAsia="Times New Roman" w:cs="Times New Roman"/>
                      <w:sz w:val="17"/>
                      <w:szCs w:val="17"/>
                    </w:rPr>
                    <w:t>0m</w:t>
                  </w:r>
                </w:p>
              </w:tc>
              <w:tc>
                <w:tcPr>
                  <w:tcW w:w="824" w:type="dxa"/>
                  <w:vAlign w:val="top"/>
                </w:tcPr>
                <w:p>
                  <w:pPr>
                    <w:spacing w:before="52" w:line="228" w:lineRule="exact"/>
                    <w:ind w:left="342"/>
                    <w:rPr>
                      <w:rFonts w:ascii="宋体" w:hAnsi="宋体" w:eastAsia="宋体" w:cs="宋体"/>
                      <w:sz w:val="17"/>
                      <w:szCs w:val="17"/>
                    </w:rPr>
                  </w:pPr>
                  <w:r>
                    <w:rPr>
                      <w:rFonts w:ascii="宋体" w:hAnsi="宋体" w:eastAsia="宋体" w:cs="宋体"/>
                      <w:position w:val="1"/>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578" w:type="dxa"/>
                  <w:vMerge w:val="continue"/>
                  <w:tcBorders>
                    <w:top w:val="nil"/>
                    <w:bottom w:val="nil"/>
                  </w:tcBorders>
                  <w:vAlign w:val="top"/>
                </w:tcPr>
                <w:p>
                  <w:pPr>
                    <w:rPr>
                      <w:rFonts w:ascii="Arial"/>
                      <w:sz w:val="21"/>
                    </w:rPr>
                  </w:pPr>
                </w:p>
              </w:tc>
              <w:tc>
                <w:tcPr>
                  <w:tcW w:w="808"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before="56" w:line="230" w:lineRule="auto"/>
                    <w:ind w:left="47"/>
                    <w:rPr>
                      <w:rFonts w:ascii="宋体" w:hAnsi="宋体" w:eastAsia="宋体" w:cs="宋体"/>
                      <w:sz w:val="17"/>
                      <w:szCs w:val="17"/>
                    </w:rPr>
                  </w:pPr>
                  <w:r>
                    <w:rPr>
                      <w:rFonts w:ascii="宋体" w:hAnsi="宋体" w:eastAsia="宋体" w:cs="宋体"/>
                      <w:spacing w:val="8"/>
                      <w:sz w:val="17"/>
                      <w:szCs w:val="17"/>
                    </w:rPr>
                    <w:t>路面施</w:t>
                  </w:r>
                  <w:r>
                    <w:rPr>
                      <w:rFonts w:ascii="宋体" w:hAnsi="宋体" w:eastAsia="宋体" w:cs="宋体"/>
                      <w:spacing w:val="7"/>
                      <w:sz w:val="17"/>
                      <w:szCs w:val="17"/>
                    </w:rPr>
                    <w:t>工</w:t>
                  </w:r>
                </w:p>
              </w:tc>
              <w:tc>
                <w:tcPr>
                  <w:tcW w:w="994"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before="56" w:line="230" w:lineRule="auto"/>
                    <w:ind w:left="142"/>
                    <w:rPr>
                      <w:rFonts w:ascii="宋体" w:hAnsi="宋体" w:eastAsia="宋体" w:cs="宋体"/>
                      <w:sz w:val="17"/>
                      <w:szCs w:val="17"/>
                    </w:rPr>
                  </w:pPr>
                  <w:r>
                    <w:rPr>
                      <w:rFonts w:ascii="宋体" w:hAnsi="宋体" w:eastAsia="宋体" w:cs="宋体"/>
                      <w:spacing w:val="8"/>
                      <w:sz w:val="17"/>
                      <w:szCs w:val="17"/>
                    </w:rPr>
                    <w:t>路面铺</w:t>
                  </w:r>
                  <w:r>
                    <w:rPr>
                      <w:rFonts w:ascii="宋体" w:hAnsi="宋体" w:eastAsia="宋体" w:cs="宋体"/>
                      <w:spacing w:val="7"/>
                      <w:sz w:val="17"/>
                      <w:szCs w:val="17"/>
                    </w:rPr>
                    <w:t>装</w:t>
                  </w:r>
                </w:p>
              </w:tc>
              <w:tc>
                <w:tcPr>
                  <w:tcW w:w="839" w:type="dxa"/>
                  <w:vAlign w:val="top"/>
                </w:tcPr>
                <w:p>
                  <w:pPr>
                    <w:spacing w:before="54" w:line="230" w:lineRule="auto"/>
                    <w:ind w:left="65"/>
                    <w:rPr>
                      <w:rFonts w:ascii="宋体" w:hAnsi="宋体" w:eastAsia="宋体" w:cs="宋体"/>
                      <w:sz w:val="17"/>
                      <w:szCs w:val="17"/>
                    </w:rPr>
                  </w:pPr>
                  <w:r>
                    <w:rPr>
                      <w:rFonts w:ascii="宋体" w:hAnsi="宋体" w:eastAsia="宋体" w:cs="宋体"/>
                      <w:spacing w:val="9"/>
                      <w:sz w:val="17"/>
                      <w:szCs w:val="17"/>
                    </w:rPr>
                    <w:t>水</w:t>
                  </w:r>
                  <w:r>
                    <w:rPr>
                      <w:rFonts w:ascii="宋体" w:hAnsi="宋体" w:eastAsia="宋体" w:cs="宋体"/>
                      <w:spacing w:val="7"/>
                      <w:sz w:val="17"/>
                      <w:szCs w:val="17"/>
                    </w:rPr>
                    <w:t>生生态</w:t>
                  </w:r>
                </w:p>
              </w:tc>
              <w:tc>
                <w:tcPr>
                  <w:tcW w:w="811" w:type="dxa"/>
                  <w:vAlign w:val="top"/>
                </w:tcPr>
                <w:p>
                  <w:pPr>
                    <w:spacing w:before="19" w:line="242" w:lineRule="exact"/>
                    <w:ind w:left="37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12" w:type="dxa"/>
                  <w:vAlign w:val="top"/>
                </w:tcPr>
                <w:p>
                  <w:pPr>
                    <w:spacing w:before="19" w:line="242" w:lineRule="exact"/>
                    <w:ind w:left="37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2334" w:type="dxa"/>
                  <w:vAlign w:val="top"/>
                </w:tcPr>
                <w:p>
                  <w:pPr>
                    <w:spacing w:before="19" w:line="242" w:lineRule="exact"/>
                    <w:ind w:left="1141"/>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24" w:type="dxa"/>
                  <w:vAlign w:val="top"/>
                </w:tcPr>
                <w:p>
                  <w:pPr>
                    <w:spacing w:before="19" w:line="242" w:lineRule="exact"/>
                    <w:ind w:left="38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578" w:type="dxa"/>
                  <w:vMerge w:val="continue"/>
                  <w:tcBorders>
                    <w:top w:val="nil"/>
                    <w:bottom w:val="nil"/>
                  </w:tcBorders>
                  <w:vAlign w:val="top"/>
                </w:tcPr>
                <w:p>
                  <w:pPr>
                    <w:rPr>
                      <w:rFonts w:ascii="Arial"/>
                      <w:sz w:val="21"/>
                    </w:rPr>
                  </w:pPr>
                </w:p>
              </w:tc>
              <w:tc>
                <w:tcPr>
                  <w:tcW w:w="808" w:type="dxa"/>
                  <w:vMerge w:val="continue"/>
                  <w:tcBorders>
                    <w:top w:val="nil"/>
                    <w:bottom w:val="nil"/>
                  </w:tcBorders>
                  <w:vAlign w:val="top"/>
                </w:tcPr>
                <w:p>
                  <w:pPr>
                    <w:rPr>
                      <w:rFonts w:ascii="Arial"/>
                      <w:sz w:val="21"/>
                    </w:rPr>
                  </w:pPr>
                </w:p>
              </w:tc>
              <w:tc>
                <w:tcPr>
                  <w:tcW w:w="994" w:type="dxa"/>
                  <w:vMerge w:val="continue"/>
                  <w:tcBorders>
                    <w:top w:val="nil"/>
                    <w:bottom w:val="nil"/>
                  </w:tcBorders>
                  <w:vAlign w:val="top"/>
                </w:tcPr>
                <w:p>
                  <w:pPr>
                    <w:rPr>
                      <w:rFonts w:ascii="Arial"/>
                      <w:sz w:val="21"/>
                    </w:rPr>
                  </w:pPr>
                </w:p>
              </w:tc>
              <w:tc>
                <w:tcPr>
                  <w:tcW w:w="839" w:type="dxa"/>
                  <w:vAlign w:val="top"/>
                </w:tcPr>
                <w:p>
                  <w:pPr>
                    <w:spacing w:before="53" w:line="233" w:lineRule="auto"/>
                    <w:ind w:left="72"/>
                    <w:rPr>
                      <w:rFonts w:ascii="宋体" w:hAnsi="宋体" w:eastAsia="宋体" w:cs="宋体"/>
                      <w:sz w:val="17"/>
                      <w:szCs w:val="17"/>
                    </w:rPr>
                  </w:pPr>
                  <w:r>
                    <w:rPr>
                      <w:rFonts w:ascii="宋体" w:hAnsi="宋体" w:eastAsia="宋体" w:cs="宋体"/>
                      <w:spacing w:val="6"/>
                      <w:sz w:val="17"/>
                      <w:szCs w:val="17"/>
                    </w:rPr>
                    <w:t>陆生生</w:t>
                  </w:r>
                  <w:r>
                    <w:rPr>
                      <w:rFonts w:ascii="宋体" w:hAnsi="宋体" w:eastAsia="宋体" w:cs="宋体"/>
                      <w:spacing w:val="5"/>
                      <w:sz w:val="17"/>
                      <w:szCs w:val="17"/>
                    </w:rPr>
                    <w:t>态</w:t>
                  </w:r>
                </w:p>
              </w:tc>
              <w:tc>
                <w:tcPr>
                  <w:tcW w:w="811" w:type="dxa"/>
                  <w:vAlign w:val="top"/>
                </w:tcPr>
                <w:p>
                  <w:pPr>
                    <w:spacing w:before="18" w:line="243" w:lineRule="exact"/>
                    <w:ind w:left="37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12" w:type="dxa"/>
                  <w:vAlign w:val="top"/>
                </w:tcPr>
                <w:p>
                  <w:pPr>
                    <w:spacing w:before="18" w:line="243" w:lineRule="exact"/>
                    <w:ind w:left="37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2334" w:type="dxa"/>
                  <w:vAlign w:val="top"/>
                </w:tcPr>
                <w:p>
                  <w:pPr>
                    <w:spacing w:before="18" w:line="243" w:lineRule="exact"/>
                    <w:ind w:left="1141"/>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24" w:type="dxa"/>
                  <w:vAlign w:val="top"/>
                </w:tcPr>
                <w:p>
                  <w:pPr>
                    <w:spacing w:before="18" w:line="243" w:lineRule="exact"/>
                    <w:ind w:left="38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578" w:type="dxa"/>
                  <w:vMerge w:val="continue"/>
                  <w:tcBorders>
                    <w:top w:val="nil"/>
                    <w:bottom w:val="nil"/>
                  </w:tcBorders>
                  <w:vAlign w:val="top"/>
                </w:tcPr>
                <w:p>
                  <w:pPr>
                    <w:rPr>
                      <w:rFonts w:ascii="Arial"/>
                      <w:sz w:val="21"/>
                    </w:rPr>
                  </w:pPr>
                </w:p>
              </w:tc>
              <w:tc>
                <w:tcPr>
                  <w:tcW w:w="808" w:type="dxa"/>
                  <w:vMerge w:val="continue"/>
                  <w:tcBorders>
                    <w:top w:val="nil"/>
                    <w:bottom w:val="nil"/>
                  </w:tcBorders>
                  <w:vAlign w:val="top"/>
                </w:tcPr>
                <w:p>
                  <w:pPr>
                    <w:rPr>
                      <w:rFonts w:ascii="Arial"/>
                      <w:sz w:val="21"/>
                    </w:rPr>
                  </w:pPr>
                </w:p>
              </w:tc>
              <w:tc>
                <w:tcPr>
                  <w:tcW w:w="994" w:type="dxa"/>
                  <w:vMerge w:val="continue"/>
                  <w:tcBorders>
                    <w:top w:val="nil"/>
                    <w:bottom w:val="nil"/>
                  </w:tcBorders>
                  <w:vAlign w:val="top"/>
                </w:tcPr>
                <w:p>
                  <w:pPr>
                    <w:rPr>
                      <w:rFonts w:ascii="Arial"/>
                      <w:sz w:val="21"/>
                    </w:rPr>
                  </w:pPr>
                </w:p>
              </w:tc>
              <w:tc>
                <w:tcPr>
                  <w:tcW w:w="839" w:type="dxa"/>
                  <w:vAlign w:val="top"/>
                </w:tcPr>
                <w:p>
                  <w:pPr>
                    <w:spacing w:before="53" w:line="230" w:lineRule="auto"/>
                    <w:ind w:left="156"/>
                    <w:rPr>
                      <w:rFonts w:ascii="宋体" w:hAnsi="宋体" w:eastAsia="宋体" w:cs="宋体"/>
                      <w:sz w:val="17"/>
                      <w:szCs w:val="17"/>
                    </w:rPr>
                  </w:pPr>
                  <w:r>
                    <w:rPr>
                      <w:rFonts w:ascii="宋体" w:hAnsi="宋体" w:eastAsia="宋体" w:cs="宋体"/>
                      <w:spacing w:val="7"/>
                      <w:sz w:val="17"/>
                      <w:szCs w:val="17"/>
                    </w:rPr>
                    <w:t>水环</w:t>
                  </w:r>
                  <w:r>
                    <w:rPr>
                      <w:rFonts w:ascii="宋体" w:hAnsi="宋体" w:eastAsia="宋体" w:cs="宋体"/>
                      <w:spacing w:val="6"/>
                      <w:sz w:val="17"/>
                      <w:szCs w:val="17"/>
                    </w:rPr>
                    <w:t>境</w:t>
                  </w:r>
                </w:p>
              </w:tc>
              <w:tc>
                <w:tcPr>
                  <w:tcW w:w="811" w:type="dxa"/>
                  <w:vAlign w:val="top"/>
                </w:tcPr>
                <w:p>
                  <w:pPr>
                    <w:spacing w:before="20" w:line="243" w:lineRule="exact"/>
                    <w:ind w:left="37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12" w:type="dxa"/>
                  <w:vAlign w:val="top"/>
                </w:tcPr>
                <w:p>
                  <w:pPr>
                    <w:spacing w:before="20" w:line="243" w:lineRule="exact"/>
                    <w:ind w:left="37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2334" w:type="dxa"/>
                  <w:vAlign w:val="top"/>
                </w:tcPr>
                <w:p>
                  <w:pPr>
                    <w:spacing w:before="20" w:line="243" w:lineRule="exact"/>
                    <w:ind w:left="1141"/>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24" w:type="dxa"/>
                  <w:vAlign w:val="top"/>
                </w:tcPr>
                <w:p>
                  <w:pPr>
                    <w:spacing w:before="20" w:line="243" w:lineRule="exact"/>
                    <w:ind w:left="38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578" w:type="dxa"/>
                  <w:vMerge w:val="continue"/>
                  <w:tcBorders>
                    <w:top w:val="nil"/>
                    <w:bottom w:val="nil"/>
                  </w:tcBorders>
                  <w:vAlign w:val="top"/>
                </w:tcPr>
                <w:p>
                  <w:pPr>
                    <w:rPr>
                      <w:rFonts w:ascii="Arial"/>
                      <w:sz w:val="21"/>
                    </w:rPr>
                  </w:pPr>
                </w:p>
              </w:tc>
              <w:tc>
                <w:tcPr>
                  <w:tcW w:w="808" w:type="dxa"/>
                  <w:vMerge w:val="continue"/>
                  <w:tcBorders>
                    <w:top w:val="nil"/>
                    <w:bottom w:val="nil"/>
                  </w:tcBorders>
                  <w:vAlign w:val="top"/>
                </w:tcPr>
                <w:p>
                  <w:pPr>
                    <w:rPr>
                      <w:rFonts w:ascii="Arial"/>
                      <w:sz w:val="21"/>
                    </w:rPr>
                  </w:pPr>
                </w:p>
              </w:tc>
              <w:tc>
                <w:tcPr>
                  <w:tcW w:w="994" w:type="dxa"/>
                  <w:vMerge w:val="continue"/>
                  <w:tcBorders>
                    <w:top w:val="nil"/>
                    <w:bottom w:val="nil"/>
                  </w:tcBorders>
                  <w:vAlign w:val="top"/>
                </w:tcPr>
                <w:p>
                  <w:pPr>
                    <w:rPr>
                      <w:rFonts w:ascii="Arial"/>
                      <w:sz w:val="21"/>
                    </w:rPr>
                  </w:pPr>
                </w:p>
              </w:tc>
              <w:tc>
                <w:tcPr>
                  <w:tcW w:w="839" w:type="dxa"/>
                  <w:vAlign w:val="top"/>
                </w:tcPr>
                <w:p>
                  <w:pPr>
                    <w:spacing w:before="52" w:line="231" w:lineRule="auto"/>
                    <w:ind w:left="65"/>
                    <w:rPr>
                      <w:rFonts w:ascii="宋体" w:hAnsi="宋体" w:eastAsia="宋体" w:cs="宋体"/>
                      <w:sz w:val="17"/>
                      <w:szCs w:val="17"/>
                    </w:rPr>
                  </w:pPr>
                  <w:r>
                    <w:rPr>
                      <w:rFonts w:ascii="宋体" w:hAnsi="宋体" w:eastAsia="宋体" w:cs="宋体"/>
                      <w:spacing w:val="9"/>
                      <w:sz w:val="17"/>
                      <w:szCs w:val="17"/>
                    </w:rPr>
                    <w:t>大</w:t>
                  </w:r>
                  <w:r>
                    <w:rPr>
                      <w:rFonts w:ascii="宋体" w:hAnsi="宋体" w:eastAsia="宋体" w:cs="宋体"/>
                      <w:spacing w:val="7"/>
                      <w:sz w:val="17"/>
                      <w:szCs w:val="17"/>
                    </w:rPr>
                    <w:t>气环境</w:t>
                  </w:r>
                </w:p>
              </w:tc>
              <w:tc>
                <w:tcPr>
                  <w:tcW w:w="811" w:type="dxa"/>
                  <w:vAlign w:val="top"/>
                </w:tcPr>
                <w:p>
                  <w:pPr>
                    <w:spacing w:before="52" w:line="232" w:lineRule="auto"/>
                    <w:ind w:left="231"/>
                    <w:rPr>
                      <w:rFonts w:ascii="宋体" w:hAnsi="宋体" w:eastAsia="宋体" w:cs="宋体"/>
                      <w:sz w:val="17"/>
                      <w:szCs w:val="17"/>
                    </w:rPr>
                  </w:pPr>
                  <w:r>
                    <w:rPr>
                      <w:rFonts w:ascii="宋体" w:hAnsi="宋体" w:eastAsia="宋体" w:cs="宋体"/>
                      <w:spacing w:val="6"/>
                      <w:sz w:val="17"/>
                      <w:szCs w:val="17"/>
                    </w:rPr>
                    <w:t>直</w:t>
                  </w:r>
                  <w:r>
                    <w:rPr>
                      <w:rFonts w:ascii="宋体" w:hAnsi="宋体" w:eastAsia="宋体" w:cs="宋体"/>
                      <w:spacing w:val="5"/>
                      <w:sz w:val="17"/>
                      <w:szCs w:val="17"/>
                    </w:rPr>
                    <w:t>接</w:t>
                  </w:r>
                </w:p>
              </w:tc>
              <w:tc>
                <w:tcPr>
                  <w:tcW w:w="812" w:type="dxa"/>
                  <w:vAlign w:val="top"/>
                </w:tcPr>
                <w:p>
                  <w:pPr>
                    <w:spacing w:before="52" w:line="231" w:lineRule="auto"/>
                    <w:ind w:left="238"/>
                    <w:rPr>
                      <w:rFonts w:ascii="宋体" w:hAnsi="宋体" w:eastAsia="宋体" w:cs="宋体"/>
                      <w:sz w:val="17"/>
                      <w:szCs w:val="17"/>
                    </w:rPr>
                  </w:pPr>
                  <w:r>
                    <w:rPr>
                      <w:rFonts w:ascii="宋体" w:hAnsi="宋体" w:eastAsia="宋体" w:cs="宋体"/>
                      <w:spacing w:val="4"/>
                      <w:sz w:val="17"/>
                      <w:szCs w:val="17"/>
                    </w:rPr>
                    <w:t>暂</w:t>
                  </w:r>
                  <w:r>
                    <w:rPr>
                      <w:rFonts w:ascii="宋体" w:hAnsi="宋体" w:eastAsia="宋体" w:cs="宋体"/>
                      <w:spacing w:val="3"/>
                      <w:sz w:val="17"/>
                      <w:szCs w:val="17"/>
                    </w:rPr>
                    <w:t>时</w:t>
                  </w:r>
                </w:p>
              </w:tc>
              <w:tc>
                <w:tcPr>
                  <w:tcW w:w="2334" w:type="dxa"/>
                  <w:vAlign w:val="top"/>
                </w:tcPr>
                <w:p>
                  <w:pPr>
                    <w:spacing w:before="52" w:line="231" w:lineRule="auto"/>
                    <w:ind w:left="587"/>
                    <w:rPr>
                      <w:rFonts w:ascii="Times New Roman" w:hAnsi="Times New Roman" w:eastAsia="Times New Roman" w:cs="Times New Roman"/>
                      <w:sz w:val="17"/>
                      <w:szCs w:val="17"/>
                    </w:rPr>
                  </w:pPr>
                  <w:r>
                    <w:rPr>
                      <w:rFonts w:ascii="宋体" w:hAnsi="宋体" w:eastAsia="宋体" w:cs="宋体"/>
                      <w:spacing w:val="2"/>
                      <w:sz w:val="17"/>
                      <w:szCs w:val="17"/>
                    </w:rPr>
                    <w:t xml:space="preserve">项目周围 </w:t>
                  </w:r>
                  <w:r>
                    <w:rPr>
                      <w:rFonts w:ascii="Times New Roman" w:hAnsi="Times New Roman" w:eastAsia="Times New Roman" w:cs="Times New Roman"/>
                      <w:spacing w:val="2"/>
                      <w:sz w:val="17"/>
                      <w:szCs w:val="17"/>
                    </w:rPr>
                    <w:t>50</w:t>
                  </w:r>
                  <w:r>
                    <w:rPr>
                      <w:rFonts w:ascii="Times New Roman" w:hAnsi="Times New Roman" w:eastAsia="Times New Roman" w:cs="Times New Roman"/>
                      <w:sz w:val="17"/>
                      <w:szCs w:val="17"/>
                    </w:rPr>
                    <w:t>0m</w:t>
                  </w:r>
                </w:p>
              </w:tc>
              <w:tc>
                <w:tcPr>
                  <w:tcW w:w="824" w:type="dxa"/>
                  <w:vAlign w:val="top"/>
                </w:tcPr>
                <w:p>
                  <w:pPr>
                    <w:spacing w:before="116" w:line="117" w:lineRule="exact"/>
                    <w:ind w:left="371"/>
                    <w:rPr>
                      <w:rFonts w:ascii="Times New Roman" w:hAnsi="Times New Roman" w:eastAsia="Times New Roman" w:cs="Times New Roman"/>
                      <w:sz w:val="9"/>
                      <w:szCs w:val="9"/>
                    </w:rPr>
                  </w:pPr>
                  <w:r>
                    <w:rPr>
                      <w:rFonts w:ascii="Times New Roman" w:hAnsi="Times New Roman" w:eastAsia="Times New Roman" w:cs="Times New Roman"/>
                      <w:spacing w:val="38"/>
                      <w:position w:val="1"/>
                      <w:sz w:val="9"/>
                      <w:szCs w:val="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578" w:type="dxa"/>
                  <w:vMerge w:val="continue"/>
                  <w:tcBorders>
                    <w:top w:val="nil"/>
                  </w:tcBorders>
                  <w:vAlign w:val="top"/>
                </w:tcPr>
                <w:p>
                  <w:pPr>
                    <w:rPr>
                      <w:rFonts w:ascii="Arial"/>
                      <w:sz w:val="21"/>
                    </w:rPr>
                  </w:pPr>
                </w:p>
              </w:tc>
              <w:tc>
                <w:tcPr>
                  <w:tcW w:w="808" w:type="dxa"/>
                  <w:vMerge w:val="continue"/>
                  <w:tcBorders>
                    <w:top w:val="nil"/>
                  </w:tcBorders>
                  <w:vAlign w:val="top"/>
                </w:tcPr>
                <w:p>
                  <w:pPr>
                    <w:rPr>
                      <w:rFonts w:ascii="Arial"/>
                      <w:sz w:val="21"/>
                    </w:rPr>
                  </w:pPr>
                </w:p>
              </w:tc>
              <w:tc>
                <w:tcPr>
                  <w:tcW w:w="994" w:type="dxa"/>
                  <w:vMerge w:val="continue"/>
                  <w:tcBorders>
                    <w:top w:val="nil"/>
                  </w:tcBorders>
                  <w:vAlign w:val="top"/>
                </w:tcPr>
                <w:p>
                  <w:pPr>
                    <w:rPr>
                      <w:rFonts w:ascii="Arial"/>
                      <w:sz w:val="21"/>
                    </w:rPr>
                  </w:pPr>
                </w:p>
              </w:tc>
              <w:tc>
                <w:tcPr>
                  <w:tcW w:w="839" w:type="dxa"/>
                  <w:vAlign w:val="top"/>
                </w:tcPr>
                <w:p>
                  <w:pPr>
                    <w:spacing w:before="52" w:line="231" w:lineRule="auto"/>
                    <w:ind w:left="158"/>
                    <w:rPr>
                      <w:rFonts w:ascii="宋体" w:hAnsi="宋体" w:eastAsia="宋体" w:cs="宋体"/>
                      <w:sz w:val="17"/>
                      <w:szCs w:val="17"/>
                    </w:rPr>
                  </w:pPr>
                  <w:r>
                    <w:rPr>
                      <w:rFonts w:ascii="宋体" w:hAnsi="宋体" w:eastAsia="宋体" w:cs="宋体"/>
                      <w:spacing w:val="7"/>
                      <w:sz w:val="17"/>
                      <w:szCs w:val="17"/>
                    </w:rPr>
                    <w:t>声</w:t>
                  </w:r>
                  <w:r>
                    <w:rPr>
                      <w:rFonts w:ascii="宋体" w:hAnsi="宋体" w:eastAsia="宋体" w:cs="宋体"/>
                      <w:spacing w:val="6"/>
                      <w:sz w:val="17"/>
                      <w:szCs w:val="17"/>
                    </w:rPr>
                    <w:t>环境</w:t>
                  </w:r>
                </w:p>
              </w:tc>
              <w:tc>
                <w:tcPr>
                  <w:tcW w:w="811" w:type="dxa"/>
                  <w:vAlign w:val="top"/>
                </w:tcPr>
                <w:p>
                  <w:pPr>
                    <w:spacing w:before="52" w:line="232" w:lineRule="auto"/>
                    <w:ind w:left="231"/>
                    <w:rPr>
                      <w:rFonts w:ascii="宋体" w:hAnsi="宋体" w:eastAsia="宋体" w:cs="宋体"/>
                      <w:sz w:val="17"/>
                      <w:szCs w:val="17"/>
                    </w:rPr>
                  </w:pPr>
                  <w:r>
                    <w:rPr>
                      <w:rFonts w:ascii="宋体" w:hAnsi="宋体" w:eastAsia="宋体" w:cs="宋体"/>
                      <w:spacing w:val="6"/>
                      <w:sz w:val="17"/>
                      <w:szCs w:val="17"/>
                    </w:rPr>
                    <w:t>直</w:t>
                  </w:r>
                  <w:r>
                    <w:rPr>
                      <w:rFonts w:ascii="宋体" w:hAnsi="宋体" w:eastAsia="宋体" w:cs="宋体"/>
                      <w:spacing w:val="5"/>
                      <w:sz w:val="17"/>
                      <w:szCs w:val="17"/>
                    </w:rPr>
                    <w:t>接</w:t>
                  </w:r>
                </w:p>
              </w:tc>
              <w:tc>
                <w:tcPr>
                  <w:tcW w:w="812" w:type="dxa"/>
                  <w:vAlign w:val="top"/>
                </w:tcPr>
                <w:p>
                  <w:pPr>
                    <w:spacing w:before="52" w:line="231" w:lineRule="auto"/>
                    <w:ind w:left="238"/>
                    <w:rPr>
                      <w:rFonts w:ascii="宋体" w:hAnsi="宋体" w:eastAsia="宋体" w:cs="宋体"/>
                      <w:sz w:val="17"/>
                      <w:szCs w:val="17"/>
                    </w:rPr>
                  </w:pPr>
                  <w:r>
                    <w:rPr>
                      <w:rFonts w:ascii="宋体" w:hAnsi="宋体" w:eastAsia="宋体" w:cs="宋体"/>
                      <w:spacing w:val="4"/>
                      <w:sz w:val="17"/>
                      <w:szCs w:val="17"/>
                    </w:rPr>
                    <w:t>暂</w:t>
                  </w:r>
                  <w:r>
                    <w:rPr>
                      <w:rFonts w:ascii="宋体" w:hAnsi="宋体" w:eastAsia="宋体" w:cs="宋体"/>
                      <w:spacing w:val="3"/>
                      <w:sz w:val="17"/>
                      <w:szCs w:val="17"/>
                    </w:rPr>
                    <w:t>时</w:t>
                  </w:r>
                </w:p>
              </w:tc>
              <w:tc>
                <w:tcPr>
                  <w:tcW w:w="2334" w:type="dxa"/>
                  <w:vAlign w:val="top"/>
                </w:tcPr>
                <w:p>
                  <w:pPr>
                    <w:spacing w:before="52" w:line="231" w:lineRule="auto"/>
                    <w:ind w:left="587"/>
                    <w:rPr>
                      <w:rFonts w:ascii="Times New Roman" w:hAnsi="Times New Roman" w:eastAsia="Times New Roman" w:cs="Times New Roman"/>
                      <w:sz w:val="17"/>
                      <w:szCs w:val="17"/>
                    </w:rPr>
                  </w:pPr>
                  <w:r>
                    <w:rPr>
                      <w:rFonts w:ascii="宋体" w:hAnsi="宋体" w:eastAsia="宋体" w:cs="宋体"/>
                      <w:spacing w:val="2"/>
                      <w:sz w:val="17"/>
                      <w:szCs w:val="17"/>
                    </w:rPr>
                    <w:t xml:space="preserve">项目周围 </w:t>
                  </w:r>
                  <w:r>
                    <w:rPr>
                      <w:rFonts w:ascii="Times New Roman" w:hAnsi="Times New Roman" w:eastAsia="Times New Roman" w:cs="Times New Roman"/>
                      <w:spacing w:val="2"/>
                      <w:sz w:val="17"/>
                      <w:szCs w:val="17"/>
                    </w:rPr>
                    <w:t>20</w:t>
                  </w:r>
                  <w:r>
                    <w:rPr>
                      <w:rFonts w:ascii="Times New Roman" w:hAnsi="Times New Roman" w:eastAsia="Times New Roman" w:cs="Times New Roman"/>
                      <w:sz w:val="17"/>
                      <w:szCs w:val="17"/>
                    </w:rPr>
                    <w:t>0m</w:t>
                  </w:r>
                </w:p>
              </w:tc>
              <w:tc>
                <w:tcPr>
                  <w:tcW w:w="824" w:type="dxa"/>
                  <w:vAlign w:val="top"/>
                </w:tcPr>
                <w:p>
                  <w:pPr>
                    <w:spacing w:before="116" w:line="116" w:lineRule="exact"/>
                    <w:ind w:left="371"/>
                    <w:rPr>
                      <w:rFonts w:ascii="Times New Roman" w:hAnsi="Times New Roman" w:eastAsia="Times New Roman" w:cs="Times New Roman"/>
                      <w:sz w:val="9"/>
                      <w:szCs w:val="9"/>
                    </w:rPr>
                  </w:pPr>
                  <w:r>
                    <w:rPr>
                      <w:rFonts w:ascii="Times New Roman" w:hAnsi="Times New Roman" w:eastAsia="Times New Roman" w:cs="Times New Roman"/>
                      <w:spacing w:val="38"/>
                      <w:position w:val="1"/>
                      <w:sz w:val="9"/>
                      <w:szCs w:val="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578"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before="56" w:line="231" w:lineRule="auto"/>
                    <w:ind w:left="30"/>
                    <w:rPr>
                      <w:rFonts w:ascii="宋体" w:hAnsi="宋体" w:eastAsia="宋体" w:cs="宋体"/>
                      <w:sz w:val="17"/>
                      <w:szCs w:val="17"/>
                    </w:rPr>
                  </w:pPr>
                  <w:r>
                    <w:rPr>
                      <w:rFonts w:ascii="宋体" w:hAnsi="宋体" w:eastAsia="宋体" w:cs="宋体"/>
                      <w:spacing w:val="7"/>
                      <w:sz w:val="17"/>
                      <w:szCs w:val="17"/>
                    </w:rPr>
                    <w:t>营</w:t>
                  </w:r>
                  <w:r>
                    <w:rPr>
                      <w:rFonts w:ascii="宋体" w:hAnsi="宋体" w:eastAsia="宋体" w:cs="宋体"/>
                      <w:spacing w:val="5"/>
                      <w:sz w:val="17"/>
                      <w:szCs w:val="17"/>
                    </w:rPr>
                    <w:t>运期</w:t>
                  </w:r>
                </w:p>
              </w:tc>
              <w:tc>
                <w:tcPr>
                  <w:tcW w:w="808" w:type="dxa"/>
                  <w:vMerge w:val="restart"/>
                  <w:tcBorders>
                    <w:bottom w:val="nil"/>
                  </w:tcBorders>
                  <w:vAlign w:val="top"/>
                </w:tcPr>
                <w:p>
                  <w:pPr>
                    <w:spacing w:line="283" w:lineRule="auto"/>
                    <w:rPr>
                      <w:rFonts w:ascii="Arial"/>
                      <w:sz w:val="21"/>
                    </w:rPr>
                  </w:pPr>
                </w:p>
                <w:p>
                  <w:pPr>
                    <w:spacing w:line="284" w:lineRule="auto"/>
                    <w:rPr>
                      <w:rFonts w:ascii="Arial"/>
                      <w:sz w:val="21"/>
                    </w:rPr>
                  </w:pPr>
                </w:p>
                <w:p>
                  <w:pPr>
                    <w:spacing w:before="55" w:line="230" w:lineRule="auto"/>
                    <w:ind w:left="52"/>
                    <w:rPr>
                      <w:rFonts w:ascii="宋体" w:hAnsi="宋体" w:eastAsia="宋体" w:cs="宋体"/>
                      <w:sz w:val="17"/>
                      <w:szCs w:val="17"/>
                    </w:rPr>
                  </w:pPr>
                  <w:r>
                    <w:rPr>
                      <w:rFonts w:ascii="宋体" w:hAnsi="宋体" w:eastAsia="宋体" w:cs="宋体"/>
                      <w:spacing w:val="7"/>
                      <w:sz w:val="17"/>
                      <w:szCs w:val="17"/>
                    </w:rPr>
                    <w:t>公路运</w:t>
                  </w:r>
                  <w:r>
                    <w:rPr>
                      <w:rFonts w:ascii="宋体" w:hAnsi="宋体" w:eastAsia="宋体" w:cs="宋体"/>
                      <w:spacing w:val="6"/>
                      <w:sz w:val="17"/>
                      <w:szCs w:val="17"/>
                    </w:rPr>
                    <w:t>输</w:t>
                  </w:r>
                </w:p>
              </w:tc>
              <w:tc>
                <w:tcPr>
                  <w:tcW w:w="994" w:type="dxa"/>
                  <w:vMerge w:val="restart"/>
                  <w:tcBorders>
                    <w:bottom w:val="nil"/>
                  </w:tcBorders>
                  <w:vAlign w:val="top"/>
                </w:tcPr>
                <w:p>
                  <w:pPr>
                    <w:spacing w:line="283" w:lineRule="auto"/>
                    <w:rPr>
                      <w:rFonts w:ascii="Arial"/>
                      <w:sz w:val="21"/>
                    </w:rPr>
                  </w:pPr>
                </w:p>
                <w:p>
                  <w:pPr>
                    <w:spacing w:line="284" w:lineRule="auto"/>
                    <w:rPr>
                      <w:rFonts w:ascii="Arial"/>
                      <w:sz w:val="21"/>
                    </w:rPr>
                  </w:pPr>
                </w:p>
                <w:p>
                  <w:pPr>
                    <w:spacing w:before="55" w:line="230" w:lineRule="auto"/>
                    <w:ind w:left="142"/>
                    <w:rPr>
                      <w:rFonts w:ascii="宋体" w:hAnsi="宋体" w:eastAsia="宋体" w:cs="宋体"/>
                      <w:sz w:val="17"/>
                      <w:szCs w:val="17"/>
                    </w:rPr>
                  </w:pPr>
                  <w:r>
                    <w:rPr>
                      <w:rFonts w:ascii="宋体" w:hAnsi="宋体" w:eastAsia="宋体" w:cs="宋体"/>
                      <w:spacing w:val="8"/>
                      <w:sz w:val="17"/>
                      <w:szCs w:val="17"/>
                    </w:rPr>
                    <w:t>车辆行</w:t>
                  </w:r>
                  <w:r>
                    <w:rPr>
                      <w:rFonts w:ascii="宋体" w:hAnsi="宋体" w:eastAsia="宋体" w:cs="宋体"/>
                      <w:spacing w:val="7"/>
                      <w:sz w:val="17"/>
                      <w:szCs w:val="17"/>
                    </w:rPr>
                    <w:t>驶</w:t>
                  </w:r>
                </w:p>
              </w:tc>
              <w:tc>
                <w:tcPr>
                  <w:tcW w:w="839" w:type="dxa"/>
                  <w:vAlign w:val="top"/>
                </w:tcPr>
                <w:p>
                  <w:pPr>
                    <w:spacing w:before="52" w:line="230" w:lineRule="auto"/>
                    <w:ind w:left="65"/>
                    <w:rPr>
                      <w:rFonts w:ascii="宋体" w:hAnsi="宋体" w:eastAsia="宋体" w:cs="宋体"/>
                      <w:sz w:val="17"/>
                      <w:szCs w:val="17"/>
                    </w:rPr>
                  </w:pPr>
                  <w:r>
                    <w:rPr>
                      <w:rFonts w:ascii="宋体" w:hAnsi="宋体" w:eastAsia="宋体" w:cs="宋体"/>
                      <w:spacing w:val="9"/>
                      <w:sz w:val="17"/>
                      <w:szCs w:val="17"/>
                    </w:rPr>
                    <w:t>水</w:t>
                  </w:r>
                  <w:r>
                    <w:rPr>
                      <w:rFonts w:ascii="宋体" w:hAnsi="宋体" w:eastAsia="宋体" w:cs="宋体"/>
                      <w:spacing w:val="7"/>
                      <w:sz w:val="17"/>
                      <w:szCs w:val="17"/>
                    </w:rPr>
                    <w:t>生生态</w:t>
                  </w:r>
                </w:p>
              </w:tc>
              <w:tc>
                <w:tcPr>
                  <w:tcW w:w="811" w:type="dxa"/>
                  <w:vAlign w:val="top"/>
                </w:tcPr>
                <w:p>
                  <w:pPr>
                    <w:spacing w:before="51" w:line="232" w:lineRule="auto"/>
                    <w:ind w:left="244"/>
                    <w:rPr>
                      <w:rFonts w:ascii="宋体" w:hAnsi="宋体" w:eastAsia="宋体" w:cs="宋体"/>
                      <w:sz w:val="17"/>
                      <w:szCs w:val="17"/>
                    </w:rPr>
                  </w:pPr>
                  <w:r>
                    <w:rPr>
                      <w:rFonts w:ascii="宋体" w:hAnsi="宋体" w:eastAsia="宋体" w:cs="宋体"/>
                      <w:spacing w:val="-1"/>
                      <w:sz w:val="17"/>
                      <w:szCs w:val="17"/>
                    </w:rPr>
                    <w:t>间接</w:t>
                  </w:r>
                </w:p>
              </w:tc>
              <w:tc>
                <w:tcPr>
                  <w:tcW w:w="812" w:type="dxa"/>
                  <w:vAlign w:val="top"/>
                </w:tcPr>
                <w:p>
                  <w:pPr>
                    <w:spacing w:before="51" w:line="232" w:lineRule="auto"/>
                    <w:ind w:left="234"/>
                    <w:rPr>
                      <w:rFonts w:ascii="宋体" w:hAnsi="宋体" w:eastAsia="宋体" w:cs="宋体"/>
                      <w:sz w:val="17"/>
                      <w:szCs w:val="17"/>
                    </w:rPr>
                  </w:pPr>
                  <w:r>
                    <w:rPr>
                      <w:rFonts w:ascii="宋体" w:hAnsi="宋体" w:eastAsia="宋体" w:cs="宋体"/>
                      <w:spacing w:val="6"/>
                      <w:sz w:val="17"/>
                      <w:szCs w:val="17"/>
                    </w:rPr>
                    <w:t>永</w:t>
                  </w:r>
                  <w:r>
                    <w:rPr>
                      <w:rFonts w:ascii="宋体" w:hAnsi="宋体" w:eastAsia="宋体" w:cs="宋体"/>
                      <w:spacing w:val="5"/>
                      <w:sz w:val="17"/>
                      <w:szCs w:val="17"/>
                    </w:rPr>
                    <w:t>久</w:t>
                  </w:r>
                </w:p>
              </w:tc>
              <w:tc>
                <w:tcPr>
                  <w:tcW w:w="2334" w:type="dxa"/>
                  <w:vAlign w:val="top"/>
                </w:tcPr>
                <w:p>
                  <w:pPr>
                    <w:spacing w:before="52" w:line="231" w:lineRule="auto"/>
                    <w:ind w:left="269"/>
                    <w:rPr>
                      <w:rFonts w:ascii="Times New Roman" w:hAnsi="Times New Roman" w:eastAsia="Times New Roman" w:cs="Times New Roman"/>
                      <w:sz w:val="17"/>
                      <w:szCs w:val="17"/>
                    </w:rPr>
                  </w:pPr>
                  <w:r>
                    <w:rPr>
                      <w:rFonts w:ascii="宋体" w:hAnsi="宋体" w:eastAsia="宋体" w:cs="宋体"/>
                      <w:spacing w:val="-4"/>
                      <w:sz w:val="17"/>
                      <w:szCs w:val="17"/>
                    </w:rPr>
                    <w:t>上游</w:t>
                  </w:r>
                  <w:r>
                    <w:rPr>
                      <w:rFonts w:ascii="宋体" w:hAnsi="宋体" w:eastAsia="宋体" w:cs="宋体"/>
                      <w:spacing w:val="-2"/>
                      <w:sz w:val="17"/>
                      <w:szCs w:val="17"/>
                    </w:rPr>
                    <w:t xml:space="preserve"> </w:t>
                  </w:r>
                  <w:r>
                    <w:rPr>
                      <w:rFonts w:ascii="Times New Roman" w:hAnsi="Times New Roman" w:eastAsia="Times New Roman" w:cs="Times New Roman"/>
                      <w:spacing w:val="-2"/>
                      <w:sz w:val="17"/>
                      <w:szCs w:val="17"/>
                    </w:rPr>
                    <w:t xml:space="preserve">500m </w:t>
                  </w:r>
                  <w:r>
                    <w:rPr>
                      <w:rFonts w:ascii="宋体" w:hAnsi="宋体" w:eastAsia="宋体" w:cs="宋体"/>
                      <w:spacing w:val="-2"/>
                      <w:sz w:val="17"/>
                      <w:szCs w:val="17"/>
                    </w:rPr>
                    <w:t xml:space="preserve">，下游 </w:t>
                  </w:r>
                  <w:r>
                    <w:rPr>
                      <w:rFonts w:ascii="Times New Roman" w:hAnsi="Times New Roman" w:eastAsia="Times New Roman" w:cs="Times New Roman"/>
                      <w:spacing w:val="-2"/>
                      <w:sz w:val="17"/>
                      <w:szCs w:val="17"/>
                    </w:rPr>
                    <w:t>500m</w:t>
                  </w:r>
                </w:p>
              </w:tc>
              <w:tc>
                <w:tcPr>
                  <w:tcW w:w="824" w:type="dxa"/>
                  <w:vAlign w:val="top"/>
                </w:tcPr>
                <w:p>
                  <w:pPr>
                    <w:spacing w:before="116" w:line="116" w:lineRule="exact"/>
                    <w:ind w:left="371"/>
                    <w:rPr>
                      <w:rFonts w:ascii="Times New Roman" w:hAnsi="Times New Roman" w:eastAsia="Times New Roman" w:cs="Times New Roman"/>
                      <w:sz w:val="9"/>
                      <w:szCs w:val="9"/>
                    </w:rPr>
                  </w:pPr>
                  <w:r>
                    <w:rPr>
                      <w:rFonts w:ascii="Times New Roman" w:hAnsi="Times New Roman" w:eastAsia="Times New Roman" w:cs="Times New Roman"/>
                      <w:spacing w:val="38"/>
                      <w:position w:val="1"/>
                      <w:sz w:val="9"/>
                      <w:szCs w:val="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578" w:type="dxa"/>
                  <w:vMerge w:val="continue"/>
                  <w:tcBorders>
                    <w:top w:val="nil"/>
                    <w:bottom w:val="nil"/>
                  </w:tcBorders>
                  <w:vAlign w:val="top"/>
                </w:tcPr>
                <w:p>
                  <w:pPr>
                    <w:rPr>
                      <w:rFonts w:ascii="Arial"/>
                      <w:sz w:val="21"/>
                    </w:rPr>
                  </w:pPr>
                </w:p>
              </w:tc>
              <w:tc>
                <w:tcPr>
                  <w:tcW w:w="808" w:type="dxa"/>
                  <w:vMerge w:val="continue"/>
                  <w:tcBorders>
                    <w:top w:val="nil"/>
                    <w:bottom w:val="nil"/>
                  </w:tcBorders>
                  <w:vAlign w:val="top"/>
                </w:tcPr>
                <w:p>
                  <w:pPr>
                    <w:rPr>
                      <w:rFonts w:ascii="Arial"/>
                      <w:sz w:val="21"/>
                    </w:rPr>
                  </w:pPr>
                </w:p>
              </w:tc>
              <w:tc>
                <w:tcPr>
                  <w:tcW w:w="994" w:type="dxa"/>
                  <w:vMerge w:val="continue"/>
                  <w:tcBorders>
                    <w:top w:val="nil"/>
                    <w:bottom w:val="nil"/>
                  </w:tcBorders>
                  <w:vAlign w:val="top"/>
                </w:tcPr>
                <w:p>
                  <w:pPr>
                    <w:rPr>
                      <w:rFonts w:ascii="Arial"/>
                      <w:sz w:val="21"/>
                    </w:rPr>
                  </w:pPr>
                </w:p>
              </w:tc>
              <w:tc>
                <w:tcPr>
                  <w:tcW w:w="839" w:type="dxa"/>
                  <w:vAlign w:val="top"/>
                </w:tcPr>
                <w:p>
                  <w:pPr>
                    <w:spacing w:before="54" w:line="233" w:lineRule="auto"/>
                    <w:ind w:left="72"/>
                    <w:rPr>
                      <w:rFonts w:ascii="宋体" w:hAnsi="宋体" w:eastAsia="宋体" w:cs="宋体"/>
                      <w:sz w:val="17"/>
                      <w:szCs w:val="17"/>
                    </w:rPr>
                  </w:pPr>
                  <w:r>
                    <w:rPr>
                      <w:rFonts w:ascii="宋体" w:hAnsi="宋体" w:eastAsia="宋体" w:cs="宋体"/>
                      <w:spacing w:val="6"/>
                      <w:sz w:val="17"/>
                      <w:szCs w:val="17"/>
                    </w:rPr>
                    <w:t>陆生生</w:t>
                  </w:r>
                  <w:r>
                    <w:rPr>
                      <w:rFonts w:ascii="宋体" w:hAnsi="宋体" w:eastAsia="宋体" w:cs="宋体"/>
                      <w:spacing w:val="5"/>
                      <w:sz w:val="17"/>
                      <w:szCs w:val="17"/>
                    </w:rPr>
                    <w:t>态</w:t>
                  </w:r>
                </w:p>
              </w:tc>
              <w:tc>
                <w:tcPr>
                  <w:tcW w:w="811" w:type="dxa"/>
                  <w:vAlign w:val="top"/>
                </w:tcPr>
                <w:p>
                  <w:pPr>
                    <w:spacing w:before="53" w:line="232" w:lineRule="auto"/>
                    <w:ind w:left="244"/>
                    <w:rPr>
                      <w:rFonts w:ascii="宋体" w:hAnsi="宋体" w:eastAsia="宋体" w:cs="宋体"/>
                      <w:sz w:val="17"/>
                      <w:szCs w:val="17"/>
                    </w:rPr>
                  </w:pPr>
                  <w:r>
                    <w:rPr>
                      <w:rFonts w:ascii="宋体" w:hAnsi="宋体" w:eastAsia="宋体" w:cs="宋体"/>
                      <w:spacing w:val="-1"/>
                      <w:sz w:val="17"/>
                      <w:szCs w:val="17"/>
                    </w:rPr>
                    <w:t>间接</w:t>
                  </w:r>
                </w:p>
              </w:tc>
              <w:tc>
                <w:tcPr>
                  <w:tcW w:w="812" w:type="dxa"/>
                  <w:vAlign w:val="top"/>
                </w:tcPr>
                <w:p>
                  <w:pPr>
                    <w:spacing w:before="53" w:line="232" w:lineRule="auto"/>
                    <w:ind w:left="234"/>
                    <w:rPr>
                      <w:rFonts w:ascii="宋体" w:hAnsi="宋体" w:eastAsia="宋体" w:cs="宋体"/>
                      <w:sz w:val="17"/>
                      <w:szCs w:val="17"/>
                    </w:rPr>
                  </w:pPr>
                  <w:r>
                    <w:rPr>
                      <w:rFonts w:ascii="宋体" w:hAnsi="宋体" w:eastAsia="宋体" w:cs="宋体"/>
                      <w:spacing w:val="6"/>
                      <w:sz w:val="17"/>
                      <w:szCs w:val="17"/>
                    </w:rPr>
                    <w:t>永</w:t>
                  </w:r>
                  <w:r>
                    <w:rPr>
                      <w:rFonts w:ascii="宋体" w:hAnsi="宋体" w:eastAsia="宋体" w:cs="宋体"/>
                      <w:spacing w:val="5"/>
                      <w:sz w:val="17"/>
                      <w:szCs w:val="17"/>
                    </w:rPr>
                    <w:t>久</w:t>
                  </w:r>
                </w:p>
              </w:tc>
              <w:tc>
                <w:tcPr>
                  <w:tcW w:w="2334" w:type="dxa"/>
                  <w:vAlign w:val="top"/>
                </w:tcPr>
                <w:p>
                  <w:pPr>
                    <w:spacing w:before="54" w:line="231" w:lineRule="auto"/>
                    <w:ind w:left="587"/>
                    <w:rPr>
                      <w:rFonts w:ascii="Times New Roman" w:hAnsi="Times New Roman" w:eastAsia="Times New Roman" w:cs="Times New Roman"/>
                      <w:sz w:val="17"/>
                      <w:szCs w:val="17"/>
                    </w:rPr>
                  </w:pPr>
                  <w:r>
                    <w:rPr>
                      <w:rFonts w:ascii="宋体" w:hAnsi="宋体" w:eastAsia="宋体" w:cs="宋体"/>
                      <w:spacing w:val="2"/>
                      <w:sz w:val="17"/>
                      <w:szCs w:val="17"/>
                    </w:rPr>
                    <w:t xml:space="preserve">项目周围 </w:t>
                  </w:r>
                  <w:r>
                    <w:rPr>
                      <w:rFonts w:ascii="Times New Roman" w:hAnsi="Times New Roman" w:eastAsia="Times New Roman" w:cs="Times New Roman"/>
                      <w:spacing w:val="2"/>
                      <w:sz w:val="17"/>
                      <w:szCs w:val="17"/>
                    </w:rPr>
                    <w:t>20</w:t>
                  </w:r>
                  <w:r>
                    <w:rPr>
                      <w:rFonts w:ascii="Times New Roman" w:hAnsi="Times New Roman" w:eastAsia="Times New Roman" w:cs="Times New Roman"/>
                      <w:sz w:val="17"/>
                      <w:szCs w:val="17"/>
                    </w:rPr>
                    <w:t>0m</w:t>
                  </w:r>
                </w:p>
              </w:tc>
              <w:tc>
                <w:tcPr>
                  <w:tcW w:w="824" w:type="dxa"/>
                  <w:vAlign w:val="top"/>
                </w:tcPr>
                <w:p>
                  <w:pPr>
                    <w:spacing w:before="115" w:line="116" w:lineRule="exact"/>
                    <w:ind w:left="371"/>
                    <w:rPr>
                      <w:rFonts w:ascii="Times New Roman" w:hAnsi="Times New Roman" w:eastAsia="Times New Roman" w:cs="Times New Roman"/>
                      <w:sz w:val="9"/>
                      <w:szCs w:val="9"/>
                    </w:rPr>
                  </w:pPr>
                  <w:r>
                    <w:rPr>
                      <w:rFonts w:ascii="Times New Roman" w:hAnsi="Times New Roman" w:eastAsia="Times New Roman" w:cs="Times New Roman"/>
                      <w:spacing w:val="38"/>
                      <w:position w:val="1"/>
                      <w:sz w:val="9"/>
                      <w:szCs w:val="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578" w:type="dxa"/>
                  <w:vMerge w:val="continue"/>
                  <w:tcBorders>
                    <w:top w:val="nil"/>
                    <w:bottom w:val="nil"/>
                  </w:tcBorders>
                  <w:vAlign w:val="top"/>
                </w:tcPr>
                <w:p>
                  <w:pPr>
                    <w:rPr>
                      <w:rFonts w:ascii="Arial"/>
                      <w:sz w:val="21"/>
                    </w:rPr>
                  </w:pPr>
                </w:p>
              </w:tc>
              <w:tc>
                <w:tcPr>
                  <w:tcW w:w="808" w:type="dxa"/>
                  <w:vMerge w:val="continue"/>
                  <w:tcBorders>
                    <w:top w:val="nil"/>
                    <w:bottom w:val="nil"/>
                  </w:tcBorders>
                  <w:vAlign w:val="top"/>
                </w:tcPr>
                <w:p>
                  <w:pPr>
                    <w:rPr>
                      <w:rFonts w:ascii="Arial"/>
                      <w:sz w:val="21"/>
                    </w:rPr>
                  </w:pPr>
                </w:p>
              </w:tc>
              <w:tc>
                <w:tcPr>
                  <w:tcW w:w="994" w:type="dxa"/>
                  <w:vMerge w:val="continue"/>
                  <w:tcBorders>
                    <w:top w:val="nil"/>
                    <w:bottom w:val="nil"/>
                  </w:tcBorders>
                  <w:vAlign w:val="top"/>
                </w:tcPr>
                <w:p>
                  <w:pPr>
                    <w:rPr>
                      <w:rFonts w:ascii="Arial"/>
                      <w:sz w:val="21"/>
                    </w:rPr>
                  </w:pPr>
                </w:p>
              </w:tc>
              <w:tc>
                <w:tcPr>
                  <w:tcW w:w="839" w:type="dxa"/>
                  <w:vAlign w:val="top"/>
                </w:tcPr>
                <w:p>
                  <w:pPr>
                    <w:spacing w:before="53" w:line="230" w:lineRule="auto"/>
                    <w:ind w:left="156"/>
                    <w:rPr>
                      <w:rFonts w:ascii="宋体" w:hAnsi="宋体" w:eastAsia="宋体" w:cs="宋体"/>
                      <w:sz w:val="17"/>
                      <w:szCs w:val="17"/>
                    </w:rPr>
                  </w:pPr>
                  <w:r>
                    <w:rPr>
                      <w:rFonts w:ascii="宋体" w:hAnsi="宋体" w:eastAsia="宋体" w:cs="宋体"/>
                      <w:spacing w:val="7"/>
                      <w:sz w:val="17"/>
                      <w:szCs w:val="17"/>
                    </w:rPr>
                    <w:t>水环</w:t>
                  </w:r>
                  <w:r>
                    <w:rPr>
                      <w:rFonts w:ascii="宋体" w:hAnsi="宋体" w:eastAsia="宋体" w:cs="宋体"/>
                      <w:spacing w:val="6"/>
                      <w:sz w:val="17"/>
                      <w:szCs w:val="17"/>
                    </w:rPr>
                    <w:t>境</w:t>
                  </w:r>
                </w:p>
              </w:tc>
              <w:tc>
                <w:tcPr>
                  <w:tcW w:w="811" w:type="dxa"/>
                  <w:vAlign w:val="top"/>
                </w:tcPr>
                <w:p>
                  <w:pPr>
                    <w:spacing w:before="18" w:line="243" w:lineRule="exact"/>
                    <w:ind w:left="37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12" w:type="dxa"/>
                  <w:vAlign w:val="top"/>
                </w:tcPr>
                <w:p>
                  <w:pPr>
                    <w:spacing w:before="18" w:line="243" w:lineRule="exact"/>
                    <w:ind w:left="37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2334" w:type="dxa"/>
                  <w:vAlign w:val="top"/>
                </w:tcPr>
                <w:p>
                  <w:pPr>
                    <w:spacing w:before="18" w:line="243" w:lineRule="exact"/>
                    <w:ind w:left="1141"/>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24" w:type="dxa"/>
                  <w:vAlign w:val="top"/>
                </w:tcPr>
                <w:p>
                  <w:pPr>
                    <w:spacing w:before="18" w:line="243" w:lineRule="exact"/>
                    <w:ind w:left="38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578" w:type="dxa"/>
                  <w:vMerge w:val="continue"/>
                  <w:tcBorders>
                    <w:top w:val="nil"/>
                    <w:bottom w:val="nil"/>
                  </w:tcBorders>
                  <w:vAlign w:val="top"/>
                </w:tcPr>
                <w:p>
                  <w:pPr>
                    <w:rPr>
                      <w:rFonts w:ascii="Arial"/>
                      <w:sz w:val="21"/>
                    </w:rPr>
                  </w:pPr>
                </w:p>
              </w:tc>
              <w:tc>
                <w:tcPr>
                  <w:tcW w:w="808" w:type="dxa"/>
                  <w:vMerge w:val="continue"/>
                  <w:tcBorders>
                    <w:top w:val="nil"/>
                    <w:bottom w:val="nil"/>
                  </w:tcBorders>
                  <w:vAlign w:val="top"/>
                </w:tcPr>
                <w:p>
                  <w:pPr>
                    <w:rPr>
                      <w:rFonts w:ascii="Arial"/>
                      <w:sz w:val="21"/>
                    </w:rPr>
                  </w:pPr>
                </w:p>
              </w:tc>
              <w:tc>
                <w:tcPr>
                  <w:tcW w:w="994" w:type="dxa"/>
                  <w:vMerge w:val="continue"/>
                  <w:tcBorders>
                    <w:top w:val="nil"/>
                    <w:bottom w:val="nil"/>
                  </w:tcBorders>
                  <w:vAlign w:val="top"/>
                </w:tcPr>
                <w:p>
                  <w:pPr>
                    <w:rPr>
                      <w:rFonts w:ascii="Arial"/>
                      <w:sz w:val="21"/>
                    </w:rPr>
                  </w:pPr>
                </w:p>
              </w:tc>
              <w:tc>
                <w:tcPr>
                  <w:tcW w:w="839" w:type="dxa"/>
                  <w:vAlign w:val="top"/>
                </w:tcPr>
                <w:p>
                  <w:pPr>
                    <w:spacing w:before="53" w:line="231" w:lineRule="auto"/>
                    <w:ind w:left="65"/>
                    <w:rPr>
                      <w:rFonts w:ascii="宋体" w:hAnsi="宋体" w:eastAsia="宋体" w:cs="宋体"/>
                      <w:sz w:val="17"/>
                      <w:szCs w:val="17"/>
                    </w:rPr>
                  </w:pPr>
                  <w:r>
                    <w:rPr>
                      <w:rFonts w:ascii="宋体" w:hAnsi="宋体" w:eastAsia="宋体" w:cs="宋体"/>
                      <w:spacing w:val="9"/>
                      <w:sz w:val="17"/>
                      <w:szCs w:val="17"/>
                    </w:rPr>
                    <w:t>大</w:t>
                  </w:r>
                  <w:r>
                    <w:rPr>
                      <w:rFonts w:ascii="宋体" w:hAnsi="宋体" w:eastAsia="宋体" w:cs="宋体"/>
                      <w:spacing w:val="7"/>
                      <w:sz w:val="17"/>
                      <w:szCs w:val="17"/>
                    </w:rPr>
                    <w:t>气环境</w:t>
                  </w:r>
                </w:p>
              </w:tc>
              <w:tc>
                <w:tcPr>
                  <w:tcW w:w="811" w:type="dxa"/>
                  <w:vAlign w:val="top"/>
                </w:tcPr>
                <w:p>
                  <w:pPr>
                    <w:spacing w:before="53" w:line="232" w:lineRule="auto"/>
                    <w:ind w:left="231"/>
                    <w:rPr>
                      <w:rFonts w:ascii="宋体" w:hAnsi="宋体" w:eastAsia="宋体" w:cs="宋体"/>
                      <w:sz w:val="17"/>
                      <w:szCs w:val="17"/>
                    </w:rPr>
                  </w:pPr>
                  <w:r>
                    <w:rPr>
                      <w:rFonts w:ascii="宋体" w:hAnsi="宋体" w:eastAsia="宋体" w:cs="宋体"/>
                      <w:spacing w:val="6"/>
                      <w:sz w:val="17"/>
                      <w:szCs w:val="17"/>
                    </w:rPr>
                    <w:t>直</w:t>
                  </w:r>
                  <w:r>
                    <w:rPr>
                      <w:rFonts w:ascii="宋体" w:hAnsi="宋体" w:eastAsia="宋体" w:cs="宋体"/>
                      <w:spacing w:val="5"/>
                      <w:sz w:val="17"/>
                      <w:szCs w:val="17"/>
                    </w:rPr>
                    <w:t>接</w:t>
                  </w:r>
                </w:p>
              </w:tc>
              <w:tc>
                <w:tcPr>
                  <w:tcW w:w="812" w:type="dxa"/>
                  <w:vAlign w:val="top"/>
                </w:tcPr>
                <w:p>
                  <w:pPr>
                    <w:spacing w:before="53" w:line="232" w:lineRule="auto"/>
                    <w:ind w:left="234"/>
                    <w:rPr>
                      <w:rFonts w:ascii="宋体" w:hAnsi="宋体" w:eastAsia="宋体" w:cs="宋体"/>
                      <w:sz w:val="17"/>
                      <w:szCs w:val="17"/>
                    </w:rPr>
                  </w:pPr>
                  <w:r>
                    <w:rPr>
                      <w:rFonts w:ascii="宋体" w:hAnsi="宋体" w:eastAsia="宋体" w:cs="宋体"/>
                      <w:spacing w:val="6"/>
                      <w:sz w:val="17"/>
                      <w:szCs w:val="17"/>
                    </w:rPr>
                    <w:t>永</w:t>
                  </w:r>
                  <w:r>
                    <w:rPr>
                      <w:rFonts w:ascii="宋体" w:hAnsi="宋体" w:eastAsia="宋体" w:cs="宋体"/>
                      <w:spacing w:val="5"/>
                      <w:sz w:val="17"/>
                      <w:szCs w:val="17"/>
                    </w:rPr>
                    <w:t>久</w:t>
                  </w:r>
                </w:p>
              </w:tc>
              <w:tc>
                <w:tcPr>
                  <w:tcW w:w="2334" w:type="dxa"/>
                  <w:vAlign w:val="top"/>
                </w:tcPr>
                <w:p>
                  <w:pPr>
                    <w:spacing w:before="53" w:line="231" w:lineRule="auto"/>
                    <w:ind w:left="587"/>
                    <w:rPr>
                      <w:rFonts w:ascii="Times New Roman" w:hAnsi="Times New Roman" w:eastAsia="Times New Roman" w:cs="Times New Roman"/>
                      <w:sz w:val="17"/>
                      <w:szCs w:val="17"/>
                    </w:rPr>
                  </w:pPr>
                  <w:r>
                    <w:rPr>
                      <w:rFonts w:ascii="宋体" w:hAnsi="宋体" w:eastAsia="宋体" w:cs="宋体"/>
                      <w:spacing w:val="2"/>
                      <w:sz w:val="17"/>
                      <w:szCs w:val="17"/>
                    </w:rPr>
                    <w:t xml:space="preserve">项目周围 </w:t>
                  </w:r>
                  <w:r>
                    <w:rPr>
                      <w:rFonts w:ascii="Times New Roman" w:hAnsi="Times New Roman" w:eastAsia="Times New Roman" w:cs="Times New Roman"/>
                      <w:spacing w:val="2"/>
                      <w:sz w:val="17"/>
                      <w:szCs w:val="17"/>
                    </w:rPr>
                    <w:t>50</w:t>
                  </w:r>
                  <w:r>
                    <w:rPr>
                      <w:rFonts w:ascii="Times New Roman" w:hAnsi="Times New Roman" w:eastAsia="Times New Roman" w:cs="Times New Roman"/>
                      <w:sz w:val="17"/>
                      <w:szCs w:val="17"/>
                    </w:rPr>
                    <w:t>0m</w:t>
                  </w:r>
                </w:p>
              </w:tc>
              <w:tc>
                <w:tcPr>
                  <w:tcW w:w="824" w:type="dxa"/>
                  <w:vAlign w:val="top"/>
                </w:tcPr>
                <w:p>
                  <w:pPr>
                    <w:spacing w:before="117" w:line="116" w:lineRule="exact"/>
                    <w:ind w:left="371"/>
                    <w:rPr>
                      <w:rFonts w:ascii="Times New Roman" w:hAnsi="Times New Roman" w:eastAsia="Times New Roman" w:cs="Times New Roman"/>
                      <w:sz w:val="9"/>
                      <w:szCs w:val="9"/>
                    </w:rPr>
                  </w:pPr>
                  <w:r>
                    <w:rPr>
                      <w:rFonts w:ascii="Times New Roman" w:hAnsi="Times New Roman" w:eastAsia="Times New Roman" w:cs="Times New Roman"/>
                      <w:spacing w:val="38"/>
                      <w:position w:val="1"/>
                      <w:sz w:val="9"/>
                      <w:szCs w:val="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578" w:type="dxa"/>
                  <w:vMerge w:val="continue"/>
                  <w:tcBorders>
                    <w:top w:val="nil"/>
                  </w:tcBorders>
                  <w:vAlign w:val="top"/>
                </w:tcPr>
                <w:p>
                  <w:pPr>
                    <w:rPr>
                      <w:rFonts w:ascii="Arial"/>
                      <w:sz w:val="21"/>
                    </w:rPr>
                  </w:pPr>
                </w:p>
              </w:tc>
              <w:tc>
                <w:tcPr>
                  <w:tcW w:w="808" w:type="dxa"/>
                  <w:vMerge w:val="continue"/>
                  <w:tcBorders>
                    <w:top w:val="nil"/>
                  </w:tcBorders>
                  <w:vAlign w:val="top"/>
                </w:tcPr>
                <w:p>
                  <w:pPr>
                    <w:rPr>
                      <w:rFonts w:ascii="Arial"/>
                      <w:sz w:val="21"/>
                    </w:rPr>
                  </w:pPr>
                </w:p>
              </w:tc>
              <w:tc>
                <w:tcPr>
                  <w:tcW w:w="994" w:type="dxa"/>
                  <w:vMerge w:val="continue"/>
                  <w:tcBorders>
                    <w:top w:val="nil"/>
                  </w:tcBorders>
                  <w:vAlign w:val="top"/>
                </w:tcPr>
                <w:p>
                  <w:pPr>
                    <w:rPr>
                      <w:rFonts w:ascii="Arial"/>
                      <w:sz w:val="21"/>
                    </w:rPr>
                  </w:pPr>
                </w:p>
              </w:tc>
              <w:tc>
                <w:tcPr>
                  <w:tcW w:w="839" w:type="dxa"/>
                  <w:vAlign w:val="top"/>
                </w:tcPr>
                <w:p>
                  <w:pPr>
                    <w:spacing w:before="52" w:line="231" w:lineRule="auto"/>
                    <w:ind w:left="158"/>
                    <w:rPr>
                      <w:rFonts w:ascii="宋体" w:hAnsi="宋体" w:eastAsia="宋体" w:cs="宋体"/>
                      <w:sz w:val="17"/>
                      <w:szCs w:val="17"/>
                    </w:rPr>
                  </w:pPr>
                  <w:r>
                    <w:rPr>
                      <w:rFonts w:ascii="宋体" w:hAnsi="宋体" w:eastAsia="宋体" w:cs="宋体"/>
                      <w:spacing w:val="7"/>
                      <w:sz w:val="17"/>
                      <w:szCs w:val="17"/>
                    </w:rPr>
                    <w:t>声</w:t>
                  </w:r>
                  <w:r>
                    <w:rPr>
                      <w:rFonts w:ascii="宋体" w:hAnsi="宋体" w:eastAsia="宋体" w:cs="宋体"/>
                      <w:spacing w:val="6"/>
                      <w:sz w:val="17"/>
                      <w:szCs w:val="17"/>
                    </w:rPr>
                    <w:t>环境</w:t>
                  </w:r>
                </w:p>
              </w:tc>
              <w:tc>
                <w:tcPr>
                  <w:tcW w:w="811" w:type="dxa"/>
                  <w:vAlign w:val="top"/>
                </w:tcPr>
                <w:p>
                  <w:pPr>
                    <w:spacing w:before="52" w:line="232" w:lineRule="auto"/>
                    <w:ind w:left="231"/>
                    <w:rPr>
                      <w:rFonts w:ascii="宋体" w:hAnsi="宋体" w:eastAsia="宋体" w:cs="宋体"/>
                      <w:sz w:val="17"/>
                      <w:szCs w:val="17"/>
                    </w:rPr>
                  </w:pPr>
                  <w:r>
                    <w:rPr>
                      <w:rFonts w:ascii="宋体" w:hAnsi="宋体" w:eastAsia="宋体" w:cs="宋体"/>
                      <w:spacing w:val="6"/>
                      <w:sz w:val="17"/>
                      <w:szCs w:val="17"/>
                    </w:rPr>
                    <w:t>直</w:t>
                  </w:r>
                  <w:r>
                    <w:rPr>
                      <w:rFonts w:ascii="宋体" w:hAnsi="宋体" w:eastAsia="宋体" w:cs="宋体"/>
                      <w:spacing w:val="5"/>
                      <w:sz w:val="17"/>
                      <w:szCs w:val="17"/>
                    </w:rPr>
                    <w:t>接</w:t>
                  </w:r>
                </w:p>
              </w:tc>
              <w:tc>
                <w:tcPr>
                  <w:tcW w:w="812" w:type="dxa"/>
                  <w:vAlign w:val="top"/>
                </w:tcPr>
                <w:p>
                  <w:pPr>
                    <w:spacing w:before="52" w:line="232" w:lineRule="auto"/>
                    <w:ind w:left="234"/>
                    <w:rPr>
                      <w:rFonts w:ascii="宋体" w:hAnsi="宋体" w:eastAsia="宋体" w:cs="宋体"/>
                      <w:sz w:val="17"/>
                      <w:szCs w:val="17"/>
                    </w:rPr>
                  </w:pPr>
                  <w:r>
                    <w:rPr>
                      <w:rFonts w:ascii="宋体" w:hAnsi="宋体" w:eastAsia="宋体" w:cs="宋体"/>
                      <w:spacing w:val="6"/>
                      <w:sz w:val="17"/>
                      <w:szCs w:val="17"/>
                    </w:rPr>
                    <w:t>永</w:t>
                  </w:r>
                  <w:r>
                    <w:rPr>
                      <w:rFonts w:ascii="宋体" w:hAnsi="宋体" w:eastAsia="宋体" w:cs="宋体"/>
                      <w:spacing w:val="5"/>
                      <w:sz w:val="17"/>
                      <w:szCs w:val="17"/>
                    </w:rPr>
                    <w:t>久</w:t>
                  </w:r>
                </w:p>
              </w:tc>
              <w:tc>
                <w:tcPr>
                  <w:tcW w:w="2334" w:type="dxa"/>
                  <w:vAlign w:val="top"/>
                </w:tcPr>
                <w:p>
                  <w:pPr>
                    <w:spacing w:before="53" w:line="230" w:lineRule="auto"/>
                    <w:ind w:left="407"/>
                    <w:rPr>
                      <w:rFonts w:ascii="Times New Roman" w:hAnsi="Times New Roman" w:eastAsia="Times New Roman" w:cs="Times New Roman"/>
                      <w:sz w:val="17"/>
                      <w:szCs w:val="17"/>
                    </w:rPr>
                  </w:pPr>
                  <w:r>
                    <w:rPr>
                      <w:rFonts w:ascii="宋体" w:hAnsi="宋体" w:eastAsia="宋体" w:cs="宋体"/>
                      <w:spacing w:val="6"/>
                      <w:sz w:val="17"/>
                      <w:szCs w:val="17"/>
                    </w:rPr>
                    <w:t>项</w:t>
                  </w:r>
                  <w:r>
                    <w:rPr>
                      <w:rFonts w:ascii="宋体" w:hAnsi="宋体" w:eastAsia="宋体" w:cs="宋体"/>
                      <w:spacing w:val="4"/>
                      <w:sz w:val="17"/>
                      <w:szCs w:val="17"/>
                    </w:rPr>
                    <w:t>目</w:t>
                  </w:r>
                  <w:r>
                    <w:rPr>
                      <w:rFonts w:ascii="宋体" w:hAnsi="宋体" w:eastAsia="宋体" w:cs="宋体"/>
                      <w:spacing w:val="3"/>
                      <w:sz w:val="17"/>
                      <w:szCs w:val="17"/>
                    </w:rPr>
                    <w:t xml:space="preserve">路线两侧 </w:t>
                  </w:r>
                  <w:r>
                    <w:rPr>
                      <w:rFonts w:ascii="Times New Roman" w:hAnsi="Times New Roman" w:eastAsia="Times New Roman" w:cs="Times New Roman"/>
                      <w:spacing w:val="3"/>
                      <w:sz w:val="17"/>
                      <w:szCs w:val="17"/>
                    </w:rPr>
                    <w:t>200</w:t>
                  </w:r>
                  <w:r>
                    <w:rPr>
                      <w:rFonts w:ascii="Times New Roman" w:hAnsi="Times New Roman" w:eastAsia="Times New Roman" w:cs="Times New Roman"/>
                      <w:sz w:val="17"/>
                      <w:szCs w:val="17"/>
                    </w:rPr>
                    <w:t>m</w:t>
                  </w:r>
                </w:p>
              </w:tc>
              <w:tc>
                <w:tcPr>
                  <w:tcW w:w="824" w:type="dxa"/>
                  <w:vAlign w:val="top"/>
                </w:tcPr>
                <w:p>
                  <w:pPr>
                    <w:spacing w:before="52" w:line="228" w:lineRule="exact"/>
                    <w:ind w:left="342"/>
                    <w:rPr>
                      <w:rFonts w:ascii="宋体" w:hAnsi="宋体" w:eastAsia="宋体" w:cs="宋体"/>
                      <w:sz w:val="17"/>
                      <w:szCs w:val="17"/>
                    </w:rPr>
                  </w:pPr>
                  <w:r>
                    <w:rPr>
                      <w:rFonts w:ascii="宋体" w:hAnsi="宋体" w:eastAsia="宋体" w:cs="宋体"/>
                      <w:position w:val="1"/>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1386" w:type="dxa"/>
                  <w:gridSpan w:val="2"/>
                  <w:vAlign w:val="top"/>
                </w:tcPr>
                <w:p>
                  <w:pPr>
                    <w:spacing w:before="97" w:line="232" w:lineRule="auto"/>
                    <w:ind w:left="520"/>
                    <w:rPr>
                      <w:rFonts w:ascii="宋体" w:hAnsi="宋体" w:eastAsia="宋体" w:cs="宋体"/>
                      <w:sz w:val="17"/>
                      <w:szCs w:val="17"/>
                    </w:rPr>
                  </w:pPr>
                  <w:r>
                    <w:rPr>
                      <w:rFonts w:ascii="宋体" w:hAnsi="宋体" w:eastAsia="宋体" w:cs="宋体"/>
                      <w:spacing w:val="5"/>
                      <w:sz w:val="17"/>
                      <w:szCs w:val="17"/>
                    </w:rPr>
                    <w:t>备注</w:t>
                  </w:r>
                </w:p>
              </w:tc>
              <w:tc>
                <w:tcPr>
                  <w:tcW w:w="6614" w:type="dxa"/>
                  <w:gridSpan w:val="6"/>
                  <w:vAlign w:val="top"/>
                </w:tcPr>
                <w:p>
                  <w:pPr>
                    <w:spacing w:before="98" w:line="230" w:lineRule="auto"/>
                    <w:ind w:left="1589"/>
                    <w:rPr>
                      <w:rFonts w:ascii="宋体" w:hAnsi="宋体" w:eastAsia="宋体" w:cs="宋体"/>
                      <w:sz w:val="17"/>
                      <w:szCs w:val="17"/>
                    </w:rPr>
                  </w:pPr>
                  <w:r>
                    <w:rPr>
                      <w:rFonts w:ascii="Times New Roman" w:hAnsi="Times New Roman" w:eastAsia="Times New Roman" w:cs="Times New Roman"/>
                      <w:spacing w:val="1"/>
                      <w:sz w:val="17"/>
                      <w:szCs w:val="17"/>
                    </w:rPr>
                    <w:t>●</w:t>
                  </w:r>
                  <w:r>
                    <w:rPr>
                      <w:rFonts w:ascii="宋体" w:hAnsi="宋体" w:eastAsia="宋体" w:cs="宋体"/>
                      <w:spacing w:val="1"/>
                      <w:sz w:val="17"/>
                      <w:szCs w:val="17"/>
                    </w:rPr>
                    <w:t>为显著</w:t>
                  </w:r>
                  <w:r>
                    <w:rPr>
                      <w:rFonts w:ascii="宋体" w:hAnsi="宋体" w:eastAsia="宋体" w:cs="宋体"/>
                      <w:sz w:val="17"/>
                      <w:szCs w:val="17"/>
                    </w:rPr>
                    <w:t xml:space="preserve">影响； ◎为中等影响； </w:t>
                  </w:r>
                  <w:r>
                    <w:rPr>
                      <w:rFonts w:ascii="Times New Roman" w:hAnsi="Times New Roman" w:eastAsia="Times New Roman" w:cs="Times New Roman"/>
                      <w:sz w:val="17"/>
                      <w:szCs w:val="17"/>
                    </w:rPr>
                    <w:t>○</w:t>
                  </w:r>
                  <w:r>
                    <w:rPr>
                      <w:rFonts w:ascii="宋体" w:hAnsi="宋体" w:eastAsia="宋体" w:cs="宋体"/>
                      <w:sz w:val="17"/>
                      <w:szCs w:val="17"/>
                    </w:rPr>
                    <w:t>为轻微影响</w:t>
                  </w:r>
                </w:p>
              </w:tc>
            </w:tr>
          </w:tbl>
          <w:p>
            <w:pPr>
              <w:spacing w:before="141" w:line="228" w:lineRule="auto"/>
              <w:ind w:left="537"/>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4"/>
                <w:sz w:val="20"/>
                <w:szCs w:val="20"/>
              </w:rPr>
              <w:t>1</w:t>
            </w:r>
            <w:r>
              <w:rPr>
                <w:rFonts w:ascii="宋体" w:hAnsi="宋体" w:eastAsia="宋体" w:cs="宋体"/>
                <w:spacing w:val="14"/>
                <w:sz w:val="20"/>
                <w:szCs w:val="20"/>
                <w14:textOutline w14:w="3795" w14:cap="sq" w14:cmpd="sng">
                  <w14:solidFill>
                    <w14:srgbClr w14:val="000000"/>
                  </w14:solidFill>
                  <w14:prstDash w14:val="solid"/>
                  <w14:bevel/>
                </w14:textOutline>
              </w:rPr>
              <w:t>)</w:t>
            </w:r>
            <w:r>
              <w:rPr>
                <w:rFonts w:ascii="宋体" w:hAnsi="宋体" w:eastAsia="宋体" w:cs="宋体"/>
                <w:spacing w:val="14"/>
                <w:sz w:val="20"/>
                <w:szCs w:val="20"/>
              </w:rPr>
              <w:t xml:space="preserve"> </w:t>
            </w:r>
            <w:r>
              <w:rPr>
                <w:rFonts w:ascii="宋体" w:hAnsi="宋体" w:eastAsia="宋体" w:cs="宋体"/>
                <w:spacing w:val="14"/>
                <w:sz w:val="20"/>
                <w:szCs w:val="20"/>
                <w14:textOutline w14:w="3795" w14:cap="sq" w14:cmpd="sng">
                  <w14:solidFill>
                    <w14:srgbClr w14:val="000000"/>
                  </w14:solidFill>
                  <w14:prstDash w14:val="solid"/>
                  <w14:bevel/>
                </w14:textOutline>
              </w:rPr>
              <w:t>占地对区域土地利用格局和影响</w:t>
            </w:r>
          </w:p>
          <w:p>
            <w:pPr>
              <w:spacing w:before="114" w:line="378" w:lineRule="auto"/>
              <w:ind w:left="76" w:right="1" w:firstLine="420"/>
              <w:rPr>
                <w:rFonts w:ascii="宋体" w:hAnsi="宋体" w:eastAsia="宋体" w:cs="宋体"/>
                <w:sz w:val="20"/>
                <w:szCs w:val="20"/>
              </w:rPr>
            </w:pPr>
            <w:r>
              <w:rPr>
                <w:rFonts w:ascii="宋体" w:hAnsi="宋体" w:eastAsia="宋体" w:cs="宋体"/>
                <w:spacing w:val="4"/>
                <w:sz w:val="20"/>
                <w:szCs w:val="20"/>
              </w:rPr>
              <w:t>本工程永</w:t>
            </w:r>
            <w:r>
              <w:rPr>
                <w:rFonts w:ascii="宋体" w:hAnsi="宋体" w:eastAsia="宋体" w:cs="宋体"/>
                <w:spacing w:val="3"/>
                <w:sz w:val="20"/>
                <w:szCs w:val="20"/>
              </w:rPr>
              <w:t>久</w:t>
            </w:r>
            <w:r>
              <w:rPr>
                <w:rFonts w:ascii="宋体" w:hAnsi="宋体" w:eastAsia="宋体" w:cs="宋体"/>
                <w:spacing w:val="2"/>
                <w:sz w:val="20"/>
                <w:szCs w:val="20"/>
              </w:rPr>
              <w:t xml:space="preserve">占用土地为桥梁占地，占地面积 </w:t>
            </w:r>
            <w:r>
              <w:rPr>
                <w:rFonts w:ascii="Times New Roman" w:hAnsi="Times New Roman" w:eastAsia="Times New Roman" w:cs="Times New Roman"/>
                <w:spacing w:val="2"/>
                <w:sz w:val="20"/>
                <w:szCs w:val="20"/>
              </w:rPr>
              <w:t>1.4</w:t>
            </w:r>
            <w:r>
              <w:rPr>
                <w:rFonts w:ascii="Times New Roman" w:hAnsi="Times New Roman" w:eastAsia="Times New Roman" w:cs="Times New Roman"/>
                <w:sz w:val="20"/>
                <w:szCs w:val="20"/>
              </w:rPr>
              <w:t>hm</w:t>
            </w:r>
            <w:r>
              <w:rPr>
                <w:rFonts w:ascii="宋体" w:hAnsi="宋体" w:eastAsia="宋体" w:cs="宋体"/>
                <w:spacing w:val="2"/>
                <w:sz w:val="20"/>
                <w:szCs w:val="20"/>
              </w:rPr>
              <w:t>²，占地类型以绿地、交通运输用地、</w:t>
            </w:r>
            <w:r>
              <w:rPr>
                <w:rFonts w:ascii="宋体" w:hAnsi="宋体" w:eastAsia="宋体" w:cs="宋体"/>
                <w:sz w:val="20"/>
                <w:szCs w:val="20"/>
              </w:rPr>
              <w:t xml:space="preserve"> </w:t>
            </w:r>
            <w:r>
              <w:rPr>
                <w:rFonts w:ascii="宋体" w:hAnsi="宋体" w:eastAsia="宋体" w:cs="宋体"/>
                <w:spacing w:val="9"/>
                <w:sz w:val="20"/>
                <w:szCs w:val="20"/>
              </w:rPr>
              <w:t>水域用地为主。项目建成以后，土地利用类型全部转变为城市交通用地，使土地资源利</w:t>
            </w:r>
            <w:r>
              <w:rPr>
                <w:rFonts w:ascii="宋体" w:hAnsi="宋体" w:eastAsia="宋体" w:cs="宋体"/>
                <w:spacing w:val="2"/>
                <w:sz w:val="20"/>
                <w:szCs w:val="20"/>
              </w:rPr>
              <w:t>用</w:t>
            </w:r>
            <w:r>
              <w:rPr>
                <w:rFonts w:ascii="宋体" w:hAnsi="宋体" w:eastAsia="宋体" w:cs="宋体"/>
                <w:sz w:val="20"/>
                <w:szCs w:val="20"/>
              </w:rPr>
              <w:t xml:space="preserve"> </w:t>
            </w:r>
            <w:r>
              <w:rPr>
                <w:rFonts w:ascii="宋体" w:hAnsi="宋体" w:eastAsia="宋体" w:cs="宋体"/>
                <w:spacing w:val="9"/>
                <w:sz w:val="20"/>
                <w:szCs w:val="20"/>
              </w:rPr>
              <w:t>现状发生了转变。但总体来说，项目占地面积相对较小、不占用基本农田，且符合区域</w:t>
            </w:r>
            <w:r>
              <w:rPr>
                <w:rFonts w:ascii="宋体" w:hAnsi="宋体" w:eastAsia="宋体" w:cs="宋体"/>
                <w:spacing w:val="2"/>
                <w:sz w:val="20"/>
                <w:szCs w:val="20"/>
              </w:rPr>
              <w:t>用</w:t>
            </w:r>
            <w:r>
              <w:rPr>
                <w:rFonts w:ascii="宋体" w:hAnsi="宋体" w:eastAsia="宋体" w:cs="宋体"/>
                <w:sz w:val="20"/>
                <w:szCs w:val="20"/>
              </w:rPr>
              <w:t xml:space="preserve"> </w:t>
            </w:r>
            <w:r>
              <w:rPr>
                <w:rFonts w:ascii="宋体" w:hAnsi="宋体" w:eastAsia="宋体" w:cs="宋体"/>
                <w:spacing w:val="18"/>
                <w:sz w:val="20"/>
                <w:szCs w:val="20"/>
              </w:rPr>
              <w:t>地相</w:t>
            </w:r>
            <w:r>
              <w:rPr>
                <w:rFonts w:ascii="宋体" w:hAnsi="宋体" w:eastAsia="宋体" w:cs="宋体"/>
                <w:spacing w:val="9"/>
                <w:sz w:val="20"/>
                <w:szCs w:val="20"/>
              </w:rPr>
              <w:t>关规划，工程建设不会改变区域土地利用格局，对工程所在区域生态影响不明显。</w:t>
            </w:r>
          </w:p>
          <w:p>
            <w:pPr>
              <w:spacing w:line="401" w:lineRule="exact"/>
              <w:ind w:left="499"/>
              <w:rPr>
                <w:rFonts w:ascii="宋体" w:hAnsi="宋体" w:eastAsia="宋体" w:cs="宋体"/>
                <w:sz w:val="20"/>
                <w:szCs w:val="20"/>
              </w:rPr>
            </w:pPr>
            <w:r>
              <w:rPr>
                <w:rFonts w:ascii="宋体" w:hAnsi="宋体" w:eastAsia="宋体" w:cs="宋体"/>
                <w:spacing w:val="16"/>
                <w:position w:val="14"/>
                <w:sz w:val="20"/>
                <w:szCs w:val="20"/>
              </w:rPr>
              <w:t>项目在</w:t>
            </w:r>
            <w:r>
              <w:rPr>
                <w:rFonts w:ascii="宋体" w:hAnsi="宋体" w:eastAsia="宋体" w:cs="宋体"/>
                <w:spacing w:val="9"/>
                <w:position w:val="14"/>
                <w:sz w:val="20"/>
                <w:szCs w:val="20"/>
              </w:rPr>
              <w:t>施</w:t>
            </w:r>
            <w:r>
              <w:rPr>
                <w:rFonts w:ascii="宋体" w:hAnsi="宋体" w:eastAsia="宋体" w:cs="宋体"/>
                <w:spacing w:val="8"/>
                <w:position w:val="14"/>
                <w:sz w:val="20"/>
                <w:szCs w:val="20"/>
              </w:rPr>
              <w:t>工期间，施工场地和施工便道占地等为临时占地，临时占地会对占地区域植</w:t>
            </w:r>
          </w:p>
          <w:p>
            <w:pPr>
              <w:spacing w:line="227" w:lineRule="auto"/>
              <w:ind w:left="76"/>
              <w:rPr>
                <w:rFonts w:ascii="宋体" w:hAnsi="宋体" w:eastAsia="宋体" w:cs="宋体"/>
                <w:sz w:val="20"/>
                <w:szCs w:val="20"/>
              </w:rPr>
            </w:pPr>
            <w:r>
              <w:rPr>
                <w:rFonts w:ascii="宋体" w:hAnsi="宋体" w:eastAsia="宋体" w:cs="宋体"/>
                <w:spacing w:val="9"/>
                <w:sz w:val="20"/>
                <w:szCs w:val="20"/>
              </w:rPr>
              <w:t>被产生一定的影响，造成局部区域植被覆盖减少。施工活动中的土料挖填方、材料堆放</w:t>
            </w:r>
            <w:r>
              <w:rPr>
                <w:rFonts w:ascii="宋体" w:hAnsi="宋体" w:eastAsia="宋体" w:cs="宋体"/>
                <w:spacing w:val="2"/>
                <w:sz w:val="20"/>
                <w:szCs w:val="20"/>
              </w:rPr>
              <w:t>等</w:t>
            </w:r>
          </w:p>
        </w:tc>
      </w:tr>
    </w:tbl>
    <w:p>
      <w:pPr>
        <w:spacing w:line="123" w:lineRule="exact"/>
        <w:rPr>
          <w:rFonts w:ascii="Arial"/>
          <w:sz w:val="10"/>
        </w:rPr>
      </w:pPr>
    </w:p>
    <w:p>
      <w:pPr>
        <w:sectPr>
          <w:footerReference r:id="rId72" w:type="default"/>
          <w:pgSz w:w="11906" w:h="16839"/>
          <w:pgMar w:top="400" w:right="1472" w:bottom="1475" w:left="1471" w:header="0" w:footer="1315" w:gutter="0"/>
          <w:cols w:space="720" w:num="1"/>
        </w:sectPr>
      </w:pPr>
    </w:p>
    <w:p/>
    <w:p/>
    <w:p/>
    <w:p/>
    <w:p>
      <w:pPr>
        <w:spacing w:line="221" w:lineRule="exact"/>
      </w:pPr>
    </w:p>
    <w:tbl>
      <w:tblPr>
        <w:tblStyle w:val="4"/>
        <w:tblW w:w="894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83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7" w:hRule="atLeast"/>
        </w:trPr>
        <w:tc>
          <w:tcPr>
            <w:tcW w:w="644" w:type="dxa"/>
            <w:tcBorders>
              <w:left w:val="single" w:color="00000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31" w:lineRule="auto"/>
              <w:ind w:left="8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施工</w:t>
            </w:r>
          </w:p>
          <w:p>
            <w:pPr>
              <w:spacing w:before="21" w:line="228" w:lineRule="auto"/>
              <w:ind w:left="91"/>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期生</w:t>
            </w:r>
          </w:p>
          <w:p>
            <w:pPr>
              <w:spacing w:before="25" w:line="230" w:lineRule="auto"/>
              <w:ind w:left="8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态</w:t>
            </w:r>
            <w:r>
              <w:rPr>
                <w:rFonts w:ascii="宋体" w:hAnsi="宋体" w:eastAsia="宋体" w:cs="宋体"/>
                <w:spacing w:val="15"/>
                <w:sz w:val="20"/>
                <w:szCs w:val="20"/>
                <w14:textOutline w14:w="3795" w14:cap="sq" w14:cmpd="sng">
                  <w14:solidFill>
                    <w14:srgbClr w14:val="000000"/>
                  </w14:solidFill>
                  <w14:prstDash w14:val="solid"/>
                  <w14:bevel/>
                </w14:textOutline>
              </w:rPr>
              <w:t>环</w:t>
            </w:r>
          </w:p>
          <w:p>
            <w:pPr>
              <w:spacing w:before="22" w:line="228" w:lineRule="auto"/>
              <w:ind w:left="89"/>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境影</w:t>
            </w:r>
          </w:p>
          <w:p>
            <w:pPr>
              <w:spacing w:before="25" w:line="228" w:lineRule="auto"/>
              <w:ind w:left="99"/>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响分</w:t>
            </w:r>
          </w:p>
          <w:p>
            <w:pPr>
              <w:spacing w:before="26" w:line="228" w:lineRule="auto"/>
              <w:ind w:left="205"/>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析</w:t>
            </w:r>
          </w:p>
        </w:tc>
        <w:tc>
          <w:tcPr>
            <w:tcW w:w="8303" w:type="dxa"/>
            <w:tcBorders>
              <w:right w:val="single" w:color="000000" w:sz="6" w:space="0"/>
            </w:tcBorders>
            <w:vAlign w:val="top"/>
          </w:tcPr>
          <w:p>
            <w:pPr>
              <w:spacing w:before="151" w:line="370" w:lineRule="auto"/>
              <w:ind w:left="75" w:right="71"/>
              <w:rPr>
                <w:rFonts w:ascii="宋体" w:hAnsi="宋体" w:eastAsia="宋体" w:cs="宋体"/>
                <w:sz w:val="20"/>
                <w:szCs w:val="20"/>
              </w:rPr>
            </w:pPr>
            <w:r>
              <w:rPr>
                <w:rFonts w:ascii="宋体" w:hAnsi="宋体" w:eastAsia="宋体" w:cs="宋体"/>
                <w:spacing w:val="9"/>
                <w:sz w:val="20"/>
                <w:szCs w:val="20"/>
              </w:rPr>
              <w:t>施工作业不可避免地要破坏一些周边地表植被，施工作业中人员活动、机械噪声可能会</w:t>
            </w:r>
            <w:r>
              <w:rPr>
                <w:rFonts w:ascii="宋体" w:hAnsi="宋体" w:eastAsia="宋体" w:cs="宋体"/>
                <w:spacing w:val="3"/>
                <w:sz w:val="20"/>
                <w:szCs w:val="20"/>
              </w:rPr>
              <w:t>干</w:t>
            </w:r>
            <w:r>
              <w:rPr>
                <w:rFonts w:ascii="宋体" w:hAnsi="宋体" w:eastAsia="宋体" w:cs="宋体"/>
                <w:sz w:val="20"/>
                <w:szCs w:val="20"/>
              </w:rPr>
              <w:t xml:space="preserve"> </w:t>
            </w:r>
            <w:r>
              <w:rPr>
                <w:rFonts w:ascii="宋体" w:hAnsi="宋体" w:eastAsia="宋体" w:cs="宋体"/>
                <w:spacing w:val="7"/>
                <w:sz w:val="20"/>
                <w:szCs w:val="20"/>
              </w:rPr>
              <w:t xml:space="preserve">扰陆生动物的生境。本工程临时占地面积约 </w:t>
            </w:r>
            <w:r>
              <w:rPr>
                <w:rFonts w:ascii="Times New Roman" w:hAnsi="Times New Roman" w:eastAsia="Times New Roman" w:cs="Times New Roman"/>
                <w:spacing w:val="7"/>
                <w:sz w:val="20"/>
                <w:szCs w:val="20"/>
              </w:rPr>
              <w:t>1.84</w:t>
            </w:r>
            <w:r>
              <w:rPr>
                <w:rFonts w:ascii="Times New Roman" w:hAnsi="Times New Roman" w:eastAsia="Times New Roman" w:cs="Times New Roman"/>
                <w:sz w:val="20"/>
                <w:szCs w:val="20"/>
              </w:rPr>
              <w:t>hm</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，主要为施工栈桥、施工便道占地</w:t>
            </w:r>
            <w:r>
              <w:rPr>
                <w:rFonts w:ascii="宋体" w:hAnsi="宋体" w:eastAsia="宋体" w:cs="宋体"/>
                <w:spacing w:val="2"/>
                <w:sz w:val="20"/>
                <w:szCs w:val="20"/>
              </w:rPr>
              <w:t>，</w:t>
            </w:r>
            <w:r>
              <w:rPr>
                <w:rFonts w:ascii="宋体" w:hAnsi="宋体" w:eastAsia="宋体" w:cs="宋体"/>
                <w:sz w:val="20"/>
                <w:szCs w:val="20"/>
              </w:rPr>
              <w:t xml:space="preserve"> </w:t>
            </w:r>
            <w:r>
              <w:rPr>
                <w:rFonts w:ascii="宋体" w:hAnsi="宋体" w:eastAsia="宋体" w:cs="宋体"/>
                <w:spacing w:val="9"/>
                <w:sz w:val="20"/>
                <w:szCs w:val="20"/>
              </w:rPr>
              <w:t>项目不设置拌和站、预制场、取土场、弃土场等临时设施，临时占地面积小，为临时道</w:t>
            </w:r>
            <w:r>
              <w:rPr>
                <w:rFonts w:ascii="宋体" w:hAnsi="宋体" w:eastAsia="宋体" w:cs="宋体"/>
                <w:spacing w:val="2"/>
                <w:sz w:val="20"/>
                <w:szCs w:val="20"/>
              </w:rPr>
              <w:t>路</w:t>
            </w:r>
            <w:r>
              <w:rPr>
                <w:rFonts w:ascii="宋体" w:hAnsi="宋体" w:eastAsia="宋体" w:cs="宋体"/>
                <w:sz w:val="20"/>
                <w:szCs w:val="20"/>
              </w:rPr>
              <w:t xml:space="preserve"> </w:t>
            </w:r>
            <w:r>
              <w:rPr>
                <w:rFonts w:ascii="宋体" w:hAnsi="宋体" w:eastAsia="宋体" w:cs="宋体"/>
                <w:spacing w:val="9"/>
                <w:sz w:val="20"/>
                <w:szCs w:val="20"/>
              </w:rPr>
              <w:t>和荒地，植被为低矮灌木，无名木古树等珍稀植被，生态环境不敏感。因此，临时工程</w:t>
            </w:r>
            <w:r>
              <w:rPr>
                <w:rFonts w:ascii="宋体" w:hAnsi="宋体" w:eastAsia="宋体" w:cs="宋体"/>
                <w:spacing w:val="2"/>
                <w:sz w:val="20"/>
                <w:szCs w:val="20"/>
              </w:rPr>
              <w:t>占</w:t>
            </w:r>
            <w:r>
              <w:rPr>
                <w:rFonts w:ascii="宋体" w:hAnsi="宋体" w:eastAsia="宋体" w:cs="宋体"/>
                <w:sz w:val="20"/>
                <w:szCs w:val="20"/>
              </w:rPr>
              <w:t xml:space="preserve"> </w:t>
            </w:r>
            <w:r>
              <w:rPr>
                <w:rFonts w:ascii="宋体" w:hAnsi="宋体" w:eastAsia="宋体" w:cs="宋体"/>
                <w:spacing w:val="9"/>
                <w:sz w:val="20"/>
                <w:szCs w:val="20"/>
              </w:rPr>
              <w:t>地</w:t>
            </w:r>
            <w:r>
              <w:rPr>
                <w:rFonts w:ascii="宋体" w:hAnsi="宋体" w:eastAsia="宋体" w:cs="宋体"/>
                <w:spacing w:val="8"/>
                <w:sz w:val="20"/>
                <w:szCs w:val="20"/>
              </w:rPr>
              <w:t>对生态环境影响较小。</w:t>
            </w:r>
          </w:p>
          <w:p>
            <w:pPr>
              <w:spacing w:line="227" w:lineRule="auto"/>
              <w:ind w:left="537"/>
              <w:rPr>
                <w:rFonts w:ascii="宋体" w:hAnsi="宋体" w:eastAsia="宋体" w:cs="宋体"/>
                <w:sz w:val="20"/>
                <w:szCs w:val="20"/>
              </w:rPr>
            </w:pPr>
            <w:r>
              <w:rPr>
                <w:rFonts w:ascii="宋体" w:hAnsi="宋体" w:eastAsia="宋体" w:cs="宋体"/>
                <w:spacing w:val="24"/>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4"/>
                <w:sz w:val="20"/>
                <w:szCs w:val="20"/>
              </w:rPr>
              <w:t>2</w:t>
            </w:r>
            <w:r>
              <w:rPr>
                <w:rFonts w:ascii="宋体" w:hAnsi="宋体" w:eastAsia="宋体" w:cs="宋体"/>
                <w:spacing w:val="14"/>
                <w:sz w:val="20"/>
                <w:szCs w:val="20"/>
                <w14:textOutline w14:w="3795" w14:cap="sq" w14:cmpd="sng">
                  <w14:solidFill>
                    <w14:srgbClr w14:val="000000"/>
                  </w14:solidFill>
                  <w14:prstDash w14:val="solid"/>
                  <w14:bevel/>
                </w14:textOutline>
              </w:rPr>
              <w:t>)</w:t>
            </w:r>
            <w:r>
              <w:rPr>
                <w:rFonts w:ascii="宋体" w:hAnsi="宋体" w:eastAsia="宋体" w:cs="宋体"/>
                <w:spacing w:val="14"/>
                <w:sz w:val="20"/>
                <w:szCs w:val="20"/>
              </w:rPr>
              <w:t xml:space="preserve"> </w:t>
            </w:r>
            <w:r>
              <w:rPr>
                <w:rFonts w:ascii="宋体" w:hAnsi="宋体" w:eastAsia="宋体" w:cs="宋体"/>
                <w:spacing w:val="14"/>
                <w:sz w:val="20"/>
                <w:szCs w:val="20"/>
                <w14:textOutline w14:w="3795" w14:cap="sq" w14:cmpd="sng">
                  <w14:solidFill>
                    <w14:srgbClr w14:val="000000"/>
                  </w14:solidFill>
                  <w14:prstDash w14:val="solid"/>
                  <w14:bevel/>
                </w14:textOutline>
              </w:rPr>
              <w:t>对植被和生物多样性的影响</w:t>
            </w:r>
          </w:p>
          <w:p>
            <w:pPr>
              <w:spacing w:before="155" w:line="369" w:lineRule="auto"/>
              <w:ind w:left="106" w:right="55" w:firstLine="421"/>
              <w:rPr>
                <w:rFonts w:ascii="宋体" w:hAnsi="宋体" w:eastAsia="宋体" w:cs="宋体"/>
                <w:sz w:val="20"/>
                <w:szCs w:val="20"/>
              </w:rPr>
            </w:pPr>
            <w:r>
              <w:rPr>
                <w:rFonts w:ascii="宋体" w:hAnsi="宋体" w:eastAsia="宋体" w:cs="宋体"/>
                <w:spacing w:val="8"/>
                <w:sz w:val="20"/>
                <w:szCs w:val="20"/>
              </w:rPr>
              <w:t>本工程征占用的植被以绿化植被为主，物种组成较为常见，且占用的面积较小，区</w:t>
            </w:r>
            <w:r>
              <w:rPr>
                <w:rFonts w:ascii="宋体" w:hAnsi="宋体" w:eastAsia="宋体" w:cs="宋体"/>
                <w:spacing w:val="4"/>
                <w:sz w:val="20"/>
                <w:szCs w:val="20"/>
              </w:rPr>
              <w:t>域</w:t>
            </w:r>
            <w:r>
              <w:rPr>
                <w:rFonts w:ascii="宋体" w:hAnsi="宋体" w:eastAsia="宋体" w:cs="宋体"/>
                <w:sz w:val="20"/>
                <w:szCs w:val="20"/>
              </w:rPr>
              <w:t xml:space="preserve"> </w:t>
            </w:r>
            <w:r>
              <w:rPr>
                <w:rFonts w:ascii="宋体" w:hAnsi="宋体" w:eastAsia="宋体" w:cs="宋体"/>
                <w:spacing w:val="10"/>
                <w:sz w:val="20"/>
                <w:szCs w:val="20"/>
              </w:rPr>
              <w:t>现</w:t>
            </w:r>
            <w:r>
              <w:rPr>
                <w:rFonts w:ascii="宋体" w:hAnsi="宋体" w:eastAsia="宋体" w:cs="宋体"/>
                <w:spacing w:val="8"/>
                <w:sz w:val="20"/>
                <w:szCs w:val="20"/>
              </w:rPr>
              <w:t>有植被类型组成及分布格局不会因本工程的建设而发生改变，工程建设对区域生态完整</w:t>
            </w:r>
            <w:r>
              <w:rPr>
                <w:rFonts w:ascii="宋体" w:hAnsi="宋体" w:eastAsia="宋体" w:cs="宋体"/>
                <w:sz w:val="20"/>
                <w:szCs w:val="20"/>
              </w:rPr>
              <w:t xml:space="preserve"> </w:t>
            </w:r>
            <w:r>
              <w:rPr>
                <w:rFonts w:ascii="宋体" w:hAnsi="宋体" w:eastAsia="宋体" w:cs="宋体"/>
                <w:spacing w:val="16"/>
                <w:sz w:val="20"/>
                <w:szCs w:val="20"/>
              </w:rPr>
              <w:t>性的</w:t>
            </w:r>
            <w:r>
              <w:rPr>
                <w:rFonts w:ascii="宋体" w:hAnsi="宋体" w:eastAsia="宋体" w:cs="宋体"/>
                <w:spacing w:val="10"/>
                <w:sz w:val="20"/>
                <w:szCs w:val="20"/>
              </w:rPr>
              <w:t>破</w:t>
            </w:r>
            <w:r>
              <w:rPr>
                <w:rFonts w:ascii="宋体" w:hAnsi="宋体" w:eastAsia="宋体" w:cs="宋体"/>
                <w:spacing w:val="8"/>
                <w:sz w:val="20"/>
                <w:szCs w:val="20"/>
              </w:rPr>
              <w:t>坏影响较小。施工作业中人员活动及机械噪声可能会干扰当地田野型动物的生境，</w:t>
            </w:r>
            <w:r>
              <w:rPr>
                <w:rFonts w:ascii="宋体" w:hAnsi="宋体" w:eastAsia="宋体" w:cs="宋体"/>
                <w:sz w:val="20"/>
                <w:szCs w:val="20"/>
              </w:rPr>
              <w:t xml:space="preserve"> </w:t>
            </w:r>
            <w:r>
              <w:rPr>
                <w:rFonts w:ascii="宋体" w:hAnsi="宋体" w:eastAsia="宋体" w:cs="宋体"/>
                <w:spacing w:val="10"/>
                <w:sz w:val="20"/>
                <w:szCs w:val="20"/>
              </w:rPr>
              <w:t>施</w:t>
            </w:r>
            <w:r>
              <w:rPr>
                <w:rFonts w:ascii="宋体" w:hAnsi="宋体" w:eastAsia="宋体" w:cs="宋体"/>
                <w:spacing w:val="8"/>
                <w:sz w:val="20"/>
                <w:szCs w:val="20"/>
              </w:rPr>
              <w:t>工作业也会对施工场地附近及道路两侧的植被、农作物造成破坏。项目沿线属开发程度</w:t>
            </w:r>
            <w:r>
              <w:rPr>
                <w:rFonts w:ascii="宋体" w:hAnsi="宋体" w:eastAsia="宋体" w:cs="宋体"/>
                <w:sz w:val="20"/>
                <w:szCs w:val="20"/>
              </w:rPr>
              <w:t xml:space="preserve"> </w:t>
            </w:r>
            <w:r>
              <w:rPr>
                <w:rFonts w:ascii="宋体" w:hAnsi="宋体" w:eastAsia="宋体" w:cs="宋体"/>
                <w:spacing w:val="8"/>
                <w:sz w:val="20"/>
                <w:szCs w:val="20"/>
              </w:rPr>
              <w:t>较高的城乡</w:t>
            </w:r>
            <w:r>
              <w:rPr>
                <w:rFonts w:hint="eastAsia" w:ascii="宋体" w:hAnsi="宋体" w:eastAsia="宋体" w:cs="宋体"/>
                <w:spacing w:val="8"/>
                <w:sz w:val="20"/>
                <w:szCs w:val="20"/>
                <w:lang w:val="en-US" w:eastAsia="zh-CN"/>
              </w:rPr>
              <w:t>接</w:t>
            </w:r>
            <w:r>
              <w:rPr>
                <w:rFonts w:ascii="宋体" w:hAnsi="宋体" w:eastAsia="宋体" w:cs="宋体"/>
                <w:spacing w:val="8"/>
                <w:sz w:val="20"/>
                <w:szCs w:val="20"/>
              </w:rPr>
              <w:t>合区域，以人工种植为主，生物多样性程度低，项目建设区内无珍稀濒危植</w:t>
            </w:r>
            <w:r>
              <w:rPr>
                <w:rFonts w:ascii="宋体" w:hAnsi="宋体" w:eastAsia="宋体" w:cs="宋体"/>
                <w:sz w:val="20"/>
                <w:szCs w:val="20"/>
              </w:rPr>
              <w:t xml:space="preserve"> </w:t>
            </w:r>
            <w:r>
              <w:rPr>
                <w:rFonts w:ascii="宋体" w:hAnsi="宋体" w:eastAsia="宋体" w:cs="宋体"/>
                <w:spacing w:val="10"/>
                <w:sz w:val="20"/>
                <w:szCs w:val="20"/>
              </w:rPr>
              <w:t>物</w:t>
            </w:r>
            <w:r>
              <w:rPr>
                <w:rFonts w:ascii="宋体" w:hAnsi="宋体" w:eastAsia="宋体" w:cs="宋体"/>
                <w:spacing w:val="8"/>
                <w:sz w:val="20"/>
                <w:szCs w:val="20"/>
              </w:rPr>
              <w:t>种类、无国家重点保护野生植物种类，无生态保护敏感目标；且项目施工期不长，施工</w:t>
            </w:r>
            <w:r>
              <w:rPr>
                <w:rFonts w:ascii="宋体" w:hAnsi="宋体" w:eastAsia="宋体" w:cs="宋体"/>
                <w:sz w:val="20"/>
                <w:szCs w:val="20"/>
              </w:rPr>
              <w:t xml:space="preserve"> </w:t>
            </w:r>
            <w:r>
              <w:rPr>
                <w:rFonts w:ascii="宋体" w:hAnsi="宋体" w:eastAsia="宋体" w:cs="宋体"/>
                <w:spacing w:val="10"/>
                <w:sz w:val="20"/>
                <w:szCs w:val="20"/>
              </w:rPr>
              <w:t>完</w:t>
            </w:r>
            <w:r>
              <w:rPr>
                <w:rFonts w:ascii="宋体" w:hAnsi="宋体" w:eastAsia="宋体" w:cs="宋体"/>
                <w:spacing w:val="8"/>
                <w:sz w:val="20"/>
                <w:szCs w:val="20"/>
              </w:rPr>
              <w:t>成后，因建设破坏的植被均可在建设完成后得到恢复或重建。因此，施工期对陆地生态</w:t>
            </w:r>
            <w:r>
              <w:rPr>
                <w:rFonts w:ascii="宋体" w:hAnsi="宋体" w:eastAsia="宋体" w:cs="宋体"/>
                <w:sz w:val="20"/>
                <w:szCs w:val="20"/>
              </w:rPr>
              <w:t xml:space="preserve"> </w:t>
            </w:r>
            <w:r>
              <w:rPr>
                <w:rFonts w:ascii="宋体" w:hAnsi="宋体" w:eastAsia="宋体" w:cs="宋体"/>
                <w:spacing w:val="8"/>
                <w:sz w:val="20"/>
                <w:szCs w:val="20"/>
              </w:rPr>
              <w:t>环</w:t>
            </w:r>
            <w:r>
              <w:rPr>
                <w:rFonts w:ascii="宋体" w:hAnsi="宋体" w:eastAsia="宋体" w:cs="宋体"/>
                <w:spacing w:val="7"/>
                <w:sz w:val="20"/>
                <w:szCs w:val="20"/>
              </w:rPr>
              <w:t>境影响较小。</w:t>
            </w:r>
          </w:p>
          <w:p>
            <w:pPr>
              <w:spacing w:line="230" w:lineRule="auto"/>
              <w:ind w:left="512"/>
              <w:rPr>
                <w:rFonts w:ascii="宋体" w:hAnsi="宋体" w:eastAsia="宋体" w:cs="宋体"/>
                <w:sz w:val="20"/>
                <w:szCs w:val="20"/>
              </w:rPr>
            </w:pPr>
            <w:r>
              <w:rPr>
                <w:rFonts w:ascii="宋体" w:hAnsi="宋体" w:eastAsia="宋体" w:cs="宋体"/>
                <w:spacing w:val="16"/>
                <w:sz w:val="20"/>
                <w:szCs w:val="20"/>
              </w:rPr>
              <w:t>因</w:t>
            </w:r>
            <w:r>
              <w:rPr>
                <w:rFonts w:ascii="宋体" w:hAnsi="宋体" w:eastAsia="宋体" w:cs="宋体"/>
                <w:spacing w:val="9"/>
                <w:sz w:val="20"/>
                <w:szCs w:val="20"/>
              </w:rPr>
              <w:t>此</w:t>
            </w:r>
            <w:r>
              <w:rPr>
                <w:rFonts w:ascii="宋体" w:hAnsi="宋体" w:eastAsia="宋体" w:cs="宋体"/>
                <w:spacing w:val="8"/>
                <w:sz w:val="20"/>
                <w:szCs w:val="20"/>
              </w:rPr>
              <w:t>，项目施工期对植被及生物多样性的影响较小。</w:t>
            </w:r>
          </w:p>
          <w:p>
            <w:pPr>
              <w:spacing w:before="149" w:line="228" w:lineRule="auto"/>
              <w:ind w:left="537"/>
              <w:rPr>
                <w:rFonts w:ascii="宋体" w:hAnsi="宋体" w:eastAsia="宋体" w:cs="宋体"/>
                <w:sz w:val="20"/>
                <w:szCs w:val="20"/>
              </w:rPr>
            </w:pPr>
            <w:r>
              <w:rPr>
                <w:rFonts w:ascii="宋体" w:hAnsi="宋体" w:eastAsia="宋体" w:cs="宋体"/>
                <w:spacing w:val="19"/>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5"/>
                <w:sz w:val="20"/>
                <w:szCs w:val="20"/>
              </w:rPr>
              <w:t>3</w:t>
            </w:r>
            <w:r>
              <w:rPr>
                <w:rFonts w:ascii="宋体" w:hAnsi="宋体" w:eastAsia="宋体" w:cs="宋体"/>
                <w:spacing w:val="15"/>
                <w:sz w:val="20"/>
                <w:szCs w:val="20"/>
                <w14:textOutline w14:w="3795" w14:cap="sq" w14:cmpd="sng">
                  <w14:solidFill>
                    <w14:srgbClr w14:val="000000"/>
                  </w14:solidFill>
                  <w14:prstDash w14:val="solid"/>
                  <w14:bevel/>
                </w14:textOutline>
              </w:rPr>
              <w:t>)</w:t>
            </w:r>
            <w:r>
              <w:rPr>
                <w:rFonts w:ascii="宋体" w:hAnsi="宋体" w:eastAsia="宋体" w:cs="宋体"/>
                <w:spacing w:val="15"/>
                <w:sz w:val="20"/>
                <w:szCs w:val="20"/>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对陆生动物的影响分析</w:t>
            </w:r>
          </w:p>
          <w:p>
            <w:pPr>
              <w:spacing w:before="154" w:line="369" w:lineRule="auto"/>
              <w:ind w:left="76" w:right="71" w:firstLine="420"/>
              <w:rPr>
                <w:rFonts w:ascii="宋体" w:hAnsi="宋体" w:eastAsia="宋体" w:cs="宋体"/>
                <w:sz w:val="20"/>
                <w:szCs w:val="20"/>
              </w:rPr>
            </w:pPr>
            <w:r>
              <w:rPr>
                <w:rFonts w:ascii="宋体" w:hAnsi="宋体" w:eastAsia="宋体" w:cs="宋体"/>
                <w:spacing w:val="16"/>
                <w:sz w:val="20"/>
                <w:szCs w:val="20"/>
              </w:rPr>
              <w:t>本项目</w:t>
            </w:r>
            <w:r>
              <w:rPr>
                <w:rFonts w:ascii="宋体" w:hAnsi="宋体" w:eastAsia="宋体" w:cs="宋体"/>
                <w:spacing w:val="12"/>
                <w:sz w:val="20"/>
                <w:szCs w:val="20"/>
              </w:rPr>
              <w:t>评</w:t>
            </w:r>
            <w:r>
              <w:rPr>
                <w:rFonts w:ascii="宋体" w:hAnsi="宋体" w:eastAsia="宋体" w:cs="宋体"/>
                <w:spacing w:val="8"/>
                <w:sz w:val="20"/>
                <w:szCs w:val="20"/>
              </w:rPr>
              <w:t>价范围内为城市开发建设区，人类生产活动频繁，自然环境开发程度高，主</w:t>
            </w:r>
            <w:r>
              <w:rPr>
                <w:rFonts w:ascii="宋体" w:hAnsi="宋体" w:eastAsia="宋体" w:cs="宋体"/>
                <w:sz w:val="20"/>
                <w:szCs w:val="20"/>
              </w:rPr>
              <w:t xml:space="preserve"> </w:t>
            </w:r>
            <w:r>
              <w:rPr>
                <w:rFonts w:ascii="宋体" w:hAnsi="宋体" w:eastAsia="宋体" w:cs="宋体"/>
                <w:spacing w:val="9"/>
                <w:sz w:val="20"/>
                <w:szCs w:val="20"/>
              </w:rPr>
              <w:t>要野生动物是适应于荒山灌丛、农耕区域和人居环境的小型常见动物，无珍稀野生保护</w:t>
            </w:r>
            <w:r>
              <w:rPr>
                <w:rFonts w:ascii="宋体" w:hAnsi="宋体" w:eastAsia="宋体" w:cs="宋体"/>
                <w:spacing w:val="2"/>
                <w:sz w:val="20"/>
                <w:szCs w:val="20"/>
              </w:rPr>
              <w:t>动</w:t>
            </w:r>
            <w:r>
              <w:rPr>
                <w:rFonts w:ascii="宋体" w:hAnsi="宋体" w:eastAsia="宋体" w:cs="宋体"/>
                <w:sz w:val="20"/>
                <w:szCs w:val="20"/>
              </w:rPr>
              <w:t xml:space="preserve"> </w:t>
            </w:r>
            <w:r>
              <w:rPr>
                <w:rFonts w:ascii="宋体" w:hAnsi="宋体" w:eastAsia="宋体" w:cs="宋体"/>
                <w:spacing w:val="18"/>
                <w:sz w:val="20"/>
                <w:szCs w:val="20"/>
              </w:rPr>
              <w:t>物。</w:t>
            </w:r>
            <w:r>
              <w:rPr>
                <w:rFonts w:ascii="宋体" w:hAnsi="宋体" w:eastAsia="宋体" w:cs="宋体"/>
                <w:spacing w:val="9"/>
                <w:sz w:val="20"/>
                <w:szCs w:val="20"/>
              </w:rPr>
              <w:t>经调查，项目评价区内无珍稀濒危野生动植物分布，无国家或市级珍稀保护物种。</w:t>
            </w:r>
          </w:p>
          <w:p>
            <w:pPr>
              <w:spacing w:before="2" w:line="369" w:lineRule="auto"/>
              <w:ind w:left="78" w:right="71" w:firstLine="420"/>
              <w:rPr>
                <w:rFonts w:ascii="宋体" w:hAnsi="宋体" w:eastAsia="宋体" w:cs="宋体"/>
                <w:sz w:val="20"/>
                <w:szCs w:val="20"/>
              </w:rPr>
            </w:pPr>
            <w:r>
              <w:rPr>
                <w:rFonts w:ascii="宋体" w:hAnsi="宋体" w:eastAsia="宋体" w:cs="宋体"/>
                <w:spacing w:val="16"/>
                <w:sz w:val="20"/>
                <w:szCs w:val="20"/>
              </w:rPr>
              <w:t>项目施</w:t>
            </w:r>
            <w:r>
              <w:rPr>
                <w:rFonts w:ascii="宋体" w:hAnsi="宋体" w:eastAsia="宋体" w:cs="宋体"/>
                <w:spacing w:val="9"/>
                <w:sz w:val="20"/>
                <w:szCs w:val="20"/>
              </w:rPr>
              <w:t>工</w:t>
            </w:r>
            <w:r>
              <w:rPr>
                <w:rFonts w:ascii="宋体" w:hAnsi="宋体" w:eastAsia="宋体" w:cs="宋体"/>
                <w:spacing w:val="8"/>
                <w:sz w:val="20"/>
                <w:szCs w:val="20"/>
              </w:rPr>
              <w:t>过程中对陆生动物的影响主要为：施工占地影响动物的生存环境，但由于施</w:t>
            </w:r>
            <w:r>
              <w:rPr>
                <w:rFonts w:ascii="宋体" w:hAnsi="宋体" w:eastAsia="宋体" w:cs="宋体"/>
                <w:sz w:val="20"/>
                <w:szCs w:val="20"/>
              </w:rPr>
              <w:t xml:space="preserve"> </w:t>
            </w:r>
            <w:r>
              <w:rPr>
                <w:rFonts w:ascii="宋体" w:hAnsi="宋体" w:eastAsia="宋体" w:cs="宋体"/>
                <w:spacing w:val="16"/>
                <w:sz w:val="20"/>
                <w:szCs w:val="20"/>
              </w:rPr>
              <w:t>工占地</w:t>
            </w:r>
            <w:r>
              <w:rPr>
                <w:rFonts w:ascii="宋体" w:hAnsi="宋体" w:eastAsia="宋体" w:cs="宋体"/>
                <w:spacing w:val="14"/>
                <w:sz w:val="20"/>
                <w:szCs w:val="20"/>
              </w:rPr>
              <w:t>面</w:t>
            </w:r>
            <w:r>
              <w:rPr>
                <w:rFonts w:ascii="宋体" w:hAnsi="宋体" w:eastAsia="宋体" w:cs="宋体"/>
                <w:spacing w:val="8"/>
                <w:sz w:val="20"/>
                <w:szCs w:val="20"/>
              </w:rPr>
              <w:t>积不大，局部破坏对物种本身的生存和总体数量规模不形成威胁，并且施工临时</w:t>
            </w:r>
            <w:r>
              <w:rPr>
                <w:rFonts w:ascii="宋体" w:hAnsi="宋体" w:eastAsia="宋体" w:cs="宋体"/>
                <w:sz w:val="20"/>
                <w:szCs w:val="20"/>
              </w:rPr>
              <w:t xml:space="preserve"> </w:t>
            </w:r>
            <w:r>
              <w:rPr>
                <w:rFonts w:ascii="宋体" w:hAnsi="宋体" w:eastAsia="宋体" w:cs="宋体"/>
                <w:spacing w:val="16"/>
                <w:sz w:val="20"/>
                <w:szCs w:val="20"/>
              </w:rPr>
              <w:t>占地也</w:t>
            </w:r>
            <w:r>
              <w:rPr>
                <w:rFonts w:ascii="宋体" w:hAnsi="宋体" w:eastAsia="宋体" w:cs="宋体"/>
                <w:spacing w:val="14"/>
                <w:sz w:val="20"/>
                <w:szCs w:val="20"/>
              </w:rPr>
              <w:t>将</w:t>
            </w:r>
            <w:r>
              <w:rPr>
                <w:rFonts w:ascii="宋体" w:hAnsi="宋体" w:eastAsia="宋体" w:cs="宋体"/>
                <w:spacing w:val="8"/>
                <w:sz w:val="20"/>
                <w:szCs w:val="20"/>
              </w:rPr>
              <w:t>在施工结束后进行恢复，因此对陆生动物影响很小。工程对陆生动物的影响只是</w:t>
            </w:r>
            <w:r>
              <w:rPr>
                <w:rFonts w:ascii="宋体" w:hAnsi="宋体" w:eastAsia="宋体" w:cs="宋体"/>
                <w:sz w:val="20"/>
                <w:szCs w:val="20"/>
              </w:rPr>
              <w:t xml:space="preserve"> </w:t>
            </w:r>
            <w:r>
              <w:rPr>
                <w:rFonts w:ascii="宋体" w:hAnsi="宋体" w:eastAsia="宋体" w:cs="宋体"/>
                <w:spacing w:val="16"/>
                <w:sz w:val="20"/>
                <w:szCs w:val="20"/>
              </w:rPr>
              <w:t>暂</w:t>
            </w:r>
            <w:r>
              <w:rPr>
                <w:rFonts w:ascii="宋体" w:hAnsi="宋体" w:eastAsia="宋体" w:cs="宋体"/>
                <w:spacing w:val="10"/>
                <w:sz w:val="20"/>
                <w:szCs w:val="20"/>
              </w:rPr>
              <w:t>时</w:t>
            </w:r>
            <w:r>
              <w:rPr>
                <w:rFonts w:ascii="宋体" w:hAnsi="宋体" w:eastAsia="宋体" w:cs="宋体"/>
                <w:spacing w:val="8"/>
                <w:sz w:val="20"/>
                <w:szCs w:val="20"/>
              </w:rPr>
              <w:t>的，随着施工结束而逐渐消失。</w:t>
            </w:r>
          </w:p>
          <w:p>
            <w:pPr>
              <w:spacing w:line="228" w:lineRule="auto"/>
              <w:ind w:left="537"/>
              <w:rPr>
                <w:rFonts w:ascii="宋体" w:hAnsi="宋体" w:eastAsia="宋体" w:cs="宋体"/>
                <w:sz w:val="20"/>
                <w:szCs w:val="20"/>
              </w:rPr>
            </w:pPr>
            <w:r>
              <w:rPr>
                <w:rFonts w:ascii="宋体" w:hAnsi="宋体" w:eastAsia="宋体" w:cs="宋体"/>
                <w:spacing w:val="19"/>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5"/>
                <w:sz w:val="20"/>
                <w:szCs w:val="20"/>
              </w:rPr>
              <w:t>4</w:t>
            </w:r>
            <w:r>
              <w:rPr>
                <w:rFonts w:ascii="宋体" w:hAnsi="宋体" w:eastAsia="宋体" w:cs="宋体"/>
                <w:spacing w:val="15"/>
                <w:sz w:val="20"/>
                <w:szCs w:val="20"/>
                <w14:textOutline w14:w="3795" w14:cap="sq" w14:cmpd="sng">
                  <w14:solidFill>
                    <w14:srgbClr w14:val="000000"/>
                  </w14:solidFill>
                  <w14:prstDash w14:val="solid"/>
                  <w14:bevel/>
                </w14:textOutline>
              </w:rPr>
              <w:t>)</w:t>
            </w:r>
            <w:r>
              <w:rPr>
                <w:rFonts w:ascii="宋体" w:hAnsi="宋体" w:eastAsia="宋体" w:cs="宋体"/>
                <w:spacing w:val="15"/>
                <w:sz w:val="20"/>
                <w:szCs w:val="20"/>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施工对生态环境的影响</w:t>
            </w:r>
          </w:p>
          <w:p>
            <w:pPr>
              <w:spacing w:before="155" w:line="369" w:lineRule="auto"/>
              <w:ind w:left="75" w:right="71" w:firstLine="424"/>
              <w:rPr>
                <w:rFonts w:ascii="宋体" w:hAnsi="宋体" w:eastAsia="宋体" w:cs="宋体"/>
                <w:sz w:val="20"/>
                <w:szCs w:val="20"/>
              </w:rPr>
            </w:pPr>
            <w:r>
              <w:rPr>
                <w:rFonts w:ascii="宋体" w:hAnsi="宋体" w:eastAsia="宋体" w:cs="宋体"/>
                <w:spacing w:val="16"/>
                <w:sz w:val="20"/>
                <w:szCs w:val="20"/>
              </w:rPr>
              <w:t>项目施</w:t>
            </w:r>
            <w:r>
              <w:rPr>
                <w:rFonts w:ascii="宋体" w:hAnsi="宋体" w:eastAsia="宋体" w:cs="宋体"/>
                <w:spacing w:val="9"/>
                <w:sz w:val="20"/>
                <w:szCs w:val="20"/>
              </w:rPr>
              <w:t>工</w:t>
            </w:r>
            <w:r>
              <w:rPr>
                <w:rFonts w:ascii="宋体" w:hAnsi="宋体" w:eastAsia="宋体" w:cs="宋体"/>
                <w:spacing w:val="8"/>
                <w:sz w:val="20"/>
                <w:szCs w:val="20"/>
              </w:rPr>
              <w:t>在生态影响方面主要体现在项目施工占地、开挖等施工活动对土地、植被以</w:t>
            </w:r>
            <w:r>
              <w:rPr>
                <w:rFonts w:ascii="宋体" w:hAnsi="宋体" w:eastAsia="宋体" w:cs="宋体"/>
                <w:sz w:val="20"/>
                <w:szCs w:val="20"/>
              </w:rPr>
              <w:t xml:space="preserve"> </w:t>
            </w:r>
            <w:r>
              <w:rPr>
                <w:rFonts w:ascii="宋体" w:hAnsi="宋体" w:eastAsia="宋体" w:cs="宋体"/>
                <w:spacing w:val="27"/>
                <w:sz w:val="20"/>
                <w:szCs w:val="20"/>
              </w:rPr>
              <w:t>及</w:t>
            </w:r>
            <w:r>
              <w:rPr>
                <w:rFonts w:ascii="宋体" w:hAnsi="宋体" w:eastAsia="宋体" w:cs="宋体"/>
                <w:spacing w:val="14"/>
                <w:sz w:val="20"/>
                <w:szCs w:val="20"/>
              </w:rPr>
              <w:t>动物栖息地造成一定的影响和破坏，使局部地区表土失去防冲固土能力造成的水土流</w:t>
            </w:r>
            <w:r>
              <w:rPr>
                <w:rFonts w:ascii="宋体" w:hAnsi="宋体" w:eastAsia="宋体" w:cs="宋体"/>
                <w:sz w:val="20"/>
                <w:szCs w:val="20"/>
              </w:rPr>
              <w:t xml:space="preserve"> </w:t>
            </w:r>
            <w:r>
              <w:rPr>
                <w:rFonts w:ascii="宋体" w:hAnsi="宋体" w:eastAsia="宋体" w:cs="宋体"/>
                <w:spacing w:val="9"/>
                <w:sz w:val="20"/>
                <w:szCs w:val="20"/>
              </w:rPr>
              <w:t>失，同时将对占地范围内的陆生植被、景观产生影响。根据调查，项目占地区域的植被</w:t>
            </w:r>
            <w:r>
              <w:rPr>
                <w:rFonts w:ascii="宋体" w:hAnsi="宋体" w:eastAsia="宋体" w:cs="宋体"/>
                <w:spacing w:val="3"/>
                <w:sz w:val="20"/>
                <w:szCs w:val="20"/>
              </w:rPr>
              <w:t>以</w:t>
            </w:r>
            <w:r>
              <w:rPr>
                <w:rFonts w:ascii="宋体" w:hAnsi="宋体" w:eastAsia="宋体" w:cs="宋体"/>
                <w:sz w:val="20"/>
                <w:szCs w:val="20"/>
              </w:rPr>
              <w:t xml:space="preserve"> </w:t>
            </w:r>
            <w:r>
              <w:rPr>
                <w:rFonts w:ascii="宋体" w:hAnsi="宋体" w:eastAsia="宋体" w:cs="宋体"/>
                <w:spacing w:val="9"/>
                <w:sz w:val="20"/>
                <w:szCs w:val="20"/>
              </w:rPr>
              <w:t>城市绿化为主，物种组成较为常见，且占用的面积较小，区域现有植被类型组成及分布</w:t>
            </w:r>
            <w:r>
              <w:rPr>
                <w:rFonts w:ascii="宋体" w:hAnsi="宋体" w:eastAsia="宋体" w:cs="宋体"/>
                <w:spacing w:val="3"/>
                <w:sz w:val="20"/>
                <w:szCs w:val="20"/>
              </w:rPr>
              <w:t>格</w:t>
            </w:r>
            <w:r>
              <w:rPr>
                <w:rFonts w:ascii="宋体" w:hAnsi="宋体" w:eastAsia="宋体" w:cs="宋体"/>
                <w:sz w:val="20"/>
                <w:szCs w:val="20"/>
              </w:rPr>
              <w:t xml:space="preserve"> </w:t>
            </w:r>
            <w:r>
              <w:rPr>
                <w:rFonts w:ascii="宋体" w:hAnsi="宋体" w:eastAsia="宋体" w:cs="宋体"/>
                <w:spacing w:val="9"/>
                <w:sz w:val="20"/>
                <w:szCs w:val="20"/>
              </w:rPr>
              <w:t>局不会因本工程的建设而发生改变，另外施工作业中人员活动、机械噪声可能会干扰陆</w:t>
            </w:r>
            <w:r>
              <w:rPr>
                <w:rFonts w:ascii="宋体" w:hAnsi="宋体" w:eastAsia="宋体" w:cs="宋体"/>
                <w:spacing w:val="3"/>
                <w:sz w:val="20"/>
                <w:szCs w:val="20"/>
              </w:rPr>
              <w:t>生</w:t>
            </w:r>
            <w:r>
              <w:rPr>
                <w:rFonts w:ascii="宋体" w:hAnsi="宋体" w:eastAsia="宋体" w:cs="宋体"/>
                <w:sz w:val="20"/>
                <w:szCs w:val="20"/>
              </w:rPr>
              <w:t xml:space="preserve"> </w:t>
            </w:r>
            <w:r>
              <w:rPr>
                <w:rFonts w:ascii="宋体" w:hAnsi="宋体" w:eastAsia="宋体" w:cs="宋体"/>
                <w:spacing w:val="9"/>
                <w:sz w:val="20"/>
                <w:szCs w:val="20"/>
              </w:rPr>
              <w:t>动物的生境，使其被迫迁徙，但区域的陆生动物均为当地常见是且有广泛的生活区域，</w:t>
            </w:r>
            <w:r>
              <w:rPr>
                <w:rFonts w:ascii="宋体" w:hAnsi="宋体" w:eastAsia="宋体" w:cs="宋体"/>
                <w:spacing w:val="3"/>
                <w:sz w:val="20"/>
                <w:szCs w:val="20"/>
              </w:rPr>
              <w:t>迁</w:t>
            </w:r>
            <w:r>
              <w:rPr>
                <w:rFonts w:ascii="宋体" w:hAnsi="宋体" w:eastAsia="宋体" w:cs="宋体"/>
                <w:sz w:val="20"/>
                <w:szCs w:val="20"/>
              </w:rPr>
              <w:t xml:space="preserve"> </w:t>
            </w:r>
            <w:r>
              <w:rPr>
                <w:rFonts w:ascii="宋体" w:hAnsi="宋体" w:eastAsia="宋体" w:cs="宋体"/>
                <w:spacing w:val="9"/>
                <w:sz w:val="20"/>
                <w:szCs w:val="20"/>
              </w:rPr>
              <w:t>徙能力和环境适应能力均较强，工程建设对区域生态完整性的破坏影响较小。项目施工</w:t>
            </w:r>
            <w:r>
              <w:rPr>
                <w:rFonts w:ascii="宋体" w:hAnsi="宋体" w:eastAsia="宋体" w:cs="宋体"/>
                <w:spacing w:val="3"/>
                <w:sz w:val="20"/>
                <w:szCs w:val="20"/>
              </w:rPr>
              <w:t>时</w:t>
            </w:r>
            <w:r>
              <w:rPr>
                <w:rFonts w:ascii="宋体" w:hAnsi="宋体" w:eastAsia="宋体" w:cs="宋体"/>
                <w:sz w:val="20"/>
                <w:szCs w:val="20"/>
              </w:rPr>
              <w:t xml:space="preserve"> </w:t>
            </w:r>
            <w:r>
              <w:rPr>
                <w:rFonts w:ascii="宋体" w:hAnsi="宋体" w:eastAsia="宋体" w:cs="宋体"/>
                <w:spacing w:val="9"/>
                <w:sz w:val="20"/>
                <w:szCs w:val="20"/>
              </w:rPr>
              <w:t>间较短，不会对区域生态系统造成影响</w:t>
            </w:r>
            <w:r>
              <w:rPr>
                <w:rFonts w:ascii="宋体" w:hAnsi="宋体" w:eastAsia="宋体" w:cs="宋体"/>
                <w:spacing w:val="8"/>
                <w:sz w:val="20"/>
                <w:szCs w:val="20"/>
              </w:rPr>
              <w:t>。</w:t>
            </w:r>
          </w:p>
          <w:p>
            <w:pPr>
              <w:spacing w:before="1" w:line="227" w:lineRule="auto"/>
              <w:ind w:left="537"/>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5"/>
                <w:sz w:val="20"/>
                <w:szCs w:val="20"/>
              </w:rPr>
              <w:t>5</w:t>
            </w:r>
            <w:r>
              <w:rPr>
                <w:rFonts w:ascii="宋体" w:hAnsi="宋体" w:eastAsia="宋体" w:cs="宋体"/>
                <w:spacing w:val="15"/>
                <w:sz w:val="20"/>
                <w:szCs w:val="20"/>
                <w14:textOutline w14:w="3795" w14:cap="sq" w14:cmpd="sng">
                  <w14:solidFill>
                    <w14:srgbClr w14:val="000000"/>
                  </w14:solidFill>
                  <w14:prstDash w14:val="solid"/>
                  <w14:bevel/>
                </w14:textOutline>
              </w:rPr>
              <w:t>)</w:t>
            </w:r>
            <w:r>
              <w:rPr>
                <w:rFonts w:ascii="宋体" w:hAnsi="宋体" w:eastAsia="宋体" w:cs="宋体"/>
                <w:spacing w:val="15"/>
                <w:sz w:val="20"/>
                <w:szCs w:val="20"/>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对生态和景观的影响</w:t>
            </w:r>
          </w:p>
          <w:p>
            <w:pPr>
              <w:spacing w:before="151" w:line="228" w:lineRule="auto"/>
              <w:ind w:left="495"/>
              <w:rPr>
                <w:rFonts w:ascii="宋体" w:hAnsi="宋体" w:eastAsia="宋体" w:cs="宋体"/>
                <w:sz w:val="20"/>
                <w:szCs w:val="20"/>
              </w:rPr>
            </w:pPr>
            <w:r>
              <w:rPr>
                <w:rFonts w:ascii="宋体" w:hAnsi="宋体" w:eastAsia="宋体" w:cs="宋体"/>
                <w:spacing w:val="28"/>
                <w:sz w:val="20"/>
                <w:szCs w:val="20"/>
              </w:rPr>
              <w:t>道</w:t>
            </w:r>
            <w:r>
              <w:rPr>
                <w:rFonts w:ascii="宋体" w:hAnsi="宋体" w:eastAsia="宋体" w:cs="宋体"/>
                <w:spacing w:val="21"/>
                <w:sz w:val="20"/>
                <w:szCs w:val="20"/>
              </w:rPr>
              <w:t>路</w:t>
            </w:r>
            <w:r>
              <w:rPr>
                <w:rFonts w:ascii="宋体" w:hAnsi="宋体" w:eastAsia="宋体" w:cs="宋体"/>
                <w:spacing w:val="14"/>
                <w:sz w:val="20"/>
                <w:szCs w:val="20"/>
              </w:rPr>
              <w:t>施工对生态环境的影响主要是施工期间的路基路面填挖土石方将破坏占地区域</w:t>
            </w:r>
          </w:p>
        </w:tc>
      </w:tr>
    </w:tbl>
    <w:p>
      <w:pPr>
        <w:spacing w:line="138" w:lineRule="exact"/>
        <w:rPr>
          <w:rFonts w:ascii="Arial"/>
          <w:sz w:val="12"/>
        </w:rPr>
      </w:pPr>
    </w:p>
    <w:p>
      <w:pPr>
        <w:sectPr>
          <w:footerReference r:id="rId73" w:type="default"/>
          <w:pgSz w:w="11906" w:h="16839"/>
          <w:pgMar w:top="400" w:right="1472" w:bottom="1475" w:left="1471" w:header="0" w:footer="1315" w:gutter="0"/>
          <w:cols w:space="720" w:num="1"/>
        </w:sectPr>
      </w:pPr>
    </w:p>
    <w:p/>
    <w:p/>
    <w:p/>
    <w:p/>
    <w:p>
      <w:pPr>
        <w:spacing w:line="221" w:lineRule="exact"/>
      </w:pPr>
    </w:p>
    <w:tbl>
      <w:tblPr>
        <w:tblStyle w:val="4"/>
        <w:tblW w:w="894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83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7" w:hRule="atLeast"/>
        </w:trPr>
        <w:tc>
          <w:tcPr>
            <w:tcW w:w="644" w:type="dxa"/>
            <w:tcBorders>
              <w:left w:val="single" w:color="00000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31" w:lineRule="auto"/>
              <w:ind w:left="8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施工</w:t>
            </w:r>
          </w:p>
          <w:p>
            <w:pPr>
              <w:spacing w:before="21" w:line="228" w:lineRule="auto"/>
              <w:ind w:left="91"/>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期生</w:t>
            </w:r>
          </w:p>
          <w:p>
            <w:pPr>
              <w:spacing w:before="25" w:line="230" w:lineRule="auto"/>
              <w:ind w:left="8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态</w:t>
            </w:r>
            <w:r>
              <w:rPr>
                <w:rFonts w:ascii="宋体" w:hAnsi="宋体" w:eastAsia="宋体" w:cs="宋体"/>
                <w:spacing w:val="15"/>
                <w:sz w:val="20"/>
                <w:szCs w:val="20"/>
                <w14:textOutline w14:w="3795" w14:cap="sq" w14:cmpd="sng">
                  <w14:solidFill>
                    <w14:srgbClr w14:val="000000"/>
                  </w14:solidFill>
                  <w14:prstDash w14:val="solid"/>
                  <w14:bevel/>
                </w14:textOutline>
              </w:rPr>
              <w:t>环</w:t>
            </w:r>
          </w:p>
          <w:p>
            <w:pPr>
              <w:spacing w:before="22" w:line="228" w:lineRule="auto"/>
              <w:ind w:left="89"/>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境影</w:t>
            </w:r>
          </w:p>
          <w:p>
            <w:pPr>
              <w:spacing w:before="25" w:line="228" w:lineRule="auto"/>
              <w:ind w:left="99"/>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响分</w:t>
            </w:r>
          </w:p>
          <w:p>
            <w:pPr>
              <w:spacing w:before="26" w:line="228" w:lineRule="auto"/>
              <w:ind w:left="205"/>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析</w:t>
            </w:r>
          </w:p>
        </w:tc>
        <w:tc>
          <w:tcPr>
            <w:tcW w:w="8303" w:type="dxa"/>
            <w:tcBorders>
              <w:right w:val="single" w:color="000000" w:sz="6" w:space="0"/>
            </w:tcBorders>
            <w:vAlign w:val="top"/>
          </w:tcPr>
          <w:p>
            <w:pPr>
              <w:spacing w:before="151" w:line="370" w:lineRule="auto"/>
              <w:ind w:left="75" w:right="17" w:firstLine="17"/>
              <w:rPr>
                <w:rFonts w:ascii="宋体" w:hAnsi="宋体" w:eastAsia="宋体" w:cs="宋体"/>
                <w:sz w:val="20"/>
                <w:szCs w:val="20"/>
              </w:rPr>
            </w:pPr>
            <w:r>
              <w:rPr>
                <w:rFonts w:ascii="宋体" w:hAnsi="宋体" w:eastAsia="宋体" w:cs="宋体"/>
                <w:spacing w:val="8"/>
                <w:sz w:val="20"/>
                <w:szCs w:val="20"/>
              </w:rPr>
              <w:t>的植被，造</w:t>
            </w:r>
            <w:r>
              <w:rPr>
                <w:rFonts w:ascii="宋体" w:hAnsi="宋体" w:eastAsia="宋体" w:cs="宋体"/>
                <w:spacing w:val="6"/>
                <w:sz w:val="20"/>
                <w:szCs w:val="20"/>
              </w:rPr>
              <w:t>成</w:t>
            </w:r>
            <w:r>
              <w:rPr>
                <w:rFonts w:ascii="宋体" w:hAnsi="宋体" w:eastAsia="宋体" w:cs="宋体"/>
                <w:spacing w:val="4"/>
                <w:sz w:val="20"/>
                <w:szCs w:val="20"/>
              </w:rPr>
              <w:t>地表裸露，破坏沿线区域的生态结构，项目建设将占用部分城市绿地、坡地，</w:t>
            </w:r>
            <w:r>
              <w:rPr>
                <w:rFonts w:ascii="宋体" w:hAnsi="宋体" w:eastAsia="宋体" w:cs="宋体"/>
                <w:sz w:val="20"/>
                <w:szCs w:val="20"/>
              </w:rPr>
              <w:t xml:space="preserve"> </w:t>
            </w:r>
            <w:r>
              <w:rPr>
                <w:rFonts w:ascii="宋体" w:hAnsi="宋体" w:eastAsia="宋体" w:cs="宋体"/>
                <w:spacing w:val="9"/>
                <w:sz w:val="20"/>
                <w:szCs w:val="20"/>
              </w:rPr>
              <w:t>破坏原有的植被现状。从植被分布现状调查的结果看，项目直接影响的植被类型主要是</w:t>
            </w:r>
            <w:r>
              <w:rPr>
                <w:rFonts w:ascii="宋体" w:hAnsi="宋体" w:eastAsia="宋体" w:cs="宋体"/>
                <w:spacing w:val="3"/>
                <w:sz w:val="20"/>
                <w:szCs w:val="20"/>
              </w:rPr>
              <w:t>城</w:t>
            </w:r>
            <w:r>
              <w:rPr>
                <w:rFonts w:ascii="宋体" w:hAnsi="宋体" w:eastAsia="宋体" w:cs="宋体"/>
                <w:sz w:val="20"/>
                <w:szCs w:val="20"/>
              </w:rPr>
              <w:t xml:space="preserve"> </w:t>
            </w:r>
            <w:r>
              <w:rPr>
                <w:rFonts w:ascii="宋体" w:hAnsi="宋体" w:eastAsia="宋体" w:cs="宋体"/>
                <w:spacing w:val="9"/>
                <w:sz w:val="20"/>
                <w:szCs w:val="20"/>
              </w:rPr>
              <w:t>市绿地，群落的生物多样性低。拟建工程占地主要是交通运输用地、水域、城市绿地，</w:t>
            </w:r>
            <w:r>
              <w:rPr>
                <w:rFonts w:ascii="宋体" w:hAnsi="宋体" w:eastAsia="宋体" w:cs="宋体"/>
                <w:spacing w:val="3"/>
                <w:sz w:val="20"/>
                <w:szCs w:val="20"/>
              </w:rPr>
              <w:t>项</w:t>
            </w:r>
            <w:r>
              <w:rPr>
                <w:rFonts w:ascii="宋体" w:hAnsi="宋体" w:eastAsia="宋体" w:cs="宋体"/>
                <w:sz w:val="20"/>
                <w:szCs w:val="20"/>
              </w:rPr>
              <w:t xml:space="preserve"> </w:t>
            </w:r>
            <w:r>
              <w:rPr>
                <w:rFonts w:ascii="宋体" w:hAnsi="宋体" w:eastAsia="宋体" w:cs="宋体"/>
                <w:spacing w:val="11"/>
                <w:sz w:val="20"/>
                <w:szCs w:val="20"/>
              </w:rPr>
              <w:t>目</w:t>
            </w:r>
            <w:r>
              <w:rPr>
                <w:rFonts w:ascii="宋体" w:hAnsi="宋体" w:eastAsia="宋体" w:cs="宋体"/>
                <w:spacing w:val="6"/>
                <w:sz w:val="20"/>
                <w:szCs w:val="20"/>
              </w:rPr>
              <w:t xml:space="preserve"> 占地较小不会导致区域自然生态体系生产能力和稳定状况的发生改变，对本区域生态完</w:t>
            </w:r>
            <w:r>
              <w:rPr>
                <w:rFonts w:ascii="宋体" w:hAnsi="宋体" w:eastAsia="宋体" w:cs="宋体"/>
                <w:sz w:val="20"/>
                <w:szCs w:val="20"/>
              </w:rPr>
              <w:t xml:space="preserve"> </w:t>
            </w:r>
            <w:r>
              <w:rPr>
                <w:rFonts w:ascii="宋体" w:hAnsi="宋体" w:eastAsia="宋体" w:cs="宋体"/>
                <w:spacing w:val="8"/>
                <w:sz w:val="20"/>
                <w:szCs w:val="20"/>
              </w:rPr>
              <w:t>整性影响微乎其微</w:t>
            </w:r>
            <w:r>
              <w:rPr>
                <w:rFonts w:ascii="宋体" w:hAnsi="宋体" w:eastAsia="宋体" w:cs="宋体"/>
                <w:spacing w:val="6"/>
                <w:sz w:val="20"/>
                <w:szCs w:val="20"/>
              </w:rPr>
              <w:t>。</w:t>
            </w:r>
          </w:p>
          <w:p>
            <w:pPr>
              <w:spacing w:before="1" w:line="369" w:lineRule="auto"/>
              <w:ind w:left="76" w:right="19" w:firstLine="420"/>
              <w:rPr>
                <w:rFonts w:ascii="宋体" w:hAnsi="宋体" w:eastAsia="宋体" w:cs="宋体"/>
                <w:sz w:val="20"/>
                <w:szCs w:val="20"/>
              </w:rPr>
            </w:pPr>
            <w:r>
              <w:rPr>
                <w:rFonts w:ascii="宋体" w:hAnsi="宋体" w:eastAsia="宋体" w:cs="宋体"/>
                <w:spacing w:val="16"/>
                <w:sz w:val="20"/>
                <w:szCs w:val="20"/>
              </w:rPr>
              <w:t>拟建桥</w:t>
            </w:r>
            <w:r>
              <w:rPr>
                <w:rFonts w:ascii="宋体" w:hAnsi="宋体" w:eastAsia="宋体" w:cs="宋体"/>
                <w:spacing w:val="12"/>
                <w:sz w:val="20"/>
                <w:szCs w:val="20"/>
              </w:rPr>
              <w:t>梁</w:t>
            </w:r>
            <w:r>
              <w:rPr>
                <w:rFonts w:ascii="宋体" w:hAnsi="宋体" w:eastAsia="宋体" w:cs="宋体"/>
                <w:spacing w:val="8"/>
                <w:sz w:val="20"/>
                <w:szCs w:val="20"/>
              </w:rPr>
              <w:t>工程填挖将严重破坏征地范围内的地表植被，形成与施工场地周围环境反差</w:t>
            </w:r>
            <w:r>
              <w:rPr>
                <w:rFonts w:ascii="宋体" w:hAnsi="宋体" w:eastAsia="宋体" w:cs="宋体"/>
                <w:sz w:val="20"/>
                <w:szCs w:val="20"/>
              </w:rPr>
              <w:t xml:space="preserve"> </w:t>
            </w:r>
            <w:r>
              <w:rPr>
                <w:rFonts w:ascii="宋体" w:hAnsi="宋体" w:eastAsia="宋体" w:cs="宋体"/>
                <w:spacing w:val="5"/>
                <w:sz w:val="20"/>
                <w:szCs w:val="20"/>
              </w:rPr>
              <w:t>较大、不相融的裸地景观，从而对施工场所周围人群的视觉产生极大冲击。更为严重的是</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26"/>
                <w:sz w:val="20"/>
                <w:szCs w:val="20"/>
              </w:rPr>
              <w:t>由</w:t>
            </w:r>
            <w:r>
              <w:rPr>
                <w:rFonts w:ascii="宋体" w:hAnsi="宋体" w:eastAsia="宋体" w:cs="宋体"/>
                <w:spacing w:val="14"/>
                <w:sz w:val="20"/>
                <w:szCs w:val="20"/>
              </w:rPr>
              <w:t>于对地表植被的完全破坏和工程区土壤的扰动，在雨季松散裸露的坡面易形成水土流</w:t>
            </w:r>
            <w:r>
              <w:rPr>
                <w:rFonts w:ascii="宋体" w:hAnsi="宋体" w:eastAsia="宋体" w:cs="宋体"/>
                <w:sz w:val="20"/>
                <w:szCs w:val="20"/>
              </w:rPr>
              <w:t xml:space="preserve"> </w:t>
            </w:r>
            <w:r>
              <w:rPr>
                <w:rFonts w:ascii="宋体" w:hAnsi="宋体" w:eastAsia="宋体" w:cs="宋体"/>
                <w:spacing w:val="9"/>
                <w:sz w:val="20"/>
                <w:szCs w:val="20"/>
              </w:rPr>
              <w:t>失，导致区域土壤侵蚀模数增大，对下游植被和水体产生影响，从而对区域景观环境质</w:t>
            </w:r>
            <w:r>
              <w:rPr>
                <w:rFonts w:ascii="宋体" w:hAnsi="宋体" w:eastAsia="宋体" w:cs="宋体"/>
                <w:spacing w:val="2"/>
                <w:sz w:val="20"/>
                <w:szCs w:val="20"/>
              </w:rPr>
              <w:t>量</w:t>
            </w:r>
            <w:r>
              <w:rPr>
                <w:rFonts w:ascii="宋体" w:hAnsi="宋体" w:eastAsia="宋体" w:cs="宋体"/>
                <w:sz w:val="20"/>
                <w:szCs w:val="20"/>
              </w:rPr>
              <w:t xml:space="preserve"> </w:t>
            </w:r>
            <w:r>
              <w:rPr>
                <w:rFonts w:ascii="宋体" w:hAnsi="宋体" w:eastAsia="宋体" w:cs="宋体"/>
                <w:spacing w:val="16"/>
                <w:sz w:val="20"/>
                <w:szCs w:val="20"/>
              </w:rPr>
              <w:t>产生影</w:t>
            </w:r>
            <w:r>
              <w:rPr>
                <w:rFonts w:ascii="宋体" w:hAnsi="宋体" w:eastAsia="宋体" w:cs="宋体"/>
                <w:spacing w:val="14"/>
                <w:sz w:val="20"/>
                <w:szCs w:val="20"/>
              </w:rPr>
              <w:t>响</w:t>
            </w:r>
            <w:r>
              <w:rPr>
                <w:rFonts w:ascii="宋体" w:hAnsi="宋体" w:eastAsia="宋体" w:cs="宋体"/>
                <w:spacing w:val="8"/>
                <w:sz w:val="20"/>
                <w:szCs w:val="20"/>
              </w:rPr>
              <w:t>。而在旱季，松散的地表在有风和车辆行驶时容易形成扬尘，扬尘覆盖在施工场</w:t>
            </w:r>
            <w:r>
              <w:rPr>
                <w:rFonts w:ascii="宋体" w:hAnsi="宋体" w:eastAsia="宋体" w:cs="宋体"/>
                <w:sz w:val="20"/>
                <w:szCs w:val="20"/>
              </w:rPr>
              <w:t xml:space="preserve"> </w:t>
            </w:r>
            <w:r>
              <w:rPr>
                <w:rFonts w:ascii="宋体" w:hAnsi="宋体" w:eastAsia="宋体" w:cs="宋体"/>
                <w:spacing w:val="11"/>
                <w:sz w:val="20"/>
                <w:szCs w:val="20"/>
              </w:rPr>
              <w:t>所</w:t>
            </w:r>
            <w:r>
              <w:rPr>
                <w:rFonts w:ascii="宋体" w:hAnsi="宋体" w:eastAsia="宋体" w:cs="宋体"/>
                <w:spacing w:val="9"/>
                <w:sz w:val="20"/>
                <w:szCs w:val="20"/>
              </w:rPr>
              <w:t>以外植被表面，使周围景观的美景度大大降低。</w:t>
            </w:r>
          </w:p>
          <w:p>
            <w:pPr>
              <w:spacing w:line="227" w:lineRule="auto"/>
              <w:ind w:left="537"/>
              <w:rPr>
                <w:rFonts w:ascii="宋体" w:hAnsi="宋体" w:eastAsia="宋体" w:cs="宋体"/>
                <w:sz w:val="20"/>
                <w:szCs w:val="20"/>
              </w:rPr>
            </w:pPr>
            <w:r>
              <w:rPr>
                <w:rFonts w:ascii="宋体" w:hAnsi="宋体" w:eastAsia="宋体" w:cs="宋体"/>
                <w:spacing w:val="24"/>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4"/>
                <w:sz w:val="20"/>
                <w:szCs w:val="20"/>
              </w:rPr>
              <w:t>6</w:t>
            </w:r>
            <w:r>
              <w:rPr>
                <w:rFonts w:ascii="宋体" w:hAnsi="宋体" w:eastAsia="宋体" w:cs="宋体"/>
                <w:spacing w:val="14"/>
                <w:sz w:val="20"/>
                <w:szCs w:val="20"/>
                <w14:textOutline w14:w="3795" w14:cap="sq" w14:cmpd="sng">
                  <w14:solidFill>
                    <w14:srgbClr w14:val="000000"/>
                  </w14:solidFill>
                  <w14:prstDash w14:val="solid"/>
                  <w14:bevel/>
                </w14:textOutline>
              </w:rPr>
              <w:t>)</w:t>
            </w:r>
            <w:r>
              <w:rPr>
                <w:rFonts w:ascii="宋体" w:hAnsi="宋体" w:eastAsia="宋体" w:cs="宋体"/>
                <w:spacing w:val="14"/>
                <w:sz w:val="20"/>
                <w:szCs w:val="20"/>
              </w:rPr>
              <w:t xml:space="preserve"> </w:t>
            </w:r>
            <w:r>
              <w:rPr>
                <w:rFonts w:ascii="宋体" w:hAnsi="宋体" w:eastAsia="宋体" w:cs="宋体"/>
                <w:spacing w:val="14"/>
                <w:sz w:val="20"/>
                <w:szCs w:val="20"/>
                <w14:textOutline w14:w="3795" w14:cap="sq" w14:cmpd="sng">
                  <w14:solidFill>
                    <w14:srgbClr w14:val="000000"/>
                  </w14:solidFill>
                  <w14:prstDash w14:val="solid"/>
                  <w14:bevel/>
                </w14:textOutline>
              </w:rPr>
              <w:t>对水生生物及水生生态的影响</w:t>
            </w:r>
          </w:p>
          <w:p>
            <w:pPr>
              <w:spacing w:before="151" w:line="401" w:lineRule="exact"/>
              <w:ind w:left="499"/>
              <w:rPr>
                <w:rFonts w:ascii="宋体" w:hAnsi="宋体" w:eastAsia="宋体" w:cs="宋体"/>
                <w:sz w:val="20"/>
                <w:szCs w:val="20"/>
              </w:rPr>
            </w:pPr>
            <w:r>
              <w:rPr>
                <w:rFonts w:ascii="宋体" w:hAnsi="宋体" w:eastAsia="宋体" w:cs="宋体"/>
                <w:spacing w:val="16"/>
                <w:position w:val="14"/>
                <w:sz w:val="20"/>
                <w:szCs w:val="20"/>
              </w:rPr>
              <w:t>项目建</w:t>
            </w:r>
            <w:r>
              <w:rPr>
                <w:rFonts w:ascii="宋体" w:hAnsi="宋体" w:eastAsia="宋体" w:cs="宋体"/>
                <w:spacing w:val="9"/>
                <w:position w:val="14"/>
                <w:sz w:val="20"/>
                <w:szCs w:val="20"/>
              </w:rPr>
              <w:t>设</w:t>
            </w:r>
            <w:r>
              <w:rPr>
                <w:rFonts w:ascii="宋体" w:hAnsi="宋体" w:eastAsia="宋体" w:cs="宋体"/>
                <w:spacing w:val="8"/>
                <w:position w:val="14"/>
                <w:sz w:val="20"/>
                <w:szCs w:val="20"/>
              </w:rPr>
              <w:t>对区域水生生物的影响集中表现在施工期，在运营期基本不对水生生物造成</w:t>
            </w:r>
          </w:p>
          <w:p>
            <w:pPr>
              <w:spacing w:before="1" w:line="229" w:lineRule="auto"/>
              <w:ind w:left="76"/>
              <w:rPr>
                <w:rFonts w:ascii="宋体" w:hAnsi="宋体" w:eastAsia="宋体" w:cs="宋体"/>
                <w:sz w:val="20"/>
                <w:szCs w:val="20"/>
              </w:rPr>
            </w:pPr>
            <w:r>
              <w:rPr>
                <w:rFonts w:ascii="宋体" w:hAnsi="宋体" w:eastAsia="宋体" w:cs="宋体"/>
                <w:spacing w:val="18"/>
                <w:sz w:val="20"/>
                <w:szCs w:val="20"/>
              </w:rPr>
              <w:t>影</w:t>
            </w:r>
            <w:r>
              <w:rPr>
                <w:rFonts w:ascii="宋体" w:hAnsi="宋体" w:eastAsia="宋体" w:cs="宋体"/>
                <w:spacing w:val="14"/>
                <w:sz w:val="20"/>
                <w:szCs w:val="20"/>
              </w:rPr>
              <w:t>响</w:t>
            </w:r>
            <w:r>
              <w:rPr>
                <w:rFonts w:ascii="宋体" w:hAnsi="宋体" w:eastAsia="宋体" w:cs="宋体"/>
                <w:spacing w:val="9"/>
                <w:sz w:val="20"/>
                <w:szCs w:val="20"/>
              </w:rPr>
              <w:t>。项目对水生生态的影响引用《水生生物多样性影响专题论证报告》的结论。</w:t>
            </w:r>
          </w:p>
          <w:p>
            <w:pPr>
              <w:spacing w:before="114" w:line="376" w:lineRule="auto"/>
              <w:ind w:left="75" w:right="71" w:firstLine="420"/>
              <w:rPr>
                <w:rFonts w:ascii="宋体" w:hAnsi="宋体" w:eastAsia="宋体" w:cs="宋体"/>
                <w:sz w:val="20"/>
                <w:szCs w:val="20"/>
              </w:rPr>
            </w:pPr>
            <w:r>
              <w:rPr>
                <w:rFonts w:ascii="宋体" w:hAnsi="宋体" w:eastAsia="宋体" w:cs="宋体"/>
                <w:spacing w:val="7"/>
                <w:sz w:val="20"/>
                <w:szCs w:val="20"/>
              </w:rPr>
              <w:t xml:space="preserve">根据专题报告结论：工程建设期间，高家坝大桥将导致其桥址上游 </w:t>
            </w:r>
            <w:r>
              <w:rPr>
                <w:rFonts w:ascii="Times New Roman" w:hAnsi="Times New Roman" w:eastAsia="Times New Roman" w:cs="Times New Roman"/>
                <w:spacing w:val="7"/>
                <w:sz w:val="20"/>
                <w:szCs w:val="20"/>
              </w:rPr>
              <w:t>5</w:t>
            </w:r>
            <w:r>
              <w:rPr>
                <w:rFonts w:ascii="Times New Roman" w:hAnsi="Times New Roman" w:eastAsia="Times New Roman" w:cs="Times New Roman"/>
                <w:sz w:val="20"/>
                <w:szCs w:val="20"/>
              </w:rPr>
              <w:t>km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 xml:space="preserve">、下游 </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3"/>
                <w:sz w:val="20"/>
                <w:szCs w:val="20"/>
              </w:rPr>
              <w:t>0</w:t>
            </w:r>
            <w:r>
              <w:rPr>
                <w:rFonts w:ascii="Times New Roman" w:hAnsi="Times New Roman" w:eastAsia="Times New Roman" w:cs="Times New Roman"/>
                <w:sz w:val="20"/>
                <w:szCs w:val="20"/>
              </w:rPr>
              <w:t xml:space="preserve">km </w:t>
            </w:r>
            <w:r>
              <w:rPr>
                <w:rFonts w:ascii="宋体" w:hAnsi="宋体" w:eastAsia="宋体" w:cs="宋体"/>
                <w:spacing w:val="9"/>
                <w:sz w:val="20"/>
                <w:szCs w:val="20"/>
              </w:rPr>
              <w:t>河段水生生境的功能和水文情势发生一定的改变，进而影响鱼类及其它水生生物在该区</w:t>
            </w:r>
            <w:r>
              <w:rPr>
                <w:rFonts w:ascii="宋体" w:hAnsi="宋体" w:eastAsia="宋体" w:cs="宋体"/>
                <w:spacing w:val="3"/>
                <w:sz w:val="20"/>
                <w:szCs w:val="20"/>
              </w:rPr>
              <w:t>域</w:t>
            </w:r>
            <w:r>
              <w:rPr>
                <w:rFonts w:ascii="宋体" w:hAnsi="宋体" w:eastAsia="宋体" w:cs="宋体"/>
                <w:sz w:val="20"/>
                <w:szCs w:val="20"/>
              </w:rPr>
              <w:t xml:space="preserve"> </w:t>
            </w:r>
            <w:r>
              <w:rPr>
                <w:rFonts w:ascii="宋体" w:hAnsi="宋体" w:eastAsia="宋体" w:cs="宋体"/>
                <w:spacing w:val="9"/>
                <w:sz w:val="20"/>
                <w:szCs w:val="20"/>
              </w:rPr>
              <w:t>内的正常生长和繁衍，导致鱼类及其他水生生物种类组成、资源量等将随之发生一系列</w:t>
            </w:r>
            <w:r>
              <w:rPr>
                <w:rFonts w:ascii="宋体" w:hAnsi="宋体" w:eastAsia="宋体" w:cs="宋体"/>
                <w:spacing w:val="3"/>
                <w:sz w:val="20"/>
                <w:szCs w:val="20"/>
              </w:rPr>
              <w:t>的</w:t>
            </w:r>
            <w:r>
              <w:rPr>
                <w:rFonts w:ascii="宋体" w:hAnsi="宋体" w:eastAsia="宋体" w:cs="宋体"/>
                <w:sz w:val="20"/>
                <w:szCs w:val="20"/>
              </w:rPr>
              <w:t xml:space="preserve"> </w:t>
            </w:r>
            <w:r>
              <w:rPr>
                <w:rFonts w:ascii="宋体" w:hAnsi="宋体" w:eastAsia="宋体" w:cs="宋体"/>
                <w:spacing w:val="18"/>
                <w:sz w:val="20"/>
                <w:szCs w:val="20"/>
              </w:rPr>
              <w:t>变化</w:t>
            </w:r>
            <w:r>
              <w:rPr>
                <w:rFonts w:ascii="宋体" w:hAnsi="宋体" w:eastAsia="宋体" w:cs="宋体"/>
                <w:spacing w:val="13"/>
                <w:sz w:val="20"/>
                <w:szCs w:val="20"/>
              </w:rPr>
              <w:t>，</w:t>
            </w:r>
            <w:r>
              <w:rPr>
                <w:rFonts w:ascii="宋体" w:hAnsi="宋体" w:eastAsia="宋体" w:cs="宋体"/>
                <w:spacing w:val="9"/>
                <w:sz w:val="20"/>
                <w:szCs w:val="20"/>
              </w:rPr>
              <w:t xml:space="preserve">特别是施工期间的泥沙流失造成的 </w:t>
            </w:r>
            <w:r>
              <w:rPr>
                <w:rFonts w:ascii="Times New Roman" w:hAnsi="Times New Roman" w:eastAsia="Times New Roman" w:cs="Times New Roman"/>
                <w:sz w:val="20"/>
                <w:szCs w:val="20"/>
              </w:rPr>
              <w:t>SS</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含量超标、光照、噪声对鱼类的正常繁衍会</w:t>
            </w:r>
            <w:r>
              <w:rPr>
                <w:rFonts w:ascii="宋体" w:hAnsi="宋体" w:eastAsia="宋体" w:cs="宋体"/>
                <w:sz w:val="20"/>
                <w:szCs w:val="20"/>
              </w:rPr>
              <w:t xml:space="preserve"> </w:t>
            </w:r>
            <w:r>
              <w:rPr>
                <w:rFonts w:ascii="宋体" w:hAnsi="宋体" w:eastAsia="宋体" w:cs="宋体"/>
                <w:spacing w:val="8"/>
                <w:sz w:val="20"/>
                <w:szCs w:val="20"/>
              </w:rPr>
              <w:t>产</w:t>
            </w:r>
            <w:r>
              <w:rPr>
                <w:rFonts w:ascii="宋体" w:hAnsi="宋体" w:eastAsia="宋体" w:cs="宋体"/>
                <w:spacing w:val="7"/>
                <w:sz w:val="20"/>
                <w:szCs w:val="20"/>
              </w:rPr>
              <w:t>生一定影响。</w:t>
            </w:r>
          </w:p>
          <w:p>
            <w:pPr>
              <w:tabs>
                <w:tab w:val="left" w:pos="599"/>
              </w:tabs>
              <w:spacing w:before="1" w:line="227" w:lineRule="auto"/>
              <w:ind w:left="519"/>
              <w:rPr>
                <w:rFonts w:ascii="宋体" w:hAnsi="宋体" w:eastAsia="宋体" w:cs="宋体"/>
                <w:sz w:val="20"/>
                <w:szCs w:val="20"/>
              </w:rPr>
            </w:pPr>
            <w:r>
              <w:rPr>
                <w:rFonts w:ascii="宋体" w:hAnsi="宋体" w:eastAsia="宋体" w:cs="宋体"/>
                <w:sz w:val="17"/>
                <w:szCs w:val="17"/>
              </w:rPr>
              <w:tab/>
            </w:r>
            <w:r>
              <w:rPr>
                <w:rFonts w:ascii="宋体" w:hAnsi="宋体" w:eastAsia="宋体" w:cs="宋体"/>
                <w:spacing w:val="6"/>
                <w:sz w:val="17"/>
                <w:szCs w:val="17"/>
              </w:rPr>
              <w:t xml:space="preserve">1   </w:t>
            </w:r>
            <w:r>
              <w:rPr>
                <w:rFonts w:ascii="宋体" w:hAnsi="宋体" w:eastAsia="宋体" w:cs="宋体"/>
                <w:spacing w:val="6"/>
                <w:sz w:val="20"/>
                <w:szCs w:val="20"/>
              </w:rPr>
              <w:t>对鱼类的影</w:t>
            </w:r>
            <w:r>
              <w:rPr>
                <w:rFonts w:ascii="宋体" w:hAnsi="宋体" w:eastAsia="宋体" w:cs="宋体"/>
                <w:spacing w:val="4"/>
                <w:sz w:val="20"/>
                <w:szCs w:val="20"/>
              </w:rPr>
              <w:t>响</w:t>
            </w:r>
          </w:p>
          <w:p>
            <w:pPr>
              <w:spacing w:before="154" w:line="227" w:lineRule="auto"/>
              <w:ind w:left="497"/>
              <w:rPr>
                <w:rFonts w:ascii="宋体" w:hAnsi="宋体" w:eastAsia="宋体" w:cs="宋体"/>
                <w:sz w:val="20"/>
                <w:szCs w:val="20"/>
              </w:rPr>
            </w:pPr>
            <w:r>
              <w:rPr>
                <w:rFonts w:ascii="宋体" w:hAnsi="宋体" w:eastAsia="宋体" w:cs="宋体"/>
                <w:spacing w:val="16"/>
                <w:sz w:val="20"/>
                <w:szCs w:val="20"/>
              </w:rPr>
              <w:t>本项目</w:t>
            </w:r>
            <w:r>
              <w:rPr>
                <w:rFonts w:ascii="宋体" w:hAnsi="宋体" w:eastAsia="宋体" w:cs="宋体"/>
                <w:spacing w:val="11"/>
                <w:sz w:val="20"/>
                <w:szCs w:val="20"/>
              </w:rPr>
              <w:t>涉</w:t>
            </w:r>
            <w:r>
              <w:rPr>
                <w:rFonts w:ascii="宋体" w:hAnsi="宋体" w:eastAsia="宋体" w:cs="宋体"/>
                <w:spacing w:val="8"/>
                <w:sz w:val="20"/>
                <w:szCs w:val="20"/>
              </w:rPr>
              <w:t>水桥墩建设对鱼类影响，主要来自涉水桥墩围堰施工可能搅动水体和河床底</w:t>
            </w:r>
          </w:p>
          <w:p>
            <w:pPr>
              <w:spacing w:before="154" w:line="369" w:lineRule="auto"/>
              <w:ind w:left="76" w:right="71" w:firstLine="1"/>
              <w:rPr>
                <w:rFonts w:ascii="宋体" w:hAnsi="宋体" w:eastAsia="宋体" w:cs="宋体"/>
                <w:sz w:val="20"/>
                <w:szCs w:val="20"/>
              </w:rPr>
            </w:pPr>
            <w:r>
              <w:rPr>
                <w:rFonts w:ascii="宋体" w:hAnsi="宋体" w:eastAsia="宋体" w:cs="宋体"/>
                <w:spacing w:val="18"/>
                <w:sz w:val="20"/>
                <w:szCs w:val="20"/>
              </w:rPr>
              <w:t>泥，</w:t>
            </w:r>
            <w:r>
              <w:rPr>
                <w:rFonts w:ascii="宋体" w:hAnsi="宋体" w:eastAsia="宋体" w:cs="宋体"/>
                <w:spacing w:val="10"/>
                <w:sz w:val="20"/>
                <w:szCs w:val="20"/>
              </w:rPr>
              <w:t>使</w:t>
            </w:r>
            <w:r>
              <w:rPr>
                <w:rFonts w:ascii="宋体" w:hAnsi="宋体" w:eastAsia="宋体" w:cs="宋体"/>
                <w:spacing w:val="9"/>
                <w:sz w:val="20"/>
                <w:szCs w:val="20"/>
              </w:rPr>
              <w:t xml:space="preserve">水体中 </w:t>
            </w:r>
            <w:r>
              <w:rPr>
                <w:rFonts w:ascii="Times New Roman" w:hAnsi="Times New Roman" w:eastAsia="Times New Roman" w:cs="Times New Roman"/>
                <w:sz w:val="20"/>
                <w:szCs w:val="20"/>
              </w:rPr>
              <w:t>SS</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浓度增大，改变水体透光性，对浮游植物或藻类的光合作用产生影响，</w:t>
            </w:r>
            <w:r>
              <w:rPr>
                <w:rFonts w:ascii="宋体" w:hAnsi="宋体" w:eastAsia="宋体" w:cs="宋体"/>
                <w:sz w:val="20"/>
                <w:szCs w:val="20"/>
              </w:rPr>
              <w:t xml:space="preserve"> </w:t>
            </w:r>
            <w:r>
              <w:rPr>
                <w:rFonts w:ascii="宋体" w:hAnsi="宋体" w:eastAsia="宋体" w:cs="宋体"/>
                <w:spacing w:val="16"/>
                <w:sz w:val="20"/>
                <w:szCs w:val="20"/>
              </w:rPr>
              <w:t>浮游生</w:t>
            </w:r>
            <w:r>
              <w:rPr>
                <w:rFonts w:ascii="宋体" w:hAnsi="宋体" w:eastAsia="宋体" w:cs="宋体"/>
                <w:spacing w:val="14"/>
                <w:sz w:val="20"/>
                <w:szCs w:val="20"/>
              </w:rPr>
              <w:t>物</w:t>
            </w:r>
            <w:r>
              <w:rPr>
                <w:rFonts w:ascii="宋体" w:hAnsi="宋体" w:eastAsia="宋体" w:cs="宋体"/>
                <w:spacing w:val="8"/>
                <w:sz w:val="20"/>
                <w:szCs w:val="20"/>
              </w:rPr>
              <w:t>、底栖动物等饵料生物量减少，在局部区域会破坏鱼类的栖息地，从而改变鱼类</w:t>
            </w:r>
            <w:r>
              <w:rPr>
                <w:rFonts w:ascii="宋体" w:hAnsi="宋体" w:eastAsia="宋体" w:cs="宋体"/>
                <w:sz w:val="20"/>
                <w:szCs w:val="20"/>
              </w:rPr>
              <w:t xml:space="preserve"> </w:t>
            </w:r>
            <w:r>
              <w:rPr>
                <w:rFonts w:ascii="宋体" w:hAnsi="宋体" w:eastAsia="宋体" w:cs="宋体"/>
                <w:spacing w:val="9"/>
                <w:sz w:val="20"/>
                <w:szCs w:val="20"/>
              </w:rPr>
              <w:t>原有的生存、生长和繁衍条件，鱼类将择水而栖迁移到其它水域。同时施工还会使在此</w:t>
            </w:r>
            <w:r>
              <w:rPr>
                <w:rFonts w:ascii="宋体" w:hAnsi="宋体" w:eastAsia="宋体" w:cs="宋体"/>
                <w:spacing w:val="2"/>
                <w:sz w:val="20"/>
                <w:szCs w:val="20"/>
              </w:rPr>
              <w:t>区</w:t>
            </w:r>
            <w:r>
              <w:rPr>
                <w:rFonts w:ascii="宋体" w:hAnsi="宋体" w:eastAsia="宋体" w:cs="宋体"/>
                <w:sz w:val="20"/>
                <w:szCs w:val="20"/>
              </w:rPr>
              <w:t xml:space="preserve"> </w:t>
            </w:r>
            <w:r>
              <w:rPr>
                <w:rFonts w:ascii="宋体" w:hAnsi="宋体" w:eastAsia="宋体" w:cs="宋体"/>
                <w:spacing w:val="9"/>
                <w:sz w:val="20"/>
                <w:szCs w:val="20"/>
              </w:rPr>
              <w:t>域活动的鱼类受到惊吓，对鱼类有驱赶作用，也会使鱼类远离施工现场，因此施工区域</w:t>
            </w:r>
            <w:r>
              <w:rPr>
                <w:rFonts w:ascii="宋体" w:hAnsi="宋体" w:eastAsia="宋体" w:cs="宋体"/>
                <w:spacing w:val="2"/>
                <w:sz w:val="20"/>
                <w:szCs w:val="20"/>
              </w:rPr>
              <w:t>鱼</w:t>
            </w:r>
            <w:r>
              <w:rPr>
                <w:rFonts w:ascii="宋体" w:hAnsi="宋体" w:eastAsia="宋体" w:cs="宋体"/>
                <w:sz w:val="20"/>
                <w:szCs w:val="20"/>
              </w:rPr>
              <w:t xml:space="preserve"> </w:t>
            </w:r>
            <w:r>
              <w:rPr>
                <w:rFonts w:ascii="宋体" w:hAnsi="宋体" w:eastAsia="宋体" w:cs="宋体"/>
                <w:spacing w:val="9"/>
                <w:sz w:val="20"/>
                <w:szCs w:val="20"/>
              </w:rPr>
              <w:t>类密度可能会降低。但该过程施工时间较短，能够在较短时间恢复水质。另外施工机械</w:t>
            </w:r>
            <w:r>
              <w:rPr>
                <w:rFonts w:ascii="宋体" w:hAnsi="宋体" w:eastAsia="宋体" w:cs="宋体"/>
                <w:spacing w:val="2"/>
                <w:sz w:val="20"/>
                <w:szCs w:val="20"/>
              </w:rPr>
              <w:t>噪</w:t>
            </w:r>
            <w:r>
              <w:rPr>
                <w:rFonts w:ascii="宋体" w:hAnsi="宋体" w:eastAsia="宋体" w:cs="宋体"/>
                <w:sz w:val="20"/>
                <w:szCs w:val="20"/>
              </w:rPr>
              <w:t xml:space="preserve"> </w:t>
            </w:r>
            <w:r>
              <w:rPr>
                <w:rFonts w:ascii="宋体" w:hAnsi="宋体" w:eastAsia="宋体" w:cs="宋体"/>
                <w:spacing w:val="10"/>
                <w:sz w:val="20"/>
                <w:szCs w:val="20"/>
              </w:rPr>
              <w:t>声， 以及</w:t>
            </w:r>
            <w:r>
              <w:rPr>
                <w:rFonts w:ascii="宋体" w:hAnsi="宋体" w:eastAsia="宋体" w:cs="宋体"/>
                <w:spacing w:val="8"/>
                <w:sz w:val="20"/>
                <w:szCs w:val="20"/>
              </w:rPr>
              <w:t>施</w:t>
            </w:r>
            <w:r>
              <w:rPr>
                <w:rFonts w:ascii="宋体" w:hAnsi="宋体" w:eastAsia="宋体" w:cs="宋体"/>
                <w:spacing w:val="5"/>
                <w:sz w:val="20"/>
                <w:szCs w:val="20"/>
              </w:rPr>
              <w:t>工材料偶尔跌落水体对水体产生的扰动。其中，水面建设桥梁时具体影响为：</w:t>
            </w:r>
          </w:p>
          <w:p>
            <w:pPr>
              <w:spacing w:before="2" w:line="369" w:lineRule="auto"/>
              <w:ind w:left="75" w:right="19" w:firstLine="437"/>
              <w:rPr>
                <w:rFonts w:ascii="宋体" w:hAnsi="宋体" w:eastAsia="宋体" w:cs="宋体"/>
                <w:sz w:val="20"/>
                <w:szCs w:val="20"/>
              </w:rPr>
            </w:pPr>
            <w:r>
              <w:rPr>
                <w:rFonts w:ascii="Times New Roman" w:hAnsi="Times New Roman" w:eastAsia="Times New Roman" w:cs="Times New Roman"/>
                <w:spacing w:val="15"/>
                <w:sz w:val="20"/>
                <w:szCs w:val="20"/>
              </w:rPr>
              <w:t>1</w:t>
            </w:r>
            <w:r>
              <w:rPr>
                <w:rFonts w:ascii="宋体" w:hAnsi="宋体" w:eastAsia="宋体" w:cs="宋体"/>
                <w:spacing w:val="8"/>
                <w:sz w:val="20"/>
                <w:szCs w:val="20"/>
              </w:rPr>
              <w:t>) 项目河段渔业资源主要为常见的经济鱼类，野生鱼类种类和数量较少，无鱼类</w:t>
            </w:r>
            <w:r>
              <w:rPr>
                <w:rFonts w:ascii="Times New Roman" w:hAnsi="Times New Roman" w:eastAsia="Times New Roman" w:cs="Times New Roman"/>
                <w:spacing w:val="8"/>
                <w:sz w:val="20"/>
                <w:szCs w:val="20"/>
              </w:rPr>
              <w:t>“</w:t>
            </w:r>
            <w:r>
              <w:rPr>
                <w:rFonts w:ascii="宋体" w:hAnsi="宋体" w:eastAsia="宋体" w:cs="宋体"/>
                <w:spacing w:val="8"/>
                <w:sz w:val="20"/>
                <w:szCs w:val="20"/>
              </w:rPr>
              <w:t>三</w:t>
            </w:r>
            <w:r>
              <w:rPr>
                <w:rFonts w:ascii="宋体" w:hAnsi="宋体" w:eastAsia="宋体" w:cs="宋体"/>
                <w:sz w:val="20"/>
                <w:szCs w:val="20"/>
              </w:rPr>
              <w:t xml:space="preserve"> </w:t>
            </w:r>
            <w:r>
              <w:rPr>
                <w:rFonts w:ascii="宋体" w:hAnsi="宋体" w:eastAsia="宋体" w:cs="宋体"/>
                <w:spacing w:val="12"/>
                <w:sz w:val="20"/>
                <w:szCs w:val="20"/>
              </w:rPr>
              <w:t>场</w:t>
            </w:r>
            <w:r>
              <w:rPr>
                <w:rFonts w:ascii="Times New Roman" w:hAnsi="Times New Roman" w:eastAsia="Times New Roman" w:cs="Times New Roman"/>
                <w:spacing w:val="12"/>
                <w:sz w:val="20"/>
                <w:szCs w:val="20"/>
              </w:rPr>
              <w:t>”</w:t>
            </w:r>
            <w:r>
              <w:rPr>
                <w:rFonts w:ascii="Times New Roman" w:hAnsi="Times New Roman" w:eastAsia="Times New Roman" w:cs="Times New Roman"/>
                <w:spacing w:val="7"/>
                <w:sz w:val="20"/>
                <w:szCs w:val="20"/>
              </w:rPr>
              <w:t xml:space="preserve"> </w:t>
            </w:r>
            <w:r>
              <w:rPr>
                <w:rFonts w:ascii="宋体" w:hAnsi="宋体" w:eastAsia="宋体" w:cs="宋体"/>
                <w:spacing w:val="6"/>
                <w:sz w:val="20"/>
                <w:szCs w:val="20"/>
              </w:rPr>
              <w:t>、洄游通道分布，也无保护物种。因此，对鱼的产卵、繁殖等无直接影响。根据调查，</w:t>
            </w:r>
            <w:r>
              <w:rPr>
                <w:rFonts w:ascii="宋体" w:hAnsi="宋体" w:eastAsia="宋体" w:cs="宋体"/>
                <w:sz w:val="20"/>
                <w:szCs w:val="20"/>
              </w:rPr>
              <w:t xml:space="preserve"> </w:t>
            </w:r>
            <w:r>
              <w:rPr>
                <w:rFonts w:ascii="宋体" w:hAnsi="宋体" w:eastAsia="宋体" w:cs="宋体"/>
                <w:spacing w:val="9"/>
                <w:sz w:val="20"/>
                <w:szCs w:val="20"/>
              </w:rPr>
              <w:t>项目评价河段不涉及特有鱼类国家级水产种质资源保护区，也不涉及重要水生生物自然</w:t>
            </w:r>
            <w:r>
              <w:rPr>
                <w:rFonts w:ascii="宋体" w:hAnsi="宋体" w:eastAsia="宋体" w:cs="宋体"/>
                <w:spacing w:val="3"/>
                <w:sz w:val="20"/>
                <w:szCs w:val="20"/>
              </w:rPr>
              <w:t>产</w:t>
            </w:r>
            <w:r>
              <w:rPr>
                <w:rFonts w:ascii="宋体" w:hAnsi="宋体" w:eastAsia="宋体" w:cs="宋体"/>
                <w:sz w:val="20"/>
                <w:szCs w:val="20"/>
              </w:rPr>
              <w:t xml:space="preserve"> </w:t>
            </w:r>
            <w:r>
              <w:rPr>
                <w:rFonts w:ascii="宋体" w:hAnsi="宋体" w:eastAsia="宋体" w:cs="宋体"/>
                <w:spacing w:val="18"/>
                <w:sz w:val="20"/>
                <w:szCs w:val="20"/>
              </w:rPr>
              <w:t>卵</w:t>
            </w:r>
            <w:r>
              <w:rPr>
                <w:rFonts w:ascii="宋体" w:hAnsi="宋体" w:eastAsia="宋体" w:cs="宋体"/>
                <w:spacing w:val="9"/>
                <w:sz w:val="20"/>
                <w:szCs w:val="20"/>
              </w:rPr>
              <w:t>场、索饵场、越冬场和洄游通道、天然渔场等水环境敏感区域。</w:t>
            </w:r>
          </w:p>
          <w:p>
            <w:pPr>
              <w:spacing w:before="2" w:line="368" w:lineRule="auto"/>
              <w:ind w:left="79" w:right="71" w:firstLine="412"/>
              <w:rPr>
                <w:rFonts w:ascii="宋体" w:hAnsi="宋体" w:eastAsia="宋体" w:cs="宋体"/>
                <w:sz w:val="20"/>
                <w:szCs w:val="20"/>
              </w:rPr>
            </w:pPr>
            <w:r>
              <w:rPr>
                <w:rFonts w:ascii="Times New Roman" w:hAnsi="Times New Roman" w:eastAsia="Times New Roman" w:cs="Times New Roman"/>
                <w:spacing w:val="21"/>
                <w:sz w:val="20"/>
                <w:szCs w:val="20"/>
              </w:rPr>
              <w:t>2</w:t>
            </w:r>
            <w:r>
              <w:rPr>
                <w:rFonts w:ascii="宋体" w:hAnsi="宋体" w:eastAsia="宋体" w:cs="宋体"/>
                <w:spacing w:val="11"/>
                <w:sz w:val="20"/>
                <w:szCs w:val="20"/>
              </w:rPr>
              <w:t>) 随着水质的改变，施工区浮游生物、底栖动物等饵料生物量的减少，改变了原有</w:t>
            </w:r>
            <w:r>
              <w:rPr>
                <w:rFonts w:ascii="宋体" w:hAnsi="宋体" w:eastAsia="宋体" w:cs="宋体"/>
                <w:sz w:val="20"/>
                <w:szCs w:val="20"/>
              </w:rPr>
              <w:t xml:space="preserve"> </w:t>
            </w:r>
            <w:r>
              <w:rPr>
                <w:rFonts w:ascii="宋体" w:hAnsi="宋体" w:eastAsia="宋体" w:cs="宋体"/>
                <w:spacing w:val="16"/>
                <w:sz w:val="20"/>
                <w:szCs w:val="20"/>
              </w:rPr>
              <w:t>鱼类的</w:t>
            </w:r>
            <w:r>
              <w:rPr>
                <w:rFonts w:ascii="宋体" w:hAnsi="宋体" w:eastAsia="宋体" w:cs="宋体"/>
                <w:spacing w:val="13"/>
                <w:sz w:val="20"/>
                <w:szCs w:val="20"/>
              </w:rPr>
              <w:t>生</w:t>
            </w:r>
            <w:r>
              <w:rPr>
                <w:rFonts w:ascii="宋体" w:hAnsi="宋体" w:eastAsia="宋体" w:cs="宋体"/>
                <w:spacing w:val="8"/>
                <w:sz w:val="20"/>
                <w:szCs w:val="20"/>
              </w:rPr>
              <w:t>存、生长和繁衍条件，鱼类将择水而栖迁到其他地方，施工区域鱼类密度会明显</w:t>
            </w:r>
          </w:p>
          <w:p>
            <w:pPr>
              <w:spacing w:line="227" w:lineRule="auto"/>
              <w:ind w:left="92"/>
              <w:rPr>
                <w:rFonts w:ascii="宋体" w:hAnsi="宋体" w:eastAsia="宋体" w:cs="宋体"/>
                <w:sz w:val="20"/>
                <w:szCs w:val="20"/>
              </w:rPr>
            </w:pPr>
            <w:r>
              <w:rPr>
                <w:rFonts w:ascii="宋体" w:hAnsi="宋体" w:eastAsia="宋体" w:cs="宋体"/>
                <w:spacing w:val="-3"/>
                <w:sz w:val="20"/>
                <w:szCs w:val="20"/>
              </w:rPr>
              <w:t>降</w:t>
            </w:r>
            <w:r>
              <w:rPr>
                <w:rFonts w:ascii="宋体" w:hAnsi="宋体" w:eastAsia="宋体" w:cs="宋体"/>
                <w:spacing w:val="-2"/>
                <w:sz w:val="20"/>
                <w:szCs w:val="20"/>
              </w:rPr>
              <w:t>低。</w:t>
            </w:r>
          </w:p>
        </w:tc>
      </w:tr>
    </w:tbl>
    <w:p>
      <w:pPr>
        <w:spacing w:line="138" w:lineRule="exact"/>
        <w:rPr>
          <w:rFonts w:ascii="Arial"/>
          <w:sz w:val="12"/>
        </w:rPr>
      </w:pPr>
    </w:p>
    <w:p>
      <w:pPr>
        <w:sectPr>
          <w:footerReference r:id="rId74" w:type="default"/>
          <w:pgSz w:w="11906" w:h="16839"/>
          <w:pgMar w:top="400" w:right="1472" w:bottom="1475" w:left="1471" w:header="0" w:footer="1315" w:gutter="0"/>
          <w:cols w:space="720" w:num="1"/>
        </w:sectPr>
      </w:pPr>
    </w:p>
    <w:p/>
    <w:p/>
    <w:p/>
    <w:p/>
    <w:p>
      <w:pPr>
        <w:spacing w:line="221" w:lineRule="exact"/>
      </w:pPr>
    </w:p>
    <w:tbl>
      <w:tblPr>
        <w:tblStyle w:val="4"/>
        <w:tblW w:w="894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83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7" w:hRule="atLeast"/>
        </w:trPr>
        <w:tc>
          <w:tcPr>
            <w:tcW w:w="644" w:type="dxa"/>
            <w:tcBorders>
              <w:left w:val="single" w:color="00000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31" w:lineRule="auto"/>
              <w:ind w:left="8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施工</w:t>
            </w:r>
          </w:p>
          <w:p>
            <w:pPr>
              <w:spacing w:before="21" w:line="228" w:lineRule="auto"/>
              <w:ind w:left="91"/>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期生</w:t>
            </w:r>
          </w:p>
          <w:p>
            <w:pPr>
              <w:spacing w:before="25" w:line="230" w:lineRule="auto"/>
              <w:ind w:left="8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态</w:t>
            </w:r>
            <w:r>
              <w:rPr>
                <w:rFonts w:ascii="宋体" w:hAnsi="宋体" w:eastAsia="宋体" w:cs="宋体"/>
                <w:spacing w:val="15"/>
                <w:sz w:val="20"/>
                <w:szCs w:val="20"/>
                <w14:textOutline w14:w="3795" w14:cap="sq" w14:cmpd="sng">
                  <w14:solidFill>
                    <w14:srgbClr w14:val="000000"/>
                  </w14:solidFill>
                  <w14:prstDash w14:val="solid"/>
                  <w14:bevel/>
                </w14:textOutline>
              </w:rPr>
              <w:t>环</w:t>
            </w:r>
          </w:p>
          <w:p>
            <w:pPr>
              <w:spacing w:before="22" w:line="228" w:lineRule="auto"/>
              <w:ind w:left="89"/>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境影</w:t>
            </w:r>
          </w:p>
          <w:p>
            <w:pPr>
              <w:spacing w:before="25" w:line="228" w:lineRule="auto"/>
              <w:ind w:left="99"/>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响分</w:t>
            </w:r>
          </w:p>
          <w:p>
            <w:pPr>
              <w:spacing w:before="26" w:line="228" w:lineRule="auto"/>
              <w:ind w:left="205"/>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析</w:t>
            </w:r>
          </w:p>
        </w:tc>
        <w:tc>
          <w:tcPr>
            <w:tcW w:w="8303" w:type="dxa"/>
            <w:tcBorders>
              <w:right w:val="single" w:color="000000" w:sz="6" w:space="0"/>
            </w:tcBorders>
            <w:vAlign w:val="top"/>
          </w:tcPr>
          <w:p>
            <w:pPr>
              <w:spacing w:before="156" w:line="369" w:lineRule="auto"/>
              <w:ind w:left="75" w:right="71" w:firstLine="421"/>
              <w:rPr>
                <w:rFonts w:ascii="宋体" w:hAnsi="宋体" w:eastAsia="宋体" w:cs="宋体"/>
                <w:sz w:val="20"/>
                <w:szCs w:val="20"/>
              </w:rPr>
            </w:pPr>
            <w:r>
              <w:rPr>
                <w:rFonts w:ascii="Times New Roman" w:hAnsi="Times New Roman" w:eastAsia="Times New Roman" w:cs="Times New Roman"/>
                <w:spacing w:val="16"/>
                <w:sz w:val="20"/>
                <w:szCs w:val="20"/>
              </w:rPr>
              <w:t>3</w:t>
            </w:r>
            <w:r>
              <w:rPr>
                <w:rFonts w:ascii="宋体" w:hAnsi="宋体" w:eastAsia="宋体" w:cs="宋体"/>
                <w:spacing w:val="12"/>
                <w:sz w:val="20"/>
                <w:szCs w:val="20"/>
              </w:rPr>
              <w:t>)</w:t>
            </w:r>
            <w:r>
              <w:rPr>
                <w:rFonts w:ascii="宋体" w:hAnsi="宋体" w:eastAsia="宋体" w:cs="宋体"/>
                <w:spacing w:val="8"/>
                <w:sz w:val="20"/>
                <w:szCs w:val="20"/>
              </w:rPr>
              <w:t xml:space="preserve"> 施工人员的人为破坏如捕鱼也会对鱼类资源造成不利影响。 由于鱼类择水而栖迁</w:t>
            </w:r>
            <w:r>
              <w:rPr>
                <w:rFonts w:ascii="宋体" w:hAnsi="宋体" w:eastAsia="宋体" w:cs="宋体"/>
                <w:sz w:val="20"/>
                <w:szCs w:val="20"/>
              </w:rPr>
              <w:t xml:space="preserve"> </w:t>
            </w:r>
            <w:r>
              <w:rPr>
                <w:rFonts w:ascii="宋体" w:hAnsi="宋体" w:eastAsia="宋体" w:cs="宋体"/>
                <w:spacing w:val="9"/>
                <w:sz w:val="20"/>
                <w:szCs w:val="20"/>
              </w:rPr>
              <w:t>到其他地方，而工程对鱼类的影响仅局限于施工区域，故不影响鱼类物种资源的保护。</w:t>
            </w:r>
            <w:r>
              <w:rPr>
                <w:rFonts w:ascii="宋体" w:hAnsi="宋体" w:eastAsia="宋体" w:cs="宋体"/>
                <w:spacing w:val="3"/>
                <w:sz w:val="20"/>
                <w:szCs w:val="20"/>
              </w:rPr>
              <w:t>工</w:t>
            </w:r>
            <w:r>
              <w:rPr>
                <w:rFonts w:ascii="宋体" w:hAnsi="宋体" w:eastAsia="宋体" w:cs="宋体"/>
                <w:sz w:val="20"/>
                <w:szCs w:val="20"/>
              </w:rPr>
              <w:t xml:space="preserve"> </w:t>
            </w:r>
            <w:r>
              <w:rPr>
                <w:rFonts w:ascii="宋体" w:hAnsi="宋体" w:eastAsia="宋体" w:cs="宋体"/>
                <w:spacing w:val="9"/>
                <w:sz w:val="20"/>
                <w:szCs w:val="20"/>
              </w:rPr>
              <w:t>程完工后，原有的鱼类资源及其生</w:t>
            </w:r>
            <w:r>
              <w:rPr>
                <w:rFonts w:hint="eastAsia" w:ascii="宋体" w:hAnsi="宋体" w:eastAsia="宋体" w:cs="宋体"/>
                <w:spacing w:val="9"/>
                <w:sz w:val="20"/>
                <w:szCs w:val="20"/>
                <w:lang w:val="en-US" w:eastAsia="zh-CN"/>
              </w:rPr>
              <w:t>存</w:t>
            </w:r>
            <w:r>
              <w:rPr>
                <w:rFonts w:ascii="宋体" w:hAnsi="宋体" w:eastAsia="宋体" w:cs="宋体"/>
                <w:spacing w:val="9"/>
                <w:sz w:val="20"/>
                <w:szCs w:val="20"/>
              </w:rPr>
              <w:t>环境不会发生明显变化，流域内鱼类种类、数量不</w:t>
            </w:r>
            <w:r>
              <w:rPr>
                <w:rFonts w:ascii="宋体" w:hAnsi="宋体" w:eastAsia="宋体" w:cs="宋体"/>
                <w:spacing w:val="1"/>
                <w:sz w:val="20"/>
                <w:szCs w:val="20"/>
              </w:rPr>
              <w:t>会</w:t>
            </w:r>
            <w:r>
              <w:rPr>
                <w:rFonts w:ascii="宋体" w:hAnsi="宋体" w:eastAsia="宋体" w:cs="宋体"/>
                <w:sz w:val="20"/>
                <w:szCs w:val="20"/>
              </w:rPr>
              <w:t xml:space="preserve"> </w:t>
            </w:r>
            <w:r>
              <w:rPr>
                <w:rFonts w:ascii="宋体" w:hAnsi="宋体" w:eastAsia="宋体" w:cs="宋体"/>
                <w:spacing w:val="8"/>
                <w:sz w:val="20"/>
                <w:szCs w:val="20"/>
              </w:rPr>
              <w:t>发</w:t>
            </w:r>
            <w:r>
              <w:rPr>
                <w:rFonts w:ascii="宋体" w:hAnsi="宋体" w:eastAsia="宋体" w:cs="宋体"/>
                <w:spacing w:val="7"/>
                <w:sz w:val="20"/>
                <w:szCs w:val="20"/>
              </w:rPr>
              <w:t>生明显变化。</w:t>
            </w:r>
          </w:p>
          <w:p>
            <w:pPr>
              <w:spacing w:line="369" w:lineRule="auto"/>
              <w:ind w:left="78" w:right="71" w:firstLine="417"/>
              <w:rPr>
                <w:rFonts w:ascii="宋体" w:hAnsi="宋体" w:eastAsia="宋体" w:cs="宋体"/>
                <w:sz w:val="20"/>
                <w:szCs w:val="20"/>
              </w:rPr>
            </w:pPr>
            <w:r>
              <w:rPr>
                <w:rFonts w:ascii="宋体" w:hAnsi="宋体" w:eastAsia="宋体" w:cs="宋体"/>
                <w:spacing w:val="16"/>
                <w:sz w:val="20"/>
                <w:szCs w:val="20"/>
              </w:rPr>
              <w:t>根据生</w:t>
            </w:r>
            <w:r>
              <w:rPr>
                <w:rFonts w:ascii="宋体" w:hAnsi="宋体" w:eastAsia="宋体" w:cs="宋体"/>
                <w:spacing w:val="12"/>
                <w:sz w:val="20"/>
                <w:szCs w:val="20"/>
              </w:rPr>
              <w:t>态</w:t>
            </w:r>
            <w:r>
              <w:rPr>
                <w:rFonts w:ascii="宋体" w:hAnsi="宋体" w:eastAsia="宋体" w:cs="宋体"/>
                <w:spacing w:val="8"/>
                <w:sz w:val="20"/>
                <w:szCs w:val="20"/>
              </w:rPr>
              <w:t>现状调查可知，河道现有的水生植物、底栖动物及鱼类分布较少，工程影响</w:t>
            </w:r>
            <w:r>
              <w:rPr>
                <w:rFonts w:ascii="宋体" w:hAnsi="宋体" w:eastAsia="宋体" w:cs="宋体"/>
                <w:sz w:val="20"/>
                <w:szCs w:val="20"/>
              </w:rPr>
              <w:t xml:space="preserve"> </w:t>
            </w:r>
            <w:r>
              <w:rPr>
                <w:rFonts w:ascii="宋体" w:hAnsi="宋体" w:eastAsia="宋体" w:cs="宋体"/>
                <w:spacing w:val="16"/>
                <w:sz w:val="20"/>
                <w:szCs w:val="20"/>
              </w:rPr>
              <w:t>范围内</w:t>
            </w:r>
            <w:r>
              <w:rPr>
                <w:rFonts w:ascii="宋体" w:hAnsi="宋体" w:eastAsia="宋体" w:cs="宋体"/>
                <w:spacing w:val="14"/>
                <w:sz w:val="20"/>
                <w:szCs w:val="20"/>
              </w:rPr>
              <w:t>无</w:t>
            </w:r>
            <w:r>
              <w:rPr>
                <w:rFonts w:ascii="宋体" w:hAnsi="宋体" w:eastAsia="宋体" w:cs="宋体"/>
                <w:spacing w:val="8"/>
                <w:sz w:val="20"/>
                <w:szCs w:val="20"/>
              </w:rPr>
              <w:t>珍稀保护鱼类，也不涉及鱼类洄游和产卵区，不会对鱼类繁殖产生影响。工程施</w:t>
            </w:r>
            <w:r>
              <w:rPr>
                <w:rFonts w:ascii="宋体" w:hAnsi="宋体" w:eastAsia="宋体" w:cs="宋体"/>
                <w:sz w:val="20"/>
                <w:szCs w:val="20"/>
              </w:rPr>
              <w:t xml:space="preserve"> </w:t>
            </w:r>
            <w:r>
              <w:rPr>
                <w:rFonts w:ascii="宋体" w:hAnsi="宋体" w:eastAsia="宋体" w:cs="宋体"/>
                <w:spacing w:val="12"/>
                <w:sz w:val="20"/>
                <w:szCs w:val="20"/>
              </w:rPr>
              <w:t>工</w:t>
            </w:r>
            <w:r>
              <w:rPr>
                <w:rFonts w:ascii="宋体" w:hAnsi="宋体" w:eastAsia="宋体" w:cs="宋体"/>
                <w:spacing w:val="9"/>
                <w:sz w:val="20"/>
                <w:szCs w:val="20"/>
              </w:rPr>
              <w:t>对鱼类的不利影响较小且是暂时的，项目建成后影响消失。</w:t>
            </w:r>
          </w:p>
          <w:p>
            <w:pPr>
              <w:spacing w:line="229" w:lineRule="auto"/>
              <w:ind w:left="516"/>
              <w:rPr>
                <w:rFonts w:ascii="宋体" w:hAnsi="宋体" w:eastAsia="宋体" w:cs="宋体"/>
                <w:sz w:val="20"/>
                <w:szCs w:val="20"/>
              </w:rPr>
            </w:pPr>
            <w:r>
              <w:rPr>
                <w:rFonts w:ascii="宋体" w:hAnsi="宋体" w:eastAsia="宋体" w:cs="宋体"/>
                <w:spacing w:val="12"/>
                <w:sz w:val="20"/>
                <w:szCs w:val="20"/>
              </w:rPr>
              <w:t>同</w:t>
            </w:r>
            <w:r>
              <w:rPr>
                <w:rFonts w:ascii="宋体" w:hAnsi="宋体" w:eastAsia="宋体" w:cs="宋体"/>
                <w:spacing w:val="9"/>
                <w:sz w:val="20"/>
                <w:szCs w:val="20"/>
              </w:rPr>
              <w:t>时，本项目位于饮用水源保护区下游，项目施工对饮用水源保护区无影响</w:t>
            </w:r>
          </w:p>
          <w:p>
            <w:pPr>
              <w:spacing w:before="152" w:line="228" w:lineRule="auto"/>
              <w:ind w:left="588"/>
              <w:rPr>
                <w:rFonts w:ascii="宋体" w:hAnsi="宋体" w:eastAsia="宋体" w:cs="宋体"/>
                <w:sz w:val="20"/>
                <w:szCs w:val="20"/>
              </w:rPr>
            </w:pPr>
            <w:r>
              <w:rPr>
                <w:rFonts w:ascii="宋体" w:hAnsi="宋体" w:eastAsia="宋体" w:cs="宋体"/>
                <w:spacing w:val="11"/>
                <w:sz w:val="17"/>
                <w:szCs w:val="17"/>
              </w:rPr>
              <w:t>2</w:t>
            </w:r>
            <w:r>
              <w:rPr>
                <w:rFonts w:ascii="宋体" w:hAnsi="宋体" w:eastAsia="宋体" w:cs="宋体"/>
                <w:spacing w:val="7"/>
                <w:sz w:val="17"/>
                <w:szCs w:val="17"/>
              </w:rPr>
              <w:t xml:space="preserve">   </w:t>
            </w:r>
            <w:r>
              <w:rPr>
                <w:rFonts w:ascii="宋体" w:hAnsi="宋体" w:eastAsia="宋体" w:cs="宋体"/>
                <w:spacing w:val="7"/>
                <w:sz w:val="20"/>
                <w:szCs w:val="20"/>
              </w:rPr>
              <w:t>对浮游生物的影响</w:t>
            </w:r>
          </w:p>
          <w:p>
            <w:pPr>
              <w:spacing w:before="153" w:line="369" w:lineRule="auto"/>
              <w:ind w:left="72" w:right="17" w:firstLine="422"/>
              <w:rPr>
                <w:rFonts w:ascii="宋体" w:hAnsi="宋体" w:eastAsia="宋体" w:cs="宋体"/>
                <w:sz w:val="20"/>
                <w:szCs w:val="20"/>
              </w:rPr>
            </w:pPr>
            <w:r>
              <w:rPr>
                <w:rFonts w:ascii="宋体" w:hAnsi="宋体" w:eastAsia="宋体" w:cs="宋体"/>
                <w:spacing w:val="9"/>
                <w:sz w:val="20"/>
                <w:szCs w:val="20"/>
              </w:rPr>
              <w:t>施工期对浮游生物产生影响的主要因素是悬浮物，造成水体浑浊，进而对水生生态</w:t>
            </w:r>
            <w:r>
              <w:rPr>
                <w:rFonts w:ascii="宋体" w:hAnsi="宋体" w:eastAsia="宋体" w:cs="宋体"/>
                <w:spacing w:val="1"/>
                <w:sz w:val="20"/>
                <w:szCs w:val="20"/>
              </w:rPr>
              <w:t>环</w:t>
            </w:r>
            <w:r>
              <w:rPr>
                <w:rFonts w:ascii="宋体" w:hAnsi="宋体" w:eastAsia="宋体" w:cs="宋体"/>
                <w:sz w:val="20"/>
                <w:szCs w:val="20"/>
              </w:rPr>
              <w:t xml:space="preserve"> </w:t>
            </w:r>
            <w:r>
              <w:rPr>
                <w:rFonts w:ascii="宋体" w:hAnsi="宋体" w:eastAsia="宋体" w:cs="宋体"/>
                <w:spacing w:val="8"/>
                <w:sz w:val="20"/>
                <w:szCs w:val="20"/>
              </w:rPr>
              <w:t>境</w:t>
            </w:r>
            <w:r>
              <w:rPr>
                <w:rFonts w:ascii="宋体" w:hAnsi="宋体" w:eastAsia="宋体" w:cs="宋体"/>
                <w:spacing w:val="5"/>
                <w:sz w:val="20"/>
                <w:szCs w:val="20"/>
              </w:rPr>
              <w:t>产生不利影响。本项目涉水桥墩施工采用围堰法，根据国内的环境影响评价和监测资料，</w:t>
            </w:r>
            <w:r>
              <w:rPr>
                <w:rFonts w:ascii="宋体" w:hAnsi="宋体" w:eastAsia="宋体" w:cs="宋体"/>
                <w:sz w:val="20"/>
                <w:szCs w:val="20"/>
              </w:rPr>
              <w:t xml:space="preserve"> </w:t>
            </w:r>
            <w:r>
              <w:rPr>
                <w:rFonts w:ascii="宋体" w:hAnsi="宋体" w:eastAsia="宋体" w:cs="宋体"/>
                <w:spacing w:val="6"/>
                <w:sz w:val="20"/>
                <w:szCs w:val="20"/>
              </w:rPr>
              <w:t xml:space="preserve">围堰法施工时一般在水下构筑物周围约 </w:t>
            </w:r>
            <w:r>
              <w:rPr>
                <w:rFonts w:ascii="Times New Roman" w:hAnsi="Times New Roman" w:eastAsia="Times New Roman" w:cs="Times New Roman"/>
                <w:spacing w:val="6"/>
                <w:sz w:val="20"/>
                <w:szCs w:val="20"/>
              </w:rPr>
              <w:t>50</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范围内的水体中悬浮物会有显著增加，一般</w:t>
            </w:r>
            <w:r>
              <w:rPr>
                <w:rFonts w:ascii="宋体" w:hAnsi="宋体" w:eastAsia="宋体" w:cs="宋体"/>
                <w:spacing w:val="3"/>
                <w:sz w:val="20"/>
                <w:szCs w:val="20"/>
              </w:rPr>
              <w:t>在</w:t>
            </w:r>
            <w:r>
              <w:rPr>
                <w:rFonts w:ascii="宋体" w:hAnsi="宋体" w:eastAsia="宋体" w:cs="宋体"/>
                <w:sz w:val="20"/>
                <w:szCs w:val="20"/>
              </w:rPr>
              <w:t xml:space="preserve"> </w:t>
            </w:r>
            <w:r>
              <w:rPr>
                <w:rFonts w:ascii="Times New Roman" w:hAnsi="Times New Roman" w:eastAsia="Times New Roman" w:cs="Times New Roman"/>
                <w:spacing w:val="8"/>
                <w:sz w:val="20"/>
                <w:szCs w:val="20"/>
              </w:rPr>
              <w:t>2000</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L</w:t>
            </w:r>
            <w:r>
              <w:rPr>
                <w:rFonts w:ascii="宋体" w:hAnsi="宋体" w:eastAsia="宋体" w:cs="宋体"/>
                <w:spacing w:val="4"/>
                <w:sz w:val="20"/>
                <w:szCs w:val="20"/>
              </w:rPr>
              <w:t xml:space="preserve">。根据工程类比，施工将造成河内 </w:t>
            </w:r>
            <w:r>
              <w:rPr>
                <w:rFonts w:ascii="Times New Roman" w:hAnsi="Times New Roman" w:eastAsia="Times New Roman" w:cs="Times New Roman"/>
                <w:sz w:val="20"/>
                <w:szCs w:val="20"/>
              </w:rPr>
              <w:t>SS</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增加，影响范围为下游 </w:t>
            </w:r>
            <w:r>
              <w:rPr>
                <w:rFonts w:ascii="Times New Roman" w:hAnsi="Times New Roman" w:eastAsia="Times New Roman" w:cs="Times New Roman"/>
                <w:spacing w:val="4"/>
                <w:sz w:val="20"/>
                <w:szCs w:val="20"/>
              </w:rPr>
              <w:t>150</w:t>
            </w:r>
            <w:r>
              <w:rPr>
                <w:rFonts w:ascii="Times New Roman" w:hAnsi="Times New Roman" w:eastAsia="Times New Roman" w:cs="Times New Roman"/>
                <w:sz w:val="20"/>
                <w:szCs w:val="20"/>
              </w:rPr>
              <w:t>m</w:t>
            </w:r>
            <w:r>
              <w:rPr>
                <w:rFonts w:ascii="宋体" w:hAnsi="宋体" w:eastAsia="宋体" w:cs="宋体"/>
                <w:spacing w:val="4"/>
                <w:sz w:val="20"/>
                <w:szCs w:val="20"/>
              </w:rPr>
              <w:t>，在这一影响</w:t>
            </w:r>
            <w:r>
              <w:rPr>
                <w:rFonts w:ascii="宋体" w:hAnsi="宋体" w:eastAsia="宋体" w:cs="宋体"/>
                <w:sz w:val="20"/>
                <w:szCs w:val="20"/>
              </w:rPr>
              <w:t xml:space="preserve"> </w:t>
            </w:r>
            <w:r>
              <w:rPr>
                <w:rFonts w:ascii="宋体" w:hAnsi="宋体" w:eastAsia="宋体" w:cs="宋体"/>
                <w:spacing w:val="9"/>
                <w:sz w:val="20"/>
                <w:szCs w:val="20"/>
              </w:rPr>
              <w:t>范围内，对浮游生物产生了一定的不利影响。但施工阶段结束后，水质将逐渐恢复，生</w:t>
            </w:r>
            <w:r>
              <w:rPr>
                <w:rFonts w:ascii="宋体" w:hAnsi="宋体" w:eastAsia="宋体" w:cs="宋体"/>
                <w:spacing w:val="6"/>
                <w:sz w:val="20"/>
                <w:szCs w:val="20"/>
              </w:rPr>
              <w:t>物</w:t>
            </w:r>
            <w:r>
              <w:rPr>
                <w:rFonts w:ascii="宋体" w:hAnsi="宋体" w:eastAsia="宋体" w:cs="宋体"/>
                <w:sz w:val="20"/>
                <w:szCs w:val="20"/>
              </w:rPr>
              <w:t xml:space="preserve"> </w:t>
            </w:r>
            <w:r>
              <w:rPr>
                <w:rFonts w:ascii="宋体" w:hAnsi="宋体" w:eastAsia="宋体" w:cs="宋体"/>
                <w:spacing w:val="9"/>
                <w:sz w:val="20"/>
                <w:szCs w:val="20"/>
              </w:rPr>
              <w:t>将重新汇入。据有关资料表明，浮游生物的重新建立一般只需几周时间，因此本项目施</w:t>
            </w:r>
            <w:r>
              <w:rPr>
                <w:rFonts w:ascii="宋体" w:hAnsi="宋体" w:eastAsia="宋体" w:cs="宋体"/>
                <w:spacing w:val="6"/>
                <w:sz w:val="20"/>
                <w:szCs w:val="20"/>
              </w:rPr>
              <w:t>工</w:t>
            </w:r>
            <w:r>
              <w:rPr>
                <w:rFonts w:ascii="宋体" w:hAnsi="宋体" w:eastAsia="宋体" w:cs="宋体"/>
                <w:sz w:val="20"/>
                <w:szCs w:val="20"/>
              </w:rPr>
              <w:t xml:space="preserve"> </w:t>
            </w:r>
            <w:r>
              <w:rPr>
                <w:rFonts w:ascii="宋体" w:hAnsi="宋体" w:eastAsia="宋体" w:cs="宋体"/>
                <w:spacing w:val="11"/>
                <w:sz w:val="20"/>
                <w:szCs w:val="20"/>
              </w:rPr>
              <w:t>期</w:t>
            </w:r>
            <w:r>
              <w:rPr>
                <w:rFonts w:ascii="宋体" w:hAnsi="宋体" w:eastAsia="宋体" w:cs="宋体"/>
                <w:spacing w:val="9"/>
                <w:sz w:val="20"/>
                <w:szCs w:val="20"/>
              </w:rPr>
              <w:t>对浮游生物的影响可以在短时间内消失。</w:t>
            </w:r>
          </w:p>
          <w:p>
            <w:pPr>
              <w:spacing w:before="1" w:line="369" w:lineRule="auto"/>
              <w:ind w:left="75" w:right="71" w:firstLine="420"/>
              <w:rPr>
                <w:rFonts w:ascii="宋体" w:hAnsi="宋体" w:eastAsia="宋体" w:cs="宋体"/>
                <w:sz w:val="20"/>
                <w:szCs w:val="20"/>
              </w:rPr>
            </w:pPr>
            <w:r>
              <w:rPr>
                <w:rFonts w:ascii="宋体" w:hAnsi="宋体" w:eastAsia="宋体" w:cs="宋体"/>
                <w:spacing w:val="16"/>
                <w:sz w:val="20"/>
                <w:szCs w:val="20"/>
              </w:rPr>
              <w:t>施工期</w:t>
            </w:r>
            <w:r>
              <w:rPr>
                <w:rFonts w:ascii="宋体" w:hAnsi="宋体" w:eastAsia="宋体" w:cs="宋体"/>
                <w:spacing w:val="13"/>
                <w:sz w:val="20"/>
                <w:szCs w:val="20"/>
              </w:rPr>
              <w:t>生</w:t>
            </w:r>
            <w:r>
              <w:rPr>
                <w:rFonts w:ascii="宋体" w:hAnsi="宋体" w:eastAsia="宋体" w:cs="宋体"/>
                <w:spacing w:val="8"/>
                <w:sz w:val="20"/>
                <w:szCs w:val="20"/>
              </w:rPr>
              <w:t>活污水和生活垃圾、施工机械修理及工作时产生的含油污水等的排放必然会</w:t>
            </w:r>
            <w:r>
              <w:rPr>
                <w:rFonts w:ascii="宋体" w:hAnsi="宋体" w:eastAsia="宋体" w:cs="宋体"/>
                <w:sz w:val="20"/>
                <w:szCs w:val="20"/>
              </w:rPr>
              <w:t xml:space="preserve"> </w:t>
            </w:r>
            <w:r>
              <w:rPr>
                <w:rFonts w:ascii="宋体" w:hAnsi="宋体" w:eastAsia="宋体" w:cs="宋体"/>
                <w:spacing w:val="9"/>
                <w:sz w:val="20"/>
                <w:szCs w:val="20"/>
              </w:rPr>
              <w:t>对水质产生一定程度的污染，造成浮游生物种类组成和优势度发生变化。尽管项目实际</w:t>
            </w:r>
            <w:r>
              <w:rPr>
                <w:rFonts w:ascii="宋体" w:hAnsi="宋体" w:eastAsia="宋体" w:cs="宋体"/>
                <w:spacing w:val="3"/>
                <w:sz w:val="20"/>
                <w:szCs w:val="20"/>
              </w:rPr>
              <w:t>占</w:t>
            </w:r>
            <w:r>
              <w:rPr>
                <w:rFonts w:ascii="宋体" w:hAnsi="宋体" w:eastAsia="宋体" w:cs="宋体"/>
                <w:sz w:val="20"/>
                <w:szCs w:val="20"/>
              </w:rPr>
              <w:t xml:space="preserve"> </w:t>
            </w:r>
            <w:r>
              <w:rPr>
                <w:rFonts w:ascii="宋体" w:hAnsi="宋体" w:eastAsia="宋体" w:cs="宋体"/>
                <w:spacing w:val="9"/>
                <w:sz w:val="20"/>
                <w:szCs w:val="20"/>
              </w:rPr>
              <w:t>用水域面积较少，但部分作业场所邻近水体，施工材料若堆放在这些水体附近，由于保</w:t>
            </w:r>
            <w:r>
              <w:rPr>
                <w:rFonts w:ascii="宋体" w:hAnsi="宋体" w:eastAsia="宋体" w:cs="宋体"/>
                <w:spacing w:val="1"/>
                <w:sz w:val="20"/>
                <w:szCs w:val="20"/>
              </w:rPr>
              <w:t>管</w:t>
            </w:r>
            <w:r>
              <w:rPr>
                <w:rFonts w:ascii="宋体" w:hAnsi="宋体" w:eastAsia="宋体" w:cs="宋体"/>
                <w:sz w:val="20"/>
                <w:szCs w:val="20"/>
              </w:rPr>
              <w:t xml:space="preserve"> </w:t>
            </w:r>
            <w:r>
              <w:rPr>
                <w:rFonts w:ascii="宋体" w:hAnsi="宋体" w:eastAsia="宋体" w:cs="宋体"/>
                <w:spacing w:val="9"/>
                <w:sz w:val="20"/>
                <w:szCs w:val="20"/>
              </w:rPr>
              <w:t>不善或受暴雨冲刷将会进入水体；路面开挖后裸露的土石，工程的弃土弃渣，在雨水冲</w:t>
            </w:r>
            <w:r>
              <w:rPr>
                <w:rFonts w:ascii="宋体" w:hAnsi="宋体" w:eastAsia="宋体" w:cs="宋体"/>
                <w:spacing w:val="3"/>
                <w:sz w:val="20"/>
                <w:szCs w:val="20"/>
              </w:rPr>
              <w:t>刷</w:t>
            </w:r>
            <w:r>
              <w:rPr>
                <w:rFonts w:ascii="宋体" w:hAnsi="宋体" w:eastAsia="宋体" w:cs="宋体"/>
                <w:sz w:val="20"/>
                <w:szCs w:val="20"/>
              </w:rPr>
              <w:t xml:space="preserve"> </w:t>
            </w:r>
            <w:r>
              <w:rPr>
                <w:rFonts w:ascii="宋体" w:hAnsi="宋体" w:eastAsia="宋体" w:cs="宋体"/>
                <w:spacing w:val="9"/>
                <w:sz w:val="20"/>
                <w:szCs w:val="20"/>
              </w:rPr>
              <w:t>下形成路面径流也会进入水体，这些施工材料将会导致水体浑浊，改变水的酸碱度，破</w:t>
            </w:r>
            <w:r>
              <w:rPr>
                <w:rFonts w:ascii="宋体" w:hAnsi="宋体" w:eastAsia="宋体" w:cs="宋体"/>
                <w:spacing w:val="3"/>
                <w:sz w:val="20"/>
                <w:szCs w:val="20"/>
              </w:rPr>
              <w:t>坏</w:t>
            </w:r>
            <w:r>
              <w:rPr>
                <w:rFonts w:ascii="宋体" w:hAnsi="宋体" w:eastAsia="宋体" w:cs="宋体"/>
                <w:sz w:val="20"/>
                <w:szCs w:val="20"/>
              </w:rPr>
              <w:t xml:space="preserve"> </w:t>
            </w:r>
            <w:r>
              <w:rPr>
                <w:rFonts w:ascii="宋体" w:hAnsi="宋体" w:eastAsia="宋体" w:cs="宋体"/>
                <w:spacing w:val="9"/>
                <w:sz w:val="20"/>
                <w:szCs w:val="20"/>
              </w:rPr>
              <w:t>浮</w:t>
            </w:r>
            <w:r>
              <w:rPr>
                <w:rFonts w:ascii="宋体" w:hAnsi="宋体" w:eastAsia="宋体" w:cs="宋体"/>
                <w:spacing w:val="8"/>
                <w:sz w:val="20"/>
                <w:szCs w:val="20"/>
              </w:rPr>
              <w:t>游生物的生长环境。</w:t>
            </w:r>
          </w:p>
          <w:p>
            <w:pPr>
              <w:spacing w:before="1" w:line="369" w:lineRule="auto"/>
              <w:ind w:left="78" w:right="71" w:firstLine="420"/>
              <w:rPr>
                <w:rFonts w:ascii="宋体" w:hAnsi="宋体" w:eastAsia="宋体" w:cs="宋体"/>
                <w:sz w:val="20"/>
                <w:szCs w:val="20"/>
              </w:rPr>
            </w:pPr>
            <w:r>
              <w:rPr>
                <w:rFonts w:ascii="宋体" w:hAnsi="宋体" w:eastAsia="宋体" w:cs="宋体"/>
                <w:spacing w:val="16"/>
                <w:sz w:val="20"/>
                <w:szCs w:val="20"/>
              </w:rPr>
              <w:t>工程不</w:t>
            </w:r>
            <w:r>
              <w:rPr>
                <w:rFonts w:ascii="宋体" w:hAnsi="宋体" w:eastAsia="宋体" w:cs="宋体"/>
                <w:spacing w:val="10"/>
                <w:sz w:val="20"/>
                <w:szCs w:val="20"/>
              </w:rPr>
              <w:t>可</w:t>
            </w:r>
            <w:r>
              <w:rPr>
                <w:rFonts w:ascii="宋体" w:hAnsi="宋体" w:eastAsia="宋体" w:cs="宋体"/>
                <w:spacing w:val="8"/>
                <w:sz w:val="20"/>
                <w:szCs w:val="20"/>
              </w:rPr>
              <w:t>避免地会对沿线地表植被造成破坏，影响农业生态系统和森林生态系统的稳</w:t>
            </w:r>
            <w:r>
              <w:rPr>
                <w:rFonts w:ascii="宋体" w:hAnsi="宋体" w:eastAsia="宋体" w:cs="宋体"/>
                <w:sz w:val="20"/>
                <w:szCs w:val="20"/>
              </w:rPr>
              <w:t xml:space="preserve"> </w:t>
            </w:r>
            <w:r>
              <w:rPr>
                <w:rFonts w:ascii="宋体" w:hAnsi="宋体" w:eastAsia="宋体" w:cs="宋体"/>
                <w:spacing w:val="16"/>
                <w:sz w:val="20"/>
                <w:szCs w:val="20"/>
              </w:rPr>
              <w:t>定性和</w:t>
            </w:r>
            <w:r>
              <w:rPr>
                <w:rFonts w:ascii="宋体" w:hAnsi="宋体" w:eastAsia="宋体" w:cs="宋体"/>
                <w:spacing w:val="15"/>
                <w:sz w:val="20"/>
                <w:szCs w:val="20"/>
              </w:rPr>
              <w:t>完</w:t>
            </w:r>
            <w:r>
              <w:rPr>
                <w:rFonts w:ascii="宋体" w:hAnsi="宋体" w:eastAsia="宋体" w:cs="宋体"/>
                <w:spacing w:val="8"/>
                <w:sz w:val="20"/>
                <w:szCs w:val="20"/>
              </w:rPr>
              <w:t>整性，造成水土流失。遇到暴雨季节或洪水，水土流失物中营养物质氮、磷及有</w:t>
            </w:r>
            <w:r>
              <w:rPr>
                <w:rFonts w:ascii="宋体" w:hAnsi="宋体" w:eastAsia="宋体" w:cs="宋体"/>
                <w:sz w:val="20"/>
                <w:szCs w:val="20"/>
              </w:rPr>
              <w:t xml:space="preserve"> </w:t>
            </w:r>
            <w:r>
              <w:rPr>
                <w:rFonts w:ascii="宋体" w:hAnsi="宋体" w:eastAsia="宋体" w:cs="宋体"/>
                <w:spacing w:val="18"/>
                <w:sz w:val="20"/>
                <w:szCs w:val="20"/>
              </w:rPr>
              <w:t>毒</w:t>
            </w:r>
            <w:r>
              <w:rPr>
                <w:rFonts w:ascii="宋体" w:hAnsi="宋体" w:eastAsia="宋体" w:cs="宋体"/>
                <w:spacing w:val="14"/>
                <w:sz w:val="20"/>
                <w:szCs w:val="20"/>
              </w:rPr>
              <w:t>有</w:t>
            </w:r>
            <w:r>
              <w:rPr>
                <w:rFonts w:ascii="宋体" w:hAnsi="宋体" w:eastAsia="宋体" w:cs="宋体"/>
                <w:spacing w:val="9"/>
                <w:sz w:val="20"/>
                <w:szCs w:val="20"/>
              </w:rPr>
              <w:t>害物质会伴随泥沙进入水体，加剧对河流水质的影响，对浮游生物造成影响。</w:t>
            </w:r>
          </w:p>
          <w:p>
            <w:pPr>
              <w:spacing w:before="2" w:line="369" w:lineRule="auto"/>
              <w:ind w:left="77" w:right="71" w:firstLine="444"/>
              <w:rPr>
                <w:rFonts w:ascii="宋体" w:hAnsi="宋体" w:eastAsia="宋体" w:cs="宋体"/>
                <w:sz w:val="20"/>
                <w:szCs w:val="20"/>
              </w:rPr>
            </w:pPr>
            <w:r>
              <w:rPr>
                <w:rFonts w:ascii="宋体" w:hAnsi="宋体" w:eastAsia="宋体" w:cs="宋体"/>
                <w:spacing w:val="11"/>
                <w:sz w:val="20"/>
                <w:szCs w:val="20"/>
              </w:rPr>
              <w:t>由</w:t>
            </w:r>
            <w:r>
              <w:rPr>
                <w:rFonts w:ascii="宋体" w:hAnsi="宋体" w:eastAsia="宋体" w:cs="宋体"/>
                <w:spacing w:val="8"/>
                <w:sz w:val="20"/>
                <w:szCs w:val="20"/>
              </w:rPr>
              <w:t>于工程区域实际占用的水域面积较少，生活污水排放点少，加之浮游生物具有普生</w:t>
            </w:r>
            <w:r>
              <w:rPr>
                <w:rFonts w:ascii="宋体" w:hAnsi="宋体" w:eastAsia="宋体" w:cs="宋体"/>
                <w:sz w:val="20"/>
                <w:szCs w:val="20"/>
              </w:rPr>
              <w:t xml:space="preserve"> </w:t>
            </w:r>
            <w:r>
              <w:rPr>
                <w:rFonts w:ascii="宋体" w:hAnsi="宋体" w:eastAsia="宋体" w:cs="宋体"/>
                <w:spacing w:val="9"/>
                <w:sz w:val="20"/>
                <w:szCs w:val="20"/>
              </w:rPr>
              <w:t>性和水体具有自净能力，因此只要采取必要的环保措施，加强桥梁建设点和施工营地的</w:t>
            </w:r>
            <w:r>
              <w:rPr>
                <w:rFonts w:ascii="宋体" w:hAnsi="宋体" w:eastAsia="宋体" w:cs="宋体"/>
                <w:spacing w:val="1"/>
                <w:sz w:val="20"/>
                <w:szCs w:val="20"/>
              </w:rPr>
              <w:t>管</w:t>
            </w:r>
            <w:r>
              <w:rPr>
                <w:rFonts w:ascii="宋体" w:hAnsi="宋体" w:eastAsia="宋体" w:cs="宋体"/>
                <w:sz w:val="20"/>
                <w:szCs w:val="20"/>
              </w:rPr>
              <w:t xml:space="preserve"> </w:t>
            </w:r>
            <w:r>
              <w:rPr>
                <w:rFonts w:ascii="宋体" w:hAnsi="宋体" w:eastAsia="宋体" w:cs="宋体"/>
                <w:spacing w:val="9"/>
                <w:sz w:val="20"/>
                <w:szCs w:val="20"/>
              </w:rPr>
              <w:t>理，对浮游生物多样性的影响不会很大，施工结束后，随着稀释和水体的自净作用，水</w:t>
            </w:r>
            <w:r>
              <w:rPr>
                <w:rFonts w:ascii="宋体" w:hAnsi="宋体" w:eastAsia="宋体" w:cs="宋体"/>
                <w:spacing w:val="2"/>
                <w:sz w:val="20"/>
                <w:szCs w:val="20"/>
              </w:rPr>
              <w:t>质</w:t>
            </w:r>
            <w:r>
              <w:rPr>
                <w:rFonts w:ascii="宋体" w:hAnsi="宋体" w:eastAsia="宋体" w:cs="宋体"/>
                <w:sz w:val="20"/>
                <w:szCs w:val="20"/>
              </w:rPr>
              <w:t xml:space="preserve"> </w:t>
            </w:r>
            <w:r>
              <w:rPr>
                <w:rFonts w:ascii="宋体" w:hAnsi="宋体" w:eastAsia="宋体" w:cs="宋体"/>
                <w:spacing w:val="10"/>
                <w:sz w:val="20"/>
                <w:szCs w:val="20"/>
              </w:rPr>
              <w:t>逐</w:t>
            </w:r>
            <w:r>
              <w:rPr>
                <w:rFonts w:ascii="宋体" w:hAnsi="宋体" w:eastAsia="宋体" w:cs="宋体"/>
                <w:spacing w:val="9"/>
                <w:sz w:val="20"/>
                <w:szCs w:val="20"/>
              </w:rPr>
              <w:t>渐改良，浮游生物可基本恢复到施工前的水平。</w:t>
            </w:r>
          </w:p>
          <w:p>
            <w:pPr>
              <w:spacing w:line="228" w:lineRule="auto"/>
              <w:ind w:left="590"/>
              <w:rPr>
                <w:rFonts w:ascii="宋体" w:hAnsi="宋体" w:eastAsia="宋体" w:cs="宋体"/>
                <w:sz w:val="20"/>
                <w:szCs w:val="20"/>
              </w:rPr>
            </w:pPr>
            <w:r>
              <w:rPr>
                <w:rFonts w:ascii="宋体" w:hAnsi="宋体" w:eastAsia="宋体" w:cs="宋体"/>
                <w:spacing w:val="10"/>
                <w:sz w:val="17"/>
                <w:szCs w:val="17"/>
              </w:rPr>
              <w:t>3</w:t>
            </w:r>
            <w:r>
              <w:rPr>
                <w:rFonts w:ascii="宋体" w:hAnsi="宋体" w:eastAsia="宋体" w:cs="宋体"/>
                <w:spacing w:val="7"/>
                <w:sz w:val="17"/>
                <w:szCs w:val="17"/>
              </w:rPr>
              <w:t xml:space="preserve">   </w:t>
            </w:r>
            <w:r>
              <w:rPr>
                <w:rFonts w:ascii="宋体" w:hAnsi="宋体" w:eastAsia="宋体" w:cs="宋体"/>
                <w:spacing w:val="7"/>
                <w:sz w:val="20"/>
                <w:szCs w:val="20"/>
              </w:rPr>
              <w:t>对底栖生物的影响</w:t>
            </w:r>
          </w:p>
          <w:p>
            <w:pPr>
              <w:spacing w:before="151" w:line="227" w:lineRule="auto"/>
              <w:ind w:left="497"/>
              <w:rPr>
                <w:rFonts w:ascii="宋体" w:hAnsi="宋体" w:eastAsia="宋体" w:cs="宋体"/>
                <w:sz w:val="20"/>
                <w:szCs w:val="20"/>
              </w:rPr>
            </w:pPr>
            <w:r>
              <w:rPr>
                <w:rFonts w:ascii="宋体" w:hAnsi="宋体" w:eastAsia="宋体" w:cs="宋体"/>
                <w:spacing w:val="28"/>
                <w:sz w:val="20"/>
                <w:szCs w:val="20"/>
              </w:rPr>
              <w:t>本</w:t>
            </w:r>
            <w:r>
              <w:rPr>
                <w:rFonts w:ascii="宋体" w:hAnsi="宋体" w:eastAsia="宋体" w:cs="宋体"/>
                <w:spacing w:val="19"/>
                <w:sz w:val="20"/>
                <w:szCs w:val="20"/>
              </w:rPr>
              <w:t>项</w:t>
            </w:r>
            <w:r>
              <w:rPr>
                <w:rFonts w:ascii="宋体" w:hAnsi="宋体" w:eastAsia="宋体" w:cs="宋体"/>
                <w:spacing w:val="14"/>
                <w:sz w:val="20"/>
                <w:szCs w:val="20"/>
              </w:rPr>
              <w:t>目涉水桥墩施工采用围堰法，该施工阶段将造成导流区河段内的底栖动物的损</w:t>
            </w:r>
          </w:p>
          <w:p>
            <w:pPr>
              <w:spacing w:before="155" w:line="369" w:lineRule="auto"/>
              <w:ind w:left="75" w:right="71" w:firstLine="5"/>
              <w:rPr>
                <w:rFonts w:ascii="宋体" w:hAnsi="宋体" w:eastAsia="宋体" w:cs="宋体"/>
                <w:sz w:val="20"/>
                <w:szCs w:val="20"/>
              </w:rPr>
            </w:pPr>
            <w:r>
              <w:rPr>
                <w:rFonts w:ascii="宋体" w:hAnsi="宋体" w:eastAsia="宋体" w:cs="宋体"/>
                <w:spacing w:val="16"/>
                <w:sz w:val="20"/>
                <w:szCs w:val="20"/>
              </w:rPr>
              <w:t>失，但</w:t>
            </w:r>
            <w:r>
              <w:rPr>
                <w:rFonts w:ascii="宋体" w:hAnsi="宋体" w:eastAsia="宋体" w:cs="宋体"/>
                <w:spacing w:val="11"/>
                <w:sz w:val="20"/>
                <w:szCs w:val="20"/>
              </w:rPr>
              <w:t>由</w:t>
            </w:r>
            <w:r>
              <w:rPr>
                <w:rFonts w:ascii="宋体" w:hAnsi="宋体" w:eastAsia="宋体" w:cs="宋体"/>
                <w:spacing w:val="8"/>
                <w:sz w:val="20"/>
                <w:szCs w:val="20"/>
              </w:rPr>
              <w:t>于底栖生物的繁殖速度尚快，生命周期较短，故自然增殖恢复也较容易，损失对</w:t>
            </w:r>
            <w:r>
              <w:rPr>
                <w:rFonts w:ascii="宋体" w:hAnsi="宋体" w:eastAsia="宋体" w:cs="宋体"/>
                <w:sz w:val="20"/>
                <w:szCs w:val="20"/>
              </w:rPr>
              <w:t xml:space="preserve"> </w:t>
            </w:r>
            <w:r>
              <w:rPr>
                <w:rFonts w:ascii="宋体" w:hAnsi="宋体" w:eastAsia="宋体" w:cs="宋体"/>
                <w:spacing w:val="13"/>
                <w:sz w:val="20"/>
                <w:szCs w:val="20"/>
              </w:rPr>
              <w:t>底</w:t>
            </w:r>
            <w:r>
              <w:rPr>
                <w:rFonts w:ascii="宋体" w:hAnsi="宋体" w:eastAsia="宋体" w:cs="宋体"/>
                <w:spacing w:val="8"/>
                <w:sz w:val="20"/>
                <w:szCs w:val="20"/>
              </w:rPr>
              <w:t>栖生态环境影响并不大。</w:t>
            </w:r>
          </w:p>
          <w:p>
            <w:pPr>
              <w:spacing w:before="1" w:line="227" w:lineRule="auto"/>
              <w:ind w:left="495"/>
              <w:rPr>
                <w:rFonts w:ascii="宋体" w:hAnsi="宋体" w:eastAsia="宋体" w:cs="宋体"/>
                <w:sz w:val="20"/>
                <w:szCs w:val="20"/>
              </w:rPr>
            </w:pPr>
            <w:r>
              <w:rPr>
                <w:rFonts w:ascii="宋体" w:hAnsi="宋体" w:eastAsia="宋体" w:cs="宋体"/>
                <w:spacing w:val="9"/>
                <w:sz w:val="20"/>
                <w:szCs w:val="20"/>
              </w:rPr>
              <w:t>施工期间由于施工活动对水体的扰动等原因造成了涉及水域水质的改变，而摇蚊类</w:t>
            </w:r>
            <w:r>
              <w:rPr>
                <w:rFonts w:ascii="宋体" w:hAnsi="宋体" w:eastAsia="宋体" w:cs="宋体"/>
                <w:spacing w:val="1"/>
                <w:sz w:val="20"/>
                <w:szCs w:val="20"/>
              </w:rPr>
              <w:t>幼</w:t>
            </w:r>
          </w:p>
        </w:tc>
      </w:tr>
    </w:tbl>
    <w:p>
      <w:pPr>
        <w:spacing w:line="138" w:lineRule="exact"/>
        <w:rPr>
          <w:rFonts w:ascii="Arial"/>
          <w:sz w:val="12"/>
        </w:rPr>
      </w:pPr>
    </w:p>
    <w:p>
      <w:pPr>
        <w:sectPr>
          <w:footerReference r:id="rId75" w:type="default"/>
          <w:pgSz w:w="11906" w:h="16839"/>
          <w:pgMar w:top="400" w:right="1472" w:bottom="1475" w:left="1471" w:header="0" w:footer="1315" w:gutter="0"/>
          <w:cols w:space="720" w:num="1"/>
        </w:sectPr>
      </w:pPr>
    </w:p>
    <w:p/>
    <w:p/>
    <w:p/>
    <w:p/>
    <w:p>
      <w:pPr>
        <w:spacing w:line="221" w:lineRule="exact"/>
      </w:pPr>
    </w:p>
    <w:tbl>
      <w:tblPr>
        <w:tblStyle w:val="4"/>
        <w:tblW w:w="894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83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7" w:hRule="atLeast"/>
        </w:trPr>
        <w:tc>
          <w:tcPr>
            <w:tcW w:w="644" w:type="dxa"/>
            <w:tcBorders>
              <w:left w:val="single" w:color="00000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31" w:lineRule="auto"/>
              <w:ind w:left="8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施工</w:t>
            </w:r>
          </w:p>
          <w:p>
            <w:pPr>
              <w:spacing w:before="21" w:line="228" w:lineRule="auto"/>
              <w:ind w:left="91"/>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期生</w:t>
            </w:r>
          </w:p>
          <w:p>
            <w:pPr>
              <w:spacing w:before="25" w:line="230" w:lineRule="auto"/>
              <w:ind w:left="8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态</w:t>
            </w:r>
            <w:r>
              <w:rPr>
                <w:rFonts w:ascii="宋体" w:hAnsi="宋体" w:eastAsia="宋体" w:cs="宋体"/>
                <w:spacing w:val="15"/>
                <w:sz w:val="20"/>
                <w:szCs w:val="20"/>
                <w14:textOutline w14:w="3795" w14:cap="sq" w14:cmpd="sng">
                  <w14:solidFill>
                    <w14:srgbClr w14:val="000000"/>
                  </w14:solidFill>
                  <w14:prstDash w14:val="solid"/>
                  <w14:bevel/>
                </w14:textOutline>
              </w:rPr>
              <w:t>环</w:t>
            </w:r>
          </w:p>
          <w:p>
            <w:pPr>
              <w:spacing w:before="22" w:line="228" w:lineRule="auto"/>
              <w:ind w:left="89"/>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境影</w:t>
            </w:r>
          </w:p>
          <w:p>
            <w:pPr>
              <w:spacing w:before="25" w:line="228" w:lineRule="auto"/>
              <w:ind w:left="99"/>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响分</w:t>
            </w:r>
          </w:p>
          <w:p>
            <w:pPr>
              <w:spacing w:before="26" w:line="228" w:lineRule="auto"/>
              <w:ind w:left="205"/>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析</w:t>
            </w:r>
          </w:p>
        </w:tc>
        <w:tc>
          <w:tcPr>
            <w:tcW w:w="8303" w:type="dxa"/>
            <w:tcBorders>
              <w:right w:val="single" w:color="000000" w:sz="6" w:space="0"/>
            </w:tcBorders>
            <w:vAlign w:val="top"/>
          </w:tcPr>
          <w:p>
            <w:pPr>
              <w:spacing w:before="155" w:line="369" w:lineRule="auto"/>
              <w:ind w:left="77" w:right="71" w:firstLine="4"/>
              <w:rPr>
                <w:rFonts w:ascii="宋体" w:hAnsi="宋体" w:eastAsia="宋体" w:cs="宋体"/>
                <w:sz w:val="20"/>
                <w:szCs w:val="20"/>
              </w:rPr>
            </w:pPr>
            <w:r>
              <w:rPr>
                <w:rFonts w:ascii="宋体" w:hAnsi="宋体" w:eastAsia="宋体" w:cs="宋体"/>
                <w:spacing w:val="16"/>
                <w:sz w:val="20"/>
                <w:szCs w:val="20"/>
              </w:rPr>
              <w:t>虫均为</w:t>
            </w:r>
            <w:r>
              <w:rPr>
                <w:rFonts w:ascii="宋体" w:hAnsi="宋体" w:eastAsia="宋体" w:cs="宋体"/>
                <w:spacing w:val="11"/>
                <w:sz w:val="20"/>
                <w:szCs w:val="20"/>
              </w:rPr>
              <w:t>适</w:t>
            </w:r>
            <w:r>
              <w:rPr>
                <w:rFonts w:ascii="宋体" w:hAnsi="宋体" w:eastAsia="宋体" w:cs="宋体"/>
                <w:spacing w:val="8"/>
                <w:sz w:val="20"/>
                <w:szCs w:val="20"/>
              </w:rPr>
              <w:t>应栖息于较洁净水体的物种，污染必然造成此类物种的减少，但项目施工水域水</w:t>
            </w:r>
            <w:r>
              <w:rPr>
                <w:rFonts w:ascii="宋体" w:hAnsi="宋体" w:eastAsia="宋体" w:cs="宋体"/>
                <w:sz w:val="20"/>
                <w:szCs w:val="20"/>
              </w:rPr>
              <w:t xml:space="preserve"> </w:t>
            </w:r>
            <w:r>
              <w:rPr>
                <w:rFonts w:ascii="宋体" w:hAnsi="宋体" w:eastAsia="宋体" w:cs="宋体"/>
                <w:spacing w:val="9"/>
                <w:sz w:val="20"/>
                <w:szCs w:val="20"/>
              </w:rPr>
              <w:t>生底栖动物在附近其它地区相似的环境中亦有分布，并非本地区的特有种，因此从物种</w:t>
            </w:r>
            <w:r>
              <w:rPr>
                <w:rFonts w:ascii="宋体" w:hAnsi="宋体" w:eastAsia="宋体" w:cs="宋体"/>
                <w:spacing w:val="1"/>
                <w:sz w:val="20"/>
                <w:szCs w:val="20"/>
              </w:rPr>
              <w:t>保</w:t>
            </w:r>
            <w:r>
              <w:rPr>
                <w:rFonts w:ascii="宋体" w:hAnsi="宋体" w:eastAsia="宋体" w:cs="宋体"/>
                <w:sz w:val="20"/>
                <w:szCs w:val="20"/>
              </w:rPr>
              <w:t xml:space="preserve"> </w:t>
            </w:r>
            <w:r>
              <w:rPr>
                <w:rFonts w:ascii="宋体" w:hAnsi="宋体" w:eastAsia="宋体" w:cs="宋体"/>
                <w:spacing w:val="10"/>
                <w:sz w:val="20"/>
                <w:szCs w:val="20"/>
              </w:rPr>
              <w:t>护</w:t>
            </w:r>
            <w:r>
              <w:rPr>
                <w:rFonts w:ascii="宋体" w:hAnsi="宋体" w:eastAsia="宋体" w:cs="宋体"/>
                <w:spacing w:val="9"/>
                <w:sz w:val="20"/>
                <w:szCs w:val="20"/>
              </w:rPr>
              <w:t>的角度看，工程的建设不会导致这些物种的消亡。</w:t>
            </w:r>
          </w:p>
          <w:p>
            <w:pPr>
              <w:spacing w:line="227" w:lineRule="auto"/>
              <w:ind w:left="498"/>
              <w:rPr>
                <w:rFonts w:ascii="宋体" w:hAnsi="宋体" w:eastAsia="宋体" w:cs="宋体"/>
                <w:sz w:val="20"/>
                <w:szCs w:val="20"/>
              </w:rPr>
            </w:pPr>
            <w:r>
              <w:rPr>
                <w:rFonts w:ascii="宋体" w:hAnsi="宋体" w:eastAsia="宋体" w:cs="宋体"/>
                <w:spacing w:val="16"/>
                <w:sz w:val="20"/>
                <w:szCs w:val="20"/>
              </w:rPr>
              <w:t>工程建</w:t>
            </w:r>
            <w:r>
              <w:rPr>
                <w:rFonts w:ascii="宋体" w:hAnsi="宋体" w:eastAsia="宋体" w:cs="宋体"/>
                <w:spacing w:val="10"/>
                <w:sz w:val="20"/>
                <w:szCs w:val="20"/>
              </w:rPr>
              <w:t>设</w:t>
            </w:r>
            <w:r>
              <w:rPr>
                <w:rFonts w:ascii="宋体" w:hAnsi="宋体" w:eastAsia="宋体" w:cs="宋体"/>
                <w:spacing w:val="8"/>
                <w:sz w:val="20"/>
                <w:szCs w:val="20"/>
              </w:rPr>
              <w:t>过程中需加强含油废水的收集治理，施工期不得向地表水体排放弃渣及废水</w:t>
            </w:r>
          </w:p>
          <w:p>
            <w:pPr>
              <w:spacing w:before="153" w:line="228" w:lineRule="auto"/>
              <w:ind w:left="78"/>
              <w:rPr>
                <w:rFonts w:ascii="宋体" w:hAnsi="宋体" w:eastAsia="宋体" w:cs="宋体"/>
                <w:sz w:val="20"/>
                <w:szCs w:val="20"/>
              </w:rPr>
            </w:pPr>
            <w:r>
              <w:rPr>
                <w:rFonts w:ascii="宋体" w:hAnsi="宋体" w:eastAsia="宋体" w:cs="宋体"/>
                <w:spacing w:val="13"/>
                <w:sz w:val="20"/>
                <w:szCs w:val="20"/>
              </w:rPr>
              <w:t>等</w:t>
            </w:r>
            <w:r>
              <w:rPr>
                <w:rFonts w:ascii="宋体" w:hAnsi="宋体" w:eastAsia="宋体" w:cs="宋体"/>
                <w:spacing w:val="9"/>
                <w:sz w:val="20"/>
                <w:szCs w:val="20"/>
              </w:rPr>
              <w:t>，减少对鱼类、浮游生物及底栖动物等水生生物的影响。</w:t>
            </w:r>
          </w:p>
          <w:p>
            <w:pPr>
              <w:spacing w:before="153" w:line="228" w:lineRule="auto"/>
              <w:ind w:left="537"/>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5"/>
                <w:sz w:val="20"/>
                <w:szCs w:val="20"/>
              </w:rPr>
              <w:t>7</w:t>
            </w:r>
            <w:r>
              <w:rPr>
                <w:rFonts w:ascii="宋体" w:hAnsi="宋体" w:eastAsia="宋体" w:cs="宋体"/>
                <w:spacing w:val="15"/>
                <w:sz w:val="20"/>
                <w:szCs w:val="20"/>
                <w14:textOutline w14:w="3795" w14:cap="sq" w14:cmpd="sng">
                  <w14:solidFill>
                    <w14:srgbClr w14:val="000000"/>
                  </w14:solidFill>
                  <w14:prstDash w14:val="solid"/>
                  <w14:bevel/>
                </w14:textOutline>
              </w:rPr>
              <w:t>)</w:t>
            </w:r>
            <w:r>
              <w:rPr>
                <w:rFonts w:ascii="宋体" w:hAnsi="宋体" w:eastAsia="宋体" w:cs="宋体"/>
                <w:spacing w:val="15"/>
                <w:sz w:val="20"/>
                <w:szCs w:val="20"/>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临时工程的环境影响分析</w:t>
            </w:r>
          </w:p>
          <w:p>
            <w:pPr>
              <w:spacing w:before="154" w:line="369" w:lineRule="auto"/>
              <w:ind w:left="75" w:right="71" w:firstLine="420"/>
              <w:rPr>
                <w:rFonts w:ascii="宋体" w:hAnsi="宋体" w:eastAsia="宋体" w:cs="宋体"/>
                <w:sz w:val="20"/>
                <w:szCs w:val="20"/>
              </w:rPr>
            </w:pPr>
            <w:r>
              <w:rPr>
                <w:rFonts w:ascii="宋体" w:hAnsi="宋体" w:eastAsia="宋体" w:cs="宋体"/>
                <w:spacing w:val="9"/>
                <w:sz w:val="20"/>
                <w:szCs w:val="20"/>
              </w:rPr>
              <w:t>施工临时占地会对植被产生直接的破坏作用，使群落的生物多样性降低。由于拟建</w:t>
            </w:r>
            <w:r>
              <w:rPr>
                <w:rFonts w:ascii="宋体" w:hAnsi="宋体" w:eastAsia="宋体" w:cs="宋体"/>
                <w:spacing w:val="1"/>
                <w:sz w:val="20"/>
                <w:szCs w:val="20"/>
              </w:rPr>
              <w:t>桥</w:t>
            </w:r>
            <w:r>
              <w:rPr>
                <w:rFonts w:ascii="宋体" w:hAnsi="宋体" w:eastAsia="宋体" w:cs="宋体"/>
                <w:sz w:val="20"/>
                <w:szCs w:val="20"/>
              </w:rPr>
              <w:t xml:space="preserve"> </w:t>
            </w:r>
            <w:r>
              <w:rPr>
                <w:rFonts w:ascii="宋体" w:hAnsi="宋体" w:eastAsia="宋体" w:cs="宋体"/>
                <w:spacing w:val="9"/>
                <w:sz w:val="20"/>
                <w:szCs w:val="20"/>
              </w:rPr>
              <w:t>梁位于城市开发区，用地条件受限，不在施工区域设置施工营地，仅设临时活动板房做</w:t>
            </w:r>
            <w:r>
              <w:rPr>
                <w:rFonts w:ascii="宋体" w:hAnsi="宋体" w:eastAsia="宋体" w:cs="宋体"/>
                <w:spacing w:val="3"/>
                <w:sz w:val="20"/>
                <w:szCs w:val="20"/>
              </w:rPr>
              <w:t>施</w:t>
            </w:r>
            <w:r>
              <w:rPr>
                <w:rFonts w:ascii="宋体" w:hAnsi="宋体" w:eastAsia="宋体" w:cs="宋体"/>
                <w:sz w:val="20"/>
                <w:szCs w:val="20"/>
              </w:rPr>
              <w:t xml:space="preserve"> </w:t>
            </w:r>
            <w:r>
              <w:rPr>
                <w:rFonts w:ascii="宋体" w:hAnsi="宋体" w:eastAsia="宋体" w:cs="宋体"/>
                <w:spacing w:val="16"/>
                <w:sz w:val="20"/>
                <w:szCs w:val="20"/>
              </w:rPr>
              <w:t>工管</w:t>
            </w:r>
            <w:r>
              <w:rPr>
                <w:rFonts w:ascii="宋体" w:hAnsi="宋体" w:eastAsia="宋体" w:cs="宋体"/>
                <w:spacing w:val="9"/>
                <w:sz w:val="20"/>
                <w:szCs w:val="20"/>
              </w:rPr>
              <w:t>理</w:t>
            </w:r>
            <w:r>
              <w:rPr>
                <w:rFonts w:ascii="宋体" w:hAnsi="宋体" w:eastAsia="宋体" w:cs="宋体"/>
                <w:spacing w:val="8"/>
                <w:sz w:val="20"/>
                <w:szCs w:val="20"/>
              </w:rPr>
              <w:t>房，施工场地、土石方 (含表土) 临时堆场、泥浆沉淀池等占地尽量选址用地红线</w:t>
            </w:r>
            <w:r>
              <w:rPr>
                <w:rFonts w:ascii="宋体" w:hAnsi="宋体" w:eastAsia="宋体" w:cs="宋体"/>
                <w:sz w:val="20"/>
                <w:szCs w:val="20"/>
              </w:rPr>
              <w:t xml:space="preserve"> </w:t>
            </w:r>
            <w:r>
              <w:rPr>
                <w:rFonts w:ascii="宋体" w:hAnsi="宋体" w:eastAsia="宋体" w:cs="宋体"/>
                <w:spacing w:val="9"/>
                <w:sz w:val="20"/>
                <w:szCs w:val="20"/>
              </w:rPr>
              <w:t>内，临时堆场尽量远离河道设置，并且采取覆盖、设置挡墙等措施，可最大限度减轻对</w:t>
            </w:r>
            <w:r>
              <w:rPr>
                <w:rFonts w:ascii="宋体" w:hAnsi="宋体" w:eastAsia="宋体" w:cs="宋体"/>
                <w:spacing w:val="3"/>
                <w:sz w:val="20"/>
                <w:szCs w:val="20"/>
              </w:rPr>
              <w:t>河</w:t>
            </w:r>
            <w:r>
              <w:rPr>
                <w:rFonts w:ascii="宋体" w:hAnsi="宋体" w:eastAsia="宋体" w:cs="宋体"/>
                <w:sz w:val="20"/>
                <w:szCs w:val="20"/>
              </w:rPr>
              <w:t xml:space="preserve"> </w:t>
            </w:r>
            <w:r>
              <w:rPr>
                <w:rFonts w:ascii="宋体" w:hAnsi="宋体" w:eastAsia="宋体" w:cs="宋体"/>
                <w:spacing w:val="9"/>
                <w:sz w:val="20"/>
                <w:szCs w:val="20"/>
              </w:rPr>
              <w:t>道造成影响。施工便道结合周围的规划及用地条件，拟占用规划的滨河路用地，项目结</w:t>
            </w:r>
            <w:r>
              <w:rPr>
                <w:rFonts w:ascii="宋体" w:hAnsi="宋体" w:eastAsia="宋体" w:cs="宋体"/>
                <w:spacing w:val="1"/>
                <w:sz w:val="20"/>
                <w:szCs w:val="20"/>
              </w:rPr>
              <w:t>束</w:t>
            </w:r>
            <w:r>
              <w:rPr>
                <w:rFonts w:ascii="宋体" w:hAnsi="宋体" w:eastAsia="宋体" w:cs="宋体"/>
                <w:sz w:val="20"/>
                <w:szCs w:val="20"/>
              </w:rPr>
              <w:t xml:space="preserve"> </w:t>
            </w:r>
            <w:r>
              <w:rPr>
                <w:rFonts w:ascii="宋体" w:hAnsi="宋体" w:eastAsia="宋体" w:cs="宋体"/>
                <w:spacing w:val="9"/>
                <w:sz w:val="20"/>
                <w:szCs w:val="20"/>
              </w:rPr>
              <w:t>后，及时进行覆土和生态恢复。利用规划的滨河路用地建设临时道路，可提高土地资源</w:t>
            </w:r>
            <w:r>
              <w:rPr>
                <w:rFonts w:ascii="宋体" w:hAnsi="宋体" w:eastAsia="宋体" w:cs="宋体"/>
                <w:spacing w:val="1"/>
                <w:sz w:val="20"/>
                <w:szCs w:val="20"/>
              </w:rPr>
              <w:t>利</w:t>
            </w:r>
            <w:r>
              <w:rPr>
                <w:rFonts w:ascii="宋体" w:hAnsi="宋体" w:eastAsia="宋体" w:cs="宋体"/>
                <w:sz w:val="20"/>
                <w:szCs w:val="20"/>
              </w:rPr>
              <w:t xml:space="preserve"> </w:t>
            </w:r>
            <w:r>
              <w:rPr>
                <w:rFonts w:ascii="宋体" w:hAnsi="宋体" w:eastAsia="宋体" w:cs="宋体"/>
                <w:spacing w:val="16"/>
                <w:sz w:val="20"/>
                <w:szCs w:val="20"/>
              </w:rPr>
              <w:t>用</w:t>
            </w:r>
            <w:r>
              <w:rPr>
                <w:rFonts w:ascii="宋体" w:hAnsi="宋体" w:eastAsia="宋体" w:cs="宋体"/>
                <w:spacing w:val="9"/>
                <w:sz w:val="20"/>
                <w:szCs w:val="20"/>
              </w:rPr>
              <w:t>，减少对区域土地资源的破坏，降低对生态环境的影响。</w:t>
            </w:r>
          </w:p>
          <w:p>
            <w:pPr>
              <w:spacing w:before="1" w:line="369" w:lineRule="auto"/>
              <w:ind w:left="75" w:right="71" w:firstLine="420"/>
              <w:rPr>
                <w:rFonts w:ascii="宋体" w:hAnsi="宋体" w:eastAsia="宋体" w:cs="宋体"/>
                <w:sz w:val="20"/>
                <w:szCs w:val="20"/>
              </w:rPr>
            </w:pPr>
            <w:r>
              <w:rPr>
                <w:rFonts w:ascii="宋体" w:hAnsi="宋体" w:eastAsia="宋体" w:cs="宋体"/>
                <w:spacing w:val="28"/>
                <w:sz w:val="20"/>
                <w:szCs w:val="20"/>
              </w:rPr>
              <w:t>施</w:t>
            </w:r>
            <w:r>
              <w:rPr>
                <w:rFonts w:ascii="宋体" w:hAnsi="宋体" w:eastAsia="宋体" w:cs="宋体"/>
                <w:spacing w:val="21"/>
                <w:sz w:val="20"/>
                <w:szCs w:val="20"/>
              </w:rPr>
              <w:t>工</w:t>
            </w:r>
            <w:r>
              <w:rPr>
                <w:rFonts w:ascii="宋体" w:hAnsi="宋体" w:eastAsia="宋体" w:cs="宋体"/>
                <w:spacing w:val="14"/>
                <w:sz w:val="20"/>
                <w:szCs w:val="20"/>
              </w:rPr>
              <w:t>期人为活动对项目周围地区植被的影响在于施工过程需要修建一些施工便道通</w:t>
            </w:r>
            <w:r>
              <w:rPr>
                <w:rFonts w:ascii="宋体" w:hAnsi="宋体" w:eastAsia="宋体" w:cs="宋体"/>
                <w:sz w:val="20"/>
                <w:szCs w:val="20"/>
              </w:rPr>
              <w:t xml:space="preserve"> </w:t>
            </w:r>
            <w:r>
              <w:rPr>
                <w:rFonts w:ascii="宋体" w:hAnsi="宋体" w:eastAsia="宋体" w:cs="宋体"/>
                <w:spacing w:val="9"/>
                <w:sz w:val="20"/>
                <w:szCs w:val="20"/>
              </w:rPr>
              <w:t>往施工场地和弃渣场，如果施工管理不善，对地表植被的破坏明显。在施工结束后应做</w:t>
            </w:r>
            <w:r>
              <w:rPr>
                <w:rFonts w:ascii="宋体" w:hAnsi="宋体" w:eastAsia="宋体" w:cs="宋体"/>
                <w:spacing w:val="3"/>
                <w:sz w:val="20"/>
                <w:szCs w:val="20"/>
              </w:rPr>
              <w:t>好</w:t>
            </w:r>
            <w:r>
              <w:rPr>
                <w:rFonts w:ascii="宋体" w:hAnsi="宋体" w:eastAsia="宋体" w:cs="宋体"/>
                <w:sz w:val="20"/>
                <w:szCs w:val="20"/>
              </w:rPr>
              <w:t xml:space="preserve"> </w:t>
            </w:r>
            <w:r>
              <w:rPr>
                <w:rFonts w:ascii="宋体" w:hAnsi="宋体" w:eastAsia="宋体" w:cs="宋体"/>
                <w:spacing w:val="14"/>
                <w:sz w:val="20"/>
                <w:szCs w:val="20"/>
              </w:rPr>
              <w:t>恢</w:t>
            </w:r>
            <w:r>
              <w:rPr>
                <w:rFonts w:ascii="宋体" w:hAnsi="宋体" w:eastAsia="宋体" w:cs="宋体"/>
                <w:spacing w:val="9"/>
                <w:sz w:val="20"/>
                <w:szCs w:val="20"/>
              </w:rPr>
              <w:t>复、防护工作，可最大限度地减小对生态环境的影响。</w:t>
            </w:r>
          </w:p>
          <w:p>
            <w:pPr>
              <w:spacing w:before="1" w:line="227" w:lineRule="auto"/>
              <w:ind w:left="537"/>
              <w:rPr>
                <w:rFonts w:ascii="宋体" w:hAnsi="宋体" w:eastAsia="宋体" w:cs="宋体"/>
                <w:sz w:val="20"/>
                <w:szCs w:val="20"/>
              </w:rPr>
            </w:pPr>
            <w:r>
              <w:rPr>
                <w:rFonts w:ascii="宋体" w:hAnsi="宋体" w:eastAsia="宋体" w:cs="宋体"/>
                <w:spacing w:val="24"/>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4"/>
                <w:sz w:val="20"/>
                <w:szCs w:val="20"/>
              </w:rPr>
              <w:t>8</w:t>
            </w:r>
            <w:r>
              <w:rPr>
                <w:rFonts w:ascii="宋体" w:hAnsi="宋体" w:eastAsia="宋体" w:cs="宋体"/>
                <w:spacing w:val="14"/>
                <w:sz w:val="20"/>
                <w:szCs w:val="20"/>
                <w14:textOutline w14:w="3795" w14:cap="sq" w14:cmpd="sng">
                  <w14:solidFill>
                    <w14:srgbClr w14:val="000000"/>
                  </w14:solidFill>
                  <w14:prstDash w14:val="solid"/>
                  <w14:bevel/>
                </w14:textOutline>
              </w:rPr>
              <w:t>)</w:t>
            </w:r>
            <w:r>
              <w:rPr>
                <w:rFonts w:ascii="宋体" w:hAnsi="宋体" w:eastAsia="宋体" w:cs="宋体"/>
                <w:spacing w:val="14"/>
                <w:sz w:val="20"/>
                <w:szCs w:val="20"/>
              </w:rPr>
              <w:t xml:space="preserve"> </w:t>
            </w:r>
            <w:r>
              <w:rPr>
                <w:rFonts w:ascii="宋体" w:hAnsi="宋体" w:eastAsia="宋体" w:cs="宋体"/>
                <w:spacing w:val="14"/>
                <w:sz w:val="20"/>
                <w:szCs w:val="20"/>
                <w14:textOutline w14:w="3795" w14:cap="sq" w14:cmpd="sng">
                  <w14:solidFill>
                    <w14:srgbClr w14:val="000000"/>
                  </w14:solidFill>
                  <w14:prstDash w14:val="solid"/>
                  <w14:bevel/>
                </w14:textOutline>
              </w:rPr>
              <w:t>项目对水土流失的影响分析</w:t>
            </w:r>
          </w:p>
          <w:p>
            <w:pPr>
              <w:spacing w:before="155" w:line="366" w:lineRule="auto"/>
              <w:ind w:left="77" w:right="1" w:firstLine="419"/>
              <w:rPr>
                <w:rFonts w:ascii="宋体" w:hAnsi="宋体" w:eastAsia="宋体" w:cs="宋体"/>
                <w:sz w:val="20"/>
                <w:szCs w:val="20"/>
              </w:rPr>
            </w:pPr>
            <w:r>
              <w:rPr>
                <w:rFonts w:ascii="宋体" w:hAnsi="宋体" w:eastAsia="宋体" w:cs="宋体"/>
                <w:spacing w:val="16"/>
                <w:sz w:val="20"/>
                <w:szCs w:val="20"/>
              </w:rPr>
              <w:t>根据《</w:t>
            </w:r>
            <w:r>
              <w:rPr>
                <w:rFonts w:ascii="宋体" w:hAnsi="宋体" w:eastAsia="宋体" w:cs="宋体"/>
                <w:spacing w:val="12"/>
                <w:sz w:val="20"/>
                <w:szCs w:val="20"/>
              </w:rPr>
              <w:t>达</w:t>
            </w:r>
            <w:r>
              <w:rPr>
                <w:rFonts w:ascii="宋体" w:hAnsi="宋体" w:eastAsia="宋体" w:cs="宋体"/>
                <w:spacing w:val="8"/>
                <w:sz w:val="20"/>
                <w:szCs w:val="20"/>
              </w:rPr>
              <w:t>州市高家坝大桥建设项目水土保持方案报告表》，项目区平均土壤侵蚀模数</w:t>
            </w:r>
            <w:r>
              <w:rPr>
                <w:rFonts w:ascii="宋体" w:hAnsi="宋体" w:eastAsia="宋体" w:cs="宋体"/>
                <w:sz w:val="20"/>
                <w:szCs w:val="20"/>
              </w:rPr>
              <w:t xml:space="preserve"> </w:t>
            </w:r>
            <w:r>
              <w:rPr>
                <w:rFonts w:ascii="宋体" w:hAnsi="宋体" w:eastAsia="宋体" w:cs="宋体"/>
                <w:spacing w:val="4"/>
                <w:sz w:val="20"/>
                <w:szCs w:val="20"/>
              </w:rPr>
              <w:t xml:space="preserve">背景值为 </w:t>
            </w:r>
            <w:r>
              <w:rPr>
                <w:rFonts w:ascii="Times New Roman" w:hAnsi="Times New Roman" w:eastAsia="Times New Roman" w:cs="Times New Roman"/>
                <w:spacing w:val="4"/>
                <w:sz w:val="20"/>
                <w:szCs w:val="20"/>
              </w:rPr>
              <w:t>589</w:t>
            </w:r>
            <w:r>
              <w:rPr>
                <w:rFonts w:ascii="Times New Roman" w:hAnsi="Times New Roman" w:eastAsia="Times New Roman" w:cs="Times New Roman"/>
                <w:sz w:val="20"/>
                <w:szCs w:val="20"/>
              </w:rPr>
              <w:t>t</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km</w:t>
            </w:r>
            <w:r>
              <w:rPr>
                <w:rFonts w:ascii="宋体" w:hAnsi="宋体" w:eastAsia="宋体" w:cs="宋体"/>
                <w:spacing w:val="2"/>
                <w:sz w:val="20"/>
                <w:szCs w:val="20"/>
              </w:rPr>
              <w:t>² ·</w:t>
            </w:r>
            <w:r>
              <w:rPr>
                <w:rFonts w:ascii="Times New Roman" w:hAnsi="Times New Roman" w:eastAsia="Times New Roman" w:cs="Times New Roman"/>
                <w:sz w:val="20"/>
                <w:szCs w:val="20"/>
              </w:rPr>
              <w:t>a</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，属于轻度侵蚀区。项目在建设过程中，不同程度、不同形式地扰</w:t>
            </w:r>
            <w:r>
              <w:rPr>
                <w:rFonts w:ascii="宋体" w:hAnsi="宋体" w:eastAsia="宋体" w:cs="宋体"/>
                <w:sz w:val="20"/>
                <w:szCs w:val="20"/>
              </w:rPr>
              <w:t xml:space="preserve"> </w:t>
            </w:r>
            <w:r>
              <w:rPr>
                <w:rFonts w:ascii="宋体" w:hAnsi="宋体" w:eastAsia="宋体" w:cs="宋体"/>
                <w:spacing w:val="16"/>
                <w:sz w:val="20"/>
                <w:szCs w:val="20"/>
              </w:rPr>
              <w:t>动</w:t>
            </w:r>
            <w:r>
              <w:rPr>
                <w:rFonts w:ascii="宋体" w:hAnsi="宋体" w:eastAsia="宋体" w:cs="宋体"/>
                <w:spacing w:val="10"/>
                <w:sz w:val="20"/>
                <w:szCs w:val="20"/>
              </w:rPr>
              <w:t>原地形地貌，损坏了原地表土体结构和地面林草植被。根据工程设计资料及总体布置，</w:t>
            </w:r>
            <w:r>
              <w:rPr>
                <w:rFonts w:ascii="宋体" w:hAnsi="宋体" w:eastAsia="宋体" w:cs="宋体"/>
                <w:sz w:val="20"/>
                <w:szCs w:val="20"/>
              </w:rPr>
              <w:t xml:space="preserve"> </w:t>
            </w:r>
            <w:r>
              <w:rPr>
                <w:rFonts w:ascii="宋体" w:hAnsi="宋体" w:eastAsia="宋体" w:cs="宋体"/>
                <w:spacing w:val="5"/>
                <w:sz w:val="20"/>
                <w:szCs w:val="20"/>
              </w:rPr>
              <w:t xml:space="preserve">结合现场踏勘分析，项目建设过程中将扰动原地表面积为 </w:t>
            </w:r>
            <w:r>
              <w:rPr>
                <w:rFonts w:ascii="Times New Roman" w:hAnsi="Times New Roman" w:eastAsia="Times New Roman" w:cs="Times New Roman"/>
                <w:spacing w:val="5"/>
                <w:sz w:val="20"/>
                <w:szCs w:val="20"/>
              </w:rPr>
              <w:t>3.24</w:t>
            </w:r>
            <w:r>
              <w:rPr>
                <w:rFonts w:ascii="Times New Roman" w:hAnsi="Times New Roman" w:eastAsia="Times New Roman" w:cs="Times New Roman"/>
                <w:sz w:val="20"/>
                <w:szCs w:val="20"/>
              </w:rPr>
              <w:t>hm</w:t>
            </w:r>
            <w:r>
              <w:rPr>
                <w:rFonts w:ascii="宋体" w:hAnsi="宋体" w:eastAsia="宋体" w:cs="宋体"/>
                <w:spacing w:val="5"/>
                <w:sz w:val="20"/>
                <w:szCs w:val="20"/>
              </w:rPr>
              <w:t>²。水土流失主要为路基</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14"/>
                <w:sz w:val="20"/>
                <w:szCs w:val="20"/>
              </w:rPr>
              <w:t>临</w:t>
            </w:r>
            <w:r>
              <w:rPr>
                <w:rFonts w:ascii="宋体" w:hAnsi="宋体" w:eastAsia="宋体" w:cs="宋体"/>
                <w:spacing w:val="9"/>
                <w:sz w:val="20"/>
                <w:szCs w:val="20"/>
              </w:rPr>
              <w:t>时道路、施工场地占地等土石方挖填施工对地表破坏造成。</w:t>
            </w:r>
          </w:p>
          <w:p>
            <w:pPr>
              <w:spacing w:before="15" w:line="401" w:lineRule="exact"/>
              <w:ind w:left="499"/>
              <w:rPr>
                <w:rFonts w:ascii="宋体" w:hAnsi="宋体" w:eastAsia="宋体" w:cs="宋体"/>
                <w:sz w:val="20"/>
                <w:szCs w:val="20"/>
              </w:rPr>
            </w:pPr>
            <w:r>
              <w:rPr>
                <w:rFonts w:ascii="宋体" w:hAnsi="宋体" w:eastAsia="宋体" w:cs="宋体"/>
                <w:spacing w:val="12"/>
                <w:position w:val="14"/>
                <w:sz w:val="20"/>
                <w:szCs w:val="20"/>
              </w:rPr>
              <w:t>项</w:t>
            </w:r>
            <w:r>
              <w:rPr>
                <w:rFonts w:ascii="宋体" w:hAnsi="宋体" w:eastAsia="宋体" w:cs="宋体"/>
                <w:spacing w:val="9"/>
                <w:position w:val="14"/>
                <w:sz w:val="20"/>
                <w:szCs w:val="20"/>
              </w:rPr>
              <w:t>目建设可能产生的水土流失危害主要表现为以下几方面：</w:t>
            </w:r>
          </w:p>
          <w:p>
            <w:pPr>
              <w:spacing w:before="1" w:line="227" w:lineRule="auto"/>
              <w:ind w:left="599"/>
              <w:rPr>
                <w:rFonts w:ascii="宋体" w:hAnsi="宋体" w:eastAsia="宋体" w:cs="宋体"/>
                <w:sz w:val="20"/>
                <w:szCs w:val="20"/>
              </w:rPr>
            </w:pPr>
            <w:r>
              <w:rPr>
                <w:rFonts w:ascii="宋体" w:hAnsi="宋体" w:eastAsia="宋体" w:cs="宋体"/>
                <w:spacing w:val="11"/>
                <w:sz w:val="17"/>
                <w:szCs w:val="17"/>
              </w:rPr>
              <w:t>1</w:t>
            </w:r>
            <w:r>
              <w:rPr>
                <w:rFonts w:ascii="宋体" w:hAnsi="宋体" w:eastAsia="宋体" w:cs="宋体"/>
                <w:spacing w:val="6"/>
                <w:sz w:val="17"/>
                <w:szCs w:val="17"/>
              </w:rPr>
              <w:t xml:space="preserve">   </w:t>
            </w:r>
            <w:r>
              <w:rPr>
                <w:rFonts w:ascii="宋体" w:hAnsi="宋体" w:eastAsia="宋体" w:cs="宋体"/>
                <w:spacing w:val="6"/>
                <w:sz w:val="20"/>
                <w:szCs w:val="20"/>
              </w:rPr>
              <w:t>对河流水域的危害</w:t>
            </w:r>
          </w:p>
          <w:p>
            <w:pPr>
              <w:spacing w:before="153" w:line="369" w:lineRule="auto"/>
              <w:ind w:left="77" w:right="71" w:firstLine="444"/>
              <w:rPr>
                <w:rFonts w:ascii="宋体" w:hAnsi="宋体" w:eastAsia="宋体" w:cs="宋体"/>
                <w:sz w:val="20"/>
                <w:szCs w:val="20"/>
              </w:rPr>
            </w:pPr>
            <w:r>
              <w:rPr>
                <w:rFonts w:ascii="宋体" w:hAnsi="宋体" w:eastAsia="宋体" w:cs="宋体"/>
                <w:spacing w:val="11"/>
                <w:sz w:val="20"/>
                <w:szCs w:val="20"/>
              </w:rPr>
              <w:t>由</w:t>
            </w:r>
            <w:r>
              <w:rPr>
                <w:rFonts w:ascii="宋体" w:hAnsi="宋体" w:eastAsia="宋体" w:cs="宋体"/>
                <w:spacing w:val="8"/>
                <w:sz w:val="20"/>
                <w:szCs w:val="20"/>
              </w:rPr>
              <w:t>于工程的土石方开挖回填，占地扰动，如不采取必要的措施必然使土壤流失对项目</w:t>
            </w:r>
            <w:r>
              <w:rPr>
                <w:rFonts w:ascii="宋体" w:hAnsi="宋体" w:eastAsia="宋体" w:cs="宋体"/>
                <w:sz w:val="20"/>
                <w:szCs w:val="20"/>
              </w:rPr>
              <w:t xml:space="preserve"> </w:t>
            </w:r>
            <w:r>
              <w:rPr>
                <w:rFonts w:ascii="宋体" w:hAnsi="宋体" w:eastAsia="宋体" w:cs="宋体"/>
                <w:spacing w:val="16"/>
                <w:sz w:val="20"/>
                <w:szCs w:val="20"/>
              </w:rPr>
              <w:t>周</w:t>
            </w:r>
            <w:r>
              <w:rPr>
                <w:rFonts w:ascii="宋体" w:hAnsi="宋体" w:eastAsia="宋体" w:cs="宋体"/>
                <w:spacing w:val="15"/>
                <w:sz w:val="20"/>
                <w:szCs w:val="20"/>
              </w:rPr>
              <w:t>边</w:t>
            </w:r>
            <w:r>
              <w:rPr>
                <w:rFonts w:ascii="宋体" w:hAnsi="宋体" w:eastAsia="宋体" w:cs="宋体"/>
                <w:spacing w:val="8"/>
                <w:sz w:val="20"/>
                <w:szCs w:val="20"/>
              </w:rPr>
              <w:t>自然沟渠 (塘) 一定的淤积，增加雨季水体的含沙量。因此有必要对项目建设区布设</w:t>
            </w:r>
            <w:r>
              <w:rPr>
                <w:rFonts w:ascii="宋体" w:hAnsi="宋体" w:eastAsia="宋体" w:cs="宋体"/>
                <w:sz w:val="20"/>
                <w:szCs w:val="20"/>
              </w:rPr>
              <w:t xml:space="preserve"> </w:t>
            </w:r>
            <w:r>
              <w:rPr>
                <w:rFonts w:ascii="宋体" w:hAnsi="宋体" w:eastAsia="宋体" w:cs="宋体"/>
                <w:spacing w:val="16"/>
                <w:sz w:val="20"/>
                <w:szCs w:val="20"/>
              </w:rPr>
              <w:t>水</w:t>
            </w:r>
            <w:r>
              <w:rPr>
                <w:rFonts w:ascii="宋体" w:hAnsi="宋体" w:eastAsia="宋体" w:cs="宋体"/>
                <w:spacing w:val="12"/>
                <w:sz w:val="20"/>
                <w:szCs w:val="20"/>
              </w:rPr>
              <w:t>土</w:t>
            </w:r>
            <w:r>
              <w:rPr>
                <w:rFonts w:ascii="宋体" w:hAnsi="宋体" w:eastAsia="宋体" w:cs="宋体"/>
                <w:spacing w:val="8"/>
                <w:sz w:val="20"/>
                <w:szCs w:val="20"/>
              </w:rPr>
              <w:t>保持措施，以减少对河流的危害。</w:t>
            </w:r>
          </w:p>
          <w:p>
            <w:pPr>
              <w:spacing w:line="228" w:lineRule="auto"/>
              <w:ind w:left="588"/>
              <w:rPr>
                <w:rFonts w:ascii="宋体" w:hAnsi="宋体" w:eastAsia="宋体" w:cs="宋体"/>
                <w:sz w:val="20"/>
                <w:szCs w:val="20"/>
              </w:rPr>
            </w:pPr>
            <w:r>
              <w:rPr>
                <w:rFonts w:ascii="宋体" w:hAnsi="宋体" w:eastAsia="宋体" w:cs="宋体"/>
                <w:spacing w:val="14"/>
                <w:sz w:val="17"/>
                <w:szCs w:val="17"/>
              </w:rPr>
              <w:t>2</w:t>
            </w:r>
            <w:r>
              <w:rPr>
                <w:rFonts w:ascii="宋体" w:hAnsi="宋体" w:eastAsia="宋体" w:cs="宋体"/>
                <w:spacing w:val="10"/>
                <w:sz w:val="17"/>
                <w:szCs w:val="17"/>
              </w:rPr>
              <w:t xml:space="preserve"> </w:t>
            </w:r>
            <w:r>
              <w:rPr>
                <w:rFonts w:ascii="宋体" w:hAnsi="宋体" w:eastAsia="宋体" w:cs="宋体"/>
                <w:spacing w:val="7"/>
                <w:sz w:val="17"/>
                <w:szCs w:val="17"/>
              </w:rPr>
              <w:t xml:space="preserve">  </w:t>
            </w:r>
            <w:r>
              <w:rPr>
                <w:rFonts w:ascii="宋体" w:hAnsi="宋体" w:eastAsia="宋体" w:cs="宋体"/>
                <w:spacing w:val="7"/>
                <w:sz w:val="20"/>
                <w:szCs w:val="20"/>
              </w:rPr>
              <w:t>对周边生态环境的影响</w:t>
            </w:r>
          </w:p>
          <w:p>
            <w:pPr>
              <w:spacing w:before="154" w:line="369" w:lineRule="auto"/>
              <w:ind w:left="77" w:right="71" w:firstLine="421"/>
              <w:rPr>
                <w:rFonts w:ascii="宋体" w:hAnsi="宋体" w:eastAsia="宋体" w:cs="宋体"/>
                <w:sz w:val="20"/>
                <w:szCs w:val="20"/>
              </w:rPr>
            </w:pPr>
            <w:r>
              <w:rPr>
                <w:rFonts w:ascii="宋体" w:hAnsi="宋体" w:eastAsia="宋体" w:cs="宋体"/>
                <w:spacing w:val="16"/>
                <w:sz w:val="20"/>
                <w:szCs w:val="20"/>
              </w:rPr>
              <w:t>工程建</w:t>
            </w:r>
            <w:r>
              <w:rPr>
                <w:rFonts w:ascii="宋体" w:hAnsi="宋体" w:eastAsia="宋体" w:cs="宋体"/>
                <w:spacing w:val="10"/>
                <w:sz w:val="20"/>
                <w:szCs w:val="20"/>
              </w:rPr>
              <w:t>设</w:t>
            </w:r>
            <w:r>
              <w:rPr>
                <w:rFonts w:ascii="宋体" w:hAnsi="宋体" w:eastAsia="宋体" w:cs="宋体"/>
                <w:spacing w:val="8"/>
                <w:sz w:val="20"/>
                <w:szCs w:val="20"/>
              </w:rPr>
              <w:t>过程中，大量的地表受到扰动，原生植被受到破坏，使地表抗侵蚀能力急剧</w:t>
            </w:r>
            <w:r>
              <w:rPr>
                <w:rFonts w:ascii="宋体" w:hAnsi="宋体" w:eastAsia="宋体" w:cs="宋体"/>
                <w:sz w:val="20"/>
                <w:szCs w:val="20"/>
              </w:rPr>
              <w:t xml:space="preserve"> </w:t>
            </w:r>
            <w:r>
              <w:rPr>
                <w:rFonts w:ascii="宋体" w:hAnsi="宋体" w:eastAsia="宋体" w:cs="宋体"/>
                <w:spacing w:val="16"/>
                <w:sz w:val="20"/>
                <w:szCs w:val="20"/>
              </w:rPr>
              <w:t>下降，</w:t>
            </w:r>
            <w:r>
              <w:rPr>
                <w:rFonts w:ascii="宋体" w:hAnsi="宋体" w:eastAsia="宋体" w:cs="宋体"/>
                <w:spacing w:val="13"/>
                <w:sz w:val="20"/>
                <w:szCs w:val="20"/>
              </w:rPr>
              <w:t>加</w:t>
            </w:r>
            <w:r>
              <w:rPr>
                <w:rFonts w:ascii="宋体" w:hAnsi="宋体" w:eastAsia="宋体" w:cs="宋体"/>
                <w:spacing w:val="8"/>
                <w:sz w:val="20"/>
                <w:szCs w:val="20"/>
              </w:rPr>
              <w:t>之施工期间大量的土方临时堆放，为水土流失提供了松散物质源，存在一定的水</w:t>
            </w:r>
            <w:r>
              <w:rPr>
                <w:rFonts w:ascii="宋体" w:hAnsi="宋体" w:eastAsia="宋体" w:cs="宋体"/>
                <w:sz w:val="20"/>
                <w:szCs w:val="20"/>
              </w:rPr>
              <w:t xml:space="preserve"> </w:t>
            </w:r>
            <w:r>
              <w:rPr>
                <w:rFonts w:ascii="宋体" w:hAnsi="宋体" w:eastAsia="宋体" w:cs="宋体"/>
                <w:spacing w:val="9"/>
                <w:sz w:val="20"/>
                <w:szCs w:val="20"/>
              </w:rPr>
              <w:t>土</w:t>
            </w:r>
            <w:r>
              <w:rPr>
                <w:rFonts w:ascii="宋体" w:hAnsi="宋体" w:eastAsia="宋体" w:cs="宋体"/>
                <w:spacing w:val="6"/>
                <w:sz w:val="20"/>
                <w:szCs w:val="20"/>
              </w:rPr>
              <w:t>流失隐患。</w:t>
            </w:r>
          </w:p>
          <w:p>
            <w:pPr>
              <w:spacing w:line="229" w:lineRule="auto"/>
              <w:ind w:left="590"/>
              <w:rPr>
                <w:rFonts w:ascii="宋体" w:hAnsi="宋体" w:eastAsia="宋体" w:cs="宋体"/>
                <w:sz w:val="20"/>
                <w:szCs w:val="20"/>
              </w:rPr>
            </w:pPr>
            <w:r>
              <w:rPr>
                <w:rFonts w:ascii="宋体" w:hAnsi="宋体" w:eastAsia="宋体" w:cs="宋体"/>
                <w:spacing w:val="8"/>
                <w:sz w:val="17"/>
                <w:szCs w:val="17"/>
              </w:rPr>
              <w:t>3</w:t>
            </w:r>
            <w:r>
              <w:rPr>
                <w:rFonts w:ascii="宋体" w:hAnsi="宋体" w:eastAsia="宋体" w:cs="宋体"/>
                <w:spacing w:val="7"/>
                <w:sz w:val="17"/>
                <w:szCs w:val="17"/>
              </w:rPr>
              <w:t xml:space="preserve">   </w:t>
            </w:r>
            <w:r>
              <w:rPr>
                <w:rFonts w:ascii="宋体" w:hAnsi="宋体" w:eastAsia="宋体" w:cs="宋体"/>
                <w:spacing w:val="7"/>
                <w:sz w:val="20"/>
                <w:szCs w:val="20"/>
              </w:rPr>
              <w:t>土壤流失量增加</w:t>
            </w:r>
          </w:p>
          <w:p>
            <w:pPr>
              <w:spacing w:before="153" w:line="398" w:lineRule="exact"/>
              <w:ind w:left="521"/>
              <w:rPr>
                <w:rFonts w:ascii="宋体" w:hAnsi="宋体" w:eastAsia="宋体" w:cs="宋体"/>
                <w:sz w:val="20"/>
                <w:szCs w:val="20"/>
              </w:rPr>
            </w:pPr>
            <w:r>
              <w:rPr>
                <w:rFonts w:ascii="宋体" w:hAnsi="宋体" w:eastAsia="宋体" w:cs="宋体"/>
                <w:spacing w:val="13"/>
                <w:position w:val="14"/>
                <w:sz w:val="20"/>
                <w:szCs w:val="20"/>
              </w:rPr>
              <w:t>由</w:t>
            </w:r>
            <w:r>
              <w:rPr>
                <w:rFonts w:ascii="宋体" w:hAnsi="宋体" w:eastAsia="宋体" w:cs="宋体"/>
                <w:spacing w:val="8"/>
                <w:position w:val="14"/>
                <w:sz w:val="20"/>
                <w:szCs w:val="20"/>
              </w:rPr>
              <w:t>于工程建设中的开挖，破坏了原来的地表形态，使这一地区土壤侵蚀强度增加，从</w:t>
            </w:r>
          </w:p>
          <w:p>
            <w:pPr>
              <w:spacing w:before="1" w:line="228" w:lineRule="auto"/>
              <w:ind w:left="77"/>
              <w:rPr>
                <w:rFonts w:ascii="宋体" w:hAnsi="宋体" w:eastAsia="宋体" w:cs="宋体"/>
                <w:sz w:val="20"/>
                <w:szCs w:val="20"/>
              </w:rPr>
            </w:pPr>
            <w:r>
              <w:rPr>
                <w:rFonts w:ascii="宋体" w:hAnsi="宋体" w:eastAsia="宋体" w:cs="宋体"/>
                <w:spacing w:val="8"/>
                <w:sz w:val="20"/>
                <w:szCs w:val="20"/>
              </w:rPr>
              <w:t>而增加了土壤的流失量。</w:t>
            </w:r>
          </w:p>
        </w:tc>
      </w:tr>
    </w:tbl>
    <w:p>
      <w:pPr>
        <w:spacing w:line="138" w:lineRule="exact"/>
        <w:rPr>
          <w:rFonts w:ascii="Arial"/>
          <w:sz w:val="12"/>
        </w:rPr>
      </w:pPr>
    </w:p>
    <w:p>
      <w:pPr>
        <w:sectPr>
          <w:footerReference r:id="rId76" w:type="default"/>
          <w:pgSz w:w="11906" w:h="16839"/>
          <w:pgMar w:top="400" w:right="1472" w:bottom="1475" w:left="1471" w:header="0" w:footer="1315" w:gutter="0"/>
          <w:cols w:space="720" w:num="1"/>
        </w:sectPr>
      </w:pPr>
    </w:p>
    <w:p/>
    <w:p/>
    <w:p/>
    <w:p/>
    <w:p>
      <w:pPr>
        <w:spacing w:line="221" w:lineRule="exact"/>
      </w:pPr>
    </w:p>
    <w:tbl>
      <w:tblPr>
        <w:tblStyle w:val="4"/>
        <w:tblW w:w="894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83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7" w:hRule="atLeast"/>
        </w:trPr>
        <w:tc>
          <w:tcPr>
            <w:tcW w:w="644" w:type="dxa"/>
            <w:tcBorders>
              <w:left w:val="single" w:color="00000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31" w:lineRule="auto"/>
              <w:ind w:left="8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施工</w:t>
            </w:r>
          </w:p>
          <w:p>
            <w:pPr>
              <w:spacing w:before="21" w:line="228" w:lineRule="auto"/>
              <w:ind w:left="91"/>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期生</w:t>
            </w:r>
          </w:p>
          <w:p>
            <w:pPr>
              <w:spacing w:before="25" w:line="230" w:lineRule="auto"/>
              <w:ind w:left="8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态</w:t>
            </w:r>
            <w:r>
              <w:rPr>
                <w:rFonts w:ascii="宋体" w:hAnsi="宋体" w:eastAsia="宋体" w:cs="宋体"/>
                <w:spacing w:val="15"/>
                <w:sz w:val="20"/>
                <w:szCs w:val="20"/>
                <w14:textOutline w14:w="3795" w14:cap="sq" w14:cmpd="sng">
                  <w14:solidFill>
                    <w14:srgbClr w14:val="000000"/>
                  </w14:solidFill>
                  <w14:prstDash w14:val="solid"/>
                  <w14:bevel/>
                </w14:textOutline>
              </w:rPr>
              <w:t>环</w:t>
            </w:r>
          </w:p>
          <w:p>
            <w:pPr>
              <w:spacing w:before="22" w:line="228" w:lineRule="auto"/>
              <w:ind w:left="89"/>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境影</w:t>
            </w:r>
          </w:p>
          <w:p>
            <w:pPr>
              <w:spacing w:before="25" w:line="228" w:lineRule="auto"/>
              <w:ind w:left="99"/>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响分</w:t>
            </w:r>
          </w:p>
          <w:p>
            <w:pPr>
              <w:spacing w:before="26" w:line="228" w:lineRule="auto"/>
              <w:ind w:left="205"/>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析</w:t>
            </w:r>
          </w:p>
        </w:tc>
        <w:tc>
          <w:tcPr>
            <w:tcW w:w="8303" w:type="dxa"/>
            <w:tcBorders>
              <w:right w:val="single" w:color="000000" w:sz="6" w:space="0"/>
            </w:tcBorders>
            <w:vAlign w:val="top"/>
          </w:tcPr>
          <w:p>
            <w:pPr>
              <w:spacing w:before="153" w:line="228" w:lineRule="auto"/>
              <w:ind w:left="585"/>
              <w:rPr>
                <w:rFonts w:ascii="宋体" w:hAnsi="宋体" w:eastAsia="宋体" w:cs="宋体"/>
                <w:sz w:val="20"/>
                <w:szCs w:val="20"/>
              </w:rPr>
            </w:pPr>
            <w:r>
              <w:rPr>
                <w:rFonts w:ascii="宋体" w:hAnsi="宋体" w:eastAsia="宋体" w:cs="宋体"/>
                <w:spacing w:val="7"/>
                <w:sz w:val="17"/>
                <w:szCs w:val="17"/>
              </w:rPr>
              <w:t xml:space="preserve">4   </w:t>
            </w:r>
            <w:r>
              <w:rPr>
                <w:rFonts w:ascii="宋体" w:hAnsi="宋体" w:eastAsia="宋体" w:cs="宋体"/>
                <w:spacing w:val="7"/>
                <w:sz w:val="20"/>
                <w:szCs w:val="20"/>
              </w:rPr>
              <w:t>对景观影</w:t>
            </w:r>
            <w:r>
              <w:rPr>
                <w:rFonts w:ascii="宋体" w:hAnsi="宋体" w:eastAsia="宋体" w:cs="宋体"/>
                <w:spacing w:val="6"/>
                <w:sz w:val="20"/>
                <w:szCs w:val="20"/>
              </w:rPr>
              <w:t>响</w:t>
            </w:r>
          </w:p>
          <w:p>
            <w:pPr>
              <w:spacing w:before="154" w:line="400" w:lineRule="exact"/>
              <w:ind w:left="498"/>
              <w:rPr>
                <w:rFonts w:ascii="宋体" w:hAnsi="宋体" w:eastAsia="宋体" w:cs="宋体"/>
                <w:sz w:val="20"/>
                <w:szCs w:val="20"/>
              </w:rPr>
            </w:pPr>
            <w:r>
              <w:rPr>
                <w:rFonts w:ascii="宋体" w:hAnsi="宋体" w:eastAsia="宋体" w:cs="宋体"/>
                <w:spacing w:val="16"/>
                <w:position w:val="14"/>
                <w:sz w:val="20"/>
                <w:szCs w:val="20"/>
              </w:rPr>
              <w:t>从景观</w:t>
            </w:r>
            <w:r>
              <w:rPr>
                <w:rFonts w:ascii="宋体" w:hAnsi="宋体" w:eastAsia="宋体" w:cs="宋体"/>
                <w:spacing w:val="10"/>
                <w:position w:val="14"/>
                <w:sz w:val="20"/>
                <w:szCs w:val="20"/>
              </w:rPr>
              <w:t>角</w:t>
            </w:r>
            <w:r>
              <w:rPr>
                <w:rFonts w:ascii="宋体" w:hAnsi="宋体" w:eastAsia="宋体" w:cs="宋体"/>
                <w:spacing w:val="8"/>
                <w:position w:val="14"/>
                <w:sz w:val="20"/>
                <w:szCs w:val="20"/>
              </w:rPr>
              <w:t>度出发，在工程建设以及土方临时堆放过程中，产生的水土流失覆盖周边地</w:t>
            </w:r>
          </w:p>
          <w:p>
            <w:pPr>
              <w:spacing w:line="227" w:lineRule="auto"/>
              <w:ind w:left="75"/>
              <w:rPr>
                <w:rFonts w:ascii="宋体" w:hAnsi="宋体" w:eastAsia="宋体" w:cs="宋体"/>
                <w:sz w:val="20"/>
                <w:szCs w:val="20"/>
              </w:rPr>
            </w:pPr>
            <w:r>
              <w:rPr>
                <w:rFonts w:ascii="宋体" w:hAnsi="宋体" w:eastAsia="宋体" w:cs="宋体"/>
                <w:spacing w:val="18"/>
                <w:sz w:val="20"/>
                <w:szCs w:val="20"/>
              </w:rPr>
              <w:t>表</w:t>
            </w:r>
            <w:r>
              <w:rPr>
                <w:rFonts w:ascii="宋体" w:hAnsi="宋体" w:eastAsia="宋体" w:cs="宋体"/>
                <w:spacing w:val="15"/>
                <w:sz w:val="20"/>
                <w:szCs w:val="20"/>
              </w:rPr>
              <w:t>原</w:t>
            </w:r>
            <w:r>
              <w:rPr>
                <w:rFonts w:ascii="宋体" w:hAnsi="宋体" w:eastAsia="宋体" w:cs="宋体"/>
                <w:spacing w:val="9"/>
                <w:sz w:val="20"/>
                <w:szCs w:val="20"/>
              </w:rPr>
              <w:t>有植物，破坏了工作区以外的原地的植物形态，破坏周边的原地表景观。</w:t>
            </w:r>
          </w:p>
          <w:p>
            <w:pPr>
              <w:spacing w:before="115" w:line="366" w:lineRule="auto"/>
              <w:ind w:left="77" w:right="17" w:firstLine="420"/>
              <w:rPr>
                <w:rFonts w:ascii="黑体" w:hAnsi="黑体" w:eastAsia="黑体" w:cs="黑体"/>
                <w:sz w:val="22"/>
                <w:szCs w:val="22"/>
              </w:rPr>
            </w:pPr>
            <w:r>
              <w:rPr>
                <w:rFonts w:ascii="宋体" w:hAnsi="宋体" w:eastAsia="宋体" w:cs="宋体"/>
                <w:spacing w:val="1"/>
                <w:sz w:val="20"/>
                <w:szCs w:val="20"/>
              </w:rPr>
              <w:t>经预测分析，工程区在施工建设期、自然恢复期可</w:t>
            </w:r>
            <w:r>
              <w:rPr>
                <w:rFonts w:ascii="宋体" w:hAnsi="宋体" w:eastAsia="宋体" w:cs="宋体"/>
                <w:sz w:val="20"/>
                <w:szCs w:val="20"/>
              </w:rPr>
              <w:t xml:space="preserve">能产生的土壤流失总量约为 </w:t>
            </w:r>
            <w:r>
              <w:rPr>
                <w:rFonts w:ascii="Times New Roman" w:hAnsi="Times New Roman" w:eastAsia="Times New Roman" w:cs="Times New Roman"/>
                <w:sz w:val="20"/>
                <w:szCs w:val="20"/>
              </w:rPr>
              <w:t>224. 16t</w:t>
            </w:r>
            <w:r>
              <w:rPr>
                <w:rFonts w:ascii="宋体" w:hAnsi="宋体" w:eastAsia="宋体" w:cs="宋体"/>
                <w:sz w:val="20"/>
                <w:szCs w:val="20"/>
              </w:rPr>
              <w:t xml:space="preserve">， </w:t>
            </w:r>
            <w:r>
              <w:rPr>
                <w:rFonts w:ascii="宋体" w:hAnsi="宋体" w:eastAsia="宋体" w:cs="宋体"/>
                <w:spacing w:val="10"/>
                <w:sz w:val="20"/>
                <w:szCs w:val="20"/>
              </w:rPr>
              <w:t>其</w:t>
            </w:r>
            <w:r>
              <w:rPr>
                <w:rFonts w:ascii="宋体" w:hAnsi="宋体" w:eastAsia="宋体" w:cs="宋体"/>
                <w:spacing w:val="7"/>
                <w:sz w:val="20"/>
                <w:szCs w:val="20"/>
              </w:rPr>
              <w:t xml:space="preserve">中背景流失量为 </w:t>
            </w:r>
            <w:r>
              <w:rPr>
                <w:rFonts w:ascii="Times New Roman" w:hAnsi="Times New Roman" w:eastAsia="Times New Roman" w:cs="Times New Roman"/>
                <w:spacing w:val="7"/>
                <w:sz w:val="20"/>
                <w:szCs w:val="20"/>
              </w:rPr>
              <w:t>33.81</w:t>
            </w:r>
            <w:r>
              <w:rPr>
                <w:rFonts w:ascii="Times New Roman" w:hAnsi="Times New Roman" w:eastAsia="Times New Roman" w:cs="Times New Roman"/>
                <w:sz w:val="20"/>
                <w:szCs w:val="20"/>
              </w:rPr>
              <w:t>t</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 xml:space="preserve">，新增水土流失量 </w:t>
            </w:r>
            <w:r>
              <w:rPr>
                <w:rFonts w:ascii="Times New Roman" w:hAnsi="Times New Roman" w:eastAsia="Times New Roman" w:cs="Times New Roman"/>
                <w:spacing w:val="7"/>
                <w:sz w:val="20"/>
                <w:szCs w:val="20"/>
              </w:rPr>
              <w:t>190.35</w:t>
            </w:r>
            <w:r>
              <w:rPr>
                <w:rFonts w:ascii="Times New Roman" w:hAnsi="Times New Roman" w:eastAsia="Times New Roman" w:cs="Times New Roman"/>
                <w:sz w:val="20"/>
                <w:szCs w:val="20"/>
              </w:rPr>
              <w:t>t</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，新增水土流失量占水土流失总量的</w:t>
            </w:r>
            <w:r>
              <w:rPr>
                <w:rFonts w:ascii="宋体" w:hAnsi="宋体" w:eastAsia="宋体" w:cs="宋体"/>
                <w:sz w:val="20"/>
                <w:szCs w:val="20"/>
              </w:rPr>
              <w:t xml:space="preserve"> </w:t>
            </w:r>
            <w:r>
              <w:rPr>
                <w:rFonts w:ascii="Times New Roman" w:hAnsi="Times New Roman" w:eastAsia="Times New Roman" w:cs="Times New Roman"/>
                <w:spacing w:val="5"/>
                <w:sz w:val="20"/>
                <w:szCs w:val="20"/>
              </w:rPr>
              <w:t xml:space="preserve">85% </w:t>
            </w:r>
            <w:r>
              <w:rPr>
                <w:rFonts w:ascii="宋体" w:hAnsi="宋体" w:eastAsia="宋体" w:cs="宋体"/>
                <w:spacing w:val="5"/>
                <w:sz w:val="20"/>
                <w:szCs w:val="20"/>
              </w:rPr>
              <w:t xml:space="preserve">。施工期是项目建设过程中产生水土流失最为严重的时期，新增水土流失量 </w:t>
            </w:r>
            <w:r>
              <w:rPr>
                <w:rFonts w:ascii="Times New Roman" w:hAnsi="Times New Roman" w:eastAsia="Times New Roman" w:cs="Times New Roman"/>
                <w:spacing w:val="5"/>
                <w:sz w:val="20"/>
                <w:szCs w:val="20"/>
              </w:rPr>
              <w:t>190.07</w:t>
            </w:r>
            <w:r>
              <w:rPr>
                <w:rFonts w:ascii="Times New Roman" w:hAnsi="Times New Roman" w:eastAsia="Times New Roman" w:cs="Times New Roman"/>
                <w:sz w:val="20"/>
                <w:szCs w:val="20"/>
              </w:rPr>
              <w:t>t</w:t>
            </w:r>
            <w:r>
              <w:rPr>
                <w:rFonts w:ascii="Times New Roman" w:hAnsi="Times New Roman" w:eastAsia="Times New Roman" w:cs="Times New Roman"/>
                <w:spacing w:val="5"/>
                <w:sz w:val="20"/>
                <w:szCs w:val="20"/>
              </w:rPr>
              <w:t xml:space="preserve"> </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6"/>
                <w:sz w:val="20"/>
                <w:szCs w:val="20"/>
              </w:rPr>
              <w:t xml:space="preserve">占新增流失总量的 </w:t>
            </w:r>
            <w:r>
              <w:rPr>
                <w:rFonts w:ascii="Times New Roman" w:hAnsi="Times New Roman" w:eastAsia="Times New Roman" w:cs="Times New Roman"/>
                <w:spacing w:val="6"/>
                <w:sz w:val="20"/>
                <w:szCs w:val="20"/>
              </w:rPr>
              <w:t>99</w:t>
            </w:r>
            <w:r>
              <w:rPr>
                <w:rFonts w:ascii="Times New Roman" w:hAnsi="Times New Roman" w:eastAsia="Times New Roman" w:cs="Times New Roman"/>
                <w:spacing w:val="3"/>
                <w:sz w:val="20"/>
                <w:szCs w:val="20"/>
              </w:rPr>
              <w:t>%</w:t>
            </w:r>
            <w:r>
              <w:rPr>
                <w:rFonts w:ascii="宋体" w:hAnsi="宋体" w:eastAsia="宋体" w:cs="宋体"/>
                <w:spacing w:val="3"/>
                <w:sz w:val="20"/>
                <w:szCs w:val="20"/>
              </w:rPr>
              <w:t xml:space="preserve">；主体工程区为本工程的重点治理区域， 占新增流失总量的 </w:t>
            </w:r>
            <w:r>
              <w:rPr>
                <w:rFonts w:ascii="Times New Roman" w:hAnsi="Times New Roman" w:eastAsia="Times New Roman" w:cs="Times New Roman"/>
                <w:spacing w:val="3"/>
                <w:sz w:val="20"/>
                <w:szCs w:val="20"/>
              </w:rPr>
              <w:t>43%</w:t>
            </w:r>
            <w:r>
              <w:rPr>
                <w:rFonts w:ascii="宋体" w:hAnsi="宋体" w:eastAsia="宋体" w:cs="宋体"/>
                <w:spacing w:val="3"/>
                <w:sz w:val="20"/>
                <w:szCs w:val="20"/>
              </w:rPr>
              <w:t>。</w:t>
            </w:r>
            <w:r>
              <w:rPr>
                <w:rFonts w:ascii="宋体" w:hAnsi="宋体" w:eastAsia="宋体" w:cs="宋体"/>
                <w:sz w:val="20"/>
                <w:szCs w:val="20"/>
              </w:rPr>
              <w:t xml:space="preserve"> </w:t>
            </w:r>
            <w:r>
              <w:rPr>
                <w:rFonts w:ascii="Times New Roman" w:hAnsi="Times New Roman" w:eastAsia="Times New Roman" w:cs="Times New Roman"/>
                <w:spacing w:val="-7"/>
                <w:sz w:val="22"/>
                <w:szCs w:val="22"/>
              </w:rPr>
              <w:t>2</w:t>
            </w:r>
            <w:r>
              <w:rPr>
                <w:rFonts w:ascii="Times New Roman" w:hAnsi="Times New Roman" w:eastAsia="Times New Roman" w:cs="Times New Roman"/>
                <w:spacing w:val="-4"/>
                <w:sz w:val="22"/>
                <w:szCs w:val="22"/>
              </w:rPr>
              <w:t xml:space="preserve"> </w:t>
            </w:r>
            <w:r>
              <w:rPr>
                <w:rFonts w:ascii="黑体" w:hAnsi="黑体" w:eastAsia="黑体" w:cs="黑体"/>
                <w:spacing w:val="-4"/>
                <w:sz w:val="22"/>
                <w:szCs w:val="22"/>
              </w:rPr>
              <w:t>、环境空气</w:t>
            </w:r>
          </w:p>
          <w:p>
            <w:pPr>
              <w:spacing w:before="16" w:line="227" w:lineRule="auto"/>
              <w:ind w:left="496"/>
              <w:rPr>
                <w:rFonts w:ascii="宋体" w:hAnsi="宋体" w:eastAsia="宋体" w:cs="宋体"/>
                <w:sz w:val="20"/>
                <w:szCs w:val="20"/>
              </w:rPr>
            </w:pPr>
            <w:r>
              <w:rPr>
                <w:rFonts w:ascii="宋体" w:hAnsi="宋体" w:eastAsia="宋体" w:cs="宋体"/>
                <w:spacing w:val="16"/>
                <w:sz w:val="20"/>
                <w:szCs w:val="20"/>
              </w:rPr>
              <w:t>拟建桥</w:t>
            </w:r>
            <w:r>
              <w:rPr>
                <w:rFonts w:ascii="宋体" w:hAnsi="宋体" w:eastAsia="宋体" w:cs="宋体"/>
                <w:spacing w:val="12"/>
                <w:sz w:val="20"/>
                <w:szCs w:val="20"/>
              </w:rPr>
              <w:t>梁</w:t>
            </w:r>
            <w:r>
              <w:rPr>
                <w:rFonts w:ascii="宋体" w:hAnsi="宋体" w:eastAsia="宋体" w:cs="宋体"/>
                <w:spacing w:val="8"/>
                <w:sz w:val="20"/>
                <w:szCs w:val="20"/>
              </w:rPr>
              <w:t>下部结构采用现浇砼、上部结构为钢箱梁等钢结构，路面为沥青混凝土路面</w:t>
            </w:r>
          </w:p>
          <w:p>
            <w:pPr>
              <w:spacing w:before="153" w:line="370" w:lineRule="auto"/>
              <w:ind w:left="81" w:right="19" w:hanging="3"/>
              <w:rPr>
                <w:rFonts w:ascii="宋体" w:hAnsi="宋体" w:eastAsia="宋体" w:cs="宋体"/>
                <w:sz w:val="20"/>
                <w:szCs w:val="20"/>
              </w:rPr>
            </w:pPr>
            <w:r>
              <w:rPr>
                <w:rFonts w:ascii="宋体" w:hAnsi="宋体" w:eastAsia="宋体" w:cs="宋体"/>
                <w:spacing w:val="5"/>
                <w:sz w:val="20"/>
                <w:szCs w:val="20"/>
              </w:rPr>
              <w:t>等，施工过程中对环境空气产生的主要污染物为施工扬尘、焊接烟气、沥青烟、燃油尾气</w:t>
            </w:r>
            <w:r>
              <w:rPr>
                <w:rFonts w:ascii="宋体" w:hAnsi="宋体" w:eastAsia="宋体" w:cs="宋体"/>
                <w:sz w:val="20"/>
                <w:szCs w:val="20"/>
              </w:rPr>
              <w:t xml:space="preserve">； </w:t>
            </w:r>
            <w:r>
              <w:rPr>
                <w:rFonts w:ascii="宋体" w:hAnsi="宋体" w:eastAsia="宋体" w:cs="宋体"/>
                <w:spacing w:val="16"/>
                <w:sz w:val="20"/>
                <w:szCs w:val="20"/>
              </w:rPr>
              <w:t>另外</w:t>
            </w:r>
            <w:r>
              <w:rPr>
                <w:rFonts w:ascii="宋体" w:hAnsi="宋体" w:eastAsia="宋体" w:cs="宋体"/>
                <w:spacing w:val="8"/>
                <w:sz w:val="20"/>
                <w:szCs w:val="20"/>
              </w:rPr>
              <w:t>，运输车辆行驶会产生道路二次扬尘污染。</w:t>
            </w:r>
          </w:p>
          <w:p>
            <w:pPr>
              <w:spacing w:before="1" w:line="229" w:lineRule="auto"/>
              <w:ind w:left="537"/>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8"/>
                <w:sz w:val="20"/>
                <w:szCs w:val="20"/>
              </w:rPr>
              <w:t>1</w:t>
            </w: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宋体" w:hAnsi="宋体" w:eastAsia="宋体" w:cs="宋体"/>
                <w:spacing w:val="18"/>
                <w:sz w:val="20"/>
                <w:szCs w:val="20"/>
              </w:rPr>
              <w:t xml:space="preserve"> </w:t>
            </w:r>
            <w:r>
              <w:rPr>
                <w:rFonts w:ascii="宋体" w:hAnsi="宋体" w:eastAsia="宋体" w:cs="宋体"/>
                <w:spacing w:val="18"/>
                <w:sz w:val="20"/>
                <w:szCs w:val="20"/>
                <w14:textOutline w14:w="3795" w14:cap="sq" w14:cmpd="sng">
                  <w14:solidFill>
                    <w14:srgbClr w14:val="000000"/>
                  </w14:solidFill>
                  <w14:prstDash w14:val="solid"/>
                  <w14:bevel/>
                </w14:textOutline>
              </w:rPr>
              <w:t>施工扬尘</w:t>
            </w:r>
          </w:p>
          <w:p>
            <w:pPr>
              <w:spacing w:before="152" w:line="368" w:lineRule="auto"/>
              <w:ind w:left="74" w:right="70" w:firstLine="422"/>
              <w:rPr>
                <w:rFonts w:ascii="宋体" w:hAnsi="宋体" w:eastAsia="宋体" w:cs="宋体"/>
                <w:sz w:val="20"/>
                <w:szCs w:val="20"/>
              </w:rPr>
            </w:pPr>
            <w:r>
              <w:rPr>
                <w:rFonts w:ascii="宋体" w:hAnsi="宋体" w:eastAsia="宋体" w:cs="宋体"/>
                <w:spacing w:val="16"/>
                <w:sz w:val="20"/>
                <w:szCs w:val="20"/>
              </w:rPr>
              <w:t>本工程</w:t>
            </w:r>
            <w:r>
              <w:rPr>
                <w:rFonts w:ascii="宋体" w:hAnsi="宋体" w:eastAsia="宋体" w:cs="宋体"/>
                <w:spacing w:val="11"/>
                <w:sz w:val="20"/>
                <w:szCs w:val="20"/>
              </w:rPr>
              <w:t>施</w:t>
            </w:r>
            <w:r>
              <w:rPr>
                <w:rFonts w:ascii="宋体" w:hAnsi="宋体" w:eastAsia="宋体" w:cs="宋体"/>
                <w:spacing w:val="8"/>
                <w:sz w:val="20"/>
                <w:szCs w:val="20"/>
              </w:rPr>
              <w:t>工期施工作业区开挖、填筑、装卸、物料转运、建材运输，汽车行驶过程中</w:t>
            </w:r>
            <w:r>
              <w:rPr>
                <w:rFonts w:ascii="宋体" w:hAnsi="宋体" w:eastAsia="宋体" w:cs="宋体"/>
                <w:sz w:val="20"/>
                <w:szCs w:val="20"/>
              </w:rPr>
              <w:t xml:space="preserve"> </w:t>
            </w:r>
            <w:r>
              <w:rPr>
                <w:rFonts w:ascii="宋体" w:hAnsi="宋体" w:eastAsia="宋体" w:cs="宋体"/>
                <w:spacing w:val="9"/>
                <w:sz w:val="20"/>
                <w:szCs w:val="20"/>
              </w:rPr>
              <w:t>将产生扰动扬尘、风吹扬尘和逸散尘，施工场地和露天堆场裸露表面也将产生风吹扬尘</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9"/>
                <w:sz w:val="20"/>
                <w:szCs w:val="20"/>
              </w:rPr>
              <w:t>上述工序混合施工阶段，运输车辆来往引起的扬尘是最严重的扬尘污染，根据相似工程</w:t>
            </w:r>
            <w:r>
              <w:rPr>
                <w:rFonts w:ascii="宋体" w:hAnsi="宋体" w:eastAsia="宋体" w:cs="宋体"/>
                <w:spacing w:val="4"/>
                <w:sz w:val="20"/>
                <w:szCs w:val="20"/>
              </w:rPr>
              <w:t>施</w:t>
            </w:r>
            <w:r>
              <w:rPr>
                <w:rFonts w:ascii="宋体" w:hAnsi="宋体" w:eastAsia="宋体" w:cs="宋体"/>
                <w:sz w:val="20"/>
                <w:szCs w:val="20"/>
              </w:rPr>
              <w:t xml:space="preserve"> </w:t>
            </w:r>
            <w:r>
              <w:rPr>
                <w:rFonts w:ascii="宋体" w:hAnsi="宋体" w:eastAsia="宋体" w:cs="宋体"/>
                <w:spacing w:val="4"/>
                <w:sz w:val="20"/>
                <w:szCs w:val="20"/>
              </w:rPr>
              <w:t xml:space="preserve">工扬尘监测资料，施工场地附近相距 </w:t>
            </w:r>
            <w:r>
              <w:rPr>
                <w:rFonts w:ascii="Times New Roman" w:hAnsi="Times New Roman" w:eastAsia="Times New Roman" w:cs="Times New Roman"/>
                <w:spacing w:val="2"/>
                <w:sz w:val="20"/>
                <w:szCs w:val="20"/>
              </w:rPr>
              <w:t>50</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下风向 </w:t>
            </w:r>
            <w:r>
              <w:rPr>
                <w:rFonts w:ascii="Times New Roman" w:hAnsi="Times New Roman" w:eastAsia="Times New Roman" w:cs="Times New Roman"/>
                <w:sz w:val="20"/>
                <w:szCs w:val="20"/>
              </w:rPr>
              <w:t>TSP</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浓度为 </w:t>
            </w:r>
            <w:r>
              <w:rPr>
                <w:rFonts w:ascii="Times New Roman" w:hAnsi="Times New Roman" w:eastAsia="Times New Roman" w:cs="Times New Roman"/>
                <w:spacing w:val="2"/>
                <w:sz w:val="20"/>
                <w:szCs w:val="20"/>
              </w:rPr>
              <w:t>8.90</w:t>
            </w:r>
            <w:r>
              <w:rPr>
                <w:rFonts w:ascii="Times New Roman" w:hAnsi="Times New Roman" w:eastAsia="Times New Roman" w:cs="Times New Roman"/>
                <w:sz w:val="20"/>
                <w:szCs w:val="20"/>
              </w:rPr>
              <w:t>mg</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m</w:t>
            </w:r>
            <w:r>
              <w:rPr>
                <w:rFonts w:ascii="宋体" w:hAnsi="宋体" w:eastAsia="宋体" w:cs="宋体"/>
                <w:spacing w:val="2"/>
                <w:sz w:val="20"/>
                <w:szCs w:val="20"/>
              </w:rPr>
              <w:t xml:space="preserve">³；相距 </w:t>
            </w:r>
            <w:r>
              <w:rPr>
                <w:rFonts w:ascii="Times New Roman" w:hAnsi="Times New Roman" w:eastAsia="Times New Roman" w:cs="Times New Roman"/>
                <w:spacing w:val="2"/>
                <w:sz w:val="20"/>
                <w:szCs w:val="20"/>
              </w:rPr>
              <w:t>100</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处浓</w:t>
            </w:r>
            <w:r>
              <w:rPr>
                <w:rFonts w:ascii="宋体" w:hAnsi="宋体" w:eastAsia="宋体" w:cs="宋体"/>
                <w:sz w:val="20"/>
                <w:szCs w:val="20"/>
              </w:rPr>
              <w:t xml:space="preserve"> </w:t>
            </w:r>
            <w:r>
              <w:rPr>
                <w:rFonts w:ascii="宋体" w:hAnsi="宋体" w:eastAsia="宋体" w:cs="宋体"/>
                <w:spacing w:val="9"/>
                <w:sz w:val="20"/>
                <w:szCs w:val="20"/>
              </w:rPr>
              <w:t>度</w:t>
            </w:r>
            <w:r>
              <w:rPr>
                <w:rFonts w:ascii="宋体" w:hAnsi="宋体" w:eastAsia="宋体" w:cs="宋体"/>
                <w:spacing w:val="5"/>
                <w:sz w:val="20"/>
                <w:szCs w:val="20"/>
              </w:rPr>
              <w:t xml:space="preserve">为 </w:t>
            </w:r>
            <w:r>
              <w:rPr>
                <w:rFonts w:ascii="Times New Roman" w:hAnsi="Times New Roman" w:eastAsia="Times New Roman" w:cs="Times New Roman"/>
                <w:spacing w:val="5"/>
                <w:sz w:val="20"/>
                <w:szCs w:val="20"/>
              </w:rPr>
              <w:t>1.65</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m</w:t>
            </w:r>
            <w:r>
              <w:rPr>
                <w:rFonts w:ascii="宋体" w:hAnsi="宋体" w:eastAsia="宋体" w:cs="宋体"/>
                <w:spacing w:val="5"/>
                <w:sz w:val="20"/>
                <w:szCs w:val="20"/>
              </w:rPr>
              <w:t xml:space="preserve">³ ；相距 </w:t>
            </w:r>
            <w:r>
              <w:rPr>
                <w:rFonts w:ascii="Times New Roman" w:hAnsi="Times New Roman" w:eastAsia="Times New Roman" w:cs="Times New Roman"/>
                <w:spacing w:val="5"/>
                <w:sz w:val="20"/>
                <w:szCs w:val="20"/>
              </w:rPr>
              <w:t>150</w:t>
            </w:r>
            <w:r>
              <w:rPr>
                <w:rFonts w:ascii="Times New Roman" w:hAnsi="Times New Roman" w:eastAsia="Times New Roman" w:cs="Times New Roman"/>
                <w:sz w:val="20"/>
                <w:szCs w:val="20"/>
              </w:rPr>
              <w:t>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处已基本无影响。在采取喷雾防尘等措施后，施工场地、施</w:t>
            </w:r>
            <w:r>
              <w:rPr>
                <w:rFonts w:ascii="宋体" w:hAnsi="宋体" w:eastAsia="宋体" w:cs="宋体"/>
                <w:sz w:val="20"/>
                <w:szCs w:val="20"/>
              </w:rPr>
              <w:t xml:space="preserve"> </w:t>
            </w:r>
            <w:r>
              <w:rPr>
                <w:rFonts w:ascii="宋体" w:hAnsi="宋体" w:eastAsia="宋体" w:cs="宋体"/>
                <w:spacing w:val="14"/>
                <w:sz w:val="20"/>
                <w:szCs w:val="20"/>
              </w:rPr>
              <w:t>工</w:t>
            </w:r>
            <w:r>
              <w:rPr>
                <w:rFonts w:ascii="宋体" w:hAnsi="宋体" w:eastAsia="宋体" w:cs="宋体"/>
                <w:spacing w:val="9"/>
                <w:sz w:val="20"/>
                <w:szCs w:val="20"/>
              </w:rPr>
              <w:t>道</w:t>
            </w:r>
            <w:r>
              <w:rPr>
                <w:rFonts w:ascii="宋体" w:hAnsi="宋体" w:eastAsia="宋体" w:cs="宋体"/>
                <w:spacing w:val="7"/>
                <w:sz w:val="20"/>
                <w:szCs w:val="20"/>
              </w:rPr>
              <w:t xml:space="preserve">路在自然风的作用下产生的扬尘所影响的范围一般在 </w:t>
            </w:r>
            <w:r>
              <w:rPr>
                <w:rFonts w:ascii="Times New Roman" w:hAnsi="Times New Roman" w:eastAsia="Times New Roman" w:cs="Times New Roman"/>
                <w:spacing w:val="7"/>
                <w:sz w:val="20"/>
                <w:szCs w:val="20"/>
              </w:rPr>
              <w:t xml:space="preserve">100 </w:t>
            </w:r>
            <w:r>
              <w:rPr>
                <w:rFonts w:ascii="宋体" w:hAnsi="宋体" w:eastAsia="宋体" w:cs="宋体"/>
                <w:spacing w:val="7"/>
                <w:sz w:val="20"/>
                <w:szCs w:val="20"/>
              </w:rPr>
              <w:t>米范围以内。</w:t>
            </w:r>
          </w:p>
          <w:p>
            <w:pPr>
              <w:spacing w:before="5" w:line="228" w:lineRule="auto"/>
              <w:ind w:left="537"/>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8"/>
                <w:sz w:val="20"/>
                <w:szCs w:val="20"/>
              </w:rPr>
              <w:t>2</w:t>
            </w: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宋体" w:hAnsi="宋体" w:eastAsia="宋体" w:cs="宋体"/>
                <w:spacing w:val="18"/>
                <w:sz w:val="20"/>
                <w:szCs w:val="20"/>
              </w:rPr>
              <w:t xml:space="preserve"> </w:t>
            </w:r>
            <w:r>
              <w:rPr>
                <w:rFonts w:ascii="宋体" w:hAnsi="宋体" w:eastAsia="宋体" w:cs="宋体"/>
                <w:spacing w:val="18"/>
                <w:sz w:val="20"/>
                <w:szCs w:val="20"/>
                <w14:textOutline w14:w="3795" w14:cap="sq" w14:cmpd="sng">
                  <w14:solidFill>
                    <w14:srgbClr w14:val="000000"/>
                  </w14:solidFill>
                  <w14:prstDash w14:val="solid"/>
                  <w14:bevel/>
                </w14:textOutline>
              </w:rPr>
              <w:t>道路扬尘</w:t>
            </w:r>
          </w:p>
          <w:p>
            <w:pPr>
              <w:spacing w:before="155" w:line="367" w:lineRule="auto"/>
              <w:ind w:left="77" w:right="69" w:firstLine="422"/>
              <w:rPr>
                <w:rFonts w:ascii="宋体" w:hAnsi="宋体" w:eastAsia="宋体" w:cs="宋体"/>
                <w:sz w:val="20"/>
                <w:szCs w:val="20"/>
              </w:rPr>
            </w:pPr>
            <w:r>
              <w:rPr>
                <w:rFonts w:ascii="宋体" w:hAnsi="宋体" w:eastAsia="宋体" w:cs="宋体"/>
                <w:spacing w:val="16"/>
                <w:sz w:val="20"/>
                <w:szCs w:val="20"/>
              </w:rPr>
              <w:t>项目施</w:t>
            </w:r>
            <w:r>
              <w:rPr>
                <w:rFonts w:ascii="宋体" w:hAnsi="宋体" w:eastAsia="宋体" w:cs="宋体"/>
                <w:spacing w:val="9"/>
                <w:sz w:val="20"/>
                <w:szCs w:val="20"/>
              </w:rPr>
              <w:t>工</w:t>
            </w:r>
            <w:r>
              <w:rPr>
                <w:rFonts w:ascii="宋体" w:hAnsi="宋体" w:eastAsia="宋体" w:cs="宋体"/>
                <w:spacing w:val="8"/>
                <w:sz w:val="20"/>
                <w:szCs w:val="20"/>
              </w:rPr>
              <w:t>道路主要利用已有的道路和临时修建的便道，各种材料运输均会产生运输扬</w:t>
            </w:r>
            <w:r>
              <w:rPr>
                <w:rFonts w:ascii="宋体" w:hAnsi="宋体" w:eastAsia="宋体" w:cs="宋体"/>
                <w:sz w:val="20"/>
                <w:szCs w:val="20"/>
              </w:rPr>
              <w:t xml:space="preserve"> </w:t>
            </w:r>
            <w:r>
              <w:rPr>
                <w:rFonts w:ascii="宋体" w:hAnsi="宋体" w:eastAsia="宋体" w:cs="宋体"/>
                <w:spacing w:val="16"/>
                <w:sz w:val="20"/>
                <w:szCs w:val="20"/>
              </w:rPr>
              <w:t>尘。据</w:t>
            </w:r>
            <w:r>
              <w:rPr>
                <w:rFonts w:ascii="宋体" w:hAnsi="宋体" w:eastAsia="宋体" w:cs="宋体"/>
                <w:spacing w:val="12"/>
                <w:sz w:val="20"/>
                <w:szCs w:val="20"/>
              </w:rPr>
              <w:t>有</w:t>
            </w:r>
            <w:r>
              <w:rPr>
                <w:rFonts w:ascii="宋体" w:hAnsi="宋体" w:eastAsia="宋体" w:cs="宋体"/>
                <w:spacing w:val="8"/>
                <w:sz w:val="20"/>
                <w:szCs w:val="20"/>
              </w:rPr>
              <w:t>关资料介绍，扬尘属于粒径较小的降尘 (</w:t>
            </w:r>
            <w:r>
              <w:rPr>
                <w:rFonts w:ascii="Times New Roman" w:hAnsi="Times New Roman" w:eastAsia="Times New Roman" w:cs="Times New Roman"/>
                <w:spacing w:val="8"/>
                <w:sz w:val="20"/>
                <w:szCs w:val="20"/>
              </w:rPr>
              <w:t>10~20μ</w:t>
            </w:r>
            <w:r>
              <w:rPr>
                <w:rFonts w:ascii="Times New Roman" w:hAnsi="Times New Roman" w:eastAsia="Times New Roman" w:cs="Times New Roman"/>
                <w:sz w:val="20"/>
                <w:szCs w:val="20"/>
              </w:rPr>
              <w:t>m</w:t>
            </w:r>
            <w:r>
              <w:rPr>
                <w:rFonts w:ascii="宋体" w:hAnsi="宋体" w:eastAsia="宋体" w:cs="宋体"/>
                <w:spacing w:val="8"/>
                <w:sz w:val="20"/>
                <w:szCs w:val="20"/>
              </w:rPr>
              <w:t>) ，而在未铺装沙砾的泥土路</w:t>
            </w:r>
            <w:r>
              <w:rPr>
                <w:rFonts w:ascii="宋体" w:hAnsi="宋体" w:eastAsia="宋体" w:cs="宋体"/>
                <w:sz w:val="20"/>
                <w:szCs w:val="20"/>
              </w:rPr>
              <w:t xml:space="preserve"> </w:t>
            </w:r>
            <w:r>
              <w:rPr>
                <w:rFonts w:ascii="宋体" w:hAnsi="宋体" w:eastAsia="宋体" w:cs="宋体"/>
                <w:spacing w:val="-2"/>
                <w:sz w:val="20"/>
                <w:szCs w:val="20"/>
              </w:rPr>
              <w:t xml:space="preserve">面，粒径小于 </w:t>
            </w:r>
            <w:r>
              <w:rPr>
                <w:rFonts w:ascii="Times New Roman" w:hAnsi="Times New Roman" w:eastAsia="Times New Roman" w:cs="Times New Roman"/>
                <w:spacing w:val="-2"/>
                <w:sz w:val="20"/>
                <w:szCs w:val="20"/>
              </w:rPr>
              <w:t>5μ</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的粉尘颗粒占 </w:t>
            </w:r>
            <w:r>
              <w:rPr>
                <w:rFonts w:ascii="Times New Roman" w:hAnsi="Times New Roman" w:eastAsia="Times New Roman" w:cs="Times New Roman"/>
                <w:spacing w:val="-2"/>
                <w:sz w:val="20"/>
                <w:szCs w:val="20"/>
              </w:rPr>
              <w:t xml:space="preserve">8% </w:t>
            </w:r>
            <w:r>
              <w:rPr>
                <w:rFonts w:ascii="宋体" w:hAnsi="宋体" w:eastAsia="宋体" w:cs="宋体"/>
                <w:spacing w:val="-2"/>
                <w:sz w:val="20"/>
                <w:szCs w:val="20"/>
              </w:rPr>
              <w:t>，</w:t>
            </w:r>
            <w:r>
              <w:rPr>
                <w:rFonts w:ascii="Times New Roman" w:hAnsi="Times New Roman" w:eastAsia="Times New Roman" w:cs="Times New Roman"/>
                <w:spacing w:val="-2"/>
                <w:sz w:val="20"/>
                <w:szCs w:val="20"/>
              </w:rPr>
              <w:t>5~ 10μ</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占 </w:t>
            </w:r>
            <w:r>
              <w:rPr>
                <w:rFonts w:ascii="Times New Roman" w:hAnsi="Times New Roman" w:eastAsia="Times New Roman" w:cs="Times New Roman"/>
                <w:spacing w:val="-2"/>
                <w:sz w:val="20"/>
                <w:szCs w:val="20"/>
              </w:rPr>
              <w:t xml:space="preserve">24% </w:t>
            </w:r>
            <w:r>
              <w:rPr>
                <w:rFonts w:ascii="宋体" w:hAnsi="宋体" w:eastAsia="宋体" w:cs="宋体"/>
                <w:spacing w:val="-2"/>
                <w:sz w:val="20"/>
                <w:szCs w:val="20"/>
              </w:rPr>
              <w:t xml:space="preserve">，大于 </w:t>
            </w:r>
            <w:r>
              <w:rPr>
                <w:rFonts w:ascii="Times New Roman" w:hAnsi="Times New Roman" w:eastAsia="Times New Roman" w:cs="Times New Roman"/>
                <w:spacing w:val="-2"/>
                <w:sz w:val="20"/>
                <w:szCs w:val="20"/>
              </w:rPr>
              <w:t>3μ</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占 </w:t>
            </w:r>
            <w:r>
              <w:rPr>
                <w:rFonts w:ascii="Times New Roman" w:hAnsi="Times New Roman" w:eastAsia="Times New Roman" w:cs="Times New Roman"/>
                <w:spacing w:val="-2"/>
                <w:sz w:val="20"/>
                <w:szCs w:val="20"/>
              </w:rPr>
              <w:t>68%</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。因此，临时道</w:t>
            </w:r>
            <w:r>
              <w:rPr>
                <w:rFonts w:ascii="宋体" w:hAnsi="宋体" w:eastAsia="宋体" w:cs="宋体"/>
                <w:sz w:val="20"/>
                <w:szCs w:val="20"/>
              </w:rPr>
              <w:t xml:space="preserve"> </w:t>
            </w:r>
            <w:r>
              <w:rPr>
                <w:rFonts w:ascii="宋体" w:hAnsi="宋体" w:eastAsia="宋体" w:cs="宋体"/>
                <w:spacing w:val="9"/>
                <w:sz w:val="20"/>
                <w:szCs w:val="20"/>
              </w:rPr>
              <w:t>路、未铺装的施工便道和正在施工的道路极易起尘。根据类似施工现场汽车运输引起的</w:t>
            </w:r>
            <w:r>
              <w:rPr>
                <w:rFonts w:ascii="宋体" w:hAnsi="宋体" w:eastAsia="宋体" w:cs="宋体"/>
                <w:spacing w:val="1"/>
                <w:sz w:val="20"/>
                <w:szCs w:val="20"/>
              </w:rPr>
              <w:t>扬</w:t>
            </w:r>
            <w:r>
              <w:rPr>
                <w:rFonts w:ascii="宋体" w:hAnsi="宋体" w:eastAsia="宋体" w:cs="宋体"/>
                <w:sz w:val="20"/>
                <w:szCs w:val="20"/>
              </w:rPr>
              <w:t xml:space="preserve"> </w:t>
            </w:r>
            <w:r>
              <w:rPr>
                <w:rFonts w:ascii="宋体" w:hAnsi="宋体" w:eastAsia="宋体" w:cs="宋体"/>
                <w:spacing w:val="6"/>
                <w:sz w:val="20"/>
                <w:szCs w:val="20"/>
              </w:rPr>
              <w:t>尘现场监测结果，施工</w:t>
            </w:r>
            <w:r>
              <w:rPr>
                <w:rFonts w:ascii="宋体" w:hAnsi="宋体" w:eastAsia="宋体" w:cs="宋体"/>
                <w:spacing w:val="3"/>
                <w:sz w:val="20"/>
                <w:szCs w:val="20"/>
              </w:rPr>
              <w:t xml:space="preserve">场地运输车辆下风向 </w:t>
            </w:r>
            <w:r>
              <w:rPr>
                <w:rFonts w:ascii="Times New Roman" w:hAnsi="Times New Roman" w:eastAsia="Times New Roman" w:cs="Times New Roman"/>
                <w:spacing w:val="3"/>
                <w:sz w:val="20"/>
                <w:szCs w:val="20"/>
              </w:rPr>
              <w:t>50</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处扬尘浓度为 </w:t>
            </w:r>
            <w:r>
              <w:rPr>
                <w:rFonts w:ascii="Times New Roman" w:hAnsi="Times New Roman" w:eastAsia="Times New Roman" w:cs="Times New Roman"/>
                <w:spacing w:val="3"/>
                <w:sz w:val="20"/>
                <w:szCs w:val="20"/>
              </w:rPr>
              <w:t>8.625</w:t>
            </w:r>
            <w:r>
              <w:rPr>
                <w:rFonts w:ascii="Times New Roman" w:hAnsi="Times New Roman" w:eastAsia="Times New Roman" w:cs="Times New Roman"/>
                <w:sz w:val="20"/>
                <w:szCs w:val="20"/>
              </w:rPr>
              <w:t>mg</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m</w:t>
            </w:r>
            <w:r>
              <w:rPr>
                <w:rFonts w:ascii="宋体" w:hAnsi="宋体" w:eastAsia="宋体" w:cs="宋体"/>
                <w:spacing w:val="3"/>
                <w:sz w:val="20"/>
                <w:szCs w:val="20"/>
              </w:rPr>
              <w:t xml:space="preserve">³；下风向 </w:t>
            </w:r>
            <w:r>
              <w:rPr>
                <w:rFonts w:ascii="Times New Roman" w:hAnsi="Times New Roman" w:eastAsia="Times New Roman" w:cs="Times New Roman"/>
                <w:spacing w:val="3"/>
                <w:sz w:val="20"/>
                <w:szCs w:val="20"/>
              </w:rPr>
              <w:t>100</w:t>
            </w:r>
            <w:r>
              <w:rPr>
                <w:rFonts w:ascii="Times New Roman" w:hAnsi="Times New Roman" w:eastAsia="Times New Roman" w:cs="Times New Roman"/>
                <w:sz w:val="20"/>
                <w:szCs w:val="20"/>
              </w:rPr>
              <w:t xml:space="preserve">m </w:t>
            </w:r>
            <w:r>
              <w:rPr>
                <w:rFonts w:ascii="宋体" w:hAnsi="宋体" w:eastAsia="宋体" w:cs="宋体"/>
                <w:spacing w:val="4"/>
                <w:sz w:val="20"/>
                <w:szCs w:val="20"/>
              </w:rPr>
              <w:t xml:space="preserve">处为 </w:t>
            </w:r>
            <w:r>
              <w:rPr>
                <w:rFonts w:ascii="Times New Roman" w:hAnsi="Times New Roman" w:eastAsia="Times New Roman" w:cs="Times New Roman"/>
                <w:spacing w:val="4"/>
                <w:sz w:val="20"/>
                <w:szCs w:val="20"/>
              </w:rPr>
              <w:t>6.</w:t>
            </w:r>
            <w:r>
              <w:rPr>
                <w:rFonts w:ascii="Times New Roman" w:hAnsi="Times New Roman" w:eastAsia="Times New Roman" w:cs="Times New Roman"/>
                <w:spacing w:val="3"/>
                <w:sz w:val="20"/>
                <w:szCs w:val="20"/>
              </w:rPr>
              <w:t>6</w:t>
            </w:r>
            <w:r>
              <w:rPr>
                <w:rFonts w:ascii="Times New Roman" w:hAnsi="Times New Roman" w:eastAsia="Times New Roman" w:cs="Times New Roman"/>
                <w:spacing w:val="2"/>
                <w:sz w:val="20"/>
                <w:szCs w:val="20"/>
              </w:rPr>
              <w:t>94</w:t>
            </w:r>
            <w:r>
              <w:rPr>
                <w:rFonts w:ascii="Times New Roman" w:hAnsi="Times New Roman" w:eastAsia="Times New Roman" w:cs="Times New Roman"/>
                <w:sz w:val="20"/>
                <w:szCs w:val="20"/>
              </w:rPr>
              <w:t>mg</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m</w:t>
            </w:r>
            <w:r>
              <w:rPr>
                <w:rFonts w:ascii="宋体" w:hAnsi="宋体" w:eastAsia="宋体" w:cs="宋体"/>
                <w:spacing w:val="2"/>
                <w:sz w:val="20"/>
                <w:szCs w:val="20"/>
              </w:rPr>
              <w:t xml:space="preserve">³ ；下风 </w:t>
            </w:r>
            <w:r>
              <w:rPr>
                <w:rFonts w:ascii="Times New Roman" w:hAnsi="Times New Roman" w:eastAsia="Times New Roman" w:cs="Times New Roman"/>
                <w:spacing w:val="2"/>
                <w:sz w:val="20"/>
                <w:szCs w:val="20"/>
              </w:rPr>
              <w:t>150</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处为 </w:t>
            </w:r>
            <w:r>
              <w:rPr>
                <w:rFonts w:ascii="Times New Roman" w:hAnsi="Times New Roman" w:eastAsia="Times New Roman" w:cs="Times New Roman"/>
                <w:spacing w:val="2"/>
                <w:sz w:val="20"/>
                <w:szCs w:val="20"/>
              </w:rPr>
              <w:t>2.093</w:t>
            </w:r>
            <w:r>
              <w:rPr>
                <w:rFonts w:ascii="Times New Roman" w:hAnsi="Times New Roman" w:eastAsia="Times New Roman" w:cs="Times New Roman"/>
                <w:sz w:val="20"/>
                <w:szCs w:val="20"/>
              </w:rPr>
              <w:t>mg</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m</w:t>
            </w:r>
            <w:r>
              <w:rPr>
                <w:rFonts w:ascii="宋体" w:hAnsi="宋体" w:eastAsia="宋体" w:cs="宋体"/>
                <w:spacing w:val="2"/>
                <w:sz w:val="20"/>
                <w:szCs w:val="20"/>
              </w:rPr>
              <w:t>³ ，超过环境空气质量二级标准。施工运输</w:t>
            </w:r>
            <w:r>
              <w:rPr>
                <w:rFonts w:ascii="宋体" w:hAnsi="宋体" w:eastAsia="宋体" w:cs="宋体"/>
                <w:sz w:val="20"/>
                <w:szCs w:val="20"/>
              </w:rPr>
              <w:t xml:space="preserve"> </w:t>
            </w:r>
            <w:r>
              <w:rPr>
                <w:rFonts w:ascii="宋体" w:hAnsi="宋体" w:eastAsia="宋体" w:cs="宋体"/>
                <w:spacing w:val="12"/>
                <w:sz w:val="20"/>
                <w:szCs w:val="20"/>
              </w:rPr>
              <w:t>车</w:t>
            </w:r>
            <w:r>
              <w:rPr>
                <w:rFonts w:ascii="宋体" w:hAnsi="宋体" w:eastAsia="宋体" w:cs="宋体"/>
                <w:spacing w:val="8"/>
                <w:sz w:val="20"/>
                <w:szCs w:val="20"/>
              </w:rPr>
              <w:t>辆产生的扬尘污染较严重。</w:t>
            </w:r>
          </w:p>
          <w:p>
            <w:pPr>
              <w:spacing w:before="16" w:line="227" w:lineRule="auto"/>
              <w:ind w:left="537"/>
              <w:rPr>
                <w:rFonts w:ascii="宋体" w:hAnsi="宋体" w:eastAsia="宋体" w:cs="宋体"/>
                <w:sz w:val="20"/>
                <w:szCs w:val="20"/>
              </w:rPr>
            </w:pPr>
            <w:r>
              <w:rPr>
                <w:rFonts w:ascii="宋体" w:hAnsi="宋体" w:eastAsia="宋体" w:cs="宋体"/>
                <w:spacing w:val="2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4"/>
                <w:sz w:val="20"/>
                <w:szCs w:val="20"/>
              </w:rPr>
              <w:t>3</w:t>
            </w:r>
            <w:r>
              <w:rPr>
                <w:rFonts w:ascii="宋体" w:hAnsi="宋体" w:eastAsia="宋体" w:cs="宋体"/>
                <w:spacing w:val="14"/>
                <w:sz w:val="20"/>
                <w:szCs w:val="20"/>
                <w14:textOutline w14:w="3795" w14:cap="sq" w14:cmpd="sng">
                  <w14:solidFill>
                    <w14:srgbClr w14:val="000000"/>
                  </w14:solidFill>
                  <w14:prstDash w14:val="solid"/>
                  <w14:bevel/>
                </w14:textOutline>
              </w:rPr>
              <w:t>)</w:t>
            </w:r>
            <w:r>
              <w:rPr>
                <w:rFonts w:ascii="宋体" w:hAnsi="宋体" w:eastAsia="宋体" w:cs="宋体"/>
                <w:spacing w:val="14"/>
                <w:sz w:val="20"/>
                <w:szCs w:val="20"/>
              </w:rPr>
              <w:t xml:space="preserve"> </w:t>
            </w:r>
            <w:r>
              <w:rPr>
                <w:rFonts w:ascii="宋体" w:hAnsi="宋体" w:eastAsia="宋体" w:cs="宋体"/>
                <w:spacing w:val="14"/>
                <w:sz w:val="20"/>
                <w:szCs w:val="20"/>
                <w14:textOutline w14:w="3795" w14:cap="sq" w14:cmpd="sng">
                  <w14:solidFill>
                    <w14:srgbClr w14:val="000000"/>
                  </w14:solidFill>
                  <w14:prstDash w14:val="solid"/>
                  <w14:bevel/>
                </w14:textOutline>
              </w:rPr>
              <w:t>施工机械、运输车辆燃油尾气</w:t>
            </w:r>
          </w:p>
          <w:p>
            <w:pPr>
              <w:spacing w:before="153" w:line="370" w:lineRule="auto"/>
              <w:ind w:left="99" w:right="71" w:firstLine="421"/>
              <w:rPr>
                <w:rFonts w:ascii="宋体" w:hAnsi="宋体" w:eastAsia="宋体" w:cs="宋体"/>
                <w:sz w:val="20"/>
                <w:szCs w:val="20"/>
              </w:rPr>
            </w:pPr>
            <w:r>
              <w:rPr>
                <w:rFonts w:ascii="宋体" w:hAnsi="宋体" w:eastAsia="宋体" w:cs="宋体"/>
                <w:spacing w:val="11"/>
                <w:sz w:val="20"/>
                <w:szCs w:val="20"/>
              </w:rPr>
              <w:t>由</w:t>
            </w:r>
            <w:r>
              <w:rPr>
                <w:rFonts w:ascii="宋体" w:hAnsi="宋体" w:eastAsia="宋体" w:cs="宋体"/>
                <w:spacing w:val="8"/>
                <w:sz w:val="20"/>
                <w:szCs w:val="20"/>
              </w:rPr>
              <w:t>于施工场地车辆和各种燃油机械比较集中，尾气排放源强相对较大，主要污染因子</w:t>
            </w:r>
            <w:r>
              <w:rPr>
                <w:rFonts w:ascii="宋体" w:hAnsi="宋体" w:eastAsia="宋体" w:cs="宋体"/>
                <w:sz w:val="20"/>
                <w:szCs w:val="20"/>
              </w:rPr>
              <w:t xml:space="preserve"> </w:t>
            </w:r>
            <w:r>
              <w:rPr>
                <w:rFonts w:ascii="宋体" w:hAnsi="宋体" w:eastAsia="宋体" w:cs="宋体"/>
                <w:spacing w:val="4"/>
                <w:sz w:val="20"/>
                <w:szCs w:val="20"/>
              </w:rPr>
              <w:t xml:space="preserve">以 </w:t>
            </w:r>
            <w:r>
              <w:rPr>
                <w:rFonts w:ascii="Times New Roman" w:hAnsi="Times New Roman" w:eastAsia="Times New Roman" w:cs="Times New Roman"/>
                <w:sz w:val="20"/>
                <w:szCs w:val="20"/>
              </w:rPr>
              <w:t>CO</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z w:val="20"/>
                <w:szCs w:val="20"/>
              </w:rPr>
              <w:t>NO</w:t>
            </w:r>
            <w:r>
              <w:rPr>
                <w:rFonts w:ascii="Times New Roman" w:hAnsi="Times New Roman" w:eastAsia="Times New Roman" w:cs="Times New Roman"/>
                <w:position w:val="-1"/>
                <w:sz w:val="13"/>
                <w:szCs w:val="13"/>
              </w:rPr>
              <w:t>X</w:t>
            </w:r>
            <w:r>
              <w:rPr>
                <w:rFonts w:ascii="Times New Roman" w:hAnsi="Times New Roman" w:eastAsia="Times New Roman" w:cs="Times New Roman"/>
                <w:spacing w:val="4"/>
                <w:position w:val="-1"/>
                <w:sz w:val="13"/>
                <w:szCs w:val="13"/>
              </w:rPr>
              <w:t xml:space="preserve"> </w:t>
            </w:r>
            <w:r>
              <w:rPr>
                <w:rFonts w:ascii="宋体" w:hAnsi="宋体" w:eastAsia="宋体" w:cs="宋体"/>
                <w:spacing w:val="4"/>
                <w:sz w:val="20"/>
                <w:szCs w:val="20"/>
              </w:rPr>
              <w:t>、</w:t>
            </w:r>
            <w:r>
              <w:rPr>
                <w:rFonts w:ascii="Times New Roman" w:hAnsi="Times New Roman" w:eastAsia="Times New Roman" w:cs="Times New Roman"/>
                <w:sz w:val="20"/>
                <w:szCs w:val="20"/>
              </w:rPr>
              <w:t>CnHm</w:t>
            </w:r>
            <w:r>
              <w:rPr>
                <w:rFonts w:ascii="Times New Roman" w:hAnsi="Times New Roman" w:eastAsia="Times New Roman" w:cs="Times New Roman"/>
                <w:spacing w:val="4"/>
                <w:sz w:val="20"/>
                <w:szCs w:val="20"/>
              </w:rPr>
              <w:t xml:space="preserve"> </w:t>
            </w:r>
            <w:r>
              <w:rPr>
                <w:rFonts w:ascii="宋体" w:hAnsi="宋体" w:eastAsia="宋体" w:cs="宋体"/>
                <w:spacing w:val="3"/>
                <w:sz w:val="20"/>
                <w:szCs w:val="20"/>
              </w:rPr>
              <w:t>等</w:t>
            </w:r>
            <w:r>
              <w:rPr>
                <w:rFonts w:ascii="宋体" w:hAnsi="宋体" w:eastAsia="宋体" w:cs="宋体"/>
                <w:spacing w:val="2"/>
                <w:sz w:val="20"/>
                <w:szCs w:val="20"/>
              </w:rPr>
              <w:t>为主，为非连续间歇式排放。</w:t>
            </w:r>
          </w:p>
          <w:p>
            <w:pPr>
              <w:spacing w:before="1" w:line="226" w:lineRule="auto"/>
              <w:ind w:left="537"/>
              <w:rPr>
                <w:rFonts w:ascii="宋体" w:hAnsi="宋体" w:eastAsia="宋体" w:cs="宋体"/>
                <w:sz w:val="20"/>
                <w:szCs w:val="20"/>
              </w:rPr>
            </w:pPr>
            <w:r>
              <w:rPr>
                <w:rFonts w:ascii="宋体" w:hAnsi="宋体" w:eastAsia="宋体" w:cs="宋体"/>
                <w:spacing w:val="20"/>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20"/>
                <w:sz w:val="20"/>
                <w:szCs w:val="20"/>
              </w:rPr>
              <w:t>4</w:t>
            </w:r>
            <w:r>
              <w:rPr>
                <w:rFonts w:ascii="宋体" w:hAnsi="宋体" w:eastAsia="宋体" w:cs="宋体"/>
                <w:spacing w:val="20"/>
                <w:sz w:val="20"/>
                <w:szCs w:val="20"/>
                <w14:textOutline w14:w="3795" w14:cap="sq" w14:cmpd="sng">
                  <w14:solidFill>
                    <w14:srgbClr w14:val="000000"/>
                  </w14:solidFill>
                  <w14:prstDash w14:val="solid"/>
                  <w14:bevel/>
                </w14:textOutline>
              </w:rPr>
              <w:t>)</w:t>
            </w:r>
            <w:r>
              <w:rPr>
                <w:rFonts w:ascii="宋体" w:hAnsi="宋体" w:eastAsia="宋体" w:cs="宋体"/>
                <w:spacing w:val="20"/>
                <w:sz w:val="20"/>
                <w:szCs w:val="20"/>
              </w:rPr>
              <w:t xml:space="preserve"> </w:t>
            </w:r>
            <w:r>
              <w:rPr>
                <w:rFonts w:ascii="宋体" w:hAnsi="宋体" w:eastAsia="宋体" w:cs="宋体"/>
                <w:spacing w:val="20"/>
                <w:sz w:val="20"/>
                <w:szCs w:val="20"/>
                <w14:textOutline w14:w="3795" w14:cap="sq" w14:cmpd="sng">
                  <w14:solidFill>
                    <w14:srgbClr w14:val="000000"/>
                  </w14:solidFill>
                  <w14:prstDash w14:val="solid"/>
                  <w14:bevel/>
                </w14:textOutline>
              </w:rPr>
              <w:t>沥青</w:t>
            </w:r>
            <w:r>
              <w:rPr>
                <w:rFonts w:ascii="宋体" w:hAnsi="宋体" w:eastAsia="宋体" w:cs="宋体"/>
                <w:spacing w:val="18"/>
                <w:sz w:val="20"/>
                <w:szCs w:val="20"/>
                <w14:textOutline w14:w="3795" w14:cap="sq" w14:cmpd="sng">
                  <w14:solidFill>
                    <w14:srgbClr w14:val="000000"/>
                  </w14:solidFill>
                  <w14:prstDash w14:val="solid"/>
                  <w14:bevel/>
                </w14:textOutline>
              </w:rPr>
              <w:t>烟</w:t>
            </w:r>
          </w:p>
          <w:p>
            <w:pPr>
              <w:spacing w:before="154" w:line="337" w:lineRule="auto"/>
              <w:ind w:left="76" w:right="71" w:firstLine="420"/>
              <w:rPr>
                <w:rFonts w:ascii="宋体" w:hAnsi="宋体" w:eastAsia="宋体" w:cs="宋体"/>
                <w:sz w:val="20"/>
                <w:szCs w:val="20"/>
              </w:rPr>
            </w:pPr>
            <w:r>
              <w:rPr>
                <w:rFonts w:ascii="宋体" w:hAnsi="宋体" w:eastAsia="宋体" w:cs="宋体"/>
                <w:spacing w:val="16"/>
                <w:sz w:val="20"/>
                <w:szCs w:val="20"/>
              </w:rPr>
              <w:t>根据初</w:t>
            </w:r>
            <w:r>
              <w:rPr>
                <w:rFonts w:ascii="宋体" w:hAnsi="宋体" w:eastAsia="宋体" w:cs="宋体"/>
                <w:spacing w:val="12"/>
                <w:sz w:val="20"/>
                <w:szCs w:val="20"/>
              </w:rPr>
              <w:t>设</w:t>
            </w:r>
            <w:r>
              <w:rPr>
                <w:rFonts w:ascii="宋体" w:hAnsi="宋体" w:eastAsia="宋体" w:cs="宋体"/>
                <w:spacing w:val="8"/>
                <w:sz w:val="20"/>
                <w:szCs w:val="20"/>
              </w:rPr>
              <w:t>资料，本项目不设沥青拌合站，路面沥青混凝土由专门的厂家生产，用密封</w:t>
            </w:r>
            <w:r>
              <w:rPr>
                <w:rFonts w:ascii="宋体" w:hAnsi="宋体" w:eastAsia="宋体" w:cs="宋体"/>
                <w:sz w:val="20"/>
                <w:szCs w:val="20"/>
              </w:rPr>
              <w:t xml:space="preserve"> </w:t>
            </w:r>
            <w:r>
              <w:rPr>
                <w:rFonts w:ascii="宋体" w:hAnsi="宋体" w:eastAsia="宋体" w:cs="宋体"/>
                <w:spacing w:val="9"/>
                <w:sz w:val="20"/>
                <w:szCs w:val="20"/>
              </w:rPr>
              <w:t>车运至项目现场摊铺，现场不设加热装置、搅拌过程，只在摊铺过程热油蒸发会产生少</w:t>
            </w:r>
            <w:r>
              <w:rPr>
                <w:rFonts w:ascii="宋体" w:hAnsi="宋体" w:eastAsia="宋体" w:cs="宋体"/>
                <w:spacing w:val="2"/>
                <w:sz w:val="20"/>
                <w:szCs w:val="20"/>
              </w:rPr>
              <w:t>量</w:t>
            </w:r>
            <w:r>
              <w:rPr>
                <w:rFonts w:ascii="宋体" w:hAnsi="宋体" w:eastAsia="宋体" w:cs="宋体"/>
                <w:sz w:val="20"/>
                <w:szCs w:val="20"/>
              </w:rPr>
              <w:t xml:space="preserve"> </w:t>
            </w:r>
            <w:r>
              <w:rPr>
                <w:rFonts w:ascii="宋体" w:hAnsi="宋体" w:eastAsia="宋体" w:cs="宋体"/>
                <w:spacing w:val="10"/>
                <w:sz w:val="20"/>
                <w:szCs w:val="20"/>
              </w:rPr>
              <w:t>沥</w:t>
            </w:r>
            <w:r>
              <w:rPr>
                <w:rFonts w:ascii="宋体" w:hAnsi="宋体" w:eastAsia="宋体" w:cs="宋体"/>
                <w:spacing w:val="8"/>
                <w:sz w:val="20"/>
                <w:szCs w:val="20"/>
              </w:rPr>
              <w:t>青烟，沥青烟气主要成分包括非甲烷总烃和苯、甲苯、二甲苯及微量苯并</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8"/>
                <w:sz w:val="20"/>
                <w:szCs w:val="20"/>
              </w:rPr>
              <w:t>]</w:t>
            </w:r>
            <w:r>
              <w:rPr>
                <w:rFonts w:ascii="宋体" w:hAnsi="宋体" w:eastAsia="宋体" w:cs="宋体"/>
                <w:spacing w:val="8"/>
                <w:sz w:val="20"/>
                <w:szCs w:val="20"/>
              </w:rPr>
              <w:t>芘等毒性物</w:t>
            </w:r>
            <w:r>
              <w:rPr>
                <w:rFonts w:ascii="宋体" w:hAnsi="宋体" w:eastAsia="宋体" w:cs="宋体"/>
                <w:sz w:val="20"/>
                <w:szCs w:val="20"/>
              </w:rPr>
              <w:t xml:space="preserve"> </w:t>
            </w:r>
            <w:r>
              <w:rPr>
                <w:rFonts w:ascii="宋体" w:hAnsi="宋体" w:eastAsia="宋体" w:cs="宋体"/>
                <w:spacing w:val="10"/>
                <w:sz w:val="20"/>
                <w:szCs w:val="20"/>
              </w:rPr>
              <w:t>质</w:t>
            </w:r>
            <w:r>
              <w:rPr>
                <w:rFonts w:ascii="宋体" w:hAnsi="宋体" w:eastAsia="宋体" w:cs="宋体"/>
                <w:spacing w:val="8"/>
                <w:sz w:val="20"/>
                <w:szCs w:val="20"/>
              </w:rPr>
              <w:t>，会对作业人员及环境带来一定的影响。苯并</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8"/>
                <w:sz w:val="20"/>
                <w:szCs w:val="20"/>
              </w:rPr>
              <w:t>]</w:t>
            </w:r>
            <w:r>
              <w:rPr>
                <w:rFonts w:ascii="宋体" w:hAnsi="宋体" w:eastAsia="宋体" w:cs="宋体"/>
                <w:spacing w:val="8"/>
                <w:sz w:val="20"/>
                <w:szCs w:val="20"/>
              </w:rPr>
              <w:t>芘是沥青烟气中对周边环境有较大影响</w:t>
            </w:r>
          </w:p>
        </w:tc>
      </w:tr>
    </w:tbl>
    <w:p>
      <w:pPr>
        <w:spacing w:line="138" w:lineRule="exact"/>
        <w:rPr>
          <w:rFonts w:ascii="Arial"/>
          <w:sz w:val="12"/>
        </w:rPr>
      </w:pPr>
    </w:p>
    <w:p>
      <w:pPr>
        <w:sectPr>
          <w:footerReference r:id="rId77" w:type="default"/>
          <w:pgSz w:w="11906" w:h="16839"/>
          <w:pgMar w:top="400" w:right="1472" w:bottom="1475" w:left="1471" w:header="0" w:footer="1315" w:gutter="0"/>
          <w:cols w:space="720" w:num="1"/>
        </w:sectPr>
      </w:pPr>
    </w:p>
    <w:p>
      <w:r>
        <w:pict>
          <v:rect id="_x0000_s1102" o:spid="_x0000_s1102" o:spt="1" style="position:absolute;left:0pt;margin-left:114.8pt;margin-top:418.35pt;height:102pt;width:0.5pt;mso-position-horizontal-relative:page;mso-position-vertical-relative:page;z-index:251762688;mso-width-relative:page;mso-height-relative:page;" fillcolor="#000000" filled="t" stroked="f" coordsize="21600,21600" o:allowincell="f">
            <v:path/>
            <v:fill on="t" focussize="0,0"/>
            <v:stroke on="f"/>
            <v:imagedata o:title=""/>
            <o:lock v:ext="edit"/>
          </v:rect>
        </w:pict>
      </w:r>
    </w:p>
    <w:p/>
    <w:p/>
    <w:p/>
    <w:p>
      <w:pPr>
        <w:spacing w:line="221" w:lineRule="exact"/>
      </w:pPr>
    </w:p>
    <w:tbl>
      <w:tblPr>
        <w:tblStyle w:val="4"/>
        <w:tblW w:w="894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5"/>
        <w:gridCol w:w="2484"/>
        <w:gridCol w:w="1503"/>
        <w:gridCol w:w="996"/>
        <w:gridCol w:w="1061"/>
        <w:gridCol w:w="1030"/>
        <w:gridCol w:w="1034"/>
        <w:gridCol w:w="1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7" w:hRule="atLeast"/>
        </w:trPr>
        <w:tc>
          <w:tcPr>
            <w:tcW w:w="645" w:type="dxa"/>
            <w:vMerge w:val="restart"/>
            <w:tcBorders>
              <w:left w:val="single" w:color="000000" w:sz="6" w:space="0"/>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31" w:lineRule="auto"/>
              <w:ind w:left="8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施工</w:t>
            </w:r>
          </w:p>
          <w:p>
            <w:pPr>
              <w:spacing w:before="21" w:line="228" w:lineRule="auto"/>
              <w:ind w:left="91"/>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期生</w:t>
            </w:r>
          </w:p>
          <w:p>
            <w:pPr>
              <w:spacing w:before="25" w:line="230" w:lineRule="auto"/>
              <w:ind w:left="8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态</w:t>
            </w:r>
            <w:r>
              <w:rPr>
                <w:rFonts w:ascii="宋体" w:hAnsi="宋体" w:eastAsia="宋体" w:cs="宋体"/>
                <w:spacing w:val="15"/>
                <w:sz w:val="20"/>
                <w:szCs w:val="20"/>
                <w14:textOutline w14:w="3795" w14:cap="sq" w14:cmpd="sng">
                  <w14:solidFill>
                    <w14:srgbClr w14:val="000000"/>
                  </w14:solidFill>
                  <w14:prstDash w14:val="solid"/>
                  <w14:bevel/>
                </w14:textOutline>
              </w:rPr>
              <w:t>环</w:t>
            </w:r>
          </w:p>
          <w:p>
            <w:pPr>
              <w:spacing w:before="22" w:line="228" w:lineRule="auto"/>
              <w:ind w:left="89"/>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境影</w:t>
            </w:r>
          </w:p>
          <w:p>
            <w:pPr>
              <w:spacing w:before="25" w:line="228" w:lineRule="auto"/>
              <w:ind w:left="99"/>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响分</w:t>
            </w:r>
          </w:p>
          <w:p>
            <w:pPr>
              <w:spacing w:before="26" w:line="228" w:lineRule="auto"/>
              <w:ind w:left="205"/>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析</w:t>
            </w:r>
          </w:p>
        </w:tc>
        <w:tc>
          <w:tcPr>
            <w:tcW w:w="8302" w:type="dxa"/>
            <w:gridSpan w:val="7"/>
            <w:tcBorders>
              <w:right w:val="single" w:color="000000" w:sz="6" w:space="0"/>
            </w:tcBorders>
            <w:vAlign w:val="top"/>
          </w:tcPr>
          <w:p>
            <w:pPr>
              <w:spacing w:before="117" w:line="378" w:lineRule="auto"/>
              <w:ind w:left="77" w:right="71" w:firstLine="14"/>
              <w:rPr>
                <w:rFonts w:ascii="宋体" w:hAnsi="宋体" w:eastAsia="宋体" w:cs="宋体"/>
                <w:sz w:val="20"/>
                <w:szCs w:val="20"/>
              </w:rPr>
            </w:pPr>
            <w:r>
              <w:rPr>
                <w:rFonts w:ascii="宋体" w:hAnsi="宋体" w:eastAsia="宋体" w:cs="宋体"/>
                <w:spacing w:val="8"/>
                <w:sz w:val="20"/>
                <w:szCs w:val="20"/>
              </w:rPr>
              <w:t>的</w:t>
            </w:r>
            <w:r>
              <w:rPr>
                <w:rFonts w:ascii="宋体" w:hAnsi="宋体" w:eastAsia="宋体" w:cs="宋体"/>
                <w:spacing w:val="4"/>
                <w:sz w:val="20"/>
                <w:szCs w:val="20"/>
              </w:rPr>
              <w:t>代表物质，根据相关资料，纯苯并</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4"/>
                <w:sz w:val="20"/>
                <w:szCs w:val="20"/>
              </w:rPr>
              <w:t>]</w:t>
            </w:r>
            <w:r>
              <w:rPr>
                <w:rFonts w:ascii="宋体" w:hAnsi="宋体" w:eastAsia="宋体" w:cs="宋体"/>
                <w:spacing w:val="4"/>
                <w:sz w:val="20"/>
                <w:szCs w:val="20"/>
              </w:rPr>
              <w:t xml:space="preserve">芘为黄色针状晶体，熔点 </w:t>
            </w:r>
            <w:r>
              <w:rPr>
                <w:rFonts w:ascii="Times New Roman" w:hAnsi="Times New Roman" w:eastAsia="Times New Roman" w:cs="Times New Roman"/>
                <w:spacing w:val="4"/>
                <w:sz w:val="20"/>
                <w:szCs w:val="20"/>
              </w:rPr>
              <w:t xml:space="preserve">178. 1℃ </w:t>
            </w:r>
            <w:r>
              <w:rPr>
                <w:rFonts w:ascii="宋体" w:hAnsi="宋体" w:eastAsia="宋体" w:cs="宋体"/>
                <w:spacing w:val="4"/>
                <w:sz w:val="20"/>
                <w:szCs w:val="20"/>
              </w:rPr>
              <w:t xml:space="preserve">，沸点 </w:t>
            </w:r>
            <w:r>
              <w:rPr>
                <w:rFonts w:ascii="Times New Roman" w:hAnsi="Times New Roman" w:eastAsia="Times New Roman" w:cs="Times New Roman"/>
                <w:spacing w:val="4"/>
                <w:sz w:val="20"/>
                <w:szCs w:val="20"/>
              </w:rPr>
              <w:t xml:space="preserve">311℃ </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16"/>
                <w:sz w:val="20"/>
                <w:szCs w:val="20"/>
              </w:rPr>
              <w:t>能溶于</w:t>
            </w:r>
            <w:r>
              <w:rPr>
                <w:rFonts w:ascii="宋体" w:hAnsi="宋体" w:eastAsia="宋体" w:cs="宋体"/>
                <w:spacing w:val="14"/>
                <w:sz w:val="20"/>
                <w:szCs w:val="20"/>
              </w:rPr>
              <w:t>苯</w:t>
            </w:r>
            <w:r>
              <w:rPr>
                <w:rFonts w:ascii="宋体" w:hAnsi="宋体" w:eastAsia="宋体" w:cs="宋体"/>
                <w:spacing w:val="8"/>
                <w:sz w:val="20"/>
                <w:szCs w:val="20"/>
              </w:rPr>
              <w:t>，稍溶于醇，不溶于水，是石油沥青中的强致癌物质，通常附在沥青烟中直径小</w:t>
            </w:r>
            <w:r>
              <w:rPr>
                <w:rFonts w:ascii="宋体" w:hAnsi="宋体" w:eastAsia="宋体" w:cs="宋体"/>
                <w:sz w:val="20"/>
                <w:szCs w:val="20"/>
              </w:rPr>
              <w:t xml:space="preserve"> </w:t>
            </w:r>
            <w:r>
              <w:rPr>
                <w:rFonts w:ascii="宋体" w:hAnsi="宋体" w:eastAsia="宋体" w:cs="宋体"/>
                <w:spacing w:val="6"/>
                <w:sz w:val="20"/>
                <w:szCs w:val="20"/>
              </w:rPr>
              <w:t xml:space="preserve">于 </w:t>
            </w:r>
            <w:r>
              <w:rPr>
                <w:rFonts w:ascii="Times New Roman" w:hAnsi="Times New Roman" w:eastAsia="Times New Roman" w:cs="Times New Roman"/>
                <w:spacing w:val="6"/>
                <w:sz w:val="20"/>
                <w:szCs w:val="20"/>
              </w:rPr>
              <w:t>8.0μ</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 </w:t>
            </w:r>
            <w:r>
              <w:rPr>
                <w:rFonts w:ascii="宋体" w:hAnsi="宋体" w:eastAsia="宋体" w:cs="宋体"/>
                <w:spacing w:val="4"/>
                <w:sz w:val="20"/>
                <w:szCs w:val="20"/>
              </w:rPr>
              <w:t>的</w:t>
            </w:r>
            <w:r>
              <w:rPr>
                <w:rFonts w:ascii="宋体" w:hAnsi="宋体" w:eastAsia="宋体" w:cs="宋体"/>
                <w:spacing w:val="3"/>
                <w:sz w:val="20"/>
                <w:szCs w:val="20"/>
              </w:rPr>
              <w:t xml:space="preserve">颗粒上。沥青混合料摊铺、碾压温度为 </w:t>
            </w:r>
            <w:r>
              <w:rPr>
                <w:rFonts w:ascii="Times New Roman" w:hAnsi="Times New Roman" w:eastAsia="Times New Roman" w:cs="Times New Roman"/>
                <w:spacing w:val="3"/>
                <w:sz w:val="20"/>
                <w:szCs w:val="20"/>
              </w:rPr>
              <w:t xml:space="preserve">120~ 150℃ </w:t>
            </w:r>
            <w:r>
              <w:rPr>
                <w:rFonts w:ascii="宋体" w:hAnsi="宋体" w:eastAsia="宋体" w:cs="宋体"/>
                <w:spacing w:val="3"/>
                <w:sz w:val="20"/>
                <w:szCs w:val="20"/>
              </w:rPr>
              <w:t>，路面透层、下封层和粘层</w:t>
            </w:r>
            <w:r>
              <w:rPr>
                <w:rFonts w:ascii="宋体" w:hAnsi="宋体" w:eastAsia="宋体" w:cs="宋体"/>
                <w:sz w:val="20"/>
                <w:szCs w:val="20"/>
              </w:rPr>
              <w:t xml:space="preserve"> </w:t>
            </w:r>
            <w:r>
              <w:rPr>
                <w:rFonts w:ascii="宋体" w:hAnsi="宋体" w:eastAsia="宋体" w:cs="宋体"/>
                <w:spacing w:val="8"/>
                <w:sz w:val="20"/>
                <w:szCs w:val="20"/>
              </w:rPr>
              <w:t>涂布所用</w:t>
            </w:r>
            <w:r>
              <w:rPr>
                <w:rFonts w:ascii="宋体" w:hAnsi="宋体" w:eastAsia="宋体" w:cs="宋体"/>
                <w:spacing w:val="4"/>
                <w:sz w:val="20"/>
                <w:szCs w:val="20"/>
              </w:rPr>
              <w:t xml:space="preserve">的乳化沥青均为成品，涂布温度控制在 </w:t>
            </w:r>
            <w:r>
              <w:rPr>
                <w:rFonts w:ascii="Times New Roman" w:hAnsi="Times New Roman" w:eastAsia="Times New Roman" w:cs="Times New Roman"/>
                <w:spacing w:val="4"/>
                <w:sz w:val="20"/>
                <w:szCs w:val="20"/>
              </w:rPr>
              <w:t>80~ 120℃</w:t>
            </w:r>
            <w:r>
              <w:rPr>
                <w:rFonts w:ascii="宋体" w:hAnsi="宋体" w:eastAsia="宋体" w:cs="宋体"/>
                <w:spacing w:val="4"/>
                <w:sz w:val="20"/>
                <w:szCs w:val="20"/>
              </w:rPr>
              <w:t>。</w:t>
            </w:r>
          </w:p>
          <w:p>
            <w:pPr>
              <w:spacing w:before="1" w:line="364" w:lineRule="auto"/>
              <w:ind w:left="76" w:right="71" w:firstLine="419"/>
              <w:rPr>
                <w:rFonts w:ascii="宋体" w:hAnsi="宋体" w:eastAsia="宋体" w:cs="宋体"/>
                <w:sz w:val="20"/>
                <w:szCs w:val="20"/>
              </w:rPr>
            </w:pPr>
            <w:r>
              <w:rPr>
                <w:rFonts w:ascii="宋体" w:hAnsi="宋体" w:eastAsia="宋体" w:cs="宋体"/>
                <w:spacing w:val="16"/>
                <w:sz w:val="20"/>
                <w:szCs w:val="20"/>
              </w:rPr>
              <w:t>根据国</w:t>
            </w:r>
            <w:r>
              <w:rPr>
                <w:rFonts w:ascii="宋体" w:hAnsi="宋体" w:eastAsia="宋体" w:cs="宋体"/>
                <w:spacing w:val="12"/>
                <w:sz w:val="20"/>
                <w:szCs w:val="20"/>
              </w:rPr>
              <w:t>内</w:t>
            </w:r>
            <w:r>
              <w:rPr>
                <w:rFonts w:ascii="宋体" w:hAnsi="宋体" w:eastAsia="宋体" w:cs="宋体"/>
                <w:spacing w:val="8"/>
                <w:sz w:val="20"/>
                <w:szCs w:val="20"/>
              </w:rPr>
              <w:t>同类工程类比分析调查，道路施工期沥青摊铺过程中，污染物浓度一般在下</w:t>
            </w:r>
            <w:r>
              <w:rPr>
                <w:rFonts w:ascii="宋体" w:hAnsi="宋体" w:eastAsia="宋体" w:cs="宋体"/>
                <w:sz w:val="20"/>
                <w:szCs w:val="20"/>
              </w:rPr>
              <w:t xml:space="preserve"> </w:t>
            </w:r>
            <w:r>
              <w:rPr>
                <w:rFonts w:ascii="宋体" w:hAnsi="宋体" w:eastAsia="宋体" w:cs="宋体"/>
                <w:spacing w:val="2"/>
                <w:sz w:val="20"/>
                <w:szCs w:val="20"/>
              </w:rPr>
              <w:t xml:space="preserve">风向 </w:t>
            </w:r>
            <w:r>
              <w:rPr>
                <w:rFonts w:ascii="Times New Roman" w:hAnsi="Times New Roman" w:eastAsia="Times New Roman" w:cs="Times New Roman"/>
                <w:spacing w:val="2"/>
                <w:sz w:val="20"/>
                <w:szCs w:val="20"/>
              </w:rPr>
              <w:t xml:space="preserve">50 </w:t>
            </w:r>
            <w:r>
              <w:rPr>
                <w:rFonts w:ascii="宋体" w:hAnsi="宋体" w:eastAsia="宋体" w:cs="宋体"/>
                <w:spacing w:val="2"/>
                <w:sz w:val="20"/>
                <w:szCs w:val="20"/>
              </w:rPr>
              <w:t xml:space="preserve">米处苯并芘低于 </w:t>
            </w:r>
            <w:r>
              <w:rPr>
                <w:rFonts w:ascii="Times New Roman" w:hAnsi="Times New Roman" w:eastAsia="Times New Roman" w:cs="Times New Roman"/>
                <w:spacing w:val="1"/>
                <w:sz w:val="20"/>
                <w:szCs w:val="20"/>
              </w:rPr>
              <w:t>0.008</w:t>
            </w:r>
            <w:r>
              <w:rPr>
                <w:rFonts w:ascii="Times New Roman" w:hAnsi="Times New Roman" w:eastAsia="Times New Roman" w:cs="Times New Roman"/>
                <w:sz w:val="20"/>
                <w:szCs w:val="20"/>
              </w:rPr>
              <w:t>ug</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m</w:t>
            </w:r>
            <w:r>
              <w:rPr>
                <w:rFonts w:ascii="宋体" w:hAnsi="宋体" w:eastAsia="宋体" w:cs="宋体"/>
                <w:spacing w:val="1"/>
                <w:sz w:val="20"/>
                <w:szCs w:val="20"/>
              </w:rPr>
              <w:t>³；</w:t>
            </w:r>
            <w:r>
              <w:rPr>
                <w:rFonts w:ascii="Times New Roman" w:hAnsi="Times New Roman" w:eastAsia="Times New Roman" w:cs="Times New Roman"/>
                <w:sz w:val="20"/>
                <w:szCs w:val="20"/>
              </w:rPr>
              <w:t>THC</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在下风向 </w:t>
            </w:r>
            <w:r>
              <w:rPr>
                <w:rFonts w:ascii="Times New Roman" w:hAnsi="Times New Roman" w:eastAsia="Times New Roman" w:cs="Times New Roman"/>
                <w:spacing w:val="1"/>
                <w:sz w:val="20"/>
                <w:szCs w:val="20"/>
              </w:rPr>
              <w:t xml:space="preserve">60 </w:t>
            </w:r>
            <w:r>
              <w:rPr>
                <w:rFonts w:ascii="宋体" w:hAnsi="宋体" w:eastAsia="宋体" w:cs="宋体"/>
                <w:spacing w:val="1"/>
                <w:sz w:val="20"/>
                <w:szCs w:val="20"/>
              </w:rPr>
              <w:t xml:space="preserve">米处低于 </w:t>
            </w:r>
            <w:r>
              <w:rPr>
                <w:rFonts w:ascii="Times New Roman" w:hAnsi="Times New Roman" w:eastAsia="Times New Roman" w:cs="Times New Roman"/>
                <w:spacing w:val="1"/>
                <w:sz w:val="20"/>
                <w:szCs w:val="20"/>
              </w:rPr>
              <w:t>0. 16</w:t>
            </w:r>
            <w:r>
              <w:rPr>
                <w:rFonts w:ascii="Times New Roman" w:hAnsi="Times New Roman" w:eastAsia="Times New Roman" w:cs="Times New Roman"/>
                <w:sz w:val="20"/>
                <w:szCs w:val="20"/>
              </w:rPr>
              <w:t>mg</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m</w:t>
            </w:r>
            <w:r>
              <w:rPr>
                <w:rFonts w:ascii="宋体" w:hAnsi="宋体" w:eastAsia="宋体" w:cs="宋体"/>
                <w:spacing w:val="1"/>
                <w:sz w:val="20"/>
                <w:szCs w:val="20"/>
              </w:rPr>
              <w:t>³。满足《大气</w:t>
            </w:r>
            <w:r>
              <w:rPr>
                <w:rFonts w:ascii="宋体" w:hAnsi="宋体" w:eastAsia="宋体" w:cs="宋体"/>
                <w:sz w:val="20"/>
                <w:szCs w:val="20"/>
              </w:rPr>
              <w:t xml:space="preserve"> </w:t>
            </w:r>
            <w:r>
              <w:rPr>
                <w:rFonts w:ascii="宋体" w:hAnsi="宋体" w:eastAsia="宋体" w:cs="宋体"/>
                <w:spacing w:val="2"/>
                <w:sz w:val="20"/>
                <w:szCs w:val="20"/>
              </w:rPr>
              <w:t>污染物综合排放标准》  (</w:t>
            </w:r>
            <w:r>
              <w:rPr>
                <w:rFonts w:ascii="Times New Roman" w:hAnsi="Times New Roman" w:eastAsia="Times New Roman" w:cs="Times New Roman"/>
                <w:sz w:val="20"/>
                <w:szCs w:val="20"/>
              </w:rPr>
              <w:t>GB</w:t>
            </w:r>
            <w:r>
              <w:rPr>
                <w:rFonts w:ascii="Times New Roman" w:hAnsi="Times New Roman" w:eastAsia="Times New Roman" w:cs="Times New Roman"/>
                <w:spacing w:val="2"/>
                <w:sz w:val="20"/>
                <w:szCs w:val="20"/>
              </w:rPr>
              <w:t>16297- 1996</w:t>
            </w:r>
            <w:r>
              <w:rPr>
                <w:rFonts w:ascii="宋体" w:hAnsi="宋体" w:eastAsia="宋体" w:cs="宋体"/>
                <w:spacing w:val="2"/>
                <w:sz w:val="20"/>
                <w:szCs w:val="20"/>
              </w:rPr>
              <w:t xml:space="preserve">) 表 </w:t>
            </w:r>
            <w:r>
              <w:rPr>
                <w:rFonts w:ascii="Times New Roman" w:hAnsi="Times New Roman" w:eastAsia="Times New Roman" w:cs="Times New Roman"/>
                <w:spacing w:val="2"/>
                <w:sz w:val="20"/>
                <w:szCs w:val="20"/>
              </w:rPr>
              <w:t xml:space="preserve">2 </w:t>
            </w:r>
            <w:r>
              <w:rPr>
                <w:rFonts w:ascii="宋体" w:hAnsi="宋体" w:eastAsia="宋体" w:cs="宋体"/>
                <w:spacing w:val="1"/>
                <w:sz w:val="20"/>
                <w:szCs w:val="20"/>
              </w:rPr>
              <w:t>中的二级排放限值。</w:t>
            </w:r>
          </w:p>
          <w:p>
            <w:pPr>
              <w:spacing w:before="14" w:line="228" w:lineRule="auto"/>
              <w:ind w:left="536"/>
              <w:rPr>
                <w:rFonts w:ascii="宋体" w:hAnsi="宋体" w:eastAsia="宋体" w:cs="宋体"/>
                <w:sz w:val="20"/>
                <w:szCs w:val="20"/>
              </w:rPr>
            </w:pPr>
            <w:r>
              <w:rPr>
                <w:rFonts w:ascii="宋体" w:hAnsi="宋体" w:eastAsia="宋体" w:cs="宋体"/>
                <w:spacing w:val="17"/>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7"/>
                <w:sz w:val="20"/>
                <w:szCs w:val="20"/>
              </w:rPr>
              <w:t>5</w:t>
            </w:r>
            <w:r>
              <w:rPr>
                <w:rFonts w:ascii="宋体" w:hAnsi="宋体" w:eastAsia="宋体" w:cs="宋体"/>
                <w:spacing w:val="17"/>
                <w:sz w:val="20"/>
                <w:szCs w:val="20"/>
                <w14:textOutline w14:w="3795" w14:cap="sq" w14:cmpd="sng">
                  <w14:solidFill>
                    <w14:srgbClr w14:val="000000"/>
                  </w14:solidFill>
                  <w14:prstDash w14:val="solid"/>
                  <w14:bevel/>
                </w14:textOutline>
              </w:rPr>
              <w:t>)</w:t>
            </w:r>
            <w:r>
              <w:rPr>
                <w:rFonts w:ascii="宋体" w:hAnsi="宋体" w:eastAsia="宋体" w:cs="宋体"/>
                <w:spacing w:val="17"/>
                <w:sz w:val="20"/>
                <w:szCs w:val="20"/>
              </w:rPr>
              <w:t xml:space="preserve"> </w:t>
            </w:r>
            <w:r>
              <w:rPr>
                <w:rFonts w:ascii="宋体" w:hAnsi="宋体" w:eastAsia="宋体" w:cs="宋体"/>
                <w:spacing w:val="17"/>
                <w:sz w:val="20"/>
                <w:szCs w:val="20"/>
                <w14:textOutline w14:w="3795" w14:cap="sq" w14:cmpd="sng">
                  <w14:solidFill>
                    <w14:srgbClr w14:val="000000"/>
                  </w14:solidFill>
                  <w14:prstDash w14:val="solid"/>
                  <w14:bevel/>
                </w14:textOutline>
              </w:rPr>
              <w:t>桥梁焊接烟</w:t>
            </w:r>
            <w:r>
              <w:rPr>
                <w:rFonts w:ascii="宋体" w:hAnsi="宋体" w:eastAsia="宋体" w:cs="宋体"/>
                <w:spacing w:val="16"/>
                <w:sz w:val="20"/>
                <w:szCs w:val="20"/>
                <w14:textOutline w14:w="3795" w14:cap="sq" w14:cmpd="sng">
                  <w14:solidFill>
                    <w14:srgbClr w14:val="000000"/>
                  </w14:solidFill>
                  <w14:prstDash w14:val="solid"/>
                  <w14:bevel/>
                </w14:textOutline>
              </w:rPr>
              <w:t>气</w:t>
            </w:r>
          </w:p>
          <w:p>
            <w:pPr>
              <w:spacing w:before="157" w:line="367" w:lineRule="auto"/>
              <w:ind w:left="74" w:right="17" w:firstLine="421"/>
              <w:rPr>
                <w:rFonts w:ascii="宋体" w:hAnsi="宋体" w:eastAsia="宋体" w:cs="宋体"/>
                <w:sz w:val="20"/>
                <w:szCs w:val="20"/>
              </w:rPr>
            </w:pPr>
            <w:r>
              <w:rPr>
                <w:rFonts w:ascii="宋体" w:hAnsi="宋体" w:eastAsia="宋体" w:cs="宋体"/>
                <w:spacing w:val="16"/>
                <w:sz w:val="20"/>
                <w:szCs w:val="20"/>
              </w:rPr>
              <w:t>本项目</w:t>
            </w:r>
            <w:r>
              <w:rPr>
                <w:rFonts w:ascii="宋体" w:hAnsi="宋体" w:eastAsia="宋体" w:cs="宋体"/>
                <w:spacing w:val="12"/>
                <w:sz w:val="20"/>
                <w:szCs w:val="20"/>
              </w:rPr>
              <w:t>桥</w:t>
            </w:r>
            <w:r>
              <w:rPr>
                <w:rFonts w:ascii="宋体" w:hAnsi="宋体" w:eastAsia="宋体" w:cs="宋体"/>
                <w:spacing w:val="8"/>
                <w:sz w:val="20"/>
                <w:szCs w:val="20"/>
              </w:rPr>
              <w:t>梁上部结构采用钢结构，下部桥桩钢筋笼等焊接时均会产生焊接烟气，对局</w:t>
            </w:r>
            <w:r>
              <w:rPr>
                <w:rFonts w:ascii="宋体" w:hAnsi="宋体" w:eastAsia="宋体" w:cs="宋体"/>
                <w:sz w:val="20"/>
                <w:szCs w:val="20"/>
              </w:rPr>
              <w:t xml:space="preserve"> </w:t>
            </w:r>
            <w:r>
              <w:rPr>
                <w:rFonts w:ascii="宋体" w:hAnsi="宋体" w:eastAsia="宋体" w:cs="宋体"/>
                <w:spacing w:val="9"/>
                <w:sz w:val="20"/>
                <w:szCs w:val="20"/>
              </w:rPr>
              <w:t>部范围的环境空气有一定影响。焊接烟气中的烟尘是一种十分复杂的物质，已在烟尘中</w:t>
            </w:r>
            <w:r>
              <w:rPr>
                <w:rFonts w:ascii="宋体" w:hAnsi="宋体" w:eastAsia="宋体" w:cs="宋体"/>
                <w:spacing w:val="3"/>
                <w:sz w:val="20"/>
                <w:szCs w:val="20"/>
              </w:rPr>
              <w:t>发</w:t>
            </w:r>
            <w:r>
              <w:rPr>
                <w:rFonts w:ascii="宋体" w:hAnsi="宋体" w:eastAsia="宋体" w:cs="宋体"/>
                <w:sz w:val="20"/>
                <w:szCs w:val="20"/>
              </w:rPr>
              <w:t xml:space="preserve"> </w:t>
            </w:r>
            <w:r>
              <w:rPr>
                <w:rFonts w:ascii="宋体" w:hAnsi="宋体" w:eastAsia="宋体" w:cs="宋体"/>
                <w:spacing w:val="-1"/>
                <w:sz w:val="20"/>
                <w:szCs w:val="20"/>
              </w:rPr>
              <w:t xml:space="preserve">现的元素多达 </w:t>
            </w:r>
            <w:r>
              <w:rPr>
                <w:rFonts w:ascii="Times New Roman" w:hAnsi="Times New Roman" w:eastAsia="Times New Roman" w:cs="Times New Roman"/>
                <w:spacing w:val="-1"/>
                <w:sz w:val="20"/>
                <w:szCs w:val="20"/>
              </w:rPr>
              <w:t xml:space="preserve">20 </w:t>
            </w:r>
            <w:r>
              <w:rPr>
                <w:rFonts w:ascii="宋体" w:hAnsi="宋体" w:eastAsia="宋体" w:cs="宋体"/>
                <w:spacing w:val="-1"/>
                <w:sz w:val="20"/>
                <w:szCs w:val="20"/>
              </w:rPr>
              <w:t>种以上，其中含量最</w:t>
            </w:r>
            <w:r>
              <w:rPr>
                <w:rFonts w:ascii="宋体" w:hAnsi="宋体" w:eastAsia="宋体" w:cs="宋体"/>
                <w:sz w:val="20"/>
                <w:szCs w:val="20"/>
              </w:rPr>
              <w:t xml:space="preserve">多的是 </w:t>
            </w:r>
            <w:r>
              <w:rPr>
                <w:rFonts w:ascii="Times New Roman" w:hAnsi="Times New Roman" w:eastAsia="Times New Roman" w:cs="Times New Roman"/>
                <w:sz w:val="20"/>
                <w:szCs w:val="20"/>
              </w:rPr>
              <w:t xml:space="preserve">Fe </w:t>
            </w:r>
            <w:r>
              <w:rPr>
                <w:rFonts w:ascii="宋体" w:hAnsi="宋体" w:eastAsia="宋体" w:cs="宋体"/>
                <w:sz w:val="20"/>
                <w:szCs w:val="20"/>
              </w:rPr>
              <w:t>、</w:t>
            </w:r>
            <w:r>
              <w:rPr>
                <w:rFonts w:ascii="Times New Roman" w:hAnsi="Times New Roman" w:eastAsia="Times New Roman" w:cs="Times New Roman"/>
                <w:sz w:val="20"/>
                <w:szCs w:val="20"/>
              </w:rPr>
              <w:t xml:space="preserve">Ca </w:t>
            </w:r>
            <w:r>
              <w:rPr>
                <w:rFonts w:ascii="宋体" w:hAnsi="宋体" w:eastAsia="宋体" w:cs="宋体"/>
                <w:sz w:val="20"/>
                <w:szCs w:val="20"/>
              </w:rPr>
              <w:t>、</w:t>
            </w:r>
            <w:r>
              <w:rPr>
                <w:rFonts w:ascii="Times New Roman" w:hAnsi="Times New Roman" w:eastAsia="Times New Roman" w:cs="Times New Roman"/>
                <w:sz w:val="20"/>
                <w:szCs w:val="20"/>
              </w:rPr>
              <w:t xml:space="preserve">Na </w:t>
            </w:r>
            <w:r>
              <w:rPr>
                <w:rFonts w:ascii="宋体" w:hAnsi="宋体" w:eastAsia="宋体" w:cs="宋体"/>
                <w:sz w:val="20"/>
                <w:szCs w:val="20"/>
              </w:rPr>
              <w:t xml:space="preserve">等，其次是 </w:t>
            </w:r>
            <w:r>
              <w:rPr>
                <w:rFonts w:ascii="Times New Roman" w:hAnsi="Times New Roman" w:eastAsia="Times New Roman" w:cs="Times New Roman"/>
                <w:sz w:val="20"/>
                <w:szCs w:val="20"/>
              </w:rPr>
              <w:t xml:space="preserve">Si </w:t>
            </w:r>
            <w:r>
              <w:rPr>
                <w:rFonts w:ascii="宋体" w:hAnsi="宋体" w:eastAsia="宋体" w:cs="宋体"/>
                <w:sz w:val="20"/>
                <w:szCs w:val="20"/>
              </w:rPr>
              <w:t>、</w:t>
            </w:r>
            <w:r>
              <w:rPr>
                <w:rFonts w:ascii="Times New Roman" w:hAnsi="Times New Roman" w:eastAsia="Times New Roman" w:cs="Times New Roman"/>
                <w:sz w:val="20"/>
                <w:szCs w:val="20"/>
              </w:rPr>
              <w:t xml:space="preserve">Al </w:t>
            </w:r>
            <w:r>
              <w:rPr>
                <w:rFonts w:ascii="宋体" w:hAnsi="宋体" w:eastAsia="宋体" w:cs="宋体"/>
                <w:sz w:val="20"/>
                <w:szCs w:val="20"/>
              </w:rPr>
              <w:t>、</w:t>
            </w:r>
            <w:r>
              <w:rPr>
                <w:rFonts w:ascii="Times New Roman" w:hAnsi="Times New Roman" w:eastAsia="Times New Roman" w:cs="Times New Roman"/>
                <w:sz w:val="20"/>
                <w:szCs w:val="20"/>
              </w:rPr>
              <w:t xml:space="preserve">Mn </w:t>
            </w:r>
            <w:r>
              <w:rPr>
                <w:rFonts w:ascii="宋体" w:hAnsi="宋体" w:eastAsia="宋体" w:cs="宋体"/>
                <w:sz w:val="20"/>
                <w:szCs w:val="20"/>
              </w:rPr>
              <w:t>、</w:t>
            </w:r>
            <w:r>
              <w:rPr>
                <w:rFonts w:ascii="Times New Roman" w:hAnsi="Times New Roman" w:eastAsia="Times New Roman" w:cs="Times New Roman"/>
                <w:sz w:val="20"/>
                <w:szCs w:val="20"/>
              </w:rPr>
              <w:t xml:space="preserve">Ti </w:t>
            </w:r>
            <w:r>
              <w:rPr>
                <w:rFonts w:ascii="宋体" w:hAnsi="宋体" w:eastAsia="宋体" w:cs="宋体"/>
                <w:sz w:val="20"/>
                <w:szCs w:val="20"/>
              </w:rPr>
              <w:t xml:space="preserve">、 </w:t>
            </w:r>
            <w:r>
              <w:rPr>
                <w:rFonts w:ascii="Times New Roman" w:hAnsi="Times New Roman" w:eastAsia="Times New Roman" w:cs="Times New Roman"/>
                <w:spacing w:val="-2"/>
                <w:sz w:val="20"/>
                <w:szCs w:val="20"/>
              </w:rPr>
              <w:t>Cu</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等。焊接烟尘中的主要有害物</w:t>
            </w:r>
            <w:r>
              <w:rPr>
                <w:rFonts w:ascii="宋体" w:hAnsi="宋体" w:eastAsia="宋体" w:cs="宋体"/>
                <w:spacing w:val="-3"/>
                <w:sz w:val="20"/>
                <w:szCs w:val="20"/>
              </w:rPr>
              <w:t>质</w:t>
            </w:r>
            <w:r>
              <w:rPr>
                <w:rFonts w:ascii="宋体" w:hAnsi="宋体" w:eastAsia="宋体" w:cs="宋体"/>
                <w:spacing w:val="-2"/>
                <w:sz w:val="20"/>
                <w:szCs w:val="20"/>
              </w:rPr>
              <w:t xml:space="preserve">为 </w:t>
            </w:r>
            <w:r>
              <w:rPr>
                <w:rFonts w:ascii="Times New Roman" w:hAnsi="Times New Roman" w:eastAsia="Times New Roman" w:cs="Times New Roman"/>
                <w:spacing w:val="-2"/>
                <w:sz w:val="20"/>
                <w:szCs w:val="20"/>
              </w:rPr>
              <w:t>Fe</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2"/>
                <w:sz w:val="20"/>
                <w:szCs w:val="20"/>
              </w:rPr>
              <w:t>O</w:t>
            </w:r>
            <w:r>
              <w:rPr>
                <w:rFonts w:ascii="Times New Roman" w:hAnsi="Times New Roman" w:eastAsia="Times New Roman" w:cs="Times New Roman"/>
                <w:spacing w:val="-2"/>
                <w:position w:val="-1"/>
                <w:sz w:val="13"/>
                <w:szCs w:val="13"/>
              </w:rPr>
              <w:t>3</w:t>
            </w:r>
            <w:r>
              <w:rPr>
                <w:rFonts w:ascii="宋体" w:hAnsi="宋体" w:eastAsia="宋体" w:cs="宋体"/>
                <w:spacing w:val="-2"/>
                <w:sz w:val="20"/>
                <w:szCs w:val="20"/>
              </w:rPr>
              <w:t>、</w:t>
            </w:r>
            <w:r>
              <w:rPr>
                <w:rFonts w:ascii="Times New Roman" w:hAnsi="Times New Roman" w:eastAsia="Times New Roman" w:cs="Times New Roman"/>
                <w:spacing w:val="-2"/>
                <w:sz w:val="20"/>
                <w:szCs w:val="20"/>
              </w:rPr>
              <w:t>SiO</w:t>
            </w:r>
            <w:r>
              <w:rPr>
                <w:rFonts w:ascii="Times New Roman" w:hAnsi="Times New Roman" w:eastAsia="Times New Roman" w:cs="Times New Roman"/>
                <w:spacing w:val="-2"/>
                <w:position w:val="-1"/>
                <w:sz w:val="13"/>
                <w:szCs w:val="13"/>
              </w:rPr>
              <w:t>2</w:t>
            </w:r>
            <w:r>
              <w:rPr>
                <w:rFonts w:ascii="宋体" w:hAnsi="宋体" w:eastAsia="宋体" w:cs="宋体"/>
                <w:spacing w:val="-2"/>
                <w:sz w:val="20"/>
                <w:szCs w:val="20"/>
              </w:rPr>
              <w:t>、</w:t>
            </w:r>
            <w:r>
              <w:rPr>
                <w:rFonts w:ascii="Times New Roman" w:hAnsi="Times New Roman" w:eastAsia="Times New Roman" w:cs="Times New Roman"/>
                <w:spacing w:val="-2"/>
                <w:sz w:val="20"/>
                <w:szCs w:val="20"/>
              </w:rPr>
              <w:t>MnO</w:t>
            </w:r>
            <w:r>
              <w:rPr>
                <w:rFonts w:ascii="宋体" w:hAnsi="宋体" w:eastAsia="宋体" w:cs="宋体"/>
                <w:spacing w:val="-2"/>
                <w:sz w:val="20"/>
                <w:szCs w:val="20"/>
              </w:rPr>
              <w:t>、</w:t>
            </w:r>
            <w:r>
              <w:rPr>
                <w:rFonts w:ascii="Times New Roman" w:hAnsi="Times New Roman" w:eastAsia="Times New Roman" w:cs="Times New Roman"/>
                <w:spacing w:val="-2"/>
                <w:sz w:val="20"/>
                <w:szCs w:val="20"/>
              </w:rPr>
              <w:t xml:space="preserve">HF </w:t>
            </w:r>
            <w:r>
              <w:rPr>
                <w:rFonts w:ascii="宋体" w:hAnsi="宋体" w:eastAsia="宋体" w:cs="宋体"/>
                <w:spacing w:val="-2"/>
                <w:sz w:val="20"/>
                <w:szCs w:val="20"/>
              </w:rPr>
              <w:t xml:space="preserve">等，其中含量最多的为 </w:t>
            </w:r>
            <w:r>
              <w:rPr>
                <w:rFonts w:ascii="Times New Roman" w:hAnsi="Times New Roman" w:eastAsia="Times New Roman" w:cs="Times New Roman"/>
                <w:spacing w:val="-2"/>
                <w:sz w:val="20"/>
                <w:szCs w:val="20"/>
              </w:rPr>
              <w:t>Fe</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2"/>
                <w:sz w:val="20"/>
                <w:szCs w:val="20"/>
              </w:rPr>
              <w:t>O</w:t>
            </w:r>
            <w:r>
              <w:rPr>
                <w:rFonts w:ascii="Times New Roman" w:hAnsi="Times New Roman" w:eastAsia="Times New Roman" w:cs="Times New Roman"/>
                <w:spacing w:val="-2"/>
                <w:position w:val="-1"/>
                <w:sz w:val="13"/>
                <w:szCs w:val="13"/>
              </w:rPr>
              <w:t>3</w:t>
            </w:r>
            <w:r>
              <w:rPr>
                <w:rFonts w:ascii="宋体" w:hAnsi="宋体" w:eastAsia="宋体" w:cs="宋体"/>
                <w:spacing w:val="-2"/>
                <w:sz w:val="20"/>
                <w:szCs w:val="20"/>
              </w:rPr>
              <w:t>，</w:t>
            </w:r>
            <w:r>
              <w:rPr>
                <w:rFonts w:ascii="宋体" w:hAnsi="宋体" w:eastAsia="宋体" w:cs="宋体"/>
                <w:sz w:val="20"/>
                <w:szCs w:val="20"/>
              </w:rPr>
              <w:t xml:space="preserve"> </w:t>
            </w:r>
            <w:r>
              <w:rPr>
                <w:rFonts w:ascii="宋体" w:hAnsi="宋体" w:eastAsia="宋体" w:cs="宋体"/>
                <w:spacing w:val="2"/>
                <w:sz w:val="20"/>
                <w:szCs w:val="20"/>
              </w:rPr>
              <w:t xml:space="preserve">一般占烟尘总量的 </w:t>
            </w:r>
            <w:r>
              <w:rPr>
                <w:rFonts w:ascii="Times New Roman" w:hAnsi="Times New Roman" w:eastAsia="Times New Roman" w:cs="Times New Roman"/>
                <w:spacing w:val="2"/>
                <w:sz w:val="20"/>
                <w:szCs w:val="20"/>
              </w:rPr>
              <w:t xml:space="preserve">35.56% </w:t>
            </w:r>
            <w:r>
              <w:rPr>
                <w:rFonts w:ascii="宋体" w:hAnsi="宋体" w:eastAsia="宋体" w:cs="宋体"/>
                <w:spacing w:val="2"/>
                <w:sz w:val="20"/>
                <w:szCs w:val="20"/>
              </w:rPr>
              <w:t xml:space="preserve">，其次是 </w:t>
            </w:r>
            <w:r>
              <w:rPr>
                <w:rFonts w:ascii="Times New Roman" w:hAnsi="Times New Roman" w:eastAsia="Times New Roman" w:cs="Times New Roman"/>
                <w:sz w:val="20"/>
                <w:szCs w:val="20"/>
              </w:rPr>
              <w:t>SiO</w:t>
            </w:r>
            <w:r>
              <w:rPr>
                <w:rFonts w:ascii="Times New Roman" w:hAnsi="Times New Roman" w:eastAsia="Times New Roman" w:cs="Times New Roman"/>
                <w:spacing w:val="2"/>
                <w:position w:val="-1"/>
                <w:sz w:val="13"/>
                <w:szCs w:val="13"/>
              </w:rPr>
              <w:t xml:space="preserve">2 </w:t>
            </w:r>
            <w:r>
              <w:rPr>
                <w:rFonts w:ascii="宋体" w:hAnsi="宋体" w:eastAsia="宋体" w:cs="宋体"/>
                <w:spacing w:val="2"/>
                <w:sz w:val="20"/>
                <w:szCs w:val="20"/>
              </w:rPr>
              <w:t xml:space="preserve">，其含量占 </w:t>
            </w:r>
            <w:r>
              <w:rPr>
                <w:rFonts w:ascii="Times New Roman" w:hAnsi="Times New Roman" w:eastAsia="Times New Roman" w:cs="Times New Roman"/>
                <w:spacing w:val="2"/>
                <w:sz w:val="20"/>
                <w:szCs w:val="20"/>
              </w:rPr>
              <w:t xml:space="preserve">10~20% </w:t>
            </w:r>
            <w:r>
              <w:rPr>
                <w:rFonts w:ascii="宋体" w:hAnsi="宋体" w:eastAsia="宋体" w:cs="宋体"/>
                <w:spacing w:val="2"/>
                <w:sz w:val="20"/>
                <w:szCs w:val="20"/>
              </w:rPr>
              <w:t>，</w:t>
            </w:r>
            <w:r>
              <w:rPr>
                <w:rFonts w:ascii="Times New Roman" w:hAnsi="Times New Roman" w:eastAsia="Times New Roman" w:cs="Times New Roman"/>
                <w:sz w:val="20"/>
                <w:szCs w:val="20"/>
              </w:rPr>
              <w:t>MnO</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占 </w:t>
            </w:r>
            <w:r>
              <w:rPr>
                <w:rFonts w:ascii="Times New Roman" w:hAnsi="Times New Roman" w:eastAsia="Times New Roman" w:cs="Times New Roman"/>
                <w:spacing w:val="2"/>
                <w:sz w:val="20"/>
                <w:szCs w:val="20"/>
              </w:rPr>
              <w:t>5~20%</w:t>
            </w:r>
            <w:r>
              <w:rPr>
                <w:rFonts w:ascii="宋体" w:hAnsi="宋体" w:eastAsia="宋体" w:cs="宋体"/>
                <w:spacing w:val="2"/>
                <w:sz w:val="20"/>
                <w:szCs w:val="20"/>
              </w:rPr>
              <w:t>左右，焊</w:t>
            </w:r>
            <w:r>
              <w:rPr>
                <w:rFonts w:ascii="宋体" w:hAnsi="宋体" w:eastAsia="宋体" w:cs="宋体"/>
                <w:sz w:val="20"/>
                <w:szCs w:val="20"/>
              </w:rPr>
              <w:t xml:space="preserve">接 </w:t>
            </w:r>
            <w:r>
              <w:rPr>
                <w:rFonts w:ascii="宋体" w:hAnsi="宋体" w:eastAsia="宋体" w:cs="宋体"/>
                <w:spacing w:val="6"/>
                <w:sz w:val="20"/>
                <w:szCs w:val="20"/>
              </w:rPr>
              <w:t>烟</w:t>
            </w:r>
            <w:r>
              <w:rPr>
                <w:rFonts w:ascii="宋体" w:hAnsi="宋体" w:eastAsia="宋体" w:cs="宋体"/>
                <w:spacing w:val="4"/>
                <w:sz w:val="20"/>
                <w:szCs w:val="20"/>
              </w:rPr>
              <w:t xml:space="preserve">气中有毒有害气体的成分主要为 </w:t>
            </w:r>
            <w:r>
              <w:rPr>
                <w:rFonts w:ascii="Times New Roman" w:hAnsi="Times New Roman" w:eastAsia="Times New Roman" w:cs="Times New Roman"/>
                <w:sz w:val="20"/>
                <w:szCs w:val="20"/>
              </w:rPr>
              <w:t>CO</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z w:val="20"/>
                <w:szCs w:val="20"/>
              </w:rPr>
              <w:t>CO</w:t>
            </w:r>
            <w:r>
              <w:rPr>
                <w:rFonts w:ascii="Times New Roman" w:hAnsi="Times New Roman" w:eastAsia="Times New Roman" w:cs="Times New Roman"/>
                <w:spacing w:val="4"/>
                <w:position w:val="-1"/>
                <w:sz w:val="13"/>
                <w:szCs w:val="13"/>
              </w:rPr>
              <w:t xml:space="preserve">2 </w:t>
            </w:r>
            <w:r>
              <w:rPr>
                <w:rFonts w:ascii="宋体" w:hAnsi="宋体" w:eastAsia="宋体" w:cs="宋体"/>
                <w:spacing w:val="4"/>
                <w:sz w:val="20"/>
                <w:szCs w:val="20"/>
              </w:rPr>
              <w:t>、</w:t>
            </w:r>
            <w:r>
              <w:rPr>
                <w:rFonts w:ascii="Times New Roman" w:hAnsi="Times New Roman" w:eastAsia="Times New Roman" w:cs="Times New Roman"/>
                <w:sz w:val="20"/>
                <w:szCs w:val="20"/>
              </w:rPr>
              <w:t>O</w:t>
            </w:r>
            <w:r>
              <w:rPr>
                <w:rFonts w:ascii="Times New Roman" w:hAnsi="Times New Roman" w:eastAsia="Times New Roman" w:cs="Times New Roman"/>
                <w:spacing w:val="4"/>
                <w:position w:val="-1"/>
                <w:sz w:val="13"/>
                <w:szCs w:val="13"/>
              </w:rPr>
              <w:t xml:space="preserve">3 </w:t>
            </w:r>
            <w:r>
              <w:rPr>
                <w:rFonts w:ascii="宋体" w:hAnsi="宋体" w:eastAsia="宋体" w:cs="宋体"/>
                <w:spacing w:val="4"/>
                <w:sz w:val="20"/>
                <w:szCs w:val="20"/>
              </w:rPr>
              <w:t>、</w:t>
            </w:r>
            <w:r>
              <w:rPr>
                <w:rFonts w:ascii="Times New Roman" w:hAnsi="Times New Roman" w:eastAsia="Times New Roman" w:cs="Times New Roman"/>
                <w:sz w:val="20"/>
                <w:szCs w:val="20"/>
              </w:rPr>
              <w:t>NOx</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z w:val="20"/>
                <w:szCs w:val="20"/>
              </w:rPr>
              <w:t>CH</w:t>
            </w:r>
            <w:r>
              <w:rPr>
                <w:rFonts w:ascii="Times New Roman" w:hAnsi="Times New Roman" w:eastAsia="Times New Roman" w:cs="Times New Roman"/>
                <w:spacing w:val="4"/>
                <w:position w:val="-1"/>
                <w:sz w:val="13"/>
                <w:szCs w:val="13"/>
              </w:rPr>
              <w:t xml:space="preserve">4 </w:t>
            </w:r>
            <w:r>
              <w:rPr>
                <w:rFonts w:ascii="宋体" w:hAnsi="宋体" w:eastAsia="宋体" w:cs="宋体"/>
                <w:spacing w:val="4"/>
                <w:sz w:val="20"/>
                <w:szCs w:val="20"/>
              </w:rPr>
              <w:t>等，其中以</w:t>
            </w:r>
            <w:r>
              <w:rPr>
                <w:rFonts w:ascii="Times New Roman" w:hAnsi="Times New Roman" w:eastAsia="Times New Roman" w:cs="Times New Roman"/>
                <w:sz w:val="20"/>
                <w:szCs w:val="20"/>
              </w:rPr>
              <w:t>CO</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所占的比例</w:t>
            </w:r>
            <w:r>
              <w:rPr>
                <w:rFonts w:ascii="宋体" w:hAnsi="宋体" w:eastAsia="宋体" w:cs="宋体"/>
                <w:sz w:val="20"/>
                <w:szCs w:val="20"/>
              </w:rPr>
              <w:t xml:space="preserve"> </w:t>
            </w:r>
            <w:r>
              <w:rPr>
                <w:rFonts w:ascii="宋体" w:hAnsi="宋体" w:eastAsia="宋体" w:cs="宋体"/>
                <w:spacing w:val="9"/>
                <w:sz w:val="20"/>
                <w:szCs w:val="20"/>
              </w:rPr>
              <w:t>最大，对区域环境空气会有一定的影响</w:t>
            </w:r>
            <w:r>
              <w:rPr>
                <w:rFonts w:ascii="宋体" w:hAnsi="宋体" w:eastAsia="宋体" w:cs="宋体"/>
                <w:spacing w:val="8"/>
                <w:sz w:val="20"/>
                <w:szCs w:val="20"/>
              </w:rPr>
              <w:t>。</w:t>
            </w:r>
          </w:p>
          <w:p>
            <w:pPr>
              <w:spacing w:before="12" w:line="378" w:lineRule="exact"/>
              <w:ind w:left="495"/>
              <w:rPr>
                <w:rFonts w:ascii="宋体" w:hAnsi="宋体" w:eastAsia="宋体" w:cs="宋体"/>
                <w:sz w:val="20"/>
                <w:szCs w:val="20"/>
              </w:rPr>
            </w:pPr>
            <w:r>
              <w:rPr>
                <w:rFonts w:ascii="宋体" w:hAnsi="宋体" w:eastAsia="宋体" w:cs="宋体"/>
                <w:spacing w:val="18"/>
                <w:position w:val="13"/>
                <w:sz w:val="20"/>
                <w:szCs w:val="20"/>
              </w:rPr>
              <w:t>根</w:t>
            </w:r>
            <w:r>
              <w:rPr>
                <w:rFonts w:ascii="宋体" w:hAnsi="宋体" w:eastAsia="宋体" w:cs="宋体"/>
                <w:spacing w:val="12"/>
                <w:position w:val="13"/>
                <w:sz w:val="20"/>
                <w:szCs w:val="20"/>
              </w:rPr>
              <w:t>据</w:t>
            </w:r>
            <w:r>
              <w:rPr>
                <w:rFonts w:ascii="宋体" w:hAnsi="宋体" w:eastAsia="宋体" w:cs="宋体"/>
                <w:spacing w:val="9"/>
                <w:position w:val="13"/>
                <w:sz w:val="20"/>
                <w:szCs w:val="20"/>
              </w:rPr>
              <w:t>类似工程施工现场监测结果，本工程施工期间大气污染源特性详见下表。</w:t>
            </w:r>
          </w:p>
          <w:p>
            <w:pPr>
              <w:spacing w:before="1" w:line="229" w:lineRule="auto"/>
              <w:ind w:left="2953"/>
              <w:rPr>
                <w:rFonts w:ascii="黑体" w:hAnsi="黑体" w:eastAsia="黑体" w:cs="黑体"/>
                <w:sz w:val="19"/>
                <w:szCs w:val="19"/>
              </w:rPr>
            </w:pPr>
            <w:r>
              <w:rPr>
                <w:rFonts w:ascii="黑体" w:hAnsi="黑体" w:eastAsia="黑体" w:cs="黑体"/>
                <w:spacing w:val="12"/>
                <w:sz w:val="19"/>
                <w:szCs w:val="19"/>
              </w:rPr>
              <w:t>表</w:t>
            </w:r>
            <w:r>
              <w:rPr>
                <w:rFonts w:ascii="Times New Roman" w:hAnsi="Times New Roman" w:eastAsia="Times New Roman" w:cs="Times New Roman"/>
                <w:spacing w:val="12"/>
                <w:sz w:val="19"/>
                <w:szCs w:val="19"/>
              </w:rPr>
              <w:t>4</w:t>
            </w:r>
            <w:r>
              <w:rPr>
                <w:rFonts w:ascii="Times New Roman" w:hAnsi="Times New Roman" w:eastAsia="Times New Roman" w:cs="Times New Roman"/>
                <w:spacing w:val="6"/>
                <w:sz w:val="19"/>
                <w:szCs w:val="19"/>
              </w:rPr>
              <w:t xml:space="preserve">0    </w:t>
            </w:r>
            <w:r>
              <w:rPr>
                <w:rFonts w:ascii="黑体" w:hAnsi="黑体" w:eastAsia="黑体" w:cs="黑体"/>
                <w:spacing w:val="6"/>
                <w:sz w:val="19"/>
                <w:szCs w:val="19"/>
              </w:rPr>
              <w:t>施工期空气污染源强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45" w:type="dxa"/>
            <w:vMerge w:val="continue"/>
            <w:tcBorders>
              <w:top w:val="nil"/>
              <w:left w:val="single" w:color="000000" w:sz="6" w:space="0"/>
              <w:bottom w:val="nil"/>
            </w:tcBorders>
            <w:vAlign w:val="top"/>
          </w:tcPr>
          <w:p>
            <w:pPr>
              <w:rPr>
                <w:rFonts w:ascii="Arial"/>
                <w:sz w:val="21"/>
              </w:rPr>
            </w:pPr>
          </w:p>
        </w:tc>
        <w:tc>
          <w:tcPr>
            <w:tcW w:w="2484" w:type="dxa"/>
            <w:vMerge w:val="restart"/>
            <w:tcBorders>
              <w:bottom w:val="nil"/>
            </w:tcBorders>
            <w:vAlign w:val="top"/>
          </w:tcPr>
          <w:p>
            <w:pPr>
              <w:spacing w:before="217" w:line="231" w:lineRule="auto"/>
              <w:ind w:left="971"/>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施工行为</w:t>
            </w:r>
          </w:p>
        </w:tc>
        <w:tc>
          <w:tcPr>
            <w:tcW w:w="1503" w:type="dxa"/>
            <w:vMerge w:val="restart"/>
            <w:tcBorders>
              <w:bottom w:val="nil"/>
            </w:tcBorders>
            <w:vAlign w:val="top"/>
          </w:tcPr>
          <w:p>
            <w:pPr>
              <w:spacing w:before="218" w:line="230" w:lineRule="auto"/>
              <w:ind w:left="303"/>
              <w:rPr>
                <w:rFonts w:ascii="宋体" w:hAnsi="宋体" w:eastAsia="宋体" w:cs="宋体"/>
                <w:sz w:val="17"/>
                <w:szCs w:val="17"/>
              </w:rPr>
            </w:pPr>
            <w:r>
              <w:rPr>
                <w:rFonts w:ascii="宋体" w:hAnsi="宋体" w:eastAsia="宋体" w:cs="宋体"/>
                <w:spacing w:val="11"/>
                <w:sz w:val="17"/>
                <w:szCs w:val="17"/>
                <w14:textOutline w14:w="3268" w14:cap="sq" w14:cmpd="sng">
                  <w14:solidFill>
                    <w14:srgbClr w14:val="000000"/>
                  </w14:solidFill>
                  <w14:prstDash w14:val="solid"/>
                  <w14:bevel/>
                </w14:textOutline>
              </w:rPr>
              <w:t>污</w:t>
            </w:r>
            <w:r>
              <w:rPr>
                <w:rFonts w:ascii="宋体" w:hAnsi="宋体" w:eastAsia="宋体" w:cs="宋体"/>
                <w:spacing w:val="8"/>
                <w:sz w:val="17"/>
                <w:szCs w:val="17"/>
                <w14:textOutline w14:w="3268" w14:cap="sq" w14:cmpd="sng">
                  <w14:solidFill>
                    <w14:srgbClr w14:val="000000"/>
                  </w14:solidFill>
                  <w14:prstDash w14:val="solid"/>
                  <w14:bevel/>
                </w14:textOutline>
              </w:rPr>
              <w:t>染物种类</w:t>
            </w:r>
          </w:p>
        </w:tc>
        <w:tc>
          <w:tcPr>
            <w:tcW w:w="4121" w:type="dxa"/>
            <w:gridSpan w:val="4"/>
            <w:vAlign w:val="top"/>
          </w:tcPr>
          <w:p>
            <w:pPr>
              <w:spacing w:before="39" w:line="242" w:lineRule="exact"/>
              <w:ind w:left="931"/>
              <w:rPr>
                <w:rFonts w:ascii="宋体" w:hAnsi="宋体" w:eastAsia="宋体" w:cs="宋体"/>
                <w:sz w:val="17"/>
                <w:szCs w:val="17"/>
              </w:rPr>
            </w:pPr>
            <w:r>
              <w:rPr>
                <w:rFonts w:ascii="宋体" w:hAnsi="宋体" w:eastAsia="宋体" w:cs="宋体"/>
                <w:spacing w:val="10"/>
                <w:position w:val="2"/>
                <w:sz w:val="17"/>
                <w:szCs w:val="17"/>
                <w14:textOutline w14:w="3268" w14:cap="sq" w14:cmpd="sng">
                  <w14:solidFill>
                    <w14:srgbClr w14:val="000000"/>
                  </w14:solidFill>
                  <w14:prstDash w14:val="solid"/>
                  <w14:bevel/>
                </w14:textOutline>
              </w:rPr>
              <w:t>下</w:t>
            </w:r>
            <w:r>
              <w:rPr>
                <w:rFonts w:ascii="宋体" w:hAnsi="宋体" w:eastAsia="宋体" w:cs="宋体"/>
                <w:spacing w:val="5"/>
                <w:position w:val="2"/>
                <w:sz w:val="17"/>
                <w:szCs w:val="17"/>
                <w14:textOutline w14:w="3268" w14:cap="sq" w14:cmpd="sng">
                  <w14:solidFill>
                    <w14:srgbClr w14:val="000000"/>
                  </w14:solidFill>
                  <w14:prstDash w14:val="solid"/>
                  <w14:bevel/>
                </w14:textOutline>
              </w:rPr>
              <w:t>风向污染物浓度</w:t>
            </w:r>
            <w:r>
              <w:rPr>
                <w:rFonts w:ascii="宋体" w:hAnsi="宋体" w:eastAsia="宋体" w:cs="宋体"/>
                <w:spacing w:val="5"/>
                <w:position w:val="2"/>
                <w:sz w:val="17"/>
                <w:szCs w:val="17"/>
              </w:rPr>
              <w:t xml:space="preserve"> </w:t>
            </w:r>
            <w:r>
              <w:rPr>
                <w:rFonts w:ascii="宋体" w:hAnsi="宋体" w:eastAsia="宋体" w:cs="宋体"/>
                <w:spacing w:val="5"/>
                <w:position w:val="2"/>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position w:val="2"/>
                <w:sz w:val="17"/>
                <w:szCs w:val="17"/>
              </w:rPr>
              <w:t>mg</w:t>
            </w:r>
            <w:r>
              <w:rPr>
                <w:rFonts w:ascii="Times New Roman" w:hAnsi="Times New Roman" w:eastAsia="Times New Roman" w:cs="Times New Roman"/>
                <w:spacing w:val="5"/>
                <w:position w:val="2"/>
                <w:sz w:val="17"/>
                <w:szCs w:val="17"/>
              </w:rPr>
              <w:t>/</w:t>
            </w:r>
            <w:r>
              <w:rPr>
                <w:rFonts w:ascii="Times New Roman" w:hAnsi="Times New Roman" w:eastAsia="Times New Roman" w:cs="Times New Roman"/>
                <w:position w:val="2"/>
                <w:sz w:val="17"/>
                <w:szCs w:val="17"/>
              </w:rPr>
              <w:t>m</w:t>
            </w:r>
            <w:r>
              <w:rPr>
                <w:rFonts w:ascii="Arial" w:hAnsi="Arial" w:eastAsia="Arial" w:cs="Arial"/>
                <w:spacing w:val="5"/>
                <w:position w:val="2"/>
                <w:sz w:val="17"/>
                <w:szCs w:val="17"/>
              </w:rPr>
              <w:t>3</w:t>
            </w:r>
            <w:r>
              <w:rPr>
                <w:rFonts w:ascii="宋体" w:hAnsi="宋体" w:eastAsia="宋体" w:cs="宋体"/>
                <w:spacing w:val="5"/>
                <w:position w:val="2"/>
                <w:sz w:val="17"/>
                <w:szCs w:val="17"/>
                <w14:textOutline w14:w="3268" w14:cap="sq" w14:cmpd="sng">
                  <w14:solidFill>
                    <w14:srgbClr w14:val="000000"/>
                  </w14:solidFill>
                  <w14:prstDash w14:val="solid"/>
                  <w14:bevel/>
                </w14:textOutline>
              </w:rPr>
              <w:t>)</w:t>
            </w:r>
          </w:p>
        </w:tc>
        <w:tc>
          <w:tcPr>
            <w:tcW w:w="194"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45" w:type="dxa"/>
            <w:vMerge w:val="continue"/>
            <w:tcBorders>
              <w:top w:val="nil"/>
              <w:left w:val="single" w:color="000000" w:sz="6" w:space="0"/>
              <w:bottom w:val="nil"/>
            </w:tcBorders>
            <w:vAlign w:val="top"/>
          </w:tcPr>
          <w:p>
            <w:pPr>
              <w:rPr>
                <w:rFonts w:ascii="Arial"/>
                <w:sz w:val="21"/>
              </w:rPr>
            </w:pPr>
          </w:p>
        </w:tc>
        <w:tc>
          <w:tcPr>
            <w:tcW w:w="2484" w:type="dxa"/>
            <w:vMerge w:val="continue"/>
            <w:tcBorders>
              <w:top w:val="nil"/>
            </w:tcBorders>
            <w:vAlign w:val="top"/>
          </w:tcPr>
          <w:p>
            <w:pPr>
              <w:rPr>
                <w:rFonts w:ascii="Arial"/>
                <w:sz w:val="21"/>
              </w:rPr>
            </w:pPr>
          </w:p>
        </w:tc>
        <w:tc>
          <w:tcPr>
            <w:tcW w:w="1503" w:type="dxa"/>
            <w:vMerge w:val="continue"/>
            <w:tcBorders>
              <w:top w:val="nil"/>
            </w:tcBorders>
            <w:vAlign w:val="top"/>
          </w:tcPr>
          <w:p>
            <w:pPr>
              <w:rPr>
                <w:rFonts w:ascii="Arial"/>
                <w:sz w:val="21"/>
              </w:rPr>
            </w:pPr>
          </w:p>
        </w:tc>
        <w:tc>
          <w:tcPr>
            <w:tcW w:w="996" w:type="dxa"/>
            <w:vAlign w:val="top"/>
          </w:tcPr>
          <w:p>
            <w:pPr>
              <w:spacing w:before="102" w:line="197" w:lineRule="auto"/>
              <w:ind w:left="336"/>
              <w:rPr>
                <w:rFonts w:ascii="Times New Roman" w:hAnsi="Times New Roman" w:eastAsia="Times New Roman" w:cs="Times New Roman"/>
                <w:sz w:val="17"/>
                <w:szCs w:val="17"/>
              </w:rPr>
            </w:pPr>
            <w:r>
              <w:rPr>
                <w:rFonts w:ascii="Times New Roman" w:hAnsi="Times New Roman" w:eastAsia="Times New Roman" w:cs="Times New Roman"/>
                <w:b/>
                <w:bCs/>
                <w:spacing w:val="6"/>
                <w:sz w:val="17"/>
                <w:szCs w:val="17"/>
              </w:rPr>
              <w:t>50</w:t>
            </w:r>
            <w:r>
              <w:rPr>
                <w:rFonts w:ascii="Times New Roman" w:hAnsi="Times New Roman" w:eastAsia="Times New Roman" w:cs="Times New Roman"/>
                <w:b/>
                <w:bCs/>
                <w:sz w:val="17"/>
                <w:szCs w:val="17"/>
              </w:rPr>
              <w:t>m</w:t>
            </w:r>
          </w:p>
        </w:tc>
        <w:tc>
          <w:tcPr>
            <w:tcW w:w="1061" w:type="dxa"/>
            <w:vAlign w:val="top"/>
          </w:tcPr>
          <w:p>
            <w:pPr>
              <w:spacing w:before="102" w:line="197" w:lineRule="auto"/>
              <w:ind w:left="370"/>
              <w:rPr>
                <w:rFonts w:ascii="Times New Roman" w:hAnsi="Times New Roman" w:eastAsia="Times New Roman" w:cs="Times New Roman"/>
                <w:sz w:val="17"/>
                <w:szCs w:val="17"/>
              </w:rPr>
            </w:pPr>
            <w:r>
              <w:rPr>
                <w:rFonts w:ascii="Times New Roman" w:hAnsi="Times New Roman" w:eastAsia="Times New Roman" w:cs="Times New Roman"/>
                <w:b/>
                <w:bCs/>
                <w:spacing w:val="6"/>
                <w:sz w:val="17"/>
                <w:szCs w:val="17"/>
              </w:rPr>
              <w:t>6</w:t>
            </w:r>
            <w:r>
              <w:rPr>
                <w:rFonts w:ascii="Times New Roman" w:hAnsi="Times New Roman" w:eastAsia="Times New Roman" w:cs="Times New Roman"/>
                <w:b/>
                <w:bCs/>
                <w:spacing w:val="5"/>
                <w:sz w:val="17"/>
                <w:szCs w:val="17"/>
              </w:rPr>
              <w:t>0</w:t>
            </w:r>
            <w:r>
              <w:rPr>
                <w:rFonts w:ascii="Times New Roman" w:hAnsi="Times New Roman" w:eastAsia="Times New Roman" w:cs="Times New Roman"/>
                <w:b/>
                <w:bCs/>
                <w:sz w:val="17"/>
                <w:szCs w:val="17"/>
              </w:rPr>
              <w:t>m</w:t>
            </w:r>
          </w:p>
        </w:tc>
        <w:tc>
          <w:tcPr>
            <w:tcW w:w="1030" w:type="dxa"/>
            <w:vAlign w:val="top"/>
          </w:tcPr>
          <w:p>
            <w:pPr>
              <w:spacing w:before="102" w:line="197" w:lineRule="auto"/>
              <w:ind w:left="318"/>
              <w:rPr>
                <w:rFonts w:ascii="Times New Roman" w:hAnsi="Times New Roman" w:eastAsia="Times New Roman" w:cs="Times New Roman"/>
                <w:sz w:val="17"/>
                <w:szCs w:val="17"/>
              </w:rPr>
            </w:pPr>
            <w:r>
              <w:rPr>
                <w:rFonts w:ascii="Times New Roman" w:hAnsi="Times New Roman" w:eastAsia="Times New Roman" w:cs="Times New Roman"/>
                <w:b/>
                <w:bCs/>
                <w:spacing w:val="4"/>
                <w:sz w:val="17"/>
                <w:szCs w:val="17"/>
              </w:rPr>
              <w:t>100</w:t>
            </w:r>
            <w:r>
              <w:rPr>
                <w:rFonts w:ascii="Times New Roman" w:hAnsi="Times New Roman" w:eastAsia="Times New Roman" w:cs="Times New Roman"/>
                <w:b/>
                <w:bCs/>
                <w:sz w:val="17"/>
                <w:szCs w:val="17"/>
              </w:rPr>
              <w:t>m</w:t>
            </w:r>
          </w:p>
        </w:tc>
        <w:tc>
          <w:tcPr>
            <w:tcW w:w="1034" w:type="dxa"/>
            <w:vAlign w:val="top"/>
          </w:tcPr>
          <w:p>
            <w:pPr>
              <w:spacing w:before="102" w:line="197" w:lineRule="auto"/>
              <w:ind w:left="322"/>
              <w:rPr>
                <w:rFonts w:ascii="Times New Roman" w:hAnsi="Times New Roman" w:eastAsia="Times New Roman" w:cs="Times New Roman"/>
                <w:sz w:val="17"/>
                <w:szCs w:val="17"/>
              </w:rPr>
            </w:pPr>
            <w:r>
              <w:rPr>
                <w:rFonts w:ascii="Times New Roman" w:hAnsi="Times New Roman" w:eastAsia="Times New Roman" w:cs="Times New Roman"/>
                <w:b/>
                <w:bCs/>
                <w:spacing w:val="4"/>
                <w:sz w:val="17"/>
                <w:szCs w:val="17"/>
              </w:rPr>
              <w:t>150</w:t>
            </w:r>
            <w:r>
              <w:rPr>
                <w:rFonts w:ascii="Times New Roman" w:hAnsi="Times New Roman" w:eastAsia="Times New Roman" w:cs="Times New Roman"/>
                <w:b/>
                <w:bCs/>
                <w:sz w:val="17"/>
                <w:szCs w:val="17"/>
              </w:rPr>
              <w:t>m</w:t>
            </w:r>
          </w:p>
        </w:tc>
        <w:tc>
          <w:tcPr>
            <w:tcW w:w="19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45" w:type="dxa"/>
            <w:vMerge w:val="continue"/>
            <w:tcBorders>
              <w:top w:val="nil"/>
              <w:left w:val="single" w:color="000000" w:sz="6" w:space="0"/>
              <w:bottom w:val="nil"/>
            </w:tcBorders>
            <w:vAlign w:val="top"/>
          </w:tcPr>
          <w:p>
            <w:pPr>
              <w:rPr>
                <w:rFonts w:ascii="Arial"/>
                <w:sz w:val="21"/>
              </w:rPr>
            </w:pPr>
          </w:p>
        </w:tc>
        <w:tc>
          <w:tcPr>
            <w:tcW w:w="2484" w:type="dxa"/>
            <w:vAlign w:val="top"/>
          </w:tcPr>
          <w:p>
            <w:pPr>
              <w:spacing w:before="72" w:line="229" w:lineRule="auto"/>
              <w:ind w:left="342"/>
              <w:rPr>
                <w:rFonts w:ascii="宋体" w:hAnsi="宋体" w:eastAsia="宋体" w:cs="宋体"/>
                <w:sz w:val="17"/>
                <w:szCs w:val="17"/>
              </w:rPr>
            </w:pPr>
            <w:r>
              <w:rPr>
                <w:rFonts w:ascii="宋体" w:hAnsi="宋体" w:eastAsia="宋体" w:cs="宋体"/>
                <w:spacing w:val="13"/>
                <w:sz w:val="17"/>
                <w:szCs w:val="17"/>
              </w:rPr>
              <w:t>施</w:t>
            </w:r>
            <w:r>
              <w:rPr>
                <w:rFonts w:ascii="宋体" w:hAnsi="宋体" w:eastAsia="宋体" w:cs="宋体"/>
                <w:spacing w:val="9"/>
                <w:sz w:val="17"/>
                <w:szCs w:val="17"/>
              </w:rPr>
              <w:t>工机械、施工运输车辆</w:t>
            </w:r>
          </w:p>
        </w:tc>
        <w:tc>
          <w:tcPr>
            <w:tcW w:w="1503" w:type="dxa"/>
            <w:vAlign w:val="top"/>
          </w:tcPr>
          <w:p>
            <w:pPr>
              <w:spacing w:before="106" w:line="199" w:lineRule="auto"/>
              <w:ind w:left="562"/>
              <w:rPr>
                <w:rFonts w:ascii="Times New Roman" w:hAnsi="Times New Roman" w:eastAsia="Times New Roman" w:cs="Times New Roman"/>
                <w:sz w:val="11"/>
                <w:szCs w:val="11"/>
              </w:rPr>
            </w:pPr>
            <w:r>
              <w:rPr>
                <w:rFonts w:ascii="Times New Roman" w:hAnsi="Times New Roman" w:eastAsia="Times New Roman" w:cs="Times New Roman"/>
                <w:sz w:val="17"/>
                <w:szCs w:val="17"/>
              </w:rPr>
              <w:t>PM</w:t>
            </w:r>
            <w:r>
              <w:rPr>
                <w:rFonts w:ascii="Times New Roman" w:hAnsi="Times New Roman" w:eastAsia="Times New Roman" w:cs="Times New Roman"/>
                <w:spacing w:val="8"/>
                <w:position w:val="-1"/>
                <w:sz w:val="11"/>
                <w:szCs w:val="11"/>
              </w:rPr>
              <w:t>1</w:t>
            </w:r>
            <w:r>
              <w:rPr>
                <w:rFonts w:ascii="Times New Roman" w:hAnsi="Times New Roman" w:eastAsia="Times New Roman" w:cs="Times New Roman"/>
                <w:spacing w:val="7"/>
                <w:position w:val="-1"/>
                <w:sz w:val="11"/>
                <w:szCs w:val="11"/>
              </w:rPr>
              <w:t>0</w:t>
            </w:r>
          </w:p>
        </w:tc>
        <w:tc>
          <w:tcPr>
            <w:tcW w:w="996" w:type="dxa"/>
            <w:vAlign w:val="top"/>
          </w:tcPr>
          <w:p>
            <w:pPr>
              <w:spacing w:before="103" w:line="197" w:lineRule="auto"/>
              <w:ind w:left="30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8</w:t>
            </w:r>
            <w:r>
              <w:rPr>
                <w:rFonts w:ascii="Times New Roman" w:hAnsi="Times New Roman" w:eastAsia="Times New Roman" w:cs="Times New Roman"/>
                <w:spacing w:val="3"/>
                <w:sz w:val="17"/>
                <w:szCs w:val="17"/>
              </w:rPr>
              <w:t>.</w:t>
            </w:r>
            <w:r>
              <w:rPr>
                <w:rFonts w:ascii="Times New Roman" w:hAnsi="Times New Roman" w:eastAsia="Times New Roman" w:cs="Times New Roman"/>
                <w:spacing w:val="2"/>
                <w:sz w:val="17"/>
                <w:szCs w:val="17"/>
              </w:rPr>
              <w:t>625</w:t>
            </w:r>
          </w:p>
        </w:tc>
        <w:tc>
          <w:tcPr>
            <w:tcW w:w="1061" w:type="dxa"/>
            <w:vAlign w:val="top"/>
          </w:tcPr>
          <w:p>
            <w:pPr>
              <w:spacing w:before="39" w:line="243" w:lineRule="exact"/>
              <w:ind w:left="503"/>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030" w:type="dxa"/>
            <w:vAlign w:val="top"/>
          </w:tcPr>
          <w:p>
            <w:pPr>
              <w:spacing w:before="103" w:line="197" w:lineRule="auto"/>
              <w:ind w:left="32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6</w:t>
            </w:r>
            <w:r>
              <w:rPr>
                <w:rFonts w:ascii="Times New Roman" w:hAnsi="Times New Roman" w:eastAsia="Times New Roman" w:cs="Times New Roman"/>
                <w:spacing w:val="3"/>
                <w:sz w:val="17"/>
                <w:szCs w:val="17"/>
              </w:rPr>
              <w:t>.694</w:t>
            </w:r>
          </w:p>
        </w:tc>
        <w:tc>
          <w:tcPr>
            <w:tcW w:w="1034" w:type="dxa"/>
            <w:vAlign w:val="top"/>
          </w:tcPr>
          <w:p>
            <w:pPr>
              <w:spacing w:before="103" w:line="200" w:lineRule="auto"/>
              <w:ind w:left="32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2.093</w:t>
            </w:r>
          </w:p>
        </w:tc>
        <w:tc>
          <w:tcPr>
            <w:tcW w:w="19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45" w:type="dxa"/>
            <w:vMerge w:val="continue"/>
            <w:tcBorders>
              <w:top w:val="nil"/>
              <w:left w:val="single" w:color="000000" w:sz="6" w:space="0"/>
              <w:bottom w:val="nil"/>
            </w:tcBorders>
            <w:vAlign w:val="top"/>
          </w:tcPr>
          <w:p>
            <w:pPr>
              <w:rPr>
                <w:rFonts w:ascii="Arial"/>
                <w:sz w:val="21"/>
              </w:rPr>
            </w:pPr>
          </w:p>
        </w:tc>
        <w:tc>
          <w:tcPr>
            <w:tcW w:w="2484" w:type="dxa"/>
            <w:vAlign w:val="top"/>
          </w:tcPr>
          <w:p>
            <w:pPr>
              <w:spacing w:before="73" w:line="217" w:lineRule="auto"/>
              <w:ind w:left="973"/>
              <w:rPr>
                <w:rFonts w:ascii="宋体" w:hAnsi="宋体" w:eastAsia="宋体" w:cs="宋体"/>
                <w:sz w:val="17"/>
                <w:szCs w:val="17"/>
              </w:rPr>
            </w:pPr>
            <w:r>
              <w:rPr>
                <w:rFonts w:ascii="宋体" w:hAnsi="宋体" w:eastAsia="宋体" w:cs="宋体"/>
                <w:spacing w:val="9"/>
                <w:sz w:val="17"/>
                <w:szCs w:val="17"/>
              </w:rPr>
              <w:t>施</w:t>
            </w:r>
            <w:r>
              <w:rPr>
                <w:rFonts w:ascii="宋体" w:hAnsi="宋体" w:eastAsia="宋体" w:cs="宋体"/>
                <w:spacing w:val="8"/>
                <w:sz w:val="17"/>
                <w:szCs w:val="17"/>
              </w:rPr>
              <w:t>工场地</w:t>
            </w:r>
          </w:p>
        </w:tc>
        <w:tc>
          <w:tcPr>
            <w:tcW w:w="1503" w:type="dxa"/>
            <w:vAlign w:val="top"/>
          </w:tcPr>
          <w:p>
            <w:pPr>
              <w:spacing w:before="103" w:line="197" w:lineRule="auto"/>
              <w:ind w:left="59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T</w:t>
            </w:r>
            <w:r>
              <w:rPr>
                <w:rFonts w:ascii="Times New Roman" w:hAnsi="Times New Roman" w:eastAsia="Times New Roman" w:cs="Times New Roman"/>
                <w:spacing w:val="3"/>
                <w:sz w:val="17"/>
                <w:szCs w:val="17"/>
              </w:rPr>
              <w:t>SP</w:t>
            </w:r>
          </w:p>
        </w:tc>
        <w:tc>
          <w:tcPr>
            <w:tcW w:w="996" w:type="dxa"/>
            <w:vAlign w:val="top"/>
          </w:tcPr>
          <w:p>
            <w:pPr>
              <w:spacing w:before="103" w:line="197" w:lineRule="auto"/>
              <w:ind w:left="39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8 9</w:t>
            </w:r>
          </w:p>
        </w:tc>
        <w:tc>
          <w:tcPr>
            <w:tcW w:w="1061" w:type="dxa"/>
            <w:vAlign w:val="top"/>
          </w:tcPr>
          <w:p>
            <w:pPr>
              <w:spacing w:before="40" w:line="232" w:lineRule="exact"/>
              <w:ind w:left="503"/>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030" w:type="dxa"/>
            <w:vAlign w:val="top"/>
          </w:tcPr>
          <w:p>
            <w:pPr>
              <w:spacing w:before="103" w:line="197" w:lineRule="auto"/>
              <w:ind w:left="38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1 6</w:t>
            </w:r>
            <w:r>
              <w:rPr>
                <w:rFonts w:ascii="Times New Roman" w:hAnsi="Times New Roman" w:eastAsia="Times New Roman" w:cs="Times New Roman"/>
                <w:sz w:val="17"/>
                <w:szCs w:val="17"/>
              </w:rPr>
              <w:t>5</w:t>
            </w:r>
          </w:p>
        </w:tc>
        <w:tc>
          <w:tcPr>
            <w:tcW w:w="1034" w:type="dxa"/>
            <w:vAlign w:val="top"/>
          </w:tcPr>
          <w:p>
            <w:pPr>
              <w:spacing w:before="40" w:line="232" w:lineRule="exact"/>
              <w:ind w:left="49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9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645" w:type="dxa"/>
            <w:vMerge w:val="continue"/>
            <w:tcBorders>
              <w:top w:val="nil"/>
              <w:left w:val="single" w:color="000000" w:sz="6" w:space="0"/>
              <w:bottom w:val="nil"/>
            </w:tcBorders>
            <w:vAlign w:val="top"/>
          </w:tcPr>
          <w:p>
            <w:pPr>
              <w:rPr>
                <w:rFonts w:ascii="Arial"/>
                <w:sz w:val="21"/>
              </w:rPr>
            </w:pPr>
          </w:p>
        </w:tc>
        <w:tc>
          <w:tcPr>
            <w:tcW w:w="2484" w:type="dxa"/>
            <w:vMerge w:val="restart"/>
            <w:tcBorders>
              <w:bottom w:val="nil"/>
            </w:tcBorders>
            <w:vAlign w:val="top"/>
          </w:tcPr>
          <w:p>
            <w:pPr>
              <w:spacing w:line="318" w:lineRule="auto"/>
              <w:rPr>
                <w:rFonts w:ascii="Arial"/>
                <w:sz w:val="21"/>
              </w:rPr>
            </w:pPr>
          </w:p>
          <w:p>
            <w:pPr>
              <w:spacing w:before="56" w:line="229" w:lineRule="auto"/>
              <w:ind w:left="973"/>
              <w:rPr>
                <w:rFonts w:ascii="宋体" w:hAnsi="宋体" w:eastAsia="宋体" w:cs="宋体"/>
                <w:sz w:val="17"/>
                <w:szCs w:val="17"/>
              </w:rPr>
            </w:pPr>
            <w:r>
              <w:rPr>
                <w:rFonts w:ascii="宋体" w:hAnsi="宋体" w:eastAsia="宋体" w:cs="宋体"/>
                <w:spacing w:val="9"/>
                <w:sz w:val="17"/>
                <w:szCs w:val="17"/>
              </w:rPr>
              <w:t>铺</w:t>
            </w:r>
            <w:r>
              <w:rPr>
                <w:rFonts w:ascii="宋体" w:hAnsi="宋体" w:eastAsia="宋体" w:cs="宋体"/>
                <w:spacing w:val="8"/>
                <w:sz w:val="17"/>
                <w:szCs w:val="17"/>
              </w:rPr>
              <w:t>设沥青</w:t>
            </w:r>
          </w:p>
        </w:tc>
        <w:tc>
          <w:tcPr>
            <w:tcW w:w="1503" w:type="dxa"/>
            <w:vAlign w:val="top"/>
          </w:tcPr>
          <w:p>
            <w:pPr>
              <w:spacing w:before="52" w:line="237" w:lineRule="exact"/>
              <w:ind w:left="385"/>
              <w:rPr>
                <w:rFonts w:ascii="Times New Roman" w:hAnsi="Times New Roman" w:eastAsia="Times New Roman" w:cs="Times New Roman"/>
                <w:sz w:val="17"/>
                <w:szCs w:val="17"/>
              </w:rPr>
            </w:pPr>
            <w:r>
              <w:rPr>
                <w:rFonts w:ascii="宋体" w:hAnsi="宋体" w:eastAsia="宋体" w:cs="宋体"/>
                <w:spacing w:val="7"/>
                <w:position w:val="2"/>
                <w:sz w:val="17"/>
                <w:szCs w:val="17"/>
              </w:rPr>
              <w:t>苯</w:t>
            </w:r>
            <w:r>
              <w:rPr>
                <w:rFonts w:ascii="宋体" w:hAnsi="宋体" w:eastAsia="宋体" w:cs="宋体"/>
                <w:spacing w:val="6"/>
                <w:position w:val="2"/>
                <w:sz w:val="17"/>
                <w:szCs w:val="17"/>
              </w:rPr>
              <w:t>并芘</w:t>
            </w:r>
            <w:r>
              <w:rPr>
                <w:rFonts w:ascii="Times New Roman" w:hAnsi="Times New Roman" w:eastAsia="Times New Roman" w:cs="Times New Roman"/>
                <w:spacing w:val="6"/>
                <w:position w:val="2"/>
                <w:sz w:val="17"/>
                <w:szCs w:val="17"/>
              </w:rPr>
              <w:t>[</w:t>
            </w:r>
            <w:r>
              <w:rPr>
                <w:rFonts w:ascii="Times New Roman" w:hAnsi="Times New Roman" w:eastAsia="Times New Roman" w:cs="Times New Roman"/>
                <w:position w:val="2"/>
                <w:sz w:val="17"/>
                <w:szCs w:val="17"/>
              </w:rPr>
              <w:t>a</w:t>
            </w:r>
            <w:r>
              <w:rPr>
                <w:rFonts w:ascii="Times New Roman" w:hAnsi="Times New Roman" w:eastAsia="Times New Roman" w:cs="Times New Roman"/>
                <w:spacing w:val="6"/>
                <w:position w:val="2"/>
                <w:sz w:val="17"/>
                <w:szCs w:val="17"/>
              </w:rPr>
              <w:t>]</w:t>
            </w:r>
          </w:p>
        </w:tc>
        <w:tc>
          <w:tcPr>
            <w:tcW w:w="996" w:type="dxa"/>
            <w:vAlign w:val="top"/>
          </w:tcPr>
          <w:p>
            <w:pPr>
              <w:spacing w:before="52" w:line="237" w:lineRule="exact"/>
              <w:ind w:left="245"/>
              <w:rPr>
                <w:rFonts w:ascii="Times New Roman" w:hAnsi="Times New Roman" w:eastAsia="Times New Roman" w:cs="Times New Roman"/>
                <w:sz w:val="17"/>
                <w:szCs w:val="17"/>
              </w:rPr>
            </w:pPr>
            <w:r>
              <w:rPr>
                <w:rFonts w:ascii="Times New Roman" w:hAnsi="Times New Roman" w:eastAsia="Times New Roman" w:cs="Times New Roman"/>
                <w:spacing w:val="5"/>
                <w:position w:val="1"/>
                <w:sz w:val="17"/>
                <w:szCs w:val="17"/>
              </w:rPr>
              <w:t>&lt;</w:t>
            </w:r>
            <w:r>
              <w:rPr>
                <w:rFonts w:ascii="Times New Roman" w:hAnsi="Times New Roman" w:eastAsia="Times New Roman" w:cs="Times New Roman"/>
                <w:spacing w:val="4"/>
                <w:position w:val="1"/>
                <w:sz w:val="17"/>
                <w:szCs w:val="17"/>
              </w:rPr>
              <w:t>0 001</w:t>
            </w:r>
          </w:p>
        </w:tc>
        <w:tc>
          <w:tcPr>
            <w:tcW w:w="1061" w:type="dxa"/>
            <w:vAlign w:val="top"/>
          </w:tcPr>
          <w:p>
            <w:pPr>
              <w:spacing w:before="52" w:line="237" w:lineRule="exact"/>
              <w:ind w:left="503"/>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030" w:type="dxa"/>
            <w:vAlign w:val="top"/>
          </w:tcPr>
          <w:p>
            <w:pPr>
              <w:spacing w:before="52" w:line="237" w:lineRule="exact"/>
              <w:ind w:left="491"/>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034" w:type="dxa"/>
            <w:vAlign w:val="top"/>
          </w:tcPr>
          <w:p>
            <w:pPr>
              <w:spacing w:before="52" w:line="237" w:lineRule="exact"/>
              <w:ind w:left="49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9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645" w:type="dxa"/>
            <w:vMerge w:val="continue"/>
            <w:tcBorders>
              <w:top w:val="nil"/>
              <w:left w:val="single" w:color="000000" w:sz="6" w:space="0"/>
              <w:bottom w:val="nil"/>
            </w:tcBorders>
            <w:vAlign w:val="top"/>
          </w:tcPr>
          <w:p>
            <w:pPr>
              <w:rPr>
                <w:rFonts w:ascii="Arial"/>
                <w:sz w:val="21"/>
              </w:rPr>
            </w:pPr>
          </w:p>
        </w:tc>
        <w:tc>
          <w:tcPr>
            <w:tcW w:w="2484" w:type="dxa"/>
            <w:vMerge w:val="continue"/>
            <w:tcBorders>
              <w:top w:val="nil"/>
              <w:bottom w:val="nil"/>
            </w:tcBorders>
            <w:vAlign w:val="top"/>
          </w:tcPr>
          <w:p>
            <w:pPr>
              <w:rPr>
                <w:rFonts w:ascii="Arial"/>
                <w:sz w:val="21"/>
              </w:rPr>
            </w:pPr>
          </w:p>
        </w:tc>
        <w:tc>
          <w:tcPr>
            <w:tcW w:w="1503" w:type="dxa"/>
            <w:vAlign w:val="top"/>
          </w:tcPr>
          <w:p>
            <w:pPr>
              <w:spacing w:before="110" w:line="197" w:lineRule="auto"/>
              <w:ind w:left="57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THC</w:t>
            </w:r>
          </w:p>
        </w:tc>
        <w:tc>
          <w:tcPr>
            <w:tcW w:w="996" w:type="dxa"/>
            <w:vAlign w:val="top"/>
          </w:tcPr>
          <w:p>
            <w:pPr>
              <w:spacing w:before="46" w:line="242" w:lineRule="exact"/>
              <w:ind w:left="46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061" w:type="dxa"/>
            <w:vAlign w:val="top"/>
          </w:tcPr>
          <w:p>
            <w:pPr>
              <w:spacing w:before="110" w:line="197" w:lineRule="auto"/>
              <w:ind w:left="377"/>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0</w:t>
            </w:r>
            <w:r>
              <w:rPr>
                <w:rFonts w:ascii="Times New Roman" w:hAnsi="Times New Roman" w:eastAsia="Times New Roman" w:cs="Times New Roman"/>
                <w:spacing w:val="-6"/>
                <w:sz w:val="17"/>
                <w:szCs w:val="17"/>
              </w:rPr>
              <w:t>. 16</w:t>
            </w:r>
          </w:p>
        </w:tc>
        <w:tc>
          <w:tcPr>
            <w:tcW w:w="1030" w:type="dxa"/>
            <w:vAlign w:val="top"/>
          </w:tcPr>
          <w:p>
            <w:pPr>
              <w:spacing w:before="46" w:line="242" w:lineRule="exact"/>
              <w:ind w:left="491"/>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034" w:type="dxa"/>
            <w:vAlign w:val="top"/>
          </w:tcPr>
          <w:p>
            <w:pPr>
              <w:spacing w:before="46" w:line="242" w:lineRule="exact"/>
              <w:ind w:left="49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9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45" w:type="dxa"/>
            <w:vMerge w:val="continue"/>
            <w:tcBorders>
              <w:top w:val="nil"/>
              <w:left w:val="single" w:color="000000" w:sz="6" w:space="0"/>
              <w:bottom w:val="nil"/>
            </w:tcBorders>
            <w:vAlign w:val="top"/>
          </w:tcPr>
          <w:p>
            <w:pPr>
              <w:rPr>
                <w:rFonts w:ascii="Arial"/>
                <w:sz w:val="21"/>
              </w:rPr>
            </w:pPr>
          </w:p>
        </w:tc>
        <w:tc>
          <w:tcPr>
            <w:tcW w:w="2484" w:type="dxa"/>
            <w:vMerge w:val="continue"/>
            <w:tcBorders>
              <w:top w:val="nil"/>
            </w:tcBorders>
            <w:vAlign w:val="top"/>
          </w:tcPr>
          <w:p>
            <w:pPr>
              <w:rPr>
                <w:rFonts w:ascii="Arial"/>
                <w:sz w:val="21"/>
              </w:rPr>
            </w:pPr>
          </w:p>
        </w:tc>
        <w:tc>
          <w:tcPr>
            <w:tcW w:w="1503" w:type="dxa"/>
            <w:vAlign w:val="top"/>
          </w:tcPr>
          <w:p>
            <w:pPr>
              <w:spacing w:before="106" w:line="199" w:lineRule="auto"/>
              <w:ind w:left="562"/>
              <w:rPr>
                <w:rFonts w:ascii="Times New Roman" w:hAnsi="Times New Roman" w:eastAsia="Times New Roman" w:cs="Times New Roman"/>
                <w:sz w:val="11"/>
                <w:szCs w:val="11"/>
              </w:rPr>
            </w:pPr>
            <w:r>
              <w:rPr>
                <w:rFonts w:ascii="Times New Roman" w:hAnsi="Times New Roman" w:eastAsia="Times New Roman" w:cs="Times New Roman"/>
                <w:sz w:val="17"/>
                <w:szCs w:val="17"/>
              </w:rPr>
              <w:t>PM</w:t>
            </w:r>
            <w:r>
              <w:rPr>
                <w:rFonts w:ascii="Times New Roman" w:hAnsi="Times New Roman" w:eastAsia="Times New Roman" w:cs="Times New Roman"/>
                <w:spacing w:val="8"/>
                <w:position w:val="-1"/>
                <w:sz w:val="11"/>
                <w:szCs w:val="11"/>
              </w:rPr>
              <w:t>1</w:t>
            </w:r>
            <w:r>
              <w:rPr>
                <w:rFonts w:ascii="Times New Roman" w:hAnsi="Times New Roman" w:eastAsia="Times New Roman" w:cs="Times New Roman"/>
                <w:spacing w:val="7"/>
                <w:position w:val="-1"/>
                <w:sz w:val="11"/>
                <w:szCs w:val="11"/>
              </w:rPr>
              <w:t>0</w:t>
            </w:r>
          </w:p>
        </w:tc>
        <w:tc>
          <w:tcPr>
            <w:tcW w:w="996" w:type="dxa"/>
            <w:vAlign w:val="top"/>
          </w:tcPr>
          <w:p>
            <w:pPr>
              <w:spacing w:before="40" w:line="242" w:lineRule="exact"/>
              <w:ind w:left="46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061" w:type="dxa"/>
            <w:vAlign w:val="top"/>
          </w:tcPr>
          <w:p>
            <w:pPr>
              <w:spacing w:before="103" w:line="197" w:lineRule="auto"/>
              <w:ind w:left="37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0.0</w:t>
            </w:r>
            <w:r>
              <w:rPr>
                <w:rFonts w:ascii="Times New Roman" w:hAnsi="Times New Roman" w:eastAsia="Times New Roman" w:cs="Times New Roman"/>
                <w:spacing w:val="2"/>
                <w:sz w:val="17"/>
                <w:szCs w:val="17"/>
              </w:rPr>
              <w:t>1</w:t>
            </w:r>
          </w:p>
        </w:tc>
        <w:tc>
          <w:tcPr>
            <w:tcW w:w="1030" w:type="dxa"/>
            <w:vAlign w:val="top"/>
          </w:tcPr>
          <w:p>
            <w:pPr>
              <w:spacing w:before="40" w:line="242" w:lineRule="exact"/>
              <w:ind w:left="491"/>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034" w:type="dxa"/>
            <w:vAlign w:val="top"/>
          </w:tcPr>
          <w:p>
            <w:pPr>
              <w:spacing w:before="40" w:line="242" w:lineRule="exact"/>
              <w:ind w:left="49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9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6" w:hRule="atLeast"/>
        </w:trPr>
        <w:tc>
          <w:tcPr>
            <w:tcW w:w="645" w:type="dxa"/>
            <w:vMerge w:val="continue"/>
            <w:tcBorders>
              <w:top w:val="nil"/>
              <w:left w:val="single" w:color="000000" w:sz="6" w:space="0"/>
            </w:tcBorders>
            <w:vAlign w:val="top"/>
          </w:tcPr>
          <w:p>
            <w:pPr>
              <w:rPr>
                <w:rFonts w:ascii="Arial"/>
                <w:sz w:val="21"/>
              </w:rPr>
            </w:pPr>
          </w:p>
        </w:tc>
        <w:tc>
          <w:tcPr>
            <w:tcW w:w="8302" w:type="dxa"/>
            <w:gridSpan w:val="7"/>
            <w:tcBorders>
              <w:right w:val="single" w:color="000000" w:sz="6" w:space="0"/>
            </w:tcBorders>
            <w:vAlign w:val="top"/>
          </w:tcPr>
          <w:p>
            <w:pPr>
              <w:spacing w:before="136" w:line="234" w:lineRule="auto"/>
              <w:ind w:left="107"/>
              <w:rPr>
                <w:rFonts w:ascii="黑体" w:hAnsi="黑体" w:eastAsia="黑体" w:cs="黑体"/>
                <w:sz w:val="22"/>
                <w:szCs w:val="22"/>
              </w:rPr>
            </w:pPr>
            <w:r>
              <w:rPr>
                <w:rFonts w:ascii="Times New Roman" w:hAnsi="Times New Roman" w:eastAsia="Times New Roman" w:cs="Times New Roman"/>
                <w:spacing w:val="-12"/>
                <w:sz w:val="22"/>
                <w:szCs w:val="22"/>
              </w:rPr>
              <w:t>3</w:t>
            </w:r>
            <w:r>
              <w:rPr>
                <w:rFonts w:ascii="Times New Roman" w:hAnsi="Times New Roman" w:eastAsia="Times New Roman" w:cs="Times New Roman"/>
                <w:spacing w:val="-10"/>
                <w:sz w:val="22"/>
                <w:szCs w:val="22"/>
              </w:rPr>
              <w:t xml:space="preserve"> </w:t>
            </w:r>
            <w:r>
              <w:rPr>
                <w:rFonts w:ascii="黑体" w:hAnsi="黑体" w:eastAsia="黑体" w:cs="黑体"/>
                <w:spacing w:val="-10"/>
                <w:sz w:val="22"/>
                <w:szCs w:val="22"/>
              </w:rPr>
              <w:t>、水环境</w:t>
            </w:r>
          </w:p>
          <w:p>
            <w:pPr>
              <w:spacing w:before="127" w:line="367" w:lineRule="auto"/>
              <w:ind w:left="64" w:right="71" w:firstLine="431"/>
              <w:rPr>
                <w:rFonts w:ascii="宋体" w:hAnsi="宋体" w:eastAsia="宋体" w:cs="宋体"/>
                <w:sz w:val="20"/>
                <w:szCs w:val="20"/>
              </w:rPr>
            </w:pPr>
            <w:r>
              <w:rPr>
                <w:rFonts w:ascii="宋体" w:hAnsi="宋体" w:eastAsia="宋体" w:cs="宋体"/>
                <w:spacing w:val="16"/>
                <w:sz w:val="20"/>
                <w:szCs w:val="20"/>
              </w:rPr>
              <w:t>本项目</w:t>
            </w:r>
            <w:r>
              <w:rPr>
                <w:rFonts w:ascii="宋体" w:hAnsi="宋体" w:eastAsia="宋体" w:cs="宋体"/>
                <w:spacing w:val="12"/>
                <w:sz w:val="20"/>
                <w:szCs w:val="20"/>
              </w:rPr>
              <w:t>不</w:t>
            </w:r>
            <w:r>
              <w:rPr>
                <w:rFonts w:ascii="宋体" w:hAnsi="宋体" w:eastAsia="宋体" w:cs="宋体"/>
                <w:spacing w:val="8"/>
                <w:sz w:val="20"/>
                <w:szCs w:val="20"/>
              </w:rPr>
              <w:t>设置专门的机械维修点，施工现场无机械设备维修保养的含油废水产生。施</w:t>
            </w:r>
            <w:r>
              <w:rPr>
                <w:rFonts w:ascii="宋体" w:hAnsi="宋体" w:eastAsia="宋体" w:cs="宋体"/>
                <w:sz w:val="20"/>
                <w:szCs w:val="20"/>
              </w:rPr>
              <w:t xml:space="preserve"> </w:t>
            </w:r>
            <w:r>
              <w:rPr>
                <w:rFonts w:ascii="宋体" w:hAnsi="宋体" w:eastAsia="宋体" w:cs="宋体"/>
                <w:spacing w:val="13"/>
                <w:sz w:val="20"/>
                <w:szCs w:val="20"/>
              </w:rPr>
              <w:t>工</w:t>
            </w:r>
            <w:r>
              <w:rPr>
                <w:rFonts w:ascii="宋体" w:hAnsi="宋体" w:eastAsia="宋体" w:cs="宋体"/>
                <w:spacing w:val="9"/>
                <w:sz w:val="20"/>
                <w:szCs w:val="20"/>
              </w:rPr>
              <w:t>废水主要来源于道路养护废水、各种设备的清洗废水，以及施工过程降雨导致的泥浆漫</w:t>
            </w:r>
            <w:r>
              <w:rPr>
                <w:rFonts w:ascii="宋体" w:hAnsi="宋体" w:eastAsia="宋体" w:cs="宋体"/>
                <w:sz w:val="20"/>
                <w:szCs w:val="20"/>
              </w:rPr>
              <w:t xml:space="preserve"> </w:t>
            </w:r>
            <w:r>
              <w:rPr>
                <w:rFonts w:ascii="宋体" w:hAnsi="宋体" w:eastAsia="宋体" w:cs="宋体"/>
                <w:spacing w:val="13"/>
                <w:sz w:val="20"/>
                <w:szCs w:val="20"/>
              </w:rPr>
              <w:t>流</w:t>
            </w:r>
            <w:r>
              <w:rPr>
                <w:rFonts w:ascii="宋体" w:hAnsi="宋体" w:eastAsia="宋体" w:cs="宋体"/>
                <w:spacing w:val="9"/>
                <w:sz w:val="20"/>
                <w:szCs w:val="20"/>
              </w:rPr>
              <w:t>。施工废水中含有大量的泥沙与悬浮物，另有少量油污，基本没有有机污染物；另外施</w:t>
            </w:r>
            <w:r>
              <w:rPr>
                <w:rFonts w:ascii="宋体" w:hAnsi="宋体" w:eastAsia="宋体" w:cs="宋体"/>
                <w:sz w:val="20"/>
                <w:szCs w:val="20"/>
              </w:rPr>
              <w:t xml:space="preserve"> </w:t>
            </w:r>
            <w:r>
              <w:rPr>
                <w:rFonts w:ascii="宋体" w:hAnsi="宋体" w:eastAsia="宋体" w:cs="宋体"/>
                <w:spacing w:val="30"/>
                <w:sz w:val="20"/>
                <w:szCs w:val="20"/>
              </w:rPr>
              <w:t>工</w:t>
            </w:r>
            <w:r>
              <w:rPr>
                <w:rFonts w:ascii="宋体" w:hAnsi="宋体" w:eastAsia="宋体" w:cs="宋体"/>
                <w:spacing w:val="28"/>
                <w:sz w:val="20"/>
                <w:szCs w:val="20"/>
              </w:rPr>
              <w:t>人</w:t>
            </w:r>
            <w:r>
              <w:rPr>
                <w:rFonts w:ascii="宋体" w:hAnsi="宋体" w:eastAsia="宋体" w:cs="宋体"/>
                <w:spacing w:val="15"/>
                <w:sz w:val="20"/>
                <w:szCs w:val="20"/>
              </w:rPr>
              <w:t xml:space="preserve">员和值班人员会产生少量生活污水；施工人员生活污水，主要污染因子为 </w:t>
            </w:r>
            <w:r>
              <w:rPr>
                <w:rFonts w:ascii="Times New Roman" w:hAnsi="Times New Roman" w:eastAsia="Times New Roman" w:cs="Times New Roman"/>
                <w:sz w:val="20"/>
                <w:szCs w:val="20"/>
              </w:rPr>
              <w:t>COD</w:t>
            </w:r>
            <w:r>
              <w:rPr>
                <w:rFonts w:ascii="Times New Roman" w:hAnsi="Times New Roman" w:eastAsia="Times New Roman" w:cs="Times New Roman"/>
                <w:spacing w:val="15"/>
                <w:sz w:val="20"/>
                <w:szCs w:val="20"/>
              </w:rPr>
              <w:t xml:space="preserve"> </w:t>
            </w:r>
            <w:r>
              <w:rPr>
                <w:rFonts w:ascii="宋体" w:hAnsi="宋体" w:eastAsia="宋体" w:cs="宋体"/>
                <w:spacing w:val="15"/>
                <w:sz w:val="20"/>
                <w:szCs w:val="20"/>
              </w:rPr>
              <w:t>、</w:t>
            </w:r>
            <w:r>
              <w:rPr>
                <w:rFonts w:ascii="宋体" w:hAnsi="宋体" w:eastAsia="宋体" w:cs="宋体"/>
                <w:sz w:val="20"/>
                <w:szCs w:val="20"/>
              </w:rPr>
              <w:t xml:space="preserve"> </w:t>
            </w:r>
            <w:r>
              <w:rPr>
                <w:rFonts w:ascii="Times New Roman" w:hAnsi="Times New Roman" w:eastAsia="Times New Roman" w:cs="Times New Roman"/>
                <w:sz w:val="20"/>
                <w:szCs w:val="20"/>
              </w:rPr>
              <w:t>NH</w:t>
            </w:r>
            <w:r>
              <w:rPr>
                <w:rFonts w:ascii="Times New Roman" w:hAnsi="Times New Roman" w:eastAsia="Times New Roman" w:cs="Times New Roman"/>
                <w:spacing w:val="16"/>
                <w:position w:val="-1"/>
                <w:sz w:val="13"/>
                <w:szCs w:val="13"/>
              </w:rPr>
              <w:t>3</w:t>
            </w:r>
            <w:r>
              <w:rPr>
                <w:rFonts w:ascii="Times New Roman" w:hAnsi="Times New Roman" w:eastAsia="Times New Roman" w:cs="Times New Roman"/>
                <w:spacing w:val="16"/>
                <w:sz w:val="20"/>
                <w:szCs w:val="20"/>
              </w:rPr>
              <w:t>-</w:t>
            </w:r>
            <w:r>
              <w:rPr>
                <w:rFonts w:ascii="Times New Roman" w:hAnsi="Times New Roman" w:eastAsia="Times New Roman" w:cs="Times New Roman"/>
                <w:sz w:val="20"/>
                <w:szCs w:val="20"/>
              </w:rPr>
              <w:t>N</w:t>
            </w:r>
            <w:r>
              <w:rPr>
                <w:rFonts w:ascii="Times New Roman" w:hAnsi="Times New Roman" w:eastAsia="Times New Roman" w:cs="Times New Roman"/>
                <w:spacing w:val="16"/>
                <w:sz w:val="20"/>
                <w:szCs w:val="20"/>
              </w:rPr>
              <w:t xml:space="preserve"> </w:t>
            </w:r>
            <w:r>
              <w:rPr>
                <w:rFonts w:ascii="宋体" w:hAnsi="宋体" w:eastAsia="宋体" w:cs="宋体"/>
                <w:spacing w:val="12"/>
                <w:sz w:val="20"/>
                <w:szCs w:val="20"/>
              </w:rPr>
              <w:t>。</w:t>
            </w:r>
            <w:r>
              <w:rPr>
                <w:rFonts w:ascii="宋体" w:hAnsi="宋体" w:eastAsia="宋体" w:cs="宋体"/>
                <w:spacing w:val="8"/>
                <w:sz w:val="20"/>
                <w:szCs w:val="20"/>
              </w:rPr>
              <w:t>这些废水不处理直接排入附近地表水体，会影响河水水质增加河水浑浊度，对河</w:t>
            </w:r>
            <w:r>
              <w:rPr>
                <w:rFonts w:ascii="宋体" w:hAnsi="宋体" w:eastAsia="宋体" w:cs="宋体"/>
                <w:sz w:val="20"/>
                <w:szCs w:val="20"/>
              </w:rPr>
              <w:t xml:space="preserve"> </w:t>
            </w:r>
            <w:r>
              <w:rPr>
                <w:rFonts w:ascii="宋体" w:hAnsi="宋体" w:eastAsia="宋体" w:cs="宋体"/>
                <w:spacing w:val="12"/>
                <w:sz w:val="20"/>
                <w:szCs w:val="20"/>
              </w:rPr>
              <w:t>内</w:t>
            </w:r>
            <w:r>
              <w:rPr>
                <w:rFonts w:ascii="宋体" w:hAnsi="宋体" w:eastAsia="宋体" w:cs="宋体"/>
                <w:spacing w:val="9"/>
                <w:sz w:val="20"/>
                <w:szCs w:val="20"/>
              </w:rPr>
              <w:t>水生生物造成严重影响。</w:t>
            </w:r>
          </w:p>
          <w:p>
            <w:pPr>
              <w:spacing w:line="227" w:lineRule="auto"/>
              <w:ind w:left="536"/>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6"/>
                <w:sz w:val="20"/>
                <w:szCs w:val="20"/>
              </w:rPr>
              <w:t>1</w:t>
            </w: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宋体" w:hAnsi="宋体" w:eastAsia="宋体" w:cs="宋体"/>
                <w:spacing w:val="16"/>
                <w:sz w:val="20"/>
                <w:szCs w:val="20"/>
              </w:rPr>
              <w:t xml:space="preserve"> </w:t>
            </w:r>
            <w:r>
              <w:rPr>
                <w:rFonts w:ascii="宋体" w:hAnsi="宋体" w:eastAsia="宋体" w:cs="宋体"/>
                <w:spacing w:val="16"/>
                <w:sz w:val="20"/>
                <w:szCs w:val="20"/>
                <w14:textOutline w14:w="3795" w14:cap="sq" w14:cmpd="sng">
                  <w14:solidFill>
                    <w14:srgbClr w14:val="000000"/>
                  </w14:solidFill>
                  <w14:prstDash w14:val="solid"/>
                  <w14:bevel/>
                </w14:textOutline>
              </w:rPr>
              <w:t>施工废水影响分析</w:t>
            </w:r>
          </w:p>
          <w:p>
            <w:pPr>
              <w:spacing w:before="150" w:line="369" w:lineRule="auto"/>
              <w:ind w:left="76" w:right="71" w:firstLine="422"/>
              <w:rPr>
                <w:rFonts w:ascii="宋体" w:hAnsi="宋体" w:eastAsia="宋体" w:cs="宋体"/>
                <w:sz w:val="20"/>
                <w:szCs w:val="20"/>
              </w:rPr>
            </w:pPr>
            <w:r>
              <w:rPr>
                <w:rFonts w:ascii="宋体" w:hAnsi="宋体" w:eastAsia="宋体" w:cs="宋体"/>
                <w:spacing w:val="16"/>
                <w:sz w:val="20"/>
                <w:szCs w:val="20"/>
              </w:rPr>
              <w:t>项目施</w:t>
            </w:r>
            <w:r>
              <w:rPr>
                <w:rFonts w:ascii="宋体" w:hAnsi="宋体" w:eastAsia="宋体" w:cs="宋体"/>
                <w:spacing w:val="9"/>
                <w:sz w:val="20"/>
                <w:szCs w:val="20"/>
              </w:rPr>
              <w:t>工</w:t>
            </w:r>
            <w:r>
              <w:rPr>
                <w:rFonts w:ascii="宋体" w:hAnsi="宋体" w:eastAsia="宋体" w:cs="宋体"/>
                <w:spacing w:val="8"/>
                <w:sz w:val="20"/>
                <w:szCs w:val="20"/>
              </w:rPr>
              <w:t>期间，裸露的开挖及填筑边坡较多，在当地强降雨条件下，产生大量的水土</w:t>
            </w:r>
            <w:r>
              <w:rPr>
                <w:rFonts w:ascii="宋体" w:hAnsi="宋体" w:eastAsia="宋体" w:cs="宋体"/>
                <w:sz w:val="20"/>
                <w:szCs w:val="20"/>
              </w:rPr>
              <w:t xml:space="preserve"> </w:t>
            </w:r>
            <w:r>
              <w:rPr>
                <w:rFonts w:ascii="宋体" w:hAnsi="宋体" w:eastAsia="宋体" w:cs="宋体"/>
                <w:spacing w:val="9"/>
                <w:sz w:val="20"/>
                <w:szCs w:val="20"/>
              </w:rPr>
              <w:t>流失而进入周围水体，对水体环境造成较大的影响，甚至淤塞泄水通道。所以在施工期</w:t>
            </w:r>
            <w:r>
              <w:rPr>
                <w:rFonts w:ascii="宋体" w:hAnsi="宋体" w:eastAsia="宋体" w:cs="宋体"/>
                <w:spacing w:val="1"/>
                <w:sz w:val="20"/>
                <w:szCs w:val="20"/>
              </w:rPr>
              <w:t>间</w:t>
            </w:r>
            <w:r>
              <w:rPr>
                <w:rFonts w:ascii="宋体" w:hAnsi="宋体" w:eastAsia="宋体" w:cs="宋体"/>
                <w:sz w:val="20"/>
                <w:szCs w:val="20"/>
              </w:rPr>
              <w:t xml:space="preserve"> </w:t>
            </w:r>
            <w:r>
              <w:rPr>
                <w:rFonts w:ascii="宋体" w:hAnsi="宋体" w:eastAsia="宋体" w:cs="宋体"/>
                <w:spacing w:val="15"/>
                <w:sz w:val="20"/>
                <w:szCs w:val="20"/>
              </w:rPr>
              <w:t>要</w:t>
            </w:r>
            <w:r>
              <w:rPr>
                <w:rFonts w:ascii="宋体" w:hAnsi="宋体" w:eastAsia="宋体" w:cs="宋体"/>
                <w:spacing w:val="8"/>
                <w:sz w:val="20"/>
                <w:szCs w:val="20"/>
              </w:rPr>
              <w:t>注意对这些裸露边坡的防护。</w:t>
            </w:r>
          </w:p>
          <w:p>
            <w:pPr>
              <w:spacing w:line="226" w:lineRule="auto"/>
              <w:ind w:left="498"/>
              <w:rPr>
                <w:rFonts w:ascii="宋体" w:hAnsi="宋体" w:eastAsia="宋体" w:cs="宋体"/>
                <w:sz w:val="20"/>
                <w:szCs w:val="20"/>
              </w:rPr>
            </w:pPr>
            <w:r>
              <w:rPr>
                <w:rFonts w:ascii="宋体" w:hAnsi="宋体" w:eastAsia="宋体" w:cs="宋体"/>
                <w:spacing w:val="18"/>
                <w:sz w:val="20"/>
                <w:szCs w:val="20"/>
              </w:rPr>
              <w:t>项</w:t>
            </w:r>
            <w:r>
              <w:rPr>
                <w:rFonts w:ascii="宋体" w:hAnsi="宋体" w:eastAsia="宋体" w:cs="宋体"/>
                <w:spacing w:val="13"/>
                <w:sz w:val="20"/>
                <w:szCs w:val="20"/>
              </w:rPr>
              <w:t>目</w:t>
            </w:r>
            <w:r>
              <w:rPr>
                <w:rFonts w:ascii="宋体" w:hAnsi="宋体" w:eastAsia="宋体" w:cs="宋体"/>
                <w:spacing w:val="9"/>
                <w:sz w:val="20"/>
                <w:szCs w:val="20"/>
              </w:rPr>
              <w:t xml:space="preserve">涉水桥梁桩基围堰和桥墩钻孔施工会产生泥浆水，主要是含 </w:t>
            </w:r>
            <w:r>
              <w:rPr>
                <w:rFonts w:ascii="Times New Roman" w:hAnsi="Times New Roman" w:eastAsia="Times New Roman" w:cs="Times New Roman"/>
                <w:sz w:val="20"/>
                <w:szCs w:val="20"/>
              </w:rPr>
              <w:t>SS</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的废水。桥墩涉</w:t>
            </w:r>
          </w:p>
        </w:tc>
      </w:tr>
    </w:tbl>
    <w:p>
      <w:pPr>
        <w:spacing w:line="158" w:lineRule="exact"/>
        <w:rPr>
          <w:rFonts w:ascii="Arial"/>
          <w:sz w:val="13"/>
        </w:rPr>
      </w:pPr>
    </w:p>
    <w:p>
      <w:pPr>
        <w:sectPr>
          <w:footerReference r:id="rId78" w:type="default"/>
          <w:pgSz w:w="11906" w:h="16839"/>
          <w:pgMar w:top="400" w:right="1472" w:bottom="1475" w:left="1471" w:header="0" w:footer="1315" w:gutter="0"/>
          <w:cols w:space="720" w:num="1"/>
        </w:sectPr>
      </w:pPr>
    </w:p>
    <w:p/>
    <w:p/>
    <w:p/>
    <w:p/>
    <w:p>
      <w:pPr>
        <w:spacing w:line="221" w:lineRule="exact"/>
      </w:pPr>
    </w:p>
    <w:tbl>
      <w:tblPr>
        <w:tblStyle w:val="4"/>
        <w:tblW w:w="894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83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7" w:hRule="atLeast"/>
        </w:trPr>
        <w:tc>
          <w:tcPr>
            <w:tcW w:w="644" w:type="dxa"/>
            <w:tcBorders>
              <w:left w:val="single" w:color="00000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31" w:lineRule="auto"/>
              <w:ind w:left="8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施工</w:t>
            </w:r>
          </w:p>
          <w:p>
            <w:pPr>
              <w:spacing w:before="21" w:line="228" w:lineRule="auto"/>
              <w:ind w:left="91"/>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期生</w:t>
            </w:r>
          </w:p>
          <w:p>
            <w:pPr>
              <w:spacing w:before="25" w:line="230" w:lineRule="auto"/>
              <w:ind w:left="8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态</w:t>
            </w:r>
            <w:r>
              <w:rPr>
                <w:rFonts w:ascii="宋体" w:hAnsi="宋体" w:eastAsia="宋体" w:cs="宋体"/>
                <w:spacing w:val="15"/>
                <w:sz w:val="20"/>
                <w:szCs w:val="20"/>
                <w14:textOutline w14:w="3795" w14:cap="sq" w14:cmpd="sng">
                  <w14:solidFill>
                    <w14:srgbClr w14:val="000000"/>
                  </w14:solidFill>
                  <w14:prstDash w14:val="solid"/>
                  <w14:bevel/>
                </w14:textOutline>
              </w:rPr>
              <w:t>环</w:t>
            </w:r>
          </w:p>
          <w:p>
            <w:pPr>
              <w:spacing w:before="22" w:line="228" w:lineRule="auto"/>
              <w:ind w:left="89"/>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境影</w:t>
            </w:r>
          </w:p>
          <w:p>
            <w:pPr>
              <w:spacing w:before="25" w:line="228" w:lineRule="auto"/>
              <w:ind w:left="99"/>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响分</w:t>
            </w:r>
          </w:p>
          <w:p>
            <w:pPr>
              <w:spacing w:before="26" w:line="228" w:lineRule="auto"/>
              <w:ind w:left="205"/>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析</w:t>
            </w:r>
          </w:p>
        </w:tc>
        <w:tc>
          <w:tcPr>
            <w:tcW w:w="8303" w:type="dxa"/>
            <w:tcBorders>
              <w:right w:val="single" w:color="000000" w:sz="6" w:space="0"/>
            </w:tcBorders>
            <w:vAlign w:val="top"/>
          </w:tcPr>
          <w:p>
            <w:pPr>
              <w:spacing w:before="153" w:line="365" w:lineRule="auto"/>
              <w:ind w:left="75" w:right="71" w:firstLine="3"/>
              <w:rPr>
                <w:rFonts w:ascii="宋体" w:hAnsi="宋体" w:eastAsia="宋体" w:cs="宋体"/>
                <w:sz w:val="20"/>
                <w:szCs w:val="20"/>
              </w:rPr>
            </w:pPr>
            <w:r>
              <w:rPr>
                <w:rFonts w:ascii="宋体" w:hAnsi="宋体" w:eastAsia="宋体" w:cs="宋体"/>
                <w:spacing w:val="16"/>
                <w:sz w:val="20"/>
                <w:szCs w:val="20"/>
              </w:rPr>
              <w:t>水施工</w:t>
            </w:r>
            <w:r>
              <w:rPr>
                <w:rFonts w:ascii="宋体" w:hAnsi="宋体" w:eastAsia="宋体" w:cs="宋体"/>
                <w:spacing w:val="14"/>
                <w:sz w:val="20"/>
                <w:szCs w:val="20"/>
              </w:rPr>
              <w:t>，</w:t>
            </w:r>
            <w:r>
              <w:rPr>
                <w:rFonts w:ascii="宋体" w:hAnsi="宋体" w:eastAsia="宋体" w:cs="宋体"/>
                <w:spacing w:val="8"/>
                <w:sz w:val="20"/>
                <w:szCs w:val="20"/>
              </w:rPr>
              <w:t>采取围堰施工。围堰建过程会扰动河床，使少量底泥发生悬浮，悬浮的底泥物质</w:t>
            </w:r>
            <w:r>
              <w:rPr>
                <w:rFonts w:ascii="宋体" w:hAnsi="宋体" w:eastAsia="宋体" w:cs="宋体"/>
                <w:sz w:val="20"/>
                <w:szCs w:val="20"/>
              </w:rPr>
              <w:t xml:space="preserve"> </w:t>
            </w:r>
            <w:r>
              <w:rPr>
                <w:rFonts w:ascii="宋体" w:hAnsi="宋体" w:eastAsia="宋体" w:cs="宋体"/>
                <w:spacing w:val="9"/>
                <w:sz w:val="20"/>
                <w:szCs w:val="20"/>
              </w:rPr>
              <w:t>在水流扩散等因素的作用下，在一定范围内将导致水质泥沙含量增大，水体浑浊度相应</w:t>
            </w:r>
            <w:r>
              <w:rPr>
                <w:rFonts w:ascii="宋体" w:hAnsi="宋体" w:eastAsia="宋体" w:cs="宋体"/>
                <w:spacing w:val="3"/>
                <w:sz w:val="20"/>
                <w:szCs w:val="20"/>
              </w:rPr>
              <w:t>增</w:t>
            </w:r>
            <w:r>
              <w:rPr>
                <w:rFonts w:ascii="宋体" w:hAnsi="宋体" w:eastAsia="宋体" w:cs="宋体"/>
                <w:sz w:val="20"/>
                <w:szCs w:val="20"/>
              </w:rPr>
              <w:t xml:space="preserve"> </w:t>
            </w:r>
            <w:r>
              <w:rPr>
                <w:rFonts w:ascii="宋体" w:hAnsi="宋体" w:eastAsia="宋体" w:cs="宋体"/>
                <w:spacing w:val="8"/>
                <w:sz w:val="20"/>
                <w:szCs w:val="20"/>
              </w:rPr>
              <w:t xml:space="preserve">加；施工围堰拆除时，围堰中泥浆废水排入水体也会造成 </w:t>
            </w:r>
            <w:r>
              <w:rPr>
                <w:rFonts w:ascii="Times New Roman" w:hAnsi="Times New Roman" w:eastAsia="Times New Roman" w:cs="Times New Roman"/>
                <w:sz w:val="20"/>
                <w:szCs w:val="20"/>
              </w:rPr>
              <w:t>SS</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在短时间内有所增大。</w:t>
            </w:r>
          </w:p>
          <w:p>
            <w:pPr>
              <w:spacing w:line="227" w:lineRule="auto"/>
              <w:ind w:left="537"/>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5"/>
                <w:sz w:val="20"/>
                <w:szCs w:val="20"/>
              </w:rPr>
              <w:t>2</w:t>
            </w:r>
            <w:r>
              <w:rPr>
                <w:rFonts w:ascii="宋体" w:hAnsi="宋体" w:eastAsia="宋体" w:cs="宋体"/>
                <w:spacing w:val="15"/>
                <w:sz w:val="20"/>
                <w:szCs w:val="20"/>
                <w14:textOutline w14:w="3795" w14:cap="sq" w14:cmpd="sng">
                  <w14:solidFill>
                    <w14:srgbClr w14:val="000000"/>
                  </w14:solidFill>
                  <w14:prstDash w14:val="solid"/>
                  <w14:bevel/>
                </w14:textOutline>
              </w:rPr>
              <w:t>)</w:t>
            </w:r>
            <w:r>
              <w:rPr>
                <w:rFonts w:ascii="宋体" w:hAnsi="宋体" w:eastAsia="宋体" w:cs="宋体"/>
                <w:spacing w:val="15"/>
                <w:sz w:val="20"/>
                <w:szCs w:val="20"/>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涉水施工对水质影响分</w:t>
            </w:r>
            <w:r>
              <w:rPr>
                <w:rFonts w:ascii="宋体" w:hAnsi="宋体" w:eastAsia="宋体" w:cs="宋体"/>
                <w:spacing w:val="13"/>
                <w:sz w:val="20"/>
                <w:szCs w:val="20"/>
                <w14:textOutline w14:w="3795" w14:cap="sq" w14:cmpd="sng">
                  <w14:solidFill>
                    <w14:srgbClr w14:val="000000"/>
                  </w14:solidFill>
                  <w14:prstDash w14:val="solid"/>
                  <w14:bevel/>
                </w14:textOutline>
              </w:rPr>
              <w:t>析</w:t>
            </w:r>
          </w:p>
          <w:p>
            <w:pPr>
              <w:spacing w:before="144" w:line="368" w:lineRule="auto"/>
              <w:ind w:left="75" w:right="1" w:firstLine="421"/>
              <w:rPr>
                <w:rFonts w:ascii="宋体" w:hAnsi="宋体" w:eastAsia="宋体" w:cs="宋体"/>
                <w:sz w:val="20"/>
                <w:szCs w:val="20"/>
              </w:rPr>
            </w:pPr>
            <w:r>
              <w:rPr>
                <w:rFonts w:ascii="宋体" w:hAnsi="宋体" w:eastAsia="宋体" w:cs="宋体"/>
                <w:spacing w:val="16"/>
                <w:sz w:val="20"/>
                <w:szCs w:val="20"/>
              </w:rPr>
              <w:t>本项目</w:t>
            </w:r>
            <w:r>
              <w:rPr>
                <w:rFonts w:ascii="宋体" w:hAnsi="宋体" w:eastAsia="宋体" w:cs="宋体"/>
                <w:spacing w:val="11"/>
                <w:sz w:val="20"/>
                <w:szCs w:val="20"/>
              </w:rPr>
              <w:t>涉</w:t>
            </w:r>
            <w:r>
              <w:rPr>
                <w:rFonts w:ascii="宋体" w:hAnsi="宋体" w:eastAsia="宋体" w:cs="宋体"/>
                <w:spacing w:val="8"/>
                <w:sz w:val="20"/>
                <w:szCs w:val="20"/>
              </w:rPr>
              <w:t>水桥墩施工采用围堰法，根据国内的环境影响评价和监测资料，围堰法施工</w:t>
            </w:r>
            <w:r>
              <w:rPr>
                <w:rFonts w:ascii="宋体" w:hAnsi="宋体" w:eastAsia="宋体" w:cs="宋体"/>
                <w:sz w:val="20"/>
                <w:szCs w:val="20"/>
              </w:rPr>
              <w:t xml:space="preserve"> </w:t>
            </w:r>
            <w:r>
              <w:rPr>
                <w:rFonts w:ascii="宋体" w:hAnsi="宋体" w:eastAsia="宋体" w:cs="宋体"/>
                <w:spacing w:val="8"/>
                <w:sz w:val="20"/>
                <w:szCs w:val="20"/>
              </w:rPr>
              <w:t>时</w:t>
            </w:r>
            <w:r>
              <w:rPr>
                <w:rFonts w:ascii="宋体" w:hAnsi="宋体" w:eastAsia="宋体" w:cs="宋体"/>
                <w:spacing w:val="5"/>
                <w:sz w:val="20"/>
                <w:szCs w:val="20"/>
              </w:rPr>
              <w:t>一</w:t>
            </w:r>
            <w:r>
              <w:rPr>
                <w:rFonts w:ascii="宋体" w:hAnsi="宋体" w:eastAsia="宋体" w:cs="宋体"/>
                <w:spacing w:val="4"/>
                <w:sz w:val="20"/>
                <w:szCs w:val="20"/>
              </w:rPr>
              <w:t xml:space="preserve">般在水下构筑物周围约 </w:t>
            </w:r>
            <w:r>
              <w:rPr>
                <w:rFonts w:ascii="Times New Roman" w:hAnsi="Times New Roman" w:eastAsia="Times New Roman" w:cs="Times New Roman"/>
                <w:spacing w:val="4"/>
                <w:sz w:val="20"/>
                <w:szCs w:val="20"/>
              </w:rPr>
              <w:t>50</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范围内的水体中悬浮物会有显著增加，一般在 </w:t>
            </w:r>
            <w:r>
              <w:rPr>
                <w:rFonts w:ascii="Times New Roman" w:hAnsi="Times New Roman" w:eastAsia="Times New Roman" w:cs="Times New Roman"/>
                <w:spacing w:val="4"/>
                <w:sz w:val="20"/>
                <w:szCs w:val="20"/>
              </w:rPr>
              <w:t>2000</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L</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4"/>
                <w:sz w:val="20"/>
                <w:szCs w:val="20"/>
              </w:rPr>
              <w:t xml:space="preserve">根据工程类比，施工将造成河内 </w:t>
            </w:r>
            <w:r>
              <w:rPr>
                <w:rFonts w:ascii="Times New Roman" w:hAnsi="Times New Roman" w:eastAsia="Times New Roman" w:cs="Times New Roman"/>
                <w:sz w:val="20"/>
                <w:szCs w:val="20"/>
              </w:rPr>
              <w:t>SS</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增加，影响范围为下游 </w:t>
            </w:r>
            <w:r>
              <w:rPr>
                <w:rFonts w:ascii="Times New Roman" w:hAnsi="Times New Roman" w:eastAsia="Times New Roman" w:cs="Times New Roman"/>
                <w:spacing w:val="4"/>
                <w:sz w:val="20"/>
                <w:szCs w:val="20"/>
              </w:rPr>
              <w:t>150</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。同时上部结构施工过</w:t>
            </w:r>
            <w:r>
              <w:rPr>
                <w:rFonts w:ascii="宋体" w:hAnsi="宋体" w:eastAsia="宋体" w:cs="宋体"/>
                <w:spacing w:val="3"/>
                <w:sz w:val="20"/>
                <w:szCs w:val="20"/>
              </w:rPr>
              <w:t>程</w:t>
            </w:r>
            <w:r>
              <w:rPr>
                <w:rFonts w:ascii="宋体" w:hAnsi="宋体" w:eastAsia="宋体" w:cs="宋体"/>
                <w:sz w:val="20"/>
                <w:szCs w:val="20"/>
              </w:rPr>
              <w:t xml:space="preserve"> </w:t>
            </w:r>
            <w:r>
              <w:rPr>
                <w:rFonts w:ascii="宋体" w:hAnsi="宋体" w:eastAsia="宋体" w:cs="宋体"/>
                <w:spacing w:val="9"/>
                <w:sz w:val="20"/>
                <w:szCs w:val="20"/>
              </w:rPr>
              <w:t>中，不可避免地会有水泥石屑等建筑材料掉入水中，对水质造成一定影响，但此部分生</w:t>
            </w:r>
            <w:r>
              <w:rPr>
                <w:rFonts w:ascii="宋体" w:hAnsi="宋体" w:eastAsia="宋体" w:cs="宋体"/>
                <w:spacing w:val="1"/>
                <w:sz w:val="20"/>
                <w:szCs w:val="20"/>
              </w:rPr>
              <w:t>产</w:t>
            </w:r>
            <w:r>
              <w:rPr>
                <w:rFonts w:ascii="宋体" w:hAnsi="宋体" w:eastAsia="宋体" w:cs="宋体"/>
                <w:sz w:val="20"/>
                <w:szCs w:val="20"/>
              </w:rPr>
              <w:t xml:space="preserve"> </w:t>
            </w:r>
            <w:r>
              <w:rPr>
                <w:rFonts w:ascii="宋体" w:hAnsi="宋体" w:eastAsia="宋体" w:cs="宋体"/>
                <w:spacing w:val="9"/>
                <w:sz w:val="20"/>
                <w:szCs w:val="20"/>
              </w:rPr>
              <w:t>废水总量不大，进入河水后多顺河漂流并逐渐沉降，横向扩散，对水质影响不大。项目</w:t>
            </w:r>
            <w:r>
              <w:rPr>
                <w:rFonts w:ascii="宋体" w:hAnsi="宋体" w:eastAsia="宋体" w:cs="宋体"/>
                <w:spacing w:val="3"/>
                <w:sz w:val="20"/>
                <w:szCs w:val="20"/>
              </w:rPr>
              <w:t>的</w:t>
            </w:r>
            <w:r>
              <w:rPr>
                <w:rFonts w:ascii="宋体" w:hAnsi="宋体" w:eastAsia="宋体" w:cs="宋体"/>
                <w:sz w:val="20"/>
                <w:szCs w:val="20"/>
              </w:rPr>
              <w:t xml:space="preserve"> </w:t>
            </w:r>
            <w:r>
              <w:rPr>
                <w:rFonts w:ascii="宋体" w:hAnsi="宋体" w:eastAsia="宋体" w:cs="宋体"/>
                <w:spacing w:val="9"/>
                <w:sz w:val="20"/>
                <w:szCs w:val="20"/>
              </w:rPr>
              <w:t>建设或对河流的环境造成一定的影响，桥墩施工直接影响到水生生物的生存行为、繁殖</w:t>
            </w:r>
            <w:r>
              <w:rPr>
                <w:rFonts w:ascii="宋体" w:hAnsi="宋体" w:eastAsia="宋体" w:cs="宋体"/>
                <w:spacing w:val="3"/>
                <w:sz w:val="20"/>
                <w:szCs w:val="20"/>
              </w:rPr>
              <w:t>和</w:t>
            </w:r>
            <w:r>
              <w:rPr>
                <w:rFonts w:ascii="宋体" w:hAnsi="宋体" w:eastAsia="宋体" w:cs="宋体"/>
                <w:sz w:val="20"/>
                <w:szCs w:val="20"/>
              </w:rPr>
              <w:t xml:space="preserve"> </w:t>
            </w:r>
            <w:r>
              <w:rPr>
                <w:rFonts w:ascii="宋体" w:hAnsi="宋体" w:eastAsia="宋体" w:cs="宋体"/>
                <w:spacing w:val="9"/>
                <w:sz w:val="20"/>
                <w:szCs w:val="20"/>
              </w:rPr>
              <w:t>分布，造成一部分水生生物死亡，生物量和净生产量下降，从而造成整个水生生态系统</w:t>
            </w:r>
            <w:r>
              <w:rPr>
                <w:rFonts w:ascii="宋体" w:hAnsi="宋体" w:eastAsia="宋体" w:cs="宋体"/>
                <w:spacing w:val="3"/>
                <w:sz w:val="20"/>
                <w:szCs w:val="20"/>
              </w:rPr>
              <w:t>一</w:t>
            </w:r>
            <w:r>
              <w:rPr>
                <w:rFonts w:ascii="宋体" w:hAnsi="宋体" w:eastAsia="宋体" w:cs="宋体"/>
                <w:sz w:val="20"/>
                <w:szCs w:val="20"/>
              </w:rPr>
              <w:t xml:space="preserve"> </w:t>
            </w:r>
            <w:r>
              <w:rPr>
                <w:rFonts w:ascii="宋体" w:hAnsi="宋体" w:eastAsia="宋体" w:cs="宋体"/>
                <w:spacing w:val="10"/>
                <w:sz w:val="20"/>
                <w:szCs w:val="20"/>
              </w:rPr>
              <w:t>系列的</w:t>
            </w:r>
            <w:r>
              <w:rPr>
                <w:rFonts w:ascii="宋体" w:hAnsi="宋体" w:eastAsia="宋体" w:cs="宋体"/>
                <w:spacing w:val="6"/>
                <w:sz w:val="20"/>
                <w:szCs w:val="20"/>
              </w:rPr>
              <w:t>变</w:t>
            </w:r>
            <w:r>
              <w:rPr>
                <w:rFonts w:ascii="宋体" w:hAnsi="宋体" w:eastAsia="宋体" w:cs="宋体"/>
                <w:spacing w:val="5"/>
                <w:sz w:val="20"/>
                <w:szCs w:val="20"/>
              </w:rPr>
              <w:t>化。这些影响是不利的，但同时也是可逆的，本项目工程量较小，影响时间较短，</w:t>
            </w:r>
            <w:r>
              <w:rPr>
                <w:rFonts w:ascii="宋体" w:hAnsi="宋体" w:eastAsia="宋体" w:cs="宋体"/>
                <w:sz w:val="20"/>
                <w:szCs w:val="20"/>
              </w:rPr>
              <w:t xml:space="preserve"> </w:t>
            </w:r>
            <w:r>
              <w:rPr>
                <w:rFonts w:ascii="宋体" w:hAnsi="宋体" w:eastAsia="宋体" w:cs="宋体"/>
                <w:spacing w:val="18"/>
                <w:sz w:val="20"/>
                <w:szCs w:val="20"/>
              </w:rPr>
              <w:t>随</w:t>
            </w:r>
            <w:r>
              <w:rPr>
                <w:rFonts w:ascii="宋体" w:hAnsi="宋体" w:eastAsia="宋体" w:cs="宋体"/>
                <w:spacing w:val="11"/>
                <w:sz w:val="20"/>
                <w:szCs w:val="20"/>
              </w:rPr>
              <w:t>着</w:t>
            </w:r>
            <w:r>
              <w:rPr>
                <w:rFonts w:ascii="宋体" w:hAnsi="宋体" w:eastAsia="宋体" w:cs="宋体"/>
                <w:spacing w:val="9"/>
                <w:sz w:val="20"/>
                <w:szCs w:val="20"/>
              </w:rPr>
              <w:t>项目施工完成，因施工造成的水生生态系统的破坏可得到恢复。</w:t>
            </w:r>
          </w:p>
          <w:p>
            <w:pPr>
              <w:spacing w:line="227" w:lineRule="auto"/>
              <w:ind w:left="537"/>
              <w:rPr>
                <w:rFonts w:ascii="宋体" w:hAnsi="宋体" w:eastAsia="宋体" w:cs="宋体"/>
                <w:sz w:val="20"/>
                <w:szCs w:val="20"/>
              </w:rPr>
            </w:pPr>
            <w:r>
              <w:rPr>
                <w:rFonts w:ascii="宋体" w:hAnsi="宋体" w:eastAsia="宋体" w:cs="宋体"/>
                <w:spacing w:val="2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4"/>
                <w:sz w:val="20"/>
                <w:szCs w:val="20"/>
              </w:rPr>
              <w:t>3</w:t>
            </w:r>
            <w:r>
              <w:rPr>
                <w:rFonts w:ascii="宋体" w:hAnsi="宋体" w:eastAsia="宋体" w:cs="宋体"/>
                <w:spacing w:val="14"/>
                <w:sz w:val="20"/>
                <w:szCs w:val="20"/>
                <w14:textOutline w14:w="3795" w14:cap="sq" w14:cmpd="sng">
                  <w14:solidFill>
                    <w14:srgbClr w14:val="000000"/>
                  </w14:solidFill>
                  <w14:prstDash w14:val="solid"/>
                  <w14:bevel/>
                </w14:textOutline>
              </w:rPr>
              <w:t>)</w:t>
            </w:r>
            <w:r>
              <w:rPr>
                <w:rFonts w:ascii="宋体" w:hAnsi="宋体" w:eastAsia="宋体" w:cs="宋体"/>
                <w:spacing w:val="14"/>
                <w:sz w:val="20"/>
                <w:szCs w:val="20"/>
              </w:rPr>
              <w:t xml:space="preserve"> </w:t>
            </w:r>
            <w:r>
              <w:rPr>
                <w:rFonts w:ascii="宋体" w:hAnsi="宋体" w:eastAsia="宋体" w:cs="宋体"/>
                <w:spacing w:val="14"/>
                <w:sz w:val="20"/>
                <w:szCs w:val="20"/>
                <w14:textOutline w14:w="3795" w14:cap="sq" w14:cmpd="sng">
                  <w14:solidFill>
                    <w14:srgbClr w14:val="000000"/>
                  </w14:solidFill>
                  <w14:prstDash w14:val="solid"/>
                  <w14:bevel/>
                </w14:textOutline>
              </w:rPr>
              <w:t>临河施工对水环境的影响风险</w:t>
            </w:r>
          </w:p>
          <w:p>
            <w:pPr>
              <w:spacing w:before="150" w:line="369" w:lineRule="auto"/>
              <w:ind w:left="77" w:right="71" w:firstLine="444"/>
              <w:rPr>
                <w:rFonts w:ascii="宋体" w:hAnsi="宋体" w:eastAsia="宋体" w:cs="宋体"/>
                <w:sz w:val="20"/>
                <w:szCs w:val="20"/>
              </w:rPr>
            </w:pPr>
            <w:r>
              <w:rPr>
                <w:rFonts w:ascii="宋体" w:hAnsi="宋体" w:eastAsia="宋体" w:cs="宋体"/>
                <w:spacing w:val="11"/>
                <w:sz w:val="20"/>
                <w:szCs w:val="20"/>
              </w:rPr>
              <w:t>由</w:t>
            </w:r>
            <w:r>
              <w:rPr>
                <w:rFonts w:ascii="宋体" w:hAnsi="宋体" w:eastAsia="宋体" w:cs="宋体"/>
                <w:spacing w:val="8"/>
                <w:sz w:val="20"/>
                <w:szCs w:val="20"/>
              </w:rPr>
              <w:t>于项目为跨河桥梁建设，施工位置临近河道，施工期间的土石方、建筑材料等堆放</w:t>
            </w:r>
            <w:r>
              <w:rPr>
                <w:rFonts w:ascii="宋体" w:hAnsi="宋体" w:eastAsia="宋体" w:cs="宋体"/>
                <w:sz w:val="20"/>
                <w:szCs w:val="20"/>
              </w:rPr>
              <w:t xml:space="preserve"> </w:t>
            </w:r>
            <w:r>
              <w:rPr>
                <w:rFonts w:ascii="宋体" w:hAnsi="宋体" w:eastAsia="宋体" w:cs="宋体"/>
                <w:spacing w:val="9"/>
                <w:sz w:val="20"/>
                <w:szCs w:val="20"/>
              </w:rPr>
              <w:t>如不做好防护措施，会造成泥浆漫流，对州河水质造成污染影响。施工场地设置在桥梁</w:t>
            </w:r>
            <w:r>
              <w:rPr>
                <w:rFonts w:ascii="宋体" w:hAnsi="宋体" w:eastAsia="宋体" w:cs="宋体"/>
                <w:spacing w:val="1"/>
                <w:sz w:val="20"/>
                <w:szCs w:val="20"/>
              </w:rPr>
              <w:t>两</w:t>
            </w:r>
            <w:r>
              <w:rPr>
                <w:rFonts w:ascii="宋体" w:hAnsi="宋体" w:eastAsia="宋体" w:cs="宋体"/>
                <w:sz w:val="20"/>
                <w:szCs w:val="20"/>
              </w:rPr>
              <w:t xml:space="preserve"> </w:t>
            </w:r>
            <w:r>
              <w:rPr>
                <w:rFonts w:ascii="宋体" w:hAnsi="宋体" w:eastAsia="宋体" w:cs="宋体"/>
                <w:spacing w:val="18"/>
                <w:sz w:val="20"/>
                <w:szCs w:val="20"/>
              </w:rPr>
              <w:t>端</w:t>
            </w:r>
            <w:r>
              <w:rPr>
                <w:rFonts w:ascii="宋体" w:hAnsi="宋体" w:eastAsia="宋体" w:cs="宋体"/>
                <w:spacing w:val="17"/>
                <w:sz w:val="20"/>
                <w:szCs w:val="20"/>
              </w:rPr>
              <w:t>，</w:t>
            </w:r>
            <w:r>
              <w:rPr>
                <w:rFonts w:ascii="宋体" w:hAnsi="宋体" w:eastAsia="宋体" w:cs="宋体"/>
                <w:spacing w:val="9"/>
                <w:sz w:val="20"/>
                <w:szCs w:val="20"/>
              </w:rPr>
              <w:t>场地内施工的废水、地面雨水冲刷的废水直接排放，也会对州河水环境造成影响。</w:t>
            </w:r>
          </w:p>
          <w:p>
            <w:pPr>
              <w:spacing w:before="3" w:line="365" w:lineRule="auto"/>
              <w:ind w:left="76" w:right="71" w:firstLine="422"/>
              <w:rPr>
                <w:rFonts w:ascii="宋体" w:hAnsi="宋体" w:eastAsia="宋体" w:cs="宋体"/>
                <w:sz w:val="20"/>
                <w:szCs w:val="20"/>
              </w:rPr>
            </w:pPr>
            <w:r>
              <w:rPr>
                <w:rFonts w:ascii="宋体" w:hAnsi="宋体" w:eastAsia="宋体" w:cs="宋体"/>
                <w:spacing w:val="16"/>
                <w:sz w:val="20"/>
                <w:szCs w:val="20"/>
              </w:rPr>
              <w:t>建议施</w:t>
            </w:r>
            <w:r>
              <w:rPr>
                <w:rFonts w:ascii="宋体" w:hAnsi="宋体" w:eastAsia="宋体" w:cs="宋体"/>
                <w:spacing w:val="10"/>
                <w:sz w:val="20"/>
                <w:szCs w:val="20"/>
              </w:rPr>
              <w:t>工</w:t>
            </w:r>
            <w:r>
              <w:rPr>
                <w:rFonts w:ascii="宋体" w:hAnsi="宋体" w:eastAsia="宋体" w:cs="宋体"/>
                <w:spacing w:val="8"/>
                <w:sz w:val="20"/>
                <w:szCs w:val="20"/>
              </w:rPr>
              <w:t>单位在选择建筑材料堆放场地时，应注意不能靠近河流，尽量堆放在远离水</w:t>
            </w:r>
            <w:r>
              <w:rPr>
                <w:rFonts w:ascii="宋体" w:hAnsi="宋体" w:eastAsia="宋体" w:cs="宋体"/>
                <w:sz w:val="20"/>
                <w:szCs w:val="20"/>
              </w:rPr>
              <w:t xml:space="preserve"> </w:t>
            </w:r>
            <w:r>
              <w:rPr>
                <w:rFonts w:ascii="宋体" w:hAnsi="宋体" w:eastAsia="宋体" w:cs="宋体"/>
                <w:spacing w:val="9"/>
                <w:sz w:val="20"/>
                <w:szCs w:val="20"/>
              </w:rPr>
              <w:t>体、且无汇入支流的空旷地带，堆放期间应加盖篷布，设置围挡或者围堰，防范雨水冲</w:t>
            </w:r>
            <w:r>
              <w:rPr>
                <w:rFonts w:ascii="宋体" w:hAnsi="宋体" w:eastAsia="宋体" w:cs="宋体"/>
                <w:spacing w:val="2"/>
                <w:sz w:val="20"/>
                <w:szCs w:val="20"/>
              </w:rPr>
              <w:t>刷</w:t>
            </w:r>
            <w:r>
              <w:rPr>
                <w:rFonts w:ascii="宋体" w:hAnsi="宋体" w:eastAsia="宋体" w:cs="宋体"/>
                <w:sz w:val="20"/>
                <w:szCs w:val="20"/>
              </w:rPr>
              <w:t xml:space="preserve"> </w:t>
            </w:r>
            <w:r>
              <w:rPr>
                <w:rFonts w:ascii="宋体" w:hAnsi="宋体" w:eastAsia="宋体" w:cs="宋体"/>
                <w:spacing w:val="16"/>
                <w:sz w:val="20"/>
                <w:szCs w:val="20"/>
              </w:rPr>
              <w:t>导致泥</w:t>
            </w:r>
            <w:r>
              <w:rPr>
                <w:rFonts w:ascii="宋体" w:hAnsi="宋体" w:eastAsia="宋体" w:cs="宋体"/>
                <w:spacing w:val="14"/>
                <w:sz w:val="20"/>
                <w:szCs w:val="20"/>
              </w:rPr>
              <w:t>沙</w:t>
            </w:r>
            <w:r>
              <w:rPr>
                <w:rFonts w:ascii="宋体" w:hAnsi="宋体" w:eastAsia="宋体" w:cs="宋体"/>
                <w:spacing w:val="8"/>
                <w:sz w:val="20"/>
                <w:szCs w:val="20"/>
              </w:rPr>
              <w:t>入河等；施工场地、临时堆场四周及临时道路一侧设置截排水沟，减少土石方和</w:t>
            </w:r>
            <w:r>
              <w:rPr>
                <w:rFonts w:ascii="宋体" w:hAnsi="宋体" w:eastAsia="宋体" w:cs="宋体"/>
                <w:sz w:val="20"/>
                <w:szCs w:val="20"/>
              </w:rPr>
              <w:t xml:space="preserve"> </w:t>
            </w:r>
            <w:r>
              <w:rPr>
                <w:rFonts w:ascii="宋体" w:hAnsi="宋体" w:eastAsia="宋体" w:cs="宋体"/>
                <w:spacing w:val="9"/>
                <w:sz w:val="20"/>
                <w:szCs w:val="20"/>
              </w:rPr>
              <w:t>物</w:t>
            </w:r>
            <w:r>
              <w:rPr>
                <w:rFonts w:ascii="宋体" w:hAnsi="宋体" w:eastAsia="宋体" w:cs="宋体"/>
                <w:spacing w:val="8"/>
                <w:sz w:val="20"/>
                <w:szCs w:val="20"/>
              </w:rPr>
              <w:t>料流失对河流的影响。</w:t>
            </w:r>
          </w:p>
          <w:p>
            <w:pPr>
              <w:spacing w:line="227" w:lineRule="auto"/>
              <w:ind w:left="537"/>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8"/>
                <w:sz w:val="20"/>
                <w:szCs w:val="20"/>
              </w:rPr>
              <w:t>4</w:t>
            </w: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宋体" w:hAnsi="宋体" w:eastAsia="宋体" w:cs="宋体"/>
                <w:spacing w:val="18"/>
                <w:sz w:val="20"/>
                <w:szCs w:val="20"/>
              </w:rPr>
              <w:t xml:space="preserve"> </w:t>
            </w:r>
            <w:r>
              <w:rPr>
                <w:rFonts w:ascii="宋体" w:hAnsi="宋体" w:eastAsia="宋体" w:cs="宋体"/>
                <w:spacing w:val="18"/>
                <w:sz w:val="20"/>
                <w:szCs w:val="20"/>
                <w14:textOutline w14:w="3795" w14:cap="sq" w14:cmpd="sng">
                  <w14:solidFill>
                    <w14:srgbClr w14:val="000000"/>
                  </w14:solidFill>
                  <w14:prstDash w14:val="solid"/>
                  <w14:bevel/>
                </w14:textOutline>
              </w:rPr>
              <w:t>生活污水</w:t>
            </w:r>
          </w:p>
          <w:p>
            <w:pPr>
              <w:spacing w:before="150" w:line="365" w:lineRule="auto"/>
              <w:ind w:left="84" w:right="71" w:firstLine="412"/>
              <w:rPr>
                <w:rFonts w:ascii="宋体" w:hAnsi="宋体" w:eastAsia="宋体" w:cs="宋体"/>
                <w:sz w:val="20"/>
                <w:szCs w:val="20"/>
              </w:rPr>
            </w:pPr>
            <w:r>
              <w:rPr>
                <w:rFonts w:ascii="宋体" w:hAnsi="宋体" w:eastAsia="宋体" w:cs="宋体"/>
                <w:spacing w:val="16"/>
                <w:sz w:val="20"/>
                <w:szCs w:val="20"/>
              </w:rPr>
              <w:t>本项目</w:t>
            </w:r>
            <w:r>
              <w:rPr>
                <w:rFonts w:ascii="宋体" w:hAnsi="宋体" w:eastAsia="宋体" w:cs="宋体"/>
                <w:spacing w:val="11"/>
                <w:sz w:val="20"/>
                <w:szCs w:val="20"/>
              </w:rPr>
              <w:t>位</w:t>
            </w:r>
            <w:r>
              <w:rPr>
                <w:rFonts w:ascii="宋体" w:hAnsi="宋体" w:eastAsia="宋体" w:cs="宋体"/>
                <w:spacing w:val="8"/>
                <w:sz w:val="20"/>
                <w:szCs w:val="20"/>
              </w:rPr>
              <w:t>于城市规划区，不设置施工营地，施工场地内设置移动式旱厕，收集施工人</w:t>
            </w:r>
            <w:r>
              <w:rPr>
                <w:rFonts w:ascii="宋体" w:hAnsi="宋体" w:eastAsia="宋体" w:cs="宋体"/>
                <w:sz w:val="20"/>
                <w:szCs w:val="20"/>
              </w:rPr>
              <w:t xml:space="preserve"> </w:t>
            </w:r>
            <w:r>
              <w:rPr>
                <w:rFonts w:ascii="宋体" w:hAnsi="宋体" w:eastAsia="宋体" w:cs="宋体"/>
                <w:spacing w:val="13"/>
                <w:sz w:val="20"/>
                <w:szCs w:val="20"/>
              </w:rPr>
              <w:t>员</w:t>
            </w:r>
            <w:r>
              <w:rPr>
                <w:rFonts w:ascii="宋体" w:hAnsi="宋体" w:eastAsia="宋体" w:cs="宋体"/>
                <w:spacing w:val="9"/>
                <w:sz w:val="20"/>
                <w:szCs w:val="20"/>
              </w:rPr>
              <w:t>生活污水，定期委托环卫部门清运处理，不会对地表水环境造成污染。</w:t>
            </w:r>
          </w:p>
          <w:p>
            <w:pPr>
              <w:spacing w:before="1" w:line="233" w:lineRule="auto"/>
              <w:ind w:left="102"/>
              <w:rPr>
                <w:rFonts w:ascii="黑体" w:hAnsi="黑体" w:eastAsia="黑体" w:cs="黑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8"/>
                <w:sz w:val="22"/>
                <w:szCs w:val="22"/>
              </w:rPr>
              <w:t xml:space="preserve"> </w:t>
            </w:r>
            <w:r>
              <w:rPr>
                <w:rFonts w:ascii="黑体" w:hAnsi="黑体" w:eastAsia="黑体" w:cs="黑体"/>
                <w:spacing w:val="-8"/>
                <w:sz w:val="22"/>
                <w:szCs w:val="22"/>
              </w:rPr>
              <w:t>、施工噪声</w:t>
            </w:r>
          </w:p>
          <w:p>
            <w:pPr>
              <w:spacing w:before="131" w:line="369" w:lineRule="auto"/>
              <w:ind w:left="75" w:right="70" w:firstLine="420"/>
              <w:rPr>
                <w:rFonts w:ascii="宋体" w:hAnsi="宋体" w:eastAsia="宋体" w:cs="宋体"/>
                <w:sz w:val="20"/>
                <w:szCs w:val="20"/>
              </w:rPr>
            </w:pPr>
            <w:r>
              <w:rPr>
                <w:rFonts w:ascii="宋体" w:hAnsi="宋体" w:eastAsia="宋体" w:cs="宋体"/>
                <w:spacing w:val="6"/>
                <w:sz w:val="20"/>
                <w:szCs w:val="20"/>
              </w:rPr>
              <w:t>施工噪声主要来源挖掘机、装载机、推土机、 自卸式运输车、沥青摊铺机、压路机</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9"/>
                <w:sz w:val="20"/>
                <w:szCs w:val="20"/>
              </w:rPr>
              <w:t>热熔涂标机等施工机械运行产生的噪声、辅助生产场地生产噪声及物料运输车辆的交通</w:t>
            </w:r>
            <w:r>
              <w:rPr>
                <w:rFonts w:ascii="宋体" w:hAnsi="宋体" w:eastAsia="宋体" w:cs="宋体"/>
                <w:spacing w:val="3"/>
                <w:sz w:val="20"/>
                <w:szCs w:val="20"/>
              </w:rPr>
              <w:t>噪</w:t>
            </w:r>
            <w:r>
              <w:rPr>
                <w:rFonts w:ascii="宋体" w:hAnsi="宋体" w:eastAsia="宋体" w:cs="宋体"/>
                <w:sz w:val="20"/>
                <w:szCs w:val="20"/>
              </w:rPr>
              <w:t xml:space="preserve"> </w:t>
            </w:r>
            <w:r>
              <w:rPr>
                <w:rFonts w:ascii="宋体" w:hAnsi="宋体" w:eastAsia="宋体" w:cs="宋体"/>
                <w:spacing w:val="9"/>
                <w:sz w:val="20"/>
                <w:szCs w:val="20"/>
              </w:rPr>
              <w:t xml:space="preserve">声等，其声级值一般在 </w:t>
            </w:r>
            <w:r>
              <w:rPr>
                <w:rFonts w:ascii="Times New Roman" w:hAnsi="Times New Roman" w:eastAsia="Times New Roman" w:cs="Times New Roman"/>
                <w:spacing w:val="9"/>
                <w:sz w:val="20"/>
                <w:szCs w:val="20"/>
              </w:rPr>
              <w:t>75~90</w:t>
            </w:r>
            <w:r>
              <w:rPr>
                <w:rFonts w:ascii="Times New Roman" w:hAnsi="Times New Roman" w:eastAsia="Times New Roman" w:cs="Times New Roman"/>
                <w:sz w:val="20"/>
                <w:szCs w:val="20"/>
              </w:rPr>
              <w:t>dB</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。在未采取防治措施时，项目昼间、夜间施工将对</w:t>
            </w:r>
            <w:r>
              <w:rPr>
                <w:rFonts w:ascii="宋体" w:hAnsi="宋体" w:eastAsia="宋体" w:cs="宋体"/>
                <w:spacing w:val="7"/>
                <w:sz w:val="20"/>
                <w:szCs w:val="20"/>
              </w:rPr>
              <w:t>周</w:t>
            </w:r>
            <w:r>
              <w:rPr>
                <w:rFonts w:ascii="宋体" w:hAnsi="宋体" w:eastAsia="宋体" w:cs="宋体"/>
                <w:sz w:val="20"/>
                <w:szCs w:val="20"/>
              </w:rPr>
              <w:t xml:space="preserve"> </w:t>
            </w:r>
            <w:r>
              <w:rPr>
                <w:rFonts w:ascii="宋体" w:hAnsi="宋体" w:eastAsia="宋体" w:cs="宋体"/>
                <w:spacing w:val="9"/>
                <w:sz w:val="20"/>
                <w:szCs w:val="20"/>
              </w:rPr>
              <w:t>围敏感点的正常生活、工作造成一定的影响，特别是夜间影响更甚，因此必须采取有效</w:t>
            </w:r>
            <w:r>
              <w:rPr>
                <w:rFonts w:ascii="宋体" w:hAnsi="宋体" w:eastAsia="宋体" w:cs="宋体"/>
                <w:spacing w:val="3"/>
                <w:sz w:val="20"/>
                <w:szCs w:val="20"/>
              </w:rPr>
              <w:t>措</w:t>
            </w:r>
            <w:r>
              <w:rPr>
                <w:rFonts w:ascii="宋体" w:hAnsi="宋体" w:eastAsia="宋体" w:cs="宋体"/>
                <w:sz w:val="20"/>
                <w:szCs w:val="20"/>
              </w:rPr>
              <w:t xml:space="preserve"> </w:t>
            </w:r>
            <w:r>
              <w:rPr>
                <w:rFonts w:ascii="宋体" w:hAnsi="宋体" w:eastAsia="宋体" w:cs="宋体"/>
                <w:spacing w:val="10"/>
                <w:sz w:val="20"/>
                <w:szCs w:val="20"/>
              </w:rPr>
              <w:t>施</w:t>
            </w:r>
            <w:r>
              <w:rPr>
                <w:rFonts w:ascii="宋体" w:hAnsi="宋体" w:eastAsia="宋体" w:cs="宋体"/>
                <w:spacing w:val="8"/>
                <w:sz w:val="20"/>
                <w:szCs w:val="20"/>
              </w:rPr>
              <w:t>对施工噪声加以控制。</w:t>
            </w:r>
          </w:p>
          <w:p>
            <w:pPr>
              <w:spacing w:line="241" w:lineRule="auto"/>
              <w:ind w:left="109"/>
              <w:rPr>
                <w:rFonts w:ascii="黑体" w:hAnsi="黑体" w:eastAsia="黑体" w:cs="黑体"/>
                <w:sz w:val="20"/>
                <w:szCs w:val="20"/>
              </w:rPr>
            </w:pPr>
            <w:r>
              <w:rPr>
                <w:rFonts w:ascii="Times New Roman" w:hAnsi="Times New Roman" w:eastAsia="Times New Roman" w:cs="Times New Roman"/>
                <w:spacing w:val="-2"/>
                <w:sz w:val="20"/>
                <w:szCs w:val="20"/>
              </w:rPr>
              <w:t>5</w:t>
            </w:r>
            <w:r>
              <w:rPr>
                <w:rFonts w:ascii="Times New Roman" w:hAnsi="Times New Roman" w:eastAsia="Times New Roman" w:cs="Times New Roman"/>
                <w:spacing w:val="-1"/>
                <w:sz w:val="20"/>
                <w:szCs w:val="20"/>
              </w:rPr>
              <w:t xml:space="preserve"> </w:t>
            </w:r>
            <w:r>
              <w:rPr>
                <w:rFonts w:ascii="黑体" w:hAnsi="黑体" w:eastAsia="黑体" w:cs="黑体"/>
                <w:spacing w:val="-1"/>
                <w:sz w:val="20"/>
                <w:szCs w:val="20"/>
              </w:rPr>
              <w:t>、固体废物</w:t>
            </w:r>
          </w:p>
          <w:p>
            <w:pPr>
              <w:spacing w:before="139" w:line="227" w:lineRule="auto"/>
              <w:ind w:left="497"/>
              <w:rPr>
                <w:rFonts w:ascii="宋体" w:hAnsi="宋体" w:eastAsia="宋体" w:cs="宋体"/>
                <w:sz w:val="20"/>
                <w:szCs w:val="20"/>
              </w:rPr>
            </w:pPr>
            <w:r>
              <w:rPr>
                <w:rFonts w:ascii="宋体" w:hAnsi="宋体" w:eastAsia="宋体" w:cs="宋体"/>
                <w:spacing w:val="18"/>
                <w:sz w:val="20"/>
                <w:szCs w:val="20"/>
              </w:rPr>
              <w:t>本</w:t>
            </w:r>
            <w:r>
              <w:rPr>
                <w:rFonts w:ascii="宋体" w:hAnsi="宋体" w:eastAsia="宋体" w:cs="宋体"/>
                <w:spacing w:val="11"/>
                <w:sz w:val="20"/>
                <w:szCs w:val="20"/>
              </w:rPr>
              <w:t>工</w:t>
            </w:r>
            <w:r>
              <w:rPr>
                <w:rFonts w:ascii="宋体" w:hAnsi="宋体" w:eastAsia="宋体" w:cs="宋体"/>
                <w:spacing w:val="9"/>
                <w:sz w:val="20"/>
                <w:szCs w:val="20"/>
              </w:rPr>
              <w:t>程施工期固废主要为开挖的土石方、施工建渣、施工人员生活垃圾等。</w:t>
            </w:r>
          </w:p>
          <w:p>
            <w:pPr>
              <w:spacing w:before="138" w:line="229" w:lineRule="auto"/>
              <w:ind w:left="537"/>
              <w:rPr>
                <w:rFonts w:ascii="宋体" w:hAnsi="宋体" w:eastAsia="宋体" w:cs="宋体"/>
                <w:sz w:val="20"/>
                <w:szCs w:val="20"/>
              </w:rPr>
            </w:pPr>
            <w:r>
              <w:rPr>
                <w:rFonts w:ascii="宋体" w:hAnsi="宋体" w:eastAsia="宋体" w:cs="宋体"/>
                <w:spacing w:val="20"/>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20"/>
                <w:sz w:val="20"/>
                <w:szCs w:val="20"/>
              </w:rPr>
              <w:t>1</w:t>
            </w:r>
            <w:r>
              <w:rPr>
                <w:rFonts w:ascii="宋体" w:hAnsi="宋体" w:eastAsia="宋体" w:cs="宋体"/>
                <w:spacing w:val="20"/>
                <w:sz w:val="20"/>
                <w:szCs w:val="20"/>
                <w14:textOutline w14:w="3795" w14:cap="sq" w14:cmpd="sng">
                  <w14:solidFill>
                    <w14:srgbClr w14:val="000000"/>
                  </w14:solidFill>
                  <w14:prstDash w14:val="solid"/>
                  <w14:bevel/>
                </w14:textOutline>
              </w:rPr>
              <w:t>)</w:t>
            </w:r>
            <w:r>
              <w:rPr>
                <w:rFonts w:ascii="宋体" w:hAnsi="宋体" w:eastAsia="宋体" w:cs="宋体"/>
                <w:spacing w:val="20"/>
                <w:sz w:val="20"/>
                <w:szCs w:val="20"/>
              </w:rPr>
              <w:t xml:space="preserve"> </w:t>
            </w:r>
            <w:r>
              <w:rPr>
                <w:rFonts w:ascii="宋体" w:hAnsi="宋体" w:eastAsia="宋体" w:cs="宋体"/>
                <w:spacing w:val="20"/>
                <w:sz w:val="20"/>
                <w:szCs w:val="20"/>
                <w14:textOutline w14:w="3795" w14:cap="sq" w14:cmpd="sng">
                  <w14:solidFill>
                    <w14:srgbClr w14:val="000000"/>
                  </w14:solidFill>
                  <w14:prstDash w14:val="solid"/>
                  <w14:bevel/>
                </w14:textOutline>
              </w:rPr>
              <w:t>土石</w:t>
            </w:r>
            <w:r>
              <w:rPr>
                <w:rFonts w:ascii="宋体" w:hAnsi="宋体" w:eastAsia="宋体" w:cs="宋体"/>
                <w:spacing w:val="18"/>
                <w:sz w:val="20"/>
                <w:szCs w:val="20"/>
                <w14:textOutline w14:w="3795" w14:cap="sq" w14:cmpd="sng">
                  <w14:solidFill>
                    <w14:srgbClr w14:val="000000"/>
                  </w14:solidFill>
                  <w14:prstDash w14:val="solid"/>
                  <w14:bevel/>
                </w14:textOutline>
              </w:rPr>
              <w:t>方</w:t>
            </w:r>
          </w:p>
          <w:p>
            <w:pPr>
              <w:spacing w:before="148" w:line="228" w:lineRule="auto"/>
              <w:ind w:left="496"/>
              <w:rPr>
                <w:rFonts w:ascii="宋体" w:hAnsi="宋体" w:eastAsia="宋体" w:cs="宋体"/>
                <w:sz w:val="20"/>
                <w:szCs w:val="20"/>
              </w:rPr>
            </w:pPr>
            <w:r>
              <w:rPr>
                <w:rFonts w:ascii="宋体" w:hAnsi="宋体" w:eastAsia="宋体" w:cs="宋体"/>
                <w:spacing w:val="13"/>
                <w:sz w:val="20"/>
                <w:szCs w:val="20"/>
              </w:rPr>
              <w:t>根</w:t>
            </w:r>
            <w:r>
              <w:rPr>
                <w:rFonts w:ascii="宋体" w:hAnsi="宋体" w:eastAsia="宋体" w:cs="宋体"/>
                <w:spacing w:val="9"/>
                <w:sz w:val="20"/>
                <w:szCs w:val="20"/>
              </w:rPr>
              <w:t>据工程土石方平衡分析，项目土石方挖填情况如下：</w:t>
            </w:r>
          </w:p>
        </w:tc>
      </w:tr>
    </w:tbl>
    <w:p>
      <w:pPr>
        <w:spacing w:line="218" w:lineRule="exact"/>
        <w:rPr>
          <w:rFonts w:ascii="Arial"/>
          <w:sz w:val="18"/>
        </w:rPr>
      </w:pPr>
    </w:p>
    <w:p>
      <w:pPr>
        <w:sectPr>
          <w:footerReference r:id="rId79" w:type="default"/>
          <w:pgSz w:w="11906" w:h="16839"/>
          <w:pgMar w:top="400" w:right="1472" w:bottom="1475" w:left="1471" w:header="0" w:footer="1315" w:gutter="0"/>
          <w:cols w:space="720" w:num="1"/>
        </w:sectPr>
      </w:pPr>
    </w:p>
    <w:p/>
    <w:p/>
    <w:p/>
    <w:p/>
    <w:p>
      <w:pPr>
        <w:spacing w:line="221" w:lineRule="exact"/>
      </w:pPr>
    </w:p>
    <w:tbl>
      <w:tblPr>
        <w:tblStyle w:val="4"/>
        <w:tblW w:w="894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83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7" w:hRule="atLeast"/>
        </w:trPr>
        <w:tc>
          <w:tcPr>
            <w:tcW w:w="644" w:type="dxa"/>
            <w:tcBorders>
              <w:left w:val="single" w:color="00000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31" w:lineRule="auto"/>
              <w:ind w:left="8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施工</w:t>
            </w:r>
          </w:p>
          <w:p>
            <w:pPr>
              <w:spacing w:before="21" w:line="228" w:lineRule="auto"/>
              <w:ind w:left="91"/>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期生</w:t>
            </w:r>
          </w:p>
          <w:p>
            <w:pPr>
              <w:spacing w:before="25" w:line="230" w:lineRule="auto"/>
              <w:ind w:left="8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态</w:t>
            </w:r>
            <w:r>
              <w:rPr>
                <w:rFonts w:ascii="宋体" w:hAnsi="宋体" w:eastAsia="宋体" w:cs="宋体"/>
                <w:spacing w:val="15"/>
                <w:sz w:val="20"/>
                <w:szCs w:val="20"/>
                <w14:textOutline w14:w="3795" w14:cap="sq" w14:cmpd="sng">
                  <w14:solidFill>
                    <w14:srgbClr w14:val="000000"/>
                  </w14:solidFill>
                  <w14:prstDash w14:val="solid"/>
                  <w14:bevel/>
                </w14:textOutline>
              </w:rPr>
              <w:t>环</w:t>
            </w:r>
          </w:p>
          <w:p>
            <w:pPr>
              <w:spacing w:before="22" w:line="228" w:lineRule="auto"/>
              <w:ind w:left="89"/>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境影</w:t>
            </w:r>
          </w:p>
          <w:p>
            <w:pPr>
              <w:spacing w:before="25" w:line="228" w:lineRule="auto"/>
              <w:ind w:left="99"/>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响分</w:t>
            </w:r>
          </w:p>
          <w:p>
            <w:pPr>
              <w:spacing w:before="26" w:line="228" w:lineRule="auto"/>
              <w:ind w:left="205"/>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析</w:t>
            </w:r>
          </w:p>
        </w:tc>
        <w:tc>
          <w:tcPr>
            <w:tcW w:w="8303" w:type="dxa"/>
            <w:tcBorders>
              <w:right w:val="single" w:color="000000" w:sz="6" w:space="0"/>
            </w:tcBorders>
            <w:vAlign w:val="top"/>
          </w:tcPr>
          <w:p>
            <w:pPr>
              <w:tabs>
                <w:tab w:val="left" w:pos="599"/>
              </w:tabs>
              <w:spacing w:before="155" w:line="369" w:lineRule="auto"/>
              <w:ind w:left="101" w:right="71" w:firstLine="418"/>
              <w:rPr>
                <w:rFonts w:ascii="宋体" w:hAnsi="宋体" w:eastAsia="宋体" w:cs="宋体"/>
                <w:sz w:val="20"/>
                <w:szCs w:val="20"/>
              </w:rPr>
            </w:pPr>
            <w:r>
              <w:rPr>
                <w:rFonts w:ascii="宋体" w:hAnsi="宋体" w:eastAsia="宋体" w:cs="宋体"/>
                <w:sz w:val="17"/>
                <w:szCs w:val="17"/>
              </w:rPr>
              <w:tab/>
            </w:r>
            <w:r>
              <w:rPr>
                <w:rFonts w:ascii="宋体" w:hAnsi="宋体" w:eastAsia="宋体" w:cs="宋体"/>
                <w:spacing w:val="-2"/>
                <w:sz w:val="17"/>
                <w:szCs w:val="17"/>
              </w:rPr>
              <w:t xml:space="preserve">1   </w:t>
            </w:r>
            <w:r>
              <w:rPr>
                <w:rFonts w:ascii="宋体" w:hAnsi="宋体" w:eastAsia="宋体" w:cs="宋体"/>
                <w:spacing w:val="-2"/>
                <w:sz w:val="20"/>
                <w:szCs w:val="20"/>
              </w:rPr>
              <w:t xml:space="preserve">主体工程挖方 </w:t>
            </w:r>
            <w:r>
              <w:rPr>
                <w:rFonts w:ascii="Times New Roman" w:hAnsi="Times New Roman" w:eastAsia="Times New Roman" w:cs="Times New Roman"/>
                <w:spacing w:val="-2"/>
                <w:sz w:val="20"/>
                <w:szCs w:val="20"/>
              </w:rPr>
              <w:t xml:space="preserve">0. 13 </w:t>
            </w:r>
            <w:r>
              <w:rPr>
                <w:rFonts w:ascii="宋体" w:hAnsi="宋体" w:eastAsia="宋体" w:cs="宋体"/>
                <w:spacing w:val="-2"/>
                <w:sz w:val="20"/>
                <w:szCs w:val="20"/>
              </w:rPr>
              <w:t xml:space="preserve">万 </w:t>
            </w:r>
            <w:r>
              <w:rPr>
                <w:rFonts w:ascii="Times New Roman" w:hAnsi="Times New Roman" w:eastAsia="Times New Roman" w:cs="Times New Roman"/>
                <w:spacing w:val="-1"/>
                <w:sz w:val="20"/>
                <w:szCs w:val="20"/>
              </w:rPr>
              <w:t>m</w:t>
            </w:r>
            <w:r>
              <w:rPr>
                <w:rFonts w:ascii="宋体" w:hAnsi="宋体" w:eastAsia="宋体" w:cs="宋体"/>
                <w:spacing w:val="-2"/>
                <w:sz w:val="20"/>
                <w:szCs w:val="20"/>
              </w:rPr>
              <w:t>³ (</w:t>
            </w:r>
            <w:r>
              <w:rPr>
                <w:rFonts w:ascii="宋体" w:hAnsi="宋体" w:eastAsia="宋体" w:cs="宋体"/>
                <w:spacing w:val="-1"/>
                <w:sz w:val="20"/>
                <w:szCs w:val="20"/>
              </w:rPr>
              <w:t xml:space="preserve">含表土剥离 </w:t>
            </w:r>
            <w:r>
              <w:rPr>
                <w:rFonts w:ascii="Times New Roman" w:hAnsi="Times New Roman" w:eastAsia="Times New Roman" w:cs="Times New Roman"/>
                <w:spacing w:val="-1"/>
                <w:sz w:val="20"/>
                <w:szCs w:val="20"/>
              </w:rPr>
              <w:t xml:space="preserve">0.09 </w:t>
            </w:r>
            <w:r>
              <w:rPr>
                <w:rFonts w:ascii="宋体" w:hAnsi="宋体" w:eastAsia="宋体" w:cs="宋体"/>
                <w:spacing w:val="-1"/>
                <w:sz w:val="20"/>
                <w:szCs w:val="20"/>
              </w:rPr>
              <w:t xml:space="preserve">万 </w:t>
            </w:r>
            <w:r>
              <w:rPr>
                <w:rFonts w:ascii="Times New Roman" w:hAnsi="Times New Roman" w:eastAsia="Times New Roman" w:cs="Times New Roman"/>
                <w:spacing w:val="-1"/>
                <w:sz w:val="20"/>
                <w:szCs w:val="20"/>
              </w:rPr>
              <w:t>m</w:t>
            </w:r>
            <w:r>
              <w:rPr>
                <w:rFonts w:ascii="宋体" w:hAnsi="宋体" w:eastAsia="宋体" w:cs="宋体"/>
                <w:spacing w:val="-1"/>
                <w:sz w:val="20"/>
                <w:szCs w:val="20"/>
              </w:rPr>
              <w:t xml:space="preserve">³ 自然方，下同) ，填方 </w:t>
            </w:r>
            <w:r>
              <w:rPr>
                <w:rFonts w:ascii="Times New Roman" w:hAnsi="Times New Roman" w:eastAsia="Times New Roman" w:cs="Times New Roman"/>
                <w:spacing w:val="-1"/>
                <w:sz w:val="20"/>
                <w:szCs w:val="20"/>
              </w:rPr>
              <w:t xml:space="preserve">0.80 </w:t>
            </w:r>
            <w:r>
              <w:rPr>
                <w:rFonts w:ascii="宋体" w:hAnsi="宋体" w:eastAsia="宋体" w:cs="宋体"/>
                <w:spacing w:val="-1"/>
                <w:sz w:val="20"/>
                <w:szCs w:val="20"/>
              </w:rPr>
              <w:t>万</w:t>
            </w:r>
            <w:r>
              <w:rPr>
                <w:rFonts w:ascii="宋体" w:hAnsi="宋体" w:eastAsia="宋体" w:cs="宋体"/>
                <w:sz w:val="20"/>
                <w:szCs w:val="20"/>
              </w:rPr>
              <w:t xml:space="preserve"> </w:t>
            </w:r>
            <w:r>
              <w:rPr>
                <w:rFonts w:ascii="Times New Roman" w:hAnsi="Times New Roman" w:eastAsia="Times New Roman" w:cs="Times New Roman"/>
                <w:sz w:val="20"/>
                <w:szCs w:val="20"/>
              </w:rPr>
              <w:t>m</w:t>
            </w:r>
            <w:r>
              <w:rPr>
                <w:rFonts w:ascii="宋体" w:hAnsi="宋体" w:eastAsia="宋体" w:cs="宋体"/>
                <w:spacing w:val="6"/>
                <w:sz w:val="20"/>
                <w:szCs w:val="20"/>
              </w:rPr>
              <w:t>³ (</w:t>
            </w:r>
            <w:r>
              <w:rPr>
                <w:rFonts w:ascii="宋体" w:hAnsi="宋体" w:eastAsia="宋体" w:cs="宋体"/>
                <w:spacing w:val="4"/>
                <w:sz w:val="20"/>
                <w:szCs w:val="20"/>
              </w:rPr>
              <w:t>含</w:t>
            </w:r>
            <w:r>
              <w:rPr>
                <w:rFonts w:ascii="宋体" w:hAnsi="宋体" w:eastAsia="宋体" w:cs="宋体"/>
                <w:spacing w:val="3"/>
                <w:sz w:val="20"/>
                <w:szCs w:val="20"/>
              </w:rPr>
              <w:t xml:space="preserve">表土回覆 </w:t>
            </w:r>
            <w:r>
              <w:rPr>
                <w:rFonts w:ascii="Times New Roman" w:hAnsi="Times New Roman" w:eastAsia="Times New Roman" w:cs="Times New Roman"/>
                <w:spacing w:val="3"/>
                <w:sz w:val="20"/>
                <w:szCs w:val="20"/>
              </w:rPr>
              <w:t xml:space="preserve">0.09 </w:t>
            </w:r>
            <w:r>
              <w:rPr>
                <w:rFonts w:ascii="宋体" w:hAnsi="宋体" w:eastAsia="宋体" w:cs="宋体"/>
                <w:spacing w:val="3"/>
                <w:sz w:val="20"/>
                <w:szCs w:val="20"/>
              </w:rPr>
              <w:t xml:space="preserve">万 </w:t>
            </w:r>
            <w:r>
              <w:rPr>
                <w:rFonts w:ascii="Times New Roman" w:hAnsi="Times New Roman" w:eastAsia="Times New Roman" w:cs="Times New Roman"/>
                <w:sz w:val="20"/>
                <w:szCs w:val="20"/>
              </w:rPr>
              <w:t>m</w:t>
            </w:r>
            <w:r>
              <w:rPr>
                <w:rFonts w:ascii="宋体" w:hAnsi="宋体" w:eastAsia="宋体" w:cs="宋体"/>
                <w:spacing w:val="3"/>
                <w:sz w:val="20"/>
                <w:szCs w:val="20"/>
              </w:rPr>
              <w:t xml:space="preserve">³ 自然方，下同) ， 由施工临时场地区、施工便道区调入 </w:t>
            </w:r>
            <w:r>
              <w:rPr>
                <w:rFonts w:ascii="Times New Roman" w:hAnsi="Times New Roman" w:eastAsia="Times New Roman" w:cs="Times New Roman"/>
                <w:spacing w:val="3"/>
                <w:sz w:val="20"/>
                <w:szCs w:val="20"/>
              </w:rPr>
              <w:t>0.67</w:t>
            </w:r>
            <w:r>
              <w:rPr>
                <w:rFonts w:ascii="Times New Roman" w:hAnsi="Times New Roman" w:eastAsia="Times New Roman" w:cs="Times New Roman"/>
                <w:sz w:val="20"/>
                <w:szCs w:val="20"/>
              </w:rPr>
              <w:t xml:space="preserve"> </w:t>
            </w:r>
            <w:r>
              <w:rPr>
                <w:rFonts w:ascii="宋体" w:hAnsi="宋体" w:eastAsia="宋体" w:cs="宋体"/>
                <w:spacing w:val="8"/>
                <w:sz w:val="20"/>
                <w:szCs w:val="20"/>
              </w:rPr>
              <w:t xml:space="preserve">万 </w:t>
            </w:r>
            <w:r>
              <w:rPr>
                <w:rFonts w:ascii="Times New Roman" w:hAnsi="Times New Roman" w:eastAsia="Times New Roman" w:cs="Times New Roman"/>
                <w:sz w:val="20"/>
                <w:szCs w:val="20"/>
              </w:rPr>
              <w:t>m</w:t>
            </w:r>
            <w:r>
              <w:rPr>
                <w:rFonts w:ascii="宋体" w:hAnsi="宋体" w:eastAsia="宋体" w:cs="宋体"/>
                <w:spacing w:val="6"/>
                <w:sz w:val="20"/>
                <w:szCs w:val="20"/>
              </w:rPr>
              <w:t>³</w:t>
            </w:r>
            <w:r>
              <w:rPr>
                <w:rFonts w:ascii="宋体" w:hAnsi="宋体" w:eastAsia="宋体" w:cs="宋体"/>
                <w:spacing w:val="4"/>
                <w:sz w:val="20"/>
                <w:szCs w:val="20"/>
              </w:rPr>
              <w:t>土石方，无弃方产生。</w:t>
            </w:r>
          </w:p>
          <w:p>
            <w:pPr>
              <w:tabs>
                <w:tab w:val="left" w:pos="587"/>
              </w:tabs>
              <w:spacing w:before="2" w:line="369" w:lineRule="auto"/>
              <w:ind w:left="108" w:right="74" w:firstLine="410"/>
              <w:rPr>
                <w:rFonts w:ascii="宋体" w:hAnsi="宋体" w:eastAsia="宋体" w:cs="宋体"/>
                <w:sz w:val="20"/>
                <w:szCs w:val="20"/>
              </w:rPr>
            </w:pPr>
            <w:r>
              <w:rPr>
                <w:rFonts w:ascii="宋体" w:hAnsi="宋体" w:eastAsia="宋体" w:cs="宋体"/>
                <w:sz w:val="17"/>
                <w:szCs w:val="17"/>
              </w:rPr>
              <w:tab/>
            </w:r>
            <w:r>
              <w:rPr>
                <w:rFonts w:ascii="宋体" w:hAnsi="宋体" w:eastAsia="宋体" w:cs="宋体"/>
                <w:spacing w:val="2"/>
                <w:sz w:val="17"/>
                <w:szCs w:val="17"/>
              </w:rPr>
              <w:t xml:space="preserve">2   </w:t>
            </w:r>
            <w:r>
              <w:rPr>
                <w:rFonts w:ascii="宋体" w:hAnsi="宋体" w:eastAsia="宋体" w:cs="宋体"/>
                <w:spacing w:val="2"/>
                <w:sz w:val="20"/>
                <w:szCs w:val="20"/>
              </w:rPr>
              <w:t xml:space="preserve">施工便道挖方 </w:t>
            </w:r>
            <w:r>
              <w:rPr>
                <w:rFonts w:ascii="Times New Roman" w:hAnsi="Times New Roman" w:eastAsia="Times New Roman" w:cs="Times New Roman"/>
                <w:spacing w:val="2"/>
                <w:sz w:val="20"/>
                <w:szCs w:val="20"/>
              </w:rPr>
              <w:t xml:space="preserve">0.02 </w:t>
            </w:r>
            <w:r>
              <w:rPr>
                <w:rFonts w:ascii="宋体" w:hAnsi="宋体" w:eastAsia="宋体" w:cs="宋体"/>
                <w:spacing w:val="2"/>
                <w:sz w:val="20"/>
                <w:szCs w:val="20"/>
              </w:rPr>
              <w:t xml:space="preserve">万 </w:t>
            </w:r>
            <w:r>
              <w:rPr>
                <w:rFonts w:ascii="Times New Roman" w:hAnsi="Times New Roman" w:eastAsia="Times New Roman" w:cs="Times New Roman"/>
                <w:sz w:val="20"/>
                <w:szCs w:val="20"/>
              </w:rPr>
              <w:t>m</w:t>
            </w:r>
            <w:r>
              <w:rPr>
                <w:rFonts w:ascii="宋体" w:hAnsi="宋体" w:eastAsia="宋体" w:cs="宋体"/>
                <w:spacing w:val="2"/>
                <w:sz w:val="20"/>
                <w:szCs w:val="20"/>
              </w:rPr>
              <w:t xml:space="preserve">³ ，无填方，调出 </w:t>
            </w:r>
            <w:r>
              <w:rPr>
                <w:rFonts w:ascii="Times New Roman" w:hAnsi="Times New Roman" w:eastAsia="Times New Roman" w:cs="Times New Roman"/>
                <w:spacing w:val="2"/>
                <w:sz w:val="20"/>
                <w:szCs w:val="20"/>
              </w:rPr>
              <w:t>0.0</w:t>
            </w:r>
            <w:r>
              <w:rPr>
                <w:rFonts w:ascii="Times New Roman" w:hAnsi="Times New Roman" w:eastAsia="Times New Roman" w:cs="Times New Roman"/>
                <w:spacing w:val="1"/>
                <w:sz w:val="20"/>
                <w:szCs w:val="20"/>
              </w:rPr>
              <w:t xml:space="preserve">2 </w:t>
            </w:r>
            <w:r>
              <w:rPr>
                <w:rFonts w:ascii="宋体" w:hAnsi="宋体" w:eastAsia="宋体" w:cs="宋体"/>
                <w:spacing w:val="1"/>
                <w:sz w:val="20"/>
                <w:szCs w:val="20"/>
              </w:rPr>
              <w:t xml:space="preserve">万 </w:t>
            </w:r>
            <w:r>
              <w:rPr>
                <w:rFonts w:ascii="Times New Roman" w:hAnsi="Times New Roman" w:eastAsia="Times New Roman" w:cs="Times New Roman"/>
                <w:sz w:val="20"/>
                <w:szCs w:val="20"/>
              </w:rPr>
              <w:t>m</w:t>
            </w:r>
            <w:r>
              <w:rPr>
                <w:rFonts w:ascii="宋体" w:hAnsi="宋体" w:eastAsia="宋体" w:cs="宋体"/>
                <w:spacing w:val="1"/>
                <w:sz w:val="20"/>
                <w:szCs w:val="20"/>
              </w:rPr>
              <w:t>³土石方至主体工程区，无弃</w:t>
            </w:r>
            <w:r>
              <w:rPr>
                <w:rFonts w:ascii="宋体" w:hAnsi="宋体" w:eastAsia="宋体" w:cs="宋体"/>
                <w:sz w:val="20"/>
                <w:szCs w:val="20"/>
              </w:rPr>
              <w:t xml:space="preserve"> </w:t>
            </w:r>
            <w:r>
              <w:rPr>
                <w:rFonts w:ascii="宋体" w:hAnsi="宋体" w:eastAsia="宋体" w:cs="宋体"/>
                <w:spacing w:val="5"/>
                <w:sz w:val="20"/>
                <w:szCs w:val="20"/>
              </w:rPr>
              <w:t>方产生</w:t>
            </w:r>
            <w:r>
              <w:rPr>
                <w:rFonts w:ascii="宋体" w:hAnsi="宋体" w:eastAsia="宋体" w:cs="宋体"/>
                <w:spacing w:val="4"/>
                <w:sz w:val="20"/>
                <w:szCs w:val="20"/>
              </w:rPr>
              <w:t>。</w:t>
            </w:r>
          </w:p>
          <w:p>
            <w:pPr>
              <w:tabs>
                <w:tab w:val="left" w:pos="590"/>
              </w:tabs>
              <w:spacing w:line="369" w:lineRule="auto"/>
              <w:ind w:left="107" w:right="71" w:firstLine="411"/>
              <w:rPr>
                <w:rFonts w:ascii="宋体" w:hAnsi="宋体" w:eastAsia="宋体" w:cs="宋体"/>
                <w:sz w:val="20"/>
                <w:szCs w:val="20"/>
              </w:rPr>
            </w:pPr>
            <w:r>
              <w:rPr>
                <w:rFonts w:ascii="宋体" w:hAnsi="宋体" w:eastAsia="宋体" w:cs="宋体"/>
                <w:sz w:val="17"/>
                <w:szCs w:val="17"/>
              </w:rPr>
              <w:tab/>
            </w:r>
            <w:r>
              <w:rPr>
                <w:rFonts w:ascii="宋体" w:hAnsi="宋体" w:eastAsia="宋体" w:cs="宋体"/>
                <w:spacing w:val="-2"/>
                <w:sz w:val="17"/>
                <w:szCs w:val="17"/>
              </w:rPr>
              <w:t xml:space="preserve">3   </w:t>
            </w:r>
            <w:r>
              <w:rPr>
                <w:rFonts w:ascii="宋体" w:hAnsi="宋体" w:eastAsia="宋体" w:cs="宋体"/>
                <w:spacing w:val="-2"/>
                <w:sz w:val="20"/>
                <w:szCs w:val="20"/>
              </w:rPr>
              <w:t xml:space="preserve">施工临时场地区挖方 </w:t>
            </w:r>
            <w:r>
              <w:rPr>
                <w:rFonts w:ascii="Times New Roman" w:hAnsi="Times New Roman" w:eastAsia="Times New Roman" w:cs="Times New Roman"/>
                <w:spacing w:val="-2"/>
                <w:sz w:val="20"/>
                <w:szCs w:val="20"/>
              </w:rPr>
              <w:t xml:space="preserve">0.95 </w:t>
            </w:r>
            <w:r>
              <w:rPr>
                <w:rFonts w:ascii="宋体" w:hAnsi="宋体" w:eastAsia="宋体" w:cs="宋体"/>
                <w:spacing w:val="-2"/>
                <w:sz w:val="20"/>
                <w:szCs w:val="20"/>
              </w:rPr>
              <w:t xml:space="preserve">万 </w:t>
            </w:r>
            <w:r>
              <w:rPr>
                <w:rFonts w:ascii="Times New Roman" w:hAnsi="Times New Roman" w:eastAsia="Times New Roman" w:cs="Times New Roman"/>
                <w:spacing w:val="-1"/>
                <w:sz w:val="20"/>
                <w:szCs w:val="20"/>
              </w:rPr>
              <w:t>m</w:t>
            </w:r>
            <w:r>
              <w:rPr>
                <w:rFonts w:ascii="宋体" w:hAnsi="宋体" w:eastAsia="宋体" w:cs="宋体"/>
                <w:spacing w:val="-2"/>
                <w:sz w:val="20"/>
                <w:szCs w:val="20"/>
              </w:rPr>
              <w:t>³</w:t>
            </w:r>
            <w:r>
              <w:rPr>
                <w:rFonts w:ascii="宋体" w:hAnsi="宋体" w:eastAsia="宋体" w:cs="宋体"/>
                <w:spacing w:val="-1"/>
                <w:sz w:val="20"/>
                <w:szCs w:val="20"/>
              </w:rPr>
              <w:t xml:space="preserve"> ，填方 </w:t>
            </w:r>
            <w:r>
              <w:rPr>
                <w:rFonts w:ascii="Times New Roman" w:hAnsi="Times New Roman" w:eastAsia="Times New Roman" w:cs="Times New Roman"/>
                <w:spacing w:val="-1"/>
                <w:sz w:val="20"/>
                <w:szCs w:val="20"/>
              </w:rPr>
              <w:t xml:space="preserve">0.30 </w:t>
            </w:r>
            <w:r>
              <w:rPr>
                <w:rFonts w:ascii="宋体" w:hAnsi="宋体" w:eastAsia="宋体" w:cs="宋体"/>
                <w:spacing w:val="-1"/>
                <w:sz w:val="20"/>
                <w:szCs w:val="20"/>
              </w:rPr>
              <w:t xml:space="preserve">万 </w:t>
            </w:r>
            <w:r>
              <w:rPr>
                <w:rFonts w:ascii="Times New Roman" w:hAnsi="Times New Roman" w:eastAsia="Times New Roman" w:cs="Times New Roman"/>
                <w:spacing w:val="-1"/>
                <w:sz w:val="20"/>
                <w:szCs w:val="20"/>
              </w:rPr>
              <w:t>m</w:t>
            </w:r>
            <w:r>
              <w:rPr>
                <w:rFonts w:ascii="宋体" w:hAnsi="宋体" w:eastAsia="宋体" w:cs="宋体"/>
                <w:spacing w:val="-1"/>
                <w:sz w:val="20"/>
                <w:szCs w:val="20"/>
              </w:rPr>
              <w:t xml:space="preserve">³ ，剩下的 </w:t>
            </w:r>
            <w:r>
              <w:rPr>
                <w:rFonts w:ascii="Times New Roman" w:hAnsi="Times New Roman" w:eastAsia="Times New Roman" w:cs="Times New Roman"/>
                <w:spacing w:val="-1"/>
                <w:sz w:val="20"/>
                <w:szCs w:val="20"/>
              </w:rPr>
              <w:t xml:space="preserve">0.65 </w:t>
            </w:r>
            <w:r>
              <w:rPr>
                <w:rFonts w:ascii="宋体" w:hAnsi="宋体" w:eastAsia="宋体" w:cs="宋体"/>
                <w:spacing w:val="-1"/>
                <w:sz w:val="20"/>
                <w:szCs w:val="20"/>
              </w:rPr>
              <w:t xml:space="preserve">万 </w:t>
            </w:r>
            <w:r>
              <w:rPr>
                <w:rFonts w:ascii="Times New Roman" w:hAnsi="Times New Roman" w:eastAsia="Times New Roman" w:cs="Times New Roman"/>
                <w:spacing w:val="-1"/>
                <w:sz w:val="20"/>
                <w:szCs w:val="20"/>
              </w:rPr>
              <w:t>m</w:t>
            </w:r>
            <w:r>
              <w:rPr>
                <w:rFonts w:ascii="宋体" w:hAnsi="宋体" w:eastAsia="宋体" w:cs="宋体"/>
                <w:spacing w:val="-1"/>
                <w:sz w:val="20"/>
                <w:szCs w:val="20"/>
              </w:rPr>
              <w:t>³主要是围</w:t>
            </w:r>
            <w:r>
              <w:rPr>
                <w:rFonts w:ascii="宋体" w:hAnsi="宋体" w:eastAsia="宋体" w:cs="宋体"/>
                <w:sz w:val="20"/>
                <w:szCs w:val="20"/>
              </w:rPr>
              <w:t xml:space="preserve"> </w:t>
            </w:r>
            <w:r>
              <w:rPr>
                <w:rFonts w:ascii="宋体" w:hAnsi="宋体" w:eastAsia="宋体" w:cs="宋体"/>
                <w:spacing w:val="14"/>
                <w:sz w:val="20"/>
                <w:szCs w:val="20"/>
              </w:rPr>
              <w:t>堰拆除</w:t>
            </w:r>
            <w:r>
              <w:rPr>
                <w:rFonts w:ascii="宋体" w:hAnsi="宋体" w:eastAsia="宋体" w:cs="宋体"/>
                <w:spacing w:val="12"/>
                <w:sz w:val="20"/>
                <w:szCs w:val="20"/>
              </w:rPr>
              <w:t>后</w:t>
            </w:r>
            <w:r>
              <w:rPr>
                <w:rFonts w:ascii="宋体" w:hAnsi="宋体" w:eastAsia="宋体" w:cs="宋体"/>
                <w:spacing w:val="7"/>
                <w:sz w:val="20"/>
                <w:szCs w:val="20"/>
              </w:rPr>
              <w:t>产生的土方和石方、清理礁石产生的石方 (将作为填筑材料利用) ，用于回填主</w:t>
            </w:r>
            <w:r>
              <w:rPr>
                <w:rFonts w:ascii="宋体" w:hAnsi="宋体" w:eastAsia="宋体" w:cs="宋体"/>
                <w:sz w:val="20"/>
                <w:szCs w:val="20"/>
              </w:rPr>
              <w:t xml:space="preserve"> </w:t>
            </w:r>
            <w:r>
              <w:rPr>
                <w:rFonts w:ascii="宋体" w:hAnsi="宋体" w:eastAsia="宋体" w:cs="宋体"/>
                <w:spacing w:val="9"/>
                <w:sz w:val="20"/>
                <w:szCs w:val="20"/>
              </w:rPr>
              <w:t>体</w:t>
            </w:r>
            <w:r>
              <w:rPr>
                <w:rFonts w:ascii="宋体" w:hAnsi="宋体" w:eastAsia="宋体" w:cs="宋体"/>
                <w:spacing w:val="8"/>
                <w:sz w:val="20"/>
                <w:szCs w:val="20"/>
              </w:rPr>
              <w:t>工程区，无弃方产生。</w:t>
            </w:r>
          </w:p>
          <w:p>
            <w:pPr>
              <w:spacing w:before="1" w:line="368" w:lineRule="auto"/>
              <w:ind w:left="92" w:right="71" w:firstLine="406"/>
              <w:rPr>
                <w:rFonts w:ascii="宋体" w:hAnsi="宋体" w:eastAsia="宋体" w:cs="宋体"/>
                <w:sz w:val="20"/>
                <w:szCs w:val="20"/>
              </w:rPr>
            </w:pPr>
            <w:r>
              <w:rPr>
                <w:rFonts w:ascii="宋体" w:hAnsi="宋体" w:eastAsia="宋体" w:cs="宋体"/>
                <w:spacing w:val="2"/>
                <w:sz w:val="20"/>
                <w:szCs w:val="20"/>
              </w:rPr>
              <w:t xml:space="preserve">综上，项目挖方总量为 </w:t>
            </w:r>
            <w:r>
              <w:rPr>
                <w:rFonts w:ascii="Times New Roman" w:hAnsi="Times New Roman" w:eastAsia="Times New Roman" w:cs="Times New Roman"/>
                <w:spacing w:val="2"/>
                <w:sz w:val="20"/>
                <w:szCs w:val="20"/>
              </w:rPr>
              <w:t xml:space="preserve">1. 10 </w:t>
            </w:r>
            <w:r>
              <w:rPr>
                <w:rFonts w:ascii="宋体" w:hAnsi="宋体" w:eastAsia="宋体" w:cs="宋体"/>
                <w:spacing w:val="2"/>
                <w:sz w:val="20"/>
                <w:szCs w:val="20"/>
              </w:rPr>
              <w:t xml:space="preserve">万 </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³  </w:t>
            </w:r>
            <w:r>
              <w:rPr>
                <w:rFonts w:ascii="宋体" w:hAnsi="宋体" w:eastAsia="宋体" w:cs="宋体"/>
                <w:spacing w:val="2"/>
                <w:sz w:val="20"/>
                <w:szCs w:val="20"/>
              </w:rPr>
              <w:t xml:space="preserve">(含表土剥离 </w:t>
            </w:r>
            <w:r>
              <w:rPr>
                <w:rFonts w:ascii="Times New Roman" w:hAnsi="Times New Roman" w:eastAsia="Times New Roman" w:cs="Times New Roman"/>
                <w:spacing w:val="2"/>
                <w:sz w:val="20"/>
                <w:szCs w:val="20"/>
              </w:rPr>
              <w:t xml:space="preserve">0.09 </w:t>
            </w:r>
            <w:r>
              <w:rPr>
                <w:rFonts w:ascii="宋体" w:hAnsi="宋体" w:eastAsia="宋体" w:cs="宋体"/>
                <w:spacing w:val="2"/>
                <w:sz w:val="20"/>
                <w:szCs w:val="20"/>
              </w:rPr>
              <w:t xml:space="preserve">万 </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³ </w:t>
            </w:r>
            <w:r>
              <w:rPr>
                <w:rFonts w:ascii="宋体" w:hAnsi="宋体" w:eastAsia="宋体" w:cs="宋体"/>
                <w:spacing w:val="2"/>
                <w:sz w:val="20"/>
                <w:szCs w:val="20"/>
              </w:rPr>
              <w:t xml:space="preserve">， </w:t>
            </w:r>
            <w:r>
              <w:rPr>
                <w:rFonts w:ascii="宋体" w:hAnsi="宋体" w:eastAsia="宋体" w:cs="宋体"/>
                <w:spacing w:val="1"/>
                <w:sz w:val="20"/>
                <w:szCs w:val="20"/>
              </w:rPr>
              <w:t>自然方) ，填方总量为</w:t>
            </w:r>
            <w:r>
              <w:rPr>
                <w:rFonts w:ascii="宋体" w:hAnsi="宋体" w:eastAsia="宋体" w:cs="宋体"/>
                <w:sz w:val="20"/>
                <w:szCs w:val="20"/>
              </w:rPr>
              <w:t xml:space="preserve"> </w:t>
            </w:r>
            <w:r>
              <w:rPr>
                <w:rFonts w:ascii="Times New Roman" w:hAnsi="Times New Roman" w:eastAsia="Times New Roman" w:cs="Times New Roman"/>
                <w:spacing w:val="2"/>
                <w:sz w:val="20"/>
                <w:szCs w:val="20"/>
              </w:rPr>
              <w:t xml:space="preserve">1. 10 </w:t>
            </w:r>
            <w:r>
              <w:rPr>
                <w:rFonts w:ascii="宋体" w:hAnsi="宋体" w:eastAsia="宋体" w:cs="宋体"/>
                <w:spacing w:val="2"/>
                <w:sz w:val="20"/>
                <w:szCs w:val="20"/>
              </w:rPr>
              <w:t xml:space="preserve">万 </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³  </w:t>
            </w:r>
            <w:r>
              <w:rPr>
                <w:rFonts w:ascii="宋体" w:hAnsi="宋体" w:eastAsia="宋体" w:cs="宋体"/>
                <w:spacing w:val="1"/>
                <w:sz w:val="20"/>
                <w:szCs w:val="20"/>
              </w:rPr>
              <w:t xml:space="preserve">(含表土回覆 </w:t>
            </w:r>
            <w:r>
              <w:rPr>
                <w:rFonts w:ascii="Times New Roman" w:hAnsi="Times New Roman" w:eastAsia="Times New Roman" w:cs="Times New Roman"/>
                <w:spacing w:val="1"/>
                <w:sz w:val="20"/>
                <w:szCs w:val="20"/>
              </w:rPr>
              <w:t xml:space="preserve">0.09 </w:t>
            </w:r>
            <w:r>
              <w:rPr>
                <w:rFonts w:ascii="宋体" w:hAnsi="宋体" w:eastAsia="宋体" w:cs="宋体"/>
                <w:spacing w:val="1"/>
                <w:sz w:val="20"/>
                <w:szCs w:val="20"/>
              </w:rPr>
              <w:t xml:space="preserve">万 </w:t>
            </w:r>
            <w:r>
              <w:rPr>
                <w:rFonts w:ascii="Times New Roman" w:hAnsi="Times New Roman" w:eastAsia="Times New Roman" w:cs="Times New Roman"/>
                <w:sz w:val="20"/>
                <w:szCs w:val="20"/>
              </w:rPr>
              <w:t>m</w:t>
            </w:r>
            <w:r>
              <w:rPr>
                <w:rFonts w:ascii="Times New Roman" w:hAnsi="Times New Roman" w:eastAsia="Times New Roman" w:cs="Times New Roman"/>
                <w:spacing w:val="1"/>
                <w:sz w:val="20"/>
                <w:szCs w:val="20"/>
              </w:rPr>
              <w:t>³</w:t>
            </w:r>
            <w:r>
              <w:rPr>
                <w:rFonts w:ascii="宋体" w:hAnsi="宋体" w:eastAsia="宋体" w:cs="宋体"/>
                <w:spacing w:val="1"/>
                <w:sz w:val="20"/>
                <w:szCs w:val="20"/>
              </w:rPr>
              <w:t>) ，无弃方产生，不设弃土场。</w:t>
            </w:r>
          </w:p>
          <w:p>
            <w:pPr>
              <w:spacing w:line="364" w:lineRule="auto"/>
              <w:ind w:left="75" w:right="71" w:firstLine="420"/>
              <w:rPr>
                <w:rFonts w:ascii="宋体" w:hAnsi="宋体" w:eastAsia="宋体" w:cs="宋体"/>
                <w:sz w:val="20"/>
                <w:szCs w:val="20"/>
              </w:rPr>
            </w:pPr>
            <w:r>
              <w:rPr>
                <w:rFonts w:ascii="宋体" w:hAnsi="宋体" w:eastAsia="宋体" w:cs="宋体"/>
                <w:spacing w:val="9"/>
                <w:sz w:val="20"/>
                <w:szCs w:val="20"/>
              </w:rPr>
              <w:t>废弃土石方及建渣临时堆放若不采取防雨、防尘等措施，长期堆放遇雨会形成新的</w:t>
            </w:r>
            <w:r>
              <w:rPr>
                <w:rFonts w:ascii="宋体" w:hAnsi="宋体" w:eastAsia="宋体" w:cs="宋体"/>
                <w:spacing w:val="1"/>
                <w:sz w:val="20"/>
                <w:szCs w:val="20"/>
              </w:rPr>
              <w:t>水</w:t>
            </w:r>
            <w:r>
              <w:rPr>
                <w:rFonts w:ascii="宋体" w:hAnsi="宋体" w:eastAsia="宋体" w:cs="宋体"/>
                <w:sz w:val="20"/>
                <w:szCs w:val="20"/>
              </w:rPr>
              <w:t xml:space="preserve"> </w:t>
            </w:r>
            <w:r>
              <w:rPr>
                <w:rFonts w:ascii="宋体" w:hAnsi="宋体" w:eastAsia="宋体" w:cs="宋体"/>
                <w:spacing w:val="9"/>
                <w:sz w:val="20"/>
                <w:szCs w:val="20"/>
              </w:rPr>
              <w:t>土流失，对河道水质造成影响；还会破坏沿线的自然景观，影响施工以及交通，对附近</w:t>
            </w:r>
            <w:r>
              <w:rPr>
                <w:rFonts w:ascii="宋体" w:hAnsi="宋体" w:eastAsia="宋体" w:cs="宋体"/>
                <w:spacing w:val="3"/>
                <w:sz w:val="20"/>
                <w:szCs w:val="20"/>
              </w:rPr>
              <w:t>地</w:t>
            </w:r>
            <w:r>
              <w:rPr>
                <w:rFonts w:ascii="宋体" w:hAnsi="宋体" w:eastAsia="宋体" w:cs="宋体"/>
                <w:sz w:val="20"/>
                <w:szCs w:val="20"/>
              </w:rPr>
              <w:t xml:space="preserve"> </w:t>
            </w:r>
            <w:r>
              <w:rPr>
                <w:rFonts w:ascii="宋体" w:hAnsi="宋体" w:eastAsia="宋体" w:cs="宋体"/>
                <w:spacing w:val="18"/>
                <w:sz w:val="20"/>
                <w:szCs w:val="20"/>
              </w:rPr>
              <w:t>表</w:t>
            </w:r>
            <w:r>
              <w:rPr>
                <w:rFonts w:ascii="宋体" w:hAnsi="宋体" w:eastAsia="宋体" w:cs="宋体"/>
                <w:spacing w:val="15"/>
                <w:sz w:val="20"/>
                <w:szCs w:val="20"/>
              </w:rPr>
              <w:t>水</w:t>
            </w:r>
            <w:r>
              <w:rPr>
                <w:rFonts w:ascii="宋体" w:hAnsi="宋体" w:eastAsia="宋体" w:cs="宋体"/>
                <w:spacing w:val="9"/>
                <w:sz w:val="20"/>
                <w:szCs w:val="20"/>
              </w:rPr>
              <w:t>和土壤也会造成影响；遇风会产生二次污染，对区域环境空气造成影响。</w:t>
            </w:r>
          </w:p>
          <w:p>
            <w:pPr>
              <w:spacing w:line="229" w:lineRule="auto"/>
              <w:ind w:left="537"/>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8"/>
                <w:sz w:val="20"/>
                <w:szCs w:val="20"/>
              </w:rPr>
              <w:t>2</w:t>
            </w: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宋体" w:hAnsi="宋体" w:eastAsia="宋体" w:cs="宋体"/>
                <w:spacing w:val="18"/>
                <w:sz w:val="20"/>
                <w:szCs w:val="20"/>
              </w:rPr>
              <w:t xml:space="preserve"> </w:t>
            </w:r>
            <w:r>
              <w:rPr>
                <w:rFonts w:ascii="宋体" w:hAnsi="宋体" w:eastAsia="宋体" w:cs="宋体"/>
                <w:spacing w:val="18"/>
                <w:sz w:val="20"/>
                <w:szCs w:val="20"/>
                <w14:textOutline w14:w="3795" w14:cap="sq" w14:cmpd="sng">
                  <w14:solidFill>
                    <w14:srgbClr w14:val="000000"/>
                  </w14:solidFill>
                  <w14:prstDash w14:val="solid"/>
                  <w14:bevel/>
                </w14:textOutline>
              </w:rPr>
              <w:t>施工建渣</w:t>
            </w:r>
          </w:p>
          <w:p>
            <w:pPr>
              <w:spacing w:before="148" w:line="362" w:lineRule="auto"/>
              <w:ind w:left="110" w:right="71" w:firstLine="420"/>
              <w:rPr>
                <w:rFonts w:ascii="宋体" w:hAnsi="宋体" w:eastAsia="宋体" w:cs="宋体"/>
                <w:sz w:val="20"/>
                <w:szCs w:val="20"/>
              </w:rPr>
            </w:pPr>
            <w:r>
              <w:rPr>
                <w:rFonts w:ascii="宋体" w:hAnsi="宋体" w:eastAsia="宋体" w:cs="宋体"/>
                <w:spacing w:val="8"/>
                <w:sz w:val="20"/>
                <w:szCs w:val="20"/>
              </w:rPr>
              <w:t>项目施工过程中建筑垃圾主要有废钢筋、废焊丝、废模板、干化泥饼等，若不及时</w:t>
            </w:r>
            <w:r>
              <w:rPr>
                <w:rFonts w:ascii="宋体" w:hAnsi="宋体" w:eastAsia="宋体" w:cs="宋体"/>
                <w:spacing w:val="2"/>
                <w:sz w:val="20"/>
                <w:szCs w:val="20"/>
              </w:rPr>
              <w:t>清</w:t>
            </w:r>
            <w:r>
              <w:rPr>
                <w:rFonts w:ascii="宋体" w:hAnsi="宋体" w:eastAsia="宋体" w:cs="宋体"/>
                <w:sz w:val="20"/>
                <w:szCs w:val="20"/>
              </w:rPr>
              <w:t xml:space="preserve"> </w:t>
            </w:r>
            <w:r>
              <w:rPr>
                <w:rFonts w:ascii="宋体" w:hAnsi="宋体" w:eastAsia="宋体" w:cs="宋体"/>
                <w:spacing w:val="10"/>
                <w:sz w:val="20"/>
                <w:szCs w:val="20"/>
              </w:rPr>
              <w:t>理</w:t>
            </w:r>
            <w:r>
              <w:rPr>
                <w:rFonts w:ascii="宋体" w:hAnsi="宋体" w:eastAsia="宋体" w:cs="宋体"/>
                <w:spacing w:val="9"/>
                <w:sz w:val="20"/>
                <w:szCs w:val="20"/>
              </w:rPr>
              <w:t>或随意堆放，也会对周围地表水和土壤造成污染影响。</w:t>
            </w:r>
          </w:p>
          <w:p>
            <w:pPr>
              <w:spacing w:line="228" w:lineRule="auto"/>
              <w:ind w:left="537"/>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8"/>
                <w:sz w:val="20"/>
                <w:szCs w:val="20"/>
              </w:rPr>
              <w:t>3</w:t>
            </w: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宋体" w:hAnsi="宋体" w:eastAsia="宋体" w:cs="宋体"/>
                <w:spacing w:val="18"/>
                <w:sz w:val="20"/>
                <w:szCs w:val="20"/>
              </w:rPr>
              <w:t xml:space="preserve"> </w:t>
            </w:r>
            <w:r>
              <w:rPr>
                <w:rFonts w:ascii="宋体" w:hAnsi="宋体" w:eastAsia="宋体" w:cs="宋体"/>
                <w:spacing w:val="18"/>
                <w:sz w:val="20"/>
                <w:szCs w:val="20"/>
                <w14:textOutline w14:w="3795" w14:cap="sq" w14:cmpd="sng">
                  <w14:solidFill>
                    <w14:srgbClr w14:val="000000"/>
                  </w14:solidFill>
                  <w14:prstDash w14:val="solid"/>
                  <w14:bevel/>
                </w14:textOutline>
              </w:rPr>
              <w:t>生活垃圾</w:t>
            </w:r>
          </w:p>
          <w:p>
            <w:pPr>
              <w:spacing w:before="149" w:line="369" w:lineRule="auto"/>
              <w:ind w:left="126" w:right="71" w:firstLine="400"/>
              <w:rPr>
                <w:rFonts w:ascii="宋体" w:hAnsi="宋体" w:eastAsia="宋体" w:cs="宋体"/>
                <w:sz w:val="20"/>
                <w:szCs w:val="20"/>
              </w:rPr>
            </w:pPr>
            <w:r>
              <w:rPr>
                <w:rFonts w:ascii="宋体" w:hAnsi="宋体" w:eastAsia="宋体" w:cs="宋体"/>
                <w:spacing w:val="8"/>
                <w:sz w:val="20"/>
                <w:szCs w:val="20"/>
              </w:rPr>
              <w:t>施工期施工工人在会产生少量的生活垃圾，不加以集中收集，会出现垃圾遍地，对</w:t>
            </w:r>
            <w:r>
              <w:rPr>
                <w:rFonts w:ascii="宋体" w:hAnsi="宋体" w:eastAsia="宋体" w:cs="宋体"/>
                <w:spacing w:val="6"/>
                <w:sz w:val="20"/>
                <w:szCs w:val="20"/>
              </w:rPr>
              <w:t>周</w:t>
            </w:r>
            <w:r>
              <w:rPr>
                <w:rFonts w:ascii="宋体" w:hAnsi="宋体" w:eastAsia="宋体" w:cs="宋体"/>
                <w:sz w:val="20"/>
                <w:szCs w:val="20"/>
              </w:rPr>
              <w:t xml:space="preserve"> </w:t>
            </w:r>
            <w:r>
              <w:rPr>
                <w:rFonts w:ascii="宋体" w:hAnsi="宋体" w:eastAsia="宋体" w:cs="宋体"/>
                <w:spacing w:val="14"/>
                <w:sz w:val="20"/>
                <w:szCs w:val="20"/>
              </w:rPr>
              <w:t>围</w:t>
            </w:r>
            <w:r>
              <w:rPr>
                <w:rFonts w:ascii="宋体" w:hAnsi="宋体" w:eastAsia="宋体" w:cs="宋体"/>
                <w:spacing w:val="9"/>
                <w:sz w:val="20"/>
                <w:szCs w:val="20"/>
              </w:rPr>
              <w:t>土</w:t>
            </w:r>
            <w:r>
              <w:rPr>
                <w:rFonts w:ascii="宋体" w:hAnsi="宋体" w:eastAsia="宋体" w:cs="宋体"/>
                <w:spacing w:val="7"/>
                <w:sz w:val="20"/>
                <w:szCs w:val="20"/>
              </w:rPr>
              <w:t>壤和地表水体会带来严重污染。</w:t>
            </w:r>
          </w:p>
          <w:p>
            <w:pPr>
              <w:spacing w:line="241" w:lineRule="auto"/>
              <w:ind w:left="108"/>
              <w:rPr>
                <w:rFonts w:ascii="黑体" w:hAnsi="黑体" w:eastAsia="黑体" w:cs="黑体"/>
                <w:sz w:val="20"/>
                <w:szCs w:val="20"/>
              </w:rPr>
            </w:pPr>
            <w:r>
              <w:rPr>
                <w:rFonts w:ascii="Times New Roman" w:hAnsi="Times New Roman" w:eastAsia="Times New Roman" w:cs="Times New Roman"/>
                <w:spacing w:val="3"/>
                <w:sz w:val="20"/>
                <w:szCs w:val="20"/>
              </w:rPr>
              <w:t xml:space="preserve">6 </w:t>
            </w:r>
            <w:r>
              <w:rPr>
                <w:rFonts w:ascii="黑体" w:hAnsi="黑体" w:eastAsia="黑体" w:cs="黑体"/>
                <w:spacing w:val="3"/>
                <w:sz w:val="20"/>
                <w:szCs w:val="20"/>
              </w:rPr>
              <w:t>、社会环境影响分析</w:t>
            </w:r>
          </w:p>
          <w:p>
            <w:pPr>
              <w:spacing w:before="123" w:line="228" w:lineRule="auto"/>
              <w:ind w:left="537"/>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6"/>
                <w:sz w:val="20"/>
                <w:szCs w:val="20"/>
              </w:rPr>
              <w:t>1</w:t>
            </w: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宋体" w:hAnsi="宋体" w:eastAsia="宋体" w:cs="宋体"/>
                <w:spacing w:val="16"/>
                <w:sz w:val="20"/>
                <w:szCs w:val="20"/>
              </w:rPr>
              <w:t xml:space="preserve"> </w:t>
            </w:r>
            <w:r>
              <w:rPr>
                <w:rFonts w:ascii="宋体" w:hAnsi="宋体" w:eastAsia="宋体" w:cs="宋体"/>
                <w:spacing w:val="16"/>
                <w:sz w:val="20"/>
                <w:szCs w:val="20"/>
                <w14:textOutline w14:w="3795" w14:cap="sq" w14:cmpd="sng">
                  <w14:solidFill>
                    <w14:srgbClr w14:val="000000"/>
                  </w14:solidFill>
                  <w14:prstDash w14:val="solid"/>
                  <w14:bevel/>
                </w14:textOutline>
              </w:rPr>
              <w:t>对交通通行的影响</w:t>
            </w:r>
          </w:p>
          <w:p>
            <w:pPr>
              <w:spacing w:before="146" w:line="366" w:lineRule="auto"/>
              <w:ind w:left="106" w:right="71" w:firstLine="419"/>
              <w:rPr>
                <w:rFonts w:ascii="宋体" w:hAnsi="宋体" w:eastAsia="宋体" w:cs="宋体"/>
                <w:sz w:val="20"/>
                <w:szCs w:val="20"/>
              </w:rPr>
            </w:pPr>
            <w:r>
              <w:rPr>
                <w:rFonts w:ascii="宋体" w:hAnsi="宋体" w:eastAsia="宋体" w:cs="宋体"/>
                <w:spacing w:val="8"/>
                <w:sz w:val="20"/>
                <w:szCs w:val="20"/>
              </w:rPr>
              <w:t>在本项目施工过程中，由于施工机械、运输施工材料的车辆较多，项目建设时周边</w:t>
            </w:r>
            <w:r>
              <w:rPr>
                <w:rFonts w:ascii="宋体" w:hAnsi="宋体" w:eastAsia="宋体" w:cs="宋体"/>
                <w:spacing w:val="6"/>
                <w:sz w:val="20"/>
                <w:szCs w:val="20"/>
              </w:rPr>
              <w:t>路</w:t>
            </w:r>
            <w:r>
              <w:rPr>
                <w:rFonts w:ascii="宋体" w:hAnsi="宋体" w:eastAsia="宋体" w:cs="宋体"/>
                <w:sz w:val="20"/>
                <w:szCs w:val="20"/>
              </w:rPr>
              <w:t xml:space="preserve"> </w:t>
            </w:r>
            <w:r>
              <w:rPr>
                <w:rFonts w:ascii="宋体" w:hAnsi="宋体" w:eastAsia="宋体" w:cs="宋体"/>
                <w:spacing w:val="10"/>
                <w:sz w:val="20"/>
                <w:szCs w:val="20"/>
              </w:rPr>
              <w:t>车</w:t>
            </w:r>
            <w:r>
              <w:rPr>
                <w:rFonts w:ascii="宋体" w:hAnsi="宋体" w:eastAsia="宋体" w:cs="宋体"/>
                <w:spacing w:val="8"/>
                <w:sz w:val="20"/>
                <w:szCs w:val="20"/>
              </w:rPr>
              <w:t>辆会增多，因此项目施工对交通有一定的影响。主要表现在后期连接道路改造期间，管</w:t>
            </w:r>
            <w:r>
              <w:rPr>
                <w:rFonts w:ascii="宋体" w:hAnsi="宋体" w:eastAsia="宋体" w:cs="宋体"/>
                <w:sz w:val="20"/>
                <w:szCs w:val="20"/>
              </w:rPr>
              <w:t xml:space="preserve"> </w:t>
            </w:r>
            <w:r>
              <w:rPr>
                <w:rFonts w:ascii="宋体" w:hAnsi="宋体" w:eastAsia="宋体" w:cs="宋体"/>
                <w:spacing w:val="8"/>
                <w:sz w:val="20"/>
                <w:szCs w:val="20"/>
              </w:rPr>
              <w:t>道改造等均在道路一侧，可选择半幅施工，对交通影响较小；地面路标等改造可选择夜间</w:t>
            </w:r>
            <w:r>
              <w:rPr>
                <w:rFonts w:ascii="宋体" w:hAnsi="宋体" w:eastAsia="宋体" w:cs="宋体"/>
                <w:sz w:val="20"/>
                <w:szCs w:val="20"/>
              </w:rPr>
              <w:t xml:space="preserve"> </w:t>
            </w:r>
            <w:r>
              <w:rPr>
                <w:rFonts w:ascii="宋体" w:hAnsi="宋体" w:eastAsia="宋体" w:cs="宋体"/>
                <w:spacing w:val="9"/>
                <w:sz w:val="20"/>
                <w:szCs w:val="20"/>
              </w:rPr>
              <w:t>车流较少的时段施工，对交通影响也较小</w:t>
            </w:r>
            <w:r>
              <w:rPr>
                <w:rFonts w:ascii="宋体" w:hAnsi="宋体" w:eastAsia="宋体" w:cs="宋体"/>
                <w:spacing w:val="8"/>
                <w:sz w:val="20"/>
                <w:szCs w:val="20"/>
              </w:rPr>
              <w:t>。</w:t>
            </w:r>
          </w:p>
          <w:p>
            <w:pPr>
              <w:spacing w:before="1" w:line="227" w:lineRule="auto"/>
              <w:ind w:left="537"/>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8"/>
                <w:sz w:val="20"/>
                <w:szCs w:val="20"/>
              </w:rPr>
              <w:t>2</w:t>
            </w: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宋体" w:hAnsi="宋体" w:eastAsia="宋体" w:cs="宋体"/>
                <w:spacing w:val="18"/>
                <w:sz w:val="20"/>
                <w:szCs w:val="20"/>
              </w:rPr>
              <w:t xml:space="preserve"> </w:t>
            </w:r>
            <w:r>
              <w:rPr>
                <w:rFonts w:ascii="宋体" w:hAnsi="宋体" w:eastAsia="宋体" w:cs="宋体"/>
                <w:spacing w:val="18"/>
                <w:sz w:val="20"/>
                <w:szCs w:val="20"/>
                <w14:textOutline w14:w="3795" w14:cap="sq" w14:cmpd="sng">
                  <w14:solidFill>
                    <w14:srgbClr w14:val="000000"/>
                  </w14:solidFill>
                  <w14:prstDash w14:val="solid"/>
                  <w14:bevel/>
                </w14:textOutline>
              </w:rPr>
              <w:t>景观影响</w:t>
            </w:r>
          </w:p>
          <w:p>
            <w:pPr>
              <w:spacing w:before="150" w:line="369" w:lineRule="auto"/>
              <w:ind w:left="108" w:right="71" w:firstLine="420"/>
              <w:rPr>
                <w:rFonts w:ascii="宋体" w:hAnsi="宋体" w:eastAsia="宋体" w:cs="宋体"/>
                <w:sz w:val="20"/>
                <w:szCs w:val="20"/>
              </w:rPr>
            </w:pPr>
            <w:r>
              <w:rPr>
                <w:rFonts w:ascii="宋体" w:hAnsi="宋体" w:eastAsia="宋体" w:cs="宋体"/>
                <w:spacing w:val="26"/>
                <w:sz w:val="20"/>
                <w:szCs w:val="20"/>
              </w:rPr>
              <w:t>本</w:t>
            </w:r>
            <w:r>
              <w:rPr>
                <w:rFonts w:ascii="宋体" w:hAnsi="宋体" w:eastAsia="宋体" w:cs="宋体"/>
                <w:spacing w:val="24"/>
                <w:sz w:val="20"/>
                <w:szCs w:val="20"/>
              </w:rPr>
              <w:t>项</w:t>
            </w:r>
            <w:r>
              <w:rPr>
                <w:rFonts w:ascii="宋体" w:hAnsi="宋体" w:eastAsia="宋体" w:cs="宋体"/>
                <w:spacing w:val="13"/>
                <w:sz w:val="20"/>
                <w:szCs w:val="20"/>
              </w:rPr>
              <w:t>目施工过程中由于砂石临时堆放及施工机械在场地内运行会使建设地显得较为</w:t>
            </w:r>
            <w:r>
              <w:rPr>
                <w:rFonts w:ascii="宋体" w:hAnsi="宋体" w:eastAsia="宋体" w:cs="宋体"/>
                <w:sz w:val="20"/>
                <w:szCs w:val="20"/>
              </w:rPr>
              <w:t xml:space="preserve"> </w:t>
            </w:r>
            <w:r>
              <w:rPr>
                <w:rFonts w:ascii="宋体" w:hAnsi="宋体" w:eastAsia="宋体" w:cs="宋体"/>
                <w:spacing w:val="8"/>
                <w:sz w:val="20"/>
                <w:szCs w:val="20"/>
              </w:rPr>
              <w:t>凌乱。施工期间，原材料堆放应按照有关规定，堆放整齐、规范；弃土应及时清运，禁止</w:t>
            </w:r>
            <w:r>
              <w:rPr>
                <w:rFonts w:ascii="宋体" w:hAnsi="宋体" w:eastAsia="宋体" w:cs="宋体"/>
                <w:sz w:val="20"/>
                <w:szCs w:val="20"/>
              </w:rPr>
              <w:t xml:space="preserve"> </w:t>
            </w:r>
            <w:r>
              <w:rPr>
                <w:rFonts w:ascii="宋体" w:hAnsi="宋体" w:eastAsia="宋体" w:cs="宋体"/>
                <w:spacing w:val="8"/>
                <w:sz w:val="20"/>
                <w:szCs w:val="20"/>
              </w:rPr>
              <w:t>乱</w:t>
            </w:r>
            <w:r>
              <w:rPr>
                <w:rFonts w:ascii="宋体" w:hAnsi="宋体" w:eastAsia="宋体" w:cs="宋体"/>
                <w:spacing w:val="5"/>
                <w:sz w:val="20"/>
                <w:szCs w:val="20"/>
              </w:rPr>
              <w:t>堆乱放。</w:t>
            </w:r>
          </w:p>
          <w:p>
            <w:pPr>
              <w:spacing w:before="3" w:line="375" w:lineRule="auto"/>
              <w:ind w:left="106" w:right="71" w:firstLine="423"/>
              <w:rPr>
                <w:rFonts w:ascii="宋体" w:hAnsi="宋体" w:eastAsia="宋体" w:cs="宋体"/>
                <w:sz w:val="20"/>
                <w:szCs w:val="20"/>
              </w:rPr>
            </w:pPr>
            <w:r>
              <w:rPr>
                <w:rFonts w:ascii="宋体" w:hAnsi="宋体" w:eastAsia="宋体" w:cs="宋体"/>
                <w:spacing w:val="8"/>
                <w:sz w:val="20"/>
                <w:szCs w:val="20"/>
              </w:rPr>
              <w:t>综上，项目施工建设过程中，将会对沿线居民产生一些不利影响，但与此同时，本</w:t>
            </w:r>
            <w:r>
              <w:rPr>
                <w:rFonts w:ascii="宋体" w:hAnsi="宋体" w:eastAsia="宋体" w:cs="宋体"/>
                <w:spacing w:val="3"/>
                <w:sz w:val="20"/>
                <w:szCs w:val="20"/>
              </w:rPr>
              <w:t>项</w:t>
            </w:r>
            <w:r>
              <w:rPr>
                <w:rFonts w:ascii="宋体" w:hAnsi="宋体" w:eastAsia="宋体" w:cs="宋体"/>
                <w:sz w:val="20"/>
                <w:szCs w:val="20"/>
              </w:rPr>
              <w:t xml:space="preserve"> </w:t>
            </w:r>
            <w:r>
              <w:rPr>
                <w:rFonts w:ascii="宋体" w:hAnsi="宋体" w:eastAsia="宋体" w:cs="宋体"/>
                <w:spacing w:val="10"/>
                <w:sz w:val="20"/>
                <w:szCs w:val="20"/>
              </w:rPr>
              <w:t>目</w:t>
            </w:r>
            <w:r>
              <w:rPr>
                <w:rFonts w:ascii="宋体" w:hAnsi="宋体" w:eastAsia="宋体" w:cs="宋体"/>
                <w:spacing w:val="8"/>
                <w:sz w:val="20"/>
                <w:szCs w:val="20"/>
              </w:rPr>
              <w:t>的建设也将为当地剩余劳动力提供一些就业机会，改善道路交通条件，促进人民生活水</w:t>
            </w:r>
            <w:r>
              <w:rPr>
                <w:rFonts w:ascii="宋体" w:hAnsi="宋体" w:eastAsia="宋体" w:cs="宋体"/>
                <w:sz w:val="20"/>
                <w:szCs w:val="20"/>
              </w:rPr>
              <w:t xml:space="preserve"> </w:t>
            </w:r>
            <w:r>
              <w:rPr>
                <w:rFonts w:ascii="宋体" w:hAnsi="宋体" w:eastAsia="宋体" w:cs="宋体"/>
                <w:spacing w:val="9"/>
                <w:sz w:val="20"/>
                <w:szCs w:val="20"/>
              </w:rPr>
              <w:t>平提高，对社会经济产生较大的正效益</w:t>
            </w:r>
            <w:r>
              <w:rPr>
                <w:rFonts w:ascii="宋体" w:hAnsi="宋体" w:eastAsia="宋体" w:cs="宋体"/>
                <w:spacing w:val="8"/>
                <w:sz w:val="20"/>
                <w:szCs w:val="20"/>
              </w:rPr>
              <w:t>。</w:t>
            </w:r>
          </w:p>
        </w:tc>
      </w:tr>
    </w:tbl>
    <w:p>
      <w:pPr>
        <w:spacing w:line="220" w:lineRule="exact"/>
        <w:rPr>
          <w:rFonts w:ascii="Arial"/>
          <w:sz w:val="19"/>
        </w:rPr>
      </w:pPr>
    </w:p>
    <w:p>
      <w:pPr>
        <w:sectPr>
          <w:footerReference r:id="rId80" w:type="default"/>
          <w:pgSz w:w="11906" w:h="16839"/>
          <w:pgMar w:top="400" w:right="1472" w:bottom="1473" w:left="1471" w:header="0" w:footer="1315" w:gutter="0"/>
          <w:cols w:space="720" w:num="1"/>
        </w:sectPr>
      </w:pPr>
    </w:p>
    <w:p/>
    <w:p/>
    <w:p/>
    <w:p/>
    <w:p>
      <w:pPr>
        <w:spacing w:line="221" w:lineRule="exact"/>
      </w:pPr>
    </w:p>
    <w:tbl>
      <w:tblPr>
        <w:tblStyle w:val="4"/>
        <w:tblW w:w="894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83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94" w:hRule="atLeast"/>
        </w:trPr>
        <w:tc>
          <w:tcPr>
            <w:tcW w:w="644" w:type="dxa"/>
            <w:tcBorders>
              <w:left w:val="single" w:color="00000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28" w:lineRule="auto"/>
              <w:ind w:left="8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运</w:t>
            </w:r>
            <w:r>
              <w:rPr>
                <w:rFonts w:ascii="宋体" w:hAnsi="宋体" w:eastAsia="宋体" w:cs="宋体"/>
                <w:spacing w:val="15"/>
                <w:sz w:val="20"/>
                <w:szCs w:val="20"/>
                <w14:textOutline w14:w="3795" w14:cap="sq" w14:cmpd="sng">
                  <w14:solidFill>
                    <w14:srgbClr w14:val="000000"/>
                  </w14:solidFill>
                  <w14:prstDash w14:val="solid"/>
                  <w14:bevel/>
                </w14:textOutline>
              </w:rPr>
              <w:t>营</w:t>
            </w:r>
          </w:p>
          <w:p>
            <w:pPr>
              <w:spacing w:before="24" w:line="228" w:lineRule="auto"/>
              <w:ind w:left="91"/>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期生</w:t>
            </w:r>
          </w:p>
          <w:p>
            <w:pPr>
              <w:spacing w:before="25" w:line="230" w:lineRule="auto"/>
              <w:ind w:left="8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态</w:t>
            </w:r>
            <w:r>
              <w:rPr>
                <w:rFonts w:ascii="宋体" w:hAnsi="宋体" w:eastAsia="宋体" w:cs="宋体"/>
                <w:spacing w:val="15"/>
                <w:sz w:val="20"/>
                <w:szCs w:val="20"/>
                <w14:textOutline w14:w="3795" w14:cap="sq" w14:cmpd="sng">
                  <w14:solidFill>
                    <w14:srgbClr w14:val="000000"/>
                  </w14:solidFill>
                  <w14:prstDash w14:val="solid"/>
                  <w14:bevel/>
                </w14:textOutline>
              </w:rPr>
              <w:t>环</w:t>
            </w:r>
          </w:p>
          <w:p>
            <w:pPr>
              <w:spacing w:before="22" w:line="228" w:lineRule="auto"/>
              <w:ind w:left="89"/>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境影</w:t>
            </w:r>
          </w:p>
          <w:p>
            <w:pPr>
              <w:spacing w:before="24" w:line="228" w:lineRule="auto"/>
              <w:ind w:left="99"/>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响分</w:t>
            </w:r>
          </w:p>
          <w:p>
            <w:pPr>
              <w:spacing w:before="26" w:line="228" w:lineRule="auto"/>
              <w:ind w:left="205"/>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析</w:t>
            </w:r>
          </w:p>
        </w:tc>
        <w:tc>
          <w:tcPr>
            <w:tcW w:w="8303" w:type="dxa"/>
            <w:tcBorders>
              <w:right w:val="single" w:color="000000" w:sz="6" w:space="0"/>
            </w:tcBorders>
            <w:vAlign w:val="top"/>
          </w:tcPr>
          <w:p>
            <w:pPr>
              <w:spacing w:before="153" w:line="367" w:lineRule="auto"/>
              <w:ind w:left="76" w:right="1" w:firstLine="423"/>
              <w:rPr>
                <w:rFonts w:ascii="宋体" w:hAnsi="宋体" w:eastAsia="宋体" w:cs="宋体"/>
                <w:sz w:val="20"/>
                <w:szCs w:val="20"/>
              </w:rPr>
            </w:pPr>
            <w:r>
              <w:pict>
                <v:shape id="_x0000_s1103" o:spid="_x0000_s1103" o:spt="202" type="#_x0000_t202" style="position:absolute;left:0pt;margin-left:193.3pt;margin-top:203.3pt;height:11.25pt;width:3.65pt;mso-position-horizontal-relative:page;mso-position-vertical-relative:page;z-index:251763712;mso-width-relative:page;mso-height-relative:page;" filled="f" stroked="f" coordsize="21600,21600">
                  <v:path/>
                  <v:fill on="f" focussize="0,0"/>
                  <v:stroke on="f"/>
                  <v:imagedata o:title=""/>
                  <o:lock v:ext="edit" aspectratio="f"/>
                  <v:textbox inset="0mm,0mm,0mm,0mm">
                    <w:txbxContent>
                      <w:p>
                        <w:pPr>
                          <w:spacing w:before="20" w:line="184" w:lineRule="exact"/>
                          <w:ind w:left="20"/>
                          <w:rPr>
                            <w:rFonts w:ascii="Times New Roman" w:hAnsi="Times New Roman" w:eastAsia="Times New Roman" w:cs="Times New Roman"/>
                            <w:sz w:val="13"/>
                            <w:szCs w:val="13"/>
                          </w:rPr>
                        </w:pPr>
                        <w:r>
                          <w:rPr>
                            <w:rFonts w:ascii="Times New Roman" w:hAnsi="Times New Roman" w:eastAsia="Times New Roman" w:cs="Times New Roman"/>
                            <w:i/>
                            <w:iCs/>
                            <w:position w:val="1"/>
                            <w:sz w:val="13"/>
                            <w:szCs w:val="13"/>
                          </w:rPr>
                          <w:t>i</w:t>
                        </w:r>
                      </w:p>
                    </w:txbxContent>
                  </v:textbox>
                </v:shape>
              </w:pict>
            </w:r>
            <w:r>
              <w:rPr>
                <w:rFonts w:ascii="宋体" w:hAnsi="宋体" w:eastAsia="宋体" w:cs="宋体"/>
                <w:spacing w:val="16"/>
                <w:sz w:val="20"/>
                <w:szCs w:val="20"/>
              </w:rPr>
              <w:t>项目为</w:t>
            </w:r>
            <w:r>
              <w:rPr>
                <w:rFonts w:ascii="宋体" w:hAnsi="宋体" w:eastAsia="宋体" w:cs="宋体"/>
                <w:spacing w:val="9"/>
                <w:sz w:val="20"/>
                <w:szCs w:val="20"/>
              </w:rPr>
              <w:t>城</w:t>
            </w:r>
            <w:r>
              <w:rPr>
                <w:rFonts w:ascii="宋体" w:hAnsi="宋体" w:eastAsia="宋体" w:cs="宋体"/>
                <w:spacing w:val="8"/>
                <w:sz w:val="20"/>
                <w:szCs w:val="20"/>
              </w:rPr>
              <w:t>市桥梁项目，全线不设置养护工区、服务区和收费站，道路运营期对环境的</w:t>
            </w:r>
            <w:r>
              <w:rPr>
                <w:rFonts w:ascii="宋体" w:hAnsi="宋体" w:eastAsia="宋体" w:cs="宋体"/>
                <w:sz w:val="20"/>
                <w:szCs w:val="20"/>
              </w:rPr>
              <w:t xml:space="preserve"> </w:t>
            </w:r>
            <w:r>
              <w:rPr>
                <w:rFonts w:ascii="宋体" w:hAnsi="宋体" w:eastAsia="宋体" w:cs="宋体"/>
                <w:spacing w:val="10"/>
                <w:sz w:val="20"/>
                <w:szCs w:val="20"/>
              </w:rPr>
              <w:t>影响主</w:t>
            </w:r>
            <w:r>
              <w:rPr>
                <w:rFonts w:ascii="宋体" w:hAnsi="宋体" w:eastAsia="宋体" w:cs="宋体"/>
                <w:spacing w:val="5"/>
                <w:sz w:val="20"/>
                <w:szCs w:val="20"/>
              </w:rPr>
              <w:t>要表现在车辆运输过程中产生的交通噪声、车辆尾气、地表径流和沿途洒落的垃圾。</w:t>
            </w:r>
            <w:r>
              <w:rPr>
                <w:rFonts w:ascii="宋体" w:hAnsi="宋体" w:eastAsia="宋体" w:cs="宋体"/>
                <w:sz w:val="20"/>
                <w:szCs w:val="20"/>
              </w:rPr>
              <w:t xml:space="preserve"> </w:t>
            </w:r>
            <w:r>
              <w:rPr>
                <w:rFonts w:ascii="宋体" w:hAnsi="宋体" w:eastAsia="宋体" w:cs="宋体"/>
                <w:spacing w:val="9"/>
                <w:sz w:val="20"/>
                <w:szCs w:val="20"/>
              </w:rPr>
              <w:t>项目营运期产生的主要污染包括以下几个方面：</w:t>
            </w:r>
          </w:p>
          <w:p>
            <w:pPr>
              <w:spacing w:before="1" w:line="233" w:lineRule="auto"/>
              <w:ind w:left="125"/>
              <w:rPr>
                <w:rFonts w:ascii="黑体" w:hAnsi="黑体" w:eastAsia="黑体" w:cs="黑体"/>
                <w:sz w:val="22"/>
                <w:szCs w:val="22"/>
              </w:rPr>
            </w:pPr>
            <w:r>
              <w:rPr>
                <w:rFonts w:ascii="Times New Roman" w:hAnsi="Times New Roman" w:eastAsia="Times New Roman" w:cs="Times New Roman"/>
                <w:spacing w:val="-18"/>
                <w:sz w:val="22"/>
                <w:szCs w:val="22"/>
              </w:rPr>
              <w:t>1</w:t>
            </w:r>
            <w:r>
              <w:rPr>
                <w:rFonts w:ascii="Times New Roman" w:hAnsi="Times New Roman" w:eastAsia="Times New Roman" w:cs="Times New Roman"/>
                <w:spacing w:val="-15"/>
                <w:sz w:val="22"/>
                <w:szCs w:val="22"/>
              </w:rPr>
              <w:t xml:space="preserve"> </w:t>
            </w:r>
            <w:r>
              <w:rPr>
                <w:rFonts w:ascii="黑体" w:hAnsi="黑体" w:eastAsia="黑体" w:cs="黑体"/>
                <w:spacing w:val="-15"/>
                <w:sz w:val="22"/>
                <w:szCs w:val="22"/>
              </w:rPr>
              <w:t>、废气</w:t>
            </w:r>
          </w:p>
          <w:p>
            <w:pPr>
              <w:spacing w:before="130" w:line="362" w:lineRule="auto"/>
              <w:ind w:left="77" w:right="71" w:firstLine="420"/>
              <w:rPr>
                <w:rFonts w:ascii="宋体" w:hAnsi="宋体" w:eastAsia="宋体" w:cs="宋体"/>
                <w:sz w:val="20"/>
                <w:szCs w:val="20"/>
              </w:rPr>
            </w:pPr>
            <w:r>
              <w:rPr>
                <w:rFonts w:ascii="宋体" w:hAnsi="宋体" w:eastAsia="宋体" w:cs="宋体"/>
                <w:spacing w:val="16"/>
                <w:sz w:val="20"/>
                <w:szCs w:val="20"/>
              </w:rPr>
              <w:t>本项目</w:t>
            </w:r>
            <w:r>
              <w:rPr>
                <w:rFonts w:ascii="宋体" w:hAnsi="宋体" w:eastAsia="宋体" w:cs="宋体"/>
                <w:spacing w:val="11"/>
                <w:sz w:val="20"/>
                <w:szCs w:val="20"/>
              </w:rPr>
              <w:t>运</w:t>
            </w:r>
            <w:r>
              <w:rPr>
                <w:rFonts w:ascii="宋体" w:hAnsi="宋体" w:eastAsia="宋体" w:cs="宋体"/>
                <w:spacing w:val="8"/>
                <w:sz w:val="20"/>
                <w:szCs w:val="20"/>
              </w:rPr>
              <w:t>营期对空气环境产生影响的主要大气污染物为汽车尾气与道路扬尘，汽车尾</w:t>
            </w:r>
            <w:r>
              <w:rPr>
                <w:rFonts w:ascii="宋体" w:hAnsi="宋体" w:eastAsia="宋体" w:cs="宋体"/>
                <w:sz w:val="20"/>
                <w:szCs w:val="20"/>
              </w:rPr>
              <w:t xml:space="preserve"> </w:t>
            </w:r>
            <w:r>
              <w:rPr>
                <w:rFonts w:ascii="宋体" w:hAnsi="宋体" w:eastAsia="宋体" w:cs="宋体"/>
                <w:spacing w:val="1"/>
                <w:sz w:val="20"/>
                <w:szCs w:val="20"/>
              </w:rPr>
              <w:t>气的主要影响</w:t>
            </w:r>
            <w:r>
              <w:rPr>
                <w:rFonts w:ascii="宋体" w:hAnsi="宋体" w:eastAsia="宋体" w:cs="宋体"/>
                <w:sz w:val="20"/>
                <w:szCs w:val="20"/>
              </w:rPr>
              <w:t xml:space="preserve">因子为 </w:t>
            </w:r>
            <w:r>
              <w:rPr>
                <w:rFonts w:ascii="Times New Roman" w:hAnsi="Times New Roman" w:eastAsia="Times New Roman" w:cs="Times New Roman"/>
                <w:sz w:val="20"/>
                <w:szCs w:val="20"/>
              </w:rPr>
              <w:t xml:space="preserve">CO </w:t>
            </w:r>
            <w:r>
              <w:rPr>
                <w:rFonts w:ascii="宋体" w:hAnsi="宋体" w:eastAsia="宋体" w:cs="宋体"/>
                <w:sz w:val="20"/>
                <w:szCs w:val="20"/>
              </w:rPr>
              <w:t>、</w:t>
            </w:r>
            <w:r>
              <w:rPr>
                <w:rFonts w:ascii="Times New Roman" w:hAnsi="Times New Roman" w:eastAsia="Times New Roman" w:cs="Times New Roman"/>
                <w:sz w:val="20"/>
                <w:szCs w:val="20"/>
              </w:rPr>
              <w:t xml:space="preserve">THC </w:t>
            </w:r>
            <w:r>
              <w:rPr>
                <w:rFonts w:ascii="宋体" w:hAnsi="宋体" w:eastAsia="宋体" w:cs="宋体"/>
                <w:sz w:val="20"/>
                <w:szCs w:val="20"/>
              </w:rPr>
              <w:t>、</w:t>
            </w:r>
            <w:r>
              <w:rPr>
                <w:rFonts w:ascii="Times New Roman" w:hAnsi="Times New Roman" w:eastAsia="Times New Roman" w:cs="Times New Roman"/>
                <w:sz w:val="20"/>
                <w:szCs w:val="20"/>
              </w:rPr>
              <w:t>NO</w:t>
            </w:r>
            <w:r>
              <w:rPr>
                <w:rFonts w:ascii="Times New Roman" w:hAnsi="Times New Roman" w:eastAsia="Times New Roman" w:cs="Times New Roman"/>
                <w:position w:val="-1"/>
                <w:sz w:val="13"/>
                <w:szCs w:val="13"/>
              </w:rPr>
              <w:t>X</w:t>
            </w:r>
            <w:r>
              <w:rPr>
                <w:rFonts w:ascii="宋体" w:hAnsi="宋体" w:eastAsia="宋体" w:cs="宋体"/>
                <w:sz w:val="20"/>
                <w:szCs w:val="20"/>
              </w:rPr>
              <w:t>。</w:t>
            </w:r>
          </w:p>
          <w:p>
            <w:pPr>
              <w:spacing w:line="227" w:lineRule="auto"/>
              <w:ind w:left="537"/>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8"/>
                <w:sz w:val="20"/>
                <w:szCs w:val="20"/>
              </w:rPr>
              <w:t>1</w:t>
            </w: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宋体" w:hAnsi="宋体" w:eastAsia="宋体" w:cs="宋体"/>
                <w:spacing w:val="18"/>
                <w:sz w:val="20"/>
                <w:szCs w:val="20"/>
              </w:rPr>
              <w:t xml:space="preserve"> </w:t>
            </w:r>
            <w:r>
              <w:rPr>
                <w:rFonts w:ascii="宋体" w:hAnsi="宋体" w:eastAsia="宋体" w:cs="宋体"/>
                <w:spacing w:val="18"/>
                <w:sz w:val="20"/>
                <w:szCs w:val="20"/>
                <w14:textOutline w14:w="3795" w14:cap="sq" w14:cmpd="sng">
                  <w14:solidFill>
                    <w14:srgbClr w14:val="000000"/>
                  </w14:solidFill>
                  <w14:prstDash w14:val="solid"/>
                  <w14:bevel/>
                </w14:textOutline>
              </w:rPr>
              <w:t>汽车尾气</w:t>
            </w:r>
          </w:p>
          <w:p>
            <w:pPr>
              <w:spacing w:before="148" w:line="228" w:lineRule="auto"/>
              <w:ind w:left="502"/>
              <w:rPr>
                <w:rFonts w:ascii="宋体" w:hAnsi="宋体" w:eastAsia="宋体" w:cs="宋体"/>
                <w:sz w:val="20"/>
                <w:szCs w:val="20"/>
              </w:rPr>
            </w:pPr>
            <w:r>
              <w:rPr>
                <w:rFonts w:ascii="宋体" w:hAnsi="宋体" w:eastAsia="宋体" w:cs="宋体"/>
                <w:spacing w:val="16"/>
                <w:sz w:val="20"/>
                <w:szCs w:val="20"/>
              </w:rPr>
              <w:t>营运期</w:t>
            </w:r>
            <w:r>
              <w:rPr>
                <w:rFonts w:ascii="宋体" w:hAnsi="宋体" w:eastAsia="宋体" w:cs="宋体"/>
                <w:spacing w:val="10"/>
                <w:sz w:val="20"/>
                <w:szCs w:val="20"/>
              </w:rPr>
              <w:t>道</w:t>
            </w:r>
            <w:r>
              <w:rPr>
                <w:rFonts w:ascii="宋体" w:hAnsi="宋体" w:eastAsia="宋体" w:cs="宋体"/>
                <w:spacing w:val="8"/>
                <w:sz w:val="20"/>
                <w:szCs w:val="20"/>
              </w:rPr>
              <w:t>路汽车尾气的排放量与车流量、车速、不同车型的耗油量及排放系数有一定</w:t>
            </w:r>
          </w:p>
          <w:p>
            <w:pPr>
              <w:spacing w:before="152" w:line="228" w:lineRule="auto"/>
              <w:ind w:left="93"/>
              <w:rPr>
                <w:rFonts w:ascii="宋体" w:hAnsi="宋体" w:eastAsia="宋体" w:cs="宋体"/>
                <w:sz w:val="20"/>
                <w:szCs w:val="20"/>
              </w:rPr>
            </w:pPr>
            <w:r>
              <w:rPr>
                <w:rFonts w:ascii="宋体" w:hAnsi="宋体" w:eastAsia="宋体" w:cs="宋体"/>
                <w:spacing w:val="16"/>
                <w:sz w:val="20"/>
                <w:szCs w:val="20"/>
              </w:rPr>
              <w:t>的</w:t>
            </w:r>
            <w:r>
              <w:rPr>
                <w:rFonts w:ascii="宋体" w:hAnsi="宋体" w:eastAsia="宋体" w:cs="宋体"/>
                <w:spacing w:val="12"/>
                <w:sz w:val="20"/>
                <w:szCs w:val="20"/>
              </w:rPr>
              <w:t>关</w:t>
            </w:r>
            <w:r>
              <w:rPr>
                <w:rFonts w:ascii="宋体" w:hAnsi="宋体" w:eastAsia="宋体" w:cs="宋体"/>
                <w:spacing w:val="8"/>
                <w:sz w:val="20"/>
                <w:szCs w:val="20"/>
              </w:rPr>
              <w:t>系。汽车尾气的排放源强一般可以按下列公式计算：</w:t>
            </w:r>
          </w:p>
          <w:p>
            <w:pPr>
              <w:spacing w:before="110"/>
              <w:ind w:left="3314"/>
              <w:rPr>
                <w:rFonts w:ascii="Times New Roman" w:hAnsi="Times New Roman" w:eastAsia="Times New Roman" w:cs="Times New Roman"/>
                <w:sz w:val="22"/>
                <w:szCs w:val="22"/>
              </w:rPr>
            </w:pPr>
            <w:r>
              <w:pict>
                <v:shape id="_x0000_s1104" o:spid="_x0000_s1104" o:spt="202" type="#_x0000_t202" style="position:absolute;left:0pt;margin-left:195.9pt;margin-top:2.65pt;height:8.2pt;width:5.2pt;z-index:251763712;mso-width-relative:page;mso-height-relative:page;" filled="f" stroked="f" coordsize="21600,21600">
                  <v:path/>
                  <v:fill on="f" focussize="0,0"/>
                  <v:stroke on="f"/>
                  <v:imagedata o:title=""/>
                  <o:lock v:ext="edit" aspectratio="f"/>
                  <v:textbox inset="0mm,0mm,0mm,0mm">
                    <w:txbxContent>
                      <w:p>
                        <w:pPr>
                          <w:spacing w:before="20" w:line="198" w:lineRule="auto"/>
                          <w:ind w:left="20"/>
                          <w:rPr>
                            <w:rFonts w:ascii="Times New Roman" w:hAnsi="Times New Roman" w:eastAsia="Times New Roman" w:cs="Times New Roman"/>
                            <w:sz w:val="13"/>
                            <w:szCs w:val="13"/>
                          </w:rPr>
                        </w:pPr>
                        <w:r>
                          <w:rPr>
                            <w:rFonts w:ascii="Times New Roman" w:hAnsi="Times New Roman" w:eastAsia="Times New Roman" w:cs="Times New Roman"/>
                            <w:sz w:val="13"/>
                            <w:szCs w:val="13"/>
                          </w:rPr>
                          <w:t>3</w:t>
                        </w:r>
                      </w:p>
                    </w:txbxContent>
                  </v:textbox>
                </v:shape>
              </w:pict>
            </w:r>
            <w:r>
              <w:rPr>
                <w:rFonts w:ascii="Times New Roman" w:hAnsi="Times New Roman" w:eastAsia="Times New Roman" w:cs="Times New Roman"/>
                <w:i/>
                <w:iCs/>
                <w:position w:val="2"/>
                <w:sz w:val="22"/>
                <w:szCs w:val="22"/>
              </w:rPr>
              <w:t>Q</w:t>
            </w:r>
            <w:r>
              <w:rPr>
                <w:rFonts w:ascii="Times New Roman" w:hAnsi="Times New Roman" w:eastAsia="Times New Roman" w:cs="Times New Roman"/>
                <w:i/>
                <w:iCs/>
                <w:position w:val="-3"/>
                <w:sz w:val="13"/>
                <w:szCs w:val="13"/>
              </w:rPr>
              <w:t>j</w:t>
            </w:r>
            <w:r>
              <w:rPr>
                <w:rFonts w:ascii="Times New Roman" w:hAnsi="Times New Roman" w:eastAsia="Times New Roman" w:cs="Times New Roman"/>
                <w:spacing w:val="16"/>
                <w:position w:val="-3"/>
                <w:sz w:val="13"/>
                <w:szCs w:val="13"/>
              </w:rPr>
              <w:t xml:space="preserve"> </w:t>
            </w:r>
            <w:r>
              <w:rPr>
                <w:rFonts w:ascii="Times New Roman" w:hAnsi="Times New Roman" w:eastAsia="Times New Roman" w:cs="Times New Roman"/>
                <w:spacing w:val="10"/>
                <w:position w:val="-3"/>
                <w:sz w:val="13"/>
                <w:szCs w:val="13"/>
              </w:rPr>
              <w:t xml:space="preserve"> </w:t>
            </w:r>
            <w:r>
              <w:rPr>
                <w:rFonts w:ascii="Times New Roman" w:hAnsi="Times New Roman" w:eastAsia="Times New Roman" w:cs="Times New Roman"/>
                <w:spacing w:val="8"/>
                <w:position w:val="-3"/>
                <w:sz w:val="13"/>
                <w:szCs w:val="13"/>
              </w:rPr>
              <w:t xml:space="preserve"> </w:t>
            </w:r>
            <w:r>
              <w:rPr>
                <w:rFonts w:ascii="Symbol" w:hAnsi="Symbol" w:eastAsia="Symbol" w:cs="Symbol"/>
                <w:spacing w:val="8"/>
                <w:position w:val="2"/>
                <w:sz w:val="22"/>
                <w:szCs w:val="22"/>
              </w:rPr>
              <w:t xml:space="preserve">= </w:t>
            </w:r>
            <w:r>
              <w:rPr>
                <w:position w:val="-10"/>
                <w:sz w:val="22"/>
                <w:szCs w:val="22"/>
              </w:rPr>
              <w:drawing>
                <wp:inline distT="0" distB="0" distL="0" distR="0">
                  <wp:extent cx="151765" cy="26225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248"/>
                          <a:stretch>
                            <a:fillRect/>
                          </a:stretch>
                        </pic:blipFill>
                        <pic:spPr>
                          <a:xfrm>
                            <a:off x="0" y="0"/>
                            <a:ext cx="152390" cy="262795"/>
                          </a:xfrm>
                          <a:prstGeom prst="rect">
                            <a:avLst/>
                          </a:prstGeom>
                        </pic:spPr>
                      </pic:pic>
                    </a:graphicData>
                  </a:graphic>
                </wp:inline>
              </w:drawing>
            </w:r>
            <w:r>
              <w:rPr>
                <w:rFonts w:ascii="Symbol" w:hAnsi="Symbol" w:eastAsia="Symbol" w:cs="Symbol"/>
                <w:spacing w:val="8"/>
                <w:position w:val="2"/>
                <w:sz w:val="22"/>
                <w:szCs w:val="22"/>
              </w:rPr>
              <w:t xml:space="preserve"> </w:t>
            </w:r>
            <w:r>
              <w:rPr>
                <w:rFonts w:ascii="Times New Roman" w:hAnsi="Times New Roman" w:eastAsia="Times New Roman" w:cs="Times New Roman"/>
                <w:spacing w:val="8"/>
                <w:position w:val="2"/>
                <w:sz w:val="22"/>
                <w:szCs w:val="22"/>
              </w:rPr>
              <w:t>(</w:t>
            </w:r>
            <w:r>
              <w:rPr>
                <w:rFonts w:ascii="Times New Roman" w:hAnsi="Times New Roman" w:eastAsia="Times New Roman" w:cs="Times New Roman"/>
                <w:i/>
                <w:iCs/>
                <w:position w:val="2"/>
                <w:sz w:val="22"/>
                <w:szCs w:val="22"/>
              </w:rPr>
              <w:t>A</w:t>
            </w:r>
            <w:r>
              <w:rPr>
                <w:rFonts w:ascii="Times New Roman" w:hAnsi="Times New Roman" w:eastAsia="Times New Roman" w:cs="Times New Roman"/>
                <w:i/>
                <w:iCs/>
                <w:position w:val="-3"/>
                <w:sz w:val="13"/>
                <w:szCs w:val="13"/>
              </w:rPr>
              <w:t>i</w:t>
            </w:r>
            <w:r>
              <w:rPr>
                <w:rFonts w:ascii="Times New Roman" w:hAnsi="Times New Roman" w:eastAsia="Times New Roman" w:cs="Times New Roman"/>
                <w:spacing w:val="8"/>
                <w:position w:val="-3"/>
                <w:sz w:val="13"/>
                <w:szCs w:val="13"/>
              </w:rPr>
              <w:t xml:space="preserve"> </w:t>
            </w:r>
            <w:r>
              <w:rPr>
                <w:rFonts w:ascii="Times New Roman" w:hAnsi="Times New Roman" w:eastAsia="Times New Roman" w:cs="Times New Roman"/>
                <w:i/>
                <w:iCs/>
                <w:position w:val="2"/>
                <w:sz w:val="22"/>
                <w:szCs w:val="22"/>
              </w:rPr>
              <w:t>E</w:t>
            </w:r>
            <w:r>
              <w:rPr>
                <w:rFonts w:ascii="Times New Roman" w:hAnsi="Times New Roman" w:eastAsia="Times New Roman" w:cs="Times New Roman"/>
                <w:i/>
                <w:iCs/>
                <w:position w:val="-3"/>
                <w:sz w:val="13"/>
                <w:szCs w:val="13"/>
              </w:rPr>
              <w:t>ij</w:t>
            </w:r>
            <w:r>
              <w:rPr>
                <w:rFonts w:ascii="Times New Roman" w:hAnsi="Times New Roman" w:eastAsia="Times New Roman" w:cs="Times New Roman"/>
                <w:spacing w:val="8"/>
                <w:position w:val="-3"/>
                <w:sz w:val="13"/>
                <w:szCs w:val="13"/>
              </w:rPr>
              <w:t xml:space="preserve">  </w:t>
            </w:r>
            <w:r>
              <w:rPr>
                <w:rFonts w:ascii="Times New Roman" w:hAnsi="Times New Roman" w:eastAsia="Times New Roman" w:cs="Times New Roman"/>
                <w:spacing w:val="8"/>
                <w:position w:val="2"/>
                <w:sz w:val="22"/>
                <w:szCs w:val="22"/>
              </w:rPr>
              <w:t>/ 3600)</w:t>
            </w:r>
          </w:p>
          <w:p>
            <w:pPr>
              <w:spacing w:before="41" w:line="179" w:lineRule="auto"/>
              <w:ind w:left="3928"/>
              <w:rPr>
                <w:rFonts w:ascii="Times New Roman" w:hAnsi="Times New Roman" w:eastAsia="Times New Roman" w:cs="Times New Roman"/>
                <w:sz w:val="12"/>
                <w:szCs w:val="12"/>
              </w:rPr>
            </w:pPr>
            <w:r>
              <w:rPr>
                <w:rFonts w:ascii="Symbol" w:hAnsi="Symbol" w:eastAsia="Symbol" w:cs="Symbol"/>
                <w:spacing w:val="5"/>
                <w:sz w:val="12"/>
                <w:szCs w:val="12"/>
              </w:rPr>
              <w:t>=</w:t>
            </w:r>
            <w:r>
              <w:rPr>
                <w:rFonts w:ascii="Times New Roman" w:hAnsi="Times New Roman" w:eastAsia="Times New Roman" w:cs="Times New Roman"/>
                <w:spacing w:val="5"/>
                <w:sz w:val="12"/>
                <w:szCs w:val="12"/>
              </w:rPr>
              <w:t>1</w:t>
            </w:r>
          </w:p>
          <w:p>
            <w:pPr>
              <w:spacing w:before="121" w:line="281" w:lineRule="exact"/>
              <w:ind w:left="500"/>
              <w:rPr>
                <w:rFonts w:ascii="宋体" w:hAnsi="宋体" w:eastAsia="宋体" w:cs="宋体"/>
                <w:sz w:val="20"/>
                <w:szCs w:val="20"/>
              </w:rPr>
            </w:pPr>
            <w:r>
              <w:rPr>
                <w:rFonts w:ascii="宋体" w:hAnsi="宋体" w:eastAsia="宋体" w:cs="宋体"/>
                <w:spacing w:val="10"/>
                <w:position w:val="2"/>
                <w:sz w:val="20"/>
                <w:szCs w:val="20"/>
              </w:rPr>
              <w:t>式中</w:t>
            </w:r>
            <w:r>
              <w:rPr>
                <w:rFonts w:ascii="宋体" w:hAnsi="宋体" w:eastAsia="宋体" w:cs="宋体"/>
                <w:spacing w:val="9"/>
                <w:position w:val="2"/>
                <w:sz w:val="20"/>
                <w:szCs w:val="20"/>
              </w:rPr>
              <w:t>：</w:t>
            </w:r>
            <w:r>
              <w:rPr>
                <w:rFonts w:ascii="Times New Roman" w:hAnsi="Times New Roman" w:eastAsia="Times New Roman" w:cs="Times New Roman"/>
                <w:position w:val="2"/>
                <w:sz w:val="20"/>
                <w:szCs w:val="20"/>
              </w:rPr>
              <w:t>Qj</w:t>
            </w:r>
            <w:r>
              <w:rPr>
                <w:rFonts w:ascii="Times New Roman" w:hAnsi="Times New Roman" w:eastAsia="Times New Roman" w:cs="Times New Roman"/>
                <w:spacing w:val="5"/>
                <w:position w:val="2"/>
                <w:sz w:val="20"/>
                <w:szCs w:val="20"/>
              </w:rPr>
              <w:t xml:space="preserve"> =</w:t>
            </w:r>
            <w:r>
              <w:rPr>
                <w:rFonts w:ascii="Times New Roman" w:hAnsi="Times New Roman" w:eastAsia="Times New Roman" w:cs="Times New Roman"/>
                <w:position w:val="2"/>
                <w:sz w:val="20"/>
                <w:szCs w:val="20"/>
              </w:rPr>
              <w:t>i</w:t>
            </w:r>
            <w:r>
              <w:rPr>
                <w:rFonts w:ascii="Times New Roman" w:hAnsi="Times New Roman" w:eastAsia="Times New Roman" w:cs="Times New Roman"/>
                <w:spacing w:val="5"/>
                <w:position w:val="2"/>
                <w:sz w:val="20"/>
                <w:szCs w:val="20"/>
              </w:rPr>
              <w:t xml:space="preserve"> </w:t>
            </w:r>
            <w:r>
              <w:rPr>
                <w:rFonts w:ascii="宋体" w:hAnsi="宋体" w:eastAsia="宋体" w:cs="宋体"/>
                <w:spacing w:val="5"/>
                <w:position w:val="2"/>
                <w:sz w:val="20"/>
                <w:szCs w:val="20"/>
              </w:rPr>
              <w:t>类气态污染排放源强 (</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s</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5"/>
                <w:position w:val="2"/>
                <w:sz w:val="20"/>
                <w:szCs w:val="20"/>
              </w:rPr>
              <w:t xml:space="preserve"> </w:t>
            </w:r>
            <w:r>
              <w:rPr>
                <w:rFonts w:ascii="宋体" w:hAnsi="宋体" w:eastAsia="宋体" w:cs="宋体"/>
                <w:spacing w:val="5"/>
                <w:position w:val="2"/>
                <w:sz w:val="20"/>
                <w:szCs w:val="20"/>
              </w:rPr>
              <w:t>) ；</w:t>
            </w:r>
          </w:p>
          <w:p>
            <w:pPr>
              <w:spacing w:before="120" w:line="281" w:lineRule="exact"/>
              <w:ind w:left="1118"/>
              <w:rPr>
                <w:rFonts w:ascii="宋体" w:hAnsi="宋体" w:eastAsia="宋体" w:cs="宋体"/>
                <w:sz w:val="20"/>
                <w:szCs w:val="20"/>
              </w:rPr>
            </w:pPr>
            <w:r>
              <w:rPr>
                <w:rFonts w:ascii="Times New Roman" w:hAnsi="Times New Roman" w:eastAsia="Times New Roman" w:cs="Times New Roman"/>
                <w:position w:val="1"/>
                <w:sz w:val="20"/>
                <w:szCs w:val="20"/>
              </w:rPr>
              <w:t>Ai</w:t>
            </w:r>
            <w:r>
              <w:rPr>
                <w:rFonts w:ascii="Times New Roman" w:hAnsi="Times New Roman" w:eastAsia="Times New Roman" w:cs="Times New Roman"/>
                <w:spacing w:val="8"/>
                <w:position w:val="1"/>
                <w:sz w:val="20"/>
                <w:szCs w:val="20"/>
              </w:rPr>
              <w:t xml:space="preserve"> = </w:t>
            </w:r>
            <w:r>
              <w:rPr>
                <w:rFonts w:ascii="Times New Roman" w:hAnsi="Times New Roman" w:eastAsia="Times New Roman" w:cs="Times New Roman"/>
                <w:position w:val="1"/>
                <w:sz w:val="20"/>
                <w:szCs w:val="20"/>
              </w:rPr>
              <w:t>i</w:t>
            </w:r>
            <w:r>
              <w:rPr>
                <w:rFonts w:ascii="Times New Roman" w:hAnsi="Times New Roman" w:eastAsia="Times New Roman" w:cs="Times New Roman"/>
                <w:spacing w:val="8"/>
                <w:position w:val="1"/>
                <w:sz w:val="20"/>
                <w:szCs w:val="20"/>
              </w:rPr>
              <w:t xml:space="preserve"> </w:t>
            </w:r>
            <w:r>
              <w:rPr>
                <w:rFonts w:ascii="宋体" w:hAnsi="宋体" w:eastAsia="宋体" w:cs="宋体"/>
                <w:spacing w:val="8"/>
                <w:position w:val="1"/>
                <w:sz w:val="20"/>
                <w:szCs w:val="20"/>
              </w:rPr>
              <w:t>型车预测年的小时交通量 (辆</w:t>
            </w:r>
            <w:r>
              <w:rPr>
                <w:rFonts w:ascii="Times New Roman" w:hAnsi="Times New Roman" w:eastAsia="Times New Roman" w:cs="Times New Roman"/>
                <w:spacing w:val="8"/>
                <w:position w:val="1"/>
                <w:sz w:val="20"/>
                <w:szCs w:val="20"/>
              </w:rPr>
              <w:t>/</w:t>
            </w:r>
            <w:r>
              <w:rPr>
                <w:rFonts w:ascii="宋体" w:hAnsi="宋体" w:eastAsia="宋体" w:cs="宋体"/>
                <w:spacing w:val="8"/>
                <w:position w:val="1"/>
                <w:sz w:val="20"/>
                <w:szCs w:val="20"/>
              </w:rPr>
              <w:t xml:space="preserve">小时) </w:t>
            </w:r>
            <w:r>
              <w:rPr>
                <w:rFonts w:ascii="宋体" w:hAnsi="宋体" w:eastAsia="宋体" w:cs="宋体"/>
                <w:spacing w:val="3"/>
                <w:position w:val="1"/>
                <w:sz w:val="20"/>
                <w:szCs w:val="20"/>
              </w:rPr>
              <w:t>；</w:t>
            </w:r>
          </w:p>
          <w:p>
            <w:pPr>
              <w:spacing w:before="120" w:line="281" w:lineRule="exact"/>
              <w:ind w:left="1121"/>
              <w:rPr>
                <w:rFonts w:ascii="宋体" w:hAnsi="宋体" w:eastAsia="宋体" w:cs="宋体"/>
                <w:sz w:val="20"/>
                <w:szCs w:val="20"/>
              </w:rPr>
            </w:pPr>
            <w:r>
              <w:rPr>
                <w:rFonts w:ascii="Times New Roman" w:hAnsi="Times New Roman" w:eastAsia="Times New Roman" w:cs="Times New Roman"/>
                <w:position w:val="2"/>
                <w:sz w:val="20"/>
                <w:szCs w:val="20"/>
              </w:rPr>
              <w:t>Eij</w:t>
            </w:r>
            <w:r>
              <w:rPr>
                <w:rFonts w:ascii="Times New Roman" w:hAnsi="Times New Roman" w:eastAsia="Times New Roman" w:cs="Times New Roman"/>
                <w:spacing w:val="24"/>
                <w:position w:val="2"/>
                <w:sz w:val="20"/>
                <w:szCs w:val="20"/>
              </w:rPr>
              <w:t xml:space="preserve"> </w:t>
            </w:r>
            <w:r>
              <w:rPr>
                <w:rFonts w:ascii="Times New Roman" w:hAnsi="Times New Roman" w:eastAsia="Times New Roman" w:cs="Times New Roman"/>
                <w:spacing w:val="17"/>
                <w:position w:val="2"/>
                <w:sz w:val="20"/>
                <w:szCs w:val="20"/>
              </w:rPr>
              <w:t>=</w:t>
            </w:r>
            <w:r>
              <w:rPr>
                <w:rFonts w:ascii="Times New Roman" w:hAnsi="Times New Roman" w:eastAsia="Times New Roman" w:cs="Times New Roman"/>
                <w:spacing w:val="12"/>
                <w:position w:val="2"/>
                <w:sz w:val="20"/>
                <w:szCs w:val="20"/>
              </w:rPr>
              <w:t xml:space="preserve"> </w:t>
            </w:r>
            <w:r>
              <w:rPr>
                <w:rFonts w:ascii="Times New Roman" w:hAnsi="Times New Roman" w:eastAsia="Times New Roman" w:cs="Times New Roman"/>
                <w:position w:val="2"/>
                <w:sz w:val="20"/>
                <w:szCs w:val="20"/>
              </w:rPr>
              <w:t>i</w:t>
            </w:r>
            <w:r>
              <w:rPr>
                <w:rFonts w:ascii="Times New Roman" w:hAnsi="Times New Roman" w:eastAsia="Times New Roman" w:cs="Times New Roman"/>
                <w:spacing w:val="12"/>
                <w:position w:val="2"/>
                <w:sz w:val="20"/>
                <w:szCs w:val="20"/>
              </w:rPr>
              <w:t xml:space="preserve"> </w:t>
            </w:r>
            <w:r>
              <w:rPr>
                <w:rFonts w:ascii="宋体" w:hAnsi="宋体" w:eastAsia="宋体" w:cs="宋体"/>
                <w:spacing w:val="12"/>
                <w:position w:val="2"/>
                <w:sz w:val="20"/>
                <w:szCs w:val="20"/>
              </w:rPr>
              <w:t>型车</w:t>
            </w:r>
            <w:r>
              <w:rPr>
                <w:rFonts w:ascii="Times New Roman" w:hAnsi="Times New Roman" w:eastAsia="Times New Roman" w:cs="Times New Roman"/>
                <w:position w:val="2"/>
                <w:sz w:val="20"/>
                <w:szCs w:val="20"/>
              </w:rPr>
              <w:t>j</w:t>
            </w:r>
            <w:r>
              <w:rPr>
                <w:rFonts w:ascii="宋体" w:hAnsi="宋体" w:eastAsia="宋体" w:cs="宋体"/>
                <w:spacing w:val="12"/>
                <w:position w:val="2"/>
                <w:sz w:val="20"/>
                <w:szCs w:val="20"/>
              </w:rPr>
              <w:t>类气态污染物等速工况的单车排放因子 (</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12"/>
                <w:position w:val="2"/>
                <w:sz w:val="20"/>
                <w:szCs w:val="20"/>
              </w:rPr>
              <w:t>/</w:t>
            </w:r>
            <w:r>
              <w:rPr>
                <w:rFonts w:ascii="Times New Roman" w:hAnsi="Times New Roman" w:eastAsia="Times New Roman" w:cs="Times New Roman"/>
                <w:position w:val="2"/>
                <w:sz w:val="20"/>
                <w:szCs w:val="20"/>
              </w:rPr>
              <w:t>km</w:t>
            </w:r>
            <w:r>
              <w:rPr>
                <w:rFonts w:ascii="Times New Roman" w:hAnsi="Times New Roman" w:eastAsia="Times New Roman" w:cs="Times New Roman"/>
                <w:spacing w:val="12"/>
                <w:position w:val="2"/>
                <w:sz w:val="20"/>
                <w:szCs w:val="20"/>
              </w:rPr>
              <w:t>·</w:t>
            </w:r>
            <w:r>
              <w:rPr>
                <w:rFonts w:ascii="宋体" w:hAnsi="宋体" w:eastAsia="宋体" w:cs="宋体"/>
                <w:spacing w:val="12"/>
                <w:position w:val="2"/>
                <w:sz w:val="20"/>
                <w:szCs w:val="20"/>
              </w:rPr>
              <w:t>辆)</w:t>
            </w:r>
          </w:p>
          <w:p>
            <w:pPr>
              <w:spacing w:before="117" w:line="316" w:lineRule="auto"/>
              <w:ind w:left="86" w:firstLine="412"/>
              <w:rPr>
                <w:rFonts w:ascii="宋体" w:hAnsi="宋体" w:eastAsia="宋体" w:cs="宋体"/>
                <w:sz w:val="20"/>
                <w:szCs w:val="20"/>
              </w:rPr>
            </w:pPr>
            <w:r>
              <w:rPr>
                <w:rFonts w:ascii="宋体" w:hAnsi="宋体" w:eastAsia="宋体" w:cs="宋体"/>
                <w:spacing w:val="10"/>
                <w:sz w:val="20"/>
                <w:szCs w:val="20"/>
              </w:rPr>
              <w:t>不同车型</w:t>
            </w:r>
            <w:r>
              <w:rPr>
                <w:rFonts w:ascii="宋体" w:hAnsi="宋体" w:eastAsia="宋体" w:cs="宋体"/>
                <w:spacing w:val="6"/>
                <w:sz w:val="20"/>
                <w:szCs w:val="20"/>
              </w:rPr>
              <w:t>的</w:t>
            </w:r>
            <w:r>
              <w:rPr>
                <w:rFonts w:ascii="宋体" w:hAnsi="宋体" w:eastAsia="宋体" w:cs="宋体"/>
                <w:spacing w:val="5"/>
                <w:sz w:val="20"/>
                <w:szCs w:val="20"/>
              </w:rPr>
              <w:t xml:space="preserve">等速概况单车污染物排放因子 </w:t>
            </w:r>
            <w:r>
              <w:rPr>
                <w:rFonts w:ascii="Times New Roman" w:hAnsi="Times New Roman" w:eastAsia="Times New Roman" w:cs="Times New Roman"/>
                <w:sz w:val="20"/>
                <w:szCs w:val="20"/>
              </w:rPr>
              <w:t>Eij</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值按《公路建设项目环境影响评价规范》</w:t>
            </w:r>
            <w:r>
              <w:rPr>
                <w:rFonts w:ascii="宋体" w:hAnsi="宋体" w:eastAsia="宋体" w:cs="宋体"/>
                <w:sz w:val="20"/>
                <w:szCs w:val="20"/>
              </w:rPr>
              <w:t xml:space="preserve"> </w:t>
            </w:r>
            <w:r>
              <w:rPr>
                <w:rFonts w:ascii="宋体" w:hAnsi="宋体" w:eastAsia="宋体" w:cs="宋体"/>
                <w:spacing w:val="20"/>
                <w:sz w:val="20"/>
                <w:szCs w:val="20"/>
              </w:rPr>
              <w:t>(</w:t>
            </w:r>
            <w:r>
              <w:rPr>
                <w:rFonts w:ascii="Times New Roman" w:hAnsi="Times New Roman" w:eastAsia="Times New Roman" w:cs="Times New Roman"/>
                <w:sz w:val="20"/>
                <w:szCs w:val="20"/>
              </w:rPr>
              <w:t>TJG</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B</w:t>
            </w:r>
            <w:r>
              <w:rPr>
                <w:rFonts w:ascii="Times New Roman" w:hAnsi="Times New Roman" w:eastAsia="Times New Roman" w:cs="Times New Roman"/>
                <w:spacing w:val="12"/>
                <w:sz w:val="20"/>
                <w:szCs w:val="20"/>
              </w:rPr>
              <w:t>0</w:t>
            </w:r>
            <w:r>
              <w:rPr>
                <w:rFonts w:ascii="Times New Roman" w:hAnsi="Times New Roman" w:eastAsia="Times New Roman" w:cs="Times New Roman"/>
                <w:spacing w:val="10"/>
                <w:sz w:val="20"/>
                <w:szCs w:val="20"/>
              </w:rPr>
              <w:t>3-2006</w:t>
            </w:r>
            <w:r>
              <w:rPr>
                <w:rFonts w:ascii="宋体" w:hAnsi="宋体" w:eastAsia="宋体" w:cs="宋体"/>
                <w:spacing w:val="10"/>
                <w:sz w:val="20"/>
                <w:szCs w:val="20"/>
              </w:rPr>
              <w:t>) 推荐系数算，单车污染排放因子推荐值见下表。</w:t>
            </w:r>
          </w:p>
          <w:p>
            <w:pPr>
              <w:spacing w:before="96" w:line="268" w:lineRule="exact"/>
              <w:ind w:left="1766"/>
              <w:rPr>
                <w:rFonts w:ascii="黑体" w:hAnsi="黑体" w:eastAsia="黑体" w:cs="黑体"/>
                <w:sz w:val="19"/>
                <w:szCs w:val="19"/>
              </w:rPr>
            </w:pPr>
            <w:r>
              <w:rPr>
                <w:rFonts w:ascii="黑体" w:hAnsi="黑体" w:eastAsia="黑体" w:cs="黑体"/>
                <w:spacing w:val="7"/>
                <w:position w:val="2"/>
                <w:sz w:val="19"/>
                <w:szCs w:val="19"/>
              </w:rPr>
              <w:t>表</w:t>
            </w:r>
            <w:r>
              <w:rPr>
                <w:rFonts w:ascii="Times New Roman" w:hAnsi="Times New Roman" w:eastAsia="Times New Roman" w:cs="Times New Roman"/>
                <w:spacing w:val="7"/>
                <w:position w:val="2"/>
                <w:sz w:val="19"/>
                <w:szCs w:val="19"/>
              </w:rPr>
              <w:t xml:space="preserve">41    </w:t>
            </w:r>
            <w:r>
              <w:rPr>
                <w:rFonts w:ascii="黑体" w:hAnsi="黑体" w:eastAsia="黑体" w:cs="黑体"/>
                <w:spacing w:val="7"/>
                <w:position w:val="2"/>
                <w:sz w:val="19"/>
                <w:szCs w:val="19"/>
              </w:rPr>
              <w:t>车辆单车排放因子推荐值   单位：</w:t>
            </w:r>
            <w:r>
              <w:rPr>
                <w:rFonts w:ascii="Times New Roman" w:hAnsi="Times New Roman" w:eastAsia="Times New Roman" w:cs="Times New Roman"/>
                <w:position w:val="2"/>
                <w:sz w:val="19"/>
                <w:szCs w:val="19"/>
              </w:rPr>
              <w:t>g</w:t>
            </w:r>
            <w:r>
              <w:rPr>
                <w:rFonts w:ascii="Times New Roman" w:hAnsi="Times New Roman" w:eastAsia="Times New Roman" w:cs="Times New Roman"/>
                <w:spacing w:val="7"/>
                <w:position w:val="2"/>
                <w:sz w:val="19"/>
                <w:szCs w:val="19"/>
              </w:rPr>
              <w:t xml:space="preserve">/  </w:t>
            </w:r>
            <w:r>
              <w:rPr>
                <w:rFonts w:ascii="黑体" w:hAnsi="黑体" w:eastAsia="黑体" w:cs="黑体"/>
                <w:spacing w:val="7"/>
                <w:position w:val="2"/>
                <w:sz w:val="19"/>
                <w:szCs w:val="19"/>
              </w:rPr>
              <w:t>(</w:t>
            </w:r>
            <w:r>
              <w:rPr>
                <w:rFonts w:ascii="Times New Roman" w:hAnsi="Times New Roman" w:eastAsia="Times New Roman" w:cs="Times New Roman"/>
                <w:position w:val="2"/>
                <w:sz w:val="19"/>
                <w:szCs w:val="19"/>
              </w:rPr>
              <w:t>km</w:t>
            </w:r>
            <w:r>
              <w:rPr>
                <w:rFonts w:ascii="Times New Roman" w:hAnsi="Times New Roman" w:eastAsia="Times New Roman" w:cs="Times New Roman"/>
                <w:spacing w:val="7"/>
                <w:position w:val="2"/>
                <w:sz w:val="19"/>
                <w:szCs w:val="19"/>
              </w:rPr>
              <w:t>·</w:t>
            </w:r>
            <w:r>
              <w:rPr>
                <w:rFonts w:ascii="黑体" w:hAnsi="黑体" w:eastAsia="黑体" w:cs="黑体"/>
                <w:spacing w:val="7"/>
                <w:position w:val="2"/>
                <w:sz w:val="19"/>
                <w:szCs w:val="19"/>
              </w:rPr>
              <w:t>辆</w:t>
            </w:r>
            <w:r>
              <w:rPr>
                <w:rFonts w:ascii="黑体" w:hAnsi="黑体" w:eastAsia="黑体" w:cs="黑体"/>
                <w:spacing w:val="6"/>
                <w:position w:val="2"/>
                <w:sz w:val="19"/>
                <w:szCs w:val="19"/>
              </w:rPr>
              <w:t>)</w:t>
            </w:r>
          </w:p>
          <w:p>
            <w:pPr>
              <w:spacing w:line="106" w:lineRule="auto"/>
              <w:rPr>
                <w:rFonts w:ascii="Arial"/>
                <w:sz w:val="2"/>
              </w:rPr>
            </w:pPr>
          </w:p>
          <w:tbl>
            <w:tblPr>
              <w:tblStyle w:val="4"/>
              <w:tblW w:w="7878" w:type="dxa"/>
              <w:tblInd w:w="2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736"/>
              <w:gridCol w:w="703"/>
              <w:gridCol w:w="703"/>
              <w:gridCol w:w="703"/>
              <w:gridCol w:w="922"/>
              <w:gridCol w:w="923"/>
              <w:gridCol w:w="924"/>
              <w:gridCol w:w="703"/>
              <w:gridCol w:w="7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509" w:type="dxa"/>
                  <w:gridSpan w:val="2"/>
                  <w:vAlign w:val="top"/>
                </w:tcPr>
                <w:p>
                  <w:pPr>
                    <w:spacing w:before="48" w:line="249" w:lineRule="exact"/>
                    <w:ind w:left="137"/>
                    <w:rPr>
                      <w:rFonts w:ascii="Times New Roman" w:hAnsi="Times New Roman" w:eastAsia="Times New Roman" w:cs="Times New Roman"/>
                      <w:sz w:val="17"/>
                      <w:szCs w:val="17"/>
                    </w:rPr>
                  </w:pPr>
                  <w:r>
                    <w:rPr>
                      <w:rFonts w:ascii="宋体" w:hAnsi="宋体" w:eastAsia="宋体" w:cs="宋体"/>
                      <w:spacing w:val="12"/>
                      <w:position w:val="2"/>
                      <w:sz w:val="17"/>
                      <w:szCs w:val="17"/>
                      <w14:textOutline w14:w="3268" w14:cap="sq" w14:cmpd="sng">
                        <w14:solidFill>
                          <w14:srgbClr w14:val="000000"/>
                        </w14:solidFill>
                        <w14:prstDash w14:val="solid"/>
                        <w14:bevel/>
                      </w14:textOutline>
                    </w:rPr>
                    <w:t>平</w:t>
                  </w:r>
                  <w:r>
                    <w:rPr>
                      <w:rFonts w:ascii="宋体" w:hAnsi="宋体" w:eastAsia="宋体" w:cs="宋体"/>
                      <w:spacing w:val="8"/>
                      <w:position w:val="2"/>
                      <w:sz w:val="17"/>
                      <w:szCs w:val="17"/>
                      <w14:textOutline w14:w="3268" w14:cap="sq" w14:cmpd="sng">
                        <w14:solidFill>
                          <w14:srgbClr w14:val="000000"/>
                        </w14:solidFill>
                        <w14:prstDash w14:val="solid"/>
                        <w14:bevel/>
                      </w14:textOutline>
                    </w:rPr>
                    <w:t>均车速</w:t>
                  </w:r>
                  <w:r>
                    <w:rPr>
                      <w:rFonts w:ascii="Times New Roman" w:hAnsi="Times New Roman" w:eastAsia="Times New Roman" w:cs="Times New Roman"/>
                      <w:b/>
                      <w:bCs/>
                      <w:spacing w:val="8"/>
                      <w:position w:val="2"/>
                      <w:sz w:val="17"/>
                      <w:szCs w:val="17"/>
                    </w:rPr>
                    <w:t>(</w:t>
                  </w:r>
                  <w:r>
                    <w:rPr>
                      <w:rFonts w:ascii="Times New Roman" w:hAnsi="Times New Roman" w:eastAsia="Times New Roman" w:cs="Times New Roman"/>
                      <w:b/>
                      <w:bCs/>
                      <w:position w:val="2"/>
                      <w:sz w:val="17"/>
                      <w:szCs w:val="17"/>
                    </w:rPr>
                    <w:t>km</w:t>
                  </w:r>
                  <w:r>
                    <w:rPr>
                      <w:rFonts w:ascii="Times New Roman" w:hAnsi="Times New Roman" w:eastAsia="Times New Roman" w:cs="Times New Roman"/>
                      <w:b/>
                      <w:bCs/>
                      <w:spacing w:val="8"/>
                      <w:position w:val="2"/>
                      <w:sz w:val="17"/>
                      <w:szCs w:val="17"/>
                    </w:rPr>
                    <w:t>/</w:t>
                  </w:r>
                  <w:r>
                    <w:rPr>
                      <w:rFonts w:ascii="Times New Roman" w:hAnsi="Times New Roman" w:eastAsia="Times New Roman" w:cs="Times New Roman"/>
                      <w:b/>
                      <w:bCs/>
                      <w:position w:val="2"/>
                      <w:sz w:val="17"/>
                      <w:szCs w:val="17"/>
                    </w:rPr>
                    <w:t>h</w:t>
                  </w:r>
                  <w:r>
                    <w:rPr>
                      <w:rFonts w:ascii="Times New Roman" w:hAnsi="Times New Roman" w:eastAsia="Times New Roman" w:cs="Times New Roman"/>
                      <w:b/>
                      <w:bCs/>
                      <w:spacing w:val="8"/>
                      <w:position w:val="2"/>
                      <w:sz w:val="17"/>
                      <w:szCs w:val="17"/>
                    </w:rPr>
                    <w:t>)</w:t>
                  </w:r>
                </w:p>
              </w:tc>
              <w:tc>
                <w:tcPr>
                  <w:tcW w:w="703" w:type="dxa"/>
                  <w:vAlign w:val="top"/>
                </w:tcPr>
                <w:p>
                  <w:pPr>
                    <w:spacing w:before="102" w:line="195" w:lineRule="auto"/>
                    <w:ind w:left="245"/>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30</w:t>
                  </w:r>
                </w:p>
              </w:tc>
              <w:tc>
                <w:tcPr>
                  <w:tcW w:w="703" w:type="dxa"/>
                  <w:vAlign w:val="top"/>
                </w:tcPr>
                <w:p>
                  <w:pPr>
                    <w:spacing w:before="102" w:line="195" w:lineRule="auto"/>
                    <w:ind w:left="248"/>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40</w:t>
                  </w:r>
                </w:p>
              </w:tc>
              <w:tc>
                <w:tcPr>
                  <w:tcW w:w="703" w:type="dxa"/>
                  <w:vAlign w:val="top"/>
                </w:tcPr>
                <w:p>
                  <w:pPr>
                    <w:spacing w:before="102" w:line="195" w:lineRule="auto"/>
                    <w:ind w:left="250"/>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50</w:t>
                  </w:r>
                </w:p>
              </w:tc>
              <w:tc>
                <w:tcPr>
                  <w:tcW w:w="922" w:type="dxa"/>
                  <w:vAlign w:val="top"/>
                </w:tcPr>
                <w:p>
                  <w:pPr>
                    <w:spacing w:before="102" w:line="195" w:lineRule="auto"/>
                    <w:ind w:left="361"/>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60</w:t>
                  </w:r>
                </w:p>
              </w:tc>
              <w:tc>
                <w:tcPr>
                  <w:tcW w:w="923" w:type="dxa"/>
                  <w:vAlign w:val="top"/>
                </w:tcPr>
                <w:p>
                  <w:pPr>
                    <w:spacing w:before="102" w:line="195" w:lineRule="auto"/>
                    <w:ind w:left="362"/>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70</w:t>
                  </w:r>
                </w:p>
              </w:tc>
              <w:tc>
                <w:tcPr>
                  <w:tcW w:w="924" w:type="dxa"/>
                  <w:vAlign w:val="top"/>
                </w:tcPr>
                <w:p>
                  <w:pPr>
                    <w:spacing w:before="102" w:line="195" w:lineRule="auto"/>
                    <w:ind w:left="363"/>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80</w:t>
                  </w:r>
                </w:p>
              </w:tc>
              <w:tc>
                <w:tcPr>
                  <w:tcW w:w="703" w:type="dxa"/>
                  <w:vAlign w:val="top"/>
                </w:tcPr>
                <w:p>
                  <w:pPr>
                    <w:spacing w:before="102" w:line="195" w:lineRule="auto"/>
                    <w:ind w:left="252"/>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9</w:t>
                  </w:r>
                  <w:r>
                    <w:rPr>
                      <w:rFonts w:ascii="Times New Roman" w:hAnsi="Times New Roman" w:eastAsia="Times New Roman" w:cs="Times New Roman"/>
                      <w:b/>
                      <w:bCs/>
                      <w:spacing w:val="1"/>
                      <w:sz w:val="20"/>
                      <w:szCs w:val="20"/>
                    </w:rPr>
                    <w:t>0</w:t>
                  </w:r>
                </w:p>
              </w:tc>
              <w:tc>
                <w:tcPr>
                  <w:tcW w:w="788" w:type="dxa"/>
                  <w:vAlign w:val="top"/>
                </w:tcPr>
                <w:p>
                  <w:pPr>
                    <w:spacing w:before="102" w:line="195" w:lineRule="auto"/>
                    <w:ind w:left="248"/>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1</w:t>
                  </w:r>
                  <w:r>
                    <w:rPr>
                      <w:rFonts w:ascii="Times New Roman" w:hAnsi="Times New Roman" w:eastAsia="Times New Roman" w:cs="Times New Roman"/>
                      <w:b/>
                      <w:bCs/>
                      <w:sz w:val="20"/>
                      <w:szCs w:val="20"/>
                    </w:rP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773" w:type="dxa"/>
                  <w:vMerge w:val="restart"/>
                  <w:tcBorders>
                    <w:bottom w:val="nil"/>
                  </w:tcBorders>
                  <w:vAlign w:val="top"/>
                </w:tcPr>
                <w:p>
                  <w:pPr>
                    <w:spacing w:before="235" w:line="230" w:lineRule="auto"/>
                    <w:ind w:left="126"/>
                    <w:rPr>
                      <w:rFonts w:ascii="宋体" w:hAnsi="宋体" w:eastAsia="宋体" w:cs="宋体"/>
                      <w:sz w:val="17"/>
                      <w:szCs w:val="17"/>
                    </w:rPr>
                  </w:pPr>
                  <w:r>
                    <w:rPr>
                      <w:rFonts w:ascii="宋体" w:hAnsi="宋体" w:eastAsia="宋体" w:cs="宋体"/>
                      <w:spacing w:val="6"/>
                      <w:sz w:val="17"/>
                      <w:szCs w:val="17"/>
                    </w:rPr>
                    <w:t>小型车</w:t>
                  </w:r>
                </w:p>
              </w:tc>
              <w:tc>
                <w:tcPr>
                  <w:tcW w:w="736" w:type="dxa"/>
                  <w:vAlign w:val="top"/>
                </w:tcPr>
                <w:p>
                  <w:pPr>
                    <w:spacing w:before="110" w:line="197" w:lineRule="auto"/>
                    <w:ind w:left="24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C</w:t>
                  </w:r>
                  <w:r>
                    <w:rPr>
                      <w:rFonts w:ascii="Times New Roman" w:hAnsi="Times New Roman" w:eastAsia="Times New Roman" w:cs="Times New Roman"/>
                      <w:spacing w:val="3"/>
                      <w:sz w:val="17"/>
                      <w:szCs w:val="17"/>
                    </w:rPr>
                    <w:t>O</w:t>
                  </w:r>
                </w:p>
              </w:tc>
              <w:tc>
                <w:tcPr>
                  <w:tcW w:w="703" w:type="dxa"/>
                  <w:vAlign w:val="top"/>
                </w:tcPr>
                <w:p>
                  <w:pPr>
                    <w:spacing w:before="98" w:line="195" w:lineRule="auto"/>
                    <w:ind w:left="11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46.66</w:t>
                  </w:r>
                </w:p>
              </w:tc>
              <w:tc>
                <w:tcPr>
                  <w:tcW w:w="703" w:type="dxa"/>
                  <w:vAlign w:val="top"/>
                </w:tcPr>
                <w:p>
                  <w:pPr>
                    <w:spacing w:before="97"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39.00</w:t>
                  </w:r>
                </w:p>
              </w:tc>
              <w:tc>
                <w:tcPr>
                  <w:tcW w:w="703" w:type="dxa"/>
                  <w:vAlign w:val="top"/>
                </w:tcPr>
                <w:p>
                  <w:pPr>
                    <w:spacing w:before="110" w:line="197" w:lineRule="auto"/>
                    <w:ind w:left="15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3"/>
                      <w:sz w:val="17"/>
                      <w:szCs w:val="17"/>
                    </w:rPr>
                    <w:t>1.34</w:t>
                  </w:r>
                </w:p>
              </w:tc>
              <w:tc>
                <w:tcPr>
                  <w:tcW w:w="922" w:type="dxa"/>
                  <w:vAlign w:val="top"/>
                </w:tcPr>
                <w:p>
                  <w:pPr>
                    <w:spacing w:before="110" w:line="197" w:lineRule="auto"/>
                    <w:ind w:left="25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23.68</w:t>
                  </w:r>
                </w:p>
              </w:tc>
              <w:tc>
                <w:tcPr>
                  <w:tcW w:w="923" w:type="dxa"/>
                  <w:vAlign w:val="top"/>
                </w:tcPr>
                <w:p>
                  <w:pPr>
                    <w:spacing w:before="110" w:line="197" w:lineRule="auto"/>
                    <w:ind w:left="278"/>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17.</w:t>
                  </w:r>
                  <w:r>
                    <w:rPr>
                      <w:rFonts w:ascii="Times New Roman" w:hAnsi="Times New Roman" w:eastAsia="Times New Roman" w:cs="Times New Roman"/>
                      <w:sz w:val="17"/>
                      <w:szCs w:val="17"/>
                    </w:rPr>
                    <w:t>90</w:t>
                  </w:r>
                </w:p>
              </w:tc>
              <w:tc>
                <w:tcPr>
                  <w:tcW w:w="924" w:type="dxa"/>
                  <w:vAlign w:val="top"/>
                </w:tcPr>
                <w:p>
                  <w:pPr>
                    <w:spacing w:before="110" w:line="200" w:lineRule="auto"/>
                    <w:ind w:left="27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14.</w:t>
                  </w:r>
                  <w:r>
                    <w:rPr>
                      <w:rFonts w:ascii="Times New Roman" w:hAnsi="Times New Roman" w:eastAsia="Times New Roman" w:cs="Times New Roman"/>
                      <w:sz w:val="17"/>
                      <w:szCs w:val="17"/>
                    </w:rPr>
                    <w:t>76</w:t>
                  </w:r>
                </w:p>
              </w:tc>
              <w:tc>
                <w:tcPr>
                  <w:tcW w:w="703" w:type="dxa"/>
                  <w:vAlign w:val="top"/>
                </w:tcPr>
                <w:p>
                  <w:pPr>
                    <w:spacing w:before="110" w:line="197" w:lineRule="auto"/>
                    <w:ind w:left="168"/>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10.</w:t>
                  </w:r>
                  <w:r>
                    <w:rPr>
                      <w:rFonts w:ascii="Times New Roman" w:hAnsi="Times New Roman" w:eastAsia="Times New Roman" w:cs="Times New Roman"/>
                      <w:sz w:val="17"/>
                      <w:szCs w:val="17"/>
                    </w:rPr>
                    <w:t>24</w:t>
                  </w:r>
                </w:p>
              </w:tc>
              <w:tc>
                <w:tcPr>
                  <w:tcW w:w="788" w:type="dxa"/>
                  <w:vAlign w:val="top"/>
                </w:tcPr>
                <w:p>
                  <w:pPr>
                    <w:spacing w:before="110" w:line="197" w:lineRule="auto"/>
                    <w:ind w:left="24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7.7</w:t>
                  </w:r>
                  <w:r>
                    <w:rPr>
                      <w:rFonts w:ascii="Times New Roman" w:hAnsi="Times New Roman" w:eastAsia="Times New Roman" w:cs="Times New Roman"/>
                      <w:spacing w:val="2"/>
                      <w:sz w:val="17"/>
                      <w:szCs w:val="17"/>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773" w:type="dxa"/>
                  <w:vMerge w:val="continue"/>
                  <w:tcBorders>
                    <w:top w:val="nil"/>
                  </w:tcBorders>
                  <w:vAlign w:val="top"/>
                </w:tcPr>
                <w:p>
                  <w:pPr>
                    <w:rPr>
                      <w:rFonts w:ascii="Arial"/>
                      <w:sz w:val="21"/>
                    </w:rPr>
                  </w:pPr>
                </w:p>
              </w:tc>
              <w:tc>
                <w:tcPr>
                  <w:tcW w:w="736" w:type="dxa"/>
                  <w:vAlign w:val="top"/>
                </w:tcPr>
                <w:p>
                  <w:pPr>
                    <w:spacing w:before="111"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NO</w:t>
                  </w:r>
                  <w:r>
                    <w:rPr>
                      <w:rFonts w:ascii="Times New Roman" w:hAnsi="Times New Roman" w:eastAsia="Times New Roman" w:cs="Times New Roman"/>
                      <w:spacing w:val="6"/>
                      <w:sz w:val="17"/>
                      <w:szCs w:val="17"/>
                    </w:rPr>
                    <w:t>x</w:t>
                  </w:r>
                </w:p>
              </w:tc>
              <w:tc>
                <w:tcPr>
                  <w:tcW w:w="703" w:type="dxa"/>
                  <w:vAlign w:val="top"/>
                </w:tcPr>
                <w:p>
                  <w:pPr>
                    <w:spacing w:before="98"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.57</w:t>
                  </w:r>
                </w:p>
              </w:tc>
              <w:tc>
                <w:tcPr>
                  <w:tcW w:w="703" w:type="dxa"/>
                  <w:vAlign w:val="top"/>
                </w:tcPr>
                <w:p>
                  <w:pPr>
                    <w:spacing w:before="98"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1</w:t>
                  </w:r>
                  <w:r>
                    <w:rPr>
                      <w:rFonts w:ascii="Times New Roman" w:hAnsi="Times New Roman" w:eastAsia="Times New Roman" w:cs="Times New Roman"/>
                      <w:spacing w:val="-11"/>
                      <w:sz w:val="20"/>
                      <w:szCs w:val="20"/>
                    </w:rPr>
                    <w:t>. 17</w:t>
                  </w:r>
                </w:p>
              </w:tc>
              <w:tc>
                <w:tcPr>
                  <w:tcW w:w="703" w:type="dxa"/>
                  <w:vAlign w:val="top"/>
                </w:tcPr>
                <w:p>
                  <w:pPr>
                    <w:spacing w:before="111" w:line="200" w:lineRule="auto"/>
                    <w:ind w:left="211"/>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1.7</w:t>
                  </w:r>
                  <w:r>
                    <w:rPr>
                      <w:rFonts w:ascii="Times New Roman" w:hAnsi="Times New Roman" w:eastAsia="Times New Roman" w:cs="Times New Roman"/>
                      <w:sz w:val="17"/>
                      <w:szCs w:val="17"/>
                    </w:rPr>
                    <w:t>7</w:t>
                  </w:r>
                </w:p>
              </w:tc>
              <w:tc>
                <w:tcPr>
                  <w:tcW w:w="922" w:type="dxa"/>
                  <w:vAlign w:val="top"/>
                </w:tcPr>
                <w:p>
                  <w:pPr>
                    <w:spacing w:before="111" w:line="200" w:lineRule="auto"/>
                    <w:ind w:left="30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.37</w:t>
                  </w:r>
                </w:p>
              </w:tc>
              <w:tc>
                <w:tcPr>
                  <w:tcW w:w="923" w:type="dxa"/>
                  <w:vAlign w:val="top"/>
                </w:tcPr>
                <w:p>
                  <w:pPr>
                    <w:spacing w:before="111" w:line="200" w:lineRule="auto"/>
                    <w:ind w:left="30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.96</w:t>
                  </w:r>
                </w:p>
              </w:tc>
              <w:tc>
                <w:tcPr>
                  <w:tcW w:w="924" w:type="dxa"/>
                  <w:vAlign w:val="top"/>
                </w:tcPr>
                <w:p>
                  <w:pPr>
                    <w:spacing w:before="111" w:line="197" w:lineRule="auto"/>
                    <w:ind w:left="31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2"/>
                      <w:sz w:val="17"/>
                      <w:szCs w:val="17"/>
                    </w:rPr>
                    <w:t>.71</w:t>
                  </w:r>
                </w:p>
              </w:tc>
              <w:tc>
                <w:tcPr>
                  <w:tcW w:w="703" w:type="dxa"/>
                  <w:vAlign w:val="top"/>
                </w:tcPr>
                <w:p>
                  <w:pPr>
                    <w:spacing w:before="111" w:line="197" w:lineRule="auto"/>
                    <w:ind w:left="20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2"/>
                      <w:sz w:val="17"/>
                      <w:szCs w:val="17"/>
                    </w:rPr>
                    <w:t>.85</w:t>
                  </w:r>
                </w:p>
              </w:tc>
              <w:tc>
                <w:tcPr>
                  <w:tcW w:w="788" w:type="dxa"/>
                  <w:vAlign w:val="top"/>
                </w:tcPr>
                <w:p>
                  <w:pPr>
                    <w:spacing w:before="111" w:line="197" w:lineRule="auto"/>
                    <w:ind w:left="24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2"/>
                      <w:sz w:val="17"/>
                      <w:szCs w:val="17"/>
                    </w:rPr>
                    <w:t>.99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773" w:type="dxa"/>
                  <w:vMerge w:val="restart"/>
                  <w:tcBorders>
                    <w:bottom w:val="nil"/>
                  </w:tcBorders>
                  <w:vAlign w:val="top"/>
                </w:tcPr>
                <w:p>
                  <w:pPr>
                    <w:spacing w:before="239" w:line="230" w:lineRule="auto"/>
                    <w:ind w:left="138"/>
                    <w:rPr>
                      <w:rFonts w:ascii="宋体" w:hAnsi="宋体" w:eastAsia="宋体" w:cs="宋体"/>
                      <w:sz w:val="17"/>
                      <w:szCs w:val="17"/>
                    </w:rPr>
                  </w:pPr>
                  <w:r>
                    <w:rPr>
                      <w:rFonts w:ascii="宋体" w:hAnsi="宋体" w:eastAsia="宋体" w:cs="宋体"/>
                      <w:spacing w:val="2"/>
                      <w:sz w:val="17"/>
                      <w:szCs w:val="17"/>
                    </w:rPr>
                    <w:t>中型车</w:t>
                  </w:r>
                </w:p>
              </w:tc>
              <w:tc>
                <w:tcPr>
                  <w:tcW w:w="736" w:type="dxa"/>
                  <w:vAlign w:val="top"/>
                </w:tcPr>
                <w:p>
                  <w:pPr>
                    <w:spacing w:before="114" w:line="197" w:lineRule="auto"/>
                    <w:ind w:left="24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C</w:t>
                  </w:r>
                  <w:r>
                    <w:rPr>
                      <w:rFonts w:ascii="Times New Roman" w:hAnsi="Times New Roman" w:eastAsia="Times New Roman" w:cs="Times New Roman"/>
                      <w:spacing w:val="3"/>
                      <w:sz w:val="17"/>
                      <w:szCs w:val="17"/>
                    </w:rPr>
                    <w:t>O</w:t>
                  </w:r>
                </w:p>
              </w:tc>
              <w:tc>
                <w:tcPr>
                  <w:tcW w:w="703" w:type="dxa"/>
                  <w:vAlign w:val="top"/>
                </w:tcPr>
                <w:p>
                  <w:pPr>
                    <w:spacing w:before="99"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3</w:t>
                  </w:r>
                  <w:r>
                    <w:rPr>
                      <w:rFonts w:ascii="Times New Roman" w:hAnsi="Times New Roman" w:eastAsia="Times New Roman" w:cs="Times New Roman"/>
                      <w:spacing w:val="-5"/>
                      <w:sz w:val="20"/>
                      <w:szCs w:val="20"/>
                    </w:rPr>
                    <w:t>8. 16</w:t>
                  </w:r>
                </w:p>
              </w:tc>
              <w:tc>
                <w:tcPr>
                  <w:tcW w:w="703" w:type="dxa"/>
                  <w:vAlign w:val="top"/>
                </w:tcPr>
                <w:p>
                  <w:pPr>
                    <w:spacing w:before="98"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3</w:t>
                  </w:r>
                  <w:r>
                    <w:rPr>
                      <w:rFonts w:ascii="Times New Roman" w:hAnsi="Times New Roman" w:eastAsia="Times New Roman" w:cs="Times New Roman"/>
                      <w:spacing w:val="-5"/>
                      <w:sz w:val="20"/>
                      <w:szCs w:val="20"/>
                    </w:rPr>
                    <w:t>4. 17</w:t>
                  </w:r>
                </w:p>
              </w:tc>
              <w:tc>
                <w:tcPr>
                  <w:tcW w:w="703" w:type="dxa"/>
                  <w:vAlign w:val="top"/>
                </w:tcPr>
                <w:p>
                  <w:pPr>
                    <w:spacing w:before="114" w:line="197" w:lineRule="auto"/>
                    <w:ind w:left="151"/>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3</w:t>
                  </w:r>
                  <w:r>
                    <w:rPr>
                      <w:rFonts w:ascii="Times New Roman" w:hAnsi="Times New Roman" w:eastAsia="Times New Roman" w:cs="Times New Roman"/>
                      <w:spacing w:val="-4"/>
                      <w:sz w:val="17"/>
                      <w:szCs w:val="17"/>
                    </w:rPr>
                    <w:t>0. 18</w:t>
                  </w:r>
                </w:p>
              </w:tc>
              <w:tc>
                <w:tcPr>
                  <w:tcW w:w="922" w:type="dxa"/>
                  <w:vAlign w:val="top"/>
                </w:tcPr>
                <w:p>
                  <w:pPr>
                    <w:spacing w:before="114" w:line="197" w:lineRule="auto"/>
                    <w:ind w:left="258"/>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6</w:t>
                  </w:r>
                  <w:r>
                    <w:rPr>
                      <w:rFonts w:ascii="Times New Roman" w:hAnsi="Times New Roman" w:eastAsia="Times New Roman" w:cs="Times New Roman"/>
                      <w:spacing w:val="-3"/>
                      <w:sz w:val="17"/>
                      <w:szCs w:val="17"/>
                    </w:rPr>
                    <w:t>. 19</w:t>
                  </w:r>
                </w:p>
              </w:tc>
              <w:tc>
                <w:tcPr>
                  <w:tcW w:w="923" w:type="dxa"/>
                  <w:vAlign w:val="top"/>
                </w:tcPr>
                <w:p>
                  <w:pPr>
                    <w:spacing w:before="114" w:line="200" w:lineRule="auto"/>
                    <w:ind w:left="26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24.76</w:t>
                  </w:r>
                </w:p>
              </w:tc>
              <w:tc>
                <w:tcPr>
                  <w:tcW w:w="924" w:type="dxa"/>
                  <w:vAlign w:val="top"/>
                </w:tcPr>
                <w:p>
                  <w:pPr>
                    <w:spacing w:before="114" w:line="197" w:lineRule="auto"/>
                    <w:ind w:left="26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25.47</w:t>
                  </w:r>
                </w:p>
              </w:tc>
              <w:tc>
                <w:tcPr>
                  <w:tcW w:w="703" w:type="dxa"/>
                  <w:vAlign w:val="top"/>
                </w:tcPr>
                <w:p>
                  <w:pPr>
                    <w:spacing w:before="114" w:line="197" w:lineRule="auto"/>
                    <w:ind w:left="15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28.55</w:t>
                  </w:r>
                </w:p>
              </w:tc>
              <w:tc>
                <w:tcPr>
                  <w:tcW w:w="788" w:type="dxa"/>
                  <w:vAlign w:val="top"/>
                </w:tcPr>
                <w:p>
                  <w:pPr>
                    <w:spacing w:before="114"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3"/>
                      <w:sz w:val="17"/>
                      <w:szCs w:val="17"/>
                    </w:rPr>
                    <w:t>4.78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773" w:type="dxa"/>
                  <w:vMerge w:val="continue"/>
                  <w:tcBorders>
                    <w:top w:val="nil"/>
                  </w:tcBorders>
                  <w:vAlign w:val="top"/>
                </w:tcPr>
                <w:p>
                  <w:pPr>
                    <w:rPr>
                      <w:rFonts w:ascii="Arial"/>
                      <w:sz w:val="21"/>
                    </w:rPr>
                  </w:pPr>
                </w:p>
              </w:tc>
              <w:tc>
                <w:tcPr>
                  <w:tcW w:w="736" w:type="dxa"/>
                  <w:vAlign w:val="top"/>
                </w:tcPr>
                <w:p>
                  <w:pPr>
                    <w:spacing w:before="114"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NO</w:t>
                  </w:r>
                  <w:r>
                    <w:rPr>
                      <w:rFonts w:ascii="Times New Roman" w:hAnsi="Times New Roman" w:eastAsia="Times New Roman" w:cs="Times New Roman"/>
                      <w:spacing w:val="6"/>
                      <w:sz w:val="17"/>
                      <w:szCs w:val="17"/>
                    </w:rPr>
                    <w:t>x</w:t>
                  </w:r>
                </w:p>
              </w:tc>
              <w:tc>
                <w:tcPr>
                  <w:tcW w:w="703" w:type="dxa"/>
                  <w:vAlign w:val="top"/>
                </w:tcPr>
                <w:p>
                  <w:pPr>
                    <w:spacing w:before="99"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.60</w:t>
                  </w:r>
                </w:p>
              </w:tc>
              <w:tc>
                <w:tcPr>
                  <w:tcW w:w="703" w:type="dxa"/>
                  <w:vAlign w:val="top"/>
                </w:tcPr>
                <w:p>
                  <w:pPr>
                    <w:spacing w:before="99" w:line="198"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.50</w:t>
                  </w:r>
                </w:p>
              </w:tc>
              <w:tc>
                <w:tcPr>
                  <w:tcW w:w="703" w:type="dxa"/>
                  <w:vAlign w:val="top"/>
                </w:tcPr>
                <w:p>
                  <w:pPr>
                    <w:spacing w:before="115" w:line="197" w:lineRule="auto"/>
                    <w:ind w:left="198"/>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.40</w:t>
                  </w:r>
                </w:p>
              </w:tc>
              <w:tc>
                <w:tcPr>
                  <w:tcW w:w="922" w:type="dxa"/>
                  <w:vAlign w:val="top"/>
                </w:tcPr>
                <w:p>
                  <w:pPr>
                    <w:spacing w:before="115" w:line="197" w:lineRule="auto"/>
                    <w:ind w:left="30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6</w:t>
                  </w:r>
                  <w:r>
                    <w:rPr>
                      <w:rFonts w:ascii="Times New Roman" w:hAnsi="Times New Roman" w:eastAsia="Times New Roman" w:cs="Times New Roman"/>
                      <w:spacing w:val="2"/>
                      <w:sz w:val="17"/>
                      <w:szCs w:val="17"/>
                    </w:rPr>
                    <w:t>.30</w:t>
                  </w:r>
                </w:p>
              </w:tc>
              <w:tc>
                <w:tcPr>
                  <w:tcW w:w="923" w:type="dxa"/>
                  <w:vAlign w:val="top"/>
                </w:tcPr>
                <w:p>
                  <w:pPr>
                    <w:spacing w:before="114" w:line="197" w:lineRule="auto"/>
                    <w:ind w:left="30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7.2</w:t>
                  </w:r>
                  <w:r>
                    <w:rPr>
                      <w:rFonts w:ascii="Times New Roman" w:hAnsi="Times New Roman" w:eastAsia="Times New Roman" w:cs="Times New Roman"/>
                      <w:spacing w:val="2"/>
                      <w:sz w:val="17"/>
                      <w:szCs w:val="17"/>
                    </w:rPr>
                    <w:t>0</w:t>
                  </w:r>
                </w:p>
              </w:tc>
              <w:tc>
                <w:tcPr>
                  <w:tcW w:w="924" w:type="dxa"/>
                  <w:vAlign w:val="top"/>
                </w:tcPr>
                <w:p>
                  <w:pPr>
                    <w:spacing w:before="115" w:line="197" w:lineRule="auto"/>
                    <w:ind w:left="31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8.3</w:t>
                  </w:r>
                  <w:r>
                    <w:rPr>
                      <w:rFonts w:ascii="Times New Roman" w:hAnsi="Times New Roman" w:eastAsia="Times New Roman" w:cs="Times New Roman"/>
                      <w:spacing w:val="1"/>
                      <w:sz w:val="17"/>
                      <w:szCs w:val="17"/>
                    </w:rPr>
                    <w:t>0</w:t>
                  </w:r>
                </w:p>
              </w:tc>
              <w:tc>
                <w:tcPr>
                  <w:tcW w:w="703" w:type="dxa"/>
                  <w:vAlign w:val="top"/>
                </w:tcPr>
                <w:p>
                  <w:pPr>
                    <w:spacing w:before="115" w:line="197" w:lineRule="auto"/>
                    <w:ind w:left="20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8.8</w:t>
                  </w:r>
                  <w:r>
                    <w:rPr>
                      <w:rFonts w:ascii="Times New Roman" w:hAnsi="Times New Roman" w:eastAsia="Times New Roman" w:cs="Times New Roman"/>
                      <w:spacing w:val="1"/>
                      <w:sz w:val="17"/>
                      <w:szCs w:val="17"/>
                    </w:rPr>
                    <w:t>0</w:t>
                  </w:r>
                </w:p>
              </w:tc>
              <w:tc>
                <w:tcPr>
                  <w:tcW w:w="788" w:type="dxa"/>
                  <w:vAlign w:val="top"/>
                </w:tcPr>
                <w:p>
                  <w:pPr>
                    <w:spacing w:before="114" w:line="197" w:lineRule="auto"/>
                    <w:ind w:left="24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9</w:t>
                  </w:r>
                  <w:r>
                    <w:rPr>
                      <w:rFonts w:ascii="Times New Roman" w:hAnsi="Times New Roman" w:eastAsia="Times New Roman" w:cs="Times New Roman"/>
                      <w:spacing w:val="2"/>
                      <w:sz w:val="17"/>
                      <w:szCs w:val="17"/>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773" w:type="dxa"/>
                  <w:vMerge w:val="restart"/>
                  <w:tcBorders>
                    <w:bottom w:val="nil"/>
                  </w:tcBorders>
                  <w:vAlign w:val="top"/>
                </w:tcPr>
                <w:p>
                  <w:pPr>
                    <w:spacing w:before="240" w:line="230" w:lineRule="auto"/>
                    <w:ind w:left="123"/>
                    <w:rPr>
                      <w:rFonts w:ascii="宋体" w:hAnsi="宋体" w:eastAsia="宋体" w:cs="宋体"/>
                      <w:sz w:val="17"/>
                      <w:szCs w:val="17"/>
                    </w:rPr>
                  </w:pPr>
                  <w:r>
                    <w:rPr>
                      <w:rFonts w:ascii="宋体" w:hAnsi="宋体" w:eastAsia="宋体" w:cs="宋体"/>
                      <w:spacing w:val="7"/>
                      <w:sz w:val="17"/>
                      <w:szCs w:val="17"/>
                    </w:rPr>
                    <w:t>大型</w:t>
                  </w:r>
                  <w:r>
                    <w:rPr>
                      <w:rFonts w:ascii="宋体" w:hAnsi="宋体" w:eastAsia="宋体" w:cs="宋体"/>
                      <w:spacing w:val="6"/>
                      <w:sz w:val="17"/>
                      <w:szCs w:val="17"/>
                    </w:rPr>
                    <w:t>车</w:t>
                  </w:r>
                </w:p>
              </w:tc>
              <w:tc>
                <w:tcPr>
                  <w:tcW w:w="736" w:type="dxa"/>
                  <w:vAlign w:val="top"/>
                </w:tcPr>
                <w:p>
                  <w:pPr>
                    <w:spacing w:before="115" w:line="197" w:lineRule="auto"/>
                    <w:ind w:left="24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C</w:t>
                  </w:r>
                  <w:r>
                    <w:rPr>
                      <w:rFonts w:ascii="Times New Roman" w:hAnsi="Times New Roman" w:eastAsia="Times New Roman" w:cs="Times New Roman"/>
                      <w:spacing w:val="3"/>
                      <w:sz w:val="17"/>
                      <w:szCs w:val="17"/>
                    </w:rPr>
                    <w:t>O</w:t>
                  </w:r>
                </w:p>
              </w:tc>
              <w:tc>
                <w:tcPr>
                  <w:tcW w:w="703" w:type="dxa"/>
                  <w:vAlign w:val="top"/>
                </w:tcPr>
                <w:p>
                  <w:pPr>
                    <w:spacing w:before="100" w:line="195"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w:t>
                  </w:r>
                  <w:r>
                    <w:rPr>
                      <w:rFonts w:ascii="Times New Roman" w:hAnsi="Times New Roman" w:eastAsia="Times New Roman" w:cs="Times New Roman"/>
                      <w:spacing w:val="2"/>
                      <w:sz w:val="20"/>
                      <w:szCs w:val="20"/>
                    </w:rPr>
                    <w:t>.79</w:t>
                  </w:r>
                </w:p>
              </w:tc>
              <w:tc>
                <w:tcPr>
                  <w:tcW w:w="703" w:type="dxa"/>
                  <w:vAlign w:val="top"/>
                </w:tcPr>
                <w:p>
                  <w:pPr>
                    <w:spacing w:before="100" w:line="195"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w:t>
                  </w:r>
                  <w:r>
                    <w:rPr>
                      <w:rFonts w:ascii="Times New Roman" w:hAnsi="Times New Roman" w:eastAsia="Times New Roman" w:cs="Times New Roman"/>
                      <w:spacing w:val="2"/>
                      <w:sz w:val="20"/>
                      <w:szCs w:val="20"/>
                    </w:rPr>
                    <w:t>.02</w:t>
                  </w:r>
                </w:p>
              </w:tc>
              <w:tc>
                <w:tcPr>
                  <w:tcW w:w="703" w:type="dxa"/>
                  <w:vAlign w:val="top"/>
                </w:tcPr>
                <w:p>
                  <w:pPr>
                    <w:spacing w:before="115" w:line="197" w:lineRule="auto"/>
                    <w:ind w:left="198"/>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.25</w:t>
                  </w:r>
                </w:p>
              </w:tc>
              <w:tc>
                <w:tcPr>
                  <w:tcW w:w="922" w:type="dxa"/>
                  <w:vAlign w:val="top"/>
                </w:tcPr>
                <w:p>
                  <w:pPr>
                    <w:spacing w:before="115" w:line="200" w:lineRule="auto"/>
                    <w:ind w:left="303"/>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.48</w:t>
                  </w:r>
                </w:p>
              </w:tc>
              <w:tc>
                <w:tcPr>
                  <w:tcW w:w="923" w:type="dxa"/>
                  <w:vAlign w:val="top"/>
                </w:tcPr>
                <w:p>
                  <w:pPr>
                    <w:spacing w:before="115" w:line="197" w:lineRule="auto"/>
                    <w:ind w:left="305"/>
                    <w:rPr>
                      <w:rFonts w:ascii="Times New Roman" w:hAnsi="Times New Roman" w:eastAsia="Times New Roman" w:cs="Times New Roman"/>
                      <w:sz w:val="17"/>
                      <w:szCs w:val="17"/>
                    </w:rPr>
                  </w:pPr>
                  <w:r>
                    <w:rPr>
                      <w:rFonts w:ascii="Times New Roman" w:hAnsi="Times New Roman" w:eastAsia="Times New Roman" w:cs="Times New Roman"/>
                      <w:spacing w:val="-8"/>
                      <w:sz w:val="17"/>
                      <w:szCs w:val="17"/>
                    </w:rPr>
                    <w:t>4</w:t>
                  </w:r>
                  <w:r>
                    <w:rPr>
                      <w:rFonts w:ascii="Times New Roman" w:hAnsi="Times New Roman" w:eastAsia="Times New Roman" w:cs="Times New Roman"/>
                      <w:spacing w:val="-5"/>
                      <w:sz w:val="17"/>
                      <w:szCs w:val="17"/>
                    </w:rPr>
                    <w:t>. 10</w:t>
                  </w:r>
                </w:p>
              </w:tc>
              <w:tc>
                <w:tcPr>
                  <w:tcW w:w="924" w:type="dxa"/>
                  <w:vAlign w:val="top"/>
                </w:tcPr>
                <w:p>
                  <w:pPr>
                    <w:spacing w:before="115" w:line="200" w:lineRule="auto"/>
                    <w:ind w:left="30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.01</w:t>
                  </w:r>
                </w:p>
              </w:tc>
              <w:tc>
                <w:tcPr>
                  <w:tcW w:w="703" w:type="dxa"/>
                  <w:vAlign w:val="top"/>
                </w:tcPr>
                <w:p>
                  <w:pPr>
                    <w:spacing w:before="115" w:line="200"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.23</w:t>
                  </w:r>
                </w:p>
              </w:tc>
              <w:tc>
                <w:tcPr>
                  <w:tcW w:w="788" w:type="dxa"/>
                  <w:vAlign w:val="top"/>
                </w:tcPr>
                <w:p>
                  <w:pPr>
                    <w:spacing w:before="115" w:line="200"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773" w:type="dxa"/>
                  <w:vMerge w:val="continue"/>
                  <w:tcBorders>
                    <w:top w:val="nil"/>
                  </w:tcBorders>
                  <w:vAlign w:val="top"/>
                </w:tcPr>
                <w:p>
                  <w:pPr>
                    <w:rPr>
                      <w:rFonts w:ascii="Arial"/>
                      <w:sz w:val="21"/>
                    </w:rPr>
                  </w:pPr>
                </w:p>
              </w:tc>
              <w:tc>
                <w:tcPr>
                  <w:tcW w:w="736" w:type="dxa"/>
                  <w:vAlign w:val="top"/>
                </w:tcPr>
                <w:p>
                  <w:pPr>
                    <w:spacing w:before="117"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NO</w:t>
                  </w:r>
                  <w:r>
                    <w:rPr>
                      <w:rFonts w:ascii="Times New Roman" w:hAnsi="Times New Roman" w:eastAsia="Times New Roman" w:cs="Times New Roman"/>
                      <w:spacing w:val="6"/>
                      <w:sz w:val="17"/>
                      <w:szCs w:val="17"/>
                    </w:rPr>
                    <w:t>x</w:t>
                  </w:r>
                </w:p>
              </w:tc>
              <w:tc>
                <w:tcPr>
                  <w:tcW w:w="703" w:type="dxa"/>
                  <w:vAlign w:val="top"/>
                </w:tcPr>
                <w:p>
                  <w:pPr>
                    <w:spacing w:before="102" w:line="195" w:lineRule="auto"/>
                    <w:ind w:left="1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0.36</w:t>
                  </w:r>
                </w:p>
              </w:tc>
              <w:tc>
                <w:tcPr>
                  <w:tcW w:w="703" w:type="dxa"/>
                  <w:vAlign w:val="top"/>
                </w:tcPr>
                <w:p>
                  <w:pPr>
                    <w:spacing w:before="102" w:line="195" w:lineRule="auto"/>
                    <w:ind w:left="1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0.40</w:t>
                  </w:r>
                </w:p>
              </w:tc>
              <w:tc>
                <w:tcPr>
                  <w:tcW w:w="703" w:type="dxa"/>
                  <w:vAlign w:val="top"/>
                </w:tcPr>
                <w:p>
                  <w:pPr>
                    <w:spacing w:before="117" w:line="197" w:lineRule="auto"/>
                    <w:ind w:left="16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10.</w:t>
                  </w:r>
                  <w:r>
                    <w:rPr>
                      <w:rFonts w:ascii="Times New Roman" w:hAnsi="Times New Roman" w:eastAsia="Times New Roman" w:cs="Times New Roman"/>
                      <w:sz w:val="17"/>
                      <w:szCs w:val="17"/>
                    </w:rPr>
                    <w:t>44</w:t>
                  </w:r>
                </w:p>
              </w:tc>
              <w:tc>
                <w:tcPr>
                  <w:tcW w:w="922" w:type="dxa"/>
                  <w:vAlign w:val="top"/>
                </w:tcPr>
                <w:p>
                  <w:pPr>
                    <w:spacing w:before="117" w:line="197" w:lineRule="auto"/>
                    <w:ind w:left="27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10.</w:t>
                  </w:r>
                  <w:r>
                    <w:rPr>
                      <w:rFonts w:ascii="Times New Roman" w:hAnsi="Times New Roman" w:eastAsia="Times New Roman" w:cs="Times New Roman"/>
                      <w:sz w:val="17"/>
                      <w:szCs w:val="17"/>
                    </w:rPr>
                    <w:t>48</w:t>
                  </w:r>
                </w:p>
              </w:tc>
              <w:tc>
                <w:tcPr>
                  <w:tcW w:w="923" w:type="dxa"/>
                  <w:vAlign w:val="top"/>
                </w:tcPr>
                <w:p>
                  <w:pPr>
                    <w:spacing w:before="117" w:line="197" w:lineRule="auto"/>
                    <w:ind w:left="280"/>
                    <w:rPr>
                      <w:rFonts w:ascii="Times New Roman" w:hAnsi="Times New Roman" w:eastAsia="Times New Roman" w:cs="Times New Roman"/>
                      <w:sz w:val="17"/>
                      <w:szCs w:val="17"/>
                    </w:rPr>
                  </w:pPr>
                  <w:r>
                    <w:rPr>
                      <w:rFonts w:ascii="Times New Roman" w:hAnsi="Times New Roman" w:eastAsia="Times New Roman" w:cs="Times New Roman"/>
                      <w:spacing w:val="-12"/>
                      <w:sz w:val="17"/>
                      <w:szCs w:val="17"/>
                    </w:rPr>
                    <w:t>1</w:t>
                  </w:r>
                  <w:r>
                    <w:rPr>
                      <w:rFonts w:ascii="Times New Roman" w:hAnsi="Times New Roman" w:eastAsia="Times New Roman" w:cs="Times New Roman"/>
                      <w:spacing w:val="-7"/>
                      <w:sz w:val="17"/>
                      <w:szCs w:val="17"/>
                    </w:rPr>
                    <w:t>1. 10</w:t>
                  </w:r>
                </w:p>
              </w:tc>
              <w:tc>
                <w:tcPr>
                  <w:tcW w:w="924" w:type="dxa"/>
                  <w:vAlign w:val="top"/>
                </w:tcPr>
                <w:p>
                  <w:pPr>
                    <w:spacing w:before="117" w:line="200" w:lineRule="auto"/>
                    <w:ind w:left="27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14.</w:t>
                  </w:r>
                  <w:r>
                    <w:rPr>
                      <w:rFonts w:ascii="Times New Roman" w:hAnsi="Times New Roman" w:eastAsia="Times New Roman" w:cs="Times New Roman"/>
                      <w:sz w:val="17"/>
                      <w:szCs w:val="17"/>
                    </w:rPr>
                    <w:t>71</w:t>
                  </w:r>
                </w:p>
              </w:tc>
              <w:tc>
                <w:tcPr>
                  <w:tcW w:w="703" w:type="dxa"/>
                  <w:vAlign w:val="top"/>
                </w:tcPr>
                <w:p>
                  <w:pPr>
                    <w:spacing w:before="117" w:line="197" w:lineRule="auto"/>
                    <w:ind w:left="168"/>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15.</w:t>
                  </w:r>
                  <w:r>
                    <w:rPr>
                      <w:rFonts w:ascii="Times New Roman" w:hAnsi="Times New Roman" w:eastAsia="Times New Roman" w:cs="Times New Roman"/>
                      <w:sz w:val="17"/>
                      <w:szCs w:val="17"/>
                    </w:rPr>
                    <w:t>64</w:t>
                  </w:r>
                </w:p>
              </w:tc>
              <w:tc>
                <w:tcPr>
                  <w:tcW w:w="788" w:type="dxa"/>
                  <w:vAlign w:val="top"/>
                </w:tcPr>
                <w:p>
                  <w:pPr>
                    <w:spacing w:before="117" w:line="197" w:lineRule="auto"/>
                    <w:ind w:left="20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18.</w:t>
                  </w:r>
                  <w:r>
                    <w:rPr>
                      <w:rFonts w:ascii="Times New Roman" w:hAnsi="Times New Roman" w:eastAsia="Times New Roman" w:cs="Times New Roman"/>
                      <w:sz w:val="17"/>
                      <w:szCs w:val="17"/>
                    </w:rPr>
                    <w:t>38</w:t>
                  </w:r>
                </w:p>
              </w:tc>
            </w:tr>
          </w:tbl>
          <w:p>
            <w:pPr>
              <w:spacing w:before="139" w:line="228" w:lineRule="auto"/>
              <w:ind w:left="496"/>
              <w:rPr>
                <w:rFonts w:ascii="宋体" w:hAnsi="宋体" w:eastAsia="宋体" w:cs="宋体"/>
                <w:sz w:val="20"/>
                <w:szCs w:val="20"/>
              </w:rPr>
            </w:pPr>
            <w:r>
              <w:rPr>
                <w:rFonts w:ascii="宋体" w:hAnsi="宋体" w:eastAsia="宋体" w:cs="宋体"/>
                <w:spacing w:val="16"/>
                <w:sz w:val="20"/>
                <w:szCs w:val="20"/>
              </w:rPr>
              <w:t>根据各</w:t>
            </w:r>
            <w:r>
              <w:rPr>
                <w:rFonts w:ascii="宋体" w:hAnsi="宋体" w:eastAsia="宋体" w:cs="宋体"/>
                <w:spacing w:val="12"/>
                <w:sz w:val="20"/>
                <w:szCs w:val="20"/>
              </w:rPr>
              <w:t>预</w:t>
            </w:r>
            <w:r>
              <w:rPr>
                <w:rFonts w:ascii="宋体" w:hAnsi="宋体" w:eastAsia="宋体" w:cs="宋体"/>
                <w:spacing w:val="8"/>
                <w:sz w:val="20"/>
                <w:szCs w:val="20"/>
              </w:rPr>
              <w:t>测特征年预测的交通量、车型比、昼夜比和设计车速，分别预测项目营运近</w:t>
            </w:r>
          </w:p>
          <w:p>
            <w:pPr>
              <w:spacing w:before="155" w:line="228" w:lineRule="auto"/>
              <w:ind w:left="78"/>
              <w:rPr>
                <w:rFonts w:ascii="宋体" w:hAnsi="宋体" w:eastAsia="宋体" w:cs="宋体"/>
                <w:sz w:val="20"/>
                <w:szCs w:val="20"/>
              </w:rPr>
            </w:pPr>
            <w:r>
              <w:rPr>
                <w:rFonts w:ascii="宋体" w:hAnsi="宋体" w:eastAsia="宋体" w:cs="宋体"/>
                <w:spacing w:val="9"/>
                <w:sz w:val="20"/>
                <w:szCs w:val="20"/>
              </w:rPr>
              <w:t>期、中期和远期各项污染物的排放源强见下表</w:t>
            </w:r>
            <w:r>
              <w:rPr>
                <w:rFonts w:ascii="宋体" w:hAnsi="宋体" w:eastAsia="宋体" w:cs="宋体"/>
                <w:spacing w:val="7"/>
                <w:sz w:val="20"/>
                <w:szCs w:val="20"/>
              </w:rPr>
              <w:t>。</w:t>
            </w:r>
          </w:p>
          <w:p>
            <w:pPr>
              <w:spacing w:before="95" w:line="267" w:lineRule="exact"/>
              <w:ind w:left="1847"/>
              <w:rPr>
                <w:rFonts w:ascii="黑体" w:hAnsi="黑体" w:eastAsia="黑体" w:cs="黑体"/>
                <w:sz w:val="19"/>
                <w:szCs w:val="19"/>
              </w:rPr>
            </w:pPr>
            <w:r>
              <w:rPr>
                <w:rFonts w:ascii="黑体" w:hAnsi="黑体" w:eastAsia="黑体" w:cs="黑体"/>
                <w:spacing w:val="14"/>
                <w:position w:val="2"/>
                <w:sz w:val="19"/>
                <w:szCs w:val="19"/>
              </w:rPr>
              <w:t>表</w:t>
            </w:r>
            <w:r>
              <w:rPr>
                <w:rFonts w:ascii="Times New Roman" w:hAnsi="Times New Roman" w:eastAsia="Times New Roman" w:cs="Times New Roman"/>
                <w:spacing w:val="14"/>
                <w:position w:val="2"/>
                <w:sz w:val="19"/>
                <w:szCs w:val="19"/>
              </w:rPr>
              <w:t>4</w:t>
            </w:r>
            <w:r>
              <w:rPr>
                <w:rFonts w:ascii="Times New Roman" w:hAnsi="Times New Roman" w:eastAsia="Times New Roman" w:cs="Times New Roman"/>
                <w:spacing w:val="11"/>
                <w:position w:val="2"/>
                <w:sz w:val="19"/>
                <w:szCs w:val="19"/>
              </w:rPr>
              <w:t>2</w:t>
            </w:r>
            <w:r>
              <w:rPr>
                <w:rFonts w:ascii="Times New Roman" w:hAnsi="Times New Roman" w:eastAsia="Times New Roman" w:cs="Times New Roman"/>
                <w:spacing w:val="7"/>
                <w:position w:val="2"/>
                <w:sz w:val="19"/>
                <w:szCs w:val="19"/>
              </w:rPr>
              <w:t xml:space="preserve">    </w:t>
            </w:r>
            <w:r>
              <w:rPr>
                <w:rFonts w:ascii="黑体" w:hAnsi="黑体" w:eastAsia="黑体" w:cs="黑体"/>
                <w:spacing w:val="7"/>
                <w:position w:val="2"/>
                <w:sz w:val="19"/>
                <w:szCs w:val="19"/>
              </w:rPr>
              <w:t>拟建道路营运期污染物排放源强表 (</w:t>
            </w:r>
            <w:r>
              <w:rPr>
                <w:rFonts w:ascii="Times New Roman" w:hAnsi="Times New Roman" w:eastAsia="Times New Roman" w:cs="Times New Roman"/>
                <w:position w:val="2"/>
                <w:sz w:val="19"/>
                <w:szCs w:val="19"/>
              </w:rPr>
              <w:t>mg</w:t>
            </w:r>
            <w:r>
              <w:rPr>
                <w:rFonts w:ascii="Times New Roman" w:hAnsi="Times New Roman" w:eastAsia="Times New Roman" w:cs="Times New Roman"/>
                <w:spacing w:val="7"/>
                <w:position w:val="2"/>
                <w:sz w:val="19"/>
                <w:szCs w:val="19"/>
              </w:rPr>
              <w:t>/</w:t>
            </w:r>
            <w:r>
              <w:rPr>
                <w:rFonts w:ascii="Times New Roman" w:hAnsi="Times New Roman" w:eastAsia="Times New Roman" w:cs="Times New Roman"/>
                <w:position w:val="2"/>
                <w:sz w:val="19"/>
                <w:szCs w:val="19"/>
              </w:rPr>
              <w:t>s</w:t>
            </w:r>
            <w:r>
              <w:rPr>
                <w:rFonts w:ascii="Times New Roman" w:hAnsi="Times New Roman" w:eastAsia="Times New Roman" w:cs="Times New Roman"/>
                <w:spacing w:val="7"/>
                <w:position w:val="2"/>
                <w:sz w:val="19"/>
                <w:szCs w:val="19"/>
              </w:rPr>
              <w:t>•</w:t>
            </w:r>
            <w:r>
              <w:rPr>
                <w:rFonts w:ascii="Times New Roman" w:hAnsi="Times New Roman" w:eastAsia="Times New Roman" w:cs="Times New Roman"/>
                <w:position w:val="2"/>
                <w:sz w:val="19"/>
                <w:szCs w:val="19"/>
              </w:rPr>
              <w:t>m</w:t>
            </w:r>
            <w:r>
              <w:rPr>
                <w:rFonts w:ascii="黑体" w:hAnsi="黑体" w:eastAsia="黑体" w:cs="黑体"/>
                <w:spacing w:val="7"/>
                <w:position w:val="2"/>
                <w:sz w:val="19"/>
                <w:szCs w:val="19"/>
              </w:rPr>
              <w:t>)</w:t>
            </w:r>
          </w:p>
          <w:p>
            <w:pPr>
              <w:spacing w:line="108" w:lineRule="auto"/>
              <w:rPr>
                <w:rFonts w:ascii="Arial"/>
                <w:sz w:val="2"/>
              </w:rPr>
            </w:pPr>
          </w:p>
          <w:tbl>
            <w:tblPr>
              <w:tblStyle w:val="4"/>
              <w:tblW w:w="7862" w:type="dxa"/>
              <w:tblInd w:w="2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1"/>
              <w:gridCol w:w="1430"/>
              <w:gridCol w:w="1591"/>
              <w:gridCol w:w="1768"/>
              <w:gridCol w:w="17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301" w:type="dxa"/>
                  <w:vAlign w:val="top"/>
                </w:tcPr>
                <w:p>
                  <w:pPr>
                    <w:spacing w:before="283" w:line="230" w:lineRule="auto"/>
                    <w:ind w:left="293"/>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道路名称</w:t>
                  </w:r>
                </w:p>
              </w:tc>
              <w:tc>
                <w:tcPr>
                  <w:tcW w:w="1430" w:type="dxa"/>
                  <w:tcBorders>
                    <w:tl2br w:val="single" w:color="000000" w:sz="4" w:space="0"/>
                  </w:tcBorders>
                  <w:vAlign w:val="top"/>
                </w:tcPr>
                <w:p>
                  <w:pPr>
                    <w:spacing w:before="144" w:line="230" w:lineRule="auto"/>
                    <w:ind w:left="816"/>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特</w:t>
                  </w:r>
                  <w:r>
                    <w:rPr>
                      <w:rFonts w:ascii="宋体" w:hAnsi="宋体" w:eastAsia="宋体" w:cs="宋体"/>
                      <w:spacing w:val="8"/>
                      <w:sz w:val="17"/>
                      <w:szCs w:val="17"/>
                      <w14:textOutline w14:w="3268" w14:cap="sq" w14:cmpd="sng">
                        <w14:solidFill>
                          <w14:srgbClr w14:val="000000"/>
                        </w14:solidFill>
                        <w14:prstDash w14:val="solid"/>
                        <w14:bevel/>
                      </w14:textOutline>
                    </w:rPr>
                    <w:t>征年</w:t>
                  </w:r>
                </w:p>
                <w:p>
                  <w:pPr>
                    <w:spacing w:before="68" w:line="231" w:lineRule="auto"/>
                    <w:ind w:left="79"/>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污染</w:t>
                  </w:r>
                  <w:r>
                    <w:rPr>
                      <w:rFonts w:ascii="宋体" w:hAnsi="宋体" w:eastAsia="宋体" w:cs="宋体"/>
                      <w:spacing w:val="7"/>
                      <w:sz w:val="17"/>
                      <w:szCs w:val="17"/>
                      <w14:textOutline w14:w="3268" w14:cap="sq" w14:cmpd="sng">
                        <w14:solidFill>
                          <w14:srgbClr w14:val="000000"/>
                        </w14:solidFill>
                        <w14:prstDash w14:val="solid"/>
                        <w14:bevel/>
                      </w14:textOutline>
                    </w:rPr>
                    <w:t>物</w:t>
                  </w:r>
                </w:p>
              </w:tc>
              <w:tc>
                <w:tcPr>
                  <w:tcW w:w="1591" w:type="dxa"/>
                  <w:vAlign w:val="top"/>
                </w:tcPr>
                <w:p>
                  <w:pPr>
                    <w:spacing w:before="144" w:line="280" w:lineRule="exact"/>
                    <w:ind w:left="617"/>
                    <w:rPr>
                      <w:rFonts w:ascii="宋体" w:hAnsi="宋体" w:eastAsia="宋体" w:cs="宋体"/>
                      <w:sz w:val="17"/>
                      <w:szCs w:val="17"/>
                    </w:rPr>
                  </w:pPr>
                  <w:r>
                    <w:rPr>
                      <w:rFonts w:ascii="宋体" w:hAnsi="宋体" w:eastAsia="宋体" w:cs="宋体"/>
                      <w:spacing w:val="7"/>
                      <w:position w:val="7"/>
                      <w:sz w:val="17"/>
                      <w:szCs w:val="17"/>
                      <w14:textOutline w14:w="3268" w14:cap="sq" w14:cmpd="sng">
                        <w14:solidFill>
                          <w14:srgbClr w14:val="000000"/>
                        </w14:solidFill>
                        <w14:prstDash w14:val="solid"/>
                        <w14:bevel/>
                      </w14:textOutline>
                    </w:rPr>
                    <w:t>近</w:t>
                  </w:r>
                  <w:r>
                    <w:rPr>
                      <w:rFonts w:ascii="宋体" w:hAnsi="宋体" w:eastAsia="宋体" w:cs="宋体"/>
                      <w:spacing w:val="6"/>
                      <w:position w:val="7"/>
                      <w:sz w:val="17"/>
                      <w:szCs w:val="17"/>
                      <w14:textOutline w14:w="3268" w14:cap="sq" w14:cmpd="sng">
                        <w14:solidFill>
                          <w14:srgbClr w14:val="000000"/>
                        </w14:solidFill>
                        <w14:prstDash w14:val="solid"/>
                        <w14:bevel/>
                      </w14:textOutline>
                    </w:rPr>
                    <w:t>期</w:t>
                  </w:r>
                </w:p>
                <w:p>
                  <w:pPr>
                    <w:spacing w:line="230" w:lineRule="auto"/>
                    <w:ind w:left="335"/>
                    <w:rPr>
                      <w:rFonts w:ascii="宋体" w:hAnsi="宋体" w:eastAsia="宋体" w:cs="宋体"/>
                      <w:sz w:val="17"/>
                      <w:szCs w:val="17"/>
                    </w:rPr>
                  </w:pPr>
                  <w:r>
                    <w:rPr>
                      <w:rFonts w:ascii="宋体" w:hAnsi="宋体" w:eastAsia="宋体" w:cs="宋体"/>
                      <w:spacing w:val="14"/>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4"/>
                      <w:sz w:val="17"/>
                      <w:szCs w:val="17"/>
                    </w:rPr>
                    <w:t>2026</w:t>
                  </w:r>
                  <w:r>
                    <w:rPr>
                      <w:rFonts w:ascii="Times New Roman" w:hAnsi="Times New Roman" w:eastAsia="Times New Roman" w:cs="Times New Roman"/>
                      <w:spacing w:val="14"/>
                      <w:sz w:val="17"/>
                      <w:szCs w:val="17"/>
                    </w:rPr>
                    <w:t xml:space="preserve"> </w:t>
                  </w:r>
                  <w:r>
                    <w:rPr>
                      <w:rFonts w:ascii="宋体" w:hAnsi="宋体" w:eastAsia="宋体" w:cs="宋体"/>
                      <w:spacing w:val="14"/>
                      <w:sz w:val="17"/>
                      <w:szCs w:val="17"/>
                      <w14:textOutline w14:w="3268" w14:cap="sq" w14:cmpd="sng">
                        <w14:solidFill>
                          <w14:srgbClr w14:val="000000"/>
                        </w14:solidFill>
                        <w14:prstDash w14:val="solid"/>
                        <w14:bevel/>
                      </w14:textOutline>
                    </w:rPr>
                    <w:t>年</w:t>
                  </w:r>
                  <w:r>
                    <w:rPr>
                      <w:rFonts w:ascii="宋体" w:hAnsi="宋体" w:eastAsia="宋体" w:cs="宋体"/>
                      <w:spacing w:val="13"/>
                      <w:sz w:val="17"/>
                      <w:szCs w:val="17"/>
                      <w14:textOutline w14:w="3268" w14:cap="sq" w14:cmpd="sng">
                        <w14:solidFill>
                          <w14:srgbClr w14:val="000000"/>
                        </w14:solidFill>
                        <w14:prstDash w14:val="solid"/>
                        <w14:bevel/>
                      </w14:textOutline>
                    </w:rPr>
                    <w:t>)</w:t>
                  </w:r>
                </w:p>
              </w:tc>
              <w:tc>
                <w:tcPr>
                  <w:tcW w:w="1768" w:type="dxa"/>
                  <w:vAlign w:val="top"/>
                </w:tcPr>
                <w:p>
                  <w:pPr>
                    <w:spacing w:before="144" w:line="280" w:lineRule="exact"/>
                    <w:ind w:left="726"/>
                    <w:rPr>
                      <w:rFonts w:ascii="宋体" w:hAnsi="宋体" w:eastAsia="宋体" w:cs="宋体"/>
                      <w:sz w:val="17"/>
                      <w:szCs w:val="17"/>
                    </w:rPr>
                  </w:pPr>
                  <w:r>
                    <w:rPr>
                      <w:rFonts w:ascii="宋体" w:hAnsi="宋体" w:eastAsia="宋体" w:cs="宋体"/>
                      <w:spacing w:val="-2"/>
                      <w:position w:val="7"/>
                      <w:sz w:val="17"/>
                      <w:szCs w:val="17"/>
                      <w14:textOutline w14:w="3268" w14:cap="sq" w14:cmpd="sng">
                        <w14:solidFill>
                          <w14:srgbClr w14:val="000000"/>
                        </w14:solidFill>
                        <w14:prstDash w14:val="solid"/>
                        <w14:bevel/>
                      </w14:textOutline>
                    </w:rPr>
                    <w:t>中期</w:t>
                  </w:r>
                </w:p>
                <w:p>
                  <w:pPr>
                    <w:spacing w:line="230" w:lineRule="auto"/>
                    <w:ind w:left="426"/>
                    <w:rPr>
                      <w:rFonts w:ascii="宋体" w:hAnsi="宋体" w:eastAsia="宋体" w:cs="宋体"/>
                      <w:sz w:val="17"/>
                      <w:szCs w:val="17"/>
                    </w:rPr>
                  </w:pPr>
                  <w:r>
                    <w:rPr>
                      <w:rFonts w:ascii="宋体" w:hAnsi="宋体" w:eastAsia="宋体" w:cs="宋体"/>
                      <w:spacing w:val="17"/>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3"/>
                      <w:sz w:val="17"/>
                      <w:szCs w:val="17"/>
                    </w:rPr>
                    <w:t>2032</w:t>
                  </w:r>
                  <w:r>
                    <w:rPr>
                      <w:rFonts w:ascii="Times New Roman" w:hAnsi="Times New Roman" w:eastAsia="Times New Roman" w:cs="Times New Roman"/>
                      <w:spacing w:val="13"/>
                      <w:sz w:val="17"/>
                      <w:szCs w:val="17"/>
                    </w:rPr>
                    <w:t xml:space="preserve"> </w:t>
                  </w:r>
                  <w:r>
                    <w:rPr>
                      <w:rFonts w:ascii="宋体" w:hAnsi="宋体" w:eastAsia="宋体" w:cs="宋体"/>
                      <w:spacing w:val="13"/>
                      <w:sz w:val="17"/>
                      <w:szCs w:val="17"/>
                      <w14:textOutline w14:w="3268" w14:cap="sq" w14:cmpd="sng">
                        <w14:solidFill>
                          <w14:srgbClr w14:val="000000"/>
                        </w14:solidFill>
                        <w14:prstDash w14:val="solid"/>
                        <w14:bevel/>
                      </w14:textOutline>
                    </w:rPr>
                    <w:t>年)</w:t>
                  </w:r>
                </w:p>
              </w:tc>
              <w:tc>
                <w:tcPr>
                  <w:tcW w:w="1772" w:type="dxa"/>
                  <w:vAlign w:val="top"/>
                </w:tcPr>
                <w:p>
                  <w:pPr>
                    <w:spacing w:before="144" w:line="280" w:lineRule="exact"/>
                    <w:ind w:left="710"/>
                    <w:rPr>
                      <w:rFonts w:ascii="宋体" w:hAnsi="宋体" w:eastAsia="宋体" w:cs="宋体"/>
                      <w:sz w:val="17"/>
                      <w:szCs w:val="17"/>
                    </w:rPr>
                  </w:pPr>
                  <w:r>
                    <w:rPr>
                      <w:rFonts w:ascii="宋体" w:hAnsi="宋体" w:eastAsia="宋体" w:cs="宋体"/>
                      <w:spacing w:val="6"/>
                      <w:position w:val="7"/>
                      <w:sz w:val="17"/>
                      <w:szCs w:val="17"/>
                      <w14:textOutline w14:w="3268" w14:cap="sq" w14:cmpd="sng">
                        <w14:solidFill>
                          <w14:srgbClr w14:val="000000"/>
                        </w14:solidFill>
                        <w14:prstDash w14:val="solid"/>
                        <w14:bevel/>
                      </w14:textOutline>
                    </w:rPr>
                    <w:t>远期</w:t>
                  </w:r>
                </w:p>
                <w:p>
                  <w:pPr>
                    <w:spacing w:line="230" w:lineRule="auto"/>
                    <w:ind w:left="427"/>
                    <w:rPr>
                      <w:rFonts w:ascii="宋体" w:hAnsi="宋体" w:eastAsia="宋体" w:cs="宋体"/>
                      <w:sz w:val="17"/>
                      <w:szCs w:val="17"/>
                    </w:rPr>
                  </w:pPr>
                  <w:r>
                    <w:rPr>
                      <w:rFonts w:ascii="宋体" w:hAnsi="宋体" w:eastAsia="宋体" w:cs="宋体"/>
                      <w:spacing w:val="17"/>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13"/>
                      <w:sz w:val="17"/>
                      <w:szCs w:val="17"/>
                    </w:rPr>
                    <w:t>2040</w:t>
                  </w:r>
                  <w:r>
                    <w:rPr>
                      <w:rFonts w:ascii="Times New Roman" w:hAnsi="Times New Roman" w:eastAsia="Times New Roman" w:cs="Times New Roman"/>
                      <w:spacing w:val="13"/>
                      <w:sz w:val="17"/>
                      <w:szCs w:val="17"/>
                    </w:rPr>
                    <w:t xml:space="preserve"> </w:t>
                  </w:r>
                  <w:r>
                    <w:rPr>
                      <w:rFonts w:ascii="宋体" w:hAnsi="宋体" w:eastAsia="宋体" w:cs="宋体"/>
                      <w:spacing w:val="13"/>
                      <w:sz w:val="17"/>
                      <w:szCs w:val="17"/>
                      <w14:textOutline w14:w="3268" w14:cap="sq" w14:cmpd="sng">
                        <w14:solidFill>
                          <w14:srgbClr w14:val="000000"/>
                        </w14:solidFill>
                        <w14:prstDash w14:val="solid"/>
                        <w14:bevel/>
                      </w14:textOutline>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301" w:type="dxa"/>
                  <w:vMerge w:val="restart"/>
                  <w:tcBorders>
                    <w:bottom w:val="nil"/>
                  </w:tcBorders>
                  <w:vAlign w:val="top"/>
                </w:tcPr>
                <w:p>
                  <w:pPr>
                    <w:spacing w:line="263" w:lineRule="auto"/>
                    <w:rPr>
                      <w:rFonts w:ascii="Arial"/>
                      <w:sz w:val="21"/>
                    </w:rPr>
                  </w:pPr>
                </w:p>
                <w:p>
                  <w:pPr>
                    <w:spacing w:before="55" w:line="230" w:lineRule="auto"/>
                    <w:ind w:left="209"/>
                    <w:rPr>
                      <w:rFonts w:ascii="宋体" w:hAnsi="宋体" w:eastAsia="宋体" w:cs="宋体"/>
                      <w:sz w:val="17"/>
                      <w:szCs w:val="17"/>
                    </w:rPr>
                  </w:pPr>
                  <w:r>
                    <w:rPr>
                      <w:rFonts w:ascii="宋体" w:hAnsi="宋体" w:eastAsia="宋体" w:cs="宋体"/>
                      <w:spacing w:val="10"/>
                      <w:sz w:val="17"/>
                      <w:szCs w:val="17"/>
                    </w:rPr>
                    <w:t>高</w:t>
                  </w:r>
                  <w:r>
                    <w:rPr>
                      <w:rFonts w:ascii="宋体" w:hAnsi="宋体" w:eastAsia="宋体" w:cs="宋体"/>
                      <w:spacing w:val="7"/>
                      <w:sz w:val="17"/>
                      <w:szCs w:val="17"/>
                    </w:rPr>
                    <w:t>家坝大桥</w:t>
                  </w:r>
                </w:p>
              </w:tc>
              <w:tc>
                <w:tcPr>
                  <w:tcW w:w="1430" w:type="dxa"/>
                  <w:vAlign w:val="top"/>
                </w:tcPr>
                <w:p>
                  <w:pPr>
                    <w:spacing w:before="144" w:line="197" w:lineRule="auto"/>
                    <w:ind w:left="5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C</w:t>
                  </w:r>
                  <w:r>
                    <w:rPr>
                      <w:rFonts w:ascii="Times New Roman" w:hAnsi="Times New Roman" w:eastAsia="Times New Roman" w:cs="Times New Roman"/>
                      <w:spacing w:val="3"/>
                      <w:sz w:val="17"/>
                      <w:szCs w:val="17"/>
                    </w:rPr>
                    <w:t>O</w:t>
                  </w:r>
                </w:p>
              </w:tc>
              <w:tc>
                <w:tcPr>
                  <w:tcW w:w="1591" w:type="dxa"/>
                  <w:vAlign w:val="top"/>
                </w:tcPr>
                <w:p>
                  <w:pPr>
                    <w:spacing w:before="125" w:line="197" w:lineRule="auto"/>
                    <w:ind w:left="61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13.</w:t>
                  </w:r>
                  <w:r>
                    <w:rPr>
                      <w:rFonts w:ascii="Times New Roman" w:hAnsi="Times New Roman" w:eastAsia="Times New Roman" w:cs="Times New Roman"/>
                      <w:sz w:val="17"/>
                      <w:szCs w:val="17"/>
                    </w:rPr>
                    <w:t>02</w:t>
                  </w:r>
                </w:p>
              </w:tc>
              <w:tc>
                <w:tcPr>
                  <w:tcW w:w="1768" w:type="dxa"/>
                  <w:vAlign w:val="top"/>
                </w:tcPr>
                <w:p>
                  <w:pPr>
                    <w:spacing w:before="125" w:line="197" w:lineRule="auto"/>
                    <w:ind w:left="701"/>
                    <w:rPr>
                      <w:rFonts w:ascii="Times New Roman" w:hAnsi="Times New Roman" w:eastAsia="Times New Roman" w:cs="Times New Roman"/>
                      <w:sz w:val="17"/>
                      <w:szCs w:val="17"/>
                    </w:rPr>
                  </w:pPr>
                  <w:r>
                    <w:rPr>
                      <w:rFonts w:ascii="Times New Roman" w:hAnsi="Times New Roman" w:eastAsia="Times New Roman" w:cs="Times New Roman"/>
                      <w:sz w:val="17"/>
                      <w:szCs w:val="17"/>
                    </w:rPr>
                    <w:t>18.07</w:t>
                  </w:r>
                </w:p>
              </w:tc>
              <w:tc>
                <w:tcPr>
                  <w:tcW w:w="1772" w:type="dxa"/>
                  <w:vAlign w:val="top"/>
                </w:tcPr>
                <w:p>
                  <w:pPr>
                    <w:spacing w:before="125" w:line="200" w:lineRule="auto"/>
                    <w:ind w:left="685"/>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3"/>
                      <w:sz w:val="17"/>
                      <w:szCs w:val="17"/>
                    </w:rPr>
                    <w:t>2.02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301" w:type="dxa"/>
                  <w:vMerge w:val="continue"/>
                  <w:tcBorders>
                    <w:top w:val="nil"/>
                  </w:tcBorders>
                  <w:vAlign w:val="top"/>
                </w:tcPr>
                <w:p>
                  <w:pPr>
                    <w:rPr>
                      <w:rFonts w:ascii="Arial"/>
                      <w:sz w:val="21"/>
                    </w:rPr>
                  </w:pPr>
                </w:p>
              </w:tc>
              <w:tc>
                <w:tcPr>
                  <w:tcW w:w="1430" w:type="dxa"/>
                  <w:vAlign w:val="top"/>
                </w:tcPr>
                <w:p>
                  <w:pPr>
                    <w:spacing w:before="164" w:line="202" w:lineRule="auto"/>
                    <w:ind w:left="536"/>
                    <w:rPr>
                      <w:rFonts w:ascii="Times New Roman" w:hAnsi="Times New Roman" w:eastAsia="Times New Roman" w:cs="Times New Roman"/>
                      <w:sz w:val="11"/>
                      <w:szCs w:val="11"/>
                    </w:rPr>
                  </w:pPr>
                  <w:r>
                    <w:rPr>
                      <w:rFonts w:ascii="Times New Roman" w:hAnsi="Times New Roman" w:eastAsia="Times New Roman" w:cs="Times New Roman"/>
                      <w:spacing w:val="7"/>
                      <w:sz w:val="17"/>
                      <w:szCs w:val="17"/>
                    </w:rPr>
                    <w:t>N</w:t>
                  </w:r>
                  <w:r>
                    <w:rPr>
                      <w:rFonts w:ascii="Times New Roman" w:hAnsi="Times New Roman" w:eastAsia="Times New Roman" w:cs="Times New Roman"/>
                      <w:spacing w:val="6"/>
                      <w:sz w:val="17"/>
                      <w:szCs w:val="17"/>
                    </w:rPr>
                    <w:t>O</w:t>
                  </w:r>
                  <w:r>
                    <w:rPr>
                      <w:rFonts w:ascii="Times New Roman" w:hAnsi="Times New Roman" w:eastAsia="Times New Roman" w:cs="Times New Roman"/>
                      <w:spacing w:val="6"/>
                      <w:position w:val="-1"/>
                      <w:sz w:val="11"/>
                      <w:szCs w:val="11"/>
                    </w:rPr>
                    <w:t>X</w:t>
                  </w:r>
                </w:p>
              </w:tc>
              <w:tc>
                <w:tcPr>
                  <w:tcW w:w="1591" w:type="dxa"/>
                  <w:vAlign w:val="top"/>
                </w:tcPr>
                <w:p>
                  <w:pPr>
                    <w:spacing w:before="142" w:line="200" w:lineRule="auto"/>
                    <w:ind w:left="65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1.9</w:t>
                  </w:r>
                  <w:r>
                    <w:rPr>
                      <w:rFonts w:ascii="Times New Roman" w:hAnsi="Times New Roman" w:eastAsia="Times New Roman" w:cs="Times New Roman"/>
                      <w:sz w:val="17"/>
                      <w:szCs w:val="17"/>
                    </w:rPr>
                    <w:t>1</w:t>
                  </w:r>
                </w:p>
              </w:tc>
              <w:tc>
                <w:tcPr>
                  <w:tcW w:w="1768" w:type="dxa"/>
                  <w:vAlign w:val="top"/>
                </w:tcPr>
                <w:p>
                  <w:pPr>
                    <w:spacing w:before="142" w:line="200" w:lineRule="auto"/>
                    <w:ind w:left="72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.49</w:t>
                  </w:r>
                </w:p>
              </w:tc>
              <w:tc>
                <w:tcPr>
                  <w:tcW w:w="1772" w:type="dxa"/>
                  <w:vAlign w:val="top"/>
                </w:tcPr>
                <w:p>
                  <w:pPr>
                    <w:spacing w:before="142" w:line="200" w:lineRule="auto"/>
                    <w:ind w:left="72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.61</w:t>
                  </w:r>
                </w:p>
              </w:tc>
            </w:tr>
          </w:tbl>
          <w:p>
            <w:pPr>
              <w:spacing w:before="123" w:line="230" w:lineRule="auto"/>
              <w:ind w:left="537"/>
              <w:rPr>
                <w:rFonts w:ascii="宋体" w:hAnsi="宋体" w:eastAsia="宋体" w:cs="宋体"/>
                <w:sz w:val="20"/>
                <w:szCs w:val="20"/>
              </w:rPr>
            </w:pPr>
            <w:r>
              <w:rPr>
                <w:rFonts w:ascii="宋体" w:hAnsi="宋体" w:eastAsia="宋体" w:cs="宋体"/>
                <w:spacing w:val="22"/>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21"/>
                <w:sz w:val="20"/>
                <w:szCs w:val="20"/>
              </w:rPr>
              <w:t>2</w:t>
            </w:r>
            <w:r>
              <w:rPr>
                <w:rFonts w:ascii="宋体" w:hAnsi="宋体" w:eastAsia="宋体" w:cs="宋体"/>
                <w:spacing w:val="21"/>
                <w:sz w:val="20"/>
                <w:szCs w:val="20"/>
                <w14:textOutline w14:w="3795" w14:cap="sq" w14:cmpd="sng">
                  <w14:solidFill>
                    <w14:srgbClr w14:val="000000"/>
                  </w14:solidFill>
                  <w14:prstDash w14:val="solid"/>
                  <w14:bevel/>
                </w14:textOutline>
              </w:rPr>
              <w:t>)</w:t>
            </w:r>
            <w:r>
              <w:rPr>
                <w:rFonts w:ascii="宋体" w:hAnsi="宋体" w:eastAsia="宋体" w:cs="宋体"/>
                <w:spacing w:val="21"/>
                <w:sz w:val="20"/>
                <w:szCs w:val="20"/>
              </w:rPr>
              <w:t xml:space="preserve"> </w:t>
            </w:r>
            <w:r>
              <w:rPr>
                <w:rFonts w:ascii="宋体" w:hAnsi="宋体" w:eastAsia="宋体" w:cs="宋体"/>
                <w:spacing w:val="21"/>
                <w:sz w:val="20"/>
                <w:szCs w:val="20"/>
                <w14:textOutline w14:w="3795" w14:cap="sq" w14:cmpd="sng">
                  <w14:solidFill>
                    <w14:srgbClr w14:val="000000"/>
                  </w14:solidFill>
                  <w14:prstDash w14:val="solid"/>
                  <w14:bevel/>
                </w14:textOutline>
              </w:rPr>
              <w:t>扬尘</w:t>
            </w:r>
          </w:p>
          <w:p>
            <w:pPr>
              <w:spacing w:before="148" w:line="369" w:lineRule="auto"/>
              <w:ind w:left="77" w:right="71" w:firstLine="422"/>
              <w:rPr>
                <w:rFonts w:ascii="宋体" w:hAnsi="宋体" w:eastAsia="宋体" w:cs="宋体"/>
                <w:sz w:val="20"/>
                <w:szCs w:val="20"/>
              </w:rPr>
            </w:pPr>
            <w:r>
              <w:rPr>
                <w:rFonts w:ascii="宋体" w:hAnsi="宋体" w:eastAsia="宋体" w:cs="宋体"/>
                <w:spacing w:val="16"/>
                <w:sz w:val="20"/>
                <w:szCs w:val="20"/>
              </w:rPr>
              <w:t>行驶汽</w:t>
            </w:r>
            <w:r>
              <w:rPr>
                <w:rFonts w:ascii="宋体" w:hAnsi="宋体" w:eastAsia="宋体" w:cs="宋体"/>
                <w:spacing w:val="9"/>
                <w:sz w:val="20"/>
                <w:szCs w:val="20"/>
              </w:rPr>
              <w:t>车</w:t>
            </w:r>
            <w:r>
              <w:rPr>
                <w:rFonts w:ascii="宋体" w:hAnsi="宋体" w:eastAsia="宋体" w:cs="宋体"/>
                <w:spacing w:val="8"/>
                <w:sz w:val="20"/>
                <w:szCs w:val="20"/>
              </w:rPr>
              <w:t>的轮胎接触路面而使路面积尘扬起，从而产生二次扬尘污染；在运送散装含</w:t>
            </w:r>
            <w:r>
              <w:rPr>
                <w:rFonts w:ascii="宋体" w:hAnsi="宋体" w:eastAsia="宋体" w:cs="宋体"/>
                <w:sz w:val="20"/>
                <w:szCs w:val="20"/>
              </w:rPr>
              <w:t xml:space="preserve"> </w:t>
            </w:r>
            <w:r>
              <w:rPr>
                <w:rFonts w:ascii="宋体" w:hAnsi="宋体" w:eastAsia="宋体" w:cs="宋体"/>
                <w:spacing w:val="9"/>
                <w:sz w:val="20"/>
                <w:szCs w:val="20"/>
              </w:rPr>
              <w:t>尘物料时，由于洒落、风吹等原因，使物料产生扬尘污染。但是项目路面为沥青混凝土</w:t>
            </w:r>
            <w:r>
              <w:rPr>
                <w:rFonts w:ascii="宋体" w:hAnsi="宋体" w:eastAsia="宋体" w:cs="宋体"/>
                <w:spacing w:val="1"/>
                <w:sz w:val="20"/>
                <w:szCs w:val="20"/>
              </w:rPr>
              <w:t>路</w:t>
            </w:r>
            <w:r>
              <w:rPr>
                <w:rFonts w:ascii="宋体" w:hAnsi="宋体" w:eastAsia="宋体" w:cs="宋体"/>
                <w:sz w:val="20"/>
                <w:szCs w:val="20"/>
              </w:rPr>
              <w:t xml:space="preserve"> </w:t>
            </w:r>
            <w:r>
              <w:rPr>
                <w:rFonts w:ascii="宋体" w:hAnsi="宋体" w:eastAsia="宋体" w:cs="宋体"/>
                <w:spacing w:val="18"/>
                <w:sz w:val="20"/>
                <w:szCs w:val="20"/>
              </w:rPr>
              <w:t>面</w:t>
            </w:r>
            <w:r>
              <w:rPr>
                <w:rFonts w:ascii="宋体" w:hAnsi="宋体" w:eastAsia="宋体" w:cs="宋体"/>
                <w:spacing w:val="17"/>
                <w:sz w:val="20"/>
                <w:szCs w:val="20"/>
              </w:rPr>
              <w:t>，</w:t>
            </w:r>
            <w:r>
              <w:rPr>
                <w:rFonts w:ascii="宋体" w:hAnsi="宋体" w:eastAsia="宋体" w:cs="宋体"/>
                <w:spacing w:val="9"/>
                <w:sz w:val="20"/>
                <w:szCs w:val="20"/>
              </w:rPr>
              <w:t>且有城市环卫负责清扫。因此，营运期道路扬尘对周围环境的影响可以忽略不计。</w:t>
            </w:r>
          </w:p>
          <w:p>
            <w:pPr>
              <w:spacing w:before="1" w:line="213" w:lineRule="auto"/>
              <w:ind w:left="104"/>
              <w:rPr>
                <w:rFonts w:ascii="黑体" w:hAnsi="黑体" w:eastAsia="黑体" w:cs="黑体"/>
                <w:sz w:val="20"/>
                <w:szCs w:val="20"/>
              </w:rPr>
            </w:pPr>
            <w:r>
              <w:rPr>
                <w:rFonts w:ascii="Times New Roman" w:hAnsi="Times New Roman" w:eastAsia="Times New Roman" w:cs="Times New Roman"/>
                <w:spacing w:val="-2"/>
                <w:sz w:val="22"/>
                <w:szCs w:val="22"/>
              </w:rPr>
              <w:t xml:space="preserve">2 </w:t>
            </w:r>
            <w:r>
              <w:rPr>
                <w:rFonts w:ascii="黑体" w:hAnsi="黑体" w:eastAsia="黑体" w:cs="黑体"/>
                <w:spacing w:val="-2"/>
                <w:sz w:val="22"/>
                <w:szCs w:val="22"/>
              </w:rPr>
              <w:t>、</w:t>
            </w:r>
            <w:r>
              <w:rPr>
                <w:rFonts w:ascii="黑体" w:hAnsi="黑体" w:eastAsia="黑体" w:cs="黑体"/>
                <w:spacing w:val="-2"/>
                <w:sz w:val="20"/>
                <w:szCs w:val="20"/>
              </w:rPr>
              <w:t>地</w:t>
            </w:r>
            <w:r>
              <w:rPr>
                <w:rFonts w:ascii="黑体" w:hAnsi="黑体" w:eastAsia="黑体" w:cs="黑体"/>
                <w:spacing w:val="-1"/>
                <w:sz w:val="20"/>
                <w:szCs w:val="20"/>
              </w:rPr>
              <w:t>表水环境</w:t>
            </w:r>
          </w:p>
        </w:tc>
      </w:tr>
    </w:tbl>
    <w:p>
      <w:pPr>
        <w:rPr>
          <w:rFonts w:ascii="Arial"/>
          <w:sz w:val="21"/>
        </w:rPr>
      </w:pPr>
    </w:p>
    <w:p>
      <w:pPr>
        <w:sectPr>
          <w:footerReference r:id="rId81" w:type="default"/>
          <w:pgSz w:w="11906" w:h="16839"/>
          <w:pgMar w:top="400" w:right="1472" w:bottom="1475" w:left="1471" w:header="0" w:footer="1315" w:gutter="0"/>
          <w:cols w:space="720" w:num="1"/>
        </w:sectPr>
      </w:pPr>
    </w:p>
    <w:p/>
    <w:p/>
    <w:p/>
    <w:p/>
    <w:p>
      <w:pPr>
        <w:spacing w:line="221" w:lineRule="exact"/>
      </w:pPr>
    </w:p>
    <w:tbl>
      <w:tblPr>
        <w:tblStyle w:val="4"/>
        <w:tblW w:w="894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83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94" w:hRule="atLeast"/>
        </w:trPr>
        <w:tc>
          <w:tcPr>
            <w:tcW w:w="644" w:type="dxa"/>
            <w:tcBorders>
              <w:left w:val="single" w:color="00000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28" w:lineRule="auto"/>
              <w:ind w:left="8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运</w:t>
            </w:r>
            <w:r>
              <w:rPr>
                <w:rFonts w:ascii="宋体" w:hAnsi="宋体" w:eastAsia="宋体" w:cs="宋体"/>
                <w:spacing w:val="15"/>
                <w:sz w:val="20"/>
                <w:szCs w:val="20"/>
                <w14:textOutline w14:w="3795" w14:cap="sq" w14:cmpd="sng">
                  <w14:solidFill>
                    <w14:srgbClr w14:val="000000"/>
                  </w14:solidFill>
                  <w14:prstDash w14:val="solid"/>
                  <w14:bevel/>
                </w14:textOutline>
              </w:rPr>
              <w:t>营</w:t>
            </w:r>
          </w:p>
          <w:p>
            <w:pPr>
              <w:spacing w:before="24" w:line="228" w:lineRule="auto"/>
              <w:ind w:left="91"/>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期生</w:t>
            </w:r>
          </w:p>
          <w:p>
            <w:pPr>
              <w:spacing w:before="25" w:line="230" w:lineRule="auto"/>
              <w:ind w:left="8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态</w:t>
            </w:r>
            <w:r>
              <w:rPr>
                <w:rFonts w:ascii="宋体" w:hAnsi="宋体" w:eastAsia="宋体" w:cs="宋体"/>
                <w:spacing w:val="15"/>
                <w:sz w:val="20"/>
                <w:szCs w:val="20"/>
                <w14:textOutline w14:w="3795" w14:cap="sq" w14:cmpd="sng">
                  <w14:solidFill>
                    <w14:srgbClr w14:val="000000"/>
                  </w14:solidFill>
                  <w14:prstDash w14:val="solid"/>
                  <w14:bevel/>
                </w14:textOutline>
              </w:rPr>
              <w:t>环</w:t>
            </w:r>
          </w:p>
          <w:p>
            <w:pPr>
              <w:spacing w:before="22" w:line="228" w:lineRule="auto"/>
              <w:ind w:left="89"/>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境影</w:t>
            </w:r>
          </w:p>
          <w:p>
            <w:pPr>
              <w:spacing w:before="24" w:line="228" w:lineRule="auto"/>
              <w:ind w:left="99"/>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响分</w:t>
            </w:r>
          </w:p>
          <w:p>
            <w:pPr>
              <w:spacing w:before="26" w:line="228" w:lineRule="auto"/>
              <w:ind w:left="205"/>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析</w:t>
            </w:r>
          </w:p>
        </w:tc>
        <w:tc>
          <w:tcPr>
            <w:tcW w:w="8303" w:type="dxa"/>
            <w:tcBorders>
              <w:right w:val="single" w:color="000000" w:sz="6" w:space="0"/>
            </w:tcBorders>
            <w:vAlign w:val="top"/>
          </w:tcPr>
          <w:p>
            <w:pPr>
              <w:spacing w:before="156" w:line="369" w:lineRule="auto"/>
              <w:ind w:left="76" w:right="71" w:firstLine="411"/>
              <w:rPr>
                <w:rFonts w:ascii="宋体" w:hAnsi="宋体" w:eastAsia="宋体" w:cs="宋体"/>
                <w:sz w:val="20"/>
                <w:szCs w:val="20"/>
              </w:rPr>
            </w:pPr>
            <w:r>
              <w:rPr>
                <w:rFonts w:ascii="宋体" w:hAnsi="宋体" w:eastAsia="宋体" w:cs="宋体"/>
                <w:spacing w:val="9"/>
                <w:sz w:val="20"/>
                <w:szCs w:val="20"/>
              </w:rPr>
              <w:t>本项目为城市桥梁新建工程，不设服务区、收费站等，因此无生活污水产生。营运期</w:t>
            </w:r>
            <w:r>
              <w:rPr>
                <w:rFonts w:ascii="宋体" w:hAnsi="宋体" w:eastAsia="宋体" w:cs="宋体"/>
                <w:sz w:val="20"/>
                <w:szCs w:val="20"/>
              </w:rPr>
              <w:t xml:space="preserve"> </w:t>
            </w:r>
            <w:r>
              <w:rPr>
                <w:rFonts w:ascii="宋体" w:hAnsi="宋体" w:eastAsia="宋体" w:cs="宋体"/>
                <w:spacing w:val="9"/>
                <w:sz w:val="20"/>
                <w:szCs w:val="20"/>
              </w:rPr>
              <w:t>沿线水环境污染源主要是由于降雨冲刷路面产生的路面径流汇水，道路路面径流污染物</w:t>
            </w:r>
            <w:r>
              <w:rPr>
                <w:rFonts w:ascii="宋体" w:hAnsi="宋体" w:eastAsia="宋体" w:cs="宋体"/>
                <w:spacing w:val="2"/>
                <w:sz w:val="20"/>
                <w:szCs w:val="20"/>
              </w:rPr>
              <w:t>主</w:t>
            </w:r>
            <w:r>
              <w:rPr>
                <w:rFonts w:ascii="宋体" w:hAnsi="宋体" w:eastAsia="宋体" w:cs="宋体"/>
                <w:sz w:val="20"/>
                <w:szCs w:val="20"/>
              </w:rPr>
              <w:t xml:space="preserve"> </w:t>
            </w:r>
            <w:r>
              <w:rPr>
                <w:rFonts w:ascii="宋体" w:hAnsi="宋体" w:eastAsia="宋体" w:cs="宋体"/>
                <w:spacing w:val="9"/>
                <w:sz w:val="20"/>
                <w:szCs w:val="20"/>
              </w:rPr>
              <w:t>要为悬浮物、石油类和有机物，其污染物浓度受降雨强度、车流量、车辆类型、灰尘沉</w:t>
            </w:r>
            <w:r>
              <w:rPr>
                <w:rFonts w:ascii="宋体" w:hAnsi="宋体" w:eastAsia="宋体" w:cs="宋体"/>
                <w:spacing w:val="2"/>
                <w:sz w:val="20"/>
                <w:szCs w:val="20"/>
              </w:rPr>
              <w:t>降</w:t>
            </w:r>
            <w:r>
              <w:rPr>
                <w:rFonts w:ascii="宋体" w:hAnsi="宋体" w:eastAsia="宋体" w:cs="宋体"/>
                <w:sz w:val="20"/>
                <w:szCs w:val="20"/>
              </w:rPr>
              <w:t xml:space="preserve"> </w:t>
            </w:r>
            <w:r>
              <w:rPr>
                <w:rFonts w:ascii="宋体" w:hAnsi="宋体" w:eastAsia="宋体" w:cs="宋体"/>
                <w:spacing w:val="17"/>
                <w:sz w:val="20"/>
                <w:szCs w:val="20"/>
              </w:rPr>
              <w:t>量</w:t>
            </w:r>
            <w:r>
              <w:rPr>
                <w:rFonts w:ascii="宋体" w:hAnsi="宋体" w:eastAsia="宋体" w:cs="宋体"/>
                <w:spacing w:val="9"/>
                <w:sz w:val="20"/>
                <w:szCs w:val="20"/>
              </w:rPr>
              <w:t>和前期干旱时间等因素影响，因此具有一定程度的不确定性。</w:t>
            </w:r>
          </w:p>
          <w:p>
            <w:pPr>
              <w:spacing w:line="369" w:lineRule="auto"/>
              <w:ind w:left="76" w:right="71" w:firstLine="418"/>
              <w:rPr>
                <w:rFonts w:ascii="宋体" w:hAnsi="宋体" w:eastAsia="宋体" w:cs="宋体"/>
                <w:sz w:val="20"/>
                <w:szCs w:val="20"/>
              </w:rPr>
            </w:pPr>
            <w:r>
              <w:rPr>
                <w:rFonts w:ascii="宋体" w:hAnsi="宋体" w:eastAsia="宋体" w:cs="宋体"/>
                <w:spacing w:val="9"/>
                <w:sz w:val="20"/>
                <w:szCs w:val="20"/>
              </w:rPr>
              <w:t>雨水径流污染的因素主要包括车流量、大气污染、降雨强度、道路运输事故等。据</w:t>
            </w:r>
            <w:r>
              <w:rPr>
                <w:rFonts w:ascii="宋体" w:hAnsi="宋体" w:eastAsia="宋体" w:cs="宋体"/>
                <w:spacing w:val="2"/>
                <w:sz w:val="20"/>
                <w:szCs w:val="20"/>
              </w:rPr>
              <w:t>资</w:t>
            </w:r>
            <w:r>
              <w:rPr>
                <w:rFonts w:ascii="宋体" w:hAnsi="宋体" w:eastAsia="宋体" w:cs="宋体"/>
                <w:sz w:val="20"/>
                <w:szCs w:val="20"/>
              </w:rPr>
              <w:t xml:space="preserve"> </w:t>
            </w:r>
            <w:r>
              <w:rPr>
                <w:rFonts w:ascii="宋体" w:hAnsi="宋体" w:eastAsia="宋体" w:cs="宋体"/>
                <w:spacing w:val="9"/>
                <w:sz w:val="20"/>
                <w:szCs w:val="20"/>
              </w:rPr>
              <w:t>料介绍，雨水径流污染物含量随降雨时间而变化，通常在半小时内最大，以后随降雨时</w:t>
            </w:r>
            <w:r>
              <w:rPr>
                <w:rFonts w:ascii="宋体" w:hAnsi="宋体" w:eastAsia="宋体" w:cs="宋体"/>
                <w:spacing w:val="2"/>
                <w:sz w:val="20"/>
                <w:szCs w:val="20"/>
              </w:rPr>
              <w:t>间</w:t>
            </w:r>
            <w:r>
              <w:rPr>
                <w:rFonts w:ascii="宋体" w:hAnsi="宋体" w:eastAsia="宋体" w:cs="宋体"/>
                <w:sz w:val="20"/>
                <w:szCs w:val="20"/>
              </w:rPr>
              <w:t xml:space="preserve"> </w:t>
            </w:r>
            <w:r>
              <w:rPr>
                <w:rFonts w:ascii="宋体" w:hAnsi="宋体" w:eastAsia="宋体" w:cs="宋体"/>
                <w:spacing w:val="7"/>
                <w:sz w:val="20"/>
                <w:szCs w:val="20"/>
              </w:rPr>
              <w:t>延长而减少</w:t>
            </w:r>
            <w:r>
              <w:rPr>
                <w:rFonts w:ascii="宋体" w:hAnsi="宋体" w:eastAsia="宋体" w:cs="宋体"/>
                <w:spacing w:val="5"/>
                <w:sz w:val="20"/>
                <w:szCs w:val="20"/>
              </w:rPr>
              <w:t>。</w:t>
            </w:r>
          </w:p>
          <w:p>
            <w:pPr>
              <w:spacing w:before="1" w:line="368" w:lineRule="auto"/>
              <w:ind w:left="92" w:right="71" w:firstLine="394"/>
              <w:rPr>
                <w:rFonts w:ascii="宋体" w:hAnsi="宋体" w:eastAsia="宋体" w:cs="宋体"/>
                <w:sz w:val="20"/>
                <w:szCs w:val="20"/>
              </w:rPr>
            </w:pPr>
            <w:r>
              <w:rPr>
                <w:rFonts w:ascii="宋体" w:hAnsi="宋体" w:eastAsia="宋体" w:cs="宋体"/>
                <w:spacing w:val="22"/>
                <w:sz w:val="20"/>
                <w:szCs w:val="20"/>
              </w:rPr>
              <w:t>长</w:t>
            </w:r>
            <w:r>
              <w:rPr>
                <w:rFonts w:ascii="宋体" w:hAnsi="宋体" w:eastAsia="宋体" w:cs="宋体"/>
                <w:spacing w:val="18"/>
                <w:sz w:val="20"/>
                <w:szCs w:val="20"/>
              </w:rPr>
              <w:t>安</w:t>
            </w:r>
            <w:r>
              <w:rPr>
                <w:rFonts w:ascii="宋体" w:hAnsi="宋体" w:eastAsia="宋体" w:cs="宋体"/>
                <w:spacing w:val="11"/>
                <w:sz w:val="20"/>
                <w:szCs w:val="20"/>
              </w:rPr>
              <w:t>大学曾采用人工降雨的方法在西安</w:t>
            </w:r>
            <w:r>
              <w:rPr>
                <w:rFonts w:ascii="Times New Roman" w:hAnsi="Times New Roman" w:eastAsia="Times New Roman" w:cs="Times New Roman"/>
                <w:spacing w:val="11"/>
                <w:sz w:val="20"/>
                <w:szCs w:val="20"/>
              </w:rPr>
              <w:t>~</w:t>
            </w:r>
            <w:r>
              <w:rPr>
                <w:rFonts w:ascii="宋体" w:hAnsi="宋体" w:eastAsia="宋体" w:cs="宋体"/>
                <w:spacing w:val="11"/>
                <w:sz w:val="20"/>
                <w:szCs w:val="20"/>
              </w:rPr>
              <w:t>三原高速公路上形成桥面径流，在车流量和</w:t>
            </w:r>
            <w:r>
              <w:rPr>
                <w:rFonts w:ascii="宋体" w:hAnsi="宋体" w:eastAsia="宋体" w:cs="宋体"/>
                <w:sz w:val="20"/>
                <w:szCs w:val="20"/>
              </w:rPr>
              <w:t xml:space="preserve"> </w:t>
            </w:r>
            <w:r>
              <w:rPr>
                <w:rFonts w:ascii="宋体" w:hAnsi="宋体" w:eastAsia="宋体" w:cs="宋体"/>
                <w:spacing w:val="14"/>
                <w:sz w:val="20"/>
                <w:szCs w:val="20"/>
              </w:rPr>
              <w:t>降雨量已</w:t>
            </w:r>
            <w:r>
              <w:rPr>
                <w:rFonts w:ascii="宋体" w:hAnsi="宋体" w:eastAsia="宋体" w:cs="宋体"/>
                <w:spacing w:val="9"/>
                <w:sz w:val="20"/>
                <w:szCs w:val="20"/>
              </w:rPr>
              <w:t>知</w:t>
            </w:r>
            <w:r>
              <w:rPr>
                <w:rFonts w:ascii="宋体" w:hAnsi="宋体" w:eastAsia="宋体" w:cs="宋体"/>
                <w:spacing w:val="7"/>
                <w:sz w:val="20"/>
                <w:szCs w:val="20"/>
              </w:rPr>
              <w:t xml:space="preserve">的情况下，降雨历时一小时，降雨强度为 </w:t>
            </w:r>
            <w:r>
              <w:rPr>
                <w:rFonts w:ascii="Times New Roman" w:hAnsi="Times New Roman" w:eastAsia="Times New Roman" w:cs="Times New Roman"/>
                <w:spacing w:val="7"/>
                <w:sz w:val="20"/>
                <w:szCs w:val="20"/>
              </w:rPr>
              <w:t>81.6</w:t>
            </w:r>
            <w:r>
              <w:rPr>
                <w:rFonts w:ascii="Times New Roman" w:hAnsi="Times New Roman" w:eastAsia="Times New Roman" w:cs="Times New Roman"/>
                <w:sz w:val="20"/>
                <w:szCs w:val="20"/>
              </w:rPr>
              <w:t>mm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，在一小时内按不同时间采</w:t>
            </w:r>
          </w:p>
          <w:p>
            <w:pPr>
              <w:spacing w:line="227" w:lineRule="auto"/>
              <w:ind w:left="76"/>
              <w:rPr>
                <w:rFonts w:ascii="宋体" w:hAnsi="宋体" w:eastAsia="宋体" w:cs="宋体"/>
                <w:sz w:val="20"/>
                <w:szCs w:val="20"/>
              </w:rPr>
            </w:pPr>
            <w:r>
              <w:rPr>
                <w:rFonts w:ascii="宋体" w:hAnsi="宋体" w:eastAsia="宋体" w:cs="宋体"/>
                <w:spacing w:val="10"/>
                <w:sz w:val="20"/>
                <w:szCs w:val="20"/>
              </w:rPr>
              <w:t>集</w:t>
            </w:r>
            <w:r>
              <w:rPr>
                <w:rFonts w:ascii="宋体" w:hAnsi="宋体" w:eastAsia="宋体" w:cs="宋体"/>
                <w:spacing w:val="8"/>
                <w:sz w:val="20"/>
                <w:szCs w:val="20"/>
              </w:rPr>
              <w:t>水样，测定结果见下表。</w:t>
            </w:r>
          </w:p>
          <w:p>
            <w:pPr>
              <w:spacing w:before="131" w:line="230" w:lineRule="auto"/>
              <w:ind w:left="2654"/>
              <w:rPr>
                <w:rFonts w:ascii="黑体" w:hAnsi="黑体" w:eastAsia="黑体" w:cs="黑体"/>
                <w:sz w:val="19"/>
                <w:szCs w:val="19"/>
              </w:rPr>
            </w:pPr>
            <w:r>
              <w:rPr>
                <w:rFonts w:ascii="黑体" w:hAnsi="黑体" w:eastAsia="黑体" w:cs="黑体"/>
                <w:spacing w:val="12"/>
                <w:sz w:val="19"/>
                <w:szCs w:val="19"/>
              </w:rPr>
              <w:t>表</w:t>
            </w:r>
            <w:r>
              <w:rPr>
                <w:rFonts w:ascii="Times New Roman" w:hAnsi="Times New Roman" w:eastAsia="Times New Roman" w:cs="Times New Roman"/>
                <w:spacing w:val="7"/>
                <w:sz w:val="19"/>
                <w:szCs w:val="19"/>
              </w:rPr>
              <w:t xml:space="preserve">43    </w:t>
            </w:r>
            <w:r>
              <w:rPr>
                <w:rFonts w:ascii="黑体" w:hAnsi="黑体" w:eastAsia="黑体" w:cs="黑体"/>
                <w:spacing w:val="7"/>
                <w:sz w:val="19"/>
                <w:szCs w:val="19"/>
              </w:rPr>
              <w:t>路面径流中污染物浓度值表</w:t>
            </w:r>
          </w:p>
          <w:p>
            <w:pPr>
              <w:spacing w:line="70" w:lineRule="auto"/>
              <w:rPr>
                <w:rFonts w:ascii="Arial"/>
                <w:sz w:val="2"/>
              </w:rPr>
            </w:pPr>
          </w:p>
          <w:tbl>
            <w:tblPr>
              <w:tblStyle w:val="4"/>
              <w:tblW w:w="7742" w:type="dxa"/>
              <w:tblInd w:w="27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95"/>
              <w:gridCol w:w="1573"/>
              <w:gridCol w:w="1686"/>
              <w:gridCol w:w="1687"/>
              <w:gridCol w:w="10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795" w:type="dxa"/>
                  <w:vAlign w:val="top"/>
                </w:tcPr>
                <w:p>
                  <w:pPr>
                    <w:spacing w:before="104" w:line="231" w:lineRule="auto"/>
                    <w:ind w:left="723"/>
                    <w:rPr>
                      <w:rFonts w:ascii="宋体" w:hAnsi="宋体" w:eastAsia="宋体" w:cs="宋体"/>
                      <w:sz w:val="17"/>
                      <w:szCs w:val="17"/>
                    </w:rPr>
                  </w:pPr>
                  <w:r>
                    <w:rPr>
                      <w:rFonts w:ascii="宋体" w:hAnsi="宋体" w:eastAsia="宋体" w:cs="宋体"/>
                      <w:spacing w:val="5"/>
                      <w:sz w:val="17"/>
                      <w:szCs w:val="17"/>
                      <w14:textOutline w14:w="3268" w14:cap="sq" w14:cmpd="sng">
                        <w14:solidFill>
                          <w14:srgbClr w14:val="000000"/>
                        </w14:solidFill>
                        <w14:prstDash w14:val="solid"/>
                        <w14:bevel/>
                      </w14:textOutline>
                    </w:rPr>
                    <w:t>项目</w:t>
                  </w:r>
                </w:p>
              </w:tc>
              <w:tc>
                <w:tcPr>
                  <w:tcW w:w="1573" w:type="dxa"/>
                  <w:vAlign w:val="top"/>
                </w:tcPr>
                <w:p>
                  <w:pPr>
                    <w:spacing w:before="67" w:line="248" w:lineRule="exact"/>
                    <w:ind w:left="413"/>
                    <w:rPr>
                      <w:rFonts w:ascii="Times New Roman" w:hAnsi="Times New Roman" w:eastAsia="Times New Roman" w:cs="Times New Roman"/>
                      <w:sz w:val="17"/>
                      <w:szCs w:val="17"/>
                    </w:rPr>
                  </w:pPr>
                  <w:r>
                    <w:rPr>
                      <w:rFonts w:ascii="Times New Roman" w:hAnsi="Times New Roman" w:eastAsia="Times New Roman" w:cs="Times New Roman"/>
                      <w:b/>
                      <w:bCs/>
                      <w:spacing w:val="30"/>
                      <w:sz w:val="17"/>
                      <w:szCs w:val="17"/>
                    </w:rPr>
                    <w:t>5</w:t>
                  </w:r>
                  <w:r>
                    <w:rPr>
                      <w:rFonts w:ascii="宋体" w:hAnsi="宋体" w:eastAsia="宋体" w:cs="宋体"/>
                      <w:spacing w:val="30"/>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30"/>
                      <w:sz w:val="17"/>
                      <w:szCs w:val="17"/>
                    </w:rPr>
                    <w:t>20</w:t>
                  </w:r>
                  <w:r>
                    <w:rPr>
                      <w:rFonts w:ascii="Times New Roman" w:hAnsi="Times New Roman" w:eastAsia="Times New Roman" w:cs="Times New Roman"/>
                      <w:b/>
                      <w:bCs/>
                      <w:sz w:val="17"/>
                      <w:szCs w:val="17"/>
                    </w:rPr>
                    <w:t>min</w:t>
                  </w:r>
                </w:p>
              </w:tc>
              <w:tc>
                <w:tcPr>
                  <w:tcW w:w="1686" w:type="dxa"/>
                  <w:vAlign w:val="top"/>
                </w:tcPr>
                <w:p>
                  <w:pPr>
                    <w:spacing w:before="67" w:line="248" w:lineRule="exact"/>
                    <w:ind w:left="424"/>
                    <w:rPr>
                      <w:rFonts w:ascii="Times New Roman" w:hAnsi="Times New Roman" w:eastAsia="Times New Roman" w:cs="Times New Roman"/>
                      <w:sz w:val="17"/>
                      <w:szCs w:val="17"/>
                    </w:rPr>
                  </w:pPr>
                  <w:r>
                    <w:rPr>
                      <w:rFonts w:ascii="Times New Roman" w:hAnsi="Times New Roman" w:eastAsia="Times New Roman" w:cs="Times New Roman"/>
                      <w:b/>
                      <w:bCs/>
                      <w:spacing w:val="26"/>
                      <w:sz w:val="17"/>
                      <w:szCs w:val="17"/>
                    </w:rPr>
                    <w:t>2</w:t>
                  </w:r>
                  <w:r>
                    <w:rPr>
                      <w:rFonts w:ascii="Times New Roman" w:hAnsi="Times New Roman" w:eastAsia="Times New Roman" w:cs="Times New Roman"/>
                      <w:b/>
                      <w:bCs/>
                      <w:spacing w:val="25"/>
                      <w:sz w:val="17"/>
                      <w:szCs w:val="17"/>
                    </w:rPr>
                    <w:t>0</w:t>
                  </w:r>
                  <w:r>
                    <w:rPr>
                      <w:rFonts w:ascii="宋体" w:hAnsi="宋体" w:eastAsia="宋体" w:cs="宋体"/>
                      <w:spacing w:val="25"/>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25"/>
                      <w:sz w:val="17"/>
                      <w:szCs w:val="17"/>
                    </w:rPr>
                    <w:t>40</w:t>
                  </w:r>
                  <w:r>
                    <w:rPr>
                      <w:rFonts w:ascii="Times New Roman" w:hAnsi="Times New Roman" w:eastAsia="Times New Roman" w:cs="Times New Roman"/>
                      <w:b/>
                      <w:bCs/>
                      <w:sz w:val="17"/>
                      <w:szCs w:val="17"/>
                    </w:rPr>
                    <w:t>min</w:t>
                  </w:r>
                </w:p>
              </w:tc>
              <w:tc>
                <w:tcPr>
                  <w:tcW w:w="1687" w:type="dxa"/>
                  <w:vAlign w:val="top"/>
                </w:tcPr>
                <w:p>
                  <w:pPr>
                    <w:spacing w:before="67" w:line="248" w:lineRule="exact"/>
                    <w:ind w:left="426"/>
                    <w:rPr>
                      <w:rFonts w:ascii="Times New Roman" w:hAnsi="Times New Roman" w:eastAsia="Times New Roman" w:cs="Times New Roman"/>
                      <w:sz w:val="17"/>
                      <w:szCs w:val="17"/>
                    </w:rPr>
                  </w:pPr>
                  <w:r>
                    <w:rPr>
                      <w:rFonts w:ascii="Times New Roman" w:hAnsi="Times New Roman" w:eastAsia="Times New Roman" w:cs="Times New Roman"/>
                      <w:b/>
                      <w:bCs/>
                      <w:spacing w:val="26"/>
                      <w:sz w:val="17"/>
                      <w:szCs w:val="17"/>
                    </w:rPr>
                    <w:t>4</w:t>
                  </w:r>
                  <w:r>
                    <w:rPr>
                      <w:rFonts w:ascii="Times New Roman" w:hAnsi="Times New Roman" w:eastAsia="Times New Roman" w:cs="Times New Roman"/>
                      <w:b/>
                      <w:bCs/>
                      <w:spacing w:val="25"/>
                      <w:sz w:val="17"/>
                      <w:szCs w:val="17"/>
                    </w:rPr>
                    <w:t>0</w:t>
                  </w:r>
                  <w:r>
                    <w:rPr>
                      <w:rFonts w:ascii="宋体" w:hAnsi="宋体" w:eastAsia="宋体" w:cs="宋体"/>
                      <w:spacing w:val="25"/>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25"/>
                      <w:sz w:val="17"/>
                      <w:szCs w:val="17"/>
                    </w:rPr>
                    <w:t>60</w:t>
                  </w:r>
                  <w:r>
                    <w:rPr>
                      <w:rFonts w:ascii="Times New Roman" w:hAnsi="Times New Roman" w:eastAsia="Times New Roman" w:cs="Times New Roman"/>
                      <w:b/>
                      <w:bCs/>
                      <w:sz w:val="17"/>
                      <w:szCs w:val="17"/>
                    </w:rPr>
                    <w:t>min</w:t>
                  </w:r>
                </w:p>
              </w:tc>
              <w:tc>
                <w:tcPr>
                  <w:tcW w:w="1001" w:type="dxa"/>
                  <w:vAlign w:val="top"/>
                </w:tcPr>
                <w:p>
                  <w:pPr>
                    <w:spacing w:before="104" w:line="230" w:lineRule="auto"/>
                    <w:ind w:left="233"/>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平</w:t>
                  </w:r>
                  <w:r>
                    <w:rPr>
                      <w:rFonts w:ascii="宋体" w:hAnsi="宋体" w:eastAsia="宋体" w:cs="宋体"/>
                      <w:spacing w:val="8"/>
                      <w:sz w:val="17"/>
                      <w:szCs w:val="17"/>
                      <w14:textOutline w14:w="3268" w14:cap="sq" w14:cmpd="sng">
                        <w14:solidFill>
                          <w14:srgbClr w14:val="000000"/>
                        </w14:solidFill>
                        <w14:prstDash w14:val="solid"/>
                        <w14:bevel/>
                      </w14:textOutline>
                    </w:rPr>
                    <w:t>均值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795" w:type="dxa"/>
                  <w:vAlign w:val="top"/>
                </w:tcPr>
                <w:p>
                  <w:pPr>
                    <w:spacing w:before="133" w:line="196" w:lineRule="auto"/>
                    <w:ind w:left="785"/>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p</w:t>
                  </w:r>
                  <w:r>
                    <w:rPr>
                      <w:rFonts w:ascii="Times New Roman" w:hAnsi="Times New Roman" w:eastAsia="Times New Roman" w:cs="Times New Roman"/>
                      <w:spacing w:val="6"/>
                      <w:sz w:val="17"/>
                      <w:szCs w:val="17"/>
                    </w:rPr>
                    <w:t>H</w:t>
                  </w:r>
                </w:p>
              </w:tc>
              <w:tc>
                <w:tcPr>
                  <w:tcW w:w="1573" w:type="dxa"/>
                  <w:vAlign w:val="top"/>
                </w:tcPr>
                <w:p>
                  <w:pPr>
                    <w:spacing w:before="99" w:line="227" w:lineRule="exact"/>
                    <w:ind w:left="476"/>
                    <w:rPr>
                      <w:rFonts w:ascii="Times New Roman" w:hAnsi="Times New Roman" w:eastAsia="Times New Roman" w:cs="Times New Roman"/>
                      <w:sz w:val="17"/>
                      <w:szCs w:val="17"/>
                    </w:rPr>
                  </w:pPr>
                  <w:r>
                    <w:rPr>
                      <w:rFonts w:ascii="Times New Roman" w:hAnsi="Times New Roman" w:eastAsia="Times New Roman" w:cs="Times New Roman"/>
                      <w:spacing w:val="17"/>
                      <w:sz w:val="17"/>
                      <w:szCs w:val="17"/>
                    </w:rPr>
                    <w:t>7.0</w:t>
                  </w:r>
                  <w:r>
                    <w:rPr>
                      <w:rFonts w:ascii="宋体" w:hAnsi="宋体" w:eastAsia="宋体" w:cs="宋体"/>
                      <w:spacing w:val="17"/>
                      <w:sz w:val="17"/>
                      <w:szCs w:val="17"/>
                    </w:rPr>
                    <w:t>~</w:t>
                  </w:r>
                  <w:r>
                    <w:rPr>
                      <w:rFonts w:ascii="Times New Roman" w:hAnsi="Times New Roman" w:eastAsia="Times New Roman" w:cs="Times New Roman"/>
                      <w:spacing w:val="17"/>
                      <w:sz w:val="17"/>
                      <w:szCs w:val="17"/>
                    </w:rPr>
                    <w:t>7.8</w:t>
                  </w:r>
                </w:p>
              </w:tc>
              <w:tc>
                <w:tcPr>
                  <w:tcW w:w="1686" w:type="dxa"/>
                  <w:vAlign w:val="top"/>
                </w:tcPr>
                <w:p>
                  <w:pPr>
                    <w:spacing w:before="99" w:line="227" w:lineRule="exact"/>
                    <w:ind w:left="532"/>
                    <w:rPr>
                      <w:rFonts w:ascii="Times New Roman" w:hAnsi="Times New Roman" w:eastAsia="Times New Roman" w:cs="Times New Roman"/>
                      <w:sz w:val="17"/>
                      <w:szCs w:val="17"/>
                    </w:rPr>
                  </w:pPr>
                  <w:r>
                    <w:rPr>
                      <w:rFonts w:ascii="Times New Roman" w:hAnsi="Times New Roman" w:eastAsia="Times New Roman" w:cs="Times New Roman"/>
                      <w:spacing w:val="17"/>
                      <w:sz w:val="17"/>
                      <w:szCs w:val="17"/>
                    </w:rPr>
                    <w:t>7.0</w:t>
                  </w:r>
                  <w:r>
                    <w:rPr>
                      <w:rFonts w:ascii="宋体" w:hAnsi="宋体" w:eastAsia="宋体" w:cs="宋体"/>
                      <w:spacing w:val="17"/>
                      <w:sz w:val="17"/>
                      <w:szCs w:val="17"/>
                    </w:rPr>
                    <w:t>~</w:t>
                  </w:r>
                  <w:r>
                    <w:rPr>
                      <w:rFonts w:ascii="Times New Roman" w:hAnsi="Times New Roman" w:eastAsia="Times New Roman" w:cs="Times New Roman"/>
                      <w:spacing w:val="17"/>
                      <w:sz w:val="17"/>
                      <w:szCs w:val="17"/>
                    </w:rPr>
                    <w:t>7.8</w:t>
                  </w:r>
                </w:p>
              </w:tc>
              <w:tc>
                <w:tcPr>
                  <w:tcW w:w="1687" w:type="dxa"/>
                  <w:vAlign w:val="top"/>
                </w:tcPr>
                <w:p>
                  <w:pPr>
                    <w:spacing w:before="99" w:line="227" w:lineRule="exact"/>
                    <w:ind w:left="533"/>
                    <w:rPr>
                      <w:rFonts w:ascii="Times New Roman" w:hAnsi="Times New Roman" w:eastAsia="Times New Roman" w:cs="Times New Roman"/>
                      <w:sz w:val="17"/>
                      <w:szCs w:val="17"/>
                    </w:rPr>
                  </w:pPr>
                  <w:r>
                    <w:rPr>
                      <w:rFonts w:ascii="Times New Roman" w:hAnsi="Times New Roman" w:eastAsia="Times New Roman" w:cs="Times New Roman"/>
                      <w:spacing w:val="19"/>
                      <w:sz w:val="17"/>
                      <w:szCs w:val="17"/>
                    </w:rPr>
                    <w:t>7</w:t>
                  </w:r>
                  <w:r>
                    <w:rPr>
                      <w:rFonts w:ascii="Times New Roman" w:hAnsi="Times New Roman" w:eastAsia="Times New Roman" w:cs="Times New Roman"/>
                      <w:spacing w:val="17"/>
                      <w:sz w:val="17"/>
                      <w:szCs w:val="17"/>
                    </w:rPr>
                    <w:t>.0</w:t>
                  </w:r>
                  <w:r>
                    <w:rPr>
                      <w:rFonts w:ascii="宋体" w:hAnsi="宋体" w:eastAsia="宋体" w:cs="宋体"/>
                      <w:spacing w:val="17"/>
                      <w:sz w:val="17"/>
                      <w:szCs w:val="17"/>
                    </w:rPr>
                    <w:t>~</w:t>
                  </w:r>
                  <w:r>
                    <w:rPr>
                      <w:rFonts w:ascii="Times New Roman" w:hAnsi="Times New Roman" w:eastAsia="Times New Roman" w:cs="Times New Roman"/>
                      <w:spacing w:val="17"/>
                      <w:sz w:val="17"/>
                      <w:szCs w:val="17"/>
                    </w:rPr>
                    <w:t>7.8</w:t>
                  </w:r>
                </w:p>
              </w:tc>
              <w:tc>
                <w:tcPr>
                  <w:tcW w:w="1001" w:type="dxa"/>
                  <w:vAlign w:val="top"/>
                </w:tcPr>
                <w:p>
                  <w:pPr>
                    <w:spacing w:before="130" w:line="197" w:lineRule="auto"/>
                    <w:ind w:left="3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7</w:t>
                  </w:r>
                  <w:r>
                    <w:rPr>
                      <w:rFonts w:ascii="Times New Roman" w:hAnsi="Times New Roman" w:eastAsia="Times New Roman" w:cs="Times New Roman"/>
                      <w:spacing w:val="2"/>
                      <w:sz w:val="17"/>
                      <w:szCs w:val="17"/>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795" w:type="dxa"/>
                  <w:vAlign w:val="top"/>
                </w:tcPr>
                <w:p>
                  <w:pPr>
                    <w:spacing w:before="67" w:line="242" w:lineRule="exact"/>
                    <w:ind w:left="432"/>
                    <w:rPr>
                      <w:rFonts w:ascii="宋体" w:hAnsi="宋体" w:eastAsia="宋体" w:cs="宋体"/>
                      <w:sz w:val="17"/>
                      <w:szCs w:val="17"/>
                    </w:rPr>
                  </w:pPr>
                  <w:r>
                    <w:rPr>
                      <w:rFonts w:ascii="Times New Roman" w:hAnsi="Times New Roman" w:eastAsia="Times New Roman" w:cs="Times New Roman"/>
                      <w:position w:val="2"/>
                      <w:sz w:val="17"/>
                      <w:szCs w:val="17"/>
                    </w:rPr>
                    <w:t>SS</w:t>
                  </w:r>
                  <w:r>
                    <w:rPr>
                      <w:rFonts w:ascii="Times New Roman" w:hAnsi="Times New Roman" w:eastAsia="Times New Roman" w:cs="Times New Roman"/>
                      <w:spacing w:val="8"/>
                      <w:position w:val="2"/>
                      <w:sz w:val="17"/>
                      <w:szCs w:val="17"/>
                    </w:rPr>
                    <w:t xml:space="preserve"> </w:t>
                  </w:r>
                  <w:r>
                    <w:rPr>
                      <w:rFonts w:ascii="Times New Roman" w:hAnsi="Times New Roman" w:eastAsia="Times New Roman" w:cs="Times New Roman"/>
                      <w:spacing w:val="5"/>
                      <w:position w:val="2"/>
                      <w:sz w:val="17"/>
                      <w:szCs w:val="17"/>
                    </w:rPr>
                    <w:t xml:space="preserve"> </w:t>
                  </w:r>
                  <w:r>
                    <w:rPr>
                      <w:rFonts w:ascii="宋体" w:hAnsi="宋体" w:eastAsia="宋体" w:cs="宋体"/>
                      <w:spacing w:val="5"/>
                      <w:position w:val="2"/>
                      <w:sz w:val="17"/>
                      <w:szCs w:val="17"/>
                    </w:rPr>
                    <w:t>(</w:t>
                  </w:r>
                  <w:r>
                    <w:rPr>
                      <w:rFonts w:ascii="Times New Roman" w:hAnsi="Times New Roman" w:eastAsia="Times New Roman" w:cs="Times New Roman"/>
                      <w:position w:val="2"/>
                      <w:sz w:val="17"/>
                      <w:szCs w:val="17"/>
                    </w:rPr>
                    <w:t>mg</w:t>
                  </w:r>
                  <w:r>
                    <w:rPr>
                      <w:rFonts w:ascii="Times New Roman" w:hAnsi="Times New Roman" w:eastAsia="Times New Roman" w:cs="Times New Roman"/>
                      <w:spacing w:val="5"/>
                      <w:position w:val="2"/>
                      <w:sz w:val="17"/>
                      <w:szCs w:val="17"/>
                    </w:rPr>
                    <w:t>/</w:t>
                  </w:r>
                  <w:r>
                    <w:rPr>
                      <w:rFonts w:ascii="Times New Roman" w:hAnsi="Times New Roman" w:eastAsia="Times New Roman" w:cs="Times New Roman"/>
                      <w:position w:val="2"/>
                      <w:sz w:val="17"/>
                      <w:szCs w:val="17"/>
                    </w:rPr>
                    <w:t>L</w:t>
                  </w:r>
                  <w:r>
                    <w:rPr>
                      <w:rFonts w:ascii="宋体" w:hAnsi="宋体" w:eastAsia="宋体" w:cs="宋体"/>
                      <w:spacing w:val="5"/>
                      <w:position w:val="2"/>
                      <w:sz w:val="17"/>
                      <w:szCs w:val="17"/>
                    </w:rPr>
                    <w:t>)</w:t>
                  </w:r>
                </w:p>
              </w:tc>
              <w:tc>
                <w:tcPr>
                  <w:tcW w:w="1573" w:type="dxa"/>
                  <w:vAlign w:val="top"/>
                </w:tcPr>
                <w:p>
                  <w:pPr>
                    <w:spacing w:before="102" w:line="227" w:lineRule="exact"/>
                    <w:ind w:left="293"/>
                    <w:rPr>
                      <w:rFonts w:ascii="Times New Roman" w:hAnsi="Times New Roman" w:eastAsia="Times New Roman" w:cs="Times New Roman"/>
                      <w:sz w:val="17"/>
                      <w:szCs w:val="17"/>
                    </w:rPr>
                  </w:pPr>
                  <w:r>
                    <w:rPr>
                      <w:rFonts w:ascii="Times New Roman" w:hAnsi="Times New Roman" w:eastAsia="Times New Roman" w:cs="Times New Roman"/>
                      <w:spacing w:val="16"/>
                      <w:sz w:val="17"/>
                      <w:szCs w:val="17"/>
                    </w:rPr>
                    <w:t>2</w:t>
                  </w:r>
                  <w:r>
                    <w:rPr>
                      <w:rFonts w:ascii="Times New Roman" w:hAnsi="Times New Roman" w:eastAsia="Times New Roman" w:cs="Times New Roman"/>
                      <w:spacing w:val="12"/>
                      <w:sz w:val="17"/>
                      <w:szCs w:val="17"/>
                    </w:rPr>
                    <w:t>31.4</w:t>
                  </w:r>
                  <w:r>
                    <w:rPr>
                      <w:rFonts w:ascii="宋体" w:hAnsi="宋体" w:eastAsia="宋体" w:cs="宋体"/>
                      <w:spacing w:val="12"/>
                      <w:sz w:val="17"/>
                      <w:szCs w:val="17"/>
                    </w:rPr>
                    <w:t>~</w:t>
                  </w:r>
                  <w:r>
                    <w:rPr>
                      <w:rFonts w:ascii="Times New Roman" w:hAnsi="Times New Roman" w:eastAsia="Times New Roman" w:cs="Times New Roman"/>
                      <w:spacing w:val="12"/>
                      <w:sz w:val="17"/>
                      <w:szCs w:val="17"/>
                    </w:rPr>
                    <w:t>158.2</w:t>
                  </w:r>
                </w:p>
              </w:tc>
              <w:tc>
                <w:tcPr>
                  <w:tcW w:w="1686" w:type="dxa"/>
                  <w:vAlign w:val="top"/>
                </w:tcPr>
                <w:p>
                  <w:pPr>
                    <w:spacing w:before="102" w:line="227" w:lineRule="exact"/>
                    <w:ind w:left="321"/>
                    <w:rPr>
                      <w:rFonts w:ascii="Times New Roman" w:hAnsi="Times New Roman" w:eastAsia="Times New Roman" w:cs="Times New Roman"/>
                      <w:sz w:val="17"/>
                      <w:szCs w:val="17"/>
                    </w:rPr>
                  </w:pPr>
                  <w:r>
                    <w:rPr>
                      <w:rFonts w:ascii="Times New Roman" w:hAnsi="Times New Roman" w:eastAsia="Times New Roman" w:cs="Times New Roman"/>
                      <w:spacing w:val="15"/>
                      <w:sz w:val="17"/>
                      <w:szCs w:val="17"/>
                    </w:rPr>
                    <w:t>1</w:t>
                  </w:r>
                  <w:r>
                    <w:rPr>
                      <w:rFonts w:ascii="Times New Roman" w:hAnsi="Times New Roman" w:eastAsia="Times New Roman" w:cs="Times New Roman"/>
                      <w:spacing w:val="10"/>
                      <w:sz w:val="17"/>
                      <w:szCs w:val="17"/>
                    </w:rPr>
                    <w:t>58.22</w:t>
                  </w:r>
                  <w:r>
                    <w:rPr>
                      <w:rFonts w:ascii="宋体" w:hAnsi="宋体" w:eastAsia="宋体" w:cs="宋体"/>
                      <w:spacing w:val="10"/>
                      <w:sz w:val="17"/>
                      <w:szCs w:val="17"/>
                    </w:rPr>
                    <w:t>~</w:t>
                  </w:r>
                  <w:r>
                    <w:rPr>
                      <w:rFonts w:ascii="Times New Roman" w:hAnsi="Times New Roman" w:eastAsia="Times New Roman" w:cs="Times New Roman"/>
                      <w:spacing w:val="10"/>
                      <w:sz w:val="17"/>
                      <w:szCs w:val="17"/>
                    </w:rPr>
                    <w:t>90.36</w:t>
                  </w:r>
                </w:p>
              </w:tc>
              <w:tc>
                <w:tcPr>
                  <w:tcW w:w="1687" w:type="dxa"/>
                  <w:vAlign w:val="top"/>
                </w:tcPr>
                <w:p>
                  <w:pPr>
                    <w:spacing w:before="102" w:line="227" w:lineRule="exact"/>
                    <w:ind w:left="354"/>
                    <w:rPr>
                      <w:rFonts w:ascii="Times New Roman" w:hAnsi="Times New Roman" w:eastAsia="Times New Roman" w:cs="Times New Roman"/>
                      <w:sz w:val="17"/>
                      <w:szCs w:val="17"/>
                    </w:rPr>
                  </w:pPr>
                  <w:r>
                    <w:rPr>
                      <w:rFonts w:ascii="Times New Roman" w:hAnsi="Times New Roman" w:eastAsia="Times New Roman" w:cs="Times New Roman"/>
                      <w:spacing w:val="15"/>
                      <w:sz w:val="17"/>
                      <w:szCs w:val="17"/>
                    </w:rPr>
                    <w:t>9</w:t>
                  </w:r>
                  <w:r>
                    <w:rPr>
                      <w:rFonts w:ascii="Times New Roman" w:hAnsi="Times New Roman" w:eastAsia="Times New Roman" w:cs="Times New Roman"/>
                      <w:spacing w:val="12"/>
                      <w:sz w:val="17"/>
                      <w:szCs w:val="17"/>
                    </w:rPr>
                    <w:t>0.36</w:t>
                  </w:r>
                  <w:r>
                    <w:rPr>
                      <w:rFonts w:ascii="宋体" w:hAnsi="宋体" w:eastAsia="宋体" w:cs="宋体"/>
                      <w:spacing w:val="12"/>
                      <w:sz w:val="17"/>
                      <w:szCs w:val="17"/>
                    </w:rPr>
                    <w:t>~</w:t>
                  </w:r>
                  <w:r>
                    <w:rPr>
                      <w:rFonts w:ascii="Times New Roman" w:hAnsi="Times New Roman" w:eastAsia="Times New Roman" w:cs="Times New Roman"/>
                      <w:spacing w:val="12"/>
                      <w:sz w:val="17"/>
                      <w:szCs w:val="17"/>
                    </w:rPr>
                    <w:t>18.71</w:t>
                  </w:r>
                </w:p>
              </w:tc>
              <w:tc>
                <w:tcPr>
                  <w:tcW w:w="1001" w:type="dxa"/>
                  <w:vAlign w:val="top"/>
                </w:tcPr>
                <w:p>
                  <w:pPr>
                    <w:spacing w:before="130" w:line="197" w:lineRule="auto"/>
                    <w:ind w:left="38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795" w:type="dxa"/>
                  <w:vAlign w:val="top"/>
                </w:tcPr>
                <w:p>
                  <w:pPr>
                    <w:spacing w:before="69" w:line="242" w:lineRule="exact"/>
                    <w:ind w:left="304"/>
                    <w:rPr>
                      <w:rFonts w:ascii="宋体" w:hAnsi="宋体" w:eastAsia="宋体" w:cs="宋体"/>
                      <w:sz w:val="17"/>
                      <w:szCs w:val="17"/>
                    </w:rPr>
                  </w:pPr>
                  <w:r>
                    <w:rPr>
                      <w:rFonts w:ascii="Times New Roman" w:hAnsi="Times New Roman" w:eastAsia="Times New Roman" w:cs="Times New Roman"/>
                      <w:position w:val="2"/>
                      <w:sz w:val="17"/>
                      <w:szCs w:val="17"/>
                    </w:rPr>
                    <w:t>BOD</w:t>
                  </w:r>
                  <w:r>
                    <w:rPr>
                      <w:rFonts w:ascii="Times New Roman" w:hAnsi="Times New Roman" w:eastAsia="Times New Roman" w:cs="Times New Roman"/>
                      <w:spacing w:val="12"/>
                      <w:position w:val="1"/>
                      <w:sz w:val="11"/>
                      <w:szCs w:val="11"/>
                    </w:rPr>
                    <w:t>5</w:t>
                  </w:r>
                  <w:r>
                    <w:rPr>
                      <w:rFonts w:ascii="Times New Roman" w:hAnsi="Times New Roman" w:eastAsia="Times New Roman" w:cs="Times New Roman"/>
                      <w:spacing w:val="7"/>
                      <w:position w:val="1"/>
                      <w:sz w:val="11"/>
                      <w:szCs w:val="11"/>
                    </w:rPr>
                    <w:t xml:space="preserve">   </w:t>
                  </w:r>
                  <w:r>
                    <w:rPr>
                      <w:rFonts w:ascii="宋体" w:hAnsi="宋体" w:eastAsia="宋体" w:cs="宋体"/>
                      <w:spacing w:val="7"/>
                      <w:position w:val="2"/>
                      <w:sz w:val="17"/>
                      <w:szCs w:val="17"/>
                    </w:rPr>
                    <w:t>(</w:t>
                  </w:r>
                  <w:r>
                    <w:rPr>
                      <w:rFonts w:ascii="Times New Roman" w:hAnsi="Times New Roman" w:eastAsia="Times New Roman" w:cs="Times New Roman"/>
                      <w:position w:val="2"/>
                      <w:sz w:val="17"/>
                      <w:szCs w:val="17"/>
                    </w:rPr>
                    <w:t>mg</w:t>
                  </w:r>
                  <w:r>
                    <w:rPr>
                      <w:rFonts w:ascii="Times New Roman" w:hAnsi="Times New Roman" w:eastAsia="Times New Roman" w:cs="Times New Roman"/>
                      <w:spacing w:val="7"/>
                      <w:position w:val="2"/>
                      <w:sz w:val="17"/>
                      <w:szCs w:val="17"/>
                    </w:rPr>
                    <w:t>/</w:t>
                  </w:r>
                  <w:r>
                    <w:rPr>
                      <w:rFonts w:ascii="Times New Roman" w:hAnsi="Times New Roman" w:eastAsia="Times New Roman" w:cs="Times New Roman"/>
                      <w:position w:val="2"/>
                      <w:sz w:val="17"/>
                      <w:szCs w:val="17"/>
                    </w:rPr>
                    <w:t>L</w:t>
                  </w:r>
                  <w:r>
                    <w:rPr>
                      <w:rFonts w:ascii="宋体" w:hAnsi="宋体" w:eastAsia="宋体" w:cs="宋体"/>
                      <w:spacing w:val="7"/>
                      <w:position w:val="2"/>
                      <w:sz w:val="17"/>
                      <w:szCs w:val="17"/>
                    </w:rPr>
                    <w:t>)</w:t>
                  </w:r>
                </w:p>
              </w:tc>
              <w:tc>
                <w:tcPr>
                  <w:tcW w:w="1573" w:type="dxa"/>
                  <w:vAlign w:val="top"/>
                </w:tcPr>
                <w:p>
                  <w:pPr>
                    <w:spacing w:before="102" w:line="227" w:lineRule="exact"/>
                    <w:ind w:left="384"/>
                    <w:rPr>
                      <w:rFonts w:ascii="Times New Roman" w:hAnsi="Times New Roman" w:eastAsia="Times New Roman" w:cs="Times New Roman"/>
                      <w:sz w:val="17"/>
                      <w:szCs w:val="17"/>
                    </w:rPr>
                  </w:pPr>
                  <w:r>
                    <w:rPr>
                      <w:rFonts w:ascii="Times New Roman" w:hAnsi="Times New Roman" w:eastAsia="Times New Roman" w:cs="Times New Roman"/>
                      <w:spacing w:val="19"/>
                      <w:sz w:val="17"/>
                      <w:szCs w:val="17"/>
                    </w:rPr>
                    <w:t>7</w:t>
                  </w:r>
                  <w:r>
                    <w:rPr>
                      <w:rFonts w:ascii="Times New Roman" w:hAnsi="Times New Roman" w:eastAsia="Times New Roman" w:cs="Times New Roman"/>
                      <w:spacing w:val="13"/>
                      <w:sz w:val="17"/>
                      <w:szCs w:val="17"/>
                    </w:rPr>
                    <w:t>.34</w:t>
                  </w:r>
                  <w:r>
                    <w:rPr>
                      <w:rFonts w:ascii="宋体" w:hAnsi="宋体" w:eastAsia="宋体" w:cs="宋体"/>
                      <w:spacing w:val="13"/>
                      <w:sz w:val="17"/>
                      <w:szCs w:val="17"/>
                    </w:rPr>
                    <w:t>~</w:t>
                  </w:r>
                  <w:r>
                    <w:rPr>
                      <w:rFonts w:ascii="Times New Roman" w:hAnsi="Times New Roman" w:eastAsia="Times New Roman" w:cs="Times New Roman"/>
                      <w:spacing w:val="13"/>
                      <w:sz w:val="17"/>
                      <w:szCs w:val="17"/>
                    </w:rPr>
                    <w:t>7.30</w:t>
                  </w:r>
                </w:p>
              </w:tc>
              <w:tc>
                <w:tcPr>
                  <w:tcW w:w="1686" w:type="dxa"/>
                  <w:vAlign w:val="top"/>
                </w:tcPr>
                <w:p>
                  <w:pPr>
                    <w:spacing w:before="102" w:line="227" w:lineRule="exact"/>
                    <w:ind w:left="441"/>
                    <w:rPr>
                      <w:rFonts w:ascii="Times New Roman" w:hAnsi="Times New Roman" w:eastAsia="Times New Roman" w:cs="Times New Roman"/>
                      <w:sz w:val="17"/>
                      <w:szCs w:val="17"/>
                    </w:rPr>
                  </w:pPr>
                  <w:r>
                    <w:rPr>
                      <w:rFonts w:ascii="Times New Roman" w:hAnsi="Times New Roman" w:eastAsia="Times New Roman" w:cs="Times New Roman"/>
                      <w:spacing w:val="11"/>
                      <w:sz w:val="17"/>
                      <w:szCs w:val="17"/>
                    </w:rPr>
                    <w:t>7</w:t>
                  </w:r>
                  <w:r>
                    <w:rPr>
                      <w:rFonts w:ascii="Times New Roman" w:hAnsi="Times New Roman" w:eastAsia="Times New Roman" w:cs="Times New Roman"/>
                      <w:spacing w:val="8"/>
                      <w:sz w:val="17"/>
                      <w:szCs w:val="17"/>
                    </w:rPr>
                    <w:t>.30</w:t>
                  </w:r>
                  <w:r>
                    <w:rPr>
                      <w:rFonts w:ascii="宋体" w:hAnsi="宋体" w:eastAsia="宋体" w:cs="宋体"/>
                      <w:spacing w:val="8"/>
                      <w:sz w:val="17"/>
                      <w:szCs w:val="17"/>
                    </w:rPr>
                    <w:t>~</w:t>
                  </w:r>
                  <w:r>
                    <w:rPr>
                      <w:rFonts w:ascii="Times New Roman" w:hAnsi="Times New Roman" w:eastAsia="Times New Roman" w:cs="Times New Roman"/>
                      <w:spacing w:val="8"/>
                      <w:sz w:val="17"/>
                      <w:szCs w:val="17"/>
                    </w:rPr>
                    <w:t>4. 15</w:t>
                  </w:r>
                </w:p>
              </w:tc>
              <w:tc>
                <w:tcPr>
                  <w:tcW w:w="1687" w:type="dxa"/>
                  <w:vAlign w:val="top"/>
                </w:tcPr>
                <w:p>
                  <w:pPr>
                    <w:spacing w:before="102" w:line="227" w:lineRule="exact"/>
                    <w:ind w:left="441"/>
                    <w:rPr>
                      <w:rFonts w:ascii="Times New Roman" w:hAnsi="Times New Roman" w:eastAsia="Times New Roman" w:cs="Times New Roman"/>
                      <w:sz w:val="17"/>
                      <w:szCs w:val="17"/>
                    </w:rPr>
                  </w:pPr>
                  <w:r>
                    <w:rPr>
                      <w:rFonts w:ascii="Times New Roman" w:hAnsi="Times New Roman" w:eastAsia="Times New Roman" w:cs="Times New Roman"/>
                      <w:spacing w:val="12"/>
                      <w:sz w:val="17"/>
                      <w:szCs w:val="17"/>
                    </w:rPr>
                    <w:t>4</w:t>
                  </w:r>
                  <w:r>
                    <w:rPr>
                      <w:rFonts w:ascii="Times New Roman" w:hAnsi="Times New Roman" w:eastAsia="Times New Roman" w:cs="Times New Roman"/>
                      <w:spacing w:val="8"/>
                      <w:sz w:val="17"/>
                      <w:szCs w:val="17"/>
                    </w:rPr>
                    <w:t>. 15</w:t>
                  </w:r>
                  <w:r>
                    <w:rPr>
                      <w:rFonts w:ascii="宋体" w:hAnsi="宋体" w:eastAsia="宋体" w:cs="宋体"/>
                      <w:spacing w:val="8"/>
                      <w:sz w:val="17"/>
                      <w:szCs w:val="17"/>
                    </w:rPr>
                    <w:t>~</w:t>
                  </w:r>
                  <w:r>
                    <w:rPr>
                      <w:rFonts w:ascii="Times New Roman" w:hAnsi="Times New Roman" w:eastAsia="Times New Roman" w:cs="Times New Roman"/>
                      <w:spacing w:val="8"/>
                      <w:sz w:val="17"/>
                      <w:szCs w:val="17"/>
                    </w:rPr>
                    <w:t>1.26</w:t>
                  </w:r>
                </w:p>
              </w:tc>
              <w:tc>
                <w:tcPr>
                  <w:tcW w:w="1001" w:type="dxa"/>
                  <w:vAlign w:val="top"/>
                </w:tcPr>
                <w:p>
                  <w:pPr>
                    <w:spacing w:before="133" w:line="197" w:lineRule="auto"/>
                    <w:ind w:left="348"/>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795" w:type="dxa"/>
                  <w:vAlign w:val="top"/>
                </w:tcPr>
                <w:p>
                  <w:pPr>
                    <w:spacing w:before="69" w:line="242" w:lineRule="exact"/>
                    <w:ind w:left="278"/>
                    <w:rPr>
                      <w:rFonts w:ascii="宋体" w:hAnsi="宋体" w:eastAsia="宋体" w:cs="宋体"/>
                      <w:sz w:val="17"/>
                      <w:szCs w:val="17"/>
                    </w:rPr>
                  </w:pPr>
                  <w:r>
                    <w:rPr>
                      <w:rFonts w:ascii="Times New Roman" w:hAnsi="Times New Roman" w:eastAsia="Times New Roman" w:cs="Times New Roman"/>
                      <w:position w:val="2"/>
                      <w:sz w:val="17"/>
                      <w:szCs w:val="17"/>
                    </w:rPr>
                    <w:t>COD</w:t>
                  </w:r>
                  <w:r>
                    <w:rPr>
                      <w:rFonts w:ascii="Times New Roman" w:hAnsi="Times New Roman" w:eastAsia="Times New Roman" w:cs="Times New Roman"/>
                      <w:position w:val="1"/>
                      <w:sz w:val="11"/>
                      <w:szCs w:val="11"/>
                    </w:rPr>
                    <w:t>Cr</w:t>
                  </w:r>
                  <w:r>
                    <w:rPr>
                      <w:rFonts w:ascii="Times New Roman" w:hAnsi="Times New Roman" w:eastAsia="Times New Roman" w:cs="Times New Roman"/>
                      <w:spacing w:val="9"/>
                      <w:position w:val="1"/>
                      <w:sz w:val="11"/>
                      <w:szCs w:val="11"/>
                    </w:rPr>
                    <w:t xml:space="preserve">   </w:t>
                  </w:r>
                  <w:r>
                    <w:rPr>
                      <w:rFonts w:ascii="宋体" w:hAnsi="宋体" w:eastAsia="宋体" w:cs="宋体"/>
                      <w:spacing w:val="9"/>
                      <w:position w:val="2"/>
                      <w:sz w:val="17"/>
                      <w:szCs w:val="17"/>
                    </w:rPr>
                    <w:t>(</w:t>
                  </w:r>
                  <w:r>
                    <w:rPr>
                      <w:rFonts w:ascii="Times New Roman" w:hAnsi="Times New Roman" w:eastAsia="Times New Roman" w:cs="Times New Roman"/>
                      <w:position w:val="2"/>
                      <w:sz w:val="17"/>
                      <w:szCs w:val="17"/>
                    </w:rPr>
                    <w:t>mg</w:t>
                  </w:r>
                  <w:r>
                    <w:rPr>
                      <w:rFonts w:ascii="Times New Roman" w:hAnsi="Times New Roman" w:eastAsia="Times New Roman" w:cs="Times New Roman"/>
                      <w:spacing w:val="9"/>
                      <w:position w:val="2"/>
                      <w:sz w:val="17"/>
                      <w:szCs w:val="17"/>
                    </w:rPr>
                    <w:t>/</w:t>
                  </w:r>
                  <w:r>
                    <w:rPr>
                      <w:rFonts w:ascii="Times New Roman" w:hAnsi="Times New Roman" w:eastAsia="Times New Roman" w:cs="Times New Roman"/>
                      <w:position w:val="2"/>
                      <w:sz w:val="17"/>
                      <w:szCs w:val="17"/>
                    </w:rPr>
                    <w:t>L</w:t>
                  </w:r>
                  <w:r>
                    <w:rPr>
                      <w:rFonts w:ascii="宋体" w:hAnsi="宋体" w:eastAsia="宋体" w:cs="宋体"/>
                      <w:spacing w:val="8"/>
                      <w:position w:val="2"/>
                      <w:sz w:val="17"/>
                      <w:szCs w:val="17"/>
                    </w:rPr>
                    <w:t>)</w:t>
                  </w:r>
                </w:p>
              </w:tc>
              <w:tc>
                <w:tcPr>
                  <w:tcW w:w="1573" w:type="dxa"/>
                  <w:vAlign w:val="top"/>
                </w:tcPr>
                <w:p>
                  <w:pPr>
                    <w:spacing w:before="133" w:line="197" w:lineRule="auto"/>
                    <w:ind w:left="33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 xml:space="preserve">200.5~ </w:t>
                  </w:r>
                  <w:r>
                    <w:rPr>
                      <w:rFonts w:ascii="Times New Roman" w:hAnsi="Times New Roman" w:eastAsia="Times New Roman" w:cs="Times New Roman"/>
                      <w:sz w:val="17"/>
                      <w:szCs w:val="17"/>
                    </w:rPr>
                    <w:t>150.3</w:t>
                  </w:r>
                </w:p>
              </w:tc>
              <w:tc>
                <w:tcPr>
                  <w:tcW w:w="1686" w:type="dxa"/>
                  <w:vAlign w:val="top"/>
                </w:tcPr>
                <w:p>
                  <w:pPr>
                    <w:spacing w:before="133" w:line="197" w:lineRule="auto"/>
                    <w:ind w:left="453"/>
                    <w:rPr>
                      <w:rFonts w:ascii="Times New Roman" w:hAnsi="Times New Roman" w:eastAsia="Times New Roman" w:cs="Times New Roman"/>
                      <w:sz w:val="17"/>
                      <w:szCs w:val="17"/>
                    </w:rPr>
                  </w:pPr>
                  <w:r>
                    <w:rPr>
                      <w:rFonts w:ascii="Times New Roman" w:hAnsi="Times New Roman" w:eastAsia="Times New Roman" w:cs="Times New Roman"/>
                      <w:sz w:val="17"/>
                      <w:szCs w:val="17"/>
                    </w:rPr>
                    <w:t>150.3~80. 1</w:t>
                  </w:r>
                </w:p>
              </w:tc>
              <w:tc>
                <w:tcPr>
                  <w:tcW w:w="1687" w:type="dxa"/>
                  <w:vAlign w:val="top"/>
                </w:tcPr>
                <w:p>
                  <w:pPr>
                    <w:spacing w:before="133" w:line="197" w:lineRule="auto"/>
                    <w:ind w:left="49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80. 1~30.6</w:t>
                  </w:r>
                </w:p>
              </w:tc>
              <w:tc>
                <w:tcPr>
                  <w:tcW w:w="1001" w:type="dxa"/>
                  <w:vAlign w:val="top"/>
                </w:tcPr>
                <w:p>
                  <w:pPr>
                    <w:spacing w:before="133" w:line="197" w:lineRule="auto"/>
                    <w:ind w:left="343"/>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795" w:type="dxa"/>
                  <w:vAlign w:val="top"/>
                </w:tcPr>
                <w:p>
                  <w:pPr>
                    <w:spacing w:before="76" w:line="243" w:lineRule="exact"/>
                    <w:ind w:left="258"/>
                    <w:rPr>
                      <w:rFonts w:ascii="宋体" w:hAnsi="宋体" w:eastAsia="宋体" w:cs="宋体"/>
                      <w:sz w:val="17"/>
                      <w:szCs w:val="17"/>
                    </w:rPr>
                  </w:pPr>
                  <w:r>
                    <w:rPr>
                      <w:rFonts w:ascii="宋体" w:hAnsi="宋体" w:eastAsia="宋体" w:cs="宋体"/>
                      <w:spacing w:val="10"/>
                      <w:position w:val="2"/>
                      <w:sz w:val="17"/>
                      <w:szCs w:val="17"/>
                    </w:rPr>
                    <w:t>石</w:t>
                  </w:r>
                  <w:r>
                    <w:rPr>
                      <w:rFonts w:ascii="宋体" w:hAnsi="宋体" w:eastAsia="宋体" w:cs="宋体"/>
                      <w:spacing w:val="7"/>
                      <w:position w:val="2"/>
                      <w:sz w:val="17"/>
                      <w:szCs w:val="17"/>
                    </w:rPr>
                    <w:t>油类 (</w:t>
                  </w:r>
                  <w:r>
                    <w:rPr>
                      <w:rFonts w:ascii="Times New Roman" w:hAnsi="Times New Roman" w:eastAsia="Times New Roman" w:cs="Times New Roman"/>
                      <w:position w:val="2"/>
                      <w:sz w:val="17"/>
                      <w:szCs w:val="17"/>
                    </w:rPr>
                    <w:t>mg</w:t>
                  </w:r>
                  <w:r>
                    <w:rPr>
                      <w:rFonts w:ascii="Times New Roman" w:hAnsi="Times New Roman" w:eastAsia="Times New Roman" w:cs="Times New Roman"/>
                      <w:spacing w:val="7"/>
                      <w:position w:val="2"/>
                      <w:sz w:val="17"/>
                      <w:szCs w:val="17"/>
                    </w:rPr>
                    <w:t>/</w:t>
                  </w:r>
                  <w:r>
                    <w:rPr>
                      <w:rFonts w:ascii="Times New Roman" w:hAnsi="Times New Roman" w:eastAsia="Times New Roman" w:cs="Times New Roman"/>
                      <w:position w:val="2"/>
                      <w:sz w:val="17"/>
                      <w:szCs w:val="17"/>
                    </w:rPr>
                    <w:t>L</w:t>
                  </w:r>
                  <w:r>
                    <w:rPr>
                      <w:rFonts w:ascii="宋体" w:hAnsi="宋体" w:eastAsia="宋体" w:cs="宋体"/>
                      <w:spacing w:val="7"/>
                      <w:position w:val="2"/>
                      <w:sz w:val="17"/>
                      <w:szCs w:val="17"/>
                    </w:rPr>
                    <w:t>)</w:t>
                  </w:r>
                </w:p>
              </w:tc>
              <w:tc>
                <w:tcPr>
                  <w:tcW w:w="1573" w:type="dxa"/>
                  <w:vAlign w:val="top"/>
                </w:tcPr>
                <w:p>
                  <w:pPr>
                    <w:spacing w:before="109" w:line="227" w:lineRule="exact"/>
                    <w:ind w:left="293"/>
                    <w:rPr>
                      <w:rFonts w:ascii="Times New Roman" w:hAnsi="Times New Roman" w:eastAsia="Times New Roman" w:cs="Times New Roman"/>
                      <w:sz w:val="17"/>
                      <w:szCs w:val="17"/>
                    </w:rPr>
                  </w:pPr>
                  <w:r>
                    <w:rPr>
                      <w:rFonts w:ascii="Times New Roman" w:hAnsi="Times New Roman" w:eastAsia="Times New Roman" w:cs="Times New Roman"/>
                      <w:spacing w:val="16"/>
                      <w:sz w:val="17"/>
                      <w:szCs w:val="17"/>
                    </w:rPr>
                    <w:t>2</w:t>
                  </w:r>
                  <w:r>
                    <w:rPr>
                      <w:rFonts w:ascii="Times New Roman" w:hAnsi="Times New Roman" w:eastAsia="Times New Roman" w:cs="Times New Roman"/>
                      <w:spacing w:val="12"/>
                      <w:sz w:val="17"/>
                      <w:szCs w:val="17"/>
                    </w:rPr>
                    <w:t>2.30</w:t>
                  </w:r>
                  <w:r>
                    <w:rPr>
                      <w:rFonts w:ascii="宋体" w:hAnsi="宋体" w:eastAsia="宋体" w:cs="宋体"/>
                      <w:spacing w:val="12"/>
                      <w:sz w:val="17"/>
                      <w:szCs w:val="17"/>
                    </w:rPr>
                    <w:t>~</w:t>
                  </w:r>
                  <w:r>
                    <w:rPr>
                      <w:rFonts w:ascii="Times New Roman" w:hAnsi="Times New Roman" w:eastAsia="Times New Roman" w:cs="Times New Roman"/>
                      <w:spacing w:val="12"/>
                      <w:sz w:val="17"/>
                      <w:szCs w:val="17"/>
                    </w:rPr>
                    <w:t>19.74</w:t>
                  </w:r>
                </w:p>
              </w:tc>
              <w:tc>
                <w:tcPr>
                  <w:tcW w:w="1686" w:type="dxa"/>
                  <w:vAlign w:val="top"/>
                </w:tcPr>
                <w:p>
                  <w:pPr>
                    <w:spacing w:before="109" w:line="227" w:lineRule="exact"/>
                    <w:ind w:left="412"/>
                    <w:rPr>
                      <w:rFonts w:ascii="Times New Roman" w:hAnsi="Times New Roman" w:eastAsia="Times New Roman" w:cs="Times New Roman"/>
                      <w:sz w:val="17"/>
                      <w:szCs w:val="17"/>
                    </w:rPr>
                  </w:pPr>
                  <w:r>
                    <w:rPr>
                      <w:rFonts w:ascii="Times New Roman" w:hAnsi="Times New Roman" w:eastAsia="Times New Roman" w:cs="Times New Roman"/>
                      <w:spacing w:val="10"/>
                      <w:sz w:val="17"/>
                      <w:szCs w:val="17"/>
                    </w:rPr>
                    <w:t>1</w:t>
                  </w:r>
                  <w:r>
                    <w:rPr>
                      <w:rFonts w:ascii="Times New Roman" w:hAnsi="Times New Roman" w:eastAsia="Times New Roman" w:cs="Times New Roman"/>
                      <w:spacing w:val="6"/>
                      <w:sz w:val="17"/>
                      <w:szCs w:val="17"/>
                    </w:rPr>
                    <w:t>9.74</w:t>
                  </w:r>
                  <w:r>
                    <w:rPr>
                      <w:rFonts w:ascii="宋体" w:hAnsi="宋体" w:eastAsia="宋体" w:cs="宋体"/>
                      <w:spacing w:val="6"/>
                      <w:sz w:val="17"/>
                      <w:szCs w:val="17"/>
                    </w:rPr>
                    <w:t>~</w:t>
                  </w:r>
                  <w:r>
                    <w:rPr>
                      <w:rFonts w:ascii="Times New Roman" w:hAnsi="Times New Roman" w:eastAsia="Times New Roman" w:cs="Times New Roman"/>
                      <w:spacing w:val="6"/>
                      <w:sz w:val="17"/>
                      <w:szCs w:val="17"/>
                    </w:rPr>
                    <w:t>3. 12</w:t>
                  </w:r>
                </w:p>
              </w:tc>
              <w:tc>
                <w:tcPr>
                  <w:tcW w:w="1687" w:type="dxa"/>
                  <w:vAlign w:val="top"/>
                </w:tcPr>
                <w:p>
                  <w:pPr>
                    <w:spacing w:before="109" w:line="227" w:lineRule="exact"/>
                    <w:ind w:left="445"/>
                    <w:rPr>
                      <w:rFonts w:ascii="Times New Roman" w:hAnsi="Times New Roman" w:eastAsia="Times New Roman" w:cs="Times New Roman"/>
                      <w:sz w:val="17"/>
                      <w:szCs w:val="17"/>
                    </w:rPr>
                  </w:pPr>
                  <w:r>
                    <w:rPr>
                      <w:rFonts w:ascii="Times New Roman" w:hAnsi="Times New Roman" w:eastAsia="Times New Roman" w:cs="Times New Roman"/>
                      <w:spacing w:val="8"/>
                      <w:sz w:val="17"/>
                      <w:szCs w:val="17"/>
                    </w:rPr>
                    <w:t>3. 12</w:t>
                  </w:r>
                  <w:r>
                    <w:rPr>
                      <w:rFonts w:ascii="宋体" w:hAnsi="宋体" w:eastAsia="宋体" w:cs="宋体"/>
                      <w:spacing w:val="8"/>
                      <w:sz w:val="17"/>
                      <w:szCs w:val="17"/>
                    </w:rPr>
                    <w:t>~</w:t>
                  </w:r>
                  <w:r>
                    <w:rPr>
                      <w:rFonts w:ascii="Times New Roman" w:hAnsi="Times New Roman" w:eastAsia="Times New Roman" w:cs="Times New Roman"/>
                      <w:spacing w:val="8"/>
                      <w:sz w:val="17"/>
                      <w:szCs w:val="17"/>
                    </w:rPr>
                    <w:t>0.21</w:t>
                  </w:r>
                </w:p>
              </w:tc>
              <w:tc>
                <w:tcPr>
                  <w:tcW w:w="1001" w:type="dxa"/>
                  <w:vAlign w:val="top"/>
                </w:tcPr>
                <w:p>
                  <w:pPr>
                    <w:spacing w:before="140" w:line="200" w:lineRule="auto"/>
                    <w:ind w:left="32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11.2</w:t>
                  </w:r>
                  <w:r>
                    <w:rPr>
                      <w:rFonts w:ascii="Times New Roman" w:hAnsi="Times New Roman" w:eastAsia="Times New Roman" w:cs="Times New Roman"/>
                      <w:sz w:val="17"/>
                      <w:szCs w:val="17"/>
                    </w:rPr>
                    <w:t>5</w:t>
                  </w:r>
                </w:p>
              </w:tc>
            </w:tr>
          </w:tbl>
          <w:p>
            <w:pPr>
              <w:spacing w:before="142" w:line="369" w:lineRule="auto"/>
              <w:ind w:left="75" w:firstLine="426"/>
              <w:rPr>
                <w:rFonts w:ascii="宋体" w:hAnsi="宋体" w:eastAsia="宋体" w:cs="宋体"/>
                <w:sz w:val="20"/>
                <w:szCs w:val="20"/>
              </w:rPr>
            </w:pPr>
            <w:r>
              <w:rPr>
                <w:rFonts w:ascii="宋体" w:hAnsi="宋体" w:eastAsia="宋体" w:cs="宋体"/>
                <w:spacing w:val="6"/>
                <w:sz w:val="20"/>
                <w:szCs w:val="20"/>
              </w:rPr>
              <w:t xml:space="preserve">降雨初期到形成路面径流的 </w:t>
            </w:r>
            <w:r>
              <w:rPr>
                <w:rFonts w:ascii="Times New Roman" w:hAnsi="Times New Roman" w:eastAsia="Times New Roman" w:cs="Times New Roman"/>
                <w:spacing w:val="6"/>
                <w:sz w:val="20"/>
                <w:szCs w:val="20"/>
              </w:rPr>
              <w:t xml:space="preserve">30 </w:t>
            </w:r>
            <w:r>
              <w:rPr>
                <w:rFonts w:ascii="宋体" w:hAnsi="宋体" w:eastAsia="宋体" w:cs="宋体"/>
                <w:spacing w:val="6"/>
                <w:sz w:val="20"/>
                <w:szCs w:val="20"/>
              </w:rPr>
              <w:t>分钟内，雨水中的悬浮物和石油类物质的浓度比较高，</w:t>
            </w:r>
            <w:r>
              <w:rPr>
                <w:rFonts w:ascii="宋体" w:hAnsi="宋体" w:eastAsia="宋体" w:cs="宋体"/>
                <w:sz w:val="20"/>
                <w:szCs w:val="20"/>
              </w:rPr>
              <w:t xml:space="preserve"> </w:t>
            </w:r>
            <w:r>
              <w:rPr>
                <w:rFonts w:ascii="Times New Roman" w:hAnsi="Times New Roman" w:eastAsia="Times New Roman" w:cs="Times New Roman"/>
                <w:spacing w:val="12"/>
                <w:sz w:val="20"/>
                <w:szCs w:val="20"/>
              </w:rPr>
              <w:t>30</w:t>
            </w:r>
            <w:r>
              <w:rPr>
                <w:rFonts w:ascii="Times New Roman" w:hAnsi="Times New Roman" w:eastAsia="Times New Roman" w:cs="Times New Roman"/>
                <w:spacing w:val="8"/>
                <w:sz w:val="20"/>
                <w:szCs w:val="20"/>
              </w:rPr>
              <w:t xml:space="preserve"> </w:t>
            </w:r>
            <w:r>
              <w:rPr>
                <w:rFonts w:ascii="宋体" w:hAnsi="宋体" w:eastAsia="宋体" w:cs="宋体"/>
                <w:spacing w:val="6"/>
                <w:sz w:val="20"/>
                <w:szCs w:val="20"/>
              </w:rPr>
              <w:t xml:space="preserve">分钟以后其浓度随降雨历时的延长下降较快，雨水中 </w:t>
            </w:r>
            <w:r>
              <w:rPr>
                <w:rFonts w:ascii="Times New Roman" w:hAnsi="Times New Roman" w:eastAsia="Times New Roman" w:cs="Times New Roman"/>
                <w:sz w:val="20"/>
                <w:szCs w:val="20"/>
              </w:rPr>
              <w:t>BOD</w:t>
            </w:r>
            <w:r>
              <w:rPr>
                <w:rFonts w:ascii="Times New Roman" w:hAnsi="Times New Roman" w:eastAsia="Times New Roman" w:cs="Times New Roman"/>
                <w:spacing w:val="6"/>
                <w:position w:val="-1"/>
                <w:sz w:val="13"/>
                <w:szCs w:val="13"/>
              </w:rPr>
              <w:t xml:space="preserve">5 </w:t>
            </w:r>
            <w:r>
              <w:rPr>
                <w:rFonts w:ascii="宋体" w:hAnsi="宋体" w:eastAsia="宋体" w:cs="宋体"/>
                <w:spacing w:val="6"/>
                <w:sz w:val="20"/>
                <w:szCs w:val="20"/>
              </w:rPr>
              <w:t>随降雨历时的延长下降速度</w:t>
            </w:r>
            <w:r>
              <w:rPr>
                <w:rFonts w:ascii="宋体" w:hAnsi="宋体" w:eastAsia="宋体" w:cs="宋体"/>
                <w:sz w:val="20"/>
                <w:szCs w:val="20"/>
              </w:rPr>
              <w:t xml:space="preserve"> </w:t>
            </w:r>
            <w:r>
              <w:rPr>
                <w:rFonts w:ascii="宋体" w:hAnsi="宋体" w:eastAsia="宋体" w:cs="宋体"/>
                <w:spacing w:val="14"/>
                <w:sz w:val="20"/>
                <w:szCs w:val="20"/>
              </w:rPr>
              <w:t>稍慢，</w:t>
            </w:r>
            <w:r>
              <w:rPr>
                <w:rFonts w:ascii="Times New Roman" w:hAnsi="Times New Roman" w:eastAsia="Times New Roman" w:cs="Times New Roman"/>
                <w:sz w:val="20"/>
                <w:szCs w:val="20"/>
              </w:rPr>
              <w:t>pH</w:t>
            </w:r>
            <w:r>
              <w:rPr>
                <w:rFonts w:ascii="Times New Roman" w:hAnsi="Times New Roman" w:eastAsia="Times New Roman" w:cs="Times New Roman"/>
                <w:spacing w:val="12"/>
                <w:sz w:val="20"/>
                <w:szCs w:val="20"/>
              </w:rPr>
              <w:t xml:space="preserve"> </w:t>
            </w:r>
            <w:r>
              <w:rPr>
                <w:rFonts w:ascii="宋体" w:hAnsi="宋体" w:eastAsia="宋体" w:cs="宋体"/>
                <w:spacing w:val="7"/>
                <w:sz w:val="20"/>
                <w:szCs w:val="20"/>
              </w:rPr>
              <w:t xml:space="preserve">值相对较稳定，降雨历时 </w:t>
            </w:r>
            <w:r>
              <w:rPr>
                <w:rFonts w:ascii="Times New Roman" w:hAnsi="Times New Roman" w:eastAsia="Times New Roman" w:cs="Times New Roman"/>
                <w:spacing w:val="7"/>
                <w:sz w:val="20"/>
                <w:szCs w:val="20"/>
              </w:rPr>
              <w:t xml:space="preserve">40 </w:t>
            </w:r>
            <w:r>
              <w:rPr>
                <w:rFonts w:ascii="宋体" w:hAnsi="宋体" w:eastAsia="宋体" w:cs="宋体"/>
                <w:spacing w:val="7"/>
                <w:sz w:val="20"/>
                <w:szCs w:val="20"/>
              </w:rPr>
              <w:t xml:space="preserve">分钟后，路面基本被冲洗干净。路面径流中 </w:t>
            </w:r>
            <w:r>
              <w:rPr>
                <w:rFonts w:ascii="Times New Roman" w:hAnsi="Times New Roman" w:eastAsia="Times New Roman" w:cs="Times New Roman"/>
                <w:sz w:val="20"/>
                <w:szCs w:val="20"/>
              </w:rPr>
              <w:t>SS</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浓</w:t>
            </w:r>
            <w:r>
              <w:rPr>
                <w:rFonts w:ascii="宋体" w:hAnsi="宋体" w:eastAsia="宋体" w:cs="宋体"/>
                <w:sz w:val="20"/>
                <w:szCs w:val="20"/>
              </w:rPr>
              <w:t xml:space="preserve"> </w:t>
            </w:r>
            <w:r>
              <w:rPr>
                <w:rFonts w:ascii="宋体" w:hAnsi="宋体" w:eastAsia="宋体" w:cs="宋体"/>
                <w:spacing w:val="3"/>
                <w:sz w:val="20"/>
                <w:szCs w:val="20"/>
              </w:rPr>
              <w:t>度相对稳定在较低水平，达到《污水综合排放标准》中的一级标准。在实际过程中，路(</w:t>
            </w:r>
            <w:r>
              <w:rPr>
                <w:rFonts w:ascii="宋体" w:hAnsi="宋体" w:eastAsia="宋体" w:cs="宋体"/>
                <w:sz w:val="20"/>
                <w:szCs w:val="20"/>
              </w:rPr>
              <w:t xml:space="preserve">桥) </w:t>
            </w:r>
            <w:r>
              <w:rPr>
                <w:rFonts w:ascii="宋体" w:hAnsi="宋体" w:eastAsia="宋体" w:cs="宋体"/>
                <w:spacing w:val="16"/>
                <w:sz w:val="20"/>
                <w:szCs w:val="20"/>
              </w:rPr>
              <w:t>面径流</w:t>
            </w:r>
            <w:r>
              <w:rPr>
                <w:rFonts w:ascii="宋体" w:hAnsi="宋体" w:eastAsia="宋体" w:cs="宋体"/>
                <w:spacing w:val="13"/>
                <w:sz w:val="20"/>
                <w:szCs w:val="20"/>
              </w:rPr>
              <w:t xml:space="preserve"> </w:t>
            </w:r>
            <w:r>
              <w:rPr>
                <w:rFonts w:ascii="Times New Roman" w:hAnsi="Times New Roman" w:eastAsia="Times New Roman" w:cs="Times New Roman"/>
                <w:sz w:val="20"/>
                <w:szCs w:val="20"/>
              </w:rPr>
              <w:t>SS</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和油类物质浓度超标只是一个瞬时值，路 (桥) 面径流在通过路面横坡自然散</w:t>
            </w:r>
            <w:r>
              <w:rPr>
                <w:rFonts w:ascii="宋体" w:hAnsi="宋体" w:eastAsia="宋体" w:cs="宋体"/>
                <w:sz w:val="20"/>
                <w:szCs w:val="20"/>
              </w:rPr>
              <w:t xml:space="preserve"> </w:t>
            </w:r>
            <w:r>
              <w:rPr>
                <w:rFonts w:ascii="宋体" w:hAnsi="宋体" w:eastAsia="宋体" w:cs="宋体"/>
                <w:spacing w:val="16"/>
                <w:sz w:val="20"/>
                <w:szCs w:val="20"/>
              </w:rPr>
              <w:t>排、</w:t>
            </w:r>
            <w:r>
              <w:rPr>
                <w:rFonts w:ascii="宋体" w:hAnsi="宋体" w:eastAsia="宋体" w:cs="宋体"/>
                <w:spacing w:val="10"/>
                <w:sz w:val="20"/>
                <w:szCs w:val="20"/>
              </w:rPr>
              <w:t>漫</w:t>
            </w:r>
            <w:r>
              <w:rPr>
                <w:rFonts w:ascii="宋体" w:hAnsi="宋体" w:eastAsia="宋体" w:cs="宋体"/>
                <w:spacing w:val="8"/>
                <w:sz w:val="20"/>
                <w:szCs w:val="20"/>
              </w:rPr>
              <w:t>流至排水沟或边沟中，或通过边坡集槽集中排入排水沟的过程伴随着降水稀释、泥</w:t>
            </w:r>
            <w:r>
              <w:rPr>
                <w:rFonts w:ascii="宋体" w:hAnsi="宋体" w:eastAsia="宋体" w:cs="宋体"/>
                <w:sz w:val="20"/>
                <w:szCs w:val="20"/>
              </w:rPr>
              <w:t xml:space="preserve"> </w:t>
            </w:r>
            <w:r>
              <w:rPr>
                <w:rFonts w:ascii="宋体" w:hAnsi="宋体" w:eastAsia="宋体" w:cs="宋体"/>
                <w:spacing w:val="10"/>
                <w:sz w:val="20"/>
                <w:szCs w:val="20"/>
              </w:rPr>
              <w:t>沙</w:t>
            </w:r>
            <w:r>
              <w:rPr>
                <w:rFonts w:ascii="宋体" w:hAnsi="宋体" w:eastAsia="宋体" w:cs="宋体"/>
                <w:spacing w:val="8"/>
                <w:sz w:val="20"/>
                <w:szCs w:val="20"/>
              </w:rPr>
              <w:t>对污染物的吸附、泥沙沉降等各种作用，路 (桥) 面径流中的污染物到达水体时浓度已</w:t>
            </w:r>
            <w:r>
              <w:rPr>
                <w:rFonts w:ascii="宋体" w:hAnsi="宋体" w:eastAsia="宋体" w:cs="宋体"/>
                <w:sz w:val="20"/>
                <w:szCs w:val="20"/>
              </w:rPr>
              <w:t xml:space="preserve"> </w:t>
            </w:r>
            <w:r>
              <w:rPr>
                <w:rFonts w:ascii="宋体" w:hAnsi="宋体" w:eastAsia="宋体" w:cs="宋体"/>
                <w:spacing w:val="8"/>
                <w:sz w:val="20"/>
                <w:szCs w:val="20"/>
              </w:rPr>
              <w:t>大</w:t>
            </w:r>
            <w:r>
              <w:rPr>
                <w:rFonts w:ascii="宋体" w:hAnsi="宋体" w:eastAsia="宋体" w:cs="宋体"/>
                <w:spacing w:val="5"/>
                <w:sz w:val="20"/>
                <w:szCs w:val="20"/>
              </w:rPr>
              <w:t>大降低。</w:t>
            </w:r>
          </w:p>
          <w:p>
            <w:pPr>
              <w:spacing w:before="1" w:line="214" w:lineRule="auto"/>
              <w:ind w:left="108"/>
              <w:rPr>
                <w:rFonts w:ascii="黑体" w:hAnsi="黑体" w:eastAsia="黑体" w:cs="黑体"/>
                <w:sz w:val="20"/>
                <w:szCs w:val="20"/>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9"/>
                <w:sz w:val="22"/>
                <w:szCs w:val="22"/>
              </w:rPr>
              <w:t xml:space="preserve"> </w:t>
            </w:r>
            <w:r>
              <w:rPr>
                <w:rFonts w:ascii="黑体" w:hAnsi="黑体" w:eastAsia="黑体" w:cs="黑体"/>
                <w:spacing w:val="-9"/>
                <w:sz w:val="22"/>
                <w:szCs w:val="22"/>
              </w:rPr>
              <w:t>、</w:t>
            </w:r>
            <w:r>
              <w:rPr>
                <w:rFonts w:ascii="黑体" w:hAnsi="黑体" w:eastAsia="黑体" w:cs="黑体"/>
                <w:spacing w:val="-9"/>
                <w:sz w:val="20"/>
                <w:szCs w:val="20"/>
              </w:rPr>
              <w:t>噪声</w:t>
            </w:r>
          </w:p>
          <w:p>
            <w:pPr>
              <w:spacing w:before="145" w:line="369" w:lineRule="auto"/>
              <w:ind w:left="76" w:right="1" w:firstLine="413"/>
              <w:rPr>
                <w:rFonts w:ascii="宋体" w:hAnsi="宋体" w:eastAsia="宋体" w:cs="宋体"/>
                <w:sz w:val="20"/>
                <w:szCs w:val="20"/>
              </w:rPr>
            </w:pPr>
            <w:r>
              <w:rPr>
                <w:rFonts w:ascii="宋体" w:hAnsi="宋体" w:eastAsia="宋体" w:cs="宋体"/>
                <w:spacing w:val="10"/>
                <w:sz w:val="20"/>
                <w:szCs w:val="20"/>
              </w:rPr>
              <w:t>项目</w:t>
            </w:r>
            <w:r>
              <w:rPr>
                <w:rFonts w:ascii="宋体" w:hAnsi="宋体" w:eastAsia="宋体" w:cs="宋体"/>
                <w:spacing w:val="6"/>
                <w:sz w:val="20"/>
                <w:szCs w:val="20"/>
              </w:rPr>
              <w:t>营</w:t>
            </w:r>
            <w:r>
              <w:rPr>
                <w:rFonts w:ascii="宋体" w:hAnsi="宋体" w:eastAsia="宋体" w:cs="宋体"/>
                <w:spacing w:val="5"/>
                <w:sz w:val="20"/>
                <w:szCs w:val="20"/>
              </w:rPr>
              <w:t>运后，噪声源主要是通过桥梁的汽车。机动车噪声为非稳态源，车辆的发动机、</w:t>
            </w:r>
            <w:r>
              <w:rPr>
                <w:rFonts w:ascii="宋体" w:hAnsi="宋体" w:eastAsia="宋体" w:cs="宋体"/>
                <w:sz w:val="20"/>
                <w:szCs w:val="20"/>
              </w:rPr>
              <w:t xml:space="preserve"> </w:t>
            </w:r>
            <w:r>
              <w:rPr>
                <w:rFonts w:ascii="宋体" w:hAnsi="宋体" w:eastAsia="宋体" w:cs="宋体"/>
                <w:spacing w:val="9"/>
                <w:sz w:val="20"/>
                <w:szCs w:val="20"/>
              </w:rPr>
              <w:t>冷却系统、传动系统、排气系统等部件均会产生噪声，车辆行驶引起气流湍动、轮胎与</w:t>
            </w:r>
            <w:r>
              <w:rPr>
                <w:rFonts w:ascii="宋体" w:hAnsi="宋体" w:eastAsia="宋体" w:cs="宋体"/>
                <w:spacing w:val="2"/>
                <w:sz w:val="20"/>
                <w:szCs w:val="20"/>
              </w:rPr>
              <w:t>路</w:t>
            </w:r>
            <w:r>
              <w:rPr>
                <w:rFonts w:ascii="宋体" w:hAnsi="宋体" w:eastAsia="宋体" w:cs="宋体"/>
                <w:sz w:val="20"/>
                <w:szCs w:val="20"/>
              </w:rPr>
              <w:t xml:space="preserve"> </w:t>
            </w:r>
            <w:r>
              <w:rPr>
                <w:rFonts w:ascii="宋体" w:hAnsi="宋体" w:eastAsia="宋体" w:cs="宋体"/>
                <w:spacing w:val="9"/>
                <w:sz w:val="20"/>
                <w:szCs w:val="20"/>
              </w:rPr>
              <w:t>面的摩擦等也会产生噪声。由于车流量的增加，噪声会有所增加，另一方面由于噪声辐</w:t>
            </w:r>
            <w:r>
              <w:rPr>
                <w:rFonts w:ascii="宋体" w:hAnsi="宋体" w:eastAsia="宋体" w:cs="宋体"/>
                <w:spacing w:val="2"/>
                <w:sz w:val="20"/>
                <w:szCs w:val="20"/>
              </w:rPr>
              <w:t>射</w:t>
            </w:r>
            <w:r>
              <w:rPr>
                <w:rFonts w:ascii="宋体" w:hAnsi="宋体" w:eastAsia="宋体" w:cs="宋体"/>
                <w:sz w:val="20"/>
                <w:szCs w:val="20"/>
              </w:rPr>
              <w:t xml:space="preserve"> </w:t>
            </w:r>
            <w:r>
              <w:rPr>
                <w:rFonts w:ascii="宋体" w:hAnsi="宋体" w:eastAsia="宋体" w:cs="宋体"/>
                <w:spacing w:val="9"/>
                <w:sz w:val="20"/>
                <w:szCs w:val="20"/>
              </w:rPr>
              <w:t>量与汽车运行速度呈线性关系，车速增加，噪声辐射量也会增大，因此，道路修建后，</w:t>
            </w:r>
            <w:r>
              <w:rPr>
                <w:rFonts w:ascii="宋体" w:hAnsi="宋体" w:eastAsia="宋体" w:cs="宋体"/>
                <w:spacing w:val="2"/>
                <w:sz w:val="20"/>
                <w:szCs w:val="20"/>
              </w:rPr>
              <w:t>沿</w:t>
            </w:r>
            <w:r>
              <w:rPr>
                <w:rFonts w:ascii="宋体" w:hAnsi="宋体" w:eastAsia="宋体" w:cs="宋体"/>
                <w:sz w:val="20"/>
                <w:szCs w:val="20"/>
              </w:rPr>
              <w:t xml:space="preserve"> </w:t>
            </w:r>
            <w:r>
              <w:rPr>
                <w:rFonts w:ascii="宋体" w:hAnsi="宋体" w:eastAsia="宋体" w:cs="宋体"/>
                <w:spacing w:val="9"/>
                <w:sz w:val="20"/>
                <w:szCs w:val="20"/>
              </w:rPr>
              <w:t>线</w:t>
            </w:r>
            <w:r>
              <w:rPr>
                <w:rFonts w:ascii="宋体" w:hAnsi="宋体" w:eastAsia="宋体" w:cs="宋体"/>
                <w:spacing w:val="8"/>
                <w:sz w:val="20"/>
                <w:szCs w:val="20"/>
              </w:rPr>
              <w:t>环境噪声会有所增加。</w:t>
            </w:r>
          </w:p>
          <w:p>
            <w:pPr>
              <w:spacing w:before="2" w:line="374" w:lineRule="auto"/>
              <w:ind w:left="75" w:right="71" w:firstLine="414"/>
              <w:rPr>
                <w:rFonts w:ascii="宋体" w:hAnsi="宋体" w:eastAsia="宋体" w:cs="宋体"/>
                <w:sz w:val="20"/>
                <w:szCs w:val="20"/>
              </w:rPr>
            </w:pPr>
            <w:r>
              <w:rPr>
                <w:rFonts w:ascii="宋体" w:hAnsi="宋体" w:eastAsia="宋体" w:cs="宋体"/>
                <w:spacing w:val="9"/>
                <w:sz w:val="20"/>
                <w:szCs w:val="20"/>
              </w:rPr>
              <w:t>项目营运期，交通噪声的大小与车速、车流量、机动车类型、道路结构、道路表面</w:t>
            </w:r>
            <w:r>
              <w:rPr>
                <w:rFonts w:ascii="宋体" w:hAnsi="宋体" w:eastAsia="宋体" w:cs="宋体"/>
                <w:spacing w:val="7"/>
                <w:sz w:val="20"/>
                <w:szCs w:val="20"/>
              </w:rPr>
              <w:t>覆</w:t>
            </w:r>
            <w:r>
              <w:rPr>
                <w:rFonts w:ascii="宋体" w:hAnsi="宋体" w:eastAsia="宋体" w:cs="宋体"/>
                <w:sz w:val="20"/>
                <w:szCs w:val="20"/>
              </w:rPr>
              <w:t xml:space="preserve"> </w:t>
            </w:r>
            <w:r>
              <w:rPr>
                <w:rFonts w:ascii="宋体" w:hAnsi="宋体" w:eastAsia="宋体" w:cs="宋体"/>
                <w:spacing w:val="9"/>
                <w:sz w:val="20"/>
                <w:szCs w:val="20"/>
              </w:rPr>
              <w:t>盖物、道路两侧建筑物、地形等多因素有关。对两侧居民带来不同程度的噪声干扰，通</w:t>
            </w:r>
            <w:r>
              <w:rPr>
                <w:rFonts w:ascii="宋体" w:hAnsi="宋体" w:eastAsia="宋体" w:cs="宋体"/>
                <w:spacing w:val="3"/>
                <w:sz w:val="20"/>
                <w:szCs w:val="20"/>
              </w:rPr>
              <w:t>过</w:t>
            </w:r>
            <w:r>
              <w:rPr>
                <w:rFonts w:ascii="宋体" w:hAnsi="宋体" w:eastAsia="宋体" w:cs="宋体"/>
                <w:sz w:val="20"/>
                <w:szCs w:val="20"/>
              </w:rPr>
              <w:t xml:space="preserve"> </w:t>
            </w:r>
            <w:r>
              <w:rPr>
                <w:rFonts w:ascii="宋体" w:hAnsi="宋体" w:eastAsia="宋体" w:cs="宋体"/>
                <w:spacing w:val="18"/>
                <w:sz w:val="20"/>
                <w:szCs w:val="20"/>
              </w:rPr>
              <w:t>采</w:t>
            </w:r>
            <w:r>
              <w:rPr>
                <w:rFonts w:ascii="宋体" w:hAnsi="宋体" w:eastAsia="宋体" w:cs="宋体"/>
                <w:spacing w:val="9"/>
                <w:sz w:val="20"/>
                <w:szCs w:val="20"/>
              </w:rPr>
              <w:t>取必要的防护措施，营运期的噪声影响可以得到较好的控制。</w:t>
            </w:r>
          </w:p>
        </w:tc>
      </w:tr>
    </w:tbl>
    <w:p>
      <w:pPr>
        <w:rPr>
          <w:rFonts w:ascii="Arial"/>
          <w:sz w:val="21"/>
        </w:rPr>
      </w:pPr>
    </w:p>
    <w:p>
      <w:pPr>
        <w:sectPr>
          <w:footerReference r:id="rId82" w:type="default"/>
          <w:pgSz w:w="11906" w:h="16839"/>
          <w:pgMar w:top="400" w:right="1472" w:bottom="1473" w:left="1471" w:header="0" w:footer="1315" w:gutter="0"/>
          <w:cols w:space="720" w:num="1"/>
        </w:sectPr>
      </w:pPr>
    </w:p>
    <w:p/>
    <w:p/>
    <w:p/>
    <w:p/>
    <w:p>
      <w:pPr>
        <w:spacing w:line="221" w:lineRule="exact"/>
      </w:pPr>
    </w:p>
    <w:tbl>
      <w:tblPr>
        <w:tblStyle w:val="4"/>
        <w:tblW w:w="894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83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73" w:hRule="atLeast"/>
        </w:trPr>
        <w:tc>
          <w:tcPr>
            <w:tcW w:w="644" w:type="dxa"/>
            <w:tcBorders>
              <w:left w:val="single" w:color="00000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5" w:line="228" w:lineRule="auto"/>
              <w:ind w:left="8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运</w:t>
            </w:r>
            <w:r>
              <w:rPr>
                <w:rFonts w:ascii="宋体" w:hAnsi="宋体" w:eastAsia="宋体" w:cs="宋体"/>
                <w:spacing w:val="15"/>
                <w:sz w:val="20"/>
                <w:szCs w:val="20"/>
                <w14:textOutline w14:w="3795" w14:cap="sq" w14:cmpd="sng">
                  <w14:solidFill>
                    <w14:srgbClr w14:val="000000"/>
                  </w14:solidFill>
                  <w14:prstDash w14:val="solid"/>
                  <w14:bevel/>
                </w14:textOutline>
              </w:rPr>
              <w:t>营</w:t>
            </w:r>
          </w:p>
          <w:p>
            <w:pPr>
              <w:spacing w:before="24" w:line="228" w:lineRule="auto"/>
              <w:ind w:left="91"/>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期生</w:t>
            </w:r>
          </w:p>
          <w:p>
            <w:pPr>
              <w:spacing w:before="25" w:line="230" w:lineRule="auto"/>
              <w:ind w:left="8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态</w:t>
            </w:r>
            <w:r>
              <w:rPr>
                <w:rFonts w:ascii="宋体" w:hAnsi="宋体" w:eastAsia="宋体" w:cs="宋体"/>
                <w:spacing w:val="15"/>
                <w:sz w:val="20"/>
                <w:szCs w:val="20"/>
                <w14:textOutline w14:w="3795" w14:cap="sq" w14:cmpd="sng">
                  <w14:solidFill>
                    <w14:srgbClr w14:val="000000"/>
                  </w14:solidFill>
                  <w14:prstDash w14:val="solid"/>
                  <w14:bevel/>
                </w14:textOutline>
              </w:rPr>
              <w:t>环</w:t>
            </w:r>
          </w:p>
          <w:p>
            <w:pPr>
              <w:spacing w:before="22" w:line="228" w:lineRule="auto"/>
              <w:ind w:left="89"/>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境影</w:t>
            </w:r>
          </w:p>
          <w:p>
            <w:pPr>
              <w:spacing w:before="26" w:line="228" w:lineRule="auto"/>
              <w:ind w:left="99"/>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响分</w:t>
            </w:r>
          </w:p>
          <w:p>
            <w:pPr>
              <w:spacing w:before="25" w:line="228" w:lineRule="auto"/>
              <w:ind w:left="205"/>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析</w:t>
            </w:r>
          </w:p>
        </w:tc>
        <w:tc>
          <w:tcPr>
            <w:tcW w:w="8303" w:type="dxa"/>
            <w:tcBorders>
              <w:right w:val="single" w:color="000000" w:sz="6" w:space="0"/>
            </w:tcBorders>
            <w:vAlign w:val="top"/>
          </w:tcPr>
          <w:p>
            <w:pPr>
              <w:spacing w:before="146" w:line="234" w:lineRule="auto"/>
              <w:ind w:left="102"/>
              <w:rPr>
                <w:rFonts w:ascii="黑体" w:hAnsi="黑体" w:eastAsia="黑体" w:cs="黑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8"/>
                <w:sz w:val="22"/>
                <w:szCs w:val="22"/>
              </w:rPr>
              <w:t xml:space="preserve"> </w:t>
            </w:r>
            <w:r>
              <w:rPr>
                <w:rFonts w:ascii="黑体" w:hAnsi="黑体" w:eastAsia="黑体" w:cs="黑体"/>
                <w:spacing w:val="-8"/>
                <w:sz w:val="22"/>
                <w:szCs w:val="22"/>
              </w:rPr>
              <w:t>、固体废物</w:t>
            </w:r>
          </w:p>
          <w:p>
            <w:pPr>
              <w:spacing w:before="130" w:line="367" w:lineRule="auto"/>
              <w:ind w:left="75" w:right="71" w:firstLine="421"/>
              <w:rPr>
                <w:rFonts w:ascii="宋体" w:hAnsi="宋体" w:eastAsia="宋体" w:cs="宋体"/>
                <w:sz w:val="20"/>
                <w:szCs w:val="20"/>
              </w:rPr>
            </w:pPr>
            <w:r>
              <w:rPr>
                <w:rFonts w:ascii="宋体" w:hAnsi="宋体" w:eastAsia="宋体" w:cs="宋体"/>
                <w:spacing w:val="16"/>
                <w:sz w:val="20"/>
                <w:szCs w:val="20"/>
              </w:rPr>
              <w:t>本项目</w:t>
            </w:r>
            <w:r>
              <w:rPr>
                <w:rFonts w:ascii="宋体" w:hAnsi="宋体" w:eastAsia="宋体" w:cs="宋体"/>
                <w:spacing w:val="11"/>
                <w:sz w:val="20"/>
                <w:szCs w:val="20"/>
              </w:rPr>
              <w:t>为</w:t>
            </w:r>
            <w:r>
              <w:rPr>
                <w:rFonts w:ascii="宋体" w:hAnsi="宋体" w:eastAsia="宋体" w:cs="宋体"/>
                <w:spacing w:val="8"/>
                <w:sz w:val="20"/>
                <w:szCs w:val="20"/>
              </w:rPr>
              <w:t>城市桥梁新建工程，不设服务区、收费站等，因而在运营期间没有生活垃圾</w:t>
            </w:r>
            <w:r>
              <w:rPr>
                <w:rFonts w:ascii="宋体" w:hAnsi="宋体" w:eastAsia="宋体" w:cs="宋体"/>
                <w:sz w:val="20"/>
                <w:szCs w:val="20"/>
              </w:rPr>
              <w:t xml:space="preserve"> </w:t>
            </w:r>
            <w:r>
              <w:rPr>
                <w:rFonts w:ascii="宋体" w:hAnsi="宋体" w:eastAsia="宋体" w:cs="宋体"/>
                <w:spacing w:val="9"/>
                <w:sz w:val="20"/>
                <w:szCs w:val="20"/>
              </w:rPr>
              <w:t>及其他固废产生。营运期的固体废物来自道路清扫垃圾、道路维修过程产生的垃圾，产</w:t>
            </w:r>
            <w:r>
              <w:rPr>
                <w:rFonts w:ascii="宋体" w:hAnsi="宋体" w:eastAsia="宋体" w:cs="宋体"/>
                <w:spacing w:val="1"/>
                <w:sz w:val="20"/>
                <w:szCs w:val="20"/>
              </w:rPr>
              <w:t>生</w:t>
            </w:r>
            <w:r>
              <w:rPr>
                <w:rFonts w:ascii="宋体" w:hAnsi="宋体" w:eastAsia="宋体" w:cs="宋体"/>
                <w:sz w:val="20"/>
                <w:szCs w:val="20"/>
              </w:rPr>
              <w:t xml:space="preserve"> </w:t>
            </w:r>
            <w:r>
              <w:rPr>
                <w:rFonts w:ascii="宋体" w:hAnsi="宋体" w:eastAsia="宋体" w:cs="宋体"/>
                <w:spacing w:val="9"/>
                <w:sz w:val="20"/>
                <w:szCs w:val="20"/>
              </w:rPr>
              <w:t>量不大，垃圾由市政环卫部门统一清理，其环境影响甚微；另外，在桥梁两侧设置适当</w:t>
            </w:r>
            <w:r>
              <w:rPr>
                <w:rFonts w:ascii="宋体" w:hAnsi="宋体" w:eastAsia="宋体" w:cs="宋体"/>
                <w:spacing w:val="3"/>
                <w:sz w:val="20"/>
                <w:szCs w:val="20"/>
              </w:rPr>
              <w:t>的</w:t>
            </w:r>
            <w:r>
              <w:rPr>
                <w:rFonts w:ascii="宋体" w:hAnsi="宋体" w:eastAsia="宋体" w:cs="宋体"/>
                <w:sz w:val="20"/>
                <w:szCs w:val="20"/>
              </w:rPr>
              <w:t xml:space="preserve"> </w:t>
            </w:r>
            <w:r>
              <w:rPr>
                <w:rFonts w:ascii="宋体" w:hAnsi="宋体" w:eastAsia="宋体" w:cs="宋体"/>
                <w:spacing w:val="7"/>
                <w:sz w:val="20"/>
                <w:szCs w:val="20"/>
              </w:rPr>
              <w:t>垃圾收集桶</w:t>
            </w:r>
            <w:r>
              <w:rPr>
                <w:rFonts w:ascii="宋体" w:hAnsi="宋体" w:eastAsia="宋体" w:cs="宋体"/>
                <w:spacing w:val="6"/>
                <w:sz w:val="20"/>
                <w:szCs w:val="20"/>
              </w:rPr>
              <w:t>。</w:t>
            </w:r>
          </w:p>
          <w:p>
            <w:pPr>
              <w:spacing w:before="1" w:line="233" w:lineRule="auto"/>
              <w:ind w:left="110"/>
              <w:rPr>
                <w:rFonts w:ascii="黑体" w:hAnsi="黑体" w:eastAsia="黑体" w:cs="黑体"/>
                <w:sz w:val="22"/>
                <w:szCs w:val="22"/>
              </w:rPr>
            </w:pPr>
            <w:r>
              <w:rPr>
                <w:rFonts w:ascii="Times New Roman" w:hAnsi="Times New Roman" w:eastAsia="Times New Roman" w:cs="Times New Roman"/>
                <w:spacing w:val="-8"/>
                <w:sz w:val="22"/>
                <w:szCs w:val="22"/>
              </w:rPr>
              <w:t>5</w:t>
            </w:r>
            <w:r>
              <w:rPr>
                <w:rFonts w:ascii="Times New Roman" w:hAnsi="Times New Roman" w:eastAsia="Times New Roman" w:cs="Times New Roman"/>
                <w:spacing w:val="-5"/>
                <w:sz w:val="22"/>
                <w:szCs w:val="22"/>
              </w:rPr>
              <w:t xml:space="preserve"> </w:t>
            </w:r>
            <w:r>
              <w:rPr>
                <w:rFonts w:ascii="黑体" w:hAnsi="黑体" w:eastAsia="黑体" w:cs="黑体"/>
                <w:spacing w:val="-5"/>
                <w:sz w:val="22"/>
                <w:szCs w:val="22"/>
              </w:rPr>
              <w:t>、事故污染风险源分析</w:t>
            </w:r>
          </w:p>
          <w:p>
            <w:pPr>
              <w:spacing w:before="130" w:line="369" w:lineRule="auto"/>
              <w:ind w:left="79" w:right="71" w:firstLine="420"/>
              <w:rPr>
                <w:rFonts w:ascii="宋体" w:hAnsi="宋体" w:eastAsia="宋体" w:cs="宋体"/>
                <w:sz w:val="20"/>
                <w:szCs w:val="20"/>
              </w:rPr>
            </w:pPr>
            <w:r>
              <w:rPr>
                <w:rFonts w:ascii="宋体" w:hAnsi="宋体" w:eastAsia="宋体" w:cs="宋体"/>
                <w:spacing w:val="16"/>
                <w:sz w:val="20"/>
                <w:szCs w:val="20"/>
              </w:rPr>
              <w:t>项目营</w:t>
            </w:r>
            <w:r>
              <w:rPr>
                <w:rFonts w:ascii="宋体" w:hAnsi="宋体" w:eastAsia="宋体" w:cs="宋体"/>
                <w:spacing w:val="9"/>
                <w:sz w:val="20"/>
                <w:szCs w:val="20"/>
              </w:rPr>
              <w:t>运</w:t>
            </w:r>
            <w:r>
              <w:rPr>
                <w:rFonts w:ascii="宋体" w:hAnsi="宋体" w:eastAsia="宋体" w:cs="宋体"/>
                <w:spacing w:val="8"/>
                <w:sz w:val="20"/>
                <w:szCs w:val="20"/>
              </w:rPr>
              <w:t>期可能产生的环境风险一般源于运输危险化学品、油类产品等的车辆发生事</w:t>
            </w:r>
            <w:r>
              <w:rPr>
                <w:rFonts w:ascii="宋体" w:hAnsi="宋体" w:eastAsia="宋体" w:cs="宋体"/>
                <w:sz w:val="20"/>
                <w:szCs w:val="20"/>
              </w:rPr>
              <w:t xml:space="preserve"> </w:t>
            </w:r>
            <w:r>
              <w:rPr>
                <w:rFonts w:ascii="宋体" w:hAnsi="宋体" w:eastAsia="宋体" w:cs="宋体"/>
                <w:spacing w:val="16"/>
                <w:sz w:val="20"/>
                <w:szCs w:val="20"/>
              </w:rPr>
              <w:t>故时，</w:t>
            </w:r>
            <w:r>
              <w:rPr>
                <w:rFonts w:ascii="宋体" w:hAnsi="宋体" w:eastAsia="宋体" w:cs="宋体"/>
                <w:spacing w:val="13"/>
                <w:sz w:val="20"/>
                <w:szCs w:val="20"/>
              </w:rPr>
              <w:t>引</w:t>
            </w:r>
            <w:r>
              <w:rPr>
                <w:rFonts w:ascii="宋体" w:hAnsi="宋体" w:eastAsia="宋体" w:cs="宋体"/>
                <w:spacing w:val="8"/>
                <w:sz w:val="20"/>
                <w:szCs w:val="20"/>
              </w:rPr>
              <w:t>起有毒有害化学物质泄漏，致使在短时间内造成一定范围的恶性环境风险事故，</w:t>
            </w:r>
            <w:r>
              <w:rPr>
                <w:rFonts w:ascii="宋体" w:hAnsi="宋体" w:eastAsia="宋体" w:cs="宋体"/>
                <w:sz w:val="20"/>
                <w:szCs w:val="20"/>
              </w:rPr>
              <w:t xml:space="preserve"> </w:t>
            </w:r>
            <w:r>
              <w:rPr>
                <w:rFonts w:ascii="宋体" w:hAnsi="宋体" w:eastAsia="宋体" w:cs="宋体"/>
                <w:spacing w:val="16"/>
                <w:sz w:val="20"/>
                <w:szCs w:val="20"/>
              </w:rPr>
              <w:t>不仅带</w:t>
            </w:r>
            <w:r>
              <w:rPr>
                <w:rFonts w:ascii="宋体" w:hAnsi="宋体" w:eastAsia="宋体" w:cs="宋体"/>
                <w:spacing w:val="13"/>
                <w:sz w:val="20"/>
                <w:szCs w:val="20"/>
              </w:rPr>
              <w:t>来</w:t>
            </w:r>
            <w:r>
              <w:rPr>
                <w:rFonts w:ascii="宋体" w:hAnsi="宋体" w:eastAsia="宋体" w:cs="宋体"/>
                <w:spacing w:val="8"/>
                <w:sz w:val="20"/>
                <w:szCs w:val="20"/>
              </w:rPr>
              <w:t>严重的经济损失，而且将对水体产生污染，对过往车辆及人员和周围环境形成危</w:t>
            </w:r>
          </w:p>
          <w:p>
            <w:pPr>
              <w:spacing w:line="228" w:lineRule="auto"/>
              <w:ind w:left="80"/>
              <w:rPr>
                <w:rFonts w:ascii="宋体" w:hAnsi="宋体" w:eastAsia="宋体" w:cs="宋体"/>
                <w:sz w:val="20"/>
                <w:szCs w:val="20"/>
              </w:rPr>
            </w:pPr>
            <w:r>
              <w:rPr>
                <w:rFonts w:ascii="宋体" w:hAnsi="宋体" w:eastAsia="宋体" w:cs="宋体"/>
                <w:spacing w:val="16"/>
                <w:sz w:val="20"/>
                <w:szCs w:val="20"/>
              </w:rPr>
              <w:t>害</w:t>
            </w:r>
            <w:r>
              <w:rPr>
                <w:rFonts w:ascii="宋体" w:hAnsi="宋体" w:eastAsia="宋体" w:cs="宋体"/>
                <w:spacing w:val="9"/>
                <w:sz w:val="20"/>
                <w:szCs w:val="20"/>
              </w:rPr>
              <w:t>。</w:t>
            </w:r>
            <w:r>
              <w:rPr>
                <w:rFonts w:ascii="宋体" w:hAnsi="宋体" w:eastAsia="宋体" w:cs="宋体"/>
                <w:spacing w:val="8"/>
                <w:sz w:val="20"/>
                <w:szCs w:val="20"/>
              </w:rPr>
              <w:t>水污染事故主要有如下几种类型：</w:t>
            </w:r>
          </w:p>
          <w:p>
            <w:pPr>
              <w:spacing w:before="115" w:line="281" w:lineRule="exact"/>
              <w:ind w:left="506"/>
              <w:rPr>
                <w:rFonts w:ascii="宋体" w:hAnsi="宋体" w:eastAsia="宋体" w:cs="宋体"/>
                <w:sz w:val="20"/>
                <w:szCs w:val="20"/>
              </w:rPr>
            </w:pPr>
            <w:r>
              <w:rPr>
                <w:rFonts w:ascii="宋体" w:hAnsi="宋体" w:eastAsia="宋体" w:cs="宋体"/>
                <w:spacing w:val="12"/>
                <w:position w:val="2"/>
                <w:sz w:val="20"/>
                <w:szCs w:val="20"/>
              </w:rPr>
              <w:t>(</w:t>
            </w:r>
            <w:r>
              <w:rPr>
                <w:rFonts w:ascii="Times New Roman" w:hAnsi="Times New Roman" w:eastAsia="Times New Roman" w:cs="Times New Roman"/>
                <w:spacing w:val="11"/>
                <w:position w:val="2"/>
                <w:sz w:val="20"/>
                <w:szCs w:val="20"/>
              </w:rPr>
              <w:t>1</w:t>
            </w:r>
            <w:r>
              <w:rPr>
                <w:rFonts w:ascii="宋体" w:hAnsi="宋体" w:eastAsia="宋体" w:cs="宋体"/>
                <w:spacing w:val="11"/>
                <w:position w:val="2"/>
                <w:sz w:val="20"/>
                <w:szCs w:val="20"/>
              </w:rPr>
              <w:t>) 车辆发生交通事故，本身携带的汽油</w:t>
            </w:r>
            <w:r>
              <w:rPr>
                <w:rFonts w:ascii="Times New Roman" w:hAnsi="Times New Roman" w:eastAsia="Times New Roman" w:cs="Times New Roman"/>
                <w:spacing w:val="11"/>
                <w:position w:val="2"/>
                <w:sz w:val="20"/>
                <w:szCs w:val="20"/>
              </w:rPr>
              <w:t>(</w:t>
            </w:r>
            <w:r>
              <w:rPr>
                <w:rFonts w:ascii="宋体" w:hAnsi="宋体" w:eastAsia="宋体" w:cs="宋体"/>
                <w:spacing w:val="11"/>
                <w:position w:val="2"/>
                <w:sz w:val="20"/>
                <w:szCs w:val="20"/>
              </w:rPr>
              <w:t>或柴油</w:t>
            </w:r>
            <w:r>
              <w:rPr>
                <w:rFonts w:ascii="Times New Roman" w:hAnsi="Times New Roman" w:eastAsia="Times New Roman" w:cs="Times New Roman"/>
                <w:spacing w:val="11"/>
                <w:position w:val="2"/>
                <w:sz w:val="20"/>
                <w:szCs w:val="20"/>
              </w:rPr>
              <w:t>)</w:t>
            </w:r>
            <w:r>
              <w:rPr>
                <w:rFonts w:ascii="宋体" w:hAnsi="宋体" w:eastAsia="宋体" w:cs="宋体"/>
                <w:spacing w:val="11"/>
                <w:position w:val="2"/>
                <w:sz w:val="20"/>
                <w:szCs w:val="20"/>
              </w:rPr>
              <w:t>和机油泄漏，并进入附近水体。</w:t>
            </w:r>
          </w:p>
          <w:p>
            <w:pPr>
              <w:spacing w:before="157" w:line="228" w:lineRule="auto"/>
              <w:ind w:left="506"/>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15"/>
                <w:sz w:val="20"/>
                <w:szCs w:val="20"/>
              </w:rPr>
              <w:t>2</w:t>
            </w:r>
            <w:r>
              <w:rPr>
                <w:rFonts w:ascii="宋体" w:hAnsi="宋体" w:eastAsia="宋体" w:cs="宋体"/>
                <w:spacing w:val="11"/>
                <w:sz w:val="20"/>
                <w:szCs w:val="20"/>
              </w:rPr>
              <w:t>) 装载着的石化、建材产品发生交通事故，化学品发生泄漏，并排入附近水体。</w:t>
            </w:r>
          </w:p>
          <w:p>
            <w:pPr>
              <w:spacing w:before="152" w:line="228" w:lineRule="auto"/>
              <w:ind w:left="506"/>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spacing w:val="12"/>
                <w:sz w:val="20"/>
                <w:szCs w:val="20"/>
              </w:rPr>
              <w:t>3</w:t>
            </w:r>
            <w:r>
              <w:rPr>
                <w:rFonts w:ascii="宋体" w:hAnsi="宋体" w:eastAsia="宋体" w:cs="宋体"/>
                <w:spacing w:val="12"/>
                <w:sz w:val="20"/>
                <w:szCs w:val="20"/>
              </w:rPr>
              <w:t>) 在桥面发生交通事故，汽车连带货物坠入附近水域</w:t>
            </w:r>
            <w:r>
              <w:rPr>
                <w:rFonts w:ascii="宋体" w:hAnsi="宋体" w:eastAsia="宋体" w:cs="宋体"/>
                <w:spacing w:val="10"/>
                <w:sz w:val="20"/>
                <w:szCs w:val="20"/>
              </w:rPr>
              <w:t>。</w:t>
            </w:r>
          </w:p>
          <w:p>
            <w:pPr>
              <w:spacing w:before="154" w:line="369" w:lineRule="auto"/>
              <w:ind w:left="79" w:right="71" w:firstLine="440"/>
              <w:rPr>
                <w:rFonts w:ascii="宋体" w:hAnsi="宋体" w:eastAsia="宋体" w:cs="宋体"/>
                <w:sz w:val="20"/>
                <w:szCs w:val="20"/>
              </w:rPr>
            </w:pPr>
            <w:r>
              <w:rPr>
                <w:rFonts w:ascii="宋体" w:hAnsi="宋体" w:eastAsia="宋体" w:cs="宋体"/>
                <w:spacing w:val="13"/>
                <w:sz w:val="20"/>
                <w:szCs w:val="20"/>
              </w:rPr>
              <w:t>以</w:t>
            </w:r>
            <w:r>
              <w:rPr>
                <w:rFonts w:ascii="宋体" w:hAnsi="宋体" w:eastAsia="宋体" w:cs="宋体"/>
                <w:spacing w:val="8"/>
                <w:sz w:val="20"/>
                <w:szCs w:val="20"/>
              </w:rPr>
              <w:t>上重点应防范危险品运输交通事故，最不利的影响在于运输危险品车辆发生交通事</w:t>
            </w:r>
            <w:r>
              <w:rPr>
                <w:rFonts w:ascii="宋体" w:hAnsi="宋体" w:eastAsia="宋体" w:cs="宋体"/>
                <w:sz w:val="20"/>
                <w:szCs w:val="20"/>
              </w:rPr>
              <w:t xml:space="preserve"> </w:t>
            </w:r>
            <w:r>
              <w:rPr>
                <w:rFonts w:ascii="宋体" w:hAnsi="宋体" w:eastAsia="宋体" w:cs="宋体"/>
                <w:spacing w:val="16"/>
                <w:sz w:val="20"/>
                <w:szCs w:val="20"/>
              </w:rPr>
              <w:t>故后，</w:t>
            </w:r>
            <w:r>
              <w:rPr>
                <w:rFonts w:ascii="宋体" w:hAnsi="宋体" w:eastAsia="宋体" w:cs="宋体"/>
                <w:spacing w:val="13"/>
                <w:sz w:val="20"/>
                <w:szCs w:val="20"/>
              </w:rPr>
              <w:t>所</w:t>
            </w:r>
            <w:r>
              <w:rPr>
                <w:rFonts w:ascii="宋体" w:hAnsi="宋体" w:eastAsia="宋体" w:cs="宋体"/>
                <w:spacing w:val="8"/>
                <w:sz w:val="20"/>
                <w:szCs w:val="20"/>
              </w:rPr>
              <w:t>运输的剧毒及污染性较大的物质流入前河水体中而引起水质污染，但由于一般危</w:t>
            </w:r>
            <w:r>
              <w:rPr>
                <w:rFonts w:ascii="宋体" w:hAnsi="宋体" w:eastAsia="宋体" w:cs="宋体"/>
                <w:sz w:val="20"/>
                <w:szCs w:val="20"/>
              </w:rPr>
              <w:t xml:space="preserve"> </w:t>
            </w:r>
            <w:r>
              <w:rPr>
                <w:rFonts w:ascii="宋体" w:hAnsi="宋体" w:eastAsia="宋体" w:cs="宋体"/>
                <w:spacing w:val="16"/>
                <w:sz w:val="20"/>
                <w:szCs w:val="20"/>
              </w:rPr>
              <w:t>险品均</w:t>
            </w:r>
            <w:r>
              <w:rPr>
                <w:rFonts w:ascii="宋体" w:hAnsi="宋体" w:eastAsia="宋体" w:cs="宋体"/>
                <w:spacing w:val="13"/>
                <w:sz w:val="20"/>
                <w:szCs w:val="20"/>
              </w:rPr>
              <w:t>系</w:t>
            </w:r>
            <w:r>
              <w:rPr>
                <w:rFonts w:ascii="宋体" w:hAnsi="宋体" w:eastAsia="宋体" w:cs="宋体"/>
                <w:spacing w:val="8"/>
                <w:sz w:val="20"/>
                <w:szCs w:val="20"/>
              </w:rPr>
              <w:t>密封桶装或罐车运输，故出现泄漏而影响水质的可能性甚小，但危险品运输事故</w:t>
            </w:r>
            <w:r>
              <w:rPr>
                <w:rFonts w:ascii="宋体" w:hAnsi="宋体" w:eastAsia="宋体" w:cs="宋体"/>
                <w:sz w:val="20"/>
                <w:szCs w:val="20"/>
              </w:rPr>
              <w:t xml:space="preserve"> </w:t>
            </w:r>
            <w:r>
              <w:rPr>
                <w:rFonts w:ascii="宋体" w:hAnsi="宋体" w:eastAsia="宋体" w:cs="宋体"/>
                <w:spacing w:val="16"/>
                <w:sz w:val="20"/>
                <w:szCs w:val="20"/>
              </w:rPr>
              <w:t>发生概</w:t>
            </w:r>
            <w:r>
              <w:rPr>
                <w:rFonts w:ascii="宋体" w:hAnsi="宋体" w:eastAsia="宋体" w:cs="宋体"/>
                <w:spacing w:val="13"/>
                <w:sz w:val="20"/>
                <w:szCs w:val="20"/>
              </w:rPr>
              <w:t>率</w:t>
            </w:r>
            <w:r>
              <w:rPr>
                <w:rFonts w:ascii="宋体" w:hAnsi="宋体" w:eastAsia="宋体" w:cs="宋体"/>
                <w:spacing w:val="8"/>
                <w:sz w:val="20"/>
                <w:szCs w:val="20"/>
              </w:rPr>
              <w:t>不为零。此类突发性事故应引起高度重视，要求大桥管理部门做好应急计划，在</w:t>
            </w:r>
            <w:r>
              <w:rPr>
                <w:rFonts w:ascii="宋体" w:hAnsi="宋体" w:eastAsia="宋体" w:cs="宋体"/>
                <w:sz w:val="20"/>
                <w:szCs w:val="20"/>
              </w:rPr>
              <w:t xml:space="preserve"> </w:t>
            </w:r>
            <w:r>
              <w:rPr>
                <w:rFonts w:ascii="宋体" w:hAnsi="宋体" w:eastAsia="宋体" w:cs="宋体"/>
                <w:spacing w:val="16"/>
                <w:sz w:val="20"/>
                <w:szCs w:val="20"/>
              </w:rPr>
              <w:t>营</w:t>
            </w:r>
            <w:r>
              <w:rPr>
                <w:rFonts w:ascii="宋体" w:hAnsi="宋体" w:eastAsia="宋体" w:cs="宋体"/>
                <w:spacing w:val="14"/>
                <w:sz w:val="20"/>
                <w:szCs w:val="20"/>
              </w:rPr>
              <w:t>运</w:t>
            </w:r>
            <w:r>
              <w:rPr>
                <w:rFonts w:ascii="宋体" w:hAnsi="宋体" w:eastAsia="宋体" w:cs="宋体"/>
                <w:spacing w:val="8"/>
                <w:sz w:val="20"/>
                <w:szCs w:val="20"/>
              </w:rPr>
              <w:t>期加强事故风险防范措施，设置事故池、设置防撞墙、限速标识、电子警察等措施，</w:t>
            </w:r>
          </w:p>
          <w:p>
            <w:pPr>
              <w:spacing w:before="1" w:line="227" w:lineRule="auto"/>
              <w:ind w:left="76"/>
              <w:rPr>
                <w:rFonts w:ascii="宋体" w:hAnsi="宋体" w:eastAsia="宋体" w:cs="宋体"/>
                <w:sz w:val="20"/>
                <w:szCs w:val="20"/>
              </w:rPr>
            </w:pPr>
            <w:r>
              <w:rPr>
                <w:rFonts w:ascii="宋体" w:hAnsi="宋体" w:eastAsia="宋体" w:cs="宋体"/>
                <w:spacing w:val="17"/>
                <w:sz w:val="20"/>
                <w:szCs w:val="20"/>
              </w:rPr>
              <w:t>通</w:t>
            </w:r>
            <w:r>
              <w:rPr>
                <w:rFonts w:ascii="宋体" w:hAnsi="宋体" w:eastAsia="宋体" w:cs="宋体"/>
                <w:spacing w:val="9"/>
                <w:sz w:val="20"/>
                <w:szCs w:val="20"/>
              </w:rPr>
              <w:t>过加强管理，采取风险防范措施，使污染影响降至最低限度。</w:t>
            </w:r>
          </w:p>
          <w:p>
            <w:pPr>
              <w:spacing w:before="13" w:line="3279" w:lineRule="exact"/>
              <w:ind w:firstLine="99"/>
              <w:textAlignment w:val="center"/>
            </w:pPr>
            <w:r>
              <w:drawing>
                <wp:inline distT="0" distB="0" distL="0" distR="0">
                  <wp:extent cx="5132705" cy="2081530"/>
                  <wp:effectExtent l="0" t="0" r="0" b="0"/>
                  <wp:docPr id="105" name="IM 105"/>
                  <wp:cNvGraphicFramePr/>
                  <a:graphic xmlns:a="http://schemas.openxmlformats.org/drawingml/2006/main">
                    <a:graphicData uri="http://schemas.openxmlformats.org/drawingml/2006/picture">
                      <pic:pic xmlns:pic="http://schemas.openxmlformats.org/drawingml/2006/picture">
                        <pic:nvPicPr>
                          <pic:cNvPr id="105" name="IM 105"/>
                          <pic:cNvPicPr/>
                        </pic:nvPicPr>
                        <pic:blipFill>
                          <a:blip r:embed="rId249"/>
                          <a:stretch>
                            <a:fillRect/>
                          </a:stretch>
                        </pic:blipFill>
                        <pic:spPr>
                          <a:xfrm>
                            <a:off x="0" y="0"/>
                            <a:ext cx="5132832" cy="2081783"/>
                          </a:xfrm>
                          <a:prstGeom prst="rect">
                            <a:avLst/>
                          </a:prstGeom>
                        </pic:spPr>
                      </pic:pic>
                    </a:graphicData>
                  </a:graphic>
                </wp:inline>
              </w:drawing>
            </w:r>
          </w:p>
          <w:p>
            <w:pPr>
              <w:spacing w:before="41" w:line="220" w:lineRule="auto"/>
              <w:ind w:left="2450"/>
              <w:rPr>
                <w:rFonts w:ascii="黑体" w:hAnsi="黑体" w:eastAsia="黑体" w:cs="黑体"/>
                <w:sz w:val="19"/>
                <w:szCs w:val="19"/>
              </w:rPr>
            </w:pPr>
            <w:r>
              <w:rPr>
                <w:rFonts w:ascii="黑体" w:hAnsi="黑体" w:eastAsia="黑体" w:cs="黑体"/>
                <w:spacing w:val="12"/>
                <w:sz w:val="20"/>
                <w:szCs w:val="20"/>
              </w:rPr>
              <w:t>图</w:t>
            </w:r>
            <w:r>
              <w:rPr>
                <w:rFonts w:ascii="Times New Roman" w:hAnsi="Times New Roman" w:eastAsia="Times New Roman" w:cs="Times New Roman"/>
                <w:spacing w:val="8"/>
                <w:sz w:val="20"/>
                <w:szCs w:val="20"/>
              </w:rPr>
              <w:t>35</w:t>
            </w:r>
            <w:r>
              <w:rPr>
                <w:rFonts w:ascii="黑体" w:hAnsi="黑体" w:eastAsia="黑体" w:cs="黑体"/>
                <w:spacing w:val="8"/>
                <w:sz w:val="20"/>
                <w:szCs w:val="20"/>
              </w:rPr>
              <w:t>：</w:t>
            </w:r>
            <w:r>
              <w:rPr>
                <w:rFonts w:ascii="黑体" w:hAnsi="黑体" w:eastAsia="黑体" w:cs="黑体"/>
                <w:spacing w:val="8"/>
                <w:sz w:val="19"/>
                <w:szCs w:val="19"/>
              </w:rPr>
              <w:t>高家坝大桥防撞护栏平面示意图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6" w:hRule="atLeast"/>
        </w:trPr>
        <w:tc>
          <w:tcPr>
            <w:tcW w:w="644" w:type="dxa"/>
            <w:tcBorders>
              <w:left w:val="single" w:color="000000" w:sz="6" w:space="0"/>
            </w:tcBorders>
            <w:vAlign w:val="top"/>
          </w:tcPr>
          <w:p>
            <w:pPr>
              <w:spacing w:line="468" w:lineRule="auto"/>
              <w:rPr>
                <w:rFonts w:ascii="Arial"/>
                <w:sz w:val="21"/>
              </w:rPr>
            </w:pPr>
          </w:p>
          <w:p>
            <w:pPr>
              <w:spacing w:before="65" w:line="233" w:lineRule="auto"/>
              <w:ind w:left="8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选址</w:t>
            </w:r>
          </w:p>
          <w:p>
            <w:pPr>
              <w:spacing w:before="21" w:line="228" w:lineRule="auto"/>
              <w:ind w:left="8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选线</w:t>
            </w:r>
          </w:p>
          <w:p>
            <w:pPr>
              <w:spacing w:before="24" w:line="228" w:lineRule="auto"/>
              <w:ind w:left="8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环</w:t>
            </w:r>
            <w:r>
              <w:rPr>
                <w:rFonts w:ascii="宋体" w:hAnsi="宋体" w:eastAsia="宋体" w:cs="宋体"/>
                <w:spacing w:val="15"/>
                <w:sz w:val="20"/>
                <w:szCs w:val="20"/>
                <w14:textOutline w14:w="3795" w14:cap="sq" w14:cmpd="sng">
                  <w14:solidFill>
                    <w14:srgbClr w14:val="000000"/>
                  </w14:solidFill>
                  <w14:prstDash w14:val="solid"/>
                  <w14:bevel/>
                </w14:textOutline>
              </w:rPr>
              <w:t>境</w:t>
            </w:r>
          </w:p>
          <w:p>
            <w:pPr>
              <w:spacing w:before="26" w:line="231" w:lineRule="auto"/>
              <w:ind w:left="89"/>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合理</w:t>
            </w:r>
          </w:p>
          <w:p>
            <w:pPr>
              <w:spacing w:before="21" w:line="228" w:lineRule="auto"/>
              <w:ind w:left="91"/>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性分</w:t>
            </w:r>
          </w:p>
          <w:p>
            <w:pPr>
              <w:spacing w:before="27" w:line="228" w:lineRule="auto"/>
              <w:ind w:left="205"/>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析</w:t>
            </w:r>
          </w:p>
        </w:tc>
        <w:tc>
          <w:tcPr>
            <w:tcW w:w="8303" w:type="dxa"/>
            <w:tcBorders>
              <w:right w:val="single" w:color="000000" w:sz="6" w:space="0"/>
            </w:tcBorders>
            <w:vAlign w:val="top"/>
          </w:tcPr>
          <w:p>
            <w:pPr>
              <w:spacing w:before="135" w:line="234" w:lineRule="auto"/>
              <w:ind w:left="125"/>
              <w:rPr>
                <w:rFonts w:ascii="黑体" w:hAnsi="黑体" w:eastAsia="黑体" w:cs="黑体"/>
                <w:sz w:val="22"/>
                <w:szCs w:val="22"/>
              </w:rPr>
            </w:pPr>
            <w:r>
              <w:rPr>
                <w:rFonts w:ascii="Times New Roman" w:hAnsi="Times New Roman" w:eastAsia="Times New Roman" w:cs="Times New Roman"/>
                <w:spacing w:val="-12"/>
                <w:sz w:val="22"/>
                <w:szCs w:val="22"/>
              </w:rPr>
              <w:t>1</w:t>
            </w:r>
            <w:r>
              <w:rPr>
                <w:rFonts w:ascii="Times New Roman" w:hAnsi="Times New Roman" w:eastAsia="Times New Roman" w:cs="Times New Roman"/>
                <w:spacing w:val="-6"/>
                <w:sz w:val="22"/>
                <w:szCs w:val="22"/>
              </w:rPr>
              <w:t xml:space="preserve"> </w:t>
            </w:r>
            <w:r>
              <w:rPr>
                <w:rFonts w:ascii="黑体" w:hAnsi="黑体" w:eastAsia="黑体" w:cs="黑体"/>
                <w:spacing w:val="-6"/>
                <w:sz w:val="22"/>
                <w:szCs w:val="22"/>
              </w:rPr>
              <w:t>、选址选线合理性分析</w:t>
            </w:r>
          </w:p>
          <w:p>
            <w:pPr>
              <w:spacing w:before="129" w:line="369" w:lineRule="auto"/>
              <w:ind w:left="123" w:right="71" w:firstLine="414"/>
              <w:rPr>
                <w:rFonts w:ascii="宋体" w:hAnsi="宋体" w:eastAsia="宋体" w:cs="宋体"/>
                <w:sz w:val="20"/>
                <w:szCs w:val="20"/>
              </w:rPr>
            </w:pPr>
            <w:r>
              <w:rPr>
                <w:rFonts w:ascii="宋体" w:hAnsi="宋体" w:eastAsia="宋体" w:cs="宋体"/>
                <w:spacing w:val="11"/>
                <w:sz w:val="20"/>
                <w:szCs w:val="20"/>
              </w:rPr>
              <w:t>(</w:t>
            </w:r>
            <w:r>
              <w:rPr>
                <w:rFonts w:ascii="Times New Roman" w:hAnsi="Times New Roman" w:eastAsia="Times New Roman" w:cs="Times New Roman"/>
                <w:spacing w:val="11"/>
                <w:sz w:val="20"/>
                <w:szCs w:val="20"/>
              </w:rPr>
              <w:t>1</w:t>
            </w:r>
            <w:r>
              <w:rPr>
                <w:rFonts w:ascii="宋体" w:hAnsi="宋体" w:eastAsia="宋体" w:cs="宋体"/>
                <w:spacing w:val="11"/>
                <w:sz w:val="20"/>
                <w:szCs w:val="20"/>
              </w:rPr>
              <w:t>) 项目桥位位于包茂高速州河大桥下游约</w:t>
            </w:r>
            <w:r>
              <w:rPr>
                <w:rFonts w:ascii="Times New Roman" w:hAnsi="Times New Roman" w:eastAsia="Times New Roman" w:cs="Times New Roman"/>
                <w:spacing w:val="11"/>
                <w:sz w:val="20"/>
                <w:szCs w:val="20"/>
              </w:rPr>
              <w:t>200</w:t>
            </w:r>
            <w:r>
              <w:rPr>
                <w:rFonts w:ascii="Times New Roman" w:hAnsi="Times New Roman" w:eastAsia="Times New Roman" w:cs="Times New Roman"/>
                <w:sz w:val="20"/>
                <w:szCs w:val="20"/>
              </w:rPr>
              <w:t>m</w:t>
            </w:r>
            <w:r>
              <w:rPr>
                <w:rFonts w:ascii="宋体" w:hAnsi="宋体" w:eastAsia="宋体" w:cs="宋体"/>
                <w:spacing w:val="11"/>
                <w:sz w:val="20"/>
                <w:szCs w:val="20"/>
              </w:rPr>
              <w:t>的位置，符合城市工体规划，在</w:t>
            </w:r>
            <w:r>
              <w:rPr>
                <w:rFonts w:ascii="宋体" w:hAnsi="宋体" w:eastAsia="宋体" w:cs="宋体"/>
                <w:spacing w:val="9"/>
                <w:sz w:val="20"/>
                <w:szCs w:val="20"/>
              </w:rPr>
              <w:t>本</w:t>
            </w:r>
            <w:r>
              <w:rPr>
                <w:rFonts w:ascii="宋体" w:hAnsi="宋体" w:eastAsia="宋体" w:cs="宋体"/>
                <w:sz w:val="20"/>
                <w:szCs w:val="20"/>
              </w:rPr>
              <w:t xml:space="preserve"> </w:t>
            </w:r>
            <w:r>
              <w:rPr>
                <w:rFonts w:ascii="宋体" w:hAnsi="宋体" w:eastAsia="宋体" w:cs="宋体"/>
                <w:spacing w:val="8"/>
                <w:sz w:val="20"/>
                <w:szCs w:val="20"/>
              </w:rPr>
              <w:t>区位内该桥位是合理可行且最优的</w:t>
            </w:r>
            <w:r>
              <w:rPr>
                <w:rFonts w:ascii="宋体" w:hAnsi="宋体" w:eastAsia="宋体" w:cs="宋体"/>
                <w:spacing w:val="5"/>
                <w:sz w:val="20"/>
                <w:szCs w:val="20"/>
              </w:rPr>
              <w:t>。</w:t>
            </w:r>
          </w:p>
          <w:p>
            <w:pPr>
              <w:spacing w:line="352" w:lineRule="auto"/>
              <w:ind w:left="72" w:right="14" w:firstLine="424"/>
              <w:rPr>
                <w:rFonts w:ascii="宋体" w:hAnsi="宋体" w:eastAsia="宋体" w:cs="宋体"/>
                <w:sz w:val="21"/>
                <w:szCs w:val="21"/>
              </w:rPr>
            </w:pPr>
            <w:r>
              <w:rPr>
                <w:rFonts w:ascii="宋体" w:hAnsi="宋体" w:eastAsia="宋体" w:cs="宋体"/>
                <w:spacing w:val="6"/>
                <w:sz w:val="20"/>
                <w:szCs w:val="20"/>
              </w:rPr>
              <w:t>根据《达</w:t>
            </w:r>
            <w:r>
              <w:rPr>
                <w:rFonts w:ascii="宋体" w:hAnsi="宋体" w:eastAsia="宋体" w:cs="宋体"/>
                <w:spacing w:val="4"/>
                <w:sz w:val="20"/>
                <w:szCs w:val="20"/>
              </w:rPr>
              <w:t>州</w:t>
            </w:r>
            <w:r>
              <w:rPr>
                <w:rFonts w:ascii="宋体" w:hAnsi="宋体" w:eastAsia="宋体" w:cs="宋体"/>
                <w:spacing w:val="3"/>
                <w:sz w:val="20"/>
                <w:szCs w:val="20"/>
              </w:rPr>
              <w:t>市城市总体规划 (</w:t>
            </w:r>
            <w:r>
              <w:rPr>
                <w:rFonts w:ascii="Times New Roman" w:hAnsi="Times New Roman" w:eastAsia="Times New Roman" w:cs="Times New Roman"/>
                <w:spacing w:val="3"/>
                <w:sz w:val="20"/>
                <w:szCs w:val="20"/>
              </w:rPr>
              <w:t>2011-2030</w:t>
            </w:r>
            <w:r>
              <w:rPr>
                <w:rFonts w:ascii="宋体" w:hAnsi="宋体" w:eastAsia="宋体" w:cs="宋体"/>
                <w:spacing w:val="3"/>
                <w:sz w:val="20"/>
                <w:szCs w:val="20"/>
              </w:rPr>
              <w:t>) 》：</w:t>
            </w:r>
            <w:r>
              <w:rPr>
                <w:rFonts w:ascii="宋体" w:hAnsi="宋体" w:eastAsia="宋体" w:cs="宋体"/>
                <w:i/>
                <w:iCs/>
                <w:spacing w:val="3"/>
                <w:sz w:val="21"/>
                <w:szCs w:val="21"/>
              </w:rPr>
              <w:t>道路网结构规划采用自由式与方格网相</w:t>
            </w:r>
            <w:r>
              <w:rPr>
                <w:rFonts w:ascii="宋体" w:hAnsi="宋体" w:eastAsia="宋体" w:cs="宋体"/>
                <w:sz w:val="21"/>
                <w:szCs w:val="21"/>
              </w:rPr>
              <w:t xml:space="preserve"> </w:t>
            </w:r>
            <w:r>
              <w:rPr>
                <w:rFonts w:ascii="宋体" w:hAnsi="宋体" w:eastAsia="宋体" w:cs="宋体"/>
                <w:i/>
                <w:iCs/>
                <w:spacing w:val="1"/>
                <w:sz w:val="21"/>
                <w:szCs w:val="21"/>
              </w:rPr>
              <w:t>结合的布</w:t>
            </w:r>
            <w:r>
              <w:rPr>
                <w:rFonts w:ascii="宋体" w:hAnsi="宋体" w:eastAsia="宋体" w:cs="宋体"/>
                <w:i/>
                <w:iCs/>
                <w:sz w:val="21"/>
                <w:szCs w:val="21"/>
              </w:rPr>
              <w:t>局结构形式组织城市道路系统，形成以</w:t>
            </w:r>
            <w:r>
              <w:rPr>
                <w:rFonts w:ascii="Times New Roman" w:hAnsi="Times New Roman" w:eastAsia="Times New Roman" w:cs="Times New Roman"/>
                <w:i/>
                <w:iCs/>
                <w:sz w:val="20"/>
                <w:szCs w:val="20"/>
              </w:rPr>
              <w:t>“</w:t>
            </w:r>
            <w:r>
              <w:rPr>
                <w:rFonts w:ascii="宋体" w:hAnsi="宋体" w:eastAsia="宋体" w:cs="宋体"/>
                <w:i/>
                <w:iCs/>
                <w:sz w:val="21"/>
                <w:szCs w:val="21"/>
              </w:rPr>
              <w:t>三横五纵加一环</w:t>
            </w:r>
            <w:r>
              <w:rPr>
                <w:rFonts w:ascii="Times New Roman" w:hAnsi="Times New Roman" w:eastAsia="Times New Roman" w:cs="Times New Roman"/>
                <w:i/>
                <w:iCs/>
                <w:sz w:val="20"/>
                <w:szCs w:val="20"/>
              </w:rPr>
              <w:t>”</w:t>
            </w:r>
            <w:r>
              <w:rPr>
                <w:rFonts w:ascii="宋体" w:hAnsi="宋体" w:eastAsia="宋体" w:cs="宋体"/>
                <w:i/>
                <w:iCs/>
                <w:sz w:val="21"/>
                <w:szCs w:val="21"/>
              </w:rPr>
              <w:t>的城市快速路及片区联</w:t>
            </w:r>
          </w:p>
          <w:p>
            <w:pPr>
              <w:spacing w:line="217" w:lineRule="auto"/>
              <w:ind w:left="71"/>
              <w:rPr>
                <w:rFonts w:ascii="宋体" w:hAnsi="宋体" w:eastAsia="宋体" w:cs="宋体"/>
                <w:sz w:val="21"/>
                <w:szCs w:val="21"/>
              </w:rPr>
            </w:pPr>
            <w:r>
              <w:rPr>
                <w:rFonts w:ascii="宋体" w:hAnsi="宋体" w:eastAsia="宋体" w:cs="宋体"/>
                <w:i/>
                <w:iCs/>
                <w:spacing w:val="4"/>
                <w:sz w:val="21"/>
                <w:szCs w:val="21"/>
              </w:rPr>
              <w:t>系性干路为主</w:t>
            </w:r>
            <w:r>
              <w:rPr>
                <w:rFonts w:ascii="宋体" w:hAnsi="宋体" w:eastAsia="宋体" w:cs="宋体"/>
                <w:i/>
                <w:iCs/>
                <w:spacing w:val="3"/>
                <w:sz w:val="21"/>
                <w:szCs w:val="21"/>
              </w:rPr>
              <w:t>框</w:t>
            </w:r>
            <w:r>
              <w:rPr>
                <w:rFonts w:ascii="宋体" w:hAnsi="宋体" w:eastAsia="宋体" w:cs="宋体"/>
                <w:i/>
                <w:iCs/>
                <w:spacing w:val="2"/>
                <w:sz w:val="21"/>
                <w:szCs w:val="21"/>
              </w:rPr>
              <w:t>架的城市道路交通骨架系统。</w:t>
            </w:r>
          </w:p>
        </w:tc>
      </w:tr>
    </w:tbl>
    <w:p>
      <w:pPr>
        <w:spacing w:line="151" w:lineRule="exact"/>
        <w:rPr>
          <w:rFonts w:ascii="Arial"/>
          <w:sz w:val="13"/>
        </w:rPr>
      </w:pPr>
    </w:p>
    <w:p>
      <w:pPr>
        <w:sectPr>
          <w:footerReference r:id="rId83" w:type="default"/>
          <w:pgSz w:w="11906" w:h="16839"/>
          <w:pgMar w:top="400" w:right="1472" w:bottom="1475" w:left="1471" w:header="0" w:footer="1315" w:gutter="0"/>
          <w:cols w:space="720" w:num="1"/>
        </w:sectPr>
      </w:pPr>
    </w:p>
    <w:p/>
    <w:p/>
    <w:p/>
    <w:p/>
    <w:p>
      <w:pPr>
        <w:spacing w:line="221" w:lineRule="exact"/>
      </w:pPr>
    </w:p>
    <w:tbl>
      <w:tblPr>
        <w:tblStyle w:val="4"/>
        <w:tblW w:w="894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83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7" w:hRule="atLeast"/>
        </w:trPr>
        <w:tc>
          <w:tcPr>
            <w:tcW w:w="644" w:type="dxa"/>
            <w:tcBorders>
              <w:left w:val="single" w:color="00000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65" w:line="233" w:lineRule="auto"/>
              <w:ind w:left="8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选址</w:t>
            </w:r>
          </w:p>
          <w:p>
            <w:pPr>
              <w:spacing w:before="21" w:line="228" w:lineRule="auto"/>
              <w:ind w:left="8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选线</w:t>
            </w:r>
          </w:p>
          <w:p>
            <w:pPr>
              <w:spacing w:before="26" w:line="228" w:lineRule="auto"/>
              <w:ind w:left="8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环</w:t>
            </w:r>
            <w:r>
              <w:rPr>
                <w:rFonts w:ascii="宋体" w:hAnsi="宋体" w:eastAsia="宋体" w:cs="宋体"/>
                <w:spacing w:val="15"/>
                <w:sz w:val="20"/>
                <w:szCs w:val="20"/>
                <w14:textOutline w14:w="3795" w14:cap="sq" w14:cmpd="sng">
                  <w14:solidFill>
                    <w14:srgbClr w14:val="000000"/>
                  </w14:solidFill>
                  <w14:prstDash w14:val="solid"/>
                  <w14:bevel/>
                </w14:textOutline>
              </w:rPr>
              <w:t>境</w:t>
            </w:r>
          </w:p>
          <w:p>
            <w:pPr>
              <w:spacing w:before="24" w:line="231" w:lineRule="auto"/>
              <w:ind w:left="89"/>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合理</w:t>
            </w:r>
          </w:p>
          <w:p>
            <w:pPr>
              <w:spacing w:before="21" w:line="228" w:lineRule="auto"/>
              <w:ind w:left="91"/>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性分</w:t>
            </w:r>
          </w:p>
          <w:p>
            <w:pPr>
              <w:spacing w:before="26" w:line="228" w:lineRule="auto"/>
              <w:ind w:left="205"/>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析</w:t>
            </w:r>
          </w:p>
        </w:tc>
        <w:tc>
          <w:tcPr>
            <w:tcW w:w="8303" w:type="dxa"/>
            <w:tcBorders>
              <w:right w:val="single" w:color="000000" w:sz="6" w:space="0"/>
            </w:tcBorders>
            <w:vAlign w:val="top"/>
          </w:tcPr>
          <w:p>
            <w:pPr>
              <w:spacing w:before="143" w:line="352" w:lineRule="auto"/>
              <w:ind w:left="68" w:right="14" w:firstLine="418"/>
              <w:rPr>
                <w:rFonts w:ascii="宋体" w:hAnsi="宋体" w:eastAsia="宋体" w:cs="宋体"/>
                <w:sz w:val="21"/>
                <w:szCs w:val="21"/>
              </w:rPr>
            </w:pPr>
            <w:r>
              <w:rPr>
                <w:rFonts w:ascii="宋体" w:hAnsi="宋体" w:eastAsia="宋体" w:cs="宋体"/>
                <w:i/>
                <w:iCs/>
                <w:spacing w:val="-1"/>
                <w:sz w:val="21"/>
                <w:szCs w:val="21"/>
              </w:rPr>
              <w:t>着力构建</w:t>
            </w:r>
            <w:r>
              <w:rPr>
                <w:rFonts w:ascii="Times New Roman" w:hAnsi="Times New Roman" w:eastAsia="Times New Roman" w:cs="Times New Roman"/>
                <w:i/>
                <w:iCs/>
                <w:sz w:val="20"/>
                <w:szCs w:val="20"/>
              </w:rPr>
              <w:t>“</w:t>
            </w:r>
            <w:r>
              <w:rPr>
                <w:rFonts w:ascii="宋体" w:hAnsi="宋体" w:eastAsia="宋体" w:cs="宋体"/>
                <w:i/>
                <w:iCs/>
                <w:sz w:val="21"/>
                <w:szCs w:val="21"/>
              </w:rPr>
              <w:t>一纵四横</w:t>
            </w:r>
            <w:r>
              <w:rPr>
                <w:rFonts w:ascii="Times New Roman" w:hAnsi="Times New Roman" w:eastAsia="Times New Roman" w:cs="Times New Roman"/>
                <w:i/>
                <w:iCs/>
                <w:sz w:val="20"/>
                <w:szCs w:val="20"/>
              </w:rPr>
              <w:t>”</w:t>
            </w:r>
            <w:r>
              <w:rPr>
                <w:rFonts w:ascii="宋体" w:hAnsi="宋体" w:eastAsia="宋体" w:cs="宋体"/>
                <w:i/>
                <w:iCs/>
                <w:sz w:val="21"/>
                <w:szCs w:val="21"/>
              </w:rPr>
              <w:t>的高速公路主骨架，加速构建</w:t>
            </w:r>
            <w:r>
              <w:rPr>
                <w:rFonts w:ascii="Times New Roman" w:hAnsi="Times New Roman" w:eastAsia="Times New Roman" w:cs="Times New Roman"/>
                <w:i/>
                <w:iCs/>
                <w:sz w:val="20"/>
                <w:szCs w:val="20"/>
              </w:rPr>
              <w:t>“</w:t>
            </w:r>
            <w:r>
              <w:rPr>
                <w:rFonts w:ascii="宋体" w:hAnsi="宋体" w:eastAsia="宋体" w:cs="宋体"/>
                <w:i/>
                <w:iCs/>
                <w:sz w:val="21"/>
                <w:szCs w:val="21"/>
              </w:rPr>
              <w:t>五纵七横</w:t>
            </w:r>
            <w:r>
              <w:rPr>
                <w:rFonts w:ascii="Times New Roman" w:hAnsi="Times New Roman" w:eastAsia="Times New Roman" w:cs="Times New Roman"/>
                <w:i/>
                <w:iCs/>
                <w:sz w:val="20"/>
                <w:szCs w:val="20"/>
              </w:rPr>
              <w:t>”</w:t>
            </w:r>
            <w:r>
              <w:rPr>
                <w:rFonts w:ascii="宋体" w:hAnsi="宋体" w:eastAsia="宋体" w:cs="宋体"/>
                <w:i/>
                <w:iCs/>
                <w:sz w:val="21"/>
                <w:szCs w:val="21"/>
              </w:rPr>
              <w:t>次级干线公路，提高路</w:t>
            </w:r>
            <w:r>
              <w:rPr>
                <w:rFonts w:ascii="宋体" w:hAnsi="宋体" w:eastAsia="宋体" w:cs="宋体"/>
                <w:sz w:val="21"/>
                <w:szCs w:val="21"/>
              </w:rPr>
              <w:t xml:space="preserve"> </w:t>
            </w:r>
            <w:r>
              <w:rPr>
                <w:rFonts w:ascii="宋体" w:hAnsi="宋体" w:eastAsia="宋体" w:cs="宋体"/>
                <w:i/>
                <w:iCs/>
                <w:spacing w:val="1"/>
                <w:sz w:val="21"/>
                <w:szCs w:val="21"/>
              </w:rPr>
              <w:t>网技术等级和服务水平。加强境内干线公路</w:t>
            </w:r>
            <w:r>
              <w:rPr>
                <w:rFonts w:ascii="宋体" w:hAnsi="宋体" w:eastAsia="宋体" w:cs="宋体"/>
                <w:i/>
                <w:iCs/>
                <w:sz w:val="21"/>
                <w:szCs w:val="21"/>
              </w:rPr>
              <w:t>建设，大力实施县乡公路改造，提升县乡公路</w:t>
            </w:r>
            <w:r>
              <w:rPr>
                <w:rFonts w:ascii="宋体" w:hAnsi="宋体" w:eastAsia="宋体" w:cs="宋体"/>
                <w:sz w:val="21"/>
                <w:szCs w:val="21"/>
              </w:rPr>
              <w:t xml:space="preserve"> </w:t>
            </w:r>
            <w:r>
              <w:rPr>
                <w:rFonts w:ascii="宋体" w:hAnsi="宋体" w:eastAsia="宋体" w:cs="宋体"/>
                <w:i/>
                <w:iCs/>
                <w:spacing w:val="18"/>
                <w:sz w:val="21"/>
                <w:szCs w:val="21"/>
              </w:rPr>
              <w:t>等级。</w:t>
            </w:r>
          </w:p>
          <w:p>
            <w:pPr>
              <w:spacing w:before="3" w:line="363" w:lineRule="auto"/>
              <w:ind w:left="75" w:right="71" w:firstLine="420"/>
              <w:rPr>
                <w:rFonts w:ascii="宋体" w:hAnsi="宋体" w:eastAsia="宋体" w:cs="宋体"/>
                <w:sz w:val="20"/>
                <w:szCs w:val="20"/>
              </w:rPr>
            </w:pPr>
            <w:r>
              <w:rPr>
                <w:rFonts w:ascii="宋体" w:hAnsi="宋体" w:eastAsia="宋体" w:cs="宋体"/>
                <w:spacing w:val="16"/>
                <w:sz w:val="20"/>
                <w:szCs w:val="20"/>
              </w:rPr>
              <w:t>根据《</w:t>
            </w:r>
            <w:r>
              <w:rPr>
                <w:rFonts w:ascii="宋体" w:hAnsi="宋体" w:eastAsia="宋体" w:cs="宋体"/>
                <w:spacing w:val="12"/>
                <w:sz w:val="20"/>
                <w:szCs w:val="20"/>
              </w:rPr>
              <w:t>达</w:t>
            </w:r>
            <w:r>
              <w:rPr>
                <w:rFonts w:ascii="宋体" w:hAnsi="宋体" w:eastAsia="宋体" w:cs="宋体"/>
                <w:spacing w:val="8"/>
                <w:sz w:val="20"/>
                <w:szCs w:val="20"/>
              </w:rPr>
              <w:t>州市高家坝城市组团控制性详细规划》高家坝两岸规划地块以居住用地和公</w:t>
            </w:r>
            <w:r>
              <w:rPr>
                <w:rFonts w:ascii="宋体" w:hAnsi="宋体" w:eastAsia="宋体" w:cs="宋体"/>
                <w:sz w:val="20"/>
                <w:szCs w:val="20"/>
              </w:rPr>
              <w:t xml:space="preserve"> </w:t>
            </w:r>
            <w:r>
              <w:rPr>
                <w:rFonts w:ascii="宋体" w:hAnsi="宋体" w:eastAsia="宋体" w:cs="宋体"/>
                <w:spacing w:val="12"/>
                <w:sz w:val="20"/>
                <w:szCs w:val="20"/>
              </w:rPr>
              <w:t>园绿地</w:t>
            </w:r>
            <w:r>
              <w:rPr>
                <w:rFonts w:ascii="宋体" w:hAnsi="宋体" w:eastAsia="宋体" w:cs="宋体"/>
                <w:spacing w:val="9"/>
                <w:sz w:val="20"/>
                <w:szCs w:val="20"/>
              </w:rPr>
              <w:t>为</w:t>
            </w:r>
            <w:r>
              <w:rPr>
                <w:rFonts w:ascii="宋体" w:hAnsi="宋体" w:eastAsia="宋体" w:cs="宋体"/>
                <w:spacing w:val="6"/>
                <w:sz w:val="20"/>
                <w:szCs w:val="20"/>
              </w:rPr>
              <w:t>主，辅以小部分公共服务用地和市政设施用地，其中居住用地占比约</w:t>
            </w:r>
            <w:r>
              <w:rPr>
                <w:rFonts w:ascii="Times New Roman" w:hAnsi="Times New Roman" w:eastAsia="Times New Roman" w:cs="Times New Roman"/>
                <w:spacing w:val="6"/>
                <w:sz w:val="20"/>
                <w:szCs w:val="20"/>
              </w:rPr>
              <w:t xml:space="preserve">43.48% </w:t>
            </w:r>
            <w:r>
              <w:rPr>
                <w:rFonts w:ascii="宋体" w:hAnsi="宋体" w:eastAsia="宋体" w:cs="宋体"/>
                <w:spacing w:val="6"/>
                <w:sz w:val="20"/>
                <w:szCs w:val="20"/>
              </w:rPr>
              <w:t>，公</w:t>
            </w:r>
            <w:r>
              <w:rPr>
                <w:rFonts w:ascii="宋体" w:hAnsi="宋体" w:eastAsia="宋体" w:cs="宋体"/>
                <w:sz w:val="20"/>
                <w:szCs w:val="20"/>
              </w:rPr>
              <w:t xml:space="preserve"> </w:t>
            </w:r>
            <w:r>
              <w:rPr>
                <w:rFonts w:ascii="宋体" w:hAnsi="宋体" w:eastAsia="宋体" w:cs="宋体"/>
                <w:spacing w:val="12"/>
                <w:sz w:val="20"/>
                <w:szCs w:val="20"/>
              </w:rPr>
              <w:t>园绿地</w:t>
            </w:r>
            <w:r>
              <w:rPr>
                <w:rFonts w:ascii="宋体" w:hAnsi="宋体" w:eastAsia="宋体" w:cs="宋体"/>
                <w:spacing w:val="8"/>
                <w:sz w:val="20"/>
                <w:szCs w:val="20"/>
              </w:rPr>
              <w:t>占</w:t>
            </w:r>
            <w:r>
              <w:rPr>
                <w:rFonts w:ascii="宋体" w:hAnsi="宋体" w:eastAsia="宋体" w:cs="宋体"/>
                <w:spacing w:val="6"/>
                <w:sz w:val="20"/>
                <w:szCs w:val="20"/>
              </w:rPr>
              <w:t>比</w:t>
            </w:r>
            <w:r>
              <w:rPr>
                <w:rFonts w:ascii="Times New Roman" w:hAnsi="Times New Roman" w:eastAsia="Times New Roman" w:cs="Times New Roman"/>
                <w:spacing w:val="6"/>
                <w:sz w:val="20"/>
                <w:szCs w:val="20"/>
              </w:rPr>
              <w:t>32. 14%</w:t>
            </w:r>
            <w:r>
              <w:rPr>
                <w:rFonts w:ascii="宋体" w:hAnsi="宋体" w:eastAsia="宋体" w:cs="宋体"/>
                <w:spacing w:val="6"/>
                <w:sz w:val="20"/>
                <w:szCs w:val="20"/>
              </w:rPr>
              <w:t>。规划拟在州河包茂高速下游新建一座桥梁连接高家坝片区组团和张家</w:t>
            </w:r>
            <w:r>
              <w:rPr>
                <w:rFonts w:ascii="宋体" w:hAnsi="宋体" w:eastAsia="宋体" w:cs="宋体"/>
                <w:sz w:val="20"/>
                <w:szCs w:val="20"/>
              </w:rPr>
              <w:t xml:space="preserve"> </w:t>
            </w:r>
            <w:r>
              <w:rPr>
                <w:rFonts w:ascii="宋体" w:hAnsi="宋体" w:eastAsia="宋体" w:cs="宋体"/>
                <w:spacing w:val="7"/>
                <w:sz w:val="20"/>
                <w:szCs w:val="20"/>
              </w:rPr>
              <w:t>坝片区组团</w:t>
            </w:r>
            <w:r>
              <w:rPr>
                <w:rFonts w:ascii="宋体" w:hAnsi="宋体" w:eastAsia="宋体" w:cs="宋体"/>
                <w:spacing w:val="6"/>
                <w:sz w:val="20"/>
                <w:szCs w:val="20"/>
              </w:rPr>
              <w:t>。</w:t>
            </w:r>
          </w:p>
          <w:p>
            <w:pPr>
              <w:spacing w:before="25" w:line="369" w:lineRule="auto"/>
              <w:ind w:left="76" w:right="1" w:firstLine="419"/>
              <w:rPr>
                <w:rFonts w:ascii="宋体" w:hAnsi="宋体" w:eastAsia="宋体" w:cs="宋体"/>
                <w:sz w:val="20"/>
                <w:szCs w:val="20"/>
              </w:rPr>
            </w:pPr>
            <w:r>
              <w:rPr>
                <w:rFonts w:ascii="宋体" w:hAnsi="宋体" w:eastAsia="宋体" w:cs="宋体"/>
                <w:spacing w:val="16"/>
                <w:sz w:val="20"/>
                <w:szCs w:val="20"/>
              </w:rPr>
              <w:t>在进行</w:t>
            </w:r>
            <w:r>
              <w:rPr>
                <w:rFonts w:ascii="宋体" w:hAnsi="宋体" w:eastAsia="宋体" w:cs="宋体"/>
                <w:spacing w:val="13"/>
                <w:sz w:val="20"/>
                <w:szCs w:val="20"/>
              </w:rPr>
              <w:t>桥</w:t>
            </w:r>
            <w:r>
              <w:rPr>
                <w:rFonts w:ascii="宋体" w:hAnsi="宋体" w:eastAsia="宋体" w:cs="宋体"/>
                <w:spacing w:val="8"/>
                <w:sz w:val="20"/>
                <w:szCs w:val="20"/>
              </w:rPr>
              <w:t>位选址及规划桥位选择时，设计单位对区位内可行的桥位进行了详细的踏勘</w:t>
            </w:r>
            <w:r>
              <w:rPr>
                <w:rFonts w:ascii="宋体" w:hAnsi="宋体" w:eastAsia="宋体" w:cs="宋体"/>
                <w:sz w:val="20"/>
                <w:szCs w:val="20"/>
              </w:rPr>
              <w:t xml:space="preserve"> </w:t>
            </w:r>
            <w:r>
              <w:rPr>
                <w:rFonts w:ascii="宋体" w:hAnsi="宋体" w:eastAsia="宋体" w:cs="宋体"/>
                <w:spacing w:val="10"/>
                <w:sz w:val="20"/>
                <w:szCs w:val="20"/>
              </w:rPr>
              <w:t>调查，</w:t>
            </w:r>
            <w:r>
              <w:rPr>
                <w:rFonts w:ascii="宋体" w:hAnsi="宋体" w:eastAsia="宋体" w:cs="宋体"/>
                <w:spacing w:val="5"/>
                <w:sz w:val="20"/>
                <w:szCs w:val="20"/>
              </w:rPr>
              <w:t>对区位内其他可行的桥位进行了详细分析比选，最终从道路交通、拆迁、实施难度、</w:t>
            </w:r>
            <w:r>
              <w:rPr>
                <w:rFonts w:ascii="宋体" w:hAnsi="宋体" w:eastAsia="宋体" w:cs="宋体"/>
                <w:sz w:val="20"/>
                <w:szCs w:val="20"/>
              </w:rPr>
              <w:t xml:space="preserve"> </w:t>
            </w:r>
            <w:r>
              <w:rPr>
                <w:rFonts w:ascii="宋体" w:hAnsi="宋体" w:eastAsia="宋体" w:cs="宋体"/>
                <w:spacing w:val="14"/>
                <w:sz w:val="20"/>
                <w:szCs w:val="20"/>
              </w:rPr>
              <w:t>工</w:t>
            </w:r>
            <w:r>
              <w:rPr>
                <w:rFonts w:ascii="宋体" w:hAnsi="宋体" w:eastAsia="宋体" w:cs="宋体"/>
                <w:spacing w:val="9"/>
                <w:sz w:val="20"/>
                <w:szCs w:val="20"/>
              </w:rPr>
              <w:t>程</w:t>
            </w:r>
            <w:r>
              <w:rPr>
                <w:rFonts w:ascii="宋体" w:hAnsi="宋体" w:eastAsia="宋体" w:cs="宋体"/>
                <w:spacing w:val="7"/>
                <w:sz w:val="20"/>
                <w:szCs w:val="20"/>
              </w:rPr>
              <w:t>造价等方面综合考虑，推荐桥位位于包茂高速州河大桥下游约</w:t>
            </w:r>
            <w:r>
              <w:rPr>
                <w:rFonts w:ascii="Times New Roman" w:hAnsi="Times New Roman" w:eastAsia="Times New Roman" w:cs="Times New Roman"/>
                <w:spacing w:val="7"/>
                <w:sz w:val="20"/>
                <w:szCs w:val="20"/>
              </w:rPr>
              <w:t>200</w:t>
            </w:r>
            <w:r>
              <w:rPr>
                <w:rFonts w:ascii="Times New Roman" w:hAnsi="Times New Roman" w:eastAsia="Times New Roman" w:cs="Times New Roman"/>
                <w:sz w:val="20"/>
                <w:szCs w:val="20"/>
              </w:rPr>
              <w:t>m</w:t>
            </w:r>
            <w:r>
              <w:rPr>
                <w:rFonts w:ascii="宋体" w:hAnsi="宋体" w:eastAsia="宋体" w:cs="宋体"/>
                <w:spacing w:val="7"/>
                <w:sz w:val="20"/>
                <w:szCs w:val="20"/>
              </w:rPr>
              <w:t>的位置。在本区位</w:t>
            </w:r>
            <w:r>
              <w:rPr>
                <w:rFonts w:ascii="宋体" w:hAnsi="宋体" w:eastAsia="宋体" w:cs="宋体"/>
                <w:sz w:val="20"/>
                <w:szCs w:val="20"/>
              </w:rPr>
              <w:t xml:space="preserve"> </w:t>
            </w:r>
            <w:r>
              <w:rPr>
                <w:rFonts w:ascii="宋体" w:hAnsi="宋体" w:eastAsia="宋体" w:cs="宋体"/>
                <w:spacing w:val="9"/>
                <w:sz w:val="20"/>
                <w:szCs w:val="20"/>
              </w:rPr>
              <w:t>内高家坝大桥规划桥位是合理可行且最优的，在该区位内，该桥位具有唯一性，上下游</w:t>
            </w:r>
            <w:r>
              <w:rPr>
                <w:rFonts w:ascii="宋体" w:hAnsi="宋体" w:eastAsia="宋体" w:cs="宋体"/>
                <w:spacing w:val="2"/>
                <w:sz w:val="20"/>
                <w:szCs w:val="20"/>
              </w:rPr>
              <w:t>桥</w:t>
            </w:r>
            <w:r>
              <w:rPr>
                <w:rFonts w:ascii="宋体" w:hAnsi="宋体" w:eastAsia="宋体" w:cs="宋体"/>
                <w:sz w:val="20"/>
                <w:szCs w:val="20"/>
              </w:rPr>
              <w:t xml:space="preserve"> </w:t>
            </w:r>
            <w:r>
              <w:rPr>
                <w:rFonts w:ascii="宋体" w:hAnsi="宋体" w:eastAsia="宋体" w:cs="宋体"/>
                <w:spacing w:val="16"/>
                <w:sz w:val="20"/>
                <w:szCs w:val="20"/>
              </w:rPr>
              <w:t>位</w:t>
            </w:r>
            <w:r>
              <w:rPr>
                <w:rFonts w:ascii="宋体" w:hAnsi="宋体" w:eastAsia="宋体" w:cs="宋体"/>
                <w:spacing w:val="9"/>
                <w:sz w:val="20"/>
                <w:szCs w:val="20"/>
              </w:rPr>
              <w:t>均</w:t>
            </w:r>
            <w:r>
              <w:rPr>
                <w:rFonts w:ascii="宋体" w:hAnsi="宋体" w:eastAsia="宋体" w:cs="宋体"/>
                <w:spacing w:val="8"/>
                <w:sz w:val="20"/>
                <w:szCs w:val="20"/>
              </w:rPr>
              <w:t>有先天不足，且可行性较低。</w:t>
            </w:r>
          </w:p>
          <w:p>
            <w:pPr>
              <w:spacing w:line="226" w:lineRule="auto"/>
              <w:ind w:left="537"/>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22"/>
                <w:sz w:val="20"/>
                <w:szCs w:val="20"/>
              </w:rPr>
              <w:t>2</w:t>
            </w:r>
            <w:r>
              <w:rPr>
                <w:rFonts w:ascii="宋体" w:hAnsi="宋体" w:eastAsia="宋体" w:cs="宋体"/>
                <w:spacing w:val="11"/>
                <w:sz w:val="20"/>
                <w:szCs w:val="20"/>
              </w:rPr>
              <w:t>) 项目推荐桥位与两端既有道路相接，交叉路口具有良好的接驳条件。</w:t>
            </w:r>
          </w:p>
          <w:p>
            <w:pPr>
              <w:spacing w:before="156" w:line="369" w:lineRule="auto"/>
              <w:ind w:left="107" w:right="71" w:firstLine="419"/>
              <w:rPr>
                <w:rFonts w:ascii="宋体" w:hAnsi="宋体" w:eastAsia="宋体" w:cs="宋体"/>
                <w:sz w:val="20"/>
                <w:szCs w:val="20"/>
              </w:rPr>
            </w:pPr>
            <w:r>
              <w:rPr>
                <w:rFonts w:ascii="宋体" w:hAnsi="宋体" w:eastAsia="宋体" w:cs="宋体"/>
                <w:spacing w:val="20"/>
                <w:sz w:val="20"/>
                <w:szCs w:val="20"/>
              </w:rPr>
              <w:t>拟</w:t>
            </w:r>
            <w:r>
              <w:rPr>
                <w:rFonts w:ascii="宋体" w:hAnsi="宋体" w:eastAsia="宋体" w:cs="宋体"/>
                <w:spacing w:val="11"/>
                <w:sz w:val="20"/>
                <w:szCs w:val="20"/>
              </w:rPr>
              <w:t>建</w:t>
            </w:r>
            <w:r>
              <w:rPr>
                <w:rFonts w:ascii="宋体" w:hAnsi="宋体" w:eastAsia="宋体" w:cs="宋体"/>
                <w:spacing w:val="10"/>
                <w:sz w:val="20"/>
                <w:szCs w:val="20"/>
              </w:rPr>
              <w:t>高家坝大桥西岸与规划的滨河路平面交叉形成“</w:t>
            </w:r>
            <w:r>
              <w:rPr>
                <w:rFonts w:ascii="Times New Roman" w:hAnsi="Times New Roman" w:eastAsia="Times New Roman" w:cs="Times New Roman"/>
                <w:sz w:val="20"/>
                <w:szCs w:val="20"/>
              </w:rPr>
              <w:t>T</w:t>
            </w:r>
            <w:r>
              <w:rPr>
                <w:rFonts w:ascii="宋体" w:hAnsi="宋体" w:eastAsia="宋体" w:cs="宋体"/>
                <w:spacing w:val="10"/>
                <w:sz w:val="20"/>
                <w:szCs w:val="20"/>
              </w:rPr>
              <w:t>”形路口，东岸与既有的南北</w:t>
            </w:r>
            <w:r>
              <w:rPr>
                <w:rFonts w:ascii="宋体" w:hAnsi="宋体" w:eastAsia="宋体" w:cs="宋体"/>
                <w:sz w:val="20"/>
                <w:szCs w:val="20"/>
              </w:rPr>
              <w:t xml:space="preserve"> </w:t>
            </w:r>
            <w:r>
              <w:rPr>
                <w:rFonts w:ascii="宋体" w:hAnsi="宋体" w:eastAsia="宋体" w:cs="宋体"/>
                <w:spacing w:val="14"/>
                <w:sz w:val="20"/>
                <w:szCs w:val="20"/>
              </w:rPr>
              <w:t>主干道</w:t>
            </w:r>
            <w:r>
              <w:rPr>
                <w:rFonts w:ascii="宋体" w:hAnsi="宋体" w:eastAsia="宋体" w:cs="宋体"/>
                <w:spacing w:val="12"/>
                <w:sz w:val="20"/>
                <w:szCs w:val="20"/>
              </w:rPr>
              <w:t>和</w:t>
            </w:r>
            <w:r>
              <w:rPr>
                <w:rFonts w:ascii="宋体" w:hAnsi="宋体" w:eastAsia="宋体" w:cs="宋体"/>
                <w:spacing w:val="7"/>
                <w:sz w:val="20"/>
                <w:szCs w:val="20"/>
              </w:rPr>
              <w:t>江湾路平面交叉形成“</w:t>
            </w:r>
            <w:r>
              <w:rPr>
                <w:rFonts w:ascii="Times New Roman" w:hAnsi="Times New Roman" w:eastAsia="Times New Roman" w:cs="Times New Roman"/>
                <w:sz w:val="20"/>
                <w:szCs w:val="20"/>
              </w:rPr>
              <w:t>K</w:t>
            </w:r>
            <w:r>
              <w:rPr>
                <w:rFonts w:ascii="宋体" w:hAnsi="宋体" w:eastAsia="宋体" w:cs="宋体"/>
                <w:spacing w:val="7"/>
                <w:sz w:val="20"/>
                <w:szCs w:val="20"/>
              </w:rPr>
              <w:t>”字路口，西岸规划滨河路规划宽度</w:t>
            </w:r>
            <w:r>
              <w:rPr>
                <w:rFonts w:ascii="Times New Roman" w:hAnsi="Times New Roman" w:eastAsia="Times New Roman" w:cs="Times New Roman"/>
                <w:spacing w:val="7"/>
                <w:sz w:val="20"/>
                <w:szCs w:val="20"/>
              </w:rPr>
              <w:t>21.75</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，与桥梁相</w:t>
            </w:r>
            <w:r>
              <w:rPr>
                <w:rFonts w:ascii="宋体" w:hAnsi="宋体" w:eastAsia="宋体" w:cs="宋体"/>
                <w:sz w:val="20"/>
                <w:szCs w:val="20"/>
              </w:rPr>
              <w:t xml:space="preserve"> </w:t>
            </w:r>
            <w:r>
              <w:rPr>
                <w:rFonts w:ascii="宋体" w:hAnsi="宋体" w:eastAsia="宋体" w:cs="宋体"/>
                <w:spacing w:val="9"/>
                <w:sz w:val="20"/>
                <w:szCs w:val="20"/>
              </w:rPr>
              <w:t>交</w:t>
            </w:r>
            <w:r>
              <w:rPr>
                <w:rFonts w:ascii="宋体" w:hAnsi="宋体" w:eastAsia="宋体" w:cs="宋体"/>
                <w:spacing w:val="8"/>
                <w:sz w:val="20"/>
                <w:szCs w:val="20"/>
              </w:rPr>
              <w:t>段为直线，符合增设交叉口条件，滨河路西侧为在建绿地楼盘，东侧为州河。东岸南北</w:t>
            </w:r>
            <w:r>
              <w:rPr>
                <w:rFonts w:ascii="宋体" w:hAnsi="宋体" w:eastAsia="宋体" w:cs="宋体"/>
                <w:sz w:val="20"/>
                <w:szCs w:val="20"/>
              </w:rPr>
              <w:t xml:space="preserve"> </w:t>
            </w:r>
            <w:r>
              <w:rPr>
                <w:rFonts w:ascii="宋体" w:hAnsi="宋体" w:eastAsia="宋体" w:cs="宋体"/>
                <w:spacing w:val="14"/>
                <w:sz w:val="20"/>
                <w:szCs w:val="20"/>
              </w:rPr>
              <w:t>主</w:t>
            </w:r>
            <w:r>
              <w:rPr>
                <w:rFonts w:ascii="宋体" w:hAnsi="宋体" w:eastAsia="宋体" w:cs="宋体"/>
                <w:spacing w:val="13"/>
                <w:sz w:val="20"/>
                <w:szCs w:val="20"/>
              </w:rPr>
              <w:t>干</w:t>
            </w:r>
            <w:r>
              <w:rPr>
                <w:rFonts w:ascii="宋体" w:hAnsi="宋体" w:eastAsia="宋体" w:cs="宋体"/>
                <w:spacing w:val="7"/>
                <w:sz w:val="20"/>
                <w:szCs w:val="20"/>
              </w:rPr>
              <w:t>道和江湾路为既有道路，南北主干道道路宽度</w:t>
            </w:r>
            <w:r>
              <w:rPr>
                <w:rFonts w:ascii="Times New Roman" w:hAnsi="Times New Roman" w:eastAsia="Times New Roman" w:cs="Times New Roman"/>
                <w:spacing w:val="7"/>
                <w:sz w:val="20"/>
                <w:szCs w:val="20"/>
              </w:rPr>
              <w:t>24</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，江湾路道路宽度</w:t>
            </w:r>
            <w:r>
              <w:rPr>
                <w:rFonts w:ascii="Times New Roman" w:hAnsi="Times New Roman" w:eastAsia="Times New Roman" w:cs="Times New Roman"/>
                <w:spacing w:val="7"/>
                <w:sz w:val="20"/>
                <w:szCs w:val="20"/>
              </w:rPr>
              <w:t>12</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。江湾路与</w:t>
            </w:r>
            <w:r>
              <w:rPr>
                <w:rFonts w:ascii="宋体" w:hAnsi="宋体" w:eastAsia="宋体" w:cs="宋体"/>
                <w:sz w:val="20"/>
                <w:szCs w:val="20"/>
              </w:rPr>
              <w:t xml:space="preserve"> </w:t>
            </w:r>
            <w:r>
              <w:rPr>
                <w:rFonts w:ascii="宋体" w:hAnsi="宋体" w:eastAsia="宋体" w:cs="宋体"/>
                <w:spacing w:val="6"/>
                <w:sz w:val="20"/>
                <w:szCs w:val="20"/>
              </w:rPr>
              <w:t>桥梁相交段为直线，纵坡</w:t>
            </w:r>
            <w:r>
              <w:rPr>
                <w:rFonts w:ascii="Times New Roman" w:hAnsi="Times New Roman" w:eastAsia="Times New Roman" w:cs="Times New Roman"/>
                <w:spacing w:val="6"/>
                <w:sz w:val="20"/>
                <w:szCs w:val="20"/>
              </w:rPr>
              <w:t xml:space="preserve">0.3% </w:t>
            </w:r>
            <w:r>
              <w:rPr>
                <w:rFonts w:ascii="宋体" w:hAnsi="宋体" w:eastAsia="宋体" w:cs="宋体"/>
                <w:spacing w:val="6"/>
                <w:sz w:val="20"/>
                <w:szCs w:val="20"/>
              </w:rPr>
              <w:t>，符合增设交叉口条件，江湾路西侧为州河，东侧为已建</w:t>
            </w:r>
            <w:r>
              <w:rPr>
                <w:rFonts w:ascii="宋体" w:hAnsi="宋体" w:eastAsia="宋体" w:cs="宋体"/>
                <w:spacing w:val="1"/>
                <w:sz w:val="20"/>
                <w:szCs w:val="20"/>
              </w:rPr>
              <w:t>成</w:t>
            </w:r>
            <w:r>
              <w:rPr>
                <w:rFonts w:ascii="宋体" w:hAnsi="宋体" w:eastAsia="宋体" w:cs="宋体"/>
                <w:sz w:val="20"/>
                <w:szCs w:val="20"/>
              </w:rPr>
              <w:t xml:space="preserve"> </w:t>
            </w:r>
            <w:r>
              <w:rPr>
                <w:rFonts w:ascii="宋体" w:hAnsi="宋体" w:eastAsia="宋体" w:cs="宋体"/>
                <w:spacing w:val="7"/>
                <w:sz w:val="20"/>
                <w:szCs w:val="20"/>
              </w:rPr>
              <w:t>小区江湾城</w:t>
            </w:r>
            <w:r>
              <w:rPr>
                <w:rFonts w:ascii="宋体" w:hAnsi="宋体" w:eastAsia="宋体" w:cs="宋体"/>
                <w:spacing w:val="5"/>
                <w:sz w:val="20"/>
                <w:szCs w:val="20"/>
              </w:rPr>
              <w:t>。</w:t>
            </w:r>
          </w:p>
          <w:p>
            <w:pPr>
              <w:spacing w:before="1" w:line="226" w:lineRule="auto"/>
              <w:ind w:left="537"/>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2"/>
                <w:sz w:val="20"/>
                <w:szCs w:val="20"/>
              </w:rPr>
              <w:t>3</w:t>
            </w:r>
            <w:r>
              <w:rPr>
                <w:rFonts w:ascii="宋体" w:hAnsi="宋体" w:eastAsia="宋体" w:cs="宋体"/>
                <w:spacing w:val="12"/>
                <w:sz w:val="20"/>
                <w:szCs w:val="20"/>
              </w:rPr>
              <w:t>) 拟选桥位建设桥梁，满足通航、防洪要求。</w:t>
            </w:r>
          </w:p>
          <w:p>
            <w:pPr>
              <w:tabs>
                <w:tab w:val="left" w:pos="217"/>
              </w:tabs>
              <w:spacing w:before="156" w:line="369" w:lineRule="auto"/>
              <w:ind w:left="107" w:right="71" w:firstLine="422"/>
              <w:rPr>
                <w:rFonts w:ascii="宋体" w:hAnsi="宋体" w:eastAsia="宋体" w:cs="宋体"/>
                <w:sz w:val="20"/>
                <w:szCs w:val="20"/>
              </w:rPr>
            </w:pPr>
            <w:r>
              <w:rPr>
                <w:rFonts w:ascii="宋体" w:hAnsi="宋体" w:eastAsia="宋体" w:cs="宋体"/>
                <w:spacing w:val="-28"/>
                <w:sz w:val="20"/>
                <w:szCs w:val="20"/>
              </w:rPr>
              <w:t>工</w:t>
            </w:r>
            <w:r>
              <w:rPr>
                <w:rFonts w:ascii="宋体" w:hAnsi="宋体" w:eastAsia="宋体" w:cs="宋体"/>
                <w:spacing w:val="-24"/>
                <w:sz w:val="20"/>
                <w:szCs w:val="20"/>
              </w:rPr>
              <w:t xml:space="preserve"> 程 桥 梁 上 跨 州 河 段 规 划 航 道 等 级 为 </w:t>
            </w:r>
            <w:r>
              <w:rPr>
                <w:rFonts w:ascii="Times New Roman" w:hAnsi="Times New Roman" w:eastAsia="Times New Roman" w:cs="Times New Roman"/>
                <w:spacing w:val="-24"/>
                <w:sz w:val="20"/>
                <w:szCs w:val="20"/>
              </w:rPr>
              <w:t xml:space="preserve">Ⅶ </w:t>
            </w:r>
            <w:r>
              <w:rPr>
                <w:rFonts w:ascii="宋体" w:hAnsi="宋体" w:eastAsia="宋体" w:cs="宋体"/>
                <w:spacing w:val="-24"/>
                <w:sz w:val="20"/>
                <w:szCs w:val="20"/>
              </w:rPr>
              <w:t>级 航 道 ， 根 据 《 内 河 通 航 标 准》</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1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4"/>
                <w:sz w:val="20"/>
                <w:szCs w:val="20"/>
              </w:rPr>
              <w:t>5</w:t>
            </w:r>
            <w:r>
              <w:rPr>
                <w:rFonts w:ascii="Times New Roman" w:hAnsi="Times New Roman" w:eastAsia="Times New Roman" w:cs="Times New Roman"/>
                <w:spacing w:val="10"/>
                <w:sz w:val="20"/>
                <w:szCs w:val="20"/>
              </w:rPr>
              <w:t>0</w:t>
            </w:r>
            <w:r>
              <w:rPr>
                <w:rFonts w:ascii="Times New Roman" w:hAnsi="Times New Roman" w:eastAsia="Times New Roman" w:cs="Times New Roman"/>
                <w:spacing w:val="7"/>
                <w:sz w:val="20"/>
                <w:szCs w:val="20"/>
              </w:rPr>
              <w:t>139-2014</w:t>
            </w:r>
            <w:r>
              <w:rPr>
                <w:rFonts w:ascii="宋体" w:hAnsi="宋体" w:eastAsia="宋体" w:cs="宋体"/>
                <w:spacing w:val="7"/>
                <w:sz w:val="20"/>
                <w:szCs w:val="20"/>
              </w:rPr>
              <w:t>) 中</w:t>
            </w:r>
            <w:r>
              <w:rPr>
                <w:rFonts w:ascii="Times New Roman" w:hAnsi="Times New Roman" w:eastAsia="Times New Roman" w:cs="Times New Roman"/>
                <w:spacing w:val="7"/>
                <w:sz w:val="20"/>
                <w:szCs w:val="20"/>
              </w:rPr>
              <w:t>Ⅶ</w:t>
            </w:r>
            <w:r>
              <w:rPr>
                <w:rFonts w:ascii="宋体" w:hAnsi="宋体" w:eastAsia="宋体" w:cs="宋体"/>
                <w:spacing w:val="7"/>
                <w:sz w:val="20"/>
                <w:szCs w:val="20"/>
              </w:rPr>
              <w:t>级航道水上过河建筑物通航净高不小于</w:t>
            </w:r>
            <w:r>
              <w:rPr>
                <w:rFonts w:ascii="Times New Roman" w:hAnsi="Times New Roman" w:eastAsia="Times New Roman" w:cs="Times New Roman"/>
                <w:spacing w:val="7"/>
                <w:sz w:val="20"/>
                <w:szCs w:val="20"/>
              </w:rPr>
              <w:t>4.5</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，项目河段桥梁设计</w:t>
            </w:r>
            <w:r>
              <w:rPr>
                <w:rFonts w:ascii="宋体" w:hAnsi="宋体" w:eastAsia="宋体" w:cs="宋体"/>
                <w:sz w:val="20"/>
                <w:szCs w:val="20"/>
              </w:rPr>
              <w:t xml:space="preserve"> </w:t>
            </w:r>
            <w:r>
              <w:rPr>
                <w:rFonts w:ascii="宋体" w:hAnsi="宋体" w:eastAsia="宋体" w:cs="宋体"/>
                <w:spacing w:val="12"/>
                <w:sz w:val="20"/>
                <w:szCs w:val="20"/>
              </w:rPr>
              <w:t>通</w:t>
            </w:r>
            <w:r>
              <w:rPr>
                <w:rFonts w:ascii="宋体" w:hAnsi="宋体" w:eastAsia="宋体" w:cs="宋体"/>
                <w:spacing w:val="11"/>
                <w:sz w:val="20"/>
                <w:szCs w:val="20"/>
              </w:rPr>
              <w:t>航净高为</w:t>
            </w:r>
            <w:r>
              <w:rPr>
                <w:rFonts w:ascii="Times New Roman" w:hAnsi="Times New Roman" w:eastAsia="Times New Roman" w:cs="Times New Roman"/>
                <w:spacing w:val="11"/>
                <w:sz w:val="20"/>
                <w:szCs w:val="20"/>
              </w:rPr>
              <w:t>10.06</w:t>
            </w:r>
            <w:r>
              <w:rPr>
                <w:rFonts w:ascii="Times New Roman" w:hAnsi="Times New Roman" w:eastAsia="Times New Roman" w:cs="Times New Roman"/>
                <w:sz w:val="20"/>
                <w:szCs w:val="20"/>
              </w:rPr>
              <w:t>m</w:t>
            </w:r>
            <w:r>
              <w:rPr>
                <w:rFonts w:ascii="宋体" w:hAnsi="宋体" w:eastAsia="宋体" w:cs="宋体"/>
                <w:spacing w:val="11"/>
                <w:sz w:val="20"/>
                <w:szCs w:val="20"/>
              </w:rPr>
              <w:t>满足通航净高要求。采用</w:t>
            </w:r>
            <w:r>
              <w:rPr>
                <w:rFonts w:ascii="Times New Roman" w:hAnsi="Times New Roman" w:eastAsia="Times New Roman" w:cs="Times New Roman"/>
                <w:spacing w:val="11"/>
                <w:sz w:val="20"/>
                <w:szCs w:val="20"/>
              </w:rPr>
              <w:t>110</w:t>
            </w:r>
            <w:r>
              <w:rPr>
                <w:rFonts w:ascii="Times New Roman" w:hAnsi="Times New Roman" w:eastAsia="Times New Roman" w:cs="Times New Roman"/>
                <w:sz w:val="20"/>
                <w:szCs w:val="20"/>
              </w:rPr>
              <w:t>m</w:t>
            </w:r>
            <w:r>
              <w:rPr>
                <w:rFonts w:ascii="宋体" w:hAnsi="宋体" w:eastAsia="宋体" w:cs="宋体"/>
                <w:spacing w:val="11"/>
                <w:sz w:val="20"/>
                <w:szCs w:val="20"/>
              </w:rPr>
              <w:t>主跨作为单孔双向通航孔，通航孔内通</w:t>
            </w:r>
            <w:r>
              <w:rPr>
                <w:rFonts w:ascii="宋体" w:hAnsi="宋体" w:eastAsia="宋体" w:cs="宋体"/>
                <w:sz w:val="20"/>
                <w:szCs w:val="20"/>
              </w:rPr>
              <w:t xml:space="preserve"> </w:t>
            </w:r>
            <w:r>
              <w:rPr>
                <w:rFonts w:ascii="宋体" w:hAnsi="宋体" w:eastAsia="宋体" w:cs="宋体"/>
                <w:spacing w:val="8"/>
                <w:sz w:val="20"/>
                <w:szCs w:val="20"/>
              </w:rPr>
              <w:t>航</w:t>
            </w:r>
            <w:r>
              <w:rPr>
                <w:rFonts w:ascii="宋体" w:hAnsi="宋体" w:eastAsia="宋体" w:cs="宋体"/>
                <w:spacing w:val="7"/>
                <w:sz w:val="20"/>
                <w:szCs w:val="20"/>
              </w:rPr>
              <w:t>净宽约</w:t>
            </w:r>
            <w:r>
              <w:rPr>
                <w:rFonts w:ascii="Times New Roman" w:hAnsi="Times New Roman" w:eastAsia="Times New Roman" w:cs="Times New Roman"/>
                <w:spacing w:val="7"/>
                <w:sz w:val="20"/>
                <w:szCs w:val="20"/>
              </w:rPr>
              <w:t>99.5</w:t>
            </w:r>
            <w:r>
              <w:rPr>
                <w:rFonts w:ascii="Times New Roman" w:hAnsi="Times New Roman" w:eastAsia="Times New Roman" w:cs="Times New Roman"/>
                <w:sz w:val="20"/>
                <w:szCs w:val="20"/>
              </w:rPr>
              <w:t>m</w:t>
            </w:r>
            <w:r>
              <w:rPr>
                <w:rFonts w:ascii="宋体" w:hAnsi="宋体" w:eastAsia="宋体" w:cs="宋体"/>
                <w:spacing w:val="7"/>
                <w:sz w:val="20"/>
                <w:szCs w:val="20"/>
              </w:rPr>
              <w:t>大于所需最小通航净宽</w:t>
            </w:r>
            <w:r>
              <w:rPr>
                <w:rFonts w:ascii="Times New Roman" w:hAnsi="Times New Roman" w:eastAsia="Times New Roman" w:cs="Times New Roman"/>
                <w:spacing w:val="7"/>
                <w:sz w:val="20"/>
                <w:szCs w:val="20"/>
              </w:rPr>
              <w:t>72</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。拟建桥梁桥位处在</w:t>
            </w:r>
            <w:r>
              <w:rPr>
                <w:rFonts w:ascii="Times New Roman" w:hAnsi="Times New Roman" w:eastAsia="Times New Roman" w:cs="Times New Roman"/>
                <w:spacing w:val="7"/>
                <w:sz w:val="20"/>
                <w:szCs w:val="20"/>
              </w:rPr>
              <w:t>100</w:t>
            </w:r>
            <w:r>
              <w:rPr>
                <w:rFonts w:ascii="宋体" w:hAnsi="宋体" w:eastAsia="宋体" w:cs="宋体"/>
                <w:spacing w:val="7"/>
                <w:sz w:val="20"/>
                <w:szCs w:val="20"/>
              </w:rPr>
              <w:t>年一遇洪水条件下，建</w:t>
            </w:r>
            <w:r>
              <w:rPr>
                <w:rFonts w:ascii="宋体" w:hAnsi="宋体" w:eastAsia="宋体" w:cs="宋体"/>
                <w:sz w:val="20"/>
                <w:szCs w:val="20"/>
              </w:rPr>
              <w:t xml:space="preserve"> </w:t>
            </w:r>
            <w:r>
              <w:rPr>
                <w:rFonts w:ascii="宋体" w:hAnsi="宋体" w:eastAsia="宋体" w:cs="宋体"/>
                <w:spacing w:val="12"/>
                <w:sz w:val="20"/>
                <w:szCs w:val="20"/>
              </w:rPr>
              <w:t>桥前水</w:t>
            </w:r>
            <w:r>
              <w:rPr>
                <w:rFonts w:ascii="宋体" w:hAnsi="宋体" w:eastAsia="宋体" w:cs="宋体"/>
                <w:spacing w:val="8"/>
                <w:sz w:val="20"/>
                <w:szCs w:val="20"/>
              </w:rPr>
              <w:t>位</w:t>
            </w:r>
            <w:r>
              <w:rPr>
                <w:rFonts w:ascii="宋体" w:hAnsi="宋体" w:eastAsia="宋体" w:cs="宋体"/>
                <w:spacing w:val="6"/>
                <w:sz w:val="20"/>
                <w:szCs w:val="20"/>
              </w:rPr>
              <w:t>为</w:t>
            </w:r>
            <w:r>
              <w:rPr>
                <w:rFonts w:ascii="Times New Roman" w:hAnsi="Times New Roman" w:eastAsia="Times New Roman" w:cs="Times New Roman"/>
                <w:spacing w:val="6"/>
                <w:sz w:val="20"/>
                <w:szCs w:val="20"/>
              </w:rPr>
              <w:t>288.47</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，桥梁建成后水位为</w:t>
            </w:r>
            <w:r>
              <w:rPr>
                <w:rFonts w:ascii="Times New Roman" w:hAnsi="Times New Roman" w:eastAsia="Times New Roman" w:cs="Times New Roman"/>
                <w:spacing w:val="6"/>
                <w:sz w:val="20"/>
                <w:szCs w:val="20"/>
              </w:rPr>
              <w:t>288.52</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w:t>
            </w:r>
            <w:r>
              <w:rPr>
                <w:rFonts w:ascii="Times New Roman" w:hAnsi="Times New Roman" w:eastAsia="Times New Roman" w:cs="Times New Roman"/>
                <w:spacing w:val="6"/>
                <w:sz w:val="20"/>
                <w:szCs w:val="20"/>
              </w:rPr>
              <w:t>100</w:t>
            </w:r>
            <w:r>
              <w:rPr>
                <w:rFonts w:ascii="宋体" w:hAnsi="宋体" w:eastAsia="宋体" w:cs="宋体"/>
                <w:spacing w:val="6"/>
                <w:sz w:val="20"/>
                <w:szCs w:val="20"/>
              </w:rPr>
              <w:t>年一遇洪水条件下，拟建高家坝大</w:t>
            </w:r>
            <w:r>
              <w:rPr>
                <w:rFonts w:ascii="宋体" w:hAnsi="宋体" w:eastAsia="宋体" w:cs="宋体"/>
                <w:sz w:val="20"/>
                <w:szCs w:val="20"/>
              </w:rPr>
              <w:t xml:space="preserve"> </w:t>
            </w:r>
            <w:r>
              <w:rPr>
                <w:rFonts w:ascii="宋体" w:hAnsi="宋体" w:eastAsia="宋体" w:cs="宋体"/>
                <w:spacing w:val="12"/>
                <w:sz w:val="20"/>
                <w:szCs w:val="20"/>
              </w:rPr>
              <w:t>桥</w:t>
            </w:r>
            <w:r>
              <w:rPr>
                <w:rFonts w:ascii="宋体" w:hAnsi="宋体" w:eastAsia="宋体" w:cs="宋体"/>
                <w:spacing w:val="11"/>
                <w:sz w:val="20"/>
                <w:szCs w:val="20"/>
              </w:rPr>
              <w:t>桥</w:t>
            </w:r>
            <w:r>
              <w:rPr>
                <w:rFonts w:ascii="宋体" w:hAnsi="宋体" w:eastAsia="宋体" w:cs="宋体"/>
                <w:spacing w:val="6"/>
                <w:sz w:val="20"/>
                <w:szCs w:val="20"/>
              </w:rPr>
              <w:t>梁安全净空大于</w:t>
            </w:r>
            <w:r>
              <w:rPr>
                <w:rFonts w:ascii="Times New Roman" w:hAnsi="Times New Roman" w:eastAsia="Times New Roman" w:cs="Times New Roman"/>
                <w:spacing w:val="6"/>
                <w:sz w:val="20"/>
                <w:szCs w:val="20"/>
              </w:rPr>
              <w:t>0.5</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，桥梁设计满足超高要求。</w:t>
            </w:r>
          </w:p>
          <w:p>
            <w:pPr>
              <w:spacing w:before="1" w:line="230" w:lineRule="auto"/>
              <w:ind w:left="512"/>
              <w:rPr>
                <w:rFonts w:ascii="宋体" w:hAnsi="宋体" w:eastAsia="宋体" w:cs="宋体"/>
                <w:sz w:val="20"/>
                <w:szCs w:val="20"/>
              </w:rPr>
            </w:pPr>
            <w:r>
              <w:rPr>
                <w:rFonts w:ascii="宋体" w:hAnsi="宋体" w:eastAsia="宋体" w:cs="宋体"/>
                <w:spacing w:val="9"/>
                <w:sz w:val="20"/>
                <w:szCs w:val="20"/>
              </w:rPr>
              <w:t>因此，项目桥梁选址、线路走向和高程设计等均符合城市路网规划及相关规范要求。</w:t>
            </w:r>
          </w:p>
          <w:p>
            <w:pPr>
              <w:spacing w:before="148" w:line="370" w:lineRule="auto"/>
              <w:ind w:left="109" w:right="71" w:firstLine="428"/>
              <w:rPr>
                <w:rFonts w:ascii="宋体" w:hAnsi="宋体" w:eastAsia="宋体" w:cs="宋体"/>
                <w:sz w:val="20"/>
                <w:szCs w:val="20"/>
              </w:rPr>
            </w:pPr>
            <w:r>
              <w:rPr>
                <w:rFonts w:ascii="宋体" w:hAnsi="宋体" w:eastAsia="宋体" w:cs="宋体"/>
                <w:spacing w:val="24"/>
                <w:sz w:val="20"/>
                <w:szCs w:val="20"/>
              </w:rPr>
              <w:t>(</w:t>
            </w:r>
            <w:r>
              <w:rPr>
                <w:rFonts w:ascii="Times New Roman" w:hAnsi="Times New Roman" w:eastAsia="Times New Roman" w:cs="Times New Roman"/>
                <w:spacing w:val="24"/>
                <w:sz w:val="20"/>
                <w:szCs w:val="20"/>
              </w:rPr>
              <w:t>4</w:t>
            </w:r>
            <w:r>
              <w:rPr>
                <w:rFonts w:ascii="宋体" w:hAnsi="宋体" w:eastAsia="宋体" w:cs="宋体"/>
                <w:spacing w:val="15"/>
                <w:sz w:val="20"/>
                <w:szCs w:val="20"/>
              </w:rPr>
              <w:t>)</w:t>
            </w:r>
            <w:r>
              <w:rPr>
                <w:rFonts w:ascii="宋体" w:hAnsi="宋体" w:eastAsia="宋体" w:cs="宋体"/>
                <w:spacing w:val="12"/>
                <w:sz w:val="20"/>
                <w:szCs w:val="20"/>
              </w:rPr>
              <w:t xml:space="preserve"> 根据调查，拟建桥梁跨越州河断面不涉及饮用水源保护区，影响河段无重要水</w:t>
            </w:r>
            <w:r>
              <w:rPr>
                <w:rFonts w:ascii="宋体" w:hAnsi="宋体" w:eastAsia="宋体" w:cs="宋体"/>
                <w:sz w:val="20"/>
                <w:szCs w:val="20"/>
              </w:rPr>
              <w:t xml:space="preserve"> </w:t>
            </w:r>
            <w:r>
              <w:rPr>
                <w:rFonts w:ascii="宋体" w:hAnsi="宋体" w:eastAsia="宋体" w:cs="宋体"/>
                <w:spacing w:val="12"/>
                <w:sz w:val="20"/>
                <w:szCs w:val="20"/>
              </w:rPr>
              <w:t>生</w:t>
            </w:r>
            <w:r>
              <w:rPr>
                <w:rFonts w:ascii="宋体" w:hAnsi="宋体" w:eastAsia="宋体" w:cs="宋体"/>
                <w:spacing w:val="9"/>
                <w:sz w:val="20"/>
                <w:szCs w:val="20"/>
              </w:rPr>
              <w:t>生物“三场”和洄游通道，不涉及水环境敏感区。</w:t>
            </w:r>
          </w:p>
          <w:p>
            <w:pPr>
              <w:spacing w:before="1" w:line="241" w:lineRule="auto"/>
              <w:ind w:left="103"/>
              <w:rPr>
                <w:rFonts w:ascii="黑体" w:hAnsi="黑体" w:eastAsia="黑体" w:cs="黑体"/>
                <w:sz w:val="20"/>
                <w:szCs w:val="20"/>
              </w:rPr>
            </w:pPr>
            <w:r>
              <w:rPr>
                <w:rFonts w:ascii="Times New Roman" w:hAnsi="Times New Roman" w:eastAsia="Times New Roman" w:cs="Times New Roman"/>
                <w:spacing w:val="3"/>
                <w:sz w:val="20"/>
                <w:szCs w:val="20"/>
              </w:rPr>
              <w:t xml:space="preserve">2 </w:t>
            </w:r>
            <w:r>
              <w:rPr>
                <w:rFonts w:ascii="黑体" w:hAnsi="黑体" w:eastAsia="黑体" w:cs="黑体"/>
                <w:spacing w:val="3"/>
                <w:sz w:val="20"/>
                <w:szCs w:val="20"/>
              </w:rPr>
              <w:t>、外环境关系介</w:t>
            </w:r>
            <w:r>
              <w:rPr>
                <w:rFonts w:ascii="黑体" w:hAnsi="黑体" w:eastAsia="黑体" w:cs="黑体"/>
                <w:spacing w:val="1"/>
                <w:sz w:val="20"/>
                <w:szCs w:val="20"/>
              </w:rPr>
              <w:t>绍</w:t>
            </w:r>
          </w:p>
          <w:p>
            <w:pPr>
              <w:spacing w:before="137" w:line="369" w:lineRule="auto"/>
              <w:ind w:left="77" w:right="87" w:firstLine="419"/>
              <w:rPr>
                <w:rFonts w:ascii="宋体" w:hAnsi="宋体" w:eastAsia="宋体" w:cs="宋体"/>
                <w:sz w:val="20"/>
                <w:szCs w:val="20"/>
              </w:rPr>
            </w:pPr>
            <w:r>
              <w:rPr>
                <w:rFonts w:ascii="宋体" w:hAnsi="宋体" w:eastAsia="宋体" w:cs="宋体"/>
                <w:spacing w:val="16"/>
                <w:sz w:val="20"/>
                <w:szCs w:val="20"/>
              </w:rPr>
              <w:t>本</w:t>
            </w:r>
            <w:r>
              <w:rPr>
                <w:rFonts w:ascii="宋体" w:hAnsi="宋体" w:eastAsia="宋体" w:cs="宋体"/>
                <w:spacing w:val="12"/>
                <w:sz w:val="20"/>
                <w:szCs w:val="20"/>
              </w:rPr>
              <w:t>项</w:t>
            </w:r>
            <w:r>
              <w:rPr>
                <w:rFonts w:ascii="宋体" w:hAnsi="宋体" w:eastAsia="宋体" w:cs="宋体"/>
                <w:spacing w:val="8"/>
                <w:sz w:val="20"/>
                <w:szCs w:val="20"/>
              </w:rPr>
              <w:t>目为城市跨线桥梁新建工程，项目西侧与高家坝片区拟建的滨河路平交，向东跨</w:t>
            </w:r>
            <w:r>
              <w:rPr>
                <w:rFonts w:ascii="宋体" w:hAnsi="宋体" w:eastAsia="宋体" w:cs="宋体"/>
                <w:sz w:val="20"/>
                <w:szCs w:val="20"/>
              </w:rPr>
              <w:t xml:space="preserve"> </w:t>
            </w:r>
            <w:r>
              <w:rPr>
                <w:rFonts w:ascii="宋体" w:hAnsi="宋体" w:eastAsia="宋体" w:cs="宋体"/>
                <w:spacing w:val="8"/>
                <w:sz w:val="20"/>
                <w:szCs w:val="20"/>
              </w:rPr>
              <w:t>州河接张家坝片区现状南北主干道 (犀牛大道) 与江湾路的交叉口。根据现场踏勘及项</w:t>
            </w:r>
            <w:r>
              <w:rPr>
                <w:rFonts w:ascii="宋体" w:hAnsi="宋体" w:eastAsia="宋体" w:cs="宋体"/>
                <w:spacing w:val="7"/>
                <w:sz w:val="20"/>
                <w:szCs w:val="20"/>
              </w:rPr>
              <w:t>目</w:t>
            </w:r>
            <w:r>
              <w:rPr>
                <w:rFonts w:ascii="宋体" w:hAnsi="宋体" w:eastAsia="宋体" w:cs="宋体"/>
                <w:sz w:val="20"/>
                <w:szCs w:val="20"/>
              </w:rPr>
              <w:t xml:space="preserve"> </w:t>
            </w:r>
            <w:r>
              <w:rPr>
                <w:rFonts w:ascii="宋体" w:hAnsi="宋体" w:eastAsia="宋体" w:cs="宋体"/>
                <w:spacing w:val="16"/>
                <w:sz w:val="20"/>
                <w:szCs w:val="20"/>
              </w:rPr>
              <w:t>设</w:t>
            </w:r>
            <w:r>
              <w:rPr>
                <w:rFonts w:ascii="宋体" w:hAnsi="宋体" w:eastAsia="宋体" w:cs="宋体"/>
                <w:spacing w:val="15"/>
                <w:sz w:val="20"/>
                <w:szCs w:val="20"/>
              </w:rPr>
              <w:t>计</w:t>
            </w:r>
            <w:r>
              <w:rPr>
                <w:rFonts w:ascii="宋体" w:hAnsi="宋体" w:eastAsia="宋体" w:cs="宋体"/>
                <w:spacing w:val="8"/>
                <w:sz w:val="20"/>
                <w:szCs w:val="20"/>
              </w:rPr>
              <w:t>资料可知，本项目桥梁工程两侧敏感目标较少，拟建桥梁跨越州河，州河两岸均为临</w:t>
            </w:r>
          </w:p>
          <w:p>
            <w:pPr>
              <w:spacing w:before="1" w:line="227" w:lineRule="auto"/>
              <w:ind w:left="75"/>
              <w:rPr>
                <w:rFonts w:ascii="宋体" w:hAnsi="宋体" w:eastAsia="宋体" w:cs="宋体"/>
                <w:sz w:val="20"/>
                <w:szCs w:val="20"/>
              </w:rPr>
            </w:pPr>
            <w:r>
              <w:rPr>
                <w:rFonts w:ascii="宋体" w:hAnsi="宋体" w:eastAsia="宋体" w:cs="宋体"/>
                <w:spacing w:val="4"/>
                <w:sz w:val="20"/>
                <w:szCs w:val="20"/>
              </w:rPr>
              <w:t>河道路，道路以里为居住小区。本</w:t>
            </w:r>
            <w:r>
              <w:rPr>
                <w:rFonts w:ascii="宋体" w:hAnsi="宋体" w:eastAsia="宋体" w:cs="宋体"/>
                <w:spacing w:val="3"/>
                <w:sz w:val="20"/>
                <w:szCs w:val="20"/>
              </w:rPr>
              <w:t>项</w:t>
            </w:r>
            <w:r>
              <w:rPr>
                <w:rFonts w:ascii="宋体" w:hAnsi="宋体" w:eastAsia="宋体" w:cs="宋体"/>
                <w:spacing w:val="2"/>
                <w:sz w:val="20"/>
                <w:szCs w:val="20"/>
              </w:rPr>
              <w:t>目桥梁西面为“绿地 ·外滩名门”居住小区 (在建) ，</w:t>
            </w:r>
          </w:p>
        </w:tc>
      </w:tr>
    </w:tbl>
    <w:p>
      <w:pPr>
        <w:spacing w:line="128" w:lineRule="exact"/>
        <w:rPr>
          <w:rFonts w:ascii="Arial"/>
          <w:sz w:val="11"/>
        </w:rPr>
      </w:pPr>
    </w:p>
    <w:p>
      <w:pPr>
        <w:sectPr>
          <w:footerReference r:id="rId84" w:type="default"/>
          <w:pgSz w:w="11906" w:h="16839"/>
          <w:pgMar w:top="400" w:right="1472" w:bottom="1475" w:left="1471" w:header="0" w:footer="1315" w:gutter="0"/>
          <w:cols w:space="720" w:num="1"/>
        </w:sectPr>
      </w:pPr>
    </w:p>
    <w:p/>
    <w:p/>
    <w:p/>
    <w:p/>
    <w:p>
      <w:pPr>
        <w:spacing w:line="221" w:lineRule="exact"/>
      </w:pPr>
    </w:p>
    <w:tbl>
      <w:tblPr>
        <w:tblStyle w:val="4"/>
        <w:tblW w:w="894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83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19" w:hRule="atLeast"/>
        </w:trPr>
        <w:tc>
          <w:tcPr>
            <w:tcW w:w="644" w:type="dxa"/>
            <w:tcBorders>
              <w:left w:val="single" w:color="00000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65" w:line="233" w:lineRule="auto"/>
              <w:ind w:left="8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选址</w:t>
            </w:r>
          </w:p>
          <w:p>
            <w:pPr>
              <w:spacing w:before="21" w:line="228" w:lineRule="auto"/>
              <w:ind w:left="8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选线</w:t>
            </w:r>
          </w:p>
          <w:p>
            <w:pPr>
              <w:spacing w:before="26" w:line="228" w:lineRule="auto"/>
              <w:ind w:left="8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环</w:t>
            </w:r>
            <w:r>
              <w:rPr>
                <w:rFonts w:ascii="宋体" w:hAnsi="宋体" w:eastAsia="宋体" w:cs="宋体"/>
                <w:spacing w:val="15"/>
                <w:sz w:val="20"/>
                <w:szCs w:val="20"/>
                <w14:textOutline w14:w="3795" w14:cap="sq" w14:cmpd="sng">
                  <w14:solidFill>
                    <w14:srgbClr w14:val="000000"/>
                  </w14:solidFill>
                  <w14:prstDash w14:val="solid"/>
                  <w14:bevel/>
                </w14:textOutline>
              </w:rPr>
              <w:t>境</w:t>
            </w:r>
          </w:p>
          <w:p>
            <w:pPr>
              <w:spacing w:before="24" w:line="231" w:lineRule="auto"/>
              <w:ind w:left="89"/>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合理</w:t>
            </w:r>
          </w:p>
          <w:p>
            <w:pPr>
              <w:spacing w:before="21" w:line="228" w:lineRule="auto"/>
              <w:ind w:left="91"/>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性分</w:t>
            </w:r>
          </w:p>
          <w:p>
            <w:pPr>
              <w:spacing w:before="26" w:line="228" w:lineRule="auto"/>
              <w:ind w:left="205"/>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析</w:t>
            </w:r>
          </w:p>
        </w:tc>
        <w:tc>
          <w:tcPr>
            <w:tcW w:w="8303" w:type="dxa"/>
            <w:tcBorders>
              <w:right w:val="single" w:color="000000" w:sz="6" w:space="0"/>
            </w:tcBorders>
            <w:vAlign w:val="top"/>
          </w:tcPr>
          <w:p>
            <w:pPr>
              <w:spacing w:before="107" w:line="281" w:lineRule="exact"/>
              <w:ind w:left="80"/>
              <w:rPr>
                <w:rFonts w:ascii="宋体" w:hAnsi="宋体" w:eastAsia="宋体" w:cs="宋体"/>
                <w:sz w:val="20"/>
                <w:szCs w:val="20"/>
              </w:rPr>
            </w:pPr>
            <w:r>
              <w:rPr>
                <w:rFonts w:ascii="宋体" w:hAnsi="宋体" w:eastAsia="宋体" w:cs="宋体"/>
                <w:spacing w:val="15"/>
                <w:position w:val="1"/>
                <w:sz w:val="20"/>
                <w:szCs w:val="20"/>
              </w:rPr>
              <w:t>与</w:t>
            </w:r>
            <w:r>
              <w:rPr>
                <w:rFonts w:ascii="宋体" w:hAnsi="宋体" w:eastAsia="宋体" w:cs="宋体"/>
                <w:spacing w:val="8"/>
                <w:position w:val="1"/>
                <w:sz w:val="20"/>
                <w:szCs w:val="20"/>
              </w:rPr>
              <w:t>项目桥梁最近的为</w:t>
            </w:r>
            <w:r>
              <w:rPr>
                <w:rFonts w:ascii="Times New Roman" w:hAnsi="Times New Roman" w:eastAsia="Times New Roman" w:cs="Times New Roman"/>
                <w:spacing w:val="8"/>
                <w:position w:val="1"/>
                <w:sz w:val="20"/>
                <w:szCs w:val="20"/>
              </w:rPr>
              <w:t>7#</w:t>
            </w:r>
            <w:r>
              <w:rPr>
                <w:rFonts w:ascii="宋体" w:hAnsi="宋体" w:eastAsia="宋体" w:cs="宋体"/>
                <w:spacing w:val="8"/>
                <w:position w:val="1"/>
                <w:sz w:val="20"/>
                <w:szCs w:val="20"/>
              </w:rPr>
              <w:t>楼，位于桥梁西北，距离桥梁中心线约</w:t>
            </w:r>
            <w:r>
              <w:rPr>
                <w:rFonts w:ascii="Times New Roman" w:hAnsi="Times New Roman" w:eastAsia="Times New Roman" w:cs="Times New Roman"/>
                <w:spacing w:val="8"/>
                <w:position w:val="1"/>
                <w:sz w:val="20"/>
                <w:szCs w:val="20"/>
              </w:rPr>
              <w:t>36</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8"/>
                <w:position w:val="1"/>
                <w:sz w:val="20"/>
                <w:szCs w:val="20"/>
              </w:rPr>
              <w:t xml:space="preserve"> </w:t>
            </w:r>
            <w:r>
              <w:rPr>
                <w:rFonts w:ascii="宋体" w:hAnsi="宋体" w:eastAsia="宋体" w:cs="宋体"/>
                <w:spacing w:val="8"/>
                <w:position w:val="1"/>
                <w:sz w:val="20"/>
                <w:szCs w:val="20"/>
              </w:rPr>
              <w:t>，高程基本相同；位于</w:t>
            </w:r>
          </w:p>
          <w:p>
            <w:pPr>
              <w:spacing w:before="120" w:line="378" w:lineRule="auto"/>
              <w:ind w:left="76" w:right="17"/>
              <w:rPr>
                <w:rFonts w:ascii="宋体" w:hAnsi="宋体" w:eastAsia="宋体" w:cs="宋体"/>
                <w:sz w:val="20"/>
                <w:szCs w:val="20"/>
              </w:rPr>
            </w:pPr>
            <w:r>
              <w:rPr>
                <w:rFonts w:ascii="宋体" w:hAnsi="宋体" w:eastAsia="宋体" w:cs="宋体"/>
                <w:spacing w:val="9"/>
                <w:sz w:val="20"/>
                <w:szCs w:val="20"/>
              </w:rPr>
              <w:t>拟建桥梁</w:t>
            </w:r>
            <w:r>
              <w:rPr>
                <w:rFonts w:ascii="Times New Roman" w:hAnsi="Times New Roman" w:eastAsia="Times New Roman" w:cs="Times New Roman"/>
                <w:spacing w:val="9"/>
                <w:sz w:val="20"/>
                <w:szCs w:val="20"/>
              </w:rPr>
              <w:t>200</w:t>
            </w:r>
            <w:r>
              <w:rPr>
                <w:rFonts w:ascii="Times New Roman" w:hAnsi="Times New Roman" w:eastAsia="Times New Roman" w:cs="Times New Roman"/>
                <w:sz w:val="20"/>
                <w:szCs w:val="20"/>
              </w:rPr>
              <w:t>m</w:t>
            </w:r>
            <w:r>
              <w:rPr>
                <w:rFonts w:ascii="宋体" w:hAnsi="宋体" w:eastAsia="宋体" w:cs="宋体"/>
                <w:spacing w:val="9"/>
                <w:sz w:val="20"/>
                <w:szCs w:val="20"/>
              </w:rPr>
              <w:t>内的有西北面的</w:t>
            </w:r>
            <w:r>
              <w:rPr>
                <w:rFonts w:ascii="Times New Roman" w:hAnsi="Times New Roman" w:eastAsia="Times New Roman" w:cs="Times New Roman"/>
                <w:spacing w:val="9"/>
                <w:sz w:val="20"/>
                <w:szCs w:val="20"/>
              </w:rPr>
              <w:t>6#</w:t>
            </w:r>
            <w:r>
              <w:rPr>
                <w:rFonts w:ascii="宋体" w:hAnsi="宋体" w:eastAsia="宋体" w:cs="宋体"/>
                <w:spacing w:val="9"/>
                <w:sz w:val="20"/>
                <w:szCs w:val="20"/>
              </w:rPr>
              <w:t>楼、北面的</w:t>
            </w:r>
            <w:r>
              <w:rPr>
                <w:rFonts w:ascii="Times New Roman" w:hAnsi="Times New Roman" w:eastAsia="Times New Roman" w:cs="Times New Roman"/>
                <w:spacing w:val="9"/>
                <w:sz w:val="20"/>
                <w:szCs w:val="20"/>
              </w:rPr>
              <w:t>8#</w:t>
            </w:r>
            <w:r>
              <w:rPr>
                <w:rFonts w:ascii="宋体" w:hAnsi="宋体" w:eastAsia="宋体" w:cs="宋体"/>
                <w:spacing w:val="9"/>
                <w:sz w:val="20"/>
                <w:szCs w:val="20"/>
              </w:rPr>
              <w:t>楼、东北面的</w:t>
            </w:r>
            <w:r>
              <w:rPr>
                <w:rFonts w:ascii="Times New Roman" w:hAnsi="Times New Roman" w:eastAsia="Times New Roman" w:cs="Times New Roman"/>
                <w:spacing w:val="9"/>
                <w:sz w:val="20"/>
                <w:szCs w:val="20"/>
              </w:rPr>
              <w:t>9#</w:t>
            </w:r>
            <w:r>
              <w:rPr>
                <w:rFonts w:ascii="宋体" w:hAnsi="宋体" w:eastAsia="宋体" w:cs="宋体"/>
                <w:spacing w:val="9"/>
                <w:sz w:val="20"/>
                <w:szCs w:val="20"/>
              </w:rPr>
              <w:t>楼和</w:t>
            </w:r>
            <w:r>
              <w:rPr>
                <w:rFonts w:ascii="Times New Roman" w:hAnsi="Times New Roman" w:eastAsia="Times New Roman" w:cs="Times New Roman"/>
                <w:spacing w:val="9"/>
                <w:sz w:val="20"/>
                <w:szCs w:val="20"/>
              </w:rPr>
              <w:t>10#</w:t>
            </w:r>
            <w:r>
              <w:rPr>
                <w:rFonts w:ascii="宋体" w:hAnsi="宋体" w:eastAsia="宋体" w:cs="宋体"/>
                <w:spacing w:val="9"/>
                <w:sz w:val="20"/>
                <w:szCs w:val="20"/>
              </w:rPr>
              <w:t>楼，与拟建桥梁</w:t>
            </w:r>
            <w:r>
              <w:rPr>
                <w:rFonts w:ascii="宋体" w:hAnsi="宋体" w:eastAsia="宋体" w:cs="宋体"/>
                <w:spacing w:val="2"/>
                <w:sz w:val="20"/>
                <w:szCs w:val="20"/>
              </w:rPr>
              <w:t>中</w:t>
            </w:r>
            <w:r>
              <w:rPr>
                <w:rFonts w:ascii="宋体" w:hAnsi="宋体" w:eastAsia="宋体" w:cs="宋体"/>
                <w:sz w:val="20"/>
                <w:szCs w:val="20"/>
              </w:rPr>
              <w:t xml:space="preserve"> </w:t>
            </w:r>
            <w:r>
              <w:rPr>
                <w:rFonts w:ascii="宋体" w:hAnsi="宋体" w:eastAsia="宋体" w:cs="宋体"/>
                <w:spacing w:val="-2"/>
                <w:sz w:val="20"/>
                <w:szCs w:val="20"/>
              </w:rPr>
              <w:t>心线的距离分别为</w:t>
            </w:r>
            <w:r>
              <w:rPr>
                <w:rFonts w:ascii="Times New Roman" w:hAnsi="Times New Roman" w:eastAsia="Times New Roman" w:cs="Times New Roman"/>
                <w:spacing w:val="-2"/>
                <w:sz w:val="20"/>
                <w:szCs w:val="20"/>
              </w:rPr>
              <w:t>74</w:t>
            </w:r>
            <w:r>
              <w:rPr>
                <w:rFonts w:ascii="Times New Roman" w:hAnsi="Times New Roman" w:eastAsia="Times New Roman" w:cs="Times New Roman"/>
                <w:spacing w:val="-1"/>
                <w:sz w:val="20"/>
                <w:szCs w:val="20"/>
              </w:rPr>
              <w:t>m</w:t>
            </w:r>
            <w:r>
              <w:rPr>
                <w:rFonts w:ascii="宋体" w:hAnsi="宋体" w:eastAsia="宋体" w:cs="宋体"/>
                <w:spacing w:val="-2"/>
                <w:sz w:val="20"/>
                <w:szCs w:val="20"/>
              </w:rPr>
              <w:t>、</w:t>
            </w:r>
            <w:r>
              <w:rPr>
                <w:rFonts w:ascii="Times New Roman" w:hAnsi="Times New Roman" w:eastAsia="Times New Roman" w:cs="Times New Roman"/>
                <w:spacing w:val="-2"/>
                <w:sz w:val="20"/>
                <w:szCs w:val="20"/>
              </w:rPr>
              <w:t>46</w:t>
            </w:r>
            <w:r>
              <w:rPr>
                <w:rFonts w:ascii="Times New Roman" w:hAnsi="Times New Roman" w:eastAsia="Times New Roman" w:cs="Times New Roman"/>
                <w:spacing w:val="-1"/>
                <w:sz w:val="20"/>
                <w:szCs w:val="20"/>
              </w:rPr>
              <w:t>m</w:t>
            </w:r>
            <w:r>
              <w:rPr>
                <w:rFonts w:ascii="宋体" w:hAnsi="宋体" w:eastAsia="宋体" w:cs="宋体"/>
                <w:spacing w:val="-2"/>
                <w:sz w:val="20"/>
                <w:szCs w:val="20"/>
              </w:rPr>
              <w:t>、</w:t>
            </w:r>
            <w:r>
              <w:rPr>
                <w:rFonts w:ascii="Times New Roman" w:hAnsi="Times New Roman" w:eastAsia="Times New Roman" w:cs="Times New Roman"/>
                <w:spacing w:val="-2"/>
                <w:sz w:val="20"/>
                <w:szCs w:val="20"/>
              </w:rPr>
              <w:t>82</w:t>
            </w:r>
            <w:r>
              <w:rPr>
                <w:rFonts w:ascii="Times New Roman" w:hAnsi="Times New Roman" w:eastAsia="Times New Roman" w:cs="Times New Roman"/>
                <w:spacing w:val="-1"/>
                <w:sz w:val="20"/>
                <w:szCs w:val="20"/>
              </w:rPr>
              <w:t>m</w:t>
            </w:r>
            <w:r>
              <w:rPr>
                <w:rFonts w:ascii="宋体" w:hAnsi="宋体" w:eastAsia="宋体" w:cs="宋体"/>
                <w:spacing w:val="-2"/>
                <w:sz w:val="20"/>
                <w:szCs w:val="20"/>
              </w:rPr>
              <w:t>、</w:t>
            </w:r>
            <w:r>
              <w:rPr>
                <w:rFonts w:ascii="Times New Roman" w:hAnsi="Times New Roman" w:eastAsia="Times New Roman" w:cs="Times New Roman"/>
                <w:spacing w:val="-2"/>
                <w:sz w:val="20"/>
                <w:szCs w:val="20"/>
              </w:rPr>
              <w:t>122</w:t>
            </w:r>
            <w:r>
              <w:rPr>
                <w:rFonts w:ascii="Times New Roman" w:hAnsi="Times New Roman" w:eastAsia="Times New Roman" w:cs="Times New Roman"/>
                <w:spacing w:val="-1"/>
                <w:sz w:val="20"/>
                <w:szCs w:val="20"/>
              </w:rPr>
              <w:t>m</w:t>
            </w:r>
            <w:r>
              <w:rPr>
                <w:rFonts w:ascii="宋体" w:hAnsi="宋体" w:eastAsia="宋体" w:cs="宋体"/>
                <w:spacing w:val="-2"/>
                <w:sz w:val="20"/>
                <w:szCs w:val="20"/>
              </w:rPr>
              <w:t>，高程均相同。本项目桥</w:t>
            </w:r>
            <w:r>
              <w:rPr>
                <w:rFonts w:ascii="宋体" w:hAnsi="宋体" w:eastAsia="宋体" w:cs="宋体"/>
                <w:spacing w:val="-1"/>
                <w:sz w:val="20"/>
                <w:szCs w:val="20"/>
              </w:rPr>
              <w:t>梁东端南面为“宏义 ·江</w:t>
            </w:r>
            <w:r>
              <w:rPr>
                <w:rFonts w:ascii="宋体" w:hAnsi="宋体" w:eastAsia="宋体" w:cs="宋体"/>
                <w:sz w:val="20"/>
                <w:szCs w:val="20"/>
              </w:rPr>
              <w:t xml:space="preserve"> </w:t>
            </w:r>
            <w:r>
              <w:rPr>
                <w:rFonts w:ascii="宋体" w:hAnsi="宋体" w:eastAsia="宋体" w:cs="宋体"/>
                <w:spacing w:val="1"/>
                <w:sz w:val="20"/>
                <w:szCs w:val="20"/>
              </w:rPr>
              <w:t>湾城”居住小区，与项目桥梁最近的为</w:t>
            </w:r>
            <w:r>
              <w:rPr>
                <w:rFonts w:ascii="Times New Roman" w:hAnsi="Times New Roman" w:eastAsia="Times New Roman" w:cs="Times New Roman"/>
                <w:spacing w:val="1"/>
                <w:sz w:val="20"/>
                <w:szCs w:val="20"/>
              </w:rPr>
              <w:t>5</w:t>
            </w:r>
            <w:r>
              <w:rPr>
                <w:rFonts w:ascii="宋体" w:hAnsi="宋体" w:eastAsia="宋体" w:cs="宋体"/>
                <w:spacing w:val="1"/>
                <w:sz w:val="20"/>
                <w:szCs w:val="20"/>
              </w:rPr>
              <w:t>期</w:t>
            </w:r>
            <w:r>
              <w:rPr>
                <w:rFonts w:ascii="Times New Roman" w:hAnsi="Times New Roman" w:eastAsia="Times New Roman" w:cs="Times New Roman"/>
                <w:spacing w:val="1"/>
                <w:sz w:val="20"/>
                <w:szCs w:val="20"/>
              </w:rPr>
              <w:t>15</w:t>
            </w:r>
            <w:r>
              <w:rPr>
                <w:rFonts w:ascii="宋体" w:hAnsi="宋体" w:eastAsia="宋体" w:cs="宋体"/>
                <w:spacing w:val="1"/>
                <w:sz w:val="20"/>
                <w:szCs w:val="20"/>
              </w:rPr>
              <w:t>号楼，位于桥梁东南，距离桥梁中心线约</w:t>
            </w:r>
            <w:r>
              <w:rPr>
                <w:rFonts w:ascii="Times New Roman" w:hAnsi="Times New Roman" w:eastAsia="Times New Roman" w:cs="Times New Roman"/>
                <w:spacing w:val="1"/>
                <w:sz w:val="20"/>
                <w:szCs w:val="20"/>
              </w:rPr>
              <w:t>150</w:t>
            </w:r>
            <w:r>
              <w:rPr>
                <w:rFonts w:ascii="Times New Roman" w:hAnsi="Times New Roman" w:eastAsia="Times New Roman" w:cs="Times New Roman"/>
                <w:sz w:val="20"/>
                <w:szCs w:val="20"/>
              </w:rPr>
              <w:t>m</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24"/>
                <w:sz w:val="20"/>
                <w:szCs w:val="20"/>
              </w:rPr>
              <w:t>高</w:t>
            </w:r>
            <w:r>
              <w:rPr>
                <w:rFonts w:ascii="宋体" w:hAnsi="宋体" w:eastAsia="宋体" w:cs="宋体"/>
                <w:spacing w:val="23"/>
                <w:sz w:val="20"/>
                <w:szCs w:val="20"/>
              </w:rPr>
              <w:t>程</w:t>
            </w:r>
            <w:r>
              <w:rPr>
                <w:rFonts w:ascii="宋体" w:hAnsi="宋体" w:eastAsia="宋体" w:cs="宋体"/>
                <w:spacing w:val="12"/>
                <w:sz w:val="20"/>
                <w:szCs w:val="20"/>
              </w:rPr>
              <w:t>基本相同。拟建桥梁位于“包茂高速州河大桥”下游约</w:t>
            </w:r>
            <w:r>
              <w:rPr>
                <w:rFonts w:ascii="Times New Roman" w:hAnsi="Times New Roman" w:eastAsia="Times New Roman" w:cs="Times New Roman"/>
                <w:spacing w:val="12"/>
                <w:sz w:val="20"/>
                <w:szCs w:val="20"/>
              </w:rPr>
              <w:t>200</w:t>
            </w:r>
            <w:r>
              <w:rPr>
                <w:rFonts w:ascii="Times New Roman" w:hAnsi="Times New Roman" w:eastAsia="Times New Roman" w:cs="Times New Roman"/>
                <w:sz w:val="20"/>
                <w:szCs w:val="20"/>
              </w:rPr>
              <w:t>m</w:t>
            </w:r>
            <w:r>
              <w:rPr>
                <w:rFonts w:ascii="宋体" w:hAnsi="宋体" w:eastAsia="宋体" w:cs="宋体"/>
                <w:spacing w:val="12"/>
                <w:sz w:val="20"/>
                <w:szCs w:val="20"/>
              </w:rPr>
              <w:t>处，直线距离最近处约</w:t>
            </w:r>
          </w:p>
          <w:p>
            <w:pPr>
              <w:spacing w:line="228" w:lineRule="auto"/>
              <w:ind w:left="92"/>
              <w:rPr>
                <w:rFonts w:ascii="宋体" w:hAnsi="宋体" w:eastAsia="宋体" w:cs="宋体"/>
                <w:sz w:val="20"/>
                <w:szCs w:val="20"/>
              </w:rPr>
            </w:pPr>
            <w:r>
              <w:rPr>
                <w:rFonts w:ascii="Times New Roman" w:hAnsi="Times New Roman" w:eastAsia="Times New Roman" w:cs="Times New Roman"/>
                <w:spacing w:val="12"/>
                <w:sz w:val="20"/>
                <w:szCs w:val="20"/>
              </w:rPr>
              <w:t>1</w:t>
            </w:r>
            <w:r>
              <w:rPr>
                <w:rFonts w:ascii="Times New Roman" w:hAnsi="Times New Roman" w:eastAsia="Times New Roman" w:cs="Times New Roman"/>
                <w:spacing w:val="7"/>
                <w:sz w:val="20"/>
                <w:szCs w:val="20"/>
              </w:rPr>
              <w:t>70</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。本项目桥梁东面约</w:t>
            </w:r>
            <w:r>
              <w:rPr>
                <w:rFonts w:ascii="Times New Roman" w:hAnsi="Times New Roman" w:eastAsia="Times New Roman" w:cs="Times New Roman"/>
                <w:spacing w:val="7"/>
                <w:sz w:val="20"/>
                <w:szCs w:val="20"/>
              </w:rPr>
              <w:t>300</w:t>
            </w:r>
            <w:r>
              <w:rPr>
                <w:rFonts w:ascii="Times New Roman" w:hAnsi="Times New Roman" w:eastAsia="Times New Roman" w:cs="Times New Roman"/>
                <w:sz w:val="20"/>
                <w:szCs w:val="20"/>
              </w:rPr>
              <w:t>m</w:t>
            </w:r>
            <w:r>
              <w:rPr>
                <w:rFonts w:ascii="宋体" w:hAnsi="宋体" w:eastAsia="宋体" w:cs="宋体"/>
                <w:spacing w:val="7"/>
                <w:sz w:val="20"/>
                <w:szCs w:val="20"/>
              </w:rPr>
              <w:t>处为韩家坝安置小区，中间有包茂高速和山坡相隔。</w:t>
            </w:r>
          </w:p>
          <w:p>
            <w:pPr>
              <w:spacing w:before="111" w:line="372" w:lineRule="auto"/>
              <w:ind w:left="76" w:right="71" w:firstLine="420"/>
              <w:rPr>
                <w:rFonts w:ascii="宋体" w:hAnsi="宋体" w:eastAsia="宋体" w:cs="宋体"/>
                <w:sz w:val="20"/>
                <w:szCs w:val="20"/>
              </w:rPr>
            </w:pPr>
            <w:r>
              <w:rPr>
                <w:rFonts w:ascii="宋体" w:hAnsi="宋体" w:eastAsia="宋体" w:cs="宋体"/>
                <w:spacing w:val="14"/>
                <w:sz w:val="20"/>
                <w:szCs w:val="20"/>
              </w:rPr>
              <w:t>根</w:t>
            </w:r>
            <w:r>
              <w:rPr>
                <w:rFonts w:ascii="宋体" w:hAnsi="宋体" w:eastAsia="宋体" w:cs="宋体"/>
                <w:spacing w:val="10"/>
                <w:sz w:val="20"/>
                <w:szCs w:val="20"/>
              </w:rPr>
              <w:t>据</w:t>
            </w:r>
            <w:r>
              <w:rPr>
                <w:rFonts w:ascii="宋体" w:hAnsi="宋体" w:eastAsia="宋体" w:cs="宋体"/>
                <w:spacing w:val="7"/>
                <w:sz w:val="20"/>
                <w:szCs w:val="20"/>
              </w:rPr>
              <w:t>调查，州河上项目桥位下游</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km</w:t>
            </w:r>
            <w:r>
              <w:rPr>
                <w:rFonts w:ascii="宋体" w:hAnsi="宋体" w:eastAsia="宋体" w:cs="宋体"/>
                <w:spacing w:val="7"/>
                <w:sz w:val="20"/>
                <w:szCs w:val="20"/>
              </w:rPr>
              <w:t>无集中式饮用水源保护区；距离项目桥位最近的</w:t>
            </w:r>
            <w:r>
              <w:rPr>
                <w:rFonts w:ascii="宋体" w:hAnsi="宋体" w:eastAsia="宋体" w:cs="宋体"/>
                <w:sz w:val="20"/>
                <w:szCs w:val="20"/>
              </w:rPr>
              <w:t xml:space="preserve"> </w:t>
            </w:r>
            <w:r>
              <w:rPr>
                <w:rFonts w:ascii="宋体" w:hAnsi="宋体" w:eastAsia="宋体" w:cs="宋体"/>
                <w:spacing w:val="16"/>
                <w:sz w:val="20"/>
                <w:szCs w:val="20"/>
              </w:rPr>
              <w:t>水源</w:t>
            </w:r>
            <w:r>
              <w:rPr>
                <w:rFonts w:ascii="宋体" w:hAnsi="宋体" w:eastAsia="宋体" w:cs="宋体"/>
                <w:spacing w:val="8"/>
                <w:sz w:val="20"/>
                <w:szCs w:val="20"/>
              </w:rPr>
              <w:t>保护区为罗江库区水源地 (属于达州市主城区集中式饮用水水源地) ，位于项目桥址</w:t>
            </w:r>
            <w:r>
              <w:rPr>
                <w:rFonts w:ascii="宋体" w:hAnsi="宋体" w:eastAsia="宋体" w:cs="宋体"/>
                <w:sz w:val="20"/>
                <w:szCs w:val="20"/>
              </w:rPr>
              <w:t xml:space="preserve"> </w:t>
            </w:r>
            <w:r>
              <w:rPr>
                <w:rFonts w:ascii="宋体" w:hAnsi="宋体" w:eastAsia="宋体" w:cs="宋体"/>
                <w:spacing w:val="18"/>
                <w:sz w:val="20"/>
                <w:szCs w:val="20"/>
              </w:rPr>
              <w:t>上游约</w:t>
            </w:r>
            <w:r>
              <w:rPr>
                <w:rFonts w:ascii="Times New Roman" w:hAnsi="Times New Roman" w:eastAsia="Times New Roman" w:cs="Times New Roman"/>
                <w:spacing w:val="10"/>
                <w:sz w:val="20"/>
                <w:szCs w:val="20"/>
              </w:rPr>
              <w:t>8</w:t>
            </w:r>
            <w:r>
              <w:rPr>
                <w:rFonts w:ascii="Times New Roman" w:hAnsi="Times New Roman" w:eastAsia="Times New Roman" w:cs="Times New Roman"/>
                <w:spacing w:val="9"/>
                <w:sz w:val="20"/>
                <w:szCs w:val="20"/>
              </w:rPr>
              <w:t>.4</w:t>
            </w:r>
            <w:r>
              <w:rPr>
                <w:rFonts w:ascii="Times New Roman" w:hAnsi="Times New Roman" w:eastAsia="Times New Roman" w:cs="Times New Roman"/>
                <w:sz w:val="20"/>
                <w:szCs w:val="20"/>
              </w:rPr>
              <w:t>km</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，项目不在其保护区范围影响范围也不涉及其保护区。州河上下游的主要水</w:t>
            </w:r>
            <w:r>
              <w:rPr>
                <w:rFonts w:ascii="宋体" w:hAnsi="宋体" w:eastAsia="宋体" w:cs="宋体"/>
                <w:sz w:val="20"/>
                <w:szCs w:val="20"/>
              </w:rPr>
              <w:t xml:space="preserve"> </w:t>
            </w:r>
            <w:r>
              <w:rPr>
                <w:rFonts w:ascii="宋体" w:hAnsi="宋体" w:eastAsia="宋体" w:cs="宋体"/>
                <w:spacing w:val="10"/>
                <w:sz w:val="20"/>
                <w:szCs w:val="20"/>
              </w:rPr>
              <w:t>工设施为</w:t>
            </w:r>
            <w:r>
              <w:rPr>
                <w:rFonts w:ascii="宋体" w:hAnsi="宋体" w:eastAsia="宋体" w:cs="宋体"/>
                <w:spacing w:val="8"/>
                <w:sz w:val="20"/>
                <w:szCs w:val="20"/>
              </w:rPr>
              <w:t>拟</w:t>
            </w:r>
            <w:r>
              <w:rPr>
                <w:rFonts w:ascii="宋体" w:hAnsi="宋体" w:eastAsia="宋体" w:cs="宋体"/>
                <w:spacing w:val="5"/>
                <w:sz w:val="20"/>
                <w:szCs w:val="20"/>
              </w:rPr>
              <w:t>建桥梁上游约</w:t>
            </w:r>
            <w:r>
              <w:rPr>
                <w:rFonts w:ascii="Times New Roman" w:hAnsi="Times New Roman" w:eastAsia="Times New Roman" w:cs="Times New Roman"/>
                <w:spacing w:val="5"/>
                <w:sz w:val="20"/>
                <w:szCs w:val="20"/>
              </w:rPr>
              <w:t>8. 1</w:t>
            </w:r>
            <w:r>
              <w:rPr>
                <w:rFonts w:ascii="Times New Roman" w:hAnsi="Times New Roman" w:eastAsia="Times New Roman" w:cs="Times New Roman"/>
                <w:sz w:val="20"/>
                <w:szCs w:val="20"/>
              </w:rPr>
              <w:t>km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的罗江口大坝、下游约</w:t>
            </w:r>
            <w:r>
              <w:rPr>
                <w:rFonts w:ascii="Times New Roman" w:hAnsi="Times New Roman" w:eastAsia="Times New Roman" w:cs="Times New Roman"/>
                <w:spacing w:val="5"/>
                <w:sz w:val="20"/>
                <w:szCs w:val="20"/>
              </w:rPr>
              <w:t>10</w:t>
            </w:r>
            <w:r>
              <w:rPr>
                <w:rFonts w:ascii="Times New Roman" w:hAnsi="Times New Roman" w:eastAsia="Times New Roman" w:cs="Times New Roman"/>
                <w:sz w:val="20"/>
                <w:szCs w:val="20"/>
              </w:rPr>
              <w:t>km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的塔沱液压升降坝，以及城区</w:t>
            </w:r>
            <w:r>
              <w:rPr>
                <w:rFonts w:ascii="宋体" w:hAnsi="宋体" w:eastAsia="宋体" w:cs="宋体"/>
                <w:sz w:val="20"/>
                <w:szCs w:val="20"/>
              </w:rPr>
              <w:t xml:space="preserve"> </w:t>
            </w:r>
            <w:r>
              <w:rPr>
                <w:rFonts w:ascii="宋体" w:hAnsi="宋体" w:eastAsia="宋体" w:cs="宋体"/>
                <w:spacing w:val="9"/>
                <w:sz w:val="20"/>
                <w:szCs w:val="20"/>
              </w:rPr>
              <w:t>段河道两岸的防洪堤等。项目影响河段无国家、省、市的控制监测断面，最近的监测断</w:t>
            </w:r>
            <w:r>
              <w:rPr>
                <w:rFonts w:ascii="宋体" w:hAnsi="宋体" w:eastAsia="宋体" w:cs="宋体"/>
                <w:spacing w:val="2"/>
                <w:sz w:val="20"/>
                <w:szCs w:val="20"/>
              </w:rPr>
              <w:t>面</w:t>
            </w:r>
            <w:r>
              <w:rPr>
                <w:rFonts w:ascii="宋体" w:hAnsi="宋体" w:eastAsia="宋体" w:cs="宋体"/>
                <w:sz w:val="20"/>
                <w:szCs w:val="20"/>
              </w:rPr>
              <w:t xml:space="preserve"> </w:t>
            </w:r>
            <w:r>
              <w:rPr>
                <w:rFonts w:ascii="宋体" w:hAnsi="宋体" w:eastAsia="宋体" w:cs="宋体"/>
                <w:spacing w:val="9"/>
                <w:sz w:val="20"/>
                <w:szCs w:val="20"/>
              </w:rPr>
              <w:t>位</w:t>
            </w:r>
            <w:r>
              <w:rPr>
                <w:rFonts w:ascii="宋体" w:hAnsi="宋体" w:eastAsia="宋体" w:cs="宋体"/>
                <w:spacing w:val="7"/>
                <w:sz w:val="20"/>
                <w:szCs w:val="20"/>
              </w:rPr>
              <w:t>于拟建桥梁下游约</w:t>
            </w:r>
            <w:r>
              <w:rPr>
                <w:rFonts w:ascii="Times New Roman" w:hAnsi="Times New Roman" w:eastAsia="Times New Roman" w:cs="Times New Roman"/>
                <w:spacing w:val="7"/>
                <w:sz w:val="20"/>
                <w:szCs w:val="20"/>
              </w:rPr>
              <w:t>11</w:t>
            </w:r>
            <w:r>
              <w:rPr>
                <w:rFonts w:ascii="Times New Roman" w:hAnsi="Times New Roman" w:eastAsia="Times New Roman" w:cs="Times New Roman"/>
                <w:sz w:val="20"/>
                <w:szCs w:val="20"/>
              </w:rPr>
              <w:t>km</w:t>
            </w:r>
            <w:r>
              <w:rPr>
                <w:rFonts w:ascii="宋体" w:hAnsi="宋体" w:eastAsia="宋体" w:cs="宋体"/>
                <w:spacing w:val="7"/>
                <w:sz w:val="20"/>
                <w:szCs w:val="20"/>
              </w:rPr>
              <w:t>处 (车家河国控断面) ，根据调查，该断面水质常年保持Ⅱ类水</w:t>
            </w:r>
            <w:r>
              <w:rPr>
                <w:rFonts w:ascii="宋体" w:hAnsi="宋体" w:eastAsia="宋体" w:cs="宋体"/>
                <w:sz w:val="20"/>
                <w:szCs w:val="20"/>
              </w:rPr>
              <w:t xml:space="preserve"> </w:t>
            </w:r>
            <w:r>
              <w:rPr>
                <w:rFonts w:ascii="宋体" w:hAnsi="宋体" w:eastAsia="宋体" w:cs="宋体"/>
                <w:spacing w:val="5"/>
                <w:sz w:val="20"/>
                <w:szCs w:val="20"/>
              </w:rPr>
              <w:t>质标准。</w:t>
            </w:r>
          </w:p>
          <w:p>
            <w:pPr>
              <w:spacing w:before="19" w:line="369" w:lineRule="auto"/>
              <w:ind w:left="75" w:right="71" w:firstLine="424"/>
              <w:rPr>
                <w:rFonts w:ascii="宋体" w:hAnsi="宋体" w:eastAsia="宋体" w:cs="宋体"/>
                <w:sz w:val="20"/>
                <w:szCs w:val="20"/>
              </w:rPr>
            </w:pPr>
            <w:r>
              <w:rPr>
                <w:rFonts w:ascii="宋体" w:hAnsi="宋体" w:eastAsia="宋体" w:cs="宋体"/>
                <w:spacing w:val="16"/>
                <w:sz w:val="20"/>
                <w:szCs w:val="20"/>
              </w:rPr>
              <w:t>项</w:t>
            </w:r>
            <w:r>
              <w:rPr>
                <w:rFonts w:ascii="宋体" w:hAnsi="宋体" w:eastAsia="宋体" w:cs="宋体"/>
                <w:spacing w:val="11"/>
                <w:sz w:val="20"/>
                <w:szCs w:val="20"/>
              </w:rPr>
              <w:t>目</w:t>
            </w:r>
            <w:r>
              <w:rPr>
                <w:rFonts w:ascii="宋体" w:hAnsi="宋体" w:eastAsia="宋体" w:cs="宋体"/>
                <w:spacing w:val="8"/>
                <w:sz w:val="20"/>
                <w:szCs w:val="20"/>
              </w:rPr>
              <w:t>位置处跨越州河，州河拟建桥梁河段水流流速缓慢，河水最深约为</w:t>
            </w:r>
            <w:r>
              <w:rPr>
                <w:rFonts w:ascii="Times New Roman" w:hAnsi="Times New Roman" w:eastAsia="Times New Roman" w:cs="Times New Roman"/>
                <w:spacing w:val="8"/>
                <w:sz w:val="20"/>
                <w:szCs w:val="20"/>
              </w:rPr>
              <w:t>18</w:t>
            </w:r>
            <w:r>
              <w:rPr>
                <w:rFonts w:ascii="Times New Roman" w:hAnsi="Times New Roman" w:eastAsia="Times New Roman" w:cs="Times New Roman"/>
                <w:sz w:val="20"/>
                <w:szCs w:val="20"/>
              </w:rPr>
              <w:t>m</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，汛期水</w:t>
            </w:r>
            <w:r>
              <w:rPr>
                <w:rFonts w:ascii="宋体" w:hAnsi="宋体" w:eastAsia="宋体" w:cs="宋体"/>
                <w:sz w:val="20"/>
                <w:szCs w:val="20"/>
              </w:rPr>
              <w:t xml:space="preserve"> </w:t>
            </w:r>
            <w:r>
              <w:rPr>
                <w:rFonts w:ascii="宋体" w:hAnsi="宋体" w:eastAsia="宋体" w:cs="宋体"/>
                <w:spacing w:val="8"/>
                <w:sz w:val="20"/>
                <w:szCs w:val="20"/>
              </w:rPr>
              <w:t>位变幅约为</w:t>
            </w:r>
            <w:r>
              <w:rPr>
                <w:rFonts w:ascii="Times New Roman" w:hAnsi="Times New Roman" w:eastAsia="Times New Roman" w:cs="Times New Roman"/>
                <w:spacing w:val="4"/>
                <w:sz w:val="20"/>
                <w:szCs w:val="20"/>
              </w:rPr>
              <w:t>1~3</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。该处</w:t>
            </w:r>
            <w:r>
              <w:rPr>
                <w:rFonts w:ascii="Times New Roman" w:hAnsi="Times New Roman" w:eastAsia="Times New Roman" w:cs="Times New Roman"/>
                <w:spacing w:val="4"/>
                <w:sz w:val="20"/>
                <w:szCs w:val="20"/>
              </w:rPr>
              <w:t>100</w:t>
            </w:r>
            <w:r>
              <w:rPr>
                <w:rFonts w:ascii="宋体" w:hAnsi="宋体" w:eastAsia="宋体" w:cs="宋体"/>
                <w:spacing w:val="4"/>
                <w:sz w:val="20"/>
                <w:szCs w:val="20"/>
              </w:rPr>
              <w:t>年一遇洪水水位为</w:t>
            </w:r>
            <w:r>
              <w:rPr>
                <w:rFonts w:ascii="Times New Roman" w:hAnsi="Times New Roman" w:eastAsia="Times New Roman" w:cs="Times New Roman"/>
                <w:spacing w:val="4"/>
                <w:sz w:val="20"/>
                <w:szCs w:val="20"/>
              </w:rPr>
              <w:t>288.47</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，在</w:t>
            </w:r>
            <w:r>
              <w:rPr>
                <w:rFonts w:ascii="Times New Roman" w:hAnsi="Times New Roman" w:eastAsia="Times New Roman" w:cs="Times New Roman"/>
                <w:spacing w:val="4"/>
                <w:sz w:val="20"/>
                <w:szCs w:val="20"/>
              </w:rPr>
              <w:t>50</w:t>
            </w:r>
            <w:r>
              <w:rPr>
                <w:rFonts w:ascii="宋体" w:hAnsi="宋体" w:eastAsia="宋体" w:cs="宋体"/>
                <w:spacing w:val="4"/>
                <w:sz w:val="20"/>
                <w:szCs w:val="20"/>
              </w:rPr>
              <w:t>年一遇洪水水位为</w:t>
            </w:r>
            <w:r>
              <w:rPr>
                <w:rFonts w:ascii="Times New Roman" w:hAnsi="Times New Roman" w:eastAsia="Times New Roman" w:cs="Times New Roman"/>
                <w:spacing w:val="4"/>
                <w:sz w:val="20"/>
                <w:szCs w:val="20"/>
              </w:rPr>
              <w:t>287.43</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10"/>
                <w:sz w:val="20"/>
                <w:szCs w:val="20"/>
              </w:rPr>
              <w:t>在</w:t>
            </w:r>
            <w:r>
              <w:rPr>
                <w:rFonts w:ascii="Times New Roman" w:hAnsi="Times New Roman" w:eastAsia="Times New Roman" w:cs="Times New Roman"/>
                <w:spacing w:val="10"/>
                <w:sz w:val="20"/>
                <w:szCs w:val="20"/>
              </w:rPr>
              <w:t>20</w:t>
            </w:r>
            <w:r>
              <w:rPr>
                <w:rFonts w:ascii="宋体" w:hAnsi="宋体" w:eastAsia="宋体" w:cs="宋体"/>
                <w:spacing w:val="10"/>
                <w:sz w:val="20"/>
                <w:szCs w:val="20"/>
              </w:rPr>
              <w:t>年</w:t>
            </w:r>
            <w:r>
              <w:rPr>
                <w:rFonts w:ascii="宋体" w:hAnsi="宋体" w:eastAsia="宋体" w:cs="宋体"/>
                <w:spacing w:val="7"/>
                <w:sz w:val="20"/>
                <w:szCs w:val="20"/>
              </w:rPr>
              <w:t>一</w:t>
            </w:r>
            <w:r>
              <w:rPr>
                <w:rFonts w:ascii="宋体" w:hAnsi="宋体" w:eastAsia="宋体" w:cs="宋体"/>
                <w:spacing w:val="5"/>
                <w:sz w:val="20"/>
                <w:szCs w:val="20"/>
              </w:rPr>
              <w:t>遇洪水水位为</w:t>
            </w:r>
            <w:r>
              <w:rPr>
                <w:rFonts w:ascii="Times New Roman" w:hAnsi="Times New Roman" w:eastAsia="Times New Roman" w:cs="Times New Roman"/>
                <w:spacing w:val="5"/>
                <w:sz w:val="20"/>
                <w:szCs w:val="20"/>
              </w:rPr>
              <w:t>285.69</w:t>
            </w:r>
            <w:r>
              <w:rPr>
                <w:rFonts w:ascii="Times New Roman" w:hAnsi="Times New Roman" w:eastAsia="Times New Roman" w:cs="Times New Roman"/>
                <w:sz w:val="20"/>
                <w:szCs w:val="20"/>
              </w:rPr>
              <w:t>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，项目设计标高</w:t>
            </w:r>
            <w:r>
              <w:rPr>
                <w:rFonts w:ascii="Times New Roman" w:hAnsi="Times New Roman" w:eastAsia="Times New Roman" w:cs="Times New Roman"/>
                <w:spacing w:val="5"/>
                <w:sz w:val="20"/>
                <w:szCs w:val="20"/>
              </w:rPr>
              <w:t>291.5</w:t>
            </w:r>
            <w:r>
              <w:rPr>
                <w:rFonts w:ascii="Times New Roman" w:hAnsi="Times New Roman" w:eastAsia="Times New Roman" w:cs="Times New Roman"/>
                <w:sz w:val="20"/>
                <w:szCs w:val="20"/>
              </w:rPr>
              <w:t>m</w:t>
            </w:r>
            <w:r>
              <w:rPr>
                <w:rFonts w:ascii="宋体" w:hAnsi="宋体" w:eastAsia="宋体" w:cs="宋体"/>
                <w:spacing w:val="5"/>
                <w:sz w:val="20"/>
                <w:szCs w:val="20"/>
              </w:rPr>
              <w:t>。</w:t>
            </w:r>
          </w:p>
          <w:p>
            <w:pPr>
              <w:spacing w:line="241" w:lineRule="auto"/>
              <w:ind w:left="107"/>
              <w:rPr>
                <w:rFonts w:ascii="黑体" w:hAnsi="黑体" w:eastAsia="黑体" w:cs="黑体"/>
                <w:sz w:val="20"/>
                <w:szCs w:val="20"/>
              </w:rPr>
            </w:pPr>
            <w:r>
              <w:rPr>
                <w:rFonts w:ascii="Times New Roman" w:hAnsi="Times New Roman" w:eastAsia="Times New Roman" w:cs="Times New Roman"/>
                <w:spacing w:val="1"/>
                <w:sz w:val="20"/>
                <w:szCs w:val="20"/>
              </w:rPr>
              <w:t xml:space="preserve">3 </w:t>
            </w:r>
            <w:r>
              <w:rPr>
                <w:rFonts w:ascii="黑体" w:hAnsi="黑体" w:eastAsia="黑体" w:cs="黑体"/>
                <w:spacing w:val="1"/>
                <w:sz w:val="20"/>
                <w:szCs w:val="20"/>
              </w:rPr>
              <w:t>、合</w:t>
            </w:r>
            <w:r>
              <w:rPr>
                <w:rFonts w:ascii="黑体" w:hAnsi="黑体" w:eastAsia="黑体" w:cs="黑体"/>
                <w:sz w:val="20"/>
                <w:szCs w:val="20"/>
              </w:rPr>
              <w:t>理性分析</w:t>
            </w:r>
          </w:p>
          <w:p>
            <w:pPr>
              <w:tabs>
                <w:tab w:val="left" w:pos="599"/>
              </w:tabs>
              <w:spacing w:before="140" w:line="369" w:lineRule="auto"/>
              <w:ind w:left="106" w:right="39" w:firstLine="412"/>
              <w:rPr>
                <w:rFonts w:ascii="宋体" w:hAnsi="宋体" w:eastAsia="宋体" w:cs="宋体"/>
                <w:sz w:val="20"/>
                <w:szCs w:val="20"/>
              </w:rPr>
            </w:pPr>
            <w:r>
              <w:rPr>
                <w:rFonts w:ascii="宋体" w:hAnsi="宋体" w:eastAsia="宋体" w:cs="宋体"/>
                <w:sz w:val="17"/>
                <w:szCs w:val="17"/>
              </w:rPr>
              <w:tab/>
            </w:r>
            <w:r>
              <w:rPr>
                <w:rFonts w:ascii="宋体" w:hAnsi="宋体" w:eastAsia="宋体" w:cs="宋体"/>
                <w:spacing w:val="10"/>
                <w:sz w:val="17"/>
                <w:szCs w:val="17"/>
              </w:rPr>
              <w:t>1</w:t>
            </w:r>
            <w:r>
              <w:rPr>
                <w:rFonts w:ascii="宋体" w:hAnsi="宋体" w:eastAsia="宋体" w:cs="宋体"/>
                <w:spacing w:val="8"/>
                <w:sz w:val="17"/>
                <w:szCs w:val="17"/>
              </w:rPr>
              <w:t xml:space="preserve">   </w:t>
            </w:r>
            <w:r>
              <w:rPr>
                <w:rFonts w:ascii="宋体" w:hAnsi="宋体" w:eastAsia="宋体" w:cs="宋体"/>
                <w:spacing w:val="8"/>
                <w:sz w:val="20"/>
                <w:szCs w:val="20"/>
              </w:rPr>
              <w:t>项目占地区域以绿化用地、交通运输用地、水域用地为主，另占用少量水旱地、</w:t>
            </w:r>
            <w:r>
              <w:rPr>
                <w:rFonts w:ascii="宋体" w:hAnsi="宋体" w:eastAsia="宋体" w:cs="宋体"/>
                <w:sz w:val="20"/>
                <w:szCs w:val="20"/>
              </w:rPr>
              <w:t xml:space="preserve"> </w:t>
            </w:r>
            <w:r>
              <w:rPr>
                <w:rFonts w:ascii="宋体" w:hAnsi="宋体" w:eastAsia="宋体" w:cs="宋体"/>
                <w:spacing w:val="10"/>
                <w:sz w:val="20"/>
                <w:szCs w:val="20"/>
              </w:rPr>
              <w:t>河</w:t>
            </w:r>
            <w:r>
              <w:rPr>
                <w:rFonts w:ascii="宋体" w:hAnsi="宋体" w:eastAsia="宋体" w:cs="宋体"/>
                <w:spacing w:val="8"/>
                <w:sz w:val="20"/>
                <w:szCs w:val="20"/>
              </w:rPr>
              <w:t>滩地等，不涉及生态保护红线、永久基本农田、自然保护区、风景名胜区和需要特殊保</w:t>
            </w:r>
            <w:r>
              <w:rPr>
                <w:rFonts w:ascii="宋体" w:hAnsi="宋体" w:eastAsia="宋体" w:cs="宋体"/>
                <w:sz w:val="20"/>
                <w:szCs w:val="20"/>
              </w:rPr>
              <w:t xml:space="preserve"> </w:t>
            </w:r>
            <w:r>
              <w:rPr>
                <w:rFonts w:ascii="宋体" w:hAnsi="宋体" w:eastAsia="宋体" w:cs="宋体"/>
                <w:spacing w:val="7"/>
                <w:sz w:val="20"/>
                <w:szCs w:val="20"/>
              </w:rPr>
              <w:t>护的区域等</w:t>
            </w:r>
            <w:r>
              <w:rPr>
                <w:rFonts w:ascii="宋体" w:hAnsi="宋体" w:eastAsia="宋体" w:cs="宋体"/>
                <w:spacing w:val="6"/>
                <w:sz w:val="20"/>
                <w:szCs w:val="20"/>
              </w:rPr>
              <w:t>。</w:t>
            </w:r>
          </w:p>
          <w:p>
            <w:pPr>
              <w:spacing w:before="2" w:line="368" w:lineRule="auto"/>
              <w:ind w:left="107" w:right="71" w:firstLine="481"/>
              <w:rPr>
                <w:rFonts w:ascii="宋体" w:hAnsi="宋体" w:eastAsia="宋体" w:cs="宋体"/>
                <w:sz w:val="20"/>
                <w:szCs w:val="20"/>
              </w:rPr>
            </w:pPr>
            <w:r>
              <w:rPr>
                <w:rFonts w:ascii="宋体" w:hAnsi="宋体" w:eastAsia="宋体" w:cs="宋体"/>
                <w:spacing w:val="14"/>
                <w:sz w:val="17"/>
                <w:szCs w:val="17"/>
              </w:rPr>
              <w:t xml:space="preserve">2 </w:t>
            </w:r>
            <w:r>
              <w:rPr>
                <w:rFonts w:ascii="宋体" w:hAnsi="宋体" w:eastAsia="宋体" w:cs="宋体"/>
                <w:spacing w:val="12"/>
                <w:sz w:val="17"/>
                <w:szCs w:val="17"/>
              </w:rPr>
              <w:t xml:space="preserve"> </w:t>
            </w:r>
            <w:r>
              <w:rPr>
                <w:rFonts w:ascii="宋体" w:hAnsi="宋体" w:eastAsia="宋体" w:cs="宋体"/>
                <w:spacing w:val="7"/>
                <w:sz w:val="17"/>
                <w:szCs w:val="17"/>
              </w:rPr>
              <w:t xml:space="preserve"> </w:t>
            </w:r>
            <w:r>
              <w:rPr>
                <w:rFonts w:ascii="宋体" w:hAnsi="宋体" w:eastAsia="宋体" w:cs="宋体"/>
                <w:spacing w:val="7"/>
                <w:sz w:val="20"/>
                <w:szCs w:val="20"/>
              </w:rPr>
              <w:t>项目影响区域不涉及饮用水水源保护区等环境敏感区，避免了项目建设和运营对</w:t>
            </w:r>
            <w:r>
              <w:rPr>
                <w:rFonts w:ascii="宋体" w:hAnsi="宋体" w:eastAsia="宋体" w:cs="宋体"/>
                <w:sz w:val="20"/>
                <w:szCs w:val="20"/>
              </w:rPr>
              <w:t xml:space="preserve"> </w:t>
            </w:r>
            <w:r>
              <w:rPr>
                <w:rFonts w:ascii="宋体" w:hAnsi="宋体" w:eastAsia="宋体" w:cs="宋体"/>
                <w:spacing w:val="12"/>
                <w:sz w:val="20"/>
                <w:szCs w:val="20"/>
              </w:rPr>
              <w:t>饮</w:t>
            </w:r>
            <w:r>
              <w:rPr>
                <w:rFonts w:ascii="宋体" w:hAnsi="宋体" w:eastAsia="宋体" w:cs="宋体"/>
                <w:spacing w:val="8"/>
                <w:sz w:val="20"/>
                <w:szCs w:val="20"/>
              </w:rPr>
              <w:t>用水水源保护区的影响。</w:t>
            </w:r>
          </w:p>
          <w:p>
            <w:pPr>
              <w:spacing w:line="369" w:lineRule="auto"/>
              <w:ind w:left="106" w:right="55" w:firstLine="483"/>
              <w:rPr>
                <w:rFonts w:ascii="宋体" w:hAnsi="宋体" w:eastAsia="宋体" w:cs="宋体"/>
                <w:sz w:val="20"/>
                <w:szCs w:val="20"/>
              </w:rPr>
            </w:pPr>
            <w:r>
              <w:rPr>
                <w:rFonts w:ascii="宋体" w:hAnsi="宋体" w:eastAsia="宋体" w:cs="宋体"/>
                <w:spacing w:val="14"/>
                <w:sz w:val="17"/>
                <w:szCs w:val="17"/>
              </w:rPr>
              <w:t>3</w:t>
            </w:r>
            <w:r>
              <w:rPr>
                <w:rFonts w:ascii="宋体" w:hAnsi="宋体" w:eastAsia="宋体" w:cs="宋体"/>
                <w:spacing w:val="11"/>
                <w:sz w:val="17"/>
                <w:szCs w:val="17"/>
              </w:rPr>
              <w:t xml:space="preserve"> </w:t>
            </w:r>
            <w:r>
              <w:rPr>
                <w:rFonts w:ascii="宋体" w:hAnsi="宋体" w:eastAsia="宋体" w:cs="宋体"/>
                <w:spacing w:val="7"/>
                <w:sz w:val="17"/>
                <w:szCs w:val="17"/>
              </w:rPr>
              <w:t xml:space="preserve">  </w:t>
            </w:r>
            <w:r>
              <w:rPr>
                <w:rFonts w:ascii="宋体" w:hAnsi="宋体" w:eastAsia="宋体" w:cs="宋体"/>
                <w:spacing w:val="7"/>
                <w:sz w:val="20"/>
                <w:szCs w:val="20"/>
              </w:rPr>
              <w:t>根据达州市自然资源和规划局出具的《建设项目用地预审与选址意见书》 (用字</w:t>
            </w:r>
            <w:r>
              <w:rPr>
                <w:rFonts w:ascii="宋体" w:hAnsi="宋体" w:eastAsia="宋体" w:cs="宋体"/>
                <w:sz w:val="20"/>
                <w:szCs w:val="20"/>
              </w:rPr>
              <w:t xml:space="preserve"> </w:t>
            </w:r>
            <w:r>
              <w:rPr>
                <w:rFonts w:ascii="宋体" w:hAnsi="宋体" w:eastAsia="宋体" w:cs="宋体"/>
                <w:spacing w:val="8"/>
                <w:sz w:val="20"/>
                <w:szCs w:val="20"/>
              </w:rPr>
              <w:t>地</w:t>
            </w:r>
            <w:r>
              <w:rPr>
                <w:rFonts w:ascii="Times New Roman" w:hAnsi="Times New Roman" w:eastAsia="Times New Roman" w:cs="Times New Roman"/>
                <w:spacing w:val="8"/>
                <w:sz w:val="20"/>
                <w:szCs w:val="20"/>
              </w:rPr>
              <w:t>511700202200021</w:t>
            </w:r>
            <w:r>
              <w:rPr>
                <w:rFonts w:ascii="宋体" w:hAnsi="宋体" w:eastAsia="宋体" w:cs="宋体"/>
                <w:spacing w:val="8"/>
                <w:sz w:val="20"/>
                <w:szCs w:val="20"/>
              </w:rPr>
              <w:t>) 指出：</w:t>
            </w:r>
            <w:r>
              <w:rPr>
                <w:rFonts w:ascii="Times New Roman" w:hAnsi="Times New Roman" w:eastAsia="Times New Roman" w:cs="Times New Roman"/>
                <w:spacing w:val="8"/>
                <w:sz w:val="20"/>
                <w:szCs w:val="20"/>
              </w:rPr>
              <w:t>“</w:t>
            </w:r>
            <w:r>
              <w:rPr>
                <w:rFonts w:ascii="宋体" w:hAnsi="宋体" w:eastAsia="宋体" w:cs="宋体"/>
                <w:spacing w:val="8"/>
                <w:sz w:val="20"/>
                <w:szCs w:val="20"/>
              </w:rPr>
              <w:t>本建设项目符合国土空间用途管制要求，核发此书</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。若</w:t>
            </w:r>
            <w:r>
              <w:rPr>
                <w:rFonts w:ascii="宋体" w:hAnsi="宋体" w:eastAsia="宋体" w:cs="宋体"/>
                <w:sz w:val="20"/>
                <w:szCs w:val="20"/>
              </w:rPr>
              <w:t xml:space="preserve">后 </w:t>
            </w:r>
            <w:r>
              <w:rPr>
                <w:rFonts w:ascii="宋体" w:hAnsi="宋体" w:eastAsia="宋体" w:cs="宋体"/>
                <w:spacing w:val="16"/>
                <w:sz w:val="20"/>
                <w:szCs w:val="20"/>
              </w:rPr>
              <w:t>期施</w:t>
            </w:r>
            <w:r>
              <w:rPr>
                <w:rFonts w:ascii="宋体" w:hAnsi="宋体" w:eastAsia="宋体" w:cs="宋体"/>
                <w:spacing w:val="10"/>
                <w:sz w:val="20"/>
                <w:szCs w:val="20"/>
              </w:rPr>
              <w:t>工</w:t>
            </w:r>
            <w:r>
              <w:rPr>
                <w:rFonts w:ascii="宋体" w:hAnsi="宋体" w:eastAsia="宋体" w:cs="宋体"/>
                <w:spacing w:val="8"/>
                <w:sz w:val="20"/>
                <w:szCs w:val="20"/>
              </w:rPr>
              <w:t>设计图出来后占地范围发生变化，应按照相关要求办理完善相关合法手续。同时，</w:t>
            </w:r>
            <w:r>
              <w:rPr>
                <w:rFonts w:ascii="宋体" w:hAnsi="宋体" w:eastAsia="宋体" w:cs="宋体"/>
                <w:sz w:val="20"/>
                <w:szCs w:val="20"/>
              </w:rPr>
              <w:t xml:space="preserve"> </w:t>
            </w:r>
            <w:r>
              <w:rPr>
                <w:rFonts w:ascii="宋体" w:hAnsi="宋体" w:eastAsia="宋体" w:cs="宋体"/>
                <w:spacing w:val="16"/>
                <w:sz w:val="20"/>
                <w:szCs w:val="20"/>
              </w:rPr>
              <w:t>必须</w:t>
            </w:r>
            <w:r>
              <w:rPr>
                <w:rFonts w:ascii="宋体" w:hAnsi="宋体" w:eastAsia="宋体" w:cs="宋体"/>
                <w:spacing w:val="8"/>
                <w:sz w:val="20"/>
                <w:szCs w:val="20"/>
              </w:rPr>
              <w:t>遵守</w:t>
            </w:r>
            <w:r>
              <w:rPr>
                <w:rFonts w:ascii="Times New Roman" w:hAnsi="Times New Roman" w:eastAsia="Times New Roman" w:cs="Times New Roman"/>
                <w:spacing w:val="8"/>
                <w:sz w:val="20"/>
                <w:szCs w:val="20"/>
              </w:rPr>
              <w:t>“</w:t>
            </w:r>
            <w:r>
              <w:rPr>
                <w:rFonts w:ascii="宋体" w:hAnsi="宋体" w:eastAsia="宋体" w:cs="宋体"/>
                <w:spacing w:val="8"/>
                <w:sz w:val="20"/>
                <w:szCs w:val="20"/>
              </w:rPr>
              <w:t>占一补一”“总量平衡</w:t>
            </w:r>
            <w:r>
              <w:rPr>
                <w:rFonts w:ascii="Times New Roman" w:hAnsi="Times New Roman" w:eastAsia="Times New Roman" w:cs="Times New Roman"/>
                <w:spacing w:val="8"/>
                <w:sz w:val="20"/>
                <w:szCs w:val="20"/>
              </w:rPr>
              <w:t>”</w:t>
            </w:r>
            <w:r>
              <w:rPr>
                <w:rFonts w:ascii="宋体" w:hAnsi="宋体" w:eastAsia="宋体" w:cs="宋体"/>
                <w:spacing w:val="8"/>
                <w:sz w:val="20"/>
                <w:szCs w:val="20"/>
              </w:rPr>
              <w:t>的原则。对于临时用地，则需要遵守国务院的《土地复</w:t>
            </w:r>
            <w:r>
              <w:rPr>
                <w:rFonts w:ascii="宋体" w:hAnsi="宋体" w:eastAsia="宋体" w:cs="宋体"/>
                <w:sz w:val="20"/>
                <w:szCs w:val="20"/>
              </w:rPr>
              <w:t xml:space="preserve"> </w:t>
            </w:r>
            <w:r>
              <w:rPr>
                <w:rFonts w:ascii="宋体" w:hAnsi="宋体" w:eastAsia="宋体" w:cs="宋体"/>
                <w:spacing w:val="5"/>
                <w:sz w:val="20"/>
                <w:szCs w:val="20"/>
              </w:rPr>
              <w:t>垦</w:t>
            </w:r>
            <w:r>
              <w:rPr>
                <w:rFonts w:ascii="宋体" w:hAnsi="宋体" w:eastAsia="宋体" w:cs="宋体"/>
                <w:spacing w:val="4"/>
                <w:sz w:val="20"/>
                <w:szCs w:val="20"/>
              </w:rPr>
              <w:t>规定》。</w:t>
            </w:r>
          </w:p>
          <w:p>
            <w:pPr>
              <w:spacing w:before="1" w:line="227" w:lineRule="auto"/>
              <w:ind w:left="585"/>
              <w:rPr>
                <w:rFonts w:ascii="宋体" w:hAnsi="宋体" w:eastAsia="宋体" w:cs="宋体"/>
                <w:sz w:val="20"/>
                <w:szCs w:val="20"/>
              </w:rPr>
            </w:pPr>
            <w:r>
              <w:rPr>
                <w:rFonts w:ascii="宋体" w:hAnsi="宋体" w:eastAsia="宋体" w:cs="宋体"/>
                <w:spacing w:val="9"/>
                <w:sz w:val="17"/>
                <w:szCs w:val="17"/>
              </w:rPr>
              <w:t xml:space="preserve">4   </w:t>
            </w:r>
            <w:r>
              <w:rPr>
                <w:rFonts w:ascii="宋体" w:hAnsi="宋体" w:eastAsia="宋体" w:cs="宋体"/>
                <w:spacing w:val="9"/>
                <w:sz w:val="20"/>
                <w:szCs w:val="20"/>
              </w:rPr>
              <w:t>项目选址符合城市规划，与周边居住小区等敏感区域保持足够的规划控制距离。</w:t>
            </w:r>
          </w:p>
          <w:p>
            <w:pPr>
              <w:spacing w:before="155" w:line="369" w:lineRule="auto"/>
              <w:ind w:left="107" w:right="71" w:firstLine="482"/>
              <w:rPr>
                <w:rFonts w:ascii="宋体" w:hAnsi="宋体" w:eastAsia="宋体" w:cs="宋体"/>
                <w:sz w:val="20"/>
                <w:szCs w:val="20"/>
              </w:rPr>
            </w:pPr>
            <w:r>
              <w:rPr>
                <w:rFonts w:ascii="宋体" w:hAnsi="宋体" w:eastAsia="宋体" w:cs="宋体"/>
                <w:spacing w:val="14"/>
                <w:sz w:val="17"/>
                <w:szCs w:val="17"/>
              </w:rPr>
              <w:t xml:space="preserve">5 </w:t>
            </w:r>
            <w:r>
              <w:rPr>
                <w:rFonts w:ascii="宋体" w:hAnsi="宋体" w:eastAsia="宋体" w:cs="宋体"/>
                <w:spacing w:val="11"/>
                <w:sz w:val="17"/>
                <w:szCs w:val="17"/>
              </w:rPr>
              <w:t xml:space="preserve"> </w:t>
            </w:r>
            <w:r>
              <w:rPr>
                <w:rFonts w:ascii="宋体" w:hAnsi="宋体" w:eastAsia="宋体" w:cs="宋体"/>
                <w:spacing w:val="7"/>
                <w:sz w:val="17"/>
                <w:szCs w:val="17"/>
              </w:rPr>
              <w:t xml:space="preserve"> </w:t>
            </w:r>
            <w:r>
              <w:rPr>
                <w:rFonts w:ascii="宋体" w:hAnsi="宋体" w:eastAsia="宋体" w:cs="宋体"/>
                <w:spacing w:val="7"/>
                <w:sz w:val="20"/>
                <w:szCs w:val="20"/>
              </w:rPr>
              <w:t>本项目选址尽量避让了周边居民聚集区等声敏感点集中区域，同时在声环境保护</w:t>
            </w:r>
            <w:r>
              <w:rPr>
                <w:rFonts w:ascii="宋体" w:hAnsi="宋体" w:eastAsia="宋体" w:cs="宋体"/>
                <w:sz w:val="20"/>
                <w:szCs w:val="20"/>
              </w:rPr>
              <w:t xml:space="preserve"> </w:t>
            </w:r>
            <w:r>
              <w:rPr>
                <w:rFonts w:ascii="宋体" w:hAnsi="宋体" w:eastAsia="宋体" w:cs="宋体"/>
                <w:spacing w:val="9"/>
                <w:sz w:val="20"/>
                <w:szCs w:val="20"/>
              </w:rPr>
              <w:t>措</w:t>
            </w:r>
            <w:r>
              <w:rPr>
                <w:rFonts w:ascii="宋体" w:hAnsi="宋体" w:eastAsia="宋体" w:cs="宋体"/>
                <w:spacing w:val="8"/>
                <w:sz w:val="20"/>
                <w:szCs w:val="20"/>
              </w:rPr>
              <w:t>施中，优化工程形式和施工工艺，采用沥青混凝土路面，减小污染物排放和生态环境影</w:t>
            </w:r>
            <w:r>
              <w:rPr>
                <w:rFonts w:ascii="宋体" w:hAnsi="宋体" w:eastAsia="宋体" w:cs="宋体"/>
                <w:sz w:val="20"/>
                <w:szCs w:val="20"/>
              </w:rPr>
              <w:t xml:space="preserve"> </w:t>
            </w:r>
            <w:r>
              <w:rPr>
                <w:rFonts w:ascii="宋体" w:hAnsi="宋体" w:eastAsia="宋体" w:cs="宋体"/>
                <w:spacing w:val="11"/>
                <w:sz w:val="20"/>
                <w:szCs w:val="20"/>
              </w:rPr>
              <w:t>响</w:t>
            </w:r>
            <w:r>
              <w:rPr>
                <w:rFonts w:ascii="宋体" w:hAnsi="宋体" w:eastAsia="宋体" w:cs="宋体"/>
                <w:spacing w:val="9"/>
                <w:sz w:val="20"/>
                <w:szCs w:val="20"/>
              </w:rPr>
              <w:t>；对沿线声环境保护目标提出了相应降噪措施。</w:t>
            </w:r>
          </w:p>
          <w:p>
            <w:pPr>
              <w:spacing w:before="2" w:line="368" w:lineRule="auto"/>
              <w:ind w:left="76" w:right="70" w:firstLine="422"/>
              <w:rPr>
                <w:rFonts w:ascii="宋体" w:hAnsi="宋体" w:eastAsia="宋体" w:cs="宋体"/>
                <w:sz w:val="20"/>
                <w:szCs w:val="20"/>
              </w:rPr>
            </w:pPr>
            <w:r>
              <w:rPr>
                <w:rFonts w:ascii="宋体" w:hAnsi="宋体" w:eastAsia="宋体" w:cs="宋体"/>
                <w:spacing w:val="16"/>
                <w:sz w:val="20"/>
                <w:szCs w:val="20"/>
              </w:rPr>
              <w:t>综上分</w:t>
            </w:r>
            <w:r>
              <w:rPr>
                <w:rFonts w:ascii="宋体" w:hAnsi="宋体" w:eastAsia="宋体" w:cs="宋体"/>
                <w:spacing w:val="11"/>
                <w:sz w:val="20"/>
                <w:szCs w:val="20"/>
              </w:rPr>
              <w:t>析</w:t>
            </w:r>
            <w:r>
              <w:rPr>
                <w:rFonts w:ascii="宋体" w:hAnsi="宋体" w:eastAsia="宋体" w:cs="宋体"/>
                <w:spacing w:val="8"/>
                <w:sz w:val="20"/>
                <w:szCs w:val="20"/>
              </w:rPr>
              <w:t>，项目道路走向选线符合城市道路系统规划，尽量避开了住户等敏感目标，</w:t>
            </w:r>
            <w:r>
              <w:rPr>
                <w:rFonts w:ascii="宋体" w:hAnsi="宋体" w:eastAsia="宋体" w:cs="宋体"/>
                <w:sz w:val="20"/>
                <w:szCs w:val="20"/>
              </w:rPr>
              <w:t xml:space="preserve"> </w:t>
            </w:r>
            <w:r>
              <w:rPr>
                <w:rFonts w:ascii="宋体" w:hAnsi="宋体" w:eastAsia="宋体" w:cs="宋体"/>
                <w:spacing w:val="9"/>
                <w:sz w:val="20"/>
                <w:szCs w:val="20"/>
              </w:rPr>
              <w:t>通过优化设计，合理设置道路标高和纵坡，能够有效减轻交通噪声的两侧敏感点的影响</w:t>
            </w:r>
            <w:r>
              <w:rPr>
                <w:rFonts w:ascii="宋体" w:hAnsi="宋体" w:eastAsia="宋体" w:cs="宋体"/>
                <w:spacing w:val="4"/>
                <w:sz w:val="20"/>
                <w:szCs w:val="20"/>
              </w:rPr>
              <w:t>。</w:t>
            </w:r>
          </w:p>
          <w:p>
            <w:pPr>
              <w:spacing w:before="1" w:line="230" w:lineRule="auto"/>
              <w:ind w:left="92"/>
              <w:rPr>
                <w:rFonts w:ascii="宋体" w:hAnsi="宋体" w:eastAsia="宋体" w:cs="宋体"/>
                <w:sz w:val="20"/>
                <w:szCs w:val="20"/>
              </w:rPr>
            </w:pPr>
            <w:r>
              <w:rPr>
                <w:rFonts w:ascii="宋体" w:hAnsi="宋体" w:eastAsia="宋体" w:cs="宋体"/>
                <w:spacing w:val="7"/>
                <w:sz w:val="20"/>
                <w:szCs w:val="20"/>
              </w:rPr>
              <w:t>因此，项目选线较为合理。</w:t>
            </w:r>
          </w:p>
        </w:tc>
      </w:tr>
    </w:tbl>
    <w:p>
      <w:pPr>
        <w:spacing w:line="146" w:lineRule="exact"/>
        <w:rPr>
          <w:rFonts w:ascii="Arial"/>
          <w:sz w:val="12"/>
        </w:rPr>
      </w:pPr>
    </w:p>
    <w:p>
      <w:pPr>
        <w:sectPr>
          <w:footerReference r:id="rId85" w:type="default"/>
          <w:pgSz w:w="11906" w:h="16839"/>
          <w:pgMar w:top="400" w:right="1472" w:bottom="1475" w:left="1471" w:header="0" w:footer="1315" w:gutter="0"/>
          <w:cols w:space="720" w:num="1"/>
        </w:sect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94" w:line="241" w:lineRule="auto"/>
        <w:ind w:left="2696"/>
        <w:outlineLvl w:val="0"/>
        <w:rPr>
          <w:rFonts w:ascii="黑体" w:hAnsi="黑体" w:eastAsia="黑体" w:cs="黑体"/>
          <w:sz w:val="29"/>
          <w:szCs w:val="29"/>
        </w:rPr>
      </w:pPr>
      <w:bookmarkStart w:id="4" w:name="_bookmark5"/>
      <w:bookmarkEnd w:id="4"/>
      <w:r>
        <w:rPr>
          <w:rFonts w:ascii="黑体" w:hAnsi="黑体" w:eastAsia="黑体" w:cs="黑体"/>
          <w:spacing w:val="12"/>
          <w:sz w:val="29"/>
          <w:szCs w:val="29"/>
        </w:rPr>
        <w:t>五</w:t>
      </w:r>
      <w:r>
        <w:rPr>
          <w:rFonts w:ascii="黑体" w:hAnsi="黑体" w:eastAsia="黑体" w:cs="黑体"/>
          <w:spacing w:val="8"/>
          <w:sz w:val="29"/>
          <w:szCs w:val="29"/>
        </w:rPr>
        <w:t>、主要生态环境保护措施</w:t>
      </w:r>
    </w:p>
    <w:p/>
    <w:p>
      <w:pPr>
        <w:spacing w:line="40" w:lineRule="auto"/>
        <w:rPr>
          <w:rFonts w:ascii="Arial"/>
          <w:sz w:val="2"/>
        </w:rPr>
      </w:pPr>
    </w:p>
    <w:tbl>
      <w:tblPr>
        <w:tblStyle w:val="4"/>
        <w:tblW w:w="894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82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8" w:hRule="atLeast"/>
        </w:trPr>
        <w:tc>
          <w:tcPr>
            <w:tcW w:w="724" w:type="dxa"/>
            <w:tcBorders>
              <w:left w:val="single" w:color="00000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65" w:line="231" w:lineRule="auto"/>
              <w:ind w:left="129"/>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施工</w:t>
            </w:r>
          </w:p>
          <w:p>
            <w:pPr>
              <w:spacing w:before="21" w:line="228" w:lineRule="auto"/>
              <w:ind w:left="133"/>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期生</w:t>
            </w:r>
          </w:p>
          <w:p>
            <w:pPr>
              <w:spacing w:before="25" w:line="230" w:lineRule="auto"/>
              <w:ind w:left="130"/>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态</w:t>
            </w:r>
            <w:r>
              <w:rPr>
                <w:rFonts w:ascii="宋体" w:hAnsi="宋体" w:eastAsia="宋体" w:cs="宋体"/>
                <w:spacing w:val="15"/>
                <w:sz w:val="20"/>
                <w:szCs w:val="20"/>
                <w14:textOutline w14:w="3795" w14:cap="sq" w14:cmpd="sng">
                  <w14:solidFill>
                    <w14:srgbClr w14:val="000000"/>
                  </w14:solidFill>
                  <w14:prstDash w14:val="solid"/>
                  <w14:bevel/>
                </w14:textOutline>
              </w:rPr>
              <w:t>环</w:t>
            </w:r>
          </w:p>
          <w:p>
            <w:pPr>
              <w:spacing w:before="25" w:line="228" w:lineRule="auto"/>
              <w:ind w:left="131"/>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境保</w:t>
            </w:r>
          </w:p>
          <w:p>
            <w:pPr>
              <w:spacing w:before="24" w:line="228" w:lineRule="auto"/>
              <w:ind w:left="131"/>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护措</w:t>
            </w:r>
          </w:p>
          <w:p>
            <w:pPr>
              <w:spacing w:before="25" w:line="231" w:lineRule="auto"/>
              <w:ind w:left="244"/>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施</w:t>
            </w:r>
          </w:p>
        </w:tc>
        <w:tc>
          <w:tcPr>
            <w:tcW w:w="8216" w:type="dxa"/>
            <w:tcBorders>
              <w:right w:val="single" w:color="000000" w:sz="6" w:space="0"/>
            </w:tcBorders>
            <w:vAlign w:val="top"/>
          </w:tcPr>
          <w:p>
            <w:pPr>
              <w:spacing w:before="204" w:line="242" w:lineRule="auto"/>
              <w:ind w:left="123"/>
              <w:rPr>
                <w:rFonts w:ascii="黑体" w:hAnsi="黑体" w:eastAsia="黑体" w:cs="黑体"/>
                <w:sz w:val="20"/>
                <w:szCs w:val="20"/>
              </w:rPr>
            </w:pPr>
            <w:r>
              <w:rPr>
                <w:rFonts w:ascii="Times New Roman" w:hAnsi="Times New Roman" w:eastAsia="Times New Roman" w:cs="Times New Roman"/>
                <w:spacing w:val="2"/>
                <w:sz w:val="20"/>
                <w:szCs w:val="20"/>
              </w:rPr>
              <w:t xml:space="preserve">1 </w:t>
            </w:r>
            <w:r>
              <w:rPr>
                <w:rFonts w:ascii="黑体" w:hAnsi="黑体" w:eastAsia="黑体" w:cs="黑体"/>
                <w:spacing w:val="2"/>
                <w:sz w:val="20"/>
                <w:szCs w:val="20"/>
              </w:rPr>
              <w:t>、生态环</w:t>
            </w:r>
            <w:r>
              <w:rPr>
                <w:rFonts w:ascii="黑体" w:hAnsi="黑体" w:eastAsia="黑体" w:cs="黑体"/>
                <w:spacing w:val="1"/>
                <w:sz w:val="20"/>
                <w:szCs w:val="20"/>
              </w:rPr>
              <w:t>境保护措施</w:t>
            </w:r>
          </w:p>
          <w:p>
            <w:pPr>
              <w:spacing w:before="139" w:line="228" w:lineRule="auto"/>
              <w:ind w:left="537"/>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5"/>
                <w:sz w:val="20"/>
                <w:szCs w:val="20"/>
              </w:rPr>
              <w:t>1</w:t>
            </w:r>
            <w:r>
              <w:rPr>
                <w:rFonts w:ascii="宋体" w:hAnsi="宋体" w:eastAsia="宋体" w:cs="宋体"/>
                <w:spacing w:val="15"/>
                <w:sz w:val="20"/>
                <w:szCs w:val="20"/>
                <w14:textOutline w14:w="3795" w14:cap="sq" w14:cmpd="sng">
                  <w14:solidFill>
                    <w14:srgbClr w14:val="000000"/>
                  </w14:solidFill>
                  <w14:prstDash w14:val="solid"/>
                  <w14:bevel/>
                </w14:textOutline>
              </w:rPr>
              <w:t>)</w:t>
            </w:r>
            <w:r>
              <w:rPr>
                <w:rFonts w:ascii="宋体" w:hAnsi="宋体" w:eastAsia="宋体" w:cs="宋体"/>
                <w:spacing w:val="15"/>
                <w:sz w:val="20"/>
                <w:szCs w:val="20"/>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占地补偿和恢复措施</w:t>
            </w:r>
          </w:p>
          <w:p>
            <w:pPr>
              <w:spacing w:before="148" w:line="370" w:lineRule="auto"/>
              <w:ind w:left="54" w:firstLine="423"/>
              <w:rPr>
                <w:rFonts w:ascii="宋体" w:hAnsi="宋体" w:eastAsia="宋体" w:cs="宋体"/>
                <w:sz w:val="20"/>
                <w:szCs w:val="20"/>
              </w:rPr>
            </w:pPr>
            <w:r>
              <w:rPr>
                <w:rFonts w:ascii="宋体" w:hAnsi="宋体" w:eastAsia="宋体" w:cs="宋体"/>
                <w:spacing w:val="14"/>
                <w:sz w:val="20"/>
                <w:szCs w:val="20"/>
              </w:rPr>
              <w:t>项目</w:t>
            </w:r>
            <w:r>
              <w:rPr>
                <w:rFonts w:ascii="宋体" w:hAnsi="宋体" w:eastAsia="宋体" w:cs="宋体"/>
                <w:spacing w:val="9"/>
                <w:sz w:val="20"/>
                <w:szCs w:val="20"/>
              </w:rPr>
              <w:t>设</w:t>
            </w:r>
            <w:r>
              <w:rPr>
                <w:rFonts w:ascii="宋体" w:hAnsi="宋体" w:eastAsia="宋体" w:cs="宋体"/>
                <w:spacing w:val="7"/>
                <w:sz w:val="20"/>
                <w:szCs w:val="20"/>
              </w:rPr>
              <w:t>计单位应进一步优化工程布局，尽量减少临时占用面积。施工单位施工过程中</w:t>
            </w:r>
            <w:r>
              <w:rPr>
                <w:rFonts w:ascii="宋体" w:hAnsi="宋体" w:eastAsia="宋体" w:cs="宋体"/>
                <w:sz w:val="20"/>
                <w:szCs w:val="20"/>
              </w:rPr>
              <w:t xml:space="preserve"> </w:t>
            </w:r>
            <w:r>
              <w:rPr>
                <w:rFonts w:ascii="宋体" w:hAnsi="宋体" w:eastAsia="宋体" w:cs="宋体"/>
                <w:spacing w:val="14"/>
                <w:sz w:val="20"/>
                <w:szCs w:val="20"/>
              </w:rPr>
              <w:t>严格控</w:t>
            </w:r>
            <w:r>
              <w:rPr>
                <w:rFonts w:ascii="宋体" w:hAnsi="宋体" w:eastAsia="宋体" w:cs="宋体"/>
                <w:spacing w:val="12"/>
                <w:sz w:val="20"/>
                <w:szCs w:val="20"/>
              </w:rPr>
              <w:t>制</w:t>
            </w:r>
            <w:r>
              <w:rPr>
                <w:rFonts w:ascii="宋体" w:hAnsi="宋体" w:eastAsia="宋体" w:cs="宋体"/>
                <w:spacing w:val="7"/>
                <w:sz w:val="20"/>
                <w:szCs w:val="20"/>
              </w:rPr>
              <w:t>施工范围，施工作业范围以外不得占压土地。工程施工过程中应首先对表土进行</w:t>
            </w:r>
            <w:r>
              <w:rPr>
                <w:rFonts w:ascii="宋体" w:hAnsi="宋体" w:eastAsia="宋体" w:cs="宋体"/>
                <w:sz w:val="20"/>
                <w:szCs w:val="20"/>
              </w:rPr>
              <w:t xml:space="preserve"> </w:t>
            </w:r>
            <w:r>
              <w:rPr>
                <w:rFonts w:ascii="宋体" w:hAnsi="宋体" w:eastAsia="宋体" w:cs="宋体"/>
                <w:spacing w:val="14"/>
                <w:sz w:val="20"/>
                <w:szCs w:val="20"/>
              </w:rPr>
              <w:t>剥离并</w:t>
            </w:r>
            <w:r>
              <w:rPr>
                <w:rFonts w:ascii="宋体" w:hAnsi="宋体" w:eastAsia="宋体" w:cs="宋体"/>
                <w:spacing w:val="12"/>
                <w:sz w:val="20"/>
                <w:szCs w:val="20"/>
              </w:rPr>
              <w:t>单</w:t>
            </w:r>
            <w:r>
              <w:rPr>
                <w:rFonts w:ascii="宋体" w:hAnsi="宋体" w:eastAsia="宋体" w:cs="宋体"/>
                <w:spacing w:val="7"/>
                <w:sz w:val="20"/>
                <w:szCs w:val="20"/>
              </w:rPr>
              <w:t>独保存，施工结束后覆土回填时采用分层回填，先填底层土，再回填表层土，表</w:t>
            </w:r>
            <w:r>
              <w:rPr>
                <w:rFonts w:ascii="宋体" w:hAnsi="宋体" w:eastAsia="宋体" w:cs="宋体"/>
                <w:sz w:val="20"/>
                <w:szCs w:val="20"/>
              </w:rPr>
              <w:t xml:space="preserve"> </w:t>
            </w:r>
            <w:r>
              <w:rPr>
                <w:rFonts w:ascii="宋体" w:hAnsi="宋体" w:eastAsia="宋体" w:cs="宋体"/>
                <w:spacing w:val="10"/>
                <w:sz w:val="20"/>
                <w:szCs w:val="20"/>
              </w:rPr>
              <w:t>层</w:t>
            </w:r>
            <w:r>
              <w:rPr>
                <w:rFonts w:ascii="宋体" w:hAnsi="宋体" w:eastAsia="宋体" w:cs="宋体"/>
                <w:spacing w:val="6"/>
                <w:sz w:val="20"/>
                <w:szCs w:val="20"/>
              </w:rPr>
              <w:t>土</w:t>
            </w:r>
            <w:r>
              <w:rPr>
                <w:rFonts w:ascii="宋体" w:hAnsi="宋体" w:eastAsia="宋体" w:cs="宋体"/>
                <w:spacing w:val="5"/>
                <w:sz w:val="20"/>
                <w:szCs w:val="20"/>
              </w:rPr>
              <w:t xml:space="preserve">的厚度不低于 </w:t>
            </w:r>
            <w:r>
              <w:rPr>
                <w:rFonts w:ascii="Times New Roman" w:hAnsi="Times New Roman" w:eastAsia="Times New Roman" w:cs="Times New Roman"/>
                <w:spacing w:val="5"/>
                <w:sz w:val="20"/>
                <w:szCs w:val="20"/>
              </w:rPr>
              <w:t>10</w:t>
            </w:r>
            <w:r>
              <w:rPr>
                <w:rFonts w:ascii="Times New Roman" w:hAnsi="Times New Roman" w:eastAsia="Times New Roman" w:cs="Times New Roman"/>
                <w:sz w:val="20"/>
                <w:szCs w:val="20"/>
              </w:rPr>
              <w:t>cm</w:t>
            </w:r>
            <w:r>
              <w:rPr>
                <w:rFonts w:ascii="宋体" w:hAnsi="宋体" w:eastAsia="宋体" w:cs="宋体"/>
                <w:spacing w:val="5"/>
                <w:sz w:val="20"/>
                <w:szCs w:val="20"/>
              </w:rPr>
              <w:t>，采样表层土进行覆土平整后，根据原有土地利用类型进行恢复，</w:t>
            </w:r>
            <w:r>
              <w:rPr>
                <w:rFonts w:ascii="宋体" w:hAnsi="宋体" w:eastAsia="宋体" w:cs="宋体"/>
                <w:sz w:val="20"/>
                <w:szCs w:val="20"/>
              </w:rPr>
              <w:t xml:space="preserve"> </w:t>
            </w:r>
            <w:r>
              <w:rPr>
                <w:rFonts w:ascii="宋体" w:hAnsi="宋体" w:eastAsia="宋体" w:cs="宋体"/>
                <w:spacing w:val="18"/>
                <w:sz w:val="20"/>
                <w:szCs w:val="20"/>
              </w:rPr>
              <w:t>由</w:t>
            </w:r>
            <w:r>
              <w:rPr>
                <w:rFonts w:ascii="宋体" w:hAnsi="宋体" w:eastAsia="宋体" w:cs="宋体"/>
                <w:spacing w:val="12"/>
                <w:sz w:val="20"/>
                <w:szCs w:val="20"/>
              </w:rPr>
              <w:t>于</w:t>
            </w:r>
            <w:r>
              <w:rPr>
                <w:rFonts w:ascii="宋体" w:hAnsi="宋体" w:eastAsia="宋体" w:cs="宋体"/>
                <w:spacing w:val="9"/>
                <w:sz w:val="20"/>
                <w:szCs w:val="20"/>
              </w:rPr>
              <w:t>项目临时占地为城市绿化。桥梁建成后应根据原绿化设计进行重新择位种植。</w:t>
            </w:r>
          </w:p>
          <w:p>
            <w:pPr>
              <w:spacing w:line="227" w:lineRule="auto"/>
              <w:ind w:left="537"/>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6"/>
                <w:sz w:val="20"/>
                <w:szCs w:val="20"/>
              </w:rPr>
              <w:t>2</w:t>
            </w: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宋体" w:hAnsi="宋体" w:eastAsia="宋体" w:cs="宋体"/>
                <w:spacing w:val="16"/>
                <w:sz w:val="20"/>
                <w:szCs w:val="20"/>
              </w:rPr>
              <w:t xml:space="preserve"> </w:t>
            </w:r>
            <w:r>
              <w:rPr>
                <w:rFonts w:ascii="宋体" w:hAnsi="宋体" w:eastAsia="宋体" w:cs="宋体"/>
                <w:spacing w:val="16"/>
                <w:sz w:val="20"/>
                <w:szCs w:val="20"/>
                <w14:textOutline w14:w="3795" w14:cap="sq" w14:cmpd="sng">
                  <w14:solidFill>
                    <w14:srgbClr w14:val="000000"/>
                  </w14:solidFill>
                  <w14:prstDash w14:val="solid"/>
                  <w14:bevel/>
                </w14:textOutline>
              </w:rPr>
              <w:t>陆生植物保护措施</w:t>
            </w:r>
          </w:p>
          <w:p>
            <w:pPr>
              <w:spacing w:before="152" w:line="369" w:lineRule="auto"/>
              <w:ind w:left="106" w:firstLine="493"/>
              <w:rPr>
                <w:rFonts w:ascii="宋体" w:hAnsi="宋体" w:eastAsia="宋体" w:cs="宋体"/>
                <w:sz w:val="20"/>
                <w:szCs w:val="20"/>
              </w:rPr>
            </w:pPr>
            <w:r>
              <w:rPr>
                <w:rFonts w:ascii="宋体" w:hAnsi="宋体" w:eastAsia="宋体" w:cs="宋体"/>
                <w:spacing w:val="7"/>
                <w:sz w:val="17"/>
                <w:szCs w:val="17"/>
              </w:rPr>
              <w:t xml:space="preserve">1   </w:t>
            </w:r>
            <w:r>
              <w:rPr>
                <w:rFonts w:ascii="宋体" w:hAnsi="宋体" w:eastAsia="宋体" w:cs="宋体"/>
                <w:spacing w:val="7"/>
                <w:sz w:val="20"/>
                <w:szCs w:val="20"/>
              </w:rPr>
              <w:t>施工前及施工期间加强对施工人员进行环保宣传教育，避免随意扩大施工范围</w:t>
            </w:r>
            <w:r>
              <w:rPr>
                <w:rFonts w:ascii="宋体" w:hAnsi="宋体" w:eastAsia="宋体" w:cs="宋体"/>
                <w:sz w:val="20"/>
                <w:szCs w:val="20"/>
              </w:rPr>
              <w:t xml:space="preserve">； </w:t>
            </w:r>
            <w:r>
              <w:rPr>
                <w:rFonts w:ascii="宋体" w:hAnsi="宋体" w:eastAsia="宋体" w:cs="宋体"/>
                <w:spacing w:val="12"/>
                <w:sz w:val="20"/>
                <w:szCs w:val="20"/>
              </w:rPr>
              <w:t>施工期要标桩划界，设立施工围挡，标明施工活动区，尽量避免对河岸原生灌草丛及</w:t>
            </w:r>
            <w:r>
              <w:rPr>
                <w:rFonts w:ascii="宋体" w:hAnsi="宋体" w:eastAsia="宋体" w:cs="宋体"/>
                <w:spacing w:val="5"/>
                <w:sz w:val="20"/>
                <w:szCs w:val="20"/>
              </w:rPr>
              <w:t>周</w:t>
            </w:r>
            <w:r>
              <w:rPr>
                <w:rFonts w:ascii="宋体" w:hAnsi="宋体" w:eastAsia="宋体" w:cs="宋体"/>
                <w:sz w:val="20"/>
                <w:szCs w:val="20"/>
              </w:rPr>
              <w:t xml:space="preserve"> </w:t>
            </w:r>
            <w:r>
              <w:rPr>
                <w:rFonts w:ascii="宋体" w:hAnsi="宋体" w:eastAsia="宋体" w:cs="宋体"/>
                <w:spacing w:val="10"/>
                <w:sz w:val="20"/>
                <w:szCs w:val="20"/>
              </w:rPr>
              <w:t>围</w:t>
            </w:r>
            <w:r>
              <w:rPr>
                <w:rFonts w:ascii="宋体" w:hAnsi="宋体" w:eastAsia="宋体" w:cs="宋体"/>
                <w:spacing w:val="8"/>
                <w:sz w:val="20"/>
                <w:szCs w:val="20"/>
              </w:rPr>
              <w:t>高地森林植被的破坏。</w:t>
            </w:r>
          </w:p>
          <w:p>
            <w:pPr>
              <w:spacing w:before="3" w:line="369" w:lineRule="auto"/>
              <w:ind w:left="108" w:right="49" w:firstLine="480"/>
              <w:rPr>
                <w:rFonts w:ascii="宋体" w:hAnsi="宋体" w:eastAsia="宋体" w:cs="宋体"/>
                <w:sz w:val="20"/>
                <w:szCs w:val="20"/>
              </w:rPr>
            </w:pPr>
            <w:r>
              <w:rPr>
                <w:rFonts w:ascii="宋体" w:hAnsi="宋体" w:eastAsia="宋体" w:cs="宋体"/>
                <w:spacing w:val="20"/>
                <w:sz w:val="17"/>
                <w:szCs w:val="17"/>
              </w:rPr>
              <w:t>2</w:t>
            </w:r>
            <w:r>
              <w:rPr>
                <w:rFonts w:ascii="宋体" w:hAnsi="宋体" w:eastAsia="宋体" w:cs="宋体"/>
                <w:spacing w:val="11"/>
                <w:sz w:val="17"/>
                <w:szCs w:val="17"/>
              </w:rPr>
              <w:t xml:space="preserve">   </w:t>
            </w:r>
            <w:r>
              <w:rPr>
                <w:rFonts w:ascii="宋体" w:hAnsi="宋体" w:eastAsia="宋体" w:cs="宋体"/>
                <w:spacing w:val="11"/>
                <w:sz w:val="20"/>
                <w:szCs w:val="20"/>
              </w:rPr>
              <w:t>严格控制施工区域，施工活动要保证在占地范围内进行，施工便道及临时占地</w:t>
            </w:r>
            <w:r>
              <w:rPr>
                <w:rFonts w:ascii="宋体" w:hAnsi="宋体" w:eastAsia="宋体" w:cs="宋体"/>
                <w:sz w:val="20"/>
                <w:szCs w:val="20"/>
              </w:rPr>
              <w:t xml:space="preserve"> </w:t>
            </w:r>
            <w:r>
              <w:rPr>
                <w:rFonts w:ascii="宋体" w:hAnsi="宋体" w:eastAsia="宋体" w:cs="宋体"/>
                <w:spacing w:val="10"/>
                <w:sz w:val="20"/>
                <w:szCs w:val="20"/>
              </w:rPr>
              <w:t>要</w:t>
            </w:r>
            <w:r>
              <w:rPr>
                <w:rFonts w:ascii="宋体" w:hAnsi="宋体" w:eastAsia="宋体" w:cs="宋体"/>
                <w:spacing w:val="7"/>
                <w:sz w:val="20"/>
                <w:szCs w:val="20"/>
              </w:rPr>
              <w:t>尽量缩小范围。</w:t>
            </w:r>
          </w:p>
          <w:p>
            <w:pPr>
              <w:spacing w:line="369" w:lineRule="auto"/>
              <w:ind w:left="108" w:right="49" w:firstLine="481"/>
              <w:rPr>
                <w:rFonts w:ascii="宋体" w:hAnsi="宋体" w:eastAsia="宋体" w:cs="宋体"/>
                <w:sz w:val="20"/>
                <w:szCs w:val="20"/>
              </w:rPr>
            </w:pPr>
            <w:r>
              <w:rPr>
                <w:rFonts w:ascii="宋体" w:hAnsi="宋体" w:eastAsia="宋体" w:cs="宋体"/>
                <w:spacing w:val="19"/>
                <w:sz w:val="17"/>
                <w:szCs w:val="17"/>
              </w:rPr>
              <w:t>3</w:t>
            </w:r>
            <w:r>
              <w:rPr>
                <w:rFonts w:ascii="宋体" w:hAnsi="宋体" w:eastAsia="宋体" w:cs="宋体"/>
                <w:spacing w:val="11"/>
                <w:sz w:val="17"/>
                <w:szCs w:val="17"/>
              </w:rPr>
              <w:t xml:space="preserve">   </w:t>
            </w:r>
            <w:r>
              <w:rPr>
                <w:rFonts w:ascii="宋体" w:hAnsi="宋体" w:eastAsia="宋体" w:cs="宋体"/>
                <w:spacing w:val="11"/>
                <w:sz w:val="20"/>
                <w:szCs w:val="20"/>
              </w:rPr>
              <w:t>工程占地应尽量使用既有场地，减少临时占地面积。施工道路宜充分利用已有</w:t>
            </w:r>
            <w:r>
              <w:rPr>
                <w:rFonts w:ascii="宋体" w:hAnsi="宋体" w:eastAsia="宋体" w:cs="宋体"/>
                <w:sz w:val="20"/>
                <w:szCs w:val="20"/>
              </w:rPr>
              <w:t xml:space="preserve"> </w:t>
            </w:r>
            <w:r>
              <w:rPr>
                <w:rFonts w:ascii="宋体" w:hAnsi="宋体" w:eastAsia="宋体" w:cs="宋体"/>
                <w:spacing w:val="22"/>
                <w:sz w:val="20"/>
                <w:szCs w:val="20"/>
              </w:rPr>
              <w:t>的道</w:t>
            </w:r>
            <w:r>
              <w:rPr>
                <w:rFonts w:ascii="宋体" w:hAnsi="宋体" w:eastAsia="宋体" w:cs="宋体"/>
                <w:spacing w:val="18"/>
                <w:sz w:val="20"/>
                <w:szCs w:val="20"/>
              </w:rPr>
              <w:t>路</w:t>
            </w:r>
            <w:r>
              <w:rPr>
                <w:rFonts w:ascii="宋体" w:hAnsi="宋体" w:eastAsia="宋体" w:cs="宋体"/>
                <w:spacing w:val="11"/>
                <w:sz w:val="20"/>
                <w:szCs w:val="20"/>
              </w:rPr>
              <w:t>，临时堆土场及施工工区优先布设在永久用地范围内，尽量不在工程附近植被生</w:t>
            </w:r>
            <w:r>
              <w:rPr>
                <w:rFonts w:ascii="宋体" w:hAnsi="宋体" w:eastAsia="宋体" w:cs="宋体"/>
                <w:sz w:val="20"/>
                <w:szCs w:val="20"/>
              </w:rPr>
              <w:t xml:space="preserve"> </w:t>
            </w:r>
            <w:r>
              <w:rPr>
                <w:rFonts w:ascii="宋体" w:hAnsi="宋体" w:eastAsia="宋体" w:cs="宋体"/>
                <w:spacing w:val="12"/>
                <w:sz w:val="20"/>
                <w:szCs w:val="20"/>
              </w:rPr>
              <w:t>长</w:t>
            </w:r>
            <w:r>
              <w:rPr>
                <w:rFonts w:ascii="宋体" w:hAnsi="宋体" w:eastAsia="宋体" w:cs="宋体"/>
                <w:spacing w:val="9"/>
                <w:sz w:val="20"/>
                <w:szCs w:val="20"/>
              </w:rPr>
              <w:t>较好的地段设置，以减少植被破坏以及生物量的损失。</w:t>
            </w:r>
          </w:p>
          <w:p>
            <w:pPr>
              <w:spacing w:before="1" w:line="369" w:lineRule="auto"/>
              <w:ind w:left="108" w:right="49" w:firstLine="477"/>
              <w:rPr>
                <w:rFonts w:ascii="宋体" w:hAnsi="宋体" w:eastAsia="宋体" w:cs="宋体"/>
                <w:sz w:val="20"/>
                <w:szCs w:val="20"/>
              </w:rPr>
            </w:pPr>
            <w:r>
              <w:rPr>
                <w:rFonts w:ascii="宋体" w:hAnsi="宋体" w:eastAsia="宋体" w:cs="宋体"/>
                <w:spacing w:val="22"/>
                <w:sz w:val="17"/>
                <w:szCs w:val="17"/>
              </w:rPr>
              <w:t>4</w:t>
            </w:r>
            <w:r>
              <w:rPr>
                <w:rFonts w:ascii="宋体" w:hAnsi="宋体" w:eastAsia="宋体" w:cs="宋体"/>
                <w:spacing w:val="12"/>
                <w:sz w:val="17"/>
                <w:szCs w:val="17"/>
              </w:rPr>
              <w:t xml:space="preserve"> </w:t>
            </w:r>
            <w:r>
              <w:rPr>
                <w:rFonts w:ascii="宋体" w:hAnsi="宋体" w:eastAsia="宋体" w:cs="宋体"/>
                <w:spacing w:val="11"/>
                <w:sz w:val="17"/>
                <w:szCs w:val="17"/>
              </w:rPr>
              <w:t xml:space="preserve">  </w:t>
            </w:r>
            <w:r>
              <w:rPr>
                <w:rFonts w:ascii="宋体" w:hAnsi="宋体" w:eastAsia="宋体" w:cs="宋体"/>
                <w:spacing w:val="11"/>
                <w:sz w:val="20"/>
                <w:szCs w:val="20"/>
              </w:rPr>
              <w:t>统筹规划施工布置，各种施工活动应严格控制在施工区域内，施工作业区外不</w:t>
            </w:r>
            <w:r>
              <w:rPr>
                <w:rFonts w:ascii="宋体" w:hAnsi="宋体" w:eastAsia="宋体" w:cs="宋体"/>
                <w:sz w:val="20"/>
                <w:szCs w:val="20"/>
              </w:rPr>
              <w:t xml:space="preserve"> </w:t>
            </w:r>
            <w:r>
              <w:rPr>
                <w:rFonts w:ascii="宋体" w:hAnsi="宋体" w:eastAsia="宋体" w:cs="宋体"/>
                <w:spacing w:val="9"/>
                <w:sz w:val="20"/>
                <w:szCs w:val="20"/>
              </w:rPr>
              <w:t>得占用土地，特别是对草地的占用， 以免造成土壤与植被的不必要破坏，将工程建设</w:t>
            </w:r>
            <w:r>
              <w:rPr>
                <w:rFonts w:ascii="宋体" w:hAnsi="宋体" w:eastAsia="宋体" w:cs="宋体"/>
                <w:spacing w:val="5"/>
                <w:sz w:val="20"/>
                <w:szCs w:val="20"/>
              </w:rPr>
              <w:t>对</w:t>
            </w:r>
            <w:r>
              <w:rPr>
                <w:rFonts w:ascii="宋体" w:hAnsi="宋体" w:eastAsia="宋体" w:cs="宋体"/>
                <w:sz w:val="20"/>
                <w:szCs w:val="20"/>
              </w:rPr>
              <w:t xml:space="preserve"> </w:t>
            </w:r>
            <w:r>
              <w:rPr>
                <w:rFonts w:ascii="宋体" w:hAnsi="宋体" w:eastAsia="宋体" w:cs="宋体"/>
                <w:spacing w:val="16"/>
                <w:sz w:val="20"/>
                <w:szCs w:val="20"/>
              </w:rPr>
              <w:t>植</w:t>
            </w:r>
            <w:r>
              <w:rPr>
                <w:rFonts w:ascii="宋体" w:hAnsi="宋体" w:eastAsia="宋体" w:cs="宋体"/>
                <w:spacing w:val="11"/>
                <w:sz w:val="20"/>
                <w:szCs w:val="20"/>
              </w:rPr>
              <w:t>被</w:t>
            </w:r>
            <w:r>
              <w:rPr>
                <w:rFonts w:ascii="宋体" w:hAnsi="宋体" w:eastAsia="宋体" w:cs="宋体"/>
                <w:spacing w:val="8"/>
                <w:sz w:val="20"/>
                <w:szCs w:val="20"/>
              </w:rPr>
              <w:t>和土壤的影响控制在最低限度。</w:t>
            </w:r>
          </w:p>
          <w:p>
            <w:pPr>
              <w:spacing w:before="1" w:line="369" w:lineRule="auto"/>
              <w:ind w:left="108" w:right="49" w:firstLine="481"/>
              <w:rPr>
                <w:rFonts w:ascii="宋体" w:hAnsi="宋体" w:eastAsia="宋体" w:cs="宋体"/>
                <w:sz w:val="20"/>
                <w:szCs w:val="20"/>
              </w:rPr>
            </w:pPr>
            <w:r>
              <w:rPr>
                <w:rFonts w:ascii="宋体" w:hAnsi="宋体" w:eastAsia="宋体" w:cs="宋体"/>
                <w:spacing w:val="19"/>
                <w:sz w:val="17"/>
                <w:szCs w:val="17"/>
              </w:rPr>
              <w:t>5</w:t>
            </w:r>
            <w:r>
              <w:rPr>
                <w:rFonts w:ascii="宋体" w:hAnsi="宋体" w:eastAsia="宋体" w:cs="宋体"/>
                <w:spacing w:val="11"/>
                <w:sz w:val="17"/>
                <w:szCs w:val="17"/>
              </w:rPr>
              <w:t xml:space="preserve">   </w:t>
            </w:r>
            <w:r>
              <w:rPr>
                <w:rFonts w:ascii="宋体" w:hAnsi="宋体" w:eastAsia="宋体" w:cs="宋体"/>
                <w:spacing w:val="11"/>
                <w:sz w:val="20"/>
                <w:szCs w:val="20"/>
              </w:rPr>
              <w:t>表土剥离采取分层开挖、分层堆放、分层回填的措施，表土单独剥离和堆放，</w:t>
            </w:r>
            <w:r>
              <w:rPr>
                <w:rFonts w:ascii="宋体" w:hAnsi="宋体" w:eastAsia="宋体" w:cs="宋体"/>
                <w:sz w:val="20"/>
                <w:szCs w:val="20"/>
              </w:rPr>
              <w:t xml:space="preserve"> </w:t>
            </w:r>
            <w:r>
              <w:rPr>
                <w:rFonts w:ascii="宋体" w:hAnsi="宋体" w:eastAsia="宋体" w:cs="宋体"/>
                <w:spacing w:val="22"/>
                <w:sz w:val="20"/>
                <w:szCs w:val="20"/>
              </w:rPr>
              <w:t>需要</w:t>
            </w:r>
            <w:r>
              <w:rPr>
                <w:rFonts w:ascii="宋体" w:hAnsi="宋体" w:eastAsia="宋体" w:cs="宋体"/>
                <w:spacing w:val="18"/>
                <w:sz w:val="20"/>
                <w:szCs w:val="20"/>
              </w:rPr>
              <w:t>回</w:t>
            </w:r>
            <w:r>
              <w:rPr>
                <w:rFonts w:ascii="宋体" w:hAnsi="宋体" w:eastAsia="宋体" w:cs="宋体"/>
                <w:spacing w:val="11"/>
                <w:sz w:val="20"/>
                <w:szCs w:val="20"/>
              </w:rPr>
              <w:t>填的土石方集中堆放在施工区域内，并采取拦挡、覆盖等临时防护措施防止表土</w:t>
            </w:r>
            <w:r>
              <w:rPr>
                <w:rFonts w:ascii="宋体" w:hAnsi="宋体" w:eastAsia="宋体" w:cs="宋体"/>
                <w:sz w:val="20"/>
                <w:szCs w:val="20"/>
              </w:rPr>
              <w:t xml:space="preserve"> </w:t>
            </w:r>
            <w:r>
              <w:rPr>
                <w:rFonts w:ascii="宋体" w:hAnsi="宋体" w:eastAsia="宋体" w:cs="宋体"/>
                <w:spacing w:val="18"/>
                <w:sz w:val="20"/>
                <w:szCs w:val="20"/>
              </w:rPr>
              <w:t>流</w:t>
            </w:r>
            <w:r>
              <w:rPr>
                <w:rFonts w:ascii="宋体" w:hAnsi="宋体" w:eastAsia="宋体" w:cs="宋体"/>
                <w:spacing w:val="15"/>
                <w:sz w:val="20"/>
                <w:szCs w:val="20"/>
              </w:rPr>
              <w:t>失</w:t>
            </w:r>
            <w:r>
              <w:rPr>
                <w:rFonts w:ascii="宋体" w:hAnsi="宋体" w:eastAsia="宋体" w:cs="宋体"/>
                <w:spacing w:val="9"/>
                <w:sz w:val="20"/>
                <w:szCs w:val="20"/>
              </w:rPr>
              <w:t>。施工结束后，用于施工迹地恢复实施，缩短植被恢复时间和增加恢复效果。</w:t>
            </w:r>
          </w:p>
          <w:p>
            <w:pPr>
              <w:spacing w:before="1" w:line="369" w:lineRule="auto"/>
              <w:ind w:left="107" w:right="49" w:firstLine="480"/>
              <w:rPr>
                <w:rFonts w:ascii="宋体" w:hAnsi="宋体" w:eastAsia="宋体" w:cs="宋体"/>
                <w:sz w:val="20"/>
                <w:szCs w:val="20"/>
              </w:rPr>
            </w:pPr>
            <w:r>
              <w:rPr>
                <w:rFonts w:ascii="宋体" w:hAnsi="宋体" w:eastAsia="宋体" w:cs="宋体"/>
                <w:spacing w:val="21"/>
                <w:sz w:val="17"/>
                <w:szCs w:val="17"/>
              </w:rPr>
              <w:t>6</w:t>
            </w:r>
            <w:r>
              <w:rPr>
                <w:rFonts w:ascii="宋体" w:hAnsi="宋体" w:eastAsia="宋体" w:cs="宋体"/>
                <w:spacing w:val="11"/>
                <w:sz w:val="17"/>
                <w:szCs w:val="17"/>
              </w:rPr>
              <w:t xml:space="preserve">   </w:t>
            </w:r>
            <w:r>
              <w:rPr>
                <w:rFonts w:ascii="宋体" w:hAnsi="宋体" w:eastAsia="宋体" w:cs="宋体"/>
                <w:spacing w:val="11"/>
                <w:sz w:val="20"/>
                <w:szCs w:val="20"/>
              </w:rPr>
              <w:t>及时进行植被恢复，各点位施工结束后及时清理场地，回覆表土，对占用的土</w:t>
            </w:r>
            <w:r>
              <w:rPr>
                <w:rFonts w:ascii="宋体" w:hAnsi="宋体" w:eastAsia="宋体" w:cs="宋体"/>
                <w:sz w:val="20"/>
                <w:szCs w:val="20"/>
              </w:rPr>
              <w:t xml:space="preserve"> </w:t>
            </w:r>
            <w:r>
              <w:rPr>
                <w:rFonts w:ascii="宋体" w:hAnsi="宋体" w:eastAsia="宋体" w:cs="宋体"/>
                <w:spacing w:val="9"/>
                <w:sz w:val="20"/>
                <w:szCs w:val="20"/>
              </w:rPr>
              <w:t>地进行生态恢复。临时占地区植被恢复时，应选用本土物种，严禁引入外来物种， 以</w:t>
            </w:r>
            <w:r>
              <w:rPr>
                <w:rFonts w:ascii="宋体" w:hAnsi="宋体" w:eastAsia="宋体" w:cs="宋体"/>
                <w:spacing w:val="6"/>
                <w:sz w:val="20"/>
                <w:szCs w:val="20"/>
              </w:rPr>
              <w:t>防</w:t>
            </w:r>
            <w:r>
              <w:rPr>
                <w:rFonts w:ascii="宋体" w:hAnsi="宋体" w:eastAsia="宋体" w:cs="宋体"/>
                <w:sz w:val="20"/>
                <w:szCs w:val="20"/>
              </w:rPr>
              <w:t xml:space="preserve"> </w:t>
            </w:r>
            <w:r>
              <w:rPr>
                <w:rFonts w:ascii="宋体" w:hAnsi="宋体" w:eastAsia="宋体" w:cs="宋体"/>
                <w:spacing w:val="7"/>
                <w:sz w:val="20"/>
                <w:szCs w:val="20"/>
              </w:rPr>
              <w:t>外来物种入侵。</w:t>
            </w:r>
          </w:p>
          <w:p>
            <w:pPr>
              <w:spacing w:line="227" w:lineRule="auto"/>
              <w:ind w:left="590"/>
              <w:rPr>
                <w:rFonts w:ascii="宋体" w:hAnsi="宋体" w:eastAsia="宋体" w:cs="宋体"/>
                <w:sz w:val="20"/>
                <w:szCs w:val="20"/>
              </w:rPr>
            </w:pPr>
            <w:r>
              <w:rPr>
                <w:rFonts w:ascii="宋体" w:hAnsi="宋体" w:eastAsia="宋体" w:cs="宋体"/>
                <w:spacing w:val="18"/>
                <w:sz w:val="17"/>
                <w:szCs w:val="17"/>
              </w:rPr>
              <w:t>7</w:t>
            </w:r>
            <w:r>
              <w:rPr>
                <w:rFonts w:ascii="宋体" w:hAnsi="宋体" w:eastAsia="宋体" w:cs="宋体"/>
                <w:spacing w:val="11"/>
                <w:sz w:val="17"/>
                <w:szCs w:val="17"/>
              </w:rPr>
              <w:t xml:space="preserve">   </w:t>
            </w:r>
            <w:r>
              <w:rPr>
                <w:rFonts w:ascii="宋体" w:hAnsi="宋体" w:eastAsia="宋体" w:cs="宋体"/>
                <w:spacing w:val="11"/>
                <w:sz w:val="20"/>
                <w:szCs w:val="20"/>
              </w:rPr>
              <w:t>对植被的恢复应根据当地的气候特点，在植被恢复措施中应注意的技术要点如</w:t>
            </w:r>
          </w:p>
          <w:p>
            <w:pPr>
              <w:spacing w:before="154" w:line="369" w:lineRule="auto"/>
              <w:ind w:left="106" w:right="49" w:firstLine="7"/>
              <w:rPr>
                <w:rFonts w:ascii="宋体" w:hAnsi="宋体" w:eastAsia="宋体" w:cs="宋体"/>
                <w:sz w:val="20"/>
                <w:szCs w:val="20"/>
              </w:rPr>
            </w:pPr>
            <w:r>
              <w:rPr>
                <w:rFonts w:ascii="宋体" w:hAnsi="宋体" w:eastAsia="宋体" w:cs="宋体"/>
                <w:spacing w:val="20"/>
                <w:sz w:val="20"/>
                <w:szCs w:val="20"/>
              </w:rPr>
              <w:t>下：</w:t>
            </w:r>
            <w:r>
              <w:rPr>
                <w:rFonts w:ascii="Times New Roman" w:hAnsi="Times New Roman" w:eastAsia="Times New Roman" w:cs="Times New Roman"/>
                <w:spacing w:val="20"/>
                <w:sz w:val="20"/>
                <w:szCs w:val="20"/>
              </w:rPr>
              <w:t>1</w:t>
            </w:r>
            <w:r>
              <w:rPr>
                <w:rFonts w:ascii="宋体" w:hAnsi="宋体" w:eastAsia="宋体" w:cs="宋体"/>
                <w:spacing w:val="12"/>
                <w:sz w:val="20"/>
                <w:szCs w:val="20"/>
              </w:rPr>
              <w:t>)</w:t>
            </w:r>
            <w:r>
              <w:rPr>
                <w:rFonts w:ascii="宋体" w:hAnsi="宋体" w:eastAsia="宋体" w:cs="宋体"/>
                <w:spacing w:val="10"/>
                <w:sz w:val="20"/>
                <w:szCs w:val="20"/>
              </w:rPr>
              <w:t xml:space="preserve"> 保存林地永久占地和临时占地的熟化土，为植被恢复提供良好的土壤。</w:t>
            </w:r>
            <w:r>
              <w:rPr>
                <w:rFonts w:ascii="Times New Roman" w:hAnsi="Times New Roman" w:eastAsia="Times New Roman" w:cs="Times New Roman"/>
                <w:spacing w:val="10"/>
                <w:sz w:val="20"/>
                <w:szCs w:val="20"/>
              </w:rPr>
              <w:t>2</w:t>
            </w:r>
            <w:r>
              <w:rPr>
                <w:rFonts w:ascii="宋体" w:hAnsi="宋体" w:eastAsia="宋体" w:cs="宋体"/>
                <w:spacing w:val="10"/>
                <w:sz w:val="20"/>
                <w:szCs w:val="20"/>
              </w:rPr>
              <w:t>) 对建</w:t>
            </w:r>
            <w:r>
              <w:rPr>
                <w:rFonts w:ascii="宋体" w:hAnsi="宋体" w:eastAsia="宋体" w:cs="宋体"/>
                <w:sz w:val="20"/>
                <w:szCs w:val="20"/>
              </w:rPr>
              <w:t xml:space="preserve"> </w:t>
            </w:r>
            <w:r>
              <w:rPr>
                <w:rFonts w:ascii="宋体" w:hAnsi="宋体" w:eastAsia="宋体" w:cs="宋体"/>
                <w:spacing w:val="12"/>
                <w:sz w:val="20"/>
                <w:szCs w:val="20"/>
              </w:rPr>
              <w:t>设中永久占用林地部分的表层土予以收集保存，在其它土壤贫瘠处铺设以种植树木。</w:t>
            </w:r>
            <w:r>
              <w:rPr>
                <w:rFonts w:ascii="宋体" w:hAnsi="宋体" w:eastAsia="宋体" w:cs="宋体"/>
                <w:spacing w:val="5"/>
                <w:sz w:val="20"/>
                <w:szCs w:val="20"/>
              </w:rPr>
              <w:t>临</w:t>
            </w:r>
            <w:r>
              <w:rPr>
                <w:rFonts w:ascii="宋体" w:hAnsi="宋体" w:eastAsia="宋体" w:cs="宋体"/>
                <w:sz w:val="20"/>
                <w:szCs w:val="20"/>
              </w:rPr>
              <w:t xml:space="preserve"> </w:t>
            </w:r>
            <w:r>
              <w:rPr>
                <w:rFonts w:ascii="宋体" w:hAnsi="宋体" w:eastAsia="宋体" w:cs="宋体"/>
                <w:spacing w:val="12"/>
                <w:sz w:val="20"/>
                <w:szCs w:val="20"/>
              </w:rPr>
              <w:t>时占地在施工前也应保存好熟化土，施工结束后及时清理、松土、覆盖熟化土，复种</w:t>
            </w:r>
            <w:r>
              <w:rPr>
                <w:rFonts w:ascii="宋体" w:hAnsi="宋体" w:eastAsia="宋体" w:cs="宋体"/>
                <w:spacing w:val="5"/>
                <w:sz w:val="20"/>
                <w:szCs w:val="20"/>
              </w:rPr>
              <w:t>或</w:t>
            </w:r>
            <w:r>
              <w:rPr>
                <w:rFonts w:ascii="宋体" w:hAnsi="宋体" w:eastAsia="宋体" w:cs="宋体"/>
                <w:sz w:val="20"/>
                <w:szCs w:val="20"/>
              </w:rPr>
              <w:t xml:space="preserve"> </w:t>
            </w:r>
            <w:r>
              <w:rPr>
                <w:rFonts w:ascii="宋体" w:hAnsi="宋体" w:eastAsia="宋体" w:cs="宋体"/>
                <w:spacing w:val="16"/>
                <w:sz w:val="20"/>
                <w:szCs w:val="20"/>
              </w:rPr>
              <w:t>选</w:t>
            </w:r>
            <w:r>
              <w:rPr>
                <w:rFonts w:ascii="宋体" w:hAnsi="宋体" w:eastAsia="宋体" w:cs="宋体"/>
                <w:spacing w:val="10"/>
                <w:sz w:val="20"/>
                <w:szCs w:val="20"/>
              </w:rPr>
              <w:t>择</w:t>
            </w:r>
            <w:r>
              <w:rPr>
                <w:rFonts w:ascii="宋体" w:hAnsi="宋体" w:eastAsia="宋体" w:cs="宋体"/>
                <w:spacing w:val="8"/>
                <w:sz w:val="20"/>
                <w:szCs w:val="20"/>
              </w:rPr>
              <w:t>当地适宜植物及时恢复绿化。</w:t>
            </w:r>
          </w:p>
          <w:p>
            <w:pPr>
              <w:spacing w:before="1" w:line="227" w:lineRule="auto"/>
              <w:ind w:left="587"/>
              <w:rPr>
                <w:rFonts w:ascii="宋体" w:hAnsi="宋体" w:eastAsia="宋体" w:cs="宋体"/>
                <w:sz w:val="20"/>
                <w:szCs w:val="20"/>
              </w:rPr>
            </w:pPr>
            <w:r>
              <w:rPr>
                <w:rFonts w:ascii="宋体" w:hAnsi="宋体" w:eastAsia="宋体" w:cs="宋体"/>
                <w:spacing w:val="9"/>
                <w:sz w:val="17"/>
                <w:szCs w:val="17"/>
              </w:rPr>
              <w:t xml:space="preserve">8   </w:t>
            </w:r>
            <w:r>
              <w:rPr>
                <w:rFonts w:ascii="宋体" w:hAnsi="宋体" w:eastAsia="宋体" w:cs="宋体"/>
                <w:spacing w:val="9"/>
                <w:sz w:val="20"/>
                <w:szCs w:val="20"/>
              </w:rPr>
              <w:t>施工完成后及时补偿因施工造成的植被破坏，补偿量不得少于破坏量</w:t>
            </w:r>
            <w:r>
              <w:rPr>
                <w:rFonts w:ascii="宋体" w:hAnsi="宋体" w:eastAsia="宋体" w:cs="宋体"/>
                <w:spacing w:val="3"/>
                <w:sz w:val="20"/>
                <w:szCs w:val="20"/>
              </w:rPr>
              <w:t>。</w:t>
            </w:r>
          </w:p>
        </w:tc>
      </w:tr>
    </w:tbl>
    <w:p>
      <w:pPr>
        <w:rPr>
          <w:rFonts w:ascii="Arial"/>
          <w:sz w:val="21"/>
        </w:rPr>
      </w:pPr>
    </w:p>
    <w:p>
      <w:pPr>
        <w:sectPr>
          <w:footerReference r:id="rId86" w:type="default"/>
          <w:pgSz w:w="11907" w:h="16840"/>
          <w:pgMar w:top="400" w:right="1476" w:bottom="1477" w:left="1475" w:header="0" w:footer="1317" w:gutter="0"/>
          <w:cols w:space="720" w:num="1"/>
        </w:sectPr>
      </w:pPr>
    </w:p>
    <w:p/>
    <w:p/>
    <w:p/>
    <w:p/>
    <w:p>
      <w:pPr>
        <w:spacing w:line="221" w:lineRule="exact"/>
      </w:pPr>
    </w:p>
    <w:tbl>
      <w:tblPr>
        <w:tblStyle w:val="4"/>
        <w:tblW w:w="894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82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7" w:hRule="atLeast"/>
        </w:trPr>
        <w:tc>
          <w:tcPr>
            <w:tcW w:w="724" w:type="dxa"/>
            <w:tcBorders>
              <w:left w:val="single" w:color="00000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31" w:lineRule="auto"/>
              <w:ind w:left="129"/>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施工</w:t>
            </w:r>
          </w:p>
          <w:p>
            <w:pPr>
              <w:spacing w:before="21" w:line="228" w:lineRule="auto"/>
              <w:ind w:left="133"/>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期生</w:t>
            </w:r>
          </w:p>
          <w:p>
            <w:pPr>
              <w:spacing w:before="25" w:line="230" w:lineRule="auto"/>
              <w:ind w:left="130"/>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态</w:t>
            </w:r>
            <w:r>
              <w:rPr>
                <w:rFonts w:ascii="宋体" w:hAnsi="宋体" w:eastAsia="宋体" w:cs="宋体"/>
                <w:spacing w:val="15"/>
                <w:sz w:val="20"/>
                <w:szCs w:val="20"/>
                <w14:textOutline w14:w="3795" w14:cap="sq" w14:cmpd="sng">
                  <w14:solidFill>
                    <w14:srgbClr w14:val="000000"/>
                  </w14:solidFill>
                  <w14:prstDash w14:val="solid"/>
                  <w14:bevel/>
                </w14:textOutline>
              </w:rPr>
              <w:t>环</w:t>
            </w:r>
          </w:p>
          <w:p>
            <w:pPr>
              <w:spacing w:before="22" w:line="228" w:lineRule="auto"/>
              <w:ind w:left="131"/>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境保</w:t>
            </w:r>
          </w:p>
          <w:p>
            <w:pPr>
              <w:spacing w:before="25" w:line="228" w:lineRule="auto"/>
              <w:ind w:left="131"/>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护措</w:t>
            </w:r>
          </w:p>
          <w:p>
            <w:pPr>
              <w:spacing w:before="25" w:line="231" w:lineRule="auto"/>
              <w:ind w:left="244"/>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施</w:t>
            </w:r>
          </w:p>
        </w:tc>
        <w:tc>
          <w:tcPr>
            <w:tcW w:w="8216" w:type="dxa"/>
            <w:tcBorders>
              <w:right w:val="single" w:color="000000" w:sz="6" w:space="0"/>
            </w:tcBorders>
            <w:vAlign w:val="top"/>
          </w:tcPr>
          <w:p>
            <w:pPr>
              <w:spacing w:before="154" w:line="228" w:lineRule="auto"/>
              <w:ind w:left="484"/>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6"/>
                <w:sz w:val="20"/>
                <w:szCs w:val="20"/>
              </w:rPr>
              <w:t>2</w:t>
            </w: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宋体" w:hAnsi="宋体" w:eastAsia="宋体" w:cs="宋体"/>
                <w:spacing w:val="16"/>
                <w:sz w:val="20"/>
                <w:szCs w:val="20"/>
              </w:rPr>
              <w:t xml:space="preserve"> </w:t>
            </w:r>
            <w:r>
              <w:rPr>
                <w:rFonts w:ascii="宋体" w:hAnsi="宋体" w:eastAsia="宋体" w:cs="宋体"/>
                <w:spacing w:val="16"/>
                <w:sz w:val="20"/>
                <w:szCs w:val="20"/>
                <w14:textOutline w14:w="3795" w14:cap="sq" w14:cmpd="sng">
                  <w14:solidFill>
                    <w14:srgbClr w14:val="000000"/>
                  </w14:solidFill>
                  <w14:prstDash w14:val="solid"/>
                  <w14:bevel/>
                </w14:textOutline>
              </w:rPr>
              <w:t>陆生动物保护措施</w:t>
            </w:r>
          </w:p>
          <w:p>
            <w:pPr>
              <w:spacing w:before="153" w:line="369" w:lineRule="auto"/>
              <w:ind w:left="106" w:right="86" w:firstLine="493"/>
              <w:rPr>
                <w:rFonts w:ascii="宋体" w:hAnsi="宋体" w:eastAsia="宋体" w:cs="宋体"/>
                <w:sz w:val="20"/>
                <w:szCs w:val="20"/>
              </w:rPr>
            </w:pPr>
            <w:r>
              <w:rPr>
                <w:rFonts w:ascii="宋体" w:hAnsi="宋体" w:eastAsia="宋体" w:cs="宋体"/>
                <w:spacing w:val="10"/>
                <w:sz w:val="17"/>
                <w:szCs w:val="17"/>
              </w:rPr>
              <w:t xml:space="preserve">1   </w:t>
            </w:r>
            <w:r>
              <w:rPr>
                <w:rFonts w:ascii="宋体" w:hAnsi="宋体" w:eastAsia="宋体" w:cs="宋体"/>
                <w:spacing w:val="10"/>
                <w:sz w:val="20"/>
                <w:szCs w:val="20"/>
              </w:rPr>
              <w:t>加强对施工人员的宣传教育，增强施工人员的保护意识，严禁捕猎野生动物</w:t>
            </w:r>
            <w:r>
              <w:rPr>
                <w:rFonts w:ascii="宋体" w:hAnsi="宋体" w:eastAsia="宋体" w:cs="宋体"/>
                <w:spacing w:val="9"/>
                <w:sz w:val="20"/>
                <w:szCs w:val="20"/>
              </w:rPr>
              <w:t>。</w:t>
            </w:r>
            <w:r>
              <w:rPr>
                <w:rFonts w:ascii="宋体" w:hAnsi="宋体" w:eastAsia="宋体" w:cs="宋体"/>
                <w:sz w:val="20"/>
                <w:szCs w:val="20"/>
              </w:rPr>
              <w:t xml:space="preserve"> </w:t>
            </w:r>
            <w:r>
              <w:rPr>
                <w:rFonts w:ascii="宋体" w:hAnsi="宋体" w:eastAsia="宋体" w:cs="宋体"/>
                <w:spacing w:val="18"/>
                <w:sz w:val="20"/>
                <w:szCs w:val="20"/>
              </w:rPr>
              <w:t>施</w:t>
            </w:r>
            <w:r>
              <w:rPr>
                <w:rFonts w:ascii="宋体" w:hAnsi="宋体" w:eastAsia="宋体" w:cs="宋体"/>
                <w:spacing w:val="11"/>
                <w:sz w:val="20"/>
                <w:szCs w:val="20"/>
              </w:rPr>
              <w:t>工</w:t>
            </w:r>
            <w:r>
              <w:rPr>
                <w:rFonts w:ascii="宋体" w:hAnsi="宋体" w:eastAsia="宋体" w:cs="宋体"/>
                <w:spacing w:val="9"/>
                <w:sz w:val="20"/>
                <w:szCs w:val="20"/>
              </w:rPr>
              <w:t>前应做好施工方式和时间的计划，力求避免对动物造成惊扰。</w:t>
            </w:r>
          </w:p>
          <w:p>
            <w:pPr>
              <w:spacing w:line="227" w:lineRule="auto"/>
              <w:ind w:left="588"/>
              <w:rPr>
                <w:rFonts w:ascii="宋体" w:hAnsi="宋体" w:eastAsia="宋体" w:cs="宋体"/>
                <w:sz w:val="20"/>
                <w:szCs w:val="20"/>
              </w:rPr>
            </w:pPr>
            <w:r>
              <w:rPr>
                <w:rFonts w:ascii="宋体" w:hAnsi="宋体" w:eastAsia="宋体" w:cs="宋体"/>
                <w:spacing w:val="9"/>
                <w:sz w:val="17"/>
                <w:szCs w:val="17"/>
              </w:rPr>
              <w:t xml:space="preserve">2   </w:t>
            </w:r>
            <w:r>
              <w:rPr>
                <w:rFonts w:ascii="宋体" w:hAnsi="宋体" w:eastAsia="宋体" w:cs="宋体"/>
                <w:spacing w:val="9"/>
                <w:sz w:val="20"/>
                <w:szCs w:val="20"/>
              </w:rPr>
              <w:t>临时设施设置应减少占用动物生境，特别是动物栖息的洞穴、窝巢等</w:t>
            </w:r>
            <w:r>
              <w:rPr>
                <w:rFonts w:ascii="宋体" w:hAnsi="宋体" w:eastAsia="宋体" w:cs="宋体"/>
                <w:spacing w:val="2"/>
                <w:sz w:val="20"/>
                <w:szCs w:val="20"/>
              </w:rPr>
              <w:t>。</w:t>
            </w:r>
          </w:p>
          <w:p>
            <w:pPr>
              <w:spacing w:before="153" w:line="369" w:lineRule="auto"/>
              <w:ind w:left="109" w:right="49" w:firstLine="480"/>
              <w:rPr>
                <w:rFonts w:ascii="宋体" w:hAnsi="宋体" w:eastAsia="宋体" w:cs="宋体"/>
                <w:sz w:val="20"/>
                <w:szCs w:val="20"/>
              </w:rPr>
            </w:pPr>
            <w:r>
              <w:rPr>
                <w:rFonts w:ascii="宋体" w:hAnsi="宋体" w:eastAsia="宋体" w:cs="宋体"/>
                <w:spacing w:val="19"/>
                <w:sz w:val="17"/>
                <w:szCs w:val="17"/>
              </w:rPr>
              <w:t>3</w:t>
            </w:r>
            <w:r>
              <w:rPr>
                <w:rFonts w:ascii="宋体" w:hAnsi="宋体" w:eastAsia="宋体" w:cs="宋体"/>
                <w:spacing w:val="11"/>
                <w:sz w:val="17"/>
                <w:szCs w:val="17"/>
              </w:rPr>
              <w:t xml:space="preserve">   </w:t>
            </w:r>
            <w:r>
              <w:rPr>
                <w:rFonts w:ascii="宋体" w:hAnsi="宋体" w:eastAsia="宋体" w:cs="宋体"/>
                <w:spacing w:val="11"/>
                <w:sz w:val="20"/>
                <w:szCs w:val="20"/>
              </w:rPr>
              <w:t>施工期间加强施工人员的各类卫生管理，避免生活污水的直接排放，减少水体</w:t>
            </w:r>
            <w:r>
              <w:rPr>
                <w:rFonts w:ascii="宋体" w:hAnsi="宋体" w:eastAsia="宋体" w:cs="宋体"/>
                <w:sz w:val="20"/>
                <w:szCs w:val="20"/>
              </w:rPr>
              <w:t xml:space="preserve"> </w:t>
            </w:r>
            <w:r>
              <w:rPr>
                <w:rFonts w:ascii="宋体" w:hAnsi="宋体" w:eastAsia="宋体" w:cs="宋体"/>
                <w:spacing w:val="15"/>
                <w:sz w:val="20"/>
                <w:szCs w:val="20"/>
              </w:rPr>
              <w:t>污</w:t>
            </w:r>
            <w:r>
              <w:rPr>
                <w:rFonts w:ascii="宋体" w:hAnsi="宋体" w:eastAsia="宋体" w:cs="宋体"/>
                <w:spacing w:val="8"/>
                <w:sz w:val="20"/>
                <w:szCs w:val="20"/>
              </w:rPr>
              <w:t>染，最大限度保护动物生境。</w:t>
            </w:r>
          </w:p>
          <w:p>
            <w:pPr>
              <w:spacing w:before="2" w:line="369" w:lineRule="auto"/>
              <w:ind w:left="107" w:right="49" w:firstLine="478"/>
              <w:rPr>
                <w:rFonts w:ascii="宋体" w:hAnsi="宋体" w:eastAsia="宋体" w:cs="宋体"/>
                <w:sz w:val="20"/>
                <w:szCs w:val="20"/>
              </w:rPr>
            </w:pPr>
            <w:r>
              <w:rPr>
                <w:rFonts w:ascii="宋体" w:hAnsi="宋体" w:eastAsia="宋体" w:cs="宋体"/>
                <w:spacing w:val="22"/>
                <w:sz w:val="17"/>
                <w:szCs w:val="17"/>
              </w:rPr>
              <w:t>4</w:t>
            </w:r>
            <w:r>
              <w:rPr>
                <w:rFonts w:ascii="宋体" w:hAnsi="宋体" w:eastAsia="宋体" w:cs="宋体"/>
                <w:spacing w:val="12"/>
                <w:sz w:val="17"/>
                <w:szCs w:val="17"/>
              </w:rPr>
              <w:t xml:space="preserve"> </w:t>
            </w:r>
            <w:r>
              <w:rPr>
                <w:rFonts w:ascii="宋体" w:hAnsi="宋体" w:eastAsia="宋体" w:cs="宋体"/>
                <w:spacing w:val="11"/>
                <w:sz w:val="17"/>
                <w:szCs w:val="17"/>
              </w:rPr>
              <w:t xml:space="preserve">  </w:t>
            </w:r>
            <w:r>
              <w:rPr>
                <w:rFonts w:ascii="宋体" w:hAnsi="宋体" w:eastAsia="宋体" w:cs="宋体"/>
                <w:spacing w:val="11"/>
                <w:sz w:val="20"/>
                <w:szCs w:val="20"/>
              </w:rPr>
              <w:t>施工过程中避免破坏动物栖息的巢穴、若施工过程中发现动物的卵、幼体或受</w:t>
            </w:r>
            <w:r>
              <w:rPr>
                <w:rFonts w:ascii="宋体" w:hAnsi="宋体" w:eastAsia="宋体" w:cs="宋体"/>
                <w:sz w:val="20"/>
                <w:szCs w:val="20"/>
              </w:rPr>
              <w:t xml:space="preserve"> </w:t>
            </w:r>
            <w:r>
              <w:rPr>
                <w:rFonts w:ascii="宋体" w:hAnsi="宋体" w:eastAsia="宋体" w:cs="宋体"/>
                <w:spacing w:val="13"/>
                <w:sz w:val="20"/>
                <w:szCs w:val="20"/>
              </w:rPr>
              <w:t>伤</w:t>
            </w:r>
            <w:r>
              <w:rPr>
                <w:rFonts w:ascii="宋体" w:hAnsi="宋体" w:eastAsia="宋体" w:cs="宋体"/>
                <w:spacing w:val="9"/>
                <w:sz w:val="20"/>
                <w:szCs w:val="20"/>
              </w:rPr>
              <w:t>个体等，应及时交由专业人员护理，不可对其伤害。</w:t>
            </w:r>
          </w:p>
          <w:p>
            <w:pPr>
              <w:spacing w:before="2" w:line="368" w:lineRule="auto"/>
              <w:ind w:left="110" w:right="49" w:firstLine="479"/>
              <w:rPr>
                <w:rFonts w:ascii="宋体" w:hAnsi="宋体" w:eastAsia="宋体" w:cs="宋体"/>
                <w:sz w:val="20"/>
                <w:szCs w:val="20"/>
              </w:rPr>
            </w:pPr>
            <w:r>
              <w:rPr>
                <w:rFonts w:ascii="宋体" w:hAnsi="宋体" w:eastAsia="宋体" w:cs="宋体"/>
                <w:spacing w:val="19"/>
                <w:sz w:val="17"/>
                <w:szCs w:val="17"/>
              </w:rPr>
              <w:t>5</w:t>
            </w:r>
            <w:r>
              <w:rPr>
                <w:rFonts w:ascii="宋体" w:hAnsi="宋体" w:eastAsia="宋体" w:cs="宋体"/>
                <w:spacing w:val="11"/>
                <w:sz w:val="17"/>
                <w:szCs w:val="17"/>
              </w:rPr>
              <w:t xml:space="preserve">   </w:t>
            </w:r>
            <w:r>
              <w:rPr>
                <w:rFonts w:ascii="宋体" w:hAnsi="宋体" w:eastAsia="宋体" w:cs="宋体"/>
                <w:spacing w:val="11"/>
                <w:sz w:val="20"/>
                <w:szCs w:val="20"/>
              </w:rPr>
              <w:t>在各施工区设置生态保护警示牌，警示牌上标明工程施工区范围，禁止越界施</w:t>
            </w:r>
            <w:r>
              <w:rPr>
                <w:rFonts w:ascii="宋体" w:hAnsi="宋体" w:eastAsia="宋体" w:cs="宋体"/>
                <w:sz w:val="20"/>
                <w:szCs w:val="20"/>
              </w:rPr>
              <w:t xml:space="preserve"> </w:t>
            </w:r>
            <w:r>
              <w:rPr>
                <w:rFonts w:ascii="宋体" w:hAnsi="宋体" w:eastAsia="宋体" w:cs="宋体"/>
                <w:spacing w:val="11"/>
                <w:sz w:val="20"/>
                <w:szCs w:val="20"/>
              </w:rPr>
              <w:t>工</w:t>
            </w:r>
            <w:r>
              <w:rPr>
                <w:rFonts w:ascii="宋体" w:hAnsi="宋体" w:eastAsia="宋体" w:cs="宋体"/>
                <w:spacing w:val="9"/>
                <w:sz w:val="20"/>
                <w:szCs w:val="20"/>
              </w:rPr>
              <w:t>占地，减少占地造成的植被损失和对动物生境的破坏。</w:t>
            </w:r>
          </w:p>
          <w:p>
            <w:pPr>
              <w:spacing w:before="2" w:line="368" w:lineRule="auto"/>
              <w:ind w:left="110" w:right="49" w:firstLine="477"/>
              <w:rPr>
                <w:rFonts w:ascii="宋体" w:hAnsi="宋体" w:eastAsia="宋体" w:cs="宋体"/>
                <w:sz w:val="20"/>
                <w:szCs w:val="20"/>
              </w:rPr>
            </w:pPr>
            <w:r>
              <w:rPr>
                <w:rFonts w:ascii="宋体" w:hAnsi="宋体" w:eastAsia="宋体" w:cs="宋体"/>
                <w:spacing w:val="21"/>
                <w:sz w:val="17"/>
                <w:szCs w:val="17"/>
              </w:rPr>
              <w:t>6</w:t>
            </w:r>
            <w:r>
              <w:rPr>
                <w:rFonts w:ascii="宋体" w:hAnsi="宋体" w:eastAsia="宋体" w:cs="宋体"/>
                <w:spacing w:val="11"/>
                <w:sz w:val="17"/>
                <w:szCs w:val="17"/>
              </w:rPr>
              <w:t xml:space="preserve">   </w:t>
            </w:r>
            <w:r>
              <w:rPr>
                <w:rFonts w:ascii="宋体" w:hAnsi="宋体" w:eastAsia="宋体" w:cs="宋体"/>
                <w:spacing w:val="11"/>
                <w:sz w:val="20"/>
                <w:szCs w:val="20"/>
              </w:rPr>
              <w:t>工程施工完成后及时进行植被恢复，使该地区的动物生境得到恢复，使动物尽</w:t>
            </w:r>
            <w:r>
              <w:rPr>
                <w:rFonts w:ascii="宋体" w:hAnsi="宋体" w:eastAsia="宋体" w:cs="宋体"/>
                <w:sz w:val="20"/>
                <w:szCs w:val="20"/>
              </w:rPr>
              <w:t xml:space="preserve"> </w:t>
            </w:r>
            <w:r>
              <w:rPr>
                <w:rFonts w:ascii="宋体" w:hAnsi="宋体" w:eastAsia="宋体" w:cs="宋体"/>
                <w:spacing w:val="11"/>
                <w:sz w:val="20"/>
                <w:szCs w:val="20"/>
              </w:rPr>
              <w:t>快</w:t>
            </w:r>
            <w:r>
              <w:rPr>
                <w:rFonts w:ascii="宋体" w:hAnsi="宋体" w:eastAsia="宋体" w:cs="宋体"/>
                <w:spacing w:val="8"/>
                <w:sz w:val="20"/>
                <w:szCs w:val="20"/>
              </w:rPr>
              <w:t>恢复到施工前的种群状态。</w:t>
            </w:r>
          </w:p>
          <w:p>
            <w:pPr>
              <w:spacing w:line="227" w:lineRule="auto"/>
              <w:ind w:left="537"/>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6"/>
                <w:sz w:val="20"/>
                <w:szCs w:val="20"/>
              </w:rPr>
              <w:t>3</w:t>
            </w: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宋体" w:hAnsi="宋体" w:eastAsia="宋体" w:cs="宋体"/>
                <w:spacing w:val="16"/>
                <w:sz w:val="20"/>
                <w:szCs w:val="20"/>
              </w:rPr>
              <w:t xml:space="preserve"> </w:t>
            </w:r>
            <w:r>
              <w:rPr>
                <w:rFonts w:ascii="宋体" w:hAnsi="宋体" w:eastAsia="宋体" w:cs="宋体"/>
                <w:spacing w:val="16"/>
                <w:sz w:val="20"/>
                <w:szCs w:val="20"/>
                <w14:textOutline w14:w="3795" w14:cap="sq" w14:cmpd="sng">
                  <w14:solidFill>
                    <w14:srgbClr w14:val="000000"/>
                  </w14:solidFill>
                  <w14:prstDash w14:val="solid"/>
                  <w14:bevel/>
                </w14:textOutline>
              </w:rPr>
              <w:t>水生生态保护措施</w:t>
            </w:r>
          </w:p>
          <w:p>
            <w:pPr>
              <w:spacing w:before="156" w:line="369" w:lineRule="auto"/>
              <w:ind w:left="105" w:right="49" w:firstLine="493"/>
              <w:rPr>
                <w:rFonts w:ascii="宋体" w:hAnsi="宋体" w:eastAsia="宋体" w:cs="宋体"/>
                <w:sz w:val="20"/>
                <w:szCs w:val="20"/>
              </w:rPr>
            </w:pPr>
            <w:r>
              <w:rPr>
                <w:rFonts w:ascii="宋体" w:hAnsi="宋体" w:eastAsia="宋体" w:cs="宋体"/>
                <w:spacing w:val="11"/>
                <w:sz w:val="17"/>
                <w:szCs w:val="17"/>
              </w:rPr>
              <w:t xml:space="preserve">1   </w:t>
            </w:r>
            <w:r>
              <w:rPr>
                <w:rFonts w:ascii="宋体" w:hAnsi="宋体" w:eastAsia="宋体" w:cs="宋体"/>
                <w:spacing w:val="11"/>
                <w:sz w:val="20"/>
                <w:szCs w:val="20"/>
              </w:rPr>
              <w:t>项目施工期针对水生生态的保护，应严格按照审批后的《达州市高家坝大桥</w:t>
            </w:r>
            <w:r>
              <w:rPr>
                <w:rFonts w:ascii="宋体" w:hAnsi="宋体" w:eastAsia="宋体" w:cs="宋体"/>
                <w:spacing w:val="9"/>
                <w:sz w:val="20"/>
                <w:szCs w:val="20"/>
              </w:rPr>
              <w:t>建</w:t>
            </w:r>
            <w:r>
              <w:rPr>
                <w:rFonts w:ascii="宋体" w:hAnsi="宋体" w:eastAsia="宋体" w:cs="宋体"/>
                <w:sz w:val="20"/>
                <w:szCs w:val="20"/>
              </w:rPr>
              <w:t xml:space="preserve"> </w:t>
            </w:r>
            <w:r>
              <w:rPr>
                <w:rFonts w:ascii="宋体" w:hAnsi="宋体" w:eastAsia="宋体" w:cs="宋体"/>
                <w:spacing w:val="9"/>
                <w:sz w:val="20"/>
                <w:szCs w:val="20"/>
              </w:rPr>
              <w:t>设项目对州河流域水生生物多样性影响专题论证报告》 中提出的保护措施落实。包括</w:t>
            </w:r>
            <w:r>
              <w:rPr>
                <w:rFonts w:ascii="宋体" w:hAnsi="宋体" w:eastAsia="宋体" w:cs="宋体"/>
                <w:spacing w:val="8"/>
                <w:sz w:val="20"/>
                <w:szCs w:val="20"/>
              </w:rPr>
              <w:t>再</w:t>
            </w:r>
            <w:r>
              <w:rPr>
                <w:rFonts w:ascii="宋体" w:hAnsi="宋体" w:eastAsia="宋体" w:cs="宋体"/>
                <w:sz w:val="20"/>
                <w:szCs w:val="20"/>
              </w:rPr>
              <w:t xml:space="preserve"> </w:t>
            </w:r>
            <w:r>
              <w:rPr>
                <w:rFonts w:ascii="宋体" w:hAnsi="宋体" w:eastAsia="宋体" w:cs="宋体"/>
                <w:spacing w:val="12"/>
                <w:sz w:val="20"/>
                <w:szCs w:val="20"/>
              </w:rPr>
              <w:t>造鱼类生境，尽量恢复河床原貌；种植水生植物，恢复河床植被。在主城区景观湖区</w:t>
            </w:r>
            <w:r>
              <w:rPr>
                <w:rFonts w:ascii="宋体" w:hAnsi="宋体" w:eastAsia="宋体" w:cs="宋体"/>
                <w:spacing w:val="6"/>
                <w:sz w:val="20"/>
                <w:szCs w:val="20"/>
              </w:rPr>
              <w:t>和</w:t>
            </w:r>
            <w:r>
              <w:rPr>
                <w:rFonts w:ascii="宋体" w:hAnsi="宋体" w:eastAsia="宋体" w:cs="宋体"/>
                <w:sz w:val="20"/>
                <w:szCs w:val="20"/>
              </w:rPr>
              <w:t xml:space="preserve"> </w:t>
            </w:r>
            <w:r>
              <w:rPr>
                <w:rFonts w:ascii="宋体" w:hAnsi="宋体" w:eastAsia="宋体" w:cs="宋体"/>
                <w:spacing w:val="12"/>
                <w:sz w:val="20"/>
                <w:szCs w:val="20"/>
              </w:rPr>
              <w:t>罗江码头、苦竹溪等河段，进行鱼类增殖放流活动。州河主要放流对象为该流域内重</w:t>
            </w:r>
            <w:r>
              <w:rPr>
                <w:rFonts w:ascii="宋体" w:hAnsi="宋体" w:eastAsia="宋体" w:cs="宋体"/>
                <w:spacing w:val="6"/>
                <w:sz w:val="20"/>
                <w:szCs w:val="20"/>
              </w:rPr>
              <w:t>要</w:t>
            </w:r>
            <w:r>
              <w:rPr>
                <w:rFonts w:ascii="宋体" w:hAnsi="宋体" w:eastAsia="宋体" w:cs="宋体"/>
                <w:sz w:val="20"/>
                <w:szCs w:val="20"/>
              </w:rPr>
              <w:t xml:space="preserve"> </w:t>
            </w:r>
            <w:r>
              <w:rPr>
                <w:rFonts w:ascii="宋体" w:hAnsi="宋体" w:eastAsia="宋体" w:cs="宋体"/>
                <w:spacing w:val="9"/>
                <w:sz w:val="20"/>
                <w:szCs w:val="20"/>
              </w:rPr>
              <w:t>的经济鱼类和保护鱼类，如岩原鲤、 白甲鱼，从而减少工程对水生生态及鱼类的影响</w:t>
            </w:r>
            <w:r>
              <w:rPr>
                <w:rFonts w:ascii="宋体" w:hAnsi="宋体" w:eastAsia="宋体" w:cs="宋体"/>
                <w:spacing w:val="8"/>
                <w:sz w:val="20"/>
                <w:szCs w:val="20"/>
              </w:rPr>
              <w:t>程</w:t>
            </w:r>
            <w:r>
              <w:rPr>
                <w:rFonts w:ascii="宋体" w:hAnsi="宋体" w:eastAsia="宋体" w:cs="宋体"/>
                <w:sz w:val="20"/>
                <w:szCs w:val="20"/>
              </w:rPr>
              <w:t xml:space="preserve"> </w:t>
            </w:r>
            <w:r>
              <w:rPr>
                <w:rFonts w:ascii="宋体" w:hAnsi="宋体" w:eastAsia="宋体" w:cs="宋体"/>
                <w:spacing w:val="12"/>
                <w:sz w:val="20"/>
                <w:szCs w:val="20"/>
              </w:rPr>
              <w:t>度。另外，加大渔业资源保护的宣传和教育力度，并在当地渔业行政主管部门进行施</w:t>
            </w:r>
            <w:r>
              <w:rPr>
                <w:rFonts w:ascii="宋体" w:hAnsi="宋体" w:eastAsia="宋体" w:cs="宋体"/>
                <w:spacing w:val="6"/>
                <w:sz w:val="20"/>
                <w:szCs w:val="20"/>
              </w:rPr>
              <w:t>工</w:t>
            </w:r>
            <w:r>
              <w:rPr>
                <w:rFonts w:ascii="宋体" w:hAnsi="宋体" w:eastAsia="宋体" w:cs="宋体"/>
                <w:sz w:val="20"/>
                <w:szCs w:val="20"/>
              </w:rPr>
              <w:t xml:space="preserve"> </w:t>
            </w:r>
            <w:r>
              <w:rPr>
                <w:rFonts w:ascii="宋体" w:hAnsi="宋体" w:eastAsia="宋体" w:cs="宋体"/>
                <w:spacing w:val="12"/>
                <w:sz w:val="20"/>
                <w:szCs w:val="20"/>
              </w:rPr>
              <w:t>申请备案。当地渔政管理部门应监督落实状况。在州河重要生境附近设立警示标牌和</w:t>
            </w:r>
            <w:r>
              <w:rPr>
                <w:rFonts w:ascii="宋体" w:hAnsi="宋体" w:eastAsia="宋体" w:cs="宋体"/>
                <w:spacing w:val="6"/>
                <w:sz w:val="20"/>
                <w:szCs w:val="20"/>
              </w:rPr>
              <w:t>宣</w:t>
            </w:r>
            <w:r>
              <w:rPr>
                <w:rFonts w:ascii="宋体" w:hAnsi="宋体" w:eastAsia="宋体" w:cs="宋体"/>
                <w:sz w:val="20"/>
                <w:szCs w:val="20"/>
              </w:rPr>
              <w:t xml:space="preserve"> </w:t>
            </w:r>
            <w:r>
              <w:rPr>
                <w:rFonts w:ascii="宋体" w:hAnsi="宋体" w:eastAsia="宋体" w:cs="宋体"/>
                <w:spacing w:val="6"/>
                <w:sz w:val="20"/>
                <w:szCs w:val="20"/>
              </w:rPr>
              <w:t>传牌各</w:t>
            </w:r>
            <w:r>
              <w:rPr>
                <w:rFonts w:ascii="Times New Roman" w:hAnsi="Times New Roman" w:eastAsia="Times New Roman" w:cs="Times New Roman"/>
                <w:spacing w:val="6"/>
                <w:sz w:val="20"/>
                <w:szCs w:val="20"/>
              </w:rPr>
              <w:t>1</w:t>
            </w:r>
            <w:r>
              <w:rPr>
                <w:rFonts w:ascii="宋体" w:hAnsi="宋体" w:eastAsia="宋体" w:cs="宋体"/>
                <w:spacing w:val="6"/>
                <w:sz w:val="20"/>
                <w:szCs w:val="20"/>
              </w:rPr>
              <w:t>处。</w:t>
            </w:r>
          </w:p>
          <w:p>
            <w:pPr>
              <w:spacing w:before="2" w:line="369" w:lineRule="auto"/>
              <w:ind w:left="110" w:right="52" w:firstLine="478"/>
              <w:rPr>
                <w:rFonts w:ascii="宋体" w:hAnsi="宋体" w:eastAsia="宋体" w:cs="宋体"/>
                <w:sz w:val="20"/>
                <w:szCs w:val="20"/>
              </w:rPr>
            </w:pPr>
            <w:r>
              <w:rPr>
                <w:rFonts w:ascii="宋体" w:hAnsi="宋体" w:eastAsia="宋体" w:cs="宋体"/>
                <w:spacing w:val="18"/>
                <w:sz w:val="17"/>
                <w:szCs w:val="17"/>
              </w:rPr>
              <w:t>2</w:t>
            </w:r>
            <w:r>
              <w:rPr>
                <w:rFonts w:ascii="宋体" w:hAnsi="宋体" w:eastAsia="宋体" w:cs="宋体"/>
                <w:spacing w:val="11"/>
                <w:sz w:val="17"/>
                <w:szCs w:val="17"/>
              </w:rPr>
              <w:t xml:space="preserve">   </w:t>
            </w:r>
            <w:r>
              <w:rPr>
                <w:rFonts w:ascii="宋体" w:hAnsi="宋体" w:eastAsia="宋体" w:cs="宋体"/>
                <w:spacing w:val="11"/>
                <w:sz w:val="20"/>
                <w:szCs w:val="20"/>
              </w:rPr>
              <w:t>施工期生活垃圾和生活污水依托附近场镇或已有设施收集，不得随意排入附近</w:t>
            </w:r>
            <w:r>
              <w:rPr>
                <w:rFonts w:ascii="宋体" w:hAnsi="宋体" w:eastAsia="宋体" w:cs="宋体"/>
                <w:sz w:val="20"/>
                <w:szCs w:val="20"/>
              </w:rPr>
              <w:t xml:space="preserve"> </w:t>
            </w:r>
            <w:r>
              <w:rPr>
                <w:rFonts w:ascii="宋体" w:hAnsi="宋体" w:eastAsia="宋体" w:cs="宋体"/>
                <w:spacing w:val="6"/>
                <w:sz w:val="20"/>
                <w:szCs w:val="20"/>
              </w:rPr>
              <w:t>水体。生活</w:t>
            </w:r>
            <w:r>
              <w:rPr>
                <w:rFonts w:ascii="宋体" w:hAnsi="宋体" w:eastAsia="宋体" w:cs="宋体"/>
                <w:spacing w:val="3"/>
                <w:sz w:val="20"/>
                <w:szCs w:val="20"/>
              </w:rPr>
              <w:t>垃圾集中堆放， 由城市环卫清运。</w:t>
            </w:r>
          </w:p>
          <w:p>
            <w:pPr>
              <w:spacing w:before="4" w:line="368" w:lineRule="auto"/>
              <w:ind w:left="107" w:right="49" w:firstLine="482"/>
              <w:rPr>
                <w:rFonts w:ascii="宋体" w:hAnsi="宋体" w:eastAsia="宋体" w:cs="宋体"/>
                <w:sz w:val="20"/>
                <w:szCs w:val="20"/>
              </w:rPr>
            </w:pPr>
            <w:r>
              <w:rPr>
                <w:rFonts w:ascii="宋体" w:hAnsi="宋体" w:eastAsia="宋体" w:cs="宋体"/>
                <w:spacing w:val="16"/>
                <w:sz w:val="17"/>
                <w:szCs w:val="17"/>
              </w:rPr>
              <w:t>3</w:t>
            </w:r>
            <w:r>
              <w:rPr>
                <w:rFonts w:ascii="宋体" w:hAnsi="宋体" w:eastAsia="宋体" w:cs="宋体"/>
                <w:spacing w:val="11"/>
                <w:sz w:val="17"/>
                <w:szCs w:val="17"/>
              </w:rPr>
              <w:t xml:space="preserve">   </w:t>
            </w:r>
            <w:r>
              <w:rPr>
                <w:rFonts w:ascii="宋体" w:hAnsi="宋体" w:eastAsia="宋体" w:cs="宋体"/>
                <w:spacing w:val="11"/>
                <w:sz w:val="20"/>
                <w:szCs w:val="20"/>
              </w:rPr>
              <w:t>施工用料的堆放应远离地表水体，且选择暴雨径流不易冲刷的地方。部分施工</w:t>
            </w:r>
            <w:r>
              <w:rPr>
                <w:rFonts w:ascii="宋体" w:hAnsi="宋体" w:eastAsia="宋体" w:cs="宋体"/>
                <w:sz w:val="20"/>
                <w:szCs w:val="20"/>
              </w:rPr>
              <w:t xml:space="preserve"> </w:t>
            </w:r>
            <w:r>
              <w:rPr>
                <w:rFonts w:ascii="宋体" w:hAnsi="宋体" w:eastAsia="宋体" w:cs="宋体"/>
                <w:spacing w:val="12"/>
                <w:sz w:val="20"/>
                <w:szCs w:val="20"/>
              </w:rPr>
              <w:t>用料若堆放在桥位附近，应对材料堆放区进行覆盖，并在其场四周建明沟，沉沙井、</w:t>
            </w:r>
            <w:r>
              <w:rPr>
                <w:rFonts w:ascii="宋体" w:hAnsi="宋体" w:eastAsia="宋体" w:cs="宋体"/>
                <w:spacing w:val="4"/>
                <w:sz w:val="20"/>
                <w:szCs w:val="20"/>
              </w:rPr>
              <w:t>设</w:t>
            </w:r>
            <w:r>
              <w:rPr>
                <w:rFonts w:ascii="宋体" w:hAnsi="宋体" w:eastAsia="宋体" w:cs="宋体"/>
                <w:sz w:val="20"/>
                <w:szCs w:val="20"/>
              </w:rPr>
              <w:t xml:space="preserve"> </w:t>
            </w:r>
            <w:r>
              <w:rPr>
                <w:rFonts w:ascii="宋体" w:hAnsi="宋体" w:eastAsia="宋体" w:cs="宋体"/>
                <w:spacing w:val="12"/>
                <w:sz w:val="20"/>
                <w:szCs w:val="20"/>
              </w:rPr>
              <w:t>挡墙等，防止被暴雨径流进入水体，影响水质，各类材料应备有防雨遮雨设施。工程</w:t>
            </w:r>
            <w:r>
              <w:rPr>
                <w:rFonts w:ascii="宋体" w:hAnsi="宋体" w:eastAsia="宋体" w:cs="宋体"/>
                <w:spacing w:val="4"/>
                <w:sz w:val="20"/>
                <w:szCs w:val="20"/>
              </w:rPr>
              <w:t>建</w:t>
            </w:r>
            <w:r>
              <w:rPr>
                <w:rFonts w:ascii="宋体" w:hAnsi="宋体" w:eastAsia="宋体" w:cs="宋体"/>
                <w:sz w:val="20"/>
                <w:szCs w:val="20"/>
              </w:rPr>
              <w:t xml:space="preserve"> </w:t>
            </w:r>
            <w:r>
              <w:rPr>
                <w:rFonts w:ascii="宋体" w:hAnsi="宋体" w:eastAsia="宋体" w:cs="宋体"/>
                <w:spacing w:val="18"/>
                <w:sz w:val="20"/>
                <w:szCs w:val="20"/>
              </w:rPr>
              <w:t>设</w:t>
            </w:r>
            <w:r>
              <w:rPr>
                <w:rFonts w:ascii="宋体" w:hAnsi="宋体" w:eastAsia="宋体" w:cs="宋体"/>
                <w:spacing w:val="10"/>
                <w:sz w:val="20"/>
                <w:szCs w:val="20"/>
              </w:rPr>
              <w:t>中</w:t>
            </w:r>
            <w:r>
              <w:rPr>
                <w:rFonts w:ascii="宋体" w:hAnsi="宋体" w:eastAsia="宋体" w:cs="宋体"/>
                <w:spacing w:val="9"/>
                <w:sz w:val="20"/>
                <w:szCs w:val="20"/>
              </w:rPr>
              <w:t>的临时堆土场，采取覆盖、拦挡等措施，严禁将弃渣弃入河道。</w:t>
            </w:r>
          </w:p>
          <w:p>
            <w:pPr>
              <w:spacing w:line="369" w:lineRule="auto"/>
              <w:ind w:left="107" w:right="52" w:firstLine="478"/>
              <w:rPr>
                <w:rFonts w:ascii="宋体" w:hAnsi="宋体" w:eastAsia="宋体" w:cs="宋体"/>
                <w:sz w:val="20"/>
                <w:szCs w:val="20"/>
              </w:rPr>
            </w:pPr>
            <w:r>
              <w:rPr>
                <w:rFonts w:ascii="宋体" w:hAnsi="宋体" w:eastAsia="宋体" w:cs="宋体"/>
                <w:spacing w:val="21"/>
                <w:sz w:val="17"/>
                <w:szCs w:val="17"/>
              </w:rPr>
              <w:t>4</w:t>
            </w:r>
            <w:r>
              <w:rPr>
                <w:rFonts w:ascii="宋体" w:hAnsi="宋体" w:eastAsia="宋体" w:cs="宋体"/>
                <w:spacing w:val="11"/>
                <w:sz w:val="17"/>
                <w:szCs w:val="17"/>
              </w:rPr>
              <w:t xml:space="preserve">   </w:t>
            </w:r>
            <w:r>
              <w:rPr>
                <w:rFonts w:ascii="宋体" w:hAnsi="宋体" w:eastAsia="宋体" w:cs="宋体"/>
                <w:spacing w:val="11"/>
                <w:sz w:val="20"/>
                <w:szCs w:val="20"/>
              </w:rPr>
              <w:t>施工过程中涉水工程采用钢围堰时施工，将施工影响范围控制在围堰范围内，</w:t>
            </w:r>
            <w:r>
              <w:rPr>
                <w:rFonts w:ascii="宋体" w:hAnsi="宋体" w:eastAsia="宋体" w:cs="宋体"/>
                <w:sz w:val="20"/>
                <w:szCs w:val="20"/>
              </w:rPr>
              <w:t xml:space="preserve"> </w:t>
            </w:r>
            <w:r>
              <w:rPr>
                <w:rFonts w:ascii="宋体" w:hAnsi="宋体" w:eastAsia="宋体" w:cs="宋体"/>
                <w:spacing w:val="22"/>
                <w:sz w:val="20"/>
                <w:szCs w:val="20"/>
              </w:rPr>
              <w:t>减少</w:t>
            </w:r>
            <w:r>
              <w:rPr>
                <w:rFonts w:ascii="宋体" w:hAnsi="宋体" w:eastAsia="宋体" w:cs="宋体"/>
                <w:spacing w:val="17"/>
                <w:sz w:val="20"/>
                <w:szCs w:val="20"/>
              </w:rPr>
              <w:t>工</w:t>
            </w:r>
            <w:r>
              <w:rPr>
                <w:rFonts w:ascii="宋体" w:hAnsi="宋体" w:eastAsia="宋体" w:cs="宋体"/>
                <w:spacing w:val="11"/>
                <w:sz w:val="20"/>
                <w:szCs w:val="20"/>
              </w:rPr>
              <w:t>程施工对水体的扰动程度和范围。钢围堰占用河道面积较小，基本不会改变河道</w:t>
            </w:r>
            <w:r>
              <w:rPr>
                <w:rFonts w:ascii="宋体" w:hAnsi="宋体" w:eastAsia="宋体" w:cs="宋体"/>
                <w:sz w:val="20"/>
                <w:szCs w:val="20"/>
              </w:rPr>
              <w:t xml:space="preserve"> </w:t>
            </w:r>
            <w:r>
              <w:rPr>
                <w:rFonts w:ascii="宋体" w:hAnsi="宋体" w:eastAsia="宋体" w:cs="宋体"/>
                <w:spacing w:val="17"/>
                <w:sz w:val="20"/>
                <w:szCs w:val="20"/>
              </w:rPr>
              <w:t>的</w:t>
            </w:r>
            <w:r>
              <w:rPr>
                <w:rFonts w:ascii="宋体" w:hAnsi="宋体" w:eastAsia="宋体" w:cs="宋体"/>
                <w:spacing w:val="9"/>
                <w:sz w:val="20"/>
                <w:szCs w:val="20"/>
              </w:rPr>
              <w:t>水流方式，更不会形成阻流，因此不需要单独设置导流设施。</w:t>
            </w:r>
          </w:p>
          <w:p>
            <w:pPr>
              <w:spacing w:before="1" w:line="369" w:lineRule="auto"/>
              <w:ind w:left="106" w:right="52" w:firstLine="483"/>
              <w:rPr>
                <w:rFonts w:ascii="宋体" w:hAnsi="宋体" w:eastAsia="宋体" w:cs="宋体"/>
                <w:sz w:val="20"/>
                <w:szCs w:val="20"/>
              </w:rPr>
            </w:pPr>
            <w:r>
              <w:rPr>
                <w:rFonts w:ascii="宋体" w:hAnsi="宋体" w:eastAsia="宋体" w:cs="宋体"/>
                <w:spacing w:val="16"/>
                <w:sz w:val="17"/>
                <w:szCs w:val="17"/>
              </w:rPr>
              <w:t>5</w:t>
            </w:r>
            <w:r>
              <w:rPr>
                <w:rFonts w:ascii="宋体" w:hAnsi="宋体" w:eastAsia="宋体" w:cs="宋体"/>
                <w:spacing w:val="11"/>
                <w:sz w:val="17"/>
                <w:szCs w:val="17"/>
              </w:rPr>
              <w:t xml:space="preserve">   </w:t>
            </w:r>
            <w:r>
              <w:rPr>
                <w:rFonts w:ascii="宋体" w:hAnsi="宋体" w:eastAsia="宋体" w:cs="宋体"/>
                <w:spacing w:val="11"/>
                <w:sz w:val="20"/>
                <w:szCs w:val="20"/>
              </w:rPr>
              <w:t>加强管理，增强施工人员环保意识，严禁施工人员捕捞鱼类等，尽量减少人为</w:t>
            </w:r>
            <w:r>
              <w:rPr>
                <w:rFonts w:ascii="宋体" w:hAnsi="宋体" w:eastAsia="宋体" w:cs="宋体"/>
                <w:sz w:val="20"/>
                <w:szCs w:val="20"/>
              </w:rPr>
              <w:t xml:space="preserve"> </w:t>
            </w:r>
            <w:r>
              <w:rPr>
                <w:rFonts w:ascii="宋体" w:hAnsi="宋体" w:eastAsia="宋体" w:cs="宋体"/>
                <w:spacing w:val="22"/>
                <w:sz w:val="20"/>
                <w:szCs w:val="20"/>
              </w:rPr>
              <w:t>原因</w:t>
            </w:r>
            <w:r>
              <w:rPr>
                <w:rFonts w:ascii="宋体" w:hAnsi="宋体" w:eastAsia="宋体" w:cs="宋体"/>
                <w:spacing w:val="18"/>
                <w:sz w:val="20"/>
                <w:szCs w:val="20"/>
              </w:rPr>
              <w:t>造</w:t>
            </w:r>
            <w:r>
              <w:rPr>
                <w:rFonts w:ascii="宋体" w:hAnsi="宋体" w:eastAsia="宋体" w:cs="宋体"/>
                <w:spacing w:val="11"/>
                <w:sz w:val="20"/>
                <w:szCs w:val="20"/>
              </w:rPr>
              <w:t>成的不必要的破坏。对施工人员做必要的生态保护宣传教育，禁止将污水、垃圾</w:t>
            </w:r>
            <w:r>
              <w:rPr>
                <w:rFonts w:ascii="宋体" w:hAnsi="宋体" w:eastAsia="宋体" w:cs="宋体"/>
                <w:sz w:val="20"/>
                <w:szCs w:val="20"/>
              </w:rPr>
              <w:t xml:space="preserve"> </w:t>
            </w:r>
            <w:r>
              <w:rPr>
                <w:rFonts w:ascii="宋体" w:hAnsi="宋体" w:eastAsia="宋体" w:cs="宋体"/>
                <w:spacing w:val="18"/>
                <w:sz w:val="20"/>
                <w:szCs w:val="20"/>
              </w:rPr>
              <w:t>及</w:t>
            </w:r>
            <w:r>
              <w:rPr>
                <w:rFonts w:ascii="宋体" w:hAnsi="宋体" w:eastAsia="宋体" w:cs="宋体"/>
                <w:spacing w:val="9"/>
                <w:sz w:val="20"/>
                <w:szCs w:val="20"/>
              </w:rPr>
              <w:t>施工机械的废油等污染物排入水体，应收集后按相关要求处理。</w:t>
            </w:r>
          </w:p>
          <w:p>
            <w:pPr>
              <w:spacing w:before="1" w:line="230" w:lineRule="auto"/>
              <w:ind w:left="587"/>
              <w:rPr>
                <w:rFonts w:ascii="宋体" w:hAnsi="宋体" w:eastAsia="宋体" w:cs="宋体"/>
                <w:sz w:val="20"/>
                <w:szCs w:val="20"/>
              </w:rPr>
            </w:pPr>
            <w:r>
              <w:rPr>
                <w:rFonts w:ascii="宋体" w:hAnsi="宋体" w:eastAsia="宋体" w:cs="宋体"/>
                <w:spacing w:val="21"/>
                <w:sz w:val="17"/>
                <w:szCs w:val="17"/>
              </w:rPr>
              <w:t>6</w:t>
            </w:r>
            <w:r>
              <w:rPr>
                <w:rFonts w:ascii="宋体" w:hAnsi="宋体" w:eastAsia="宋体" w:cs="宋体"/>
                <w:spacing w:val="11"/>
                <w:sz w:val="17"/>
                <w:szCs w:val="17"/>
              </w:rPr>
              <w:t xml:space="preserve">   </w:t>
            </w:r>
            <w:r>
              <w:rPr>
                <w:rFonts w:ascii="宋体" w:hAnsi="宋体" w:eastAsia="宋体" w:cs="宋体"/>
                <w:spacing w:val="11"/>
                <w:sz w:val="20"/>
                <w:szCs w:val="20"/>
              </w:rPr>
              <w:t>合理组织施工，严格按照道路施工规范进行排水设计和施工，做好工程完工后</w:t>
            </w:r>
          </w:p>
        </w:tc>
      </w:tr>
    </w:tbl>
    <w:p>
      <w:pPr>
        <w:spacing w:line="138" w:lineRule="exact"/>
        <w:rPr>
          <w:rFonts w:ascii="Arial"/>
          <w:sz w:val="12"/>
        </w:rPr>
      </w:pPr>
    </w:p>
    <w:p>
      <w:pPr>
        <w:sectPr>
          <w:footerReference r:id="rId87" w:type="default"/>
          <w:pgSz w:w="11907" w:h="16840"/>
          <w:pgMar w:top="400" w:right="1476" w:bottom="1477" w:left="1475" w:header="0" w:footer="1317" w:gutter="0"/>
          <w:cols w:space="720" w:num="1"/>
        </w:sectPr>
      </w:pPr>
    </w:p>
    <w:p/>
    <w:p/>
    <w:p/>
    <w:p/>
    <w:p>
      <w:pPr>
        <w:spacing w:line="221" w:lineRule="exact"/>
      </w:pPr>
    </w:p>
    <w:tbl>
      <w:tblPr>
        <w:tblStyle w:val="4"/>
        <w:tblW w:w="894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82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7" w:hRule="atLeast"/>
        </w:trPr>
        <w:tc>
          <w:tcPr>
            <w:tcW w:w="724" w:type="dxa"/>
            <w:tcBorders>
              <w:left w:val="single" w:color="00000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31" w:lineRule="auto"/>
              <w:ind w:left="129"/>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施工</w:t>
            </w:r>
          </w:p>
          <w:p>
            <w:pPr>
              <w:spacing w:before="21" w:line="228" w:lineRule="auto"/>
              <w:ind w:left="133"/>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期生</w:t>
            </w:r>
          </w:p>
          <w:p>
            <w:pPr>
              <w:spacing w:before="25" w:line="230" w:lineRule="auto"/>
              <w:ind w:left="130"/>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态</w:t>
            </w:r>
            <w:r>
              <w:rPr>
                <w:rFonts w:ascii="宋体" w:hAnsi="宋体" w:eastAsia="宋体" w:cs="宋体"/>
                <w:spacing w:val="15"/>
                <w:sz w:val="20"/>
                <w:szCs w:val="20"/>
                <w14:textOutline w14:w="3795" w14:cap="sq" w14:cmpd="sng">
                  <w14:solidFill>
                    <w14:srgbClr w14:val="000000"/>
                  </w14:solidFill>
                  <w14:prstDash w14:val="solid"/>
                  <w14:bevel/>
                </w14:textOutline>
              </w:rPr>
              <w:t>环</w:t>
            </w:r>
          </w:p>
          <w:p>
            <w:pPr>
              <w:spacing w:before="22" w:line="228" w:lineRule="auto"/>
              <w:ind w:left="131"/>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境保</w:t>
            </w:r>
          </w:p>
          <w:p>
            <w:pPr>
              <w:spacing w:before="25" w:line="228" w:lineRule="auto"/>
              <w:ind w:left="131"/>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护措</w:t>
            </w:r>
          </w:p>
          <w:p>
            <w:pPr>
              <w:spacing w:before="25" w:line="231" w:lineRule="auto"/>
              <w:ind w:left="244"/>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施</w:t>
            </w:r>
          </w:p>
        </w:tc>
        <w:tc>
          <w:tcPr>
            <w:tcW w:w="8216" w:type="dxa"/>
            <w:tcBorders>
              <w:right w:val="single" w:color="000000" w:sz="6" w:space="0"/>
            </w:tcBorders>
            <w:vAlign w:val="top"/>
          </w:tcPr>
          <w:p>
            <w:pPr>
              <w:spacing w:before="153" w:line="228" w:lineRule="auto"/>
              <w:ind w:left="109"/>
              <w:rPr>
                <w:rFonts w:ascii="宋体" w:hAnsi="宋体" w:eastAsia="宋体" w:cs="宋体"/>
                <w:sz w:val="20"/>
                <w:szCs w:val="20"/>
              </w:rPr>
            </w:pPr>
            <w:r>
              <w:rPr>
                <w:rFonts w:ascii="宋体" w:hAnsi="宋体" w:eastAsia="宋体" w:cs="宋体"/>
                <w:spacing w:val="9"/>
                <w:sz w:val="20"/>
                <w:szCs w:val="20"/>
              </w:rPr>
              <w:t>生</w:t>
            </w:r>
            <w:r>
              <w:rPr>
                <w:rFonts w:ascii="宋体" w:hAnsi="宋体" w:eastAsia="宋体" w:cs="宋体"/>
                <w:spacing w:val="6"/>
                <w:sz w:val="20"/>
                <w:szCs w:val="20"/>
              </w:rPr>
              <w:t>态环境的恢复工作， 以尽量减少植被破坏、水土流失对水生生物的影响。</w:t>
            </w:r>
          </w:p>
          <w:p>
            <w:pPr>
              <w:spacing w:before="153" w:line="369" w:lineRule="auto"/>
              <w:ind w:left="112" w:firstLine="478"/>
              <w:rPr>
                <w:rFonts w:ascii="宋体" w:hAnsi="宋体" w:eastAsia="宋体" w:cs="宋体"/>
                <w:sz w:val="20"/>
                <w:szCs w:val="20"/>
              </w:rPr>
            </w:pPr>
            <w:r>
              <w:rPr>
                <w:rFonts w:ascii="宋体" w:hAnsi="宋体" w:eastAsia="宋体" w:cs="宋体"/>
                <w:spacing w:val="9"/>
                <w:sz w:val="17"/>
                <w:szCs w:val="17"/>
              </w:rPr>
              <w:t>7</w:t>
            </w:r>
            <w:r>
              <w:rPr>
                <w:rFonts w:ascii="宋体" w:hAnsi="宋体" w:eastAsia="宋体" w:cs="宋体"/>
                <w:spacing w:val="7"/>
                <w:sz w:val="17"/>
                <w:szCs w:val="17"/>
              </w:rPr>
              <w:t xml:space="preserve">   </w:t>
            </w:r>
            <w:r>
              <w:rPr>
                <w:rFonts w:ascii="宋体" w:hAnsi="宋体" w:eastAsia="宋体" w:cs="宋体"/>
                <w:spacing w:val="7"/>
                <w:sz w:val="20"/>
                <w:szCs w:val="20"/>
              </w:rPr>
              <w:t>合理安排工期，涉水桥墩施工应安排在枯水期施工，同时尽量避开鱼类产卵期，</w:t>
            </w:r>
            <w:r>
              <w:rPr>
                <w:rFonts w:ascii="宋体" w:hAnsi="宋体" w:eastAsia="宋体" w:cs="宋体"/>
                <w:sz w:val="20"/>
                <w:szCs w:val="20"/>
              </w:rPr>
              <w:t xml:space="preserve"> </w:t>
            </w:r>
            <w:r>
              <w:rPr>
                <w:rFonts w:ascii="宋体" w:hAnsi="宋体" w:eastAsia="宋体" w:cs="宋体"/>
                <w:spacing w:val="16"/>
                <w:sz w:val="20"/>
                <w:szCs w:val="20"/>
              </w:rPr>
              <w:t>并</w:t>
            </w:r>
            <w:r>
              <w:rPr>
                <w:rFonts w:ascii="宋体" w:hAnsi="宋体" w:eastAsia="宋体" w:cs="宋体"/>
                <w:spacing w:val="15"/>
                <w:sz w:val="20"/>
                <w:szCs w:val="20"/>
              </w:rPr>
              <w:t>尽</w:t>
            </w:r>
            <w:r>
              <w:rPr>
                <w:rFonts w:ascii="宋体" w:hAnsi="宋体" w:eastAsia="宋体" w:cs="宋体"/>
                <w:spacing w:val="8"/>
                <w:sz w:val="20"/>
                <w:szCs w:val="20"/>
              </w:rPr>
              <w:t>量缩短施工时间，减少对水生生态的影响。</w:t>
            </w:r>
          </w:p>
          <w:p>
            <w:pPr>
              <w:spacing w:before="2" w:line="369" w:lineRule="auto"/>
              <w:ind w:left="107" w:right="52" w:firstLine="479"/>
              <w:rPr>
                <w:rFonts w:ascii="宋体" w:hAnsi="宋体" w:eastAsia="宋体" w:cs="宋体"/>
                <w:sz w:val="20"/>
                <w:szCs w:val="20"/>
              </w:rPr>
            </w:pPr>
            <w:r>
              <w:rPr>
                <w:rFonts w:ascii="宋体" w:hAnsi="宋体" w:eastAsia="宋体" w:cs="宋体"/>
                <w:spacing w:val="22"/>
                <w:sz w:val="17"/>
                <w:szCs w:val="17"/>
              </w:rPr>
              <w:t>8</w:t>
            </w:r>
            <w:r>
              <w:rPr>
                <w:rFonts w:ascii="宋体" w:hAnsi="宋体" w:eastAsia="宋体" w:cs="宋体"/>
                <w:spacing w:val="20"/>
                <w:sz w:val="17"/>
                <w:szCs w:val="17"/>
              </w:rPr>
              <w:t xml:space="preserve"> </w:t>
            </w:r>
            <w:r>
              <w:rPr>
                <w:rFonts w:ascii="宋体" w:hAnsi="宋体" w:eastAsia="宋体" w:cs="宋体"/>
                <w:spacing w:val="11"/>
                <w:sz w:val="17"/>
                <w:szCs w:val="17"/>
              </w:rPr>
              <w:t xml:space="preserve">  </w:t>
            </w:r>
            <w:r>
              <w:rPr>
                <w:rFonts w:ascii="宋体" w:hAnsi="宋体" w:eastAsia="宋体" w:cs="宋体"/>
                <w:spacing w:val="11"/>
                <w:sz w:val="20"/>
                <w:szCs w:val="20"/>
              </w:rPr>
              <w:t>按照水土保持要求布置措施进行防护，严格执行</w:t>
            </w:r>
            <w:r>
              <w:rPr>
                <w:rFonts w:ascii="Times New Roman" w:hAnsi="Times New Roman" w:eastAsia="Times New Roman" w:cs="Times New Roman"/>
                <w:spacing w:val="11"/>
                <w:sz w:val="20"/>
                <w:szCs w:val="20"/>
              </w:rPr>
              <w:t>“</w:t>
            </w:r>
            <w:r>
              <w:rPr>
                <w:rFonts w:ascii="宋体" w:hAnsi="宋体" w:eastAsia="宋体" w:cs="宋体"/>
                <w:spacing w:val="11"/>
                <w:sz w:val="20"/>
                <w:szCs w:val="20"/>
              </w:rPr>
              <w:t>先挡后弃</w:t>
            </w:r>
            <w:r>
              <w:rPr>
                <w:rFonts w:ascii="Times New Roman" w:hAnsi="Times New Roman" w:eastAsia="Times New Roman" w:cs="Times New Roman"/>
                <w:spacing w:val="11"/>
                <w:sz w:val="20"/>
                <w:szCs w:val="20"/>
              </w:rPr>
              <w:t>”</w:t>
            </w:r>
            <w:r>
              <w:rPr>
                <w:rFonts w:ascii="宋体" w:hAnsi="宋体" w:eastAsia="宋体" w:cs="宋体"/>
                <w:spacing w:val="11"/>
                <w:sz w:val="20"/>
                <w:szCs w:val="20"/>
              </w:rPr>
              <w:t>施工原则，施工前</w:t>
            </w:r>
            <w:r>
              <w:rPr>
                <w:rFonts w:ascii="宋体" w:hAnsi="宋体" w:eastAsia="宋体" w:cs="宋体"/>
                <w:sz w:val="20"/>
                <w:szCs w:val="20"/>
              </w:rPr>
              <w:t xml:space="preserve"> </w:t>
            </w:r>
            <w:r>
              <w:rPr>
                <w:rFonts w:ascii="宋体" w:hAnsi="宋体" w:eastAsia="宋体" w:cs="宋体"/>
                <w:spacing w:val="18"/>
                <w:sz w:val="20"/>
                <w:szCs w:val="20"/>
              </w:rPr>
              <w:t>修</w:t>
            </w:r>
            <w:r>
              <w:rPr>
                <w:rFonts w:ascii="宋体" w:hAnsi="宋体" w:eastAsia="宋体" w:cs="宋体"/>
                <w:spacing w:val="16"/>
                <w:sz w:val="20"/>
                <w:szCs w:val="20"/>
              </w:rPr>
              <w:t>筑</w:t>
            </w:r>
            <w:r>
              <w:rPr>
                <w:rFonts w:ascii="宋体" w:hAnsi="宋体" w:eastAsia="宋体" w:cs="宋体"/>
                <w:spacing w:val="9"/>
                <w:sz w:val="20"/>
                <w:szCs w:val="20"/>
              </w:rPr>
              <w:t>好截排水设施。此外，合理安排工期，土石方开挖、填筑等应避开雨天作业；</w:t>
            </w:r>
          </w:p>
          <w:p>
            <w:pPr>
              <w:spacing w:before="1" w:line="368" w:lineRule="auto"/>
              <w:ind w:left="131" w:right="52" w:firstLine="455"/>
              <w:rPr>
                <w:rFonts w:ascii="宋体" w:hAnsi="宋体" w:eastAsia="宋体" w:cs="宋体"/>
                <w:sz w:val="20"/>
                <w:szCs w:val="20"/>
              </w:rPr>
            </w:pPr>
            <w:r>
              <w:rPr>
                <w:rFonts w:ascii="宋体" w:hAnsi="宋体" w:eastAsia="宋体" w:cs="宋体"/>
                <w:spacing w:val="19"/>
                <w:sz w:val="17"/>
                <w:szCs w:val="17"/>
              </w:rPr>
              <w:t>9</w:t>
            </w:r>
            <w:r>
              <w:rPr>
                <w:rFonts w:ascii="宋体" w:hAnsi="宋体" w:eastAsia="宋体" w:cs="宋体"/>
                <w:spacing w:val="11"/>
                <w:sz w:val="17"/>
                <w:szCs w:val="17"/>
              </w:rPr>
              <w:t xml:space="preserve">   </w:t>
            </w:r>
            <w:r>
              <w:rPr>
                <w:rFonts w:ascii="宋体" w:hAnsi="宋体" w:eastAsia="宋体" w:cs="宋体"/>
                <w:spacing w:val="11"/>
                <w:sz w:val="20"/>
                <w:szCs w:val="20"/>
              </w:rPr>
              <w:t>建设单位应配合渔政部门做好宣传教育和鱼类保护工作，接受地方行政主管部</w:t>
            </w:r>
            <w:r>
              <w:rPr>
                <w:rFonts w:ascii="宋体" w:hAnsi="宋体" w:eastAsia="宋体" w:cs="宋体"/>
                <w:sz w:val="20"/>
                <w:szCs w:val="20"/>
              </w:rPr>
              <w:t xml:space="preserve"> </w:t>
            </w:r>
            <w:r>
              <w:rPr>
                <w:rFonts w:ascii="宋体" w:hAnsi="宋体" w:eastAsia="宋体" w:cs="宋体"/>
                <w:spacing w:val="-1"/>
                <w:sz w:val="20"/>
                <w:szCs w:val="20"/>
              </w:rPr>
              <w:t>门监督</w:t>
            </w:r>
            <w:r>
              <w:rPr>
                <w:rFonts w:ascii="宋体" w:hAnsi="宋体" w:eastAsia="宋体" w:cs="宋体"/>
                <w:sz w:val="20"/>
                <w:szCs w:val="20"/>
              </w:rPr>
              <w:t>。</w:t>
            </w:r>
          </w:p>
          <w:p>
            <w:pPr>
              <w:spacing w:before="1" w:line="227" w:lineRule="auto"/>
              <w:ind w:left="554"/>
              <w:rPr>
                <w:rFonts w:ascii="宋体" w:hAnsi="宋体" w:eastAsia="宋体" w:cs="宋体"/>
                <w:sz w:val="20"/>
                <w:szCs w:val="20"/>
              </w:rPr>
            </w:pPr>
            <w:r>
              <w:rPr>
                <w:rFonts w:ascii="宋体" w:hAnsi="宋体" w:eastAsia="宋体" w:cs="宋体"/>
                <w:spacing w:val="18"/>
                <w:sz w:val="17"/>
                <w:szCs w:val="17"/>
              </w:rPr>
              <w:t>10</w:t>
            </w:r>
            <w:r>
              <w:rPr>
                <w:rFonts w:ascii="宋体" w:hAnsi="宋体" w:eastAsia="宋体" w:cs="宋体"/>
                <w:spacing w:val="14"/>
                <w:sz w:val="17"/>
                <w:szCs w:val="17"/>
              </w:rPr>
              <w:t xml:space="preserve"> </w:t>
            </w:r>
            <w:r>
              <w:rPr>
                <w:rFonts w:ascii="宋体" w:hAnsi="宋体" w:eastAsia="宋体" w:cs="宋体"/>
                <w:spacing w:val="9"/>
                <w:sz w:val="17"/>
                <w:szCs w:val="17"/>
              </w:rPr>
              <w:t xml:space="preserve"> </w:t>
            </w:r>
            <w:r>
              <w:rPr>
                <w:rFonts w:ascii="宋体" w:hAnsi="宋体" w:eastAsia="宋体" w:cs="宋体"/>
                <w:spacing w:val="9"/>
                <w:sz w:val="20"/>
                <w:szCs w:val="20"/>
              </w:rPr>
              <w:t>施工结束后及时恢复施工迹地，恢复河道沿线的植被和地貌。</w:t>
            </w:r>
          </w:p>
          <w:p>
            <w:pPr>
              <w:spacing w:before="154" w:line="228" w:lineRule="auto"/>
              <w:ind w:left="537"/>
              <w:rPr>
                <w:rFonts w:ascii="宋体" w:hAnsi="宋体" w:eastAsia="宋体" w:cs="宋体"/>
                <w:sz w:val="20"/>
                <w:szCs w:val="20"/>
              </w:rPr>
            </w:pPr>
            <w:r>
              <w:rPr>
                <w:rFonts w:ascii="宋体" w:hAnsi="宋体" w:eastAsia="宋体" w:cs="宋体"/>
                <w:spacing w:val="17"/>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7"/>
                <w:sz w:val="20"/>
                <w:szCs w:val="20"/>
              </w:rPr>
              <w:t>4</w:t>
            </w:r>
            <w:r>
              <w:rPr>
                <w:rFonts w:ascii="宋体" w:hAnsi="宋体" w:eastAsia="宋体" w:cs="宋体"/>
                <w:spacing w:val="17"/>
                <w:sz w:val="20"/>
                <w:szCs w:val="20"/>
                <w14:textOutline w14:w="3795" w14:cap="sq" w14:cmpd="sng">
                  <w14:solidFill>
                    <w14:srgbClr w14:val="000000"/>
                  </w14:solidFill>
                  <w14:prstDash w14:val="solid"/>
                  <w14:bevel/>
                </w14:textOutline>
              </w:rPr>
              <w:t>)</w:t>
            </w:r>
            <w:r>
              <w:rPr>
                <w:rFonts w:ascii="宋体" w:hAnsi="宋体" w:eastAsia="宋体" w:cs="宋体"/>
                <w:spacing w:val="17"/>
                <w:sz w:val="20"/>
                <w:szCs w:val="20"/>
              </w:rPr>
              <w:t xml:space="preserve"> </w:t>
            </w:r>
            <w:r>
              <w:rPr>
                <w:rFonts w:ascii="宋体" w:hAnsi="宋体" w:eastAsia="宋体" w:cs="宋体"/>
                <w:spacing w:val="17"/>
                <w:sz w:val="20"/>
                <w:szCs w:val="20"/>
                <w14:textOutline w14:w="3795" w14:cap="sq" w14:cmpd="sng">
                  <w14:solidFill>
                    <w14:srgbClr w14:val="000000"/>
                  </w14:solidFill>
                  <w14:prstDash w14:val="solid"/>
                  <w14:bevel/>
                </w14:textOutline>
              </w:rPr>
              <w:t>水土保持措</w:t>
            </w:r>
            <w:r>
              <w:rPr>
                <w:rFonts w:ascii="宋体" w:hAnsi="宋体" w:eastAsia="宋体" w:cs="宋体"/>
                <w:spacing w:val="16"/>
                <w:sz w:val="20"/>
                <w:szCs w:val="20"/>
                <w14:textOutline w14:w="3795" w14:cap="sq" w14:cmpd="sng">
                  <w14:solidFill>
                    <w14:srgbClr w14:val="000000"/>
                  </w14:solidFill>
                  <w14:prstDash w14:val="solid"/>
                  <w14:bevel/>
                </w14:textOutline>
              </w:rPr>
              <w:t>施</w:t>
            </w:r>
          </w:p>
          <w:p>
            <w:pPr>
              <w:spacing w:before="151" w:line="370" w:lineRule="auto"/>
              <w:ind w:left="53" w:right="52" w:firstLine="420"/>
              <w:rPr>
                <w:rFonts w:ascii="宋体" w:hAnsi="宋体" w:eastAsia="宋体" w:cs="宋体"/>
                <w:sz w:val="20"/>
                <w:szCs w:val="20"/>
              </w:rPr>
            </w:pPr>
            <w:r>
              <w:rPr>
                <w:rFonts w:ascii="宋体" w:hAnsi="宋体" w:eastAsia="宋体" w:cs="宋体"/>
                <w:spacing w:val="14"/>
                <w:sz w:val="20"/>
                <w:szCs w:val="20"/>
              </w:rPr>
              <w:t>施工期</w:t>
            </w:r>
            <w:r>
              <w:rPr>
                <w:rFonts w:ascii="宋体" w:hAnsi="宋体" w:eastAsia="宋体" w:cs="宋体"/>
                <w:spacing w:val="7"/>
                <w:sz w:val="20"/>
                <w:szCs w:val="20"/>
              </w:rPr>
              <w:t>应严格按照审批后的水土保持方案，落实相应水保措施，对主体工程区、施工</w:t>
            </w:r>
            <w:r>
              <w:rPr>
                <w:rFonts w:ascii="宋体" w:hAnsi="宋体" w:eastAsia="宋体" w:cs="宋体"/>
                <w:sz w:val="20"/>
                <w:szCs w:val="20"/>
              </w:rPr>
              <w:t xml:space="preserve"> </w:t>
            </w:r>
            <w:r>
              <w:rPr>
                <w:rFonts w:ascii="宋体" w:hAnsi="宋体" w:eastAsia="宋体" w:cs="宋体"/>
                <w:spacing w:val="14"/>
                <w:sz w:val="20"/>
                <w:szCs w:val="20"/>
              </w:rPr>
              <w:t>场</w:t>
            </w:r>
            <w:r>
              <w:rPr>
                <w:rFonts w:ascii="宋体" w:hAnsi="宋体" w:eastAsia="宋体" w:cs="宋体"/>
                <w:spacing w:val="9"/>
                <w:sz w:val="20"/>
                <w:szCs w:val="20"/>
              </w:rPr>
              <w:t>地、施工道路等用地区域采取的水土保持措施主要有：</w:t>
            </w:r>
          </w:p>
          <w:p>
            <w:pPr>
              <w:spacing w:before="1" w:line="369" w:lineRule="auto"/>
              <w:ind w:left="54" w:right="52" w:firstLine="419"/>
              <w:rPr>
                <w:rFonts w:ascii="宋体" w:hAnsi="宋体" w:eastAsia="宋体" w:cs="宋体"/>
                <w:sz w:val="20"/>
                <w:szCs w:val="20"/>
              </w:rPr>
            </w:pPr>
            <w:r>
              <w:rPr>
                <w:rFonts w:ascii="宋体" w:hAnsi="宋体" w:eastAsia="宋体" w:cs="宋体"/>
                <w:spacing w:val="14"/>
                <w:sz w:val="20"/>
                <w:szCs w:val="20"/>
              </w:rPr>
              <w:t>①对剥</w:t>
            </w:r>
            <w:r>
              <w:rPr>
                <w:rFonts w:ascii="宋体" w:hAnsi="宋体" w:eastAsia="宋体" w:cs="宋体"/>
                <w:spacing w:val="7"/>
                <w:sz w:val="20"/>
                <w:szCs w:val="20"/>
              </w:rPr>
              <w:t>离的表土单独储存，后期用于道路工程绿化区域表土回覆；开挖的土石方集中</w:t>
            </w:r>
            <w:r>
              <w:rPr>
                <w:rFonts w:ascii="宋体" w:hAnsi="宋体" w:eastAsia="宋体" w:cs="宋体"/>
                <w:sz w:val="20"/>
                <w:szCs w:val="20"/>
              </w:rPr>
              <w:t xml:space="preserve"> </w:t>
            </w:r>
            <w:r>
              <w:rPr>
                <w:rFonts w:ascii="宋体" w:hAnsi="宋体" w:eastAsia="宋体" w:cs="宋体"/>
                <w:spacing w:val="14"/>
                <w:sz w:val="20"/>
                <w:szCs w:val="20"/>
              </w:rPr>
              <w:t>堆放，</w:t>
            </w:r>
            <w:r>
              <w:rPr>
                <w:rFonts w:ascii="宋体" w:hAnsi="宋体" w:eastAsia="宋体" w:cs="宋体"/>
                <w:spacing w:val="12"/>
                <w:sz w:val="20"/>
                <w:szCs w:val="20"/>
              </w:rPr>
              <w:t>用</w:t>
            </w:r>
            <w:r>
              <w:rPr>
                <w:rFonts w:ascii="宋体" w:hAnsi="宋体" w:eastAsia="宋体" w:cs="宋体"/>
                <w:spacing w:val="7"/>
                <w:sz w:val="20"/>
                <w:szCs w:val="20"/>
              </w:rPr>
              <w:t>于桥台台背路基回填。对临时堆场区域进行防雨布覆盖，对堆放区四周设置土袋</w:t>
            </w:r>
            <w:r>
              <w:rPr>
                <w:rFonts w:ascii="宋体" w:hAnsi="宋体" w:eastAsia="宋体" w:cs="宋体"/>
                <w:sz w:val="20"/>
                <w:szCs w:val="20"/>
              </w:rPr>
              <w:t xml:space="preserve"> </w:t>
            </w:r>
            <w:r>
              <w:rPr>
                <w:rFonts w:ascii="宋体" w:hAnsi="宋体" w:eastAsia="宋体" w:cs="宋体"/>
                <w:spacing w:val="3"/>
                <w:sz w:val="20"/>
                <w:szCs w:val="20"/>
              </w:rPr>
              <w:t>挡墙。</w:t>
            </w:r>
          </w:p>
          <w:p>
            <w:pPr>
              <w:spacing w:before="1" w:line="369" w:lineRule="auto"/>
              <w:ind w:left="53" w:right="52" w:firstLine="419"/>
              <w:rPr>
                <w:rFonts w:ascii="宋体" w:hAnsi="宋体" w:eastAsia="宋体" w:cs="宋体"/>
                <w:sz w:val="20"/>
                <w:szCs w:val="20"/>
              </w:rPr>
            </w:pPr>
            <w:r>
              <w:rPr>
                <w:rFonts w:ascii="宋体" w:hAnsi="宋体" w:eastAsia="宋体" w:cs="宋体"/>
                <w:spacing w:val="14"/>
                <w:sz w:val="20"/>
                <w:szCs w:val="20"/>
              </w:rPr>
              <w:t>②对工</w:t>
            </w:r>
            <w:r>
              <w:rPr>
                <w:rFonts w:ascii="宋体" w:hAnsi="宋体" w:eastAsia="宋体" w:cs="宋体"/>
                <w:spacing w:val="7"/>
                <w:sz w:val="20"/>
                <w:szCs w:val="20"/>
              </w:rPr>
              <w:t>程开挖裸露边坡区域布设密目网覆盖；施工场地周围设置截排水沟，并设置沉</w:t>
            </w:r>
            <w:r>
              <w:rPr>
                <w:rFonts w:ascii="宋体" w:hAnsi="宋体" w:eastAsia="宋体" w:cs="宋体"/>
                <w:sz w:val="20"/>
                <w:szCs w:val="20"/>
              </w:rPr>
              <w:t xml:space="preserve"> </w:t>
            </w:r>
            <w:r>
              <w:rPr>
                <w:rFonts w:ascii="宋体" w:hAnsi="宋体" w:eastAsia="宋体" w:cs="宋体"/>
                <w:spacing w:val="14"/>
                <w:sz w:val="20"/>
                <w:szCs w:val="20"/>
              </w:rPr>
              <w:t>砂池。</w:t>
            </w:r>
            <w:r>
              <w:rPr>
                <w:rFonts w:ascii="宋体" w:hAnsi="宋体" w:eastAsia="宋体" w:cs="宋体"/>
                <w:spacing w:val="13"/>
                <w:sz w:val="20"/>
                <w:szCs w:val="20"/>
              </w:rPr>
              <w:t>尽</w:t>
            </w:r>
            <w:r>
              <w:rPr>
                <w:rFonts w:ascii="宋体" w:hAnsi="宋体" w:eastAsia="宋体" w:cs="宋体"/>
                <w:spacing w:val="7"/>
                <w:sz w:val="20"/>
                <w:szCs w:val="20"/>
              </w:rPr>
              <w:t>量避开雨季进行挖土施工，同时各种防护措施与主体工程同步实施，以预防下雨</w:t>
            </w:r>
            <w:r>
              <w:rPr>
                <w:rFonts w:ascii="宋体" w:hAnsi="宋体" w:eastAsia="宋体" w:cs="宋体"/>
                <w:sz w:val="20"/>
                <w:szCs w:val="20"/>
              </w:rPr>
              <w:t xml:space="preserve"> </w:t>
            </w:r>
            <w:r>
              <w:rPr>
                <w:rFonts w:ascii="宋体" w:hAnsi="宋体" w:eastAsia="宋体" w:cs="宋体"/>
                <w:spacing w:val="9"/>
                <w:sz w:val="20"/>
                <w:szCs w:val="20"/>
              </w:rPr>
              <w:t>路面径流直接冲刷开挖面而造成水土流失</w:t>
            </w:r>
            <w:r>
              <w:rPr>
                <w:rFonts w:ascii="宋体" w:hAnsi="宋体" w:eastAsia="宋体" w:cs="宋体"/>
                <w:spacing w:val="8"/>
                <w:sz w:val="20"/>
                <w:szCs w:val="20"/>
              </w:rPr>
              <w:t>。</w:t>
            </w:r>
          </w:p>
          <w:p>
            <w:pPr>
              <w:spacing w:line="225" w:lineRule="auto"/>
              <w:ind w:left="473"/>
              <w:rPr>
                <w:rFonts w:ascii="宋体" w:hAnsi="宋体" w:eastAsia="宋体" w:cs="宋体"/>
                <w:sz w:val="20"/>
                <w:szCs w:val="20"/>
              </w:rPr>
            </w:pPr>
            <w:r>
              <w:rPr>
                <w:rFonts w:ascii="宋体" w:hAnsi="宋体" w:eastAsia="宋体" w:cs="宋体"/>
                <w:spacing w:val="9"/>
                <w:sz w:val="20"/>
                <w:szCs w:val="20"/>
              </w:rPr>
              <w:t>③对施工便道区域设置临时排水沟、临时沉沙池，对开挖裸露区域进行密目网覆盖</w:t>
            </w:r>
            <w:r>
              <w:rPr>
                <w:rFonts w:ascii="宋体" w:hAnsi="宋体" w:eastAsia="宋体" w:cs="宋体"/>
                <w:spacing w:val="3"/>
                <w:sz w:val="20"/>
                <w:szCs w:val="20"/>
              </w:rPr>
              <w:t>。</w:t>
            </w:r>
          </w:p>
          <w:p>
            <w:pPr>
              <w:spacing w:before="155" w:line="369" w:lineRule="auto"/>
              <w:ind w:left="57" w:right="49" w:firstLine="415"/>
              <w:rPr>
                <w:rFonts w:ascii="宋体" w:hAnsi="宋体" w:eastAsia="宋体" w:cs="宋体"/>
                <w:sz w:val="20"/>
                <w:szCs w:val="20"/>
              </w:rPr>
            </w:pPr>
            <w:r>
              <w:rPr>
                <w:rFonts w:ascii="宋体" w:hAnsi="宋体" w:eastAsia="宋体" w:cs="宋体"/>
                <w:spacing w:val="14"/>
                <w:sz w:val="20"/>
                <w:szCs w:val="20"/>
              </w:rPr>
              <w:t>④加强</w:t>
            </w:r>
            <w:r>
              <w:rPr>
                <w:rFonts w:ascii="宋体" w:hAnsi="宋体" w:eastAsia="宋体" w:cs="宋体"/>
                <w:spacing w:val="10"/>
                <w:sz w:val="20"/>
                <w:szCs w:val="20"/>
              </w:rPr>
              <w:t>管</w:t>
            </w:r>
            <w:r>
              <w:rPr>
                <w:rFonts w:ascii="宋体" w:hAnsi="宋体" w:eastAsia="宋体" w:cs="宋体"/>
                <w:spacing w:val="7"/>
                <w:sz w:val="20"/>
                <w:szCs w:val="20"/>
              </w:rPr>
              <w:t>理，严格控制临时占地范围，严格施工管理，禁止施工材料乱堆、乱放，及</w:t>
            </w:r>
            <w:r>
              <w:rPr>
                <w:rFonts w:ascii="宋体" w:hAnsi="宋体" w:eastAsia="宋体" w:cs="宋体"/>
                <w:sz w:val="20"/>
                <w:szCs w:val="20"/>
              </w:rPr>
              <w:t xml:space="preserve"> </w:t>
            </w:r>
            <w:r>
              <w:rPr>
                <w:rFonts w:ascii="宋体" w:hAnsi="宋体" w:eastAsia="宋体" w:cs="宋体"/>
                <w:spacing w:val="14"/>
                <w:sz w:val="20"/>
                <w:szCs w:val="20"/>
              </w:rPr>
              <w:t>时清除</w:t>
            </w:r>
            <w:r>
              <w:rPr>
                <w:rFonts w:ascii="宋体" w:hAnsi="宋体" w:eastAsia="宋体" w:cs="宋体"/>
                <w:spacing w:val="12"/>
                <w:sz w:val="20"/>
                <w:szCs w:val="20"/>
              </w:rPr>
              <w:t>排</w:t>
            </w:r>
            <w:r>
              <w:rPr>
                <w:rFonts w:ascii="宋体" w:hAnsi="宋体" w:eastAsia="宋体" w:cs="宋体"/>
                <w:spacing w:val="7"/>
                <w:sz w:val="20"/>
                <w:szCs w:val="20"/>
              </w:rPr>
              <w:t>水沟的淤积物，保证排水系统的畅通。严格落实施工监理制度，从而减少施工期</w:t>
            </w:r>
            <w:r>
              <w:rPr>
                <w:rFonts w:ascii="宋体" w:hAnsi="宋体" w:eastAsia="宋体" w:cs="宋体"/>
                <w:sz w:val="20"/>
                <w:szCs w:val="20"/>
              </w:rPr>
              <w:t xml:space="preserve"> </w:t>
            </w:r>
            <w:r>
              <w:rPr>
                <w:rFonts w:ascii="宋体" w:hAnsi="宋体" w:eastAsia="宋体" w:cs="宋体"/>
                <w:spacing w:val="9"/>
                <w:sz w:val="20"/>
                <w:szCs w:val="20"/>
              </w:rPr>
              <w:t>水</w:t>
            </w:r>
            <w:r>
              <w:rPr>
                <w:rFonts w:ascii="宋体" w:hAnsi="宋体" w:eastAsia="宋体" w:cs="宋体"/>
                <w:spacing w:val="7"/>
                <w:sz w:val="20"/>
                <w:szCs w:val="20"/>
              </w:rPr>
              <w:t>土流失的影响。</w:t>
            </w:r>
          </w:p>
          <w:p>
            <w:pPr>
              <w:spacing w:before="1" w:line="227" w:lineRule="auto"/>
              <w:ind w:left="537"/>
              <w:rPr>
                <w:rFonts w:ascii="宋体" w:hAnsi="宋体" w:eastAsia="宋体" w:cs="宋体"/>
                <w:sz w:val="20"/>
                <w:szCs w:val="20"/>
              </w:rPr>
            </w:pPr>
            <w:r>
              <w:rPr>
                <w:rFonts w:ascii="宋体" w:hAnsi="宋体" w:eastAsia="宋体" w:cs="宋体"/>
                <w:spacing w:val="17"/>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7"/>
                <w:sz w:val="20"/>
                <w:szCs w:val="20"/>
              </w:rPr>
              <w:t>5</w:t>
            </w:r>
            <w:r>
              <w:rPr>
                <w:rFonts w:ascii="宋体" w:hAnsi="宋体" w:eastAsia="宋体" w:cs="宋体"/>
                <w:spacing w:val="17"/>
                <w:sz w:val="20"/>
                <w:szCs w:val="20"/>
                <w14:textOutline w14:w="3795" w14:cap="sq" w14:cmpd="sng">
                  <w14:solidFill>
                    <w14:srgbClr w14:val="000000"/>
                  </w14:solidFill>
                  <w14:prstDash w14:val="solid"/>
                  <w14:bevel/>
                </w14:textOutline>
              </w:rPr>
              <w:t>)</w:t>
            </w:r>
            <w:r>
              <w:rPr>
                <w:rFonts w:ascii="宋体" w:hAnsi="宋体" w:eastAsia="宋体" w:cs="宋体"/>
                <w:spacing w:val="17"/>
                <w:sz w:val="20"/>
                <w:szCs w:val="20"/>
              </w:rPr>
              <w:t xml:space="preserve"> </w:t>
            </w:r>
            <w:r>
              <w:rPr>
                <w:rFonts w:ascii="宋体" w:hAnsi="宋体" w:eastAsia="宋体" w:cs="宋体"/>
                <w:spacing w:val="17"/>
                <w:sz w:val="20"/>
                <w:szCs w:val="20"/>
                <w14:textOutline w14:w="3795" w14:cap="sq" w14:cmpd="sng">
                  <w14:solidFill>
                    <w14:srgbClr w14:val="000000"/>
                  </w14:solidFill>
                  <w14:prstDash w14:val="solid"/>
                  <w14:bevel/>
                </w14:textOutline>
              </w:rPr>
              <w:t>景观保护措</w:t>
            </w:r>
            <w:r>
              <w:rPr>
                <w:rFonts w:ascii="宋体" w:hAnsi="宋体" w:eastAsia="宋体" w:cs="宋体"/>
                <w:spacing w:val="16"/>
                <w:sz w:val="20"/>
                <w:szCs w:val="20"/>
                <w14:textOutline w14:w="3795" w14:cap="sq" w14:cmpd="sng">
                  <w14:solidFill>
                    <w14:srgbClr w14:val="000000"/>
                  </w14:solidFill>
                  <w14:prstDash w14:val="solid"/>
                  <w14:bevel/>
                </w14:textOutline>
              </w:rPr>
              <w:t>施</w:t>
            </w:r>
          </w:p>
          <w:p>
            <w:pPr>
              <w:spacing w:before="154" w:line="369" w:lineRule="auto"/>
              <w:ind w:left="59" w:firstLine="415"/>
              <w:rPr>
                <w:rFonts w:ascii="宋体" w:hAnsi="宋体" w:eastAsia="宋体" w:cs="宋体"/>
                <w:sz w:val="20"/>
                <w:szCs w:val="20"/>
              </w:rPr>
            </w:pPr>
            <w:r>
              <w:rPr>
                <w:rFonts w:ascii="宋体" w:hAnsi="宋体" w:eastAsia="宋体" w:cs="宋体"/>
                <w:spacing w:val="14"/>
                <w:sz w:val="20"/>
                <w:szCs w:val="20"/>
              </w:rPr>
              <w:t>本项</w:t>
            </w:r>
            <w:r>
              <w:rPr>
                <w:rFonts w:ascii="宋体" w:hAnsi="宋体" w:eastAsia="宋体" w:cs="宋体"/>
                <w:spacing w:val="11"/>
                <w:sz w:val="20"/>
                <w:szCs w:val="20"/>
              </w:rPr>
              <w:t>目</w:t>
            </w:r>
            <w:r>
              <w:rPr>
                <w:rFonts w:ascii="宋体" w:hAnsi="宋体" w:eastAsia="宋体" w:cs="宋体"/>
                <w:spacing w:val="7"/>
                <w:sz w:val="20"/>
                <w:szCs w:val="20"/>
              </w:rPr>
              <w:t>施工场地位于城市开发区，项目施工使局部地区土地裸露，对城市景观产生一</w:t>
            </w:r>
            <w:r>
              <w:rPr>
                <w:rFonts w:ascii="宋体" w:hAnsi="宋体" w:eastAsia="宋体" w:cs="宋体"/>
                <w:sz w:val="20"/>
                <w:szCs w:val="20"/>
              </w:rPr>
              <w:t xml:space="preserve"> </w:t>
            </w:r>
            <w:r>
              <w:rPr>
                <w:rFonts w:ascii="宋体" w:hAnsi="宋体" w:eastAsia="宋体" w:cs="宋体"/>
                <w:spacing w:val="6"/>
                <w:sz w:val="20"/>
                <w:szCs w:val="20"/>
              </w:rPr>
              <w:t>定影响。为减少道</w:t>
            </w:r>
            <w:r>
              <w:rPr>
                <w:rFonts w:ascii="宋体" w:hAnsi="宋体" w:eastAsia="宋体" w:cs="宋体"/>
                <w:spacing w:val="5"/>
                <w:sz w:val="20"/>
                <w:szCs w:val="20"/>
              </w:rPr>
              <w:t>路</w:t>
            </w:r>
            <w:r>
              <w:rPr>
                <w:rFonts w:ascii="宋体" w:hAnsi="宋体" w:eastAsia="宋体" w:cs="宋体"/>
                <w:spacing w:val="3"/>
                <w:sz w:val="20"/>
                <w:szCs w:val="20"/>
              </w:rPr>
              <w:t>施工对城市社会、生态景观的影响，本环评要求建设方采取以下措施：</w:t>
            </w:r>
          </w:p>
          <w:p>
            <w:pPr>
              <w:spacing w:line="225" w:lineRule="auto"/>
              <w:ind w:left="473"/>
              <w:rPr>
                <w:rFonts w:ascii="宋体" w:hAnsi="宋体" w:eastAsia="宋体" w:cs="宋体"/>
                <w:sz w:val="20"/>
                <w:szCs w:val="20"/>
              </w:rPr>
            </w:pPr>
            <w:r>
              <w:rPr>
                <w:rFonts w:ascii="宋体" w:hAnsi="宋体" w:eastAsia="宋体" w:cs="宋体"/>
                <w:spacing w:val="18"/>
                <w:sz w:val="20"/>
                <w:szCs w:val="20"/>
              </w:rPr>
              <w:t>①</w:t>
            </w:r>
            <w:r>
              <w:rPr>
                <w:rFonts w:ascii="宋体" w:hAnsi="宋体" w:eastAsia="宋体" w:cs="宋体"/>
                <w:spacing w:val="13"/>
                <w:sz w:val="20"/>
                <w:szCs w:val="20"/>
              </w:rPr>
              <w:t>合</w:t>
            </w:r>
            <w:r>
              <w:rPr>
                <w:rFonts w:ascii="宋体" w:hAnsi="宋体" w:eastAsia="宋体" w:cs="宋体"/>
                <w:spacing w:val="9"/>
                <w:sz w:val="20"/>
                <w:szCs w:val="20"/>
              </w:rPr>
              <w:t>理安排施工进度，一旦施工结束，尽快清理现场，撤出场地，恢复交通。</w:t>
            </w:r>
          </w:p>
          <w:p>
            <w:pPr>
              <w:spacing w:before="159" w:line="369" w:lineRule="auto"/>
              <w:ind w:left="54" w:right="5" w:firstLine="418"/>
              <w:rPr>
                <w:rFonts w:ascii="宋体" w:hAnsi="宋体" w:eastAsia="宋体" w:cs="宋体"/>
                <w:sz w:val="20"/>
                <w:szCs w:val="20"/>
              </w:rPr>
            </w:pPr>
            <w:r>
              <w:rPr>
                <w:rFonts w:ascii="宋体" w:hAnsi="宋体" w:eastAsia="宋体" w:cs="宋体"/>
                <w:spacing w:val="9"/>
                <w:sz w:val="20"/>
                <w:szCs w:val="20"/>
              </w:rPr>
              <w:t>②为了减少工程施工对视觉感观的影响，在施工过程中尽可能做到：多张贴宣传画</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9"/>
                <w:sz w:val="20"/>
                <w:szCs w:val="20"/>
              </w:rPr>
              <w:t>广告牌，改善视觉感观；文明施工，做到场区整洁；调整施工物流时间，减少道路拥挤</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9"/>
                <w:sz w:val="20"/>
                <w:szCs w:val="20"/>
              </w:rPr>
              <w:t>建立工程施工的告示牌，标明工程名称、施工时间、管理负责人姓名、监督联系电话等</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12"/>
                <w:sz w:val="20"/>
                <w:szCs w:val="20"/>
              </w:rPr>
              <w:t>以</w:t>
            </w:r>
            <w:r>
              <w:rPr>
                <w:rFonts w:ascii="宋体" w:hAnsi="宋体" w:eastAsia="宋体" w:cs="宋体"/>
                <w:spacing w:val="8"/>
                <w:sz w:val="20"/>
                <w:szCs w:val="20"/>
              </w:rPr>
              <w:t>取得居民的谅解和支持。</w:t>
            </w:r>
          </w:p>
          <w:p>
            <w:pPr>
              <w:spacing w:before="2" w:line="368" w:lineRule="auto"/>
              <w:ind w:left="67" w:right="21" w:firstLine="405"/>
              <w:rPr>
                <w:rFonts w:ascii="宋体" w:hAnsi="宋体" w:eastAsia="宋体" w:cs="宋体"/>
                <w:sz w:val="20"/>
                <w:szCs w:val="20"/>
              </w:rPr>
            </w:pPr>
            <w:r>
              <w:rPr>
                <w:rFonts w:ascii="宋体" w:hAnsi="宋体" w:eastAsia="宋体" w:cs="宋体"/>
                <w:spacing w:val="16"/>
                <w:sz w:val="20"/>
                <w:szCs w:val="20"/>
              </w:rPr>
              <w:t>③</w:t>
            </w:r>
            <w:r>
              <w:rPr>
                <w:rFonts w:ascii="宋体" w:hAnsi="宋体" w:eastAsia="宋体" w:cs="宋体"/>
                <w:spacing w:val="15"/>
                <w:sz w:val="20"/>
                <w:szCs w:val="20"/>
              </w:rPr>
              <w:t>对</w:t>
            </w:r>
            <w:r>
              <w:rPr>
                <w:rFonts w:ascii="宋体" w:hAnsi="宋体" w:eastAsia="宋体" w:cs="宋体"/>
                <w:spacing w:val="8"/>
                <w:sz w:val="20"/>
                <w:szCs w:val="20"/>
              </w:rPr>
              <w:t>施工产生的弃渣及其废弃物进行清理外运。废渣装运时应注意保持公路的清洁，</w:t>
            </w:r>
            <w:r>
              <w:rPr>
                <w:rFonts w:ascii="宋体" w:hAnsi="宋体" w:eastAsia="宋体" w:cs="宋体"/>
                <w:sz w:val="20"/>
                <w:szCs w:val="20"/>
              </w:rPr>
              <w:t xml:space="preserve"> </w:t>
            </w:r>
            <w:r>
              <w:rPr>
                <w:rFonts w:ascii="宋体" w:hAnsi="宋体" w:eastAsia="宋体" w:cs="宋体"/>
                <w:spacing w:val="9"/>
                <w:sz w:val="20"/>
                <w:szCs w:val="20"/>
              </w:rPr>
              <w:t>防止扬尘飞扬，影响市容、景观。回填土石方堆放期间采取覆盖措施</w:t>
            </w:r>
            <w:r>
              <w:rPr>
                <w:rFonts w:ascii="宋体" w:hAnsi="宋体" w:eastAsia="宋体" w:cs="宋体"/>
                <w:spacing w:val="6"/>
                <w:sz w:val="20"/>
                <w:szCs w:val="20"/>
              </w:rPr>
              <w:t>。</w:t>
            </w:r>
          </w:p>
          <w:p>
            <w:pPr>
              <w:spacing w:before="2" w:line="368" w:lineRule="auto"/>
              <w:ind w:left="55" w:right="49" w:firstLine="417"/>
              <w:rPr>
                <w:rFonts w:ascii="宋体" w:hAnsi="宋体" w:eastAsia="宋体" w:cs="宋体"/>
                <w:sz w:val="20"/>
                <w:szCs w:val="20"/>
              </w:rPr>
            </w:pPr>
            <w:r>
              <w:rPr>
                <w:rFonts w:ascii="宋体" w:hAnsi="宋体" w:eastAsia="宋体" w:cs="宋体"/>
                <w:spacing w:val="14"/>
                <w:sz w:val="20"/>
                <w:szCs w:val="20"/>
              </w:rPr>
              <w:t>④</w:t>
            </w:r>
            <w:r>
              <w:rPr>
                <w:rFonts w:ascii="宋体" w:hAnsi="宋体" w:eastAsia="宋体" w:cs="宋体"/>
                <w:spacing w:val="11"/>
                <w:sz w:val="20"/>
                <w:szCs w:val="20"/>
              </w:rPr>
              <w:t>实</w:t>
            </w:r>
            <w:r>
              <w:rPr>
                <w:rFonts w:ascii="宋体" w:hAnsi="宋体" w:eastAsia="宋体" w:cs="宋体"/>
                <w:spacing w:val="7"/>
                <w:sz w:val="20"/>
                <w:szCs w:val="20"/>
              </w:rPr>
              <w:t>施施工区域硬质实体隔离或封闭装置，高度不低于</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m</w:t>
            </w:r>
            <w:r>
              <w:rPr>
                <w:rFonts w:ascii="宋体" w:hAnsi="宋体" w:eastAsia="宋体" w:cs="宋体"/>
                <w:spacing w:val="7"/>
                <w:sz w:val="20"/>
                <w:szCs w:val="20"/>
              </w:rPr>
              <w:t>，并设置安全标识和警示</w:t>
            </w:r>
            <w:r>
              <w:rPr>
                <w:rFonts w:ascii="宋体" w:hAnsi="宋体" w:eastAsia="宋体" w:cs="宋体"/>
                <w:sz w:val="20"/>
                <w:szCs w:val="20"/>
              </w:rPr>
              <w:t xml:space="preserve"> </w:t>
            </w:r>
            <w:r>
              <w:rPr>
                <w:rFonts w:ascii="宋体" w:hAnsi="宋体" w:eastAsia="宋体" w:cs="宋体"/>
                <w:spacing w:val="3"/>
                <w:sz w:val="20"/>
                <w:szCs w:val="20"/>
              </w:rPr>
              <w:t>灯具</w:t>
            </w:r>
            <w:r>
              <w:rPr>
                <w:rFonts w:ascii="宋体" w:hAnsi="宋体" w:eastAsia="宋体" w:cs="宋体"/>
                <w:spacing w:val="2"/>
                <w:sz w:val="20"/>
                <w:szCs w:val="20"/>
              </w:rPr>
              <w:t>。</w:t>
            </w:r>
          </w:p>
          <w:p>
            <w:pPr>
              <w:spacing w:line="229" w:lineRule="auto"/>
              <w:ind w:left="473"/>
              <w:rPr>
                <w:rFonts w:ascii="宋体" w:hAnsi="宋体" w:eastAsia="宋体" w:cs="宋体"/>
                <w:sz w:val="20"/>
                <w:szCs w:val="20"/>
              </w:rPr>
            </w:pPr>
            <w:r>
              <w:rPr>
                <w:rFonts w:ascii="宋体" w:hAnsi="宋体" w:eastAsia="宋体" w:cs="宋体"/>
                <w:spacing w:val="14"/>
                <w:sz w:val="20"/>
                <w:szCs w:val="20"/>
              </w:rPr>
              <w:t>在此基</w:t>
            </w:r>
            <w:r>
              <w:rPr>
                <w:rFonts w:ascii="宋体" w:hAnsi="宋体" w:eastAsia="宋体" w:cs="宋体"/>
                <w:spacing w:val="7"/>
                <w:sz w:val="20"/>
                <w:szCs w:val="20"/>
              </w:rPr>
              <w:t>础上，项目施工不会对周边景观环境造成的影响较小。总之，施工期各要素对</w:t>
            </w:r>
          </w:p>
        </w:tc>
      </w:tr>
    </w:tbl>
    <w:p>
      <w:pPr>
        <w:spacing w:line="138" w:lineRule="exact"/>
        <w:rPr>
          <w:rFonts w:ascii="Arial"/>
          <w:sz w:val="12"/>
        </w:rPr>
      </w:pPr>
    </w:p>
    <w:p>
      <w:pPr>
        <w:sectPr>
          <w:footerReference r:id="rId88" w:type="default"/>
          <w:pgSz w:w="11907" w:h="16840"/>
          <w:pgMar w:top="400" w:right="1476" w:bottom="1477" w:left="1475" w:header="0" w:footer="1317" w:gutter="0"/>
          <w:cols w:space="720" w:num="1"/>
        </w:sectPr>
      </w:pPr>
    </w:p>
    <w:p/>
    <w:p/>
    <w:p/>
    <w:p/>
    <w:p>
      <w:pPr>
        <w:spacing w:line="221" w:lineRule="exact"/>
      </w:pPr>
    </w:p>
    <w:tbl>
      <w:tblPr>
        <w:tblStyle w:val="4"/>
        <w:tblW w:w="894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82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7" w:hRule="atLeast"/>
        </w:trPr>
        <w:tc>
          <w:tcPr>
            <w:tcW w:w="724" w:type="dxa"/>
            <w:tcBorders>
              <w:left w:val="single" w:color="00000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31" w:lineRule="auto"/>
              <w:ind w:left="129"/>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施工</w:t>
            </w:r>
          </w:p>
          <w:p>
            <w:pPr>
              <w:spacing w:before="21" w:line="228" w:lineRule="auto"/>
              <w:ind w:left="133"/>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期生</w:t>
            </w:r>
          </w:p>
          <w:p>
            <w:pPr>
              <w:spacing w:before="25" w:line="230" w:lineRule="auto"/>
              <w:ind w:left="130"/>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态</w:t>
            </w:r>
            <w:r>
              <w:rPr>
                <w:rFonts w:ascii="宋体" w:hAnsi="宋体" w:eastAsia="宋体" w:cs="宋体"/>
                <w:spacing w:val="15"/>
                <w:sz w:val="20"/>
                <w:szCs w:val="20"/>
                <w14:textOutline w14:w="3795" w14:cap="sq" w14:cmpd="sng">
                  <w14:solidFill>
                    <w14:srgbClr w14:val="000000"/>
                  </w14:solidFill>
                  <w14:prstDash w14:val="solid"/>
                  <w14:bevel/>
                </w14:textOutline>
              </w:rPr>
              <w:t>环</w:t>
            </w:r>
          </w:p>
          <w:p>
            <w:pPr>
              <w:spacing w:before="22" w:line="228" w:lineRule="auto"/>
              <w:ind w:left="131"/>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境保</w:t>
            </w:r>
          </w:p>
          <w:p>
            <w:pPr>
              <w:spacing w:before="25" w:line="228" w:lineRule="auto"/>
              <w:ind w:left="131"/>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护措</w:t>
            </w:r>
          </w:p>
          <w:p>
            <w:pPr>
              <w:spacing w:before="25" w:line="231" w:lineRule="auto"/>
              <w:ind w:left="244"/>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施</w:t>
            </w:r>
          </w:p>
        </w:tc>
        <w:tc>
          <w:tcPr>
            <w:tcW w:w="8216" w:type="dxa"/>
            <w:tcBorders>
              <w:right w:val="single" w:color="000000" w:sz="6" w:space="0"/>
            </w:tcBorders>
            <w:vAlign w:val="top"/>
          </w:tcPr>
          <w:p>
            <w:pPr>
              <w:spacing w:before="154" w:line="370" w:lineRule="auto"/>
              <w:ind w:left="54" w:right="21"/>
              <w:rPr>
                <w:rFonts w:ascii="宋体" w:hAnsi="宋体" w:eastAsia="宋体" w:cs="宋体"/>
                <w:sz w:val="20"/>
                <w:szCs w:val="20"/>
              </w:rPr>
            </w:pPr>
            <w:r>
              <w:rPr>
                <w:rFonts w:ascii="宋体" w:hAnsi="宋体" w:eastAsia="宋体" w:cs="宋体"/>
                <w:spacing w:val="16"/>
                <w:sz w:val="20"/>
                <w:szCs w:val="20"/>
              </w:rPr>
              <w:t>环境</w:t>
            </w:r>
            <w:r>
              <w:rPr>
                <w:rFonts w:ascii="宋体" w:hAnsi="宋体" w:eastAsia="宋体" w:cs="宋体"/>
                <w:spacing w:val="9"/>
                <w:sz w:val="20"/>
                <w:szCs w:val="20"/>
              </w:rPr>
              <w:t>的</w:t>
            </w:r>
            <w:r>
              <w:rPr>
                <w:rFonts w:ascii="宋体" w:hAnsi="宋体" w:eastAsia="宋体" w:cs="宋体"/>
                <w:spacing w:val="8"/>
                <w:sz w:val="20"/>
                <w:szCs w:val="20"/>
              </w:rPr>
              <w:t>影响是暂时的、局部的，在采取有效的控制措施，将影响降至最低，施工结束后，</w:t>
            </w:r>
            <w:r>
              <w:rPr>
                <w:rFonts w:ascii="宋体" w:hAnsi="宋体" w:eastAsia="宋体" w:cs="宋体"/>
                <w:sz w:val="20"/>
                <w:szCs w:val="20"/>
              </w:rPr>
              <w:t xml:space="preserve"> </w:t>
            </w:r>
            <w:r>
              <w:rPr>
                <w:rFonts w:ascii="宋体" w:hAnsi="宋体" w:eastAsia="宋体" w:cs="宋体"/>
                <w:spacing w:val="12"/>
                <w:sz w:val="20"/>
                <w:szCs w:val="20"/>
              </w:rPr>
              <w:t>其</w:t>
            </w:r>
            <w:r>
              <w:rPr>
                <w:rFonts w:ascii="宋体" w:hAnsi="宋体" w:eastAsia="宋体" w:cs="宋体"/>
                <w:spacing w:val="7"/>
                <w:sz w:val="20"/>
                <w:szCs w:val="20"/>
              </w:rPr>
              <w:t>影响基本可消除。</w:t>
            </w:r>
          </w:p>
          <w:p>
            <w:pPr>
              <w:spacing w:line="241" w:lineRule="auto"/>
              <w:ind w:left="103"/>
              <w:rPr>
                <w:rFonts w:ascii="黑体" w:hAnsi="黑体" w:eastAsia="黑体" w:cs="黑体"/>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 xml:space="preserve"> </w:t>
            </w:r>
            <w:r>
              <w:rPr>
                <w:rFonts w:ascii="黑体" w:hAnsi="黑体" w:eastAsia="黑体" w:cs="黑体"/>
                <w:spacing w:val="3"/>
                <w:sz w:val="20"/>
                <w:szCs w:val="20"/>
              </w:rPr>
              <w:t>、大气污染防治措施</w:t>
            </w:r>
          </w:p>
          <w:p>
            <w:pPr>
              <w:spacing w:before="138" w:line="369" w:lineRule="auto"/>
              <w:ind w:left="53" w:right="49" w:firstLine="420"/>
              <w:rPr>
                <w:rFonts w:ascii="宋体" w:hAnsi="宋体" w:eastAsia="宋体" w:cs="宋体"/>
                <w:sz w:val="20"/>
                <w:szCs w:val="20"/>
              </w:rPr>
            </w:pPr>
            <w:r>
              <w:rPr>
                <w:rFonts w:ascii="宋体" w:hAnsi="宋体" w:eastAsia="宋体" w:cs="宋体"/>
                <w:spacing w:val="14"/>
                <w:sz w:val="20"/>
                <w:szCs w:val="20"/>
              </w:rPr>
              <w:t>针对施</w:t>
            </w:r>
            <w:r>
              <w:rPr>
                <w:rFonts w:ascii="宋体" w:hAnsi="宋体" w:eastAsia="宋体" w:cs="宋体"/>
                <w:spacing w:val="8"/>
                <w:sz w:val="20"/>
                <w:szCs w:val="20"/>
              </w:rPr>
              <w:t>工</w:t>
            </w:r>
            <w:r>
              <w:rPr>
                <w:rFonts w:ascii="宋体" w:hAnsi="宋体" w:eastAsia="宋体" w:cs="宋体"/>
                <w:spacing w:val="7"/>
                <w:sz w:val="20"/>
                <w:szCs w:val="20"/>
              </w:rPr>
              <w:t>扬尘、沥青烟、焊接烟气等大气污染物，建设单位应严格按照《中华人民共</w:t>
            </w:r>
            <w:r>
              <w:rPr>
                <w:rFonts w:ascii="宋体" w:hAnsi="宋体" w:eastAsia="宋体" w:cs="宋体"/>
                <w:sz w:val="20"/>
                <w:szCs w:val="20"/>
              </w:rPr>
              <w:t xml:space="preserve"> </w:t>
            </w:r>
            <w:r>
              <w:rPr>
                <w:rFonts w:ascii="宋体" w:hAnsi="宋体" w:eastAsia="宋体" w:cs="宋体"/>
                <w:spacing w:val="14"/>
                <w:sz w:val="20"/>
                <w:szCs w:val="20"/>
              </w:rPr>
              <w:t>和国大</w:t>
            </w:r>
            <w:r>
              <w:rPr>
                <w:rFonts w:ascii="宋体" w:hAnsi="宋体" w:eastAsia="宋体" w:cs="宋体"/>
                <w:spacing w:val="13"/>
                <w:sz w:val="20"/>
                <w:szCs w:val="20"/>
              </w:rPr>
              <w:t>气</w:t>
            </w:r>
            <w:r>
              <w:rPr>
                <w:rFonts w:ascii="宋体" w:hAnsi="宋体" w:eastAsia="宋体" w:cs="宋体"/>
                <w:spacing w:val="7"/>
                <w:sz w:val="20"/>
                <w:szCs w:val="20"/>
              </w:rPr>
              <w:t>污染防治法》《四川省大气污染防治行动计划实施细则的通知》《达州市大气污</w:t>
            </w:r>
            <w:r>
              <w:rPr>
                <w:rFonts w:ascii="宋体" w:hAnsi="宋体" w:eastAsia="宋体" w:cs="宋体"/>
                <w:sz w:val="20"/>
                <w:szCs w:val="20"/>
              </w:rPr>
              <w:t xml:space="preserve"> </w:t>
            </w:r>
            <w:r>
              <w:rPr>
                <w:rFonts w:ascii="宋体" w:hAnsi="宋体" w:eastAsia="宋体" w:cs="宋体"/>
                <w:spacing w:val="14"/>
                <w:sz w:val="20"/>
                <w:szCs w:val="20"/>
              </w:rPr>
              <w:t>染防治</w:t>
            </w:r>
            <w:r>
              <w:rPr>
                <w:rFonts w:ascii="宋体" w:hAnsi="宋体" w:eastAsia="宋体" w:cs="宋体"/>
                <w:spacing w:val="12"/>
                <w:sz w:val="20"/>
                <w:szCs w:val="20"/>
              </w:rPr>
              <w:t>行</w:t>
            </w:r>
            <w:r>
              <w:rPr>
                <w:rFonts w:ascii="宋体" w:hAnsi="宋体" w:eastAsia="宋体" w:cs="宋体"/>
                <w:spacing w:val="7"/>
                <w:sz w:val="20"/>
                <w:szCs w:val="20"/>
              </w:rPr>
              <w:t>动计划实施方案》以及《达州市人民政府办公室关于印发达州市重污染天气应急</w:t>
            </w:r>
            <w:r>
              <w:rPr>
                <w:rFonts w:ascii="宋体" w:hAnsi="宋体" w:eastAsia="宋体" w:cs="宋体"/>
                <w:sz w:val="20"/>
                <w:szCs w:val="20"/>
              </w:rPr>
              <w:t xml:space="preserve"> </w:t>
            </w:r>
            <w:r>
              <w:rPr>
                <w:rFonts w:ascii="宋体" w:hAnsi="宋体" w:eastAsia="宋体" w:cs="宋体"/>
                <w:spacing w:val="14"/>
                <w:sz w:val="20"/>
                <w:szCs w:val="20"/>
              </w:rPr>
              <w:t>预案的</w:t>
            </w:r>
            <w:r>
              <w:rPr>
                <w:rFonts w:ascii="宋体" w:hAnsi="宋体" w:eastAsia="宋体" w:cs="宋体"/>
                <w:spacing w:val="13"/>
                <w:sz w:val="20"/>
                <w:szCs w:val="20"/>
              </w:rPr>
              <w:t>通</w:t>
            </w:r>
            <w:r>
              <w:rPr>
                <w:rFonts w:ascii="宋体" w:hAnsi="宋体" w:eastAsia="宋体" w:cs="宋体"/>
                <w:spacing w:val="7"/>
                <w:sz w:val="20"/>
                <w:szCs w:val="20"/>
              </w:rPr>
              <w:t>知》中的相关要求，加强对施工场地管理，文明施工。在施工过程中，如遇到重</w:t>
            </w:r>
            <w:r>
              <w:rPr>
                <w:rFonts w:ascii="宋体" w:hAnsi="宋体" w:eastAsia="宋体" w:cs="宋体"/>
                <w:sz w:val="20"/>
                <w:szCs w:val="20"/>
              </w:rPr>
              <w:t xml:space="preserve"> </w:t>
            </w:r>
            <w:r>
              <w:rPr>
                <w:rFonts w:ascii="宋体" w:hAnsi="宋体" w:eastAsia="宋体" w:cs="宋体"/>
                <w:spacing w:val="14"/>
                <w:sz w:val="20"/>
                <w:szCs w:val="20"/>
              </w:rPr>
              <w:t>度污染</w:t>
            </w:r>
            <w:r>
              <w:rPr>
                <w:rFonts w:ascii="宋体" w:hAnsi="宋体" w:eastAsia="宋体" w:cs="宋体"/>
                <w:spacing w:val="12"/>
                <w:sz w:val="20"/>
                <w:szCs w:val="20"/>
              </w:rPr>
              <w:t>天</w:t>
            </w:r>
            <w:r>
              <w:rPr>
                <w:rFonts w:ascii="宋体" w:hAnsi="宋体" w:eastAsia="宋体" w:cs="宋体"/>
                <w:spacing w:val="7"/>
                <w:sz w:val="20"/>
                <w:szCs w:val="20"/>
              </w:rPr>
              <w:t>气时，应严格按照《达州市人民政府办公室关于印发达州市重污染天气应急预案</w:t>
            </w:r>
            <w:r>
              <w:rPr>
                <w:rFonts w:ascii="宋体" w:hAnsi="宋体" w:eastAsia="宋体" w:cs="宋体"/>
                <w:sz w:val="20"/>
                <w:szCs w:val="20"/>
              </w:rPr>
              <w:t xml:space="preserve"> </w:t>
            </w:r>
            <w:r>
              <w:rPr>
                <w:rFonts w:ascii="宋体" w:hAnsi="宋体" w:eastAsia="宋体" w:cs="宋体"/>
                <w:spacing w:val="18"/>
                <w:sz w:val="20"/>
                <w:szCs w:val="20"/>
              </w:rPr>
              <w:t>的</w:t>
            </w:r>
            <w:r>
              <w:rPr>
                <w:rFonts w:ascii="宋体" w:hAnsi="宋体" w:eastAsia="宋体" w:cs="宋体"/>
                <w:spacing w:val="9"/>
                <w:sz w:val="20"/>
                <w:szCs w:val="20"/>
              </w:rPr>
              <w:t>通知》中划定的等级启动对应的应急措施，减轻对环境的影响。</w:t>
            </w:r>
          </w:p>
          <w:p>
            <w:pPr>
              <w:spacing w:line="229" w:lineRule="auto"/>
              <w:ind w:left="537"/>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8"/>
                <w:sz w:val="20"/>
                <w:szCs w:val="20"/>
              </w:rPr>
              <w:t>1</w:t>
            </w: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宋体" w:hAnsi="宋体" w:eastAsia="宋体" w:cs="宋体"/>
                <w:spacing w:val="18"/>
                <w:sz w:val="20"/>
                <w:szCs w:val="20"/>
              </w:rPr>
              <w:t xml:space="preserve"> </w:t>
            </w:r>
            <w:r>
              <w:rPr>
                <w:rFonts w:ascii="宋体" w:hAnsi="宋体" w:eastAsia="宋体" w:cs="宋体"/>
                <w:spacing w:val="18"/>
                <w:sz w:val="20"/>
                <w:szCs w:val="20"/>
                <w14:textOutline w14:w="3795" w14:cap="sq" w14:cmpd="sng">
                  <w14:solidFill>
                    <w14:srgbClr w14:val="000000"/>
                  </w14:solidFill>
                  <w14:prstDash w14:val="solid"/>
                  <w14:bevel/>
                </w14:textOutline>
              </w:rPr>
              <w:t>施工扬尘</w:t>
            </w:r>
          </w:p>
          <w:p>
            <w:pPr>
              <w:spacing w:before="151" w:line="229" w:lineRule="auto"/>
              <w:ind w:left="527"/>
              <w:rPr>
                <w:rFonts w:ascii="宋体" w:hAnsi="宋体" w:eastAsia="宋体" w:cs="宋体"/>
                <w:sz w:val="20"/>
                <w:szCs w:val="20"/>
              </w:rPr>
            </w:pPr>
            <w:r>
              <w:rPr>
                <w:rFonts w:ascii="宋体" w:hAnsi="宋体" w:eastAsia="宋体" w:cs="宋体"/>
                <w:spacing w:val="18"/>
                <w:sz w:val="20"/>
                <w:szCs w:val="20"/>
              </w:rPr>
              <w:t>针</w:t>
            </w:r>
            <w:r>
              <w:rPr>
                <w:rFonts w:ascii="宋体" w:hAnsi="宋体" w:eastAsia="宋体" w:cs="宋体"/>
                <w:spacing w:val="12"/>
                <w:sz w:val="20"/>
                <w:szCs w:val="20"/>
              </w:rPr>
              <w:t>对</w:t>
            </w:r>
            <w:r>
              <w:rPr>
                <w:rFonts w:ascii="宋体" w:hAnsi="宋体" w:eastAsia="宋体" w:cs="宋体"/>
                <w:spacing w:val="9"/>
                <w:sz w:val="20"/>
                <w:szCs w:val="20"/>
              </w:rPr>
              <w:t>土石方开挖、回填、装卸、运输扬尘，本项目拟采取如下的控制措施：</w:t>
            </w:r>
          </w:p>
          <w:p>
            <w:pPr>
              <w:spacing w:before="153" w:line="369" w:lineRule="auto"/>
              <w:ind w:left="106" w:right="49" w:firstLine="493"/>
              <w:rPr>
                <w:rFonts w:ascii="宋体" w:hAnsi="宋体" w:eastAsia="宋体" w:cs="宋体"/>
                <w:sz w:val="20"/>
                <w:szCs w:val="20"/>
              </w:rPr>
            </w:pPr>
            <w:r>
              <w:rPr>
                <w:rFonts w:ascii="宋体" w:hAnsi="宋体" w:eastAsia="宋体" w:cs="宋体"/>
                <w:spacing w:val="11"/>
                <w:sz w:val="17"/>
                <w:szCs w:val="17"/>
              </w:rPr>
              <w:t xml:space="preserve">1   </w:t>
            </w:r>
            <w:r>
              <w:rPr>
                <w:rFonts w:ascii="宋体" w:hAnsi="宋体" w:eastAsia="宋体" w:cs="宋体"/>
                <w:spacing w:val="11"/>
                <w:sz w:val="20"/>
                <w:szCs w:val="20"/>
              </w:rPr>
              <w:t>建设单位应当将防治扬尘污染的费用列入工程造价，并在施工承包合同中明</w:t>
            </w:r>
            <w:r>
              <w:rPr>
                <w:rFonts w:ascii="宋体" w:hAnsi="宋体" w:eastAsia="宋体" w:cs="宋体"/>
                <w:spacing w:val="9"/>
                <w:sz w:val="20"/>
                <w:szCs w:val="20"/>
              </w:rPr>
              <w:t>确</w:t>
            </w:r>
            <w:r>
              <w:rPr>
                <w:rFonts w:ascii="宋体" w:hAnsi="宋体" w:eastAsia="宋体" w:cs="宋体"/>
                <w:sz w:val="20"/>
                <w:szCs w:val="20"/>
              </w:rPr>
              <w:t xml:space="preserve"> </w:t>
            </w:r>
            <w:r>
              <w:rPr>
                <w:rFonts w:ascii="宋体" w:hAnsi="宋体" w:eastAsia="宋体" w:cs="宋体"/>
                <w:spacing w:val="12"/>
                <w:sz w:val="20"/>
                <w:szCs w:val="20"/>
              </w:rPr>
              <w:t>施工单位扬尘污染防治责任。施工单位应当制定具体的施工扬尘污染防治实施方案，</w:t>
            </w:r>
            <w:r>
              <w:rPr>
                <w:rFonts w:ascii="宋体" w:hAnsi="宋体" w:eastAsia="宋体" w:cs="宋体"/>
                <w:spacing w:val="5"/>
                <w:sz w:val="20"/>
                <w:szCs w:val="20"/>
              </w:rPr>
              <w:t>并</w:t>
            </w:r>
            <w:r>
              <w:rPr>
                <w:rFonts w:ascii="宋体" w:hAnsi="宋体" w:eastAsia="宋体" w:cs="宋体"/>
                <w:sz w:val="20"/>
                <w:szCs w:val="20"/>
              </w:rPr>
              <w:t xml:space="preserve"> </w:t>
            </w:r>
            <w:r>
              <w:rPr>
                <w:rFonts w:ascii="宋体" w:hAnsi="宋体" w:eastAsia="宋体" w:cs="宋体"/>
                <w:spacing w:val="12"/>
                <w:sz w:val="20"/>
                <w:szCs w:val="20"/>
              </w:rPr>
              <w:t>经有关部门批准后实施。施工单位应当在施工工地公示扬尘污染防治措施、负责人、</w:t>
            </w:r>
            <w:r>
              <w:rPr>
                <w:rFonts w:ascii="宋体" w:hAnsi="宋体" w:eastAsia="宋体" w:cs="宋体"/>
                <w:spacing w:val="5"/>
                <w:sz w:val="20"/>
                <w:szCs w:val="20"/>
              </w:rPr>
              <w:t>扬</w:t>
            </w:r>
            <w:r>
              <w:rPr>
                <w:rFonts w:ascii="宋体" w:hAnsi="宋体" w:eastAsia="宋体" w:cs="宋体"/>
                <w:sz w:val="20"/>
                <w:szCs w:val="20"/>
              </w:rPr>
              <w:t xml:space="preserve"> </w:t>
            </w:r>
            <w:r>
              <w:rPr>
                <w:rFonts w:ascii="宋体" w:hAnsi="宋体" w:eastAsia="宋体" w:cs="宋体"/>
                <w:spacing w:val="12"/>
                <w:sz w:val="20"/>
                <w:szCs w:val="20"/>
              </w:rPr>
              <w:t>尘监督管理主管部门等信息。建设工程施工现场建立以项目经理为第一责任人的施工</w:t>
            </w:r>
            <w:r>
              <w:rPr>
                <w:rFonts w:ascii="宋体" w:hAnsi="宋体" w:eastAsia="宋体" w:cs="宋体"/>
                <w:spacing w:val="5"/>
                <w:sz w:val="20"/>
                <w:szCs w:val="20"/>
              </w:rPr>
              <w:t>现</w:t>
            </w:r>
            <w:r>
              <w:rPr>
                <w:rFonts w:ascii="宋体" w:hAnsi="宋体" w:eastAsia="宋体" w:cs="宋体"/>
                <w:sz w:val="20"/>
                <w:szCs w:val="20"/>
              </w:rPr>
              <w:t xml:space="preserve"> </w:t>
            </w:r>
            <w:r>
              <w:rPr>
                <w:rFonts w:ascii="宋体" w:hAnsi="宋体" w:eastAsia="宋体" w:cs="宋体"/>
                <w:spacing w:val="12"/>
                <w:sz w:val="20"/>
                <w:szCs w:val="20"/>
              </w:rPr>
              <w:t>场</w:t>
            </w:r>
            <w:r>
              <w:rPr>
                <w:rFonts w:ascii="宋体" w:hAnsi="宋体" w:eastAsia="宋体" w:cs="宋体"/>
                <w:spacing w:val="9"/>
                <w:sz w:val="20"/>
                <w:szCs w:val="20"/>
              </w:rPr>
              <w:t>环境保护责任制，组织开展创建环保型工地活动。</w:t>
            </w:r>
          </w:p>
          <w:p>
            <w:pPr>
              <w:spacing w:before="4" w:line="363" w:lineRule="auto"/>
              <w:ind w:left="113" w:right="49" w:firstLine="475"/>
              <w:rPr>
                <w:rFonts w:ascii="宋体" w:hAnsi="宋体" w:eastAsia="宋体" w:cs="宋体"/>
                <w:sz w:val="20"/>
                <w:szCs w:val="20"/>
              </w:rPr>
            </w:pPr>
            <w:r>
              <w:rPr>
                <w:rFonts w:ascii="宋体" w:hAnsi="宋体" w:eastAsia="宋体" w:cs="宋体"/>
                <w:spacing w:val="20"/>
                <w:sz w:val="17"/>
                <w:szCs w:val="17"/>
              </w:rPr>
              <w:t>2</w:t>
            </w:r>
            <w:r>
              <w:rPr>
                <w:rFonts w:ascii="宋体" w:hAnsi="宋体" w:eastAsia="宋体" w:cs="宋体"/>
                <w:spacing w:val="11"/>
                <w:sz w:val="17"/>
                <w:szCs w:val="17"/>
              </w:rPr>
              <w:t xml:space="preserve">   </w:t>
            </w:r>
            <w:r>
              <w:rPr>
                <w:rFonts w:ascii="宋体" w:hAnsi="宋体" w:eastAsia="宋体" w:cs="宋体"/>
                <w:spacing w:val="11"/>
                <w:sz w:val="20"/>
                <w:szCs w:val="20"/>
              </w:rPr>
              <w:t>积极推进绿色施工，在施工工地外安装扬尘噪声实时监测仪，施工现场必须做</w:t>
            </w:r>
            <w:r>
              <w:rPr>
                <w:rFonts w:ascii="宋体" w:hAnsi="宋体" w:eastAsia="宋体" w:cs="宋体"/>
                <w:sz w:val="20"/>
                <w:szCs w:val="20"/>
              </w:rPr>
              <w:t xml:space="preserve"> </w:t>
            </w:r>
            <w:r>
              <w:rPr>
                <w:rFonts w:ascii="宋体" w:hAnsi="宋体" w:eastAsia="宋体" w:cs="宋体"/>
                <w:spacing w:val="4"/>
                <w:sz w:val="20"/>
                <w:szCs w:val="20"/>
              </w:rPr>
              <w:t>到</w:t>
            </w:r>
            <w:r>
              <w:rPr>
                <w:rFonts w:ascii="Times New Roman" w:hAnsi="Times New Roman" w:eastAsia="Times New Roman" w:cs="Times New Roman"/>
                <w:spacing w:val="4"/>
                <w:sz w:val="20"/>
                <w:szCs w:val="20"/>
              </w:rPr>
              <w:t>“</w:t>
            </w:r>
            <w:r>
              <w:rPr>
                <w:rFonts w:ascii="宋体" w:hAnsi="宋体" w:eastAsia="宋体" w:cs="宋体"/>
                <w:spacing w:val="4"/>
                <w:sz w:val="20"/>
                <w:szCs w:val="20"/>
              </w:rPr>
              <w:t xml:space="preserve">六个 </w:t>
            </w:r>
            <w:r>
              <w:rPr>
                <w:rFonts w:ascii="Times New Roman" w:hAnsi="Times New Roman" w:eastAsia="Times New Roman" w:cs="Times New Roman"/>
                <w:spacing w:val="4"/>
                <w:sz w:val="20"/>
                <w:szCs w:val="20"/>
              </w:rPr>
              <w:t>100%”(</w:t>
            </w:r>
            <w:r>
              <w:rPr>
                <w:rFonts w:ascii="宋体" w:hAnsi="宋体" w:eastAsia="宋体" w:cs="宋体"/>
                <w:spacing w:val="4"/>
                <w:sz w:val="20"/>
                <w:szCs w:val="20"/>
              </w:rPr>
              <w:t xml:space="preserve">施工现场 </w:t>
            </w:r>
            <w:r>
              <w:rPr>
                <w:rFonts w:ascii="Times New Roman" w:hAnsi="Times New Roman" w:eastAsia="Times New Roman" w:cs="Times New Roman"/>
                <w:spacing w:val="2"/>
                <w:sz w:val="20"/>
                <w:szCs w:val="20"/>
              </w:rPr>
              <w:t>100%</w:t>
            </w:r>
            <w:r>
              <w:rPr>
                <w:rFonts w:ascii="宋体" w:hAnsi="宋体" w:eastAsia="宋体" w:cs="宋体"/>
                <w:spacing w:val="2"/>
                <w:sz w:val="20"/>
                <w:szCs w:val="20"/>
              </w:rPr>
              <w:t xml:space="preserve">围挡，工地裸土 </w:t>
            </w:r>
            <w:r>
              <w:rPr>
                <w:rFonts w:ascii="Times New Roman" w:hAnsi="Times New Roman" w:eastAsia="Times New Roman" w:cs="Times New Roman"/>
                <w:spacing w:val="2"/>
                <w:sz w:val="20"/>
                <w:szCs w:val="20"/>
              </w:rPr>
              <w:t>100%</w:t>
            </w:r>
            <w:r>
              <w:rPr>
                <w:rFonts w:ascii="宋体" w:hAnsi="宋体" w:eastAsia="宋体" w:cs="宋体"/>
                <w:spacing w:val="2"/>
                <w:sz w:val="20"/>
                <w:szCs w:val="20"/>
              </w:rPr>
              <w:t xml:space="preserve">覆盖，工地主要路面 </w:t>
            </w:r>
            <w:r>
              <w:rPr>
                <w:rFonts w:ascii="Times New Roman" w:hAnsi="Times New Roman" w:eastAsia="Times New Roman" w:cs="Times New Roman"/>
                <w:spacing w:val="2"/>
                <w:sz w:val="20"/>
                <w:szCs w:val="20"/>
              </w:rPr>
              <w:t>100%</w:t>
            </w:r>
            <w:r>
              <w:rPr>
                <w:rFonts w:ascii="宋体" w:hAnsi="宋体" w:eastAsia="宋体" w:cs="宋体"/>
                <w:spacing w:val="2"/>
                <w:sz w:val="20"/>
                <w:szCs w:val="20"/>
              </w:rPr>
              <w:t>硬化，拆</w:t>
            </w:r>
            <w:r>
              <w:rPr>
                <w:rFonts w:ascii="宋体" w:hAnsi="宋体" w:eastAsia="宋体" w:cs="宋体"/>
                <w:sz w:val="20"/>
                <w:szCs w:val="20"/>
              </w:rPr>
              <w:t xml:space="preserve"> </w:t>
            </w:r>
            <w:r>
              <w:rPr>
                <w:rFonts w:ascii="宋体" w:hAnsi="宋体" w:eastAsia="宋体" w:cs="宋体"/>
                <w:spacing w:val="12"/>
                <w:sz w:val="20"/>
                <w:szCs w:val="20"/>
              </w:rPr>
              <w:t>除</w:t>
            </w:r>
            <w:r>
              <w:rPr>
                <w:rFonts w:ascii="宋体" w:hAnsi="宋体" w:eastAsia="宋体" w:cs="宋体"/>
                <w:spacing w:val="8"/>
                <w:sz w:val="20"/>
                <w:szCs w:val="20"/>
              </w:rPr>
              <w:t>工</w:t>
            </w:r>
            <w:r>
              <w:rPr>
                <w:rFonts w:ascii="宋体" w:hAnsi="宋体" w:eastAsia="宋体" w:cs="宋体"/>
                <w:spacing w:val="6"/>
                <w:sz w:val="20"/>
                <w:szCs w:val="20"/>
              </w:rPr>
              <w:t xml:space="preserve">程 </w:t>
            </w:r>
            <w:r>
              <w:rPr>
                <w:rFonts w:ascii="Times New Roman" w:hAnsi="Times New Roman" w:eastAsia="Times New Roman" w:cs="Times New Roman"/>
                <w:spacing w:val="6"/>
                <w:sz w:val="20"/>
                <w:szCs w:val="20"/>
              </w:rPr>
              <w:t>100%</w:t>
            </w:r>
            <w:r>
              <w:rPr>
                <w:rFonts w:ascii="宋体" w:hAnsi="宋体" w:eastAsia="宋体" w:cs="宋体"/>
                <w:spacing w:val="6"/>
                <w:sz w:val="20"/>
                <w:szCs w:val="20"/>
              </w:rPr>
              <w:t xml:space="preserve">洒水，出工地运输车辆 </w:t>
            </w:r>
            <w:r>
              <w:rPr>
                <w:rFonts w:ascii="Times New Roman" w:hAnsi="Times New Roman" w:eastAsia="Times New Roman" w:cs="Times New Roman"/>
                <w:spacing w:val="6"/>
                <w:sz w:val="20"/>
                <w:szCs w:val="20"/>
              </w:rPr>
              <w:t>100%</w:t>
            </w:r>
            <w:r>
              <w:rPr>
                <w:rFonts w:ascii="宋体" w:hAnsi="宋体" w:eastAsia="宋体" w:cs="宋体"/>
                <w:spacing w:val="6"/>
                <w:sz w:val="20"/>
                <w:szCs w:val="20"/>
              </w:rPr>
              <w:t>冲净车轮且车身密闭无撒漏，暂不开发的场地</w:t>
            </w:r>
            <w:r>
              <w:rPr>
                <w:rFonts w:ascii="宋体" w:hAnsi="宋体" w:eastAsia="宋体" w:cs="宋体"/>
                <w:sz w:val="20"/>
                <w:szCs w:val="20"/>
              </w:rPr>
              <w:t xml:space="preserve"> </w:t>
            </w:r>
            <w:r>
              <w:rPr>
                <w:rFonts w:ascii="Times New Roman" w:hAnsi="Times New Roman" w:eastAsia="Times New Roman" w:cs="Times New Roman"/>
                <w:spacing w:val="4"/>
                <w:sz w:val="20"/>
                <w:szCs w:val="20"/>
              </w:rPr>
              <w:t>100%</w:t>
            </w:r>
            <w:r>
              <w:rPr>
                <w:rFonts w:ascii="宋体" w:hAnsi="宋体" w:eastAsia="宋体" w:cs="宋体"/>
                <w:spacing w:val="4"/>
                <w:sz w:val="20"/>
                <w:szCs w:val="20"/>
              </w:rPr>
              <w:t>绿化</w:t>
            </w:r>
            <w:r>
              <w:rPr>
                <w:rFonts w:ascii="Times New Roman" w:hAnsi="Times New Roman" w:eastAsia="Times New Roman" w:cs="Times New Roman"/>
                <w:spacing w:val="4"/>
                <w:sz w:val="20"/>
                <w:szCs w:val="20"/>
              </w:rPr>
              <w:t>)</w:t>
            </w:r>
            <w:r>
              <w:rPr>
                <w:rFonts w:ascii="宋体" w:hAnsi="宋体" w:eastAsia="宋体" w:cs="宋体"/>
                <w:spacing w:val="4"/>
                <w:sz w:val="20"/>
                <w:szCs w:val="20"/>
              </w:rPr>
              <w:t>。</w:t>
            </w:r>
          </w:p>
          <w:p>
            <w:pPr>
              <w:spacing w:before="23" w:line="351" w:lineRule="auto"/>
              <w:ind w:left="106" w:right="49" w:firstLine="483"/>
              <w:rPr>
                <w:rFonts w:ascii="宋体" w:hAnsi="宋体" w:eastAsia="宋体" w:cs="宋体"/>
                <w:sz w:val="20"/>
                <w:szCs w:val="20"/>
              </w:rPr>
            </w:pPr>
            <w:r>
              <w:rPr>
                <w:rFonts w:ascii="宋体" w:hAnsi="宋体" w:eastAsia="宋体" w:cs="宋体"/>
                <w:spacing w:val="22"/>
                <w:sz w:val="17"/>
                <w:szCs w:val="17"/>
              </w:rPr>
              <w:t>3</w:t>
            </w:r>
            <w:r>
              <w:rPr>
                <w:rFonts w:ascii="宋体" w:hAnsi="宋体" w:eastAsia="宋体" w:cs="宋体"/>
                <w:spacing w:val="19"/>
                <w:sz w:val="17"/>
                <w:szCs w:val="17"/>
              </w:rPr>
              <w:t xml:space="preserve"> </w:t>
            </w:r>
            <w:r>
              <w:rPr>
                <w:rFonts w:ascii="宋体" w:hAnsi="宋体" w:eastAsia="宋体" w:cs="宋体"/>
                <w:spacing w:val="11"/>
                <w:sz w:val="17"/>
                <w:szCs w:val="17"/>
              </w:rPr>
              <w:t xml:space="preserve">  </w:t>
            </w:r>
            <w:r>
              <w:rPr>
                <w:rFonts w:ascii="宋体" w:hAnsi="宋体" w:eastAsia="宋体" w:cs="宋体"/>
                <w:spacing w:val="11"/>
                <w:sz w:val="20"/>
                <w:szCs w:val="20"/>
              </w:rPr>
              <w:t>项目工地管理中执行施工现场管理</w:t>
            </w:r>
            <w:r>
              <w:rPr>
                <w:rFonts w:ascii="Times New Roman" w:hAnsi="Times New Roman" w:eastAsia="Times New Roman" w:cs="Times New Roman"/>
                <w:spacing w:val="11"/>
                <w:sz w:val="20"/>
                <w:szCs w:val="20"/>
              </w:rPr>
              <w:t>“</w:t>
            </w:r>
            <w:r>
              <w:rPr>
                <w:rFonts w:ascii="宋体" w:hAnsi="宋体" w:eastAsia="宋体" w:cs="宋体"/>
                <w:spacing w:val="11"/>
                <w:sz w:val="20"/>
                <w:szCs w:val="20"/>
              </w:rPr>
              <w:t>六必须”“六不准</w:t>
            </w:r>
            <w:r>
              <w:rPr>
                <w:rFonts w:ascii="Times New Roman" w:hAnsi="Times New Roman" w:eastAsia="Times New Roman" w:cs="Times New Roman"/>
                <w:spacing w:val="11"/>
                <w:sz w:val="20"/>
                <w:szCs w:val="20"/>
              </w:rPr>
              <w:t>”</w:t>
            </w:r>
            <w:r>
              <w:rPr>
                <w:rFonts w:ascii="宋体" w:hAnsi="宋体" w:eastAsia="宋体" w:cs="宋体"/>
                <w:spacing w:val="11"/>
                <w:sz w:val="20"/>
                <w:szCs w:val="20"/>
              </w:rPr>
              <w:t>原则，即：必须湿法作</w:t>
            </w:r>
            <w:r>
              <w:rPr>
                <w:rFonts w:ascii="宋体" w:hAnsi="宋体" w:eastAsia="宋体" w:cs="宋体"/>
                <w:sz w:val="20"/>
                <w:szCs w:val="20"/>
              </w:rPr>
              <w:t xml:space="preserve"> </w:t>
            </w:r>
            <w:r>
              <w:rPr>
                <w:rFonts w:ascii="宋体" w:hAnsi="宋体" w:eastAsia="宋体" w:cs="宋体"/>
                <w:spacing w:val="12"/>
                <w:sz w:val="20"/>
                <w:szCs w:val="20"/>
              </w:rPr>
              <w:t>业、必须打围作业、必须硬化道路、必须设置冲洗设施、必须配齐保洁人员、必须定</w:t>
            </w:r>
            <w:r>
              <w:rPr>
                <w:rFonts w:ascii="宋体" w:hAnsi="宋体" w:eastAsia="宋体" w:cs="宋体"/>
                <w:spacing w:val="5"/>
                <w:sz w:val="20"/>
                <w:szCs w:val="20"/>
              </w:rPr>
              <w:t>时</w:t>
            </w:r>
            <w:r>
              <w:rPr>
                <w:rFonts w:ascii="宋体" w:hAnsi="宋体" w:eastAsia="宋体" w:cs="宋体"/>
                <w:sz w:val="20"/>
                <w:szCs w:val="20"/>
              </w:rPr>
              <w:t xml:space="preserve"> </w:t>
            </w:r>
            <w:r>
              <w:rPr>
                <w:rFonts w:ascii="宋体" w:hAnsi="宋体" w:eastAsia="宋体" w:cs="宋体"/>
                <w:spacing w:val="12"/>
                <w:sz w:val="20"/>
                <w:szCs w:val="20"/>
              </w:rPr>
              <w:t>清扫施工现场；不准车辆带泥出门、不准运渣车辆冒顶装载、不准高空抛洒建渣、不</w:t>
            </w:r>
            <w:r>
              <w:rPr>
                <w:rFonts w:ascii="宋体" w:hAnsi="宋体" w:eastAsia="宋体" w:cs="宋体"/>
                <w:spacing w:val="5"/>
                <w:sz w:val="20"/>
                <w:szCs w:val="20"/>
              </w:rPr>
              <w:t>准</w:t>
            </w:r>
            <w:r>
              <w:rPr>
                <w:rFonts w:ascii="宋体" w:hAnsi="宋体" w:eastAsia="宋体" w:cs="宋体"/>
                <w:sz w:val="20"/>
                <w:szCs w:val="20"/>
              </w:rPr>
              <w:t xml:space="preserve"> </w:t>
            </w:r>
            <w:r>
              <w:rPr>
                <w:rFonts w:ascii="宋体" w:hAnsi="宋体" w:eastAsia="宋体" w:cs="宋体"/>
                <w:spacing w:val="12"/>
                <w:sz w:val="20"/>
                <w:szCs w:val="20"/>
              </w:rPr>
              <w:t>现场搅拌混凝土、不准场地积水、不准现场焚烧废弃物，从而有效遏制建设工地扬尘</w:t>
            </w:r>
            <w:r>
              <w:rPr>
                <w:rFonts w:ascii="宋体" w:hAnsi="宋体" w:eastAsia="宋体" w:cs="宋体"/>
                <w:spacing w:val="5"/>
                <w:sz w:val="20"/>
                <w:szCs w:val="20"/>
              </w:rPr>
              <w:t>污</w:t>
            </w:r>
            <w:r>
              <w:rPr>
                <w:rFonts w:ascii="宋体" w:hAnsi="宋体" w:eastAsia="宋体" w:cs="宋体"/>
                <w:sz w:val="20"/>
                <w:szCs w:val="20"/>
              </w:rPr>
              <w:t xml:space="preserve"> </w:t>
            </w:r>
            <w:r>
              <w:rPr>
                <w:rFonts w:ascii="宋体" w:hAnsi="宋体" w:eastAsia="宋体" w:cs="宋体"/>
                <w:spacing w:val="12"/>
                <w:sz w:val="20"/>
                <w:szCs w:val="20"/>
              </w:rPr>
              <w:t>染。工地周围设置符合标准的围挡，围挡与地面、围挡与围挡之间密封，较好的围挡</w:t>
            </w:r>
            <w:r>
              <w:rPr>
                <w:rFonts w:ascii="宋体" w:hAnsi="宋体" w:eastAsia="宋体" w:cs="宋体"/>
                <w:spacing w:val="5"/>
                <w:sz w:val="20"/>
                <w:szCs w:val="20"/>
              </w:rPr>
              <w:t>可</w:t>
            </w:r>
            <w:r>
              <w:rPr>
                <w:rFonts w:ascii="宋体" w:hAnsi="宋体" w:eastAsia="宋体" w:cs="宋体"/>
                <w:sz w:val="20"/>
                <w:szCs w:val="20"/>
              </w:rPr>
              <w:t xml:space="preserve"> </w:t>
            </w:r>
            <w:r>
              <w:rPr>
                <w:rFonts w:ascii="宋体" w:hAnsi="宋体" w:eastAsia="宋体" w:cs="宋体"/>
                <w:spacing w:val="10"/>
                <w:sz w:val="20"/>
                <w:szCs w:val="20"/>
              </w:rPr>
              <w:t>使</w:t>
            </w:r>
            <w:r>
              <w:rPr>
                <w:rFonts w:ascii="宋体" w:hAnsi="宋体" w:eastAsia="宋体" w:cs="宋体"/>
                <w:spacing w:val="9"/>
                <w:sz w:val="20"/>
                <w:szCs w:val="20"/>
              </w:rPr>
              <w:t>周</w:t>
            </w:r>
            <w:r>
              <w:rPr>
                <w:rFonts w:ascii="宋体" w:hAnsi="宋体" w:eastAsia="宋体" w:cs="宋体"/>
                <w:spacing w:val="5"/>
                <w:sz w:val="20"/>
                <w:szCs w:val="20"/>
              </w:rPr>
              <w:t xml:space="preserve">围地面尘土量比不围挡减少 </w:t>
            </w:r>
            <w:r>
              <w:rPr>
                <w:rFonts w:ascii="Times New Roman" w:hAnsi="Times New Roman" w:eastAsia="Times New Roman" w:cs="Times New Roman"/>
                <w:spacing w:val="5"/>
                <w:sz w:val="20"/>
                <w:szCs w:val="20"/>
              </w:rPr>
              <w:t>80%</w:t>
            </w:r>
            <w:r>
              <w:rPr>
                <w:rFonts w:ascii="宋体" w:hAnsi="宋体" w:eastAsia="宋体" w:cs="宋体"/>
                <w:spacing w:val="5"/>
                <w:sz w:val="20"/>
                <w:szCs w:val="20"/>
              </w:rPr>
              <w:t>。</w:t>
            </w:r>
          </w:p>
          <w:p>
            <w:pPr>
              <w:spacing w:before="120" w:line="369" w:lineRule="auto"/>
              <w:ind w:left="107" w:firstLine="477"/>
              <w:rPr>
                <w:rFonts w:ascii="宋体" w:hAnsi="宋体" w:eastAsia="宋体" w:cs="宋体"/>
                <w:sz w:val="20"/>
                <w:szCs w:val="20"/>
              </w:rPr>
            </w:pPr>
            <w:r>
              <w:rPr>
                <w:rFonts w:ascii="宋体" w:hAnsi="宋体" w:eastAsia="宋体" w:cs="宋体"/>
                <w:spacing w:val="11"/>
                <w:sz w:val="17"/>
                <w:szCs w:val="17"/>
              </w:rPr>
              <w:t xml:space="preserve">4   </w:t>
            </w:r>
            <w:r>
              <w:rPr>
                <w:rFonts w:ascii="宋体" w:hAnsi="宋体" w:eastAsia="宋体" w:cs="宋体"/>
                <w:spacing w:val="11"/>
                <w:sz w:val="20"/>
                <w:szCs w:val="20"/>
              </w:rPr>
              <w:t>施工单位应做好扬尘防护工作，工地不准裸露野蛮施工，对项目场地开挖形</w:t>
            </w:r>
            <w:r>
              <w:rPr>
                <w:rFonts w:ascii="宋体" w:hAnsi="宋体" w:eastAsia="宋体" w:cs="宋体"/>
                <w:spacing w:val="5"/>
                <w:sz w:val="20"/>
                <w:szCs w:val="20"/>
              </w:rPr>
              <w:t>成</w:t>
            </w:r>
            <w:r>
              <w:rPr>
                <w:rFonts w:ascii="宋体" w:hAnsi="宋体" w:eastAsia="宋体" w:cs="宋体"/>
                <w:sz w:val="20"/>
                <w:szCs w:val="20"/>
              </w:rPr>
              <w:t xml:space="preserve"> </w:t>
            </w:r>
            <w:r>
              <w:rPr>
                <w:rFonts w:ascii="宋体" w:hAnsi="宋体" w:eastAsia="宋体" w:cs="宋体"/>
                <w:spacing w:val="22"/>
                <w:sz w:val="20"/>
                <w:szCs w:val="20"/>
              </w:rPr>
              <w:t>的</w:t>
            </w:r>
            <w:r>
              <w:rPr>
                <w:rFonts w:ascii="宋体" w:hAnsi="宋体" w:eastAsia="宋体" w:cs="宋体"/>
                <w:spacing w:val="11"/>
                <w:sz w:val="20"/>
                <w:szCs w:val="20"/>
              </w:rPr>
              <w:t>裸露地表及时用密实的防尘网或塑料布遮盖、湿润等措施，对施工过程中产生的废弃</w:t>
            </w:r>
            <w:r>
              <w:rPr>
                <w:rFonts w:ascii="宋体" w:hAnsi="宋体" w:eastAsia="宋体" w:cs="宋体"/>
                <w:sz w:val="20"/>
                <w:szCs w:val="20"/>
              </w:rPr>
              <w:t xml:space="preserve"> </w:t>
            </w:r>
            <w:r>
              <w:rPr>
                <w:rFonts w:ascii="宋体" w:hAnsi="宋体" w:eastAsia="宋体" w:cs="宋体"/>
                <w:spacing w:val="14"/>
                <w:sz w:val="20"/>
                <w:szCs w:val="20"/>
              </w:rPr>
              <w:t>建</w:t>
            </w:r>
            <w:r>
              <w:rPr>
                <w:rFonts w:ascii="宋体" w:hAnsi="宋体" w:eastAsia="宋体" w:cs="宋体"/>
                <w:spacing w:val="8"/>
                <w:sz w:val="20"/>
                <w:szCs w:val="20"/>
              </w:rPr>
              <w:t>筑</w:t>
            </w:r>
            <w:r>
              <w:rPr>
                <w:rFonts w:ascii="宋体" w:hAnsi="宋体" w:eastAsia="宋体" w:cs="宋体"/>
                <w:spacing w:val="7"/>
                <w:sz w:val="20"/>
                <w:szCs w:val="20"/>
              </w:rPr>
              <w:t xml:space="preserve">垃圾，要及时清运，按规定妥善处置，以免产生二次扬尘污染。在风速大于 </w:t>
            </w:r>
            <w:r>
              <w:rPr>
                <w:rFonts w:ascii="Times New Roman" w:hAnsi="Times New Roman" w:eastAsia="Times New Roman" w:cs="Times New Roman"/>
                <w:spacing w:val="7"/>
                <w:sz w:val="20"/>
                <w:szCs w:val="20"/>
              </w:rPr>
              <w:t>3</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s</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时</w:t>
            </w:r>
            <w:r>
              <w:rPr>
                <w:rFonts w:ascii="宋体" w:hAnsi="宋体" w:eastAsia="宋体" w:cs="宋体"/>
                <w:sz w:val="20"/>
                <w:szCs w:val="20"/>
              </w:rPr>
              <w:t xml:space="preserve"> </w:t>
            </w:r>
            <w:r>
              <w:rPr>
                <w:rFonts w:ascii="宋体" w:hAnsi="宋体" w:eastAsia="宋体" w:cs="宋体"/>
                <w:spacing w:val="22"/>
                <w:sz w:val="20"/>
                <w:szCs w:val="20"/>
              </w:rPr>
              <w:t>应</w:t>
            </w:r>
            <w:r>
              <w:rPr>
                <w:rFonts w:ascii="宋体" w:hAnsi="宋体" w:eastAsia="宋体" w:cs="宋体"/>
                <w:spacing w:val="11"/>
                <w:sz w:val="20"/>
                <w:szCs w:val="20"/>
              </w:rPr>
              <w:t>停止挖、填土方作业。施工中在挖、装、卸、填、压等环节采用湿法作业，对施工场</w:t>
            </w:r>
            <w:r>
              <w:rPr>
                <w:rFonts w:ascii="宋体" w:hAnsi="宋体" w:eastAsia="宋体" w:cs="宋体"/>
                <w:sz w:val="20"/>
                <w:szCs w:val="20"/>
              </w:rPr>
              <w:t xml:space="preserve"> </w:t>
            </w:r>
            <w:r>
              <w:rPr>
                <w:rFonts w:ascii="宋体" w:hAnsi="宋体" w:eastAsia="宋体" w:cs="宋体"/>
                <w:spacing w:val="20"/>
                <w:sz w:val="20"/>
                <w:szCs w:val="20"/>
              </w:rPr>
              <w:t>地</w:t>
            </w:r>
            <w:r>
              <w:rPr>
                <w:rFonts w:ascii="宋体" w:hAnsi="宋体" w:eastAsia="宋体" w:cs="宋体"/>
                <w:spacing w:val="11"/>
                <w:sz w:val="20"/>
                <w:szCs w:val="20"/>
              </w:rPr>
              <w:t>进行围挡，应严格采取湿法抑尘措施以降低扬尘对周围居民的影响。开挖产生的废弃</w:t>
            </w:r>
            <w:r>
              <w:rPr>
                <w:rFonts w:ascii="宋体" w:hAnsi="宋体" w:eastAsia="宋体" w:cs="宋体"/>
                <w:sz w:val="20"/>
                <w:szCs w:val="20"/>
              </w:rPr>
              <w:t xml:space="preserve"> </w:t>
            </w:r>
            <w:r>
              <w:rPr>
                <w:rFonts w:ascii="宋体" w:hAnsi="宋体" w:eastAsia="宋体" w:cs="宋体"/>
                <w:spacing w:val="14"/>
                <w:sz w:val="20"/>
                <w:szCs w:val="20"/>
              </w:rPr>
              <w:t>土石方</w:t>
            </w:r>
            <w:r>
              <w:rPr>
                <w:rFonts w:ascii="宋体" w:hAnsi="宋体" w:eastAsia="宋体" w:cs="宋体"/>
                <w:spacing w:val="11"/>
                <w:sz w:val="20"/>
                <w:szCs w:val="20"/>
              </w:rPr>
              <w:t>设</w:t>
            </w:r>
            <w:r>
              <w:rPr>
                <w:rFonts w:ascii="宋体" w:hAnsi="宋体" w:eastAsia="宋体" w:cs="宋体"/>
                <w:spacing w:val="7"/>
                <w:sz w:val="20"/>
                <w:szCs w:val="20"/>
              </w:rPr>
              <w:t>置专门的临时堆场堆放，禁止在大风天进行渣土堆放作业；堆放期间采取覆盖、</w:t>
            </w:r>
            <w:r>
              <w:rPr>
                <w:rFonts w:ascii="宋体" w:hAnsi="宋体" w:eastAsia="宋体" w:cs="宋体"/>
                <w:sz w:val="20"/>
                <w:szCs w:val="20"/>
              </w:rPr>
              <w:t xml:space="preserve"> </w:t>
            </w:r>
            <w:r>
              <w:rPr>
                <w:rFonts w:ascii="宋体" w:hAnsi="宋体" w:eastAsia="宋体" w:cs="宋体"/>
                <w:spacing w:val="13"/>
                <w:sz w:val="20"/>
                <w:szCs w:val="20"/>
              </w:rPr>
              <w:t>喷</w:t>
            </w:r>
            <w:r>
              <w:rPr>
                <w:rFonts w:ascii="宋体" w:hAnsi="宋体" w:eastAsia="宋体" w:cs="宋体"/>
                <w:spacing w:val="8"/>
                <w:sz w:val="20"/>
                <w:szCs w:val="20"/>
              </w:rPr>
              <w:t>雾洒水等措施防尘；及时回填利用。</w:t>
            </w:r>
          </w:p>
          <w:p>
            <w:pPr>
              <w:spacing w:line="228" w:lineRule="auto"/>
              <w:ind w:left="590"/>
              <w:rPr>
                <w:rFonts w:ascii="宋体" w:hAnsi="宋体" w:eastAsia="宋体" w:cs="宋体"/>
                <w:sz w:val="20"/>
                <w:szCs w:val="20"/>
              </w:rPr>
            </w:pPr>
            <w:r>
              <w:rPr>
                <w:rFonts w:ascii="宋体" w:hAnsi="宋体" w:eastAsia="宋体" w:cs="宋体"/>
                <w:spacing w:val="19"/>
                <w:sz w:val="17"/>
                <w:szCs w:val="17"/>
              </w:rPr>
              <w:t>5</w:t>
            </w:r>
            <w:r>
              <w:rPr>
                <w:rFonts w:ascii="宋体" w:hAnsi="宋体" w:eastAsia="宋体" w:cs="宋体"/>
                <w:spacing w:val="11"/>
                <w:sz w:val="17"/>
                <w:szCs w:val="17"/>
              </w:rPr>
              <w:t xml:space="preserve">   </w:t>
            </w:r>
            <w:r>
              <w:rPr>
                <w:rFonts w:ascii="宋体" w:hAnsi="宋体" w:eastAsia="宋体" w:cs="宋体"/>
                <w:spacing w:val="11"/>
                <w:sz w:val="20"/>
                <w:szCs w:val="20"/>
              </w:rPr>
              <w:t>在装卸过程中，作业场地将采取围挡、围护以减少扬尘扩散，围挡、围护对减</w:t>
            </w:r>
          </w:p>
        </w:tc>
      </w:tr>
    </w:tbl>
    <w:p>
      <w:pPr>
        <w:spacing w:line="138" w:lineRule="exact"/>
        <w:rPr>
          <w:rFonts w:ascii="Arial"/>
          <w:sz w:val="12"/>
        </w:rPr>
      </w:pPr>
    </w:p>
    <w:p>
      <w:pPr>
        <w:sectPr>
          <w:footerReference r:id="rId89" w:type="default"/>
          <w:pgSz w:w="11907" w:h="16840"/>
          <w:pgMar w:top="400" w:right="1476" w:bottom="1477" w:left="1475" w:header="0" w:footer="1317" w:gutter="0"/>
          <w:cols w:space="720" w:num="1"/>
        </w:sectPr>
      </w:pPr>
    </w:p>
    <w:p/>
    <w:p/>
    <w:p/>
    <w:p/>
    <w:p>
      <w:pPr>
        <w:spacing w:line="221" w:lineRule="exact"/>
      </w:pPr>
    </w:p>
    <w:tbl>
      <w:tblPr>
        <w:tblStyle w:val="4"/>
        <w:tblW w:w="894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82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584" w:hRule="atLeast"/>
        </w:trPr>
        <w:tc>
          <w:tcPr>
            <w:tcW w:w="724" w:type="dxa"/>
            <w:tcBorders>
              <w:left w:val="single" w:color="00000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31" w:lineRule="auto"/>
              <w:ind w:left="129"/>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施工</w:t>
            </w:r>
          </w:p>
          <w:p>
            <w:pPr>
              <w:spacing w:before="21" w:line="228" w:lineRule="auto"/>
              <w:ind w:left="133"/>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期生</w:t>
            </w:r>
          </w:p>
          <w:p>
            <w:pPr>
              <w:spacing w:before="25" w:line="230" w:lineRule="auto"/>
              <w:ind w:left="130"/>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态</w:t>
            </w:r>
            <w:r>
              <w:rPr>
                <w:rFonts w:ascii="宋体" w:hAnsi="宋体" w:eastAsia="宋体" w:cs="宋体"/>
                <w:spacing w:val="15"/>
                <w:sz w:val="20"/>
                <w:szCs w:val="20"/>
                <w14:textOutline w14:w="3795" w14:cap="sq" w14:cmpd="sng">
                  <w14:solidFill>
                    <w14:srgbClr w14:val="000000"/>
                  </w14:solidFill>
                  <w14:prstDash w14:val="solid"/>
                  <w14:bevel/>
                </w14:textOutline>
              </w:rPr>
              <w:t>环</w:t>
            </w:r>
          </w:p>
          <w:p>
            <w:pPr>
              <w:spacing w:before="22" w:line="228" w:lineRule="auto"/>
              <w:ind w:left="131"/>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境保</w:t>
            </w:r>
          </w:p>
          <w:p>
            <w:pPr>
              <w:spacing w:before="25" w:line="228" w:lineRule="auto"/>
              <w:ind w:left="131"/>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护措</w:t>
            </w:r>
          </w:p>
          <w:p>
            <w:pPr>
              <w:spacing w:before="25" w:line="231" w:lineRule="auto"/>
              <w:ind w:left="244"/>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施</w:t>
            </w:r>
          </w:p>
        </w:tc>
        <w:tc>
          <w:tcPr>
            <w:tcW w:w="8216" w:type="dxa"/>
            <w:tcBorders>
              <w:right w:val="single" w:color="000000" w:sz="6" w:space="0"/>
            </w:tcBorders>
            <w:vAlign w:val="top"/>
          </w:tcPr>
          <w:p>
            <w:pPr>
              <w:spacing w:before="115" w:line="382" w:lineRule="auto"/>
              <w:ind w:left="106" w:right="49" w:firstLine="1"/>
              <w:rPr>
                <w:rFonts w:ascii="宋体" w:hAnsi="宋体" w:eastAsia="宋体" w:cs="宋体"/>
                <w:sz w:val="20"/>
                <w:szCs w:val="20"/>
              </w:rPr>
            </w:pPr>
            <w:r>
              <w:rPr>
                <w:rFonts w:ascii="宋体" w:hAnsi="宋体" w:eastAsia="宋体" w:cs="宋体"/>
                <w:spacing w:val="10"/>
                <w:sz w:val="20"/>
                <w:szCs w:val="20"/>
              </w:rPr>
              <w:t>少扬尘对</w:t>
            </w:r>
            <w:r>
              <w:rPr>
                <w:rFonts w:ascii="宋体" w:hAnsi="宋体" w:eastAsia="宋体" w:cs="宋体"/>
                <w:spacing w:val="7"/>
                <w:sz w:val="20"/>
                <w:szCs w:val="20"/>
              </w:rPr>
              <w:t>环</w:t>
            </w:r>
            <w:r>
              <w:rPr>
                <w:rFonts w:ascii="宋体" w:hAnsi="宋体" w:eastAsia="宋体" w:cs="宋体"/>
                <w:spacing w:val="5"/>
                <w:sz w:val="20"/>
                <w:szCs w:val="20"/>
              </w:rPr>
              <w:t xml:space="preserve">境的污染有明显作用，当风速为 </w:t>
            </w:r>
            <w:r>
              <w:rPr>
                <w:rFonts w:ascii="Times New Roman" w:hAnsi="Times New Roman" w:eastAsia="Times New Roman" w:cs="Times New Roman"/>
                <w:spacing w:val="5"/>
                <w:sz w:val="20"/>
                <w:szCs w:val="20"/>
              </w:rPr>
              <w:t>2.8</w:t>
            </w:r>
            <w:r>
              <w:rPr>
                <w:rFonts w:ascii="Times New Roman" w:hAnsi="Times New Roman" w:eastAsia="Times New Roman" w:cs="Times New Roman"/>
                <w:sz w:val="20"/>
                <w:szCs w:val="20"/>
              </w:rPr>
              <w:t>m</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s</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时可使影响距离缩短 </w:t>
            </w:r>
            <w:r>
              <w:rPr>
                <w:rFonts w:ascii="Times New Roman" w:hAnsi="Times New Roman" w:eastAsia="Times New Roman" w:cs="Times New Roman"/>
                <w:spacing w:val="5"/>
                <w:sz w:val="20"/>
                <w:szCs w:val="20"/>
              </w:rPr>
              <w:t xml:space="preserve">40% </w:t>
            </w:r>
            <w:r>
              <w:rPr>
                <w:rFonts w:ascii="宋体" w:hAnsi="宋体" w:eastAsia="宋体" w:cs="宋体"/>
                <w:spacing w:val="5"/>
                <w:sz w:val="20"/>
                <w:szCs w:val="20"/>
              </w:rPr>
              <w:t>。在施工现</w:t>
            </w:r>
            <w:r>
              <w:rPr>
                <w:rFonts w:ascii="宋体" w:hAnsi="宋体" w:eastAsia="宋体" w:cs="宋体"/>
                <w:sz w:val="20"/>
                <w:szCs w:val="20"/>
              </w:rPr>
              <w:t xml:space="preserve"> </w:t>
            </w:r>
            <w:r>
              <w:rPr>
                <w:rFonts w:ascii="宋体" w:hAnsi="宋体" w:eastAsia="宋体" w:cs="宋体"/>
                <w:spacing w:val="12"/>
                <w:sz w:val="20"/>
                <w:szCs w:val="20"/>
              </w:rPr>
              <w:t>场周围</w:t>
            </w:r>
            <w:r>
              <w:rPr>
                <w:rFonts w:ascii="宋体" w:hAnsi="宋体" w:eastAsia="宋体" w:cs="宋体"/>
                <w:spacing w:val="8"/>
                <w:sz w:val="20"/>
                <w:szCs w:val="20"/>
              </w:rPr>
              <w:t>，</w:t>
            </w:r>
            <w:r>
              <w:rPr>
                <w:rFonts w:ascii="宋体" w:hAnsi="宋体" w:eastAsia="宋体" w:cs="宋体"/>
                <w:spacing w:val="6"/>
                <w:sz w:val="20"/>
                <w:szCs w:val="20"/>
              </w:rPr>
              <w:t xml:space="preserve">连续设置不低于 </w:t>
            </w:r>
            <w:r>
              <w:rPr>
                <w:rFonts w:ascii="Times New Roman" w:hAnsi="Times New Roman" w:eastAsia="Times New Roman" w:cs="Times New Roman"/>
                <w:spacing w:val="6"/>
                <w:sz w:val="20"/>
                <w:szCs w:val="20"/>
              </w:rPr>
              <w:t>2.5</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高的围挡，并做到坚固美观。</w:t>
            </w:r>
          </w:p>
          <w:p>
            <w:pPr>
              <w:spacing w:before="12" w:line="369" w:lineRule="auto"/>
              <w:ind w:left="111" w:right="49" w:firstLine="476"/>
              <w:rPr>
                <w:rFonts w:ascii="宋体" w:hAnsi="宋体" w:eastAsia="宋体" w:cs="宋体"/>
                <w:sz w:val="20"/>
                <w:szCs w:val="20"/>
              </w:rPr>
            </w:pPr>
            <w:r>
              <w:rPr>
                <w:rFonts w:ascii="宋体" w:hAnsi="宋体" w:eastAsia="宋体" w:cs="宋体"/>
                <w:spacing w:val="21"/>
                <w:sz w:val="17"/>
                <w:szCs w:val="17"/>
              </w:rPr>
              <w:t>6</w:t>
            </w:r>
            <w:r>
              <w:rPr>
                <w:rFonts w:ascii="宋体" w:hAnsi="宋体" w:eastAsia="宋体" w:cs="宋体"/>
                <w:spacing w:val="11"/>
                <w:sz w:val="17"/>
                <w:szCs w:val="17"/>
              </w:rPr>
              <w:t xml:space="preserve">   </w:t>
            </w:r>
            <w:r>
              <w:rPr>
                <w:rFonts w:ascii="宋体" w:hAnsi="宋体" w:eastAsia="宋体" w:cs="宋体"/>
                <w:spacing w:val="11"/>
                <w:sz w:val="20"/>
                <w:szCs w:val="20"/>
              </w:rPr>
              <w:t>应合理安排装卸作业时间，尽量避免在大风等恶劣天气进行，如需在大风时装</w:t>
            </w:r>
            <w:r>
              <w:rPr>
                <w:rFonts w:ascii="宋体" w:hAnsi="宋体" w:eastAsia="宋体" w:cs="宋体"/>
                <w:sz w:val="20"/>
                <w:szCs w:val="20"/>
              </w:rPr>
              <w:t xml:space="preserve"> </w:t>
            </w:r>
            <w:r>
              <w:rPr>
                <w:rFonts w:ascii="宋体" w:hAnsi="宋体" w:eastAsia="宋体" w:cs="宋体"/>
                <w:spacing w:val="8"/>
                <w:sz w:val="20"/>
                <w:szCs w:val="20"/>
              </w:rPr>
              <w:t>卸料，必</w:t>
            </w:r>
            <w:r>
              <w:rPr>
                <w:rFonts w:ascii="宋体" w:hAnsi="宋体" w:eastAsia="宋体" w:cs="宋体"/>
                <w:spacing w:val="4"/>
                <w:sz w:val="20"/>
                <w:szCs w:val="20"/>
              </w:rPr>
              <w:t>须加强洒水降尘， 以有效抑制粉尘的排放量。</w:t>
            </w:r>
          </w:p>
          <w:p>
            <w:pPr>
              <w:spacing w:before="1" w:line="368" w:lineRule="auto"/>
              <w:ind w:left="109" w:right="49" w:firstLine="481"/>
              <w:rPr>
                <w:rFonts w:ascii="宋体" w:hAnsi="宋体" w:eastAsia="宋体" w:cs="宋体"/>
                <w:sz w:val="20"/>
                <w:szCs w:val="20"/>
              </w:rPr>
            </w:pPr>
            <w:r>
              <w:rPr>
                <w:rFonts w:ascii="宋体" w:hAnsi="宋体" w:eastAsia="宋体" w:cs="宋体"/>
                <w:spacing w:val="18"/>
                <w:sz w:val="17"/>
                <w:szCs w:val="17"/>
              </w:rPr>
              <w:t>7</w:t>
            </w:r>
            <w:r>
              <w:rPr>
                <w:rFonts w:ascii="宋体" w:hAnsi="宋体" w:eastAsia="宋体" w:cs="宋体"/>
                <w:spacing w:val="11"/>
                <w:sz w:val="17"/>
                <w:szCs w:val="17"/>
              </w:rPr>
              <w:t xml:space="preserve">   </w:t>
            </w:r>
            <w:r>
              <w:rPr>
                <w:rFonts w:ascii="宋体" w:hAnsi="宋体" w:eastAsia="宋体" w:cs="宋体"/>
                <w:spacing w:val="11"/>
                <w:sz w:val="20"/>
                <w:szCs w:val="20"/>
              </w:rPr>
              <w:t>不在项目施工现场设立搅拌站，全部使用商品混凝土。不设置预制场地，钢箱</w:t>
            </w:r>
            <w:r>
              <w:rPr>
                <w:rFonts w:ascii="宋体" w:hAnsi="宋体" w:eastAsia="宋体" w:cs="宋体"/>
                <w:sz w:val="20"/>
                <w:szCs w:val="20"/>
              </w:rPr>
              <w:t xml:space="preserve"> </w:t>
            </w:r>
            <w:r>
              <w:rPr>
                <w:rFonts w:ascii="宋体" w:hAnsi="宋体" w:eastAsia="宋体" w:cs="宋体"/>
                <w:spacing w:val="16"/>
                <w:sz w:val="20"/>
                <w:szCs w:val="20"/>
              </w:rPr>
              <w:t>主</w:t>
            </w:r>
            <w:r>
              <w:rPr>
                <w:rFonts w:ascii="宋体" w:hAnsi="宋体" w:eastAsia="宋体" w:cs="宋体"/>
                <w:spacing w:val="11"/>
                <w:sz w:val="20"/>
                <w:szCs w:val="20"/>
              </w:rPr>
              <w:t>体</w:t>
            </w:r>
            <w:r>
              <w:rPr>
                <w:rFonts w:ascii="宋体" w:hAnsi="宋体" w:eastAsia="宋体" w:cs="宋体"/>
                <w:spacing w:val="8"/>
                <w:sz w:val="20"/>
                <w:szCs w:val="20"/>
              </w:rPr>
              <w:t>结构在附近工厂预制，现场吊装。</w:t>
            </w:r>
          </w:p>
          <w:p>
            <w:pPr>
              <w:spacing w:before="1" w:line="369" w:lineRule="auto"/>
              <w:ind w:left="107" w:right="49" w:firstLine="479"/>
              <w:rPr>
                <w:rFonts w:ascii="宋体" w:hAnsi="宋体" w:eastAsia="宋体" w:cs="宋体"/>
                <w:sz w:val="20"/>
                <w:szCs w:val="20"/>
              </w:rPr>
            </w:pPr>
            <w:r>
              <w:rPr>
                <w:rFonts w:ascii="宋体" w:hAnsi="宋体" w:eastAsia="宋体" w:cs="宋体"/>
                <w:spacing w:val="21"/>
                <w:sz w:val="17"/>
                <w:szCs w:val="17"/>
              </w:rPr>
              <w:t>8</w:t>
            </w:r>
            <w:r>
              <w:rPr>
                <w:rFonts w:ascii="宋体" w:hAnsi="宋体" w:eastAsia="宋体" w:cs="宋体"/>
                <w:spacing w:val="11"/>
                <w:sz w:val="17"/>
                <w:szCs w:val="17"/>
              </w:rPr>
              <w:t xml:space="preserve">   </w:t>
            </w:r>
            <w:r>
              <w:rPr>
                <w:rFonts w:ascii="宋体" w:hAnsi="宋体" w:eastAsia="宋体" w:cs="宋体"/>
                <w:spacing w:val="11"/>
                <w:sz w:val="20"/>
                <w:szCs w:val="20"/>
              </w:rPr>
              <w:t>尽量提高装车效率以缩短每天的装车时间，并在装车时降低料斗高度，减小卸</w:t>
            </w:r>
            <w:r>
              <w:rPr>
                <w:rFonts w:ascii="宋体" w:hAnsi="宋体" w:eastAsia="宋体" w:cs="宋体"/>
                <w:sz w:val="20"/>
                <w:szCs w:val="20"/>
              </w:rPr>
              <w:t xml:space="preserve"> </w:t>
            </w:r>
            <w:r>
              <w:rPr>
                <w:rFonts w:ascii="宋体" w:hAnsi="宋体" w:eastAsia="宋体" w:cs="宋体"/>
                <w:spacing w:val="22"/>
                <w:sz w:val="20"/>
                <w:szCs w:val="20"/>
              </w:rPr>
              <w:t>料落</w:t>
            </w:r>
            <w:r>
              <w:rPr>
                <w:rFonts w:ascii="宋体" w:hAnsi="宋体" w:eastAsia="宋体" w:cs="宋体"/>
                <w:spacing w:val="17"/>
                <w:sz w:val="20"/>
                <w:szCs w:val="20"/>
              </w:rPr>
              <w:t>差</w:t>
            </w:r>
            <w:r>
              <w:rPr>
                <w:rFonts w:ascii="宋体" w:hAnsi="宋体" w:eastAsia="宋体" w:cs="宋体"/>
                <w:spacing w:val="11"/>
                <w:sz w:val="20"/>
                <w:szCs w:val="20"/>
              </w:rPr>
              <w:t>，可减少粉尘的产生；运输建筑材料、弃方及建筑垃圾的车辆加盖篷布，严禁冒</w:t>
            </w:r>
            <w:r>
              <w:rPr>
                <w:rFonts w:ascii="宋体" w:hAnsi="宋体" w:eastAsia="宋体" w:cs="宋体"/>
                <w:sz w:val="20"/>
                <w:szCs w:val="20"/>
              </w:rPr>
              <w:t xml:space="preserve"> </w:t>
            </w:r>
            <w:r>
              <w:rPr>
                <w:rFonts w:ascii="宋体" w:hAnsi="宋体" w:eastAsia="宋体" w:cs="宋体"/>
                <w:spacing w:val="12"/>
                <w:sz w:val="20"/>
                <w:szCs w:val="20"/>
              </w:rPr>
              <w:t>载以减少洒落。经过的未硬化路面均需洒水抑尘，车辆离开土路段进入硬化路面前应</w:t>
            </w:r>
            <w:r>
              <w:rPr>
                <w:rFonts w:ascii="宋体" w:hAnsi="宋体" w:eastAsia="宋体" w:cs="宋体"/>
                <w:spacing w:val="4"/>
                <w:sz w:val="20"/>
                <w:szCs w:val="20"/>
              </w:rPr>
              <w:t>用</w:t>
            </w:r>
            <w:r>
              <w:rPr>
                <w:rFonts w:ascii="宋体" w:hAnsi="宋体" w:eastAsia="宋体" w:cs="宋体"/>
                <w:sz w:val="20"/>
                <w:szCs w:val="20"/>
              </w:rPr>
              <w:t xml:space="preserve"> </w:t>
            </w:r>
            <w:r>
              <w:rPr>
                <w:rFonts w:ascii="宋体" w:hAnsi="宋体" w:eastAsia="宋体" w:cs="宋体"/>
                <w:spacing w:val="13"/>
                <w:sz w:val="20"/>
                <w:szCs w:val="20"/>
              </w:rPr>
              <w:t>水</w:t>
            </w:r>
            <w:r>
              <w:rPr>
                <w:rFonts w:ascii="宋体" w:hAnsi="宋体" w:eastAsia="宋体" w:cs="宋体"/>
                <w:spacing w:val="7"/>
                <w:sz w:val="20"/>
                <w:szCs w:val="20"/>
              </w:rPr>
              <w:t>将轮胎冲洗干净。</w:t>
            </w:r>
          </w:p>
          <w:p>
            <w:pPr>
              <w:spacing w:before="2" w:line="332" w:lineRule="auto"/>
              <w:ind w:left="58" w:right="49" w:firstLine="432"/>
              <w:rPr>
                <w:rFonts w:ascii="宋体" w:hAnsi="宋体" w:eastAsia="宋体" w:cs="宋体"/>
                <w:sz w:val="20"/>
                <w:szCs w:val="20"/>
              </w:rPr>
            </w:pPr>
            <w:r>
              <w:rPr>
                <w:rFonts w:ascii="宋体" w:hAnsi="宋体" w:eastAsia="宋体" w:cs="宋体"/>
                <w:spacing w:val="13"/>
                <w:sz w:val="20"/>
                <w:szCs w:val="20"/>
              </w:rPr>
              <w:t>因</w:t>
            </w:r>
            <w:r>
              <w:rPr>
                <w:rFonts w:ascii="宋体" w:hAnsi="宋体" w:eastAsia="宋体" w:cs="宋体"/>
                <w:spacing w:val="7"/>
                <w:sz w:val="20"/>
                <w:szCs w:val="20"/>
              </w:rPr>
              <w:t>此在施工场地应采取适当的防护措施，对建筑材料等用毡布进行遮盖，减少材料裸</w:t>
            </w:r>
            <w:r>
              <w:rPr>
                <w:rFonts w:ascii="宋体" w:hAnsi="宋体" w:eastAsia="宋体" w:cs="宋体"/>
                <w:sz w:val="20"/>
                <w:szCs w:val="20"/>
              </w:rPr>
              <w:t xml:space="preserve"> </w:t>
            </w:r>
            <w:r>
              <w:rPr>
                <w:rFonts w:ascii="宋体" w:hAnsi="宋体" w:eastAsia="宋体" w:cs="宋体"/>
                <w:spacing w:val="14"/>
                <w:sz w:val="20"/>
                <w:szCs w:val="20"/>
              </w:rPr>
              <w:t>露的时</w:t>
            </w:r>
            <w:r>
              <w:rPr>
                <w:rFonts w:ascii="宋体" w:hAnsi="宋体" w:eastAsia="宋体" w:cs="宋体"/>
                <w:spacing w:val="10"/>
                <w:sz w:val="20"/>
                <w:szCs w:val="20"/>
              </w:rPr>
              <w:t>间</w:t>
            </w:r>
            <w:r>
              <w:rPr>
                <w:rFonts w:ascii="宋体" w:hAnsi="宋体" w:eastAsia="宋体" w:cs="宋体"/>
                <w:spacing w:val="7"/>
                <w:sz w:val="20"/>
                <w:szCs w:val="20"/>
              </w:rPr>
              <w:t>以减小扬尘对居民的影响。如果在施工期间对车辆行驶的路面实施洒水抑尘，每</w:t>
            </w:r>
            <w:r>
              <w:rPr>
                <w:rFonts w:ascii="宋体" w:hAnsi="宋体" w:eastAsia="宋体" w:cs="宋体"/>
                <w:sz w:val="20"/>
                <w:szCs w:val="20"/>
              </w:rPr>
              <w:t xml:space="preserve"> </w:t>
            </w:r>
            <w:r>
              <w:rPr>
                <w:rFonts w:ascii="宋体" w:hAnsi="宋体" w:eastAsia="宋体" w:cs="宋体"/>
                <w:spacing w:val="4"/>
                <w:sz w:val="20"/>
                <w:szCs w:val="20"/>
              </w:rPr>
              <w:t>天洒</w:t>
            </w:r>
            <w:r>
              <w:rPr>
                <w:rFonts w:ascii="宋体" w:hAnsi="宋体" w:eastAsia="宋体" w:cs="宋体"/>
                <w:spacing w:val="3"/>
                <w:sz w:val="20"/>
                <w:szCs w:val="20"/>
              </w:rPr>
              <w:t>水</w:t>
            </w:r>
            <w:r>
              <w:rPr>
                <w:rFonts w:ascii="宋体" w:hAnsi="宋体" w:eastAsia="宋体" w:cs="宋体"/>
                <w:spacing w:val="2"/>
                <w:sz w:val="20"/>
                <w:szCs w:val="20"/>
              </w:rPr>
              <w:t xml:space="preserve"> </w:t>
            </w:r>
            <w:r>
              <w:rPr>
                <w:rFonts w:ascii="Times New Roman" w:hAnsi="Times New Roman" w:eastAsia="Times New Roman" w:cs="Times New Roman"/>
                <w:spacing w:val="2"/>
                <w:sz w:val="20"/>
                <w:szCs w:val="20"/>
              </w:rPr>
              <w:t xml:space="preserve">4~5 </w:t>
            </w:r>
            <w:r>
              <w:rPr>
                <w:rFonts w:ascii="宋体" w:hAnsi="宋体" w:eastAsia="宋体" w:cs="宋体"/>
                <w:spacing w:val="2"/>
                <w:sz w:val="20"/>
                <w:szCs w:val="20"/>
              </w:rPr>
              <w:t xml:space="preserve">次，可减少 </w:t>
            </w:r>
            <w:r>
              <w:rPr>
                <w:rFonts w:ascii="Times New Roman" w:hAnsi="Times New Roman" w:eastAsia="Times New Roman" w:cs="Times New Roman"/>
                <w:spacing w:val="2"/>
                <w:sz w:val="20"/>
                <w:szCs w:val="20"/>
              </w:rPr>
              <w:t xml:space="preserve">70% </w:t>
            </w:r>
            <w:r>
              <w:rPr>
                <w:rFonts w:ascii="宋体" w:hAnsi="宋体" w:eastAsia="宋体" w:cs="宋体"/>
                <w:spacing w:val="2"/>
                <w:sz w:val="20"/>
                <w:szCs w:val="20"/>
              </w:rPr>
              <w:t>。洒水的试验资料如下表。</w:t>
            </w:r>
          </w:p>
          <w:p>
            <w:pPr>
              <w:spacing w:before="96" w:line="230" w:lineRule="auto"/>
              <w:ind w:left="2313"/>
              <w:rPr>
                <w:rFonts w:ascii="黑体" w:hAnsi="黑体" w:eastAsia="黑体" w:cs="黑体"/>
                <w:sz w:val="19"/>
                <w:szCs w:val="19"/>
              </w:rPr>
            </w:pPr>
            <w:r>
              <w:rPr>
                <w:rFonts w:ascii="黑体" w:hAnsi="黑体" w:eastAsia="黑体" w:cs="黑体"/>
                <w:spacing w:val="14"/>
                <w:sz w:val="19"/>
                <w:szCs w:val="19"/>
              </w:rPr>
              <w:t>表</w:t>
            </w:r>
            <w:r>
              <w:rPr>
                <w:rFonts w:ascii="Times New Roman" w:hAnsi="Times New Roman" w:eastAsia="Times New Roman" w:cs="Times New Roman"/>
                <w:spacing w:val="14"/>
                <w:sz w:val="19"/>
                <w:szCs w:val="19"/>
              </w:rPr>
              <w:t>4</w:t>
            </w:r>
            <w:r>
              <w:rPr>
                <w:rFonts w:ascii="Times New Roman" w:hAnsi="Times New Roman" w:eastAsia="Times New Roman" w:cs="Times New Roman"/>
                <w:spacing w:val="7"/>
                <w:sz w:val="19"/>
                <w:szCs w:val="19"/>
              </w:rPr>
              <w:t xml:space="preserve">4    </w:t>
            </w:r>
            <w:r>
              <w:rPr>
                <w:rFonts w:ascii="黑体" w:hAnsi="黑体" w:eastAsia="黑体" w:cs="黑体"/>
                <w:spacing w:val="7"/>
                <w:sz w:val="19"/>
                <w:szCs w:val="19"/>
              </w:rPr>
              <w:t>施工阶段使用洒水车降尘试验结果</w:t>
            </w:r>
          </w:p>
          <w:p>
            <w:pPr>
              <w:spacing w:line="70" w:lineRule="auto"/>
              <w:rPr>
                <w:rFonts w:ascii="Arial"/>
                <w:sz w:val="2"/>
              </w:rPr>
            </w:pPr>
          </w:p>
          <w:tbl>
            <w:tblPr>
              <w:tblStyle w:val="4"/>
              <w:tblW w:w="7802" w:type="dxa"/>
              <w:tblInd w:w="2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1"/>
              <w:gridCol w:w="1344"/>
              <w:gridCol w:w="1181"/>
              <w:gridCol w:w="1370"/>
              <w:gridCol w:w="1299"/>
              <w:gridCol w:w="13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2605" w:type="dxa"/>
                  <w:gridSpan w:val="2"/>
                  <w:vAlign w:val="top"/>
                </w:tcPr>
                <w:p>
                  <w:pPr>
                    <w:spacing w:before="88" w:line="249" w:lineRule="exact"/>
                    <w:ind w:left="718"/>
                    <w:rPr>
                      <w:rFonts w:ascii="Times New Roman" w:hAnsi="Times New Roman" w:eastAsia="Times New Roman" w:cs="Times New Roman"/>
                      <w:sz w:val="17"/>
                      <w:szCs w:val="17"/>
                    </w:rPr>
                  </w:pPr>
                  <w:r>
                    <w:rPr>
                      <w:rFonts w:ascii="宋体" w:hAnsi="宋体" w:eastAsia="宋体" w:cs="宋体"/>
                      <w:spacing w:val="12"/>
                      <w:position w:val="2"/>
                      <w:sz w:val="17"/>
                      <w:szCs w:val="17"/>
                      <w14:textOutline w14:w="3268" w14:cap="sq" w14:cmpd="sng">
                        <w14:solidFill>
                          <w14:srgbClr w14:val="000000"/>
                        </w14:solidFill>
                        <w14:prstDash w14:val="solid"/>
                        <w14:bevel/>
                      </w14:textOutline>
                    </w:rPr>
                    <w:t>距</w:t>
                  </w:r>
                  <w:r>
                    <w:rPr>
                      <w:rFonts w:ascii="宋体" w:hAnsi="宋体" w:eastAsia="宋体" w:cs="宋体"/>
                      <w:spacing w:val="8"/>
                      <w:position w:val="2"/>
                      <w:sz w:val="17"/>
                      <w:szCs w:val="17"/>
                      <w14:textOutline w14:w="3268" w14:cap="sq" w14:cmpd="sng">
                        <w14:solidFill>
                          <w14:srgbClr w14:val="000000"/>
                        </w14:solidFill>
                        <w14:prstDash w14:val="solid"/>
                        <w14:bevel/>
                      </w14:textOutline>
                    </w:rPr>
                    <w:t>路边距离</w:t>
                  </w:r>
                  <w:r>
                    <w:rPr>
                      <w:rFonts w:ascii="Times New Roman" w:hAnsi="Times New Roman" w:eastAsia="Times New Roman" w:cs="Times New Roman"/>
                      <w:b/>
                      <w:bCs/>
                      <w:spacing w:val="8"/>
                      <w:position w:val="2"/>
                      <w:sz w:val="17"/>
                      <w:szCs w:val="17"/>
                    </w:rPr>
                    <w:t>(</w:t>
                  </w:r>
                  <w:r>
                    <w:rPr>
                      <w:rFonts w:ascii="Times New Roman" w:hAnsi="Times New Roman" w:eastAsia="Times New Roman" w:cs="Times New Roman"/>
                      <w:b/>
                      <w:bCs/>
                      <w:position w:val="2"/>
                      <w:sz w:val="17"/>
                      <w:szCs w:val="17"/>
                    </w:rPr>
                    <w:t>m</w:t>
                  </w:r>
                  <w:r>
                    <w:rPr>
                      <w:rFonts w:ascii="Times New Roman" w:hAnsi="Times New Roman" w:eastAsia="Times New Roman" w:cs="Times New Roman"/>
                      <w:b/>
                      <w:bCs/>
                      <w:spacing w:val="8"/>
                      <w:position w:val="2"/>
                      <w:sz w:val="17"/>
                      <w:szCs w:val="17"/>
                    </w:rPr>
                    <w:t>)</w:t>
                  </w:r>
                </w:p>
              </w:tc>
              <w:tc>
                <w:tcPr>
                  <w:tcW w:w="1181" w:type="dxa"/>
                  <w:vAlign w:val="top"/>
                </w:tcPr>
                <w:p>
                  <w:pPr>
                    <w:spacing w:before="157" w:line="194" w:lineRule="auto"/>
                    <w:ind w:left="549"/>
                    <w:rPr>
                      <w:rFonts w:ascii="Times New Roman" w:hAnsi="Times New Roman" w:eastAsia="Times New Roman" w:cs="Times New Roman"/>
                      <w:sz w:val="17"/>
                      <w:szCs w:val="17"/>
                    </w:rPr>
                  </w:pPr>
                  <w:r>
                    <w:rPr>
                      <w:rFonts w:ascii="Times New Roman" w:hAnsi="Times New Roman" w:eastAsia="Times New Roman" w:cs="Times New Roman"/>
                      <w:b/>
                      <w:bCs/>
                      <w:sz w:val="17"/>
                      <w:szCs w:val="17"/>
                    </w:rPr>
                    <w:t>5</w:t>
                  </w:r>
                </w:p>
              </w:tc>
              <w:tc>
                <w:tcPr>
                  <w:tcW w:w="1370" w:type="dxa"/>
                  <w:vAlign w:val="top"/>
                </w:tcPr>
                <w:p>
                  <w:pPr>
                    <w:spacing w:before="154" w:line="197" w:lineRule="auto"/>
                    <w:ind w:left="598"/>
                    <w:rPr>
                      <w:rFonts w:ascii="Times New Roman" w:hAnsi="Times New Roman" w:eastAsia="Times New Roman" w:cs="Times New Roman"/>
                      <w:sz w:val="17"/>
                      <w:szCs w:val="17"/>
                    </w:rPr>
                  </w:pPr>
                  <w:r>
                    <w:rPr>
                      <w:rFonts w:ascii="Times New Roman" w:hAnsi="Times New Roman" w:eastAsia="Times New Roman" w:cs="Times New Roman"/>
                      <w:b/>
                      <w:bCs/>
                      <w:spacing w:val="3"/>
                      <w:sz w:val="17"/>
                      <w:szCs w:val="17"/>
                    </w:rPr>
                    <w:t>20</w:t>
                  </w:r>
                </w:p>
              </w:tc>
              <w:tc>
                <w:tcPr>
                  <w:tcW w:w="1299" w:type="dxa"/>
                  <w:vAlign w:val="top"/>
                </w:tcPr>
                <w:p>
                  <w:pPr>
                    <w:spacing w:before="154" w:line="197" w:lineRule="auto"/>
                    <w:ind w:left="564"/>
                    <w:rPr>
                      <w:rFonts w:ascii="Times New Roman" w:hAnsi="Times New Roman" w:eastAsia="Times New Roman" w:cs="Times New Roman"/>
                      <w:sz w:val="17"/>
                      <w:szCs w:val="17"/>
                    </w:rPr>
                  </w:pPr>
                  <w:r>
                    <w:rPr>
                      <w:rFonts w:ascii="Times New Roman" w:hAnsi="Times New Roman" w:eastAsia="Times New Roman" w:cs="Times New Roman"/>
                      <w:b/>
                      <w:bCs/>
                      <w:spacing w:val="3"/>
                      <w:sz w:val="17"/>
                      <w:szCs w:val="17"/>
                    </w:rPr>
                    <w:t>5</w:t>
                  </w:r>
                  <w:r>
                    <w:rPr>
                      <w:rFonts w:ascii="Times New Roman" w:hAnsi="Times New Roman" w:eastAsia="Times New Roman" w:cs="Times New Roman"/>
                      <w:b/>
                      <w:bCs/>
                      <w:spacing w:val="2"/>
                      <w:sz w:val="17"/>
                      <w:szCs w:val="17"/>
                    </w:rPr>
                    <w:t>0</w:t>
                  </w:r>
                </w:p>
              </w:tc>
              <w:tc>
                <w:tcPr>
                  <w:tcW w:w="1347" w:type="dxa"/>
                  <w:vAlign w:val="top"/>
                </w:tcPr>
                <w:p>
                  <w:pPr>
                    <w:spacing w:before="154" w:line="197" w:lineRule="auto"/>
                    <w:ind w:left="547"/>
                    <w:rPr>
                      <w:rFonts w:ascii="Times New Roman" w:hAnsi="Times New Roman" w:eastAsia="Times New Roman" w:cs="Times New Roman"/>
                      <w:sz w:val="17"/>
                      <w:szCs w:val="17"/>
                    </w:rPr>
                  </w:pPr>
                  <w:r>
                    <w:rPr>
                      <w:rFonts w:ascii="Times New Roman" w:hAnsi="Times New Roman" w:eastAsia="Times New Roman" w:cs="Times New Roman"/>
                      <w:b/>
                      <w:bCs/>
                      <w:spacing w:val="1"/>
                      <w:sz w:val="17"/>
                      <w:szCs w:val="17"/>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261" w:type="dxa"/>
                  <w:vMerge w:val="restart"/>
                  <w:tcBorders>
                    <w:bottom w:val="nil"/>
                  </w:tcBorders>
                  <w:vAlign w:val="top"/>
                </w:tcPr>
                <w:p>
                  <w:pPr>
                    <w:spacing w:before="186" w:line="231" w:lineRule="auto"/>
                    <w:ind w:left="276"/>
                    <w:rPr>
                      <w:rFonts w:ascii="宋体" w:hAnsi="宋体" w:eastAsia="宋体" w:cs="宋体"/>
                      <w:sz w:val="17"/>
                      <w:szCs w:val="17"/>
                    </w:rPr>
                  </w:pPr>
                  <w:r>
                    <w:rPr>
                      <w:rFonts w:ascii="Times New Roman" w:hAnsi="Times New Roman" w:eastAsia="Times New Roman" w:cs="Times New Roman"/>
                      <w:sz w:val="17"/>
                      <w:szCs w:val="17"/>
                    </w:rPr>
                    <w:t>TSP</w:t>
                  </w:r>
                  <w:r>
                    <w:rPr>
                      <w:rFonts w:ascii="Times New Roman" w:hAnsi="Times New Roman" w:eastAsia="Times New Roman" w:cs="Times New Roman"/>
                      <w:spacing w:val="12"/>
                      <w:sz w:val="17"/>
                      <w:szCs w:val="17"/>
                    </w:rPr>
                    <w:t xml:space="preserve"> </w:t>
                  </w:r>
                  <w:r>
                    <w:rPr>
                      <w:rFonts w:ascii="宋体" w:hAnsi="宋体" w:eastAsia="宋体" w:cs="宋体"/>
                      <w:spacing w:val="11"/>
                      <w:sz w:val="17"/>
                      <w:szCs w:val="17"/>
                    </w:rPr>
                    <w:t>浓度</w:t>
                  </w:r>
                </w:p>
                <w:p>
                  <w:pPr>
                    <w:spacing w:before="33" w:line="242" w:lineRule="exact"/>
                    <w:ind w:left="319"/>
                    <w:rPr>
                      <w:rFonts w:ascii="Times New Roman" w:hAnsi="Times New Roman" w:eastAsia="Times New Roman" w:cs="Times New Roman"/>
                      <w:sz w:val="17"/>
                      <w:szCs w:val="17"/>
                    </w:rPr>
                  </w:pPr>
                  <w:r>
                    <w:rPr>
                      <w:rFonts w:ascii="Times New Roman" w:hAnsi="Times New Roman" w:eastAsia="Times New Roman" w:cs="Times New Roman"/>
                      <w:spacing w:val="8"/>
                      <w:position w:val="3"/>
                      <w:sz w:val="17"/>
                      <w:szCs w:val="17"/>
                    </w:rPr>
                    <w:t>(</w:t>
                  </w:r>
                  <w:r>
                    <w:rPr>
                      <w:rFonts w:ascii="Times New Roman" w:hAnsi="Times New Roman" w:eastAsia="Times New Roman" w:cs="Times New Roman"/>
                      <w:position w:val="3"/>
                      <w:sz w:val="17"/>
                      <w:szCs w:val="17"/>
                    </w:rPr>
                    <w:t>mg</w:t>
                  </w:r>
                  <w:r>
                    <w:rPr>
                      <w:rFonts w:ascii="Times New Roman" w:hAnsi="Times New Roman" w:eastAsia="Times New Roman" w:cs="Times New Roman"/>
                      <w:spacing w:val="6"/>
                      <w:position w:val="3"/>
                      <w:sz w:val="17"/>
                      <w:szCs w:val="17"/>
                    </w:rPr>
                    <w:t>/</w:t>
                  </w:r>
                  <w:r>
                    <w:rPr>
                      <w:rFonts w:ascii="Times New Roman" w:hAnsi="Times New Roman" w:eastAsia="Times New Roman" w:cs="Times New Roman"/>
                      <w:position w:val="3"/>
                      <w:sz w:val="17"/>
                      <w:szCs w:val="17"/>
                    </w:rPr>
                    <w:t>m</w:t>
                  </w:r>
                  <w:r>
                    <w:rPr>
                      <w:rFonts w:ascii="宋体" w:hAnsi="宋体" w:eastAsia="宋体" w:cs="宋体"/>
                      <w:spacing w:val="6"/>
                      <w:position w:val="3"/>
                      <w:sz w:val="17"/>
                      <w:szCs w:val="17"/>
                    </w:rPr>
                    <w:t>³</w:t>
                  </w:r>
                  <w:r>
                    <w:rPr>
                      <w:rFonts w:ascii="Times New Roman" w:hAnsi="Times New Roman" w:eastAsia="Times New Roman" w:cs="Times New Roman"/>
                      <w:spacing w:val="6"/>
                      <w:position w:val="3"/>
                      <w:sz w:val="17"/>
                      <w:szCs w:val="17"/>
                    </w:rPr>
                    <w:t>)</w:t>
                  </w:r>
                </w:p>
              </w:tc>
              <w:tc>
                <w:tcPr>
                  <w:tcW w:w="1344" w:type="dxa"/>
                  <w:vAlign w:val="top"/>
                </w:tcPr>
                <w:p>
                  <w:pPr>
                    <w:spacing w:before="121" w:line="230" w:lineRule="auto"/>
                    <w:ind w:left="407"/>
                    <w:rPr>
                      <w:rFonts w:ascii="宋体" w:hAnsi="宋体" w:eastAsia="宋体" w:cs="宋体"/>
                      <w:sz w:val="17"/>
                      <w:szCs w:val="17"/>
                    </w:rPr>
                  </w:pPr>
                  <w:r>
                    <w:rPr>
                      <w:rFonts w:ascii="宋体" w:hAnsi="宋体" w:eastAsia="宋体" w:cs="宋体"/>
                      <w:spacing w:val="8"/>
                      <w:sz w:val="17"/>
                      <w:szCs w:val="17"/>
                    </w:rPr>
                    <w:t>不</w:t>
                  </w:r>
                  <w:r>
                    <w:rPr>
                      <w:rFonts w:ascii="宋体" w:hAnsi="宋体" w:eastAsia="宋体" w:cs="宋体"/>
                      <w:spacing w:val="6"/>
                      <w:sz w:val="17"/>
                      <w:szCs w:val="17"/>
                    </w:rPr>
                    <w:t>洒水</w:t>
                  </w:r>
                </w:p>
              </w:tc>
              <w:tc>
                <w:tcPr>
                  <w:tcW w:w="1181" w:type="dxa"/>
                  <w:vAlign w:val="top"/>
                </w:tcPr>
                <w:p>
                  <w:pPr>
                    <w:spacing w:before="150" w:line="197" w:lineRule="auto"/>
                    <w:ind w:left="406"/>
                    <w:rPr>
                      <w:rFonts w:ascii="Times New Roman" w:hAnsi="Times New Roman" w:eastAsia="Times New Roman" w:cs="Times New Roman"/>
                      <w:sz w:val="17"/>
                      <w:szCs w:val="17"/>
                    </w:rPr>
                  </w:pPr>
                  <w:r>
                    <w:rPr>
                      <w:rFonts w:ascii="Times New Roman" w:hAnsi="Times New Roman" w:eastAsia="Times New Roman" w:cs="Times New Roman"/>
                      <w:spacing w:val="-10"/>
                      <w:sz w:val="17"/>
                      <w:szCs w:val="17"/>
                    </w:rPr>
                    <w:t>1</w:t>
                  </w:r>
                  <w:r>
                    <w:rPr>
                      <w:rFonts w:ascii="Times New Roman" w:hAnsi="Times New Roman" w:eastAsia="Times New Roman" w:cs="Times New Roman"/>
                      <w:spacing w:val="-6"/>
                      <w:sz w:val="17"/>
                      <w:szCs w:val="17"/>
                    </w:rPr>
                    <w:t>0. 14</w:t>
                  </w:r>
                </w:p>
              </w:tc>
              <w:tc>
                <w:tcPr>
                  <w:tcW w:w="1370" w:type="dxa"/>
                  <w:vAlign w:val="top"/>
                </w:tcPr>
                <w:p>
                  <w:pPr>
                    <w:spacing w:before="150" w:line="200" w:lineRule="auto"/>
                    <w:ind w:left="48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2.810</w:t>
                  </w:r>
                </w:p>
              </w:tc>
              <w:tc>
                <w:tcPr>
                  <w:tcW w:w="1299" w:type="dxa"/>
                  <w:vAlign w:val="top"/>
                </w:tcPr>
                <w:p>
                  <w:pPr>
                    <w:spacing w:before="150" w:line="197" w:lineRule="auto"/>
                    <w:ind w:left="512"/>
                    <w:rPr>
                      <w:rFonts w:ascii="Times New Roman" w:hAnsi="Times New Roman" w:eastAsia="Times New Roman" w:cs="Times New Roman"/>
                      <w:sz w:val="17"/>
                      <w:szCs w:val="17"/>
                    </w:rPr>
                  </w:pPr>
                  <w:r>
                    <w:rPr>
                      <w:rFonts w:ascii="Times New Roman" w:hAnsi="Times New Roman" w:eastAsia="Times New Roman" w:cs="Times New Roman"/>
                      <w:spacing w:val="-10"/>
                      <w:sz w:val="17"/>
                      <w:szCs w:val="17"/>
                    </w:rPr>
                    <w:t>1</w:t>
                  </w:r>
                  <w:r>
                    <w:rPr>
                      <w:rFonts w:ascii="Times New Roman" w:hAnsi="Times New Roman" w:eastAsia="Times New Roman" w:cs="Times New Roman"/>
                      <w:spacing w:val="-9"/>
                      <w:sz w:val="17"/>
                      <w:szCs w:val="17"/>
                    </w:rPr>
                    <w:t>. 15</w:t>
                  </w:r>
                </w:p>
              </w:tc>
              <w:tc>
                <w:tcPr>
                  <w:tcW w:w="1347" w:type="dxa"/>
                  <w:vAlign w:val="top"/>
                </w:tcPr>
                <w:p>
                  <w:pPr>
                    <w:spacing w:before="150" w:line="197" w:lineRule="auto"/>
                    <w:ind w:left="5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0.8</w:t>
                  </w:r>
                  <w:r>
                    <w:rPr>
                      <w:rFonts w:ascii="Times New Roman" w:hAnsi="Times New Roman" w:eastAsia="Times New Roman" w:cs="Times New Roman"/>
                      <w:spacing w:val="2"/>
                      <w:sz w:val="17"/>
                      <w:szCs w:val="17"/>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261" w:type="dxa"/>
                  <w:vMerge w:val="continue"/>
                  <w:tcBorders>
                    <w:top w:val="nil"/>
                  </w:tcBorders>
                  <w:vAlign w:val="top"/>
                </w:tcPr>
                <w:p>
                  <w:pPr>
                    <w:rPr>
                      <w:rFonts w:ascii="Arial"/>
                      <w:sz w:val="21"/>
                    </w:rPr>
                  </w:pPr>
                </w:p>
              </w:tc>
              <w:tc>
                <w:tcPr>
                  <w:tcW w:w="1344" w:type="dxa"/>
                  <w:vAlign w:val="top"/>
                </w:tcPr>
                <w:p>
                  <w:pPr>
                    <w:spacing w:before="134" w:line="230" w:lineRule="auto"/>
                    <w:ind w:left="497"/>
                    <w:rPr>
                      <w:rFonts w:ascii="宋体" w:hAnsi="宋体" w:eastAsia="宋体" w:cs="宋体"/>
                      <w:sz w:val="17"/>
                      <w:szCs w:val="17"/>
                    </w:rPr>
                  </w:pPr>
                  <w:r>
                    <w:rPr>
                      <w:rFonts w:ascii="宋体" w:hAnsi="宋体" w:eastAsia="宋体" w:cs="宋体"/>
                      <w:spacing w:val="5"/>
                      <w:sz w:val="17"/>
                      <w:szCs w:val="17"/>
                    </w:rPr>
                    <w:t>洒水</w:t>
                  </w:r>
                </w:p>
              </w:tc>
              <w:tc>
                <w:tcPr>
                  <w:tcW w:w="1181" w:type="dxa"/>
                  <w:vAlign w:val="top"/>
                </w:tcPr>
                <w:p>
                  <w:pPr>
                    <w:spacing w:before="165" w:line="200" w:lineRule="auto"/>
                    <w:ind w:left="43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.01</w:t>
                  </w:r>
                </w:p>
              </w:tc>
              <w:tc>
                <w:tcPr>
                  <w:tcW w:w="1370" w:type="dxa"/>
                  <w:vAlign w:val="top"/>
                </w:tcPr>
                <w:p>
                  <w:pPr>
                    <w:spacing w:before="165" w:line="200" w:lineRule="auto"/>
                    <w:ind w:left="5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1.4</w:t>
                  </w:r>
                  <w:r>
                    <w:rPr>
                      <w:rFonts w:ascii="Times New Roman" w:hAnsi="Times New Roman" w:eastAsia="Times New Roman" w:cs="Times New Roman"/>
                      <w:sz w:val="17"/>
                      <w:szCs w:val="17"/>
                    </w:rPr>
                    <w:t>0</w:t>
                  </w:r>
                </w:p>
              </w:tc>
              <w:tc>
                <w:tcPr>
                  <w:tcW w:w="1299" w:type="dxa"/>
                  <w:vAlign w:val="top"/>
                </w:tcPr>
                <w:p>
                  <w:pPr>
                    <w:spacing w:before="165" w:line="197" w:lineRule="auto"/>
                    <w:ind w:left="49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0.6</w:t>
                  </w:r>
                  <w:r>
                    <w:rPr>
                      <w:rFonts w:ascii="Times New Roman" w:hAnsi="Times New Roman" w:eastAsia="Times New Roman" w:cs="Times New Roman"/>
                      <w:spacing w:val="2"/>
                      <w:sz w:val="17"/>
                      <w:szCs w:val="17"/>
                    </w:rPr>
                    <w:t>8</w:t>
                  </w:r>
                </w:p>
              </w:tc>
              <w:tc>
                <w:tcPr>
                  <w:tcW w:w="1347" w:type="dxa"/>
                  <w:vAlign w:val="top"/>
                </w:tcPr>
                <w:p>
                  <w:pPr>
                    <w:spacing w:before="165" w:line="197" w:lineRule="auto"/>
                    <w:ind w:left="5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0.6</w:t>
                  </w:r>
                  <w:r>
                    <w:rPr>
                      <w:rFonts w:ascii="Times New Roman" w:hAnsi="Times New Roman" w:eastAsia="Times New Roman" w:cs="Times New Roman"/>
                      <w:spacing w:val="2"/>
                      <w:sz w:val="17"/>
                      <w:szCs w:val="17"/>
                    </w:rPr>
                    <w:t>0</w:t>
                  </w:r>
                </w:p>
              </w:tc>
            </w:tr>
          </w:tbl>
          <w:p>
            <w:pPr>
              <w:spacing w:before="140" w:line="369" w:lineRule="auto"/>
              <w:ind w:left="58" w:right="52" w:firstLine="419"/>
              <w:rPr>
                <w:rFonts w:ascii="宋体" w:hAnsi="宋体" w:eastAsia="宋体" w:cs="宋体"/>
                <w:sz w:val="20"/>
                <w:szCs w:val="20"/>
              </w:rPr>
            </w:pPr>
            <w:r>
              <w:rPr>
                <w:rFonts w:ascii="宋体" w:hAnsi="宋体" w:eastAsia="宋体" w:cs="宋体"/>
                <w:spacing w:val="14"/>
                <w:sz w:val="20"/>
                <w:szCs w:val="20"/>
              </w:rPr>
              <w:t>综上</w:t>
            </w:r>
            <w:r>
              <w:rPr>
                <w:rFonts w:ascii="宋体" w:hAnsi="宋体" w:eastAsia="宋体" w:cs="宋体"/>
                <w:spacing w:val="10"/>
                <w:sz w:val="20"/>
                <w:szCs w:val="20"/>
              </w:rPr>
              <w:t>，</w:t>
            </w:r>
            <w:r>
              <w:rPr>
                <w:rFonts w:ascii="宋体" w:hAnsi="宋体" w:eastAsia="宋体" w:cs="宋体"/>
                <w:spacing w:val="7"/>
                <w:sz w:val="20"/>
                <w:szCs w:val="20"/>
              </w:rPr>
              <w:t>施工单位必须采取抑尘措施，禁止大风天气作业，减少建材的露天堆放及保证</w:t>
            </w:r>
            <w:r>
              <w:rPr>
                <w:rFonts w:ascii="宋体" w:hAnsi="宋体" w:eastAsia="宋体" w:cs="宋体"/>
                <w:sz w:val="20"/>
                <w:szCs w:val="20"/>
              </w:rPr>
              <w:t xml:space="preserve"> </w:t>
            </w:r>
            <w:r>
              <w:rPr>
                <w:rFonts w:ascii="宋体" w:hAnsi="宋体" w:eastAsia="宋体" w:cs="宋体"/>
                <w:spacing w:val="12"/>
                <w:sz w:val="20"/>
                <w:szCs w:val="20"/>
              </w:rPr>
              <w:t>一</w:t>
            </w:r>
            <w:r>
              <w:rPr>
                <w:rFonts w:ascii="宋体" w:hAnsi="宋体" w:eastAsia="宋体" w:cs="宋体"/>
                <w:spacing w:val="9"/>
                <w:sz w:val="20"/>
                <w:szCs w:val="20"/>
              </w:rPr>
              <w:t>定的含水率；对施工场地进行洒水抑尘，减少二次扬尘。</w:t>
            </w:r>
          </w:p>
          <w:p>
            <w:pPr>
              <w:spacing w:before="1" w:line="227" w:lineRule="auto"/>
              <w:ind w:left="537"/>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6"/>
                <w:sz w:val="20"/>
                <w:szCs w:val="20"/>
              </w:rPr>
              <w:t>2</w:t>
            </w: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宋体" w:hAnsi="宋体" w:eastAsia="宋体" w:cs="宋体"/>
                <w:spacing w:val="16"/>
                <w:sz w:val="20"/>
                <w:szCs w:val="20"/>
              </w:rPr>
              <w:t xml:space="preserve"> </w:t>
            </w:r>
            <w:r>
              <w:rPr>
                <w:rFonts w:ascii="宋体" w:hAnsi="宋体" w:eastAsia="宋体" w:cs="宋体"/>
                <w:spacing w:val="16"/>
                <w:sz w:val="20"/>
                <w:szCs w:val="20"/>
                <w14:textOutline w14:w="3795" w14:cap="sq" w14:cmpd="sng">
                  <w14:solidFill>
                    <w14:srgbClr w14:val="000000"/>
                  </w14:solidFill>
                  <w14:prstDash w14:val="solid"/>
                  <w14:bevel/>
                </w14:textOutline>
              </w:rPr>
              <w:t>汽车运输道路扬尘</w:t>
            </w:r>
          </w:p>
          <w:p>
            <w:pPr>
              <w:spacing w:before="154" w:line="228" w:lineRule="auto"/>
              <w:ind w:left="474"/>
              <w:rPr>
                <w:rFonts w:ascii="宋体" w:hAnsi="宋体" w:eastAsia="宋体" w:cs="宋体"/>
                <w:sz w:val="20"/>
                <w:szCs w:val="20"/>
              </w:rPr>
            </w:pPr>
            <w:r>
              <w:rPr>
                <w:rFonts w:ascii="宋体" w:hAnsi="宋体" w:eastAsia="宋体" w:cs="宋体"/>
                <w:spacing w:val="11"/>
                <w:sz w:val="20"/>
                <w:szCs w:val="20"/>
              </w:rPr>
              <w:t>针</w:t>
            </w:r>
            <w:r>
              <w:rPr>
                <w:rFonts w:ascii="宋体" w:hAnsi="宋体" w:eastAsia="宋体" w:cs="宋体"/>
                <w:spacing w:val="9"/>
                <w:sz w:val="20"/>
                <w:szCs w:val="20"/>
              </w:rPr>
              <w:t>对汽车运输扬尘，本项目拟采取如下的控制措施：</w:t>
            </w:r>
          </w:p>
          <w:p>
            <w:pPr>
              <w:spacing w:before="154" w:line="369" w:lineRule="auto"/>
              <w:ind w:left="108" w:right="49" w:firstLine="491"/>
              <w:rPr>
                <w:rFonts w:ascii="宋体" w:hAnsi="宋体" w:eastAsia="宋体" w:cs="宋体"/>
                <w:sz w:val="20"/>
                <w:szCs w:val="20"/>
              </w:rPr>
            </w:pPr>
            <w:r>
              <w:rPr>
                <w:rFonts w:ascii="宋体" w:hAnsi="宋体" w:eastAsia="宋体" w:cs="宋体"/>
                <w:spacing w:val="11"/>
                <w:sz w:val="17"/>
                <w:szCs w:val="17"/>
              </w:rPr>
              <w:t xml:space="preserve">1   </w:t>
            </w:r>
            <w:r>
              <w:rPr>
                <w:rFonts w:ascii="宋体" w:hAnsi="宋体" w:eastAsia="宋体" w:cs="宋体"/>
                <w:spacing w:val="11"/>
                <w:sz w:val="20"/>
                <w:szCs w:val="20"/>
              </w:rPr>
              <w:t>要求施工单位文明施工，配齐保洁人员定期对地面洒水，并对洒落在路面的</w:t>
            </w:r>
            <w:r>
              <w:rPr>
                <w:rFonts w:ascii="宋体" w:hAnsi="宋体" w:eastAsia="宋体" w:cs="宋体"/>
                <w:spacing w:val="9"/>
                <w:sz w:val="20"/>
                <w:szCs w:val="20"/>
              </w:rPr>
              <w:t>渣</w:t>
            </w:r>
            <w:r>
              <w:rPr>
                <w:rFonts w:ascii="宋体" w:hAnsi="宋体" w:eastAsia="宋体" w:cs="宋体"/>
                <w:sz w:val="20"/>
                <w:szCs w:val="20"/>
              </w:rPr>
              <w:t xml:space="preserve"> </w:t>
            </w:r>
            <w:r>
              <w:rPr>
                <w:rFonts w:ascii="宋体" w:hAnsi="宋体" w:eastAsia="宋体" w:cs="宋体"/>
                <w:spacing w:val="18"/>
                <w:sz w:val="20"/>
                <w:szCs w:val="20"/>
              </w:rPr>
              <w:t>土</w:t>
            </w:r>
            <w:r>
              <w:rPr>
                <w:rFonts w:ascii="宋体" w:hAnsi="宋体" w:eastAsia="宋体" w:cs="宋体"/>
                <w:spacing w:val="13"/>
                <w:sz w:val="20"/>
                <w:szCs w:val="20"/>
              </w:rPr>
              <w:t>及</w:t>
            </w:r>
            <w:r>
              <w:rPr>
                <w:rFonts w:ascii="宋体" w:hAnsi="宋体" w:eastAsia="宋体" w:cs="宋体"/>
                <w:spacing w:val="9"/>
                <w:sz w:val="20"/>
                <w:szCs w:val="20"/>
              </w:rPr>
              <w:t>时清除，清理阶段做到先洒水后清扫，避免产生扬尘对周边环境造成影响；</w:t>
            </w:r>
          </w:p>
          <w:p>
            <w:pPr>
              <w:spacing w:line="369" w:lineRule="auto"/>
              <w:ind w:left="106" w:right="49" w:firstLine="481"/>
              <w:rPr>
                <w:rFonts w:ascii="宋体" w:hAnsi="宋体" w:eastAsia="宋体" w:cs="宋体"/>
                <w:sz w:val="20"/>
                <w:szCs w:val="20"/>
              </w:rPr>
            </w:pPr>
            <w:r>
              <w:rPr>
                <w:rFonts w:ascii="宋体" w:hAnsi="宋体" w:eastAsia="宋体" w:cs="宋体"/>
                <w:spacing w:val="20"/>
                <w:sz w:val="17"/>
                <w:szCs w:val="17"/>
              </w:rPr>
              <w:t>2</w:t>
            </w:r>
            <w:r>
              <w:rPr>
                <w:rFonts w:ascii="宋体" w:hAnsi="宋体" w:eastAsia="宋体" w:cs="宋体"/>
                <w:spacing w:val="11"/>
                <w:sz w:val="17"/>
                <w:szCs w:val="17"/>
              </w:rPr>
              <w:t xml:space="preserve">   </w:t>
            </w:r>
            <w:r>
              <w:rPr>
                <w:rFonts w:ascii="宋体" w:hAnsi="宋体" w:eastAsia="宋体" w:cs="宋体"/>
                <w:spacing w:val="11"/>
                <w:sz w:val="20"/>
                <w:szCs w:val="20"/>
              </w:rPr>
              <w:t>由于道路的扬尘量与车辆的行驶速度有关，速度越快，扬尘量越大，因此，在</w:t>
            </w:r>
            <w:r>
              <w:rPr>
                <w:rFonts w:ascii="宋体" w:hAnsi="宋体" w:eastAsia="宋体" w:cs="宋体"/>
                <w:sz w:val="20"/>
                <w:szCs w:val="20"/>
              </w:rPr>
              <w:t xml:space="preserve"> </w:t>
            </w:r>
            <w:r>
              <w:rPr>
                <w:rFonts w:ascii="宋体" w:hAnsi="宋体" w:eastAsia="宋体" w:cs="宋体"/>
                <w:spacing w:val="9"/>
                <w:sz w:val="20"/>
                <w:szCs w:val="20"/>
              </w:rPr>
              <w:t>施工场地对施工车辆必须实施限速行驶，不准运渣车辆冒顶装载， 自卸车、垃圾运输</w:t>
            </w:r>
            <w:r>
              <w:rPr>
                <w:rFonts w:ascii="宋体" w:hAnsi="宋体" w:eastAsia="宋体" w:cs="宋体"/>
                <w:spacing w:val="7"/>
                <w:sz w:val="20"/>
                <w:szCs w:val="20"/>
              </w:rPr>
              <w:t>车</w:t>
            </w:r>
            <w:r>
              <w:rPr>
                <w:rFonts w:ascii="宋体" w:hAnsi="宋体" w:eastAsia="宋体" w:cs="宋体"/>
                <w:sz w:val="20"/>
                <w:szCs w:val="20"/>
              </w:rPr>
              <w:t xml:space="preserve"> </w:t>
            </w:r>
            <w:r>
              <w:rPr>
                <w:rFonts w:ascii="宋体" w:hAnsi="宋体" w:eastAsia="宋体" w:cs="宋体"/>
                <w:spacing w:val="16"/>
                <w:sz w:val="20"/>
                <w:szCs w:val="20"/>
              </w:rPr>
              <w:t>等</w:t>
            </w:r>
            <w:r>
              <w:rPr>
                <w:rFonts w:ascii="宋体" w:hAnsi="宋体" w:eastAsia="宋体" w:cs="宋体"/>
                <w:spacing w:val="9"/>
                <w:sz w:val="20"/>
                <w:szCs w:val="20"/>
              </w:rPr>
              <w:t>运输车辆不允许超载，尽量避免在运输过程中的抛洒现象；</w:t>
            </w:r>
          </w:p>
          <w:p>
            <w:pPr>
              <w:spacing w:before="2" w:line="368" w:lineRule="auto"/>
              <w:ind w:left="108" w:right="49" w:firstLine="481"/>
              <w:rPr>
                <w:rFonts w:ascii="宋体" w:hAnsi="宋体" w:eastAsia="宋体" w:cs="宋体"/>
                <w:sz w:val="20"/>
                <w:szCs w:val="20"/>
              </w:rPr>
            </w:pPr>
            <w:r>
              <w:rPr>
                <w:rFonts w:ascii="宋体" w:hAnsi="宋体" w:eastAsia="宋体" w:cs="宋体"/>
                <w:spacing w:val="19"/>
                <w:sz w:val="17"/>
                <w:szCs w:val="17"/>
              </w:rPr>
              <w:t>3</w:t>
            </w:r>
            <w:r>
              <w:rPr>
                <w:rFonts w:ascii="宋体" w:hAnsi="宋体" w:eastAsia="宋体" w:cs="宋体"/>
                <w:spacing w:val="11"/>
                <w:sz w:val="17"/>
                <w:szCs w:val="17"/>
              </w:rPr>
              <w:t xml:space="preserve">   </w:t>
            </w:r>
            <w:r>
              <w:rPr>
                <w:rFonts w:ascii="宋体" w:hAnsi="宋体" w:eastAsia="宋体" w:cs="宋体"/>
                <w:spacing w:val="11"/>
                <w:sz w:val="20"/>
                <w:szCs w:val="20"/>
              </w:rPr>
              <w:t>禁止在大风天进行汽车运输作业，并对邻近居民小区等环境敏感点处的施工区</w:t>
            </w:r>
            <w:r>
              <w:rPr>
                <w:rFonts w:ascii="宋体" w:hAnsi="宋体" w:eastAsia="宋体" w:cs="宋体"/>
                <w:sz w:val="20"/>
                <w:szCs w:val="20"/>
              </w:rPr>
              <w:t xml:space="preserve"> </w:t>
            </w:r>
            <w:r>
              <w:rPr>
                <w:rFonts w:ascii="宋体" w:hAnsi="宋体" w:eastAsia="宋体" w:cs="宋体"/>
                <w:spacing w:val="6"/>
                <w:sz w:val="20"/>
                <w:szCs w:val="20"/>
              </w:rPr>
              <w:t>段进行两侧围挡， 以降低汽车运输道路扬尘对周围住户和学校的影响</w:t>
            </w:r>
            <w:r>
              <w:rPr>
                <w:rFonts w:ascii="宋体" w:hAnsi="宋体" w:eastAsia="宋体" w:cs="宋体"/>
                <w:spacing w:val="2"/>
                <w:sz w:val="20"/>
                <w:szCs w:val="20"/>
              </w:rPr>
              <w:t>。</w:t>
            </w:r>
          </w:p>
          <w:p>
            <w:pPr>
              <w:spacing w:before="2" w:line="369" w:lineRule="auto"/>
              <w:ind w:left="108" w:right="49" w:firstLine="477"/>
              <w:rPr>
                <w:rFonts w:ascii="宋体" w:hAnsi="宋体" w:eastAsia="宋体" w:cs="宋体"/>
                <w:sz w:val="20"/>
                <w:szCs w:val="20"/>
              </w:rPr>
            </w:pPr>
            <w:r>
              <w:rPr>
                <w:rFonts w:ascii="宋体" w:hAnsi="宋体" w:eastAsia="宋体" w:cs="宋体"/>
                <w:spacing w:val="22"/>
                <w:sz w:val="17"/>
                <w:szCs w:val="17"/>
              </w:rPr>
              <w:t>4</w:t>
            </w:r>
            <w:r>
              <w:rPr>
                <w:rFonts w:ascii="宋体" w:hAnsi="宋体" w:eastAsia="宋体" w:cs="宋体"/>
                <w:spacing w:val="12"/>
                <w:sz w:val="17"/>
                <w:szCs w:val="17"/>
              </w:rPr>
              <w:t xml:space="preserve"> </w:t>
            </w:r>
            <w:r>
              <w:rPr>
                <w:rFonts w:ascii="宋体" w:hAnsi="宋体" w:eastAsia="宋体" w:cs="宋体"/>
                <w:spacing w:val="11"/>
                <w:sz w:val="17"/>
                <w:szCs w:val="17"/>
              </w:rPr>
              <w:t xml:space="preserve">  </w:t>
            </w:r>
            <w:r>
              <w:rPr>
                <w:rFonts w:ascii="宋体" w:hAnsi="宋体" w:eastAsia="宋体" w:cs="宋体"/>
                <w:spacing w:val="11"/>
                <w:sz w:val="20"/>
                <w:szCs w:val="20"/>
              </w:rPr>
              <w:t>施工现场必须有专人负责逸散性材料、垃圾、渣土、裸地等密闭、覆盖、洒水</w:t>
            </w:r>
            <w:r>
              <w:rPr>
                <w:rFonts w:ascii="宋体" w:hAnsi="宋体" w:eastAsia="宋体" w:cs="宋体"/>
                <w:sz w:val="20"/>
                <w:szCs w:val="20"/>
              </w:rPr>
              <w:t xml:space="preserve"> </w:t>
            </w:r>
            <w:r>
              <w:rPr>
                <w:rFonts w:ascii="宋体" w:hAnsi="宋体" w:eastAsia="宋体" w:cs="宋体"/>
                <w:spacing w:val="9"/>
                <w:sz w:val="20"/>
                <w:szCs w:val="20"/>
              </w:rPr>
              <w:t>作业等，并记录扬尘控制措施实施情况</w:t>
            </w:r>
            <w:r>
              <w:rPr>
                <w:rFonts w:ascii="宋体" w:hAnsi="宋体" w:eastAsia="宋体" w:cs="宋体"/>
                <w:spacing w:val="6"/>
                <w:sz w:val="20"/>
                <w:szCs w:val="20"/>
              </w:rPr>
              <w:t>。</w:t>
            </w:r>
          </w:p>
          <w:p>
            <w:pPr>
              <w:spacing w:before="1" w:line="369" w:lineRule="auto"/>
              <w:ind w:left="106" w:firstLine="483"/>
              <w:rPr>
                <w:rFonts w:ascii="宋体" w:hAnsi="宋体" w:eastAsia="宋体" w:cs="宋体"/>
                <w:sz w:val="20"/>
                <w:szCs w:val="20"/>
              </w:rPr>
            </w:pPr>
            <w:r>
              <w:rPr>
                <w:rFonts w:ascii="宋体" w:hAnsi="宋体" w:eastAsia="宋体" w:cs="宋体"/>
                <w:spacing w:val="10"/>
                <w:sz w:val="17"/>
                <w:szCs w:val="17"/>
              </w:rPr>
              <w:t>5</w:t>
            </w:r>
            <w:r>
              <w:rPr>
                <w:rFonts w:ascii="宋体" w:hAnsi="宋体" w:eastAsia="宋体" w:cs="宋体"/>
                <w:spacing w:val="7"/>
                <w:sz w:val="17"/>
                <w:szCs w:val="17"/>
              </w:rPr>
              <w:t xml:space="preserve">   </w:t>
            </w:r>
            <w:r>
              <w:rPr>
                <w:rFonts w:ascii="宋体" w:hAnsi="宋体" w:eastAsia="宋体" w:cs="宋体"/>
                <w:spacing w:val="7"/>
                <w:sz w:val="20"/>
                <w:szCs w:val="20"/>
              </w:rPr>
              <w:t>施工运输车辆往来产生的扬尘污染较严重，会对周边空气环境造成一定的影响，</w:t>
            </w:r>
            <w:r>
              <w:rPr>
                <w:rFonts w:ascii="宋体" w:hAnsi="宋体" w:eastAsia="宋体" w:cs="宋体"/>
                <w:sz w:val="20"/>
                <w:szCs w:val="20"/>
              </w:rPr>
              <w:t xml:space="preserve"> </w:t>
            </w:r>
            <w:r>
              <w:rPr>
                <w:rFonts w:ascii="宋体" w:hAnsi="宋体" w:eastAsia="宋体" w:cs="宋体"/>
                <w:spacing w:val="22"/>
                <w:sz w:val="20"/>
                <w:szCs w:val="20"/>
              </w:rPr>
              <w:t>施工</w:t>
            </w:r>
            <w:r>
              <w:rPr>
                <w:rFonts w:ascii="宋体" w:hAnsi="宋体" w:eastAsia="宋体" w:cs="宋体"/>
                <w:spacing w:val="17"/>
                <w:sz w:val="20"/>
                <w:szCs w:val="20"/>
              </w:rPr>
              <w:t>期</w:t>
            </w:r>
            <w:r>
              <w:rPr>
                <w:rFonts w:ascii="宋体" w:hAnsi="宋体" w:eastAsia="宋体" w:cs="宋体"/>
                <w:spacing w:val="11"/>
                <w:sz w:val="20"/>
                <w:szCs w:val="20"/>
              </w:rPr>
              <w:t>间租用或购买的洒水车，对施工路段进行洒水降尘，通过加强洒水频次，防止扬</w:t>
            </w:r>
            <w:r>
              <w:rPr>
                <w:rFonts w:ascii="宋体" w:hAnsi="宋体" w:eastAsia="宋体" w:cs="宋体"/>
                <w:sz w:val="20"/>
                <w:szCs w:val="20"/>
              </w:rPr>
              <w:t xml:space="preserve"> </w:t>
            </w:r>
            <w:r>
              <w:rPr>
                <w:rFonts w:ascii="宋体" w:hAnsi="宋体" w:eastAsia="宋体" w:cs="宋体"/>
                <w:spacing w:val="16"/>
                <w:sz w:val="20"/>
                <w:szCs w:val="20"/>
              </w:rPr>
              <w:t>尘污</w:t>
            </w:r>
            <w:r>
              <w:rPr>
                <w:rFonts w:ascii="宋体" w:hAnsi="宋体" w:eastAsia="宋体" w:cs="宋体"/>
                <w:spacing w:val="11"/>
                <w:sz w:val="20"/>
                <w:szCs w:val="20"/>
              </w:rPr>
              <w:t>染</w:t>
            </w:r>
            <w:r>
              <w:rPr>
                <w:rFonts w:ascii="宋体" w:hAnsi="宋体" w:eastAsia="宋体" w:cs="宋体"/>
                <w:spacing w:val="8"/>
                <w:sz w:val="20"/>
                <w:szCs w:val="20"/>
              </w:rPr>
              <w:t xml:space="preserve">，在大风天气加大洒水量及洒水次数。施工单位在施工进出口外侧 </w:t>
            </w:r>
            <w:r>
              <w:rPr>
                <w:rFonts w:ascii="Times New Roman" w:hAnsi="Times New Roman" w:eastAsia="Times New Roman" w:cs="Times New Roman"/>
                <w:spacing w:val="8"/>
                <w:sz w:val="20"/>
                <w:szCs w:val="20"/>
              </w:rPr>
              <w:t>10</w:t>
            </w:r>
            <w:r>
              <w:rPr>
                <w:rFonts w:ascii="Times New Roman" w:hAnsi="Times New Roman" w:eastAsia="Times New Roman" w:cs="Times New Roman"/>
                <w:sz w:val="20"/>
                <w:szCs w:val="20"/>
              </w:rPr>
              <w:t>m</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范围内及</w:t>
            </w:r>
          </w:p>
          <w:p>
            <w:pPr>
              <w:spacing w:before="1" w:line="227" w:lineRule="auto"/>
              <w:ind w:left="106"/>
              <w:rPr>
                <w:rFonts w:ascii="宋体" w:hAnsi="宋体" w:eastAsia="宋体" w:cs="宋体"/>
                <w:sz w:val="20"/>
                <w:szCs w:val="20"/>
              </w:rPr>
            </w:pPr>
            <w:r>
              <w:rPr>
                <w:rFonts w:ascii="宋体" w:hAnsi="宋体" w:eastAsia="宋体" w:cs="宋体"/>
                <w:spacing w:val="22"/>
                <w:sz w:val="20"/>
                <w:szCs w:val="20"/>
              </w:rPr>
              <w:t>场内</w:t>
            </w:r>
            <w:r>
              <w:rPr>
                <w:rFonts w:ascii="宋体" w:hAnsi="宋体" w:eastAsia="宋体" w:cs="宋体"/>
                <w:spacing w:val="17"/>
                <w:sz w:val="20"/>
                <w:szCs w:val="20"/>
              </w:rPr>
              <w:t>主</w:t>
            </w:r>
            <w:r>
              <w:rPr>
                <w:rFonts w:ascii="宋体" w:hAnsi="宋体" w:eastAsia="宋体" w:cs="宋体"/>
                <w:spacing w:val="11"/>
                <w:sz w:val="20"/>
                <w:szCs w:val="20"/>
              </w:rPr>
              <w:t>要通道必须硬化，现场必须设置排水沟和沉砂池，沉砂池设置安全防护盖。为减</w:t>
            </w:r>
          </w:p>
        </w:tc>
      </w:tr>
    </w:tbl>
    <w:p>
      <w:pPr>
        <w:spacing w:line="181" w:lineRule="exact"/>
        <w:rPr>
          <w:rFonts w:ascii="Arial"/>
          <w:sz w:val="15"/>
        </w:rPr>
      </w:pPr>
    </w:p>
    <w:p>
      <w:pPr>
        <w:sectPr>
          <w:footerReference r:id="rId90" w:type="default"/>
          <w:pgSz w:w="11907" w:h="16840"/>
          <w:pgMar w:top="400" w:right="1476" w:bottom="1477" w:left="1475" w:header="0" w:footer="1317" w:gutter="0"/>
          <w:cols w:space="720" w:num="1"/>
        </w:sectPr>
      </w:pPr>
    </w:p>
    <w:p/>
    <w:p/>
    <w:p/>
    <w:p/>
    <w:p>
      <w:pPr>
        <w:spacing w:line="221" w:lineRule="exact"/>
      </w:pPr>
    </w:p>
    <w:tbl>
      <w:tblPr>
        <w:tblStyle w:val="4"/>
        <w:tblW w:w="894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82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7" w:hRule="atLeast"/>
        </w:trPr>
        <w:tc>
          <w:tcPr>
            <w:tcW w:w="724" w:type="dxa"/>
            <w:tcBorders>
              <w:left w:val="single" w:color="00000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31" w:lineRule="auto"/>
              <w:ind w:left="129"/>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施工</w:t>
            </w:r>
          </w:p>
          <w:p>
            <w:pPr>
              <w:spacing w:before="21" w:line="228" w:lineRule="auto"/>
              <w:ind w:left="133"/>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期生</w:t>
            </w:r>
          </w:p>
          <w:p>
            <w:pPr>
              <w:spacing w:before="25" w:line="230" w:lineRule="auto"/>
              <w:ind w:left="130"/>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态</w:t>
            </w:r>
            <w:r>
              <w:rPr>
                <w:rFonts w:ascii="宋体" w:hAnsi="宋体" w:eastAsia="宋体" w:cs="宋体"/>
                <w:spacing w:val="15"/>
                <w:sz w:val="20"/>
                <w:szCs w:val="20"/>
                <w14:textOutline w14:w="3795" w14:cap="sq" w14:cmpd="sng">
                  <w14:solidFill>
                    <w14:srgbClr w14:val="000000"/>
                  </w14:solidFill>
                  <w14:prstDash w14:val="solid"/>
                  <w14:bevel/>
                </w14:textOutline>
              </w:rPr>
              <w:t>环</w:t>
            </w:r>
          </w:p>
          <w:p>
            <w:pPr>
              <w:spacing w:before="22" w:line="228" w:lineRule="auto"/>
              <w:ind w:left="131"/>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境保</w:t>
            </w:r>
          </w:p>
          <w:p>
            <w:pPr>
              <w:spacing w:before="25" w:line="228" w:lineRule="auto"/>
              <w:ind w:left="131"/>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护措</w:t>
            </w:r>
          </w:p>
          <w:p>
            <w:pPr>
              <w:spacing w:before="25" w:line="231" w:lineRule="auto"/>
              <w:ind w:left="244"/>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施</w:t>
            </w:r>
          </w:p>
        </w:tc>
        <w:tc>
          <w:tcPr>
            <w:tcW w:w="8216" w:type="dxa"/>
            <w:tcBorders>
              <w:right w:val="single" w:color="000000" w:sz="6" w:space="0"/>
            </w:tcBorders>
            <w:vAlign w:val="top"/>
          </w:tcPr>
          <w:p>
            <w:pPr>
              <w:spacing w:before="154" w:line="370" w:lineRule="auto"/>
              <w:ind w:left="107" w:right="52"/>
              <w:rPr>
                <w:rFonts w:ascii="宋体" w:hAnsi="宋体" w:eastAsia="宋体" w:cs="宋体"/>
                <w:sz w:val="20"/>
                <w:szCs w:val="20"/>
              </w:rPr>
            </w:pPr>
            <w:r>
              <w:rPr>
                <w:rFonts w:ascii="宋体" w:hAnsi="宋体" w:eastAsia="宋体" w:cs="宋体"/>
                <w:spacing w:val="22"/>
                <w:sz w:val="20"/>
                <w:szCs w:val="20"/>
              </w:rPr>
              <w:t>少道</w:t>
            </w:r>
            <w:r>
              <w:rPr>
                <w:rFonts w:ascii="宋体" w:hAnsi="宋体" w:eastAsia="宋体" w:cs="宋体"/>
                <w:spacing w:val="16"/>
                <w:sz w:val="20"/>
                <w:szCs w:val="20"/>
              </w:rPr>
              <w:t>路</w:t>
            </w:r>
            <w:r>
              <w:rPr>
                <w:rFonts w:ascii="宋体" w:hAnsi="宋体" w:eastAsia="宋体" w:cs="宋体"/>
                <w:spacing w:val="11"/>
                <w:sz w:val="20"/>
                <w:szCs w:val="20"/>
              </w:rPr>
              <w:t>扬尘，工地内必须设置车辆车身、轮胎冲洗台，配备高压水枪，运输车辆驶出工</w:t>
            </w:r>
            <w:r>
              <w:rPr>
                <w:rFonts w:ascii="宋体" w:hAnsi="宋体" w:eastAsia="宋体" w:cs="宋体"/>
                <w:sz w:val="20"/>
                <w:szCs w:val="20"/>
              </w:rPr>
              <w:t xml:space="preserve"> </w:t>
            </w:r>
            <w:r>
              <w:rPr>
                <w:rFonts w:ascii="宋体" w:hAnsi="宋体" w:eastAsia="宋体" w:cs="宋体"/>
                <w:spacing w:val="18"/>
                <w:sz w:val="20"/>
                <w:szCs w:val="20"/>
              </w:rPr>
              <w:t>地</w:t>
            </w:r>
            <w:r>
              <w:rPr>
                <w:rFonts w:ascii="宋体" w:hAnsi="宋体" w:eastAsia="宋体" w:cs="宋体"/>
                <w:spacing w:val="16"/>
                <w:sz w:val="20"/>
                <w:szCs w:val="20"/>
              </w:rPr>
              <w:t>大</w:t>
            </w:r>
            <w:r>
              <w:rPr>
                <w:rFonts w:ascii="宋体" w:hAnsi="宋体" w:eastAsia="宋体" w:cs="宋体"/>
                <w:spacing w:val="9"/>
                <w:sz w:val="20"/>
                <w:szCs w:val="20"/>
              </w:rPr>
              <w:t>门前，建设单位必须指定专人进行冲洗，冲洗污水必须经排水沟流入沉砂池。</w:t>
            </w:r>
          </w:p>
          <w:p>
            <w:pPr>
              <w:spacing w:line="369" w:lineRule="auto"/>
              <w:ind w:left="108" w:firstLine="478"/>
              <w:rPr>
                <w:rFonts w:ascii="宋体" w:hAnsi="宋体" w:eastAsia="宋体" w:cs="宋体"/>
                <w:sz w:val="20"/>
                <w:szCs w:val="20"/>
              </w:rPr>
            </w:pPr>
            <w:r>
              <w:rPr>
                <w:rFonts w:ascii="宋体" w:hAnsi="宋体" w:eastAsia="宋体" w:cs="宋体"/>
                <w:spacing w:val="20"/>
                <w:sz w:val="17"/>
                <w:szCs w:val="17"/>
              </w:rPr>
              <w:t xml:space="preserve">6 </w:t>
            </w:r>
            <w:r>
              <w:rPr>
                <w:rFonts w:ascii="宋体" w:hAnsi="宋体" w:eastAsia="宋体" w:cs="宋体"/>
                <w:spacing w:val="18"/>
                <w:sz w:val="17"/>
                <w:szCs w:val="17"/>
              </w:rPr>
              <w:t xml:space="preserve"> </w:t>
            </w:r>
            <w:r>
              <w:rPr>
                <w:rFonts w:ascii="宋体" w:hAnsi="宋体" w:eastAsia="宋体" w:cs="宋体"/>
                <w:spacing w:val="10"/>
                <w:sz w:val="17"/>
                <w:szCs w:val="17"/>
              </w:rPr>
              <w:t xml:space="preserve"> </w:t>
            </w:r>
            <w:r>
              <w:rPr>
                <w:rFonts w:ascii="宋体" w:hAnsi="宋体" w:eastAsia="宋体" w:cs="宋体"/>
                <w:spacing w:val="10"/>
                <w:sz w:val="20"/>
                <w:szCs w:val="20"/>
              </w:rPr>
              <w:t>施工临时道路及场地内运输通道应及时清扫、冲洗和洒水降尘，定期对道路进</w:t>
            </w:r>
            <w:r>
              <w:rPr>
                <w:rFonts w:ascii="宋体" w:hAnsi="宋体" w:eastAsia="宋体" w:cs="宋体"/>
                <w:sz w:val="20"/>
                <w:szCs w:val="20"/>
              </w:rPr>
              <w:t xml:space="preserve"> </w:t>
            </w:r>
            <w:r>
              <w:rPr>
                <w:rFonts w:ascii="宋体" w:hAnsi="宋体" w:eastAsia="宋体" w:cs="宋体"/>
                <w:spacing w:val="16"/>
                <w:sz w:val="20"/>
                <w:szCs w:val="20"/>
              </w:rPr>
              <w:t>行维</w:t>
            </w:r>
            <w:r>
              <w:rPr>
                <w:rFonts w:ascii="宋体" w:hAnsi="宋体" w:eastAsia="宋体" w:cs="宋体"/>
                <w:spacing w:val="9"/>
                <w:sz w:val="20"/>
                <w:szCs w:val="20"/>
              </w:rPr>
              <w:t>护</w:t>
            </w:r>
            <w:r>
              <w:rPr>
                <w:rFonts w:ascii="宋体" w:hAnsi="宋体" w:eastAsia="宋体" w:cs="宋体"/>
                <w:spacing w:val="8"/>
                <w:sz w:val="20"/>
                <w:szCs w:val="20"/>
              </w:rPr>
              <w:t>保养，避免出现坑洼， 以减少汽车行驶扬尘；运输车辆进入施工场地低速行驶或</w:t>
            </w:r>
            <w:r>
              <w:rPr>
                <w:rFonts w:ascii="宋体" w:hAnsi="宋体" w:eastAsia="宋体" w:cs="宋体"/>
                <w:sz w:val="20"/>
                <w:szCs w:val="20"/>
              </w:rPr>
              <w:t xml:space="preserve"> </w:t>
            </w:r>
            <w:r>
              <w:rPr>
                <w:rFonts w:ascii="宋体" w:hAnsi="宋体" w:eastAsia="宋体" w:cs="宋体"/>
                <w:spacing w:val="14"/>
                <w:sz w:val="20"/>
                <w:szCs w:val="20"/>
              </w:rPr>
              <w:t>限速行</w:t>
            </w:r>
            <w:r>
              <w:rPr>
                <w:rFonts w:ascii="宋体" w:hAnsi="宋体" w:eastAsia="宋体" w:cs="宋体"/>
                <w:spacing w:val="10"/>
                <w:sz w:val="20"/>
                <w:szCs w:val="20"/>
              </w:rPr>
              <w:t>驶</w:t>
            </w:r>
            <w:r>
              <w:rPr>
                <w:rFonts w:ascii="宋体" w:hAnsi="宋体" w:eastAsia="宋体" w:cs="宋体"/>
                <w:spacing w:val="7"/>
                <w:sz w:val="20"/>
                <w:szCs w:val="20"/>
              </w:rPr>
              <w:t>，以减少产尘量；所有来往施工场地的多尘物料均用帆布覆盖。运输建筑材料、</w:t>
            </w:r>
            <w:r>
              <w:rPr>
                <w:rFonts w:ascii="宋体" w:hAnsi="宋体" w:eastAsia="宋体" w:cs="宋体"/>
                <w:sz w:val="20"/>
                <w:szCs w:val="20"/>
              </w:rPr>
              <w:t xml:space="preserve"> </w:t>
            </w:r>
            <w:r>
              <w:rPr>
                <w:rFonts w:ascii="宋体" w:hAnsi="宋体" w:eastAsia="宋体" w:cs="宋体"/>
                <w:spacing w:val="22"/>
                <w:sz w:val="20"/>
                <w:szCs w:val="20"/>
              </w:rPr>
              <w:t>建</w:t>
            </w:r>
            <w:r>
              <w:rPr>
                <w:rFonts w:ascii="宋体" w:hAnsi="宋体" w:eastAsia="宋体" w:cs="宋体"/>
                <w:spacing w:val="11"/>
                <w:sz w:val="20"/>
                <w:szCs w:val="20"/>
              </w:rPr>
              <w:t>渣等车辆，在驶出施工工地前，要做好遮蔽、清洁等工作，防止建渣四处散落，污染</w:t>
            </w:r>
            <w:r>
              <w:rPr>
                <w:rFonts w:ascii="宋体" w:hAnsi="宋体" w:eastAsia="宋体" w:cs="宋体"/>
                <w:sz w:val="20"/>
                <w:szCs w:val="20"/>
              </w:rPr>
              <w:t xml:space="preserve"> </w:t>
            </w:r>
            <w:r>
              <w:rPr>
                <w:rFonts w:ascii="宋体" w:hAnsi="宋体" w:eastAsia="宋体" w:cs="宋体"/>
                <w:spacing w:val="6"/>
                <w:sz w:val="20"/>
                <w:szCs w:val="20"/>
              </w:rPr>
              <w:t>周</w:t>
            </w:r>
            <w:r>
              <w:rPr>
                <w:rFonts w:ascii="宋体" w:hAnsi="宋体" w:eastAsia="宋体" w:cs="宋体"/>
                <w:spacing w:val="5"/>
                <w:sz w:val="20"/>
                <w:szCs w:val="20"/>
              </w:rPr>
              <w:t>边环境。</w:t>
            </w:r>
          </w:p>
          <w:p>
            <w:pPr>
              <w:spacing w:line="226" w:lineRule="auto"/>
              <w:ind w:left="537"/>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5"/>
                <w:sz w:val="20"/>
                <w:szCs w:val="20"/>
              </w:rPr>
              <w:t>3</w:t>
            </w:r>
            <w:r>
              <w:rPr>
                <w:rFonts w:ascii="宋体" w:hAnsi="宋体" w:eastAsia="宋体" w:cs="宋体"/>
                <w:spacing w:val="15"/>
                <w:sz w:val="20"/>
                <w:szCs w:val="20"/>
                <w14:textOutline w14:w="3795" w14:cap="sq" w14:cmpd="sng">
                  <w14:solidFill>
                    <w14:srgbClr w14:val="000000"/>
                  </w14:solidFill>
                  <w14:prstDash w14:val="solid"/>
                  <w14:bevel/>
                </w14:textOutline>
              </w:rPr>
              <w:t>)</w:t>
            </w:r>
            <w:r>
              <w:rPr>
                <w:rFonts w:ascii="宋体" w:hAnsi="宋体" w:eastAsia="宋体" w:cs="宋体"/>
                <w:spacing w:val="15"/>
                <w:sz w:val="20"/>
                <w:szCs w:val="20"/>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施工车辆及机械废气</w:t>
            </w:r>
          </w:p>
          <w:p>
            <w:pPr>
              <w:spacing w:before="154" w:line="369" w:lineRule="auto"/>
              <w:ind w:left="53" w:right="49" w:firstLine="420"/>
              <w:rPr>
                <w:rFonts w:ascii="宋体" w:hAnsi="宋体" w:eastAsia="宋体" w:cs="宋体"/>
                <w:sz w:val="20"/>
                <w:szCs w:val="20"/>
              </w:rPr>
            </w:pPr>
            <w:r>
              <w:rPr>
                <w:rFonts w:ascii="宋体" w:hAnsi="宋体" w:eastAsia="宋体" w:cs="宋体"/>
                <w:spacing w:val="6"/>
                <w:sz w:val="20"/>
                <w:szCs w:val="20"/>
              </w:rPr>
              <w:t xml:space="preserve">施工车辆及机械废气在整个施工过程中均会产生，主要污染物为 </w:t>
            </w:r>
            <w:r>
              <w:rPr>
                <w:rFonts w:ascii="Times New Roman" w:hAnsi="Times New Roman" w:eastAsia="Times New Roman" w:cs="Times New Roman"/>
                <w:sz w:val="20"/>
                <w:szCs w:val="20"/>
              </w:rPr>
              <w:t>CO</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，烃类，</w:t>
            </w:r>
            <w:r>
              <w:rPr>
                <w:rFonts w:ascii="Times New Roman" w:hAnsi="Times New Roman" w:eastAsia="Times New Roman" w:cs="Times New Roman"/>
                <w:sz w:val="20"/>
                <w:szCs w:val="20"/>
              </w:rPr>
              <w:t>NOx</w:t>
            </w:r>
            <w:r>
              <w:rPr>
                <w:rFonts w:ascii="Times New Roman" w:hAnsi="Times New Roman" w:eastAsia="Times New Roman" w:cs="Times New Roman"/>
                <w:spacing w:val="6"/>
                <w:sz w:val="20"/>
                <w:szCs w:val="20"/>
              </w:rPr>
              <w:t xml:space="preserve"> </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14"/>
                <w:sz w:val="20"/>
                <w:szCs w:val="20"/>
              </w:rPr>
              <w:t>但由于本</w:t>
            </w:r>
            <w:r>
              <w:rPr>
                <w:rFonts w:ascii="宋体" w:hAnsi="宋体" w:eastAsia="宋体" w:cs="宋体"/>
                <w:spacing w:val="9"/>
                <w:sz w:val="20"/>
                <w:szCs w:val="20"/>
              </w:rPr>
              <w:t>项</w:t>
            </w:r>
            <w:r>
              <w:rPr>
                <w:rFonts w:ascii="宋体" w:hAnsi="宋体" w:eastAsia="宋体" w:cs="宋体"/>
                <w:spacing w:val="7"/>
                <w:sz w:val="20"/>
                <w:szCs w:val="20"/>
              </w:rPr>
              <w:t>目路线长，施工机械较为分散，且所处区域空气质量好，流动性较大，自净能</w:t>
            </w:r>
            <w:r>
              <w:rPr>
                <w:rFonts w:ascii="宋体" w:hAnsi="宋体" w:eastAsia="宋体" w:cs="宋体"/>
                <w:sz w:val="20"/>
                <w:szCs w:val="20"/>
              </w:rPr>
              <w:t xml:space="preserve"> </w:t>
            </w:r>
            <w:r>
              <w:rPr>
                <w:rFonts w:ascii="宋体" w:hAnsi="宋体" w:eastAsia="宋体" w:cs="宋体"/>
                <w:spacing w:val="14"/>
                <w:sz w:val="20"/>
                <w:szCs w:val="20"/>
              </w:rPr>
              <w:t>力强，</w:t>
            </w:r>
            <w:r>
              <w:rPr>
                <w:rFonts w:ascii="宋体" w:hAnsi="宋体" w:eastAsia="宋体" w:cs="宋体"/>
                <w:spacing w:val="13"/>
                <w:sz w:val="20"/>
                <w:szCs w:val="20"/>
              </w:rPr>
              <w:t>同</w:t>
            </w:r>
            <w:r>
              <w:rPr>
                <w:rFonts w:ascii="宋体" w:hAnsi="宋体" w:eastAsia="宋体" w:cs="宋体"/>
                <w:spacing w:val="7"/>
                <w:sz w:val="20"/>
                <w:szCs w:val="20"/>
              </w:rPr>
              <w:t>时施工期污染均为短期污染，汽车尾气及燃油机械废气会随着施工结束而逐渐消</w:t>
            </w:r>
            <w:r>
              <w:rPr>
                <w:rFonts w:ascii="宋体" w:hAnsi="宋体" w:eastAsia="宋体" w:cs="宋体"/>
                <w:sz w:val="20"/>
                <w:szCs w:val="20"/>
              </w:rPr>
              <w:t xml:space="preserve"> </w:t>
            </w:r>
            <w:r>
              <w:rPr>
                <w:rFonts w:ascii="宋体" w:hAnsi="宋体" w:eastAsia="宋体" w:cs="宋体"/>
                <w:spacing w:val="1"/>
                <w:sz w:val="20"/>
                <w:szCs w:val="20"/>
              </w:rPr>
              <w:t>失。</w:t>
            </w:r>
          </w:p>
          <w:p>
            <w:pPr>
              <w:spacing w:before="2" w:line="369" w:lineRule="auto"/>
              <w:ind w:left="54" w:right="49" w:firstLine="420"/>
              <w:rPr>
                <w:rFonts w:ascii="宋体" w:hAnsi="宋体" w:eastAsia="宋体" w:cs="宋体"/>
                <w:sz w:val="20"/>
                <w:szCs w:val="20"/>
              </w:rPr>
            </w:pPr>
            <w:r>
              <w:rPr>
                <w:rFonts w:ascii="宋体" w:hAnsi="宋体" w:eastAsia="宋体" w:cs="宋体"/>
                <w:spacing w:val="14"/>
                <w:sz w:val="20"/>
                <w:szCs w:val="20"/>
              </w:rPr>
              <w:t>针对施</w:t>
            </w:r>
            <w:r>
              <w:rPr>
                <w:rFonts w:ascii="宋体" w:hAnsi="宋体" w:eastAsia="宋体" w:cs="宋体"/>
                <w:spacing w:val="8"/>
                <w:sz w:val="20"/>
                <w:szCs w:val="20"/>
              </w:rPr>
              <w:t>工</w:t>
            </w:r>
            <w:r>
              <w:rPr>
                <w:rFonts w:ascii="宋体" w:hAnsi="宋体" w:eastAsia="宋体" w:cs="宋体"/>
                <w:spacing w:val="7"/>
                <w:sz w:val="20"/>
                <w:szCs w:val="20"/>
              </w:rPr>
              <w:t>车辆及机械废气，本项目拟采取加强车辆及机械的维护管理等控制措施，以</w:t>
            </w:r>
            <w:r>
              <w:rPr>
                <w:rFonts w:ascii="宋体" w:hAnsi="宋体" w:eastAsia="宋体" w:cs="宋体"/>
                <w:sz w:val="20"/>
                <w:szCs w:val="20"/>
              </w:rPr>
              <w:t xml:space="preserve"> </w:t>
            </w:r>
            <w:r>
              <w:rPr>
                <w:rFonts w:ascii="宋体" w:hAnsi="宋体" w:eastAsia="宋体" w:cs="宋体"/>
                <w:spacing w:val="16"/>
                <w:sz w:val="20"/>
                <w:szCs w:val="20"/>
              </w:rPr>
              <w:t>减</w:t>
            </w:r>
            <w:r>
              <w:rPr>
                <w:rFonts w:ascii="宋体" w:hAnsi="宋体" w:eastAsia="宋体" w:cs="宋体"/>
                <w:spacing w:val="9"/>
                <w:sz w:val="20"/>
                <w:szCs w:val="20"/>
              </w:rPr>
              <w:t>少</w:t>
            </w:r>
            <w:r>
              <w:rPr>
                <w:rFonts w:ascii="宋体" w:hAnsi="宋体" w:eastAsia="宋体" w:cs="宋体"/>
                <w:spacing w:val="8"/>
                <w:sz w:val="20"/>
                <w:szCs w:val="20"/>
              </w:rPr>
              <w:t>施工车辆及机械废气的排放。</w:t>
            </w:r>
          </w:p>
          <w:p>
            <w:pPr>
              <w:spacing w:line="227" w:lineRule="auto"/>
              <w:ind w:left="537"/>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4"/>
                <w:sz w:val="20"/>
                <w:szCs w:val="20"/>
              </w:rPr>
              <w:t>4</w:t>
            </w:r>
            <w:r>
              <w:rPr>
                <w:rFonts w:ascii="宋体" w:hAnsi="宋体" w:eastAsia="宋体" w:cs="宋体"/>
                <w:spacing w:val="14"/>
                <w:sz w:val="20"/>
                <w:szCs w:val="20"/>
                <w14:textOutline w14:w="3795" w14:cap="sq" w14:cmpd="sng">
                  <w14:solidFill>
                    <w14:srgbClr w14:val="000000"/>
                  </w14:solidFill>
                  <w14:prstDash w14:val="solid"/>
                  <w14:bevel/>
                </w14:textOutline>
              </w:rPr>
              <w:t>)</w:t>
            </w:r>
            <w:r>
              <w:rPr>
                <w:rFonts w:ascii="宋体" w:hAnsi="宋体" w:eastAsia="宋体" w:cs="宋体"/>
                <w:spacing w:val="14"/>
                <w:sz w:val="20"/>
                <w:szCs w:val="20"/>
              </w:rPr>
              <w:t xml:space="preserve"> </w:t>
            </w:r>
            <w:r>
              <w:rPr>
                <w:rFonts w:ascii="宋体" w:hAnsi="宋体" w:eastAsia="宋体" w:cs="宋体"/>
                <w:spacing w:val="14"/>
                <w:sz w:val="20"/>
                <w:szCs w:val="20"/>
                <w14:textOutline w14:w="3795" w14:cap="sq" w14:cmpd="sng">
                  <w14:solidFill>
                    <w14:srgbClr w14:val="000000"/>
                  </w14:solidFill>
                  <w14:prstDash w14:val="solid"/>
                  <w14:bevel/>
                </w14:textOutline>
              </w:rPr>
              <w:t>临时土石方堆场、施工材料堆场扬</w:t>
            </w:r>
            <w:r>
              <w:rPr>
                <w:rFonts w:ascii="宋体" w:hAnsi="宋体" w:eastAsia="宋体" w:cs="宋体"/>
                <w:spacing w:val="13"/>
                <w:sz w:val="20"/>
                <w:szCs w:val="20"/>
                <w14:textOutline w14:w="3795" w14:cap="sq" w14:cmpd="sng">
                  <w14:solidFill>
                    <w14:srgbClr w14:val="000000"/>
                  </w14:solidFill>
                  <w14:prstDash w14:val="solid"/>
                  <w14:bevel/>
                </w14:textOutline>
              </w:rPr>
              <w:t>尘</w:t>
            </w:r>
          </w:p>
          <w:p>
            <w:pPr>
              <w:spacing w:before="153" w:line="225" w:lineRule="auto"/>
              <w:ind w:left="473"/>
              <w:rPr>
                <w:rFonts w:ascii="宋体" w:hAnsi="宋体" w:eastAsia="宋体" w:cs="宋体"/>
                <w:sz w:val="20"/>
                <w:szCs w:val="20"/>
              </w:rPr>
            </w:pPr>
            <w:r>
              <w:rPr>
                <w:rFonts w:ascii="宋体" w:hAnsi="宋体" w:eastAsia="宋体" w:cs="宋体"/>
                <w:spacing w:val="6"/>
                <w:sz w:val="20"/>
                <w:szCs w:val="20"/>
              </w:rPr>
              <w:t>①加强临</w:t>
            </w:r>
            <w:r>
              <w:rPr>
                <w:rFonts w:ascii="宋体" w:hAnsi="宋体" w:eastAsia="宋体" w:cs="宋体"/>
                <w:spacing w:val="3"/>
                <w:sz w:val="20"/>
                <w:szCs w:val="20"/>
              </w:rPr>
              <w:t>时土石方 (含表土) 、施工材料堆场的管理，临时堆场采取覆盖、洒水措施。</w:t>
            </w:r>
          </w:p>
          <w:p>
            <w:pPr>
              <w:spacing w:before="157" w:line="225" w:lineRule="auto"/>
              <w:ind w:left="473"/>
              <w:rPr>
                <w:rFonts w:ascii="宋体" w:hAnsi="宋体" w:eastAsia="宋体" w:cs="宋体"/>
                <w:sz w:val="20"/>
                <w:szCs w:val="20"/>
              </w:rPr>
            </w:pPr>
            <w:r>
              <w:rPr>
                <w:rFonts w:ascii="宋体" w:hAnsi="宋体" w:eastAsia="宋体" w:cs="宋体"/>
                <w:spacing w:val="14"/>
                <w:sz w:val="20"/>
                <w:szCs w:val="20"/>
              </w:rPr>
              <w:t>②施工</w:t>
            </w:r>
            <w:r>
              <w:rPr>
                <w:rFonts w:ascii="宋体" w:hAnsi="宋体" w:eastAsia="宋体" w:cs="宋体"/>
                <w:spacing w:val="10"/>
                <w:sz w:val="20"/>
                <w:szCs w:val="20"/>
              </w:rPr>
              <w:t>结</w:t>
            </w:r>
            <w:r>
              <w:rPr>
                <w:rFonts w:ascii="宋体" w:hAnsi="宋体" w:eastAsia="宋体" w:cs="宋体"/>
                <w:spacing w:val="7"/>
                <w:sz w:val="20"/>
                <w:szCs w:val="20"/>
              </w:rPr>
              <w:t>束后，应尽早对场区内的裸露地面进行绿化，减少扬尘的产生量和预防水土</w:t>
            </w:r>
          </w:p>
          <w:p>
            <w:pPr>
              <w:spacing w:before="156" w:line="369" w:lineRule="auto"/>
              <w:ind w:left="55"/>
              <w:rPr>
                <w:rFonts w:ascii="宋体" w:hAnsi="宋体" w:eastAsia="宋体" w:cs="宋体"/>
                <w:sz w:val="20"/>
                <w:szCs w:val="20"/>
              </w:rPr>
            </w:pPr>
            <w:r>
              <w:rPr>
                <w:rFonts w:ascii="宋体" w:hAnsi="宋体" w:eastAsia="宋体" w:cs="宋体"/>
                <w:spacing w:val="6"/>
                <w:sz w:val="20"/>
                <w:szCs w:val="20"/>
              </w:rPr>
              <w:t>流失。可选取栽种易存</w:t>
            </w:r>
            <w:r>
              <w:rPr>
                <w:rFonts w:ascii="宋体" w:hAnsi="宋体" w:eastAsia="宋体" w:cs="宋体"/>
                <w:spacing w:val="3"/>
                <w:sz w:val="20"/>
                <w:szCs w:val="20"/>
              </w:rPr>
              <w:t>活、好管理的本地品种，增大场区内、外的绿化面积，做到草、灌、</w:t>
            </w:r>
            <w:r>
              <w:rPr>
                <w:rFonts w:ascii="宋体" w:hAnsi="宋体" w:eastAsia="宋体" w:cs="宋体"/>
                <w:sz w:val="20"/>
                <w:szCs w:val="20"/>
              </w:rPr>
              <w:t xml:space="preserve"> </w:t>
            </w:r>
            <w:r>
              <w:rPr>
                <w:rFonts w:ascii="宋体" w:hAnsi="宋体" w:eastAsia="宋体" w:cs="宋体"/>
                <w:spacing w:val="6"/>
                <w:sz w:val="20"/>
                <w:szCs w:val="20"/>
              </w:rPr>
              <w:t>木</w:t>
            </w:r>
            <w:r>
              <w:rPr>
                <w:rFonts w:ascii="宋体" w:hAnsi="宋体" w:eastAsia="宋体" w:cs="宋体"/>
                <w:spacing w:val="5"/>
                <w:sz w:val="20"/>
                <w:szCs w:val="20"/>
              </w:rPr>
              <w:t>相结合。</w:t>
            </w:r>
          </w:p>
          <w:p>
            <w:pPr>
              <w:spacing w:before="1" w:line="226" w:lineRule="auto"/>
              <w:ind w:left="537"/>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8"/>
                <w:sz w:val="20"/>
                <w:szCs w:val="20"/>
              </w:rPr>
              <w:t>5</w:t>
            </w: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宋体" w:hAnsi="宋体" w:eastAsia="宋体" w:cs="宋体"/>
                <w:spacing w:val="18"/>
                <w:sz w:val="20"/>
                <w:szCs w:val="20"/>
              </w:rPr>
              <w:t xml:space="preserve"> </w:t>
            </w:r>
            <w:r>
              <w:rPr>
                <w:rFonts w:ascii="宋体" w:hAnsi="宋体" w:eastAsia="宋体" w:cs="宋体"/>
                <w:spacing w:val="18"/>
                <w:sz w:val="20"/>
                <w:szCs w:val="20"/>
                <w14:textOutline w14:w="3795" w14:cap="sq" w14:cmpd="sng">
                  <w14:solidFill>
                    <w14:srgbClr w14:val="000000"/>
                  </w14:solidFill>
                  <w14:prstDash w14:val="solid"/>
                  <w14:bevel/>
                </w14:textOutline>
              </w:rPr>
              <w:t>沥青烟气</w:t>
            </w:r>
          </w:p>
          <w:p>
            <w:pPr>
              <w:spacing w:before="156" w:line="369" w:lineRule="auto"/>
              <w:ind w:left="53" w:right="49" w:firstLine="421"/>
              <w:rPr>
                <w:rFonts w:ascii="宋体" w:hAnsi="宋体" w:eastAsia="宋体" w:cs="宋体"/>
                <w:sz w:val="20"/>
                <w:szCs w:val="20"/>
              </w:rPr>
            </w:pPr>
            <w:r>
              <w:rPr>
                <w:rFonts w:ascii="宋体" w:hAnsi="宋体" w:eastAsia="宋体" w:cs="宋体"/>
                <w:spacing w:val="14"/>
                <w:sz w:val="20"/>
                <w:szCs w:val="20"/>
              </w:rPr>
              <w:t>本项</w:t>
            </w:r>
            <w:r>
              <w:rPr>
                <w:rFonts w:ascii="宋体" w:hAnsi="宋体" w:eastAsia="宋体" w:cs="宋体"/>
                <w:spacing w:val="12"/>
                <w:sz w:val="20"/>
                <w:szCs w:val="20"/>
              </w:rPr>
              <w:t>目</w:t>
            </w:r>
            <w:r>
              <w:rPr>
                <w:rFonts w:ascii="宋体" w:hAnsi="宋体" w:eastAsia="宋体" w:cs="宋体"/>
                <w:spacing w:val="7"/>
                <w:sz w:val="20"/>
                <w:szCs w:val="20"/>
              </w:rPr>
              <w:t>所采用的铺路沥青由专门的厂家生产，用密封车运至现场摊铺，严禁在施工现</w:t>
            </w:r>
            <w:r>
              <w:rPr>
                <w:rFonts w:ascii="宋体" w:hAnsi="宋体" w:eastAsia="宋体" w:cs="宋体"/>
                <w:sz w:val="20"/>
                <w:szCs w:val="20"/>
              </w:rPr>
              <w:t xml:space="preserve"> </w:t>
            </w:r>
            <w:r>
              <w:rPr>
                <w:rFonts w:ascii="宋体" w:hAnsi="宋体" w:eastAsia="宋体" w:cs="宋体"/>
                <w:spacing w:val="14"/>
                <w:sz w:val="20"/>
                <w:szCs w:val="20"/>
              </w:rPr>
              <w:t>场熬炼、</w:t>
            </w:r>
            <w:r>
              <w:rPr>
                <w:rFonts w:ascii="宋体" w:hAnsi="宋体" w:eastAsia="宋体" w:cs="宋体"/>
                <w:spacing w:val="8"/>
                <w:sz w:val="20"/>
                <w:szCs w:val="20"/>
              </w:rPr>
              <w:t>搅</w:t>
            </w:r>
            <w:r>
              <w:rPr>
                <w:rFonts w:ascii="宋体" w:hAnsi="宋体" w:eastAsia="宋体" w:cs="宋体"/>
                <w:spacing w:val="7"/>
                <w:sz w:val="20"/>
                <w:szCs w:val="20"/>
              </w:rPr>
              <w:t>拌沥青。因此，只在沥青摊铺过程中会产生沥青烟，其主要成分为总碳氢化合</w:t>
            </w:r>
            <w:r>
              <w:rPr>
                <w:rFonts w:ascii="宋体" w:hAnsi="宋体" w:eastAsia="宋体" w:cs="宋体"/>
                <w:sz w:val="20"/>
                <w:szCs w:val="20"/>
              </w:rPr>
              <w:t xml:space="preserve"> </w:t>
            </w:r>
            <w:r>
              <w:rPr>
                <w:rFonts w:ascii="宋体" w:hAnsi="宋体" w:eastAsia="宋体" w:cs="宋体"/>
                <w:spacing w:val="6"/>
                <w:sz w:val="20"/>
                <w:szCs w:val="20"/>
              </w:rPr>
              <w:t xml:space="preserve">物 </w:t>
            </w:r>
            <w:r>
              <w:rPr>
                <w:rFonts w:ascii="Times New Roman" w:hAnsi="Times New Roman" w:eastAsia="Times New Roman" w:cs="Times New Roman"/>
                <w:sz w:val="20"/>
                <w:szCs w:val="20"/>
              </w:rPr>
              <w:t>THC</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 xml:space="preserve">、总悬浮颗粒物 </w:t>
            </w:r>
            <w:r>
              <w:rPr>
                <w:rFonts w:ascii="Times New Roman" w:hAnsi="Times New Roman" w:eastAsia="Times New Roman" w:cs="Times New Roman"/>
                <w:sz w:val="20"/>
                <w:szCs w:val="20"/>
              </w:rPr>
              <w:t>TSP</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和苯并</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6"/>
                <w:sz w:val="20"/>
                <w:szCs w:val="20"/>
              </w:rPr>
              <w:t>]</w:t>
            </w:r>
            <w:r>
              <w:rPr>
                <w:rFonts w:ascii="宋体" w:hAnsi="宋体" w:eastAsia="宋体" w:cs="宋体"/>
                <w:spacing w:val="6"/>
                <w:sz w:val="20"/>
                <w:szCs w:val="20"/>
              </w:rPr>
              <w:t>芘等有害物质。由于沥青烟气对人体健康有较大</w:t>
            </w:r>
            <w:r>
              <w:rPr>
                <w:rFonts w:ascii="宋体" w:hAnsi="宋体" w:eastAsia="宋体" w:cs="宋体"/>
                <w:spacing w:val="5"/>
                <w:sz w:val="20"/>
                <w:szCs w:val="20"/>
              </w:rPr>
              <w:t>影</w:t>
            </w:r>
            <w:r>
              <w:rPr>
                <w:rFonts w:ascii="宋体" w:hAnsi="宋体" w:eastAsia="宋体" w:cs="宋体"/>
                <w:sz w:val="20"/>
                <w:szCs w:val="20"/>
              </w:rPr>
              <w:t xml:space="preserve"> </w:t>
            </w:r>
            <w:r>
              <w:rPr>
                <w:rFonts w:ascii="宋体" w:hAnsi="宋体" w:eastAsia="宋体" w:cs="宋体"/>
                <w:spacing w:val="14"/>
                <w:sz w:val="20"/>
                <w:szCs w:val="20"/>
              </w:rPr>
              <w:t>响，环</w:t>
            </w:r>
            <w:r>
              <w:rPr>
                <w:rFonts w:ascii="宋体" w:hAnsi="宋体" w:eastAsia="宋体" w:cs="宋体"/>
                <w:spacing w:val="13"/>
                <w:sz w:val="20"/>
                <w:szCs w:val="20"/>
              </w:rPr>
              <w:t>评</w:t>
            </w:r>
            <w:r>
              <w:rPr>
                <w:rFonts w:ascii="宋体" w:hAnsi="宋体" w:eastAsia="宋体" w:cs="宋体"/>
                <w:spacing w:val="7"/>
                <w:sz w:val="20"/>
                <w:szCs w:val="20"/>
              </w:rPr>
              <w:t>要求施工期要注意加强施工人员的职业卫生防护措施及安全防护措施，加强沥青</w:t>
            </w:r>
            <w:r>
              <w:rPr>
                <w:rFonts w:ascii="宋体" w:hAnsi="宋体" w:eastAsia="宋体" w:cs="宋体"/>
                <w:sz w:val="20"/>
                <w:szCs w:val="20"/>
              </w:rPr>
              <w:t xml:space="preserve"> </w:t>
            </w:r>
            <w:r>
              <w:rPr>
                <w:rFonts w:ascii="宋体" w:hAnsi="宋体" w:eastAsia="宋体" w:cs="宋体"/>
                <w:spacing w:val="14"/>
                <w:sz w:val="20"/>
                <w:szCs w:val="20"/>
              </w:rPr>
              <w:t>摊铺过</w:t>
            </w:r>
            <w:r>
              <w:rPr>
                <w:rFonts w:ascii="宋体" w:hAnsi="宋体" w:eastAsia="宋体" w:cs="宋体"/>
                <w:spacing w:val="13"/>
                <w:sz w:val="20"/>
                <w:szCs w:val="20"/>
              </w:rPr>
              <w:t>程</w:t>
            </w:r>
            <w:r>
              <w:rPr>
                <w:rFonts w:ascii="宋体" w:hAnsi="宋体" w:eastAsia="宋体" w:cs="宋体"/>
                <w:spacing w:val="7"/>
                <w:sz w:val="20"/>
                <w:szCs w:val="20"/>
              </w:rPr>
              <w:t>中的组织调度，缩短沥青摊铺周期；选择合理时间施工，如避开早晨、傍晚人们</w:t>
            </w:r>
            <w:r>
              <w:rPr>
                <w:rFonts w:ascii="宋体" w:hAnsi="宋体" w:eastAsia="宋体" w:cs="宋体"/>
                <w:sz w:val="20"/>
                <w:szCs w:val="20"/>
              </w:rPr>
              <w:t xml:space="preserve"> </w:t>
            </w:r>
            <w:r>
              <w:rPr>
                <w:rFonts w:ascii="宋体" w:hAnsi="宋体" w:eastAsia="宋体" w:cs="宋体"/>
                <w:spacing w:val="9"/>
                <w:sz w:val="20"/>
                <w:szCs w:val="20"/>
              </w:rPr>
              <w:t>出行高峰期时间，尽量减少沥青烟的影响</w:t>
            </w:r>
            <w:r>
              <w:rPr>
                <w:rFonts w:ascii="宋体" w:hAnsi="宋体" w:eastAsia="宋体" w:cs="宋体"/>
                <w:spacing w:val="8"/>
                <w:sz w:val="20"/>
                <w:szCs w:val="20"/>
              </w:rPr>
              <w:t>。</w:t>
            </w:r>
          </w:p>
          <w:p>
            <w:pPr>
              <w:spacing w:before="1" w:line="227" w:lineRule="auto"/>
              <w:ind w:left="537"/>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8"/>
                <w:sz w:val="20"/>
                <w:szCs w:val="20"/>
              </w:rPr>
              <w:t>6</w:t>
            </w: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宋体" w:hAnsi="宋体" w:eastAsia="宋体" w:cs="宋体"/>
                <w:spacing w:val="18"/>
                <w:sz w:val="20"/>
                <w:szCs w:val="20"/>
              </w:rPr>
              <w:t xml:space="preserve"> </w:t>
            </w:r>
            <w:r>
              <w:rPr>
                <w:rFonts w:ascii="宋体" w:hAnsi="宋体" w:eastAsia="宋体" w:cs="宋体"/>
                <w:spacing w:val="18"/>
                <w:sz w:val="20"/>
                <w:szCs w:val="20"/>
                <w14:textOutline w14:w="3795" w14:cap="sq" w14:cmpd="sng">
                  <w14:solidFill>
                    <w14:srgbClr w14:val="000000"/>
                  </w14:solidFill>
                  <w14:prstDash w14:val="solid"/>
                  <w14:bevel/>
                </w14:textOutline>
              </w:rPr>
              <w:t>焊接烟气</w:t>
            </w:r>
          </w:p>
          <w:p>
            <w:pPr>
              <w:spacing w:before="149" w:line="370" w:lineRule="auto"/>
              <w:ind w:left="53" w:firstLine="420"/>
              <w:rPr>
                <w:rFonts w:ascii="宋体" w:hAnsi="宋体" w:eastAsia="宋体" w:cs="宋体"/>
                <w:sz w:val="20"/>
                <w:szCs w:val="20"/>
              </w:rPr>
            </w:pPr>
            <w:r>
              <w:rPr>
                <w:rFonts w:ascii="宋体" w:hAnsi="宋体" w:eastAsia="宋体" w:cs="宋体"/>
                <w:spacing w:val="9"/>
                <w:sz w:val="20"/>
                <w:szCs w:val="20"/>
              </w:rPr>
              <w:t>本项目桥梁大部分采用箱梁预制结构，部分采用现浇，焊接时会产生少量焊接烟气</w:t>
            </w:r>
            <w:r>
              <w:rPr>
                <w:rFonts w:ascii="宋体" w:hAnsi="宋体" w:eastAsia="宋体" w:cs="宋体"/>
                <w:spacing w:val="7"/>
                <w:sz w:val="20"/>
                <w:szCs w:val="20"/>
              </w:rPr>
              <w:t>。</w:t>
            </w:r>
            <w:r>
              <w:rPr>
                <w:rFonts w:ascii="宋体" w:hAnsi="宋体" w:eastAsia="宋体" w:cs="宋体"/>
                <w:sz w:val="20"/>
                <w:szCs w:val="20"/>
              </w:rPr>
              <w:t xml:space="preserve"> </w:t>
            </w:r>
            <w:r>
              <w:rPr>
                <w:rFonts w:ascii="宋体" w:hAnsi="宋体" w:eastAsia="宋体" w:cs="宋体"/>
                <w:spacing w:val="8"/>
                <w:sz w:val="20"/>
                <w:szCs w:val="20"/>
              </w:rPr>
              <w:t>对</w:t>
            </w:r>
            <w:r>
              <w:rPr>
                <w:rFonts w:ascii="宋体" w:hAnsi="宋体" w:eastAsia="宋体" w:cs="宋体"/>
                <w:spacing w:val="7"/>
                <w:sz w:val="20"/>
                <w:szCs w:val="20"/>
              </w:rPr>
              <w:t>固定的焊接产生的焊接废气，具备收集条件的，尽量采取局部烟尘抽吸设备 (如：移动</w:t>
            </w:r>
            <w:r>
              <w:rPr>
                <w:rFonts w:ascii="宋体" w:hAnsi="宋体" w:eastAsia="宋体" w:cs="宋体"/>
                <w:sz w:val="20"/>
                <w:szCs w:val="20"/>
              </w:rPr>
              <w:t xml:space="preserve"> </w:t>
            </w:r>
            <w:r>
              <w:rPr>
                <w:rFonts w:ascii="宋体" w:hAnsi="宋体" w:eastAsia="宋体" w:cs="宋体"/>
                <w:spacing w:val="6"/>
                <w:sz w:val="20"/>
                <w:szCs w:val="20"/>
              </w:rPr>
              <w:t>式焊烟净化器、集</w:t>
            </w:r>
            <w:r>
              <w:rPr>
                <w:rFonts w:ascii="宋体" w:hAnsi="宋体" w:eastAsia="宋体" w:cs="宋体"/>
                <w:spacing w:val="5"/>
                <w:sz w:val="20"/>
                <w:szCs w:val="20"/>
              </w:rPr>
              <w:t>中</w:t>
            </w:r>
            <w:r>
              <w:rPr>
                <w:rFonts w:ascii="宋体" w:hAnsi="宋体" w:eastAsia="宋体" w:cs="宋体"/>
                <w:spacing w:val="3"/>
                <w:sz w:val="20"/>
                <w:szCs w:val="20"/>
              </w:rPr>
              <w:t>烟尘净化系统等) 处理。同时操作人员佩戴呼吸保护设备 (吸气焊枪、</w:t>
            </w:r>
            <w:r>
              <w:rPr>
                <w:rFonts w:ascii="宋体" w:hAnsi="宋体" w:eastAsia="宋体" w:cs="宋体"/>
                <w:sz w:val="20"/>
                <w:szCs w:val="20"/>
              </w:rPr>
              <w:t xml:space="preserve"> </w:t>
            </w:r>
            <w:r>
              <w:rPr>
                <w:rFonts w:ascii="宋体" w:hAnsi="宋体" w:eastAsia="宋体" w:cs="宋体"/>
                <w:spacing w:val="10"/>
                <w:sz w:val="20"/>
                <w:szCs w:val="20"/>
              </w:rPr>
              <w:t>吸</w:t>
            </w:r>
            <w:r>
              <w:rPr>
                <w:rFonts w:ascii="宋体" w:hAnsi="宋体" w:eastAsia="宋体" w:cs="宋体"/>
                <w:spacing w:val="7"/>
                <w:sz w:val="20"/>
                <w:szCs w:val="20"/>
              </w:rPr>
              <w:t>气面罩等) ，由于施工为室外空旷地带，周围较为开阔，通过自然稀释和通风，焊烟浓</w:t>
            </w:r>
            <w:r>
              <w:rPr>
                <w:rFonts w:ascii="宋体" w:hAnsi="宋体" w:eastAsia="宋体" w:cs="宋体"/>
                <w:sz w:val="20"/>
                <w:szCs w:val="20"/>
              </w:rPr>
              <w:t xml:space="preserve"> </w:t>
            </w:r>
            <w:r>
              <w:rPr>
                <w:rFonts w:ascii="宋体" w:hAnsi="宋体" w:eastAsia="宋体" w:cs="宋体"/>
                <w:spacing w:val="16"/>
                <w:sz w:val="20"/>
                <w:szCs w:val="20"/>
              </w:rPr>
              <w:t>度</w:t>
            </w:r>
            <w:r>
              <w:rPr>
                <w:rFonts w:ascii="宋体" w:hAnsi="宋体" w:eastAsia="宋体" w:cs="宋体"/>
                <w:spacing w:val="9"/>
                <w:sz w:val="20"/>
                <w:szCs w:val="20"/>
              </w:rPr>
              <w:t>较</w:t>
            </w:r>
            <w:r>
              <w:rPr>
                <w:rFonts w:ascii="宋体" w:hAnsi="宋体" w:eastAsia="宋体" w:cs="宋体"/>
                <w:spacing w:val="8"/>
                <w:sz w:val="20"/>
                <w:szCs w:val="20"/>
              </w:rPr>
              <w:t>低，对周围环境和施工人员影响较小。</w:t>
            </w:r>
          </w:p>
          <w:p>
            <w:pPr>
              <w:spacing w:line="399" w:lineRule="exact"/>
              <w:ind w:left="473"/>
              <w:rPr>
                <w:rFonts w:ascii="宋体" w:hAnsi="宋体" w:eastAsia="宋体" w:cs="宋体"/>
                <w:sz w:val="20"/>
                <w:szCs w:val="20"/>
              </w:rPr>
            </w:pPr>
            <w:r>
              <w:rPr>
                <w:rFonts w:ascii="宋体" w:hAnsi="宋体" w:eastAsia="宋体" w:cs="宋体"/>
                <w:spacing w:val="14"/>
                <w:position w:val="14"/>
                <w:sz w:val="20"/>
                <w:szCs w:val="20"/>
              </w:rPr>
              <w:t>采取上</w:t>
            </w:r>
            <w:r>
              <w:rPr>
                <w:rFonts w:ascii="宋体" w:hAnsi="宋体" w:eastAsia="宋体" w:cs="宋体"/>
                <w:spacing w:val="9"/>
                <w:position w:val="14"/>
                <w:sz w:val="20"/>
                <w:szCs w:val="20"/>
              </w:rPr>
              <w:t>述</w:t>
            </w:r>
            <w:r>
              <w:rPr>
                <w:rFonts w:ascii="宋体" w:hAnsi="宋体" w:eastAsia="宋体" w:cs="宋体"/>
                <w:spacing w:val="7"/>
                <w:position w:val="14"/>
                <w:sz w:val="20"/>
                <w:szCs w:val="20"/>
              </w:rPr>
              <w:t>措施后，可以最大限度减少施工扬尘和废气对周围大气环境的污染，且施工</w:t>
            </w:r>
          </w:p>
          <w:p>
            <w:pPr>
              <w:spacing w:line="228" w:lineRule="auto"/>
              <w:ind w:left="57"/>
              <w:rPr>
                <w:rFonts w:ascii="宋体" w:hAnsi="宋体" w:eastAsia="宋体" w:cs="宋体"/>
                <w:sz w:val="20"/>
                <w:szCs w:val="20"/>
              </w:rPr>
            </w:pPr>
            <w:r>
              <w:rPr>
                <w:rFonts w:ascii="宋体" w:hAnsi="宋体" w:eastAsia="宋体" w:cs="宋体"/>
                <w:spacing w:val="14"/>
                <w:sz w:val="20"/>
                <w:szCs w:val="20"/>
              </w:rPr>
              <w:t>期扬尘</w:t>
            </w:r>
            <w:r>
              <w:rPr>
                <w:rFonts w:ascii="宋体" w:hAnsi="宋体" w:eastAsia="宋体" w:cs="宋体"/>
                <w:spacing w:val="9"/>
                <w:sz w:val="20"/>
                <w:szCs w:val="20"/>
              </w:rPr>
              <w:t>和</w:t>
            </w:r>
            <w:r>
              <w:rPr>
                <w:rFonts w:ascii="宋体" w:hAnsi="宋体" w:eastAsia="宋体" w:cs="宋体"/>
                <w:spacing w:val="7"/>
                <w:sz w:val="20"/>
                <w:szCs w:val="20"/>
              </w:rPr>
              <w:t>废气对环境空气的影响是暂时的，随着施工的结束而消失。因此，上述大气污染</w:t>
            </w:r>
          </w:p>
        </w:tc>
      </w:tr>
    </w:tbl>
    <w:p>
      <w:pPr>
        <w:spacing w:line="138" w:lineRule="exact"/>
        <w:rPr>
          <w:rFonts w:ascii="Arial"/>
          <w:sz w:val="12"/>
        </w:rPr>
      </w:pPr>
    </w:p>
    <w:p>
      <w:pPr>
        <w:sectPr>
          <w:footerReference r:id="rId91" w:type="default"/>
          <w:pgSz w:w="11907" w:h="16840"/>
          <w:pgMar w:top="400" w:right="1476" w:bottom="1477" w:left="1475" w:header="0" w:footer="1317" w:gutter="0"/>
          <w:cols w:space="720" w:num="1"/>
        </w:sectPr>
      </w:pPr>
    </w:p>
    <w:p/>
    <w:p/>
    <w:p/>
    <w:p/>
    <w:p>
      <w:pPr>
        <w:spacing w:line="221" w:lineRule="exact"/>
      </w:pPr>
    </w:p>
    <w:tbl>
      <w:tblPr>
        <w:tblStyle w:val="4"/>
        <w:tblW w:w="894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82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7" w:hRule="atLeast"/>
        </w:trPr>
        <w:tc>
          <w:tcPr>
            <w:tcW w:w="724" w:type="dxa"/>
            <w:tcBorders>
              <w:left w:val="single" w:color="00000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31" w:lineRule="auto"/>
              <w:ind w:left="129"/>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施工</w:t>
            </w:r>
          </w:p>
          <w:p>
            <w:pPr>
              <w:spacing w:before="21" w:line="228" w:lineRule="auto"/>
              <w:ind w:left="133"/>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期生</w:t>
            </w:r>
          </w:p>
          <w:p>
            <w:pPr>
              <w:spacing w:before="25" w:line="230" w:lineRule="auto"/>
              <w:ind w:left="130"/>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态</w:t>
            </w:r>
            <w:r>
              <w:rPr>
                <w:rFonts w:ascii="宋体" w:hAnsi="宋体" w:eastAsia="宋体" w:cs="宋体"/>
                <w:spacing w:val="15"/>
                <w:sz w:val="20"/>
                <w:szCs w:val="20"/>
                <w14:textOutline w14:w="3795" w14:cap="sq" w14:cmpd="sng">
                  <w14:solidFill>
                    <w14:srgbClr w14:val="000000"/>
                  </w14:solidFill>
                  <w14:prstDash w14:val="solid"/>
                  <w14:bevel/>
                </w14:textOutline>
              </w:rPr>
              <w:t>环</w:t>
            </w:r>
          </w:p>
          <w:p>
            <w:pPr>
              <w:spacing w:before="22" w:line="228" w:lineRule="auto"/>
              <w:ind w:left="131"/>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境保</w:t>
            </w:r>
          </w:p>
          <w:p>
            <w:pPr>
              <w:spacing w:before="25" w:line="228" w:lineRule="auto"/>
              <w:ind w:left="131"/>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护措</w:t>
            </w:r>
          </w:p>
          <w:p>
            <w:pPr>
              <w:spacing w:before="25" w:line="231" w:lineRule="auto"/>
              <w:ind w:left="244"/>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施</w:t>
            </w:r>
          </w:p>
        </w:tc>
        <w:tc>
          <w:tcPr>
            <w:tcW w:w="8216" w:type="dxa"/>
            <w:tcBorders>
              <w:right w:val="single" w:color="000000" w:sz="6" w:space="0"/>
            </w:tcBorders>
            <w:vAlign w:val="top"/>
          </w:tcPr>
          <w:p>
            <w:pPr>
              <w:spacing w:before="154" w:line="228" w:lineRule="auto"/>
              <w:ind w:left="67"/>
              <w:rPr>
                <w:rFonts w:ascii="宋体" w:hAnsi="宋体" w:eastAsia="宋体" w:cs="宋体"/>
                <w:sz w:val="20"/>
                <w:szCs w:val="20"/>
              </w:rPr>
            </w:pPr>
            <w:r>
              <w:rPr>
                <w:rFonts w:ascii="宋体" w:hAnsi="宋体" w:eastAsia="宋体" w:cs="宋体"/>
                <w:spacing w:val="14"/>
                <w:sz w:val="20"/>
                <w:szCs w:val="20"/>
              </w:rPr>
              <w:t>防</w:t>
            </w:r>
            <w:r>
              <w:rPr>
                <w:rFonts w:ascii="宋体" w:hAnsi="宋体" w:eastAsia="宋体" w:cs="宋体"/>
                <w:spacing w:val="9"/>
                <w:sz w:val="20"/>
                <w:szCs w:val="20"/>
              </w:rPr>
              <w:t>治</w:t>
            </w:r>
            <w:r>
              <w:rPr>
                <w:rFonts w:ascii="宋体" w:hAnsi="宋体" w:eastAsia="宋体" w:cs="宋体"/>
                <w:spacing w:val="7"/>
                <w:sz w:val="20"/>
                <w:szCs w:val="20"/>
              </w:rPr>
              <w:t>措施经济合理、技术可行。</w:t>
            </w:r>
          </w:p>
          <w:p>
            <w:pPr>
              <w:spacing w:before="152" w:line="242" w:lineRule="auto"/>
              <w:ind w:left="107"/>
              <w:rPr>
                <w:rFonts w:ascii="黑体" w:hAnsi="黑体" w:eastAsia="黑体" w:cs="黑体"/>
                <w:sz w:val="20"/>
                <w:szCs w:val="20"/>
              </w:rPr>
            </w:pPr>
            <w:r>
              <w:rPr>
                <w:rFonts w:ascii="Times New Roman" w:hAnsi="Times New Roman" w:eastAsia="Times New Roman" w:cs="Times New Roman"/>
                <w:spacing w:val="2"/>
                <w:sz w:val="20"/>
                <w:szCs w:val="20"/>
              </w:rPr>
              <w:t xml:space="preserve">3 </w:t>
            </w:r>
            <w:r>
              <w:rPr>
                <w:rFonts w:ascii="黑体" w:hAnsi="黑体" w:eastAsia="黑体" w:cs="黑体"/>
                <w:spacing w:val="2"/>
                <w:sz w:val="20"/>
                <w:szCs w:val="20"/>
              </w:rPr>
              <w:t>、废</w:t>
            </w:r>
            <w:r>
              <w:rPr>
                <w:rFonts w:ascii="黑体" w:hAnsi="黑体" w:eastAsia="黑体" w:cs="黑体"/>
                <w:spacing w:val="1"/>
                <w:sz w:val="20"/>
                <w:szCs w:val="20"/>
              </w:rPr>
              <w:t>水防治措施</w:t>
            </w:r>
          </w:p>
          <w:p>
            <w:pPr>
              <w:spacing w:before="138" w:line="228" w:lineRule="auto"/>
              <w:ind w:left="473"/>
              <w:rPr>
                <w:rFonts w:ascii="宋体" w:hAnsi="宋体" w:eastAsia="宋体" w:cs="宋体"/>
                <w:sz w:val="20"/>
                <w:szCs w:val="20"/>
              </w:rPr>
            </w:pPr>
            <w:r>
              <w:rPr>
                <w:rFonts w:ascii="宋体" w:hAnsi="宋体" w:eastAsia="宋体" w:cs="宋体"/>
                <w:spacing w:val="18"/>
                <w:sz w:val="20"/>
                <w:szCs w:val="20"/>
              </w:rPr>
              <w:t>道</w:t>
            </w:r>
            <w:r>
              <w:rPr>
                <w:rFonts w:ascii="宋体" w:hAnsi="宋体" w:eastAsia="宋体" w:cs="宋体"/>
                <w:spacing w:val="15"/>
                <w:sz w:val="20"/>
                <w:szCs w:val="20"/>
              </w:rPr>
              <w:t>路</w:t>
            </w:r>
            <w:r>
              <w:rPr>
                <w:rFonts w:ascii="宋体" w:hAnsi="宋体" w:eastAsia="宋体" w:cs="宋体"/>
                <w:spacing w:val="9"/>
                <w:sz w:val="20"/>
                <w:szCs w:val="20"/>
              </w:rPr>
              <w:t>施工过程中，废水主要来源于施工废水；桥梁施工产生的泥浆水；生活污水。</w:t>
            </w:r>
          </w:p>
          <w:p>
            <w:pPr>
              <w:spacing w:before="151" w:line="228" w:lineRule="auto"/>
              <w:ind w:left="537"/>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8"/>
                <w:sz w:val="20"/>
                <w:szCs w:val="20"/>
              </w:rPr>
              <w:t>1</w:t>
            </w: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宋体" w:hAnsi="宋体" w:eastAsia="宋体" w:cs="宋体"/>
                <w:spacing w:val="18"/>
                <w:sz w:val="20"/>
                <w:szCs w:val="20"/>
              </w:rPr>
              <w:t xml:space="preserve"> </w:t>
            </w:r>
            <w:r>
              <w:rPr>
                <w:rFonts w:ascii="宋体" w:hAnsi="宋体" w:eastAsia="宋体" w:cs="宋体"/>
                <w:spacing w:val="18"/>
                <w:sz w:val="20"/>
                <w:szCs w:val="20"/>
                <w14:textOutline w14:w="3795" w14:cap="sq" w14:cmpd="sng">
                  <w14:solidFill>
                    <w14:srgbClr w14:val="000000"/>
                  </w14:solidFill>
                  <w14:prstDash w14:val="solid"/>
                  <w14:bevel/>
                </w14:textOutline>
              </w:rPr>
              <w:t>施工废水</w:t>
            </w:r>
          </w:p>
          <w:p>
            <w:pPr>
              <w:spacing w:before="155" w:line="369" w:lineRule="auto"/>
              <w:ind w:left="109" w:right="49" w:firstLine="490"/>
              <w:rPr>
                <w:rFonts w:ascii="宋体" w:hAnsi="宋体" w:eastAsia="宋体" w:cs="宋体"/>
                <w:sz w:val="20"/>
                <w:szCs w:val="20"/>
              </w:rPr>
            </w:pPr>
            <w:r>
              <w:rPr>
                <w:rFonts w:ascii="宋体" w:hAnsi="宋体" w:eastAsia="宋体" w:cs="宋体"/>
                <w:spacing w:val="11"/>
                <w:sz w:val="17"/>
                <w:szCs w:val="17"/>
              </w:rPr>
              <w:t xml:space="preserve">1   </w:t>
            </w:r>
            <w:r>
              <w:rPr>
                <w:rFonts w:ascii="宋体" w:hAnsi="宋体" w:eastAsia="宋体" w:cs="宋体"/>
                <w:spacing w:val="11"/>
                <w:sz w:val="20"/>
                <w:szCs w:val="20"/>
              </w:rPr>
              <w:t>本项目施工场地主要是堆放各种材料和施工机械集中的地方，因此其产生的</w:t>
            </w:r>
            <w:r>
              <w:rPr>
                <w:rFonts w:ascii="宋体" w:hAnsi="宋体" w:eastAsia="宋体" w:cs="宋体"/>
                <w:spacing w:val="9"/>
                <w:sz w:val="20"/>
                <w:szCs w:val="20"/>
              </w:rPr>
              <w:t>废</w:t>
            </w:r>
            <w:r>
              <w:rPr>
                <w:rFonts w:ascii="宋体" w:hAnsi="宋体" w:eastAsia="宋体" w:cs="宋体"/>
                <w:sz w:val="20"/>
                <w:szCs w:val="20"/>
              </w:rPr>
              <w:t xml:space="preserve"> </w:t>
            </w:r>
            <w:r>
              <w:rPr>
                <w:rFonts w:ascii="宋体" w:hAnsi="宋体" w:eastAsia="宋体" w:cs="宋体"/>
                <w:spacing w:val="22"/>
                <w:sz w:val="20"/>
                <w:szCs w:val="20"/>
              </w:rPr>
              <w:t>水主</w:t>
            </w:r>
            <w:r>
              <w:rPr>
                <w:rFonts w:ascii="宋体" w:hAnsi="宋体" w:eastAsia="宋体" w:cs="宋体"/>
                <w:spacing w:val="17"/>
                <w:sz w:val="20"/>
                <w:szCs w:val="20"/>
              </w:rPr>
              <w:t>要</w:t>
            </w:r>
            <w:r>
              <w:rPr>
                <w:rFonts w:ascii="宋体" w:hAnsi="宋体" w:eastAsia="宋体" w:cs="宋体"/>
                <w:spacing w:val="11"/>
                <w:sz w:val="20"/>
                <w:szCs w:val="20"/>
              </w:rPr>
              <w:t>表现为施工机械、地面冲洗等废水以及施工过程降雨导致的泥浆漫流。排放有悬</w:t>
            </w:r>
            <w:r>
              <w:rPr>
                <w:rFonts w:ascii="宋体" w:hAnsi="宋体" w:eastAsia="宋体" w:cs="宋体"/>
                <w:sz w:val="20"/>
                <w:szCs w:val="20"/>
              </w:rPr>
              <w:t xml:space="preserve"> </w:t>
            </w:r>
            <w:r>
              <w:rPr>
                <w:rFonts w:ascii="宋体" w:hAnsi="宋体" w:eastAsia="宋体" w:cs="宋体"/>
                <w:spacing w:val="10"/>
                <w:sz w:val="20"/>
                <w:szCs w:val="20"/>
              </w:rPr>
              <w:t>浮</w:t>
            </w:r>
            <w:r>
              <w:rPr>
                <w:rFonts w:ascii="宋体" w:hAnsi="宋体" w:eastAsia="宋体" w:cs="宋体"/>
                <w:spacing w:val="9"/>
                <w:sz w:val="20"/>
                <w:szCs w:val="20"/>
              </w:rPr>
              <w:t>物浓度高含油，水量小、间歇集中排放等特点。</w:t>
            </w:r>
          </w:p>
          <w:p>
            <w:pPr>
              <w:spacing w:before="1" w:line="369" w:lineRule="auto"/>
              <w:ind w:left="107" w:right="49" w:firstLine="481"/>
              <w:rPr>
                <w:rFonts w:ascii="宋体" w:hAnsi="宋体" w:eastAsia="宋体" w:cs="宋体"/>
                <w:sz w:val="20"/>
                <w:szCs w:val="20"/>
              </w:rPr>
            </w:pPr>
            <w:r>
              <w:rPr>
                <w:rFonts w:ascii="宋体" w:hAnsi="宋体" w:eastAsia="宋体" w:cs="宋体"/>
                <w:spacing w:val="20"/>
                <w:sz w:val="17"/>
                <w:szCs w:val="17"/>
              </w:rPr>
              <w:t>2</w:t>
            </w:r>
            <w:r>
              <w:rPr>
                <w:rFonts w:ascii="宋体" w:hAnsi="宋体" w:eastAsia="宋体" w:cs="宋体"/>
                <w:spacing w:val="11"/>
                <w:sz w:val="17"/>
                <w:szCs w:val="17"/>
              </w:rPr>
              <w:t xml:space="preserve">   </w:t>
            </w:r>
            <w:r>
              <w:rPr>
                <w:rFonts w:ascii="宋体" w:hAnsi="宋体" w:eastAsia="宋体" w:cs="宋体"/>
                <w:spacing w:val="11"/>
                <w:sz w:val="20"/>
                <w:szCs w:val="20"/>
              </w:rPr>
              <w:t>对施工材料合理设置堆放地点，并设雨篷遮挡，在必要的地方设置防护围栏，</w:t>
            </w:r>
            <w:r>
              <w:rPr>
                <w:rFonts w:ascii="宋体" w:hAnsi="宋体" w:eastAsia="宋体" w:cs="宋体"/>
                <w:sz w:val="20"/>
                <w:szCs w:val="20"/>
              </w:rPr>
              <w:t xml:space="preserve"> </w:t>
            </w:r>
            <w:r>
              <w:rPr>
                <w:rFonts w:ascii="宋体" w:hAnsi="宋体" w:eastAsia="宋体" w:cs="宋体"/>
                <w:spacing w:val="22"/>
                <w:sz w:val="20"/>
                <w:szCs w:val="20"/>
              </w:rPr>
              <w:t>并对</w:t>
            </w:r>
            <w:r>
              <w:rPr>
                <w:rFonts w:ascii="宋体" w:hAnsi="宋体" w:eastAsia="宋体" w:cs="宋体"/>
                <w:spacing w:val="17"/>
                <w:sz w:val="20"/>
                <w:szCs w:val="20"/>
              </w:rPr>
              <w:t>施</w:t>
            </w:r>
            <w:r>
              <w:rPr>
                <w:rFonts w:ascii="宋体" w:hAnsi="宋体" w:eastAsia="宋体" w:cs="宋体"/>
                <w:spacing w:val="11"/>
                <w:sz w:val="20"/>
                <w:szCs w:val="20"/>
              </w:rPr>
              <w:t>工场地内进行硬化处理，雨水统一收集沉淀后外排。在施工场地周围修建截排水</w:t>
            </w:r>
            <w:r>
              <w:rPr>
                <w:rFonts w:ascii="宋体" w:hAnsi="宋体" w:eastAsia="宋体" w:cs="宋体"/>
                <w:sz w:val="20"/>
                <w:szCs w:val="20"/>
              </w:rPr>
              <w:t xml:space="preserve"> </w:t>
            </w:r>
            <w:r>
              <w:rPr>
                <w:rFonts w:ascii="宋体" w:hAnsi="宋体" w:eastAsia="宋体" w:cs="宋体"/>
                <w:spacing w:val="8"/>
                <w:sz w:val="20"/>
                <w:szCs w:val="20"/>
              </w:rPr>
              <w:t>沟、设沉</w:t>
            </w:r>
            <w:r>
              <w:rPr>
                <w:rFonts w:ascii="宋体" w:hAnsi="宋体" w:eastAsia="宋体" w:cs="宋体"/>
                <w:spacing w:val="6"/>
                <w:sz w:val="20"/>
                <w:szCs w:val="20"/>
              </w:rPr>
              <w:t>淀</w:t>
            </w:r>
            <w:r>
              <w:rPr>
                <w:rFonts w:ascii="宋体" w:hAnsi="宋体" w:eastAsia="宋体" w:cs="宋体"/>
                <w:spacing w:val="4"/>
                <w:sz w:val="20"/>
                <w:szCs w:val="20"/>
              </w:rPr>
              <w:t xml:space="preserve">池 (容积为 </w:t>
            </w:r>
            <w:r>
              <w:rPr>
                <w:rFonts w:ascii="Times New Roman" w:hAnsi="Times New Roman" w:eastAsia="Times New Roman" w:cs="Times New Roman"/>
                <w:spacing w:val="4"/>
                <w:sz w:val="20"/>
                <w:szCs w:val="20"/>
              </w:rPr>
              <w:t>20</w:t>
            </w:r>
            <w:r>
              <w:rPr>
                <w:rFonts w:ascii="Times New Roman" w:hAnsi="Times New Roman" w:eastAsia="Times New Roman" w:cs="Times New Roman"/>
                <w:sz w:val="20"/>
                <w:szCs w:val="20"/>
              </w:rPr>
              <w:t>m</w:t>
            </w:r>
            <w:r>
              <w:rPr>
                <w:rFonts w:ascii="宋体" w:hAnsi="宋体" w:eastAsia="宋体" w:cs="宋体"/>
                <w:spacing w:val="4"/>
                <w:sz w:val="20"/>
                <w:szCs w:val="20"/>
              </w:rPr>
              <w:t>³ ) ，拟设置在施工场地出入口处，施工废水收集后沉淀处理</w:t>
            </w:r>
            <w:r>
              <w:rPr>
                <w:rFonts w:ascii="宋体" w:hAnsi="宋体" w:eastAsia="宋体" w:cs="宋体"/>
                <w:sz w:val="20"/>
                <w:szCs w:val="20"/>
              </w:rPr>
              <w:t xml:space="preserve"> </w:t>
            </w:r>
            <w:r>
              <w:rPr>
                <w:rFonts w:ascii="宋体" w:hAnsi="宋体" w:eastAsia="宋体" w:cs="宋体"/>
                <w:spacing w:val="12"/>
                <w:sz w:val="20"/>
                <w:szCs w:val="20"/>
              </w:rPr>
              <w:t>后作为场地的防尘用水等回用，禁止废水无组织漫流，增大重复用水率，降低污水产</w:t>
            </w:r>
            <w:r>
              <w:rPr>
                <w:rFonts w:ascii="宋体" w:hAnsi="宋体" w:eastAsia="宋体" w:cs="宋体"/>
                <w:spacing w:val="4"/>
                <w:sz w:val="20"/>
                <w:szCs w:val="20"/>
              </w:rPr>
              <w:t>生</w:t>
            </w:r>
            <w:r>
              <w:rPr>
                <w:rFonts w:ascii="宋体" w:hAnsi="宋体" w:eastAsia="宋体" w:cs="宋体"/>
                <w:sz w:val="20"/>
                <w:szCs w:val="20"/>
              </w:rPr>
              <w:t xml:space="preserve"> </w:t>
            </w:r>
            <w:r>
              <w:rPr>
                <w:rFonts w:ascii="宋体" w:hAnsi="宋体" w:eastAsia="宋体" w:cs="宋体"/>
                <w:spacing w:val="12"/>
                <w:sz w:val="20"/>
                <w:szCs w:val="20"/>
              </w:rPr>
              <w:t>量</w:t>
            </w:r>
            <w:r>
              <w:rPr>
                <w:rFonts w:ascii="宋体" w:hAnsi="宋体" w:eastAsia="宋体" w:cs="宋体"/>
                <w:spacing w:val="8"/>
                <w:sz w:val="20"/>
                <w:szCs w:val="20"/>
              </w:rPr>
              <w:t>，场地废水做到不外排。</w:t>
            </w:r>
          </w:p>
          <w:p>
            <w:pPr>
              <w:spacing w:before="2" w:line="369" w:lineRule="auto"/>
              <w:ind w:left="106" w:firstLine="483"/>
              <w:rPr>
                <w:rFonts w:ascii="宋体" w:hAnsi="宋体" w:eastAsia="宋体" w:cs="宋体"/>
                <w:sz w:val="20"/>
                <w:szCs w:val="20"/>
              </w:rPr>
            </w:pPr>
            <w:r>
              <w:rPr>
                <w:rFonts w:ascii="宋体" w:hAnsi="宋体" w:eastAsia="宋体" w:cs="宋体"/>
                <w:spacing w:val="16"/>
                <w:sz w:val="17"/>
                <w:szCs w:val="17"/>
              </w:rPr>
              <w:t>3</w:t>
            </w:r>
            <w:r>
              <w:rPr>
                <w:rFonts w:ascii="宋体" w:hAnsi="宋体" w:eastAsia="宋体" w:cs="宋体"/>
                <w:spacing w:val="11"/>
                <w:sz w:val="17"/>
                <w:szCs w:val="17"/>
              </w:rPr>
              <w:t xml:space="preserve">   </w:t>
            </w:r>
            <w:r>
              <w:rPr>
                <w:rFonts w:ascii="宋体" w:hAnsi="宋体" w:eastAsia="宋体" w:cs="宋体"/>
                <w:spacing w:val="11"/>
                <w:sz w:val="20"/>
                <w:szCs w:val="20"/>
              </w:rPr>
              <w:t>项目施工时使用机械设备较多，一般都会产生含油冲洗废水，主要污染物为石</w:t>
            </w:r>
            <w:r>
              <w:rPr>
                <w:rFonts w:ascii="宋体" w:hAnsi="宋体" w:eastAsia="宋体" w:cs="宋体"/>
                <w:sz w:val="20"/>
                <w:szCs w:val="20"/>
              </w:rPr>
              <w:t xml:space="preserve"> </w:t>
            </w:r>
            <w:r>
              <w:rPr>
                <w:rFonts w:ascii="宋体" w:hAnsi="宋体" w:eastAsia="宋体" w:cs="宋体"/>
                <w:spacing w:val="22"/>
                <w:sz w:val="20"/>
                <w:szCs w:val="20"/>
              </w:rPr>
              <w:t>油类</w:t>
            </w:r>
            <w:r>
              <w:rPr>
                <w:rFonts w:ascii="宋体" w:hAnsi="宋体" w:eastAsia="宋体" w:cs="宋体"/>
                <w:spacing w:val="17"/>
                <w:sz w:val="20"/>
                <w:szCs w:val="20"/>
              </w:rPr>
              <w:t>。</w:t>
            </w:r>
            <w:r>
              <w:rPr>
                <w:rFonts w:ascii="宋体" w:hAnsi="宋体" w:eastAsia="宋体" w:cs="宋体"/>
                <w:spacing w:val="11"/>
                <w:sz w:val="20"/>
                <w:szCs w:val="20"/>
              </w:rPr>
              <w:t>沿线含油废水的排放量比较小，其影响程度和范围有限。环评建议，机械设备冲</w:t>
            </w:r>
            <w:r>
              <w:rPr>
                <w:rFonts w:ascii="宋体" w:hAnsi="宋体" w:eastAsia="宋体" w:cs="宋体"/>
                <w:sz w:val="20"/>
                <w:szCs w:val="20"/>
              </w:rPr>
              <w:t xml:space="preserve"> </w:t>
            </w:r>
            <w:r>
              <w:rPr>
                <w:rFonts w:ascii="宋体" w:hAnsi="宋体" w:eastAsia="宋体" w:cs="宋体"/>
                <w:spacing w:val="22"/>
                <w:sz w:val="20"/>
                <w:szCs w:val="20"/>
              </w:rPr>
              <w:t>洗点</w:t>
            </w:r>
            <w:r>
              <w:rPr>
                <w:rFonts w:ascii="宋体" w:hAnsi="宋体" w:eastAsia="宋体" w:cs="宋体"/>
                <w:spacing w:val="18"/>
                <w:sz w:val="20"/>
                <w:szCs w:val="20"/>
              </w:rPr>
              <w:t>应</w:t>
            </w:r>
            <w:r>
              <w:rPr>
                <w:rFonts w:ascii="宋体" w:hAnsi="宋体" w:eastAsia="宋体" w:cs="宋体"/>
                <w:spacing w:val="11"/>
                <w:sz w:val="20"/>
                <w:szCs w:val="20"/>
              </w:rPr>
              <w:t>远离土质不好地段和远离居民点，产生的含油废水经沉淀池沉淀的同时，废水中</w:t>
            </w:r>
            <w:r>
              <w:rPr>
                <w:rFonts w:ascii="宋体" w:hAnsi="宋体" w:eastAsia="宋体" w:cs="宋体"/>
                <w:sz w:val="20"/>
                <w:szCs w:val="20"/>
              </w:rPr>
              <w:t xml:space="preserve"> </w:t>
            </w:r>
            <w:r>
              <w:rPr>
                <w:rFonts w:ascii="宋体" w:hAnsi="宋体" w:eastAsia="宋体" w:cs="宋体"/>
                <w:spacing w:val="14"/>
                <w:sz w:val="20"/>
                <w:szCs w:val="20"/>
              </w:rPr>
              <w:t>的油污</w:t>
            </w:r>
            <w:r>
              <w:rPr>
                <w:rFonts w:ascii="宋体" w:hAnsi="宋体" w:eastAsia="宋体" w:cs="宋体"/>
                <w:spacing w:val="12"/>
                <w:sz w:val="20"/>
                <w:szCs w:val="20"/>
              </w:rPr>
              <w:t>因</w:t>
            </w:r>
            <w:r>
              <w:rPr>
                <w:rFonts w:ascii="宋体" w:hAnsi="宋体" w:eastAsia="宋体" w:cs="宋体"/>
                <w:spacing w:val="7"/>
                <w:sz w:val="20"/>
                <w:szCs w:val="20"/>
              </w:rPr>
              <w:t>其密度低而浮在表面，可以采用棉麻织物等吸附处理，处理后的废水循环使用，</w:t>
            </w:r>
            <w:r>
              <w:rPr>
                <w:rFonts w:ascii="宋体" w:hAnsi="宋体" w:eastAsia="宋体" w:cs="宋体"/>
                <w:sz w:val="20"/>
                <w:szCs w:val="20"/>
              </w:rPr>
              <w:t xml:space="preserve"> </w:t>
            </w:r>
            <w:r>
              <w:rPr>
                <w:rFonts w:ascii="宋体" w:hAnsi="宋体" w:eastAsia="宋体" w:cs="宋体"/>
                <w:spacing w:val="18"/>
                <w:sz w:val="20"/>
                <w:szCs w:val="20"/>
              </w:rPr>
              <w:t>做</w:t>
            </w:r>
            <w:r>
              <w:rPr>
                <w:rFonts w:ascii="宋体" w:hAnsi="宋体" w:eastAsia="宋体" w:cs="宋体"/>
                <w:spacing w:val="11"/>
                <w:sz w:val="20"/>
                <w:szCs w:val="20"/>
              </w:rPr>
              <w:t>到</w:t>
            </w:r>
            <w:r>
              <w:rPr>
                <w:rFonts w:ascii="宋体" w:hAnsi="宋体" w:eastAsia="宋体" w:cs="宋体"/>
                <w:spacing w:val="9"/>
                <w:sz w:val="20"/>
                <w:szCs w:val="20"/>
              </w:rPr>
              <w:t>节能环保。综上，施工机械设备冲洗含油废水对周围水环境影响较小。</w:t>
            </w:r>
          </w:p>
          <w:p>
            <w:pPr>
              <w:spacing w:before="4" w:line="368" w:lineRule="auto"/>
              <w:ind w:left="107" w:right="49" w:firstLine="478"/>
              <w:rPr>
                <w:rFonts w:ascii="宋体" w:hAnsi="宋体" w:eastAsia="宋体" w:cs="宋体"/>
                <w:sz w:val="20"/>
                <w:szCs w:val="20"/>
              </w:rPr>
            </w:pPr>
            <w:r>
              <w:rPr>
                <w:rFonts w:ascii="宋体" w:hAnsi="宋体" w:eastAsia="宋体" w:cs="宋体"/>
                <w:spacing w:val="22"/>
                <w:sz w:val="17"/>
                <w:szCs w:val="17"/>
              </w:rPr>
              <w:t>4</w:t>
            </w:r>
            <w:r>
              <w:rPr>
                <w:rFonts w:ascii="宋体" w:hAnsi="宋体" w:eastAsia="宋体" w:cs="宋体"/>
                <w:spacing w:val="12"/>
                <w:sz w:val="17"/>
                <w:szCs w:val="17"/>
              </w:rPr>
              <w:t xml:space="preserve"> </w:t>
            </w:r>
            <w:r>
              <w:rPr>
                <w:rFonts w:ascii="宋体" w:hAnsi="宋体" w:eastAsia="宋体" w:cs="宋体"/>
                <w:spacing w:val="11"/>
                <w:sz w:val="17"/>
                <w:szCs w:val="17"/>
              </w:rPr>
              <w:t xml:space="preserve">  </w:t>
            </w:r>
            <w:r>
              <w:rPr>
                <w:rFonts w:ascii="宋体" w:hAnsi="宋体" w:eastAsia="宋体" w:cs="宋体"/>
                <w:spacing w:val="11"/>
                <w:sz w:val="20"/>
                <w:szCs w:val="20"/>
              </w:rPr>
              <w:t>在临时道路两侧、施工场地等场地四周建雨水排水沟渠，将场外雨水引至州河</w:t>
            </w:r>
            <w:r>
              <w:rPr>
                <w:rFonts w:ascii="宋体" w:hAnsi="宋体" w:eastAsia="宋体" w:cs="宋体"/>
                <w:sz w:val="20"/>
                <w:szCs w:val="20"/>
              </w:rPr>
              <w:t xml:space="preserve"> </w:t>
            </w:r>
            <w:r>
              <w:rPr>
                <w:rFonts w:ascii="宋体" w:hAnsi="宋体" w:eastAsia="宋体" w:cs="宋体"/>
                <w:spacing w:val="12"/>
                <w:sz w:val="20"/>
                <w:szCs w:val="20"/>
              </w:rPr>
              <w:t>排放，场外雨水不进入场内。加强施工机械管理，尽量避免跑、冒、滴、漏。工程采</w:t>
            </w:r>
            <w:r>
              <w:rPr>
                <w:rFonts w:ascii="宋体" w:hAnsi="宋体" w:eastAsia="宋体" w:cs="宋体"/>
                <w:spacing w:val="4"/>
                <w:sz w:val="20"/>
                <w:szCs w:val="20"/>
              </w:rPr>
              <w:t>取</w:t>
            </w:r>
            <w:r>
              <w:rPr>
                <w:rFonts w:ascii="宋体" w:hAnsi="宋体" w:eastAsia="宋体" w:cs="宋体"/>
                <w:sz w:val="20"/>
                <w:szCs w:val="20"/>
              </w:rPr>
              <w:t xml:space="preserve"> </w:t>
            </w:r>
            <w:r>
              <w:rPr>
                <w:rFonts w:ascii="宋体" w:hAnsi="宋体" w:eastAsia="宋体" w:cs="宋体"/>
                <w:spacing w:val="12"/>
                <w:sz w:val="20"/>
                <w:szCs w:val="20"/>
              </w:rPr>
              <w:t>完工一段、硬化一段，绿化一段的施工方式，尽量减少雨水对裸露地表的冲刷，减小</w:t>
            </w:r>
            <w:r>
              <w:rPr>
                <w:rFonts w:ascii="宋体" w:hAnsi="宋体" w:eastAsia="宋体" w:cs="宋体"/>
                <w:spacing w:val="4"/>
                <w:sz w:val="20"/>
                <w:szCs w:val="20"/>
              </w:rPr>
              <w:t>水</w:t>
            </w:r>
            <w:r>
              <w:rPr>
                <w:rFonts w:ascii="宋体" w:hAnsi="宋体" w:eastAsia="宋体" w:cs="宋体"/>
                <w:sz w:val="20"/>
                <w:szCs w:val="20"/>
              </w:rPr>
              <w:t xml:space="preserve"> </w:t>
            </w:r>
            <w:r>
              <w:rPr>
                <w:rFonts w:ascii="宋体" w:hAnsi="宋体" w:eastAsia="宋体" w:cs="宋体"/>
                <w:spacing w:val="9"/>
                <w:sz w:val="20"/>
                <w:szCs w:val="20"/>
              </w:rPr>
              <w:t>土</w:t>
            </w:r>
            <w:r>
              <w:rPr>
                <w:rFonts w:ascii="宋体" w:hAnsi="宋体" w:eastAsia="宋体" w:cs="宋体"/>
                <w:spacing w:val="8"/>
                <w:sz w:val="20"/>
                <w:szCs w:val="20"/>
              </w:rPr>
              <w:t>流失对地表水的影响。</w:t>
            </w:r>
          </w:p>
          <w:p>
            <w:pPr>
              <w:spacing w:before="1" w:line="227" w:lineRule="auto"/>
              <w:ind w:left="537"/>
              <w:rPr>
                <w:rFonts w:ascii="宋体" w:hAnsi="宋体" w:eastAsia="宋体" w:cs="宋体"/>
                <w:sz w:val="20"/>
                <w:szCs w:val="20"/>
              </w:rPr>
            </w:pPr>
            <w:r>
              <w:rPr>
                <w:rFonts w:ascii="宋体" w:hAnsi="宋体" w:eastAsia="宋体" w:cs="宋体"/>
                <w:spacing w:val="19"/>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7"/>
                <w:sz w:val="20"/>
                <w:szCs w:val="20"/>
              </w:rPr>
              <w:t>2</w:t>
            </w:r>
            <w:r>
              <w:rPr>
                <w:rFonts w:ascii="宋体" w:hAnsi="宋体" w:eastAsia="宋体" w:cs="宋体"/>
                <w:spacing w:val="17"/>
                <w:sz w:val="20"/>
                <w:szCs w:val="20"/>
                <w14:textOutline w14:w="3795" w14:cap="sq" w14:cmpd="sng">
                  <w14:solidFill>
                    <w14:srgbClr w14:val="000000"/>
                  </w14:solidFill>
                  <w14:prstDash w14:val="solid"/>
                  <w14:bevel/>
                </w14:textOutline>
              </w:rPr>
              <w:t>)</w:t>
            </w:r>
            <w:r>
              <w:rPr>
                <w:rFonts w:ascii="宋体" w:hAnsi="宋体" w:eastAsia="宋体" w:cs="宋体"/>
                <w:spacing w:val="17"/>
                <w:sz w:val="20"/>
                <w:szCs w:val="20"/>
              </w:rPr>
              <w:t xml:space="preserve"> </w:t>
            </w:r>
            <w:r>
              <w:rPr>
                <w:rFonts w:ascii="宋体" w:hAnsi="宋体" w:eastAsia="宋体" w:cs="宋体"/>
                <w:spacing w:val="17"/>
                <w:sz w:val="20"/>
                <w:szCs w:val="20"/>
                <w14:textOutline w14:w="3795" w14:cap="sq" w14:cmpd="sng">
                  <w14:solidFill>
                    <w14:srgbClr w14:val="000000"/>
                  </w14:solidFill>
                  <w14:prstDash w14:val="solid"/>
                  <w14:bevel/>
                </w14:textOutline>
              </w:rPr>
              <w:t>桥梁施工废水</w:t>
            </w:r>
          </w:p>
          <w:p>
            <w:pPr>
              <w:spacing w:before="154" w:line="228" w:lineRule="auto"/>
              <w:ind w:left="474"/>
              <w:rPr>
                <w:rFonts w:ascii="宋体" w:hAnsi="宋体" w:eastAsia="宋体" w:cs="宋体"/>
                <w:sz w:val="20"/>
                <w:szCs w:val="20"/>
              </w:rPr>
            </w:pPr>
            <w:r>
              <w:rPr>
                <w:rFonts w:ascii="宋体" w:hAnsi="宋体" w:eastAsia="宋体" w:cs="宋体"/>
                <w:spacing w:val="9"/>
                <w:sz w:val="20"/>
                <w:szCs w:val="20"/>
              </w:rPr>
              <w:t>针对桥梁施工，本项目拟采取如下的控制措施：</w:t>
            </w:r>
          </w:p>
          <w:p>
            <w:pPr>
              <w:spacing w:before="154" w:line="369" w:lineRule="auto"/>
              <w:ind w:left="107" w:right="86" w:firstLine="492"/>
              <w:rPr>
                <w:rFonts w:ascii="宋体" w:hAnsi="宋体" w:eastAsia="宋体" w:cs="宋体"/>
                <w:sz w:val="20"/>
                <w:szCs w:val="20"/>
              </w:rPr>
            </w:pPr>
            <w:r>
              <w:rPr>
                <w:rFonts w:ascii="宋体" w:hAnsi="宋体" w:eastAsia="宋体" w:cs="宋体"/>
                <w:spacing w:val="10"/>
                <w:sz w:val="17"/>
                <w:szCs w:val="17"/>
              </w:rPr>
              <w:t xml:space="preserve">1   </w:t>
            </w:r>
            <w:r>
              <w:rPr>
                <w:rFonts w:ascii="宋体" w:hAnsi="宋体" w:eastAsia="宋体" w:cs="宋体"/>
                <w:spacing w:val="10"/>
                <w:sz w:val="20"/>
                <w:szCs w:val="20"/>
              </w:rPr>
              <w:t>施工在基础开挖过程中应尽量避免或减少砂、石等落入水体，减少水土流失</w:t>
            </w:r>
            <w:r>
              <w:rPr>
                <w:rFonts w:ascii="宋体" w:hAnsi="宋体" w:eastAsia="宋体" w:cs="宋体"/>
                <w:spacing w:val="9"/>
                <w:sz w:val="20"/>
                <w:szCs w:val="20"/>
              </w:rPr>
              <w:t>。</w:t>
            </w:r>
            <w:r>
              <w:rPr>
                <w:rFonts w:ascii="宋体" w:hAnsi="宋体" w:eastAsia="宋体" w:cs="宋体"/>
                <w:sz w:val="20"/>
                <w:szCs w:val="20"/>
              </w:rPr>
              <w:t xml:space="preserve"> </w:t>
            </w:r>
            <w:r>
              <w:rPr>
                <w:rFonts w:ascii="宋体" w:hAnsi="宋体" w:eastAsia="宋体" w:cs="宋体"/>
                <w:spacing w:val="18"/>
                <w:sz w:val="20"/>
                <w:szCs w:val="20"/>
              </w:rPr>
              <w:t>桥</w:t>
            </w:r>
            <w:r>
              <w:rPr>
                <w:rFonts w:ascii="宋体" w:hAnsi="宋体" w:eastAsia="宋体" w:cs="宋体"/>
                <w:spacing w:val="12"/>
                <w:sz w:val="20"/>
                <w:szCs w:val="20"/>
              </w:rPr>
              <w:t>桩</w:t>
            </w:r>
            <w:r>
              <w:rPr>
                <w:rFonts w:ascii="宋体" w:hAnsi="宋体" w:eastAsia="宋体" w:cs="宋体"/>
                <w:spacing w:val="9"/>
                <w:sz w:val="20"/>
                <w:szCs w:val="20"/>
              </w:rPr>
              <w:t>施工采取钢板围堰，打桩在围堰内进行，尽量减轻对水体造成污染。</w:t>
            </w:r>
          </w:p>
          <w:p>
            <w:pPr>
              <w:spacing w:line="369" w:lineRule="auto"/>
              <w:ind w:left="107" w:firstLine="480"/>
              <w:rPr>
                <w:rFonts w:ascii="宋体" w:hAnsi="宋体" w:eastAsia="宋体" w:cs="宋体"/>
                <w:sz w:val="20"/>
                <w:szCs w:val="20"/>
              </w:rPr>
            </w:pPr>
            <w:r>
              <w:rPr>
                <w:rFonts w:ascii="宋体" w:hAnsi="宋体" w:eastAsia="宋体" w:cs="宋体"/>
                <w:spacing w:val="18"/>
                <w:sz w:val="17"/>
                <w:szCs w:val="17"/>
              </w:rPr>
              <w:t>2</w:t>
            </w:r>
            <w:r>
              <w:rPr>
                <w:rFonts w:ascii="宋体" w:hAnsi="宋体" w:eastAsia="宋体" w:cs="宋体"/>
                <w:spacing w:val="11"/>
                <w:sz w:val="17"/>
                <w:szCs w:val="17"/>
              </w:rPr>
              <w:t xml:space="preserve">   </w:t>
            </w:r>
            <w:r>
              <w:rPr>
                <w:rFonts w:ascii="宋体" w:hAnsi="宋体" w:eastAsia="宋体" w:cs="宋体"/>
                <w:spacing w:val="11"/>
                <w:sz w:val="20"/>
                <w:szCs w:val="20"/>
              </w:rPr>
              <w:t>钻孔、混凝土浇筑作业应限制在围堰内进行，不与围堰外的河水发生关系。尽</w:t>
            </w:r>
            <w:r>
              <w:rPr>
                <w:rFonts w:ascii="宋体" w:hAnsi="宋体" w:eastAsia="宋体" w:cs="宋体"/>
                <w:sz w:val="20"/>
                <w:szCs w:val="20"/>
              </w:rPr>
              <w:t xml:space="preserve"> </w:t>
            </w:r>
            <w:r>
              <w:rPr>
                <w:rFonts w:ascii="宋体" w:hAnsi="宋体" w:eastAsia="宋体" w:cs="宋体"/>
                <w:spacing w:val="14"/>
                <w:sz w:val="20"/>
                <w:szCs w:val="20"/>
              </w:rPr>
              <w:t>量采用</w:t>
            </w:r>
            <w:r>
              <w:rPr>
                <w:rFonts w:ascii="宋体" w:hAnsi="宋体" w:eastAsia="宋体" w:cs="宋体"/>
                <w:spacing w:val="11"/>
                <w:sz w:val="20"/>
                <w:szCs w:val="20"/>
              </w:rPr>
              <w:t>循</w:t>
            </w:r>
            <w:r>
              <w:rPr>
                <w:rFonts w:ascii="宋体" w:hAnsi="宋体" w:eastAsia="宋体" w:cs="宋体"/>
                <w:spacing w:val="7"/>
                <w:sz w:val="20"/>
                <w:szCs w:val="20"/>
              </w:rPr>
              <w:t>环钻孔灌注桩施工方式，钻渣及时清理至岸边设置的干化场干化后运至弃土场，</w:t>
            </w:r>
            <w:r>
              <w:rPr>
                <w:rFonts w:ascii="宋体" w:hAnsi="宋体" w:eastAsia="宋体" w:cs="宋体"/>
                <w:sz w:val="20"/>
                <w:szCs w:val="20"/>
              </w:rPr>
              <w:t xml:space="preserve"> </w:t>
            </w:r>
            <w:r>
              <w:rPr>
                <w:rFonts w:ascii="宋体" w:hAnsi="宋体" w:eastAsia="宋体" w:cs="宋体"/>
                <w:spacing w:val="22"/>
                <w:sz w:val="20"/>
                <w:szCs w:val="20"/>
              </w:rPr>
              <w:t>钻孔</w:t>
            </w:r>
            <w:r>
              <w:rPr>
                <w:rFonts w:ascii="宋体" w:hAnsi="宋体" w:eastAsia="宋体" w:cs="宋体"/>
                <w:spacing w:val="17"/>
                <w:sz w:val="20"/>
                <w:szCs w:val="20"/>
              </w:rPr>
              <w:t>及</w:t>
            </w:r>
            <w:r>
              <w:rPr>
                <w:rFonts w:ascii="宋体" w:hAnsi="宋体" w:eastAsia="宋体" w:cs="宋体"/>
                <w:spacing w:val="11"/>
                <w:sz w:val="20"/>
                <w:szCs w:val="20"/>
              </w:rPr>
              <w:t>清孔产生的泥浆水及时抽排至岸上设置的多级沉淀池内进行处理，沉淀池中上清</w:t>
            </w:r>
            <w:r>
              <w:rPr>
                <w:rFonts w:ascii="宋体" w:hAnsi="宋体" w:eastAsia="宋体" w:cs="宋体"/>
                <w:sz w:val="20"/>
                <w:szCs w:val="20"/>
              </w:rPr>
              <w:t xml:space="preserve"> </w:t>
            </w:r>
            <w:r>
              <w:rPr>
                <w:rFonts w:ascii="宋体" w:hAnsi="宋体" w:eastAsia="宋体" w:cs="宋体"/>
                <w:spacing w:val="22"/>
                <w:sz w:val="20"/>
                <w:szCs w:val="20"/>
              </w:rPr>
              <w:t>液回</w:t>
            </w:r>
            <w:r>
              <w:rPr>
                <w:rFonts w:ascii="宋体" w:hAnsi="宋体" w:eastAsia="宋体" w:cs="宋体"/>
                <w:spacing w:val="17"/>
                <w:sz w:val="20"/>
                <w:szCs w:val="20"/>
              </w:rPr>
              <w:t>用</w:t>
            </w:r>
            <w:r>
              <w:rPr>
                <w:rFonts w:ascii="宋体" w:hAnsi="宋体" w:eastAsia="宋体" w:cs="宋体"/>
                <w:spacing w:val="11"/>
                <w:sz w:val="20"/>
                <w:szCs w:val="20"/>
              </w:rPr>
              <w:t>于施工，底部沉渣运至指定渣场，不外排。在浇注混凝土等施工作业过程中，应</w:t>
            </w:r>
            <w:r>
              <w:rPr>
                <w:rFonts w:ascii="宋体" w:hAnsi="宋体" w:eastAsia="宋体" w:cs="宋体"/>
                <w:sz w:val="20"/>
                <w:szCs w:val="20"/>
              </w:rPr>
              <w:t xml:space="preserve"> </w:t>
            </w:r>
            <w:r>
              <w:rPr>
                <w:rFonts w:ascii="宋体" w:hAnsi="宋体" w:eastAsia="宋体" w:cs="宋体"/>
                <w:spacing w:val="18"/>
                <w:sz w:val="20"/>
                <w:szCs w:val="20"/>
              </w:rPr>
              <w:t>尽</w:t>
            </w:r>
            <w:r>
              <w:rPr>
                <w:rFonts w:ascii="宋体" w:hAnsi="宋体" w:eastAsia="宋体" w:cs="宋体"/>
                <w:spacing w:val="12"/>
                <w:sz w:val="20"/>
                <w:szCs w:val="20"/>
              </w:rPr>
              <w:t>量</w:t>
            </w:r>
            <w:r>
              <w:rPr>
                <w:rFonts w:ascii="宋体" w:hAnsi="宋体" w:eastAsia="宋体" w:cs="宋体"/>
                <w:spacing w:val="9"/>
                <w:sz w:val="20"/>
                <w:szCs w:val="20"/>
              </w:rPr>
              <w:t>避免或减少混凝土浆漏出，降低对地表水和地下水水质产生污染的可能性。</w:t>
            </w:r>
          </w:p>
          <w:p>
            <w:pPr>
              <w:spacing w:before="2" w:line="369" w:lineRule="auto"/>
              <w:ind w:left="107" w:right="49" w:firstLine="482"/>
              <w:rPr>
                <w:rFonts w:ascii="宋体" w:hAnsi="宋体" w:eastAsia="宋体" w:cs="宋体"/>
                <w:sz w:val="20"/>
                <w:szCs w:val="20"/>
              </w:rPr>
            </w:pPr>
            <w:r>
              <w:rPr>
                <w:rFonts w:ascii="宋体" w:hAnsi="宋体" w:eastAsia="宋体" w:cs="宋体"/>
                <w:spacing w:val="19"/>
                <w:sz w:val="17"/>
                <w:szCs w:val="17"/>
              </w:rPr>
              <w:t>3</w:t>
            </w:r>
            <w:r>
              <w:rPr>
                <w:rFonts w:ascii="宋体" w:hAnsi="宋体" w:eastAsia="宋体" w:cs="宋体"/>
                <w:spacing w:val="11"/>
                <w:sz w:val="17"/>
                <w:szCs w:val="17"/>
              </w:rPr>
              <w:t xml:space="preserve">   </w:t>
            </w:r>
            <w:r>
              <w:rPr>
                <w:rFonts w:ascii="宋体" w:hAnsi="宋体" w:eastAsia="宋体" w:cs="宋体"/>
                <w:spacing w:val="11"/>
                <w:sz w:val="20"/>
                <w:szCs w:val="20"/>
              </w:rPr>
              <w:t>对施工人员进行严格的管理，严禁乱撒乱抛废弃物、建筑垃圾，要集中堆放并</w:t>
            </w:r>
            <w:r>
              <w:rPr>
                <w:rFonts w:ascii="宋体" w:hAnsi="宋体" w:eastAsia="宋体" w:cs="宋体"/>
                <w:sz w:val="20"/>
                <w:szCs w:val="20"/>
              </w:rPr>
              <w:t xml:space="preserve"> </w:t>
            </w:r>
            <w:r>
              <w:rPr>
                <w:rFonts w:ascii="宋体" w:hAnsi="宋体" w:eastAsia="宋体" w:cs="宋体"/>
                <w:spacing w:val="15"/>
                <w:sz w:val="20"/>
                <w:szCs w:val="20"/>
              </w:rPr>
              <w:t>运</w:t>
            </w:r>
            <w:r>
              <w:rPr>
                <w:rFonts w:ascii="宋体" w:hAnsi="宋体" w:eastAsia="宋体" w:cs="宋体"/>
                <w:spacing w:val="9"/>
                <w:sz w:val="20"/>
                <w:szCs w:val="20"/>
              </w:rPr>
              <w:t>送至指定地点，最大限度地减少对河流水质造成的污染。</w:t>
            </w:r>
          </w:p>
          <w:p>
            <w:pPr>
              <w:spacing w:line="399" w:lineRule="exact"/>
              <w:ind w:left="585"/>
              <w:rPr>
                <w:rFonts w:ascii="宋体" w:hAnsi="宋体" w:eastAsia="宋体" w:cs="宋体"/>
                <w:sz w:val="20"/>
                <w:szCs w:val="20"/>
              </w:rPr>
            </w:pPr>
            <w:r>
              <w:rPr>
                <w:rFonts w:ascii="宋体" w:hAnsi="宋体" w:eastAsia="宋体" w:cs="宋体"/>
                <w:spacing w:val="22"/>
                <w:position w:val="14"/>
                <w:sz w:val="17"/>
                <w:szCs w:val="17"/>
              </w:rPr>
              <w:t>4</w:t>
            </w:r>
            <w:r>
              <w:rPr>
                <w:rFonts w:ascii="宋体" w:hAnsi="宋体" w:eastAsia="宋体" w:cs="宋体"/>
                <w:spacing w:val="12"/>
                <w:position w:val="14"/>
                <w:sz w:val="17"/>
                <w:szCs w:val="17"/>
              </w:rPr>
              <w:t xml:space="preserve"> </w:t>
            </w:r>
            <w:r>
              <w:rPr>
                <w:rFonts w:ascii="宋体" w:hAnsi="宋体" w:eastAsia="宋体" w:cs="宋体"/>
                <w:spacing w:val="11"/>
                <w:position w:val="14"/>
                <w:sz w:val="17"/>
                <w:szCs w:val="17"/>
              </w:rPr>
              <w:t xml:space="preserve">  </w:t>
            </w:r>
            <w:r>
              <w:rPr>
                <w:rFonts w:ascii="宋体" w:hAnsi="宋体" w:eastAsia="宋体" w:cs="宋体"/>
                <w:spacing w:val="11"/>
                <w:position w:val="14"/>
                <w:sz w:val="20"/>
                <w:szCs w:val="20"/>
              </w:rPr>
              <w:t>桥梁桩基施工应选择在枯水季节；避开汛期施工，将项目实施对水生生物的影</w:t>
            </w:r>
          </w:p>
          <w:p>
            <w:pPr>
              <w:spacing w:line="227" w:lineRule="auto"/>
              <w:ind w:left="118"/>
              <w:rPr>
                <w:rFonts w:ascii="宋体" w:hAnsi="宋体" w:eastAsia="宋体" w:cs="宋体"/>
                <w:sz w:val="20"/>
                <w:szCs w:val="20"/>
              </w:rPr>
            </w:pPr>
            <w:r>
              <w:rPr>
                <w:rFonts w:ascii="宋体" w:hAnsi="宋体" w:eastAsia="宋体" w:cs="宋体"/>
                <w:spacing w:val="22"/>
                <w:sz w:val="20"/>
                <w:szCs w:val="20"/>
              </w:rPr>
              <w:t>响</w:t>
            </w:r>
            <w:r>
              <w:rPr>
                <w:rFonts w:ascii="宋体" w:hAnsi="宋体" w:eastAsia="宋体" w:cs="宋体"/>
                <w:spacing w:val="17"/>
                <w:sz w:val="20"/>
                <w:szCs w:val="20"/>
              </w:rPr>
              <w:t>降</w:t>
            </w:r>
            <w:r>
              <w:rPr>
                <w:rFonts w:ascii="宋体" w:hAnsi="宋体" w:eastAsia="宋体" w:cs="宋体"/>
                <w:spacing w:val="11"/>
                <w:sz w:val="20"/>
                <w:szCs w:val="20"/>
              </w:rPr>
              <w:t>低到最小。施工完毕后围堰、沉淀池及时拆除，消除对河道的影响，并对临时占地</w:t>
            </w:r>
          </w:p>
        </w:tc>
      </w:tr>
    </w:tbl>
    <w:p>
      <w:pPr>
        <w:spacing w:line="138" w:lineRule="exact"/>
        <w:rPr>
          <w:rFonts w:ascii="Arial"/>
          <w:sz w:val="12"/>
        </w:rPr>
      </w:pPr>
    </w:p>
    <w:p>
      <w:pPr>
        <w:sectPr>
          <w:footerReference r:id="rId92" w:type="default"/>
          <w:pgSz w:w="11907" w:h="16840"/>
          <w:pgMar w:top="400" w:right="1476" w:bottom="1477" w:left="1475" w:header="0" w:footer="1317" w:gutter="0"/>
          <w:cols w:space="720" w:num="1"/>
        </w:sectPr>
      </w:pPr>
    </w:p>
    <w:p/>
    <w:p/>
    <w:p/>
    <w:p/>
    <w:p>
      <w:pPr>
        <w:spacing w:line="221" w:lineRule="exact"/>
      </w:pPr>
    </w:p>
    <w:tbl>
      <w:tblPr>
        <w:tblStyle w:val="4"/>
        <w:tblW w:w="894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82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7" w:hRule="atLeast"/>
        </w:trPr>
        <w:tc>
          <w:tcPr>
            <w:tcW w:w="724" w:type="dxa"/>
            <w:tcBorders>
              <w:left w:val="single" w:color="00000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31" w:lineRule="auto"/>
              <w:ind w:left="129"/>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施工</w:t>
            </w:r>
          </w:p>
          <w:p>
            <w:pPr>
              <w:spacing w:before="21" w:line="228" w:lineRule="auto"/>
              <w:ind w:left="133"/>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期生</w:t>
            </w:r>
          </w:p>
          <w:p>
            <w:pPr>
              <w:spacing w:before="25" w:line="230" w:lineRule="auto"/>
              <w:ind w:left="130"/>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态</w:t>
            </w:r>
            <w:r>
              <w:rPr>
                <w:rFonts w:ascii="宋体" w:hAnsi="宋体" w:eastAsia="宋体" w:cs="宋体"/>
                <w:spacing w:val="15"/>
                <w:sz w:val="20"/>
                <w:szCs w:val="20"/>
                <w14:textOutline w14:w="3795" w14:cap="sq" w14:cmpd="sng">
                  <w14:solidFill>
                    <w14:srgbClr w14:val="000000"/>
                  </w14:solidFill>
                  <w14:prstDash w14:val="solid"/>
                  <w14:bevel/>
                </w14:textOutline>
              </w:rPr>
              <w:t>环</w:t>
            </w:r>
          </w:p>
          <w:p>
            <w:pPr>
              <w:spacing w:before="22" w:line="228" w:lineRule="auto"/>
              <w:ind w:left="131"/>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境保</w:t>
            </w:r>
          </w:p>
          <w:p>
            <w:pPr>
              <w:spacing w:before="25" w:line="228" w:lineRule="auto"/>
              <w:ind w:left="131"/>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护措</w:t>
            </w:r>
          </w:p>
          <w:p>
            <w:pPr>
              <w:spacing w:before="25" w:line="231" w:lineRule="auto"/>
              <w:ind w:left="244"/>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施</w:t>
            </w:r>
          </w:p>
        </w:tc>
        <w:tc>
          <w:tcPr>
            <w:tcW w:w="8216" w:type="dxa"/>
            <w:tcBorders>
              <w:right w:val="single" w:color="000000" w:sz="6" w:space="0"/>
            </w:tcBorders>
            <w:vAlign w:val="top"/>
          </w:tcPr>
          <w:p>
            <w:pPr>
              <w:spacing w:before="153" w:line="228" w:lineRule="auto"/>
              <w:ind w:left="105"/>
              <w:rPr>
                <w:rFonts w:ascii="宋体" w:hAnsi="宋体" w:eastAsia="宋体" w:cs="宋体"/>
                <w:sz w:val="20"/>
                <w:szCs w:val="20"/>
              </w:rPr>
            </w:pPr>
            <w:r>
              <w:rPr>
                <w:rFonts w:ascii="宋体" w:hAnsi="宋体" w:eastAsia="宋体" w:cs="宋体"/>
                <w:spacing w:val="13"/>
                <w:sz w:val="20"/>
                <w:szCs w:val="20"/>
              </w:rPr>
              <w:t>进</w:t>
            </w:r>
            <w:r>
              <w:rPr>
                <w:rFonts w:ascii="宋体" w:hAnsi="宋体" w:eastAsia="宋体" w:cs="宋体"/>
                <w:spacing w:val="9"/>
                <w:sz w:val="20"/>
                <w:szCs w:val="20"/>
              </w:rPr>
              <w:t>行植被恢复，避免造成水土流失和水体污染。</w:t>
            </w:r>
          </w:p>
          <w:p>
            <w:pPr>
              <w:spacing w:before="153" w:line="228" w:lineRule="auto"/>
              <w:ind w:left="537"/>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8"/>
                <w:sz w:val="20"/>
                <w:szCs w:val="20"/>
              </w:rPr>
              <w:t>3</w:t>
            </w: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宋体" w:hAnsi="宋体" w:eastAsia="宋体" w:cs="宋体"/>
                <w:spacing w:val="18"/>
                <w:sz w:val="20"/>
                <w:szCs w:val="20"/>
              </w:rPr>
              <w:t xml:space="preserve"> </w:t>
            </w:r>
            <w:r>
              <w:rPr>
                <w:rFonts w:ascii="宋体" w:hAnsi="宋体" w:eastAsia="宋体" w:cs="宋体"/>
                <w:spacing w:val="18"/>
                <w:sz w:val="20"/>
                <w:szCs w:val="20"/>
                <w14:textOutline w14:w="3795" w14:cap="sq" w14:cmpd="sng">
                  <w14:solidFill>
                    <w14:srgbClr w14:val="000000"/>
                  </w14:solidFill>
                  <w14:prstDash w14:val="solid"/>
                  <w14:bevel/>
                </w14:textOutline>
              </w:rPr>
              <w:t>生活污水</w:t>
            </w:r>
          </w:p>
          <w:p>
            <w:pPr>
              <w:spacing w:before="154" w:line="369" w:lineRule="auto"/>
              <w:ind w:left="54" w:right="49" w:firstLine="419"/>
              <w:rPr>
                <w:rFonts w:ascii="宋体" w:hAnsi="宋体" w:eastAsia="宋体" w:cs="宋体"/>
                <w:sz w:val="20"/>
                <w:szCs w:val="20"/>
              </w:rPr>
            </w:pPr>
            <w:r>
              <w:rPr>
                <w:rFonts w:ascii="宋体" w:hAnsi="宋体" w:eastAsia="宋体" w:cs="宋体"/>
                <w:spacing w:val="14"/>
                <w:sz w:val="20"/>
                <w:szCs w:val="20"/>
              </w:rPr>
              <w:t>施工</w:t>
            </w:r>
            <w:r>
              <w:rPr>
                <w:rFonts w:ascii="宋体" w:hAnsi="宋体" w:eastAsia="宋体" w:cs="宋体"/>
                <w:spacing w:val="8"/>
                <w:sz w:val="20"/>
                <w:szCs w:val="20"/>
              </w:rPr>
              <w:t>期</w:t>
            </w:r>
            <w:r>
              <w:rPr>
                <w:rFonts w:ascii="宋体" w:hAnsi="宋体" w:eastAsia="宋体" w:cs="宋体"/>
                <w:spacing w:val="7"/>
                <w:sz w:val="20"/>
                <w:szCs w:val="20"/>
              </w:rPr>
              <w:t xml:space="preserve">间，值班、施工人员将会产生少量的生活污水，拟在两端施工场地内各设置 </w:t>
            </w:r>
            <w:r>
              <w:rPr>
                <w:rFonts w:ascii="Times New Roman" w:hAnsi="Times New Roman" w:eastAsia="Times New Roman" w:cs="Times New Roman"/>
                <w:spacing w:val="7"/>
                <w:sz w:val="20"/>
                <w:szCs w:val="20"/>
              </w:rPr>
              <w:t>1</w:t>
            </w:r>
            <w:r>
              <w:rPr>
                <w:rFonts w:ascii="Times New Roman" w:hAnsi="Times New Roman" w:eastAsia="Times New Roman" w:cs="Times New Roman"/>
                <w:sz w:val="20"/>
                <w:szCs w:val="20"/>
              </w:rPr>
              <w:t xml:space="preserve"> </w:t>
            </w:r>
            <w:r>
              <w:rPr>
                <w:rFonts w:ascii="宋体" w:hAnsi="宋体" w:eastAsia="宋体" w:cs="宋体"/>
                <w:spacing w:val="14"/>
                <w:sz w:val="20"/>
                <w:szCs w:val="20"/>
              </w:rPr>
              <w:t>个移动式</w:t>
            </w:r>
            <w:r>
              <w:rPr>
                <w:rFonts w:ascii="宋体" w:hAnsi="宋体" w:eastAsia="宋体" w:cs="宋体"/>
                <w:spacing w:val="7"/>
                <w:sz w:val="20"/>
                <w:szCs w:val="20"/>
              </w:rPr>
              <w:t>公厕，收集值班、施工人员产生的生活污水，定期委托环卫部门将其清掏外运处</w:t>
            </w:r>
            <w:r>
              <w:rPr>
                <w:rFonts w:ascii="宋体" w:hAnsi="宋体" w:eastAsia="宋体" w:cs="宋体"/>
                <w:sz w:val="20"/>
                <w:szCs w:val="20"/>
              </w:rPr>
              <w:t xml:space="preserve"> </w:t>
            </w:r>
            <w:r>
              <w:rPr>
                <w:rFonts w:ascii="宋体" w:hAnsi="宋体" w:eastAsia="宋体" w:cs="宋体"/>
                <w:spacing w:val="8"/>
                <w:sz w:val="20"/>
                <w:szCs w:val="20"/>
              </w:rPr>
              <w:t>理，对环境影响较小。</w:t>
            </w:r>
          </w:p>
          <w:p>
            <w:pPr>
              <w:spacing w:before="1" w:line="227" w:lineRule="auto"/>
              <w:ind w:left="537"/>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5"/>
                <w:sz w:val="20"/>
                <w:szCs w:val="20"/>
              </w:rPr>
              <w:t>4</w:t>
            </w:r>
            <w:r>
              <w:rPr>
                <w:rFonts w:ascii="宋体" w:hAnsi="宋体" w:eastAsia="宋体" w:cs="宋体"/>
                <w:spacing w:val="15"/>
                <w:sz w:val="20"/>
                <w:szCs w:val="20"/>
                <w14:textOutline w14:w="3795" w14:cap="sq" w14:cmpd="sng">
                  <w14:solidFill>
                    <w14:srgbClr w14:val="000000"/>
                  </w14:solidFill>
                  <w14:prstDash w14:val="solid"/>
                  <w14:bevel/>
                </w14:textOutline>
              </w:rPr>
              <w:t>)</w:t>
            </w:r>
            <w:r>
              <w:rPr>
                <w:rFonts w:ascii="宋体" w:hAnsi="宋体" w:eastAsia="宋体" w:cs="宋体"/>
                <w:spacing w:val="15"/>
                <w:sz w:val="20"/>
                <w:szCs w:val="20"/>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降雨产生的面源流失</w:t>
            </w:r>
          </w:p>
          <w:p>
            <w:pPr>
              <w:spacing w:before="152" w:line="370" w:lineRule="auto"/>
              <w:ind w:left="55" w:right="49" w:firstLine="422"/>
              <w:rPr>
                <w:rFonts w:ascii="宋体" w:hAnsi="宋体" w:eastAsia="宋体" w:cs="宋体"/>
                <w:sz w:val="20"/>
                <w:szCs w:val="20"/>
              </w:rPr>
            </w:pPr>
            <w:r>
              <w:rPr>
                <w:rFonts w:ascii="宋体" w:hAnsi="宋体" w:eastAsia="宋体" w:cs="宋体"/>
                <w:spacing w:val="14"/>
                <w:sz w:val="20"/>
                <w:szCs w:val="20"/>
              </w:rPr>
              <w:t>项目</w:t>
            </w:r>
            <w:r>
              <w:rPr>
                <w:rFonts w:ascii="宋体" w:hAnsi="宋体" w:eastAsia="宋体" w:cs="宋体"/>
                <w:spacing w:val="12"/>
                <w:sz w:val="20"/>
                <w:szCs w:val="20"/>
              </w:rPr>
              <w:t>施</w:t>
            </w:r>
            <w:r>
              <w:rPr>
                <w:rFonts w:ascii="宋体" w:hAnsi="宋体" w:eastAsia="宋体" w:cs="宋体"/>
                <w:spacing w:val="7"/>
                <w:sz w:val="20"/>
                <w:szCs w:val="20"/>
              </w:rPr>
              <w:t>工期间，场地开挖及填筑，形成边坡，在强降雨条件下，产生大量的水土流失</w:t>
            </w:r>
            <w:r>
              <w:rPr>
                <w:rFonts w:ascii="宋体" w:hAnsi="宋体" w:eastAsia="宋体" w:cs="宋体"/>
                <w:sz w:val="20"/>
                <w:szCs w:val="20"/>
              </w:rPr>
              <w:t xml:space="preserve"> </w:t>
            </w:r>
            <w:r>
              <w:rPr>
                <w:rFonts w:ascii="宋体" w:hAnsi="宋体" w:eastAsia="宋体" w:cs="宋体"/>
                <w:spacing w:val="9"/>
                <w:sz w:val="20"/>
                <w:szCs w:val="20"/>
              </w:rPr>
              <w:t>而进入周围水体，对水环境造成较大的影响</w:t>
            </w:r>
            <w:r>
              <w:rPr>
                <w:rFonts w:ascii="宋体" w:hAnsi="宋体" w:eastAsia="宋体" w:cs="宋体"/>
                <w:spacing w:val="8"/>
                <w:sz w:val="20"/>
                <w:szCs w:val="20"/>
              </w:rPr>
              <w:t>。</w:t>
            </w:r>
          </w:p>
          <w:p>
            <w:pPr>
              <w:spacing w:line="369" w:lineRule="auto"/>
              <w:ind w:left="55" w:right="49" w:firstLine="422"/>
              <w:rPr>
                <w:rFonts w:ascii="宋体" w:hAnsi="宋体" w:eastAsia="宋体" w:cs="宋体"/>
                <w:sz w:val="20"/>
                <w:szCs w:val="20"/>
              </w:rPr>
            </w:pPr>
            <w:r>
              <w:rPr>
                <w:rFonts w:ascii="宋体" w:hAnsi="宋体" w:eastAsia="宋体" w:cs="宋体"/>
                <w:spacing w:val="14"/>
                <w:sz w:val="20"/>
                <w:szCs w:val="20"/>
              </w:rPr>
              <w:t>项目</w:t>
            </w:r>
            <w:r>
              <w:rPr>
                <w:rFonts w:ascii="宋体" w:hAnsi="宋体" w:eastAsia="宋体" w:cs="宋体"/>
                <w:spacing w:val="12"/>
                <w:sz w:val="20"/>
                <w:szCs w:val="20"/>
              </w:rPr>
              <w:t>在</w:t>
            </w:r>
            <w:r>
              <w:rPr>
                <w:rFonts w:ascii="宋体" w:hAnsi="宋体" w:eastAsia="宋体" w:cs="宋体"/>
                <w:spacing w:val="7"/>
                <w:sz w:val="20"/>
                <w:szCs w:val="20"/>
              </w:rPr>
              <w:t>施工时遇雨天可用防雨布对开挖和填筑堆场、边坡等坡、表土临时堆场地等进</w:t>
            </w:r>
            <w:r>
              <w:rPr>
                <w:rFonts w:ascii="宋体" w:hAnsi="宋体" w:eastAsia="宋体" w:cs="宋体"/>
                <w:sz w:val="20"/>
                <w:szCs w:val="20"/>
              </w:rPr>
              <w:t xml:space="preserve"> </w:t>
            </w:r>
            <w:r>
              <w:rPr>
                <w:rFonts w:ascii="宋体" w:hAnsi="宋体" w:eastAsia="宋体" w:cs="宋体"/>
                <w:spacing w:val="14"/>
                <w:sz w:val="20"/>
                <w:szCs w:val="20"/>
              </w:rPr>
              <w:t>行覆盖</w:t>
            </w:r>
            <w:r>
              <w:rPr>
                <w:rFonts w:ascii="宋体" w:hAnsi="宋体" w:eastAsia="宋体" w:cs="宋体"/>
                <w:spacing w:val="13"/>
                <w:sz w:val="20"/>
                <w:szCs w:val="20"/>
              </w:rPr>
              <w:t>；</w:t>
            </w:r>
            <w:r>
              <w:rPr>
                <w:rFonts w:ascii="宋体" w:hAnsi="宋体" w:eastAsia="宋体" w:cs="宋体"/>
                <w:spacing w:val="7"/>
                <w:sz w:val="20"/>
                <w:szCs w:val="20"/>
              </w:rPr>
              <w:t>加强管理，开挖产生的弃土及时回填，不能及时回填的设置规范的堆场，在表土</w:t>
            </w:r>
            <w:r>
              <w:rPr>
                <w:rFonts w:ascii="宋体" w:hAnsi="宋体" w:eastAsia="宋体" w:cs="宋体"/>
                <w:sz w:val="20"/>
                <w:szCs w:val="20"/>
              </w:rPr>
              <w:t xml:space="preserve"> </w:t>
            </w:r>
            <w:r>
              <w:rPr>
                <w:rFonts w:ascii="宋体" w:hAnsi="宋体" w:eastAsia="宋体" w:cs="宋体"/>
                <w:spacing w:val="14"/>
                <w:sz w:val="20"/>
                <w:szCs w:val="20"/>
              </w:rPr>
              <w:t>堆</w:t>
            </w:r>
            <w:r>
              <w:rPr>
                <w:rFonts w:ascii="宋体" w:hAnsi="宋体" w:eastAsia="宋体" w:cs="宋体"/>
                <w:spacing w:val="9"/>
                <w:sz w:val="20"/>
                <w:szCs w:val="20"/>
              </w:rPr>
              <w:t>积地、临时堆料场周围用编织土袋拦挡、并设置截洪沟等。</w:t>
            </w:r>
          </w:p>
          <w:p>
            <w:pPr>
              <w:spacing w:before="2" w:line="368" w:lineRule="auto"/>
              <w:ind w:left="54" w:right="49" w:firstLine="419"/>
              <w:rPr>
                <w:rFonts w:ascii="宋体" w:hAnsi="宋体" w:eastAsia="宋体" w:cs="宋体"/>
                <w:sz w:val="20"/>
                <w:szCs w:val="20"/>
              </w:rPr>
            </w:pPr>
            <w:r>
              <w:rPr>
                <w:rFonts w:ascii="宋体" w:hAnsi="宋体" w:eastAsia="宋体" w:cs="宋体"/>
                <w:spacing w:val="14"/>
                <w:sz w:val="20"/>
                <w:szCs w:val="20"/>
              </w:rPr>
              <w:t>采取这</w:t>
            </w:r>
            <w:r>
              <w:rPr>
                <w:rFonts w:ascii="宋体" w:hAnsi="宋体" w:eastAsia="宋体" w:cs="宋体"/>
                <w:spacing w:val="9"/>
                <w:sz w:val="20"/>
                <w:szCs w:val="20"/>
              </w:rPr>
              <w:t>些</w:t>
            </w:r>
            <w:r>
              <w:rPr>
                <w:rFonts w:ascii="宋体" w:hAnsi="宋体" w:eastAsia="宋体" w:cs="宋体"/>
                <w:spacing w:val="7"/>
                <w:sz w:val="20"/>
                <w:szCs w:val="20"/>
              </w:rPr>
              <w:t>措施后，可大大减少雨水对裸露地表的冲刷，减轻降雨时面源流失对周围水</w:t>
            </w:r>
            <w:r>
              <w:rPr>
                <w:rFonts w:ascii="宋体" w:hAnsi="宋体" w:eastAsia="宋体" w:cs="宋体"/>
                <w:sz w:val="20"/>
                <w:szCs w:val="20"/>
              </w:rPr>
              <w:t xml:space="preserve"> </w:t>
            </w:r>
            <w:r>
              <w:rPr>
                <w:rFonts w:ascii="宋体" w:hAnsi="宋体" w:eastAsia="宋体" w:cs="宋体"/>
                <w:spacing w:val="7"/>
                <w:sz w:val="20"/>
                <w:szCs w:val="20"/>
              </w:rPr>
              <w:t>环境的影响</w:t>
            </w:r>
            <w:r>
              <w:rPr>
                <w:rFonts w:ascii="宋体" w:hAnsi="宋体" w:eastAsia="宋体" w:cs="宋体"/>
                <w:spacing w:val="5"/>
                <w:sz w:val="20"/>
                <w:szCs w:val="20"/>
              </w:rPr>
              <w:t>。</w:t>
            </w:r>
          </w:p>
          <w:p>
            <w:pPr>
              <w:spacing w:before="1" w:line="241" w:lineRule="auto"/>
              <w:ind w:left="102"/>
              <w:rPr>
                <w:rFonts w:ascii="黑体" w:hAnsi="黑体" w:eastAsia="黑体" w:cs="黑体"/>
                <w:sz w:val="20"/>
                <w:szCs w:val="20"/>
              </w:rPr>
            </w:pPr>
            <w:r>
              <w:rPr>
                <w:rFonts w:ascii="Times New Roman" w:hAnsi="Times New Roman" w:eastAsia="Times New Roman" w:cs="Times New Roman"/>
                <w:spacing w:val="2"/>
                <w:sz w:val="20"/>
                <w:szCs w:val="20"/>
              </w:rPr>
              <w:t xml:space="preserve">4 </w:t>
            </w:r>
            <w:r>
              <w:rPr>
                <w:rFonts w:ascii="黑体" w:hAnsi="黑体" w:eastAsia="黑体" w:cs="黑体"/>
                <w:spacing w:val="2"/>
                <w:sz w:val="20"/>
                <w:szCs w:val="20"/>
              </w:rPr>
              <w:t>、噪声控制措施</w:t>
            </w:r>
          </w:p>
          <w:p>
            <w:pPr>
              <w:spacing w:before="139" w:line="227" w:lineRule="auto"/>
              <w:ind w:left="477"/>
              <w:rPr>
                <w:rFonts w:ascii="宋体" w:hAnsi="宋体" w:eastAsia="宋体" w:cs="宋体"/>
                <w:sz w:val="20"/>
                <w:szCs w:val="20"/>
              </w:rPr>
            </w:pPr>
            <w:r>
              <w:rPr>
                <w:rFonts w:ascii="宋体" w:hAnsi="宋体" w:eastAsia="宋体" w:cs="宋体"/>
                <w:spacing w:val="9"/>
                <w:sz w:val="20"/>
                <w:szCs w:val="20"/>
              </w:rPr>
              <w:t>工程施工承包方在施工期须采取以下噪声控制措施</w:t>
            </w:r>
            <w:r>
              <w:rPr>
                <w:rFonts w:ascii="宋体" w:hAnsi="宋体" w:eastAsia="宋体" w:cs="宋体"/>
                <w:spacing w:val="8"/>
                <w:sz w:val="20"/>
                <w:szCs w:val="20"/>
              </w:rPr>
              <w:t>：</w:t>
            </w:r>
          </w:p>
          <w:p>
            <w:pPr>
              <w:spacing w:before="153" w:line="369" w:lineRule="auto"/>
              <w:ind w:left="107" w:right="49" w:firstLine="492"/>
              <w:rPr>
                <w:rFonts w:ascii="宋体" w:hAnsi="宋体" w:eastAsia="宋体" w:cs="宋体"/>
                <w:sz w:val="20"/>
                <w:szCs w:val="20"/>
              </w:rPr>
            </w:pPr>
            <w:r>
              <w:rPr>
                <w:rFonts w:ascii="宋体" w:hAnsi="宋体" w:eastAsia="宋体" w:cs="宋体"/>
                <w:spacing w:val="12"/>
                <w:sz w:val="17"/>
                <w:szCs w:val="17"/>
              </w:rPr>
              <w:t xml:space="preserve">1  </w:t>
            </w:r>
            <w:r>
              <w:rPr>
                <w:rFonts w:ascii="宋体" w:hAnsi="宋体" w:eastAsia="宋体" w:cs="宋体"/>
                <w:spacing w:val="8"/>
                <w:sz w:val="17"/>
                <w:szCs w:val="17"/>
              </w:rPr>
              <w:t xml:space="preserve"> </w:t>
            </w:r>
            <w:r>
              <w:rPr>
                <w:rFonts w:ascii="宋体" w:hAnsi="宋体" w:eastAsia="宋体" w:cs="宋体"/>
                <w:spacing w:val="6"/>
                <w:sz w:val="20"/>
                <w:szCs w:val="20"/>
              </w:rPr>
              <w:t xml:space="preserve">施工单位必须在开工 </w:t>
            </w:r>
            <w:r>
              <w:rPr>
                <w:rFonts w:ascii="Times New Roman" w:hAnsi="Times New Roman" w:eastAsia="Times New Roman" w:cs="Times New Roman"/>
                <w:spacing w:val="6"/>
                <w:sz w:val="20"/>
                <w:szCs w:val="20"/>
              </w:rPr>
              <w:t xml:space="preserve">15 </w:t>
            </w:r>
            <w:r>
              <w:rPr>
                <w:rFonts w:ascii="宋体" w:hAnsi="宋体" w:eastAsia="宋体" w:cs="宋体"/>
                <w:spacing w:val="6"/>
                <w:sz w:val="20"/>
                <w:szCs w:val="20"/>
              </w:rPr>
              <w:t>日以前向当地主管部门申报该工程的项目名称、施工场</w:t>
            </w:r>
            <w:r>
              <w:rPr>
                <w:rFonts w:ascii="宋体" w:hAnsi="宋体" w:eastAsia="宋体" w:cs="宋体"/>
                <w:sz w:val="20"/>
                <w:szCs w:val="20"/>
              </w:rPr>
              <w:t xml:space="preserve"> </w:t>
            </w:r>
            <w:r>
              <w:rPr>
                <w:rFonts w:ascii="宋体" w:hAnsi="宋体" w:eastAsia="宋体" w:cs="宋体"/>
                <w:spacing w:val="12"/>
                <w:sz w:val="20"/>
                <w:szCs w:val="20"/>
              </w:rPr>
              <w:t>所和期限、可能产生的环境噪声值以及所采取的噪声防治措施的情况。在施工工地围</w:t>
            </w:r>
            <w:r>
              <w:rPr>
                <w:rFonts w:ascii="宋体" w:hAnsi="宋体" w:eastAsia="宋体" w:cs="宋体"/>
                <w:spacing w:val="4"/>
                <w:sz w:val="20"/>
                <w:szCs w:val="20"/>
              </w:rPr>
              <w:t>墙</w:t>
            </w:r>
            <w:r>
              <w:rPr>
                <w:rFonts w:ascii="宋体" w:hAnsi="宋体" w:eastAsia="宋体" w:cs="宋体"/>
                <w:sz w:val="20"/>
                <w:szCs w:val="20"/>
              </w:rPr>
              <w:t xml:space="preserve"> </w:t>
            </w:r>
            <w:r>
              <w:rPr>
                <w:rFonts w:ascii="宋体" w:hAnsi="宋体" w:eastAsia="宋体" w:cs="宋体"/>
                <w:spacing w:val="15"/>
                <w:sz w:val="20"/>
                <w:szCs w:val="20"/>
              </w:rPr>
              <w:t>外</w:t>
            </w:r>
            <w:r>
              <w:rPr>
                <w:rFonts w:ascii="宋体" w:hAnsi="宋体" w:eastAsia="宋体" w:cs="宋体"/>
                <w:spacing w:val="9"/>
                <w:sz w:val="20"/>
                <w:szCs w:val="20"/>
              </w:rPr>
              <w:t>张贴告示，告知附近群众项目作业时间、噪声防治措施等。</w:t>
            </w:r>
          </w:p>
          <w:p>
            <w:pPr>
              <w:spacing w:before="2" w:line="369" w:lineRule="auto"/>
              <w:ind w:left="107" w:right="49" w:firstLine="481"/>
              <w:rPr>
                <w:rFonts w:ascii="宋体" w:hAnsi="宋体" w:eastAsia="宋体" w:cs="宋体"/>
                <w:sz w:val="20"/>
                <w:szCs w:val="20"/>
              </w:rPr>
            </w:pPr>
            <w:r>
              <w:rPr>
                <w:rFonts w:ascii="宋体" w:hAnsi="宋体" w:eastAsia="宋体" w:cs="宋体"/>
                <w:spacing w:val="20"/>
                <w:sz w:val="17"/>
                <w:szCs w:val="17"/>
              </w:rPr>
              <w:t>2</w:t>
            </w:r>
            <w:r>
              <w:rPr>
                <w:rFonts w:ascii="宋体" w:hAnsi="宋体" w:eastAsia="宋体" w:cs="宋体"/>
                <w:spacing w:val="11"/>
                <w:sz w:val="17"/>
                <w:szCs w:val="17"/>
              </w:rPr>
              <w:t xml:space="preserve">   </w:t>
            </w:r>
            <w:r>
              <w:rPr>
                <w:rFonts w:ascii="宋体" w:hAnsi="宋体" w:eastAsia="宋体" w:cs="宋体"/>
                <w:spacing w:val="11"/>
                <w:sz w:val="20"/>
                <w:szCs w:val="20"/>
              </w:rPr>
              <w:t>降低设备噪声。尽量选用先进、噪声低的设备；加强机械设备的保养维修，严</w:t>
            </w:r>
            <w:r>
              <w:rPr>
                <w:rFonts w:ascii="宋体" w:hAnsi="宋体" w:eastAsia="宋体" w:cs="宋体"/>
                <w:sz w:val="20"/>
                <w:szCs w:val="20"/>
              </w:rPr>
              <w:t xml:space="preserve"> </w:t>
            </w:r>
            <w:r>
              <w:rPr>
                <w:rFonts w:ascii="宋体" w:hAnsi="宋体" w:eastAsia="宋体" w:cs="宋体"/>
                <w:spacing w:val="15"/>
                <w:sz w:val="20"/>
                <w:szCs w:val="20"/>
              </w:rPr>
              <w:t>格</w:t>
            </w:r>
            <w:r>
              <w:rPr>
                <w:rFonts w:ascii="宋体" w:hAnsi="宋体" w:eastAsia="宋体" w:cs="宋体"/>
                <w:spacing w:val="9"/>
                <w:sz w:val="20"/>
                <w:szCs w:val="20"/>
              </w:rPr>
              <w:t>按操作规程使用各类机械，使它们处于良好的工作状态。</w:t>
            </w:r>
          </w:p>
          <w:p>
            <w:pPr>
              <w:spacing w:before="1" w:line="369" w:lineRule="auto"/>
              <w:ind w:left="108" w:right="49" w:firstLine="481"/>
              <w:rPr>
                <w:rFonts w:ascii="宋体" w:hAnsi="宋体" w:eastAsia="宋体" w:cs="宋体"/>
                <w:sz w:val="20"/>
                <w:szCs w:val="20"/>
              </w:rPr>
            </w:pPr>
            <w:r>
              <w:rPr>
                <w:rFonts w:ascii="宋体" w:hAnsi="宋体" w:eastAsia="宋体" w:cs="宋体"/>
                <w:spacing w:val="8"/>
                <w:sz w:val="17"/>
                <w:szCs w:val="17"/>
              </w:rPr>
              <w:t xml:space="preserve">3   </w:t>
            </w:r>
            <w:r>
              <w:rPr>
                <w:rFonts w:ascii="宋体" w:hAnsi="宋体" w:eastAsia="宋体" w:cs="宋体"/>
                <w:spacing w:val="8"/>
                <w:sz w:val="20"/>
                <w:szCs w:val="20"/>
              </w:rPr>
              <w:t>合理</w:t>
            </w:r>
            <w:r>
              <w:rPr>
                <w:rFonts w:ascii="宋体" w:hAnsi="宋体" w:eastAsia="宋体" w:cs="宋体"/>
                <w:spacing w:val="7"/>
                <w:sz w:val="20"/>
                <w:szCs w:val="20"/>
              </w:rPr>
              <w:t>安</w:t>
            </w:r>
            <w:r>
              <w:rPr>
                <w:rFonts w:ascii="宋体" w:hAnsi="宋体" w:eastAsia="宋体" w:cs="宋体"/>
                <w:spacing w:val="4"/>
                <w:sz w:val="20"/>
                <w:szCs w:val="20"/>
              </w:rPr>
              <w:t>排工期，在噪声敏感建筑物集中区域内(居民聚居区等)，禁止夜间(</w:t>
            </w:r>
            <w:r>
              <w:rPr>
                <w:rFonts w:ascii="Times New Roman" w:hAnsi="Times New Roman" w:eastAsia="Times New Roman" w:cs="Times New Roman"/>
                <w:spacing w:val="4"/>
                <w:sz w:val="20"/>
                <w:szCs w:val="20"/>
              </w:rPr>
              <w:t>22:00-</w:t>
            </w:r>
            <w:r>
              <w:rPr>
                <w:rFonts w:ascii="Times New Roman" w:hAnsi="Times New Roman" w:eastAsia="Times New Roman" w:cs="Times New Roman"/>
                <w:sz w:val="20"/>
                <w:szCs w:val="20"/>
              </w:rPr>
              <w:t xml:space="preserve"> </w:t>
            </w:r>
            <w:r>
              <w:rPr>
                <w:rFonts w:ascii="宋体" w:hAnsi="宋体" w:eastAsia="宋体" w:cs="宋体"/>
                <w:spacing w:val="18"/>
                <w:sz w:val="20"/>
                <w:szCs w:val="20"/>
              </w:rPr>
              <w:t>次</w:t>
            </w:r>
            <w:r>
              <w:rPr>
                <w:rFonts w:ascii="宋体" w:hAnsi="宋体" w:eastAsia="宋体" w:cs="宋体"/>
                <w:spacing w:val="14"/>
                <w:sz w:val="20"/>
                <w:szCs w:val="20"/>
              </w:rPr>
              <w:t>日</w:t>
            </w:r>
            <w:r>
              <w:rPr>
                <w:rFonts w:ascii="宋体" w:hAnsi="宋体" w:eastAsia="宋体" w:cs="宋体"/>
                <w:spacing w:val="9"/>
                <w:sz w:val="20"/>
                <w:szCs w:val="20"/>
              </w:rPr>
              <w:t xml:space="preserve"> </w:t>
            </w:r>
            <w:r>
              <w:rPr>
                <w:rFonts w:ascii="Times New Roman" w:hAnsi="Times New Roman" w:eastAsia="Times New Roman" w:cs="Times New Roman"/>
                <w:spacing w:val="9"/>
                <w:sz w:val="20"/>
                <w:szCs w:val="20"/>
              </w:rPr>
              <w:t>6:00</w:t>
            </w:r>
            <w:r>
              <w:rPr>
                <w:rFonts w:ascii="宋体" w:hAnsi="宋体" w:eastAsia="宋体" w:cs="宋体"/>
                <w:spacing w:val="9"/>
                <w:sz w:val="20"/>
                <w:szCs w:val="20"/>
              </w:rPr>
              <w:t>) 进行产生环境噪声污染的建筑施工作业，但抢修、抢险作业和因生产工艺上</w:t>
            </w:r>
            <w:r>
              <w:rPr>
                <w:rFonts w:ascii="宋体" w:hAnsi="宋体" w:eastAsia="宋体" w:cs="宋体"/>
                <w:sz w:val="20"/>
                <w:szCs w:val="20"/>
              </w:rPr>
              <w:t xml:space="preserve"> </w:t>
            </w:r>
            <w:r>
              <w:rPr>
                <w:rFonts w:ascii="宋体" w:hAnsi="宋体" w:eastAsia="宋体" w:cs="宋体"/>
                <w:spacing w:val="22"/>
                <w:sz w:val="20"/>
                <w:szCs w:val="20"/>
              </w:rPr>
              <w:t>要求</w:t>
            </w:r>
            <w:r>
              <w:rPr>
                <w:rFonts w:ascii="宋体" w:hAnsi="宋体" w:eastAsia="宋体" w:cs="宋体"/>
                <w:spacing w:val="18"/>
                <w:sz w:val="20"/>
                <w:szCs w:val="20"/>
              </w:rPr>
              <w:t>或</w:t>
            </w:r>
            <w:r>
              <w:rPr>
                <w:rFonts w:ascii="宋体" w:hAnsi="宋体" w:eastAsia="宋体" w:cs="宋体"/>
                <w:spacing w:val="11"/>
                <w:sz w:val="20"/>
                <w:szCs w:val="20"/>
              </w:rPr>
              <w:t>者特殊需要必须连续作业的除外。因特殊需要必须连续作业的，必须有县级以上</w:t>
            </w:r>
            <w:r>
              <w:rPr>
                <w:rFonts w:ascii="宋体" w:hAnsi="宋体" w:eastAsia="宋体" w:cs="宋体"/>
                <w:sz w:val="20"/>
                <w:szCs w:val="20"/>
              </w:rPr>
              <w:t xml:space="preserve"> </w:t>
            </w:r>
            <w:r>
              <w:rPr>
                <w:rFonts w:ascii="宋体" w:hAnsi="宋体" w:eastAsia="宋体" w:cs="宋体"/>
                <w:spacing w:val="22"/>
                <w:sz w:val="20"/>
                <w:szCs w:val="20"/>
              </w:rPr>
              <w:t>人民</w:t>
            </w:r>
            <w:r>
              <w:rPr>
                <w:rFonts w:ascii="宋体" w:hAnsi="宋体" w:eastAsia="宋体" w:cs="宋体"/>
                <w:spacing w:val="18"/>
                <w:sz w:val="20"/>
                <w:szCs w:val="20"/>
              </w:rPr>
              <w:t>政</w:t>
            </w:r>
            <w:r>
              <w:rPr>
                <w:rFonts w:ascii="宋体" w:hAnsi="宋体" w:eastAsia="宋体" w:cs="宋体"/>
                <w:spacing w:val="11"/>
                <w:sz w:val="20"/>
                <w:szCs w:val="20"/>
              </w:rPr>
              <w:t>府或者其有关主管部门的证明，夜间作业必须公告附近居民。应尽可能避免大量</w:t>
            </w:r>
            <w:r>
              <w:rPr>
                <w:rFonts w:ascii="宋体" w:hAnsi="宋体" w:eastAsia="宋体" w:cs="宋体"/>
                <w:sz w:val="20"/>
                <w:szCs w:val="20"/>
              </w:rPr>
              <w:t xml:space="preserve"> </w:t>
            </w:r>
            <w:r>
              <w:rPr>
                <w:rFonts w:ascii="宋体" w:hAnsi="宋体" w:eastAsia="宋体" w:cs="宋体"/>
                <w:spacing w:val="8"/>
                <w:sz w:val="20"/>
                <w:szCs w:val="20"/>
              </w:rPr>
              <w:t>高噪声设备同时施工</w:t>
            </w:r>
            <w:r>
              <w:rPr>
                <w:rFonts w:ascii="宋体" w:hAnsi="宋体" w:eastAsia="宋体" w:cs="宋体"/>
                <w:spacing w:val="7"/>
                <w:sz w:val="20"/>
                <w:szCs w:val="20"/>
              </w:rPr>
              <w:t>。</w:t>
            </w:r>
          </w:p>
          <w:p>
            <w:pPr>
              <w:spacing w:before="2" w:line="368" w:lineRule="auto"/>
              <w:ind w:left="107" w:right="49" w:firstLine="478"/>
              <w:rPr>
                <w:rFonts w:ascii="宋体" w:hAnsi="宋体" w:eastAsia="宋体" w:cs="宋体"/>
                <w:sz w:val="20"/>
                <w:szCs w:val="20"/>
              </w:rPr>
            </w:pPr>
            <w:r>
              <w:rPr>
                <w:rFonts w:ascii="宋体" w:hAnsi="宋体" w:eastAsia="宋体" w:cs="宋体"/>
                <w:spacing w:val="22"/>
                <w:sz w:val="17"/>
                <w:szCs w:val="17"/>
              </w:rPr>
              <w:t>4</w:t>
            </w:r>
            <w:r>
              <w:rPr>
                <w:rFonts w:ascii="宋体" w:hAnsi="宋体" w:eastAsia="宋体" w:cs="宋体"/>
                <w:spacing w:val="12"/>
                <w:sz w:val="17"/>
                <w:szCs w:val="17"/>
              </w:rPr>
              <w:t xml:space="preserve"> </w:t>
            </w:r>
            <w:r>
              <w:rPr>
                <w:rFonts w:ascii="宋体" w:hAnsi="宋体" w:eastAsia="宋体" w:cs="宋体"/>
                <w:spacing w:val="11"/>
                <w:sz w:val="17"/>
                <w:szCs w:val="17"/>
              </w:rPr>
              <w:t xml:space="preserve">  </w:t>
            </w:r>
            <w:r>
              <w:rPr>
                <w:rFonts w:ascii="宋体" w:hAnsi="宋体" w:eastAsia="宋体" w:cs="宋体"/>
                <w:spacing w:val="11"/>
                <w:sz w:val="20"/>
                <w:szCs w:val="20"/>
              </w:rPr>
              <w:t>合理布局施工机械位置，避免在同一地点安排大量动力机械设备；辅助生产场</w:t>
            </w:r>
            <w:r>
              <w:rPr>
                <w:rFonts w:ascii="宋体" w:hAnsi="宋体" w:eastAsia="宋体" w:cs="宋体"/>
                <w:sz w:val="20"/>
                <w:szCs w:val="20"/>
              </w:rPr>
              <w:t xml:space="preserve"> </w:t>
            </w:r>
            <w:r>
              <w:rPr>
                <w:rFonts w:ascii="宋体" w:hAnsi="宋体" w:eastAsia="宋体" w:cs="宋体"/>
                <w:spacing w:val="18"/>
                <w:sz w:val="20"/>
                <w:szCs w:val="20"/>
              </w:rPr>
              <w:t>地的</w:t>
            </w:r>
            <w:r>
              <w:rPr>
                <w:rFonts w:ascii="宋体" w:hAnsi="宋体" w:eastAsia="宋体" w:cs="宋体"/>
                <w:spacing w:val="9"/>
                <w:sz w:val="20"/>
                <w:szCs w:val="20"/>
              </w:rPr>
              <w:t>设备在平面布置时，尽量将高噪声设备布置在场地中央，尽量远离周围敏感目标。</w:t>
            </w:r>
          </w:p>
          <w:p>
            <w:pPr>
              <w:spacing w:before="2" w:line="369" w:lineRule="auto"/>
              <w:ind w:left="106" w:firstLine="482"/>
              <w:rPr>
                <w:rFonts w:ascii="宋体" w:hAnsi="宋体" w:eastAsia="宋体" w:cs="宋体"/>
                <w:sz w:val="20"/>
                <w:szCs w:val="20"/>
              </w:rPr>
            </w:pPr>
            <w:r>
              <w:rPr>
                <w:rFonts w:ascii="宋体" w:hAnsi="宋体" w:eastAsia="宋体" w:cs="宋体"/>
                <w:spacing w:val="11"/>
                <w:sz w:val="17"/>
                <w:szCs w:val="17"/>
              </w:rPr>
              <w:t>5</w:t>
            </w:r>
            <w:r>
              <w:rPr>
                <w:rFonts w:ascii="宋体" w:hAnsi="宋体" w:eastAsia="宋体" w:cs="宋体"/>
                <w:spacing w:val="7"/>
                <w:sz w:val="17"/>
                <w:szCs w:val="17"/>
              </w:rPr>
              <w:t xml:space="preserve">   </w:t>
            </w:r>
            <w:r>
              <w:rPr>
                <w:rFonts w:ascii="宋体" w:hAnsi="宋体" w:eastAsia="宋体" w:cs="宋体"/>
                <w:spacing w:val="7"/>
                <w:sz w:val="20"/>
                <w:szCs w:val="20"/>
              </w:rPr>
              <w:t>拟建的路面材料拌合场地，在施工期间更应严格控制其生产噪声对住户的影响。</w:t>
            </w:r>
            <w:r>
              <w:rPr>
                <w:rFonts w:ascii="宋体" w:hAnsi="宋体" w:eastAsia="宋体" w:cs="宋体"/>
                <w:sz w:val="20"/>
                <w:szCs w:val="20"/>
              </w:rPr>
              <w:t xml:space="preserve"> </w:t>
            </w:r>
            <w:r>
              <w:rPr>
                <w:rFonts w:ascii="宋体" w:hAnsi="宋体" w:eastAsia="宋体" w:cs="宋体"/>
                <w:spacing w:val="12"/>
                <w:sz w:val="20"/>
                <w:szCs w:val="20"/>
              </w:rPr>
              <w:t>在场地四</w:t>
            </w:r>
            <w:r>
              <w:rPr>
                <w:rFonts w:ascii="宋体" w:hAnsi="宋体" w:eastAsia="宋体" w:cs="宋体"/>
                <w:spacing w:val="11"/>
                <w:sz w:val="20"/>
                <w:szCs w:val="20"/>
              </w:rPr>
              <w:t>周</w:t>
            </w:r>
            <w:r>
              <w:rPr>
                <w:rFonts w:ascii="宋体" w:hAnsi="宋体" w:eastAsia="宋体" w:cs="宋体"/>
                <w:spacing w:val="6"/>
                <w:sz w:val="20"/>
                <w:szCs w:val="20"/>
              </w:rPr>
              <w:t xml:space="preserve">修建不低于 </w:t>
            </w:r>
            <w:r>
              <w:rPr>
                <w:rFonts w:ascii="Times New Roman" w:hAnsi="Times New Roman" w:eastAsia="Times New Roman" w:cs="Times New Roman"/>
                <w:spacing w:val="6"/>
                <w:sz w:val="20"/>
                <w:szCs w:val="20"/>
              </w:rPr>
              <w:t>2.5</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高围墙；生产区域尽量布置在场地中部或远离周围敏感目标</w:t>
            </w:r>
            <w:r>
              <w:rPr>
                <w:rFonts w:ascii="宋体" w:hAnsi="宋体" w:eastAsia="宋体" w:cs="宋体"/>
                <w:sz w:val="20"/>
                <w:szCs w:val="20"/>
              </w:rPr>
              <w:t xml:space="preserve"> </w:t>
            </w:r>
            <w:r>
              <w:rPr>
                <w:rFonts w:ascii="宋体" w:hAnsi="宋体" w:eastAsia="宋体" w:cs="宋体"/>
                <w:spacing w:val="14"/>
                <w:sz w:val="20"/>
                <w:szCs w:val="20"/>
              </w:rPr>
              <w:t>的方向</w:t>
            </w:r>
            <w:r>
              <w:rPr>
                <w:rFonts w:ascii="宋体" w:hAnsi="宋体" w:eastAsia="宋体" w:cs="宋体"/>
                <w:spacing w:val="12"/>
                <w:sz w:val="20"/>
                <w:szCs w:val="20"/>
              </w:rPr>
              <w:t>，</w:t>
            </w:r>
            <w:r>
              <w:rPr>
                <w:rFonts w:ascii="宋体" w:hAnsi="宋体" w:eastAsia="宋体" w:cs="宋体"/>
                <w:spacing w:val="7"/>
                <w:sz w:val="20"/>
                <w:szCs w:val="20"/>
              </w:rPr>
              <w:t>管理用房、工具房等不产噪或产噪底的功能区尽量靠周围敏感目标的方向设置，</w:t>
            </w:r>
            <w:r>
              <w:rPr>
                <w:rFonts w:ascii="宋体" w:hAnsi="宋体" w:eastAsia="宋体" w:cs="宋体"/>
                <w:sz w:val="20"/>
                <w:szCs w:val="20"/>
              </w:rPr>
              <w:t xml:space="preserve"> </w:t>
            </w:r>
            <w:r>
              <w:rPr>
                <w:rFonts w:ascii="宋体" w:hAnsi="宋体" w:eastAsia="宋体" w:cs="宋体"/>
                <w:spacing w:val="16"/>
                <w:sz w:val="20"/>
                <w:szCs w:val="20"/>
              </w:rPr>
              <w:t>以形</w:t>
            </w:r>
            <w:r>
              <w:rPr>
                <w:rFonts w:ascii="宋体" w:hAnsi="宋体" w:eastAsia="宋体" w:cs="宋体"/>
                <w:spacing w:val="8"/>
                <w:sz w:val="20"/>
                <w:szCs w:val="20"/>
              </w:rPr>
              <w:t>成隔声屏障； 同时应尽量安排在昼间生产、文明生产，确保场地边界噪声满足《建</w:t>
            </w:r>
            <w:r>
              <w:rPr>
                <w:rFonts w:ascii="宋体" w:hAnsi="宋体" w:eastAsia="宋体" w:cs="宋体"/>
                <w:sz w:val="20"/>
                <w:szCs w:val="20"/>
              </w:rPr>
              <w:t xml:space="preserve"> </w:t>
            </w:r>
            <w:r>
              <w:rPr>
                <w:rFonts w:ascii="宋体" w:hAnsi="宋体" w:eastAsia="宋体" w:cs="宋体"/>
                <w:spacing w:val="16"/>
                <w:sz w:val="20"/>
                <w:szCs w:val="20"/>
              </w:rPr>
              <w:t>筑施</w:t>
            </w:r>
            <w:r>
              <w:rPr>
                <w:rFonts w:ascii="宋体" w:hAnsi="宋体" w:eastAsia="宋体" w:cs="宋体"/>
                <w:spacing w:val="10"/>
                <w:sz w:val="20"/>
                <w:szCs w:val="20"/>
              </w:rPr>
              <w:t>工</w:t>
            </w:r>
            <w:r>
              <w:rPr>
                <w:rFonts w:ascii="宋体" w:hAnsi="宋体" w:eastAsia="宋体" w:cs="宋体"/>
                <w:spacing w:val="8"/>
                <w:sz w:val="20"/>
                <w:szCs w:val="20"/>
              </w:rPr>
              <w:t>场界环境噪声排放标准》要求，避免噪声扰民。</w:t>
            </w:r>
          </w:p>
          <w:p>
            <w:pPr>
              <w:spacing w:before="1" w:line="227" w:lineRule="auto"/>
              <w:ind w:left="587"/>
              <w:rPr>
                <w:rFonts w:ascii="宋体" w:hAnsi="宋体" w:eastAsia="宋体" w:cs="宋体"/>
                <w:sz w:val="20"/>
                <w:szCs w:val="20"/>
              </w:rPr>
            </w:pPr>
            <w:r>
              <w:rPr>
                <w:rFonts w:ascii="宋体" w:hAnsi="宋体" w:eastAsia="宋体" w:cs="宋体"/>
                <w:spacing w:val="10"/>
                <w:sz w:val="17"/>
                <w:szCs w:val="17"/>
              </w:rPr>
              <w:t>6</w:t>
            </w:r>
            <w:r>
              <w:rPr>
                <w:rFonts w:ascii="宋体" w:hAnsi="宋体" w:eastAsia="宋体" w:cs="宋体"/>
                <w:spacing w:val="6"/>
                <w:sz w:val="17"/>
                <w:szCs w:val="17"/>
              </w:rPr>
              <w:t xml:space="preserve">   </w:t>
            </w:r>
            <w:r>
              <w:rPr>
                <w:rFonts w:ascii="宋体" w:hAnsi="宋体" w:eastAsia="宋体" w:cs="宋体"/>
                <w:spacing w:val="6"/>
                <w:sz w:val="20"/>
                <w:szCs w:val="20"/>
              </w:rPr>
              <w:t xml:space="preserve">施工场界均设置 </w:t>
            </w:r>
            <w:r>
              <w:rPr>
                <w:rFonts w:ascii="Times New Roman" w:hAnsi="Times New Roman" w:eastAsia="Times New Roman" w:cs="Times New Roman"/>
                <w:spacing w:val="6"/>
                <w:sz w:val="20"/>
                <w:szCs w:val="20"/>
              </w:rPr>
              <w:t>2.5</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高的施工围挡，实行封闭施工。</w:t>
            </w:r>
          </w:p>
          <w:p>
            <w:pPr>
              <w:spacing w:before="151" w:line="228" w:lineRule="auto"/>
              <w:ind w:left="590"/>
              <w:rPr>
                <w:rFonts w:ascii="宋体" w:hAnsi="宋体" w:eastAsia="宋体" w:cs="宋体"/>
                <w:sz w:val="20"/>
                <w:szCs w:val="20"/>
              </w:rPr>
            </w:pPr>
            <w:r>
              <w:rPr>
                <w:rFonts w:ascii="宋体" w:hAnsi="宋体" w:eastAsia="宋体" w:cs="宋体"/>
                <w:spacing w:val="11"/>
                <w:sz w:val="17"/>
                <w:szCs w:val="17"/>
              </w:rPr>
              <w:t xml:space="preserve">7   </w:t>
            </w:r>
            <w:r>
              <w:rPr>
                <w:rFonts w:ascii="宋体" w:hAnsi="宋体" w:eastAsia="宋体" w:cs="宋体"/>
                <w:spacing w:val="11"/>
                <w:sz w:val="20"/>
                <w:szCs w:val="20"/>
              </w:rPr>
              <w:t>在操作中尽量避免敲打砼导管；搬卸物品应轻放，施工工具不要乱扔、远扔</w:t>
            </w:r>
            <w:r>
              <w:rPr>
                <w:rFonts w:ascii="宋体" w:hAnsi="宋体" w:eastAsia="宋体" w:cs="宋体"/>
                <w:spacing w:val="4"/>
                <w:sz w:val="20"/>
                <w:szCs w:val="20"/>
              </w:rPr>
              <w:t>；</w:t>
            </w:r>
          </w:p>
        </w:tc>
      </w:tr>
    </w:tbl>
    <w:p>
      <w:pPr>
        <w:spacing w:line="138" w:lineRule="exact"/>
        <w:rPr>
          <w:rFonts w:ascii="Arial"/>
          <w:sz w:val="12"/>
        </w:rPr>
      </w:pPr>
    </w:p>
    <w:p>
      <w:pPr>
        <w:sectPr>
          <w:footerReference r:id="rId93" w:type="default"/>
          <w:pgSz w:w="11907" w:h="16840"/>
          <w:pgMar w:top="400" w:right="1476" w:bottom="1477" w:left="1475" w:header="0" w:footer="1317" w:gutter="0"/>
          <w:cols w:space="720" w:num="1"/>
        </w:sectPr>
      </w:pPr>
    </w:p>
    <w:p/>
    <w:p/>
    <w:p/>
    <w:p/>
    <w:p>
      <w:pPr>
        <w:spacing w:line="221" w:lineRule="exact"/>
      </w:pPr>
    </w:p>
    <w:tbl>
      <w:tblPr>
        <w:tblStyle w:val="4"/>
        <w:tblW w:w="894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82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627" w:hRule="atLeast"/>
        </w:trPr>
        <w:tc>
          <w:tcPr>
            <w:tcW w:w="724" w:type="dxa"/>
            <w:tcBorders>
              <w:left w:val="single" w:color="00000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31" w:lineRule="auto"/>
              <w:ind w:left="129"/>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施工</w:t>
            </w:r>
          </w:p>
          <w:p>
            <w:pPr>
              <w:spacing w:before="21" w:line="228" w:lineRule="auto"/>
              <w:ind w:left="133"/>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期生</w:t>
            </w:r>
          </w:p>
          <w:p>
            <w:pPr>
              <w:spacing w:before="25" w:line="230" w:lineRule="auto"/>
              <w:ind w:left="130"/>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态</w:t>
            </w:r>
            <w:r>
              <w:rPr>
                <w:rFonts w:ascii="宋体" w:hAnsi="宋体" w:eastAsia="宋体" w:cs="宋体"/>
                <w:spacing w:val="15"/>
                <w:sz w:val="20"/>
                <w:szCs w:val="20"/>
                <w14:textOutline w14:w="3795" w14:cap="sq" w14:cmpd="sng">
                  <w14:solidFill>
                    <w14:srgbClr w14:val="000000"/>
                  </w14:solidFill>
                  <w14:prstDash w14:val="solid"/>
                  <w14:bevel/>
                </w14:textOutline>
              </w:rPr>
              <w:t>环</w:t>
            </w:r>
          </w:p>
          <w:p>
            <w:pPr>
              <w:spacing w:before="22" w:line="228" w:lineRule="auto"/>
              <w:ind w:left="131"/>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境保</w:t>
            </w:r>
          </w:p>
          <w:p>
            <w:pPr>
              <w:spacing w:before="25" w:line="228" w:lineRule="auto"/>
              <w:ind w:left="131"/>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护措</w:t>
            </w:r>
          </w:p>
          <w:p>
            <w:pPr>
              <w:spacing w:before="25" w:line="231" w:lineRule="auto"/>
              <w:ind w:left="244"/>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施</w:t>
            </w:r>
          </w:p>
        </w:tc>
        <w:tc>
          <w:tcPr>
            <w:tcW w:w="8216" w:type="dxa"/>
            <w:tcBorders>
              <w:right w:val="single" w:color="000000" w:sz="6" w:space="0"/>
            </w:tcBorders>
            <w:vAlign w:val="top"/>
          </w:tcPr>
          <w:p>
            <w:pPr>
              <w:spacing w:before="153" w:line="228" w:lineRule="auto"/>
              <w:ind w:left="107"/>
              <w:rPr>
                <w:rFonts w:ascii="宋体" w:hAnsi="宋体" w:eastAsia="宋体" w:cs="宋体"/>
                <w:sz w:val="20"/>
                <w:szCs w:val="20"/>
              </w:rPr>
            </w:pPr>
            <w:r>
              <w:rPr>
                <w:rFonts w:ascii="宋体" w:hAnsi="宋体" w:eastAsia="宋体" w:cs="宋体"/>
                <w:spacing w:val="9"/>
                <w:sz w:val="20"/>
                <w:szCs w:val="20"/>
              </w:rPr>
              <w:t>运输车辆进入现场应减速、并减少鸣笛等</w:t>
            </w:r>
            <w:r>
              <w:rPr>
                <w:rFonts w:ascii="宋体" w:hAnsi="宋体" w:eastAsia="宋体" w:cs="宋体"/>
                <w:spacing w:val="7"/>
                <w:sz w:val="20"/>
                <w:szCs w:val="20"/>
              </w:rPr>
              <w:t>。</w:t>
            </w:r>
          </w:p>
          <w:p>
            <w:pPr>
              <w:spacing w:before="153" w:line="369" w:lineRule="auto"/>
              <w:ind w:left="54" w:right="49" w:firstLine="420"/>
              <w:rPr>
                <w:rFonts w:ascii="宋体" w:hAnsi="宋体" w:eastAsia="宋体" w:cs="宋体"/>
                <w:sz w:val="20"/>
                <w:szCs w:val="20"/>
              </w:rPr>
            </w:pPr>
            <w:r>
              <w:rPr>
                <w:rFonts w:ascii="宋体" w:hAnsi="宋体" w:eastAsia="宋体" w:cs="宋体"/>
                <w:spacing w:val="14"/>
                <w:sz w:val="20"/>
                <w:szCs w:val="20"/>
              </w:rPr>
              <w:t>通过严</w:t>
            </w:r>
            <w:r>
              <w:rPr>
                <w:rFonts w:ascii="宋体" w:hAnsi="宋体" w:eastAsia="宋体" w:cs="宋体"/>
                <w:spacing w:val="8"/>
                <w:sz w:val="20"/>
                <w:szCs w:val="20"/>
              </w:rPr>
              <w:t>格</w:t>
            </w:r>
            <w:r>
              <w:rPr>
                <w:rFonts w:ascii="宋体" w:hAnsi="宋体" w:eastAsia="宋体" w:cs="宋体"/>
                <w:spacing w:val="7"/>
                <w:sz w:val="20"/>
                <w:szCs w:val="20"/>
              </w:rPr>
              <w:t>的施工管理和采取以上措施后，能够最大限度地减轻施工噪声对周围环境的</w:t>
            </w:r>
            <w:r>
              <w:rPr>
                <w:rFonts w:ascii="宋体" w:hAnsi="宋体" w:eastAsia="宋体" w:cs="宋体"/>
                <w:sz w:val="20"/>
                <w:szCs w:val="20"/>
              </w:rPr>
              <w:t xml:space="preserve"> </w:t>
            </w:r>
            <w:r>
              <w:rPr>
                <w:rFonts w:ascii="宋体" w:hAnsi="宋体" w:eastAsia="宋体" w:cs="宋体"/>
                <w:spacing w:val="11"/>
                <w:sz w:val="20"/>
                <w:szCs w:val="20"/>
              </w:rPr>
              <w:t>影</w:t>
            </w:r>
            <w:r>
              <w:rPr>
                <w:rFonts w:ascii="宋体" w:hAnsi="宋体" w:eastAsia="宋体" w:cs="宋体"/>
                <w:spacing w:val="9"/>
                <w:sz w:val="20"/>
                <w:szCs w:val="20"/>
              </w:rPr>
              <w:t>响，建设期间施工噪声不会产生明显的扰民影响。</w:t>
            </w:r>
          </w:p>
          <w:p>
            <w:pPr>
              <w:spacing w:line="241" w:lineRule="auto"/>
              <w:ind w:left="109"/>
              <w:rPr>
                <w:rFonts w:ascii="黑体" w:hAnsi="黑体" w:eastAsia="黑体" w:cs="黑体"/>
                <w:sz w:val="20"/>
                <w:szCs w:val="20"/>
              </w:rPr>
            </w:pPr>
            <w:r>
              <w:rPr>
                <w:rFonts w:ascii="Times New Roman" w:hAnsi="Times New Roman" w:eastAsia="Times New Roman" w:cs="Times New Roman"/>
                <w:spacing w:val="3"/>
                <w:sz w:val="20"/>
                <w:szCs w:val="20"/>
              </w:rPr>
              <w:t xml:space="preserve">5 </w:t>
            </w:r>
            <w:r>
              <w:rPr>
                <w:rFonts w:ascii="黑体" w:hAnsi="黑体" w:eastAsia="黑体" w:cs="黑体"/>
                <w:spacing w:val="3"/>
                <w:sz w:val="20"/>
                <w:szCs w:val="20"/>
              </w:rPr>
              <w:t>、固体废物处理措</w:t>
            </w:r>
            <w:r>
              <w:rPr>
                <w:rFonts w:ascii="黑体" w:hAnsi="黑体" w:eastAsia="黑体" w:cs="黑体"/>
                <w:spacing w:val="2"/>
                <w:sz w:val="20"/>
                <w:szCs w:val="20"/>
              </w:rPr>
              <w:t>施</w:t>
            </w:r>
          </w:p>
          <w:p>
            <w:pPr>
              <w:spacing w:before="139" w:line="228" w:lineRule="auto"/>
              <w:ind w:left="473"/>
              <w:rPr>
                <w:rFonts w:ascii="宋体" w:hAnsi="宋体" w:eastAsia="宋体" w:cs="宋体"/>
                <w:sz w:val="20"/>
                <w:szCs w:val="20"/>
              </w:rPr>
            </w:pPr>
            <w:r>
              <w:rPr>
                <w:rFonts w:ascii="宋体" w:hAnsi="宋体" w:eastAsia="宋体" w:cs="宋体"/>
                <w:spacing w:val="14"/>
                <w:sz w:val="20"/>
                <w:szCs w:val="20"/>
              </w:rPr>
              <w:t>施</w:t>
            </w:r>
            <w:r>
              <w:rPr>
                <w:rFonts w:ascii="宋体" w:hAnsi="宋体" w:eastAsia="宋体" w:cs="宋体"/>
                <w:spacing w:val="9"/>
                <w:sz w:val="20"/>
                <w:szCs w:val="20"/>
              </w:rPr>
              <w:t>工期固体废弃物主要为废弃土石方、施工建筑垃圾等。</w:t>
            </w:r>
          </w:p>
          <w:p>
            <w:pPr>
              <w:spacing w:before="154" w:line="229" w:lineRule="auto"/>
              <w:ind w:left="537"/>
              <w:rPr>
                <w:rFonts w:ascii="宋体" w:hAnsi="宋体" w:eastAsia="宋体" w:cs="宋体"/>
                <w:sz w:val="20"/>
                <w:szCs w:val="20"/>
              </w:rPr>
            </w:pPr>
            <w:r>
              <w:rPr>
                <w:rFonts w:ascii="宋体" w:hAnsi="宋体" w:eastAsia="宋体" w:cs="宋体"/>
                <w:spacing w:val="20"/>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20"/>
                <w:sz w:val="20"/>
                <w:szCs w:val="20"/>
              </w:rPr>
              <w:t>1</w:t>
            </w:r>
            <w:r>
              <w:rPr>
                <w:rFonts w:ascii="宋体" w:hAnsi="宋体" w:eastAsia="宋体" w:cs="宋体"/>
                <w:spacing w:val="20"/>
                <w:sz w:val="20"/>
                <w:szCs w:val="20"/>
                <w14:textOutline w14:w="3795" w14:cap="sq" w14:cmpd="sng">
                  <w14:solidFill>
                    <w14:srgbClr w14:val="000000"/>
                  </w14:solidFill>
                  <w14:prstDash w14:val="solid"/>
                  <w14:bevel/>
                </w14:textOutline>
              </w:rPr>
              <w:t>)</w:t>
            </w:r>
            <w:r>
              <w:rPr>
                <w:rFonts w:ascii="宋体" w:hAnsi="宋体" w:eastAsia="宋体" w:cs="宋体"/>
                <w:spacing w:val="20"/>
                <w:sz w:val="20"/>
                <w:szCs w:val="20"/>
              </w:rPr>
              <w:t xml:space="preserve"> </w:t>
            </w:r>
            <w:r>
              <w:rPr>
                <w:rFonts w:ascii="宋体" w:hAnsi="宋体" w:eastAsia="宋体" w:cs="宋体"/>
                <w:spacing w:val="20"/>
                <w:sz w:val="20"/>
                <w:szCs w:val="20"/>
                <w14:textOutline w14:w="3795" w14:cap="sq" w14:cmpd="sng">
                  <w14:solidFill>
                    <w14:srgbClr w14:val="000000"/>
                  </w14:solidFill>
                  <w14:prstDash w14:val="solid"/>
                  <w14:bevel/>
                </w14:textOutline>
              </w:rPr>
              <w:t>土石</w:t>
            </w:r>
            <w:r>
              <w:rPr>
                <w:rFonts w:ascii="宋体" w:hAnsi="宋体" w:eastAsia="宋体" w:cs="宋体"/>
                <w:spacing w:val="18"/>
                <w:sz w:val="20"/>
                <w:szCs w:val="20"/>
                <w14:textOutline w14:w="3795" w14:cap="sq" w14:cmpd="sng">
                  <w14:solidFill>
                    <w14:srgbClr w14:val="000000"/>
                  </w14:solidFill>
                  <w14:prstDash w14:val="solid"/>
                  <w14:bevel/>
                </w14:textOutline>
              </w:rPr>
              <w:t>方</w:t>
            </w:r>
          </w:p>
          <w:p>
            <w:pPr>
              <w:tabs>
                <w:tab w:val="left" w:pos="599"/>
              </w:tabs>
              <w:spacing w:before="151" w:line="369" w:lineRule="auto"/>
              <w:ind w:left="106" w:right="49" w:firstLine="412"/>
              <w:rPr>
                <w:rFonts w:ascii="宋体" w:hAnsi="宋体" w:eastAsia="宋体" w:cs="宋体"/>
                <w:sz w:val="20"/>
                <w:szCs w:val="20"/>
              </w:rPr>
            </w:pPr>
            <w:r>
              <w:rPr>
                <w:rFonts w:ascii="宋体" w:hAnsi="宋体" w:eastAsia="宋体" w:cs="宋体"/>
                <w:sz w:val="17"/>
                <w:szCs w:val="17"/>
              </w:rPr>
              <w:tab/>
            </w:r>
            <w:r>
              <w:rPr>
                <w:rFonts w:ascii="宋体" w:hAnsi="宋体" w:eastAsia="宋体" w:cs="宋体"/>
                <w:spacing w:val="8"/>
                <w:sz w:val="17"/>
                <w:szCs w:val="17"/>
              </w:rPr>
              <w:t xml:space="preserve">1   </w:t>
            </w:r>
            <w:r>
              <w:rPr>
                <w:rFonts w:ascii="宋体" w:hAnsi="宋体" w:eastAsia="宋体" w:cs="宋体"/>
                <w:spacing w:val="8"/>
                <w:sz w:val="20"/>
                <w:szCs w:val="20"/>
              </w:rPr>
              <w:t>项</w:t>
            </w:r>
            <w:r>
              <w:rPr>
                <w:rFonts w:ascii="宋体" w:hAnsi="宋体" w:eastAsia="宋体" w:cs="宋体"/>
                <w:spacing w:val="5"/>
                <w:sz w:val="20"/>
                <w:szCs w:val="20"/>
              </w:rPr>
              <w:t>目</w:t>
            </w:r>
            <w:r>
              <w:rPr>
                <w:rFonts w:ascii="宋体" w:hAnsi="宋体" w:eastAsia="宋体" w:cs="宋体"/>
                <w:spacing w:val="4"/>
                <w:sz w:val="20"/>
                <w:szCs w:val="20"/>
              </w:rPr>
              <w:t xml:space="preserve">为城市桥梁新建工程，施工开挖产生的土石方合计 </w:t>
            </w:r>
            <w:r>
              <w:rPr>
                <w:rFonts w:ascii="Times New Roman" w:hAnsi="Times New Roman" w:eastAsia="Times New Roman" w:cs="Times New Roman"/>
                <w:spacing w:val="4"/>
                <w:sz w:val="20"/>
                <w:szCs w:val="20"/>
              </w:rPr>
              <w:t xml:space="preserve">1. 10 </w:t>
            </w:r>
            <w:r>
              <w:rPr>
                <w:rFonts w:ascii="宋体" w:hAnsi="宋体" w:eastAsia="宋体" w:cs="宋体"/>
                <w:spacing w:val="4"/>
                <w:sz w:val="20"/>
                <w:szCs w:val="20"/>
              </w:rPr>
              <w:t xml:space="preserve">万 </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 xml:space="preserve">³ </w:t>
            </w:r>
            <w:r>
              <w:rPr>
                <w:rFonts w:ascii="宋体" w:hAnsi="宋体" w:eastAsia="宋体" w:cs="宋体"/>
                <w:spacing w:val="4"/>
                <w:sz w:val="20"/>
                <w:szCs w:val="20"/>
              </w:rPr>
              <w:t>(含表土剥离</w:t>
            </w:r>
            <w:r>
              <w:rPr>
                <w:rFonts w:ascii="宋体" w:hAnsi="宋体" w:eastAsia="宋体" w:cs="宋体"/>
                <w:sz w:val="20"/>
                <w:szCs w:val="20"/>
              </w:rPr>
              <w:t xml:space="preserve"> </w:t>
            </w:r>
            <w:r>
              <w:rPr>
                <w:rFonts w:ascii="Times New Roman" w:hAnsi="Times New Roman" w:eastAsia="Times New Roman" w:cs="Times New Roman"/>
                <w:spacing w:val="-2"/>
                <w:sz w:val="20"/>
                <w:szCs w:val="20"/>
              </w:rPr>
              <w:t xml:space="preserve">0.09 </w:t>
            </w:r>
            <w:r>
              <w:rPr>
                <w:rFonts w:ascii="宋体" w:hAnsi="宋体" w:eastAsia="宋体" w:cs="宋体"/>
                <w:spacing w:val="-2"/>
                <w:sz w:val="20"/>
                <w:szCs w:val="20"/>
              </w:rPr>
              <w:t xml:space="preserve">万 </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2"/>
                <w:sz w:val="20"/>
                <w:szCs w:val="20"/>
              </w:rPr>
              <w:t xml:space="preserve">³ </w:t>
            </w:r>
            <w:r>
              <w:rPr>
                <w:rFonts w:ascii="宋体" w:hAnsi="宋体" w:eastAsia="宋体" w:cs="宋体"/>
                <w:spacing w:val="-2"/>
                <w:sz w:val="20"/>
                <w:szCs w:val="20"/>
              </w:rPr>
              <w:t xml:space="preserve">， 自然方，下同) ，填方总量为 </w:t>
            </w:r>
            <w:r>
              <w:rPr>
                <w:rFonts w:ascii="Times New Roman" w:hAnsi="Times New Roman" w:eastAsia="Times New Roman" w:cs="Times New Roman"/>
                <w:spacing w:val="-2"/>
                <w:sz w:val="20"/>
                <w:szCs w:val="20"/>
              </w:rPr>
              <w:t xml:space="preserve">1. 10 </w:t>
            </w:r>
            <w:r>
              <w:rPr>
                <w:rFonts w:ascii="宋体" w:hAnsi="宋体" w:eastAsia="宋体" w:cs="宋体"/>
                <w:spacing w:val="-2"/>
                <w:sz w:val="20"/>
                <w:szCs w:val="20"/>
              </w:rPr>
              <w:t xml:space="preserve">万 </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2"/>
                <w:sz w:val="20"/>
                <w:szCs w:val="20"/>
              </w:rPr>
              <w:t xml:space="preserve">³  </w:t>
            </w:r>
            <w:r>
              <w:rPr>
                <w:rFonts w:ascii="宋体" w:hAnsi="宋体" w:eastAsia="宋体" w:cs="宋体"/>
                <w:spacing w:val="-1"/>
                <w:sz w:val="20"/>
                <w:szCs w:val="20"/>
              </w:rPr>
              <w:t xml:space="preserve">(含表土回覆 </w:t>
            </w:r>
            <w:r>
              <w:rPr>
                <w:rFonts w:ascii="Times New Roman" w:hAnsi="Times New Roman" w:eastAsia="Times New Roman" w:cs="Times New Roman"/>
                <w:spacing w:val="-1"/>
                <w:sz w:val="20"/>
                <w:szCs w:val="20"/>
              </w:rPr>
              <w:t xml:space="preserve">0.09 </w:t>
            </w:r>
            <w:r>
              <w:rPr>
                <w:rFonts w:ascii="宋体" w:hAnsi="宋体" w:eastAsia="宋体" w:cs="宋体"/>
                <w:spacing w:val="-1"/>
                <w:sz w:val="20"/>
                <w:szCs w:val="20"/>
              </w:rPr>
              <w:t xml:space="preserve">万 </w:t>
            </w:r>
            <w:r>
              <w:rPr>
                <w:rFonts w:ascii="Times New Roman" w:hAnsi="Times New Roman" w:eastAsia="Times New Roman" w:cs="Times New Roman"/>
                <w:spacing w:val="-1"/>
                <w:sz w:val="20"/>
                <w:szCs w:val="20"/>
              </w:rPr>
              <w:t>m³</w:t>
            </w:r>
            <w:r>
              <w:rPr>
                <w:rFonts w:ascii="宋体" w:hAnsi="宋体" w:eastAsia="宋体" w:cs="宋体"/>
                <w:spacing w:val="-1"/>
                <w:sz w:val="20"/>
                <w:szCs w:val="20"/>
              </w:rPr>
              <w:t>) ，无弃方</w:t>
            </w:r>
            <w:r>
              <w:rPr>
                <w:rFonts w:ascii="宋体" w:hAnsi="宋体" w:eastAsia="宋体" w:cs="宋体"/>
                <w:sz w:val="20"/>
                <w:szCs w:val="20"/>
              </w:rPr>
              <w:t xml:space="preserve"> </w:t>
            </w:r>
            <w:r>
              <w:rPr>
                <w:rFonts w:ascii="宋体" w:hAnsi="宋体" w:eastAsia="宋体" w:cs="宋体"/>
                <w:spacing w:val="8"/>
                <w:sz w:val="20"/>
                <w:szCs w:val="20"/>
              </w:rPr>
              <w:t>产生，不设弃土场</w:t>
            </w:r>
            <w:r>
              <w:rPr>
                <w:rFonts w:ascii="宋体" w:hAnsi="宋体" w:eastAsia="宋体" w:cs="宋体"/>
                <w:spacing w:val="6"/>
                <w:sz w:val="20"/>
                <w:szCs w:val="20"/>
              </w:rPr>
              <w:t>。</w:t>
            </w:r>
          </w:p>
          <w:p>
            <w:pPr>
              <w:spacing w:before="2" w:line="369" w:lineRule="auto"/>
              <w:ind w:left="108" w:right="49" w:firstLine="480"/>
              <w:rPr>
                <w:rFonts w:ascii="宋体" w:hAnsi="宋体" w:eastAsia="宋体" w:cs="宋体"/>
                <w:sz w:val="20"/>
                <w:szCs w:val="20"/>
              </w:rPr>
            </w:pPr>
            <w:r>
              <w:rPr>
                <w:rFonts w:ascii="宋体" w:hAnsi="宋体" w:eastAsia="宋体" w:cs="宋体"/>
                <w:spacing w:val="18"/>
                <w:sz w:val="17"/>
                <w:szCs w:val="17"/>
              </w:rPr>
              <w:t>2</w:t>
            </w:r>
            <w:r>
              <w:rPr>
                <w:rFonts w:ascii="宋体" w:hAnsi="宋体" w:eastAsia="宋体" w:cs="宋体"/>
                <w:spacing w:val="11"/>
                <w:sz w:val="17"/>
                <w:szCs w:val="17"/>
              </w:rPr>
              <w:t xml:space="preserve">   </w:t>
            </w:r>
            <w:r>
              <w:rPr>
                <w:rFonts w:ascii="宋体" w:hAnsi="宋体" w:eastAsia="宋体" w:cs="宋体"/>
                <w:spacing w:val="11"/>
                <w:sz w:val="20"/>
                <w:szCs w:val="20"/>
              </w:rPr>
              <w:t>开挖产生的废弃土石方设置临时堆场的，应合理选择临时堆场位置，控制临时</w:t>
            </w:r>
            <w:r>
              <w:rPr>
                <w:rFonts w:ascii="宋体" w:hAnsi="宋体" w:eastAsia="宋体" w:cs="宋体"/>
                <w:sz w:val="20"/>
                <w:szCs w:val="20"/>
              </w:rPr>
              <w:t xml:space="preserve"> </w:t>
            </w:r>
            <w:r>
              <w:rPr>
                <w:rFonts w:ascii="宋体" w:hAnsi="宋体" w:eastAsia="宋体" w:cs="宋体"/>
                <w:spacing w:val="12"/>
                <w:sz w:val="20"/>
                <w:szCs w:val="20"/>
              </w:rPr>
              <w:t>堆场范围，临时堆场应采取拦挡措施和防流失措施，坚持</w:t>
            </w:r>
            <w:r>
              <w:rPr>
                <w:rFonts w:ascii="Times New Roman" w:hAnsi="Times New Roman" w:eastAsia="Times New Roman" w:cs="Times New Roman"/>
                <w:spacing w:val="12"/>
                <w:sz w:val="20"/>
                <w:szCs w:val="20"/>
              </w:rPr>
              <w:t>“</w:t>
            </w:r>
            <w:r>
              <w:rPr>
                <w:rFonts w:ascii="宋体" w:hAnsi="宋体" w:eastAsia="宋体" w:cs="宋体"/>
                <w:spacing w:val="12"/>
                <w:sz w:val="20"/>
                <w:szCs w:val="20"/>
              </w:rPr>
              <w:t>先挡后弃</w:t>
            </w:r>
            <w:r>
              <w:rPr>
                <w:rFonts w:ascii="Times New Roman" w:hAnsi="Times New Roman" w:eastAsia="Times New Roman" w:cs="Times New Roman"/>
                <w:spacing w:val="12"/>
                <w:sz w:val="20"/>
                <w:szCs w:val="20"/>
              </w:rPr>
              <w:t>”</w:t>
            </w:r>
            <w:r>
              <w:rPr>
                <w:rFonts w:ascii="宋体" w:hAnsi="宋体" w:eastAsia="宋体" w:cs="宋体"/>
                <w:spacing w:val="12"/>
                <w:sz w:val="20"/>
                <w:szCs w:val="20"/>
              </w:rPr>
              <w:t>的原则，防止弃土</w:t>
            </w:r>
            <w:r>
              <w:rPr>
                <w:rFonts w:ascii="宋体" w:hAnsi="宋体" w:eastAsia="宋体" w:cs="宋体"/>
                <w:sz w:val="20"/>
                <w:szCs w:val="20"/>
              </w:rPr>
              <w:t xml:space="preserve"> </w:t>
            </w:r>
            <w:r>
              <w:rPr>
                <w:rFonts w:ascii="宋体" w:hAnsi="宋体" w:eastAsia="宋体" w:cs="宋体"/>
                <w:spacing w:val="9"/>
                <w:sz w:val="20"/>
                <w:szCs w:val="20"/>
              </w:rPr>
              <w:t>随意乱堆乱放； 同时应在弃土堆场四周设置排水设施，防止弃土随雨水漫流。另外，</w:t>
            </w:r>
            <w:r>
              <w:rPr>
                <w:rFonts w:ascii="宋体" w:hAnsi="宋体" w:eastAsia="宋体" w:cs="宋体"/>
                <w:spacing w:val="5"/>
                <w:sz w:val="20"/>
                <w:szCs w:val="20"/>
              </w:rPr>
              <w:t>在</w:t>
            </w:r>
            <w:r>
              <w:rPr>
                <w:rFonts w:ascii="宋体" w:hAnsi="宋体" w:eastAsia="宋体" w:cs="宋体"/>
                <w:sz w:val="20"/>
                <w:szCs w:val="20"/>
              </w:rPr>
              <w:t xml:space="preserve"> </w:t>
            </w:r>
            <w:r>
              <w:rPr>
                <w:rFonts w:ascii="宋体" w:hAnsi="宋体" w:eastAsia="宋体" w:cs="宋体"/>
                <w:spacing w:val="14"/>
                <w:sz w:val="20"/>
                <w:szCs w:val="20"/>
              </w:rPr>
              <w:t>堆</w:t>
            </w:r>
            <w:r>
              <w:rPr>
                <w:rFonts w:ascii="宋体" w:hAnsi="宋体" w:eastAsia="宋体" w:cs="宋体"/>
                <w:spacing w:val="9"/>
                <w:sz w:val="20"/>
                <w:szCs w:val="20"/>
              </w:rPr>
              <w:t>存期间，应对临时堆场采取喷雾洒水、覆盖等防尘措施。</w:t>
            </w:r>
          </w:p>
          <w:p>
            <w:pPr>
              <w:spacing w:before="2" w:line="368" w:lineRule="auto"/>
              <w:ind w:left="108" w:right="49" w:firstLine="481"/>
              <w:rPr>
                <w:rFonts w:ascii="宋体" w:hAnsi="宋体" w:eastAsia="宋体" w:cs="宋体"/>
                <w:sz w:val="20"/>
                <w:szCs w:val="20"/>
              </w:rPr>
            </w:pPr>
            <w:r>
              <w:rPr>
                <w:rFonts w:ascii="宋体" w:hAnsi="宋体" w:eastAsia="宋体" w:cs="宋体"/>
                <w:spacing w:val="18"/>
                <w:sz w:val="17"/>
                <w:szCs w:val="17"/>
              </w:rPr>
              <w:t>3</w:t>
            </w:r>
            <w:r>
              <w:rPr>
                <w:rFonts w:ascii="宋体" w:hAnsi="宋体" w:eastAsia="宋体" w:cs="宋体"/>
                <w:spacing w:val="16"/>
                <w:sz w:val="17"/>
                <w:szCs w:val="17"/>
              </w:rPr>
              <w:t xml:space="preserve"> </w:t>
            </w:r>
            <w:r>
              <w:rPr>
                <w:rFonts w:ascii="宋体" w:hAnsi="宋体" w:eastAsia="宋体" w:cs="宋体"/>
                <w:spacing w:val="9"/>
                <w:sz w:val="17"/>
                <w:szCs w:val="17"/>
              </w:rPr>
              <w:t xml:space="preserve">  </w:t>
            </w:r>
            <w:r>
              <w:rPr>
                <w:rFonts w:ascii="宋体" w:hAnsi="宋体" w:eastAsia="宋体" w:cs="宋体"/>
                <w:spacing w:val="9"/>
                <w:sz w:val="20"/>
                <w:szCs w:val="20"/>
              </w:rPr>
              <w:t xml:space="preserve">桥梁桩基施工产生泥浆，拟在河岸两侧分别设置 </w:t>
            </w:r>
            <w:r>
              <w:rPr>
                <w:rFonts w:ascii="Times New Roman" w:hAnsi="Times New Roman" w:eastAsia="Times New Roman" w:cs="Times New Roman"/>
                <w:spacing w:val="9"/>
                <w:sz w:val="20"/>
                <w:szCs w:val="20"/>
              </w:rPr>
              <w:t xml:space="preserve">1 </w:t>
            </w:r>
            <w:r>
              <w:rPr>
                <w:rFonts w:ascii="宋体" w:hAnsi="宋体" w:eastAsia="宋体" w:cs="宋体"/>
                <w:spacing w:val="9"/>
                <w:sz w:val="20"/>
                <w:szCs w:val="20"/>
              </w:rPr>
              <w:t>个泥浆池和自然干化场，干</w:t>
            </w:r>
            <w:r>
              <w:rPr>
                <w:rFonts w:ascii="宋体" w:hAnsi="宋体" w:eastAsia="宋体" w:cs="宋体"/>
                <w:sz w:val="20"/>
                <w:szCs w:val="20"/>
              </w:rPr>
              <w:t xml:space="preserve"> </w:t>
            </w:r>
            <w:r>
              <w:rPr>
                <w:rFonts w:ascii="宋体" w:hAnsi="宋体" w:eastAsia="宋体" w:cs="宋体"/>
                <w:spacing w:val="18"/>
                <w:sz w:val="20"/>
                <w:szCs w:val="20"/>
              </w:rPr>
              <w:t>化</w:t>
            </w:r>
            <w:r>
              <w:rPr>
                <w:rFonts w:ascii="宋体" w:hAnsi="宋体" w:eastAsia="宋体" w:cs="宋体"/>
                <w:spacing w:val="11"/>
                <w:sz w:val="20"/>
                <w:szCs w:val="20"/>
              </w:rPr>
              <w:t>后</w:t>
            </w:r>
            <w:r>
              <w:rPr>
                <w:rFonts w:ascii="宋体" w:hAnsi="宋体" w:eastAsia="宋体" w:cs="宋体"/>
                <w:spacing w:val="9"/>
                <w:sz w:val="20"/>
                <w:szCs w:val="20"/>
              </w:rPr>
              <w:t>用于桥台台背路基回填，不外排，严禁建筑垃圾随处倾倒和下河等。</w:t>
            </w:r>
          </w:p>
          <w:p>
            <w:pPr>
              <w:spacing w:before="2" w:line="369" w:lineRule="auto"/>
              <w:ind w:left="108" w:right="49" w:firstLine="477"/>
              <w:rPr>
                <w:rFonts w:ascii="宋体" w:hAnsi="宋体" w:eastAsia="宋体" w:cs="宋体"/>
                <w:sz w:val="20"/>
                <w:szCs w:val="20"/>
              </w:rPr>
            </w:pPr>
            <w:r>
              <w:rPr>
                <w:rFonts w:ascii="宋体" w:hAnsi="宋体" w:eastAsia="宋体" w:cs="宋体"/>
                <w:spacing w:val="22"/>
                <w:sz w:val="17"/>
                <w:szCs w:val="17"/>
              </w:rPr>
              <w:t>4</w:t>
            </w:r>
            <w:r>
              <w:rPr>
                <w:rFonts w:ascii="宋体" w:hAnsi="宋体" w:eastAsia="宋体" w:cs="宋体"/>
                <w:spacing w:val="12"/>
                <w:sz w:val="17"/>
                <w:szCs w:val="17"/>
              </w:rPr>
              <w:t xml:space="preserve"> </w:t>
            </w:r>
            <w:r>
              <w:rPr>
                <w:rFonts w:ascii="宋体" w:hAnsi="宋体" w:eastAsia="宋体" w:cs="宋体"/>
                <w:spacing w:val="11"/>
                <w:sz w:val="17"/>
                <w:szCs w:val="17"/>
              </w:rPr>
              <w:t xml:space="preserve">  </w:t>
            </w:r>
            <w:r>
              <w:rPr>
                <w:rFonts w:ascii="宋体" w:hAnsi="宋体" w:eastAsia="宋体" w:cs="宋体"/>
                <w:spacing w:val="11"/>
                <w:sz w:val="20"/>
                <w:szCs w:val="20"/>
              </w:rPr>
              <w:t>对剥离的表层土，集中堆放于表土临时堆放点，弃渣完毕后全部回铺至弃土表</w:t>
            </w:r>
            <w:r>
              <w:rPr>
                <w:rFonts w:ascii="宋体" w:hAnsi="宋体" w:eastAsia="宋体" w:cs="宋体"/>
                <w:sz w:val="20"/>
                <w:szCs w:val="20"/>
              </w:rPr>
              <w:t xml:space="preserve"> </w:t>
            </w:r>
            <w:r>
              <w:rPr>
                <w:rFonts w:ascii="宋体" w:hAnsi="宋体" w:eastAsia="宋体" w:cs="宋体"/>
                <w:spacing w:val="9"/>
                <w:sz w:val="20"/>
                <w:szCs w:val="20"/>
              </w:rPr>
              <w:t>面。同时，定期进行场地洒水，减少渣场扬尘</w:t>
            </w:r>
            <w:r>
              <w:rPr>
                <w:rFonts w:ascii="宋体" w:hAnsi="宋体" w:eastAsia="宋体" w:cs="宋体"/>
                <w:spacing w:val="8"/>
                <w:sz w:val="20"/>
                <w:szCs w:val="20"/>
              </w:rPr>
              <w:t>。</w:t>
            </w:r>
          </w:p>
          <w:p>
            <w:pPr>
              <w:spacing w:line="228" w:lineRule="auto"/>
              <w:ind w:left="537"/>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8"/>
                <w:sz w:val="20"/>
                <w:szCs w:val="20"/>
              </w:rPr>
              <w:t>2</w:t>
            </w: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宋体" w:hAnsi="宋体" w:eastAsia="宋体" w:cs="宋体"/>
                <w:spacing w:val="18"/>
                <w:sz w:val="20"/>
                <w:szCs w:val="20"/>
              </w:rPr>
              <w:t xml:space="preserve"> </w:t>
            </w:r>
            <w:r>
              <w:rPr>
                <w:rFonts w:ascii="宋体" w:hAnsi="宋体" w:eastAsia="宋体" w:cs="宋体"/>
                <w:spacing w:val="18"/>
                <w:sz w:val="20"/>
                <w:szCs w:val="20"/>
                <w14:textOutline w14:w="3795" w14:cap="sq" w14:cmpd="sng">
                  <w14:solidFill>
                    <w14:srgbClr w14:val="000000"/>
                  </w14:solidFill>
                  <w14:prstDash w14:val="solid"/>
                  <w14:bevel/>
                </w14:textOutline>
              </w:rPr>
              <w:t>建筑垃圾</w:t>
            </w:r>
          </w:p>
          <w:p>
            <w:pPr>
              <w:spacing w:before="153" w:line="369" w:lineRule="auto"/>
              <w:ind w:left="55" w:firstLine="421"/>
              <w:rPr>
                <w:rFonts w:ascii="宋体" w:hAnsi="宋体" w:eastAsia="宋体" w:cs="宋体"/>
                <w:sz w:val="20"/>
                <w:szCs w:val="20"/>
              </w:rPr>
            </w:pPr>
            <w:r>
              <w:rPr>
                <w:rFonts w:ascii="宋体" w:hAnsi="宋体" w:eastAsia="宋体" w:cs="宋体"/>
                <w:spacing w:val="2"/>
                <w:sz w:val="20"/>
                <w:szCs w:val="20"/>
              </w:rPr>
              <w:t xml:space="preserve">项目施工过程中建筑垃圾产生量约为 </w:t>
            </w:r>
            <w:r>
              <w:rPr>
                <w:rFonts w:ascii="Times New Roman" w:hAnsi="Times New Roman" w:eastAsia="Times New Roman" w:cs="Times New Roman"/>
                <w:spacing w:val="2"/>
                <w:sz w:val="20"/>
                <w:szCs w:val="20"/>
              </w:rPr>
              <w:t>200</w:t>
            </w:r>
            <w:r>
              <w:rPr>
                <w:rFonts w:ascii="Times New Roman" w:hAnsi="Times New Roman" w:eastAsia="Times New Roman" w:cs="Times New Roman"/>
                <w:sz w:val="20"/>
                <w:szCs w:val="20"/>
              </w:rPr>
              <w:t>m</w:t>
            </w:r>
            <w:r>
              <w:rPr>
                <w:rFonts w:ascii="宋体" w:hAnsi="宋体" w:eastAsia="宋体" w:cs="宋体"/>
                <w:spacing w:val="2"/>
                <w:sz w:val="20"/>
                <w:szCs w:val="20"/>
              </w:rPr>
              <w:t>³，其中主要有废钢筋、钢木模板等</w:t>
            </w:r>
            <w:r>
              <w:rPr>
                <w:rFonts w:ascii="宋体" w:hAnsi="宋体" w:eastAsia="宋体" w:cs="宋体"/>
                <w:spacing w:val="1"/>
                <w:sz w:val="20"/>
                <w:szCs w:val="20"/>
              </w:rPr>
              <w:t>，</w:t>
            </w:r>
            <w:r>
              <w:rPr>
                <w:rFonts w:ascii="宋体" w:hAnsi="宋体" w:eastAsia="宋体" w:cs="宋体"/>
                <w:sz w:val="20"/>
                <w:szCs w:val="20"/>
              </w:rPr>
              <w:t xml:space="preserve">钢筋、 </w:t>
            </w:r>
            <w:r>
              <w:rPr>
                <w:rFonts w:ascii="宋体" w:hAnsi="宋体" w:eastAsia="宋体" w:cs="宋体"/>
                <w:spacing w:val="14"/>
                <w:sz w:val="20"/>
                <w:szCs w:val="20"/>
              </w:rPr>
              <w:t>木</w:t>
            </w:r>
            <w:r>
              <w:rPr>
                <w:rFonts w:ascii="宋体" w:hAnsi="宋体" w:eastAsia="宋体" w:cs="宋体"/>
                <w:spacing w:val="9"/>
                <w:sz w:val="20"/>
                <w:szCs w:val="20"/>
              </w:rPr>
              <w:t>模</w:t>
            </w:r>
            <w:r>
              <w:rPr>
                <w:rFonts w:ascii="宋体" w:hAnsi="宋体" w:eastAsia="宋体" w:cs="宋体"/>
                <w:spacing w:val="7"/>
                <w:sz w:val="20"/>
                <w:szCs w:val="20"/>
              </w:rPr>
              <w:t>板均可回收利用；废混凝土渣、泥块等作为一般建筑垃圾，尽量用于桥台台背路基回</w:t>
            </w:r>
            <w:r>
              <w:rPr>
                <w:rFonts w:ascii="宋体" w:hAnsi="宋体" w:eastAsia="宋体" w:cs="宋体"/>
                <w:sz w:val="20"/>
                <w:szCs w:val="20"/>
              </w:rPr>
              <w:t xml:space="preserve"> </w:t>
            </w:r>
            <w:r>
              <w:rPr>
                <w:rFonts w:ascii="宋体" w:hAnsi="宋体" w:eastAsia="宋体" w:cs="宋体"/>
                <w:spacing w:val="13"/>
                <w:sz w:val="20"/>
                <w:szCs w:val="20"/>
              </w:rPr>
              <w:t>填</w:t>
            </w:r>
            <w:r>
              <w:rPr>
                <w:rFonts w:ascii="宋体" w:hAnsi="宋体" w:eastAsia="宋体" w:cs="宋体"/>
                <w:spacing w:val="7"/>
                <w:sz w:val="20"/>
                <w:szCs w:val="20"/>
              </w:rPr>
              <w:t>，不能回填的及时清运至当地政府指定的弃土场。项目区不设置临时垃圾堆放场，产生</w:t>
            </w:r>
            <w:r>
              <w:rPr>
                <w:rFonts w:ascii="宋体" w:hAnsi="宋体" w:eastAsia="宋体" w:cs="宋体"/>
                <w:sz w:val="20"/>
                <w:szCs w:val="20"/>
              </w:rPr>
              <w:t xml:space="preserve"> </w:t>
            </w:r>
            <w:r>
              <w:rPr>
                <w:rFonts w:ascii="宋体" w:hAnsi="宋体" w:eastAsia="宋体" w:cs="宋体"/>
                <w:spacing w:val="12"/>
                <w:sz w:val="20"/>
                <w:szCs w:val="20"/>
              </w:rPr>
              <w:t>的建</w:t>
            </w:r>
            <w:r>
              <w:rPr>
                <w:rFonts w:ascii="宋体" w:hAnsi="宋体" w:eastAsia="宋体" w:cs="宋体"/>
                <w:spacing w:val="11"/>
                <w:sz w:val="20"/>
                <w:szCs w:val="20"/>
              </w:rPr>
              <w:t>筑</w:t>
            </w:r>
            <w:r>
              <w:rPr>
                <w:rFonts w:ascii="宋体" w:hAnsi="宋体" w:eastAsia="宋体" w:cs="宋体"/>
                <w:spacing w:val="6"/>
                <w:sz w:val="20"/>
                <w:szCs w:val="20"/>
              </w:rPr>
              <w:t>垃圾做到</w:t>
            </w:r>
            <w:r>
              <w:rPr>
                <w:rFonts w:ascii="Times New Roman" w:hAnsi="Times New Roman" w:eastAsia="Times New Roman" w:cs="Times New Roman"/>
                <w:spacing w:val="6"/>
                <w:sz w:val="20"/>
                <w:szCs w:val="20"/>
              </w:rPr>
              <w:t>“</w:t>
            </w:r>
            <w:r>
              <w:rPr>
                <w:rFonts w:ascii="宋体" w:hAnsi="宋体" w:eastAsia="宋体" w:cs="宋体"/>
                <w:spacing w:val="6"/>
                <w:sz w:val="20"/>
                <w:szCs w:val="20"/>
              </w:rPr>
              <w:t>日产日清</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，及时清运，严禁建筑垃圾随处倾倒。</w:t>
            </w:r>
          </w:p>
          <w:p>
            <w:pPr>
              <w:spacing w:before="2" w:line="368" w:lineRule="auto"/>
              <w:ind w:left="94" w:right="49" w:firstLine="383"/>
              <w:rPr>
                <w:rFonts w:ascii="宋体" w:hAnsi="宋体" w:eastAsia="宋体" w:cs="宋体"/>
                <w:sz w:val="20"/>
                <w:szCs w:val="20"/>
              </w:rPr>
            </w:pPr>
            <w:r>
              <w:rPr>
                <w:rFonts w:ascii="宋体" w:hAnsi="宋体" w:eastAsia="宋体" w:cs="宋体"/>
                <w:spacing w:val="14"/>
                <w:sz w:val="20"/>
                <w:szCs w:val="20"/>
              </w:rPr>
              <w:t>项目</w:t>
            </w:r>
            <w:r>
              <w:rPr>
                <w:rFonts w:ascii="宋体" w:hAnsi="宋体" w:eastAsia="宋体" w:cs="宋体"/>
                <w:spacing w:val="12"/>
                <w:sz w:val="20"/>
                <w:szCs w:val="20"/>
              </w:rPr>
              <w:t>施</w:t>
            </w:r>
            <w:r>
              <w:rPr>
                <w:rFonts w:ascii="宋体" w:hAnsi="宋体" w:eastAsia="宋体" w:cs="宋体"/>
                <w:spacing w:val="7"/>
                <w:sz w:val="20"/>
                <w:szCs w:val="20"/>
              </w:rPr>
              <w:t>工过程产生的固体废弃物都能够得到合理有效的处置，不会造成二次污染。项</w:t>
            </w:r>
            <w:r>
              <w:rPr>
                <w:rFonts w:ascii="宋体" w:hAnsi="宋体" w:eastAsia="宋体" w:cs="宋体"/>
                <w:sz w:val="20"/>
                <w:szCs w:val="20"/>
              </w:rPr>
              <w:t xml:space="preserve"> </w:t>
            </w:r>
            <w:r>
              <w:rPr>
                <w:rFonts w:ascii="宋体" w:hAnsi="宋体" w:eastAsia="宋体" w:cs="宋体"/>
                <w:spacing w:val="14"/>
                <w:sz w:val="20"/>
                <w:szCs w:val="20"/>
              </w:rPr>
              <w:t>目施</w:t>
            </w:r>
            <w:r>
              <w:rPr>
                <w:rFonts w:ascii="宋体" w:hAnsi="宋体" w:eastAsia="宋体" w:cs="宋体"/>
                <w:spacing w:val="9"/>
                <w:sz w:val="20"/>
                <w:szCs w:val="20"/>
              </w:rPr>
              <w:t>工</w:t>
            </w:r>
            <w:r>
              <w:rPr>
                <w:rFonts w:ascii="宋体" w:hAnsi="宋体" w:eastAsia="宋体" w:cs="宋体"/>
                <w:spacing w:val="7"/>
                <w:sz w:val="20"/>
                <w:szCs w:val="20"/>
              </w:rPr>
              <w:t>完成后，应进行有计划地对临时占地进行植被恢复。</w:t>
            </w:r>
          </w:p>
          <w:p>
            <w:pPr>
              <w:spacing w:line="228" w:lineRule="auto"/>
              <w:ind w:left="537"/>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8"/>
                <w:sz w:val="20"/>
                <w:szCs w:val="20"/>
              </w:rPr>
              <w:t>3</w:t>
            </w: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宋体" w:hAnsi="宋体" w:eastAsia="宋体" w:cs="宋体"/>
                <w:spacing w:val="18"/>
                <w:sz w:val="20"/>
                <w:szCs w:val="20"/>
              </w:rPr>
              <w:t xml:space="preserve"> </w:t>
            </w:r>
            <w:r>
              <w:rPr>
                <w:rFonts w:ascii="宋体" w:hAnsi="宋体" w:eastAsia="宋体" w:cs="宋体"/>
                <w:spacing w:val="18"/>
                <w:sz w:val="20"/>
                <w:szCs w:val="20"/>
                <w14:textOutline w14:w="3795" w14:cap="sq" w14:cmpd="sng">
                  <w14:solidFill>
                    <w14:srgbClr w14:val="000000"/>
                  </w14:solidFill>
                  <w14:prstDash w14:val="solid"/>
                  <w14:bevel/>
                </w14:textOutline>
              </w:rPr>
              <w:t>生活垃圾</w:t>
            </w:r>
          </w:p>
          <w:p>
            <w:pPr>
              <w:spacing w:before="155" w:line="369" w:lineRule="auto"/>
              <w:ind w:left="55" w:right="49" w:firstLine="418"/>
              <w:rPr>
                <w:rFonts w:ascii="宋体" w:hAnsi="宋体" w:eastAsia="宋体" w:cs="宋体"/>
                <w:sz w:val="20"/>
                <w:szCs w:val="20"/>
              </w:rPr>
            </w:pPr>
            <w:r>
              <w:rPr>
                <w:rFonts w:ascii="宋体" w:hAnsi="宋体" w:eastAsia="宋体" w:cs="宋体"/>
                <w:spacing w:val="20"/>
                <w:sz w:val="20"/>
                <w:szCs w:val="20"/>
              </w:rPr>
              <w:t>施工</w:t>
            </w:r>
            <w:r>
              <w:rPr>
                <w:rFonts w:ascii="宋体" w:hAnsi="宋体" w:eastAsia="宋体" w:cs="宋体"/>
                <w:spacing w:val="13"/>
                <w:sz w:val="20"/>
                <w:szCs w:val="20"/>
              </w:rPr>
              <w:t>期</w:t>
            </w:r>
            <w:r>
              <w:rPr>
                <w:rFonts w:ascii="宋体" w:hAnsi="宋体" w:eastAsia="宋体" w:cs="宋体"/>
                <w:spacing w:val="10"/>
                <w:sz w:val="20"/>
                <w:szCs w:val="20"/>
              </w:rPr>
              <w:t>间，施工营地和施工场地内会产生少量的生活垃圾。生活垃圾桶按</w:t>
            </w:r>
            <w:r>
              <w:rPr>
                <w:rFonts w:ascii="Times New Roman" w:hAnsi="Times New Roman" w:eastAsia="Times New Roman" w:cs="Times New Roman"/>
                <w:spacing w:val="10"/>
                <w:sz w:val="20"/>
                <w:szCs w:val="20"/>
              </w:rPr>
              <w:t>“</w:t>
            </w:r>
            <w:r>
              <w:rPr>
                <w:rFonts w:ascii="宋体" w:hAnsi="宋体" w:eastAsia="宋体" w:cs="宋体"/>
                <w:spacing w:val="10"/>
                <w:sz w:val="20"/>
                <w:szCs w:val="20"/>
              </w:rPr>
              <w:t>可回收垃</w:t>
            </w:r>
            <w:r>
              <w:rPr>
                <w:rFonts w:ascii="宋体" w:hAnsi="宋体" w:eastAsia="宋体" w:cs="宋体"/>
                <w:sz w:val="20"/>
                <w:szCs w:val="20"/>
              </w:rPr>
              <w:t xml:space="preserve"> </w:t>
            </w:r>
            <w:r>
              <w:rPr>
                <w:rFonts w:ascii="宋体" w:hAnsi="宋体" w:eastAsia="宋体" w:cs="宋体"/>
                <w:spacing w:val="20"/>
                <w:sz w:val="20"/>
                <w:szCs w:val="20"/>
              </w:rPr>
              <w:t>圾</w:t>
            </w:r>
            <w:r>
              <w:rPr>
                <w:rFonts w:ascii="宋体" w:hAnsi="宋体" w:eastAsia="宋体" w:cs="宋体"/>
                <w:spacing w:val="19"/>
                <w:sz w:val="20"/>
                <w:szCs w:val="20"/>
              </w:rPr>
              <w:t>、</w:t>
            </w:r>
            <w:r>
              <w:rPr>
                <w:rFonts w:ascii="宋体" w:hAnsi="宋体" w:eastAsia="宋体" w:cs="宋体"/>
                <w:spacing w:val="10"/>
                <w:sz w:val="20"/>
                <w:szCs w:val="20"/>
              </w:rPr>
              <w:t>不可回收垃圾</w:t>
            </w:r>
            <w:r>
              <w:rPr>
                <w:rFonts w:ascii="Times New Roman" w:hAnsi="Times New Roman" w:eastAsia="Times New Roman" w:cs="Times New Roman"/>
                <w:spacing w:val="10"/>
                <w:sz w:val="20"/>
                <w:szCs w:val="20"/>
              </w:rPr>
              <w:t>”</w:t>
            </w:r>
            <w:r>
              <w:rPr>
                <w:rFonts w:ascii="宋体" w:hAnsi="宋体" w:eastAsia="宋体" w:cs="宋体"/>
                <w:spacing w:val="10"/>
                <w:sz w:val="20"/>
                <w:szCs w:val="20"/>
              </w:rPr>
              <w:t>的方式分类，统一收集后，委托环卫部门负责每天清运出项目区，运</w:t>
            </w:r>
            <w:r>
              <w:rPr>
                <w:rFonts w:ascii="宋体" w:hAnsi="宋体" w:eastAsia="宋体" w:cs="宋体"/>
                <w:sz w:val="20"/>
                <w:szCs w:val="20"/>
              </w:rPr>
              <w:t xml:space="preserve"> </w:t>
            </w:r>
            <w:r>
              <w:rPr>
                <w:rFonts w:ascii="宋体" w:hAnsi="宋体" w:eastAsia="宋体" w:cs="宋体"/>
                <w:spacing w:val="12"/>
                <w:sz w:val="20"/>
                <w:szCs w:val="20"/>
              </w:rPr>
              <w:t>至达州市</w:t>
            </w:r>
            <w:r>
              <w:rPr>
                <w:rFonts w:ascii="宋体" w:hAnsi="宋体" w:eastAsia="宋体" w:cs="宋体"/>
                <w:spacing w:val="6"/>
                <w:sz w:val="20"/>
                <w:szCs w:val="20"/>
              </w:rPr>
              <w:t>生活垃圾处理场处置，禁止随意倾倒。生活垃圾做到</w:t>
            </w:r>
            <w:r>
              <w:rPr>
                <w:rFonts w:ascii="Times New Roman" w:hAnsi="Times New Roman" w:eastAsia="Times New Roman" w:cs="Times New Roman"/>
                <w:spacing w:val="6"/>
                <w:sz w:val="20"/>
                <w:szCs w:val="20"/>
              </w:rPr>
              <w:t>“</w:t>
            </w:r>
            <w:r>
              <w:rPr>
                <w:rFonts w:ascii="宋体" w:hAnsi="宋体" w:eastAsia="宋体" w:cs="宋体"/>
                <w:spacing w:val="6"/>
                <w:sz w:val="20"/>
                <w:szCs w:val="20"/>
              </w:rPr>
              <w:t>日产日清</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，减少因垃圾腐</w:t>
            </w:r>
            <w:r>
              <w:rPr>
                <w:rFonts w:ascii="宋体" w:hAnsi="宋体" w:eastAsia="宋体" w:cs="宋体"/>
                <w:sz w:val="20"/>
                <w:szCs w:val="20"/>
              </w:rPr>
              <w:t xml:space="preserve"> </w:t>
            </w:r>
            <w:r>
              <w:rPr>
                <w:rFonts w:ascii="宋体" w:hAnsi="宋体" w:eastAsia="宋体" w:cs="宋体"/>
                <w:spacing w:val="9"/>
                <w:sz w:val="20"/>
                <w:szCs w:val="20"/>
              </w:rPr>
              <w:t>烂</w:t>
            </w:r>
            <w:r>
              <w:rPr>
                <w:rFonts w:ascii="宋体" w:hAnsi="宋体" w:eastAsia="宋体" w:cs="宋体"/>
                <w:spacing w:val="6"/>
                <w:sz w:val="20"/>
                <w:szCs w:val="20"/>
              </w:rPr>
              <w:t>产生异味。</w:t>
            </w:r>
          </w:p>
          <w:p>
            <w:pPr>
              <w:spacing w:before="1" w:line="226" w:lineRule="auto"/>
              <w:ind w:left="473"/>
              <w:rPr>
                <w:rFonts w:ascii="宋体" w:hAnsi="宋体" w:eastAsia="宋体" w:cs="宋体"/>
                <w:sz w:val="20"/>
                <w:szCs w:val="20"/>
              </w:rPr>
            </w:pPr>
            <w:r>
              <w:rPr>
                <w:rFonts w:ascii="宋体" w:hAnsi="宋体" w:eastAsia="宋体" w:cs="宋体"/>
                <w:spacing w:val="18"/>
                <w:sz w:val="20"/>
                <w:szCs w:val="20"/>
              </w:rPr>
              <w:t>采</w:t>
            </w:r>
            <w:r>
              <w:rPr>
                <w:rFonts w:ascii="宋体" w:hAnsi="宋体" w:eastAsia="宋体" w:cs="宋体"/>
                <w:spacing w:val="11"/>
                <w:sz w:val="20"/>
                <w:szCs w:val="20"/>
              </w:rPr>
              <w:t>取</w:t>
            </w:r>
            <w:r>
              <w:rPr>
                <w:rFonts w:ascii="宋体" w:hAnsi="宋体" w:eastAsia="宋体" w:cs="宋体"/>
                <w:spacing w:val="9"/>
                <w:sz w:val="20"/>
                <w:szCs w:val="20"/>
              </w:rPr>
              <w:t>上述措施后，项目施工期的固体废物不会对环境产生不利影响。</w:t>
            </w:r>
          </w:p>
          <w:p>
            <w:pPr>
              <w:spacing w:before="152" w:line="242" w:lineRule="auto"/>
              <w:ind w:left="108"/>
              <w:rPr>
                <w:rFonts w:ascii="黑体" w:hAnsi="黑体" w:eastAsia="黑体" w:cs="黑体"/>
                <w:sz w:val="20"/>
                <w:szCs w:val="20"/>
              </w:rPr>
            </w:pPr>
            <w:r>
              <w:rPr>
                <w:rFonts w:ascii="Times New Roman" w:hAnsi="Times New Roman" w:eastAsia="Times New Roman" w:cs="Times New Roman"/>
                <w:spacing w:val="10"/>
                <w:sz w:val="20"/>
                <w:szCs w:val="20"/>
              </w:rPr>
              <w:t xml:space="preserve">6 </w:t>
            </w:r>
            <w:r>
              <w:rPr>
                <w:rFonts w:ascii="黑体" w:hAnsi="黑体" w:eastAsia="黑体" w:cs="黑体"/>
                <w:spacing w:val="9"/>
                <w:sz w:val="20"/>
                <w:szCs w:val="20"/>
              </w:rPr>
              <w:t>、</w:t>
            </w:r>
            <w:r>
              <w:rPr>
                <w:rFonts w:ascii="黑体" w:hAnsi="黑体" w:eastAsia="黑体" w:cs="黑体"/>
                <w:spacing w:val="5"/>
                <w:sz w:val="20"/>
                <w:szCs w:val="20"/>
              </w:rPr>
              <w:t>施工期对交通阻隔影响的减缓措施</w:t>
            </w:r>
          </w:p>
          <w:p>
            <w:pPr>
              <w:spacing w:before="139" w:line="369" w:lineRule="auto"/>
              <w:ind w:left="108" w:right="129" w:firstLine="422"/>
              <w:rPr>
                <w:rFonts w:ascii="宋体" w:hAnsi="宋体" w:eastAsia="宋体" w:cs="宋体"/>
                <w:sz w:val="20"/>
                <w:szCs w:val="20"/>
              </w:rPr>
            </w:pPr>
            <w:r>
              <w:rPr>
                <w:rFonts w:ascii="宋体" w:hAnsi="宋体" w:eastAsia="宋体" w:cs="宋体"/>
                <w:spacing w:val="12"/>
                <w:sz w:val="20"/>
                <w:szCs w:val="20"/>
              </w:rPr>
              <w:t>项目为城</w:t>
            </w:r>
            <w:r>
              <w:rPr>
                <w:rFonts w:ascii="宋体" w:hAnsi="宋体" w:eastAsia="宋体" w:cs="宋体"/>
                <w:spacing w:val="6"/>
                <w:sz w:val="20"/>
                <w:szCs w:val="20"/>
              </w:rPr>
              <w:t>市桥梁新建项目，在道路施工期间， 由于施工运输车辆增加，在一定时间</w:t>
            </w:r>
            <w:r>
              <w:rPr>
                <w:rFonts w:ascii="宋体" w:hAnsi="宋体" w:eastAsia="宋体" w:cs="宋体"/>
                <w:sz w:val="20"/>
                <w:szCs w:val="20"/>
              </w:rPr>
              <w:t xml:space="preserve"> </w:t>
            </w:r>
            <w:r>
              <w:rPr>
                <w:rFonts w:ascii="宋体" w:hAnsi="宋体" w:eastAsia="宋体" w:cs="宋体"/>
                <w:spacing w:val="18"/>
                <w:sz w:val="20"/>
                <w:szCs w:val="20"/>
              </w:rPr>
              <w:t>段可</w:t>
            </w:r>
            <w:r>
              <w:rPr>
                <w:rFonts w:ascii="宋体" w:hAnsi="宋体" w:eastAsia="宋体" w:cs="宋体"/>
                <w:spacing w:val="17"/>
                <w:sz w:val="20"/>
                <w:szCs w:val="20"/>
              </w:rPr>
              <w:t>能</w:t>
            </w:r>
            <w:r>
              <w:rPr>
                <w:rFonts w:ascii="宋体" w:hAnsi="宋体" w:eastAsia="宋体" w:cs="宋体"/>
                <w:spacing w:val="9"/>
                <w:sz w:val="20"/>
                <w:szCs w:val="20"/>
              </w:rPr>
              <w:t>将引起区内交通拥挤或堵塞。为减少对道路周围住户的影响，本项目设计封闭施</w:t>
            </w:r>
          </w:p>
          <w:p>
            <w:pPr>
              <w:spacing w:line="264" w:lineRule="exact"/>
              <w:ind w:left="110"/>
              <w:rPr>
                <w:rFonts w:ascii="宋体" w:hAnsi="宋体" w:eastAsia="宋体" w:cs="宋体"/>
                <w:sz w:val="20"/>
                <w:szCs w:val="20"/>
              </w:rPr>
            </w:pPr>
            <w:r>
              <w:rPr>
                <w:rFonts w:ascii="宋体" w:hAnsi="宋体" w:eastAsia="宋体" w:cs="宋体"/>
                <w:spacing w:val="18"/>
                <w:position w:val="1"/>
                <w:sz w:val="20"/>
                <w:szCs w:val="20"/>
              </w:rPr>
              <w:t>工，</w:t>
            </w:r>
            <w:r>
              <w:rPr>
                <w:rFonts w:ascii="宋体" w:hAnsi="宋体" w:eastAsia="宋体" w:cs="宋体"/>
                <w:spacing w:val="15"/>
                <w:position w:val="1"/>
                <w:sz w:val="20"/>
                <w:szCs w:val="20"/>
              </w:rPr>
              <w:t>避</w:t>
            </w:r>
            <w:r>
              <w:rPr>
                <w:rFonts w:ascii="宋体" w:hAnsi="宋体" w:eastAsia="宋体" w:cs="宋体"/>
                <w:spacing w:val="9"/>
                <w:position w:val="1"/>
                <w:sz w:val="20"/>
                <w:szCs w:val="20"/>
              </w:rPr>
              <w:t>开既有道路的车辆高峰期运输，只要加强施工车辆交通的管理控制，总体上不会</w:t>
            </w:r>
          </w:p>
        </w:tc>
      </w:tr>
    </w:tbl>
    <w:p>
      <w:pPr>
        <w:spacing w:line="138" w:lineRule="exact"/>
        <w:rPr>
          <w:rFonts w:ascii="Arial"/>
          <w:sz w:val="12"/>
        </w:rPr>
      </w:pPr>
    </w:p>
    <w:p>
      <w:pPr>
        <w:sectPr>
          <w:footerReference r:id="rId94" w:type="default"/>
          <w:pgSz w:w="11907" w:h="16840"/>
          <w:pgMar w:top="400" w:right="1476" w:bottom="1477" w:left="1475" w:header="0" w:footer="1317" w:gutter="0"/>
          <w:cols w:space="720" w:num="1"/>
        </w:sectPr>
      </w:pPr>
    </w:p>
    <w:p/>
    <w:p/>
    <w:p/>
    <w:p/>
    <w:p>
      <w:pPr>
        <w:spacing w:line="221" w:lineRule="exact"/>
      </w:pPr>
    </w:p>
    <w:tbl>
      <w:tblPr>
        <w:tblStyle w:val="4"/>
        <w:tblW w:w="894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82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7" w:hRule="atLeast"/>
        </w:trPr>
        <w:tc>
          <w:tcPr>
            <w:tcW w:w="724" w:type="dxa"/>
            <w:tcBorders>
              <w:left w:val="single" w:color="00000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31" w:lineRule="auto"/>
              <w:ind w:left="129"/>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施工</w:t>
            </w:r>
          </w:p>
          <w:p>
            <w:pPr>
              <w:spacing w:before="21" w:line="228" w:lineRule="auto"/>
              <w:ind w:left="133"/>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期生</w:t>
            </w:r>
          </w:p>
          <w:p>
            <w:pPr>
              <w:spacing w:before="25" w:line="230" w:lineRule="auto"/>
              <w:ind w:left="130"/>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态</w:t>
            </w:r>
            <w:r>
              <w:rPr>
                <w:rFonts w:ascii="宋体" w:hAnsi="宋体" w:eastAsia="宋体" w:cs="宋体"/>
                <w:spacing w:val="15"/>
                <w:sz w:val="20"/>
                <w:szCs w:val="20"/>
                <w14:textOutline w14:w="3795" w14:cap="sq" w14:cmpd="sng">
                  <w14:solidFill>
                    <w14:srgbClr w14:val="000000"/>
                  </w14:solidFill>
                  <w14:prstDash w14:val="solid"/>
                  <w14:bevel/>
                </w14:textOutline>
              </w:rPr>
              <w:t>环</w:t>
            </w:r>
          </w:p>
          <w:p>
            <w:pPr>
              <w:spacing w:before="22" w:line="228" w:lineRule="auto"/>
              <w:ind w:left="131"/>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境保</w:t>
            </w:r>
          </w:p>
          <w:p>
            <w:pPr>
              <w:spacing w:before="25" w:line="228" w:lineRule="auto"/>
              <w:ind w:left="131"/>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护措</w:t>
            </w:r>
          </w:p>
          <w:p>
            <w:pPr>
              <w:spacing w:before="25" w:line="231" w:lineRule="auto"/>
              <w:ind w:left="244"/>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施</w:t>
            </w:r>
          </w:p>
        </w:tc>
        <w:tc>
          <w:tcPr>
            <w:tcW w:w="8216" w:type="dxa"/>
            <w:tcBorders>
              <w:right w:val="single" w:color="000000" w:sz="6" w:space="0"/>
            </w:tcBorders>
            <w:vAlign w:val="top"/>
          </w:tcPr>
          <w:p>
            <w:pPr>
              <w:spacing w:before="154" w:line="228" w:lineRule="auto"/>
              <w:ind w:left="106"/>
              <w:rPr>
                <w:rFonts w:ascii="宋体" w:hAnsi="宋体" w:eastAsia="宋体" w:cs="宋体"/>
                <w:sz w:val="20"/>
                <w:szCs w:val="20"/>
              </w:rPr>
            </w:pPr>
            <w:r>
              <w:rPr>
                <w:rFonts w:ascii="宋体" w:hAnsi="宋体" w:eastAsia="宋体" w:cs="宋体"/>
                <w:spacing w:val="13"/>
                <w:sz w:val="20"/>
                <w:szCs w:val="20"/>
              </w:rPr>
              <w:t>对</w:t>
            </w:r>
            <w:r>
              <w:rPr>
                <w:rFonts w:ascii="宋体" w:hAnsi="宋体" w:eastAsia="宋体" w:cs="宋体"/>
                <w:spacing w:val="8"/>
                <w:sz w:val="20"/>
                <w:szCs w:val="20"/>
              </w:rPr>
              <w:t>交通造成大的不利影响。</w:t>
            </w:r>
          </w:p>
          <w:p>
            <w:pPr>
              <w:spacing w:before="153" w:line="369" w:lineRule="auto"/>
              <w:ind w:left="108" w:right="50" w:firstLine="418"/>
              <w:rPr>
                <w:rFonts w:ascii="宋体" w:hAnsi="宋体" w:eastAsia="宋体" w:cs="宋体"/>
                <w:sz w:val="20"/>
                <w:szCs w:val="20"/>
              </w:rPr>
            </w:pPr>
            <w:r>
              <w:rPr>
                <w:rFonts w:ascii="宋体" w:hAnsi="宋体" w:eastAsia="宋体" w:cs="宋体"/>
                <w:spacing w:val="18"/>
                <w:sz w:val="20"/>
                <w:szCs w:val="20"/>
              </w:rPr>
              <w:t>施工</w:t>
            </w:r>
            <w:r>
              <w:rPr>
                <w:rFonts w:ascii="宋体" w:hAnsi="宋体" w:eastAsia="宋体" w:cs="宋体"/>
                <w:spacing w:val="17"/>
                <w:sz w:val="20"/>
                <w:szCs w:val="20"/>
              </w:rPr>
              <w:t>期</w:t>
            </w:r>
            <w:r>
              <w:rPr>
                <w:rFonts w:ascii="宋体" w:hAnsi="宋体" w:eastAsia="宋体" w:cs="宋体"/>
                <w:spacing w:val="9"/>
                <w:sz w:val="20"/>
                <w:szCs w:val="20"/>
              </w:rPr>
              <w:t>对交通的影响主要表现在后期连接道路改造期间，主要是与工程相关的管线</w:t>
            </w:r>
            <w:r>
              <w:rPr>
                <w:rFonts w:ascii="宋体" w:hAnsi="宋体" w:eastAsia="宋体" w:cs="宋体"/>
                <w:sz w:val="20"/>
                <w:szCs w:val="20"/>
              </w:rPr>
              <w:t xml:space="preserve"> </w:t>
            </w:r>
            <w:r>
              <w:rPr>
                <w:rFonts w:ascii="宋体" w:hAnsi="宋体" w:eastAsia="宋体" w:cs="宋体"/>
                <w:spacing w:val="12"/>
                <w:sz w:val="20"/>
                <w:szCs w:val="20"/>
              </w:rPr>
              <w:t>改造</w:t>
            </w:r>
            <w:r>
              <w:rPr>
                <w:rFonts w:ascii="宋体" w:hAnsi="宋体" w:eastAsia="宋体" w:cs="宋体"/>
                <w:spacing w:val="7"/>
                <w:sz w:val="20"/>
                <w:szCs w:val="20"/>
              </w:rPr>
              <w:t>、</w:t>
            </w:r>
            <w:r>
              <w:rPr>
                <w:rFonts w:ascii="宋体" w:hAnsi="宋体" w:eastAsia="宋体" w:cs="宋体"/>
                <w:spacing w:val="6"/>
                <w:sz w:val="20"/>
                <w:szCs w:val="20"/>
              </w:rPr>
              <w:t>交通标志标线、交叉口信号设施设计、电子警察等改造施工，不会破坏原有路面，</w:t>
            </w:r>
            <w:r>
              <w:rPr>
                <w:rFonts w:ascii="宋体" w:hAnsi="宋体" w:eastAsia="宋体" w:cs="宋体"/>
                <w:sz w:val="20"/>
                <w:szCs w:val="20"/>
              </w:rPr>
              <w:t xml:space="preserve"> </w:t>
            </w:r>
            <w:r>
              <w:rPr>
                <w:rFonts w:ascii="宋体" w:hAnsi="宋体" w:eastAsia="宋体" w:cs="宋体"/>
                <w:spacing w:val="18"/>
                <w:sz w:val="20"/>
                <w:szCs w:val="20"/>
              </w:rPr>
              <w:t>管道</w:t>
            </w:r>
            <w:r>
              <w:rPr>
                <w:rFonts w:ascii="宋体" w:hAnsi="宋体" w:eastAsia="宋体" w:cs="宋体"/>
                <w:spacing w:val="17"/>
                <w:sz w:val="20"/>
                <w:szCs w:val="20"/>
              </w:rPr>
              <w:t>改</w:t>
            </w:r>
            <w:r>
              <w:rPr>
                <w:rFonts w:ascii="宋体" w:hAnsi="宋体" w:eastAsia="宋体" w:cs="宋体"/>
                <w:spacing w:val="9"/>
                <w:sz w:val="20"/>
                <w:szCs w:val="20"/>
              </w:rPr>
              <w:t>造等均在道路一侧，可选择半幅施工、半幅通车的方式，对交通影响较小；地面</w:t>
            </w:r>
            <w:r>
              <w:rPr>
                <w:rFonts w:ascii="宋体" w:hAnsi="宋体" w:eastAsia="宋体" w:cs="宋体"/>
                <w:sz w:val="20"/>
                <w:szCs w:val="20"/>
              </w:rPr>
              <w:t xml:space="preserve"> </w:t>
            </w:r>
            <w:r>
              <w:rPr>
                <w:rFonts w:ascii="宋体" w:hAnsi="宋体" w:eastAsia="宋体" w:cs="宋体"/>
                <w:spacing w:val="7"/>
                <w:sz w:val="20"/>
                <w:szCs w:val="20"/>
              </w:rPr>
              <w:t>路标、交通标志标线、交叉口信号设施设计、 电子警察等改造可选择夜间车流较少的</w:t>
            </w:r>
            <w:r>
              <w:rPr>
                <w:rFonts w:ascii="宋体" w:hAnsi="宋体" w:eastAsia="宋体" w:cs="宋体"/>
                <w:spacing w:val="2"/>
                <w:sz w:val="20"/>
                <w:szCs w:val="20"/>
              </w:rPr>
              <w:t>时</w:t>
            </w:r>
            <w:r>
              <w:rPr>
                <w:rFonts w:ascii="宋体" w:hAnsi="宋体" w:eastAsia="宋体" w:cs="宋体"/>
                <w:sz w:val="20"/>
                <w:szCs w:val="20"/>
              </w:rPr>
              <w:t xml:space="preserve"> </w:t>
            </w:r>
            <w:r>
              <w:rPr>
                <w:rFonts w:ascii="宋体" w:hAnsi="宋体" w:eastAsia="宋体" w:cs="宋体"/>
                <w:spacing w:val="12"/>
                <w:sz w:val="20"/>
                <w:szCs w:val="20"/>
              </w:rPr>
              <w:t>段</w:t>
            </w:r>
            <w:r>
              <w:rPr>
                <w:rFonts w:ascii="宋体" w:hAnsi="宋体" w:eastAsia="宋体" w:cs="宋体"/>
                <w:spacing w:val="8"/>
                <w:sz w:val="20"/>
                <w:szCs w:val="20"/>
              </w:rPr>
              <w:t>施工，对交通影响也较小。</w:t>
            </w:r>
          </w:p>
          <w:p>
            <w:pPr>
              <w:spacing w:line="228" w:lineRule="auto"/>
              <w:ind w:left="530"/>
              <w:rPr>
                <w:rFonts w:ascii="宋体" w:hAnsi="宋体" w:eastAsia="宋体" w:cs="宋体"/>
                <w:sz w:val="20"/>
                <w:szCs w:val="20"/>
              </w:rPr>
            </w:pPr>
            <w:r>
              <w:rPr>
                <w:rFonts w:ascii="宋体" w:hAnsi="宋体" w:eastAsia="宋体" w:cs="宋体"/>
                <w:spacing w:val="16"/>
                <w:sz w:val="20"/>
                <w:szCs w:val="20"/>
              </w:rPr>
              <w:t>项</w:t>
            </w:r>
            <w:r>
              <w:rPr>
                <w:rFonts w:ascii="宋体" w:hAnsi="宋体" w:eastAsia="宋体" w:cs="宋体"/>
                <w:spacing w:val="9"/>
                <w:sz w:val="20"/>
                <w:szCs w:val="20"/>
              </w:rPr>
              <w:t>目施工期时间较短，一旦施工期结束，这种不利环境影响将消失。</w:t>
            </w:r>
          </w:p>
          <w:p>
            <w:pPr>
              <w:spacing w:before="153" w:line="230" w:lineRule="auto"/>
              <w:ind w:left="107"/>
              <w:rPr>
                <w:rFonts w:ascii="黑体" w:hAnsi="黑体" w:eastAsia="黑体" w:cs="黑体"/>
                <w:sz w:val="20"/>
                <w:szCs w:val="20"/>
              </w:rPr>
            </w:pPr>
            <w:r>
              <w:rPr>
                <w:rFonts w:ascii="Times New Roman" w:hAnsi="Times New Roman" w:eastAsia="Times New Roman" w:cs="Times New Roman"/>
                <w:spacing w:val="10"/>
                <w:sz w:val="20"/>
                <w:szCs w:val="20"/>
              </w:rPr>
              <w:t>7</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w:t>
            </w:r>
            <w:r>
              <w:rPr>
                <w:rFonts w:ascii="黑体" w:hAnsi="黑体" w:eastAsia="黑体" w:cs="黑体"/>
                <w:spacing w:val="5"/>
                <w:sz w:val="20"/>
                <w:szCs w:val="20"/>
              </w:rPr>
              <w:t>施工期社会环境影响减缓措施</w:t>
            </w:r>
          </w:p>
          <w:p>
            <w:pPr>
              <w:spacing w:before="152" w:line="369" w:lineRule="auto"/>
              <w:ind w:left="55" w:right="52" w:firstLine="418"/>
              <w:rPr>
                <w:rFonts w:ascii="宋体" w:hAnsi="宋体" w:eastAsia="宋体" w:cs="宋体"/>
                <w:sz w:val="20"/>
                <w:szCs w:val="20"/>
              </w:rPr>
            </w:pPr>
            <w:r>
              <w:rPr>
                <w:rFonts w:ascii="宋体" w:hAnsi="宋体" w:eastAsia="宋体" w:cs="宋体"/>
                <w:spacing w:val="14"/>
                <w:sz w:val="20"/>
                <w:szCs w:val="20"/>
              </w:rPr>
              <w:t>在施</w:t>
            </w:r>
            <w:r>
              <w:rPr>
                <w:rFonts w:ascii="宋体" w:hAnsi="宋体" w:eastAsia="宋体" w:cs="宋体"/>
                <w:spacing w:val="13"/>
                <w:sz w:val="20"/>
                <w:szCs w:val="20"/>
              </w:rPr>
              <w:t>工</w:t>
            </w:r>
            <w:r>
              <w:rPr>
                <w:rFonts w:ascii="宋体" w:hAnsi="宋体" w:eastAsia="宋体" w:cs="宋体"/>
                <w:spacing w:val="7"/>
                <w:sz w:val="20"/>
                <w:szCs w:val="20"/>
              </w:rPr>
              <w:t>期间，由于使用大量施工运输车辆，在一定时间段可能将引起区内交通拥挤或</w:t>
            </w:r>
            <w:r>
              <w:rPr>
                <w:rFonts w:ascii="宋体" w:hAnsi="宋体" w:eastAsia="宋体" w:cs="宋体"/>
                <w:sz w:val="20"/>
                <w:szCs w:val="20"/>
              </w:rPr>
              <w:t xml:space="preserve"> </w:t>
            </w:r>
            <w:r>
              <w:rPr>
                <w:rFonts w:ascii="宋体" w:hAnsi="宋体" w:eastAsia="宋体" w:cs="宋体"/>
                <w:spacing w:val="14"/>
                <w:sz w:val="20"/>
                <w:szCs w:val="20"/>
              </w:rPr>
              <w:t>堵塞。</w:t>
            </w:r>
            <w:r>
              <w:rPr>
                <w:rFonts w:ascii="宋体" w:hAnsi="宋体" w:eastAsia="宋体" w:cs="宋体"/>
                <w:spacing w:val="11"/>
                <w:sz w:val="20"/>
                <w:szCs w:val="20"/>
              </w:rPr>
              <w:t>为</w:t>
            </w:r>
            <w:r>
              <w:rPr>
                <w:rFonts w:ascii="宋体" w:hAnsi="宋体" w:eastAsia="宋体" w:cs="宋体"/>
                <w:spacing w:val="7"/>
                <w:sz w:val="20"/>
                <w:szCs w:val="20"/>
              </w:rPr>
              <w:t>减免工程施工对公路设施的损坏和人为原因导致的交通堵塞，需采取一些必要的</w:t>
            </w:r>
            <w:r>
              <w:rPr>
                <w:rFonts w:ascii="宋体" w:hAnsi="宋体" w:eastAsia="宋体" w:cs="宋体"/>
                <w:sz w:val="20"/>
                <w:szCs w:val="20"/>
              </w:rPr>
              <w:t xml:space="preserve"> </w:t>
            </w:r>
            <w:r>
              <w:rPr>
                <w:rFonts w:ascii="宋体" w:hAnsi="宋体" w:eastAsia="宋体" w:cs="宋体"/>
                <w:spacing w:val="10"/>
                <w:sz w:val="20"/>
                <w:szCs w:val="20"/>
              </w:rPr>
              <w:t>工</w:t>
            </w:r>
            <w:r>
              <w:rPr>
                <w:rFonts w:ascii="宋体" w:hAnsi="宋体" w:eastAsia="宋体" w:cs="宋体"/>
                <w:spacing w:val="7"/>
                <w:sz w:val="20"/>
                <w:szCs w:val="20"/>
              </w:rPr>
              <w:t>程和管理措施：</w:t>
            </w:r>
          </w:p>
          <w:p>
            <w:pPr>
              <w:spacing w:before="1" w:line="226" w:lineRule="auto"/>
              <w:ind w:left="491"/>
              <w:rPr>
                <w:rFonts w:ascii="宋体" w:hAnsi="宋体" w:eastAsia="宋体" w:cs="宋体"/>
                <w:sz w:val="20"/>
                <w:szCs w:val="20"/>
              </w:rPr>
            </w:pPr>
            <w:r>
              <w:rPr>
                <w:rFonts w:ascii="Times New Roman" w:hAnsi="Times New Roman" w:eastAsia="Times New Roman" w:cs="Times New Roman"/>
                <w:spacing w:val="8"/>
                <w:sz w:val="20"/>
                <w:szCs w:val="20"/>
              </w:rPr>
              <w:t>1</w:t>
            </w:r>
            <w:r>
              <w:rPr>
                <w:rFonts w:ascii="宋体" w:hAnsi="宋体" w:eastAsia="宋体" w:cs="宋体"/>
                <w:spacing w:val="8"/>
                <w:sz w:val="20"/>
                <w:szCs w:val="20"/>
              </w:rPr>
              <w:t>) 本项目设计封闭施工，减少对项目周围住户的影响</w:t>
            </w:r>
            <w:r>
              <w:rPr>
                <w:rFonts w:ascii="宋体" w:hAnsi="宋体" w:eastAsia="宋体" w:cs="宋体"/>
                <w:spacing w:val="7"/>
                <w:sz w:val="20"/>
                <w:szCs w:val="20"/>
              </w:rPr>
              <w:t>。</w:t>
            </w:r>
          </w:p>
          <w:p>
            <w:pPr>
              <w:spacing w:before="152" w:line="228" w:lineRule="auto"/>
              <w:ind w:left="470"/>
              <w:rPr>
                <w:rFonts w:ascii="宋体" w:hAnsi="宋体" w:eastAsia="宋体" w:cs="宋体"/>
                <w:sz w:val="20"/>
                <w:szCs w:val="20"/>
              </w:rPr>
            </w:pPr>
            <w:r>
              <w:rPr>
                <w:rFonts w:ascii="Times New Roman" w:hAnsi="Times New Roman" w:eastAsia="Times New Roman" w:cs="Times New Roman"/>
                <w:spacing w:val="16"/>
                <w:sz w:val="20"/>
                <w:szCs w:val="20"/>
              </w:rPr>
              <w:t>2</w:t>
            </w:r>
            <w:r>
              <w:rPr>
                <w:rFonts w:ascii="宋体" w:hAnsi="宋体" w:eastAsia="宋体" w:cs="宋体"/>
                <w:spacing w:val="11"/>
                <w:sz w:val="20"/>
                <w:szCs w:val="20"/>
              </w:rPr>
              <w:t>)</w:t>
            </w:r>
            <w:r>
              <w:rPr>
                <w:rFonts w:ascii="宋体" w:hAnsi="宋体" w:eastAsia="宋体" w:cs="宋体"/>
                <w:spacing w:val="8"/>
                <w:sz w:val="20"/>
                <w:szCs w:val="20"/>
              </w:rPr>
              <w:t xml:space="preserve"> 合理规划运输线路，避免穿越集中居住区。</w:t>
            </w:r>
          </w:p>
          <w:p>
            <w:pPr>
              <w:spacing w:before="154" w:line="228" w:lineRule="auto"/>
              <w:ind w:left="475"/>
              <w:rPr>
                <w:rFonts w:ascii="宋体" w:hAnsi="宋体" w:eastAsia="宋体" w:cs="宋体"/>
                <w:sz w:val="20"/>
                <w:szCs w:val="20"/>
              </w:rPr>
            </w:pPr>
            <w:r>
              <w:rPr>
                <w:rFonts w:ascii="Times New Roman" w:hAnsi="Times New Roman" w:eastAsia="Times New Roman" w:cs="Times New Roman"/>
                <w:spacing w:val="14"/>
                <w:sz w:val="20"/>
                <w:szCs w:val="20"/>
              </w:rPr>
              <w:t>3</w:t>
            </w:r>
            <w:r>
              <w:rPr>
                <w:rFonts w:ascii="宋体" w:hAnsi="宋体" w:eastAsia="宋体" w:cs="宋体"/>
                <w:spacing w:val="8"/>
                <w:sz w:val="20"/>
                <w:szCs w:val="20"/>
              </w:rPr>
              <w:t>) 合理安排运输时间，尽量避开休息时段。</w:t>
            </w:r>
          </w:p>
          <w:p>
            <w:pPr>
              <w:spacing w:before="154" w:line="228" w:lineRule="auto"/>
              <w:ind w:left="469"/>
              <w:rPr>
                <w:rFonts w:ascii="宋体" w:hAnsi="宋体" w:eastAsia="宋体" w:cs="宋体"/>
                <w:sz w:val="20"/>
                <w:szCs w:val="20"/>
              </w:rPr>
            </w:pPr>
            <w:r>
              <w:rPr>
                <w:rFonts w:ascii="Times New Roman" w:hAnsi="Times New Roman" w:eastAsia="Times New Roman" w:cs="Times New Roman"/>
                <w:spacing w:val="11"/>
                <w:sz w:val="20"/>
                <w:szCs w:val="20"/>
              </w:rPr>
              <w:t>4</w:t>
            </w:r>
            <w:r>
              <w:rPr>
                <w:rFonts w:ascii="宋体" w:hAnsi="宋体" w:eastAsia="宋体" w:cs="宋体"/>
                <w:spacing w:val="9"/>
                <w:sz w:val="20"/>
                <w:szCs w:val="20"/>
              </w:rPr>
              <w:t>) 加强施工车辆管理和保养，确保设备完好和正常运行，避免人为堵车。</w:t>
            </w:r>
          </w:p>
          <w:p>
            <w:pPr>
              <w:spacing w:before="151" w:line="228" w:lineRule="auto"/>
              <w:ind w:left="476"/>
              <w:rPr>
                <w:rFonts w:ascii="宋体" w:hAnsi="宋体" w:eastAsia="宋体" w:cs="宋体"/>
                <w:sz w:val="20"/>
                <w:szCs w:val="20"/>
              </w:rPr>
            </w:pPr>
            <w:r>
              <w:rPr>
                <w:rFonts w:ascii="Times New Roman" w:hAnsi="Times New Roman" w:eastAsia="Times New Roman" w:cs="Times New Roman"/>
                <w:spacing w:val="6"/>
                <w:sz w:val="20"/>
                <w:szCs w:val="20"/>
              </w:rPr>
              <w:t>5</w:t>
            </w:r>
            <w:r>
              <w:rPr>
                <w:rFonts w:ascii="宋体" w:hAnsi="宋体" w:eastAsia="宋体" w:cs="宋体"/>
                <w:spacing w:val="6"/>
                <w:sz w:val="20"/>
                <w:szCs w:val="20"/>
              </w:rPr>
              <w:t>) 严禁施工车辆超速、超载， 以避免对路基、路面和其它公路设施的破坏</w:t>
            </w:r>
            <w:r>
              <w:rPr>
                <w:rFonts w:ascii="宋体" w:hAnsi="宋体" w:eastAsia="宋体" w:cs="宋体"/>
                <w:spacing w:val="3"/>
                <w:sz w:val="20"/>
                <w:szCs w:val="20"/>
              </w:rPr>
              <w:t>。</w:t>
            </w:r>
          </w:p>
          <w:p>
            <w:pPr>
              <w:spacing w:before="155" w:line="228" w:lineRule="auto"/>
              <w:ind w:left="475"/>
              <w:rPr>
                <w:rFonts w:ascii="宋体" w:hAnsi="宋体" w:eastAsia="宋体" w:cs="宋体"/>
                <w:sz w:val="20"/>
                <w:szCs w:val="20"/>
              </w:rPr>
            </w:pPr>
            <w:r>
              <w:rPr>
                <w:rFonts w:ascii="Times New Roman" w:hAnsi="Times New Roman" w:eastAsia="Times New Roman" w:cs="Times New Roman"/>
                <w:spacing w:val="16"/>
                <w:sz w:val="20"/>
                <w:szCs w:val="20"/>
              </w:rPr>
              <w:t>6</w:t>
            </w:r>
            <w:r>
              <w:rPr>
                <w:rFonts w:ascii="宋体" w:hAnsi="宋体" w:eastAsia="宋体" w:cs="宋体"/>
                <w:spacing w:val="16"/>
                <w:sz w:val="20"/>
                <w:szCs w:val="20"/>
              </w:rPr>
              <w:t>)</w:t>
            </w:r>
            <w:r>
              <w:rPr>
                <w:rFonts w:ascii="宋体" w:hAnsi="宋体" w:eastAsia="宋体" w:cs="宋体"/>
                <w:spacing w:val="10"/>
                <w:sz w:val="20"/>
                <w:szCs w:val="20"/>
              </w:rPr>
              <w:t xml:space="preserve"> </w:t>
            </w:r>
            <w:r>
              <w:rPr>
                <w:rFonts w:ascii="宋体" w:hAnsi="宋体" w:eastAsia="宋体" w:cs="宋体"/>
                <w:spacing w:val="8"/>
                <w:sz w:val="20"/>
                <w:szCs w:val="20"/>
              </w:rPr>
              <w:t>设置警示标志，提醒驾驶员注意施工车辆并减速行驶。</w:t>
            </w:r>
          </w:p>
          <w:p>
            <w:pPr>
              <w:spacing w:before="153" w:line="369" w:lineRule="auto"/>
              <w:ind w:left="112" w:firstLine="360"/>
              <w:rPr>
                <w:rFonts w:ascii="黑体" w:hAnsi="黑体" w:eastAsia="黑体" w:cs="黑体"/>
                <w:sz w:val="20"/>
                <w:szCs w:val="20"/>
              </w:rPr>
            </w:pPr>
            <w:r>
              <w:rPr>
                <w:rFonts w:ascii="宋体" w:hAnsi="宋体" w:eastAsia="宋体" w:cs="宋体"/>
                <w:spacing w:val="6"/>
                <w:sz w:val="20"/>
                <w:szCs w:val="20"/>
              </w:rPr>
              <w:t>在建设期，只</w:t>
            </w:r>
            <w:r>
              <w:rPr>
                <w:rFonts w:ascii="宋体" w:hAnsi="宋体" w:eastAsia="宋体" w:cs="宋体"/>
                <w:spacing w:val="3"/>
                <w:sz w:val="20"/>
                <w:szCs w:val="20"/>
              </w:rPr>
              <w:t>要加强施工车辆交通的管理控制，总体上不会对交通造成大的不利影响。</w:t>
            </w:r>
            <w:r>
              <w:rPr>
                <w:rFonts w:ascii="宋体" w:hAnsi="宋体" w:eastAsia="宋体" w:cs="宋体"/>
                <w:sz w:val="20"/>
                <w:szCs w:val="20"/>
              </w:rPr>
              <w:t xml:space="preserve"> </w:t>
            </w:r>
            <w:r>
              <w:rPr>
                <w:rFonts w:ascii="Times New Roman" w:hAnsi="Times New Roman" w:eastAsia="Times New Roman" w:cs="Times New Roman"/>
                <w:spacing w:val="4"/>
                <w:sz w:val="20"/>
                <w:szCs w:val="20"/>
              </w:rPr>
              <w:t xml:space="preserve">8 </w:t>
            </w:r>
            <w:r>
              <w:rPr>
                <w:rFonts w:ascii="黑体" w:hAnsi="黑体" w:eastAsia="黑体" w:cs="黑体"/>
                <w:spacing w:val="4"/>
                <w:sz w:val="20"/>
                <w:szCs w:val="20"/>
              </w:rPr>
              <w:t>、施工期河流水质保护措</w:t>
            </w:r>
            <w:r>
              <w:rPr>
                <w:rFonts w:ascii="黑体" w:hAnsi="黑体" w:eastAsia="黑体" w:cs="黑体"/>
                <w:spacing w:val="2"/>
                <w:sz w:val="20"/>
                <w:szCs w:val="20"/>
              </w:rPr>
              <w:t>施</w:t>
            </w:r>
          </w:p>
          <w:p>
            <w:pPr>
              <w:spacing w:before="1" w:line="227" w:lineRule="auto"/>
              <w:ind w:left="478"/>
              <w:rPr>
                <w:rFonts w:ascii="宋体" w:hAnsi="宋体" w:eastAsia="宋体" w:cs="宋体"/>
                <w:sz w:val="20"/>
                <w:szCs w:val="20"/>
              </w:rPr>
            </w:pPr>
            <w:r>
              <w:rPr>
                <w:rFonts w:ascii="宋体" w:hAnsi="宋体" w:eastAsia="宋体" w:cs="宋体"/>
                <w:spacing w:val="18"/>
                <w:sz w:val="20"/>
                <w:szCs w:val="20"/>
              </w:rPr>
              <w:t>项</w:t>
            </w:r>
            <w:r>
              <w:rPr>
                <w:rFonts w:ascii="宋体" w:hAnsi="宋体" w:eastAsia="宋体" w:cs="宋体"/>
                <w:spacing w:val="9"/>
                <w:sz w:val="20"/>
                <w:szCs w:val="20"/>
              </w:rPr>
              <w:t>目施工期可能对河流水质产生不利影响，环评建议采取以下保护措施：</w:t>
            </w:r>
          </w:p>
          <w:p>
            <w:pPr>
              <w:spacing w:before="154" w:line="228" w:lineRule="auto"/>
              <w:ind w:left="491"/>
              <w:rPr>
                <w:rFonts w:ascii="宋体" w:hAnsi="宋体" w:eastAsia="宋体" w:cs="宋体"/>
                <w:sz w:val="20"/>
                <w:szCs w:val="20"/>
              </w:rPr>
            </w:pPr>
            <w:r>
              <w:rPr>
                <w:rFonts w:ascii="Times New Roman" w:hAnsi="Times New Roman" w:eastAsia="Times New Roman" w:cs="Times New Roman"/>
                <w:spacing w:val="18"/>
                <w:sz w:val="20"/>
                <w:szCs w:val="20"/>
              </w:rPr>
              <w:t>1</w:t>
            </w:r>
            <w:r>
              <w:rPr>
                <w:rFonts w:ascii="宋体" w:hAnsi="宋体" w:eastAsia="宋体" w:cs="宋体"/>
                <w:spacing w:val="18"/>
                <w:sz w:val="20"/>
                <w:szCs w:val="20"/>
              </w:rPr>
              <w:t>)</w:t>
            </w:r>
            <w:r>
              <w:rPr>
                <w:rFonts w:ascii="宋体" w:hAnsi="宋体" w:eastAsia="宋体" w:cs="宋体"/>
                <w:spacing w:val="11"/>
                <w:sz w:val="20"/>
                <w:szCs w:val="20"/>
              </w:rPr>
              <w:t xml:space="preserve"> </w:t>
            </w:r>
            <w:r>
              <w:rPr>
                <w:rFonts w:ascii="宋体" w:hAnsi="宋体" w:eastAsia="宋体" w:cs="宋体"/>
                <w:spacing w:val="9"/>
                <w:sz w:val="20"/>
                <w:szCs w:val="20"/>
              </w:rPr>
              <w:t>遇大风天气，停止开挖；材料堆场及土石方临时堆场及时覆盖；地面及时洒水降</w:t>
            </w:r>
          </w:p>
          <w:p>
            <w:pPr>
              <w:spacing w:before="151" w:line="234" w:lineRule="auto"/>
              <w:ind w:left="56"/>
              <w:rPr>
                <w:rFonts w:ascii="宋体" w:hAnsi="宋体" w:eastAsia="宋体" w:cs="宋体"/>
                <w:sz w:val="20"/>
                <w:szCs w:val="20"/>
              </w:rPr>
            </w:pPr>
            <w:r>
              <w:rPr>
                <w:rFonts w:ascii="宋体" w:hAnsi="宋体" w:eastAsia="宋体" w:cs="宋体"/>
                <w:spacing w:val="11"/>
                <w:sz w:val="20"/>
                <w:szCs w:val="20"/>
              </w:rPr>
              <w:t>尘</w:t>
            </w:r>
            <w:r>
              <w:rPr>
                <w:rFonts w:ascii="宋体" w:hAnsi="宋体" w:eastAsia="宋体" w:cs="宋体"/>
                <w:spacing w:val="8"/>
                <w:sz w:val="20"/>
                <w:szCs w:val="20"/>
              </w:rPr>
              <w:t>，避免和减少扬尘产生。</w:t>
            </w:r>
          </w:p>
          <w:p>
            <w:pPr>
              <w:spacing w:before="147" w:line="369" w:lineRule="auto"/>
              <w:ind w:left="56" w:right="52" w:firstLine="414"/>
              <w:rPr>
                <w:rFonts w:ascii="宋体" w:hAnsi="宋体" w:eastAsia="宋体" w:cs="宋体"/>
                <w:sz w:val="20"/>
                <w:szCs w:val="20"/>
              </w:rPr>
            </w:pPr>
            <w:r>
              <w:rPr>
                <w:rFonts w:ascii="Times New Roman" w:hAnsi="Times New Roman" w:eastAsia="Times New Roman" w:cs="Times New Roman"/>
                <w:spacing w:val="12"/>
                <w:sz w:val="20"/>
                <w:szCs w:val="20"/>
              </w:rPr>
              <w:t>2</w:t>
            </w:r>
            <w:r>
              <w:rPr>
                <w:rFonts w:ascii="宋体" w:hAnsi="宋体" w:eastAsia="宋体" w:cs="宋体"/>
                <w:spacing w:val="10"/>
                <w:sz w:val="20"/>
                <w:szCs w:val="20"/>
              </w:rPr>
              <w:t>) 施工废水经沉淀后回用或用于施工场地洒水降尘，不外排；施工期施工人员生活</w:t>
            </w:r>
            <w:r>
              <w:rPr>
                <w:rFonts w:ascii="宋体" w:hAnsi="宋体" w:eastAsia="宋体" w:cs="宋体"/>
                <w:sz w:val="20"/>
                <w:szCs w:val="20"/>
              </w:rPr>
              <w:t xml:space="preserve"> </w:t>
            </w:r>
            <w:r>
              <w:rPr>
                <w:rFonts w:ascii="宋体" w:hAnsi="宋体" w:eastAsia="宋体" w:cs="宋体"/>
                <w:spacing w:val="17"/>
                <w:sz w:val="20"/>
                <w:szCs w:val="20"/>
              </w:rPr>
              <w:t>污</w:t>
            </w:r>
            <w:r>
              <w:rPr>
                <w:rFonts w:ascii="宋体" w:hAnsi="宋体" w:eastAsia="宋体" w:cs="宋体"/>
                <w:spacing w:val="9"/>
                <w:sz w:val="20"/>
                <w:szCs w:val="20"/>
              </w:rPr>
              <w:t>水进行收集处理，严禁将废水直接排入河内，避免污染河流水质。</w:t>
            </w:r>
          </w:p>
          <w:p>
            <w:pPr>
              <w:spacing w:before="2" w:line="369" w:lineRule="auto"/>
              <w:ind w:left="53" w:right="103" w:firstLine="421"/>
              <w:rPr>
                <w:rFonts w:ascii="宋体" w:hAnsi="宋体" w:eastAsia="宋体" w:cs="宋体"/>
                <w:sz w:val="20"/>
                <w:szCs w:val="20"/>
              </w:rPr>
            </w:pPr>
            <w:r>
              <w:rPr>
                <w:rFonts w:ascii="Times New Roman" w:hAnsi="Times New Roman" w:eastAsia="Times New Roman" w:cs="Times New Roman"/>
                <w:spacing w:val="16"/>
                <w:sz w:val="20"/>
                <w:szCs w:val="20"/>
              </w:rPr>
              <w:t>3</w:t>
            </w:r>
            <w:r>
              <w:rPr>
                <w:rFonts w:ascii="宋体" w:hAnsi="宋体" w:eastAsia="宋体" w:cs="宋体"/>
                <w:spacing w:val="16"/>
                <w:sz w:val="20"/>
                <w:szCs w:val="20"/>
              </w:rPr>
              <w:t>)</w:t>
            </w:r>
            <w:r>
              <w:rPr>
                <w:rFonts w:ascii="宋体" w:hAnsi="宋体" w:eastAsia="宋体" w:cs="宋体"/>
                <w:spacing w:val="15"/>
                <w:sz w:val="20"/>
                <w:szCs w:val="20"/>
              </w:rPr>
              <w:t xml:space="preserve"> </w:t>
            </w:r>
            <w:r>
              <w:rPr>
                <w:rFonts w:ascii="宋体" w:hAnsi="宋体" w:eastAsia="宋体" w:cs="宋体"/>
                <w:spacing w:val="8"/>
                <w:sz w:val="20"/>
                <w:szCs w:val="20"/>
              </w:rPr>
              <w:t>施工围堰的建设和拆除须尽快完成，缩短工期，其对水质产生影响具有阶段性，</w:t>
            </w:r>
            <w:r>
              <w:rPr>
                <w:rFonts w:ascii="宋体" w:hAnsi="宋体" w:eastAsia="宋体" w:cs="宋体"/>
                <w:sz w:val="20"/>
                <w:szCs w:val="20"/>
              </w:rPr>
              <w:t xml:space="preserve"> </w:t>
            </w:r>
            <w:r>
              <w:rPr>
                <w:rFonts w:ascii="宋体" w:hAnsi="宋体" w:eastAsia="宋体" w:cs="宋体"/>
                <w:spacing w:val="12"/>
                <w:sz w:val="20"/>
                <w:szCs w:val="20"/>
              </w:rPr>
              <w:t>施</w:t>
            </w:r>
            <w:r>
              <w:rPr>
                <w:rFonts w:ascii="宋体" w:hAnsi="宋体" w:eastAsia="宋体" w:cs="宋体"/>
                <w:spacing w:val="7"/>
                <w:sz w:val="20"/>
                <w:szCs w:val="20"/>
              </w:rPr>
              <w:t>工</w:t>
            </w:r>
            <w:r>
              <w:rPr>
                <w:rFonts w:ascii="宋体" w:hAnsi="宋体" w:eastAsia="宋体" w:cs="宋体"/>
                <w:spacing w:val="6"/>
                <w:sz w:val="20"/>
                <w:szCs w:val="20"/>
              </w:rPr>
              <w:t xml:space="preserve">结束后水体中 </w:t>
            </w:r>
            <w:r>
              <w:rPr>
                <w:rFonts w:ascii="Times New Roman" w:hAnsi="Times New Roman" w:eastAsia="Times New Roman" w:cs="Times New Roman"/>
                <w:sz w:val="20"/>
                <w:szCs w:val="20"/>
              </w:rPr>
              <w:t>SS</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会逐渐恢复原有水平。</w:t>
            </w:r>
          </w:p>
          <w:p>
            <w:pPr>
              <w:spacing w:before="1" w:line="227" w:lineRule="auto"/>
              <w:ind w:left="469"/>
              <w:rPr>
                <w:rFonts w:ascii="宋体" w:hAnsi="宋体" w:eastAsia="宋体" w:cs="宋体"/>
                <w:sz w:val="20"/>
                <w:szCs w:val="20"/>
              </w:rPr>
            </w:pPr>
            <w:r>
              <w:rPr>
                <w:rFonts w:ascii="Times New Roman" w:hAnsi="Times New Roman" w:eastAsia="Times New Roman" w:cs="Times New Roman"/>
                <w:spacing w:val="15"/>
                <w:sz w:val="20"/>
                <w:szCs w:val="20"/>
              </w:rPr>
              <w:t>4</w:t>
            </w:r>
            <w:r>
              <w:rPr>
                <w:rFonts w:ascii="宋体" w:hAnsi="宋体" w:eastAsia="宋体" w:cs="宋体"/>
                <w:spacing w:val="9"/>
                <w:sz w:val="20"/>
                <w:szCs w:val="20"/>
              </w:rPr>
              <w:t>) 临时堆场应远离水体设置，并采取围挡、遮盖等措施，防止雨水冲刷进入水体。</w:t>
            </w:r>
          </w:p>
          <w:p>
            <w:pPr>
              <w:spacing w:before="153" w:line="369" w:lineRule="auto"/>
              <w:ind w:left="56" w:right="52" w:firstLine="420"/>
              <w:rPr>
                <w:rFonts w:ascii="宋体" w:hAnsi="宋体" w:eastAsia="宋体" w:cs="宋体"/>
                <w:sz w:val="20"/>
                <w:szCs w:val="20"/>
              </w:rPr>
            </w:pPr>
            <w:r>
              <w:rPr>
                <w:rFonts w:ascii="Times New Roman" w:hAnsi="Times New Roman" w:eastAsia="Times New Roman" w:cs="Times New Roman"/>
                <w:spacing w:val="10"/>
                <w:sz w:val="20"/>
                <w:szCs w:val="20"/>
              </w:rPr>
              <w:t>5</w:t>
            </w:r>
            <w:r>
              <w:rPr>
                <w:rFonts w:ascii="宋体" w:hAnsi="宋体" w:eastAsia="宋体" w:cs="宋体"/>
                <w:spacing w:val="10"/>
                <w:sz w:val="20"/>
                <w:szCs w:val="20"/>
              </w:rPr>
              <w:t>) 施工期妥善处理工程固废，严禁直接排入河道；建筑垃圾首先考虑回收利用；</w:t>
            </w:r>
            <w:r>
              <w:rPr>
                <w:rFonts w:ascii="宋体" w:hAnsi="宋体" w:eastAsia="宋体" w:cs="宋体"/>
                <w:spacing w:val="7"/>
                <w:sz w:val="20"/>
                <w:szCs w:val="20"/>
              </w:rPr>
              <w:t>不</w:t>
            </w:r>
            <w:r>
              <w:rPr>
                <w:rFonts w:ascii="宋体" w:hAnsi="宋体" w:eastAsia="宋体" w:cs="宋体"/>
                <w:sz w:val="20"/>
                <w:szCs w:val="20"/>
              </w:rPr>
              <w:t xml:space="preserve"> </w:t>
            </w:r>
            <w:r>
              <w:rPr>
                <w:rFonts w:ascii="宋体" w:hAnsi="宋体" w:eastAsia="宋体" w:cs="宋体"/>
                <w:spacing w:val="14"/>
                <w:sz w:val="20"/>
                <w:szCs w:val="20"/>
              </w:rPr>
              <w:t>能回收</w:t>
            </w:r>
            <w:r>
              <w:rPr>
                <w:rFonts w:ascii="宋体" w:hAnsi="宋体" w:eastAsia="宋体" w:cs="宋体"/>
                <w:spacing w:val="10"/>
                <w:sz w:val="20"/>
                <w:szCs w:val="20"/>
              </w:rPr>
              <w:t>的</w:t>
            </w:r>
            <w:r>
              <w:rPr>
                <w:rFonts w:ascii="宋体" w:hAnsi="宋体" w:eastAsia="宋体" w:cs="宋体"/>
                <w:spacing w:val="7"/>
                <w:sz w:val="20"/>
                <w:szCs w:val="20"/>
              </w:rPr>
              <w:t>建筑垃圾及时清运到指定的倾倒地点处理；施工人员生活垃圾经袋装集中收集后</w:t>
            </w:r>
            <w:r>
              <w:rPr>
                <w:rFonts w:ascii="宋体" w:hAnsi="宋体" w:eastAsia="宋体" w:cs="宋体"/>
                <w:sz w:val="20"/>
                <w:szCs w:val="20"/>
              </w:rPr>
              <w:t xml:space="preserve"> </w:t>
            </w:r>
            <w:r>
              <w:rPr>
                <w:rFonts w:ascii="宋体" w:hAnsi="宋体" w:eastAsia="宋体" w:cs="宋体"/>
                <w:spacing w:val="18"/>
                <w:sz w:val="20"/>
                <w:szCs w:val="20"/>
              </w:rPr>
              <w:t>纳</w:t>
            </w:r>
            <w:r>
              <w:rPr>
                <w:rFonts w:ascii="宋体" w:hAnsi="宋体" w:eastAsia="宋体" w:cs="宋体"/>
                <w:spacing w:val="16"/>
                <w:sz w:val="20"/>
                <w:szCs w:val="20"/>
              </w:rPr>
              <w:t>入</w:t>
            </w:r>
            <w:r>
              <w:rPr>
                <w:rFonts w:ascii="宋体" w:hAnsi="宋体" w:eastAsia="宋体" w:cs="宋体"/>
                <w:spacing w:val="9"/>
                <w:sz w:val="20"/>
                <w:szCs w:val="20"/>
              </w:rPr>
              <w:t>当地生活垃圾收运系统统一清运处置，施工期严禁将各类固体废物弃入河流水体。</w:t>
            </w:r>
          </w:p>
          <w:p>
            <w:pPr>
              <w:spacing w:before="2" w:line="369" w:lineRule="auto"/>
              <w:ind w:left="58" w:right="52" w:firstLine="417"/>
              <w:rPr>
                <w:rFonts w:ascii="宋体" w:hAnsi="宋体" w:eastAsia="宋体" w:cs="宋体"/>
                <w:sz w:val="20"/>
                <w:szCs w:val="20"/>
              </w:rPr>
            </w:pPr>
            <w:r>
              <w:rPr>
                <w:rFonts w:ascii="Times New Roman" w:hAnsi="Times New Roman" w:eastAsia="Times New Roman" w:cs="Times New Roman"/>
                <w:spacing w:val="10"/>
                <w:sz w:val="20"/>
                <w:szCs w:val="20"/>
              </w:rPr>
              <w:t>6</w:t>
            </w:r>
            <w:r>
              <w:rPr>
                <w:rFonts w:ascii="宋体" w:hAnsi="宋体" w:eastAsia="宋体" w:cs="宋体"/>
                <w:spacing w:val="10"/>
                <w:sz w:val="20"/>
                <w:szCs w:val="20"/>
              </w:rPr>
              <w:t>) 机械施工及运输车辆在河道附近时应减速慢行，保证安全通行，防止交通事故</w:t>
            </w:r>
            <w:r>
              <w:rPr>
                <w:rFonts w:ascii="宋体" w:hAnsi="宋体" w:eastAsia="宋体" w:cs="宋体"/>
                <w:spacing w:val="8"/>
                <w:sz w:val="20"/>
                <w:szCs w:val="20"/>
              </w:rPr>
              <w:t>污</w:t>
            </w:r>
            <w:r>
              <w:rPr>
                <w:rFonts w:ascii="宋体" w:hAnsi="宋体" w:eastAsia="宋体" w:cs="宋体"/>
                <w:sz w:val="20"/>
                <w:szCs w:val="20"/>
              </w:rPr>
              <w:t xml:space="preserve"> </w:t>
            </w:r>
            <w:r>
              <w:rPr>
                <w:rFonts w:ascii="宋体" w:hAnsi="宋体" w:eastAsia="宋体" w:cs="宋体"/>
                <w:spacing w:val="7"/>
                <w:sz w:val="20"/>
                <w:szCs w:val="20"/>
              </w:rPr>
              <w:t>染</w:t>
            </w:r>
            <w:r>
              <w:rPr>
                <w:rFonts w:ascii="宋体" w:hAnsi="宋体" w:eastAsia="宋体" w:cs="宋体"/>
                <w:spacing w:val="6"/>
                <w:sz w:val="20"/>
                <w:szCs w:val="20"/>
              </w:rPr>
              <w:t>河流水质。</w:t>
            </w:r>
          </w:p>
          <w:p>
            <w:pPr>
              <w:spacing w:line="228" w:lineRule="auto"/>
              <w:ind w:left="474"/>
              <w:rPr>
                <w:rFonts w:ascii="宋体" w:hAnsi="宋体" w:eastAsia="宋体" w:cs="宋体"/>
                <w:sz w:val="20"/>
                <w:szCs w:val="20"/>
              </w:rPr>
            </w:pPr>
            <w:r>
              <w:rPr>
                <w:rFonts w:ascii="Times New Roman" w:hAnsi="Times New Roman" w:eastAsia="Times New Roman" w:cs="Times New Roman"/>
                <w:spacing w:val="16"/>
                <w:sz w:val="20"/>
                <w:szCs w:val="20"/>
              </w:rPr>
              <w:t>7</w:t>
            </w:r>
            <w:r>
              <w:rPr>
                <w:rFonts w:ascii="宋体" w:hAnsi="宋体" w:eastAsia="宋体" w:cs="宋体"/>
                <w:spacing w:val="16"/>
                <w:sz w:val="20"/>
                <w:szCs w:val="20"/>
              </w:rPr>
              <w:t>)</w:t>
            </w:r>
            <w:r>
              <w:rPr>
                <w:rFonts w:ascii="宋体" w:hAnsi="宋体" w:eastAsia="宋体" w:cs="宋体"/>
                <w:spacing w:val="8"/>
                <w:sz w:val="20"/>
                <w:szCs w:val="20"/>
              </w:rPr>
              <w:t xml:space="preserve"> 加强施工环境监理工作，增强施工人员的环保意识。</w:t>
            </w:r>
          </w:p>
          <w:p>
            <w:pPr>
              <w:spacing w:before="151" w:line="227" w:lineRule="auto"/>
              <w:ind w:left="476"/>
              <w:rPr>
                <w:rFonts w:ascii="宋体" w:hAnsi="宋体" w:eastAsia="宋体" w:cs="宋体"/>
                <w:sz w:val="20"/>
                <w:szCs w:val="20"/>
              </w:rPr>
            </w:pPr>
            <w:r>
              <w:rPr>
                <w:rFonts w:ascii="宋体" w:hAnsi="宋体" w:eastAsia="宋体" w:cs="宋体"/>
                <w:spacing w:val="18"/>
                <w:sz w:val="20"/>
                <w:szCs w:val="20"/>
              </w:rPr>
              <w:t>经</w:t>
            </w:r>
            <w:r>
              <w:rPr>
                <w:rFonts w:ascii="宋体" w:hAnsi="宋体" w:eastAsia="宋体" w:cs="宋体"/>
                <w:spacing w:val="14"/>
                <w:sz w:val="20"/>
                <w:szCs w:val="20"/>
              </w:rPr>
              <w:t>采</w:t>
            </w:r>
            <w:r>
              <w:rPr>
                <w:rFonts w:ascii="宋体" w:hAnsi="宋体" w:eastAsia="宋体" w:cs="宋体"/>
                <w:spacing w:val="9"/>
                <w:sz w:val="20"/>
                <w:szCs w:val="20"/>
              </w:rPr>
              <w:t>取以上措施后，项目施工期对河流水质影响较小，且随着施工的结束而消除。</w:t>
            </w:r>
          </w:p>
        </w:tc>
      </w:tr>
    </w:tbl>
    <w:p>
      <w:pPr>
        <w:spacing w:line="138" w:lineRule="exact"/>
        <w:rPr>
          <w:rFonts w:ascii="Arial"/>
          <w:sz w:val="12"/>
        </w:rPr>
      </w:pPr>
    </w:p>
    <w:p>
      <w:pPr>
        <w:sectPr>
          <w:footerReference r:id="rId95" w:type="default"/>
          <w:pgSz w:w="11907" w:h="16840"/>
          <w:pgMar w:top="400" w:right="1476" w:bottom="1477" w:left="1475" w:header="0" w:footer="1317" w:gutter="0"/>
          <w:cols w:space="720" w:num="1"/>
        </w:sectPr>
      </w:pPr>
    </w:p>
    <w:p/>
    <w:p/>
    <w:p/>
    <w:p/>
    <w:p>
      <w:pPr>
        <w:spacing w:line="221" w:lineRule="exact"/>
      </w:pPr>
    </w:p>
    <w:tbl>
      <w:tblPr>
        <w:tblStyle w:val="4"/>
        <w:tblW w:w="894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82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7" w:hRule="atLeast"/>
        </w:trPr>
        <w:tc>
          <w:tcPr>
            <w:tcW w:w="724" w:type="dxa"/>
            <w:tcBorders>
              <w:left w:val="single" w:color="000000" w:sz="6" w:space="0"/>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5" w:line="228" w:lineRule="auto"/>
              <w:ind w:left="130"/>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运</w:t>
            </w:r>
            <w:r>
              <w:rPr>
                <w:rFonts w:ascii="宋体" w:hAnsi="宋体" w:eastAsia="宋体" w:cs="宋体"/>
                <w:spacing w:val="15"/>
                <w:sz w:val="20"/>
                <w:szCs w:val="20"/>
                <w14:textOutline w14:w="3795" w14:cap="sq" w14:cmpd="sng">
                  <w14:solidFill>
                    <w14:srgbClr w14:val="000000"/>
                  </w14:solidFill>
                  <w14:prstDash w14:val="solid"/>
                  <w14:bevel/>
                </w14:textOutline>
              </w:rPr>
              <w:t>营</w:t>
            </w:r>
          </w:p>
          <w:p>
            <w:pPr>
              <w:spacing w:before="24" w:line="228" w:lineRule="auto"/>
              <w:ind w:left="133"/>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期生</w:t>
            </w:r>
          </w:p>
          <w:p>
            <w:pPr>
              <w:spacing w:before="25" w:line="230" w:lineRule="auto"/>
              <w:ind w:left="130"/>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态</w:t>
            </w:r>
            <w:r>
              <w:rPr>
                <w:rFonts w:ascii="宋体" w:hAnsi="宋体" w:eastAsia="宋体" w:cs="宋体"/>
                <w:spacing w:val="15"/>
                <w:sz w:val="20"/>
                <w:szCs w:val="20"/>
                <w14:textOutline w14:w="3795" w14:cap="sq" w14:cmpd="sng">
                  <w14:solidFill>
                    <w14:srgbClr w14:val="000000"/>
                  </w14:solidFill>
                  <w14:prstDash w14:val="solid"/>
                  <w14:bevel/>
                </w14:textOutline>
              </w:rPr>
              <w:t>环</w:t>
            </w:r>
          </w:p>
          <w:p>
            <w:pPr>
              <w:spacing w:before="25" w:line="228" w:lineRule="auto"/>
              <w:ind w:left="131"/>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境保</w:t>
            </w:r>
          </w:p>
          <w:p>
            <w:pPr>
              <w:spacing w:before="24" w:line="228" w:lineRule="auto"/>
              <w:ind w:left="131"/>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护措</w:t>
            </w:r>
          </w:p>
          <w:p>
            <w:pPr>
              <w:spacing w:before="25" w:line="231" w:lineRule="auto"/>
              <w:ind w:left="244"/>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施</w:t>
            </w:r>
          </w:p>
        </w:tc>
        <w:tc>
          <w:tcPr>
            <w:tcW w:w="8216" w:type="dxa"/>
            <w:tcBorders>
              <w:right w:val="single" w:color="000000" w:sz="6" w:space="0"/>
            </w:tcBorders>
            <w:vAlign w:val="top"/>
          </w:tcPr>
          <w:p>
            <w:pPr>
              <w:spacing w:before="153" w:line="242" w:lineRule="auto"/>
              <w:ind w:left="123"/>
              <w:rPr>
                <w:rFonts w:ascii="黑体" w:hAnsi="黑体" w:eastAsia="黑体" w:cs="黑体"/>
                <w:sz w:val="20"/>
                <w:szCs w:val="20"/>
              </w:rPr>
            </w:pPr>
            <w:r>
              <w:rPr>
                <w:rFonts w:ascii="Times New Roman" w:hAnsi="Times New Roman" w:eastAsia="Times New Roman" w:cs="Times New Roman"/>
                <w:spacing w:val="2"/>
                <w:sz w:val="20"/>
                <w:szCs w:val="20"/>
              </w:rPr>
              <w:t xml:space="preserve">1 </w:t>
            </w:r>
            <w:r>
              <w:rPr>
                <w:rFonts w:ascii="黑体" w:hAnsi="黑体" w:eastAsia="黑体" w:cs="黑体"/>
                <w:spacing w:val="2"/>
                <w:sz w:val="20"/>
                <w:szCs w:val="20"/>
              </w:rPr>
              <w:t>、生态环</w:t>
            </w:r>
            <w:r>
              <w:rPr>
                <w:rFonts w:ascii="黑体" w:hAnsi="黑体" w:eastAsia="黑体" w:cs="黑体"/>
                <w:spacing w:val="1"/>
                <w:sz w:val="20"/>
                <w:szCs w:val="20"/>
              </w:rPr>
              <w:t>境保护措施</w:t>
            </w:r>
          </w:p>
          <w:p>
            <w:pPr>
              <w:spacing w:before="138" w:line="228" w:lineRule="auto"/>
              <w:ind w:left="537"/>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6"/>
                <w:sz w:val="20"/>
                <w:szCs w:val="20"/>
              </w:rPr>
              <w:t>1</w:t>
            </w: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宋体" w:hAnsi="宋体" w:eastAsia="宋体" w:cs="宋体"/>
                <w:spacing w:val="16"/>
                <w:sz w:val="20"/>
                <w:szCs w:val="20"/>
              </w:rPr>
              <w:t xml:space="preserve"> </w:t>
            </w:r>
            <w:r>
              <w:rPr>
                <w:rFonts w:ascii="宋体" w:hAnsi="宋体" w:eastAsia="宋体" w:cs="宋体"/>
                <w:spacing w:val="16"/>
                <w:sz w:val="20"/>
                <w:szCs w:val="20"/>
                <w14:textOutline w14:w="3795" w14:cap="sq" w14:cmpd="sng">
                  <w14:solidFill>
                    <w14:srgbClr w14:val="000000"/>
                  </w14:solidFill>
                  <w14:prstDash w14:val="solid"/>
                  <w14:bevel/>
                </w14:textOutline>
              </w:rPr>
              <w:t>陆生植物保护措施</w:t>
            </w:r>
          </w:p>
          <w:p>
            <w:pPr>
              <w:spacing w:before="154" w:line="369" w:lineRule="auto"/>
              <w:ind w:left="102" w:right="126" w:firstLine="450"/>
              <w:rPr>
                <w:rFonts w:ascii="宋体" w:hAnsi="宋体" w:eastAsia="宋体" w:cs="宋体"/>
                <w:sz w:val="20"/>
                <w:szCs w:val="20"/>
              </w:rPr>
            </w:pPr>
            <w:r>
              <w:rPr>
                <w:rFonts w:ascii="宋体" w:hAnsi="宋体" w:eastAsia="宋体" w:cs="宋体"/>
                <w:spacing w:val="9"/>
                <w:sz w:val="20"/>
                <w:szCs w:val="20"/>
              </w:rPr>
              <w:t>由于新建桥梁导致桥下空间不利于部分植物生长，项目需对桥下空间植被进行重新</w:t>
            </w:r>
            <w:r>
              <w:rPr>
                <w:rFonts w:ascii="宋体" w:hAnsi="宋体" w:eastAsia="宋体" w:cs="宋体"/>
                <w:sz w:val="20"/>
                <w:szCs w:val="20"/>
              </w:rPr>
              <w:t xml:space="preserve"> </w:t>
            </w:r>
            <w:r>
              <w:rPr>
                <w:rFonts w:ascii="宋体" w:hAnsi="宋体" w:eastAsia="宋体" w:cs="宋体"/>
                <w:spacing w:val="10"/>
                <w:sz w:val="20"/>
                <w:szCs w:val="20"/>
              </w:rPr>
              <w:t>设计，拟根据新建桥梁桥下空间进行统一规划设计，采用耐阴耐湿的乔灌木品种对绿</w:t>
            </w:r>
            <w:r>
              <w:rPr>
                <w:rFonts w:ascii="宋体" w:hAnsi="宋体" w:eastAsia="宋体" w:cs="宋体"/>
                <w:spacing w:val="4"/>
                <w:sz w:val="20"/>
                <w:szCs w:val="20"/>
              </w:rPr>
              <w:t>化</w:t>
            </w:r>
            <w:r>
              <w:rPr>
                <w:rFonts w:ascii="宋体" w:hAnsi="宋体" w:eastAsia="宋体" w:cs="宋体"/>
                <w:sz w:val="20"/>
                <w:szCs w:val="20"/>
              </w:rPr>
              <w:t xml:space="preserve"> </w:t>
            </w:r>
            <w:r>
              <w:rPr>
                <w:rFonts w:ascii="宋体" w:hAnsi="宋体" w:eastAsia="宋体" w:cs="宋体"/>
                <w:spacing w:val="10"/>
                <w:sz w:val="20"/>
                <w:szCs w:val="20"/>
              </w:rPr>
              <w:t>空间进行重塑。严格按苗木表规格购苗，应选择根系发达，枝干健壮，树形优美，无</w:t>
            </w:r>
            <w:r>
              <w:rPr>
                <w:rFonts w:ascii="宋体" w:hAnsi="宋体" w:eastAsia="宋体" w:cs="宋体"/>
                <w:spacing w:val="4"/>
                <w:sz w:val="20"/>
                <w:szCs w:val="20"/>
              </w:rPr>
              <w:t>病</w:t>
            </w:r>
            <w:r>
              <w:rPr>
                <w:rFonts w:ascii="宋体" w:hAnsi="宋体" w:eastAsia="宋体" w:cs="宋体"/>
                <w:sz w:val="20"/>
                <w:szCs w:val="20"/>
              </w:rPr>
              <w:t xml:space="preserve"> </w:t>
            </w:r>
            <w:r>
              <w:rPr>
                <w:rFonts w:ascii="宋体" w:hAnsi="宋体" w:eastAsia="宋体" w:cs="宋体"/>
                <w:spacing w:val="10"/>
                <w:sz w:val="20"/>
                <w:szCs w:val="20"/>
              </w:rPr>
              <w:t>虫害的苗木，大苗移植尽量减少截枝量，严禁出现没枝的单干树木，乔木分枝点不少</w:t>
            </w:r>
            <w:r>
              <w:rPr>
                <w:rFonts w:ascii="宋体" w:hAnsi="宋体" w:eastAsia="宋体" w:cs="宋体"/>
                <w:spacing w:val="6"/>
                <w:sz w:val="20"/>
                <w:szCs w:val="20"/>
              </w:rPr>
              <w:t>于</w:t>
            </w:r>
            <w:r>
              <w:rPr>
                <w:rFonts w:ascii="宋体" w:hAnsi="宋体" w:eastAsia="宋体" w:cs="宋体"/>
                <w:sz w:val="20"/>
                <w:szCs w:val="20"/>
              </w:rPr>
              <w:t xml:space="preserve"> </w:t>
            </w: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 xml:space="preserve">个。树型特殊的树种，分枝必须有 </w:t>
            </w: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层以上</w:t>
            </w:r>
            <w:r>
              <w:rPr>
                <w:rFonts w:ascii="宋体" w:hAnsi="宋体" w:eastAsia="宋体" w:cs="宋体"/>
                <w:spacing w:val="3"/>
                <w:sz w:val="20"/>
                <w:szCs w:val="20"/>
              </w:rPr>
              <w:t>。</w:t>
            </w:r>
          </w:p>
          <w:p>
            <w:pPr>
              <w:spacing w:line="369" w:lineRule="auto"/>
              <w:ind w:left="107" w:right="126" w:firstLine="419"/>
              <w:rPr>
                <w:rFonts w:ascii="宋体" w:hAnsi="宋体" w:eastAsia="宋体" w:cs="宋体"/>
                <w:sz w:val="20"/>
                <w:szCs w:val="20"/>
              </w:rPr>
            </w:pPr>
            <w:r>
              <w:rPr>
                <w:rFonts w:ascii="宋体" w:hAnsi="宋体" w:eastAsia="宋体" w:cs="宋体"/>
                <w:spacing w:val="18"/>
                <w:sz w:val="20"/>
                <w:szCs w:val="20"/>
              </w:rPr>
              <w:t>道路管</w:t>
            </w:r>
            <w:r>
              <w:rPr>
                <w:rFonts w:ascii="宋体" w:hAnsi="宋体" w:eastAsia="宋体" w:cs="宋体"/>
                <w:spacing w:val="10"/>
                <w:sz w:val="20"/>
                <w:szCs w:val="20"/>
              </w:rPr>
              <w:t>理</w:t>
            </w:r>
            <w:r>
              <w:rPr>
                <w:rFonts w:ascii="宋体" w:hAnsi="宋体" w:eastAsia="宋体" w:cs="宋体"/>
                <w:spacing w:val="9"/>
                <w:sz w:val="20"/>
                <w:szCs w:val="20"/>
              </w:rPr>
              <w:t>及养护部门应加强管理和宣传教育，确保公路绿化林带不受破坏。加强营</w:t>
            </w:r>
            <w:r>
              <w:rPr>
                <w:rFonts w:ascii="宋体" w:hAnsi="宋体" w:eastAsia="宋体" w:cs="宋体"/>
                <w:sz w:val="20"/>
                <w:szCs w:val="20"/>
              </w:rPr>
              <w:t xml:space="preserve"> </w:t>
            </w:r>
            <w:r>
              <w:rPr>
                <w:rFonts w:ascii="宋体" w:hAnsi="宋体" w:eastAsia="宋体" w:cs="宋体"/>
                <w:spacing w:val="18"/>
                <w:sz w:val="20"/>
                <w:szCs w:val="20"/>
              </w:rPr>
              <w:t>运期管</w:t>
            </w:r>
            <w:r>
              <w:rPr>
                <w:rFonts w:ascii="宋体" w:hAnsi="宋体" w:eastAsia="宋体" w:cs="宋体"/>
                <w:spacing w:val="9"/>
                <w:sz w:val="20"/>
                <w:szCs w:val="20"/>
              </w:rPr>
              <w:t>理，保证各项工程设施完好和确保安全生产是生态保护最基本的措施，提高环境</w:t>
            </w:r>
            <w:r>
              <w:rPr>
                <w:rFonts w:ascii="宋体" w:hAnsi="宋体" w:eastAsia="宋体" w:cs="宋体"/>
                <w:sz w:val="20"/>
                <w:szCs w:val="20"/>
              </w:rPr>
              <w:t xml:space="preserve"> </w:t>
            </w:r>
            <w:r>
              <w:rPr>
                <w:rFonts w:ascii="宋体" w:hAnsi="宋体" w:eastAsia="宋体" w:cs="宋体"/>
                <w:spacing w:val="12"/>
                <w:sz w:val="20"/>
                <w:szCs w:val="20"/>
              </w:rPr>
              <w:t>管</w:t>
            </w:r>
            <w:r>
              <w:rPr>
                <w:rFonts w:ascii="宋体" w:hAnsi="宋体" w:eastAsia="宋体" w:cs="宋体"/>
                <w:spacing w:val="8"/>
                <w:sz w:val="20"/>
                <w:szCs w:val="20"/>
              </w:rPr>
              <w:t>理水平，杜绝环境事故。</w:t>
            </w:r>
          </w:p>
          <w:p>
            <w:pPr>
              <w:spacing w:before="2" w:line="368" w:lineRule="auto"/>
              <w:ind w:left="108" w:right="129" w:firstLine="424"/>
              <w:rPr>
                <w:rFonts w:ascii="宋体" w:hAnsi="宋体" w:eastAsia="宋体" w:cs="宋体"/>
                <w:sz w:val="20"/>
                <w:szCs w:val="20"/>
              </w:rPr>
            </w:pPr>
            <w:r>
              <w:rPr>
                <w:rFonts w:ascii="宋体" w:hAnsi="宋体" w:eastAsia="宋体" w:cs="宋体"/>
                <w:spacing w:val="18"/>
                <w:sz w:val="20"/>
                <w:szCs w:val="20"/>
              </w:rPr>
              <w:t>定期</w:t>
            </w:r>
            <w:r>
              <w:rPr>
                <w:rFonts w:ascii="宋体" w:hAnsi="宋体" w:eastAsia="宋体" w:cs="宋体"/>
                <w:spacing w:val="11"/>
                <w:sz w:val="20"/>
                <w:szCs w:val="20"/>
              </w:rPr>
              <w:t>检</w:t>
            </w:r>
            <w:r>
              <w:rPr>
                <w:rFonts w:ascii="宋体" w:hAnsi="宋体" w:eastAsia="宋体" w:cs="宋体"/>
                <w:spacing w:val="9"/>
                <w:sz w:val="20"/>
                <w:szCs w:val="20"/>
              </w:rPr>
              <w:t>查桥下植被生长情况，对植被恢复较差的区域及时补栽或调整恢复方案，确</w:t>
            </w:r>
            <w:r>
              <w:rPr>
                <w:rFonts w:ascii="宋体" w:hAnsi="宋体" w:eastAsia="宋体" w:cs="宋体"/>
                <w:sz w:val="20"/>
                <w:szCs w:val="20"/>
              </w:rPr>
              <w:t xml:space="preserve"> </w:t>
            </w:r>
            <w:r>
              <w:rPr>
                <w:rFonts w:ascii="宋体" w:hAnsi="宋体" w:eastAsia="宋体" w:cs="宋体"/>
                <w:spacing w:val="11"/>
                <w:sz w:val="20"/>
                <w:szCs w:val="20"/>
              </w:rPr>
              <w:t>保</w:t>
            </w:r>
            <w:r>
              <w:rPr>
                <w:rFonts w:ascii="宋体" w:hAnsi="宋体" w:eastAsia="宋体" w:cs="宋体"/>
                <w:spacing w:val="7"/>
                <w:sz w:val="20"/>
                <w:szCs w:val="20"/>
              </w:rPr>
              <w:t>植被恢复效果。</w:t>
            </w:r>
          </w:p>
          <w:p>
            <w:pPr>
              <w:spacing w:before="1" w:line="228" w:lineRule="auto"/>
              <w:ind w:left="537"/>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6"/>
                <w:sz w:val="20"/>
                <w:szCs w:val="20"/>
              </w:rPr>
              <w:t>2</w:t>
            </w: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宋体" w:hAnsi="宋体" w:eastAsia="宋体" w:cs="宋体"/>
                <w:spacing w:val="16"/>
                <w:sz w:val="20"/>
                <w:szCs w:val="20"/>
              </w:rPr>
              <w:t xml:space="preserve"> </w:t>
            </w:r>
            <w:r>
              <w:rPr>
                <w:rFonts w:ascii="宋体" w:hAnsi="宋体" w:eastAsia="宋体" w:cs="宋体"/>
                <w:spacing w:val="16"/>
                <w:sz w:val="20"/>
                <w:szCs w:val="20"/>
                <w14:textOutline w14:w="3795" w14:cap="sq" w14:cmpd="sng">
                  <w14:solidFill>
                    <w14:srgbClr w14:val="000000"/>
                  </w14:solidFill>
                  <w14:prstDash w14:val="solid"/>
                  <w14:bevel/>
                </w14:textOutline>
              </w:rPr>
              <w:t>陆生动物保护措施</w:t>
            </w:r>
          </w:p>
          <w:p>
            <w:pPr>
              <w:spacing w:before="153" w:line="227" w:lineRule="auto"/>
              <w:ind w:left="528"/>
              <w:rPr>
                <w:rFonts w:ascii="宋体" w:hAnsi="宋体" w:eastAsia="宋体" w:cs="宋体"/>
                <w:sz w:val="20"/>
                <w:szCs w:val="20"/>
              </w:rPr>
            </w:pPr>
            <w:r>
              <w:rPr>
                <w:rFonts w:ascii="宋体" w:hAnsi="宋体" w:eastAsia="宋体" w:cs="宋体"/>
                <w:spacing w:val="10"/>
                <w:sz w:val="20"/>
                <w:szCs w:val="20"/>
              </w:rPr>
              <w:t>本</w:t>
            </w:r>
            <w:r>
              <w:rPr>
                <w:rFonts w:ascii="宋体" w:hAnsi="宋体" w:eastAsia="宋体" w:cs="宋体"/>
                <w:spacing w:val="9"/>
                <w:sz w:val="20"/>
                <w:szCs w:val="20"/>
              </w:rPr>
              <w:t>项目位于城市开发区，影响区无陆生动物出没。</w:t>
            </w:r>
          </w:p>
          <w:p>
            <w:pPr>
              <w:spacing w:before="155" w:line="228" w:lineRule="auto"/>
              <w:ind w:left="537"/>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6"/>
                <w:sz w:val="20"/>
                <w:szCs w:val="20"/>
              </w:rPr>
              <w:t>3</w:t>
            </w: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宋体" w:hAnsi="宋体" w:eastAsia="宋体" w:cs="宋体"/>
                <w:spacing w:val="16"/>
                <w:sz w:val="20"/>
                <w:szCs w:val="20"/>
              </w:rPr>
              <w:t xml:space="preserve"> </w:t>
            </w:r>
            <w:r>
              <w:rPr>
                <w:rFonts w:ascii="宋体" w:hAnsi="宋体" w:eastAsia="宋体" w:cs="宋体"/>
                <w:spacing w:val="16"/>
                <w:sz w:val="20"/>
                <w:szCs w:val="20"/>
                <w14:textOutline w14:w="3795" w14:cap="sq" w14:cmpd="sng">
                  <w14:solidFill>
                    <w14:srgbClr w14:val="000000"/>
                  </w14:solidFill>
                  <w14:prstDash w14:val="solid"/>
                  <w14:bevel/>
                </w14:textOutline>
              </w:rPr>
              <w:t>水生生物保护措施</w:t>
            </w:r>
          </w:p>
          <w:p>
            <w:pPr>
              <w:spacing w:before="149" w:line="370" w:lineRule="auto"/>
              <w:ind w:left="106" w:right="126" w:firstLine="420"/>
              <w:rPr>
                <w:rFonts w:ascii="宋体" w:hAnsi="宋体" w:eastAsia="宋体" w:cs="宋体"/>
                <w:sz w:val="20"/>
                <w:szCs w:val="20"/>
              </w:rPr>
            </w:pPr>
            <w:r>
              <w:rPr>
                <w:rFonts w:ascii="宋体" w:hAnsi="宋体" w:eastAsia="宋体" w:cs="宋体"/>
                <w:spacing w:val="18"/>
                <w:sz w:val="20"/>
                <w:szCs w:val="20"/>
              </w:rPr>
              <w:t>根据项</w:t>
            </w:r>
            <w:r>
              <w:rPr>
                <w:rFonts w:ascii="宋体" w:hAnsi="宋体" w:eastAsia="宋体" w:cs="宋体"/>
                <w:spacing w:val="10"/>
                <w:sz w:val="20"/>
                <w:szCs w:val="20"/>
              </w:rPr>
              <w:t>目</w:t>
            </w:r>
            <w:r>
              <w:rPr>
                <w:rFonts w:ascii="宋体" w:hAnsi="宋体" w:eastAsia="宋体" w:cs="宋体"/>
                <w:spacing w:val="9"/>
                <w:sz w:val="20"/>
                <w:szCs w:val="20"/>
              </w:rPr>
              <w:t>水生生态专题报告结论，在运营期间，高家坝大桥产生的噪声、震动、永</w:t>
            </w:r>
            <w:r>
              <w:rPr>
                <w:rFonts w:ascii="宋体" w:hAnsi="宋体" w:eastAsia="宋体" w:cs="宋体"/>
                <w:sz w:val="20"/>
                <w:szCs w:val="20"/>
              </w:rPr>
              <w:t xml:space="preserve"> </w:t>
            </w:r>
            <w:r>
              <w:rPr>
                <w:rFonts w:ascii="宋体" w:hAnsi="宋体" w:eastAsia="宋体" w:cs="宋体"/>
                <w:spacing w:val="18"/>
                <w:sz w:val="20"/>
                <w:szCs w:val="20"/>
              </w:rPr>
              <w:t>久占</w:t>
            </w:r>
            <w:r>
              <w:rPr>
                <w:rFonts w:ascii="宋体" w:hAnsi="宋体" w:eastAsia="宋体" w:cs="宋体"/>
                <w:spacing w:val="9"/>
                <w:sz w:val="20"/>
                <w:szCs w:val="20"/>
              </w:rPr>
              <w:t xml:space="preserve">用河道将对大桥桥址上、下游各 </w:t>
            </w:r>
            <w:r>
              <w:rPr>
                <w:rFonts w:ascii="Times New Roman" w:hAnsi="Times New Roman" w:eastAsia="Times New Roman" w:cs="Times New Roman"/>
                <w:spacing w:val="9"/>
                <w:sz w:val="20"/>
                <w:szCs w:val="20"/>
              </w:rPr>
              <w:t>500</w:t>
            </w:r>
            <w:r>
              <w:rPr>
                <w:rFonts w:ascii="Times New Roman" w:hAnsi="Times New Roman" w:eastAsia="Times New Roman" w:cs="Times New Roman"/>
                <w:sz w:val="20"/>
                <w:szCs w:val="20"/>
              </w:rPr>
              <w:t>m</w:t>
            </w:r>
            <w:r>
              <w:rPr>
                <w:rFonts w:ascii="宋体" w:hAnsi="宋体" w:eastAsia="宋体" w:cs="宋体"/>
                <w:spacing w:val="9"/>
                <w:sz w:val="20"/>
                <w:szCs w:val="20"/>
              </w:rPr>
              <w:t>河段产生一定影响，鱼类及其他水生生物需</w:t>
            </w:r>
            <w:r>
              <w:rPr>
                <w:rFonts w:ascii="宋体" w:hAnsi="宋体" w:eastAsia="宋体" w:cs="宋体"/>
                <w:sz w:val="20"/>
                <w:szCs w:val="20"/>
              </w:rPr>
              <w:t xml:space="preserve"> </w:t>
            </w:r>
            <w:r>
              <w:rPr>
                <w:rFonts w:ascii="宋体" w:hAnsi="宋体" w:eastAsia="宋体" w:cs="宋体"/>
                <w:spacing w:val="18"/>
                <w:sz w:val="20"/>
                <w:szCs w:val="20"/>
              </w:rPr>
              <w:t>逐步适</w:t>
            </w:r>
            <w:r>
              <w:rPr>
                <w:rFonts w:ascii="宋体" w:hAnsi="宋体" w:eastAsia="宋体" w:cs="宋体"/>
                <w:spacing w:val="10"/>
                <w:sz w:val="20"/>
                <w:szCs w:val="20"/>
              </w:rPr>
              <w:t>应</w:t>
            </w:r>
            <w:r>
              <w:rPr>
                <w:rFonts w:ascii="宋体" w:hAnsi="宋体" w:eastAsia="宋体" w:cs="宋体"/>
                <w:spacing w:val="9"/>
                <w:sz w:val="20"/>
                <w:szCs w:val="20"/>
              </w:rPr>
              <w:t>；高家坝大桥的桥址所在河道是主城区景观湖尾水段和罗江口水电站减水河段</w:t>
            </w:r>
            <w:r>
              <w:rPr>
                <w:rFonts w:ascii="宋体" w:hAnsi="宋体" w:eastAsia="宋体" w:cs="宋体"/>
                <w:sz w:val="20"/>
                <w:szCs w:val="20"/>
              </w:rPr>
              <w:t xml:space="preserve"> </w:t>
            </w:r>
            <w:r>
              <w:rPr>
                <w:rFonts w:ascii="宋体" w:hAnsi="宋体" w:eastAsia="宋体" w:cs="宋体"/>
                <w:spacing w:val="18"/>
                <w:sz w:val="20"/>
                <w:szCs w:val="20"/>
              </w:rPr>
              <w:t>尾端的</w:t>
            </w:r>
            <w:r>
              <w:rPr>
                <w:rFonts w:ascii="宋体" w:hAnsi="宋体" w:eastAsia="宋体" w:cs="宋体"/>
                <w:spacing w:val="10"/>
                <w:sz w:val="20"/>
                <w:szCs w:val="20"/>
              </w:rPr>
              <w:t>结</w:t>
            </w:r>
            <w:r>
              <w:rPr>
                <w:rFonts w:ascii="宋体" w:hAnsi="宋体" w:eastAsia="宋体" w:cs="宋体"/>
                <w:spacing w:val="9"/>
                <w:sz w:val="20"/>
                <w:szCs w:val="20"/>
              </w:rPr>
              <w:t>合部，河面较宽、河水浅，受电站发电尾水影响水位、流速波动大，因此不涉</w:t>
            </w:r>
            <w:r>
              <w:rPr>
                <w:rFonts w:ascii="宋体" w:hAnsi="宋体" w:eastAsia="宋体" w:cs="宋体"/>
                <w:sz w:val="20"/>
                <w:szCs w:val="20"/>
              </w:rPr>
              <w:t xml:space="preserve"> </w:t>
            </w:r>
            <w:r>
              <w:rPr>
                <w:rFonts w:ascii="宋体" w:hAnsi="宋体" w:eastAsia="宋体" w:cs="宋体"/>
                <w:spacing w:val="12"/>
                <w:sz w:val="20"/>
                <w:szCs w:val="20"/>
              </w:rPr>
              <w:t>及</w:t>
            </w:r>
            <w:r>
              <w:rPr>
                <w:rFonts w:ascii="宋体" w:hAnsi="宋体" w:eastAsia="宋体" w:cs="宋体"/>
                <w:spacing w:val="11"/>
                <w:sz w:val="20"/>
                <w:szCs w:val="20"/>
              </w:rPr>
              <w:t>鱼</w:t>
            </w:r>
            <w:r>
              <w:rPr>
                <w:rFonts w:ascii="宋体" w:hAnsi="宋体" w:eastAsia="宋体" w:cs="宋体"/>
                <w:spacing w:val="6"/>
                <w:sz w:val="20"/>
                <w:szCs w:val="20"/>
              </w:rPr>
              <w:t>类</w:t>
            </w:r>
            <w:r>
              <w:rPr>
                <w:rFonts w:ascii="Times New Roman" w:hAnsi="Times New Roman" w:eastAsia="Times New Roman" w:cs="Times New Roman"/>
                <w:spacing w:val="6"/>
                <w:sz w:val="20"/>
                <w:szCs w:val="20"/>
              </w:rPr>
              <w:t>“</w:t>
            </w:r>
            <w:r>
              <w:rPr>
                <w:rFonts w:ascii="宋体" w:hAnsi="宋体" w:eastAsia="宋体" w:cs="宋体"/>
                <w:spacing w:val="6"/>
                <w:sz w:val="20"/>
                <w:szCs w:val="20"/>
              </w:rPr>
              <w:t>三场</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，桥墩对鱼类</w:t>
            </w:r>
            <w:r>
              <w:rPr>
                <w:rFonts w:ascii="Times New Roman" w:hAnsi="Times New Roman" w:eastAsia="Times New Roman" w:cs="Times New Roman"/>
                <w:spacing w:val="6"/>
                <w:sz w:val="20"/>
                <w:szCs w:val="20"/>
              </w:rPr>
              <w:t>“</w:t>
            </w:r>
            <w:r>
              <w:rPr>
                <w:rFonts w:ascii="宋体" w:hAnsi="宋体" w:eastAsia="宋体" w:cs="宋体"/>
                <w:spacing w:val="6"/>
                <w:sz w:val="20"/>
                <w:szCs w:val="20"/>
              </w:rPr>
              <w:t>洄游通道</w:t>
            </w:r>
            <w:r>
              <w:rPr>
                <w:rFonts w:ascii="Times New Roman" w:hAnsi="Times New Roman" w:eastAsia="Times New Roman" w:cs="Times New Roman"/>
                <w:spacing w:val="6"/>
                <w:sz w:val="20"/>
                <w:szCs w:val="20"/>
              </w:rPr>
              <w:t>”</w:t>
            </w:r>
            <w:r>
              <w:rPr>
                <w:rFonts w:ascii="宋体" w:hAnsi="宋体" w:eastAsia="宋体" w:cs="宋体"/>
                <w:spacing w:val="6"/>
                <w:sz w:val="20"/>
                <w:szCs w:val="20"/>
              </w:rPr>
              <w:t>的阻碍影响很小。</w:t>
            </w:r>
          </w:p>
          <w:p>
            <w:pPr>
              <w:spacing w:before="4" w:line="368" w:lineRule="auto"/>
              <w:ind w:left="106" w:right="126" w:firstLine="420"/>
              <w:rPr>
                <w:rFonts w:ascii="宋体" w:hAnsi="宋体" w:eastAsia="宋体" w:cs="宋体"/>
                <w:sz w:val="20"/>
                <w:szCs w:val="20"/>
              </w:rPr>
            </w:pPr>
            <w:r>
              <w:rPr>
                <w:rFonts w:ascii="宋体" w:hAnsi="宋体" w:eastAsia="宋体" w:cs="宋体"/>
                <w:spacing w:val="18"/>
                <w:sz w:val="20"/>
                <w:szCs w:val="20"/>
              </w:rPr>
              <w:t>通过有</w:t>
            </w:r>
            <w:r>
              <w:rPr>
                <w:rFonts w:ascii="宋体" w:hAnsi="宋体" w:eastAsia="宋体" w:cs="宋体"/>
                <w:spacing w:val="10"/>
                <w:sz w:val="20"/>
                <w:szCs w:val="20"/>
              </w:rPr>
              <w:t>效</w:t>
            </w:r>
            <w:r>
              <w:rPr>
                <w:rFonts w:ascii="宋体" w:hAnsi="宋体" w:eastAsia="宋体" w:cs="宋体"/>
                <w:spacing w:val="9"/>
                <w:sz w:val="20"/>
                <w:szCs w:val="20"/>
              </w:rPr>
              <w:t>的监督、管护和生境再造，将减轻高家坝大桥工程对影响河段水域水生生</w:t>
            </w:r>
            <w:r>
              <w:rPr>
                <w:rFonts w:ascii="宋体" w:hAnsi="宋体" w:eastAsia="宋体" w:cs="宋体"/>
                <w:sz w:val="20"/>
                <w:szCs w:val="20"/>
              </w:rPr>
              <w:t xml:space="preserve"> </w:t>
            </w:r>
            <w:r>
              <w:rPr>
                <w:rFonts w:ascii="宋体" w:hAnsi="宋体" w:eastAsia="宋体" w:cs="宋体"/>
                <w:spacing w:val="18"/>
                <w:sz w:val="20"/>
                <w:szCs w:val="20"/>
              </w:rPr>
              <w:t>态环境</w:t>
            </w:r>
            <w:r>
              <w:rPr>
                <w:rFonts w:ascii="宋体" w:hAnsi="宋体" w:eastAsia="宋体" w:cs="宋体"/>
                <w:spacing w:val="10"/>
                <w:sz w:val="20"/>
                <w:szCs w:val="20"/>
              </w:rPr>
              <w:t>的</w:t>
            </w:r>
            <w:r>
              <w:rPr>
                <w:rFonts w:ascii="宋体" w:hAnsi="宋体" w:eastAsia="宋体" w:cs="宋体"/>
                <w:spacing w:val="9"/>
                <w:sz w:val="20"/>
                <w:szCs w:val="20"/>
              </w:rPr>
              <w:t>影响；采取人工增殖放流措施，可减轻工程对鱼类品种结构的影响。从水生生</w:t>
            </w:r>
            <w:r>
              <w:rPr>
                <w:rFonts w:ascii="宋体" w:hAnsi="宋体" w:eastAsia="宋体" w:cs="宋体"/>
                <w:sz w:val="20"/>
                <w:szCs w:val="20"/>
              </w:rPr>
              <w:t xml:space="preserve"> </w:t>
            </w:r>
            <w:r>
              <w:rPr>
                <w:rFonts w:ascii="宋体" w:hAnsi="宋体" w:eastAsia="宋体" w:cs="宋体"/>
                <w:spacing w:val="10"/>
                <w:sz w:val="20"/>
                <w:szCs w:val="20"/>
              </w:rPr>
              <w:t>物多样性影响初步评价结果来看，这些措施的实施对该水域鱼类资源特别是对鱼类“</w:t>
            </w:r>
            <w:r>
              <w:rPr>
                <w:rFonts w:ascii="宋体" w:hAnsi="宋体" w:eastAsia="宋体" w:cs="宋体"/>
                <w:spacing w:val="2"/>
                <w:sz w:val="20"/>
                <w:szCs w:val="20"/>
              </w:rPr>
              <w:t>三</w:t>
            </w:r>
            <w:r>
              <w:rPr>
                <w:rFonts w:ascii="宋体" w:hAnsi="宋体" w:eastAsia="宋体" w:cs="宋体"/>
                <w:sz w:val="20"/>
                <w:szCs w:val="20"/>
              </w:rPr>
              <w:t xml:space="preserve"> </w:t>
            </w:r>
            <w:r>
              <w:rPr>
                <w:rFonts w:ascii="宋体" w:hAnsi="宋体" w:eastAsia="宋体" w:cs="宋体"/>
                <w:spacing w:val="9"/>
                <w:sz w:val="20"/>
                <w:szCs w:val="20"/>
              </w:rPr>
              <w:t>场一通道”的影响可以减轻到最低程度</w:t>
            </w:r>
            <w:r>
              <w:rPr>
                <w:rFonts w:ascii="宋体" w:hAnsi="宋体" w:eastAsia="宋体" w:cs="宋体"/>
                <w:spacing w:val="8"/>
                <w:sz w:val="20"/>
                <w:szCs w:val="20"/>
              </w:rPr>
              <w:t>。</w:t>
            </w:r>
          </w:p>
          <w:p>
            <w:pPr>
              <w:spacing w:line="369" w:lineRule="auto"/>
              <w:ind w:left="107" w:right="34" w:firstLine="425"/>
              <w:rPr>
                <w:rFonts w:ascii="宋体" w:hAnsi="宋体" w:eastAsia="宋体" w:cs="宋体"/>
                <w:sz w:val="20"/>
                <w:szCs w:val="20"/>
              </w:rPr>
            </w:pPr>
            <w:r>
              <w:rPr>
                <w:rFonts w:ascii="宋体" w:hAnsi="宋体" w:eastAsia="宋体" w:cs="宋体"/>
                <w:spacing w:val="18"/>
                <w:sz w:val="20"/>
                <w:szCs w:val="20"/>
              </w:rPr>
              <w:t>高家</w:t>
            </w:r>
            <w:r>
              <w:rPr>
                <w:rFonts w:ascii="宋体" w:hAnsi="宋体" w:eastAsia="宋体" w:cs="宋体"/>
                <w:spacing w:val="13"/>
                <w:sz w:val="20"/>
                <w:szCs w:val="20"/>
              </w:rPr>
              <w:t>坝</w:t>
            </w:r>
            <w:r>
              <w:rPr>
                <w:rFonts w:ascii="宋体" w:hAnsi="宋体" w:eastAsia="宋体" w:cs="宋体"/>
                <w:spacing w:val="9"/>
                <w:sz w:val="20"/>
                <w:szCs w:val="20"/>
              </w:rPr>
              <w:t>大桥工程完工后，桥址处河段将形成新的河床底质和生态环境，河道的宽度</w:t>
            </w:r>
            <w:r>
              <w:rPr>
                <w:rFonts w:ascii="宋体" w:hAnsi="宋体" w:eastAsia="宋体" w:cs="宋体"/>
                <w:sz w:val="20"/>
                <w:szCs w:val="20"/>
              </w:rPr>
              <w:t xml:space="preserve"> </w:t>
            </w:r>
            <w:r>
              <w:rPr>
                <w:rFonts w:ascii="宋体" w:hAnsi="宋体" w:eastAsia="宋体" w:cs="宋体"/>
                <w:spacing w:val="18"/>
                <w:sz w:val="20"/>
                <w:szCs w:val="20"/>
              </w:rPr>
              <w:t>和水位</w:t>
            </w:r>
            <w:r>
              <w:rPr>
                <w:rFonts w:ascii="宋体" w:hAnsi="宋体" w:eastAsia="宋体" w:cs="宋体"/>
                <w:spacing w:val="11"/>
                <w:sz w:val="20"/>
                <w:szCs w:val="20"/>
              </w:rPr>
              <w:t>不</w:t>
            </w:r>
            <w:r>
              <w:rPr>
                <w:rFonts w:ascii="宋体" w:hAnsi="宋体" w:eastAsia="宋体" w:cs="宋体"/>
                <w:spacing w:val="9"/>
                <w:sz w:val="20"/>
                <w:szCs w:val="20"/>
              </w:rPr>
              <w:t>会发生较大改变，河岸原有陆、水生植物被毁坏量很少。工程施工结束后对河</w:t>
            </w:r>
            <w:r>
              <w:rPr>
                <w:rFonts w:ascii="宋体" w:hAnsi="宋体" w:eastAsia="宋体" w:cs="宋体"/>
                <w:sz w:val="20"/>
                <w:szCs w:val="20"/>
              </w:rPr>
              <w:t xml:space="preserve"> </w:t>
            </w:r>
            <w:r>
              <w:rPr>
                <w:rFonts w:ascii="宋体" w:hAnsi="宋体" w:eastAsia="宋体" w:cs="宋体"/>
                <w:spacing w:val="12"/>
                <w:sz w:val="20"/>
                <w:szCs w:val="20"/>
              </w:rPr>
              <w:t>滩种植水生</w:t>
            </w:r>
            <w:r>
              <w:rPr>
                <w:rFonts w:ascii="宋体" w:hAnsi="宋体" w:eastAsia="宋体" w:cs="宋体"/>
                <w:spacing w:val="6"/>
                <w:sz w:val="20"/>
                <w:szCs w:val="20"/>
              </w:rPr>
              <w:t>植物，恢复河床植被。使鱼类有植物保护的栖息地，产出的粘性卵有附着物。</w:t>
            </w:r>
          </w:p>
          <w:p>
            <w:pPr>
              <w:spacing w:before="3" w:line="369" w:lineRule="auto"/>
              <w:ind w:left="106" w:right="126" w:firstLine="424"/>
              <w:rPr>
                <w:rFonts w:ascii="宋体" w:hAnsi="宋体" w:eastAsia="宋体" w:cs="宋体"/>
                <w:sz w:val="20"/>
                <w:szCs w:val="20"/>
              </w:rPr>
            </w:pPr>
            <w:r>
              <w:rPr>
                <w:rFonts w:ascii="宋体" w:hAnsi="宋体" w:eastAsia="宋体" w:cs="宋体"/>
                <w:spacing w:val="18"/>
                <w:sz w:val="20"/>
                <w:szCs w:val="20"/>
              </w:rPr>
              <w:t>项目</w:t>
            </w:r>
            <w:r>
              <w:rPr>
                <w:rFonts w:ascii="宋体" w:hAnsi="宋体" w:eastAsia="宋体" w:cs="宋体"/>
                <w:spacing w:val="13"/>
                <w:sz w:val="20"/>
                <w:szCs w:val="20"/>
              </w:rPr>
              <w:t>桥</w:t>
            </w:r>
            <w:r>
              <w:rPr>
                <w:rFonts w:ascii="宋体" w:hAnsi="宋体" w:eastAsia="宋体" w:cs="宋体"/>
                <w:spacing w:val="9"/>
                <w:sz w:val="20"/>
                <w:szCs w:val="20"/>
              </w:rPr>
              <w:t>址上游已建成罗江口水电站，项目影响河段没有重要水生生物洄游通道，仅</w:t>
            </w:r>
            <w:r>
              <w:rPr>
                <w:rFonts w:ascii="宋体" w:hAnsi="宋体" w:eastAsia="宋体" w:cs="宋体"/>
                <w:sz w:val="20"/>
                <w:szCs w:val="20"/>
              </w:rPr>
              <w:t xml:space="preserve"> </w:t>
            </w:r>
            <w:r>
              <w:rPr>
                <w:rFonts w:ascii="宋体" w:hAnsi="宋体" w:eastAsia="宋体" w:cs="宋体"/>
                <w:spacing w:val="10"/>
                <w:sz w:val="20"/>
                <w:szCs w:val="20"/>
              </w:rPr>
              <w:t>为普通常见的水生生物洄游，此段大型鱼类洄游通道的生态作用已经大为降低，对于</w:t>
            </w:r>
            <w:r>
              <w:rPr>
                <w:rFonts w:ascii="宋体" w:hAnsi="宋体" w:eastAsia="宋体" w:cs="宋体"/>
                <w:spacing w:val="2"/>
                <w:sz w:val="20"/>
                <w:szCs w:val="20"/>
              </w:rPr>
              <w:t>中</w:t>
            </w:r>
            <w:r>
              <w:rPr>
                <w:rFonts w:ascii="宋体" w:hAnsi="宋体" w:eastAsia="宋体" w:cs="宋体"/>
                <w:sz w:val="20"/>
                <w:szCs w:val="20"/>
              </w:rPr>
              <w:t xml:space="preserve"> </w:t>
            </w:r>
            <w:r>
              <w:rPr>
                <w:rFonts w:ascii="宋体" w:hAnsi="宋体" w:eastAsia="宋体" w:cs="宋体"/>
                <w:spacing w:val="8"/>
                <w:sz w:val="20"/>
                <w:szCs w:val="20"/>
              </w:rPr>
              <w:t xml:space="preserve">小型鱼类的洄游通道仍然畅通。大桥两个主桥墩之间有 </w:t>
            </w:r>
            <w:r>
              <w:rPr>
                <w:rFonts w:ascii="Times New Roman" w:hAnsi="Times New Roman" w:eastAsia="Times New Roman" w:cs="Times New Roman"/>
                <w:spacing w:val="8"/>
                <w:sz w:val="20"/>
                <w:szCs w:val="20"/>
              </w:rPr>
              <w:t>110</w:t>
            </w:r>
            <w:r>
              <w:rPr>
                <w:rFonts w:ascii="Times New Roman" w:hAnsi="Times New Roman" w:eastAsia="Times New Roman" w:cs="Times New Roman"/>
                <w:sz w:val="20"/>
                <w:szCs w:val="20"/>
              </w:rPr>
              <w:t>m</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跨度，施工河段河流主</w:t>
            </w:r>
            <w:r>
              <w:rPr>
                <w:rFonts w:ascii="宋体" w:hAnsi="宋体" w:eastAsia="宋体" w:cs="宋体"/>
                <w:sz w:val="20"/>
                <w:szCs w:val="20"/>
              </w:rPr>
              <w:t xml:space="preserve">流 </w:t>
            </w:r>
            <w:r>
              <w:rPr>
                <w:rFonts w:ascii="宋体" w:hAnsi="宋体" w:eastAsia="宋体" w:cs="宋体"/>
                <w:spacing w:val="7"/>
                <w:sz w:val="20"/>
                <w:szCs w:val="20"/>
              </w:rPr>
              <w:t>带位于河道中央， 由于洄游通道与主流带重叠，因此，鱼类洄游通道也位于河床中央</w:t>
            </w:r>
            <w:r>
              <w:rPr>
                <w:rFonts w:ascii="宋体" w:hAnsi="宋体" w:eastAsia="宋体" w:cs="宋体"/>
                <w:spacing w:val="4"/>
                <w:sz w:val="20"/>
                <w:szCs w:val="20"/>
              </w:rPr>
              <w:t>主</w:t>
            </w:r>
            <w:r>
              <w:rPr>
                <w:rFonts w:ascii="宋体" w:hAnsi="宋体" w:eastAsia="宋体" w:cs="宋体"/>
                <w:sz w:val="20"/>
                <w:szCs w:val="20"/>
              </w:rPr>
              <w:t xml:space="preserve"> </w:t>
            </w:r>
            <w:r>
              <w:rPr>
                <w:rFonts w:ascii="宋体" w:hAnsi="宋体" w:eastAsia="宋体" w:cs="宋体"/>
                <w:spacing w:val="17"/>
                <w:sz w:val="20"/>
                <w:szCs w:val="20"/>
              </w:rPr>
              <w:t>河</w:t>
            </w:r>
            <w:r>
              <w:rPr>
                <w:rFonts w:ascii="宋体" w:hAnsi="宋体" w:eastAsia="宋体" w:cs="宋体"/>
                <w:spacing w:val="9"/>
                <w:sz w:val="20"/>
                <w:szCs w:val="20"/>
              </w:rPr>
              <w:t>槽上，与两个最近桥塔均有</w:t>
            </w:r>
            <w:r>
              <w:rPr>
                <w:rFonts w:ascii="Times New Roman" w:hAnsi="Times New Roman" w:eastAsia="Times New Roman" w:cs="Times New Roman"/>
                <w:spacing w:val="9"/>
                <w:sz w:val="20"/>
                <w:szCs w:val="20"/>
              </w:rPr>
              <w:t>50</w:t>
            </w:r>
            <w:r>
              <w:rPr>
                <w:rFonts w:ascii="Times New Roman" w:hAnsi="Times New Roman" w:eastAsia="Times New Roman" w:cs="Times New Roman"/>
                <w:sz w:val="20"/>
                <w:szCs w:val="20"/>
              </w:rPr>
              <w:t>m</w:t>
            </w:r>
            <w:r>
              <w:rPr>
                <w:rFonts w:ascii="宋体" w:hAnsi="宋体" w:eastAsia="宋体" w:cs="宋体"/>
                <w:spacing w:val="9"/>
                <w:sz w:val="20"/>
                <w:szCs w:val="20"/>
              </w:rPr>
              <w:t>距离，不会对鱼类洄游产生不可逾越的障碍。</w:t>
            </w:r>
          </w:p>
          <w:p>
            <w:pPr>
              <w:spacing w:line="399" w:lineRule="exact"/>
              <w:ind w:left="532"/>
              <w:rPr>
                <w:rFonts w:ascii="宋体" w:hAnsi="宋体" w:eastAsia="宋体" w:cs="宋体"/>
                <w:sz w:val="20"/>
                <w:szCs w:val="20"/>
              </w:rPr>
            </w:pPr>
            <w:r>
              <w:rPr>
                <w:rFonts w:ascii="宋体" w:hAnsi="宋体" w:eastAsia="宋体" w:cs="宋体"/>
                <w:spacing w:val="18"/>
                <w:position w:val="14"/>
                <w:sz w:val="20"/>
                <w:szCs w:val="20"/>
              </w:rPr>
              <w:t>另外</w:t>
            </w:r>
            <w:r>
              <w:rPr>
                <w:rFonts w:ascii="宋体" w:hAnsi="宋体" w:eastAsia="宋体" w:cs="宋体"/>
                <w:spacing w:val="11"/>
                <w:position w:val="14"/>
                <w:sz w:val="20"/>
                <w:szCs w:val="20"/>
              </w:rPr>
              <w:t>，</w:t>
            </w:r>
            <w:r>
              <w:rPr>
                <w:rFonts w:ascii="宋体" w:hAnsi="宋体" w:eastAsia="宋体" w:cs="宋体"/>
                <w:spacing w:val="9"/>
                <w:position w:val="14"/>
                <w:sz w:val="20"/>
                <w:szCs w:val="20"/>
              </w:rPr>
              <w:t>对桥梁两端设置限速、限载等警示标识，引导过往车辆安全通过；在桥梁两</w:t>
            </w:r>
          </w:p>
          <w:p>
            <w:pPr>
              <w:spacing w:line="227" w:lineRule="auto"/>
              <w:ind w:left="105"/>
              <w:rPr>
                <w:rFonts w:ascii="宋体" w:hAnsi="宋体" w:eastAsia="宋体" w:cs="宋体"/>
                <w:sz w:val="20"/>
                <w:szCs w:val="20"/>
              </w:rPr>
            </w:pPr>
            <w:r>
              <w:rPr>
                <w:rFonts w:ascii="宋体" w:hAnsi="宋体" w:eastAsia="宋体" w:cs="宋体"/>
                <w:spacing w:val="18"/>
                <w:sz w:val="20"/>
                <w:szCs w:val="20"/>
              </w:rPr>
              <w:t>侧建</w:t>
            </w:r>
            <w:r>
              <w:rPr>
                <w:rFonts w:ascii="宋体" w:hAnsi="宋体" w:eastAsia="宋体" w:cs="宋体"/>
                <w:spacing w:val="9"/>
                <w:sz w:val="20"/>
                <w:szCs w:val="20"/>
              </w:rPr>
              <w:t>设防撞栏、防抛网，避免车辆坠河或垃圾下河，保护河道水质及水生生物环境。</w:t>
            </w:r>
          </w:p>
        </w:tc>
      </w:tr>
    </w:tbl>
    <w:p>
      <w:pPr>
        <w:spacing w:line="138" w:lineRule="exact"/>
        <w:rPr>
          <w:rFonts w:ascii="Arial"/>
          <w:sz w:val="12"/>
        </w:rPr>
      </w:pPr>
    </w:p>
    <w:p>
      <w:pPr>
        <w:sectPr>
          <w:footerReference r:id="rId96" w:type="default"/>
          <w:pgSz w:w="11907" w:h="16840"/>
          <w:pgMar w:top="400" w:right="1476" w:bottom="1477" w:left="1475" w:header="0" w:footer="1317" w:gutter="0"/>
          <w:cols w:space="720" w:num="1"/>
        </w:sectPr>
      </w:pPr>
    </w:p>
    <w:p/>
    <w:p/>
    <w:p/>
    <w:p/>
    <w:p>
      <w:pPr>
        <w:spacing w:line="221" w:lineRule="exact"/>
      </w:pPr>
    </w:p>
    <w:tbl>
      <w:tblPr>
        <w:tblStyle w:val="4"/>
        <w:tblW w:w="894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82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627" w:hRule="atLeast"/>
        </w:trPr>
        <w:tc>
          <w:tcPr>
            <w:tcW w:w="724" w:type="dxa"/>
            <w:tcBorders>
              <w:left w:val="single" w:color="00000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28" w:lineRule="auto"/>
              <w:ind w:left="130"/>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运</w:t>
            </w:r>
            <w:r>
              <w:rPr>
                <w:rFonts w:ascii="宋体" w:hAnsi="宋体" w:eastAsia="宋体" w:cs="宋体"/>
                <w:spacing w:val="15"/>
                <w:sz w:val="20"/>
                <w:szCs w:val="20"/>
                <w14:textOutline w14:w="3795" w14:cap="sq" w14:cmpd="sng">
                  <w14:solidFill>
                    <w14:srgbClr w14:val="000000"/>
                  </w14:solidFill>
                  <w14:prstDash w14:val="solid"/>
                  <w14:bevel/>
                </w14:textOutline>
              </w:rPr>
              <w:t>营</w:t>
            </w:r>
          </w:p>
          <w:p>
            <w:pPr>
              <w:spacing w:before="24" w:line="228" w:lineRule="auto"/>
              <w:ind w:left="133"/>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期生</w:t>
            </w:r>
          </w:p>
          <w:p>
            <w:pPr>
              <w:spacing w:before="25" w:line="230" w:lineRule="auto"/>
              <w:ind w:left="130"/>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态</w:t>
            </w:r>
            <w:r>
              <w:rPr>
                <w:rFonts w:ascii="宋体" w:hAnsi="宋体" w:eastAsia="宋体" w:cs="宋体"/>
                <w:spacing w:val="15"/>
                <w:sz w:val="20"/>
                <w:szCs w:val="20"/>
                <w14:textOutline w14:w="3795" w14:cap="sq" w14:cmpd="sng">
                  <w14:solidFill>
                    <w14:srgbClr w14:val="000000"/>
                  </w14:solidFill>
                  <w14:prstDash w14:val="solid"/>
                  <w14:bevel/>
                </w14:textOutline>
              </w:rPr>
              <w:t>环</w:t>
            </w:r>
          </w:p>
          <w:p>
            <w:pPr>
              <w:spacing w:before="22" w:line="228" w:lineRule="auto"/>
              <w:ind w:left="131"/>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境保</w:t>
            </w:r>
          </w:p>
          <w:p>
            <w:pPr>
              <w:spacing w:before="24" w:line="228" w:lineRule="auto"/>
              <w:ind w:left="131"/>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护措</w:t>
            </w:r>
          </w:p>
          <w:p>
            <w:pPr>
              <w:spacing w:before="25" w:line="231" w:lineRule="auto"/>
              <w:ind w:left="244"/>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施</w:t>
            </w:r>
          </w:p>
        </w:tc>
        <w:tc>
          <w:tcPr>
            <w:tcW w:w="8216" w:type="dxa"/>
            <w:tcBorders>
              <w:right w:val="single" w:color="000000" w:sz="6" w:space="0"/>
            </w:tcBorders>
            <w:vAlign w:val="top"/>
          </w:tcPr>
          <w:p>
            <w:pPr>
              <w:spacing w:before="153" w:line="242" w:lineRule="auto"/>
              <w:ind w:left="103"/>
              <w:rPr>
                <w:rFonts w:ascii="黑体" w:hAnsi="黑体" w:eastAsia="黑体" w:cs="黑体"/>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 xml:space="preserve"> </w:t>
            </w:r>
            <w:r>
              <w:rPr>
                <w:rFonts w:ascii="黑体" w:hAnsi="黑体" w:eastAsia="黑体" w:cs="黑体"/>
                <w:spacing w:val="3"/>
                <w:sz w:val="20"/>
                <w:szCs w:val="20"/>
              </w:rPr>
              <w:t>、大气环境保护措施</w:t>
            </w:r>
          </w:p>
          <w:p>
            <w:pPr>
              <w:spacing w:before="140" w:line="369" w:lineRule="auto"/>
              <w:ind w:left="107" w:right="50" w:firstLine="420"/>
              <w:rPr>
                <w:rFonts w:ascii="宋体" w:hAnsi="宋体" w:eastAsia="宋体" w:cs="宋体"/>
                <w:sz w:val="20"/>
                <w:szCs w:val="20"/>
              </w:rPr>
            </w:pPr>
            <w:r>
              <w:rPr>
                <w:rFonts w:ascii="宋体" w:hAnsi="宋体" w:eastAsia="宋体" w:cs="宋体"/>
                <w:spacing w:val="11"/>
                <w:sz w:val="20"/>
                <w:szCs w:val="20"/>
              </w:rPr>
              <w:t>本</w:t>
            </w:r>
            <w:r>
              <w:rPr>
                <w:rFonts w:ascii="宋体" w:hAnsi="宋体" w:eastAsia="宋体" w:cs="宋体"/>
                <w:spacing w:val="6"/>
                <w:sz w:val="20"/>
                <w:szCs w:val="20"/>
              </w:rPr>
              <w:t>项目路面采用沥青砼土路面，因而扬尘污染较小，只要加强管理，保持路面清洁，</w:t>
            </w:r>
            <w:r>
              <w:rPr>
                <w:rFonts w:ascii="宋体" w:hAnsi="宋体" w:eastAsia="宋体" w:cs="宋体"/>
                <w:sz w:val="20"/>
                <w:szCs w:val="20"/>
              </w:rPr>
              <w:t xml:space="preserve"> </w:t>
            </w:r>
            <w:r>
              <w:rPr>
                <w:rFonts w:ascii="宋体" w:hAnsi="宋体" w:eastAsia="宋体" w:cs="宋体"/>
                <w:spacing w:val="20"/>
                <w:sz w:val="20"/>
                <w:szCs w:val="20"/>
              </w:rPr>
              <w:t>注</w:t>
            </w:r>
            <w:r>
              <w:rPr>
                <w:rFonts w:ascii="宋体" w:hAnsi="宋体" w:eastAsia="宋体" w:cs="宋体"/>
                <w:spacing w:val="13"/>
                <w:sz w:val="20"/>
                <w:szCs w:val="20"/>
              </w:rPr>
              <w:t>意</w:t>
            </w:r>
            <w:r>
              <w:rPr>
                <w:rFonts w:ascii="宋体" w:hAnsi="宋体" w:eastAsia="宋体" w:cs="宋体"/>
                <w:spacing w:val="10"/>
                <w:sz w:val="20"/>
                <w:szCs w:val="20"/>
              </w:rPr>
              <w:t>洒水降尘，则道路扬尘对区域大气环境质量影响较小。但随着本路交通量的不断增</w:t>
            </w:r>
            <w:r>
              <w:rPr>
                <w:rFonts w:ascii="宋体" w:hAnsi="宋体" w:eastAsia="宋体" w:cs="宋体"/>
                <w:sz w:val="20"/>
                <w:szCs w:val="20"/>
              </w:rPr>
              <w:t xml:space="preserve"> </w:t>
            </w:r>
            <w:r>
              <w:rPr>
                <w:rFonts w:ascii="宋体" w:hAnsi="宋体" w:eastAsia="宋体" w:cs="宋体"/>
                <w:spacing w:val="20"/>
                <w:sz w:val="20"/>
                <w:szCs w:val="20"/>
              </w:rPr>
              <w:t>大</w:t>
            </w:r>
            <w:r>
              <w:rPr>
                <w:rFonts w:ascii="宋体" w:hAnsi="宋体" w:eastAsia="宋体" w:cs="宋体"/>
                <w:spacing w:val="13"/>
                <w:sz w:val="20"/>
                <w:szCs w:val="20"/>
              </w:rPr>
              <w:t>，</w:t>
            </w:r>
            <w:r>
              <w:rPr>
                <w:rFonts w:ascii="宋体" w:hAnsi="宋体" w:eastAsia="宋体" w:cs="宋体"/>
                <w:spacing w:val="10"/>
                <w:sz w:val="20"/>
                <w:szCs w:val="20"/>
              </w:rPr>
              <w:t>汽车尾气排放量也呈增加趋势，加剧了对沿线大气环境的污染，因此，建议有关部</w:t>
            </w:r>
            <w:r>
              <w:rPr>
                <w:rFonts w:ascii="宋体" w:hAnsi="宋体" w:eastAsia="宋体" w:cs="宋体"/>
                <w:sz w:val="20"/>
                <w:szCs w:val="20"/>
              </w:rPr>
              <w:t xml:space="preserve"> </w:t>
            </w:r>
            <w:r>
              <w:rPr>
                <w:rFonts w:ascii="宋体" w:hAnsi="宋体" w:eastAsia="宋体" w:cs="宋体"/>
                <w:spacing w:val="13"/>
                <w:sz w:val="20"/>
                <w:szCs w:val="20"/>
              </w:rPr>
              <w:t>门</w:t>
            </w:r>
            <w:r>
              <w:rPr>
                <w:rFonts w:ascii="宋体" w:hAnsi="宋体" w:eastAsia="宋体" w:cs="宋体"/>
                <w:spacing w:val="8"/>
                <w:sz w:val="20"/>
                <w:szCs w:val="20"/>
              </w:rPr>
              <w:t>加强管理，采取如下措施：</w:t>
            </w:r>
          </w:p>
          <w:p>
            <w:pPr>
              <w:spacing w:line="369" w:lineRule="auto"/>
              <w:ind w:left="588" w:right="34" w:firstLine="11"/>
              <w:rPr>
                <w:rFonts w:ascii="宋体" w:hAnsi="宋体" w:eastAsia="宋体" w:cs="宋体"/>
                <w:sz w:val="20"/>
                <w:szCs w:val="20"/>
              </w:rPr>
            </w:pPr>
            <w:r>
              <w:rPr>
                <w:rFonts w:ascii="宋体" w:hAnsi="宋体" w:eastAsia="宋体" w:cs="宋体"/>
                <w:spacing w:val="6"/>
                <w:sz w:val="17"/>
                <w:szCs w:val="17"/>
              </w:rPr>
              <w:t xml:space="preserve">1   </w:t>
            </w:r>
            <w:r>
              <w:rPr>
                <w:rFonts w:ascii="宋体" w:hAnsi="宋体" w:eastAsia="宋体" w:cs="宋体"/>
                <w:spacing w:val="6"/>
                <w:sz w:val="20"/>
                <w:szCs w:val="20"/>
              </w:rPr>
              <w:t>加强道路管理及路面养护，保持道路良好运营状态，减少和避免塞车现象发生</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12"/>
                <w:sz w:val="17"/>
                <w:szCs w:val="17"/>
              </w:rPr>
              <w:t>2</w:t>
            </w:r>
            <w:r>
              <w:rPr>
                <w:rFonts w:ascii="宋体" w:hAnsi="宋体" w:eastAsia="宋体" w:cs="宋体"/>
                <w:spacing w:val="9"/>
                <w:sz w:val="17"/>
                <w:szCs w:val="17"/>
              </w:rPr>
              <w:t xml:space="preserve"> </w:t>
            </w:r>
            <w:r>
              <w:rPr>
                <w:rFonts w:ascii="宋体" w:hAnsi="宋体" w:eastAsia="宋体" w:cs="宋体"/>
                <w:spacing w:val="6"/>
                <w:sz w:val="17"/>
                <w:szCs w:val="17"/>
              </w:rPr>
              <w:t xml:space="preserve">  </w:t>
            </w:r>
            <w:r>
              <w:rPr>
                <w:rFonts w:ascii="宋体" w:hAnsi="宋体" w:eastAsia="宋体" w:cs="宋体"/>
                <w:spacing w:val="6"/>
                <w:sz w:val="20"/>
                <w:szCs w:val="20"/>
              </w:rPr>
              <w:t>积极协调环卫部门，加强道路洒水降尘及道路清扫工作，确保路面干净、整洁。</w:t>
            </w:r>
            <w:r>
              <w:rPr>
                <w:rFonts w:ascii="宋体" w:hAnsi="宋体" w:eastAsia="宋体" w:cs="宋体"/>
                <w:sz w:val="20"/>
                <w:szCs w:val="20"/>
              </w:rPr>
              <w:t xml:space="preserve"> </w:t>
            </w:r>
            <w:r>
              <w:rPr>
                <w:rFonts w:ascii="宋体" w:hAnsi="宋体" w:eastAsia="宋体" w:cs="宋体"/>
                <w:spacing w:val="16"/>
                <w:sz w:val="17"/>
                <w:szCs w:val="17"/>
              </w:rPr>
              <w:t>3</w:t>
            </w:r>
            <w:r>
              <w:rPr>
                <w:rFonts w:ascii="宋体" w:hAnsi="宋体" w:eastAsia="宋体" w:cs="宋体"/>
                <w:spacing w:val="11"/>
                <w:sz w:val="17"/>
                <w:szCs w:val="17"/>
              </w:rPr>
              <w:t xml:space="preserve"> </w:t>
            </w:r>
            <w:r>
              <w:rPr>
                <w:rFonts w:ascii="宋体" w:hAnsi="宋体" w:eastAsia="宋体" w:cs="宋体"/>
                <w:spacing w:val="8"/>
                <w:sz w:val="17"/>
                <w:szCs w:val="17"/>
              </w:rPr>
              <w:t xml:space="preserve">  </w:t>
            </w:r>
            <w:r>
              <w:rPr>
                <w:rFonts w:ascii="宋体" w:hAnsi="宋体" w:eastAsia="宋体" w:cs="宋体"/>
                <w:spacing w:val="8"/>
                <w:sz w:val="20"/>
                <w:szCs w:val="20"/>
              </w:rPr>
              <w:t>严格执行车检制，限制尾气排放超标的车辆上路。</w:t>
            </w:r>
          </w:p>
          <w:p>
            <w:pPr>
              <w:spacing w:before="2" w:line="368" w:lineRule="auto"/>
              <w:ind w:left="107" w:right="105" w:firstLine="478"/>
              <w:rPr>
                <w:rFonts w:ascii="宋体" w:hAnsi="宋体" w:eastAsia="宋体" w:cs="宋体"/>
                <w:sz w:val="20"/>
                <w:szCs w:val="20"/>
              </w:rPr>
            </w:pPr>
            <w:r>
              <w:rPr>
                <w:rFonts w:ascii="宋体" w:hAnsi="宋体" w:eastAsia="宋体" w:cs="宋体"/>
                <w:spacing w:val="10"/>
                <w:sz w:val="17"/>
                <w:szCs w:val="17"/>
              </w:rPr>
              <w:t xml:space="preserve">4   </w:t>
            </w:r>
            <w:r>
              <w:rPr>
                <w:rFonts w:ascii="宋体" w:hAnsi="宋体" w:eastAsia="宋体" w:cs="宋体"/>
                <w:spacing w:val="10"/>
                <w:sz w:val="20"/>
                <w:szCs w:val="20"/>
              </w:rPr>
              <w:t>严格执行国家制定的尾气排放标准，对于路线上机动车辆进行监测，超标车</w:t>
            </w:r>
            <w:r>
              <w:rPr>
                <w:rFonts w:ascii="宋体" w:hAnsi="宋体" w:eastAsia="宋体" w:cs="宋体"/>
                <w:spacing w:val="5"/>
                <w:sz w:val="20"/>
                <w:szCs w:val="20"/>
              </w:rPr>
              <w:t>辆</w:t>
            </w:r>
            <w:r>
              <w:rPr>
                <w:rFonts w:ascii="宋体" w:hAnsi="宋体" w:eastAsia="宋体" w:cs="宋体"/>
                <w:sz w:val="20"/>
                <w:szCs w:val="20"/>
              </w:rPr>
              <w:t xml:space="preserve"> </w:t>
            </w:r>
            <w:r>
              <w:rPr>
                <w:rFonts w:ascii="宋体" w:hAnsi="宋体" w:eastAsia="宋体" w:cs="宋体"/>
                <w:spacing w:val="6"/>
                <w:sz w:val="20"/>
                <w:szCs w:val="20"/>
              </w:rPr>
              <w:t>禁止上路</w:t>
            </w:r>
            <w:r>
              <w:rPr>
                <w:rFonts w:ascii="宋体" w:hAnsi="宋体" w:eastAsia="宋体" w:cs="宋体"/>
                <w:spacing w:val="5"/>
                <w:sz w:val="20"/>
                <w:szCs w:val="20"/>
              </w:rPr>
              <w:t>。</w:t>
            </w:r>
          </w:p>
          <w:p>
            <w:pPr>
              <w:spacing w:before="1" w:line="227" w:lineRule="auto"/>
              <w:ind w:left="590"/>
              <w:rPr>
                <w:rFonts w:ascii="宋体" w:hAnsi="宋体" w:eastAsia="宋体" w:cs="宋体"/>
                <w:sz w:val="20"/>
                <w:szCs w:val="20"/>
              </w:rPr>
            </w:pPr>
            <w:r>
              <w:rPr>
                <w:rFonts w:ascii="宋体" w:hAnsi="宋体" w:eastAsia="宋体" w:cs="宋体"/>
                <w:spacing w:val="8"/>
                <w:sz w:val="17"/>
                <w:szCs w:val="17"/>
              </w:rPr>
              <w:t xml:space="preserve">5   </w:t>
            </w:r>
            <w:r>
              <w:rPr>
                <w:rFonts w:ascii="宋体" w:hAnsi="宋体" w:eastAsia="宋体" w:cs="宋体"/>
                <w:spacing w:val="8"/>
                <w:sz w:val="20"/>
                <w:szCs w:val="20"/>
              </w:rPr>
              <w:t>做好道路沿线绿化工程的维护工作</w:t>
            </w:r>
            <w:r>
              <w:rPr>
                <w:rFonts w:ascii="宋体" w:hAnsi="宋体" w:eastAsia="宋体" w:cs="宋体"/>
                <w:spacing w:val="6"/>
                <w:sz w:val="20"/>
                <w:szCs w:val="20"/>
              </w:rPr>
              <w:t>。</w:t>
            </w:r>
          </w:p>
          <w:p>
            <w:pPr>
              <w:spacing w:before="154" w:line="227" w:lineRule="auto"/>
              <w:ind w:left="526"/>
              <w:rPr>
                <w:rFonts w:ascii="宋体" w:hAnsi="宋体" w:eastAsia="宋体" w:cs="宋体"/>
                <w:sz w:val="20"/>
                <w:szCs w:val="20"/>
              </w:rPr>
            </w:pPr>
            <w:r>
              <w:rPr>
                <w:rFonts w:ascii="宋体" w:hAnsi="宋体" w:eastAsia="宋体" w:cs="宋体"/>
                <w:spacing w:val="12"/>
                <w:sz w:val="20"/>
                <w:szCs w:val="20"/>
              </w:rPr>
              <w:t>采</w:t>
            </w:r>
            <w:r>
              <w:rPr>
                <w:rFonts w:ascii="宋体" w:hAnsi="宋体" w:eastAsia="宋体" w:cs="宋体"/>
                <w:spacing w:val="9"/>
                <w:sz w:val="20"/>
                <w:szCs w:val="20"/>
              </w:rPr>
              <w:t>取上述措施后，汽车尾气对周围环境影响很小。</w:t>
            </w:r>
          </w:p>
          <w:p>
            <w:pPr>
              <w:spacing w:before="152" w:line="242" w:lineRule="auto"/>
              <w:ind w:left="107"/>
              <w:rPr>
                <w:rFonts w:ascii="黑体" w:hAnsi="黑体" w:eastAsia="黑体" w:cs="黑体"/>
                <w:sz w:val="20"/>
                <w:szCs w:val="20"/>
              </w:rPr>
            </w:pPr>
            <w:r>
              <w:rPr>
                <w:rFonts w:ascii="Times New Roman" w:hAnsi="Times New Roman" w:eastAsia="Times New Roman" w:cs="Times New Roman"/>
                <w:spacing w:val="4"/>
                <w:sz w:val="20"/>
                <w:szCs w:val="20"/>
              </w:rPr>
              <w:t xml:space="preserve">3 </w:t>
            </w:r>
            <w:r>
              <w:rPr>
                <w:rFonts w:ascii="黑体" w:hAnsi="黑体" w:eastAsia="黑体" w:cs="黑体"/>
                <w:spacing w:val="2"/>
                <w:sz w:val="20"/>
                <w:szCs w:val="20"/>
              </w:rPr>
              <w:t>、水环境保护措施</w:t>
            </w:r>
          </w:p>
          <w:p>
            <w:pPr>
              <w:spacing w:before="140" w:line="369" w:lineRule="auto"/>
              <w:ind w:left="106" w:right="105" w:firstLine="493"/>
              <w:rPr>
                <w:rFonts w:ascii="宋体" w:hAnsi="宋体" w:eastAsia="宋体" w:cs="宋体"/>
                <w:sz w:val="20"/>
                <w:szCs w:val="20"/>
              </w:rPr>
            </w:pPr>
            <w:r>
              <w:rPr>
                <w:rFonts w:ascii="宋体" w:hAnsi="宋体" w:eastAsia="宋体" w:cs="宋体"/>
                <w:spacing w:val="18"/>
                <w:sz w:val="17"/>
                <w:szCs w:val="17"/>
              </w:rPr>
              <w:t xml:space="preserve">1 </w:t>
            </w:r>
            <w:r>
              <w:rPr>
                <w:rFonts w:ascii="宋体" w:hAnsi="宋体" w:eastAsia="宋体" w:cs="宋体"/>
                <w:spacing w:val="10"/>
                <w:sz w:val="17"/>
                <w:szCs w:val="17"/>
              </w:rPr>
              <w:t xml:space="preserve"> </w:t>
            </w:r>
            <w:r>
              <w:rPr>
                <w:rFonts w:ascii="宋体" w:hAnsi="宋体" w:eastAsia="宋体" w:cs="宋体"/>
                <w:spacing w:val="9"/>
                <w:sz w:val="17"/>
                <w:szCs w:val="17"/>
              </w:rPr>
              <w:t xml:space="preserve"> </w:t>
            </w:r>
            <w:r>
              <w:rPr>
                <w:rFonts w:ascii="宋体" w:hAnsi="宋体" w:eastAsia="宋体" w:cs="宋体"/>
                <w:spacing w:val="9"/>
                <w:sz w:val="20"/>
                <w:szCs w:val="20"/>
              </w:rPr>
              <w:t>项目按照城市道路设计，道路两侧均设雨水口，降落雨水经沿路敷设的雨水管</w:t>
            </w:r>
            <w:r>
              <w:rPr>
                <w:rFonts w:ascii="宋体" w:hAnsi="宋体" w:eastAsia="宋体" w:cs="宋体"/>
                <w:sz w:val="20"/>
                <w:szCs w:val="20"/>
              </w:rPr>
              <w:t xml:space="preserve"> </w:t>
            </w:r>
            <w:r>
              <w:rPr>
                <w:rFonts w:ascii="宋体" w:hAnsi="宋体" w:eastAsia="宋体" w:cs="宋体"/>
                <w:spacing w:val="20"/>
                <w:sz w:val="20"/>
                <w:szCs w:val="20"/>
              </w:rPr>
              <w:t>道</w:t>
            </w:r>
            <w:r>
              <w:rPr>
                <w:rFonts w:ascii="宋体" w:hAnsi="宋体" w:eastAsia="宋体" w:cs="宋体"/>
                <w:spacing w:val="14"/>
                <w:sz w:val="20"/>
                <w:szCs w:val="20"/>
              </w:rPr>
              <w:t>收</w:t>
            </w:r>
            <w:r>
              <w:rPr>
                <w:rFonts w:ascii="宋体" w:hAnsi="宋体" w:eastAsia="宋体" w:cs="宋体"/>
                <w:spacing w:val="10"/>
                <w:sz w:val="20"/>
                <w:szCs w:val="20"/>
              </w:rPr>
              <w:t>集后排入地表水体。通过加强营运期道路管理，及时清除运输车辆抛洒在路面的污</w:t>
            </w:r>
            <w:r>
              <w:rPr>
                <w:rFonts w:ascii="宋体" w:hAnsi="宋体" w:eastAsia="宋体" w:cs="宋体"/>
                <w:sz w:val="20"/>
                <w:szCs w:val="20"/>
              </w:rPr>
              <w:t xml:space="preserve"> </w:t>
            </w:r>
            <w:r>
              <w:rPr>
                <w:rFonts w:ascii="宋体" w:hAnsi="宋体" w:eastAsia="宋体" w:cs="宋体"/>
                <w:spacing w:val="18"/>
                <w:sz w:val="20"/>
                <w:szCs w:val="20"/>
              </w:rPr>
              <w:t>染</w:t>
            </w:r>
            <w:r>
              <w:rPr>
                <w:rFonts w:ascii="宋体" w:hAnsi="宋体" w:eastAsia="宋体" w:cs="宋体"/>
                <w:spacing w:val="11"/>
                <w:sz w:val="20"/>
                <w:szCs w:val="20"/>
              </w:rPr>
              <w:t>物</w:t>
            </w:r>
            <w:r>
              <w:rPr>
                <w:rFonts w:ascii="宋体" w:hAnsi="宋体" w:eastAsia="宋体" w:cs="宋体"/>
                <w:spacing w:val="9"/>
                <w:sz w:val="20"/>
                <w:szCs w:val="20"/>
              </w:rPr>
              <w:t>，保持路面清洁，从而达到改善径流水质和保护地表水体的目的。</w:t>
            </w:r>
          </w:p>
          <w:p>
            <w:pPr>
              <w:spacing w:line="369" w:lineRule="auto"/>
              <w:ind w:left="110" w:right="105" w:firstLine="478"/>
              <w:rPr>
                <w:rFonts w:ascii="宋体" w:hAnsi="宋体" w:eastAsia="宋体" w:cs="宋体"/>
                <w:sz w:val="20"/>
                <w:szCs w:val="20"/>
              </w:rPr>
            </w:pPr>
            <w:r>
              <w:rPr>
                <w:rFonts w:ascii="宋体" w:hAnsi="宋体" w:eastAsia="宋体" w:cs="宋体"/>
                <w:spacing w:val="18"/>
                <w:sz w:val="17"/>
                <w:szCs w:val="17"/>
              </w:rPr>
              <w:t xml:space="preserve">2  </w:t>
            </w:r>
            <w:r>
              <w:rPr>
                <w:rFonts w:ascii="宋体" w:hAnsi="宋体" w:eastAsia="宋体" w:cs="宋体"/>
                <w:spacing w:val="12"/>
                <w:sz w:val="17"/>
                <w:szCs w:val="17"/>
              </w:rPr>
              <w:t xml:space="preserve"> </w:t>
            </w:r>
            <w:r>
              <w:rPr>
                <w:rFonts w:ascii="宋体" w:hAnsi="宋体" w:eastAsia="宋体" w:cs="宋体"/>
                <w:spacing w:val="9"/>
                <w:sz w:val="20"/>
                <w:szCs w:val="20"/>
              </w:rPr>
              <w:t>临近水体的路段，在路线两侧醒目位置设置限速、禁止超车等警示标志，要求</w:t>
            </w:r>
            <w:r>
              <w:rPr>
                <w:rFonts w:ascii="宋体" w:hAnsi="宋体" w:eastAsia="宋体" w:cs="宋体"/>
                <w:sz w:val="20"/>
                <w:szCs w:val="20"/>
              </w:rPr>
              <w:t xml:space="preserve"> </w:t>
            </w:r>
            <w:r>
              <w:rPr>
                <w:rFonts w:ascii="宋体" w:hAnsi="宋体" w:eastAsia="宋体" w:cs="宋体"/>
                <w:spacing w:val="10"/>
                <w:sz w:val="20"/>
                <w:szCs w:val="20"/>
              </w:rPr>
              <w:t>危险品车辆限速通过，并设置连续的防撞护栏和污水收集装置，防止化学危险品 (主要</w:t>
            </w:r>
            <w:r>
              <w:rPr>
                <w:rFonts w:ascii="宋体" w:hAnsi="宋体" w:eastAsia="宋体" w:cs="宋体"/>
                <w:sz w:val="20"/>
                <w:szCs w:val="20"/>
              </w:rPr>
              <w:t xml:space="preserve"> </w:t>
            </w:r>
            <w:r>
              <w:rPr>
                <w:rFonts w:ascii="宋体" w:hAnsi="宋体" w:eastAsia="宋体" w:cs="宋体"/>
                <w:spacing w:val="9"/>
                <w:sz w:val="20"/>
                <w:szCs w:val="20"/>
              </w:rPr>
              <w:t>是石化产品和建筑材料) 事故污染等对沿线水域和陆域的影响</w:t>
            </w:r>
            <w:r>
              <w:rPr>
                <w:rFonts w:ascii="宋体" w:hAnsi="宋体" w:eastAsia="宋体" w:cs="宋体"/>
                <w:spacing w:val="6"/>
                <w:sz w:val="20"/>
                <w:szCs w:val="20"/>
              </w:rPr>
              <w:t>。</w:t>
            </w:r>
          </w:p>
          <w:p>
            <w:pPr>
              <w:spacing w:before="2" w:line="368" w:lineRule="auto"/>
              <w:ind w:left="110" w:right="50" w:firstLine="479"/>
              <w:rPr>
                <w:rFonts w:ascii="宋体" w:hAnsi="宋体" w:eastAsia="宋体" w:cs="宋体"/>
                <w:sz w:val="20"/>
                <w:szCs w:val="20"/>
              </w:rPr>
            </w:pPr>
            <w:r>
              <w:rPr>
                <w:rFonts w:ascii="宋体" w:hAnsi="宋体" w:eastAsia="宋体" w:cs="宋体"/>
                <w:spacing w:val="10"/>
                <w:sz w:val="17"/>
                <w:szCs w:val="17"/>
              </w:rPr>
              <w:t xml:space="preserve">3   </w:t>
            </w:r>
            <w:r>
              <w:rPr>
                <w:rFonts w:ascii="宋体" w:hAnsi="宋体" w:eastAsia="宋体" w:cs="宋体"/>
                <w:spacing w:val="10"/>
                <w:sz w:val="20"/>
                <w:szCs w:val="20"/>
              </w:rPr>
              <w:t>加强</w:t>
            </w:r>
            <w:r>
              <w:rPr>
                <w:rFonts w:ascii="宋体" w:hAnsi="宋体" w:eastAsia="宋体" w:cs="宋体"/>
                <w:spacing w:val="5"/>
                <w:sz w:val="20"/>
                <w:szCs w:val="20"/>
              </w:rPr>
              <w:t>营运期道路管理，及时清除运输车辆抛洒在路面的污染物，保持路面清洁，</w:t>
            </w:r>
            <w:r>
              <w:rPr>
                <w:rFonts w:ascii="宋体" w:hAnsi="宋体" w:eastAsia="宋体" w:cs="宋体"/>
                <w:sz w:val="20"/>
                <w:szCs w:val="20"/>
              </w:rPr>
              <w:t xml:space="preserve"> </w:t>
            </w:r>
            <w:r>
              <w:rPr>
                <w:rFonts w:ascii="宋体" w:hAnsi="宋体" w:eastAsia="宋体" w:cs="宋体"/>
                <w:spacing w:val="9"/>
                <w:sz w:val="20"/>
                <w:szCs w:val="20"/>
              </w:rPr>
              <w:t>从而达到改善径流水质和保护地表水体的目的</w:t>
            </w:r>
            <w:r>
              <w:rPr>
                <w:rFonts w:ascii="宋体" w:hAnsi="宋体" w:eastAsia="宋体" w:cs="宋体"/>
                <w:spacing w:val="7"/>
                <w:sz w:val="20"/>
                <w:szCs w:val="20"/>
              </w:rPr>
              <w:t>。</w:t>
            </w:r>
          </w:p>
          <w:p>
            <w:pPr>
              <w:spacing w:before="1" w:line="369" w:lineRule="auto"/>
              <w:ind w:left="110" w:right="104" w:firstLine="474"/>
              <w:rPr>
                <w:rFonts w:ascii="宋体" w:hAnsi="宋体" w:eastAsia="宋体" w:cs="宋体"/>
                <w:sz w:val="20"/>
                <w:szCs w:val="20"/>
              </w:rPr>
            </w:pPr>
            <w:r>
              <w:rPr>
                <w:rFonts w:ascii="宋体" w:hAnsi="宋体" w:eastAsia="宋体" w:cs="宋体"/>
                <w:spacing w:val="9"/>
                <w:sz w:val="17"/>
                <w:szCs w:val="17"/>
              </w:rPr>
              <w:t>4</w:t>
            </w:r>
            <w:r>
              <w:rPr>
                <w:rFonts w:ascii="宋体" w:hAnsi="宋体" w:eastAsia="宋体" w:cs="宋体"/>
                <w:spacing w:val="7"/>
                <w:sz w:val="17"/>
                <w:szCs w:val="17"/>
              </w:rPr>
              <w:t xml:space="preserve">   </w:t>
            </w:r>
            <w:r>
              <w:rPr>
                <w:rFonts w:ascii="宋体" w:hAnsi="宋体" w:eastAsia="宋体" w:cs="宋体"/>
                <w:spacing w:val="7"/>
                <w:sz w:val="20"/>
                <w:szCs w:val="20"/>
              </w:rPr>
              <w:t>加强道路管理，禁止漏油、未采取覆盖措施的货车上路， 以防止公路上车辆漏</w:t>
            </w:r>
            <w:r>
              <w:rPr>
                <w:rFonts w:ascii="宋体" w:hAnsi="宋体" w:eastAsia="宋体" w:cs="宋体"/>
                <w:sz w:val="20"/>
                <w:szCs w:val="20"/>
              </w:rPr>
              <w:t xml:space="preserve"> </w:t>
            </w:r>
            <w:r>
              <w:rPr>
                <w:rFonts w:ascii="宋体" w:hAnsi="宋体" w:eastAsia="宋体" w:cs="宋体"/>
                <w:spacing w:val="19"/>
                <w:sz w:val="20"/>
                <w:szCs w:val="20"/>
              </w:rPr>
              <w:t>油</w:t>
            </w:r>
            <w:r>
              <w:rPr>
                <w:rFonts w:ascii="宋体" w:hAnsi="宋体" w:eastAsia="宋体" w:cs="宋体"/>
                <w:spacing w:val="10"/>
                <w:sz w:val="20"/>
                <w:szCs w:val="20"/>
              </w:rPr>
              <w:t>和货物洒落在道路上，造成沿线地面水体污染和安全事故隐患；装载石灰、水泥等容</w:t>
            </w:r>
            <w:r>
              <w:rPr>
                <w:rFonts w:ascii="宋体" w:hAnsi="宋体" w:eastAsia="宋体" w:cs="宋体"/>
                <w:sz w:val="20"/>
                <w:szCs w:val="20"/>
              </w:rPr>
              <w:t xml:space="preserve"> </w:t>
            </w:r>
            <w:r>
              <w:rPr>
                <w:rFonts w:ascii="宋体" w:hAnsi="宋体" w:eastAsia="宋体" w:cs="宋体"/>
                <w:spacing w:val="18"/>
                <w:sz w:val="20"/>
                <w:szCs w:val="20"/>
              </w:rPr>
              <w:t>易</w:t>
            </w:r>
            <w:r>
              <w:rPr>
                <w:rFonts w:ascii="宋体" w:hAnsi="宋体" w:eastAsia="宋体" w:cs="宋体"/>
                <w:spacing w:val="13"/>
                <w:sz w:val="20"/>
                <w:szCs w:val="20"/>
              </w:rPr>
              <w:t>起</w:t>
            </w:r>
            <w:r>
              <w:rPr>
                <w:rFonts w:ascii="宋体" w:hAnsi="宋体" w:eastAsia="宋体" w:cs="宋体"/>
                <w:spacing w:val="9"/>
                <w:sz w:val="20"/>
                <w:szCs w:val="20"/>
              </w:rPr>
              <w:t>尘散货物料时，必须加篷覆盖方能上路，防止物料散落形成径流污水影响水质。</w:t>
            </w:r>
          </w:p>
          <w:p>
            <w:pPr>
              <w:spacing w:before="2" w:line="369" w:lineRule="auto"/>
              <w:ind w:left="107" w:right="105" w:firstLine="482"/>
              <w:rPr>
                <w:rFonts w:ascii="宋体" w:hAnsi="宋体" w:eastAsia="宋体" w:cs="宋体"/>
                <w:sz w:val="20"/>
                <w:szCs w:val="20"/>
              </w:rPr>
            </w:pPr>
            <w:r>
              <w:rPr>
                <w:rFonts w:ascii="宋体" w:hAnsi="宋体" w:eastAsia="宋体" w:cs="宋体"/>
                <w:spacing w:val="18"/>
                <w:sz w:val="17"/>
                <w:szCs w:val="17"/>
              </w:rPr>
              <w:t xml:space="preserve">5  </w:t>
            </w:r>
            <w:r>
              <w:rPr>
                <w:rFonts w:ascii="宋体" w:hAnsi="宋体" w:eastAsia="宋体" w:cs="宋体"/>
                <w:spacing w:val="10"/>
                <w:sz w:val="17"/>
                <w:szCs w:val="17"/>
              </w:rPr>
              <w:t xml:space="preserve"> </w:t>
            </w:r>
            <w:r>
              <w:rPr>
                <w:rFonts w:ascii="宋体" w:hAnsi="宋体" w:eastAsia="宋体" w:cs="宋体"/>
                <w:spacing w:val="9"/>
                <w:sz w:val="20"/>
                <w:szCs w:val="20"/>
              </w:rPr>
              <w:t>针对本项目涉水桥梁应设置防撞护栏，采用交安设施来减少危险废物车辆发生</w:t>
            </w:r>
            <w:r>
              <w:rPr>
                <w:rFonts w:ascii="宋体" w:hAnsi="宋体" w:eastAsia="宋体" w:cs="宋体"/>
                <w:sz w:val="20"/>
                <w:szCs w:val="20"/>
              </w:rPr>
              <w:t xml:space="preserve"> </w:t>
            </w:r>
            <w:r>
              <w:rPr>
                <w:rFonts w:ascii="宋体" w:hAnsi="宋体" w:eastAsia="宋体" w:cs="宋体"/>
                <w:spacing w:val="13"/>
                <w:sz w:val="20"/>
                <w:szCs w:val="20"/>
              </w:rPr>
              <w:t>事</w:t>
            </w:r>
            <w:r>
              <w:rPr>
                <w:rFonts w:ascii="宋体" w:hAnsi="宋体" w:eastAsia="宋体" w:cs="宋体"/>
                <w:spacing w:val="8"/>
                <w:sz w:val="20"/>
                <w:szCs w:val="20"/>
              </w:rPr>
              <w:t>故影响水环境质量的概率。</w:t>
            </w:r>
          </w:p>
          <w:p>
            <w:pPr>
              <w:spacing w:before="1" w:line="226" w:lineRule="auto"/>
              <w:ind w:left="587"/>
              <w:rPr>
                <w:rFonts w:ascii="宋体" w:hAnsi="宋体" w:eastAsia="宋体" w:cs="宋体"/>
                <w:sz w:val="20"/>
                <w:szCs w:val="20"/>
              </w:rPr>
            </w:pPr>
            <w:r>
              <w:rPr>
                <w:rFonts w:ascii="宋体" w:hAnsi="宋体" w:eastAsia="宋体" w:cs="宋体"/>
                <w:spacing w:val="30"/>
                <w:sz w:val="17"/>
                <w:szCs w:val="17"/>
              </w:rPr>
              <w:t>6</w:t>
            </w:r>
            <w:r>
              <w:rPr>
                <w:rFonts w:ascii="宋体" w:hAnsi="宋体" w:eastAsia="宋体" w:cs="宋体"/>
                <w:spacing w:val="18"/>
                <w:sz w:val="17"/>
                <w:szCs w:val="17"/>
              </w:rPr>
              <w:t xml:space="preserve"> </w:t>
            </w:r>
            <w:r>
              <w:rPr>
                <w:rFonts w:ascii="宋体" w:hAnsi="宋体" w:eastAsia="宋体" w:cs="宋体"/>
                <w:spacing w:val="15"/>
                <w:sz w:val="17"/>
                <w:szCs w:val="17"/>
              </w:rPr>
              <w:t xml:space="preserve">  </w:t>
            </w:r>
            <w:r>
              <w:rPr>
                <w:rFonts w:ascii="宋体" w:hAnsi="宋体" w:eastAsia="宋体" w:cs="宋体"/>
                <w:spacing w:val="15"/>
                <w:sz w:val="20"/>
                <w:szCs w:val="20"/>
              </w:rPr>
              <w:t>营运后对地表水的影响主要为雨水的地表径流沿河岸边和雨水沟流入附近水</w:t>
            </w:r>
          </w:p>
          <w:p>
            <w:pPr>
              <w:spacing w:before="152" w:line="228" w:lineRule="auto"/>
              <w:ind w:left="107"/>
              <w:rPr>
                <w:rFonts w:ascii="宋体" w:hAnsi="宋体" w:eastAsia="宋体" w:cs="宋体"/>
                <w:sz w:val="20"/>
                <w:szCs w:val="20"/>
              </w:rPr>
            </w:pPr>
            <w:r>
              <w:rPr>
                <w:rFonts w:ascii="宋体" w:hAnsi="宋体" w:eastAsia="宋体" w:cs="宋体"/>
                <w:spacing w:val="6"/>
                <w:sz w:val="20"/>
                <w:szCs w:val="20"/>
              </w:rPr>
              <w:t>体， 由于该水属较清洁水，对当地地表水和地下水水质质量影响不大</w:t>
            </w:r>
            <w:r>
              <w:rPr>
                <w:rFonts w:ascii="宋体" w:hAnsi="宋体" w:eastAsia="宋体" w:cs="宋体"/>
                <w:spacing w:val="3"/>
                <w:sz w:val="20"/>
                <w:szCs w:val="20"/>
              </w:rPr>
              <w:t>。</w:t>
            </w:r>
          </w:p>
          <w:p>
            <w:pPr>
              <w:spacing w:before="154" w:line="230" w:lineRule="auto"/>
              <w:ind w:left="102"/>
              <w:rPr>
                <w:rFonts w:ascii="黑体" w:hAnsi="黑体" w:eastAsia="黑体" w:cs="黑体"/>
                <w:sz w:val="20"/>
                <w:szCs w:val="20"/>
              </w:rPr>
            </w:pPr>
            <w:r>
              <w:rPr>
                <w:rFonts w:ascii="Times New Roman" w:hAnsi="Times New Roman" w:eastAsia="Times New Roman" w:cs="Times New Roman"/>
                <w:spacing w:val="3"/>
                <w:sz w:val="20"/>
                <w:szCs w:val="20"/>
              </w:rPr>
              <w:t xml:space="preserve">4 </w:t>
            </w:r>
            <w:r>
              <w:rPr>
                <w:rFonts w:ascii="宋体" w:hAnsi="宋体" w:eastAsia="宋体" w:cs="宋体"/>
                <w:spacing w:val="3"/>
                <w:sz w:val="20"/>
                <w:szCs w:val="20"/>
              </w:rPr>
              <w:t>、</w:t>
            </w:r>
            <w:r>
              <w:rPr>
                <w:rFonts w:ascii="黑体" w:hAnsi="黑体" w:eastAsia="黑体" w:cs="黑体"/>
                <w:spacing w:val="3"/>
                <w:sz w:val="20"/>
                <w:szCs w:val="20"/>
              </w:rPr>
              <w:t>声环境保护措施</w:t>
            </w:r>
          </w:p>
          <w:p>
            <w:pPr>
              <w:spacing w:before="151" w:line="369" w:lineRule="auto"/>
              <w:ind w:left="106" w:right="104" w:firstLine="420"/>
              <w:rPr>
                <w:rFonts w:ascii="宋体" w:hAnsi="宋体" w:eastAsia="宋体" w:cs="宋体"/>
                <w:sz w:val="20"/>
                <w:szCs w:val="20"/>
              </w:rPr>
            </w:pPr>
            <w:r>
              <w:rPr>
                <w:rFonts w:ascii="宋体" w:hAnsi="宋体" w:eastAsia="宋体" w:cs="宋体"/>
                <w:spacing w:val="11"/>
                <w:sz w:val="20"/>
                <w:szCs w:val="20"/>
              </w:rPr>
              <w:t>根据我国环境保护贯彻</w:t>
            </w:r>
            <w:r>
              <w:rPr>
                <w:rFonts w:ascii="Times New Roman" w:hAnsi="Times New Roman" w:eastAsia="Times New Roman" w:cs="Times New Roman"/>
                <w:spacing w:val="11"/>
                <w:sz w:val="20"/>
                <w:szCs w:val="20"/>
              </w:rPr>
              <w:t>“</w:t>
            </w:r>
            <w:r>
              <w:rPr>
                <w:rFonts w:ascii="宋体" w:hAnsi="宋体" w:eastAsia="宋体" w:cs="宋体"/>
                <w:spacing w:val="11"/>
                <w:sz w:val="20"/>
                <w:szCs w:val="20"/>
              </w:rPr>
              <w:t>预防为主、防治结合、综合治理</w:t>
            </w:r>
            <w:r>
              <w:rPr>
                <w:rFonts w:ascii="Times New Roman" w:hAnsi="Times New Roman" w:eastAsia="Times New Roman" w:cs="Times New Roman"/>
                <w:spacing w:val="11"/>
                <w:sz w:val="20"/>
                <w:szCs w:val="20"/>
              </w:rPr>
              <w:t>”</w:t>
            </w:r>
            <w:r>
              <w:rPr>
                <w:rFonts w:ascii="宋体" w:hAnsi="宋体" w:eastAsia="宋体" w:cs="宋体"/>
                <w:spacing w:val="11"/>
                <w:sz w:val="20"/>
                <w:szCs w:val="20"/>
              </w:rPr>
              <w:t>和</w:t>
            </w:r>
            <w:r>
              <w:rPr>
                <w:rFonts w:ascii="Times New Roman" w:hAnsi="Times New Roman" w:eastAsia="Times New Roman" w:cs="Times New Roman"/>
                <w:spacing w:val="11"/>
                <w:sz w:val="20"/>
                <w:szCs w:val="20"/>
              </w:rPr>
              <w:t>“</w:t>
            </w:r>
            <w:r>
              <w:rPr>
                <w:rFonts w:ascii="宋体" w:hAnsi="宋体" w:eastAsia="宋体" w:cs="宋体"/>
                <w:spacing w:val="11"/>
                <w:sz w:val="20"/>
                <w:szCs w:val="20"/>
              </w:rPr>
              <w:t>谁污染谁治理</w:t>
            </w:r>
            <w:r>
              <w:rPr>
                <w:rFonts w:ascii="Times New Roman" w:hAnsi="Times New Roman" w:eastAsia="Times New Roman" w:cs="Times New Roman"/>
                <w:spacing w:val="11"/>
                <w:sz w:val="20"/>
                <w:szCs w:val="20"/>
              </w:rPr>
              <w:t>”</w:t>
            </w:r>
            <w:r>
              <w:rPr>
                <w:rFonts w:ascii="宋体" w:hAnsi="宋体" w:eastAsia="宋体" w:cs="宋体"/>
                <w:spacing w:val="11"/>
                <w:sz w:val="20"/>
                <w:szCs w:val="20"/>
              </w:rPr>
              <w:t>的基本</w:t>
            </w:r>
            <w:r>
              <w:rPr>
                <w:rFonts w:ascii="宋体" w:hAnsi="宋体" w:eastAsia="宋体" w:cs="宋体"/>
                <w:sz w:val="20"/>
                <w:szCs w:val="20"/>
              </w:rPr>
              <w:t xml:space="preserve"> </w:t>
            </w:r>
            <w:r>
              <w:rPr>
                <w:rFonts w:ascii="宋体" w:hAnsi="宋体" w:eastAsia="宋体" w:cs="宋体"/>
                <w:spacing w:val="14"/>
                <w:sz w:val="20"/>
                <w:szCs w:val="20"/>
              </w:rPr>
              <w:t>原则，</w:t>
            </w:r>
            <w:r>
              <w:rPr>
                <w:rFonts w:ascii="宋体" w:hAnsi="宋体" w:eastAsia="宋体" w:cs="宋体"/>
                <w:spacing w:val="7"/>
                <w:sz w:val="20"/>
                <w:szCs w:val="20"/>
              </w:rPr>
              <w:t>同时结合本工程区域的特点， 以本项目满足声环境功能区划为噪声污染治理的原</w:t>
            </w:r>
            <w:r>
              <w:rPr>
                <w:rFonts w:ascii="宋体" w:hAnsi="宋体" w:eastAsia="宋体" w:cs="宋体"/>
                <w:sz w:val="20"/>
                <w:szCs w:val="20"/>
              </w:rPr>
              <w:t xml:space="preserve"> </w:t>
            </w:r>
            <w:r>
              <w:rPr>
                <w:rFonts w:ascii="宋体" w:hAnsi="宋体" w:eastAsia="宋体" w:cs="宋体"/>
                <w:spacing w:val="20"/>
                <w:sz w:val="20"/>
                <w:szCs w:val="20"/>
              </w:rPr>
              <w:t>则</w:t>
            </w:r>
            <w:r>
              <w:rPr>
                <w:rFonts w:ascii="宋体" w:hAnsi="宋体" w:eastAsia="宋体" w:cs="宋体"/>
                <w:spacing w:val="14"/>
                <w:sz w:val="20"/>
                <w:szCs w:val="20"/>
              </w:rPr>
              <w:t>。</w:t>
            </w:r>
            <w:r>
              <w:rPr>
                <w:rFonts w:ascii="宋体" w:hAnsi="宋体" w:eastAsia="宋体" w:cs="宋体"/>
                <w:spacing w:val="10"/>
                <w:sz w:val="20"/>
                <w:szCs w:val="20"/>
              </w:rPr>
              <w:t>若环境噪声现状值不超标，公路交通噪声使环境噪声超标，应采取措施使环境噪声</w:t>
            </w:r>
            <w:r>
              <w:rPr>
                <w:rFonts w:ascii="宋体" w:hAnsi="宋体" w:eastAsia="宋体" w:cs="宋体"/>
                <w:sz w:val="20"/>
                <w:szCs w:val="20"/>
              </w:rPr>
              <w:t xml:space="preserve"> </w:t>
            </w:r>
            <w:r>
              <w:rPr>
                <w:rFonts w:ascii="宋体" w:hAnsi="宋体" w:eastAsia="宋体" w:cs="宋体"/>
                <w:spacing w:val="12"/>
                <w:sz w:val="20"/>
                <w:szCs w:val="20"/>
              </w:rPr>
              <w:t>达</w:t>
            </w:r>
            <w:r>
              <w:rPr>
                <w:rFonts w:ascii="宋体" w:hAnsi="宋体" w:eastAsia="宋体" w:cs="宋体"/>
                <w:spacing w:val="9"/>
                <w:sz w:val="20"/>
                <w:szCs w:val="20"/>
              </w:rPr>
              <w:t>标。针对项目实际情况，要求采取以下措施：</w:t>
            </w:r>
          </w:p>
          <w:p>
            <w:pPr>
              <w:spacing w:before="1" w:line="228" w:lineRule="auto"/>
              <w:ind w:left="599"/>
              <w:rPr>
                <w:rFonts w:ascii="宋体" w:hAnsi="宋体" w:eastAsia="宋体" w:cs="宋体"/>
                <w:sz w:val="20"/>
                <w:szCs w:val="20"/>
              </w:rPr>
            </w:pPr>
            <w:r>
              <w:rPr>
                <w:rFonts w:ascii="宋体" w:hAnsi="宋体" w:eastAsia="宋体" w:cs="宋体"/>
                <w:spacing w:val="18"/>
                <w:sz w:val="17"/>
                <w:szCs w:val="17"/>
              </w:rPr>
              <w:t xml:space="preserve">1 </w:t>
            </w:r>
            <w:r>
              <w:rPr>
                <w:rFonts w:ascii="宋体" w:hAnsi="宋体" w:eastAsia="宋体" w:cs="宋体"/>
                <w:spacing w:val="10"/>
                <w:sz w:val="17"/>
                <w:szCs w:val="17"/>
              </w:rPr>
              <w:t xml:space="preserve"> </w:t>
            </w:r>
            <w:r>
              <w:rPr>
                <w:rFonts w:ascii="宋体" w:hAnsi="宋体" w:eastAsia="宋体" w:cs="宋体"/>
                <w:spacing w:val="9"/>
                <w:sz w:val="17"/>
                <w:szCs w:val="17"/>
              </w:rPr>
              <w:t xml:space="preserve"> </w:t>
            </w:r>
            <w:r>
              <w:rPr>
                <w:rFonts w:ascii="宋体" w:hAnsi="宋体" w:eastAsia="宋体" w:cs="宋体"/>
                <w:spacing w:val="9"/>
                <w:sz w:val="20"/>
                <w:szCs w:val="20"/>
              </w:rPr>
              <w:t>声源控制。采用改性沥青混凝土低噪声路面的工程控制措施。根据相关试验结</w:t>
            </w:r>
          </w:p>
        </w:tc>
      </w:tr>
    </w:tbl>
    <w:p>
      <w:pPr>
        <w:spacing w:line="138" w:lineRule="exact"/>
        <w:rPr>
          <w:rFonts w:ascii="Arial"/>
          <w:sz w:val="12"/>
        </w:rPr>
      </w:pPr>
    </w:p>
    <w:p>
      <w:pPr>
        <w:sectPr>
          <w:footerReference r:id="rId97" w:type="default"/>
          <w:pgSz w:w="11907" w:h="16840"/>
          <w:pgMar w:top="400" w:right="1476" w:bottom="1477" w:left="1475" w:header="0" w:footer="1317" w:gutter="0"/>
          <w:cols w:space="720" w:num="1"/>
        </w:sectPr>
      </w:pPr>
    </w:p>
    <w:p/>
    <w:p/>
    <w:p/>
    <w:p/>
    <w:p>
      <w:pPr>
        <w:spacing w:line="221" w:lineRule="exact"/>
      </w:pPr>
    </w:p>
    <w:tbl>
      <w:tblPr>
        <w:tblStyle w:val="4"/>
        <w:tblW w:w="894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82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7" w:hRule="atLeast"/>
        </w:trPr>
        <w:tc>
          <w:tcPr>
            <w:tcW w:w="724" w:type="dxa"/>
            <w:tcBorders>
              <w:left w:val="single" w:color="00000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28" w:lineRule="auto"/>
              <w:ind w:left="130"/>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运</w:t>
            </w:r>
            <w:r>
              <w:rPr>
                <w:rFonts w:ascii="宋体" w:hAnsi="宋体" w:eastAsia="宋体" w:cs="宋体"/>
                <w:spacing w:val="15"/>
                <w:sz w:val="20"/>
                <w:szCs w:val="20"/>
                <w14:textOutline w14:w="3795" w14:cap="sq" w14:cmpd="sng">
                  <w14:solidFill>
                    <w14:srgbClr w14:val="000000"/>
                  </w14:solidFill>
                  <w14:prstDash w14:val="solid"/>
                  <w14:bevel/>
                </w14:textOutline>
              </w:rPr>
              <w:t>营</w:t>
            </w:r>
          </w:p>
          <w:p>
            <w:pPr>
              <w:spacing w:before="24" w:line="228" w:lineRule="auto"/>
              <w:ind w:left="133"/>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期生</w:t>
            </w:r>
          </w:p>
          <w:p>
            <w:pPr>
              <w:spacing w:before="25" w:line="230" w:lineRule="auto"/>
              <w:ind w:left="130"/>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态</w:t>
            </w:r>
            <w:r>
              <w:rPr>
                <w:rFonts w:ascii="宋体" w:hAnsi="宋体" w:eastAsia="宋体" w:cs="宋体"/>
                <w:spacing w:val="15"/>
                <w:sz w:val="20"/>
                <w:szCs w:val="20"/>
                <w14:textOutline w14:w="3795" w14:cap="sq" w14:cmpd="sng">
                  <w14:solidFill>
                    <w14:srgbClr w14:val="000000"/>
                  </w14:solidFill>
                  <w14:prstDash w14:val="solid"/>
                  <w14:bevel/>
                </w14:textOutline>
              </w:rPr>
              <w:t>环</w:t>
            </w:r>
          </w:p>
          <w:p>
            <w:pPr>
              <w:spacing w:before="22" w:line="228" w:lineRule="auto"/>
              <w:ind w:left="131"/>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境保</w:t>
            </w:r>
          </w:p>
          <w:p>
            <w:pPr>
              <w:spacing w:before="24" w:line="228" w:lineRule="auto"/>
              <w:ind w:left="131"/>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护措</w:t>
            </w:r>
          </w:p>
          <w:p>
            <w:pPr>
              <w:spacing w:before="25" w:line="231" w:lineRule="auto"/>
              <w:ind w:left="244"/>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施</w:t>
            </w:r>
          </w:p>
        </w:tc>
        <w:tc>
          <w:tcPr>
            <w:tcW w:w="8216" w:type="dxa"/>
            <w:tcBorders>
              <w:right w:val="single" w:color="000000" w:sz="6" w:space="0"/>
            </w:tcBorders>
            <w:vAlign w:val="top"/>
          </w:tcPr>
          <w:p>
            <w:pPr>
              <w:spacing w:before="115" w:line="382" w:lineRule="auto"/>
              <w:ind w:left="107" w:right="104" w:firstLine="4"/>
              <w:rPr>
                <w:rFonts w:ascii="宋体" w:hAnsi="宋体" w:eastAsia="宋体" w:cs="宋体"/>
                <w:sz w:val="20"/>
                <w:szCs w:val="20"/>
              </w:rPr>
            </w:pPr>
            <w:r>
              <w:rPr>
                <w:rFonts w:ascii="宋体" w:hAnsi="宋体" w:eastAsia="宋体" w:cs="宋体"/>
                <w:spacing w:val="14"/>
                <w:sz w:val="20"/>
                <w:szCs w:val="20"/>
              </w:rPr>
              <w:t>果表</w:t>
            </w:r>
            <w:r>
              <w:rPr>
                <w:rFonts w:ascii="宋体" w:hAnsi="宋体" w:eastAsia="宋体" w:cs="宋体"/>
                <w:spacing w:val="9"/>
                <w:sz w:val="20"/>
                <w:szCs w:val="20"/>
              </w:rPr>
              <w:t>明</w:t>
            </w:r>
            <w:r>
              <w:rPr>
                <w:rFonts w:ascii="宋体" w:hAnsi="宋体" w:eastAsia="宋体" w:cs="宋体"/>
                <w:spacing w:val="7"/>
                <w:sz w:val="20"/>
                <w:szCs w:val="20"/>
              </w:rPr>
              <w:t>，铺设这种吸声路面，可以使单车的噪声暴露级降低</w:t>
            </w:r>
            <w:r>
              <w:rPr>
                <w:rFonts w:ascii="Times New Roman" w:hAnsi="Times New Roman" w:eastAsia="Times New Roman" w:cs="Times New Roman"/>
                <w:spacing w:val="7"/>
                <w:sz w:val="20"/>
                <w:szCs w:val="20"/>
              </w:rPr>
              <w:t>3~5</w:t>
            </w:r>
            <w:r>
              <w:rPr>
                <w:rFonts w:ascii="Times New Roman" w:hAnsi="Times New Roman" w:eastAsia="Times New Roman" w:cs="Times New Roman"/>
                <w:sz w:val="20"/>
                <w:szCs w:val="20"/>
              </w:rPr>
              <w:t>dB</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w:t>
            </w:r>
            <w:r>
              <w:rPr>
                <w:rFonts w:ascii="Times New Roman" w:hAnsi="Times New Roman" w:eastAsia="Times New Roman" w:cs="Times New Roman"/>
                <w:sz w:val="20"/>
                <w:szCs w:val="20"/>
              </w:rPr>
              <w:t>A</w:t>
            </w:r>
            <w:r>
              <w:rPr>
                <w:rFonts w:ascii="宋体" w:hAnsi="宋体" w:eastAsia="宋体" w:cs="宋体"/>
                <w:spacing w:val="7"/>
                <w:sz w:val="20"/>
                <w:szCs w:val="20"/>
              </w:rPr>
              <w:t>) 。大桥两端设置</w:t>
            </w:r>
            <w:r>
              <w:rPr>
                <w:rFonts w:ascii="宋体" w:hAnsi="宋体" w:eastAsia="宋体" w:cs="宋体"/>
                <w:sz w:val="20"/>
                <w:szCs w:val="20"/>
              </w:rPr>
              <w:t xml:space="preserve"> </w:t>
            </w:r>
            <w:r>
              <w:rPr>
                <w:rFonts w:ascii="宋体" w:hAnsi="宋体" w:eastAsia="宋体" w:cs="宋体"/>
                <w:spacing w:val="18"/>
                <w:sz w:val="20"/>
                <w:szCs w:val="20"/>
              </w:rPr>
              <w:t>禁</w:t>
            </w:r>
            <w:r>
              <w:rPr>
                <w:rFonts w:ascii="宋体" w:hAnsi="宋体" w:eastAsia="宋体" w:cs="宋体"/>
                <w:spacing w:val="16"/>
                <w:sz w:val="20"/>
                <w:szCs w:val="20"/>
              </w:rPr>
              <w:t>鸣</w:t>
            </w:r>
            <w:r>
              <w:rPr>
                <w:rFonts w:ascii="宋体" w:hAnsi="宋体" w:eastAsia="宋体" w:cs="宋体"/>
                <w:spacing w:val="9"/>
                <w:sz w:val="20"/>
                <w:szCs w:val="20"/>
              </w:rPr>
              <w:t>标识、限速等措施；营运过程中做好路面的维修保养，对受损路面应及时修复。</w:t>
            </w:r>
          </w:p>
          <w:p>
            <w:pPr>
              <w:spacing w:before="12" w:line="227" w:lineRule="auto"/>
              <w:ind w:left="588"/>
              <w:rPr>
                <w:rFonts w:ascii="宋体" w:hAnsi="宋体" w:eastAsia="宋体" w:cs="宋体"/>
                <w:sz w:val="20"/>
                <w:szCs w:val="20"/>
              </w:rPr>
            </w:pPr>
            <w:r>
              <w:rPr>
                <w:rFonts w:ascii="宋体" w:hAnsi="宋体" w:eastAsia="宋体" w:cs="宋体"/>
                <w:spacing w:val="9"/>
                <w:sz w:val="17"/>
                <w:szCs w:val="17"/>
              </w:rPr>
              <w:t xml:space="preserve">2   </w:t>
            </w:r>
            <w:r>
              <w:rPr>
                <w:rFonts w:ascii="宋体" w:hAnsi="宋体" w:eastAsia="宋体" w:cs="宋体"/>
                <w:spacing w:val="9"/>
                <w:sz w:val="20"/>
                <w:szCs w:val="20"/>
              </w:rPr>
              <w:t>声传播途径控制。在桥梁两侧设防撞墙；大桥两端种植绿化带等措施</w:t>
            </w:r>
            <w:r>
              <w:rPr>
                <w:rFonts w:ascii="宋体" w:hAnsi="宋体" w:eastAsia="宋体" w:cs="宋体"/>
                <w:spacing w:val="2"/>
                <w:sz w:val="20"/>
                <w:szCs w:val="20"/>
              </w:rPr>
              <w:t>。</w:t>
            </w:r>
          </w:p>
          <w:p>
            <w:pPr>
              <w:spacing w:before="152" w:line="370" w:lineRule="auto"/>
              <w:ind w:left="107" w:right="158" w:firstLine="482"/>
              <w:rPr>
                <w:rFonts w:ascii="宋体" w:hAnsi="宋体" w:eastAsia="宋体" w:cs="宋体"/>
                <w:sz w:val="20"/>
                <w:szCs w:val="20"/>
              </w:rPr>
            </w:pPr>
            <w:r>
              <w:rPr>
                <w:rFonts w:ascii="宋体" w:hAnsi="宋体" w:eastAsia="宋体" w:cs="宋体"/>
                <w:spacing w:val="16"/>
                <w:sz w:val="17"/>
                <w:szCs w:val="17"/>
              </w:rPr>
              <w:t>3</w:t>
            </w:r>
            <w:r>
              <w:rPr>
                <w:rFonts w:ascii="宋体" w:hAnsi="宋体" w:eastAsia="宋体" w:cs="宋体"/>
                <w:spacing w:val="13"/>
                <w:sz w:val="17"/>
                <w:szCs w:val="17"/>
              </w:rPr>
              <w:t xml:space="preserve"> </w:t>
            </w:r>
            <w:r>
              <w:rPr>
                <w:rFonts w:ascii="宋体" w:hAnsi="宋体" w:eastAsia="宋体" w:cs="宋体"/>
                <w:spacing w:val="8"/>
                <w:sz w:val="17"/>
                <w:szCs w:val="17"/>
              </w:rPr>
              <w:t xml:space="preserve">  </w:t>
            </w:r>
            <w:r>
              <w:rPr>
                <w:rFonts w:ascii="宋体" w:hAnsi="宋体" w:eastAsia="宋体" w:cs="宋体"/>
                <w:spacing w:val="8"/>
                <w:sz w:val="20"/>
                <w:szCs w:val="20"/>
              </w:rPr>
              <w:t>强化管理。在桥梁两端入口处，设置减速带、限速、限载及禁止鸣笛的标志；</w:t>
            </w:r>
            <w:r>
              <w:rPr>
                <w:rFonts w:ascii="宋体" w:hAnsi="宋体" w:eastAsia="宋体" w:cs="宋体"/>
                <w:sz w:val="20"/>
                <w:szCs w:val="20"/>
              </w:rPr>
              <w:t xml:space="preserve"> </w:t>
            </w:r>
            <w:r>
              <w:rPr>
                <w:rFonts w:ascii="宋体" w:hAnsi="宋体" w:eastAsia="宋体" w:cs="宋体"/>
                <w:spacing w:val="11"/>
                <w:sz w:val="20"/>
                <w:szCs w:val="20"/>
              </w:rPr>
              <w:t>加</w:t>
            </w:r>
            <w:r>
              <w:rPr>
                <w:rFonts w:ascii="宋体" w:hAnsi="宋体" w:eastAsia="宋体" w:cs="宋体"/>
                <w:spacing w:val="9"/>
                <w:sz w:val="20"/>
                <w:szCs w:val="20"/>
              </w:rPr>
              <w:t>强交通管理，避免因交通拥堵而造成噪声超标。</w:t>
            </w:r>
          </w:p>
          <w:p>
            <w:pPr>
              <w:spacing w:before="1" w:line="368" w:lineRule="auto"/>
              <w:ind w:left="106" w:right="104" w:firstLine="478"/>
              <w:rPr>
                <w:rFonts w:ascii="宋体" w:hAnsi="宋体" w:eastAsia="宋体" w:cs="宋体"/>
                <w:sz w:val="20"/>
                <w:szCs w:val="20"/>
              </w:rPr>
            </w:pPr>
            <w:r>
              <w:rPr>
                <w:rFonts w:ascii="宋体" w:hAnsi="宋体" w:eastAsia="宋体" w:cs="宋体"/>
                <w:spacing w:val="10"/>
                <w:sz w:val="17"/>
                <w:szCs w:val="17"/>
              </w:rPr>
              <w:t xml:space="preserve">4   </w:t>
            </w:r>
            <w:r>
              <w:rPr>
                <w:rFonts w:ascii="宋体" w:hAnsi="宋体" w:eastAsia="宋体" w:cs="宋体"/>
                <w:spacing w:val="10"/>
                <w:sz w:val="20"/>
                <w:szCs w:val="20"/>
              </w:rPr>
              <w:t>对项目沿线声环境质量进行跟踪监测，根据监测的实际情况，采取相应的噪</w:t>
            </w:r>
            <w:r>
              <w:rPr>
                <w:rFonts w:ascii="宋体" w:hAnsi="宋体" w:eastAsia="宋体" w:cs="宋体"/>
                <w:spacing w:val="5"/>
                <w:sz w:val="20"/>
                <w:szCs w:val="20"/>
              </w:rPr>
              <w:t>声</w:t>
            </w:r>
            <w:r>
              <w:rPr>
                <w:rFonts w:ascii="宋体" w:hAnsi="宋体" w:eastAsia="宋体" w:cs="宋体"/>
                <w:sz w:val="20"/>
                <w:szCs w:val="20"/>
              </w:rPr>
              <w:t xml:space="preserve"> </w:t>
            </w:r>
            <w:r>
              <w:rPr>
                <w:rFonts w:ascii="宋体" w:hAnsi="宋体" w:eastAsia="宋体" w:cs="宋体"/>
                <w:spacing w:val="6"/>
                <w:sz w:val="20"/>
                <w:szCs w:val="20"/>
              </w:rPr>
              <w:t>控制措施。</w:t>
            </w:r>
          </w:p>
          <w:p>
            <w:pPr>
              <w:spacing w:before="1" w:line="227" w:lineRule="auto"/>
              <w:ind w:left="590"/>
              <w:rPr>
                <w:rFonts w:ascii="宋体" w:hAnsi="宋体" w:eastAsia="宋体" w:cs="宋体"/>
                <w:sz w:val="20"/>
                <w:szCs w:val="20"/>
              </w:rPr>
            </w:pPr>
            <w:r>
              <w:rPr>
                <w:rFonts w:ascii="宋体" w:hAnsi="宋体" w:eastAsia="宋体" w:cs="宋体"/>
                <w:spacing w:val="16"/>
                <w:sz w:val="17"/>
                <w:szCs w:val="17"/>
              </w:rPr>
              <w:t>5</w:t>
            </w:r>
            <w:r>
              <w:rPr>
                <w:rFonts w:ascii="宋体" w:hAnsi="宋体" w:eastAsia="宋体" w:cs="宋体"/>
                <w:spacing w:val="11"/>
                <w:sz w:val="17"/>
                <w:szCs w:val="17"/>
              </w:rPr>
              <w:t xml:space="preserve"> </w:t>
            </w:r>
            <w:r>
              <w:rPr>
                <w:rFonts w:ascii="宋体" w:hAnsi="宋体" w:eastAsia="宋体" w:cs="宋体"/>
                <w:spacing w:val="8"/>
                <w:sz w:val="17"/>
                <w:szCs w:val="17"/>
              </w:rPr>
              <w:t xml:space="preserve">  </w:t>
            </w:r>
            <w:r>
              <w:rPr>
                <w:rFonts w:ascii="宋体" w:hAnsi="宋体" w:eastAsia="宋体" w:cs="宋体"/>
                <w:spacing w:val="8"/>
                <w:sz w:val="20"/>
                <w:szCs w:val="20"/>
              </w:rPr>
              <w:t>加强对车辆噪声监测，严格控制噪声超标车辆上路。</w:t>
            </w:r>
          </w:p>
          <w:p>
            <w:pPr>
              <w:spacing w:before="154" w:line="227" w:lineRule="auto"/>
              <w:ind w:left="526"/>
              <w:rPr>
                <w:rFonts w:ascii="宋体" w:hAnsi="宋体" w:eastAsia="宋体" w:cs="宋体"/>
                <w:sz w:val="20"/>
                <w:szCs w:val="20"/>
              </w:rPr>
            </w:pPr>
            <w:r>
              <w:rPr>
                <w:rFonts w:ascii="宋体" w:hAnsi="宋体" w:eastAsia="宋体" w:cs="宋体"/>
                <w:spacing w:val="18"/>
                <w:sz w:val="20"/>
                <w:szCs w:val="20"/>
              </w:rPr>
              <w:t>采</w:t>
            </w:r>
            <w:r>
              <w:rPr>
                <w:rFonts w:ascii="宋体" w:hAnsi="宋体" w:eastAsia="宋体" w:cs="宋体"/>
                <w:spacing w:val="11"/>
                <w:sz w:val="20"/>
                <w:szCs w:val="20"/>
              </w:rPr>
              <w:t>取</w:t>
            </w:r>
            <w:r>
              <w:rPr>
                <w:rFonts w:ascii="宋体" w:hAnsi="宋体" w:eastAsia="宋体" w:cs="宋体"/>
                <w:spacing w:val="9"/>
                <w:sz w:val="20"/>
                <w:szCs w:val="20"/>
              </w:rPr>
              <w:t>以上的环保措施治理后，不会因本项目建设产生噪声扰民现象。</w:t>
            </w:r>
          </w:p>
          <w:p>
            <w:pPr>
              <w:spacing w:before="152" w:line="242" w:lineRule="auto"/>
              <w:ind w:left="109"/>
              <w:rPr>
                <w:rFonts w:ascii="黑体" w:hAnsi="黑体" w:eastAsia="黑体" w:cs="黑体"/>
                <w:sz w:val="20"/>
                <w:szCs w:val="20"/>
              </w:rPr>
            </w:pPr>
            <w:r>
              <w:rPr>
                <w:rFonts w:ascii="Times New Roman" w:hAnsi="Times New Roman" w:eastAsia="Times New Roman" w:cs="Times New Roman"/>
                <w:spacing w:val="-2"/>
                <w:sz w:val="20"/>
                <w:szCs w:val="20"/>
              </w:rPr>
              <w:t>5</w:t>
            </w:r>
            <w:r>
              <w:rPr>
                <w:rFonts w:ascii="Times New Roman" w:hAnsi="Times New Roman" w:eastAsia="Times New Roman" w:cs="Times New Roman"/>
                <w:spacing w:val="-1"/>
                <w:sz w:val="20"/>
                <w:szCs w:val="20"/>
              </w:rPr>
              <w:t xml:space="preserve"> </w:t>
            </w:r>
            <w:r>
              <w:rPr>
                <w:rFonts w:ascii="黑体" w:hAnsi="黑体" w:eastAsia="黑体" w:cs="黑体"/>
                <w:spacing w:val="-1"/>
                <w:sz w:val="20"/>
                <w:szCs w:val="20"/>
              </w:rPr>
              <w:t>、固体废物</w:t>
            </w:r>
          </w:p>
          <w:p>
            <w:pPr>
              <w:spacing w:before="141" w:line="369" w:lineRule="auto"/>
              <w:ind w:left="107" w:right="105" w:firstLine="420"/>
              <w:rPr>
                <w:rFonts w:ascii="宋体" w:hAnsi="宋体" w:eastAsia="宋体" w:cs="宋体"/>
                <w:sz w:val="20"/>
                <w:szCs w:val="20"/>
              </w:rPr>
            </w:pPr>
            <w:r>
              <w:rPr>
                <w:rFonts w:ascii="宋体" w:hAnsi="宋体" w:eastAsia="宋体" w:cs="宋体"/>
                <w:spacing w:val="20"/>
                <w:sz w:val="20"/>
                <w:szCs w:val="20"/>
              </w:rPr>
              <w:t>本</w:t>
            </w:r>
            <w:r>
              <w:rPr>
                <w:rFonts w:ascii="宋体" w:hAnsi="宋体" w:eastAsia="宋体" w:cs="宋体"/>
                <w:spacing w:val="12"/>
                <w:sz w:val="20"/>
                <w:szCs w:val="20"/>
              </w:rPr>
              <w:t>项</w:t>
            </w:r>
            <w:r>
              <w:rPr>
                <w:rFonts w:ascii="宋体" w:hAnsi="宋体" w:eastAsia="宋体" w:cs="宋体"/>
                <w:spacing w:val="10"/>
                <w:sz w:val="20"/>
                <w:szCs w:val="20"/>
              </w:rPr>
              <w:t>目为城市桥梁新建工程，不设服务区、收费站等，因而在运营期间没有生活垃</w:t>
            </w:r>
            <w:r>
              <w:rPr>
                <w:rFonts w:ascii="宋体" w:hAnsi="宋体" w:eastAsia="宋体" w:cs="宋体"/>
                <w:sz w:val="20"/>
                <w:szCs w:val="20"/>
              </w:rPr>
              <w:t xml:space="preserve"> </w:t>
            </w:r>
            <w:r>
              <w:rPr>
                <w:rFonts w:ascii="宋体" w:hAnsi="宋体" w:eastAsia="宋体" w:cs="宋体"/>
                <w:spacing w:val="20"/>
                <w:sz w:val="20"/>
                <w:szCs w:val="20"/>
              </w:rPr>
              <w:t>圾</w:t>
            </w:r>
            <w:r>
              <w:rPr>
                <w:rFonts w:ascii="宋体" w:hAnsi="宋体" w:eastAsia="宋体" w:cs="宋体"/>
                <w:spacing w:val="13"/>
                <w:sz w:val="20"/>
                <w:szCs w:val="20"/>
              </w:rPr>
              <w:t>及</w:t>
            </w:r>
            <w:r>
              <w:rPr>
                <w:rFonts w:ascii="宋体" w:hAnsi="宋体" w:eastAsia="宋体" w:cs="宋体"/>
                <w:spacing w:val="10"/>
                <w:sz w:val="20"/>
                <w:szCs w:val="20"/>
              </w:rPr>
              <w:t>其他固废产生。营运期的固体废物来自道路清扫垃圾、道路维修过程产生的垃圾，</w:t>
            </w:r>
            <w:r>
              <w:rPr>
                <w:rFonts w:ascii="宋体" w:hAnsi="宋体" w:eastAsia="宋体" w:cs="宋体"/>
                <w:sz w:val="20"/>
                <w:szCs w:val="20"/>
              </w:rPr>
              <w:t xml:space="preserve"> </w:t>
            </w:r>
            <w:r>
              <w:rPr>
                <w:rFonts w:ascii="宋体" w:hAnsi="宋体" w:eastAsia="宋体" w:cs="宋体"/>
                <w:spacing w:val="20"/>
                <w:sz w:val="20"/>
                <w:szCs w:val="20"/>
              </w:rPr>
              <w:t>产</w:t>
            </w:r>
            <w:r>
              <w:rPr>
                <w:rFonts w:ascii="宋体" w:hAnsi="宋体" w:eastAsia="宋体" w:cs="宋体"/>
                <w:spacing w:val="13"/>
                <w:sz w:val="20"/>
                <w:szCs w:val="20"/>
              </w:rPr>
              <w:t>生</w:t>
            </w:r>
            <w:r>
              <w:rPr>
                <w:rFonts w:ascii="宋体" w:hAnsi="宋体" w:eastAsia="宋体" w:cs="宋体"/>
                <w:spacing w:val="10"/>
                <w:sz w:val="20"/>
                <w:szCs w:val="20"/>
              </w:rPr>
              <w:t>量不大，垃圾由市政环卫部门统一清理，其环境影响甚微；另外，在桥梁两侧设置</w:t>
            </w:r>
            <w:r>
              <w:rPr>
                <w:rFonts w:ascii="宋体" w:hAnsi="宋体" w:eastAsia="宋体" w:cs="宋体"/>
                <w:sz w:val="20"/>
                <w:szCs w:val="20"/>
              </w:rPr>
              <w:t xml:space="preserve"> </w:t>
            </w:r>
            <w:r>
              <w:rPr>
                <w:rFonts w:ascii="宋体" w:hAnsi="宋体" w:eastAsia="宋体" w:cs="宋体"/>
                <w:spacing w:val="13"/>
                <w:sz w:val="20"/>
                <w:szCs w:val="20"/>
              </w:rPr>
              <w:t>适</w:t>
            </w:r>
            <w:r>
              <w:rPr>
                <w:rFonts w:ascii="宋体" w:hAnsi="宋体" w:eastAsia="宋体" w:cs="宋体"/>
                <w:spacing w:val="7"/>
                <w:sz w:val="20"/>
                <w:szCs w:val="20"/>
              </w:rPr>
              <w:t>当的垃圾收集桶。</w:t>
            </w:r>
          </w:p>
          <w:p>
            <w:pPr>
              <w:spacing w:line="241" w:lineRule="auto"/>
              <w:ind w:left="108"/>
              <w:rPr>
                <w:rFonts w:ascii="黑体" w:hAnsi="黑体" w:eastAsia="黑体" w:cs="黑体"/>
                <w:sz w:val="20"/>
                <w:szCs w:val="20"/>
              </w:rPr>
            </w:pPr>
            <w:r>
              <w:rPr>
                <w:rFonts w:ascii="Times New Roman" w:hAnsi="Times New Roman" w:eastAsia="Times New Roman" w:cs="Times New Roman"/>
                <w:spacing w:val="5"/>
                <w:sz w:val="20"/>
                <w:szCs w:val="20"/>
              </w:rPr>
              <w:t>6</w:t>
            </w:r>
            <w:r>
              <w:rPr>
                <w:rFonts w:ascii="Times New Roman" w:hAnsi="Times New Roman" w:eastAsia="Times New Roman" w:cs="Times New Roman"/>
                <w:spacing w:val="3"/>
                <w:sz w:val="20"/>
                <w:szCs w:val="20"/>
              </w:rPr>
              <w:t xml:space="preserve"> </w:t>
            </w:r>
            <w:r>
              <w:rPr>
                <w:rFonts w:ascii="黑体" w:hAnsi="黑体" w:eastAsia="黑体" w:cs="黑体"/>
                <w:spacing w:val="3"/>
                <w:sz w:val="20"/>
                <w:szCs w:val="20"/>
              </w:rPr>
              <w:t>、对州河的保护措施</w:t>
            </w:r>
          </w:p>
          <w:p>
            <w:pPr>
              <w:spacing w:before="137" w:line="370" w:lineRule="auto"/>
              <w:ind w:left="113" w:right="102" w:firstLine="486"/>
              <w:rPr>
                <w:rFonts w:ascii="宋体" w:hAnsi="宋体" w:eastAsia="宋体" w:cs="宋体"/>
                <w:sz w:val="20"/>
                <w:szCs w:val="20"/>
              </w:rPr>
            </w:pPr>
            <w:r>
              <w:rPr>
                <w:rFonts w:ascii="宋体" w:hAnsi="宋体" w:eastAsia="宋体" w:cs="宋体"/>
                <w:spacing w:val="18"/>
                <w:sz w:val="17"/>
                <w:szCs w:val="17"/>
              </w:rPr>
              <w:t xml:space="preserve">1 </w:t>
            </w:r>
            <w:r>
              <w:rPr>
                <w:rFonts w:ascii="宋体" w:hAnsi="宋体" w:eastAsia="宋体" w:cs="宋体"/>
                <w:spacing w:val="12"/>
                <w:sz w:val="17"/>
                <w:szCs w:val="17"/>
              </w:rPr>
              <w:t xml:space="preserve"> </w:t>
            </w:r>
            <w:r>
              <w:rPr>
                <w:rFonts w:ascii="宋体" w:hAnsi="宋体" w:eastAsia="宋体" w:cs="宋体"/>
                <w:spacing w:val="9"/>
                <w:sz w:val="17"/>
                <w:szCs w:val="17"/>
              </w:rPr>
              <w:t xml:space="preserve"> </w:t>
            </w:r>
            <w:r>
              <w:rPr>
                <w:rFonts w:ascii="宋体" w:hAnsi="宋体" w:eastAsia="宋体" w:cs="宋体"/>
                <w:spacing w:val="9"/>
                <w:sz w:val="20"/>
                <w:szCs w:val="20"/>
              </w:rPr>
              <w:t>为了桥梁的使用安全，在需对桥梁两侧设防撞设施和防抛网，并桥梁两端设限</w:t>
            </w:r>
            <w:r>
              <w:rPr>
                <w:rFonts w:ascii="宋体" w:hAnsi="宋体" w:eastAsia="宋体" w:cs="宋体"/>
                <w:sz w:val="20"/>
                <w:szCs w:val="20"/>
              </w:rPr>
              <w:t xml:space="preserve"> </w:t>
            </w:r>
            <w:r>
              <w:rPr>
                <w:rFonts w:ascii="宋体" w:hAnsi="宋体" w:eastAsia="宋体" w:cs="宋体"/>
                <w:spacing w:val="7"/>
                <w:sz w:val="20"/>
                <w:szCs w:val="20"/>
              </w:rPr>
              <w:t>高标志标牌</w:t>
            </w:r>
          </w:p>
          <w:p>
            <w:pPr>
              <w:spacing w:before="2" w:line="368" w:lineRule="auto"/>
              <w:ind w:left="108" w:right="50" w:firstLine="480"/>
              <w:rPr>
                <w:rFonts w:ascii="宋体" w:hAnsi="宋体" w:eastAsia="宋体" w:cs="宋体"/>
                <w:sz w:val="20"/>
                <w:szCs w:val="20"/>
              </w:rPr>
            </w:pPr>
            <w:r>
              <w:rPr>
                <w:rFonts w:ascii="宋体" w:hAnsi="宋体" w:eastAsia="宋体" w:cs="宋体"/>
                <w:spacing w:val="6"/>
                <w:sz w:val="17"/>
                <w:szCs w:val="17"/>
              </w:rPr>
              <w:t xml:space="preserve">2   </w:t>
            </w:r>
            <w:r>
              <w:rPr>
                <w:rFonts w:ascii="宋体" w:hAnsi="宋体" w:eastAsia="宋体" w:cs="宋体"/>
                <w:spacing w:val="6"/>
                <w:sz w:val="20"/>
                <w:szCs w:val="20"/>
              </w:rPr>
              <w:t>在桥梁两侧设置连续的加强、加高型防撞墩，并在进入桥梁的两端设置警示</w:t>
            </w:r>
            <w:r>
              <w:rPr>
                <w:rFonts w:ascii="宋体" w:hAnsi="宋体" w:eastAsia="宋体" w:cs="宋体"/>
                <w:spacing w:val="5"/>
                <w:sz w:val="20"/>
                <w:szCs w:val="20"/>
              </w:rPr>
              <w:t>牌</w:t>
            </w:r>
            <w:r>
              <w:rPr>
                <w:rFonts w:ascii="宋体" w:hAnsi="宋体" w:eastAsia="宋体" w:cs="宋体"/>
                <w:sz w:val="20"/>
                <w:szCs w:val="20"/>
              </w:rPr>
              <w:t xml:space="preserve">， </w:t>
            </w:r>
            <w:r>
              <w:rPr>
                <w:rFonts w:ascii="宋体" w:hAnsi="宋体" w:eastAsia="宋体" w:cs="宋体"/>
                <w:spacing w:val="20"/>
                <w:sz w:val="20"/>
                <w:szCs w:val="20"/>
              </w:rPr>
              <w:t>提</w:t>
            </w:r>
            <w:r>
              <w:rPr>
                <w:rFonts w:ascii="宋体" w:hAnsi="宋体" w:eastAsia="宋体" w:cs="宋体"/>
                <w:spacing w:val="12"/>
                <w:sz w:val="20"/>
                <w:szCs w:val="20"/>
              </w:rPr>
              <w:t>醒</w:t>
            </w:r>
            <w:r>
              <w:rPr>
                <w:rFonts w:ascii="宋体" w:hAnsi="宋体" w:eastAsia="宋体" w:cs="宋体"/>
                <w:spacing w:val="10"/>
                <w:sz w:val="20"/>
                <w:szCs w:val="20"/>
              </w:rPr>
              <w:t>过往车辆减速慢行，并且在警示牌上注明事故应急电话。交警部门的资料表明，当</w:t>
            </w:r>
            <w:r>
              <w:rPr>
                <w:rFonts w:ascii="宋体" w:hAnsi="宋体" w:eastAsia="宋体" w:cs="宋体"/>
                <w:sz w:val="20"/>
                <w:szCs w:val="20"/>
              </w:rPr>
              <w:t xml:space="preserve"> </w:t>
            </w:r>
            <w:r>
              <w:rPr>
                <w:rFonts w:ascii="宋体" w:hAnsi="宋体" w:eastAsia="宋体" w:cs="宋体"/>
                <w:spacing w:val="16"/>
                <w:sz w:val="20"/>
                <w:szCs w:val="20"/>
              </w:rPr>
              <w:t>防撞</w:t>
            </w:r>
            <w:r>
              <w:rPr>
                <w:rFonts w:ascii="宋体" w:hAnsi="宋体" w:eastAsia="宋体" w:cs="宋体"/>
                <w:spacing w:val="11"/>
                <w:sz w:val="20"/>
                <w:szCs w:val="20"/>
              </w:rPr>
              <w:t>墩</w:t>
            </w:r>
            <w:r>
              <w:rPr>
                <w:rFonts w:ascii="宋体" w:hAnsi="宋体" w:eastAsia="宋体" w:cs="宋体"/>
                <w:spacing w:val="8"/>
                <w:sz w:val="20"/>
                <w:szCs w:val="20"/>
              </w:rPr>
              <w:t>的高度大于汽车轮胎直径</w:t>
            </w:r>
            <w:r>
              <w:rPr>
                <w:rFonts w:ascii="Times New Roman" w:hAnsi="Times New Roman" w:eastAsia="Times New Roman" w:cs="Times New Roman"/>
                <w:spacing w:val="8"/>
                <w:sz w:val="20"/>
                <w:szCs w:val="20"/>
              </w:rPr>
              <w:t>1/3</w:t>
            </w:r>
            <w:r>
              <w:rPr>
                <w:rFonts w:ascii="宋体" w:hAnsi="宋体" w:eastAsia="宋体" w:cs="宋体"/>
                <w:spacing w:val="8"/>
                <w:sz w:val="20"/>
                <w:szCs w:val="20"/>
              </w:rPr>
              <w:t>时，可完全杜绝汽车翻入水中，有效防止液体化学危</w:t>
            </w:r>
            <w:r>
              <w:rPr>
                <w:rFonts w:ascii="宋体" w:hAnsi="宋体" w:eastAsia="宋体" w:cs="宋体"/>
                <w:sz w:val="20"/>
                <w:szCs w:val="20"/>
              </w:rPr>
              <w:t xml:space="preserve"> </w:t>
            </w:r>
            <w:r>
              <w:rPr>
                <w:rFonts w:ascii="宋体" w:hAnsi="宋体" w:eastAsia="宋体" w:cs="宋体"/>
                <w:spacing w:val="12"/>
                <w:sz w:val="20"/>
                <w:szCs w:val="20"/>
              </w:rPr>
              <w:t>险</w:t>
            </w:r>
            <w:r>
              <w:rPr>
                <w:rFonts w:ascii="宋体" w:hAnsi="宋体" w:eastAsia="宋体" w:cs="宋体"/>
                <w:spacing w:val="9"/>
                <w:sz w:val="20"/>
                <w:szCs w:val="20"/>
              </w:rPr>
              <w:t>品或石油类事故污染对等沿线河流水域水质的影响。</w:t>
            </w:r>
          </w:p>
          <w:p>
            <w:pPr>
              <w:spacing w:before="2" w:line="370" w:lineRule="auto"/>
              <w:ind w:left="107" w:right="105" w:firstLine="482"/>
              <w:rPr>
                <w:rFonts w:ascii="宋体" w:hAnsi="宋体" w:eastAsia="宋体" w:cs="宋体"/>
                <w:sz w:val="20"/>
                <w:szCs w:val="20"/>
              </w:rPr>
            </w:pPr>
            <w:r>
              <w:rPr>
                <w:rFonts w:ascii="宋体" w:hAnsi="宋体" w:eastAsia="宋体" w:cs="宋体"/>
                <w:spacing w:val="18"/>
                <w:sz w:val="17"/>
                <w:szCs w:val="17"/>
              </w:rPr>
              <w:t xml:space="preserve">3  </w:t>
            </w:r>
            <w:r>
              <w:rPr>
                <w:rFonts w:ascii="宋体" w:hAnsi="宋体" w:eastAsia="宋体" w:cs="宋体"/>
                <w:spacing w:val="10"/>
                <w:sz w:val="17"/>
                <w:szCs w:val="17"/>
              </w:rPr>
              <w:t xml:space="preserve"> </w:t>
            </w:r>
            <w:r>
              <w:rPr>
                <w:rFonts w:ascii="宋体" w:hAnsi="宋体" w:eastAsia="宋体" w:cs="宋体"/>
                <w:spacing w:val="9"/>
                <w:sz w:val="20"/>
                <w:szCs w:val="20"/>
              </w:rPr>
              <w:t>在桥梁两端醒目位置设置限速、禁止超车等警示标志，提醒过路驾驶员和乘客</w:t>
            </w:r>
            <w:r>
              <w:rPr>
                <w:rFonts w:ascii="宋体" w:hAnsi="宋体" w:eastAsia="宋体" w:cs="宋体"/>
                <w:sz w:val="20"/>
                <w:szCs w:val="20"/>
              </w:rPr>
              <w:t xml:space="preserve"> </w:t>
            </w:r>
            <w:r>
              <w:rPr>
                <w:rFonts w:ascii="宋体" w:hAnsi="宋体" w:eastAsia="宋体" w:cs="宋体"/>
                <w:spacing w:val="18"/>
                <w:sz w:val="20"/>
                <w:szCs w:val="20"/>
              </w:rPr>
              <w:t>加</w:t>
            </w:r>
            <w:r>
              <w:rPr>
                <w:rFonts w:ascii="宋体" w:hAnsi="宋体" w:eastAsia="宋体" w:cs="宋体"/>
                <w:spacing w:val="14"/>
                <w:sz w:val="20"/>
                <w:szCs w:val="20"/>
              </w:rPr>
              <w:t>强</w:t>
            </w:r>
            <w:r>
              <w:rPr>
                <w:rFonts w:ascii="宋体" w:hAnsi="宋体" w:eastAsia="宋体" w:cs="宋体"/>
                <w:spacing w:val="9"/>
                <w:sz w:val="20"/>
                <w:szCs w:val="20"/>
              </w:rPr>
              <w:t>保护环境意识；同时在桥梁两侧设置防抛网，杜绝乘客抛洒物下河入库。</w:t>
            </w:r>
          </w:p>
          <w:p>
            <w:pPr>
              <w:spacing w:before="2" w:line="368" w:lineRule="auto"/>
              <w:ind w:left="112" w:right="105" w:firstLine="473"/>
              <w:rPr>
                <w:rFonts w:ascii="宋体" w:hAnsi="宋体" w:eastAsia="宋体" w:cs="宋体"/>
                <w:sz w:val="20"/>
                <w:szCs w:val="20"/>
              </w:rPr>
            </w:pPr>
            <w:r>
              <w:rPr>
                <w:rFonts w:ascii="宋体" w:hAnsi="宋体" w:eastAsia="宋体" w:cs="宋体"/>
                <w:spacing w:val="10"/>
                <w:sz w:val="17"/>
                <w:szCs w:val="17"/>
              </w:rPr>
              <w:t xml:space="preserve">4   </w:t>
            </w:r>
            <w:r>
              <w:rPr>
                <w:rFonts w:ascii="宋体" w:hAnsi="宋体" w:eastAsia="宋体" w:cs="宋体"/>
                <w:spacing w:val="10"/>
                <w:sz w:val="20"/>
                <w:szCs w:val="20"/>
              </w:rPr>
              <w:t>禁止漏油、敞篷运输细颗粒物的货车和超载车上路，以防止公路上车辆漏油</w:t>
            </w:r>
            <w:r>
              <w:rPr>
                <w:rFonts w:ascii="宋体" w:hAnsi="宋体" w:eastAsia="宋体" w:cs="宋体"/>
                <w:spacing w:val="5"/>
                <w:sz w:val="20"/>
                <w:szCs w:val="20"/>
              </w:rPr>
              <w:t>和</w:t>
            </w:r>
            <w:r>
              <w:rPr>
                <w:rFonts w:ascii="宋体" w:hAnsi="宋体" w:eastAsia="宋体" w:cs="宋体"/>
                <w:sz w:val="20"/>
                <w:szCs w:val="20"/>
              </w:rPr>
              <w:t xml:space="preserve"> </w:t>
            </w:r>
            <w:r>
              <w:rPr>
                <w:rFonts w:ascii="宋体" w:hAnsi="宋体" w:eastAsia="宋体" w:cs="宋体"/>
                <w:spacing w:val="10"/>
                <w:sz w:val="20"/>
                <w:szCs w:val="20"/>
              </w:rPr>
              <w:t>货</w:t>
            </w:r>
            <w:r>
              <w:rPr>
                <w:rFonts w:ascii="宋体" w:hAnsi="宋体" w:eastAsia="宋体" w:cs="宋体"/>
                <w:spacing w:val="9"/>
                <w:sz w:val="20"/>
                <w:szCs w:val="20"/>
              </w:rPr>
              <w:t>物洒落在道路上，造成沿线地面水体污染和安全事故隐患。</w:t>
            </w:r>
          </w:p>
          <w:p>
            <w:pPr>
              <w:spacing w:line="241" w:lineRule="auto"/>
              <w:ind w:left="107"/>
              <w:rPr>
                <w:rFonts w:ascii="黑体" w:hAnsi="黑体" w:eastAsia="黑体" w:cs="黑体"/>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3"/>
                <w:sz w:val="20"/>
                <w:szCs w:val="20"/>
              </w:rPr>
              <w:t xml:space="preserve"> </w:t>
            </w:r>
            <w:r>
              <w:rPr>
                <w:rFonts w:ascii="黑体" w:hAnsi="黑体" w:eastAsia="黑体" w:cs="黑体"/>
                <w:spacing w:val="3"/>
                <w:sz w:val="20"/>
                <w:szCs w:val="20"/>
              </w:rPr>
              <w:t>、环境风险预防措施</w:t>
            </w:r>
          </w:p>
          <w:p>
            <w:pPr>
              <w:spacing w:before="140" w:line="228" w:lineRule="auto"/>
              <w:ind w:left="537"/>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6"/>
                <w:sz w:val="20"/>
                <w:szCs w:val="20"/>
              </w:rPr>
              <w:t>1</w:t>
            </w: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宋体" w:hAnsi="宋体" w:eastAsia="宋体" w:cs="宋体"/>
                <w:spacing w:val="16"/>
                <w:sz w:val="20"/>
                <w:szCs w:val="20"/>
              </w:rPr>
              <w:t xml:space="preserve"> </w:t>
            </w:r>
            <w:r>
              <w:rPr>
                <w:rFonts w:ascii="宋体" w:hAnsi="宋体" w:eastAsia="宋体" w:cs="宋体"/>
                <w:spacing w:val="16"/>
                <w:sz w:val="20"/>
                <w:szCs w:val="20"/>
                <w14:textOutline w14:w="3795" w14:cap="sq" w14:cmpd="sng">
                  <w14:solidFill>
                    <w14:srgbClr w14:val="000000"/>
                  </w14:solidFill>
                  <w14:prstDash w14:val="solid"/>
                  <w14:bevel/>
                </w14:textOutline>
              </w:rPr>
              <w:t>环境风险防范措施</w:t>
            </w:r>
          </w:p>
          <w:p>
            <w:pPr>
              <w:spacing w:before="151" w:line="370" w:lineRule="auto"/>
              <w:ind w:left="111" w:right="105" w:firstLine="416"/>
              <w:rPr>
                <w:rFonts w:ascii="宋体" w:hAnsi="宋体" w:eastAsia="宋体" w:cs="宋体"/>
                <w:sz w:val="20"/>
                <w:szCs w:val="20"/>
              </w:rPr>
            </w:pPr>
            <w:r>
              <w:rPr>
                <w:rFonts w:ascii="宋体" w:hAnsi="宋体" w:eastAsia="宋体" w:cs="宋体"/>
                <w:spacing w:val="20"/>
                <w:sz w:val="20"/>
                <w:szCs w:val="20"/>
              </w:rPr>
              <w:t>本</w:t>
            </w:r>
            <w:r>
              <w:rPr>
                <w:rFonts w:ascii="宋体" w:hAnsi="宋体" w:eastAsia="宋体" w:cs="宋体"/>
                <w:spacing w:val="12"/>
                <w:sz w:val="20"/>
                <w:szCs w:val="20"/>
              </w:rPr>
              <w:t>项</w:t>
            </w:r>
            <w:r>
              <w:rPr>
                <w:rFonts w:ascii="宋体" w:hAnsi="宋体" w:eastAsia="宋体" w:cs="宋体"/>
                <w:spacing w:val="10"/>
                <w:sz w:val="20"/>
                <w:szCs w:val="20"/>
              </w:rPr>
              <w:t>目桥梁建成通车后，道路管理部门应从上路检查、途中运输、停车，直到事故</w:t>
            </w:r>
            <w:r>
              <w:rPr>
                <w:rFonts w:ascii="宋体" w:hAnsi="宋体" w:eastAsia="宋体" w:cs="宋体"/>
                <w:sz w:val="20"/>
                <w:szCs w:val="20"/>
              </w:rPr>
              <w:t xml:space="preserve"> </w:t>
            </w:r>
            <w:r>
              <w:rPr>
                <w:rFonts w:ascii="宋体" w:hAnsi="宋体" w:eastAsia="宋体" w:cs="宋体"/>
                <w:spacing w:val="18"/>
                <w:sz w:val="20"/>
                <w:szCs w:val="20"/>
              </w:rPr>
              <w:t>处</w:t>
            </w:r>
            <w:r>
              <w:rPr>
                <w:rFonts w:ascii="宋体" w:hAnsi="宋体" w:eastAsia="宋体" w:cs="宋体"/>
                <w:spacing w:val="12"/>
                <w:sz w:val="20"/>
                <w:szCs w:val="20"/>
              </w:rPr>
              <w:t>理</w:t>
            </w:r>
            <w:r>
              <w:rPr>
                <w:rFonts w:ascii="宋体" w:hAnsi="宋体" w:eastAsia="宋体" w:cs="宋体"/>
                <w:spacing w:val="9"/>
                <w:sz w:val="20"/>
                <w:szCs w:val="20"/>
              </w:rPr>
              <w:t>等各个环节加强管理，预防和减少运输事故的发生和控制突发事故事态的扩大。</w:t>
            </w:r>
          </w:p>
          <w:p>
            <w:pPr>
              <w:spacing w:before="3" w:line="368" w:lineRule="auto"/>
              <w:ind w:left="61" w:right="102" w:firstLine="537"/>
              <w:rPr>
                <w:rFonts w:ascii="宋体" w:hAnsi="宋体" w:eastAsia="宋体" w:cs="宋体"/>
                <w:sz w:val="20"/>
                <w:szCs w:val="20"/>
              </w:rPr>
            </w:pPr>
            <w:r>
              <w:rPr>
                <w:rFonts w:ascii="宋体" w:hAnsi="宋体" w:eastAsia="宋体" w:cs="宋体"/>
                <w:spacing w:val="18"/>
                <w:sz w:val="17"/>
                <w:szCs w:val="17"/>
              </w:rPr>
              <w:t xml:space="preserve">1 </w:t>
            </w:r>
            <w:r>
              <w:rPr>
                <w:rFonts w:ascii="宋体" w:hAnsi="宋体" w:eastAsia="宋体" w:cs="宋体"/>
                <w:spacing w:val="10"/>
                <w:sz w:val="17"/>
                <w:szCs w:val="17"/>
              </w:rPr>
              <w:t xml:space="preserve"> </w:t>
            </w:r>
            <w:r>
              <w:rPr>
                <w:rFonts w:ascii="宋体" w:hAnsi="宋体" w:eastAsia="宋体" w:cs="宋体"/>
                <w:spacing w:val="9"/>
                <w:sz w:val="17"/>
                <w:szCs w:val="17"/>
              </w:rPr>
              <w:t xml:space="preserve"> </w:t>
            </w:r>
            <w:r>
              <w:rPr>
                <w:rFonts w:ascii="宋体" w:hAnsi="宋体" w:eastAsia="宋体" w:cs="宋体"/>
                <w:spacing w:val="9"/>
                <w:sz w:val="20"/>
                <w:szCs w:val="20"/>
              </w:rPr>
              <w:t>加强对车辆的管理，加强车检工作，保证上路车辆车况良好。运输危险品的车</w:t>
            </w:r>
            <w:r>
              <w:rPr>
                <w:rFonts w:ascii="宋体" w:hAnsi="宋体" w:eastAsia="宋体" w:cs="宋体"/>
                <w:sz w:val="20"/>
                <w:szCs w:val="20"/>
              </w:rPr>
              <w:t xml:space="preserve"> </w:t>
            </w:r>
            <w:r>
              <w:rPr>
                <w:rFonts w:ascii="宋体" w:hAnsi="宋体" w:eastAsia="宋体" w:cs="宋体"/>
                <w:spacing w:val="20"/>
                <w:sz w:val="20"/>
                <w:szCs w:val="20"/>
              </w:rPr>
              <w:t>辆</w:t>
            </w:r>
            <w:r>
              <w:rPr>
                <w:rFonts w:ascii="宋体" w:hAnsi="宋体" w:eastAsia="宋体" w:cs="宋体"/>
                <w:spacing w:val="11"/>
                <w:sz w:val="20"/>
                <w:szCs w:val="20"/>
              </w:rPr>
              <w:t>上</w:t>
            </w:r>
            <w:r>
              <w:rPr>
                <w:rFonts w:ascii="宋体" w:hAnsi="宋体" w:eastAsia="宋体" w:cs="宋体"/>
                <w:spacing w:val="10"/>
                <w:sz w:val="20"/>
                <w:szCs w:val="20"/>
              </w:rPr>
              <w:t>路行驶，需要对公安部门办理的</w:t>
            </w:r>
            <w:r>
              <w:rPr>
                <w:rFonts w:ascii="Times New Roman" w:hAnsi="Times New Roman" w:eastAsia="Times New Roman" w:cs="Times New Roman"/>
                <w:spacing w:val="10"/>
                <w:sz w:val="20"/>
                <w:szCs w:val="20"/>
              </w:rPr>
              <w:t>“</w:t>
            </w:r>
            <w:r>
              <w:rPr>
                <w:rFonts w:ascii="宋体" w:hAnsi="宋体" w:eastAsia="宋体" w:cs="宋体"/>
                <w:spacing w:val="10"/>
                <w:sz w:val="20"/>
                <w:szCs w:val="20"/>
              </w:rPr>
              <w:t>三证</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，即运输许可证、驾驶员执照和保安员证书</w:t>
            </w:r>
            <w:r>
              <w:rPr>
                <w:rFonts w:ascii="宋体" w:hAnsi="宋体" w:eastAsia="宋体" w:cs="宋体"/>
                <w:sz w:val="20"/>
                <w:szCs w:val="20"/>
              </w:rPr>
              <w:t xml:space="preserve"> </w:t>
            </w:r>
            <w:r>
              <w:rPr>
                <w:rFonts w:ascii="宋体" w:hAnsi="宋体" w:eastAsia="宋体" w:cs="宋体"/>
                <w:spacing w:val="22"/>
                <w:sz w:val="20"/>
                <w:szCs w:val="20"/>
              </w:rPr>
              <w:t>进</w:t>
            </w:r>
            <w:r>
              <w:rPr>
                <w:rFonts w:ascii="宋体" w:hAnsi="宋体" w:eastAsia="宋体" w:cs="宋体"/>
                <w:spacing w:val="20"/>
                <w:sz w:val="20"/>
                <w:szCs w:val="20"/>
              </w:rPr>
              <w:t>行</w:t>
            </w:r>
            <w:r>
              <w:rPr>
                <w:rFonts w:ascii="宋体" w:hAnsi="宋体" w:eastAsia="宋体" w:cs="宋体"/>
                <w:spacing w:val="11"/>
                <w:sz w:val="20"/>
                <w:szCs w:val="20"/>
              </w:rPr>
              <w:t>检查。所有从事化学危险货物运输的车辆，必须在车前醒目位置悬挂带有黄底黑字</w:t>
            </w:r>
            <w:r>
              <w:rPr>
                <w:rFonts w:ascii="宋体" w:hAnsi="宋体" w:eastAsia="宋体" w:cs="宋体"/>
                <w:sz w:val="20"/>
                <w:szCs w:val="20"/>
              </w:rPr>
              <w:t xml:space="preserve"> </w:t>
            </w:r>
            <w:r>
              <w:rPr>
                <w:rFonts w:ascii="Times New Roman" w:hAnsi="Times New Roman" w:eastAsia="Times New Roman" w:cs="Times New Roman"/>
                <w:spacing w:val="12"/>
                <w:sz w:val="20"/>
                <w:szCs w:val="20"/>
              </w:rPr>
              <w:t>“</w:t>
            </w:r>
            <w:r>
              <w:rPr>
                <w:rFonts w:ascii="宋体" w:hAnsi="宋体" w:eastAsia="宋体" w:cs="宋体"/>
                <w:spacing w:val="12"/>
                <w:sz w:val="20"/>
                <w:szCs w:val="20"/>
              </w:rPr>
              <w:t>危险品</w:t>
            </w:r>
            <w:r>
              <w:rPr>
                <w:rFonts w:ascii="Times New Roman" w:hAnsi="Times New Roman" w:eastAsia="Times New Roman" w:cs="Times New Roman"/>
                <w:spacing w:val="12"/>
                <w:sz w:val="20"/>
                <w:szCs w:val="20"/>
              </w:rPr>
              <w:t>”</w:t>
            </w:r>
            <w:r>
              <w:rPr>
                <w:rFonts w:ascii="宋体" w:hAnsi="宋体" w:eastAsia="宋体" w:cs="宋体"/>
                <w:spacing w:val="12"/>
                <w:sz w:val="20"/>
                <w:szCs w:val="20"/>
              </w:rPr>
              <w:t>字样的标识，严禁危险品运输车辆超载。主要路段设立环境风险标识标牌，</w:t>
            </w:r>
            <w:r>
              <w:rPr>
                <w:rFonts w:ascii="宋体" w:hAnsi="宋体" w:eastAsia="宋体" w:cs="宋体"/>
                <w:spacing w:val="7"/>
                <w:sz w:val="20"/>
                <w:szCs w:val="20"/>
              </w:rPr>
              <w:t>严</w:t>
            </w:r>
          </w:p>
          <w:p>
            <w:pPr>
              <w:spacing w:before="1" w:line="227" w:lineRule="auto"/>
              <w:ind w:left="107"/>
              <w:rPr>
                <w:rFonts w:ascii="宋体" w:hAnsi="宋体" w:eastAsia="宋体" w:cs="宋体"/>
                <w:sz w:val="20"/>
                <w:szCs w:val="20"/>
              </w:rPr>
            </w:pPr>
            <w:r>
              <w:rPr>
                <w:rFonts w:ascii="宋体" w:hAnsi="宋体" w:eastAsia="宋体" w:cs="宋体"/>
                <w:spacing w:val="11"/>
                <w:sz w:val="20"/>
                <w:szCs w:val="20"/>
              </w:rPr>
              <w:t>禁</w:t>
            </w:r>
            <w:r>
              <w:rPr>
                <w:rFonts w:ascii="宋体" w:hAnsi="宋体" w:eastAsia="宋体" w:cs="宋体"/>
                <w:spacing w:val="6"/>
                <w:sz w:val="20"/>
                <w:szCs w:val="20"/>
              </w:rPr>
              <w:t>运输化学危险品的车辆停靠在沿线上环境敏感点处， 以防撞车事故发生。</w:t>
            </w:r>
          </w:p>
        </w:tc>
      </w:tr>
    </w:tbl>
    <w:p>
      <w:pPr>
        <w:spacing w:line="138" w:lineRule="exact"/>
        <w:rPr>
          <w:rFonts w:ascii="Arial"/>
          <w:sz w:val="12"/>
        </w:rPr>
      </w:pPr>
    </w:p>
    <w:p>
      <w:pPr>
        <w:sectPr>
          <w:footerReference r:id="rId98" w:type="default"/>
          <w:pgSz w:w="11907" w:h="16840"/>
          <w:pgMar w:top="400" w:right="1476" w:bottom="1477" w:left="1475" w:header="0" w:footer="1317" w:gutter="0"/>
          <w:cols w:space="720" w:num="1"/>
        </w:sectPr>
      </w:pPr>
    </w:p>
    <w:p/>
    <w:p/>
    <w:p/>
    <w:p/>
    <w:p>
      <w:pPr>
        <w:spacing w:line="221" w:lineRule="exact"/>
      </w:pPr>
    </w:p>
    <w:tbl>
      <w:tblPr>
        <w:tblStyle w:val="4"/>
        <w:tblW w:w="894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82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15" w:hRule="atLeast"/>
        </w:trPr>
        <w:tc>
          <w:tcPr>
            <w:tcW w:w="724" w:type="dxa"/>
            <w:tcBorders>
              <w:left w:val="single" w:color="00000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before="65" w:line="228" w:lineRule="auto"/>
              <w:ind w:left="130"/>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运</w:t>
            </w:r>
            <w:r>
              <w:rPr>
                <w:rFonts w:ascii="宋体" w:hAnsi="宋体" w:eastAsia="宋体" w:cs="宋体"/>
                <w:spacing w:val="15"/>
                <w:sz w:val="20"/>
                <w:szCs w:val="20"/>
                <w14:textOutline w14:w="3795" w14:cap="sq" w14:cmpd="sng">
                  <w14:solidFill>
                    <w14:srgbClr w14:val="000000"/>
                  </w14:solidFill>
                  <w14:prstDash w14:val="solid"/>
                  <w14:bevel/>
                </w14:textOutline>
              </w:rPr>
              <w:t>营</w:t>
            </w:r>
          </w:p>
          <w:p>
            <w:pPr>
              <w:spacing w:before="24" w:line="228" w:lineRule="auto"/>
              <w:ind w:left="133"/>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期生</w:t>
            </w:r>
          </w:p>
          <w:p>
            <w:pPr>
              <w:spacing w:before="26" w:line="230" w:lineRule="auto"/>
              <w:ind w:left="130"/>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态</w:t>
            </w:r>
            <w:r>
              <w:rPr>
                <w:rFonts w:ascii="宋体" w:hAnsi="宋体" w:eastAsia="宋体" w:cs="宋体"/>
                <w:spacing w:val="15"/>
                <w:sz w:val="20"/>
                <w:szCs w:val="20"/>
                <w14:textOutline w14:w="3795" w14:cap="sq" w14:cmpd="sng">
                  <w14:solidFill>
                    <w14:srgbClr w14:val="000000"/>
                  </w14:solidFill>
                  <w14:prstDash w14:val="solid"/>
                  <w14:bevel/>
                </w14:textOutline>
              </w:rPr>
              <w:t>环</w:t>
            </w:r>
          </w:p>
          <w:p>
            <w:pPr>
              <w:spacing w:before="22" w:line="228" w:lineRule="auto"/>
              <w:ind w:left="131"/>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境保</w:t>
            </w:r>
          </w:p>
          <w:p>
            <w:pPr>
              <w:spacing w:before="26" w:line="228" w:lineRule="auto"/>
              <w:ind w:left="131"/>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护措</w:t>
            </w:r>
          </w:p>
          <w:p>
            <w:pPr>
              <w:spacing w:before="23" w:line="231" w:lineRule="auto"/>
              <w:ind w:left="244"/>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施</w:t>
            </w:r>
          </w:p>
        </w:tc>
        <w:tc>
          <w:tcPr>
            <w:tcW w:w="8216" w:type="dxa"/>
            <w:tcBorders>
              <w:right w:val="single" w:color="000000" w:sz="6" w:space="0"/>
            </w:tcBorders>
            <w:vAlign w:val="top"/>
          </w:tcPr>
          <w:p>
            <w:pPr>
              <w:spacing w:before="154" w:line="370" w:lineRule="auto"/>
              <w:ind w:left="124" w:right="105" w:firstLine="463"/>
              <w:rPr>
                <w:rFonts w:ascii="宋体" w:hAnsi="宋体" w:eastAsia="宋体" w:cs="宋体"/>
                <w:sz w:val="20"/>
                <w:szCs w:val="20"/>
              </w:rPr>
            </w:pPr>
            <w:r>
              <w:rPr>
                <w:rFonts w:ascii="宋体" w:hAnsi="宋体" w:eastAsia="宋体" w:cs="宋体"/>
                <w:spacing w:val="18"/>
                <w:sz w:val="17"/>
                <w:szCs w:val="17"/>
              </w:rPr>
              <w:t xml:space="preserve">2  </w:t>
            </w:r>
            <w:r>
              <w:rPr>
                <w:rFonts w:ascii="宋体" w:hAnsi="宋体" w:eastAsia="宋体" w:cs="宋体"/>
                <w:spacing w:val="12"/>
                <w:sz w:val="17"/>
                <w:szCs w:val="17"/>
              </w:rPr>
              <w:t xml:space="preserve"> </w:t>
            </w:r>
            <w:r>
              <w:rPr>
                <w:rFonts w:ascii="宋体" w:hAnsi="宋体" w:eastAsia="宋体" w:cs="宋体"/>
                <w:spacing w:val="9"/>
                <w:sz w:val="20"/>
                <w:szCs w:val="20"/>
              </w:rPr>
              <w:t>桥面配套径流收集处理系统，在桥梁两侧设排水管，收集间桥面雨水接入两端</w:t>
            </w:r>
            <w:r>
              <w:rPr>
                <w:rFonts w:ascii="宋体" w:hAnsi="宋体" w:eastAsia="宋体" w:cs="宋体"/>
                <w:sz w:val="20"/>
                <w:szCs w:val="20"/>
              </w:rPr>
              <w:t xml:space="preserve"> </w:t>
            </w:r>
            <w:r>
              <w:rPr>
                <w:rFonts w:ascii="宋体" w:hAnsi="宋体" w:eastAsia="宋体" w:cs="宋体"/>
                <w:spacing w:val="14"/>
                <w:sz w:val="20"/>
                <w:szCs w:val="20"/>
              </w:rPr>
              <w:t>的市</w:t>
            </w:r>
            <w:r>
              <w:rPr>
                <w:rFonts w:ascii="宋体" w:hAnsi="宋体" w:eastAsia="宋体" w:cs="宋体"/>
                <w:spacing w:val="8"/>
                <w:sz w:val="20"/>
                <w:szCs w:val="20"/>
              </w:rPr>
              <w:t>政</w:t>
            </w:r>
            <w:r>
              <w:rPr>
                <w:rFonts w:ascii="宋体" w:hAnsi="宋体" w:eastAsia="宋体" w:cs="宋体"/>
                <w:spacing w:val="7"/>
                <w:sz w:val="20"/>
                <w:szCs w:val="20"/>
              </w:rPr>
              <w:t>雨水管网，避免直接进入河流。桥梁下方设置事故池 (</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m</w:t>
            </w:r>
            <w:r>
              <w:rPr>
                <w:rFonts w:ascii="Times New Roman" w:hAnsi="Times New Roman" w:eastAsia="Times New Roman" w:cs="Times New Roman"/>
                <w:spacing w:val="7"/>
                <w:position w:val="6"/>
                <w:sz w:val="13"/>
                <w:szCs w:val="13"/>
              </w:rPr>
              <w:t xml:space="preserve">3 </w:t>
            </w:r>
            <w:r>
              <w:rPr>
                <w:rFonts w:ascii="宋体" w:hAnsi="宋体" w:eastAsia="宋体" w:cs="宋体"/>
                <w:spacing w:val="7"/>
                <w:sz w:val="20"/>
                <w:szCs w:val="20"/>
              </w:rPr>
              <w:t>) ，在发生事故后，</w:t>
            </w:r>
          </w:p>
          <w:p>
            <w:pPr>
              <w:spacing w:line="369" w:lineRule="auto"/>
              <w:ind w:left="105" w:right="105" w:firstLine="484"/>
              <w:rPr>
                <w:rFonts w:ascii="宋体" w:hAnsi="宋体" w:eastAsia="宋体" w:cs="宋体"/>
                <w:sz w:val="20"/>
                <w:szCs w:val="20"/>
              </w:rPr>
            </w:pPr>
            <w:r>
              <w:rPr>
                <w:rFonts w:ascii="宋体" w:hAnsi="宋体" w:eastAsia="宋体" w:cs="宋体"/>
                <w:spacing w:val="18"/>
                <w:sz w:val="17"/>
                <w:szCs w:val="17"/>
              </w:rPr>
              <w:t xml:space="preserve">3  </w:t>
            </w:r>
            <w:r>
              <w:rPr>
                <w:rFonts w:ascii="宋体" w:hAnsi="宋体" w:eastAsia="宋体" w:cs="宋体"/>
                <w:spacing w:val="10"/>
                <w:sz w:val="17"/>
                <w:szCs w:val="17"/>
              </w:rPr>
              <w:t xml:space="preserve"> </w:t>
            </w:r>
            <w:r>
              <w:rPr>
                <w:rFonts w:ascii="宋体" w:hAnsi="宋体" w:eastAsia="宋体" w:cs="宋体"/>
                <w:spacing w:val="9"/>
                <w:sz w:val="20"/>
                <w:szCs w:val="20"/>
              </w:rPr>
              <w:t>具有危险品运输资质的企业必须严格按照危险品运输的相关规定，如必须配备</w:t>
            </w:r>
            <w:r>
              <w:rPr>
                <w:rFonts w:ascii="宋体" w:hAnsi="宋体" w:eastAsia="宋体" w:cs="宋体"/>
                <w:sz w:val="20"/>
                <w:szCs w:val="20"/>
              </w:rPr>
              <w:t xml:space="preserve"> </w:t>
            </w:r>
            <w:r>
              <w:rPr>
                <w:rFonts w:ascii="宋体" w:hAnsi="宋体" w:eastAsia="宋体" w:cs="宋体"/>
                <w:spacing w:val="20"/>
                <w:sz w:val="20"/>
                <w:szCs w:val="20"/>
              </w:rPr>
              <w:t>固</w:t>
            </w:r>
            <w:r>
              <w:rPr>
                <w:rFonts w:ascii="宋体" w:hAnsi="宋体" w:eastAsia="宋体" w:cs="宋体"/>
                <w:spacing w:val="14"/>
                <w:sz w:val="20"/>
                <w:szCs w:val="20"/>
              </w:rPr>
              <w:t>定</w:t>
            </w:r>
            <w:r>
              <w:rPr>
                <w:rFonts w:ascii="宋体" w:hAnsi="宋体" w:eastAsia="宋体" w:cs="宋体"/>
                <w:spacing w:val="10"/>
                <w:sz w:val="20"/>
                <w:szCs w:val="20"/>
              </w:rPr>
              <w:t>装运化学危险品的车辆和驾驶员，运输危险品车辆的驾驶员一定要经过专业培训，</w:t>
            </w:r>
            <w:r>
              <w:rPr>
                <w:rFonts w:ascii="宋体" w:hAnsi="宋体" w:eastAsia="宋体" w:cs="宋体"/>
                <w:sz w:val="20"/>
                <w:szCs w:val="20"/>
              </w:rPr>
              <w:t xml:space="preserve"> </w:t>
            </w:r>
            <w:r>
              <w:rPr>
                <w:rFonts w:ascii="宋体" w:hAnsi="宋体" w:eastAsia="宋体" w:cs="宋体"/>
                <w:spacing w:val="20"/>
                <w:sz w:val="20"/>
                <w:szCs w:val="20"/>
              </w:rPr>
              <w:t>运</w:t>
            </w:r>
            <w:r>
              <w:rPr>
                <w:rFonts w:ascii="宋体" w:hAnsi="宋体" w:eastAsia="宋体" w:cs="宋体"/>
                <w:spacing w:val="14"/>
                <w:sz w:val="20"/>
                <w:szCs w:val="20"/>
              </w:rPr>
              <w:t>输</w:t>
            </w:r>
            <w:r>
              <w:rPr>
                <w:rFonts w:ascii="宋体" w:hAnsi="宋体" w:eastAsia="宋体" w:cs="宋体"/>
                <w:spacing w:val="10"/>
                <w:sz w:val="20"/>
                <w:szCs w:val="20"/>
              </w:rPr>
              <w:t>危险物品的车辆必须保持安全车速，严禁外来明火，同时还必须有随车人员负责押</w:t>
            </w:r>
            <w:r>
              <w:rPr>
                <w:rFonts w:ascii="宋体" w:hAnsi="宋体" w:eastAsia="宋体" w:cs="宋体"/>
                <w:sz w:val="20"/>
                <w:szCs w:val="20"/>
              </w:rPr>
              <w:t xml:space="preserve"> </w:t>
            </w:r>
            <w:r>
              <w:rPr>
                <w:rFonts w:ascii="宋体" w:hAnsi="宋体" w:eastAsia="宋体" w:cs="宋体"/>
                <w:spacing w:val="20"/>
                <w:sz w:val="20"/>
                <w:szCs w:val="20"/>
              </w:rPr>
              <w:t>送</w:t>
            </w:r>
            <w:r>
              <w:rPr>
                <w:rFonts w:ascii="宋体" w:hAnsi="宋体" w:eastAsia="宋体" w:cs="宋体"/>
                <w:spacing w:val="14"/>
                <w:sz w:val="20"/>
                <w:szCs w:val="20"/>
              </w:rPr>
              <w:t>，</w:t>
            </w:r>
            <w:r>
              <w:rPr>
                <w:rFonts w:ascii="宋体" w:hAnsi="宋体" w:eastAsia="宋体" w:cs="宋体"/>
                <w:spacing w:val="10"/>
                <w:sz w:val="20"/>
                <w:szCs w:val="20"/>
              </w:rPr>
              <w:t>随车人员必须经过专业的培训。公路管理部门应加强危险品运输管理，严格执行交</w:t>
            </w:r>
            <w:r>
              <w:rPr>
                <w:rFonts w:ascii="宋体" w:hAnsi="宋体" w:eastAsia="宋体" w:cs="宋体"/>
                <w:sz w:val="20"/>
                <w:szCs w:val="20"/>
              </w:rPr>
              <w:t xml:space="preserve"> </w:t>
            </w:r>
            <w:r>
              <w:rPr>
                <w:rFonts w:ascii="宋体" w:hAnsi="宋体" w:eastAsia="宋体" w:cs="宋体"/>
                <w:spacing w:val="16"/>
                <w:sz w:val="20"/>
                <w:szCs w:val="20"/>
              </w:rPr>
              <w:t>通部部</w:t>
            </w:r>
            <w:r>
              <w:rPr>
                <w:rFonts w:ascii="宋体" w:hAnsi="宋体" w:eastAsia="宋体" w:cs="宋体"/>
                <w:spacing w:val="10"/>
                <w:sz w:val="20"/>
                <w:szCs w:val="20"/>
              </w:rPr>
              <w:t>颁</w:t>
            </w:r>
            <w:r>
              <w:rPr>
                <w:rFonts w:ascii="宋体" w:hAnsi="宋体" w:eastAsia="宋体" w:cs="宋体"/>
                <w:spacing w:val="8"/>
                <w:sz w:val="20"/>
                <w:szCs w:val="20"/>
              </w:rPr>
              <w:t>标准</w:t>
            </w:r>
            <w:r>
              <w:rPr>
                <w:rFonts w:ascii="Times New Roman" w:hAnsi="Times New Roman" w:eastAsia="Times New Roman" w:cs="Times New Roman"/>
                <w:sz w:val="20"/>
                <w:szCs w:val="20"/>
              </w:rPr>
              <w:t>JT</w:t>
            </w:r>
            <w:r>
              <w:rPr>
                <w:rFonts w:ascii="Times New Roman" w:hAnsi="Times New Roman" w:eastAsia="Times New Roman" w:cs="Times New Roman"/>
                <w:spacing w:val="8"/>
                <w:sz w:val="20"/>
                <w:szCs w:val="20"/>
              </w:rPr>
              <w:t>3130-88</w:t>
            </w:r>
            <w:r>
              <w:rPr>
                <w:rFonts w:ascii="宋体" w:hAnsi="宋体" w:eastAsia="宋体" w:cs="宋体"/>
                <w:spacing w:val="8"/>
                <w:sz w:val="20"/>
                <w:szCs w:val="20"/>
              </w:rPr>
              <w:t>《汽车危险货物运输规范》有关危险品运输的规定。</w:t>
            </w:r>
          </w:p>
          <w:p>
            <w:pPr>
              <w:spacing w:line="369" w:lineRule="auto"/>
              <w:ind w:left="107" w:right="105" w:firstLine="478"/>
              <w:rPr>
                <w:rFonts w:ascii="宋体" w:hAnsi="宋体" w:eastAsia="宋体" w:cs="宋体"/>
                <w:sz w:val="20"/>
                <w:szCs w:val="20"/>
              </w:rPr>
            </w:pPr>
            <w:r>
              <w:rPr>
                <w:rFonts w:ascii="宋体" w:hAnsi="宋体" w:eastAsia="宋体" w:cs="宋体"/>
                <w:spacing w:val="10"/>
                <w:sz w:val="17"/>
                <w:szCs w:val="17"/>
              </w:rPr>
              <w:t xml:space="preserve">4   </w:t>
            </w:r>
            <w:r>
              <w:rPr>
                <w:rFonts w:ascii="宋体" w:hAnsi="宋体" w:eastAsia="宋体" w:cs="宋体"/>
                <w:spacing w:val="10"/>
                <w:sz w:val="20"/>
                <w:szCs w:val="20"/>
              </w:rPr>
              <w:t>高度危险品运输车辆上路必须事先通知道路管理处，接受上路安全检查，同</w:t>
            </w:r>
            <w:r>
              <w:rPr>
                <w:rFonts w:ascii="宋体" w:hAnsi="宋体" w:eastAsia="宋体" w:cs="宋体"/>
                <w:spacing w:val="5"/>
                <w:sz w:val="20"/>
                <w:szCs w:val="20"/>
              </w:rPr>
              <w:t>时</w:t>
            </w:r>
            <w:r>
              <w:rPr>
                <w:rFonts w:ascii="宋体" w:hAnsi="宋体" w:eastAsia="宋体" w:cs="宋体"/>
                <w:sz w:val="20"/>
                <w:szCs w:val="20"/>
              </w:rPr>
              <w:t xml:space="preserve"> </w:t>
            </w:r>
            <w:r>
              <w:rPr>
                <w:rFonts w:ascii="宋体" w:hAnsi="宋体" w:eastAsia="宋体" w:cs="宋体"/>
                <w:spacing w:val="14"/>
                <w:sz w:val="20"/>
                <w:szCs w:val="20"/>
              </w:rPr>
              <w:t>车辆</w:t>
            </w:r>
            <w:r>
              <w:rPr>
                <w:rFonts w:ascii="宋体" w:hAnsi="宋体" w:eastAsia="宋体" w:cs="宋体"/>
                <w:spacing w:val="13"/>
                <w:sz w:val="20"/>
                <w:szCs w:val="20"/>
              </w:rPr>
              <w:t>上</w:t>
            </w:r>
            <w:r>
              <w:rPr>
                <w:rFonts w:ascii="宋体" w:hAnsi="宋体" w:eastAsia="宋体" w:cs="宋体"/>
                <w:spacing w:val="7"/>
                <w:sz w:val="20"/>
                <w:szCs w:val="20"/>
              </w:rPr>
              <w:t>必须有醒目的装有危险品的标记， 由公安管理部门、公安消防部门对化学危险货</w:t>
            </w:r>
            <w:r>
              <w:rPr>
                <w:rFonts w:ascii="宋体" w:hAnsi="宋体" w:eastAsia="宋体" w:cs="宋体"/>
                <w:sz w:val="20"/>
                <w:szCs w:val="20"/>
              </w:rPr>
              <w:t xml:space="preserve"> </w:t>
            </w:r>
            <w:r>
              <w:rPr>
                <w:rFonts w:ascii="宋体" w:hAnsi="宋体" w:eastAsia="宋体" w:cs="宋体"/>
                <w:spacing w:val="18"/>
                <w:sz w:val="20"/>
                <w:szCs w:val="20"/>
              </w:rPr>
              <w:t>物</w:t>
            </w:r>
            <w:r>
              <w:rPr>
                <w:rFonts w:ascii="宋体" w:hAnsi="宋体" w:eastAsia="宋体" w:cs="宋体"/>
                <w:spacing w:val="16"/>
                <w:sz w:val="20"/>
                <w:szCs w:val="20"/>
              </w:rPr>
              <w:t>运</w:t>
            </w:r>
            <w:r>
              <w:rPr>
                <w:rFonts w:ascii="宋体" w:hAnsi="宋体" w:eastAsia="宋体" w:cs="宋体"/>
                <w:spacing w:val="9"/>
                <w:sz w:val="20"/>
                <w:szCs w:val="20"/>
              </w:rPr>
              <w:t>输车辆指定行驶区域路线，运输化学危险物品的车辆必须在指定地点停放。</w:t>
            </w:r>
          </w:p>
          <w:p>
            <w:pPr>
              <w:spacing w:line="229" w:lineRule="auto"/>
              <w:ind w:left="590"/>
              <w:rPr>
                <w:rFonts w:ascii="宋体" w:hAnsi="宋体" w:eastAsia="宋体" w:cs="宋体"/>
                <w:sz w:val="20"/>
                <w:szCs w:val="20"/>
              </w:rPr>
            </w:pPr>
            <w:r>
              <w:rPr>
                <w:rFonts w:ascii="宋体" w:hAnsi="宋体" w:eastAsia="宋体" w:cs="宋体"/>
                <w:spacing w:val="16"/>
                <w:sz w:val="17"/>
                <w:szCs w:val="17"/>
              </w:rPr>
              <w:t xml:space="preserve">5 </w:t>
            </w:r>
            <w:r>
              <w:rPr>
                <w:rFonts w:ascii="宋体" w:hAnsi="宋体" w:eastAsia="宋体" w:cs="宋体"/>
                <w:spacing w:val="10"/>
                <w:sz w:val="17"/>
                <w:szCs w:val="17"/>
              </w:rPr>
              <w:t xml:space="preserve"> </w:t>
            </w:r>
            <w:r>
              <w:rPr>
                <w:rFonts w:ascii="宋体" w:hAnsi="宋体" w:eastAsia="宋体" w:cs="宋体"/>
                <w:spacing w:val="8"/>
                <w:sz w:val="17"/>
                <w:szCs w:val="17"/>
              </w:rPr>
              <w:t xml:space="preserve"> </w:t>
            </w:r>
            <w:r>
              <w:rPr>
                <w:rFonts w:ascii="宋体" w:hAnsi="宋体" w:eastAsia="宋体" w:cs="宋体"/>
                <w:spacing w:val="8"/>
                <w:sz w:val="20"/>
                <w:szCs w:val="20"/>
              </w:rPr>
              <w:t>雾、雪天气禁止危险品运输车辆通行，其他车辆限速行驶。</w:t>
            </w:r>
          </w:p>
          <w:p>
            <w:pPr>
              <w:spacing w:before="152" w:line="369" w:lineRule="auto"/>
              <w:ind w:left="108" w:right="34" w:firstLine="479"/>
              <w:rPr>
                <w:rFonts w:ascii="宋体" w:hAnsi="宋体" w:eastAsia="宋体" w:cs="宋体"/>
                <w:sz w:val="20"/>
                <w:szCs w:val="20"/>
              </w:rPr>
            </w:pPr>
            <w:r>
              <w:rPr>
                <w:rFonts w:ascii="宋体" w:hAnsi="宋体" w:eastAsia="宋体" w:cs="宋体"/>
                <w:spacing w:val="12"/>
                <w:sz w:val="17"/>
                <w:szCs w:val="17"/>
              </w:rPr>
              <w:t>6</w:t>
            </w:r>
            <w:r>
              <w:rPr>
                <w:rFonts w:ascii="宋体" w:hAnsi="宋体" w:eastAsia="宋体" w:cs="宋体"/>
                <w:spacing w:val="10"/>
                <w:sz w:val="17"/>
                <w:szCs w:val="17"/>
              </w:rPr>
              <w:t xml:space="preserve"> </w:t>
            </w:r>
            <w:r>
              <w:rPr>
                <w:rFonts w:ascii="宋体" w:hAnsi="宋体" w:eastAsia="宋体" w:cs="宋体"/>
                <w:spacing w:val="6"/>
                <w:sz w:val="17"/>
                <w:szCs w:val="17"/>
              </w:rPr>
              <w:t xml:space="preserve">  </w:t>
            </w:r>
            <w:r>
              <w:rPr>
                <w:rFonts w:ascii="宋体" w:hAnsi="宋体" w:eastAsia="宋体" w:cs="宋体"/>
                <w:spacing w:val="6"/>
                <w:sz w:val="20"/>
                <w:szCs w:val="20"/>
              </w:rPr>
              <w:t>发生事故后司机、押运人应及时报案并说明所有重要的相关事项；在发生油料、</w:t>
            </w:r>
            <w:r>
              <w:rPr>
                <w:rFonts w:ascii="宋体" w:hAnsi="宋体" w:eastAsia="宋体" w:cs="宋体"/>
                <w:sz w:val="20"/>
                <w:szCs w:val="20"/>
              </w:rPr>
              <w:t xml:space="preserve"> </w:t>
            </w:r>
            <w:r>
              <w:rPr>
                <w:rFonts w:ascii="宋体" w:hAnsi="宋体" w:eastAsia="宋体" w:cs="宋体"/>
                <w:spacing w:val="18"/>
                <w:sz w:val="20"/>
                <w:szCs w:val="20"/>
              </w:rPr>
              <w:t>有</w:t>
            </w:r>
            <w:r>
              <w:rPr>
                <w:rFonts w:ascii="宋体" w:hAnsi="宋体" w:eastAsia="宋体" w:cs="宋体"/>
                <w:spacing w:val="13"/>
                <w:sz w:val="20"/>
                <w:szCs w:val="20"/>
              </w:rPr>
              <w:t>毒</w:t>
            </w:r>
            <w:r>
              <w:rPr>
                <w:rFonts w:ascii="宋体" w:hAnsi="宋体" w:eastAsia="宋体" w:cs="宋体"/>
                <w:spacing w:val="9"/>
                <w:sz w:val="20"/>
                <w:szCs w:val="20"/>
              </w:rPr>
              <w:t>有害物品泄漏紧急情况下，应关闭该路段，启动应急计划，进行泄漏处理。</w:t>
            </w:r>
          </w:p>
          <w:p>
            <w:pPr>
              <w:spacing w:before="1" w:line="368" w:lineRule="auto"/>
              <w:ind w:left="528" w:right="583" w:firstLine="62"/>
              <w:rPr>
                <w:rFonts w:ascii="宋体" w:hAnsi="宋体" w:eastAsia="宋体" w:cs="宋体"/>
                <w:sz w:val="20"/>
                <w:szCs w:val="20"/>
              </w:rPr>
            </w:pPr>
            <w:r>
              <w:rPr>
                <w:rFonts w:ascii="宋体" w:hAnsi="宋体" w:eastAsia="宋体" w:cs="宋体"/>
                <w:spacing w:val="11"/>
                <w:sz w:val="17"/>
                <w:szCs w:val="17"/>
              </w:rPr>
              <w:t>7</w:t>
            </w:r>
            <w:r>
              <w:rPr>
                <w:rFonts w:ascii="宋体" w:hAnsi="宋体" w:eastAsia="宋体" w:cs="宋体"/>
                <w:spacing w:val="8"/>
                <w:sz w:val="17"/>
                <w:szCs w:val="17"/>
              </w:rPr>
              <w:t xml:space="preserve">   </w:t>
            </w:r>
            <w:r>
              <w:rPr>
                <w:rFonts w:ascii="宋体" w:hAnsi="宋体" w:eastAsia="宋体" w:cs="宋体"/>
                <w:spacing w:val="8"/>
                <w:sz w:val="20"/>
                <w:szCs w:val="20"/>
              </w:rPr>
              <w:t>交管部门接受报案后应及时向当地政府办公部门报警，并启动应急预案。</w:t>
            </w:r>
            <w:r>
              <w:rPr>
                <w:rFonts w:ascii="宋体" w:hAnsi="宋体" w:eastAsia="宋体" w:cs="宋体"/>
                <w:sz w:val="20"/>
                <w:szCs w:val="20"/>
              </w:rPr>
              <w:t xml:space="preserve"> </w:t>
            </w:r>
            <w:r>
              <w:rPr>
                <w:rFonts w:ascii="宋体" w:hAnsi="宋体" w:eastAsia="宋体" w:cs="宋体"/>
                <w:spacing w:val="16"/>
                <w:sz w:val="20"/>
                <w:szCs w:val="20"/>
              </w:rPr>
              <w:t>本</w:t>
            </w:r>
            <w:r>
              <w:rPr>
                <w:rFonts w:ascii="宋体" w:hAnsi="宋体" w:eastAsia="宋体" w:cs="宋体"/>
                <w:spacing w:val="9"/>
                <w:sz w:val="20"/>
                <w:szCs w:val="20"/>
              </w:rPr>
              <w:t>项目为城市桥梁，在落实上述措施后其环境风险为可接受程度。</w:t>
            </w:r>
          </w:p>
          <w:p>
            <w:pPr>
              <w:spacing w:before="1" w:line="228" w:lineRule="auto"/>
              <w:ind w:left="537"/>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6"/>
                <w:sz w:val="20"/>
                <w:szCs w:val="20"/>
              </w:rPr>
              <w:t>2</w:t>
            </w: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宋体" w:hAnsi="宋体" w:eastAsia="宋体" w:cs="宋体"/>
                <w:spacing w:val="16"/>
                <w:sz w:val="20"/>
                <w:szCs w:val="20"/>
              </w:rPr>
              <w:t xml:space="preserve"> </w:t>
            </w:r>
            <w:r>
              <w:rPr>
                <w:rFonts w:ascii="宋体" w:hAnsi="宋体" w:eastAsia="宋体" w:cs="宋体"/>
                <w:spacing w:val="16"/>
                <w:sz w:val="20"/>
                <w:szCs w:val="20"/>
                <w14:textOutline w14:w="3795" w14:cap="sq" w14:cmpd="sng">
                  <w14:solidFill>
                    <w14:srgbClr w14:val="000000"/>
                  </w14:solidFill>
                  <w14:prstDash w14:val="solid"/>
                  <w14:bevel/>
                </w14:textOutline>
              </w:rPr>
              <w:t>交通事故预防措施</w:t>
            </w:r>
          </w:p>
          <w:p>
            <w:pPr>
              <w:spacing w:before="155" w:line="369" w:lineRule="auto"/>
              <w:ind w:left="108" w:right="104" w:firstLine="491"/>
              <w:rPr>
                <w:rFonts w:ascii="宋体" w:hAnsi="宋体" w:eastAsia="宋体" w:cs="宋体"/>
                <w:sz w:val="20"/>
                <w:szCs w:val="20"/>
              </w:rPr>
            </w:pPr>
            <w:r>
              <w:rPr>
                <w:rFonts w:ascii="宋体" w:hAnsi="宋体" w:eastAsia="宋体" w:cs="宋体"/>
                <w:spacing w:val="18"/>
                <w:sz w:val="17"/>
                <w:szCs w:val="17"/>
              </w:rPr>
              <w:t xml:space="preserve">1 </w:t>
            </w:r>
            <w:r>
              <w:rPr>
                <w:rFonts w:ascii="宋体" w:hAnsi="宋体" w:eastAsia="宋体" w:cs="宋体"/>
                <w:spacing w:val="10"/>
                <w:sz w:val="17"/>
                <w:szCs w:val="17"/>
              </w:rPr>
              <w:t xml:space="preserve"> </w:t>
            </w:r>
            <w:r>
              <w:rPr>
                <w:rFonts w:ascii="宋体" w:hAnsi="宋体" w:eastAsia="宋体" w:cs="宋体"/>
                <w:spacing w:val="9"/>
                <w:sz w:val="17"/>
                <w:szCs w:val="17"/>
              </w:rPr>
              <w:t xml:space="preserve"> </w:t>
            </w:r>
            <w:r>
              <w:rPr>
                <w:rFonts w:ascii="宋体" w:hAnsi="宋体" w:eastAsia="宋体" w:cs="宋体"/>
                <w:spacing w:val="9"/>
                <w:sz w:val="20"/>
                <w:szCs w:val="20"/>
              </w:rPr>
              <w:t>公路管理部门应加强危险品运输管理，严格执行交通部门有关危险品运输的规</w:t>
            </w:r>
            <w:r>
              <w:rPr>
                <w:rFonts w:ascii="宋体" w:hAnsi="宋体" w:eastAsia="宋体" w:cs="宋体"/>
                <w:sz w:val="20"/>
                <w:szCs w:val="20"/>
              </w:rPr>
              <w:t xml:space="preserve"> </w:t>
            </w:r>
            <w:r>
              <w:rPr>
                <w:rFonts w:ascii="宋体" w:hAnsi="宋体" w:eastAsia="宋体" w:cs="宋体"/>
                <w:spacing w:val="20"/>
                <w:sz w:val="20"/>
                <w:szCs w:val="20"/>
              </w:rPr>
              <w:t>定</w:t>
            </w:r>
            <w:r>
              <w:rPr>
                <w:rFonts w:ascii="宋体" w:hAnsi="宋体" w:eastAsia="宋体" w:cs="宋体"/>
                <w:spacing w:val="12"/>
                <w:sz w:val="20"/>
                <w:szCs w:val="20"/>
              </w:rPr>
              <w:t>。</w:t>
            </w:r>
            <w:r>
              <w:rPr>
                <w:rFonts w:ascii="宋体" w:hAnsi="宋体" w:eastAsia="宋体" w:cs="宋体"/>
                <w:spacing w:val="10"/>
                <w:sz w:val="20"/>
                <w:szCs w:val="20"/>
              </w:rPr>
              <w:t>对从事危险品运输的驾驶员和管理人员，应严格遵守有关危险品运输安全技术规定</w:t>
            </w:r>
            <w:r>
              <w:rPr>
                <w:rFonts w:ascii="宋体" w:hAnsi="宋体" w:eastAsia="宋体" w:cs="宋体"/>
                <w:sz w:val="20"/>
                <w:szCs w:val="20"/>
              </w:rPr>
              <w:t xml:space="preserve"> </w:t>
            </w:r>
            <w:r>
              <w:rPr>
                <w:rFonts w:ascii="宋体" w:hAnsi="宋体" w:eastAsia="宋体" w:cs="宋体"/>
                <w:spacing w:val="20"/>
                <w:sz w:val="20"/>
                <w:szCs w:val="20"/>
              </w:rPr>
              <w:t>和</w:t>
            </w:r>
            <w:r>
              <w:rPr>
                <w:rFonts w:ascii="宋体" w:hAnsi="宋体" w:eastAsia="宋体" w:cs="宋体"/>
                <w:spacing w:val="12"/>
                <w:sz w:val="20"/>
                <w:szCs w:val="20"/>
              </w:rPr>
              <w:t>操</w:t>
            </w:r>
            <w:r>
              <w:rPr>
                <w:rFonts w:ascii="宋体" w:hAnsi="宋体" w:eastAsia="宋体" w:cs="宋体"/>
                <w:spacing w:val="10"/>
                <w:sz w:val="20"/>
                <w:szCs w:val="20"/>
              </w:rPr>
              <w:t>作规程及有关公路运输危险品的安全管理办法等。严禁各种泄漏及散装载重车辆上</w:t>
            </w:r>
            <w:r>
              <w:rPr>
                <w:rFonts w:ascii="宋体" w:hAnsi="宋体" w:eastAsia="宋体" w:cs="宋体"/>
                <w:sz w:val="20"/>
                <w:szCs w:val="20"/>
              </w:rPr>
              <w:t xml:space="preserve"> </w:t>
            </w:r>
            <w:r>
              <w:rPr>
                <w:rFonts w:ascii="宋体" w:hAnsi="宋体" w:eastAsia="宋体" w:cs="宋体"/>
                <w:spacing w:val="16"/>
                <w:sz w:val="20"/>
                <w:szCs w:val="20"/>
              </w:rPr>
              <w:t>路</w:t>
            </w:r>
            <w:r>
              <w:rPr>
                <w:rFonts w:ascii="宋体" w:hAnsi="宋体" w:eastAsia="宋体" w:cs="宋体"/>
                <w:spacing w:val="11"/>
                <w:sz w:val="20"/>
                <w:szCs w:val="20"/>
              </w:rPr>
              <w:t>，</w:t>
            </w:r>
            <w:r>
              <w:rPr>
                <w:rFonts w:ascii="宋体" w:hAnsi="宋体" w:eastAsia="宋体" w:cs="宋体"/>
                <w:spacing w:val="8"/>
                <w:sz w:val="20"/>
                <w:szCs w:val="20"/>
              </w:rPr>
              <w:t>防止散失货物和发生交通事故。</w:t>
            </w:r>
          </w:p>
          <w:p>
            <w:pPr>
              <w:spacing w:before="1" w:line="369" w:lineRule="auto"/>
              <w:ind w:left="105" w:right="50" w:firstLine="482"/>
              <w:rPr>
                <w:rFonts w:ascii="宋体" w:hAnsi="宋体" w:eastAsia="宋体" w:cs="宋体"/>
                <w:sz w:val="20"/>
                <w:szCs w:val="20"/>
              </w:rPr>
            </w:pPr>
            <w:r>
              <w:rPr>
                <w:rFonts w:ascii="宋体" w:hAnsi="宋体" w:eastAsia="宋体" w:cs="宋体"/>
                <w:spacing w:val="12"/>
                <w:sz w:val="17"/>
                <w:szCs w:val="17"/>
              </w:rPr>
              <w:t>2</w:t>
            </w:r>
            <w:r>
              <w:rPr>
                <w:rFonts w:ascii="宋体" w:hAnsi="宋体" w:eastAsia="宋体" w:cs="宋体"/>
                <w:spacing w:val="9"/>
                <w:sz w:val="17"/>
                <w:szCs w:val="17"/>
              </w:rPr>
              <w:t xml:space="preserve"> </w:t>
            </w:r>
            <w:r>
              <w:rPr>
                <w:rFonts w:ascii="宋体" w:hAnsi="宋体" w:eastAsia="宋体" w:cs="宋体"/>
                <w:spacing w:val="6"/>
                <w:sz w:val="17"/>
                <w:szCs w:val="17"/>
              </w:rPr>
              <w:t xml:space="preserve">  </w:t>
            </w:r>
            <w:r>
              <w:rPr>
                <w:rFonts w:ascii="宋体" w:hAnsi="宋体" w:eastAsia="宋体" w:cs="宋体"/>
                <w:spacing w:val="6"/>
                <w:sz w:val="20"/>
                <w:szCs w:val="20"/>
              </w:rPr>
              <w:t>在重要路段设置</w:t>
            </w:r>
            <w:r>
              <w:rPr>
                <w:rFonts w:ascii="Times New Roman" w:hAnsi="Times New Roman" w:eastAsia="Times New Roman" w:cs="Times New Roman"/>
                <w:spacing w:val="6"/>
                <w:sz w:val="20"/>
                <w:szCs w:val="20"/>
              </w:rPr>
              <w:t>“</w:t>
            </w:r>
            <w:r>
              <w:rPr>
                <w:rFonts w:ascii="宋体" w:hAnsi="宋体" w:eastAsia="宋体" w:cs="宋体"/>
                <w:spacing w:val="6"/>
                <w:sz w:val="20"/>
                <w:szCs w:val="20"/>
              </w:rPr>
              <w:t>减速行驶、安全驾驶</w:t>
            </w:r>
            <w:r>
              <w:rPr>
                <w:rFonts w:ascii="Times New Roman" w:hAnsi="Times New Roman" w:eastAsia="Times New Roman" w:cs="Times New Roman"/>
                <w:spacing w:val="6"/>
                <w:sz w:val="20"/>
                <w:szCs w:val="20"/>
              </w:rPr>
              <w:t>”</w:t>
            </w:r>
            <w:r>
              <w:rPr>
                <w:rFonts w:ascii="宋体" w:hAnsi="宋体" w:eastAsia="宋体" w:cs="宋体"/>
                <w:spacing w:val="6"/>
                <w:sz w:val="20"/>
                <w:szCs w:val="20"/>
              </w:rPr>
              <w:t>的警示牌，以使从业人员增强忧患意识，</w:t>
            </w:r>
            <w:r>
              <w:rPr>
                <w:rFonts w:ascii="宋体" w:hAnsi="宋体" w:eastAsia="宋体" w:cs="宋体"/>
                <w:sz w:val="20"/>
                <w:szCs w:val="20"/>
              </w:rPr>
              <w:t xml:space="preserve"> </w:t>
            </w:r>
            <w:r>
              <w:rPr>
                <w:rFonts w:ascii="宋体" w:hAnsi="宋体" w:eastAsia="宋体" w:cs="宋体"/>
                <w:spacing w:val="20"/>
                <w:sz w:val="20"/>
                <w:szCs w:val="20"/>
              </w:rPr>
              <w:t>将</w:t>
            </w:r>
            <w:r>
              <w:rPr>
                <w:rFonts w:ascii="宋体" w:hAnsi="宋体" w:eastAsia="宋体" w:cs="宋体"/>
                <w:spacing w:val="14"/>
                <w:sz w:val="20"/>
                <w:szCs w:val="20"/>
              </w:rPr>
              <w:t>危</w:t>
            </w:r>
            <w:r>
              <w:rPr>
                <w:rFonts w:ascii="宋体" w:hAnsi="宋体" w:eastAsia="宋体" w:cs="宋体"/>
                <w:spacing w:val="10"/>
                <w:sz w:val="20"/>
                <w:szCs w:val="20"/>
              </w:rPr>
              <w:t>险品运输所产生的事故风险降为最低。危险品运输车辆应保持安全运输车距，严禁</w:t>
            </w:r>
            <w:r>
              <w:rPr>
                <w:rFonts w:ascii="宋体" w:hAnsi="宋体" w:eastAsia="宋体" w:cs="宋体"/>
                <w:sz w:val="20"/>
                <w:szCs w:val="20"/>
              </w:rPr>
              <w:t xml:space="preserve"> </w:t>
            </w:r>
            <w:r>
              <w:rPr>
                <w:rFonts w:ascii="宋体" w:hAnsi="宋体" w:eastAsia="宋体" w:cs="宋体"/>
                <w:spacing w:val="7"/>
                <w:sz w:val="20"/>
                <w:szCs w:val="20"/>
              </w:rPr>
              <w:t>超车、超速。</w:t>
            </w:r>
          </w:p>
          <w:p>
            <w:pPr>
              <w:spacing w:before="1" w:line="368" w:lineRule="auto"/>
              <w:ind w:left="110" w:right="104" w:firstLine="479"/>
              <w:rPr>
                <w:rFonts w:ascii="宋体" w:hAnsi="宋体" w:eastAsia="宋体" w:cs="宋体"/>
                <w:sz w:val="20"/>
                <w:szCs w:val="20"/>
              </w:rPr>
            </w:pPr>
            <w:r>
              <w:rPr>
                <w:rFonts w:ascii="宋体" w:hAnsi="宋体" w:eastAsia="宋体" w:cs="宋体"/>
                <w:spacing w:val="18"/>
                <w:sz w:val="17"/>
                <w:szCs w:val="17"/>
              </w:rPr>
              <w:t xml:space="preserve">3  </w:t>
            </w:r>
            <w:r>
              <w:rPr>
                <w:rFonts w:ascii="宋体" w:hAnsi="宋体" w:eastAsia="宋体" w:cs="宋体"/>
                <w:spacing w:val="11"/>
                <w:sz w:val="17"/>
                <w:szCs w:val="17"/>
              </w:rPr>
              <w:t xml:space="preserve"> </w:t>
            </w:r>
            <w:r>
              <w:rPr>
                <w:rFonts w:ascii="宋体" w:hAnsi="宋体" w:eastAsia="宋体" w:cs="宋体"/>
                <w:spacing w:val="9"/>
                <w:sz w:val="20"/>
                <w:szCs w:val="20"/>
              </w:rPr>
              <w:t>针对本项目桥梁应在桥梁两侧设置防撞墙，防撞墙上方安装防抛网，采用交安</w:t>
            </w:r>
            <w:r>
              <w:rPr>
                <w:rFonts w:ascii="宋体" w:hAnsi="宋体" w:eastAsia="宋体" w:cs="宋体"/>
                <w:sz w:val="20"/>
                <w:szCs w:val="20"/>
              </w:rPr>
              <w:t xml:space="preserve"> </w:t>
            </w:r>
            <w:r>
              <w:rPr>
                <w:rFonts w:ascii="宋体" w:hAnsi="宋体" w:eastAsia="宋体" w:cs="宋体"/>
                <w:spacing w:val="12"/>
                <w:sz w:val="20"/>
                <w:szCs w:val="20"/>
              </w:rPr>
              <w:t>设</w:t>
            </w:r>
            <w:r>
              <w:rPr>
                <w:rFonts w:ascii="宋体" w:hAnsi="宋体" w:eastAsia="宋体" w:cs="宋体"/>
                <w:spacing w:val="9"/>
                <w:sz w:val="20"/>
                <w:szCs w:val="20"/>
              </w:rPr>
              <w:t>施来减少危险废物车辆发生事故影响水环境质量的概率。</w:t>
            </w:r>
          </w:p>
          <w:p>
            <w:pPr>
              <w:spacing w:before="2" w:line="374" w:lineRule="auto"/>
              <w:ind w:left="108" w:right="102" w:firstLine="477"/>
              <w:rPr>
                <w:rFonts w:ascii="宋体" w:hAnsi="宋体" w:eastAsia="宋体" w:cs="宋体"/>
                <w:sz w:val="20"/>
                <w:szCs w:val="20"/>
              </w:rPr>
            </w:pPr>
            <w:r>
              <w:rPr>
                <w:rFonts w:ascii="宋体" w:hAnsi="宋体" w:eastAsia="宋体" w:cs="宋体"/>
                <w:spacing w:val="14"/>
                <w:sz w:val="17"/>
                <w:szCs w:val="17"/>
              </w:rPr>
              <w:t>4</w:t>
            </w:r>
            <w:r>
              <w:rPr>
                <w:rFonts w:ascii="宋体" w:hAnsi="宋体" w:eastAsia="宋体" w:cs="宋体"/>
                <w:spacing w:val="13"/>
                <w:sz w:val="17"/>
                <w:szCs w:val="17"/>
              </w:rPr>
              <w:t xml:space="preserve"> </w:t>
            </w:r>
            <w:r>
              <w:rPr>
                <w:rFonts w:ascii="宋体" w:hAnsi="宋体" w:eastAsia="宋体" w:cs="宋体"/>
                <w:spacing w:val="7"/>
                <w:sz w:val="17"/>
                <w:szCs w:val="17"/>
              </w:rPr>
              <w:t xml:space="preserve">  </w:t>
            </w:r>
            <w:r>
              <w:rPr>
                <w:rFonts w:ascii="宋体" w:hAnsi="宋体" w:eastAsia="宋体" w:cs="宋体"/>
                <w:spacing w:val="7"/>
                <w:sz w:val="20"/>
                <w:szCs w:val="20"/>
              </w:rPr>
              <w:t>为提醒过往车辆安全行驶、注意安全，在跨河桥梁桥头，设置</w:t>
            </w:r>
            <w:r>
              <w:rPr>
                <w:rFonts w:ascii="Times New Roman" w:hAnsi="Times New Roman" w:eastAsia="Times New Roman" w:cs="Times New Roman"/>
                <w:spacing w:val="7"/>
                <w:sz w:val="20"/>
                <w:szCs w:val="20"/>
              </w:rPr>
              <w:t>“</w:t>
            </w:r>
            <w:r>
              <w:rPr>
                <w:rFonts w:ascii="宋体" w:hAnsi="宋体" w:eastAsia="宋体" w:cs="宋体"/>
                <w:spacing w:val="7"/>
                <w:sz w:val="20"/>
                <w:szCs w:val="20"/>
              </w:rPr>
              <w:t>谨慎驾驶”“禁</w:t>
            </w:r>
            <w:r>
              <w:rPr>
                <w:rFonts w:ascii="宋体" w:hAnsi="宋体" w:eastAsia="宋体" w:cs="宋体"/>
                <w:sz w:val="20"/>
                <w:szCs w:val="20"/>
              </w:rPr>
              <w:t xml:space="preserve"> </w:t>
            </w:r>
            <w:r>
              <w:rPr>
                <w:rFonts w:ascii="宋体" w:hAnsi="宋体" w:eastAsia="宋体" w:cs="宋体"/>
                <w:spacing w:val="8"/>
                <w:sz w:val="20"/>
                <w:szCs w:val="20"/>
              </w:rPr>
              <w:t>止超车</w:t>
            </w:r>
            <w:r>
              <w:rPr>
                <w:rFonts w:ascii="Times New Roman" w:hAnsi="Times New Roman" w:eastAsia="Times New Roman" w:cs="Times New Roman"/>
                <w:spacing w:val="8"/>
                <w:sz w:val="20"/>
                <w:szCs w:val="20"/>
              </w:rPr>
              <w:t>”</w:t>
            </w:r>
            <w:r>
              <w:rPr>
                <w:rFonts w:ascii="宋体" w:hAnsi="宋体" w:eastAsia="宋体" w:cs="宋体"/>
                <w:spacing w:val="8"/>
                <w:sz w:val="20"/>
                <w:szCs w:val="20"/>
              </w:rPr>
              <w:t>警示牌和危险品车辆限速标志，提请司机注意安全和控制车速，防止车辆事故</w:t>
            </w:r>
            <w:r>
              <w:rPr>
                <w:rFonts w:ascii="宋体" w:hAnsi="宋体" w:eastAsia="宋体" w:cs="宋体"/>
                <w:spacing w:val="2"/>
                <w:sz w:val="20"/>
                <w:szCs w:val="20"/>
              </w:rPr>
              <w:t>污</w:t>
            </w:r>
            <w:r>
              <w:rPr>
                <w:rFonts w:ascii="宋体" w:hAnsi="宋体" w:eastAsia="宋体" w:cs="宋体"/>
                <w:sz w:val="20"/>
                <w:szCs w:val="20"/>
              </w:rPr>
              <w:t xml:space="preserve"> </w:t>
            </w:r>
            <w:r>
              <w:rPr>
                <w:rFonts w:ascii="宋体" w:hAnsi="宋体" w:eastAsia="宋体" w:cs="宋体"/>
                <w:spacing w:val="18"/>
                <w:sz w:val="20"/>
                <w:szCs w:val="20"/>
              </w:rPr>
              <w:t>染</w:t>
            </w:r>
            <w:r>
              <w:rPr>
                <w:rFonts w:ascii="宋体" w:hAnsi="宋体" w:eastAsia="宋体" w:cs="宋体"/>
                <w:spacing w:val="13"/>
                <w:sz w:val="20"/>
                <w:szCs w:val="20"/>
              </w:rPr>
              <w:t>水</w:t>
            </w:r>
            <w:r>
              <w:rPr>
                <w:rFonts w:ascii="宋体" w:hAnsi="宋体" w:eastAsia="宋体" w:cs="宋体"/>
                <w:spacing w:val="9"/>
                <w:sz w:val="20"/>
                <w:szCs w:val="20"/>
              </w:rPr>
              <w:t>体。同时在进入桥梁的两端入口设置视频监控系统等环境风险防范设施。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9" w:hRule="atLeast"/>
        </w:trPr>
        <w:tc>
          <w:tcPr>
            <w:tcW w:w="724" w:type="dxa"/>
            <w:tcBorders>
              <w:left w:val="single" w:color="000000" w:sz="6" w:space="0"/>
            </w:tcBorders>
            <w:vAlign w:val="top"/>
          </w:tcPr>
          <w:p>
            <w:pPr>
              <w:spacing w:line="343" w:lineRule="auto"/>
              <w:rPr>
                <w:rFonts w:ascii="Arial"/>
                <w:sz w:val="21"/>
              </w:rPr>
            </w:pPr>
          </w:p>
          <w:p>
            <w:pPr>
              <w:spacing w:line="343" w:lineRule="auto"/>
              <w:rPr>
                <w:rFonts w:ascii="Arial"/>
                <w:sz w:val="21"/>
              </w:rPr>
            </w:pPr>
          </w:p>
          <w:p>
            <w:pPr>
              <w:spacing w:before="65" w:line="228" w:lineRule="auto"/>
              <w:ind w:left="15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其</w:t>
            </w:r>
            <w:r>
              <w:rPr>
                <w:rFonts w:ascii="宋体" w:hAnsi="宋体" w:eastAsia="宋体" w:cs="宋体"/>
                <w:spacing w:val="5"/>
                <w:sz w:val="20"/>
                <w:szCs w:val="20"/>
                <w14:textOutline w14:w="3795" w14:cap="sq" w14:cmpd="sng">
                  <w14:solidFill>
                    <w14:srgbClr w14:val="000000"/>
                  </w14:solidFill>
                  <w14:prstDash w14:val="solid"/>
                  <w14:bevel/>
                </w14:textOutline>
              </w:rPr>
              <w:t>他</w:t>
            </w:r>
          </w:p>
        </w:tc>
        <w:tc>
          <w:tcPr>
            <w:tcW w:w="8216" w:type="dxa"/>
            <w:tcBorders>
              <w:right w:val="single" w:color="000000" w:sz="6" w:space="0"/>
            </w:tcBorders>
            <w:vAlign w:val="top"/>
          </w:tcPr>
          <w:p>
            <w:pPr>
              <w:spacing w:line="343" w:lineRule="auto"/>
              <w:rPr>
                <w:rFonts w:ascii="Arial"/>
                <w:sz w:val="21"/>
              </w:rPr>
            </w:pPr>
          </w:p>
          <w:p>
            <w:pPr>
              <w:spacing w:line="343" w:lineRule="auto"/>
              <w:rPr>
                <w:rFonts w:ascii="Arial"/>
                <w:sz w:val="21"/>
              </w:rPr>
            </w:pPr>
          </w:p>
          <w:p>
            <w:pPr>
              <w:spacing w:before="65" w:line="228" w:lineRule="auto"/>
              <w:ind w:left="3997"/>
              <w:rPr>
                <w:rFonts w:ascii="宋体" w:hAnsi="宋体" w:eastAsia="宋体" w:cs="宋体"/>
                <w:sz w:val="20"/>
                <w:szCs w:val="20"/>
              </w:rPr>
            </w:pPr>
            <w:r>
              <w:rPr>
                <w:rFonts w:ascii="宋体" w:hAnsi="宋体" w:eastAsia="宋体" w:cs="宋体"/>
                <w:sz w:val="20"/>
                <w:szCs w:val="20"/>
              </w:rPr>
              <w:t>无</w:t>
            </w:r>
          </w:p>
        </w:tc>
      </w:tr>
    </w:tbl>
    <w:p>
      <w:pPr>
        <w:rPr>
          <w:rFonts w:ascii="Arial"/>
          <w:sz w:val="21"/>
        </w:rPr>
      </w:pPr>
    </w:p>
    <w:p>
      <w:pPr>
        <w:sectPr>
          <w:footerReference r:id="rId99" w:type="default"/>
          <w:pgSz w:w="11907" w:h="16840"/>
          <w:pgMar w:top="400" w:right="1476" w:bottom="1477" w:left="1475" w:header="0" w:footer="1317" w:gutter="0"/>
          <w:cols w:space="720" w:num="1"/>
        </w:sectPr>
      </w:pPr>
    </w:p>
    <w:p>
      <w:r>
        <w:pict>
          <v:rect id="_x0000_s1105" o:spid="_x0000_s1105" o:spt="1" style="position:absolute;left:0pt;margin-left:116.8pt;margin-top:158.35pt;height:585.5pt;width:0.5pt;mso-position-horizontal-relative:page;mso-position-vertical-relative:page;z-index:251764736;mso-width-relative:page;mso-height-relative:page;" fillcolor="#000000" filled="t" stroked="f" coordsize="21600,21600" o:allowincell="f">
            <v:path/>
            <v:fill on="t" focussize="0,0"/>
            <v:stroke on="f"/>
            <v:imagedata o:title=""/>
            <o:lock v:ext="edit"/>
          </v:rect>
        </w:pict>
      </w:r>
    </w:p>
    <w:p/>
    <w:p/>
    <w:p/>
    <w:p>
      <w:pPr>
        <w:spacing w:line="221" w:lineRule="exact"/>
      </w:pPr>
    </w:p>
    <w:tbl>
      <w:tblPr>
        <w:tblStyle w:val="4"/>
        <w:tblW w:w="894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884"/>
        <w:gridCol w:w="1438"/>
        <w:gridCol w:w="5010"/>
        <w:gridCol w:w="735"/>
        <w:gridCol w:w="1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9" w:hRule="atLeast"/>
        </w:trPr>
        <w:tc>
          <w:tcPr>
            <w:tcW w:w="724" w:type="dxa"/>
            <w:vMerge w:val="restart"/>
            <w:tcBorders>
              <w:left w:val="single" w:color="000000" w:sz="6" w:space="0"/>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74" w:lineRule="exact"/>
              <w:ind w:left="149"/>
              <w:rPr>
                <w:rFonts w:ascii="宋体" w:hAnsi="宋体" w:eastAsia="宋体" w:cs="宋体"/>
                <w:sz w:val="20"/>
                <w:szCs w:val="20"/>
              </w:rPr>
            </w:pPr>
            <w:r>
              <w:rPr>
                <w:rFonts w:ascii="宋体" w:hAnsi="宋体" w:eastAsia="宋体" w:cs="宋体"/>
                <w:spacing w:val="6"/>
                <w:position w:val="4"/>
                <w:sz w:val="20"/>
                <w:szCs w:val="20"/>
                <w14:textOutline w14:w="3795" w14:cap="sq" w14:cmpd="sng">
                  <w14:solidFill>
                    <w14:srgbClr w14:val="000000"/>
                  </w14:solidFill>
                  <w14:prstDash w14:val="solid"/>
                  <w14:bevel/>
                </w14:textOutline>
              </w:rPr>
              <w:t>环保</w:t>
            </w:r>
          </w:p>
          <w:p>
            <w:pPr>
              <w:spacing w:line="228" w:lineRule="auto"/>
              <w:ind w:left="152"/>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投</w:t>
            </w:r>
            <w:r>
              <w:rPr>
                <w:rFonts w:ascii="宋体" w:hAnsi="宋体" w:eastAsia="宋体" w:cs="宋体"/>
                <w:spacing w:val="4"/>
                <w:sz w:val="20"/>
                <w:szCs w:val="20"/>
                <w14:textOutline w14:w="3795" w14:cap="sq" w14:cmpd="sng">
                  <w14:solidFill>
                    <w14:srgbClr w14:val="000000"/>
                  </w14:solidFill>
                  <w14:prstDash w14:val="solid"/>
                  <w14:bevel/>
                </w14:textOutline>
              </w:rPr>
              <w:t>资</w:t>
            </w:r>
          </w:p>
        </w:tc>
        <w:tc>
          <w:tcPr>
            <w:tcW w:w="8216" w:type="dxa"/>
            <w:gridSpan w:val="5"/>
            <w:tcBorders>
              <w:right w:val="single" w:color="000000" w:sz="6" w:space="0"/>
            </w:tcBorders>
            <w:vAlign w:val="top"/>
          </w:tcPr>
          <w:p>
            <w:pPr>
              <w:spacing w:before="115" w:line="375" w:lineRule="auto"/>
              <w:ind w:left="108" w:right="104" w:firstLine="419"/>
              <w:rPr>
                <w:rFonts w:ascii="宋体" w:hAnsi="宋体" w:eastAsia="宋体" w:cs="宋体"/>
                <w:sz w:val="20"/>
                <w:szCs w:val="20"/>
              </w:rPr>
            </w:pPr>
            <w:r>
              <w:rPr>
                <w:rFonts w:ascii="宋体" w:hAnsi="宋体" w:eastAsia="宋体" w:cs="宋体"/>
                <w:spacing w:val="6"/>
                <w:sz w:val="20"/>
                <w:szCs w:val="20"/>
              </w:rPr>
              <w:t>本项目总投资</w:t>
            </w:r>
            <w:r>
              <w:rPr>
                <w:rFonts w:ascii="Times New Roman" w:hAnsi="Times New Roman" w:eastAsia="Times New Roman" w:cs="Times New Roman"/>
                <w:spacing w:val="6"/>
                <w:sz w:val="20"/>
                <w:szCs w:val="20"/>
              </w:rPr>
              <w:t>23028</w:t>
            </w:r>
            <w:r>
              <w:rPr>
                <w:rFonts w:ascii="宋体" w:hAnsi="宋体" w:eastAsia="宋体" w:cs="宋体"/>
                <w:spacing w:val="6"/>
                <w:sz w:val="20"/>
                <w:szCs w:val="20"/>
              </w:rPr>
              <w:t>万元，其中环保投资</w:t>
            </w:r>
            <w:r>
              <w:rPr>
                <w:rFonts w:ascii="Times New Roman" w:hAnsi="Times New Roman" w:eastAsia="Times New Roman" w:cs="Times New Roman"/>
                <w:spacing w:val="6"/>
                <w:sz w:val="20"/>
                <w:szCs w:val="20"/>
              </w:rPr>
              <w:t>378</w:t>
            </w:r>
            <w:r>
              <w:rPr>
                <w:rFonts w:ascii="宋体" w:hAnsi="宋体" w:eastAsia="宋体" w:cs="宋体"/>
                <w:spacing w:val="6"/>
                <w:sz w:val="20"/>
                <w:szCs w:val="20"/>
              </w:rPr>
              <w:t>万元，占总投资的</w:t>
            </w:r>
            <w:r>
              <w:rPr>
                <w:rFonts w:ascii="Times New Roman" w:hAnsi="Times New Roman" w:eastAsia="Times New Roman" w:cs="Times New Roman"/>
                <w:spacing w:val="6"/>
                <w:sz w:val="20"/>
                <w:szCs w:val="20"/>
              </w:rPr>
              <w:t>1.64%</w:t>
            </w:r>
            <w:r>
              <w:rPr>
                <w:rFonts w:ascii="宋体" w:hAnsi="宋体" w:eastAsia="宋体" w:cs="宋体"/>
                <w:spacing w:val="6"/>
                <w:sz w:val="20"/>
                <w:szCs w:val="20"/>
              </w:rPr>
              <w:t>，处理措施和</w:t>
            </w:r>
            <w:r>
              <w:rPr>
                <w:rFonts w:ascii="宋体" w:hAnsi="宋体" w:eastAsia="宋体" w:cs="宋体"/>
                <w:spacing w:val="4"/>
                <w:sz w:val="20"/>
                <w:szCs w:val="20"/>
              </w:rPr>
              <w:t>处</w:t>
            </w:r>
            <w:r>
              <w:rPr>
                <w:rFonts w:ascii="宋体" w:hAnsi="宋体" w:eastAsia="宋体" w:cs="宋体"/>
                <w:sz w:val="20"/>
                <w:szCs w:val="20"/>
              </w:rPr>
              <w:t xml:space="preserve"> </w:t>
            </w:r>
            <w:r>
              <w:rPr>
                <w:rFonts w:ascii="宋体" w:hAnsi="宋体" w:eastAsia="宋体" w:cs="宋体"/>
                <w:spacing w:val="20"/>
                <w:sz w:val="20"/>
                <w:szCs w:val="20"/>
              </w:rPr>
              <w:t>理</w:t>
            </w:r>
            <w:r>
              <w:rPr>
                <w:rFonts w:ascii="宋体" w:hAnsi="宋体" w:eastAsia="宋体" w:cs="宋体"/>
                <w:spacing w:val="12"/>
                <w:sz w:val="20"/>
                <w:szCs w:val="20"/>
              </w:rPr>
              <w:t>效</w:t>
            </w:r>
            <w:r>
              <w:rPr>
                <w:rFonts w:ascii="宋体" w:hAnsi="宋体" w:eastAsia="宋体" w:cs="宋体"/>
                <w:spacing w:val="10"/>
                <w:sz w:val="20"/>
                <w:szCs w:val="20"/>
              </w:rPr>
              <w:t>果从总体上看，能有效降低由于工程的建设所带来的环境污染和生态影响，满足环</w:t>
            </w:r>
            <w:r>
              <w:rPr>
                <w:rFonts w:ascii="宋体" w:hAnsi="宋体" w:eastAsia="宋体" w:cs="宋体"/>
                <w:sz w:val="20"/>
                <w:szCs w:val="20"/>
              </w:rPr>
              <w:t xml:space="preserve"> </w:t>
            </w:r>
            <w:r>
              <w:rPr>
                <w:rFonts w:ascii="宋体" w:hAnsi="宋体" w:eastAsia="宋体" w:cs="宋体"/>
                <w:spacing w:val="18"/>
                <w:sz w:val="20"/>
                <w:szCs w:val="20"/>
              </w:rPr>
              <w:t>保</w:t>
            </w:r>
            <w:r>
              <w:rPr>
                <w:rFonts w:ascii="宋体" w:hAnsi="宋体" w:eastAsia="宋体" w:cs="宋体"/>
                <w:spacing w:val="9"/>
                <w:sz w:val="20"/>
                <w:szCs w:val="20"/>
              </w:rPr>
              <w:t>要求，经济合理、技术可行。工程项目的环保投资估算详见下表。</w:t>
            </w:r>
          </w:p>
          <w:p>
            <w:pPr>
              <w:spacing w:line="230" w:lineRule="auto"/>
              <w:ind w:left="2711"/>
              <w:rPr>
                <w:rFonts w:ascii="黑体" w:hAnsi="黑体" w:eastAsia="黑体" w:cs="黑体"/>
                <w:sz w:val="19"/>
                <w:szCs w:val="19"/>
              </w:rPr>
            </w:pPr>
            <w:r>
              <w:rPr>
                <w:rFonts w:ascii="黑体" w:hAnsi="黑体" w:eastAsia="黑体" w:cs="黑体"/>
                <w:spacing w:val="8"/>
                <w:sz w:val="19"/>
                <w:szCs w:val="19"/>
              </w:rPr>
              <w:t>表</w:t>
            </w:r>
            <w:r>
              <w:rPr>
                <w:rFonts w:ascii="Times New Roman" w:hAnsi="Times New Roman" w:eastAsia="Times New Roman" w:cs="Times New Roman"/>
                <w:spacing w:val="7"/>
                <w:sz w:val="19"/>
                <w:szCs w:val="19"/>
              </w:rPr>
              <w:t xml:space="preserve">45    </w:t>
            </w:r>
            <w:r>
              <w:rPr>
                <w:rFonts w:ascii="黑体" w:hAnsi="黑体" w:eastAsia="黑体" w:cs="黑体"/>
                <w:spacing w:val="7"/>
                <w:sz w:val="19"/>
                <w:szCs w:val="19"/>
              </w:rPr>
              <w:t>项目环保投资估算一览表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24" w:type="dxa"/>
            <w:vMerge w:val="continue"/>
            <w:tcBorders>
              <w:top w:val="nil"/>
              <w:left w:val="single" w:color="000000" w:sz="6" w:space="0"/>
              <w:bottom w:val="nil"/>
            </w:tcBorders>
            <w:vAlign w:val="top"/>
          </w:tcPr>
          <w:p>
            <w:pPr>
              <w:rPr>
                <w:rFonts w:ascii="Arial"/>
                <w:sz w:val="21"/>
              </w:rPr>
            </w:pPr>
          </w:p>
        </w:tc>
        <w:tc>
          <w:tcPr>
            <w:tcW w:w="884" w:type="dxa"/>
            <w:vAlign w:val="top"/>
          </w:tcPr>
          <w:p>
            <w:pPr>
              <w:spacing w:before="210" w:line="230" w:lineRule="auto"/>
              <w:ind w:left="329"/>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类别</w:t>
            </w:r>
          </w:p>
        </w:tc>
        <w:tc>
          <w:tcPr>
            <w:tcW w:w="1438" w:type="dxa"/>
            <w:vAlign w:val="top"/>
          </w:tcPr>
          <w:p>
            <w:pPr>
              <w:spacing w:before="210" w:line="231" w:lineRule="auto"/>
              <w:ind w:left="359"/>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污</w:t>
            </w:r>
            <w:r>
              <w:rPr>
                <w:rFonts w:ascii="宋体" w:hAnsi="宋体" w:eastAsia="宋体" w:cs="宋体"/>
                <w:spacing w:val="8"/>
                <w:sz w:val="17"/>
                <w:szCs w:val="17"/>
                <w14:textOutline w14:w="3268" w14:cap="sq" w14:cmpd="sng">
                  <w14:solidFill>
                    <w14:srgbClr w14:val="000000"/>
                  </w14:solidFill>
                  <w14:prstDash w14:val="solid"/>
                  <w14:bevel/>
                </w14:textOutline>
              </w:rPr>
              <w:t>染环节</w:t>
            </w:r>
          </w:p>
        </w:tc>
        <w:tc>
          <w:tcPr>
            <w:tcW w:w="5010" w:type="dxa"/>
            <w:vAlign w:val="top"/>
          </w:tcPr>
          <w:p>
            <w:pPr>
              <w:spacing w:before="210" w:line="231" w:lineRule="auto"/>
              <w:ind w:left="1971"/>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污染防治措</w:t>
            </w:r>
            <w:r>
              <w:rPr>
                <w:rFonts w:ascii="宋体" w:hAnsi="宋体" w:eastAsia="宋体" w:cs="宋体"/>
                <w:spacing w:val="8"/>
                <w:sz w:val="17"/>
                <w:szCs w:val="17"/>
                <w14:textOutline w14:w="3268" w14:cap="sq" w14:cmpd="sng">
                  <w14:solidFill>
                    <w14:srgbClr w14:val="000000"/>
                  </w14:solidFill>
                  <w14:prstDash w14:val="solid"/>
                  <w14:bevel/>
                </w14:textOutline>
              </w:rPr>
              <w:t>施</w:t>
            </w:r>
          </w:p>
        </w:tc>
        <w:tc>
          <w:tcPr>
            <w:tcW w:w="735" w:type="dxa"/>
            <w:vAlign w:val="top"/>
          </w:tcPr>
          <w:p>
            <w:pPr>
              <w:spacing w:before="71" w:line="268" w:lineRule="auto"/>
              <w:ind w:left="137" w:right="119" w:firstLine="61"/>
              <w:rPr>
                <w:rFonts w:ascii="Times New Roman" w:hAnsi="Times New Roman" w:eastAsia="Times New Roman" w:cs="Times New Roman"/>
                <w:sz w:val="17"/>
                <w:szCs w:val="17"/>
              </w:rPr>
            </w:pPr>
            <w:r>
              <w:rPr>
                <w:rFonts w:ascii="宋体" w:hAnsi="宋体" w:eastAsia="宋体" w:cs="宋体"/>
                <w:spacing w:val="5"/>
                <w:sz w:val="17"/>
                <w:szCs w:val="17"/>
                <w14:textOutline w14:w="3268" w14:cap="sq" w14:cmpd="sng">
                  <w14:solidFill>
                    <w14:srgbClr w14:val="000000"/>
                  </w14:solidFill>
                  <w14:prstDash w14:val="solid"/>
                  <w14:bevel/>
                </w14:textOutline>
              </w:rPr>
              <w:t>投资</w:t>
            </w:r>
            <w:r>
              <w:rPr>
                <w:rFonts w:ascii="宋体" w:hAnsi="宋体" w:eastAsia="宋体" w:cs="宋体"/>
                <w:sz w:val="17"/>
                <w:szCs w:val="17"/>
              </w:rPr>
              <w:t xml:space="preserve"> </w:t>
            </w:r>
            <w:r>
              <w:rPr>
                <w:rFonts w:ascii="Times New Roman" w:hAnsi="Times New Roman" w:eastAsia="Times New Roman" w:cs="Times New Roman"/>
                <w:b/>
                <w:bCs/>
                <w:spacing w:val="5"/>
                <w:sz w:val="17"/>
                <w:szCs w:val="17"/>
              </w:rPr>
              <w:t>(</w:t>
            </w:r>
            <w:r>
              <w:rPr>
                <w:rFonts w:ascii="宋体" w:hAnsi="宋体" w:eastAsia="宋体" w:cs="宋体"/>
                <w:spacing w:val="5"/>
                <w:sz w:val="17"/>
                <w:szCs w:val="17"/>
                <w14:textOutline w14:w="3268" w14:cap="sq" w14:cmpd="sng">
                  <w14:solidFill>
                    <w14:srgbClr w14:val="000000"/>
                  </w14:solidFill>
                  <w14:prstDash w14:val="solid"/>
                  <w14:bevel/>
                </w14:textOutline>
              </w:rPr>
              <w:t>万元</w:t>
            </w:r>
            <w:r>
              <w:rPr>
                <w:rFonts w:ascii="Times New Roman" w:hAnsi="Times New Roman" w:eastAsia="Times New Roman" w:cs="Times New Roman"/>
                <w:b/>
                <w:bCs/>
                <w:spacing w:val="4"/>
                <w:sz w:val="17"/>
                <w:szCs w:val="17"/>
              </w:rPr>
              <w:t>)</w:t>
            </w:r>
          </w:p>
        </w:tc>
        <w:tc>
          <w:tcPr>
            <w:tcW w:w="149"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24" w:type="dxa"/>
            <w:vMerge w:val="continue"/>
            <w:tcBorders>
              <w:top w:val="nil"/>
              <w:left w:val="single" w:color="000000" w:sz="6" w:space="0"/>
              <w:bottom w:val="nil"/>
            </w:tcBorders>
            <w:vAlign w:val="top"/>
          </w:tcPr>
          <w:p>
            <w:pPr>
              <w:rPr>
                <w:rFonts w:ascii="Arial"/>
                <w:sz w:val="21"/>
              </w:rPr>
            </w:pPr>
          </w:p>
        </w:tc>
        <w:tc>
          <w:tcPr>
            <w:tcW w:w="884"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55" w:line="231" w:lineRule="auto"/>
              <w:ind w:left="242"/>
              <w:rPr>
                <w:rFonts w:ascii="宋体" w:hAnsi="宋体" w:eastAsia="宋体" w:cs="宋体"/>
                <w:sz w:val="17"/>
                <w:szCs w:val="17"/>
              </w:rPr>
            </w:pPr>
            <w:r>
              <w:rPr>
                <w:rFonts w:ascii="宋体" w:hAnsi="宋体" w:eastAsia="宋体" w:cs="宋体"/>
                <w:spacing w:val="7"/>
                <w:sz w:val="17"/>
                <w:szCs w:val="17"/>
              </w:rPr>
              <w:t>大气</w:t>
            </w:r>
            <w:r>
              <w:rPr>
                <w:rFonts w:ascii="宋体" w:hAnsi="宋体" w:eastAsia="宋体" w:cs="宋体"/>
                <w:spacing w:val="6"/>
                <w:sz w:val="17"/>
                <w:szCs w:val="17"/>
              </w:rPr>
              <w:t>环</w:t>
            </w:r>
          </w:p>
          <w:p>
            <w:pPr>
              <w:spacing w:before="68" w:line="231" w:lineRule="auto"/>
              <w:ind w:left="241"/>
              <w:rPr>
                <w:rFonts w:ascii="宋体" w:hAnsi="宋体" w:eastAsia="宋体" w:cs="宋体"/>
                <w:sz w:val="17"/>
                <w:szCs w:val="17"/>
              </w:rPr>
            </w:pPr>
            <w:r>
              <w:rPr>
                <w:rFonts w:ascii="宋体" w:hAnsi="宋体" w:eastAsia="宋体" w:cs="宋体"/>
                <w:spacing w:val="8"/>
                <w:sz w:val="17"/>
                <w:szCs w:val="17"/>
              </w:rPr>
              <w:t>境</w:t>
            </w:r>
            <w:r>
              <w:rPr>
                <w:rFonts w:ascii="宋体" w:hAnsi="宋体" w:eastAsia="宋体" w:cs="宋体"/>
                <w:spacing w:val="7"/>
                <w:sz w:val="17"/>
                <w:szCs w:val="17"/>
              </w:rPr>
              <w:t>保护</w:t>
            </w:r>
          </w:p>
          <w:p>
            <w:pPr>
              <w:spacing w:before="65" w:line="231" w:lineRule="auto"/>
              <w:ind w:left="332"/>
              <w:rPr>
                <w:rFonts w:ascii="宋体" w:hAnsi="宋体" w:eastAsia="宋体" w:cs="宋体"/>
                <w:sz w:val="17"/>
                <w:szCs w:val="17"/>
              </w:rPr>
            </w:pPr>
            <w:r>
              <w:rPr>
                <w:rFonts w:ascii="宋体" w:hAnsi="宋体" w:eastAsia="宋体" w:cs="宋体"/>
                <w:spacing w:val="6"/>
                <w:sz w:val="17"/>
                <w:szCs w:val="17"/>
              </w:rPr>
              <w:t>措施</w:t>
            </w:r>
          </w:p>
        </w:tc>
        <w:tc>
          <w:tcPr>
            <w:tcW w:w="1438" w:type="dxa"/>
            <w:vAlign w:val="top"/>
          </w:tcPr>
          <w:p>
            <w:pPr>
              <w:spacing w:before="72" w:line="278" w:lineRule="exact"/>
              <w:ind w:left="450"/>
              <w:rPr>
                <w:rFonts w:ascii="宋体" w:hAnsi="宋体" w:eastAsia="宋体" w:cs="宋体"/>
                <w:sz w:val="17"/>
                <w:szCs w:val="17"/>
              </w:rPr>
            </w:pPr>
            <w:r>
              <w:rPr>
                <w:rFonts w:ascii="宋体" w:hAnsi="宋体" w:eastAsia="宋体" w:cs="宋体"/>
                <w:spacing w:val="8"/>
                <w:position w:val="7"/>
                <w:sz w:val="17"/>
                <w:szCs w:val="17"/>
              </w:rPr>
              <w:t>施工</w:t>
            </w:r>
            <w:r>
              <w:rPr>
                <w:rFonts w:ascii="宋体" w:hAnsi="宋体" w:eastAsia="宋体" w:cs="宋体"/>
                <w:spacing w:val="7"/>
                <w:position w:val="7"/>
                <w:sz w:val="17"/>
                <w:szCs w:val="17"/>
              </w:rPr>
              <w:t>期</w:t>
            </w:r>
          </w:p>
          <w:p>
            <w:pPr>
              <w:spacing w:line="230" w:lineRule="auto"/>
              <w:ind w:left="359"/>
              <w:rPr>
                <w:rFonts w:ascii="宋体" w:hAnsi="宋体" w:eastAsia="宋体" w:cs="宋体"/>
                <w:sz w:val="17"/>
                <w:szCs w:val="17"/>
              </w:rPr>
            </w:pPr>
            <w:r>
              <w:rPr>
                <w:rFonts w:ascii="宋体" w:hAnsi="宋体" w:eastAsia="宋体" w:cs="宋体"/>
                <w:spacing w:val="9"/>
                <w:sz w:val="17"/>
                <w:szCs w:val="17"/>
              </w:rPr>
              <w:t>道</w:t>
            </w:r>
            <w:r>
              <w:rPr>
                <w:rFonts w:ascii="宋体" w:hAnsi="宋体" w:eastAsia="宋体" w:cs="宋体"/>
                <w:spacing w:val="8"/>
                <w:sz w:val="17"/>
                <w:szCs w:val="17"/>
              </w:rPr>
              <w:t>路扬尘</w:t>
            </w:r>
          </w:p>
        </w:tc>
        <w:tc>
          <w:tcPr>
            <w:tcW w:w="5010" w:type="dxa"/>
            <w:vAlign w:val="top"/>
          </w:tcPr>
          <w:p>
            <w:pPr>
              <w:spacing w:before="72" w:line="266" w:lineRule="auto"/>
              <w:ind w:left="58" w:right="46" w:hanging="1"/>
              <w:rPr>
                <w:rFonts w:ascii="宋体" w:hAnsi="宋体" w:eastAsia="宋体" w:cs="宋体"/>
                <w:sz w:val="17"/>
                <w:szCs w:val="17"/>
              </w:rPr>
            </w:pPr>
            <w:r>
              <w:rPr>
                <w:rFonts w:ascii="宋体" w:hAnsi="宋体" w:eastAsia="宋体" w:cs="宋体"/>
                <w:spacing w:val="22"/>
                <w:sz w:val="17"/>
                <w:szCs w:val="17"/>
              </w:rPr>
              <w:t>物</w:t>
            </w:r>
            <w:r>
              <w:rPr>
                <w:rFonts w:ascii="宋体" w:hAnsi="宋体" w:eastAsia="宋体" w:cs="宋体"/>
                <w:spacing w:val="13"/>
                <w:sz w:val="17"/>
                <w:szCs w:val="17"/>
              </w:rPr>
              <w:t>料</w:t>
            </w:r>
            <w:r>
              <w:rPr>
                <w:rFonts w:ascii="宋体" w:hAnsi="宋体" w:eastAsia="宋体" w:cs="宋体"/>
                <w:spacing w:val="11"/>
                <w:sz w:val="17"/>
                <w:szCs w:val="17"/>
              </w:rPr>
              <w:t>运输车辆和渣土车等进行覆盖运输；施工场地出口分别建</w:t>
            </w:r>
            <w:r>
              <w:rPr>
                <w:rFonts w:ascii="宋体" w:hAnsi="宋体" w:eastAsia="宋体" w:cs="宋体"/>
                <w:sz w:val="17"/>
                <w:szCs w:val="17"/>
              </w:rPr>
              <w:t xml:space="preserve"> </w:t>
            </w:r>
            <w:r>
              <w:rPr>
                <w:rFonts w:ascii="宋体" w:hAnsi="宋体" w:eastAsia="宋体" w:cs="宋体"/>
                <w:spacing w:val="18"/>
                <w:sz w:val="17"/>
                <w:szCs w:val="17"/>
              </w:rPr>
              <w:t>车</w:t>
            </w:r>
            <w:r>
              <w:rPr>
                <w:rFonts w:ascii="宋体" w:hAnsi="宋体" w:eastAsia="宋体" w:cs="宋体"/>
                <w:spacing w:val="16"/>
                <w:sz w:val="17"/>
                <w:szCs w:val="17"/>
              </w:rPr>
              <w:t>辆</w:t>
            </w:r>
            <w:r>
              <w:rPr>
                <w:rFonts w:ascii="宋体" w:hAnsi="宋体" w:eastAsia="宋体" w:cs="宋体"/>
                <w:spacing w:val="9"/>
                <w:sz w:val="17"/>
                <w:szCs w:val="17"/>
              </w:rPr>
              <w:t>冲洗台和废水沉淀池，配备冲洗水枪；道路适时洒水</w:t>
            </w:r>
          </w:p>
        </w:tc>
        <w:tc>
          <w:tcPr>
            <w:tcW w:w="735" w:type="dxa"/>
            <w:vAlign w:val="top"/>
          </w:tcPr>
          <w:p>
            <w:pPr>
              <w:spacing w:before="240" w:line="197" w:lineRule="auto"/>
              <w:ind w:left="28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2</w:t>
            </w:r>
            <w:r>
              <w:rPr>
                <w:rFonts w:ascii="Times New Roman" w:hAnsi="Times New Roman" w:eastAsia="Times New Roman" w:cs="Times New Roman"/>
                <w:spacing w:val="2"/>
                <w:sz w:val="17"/>
                <w:szCs w:val="17"/>
              </w:rPr>
              <w:t>0</w:t>
            </w:r>
          </w:p>
        </w:tc>
        <w:tc>
          <w:tcPr>
            <w:tcW w:w="1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724" w:type="dxa"/>
            <w:vMerge w:val="continue"/>
            <w:tcBorders>
              <w:top w:val="nil"/>
              <w:left w:val="single" w:color="000000" w:sz="6" w:space="0"/>
              <w:bottom w:val="nil"/>
            </w:tcBorders>
            <w:vAlign w:val="top"/>
          </w:tcPr>
          <w:p>
            <w:pPr>
              <w:rPr>
                <w:rFonts w:ascii="Arial"/>
                <w:sz w:val="21"/>
              </w:rPr>
            </w:pPr>
          </w:p>
        </w:tc>
        <w:tc>
          <w:tcPr>
            <w:tcW w:w="884" w:type="dxa"/>
            <w:vMerge w:val="continue"/>
            <w:tcBorders>
              <w:top w:val="nil"/>
              <w:bottom w:val="nil"/>
            </w:tcBorders>
            <w:vAlign w:val="top"/>
          </w:tcPr>
          <w:p>
            <w:pPr>
              <w:rPr>
                <w:rFonts w:ascii="Arial"/>
                <w:sz w:val="21"/>
              </w:rPr>
            </w:pPr>
          </w:p>
        </w:tc>
        <w:tc>
          <w:tcPr>
            <w:tcW w:w="1438" w:type="dxa"/>
            <w:vAlign w:val="top"/>
          </w:tcPr>
          <w:p>
            <w:pPr>
              <w:spacing w:line="433" w:lineRule="auto"/>
              <w:rPr>
                <w:rFonts w:ascii="Arial"/>
                <w:sz w:val="21"/>
              </w:rPr>
            </w:pPr>
          </w:p>
          <w:p>
            <w:pPr>
              <w:spacing w:before="55" w:line="232" w:lineRule="auto"/>
              <w:ind w:left="359"/>
              <w:rPr>
                <w:rFonts w:ascii="宋体" w:hAnsi="宋体" w:eastAsia="宋体" w:cs="宋体"/>
                <w:sz w:val="17"/>
                <w:szCs w:val="17"/>
              </w:rPr>
            </w:pPr>
            <w:r>
              <w:rPr>
                <w:rFonts w:ascii="宋体" w:hAnsi="宋体" w:eastAsia="宋体" w:cs="宋体"/>
                <w:spacing w:val="9"/>
                <w:sz w:val="17"/>
                <w:szCs w:val="17"/>
              </w:rPr>
              <w:t>施</w:t>
            </w:r>
            <w:r>
              <w:rPr>
                <w:rFonts w:ascii="宋体" w:hAnsi="宋体" w:eastAsia="宋体" w:cs="宋体"/>
                <w:spacing w:val="8"/>
                <w:sz w:val="17"/>
                <w:szCs w:val="17"/>
              </w:rPr>
              <w:t>工扬尘</w:t>
            </w:r>
          </w:p>
        </w:tc>
        <w:tc>
          <w:tcPr>
            <w:tcW w:w="5010" w:type="dxa"/>
            <w:vAlign w:val="top"/>
          </w:tcPr>
          <w:p>
            <w:pPr>
              <w:spacing w:before="70" w:line="286" w:lineRule="auto"/>
              <w:ind w:left="58" w:right="46" w:hanging="2"/>
              <w:rPr>
                <w:rFonts w:ascii="宋体" w:hAnsi="宋体" w:eastAsia="宋体" w:cs="宋体"/>
                <w:sz w:val="17"/>
                <w:szCs w:val="17"/>
              </w:rPr>
            </w:pPr>
            <w:r>
              <w:rPr>
                <w:rFonts w:ascii="宋体" w:hAnsi="宋体" w:eastAsia="宋体" w:cs="宋体"/>
                <w:spacing w:val="22"/>
                <w:sz w:val="17"/>
                <w:szCs w:val="17"/>
              </w:rPr>
              <w:t>施</w:t>
            </w:r>
            <w:r>
              <w:rPr>
                <w:rFonts w:ascii="宋体" w:hAnsi="宋体" w:eastAsia="宋体" w:cs="宋体"/>
                <w:spacing w:val="14"/>
                <w:sz w:val="17"/>
                <w:szCs w:val="17"/>
              </w:rPr>
              <w:t>工</w:t>
            </w:r>
            <w:r>
              <w:rPr>
                <w:rFonts w:ascii="宋体" w:hAnsi="宋体" w:eastAsia="宋体" w:cs="宋体"/>
                <w:spacing w:val="11"/>
                <w:sz w:val="17"/>
                <w:szCs w:val="17"/>
              </w:rPr>
              <w:t>场地及临时用地四周设置密实围挡；开挖形成的斜坡、裸</w:t>
            </w:r>
            <w:r>
              <w:rPr>
                <w:rFonts w:ascii="宋体" w:hAnsi="宋体" w:eastAsia="宋体" w:cs="宋体"/>
                <w:sz w:val="17"/>
                <w:szCs w:val="17"/>
              </w:rPr>
              <w:t xml:space="preserve"> </w:t>
            </w:r>
            <w:r>
              <w:rPr>
                <w:rFonts w:ascii="宋体" w:hAnsi="宋体" w:eastAsia="宋体" w:cs="宋体"/>
                <w:spacing w:val="22"/>
                <w:sz w:val="17"/>
                <w:szCs w:val="17"/>
              </w:rPr>
              <w:t>露</w:t>
            </w:r>
            <w:r>
              <w:rPr>
                <w:rFonts w:ascii="宋体" w:hAnsi="宋体" w:eastAsia="宋体" w:cs="宋体"/>
                <w:spacing w:val="12"/>
                <w:sz w:val="17"/>
                <w:szCs w:val="17"/>
              </w:rPr>
              <w:t>地</w:t>
            </w:r>
            <w:r>
              <w:rPr>
                <w:rFonts w:ascii="宋体" w:hAnsi="宋体" w:eastAsia="宋体" w:cs="宋体"/>
                <w:spacing w:val="11"/>
                <w:sz w:val="17"/>
                <w:szCs w:val="17"/>
              </w:rPr>
              <w:t>表、堆土场等采用防尘网进行临时覆盖；施工现场配置雾</w:t>
            </w:r>
            <w:r>
              <w:rPr>
                <w:rFonts w:ascii="宋体" w:hAnsi="宋体" w:eastAsia="宋体" w:cs="宋体"/>
                <w:sz w:val="17"/>
                <w:szCs w:val="17"/>
              </w:rPr>
              <w:t xml:space="preserve"> </w:t>
            </w:r>
            <w:r>
              <w:rPr>
                <w:rFonts w:ascii="宋体" w:hAnsi="宋体" w:eastAsia="宋体" w:cs="宋体"/>
                <w:spacing w:val="16"/>
                <w:sz w:val="17"/>
                <w:szCs w:val="17"/>
              </w:rPr>
              <w:t>炮</w:t>
            </w:r>
            <w:r>
              <w:rPr>
                <w:rFonts w:ascii="宋体" w:hAnsi="宋体" w:eastAsia="宋体" w:cs="宋体"/>
                <w:spacing w:val="13"/>
                <w:sz w:val="17"/>
                <w:szCs w:val="17"/>
              </w:rPr>
              <w:t>机</w:t>
            </w:r>
            <w:r>
              <w:rPr>
                <w:rFonts w:ascii="宋体" w:hAnsi="宋体" w:eastAsia="宋体" w:cs="宋体"/>
                <w:spacing w:val="8"/>
                <w:sz w:val="17"/>
                <w:szCs w:val="17"/>
              </w:rPr>
              <w:t xml:space="preserve">或洒水车；施工场地进出大门安装 </w:t>
            </w:r>
            <w:r>
              <w:rPr>
                <w:rFonts w:ascii="Times New Roman" w:hAnsi="Times New Roman" w:eastAsia="Times New Roman" w:cs="Times New Roman"/>
                <w:sz w:val="17"/>
                <w:szCs w:val="17"/>
              </w:rPr>
              <w:t>TSP</w:t>
            </w:r>
            <w:r>
              <w:rPr>
                <w:rFonts w:ascii="Times New Roman" w:hAnsi="Times New Roman" w:eastAsia="Times New Roman" w:cs="Times New Roman"/>
                <w:spacing w:val="8"/>
                <w:sz w:val="17"/>
                <w:szCs w:val="17"/>
              </w:rPr>
              <w:t xml:space="preserve"> </w:t>
            </w:r>
            <w:r>
              <w:rPr>
                <w:rFonts w:ascii="宋体" w:hAnsi="宋体" w:eastAsia="宋体" w:cs="宋体"/>
                <w:spacing w:val="8"/>
                <w:sz w:val="17"/>
                <w:szCs w:val="17"/>
              </w:rPr>
              <w:t>、噪声在线监测系</w:t>
            </w:r>
            <w:r>
              <w:rPr>
                <w:rFonts w:ascii="宋体" w:hAnsi="宋体" w:eastAsia="宋体" w:cs="宋体"/>
                <w:sz w:val="17"/>
                <w:szCs w:val="17"/>
              </w:rPr>
              <w:t xml:space="preserve"> </w:t>
            </w:r>
            <w:r>
              <w:rPr>
                <w:rFonts w:ascii="宋体" w:hAnsi="宋体" w:eastAsia="宋体" w:cs="宋体"/>
                <w:spacing w:val="1"/>
                <w:sz w:val="17"/>
                <w:szCs w:val="17"/>
              </w:rPr>
              <w:t>统</w:t>
            </w:r>
          </w:p>
        </w:tc>
        <w:tc>
          <w:tcPr>
            <w:tcW w:w="735" w:type="dxa"/>
            <w:vAlign w:val="top"/>
          </w:tcPr>
          <w:p>
            <w:pPr>
              <w:spacing w:line="470" w:lineRule="auto"/>
              <w:rPr>
                <w:rFonts w:ascii="Arial"/>
                <w:sz w:val="21"/>
              </w:rPr>
            </w:pPr>
          </w:p>
          <w:p>
            <w:pPr>
              <w:spacing w:before="49" w:line="197" w:lineRule="auto"/>
              <w:ind w:left="290"/>
              <w:rPr>
                <w:rFonts w:ascii="Times New Roman" w:hAnsi="Times New Roman" w:eastAsia="Times New Roman" w:cs="Times New Roman"/>
                <w:sz w:val="17"/>
                <w:szCs w:val="17"/>
              </w:rPr>
            </w:pPr>
            <w:r>
              <w:rPr>
                <w:rFonts w:ascii="Times New Roman" w:hAnsi="Times New Roman" w:eastAsia="Times New Roman" w:cs="Times New Roman"/>
                <w:sz w:val="17"/>
                <w:szCs w:val="17"/>
              </w:rPr>
              <w:t>50</w:t>
            </w:r>
          </w:p>
        </w:tc>
        <w:tc>
          <w:tcPr>
            <w:tcW w:w="1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724" w:type="dxa"/>
            <w:vMerge w:val="continue"/>
            <w:tcBorders>
              <w:top w:val="nil"/>
              <w:left w:val="single" w:color="000000" w:sz="6" w:space="0"/>
              <w:bottom w:val="nil"/>
            </w:tcBorders>
            <w:vAlign w:val="top"/>
          </w:tcPr>
          <w:p>
            <w:pPr>
              <w:rPr>
                <w:rFonts w:ascii="Arial"/>
                <w:sz w:val="21"/>
              </w:rPr>
            </w:pPr>
          </w:p>
        </w:tc>
        <w:tc>
          <w:tcPr>
            <w:tcW w:w="884" w:type="dxa"/>
            <w:vMerge w:val="continue"/>
            <w:tcBorders>
              <w:top w:val="nil"/>
              <w:bottom w:val="nil"/>
            </w:tcBorders>
            <w:vAlign w:val="top"/>
          </w:tcPr>
          <w:p>
            <w:pPr>
              <w:rPr>
                <w:rFonts w:ascii="Arial"/>
                <w:sz w:val="21"/>
              </w:rPr>
            </w:pPr>
          </w:p>
        </w:tc>
        <w:tc>
          <w:tcPr>
            <w:tcW w:w="1438" w:type="dxa"/>
            <w:vAlign w:val="top"/>
          </w:tcPr>
          <w:p>
            <w:pPr>
              <w:spacing w:before="72" w:line="230" w:lineRule="auto"/>
              <w:ind w:left="369"/>
              <w:rPr>
                <w:rFonts w:ascii="宋体" w:hAnsi="宋体" w:eastAsia="宋体" w:cs="宋体"/>
                <w:sz w:val="17"/>
                <w:szCs w:val="17"/>
              </w:rPr>
            </w:pPr>
            <w:r>
              <w:rPr>
                <w:rFonts w:ascii="宋体" w:hAnsi="宋体" w:eastAsia="宋体" w:cs="宋体"/>
                <w:spacing w:val="8"/>
                <w:sz w:val="17"/>
                <w:szCs w:val="17"/>
              </w:rPr>
              <w:t>临</w:t>
            </w:r>
            <w:r>
              <w:rPr>
                <w:rFonts w:ascii="宋体" w:hAnsi="宋体" w:eastAsia="宋体" w:cs="宋体"/>
                <w:spacing w:val="5"/>
                <w:sz w:val="17"/>
                <w:szCs w:val="17"/>
              </w:rPr>
              <w:t>时堆场</w:t>
            </w:r>
          </w:p>
        </w:tc>
        <w:tc>
          <w:tcPr>
            <w:tcW w:w="5010" w:type="dxa"/>
            <w:vAlign w:val="top"/>
          </w:tcPr>
          <w:p>
            <w:pPr>
              <w:spacing w:before="72" w:line="229" w:lineRule="auto"/>
              <w:ind w:left="57"/>
              <w:rPr>
                <w:rFonts w:ascii="宋体" w:hAnsi="宋体" w:eastAsia="宋体" w:cs="宋体"/>
                <w:sz w:val="17"/>
                <w:szCs w:val="17"/>
              </w:rPr>
            </w:pPr>
            <w:r>
              <w:rPr>
                <w:rFonts w:ascii="宋体" w:hAnsi="宋体" w:eastAsia="宋体" w:cs="宋体"/>
                <w:spacing w:val="17"/>
                <w:sz w:val="17"/>
                <w:szCs w:val="17"/>
              </w:rPr>
              <w:t>堆</w:t>
            </w:r>
            <w:r>
              <w:rPr>
                <w:rFonts w:ascii="宋体" w:hAnsi="宋体" w:eastAsia="宋体" w:cs="宋体"/>
                <w:spacing w:val="9"/>
                <w:sz w:val="17"/>
                <w:szCs w:val="17"/>
              </w:rPr>
              <w:t>场采取洒水、覆盖措施，及时回填</w:t>
            </w:r>
          </w:p>
        </w:tc>
        <w:tc>
          <w:tcPr>
            <w:tcW w:w="735" w:type="dxa"/>
            <w:vAlign w:val="top"/>
          </w:tcPr>
          <w:p>
            <w:pPr>
              <w:spacing w:before="101" w:line="197" w:lineRule="auto"/>
              <w:ind w:left="331"/>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1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724" w:type="dxa"/>
            <w:vMerge w:val="continue"/>
            <w:tcBorders>
              <w:top w:val="nil"/>
              <w:left w:val="single" w:color="000000" w:sz="6" w:space="0"/>
              <w:bottom w:val="nil"/>
            </w:tcBorders>
            <w:vAlign w:val="top"/>
          </w:tcPr>
          <w:p>
            <w:pPr>
              <w:rPr>
                <w:rFonts w:ascii="Arial"/>
                <w:sz w:val="21"/>
              </w:rPr>
            </w:pPr>
          </w:p>
        </w:tc>
        <w:tc>
          <w:tcPr>
            <w:tcW w:w="884" w:type="dxa"/>
            <w:vMerge w:val="continue"/>
            <w:tcBorders>
              <w:top w:val="nil"/>
              <w:bottom w:val="nil"/>
            </w:tcBorders>
            <w:vAlign w:val="top"/>
          </w:tcPr>
          <w:p>
            <w:pPr>
              <w:rPr>
                <w:rFonts w:ascii="Arial"/>
                <w:sz w:val="21"/>
              </w:rPr>
            </w:pPr>
          </w:p>
        </w:tc>
        <w:tc>
          <w:tcPr>
            <w:tcW w:w="1438" w:type="dxa"/>
            <w:vAlign w:val="top"/>
          </w:tcPr>
          <w:p>
            <w:pPr>
              <w:spacing w:before="73" w:line="229" w:lineRule="auto"/>
              <w:ind w:left="359"/>
              <w:rPr>
                <w:rFonts w:ascii="宋体" w:hAnsi="宋体" w:eastAsia="宋体" w:cs="宋体"/>
                <w:sz w:val="17"/>
                <w:szCs w:val="17"/>
              </w:rPr>
            </w:pPr>
            <w:r>
              <w:rPr>
                <w:rFonts w:ascii="宋体" w:hAnsi="宋体" w:eastAsia="宋体" w:cs="宋体"/>
                <w:spacing w:val="9"/>
                <w:sz w:val="17"/>
                <w:szCs w:val="17"/>
              </w:rPr>
              <w:t>机</w:t>
            </w:r>
            <w:r>
              <w:rPr>
                <w:rFonts w:ascii="宋体" w:hAnsi="宋体" w:eastAsia="宋体" w:cs="宋体"/>
                <w:spacing w:val="8"/>
                <w:sz w:val="17"/>
                <w:szCs w:val="17"/>
              </w:rPr>
              <w:t>械废气</w:t>
            </w:r>
          </w:p>
        </w:tc>
        <w:tc>
          <w:tcPr>
            <w:tcW w:w="5010" w:type="dxa"/>
            <w:vAlign w:val="top"/>
          </w:tcPr>
          <w:p>
            <w:pPr>
              <w:spacing w:before="73" w:line="230" w:lineRule="auto"/>
              <w:ind w:left="56"/>
              <w:rPr>
                <w:rFonts w:ascii="宋体" w:hAnsi="宋体" w:eastAsia="宋体" w:cs="宋体"/>
                <w:sz w:val="17"/>
                <w:szCs w:val="17"/>
              </w:rPr>
            </w:pPr>
            <w:r>
              <w:rPr>
                <w:rFonts w:ascii="宋体" w:hAnsi="宋体" w:eastAsia="宋体" w:cs="宋体"/>
                <w:spacing w:val="18"/>
                <w:sz w:val="17"/>
                <w:szCs w:val="17"/>
              </w:rPr>
              <w:t>选</w:t>
            </w:r>
            <w:r>
              <w:rPr>
                <w:rFonts w:ascii="宋体" w:hAnsi="宋体" w:eastAsia="宋体" w:cs="宋体"/>
                <w:spacing w:val="12"/>
                <w:sz w:val="17"/>
                <w:szCs w:val="17"/>
              </w:rPr>
              <w:t>用</w:t>
            </w:r>
            <w:r>
              <w:rPr>
                <w:rFonts w:ascii="宋体" w:hAnsi="宋体" w:eastAsia="宋体" w:cs="宋体"/>
                <w:spacing w:val="9"/>
                <w:sz w:val="17"/>
                <w:szCs w:val="17"/>
              </w:rPr>
              <w:t>工况优良的设备和优质燃油，大气稀释</w:t>
            </w:r>
          </w:p>
        </w:tc>
        <w:tc>
          <w:tcPr>
            <w:tcW w:w="735" w:type="dxa"/>
            <w:vAlign w:val="top"/>
          </w:tcPr>
          <w:p>
            <w:pPr>
              <w:spacing w:before="38" w:line="242" w:lineRule="exact"/>
              <w:ind w:left="346"/>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24" w:type="dxa"/>
            <w:vMerge w:val="continue"/>
            <w:tcBorders>
              <w:top w:val="nil"/>
              <w:left w:val="single" w:color="000000" w:sz="6" w:space="0"/>
              <w:bottom w:val="nil"/>
            </w:tcBorders>
            <w:vAlign w:val="top"/>
          </w:tcPr>
          <w:p>
            <w:pPr>
              <w:rPr>
                <w:rFonts w:ascii="Arial"/>
                <w:sz w:val="21"/>
              </w:rPr>
            </w:pPr>
          </w:p>
        </w:tc>
        <w:tc>
          <w:tcPr>
            <w:tcW w:w="884" w:type="dxa"/>
            <w:vMerge w:val="continue"/>
            <w:tcBorders>
              <w:top w:val="nil"/>
              <w:bottom w:val="nil"/>
            </w:tcBorders>
            <w:vAlign w:val="top"/>
          </w:tcPr>
          <w:p>
            <w:pPr>
              <w:rPr>
                <w:rFonts w:ascii="Arial"/>
                <w:sz w:val="21"/>
              </w:rPr>
            </w:pPr>
          </w:p>
        </w:tc>
        <w:tc>
          <w:tcPr>
            <w:tcW w:w="1438" w:type="dxa"/>
            <w:vAlign w:val="top"/>
          </w:tcPr>
          <w:p>
            <w:pPr>
              <w:spacing w:before="212" w:line="229" w:lineRule="auto"/>
              <w:ind w:left="360"/>
              <w:rPr>
                <w:rFonts w:ascii="宋体" w:hAnsi="宋体" w:eastAsia="宋体" w:cs="宋体"/>
                <w:sz w:val="17"/>
                <w:szCs w:val="17"/>
              </w:rPr>
            </w:pPr>
            <w:r>
              <w:rPr>
                <w:rFonts w:ascii="宋体" w:hAnsi="宋体" w:eastAsia="宋体" w:cs="宋体"/>
                <w:spacing w:val="8"/>
                <w:sz w:val="17"/>
                <w:szCs w:val="17"/>
              </w:rPr>
              <w:t>沥青烟气</w:t>
            </w:r>
          </w:p>
        </w:tc>
        <w:tc>
          <w:tcPr>
            <w:tcW w:w="5010" w:type="dxa"/>
            <w:vAlign w:val="top"/>
          </w:tcPr>
          <w:p>
            <w:pPr>
              <w:spacing w:before="72" w:line="267" w:lineRule="auto"/>
              <w:ind w:left="74" w:right="46" w:hanging="14"/>
              <w:rPr>
                <w:rFonts w:ascii="宋体" w:hAnsi="宋体" w:eastAsia="宋体" w:cs="宋体"/>
                <w:sz w:val="17"/>
                <w:szCs w:val="17"/>
              </w:rPr>
            </w:pPr>
            <w:r>
              <w:rPr>
                <w:rFonts w:ascii="宋体" w:hAnsi="宋体" w:eastAsia="宋体" w:cs="宋体"/>
                <w:spacing w:val="21"/>
                <w:sz w:val="17"/>
                <w:szCs w:val="17"/>
              </w:rPr>
              <w:t>不</w:t>
            </w:r>
            <w:r>
              <w:rPr>
                <w:rFonts w:ascii="宋体" w:hAnsi="宋体" w:eastAsia="宋体" w:cs="宋体"/>
                <w:spacing w:val="11"/>
                <w:sz w:val="17"/>
                <w:szCs w:val="17"/>
              </w:rPr>
              <w:t>设沥青搅拌站，用密封车运至现场摊铺；加强沥青摊铺过程</w:t>
            </w:r>
            <w:r>
              <w:rPr>
                <w:rFonts w:ascii="宋体" w:hAnsi="宋体" w:eastAsia="宋体" w:cs="宋体"/>
                <w:sz w:val="17"/>
                <w:szCs w:val="17"/>
              </w:rPr>
              <w:t xml:space="preserve"> </w:t>
            </w:r>
            <w:r>
              <w:rPr>
                <w:rFonts w:ascii="宋体" w:hAnsi="宋体" w:eastAsia="宋体" w:cs="宋体"/>
                <w:spacing w:val="14"/>
                <w:sz w:val="17"/>
                <w:szCs w:val="17"/>
              </w:rPr>
              <w:t>中</w:t>
            </w:r>
            <w:r>
              <w:rPr>
                <w:rFonts w:ascii="宋体" w:hAnsi="宋体" w:eastAsia="宋体" w:cs="宋体"/>
                <w:spacing w:val="8"/>
                <w:sz w:val="17"/>
                <w:szCs w:val="17"/>
              </w:rPr>
              <w:t>的组织调度，缩短沥青摊铺周期</w:t>
            </w:r>
          </w:p>
        </w:tc>
        <w:tc>
          <w:tcPr>
            <w:tcW w:w="735" w:type="dxa"/>
            <w:vAlign w:val="top"/>
          </w:tcPr>
          <w:p>
            <w:pPr>
              <w:spacing w:before="177" w:line="242" w:lineRule="exact"/>
              <w:ind w:left="346"/>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24" w:type="dxa"/>
            <w:vMerge w:val="continue"/>
            <w:tcBorders>
              <w:top w:val="nil"/>
              <w:left w:val="single" w:color="000000" w:sz="6" w:space="0"/>
              <w:bottom w:val="nil"/>
            </w:tcBorders>
            <w:vAlign w:val="top"/>
          </w:tcPr>
          <w:p>
            <w:pPr>
              <w:rPr>
                <w:rFonts w:ascii="Arial"/>
                <w:sz w:val="21"/>
              </w:rPr>
            </w:pPr>
          </w:p>
        </w:tc>
        <w:tc>
          <w:tcPr>
            <w:tcW w:w="884" w:type="dxa"/>
            <w:vMerge w:val="continue"/>
            <w:tcBorders>
              <w:top w:val="nil"/>
            </w:tcBorders>
            <w:vAlign w:val="top"/>
          </w:tcPr>
          <w:p>
            <w:pPr>
              <w:rPr>
                <w:rFonts w:ascii="Arial"/>
                <w:sz w:val="21"/>
              </w:rPr>
            </w:pPr>
          </w:p>
        </w:tc>
        <w:tc>
          <w:tcPr>
            <w:tcW w:w="1438" w:type="dxa"/>
            <w:vAlign w:val="top"/>
          </w:tcPr>
          <w:p>
            <w:pPr>
              <w:spacing w:before="211" w:line="230" w:lineRule="auto"/>
              <w:ind w:left="360"/>
              <w:rPr>
                <w:rFonts w:ascii="宋体" w:hAnsi="宋体" w:eastAsia="宋体" w:cs="宋体"/>
                <w:sz w:val="17"/>
                <w:szCs w:val="17"/>
              </w:rPr>
            </w:pPr>
            <w:r>
              <w:rPr>
                <w:rFonts w:ascii="宋体" w:hAnsi="宋体" w:eastAsia="宋体" w:cs="宋体"/>
                <w:spacing w:val="8"/>
                <w:sz w:val="17"/>
                <w:szCs w:val="17"/>
              </w:rPr>
              <w:t>焊接烟气</w:t>
            </w:r>
          </w:p>
        </w:tc>
        <w:tc>
          <w:tcPr>
            <w:tcW w:w="5010" w:type="dxa"/>
            <w:vAlign w:val="top"/>
          </w:tcPr>
          <w:p>
            <w:pPr>
              <w:spacing w:before="71" w:line="268" w:lineRule="auto"/>
              <w:ind w:left="57" w:right="46" w:firstLine="2"/>
              <w:rPr>
                <w:rFonts w:ascii="宋体" w:hAnsi="宋体" w:eastAsia="宋体" w:cs="宋体"/>
                <w:sz w:val="17"/>
                <w:szCs w:val="17"/>
              </w:rPr>
            </w:pPr>
            <w:r>
              <w:rPr>
                <w:rFonts w:ascii="宋体" w:hAnsi="宋体" w:eastAsia="宋体" w:cs="宋体"/>
                <w:spacing w:val="21"/>
                <w:sz w:val="17"/>
                <w:szCs w:val="17"/>
              </w:rPr>
              <w:t>不</w:t>
            </w:r>
            <w:r>
              <w:rPr>
                <w:rFonts w:ascii="宋体" w:hAnsi="宋体" w:eastAsia="宋体" w:cs="宋体"/>
                <w:spacing w:val="11"/>
                <w:sz w:val="17"/>
                <w:szCs w:val="17"/>
              </w:rPr>
              <w:t>设钢箱梁场，现场仅进行吊装焊接；钢筋笼加工设移动式焊</w:t>
            </w:r>
            <w:r>
              <w:rPr>
                <w:rFonts w:ascii="宋体" w:hAnsi="宋体" w:eastAsia="宋体" w:cs="宋体"/>
                <w:sz w:val="17"/>
                <w:szCs w:val="17"/>
              </w:rPr>
              <w:t xml:space="preserve"> </w:t>
            </w:r>
            <w:r>
              <w:rPr>
                <w:rFonts w:ascii="宋体" w:hAnsi="宋体" w:eastAsia="宋体" w:cs="宋体"/>
                <w:spacing w:val="18"/>
                <w:sz w:val="17"/>
                <w:szCs w:val="17"/>
              </w:rPr>
              <w:t>烟</w:t>
            </w:r>
            <w:r>
              <w:rPr>
                <w:rFonts w:ascii="宋体" w:hAnsi="宋体" w:eastAsia="宋体" w:cs="宋体"/>
                <w:spacing w:val="9"/>
                <w:sz w:val="17"/>
                <w:szCs w:val="17"/>
              </w:rPr>
              <w:t>净化器；操作人员佩戴呼吸保护设备</w:t>
            </w:r>
          </w:p>
        </w:tc>
        <w:tc>
          <w:tcPr>
            <w:tcW w:w="735" w:type="dxa"/>
            <w:vAlign w:val="top"/>
          </w:tcPr>
          <w:p>
            <w:pPr>
              <w:spacing w:before="244" w:line="194" w:lineRule="auto"/>
              <w:ind w:left="336"/>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1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24" w:type="dxa"/>
            <w:vMerge w:val="continue"/>
            <w:tcBorders>
              <w:top w:val="nil"/>
              <w:left w:val="single" w:color="000000" w:sz="6" w:space="0"/>
              <w:bottom w:val="nil"/>
            </w:tcBorders>
            <w:vAlign w:val="top"/>
          </w:tcPr>
          <w:p>
            <w:pPr>
              <w:rPr>
                <w:rFonts w:ascii="Arial"/>
                <w:sz w:val="21"/>
              </w:rPr>
            </w:pPr>
          </w:p>
        </w:tc>
        <w:tc>
          <w:tcPr>
            <w:tcW w:w="884" w:type="dxa"/>
            <w:vMerge w:val="restart"/>
            <w:tcBorders>
              <w:bottom w:val="nil"/>
            </w:tcBorders>
            <w:vAlign w:val="top"/>
          </w:tcPr>
          <w:p>
            <w:pPr>
              <w:spacing w:line="294" w:lineRule="auto"/>
              <w:rPr>
                <w:rFonts w:ascii="Arial"/>
                <w:sz w:val="21"/>
              </w:rPr>
            </w:pPr>
          </w:p>
          <w:p>
            <w:pPr>
              <w:spacing w:line="294" w:lineRule="auto"/>
              <w:rPr>
                <w:rFonts w:ascii="Arial"/>
                <w:sz w:val="21"/>
              </w:rPr>
            </w:pPr>
          </w:p>
          <w:p>
            <w:pPr>
              <w:spacing w:before="55" w:line="230" w:lineRule="auto"/>
              <w:ind w:left="242"/>
              <w:rPr>
                <w:rFonts w:ascii="宋体" w:hAnsi="宋体" w:eastAsia="宋体" w:cs="宋体"/>
                <w:sz w:val="17"/>
                <w:szCs w:val="17"/>
              </w:rPr>
            </w:pPr>
            <w:r>
              <w:rPr>
                <w:rFonts w:ascii="宋体" w:hAnsi="宋体" w:eastAsia="宋体" w:cs="宋体"/>
                <w:spacing w:val="7"/>
                <w:sz w:val="17"/>
                <w:szCs w:val="17"/>
              </w:rPr>
              <w:t>水环</w:t>
            </w:r>
            <w:r>
              <w:rPr>
                <w:rFonts w:ascii="宋体" w:hAnsi="宋体" w:eastAsia="宋体" w:cs="宋体"/>
                <w:spacing w:val="6"/>
                <w:sz w:val="17"/>
                <w:szCs w:val="17"/>
              </w:rPr>
              <w:t>境</w:t>
            </w:r>
          </w:p>
          <w:p>
            <w:pPr>
              <w:spacing w:before="68" w:line="231" w:lineRule="auto"/>
              <w:ind w:left="241"/>
              <w:rPr>
                <w:rFonts w:ascii="宋体" w:hAnsi="宋体" w:eastAsia="宋体" w:cs="宋体"/>
                <w:sz w:val="17"/>
                <w:szCs w:val="17"/>
              </w:rPr>
            </w:pPr>
            <w:r>
              <w:rPr>
                <w:rFonts w:ascii="宋体" w:hAnsi="宋体" w:eastAsia="宋体" w:cs="宋体"/>
                <w:spacing w:val="8"/>
                <w:sz w:val="17"/>
                <w:szCs w:val="17"/>
              </w:rPr>
              <w:t>保</w:t>
            </w:r>
            <w:r>
              <w:rPr>
                <w:rFonts w:ascii="宋体" w:hAnsi="宋体" w:eastAsia="宋体" w:cs="宋体"/>
                <w:spacing w:val="7"/>
                <w:sz w:val="17"/>
                <w:szCs w:val="17"/>
              </w:rPr>
              <w:t>护措</w:t>
            </w:r>
          </w:p>
          <w:p>
            <w:pPr>
              <w:spacing w:before="65" w:line="233" w:lineRule="auto"/>
              <w:ind w:left="420"/>
              <w:rPr>
                <w:rFonts w:ascii="宋体" w:hAnsi="宋体" w:eastAsia="宋体" w:cs="宋体"/>
                <w:sz w:val="17"/>
                <w:szCs w:val="17"/>
              </w:rPr>
            </w:pPr>
            <w:r>
              <w:rPr>
                <w:rFonts w:ascii="宋体" w:hAnsi="宋体" w:eastAsia="宋体" w:cs="宋体"/>
                <w:spacing w:val="3"/>
                <w:sz w:val="17"/>
                <w:szCs w:val="17"/>
              </w:rPr>
              <w:t>施</w:t>
            </w:r>
          </w:p>
        </w:tc>
        <w:tc>
          <w:tcPr>
            <w:tcW w:w="1438" w:type="dxa"/>
            <w:vAlign w:val="top"/>
          </w:tcPr>
          <w:p>
            <w:pPr>
              <w:spacing w:line="294" w:lineRule="auto"/>
              <w:rPr>
                <w:rFonts w:ascii="Arial"/>
                <w:sz w:val="21"/>
              </w:rPr>
            </w:pPr>
          </w:p>
          <w:p>
            <w:pPr>
              <w:spacing w:before="56" w:line="230" w:lineRule="auto"/>
              <w:ind w:left="359"/>
              <w:rPr>
                <w:rFonts w:ascii="宋体" w:hAnsi="宋体" w:eastAsia="宋体" w:cs="宋体"/>
                <w:sz w:val="17"/>
                <w:szCs w:val="17"/>
              </w:rPr>
            </w:pPr>
            <w:r>
              <w:rPr>
                <w:rFonts w:ascii="宋体" w:hAnsi="宋体" w:eastAsia="宋体" w:cs="宋体"/>
                <w:spacing w:val="9"/>
                <w:sz w:val="17"/>
                <w:szCs w:val="17"/>
              </w:rPr>
              <w:t>施</w:t>
            </w:r>
            <w:r>
              <w:rPr>
                <w:rFonts w:ascii="宋体" w:hAnsi="宋体" w:eastAsia="宋体" w:cs="宋体"/>
                <w:spacing w:val="8"/>
                <w:sz w:val="17"/>
                <w:szCs w:val="17"/>
              </w:rPr>
              <w:t>工废水</w:t>
            </w:r>
          </w:p>
        </w:tc>
        <w:tc>
          <w:tcPr>
            <w:tcW w:w="5010" w:type="dxa"/>
            <w:vAlign w:val="top"/>
          </w:tcPr>
          <w:p>
            <w:pPr>
              <w:spacing w:before="73" w:line="279" w:lineRule="auto"/>
              <w:ind w:left="56" w:right="46" w:firstLine="1"/>
              <w:rPr>
                <w:rFonts w:ascii="宋体" w:hAnsi="宋体" w:eastAsia="宋体" w:cs="宋体"/>
                <w:sz w:val="17"/>
                <w:szCs w:val="17"/>
              </w:rPr>
            </w:pPr>
            <w:r>
              <w:rPr>
                <w:rFonts w:ascii="宋体" w:hAnsi="宋体" w:eastAsia="宋体" w:cs="宋体"/>
                <w:spacing w:val="22"/>
                <w:sz w:val="17"/>
                <w:szCs w:val="17"/>
              </w:rPr>
              <w:t>合</w:t>
            </w:r>
            <w:r>
              <w:rPr>
                <w:rFonts w:ascii="宋体" w:hAnsi="宋体" w:eastAsia="宋体" w:cs="宋体"/>
                <w:spacing w:val="13"/>
                <w:sz w:val="17"/>
                <w:szCs w:val="17"/>
              </w:rPr>
              <w:t>理</w:t>
            </w:r>
            <w:r>
              <w:rPr>
                <w:rFonts w:ascii="宋体" w:hAnsi="宋体" w:eastAsia="宋体" w:cs="宋体"/>
                <w:spacing w:val="11"/>
                <w:sz w:val="17"/>
                <w:szCs w:val="17"/>
              </w:rPr>
              <w:t>设置施工材料堆放地点，并设雨篷遮挡、防护围栏；施工</w:t>
            </w:r>
            <w:r>
              <w:rPr>
                <w:rFonts w:ascii="宋体" w:hAnsi="宋体" w:eastAsia="宋体" w:cs="宋体"/>
                <w:sz w:val="17"/>
                <w:szCs w:val="17"/>
              </w:rPr>
              <w:t xml:space="preserve"> </w:t>
            </w:r>
            <w:r>
              <w:rPr>
                <w:rFonts w:ascii="宋体" w:hAnsi="宋体" w:eastAsia="宋体" w:cs="宋体"/>
                <w:spacing w:val="22"/>
                <w:sz w:val="17"/>
                <w:szCs w:val="17"/>
              </w:rPr>
              <w:t>场</w:t>
            </w:r>
            <w:r>
              <w:rPr>
                <w:rFonts w:ascii="宋体" w:hAnsi="宋体" w:eastAsia="宋体" w:cs="宋体"/>
                <w:spacing w:val="14"/>
                <w:sz w:val="17"/>
                <w:szCs w:val="17"/>
              </w:rPr>
              <w:t>地</w:t>
            </w:r>
            <w:r>
              <w:rPr>
                <w:rFonts w:ascii="宋体" w:hAnsi="宋体" w:eastAsia="宋体" w:cs="宋体"/>
                <w:spacing w:val="11"/>
                <w:sz w:val="17"/>
                <w:szCs w:val="17"/>
              </w:rPr>
              <w:t>及堆场周围建截排水沟，并设置废水沉淀池，处理后的废</w:t>
            </w:r>
            <w:r>
              <w:rPr>
                <w:rFonts w:ascii="宋体" w:hAnsi="宋体" w:eastAsia="宋体" w:cs="宋体"/>
                <w:sz w:val="17"/>
                <w:szCs w:val="17"/>
              </w:rPr>
              <w:t xml:space="preserve"> </w:t>
            </w:r>
            <w:r>
              <w:rPr>
                <w:rFonts w:ascii="宋体" w:hAnsi="宋体" w:eastAsia="宋体" w:cs="宋体"/>
                <w:spacing w:val="9"/>
                <w:sz w:val="17"/>
                <w:szCs w:val="17"/>
              </w:rPr>
              <w:t>水做防尘水使用</w:t>
            </w:r>
          </w:p>
        </w:tc>
        <w:tc>
          <w:tcPr>
            <w:tcW w:w="735" w:type="dxa"/>
            <w:vAlign w:val="top"/>
          </w:tcPr>
          <w:p>
            <w:pPr>
              <w:spacing w:line="331" w:lineRule="auto"/>
              <w:rPr>
                <w:rFonts w:ascii="Arial"/>
                <w:sz w:val="21"/>
              </w:rPr>
            </w:pPr>
          </w:p>
          <w:p>
            <w:pPr>
              <w:spacing w:before="49" w:line="197" w:lineRule="auto"/>
              <w:ind w:left="302"/>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15</w:t>
            </w:r>
          </w:p>
        </w:tc>
        <w:tc>
          <w:tcPr>
            <w:tcW w:w="1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24" w:type="dxa"/>
            <w:vMerge w:val="continue"/>
            <w:tcBorders>
              <w:top w:val="nil"/>
              <w:left w:val="single" w:color="000000" w:sz="6" w:space="0"/>
              <w:bottom w:val="nil"/>
            </w:tcBorders>
            <w:vAlign w:val="top"/>
          </w:tcPr>
          <w:p>
            <w:pPr>
              <w:rPr>
                <w:rFonts w:ascii="Arial"/>
                <w:sz w:val="21"/>
              </w:rPr>
            </w:pPr>
          </w:p>
        </w:tc>
        <w:tc>
          <w:tcPr>
            <w:tcW w:w="884" w:type="dxa"/>
            <w:vMerge w:val="continue"/>
            <w:tcBorders>
              <w:top w:val="nil"/>
              <w:bottom w:val="nil"/>
            </w:tcBorders>
            <w:vAlign w:val="top"/>
          </w:tcPr>
          <w:p>
            <w:pPr>
              <w:rPr>
                <w:rFonts w:ascii="Arial"/>
                <w:sz w:val="21"/>
              </w:rPr>
            </w:pPr>
          </w:p>
        </w:tc>
        <w:tc>
          <w:tcPr>
            <w:tcW w:w="1438" w:type="dxa"/>
            <w:vAlign w:val="top"/>
          </w:tcPr>
          <w:p>
            <w:pPr>
              <w:spacing w:before="213" w:line="232" w:lineRule="auto"/>
              <w:ind w:left="359"/>
              <w:rPr>
                <w:rFonts w:ascii="宋体" w:hAnsi="宋体" w:eastAsia="宋体" w:cs="宋体"/>
                <w:sz w:val="17"/>
                <w:szCs w:val="17"/>
              </w:rPr>
            </w:pPr>
            <w:r>
              <w:rPr>
                <w:rFonts w:ascii="宋体" w:hAnsi="宋体" w:eastAsia="宋体" w:cs="宋体"/>
                <w:spacing w:val="9"/>
                <w:sz w:val="17"/>
                <w:szCs w:val="17"/>
              </w:rPr>
              <w:t>河</w:t>
            </w:r>
            <w:r>
              <w:rPr>
                <w:rFonts w:ascii="宋体" w:hAnsi="宋体" w:eastAsia="宋体" w:cs="宋体"/>
                <w:spacing w:val="8"/>
                <w:sz w:val="17"/>
                <w:szCs w:val="17"/>
              </w:rPr>
              <w:t>道施工</w:t>
            </w:r>
          </w:p>
        </w:tc>
        <w:tc>
          <w:tcPr>
            <w:tcW w:w="5010" w:type="dxa"/>
            <w:vAlign w:val="top"/>
          </w:tcPr>
          <w:p>
            <w:pPr>
              <w:spacing w:before="73" w:line="266" w:lineRule="auto"/>
              <w:ind w:left="56" w:right="46"/>
              <w:rPr>
                <w:rFonts w:ascii="宋体" w:hAnsi="宋体" w:eastAsia="宋体" w:cs="宋体"/>
                <w:sz w:val="17"/>
                <w:szCs w:val="17"/>
              </w:rPr>
            </w:pPr>
            <w:r>
              <w:rPr>
                <w:rFonts w:ascii="宋体" w:hAnsi="宋体" w:eastAsia="宋体" w:cs="宋体"/>
                <w:spacing w:val="22"/>
                <w:sz w:val="17"/>
                <w:szCs w:val="17"/>
              </w:rPr>
              <w:t>选</w:t>
            </w:r>
            <w:r>
              <w:rPr>
                <w:rFonts w:ascii="宋体" w:hAnsi="宋体" w:eastAsia="宋体" w:cs="宋体"/>
                <w:spacing w:val="14"/>
                <w:sz w:val="17"/>
                <w:szCs w:val="17"/>
              </w:rPr>
              <w:t>择</w:t>
            </w:r>
            <w:r>
              <w:rPr>
                <w:rFonts w:ascii="宋体" w:hAnsi="宋体" w:eastAsia="宋体" w:cs="宋体"/>
                <w:spacing w:val="11"/>
                <w:sz w:val="17"/>
                <w:szCs w:val="17"/>
              </w:rPr>
              <w:t>枯水期施工；涉水采取围堰施工；河岸两侧设置钻孔废水</w:t>
            </w:r>
            <w:r>
              <w:rPr>
                <w:rFonts w:ascii="宋体" w:hAnsi="宋体" w:eastAsia="宋体" w:cs="宋体"/>
                <w:sz w:val="17"/>
                <w:szCs w:val="17"/>
              </w:rPr>
              <w:t xml:space="preserve"> </w:t>
            </w:r>
            <w:r>
              <w:rPr>
                <w:rFonts w:ascii="宋体" w:hAnsi="宋体" w:eastAsia="宋体" w:cs="宋体"/>
                <w:spacing w:val="18"/>
                <w:sz w:val="17"/>
                <w:szCs w:val="17"/>
              </w:rPr>
              <w:t>沉</w:t>
            </w:r>
            <w:r>
              <w:rPr>
                <w:rFonts w:ascii="宋体" w:hAnsi="宋体" w:eastAsia="宋体" w:cs="宋体"/>
                <w:spacing w:val="17"/>
                <w:sz w:val="17"/>
                <w:szCs w:val="17"/>
              </w:rPr>
              <w:t>淀</w:t>
            </w:r>
            <w:r>
              <w:rPr>
                <w:rFonts w:ascii="宋体" w:hAnsi="宋体" w:eastAsia="宋体" w:cs="宋体"/>
                <w:spacing w:val="9"/>
                <w:sz w:val="17"/>
                <w:szCs w:val="17"/>
              </w:rPr>
              <w:t>池和泥浆干化池；施工完毕后围堰、沉淀池及时拆除</w:t>
            </w:r>
          </w:p>
        </w:tc>
        <w:tc>
          <w:tcPr>
            <w:tcW w:w="735" w:type="dxa"/>
            <w:vAlign w:val="top"/>
          </w:tcPr>
          <w:p>
            <w:pPr>
              <w:spacing w:before="244" w:line="197" w:lineRule="auto"/>
              <w:ind w:left="28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0</w:t>
            </w:r>
          </w:p>
        </w:tc>
        <w:tc>
          <w:tcPr>
            <w:tcW w:w="1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724" w:type="dxa"/>
            <w:vMerge w:val="continue"/>
            <w:tcBorders>
              <w:top w:val="nil"/>
              <w:left w:val="single" w:color="000000" w:sz="6" w:space="0"/>
              <w:bottom w:val="nil"/>
            </w:tcBorders>
            <w:vAlign w:val="top"/>
          </w:tcPr>
          <w:p>
            <w:pPr>
              <w:rPr>
                <w:rFonts w:ascii="Arial"/>
                <w:sz w:val="21"/>
              </w:rPr>
            </w:pPr>
          </w:p>
        </w:tc>
        <w:tc>
          <w:tcPr>
            <w:tcW w:w="884" w:type="dxa"/>
            <w:vMerge w:val="continue"/>
            <w:tcBorders>
              <w:top w:val="nil"/>
              <w:bottom w:val="nil"/>
            </w:tcBorders>
            <w:vAlign w:val="top"/>
          </w:tcPr>
          <w:p>
            <w:pPr>
              <w:rPr>
                <w:rFonts w:ascii="Arial"/>
                <w:sz w:val="21"/>
              </w:rPr>
            </w:pPr>
          </w:p>
        </w:tc>
        <w:tc>
          <w:tcPr>
            <w:tcW w:w="1438" w:type="dxa"/>
            <w:vAlign w:val="top"/>
          </w:tcPr>
          <w:p>
            <w:pPr>
              <w:spacing w:before="72" w:line="230" w:lineRule="auto"/>
              <w:ind w:left="360"/>
              <w:rPr>
                <w:rFonts w:ascii="宋体" w:hAnsi="宋体" w:eastAsia="宋体" w:cs="宋体"/>
                <w:sz w:val="17"/>
                <w:szCs w:val="17"/>
              </w:rPr>
            </w:pPr>
            <w:r>
              <w:rPr>
                <w:rFonts w:ascii="宋体" w:hAnsi="宋体" w:eastAsia="宋体" w:cs="宋体"/>
                <w:spacing w:val="8"/>
                <w:sz w:val="17"/>
                <w:szCs w:val="17"/>
              </w:rPr>
              <w:t>冲洗废水</w:t>
            </w:r>
          </w:p>
        </w:tc>
        <w:tc>
          <w:tcPr>
            <w:tcW w:w="5010" w:type="dxa"/>
            <w:vAlign w:val="top"/>
          </w:tcPr>
          <w:p>
            <w:pPr>
              <w:spacing w:before="72" w:line="230" w:lineRule="auto"/>
              <w:ind w:left="58"/>
              <w:rPr>
                <w:rFonts w:ascii="宋体" w:hAnsi="宋体" w:eastAsia="宋体" w:cs="宋体"/>
                <w:sz w:val="17"/>
                <w:szCs w:val="17"/>
              </w:rPr>
            </w:pPr>
            <w:r>
              <w:rPr>
                <w:rFonts w:ascii="宋体" w:hAnsi="宋体" w:eastAsia="宋体" w:cs="宋体"/>
                <w:spacing w:val="12"/>
                <w:sz w:val="17"/>
                <w:szCs w:val="17"/>
              </w:rPr>
              <w:t>车</w:t>
            </w:r>
            <w:r>
              <w:rPr>
                <w:rFonts w:ascii="宋体" w:hAnsi="宋体" w:eastAsia="宋体" w:cs="宋体"/>
                <w:spacing w:val="9"/>
                <w:sz w:val="17"/>
                <w:szCs w:val="17"/>
              </w:rPr>
              <w:t>辆冲洗台旁修建废水沉淀池，处理后循环使用；</w:t>
            </w:r>
          </w:p>
        </w:tc>
        <w:tc>
          <w:tcPr>
            <w:tcW w:w="735" w:type="dxa"/>
            <w:vAlign w:val="top"/>
          </w:tcPr>
          <w:p>
            <w:pPr>
              <w:spacing w:before="103" w:line="197" w:lineRule="auto"/>
              <w:ind w:left="33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1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724" w:type="dxa"/>
            <w:vMerge w:val="continue"/>
            <w:tcBorders>
              <w:top w:val="nil"/>
              <w:left w:val="single" w:color="000000" w:sz="6" w:space="0"/>
              <w:bottom w:val="nil"/>
            </w:tcBorders>
            <w:vAlign w:val="top"/>
          </w:tcPr>
          <w:p>
            <w:pPr>
              <w:rPr>
                <w:rFonts w:ascii="Arial"/>
                <w:sz w:val="21"/>
              </w:rPr>
            </w:pPr>
          </w:p>
        </w:tc>
        <w:tc>
          <w:tcPr>
            <w:tcW w:w="884" w:type="dxa"/>
            <w:vMerge w:val="continue"/>
            <w:tcBorders>
              <w:top w:val="nil"/>
            </w:tcBorders>
            <w:vAlign w:val="top"/>
          </w:tcPr>
          <w:p>
            <w:pPr>
              <w:rPr>
                <w:rFonts w:ascii="Arial"/>
                <w:sz w:val="21"/>
              </w:rPr>
            </w:pPr>
          </w:p>
        </w:tc>
        <w:tc>
          <w:tcPr>
            <w:tcW w:w="1438" w:type="dxa"/>
            <w:vAlign w:val="top"/>
          </w:tcPr>
          <w:p>
            <w:pPr>
              <w:spacing w:before="73" w:line="230" w:lineRule="auto"/>
              <w:ind w:left="361"/>
              <w:rPr>
                <w:rFonts w:ascii="宋体" w:hAnsi="宋体" w:eastAsia="宋体" w:cs="宋体"/>
                <w:sz w:val="17"/>
                <w:szCs w:val="17"/>
              </w:rPr>
            </w:pPr>
            <w:r>
              <w:rPr>
                <w:rFonts w:ascii="宋体" w:hAnsi="宋体" w:eastAsia="宋体" w:cs="宋体"/>
                <w:spacing w:val="8"/>
                <w:sz w:val="17"/>
                <w:szCs w:val="17"/>
              </w:rPr>
              <w:t>生活污</w:t>
            </w:r>
            <w:r>
              <w:rPr>
                <w:rFonts w:ascii="宋体" w:hAnsi="宋体" w:eastAsia="宋体" w:cs="宋体"/>
                <w:spacing w:val="7"/>
                <w:sz w:val="17"/>
                <w:szCs w:val="17"/>
              </w:rPr>
              <w:t>水</w:t>
            </w:r>
          </w:p>
        </w:tc>
        <w:tc>
          <w:tcPr>
            <w:tcW w:w="5010" w:type="dxa"/>
            <w:vAlign w:val="top"/>
          </w:tcPr>
          <w:p>
            <w:pPr>
              <w:spacing w:before="73" w:line="230" w:lineRule="auto"/>
              <w:ind w:left="60"/>
              <w:rPr>
                <w:rFonts w:ascii="宋体" w:hAnsi="宋体" w:eastAsia="宋体" w:cs="宋体"/>
                <w:sz w:val="17"/>
                <w:szCs w:val="17"/>
              </w:rPr>
            </w:pPr>
            <w:r>
              <w:rPr>
                <w:rFonts w:ascii="宋体" w:hAnsi="宋体" w:eastAsia="宋体" w:cs="宋体"/>
                <w:spacing w:val="15"/>
                <w:sz w:val="17"/>
                <w:szCs w:val="17"/>
              </w:rPr>
              <w:t>设</w:t>
            </w:r>
            <w:r>
              <w:rPr>
                <w:rFonts w:ascii="宋体" w:hAnsi="宋体" w:eastAsia="宋体" w:cs="宋体"/>
                <w:spacing w:val="9"/>
                <w:sz w:val="17"/>
                <w:szCs w:val="17"/>
              </w:rPr>
              <w:t>置移动式公厕，定期委托环卫清运</w:t>
            </w:r>
          </w:p>
        </w:tc>
        <w:tc>
          <w:tcPr>
            <w:tcW w:w="735" w:type="dxa"/>
            <w:vAlign w:val="top"/>
          </w:tcPr>
          <w:p>
            <w:pPr>
              <w:spacing w:before="104" w:line="197" w:lineRule="auto"/>
              <w:ind w:left="348"/>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1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724" w:type="dxa"/>
            <w:vMerge w:val="continue"/>
            <w:tcBorders>
              <w:top w:val="nil"/>
              <w:left w:val="single" w:color="000000" w:sz="6" w:space="0"/>
              <w:bottom w:val="nil"/>
            </w:tcBorders>
            <w:vAlign w:val="top"/>
          </w:tcPr>
          <w:p>
            <w:pPr>
              <w:rPr>
                <w:rFonts w:ascii="Arial"/>
                <w:sz w:val="21"/>
              </w:rPr>
            </w:pPr>
          </w:p>
        </w:tc>
        <w:tc>
          <w:tcPr>
            <w:tcW w:w="884" w:type="dxa"/>
            <w:vMerge w:val="restart"/>
            <w:tcBorders>
              <w:bottom w:val="nil"/>
            </w:tcBorders>
            <w:vAlign w:val="top"/>
          </w:tcPr>
          <w:p>
            <w:pPr>
              <w:spacing w:line="440" w:lineRule="auto"/>
              <w:rPr>
                <w:rFonts w:ascii="Arial"/>
                <w:sz w:val="21"/>
              </w:rPr>
            </w:pPr>
          </w:p>
          <w:p>
            <w:pPr>
              <w:spacing w:before="56" w:line="317" w:lineRule="auto"/>
              <w:ind w:left="245" w:right="105" w:firstLine="4"/>
              <w:rPr>
                <w:rFonts w:ascii="宋体" w:hAnsi="宋体" w:eastAsia="宋体" w:cs="宋体"/>
                <w:sz w:val="17"/>
                <w:szCs w:val="17"/>
              </w:rPr>
            </w:pPr>
            <w:r>
              <w:rPr>
                <w:rFonts w:ascii="宋体" w:hAnsi="宋体" w:eastAsia="宋体" w:cs="宋体"/>
                <w:spacing w:val="5"/>
                <w:sz w:val="17"/>
                <w:szCs w:val="17"/>
              </w:rPr>
              <w:t>噪声</w:t>
            </w:r>
            <w:r>
              <w:rPr>
                <w:rFonts w:ascii="宋体" w:hAnsi="宋体" w:eastAsia="宋体" w:cs="宋体"/>
                <w:spacing w:val="4"/>
                <w:sz w:val="17"/>
                <w:szCs w:val="17"/>
              </w:rPr>
              <w:t>防</w:t>
            </w:r>
            <w:r>
              <w:rPr>
                <w:rFonts w:ascii="宋体" w:hAnsi="宋体" w:eastAsia="宋体" w:cs="宋体"/>
                <w:sz w:val="17"/>
                <w:szCs w:val="17"/>
              </w:rPr>
              <w:t xml:space="preserve"> </w:t>
            </w:r>
            <w:r>
              <w:rPr>
                <w:rFonts w:ascii="宋体" w:hAnsi="宋体" w:eastAsia="宋体" w:cs="宋体"/>
                <w:spacing w:val="6"/>
                <w:sz w:val="17"/>
                <w:szCs w:val="17"/>
              </w:rPr>
              <w:t>治措施</w:t>
            </w:r>
          </w:p>
        </w:tc>
        <w:tc>
          <w:tcPr>
            <w:tcW w:w="1438" w:type="dxa"/>
            <w:vAlign w:val="top"/>
          </w:tcPr>
          <w:p>
            <w:pPr>
              <w:spacing w:before="73" w:line="281" w:lineRule="exact"/>
              <w:ind w:left="450"/>
              <w:rPr>
                <w:rFonts w:ascii="宋体" w:hAnsi="宋体" w:eastAsia="宋体" w:cs="宋体"/>
                <w:sz w:val="17"/>
                <w:szCs w:val="17"/>
              </w:rPr>
            </w:pPr>
            <w:r>
              <w:rPr>
                <w:rFonts w:ascii="宋体" w:hAnsi="宋体" w:eastAsia="宋体" w:cs="宋体"/>
                <w:spacing w:val="8"/>
                <w:position w:val="7"/>
                <w:sz w:val="17"/>
                <w:szCs w:val="17"/>
              </w:rPr>
              <w:t>施工</w:t>
            </w:r>
            <w:r>
              <w:rPr>
                <w:rFonts w:ascii="宋体" w:hAnsi="宋体" w:eastAsia="宋体" w:cs="宋体"/>
                <w:spacing w:val="7"/>
                <w:position w:val="7"/>
                <w:sz w:val="17"/>
                <w:szCs w:val="17"/>
              </w:rPr>
              <w:t>期</w:t>
            </w:r>
          </w:p>
          <w:p>
            <w:pPr>
              <w:spacing w:line="227" w:lineRule="auto"/>
              <w:ind w:left="370"/>
              <w:rPr>
                <w:rFonts w:ascii="宋体" w:hAnsi="宋体" w:eastAsia="宋体" w:cs="宋体"/>
                <w:sz w:val="17"/>
                <w:szCs w:val="17"/>
              </w:rPr>
            </w:pPr>
            <w:r>
              <w:rPr>
                <w:rFonts w:ascii="宋体" w:hAnsi="宋体" w:eastAsia="宋体" w:cs="宋体"/>
                <w:spacing w:val="7"/>
                <w:sz w:val="17"/>
                <w:szCs w:val="17"/>
              </w:rPr>
              <w:t>隔</w:t>
            </w:r>
            <w:r>
              <w:rPr>
                <w:rFonts w:ascii="宋体" w:hAnsi="宋体" w:eastAsia="宋体" w:cs="宋体"/>
                <w:spacing w:val="5"/>
                <w:sz w:val="17"/>
                <w:szCs w:val="17"/>
              </w:rPr>
              <w:t>声降噪</w:t>
            </w:r>
          </w:p>
        </w:tc>
        <w:tc>
          <w:tcPr>
            <w:tcW w:w="5010" w:type="dxa"/>
            <w:vAlign w:val="top"/>
          </w:tcPr>
          <w:p>
            <w:pPr>
              <w:spacing w:before="74" w:line="266" w:lineRule="auto"/>
              <w:ind w:left="56"/>
              <w:rPr>
                <w:rFonts w:ascii="宋体" w:hAnsi="宋体" w:eastAsia="宋体" w:cs="宋体"/>
                <w:sz w:val="17"/>
                <w:szCs w:val="17"/>
              </w:rPr>
            </w:pPr>
            <w:r>
              <w:rPr>
                <w:rFonts w:ascii="宋体" w:hAnsi="宋体" w:eastAsia="宋体" w:cs="宋体"/>
                <w:spacing w:val="12"/>
                <w:sz w:val="17"/>
                <w:szCs w:val="17"/>
              </w:rPr>
              <w:t>选用低</w:t>
            </w:r>
            <w:r>
              <w:rPr>
                <w:rFonts w:ascii="宋体" w:hAnsi="宋体" w:eastAsia="宋体" w:cs="宋体"/>
                <w:spacing w:val="7"/>
                <w:sz w:val="17"/>
                <w:szCs w:val="17"/>
              </w:rPr>
              <w:t>噪</w:t>
            </w:r>
            <w:r>
              <w:rPr>
                <w:rFonts w:ascii="宋体" w:hAnsi="宋体" w:eastAsia="宋体" w:cs="宋体"/>
                <w:spacing w:val="6"/>
                <w:sz w:val="17"/>
                <w:szCs w:val="17"/>
              </w:rPr>
              <w:t>声设备，合理进行施工平面布置，合理安排施工时间，</w:t>
            </w:r>
            <w:r>
              <w:rPr>
                <w:rFonts w:ascii="宋体" w:hAnsi="宋体" w:eastAsia="宋体" w:cs="宋体"/>
                <w:sz w:val="17"/>
                <w:szCs w:val="17"/>
              </w:rPr>
              <w:t xml:space="preserve"> </w:t>
            </w:r>
            <w:r>
              <w:rPr>
                <w:rFonts w:ascii="宋体" w:hAnsi="宋体" w:eastAsia="宋体" w:cs="宋体"/>
                <w:spacing w:val="6"/>
                <w:sz w:val="17"/>
                <w:szCs w:val="17"/>
              </w:rPr>
              <w:t>修</w:t>
            </w:r>
            <w:r>
              <w:rPr>
                <w:rFonts w:ascii="宋体" w:hAnsi="宋体" w:eastAsia="宋体" w:cs="宋体"/>
                <w:spacing w:val="5"/>
                <w:sz w:val="17"/>
                <w:szCs w:val="17"/>
              </w:rPr>
              <w:t xml:space="preserve">建 </w:t>
            </w:r>
            <w:r>
              <w:rPr>
                <w:rFonts w:ascii="Times New Roman" w:hAnsi="Times New Roman" w:eastAsia="Times New Roman" w:cs="Times New Roman"/>
                <w:spacing w:val="5"/>
                <w:sz w:val="17"/>
                <w:szCs w:val="17"/>
              </w:rPr>
              <w:t>2.5</w:t>
            </w:r>
            <w:r>
              <w:rPr>
                <w:rFonts w:ascii="Times New Roman" w:hAnsi="Times New Roman" w:eastAsia="Times New Roman" w:cs="Times New Roman"/>
                <w:sz w:val="17"/>
                <w:szCs w:val="17"/>
              </w:rPr>
              <w:t>m</w:t>
            </w:r>
            <w:r>
              <w:rPr>
                <w:rFonts w:ascii="Times New Roman" w:hAnsi="Times New Roman" w:eastAsia="Times New Roman" w:cs="Times New Roman"/>
                <w:spacing w:val="5"/>
                <w:sz w:val="17"/>
                <w:szCs w:val="17"/>
              </w:rPr>
              <w:t xml:space="preserve"> </w:t>
            </w:r>
            <w:r>
              <w:rPr>
                <w:rFonts w:ascii="宋体" w:hAnsi="宋体" w:eastAsia="宋体" w:cs="宋体"/>
                <w:spacing w:val="5"/>
                <w:sz w:val="17"/>
                <w:szCs w:val="17"/>
              </w:rPr>
              <w:t>高硬质施工围挡等</w:t>
            </w:r>
          </w:p>
        </w:tc>
        <w:tc>
          <w:tcPr>
            <w:tcW w:w="735" w:type="dxa"/>
            <w:vAlign w:val="top"/>
          </w:tcPr>
          <w:p>
            <w:pPr>
              <w:spacing w:before="243" w:line="197" w:lineRule="auto"/>
              <w:ind w:left="28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2</w:t>
            </w:r>
            <w:r>
              <w:rPr>
                <w:rFonts w:ascii="Times New Roman" w:hAnsi="Times New Roman" w:eastAsia="Times New Roman" w:cs="Times New Roman"/>
                <w:spacing w:val="2"/>
                <w:sz w:val="17"/>
                <w:szCs w:val="17"/>
              </w:rPr>
              <w:t>0</w:t>
            </w:r>
          </w:p>
        </w:tc>
        <w:tc>
          <w:tcPr>
            <w:tcW w:w="1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24" w:type="dxa"/>
            <w:vMerge w:val="continue"/>
            <w:tcBorders>
              <w:top w:val="nil"/>
              <w:left w:val="single" w:color="000000" w:sz="6" w:space="0"/>
              <w:bottom w:val="nil"/>
            </w:tcBorders>
            <w:vAlign w:val="top"/>
          </w:tcPr>
          <w:p>
            <w:pPr>
              <w:rPr>
                <w:rFonts w:ascii="Arial"/>
                <w:sz w:val="21"/>
              </w:rPr>
            </w:pPr>
          </w:p>
        </w:tc>
        <w:tc>
          <w:tcPr>
            <w:tcW w:w="884" w:type="dxa"/>
            <w:vMerge w:val="continue"/>
            <w:tcBorders>
              <w:top w:val="nil"/>
            </w:tcBorders>
            <w:vAlign w:val="top"/>
          </w:tcPr>
          <w:p>
            <w:pPr>
              <w:rPr>
                <w:rFonts w:ascii="Arial"/>
                <w:sz w:val="21"/>
              </w:rPr>
            </w:pPr>
          </w:p>
        </w:tc>
        <w:tc>
          <w:tcPr>
            <w:tcW w:w="1438" w:type="dxa"/>
            <w:vAlign w:val="top"/>
          </w:tcPr>
          <w:p>
            <w:pPr>
              <w:spacing w:before="214" w:line="315" w:lineRule="auto"/>
              <w:ind w:left="188" w:right="180" w:firstLine="268"/>
              <w:rPr>
                <w:rFonts w:ascii="宋体" w:hAnsi="宋体" w:eastAsia="宋体" w:cs="宋体"/>
                <w:sz w:val="17"/>
                <w:szCs w:val="17"/>
              </w:rPr>
            </w:pPr>
            <w:r>
              <w:rPr>
                <w:rFonts w:ascii="宋体" w:hAnsi="宋体" w:eastAsia="宋体" w:cs="宋体"/>
                <w:spacing w:val="7"/>
                <w:sz w:val="17"/>
                <w:szCs w:val="17"/>
              </w:rPr>
              <w:t>营</w:t>
            </w:r>
            <w:r>
              <w:rPr>
                <w:rFonts w:ascii="宋体" w:hAnsi="宋体" w:eastAsia="宋体" w:cs="宋体"/>
                <w:spacing w:val="5"/>
                <w:sz w:val="17"/>
                <w:szCs w:val="17"/>
              </w:rPr>
              <w:t>运期</w:t>
            </w:r>
            <w:r>
              <w:rPr>
                <w:rFonts w:ascii="宋体" w:hAnsi="宋体" w:eastAsia="宋体" w:cs="宋体"/>
                <w:sz w:val="17"/>
                <w:szCs w:val="17"/>
              </w:rPr>
              <w:t xml:space="preserve">   </w:t>
            </w:r>
            <w:r>
              <w:rPr>
                <w:rFonts w:ascii="宋体" w:hAnsi="宋体" w:eastAsia="宋体" w:cs="宋体"/>
                <w:spacing w:val="9"/>
                <w:sz w:val="17"/>
                <w:szCs w:val="17"/>
              </w:rPr>
              <w:t>噪</w:t>
            </w:r>
            <w:r>
              <w:rPr>
                <w:rFonts w:ascii="宋体" w:hAnsi="宋体" w:eastAsia="宋体" w:cs="宋体"/>
                <w:spacing w:val="7"/>
                <w:sz w:val="17"/>
                <w:szCs w:val="17"/>
              </w:rPr>
              <w:t>声防治资金</w:t>
            </w:r>
          </w:p>
        </w:tc>
        <w:tc>
          <w:tcPr>
            <w:tcW w:w="5010" w:type="dxa"/>
            <w:vAlign w:val="top"/>
          </w:tcPr>
          <w:p>
            <w:pPr>
              <w:spacing w:before="73" w:line="279" w:lineRule="auto"/>
              <w:ind w:left="56" w:right="2"/>
              <w:rPr>
                <w:rFonts w:ascii="宋体" w:hAnsi="宋体" w:eastAsia="宋体" w:cs="宋体"/>
                <w:sz w:val="17"/>
                <w:szCs w:val="17"/>
              </w:rPr>
            </w:pPr>
            <w:r>
              <w:rPr>
                <w:rFonts w:ascii="宋体" w:hAnsi="宋体" w:eastAsia="宋体" w:cs="宋体"/>
                <w:spacing w:val="12"/>
                <w:sz w:val="17"/>
                <w:szCs w:val="17"/>
              </w:rPr>
              <w:t>采用</w:t>
            </w:r>
            <w:r>
              <w:rPr>
                <w:rFonts w:ascii="宋体" w:hAnsi="宋体" w:eastAsia="宋体" w:cs="宋体"/>
                <w:spacing w:val="11"/>
                <w:sz w:val="17"/>
                <w:szCs w:val="17"/>
              </w:rPr>
              <w:t>改</w:t>
            </w:r>
            <w:r>
              <w:rPr>
                <w:rFonts w:ascii="宋体" w:hAnsi="宋体" w:eastAsia="宋体" w:cs="宋体"/>
                <w:spacing w:val="6"/>
                <w:sz w:val="17"/>
                <w:szCs w:val="17"/>
              </w:rPr>
              <w:t>性沥青混凝土路面；桥梁两端设置限速、禁鸣等标识牌；</w:t>
            </w:r>
            <w:r>
              <w:rPr>
                <w:rFonts w:ascii="宋体" w:hAnsi="宋体" w:eastAsia="宋体" w:cs="宋体"/>
                <w:sz w:val="17"/>
                <w:szCs w:val="17"/>
              </w:rPr>
              <w:t xml:space="preserve"> </w:t>
            </w:r>
            <w:r>
              <w:rPr>
                <w:rFonts w:ascii="宋体" w:hAnsi="宋体" w:eastAsia="宋体" w:cs="宋体"/>
                <w:spacing w:val="22"/>
                <w:sz w:val="17"/>
                <w:szCs w:val="17"/>
              </w:rPr>
              <w:t>桥</w:t>
            </w:r>
            <w:r>
              <w:rPr>
                <w:rFonts w:ascii="宋体" w:hAnsi="宋体" w:eastAsia="宋体" w:cs="宋体"/>
                <w:spacing w:val="13"/>
                <w:sz w:val="17"/>
                <w:szCs w:val="17"/>
              </w:rPr>
              <w:t>梁</w:t>
            </w:r>
            <w:r>
              <w:rPr>
                <w:rFonts w:ascii="宋体" w:hAnsi="宋体" w:eastAsia="宋体" w:cs="宋体"/>
                <w:spacing w:val="11"/>
                <w:sz w:val="17"/>
                <w:szCs w:val="17"/>
              </w:rPr>
              <w:t>两侧设防撞墙、防抛网；两端种植绿化等植被；建立跟踪</w:t>
            </w:r>
            <w:r>
              <w:rPr>
                <w:rFonts w:ascii="宋体" w:hAnsi="宋体" w:eastAsia="宋体" w:cs="宋体"/>
                <w:sz w:val="17"/>
                <w:szCs w:val="17"/>
              </w:rPr>
              <w:t xml:space="preserve"> </w:t>
            </w:r>
            <w:r>
              <w:rPr>
                <w:rFonts w:ascii="宋体" w:hAnsi="宋体" w:eastAsia="宋体" w:cs="宋体"/>
                <w:spacing w:val="18"/>
                <w:sz w:val="17"/>
                <w:szCs w:val="17"/>
              </w:rPr>
              <w:t>监</w:t>
            </w:r>
            <w:r>
              <w:rPr>
                <w:rFonts w:ascii="宋体" w:hAnsi="宋体" w:eastAsia="宋体" w:cs="宋体"/>
                <w:spacing w:val="9"/>
                <w:sz w:val="17"/>
                <w:szCs w:val="17"/>
              </w:rPr>
              <w:t>测制度，根据监测结果制定防治方案</w:t>
            </w:r>
          </w:p>
        </w:tc>
        <w:tc>
          <w:tcPr>
            <w:tcW w:w="735" w:type="dxa"/>
            <w:vAlign w:val="top"/>
          </w:tcPr>
          <w:p>
            <w:pPr>
              <w:spacing w:line="334" w:lineRule="auto"/>
              <w:rPr>
                <w:rFonts w:ascii="Arial"/>
                <w:sz w:val="21"/>
              </w:rPr>
            </w:pPr>
          </w:p>
          <w:p>
            <w:pPr>
              <w:spacing w:before="49" w:line="197" w:lineRule="auto"/>
              <w:ind w:left="290"/>
              <w:rPr>
                <w:rFonts w:ascii="Times New Roman" w:hAnsi="Times New Roman" w:eastAsia="Times New Roman" w:cs="Times New Roman"/>
                <w:sz w:val="17"/>
                <w:szCs w:val="17"/>
              </w:rPr>
            </w:pPr>
            <w:r>
              <w:rPr>
                <w:rFonts w:ascii="Times New Roman" w:hAnsi="Times New Roman" w:eastAsia="Times New Roman" w:cs="Times New Roman"/>
                <w:sz w:val="17"/>
                <w:szCs w:val="17"/>
              </w:rPr>
              <w:t>50</w:t>
            </w:r>
          </w:p>
        </w:tc>
        <w:tc>
          <w:tcPr>
            <w:tcW w:w="1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24" w:type="dxa"/>
            <w:vMerge w:val="continue"/>
            <w:tcBorders>
              <w:top w:val="nil"/>
              <w:left w:val="single" w:color="000000" w:sz="6" w:space="0"/>
              <w:bottom w:val="nil"/>
            </w:tcBorders>
            <w:vAlign w:val="top"/>
          </w:tcPr>
          <w:p>
            <w:pPr>
              <w:rPr>
                <w:rFonts w:ascii="Arial"/>
                <w:sz w:val="21"/>
              </w:rPr>
            </w:pPr>
          </w:p>
        </w:tc>
        <w:tc>
          <w:tcPr>
            <w:tcW w:w="884" w:type="dxa"/>
            <w:vMerge w:val="restart"/>
            <w:tcBorders>
              <w:bottom w:val="nil"/>
            </w:tcBorders>
            <w:vAlign w:val="top"/>
          </w:tcPr>
          <w:p>
            <w:pPr>
              <w:spacing w:line="295" w:lineRule="auto"/>
              <w:rPr>
                <w:rFonts w:ascii="Arial"/>
                <w:sz w:val="21"/>
              </w:rPr>
            </w:pPr>
          </w:p>
          <w:p>
            <w:pPr>
              <w:spacing w:line="296" w:lineRule="auto"/>
              <w:rPr>
                <w:rFonts w:ascii="Arial"/>
                <w:sz w:val="21"/>
              </w:rPr>
            </w:pPr>
          </w:p>
          <w:p>
            <w:pPr>
              <w:spacing w:before="55" w:line="317" w:lineRule="auto"/>
              <w:ind w:left="239" w:right="105" w:firstLine="16"/>
              <w:rPr>
                <w:rFonts w:ascii="宋体" w:hAnsi="宋体" w:eastAsia="宋体" w:cs="宋体"/>
                <w:sz w:val="17"/>
                <w:szCs w:val="17"/>
              </w:rPr>
            </w:pPr>
            <w:r>
              <w:rPr>
                <w:rFonts w:ascii="宋体" w:hAnsi="宋体" w:eastAsia="宋体" w:cs="宋体"/>
                <w:spacing w:val="3"/>
                <w:sz w:val="17"/>
                <w:szCs w:val="17"/>
              </w:rPr>
              <w:t>固</w:t>
            </w:r>
            <w:r>
              <w:rPr>
                <w:rFonts w:ascii="宋体" w:hAnsi="宋体" w:eastAsia="宋体" w:cs="宋体"/>
                <w:spacing w:val="2"/>
                <w:sz w:val="17"/>
                <w:szCs w:val="17"/>
              </w:rPr>
              <w:t>废处</w:t>
            </w:r>
            <w:r>
              <w:rPr>
                <w:rFonts w:ascii="宋体" w:hAnsi="宋体" w:eastAsia="宋体" w:cs="宋体"/>
                <w:sz w:val="17"/>
                <w:szCs w:val="17"/>
              </w:rPr>
              <w:t xml:space="preserve"> </w:t>
            </w:r>
            <w:r>
              <w:rPr>
                <w:rFonts w:ascii="宋体" w:hAnsi="宋体" w:eastAsia="宋体" w:cs="宋体"/>
                <w:spacing w:val="8"/>
                <w:sz w:val="17"/>
                <w:szCs w:val="17"/>
              </w:rPr>
              <w:t>置措施</w:t>
            </w:r>
          </w:p>
        </w:tc>
        <w:tc>
          <w:tcPr>
            <w:tcW w:w="1438" w:type="dxa"/>
            <w:vAlign w:val="top"/>
          </w:tcPr>
          <w:p>
            <w:pPr>
              <w:spacing w:before="76" w:line="265" w:lineRule="auto"/>
              <w:ind w:left="540" w:right="180" w:hanging="360"/>
              <w:rPr>
                <w:rFonts w:ascii="宋体" w:hAnsi="宋体" w:eastAsia="宋体" w:cs="宋体"/>
                <w:sz w:val="17"/>
                <w:szCs w:val="17"/>
              </w:rPr>
            </w:pPr>
            <w:r>
              <w:rPr>
                <w:rFonts w:ascii="宋体" w:hAnsi="宋体" w:eastAsia="宋体" w:cs="宋体"/>
                <w:spacing w:val="12"/>
                <w:sz w:val="17"/>
                <w:szCs w:val="17"/>
              </w:rPr>
              <w:t>土</w:t>
            </w:r>
            <w:r>
              <w:rPr>
                <w:rFonts w:ascii="宋体" w:hAnsi="宋体" w:eastAsia="宋体" w:cs="宋体"/>
                <w:spacing w:val="8"/>
                <w:sz w:val="17"/>
                <w:szCs w:val="17"/>
              </w:rPr>
              <w:t>石方、建渣</w:t>
            </w:r>
            <w:r>
              <w:rPr>
                <w:rFonts w:ascii="宋体" w:hAnsi="宋体" w:eastAsia="宋体" w:cs="宋体"/>
                <w:sz w:val="17"/>
                <w:szCs w:val="17"/>
              </w:rPr>
              <w:t xml:space="preserve"> </w:t>
            </w:r>
            <w:r>
              <w:rPr>
                <w:rFonts w:ascii="宋体" w:hAnsi="宋体" w:eastAsia="宋体" w:cs="宋体"/>
                <w:spacing w:val="6"/>
                <w:sz w:val="17"/>
                <w:szCs w:val="17"/>
              </w:rPr>
              <w:t>转运</w:t>
            </w:r>
          </w:p>
        </w:tc>
        <w:tc>
          <w:tcPr>
            <w:tcW w:w="5010" w:type="dxa"/>
            <w:vAlign w:val="top"/>
          </w:tcPr>
          <w:p>
            <w:pPr>
              <w:spacing w:before="76" w:line="265" w:lineRule="auto"/>
              <w:ind w:left="61" w:hanging="2"/>
              <w:rPr>
                <w:rFonts w:ascii="宋体" w:hAnsi="宋体" w:eastAsia="宋体" w:cs="宋体"/>
                <w:sz w:val="17"/>
                <w:szCs w:val="17"/>
              </w:rPr>
            </w:pPr>
            <w:r>
              <w:rPr>
                <w:rFonts w:ascii="宋体" w:hAnsi="宋体" w:eastAsia="宋体" w:cs="宋体"/>
                <w:spacing w:val="12"/>
                <w:sz w:val="17"/>
                <w:szCs w:val="17"/>
              </w:rPr>
              <w:t>建筑</w:t>
            </w:r>
            <w:r>
              <w:rPr>
                <w:rFonts w:ascii="宋体" w:hAnsi="宋体" w:eastAsia="宋体" w:cs="宋体"/>
                <w:spacing w:val="10"/>
                <w:sz w:val="17"/>
                <w:szCs w:val="17"/>
              </w:rPr>
              <w:t>垃</w:t>
            </w:r>
            <w:r>
              <w:rPr>
                <w:rFonts w:ascii="宋体" w:hAnsi="宋体" w:eastAsia="宋体" w:cs="宋体"/>
                <w:spacing w:val="6"/>
                <w:sz w:val="17"/>
                <w:szCs w:val="17"/>
              </w:rPr>
              <w:t>圾、建渣的清运处理；表土及回填土石方设置临时堆场，</w:t>
            </w:r>
            <w:r>
              <w:rPr>
                <w:rFonts w:ascii="宋体" w:hAnsi="宋体" w:eastAsia="宋体" w:cs="宋体"/>
                <w:sz w:val="17"/>
                <w:szCs w:val="17"/>
              </w:rPr>
              <w:t xml:space="preserve"> </w:t>
            </w:r>
            <w:r>
              <w:rPr>
                <w:rFonts w:ascii="宋体" w:hAnsi="宋体" w:eastAsia="宋体" w:cs="宋体"/>
                <w:spacing w:val="9"/>
                <w:sz w:val="17"/>
                <w:szCs w:val="17"/>
              </w:rPr>
              <w:t>并采取覆盖措施，及时回填</w:t>
            </w:r>
          </w:p>
        </w:tc>
        <w:tc>
          <w:tcPr>
            <w:tcW w:w="735" w:type="dxa"/>
            <w:vAlign w:val="top"/>
          </w:tcPr>
          <w:p>
            <w:pPr>
              <w:spacing w:before="244" w:line="197" w:lineRule="auto"/>
              <w:ind w:left="28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0</w:t>
            </w:r>
          </w:p>
        </w:tc>
        <w:tc>
          <w:tcPr>
            <w:tcW w:w="1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24" w:type="dxa"/>
            <w:vMerge w:val="continue"/>
            <w:tcBorders>
              <w:top w:val="nil"/>
              <w:left w:val="single" w:color="000000" w:sz="6" w:space="0"/>
              <w:bottom w:val="nil"/>
            </w:tcBorders>
            <w:vAlign w:val="top"/>
          </w:tcPr>
          <w:p>
            <w:pPr>
              <w:rPr>
                <w:rFonts w:ascii="Arial"/>
                <w:sz w:val="21"/>
              </w:rPr>
            </w:pPr>
          </w:p>
        </w:tc>
        <w:tc>
          <w:tcPr>
            <w:tcW w:w="884" w:type="dxa"/>
            <w:vMerge w:val="continue"/>
            <w:tcBorders>
              <w:top w:val="nil"/>
              <w:bottom w:val="nil"/>
            </w:tcBorders>
            <w:vAlign w:val="top"/>
          </w:tcPr>
          <w:p>
            <w:pPr>
              <w:rPr>
                <w:rFonts w:ascii="Arial"/>
                <w:sz w:val="21"/>
              </w:rPr>
            </w:pPr>
          </w:p>
        </w:tc>
        <w:tc>
          <w:tcPr>
            <w:tcW w:w="1438" w:type="dxa"/>
            <w:vAlign w:val="top"/>
          </w:tcPr>
          <w:p>
            <w:pPr>
              <w:spacing w:before="75" w:line="266" w:lineRule="auto"/>
              <w:ind w:left="539" w:right="88" w:hanging="446"/>
              <w:rPr>
                <w:rFonts w:ascii="宋体" w:hAnsi="宋体" w:eastAsia="宋体" w:cs="宋体"/>
                <w:sz w:val="17"/>
                <w:szCs w:val="17"/>
              </w:rPr>
            </w:pPr>
            <w:r>
              <w:rPr>
                <w:rFonts w:ascii="宋体" w:hAnsi="宋体" w:eastAsia="宋体" w:cs="宋体"/>
                <w:spacing w:val="12"/>
                <w:sz w:val="17"/>
                <w:szCs w:val="17"/>
              </w:rPr>
              <w:t>建</w:t>
            </w:r>
            <w:r>
              <w:rPr>
                <w:rFonts w:ascii="宋体" w:hAnsi="宋体" w:eastAsia="宋体" w:cs="宋体"/>
                <w:spacing w:val="8"/>
                <w:sz w:val="17"/>
                <w:szCs w:val="17"/>
              </w:rPr>
              <w:t>筑垃圾、钻孔</w:t>
            </w:r>
            <w:r>
              <w:rPr>
                <w:rFonts w:ascii="宋体" w:hAnsi="宋体" w:eastAsia="宋体" w:cs="宋体"/>
                <w:sz w:val="17"/>
                <w:szCs w:val="17"/>
              </w:rPr>
              <w:t xml:space="preserve"> </w:t>
            </w:r>
            <w:r>
              <w:rPr>
                <w:rFonts w:ascii="宋体" w:hAnsi="宋体" w:eastAsia="宋体" w:cs="宋体"/>
                <w:spacing w:val="6"/>
                <w:sz w:val="17"/>
                <w:szCs w:val="17"/>
              </w:rPr>
              <w:t>岩屑</w:t>
            </w:r>
          </w:p>
        </w:tc>
        <w:tc>
          <w:tcPr>
            <w:tcW w:w="5010" w:type="dxa"/>
            <w:vAlign w:val="top"/>
          </w:tcPr>
          <w:p>
            <w:pPr>
              <w:spacing w:before="214" w:line="230" w:lineRule="auto"/>
              <w:ind w:left="59"/>
              <w:rPr>
                <w:rFonts w:ascii="宋体" w:hAnsi="宋体" w:eastAsia="宋体" w:cs="宋体"/>
                <w:sz w:val="17"/>
                <w:szCs w:val="17"/>
              </w:rPr>
            </w:pPr>
            <w:r>
              <w:rPr>
                <w:rFonts w:ascii="宋体" w:hAnsi="宋体" w:eastAsia="宋体" w:cs="宋体"/>
                <w:spacing w:val="18"/>
                <w:sz w:val="17"/>
                <w:szCs w:val="17"/>
              </w:rPr>
              <w:t>分</w:t>
            </w:r>
            <w:r>
              <w:rPr>
                <w:rFonts w:ascii="宋体" w:hAnsi="宋体" w:eastAsia="宋体" w:cs="宋体"/>
                <w:spacing w:val="13"/>
                <w:sz w:val="17"/>
                <w:szCs w:val="17"/>
              </w:rPr>
              <w:t>类</w:t>
            </w:r>
            <w:r>
              <w:rPr>
                <w:rFonts w:ascii="宋体" w:hAnsi="宋体" w:eastAsia="宋体" w:cs="宋体"/>
                <w:spacing w:val="9"/>
                <w:sz w:val="17"/>
                <w:szCs w:val="17"/>
              </w:rPr>
              <w:t>收集，及时外卖或外运至当地政府指定的弃土场</w:t>
            </w:r>
          </w:p>
        </w:tc>
        <w:tc>
          <w:tcPr>
            <w:tcW w:w="735" w:type="dxa"/>
            <w:vAlign w:val="top"/>
          </w:tcPr>
          <w:p>
            <w:pPr>
              <w:spacing w:before="75" w:line="266" w:lineRule="auto"/>
              <w:ind w:left="108" w:right="88"/>
              <w:rPr>
                <w:rFonts w:ascii="宋体" w:hAnsi="宋体" w:eastAsia="宋体" w:cs="宋体"/>
                <w:sz w:val="17"/>
                <w:szCs w:val="17"/>
              </w:rPr>
            </w:pPr>
            <w:r>
              <w:rPr>
                <w:rFonts w:ascii="宋体" w:hAnsi="宋体" w:eastAsia="宋体" w:cs="宋体"/>
                <w:spacing w:val="8"/>
                <w:sz w:val="17"/>
                <w:szCs w:val="17"/>
              </w:rPr>
              <w:t>计</w:t>
            </w:r>
            <w:r>
              <w:rPr>
                <w:rFonts w:ascii="宋体" w:hAnsi="宋体" w:eastAsia="宋体" w:cs="宋体"/>
                <w:spacing w:val="7"/>
                <w:sz w:val="17"/>
                <w:szCs w:val="17"/>
              </w:rPr>
              <w:t>入工</w:t>
            </w:r>
            <w:r>
              <w:rPr>
                <w:rFonts w:ascii="宋体" w:hAnsi="宋体" w:eastAsia="宋体" w:cs="宋体"/>
                <w:sz w:val="17"/>
                <w:szCs w:val="17"/>
              </w:rPr>
              <w:t xml:space="preserve"> </w:t>
            </w:r>
            <w:r>
              <w:rPr>
                <w:rFonts w:ascii="宋体" w:hAnsi="宋体" w:eastAsia="宋体" w:cs="宋体"/>
                <w:spacing w:val="8"/>
                <w:sz w:val="17"/>
                <w:szCs w:val="17"/>
              </w:rPr>
              <w:t>程费</w:t>
            </w:r>
            <w:r>
              <w:rPr>
                <w:rFonts w:ascii="宋体" w:hAnsi="宋体" w:eastAsia="宋体" w:cs="宋体"/>
                <w:spacing w:val="7"/>
                <w:sz w:val="17"/>
                <w:szCs w:val="17"/>
              </w:rPr>
              <w:t>用</w:t>
            </w:r>
          </w:p>
        </w:tc>
        <w:tc>
          <w:tcPr>
            <w:tcW w:w="1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724" w:type="dxa"/>
            <w:vMerge w:val="continue"/>
            <w:tcBorders>
              <w:top w:val="nil"/>
              <w:left w:val="single" w:color="000000" w:sz="6" w:space="0"/>
              <w:bottom w:val="nil"/>
            </w:tcBorders>
            <w:vAlign w:val="top"/>
          </w:tcPr>
          <w:p>
            <w:pPr>
              <w:rPr>
                <w:rFonts w:ascii="Arial"/>
                <w:sz w:val="21"/>
              </w:rPr>
            </w:pPr>
          </w:p>
        </w:tc>
        <w:tc>
          <w:tcPr>
            <w:tcW w:w="884" w:type="dxa"/>
            <w:vMerge w:val="continue"/>
            <w:tcBorders>
              <w:top w:val="nil"/>
              <w:bottom w:val="nil"/>
            </w:tcBorders>
            <w:vAlign w:val="top"/>
          </w:tcPr>
          <w:p>
            <w:pPr>
              <w:rPr>
                <w:rFonts w:ascii="Arial"/>
                <w:sz w:val="21"/>
              </w:rPr>
            </w:pPr>
          </w:p>
        </w:tc>
        <w:tc>
          <w:tcPr>
            <w:tcW w:w="1438" w:type="dxa"/>
            <w:vAlign w:val="top"/>
          </w:tcPr>
          <w:p>
            <w:pPr>
              <w:spacing w:before="75" w:line="227" w:lineRule="auto"/>
              <w:ind w:left="90"/>
              <w:rPr>
                <w:rFonts w:ascii="宋体" w:hAnsi="宋体" w:eastAsia="宋体" w:cs="宋体"/>
                <w:sz w:val="17"/>
                <w:szCs w:val="17"/>
              </w:rPr>
            </w:pPr>
            <w:r>
              <w:rPr>
                <w:rFonts w:ascii="宋体" w:hAnsi="宋体" w:eastAsia="宋体" w:cs="宋体"/>
                <w:spacing w:val="9"/>
                <w:sz w:val="17"/>
                <w:szCs w:val="17"/>
              </w:rPr>
              <w:t>施工期生活垃圾</w:t>
            </w:r>
          </w:p>
        </w:tc>
        <w:tc>
          <w:tcPr>
            <w:tcW w:w="5010" w:type="dxa"/>
            <w:vAlign w:val="top"/>
          </w:tcPr>
          <w:p>
            <w:pPr>
              <w:spacing w:before="75" w:line="227" w:lineRule="auto"/>
              <w:ind w:left="56"/>
              <w:rPr>
                <w:rFonts w:ascii="宋体" w:hAnsi="宋体" w:eastAsia="宋体" w:cs="宋体"/>
                <w:sz w:val="17"/>
                <w:szCs w:val="17"/>
              </w:rPr>
            </w:pPr>
            <w:r>
              <w:rPr>
                <w:rFonts w:ascii="宋体" w:hAnsi="宋体" w:eastAsia="宋体" w:cs="宋体"/>
                <w:spacing w:val="12"/>
                <w:sz w:val="17"/>
                <w:szCs w:val="17"/>
              </w:rPr>
              <w:t>委</w:t>
            </w:r>
            <w:r>
              <w:rPr>
                <w:rFonts w:ascii="宋体" w:hAnsi="宋体" w:eastAsia="宋体" w:cs="宋体"/>
                <w:spacing w:val="9"/>
                <w:sz w:val="17"/>
                <w:szCs w:val="17"/>
              </w:rPr>
              <w:t>托环卫部门每天清运</w:t>
            </w:r>
          </w:p>
        </w:tc>
        <w:tc>
          <w:tcPr>
            <w:tcW w:w="735" w:type="dxa"/>
            <w:vAlign w:val="top"/>
          </w:tcPr>
          <w:p>
            <w:pPr>
              <w:spacing w:before="104" w:line="197" w:lineRule="auto"/>
              <w:ind w:left="348"/>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1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724" w:type="dxa"/>
            <w:vMerge w:val="continue"/>
            <w:tcBorders>
              <w:top w:val="nil"/>
              <w:left w:val="single" w:color="000000" w:sz="6" w:space="0"/>
              <w:bottom w:val="nil"/>
            </w:tcBorders>
            <w:vAlign w:val="top"/>
          </w:tcPr>
          <w:p>
            <w:pPr>
              <w:rPr>
                <w:rFonts w:ascii="Arial"/>
                <w:sz w:val="21"/>
              </w:rPr>
            </w:pPr>
          </w:p>
        </w:tc>
        <w:tc>
          <w:tcPr>
            <w:tcW w:w="884" w:type="dxa"/>
            <w:vMerge w:val="continue"/>
            <w:tcBorders>
              <w:top w:val="nil"/>
            </w:tcBorders>
            <w:vAlign w:val="top"/>
          </w:tcPr>
          <w:p>
            <w:pPr>
              <w:rPr>
                <w:rFonts w:ascii="Arial"/>
                <w:sz w:val="21"/>
              </w:rPr>
            </w:pPr>
          </w:p>
        </w:tc>
        <w:tc>
          <w:tcPr>
            <w:tcW w:w="1438" w:type="dxa"/>
            <w:vAlign w:val="top"/>
          </w:tcPr>
          <w:p>
            <w:pPr>
              <w:spacing w:before="74" w:line="229" w:lineRule="auto"/>
              <w:ind w:left="96"/>
              <w:rPr>
                <w:rFonts w:ascii="宋体" w:hAnsi="宋体" w:eastAsia="宋体" w:cs="宋体"/>
                <w:sz w:val="17"/>
                <w:szCs w:val="17"/>
              </w:rPr>
            </w:pPr>
            <w:r>
              <w:rPr>
                <w:rFonts w:ascii="宋体" w:hAnsi="宋体" w:eastAsia="宋体" w:cs="宋体"/>
                <w:spacing w:val="9"/>
                <w:sz w:val="17"/>
                <w:szCs w:val="17"/>
              </w:rPr>
              <w:t>营</w:t>
            </w:r>
            <w:r>
              <w:rPr>
                <w:rFonts w:ascii="宋体" w:hAnsi="宋体" w:eastAsia="宋体" w:cs="宋体"/>
                <w:spacing w:val="8"/>
                <w:sz w:val="17"/>
                <w:szCs w:val="17"/>
              </w:rPr>
              <w:t>运期路面清扫</w:t>
            </w:r>
          </w:p>
        </w:tc>
        <w:tc>
          <w:tcPr>
            <w:tcW w:w="5010" w:type="dxa"/>
            <w:vAlign w:val="top"/>
          </w:tcPr>
          <w:p>
            <w:pPr>
              <w:spacing w:before="74" w:line="229" w:lineRule="auto"/>
              <w:ind w:left="56"/>
              <w:rPr>
                <w:rFonts w:ascii="宋体" w:hAnsi="宋体" w:eastAsia="宋体" w:cs="宋体"/>
                <w:sz w:val="17"/>
                <w:szCs w:val="17"/>
              </w:rPr>
            </w:pPr>
            <w:r>
              <w:rPr>
                <w:rFonts w:ascii="宋体" w:hAnsi="宋体" w:eastAsia="宋体" w:cs="宋体"/>
                <w:spacing w:val="14"/>
                <w:sz w:val="17"/>
                <w:szCs w:val="17"/>
              </w:rPr>
              <w:t>道</w:t>
            </w:r>
            <w:r>
              <w:rPr>
                <w:rFonts w:ascii="宋体" w:hAnsi="宋体" w:eastAsia="宋体" w:cs="宋体"/>
                <w:spacing w:val="9"/>
                <w:sz w:val="17"/>
                <w:szCs w:val="17"/>
              </w:rPr>
              <w:t>路清扫计入日常管理费用</w:t>
            </w:r>
          </w:p>
        </w:tc>
        <w:tc>
          <w:tcPr>
            <w:tcW w:w="735" w:type="dxa"/>
            <w:vAlign w:val="top"/>
          </w:tcPr>
          <w:p>
            <w:pPr>
              <w:spacing w:before="41" w:line="243" w:lineRule="exact"/>
              <w:ind w:left="346"/>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24" w:type="dxa"/>
            <w:vMerge w:val="continue"/>
            <w:tcBorders>
              <w:top w:val="nil"/>
              <w:left w:val="single" w:color="000000" w:sz="6" w:space="0"/>
              <w:bottom w:val="nil"/>
            </w:tcBorders>
            <w:vAlign w:val="top"/>
          </w:tcPr>
          <w:p>
            <w:pPr>
              <w:rPr>
                <w:rFonts w:ascii="Arial"/>
                <w:sz w:val="21"/>
              </w:rPr>
            </w:pPr>
          </w:p>
        </w:tc>
        <w:tc>
          <w:tcPr>
            <w:tcW w:w="884"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6" w:line="232" w:lineRule="auto"/>
              <w:ind w:left="332"/>
              <w:rPr>
                <w:rFonts w:ascii="宋体" w:hAnsi="宋体" w:eastAsia="宋体" w:cs="宋体"/>
                <w:sz w:val="17"/>
                <w:szCs w:val="17"/>
              </w:rPr>
            </w:pPr>
            <w:r>
              <w:rPr>
                <w:rFonts w:ascii="宋体" w:hAnsi="宋体" w:eastAsia="宋体" w:cs="宋体"/>
                <w:spacing w:val="6"/>
                <w:sz w:val="17"/>
                <w:szCs w:val="17"/>
              </w:rPr>
              <w:t>其它</w:t>
            </w:r>
          </w:p>
        </w:tc>
        <w:tc>
          <w:tcPr>
            <w:tcW w:w="1438" w:type="dxa"/>
            <w:vAlign w:val="top"/>
          </w:tcPr>
          <w:p>
            <w:pPr>
              <w:spacing w:before="75" w:line="266" w:lineRule="auto"/>
              <w:ind w:left="359" w:right="88" w:hanging="265"/>
              <w:rPr>
                <w:rFonts w:ascii="宋体" w:hAnsi="宋体" w:eastAsia="宋体" w:cs="宋体"/>
                <w:sz w:val="17"/>
                <w:szCs w:val="17"/>
              </w:rPr>
            </w:pPr>
            <w:r>
              <w:rPr>
                <w:rFonts w:ascii="宋体" w:hAnsi="宋体" w:eastAsia="宋体" w:cs="宋体"/>
                <w:spacing w:val="11"/>
                <w:sz w:val="17"/>
                <w:szCs w:val="17"/>
              </w:rPr>
              <w:t>交</w:t>
            </w:r>
            <w:r>
              <w:rPr>
                <w:rFonts w:ascii="宋体" w:hAnsi="宋体" w:eastAsia="宋体" w:cs="宋体"/>
                <w:spacing w:val="8"/>
                <w:sz w:val="17"/>
                <w:szCs w:val="17"/>
              </w:rPr>
              <w:t>通标志、环境</w:t>
            </w:r>
            <w:r>
              <w:rPr>
                <w:rFonts w:ascii="宋体" w:hAnsi="宋体" w:eastAsia="宋体" w:cs="宋体"/>
                <w:sz w:val="17"/>
                <w:szCs w:val="17"/>
              </w:rPr>
              <w:t xml:space="preserve"> </w:t>
            </w:r>
            <w:r>
              <w:rPr>
                <w:rFonts w:ascii="宋体" w:hAnsi="宋体" w:eastAsia="宋体" w:cs="宋体"/>
                <w:spacing w:val="8"/>
                <w:sz w:val="17"/>
                <w:szCs w:val="17"/>
              </w:rPr>
              <w:t>风险防范</w:t>
            </w:r>
          </w:p>
        </w:tc>
        <w:tc>
          <w:tcPr>
            <w:tcW w:w="5010" w:type="dxa"/>
            <w:vAlign w:val="top"/>
          </w:tcPr>
          <w:p>
            <w:pPr>
              <w:spacing w:before="216" w:line="230" w:lineRule="auto"/>
              <w:ind w:left="57"/>
              <w:rPr>
                <w:rFonts w:ascii="宋体" w:hAnsi="宋体" w:eastAsia="宋体" w:cs="宋体"/>
                <w:sz w:val="17"/>
                <w:szCs w:val="17"/>
              </w:rPr>
            </w:pPr>
            <w:r>
              <w:rPr>
                <w:rFonts w:ascii="宋体" w:hAnsi="宋体" w:eastAsia="宋体" w:cs="宋体"/>
                <w:spacing w:val="18"/>
                <w:sz w:val="17"/>
                <w:szCs w:val="17"/>
              </w:rPr>
              <w:t>禁鸣</w:t>
            </w:r>
            <w:r>
              <w:rPr>
                <w:rFonts w:ascii="宋体" w:hAnsi="宋体" w:eastAsia="宋体" w:cs="宋体"/>
                <w:spacing w:val="9"/>
                <w:sz w:val="17"/>
                <w:szCs w:val="17"/>
              </w:rPr>
              <w:t>、限速和其它相应提示标志、设立环境风险标识标牌等</w:t>
            </w:r>
          </w:p>
        </w:tc>
        <w:tc>
          <w:tcPr>
            <w:tcW w:w="735" w:type="dxa"/>
            <w:vAlign w:val="top"/>
          </w:tcPr>
          <w:p>
            <w:pPr>
              <w:spacing w:before="247" w:line="194" w:lineRule="auto"/>
              <w:ind w:left="336"/>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1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24" w:type="dxa"/>
            <w:vMerge w:val="continue"/>
            <w:tcBorders>
              <w:top w:val="nil"/>
              <w:left w:val="single" w:color="000000" w:sz="6" w:space="0"/>
              <w:bottom w:val="nil"/>
            </w:tcBorders>
            <w:vAlign w:val="top"/>
          </w:tcPr>
          <w:p>
            <w:pPr>
              <w:rPr>
                <w:rFonts w:ascii="Arial"/>
                <w:sz w:val="21"/>
              </w:rPr>
            </w:pPr>
          </w:p>
        </w:tc>
        <w:tc>
          <w:tcPr>
            <w:tcW w:w="884" w:type="dxa"/>
            <w:vMerge w:val="continue"/>
            <w:tcBorders>
              <w:top w:val="nil"/>
              <w:bottom w:val="nil"/>
            </w:tcBorders>
            <w:vAlign w:val="top"/>
          </w:tcPr>
          <w:p>
            <w:pPr>
              <w:rPr>
                <w:rFonts w:ascii="Arial"/>
                <w:sz w:val="21"/>
              </w:rPr>
            </w:pPr>
          </w:p>
        </w:tc>
        <w:tc>
          <w:tcPr>
            <w:tcW w:w="1438" w:type="dxa"/>
            <w:vAlign w:val="top"/>
          </w:tcPr>
          <w:p>
            <w:pPr>
              <w:spacing w:before="215" w:line="230" w:lineRule="auto"/>
              <w:ind w:left="189"/>
              <w:rPr>
                <w:rFonts w:ascii="宋体" w:hAnsi="宋体" w:eastAsia="宋体" w:cs="宋体"/>
                <w:sz w:val="17"/>
                <w:szCs w:val="17"/>
              </w:rPr>
            </w:pPr>
            <w:r>
              <w:rPr>
                <w:rFonts w:ascii="宋体" w:hAnsi="宋体" w:eastAsia="宋体" w:cs="宋体"/>
                <w:spacing w:val="8"/>
                <w:sz w:val="17"/>
                <w:szCs w:val="17"/>
              </w:rPr>
              <w:t>临</w:t>
            </w:r>
            <w:r>
              <w:rPr>
                <w:rFonts w:ascii="宋体" w:hAnsi="宋体" w:eastAsia="宋体" w:cs="宋体"/>
                <w:spacing w:val="7"/>
                <w:sz w:val="17"/>
                <w:szCs w:val="17"/>
              </w:rPr>
              <w:t>时占地恢复</w:t>
            </w:r>
          </w:p>
        </w:tc>
        <w:tc>
          <w:tcPr>
            <w:tcW w:w="5010" w:type="dxa"/>
            <w:vAlign w:val="top"/>
          </w:tcPr>
          <w:p>
            <w:pPr>
              <w:spacing w:before="75" w:line="266" w:lineRule="auto"/>
              <w:ind w:left="59" w:right="46" w:hanging="3"/>
              <w:rPr>
                <w:rFonts w:ascii="Times New Roman" w:hAnsi="Times New Roman" w:eastAsia="Times New Roman" w:cs="Times New Roman"/>
                <w:sz w:val="17"/>
                <w:szCs w:val="17"/>
              </w:rPr>
            </w:pPr>
            <w:r>
              <w:rPr>
                <w:rFonts w:ascii="宋体" w:hAnsi="宋体" w:eastAsia="宋体" w:cs="宋体"/>
                <w:spacing w:val="20"/>
                <w:sz w:val="17"/>
                <w:szCs w:val="17"/>
              </w:rPr>
              <w:t>施工</w:t>
            </w:r>
            <w:r>
              <w:rPr>
                <w:rFonts w:ascii="宋体" w:hAnsi="宋体" w:eastAsia="宋体" w:cs="宋体"/>
                <w:spacing w:val="11"/>
                <w:sz w:val="17"/>
                <w:szCs w:val="17"/>
              </w:rPr>
              <w:t>结</w:t>
            </w:r>
            <w:r>
              <w:rPr>
                <w:rFonts w:ascii="宋体" w:hAnsi="宋体" w:eastAsia="宋体" w:cs="宋体"/>
                <w:spacing w:val="10"/>
                <w:sz w:val="17"/>
                <w:szCs w:val="17"/>
              </w:rPr>
              <w:t>束后，对临时占地 (施工场地、临时堆场、边坡等) 进</w:t>
            </w:r>
            <w:r>
              <w:rPr>
                <w:rFonts w:ascii="宋体" w:hAnsi="宋体" w:eastAsia="宋体" w:cs="宋体"/>
                <w:sz w:val="17"/>
                <w:szCs w:val="17"/>
              </w:rPr>
              <w:t xml:space="preserve"> </w:t>
            </w:r>
            <w:r>
              <w:rPr>
                <w:rFonts w:ascii="宋体" w:hAnsi="宋体" w:eastAsia="宋体" w:cs="宋体"/>
                <w:spacing w:val="11"/>
                <w:sz w:val="17"/>
                <w:szCs w:val="17"/>
              </w:rPr>
              <w:t>行恢复，做到</w:t>
            </w:r>
            <w:r>
              <w:rPr>
                <w:rFonts w:ascii="Times New Roman" w:hAnsi="Times New Roman" w:eastAsia="Times New Roman" w:cs="Times New Roman"/>
                <w:spacing w:val="11"/>
                <w:sz w:val="17"/>
                <w:szCs w:val="17"/>
              </w:rPr>
              <w:t>“</w:t>
            </w:r>
            <w:r>
              <w:rPr>
                <w:rFonts w:ascii="宋体" w:hAnsi="宋体" w:eastAsia="宋体" w:cs="宋体"/>
                <w:spacing w:val="11"/>
                <w:sz w:val="17"/>
                <w:szCs w:val="17"/>
              </w:rPr>
              <w:t>工完、料尽、场地清</w:t>
            </w:r>
            <w:r>
              <w:rPr>
                <w:rFonts w:ascii="Times New Roman" w:hAnsi="Times New Roman" w:eastAsia="Times New Roman" w:cs="Times New Roman"/>
                <w:spacing w:val="9"/>
                <w:sz w:val="17"/>
                <w:szCs w:val="17"/>
              </w:rPr>
              <w:t>”</w:t>
            </w:r>
          </w:p>
        </w:tc>
        <w:tc>
          <w:tcPr>
            <w:tcW w:w="735" w:type="dxa"/>
            <w:vAlign w:val="top"/>
          </w:tcPr>
          <w:p>
            <w:pPr>
              <w:spacing w:before="246" w:line="197" w:lineRule="auto"/>
              <w:ind w:left="290"/>
              <w:rPr>
                <w:rFonts w:ascii="Times New Roman" w:hAnsi="Times New Roman" w:eastAsia="Times New Roman" w:cs="Times New Roman"/>
                <w:sz w:val="17"/>
                <w:szCs w:val="17"/>
              </w:rPr>
            </w:pPr>
            <w:r>
              <w:rPr>
                <w:rFonts w:ascii="Times New Roman" w:hAnsi="Times New Roman" w:eastAsia="Times New Roman" w:cs="Times New Roman"/>
                <w:sz w:val="17"/>
                <w:szCs w:val="17"/>
              </w:rPr>
              <w:t>50</w:t>
            </w:r>
          </w:p>
        </w:tc>
        <w:tc>
          <w:tcPr>
            <w:tcW w:w="1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24" w:type="dxa"/>
            <w:vMerge w:val="continue"/>
            <w:tcBorders>
              <w:top w:val="nil"/>
              <w:left w:val="single" w:color="000000" w:sz="6" w:space="0"/>
              <w:bottom w:val="nil"/>
            </w:tcBorders>
            <w:vAlign w:val="top"/>
          </w:tcPr>
          <w:p>
            <w:pPr>
              <w:rPr>
                <w:rFonts w:ascii="Arial"/>
                <w:sz w:val="21"/>
              </w:rPr>
            </w:pPr>
          </w:p>
        </w:tc>
        <w:tc>
          <w:tcPr>
            <w:tcW w:w="884" w:type="dxa"/>
            <w:vMerge w:val="continue"/>
            <w:tcBorders>
              <w:top w:val="nil"/>
              <w:bottom w:val="nil"/>
            </w:tcBorders>
            <w:vAlign w:val="top"/>
          </w:tcPr>
          <w:p>
            <w:pPr>
              <w:rPr>
                <w:rFonts w:ascii="Arial"/>
                <w:sz w:val="21"/>
              </w:rPr>
            </w:pPr>
          </w:p>
        </w:tc>
        <w:tc>
          <w:tcPr>
            <w:tcW w:w="1438" w:type="dxa"/>
            <w:vAlign w:val="top"/>
          </w:tcPr>
          <w:p>
            <w:pPr>
              <w:spacing w:before="74" w:line="281" w:lineRule="exact"/>
              <w:ind w:left="360"/>
              <w:rPr>
                <w:rFonts w:ascii="宋体" w:hAnsi="宋体" w:eastAsia="宋体" w:cs="宋体"/>
                <w:sz w:val="17"/>
                <w:szCs w:val="17"/>
              </w:rPr>
            </w:pPr>
            <w:r>
              <w:rPr>
                <w:rFonts w:ascii="宋体" w:hAnsi="宋体" w:eastAsia="宋体" w:cs="宋体"/>
                <w:spacing w:val="8"/>
                <w:position w:val="7"/>
                <w:sz w:val="17"/>
                <w:szCs w:val="17"/>
              </w:rPr>
              <w:t>环境管理</w:t>
            </w:r>
          </w:p>
          <w:p>
            <w:pPr>
              <w:spacing w:line="227" w:lineRule="auto"/>
              <w:ind w:left="360"/>
              <w:rPr>
                <w:rFonts w:ascii="宋体" w:hAnsi="宋体" w:eastAsia="宋体" w:cs="宋体"/>
                <w:sz w:val="17"/>
                <w:szCs w:val="17"/>
              </w:rPr>
            </w:pPr>
            <w:r>
              <w:rPr>
                <w:rFonts w:ascii="宋体" w:hAnsi="宋体" w:eastAsia="宋体" w:cs="宋体"/>
                <w:spacing w:val="8"/>
                <w:sz w:val="17"/>
                <w:szCs w:val="17"/>
              </w:rPr>
              <w:t>环境监测</w:t>
            </w:r>
          </w:p>
        </w:tc>
        <w:tc>
          <w:tcPr>
            <w:tcW w:w="5010" w:type="dxa"/>
            <w:vAlign w:val="top"/>
          </w:tcPr>
          <w:p>
            <w:pPr>
              <w:spacing w:before="75" w:line="266" w:lineRule="auto"/>
              <w:ind w:left="55" w:right="46"/>
              <w:rPr>
                <w:rFonts w:ascii="宋体" w:hAnsi="宋体" w:eastAsia="宋体" w:cs="宋体"/>
                <w:sz w:val="17"/>
                <w:szCs w:val="17"/>
              </w:rPr>
            </w:pPr>
            <w:r>
              <w:rPr>
                <w:rFonts w:ascii="宋体" w:hAnsi="宋体" w:eastAsia="宋体" w:cs="宋体"/>
                <w:spacing w:val="22"/>
                <w:sz w:val="17"/>
                <w:szCs w:val="17"/>
              </w:rPr>
              <w:t>施</w:t>
            </w:r>
            <w:r>
              <w:rPr>
                <w:rFonts w:ascii="宋体" w:hAnsi="宋体" w:eastAsia="宋体" w:cs="宋体"/>
                <w:spacing w:val="14"/>
                <w:sz w:val="17"/>
                <w:szCs w:val="17"/>
              </w:rPr>
              <w:t>工</w:t>
            </w:r>
            <w:r>
              <w:rPr>
                <w:rFonts w:ascii="宋体" w:hAnsi="宋体" w:eastAsia="宋体" w:cs="宋体"/>
                <w:spacing w:val="11"/>
                <w:sz w:val="17"/>
                <w:szCs w:val="17"/>
              </w:rPr>
              <w:t>期对施工场地安装扬尘噪声实时监测仪；营运期建立噪声</w:t>
            </w:r>
            <w:r>
              <w:rPr>
                <w:rFonts w:ascii="宋体" w:hAnsi="宋体" w:eastAsia="宋体" w:cs="宋体"/>
                <w:sz w:val="17"/>
                <w:szCs w:val="17"/>
              </w:rPr>
              <w:t xml:space="preserve"> </w:t>
            </w:r>
            <w:r>
              <w:rPr>
                <w:rFonts w:ascii="宋体" w:hAnsi="宋体" w:eastAsia="宋体" w:cs="宋体"/>
                <w:spacing w:val="9"/>
                <w:sz w:val="17"/>
                <w:szCs w:val="17"/>
              </w:rPr>
              <w:t>跟踪监测制度</w:t>
            </w:r>
          </w:p>
        </w:tc>
        <w:tc>
          <w:tcPr>
            <w:tcW w:w="735" w:type="dxa"/>
            <w:vAlign w:val="top"/>
          </w:tcPr>
          <w:p>
            <w:pPr>
              <w:spacing w:before="247" w:line="194" w:lineRule="auto"/>
              <w:ind w:left="336"/>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1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24" w:type="dxa"/>
            <w:vMerge w:val="continue"/>
            <w:tcBorders>
              <w:top w:val="nil"/>
              <w:left w:val="single" w:color="000000" w:sz="6" w:space="0"/>
              <w:bottom w:val="nil"/>
            </w:tcBorders>
            <w:vAlign w:val="top"/>
          </w:tcPr>
          <w:p>
            <w:pPr>
              <w:rPr>
                <w:rFonts w:ascii="Arial"/>
                <w:sz w:val="21"/>
              </w:rPr>
            </w:pPr>
          </w:p>
        </w:tc>
        <w:tc>
          <w:tcPr>
            <w:tcW w:w="884" w:type="dxa"/>
            <w:vMerge w:val="continue"/>
            <w:tcBorders>
              <w:top w:val="nil"/>
            </w:tcBorders>
            <w:vAlign w:val="top"/>
          </w:tcPr>
          <w:p>
            <w:pPr>
              <w:rPr>
                <w:rFonts w:ascii="Arial"/>
                <w:sz w:val="21"/>
              </w:rPr>
            </w:pPr>
          </w:p>
        </w:tc>
        <w:tc>
          <w:tcPr>
            <w:tcW w:w="1438" w:type="dxa"/>
            <w:vAlign w:val="top"/>
          </w:tcPr>
          <w:p>
            <w:pPr>
              <w:spacing w:before="75" w:line="266" w:lineRule="auto"/>
              <w:ind w:left="92" w:right="88" w:hanging="2"/>
              <w:rPr>
                <w:rFonts w:ascii="宋体" w:hAnsi="宋体" w:eastAsia="宋体" w:cs="宋体"/>
                <w:sz w:val="17"/>
                <w:szCs w:val="17"/>
              </w:rPr>
            </w:pPr>
            <w:r>
              <w:rPr>
                <w:rFonts w:ascii="宋体" w:hAnsi="宋体" w:eastAsia="宋体" w:cs="宋体"/>
                <w:spacing w:val="9"/>
                <w:sz w:val="17"/>
                <w:szCs w:val="17"/>
              </w:rPr>
              <w:t>边坡防护、生态</w:t>
            </w:r>
            <w:r>
              <w:rPr>
                <w:rFonts w:ascii="宋体" w:hAnsi="宋体" w:eastAsia="宋体" w:cs="宋体"/>
                <w:sz w:val="17"/>
                <w:szCs w:val="17"/>
              </w:rPr>
              <w:t xml:space="preserve"> </w:t>
            </w:r>
            <w:r>
              <w:rPr>
                <w:rFonts w:ascii="宋体" w:hAnsi="宋体" w:eastAsia="宋体" w:cs="宋体"/>
                <w:spacing w:val="13"/>
                <w:sz w:val="17"/>
                <w:szCs w:val="17"/>
              </w:rPr>
              <w:t>恢</w:t>
            </w:r>
            <w:r>
              <w:rPr>
                <w:rFonts w:ascii="宋体" w:hAnsi="宋体" w:eastAsia="宋体" w:cs="宋体"/>
                <w:spacing w:val="8"/>
                <w:sz w:val="17"/>
                <w:szCs w:val="17"/>
              </w:rPr>
              <w:t>复与水土保持</w:t>
            </w:r>
          </w:p>
        </w:tc>
        <w:tc>
          <w:tcPr>
            <w:tcW w:w="5010" w:type="dxa"/>
            <w:vAlign w:val="top"/>
          </w:tcPr>
          <w:p>
            <w:pPr>
              <w:spacing w:before="75" w:line="266" w:lineRule="auto"/>
              <w:ind w:left="58" w:right="46" w:hanging="2"/>
              <w:rPr>
                <w:rFonts w:ascii="宋体" w:hAnsi="宋体" w:eastAsia="宋体" w:cs="宋体"/>
                <w:sz w:val="17"/>
                <w:szCs w:val="17"/>
              </w:rPr>
            </w:pPr>
            <w:r>
              <w:rPr>
                <w:rFonts w:ascii="宋体" w:hAnsi="宋体" w:eastAsia="宋体" w:cs="宋体"/>
                <w:spacing w:val="22"/>
                <w:sz w:val="17"/>
                <w:szCs w:val="17"/>
              </w:rPr>
              <w:t>施</w:t>
            </w:r>
            <w:r>
              <w:rPr>
                <w:rFonts w:ascii="宋体" w:hAnsi="宋体" w:eastAsia="宋体" w:cs="宋体"/>
                <w:spacing w:val="14"/>
                <w:sz w:val="17"/>
                <w:szCs w:val="17"/>
              </w:rPr>
              <w:t>工</w:t>
            </w:r>
            <w:r>
              <w:rPr>
                <w:rFonts w:ascii="宋体" w:hAnsi="宋体" w:eastAsia="宋体" w:cs="宋体"/>
                <w:spacing w:val="11"/>
                <w:sz w:val="17"/>
                <w:szCs w:val="17"/>
              </w:rPr>
              <w:t>期边坡防护措施；生态恢复，种植城市绿化；施工期临时</w:t>
            </w:r>
            <w:r>
              <w:rPr>
                <w:rFonts w:ascii="宋体" w:hAnsi="宋体" w:eastAsia="宋体" w:cs="宋体"/>
                <w:sz w:val="17"/>
                <w:szCs w:val="17"/>
              </w:rPr>
              <w:t xml:space="preserve"> </w:t>
            </w:r>
            <w:r>
              <w:rPr>
                <w:rFonts w:ascii="宋体" w:hAnsi="宋体" w:eastAsia="宋体" w:cs="宋体"/>
                <w:spacing w:val="9"/>
                <w:sz w:val="17"/>
                <w:szCs w:val="17"/>
              </w:rPr>
              <w:t>水</w:t>
            </w:r>
            <w:r>
              <w:rPr>
                <w:rFonts w:ascii="宋体" w:hAnsi="宋体" w:eastAsia="宋体" w:cs="宋体"/>
                <w:spacing w:val="7"/>
                <w:sz w:val="17"/>
                <w:szCs w:val="17"/>
              </w:rPr>
              <w:t>保措施</w:t>
            </w:r>
          </w:p>
        </w:tc>
        <w:tc>
          <w:tcPr>
            <w:tcW w:w="735" w:type="dxa"/>
            <w:vAlign w:val="top"/>
          </w:tcPr>
          <w:p>
            <w:pPr>
              <w:spacing w:before="246" w:line="197" w:lineRule="auto"/>
              <w:ind w:left="25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00</w:t>
            </w:r>
          </w:p>
        </w:tc>
        <w:tc>
          <w:tcPr>
            <w:tcW w:w="1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724" w:type="dxa"/>
            <w:vMerge w:val="continue"/>
            <w:tcBorders>
              <w:top w:val="nil"/>
              <w:left w:val="single" w:color="000000" w:sz="6" w:space="0"/>
              <w:bottom w:val="nil"/>
            </w:tcBorders>
            <w:vAlign w:val="top"/>
          </w:tcPr>
          <w:p>
            <w:pPr>
              <w:rPr>
                <w:rFonts w:ascii="Arial"/>
                <w:sz w:val="21"/>
              </w:rPr>
            </w:pPr>
          </w:p>
        </w:tc>
        <w:tc>
          <w:tcPr>
            <w:tcW w:w="2322" w:type="dxa"/>
            <w:gridSpan w:val="2"/>
            <w:vAlign w:val="top"/>
          </w:tcPr>
          <w:p>
            <w:pPr>
              <w:spacing w:before="75" w:line="228" w:lineRule="auto"/>
              <w:ind w:left="1052"/>
              <w:rPr>
                <w:rFonts w:ascii="宋体" w:hAnsi="宋体" w:eastAsia="宋体" w:cs="宋体"/>
                <w:sz w:val="17"/>
                <w:szCs w:val="17"/>
              </w:rPr>
            </w:pPr>
            <w:r>
              <w:rPr>
                <w:rFonts w:ascii="宋体" w:hAnsi="宋体" w:eastAsia="宋体" w:cs="宋体"/>
                <w:spacing w:val="6"/>
                <w:sz w:val="17"/>
                <w:szCs w:val="17"/>
              </w:rPr>
              <w:t>合计</w:t>
            </w:r>
          </w:p>
        </w:tc>
        <w:tc>
          <w:tcPr>
            <w:tcW w:w="5010" w:type="dxa"/>
            <w:vAlign w:val="top"/>
          </w:tcPr>
          <w:p>
            <w:pPr>
              <w:spacing w:before="42" w:line="242" w:lineRule="exact"/>
              <w:ind w:left="1836"/>
              <w:rPr>
                <w:rFonts w:ascii="Times New Roman" w:hAnsi="Times New Roman" w:eastAsia="Times New Roman" w:cs="Times New Roman"/>
                <w:sz w:val="17"/>
                <w:szCs w:val="17"/>
              </w:rPr>
            </w:pPr>
            <w:r>
              <w:rPr>
                <w:rFonts w:ascii="宋体" w:hAnsi="宋体" w:eastAsia="宋体" w:cs="宋体"/>
                <w:spacing w:val="-1"/>
                <w:position w:val="1"/>
                <w:sz w:val="17"/>
                <w:szCs w:val="17"/>
              </w:rPr>
              <w:t>占</w:t>
            </w:r>
            <w:r>
              <w:rPr>
                <w:rFonts w:ascii="宋体" w:hAnsi="宋体" w:eastAsia="宋体" w:cs="宋体"/>
                <w:position w:val="1"/>
                <w:sz w:val="17"/>
                <w:szCs w:val="17"/>
              </w:rPr>
              <w:t xml:space="preserve">总投资的 </w:t>
            </w:r>
            <w:r>
              <w:rPr>
                <w:rFonts w:ascii="Times New Roman" w:hAnsi="Times New Roman" w:eastAsia="Times New Roman" w:cs="Times New Roman"/>
                <w:position w:val="1"/>
                <w:sz w:val="17"/>
                <w:szCs w:val="17"/>
              </w:rPr>
              <w:t>1.64%</w:t>
            </w:r>
          </w:p>
        </w:tc>
        <w:tc>
          <w:tcPr>
            <w:tcW w:w="735" w:type="dxa"/>
            <w:vAlign w:val="top"/>
          </w:tcPr>
          <w:p>
            <w:pPr>
              <w:spacing w:before="105" w:line="197" w:lineRule="auto"/>
              <w:ind w:left="24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78</w:t>
            </w:r>
          </w:p>
        </w:tc>
        <w:tc>
          <w:tcPr>
            <w:tcW w:w="14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24" w:type="dxa"/>
            <w:vMerge w:val="continue"/>
            <w:tcBorders>
              <w:top w:val="nil"/>
              <w:left w:val="single" w:color="000000" w:sz="6" w:space="0"/>
            </w:tcBorders>
            <w:vAlign w:val="top"/>
          </w:tcPr>
          <w:p>
            <w:pPr>
              <w:rPr>
                <w:rFonts w:ascii="Arial"/>
                <w:sz w:val="21"/>
              </w:rPr>
            </w:pPr>
          </w:p>
        </w:tc>
        <w:tc>
          <w:tcPr>
            <w:tcW w:w="8216" w:type="dxa"/>
            <w:gridSpan w:val="5"/>
            <w:tcBorders>
              <w:right w:val="single" w:color="000000" w:sz="6" w:space="0"/>
            </w:tcBorders>
            <w:vAlign w:val="top"/>
          </w:tcPr>
          <w:p>
            <w:pPr>
              <w:rPr>
                <w:rFonts w:ascii="Arial"/>
                <w:sz w:val="21"/>
              </w:rPr>
            </w:pPr>
          </w:p>
        </w:tc>
      </w:tr>
    </w:tbl>
    <w:p>
      <w:pPr>
        <w:spacing w:line="166" w:lineRule="exact"/>
        <w:rPr>
          <w:rFonts w:ascii="Arial"/>
          <w:sz w:val="14"/>
        </w:rPr>
      </w:pPr>
    </w:p>
    <w:p>
      <w:pPr>
        <w:sectPr>
          <w:footerReference r:id="rId100" w:type="default"/>
          <w:pgSz w:w="11907" w:h="16840"/>
          <w:pgMar w:top="400" w:right="1476" w:bottom="1477" w:left="1475" w:header="0" w:footer="1317" w:gutter="0"/>
          <w:cols w:space="720" w:num="1"/>
        </w:sect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94" w:line="234" w:lineRule="auto"/>
        <w:ind w:left="4729"/>
        <w:outlineLvl w:val="0"/>
        <w:rPr>
          <w:rFonts w:ascii="黑体" w:hAnsi="黑体" w:eastAsia="黑体" w:cs="黑体"/>
          <w:sz w:val="29"/>
          <w:szCs w:val="29"/>
        </w:rPr>
      </w:pPr>
      <w:r>
        <w:rPr>
          <w:rFonts w:ascii="黑体" w:hAnsi="黑体" w:eastAsia="黑体" w:cs="黑体"/>
          <w:spacing w:val="16"/>
          <w:sz w:val="29"/>
          <w:szCs w:val="29"/>
        </w:rPr>
        <w:t>六</w:t>
      </w:r>
      <w:r>
        <w:rPr>
          <w:rFonts w:ascii="黑体" w:hAnsi="黑体" w:eastAsia="黑体" w:cs="黑体"/>
          <w:spacing w:val="11"/>
          <w:sz w:val="29"/>
          <w:szCs w:val="29"/>
        </w:rPr>
        <w:t>、</w:t>
      </w:r>
      <w:r>
        <w:rPr>
          <w:rFonts w:ascii="黑体" w:hAnsi="黑体" w:eastAsia="黑体" w:cs="黑体"/>
          <w:spacing w:val="8"/>
          <w:sz w:val="29"/>
          <w:szCs w:val="29"/>
        </w:rPr>
        <w:t>生态环境保护措施监督检查清单</w:t>
      </w:r>
    </w:p>
    <w:p/>
    <w:p>
      <w:pPr>
        <w:spacing w:line="15" w:lineRule="exact"/>
      </w:pPr>
    </w:p>
    <w:tbl>
      <w:tblPr>
        <w:tblStyle w:val="4"/>
        <w:tblW w:w="1420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5"/>
        <w:gridCol w:w="6575"/>
        <w:gridCol w:w="1246"/>
        <w:gridCol w:w="3800"/>
        <w:gridCol w:w="16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885" w:type="dxa"/>
            <w:vMerge w:val="restart"/>
            <w:tcBorders>
              <w:left w:val="single" w:color="000000" w:sz="6" w:space="0"/>
              <w:bottom w:val="nil"/>
              <w:tl2br w:val="single" w:color="000000" w:sz="4" w:space="0"/>
            </w:tcBorders>
            <w:vAlign w:val="top"/>
          </w:tcPr>
          <w:p>
            <w:pPr>
              <w:spacing w:before="68" w:line="521" w:lineRule="exact"/>
              <w:ind w:left="417"/>
              <w:rPr>
                <w:rFonts w:ascii="宋体" w:hAnsi="宋体" w:eastAsia="宋体" w:cs="宋体"/>
                <w:sz w:val="17"/>
                <w:szCs w:val="17"/>
              </w:rPr>
            </w:pPr>
            <w:r>
              <w:rPr>
                <w:rFonts w:ascii="宋体" w:hAnsi="宋体" w:eastAsia="宋体" w:cs="宋体"/>
                <w:spacing w:val="-5"/>
                <w:position w:val="27"/>
                <w:sz w:val="17"/>
                <w:szCs w:val="17"/>
                <w14:textOutline w14:w="3268" w14:cap="sq" w14:cmpd="sng">
                  <w14:solidFill>
                    <w14:srgbClr w14:val="000000"/>
                  </w14:solidFill>
                  <w14:prstDash w14:val="solid"/>
                  <w14:bevel/>
                </w14:textOutline>
              </w:rPr>
              <w:t>内</w:t>
            </w:r>
            <w:r>
              <w:rPr>
                <w:rFonts w:ascii="宋体" w:hAnsi="宋体" w:eastAsia="宋体" w:cs="宋体"/>
                <w:spacing w:val="-4"/>
                <w:position w:val="27"/>
                <w:sz w:val="17"/>
                <w:szCs w:val="17"/>
                <w14:textOutline w14:w="3268" w14:cap="sq" w14:cmpd="sng">
                  <w14:solidFill>
                    <w14:srgbClr w14:val="000000"/>
                  </w14:solidFill>
                  <w14:prstDash w14:val="solid"/>
                  <w14:bevel/>
                </w14:textOutline>
              </w:rPr>
              <w:t>容</w:t>
            </w:r>
          </w:p>
          <w:p>
            <w:pPr>
              <w:spacing w:line="230" w:lineRule="auto"/>
              <w:ind w:left="57"/>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要素</w:t>
            </w:r>
          </w:p>
        </w:tc>
        <w:tc>
          <w:tcPr>
            <w:tcW w:w="7821" w:type="dxa"/>
            <w:gridSpan w:val="2"/>
            <w:vAlign w:val="top"/>
          </w:tcPr>
          <w:p>
            <w:pPr>
              <w:spacing w:before="85" w:line="231" w:lineRule="auto"/>
              <w:ind w:left="3640"/>
              <w:rPr>
                <w:rFonts w:ascii="宋体" w:hAnsi="宋体" w:eastAsia="宋体" w:cs="宋体"/>
                <w:sz w:val="17"/>
                <w:szCs w:val="17"/>
              </w:rPr>
            </w:pPr>
            <w:bookmarkStart w:id="5" w:name="_bookmark6"/>
            <w:bookmarkEnd w:id="5"/>
            <w:r>
              <w:rPr>
                <w:rFonts w:ascii="宋体" w:hAnsi="宋体" w:eastAsia="宋体" w:cs="宋体"/>
                <w:spacing w:val="10"/>
                <w:sz w:val="17"/>
                <w:szCs w:val="17"/>
                <w14:textOutline w14:w="3268" w14:cap="sq" w14:cmpd="sng">
                  <w14:solidFill>
                    <w14:srgbClr w14:val="000000"/>
                  </w14:solidFill>
                  <w14:prstDash w14:val="solid"/>
                  <w14:bevel/>
                </w14:textOutline>
              </w:rPr>
              <w:t>施</w:t>
            </w:r>
            <w:r>
              <w:rPr>
                <w:rFonts w:ascii="宋体" w:hAnsi="宋体" w:eastAsia="宋体" w:cs="宋体"/>
                <w:spacing w:val="8"/>
                <w:sz w:val="17"/>
                <w:szCs w:val="17"/>
                <w14:textOutline w14:w="3268" w14:cap="sq" w14:cmpd="sng">
                  <w14:solidFill>
                    <w14:srgbClr w14:val="000000"/>
                  </w14:solidFill>
                  <w14:prstDash w14:val="solid"/>
                  <w14:bevel/>
                </w14:textOutline>
              </w:rPr>
              <w:t>工期</w:t>
            </w:r>
          </w:p>
        </w:tc>
        <w:tc>
          <w:tcPr>
            <w:tcW w:w="5495" w:type="dxa"/>
            <w:gridSpan w:val="2"/>
            <w:tcBorders>
              <w:right w:val="single" w:color="000000" w:sz="6" w:space="0"/>
            </w:tcBorders>
            <w:vAlign w:val="top"/>
          </w:tcPr>
          <w:p>
            <w:pPr>
              <w:spacing w:before="85" w:line="231" w:lineRule="auto"/>
              <w:ind w:left="2479"/>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运</w:t>
            </w:r>
            <w:r>
              <w:rPr>
                <w:rFonts w:ascii="宋体" w:hAnsi="宋体" w:eastAsia="宋体" w:cs="宋体"/>
                <w:spacing w:val="8"/>
                <w:sz w:val="17"/>
                <w:szCs w:val="17"/>
                <w14:textOutline w14:w="3268" w14:cap="sq" w14:cmpd="sng">
                  <w14:solidFill>
                    <w14:srgbClr w14:val="000000"/>
                  </w14:solidFill>
                  <w14:prstDash w14:val="solid"/>
                  <w14:bevel/>
                </w14:textOutline>
              </w:rPr>
              <w:t>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885" w:type="dxa"/>
            <w:vMerge w:val="continue"/>
            <w:tcBorders>
              <w:top w:val="nil"/>
              <w:left w:val="single" w:color="000000" w:sz="6" w:space="0"/>
              <w:tl2br w:val="single" w:color="000000" w:sz="4" w:space="0"/>
            </w:tcBorders>
            <w:vAlign w:val="top"/>
          </w:tcPr>
          <w:p>
            <w:pPr>
              <w:rPr>
                <w:rFonts w:ascii="Arial"/>
                <w:sz w:val="21"/>
              </w:rPr>
            </w:pPr>
          </w:p>
        </w:tc>
        <w:tc>
          <w:tcPr>
            <w:tcW w:w="6575" w:type="dxa"/>
            <w:vAlign w:val="top"/>
          </w:tcPr>
          <w:p>
            <w:pPr>
              <w:spacing w:before="197" w:line="231" w:lineRule="auto"/>
              <w:ind w:left="2748"/>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环</w:t>
            </w:r>
            <w:r>
              <w:rPr>
                <w:rFonts w:ascii="宋体" w:hAnsi="宋体" w:eastAsia="宋体" w:cs="宋体"/>
                <w:spacing w:val="9"/>
                <w:sz w:val="17"/>
                <w:szCs w:val="17"/>
                <w14:textOutline w14:w="3268" w14:cap="sq" w14:cmpd="sng">
                  <w14:solidFill>
                    <w14:srgbClr w14:val="000000"/>
                  </w14:solidFill>
                  <w14:prstDash w14:val="solid"/>
                  <w14:bevel/>
                </w14:textOutline>
              </w:rPr>
              <w:t>境保护措施</w:t>
            </w:r>
          </w:p>
        </w:tc>
        <w:tc>
          <w:tcPr>
            <w:tcW w:w="1246" w:type="dxa"/>
            <w:vAlign w:val="top"/>
          </w:tcPr>
          <w:p>
            <w:pPr>
              <w:spacing w:before="197" w:line="230" w:lineRule="auto"/>
              <w:ind w:left="266"/>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验收要求</w:t>
            </w:r>
          </w:p>
        </w:tc>
        <w:tc>
          <w:tcPr>
            <w:tcW w:w="3800" w:type="dxa"/>
            <w:vAlign w:val="top"/>
          </w:tcPr>
          <w:p>
            <w:pPr>
              <w:spacing w:before="197" w:line="231" w:lineRule="auto"/>
              <w:ind w:left="1366"/>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环</w:t>
            </w:r>
            <w:r>
              <w:rPr>
                <w:rFonts w:ascii="宋体" w:hAnsi="宋体" w:eastAsia="宋体" w:cs="宋体"/>
                <w:spacing w:val="9"/>
                <w:sz w:val="17"/>
                <w:szCs w:val="17"/>
                <w14:textOutline w14:w="3268" w14:cap="sq" w14:cmpd="sng">
                  <w14:solidFill>
                    <w14:srgbClr w14:val="000000"/>
                  </w14:solidFill>
                  <w14:prstDash w14:val="solid"/>
                  <w14:bevel/>
                </w14:textOutline>
              </w:rPr>
              <w:t>境保护措施</w:t>
            </w:r>
          </w:p>
        </w:tc>
        <w:tc>
          <w:tcPr>
            <w:tcW w:w="1695" w:type="dxa"/>
            <w:tcBorders>
              <w:right w:val="single" w:color="000000" w:sz="6" w:space="0"/>
            </w:tcBorders>
            <w:vAlign w:val="top"/>
          </w:tcPr>
          <w:p>
            <w:pPr>
              <w:spacing w:before="197" w:line="230" w:lineRule="auto"/>
              <w:ind w:left="491"/>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验收要求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2" w:hRule="atLeast"/>
        </w:trPr>
        <w:tc>
          <w:tcPr>
            <w:tcW w:w="885" w:type="dxa"/>
            <w:tcBorders>
              <w:left w:val="single" w:color="000000" w:sz="6" w:space="0"/>
            </w:tcBorders>
            <w:vAlign w:val="top"/>
          </w:tcPr>
          <w:p>
            <w:pPr>
              <w:spacing w:line="466" w:lineRule="auto"/>
              <w:rPr>
                <w:rFonts w:ascii="Arial"/>
                <w:sz w:val="21"/>
              </w:rPr>
            </w:pPr>
          </w:p>
          <w:p>
            <w:pPr>
              <w:spacing w:before="55" w:line="233" w:lineRule="auto"/>
              <w:ind w:left="87"/>
              <w:rPr>
                <w:rFonts w:ascii="宋体" w:hAnsi="宋体" w:eastAsia="宋体" w:cs="宋体"/>
                <w:sz w:val="17"/>
                <w:szCs w:val="17"/>
              </w:rPr>
            </w:pPr>
            <w:r>
              <w:rPr>
                <w:rFonts w:ascii="宋体" w:hAnsi="宋体" w:eastAsia="宋体" w:cs="宋体"/>
                <w:spacing w:val="6"/>
                <w:sz w:val="17"/>
                <w:szCs w:val="17"/>
              </w:rPr>
              <w:t>陆生生</w:t>
            </w:r>
            <w:r>
              <w:rPr>
                <w:rFonts w:ascii="宋体" w:hAnsi="宋体" w:eastAsia="宋体" w:cs="宋体"/>
                <w:spacing w:val="5"/>
                <w:sz w:val="17"/>
                <w:szCs w:val="17"/>
              </w:rPr>
              <w:t>态</w:t>
            </w:r>
          </w:p>
        </w:tc>
        <w:tc>
          <w:tcPr>
            <w:tcW w:w="6575" w:type="dxa"/>
            <w:vAlign w:val="top"/>
          </w:tcPr>
          <w:p>
            <w:pPr>
              <w:spacing w:before="103" w:line="286" w:lineRule="auto"/>
              <w:ind w:left="51" w:right="51"/>
              <w:rPr>
                <w:rFonts w:ascii="宋体" w:hAnsi="宋体" w:eastAsia="宋体" w:cs="宋体"/>
                <w:sz w:val="17"/>
                <w:szCs w:val="17"/>
              </w:rPr>
            </w:pPr>
            <w:r>
              <w:rPr>
                <w:rFonts w:ascii="宋体" w:hAnsi="宋体" w:eastAsia="宋体" w:cs="宋体"/>
                <w:spacing w:val="18"/>
                <w:sz w:val="17"/>
                <w:szCs w:val="17"/>
              </w:rPr>
              <w:t>①</w:t>
            </w:r>
            <w:r>
              <w:rPr>
                <w:rFonts w:ascii="宋体" w:hAnsi="宋体" w:eastAsia="宋体" w:cs="宋体"/>
                <w:spacing w:val="14"/>
                <w:sz w:val="17"/>
                <w:szCs w:val="17"/>
              </w:rPr>
              <w:t>尽</w:t>
            </w:r>
            <w:r>
              <w:rPr>
                <w:rFonts w:ascii="宋体" w:hAnsi="宋体" w:eastAsia="宋体" w:cs="宋体"/>
                <w:spacing w:val="9"/>
                <w:sz w:val="17"/>
                <w:szCs w:val="17"/>
              </w:rPr>
              <w:t>量缩小施工临时设施占地面积，临时占地尽量设置在用地红线内；</w:t>
            </w:r>
            <w:r>
              <w:rPr>
                <w:rFonts w:ascii="宋体" w:hAnsi="宋体" w:eastAsia="宋体" w:cs="宋体"/>
                <w:sz w:val="17"/>
                <w:szCs w:val="17"/>
              </w:rPr>
              <w:t xml:space="preserve">           </w:t>
            </w:r>
            <w:r>
              <w:rPr>
                <w:rFonts w:ascii="宋体" w:hAnsi="宋体" w:eastAsia="宋体" w:cs="宋体"/>
                <w:spacing w:val="19"/>
                <w:sz w:val="17"/>
                <w:szCs w:val="17"/>
              </w:rPr>
              <w:t>②</w:t>
            </w:r>
            <w:r>
              <w:rPr>
                <w:rFonts w:ascii="宋体" w:hAnsi="宋体" w:eastAsia="宋体" w:cs="宋体"/>
                <w:spacing w:val="10"/>
                <w:sz w:val="17"/>
                <w:szCs w:val="17"/>
              </w:rPr>
              <w:t>施工作业严格控制施工区域，尽量缩小占地范围。</w:t>
            </w:r>
            <w:r>
              <w:rPr>
                <w:rFonts w:ascii="宋体" w:hAnsi="宋体" w:eastAsia="宋体" w:cs="宋体"/>
                <w:sz w:val="17"/>
                <w:szCs w:val="17"/>
              </w:rPr>
              <w:t xml:space="preserve">                            </w:t>
            </w:r>
            <w:r>
              <w:rPr>
                <w:rFonts w:ascii="宋体" w:hAnsi="宋体" w:eastAsia="宋体" w:cs="宋体"/>
                <w:spacing w:val="18"/>
                <w:sz w:val="17"/>
                <w:szCs w:val="17"/>
              </w:rPr>
              <w:t>③施</w:t>
            </w:r>
            <w:r>
              <w:rPr>
                <w:rFonts w:ascii="宋体" w:hAnsi="宋体" w:eastAsia="宋体" w:cs="宋体"/>
                <w:spacing w:val="14"/>
                <w:sz w:val="17"/>
                <w:szCs w:val="17"/>
              </w:rPr>
              <w:t>工</w:t>
            </w:r>
            <w:r>
              <w:rPr>
                <w:rFonts w:ascii="宋体" w:hAnsi="宋体" w:eastAsia="宋体" w:cs="宋体"/>
                <w:spacing w:val="9"/>
                <w:sz w:val="17"/>
                <w:szCs w:val="17"/>
              </w:rPr>
              <w:t>结束后及时对占地区进行植被恢复，选择剥离的熟化土，复种或选择当地适</w:t>
            </w:r>
            <w:r>
              <w:rPr>
                <w:rFonts w:ascii="宋体" w:hAnsi="宋体" w:eastAsia="宋体" w:cs="宋体"/>
                <w:sz w:val="17"/>
                <w:szCs w:val="17"/>
              </w:rPr>
              <w:t xml:space="preserve"> </w:t>
            </w:r>
            <w:r>
              <w:rPr>
                <w:rFonts w:ascii="宋体" w:hAnsi="宋体" w:eastAsia="宋体" w:cs="宋体"/>
                <w:spacing w:val="12"/>
                <w:sz w:val="17"/>
                <w:szCs w:val="17"/>
              </w:rPr>
              <w:t>宜</w:t>
            </w:r>
            <w:r>
              <w:rPr>
                <w:rFonts w:ascii="宋体" w:hAnsi="宋体" w:eastAsia="宋体" w:cs="宋体"/>
                <w:spacing w:val="8"/>
                <w:sz w:val="17"/>
                <w:szCs w:val="17"/>
              </w:rPr>
              <w:t>植物及时恢复绿化。</w:t>
            </w:r>
          </w:p>
        </w:tc>
        <w:tc>
          <w:tcPr>
            <w:tcW w:w="1246" w:type="dxa"/>
            <w:vAlign w:val="top"/>
          </w:tcPr>
          <w:p>
            <w:pPr>
              <w:spacing w:line="327" w:lineRule="auto"/>
              <w:rPr>
                <w:rFonts w:ascii="Arial"/>
                <w:sz w:val="21"/>
              </w:rPr>
            </w:pPr>
          </w:p>
          <w:p>
            <w:pPr>
              <w:spacing w:before="56" w:line="317" w:lineRule="auto"/>
              <w:ind w:left="538" w:right="80" w:hanging="448"/>
              <w:rPr>
                <w:rFonts w:ascii="宋体" w:hAnsi="宋体" w:eastAsia="宋体" w:cs="宋体"/>
                <w:sz w:val="17"/>
                <w:szCs w:val="17"/>
              </w:rPr>
            </w:pPr>
            <w:r>
              <w:rPr>
                <w:rFonts w:ascii="宋体" w:hAnsi="宋体" w:eastAsia="宋体" w:cs="宋体"/>
                <w:spacing w:val="10"/>
                <w:sz w:val="17"/>
                <w:szCs w:val="17"/>
              </w:rPr>
              <w:t>不</w:t>
            </w:r>
            <w:r>
              <w:rPr>
                <w:rFonts w:ascii="宋体" w:hAnsi="宋体" w:eastAsia="宋体" w:cs="宋体"/>
                <w:spacing w:val="8"/>
                <w:sz w:val="17"/>
                <w:szCs w:val="17"/>
              </w:rPr>
              <w:t>改变生态现</w:t>
            </w:r>
            <w:r>
              <w:rPr>
                <w:rFonts w:ascii="宋体" w:hAnsi="宋体" w:eastAsia="宋体" w:cs="宋体"/>
                <w:sz w:val="17"/>
                <w:szCs w:val="17"/>
              </w:rPr>
              <w:t xml:space="preserve"> </w:t>
            </w:r>
            <w:r>
              <w:rPr>
                <w:rFonts w:ascii="宋体" w:hAnsi="宋体" w:eastAsia="宋体" w:cs="宋体"/>
                <w:spacing w:val="2"/>
                <w:sz w:val="17"/>
                <w:szCs w:val="17"/>
              </w:rPr>
              <w:t>状</w:t>
            </w:r>
          </w:p>
        </w:tc>
        <w:tc>
          <w:tcPr>
            <w:tcW w:w="3800" w:type="dxa"/>
            <w:vAlign w:val="top"/>
          </w:tcPr>
          <w:p>
            <w:pPr>
              <w:spacing w:before="245" w:line="312" w:lineRule="auto"/>
              <w:ind w:left="60" w:right="45"/>
              <w:rPr>
                <w:rFonts w:ascii="宋体" w:hAnsi="宋体" w:eastAsia="宋体" w:cs="宋体"/>
                <w:sz w:val="17"/>
                <w:szCs w:val="17"/>
              </w:rPr>
            </w:pPr>
            <w:r>
              <w:rPr>
                <w:rFonts w:ascii="宋体" w:hAnsi="宋体" w:eastAsia="宋体" w:cs="宋体"/>
                <w:spacing w:val="20"/>
                <w:sz w:val="17"/>
                <w:szCs w:val="17"/>
              </w:rPr>
              <w:t>加</w:t>
            </w:r>
            <w:r>
              <w:rPr>
                <w:rFonts w:ascii="宋体" w:hAnsi="宋体" w:eastAsia="宋体" w:cs="宋体"/>
                <w:spacing w:val="14"/>
                <w:sz w:val="17"/>
                <w:szCs w:val="17"/>
              </w:rPr>
              <w:t>强对桥梁两端的绿化，定期检查植被生长情</w:t>
            </w:r>
            <w:r>
              <w:rPr>
                <w:rFonts w:ascii="宋体" w:hAnsi="宋体" w:eastAsia="宋体" w:cs="宋体"/>
                <w:sz w:val="17"/>
                <w:szCs w:val="17"/>
              </w:rPr>
              <w:t xml:space="preserve"> </w:t>
            </w:r>
            <w:r>
              <w:rPr>
                <w:rFonts w:ascii="宋体" w:hAnsi="宋体" w:eastAsia="宋体" w:cs="宋体"/>
                <w:spacing w:val="10"/>
                <w:sz w:val="17"/>
                <w:szCs w:val="17"/>
              </w:rPr>
              <w:t>况，</w:t>
            </w:r>
            <w:r>
              <w:rPr>
                <w:rFonts w:ascii="宋体" w:hAnsi="宋体" w:eastAsia="宋体" w:cs="宋体"/>
                <w:spacing w:val="8"/>
                <w:sz w:val="17"/>
                <w:szCs w:val="17"/>
              </w:rPr>
              <w:t>对</w:t>
            </w:r>
            <w:r>
              <w:rPr>
                <w:rFonts w:ascii="宋体" w:hAnsi="宋体" w:eastAsia="宋体" w:cs="宋体"/>
                <w:spacing w:val="5"/>
                <w:sz w:val="17"/>
                <w:szCs w:val="17"/>
              </w:rPr>
              <w:t>植被恢复较差的区域及时补栽或调整恢复</w:t>
            </w:r>
            <w:r>
              <w:rPr>
                <w:rFonts w:ascii="宋体" w:hAnsi="宋体" w:eastAsia="宋体" w:cs="宋体"/>
                <w:sz w:val="17"/>
                <w:szCs w:val="17"/>
              </w:rPr>
              <w:t xml:space="preserve"> </w:t>
            </w:r>
            <w:r>
              <w:rPr>
                <w:rFonts w:ascii="宋体" w:hAnsi="宋体" w:eastAsia="宋体" w:cs="宋体"/>
                <w:spacing w:val="12"/>
                <w:sz w:val="17"/>
                <w:szCs w:val="17"/>
              </w:rPr>
              <w:t>方</w:t>
            </w:r>
            <w:r>
              <w:rPr>
                <w:rFonts w:ascii="宋体" w:hAnsi="宋体" w:eastAsia="宋体" w:cs="宋体"/>
                <w:spacing w:val="9"/>
                <w:sz w:val="17"/>
                <w:szCs w:val="17"/>
              </w:rPr>
              <w:t>案，确保植被恢复效果</w:t>
            </w:r>
          </w:p>
        </w:tc>
        <w:tc>
          <w:tcPr>
            <w:tcW w:w="1695" w:type="dxa"/>
            <w:tcBorders>
              <w:right w:val="single" w:color="000000" w:sz="6" w:space="0"/>
            </w:tcBorders>
            <w:vAlign w:val="top"/>
          </w:tcPr>
          <w:p>
            <w:pPr>
              <w:spacing w:before="245" w:line="312" w:lineRule="auto"/>
              <w:ind w:left="64" w:right="50" w:firstLine="1"/>
              <w:rPr>
                <w:rFonts w:ascii="宋体" w:hAnsi="宋体" w:eastAsia="宋体" w:cs="宋体"/>
                <w:sz w:val="17"/>
                <w:szCs w:val="17"/>
              </w:rPr>
            </w:pPr>
            <w:r>
              <w:rPr>
                <w:rFonts w:ascii="宋体" w:hAnsi="宋体" w:eastAsia="宋体" w:cs="宋体"/>
                <w:spacing w:val="6"/>
                <w:sz w:val="17"/>
                <w:szCs w:val="17"/>
              </w:rPr>
              <w:t>无</w:t>
            </w:r>
            <w:r>
              <w:rPr>
                <w:rFonts w:ascii="宋体" w:hAnsi="宋体" w:eastAsia="宋体" w:cs="宋体"/>
                <w:spacing w:val="4"/>
                <w:sz w:val="17"/>
                <w:szCs w:val="17"/>
              </w:rPr>
              <w:t>明显水土流失，生</w:t>
            </w:r>
            <w:r>
              <w:rPr>
                <w:rFonts w:ascii="宋体" w:hAnsi="宋体" w:eastAsia="宋体" w:cs="宋体"/>
                <w:sz w:val="17"/>
                <w:szCs w:val="17"/>
              </w:rPr>
              <w:t xml:space="preserve"> </w:t>
            </w:r>
            <w:r>
              <w:rPr>
                <w:rFonts w:ascii="宋体" w:hAnsi="宋体" w:eastAsia="宋体" w:cs="宋体"/>
                <w:spacing w:val="7"/>
                <w:sz w:val="17"/>
                <w:szCs w:val="17"/>
              </w:rPr>
              <w:t>态</w:t>
            </w:r>
            <w:r>
              <w:rPr>
                <w:rFonts w:ascii="宋体" w:hAnsi="宋体" w:eastAsia="宋体" w:cs="宋体"/>
                <w:spacing w:val="4"/>
                <w:sz w:val="17"/>
                <w:szCs w:val="17"/>
              </w:rPr>
              <w:t>恢复效果显著，土</w:t>
            </w:r>
            <w:r>
              <w:rPr>
                <w:rFonts w:ascii="宋体" w:hAnsi="宋体" w:eastAsia="宋体" w:cs="宋体"/>
                <w:sz w:val="17"/>
                <w:szCs w:val="17"/>
              </w:rPr>
              <w:t xml:space="preserve"> </w:t>
            </w:r>
            <w:r>
              <w:rPr>
                <w:rFonts w:ascii="宋体" w:hAnsi="宋体" w:eastAsia="宋体" w:cs="宋体"/>
                <w:spacing w:val="9"/>
                <w:sz w:val="17"/>
                <w:szCs w:val="17"/>
              </w:rPr>
              <w:t>地使用功能恢</w:t>
            </w:r>
            <w:r>
              <w:rPr>
                <w:rFonts w:ascii="宋体" w:hAnsi="宋体" w:eastAsia="宋体" w:cs="宋体"/>
                <w:spacing w:val="8"/>
                <w:sz w:val="17"/>
                <w:szCs w:val="17"/>
              </w:rPr>
              <w:t>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1" w:hRule="atLeast"/>
        </w:trPr>
        <w:tc>
          <w:tcPr>
            <w:tcW w:w="885" w:type="dxa"/>
            <w:tcBorders>
              <w:left w:val="single" w:color="000000" w:sz="6" w:space="0"/>
            </w:tcBorders>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55" w:line="230" w:lineRule="auto"/>
              <w:ind w:left="80"/>
              <w:rPr>
                <w:rFonts w:ascii="宋体" w:hAnsi="宋体" w:eastAsia="宋体" w:cs="宋体"/>
                <w:sz w:val="17"/>
                <w:szCs w:val="17"/>
              </w:rPr>
            </w:pPr>
            <w:r>
              <w:rPr>
                <w:rFonts w:ascii="宋体" w:hAnsi="宋体" w:eastAsia="宋体" w:cs="宋体"/>
                <w:spacing w:val="9"/>
                <w:sz w:val="17"/>
                <w:szCs w:val="17"/>
              </w:rPr>
              <w:t>水</w:t>
            </w:r>
            <w:r>
              <w:rPr>
                <w:rFonts w:ascii="宋体" w:hAnsi="宋体" w:eastAsia="宋体" w:cs="宋体"/>
                <w:spacing w:val="7"/>
                <w:sz w:val="17"/>
                <w:szCs w:val="17"/>
              </w:rPr>
              <w:t>生生态</w:t>
            </w:r>
          </w:p>
        </w:tc>
        <w:tc>
          <w:tcPr>
            <w:tcW w:w="6575" w:type="dxa"/>
            <w:vAlign w:val="top"/>
          </w:tcPr>
          <w:p>
            <w:pPr>
              <w:spacing w:before="118" w:line="268" w:lineRule="auto"/>
              <w:ind w:left="53" w:right="51" w:hanging="1"/>
              <w:rPr>
                <w:rFonts w:ascii="宋体" w:hAnsi="宋体" w:eastAsia="宋体" w:cs="宋体"/>
                <w:sz w:val="17"/>
                <w:szCs w:val="17"/>
              </w:rPr>
            </w:pPr>
            <w:r>
              <w:rPr>
                <w:rFonts w:ascii="宋体" w:hAnsi="宋体" w:eastAsia="宋体" w:cs="宋体"/>
                <w:spacing w:val="18"/>
                <w:sz w:val="17"/>
                <w:szCs w:val="17"/>
              </w:rPr>
              <w:t>①施</w:t>
            </w:r>
            <w:r>
              <w:rPr>
                <w:rFonts w:ascii="宋体" w:hAnsi="宋体" w:eastAsia="宋体" w:cs="宋体"/>
                <w:spacing w:val="13"/>
                <w:sz w:val="17"/>
                <w:szCs w:val="17"/>
              </w:rPr>
              <w:t>工</w:t>
            </w:r>
            <w:r>
              <w:rPr>
                <w:rFonts w:ascii="宋体" w:hAnsi="宋体" w:eastAsia="宋体" w:cs="宋体"/>
                <w:spacing w:val="9"/>
                <w:sz w:val="17"/>
                <w:szCs w:val="17"/>
              </w:rPr>
              <w:t>期生活污水设置移动式旱厕收集，生活垃圾集中堆放，由施工车辆送场镇垃</w:t>
            </w:r>
            <w:r>
              <w:rPr>
                <w:rFonts w:ascii="宋体" w:hAnsi="宋体" w:eastAsia="宋体" w:cs="宋体"/>
                <w:sz w:val="17"/>
                <w:szCs w:val="17"/>
              </w:rPr>
              <w:t xml:space="preserve"> </w:t>
            </w:r>
            <w:r>
              <w:rPr>
                <w:rFonts w:ascii="宋体" w:hAnsi="宋体" w:eastAsia="宋体" w:cs="宋体"/>
                <w:spacing w:val="8"/>
                <w:sz w:val="17"/>
                <w:szCs w:val="17"/>
              </w:rPr>
              <w:t>圾</w:t>
            </w:r>
            <w:r>
              <w:rPr>
                <w:rFonts w:ascii="宋体" w:hAnsi="宋体" w:eastAsia="宋体" w:cs="宋体"/>
                <w:spacing w:val="6"/>
                <w:sz w:val="17"/>
                <w:szCs w:val="17"/>
              </w:rPr>
              <w:t>收集点。</w:t>
            </w:r>
          </w:p>
          <w:p>
            <w:pPr>
              <w:spacing w:before="68" w:line="266" w:lineRule="auto"/>
              <w:ind w:left="52" w:right="51" w:hanging="1"/>
              <w:rPr>
                <w:rFonts w:ascii="宋体" w:hAnsi="宋体" w:eastAsia="宋体" w:cs="宋体"/>
                <w:sz w:val="17"/>
                <w:szCs w:val="17"/>
              </w:rPr>
            </w:pPr>
            <w:r>
              <w:rPr>
                <w:rFonts w:ascii="宋体" w:hAnsi="宋体" w:eastAsia="宋体" w:cs="宋体"/>
                <w:spacing w:val="18"/>
                <w:sz w:val="17"/>
                <w:szCs w:val="17"/>
              </w:rPr>
              <w:t>②施</w:t>
            </w:r>
            <w:r>
              <w:rPr>
                <w:rFonts w:ascii="宋体" w:hAnsi="宋体" w:eastAsia="宋体" w:cs="宋体"/>
                <w:spacing w:val="14"/>
                <w:sz w:val="17"/>
                <w:szCs w:val="17"/>
              </w:rPr>
              <w:t>工</w:t>
            </w:r>
            <w:r>
              <w:rPr>
                <w:rFonts w:ascii="宋体" w:hAnsi="宋体" w:eastAsia="宋体" w:cs="宋体"/>
                <w:spacing w:val="9"/>
                <w:sz w:val="17"/>
                <w:szCs w:val="17"/>
              </w:rPr>
              <w:t>材料远离水体堆放，材料堆放场建遮雨棚和围挡，四周建截排水沟，防止被</w:t>
            </w:r>
            <w:r>
              <w:rPr>
                <w:rFonts w:ascii="宋体" w:hAnsi="宋体" w:eastAsia="宋体" w:cs="宋体"/>
                <w:sz w:val="17"/>
                <w:szCs w:val="17"/>
              </w:rPr>
              <w:t xml:space="preserve"> </w:t>
            </w:r>
            <w:r>
              <w:rPr>
                <w:rFonts w:ascii="宋体" w:hAnsi="宋体" w:eastAsia="宋体" w:cs="宋体"/>
                <w:spacing w:val="16"/>
                <w:sz w:val="17"/>
                <w:szCs w:val="17"/>
              </w:rPr>
              <w:t>暴</w:t>
            </w:r>
            <w:r>
              <w:rPr>
                <w:rFonts w:ascii="宋体" w:hAnsi="宋体" w:eastAsia="宋体" w:cs="宋体"/>
                <w:spacing w:val="10"/>
                <w:sz w:val="17"/>
                <w:szCs w:val="17"/>
              </w:rPr>
              <w:t>雨</w:t>
            </w:r>
            <w:r>
              <w:rPr>
                <w:rFonts w:ascii="宋体" w:hAnsi="宋体" w:eastAsia="宋体" w:cs="宋体"/>
                <w:spacing w:val="8"/>
                <w:sz w:val="17"/>
                <w:szCs w:val="17"/>
              </w:rPr>
              <w:t>径流进入水体，影响水质。</w:t>
            </w:r>
          </w:p>
          <w:p>
            <w:pPr>
              <w:spacing w:before="69" w:line="228" w:lineRule="auto"/>
              <w:ind w:left="51"/>
              <w:rPr>
                <w:rFonts w:ascii="宋体" w:hAnsi="宋体" w:eastAsia="宋体" w:cs="宋体"/>
                <w:sz w:val="17"/>
                <w:szCs w:val="17"/>
              </w:rPr>
            </w:pPr>
            <w:r>
              <w:rPr>
                <w:rFonts w:ascii="宋体" w:hAnsi="宋体" w:eastAsia="宋体" w:cs="宋体"/>
                <w:spacing w:val="15"/>
                <w:sz w:val="17"/>
                <w:szCs w:val="17"/>
              </w:rPr>
              <w:t>③</w:t>
            </w:r>
            <w:r>
              <w:rPr>
                <w:rFonts w:ascii="宋体" w:hAnsi="宋体" w:eastAsia="宋体" w:cs="宋体"/>
                <w:spacing w:val="9"/>
                <w:sz w:val="17"/>
                <w:szCs w:val="17"/>
              </w:rPr>
              <w:t>禁止将建筑垃圾及施工废水等污染物排入水体。</w:t>
            </w:r>
          </w:p>
          <w:p>
            <w:pPr>
              <w:spacing w:before="70" w:line="228" w:lineRule="auto"/>
              <w:ind w:left="51"/>
              <w:rPr>
                <w:rFonts w:ascii="宋体" w:hAnsi="宋体" w:eastAsia="宋体" w:cs="宋体"/>
                <w:sz w:val="17"/>
                <w:szCs w:val="17"/>
              </w:rPr>
            </w:pPr>
            <w:r>
              <w:rPr>
                <w:rFonts w:ascii="宋体" w:hAnsi="宋体" w:eastAsia="宋体" w:cs="宋体"/>
                <w:spacing w:val="14"/>
                <w:sz w:val="17"/>
                <w:szCs w:val="17"/>
              </w:rPr>
              <w:t>④</w:t>
            </w:r>
            <w:r>
              <w:rPr>
                <w:rFonts w:ascii="宋体" w:hAnsi="宋体" w:eastAsia="宋体" w:cs="宋体"/>
                <w:spacing w:val="7"/>
                <w:sz w:val="17"/>
                <w:szCs w:val="17"/>
              </w:rPr>
              <w:t>做好工区的水土流失防治， 以尽量减少植被破坏、水土流失对水生生物的影响</w:t>
            </w:r>
          </w:p>
        </w:tc>
        <w:tc>
          <w:tcPr>
            <w:tcW w:w="1246" w:type="dxa"/>
            <w:vAlign w:val="top"/>
          </w:tcPr>
          <w:p>
            <w:pPr>
              <w:spacing w:line="310" w:lineRule="auto"/>
              <w:rPr>
                <w:rFonts w:ascii="Arial"/>
                <w:sz w:val="21"/>
              </w:rPr>
            </w:pPr>
          </w:p>
          <w:p>
            <w:pPr>
              <w:spacing w:line="311" w:lineRule="auto"/>
              <w:rPr>
                <w:rFonts w:ascii="Arial"/>
                <w:sz w:val="21"/>
              </w:rPr>
            </w:pPr>
          </w:p>
          <w:p>
            <w:pPr>
              <w:spacing w:before="55" w:line="315" w:lineRule="auto"/>
              <w:ind w:left="178" w:right="80" w:hanging="88"/>
              <w:rPr>
                <w:rFonts w:ascii="宋体" w:hAnsi="宋体" w:eastAsia="宋体" w:cs="宋体"/>
                <w:sz w:val="17"/>
                <w:szCs w:val="17"/>
              </w:rPr>
            </w:pPr>
            <w:r>
              <w:rPr>
                <w:rFonts w:ascii="宋体" w:hAnsi="宋体" w:eastAsia="宋体" w:cs="宋体"/>
                <w:spacing w:val="10"/>
                <w:sz w:val="17"/>
                <w:szCs w:val="17"/>
              </w:rPr>
              <w:t>不</w:t>
            </w:r>
            <w:r>
              <w:rPr>
                <w:rFonts w:ascii="宋体" w:hAnsi="宋体" w:eastAsia="宋体" w:cs="宋体"/>
                <w:spacing w:val="8"/>
                <w:sz w:val="17"/>
                <w:szCs w:val="17"/>
              </w:rPr>
              <w:t>造成水生生</w:t>
            </w:r>
            <w:r>
              <w:rPr>
                <w:rFonts w:ascii="宋体" w:hAnsi="宋体" w:eastAsia="宋体" w:cs="宋体"/>
                <w:sz w:val="17"/>
                <w:szCs w:val="17"/>
              </w:rPr>
              <w:t xml:space="preserve"> </w:t>
            </w:r>
            <w:r>
              <w:rPr>
                <w:rFonts w:ascii="宋体" w:hAnsi="宋体" w:eastAsia="宋体" w:cs="宋体"/>
                <w:spacing w:val="10"/>
                <w:sz w:val="17"/>
                <w:szCs w:val="17"/>
              </w:rPr>
              <w:t>态</w:t>
            </w:r>
            <w:r>
              <w:rPr>
                <w:rFonts w:ascii="宋体" w:hAnsi="宋体" w:eastAsia="宋体" w:cs="宋体"/>
                <w:spacing w:val="8"/>
                <w:sz w:val="17"/>
                <w:szCs w:val="17"/>
              </w:rPr>
              <w:t>环境恶化</w:t>
            </w:r>
          </w:p>
        </w:tc>
        <w:tc>
          <w:tcPr>
            <w:tcW w:w="3800" w:type="dxa"/>
            <w:vAlign w:val="top"/>
          </w:tcPr>
          <w:p>
            <w:pPr>
              <w:spacing w:line="311" w:lineRule="auto"/>
              <w:rPr>
                <w:rFonts w:ascii="Arial"/>
                <w:sz w:val="21"/>
              </w:rPr>
            </w:pPr>
          </w:p>
          <w:p>
            <w:pPr>
              <w:spacing w:line="311" w:lineRule="auto"/>
              <w:rPr>
                <w:rFonts w:ascii="Arial"/>
                <w:sz w:val="21"/>
              </w:rPr>
            </w:pPr>
          </w:p>
          <w:p>
            <w:pPr>
              <w:spacing w:before="56" w:line="314" w:lineRule="auto"/>
              <w:ind w:left="59" w:right="45"/>
              <w:rPr>
                <w:rFonts w:ascii="宋体" w:hAnsi="宋体" w:eastAsia="宋体" w:cs="宋体"/>
                <w:sz w:val="17"/>
                <w:szCs w:val="17"/>
              </w:rPr>
            </w:pPr>
            <w:r>
              <w:rPr>
                <w:rFonts w:ascii="宋体" w:hAnsi="宋体" w:eastAsia="宋体" w:cs="宋体"/>
                <w:spacing w:val="10"/>
                <w:sz w:val="17"/>
                <w:szCs w:val="17"/>
              </w:rPr>
              <w:t>对桥</w:t>
            </w:r>
            <w:r>
              <w:rPr>
                <w:rFonts w:ascii="宋体" w:hAnsi="宋体" w:eastAsia="宋体" w:cs="宋体"/>
                <w:spacing w:val="9"/>
                <w:sz w:val="17"/>
                <w:szCs w:val="17"/>
              </w:rPr>
              <w:t>梁</w:t>
            </w:r>
            <w:r>
              <w:rPr>
                <w:rFonts w:ascii="宋体" w:hAnsi="宋体" w:eastAsia="宋体" w:cs="宋体"/>
                <w:spacing w:val="5"/>
                <w:sz w:val="17"/>
                <w:szCs w:val="17"/>
              </w:rPr>
              <w:t>两端设置限速、限载等警示标识，引导过</w:t>
            </w:r>
            <w:r>
              <w:rPr>
                <w:rFonts w:ascii="宋体" w:hAnsi="宋体" w:eastAsia="宋体" w:cs="宋体"/>
                <w:sz w:val="17"/>
                <w:szCs w:val="17"/>
              </w:rPr>
              <w:t xml:space="preserve"> </w:t>
            </w:r>
            <w:r>
              <w:rPr>
                <w:rFonts w:ascii="宋体" w:hAnsi="宋体" w:eastAsia="宋体" w:cs="宋体"/>
                <w:spacing w:val="18"/>
                <w:sz w:val="17"/>
                <w:szCs w:val="17"/>
              </w:rPr>
              <w:t>往</w:t>
            </w:r>
            <w:r>
              <w:rPr>
                <w:rFonts w:ascii="宋体" w:hAnsi="宋体" w:eastAsia="宋体" w:cs="宋体"/>
                <w:spacing w:val="11"/>
                <w:sz w:val="17"/>
                <w:szCs w:val="17"/>
              </w:rPr>
              <w:t>车</w:t>
            </w:r>
            <w:r>
              <w:rPr>
                <w:rFonts w:ascii="宋体" w:hAnsi="宋体" w:eastAsia="宋体" w:cs="宋体"/>
                <w:spacing w:val="9"/>
                <w:sz w:val="17"/>
                <w:szCs w:val="17"/>
              </w:rPr>
              <w:t>辆安全通过；在桥梁两侧建设防撞栏</w:t>
            </w:r>
          </w:p>
        </w:tc>
        <w:tc>
          <w:tcPr>
            <w:tcW w:w="1695" w:type="dxa"/>
            <w:tcBorders>
              <w:right w:val="single" w:color="000000" w:sz="6" w:space="0"/>
            </w:tcBorders>
            <w:vAlign w:val="top"/>
          </w:tcPr>
          <w:p>
            <w:pPr>
              <w:spacing w:line="311" w:lineRule="auto"/>
              <w:rPr>
                <w:rFonts w:ascii="Arial"/>
                <w:sz w:val="21"/>
              </w:rPr>
            </w:pPr>
          </w:p>
          <w:p>
            <w:pPr>
              <w:spacing w:line="311" w:lineRule="auto"/>
              <w:rPr>
                <w:rFonts w:ascii="Arial"/>
                <w:sz w:val="21"/>
              </w:rPr>
            </w:pPr>
          </w:p>
          <w:p>
            <w:pPr>
              <w:spacing w:before="55" w:line="315" w:lineRule="auto"/>
              <w:ind w:left="493" w:right="117" w:hanging="356"/>
              <w:rPr>
                <w:rFonts w:ascii="宋体" w:hAnsi="宋体" w:eastAsia="宋体" w:cs="宋体"/>
                <w:sz w:val="17"/>
                <w:szCs w:val="17"/>
              </w:rPr>
            </w:pPr>
            <w:r>
              <w:rPr>
                <w:rFonts w:ascii="宋体" w:hAnsi="宋体" w:eastAsia="宋体" w:cs="宋体"/>
                <w:spacing w:val="14"/>
                <w:sz w:val="17"/>
                <w:szCs w:val="17"/>
              </w:rPr>
              <w:t>不</w:t>
            </w:r>
            <w:r>
              <w:rPr>
                <w:rFonts w:ascii="宋体" w:hAnsi="宋体" w:eastAsia="宋体" w:cs="宋体"/>
                <w:spacing w:val="8"/>
                <w:sz w:val="17"/>
                <w:szCs w:val="17"/>
              </w:rPr>
              <w:t>对水生生态环境</w:t>
            </w:r>
            <w:r>
              <w:rPr>
                <w:rFonts w:ascii="宋体" w:hAnsi="宋体" w:eastAsia="宋体" w:cs="宋体"/>
                <w:sz w:val="17"/>
                <w:szCs w:val="17"/>
              </w:rPr>
              <w:t xml:space="preserve"> </w:t>
            </w:r>
            <w:r>
              <w:rPr>
                <w:rFonts w:ascii="宋体" w:hAnsi="宋体" w:eastAsia="宋体" w:cs="宋体"/>
                <w:spacing w:val="9"/>
                <w:sz w:val="17"/>
                <w:szCs w:val="17"/>
              </w:rPr>
              <w:t>造</w:t>
            </w:r>
            <w:r>
              <w:rPr>
                <w:rFonts w:ascii="宋体" w:hAnsi="宋体" w:eastAsia="宋体" w:cs="宋体"/>
                <w:spacing w:val="8"/>
                <w:sz w:val="17"/>
                <w:szCs w:val="17"/>
              </w:rPr>
              <w:t>成影响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4" w:hRule="atLeast"/>
        </w:trPr>
        <w:tc>
          <w:tcPr>
            <w:tcW w:w="885" w:type="dxa"/>
            <w:tcBorders>
              <w:left w:val="single" w:color="000000" w:sz="6" w:space="0"/>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55" w:line="317" w:lineRule="auto"/>
              <w:ind w:left="349" w:right="83" w:hanging="271"/>
              <w:rPr>
                <w:rFonts w:ascii="宋体" w:hAnsi="宋体" w:eastAsia="宋体" w:cs="宋体"/>
                <w:sz w:val="17"/>
                <w:szCs w:val="17"/>
              </w:rPr>
            </w:pPr>
            <w:r>
              <w:rPr>
                <w:rFonts w:ascii="宋体" w:hAnsi="宋体" w:eastAsia="宋体" w:cs="宋体"/>
                <w:spacing w:val="8"/>
                <w:sz w:val="17"/>
                <w:szCs w:val="17"/>
              </w:rPr>
              <w:t>地表水环</w:t>
            </w:r>
            <w:r>
              <w:rPr>
                <w:rFonts w:ascii="宋体" w:hAnsi="宋体" w:eastAsia="宋体" w:cs="宋体"/>
                <w:sz w:val="17"/>
                <w:szCs w:val="17"/>
              </w:rPr>
              <w:t xml:space="preserve"> </w:t>
            </w:r>
            <w:r>
              <w:rPr>
                <w:rFonts w:ascii="宋体" w:hAnsi="宋体" w:eastAsia="宋体" w:cs="宋体"/>
                <w:spacing w:val="2"/>
                <w:sz w:val="17"/>
                <w:szCs w:val="17"/>
              </w:rPr>
              <w:t>境</w:t>
            </w:r>
          </w:p>
        </w:tc>
        <w:tc>
          <w:tcPr>
            <w:tcW w:w="6575" w:type="dxa"/>
            <w:vAlign w:val="top"/>
          </w:tcPr>
          <w:p>
            <w:pPr>
              <w:spacing w:before="129" w:line="266" w:lineRule="auto"/>
              <w:ind w:left="57" w:right="51" w:hanging="5"/>
              <w:rPr>
                <w:rFonts w:ascii="宋体" w:hAnsi="宋体" w:eastAsia="宋体" w:cs="宋体"/>
                <w:sz w:val="17"/>
                <w:szCs w:val="17"/>
              </w:rPr>
            </w:pPr>
            <w:r>
              <w:rPr>
                <w:rFonts w:ascii="宋体" w:hAnsi="宋体" w:eastAsia="宋体" w:cs="宋体"/>
                <w:spacing w:val="18"/>
                <w:sz w:val="17"/>
                <w:szCs w:val="17"/>
              </w:rPr>
              <w:t>①对</w:t>
            </w:r>
            <w:r>
              <w:rPr>
                <w:rFonts w:ascii="宋体" w:hAnsi="宋体" w:eastAsia="宋体" w:cs="宋体"/>
                <w:spacing w:val="13"/>
                <w:sz w:val="17"/>
                <w:szCs w:val="17"/>
              </w:rPr>
              <w:t>水</w:t>
            </w:r>
            <w:r>
              <w:rPr>
                <w:rFonts w:ascii="宋体" w:hAnsi="宋体" w:eastAsia="宋体" w:cs="宋体"/>
                <w:spacing w:val="9"/>
                <w:sz w:val="17"/>
                <w:szCs w:val="17"/>
              </w:rPr>
              <w:t>泥、砂等建材堆放地点设雨篷遮挡和防护围栏，场界建排水沟、沉淀池，厂</w:t>
            </w:r>
            <w:r>
              <w:rPr>
                <w:rFonts w:ascii="宋体" w:hAnsi="宋体" w:eastAsia="宋体" w:cs="宋体"/>
                <w:sz w:val="17"/>
                <w:szCs w:val="17"/>
              </w:rPr>
              <w:t xml:space="preserve"> </w:t>
            </w:r>
            <w:r>
              <w:rPr>
                <w:rFonts w:ascii="宋体" w:hAnsi="宋体" w:eastAsia="宋体" w:cs="宋体"/>
                <w:spacing w:val="8"/>
                <w:sz w:val="17"/>
                <w:szCs w:val="17"/>
              </w:rPr>
              <w:t>界外雨水不进入场内</w:t>
            </w:r>
            <w:r>
              <w:rPr>
                <w:rFonts w:ascii="宋体" w:hAnsi="宋体" w:eastAsia="宋体" w:cs="宋体"/>
                <w:spacing w:val="6"/>
                <w:sz w:val="17"/>
                <w:szCs w:val="17"/>
              </w:rPr>
              <w:t>；</w:t>
            </w:r>
          </w:p>
          <w:p>
            <w:pPr>
              <w:spacing w:before="68" w:line="228" w:lineRule="auto"/>
              <w:ind w:left="51"/>
              <w:rPr>
                <w:rFonts w:ascii="宋体" w:hAnsi="宋体" w:eastAsia="宋体" w:cs="宋体"/>
                <w:sz w:val="17"/>
                <w:szCs w:val="17"/>
              </w:rPr>
            </w:pPr>
            <w:r>
              <w:rPr>
                <w:rFonts w:ascii="宋体" w:hAnsi="宋体" w:eastAsia="宋体" w:cs="宋体"/>
                <w:spacing w:val="18"/>
                <w:sz w:val="17"/>
                <w:szCs w:val="17"/>
              </w:rPr>
              <w:t>②</w:t>
            </w:r>
            <w:r>
              <w:rPr>
                <w:rFonts w:ascii="宋体" w:hAnsi="宋体" w:eastAsia="宋体" w:cs="宋体"/>
                <w:spacing w:val="14"/>
                <w:sz w:val="17"/>
                <w:szCs w:val="17"/>
              </w:rPr>
              <w:t>各</w:t>
            </w:r>
            <w:r>
              <w:rPr>
                <w:rFonts w:ascii="宋体" w:hAnsi="宋体" w:eastAsia="宋体" w:cs="宋体"/>
                <w:spacing w:val="9"/>
                <w:sz w:val="17"/>
                <w:szCs w:val="17"/>
              </w:rPr>
              <w:t>施工点设置废水经沉淀，收集施工废水处理后回用于场区抑尘；</w:t>
            </w:r>
          </w:p>
          <w:p>
            <w:pPr>
              <w:spacing w:before="70" w:line="266" w:lineRule="auto"/>
              <w:ind w:left="52" w:right="51" w:hanging="1"/>
              <w:rPr>
                <w:rFonts w:ascii="宋体" w:hAnsi="宋体" w:eastAsia="宋体" w:cs="宋体"/>
                <w:sz w:val="17"/>
                <w:szCs w:val="17"/>
              </w:rPr>
            </w:pPr>
            <w:r>
              <w:rPr>
                <w:rFonts w:ascii="宋体" w:hAnsi="宋体" w:eastAsia="宋体" w:cs="宋体"/>
                <w:spacing w:val="18"/>
                <w:sz w:val="17"/>
                <w:szCs w:val="17"/>
              </w:rPr>
              <w:t>③桥</w:t>
            </w:r>
            <w:r>
              <w:rPr>
                <w:rFonts w:ascii="宋体" w:hAnsi="宋体" w:eastAsia="宋体" w:cs="宋体"/>
                <w:spacing w:val="14"/>
                <w:sz w:val="17"/>
                <w:szCs w:val="17"/>
              </w:rPr>
              <w:t>墩</w:t>
            </w:r>
            <w:r>
              <w:rPr>
                <w:rFonts w:ascii="宋体" w:hAnsi="宋体" w:eastAsia="宋体" w:cs="宋体"/>
                <w:spacing w:val="9"/>
                <w:sz w:val="17"/>
                <w:szCs w:val="17"/>
              </w:rPr>
              <w:t>等涉水作业选择枯水期施工；并设置施工围堰，施工范围控制在围堰内；河</w:t>
            </w:r>
            <w:r>
              <w:rPr>
                <w:rFonts w:ascii="宋体" w:hAnsi="宋体" w:eastAsia="宋体" w:cs="宋体"/>
                <w:sz w:val="17"/>
                <w:szCs w:val="17"/>
              </w:rPr>
              <w:t xml:space="preserve"> </w:t>
            </w:r>
            <w:r>
              <w:rPr>
                <w:rFonts w:ascii="宋体" w:hAnsi="宋体" w:eastAsia="宋体" w:cs="宋体"/>
                <w:spacing w:val="18"/>
                <w:sz w:val="17"/>
                <w:szCs w:val="17"/>
              </w:rPr>
              <w:t>岸</w:t>
            </w:r>
            <w:r>
              <w:rPr>
                <w:rFonts w:ascii="宋体" w:hAnsi="宋体" w:eastAsia="宋体" w:cs="宋体"/>
                <w:spacing w:val="17"/>
                <w:sz w:val="17"/>
                <w:szCs w:val="17"/>
              </w:rPr>
              <w:t>两</w:t>
            </w:r>
            <w:r>
              <w:rPr>
                <w:rFonts w:ascii="宋体" w:hAnsi="宋体" w:eastAsia="宋体" w:cs="宋体"/>
                <w:spacing w:val="9"/>
                <w:sz w:val="17"/>
                <w:szCs w:val="17"/>
              </w:rPr>
              <w:t>侧设置钻孔废水沉淀池和泥浆干化池；施工完毕后围堰、沉淀池及时拆除；</w:t>
            </w:r>
          </w:p>
          <w:p>
            <w:pPr>
              <w:spacing w:before="68" w:line="269" w:lineRule="auto"/>
              <w:ind w:left="67" w:right="51" w:hanging="16"/>
              <w:rPr>
                <w:rFonts w:ascii="宋体" w:hAnsi="宋体" w:eastAsia="宋体" w:cs="宋体"/>
                <w:sz w:val="17"/>
                <w:szCs w:val="17"/>
              </w:rPr>
            </w:pPr>
            <w:r>
              <w:rPr>
                <w:rFonts w:ascii="宋体" w:hAnsi="宋体" w:eastAsia="宋体" w:cs="宋体"/>
                <w:spacing w:val="18"/>
                <w:sz w:val="17"/>
                <w:szCs w:val="17"/>
              </w:rPr>
              <w:t>④工</w:t>
            </w:r>
            <w:r>
              <w:rPr>
                <w:rFonts w:ascii="宋体" w:hAnsi="宋体" w:eastAsia="宋体" w:cs="宋体"/>
                <w:spacing w:val="14"/>
                <w:sz w:val="17"/>
                <w:szCs w:val="17"/>
              </w:rPr>
              <w:t>程</w:t>
            </w:r>
            <w:r>
              <w:rPr>
                <w:rFonts w:ascii="宋体" w:hAnsi="宋体" w:eastAsia="宋体" w:cs="宋体"/>
                <w:spacing w:val="9"/>
                <w:sz w:val="17"/>
                <w:szCs w:val="17"/>
              </w:rPr>
              <w:t>完工后尽快进行生态恢复工作，以尽量减少植被破坏、水土流失对水生生物</w:t>
            </w:r>
            <w:r>
              <w:rPr>
                <w:rFonts w:ascii="宋体" w:hAnsi="宋体" w:eastAsia="宋体" w:cs="宋体"/>
                <w:sz w:val="17"/>
                <w:szCs w:val="17"/>
              </w:rPr>
              <w:t xml:space="preserve"> </w:t>
            </w:r>
            <w:r>
              <w:rPr>
                <w:rFonts w:ascii="宋体" w:hAnsi="宋体" w:eastAsia="宋体" w:cs="宋体"/>
                <w:spacing w:val="2"/>
                <w:sz w:val="17"/>
                <w:szCs w:val="17"/>
              </w:rPr>
              <w:t>的影响。</w:t>
            </w:r>
          </w:p>
        </w:tc>
        <w:tc>
          <w:tcPr>
            <w:tcW w:w="1246" w:type="dxa"/>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55" w:line="317" w:lineRule="auto"/>
              <w:ind w:left="267" w:right="80" w:hanging="177"/>
              <w:rPr>
                <w:rFonts w:ascii="宋体" w:hAnsi="宋体" w:eastAsia="宋体" w:cs="宋体"/>
                <w:sz w:val="17"/>
                <w:szCs w:val="17"/>
              </w:rPr>
            </w:pPr>
            <w:r>
              <w:rPr>
                <w:rFonts w:ascii="宋体" w:hAnsi="宋体" w:eastAsia="宋体" w:cs="宋体"/>
                <w:spacing w:val="10"/>
                <w:sz w:val="17"/>
                <w:szCs w:val="17"/>
              </w:rPr>
              <w:t>不</w:t>
            </w:r>
            <w:r>
              <w:rPr>
                <w:rFonts w:ascii="宋体" w:hAnsi="宋体" w:eastAsia="宋体" w:cs="宋体"/>
                <w:spacing w:val="8"/>
                <w:sz w:val="17"/>
                <w:szCs w:val="17"/>
              </w:rPr>
              <w:t>改变地表水</w:t>
            </w:r>
            <w:r>
              <w:rPr>
                <w:rFonts w:ascii="宋体" w:hAnsi="宋体" w:eastAsia="宋体" w:cs="宋体"/>
                <w:sz w:val="17"/>
                <w:szCs w:val="17"/>
              </w:rPr>
              <w:t xml:space="preserve"> </w:t>
            </w:r>
            <w:r>
              <w:rPr>
                <w:rFonts w:ascii="宋体" w:hAnsi="宋体" w:eastAsia="宋体" w:cs="宋体"/>
                <w:spacing w:val="8"/>
                <w:sz w:val="17"/>
                <w:szCs w:val="17"/>
              </w:rPr>
              <w:t>环境现状</w:t>
            </w:r>
          </w:p>
        </w:tc>
        <w:tc>
          <w:tcPr>
            <w:tcW w:w="3800" w:type="dxa"/>
            <w:vAlign w:val="top"/>
          </w:tcPr>
          <w:p>
            <w:pPr>
              <w:spacing w:before="125" w:line="294" w:lineRule="auto"/>
              <w:ind w:left="59" w:right="45"/>
              <w:rPr>
                <w:rFonts w:ascii="宋体" w:hAnsi="宋体" w:eastAsia="宋体" w:cs="宋体"/>
                <w:sz w:val="17"/>
                <w:szCs w:val="17"/>
              </w:rPr>
            </w:pPr>
            <w:r>
              <w:rPr>
                <w:rFonts w:ascii="宋体" w:hAnsi="宋体" w:eastAsia="宋体" w:cs="宋体"/>
                <w:spacing w:val="10"/>
                <w:sz w:val="17"/>
                <w:szCs w:val="17"/>
              </w:rPr>
              <w:t>①在</w:t>
            </w:r>
            <w:r>
              <w:rPr>
                <w:rFonts w:ascii="宋体" w:hAnsi="宋体" w:eastAsia="宋体" w:cs="宋体"/>
                <w:spacing w:val="9"/>
                <w:sz w:val="17"/>
                <w:szCs w:val="17"/>
              </w:rPr>
              <w:t>桥</w:t>
            </w:r>
            <w:r>
              <w:rPr>
                <w:rFonts w:ascii="宋体" w:hAnsi="宋体" w:eastAsia="宋体" w:cs="宋体"/>
                <w:spacing w:val="5"/>
                <w:sz w:val="17"/>
                <w:szCs w:val="17"/>
              </w:rPr>
              <w:t>梁两侧设排水管，收集间桥面雨水接入两</w:t>
            </w:r>
            <w:r>
              <w:rPr>
                <w:rFonts w:ascii="宋体" w:hAnsi="宋体" w:eastAsia="宋体" w:cs="宋体"/>
                <w:sz w:val="17"/>
                <w:szCs w:val="17"/>
              </w:rPr>
              <w:t xml:space="preserve"> </w:t>
            </w:r>
            <w:r>
              <w:rPr>
                <w:rFonts w:ascii="宋体" w:hAnsi="宋体" w:eastAsia="宋体" w:cs="宋体"/>
                <w:spacing w:val="11"/>
                <w:sz w:val="17"/>
                <w:szCs w:val="17"/>
              </w:rPr>
              <w:t>端的市政雨水管网。</w:t>
            </w:r>
            <w:r>
              <w:rPr>
                <w:rFonts w:ascii="宋体" w:hAnsi="宋体" w:eastAsia="宋体" w:cs="宋体"/>
                <w:sz w:val="17"/>
                <w:szCs w:val="17"/>
              </w:rPr>
              <w:t xml:space="preserve">                         </w:t>
            </w:r>
            <w:r>
              <w:rPr>
                <w:rFonts w:ascii="宋体" w:hAnsi="宋体" w:eastAsia="宋体" w:cs="宋体"/>
                <w:spacing w:val="10"/>
                <w:sz w:val="17"/>
                <w:szCs w:val="17"/>
              </w:rPr>
              <w:t>②连接</w:t>
            </w:r>
            <w:r>
              <w:rPr>
                <w:rFonts w:ascii="宋体" w:hAnsi="宋体" w:eastAsia="宋体" w:cs="宋体"/>
                <w:spacing w:val="5"/>
                <w:sz w:val="17"/>
                <w:szCs w:val="17"/>
              </w:rPr>
              <w:t>道路配套建设雨污管道，在桥梁两端设置</w:t>
            </w:r>
            <w:r>
              <w:rPr>
                <w:rFonts w:ascii="宋体" w:hAnsi="宋体" w:eastAsia="宋体" w:cs="宋体"/>
                <w:sz w:val="17"/>
                <w:szCs w:val="17"/>
              </w:rPr>
              <w:t xml:space="preserve"> </w:t>
            </w:r>
            <w:r>
              <w:rPr>
                <w:rFonts w:ascii="宋体" w:hAnsi="宋体" w:eastAsia="宋体" w:cs="宋体"/>
                <w:spacing w:val="10"/>
                <w:sz w:val="17"/>
                <w:szCs w:val="17"/>
              </w:rPr>
              <w:t>限速、</w:t>
            </w:r>
            <w:r>
              <w:rPr>
                <w:rFonts w:ascii="宋体" w:hAnsi="宋体" w:eastAsia="宋体" w:cs="宋体"/>
                <w:spacing w:val="5"/>
                <w:sz w:val="17"/>
                <w:szCs w:val="17"/>
              </w:rPr>
              <w:t>禁止超车等警示标志，要求危险品车辆限</w:t>
            </w:r>
            <w:r>
              <w:rPr>
                <w:rFonts w:ascii="宋体" w:hAnsi="宋体" w:eastAsia="宋体" w:cs="宋体"/>
                <w:sz w:val="17"/>
                <w:szCs w:val="17"/>
              </w:rPr>
              <w:t xml:space="preserve"> </w:t>
            </w:r>
            <w:r>
              <w:rPr>
                <w:rFonts w:ascii="宋体" w:hAnsi="宋体" w:eastAsia="宋体" w:cs="宋体"/>
                <w:spacing w:val="19"/>
                <w:sz w:val="17"/>
                <w:szCs w:val="17"/>
              </w:rPr>
              <w:t>速</w:t>
            </w:r>
            <w:r>
              <w:rPr>
                <w:rFonts w:ascii="宋体" w:hAnsi="宋体" w:eastAsia="宋体" w:cs="宋体"/>
                <w:spacing w:val="10"/>
                <w:sz w:val="17"/>
                <w:szCs w:val="17"/>
              </w:rPr>
              <w:t>通过，并设置连续的防撞护栏。</w:t>
            </w:r>
            <w:r>
              <w:rPr>
                <w:rFonts w:ascii="宋体" w:hAnsi="宋体" w:eastAsia="宋体" w:cs="宋体"/>
                <w:sz w:val="17"/>
                <w:szCs w:val="17"/>
              </w:rPr>
              <w:t xml:space="preserve">            </w:t>
            </w:r>
            <w:r>
              <w:rPr>
                <w:rFonts w:ascii="宋体" w:hAnsi="宋体" w:eastAsia="宋体" w:cs="宋体"/>
                <w:spacing w:val="10"/>
                <w:sz w:val="17"/>
                <w:szCs w:val="17"/>
              </w:rPr>
              <w:t>③加强</w:t>
            </w:r>
            <w:r>
              <w:rPr>
                <w:rFonts w:ascii="宋体" w:hAnsi="宋体" w:eastAsia="宋体" w:cs="宋体"/>
                <w:spacing w:val="5"/>
                <w:sz w:val="17"/>
                <w:szCs w:val="17"/>
              </w:rPr>
              <w:t>营运期道路管理，保持路面清洁，从而达</w:t>
            </w:r>
            <w:r>
              <w:rPr>
                <w:rFonts w:ascii="宋体" w:hAnsi="宋体" w:eastAsia="宋体" w:cs="宋体"/>
                <w:sz w:val="17"/>
                <w:szCs w:val="17"/>
              </w:rPr>
              <w:t xml:space="preserve"> </w:t>
            </w:r>
            <w:r>
              <w:rPr>
                <w:rFonts w:ascii="宋体" w:hAnsi="宋体" w:eastAsia="宋体" w:cs="宋体"/>
                <w:spacing w:val="11"/>
                <w:sz w:val="17"/>
                <w:szCs w:val="17"/>
              </w:rPr>
              <w:t>到</w:t>
            </w:r>
            <w:r>
              <w:rPr>
                <w:rFonts w:ascii="宋体" w:hAnsi="宋体" w:eastAsia="宋体" w:cs="宋体"/>
                <w:spacing w:val="9"/>
                <w:sz w:val="17"/>
                <w:szCs w:val="17"/>
              </w:rPr>
              <w:t>改善径流水质和保护地表水体的目的。</w:t>
            </w:r>
          </w:p>
        </w:tc>
        <w:tc>
          <w:tcPr>
            <w:tcW w:w="1695" w:type="dxa"/>
            <w:tcBorders>
              <w:right w:val="single" w:color="000000" w:sz="6" w:space="0"/>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55" w:line="317" w:lineRule="auto"/>
              <w:ind w:left="675" w:right="117" w:hanging="538"/>
              <w:rPr>
                <w:rFonts w:ascii="宋体" w:hAnsi="宋体" w:eastAsia="宋体" w:cs="宋体"/>
                <w:sz w:val="17"/>
                <w:szCs w:val="17"/>
              </w:rPr>
            </w:pPr>
            <w:r>
              <w:rPr>
                <w:rFonts w:ascii="宋体" w:hAnsi="宋体" w:eastAsia="宋体" w:cs="宋体"/>
                <w:spacing w:val="14"/>
                <w:sz w:val="17"/>
                <w:szCs w:val="17"/>
              </w:rPr>
              <w:t>不</w:t>
            </w:r>
            <w:r>
              <w:rPr>
                <w:rFonts w:ascii="宋体" w:hAnsi="宋体" w:eastAsia="宋体" w:cs="宋体"/>
                <w:spacing w:val="8"/>
                <w:sz w:val="17"/>
                <w:szCs w:val="17"/>
              </w:rPr>
              <w:t>改变地表水环境</w:t>
            </w:r>
            <w:r>
              <w:rPr>
                <w:rFonts w:ascii="宋体" w:hAnsi="宋体" w:eastAsia="宋体" w:cs="宋体"/>
                <w:sz w:val="17"/>
                <w:szCs w:val="17"/>
              </w:rPr>
              <w:t xml:space="preserve"> </w:t>
            </w:r>
            <w:r>
              <w:rPr>
                <w:rFonts w:ascii="宋体" w:hAnsi="宋体" w:eastAsia="宋体" w:cs="宋体"/>
                <w:spacing w:val="6"/>
                <w:sz w:val="17"/>
                <w:szCs w:val="17"/>
              </w:rPr>
              <w:t>现</w:t>
            </w:r>
            <w:r>
              <w:rPr>
                <w:rFonts w:ascii="宋体" w:hAnsi="宋体" w:eastAsia="宋体" w:cs="宋体"/>
                <w:spacing w:val="5"/>
                <w:sz w:val="17"/>
                <w:szCs w:val="17"/>
              </w:rPr>
              <w:t>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0" w:hRule="atLeast"/>
        </w:trPr>
        <w:tc>
          <w:tcPr>
            <w:tcW w:w="885" w:type="dxa"/>
            <w:tcBorders>
              <w:left w:val="single" w:color="000000" w:sz="6" w:space="0"/>
            </w:tcBorders>
            <w:vAlign w:val="top"/>
          </w:tcPr>
          <w:p>
            <w:pPr>
              <w:spacing w:before="241" w:line="317" w:lineRule="auto"/>
              <w:ind w:left="78" w:right="83"/>
              <w:rPr>
                <w:rFonts w:ascii="宋体" w:hAnsi="宋体" w:eastAsia="宋体" w:cs="宋体"/>
                <w:sz w:val="17"/>
                <w:szCs w:val="17"/>
              </w:rPr>
            </w:pPr>
            <w:r>
              <w:rPr>
                <w:rFonts w:ascii="宋体" w:hAnsi="宋体" w:eastAsia="宋体" w:cs="宋体"/>
                <w:spacing w:val="8"/>
                <w:sz w:val="17"/>
                <w:szCs w:val="17"/>
              </w:rPr>
              <w:t>地下水及</w:t>
            </w:r>
            <w:r>
              <w:rPr>
                <w:rFonts w:ascii="宋体" w:hAnsi="宋体" w:eastAsia="宋体" w:cs="宋体"/>
                <w:sz w:val="17"/>
                <w:szCs w:val="17"/>
              </w:rPr>
              <w:t xml:space="preserve"> </w:t>
            </w:r>
            <w:r>
              <w:rPr>
                <w:rFonts w:ascii="宋体" w:hAnsi="宋体" w:eastAsia="宋体" w:cs="宋体"/>
                <w:spacing w:val="8"/>
                <w:sz w:val="17"/>
                <w:szCs w:val="17"/>
              </w:rPr>
              <w:t>土壤环境</w:t>
            </w:r>
          </w:p>
        </w:tc>
        <w:tc>
          <w:tcPr>
            <w:tcW w:w="6575" w:type="dxa"/>
            <w:vAlign w:val="top"/>
          </w:tcPr>
          <w:p>
            <w:pPr>
              <w:spacing w:before="102" w:line="279" w:lineRule="auto"/>
              <w:ind w:left="52" w:right="51"/>
              <w:rPr>
                <w:rFonts w:ascii="宋体" w:hAnsi="宋体" w:eastAsia="宋体" w:cs="宋体"/>
                <w:sz w:val="17"/>
                <w:szCs w:val="17"/>
              </w:rPr>
            </w:pPr>
            <w:r>
              <w:rPr>
                <w:rFonts w:ascii="宋体" w:hAnsi="宋体" w:eastAsia="宋体" w:cs="宋体"/>
                <w:spacing w:val="18"/>
                <w:sz w:val="17"/>
                <w:szCs w:val="17"/>
              </w:rPr>
              <w:t>①施</w:t>
            </w:r>
            <w:r>
              <w:rPr>
                <w:rFonts w:ascii="宋体" w:hAnsi="宋体" w:eastAsia="宋体" w:cs="宋体"/>
                <w:spacing w:val="13"/>
                <w:sz w:val="17"/>
                <w:szCs w:val="17"/>
              </w:rPr>
              <w:t>工</w:t>
            </w:r>
            <w:r>
              <w:rPr>
                <w:rFonts w:ascii="宋体" w:hAnsi="宋体" w:eastAsia="宋体" w:cs="宋体"/>
                <w:spacing w:val="9"/>
                <w:sz w:val="17"/>
                <w:szCs w:val="17"/>
              </w:rPr>
              <w:t>机械停放点、水泥等有害物质暂存区进行硬化防渗②弃渣场施工前应对表层</w:t>
            </w:r>
            <w:r>
              <w:rPr>
                <w:rFonts w:ascii="宋体" w:hAnsi="宋体" w:eastAsia="宋体" w:cs="宋体"/>
                <w:sz w:val="17"/>
                <w:szCs w:val="17"/>
              </w:rPr>
              <w:t xml:space="preserve"> </w:t>
            </w:r>
            <w:r>
              <w:rPr>
                <w:rFonts w:ascii="宋体" w:hAnsi="宋体" w:eastAsia="宋体" w:cs="宋体"/>
                <w:spacing w:val="18"/>
                <w:sz w:val="17"/>
                <w:szCs w:val="17"/>
              </w:rPr>
              <w:t>肥沃</w:t>
            </w:r>
            <w:r>
              <w:rPr>
                <w:rFonts w:ascii="宋体" w:hAnsi="宋体" w:eastAsia="宋体" w:cs="宋体"/>
                <w:spacing w:val="12"/>
                <w:sz w:val="17"/>
                <w:szCs w:val="17"/>
              </w:rPr>
              <w:t>土</w:t>
            </w:r>
            <w:r>
              <w:rPr>
                <w:rFonts w:ascii="宋体" w:hAnsi="宋体" w:eastAsia="宋体" w:cs="宋体"/>
                <w:spacing w:val="9"/>
                <w:sz w:val="17"/>
                <w:szCs w:val="17"/>
              </w:rPr>
              <w:t>壤剥离单独保存，设置表土临时堆放点，弃渣完毕后回铺至弃土表面用于植</w:t>
            </w:r>
            <w:r>
              <w:rPr>
                <w:rFonts w:ascii="宋体" w:hAnsi="宋体" w:eastAsia="宋体" w:cs="宋体"/>
                <w:sz w:val="17"/>
                <w:szCs w:val="17"/>
              </w:rPr>
              <w:t xml:space="preserve"> </w:t>
            </w:r>
            <w:r>
              <w:rPr>
                <w:rFonts w:ascii="宋体" w:hAnsi="宋体" w:eastAsia="宋体" w:cs="宋体"/>
                <w:spacing w:val="8"/>
                <w:sz w:val="17"/>
                <w:szCs w:val="17"/>
              </w:rPr>
              <w:t>被</w:t>
            </w:r>
            <w:r>
              <w:rPr>
                <w:rFonts w:ascii="宋体" w:hAnsi="宋体" w:eastAsia="宋体" w:cs="宋体"/>
                <w:spacing w:val="7"/>
                <w:sz w:val="17"/>
                <w:szCs w:val="17"/>
              </w:rPr>
              <w:t>恢复</w:t>
            </w:r>
          </w:p>
        </w:tc>
        <w:tc>
          <w:tcPr>
            <w:tcW w:w="1246" w:type="dxa"/>
            <w:vAlign w:val="top"/>
          </w:tcPr>
          <w:p>
            <w:pPr>
              <w:spacing w:before="101" w:line="230" w:lineRule="auto"/>
              <w:ind w:left="181"/>
              <w:rPr>
                <w:rFonts w:ascii="宋体" w:hAnsi="宋体" w:eastAsia="宋体" w:cs="宋体"/>
                <w:sz w:val="17"/>
                <w:szCs w:val="17"/>
              </w:rPr>
            </w:pPr>
            <w:r>
              <w:rPr>
                <w:rFonts w:ascii="宋体" w:hAnsi="宋体" w:eastAsia="宋体" w:cs="宋体"/>
                <w:spacing w:val="8"/>
                <w:sz w:val="17"/>
                <w:szCs w:val="17"/>
              </w:rPr>
              <w:t>不改变地下</w:t>
            </w:r>
          </w:p>
          <w:p>
            <w:pPr>
              <w:spacing w:before="66" w:line="230" w:lineRule="auto"/>
              <w:ind w:left="89"/>
              <w:rPr>
                <w:rFonts w:ascii="宋体" w:hAnsi="宋体" w:eastAsia="宋体" w:cs="宋体"/>
                <w:sz w:val="17"/>
                <w:szCs w:val="17"/>
              </w:rPr>
            </w:pPr>
            <w:r>
              <w:rPr>
                <w:rFonts w:ascii="宋体" w:hAnsi="宋体" w:eastAsia="宋体" w:cs="宋体"/>
                <w:spacing w:val="10"/>
                <w:sz w:val="17"/>
                <w:szCs w:val="17"/>
              </w:rPr>
              <w:t>水</w:t>
            </w:r>
            <w:r>
              <w:rPr>
                <w:rFonts w:ascii="宋体" w:hAnsi="宋体" w:eastAsia="宋体" w:cs="宋体"/>
                <w:spacing w:val="8"/>
                <w:sz w:val="17"/>
                <w:szCs w:val="17"/>
              </w:rPr>
              <w:t>、土壤环境</w:t>
            </w:r>
          </w:p>
          <w:p>
            <w:pPr>
              <w:spacing w:before="69" w:line="230" w:lineRule="auto"/>
              <w:ind w:left="448"/>
              <w:rPr>
                <w:rFonts w:ascii="宋体" w:hAnsi="宋体" w:eastAsia="宋体" w:cs="宋体"/>
                <w:sz w:val="17"/>
                <w:szCs w:val="17"/>
              </w:rPr>
            </w:pPr>
            <w:r>
              <w:rPr>
                <w:rFonts w:ascii="宋体" w:hAnsi="宋体" w:eastAsia="宋体" w:cs="宋体"/>
                <w:spacing w:val="6"/>
                <w:sz w:val="17"/>
                <w:szCs w:val="17"/>
              </w:rPr>
              <w:t>现</w:t>
            </w:r>
            <w:r>
              <w:rPr>
                <w:rFonts w:ascii="宋体" w:hAnsi="宋体" w:eastAsia="宋体" w:cs="宋体"/>
                <w:spacing w:val="5"/>
                <w:sz w:val="17"/>
                <w:szCs w:val="17"/>
              </w:rPr>
              <w:t>状</w:t>
            </w:r>
          </w:p>
        </w:tc>
        <w:tc>
          <w:tcPr>
            <w:tcW w:w="3800" w:type="dxa"/>
            <w:vAlign w:val="top"/>
          </w:tcPr>
          <w:p>
            <w:pPr>
              <w:spacing w:line="297" w:lineRule="auto"/>
              <w:rPr>
                <w:rFonts w:ascii="Arial"/>
                <w:sz w:val="21"/>
              </w:rPr>
            </w:pPr>
          </w:p>
          <w:p>
            <w:pPr>
              <w:spacing w:before="48" w:line="243" w:lineRule="exact"/>
              <w:ind w:left="53"/>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695" w:type="dxa"/>
            <w:tcBorders>
              <w:right w:val="single" w:color="000000" w:sz="6" w:space="0"/>
            </w:tcBorders>
            <w:vAlign w:val="top"/>
          </w:tcPr>
          <w:p>
            <w:pPr>
              <w:spacing w:line="297" w:lineRule="auto"/>
              <w:rPr>
                <w:rFonts w:ascii="Arial"/>
                <w:sz w:val="21"/>
              </w:rPr>
            </w:pPr>
          </w:p>
          <w:p>
            <w:pPr>
              <w:spacing w:before="48" w:line="243" w:lineRule="exact"/>
              <w:ind w:left="820"/>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r>
    </w:tbl>
    <w:p>
      <w:pPr>
        <w:rPr>
          <w:rFonts w:ascii="Arial"/>
          <w:sz w:val="21"/>
        </w:rPr>
      </w:pPr>
    </w:p>
    <w:p>
      <w:pPr>
        <w:sectPr>
          <w:footerReference r:id="rId101" w:type="default"/>
          <w:pgSz w:w="16839" w:h="11906"/>
          <w:pgMar w:top="400" w:right="1311" w:bottom="1475" w:left="1310" w:header="0" w:footer="1315" w:gutter="0"/>
          <w:cols w:space="720" w:num="1"/>
        </w:sectPr>
      </w:pPr>
    </w:p>
    <w:p/>
    <w:p/>
    <w:p/>
    <w:p/>
    <w:p/>
    <w:p>
      <w:pPr>
        <w:spacing w:line="189" w:lineRule="exact"/>
      </w:pPr>
    </w:p>
    <w:tbl>
      <w:tblPr>
        <w:tblStyle w:val="4"/>
        <w:tblW w:w="1420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5"/>
        <w:gridCol w:w="6575"/>
        <w:gridCol w:w="1246"/>
        <w:gridCol w:w="3800"/>
        <w:gridCol w:w="16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9" w:hRule="atLeast"/>
        </w:trPr>
        <w:tc>
          <w:tcPr>
            <w:tcW w:w="885" w:type="dxa"/>
            <w:tcBorders>
              <w:left w:val="single" w:color="000000" w:sz="6" w:space="0"/>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55" w:line="231" w:lineRule="auto"/>
              <w:ind w:left="173"/>
              <w:rPr>
                <w:rFonts w:ascii="宋体" w:hAnsi="宋体" w:eastAsia="宋体" w:cs="宋体"/>
                <w:sz w:val="17"/>
                <w:szCs w:val="17"/>
              </w:rPr>
            </w:pPr>
            <w:r>
              <w:rPr>
                <w:rFonts w:ascii="宋体" w:hAnsi="宋体" w:eastAsia="宋体" w:cs="宋体"/>
                <w:spacing w:val="7"/>
                <w:sz w:val="17"/>
                <w:szCs w:val="17"/>
              </w:rPr>
              <w:t>声</w:t>
            </w:r>
            <w:r>
              <w:rPr>
                <w:rFonts w:ascii="宋体" w:hAnsi="宋体" w:eastAsia="宋体" w:cs="宋体"/>
                <w:spacing w:val="6"/>
                <w:sz w:val="17"/>
                <w:szCs w:val="17"/>
              </w:rPr>
              <w:t>环境</w:t>
            </w:r>
          </w:p>
        </w:tc>
        <w:tc>
          <w:tcPr>
            <w:tcW w:w="6575" w:type="dxa"/>
            <w:vAlign w:val="top"/>
          </w:tcPr>
          <w:p>
            <w:pPr>
              <w:spacing w:before="225" w:line="228" w:lineRule="auto"/>
              <w:ind w:left="52"/>
              <w:rPr>
                <w:rFonts w:ascii="宋体" w:hAnsi="宋体" w:eastAsia="宋体" w:cs="宋体"/>
                <w:sz w:val="17"/>
                <w:szCs w:val="17"/>
              </w:rPr>
            </w:pPr>
            <w:r>
              <w:rPr>
                <w:rFonts w:ascii="宋体" w:hAnsi="宋体" w:eastAsia="宋体" w:cs="宋体"/>
                <w:spacing w:val="17"/>
                <w:sz w:val="17"/>
                <w:szCs w:val="17"/>
              </w:rPr>
              <w:t>①</w:t>
            </w:r>
            <w:r>
              <w:rPr>
                <w:rFonts w:ascii="宋体" w:hAnsi="宋体" w:eastAsia="宋体" w:cs="宋体"/>
                <w:spacing w:val="9"/>
                <w:sz w:val="17"/>
                <w:szCs w:val="17"/>
              </w:rPr>
              <w:t>选用先进、噪声低的设备；加强机械设备的保养维修；</w:t>
            </w:r>
          </w:p>
          <w:p>
            <w:pPr>
              <w:spacing w:before="67" w:line="268" w:lineRule="auto"/>
              <w:ind w:left="52" w:right="51" w:hanging="1"/>
              <w:rPr>
                <w:rFonts w:ascii="宋体" w:hAnsi="宋体" w:eastAsia="宋体" w:cs="宋体"/>
                <w:sz w:val="17"/>
                <w:szCs w:val="17"/>
              </w:rPr>
            </w:pPr>
            <w:r>
              <w:rPr>
                <w:rFonts w:ascii="宋体" w:hAnsi="宋体" w:eastAsia="宋体" w:cs="宋体"/>
                <w:spacing w:val="18"/>
                <w:sz w:val="17"/>
                <w:szCs w:val="17"/>
              </w:rPr>
              <w:t>②合</w:t>
            </w:r>
            <w:r>
              <w:rPr>
                <w:rFonts w:ascii="宋体" w:hAnsi="宋体" w:eastAsia="宋体" w:cs="宋体"/>
                <w:spacing w:val="14"/>
                <w:sz w:val="17"/>
                <w:szCs w:val="17"/>
              </w:rPr>
              <w:t>理</w:t>
            </w:r>
            <w:r>
              <w:rPr>
                <w:rFonts w:ascii="宋体" w:hAnsi="宋体" w:eastAsia="宋体" w:cs="宋体"/>
                <w:spacing w:val="9"/>
                <w:sz w:val="17"/>
                <w:szCs w:val="17"/>
              </w:rPr>
              <w:t>安排工期和作业时间；优化运输线路，尽量避免运输路线进入集镇等住户密</w:t>
            </w:r>
            <w:r>
              <w:rPr>
                <w:rFonts w:ascii="宋体" w:hAnsi="宋体" w:eastAsia="宋体" w:cs="宋体"/>
                <w:sz w:val="17"/>
                <w:szCs w:val="17"/>
              </w:rPr>
              <w:t xml:space="preserve"> </w:t>
            </w:r>
            <w:r>
              <w:rPr>
                <w:rFonts w:ascii="宋体" w:hAnsi="宋体" w:eastAsia="宋体" w:cs="宋体"/>
                <w:spacing w:val="14"/>
                <w:sz w:val="17"/>
                <w:szCs w:val="17"/>
              </w:rPr>
              <w:t>集</w:t>
            </w:r>
            <w:r>
              <w:rPr>
                <w:rFonts w:ascii="宋体" w:hAnsi="宋体" w:eastAsia="宋体" w:cs="宋体"/>
                <w:spacing w:val="9"/>
                <w:sz w:val="17"/>
                <w:szCs w:val="17"/>
              </w:rPr>
              <w:t>区域；运输车辆进入现场应减速、并减少鸣笛等；</w:t>
            </w:r>
          </w:p>
          <w:p>
            <w:pPr>
              <w:spacing w:before="68" w:line="228" w:lineRule="auto"/>
              <w:ind w:left="51"/>
              <w:rPr>
                <w:rFonts w:ascii="宋体" w:hAnsi="宋体" w:eastAsia="宋体" w:cs="宋体"/>
                <w:sz w:val="17"/>
                <w:szCs w:val="17"/>
              </w:rPr>
            </w:pPr>
            <w:r>
              <w:rPr>
                <w:rFonts w:ascii="宋体" w:hAnsi="宋体" w:eastAsia="宋体" w:cs="宋体"/>
                <w:spacing w:val="18"/>
                <w:sz w:val="17"/>
                <w:szCs w:val="17"/>
              </w:rPr>
              <w:t>③</w:t>
            </w:r>
            <w:r>
              <w:rPr>
                <w:rFonts w:ascii="宋体" w:hAnsi="宋体" w:eastAsia="宋体" w:cs="宋体"/>
                <w:spacing w:val="14"/>
                <w:sz w:val="17"/>
                <w:szCs w:val="17"/>
              </w:rPr>
              <w:t>合</w:t>
            </w:r>
            <w:r>
              <w:rPr>
                <w:rFonts w:ascii="宋体" w:hAnsi="宋体" w:eastAsia="宋体" w:cs="宋体"/>
                <w:spacing w:val="9"/>
                <w:sz w:val="17"/>
                <w:szCs w:val="17"/>
              </w:rPr>
              <w:t>理布局施工机械位置，避免在同一地点安排大量动力机械设备；</w:t>
            </w:r>
          </w:p>
          <w:p>
            <w:pPr>
              <w:spacing w:before="68" w:line="228" w:lineRule="auto"/>
              <w:ind w:left="51"/>
              <w:rPr>
                <w:rFonts w:ascii="宋体" w:hAnsi="宋体" w:eastAsia="宋体" w:cs="宋体"/>
                <w:sz w:val="17"/>
                <w:szCs w:val="17"/>
              </w:rPr>
            </w:pPr>
            <w:r>
              <w:rPr>
                <w:rFonts w:ascii="宋体" w:hAnsi="宋体" w:eastAsia="宋体" w:cs="宋体"/>
                <w:spacing w:val="8"/>
                <w:sz w:val="17"/>
                <w:szCs w:val="17"/>
              </w:rPr>
              <w:t xml:space="preserve">⑤拌和站等场地四周修建不低于 </w:t>
            </w:r>
            <w:r>
              <w:rPr>
                <w:rFonts w:ascii="Times New Roman" w:hAnsi="Times New Roman" w:eastAsia="Times New Roman" w:cs="Times New Roman"/>
                <w:spacing w:val="8"/>
                <w:sz w:val="17"/>
                <w:szCs w:val="17"/>
              </w:rPr>
              <w:t>2.5</w:t>
            </w:r>
            <w:r>
              <w:rPr>
                <w:rFonts w:ascii="Times New Roman" w:hAnsi="Times New Roman" w:eastAsia="Times New Roman" w:cs="Times New Roman"/>
                <w:sz w:val="17"/>
                <w:szCs w:val="17"/>
              </w:rPr>
              <w:t>m</w:t>
            </w:r>
            <w:r>
              <w:rPr>
                <w:rFonts w:ascii="Times New Roman" w:hAnsi="Times New Roman" w:eastAsia="Times New Roman" w:cs="Times New Roman"/>
                <w:spacing w:val="8"/>
                <w:sz w:val="17"/>
                <w:szCs w:val="17"/>
              </w:rPr>
              <w:t xml:space="preserve"> </w:t>
            </w:r>
            <w:r>
              <w:rPr>
                <w:rFonts w:ascii="宋体" w:hAnsi="宋体" w:eastAsia="宋体" w:cs="宋体"/>
                <w:spacing w:val="8"/>
                <w:sz w:val="17"/>
                <w:szCs w:val="17"/>
              </w:rPr>
              <w:t>高围墙；尽量安排在昼间生产、文明生产</w:t>
            </w:r>
            <w:r>
              <w:rPr>
                <w:rFonts w:ascii="宋体" w:hAnsi="宋体" w:eastAsia="宋体" w:cs="宋体"/>
                <w:spacing w:val="2"/>
                <w:sz w:val="17"/>
                <w:szCs w:val="17"/>
              </w:rPr>
              <w:t>。</w:t>
            </w:r>
          </w:p>
        </w:tc>
        <w:tc>
          <w:tcPr>
            <w:tcW w:w="1246" w:type="dxa"/>
            <w:vAlign w:val="top"/>
          </w:tcPr>
          <w:p>
            <w:pPr>
              <w:spacing w:line="293" w:lineRule="auto"/>
              <w:rPr>
                <w:rFonts w:ascii="Arial"/>
                <w:sz w:val="21"/>
              </w:rPr>
            </w:pPr>
          </w:p>
          <w:p>
            <w:pPr>
              <w:spacing w:line="294" w:lineRule="auto"/>
              <w:rPr>
                <w:rFonts w:ascii="Arial"/>
                <w:sz w:val="21"/>
              </w:rPr>
            </w:pPr>
          </w:p>
          <w:p>
            <w:pPr>
              <w:spacing w:before="55" w:line="316" w:lineRule="auto"/>
              <w:ind w:left="547" w:right="80" w:hanging="457"/>
              <w:rPr>
                <w:rFonts w:ascii="宋体" w:hAnsi="宋体" w:eastAsia="宋体" w:cs="宋体"/>
                <w:sz w:val="17"/>
                <w:szCs w:val="17"/>
              </w:rPr>
            </w:pPr>
            <w:r>
              <w:rPr>
                <w:rFonts w:ascii="宋体" w:hAnsi="宋体" w:eastAsia="宋体" w:cs="宋体"/>
                <w:spacing w:val="10"/>
                <w:sz w:val="17"/>
                <w:szCs w:val="17"/>
              </w:rPr>
              <w:t>不</w:t>
            </w:r>
            <w:r>
              <w:rPr>
                <w:rFonts w:ascii="宋体" w:hAnsi="宋体" w:eastAsia="宋体" w:cs="宋体"/>
                <w:spacing w:val="8"/>
                <w:sz w:val="17"/>
                <w:szCs w:val="17"/>
              </w:rPr>
              <w:t>造成扰民影</w:t>
            </w:r>
            <w:r>
              <w:rPr>
                <w:rFonts w:ascii="宋体" w:hAnsi="宋体" w:eastAsia="宋体" w:cs="宋体"/>
                <w:sz w:val="17"/>
                <w:szCs w:val="17"/>
              </w:rPr>
              <w:t xml:space="preserve"> 响</w:t>
            </w:r>
          </w:p>
        </w:tc>
        <w:tc>
          <w:tcPr>
            <w:tcW w:w="3800" w:type="dxa"/>
            <w:vAlign w:val="top"/>
          </w:tcPr>
          <w:p>
            <w:pPr>
              <w:spacing w:before="85" w:line="292" w:lineRule="auto"/>
              <w:ind w:left="59" w:right="45"/>
              <w:rPr>
                <w:rFonts w:ascii="宋体" w:hAnsi="宋体" w:eastAsia="宋体" w:cs="宋体"/>
                <w:sz w:val="17"/>
                <w:szCs w:val="17"/>
              </w:rPr>
            </w:pPr>
            <w:r>
              <w:rPr>
                <w:rFonts w:ascii="宋体" w:hAnsi="宋体" w:eastAsia="宋体" w:cs="宋体"/>
                <w:spacing w:val="10"/>
                <w:sz w:val="17"/>
                <w:szCs w:val="17"/>
              </w:rPr>
              <w:t>①声</w:t>
            </w:r>
            <w:r>
              <w:rPr>
                <w:rFonts w:ascii="宋体" w:hAnsi="宋体" w:eastAsia="宋体" w:cs="宋体"/>
                <w:spacing w:val="9"/>
                <w:sz w:val="17"/>
                <w:szCs w:val="17"/>
              </w:rPr>
              <w:t>源</w:t>
            </w:r>
            <w:r>
              <w:rPr>
                <w:rFonts w:ascii="宋体" w:hAnsi="宋体" w:eastAsia="宋体" w:cs="宋体"/>
                <w:spacing w:val="5"/>
                <w:sz w:val="17"/>
                <w:szCs w:val="17"/>
              </w:rPr>
              <w:t>控制。采用柔性沥青路面、桥梁两端限制</w:t>
            </w:r>
            <w:r>
              <w:rPr>
                <w:rFonts w:ascii="宋体" w:hAnsi="宋体" w:eastAsia="宋体" w:cs="宋体"/>
                <w:sz w:val="17"/>
                <w:szCs w:val="17"/>
              </w:rPr>
              <w:t xml:space="preserve"> </w:t>
            </w:r>
            <w:r>
              <w:rPr>
                <w:rFonts w:ascii="宋体" w:hAnsi="宋体" w:eastAsia="宋体" w:cs="宋体"/>
                <w:spacing w:val="14"/>
                <w:sz w:val="17"/>
                <w:szCs w:val="17"/>
              </w:rPr>
              <w:t>鸣</w:t>
            </w:r>
            <w:r>
              <w:rPr>
                <w:rFonts w:ascii="宋体" w:hAnsi="宋体" w:eastAsia="宋体" w:cs="宋体"/>
                <w:spacing w:val="11"/>
                <w:sz w:val="17"/>
                <w:szCs w:val="17"/>
              </w:rPr>
              <w:t>笛等措施。</w:t>
            </w:r>
            <w:r>
              <w:rPr>
                <w:rFonts w:ascii="宋体" w:hAnsi="宋体" w:eastAsia="宋体" w:cs="宋体"/>
                <w:sz w:val="17"/>
                <w:szCs w:val="17"/>
              </w:rPr>
              <w:t xml:space="preserve">                               </w:t>
            </w:r>
            <w:r>
              <w:rPr>
                <w:rFonts w:ascii="宋体" w:hAnsi="宋体" w:eastAsia="宋体" w:cs="宋体"/>
                <w:spacing w:val="10"/>
                <w:sz w:val="17"/>
                <w:szCs w:val="17"/>
              </w:rPr>
              <w:t>②声传</w:t>
            </w:r>
            <w:r>
              <w:rPr>
                <w:rFonts w:ascii="宋体" w:hAnsi="宋体" w:eastAsia="宋体" w:cs="宋体"/>
                <w:spacing w:val="5"/>
                <w:sz w:val="17"/>
                <w:szCs w:val="17"/>
              </w:rPr>
              <w:t>播途径控制。在桥梁两侧设防撞墙、防抛</w:t>
            </w:r>
            <w:r>
              <w:rPr>
                <w:rFonts w:ascii="宋体" w:hAnsi="宋体" w:eastAsia="宋体" w:cs="宋体"/>
                <w:sz w:val="17"/>
                <w:szCs w:val="17"/>
              </w:rPr>
              <w:t xml:space="preserve"> </w:t>
            </w:r>
            <w:r>
              <w:rPr>
                <w:rFonts w:ascii="宋体" w:hAnsi="宋体" w:eastAsia="宋体" w:cs="宋体"/>
                <w:spacing w:val="19"/>
                <w:sz w:val="17"/>
                <w:szCs w:val="17"/>
              </w:rPr>
              <w:t>网</w:t>
            </w:r>
            <w:r>
              <w:rPr>
                <w:rFonts w:ascii="宋体" w:hAnsi="宋体" w:eastAsia="宋体" w:cs="宋体"/>
                <w:spacing w:val="10"/>
                <w:sz w:val="17"/>
                <w:szCs w:val="17"/>
              </w:rPr>
              <w:t>，两端种植绿化林带等措施。</w:t>
            </w:r>
            <w:r>
              <w:rPr>
                <w:rFonts w:ascii="宋体" w:hAnsi="宋体" w:eastAsia="宋体" w:cs="宋体"/>
                <w:sz w:val="17"/>
                <w:szCs w:val="17"/>
              </w:rPr>
              <w:t xml:space="preserve">              </w:t>
            </w:r>
            <w:r>
              <w:rPr>
                <w:rFonts w:ascii="宋体" w:hAnsi="宋体" w:eastAsia="宋体" w:cs="宋体"/>
                <w:spacing w:val="10"/>
                <w:sz w:val="17"/>
                <w:szCs w:val="17"/>
              </w:rPr>
              <w:t>③强化</w:t>
            </w:r>
            <w:r>
              <w:rPr>
                <w:rFonts w:ascii="宋体" w:hAnsi="宋体" w:eastAsia="宋体" w:cs="宋体"/>
                <w:spacing w:val="5"/>
                <w:sz w:val="17"/>
                <w:szCs w:val="17"/>
              </w:rPr>
              <w:t>管理。加强交通管理，避免因交通拥堵而</w:t>
            </w:r>
            <w:r>
              <w:rPr>
                <w:rFonts w:ascii="宋体" w:hAnsi="宋体" w:eastAsia="宋体" w:cs="宋体"/>
                <w:sz w:val="17"/>
                <w:szCs w:val="17"/>
              </w:rPr>
              <w:t xml:space="preserve"> </w:t>
            </w:r>
            <w:r>
              <w:rPr>
                <w:rFonts w:ascii="宋体" w:hAnsi="宋体" w:eastAsia="宋体" w:cs="宋体"/>
                <w:spacing w:val="12"/>
                <w:sz w:val="17"/>
                <w:szCs w:val="17"/>
              </w:rPr>
              <w:t>造</w:t>
            </w:r>
            <w:r>
              <w:rPr>
                <w:rFonts w:ascii="宋体" w:hAnsi="宋体" w:eastAsia="宋体" w:cs="宋体"/>
                <w:spacing w:val="7"/>
                <w:sz w:val="17"/>
                <w:szCs w:val="17"/>
              </w:rPr>
              <w:t>成噪声超标。</w:t>
            </w:r>
          </w:p>
        </w:tc>
        <w:tc>
          <w:tcPr>
            <w:tcW w:w="1695" w:type="dxa"/>
            <w:tcBorders>
              <w:right w:val="single" w:color="000000" w:sz="6" w:space="0"/>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55" w:line="231" w:lineRule="auto"/>
              <w:ind w:left="225"/>
              <w:rPr>
                <w:rFonts w:ascii="宋体" w:hAnsi="宋体" w:eastAsia="宋体" w:cs="宋体"/>
                <w:sz w:val="17"/>
                <w:szCs w:val="17"/>
              </w:rPr>
            </w:pPr>
            <w:r>
              <w:rPr>
                <w:rFonts w:ascii="宋体" w:hAnsi="宋体" w:eastAsia="宋体" w:cs="宋体"/>
                <w:spacing w:val="12"/>
                <w:sz w:val="17"/>
                <w:szCs w:val="17"/>
              </w:rPr>
              <w:t>不</w:t>
            </w:r>
            <w:r>
              <w:rPr>
                <w:rFonts w:ascii="宋体" w:hAnsi="宋体" w:eastAsia="宋体" w:cs="宋体"/>
                <w:spacing w:val="8"/>
                <w:sz w:val="17"/>
                <w:szCs w:val="17"/>
              </w:rPr>
              <w:t>造成扰民影响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85" w:type="dxa"/>
            <w:tcBorders>
              <w:left w:val="single" w:color="000000" w:sz="6" w:space="0"/>
            </w:tcBorders>
            <w:vAlign w:val="top"/>
          </w:tcPr>
          <w:p>
            <w:pPr>
              <w:spacing w:before="84" w:line="231" w:lineRule="auto"/>
              <w:ind w:left="257"/>
              <w:rPr>
                <w:rFonts w:ascii="宋体" w:hAnsi="宋体" w:eastAsia="宋体" w:cs="宋体"/>
                <w:sz w:val="17"/>
                <w:szCs w:val="17"/>
              </w:rPr>
            </w:pPr>
            <w:r>
              <w:rPr>
                <w:rFonts w:ascii="宋体" w:hAnsi="宋体" w:eastAsia="宋体" w:cs="宋体"/>
                <w:spacing w:val="7"/>
                <w:sz w:val="17"/>
                <w:szCs w:val="17"/>
              </w:rPr>
              <w:t>振</w:t>
            </w:r>
            <w:r>
              <w:rPr>
                <w:rFonts w:ascii="宋体" w:hAnsi="宋体" w:eastAsia="宋体" w:cs="宋体"/>
                <w:spacing w:val="6"/>
                <w:sz w:val="17"/>
                <w:szCs w:val="17"/>
              </w:rPr>
              <w:t>动</w:t>
            </w:r>
          </w:p>
        </w:tc>
        <w:tc>
          <w:tcPr>
            <w:tcW w:w="6575" w:type="dxa"/>
            <w:vAlign w:val="top"/>
          </w:tcPr>
          <w:p>
            <w:pPr>
              <w:spacing w:before="49" w:line="242" w:lineRule="exact"/>
              <w:ind w:left="3257"/>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246" w:type="dxa"/>
            <w:vAlign w:val="top"/>
          </w:tcPr>
          <w:p>
            <w:pPr>
              <w:spacing w:before="49" w:line="242" w:lineRule="exact"/>
              <w:ind w:left="596"/>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3800" w:type="dxa"/>
            <w:vAlign w:val="top"/>
          </w:tcPr>
          <w:p>
            <w:pPr>
              <w:spacing w:before="49" w:line="242" w:lineRule="exact"/>
              <w:ind w:left="1877"/>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695" w:type="dxa"/>
            <w:tcBorders>
              <w:right w:val="single" w:color="000000" w:sz="6" w:space="0"/>
            </w:tcBorders>
            <w:vAlign w:val="top"/>
          </w:tcPr>
          <w:p>
            <w:pPr>
              <w:spacing w:before="49" w:line="242" w:lineRule="exact"/>
              <w:ind w:left="820"/>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3" w:hRule="atLeast"/>
        </w:trPr>
        <w:tc>
          <w:tcPr>
            <w:tcW w:w="885" w:type="dxa"/>
            <w:tcBorders>
              <w:left w:val="single" w:color="00000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55" w:line="231" w:lineRule="auto"/>
              <w:ind w:left="80"/>
              <w:rPr>
                <w:rFonts w:ascii="宋体" w:hAnsi="宋体" w:eastAsia="宋体" w:cs="宋体"/>
                <w:sz w:val="17"/>
                <w:szCs w:val="17"/>
              </w:rPr>
            </w:pPr>
            <w:r>
              <w:rPr>
                <w:rFonts w:ascii="宋体" w:hAnsi="宋体" w:eastAsia="宋体" w:cs="宋体"/>
                <w:spacing w:val="9"/>
                <w:sz w:val="17"/>
                <w:szCs w:val="17"/>
              </w:rPr>
              <w:t>大</w:t>
            </w:r>
            <w:r>
              <w:rPr>
                <w:rFonts w:ascii="宋体" w:hAnsi="宋体" w:eastAsia="宋体" w:cs="宋体"/>
                <w:spacing w:val="7"/>
                <w:sz w:val="17"/>
                <w:szCs w:val="17"/>
              </w:rPr>
              <w:t>气环境</w:t>
            </w:r>
          </w:p>
        </w:tc>
        <w:tc>
          <w:tcPr>
            <w:tcW w:w="6575" w:type="dxa"/>
            <w:vAlign w:val="top"/>
          </w:tcPr>
          <w:p>
            <w:pPr>
              <w:spacing w:before="70" w:line="228" w:lineRule="auto"/>
              <w:ind w:left="52"/>
              <w:rPr>
                <w:rFonts w:ascii="宋体" w:hAnsi="宋体" w:eastAsia="宋体" w:cs="宋体"/>
                <w:sz w:val="17"/>
                <w:szCs w:val="17"/>
              </w:rPr>
            </w:pPr>
            <w:r>
              <w:rPr>
                <w:rFonts w:ascii="宋体" w:hAnsi="宋体" w:eastAsia="宋体" w:cs="宋体"/>
                <w:spacing w:val="10"/>
                <w:sz w:val="17"/>
                <w:szCs w:val="17"/>
              </w:rPr>
              <w:t>①施工场地</w:t>
            </w:r>
            <w:r>
              <w:rPr>
                <w:rFonts w:ascii="宋体" w:hAnsi="宋体" w:eastAsia="宋体" w:cs="宋体"/>
                <w:spacing w:val="5"/>
                <w:sz w:val="17"/>
                <w:szCs w:val="17"/>
              </w:rPr>
              <w:t>配备雾炮机 (雾炮车) 、洒水车等设施，适时对施工现场采取洒水抑尘，</w:t>
            </w:r>
          </w:p>
          <w:p>
            <w:pPr>
              <w:spacing w:before="70" w:line="268" w:lineRule="auto"/>
              <w:ind w:left="53" w:right="51" w:hanging="2"/>
              <w:rPr>
                <w:rFonts w:ascii="宋体" w:hAnsi="宋体" w:eastAsia="宋体" w:cs="宋体"/>
                <w:sz w:val="17"/>
                <w:szCs w:val="17"/>
              </w:rPr>
            </w:pPr>
            <w:r>
              <w:rPr>
                <w:rFonts w:ascii="宋体" w:hAnsi="宋体" w:eastAsia="宋体" w:cs="宋体"/>
                <w:spacing w:val="14"/>
                <w:sz w:val="17"/>
                <w:szCs w:val="17"/>
              </w:rPr>
              <w:t>②</w:t>
            </w:r>
            <w:r>
              <w:rPr>
                <w:rFonts w:ascii="宋体" w:hAnsi="宋体" w:eastAsia="宋体" w:cs="宋体"/>
                <w:spacing w:val="9"/>
                <w:sz w:val="17"/>
                <w:szCs w:val="17"/>
              </w:rPr>
              <w:t>产生的建筑垃圾等及时外运至弃土场处置，运输车辆 (含原材料运输) 均采取覆</w:t>
            </w:r>
            <w:r>
              <w:rPr>
                <w:rFonts w:ascii="宋体" w:hAnsi="宋体" w:eastAsia="宋体" w:cs="宋体"/>
                <w:sz w:val="17"/>
                <w:szCs w:val="17"/>
              </w:rPr>
              <w:t xml:space="preserve"> </w:t>
            </w:r>
            <w:r>
              <w:rPr>
                <w:rFonts w:ascii="宋体" w:hAnsi="宋体" w:eastAsia="宋体" w:cs="宋体"/>
                <w:spacing w:val="16"/>
                <w:sz w:val="17"/>
                <w:szCs w:val="17"/>
              </w:rPr>
              <w:t>盖</w:t>
            </w:r>
            <w:r>
              <w:rPr>
                <w:rFonts w:ascii="宋体" w:hAnsi="宋体" w:eastAsia="宋体" w:cs="宋体"/>
                <w:spacing w:val="10"/>
                <w:sz w:val="17"/>
                <w:szCs w:val="17"/>
              </w:rPr>
              <w:t>措</w:t>
            </w:r>
            <w:r>
              <w:rPr>
                <w:rFonts w:ascii="宋体" w:hAnsi="宋体" w:eastAsia="宋体" w:cs="宋体"/>
                <w:spacing w:val="8"/>
                <w:sz w:val="17"/>
                <w:szCs w:val="17"/>
              </w:rPr>
              <w:t>施，密闭运输并控制车速；</w:t>
            </w:r>
          </w:p>
          <w:p>
            <w:pPr>
              <w:spacing w:before="65" w:line="228" w:lineRule="auto"/>
              <w:ind w:left="51"/>
              <w:rPr>
                <w:rFonts w:ascii="宋体" w:hAnsi="宋体" w:eastAsia="宋体" w:cs="宋体"/>
                <w:sz w:val="17"/>
                <w:szCs w:val="17"/>
              </w:rPr>
            </w:pPr>
            <w:r>
              <w:rPr>
                <w:rFonts w:ascii="宋体" w:hAnsi="宋体" w:eastAsia="宋体" w:cs="宋体"/>
                <w:spacing w:val="6"/>
                <w:sz w:val="17"/>
                <w:szCs w:val="17"/>
              </w:rPr>
              <w:t>③表土等临时堆场采取覆盖、洒水等措施，及时回填；临时堆场周围设置导排水沟</w:t>
            </w:r>
            <w:r>
              <w:rPr>
                <w:rFonts w:ascii="宋体" w:hAnsi="宋体" w:eastAsia="宋体" w:cs="宋体"/>
                <w:spacing w:val="2"/>
                <w:sz w:val="17"/>
                <w:szCs w:val="17"/>
              </w:rPr>
              <w:t>；</w:t>
            </w:r>
          </w:p>
          <w:p>
            <w:pPr>
              <w:spacing w:before="70" w:line="228" w:lineRule="auto"/>
              <w:ind w:left="51"/>
              <w:rPr>
                <w:rFonts w:ascii="宋体" w:hAnsi="宋体" w:eastAsia="宋体" w:cs="宋体"/>
                <w:sz w:val="17"/>
                <w:szCs w:val="17"/>
              </w:rPr>
            </w:pPr>
            <w:r>
              <w:rPr>
                <w:rFonts w:ascii="宋体" w:hAnsi="宋体" w:eastAsia="宋体" w:cs="宋体"/>
                <w:spacing w:val="18"/>
                <w:sz w:val="17"/>
                <w:szCs w:val="17"/>
              </w:rPr>
              <w:t>④</w:t>
            </w:r>
            <w:r>
              <w:rPr>
                <w:rFonts w:ascii="宋体" w:hAnsi="宋体" w:eastAsia="宋体" w:cs="宋体"/>
                <w:spacing w:val="13"/>
                <w:sz w:val="17"/>
                <w:szCs w:val="17"/>
              </w:rPr>
              <w:t>施</w:t>
            </w:r>
            <w:r>
              <w:rPr>
                <w:rFonts w:ascii="宋体" w:hAnsi="宋体" w:eastAsia="宋体" w:cs="宋体"/>
                <w:spacing w:val="9"/>
                <w:sz w:val="17"/>
                <w:szCs w:val="17"/>
              </w:rPr>
              <w:t>工场地进行打围，便道等临时场地进行硬化，适时洒水降尘；</w:t>
            </w:r>
          </w:p>
          <w:p>
            <w:pPr>
              <w:spacing w:before="71" w:line="228" w:lineRule="auto"/>
              <w:ind w:left="51"/>
              <w:rPr>
                <w:rFonts w:ascii="宋体" w:hAnsi="宋体" w:eastAsia="宋体" w:cs="宋体"/>
                <w:sz w:val="17"/>
                <w:szCs w:val="17"/>
              </w:rPr>
            </w:pPr>
            <w:r>
              <w:rPr>
                <w:rFonts w:ascii="宋体" w:hAnsi="宋体" w:eastAsia="宋体" w:cs="宋体"/>
                <w:spacing w:val="17"/>
                <w:sz w:val="17"/>
                <w:szCs w:val="17"/>
              </w:rPr>
              <w:t>⑤</w:t>
            </w:r>
            <w:r>
              <w:rPr>
                <w:rFonts w:ascii="宋体" w:hAnsi="宋体" w:eastAsia="宋体" w:cs="宋体"/>
                <w:spacing w:val="9"/>
                <w:sz w:val="17"/>
                <w:szCs w:val="17"/>
              </w:rPr>
              <w:t>水泥、砂等原材料采取封闭式堆放，禁止露天堆放；</w:t>
            </w:r>
          </w:p>
          <w:p>
            <w:pPr>
              <w:spacing w:before="69" w:line="228" w:lineRule="auto"/>
              <w:ind w:left="51"/>
              <w:rPr>
                <w:rFonts w:ascii="宋体" w:hAnsi="宋体" w:eastAsia="宋体" w:cs="宋体"/>
                <w:sz w:val="17"/>
                <w:szCs w:val="17"/>
              </w:rPr>
            </w:pPr>
            <w:r>
              <w:rPr>
                <w:rFonts w:ascii="宋体" w:hAnsi="宋体" w:eastAsia="宋体" w:cs="宋体"/>
                <w:spacing w:val="13"/>
                <w:sz w:val="17"/>
                <w:szCs w:val="17"/>
              </w:rPr>
              <w:t>⑥</w:t>
            </w:r>
            <w:r>
              <w:rPr>
                <w:rFonts w:ascii="宋体" w:hAnsi="宋体" w:eastAsia="宋体" w:cs="宋体"/>
                <w:spacing w:val="9"/>
                <w:sz w:val="17"/>
                <w:szCs w:val="17"/>
              </w:rPr>
              <w:t>优选机械设备和优质燃油，减少燃油废气；</w:t>
            </w:r>
          </w:p>
          <w:p>
            <w:pPr>
              <w:spacing w:before="70" w:line="228" w:lineRule="auto"/>
              <w:ind w:left="51"/>
              <w:rPr>
                <w:rFonts w:ascii="宋体" w:hAnsi="宋体" w:eastAsia="宋体" w:cs="宋体"/>
                <w:sz w:val="17"/>
                <w:szCs w:val="17"/>
              </w:rPr>
            </w:pPr>
            <w:r>
              <w:rPr>
                <w:rFonts w:ascii="宋体" w:hAnsi="宋体" w:eastAsia="宋体" w:cs="宋体"/>
                <w:spacing w:val="14"/>
                <w:sz w:val="17"/>
                <w:szCs w:val="17"/>
              </w:rPr>
              <w:t>⑦</w:t>
            </w:r>
            <w:r>
              <w:rPr>
                <w:rFonts w:ascii="宋体" w:hAnsi="宋体" w:eastAsia="宋体" w:cs="宋体"/>
                <w:spacing w:val="8"/>
                <w:sz w:val="17"/>
                <w:szCs w:val="17"/>
              </w:rPr>
              <w:t>不设拌和站、搅拌站；</w:t>
            </w:r>
          </w:p>
          <w:p>
            <w:pPr>
              <w:spacing w:before="71" w:line="228" w:lineRule="auto"/>
              <w:ind w:left="51"/>
              <w:rPr>
                <w:rFonts w:ascii="宋体" w:hAnsi="宋体" w:eastAsia="宋体" w:cs="宋体"/>
                <w:sz w:val="17"/>
                <w:szCs w:val="17"/>
              </w:rPr>
            </w:pPr>
            <w:r>
              <w:rPr>
                <w:rFonts w:ascii="宋体" w:hAnsi="宋体" w:eastAsia="宋体" w:cs="宋体"/>
                <w:spacing w:val="18"/>
                <w:sz w:val="17"/>
                <w:szCs w:val="17"/>
              </w:rPr>
              <w:t>⑧</w:t>
            </w:r>
            <w:r>
              <w:rPr>
                <w:rFonts w:ascii="宋体" w:hAnsi="宋体" w:eastAsia="宋体" w:cs="宋体"/>
                <w:spacing w:val="11"/>
                <w:sz w:val="17"/>
                <w:szCs w:val="17"/>
              </w:rPr>
              <w:t>钢</w:t>
            </w:r>
            <w:r>
              <w:rPr>
                <w:rFonts w:ascii="宋体" w:hAnsi="宋体" w:eastAsia="宋体" w:cs="宋体"/>
                <w:spacing w:val="9"/>
                <w:sz w:val="17"/>
                <w:szCs w:val="17"/>
              </w:rPr>
              <w:t>筋笼加工区配备移动式烟尘净化机</w:t>
            </w:r>
          </w:p>
          <w:p>
            <w:pPr>
              <w:spacing w:before="69" w:line="228" w:lineRule="auto"/>
              <w:ind w:left="51"/>
              <w:rPr>
                <w:rFonts w:ascii="宋体" w:hAnsi="宋体" w:eastAsia="宋体" w:cs="宋体"/>
                <w:sz w:val="17"/>
                <w:szCs w:val="17"/>
              </w:rPr>
            </w:pPr>
            <w:r>
              <w:rPr>
                <w:rFonts w:ascii="宋体" w:hAnsi="宋体" w:eastAsia="宋体" w:cs="宋体"/>
                <w:spacing w:val="6"/>
                <w:sz w:val="17"/>
                <w:szCs w:val="17"/>
              </w:rPr>
              <w:t xml:space="preserve">⑨施工场地进出大门安装 </w:t>
            </w:r>
            <w:r>
              <w:rPr>
                <w:rFonts w:ascii="Times New Roman" w:hAnsi="Times New Roman" w:eastAsia="Times New Roman" w:cs="Times New Roman"/>
                <w:sz w:val="17"/>
                <w:szCs w:val="17"/>
              </w:rPr>
              <w:t>TSP</w:t>
            </w:r>
            <w:r>
              <w:rPr>
                <w:rFonts w:ascii="Times New Roman" w:hAnsi="Times New Roman" w:eastAsia="Times New Roman" w:cs="Times New Roman"/>
                <w:spacing w:val="6"/>
                <w:sz w:val="17"/>
                <w:szCs w:val="17"/>
              </w:rPr>
              <w:t xml:space="preserve"> </w:t>
            </w:r>
            <w:r>
              <w:rPr>
                <w:rFonts w:ascii="宋体" w:hAnsi="宋体" w:eastAsia="宋体" w:cs="宋体"/>
                <w:spacing w:val="6"/>
                <w:sz w:val="17"/>
                <w:szCs w:val="17"/>
              </w:rPr>
              <w:t>、噪声在线监测系</w:t>
            </w:r>
            <w:r>
              <w:rPr>
                <w:rFonts w:ascii="宋体" w:hAnsi="宋体" w:eastAsia="宋体" w:cs="宋体"/>
                <w:spacing w:val="3"/>
                <w:sz w:val="17"/>
                <w:szCs w:val="17"/>
              </w:rPr>
              <w:t>统</w:t>
            </w:r>
          </w:p>
        </w:tc>
        <w:tc>
          <w:tcPr>
            <w:tcW w:w="1246"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56" w:line="317" w:lineRule="auto"/>
              <w:ind w:left="180" w:right="169" w:firstLine="177"/>
              <w:rPr>
                <w:rFonts w:ascii="宋体" w:hAnsi="宋体" w:eastAsia="宋体" w:cs="宋体"/>
                <w:sz w:val="17"/>
                <w:szCs w:val="17"/>
              </w:rPr>
            </w:pPr>
            <w:r>
              <w:rPr>
                <w:rFonts w:ascii="宋体" w:hAnsi="宋体" w:eastAsia="宋体" w:cs="宋体"/>
                <w:spacing w:val="8"/>
                <w:sz w:val="17"/>
                <w:szCs w:val="17"/>
              </w:rPr>
              <w:t>对环</w:t>
            </w:r>
            <w:r>
              <w:rPr>
                <w:rFonts w:ascii="宋体" w:hAnsi="宋体" w:eastAsia="宋体" w:cs="宋体"/>
                <w:spacing w:val="7"/>
                <w:sz w:val="17"/>
                <w:szCs w:val="17"/>
              </w:rPr>
              <w:t>境</w:t>
            </w:r>
            <w:r>
              <w:rPr>
                <w:rFonts w:ascii="宋体" w:hAnsi="宋体" w:eastAsia="宋体" w:cs="宋体"/>
                <w:sz w:val="17"/>
                <w:szCs w:val="17"/>
              </w:rPr>
              <w:t xml:space="preserve">  </w:t>
            </w:r>
            <w:r>
              <w:rPr>
                <w:rFonts w:ascii="宋体" w:hAnsi="宋体" w:eastAsia="宋体" w:cs="宋体"/>
                <w:spacing w:val="9"/>
                <w:sz w:val="17"/>
                <w:szCs w:val="17"/>
              </w:rPr>
              <w:t>无</w:t>
            </w:r>
            <w:r>
              <w:rPr>
                <w:rFonts w:ascii="宋体" w:hAnsi="宋体" w:eastAsia="宋体" w:cs="宋体"/>
                <w:spacing w:val="8"/>
                <w:sz w:val="17"/>
                <w:szCs w:val="17"/>
              </w:rPr>
              <w:t>明显影响</w:t>
            </w:r>
          </w:p>
        </w:tc>
        <w:tc>
          <w:tcPr>
            <w:tcW w:w="3800" w:type="dxa"/>
            <w:vAlign w:val="top"/>
          </w:tcPr>
          <w:p>
            <w:pPr>
              <w:spacing w:line="431" w:lineRule="auto"/>
              <w:rPr>
                <w:rFonts w:ascii="Arial"/>
                <w:sz w:val="21"/>
              </w:rPr>
            </w:pPr>
          </w:p>
          <w:p>
            <w:pPr>
              <w:spacing w:before="55" w:line="268" w:lineRule="auto"/>
              <w:ind w:left="59" w:right="45"/>
              <w:rPr>
                <w:rFonts w:ascii="宋体" w:hAnsi="宋体" w:eastAsia="宋体" w:cs="宋体"/>
                <w:sz w:val="17"/>
                <w:szCs w:val="17"/>
              </w:rPr>
            </w:pPr>
            <w:r>
              <w:rPr>
                <w:rFonts w:ascii="宋体" w:hAnsi="宋体" w:eastAsia="宋体" w:cs="宋体"/>
                <w:spacing w:val="10"/>
                <w:sz w:val="17"/>
                <w:szCs w:val="17"/>
              </w:rPr>
              <w:t>①加</w:t>
            </w:r>
            <w:r>
              <w:rPr>
                <w:rFonts w:ascii="宋体" w:hAnsi="宋体" w:eastAsia="宋体" w:cs="宋体"/>
                <w:spacing w:val="9"/>
                <w:sz w:val="17"/>
                <w:szCs w:val="17"/>
              </w:rPr>
              <w:t>强</w:t>
            </w:r>
            <w:r>
              <w:rPr>
                <w:rFonts w:ascii="宋体" w:hAnsi="宋体" w:eastAsia="宋体" w:cs="宋体"/>
                <w:spacing w:val="5"/>
                <w:sz w:val="17"/>
                <w:szCs w:val="17"/>
              </w:rPr>
              <w:t>桥梁管理及路面养护，保持道路良好运营</w:t>
            </w:r>
            <w:r>
              <w:rPr>
                <w:rFonts w:ascii="宋体" w:hAnsi="宋体" w:eastAsia="宋体" w:cs="宋体"/>
                <w:sz w:val="17"/>
                <w:szCs w:val="17"/>
              </w:rPr>
              <w:t xml:space="preserve"> </w:t>
            </w:r>
            <w:r>
              <w:rPr>
                <w:rFonts w:ascii="宋体" w:hAnsi="宋体" w:eastAsia="宋体" w:cs="宋体"/>
                <w:spacing w:val="9"/>
                <w:sz w:val="17"/>
                <w:szCs w:val="17"/>
              </w:rPr>
              <w:t>状态，减少和避免塞车现象发生</w:t>
            </w:r>
            <w:r>
              <w:rPr>
                <w:rFonts w:ascii="宋体" w:hAnsi="宋体" w:eastAsia="宋体" w:cs="宋体"/>
                <w:spacing w:val="6"/>
                <w:sz w:val="17"/>
                <w:szCs w:val="17"/>
              </w:rPr>
              <w:t>。</w:t>
            </w:r>
          </w:p>
          <w:p>
            <w:pPr>
              <w:spacing w:before="68" w:line="267" w:lineRule="auto"/>
              <w:ind w:left="60" w:right="45" w:hanging="1"/>
              <w:rPr>
                <w:rFonts w:ascii="宋体" w:hAnsi="宋体" w:eastAsia="宋体" w:cs="宋体"/>
                <w:sz w:val="17"/>
                <w:szCs w:val="17"/>
              </w:rPr>
            </w:pPr>
            <w:r>
              <w:rPr>
                <w:rFonts w:ascii="宋体" w:hAnsi="宋体" w:eastAsia="宋体" w:cs="宋体"/>
                <w:spacing w:val="10"/>
                <w:sz w:val="17"/>
                <w:szCs w:val="17"/>
              </w:rPr>
              <w:t>②积极</w:t>
            </w:r>
            <w:r>
              <w:rPr>
                <w:rFonts w:ascii="宋体" w:hAnsi="宋体" w:eastAsia="宋体" w:cs="宋体"/>
                <w:spacing w:val="5"/>
                <w:sz w:val="17"/>
                <w:szCs w:val="17"/>
              </w:rPr>
              <w:t>协调环卫部门，加强道路洒水降尘及道路</w:t>
            </w:r>
            <w:r>
              <w:rPr>
                <w:rFonts w:ascii="宋体" w:hAnsi="宋体" w:eastAsia="宋体" w:cs="宋体"/>
                <w:sz w:val="17"/>
                <w:szCs w:val="17"/>
              </w:rPr>
              <w:t xml:space="preserve"> </w:t>
            </w:r>
            <w:r>
              <w:rPr>
                <w:rFonts w:ascii="宋体" w:hAnsi="宋体" w:eastAsia="宋体" w:cs="宋体"/>
                <w:spacing w:val="9"/>
                <w:sz w:val="17"/>
                <w:szCs w:val="17"/>
              </w:rPr>
              <w:t>清扫工作，确保路面干净、整洁</w:t>
            </w:r>
            <w:r>
              <w:rPr>
                <w:rFonts w:ascii="宋体" w:hAnsi="宋体" w:eastAsia="宋体" w:cs="宋体"/>
                <w:spacing w:val="6"/>
                <w:sz w:val="17"/>
                <w:szCs w:val="17"/>
              </w:rPr>
              <w:t>。</w:t>
            </w:r>
          </w:p>
          <w:p>
            <w:pPr>
              <w:spacing w:before="67" w:line="268" w:lineRule="auto"/>
              <w:ind w:left="61" w:right="45" w:hanging="2"/>
              <w:rPr>
                <w:rFonts w:ascii="宋体" w:hAnsi="宋体" w:eastAsia="宋体" w:cs="宋体"/>
                <w:sz w:val="17"/>
                <w:szCs w:val="17"/>
              </w:rPr>
            </w:pPr>
            <w:r>
              <w:rPr>
                <w:rFonts w:ascii="宋体" w:hAnsi="宋体" w:eastAsia="宋体" w:cs="宋体"/>
                <w:spacing w:val="10"/>
                <w:sz w:val="17"/>
                <w:szCs w:val="17"/>
              </w:rPr>
              <w:t>③加大</w:t>
            </w:r>
            <w:r>
              <w:rPr>
                <w:rFonts w:ascii="宋体" w:hAnsi="宋体" w:eastAsia="宋体" w:cs="宋体"/>
                <w:spacing w:val="5"/>
                <w:sz w:val="17"/>
                <w:szCs w:val="17"/>
              </w:rPr>
              <w:t>环境管理力度，严格执行车检制，限制尾</w:t>
            </w:r>
            <w:r>
              <w:rPr>
                <w:rFonts w:ascii="宋体" w:hAnsi="宋体" w:eastAsia="宋体" w:cs="宋体"/>
                <w:sz w:val="17"/>
                <w:szCs w:val="17"/>
              </w:rPr>
              <w:t xml:space="preserve"> </w:t>
            </w:r>
            <w:r>
              <w:rPr>
                <w:rFonts w:ascii="宋体" w:hAnsi="宋体" w:eastAsia="宋体" w:cs="宋体"/>
                <w:spacing w:val="12"/>
                <w:sz w:val="17"/>
                <w:szCs w:val="17"/>
              </w:rPr>
              <w:t>气</w:t>
            </w:r>
            <w:r>
              <w:rPr>
                <w:rFonts w:ascii="宋体" w:hAnsi="宋体" w:eastAsia="宋体" w:cs="宋体"/>
                <w:spacing w:val="8"/>
                <w:sz w:val="17"/>
                <w:szCs w:val="17"/>
              </w:rPr>
              <w:t>排放超标的车辆上路。</w:t>
            </w:r>
          </w:p>
          <w:p>
            <w:pPr>
              <w:spacing w:before="66" w:line="228" w:lineRule="auto"/>
              <w:ind w:left="59"/>
              <w:rPr>
                <w:rFonts w:ascii="宋体" w:hAnsi="宋体" w:eastAsia="宋体" w:cs="宋体"/>
                <w:sz w:val="17"/>
                <w:szCs w:val="17"/>
              </w:rPr>
            </w:pPr>
            <w:r>
              <w:rPr>
                <w:rFonts w:ascii="宋体" w:hAnsi="宋体" w:eastAsia="宋体" w:cs="宋体"/>
                <w:spacing w:val="10"/>
                <w:sz w:val="17"/>
                <w:szCs w:val="17"/>
              </w:rPr>
              <w:t>④</w:t>
            </w:r>
            <w:r>
              <w:rPr>
                <w:rFonts w:ascii="宋体" w:hAnsi="宋体" w:eastAsia="宋体" w:cs="宋体"/>
                <w:spacing w:val="9"/>
                <w:sz w:val="17"/>
                <w:szCs w:val="17"/>
              </w:rPr>
              <w:t>做好道路沿线绿化工程的维护工作。</w:t>
            </w:r>
          </w:p>
        </w:tc>
        <w:tc>
          <w:tcPr>
            <w:tcW w:w="1695" w:type="dxa"/>
            <w:tcBorders>
              <w:right w:val="single" w:color="00000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55" w:line="231" w:lineRule="auto"/>
              <w:ind w:left="134"/>
              <w:rPr>
                <w:rFonts w:ascii="宋体" w:hAnsi="宋体" w:eastAsia="宋体" w:cs="宋体"/>
                <w:sz w:val="17"/>
                <w:szCs w:val="17"/>
              </w:rPr>
            </w:pPr>
            <w:r>
              <w:rPr>
                <w:rFonts w:ascii="宋体" w:hAnsi="宋体" w:eastAsia="宋体" w:cs="宋体"/>
                <w:spacing w:val="9"/>
                <w:sz w:val="17"/>
                <w:szCs w:val="17"/>
              </w:rPr>
              <w:t>减少对环境的影响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6" w:hRule="atLeast"/>
        </w:trPr>
        <w:tc>
          <w:tcPr>
            <w:tcW w:w="885" w:type="dxa"/>
            <w:tcBorders>
              <w:left w:val="single" w:color="000000" w:sz="6" w:space="0"/>
            </w:tcBorders>
            <w:vAlign w:val="top"/>
          </w:tcPr>
          <w:p>
            <w:pPr>
              <w:spacing w:line="308" w:lineRule="auto"/>
              <w:rPr>
                <w:rFonts w:ascii="Arial"/>
                <w:sz w:val="21"/>
              </w:rPr>
            </w:pPr>
          </w:p>
          <w:p>
            <w:pPr>
              <w:spacing w:line="308" w:lineRule="auto"/>
              <w:rPr>
                <w:rFonts w:ascii="Arial"/>
                <w:sz w:val="21"/>
              </w:rPr>
            </w:pPr>
          </w:p>
          <w:p>
            <w:pPr>
              <w:spacing w:before="55" w:line="231" w:lineRule="auto"/>
              <w:ind w:left="93"/>
              <w:rPr>
                <w:rFonts w:ascii="宋体" w:hAnsi="宋体" w:eastAsia="宋体" w:cs="宋体"/>
                <w:sz w:val="17"/>
                <w:szCs w:val="17"/>
              </w:rPr>
            </w:pPr>
            <w:r>
              <w:rPr>
                <w:rFonts w:ascii="宋体" w:hAnsi="宋体" w:eastAsia="宋体" w:cs="宋体"/>
                <w:spacing w:val="5"/>
                <w:sz w:val="17"/>
                <w:szCs w:val="17"/>
              </w:rPr>
              <w:t>固</w:t>
            </w:r>
            <w:r>
              <w:rPr>
                <w:rFonts w:ascii="宋体" w:hAnsi="宋体" w:eastAsia="宋体" w:cs="宋体"/>
                <w:spacing w:val="4"/>
                <w:sz w:val="17"/>
                <w:szCs w:val="17"/>
              </w:rPr>
              <w:t>体废物</w:t>
            </w:r>
          </w:p>
        </w:tc>
        <w:tc>
          <w:tcPr>
            <w:tcW w:w="6575" w:type="dxa"/>
            <w:vAlign w:val="top"/>
          </w:tcPr>
          <w:p>
            <w:pPr>
              <w:spacing w:before="113" w:line="268" w:lineRule="auto"/>
              <w:ind w:left="54" w:right="51" w:hanging="2"/>
              <w:rPr>
                <w:rFonts w:ascii="宋体" w:hAnsi="宋体" w:eastAsia="宋体" w:cs="宋体"/>
                <w:sz w:val="17"/>
                <w:szCs w:val="17"/>
              </w:rPr>
            </w:pPr>
            <w:r>
              <w:rPr>
                <w:rFonts w:ascii="宋体" w:hAnsi="宋体" w:eastAsia="宋体" w:cs="宋体"/>
                <w:spacing w:val="18"/>
                <w:sz w:val="17"/>
                <w:szCs w:val="17"/>
              </w:rPr>
              <w:t>①开</w:t>
            </w:r>
            <w:r>
              <w:rPr>
                <w:rFonts w:ascii="宋体" w:hAnsi="宋体" w:eastAsia="宋体" w:cs="宋体"/>
                <w:spacing w:val="13"/>
                <w:sz w:val="17"/>
                <w:szCs w:val="17"/>
              </w:rPr>
              <w:t>挖</w:t>
            </w:r>
            <w:r>
              <w:rPr>
                <w:rFonts w:ascii="宋体" w:hAnsi="宋体" w:eastAsia="宋体" w:cs="宋体"/>
                <w:spacing w:val="9"/>
                <w:sz w:val="17"/>
                <w:szCs w:val="17"/>
              </w:rPr>
              <w:t>的土石方、表土设置固定堆场，堆放过程应做好拦挡、排水等措施，及时回</w:t>
            </w:r>
            <w:r>
              <w:rPr>
                <w:rFonts w:ascii="宋体" w:hAnsi="宋体" w:eastAsia="宋体" w:cs="宋体"/>
                <w:sz w:val="17"/>
                <w:szCs w:val="17"/>
              </w:rPr>
              <w:t xml:space="preserve"> </w:t>
            </w:r>
            <w:r>
              <w:rPr>
                <w:rFonts w:ascii="宋体" w:hAnsi="宋体" w:eastAsia="宋体" w:cs="宋体"/>
                <w:spacing w:val="7"/>
                <w:sz w:val="17"/>
                <w:szCs w:val="17"/>
              </w:rPr>
              <w:t>填</w:t>
            </w:r>
            <w:r>
              <w:rPr>
                <w:rFonts w:ascii="宋体" w:hAnsi="宋体" w:eastAsia="宋体" w:cs="宋体"/>
                <w:spacing w:val="6"/>
                <w:sz w:val="17"/>
                <w:szCs w:val="17"/>
              </w:rPr>
              <w:t>和利用。</w:t>
            </w:r>
          </w:p>
          <w:p>
            <w:pPr>
              <w:spacing w:before="68" w:line="266" w:lineRule="auto"/>
              <w:ind w:left="53" w:right="51" w:hanging="2"/>
              <w:rPr>
                <w:rFonts w:ascii="宋体" w:hAnsi="宋体" w:eastAsia="宋体" w:cs="宋体"/>
                <w:sz w:val="17"/>
                <w:szCs w:val="17"/>
              </w:rPr>
            </w:pPr>
            <w:r>
              <w:rPr>
                <w:rFonts w:ascii="宋体" w:hAnsi="宋体" w:eastAsia="宋体" w:cs="宋体"/>
                <w:spacing w:val="18"/>
                <w:sz w:val="17"/>
                <w:szCs w:val="17"/>
              </w:rPr>
              <w:t>②建</w:t>
            </w:r>
            <w:r>
              <w:rPr>
                <w:rFonts w:ascii="宋体" w:hAnsi="宋体" w:eastAsia="宋体" w:cs="宋体"/>
                <w:spacing w:val="14"/>
                <w:sz w:val="17"/>
                <w:szCs w:val="17"/>
              </w:rPr>
              <w:t>筑</w:t>
            </w:r>
            <w:r>
              <w:rPr>
                <w:rFonts w:ascii="宋体" w:hAnsi="宋体" w:eastAsia="宋体" w:cs="宋体"/>
                <w:spacing w:val="9"/>
                <w:sz w:val="17"/>
                <w:szCs w:val="17"/>
              </w:rPr>
              <w:t>垃圾、钻孔岩屑分类收集，及时外卖或外运至当地政府指定的弃土场，严禁</w:t>
            </w:r>
            <w:r>
              <w:rPr>
                <w:rFonts w:ascii="宋体" w:hAnsi="宋体" w:eastAsia="宋体" w:cs="宋体"/>
                <w:sz w:val="17"/>
                <w:szCs w:val="17"/>
              </w:rPr>
              <w:t xml:space="preserve"> </w:t>
            </w:r>
            <w:r>
              <w:rPr>
                <w:rFonts w:ascii="宋体" w:hAnsi="宋体" w:eastAsia="宋体" w:cs="宋体"/>
                <w:spacing w:val="9"/>
                <w:sz w:val="17"/>
                <w:szCs w:val="17"/>
              </w:rPr>
              <w:t>垃</w:t>
            </w:r>
            <w:r>
              <w:rPr>
                <w:rFonts w:ascii="宋体" w:hAnsi="宋体" w:eastAsia="宋体" w:cs="宋体"/>
                <w:spacing w:val="7"/>
                <w:sz w:val="17"/>
                <w:szCs w:val="17"/>
              </w:rPr>
              <w:t>圾随处倾倒。</w:t>
            </w:r>
          </w:p>
          <w:p>
            <w:pPr>
              <w:spacing w:before="68" w:line="228" w:lineRule="auto"/>
              <w:ind w:left="51"/>
              <w:rPr>
                <w:rFonts w:ascii="宋体" w:hAnsi="宋体" w:eastAsia="宋体" w:cs="宋体"/>
                <w:sz w:val="17"/>
                <w:szCs w:val="17"/>
              </w:rPr>
            </w:pPr>
            <w:r>
              <w:rPr>
                <w:rFonts w:ascii="宋体" w:hAnsi="宋体" w:eastAsia="宋体" w:cs="宋体"/>
                <w:spacing w:val="18"/>
                <w:sz w:val="17"/>
                <w:szCs w:val="17"/>
              </w:rPr>
              <w:t>③</w:t>
            </w:r>
            <w:r>
              <w:rPr>
                <w:rFonts w:ascii="宋体" w:hAnsi="宋体" w:eastAsia="宋体" w:cs="宋体"/>
                <w:spacing w:val="16"/>
                <w:sz w:val="17"/>
                <w:szCs w:val="17"/>
              </w:rPr>
              <w:t>桥</w:t>
            </w:r>
            <w:r>
              <w:rPr>
                <w:rFonts w:ascii="宋体" w:hAnsi="宋体" w:eastAsia="宋体" w:cs="宋体"/>
                <w:spacing w:val="9"/>
                <w:sz w:val="17"/>
                <w:szCs w:val="17"/>
              </w:rPr>
              <w:t>梁桩基施工产生泥浆设干化场，干化后运至当地政府指定的弃渣场。</w:t>
            </w:r>
          </w:p>
        </w:tc>
        <w:tc>
          <w:tcPr>
            <w:tcW w:w="1246" w:type="dxa"/>
            <w:vAlign w:val="top"/>
          </w:tcPr>
          <w:p>
            <w:pPr>
              <w:spacing w:line="475" w:lineRule="auto"/>
              <w:rPr>
                <w:rFonts w:ascii="Arial"/>
                <w:sz w:val="21"/>
              </w:rPr>
            </w:pPr>
          </w:p>
          <w:p>
            <w:pPr>
              <w:spacing w:before="55" w:line="317" w:lineRule="auto"/>
              <w:ind w:left="87" w:right="80" w:firstLine="1"/>
              <w:rPr>
                <w:rFonts w:ascii="宋体" w:hAnsi="宋体" w:eastAsia="宋体" w:cs="宋体"/>
                <w:sz w:val="17"/>
                <w:szCs w:val="17"/>
              </w:rPr>
            </w:pPr>
            <w:r>
              <w:rPr>
                <w:rFonts w:ascii="宋体" w:hAnsi="宋体" w:eastAsia="宋体" w:cs="宋体"/>
                <w:spacing w:val="11"/>
                <w:sz w:val="17"/>
                <w:szCs w:val="17"/>
              </w:rPr>
              <w:t>按</w:t>
            </w:r>
            <w:r>
              <w:rPr>
                <w:rFonts w:ascii="宋体" w:hAnsi="宋体" w:eastAsia="宋体" w:cs="宋体"/>
                <w:spacing w:val="8"/>
                <w:sz w:val="17"/>
                <w:szCs w:val="17"/>
              </w:rPr>
              <w:t>要求处置，</w:t>
            </w:r>
            <w:r>
              <w:rPr>
                <w:rFonts w:ascii="宋体" w:hAnsi="宋体" w:eastAsia="宋体" w:cs="宋体"/>
                <w:sz w:val="17"/>
                <w:szCs w:val="17"/>
              </w:rPr>
              <w:t xml:space="preserve"> </w:t>
            </w:r>
            <w:r>
              <w:rPr>
                <w:rFonts w:ascii="宋体" w:hAnsi="宋体" w:eastAsia="宋体" w:cs="宋体"/>
                <w:spacing w:val="9"/>
                <w:sz w:val="17"/>
                <w:szCs w:val="17"/>
              </w:rPr>
              <w:t>禁止随处倾</w:t>
            </w:r>
            <w:r>
              <w:rPr>
                <w:rFonts w:ascii="宋体" w:hAnsi="宋体" w:eastAsia="宋体" w:cs="宋体"/>
                <w:spacing w:val="7"/>
                <w:sz w:val="17"/>
                <w:szCs w:val="17"/>
              </w:rPr>
              <w:t>倒</w:t>
            </w:r>
          </w:p>
        </w:tc>
        <w:tc>
          <w:tcPr>
            <w:tcW w:w="3800" w:type="dxa"/>
            <w:vAlign w:val="top"/>
          </w:tcPr>
          <w:p>
            <w:pPr>
              <w:spacing w:line="308" w:lineRule="auto"/>
              <w:rPr>
                <w:rFonts w:ascii="Arial"/>
                <w:sz w:val="21"/>
              </w:rPr>
            </w:pPr>
          </w:p>
          <w:p>
            <w:pPr>
              <w:spacing w:line="308" w:lineRule="auto"/>
              <w:rPr>
                <w:rFonts w:ascii="Arial"/>
                <w:sz w:val="21"/>
              </w:rPr>
            </w:pPr>
          </w:p>
          <w:p>
            <w:pPr>
              <w:spacing w:before="55" w:line="230" w:lineRule="auto"/>
              <w:ind w:left="66"/>
              <w:rPr>
                <w:rFonts w:ascii="宋体" w:hAnsi="宋体" w:eastAsia="宋体" w:cs="宋体"/>
                <w:sz w:val="17"/>
                <w:szCs w:val="17"/>
              </w:rPr>
            </w:pPr>
            <w:r>
              <w:rPr>
                <w:rFonts w:ascii="宋体" w:hAnsi="宋体" w:eastAsia="宋体" w:cs="宋体"/>
                <w:spacing w:val="9"/>
                <w:sz w:val="17"/>
                <w:szCs w:val="17"/>
              </w:rPr>
              <w:t>公路养护人员定期统一清</w:t>
            </w:r>
            <w:r>
              <w:rPr>
                <w:rFonts w:ascii="宋体" w:hAnsi="宋体" w:eastAsia="宋体" w:cs="宋体"/>
                <w:spacing w:val="8"/>
                <w:sz w:val="17"/>
                <w:szCs w:val="17"/>
              </w:rPr>
              <w:t>理</w:t>
            </w:r>
          </w:p>
        </w:tc>
        <w:tc>
          <w:tcPr>
            <w:tcW w:w="1695" w:type="dxa"/>
            <w:tcBorders>
              <w:right w:val="single" w:color="000000" w:sz="6" w:space="0"/>
            </w:tcBorders>
            <w:vAlign w:val="top"/>
          </w:tcPr>
          <w:p>
            <w:pPr>
              <w:spacing w:line="308" w:lineRule="auto"/>
              <w:rPr>
                <w:rFonts w:ascii="Arial"/>
                <w:sz w:val="21"/>
              </w:rPr>
            </w:pPr>
          </w:p>
          <w:p>
            <w:pPr>
              <w:spacing w:line="308" w:lineRule="auto"/>
              <w:rPr>
                <w:rFonts w:ascii="Arial"/>
                <w:sz w:val="21"/>
              </w:rPr>
            </w:pPr>
          </w:p>
          <w:p>
            <w:pPr>
              <w:spacing w:before="55" w:line="230" w:lineRule="auto"/>
              <w:ind w:left="314"/>
              <w:rPr>
                <w:rFonts w:ascii="宋体" w:hAnsi="宋体" w:eastAsia="宋体" w:cs="宋体"/>
                <w:sz w:val="17"/>
                <w:szCs w:val="17"/>
              </w:rPr>
            </w:pPr>
            <w:r>
              <w:rPr>
                <w:rFonts w:ascii="宋体" w:hAnsi="宋体" w:eastAsia="宋体" w:cs="宋体"/>
                <w:spacing w:val="9"/>
                <w:sz w:val="17"/>
                <w:szCs w:val="17"/>
              </w:rPr>
              <w:t>满足环保要</w:t>
            </w:r>
            <w:r>
              <w:rPr>
                <w:rFonts w:ascii="宋体" w:hAnsi="宋体" w:eastAsia="宋体" w:cs="宋体"/>
                <w:spacing w:val="7"/>
                <w:sz w:val="17"/>
                <w:szCs w:val="17"/>
              </w:rPr>
              <w:t>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85" w:type="dxa"/>
            <w:tcBorders>
              <w:left w:val="single" w:color="000000" w:sz="6" w:space="0"/>
            </w:tcBorders>
            <w:vAlign w:val="top"/>
          </w:tcPr>
          <w:p>
            <w:pPr>
              <w:spacing w:before="86" w:line="231" w:lineRule="auto"/>
              <w:ind w:left="99"/>
              <w:rPr>
                <w:rFonts w:ascii="宋体" w:hAnsi="宋体" w:eastAsia="宋体" w:cs="宋体"/>
                <w:sz w:val="17"/>
                <w:szCs w:val="17"/>
              </w:rPr>
            </w:pPr>
            <w:r>
              <w:rPr>
                <w:rFonts w:ascii="宋体" w:hAnsi="宋体" w:eastAsia="宋体" w:cs="宋体"/>
                <w:spacing w:val="3"/>
                <w:sz w:val="17"/>
                <w:szCs w:val="17"/>
              </w:rPr>
              <w:t>电磁环</w:t>
            </w:r>
            <w:r>
              <w:rPr>
                <w:rFonts w:ascii="宋体" w:hAnsi="宋体" w:eastAsia="宋体" w:cs="宋体"/>
                <w:spacing w:val="2"/>
                <w:sz w:val="17"/>
                <w:szCs w:val="17"/>
              </w:rPr>
              <w:t>境</w:t>
            </w:r>
          </w:p>
        </w:tc>
        <w:tc>
          <w:tcPr>
            <w:tcW w:w="6575" w:type="dxa"/>
            <w:vAlign w:val="top"/>
          </w:tcPr>
          <w:p>
            <w:pPr>
              <w:spacing w:before="51" w:line="242" w:lineRule="exact"/>
              <w:ind w:left="3257"/>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246" w:type="dxa"/>
            <w:vAlign w:val="top"/>
          </w:tcPr>
          <w:p>
            <w:pPr>
              <w:spacing w:before="51" w:line="242" w:lineRule="exact"/>
              <w:ind w:left="596"/>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3800" w:type="dxa"/>
            <w:vAlign w:val="top"/>
          </w:tcPr>
          <w:p>
            <w:pPr>
              <w:spacing w:before="51" w:line="242" w:lineRule="exact"/>
              <w:ind w:left="1877"/>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695" w:type="dxa"/>
            <w:tcBorders>
              <w:right w:val="single" w:color="000000" w:sz="6" w:space="0"/>
            </w:tcBorders>
            <w:vAlign w:val="top"/>
          </w:tcPr>
          <w:p>
            <w:pPr>
              <w:spacing w:before="51" w:line="242" w:lineRule="exact"/>
              <w:ind w:left="820"/>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885" w:type="dxa"/>
            <w:tcBorders>
              <w:left w:val="single" w:color="000000" w:sz="6" w:space="0"/>
            </w:tcBorders>
            <w:vAlign w:val="top"/>
          </w:tcPr>
          <w:p>
            <w:pPr>
              <w:spacing w:before="233" w:line="231" w:lineRule="auto"/>
              <w:ind w:left="78"/>
              <w:rPr>
                <w:rFonts w:ascii="宋体" w:hAnsi="宋体" w:eastAsia="宋体" w:cs="宋体"/>
                <w:sz w:val="17"/>
                <w:szCs w:val="17"/>
              </w:rPr>
            </w:pPr>
            <w:r>
              <w:rPr>
                <w:rFonts w:ascii="宋体" w:hAnsi="宋体" w:eastAsia="宋体" w:cs="宋体"/>
                <w:spacing w:val="8"/>
                <w:sz w:val="17"/>
                <w:szCs w:val="17"/>
              </w:rPr>
              <w:t>环境风险</w:t>
            </w:r>
          </w:p>
        </w:tc>
        <w:tc>
          <w:tcPr>
            <w:tcW w:w="6575" w:type="dxa"/>
            <w:vAlign w:val="top"/>
          </w:tcPr>
          <w:p>
            <w:pPr>
              <w:spacing w:before="200" w:line="243" w:lineRule="exact"/>
              <w:ind w:left="3257"/>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246" w:type="dxa"/>
            <w:vAlign w:val="top"/>
          </w:tcPr>
          <w:p>
            <w:pPr>
              <w:spacing w:before="200" w:line="243" w:lineRule="exact"/>
              <w:ind w:left="596"/>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3800" w:type="dxa"/>
            <w:vAlign w:val="top"/>
          </w:tcPr>
          <w:p>
            <w:pPr>
              <w:spacing w:before="94" w:line="266" w:lineRule="auto"/>
              <w:ind w:left="59" w:right="47"/>
              <w:rPr>
                <w:rFonts w:ascii="宋体" w:hAnsi="宋体" w:eastAsia="宋体" w:cs="宋体"/>
                <w:sz w:val="17"/>
                <w:szCs w:val="17"/>
              </w:rPr>
            </w:pPr>
            <w:r>
              <w:rPr>
                <w:rFonts w:ascii="宋体" w:hAnsi="宋体" w:eastAsia="宋体" w:cs="宋体"/>
                <w:spacing w:val="11"/>
                <w:sz w:val="17"/>
                <w:szCs w:val="17"/>
              </w:rPr>
              <w:t>跨</w:t>
            </w:r>
            <w:r>
              <w:rPr>
                <w:rFonts w:ascii="宋体" w:hAnsi="宋体" w:eastAsia="宋体" w:cs="宋体"/>
                <w:spacing w:val="10"/>
                <w:sz w:val="17"/>
                <w:szCs w:val="17"/>
              </w:rPr>
              <w:t>水体桥梁两侧设置连续防撞墩、两端设置</w:t>
            </w:r>
            <w:r>
              <w:rPr>
                <w:rFonts w:ascii="Times New Roman" w:hAnsi="Times New Roman" w:eastAsia="Times New Roman" w:cs="Times New Roman"/>
                <w:spacing w:val="10"/>
                <w:sz w:val="17"/>
                <w:szCs w:val="17"/>
              </w:rPr>
              <w:t>“</w:t>
            </w:r>
            <w:r>
              <w:rPr>
                <w:rFonts w:ascii="宋体" w:hAnsi="宋体" w:eastAsia="宋体" w:cs="宋体"/>
                <w:spacing w:val="10"/>
                <w:sz w:val="17"/>
                <w:szCs w:val="17"/>
              </w:rPr>
              <w:t>减</w:t>
            </w:r>
            <w:r>
              <w:rPr>
                <w:rFonts w:ascii="宋体" w:hAnsi="宋体" w:eastAsia="宋体" w:cs="宋体"/>
                <w:sz w:val="17"/>
                <w:szCs w:val="17"/>
              </w:rPr>
              <w:t xml:space="preserve"> </w:t>
            </w:r>
            <w:r>
              <w:rPr>
                <w:rFonts w:ascii="宋体" w:hAnsi="宋体" w:eastAsia="宋体" w:cs="宋体"/>
                <w:spacing w:val="10"/>
                <w:sz w:val="17"/>
                <w:szCs w:val="17"/>
              </w:rPr>
              <w:t>速</w:t>
            </w:r>
            <w:r>
              <w:rPr>
                <w:rFonts w:ascii="宋体" w:hAnsi="宋体" w:eastAsia="宋体" w:cs="宋体"/>
                <w:spacing w:val="9"/>
                <w:sz w:val="17"/>
                <w:szCs w:val="17"/>
              </w:rPr>
              <w:t>行驶、安全驾驶</w:t>
            </w:r>
            <w:r>
              <w:rPr>
                <w:rFonts w:ascii="Times New Roman" w:hAnsi="Times New Roman" w:eastAsia="Times New Roman" w:cs="Times New Roman"/>
                <w:spacing w:val="9"/>
                <w:sz w:val="17"/>
                <w:szCs w:val="17"/>
              </w:rPr>
              <w:t>”</w:t>
            </w:r>
            <w:r>
              <w:rPr>
                <w:rFonts w:ascii="宋体" w:hAnsi="宋体" w:eastAsia="宋体" w:cs="宋体"/>
                <w:spacing w:val="9"/>
                <w:sz w:val="17"/>
                <w:szCs w:val="17"/>
              </w:rPr>
              <w:t>等警示标识</w:t>
            </w:r>
          </w:p>
        </w:tc>
        <w:tc>
          <w:tcPr>
            <w:tcW w:w="1695" w:type="dxa"/>
            <w:tcBorders>
              <w:right w:val="single" w:color="000000" w:sz="6" w:space="0"/>
            </w:tcBorders>
            <w:vAlign w:val="top"/>
          </w:tcPr>
          <w:p>
            <w:pPr>
              <w:spacing w:before="233" w:line="230" w:lineRule="auto"/>
              <w:ind w:left="134"/>
              <w:rPr>
                <w:rFonts w:ascii="宋体" w:hAnsi="宋体" w:eastAsia="宋体" w:cs="宋体"/>
                <w:sz w:val="17"/>
                <w:szCs w:val="17"/>
              </w:rPr>
            </w:pPr>
            <w:r>
              <w:rPr>
                <w:rFonts w:ascii="宋体" w:hAnsi="宋体" w:eastAsia="宋体" w:cs="宋体"/>
                <w:spacing w:val="9"/>
                <w:sz w:val="17"/>
                <w:szCs w:val="17"/>
              </w:rPr>
              <w:t>满足安全管理要求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85" w:type="dxa"/>
            <w:vMerge w:val="restart"/>
            <w:tcBorders>
              <w:left w:val="single" w:color="000000" w:sz="6" w:space="0"/>
              <w:bottom w:val="nil"/>
            </w:tcBorders>
            <w:vAlign w:val="top"/>
          </w:tcPr>
          <w:p>
            <w:pPr>
              <w:spacing w:before="244" w:line="231" w:lineRule="auto"/>
              <w:ind w:left="78"/>
              <w:rPr>
                <w:rFonts w:ascii="宋体" w:hAnsi="宋体" w:eastAsia="宋体" w:cs="宋体"/>
                <w:sz w:val="17"/>
                <w:szCs w:val="17"/>
              </w:rPr>
            </w:pPr>
            <w:r>
              <w:rPr>
                <w:rFonts w:ascii="宋体" w:hAnsi="宋体" w:eastAsia="宋体" w:cs="宋体"/>
                <w:spacing w:val="8"/>
                <w:sz w:val="17"/>
                <w:szCs w:val="17"/>
              </w:rPr>
              <w:t>环境监测</w:t>
            </w:r>
          </w:p>
        </w:tc>
        <w:tc>
          <w:tcPr>
            <w:tcW w:w="6575" w:type="dxa"/>
            <w:vAlign w:val="top"/>
          </w:tcPr>
          <w:p>
            <w:pPr>
              <w:spacing w:before="86" w:line="231" w:lineRule="auto"/>
              <w:ind w:left="2487"/>
              <w:rPr>
                <w:rFonts w:ascii="宋体" w:hAnsi="宋体" w:eastAsia="宋体" w:cs="宋体"/>
                <w:sz w:val="17"/>
                <w:szCs w:val="17"/>
              </w:rPr>
            </w:pPr>
            <w:r>
              <w:rPr>
                <w:rFonts w:ascii="宋体" w:hAnsi="宋体" w:eastAsia="宋体" w:cs="宋体"/>
                <w:spacing w:val="10"/>
                <w:sz w:val="17"/>
                <w:szCs w:val="17"/>
              </w:rPr>
              <w:t>噪</w:t>
            </w:r>
            <w:r>
              <w:rPr>
                <w:rFonts w:ascii="宋体" w:hAnsi="宋体" w:eastAsia="宋体" w:cs="宋体"/>
                <w:spacing w:val="8"/>
                <w:sz w:val="17"/>
                <w:szCs w:val="17"/>
              </w:rPr>
              <w:t>声：施工场地周围</w:t>
            </w:r>
          </w:p>
        </w:tc>
        <w:tc>
          <w:tcPr>
            <w:tcW w:w="1246" w:type="dxa"/>
            <w:vMerge w:val="restart"/>
            <w:tcBorders>
              <w:bottom w:val="nil"/>
            </w:tcBorders>
            <w:vAlign w:val="top"/>
          </w:tcPr>
          <w:p>
            <w:pPr>
              <w:spacing w:before="209" w:line="242" w:lineRule="exact"/>
              <w:ind w:left="596"/>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3800" w:type="dxa"/>
            <w:vMerge w:val="restart"/>
            <w:tcBorders>
              <w:bottom w:val="nil"/>
            </w:tcBorders>
            <w:vAlign w:val="top"/>
          </w:tcPr>
          <w:p>
            <w:pPr>
              <w:rPr>
                <w:rFonts w:ascii="Arial"/>
                <w:sz w:val="21"/>
              </w:rPr>
            </w:pPr>
          </w:p>
        </w:tc>
        <w:tc>
          <w:tcPr>
            <w:tcW w:w="1695" w:type="dxa"/>
            <w:vMerge w:val="restart"/>
            <w:tcBorders>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85" w:type="dxa"/>
            <w:vMerge w:val="continue"/>
            <w:tcBorders>
              <w:top w:val="nil"/>
              <w:left w:val="single" w:color="000000" w:sz="6" w:space="0"/>
            </w:tcBorders>
            <w:vAlign w:val="top"/>
          </w:tcPr>
          <w:p>
            <w:pPr>
              <w:rPr>
                <w:rFonts w:ascii="Arial"/>
                <w:sz w:val="21"/>
              </w:rPr>
            </w:pPr>
          </w:p>
        </w:tc>
        <w:tc>
          <w:tcPr>
            <w:tcW w:w="6575" w:type="dxa"/>
            <w:vAlign w:val="top"/>
          </w:tcPr>
          <w:p>
            <w:pPr>
              <w:spacing w:before="86" w:line="231" w:lineRule="auto"/>
              <w:ind w:left="2118"/>
              <w:rPr>
                <w:rFonts w:ascii="宋体" w:hAnsi="宋体" w:eastAsia="宋体" w:cs="宋体"/>
                <w:sz w:val="17"/>
                <w:szCs w:val="17"/>
              </w:rPr>
            </w:pPr>
            <w:r>
              <w:rPr>
                <w:rFonts w:ascii="宋体" w:hAnsi="宋体" w:eastAsia="宋体" w:cs="宋体"/>
                <w:spacing w:val="15"/>
                <w:sz w:val="17"/>
                <w:szCs w:val="17"/>
              </w:rPr>
              <w:t>废</w:t>
            </w:r>
            <w:r>
              <w:rPr>
                <w:rFonts w:ascii="宋体" w:hAnsi="宋体" w:eastAsia="宋体" w:cs="宋体"/>
                <w:spacing w:val="9"/>
                <w:sz w:val="17"/>
                <w:szCs w:val="17"/>
              </w:rPr>
              <w:t>气：颗粒物，施工场地周围</w:t>
            </w:r>
          </w:p>
        </w:tc>
        <w:tc>
          <w:tcPr>
            <w:tcW w:w="1246" w:type="dxa"/>
            <w:vMerge w:val="continue"/>
            <w:tcBorders>
              <w:top w:val="nil"/>
            </w:tcBorders>
            <w:vAlign w:val="top"/>
          </w:tcPr>
          <w:p>
            <w:pPr>
              <w:rPr>
                <w:rFonts w:ascii="Arial"/>
                <w:sz w:val="21"/>
              </w:rPr>
            </w:pPr>
          </w:p>
        </w:tc>
        <w:tc>
          <w:tcPr>
            <w:tcW w:w="3800" w:type="dxa"/>
            <w:vMerge w:val="continue"/>
            <w:tcBorders>
              <w:top w:val="nil"/>
            </w:tcBorders>
            <w:vAlign w:val="top"/>
          </w:tcPr>
          <w:p>
            <w:pPr>
              <w:rPr>
                <w:rFonts w:ascii="Arial"/>
                <w:sz w:val="21"/>
              </w:rPr>
            </w:pPr>
          </w:p>
        </w:tc>
        <w:tc>
          <w:tcPr>
            <w:tcW w:w="1695"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85" w:type="dxa"/>
            <w:tcBorders>
              <w:left w:val="single" w:color="000000" w:sz="6" w:space="0"/>
            </w:tcBorders>
            <w:vAlign w:val="top"/>
          </w:tcPr>
          <w:p>
            <w:pPr>
              <w:spacing w:before="96" w:line="231" w:lineRule="auto"/>
              <w:ind w:left="259"/>
              <w:rPr>
                <w:rFonts w:ascii="宋体" w:hAnsi="宋体" w:eastAsia="宋体" w:cs="宋体"/>
                <w:sz w:val="17"/>
                <w:szCs w:val="17"/>
              </w:rPr>
            </w:pPr>
            <w:r>
              <w:rPr>
                <w:rFonts w:ascii="宋体" w:hAnsi="宋体" w:eastAsia="宋体" w:cs="宋体"/>
                <w:spacing w:val="6"/>
                <w:sz w:val="17"/>
                <w:szCs w:val="17"/>
              </w:rPr>
              <w:t>其他</w:t>
            </w:r>
          </w:p>
        </w:tc>
        <w:tc>
          <w:tcPr>
            <w:tcW w:w="6575" w:type="dxa"/>
            <w:vAlign w:val="top"/>
          </w:tcPr>
          <w:p>
            <w:pPr>
              <w:spacing w:before="64" w:line="242" w:lineRule="exact"/>
              <w:ind w:left="3257"/>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246" w:type="dxa"/>
            <w:vAlign w:val="top"/>
          </w:tcPr>
          <w:p>
            <w:pPr>
              <w:spacing w:before="64" w:line="242" w:lineRule="exact"/>
              <w:ind w:left="596"/>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3800" w:type="dxa"/>
            <w:vAlign w:val="top"/>
          </w:tcPr>
          <w:p>
            <w:pPr>
              <w:spacing w:before="64" w:line="242" w:lineRule="exact"/>
              <w:ind w:left="1877"/>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695" w:type="dxa"/>
            <w:tcBorders>
              <w:right w:val="single" w:color="000000" w:sz="6" w:space="0"/>
            </w:tcBorders>
            <w:vAlign w:val="top"/>
          </w:tcPr>
          <w:p>
            <w:pPr>
              <w:spacing w:before="64" w:line="242" w:lineRule="exact"/>
              <w:ind w:left="820"/>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r>
    </w:tbl>
    <w:p>
      <w:pPr>
        <w:rPr>
          <w:rFonts w:ascii="Arial"/>
          <w:sz w:val="21"/>
        </w:rPr>
      </w:pPr>
    </w:p>
    <w:p>
      <w:pPr>
        <w:sectPr>
          <w:footerReference r:id="rId102" w:type="default"/>
          <w:pgSz w:w="16839" w:h="11906"/>
          <w:pgMar w:top="400" w:right="1311" w:bottom="1475" w:left="1310" w:header="0" w:footer="1315" w:gutter="0"/>
          <w:cols w:space="720" w:num="1"/>
        </w:sect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94" w:line="237" w:lineRule="auto"/>
        <w:ind w:left="3852"/>
        <w:outlineLvl w:val="0"/>
        <w:rPr>
          <w:rFonts w:ascii="黑体" w:hAnsi="黑体" w:eastAsia="黑体" w:cs="黑体"/>
          <w:sz w:val="29"/>
          <w:szCs w:val="29"/>
        </w:rPr>
      </w:pPr>
      <w:r>
        <w:rPr>
          <w:rFonts w:ascii="黑体" w:hAnsi="黑体" w:eastAsia="黑体" w:cs="黑体"/>
          <w:spacing w:val="8"/>
          <w:sz w:val="29"/>
          <w:szCs w:val="29"/>
        </w:rPr>
        <w:t>七</w:t>
      </w:r>
      <w:r>
        <w:rPr>
          <w:rFonts w:ascii="黑体" w:hAnsi="黑体" w:eastAsia="黑体" w:cs="黑体"/>
          <w:spacing w:val="7"/>
          <w:sz w:val="29"/>
          <w:szCs w:val="29"/>
        </w:rPr>
        <w:t>、结论</w:t>
      </w:r>
    </w:p>
    <w:p/>
    <w:p>
      <w:pPr>
        <w:spacing w:line="102" w:lineRule="auto"/>
        <w:rPr>
          <w:rFonts w:ascii="Arial"/>
          <w:sz w:val="2"/>
        </w:rPr>
      </w:pPr>
    </w:p>
    <w:tbl>
      <w:tblPr>
        <w:tblStyle w:val="4"/>
        <w:tblW w:w="8869"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69"/>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358" w:hRule="atLeast"/>
        </w:trPr>
        <w:tc>
          <w:tcPr>
            <w:tcW w:w="8869" w:type="dxa"/>
            <w:vAlign w:val="top"/>
          </w:tcPr>
          <w:p>
            <w:pPr>
              <w:spacing w:line="478" w:lineRule="auto"/>
              <w:rPr>
                <w:rFonts w:ascii="Arial"/>
                <w:sz w:val="21"/>
              </w:rPr>
            </w:pPr>
          </w:p>
          <w:p>
            <w:pPr>
              <w:spacing w:before="65" w:line="369" w:lineRule="auto"/>
              <w:ind w:left="110" w:right="50" w:firstLine="418"/>
              <w:rPr>
                <w:rFonts w:ascii="宋体" w:hAnsi="宋体" w:eastAsia="宋体" w:cs="宋体"/>
                <w:sz w:val="20"/>
                <w:szCs w:val="20"/>
              </w:rPr>
            </w:pPr>
            <w:bookmarkStart w:id="6" w:name="_bookmark7"/>
            <w:bookmarkEnd w:id="6"/>
            <w:r>
              <w:rPr>
                <w:rFonts w:ascii="宋体" w:hAnsi="宋体" w:eastAsia="宋体" w:cs="宋体"/>
                <w:spacing w:val="9"/>
                <w:sz w:val="20"/>
                <w:szCs w:val="20"/>
                <w14:textOutline w14:w="3795" w14:cap="sq" w14:cmpd="sng">
                  <w14:solidFill>
                    <w14:srgbClr w14:val="000000"/>
                  </w14:solidFill>
                  <w14:prstDash w14:val="solid"/>
                  <w14:bevel/>
                </w14:textOutline>
              </w:rPr>
              <w:t>达州市重点工程建设管理中心</w:t>
            </w:r>
            <w:r>
              <w:rPr>
                <w:rFonts w:ascii="Times New Roman" w:hAnsi="Times New Roman" w:eastAsia="Times New Roman" w:cs="Times New Roman"/>
                <w:b/>
                <w:bCs/>
                <w:spacing w:val="9"/>
                <w:sz w:val="20"/>
                <w:szCs w:val="20"/>
              </w:rPr>
              <w:t>“</w:t>
            </w:r>
            <w:r>
              <w:rPr>
                <w:rFonts w:ascii="宋体" w:hAnsi="宋体" w:eastAsia="宋体" w:cs="宋体"/>
                <w:spacing w:val="9"/>
                <w:sz w:val="20"/>
                <w:szCs w:val="20"/>
                <w14:textOutline w14:w="3795" w14:cap="sq" w14:cmpd="sng">
                  <w14:solidFill>
                    <w14:srgbClr w14:val="000000"/>
                  </w14:solidFill>
                  <w14:prstDash w14:val="solid"/>
                  <w14:bevel/>
                </w14:textOutline>
              </w:rPr>
              <w:t>达州市高家坝大桥建设项目</w:t>
            </w:r>
            <w:r>
              <w:rPr>
                <w:rFonts w:ascii="Times New Roman" w:hAnsi="Times New Roman" w:eastAsia="Times New Roman" w:cs="Times New Roman"/>
                <w:b/>
                <w:bCs/>
                <w:spacing w:val="9"/>
                <w:sz w:val="20"/>
                <w:szCs w:val="20"/>
              </w:rPr>
              <w:t>”</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，符合国家现行产业政策，</w:t>
            </w:r>
            <w:r>
              <w:rPr>
                <w:rFonts w:ascii="宋体" w:hAnsi="宋体" w:eastAsia="宋体" w:cs="宋体"/>
                <w:spacing w:val="2"/>
                <w:sz w:val="20"/>
                <w:szCs w:val="20"/>
                <w14:textOutline w14:w="3795" w14:cap="sq" w14:cmpd="sng">
                  <w14:solidFill>
                    <w14:srgbClr w14:val="000000"/>
                  </w14:solidFill>
                  <w14:prstDash w14:val="solid"/>
                  <w14:bevel/>
                </w14:textOutline>
              </w:rPr>
              <w:t>符</w:t>
            </w:r>
            <w:r>
              <w:rPr>
                <w:rFonts w:ascii="宋体" w:hAnsi="宋体" w:eastAsia="宋体" w:cs="宋体"/>
                <w:sz w:val="20"/>
                <w:szCs w:val="20"/>
              </w:rPr>
              <w:t xml:space="preserve"> </w:t>
            </w:r>
            <w:r>
              <w:rPr>
                <w:rFonts w:ascii="宋体" w:hAnsi="宋体" w:eastAsia="宋体" w:cs="宋体"/>
                <w:spacing w:val="20"/>
                <w:sz w:val="20"/>
                <w:szCs w:val="20"/>
                <w14:textOutline w14:w="3795" w14:cap="sq" w14:cmpd="sng">
                  <w14:solidFill>
                    <w14:srgbClr w14:val="000000"/>
                  </w14:solidFill>
                  <w14:prstDash w14:val="solid"/>
                  <w14:bevel/>
                </w14:textOutline>
              </w:rPr>
              <w:t>合城</w:t>
            </w:r>
            <w:r>
              <w:rPr>
                <w:rFonts w:ascii="宋体" w:hAnsi="宋体" w:eastAsia="宋体" w:cs="宋体"/>
                <w:spacing w:val="11"/>
                <w:sz w:val="20"/>
                <w:szCs w:val="20"/>
                <w14:textOutline w14:w="3795" w14:cap="sq" w14:cmpd="sng">
                  <w14:solidFill>
                    <w14:srgbClr w14:val="000000"/>
                  </w14:solidFill>
                  <w14:prstDash w14:val="solid"/>
                  <w14:bevel/>
                </w14:textOutline>
              </w:rPr>
              <w:t>市</w:t>
            </w:r>
            <w:r>
              <w:rPr>
                <w:rFonts w:ascii="宋体" w:hAnsi="宋体" w:eastAsia="宋体" w:cs="宋体"/>
                <w:spacing w:val="10"/>
                <w:sz w:val="20"/>
                <w:szCs w:val="20"/>
                <w14:textOutline w14:w="3795" w14:cap="sq" w14:cmpd="sng">
                  <w14:solidFill>
                    <w14:srgbClr w14:val="000000"/>
                  </w14:solidFill>
                  <w14:prstDash w14:val="solid"/>
                  <w14:bevel/>
                </w14:textOutline>
              </w:rPr>
              <w:t>道路规划，选址不涉及生态保护红线、饮用水水源保护区及各类生态敏感区。项目的建</w:t>
            </w:r>
            <w:r>
              <w:rPr>
                <w:rFonts w:ascii="宋体" w:hAnsi="宋体" w:eastAsia="宋体" w:cs="宋体"/>
                <w:sz w:val="20"/>
                <w:szCs w:val="20"/>
              </w:rPr>
              <w:t xml:space="preserve"> </w:t>
            </w:r>
            <w:r>
              <w:rPr>
                <w:rFonts w:ascii="宋体" w:hAnsi="宋体" w:eastAsia="宋体" w:cs="宋体"/>
                <w:spacing w:val="20"/>
                <w:sz w:val="20"/>
                <w:szCs w:val="20"/>
                <w14:textOutline w14:w="3795" w14:cap="sq" w14:cmpd="sng">
                  <w14:solidFill>
                    <w14:srgbClr w14:val="000000"/>
                  </w14:solidFill>
                  <w14:prstDash w14:val="solid"/>
                  <w14:bevel/>
                </w14:textOutline>
              </w:rPr>
              <w:t>设是</w:t>
            </w:r>
            <w:r>
              <w:rPr>
                <w:rFonts w:ascii="宋体" w:hAnsi="宋体" w:eastAsia="宋体" w:cs="宋体"/>
                <w:spacing w:val="11"/>
                <w:sz w:val="20"/>
                <w:szCs w:val="20"/>
                <w14:textOutline w14:w="3795" w14:cap="sq" w14:cmpd="sng">
                  <w14:solidFill>
                    <w14:srgbClr w14:val="000000"/>
                  </w14:solidFill>
                  <w14:prstDash w14:val="solid"/>
                  <w14:bevel/>
                </w14:textOutline>
              </w:rPr>
              <w:t>促</w:t>
            </w:r>
            <w:r>
              <w:rPr>
                <w:rFonts w:ascii="宋体" w:hAnsi="宋体" w:eastAsia="宋体" w:cs="宋体"/>
                <w:spacing w:val="10"/>
                <w:sz w:val="20"/>
                <w:szCs w:val="20"/>
                <w14:textOutline w14:w="3795" w14:cap="sq" w14:cmpd="sng">
                  <w14:solidFill>
                    <w14:srgbClr w14:val="000000"/>
                  </w14:solidFill>
                  <w14:prstDash w14:val="solid"/>
                  <w14:bevel/>
                </w14:textOutline>
              </w:rPr>
              <w:t>进区域经济发展的需要，对于完善路网结构、缓解城市组团交通压力，促进城市组团联</w:t>
            </w:r>
            <w:r>
              <w:rPr>
                <w:rFonts w:ascii="宋体" w:hAnsi="宋体" w:eastAsia="宋体" w:cs="宋体"/>
                <w:sz w:val="20"/>
                <w:szCs w:val="20"/>
              </w:rPr>
              <w:t xml:space="preserve"> </w:t>
            </w:r>
            <w:r>
              <w:rPr>
                <w:rFonts w:ascii="宋体" w:hAnsi="宋体" w:eastAsia="宋体" w:cs="宋体"/>
                <w:spacing w:val="20"/>
                <w:sz w:val="20"/>
                <w:szCs w:val="20"/>
                <w14:textOutline w14:w="3795" w14:cap="sq" w14:cmpd="sng">
                  <w14:solidFill>
                    <w14:srgbClr w14:val="000000"/>
                  </w14:solidFill>
                  <w14:prstDash w14:val="solid"/>
                  <w14:bevel/>
                </w14:textOutline>
              </w:rPr>
              <w:t>系、</w:t>
            </w:r>
            <w:r>
              <w:rPr>
                <w:rFonts w:ascii="宋体" w:hAnsi="宋体" w:eastAsia="宋体" w:cs="宋体"/>
                <w:spacing w:val="13"/>
                <w:sz w:val="20"/>
                <w:szCs w:val="20"/>
                <w14:textOutline w14:w="3795" w14:cap="sq" w14:cmpd="sng">
                  <w14:solidFill>
                    <w14:srgbClr w14:val="000000"/>
                  </w14:solidFill>
                  <w14:prstDash w14:val="solid"/>
                  <w14:bevel/>
                </w14:textOutline>
              </w:rPr>
              <w:t>改</w:t>
            </w:r>
            <w:r>
              <w:rPr>
                <w:rFonts w:ascii="宋体" w:hAnsi="宋体" w:eastAsia="宋体" w:cs="宋体"/>
                <w:spacing w:val="10"/>
                <w:sz w:val="20"/>
                <w:szCs w:val="20"/>
                <w14:textOutline w14:w="3795" w14:cap="sq" w14:cmpd="sng">
                  <w14:solidFill>
                    <w14:srgbClr w14:val="000000"/>
                  </w14:solidFill>
                  <w14:prstDash w14:val="solid"/>
                  <w14:bevel/>
                </w14:textOutline>
              </w:rPr>
              <w:t>善区域居民生活环境都具有重要意义。评价表明，项目建设与运营过程中，只要严格落</w:t>
            </w:r>
            <w:r>
              <w:rPr>
                <w:rFonts w:ascii="宋体" w:hAnsi="宋体" w:eastAsia="宋体" w:cs="宋体"/>
                <w:sz w:val="20"/>
                <w:szCs w:val="20"/>
              </w:rPr>
              <w:t xml:space="preserve"> </w:t>
            </w:r>
            <w:r>
              <w:rPr>
                <w:rFonts w:ascii="宋体" w:hAnsi="宋体" w:eastAsia="宋体" w:cs="宋体"/>
                <w:spacing w:val="20"/>
                <w:sz w:val="20"/>
                <w:szCs w:val="20"/>
                <w14:textOutline w14:w="3795" w14:cap="sq" w14:cmpd="sng">
                  <w14:solidFill>
                    <w14:srgbClr w14:val="000000"/>
                  </w14:solidFill>
                  <w14:prstDash w14:val="solid"/>
                  <w14:bevel/>
                </w14:textOutline>
              </w:rPr>
              <w:t>实</w:t>
            </w:r>
            <w:r>
              <w:rPr>
                <w:rFonts w:ascii="宋体" w:hAnsi="宋体" w:eastAsia="宋体" w:cs="宋体"/>
                <w:spacing w:val="11"/>
                <w:sz w:val="20"/>
                <w:szCs w:val="20"/>
                <w14:textOutline w14:w="3795" w14:cap="sq" w14:cmpd="sng">
                  <w14:solidFill>
                    <w14:srgbClr w14:val="000000"/>
                  </w14:solidFill>
                  <w14:prstDash w14:val="solid"/>
                  <w14:bevel/>
                </w14:textOutline>
              </w:rPr>
              <w:t>本</w:t>
            </w:r>
            <w:r>
              <w:rPr>
                <w:rFonts w:ascii="宋体" w:hAnsi="宋体" w:eastAsia="宋体" w:cs="宋体"/>
                <w:spacing w:val="10"/>
                <w:sz w:val="20"/>
                <w:szCs w:val="20"/>
                <w14:textOutline w14:w="3795" w14:cap="sq" w14:cmpd="sng">
                  <w14:solidFill>
                    <w14:srgbClr w14:val="000000"/>
                  </w14:solidFill>
                  <w14:prstDash w14:val="solid"/>
                  <w14:bevel/>
                </w14:textOutline>
              </w:rPr>
              <w:t>环境影响报告表提出的各项环保措施，严格落实环保</w:t>
            </w:r>
            <w:r>
              <w:rPr>
                <w:rFonts w:ascii="Times New Roman" w:hAnsi="Times New Roman" w:eastAsia="Times New Roman" w:cs="Times New Roman"/>
                <w:b/>
                <w:bCs/>
                <w:spacing w:val="10"/>
                <w:sz w:val="20"/>
                <w:szCs w:val="20"/>
              </w:rPr>
              <w:t>“</w:t>
            </w:r>
            <w:r>
              <w:rPr>
                <w:rFonts w:ascii="宋体" w:hAnsi="宋体" w:eastAsia="宋体" w:cs="宋体"/>
                <w:spacing w:val="10"/>
                <w:sz w:val="20"/>
                <w:szCs w:val="20"/>
                <w14:textOutline w14:w="3795" w14:cap="sq" w14:cmpd="sng">
                  <w14:solidFill>
                    <w14:srgbClr w14:val="000000"/>
                  </w14:solidFill>
                  <w14:prstDash w14:val="solid"/>
                  <w14:bevel/>
                </w14:textOutline>
              </w:rPr>
              <w:t>三同时</w:t>
            </w:r>
            <w:r>
              <w:rPr>
                <w:rFonts w:ascii="Times New Roman" w:hAnsi="Times New Roman" w:eastAsia="Times New Roman" w:cs="Times New Roman"/>
                <w:b/>
                <w:bCs/>
                <w:spacing w:val="10"/>
                <w:sz w:val="20"/>
                <w:szCs w:val="20"/>
              </w:rPr>
              <w:t>”</w:t>
            </w:r>
            <w:r>
              <w:rPr>
                <w:rFonts w:ascii="宋体" w:hAnsi="宋体" w:eastAsia="宋体" w:cs="宋体"/>
                <w:spacing w:val="10"/>
                <w:sz w:val="20"/>
                <w:szCs w:val="20"/>
                <w14:textOutline w14:w="3795" w14:cap="sq" w14:cmpd="sng">
                  <w14:solidFill>
                    <w14:srgbClr w14:val="000000"/>
                  </w14:solidFill>
                  <w14:prstDash w14:val="solid"/>
                  <w14:bevel/>
                </w14:textOutline>
              </w:rPr>
              <w:t>制度，能够最大限度地减轻</w:t>
            </w:r>
            <w:r>
              <w:rPr>
                <w:rFonts w:ascii="宋体" w:hAnsi="宋体" w:eastAsia="宋体" w:cs="宋体"/>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项目建设对周围生态环境造成的影响，不会导致区域环境质量降低和改变区域的环境功能类别</w:t>
            </w:r>
            <w:r>
              <w:rPr>
                <w:rFonts w:ascii="宋体" w:hAnsi="宋体" w:eastAsia="宋体" w:cs="宋体"/>
                <w:spacing w:val="5"/>
                <w:sz w:val="20"/>
                <w:szCs w:val="20"/>
                <w14:textOutline w14:w="3795" w14:cap="sq" w14:cmpd="sng">
                  <w14:solidFill>
                    <w14:srgbClr w14:val="000000"/>
                  </w14:solidFill>
                  <w14:prstDash w14:val="solid"/>
                  <w14:bevel/>
                </w14:textOutline>
              </w:rPr>
              <w:t>，</w:t>
            </w:r>
            <w:r>
              <w:rPr>
                <w:rFonts w:ascii="宋体" w:hAnsi="宋体" w:eastAsia="宋体" w:cs="宋体"/>
                <w:sz w:val="20"/>
                <w:szCs w:val="20"/>
              </w:rPr>
              <w:t xml:space="preserve"> </w:t>
            </w:r>
            <w:r>
              <w:rPr>
                <w:rFonts w:ascii="宋体" w:hAnsi="宋体" w:eastAsia="宋体" w:cs="宋体"/>
                <w:spacing w:val="17"/>
                <w:sz w:val="20"/>
                <w:szCs w:val="20"/>
                <w14:textOutline w14:w="3795" w14:cap="sq" w14:cmpd="sng">
                  <w14:solidFill>
                    <w14:srgbClr w14:val="000000"/>
                  </w14:solidFill>
                  <w14:prstDash w14:val="solid"/>
                  <w14:bevel/>
                </w14:textOutline>
              </w:rPr>
              <w:t>项</w:t>
            </w:r>
            <w:r>
              <w:rPr>
                <w:rFonts w:ascii="宋体" w:hAnsi="宋体" w:eastAsia="宋体" w:cs="宋体"/>
                <w:spacing w:val="10"/>
                <w:sz w:val="20"/>
                <w:szCs w:val="20"/>
                <w14:textOutline w14:w="3795" w14:cap="sq" w14:cmpd="sng">
                  <w14:solidFill>
                    <w14:srgbClr w14:val="000000"/>
                  </w14:solidFill>
                  <w14:prstDash w14:val="solid"/>
                  <w14:bevel/>
                </w14:textOutline>
              </w:rPr>
              <w:t>目的环境影响为可接受程度，环境风险可控，污染物排放符合总量控制要求。</w:t>
            </w:r>
          </w:p>
          <w:p>
            <w:pPr>
              <w:spacing w:line="230" w:lineRule="auto"/>
              <w:ind w:left="546"/>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因</w:t>
            </w:r>
            <w:r>
              <w:rPr>
                <w:rFonts w:ascii="宋体" w:hAnsi="宋体" w:eastAsia="宋体" w:cs="宋体"/>
                <w:spacing w:val="9"/>
                <w:sz w:val="20"/>
                <w:szCs w:val="20"/>
                <w14:textOutline w14:w="3795" w14:cap="sq" w14:cmpd="sng">
                  <w14:solidFill>
                    <w14:srgbClr w14:val="000000"/>
                  </w14:solidFill>
                  <w14:prstDash w14:val="solid"/>
                  <w14:bevel/>
                </w14:textOutline>
              </w:rPr>
              <w:t>此，从环境保护角度分析，项目在所选地址建设可行。</w:t>
            </w:r>
          </w:p>
        </w:tc>
      </w:tr>
    </w:tbl>
    <w:p>
      <w:pPr>
        <w:rPr>
          <w:rFonts w:ascii="Arial"/>
          <w:sz w:val="21"/>
        </w:rPr>
      </w:pPr>
    </w:p>
    <w:p>
      <w:pPr>
        <w:sectPr>
          <w:footerReference r:id="rId103" w:type="default"/>
          <w:pgSz w:w="11906" w:h="16839"/>
          <w:pgMar w:top="400" w:right="1511" w:bottom="1475" w:left="1510" w:header="0" w:footer="1315" w:gutter="0"/>
          <w:cols w:space="720" w:num="1"/>
        </w:sect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304" w:line="400" w:lineRule="auto"/>
        <w:ind w:left="1014" w:hanging="1014"/>
        <w:rPr>
          <w:rFonts w:ascii="微软雅黑" w:hAnsi="微软雅黑" w:eastAsia="微软雅黑" w:cs="微软雅黑"/>
          <w:sz w:val="71"/>
          <w:szCs w:val="71"/>
        </w:rPr>
      </w:pPr>
      <w:r>
        <w:rPr>
          <w:rFonts w:ascii="微软雅黑" w:hAnsi="微软雅黑" w:eastAsia="微软雅黑" w:cs="微软雅黑"/>
          <w:spacing w:val="-19"/>
          <w:sz w:val="71"/>
          <w:szCs w:val="71"/>
          <w14:textOutline w14:w="13075" w14:cap="sq" w14:cmpd="sng">
            <w14:solidFill>
              <w14:srgbClr w14:val="000000"/>
            </w14:solidFill>
            <w14:prstDash w14:val="solid"/>
            <w14:bevel/>
          </w14:textOutline>
        </w:rPr>
        <w:t>达</w:t>
      </w:r>
      <w:r>
        <w:rPr>
          <w:rFonts w:ascii="微软雅黑" w:hAnsi="微软雅黑" w:eastAsia="微软雅黑" w:cs="微软雅黑"/>
          <w:spacing w:val="-14"/>
          <w:sz w:val="71"/>
          <w:szCs w:val="71"/>
          <w14:textOutline w14:w="13075" w14:cap="sq" w14:cmpd="sng">
            <w14:solidFill>
              <w14:srgbClr w14:val="000000"/>
            </w14:solidFill>
            <w14:prstDash w14:val="solid"/>
            <w14:bevel/>
          </w14:textOutline>
        </w:rPr>
        <w:t>州市高家坝大桥建设项</w:t>
      </w:r>
      <w:r>
        <w:rPr>
          <w:rFonts w:ascii="微软雅黑" w:hAnsi="微软雅黑" w:eastAsia="微软雅黑" w:cs="微软雅黑"/>
          <w:spacing w:val="-14"/>
          <w:sz w:val="71"/>
          <w:szCs w:val="71"/>
        </w:rPr>
        <w:t xml:space="preserve"> </w:t>
      </w:r>
      <w:r>
        <w:rPr>
          <w:rFonts w:ascii="微软雅黑" w:hAnsi="微软雅黑" w:eastAsia="微软雅黑" w:cs="微软雅黑"/>
          <w:spacing w:val="-14"/>
          <w:sz w:val="71"/>
          <w:szCs w:val="71"/>
          <w14:textOutline w14:w="13075" w14:cap="sq" w14:cmpd="sng">
            <w14:solidFill>
              <w14:srgbClr w14:val="000000"/>
            </w14:solidFill>
            <w14:prstDash w14:val="solid"/>
            <w14:bevel/>
          </w14:textOutline>
        </w:rPr>
        <w:t>目</w:t>
      </w:r>
      <w:r>
        <w:rPr>
          <w:rFonts w:ascii="微软雅黑" w:hAnsi="微软雅黑" w:eastAsia="微软雅黑" w:cs="微软雅黑"/>
          <w:sz w:val="71"/>
          <w:szCs w:val="71"/>
        </w:rPr>
        <w:t xml:space="preserve"> </w:t>
      </w:r>
      <w:r>
        <w:rPr>
          <w:rFonts w:ascii="微软雅黑" w:hAnsi="微软雅黑" w:eastAsia="微软雅黑" w:cs="微软雅黑"/>
          <w:spacing w:val="8"/>
          <w:sz w:val="71"/>
          <w:szCs w:val="71"/>
          <w14:textOutline w14:w="13075" w14:cap="sq" w14:cmpd="sng">
            <w14:solidFill>
              <w14:srgbClr w14:val="000000"/>
            </w14:solidFill>
            <w14:prstDash w14:val="solid"/>
            <w14:bevel/>
          </w14:textOutline>
        </w:rPr>
        <w:t>声</w:t>
      </w:r>
      <w:r>
        <w:rPr>
          <w:rFonts w:ascii="微软雅黑" w:hAnsi="微软雅黑" w:eastAsia="微软雅黑" w:cs="微软雅黑"/>
          <w:spacing w:val="6"/>
          <w:sz w:val="71"/>
          <w:szCs w:val="71"/>
          <w14:textOutline w14:w="13075" w14:cap="sq" w14:cmpd="sng">
            <w14:solidFill>
              <w14:srgbClr w14:val="000000"/>
            </w14:solidFill>
            <w14:prstDash w14:val="solid"/>
            <w14:bevel/>
          </w14:textOutline>
        </w:rPr>
        <w:t>环境影响专项评价</w: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101" w:line="937" w:lineRule="exact"/>
        <w:ind w:left="2145"/>
        <w:rPr>
          <w:rFonts w:ascii="仿宋" w:hAnsi="仿宋" w:eastAsia="仿宋" w:cs="仿宋"/>
          <w:sz w:val="31"/>
          <w:szCs w:val="31"/>
        </w:rPr>
      </w:pPr>
      <w:r>
        <w:rPr>
          <w:rFonts w:ascii="仿宋" w:hAnsi="仿宋" w:eastAsia="仿宋" w:cs="仿宋"/>
          <w:spacing w:val="10"/>
          <w:position w:val="48"/>
          <w:sz w:val="31"/>
          <w:szCs w:val="31"/>
          <w14:textOutline w14:w="5793" w14:cap="sq" w14:cmpd="sng">
            <w14:solidFill>
              <w14:srgbClr w14:val="000000"/>
            </w14:solidFill>
            <w14:prstDash w14:val="solid"/>
            <w14:bevel/>
          </w14:textOutline>
        </w:rPr>
        <w:t>达州市重点工程建设管理中心</w:t>
      </w:r>
    </w:p>
    <w:p>
      <w:pPr>
        <w:spacing w:line="223" w:lineRule="auto"/>
        <w:ind w:left="2811"/>
        <w:rPr>
          <w:rFonts w:ascii="仿宋" w:hAnsi="仿宋" w:eastAsia="仿宋" w:cs="仿宋"/>
          <w:sz w:val="31"/>
          <w:szCs w:val="31"/>
        </w:rPr>
      </w:pPr>
      <w:r>
        <w:rPr>
          <w:rFonts w:ascii="仿宋" w:hAnsi="仿宋" w:eastAsia="仿宋" w:cs="仿宋"/>
          <w:spacing w:val="-25"/>
          <w:sz w:val="31"/>
          <w:szCs w:val="31"/>
          <w14:textOutline w14:w="5793" w14:cap="sq" w14:cmpd="sng">
            <w14:solidFill>
              <w14:srgbClr w14:val="000000"/>
            </w14:solidFill>
            <w14:prstDash w14:val="solid"/>
            <w14:bevel/>
          </w14:textOutline>
        </w:rPr>
        <w:t>二</w:t>
      </w:r>
      <w:r>
        <w:rPr>
          <w:rFonts w:ascii="仿宋" w:hAnsi="仿宋" w:eastAsia="仿宋" w:cs="仿宋"/>
          <w:spacing w:val="-25"/>
          <w:sz w:val="31"/>
          <w:szCs w:val="31"/>
        </w:rPr>
        <w:t xml:space="preserve"> </w:t>
      </w:r>
      <w:r>
        <w:rPr>
          <w:rFonts w:ascii="宋体" w:hAnsi="宋体" w:eastAsia="宋体" w:cs="宋体"/>
          <w:spacing w:val="-25"/>
          <w:sz w:val="31"/>
          <w:szCs w:val="31"/>
          <w14:textOutline w14:w="5793" w14:cap="sq" w14:cmpd="sng">
            <w14:solidFill>
              <w14:srgbClr w14:val="000000"/>
            </w14:solidFill>
            <w14:prstDash w14:val="solid"/>
            <w14:bevel/>
          </w14:textOutline>
        </w:rPr>
        <w:t>〇</w:t>
      </w:r>
      <w:r>
        <w:rPr>
          <w:rFonts w:ascii="宋体" w:hAnsi="宋体" w:eastAsia="宋体" w:cs="宋体"/>
          <w:spacing w:val="-25"/>
          <w:sz w:val="31"/>
          <w:szCs w:val="31"/>
        </w:rPr>
        <w:t xml:space="preserve"> </w:t>
      </w:r>
      <w:r>
        <w:rPr>
          <w:rFonts w:ascii="仿宋" w:hAnsi="仿宋" w:eastAsia="仿宋" w:cs="仿宋"/>
          <w:spacing w:val="-25"/>
          <w:sz w:val="31"/>
          <w:szCs w:val="31"/>
          <w14:textOutline w14:w="5793" w14:cap="sq" w14:cmpd="sng">
            <w14:solidFill>
              <w14:srgbClr w14:val="000000"/>
            </w14:solidFill>
            <w14:prstDash w14:val="solid"/>
            <w14:bevel/>
          </w14:textOutline>
        </w:rPr>
        <w:t>二</w:t>
      </w:r>
      <w:r>
        <w:rPr>
          <w:rFonts w:ascii="仿宋" w:hAnsi="仿宋" w:eastAsia="仿宋" w:cs="仿宋"/>
          <w:spacing w:val="-25"/>
          <w:sz w:val="31"/>
          <w:szCs w:val="31"/>
        </w:rPr>
        <w:t xml:space="preserve"> </w:t>
      </w:r>
      <w:r>
        <w:rPr>
          <w:rFonts w:ascii="仿宋" w:hAnsi="仿宋" w:eastAsia="仿宋" w:cs="仿宋"/>
          <w:spacing w:val="-25"/>
          <w:sz w:val="31"/>
          <w:szCs w:val="31"/>
          <w14:textOutline w14:w="5793" w14:cap="sq" w14:cmpd="sng">
            <w14:solidFill>
              <w14:srgbClr w14:val="000000"/>
            </w14:solidFill>
            <w14:prstDash w14:val="solid"/>
            <w14:bevel/>
          </w14:textOutline>
        </w:rPr>
        <w:t>三</w:t>
      </w:r>
      <w:r>
        <w:rPr>
          <w:rFonts w:ascii="仿宋" w:hAnsi="仿宋" w:eastAsia="仿宋" w:cs="仿宋"/>
          <w:spacing w:val="-25"/>
          <w:sz w:val="31"/>
          <w:szCs w:val="31"/>
        </w:rPr>
        <w:t xml:space="preserve"> </w:t>
      </w:r>
      <w:r>
        <w:rPr>
          <w:rFonts w:ascii="仿宋" w:hAnsi="仿宋" w:eastAsia="仿宋" w:cs="仿宋"/>
          <w:spacing w:val="-25"/>
          <w:sz w:val="31"/>
          <w:szCs w:val="31"/>
          <w14:textOutline w14:w="5793" w14:cap="sq" w14:cmpd="sng">
            <w14:solidFill>
              <w14:srgbClr w14:val="000000"/>
            </w14:solidFill>
            <w14:prstDash w14:val="solid"/>
            <w14:bevel/>
          </w14:textOutline>
        </w:rPr>
        <w:t>年</w:t>
      </w:r>
      <w:r>
        <w:rPr>
          <w:rFonts w:ascii="仿宋" w:hAnsi="仿宋" w:eastAsia="仿宋" w:cs="仿宋"/>
          <w:spacing w:val="-25"/>
          <w:sz w:val="31"/>
          <w:szCs w:val="31"/>
        </w:rPr>
        <w:t xml:space="preserve"> </w:t>
      </w:r>
      <w:r>
        <w:rPr>
          <w:rFonts w:ascii="仿宋" w:hAnsi="仿宋" w:eastAsia="仿宋" w:cs="仿宋"/>
          <w:spacing w:val="-25"/>
          <w:sz w:val="31"/>
          <w:szCs w:val="31"/>
          <w14:textOutline w14:w="5793" w14:cap="sq" w14:cmpd="sng">
            <w14:solidFill>
              <w14:srgbClr w14:val="000000"/>
            </w14:solidFill>
            <w14:prstDash w14:val="solid"/>
            <w14:bevel/>
          </w14:textOutline>
        </w:rPr>
        <w:t>五</w:t>
      </w:r>
      <w:r>
        <w:rPr>
          <w:rFonts w:ascii="仿宋" w:hAnsi="仿宋" w:eastAsia="仿宋" w:cs="仿宋"/>
          <w:spacing w:val="-25"/>
          <w:sz w:val="31"/>
          <w:szCs w:val="31"/>
        </w:rPr>
        <w:t xml:space="preserve"> </w:t>
      </w:r>
      <w:r>
        <w:rPr>
          <w:rFonts w:ascii="仿宋" w:hAnsi="仿宋" w:eastAsia="仿宋" w:cs="仿宋"/>
          <w:spacing w:val="-25"/>
          <w:sz w:val="31"/>
          <w:szCs w:val="31"/>
          <w14:textOutline w14:w="5793" w14:cap="sq" w14:cmpd="sng">
            <w14:solidFill>
              <w14:srgbClr w14:val="000000"/>
            </w14:solidFill>
            <w14:prstDash w14:val="solid"/>
            <w14:bevel/>
          </w14:textOutline>
        </w:rPr>
        <w:t>月</w:t>
      </w:r>
    </w:p>
    <w:p>
      <w:pPr>
        <w:sectPr>
          <w:footerReference r:id="rId104" w:type="default"/>
          <w:pgSz w:w="11906" w:h="16839"/>
          <w:pgMar w:top="400" w:right="1631" w:bottom="400" w:left="1730" w:header="0" w:footer="0" w:gutter="0"/>
          <w:cols w:space="720" w:num="1"/>
        </w:sect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101" w:line="227" w:lineRule="auto"/>
        <w:ind w:left="4010"/>
        <w:rPr>
          <w:rFonts w:ascii="宋体" w:hAnsi="宋体" w:eastAsia="宋体" w:cs="宋体"/>
          <w:sz w:val="31"/>
          <w:szCs w:val="31"/>
        </w:rPr>
      </w:pPr>
      <w:r>
        <w:rPr>
          <w:rFonts w:ascii="宋体" w:hAnsi="宋体" w:eastAsia="宋体" w:cs="宋体"/>
          <w:spacing w:val="-12"/>
          <w:sz w:val="31"/>
          <w:szCs w:val="31"/>
          <w14:textOutline w14:w="5793" w14:cap="sq" w14:cmpd="sng">
            <w14:solidFill>
              <w14:srgbClr w14:val="000000"/>
            </w14:solidFill>
            <w14:prstDash w14:val="solid"/>
            <w14:bevel/>
          </w14:textOutline>
        </w:rPr>
        <w:t>目</w:t>
      </w:r>
      <w:r>
        <w:rPr>
          <w:rFonts w:ascii="宋体" w:hAnsi="宋体" w:eastAsia="宋体" w:cs="宋体"/>
          <w:spacing w:val="-9"/>
          <w:sz w:val="31"/>
          <w:szCs w:val="31"/>
        </w:rPr>
        <w:t xml:space="preserve">  </w:t>
      </w:r>
      <w:r>
        <w:rPr>
          <w:rFonts w:ascii="宋体" w:hAnsi="宋体" w:eastAsia="宋体" w:cs="宋体"/>
          <w:spacing w:val="-9"/>
          <w:sz w:val="31"/>
          <w:szCs w:val="31"/>
          <w14:textOutline w14:w="5793" w14:cap="sq" w14:cmpd="sng">
            <w14:solidFill>
              <w14:srgbClr w14:val="000000"/>
            </w14:solidFill>
            <w14:prstDash w14:val="solid"/>
            <w14:bevel/>
          </w14:textOutline>
        </w:rPr>
        <w:t>录</w:t>
      </w:r>
    </w:p>
    <w:p>
      <w:pPr>
        <w:spacing w:line="255" w:lineRule="auto"/>
        <w:rPr>
          <w:rFonts w:ascii="Arial"/>
          <w:sz w:val="21"/>
        </w:rPr>
      </w:pPr>
    </w:p>
    <w:p>
      <w:pPr>
        <w:spacing w:line="256" w:lineRule="auto"/>
        <w:rPr>
          <w:rFonts w:ascii="Arial"/>
          <w:sz w:val="21"/>
        </w:rPr>
      </w:pPr>
    </w:p>
    <w:p>
      <w:pPr>
        <w:spacing w:line="256" w:lineRule="auto"/>
        <w:rPr>
          <w:rFonts w:ascii="Arial"/>
          <w:sz w:val="21"/>
        </w:rPr>
      </w:pPr>
    </w:p>
    <w:sdt>
      <w:sdtPr>
        <w:rPr>
          <w:rFonts w:ascii="Times New Roman" w:hAnsi="Times New Roman" w:eastAsia="Times New Roman" w:cs="Times New Roman"/>
          <w:sz w:val="22"/>
          <w:szCs w:val="22"/>
        </w:rPr>
        <w:id w:val="3"/>
        <w:docPartObj>
          <w:docPartGallery w:val="Table of Contents"/>
          <w:docPartUnique/>
        </w:docPartObj>
      </w:sdtPr>
      <w:sdtEndPr>
        <w:rPr>
          <w:rFonts w:ascii="Times New Roman" w:hAnsi="Times New Roman" w:eastAsia="Times New Roman" w:cs="Times New Roman"/>
          <w:sz w:val="22"/>
          <w:szCs w:val="22"/>
        </w:rPr>
      </w:sdtEndPr>
      <w:sdtContent>
        <w:p>
          <w:pPr>
            <w:tabs>
              <w:tab w:val="right" w:leader="dot" w:pos="8839"/>
            </w:tabs>
            <w:spacing w:before="72" w:line="222" w:lineRule="auto"/>
            <w:ind w:left="22"/>
            <w:rPr>
              <w:rFonts w:ascii="Times New Roman" w:hAnsi="Times New Roman" w:eastAsia="Times New Roman" w:cs="Times New Roman"/>
              <w:sz w:val="22"/>
              <w:szCs w:val="22"/>
            </w:rPr>
          </w:pPr>
          <w:r>
            <w:fldChar w:fldCharType="begin"/>
          </w:r>
          <w:r>
            <w:instrText xml:space="preserve"> HYPERLINK \l "_bookmark8" </w:instrText>
          </w:r>
          <w:r>
            <w:fldChar w:fldCharType="separate"/>
          </w:r>
          <w:r>
            <w:rPr>
              <w:rFonts w:ascii="Times New Roman" w:hAnsi="Times New Roman" w:eastAsia="Times New Roman" w:cs="Times New Roman"/>
              <w:spacing w:val="2"/>
              <w:sz w:val="22"/>
              <w:szCs w:val="22"/>
            </w:rPr>
            <w:t>1</w:t>
          </w:r>
          <w:r>
            <w:rPr>
              <w:rFonts w:ascii="Times New Roman" w:hAnsi="Times New Roman" w:eastAsia="Times New Roman" w:cs="Times New Roman"/>
              <w:spacing w:val="1"/>
              <w:sz w:val="22"/>
              <w:szCs w:val="22"/>
            </w:rPr>
            <w:t xml:space="preserve">  </w:t>
          </w:r>
          <w:r>
            <w:rPr>
              <w:rFonts w:ascii="黑体" w:hAnsi="黑体" w:eastAsia="黑体" w:cs="黑体"/>
              <w:spacing w:val="1"/>
              <w:sz w:val="22"/>
              <w:szCs w:val="22"/>
            </w:rPr>
            <w:t>总则</w:t>
          </w:r>
          <w:r>
            <w:rPr>
              <w:rFonts w:ascii="Times New Roman" w:hAnsi="Times New Roman" w:eastAsia="Times New Roman" w:cs="Times New Roman"/>
              <w:sz w:val="22"/>
              <w:szCs w:val="22"/>
            </w:rPr>
            <w:tab/>
          </w:r>
          <w:r>
            <w:rPr>
              <w:rFonts w:ascii="Times New Roman" w:hAnsi="Times New Roman" w:eastAsia="Times New Roman" w:cs="Times New Roman"/>
              <w:spacing w:val="1"/>
              <w:sz w:val="22"/>
              <w:szCs w:val="22"/>
            </w:rPr>
            <w:t>- 1 -</w:t>
          </w:r>
          <w:r>
            <w:rPr>
              <w:rFonts w:ascii="Times New Roman" w:hAnsi="Times New Roman" w:eastAsia="Times New Roman" w:cs="Times New Roman"/>
              <w:spacing w:val="1"/>
              <w:sz w:val="22"/>
              <w:szCs w:val="22"/>
            </w:rPr>
            <w:fldChar w:fldCharType="end"/>
          </w:r>
        </w:p>
        <w:p>
          <w:pPr>
            <w:tabs>
              <w:tab w:val="right" w:leader="dot" w:pos="8839"/>
            </w:tabs>
            <w:spacing w:before="164" w:line="222" w:lineRule="auto"/>
            <w:ind w:left="442"/>
            <w:rPr>
              <w:rFonts w:ascii="Times New Roman" w:hAnsi="Times New Roman" w:eastAsia="Times New Roman" w:cs="Times New Roman"/>
              <w:sz w:val="22"/>
              <w:szCs w:val="22"/>
            </w:rPr>
          </w:pPr>
          <w:r>
            <w:fldChar w:fldCharType="begin"/>
          </w:r>
          <w:r>
            <w:instrText xml:space="preserve"> HYPERLINK \l "_bookmark9" </w:instrText>
          </w:r>
          <w:r>
            <w:fldChar w:fldCharType="separate"/>
          </w:r>
          <w:r>
            <w:rPr>
              <w:rFonts w:ascii="Times New Roman" w:hAnsi="Times New Roman" w:eastAsia="Times New Roman" w:cs="Times New Roman"/>
              <w:spacing w:val="-3"/>
              <w:sz w:val="22"/>
              <w:szCs w:val="22"/>
            </w:rPr>
            <w:t>1</w:t>
          </w:r>
          <w:r>
            <w:rPr>
              <w:rFonts w:ascii="Times New Roman" w:hAnsi="Times New Roman" w:eastAsia="Times New Roman" w:cs="Times New Roman"/>
              <w:spacing w:val="-2"/>
              <w:sz w:val="22"/>
              <w:szCs w:val="22"/>
            </w:rPr>
            <w:t xml:space="preserve">.1  </w:t>
          </w:r>
          <w:r>
            <w:rPr>
              <w:rFonts w:ascii="宋体" w:hAnsi="宋体" w:eastAsia="宋体" w:cs="宋体"/>
              <w:spacing w:val="-2"/>
              <w:sz w:val="22"/>
              <w:szCs w:val="22"/>
            </w:rPr>
            <w:t>前言</w:t>
          </w:r>
          <w:r>
            <w:rPr>
              <w:rFonts w:ascii="Times New Roman" w:hAnsi="Times New Roman" w:eastAsia="Times New Roman" w:cs="Times New Roman"/>
              <w:sz w:val="22"/>
              <w:szCs w:val="22"/>
            </w:rPr>
            <w:tab/>
          </w:r>
          <w:r>
            <w:rPr>
              <w:rFonts w:ascii="Times New Roman" w:hAnsi="Times New Roman" w:eastAsia="Times New Roman" w:cs="Times New Roman"/>
              <w:spacing w:val="-2"/>
              <w:sz w:val="22"/>
              <w:szCs w:val="22"/>
            </w:rPr>
            <w:t>- 1 -</w:t>
          </w:r>
          <w:r>
            <w:rPr>
              <w:rFonts w:ascii="Times New Roman" w:hAnsi="Times New Roman" w:eastAsia="Times New Roman" w:cs="Times New Roman"/>
              <w:spacing w:val="-2"/>
              <w:sz w:val="22"/>
              <w:szCs w:val="22"/>
            </w:rPr>
            <w:fldChar w:fldCharType="end"/>
          </w:r>
        </w:p>
        <w:p>
          <w:pPr>
            <w:tabs>
              <w:tab w:val="right" w:leader="dot" w:pos="8839"/>
            </w:tabs>
            <w:spacing w:before="163" w:line="219" w:lineRule="auto"/>
            <w:ind w:left="442"/>
            <w:rPr>
              <w:rFonts w:ascii="Times New Roman" w:hAnsi="Times New Roman" w:eastAsia="Times New Roman" w:cs="Times New Roman"/>
              <w:sz w:val="22"/>
              <w:szCs w:val="22"/>
            </w:rPr>
          </w:pPr>
          <w:r>
            <w:fldChar w:fldCharType="begin"/>
          </w:r>
          <w:r>
            <w:instrText xml:space="preserve"> HYPERLINK \l "_bookmark10" </w:instrText>
          </w:r>
          <w:r>
            <w:fldChar w:fldCharType="separate"/>
          </w:r>
          <w:r>
            <w:rPr>
              <w:rFonts w:ascii="Times New Roman" w:hAnsi="Times New Roman" w:eastAsia="Times New Roman" w:cs="Times New Roman"/>
              <w:spacing w:val="-2"/>
              <w:sz w:val="22"/>
              <w:szCs w:val="22"/>
            </w:rPr>
            <w:t xml:space="preserve">1.2  </w:t>
          </w:r>
          <w:r>
            <w:rPr>
              <w:rFonts w:ascii="宋体" w:hAnsi="宋体" w:eastAsia="宋体" w:cs="宋体"/>
              <w:spacing w:val="-2"/>
              <w:sz w:val="22"/>
              <w:szCs w:val="22"/>
            </w:rPr>
            <w:t>编制依据</w:t>
          </w:r>
          <w:r>
            <w:rPr>
              <w:rFonts w:ascii="Times New Roman" w:hAnsi="Times New Roman" w:eastAsia="Times New Roman" w:cs="Times New Roman"/>
              <w:sz w:val="22"/>
              <w:szCs w:val="22"/>
            </w:rPr>
            <w:tab/>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pacing w:val="-1"/>
              <w:sz w:val="22"/>
              <w:szCs w:val="22"/>
            </w:rPr>
            <w:t>1 -</w:t>
          </w:r>
          <w:r>
            <w:rPr>
              <w:rFonts w:ascii="Times New Roman" w:hAnsi="Times New Roman" w:eastAsia="Times New Roman" w:cs="Times New Roman"/>
              <w:spacing w:val="-1"/>
              <w:sz w:val="22"/>
              <w:szCs w:val="22"/>
            </w:rPr>
            <w:fldChar w:fldCharType="end"/>
          </w:r>
        </w:p>
        <w:p>
          <w:pPr>
            <w:tabs>
              <w:tab w:val="right" w:leader="dot" w:pos="8839"/>
            </w:tabs>
            <w:spacing w:before="165" w:line="219" w:lineRule="auto"/>
            <w:ind w:left="442"/>
            <w:rPr>
              <w:rFonts w:ascii="Times New Roman" w:hAnsi="Times New Roman" w:eastAsia="Times New Roman" w:cs="Times New Roman"/>
              <w:sz w:val="22"/>
              <w:szCs w:val="22"/>
            </w:rPr>
          </w:pPr>
          <w:r>
            <w:fldChar w:fldCharType="begin"/>
          </w:r>
          <w:r>
            <w:instrText xml:space="preserve"> HYPERLINK \l "_bookmark11" </w:instrText>
          </w:r>
          <w:r>
            <w:fldChar w:fldCharType="separate"/>
          </w:r>
          <w:r>
            <w:rPr>
              <w:rFonts w:ascii="Times New Roman" w:hAnsi="Times New Roman" w:eastAsia="Times New Roman" w:cs="Times New Roman"/>
              <w:spacing w:val="-2"/>
              <w:sz w:val="22"/>
              <w:szCs w:val="22"/>
            </w:rPr>
            <w:t xml:space="preserve">1.3  </w:t>
          </w:r>
          <w:r>
            <w:rPr>
              <w:rFonts w:ascii="宋体" w:hAnsi="宋体" w:eastAsia="宋体" w:cs="宋体"/>
              <w:spacing w:val="-2"/>
              <w:sz w:val="22"/>
              <w:szCs w:val="22"/>
            </w:rPr>
            <w:t>评价因子</w:t>
          </w:r>
          <w:r>
            <w:rPr>
              <w:rFonts w:ascii="Times New Roman" w:hAnsi="Times New Roman" w:eastAsia="Times New Roman" w:cs="Times New Roman"/>
              <w:sz w:val="22"/>
              <w:szCs w:val="22"/>
            </w:rPr>
            <w:tab/>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pacing w:val="-1"/>
              <w:sz w:val="22"/>
              <w:szCs w:val="22"/>
            </w:rPr>
            <w:t>2 -</w:t>
          </w:r>
          <w:r>
            <w:rPr>
              <w:rFonts w:ascii="Times New Roman" w:hAnsi="Times New Roman" w:eastAsia="Times New Roman" w:cs="Times New Roman"/>
              <w:spacing w:val="-1"/>
              <w:sz w:val="22"/>
              <w:szCs w:val="22"/>
            </w:rPr>
            <w:fldChar w:fldCharType="end"/>
          </w:r>
        </w:p>
        <w:p>
          <w:pPr>
            <w:tabs>
              <w:tab w:val="right" w:leader="dot" w:pos="8839"/>
            </w:tabs>
            <w:spacing w:before="168" w:line="219" w:lineRule="auto"/>
            <w:ind w:left="442"/>
            <w:rPr>
              <w:rFonts w:ascii="Times New Roman" w:hAnsi="Times New Roman" w:eastAsia="Times New Roman" w:cs="Times New Roman"/>
              <w:sz w:val="22"/>
              <w:szCs w:val="22"/>
            </w:rPr>
          </w:pPr>
          <w:r>
            <w:fldChar w:fldCharType="begin"/>
          </w:r>
          <w:r>
            <w:instrText xml:space="preserve"> HYPERLINK \l "_bookmark12" </w:instrText>
          </w:r>
          <w:r>
            <w:fldChar w:fldCharType="separate"/>
          </w:r>
          <w:r>
            <w:rPr>
              <w:rFonts w:ascii="Times New Roman" w:hAnsi="Times New Roman" w:eastAsia="Times New Roman" w:cs="Times New Roman"/>
              <w:spacing w:val="-2"/>
              <w:sz w:val="22"/>
              <w:szCs w:val="22"/>
            </w:rPr>
            <w:t xml:space="preserve">1.4  </w:t>
          </w:r>
          <w:r>
            <w:rPr>
              <w:rFonts w:ascii="宋体" w:hAnsi="宋体" w:eastAsia="宋体" w:cs="宋体"/>
              <w:spacing w:val="-2"/>
              <w:sz w:val="22"/>
              <w:szCs w:val="22"/>
            </w:rPr>
            <w:t>评价等级</w:t>
          </w:r>
          <w:r>
            <w:rPr>
              <w:rFonts w:ascii="Times New Roman" w:hAnsi="Times New Roman" w:eastAsia="Times New Roman" w:cs="Times New Roman"/>
              <w:sz w:val="22"/>
              <w:szCs w:val="22"/>
            </w:rPr>
            <w:tab/>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pacing w:val="-1"/>
              <w:sz w:val="22"/>
              <w:szCs w:val="22"/>
            </w:rPr>
            <w:t>3 -</w:t>
          </w:r>
          <w:r>
            <w:rPr>
              <w:rFonts w:ascii="Times New Roman" w:hAnsi="Times New Roman" w:eastAsia="Times New Roman" w:cs="Times New Roman"/>
              <w:spacing w:val="-1"/>
              <w:sz w:val="22"/>
              <w:szCs w:val="22"/>
            </w:rPr>
            <w:fldChar w:fldCharType="end"/>
          </w:r>
        </w:p>
        <w:p>
          <w:pPr>
            <w:tabs>
              <w:tab w:val="right" w:leader="dot" w:pos="8839"/>
            </w:tabs>
            <w:spacing w:before="166" w:line="219" w:lineRule="auto"/>
            <w:ind w:left="442"/>
            <w:rPr>
              <w:rFonts w:ascii="Times New Roman" w:hAnsi="Times New Roman" w:eastAsia="Times New Roman" w:cs="Times New Roman"/>
              <w:sz w:val="22"/>
              <w:szCs w:val="22"/>
            </w:rPr>
          </w:pPr>
          <w:r>
            <w:fldChar w:fldCharType="begin"/>
          </w:r>
          <w:r>
            <w:instrText xml:space="preserve"> HYPERLINK \l "_bookmark13" </w:instrText>
          </w:r>
          <w:r>
            <w:fldChar w:fldCharType="separate"/>
          </w:r>
          <w:r>
            <w:rPr>
              <w:rFonts w:ascii="Times New Roman" w:hAnsi="Times New Roman" w:eastAsia="Times New Roman" w:cs="Times New Roman"/>
              <w:spacing w:val="-2"/>
              <w:sz w:val="22"/>
              <w:szCs w:val="22"/>
            </w:rPr>
            <w:t xml:space="preserve">1.5  </w:t>
          </w:r>
          <w:r>
            <w:rPr>
              <w:rFonts w:ascii="宋体" w:hAnsi="宋体" w:eastAsia="宋体" w:cs="宋体"/>
              <w:spacing w:val="-2"/>
              <w:sz w:val="22"/>
              <w:szCs w:val="22"/>
            </w:rPr>
            <w:t>评价</w:t>
          </w:r>
          <w:r>
            <w:rPr>
              <w:rFonts w:ascii="宋体" w:hAnsi="宋体" w:eastAsia="宋体" w:cs="宋体"/>
              <w:spacing w:val="-1"/>
              <w:sz w:val="22"/>
              <w:szCs w:val="22"/>
            </w:rPr>
            <w:t>标准评价范围</w:t>
          </w:r>
          <w:r>
            <w:rPr>
              <w:rFonts w:ascii="Times New Roman" w:hAnsi="Times New Roman" w:eastAsia="Times New Roman" w:cs="Times New Roman"/>
              <w:sz w:val="22"/>
              <w:szCs w:val="22"/>
            </w:rPr>
            <w:tab/>
          </w:r>
          <w:r>
            <w:rPr>
              <w:rFonts w:ascii="Times New Roman" w:hAnsi="Times New Roman" w:eastAsia="Times New Roman" w:cs="Times New Roman"/>
              <w:spacing w:val="-1"/>
              <w:sz w:val="22"/>
              <w:szCs w:val="22"/>
            </w:rPr>
            <w:t>- 3 -</w:t>
          </w:r>
          <w:r>
            <w:rPr>
              <w:rFonts w:ascii="Times New Roman" w:hAnsi="Times New Roman" w:eastAsia="Times New Roman" w:cs="Times New Roman"/>
              <w:spacing w:val="-1"/>
              <w:sz w:val="22"/>
              <w:szCs w:val="22"/>
            </w:rPr>
            <w:fldChar w:fldCharType="end"/>
          </w:r>
        </w:p>
        <w:p>
          <w:pPr>
            <w:tabs>
              <w:tab w:val="right" w:leader="dot" w:pos="8839"/>
            </w:tabs>
            <w:spacing w:before="166" w:line="219" w:lineRule="auto"/>
            <w:ind w:left="442"/>
            <w:rPr>
              <w:rFonts w:ascii="Times New Roman" w:hAnsi="Times New Roman" w:eastAsia="Times New Roman" w:cs="Times New Roman"/>
              <w:sz w:val="22"/>
              <w:szCs w:val="22"/>
            </w:rPr>
          </w:pPr>
          <w:r>
            <w:fldChar w:fldCharType="begin"/>
          </w:r>
          <w:r>
            <w:instrText xml:space="preserve"> HYPERLINK \l "_bookmark14" </w:instrText>
          </w:r>
          <w:r>
            <w:fldChar w:fldCharType="separate"/>
          </w:r>
          <w:r>
            <w:rPr>
              <w:rFonts w:ascii="Times New Roman" w:hAnsi="Times New Roman" w:eastAsia="Times New Roman" w:cs="Times New Roman"/>
              <w:spacing w:val="-2"/>
              <w:sz w:val="22"/>
              <w:szCs w:val="22"/>
            </w:rPr>
            <w:t xml:space="preserve">1.6  </w:t>
          </w:r>
          <w:r>
            <w:rPr>
              <w:rFonts w:ascii="宋体" w:hAnsi="宋体" w:eastAsia="宋体" w:cs="宋体"/>
              <w:spacing w:val="-2"/>
              <w:sz w:val="22"/>
              <w:szCs w:val="22"/>
            </w:rPr>
            <w:t>评价时段</w:t>
          </w:r>
          <w:r>
            <w:rPr>
              <w:rFonts w:ascii="Times New Roman" w:hAnsi="Times New Roman" w:eastAsia="Times New Roman" w:cs="Times New Roman"/>
              <w:sz w:val="22"/>
              <w:szCs w:val="22"/>
            </w:rPr>
            <w:tab/>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pacing w:val="-1"/>
              <w:sz w:val="22"/>
              <w:szCs w:val="22"/>
            </w:rPr>
            <w:t>3 -</w:t>
          </w:r>
          <w:r>
            <w:rPr>
              <w:rFonts w:ascii="Times New Roman" w:hAnsi="Times New Roman" w:eastAsia="Times New Roman" w:cs="Times New Roman"/>
              <w:spacing w:val="-1"/>
              <w:sz w:val="22"/>
              <w:szCs w:val="22"/>
            </w:rPr>
            <w:fldChar w:fldCharType="end"/>
          </w:r>
        </w:p>
        <w:p>
          <w:pPr>
            <w:tabs>
              <w:tab w:val="right" w:leader="dot" w:pos="8839"/>
            </w:tabs>
            <w:spacing w:before="169" w:line="221" w:lineRule="auto"/>
            <w:ind w:left="442"/>
            <w:rPr>
              <w:rFonts w:ascii="Times New Roman" w:hAnsi="Times New Roman" w:eastAsia="Times New Roman" w:cs="Times New Roman"/>
              <w:sz w:val="22"/>
              <w:szCs w:val="22"/>
            </w:rPr>
          </w:pPr>
          <w:r>
            <w:fldChar w:fldCharType="begin"/>
          </w:r>
          <w:r>
            <w:instrText xml:space="preserve"> HYPERLINK \l "_bookmark15" </w:instrText>
          </w:r>
          <w:r>
            <w:fldChar w:fldCharType="separate"/>
          </w:r>
          <w:r>
            <w:rPr>
              <w:rFonts w:ascii="Times New Roman" w:hAnsi="Times New Roman" w:eastAsia="Times New Roman" w:cs="Times New Roman"/>
              <w:spacing w:val="-2"/>
              <w:sz w:val="22"/>
              <w:szCs w:val="22"/>
            </w:rPr>
            <w:t>1.7</w:t>
          </w:r>
          <w:r>
            <w:rPr>
              <w:rFonts w:ascii="Times New Roman" w:hAnsi="Times New Roman" w:eastAsia="Times New Roman" w:cs="Times New Roman"/>
              <w:spacing w:val="-1"/>
              <w:sz w:val="22"/>
              <w:szCs w:val="22"/>
            </w:rPr>
            <w:t xml:space="preserve">  </w:t>
          </w:r>
          <w:r>
            <w:rPr>
              <w:rFonts w:ascii="宋体" w:hAnsi="宋体" w:eastAsia="宋体" w:cs="宋体"/>
              <w:spacing w:val="-1"/>
              <w:sz w:val="22"/>
              <w:szCs w:val="22"/>
            </w:rPr>
            <w:t>环境保护目标与环境质量控制目标</w:t>
          </w:r>
          <w:r>
            <w:rPr>
              <w:rFonts w:ascii="Times New Roman" w:hAnsi="Times New Roman" w:eastAsia="Times New Roman" w:cs="Times New Roman"/>
              <w:sz w:val="22"/>
              <w:szCs w:val="22"/>
            </w:rPr>
            <w:tab/>
          </w:r>
          <w:r>
            <w:rPr>
              <w:rFonts w:ascii="Times New Roman" w:hAnsi="Times New Roman" w:eastAsia="Times New Roman" w:cs="Times New Roman"/>
              <w:spacing w:val="-1"/>
              <w:sz w:val="22"/>
              <w:szCs w:val="22"/>
            </w:rPr>
            <w:t>- 4 -</w:t>
          </w:r>
          <w:r>
            <w:rPr>
              <w:rFonts w:ascii="Times New Roman" w:hAnsi="Times New Roman" w:eastAsia="Times New Roman" w:cs="Times New Roman"/>
              <w:spacing w:val="-1"/>
              <w:sz w:val="22"/>
              <w:szCs w:val="22"/>
            </w:rPr>
            <w:fldChar w:fldCharType="end"/>
          </w:r>
        </w:p>
        <w:p>
          <w:pPr>
            <w:tabs>
              <w:tab w:val="right" w:leader="dot" w:pos="8839"/>
            </w:tabs>
            <w:spacing w:before="164" w:line="219" w:lineRule="auto"/>
            <w:ind w:left="442"/>
            <w:rPr>
              <w:rFonts w:ascii="Times New Roman" w:hAnsi="Times New Roman" w:eastAsia="Times New Roman" w:cs="Times New Roman"/>
              <w:sz w:val="22"/>
              <w:szCs w:val="22"/>
            </w:rPr>
          </w:pPr>
          <w:r>
            <w:fldChar w:fldCharType="begin"/>
          </w:r>
          <w:r>
            <w:instrText xml:space="preserve"> HYPERLINK \l "_bookmark16" </w:instrText>
          </w:r>
          <w:r>
            <w:fldChar w:fldCharType="separate"/>
          </w:r>
          <w:r>
            <w:rPr>
              <w:rFonts w:ascii="Times New Roman" w:hAnsi="Times New Roman" w:eastAsia="Times New Roman" w:cs="Times New Roman"/>
              <w:spacing w:val="-8"/>
              <w:sz w:val="22"/>
              <w:szCs w:val="22"/>
            </w:rPr>
            <w:t>1.8</w:t>
          </w:r>
          <w:r>
            <w:rPr>
              <w:rFonts w:ascii="Times New Roman" w:hAnsi="Times New Roman" w:eastAsia="Times New Roman" w:cs="Times New Roman"/>
              <w:spacing w:val="-6"/>
              <w:sz w:val="22"/>
              <w:szCs w:val="22"/>
            </w:rPr>
            <w:t xml:space="preserve"> </w:t>
          </w:r>
          <w:r>
            <w:rPr>
              <w:rFonts w:ascii="Times New Roman" w:hAnsi="Times New Roman" w:eastAsia="Times New Roman" w:cs="Times New Roman"/>
              <w:spacing w:val="-4"/>
              <w:sz w:val="22"/>
              <w:szCs w:val="22"/>
            </w:rPr>
            <w:t xml:space="preserve"> </w:t>
          </w:r>
          <w:r>
            <w:rPr>
              <w:rFonts w:ascii="宋体" w:hAnsi="宋体" w:eastAsia="宋体" w:cs="宋体"/>
              <w:spacing w:val="-4"/>
              <w:sz w:val="22"/>
              <w:szCs w:val="22"/>
            </w:rPr>
            <w:t xml:space="preserve">评价内容与评价重点 </w:t>
          </w:r>
          <w:r>
            <w:rPr>
              <w:rFonts w:ascii="Times New Roman" w:hAnsi="Times New Roman" w:eastAsia="Times New Roman" w:cs="Times New Roman"/>
              <w:sz w:val="22"/>
              <w:szCs w:val="22"/>
            </w:rPr>
            <w:tab/>
          </w:r>
          <w:r>
            <w:rPr>
              <w:rFonts w:ascii="Times New Roman" w:hAnsi="Times New Roman" w:eastAsia="Times New Roman" w:cs="Times New Roman"/>
              <w:spacing w:val="-4"/>
              <w:sz w:val="22"/>
              <w:szCs w:val="22"/>
            </w:rPr>
            <w:t>- 5 -</w:t>
          </w:r>
          <w:r>
            <w:rPr>
              <w:rFonts w:ascii="Times New Roman" w:hAnsi="Times New Roman" w:eastAsia="Times New Roman" w:cs="Times New Roman"/>
              <w:spacing w:val="-4"/>
              <w:sz w:val="22"/>
              <w:szCs w:val="22"/>
            </w:rPr>
            <w:fldChar w:fldCharType="end"/>
          </w:r>
        </w:p>
        <w:p>
          <w:pPr>
            <w:tabs>
              <w:tab w:val="right" w:leader="dot" w:pos="8839"/>
            </w:tabs>
            <w:spacing w:before="167" w:line="222" w:lineRule="auto"/>
            <w:ind w:left="1"/>
            <w:rPr>
              <w:rFonts w:ascii="Times New Roman" w:hAnsi="Times New Roman" w:eastAsia="Times New Roman" w:cs="Times New Roman"/>
              <w:sz w:val="22"/>
              <w:szCs w:val="22"/>
            </w:rPr>
          </w:pPr>
          <w:r>
            <w:fldChar w:fldCharType="begin"/>
          </w:r>
          <w:r>
            <w:instrText xml:space="preserve"> HYPERLINK \l "_bookmark17" </w:instrText>
          </w:r>
          <w:r>
            <w:fldChar w:fldCharType="separate"/>
          </w:r>
          <w:r>
            <w:rPr>
              <w:rFonts w:ascii="Times New Roman" w:hAnsi="Times New Roman" w:eastAsia="Times New Roman" w:cs="Times New Roman"/>
              <w:spacing w:val="4"/>
              <w:sz w:val="22"/>
              <w:szCs w:val="22"/>
            </w:rPr>
            <w:t xml:space="preserve">2  </w:t>
          </w:r>
          <w:r>
            <w:rPr>
              <w:rFonts w:ascii="黑体" w:hAnsi="黑体" w:eastAsia="黑体" w:cs="黑体"/>
              <w:spacing w:val="4"/>
              <w:sz w:val="22"/>
              <w:szCs w:val="22"/>
            </w:rPr>
            <w:t>工</w:t>
          </w:r>
          <w:r>
            <w:rPr>
              <w:rFonts w:ascii="黑体" w:hAnsi="黑体" w:eastAsia="黑体" w:cs="黑体"/>
              <w:spacing w:val="3"/>
              <w:sz w:val="22"/>
              <w:szCs w:val="22"/>
            </w:rPr>
            <w:t>程</w:t>
          </w:r>
          <w:r>
            <w:rPr>
              <w:rFonts w:ascii="黑体" w:hAnsi="黑体" w:eastAsia="黑体" w:cs="黑体"/>
              <w:spacing w:val="2"/>
              <w:sz w:val="22"/>
              <w:szCs w:val="22"/>
            </w:rPr>
            <w:t>分析</w:t>
          </w:r>
          <w:r>
            <w:rPr>
              <w:rFonts w:ascii="Times New Roman" w:hAnsi="Times New Roman" w:eastAsia="Times New Roman" w:cs="Times New Roman"/>
              <w:sz w:val="22"/>
              <w:szCs w:val="22"/>
            </w:rPr>
            <w:tab/>
          </w:r>
          <w:r>
            <w:rPr>
              <w:rFonts w:ascii="Times New Roman" w:hAnsi="Times New Roman" w:eastAsia="Times New Roman" w:cs="Times New Roman"/>
              <w:spacing w:val="2"/>
              <w:sz w:val="22"/>
              <w:szCs w:val="22"/>
            </w:rPr>
            <w:t>- 6 -</w:t>
          </w:r>
          <w:r>
            <w:rPr>
              <w:rFonts w:ascii="Times New Roman" w:hAnsi="Times New Roman" w:eastAsia="Times New Roman" w:cs="Times New Roman"/>
              <w:spacing w:val="2"/>
              <w:sz w:val="22"/>
              <w:szCs w:val="22"/>
            </w:rPr>
            <w:fldChar w:fldCharType="end"/>
          </w:r>
        </w:p>
        <w:p>
          <w:pPr>
            <w:tabs>
              <w:tab w:val="right" w:leader="dot" w:pos="8839"/>
            </w:tabs>
            <w:spacing w:before="165" w:line="220" w:lineRule="auto"/>
            <w:ind w:left="421"/>
            <w:rPr>
              <w:rFonts w:ascii="Times New Roman" w:hAnsi="Times New Roman" w:eastAsia="Times New Roman" w:cs="Times New Roman"/>
              <w:sz w:val="22"/>
              <w:szCs w:val="22"/>
            </w:rPr>
          </w:pPr>
          <w:r>
            <w:fldChar w:fldCharType="begin"/>
          </w:r>
          <w:r>
            <w:instrText xml:space="preserve"> HYPERLINK \l "_bookmark18" </w:instrText>
          </w:r>
          <w:r>
            <w:fldChar w:fldCharType="separate"/>
          </w:r>
          <w:r>
            <w:rPr>
              <w:rFonts w:ascii="Times New Roman" w:hAnsi="Times New Roman" w:eastAsia="Times New Roman" w:cs="Times New Roman"/>
              <w:spacing w:val="-1"/>
              <w:sz w:val="22"/>
              <w:szCs w:val="22"/>
            </w:rPr>
            <w:t xml:space="preserve">2.1 </w:t>
          </w:r>
          <w:r>
            <w:rPr>
              <w:rFonts w:ascii="Times New Roman" w:hAnsi="Times New Roman" w:eastAsia="Times New Roman" w:cs="Times New Roman"/>
              <w:sz w:val="22"/>
              <w:szCs w:val="22"/>
            </w:rPr>
            <w:t xml:space="preserve"> </w:t>
          </w:r>
          <w:r>
            <w:rPr>
              <w:rFonts w:ascii="宋体" w:hAnsi="宋体" w:eastAsia="宋体" w:cs="宋体"/>
              <w:sz w:val="22"/>
              <w:szCs w:val="22"/>
            </w:rPr>
            <w:t>项目概况</w:t>
          </w:r>
          <w:r>
            <w:rPr>
              <w:rFonts w:ascii="Times New Roman" w:hAnsi="Times New Roman" w:eastAsia="Times New Roman" w:cs="Times New Roman"/>
              <w:sz w:val="22"/>
              <w:szCs w:val="22"/>
            </w:rPr>
            <w:tab/>
          </w:r>
          <w:r>
            <w:rPr>
              <w:rFonts w:ascii="Times New Roman" w:hAnsi="Times New Roman" w:eastAsia="Times New Roman" w:cs="Times New Roman"/>
              <w:sz w:val="22"/>
              <w:szCs w:val="22"/>
            </w:rPr>
            <w:t>- 6 -</w:t>
          </w:r>
          <w:r>
            <w:rPr>
              <w:rFonts w:ascii="Times New Roman" w:hAnsi="Times New Roman" w:eastAsia="Times New Roman" w:cs="Times New Roman"/>
              <w:sz w:val="22"/>
              <w:szCs w:val="22"/>
            </w:rPr>
            <w:fldChar w:fldCharType="end"/>
          </w:r>
        </w:p>
        <w:p>
          <w:pPr>
            <w:tabs>
              <w:tab w:val="right" w:leader="dot" w:pos="8839"/>
            </w:tabs>
            <w:spacing w:before="165" w:line="220" w:lineRule="auto"/>
            <w:ind w:left="421"/>
            <w:rPr>
              <w:rFonts w:ascii="Times New Roman" w:hAnsi="Times New Roman" w:eastAsia="Times New Roman" w:cs="Times New Roman"/>
              <w:sz w:val="22"/>
              <w:szCs w:val="22"/>
            </w:rPr>
          </w:pPr>
          <w:r>
            <w:fldChar w:fldCharType="begin"/>
          </w:r>
          <w:r>
            <w:instrText xml:space="preserve"> HYPERLINK \l "_bookmark19" </w:instrText>
          </w:r>
          <w:r>
            <w:fldChar w:fldCharType="separate"/>
          </w:r>
          <w:r>
            <w:rPr>
              <w:rFonts w:ascii="Times New Roman" w:hAnsi="Times New Roman" w:eastAsia="Times New Roman" w:cs="Times New Roman"/>
              <w:spacing w:val="-1"/>
              <w:sz w:val="22"/>
              <w:szCs w:val="22"/>
            </w:rPr>
            <w:t xml:space="preserve">2.2 </w:t>
          </w:r>
          <w:r>
            <w:rPr>
              <w:rFonts w:ascii="Times New Roman" w:hAnsi="Times New Roman" w:eastAsia="Times New Roman" w:cs="Times New Roman"/>
              <w:sz w:val="22"/>
              <w:szCs w:val="22"/>
            </w:rPr>
            <w:t xml:space="preserve"> </w:t>
          </w:r>
          <w:r>
            <w:rPr>
              <w:rFonts w:ascii="宋体" w:hAnsi="宋体" w:eastAsia="宋体" w:cs="宋体"/>
              <w:sz w:val="22"/>
              <w:szCs w:val="22"/>
            </w:rPr>
            <w:t>建设内容及规摸</w:t>
          </w:r>
          <w:r>
            <w:rPr>
              <w:rFonts w:ascii="Times New Roman" w:hAnsi="Times New Roman" w:eastAsia="Times New Roman" w:cs="Times New Roman"/>
              <w:sz w:val="22"/>
              <w:szCs w:val="22"/>
            </w:rPr>
            <w:tab/>
          </w:r>
          <w:r>
            <w:rPr>
              <w:rFonts w:ascii="Times New Roman" w:hAnsi="Times New Roman" w:eastAsia="Times New Roman" w:cs="Times New Roman"/>
              <w:sz w:val="22"/>
              <w:szCs w:val="22"/>
            </w:rPr>
            <w:t>- 6 -</w:t>
          </w:r>
          <w:r>
            <w:rPr>
              <w:rFonts w:ascii="Times New Roman" w:hAnsi="Times New Roman" w:eastAsia="Times New Roman" w:cs="Times New Roman"/>
              <w:sz w:val="22"/>
              <w:szCs w:val="22"/>
            </w:rPr>
            <w:fldChar w:fldCharType="end"/>
          </w:r>
        </w:p>
        <w:p>
          <w:pPr>
            <w:tabs>
              <w:tab w:val="right" w:leader="dot" w:pos="8839"/>
            </w:tabs>
            <w:spacing w:before="164" w:line="221" w:lineRule="auto"/>
            <w:ind w:left="421"/>
            <w:rPr>
              <w:rFonts w:ascii="Times New Roman" w:hAnsi="Times New Roman" w:eastAsia="Times New Roman" w:cs="Times New Roman"/>
              <w:sz w:val="22"/>
              <w:szCs w:val="22"/>
            </w:rPr>
          </w:pPr>
          <w:r>
            <w:fldChar w:fldCharType="begin"/>
          </w:r>
          <w:r>
            <w:instrText xml:space="preserve"> HYPERLINK \l "_bookmark20" </w:instrText>
          </w:r>
          <w:r>
            <w:fldChar w:fldCharType="separate"/>
          </w:r>
          <w:r>
            <w:rPr>
              <w:rFonts w:ascii="Times New Roman" w:hAnsi="Times New Roman" w:eastAsia="Times New Roman" w:cs="Times New Roman"/>
              <w:spacing w:val="-1"/>
              <w:sz w:val="22"/>
              <w:szCs w:val="22"/>
            </w:rPr>
            <w:t xml:space="preserve">2.3 </w:t>
          </w:r>
          <w:r>
            <w:rPr>
              <w:rFonts w:ascii="Times New Roman" w:hAnsi="Times New Roman" w:eastAsia="Times New Roman" w:cs="Times New Roman"/>
              <w:sz w:val="22"/>
              <w:szCs w:val="22"/>
            </w:rPr>
            <w:t xml:space="preserve"> </w:t>
          </w:r>
          <w:r>
            <w:rPr>
              <w:rFonts w:ascii="宋体" w:hAnsi="宋体" w:eastAsia="宋体" w:cs="宋体"/>
              <w:sz w:val="22"/>
              <w:szCs w:val="22"/>
            </w:rPr>
            <w:t>交通量预测</w:t>
          </w:r>
          <w:r>
            <w:rPr>
              <w:rFonts w:ascii="Times New Roman" w:hAnsi="Times New Roman" w:eastAsia="Times New Roman" w:cs="Times New Roman"/>
              <w:sz w:val="22"/>
              <w:szCs w:val="22"/>
            </w:rPr>
            <w:tab/>
          </w:r>
          <w:r>
            <w:rPr>
              <w:rFonts w:ascii="Times New Roman" w:hAnsi="Times New Roman" w:eastAsia="Times New Roman" w:cs="Times New Roman"/>
              <w:sz w:val="22"/>
              <w:szCs w:val="22"/>
            </w:rPr>
            <w:t>- 6 -</w:t>
          </w:r>
          <w:r>
            <w:rPr>
              <w:rFonts w:ascii="Times New Roman" w:hAnsi="Times New Roman" w:eastAsia="Times New Roman" w:cs="Times New Roman"/>
              <w:sz w:val="22"/>
              <w:szCs w:val="22"/>
            </w:rPr>
            <w:fldChar w:fldCharType="end"/>
          </w:r>
        </w:p>
        <w:p>
          <w:pPr>
            <w:tabs>
              <w:tab w:val="right" w:leader="dot" w:pos="8839"/>
            </w:tabs>
            <w:spacing w:before="167" w:line="221" w:lineRule="auto"/>
            <w:ind w:left="421"/>
            <w:rPr>
              <w:rFonts w:ascii="Times New Roman" w:hAnsi="Times New Roman" w:eastAsia="Times New Roman" w:cs="Times New Roman"/>
              <w:sz w:val="22"/>
              <w:szCs w:val="22"/>
            </w:rPr>
          </w:pPr>
          <w:r>
            <w:fldChar w:fldCharType="begin"/>
          </w:r>
          <w:r>
            <w:instrText xml:space="preserve"> HYPERLINK \l "_bookmark21" </w:instrText>
          </w:r>
          <w:r>
            <w:fldChar w:fldCharType="separate"/>
          </w:r>
          <w:r>
            <w:rPr>
              <w:rFonts w:ascii="Times New Roman" w:hAnsi="Times New Roman" w:eastAsia="Times New Roman" w:cs="Times New Roman"/>
              <w:spacing w:val="-1"/>
              <w:sz w:val="22"/>
              <w:szCs w:val="22"/>
            </w:rPr>
            <w:t xml:space="preserve">2.4 </w:t>
          </w:r>
          <w:r>
            <w:rPr>
              <w:rFonts w:ascii="Times New Roman" w:hAnsi="Times New Roman" w:eastAsia="Times New Roman" w:cs="Times New Roman"/>
              <w:sz w:val="22"/>
              <w:szCs w:val="22"/>
            </w:rPr>
            <w:t xml:space="preserve"> </w:t>
          </w:r>
          <w:r>
            <w:rPr>
              <w:rFonts w:ascii="宋体" w:hAnsi="宋体" w:eastAsia="宋体" w:cs="宋体"/>
              <w:sz w:val="22"/>
              <w:szCs w:val="22"/>
            </w:rPr>
            <w:t>工程设计</w:t>
          </w:r>
          <w:r>
            <w:rPr>
              <w:rFonts w:ascii="Times New Roman" w:hAnsi="Times New Roman" w:eastAsia="Times New Roman" w:cs="Times New Roman"/>
              <w:sz w:val="22"/>
              <w:szCs w:val="22"/>
            </w:rPr>
            <w:tab/>
          </w:r>
          <w:r>
            <w:rPr>
              <w:rFonts w:ascii="Times New Roman" w:hAnsi="Times New Roman" w:eastAsia="Times New Roman" w:cs="Times New Roman"/>
              <w:sz w:val="22"/>
              <w:szCs w:val="22"/>
            </w:rPr>
            <w:t>- 9 -</w:t>
          </w:r>
          <w:r>
            <w:rPr>
              <w:rFonts w:ascii="Times New Roman" w:hAnsi="Times New Roman" w:eastAsia="Times New Roman" w:cs="Times New Roman"/>
              <w:sz w:val="22"/>
              <w:szCs w:val="22"/>
            </w:rPr>
            <w:fldChar w:fldCharType="end"/>
          </w:r>
        </w:p>
        <w:p>
          <w:pPr>
            <w:tabs>
              <w:tab w:val="right" w:leader="dot" w:pos="8839"/>
            </w:tabs>
            <w:spacing w:before="164" w:line="222" w:lineRule="auto"/>
            <w:ind w:left="5"/>
            <w:rPr>
              <w:rFonts w:ascii="Times New Roman" w:hAnsi="Times New Roman" w:eastAsia="Times New Roman" w:cs="Times New Roman"/>
              <w:sz w:val="22"/>
              <w:szCs w:val="22"/>
            </w:rPr>
          </w:pPr>
          <w:r>
            <w:fldChar w:fldCharType="begin"/>
          </w:r>
          <w:r>
            <w:instrText xml:space="preserve"> HYPERLINK \l "_bookmark22" </w:instrText>
          </w:r>
          <w:r>
            <w:fldChar w:fldCharType="separate"/>
          </w:r>
          <w:r>
            <w:rPr>
              <w:rFonts w:ascii="Times New Roman" w:hAnsi="Times New Roman" w:eastAsia="Times New Roman" w:cs="Times New Roman"/>
              <w:spacing w:val="2"/>
              <w:sz w:val="22"/>
              <w:szCs w:val="22"/>
            </w:rPr>
            <w:t xml:space="preserve">3  </w:t>
          </w:r>
          <w:r>
            <w:rPr>
              <w:rFonts w:ascii="黑体" w:hAnsi="黑体" w:eastAsia="黑体" w:cs="黑体"/>
              <w:spacing w:val="2"/>
              <w:sz w:val="22"/>
              <w:szCs w:val="22"/>
            </w:rPr>
            <w:t>声环境质量现状</w:t>
          </w:r>
          <w:r>
            <w:rPr>
              <w:rFonts w:ascii="Times New Roman" w:hAnsi="Times New Roman" w:eastAsia="Times New Roman" w:cs="Times New Roman"/>
              <w:sz w:val="22"/>
              <w:szCs w:val="22"/>
            </w:rPr>
            <w:tab/>
          </w:r>
          <w:r>
            <w:rPr>
              <w:rFonts w:ascii="Times New Roman" w:hAnsi="Times New Roman" w:eastAsia="Times New Roman" w:cs="Times New Roman"/>
              <w:spacing w:val="2"/>
              <w:sz w:val="22"/>
              <w:szCs w:val="22"/>
            </w:rPr>
            <w:t>- 14</w:t>
          </w:r>
          <w:r>
            <w:rPr>
              <w:rFonts w:ascii="Times New Roman" w:hAnsi="Times New Roman" w:eastAsia="Times New Roman" w:cs="Times New Roman"/>
              <w:sz w:val="22"/>
              <w:szCs w:val="22"/>
            </w:rPr>
            <w:t xml:space="preserve"> -</w:t>
          </w:r>
          <w:r>
            <w:rPr>
              <w:rFonts w:ascii="Times New Roman" w:hAnsi="Times New Roman" w:eastAsia="Times New Roman" w:cs="Times New Roman"/>
              <w:sz w:val="22"/>
              <w:szCs w:val="22"/>
            </w:rPr>
            <w:fldChar w:fldCharType="end"/>
          </w:r>
        </w:p>
        <w:p>
          <w:pPr>
            <w:tabs>
              <w:tab w:val="right" w:leader="dot" w:pos="8839"/>
            </w:tabs>
            <w:spacing w:before="163" w:line="220" w:lineRule="auto"/>
            <w:ind w:left="425"/>
            <w:rPr>
              <w:rFonts w:ascii="Times New Roman" w:hAnsi="Times New Roman" w:eastAsia="Times New Roman" w:cs="Times New Roman"/>
              <w:sz w:val="22"/>
              <w:szCs w:val="22"/>
            </w:rPr>
          </w:pPr>
          <w:r>
            <w:fldChar w:fldCharType="begin"/>
          </w:r>
          <w:r>
            <w:instrText xml:space="preserve"> HYPERLINK \l "_bookmark23" </w:instrText>
          </w:r>
          <w:r>
            <w:fldChar w:fldCharType="separate"/>
          </w:r>
          <w:r>
            <w:rPr>
              <w:rFonts w:ascii="Times New Roman" w:hAnsi="Times New Roman" w:eastAsia="Times New Roman" w:cs="Times New Roman"/>
              <w:spacing w:val="-8"/>
              <w:sz w:val="22"/>
              <w:szCs w:val="22"/>
            </w:rPr>
            <w:t>3</w:t>
          </w:r>
          <w:r>
            <w:rPr>
              <w:rFonts w:ascii="Times New Roman" w:hAnsi="Times New Roman" w:eastAsia="Times New Roman" w:cs="Times New Roman"/>
              <w:spacing w:val="-5"/>
              <w:sz w:val="22"/>
              <w:szCs w:val="22"/>
            </w:rPr>
            <w:t>.</w:t>
          </w:r>
          <w:r>
            <w:rPr>
              <w:rFonts w:ascii="Times New Roman" w:hAnsi="Times New Roman" w:eastAsia="Times New Roman" w:cs="Times New Roman"/>
              <w:spacing w:val="-4"/>
              <w:sz w:val="22"/>
              <w:szCs w:val="22"/>
            </w:rPr>
            <w:t xml:space="preserve">1  </w:t>
          </w:r>
          <w:r>
            <w:rPr>
              <w:rFonts w:ascii="宋体" w:hAnsi="宋体" w:eastAsia="宋体" w:cs="宋体"/>
              <w:spacing w:val="-4"/>
              <w:sz w:val="22"/>
              <w:szCs w:val="22"/>
            </w:rPr>
            <w:t xml:space="preserve">质量现状监测 </w:t>
          </w:r>
          <w:r>
            <w:rPr>
              <w:rFonts w:ascii="Times New Roman" w:hAnsi="Times New Roman" w:eastAsia="Times New Roman" w:cs="Times New Roman"/>
              <w:sz w:val="22"/>
              <w:szCs w:val="22"/>
            </w:rPr>
            <w:tab/>
          </w:r>
          <w:r>
            <w:rPr>
              <w:rFonts w:ascii="Times New Roman" w:hAnsi="Times New Roman" w:eastAsia="Times New Roman" w:cs="Times New Roman"/>
              <w:spacing w:val="-4"/>
              <w:sz w:val="22"/>
              <w:szCs w:val="22"/>
            </w:rPr>
            <w:t>- 14 -</w:t>
          </w:r>
          <w:r>
            <w:rPr>
              <w:rFonts w:ascii="Times New Roman" w:hAnsi="Times New Roman" w:eastAsia="Times New Roman" w:cs="Times New Roman"/>
              <w:spacing w:val="-4"/>
              <w:sz w:val="22"/>
              <w:szCs w:val="22"/>
            </w:rPr>
            <w:fldChar w:fldCharType="end"/>
          </w:r>
        </w:p>
        <w:p>
          <w:pPr>
            <w:tabs>
              <w:tab w:val="right" w:leader="dot" w:pos="8839"/>
            </w:tabs>
            <w:spacing w:before="166" w:line="219" w:lineRule="auto"/>
            <w:ind w:left="425"/>
            <w:rPr>
              <w:rFonts w:ascii="Times New Roman" w:hAnsi="Times New Roman" w:eastAsia="Times New Roman" w:cs="Times New Roman"/>
              <w:sz w:val="22"/>
              <w:szCs w:val="22"/>
            </w:rPr>
          </w:pPr>
          <w:r>
            <w:fldChar w:fldCharType="begin"/>
          </w:r>
          <w:r>
            <w:instrText xml:space="preserve"> HYPERLINK \l "_bookmark24" </w:instrText>
          </w:r>
          <w:r>
            <w:fldChar w:fldCharType="separate"/>
          </w:r>
          <w:r>
            <w:rPr>
              <w:rFonts w:ascii="Times New Roman" w:hAnsi="Times New Roman" w:eastAsia="Times New Roman" w:cs="Times New Roman"/>
              <w:spacing w:val="-1"/>
              <w:sz w:val="22"/>
              <w:szCs w:val="22"/>
            </w:rPr>
            <w:t xml:space="preserve">3.2  </w:t>
          </w:r>
          <w:r>
            <w:rPr>
              <w:rFonts w:ascii="宋体" w:hAnsi="宋体" w:eastAsia="宋体" w:cs="宋体"/>
              <w:spacing w:val="-1"/>
              <w:sz w:val="22"/>
              <w:szCs w:val="22"/>
            </w:rPr>
            <w:t>质量现状评价</w:t>
          </w:r>
          <w:r>
            <w:rPr>
              <w:rFonts w:ascii="Times New Roman" w:hAnsi="Times New Roman" w:eastAsia="Times New Roman" w:cs="Times New Roman"/>
              <w:sz w:val="22"/>
              <w:szCs w:val="22"/>
            </w:rPr>
            <w:tab/>
          </w:r>
          <w:r>
            <w:rPr>
              <w:rFonts w:ascii="Times New Roman" w:hAnsi="Times New Roman" w:eastAsia="Times New Roman" w:cs="Times New Roman"/>
              <w:sz w:val="22"/>
              <w:szCs w:val="22"/>
            </w:rPr>
            <w:t>- 16 -</w:t>
          </w:r>
          <w:r>
            <w:rPr>
              <w:rFonts w:ascii="Times New Roman" w:hAnsi="Times New Roman" w:eastAsia="Times New Roman" w:cs="Times New Roman"/>
              <w:sz w:val="22"/>
              <w:szCs w:val="22"/>
            </w:rPr>
            <w:fldChar w:fldCharType="end"/>
          </w:r>
        </w:p>
        <w:p>
          <w:pPr>
            <w:tabs>
              <w:tab w:val="right" w:leader="dot" w:pos="8839"/>
            </w:tabs>
            <w:spacing w:before="167" w:line="219" w:lineRule="auto"/>
            <w:ind w:left="425"/>
            <w:rPr>
              <w:rFonts w:ascii="Times New Roman" w:hAnsi="Times New Roman" w:eastAsia="Times New Roman" w:cs="Times New Roman"/>
              <w:sz w:val="22"/>
              <w:szCs w:val="22"/>
            </w:rPr>
          </w:pPr>
          <w:r>
            <w:fldChar w:fldCharType="begin"/>
          </w:r>
          <w:r>
            <w:instrText xml:space="preserve"> HYPERLINK \l "_bookmark25" </w:instrText>
          </w:r>
          <w:r>
            <w:fldChar w:fldCharType="separate"/>
          </w:r>
          <w:r>
            <w:rPr>
              <w:rFonts w:ascii="Times New Roman" w:hAnsi="Times New Roman" w:eastAsia="Times New Roman" w:cs="Times New Roman"/>
              <w:spacing w:val="-8"/>
              <w:sz w:val="22"/>
              <w:szCs w:val="22"/>
            </w:rPr>
            <w:t>3</w:t>
          </w:r>
          <w:r>
            <w:rPr>
              <w:rFonts w:ascii="Times New Roman" w:hAnsi="Times New Roman" w:eastAsia="Times New Roman" w:cs="Times New Roman"/>
              <w:spacing w:val="-5"/>
              <w:sz w:val="22"/>
              <w:szCs w:val="22"/>
            </w:rPr>
            <w:t>.</w:t>
          </w:r>
          <w:r>
            <w:rPr>
              <w:rFonts w:ascii="Times New Roman" w:hAnsi="Times New Roman" w:eastAsia="Times New Roman" w:cs="Times New Roman"/>
              <w:spacing w:val="-4"/>
              <w:sz w:val="22"/>
              <w:szCs w:val="22"/>
            </w:rPr>
            <w:t xml:space="preserve">3  </w:t>
          </w:r>
          <w:r>
            <w:rPr>
              <w:rFonts w:ascii="宋体" w:hAnsi="宋体" w:eastAsia="宋体" w:cs="宋体"/>
              <w:spacing w:val="-4"/>
              <w:sz w:val="22"/>
              <w:szCs w:val="22"/>
            </w:rPr>
            <w:t xml:space="preserve">现状评价结论 </w:t>
          </w:r>
          <w:r>
            <w:rPr>
              <w:rFonts w:ascii="Times New Roman" w:hAnsi="Times New Roman" w:eastAsia="Times New Roman" w:cs="Times New Roman"/>
              <w:sz w:val="22"/>
              <w:szCs w:val="22"/>
            </w:rPr>
            <w:tab/>
          </w:r>
          <w:r>
            <w:rPr>
              <w:rFonts w:ascii="Times New Roman" w:hAnsi="Times New Roman" w:eastAsia="Times New Roman" w:cs="Times New Roman"/>
              <w:spacing w:val="-4"/>
              <w:sz w:val="22"/>
              <w:szCs w:val="22"/>
            </w:rPr>
            <w:t>- 17 -</w:t>
          </w:r>
          <w:r>
            <w:rPr>
              <w:rFonts w:ascii="Times New Roman" w:hAnsi="Times New Roman" w:eastAsia="Times New Roman" w:cs="Times New Roman"/>
              <w:spacing w:val="-4"/>
              <w:sz w:val="22"/>
              <w:szCs w:val="22"/>
            </w:rPr>
            <w:fldChar w:fldCharType="end"/>
          </w:r>
        </w:p>
        <w:p>
          <w:pPr>
            <w:tabs>
              <w:tab w:val="right" w:leader="dot" w:pos="8839"/>
            </w:tabs>
            <w:spacing w:before="167" w:line="222" w:lineRule="auto"/>
            <w:rPr>
              <w:rFonts w:ascii="Times New Roman" w:hAnsi="Times New Roman" w:eastAsia="Times New Roman" w:cs="Times New Roman"/>
              <w:sz w:val="22"/>
              <w:szCs w:val="22"/>
            </w:rPr>
          </w:pPr>
          <w:r>
            <w:fldChar w:fldCharType="begin"/>
          </w:r>
          <w:r>
            <w:instrText xml:space="preserve"> HYPERLINK \l "_bookmark26" </w:instrText>
          </w:r>
          <w:r>
            <w:fldChar w:fldCharType="separate"/>
          </w:r>
          <w:r>
            <w:rPr>
              <w:rFonts w:ascii="Times New Roman" w:hAnsi="Times New Roman" w:eastAsia="Times New Roman" w:cs="Times New Roman"/>
              <w:spacing w:val="2"/>
              <w:sz w:val="22"/>
              <w:szCs w:val="22"/>
            </w:rPr>
            <w:t xml:space="preserve">4  </w:t>
          </w:r>
          <w:r>
            <w:rPr>
              <w:rFonts w:ascii="黑体" w:hAnsi="黑体" w:eastAsia="黑体" w:cs="黑体"/>
              <w:spacing w:val="2"/>
              <w:sz w:val="22"/>
              <w:szCs w:val="22"/>
            </w:rPr>
            <w:t>声环境影响预测、分</w:t>
          </w:r>
          <w:r>
            <w:rPr>
              <w:rFonts w:ascii="黑体" w:hAnsi="黑体" w:eastAsia="黑体" w:cs="黑体"/>
              <w:spacing w:val="1"/>
              <w:sz w:val="22"/>
              <w:szCs w:val="22"/>
            </w:rPr>
            <w:t>析及评价</w:t>
          </w:r>
          <w:r>
            <w:rPr>
              <w:rFonts w:ascii="Times New Roman" w:hAnsi="Times New Roman" w:eastAsia="Times New Roman" w:cs="Times New Roman"/>
              <w:sz w:val="22"/>
              <w:szCs w:val="22"/>
            </w:rPr>
            <w:tab/>
          </w:r>
          <w:r>
            <w:rPr>
              <w:rFonts w:ascii="Times New Roman" w:hAnsi="Times New Roman" w:eastAsia="Times New Roman" w:cs="Times New Roman"/>
              <w:spacing w:val="1"/>
              <w:sz w:val="22"/>
              <w:szCs w:val="22"/>
            </w:rPr>
            <w:t>- 18 -</w:t>
          </w:r>
          <w:r>
            <w:rPr>
              <w:rFonts w:ascii="Times New Roman" w:hAnsi="Times New Roman" w:eastAsia="Times New Roman" w:cs="Times New Roman"/>
              <w:spacing w:val="1"/>
              <w:sz w:val="22"/>
              <w:szCs w:val="22"/>
            </w:rPr>
            <w:fldChar w:fldCharType="end"/>
          </w:r>
        </w:p>
        <w:p>
          <w:pPr>
            <w:tabs>
              <w:tab w:val="right" w:leader="dot" w:pos="8839"/>
            </w:tabs>
            <w:spacing w:before="164" w:line="219" w:lineRule="auto"/>
            <w:ind w:left="420"/>
            <w:rPr>
              <w:rFonts w:ascii="Times New Roman" w:hAnsi="Times New Roman" w:eastAsia="Times New Roman" w:cs="Times New Roman"/>
              <w:sz w:val="22"/>
              <w:szCs w:val="22"/>
            </w:rPr>
          </w:pPr>
          <w:r>
            <w:fldChar w:fldCharType="begin"/>
          </w:r>
          <w:r>
            <w:instrText xml:space="preserve"> HYPERLINK \l "_bookmark27" </w:instrText>
          </w:r>
          <w:r>
            <w:fldChar w:fldCharType="separate"/>
          </w:r>
          <w:r>
            <w:rPr>
              <w:rFonts w:ascii="Times New Roman" w:hAnsi="Times New Roman" w:eastAsia="Times New Roman" w:cs="Times New Roman"/>
              <w:spacing w:val="-1"/>
              <w:sz w:val="22"/>
              <w:szCs w:val="22"/>
            </w:rPr>
            <w:t>4.1</w:t>
          </w:r>
          <w:r>
            <w:rPr>
              <w:rFonts w:ascii="Times New Roman" w:hAnsi="Times New Roman" w:eastAsia="Times New Roman" w:cs="Times New Roman"/>
              <w:sz w:val="22"/>
              <w:szCs w:val="22"/>
            </w:rPr>
            <w:t xml:space="preserve">  </w:t>
          </w:r>
          <w:r>
            <w:rPr>
              <w:rFonts w:ascii="宋体" w:hAnsi="宋体" w:eastAsia="宋体" w:cs="宋体"/>
              <w:sz w:val="22"/>
              <w:szCs w:val="22"/>
            </w:rPr>
            <w:t>施工噪声影响预测、分析及评价</w:t>
          </w:r>
          <w:r>
            <w:rPr>
              <w:rFonts w:ascii="Times New Roman" w:hAnsi="Times New Roman" w:eastAsia="Times New Roman" w:cs="Times New Roman"/>
              <w:sz w:val="22"/>
              <w:szCs w:val="22"/>
            </w:rPr>
            <w:tab/>
          </w:r>
          <w:r>
            <w:rPr>
              <w:rFonts w:ascii="Times New Roman" w:hAnsi="Times New Roman" w:eastAsia="Times New Roman" w:cs="Times New Roman"/>
              <w:sz w:val="22"/>
              <w:szCs w:val="22"/>
            </w:rPr>
            <w:t>- 18 -</w:t>
          </w:r>
          <w:r>
            <w:rPr>
              <w:rFonts w:ascii="Times New Roman" w:hAnsi="Times New Roman" w:eastAsia="Times New Roman" w:cs="Times New Roman"/>
              <w:sz w:val="22"/>
              <w:szCs w:val="22"/>
            </w:rPr>
            <w:fldChar w:fldCharType="end"/>
          </w:r>
        </w:p>
        <w:p>
          <w:pPr>
            <w:tabs>
              <w:tab w:val="right" w:leader="dot" w:pos="8839"/>
            </w:tabs>
            <w:spacing w:before="166" w:line="219" w:lineRule="auto"/>
            <w:ind w:left="420"/>
            <w:rPr>
              <w:rFonts w:ascii="Times New Roman" w:hAnsi="Times New Roman" w:eastAsia="Times New Roman" w:cs="Times New Roman"/>
              <w:sz w:val="22"/>
              <w:szCs w:val="22"/>
            </w:rPr>
          </w:pPr>
          <w:r>
            <w:fldChar w:fldCharType="begin"/>
          </w:r>
          <w:r>
            <w:instrText xml:space="preserve"> HYPERLINK \l "_bookmark28" </w:instrText>
          </w:r>
          <w:r>
            <w:fldChar w:fldCharType="separate"/>
          </w:r>
          <w:r>
            <w:rPr>
              <w:rFonts w:ascii="Times New Roman" w:hAnsi="Times New Roman" w:eastAsia="Times New Roman" w:cs="Times New Roman"/>
              <w:spacing w:val="-4"/>
              <w:sz w:val="22"/>
              <w:szCs w:val="22"/>
            </w:rPr>
            <w:t xml:space="preserve">4.2  </w:t>
          </w:r>
          <w:r>
            <w:rPr>
              <w:rFonts w:ascii="宋体" w:hAnsi="宋体" w:eastAsia="宋体" w:cs="宋体"/>
              <w:spacing w:val="-4"/>
              <w:sz w:val="22"/>
              <w:szCs w:val="22"/>
            </w:rPr>
            <w:t>营运期</w:t>
          </w:r>
          <w:r>
            <w:rPr>
              <w:rFonts w:ascii="宋体" w:hAnsi="宋体" w:eastAsia="宋体" w:cs="宋体"/>
              <w:spacing w:val="-3"/>
              <w:sz w:val="22"/>
              <w:szCs w:val="22"/>
            </w:rPr>
            <w:t>噪</w:t>
          </w:r>
          <w:r>
            <w:rPr>
              <w:rFonts w:ascii="宋体" w:hAnsi="宋体" w:eastAsia="宋体" w:cs="宋体"/>
              <w:spacing w:val="-2"/>
              <w:sz w:val="22"/>
              <w:szCs w:val="22"/>
            </w:rPr>
            <w:t xml:space="preserve">声影响预测、分析及评价 </w:t>
          </w:r>
          <w:r>
            <w:rPr>
              <w:rFonts w:ascii="Times New Roman" w:hAnsi="Times New Roman" w:eastAsia="Times New Roman" w:cs="Times New Roman"/>
              <w:sz w:val="22"/>
              <w:szCs w:val="22"/>
            </w:rPr>
            <w:tab/>
          </w:r>
          <w:r>
            <w:rPr>
              <w:rFonts w:ascii="Times New Roman" w:hAnsi="Times New Roman" w:eastAsia="Times New Roman" w:cs="Times New Roman"/>
              <w:spacing w:val="-2"/>
              <w:sz w:val="22"/>
              <w:szCs w:val="22"/>
            </w:rPr>
            <w:t>- 18 -</w:t>
          </w:r>
          <w:r>
            <w:rPr>
              <w:rFonts w:ascii="Times New Roman" w:hAnsi="Times New Roman" w:eastAsia="Times New Roman" w:cs="Times New Roman"/>
              <w:spacing w:val="-2"/>
              <w:sz w:val="22"/>
              <w:szCs w:val="22"/>
            </w:rPr>
            <w:fldChar w:fldCharType="end"/>
          </w:r>
        </w:p>
        <w:p>
          <w:pPr>
            <w:tabs>
              <w:tab w:val="right" w:leader="dot" w:pos="8839"/>
            </w:tabs>
            <w:spacing w:before="166" w:line="222" w:lineRule="auto"/>
            <w:ind w:left="7"/>
            <w:rPr>
              <w:rFonts w:ascii="Times New Roman" w:hAnsi="Times New Roman" w:eastAsia="Times New Roman" w:cs="Times New Roman"/>
              <w:sz w:val="22"/>
              <w:szCs w:val="22"/>
            </w:rPr>
          </w:pPr>
          <w:r>
            <w:fldChar w:fldCharType="begin"/>
          </w:r>
          <w:r>
            <w:instrText xml:space="preserve"> HYPERLINK \l "_bookmark29" </w:instrText>
          </w:r>
          <w:r>
            <w:fldChar w:fldCharType="separate"/>
          </w:r>
          <w:r>
            <w:rPr>
              <w:rFonts w:ascii="Times New Roman" w:hAnsi="Times New Roman" w:eastAsia="Times New Roman" w:cs="Times New Roman"/>
              <w:spacing w:val="2"/>
              <w:sz w:val="22"/>
              <w:szCs w:val="22"/>
            </w:rPr>
            <w:t xml:space="preserve">5  </w:t>
          </w:r>
          <w:r>
            <w:rPr>
              <w:rFonts w:ascii="黑体" w:hAnsi="黑体" w:eastAsia="黑体" w:cs="黑体"/>
              <w:spacing w:val="2"/>
              <w:sz w:val="22"/>
              <w:szCs w:val="22"/>
            </w:rPr>
            <w:t>噪声防治措施</w:t>
          </w:r>
          <w:r>
            <w:rPr>
              <w:rFonts w:ascii="Times New Roman" w:hAnsi="Times New Roman" w:eastAsia="Times New Roman" w:cs="Times New Roman"/>
              <w:sz w:val="22"/>
              <w:szCs w:val="22"/>
            </w:rPr>
            <w:tab/>
          </w:r>
          <w:r>
            <w:rPr>
              <w:rFonts w:ascii="Times New Roman" w:hAnsi="Times New Roman" w:eastAsia="Times New Roman" w:cs="Times New Roman"/>
              <w:spacing w:val="2"/>
              <w:sz w:val="22"/>
              <w:szCs w:val="22"/>
            </w:rPr>
            <w:t>-</w:t>
          </w:r>
          <w:r>
            <w:rPr>
              <w:rFonts w:ascii="Times New Roman" w:hAnsi="Times New Roman" w:eastAsia="Times New Roman" w:cs="Times New Roman"/>
              <w:spacing w:val="1"/>
              <w:sz w:val="22"/>
              <w:szCs w:val="22"/>
            </w:rPr>
            <w:t xml:space="preserve"> 39 -</w:t>
          </w:r>
          <w:r>
            <w:rPr>
              <w:rFonts w:ascii="Times New Roman" w:hAnsi="Times New Roman" w:eastAsia="Times New Roman" w:cs="Times New Roman"/>
              <w:spacing w:val="1"/>
              <w:sz w:val="22"/>
              <w:szCs w:val="22"/>
            </w:rPr>
            <w:fldChar w:fldCharType="end"/>
          </w:r>
        </w:p>
        <w:p>
          <w:pPr>
            <w:tabs>
              <w:tab w:val="right" w:leader="dot" w:pos="8839"/>
            </w:tabs>
            <w:spacing w:before="166" w:line="221" w:lineRule="auto"/>
            <w:ind w:left="427"/>
            <w:rPr>
              <w:rFonts w:ascii="Times New Roman" w:hAnsi="Times New Roman" w:eastAsia="Times New Roman" w:cs="Times New Roman"/>
              <w:sz w:val="22"/>
              <w:szCs w:val="22"/>
            </w:rPr>
          </w:pPr>
          <w:r>
            <w:fldChar w:fldCharType="begin"/>
          </w:r>
          <w:r>
            <w:instrText xml:space="preserve"> HYPERLINK \l "_bookmark30" </w:instrText>
          </w:r>
          <w:r>
            <w:fldChar w:fldCharType="separate"/>
          </w:r>
          <w:r>
            <w:rPr>
              <w:rFonts w:ascii="Times New Roman" w:hAnsi="Times New Roman" w:eastAsia="Times New Roman" w:cs="Times New Roman"/>
              <w:spacing w:val="-1"/>
              <w:sz w:val="22"/>
              <w:szCs w:val="22"/>
            </w:rPr>
            <w:t xml:space="preserve">5.1  </w:t>
          </w:r>
          <w:r>
            <w:rPr>
              <w:rFonts w:ascii="宋体" w:hAnsi="宋体" w:eastAsia="宋体" w:cs="宋体"/>
              <w:spacing w:val="-1"/>
              <w:sz w:val="22"/>
              <w:szCs w:val="22"/>
            </w:rPr>
            <w:t>施工噪声防</w:t>
          </w:r>
          <w:r>
            <w:rPr>
              <w:rFonts w:ascii="宋体" w:hAnsi="宋体" w:eastAsia="宋体" w:cs="宋体"/>
              <w:sz w:val="22"/>
              <w:szCs w:val="22"/>
            </w:rPr>
            <w:t>治措施</w:t>
          </w:r>
          <w:r>
            <w:rPr>
              <w:rFonts w:ascii="Times New Roman" w:hAnsi="Times New Roman" w:eastAsia="Times New Roman" w:cs="Times New Roman"/>
              <w:sz w:val="22"/>
              <w:szCs w:val="22"/>
            </w:rPr>
            <w:tab/>
          </w:r>
          <w:r>
            <w:rPr>
              <w:rFonts w:ascii="Times New Roman" w:hAnsi="Times New Roman" w:eastAsia="Times New Roman" w:cs="Times New Roman"/>
              <w:sz w:val="22"/>
              <w:szCs w:val="22"/>
            </w:rPr>
            <w:t>- 39 -</w:t>
          </w:r>
          <w:r>
            <w:rPr>
              <w:rFonts w:ascii="Times New Roman" w:hAnsi="Times New Roman" w:eastAsia="Times New Roman" w:cs="Times New Roman"/>
              <w:sz w:val="22"/>
              <w:szCs w:val="22"/>
            </w:rPr>
            <w:fldChar w:fldCharType="end"/>
          </w:r>
        </w:p>
        <w:p>
          <w:pPr>
            <w:tabs>
              <w:tab w:val="right" w:leader="dot" w:pos="8839"/>
            </w:tabs>
            <w:spacing w:before="163" w:line="221" w:lineRule="auto"/>
            <w:ind w:left="427"/>
            <w:rPr>
              <w:rFonts w:ascii="Times New Roman" w:hAnsi="Times New Roman" w:eastAsia="Times New Roman" w:cs="Times New Roman"/>
              <w:sz w:val="22"/>
              <w:szCs w:val="22"/>
            </w:rPr>
          </w:pPr>
          <w:r>
            <w:fldChar w:fldCharType="begin"/>
          </w:r>
          <w:r>
            <w:instrText xml:space="preserve"> HYPERLINK \l "_bookmark31" </w:instrText>
          </w:r>
          <w:r>
            <w:fldChar w:fldCharType="separate"/>
          </w:r>
          <w:r>
            <w:rPr>
              <w:rFonts w:ascii="Times New Roman" w:hAnsi="Times New Roman" w:eastAsia="Times New Roman" w:cs="Times New Roman"/>
              <w:spacing w:val="-1"/>
              <w:sz w:val="22"/>
              <w:szCs w:val="22"/>
            </w:rPr>
            <w:t xml:space="preserve">5.2  </w:t>
          </w:r>
          <w:r>
            <w:rPr>
              <w:rFonts w:ascii="宋体" w:hAnsi="宋体" w:eastAsia="宋体" w:cs="宋体"/>
              <w:spacing w:val="-1"/>
              <w:sz w:val="22"/>
              <w:szCs w:val="22"/>
            </w:rPr>
            <w:t>营运期交通</w:t>
          </w:r>
          <w:r>
            <w:rPr>
              <w:rFonts w:ascii="宋体" w:hAnsi="宋体" w:eastAsia="宋体" w:cs="宋体"/>
              <w:sz w:val="22"/>
              <w:szCs w:val="22"/>
            </w:rPr>
            <w:t>噪声防治措施</w:t>
          </w:r>
          <w:r>
            <w:rPr>
              <w:rFonts w:ascii="Times New Roman" w:hAnsi="Times New Roman" w:eastAsia="Times New Roman" w:cs="Times New Roman"/>
              <w:sz w:val="22"/>
              <w:szCs w:val="22"/>
            </w:rPr>
            <w:tab/>
          </w:r>
          <w:r>
            <w:rPr>
              <w:rFonts w:ascii="Times New Roman" w:hAnsi="Times New Roman" w:eastAsia="Times New Roman" w:cs="Times New Roman"/>
              <w:sz w:val="22"/>
              <w:szCs w:val="22"/>
            </w:rPr>
            <w:t>- 39 -</w:t>
          </w:r>
          <w:r>
            <w:rPr>
              <w:rFonts w:ascii="Times New Roman" w:hAnsi="Times New Roman" w:eastAsia="Times New Roman" w:cs="Times New Roman"/>
              <w:sz w:val="22"/>
              <w:szCs w:val="22"/>
            </w:rPr>
            <w:fldChar w:fldCharType="end"/>
          </w:r>
        </w:p>
        <w:p>
          <w:pPr>
            <w:tabs>
              <w:tab w:val="right" w:leader="dot" w:pos="8839"/>
            </w:tabs>
            <w:spacing w:before="164" w:line="227" w:lineRule="auto"/>
            <w:ind w:left="5"/>
            <w:rPr>
              <w:rFonts w:ascii="Times New Roman" w:hAnsi="Times New Roman" w:eastAsia="Times New Roman" w:cs="Times New Roman"/>
              <w:sz w:val="22"/>
              <w:szCs w:val="22"/>
            </w:rPr>
          </w:pPr>
          <w:r>
            <w:fldChar w:fldCharType="begin"/>
          </w:r>
          <w:r>
            <w:instrText xml:space="preserve"> HYPERLINK \l "_bookmark32" </w:instrText>
          </w:r>
          <w:r>
            <w:fldChar w:fldCharType="separate"/>
          </w:r>
          <w:r>
            <w:rPr>
              <w:rFonts w:ascii="Times New Roman" w:hAnsi="Times New Roman" w:eastAsia="Times New Roman" w:cs="Times New Roman"/>
              <w:spacing w:val="4"/>
              <w:sz w:val="22"/>
              <w:szCs w:val="22"/>
            </w:rPr>
            <w:t xml:space="preserve">6  </w:t>
          </w:r>
          <w:r>
            <w:rPr>
              <w:rFonts w:ascii="黑体" w:hAnsi="黑体" w:eastAsia="黑体" w:cs="黑体"/>
              <w:spacing w:val="2"/>
              <w:sz w:val="22"/>
              <w:szCs w:val="22"/>
            </w:rPr>
            <w:t>结论</w:t>
          </w:r>
          <w:r>
            <w:rPr>
              <w:rFonts w:ascii="Times New Roman" w:hAnsi="Times New Roman" w:eastAsia="Times New Roman" w:cs="Times New Roman"/>
              <w:sz w:val="22"/>
              <w:szCs w:val="22"/>
            </w:rPr>
            <w:tab/>
          </w:r>
          <w:r>
            <w:rPr>
              <w:rFonts w:ascii="Times New Roman" w:hAnsi="Times New Roman" w:eastAsia="Times New Roman" w:cs="Times New Roman"/>
              <w:spacing w:val="2"/>
              <w:sz w:val="22"/>
              <w:szCs w:val="22"/>
            </w:rPr>
            <w:t>- 43 -</w:t>
          </w:r>
          <w:r>
            <w:rPr>
              <w:rFonts w:ascii="Times New Roman" w:hAnsi="Times New Roman" w:eastAsia="Times New Roman" w:cs="Times New Roman"/>
              <w:spacing w:val="2"/>
              <w:sz w:val="22"/>
              <w:szCs w:val="22"/>
            </w:rPr>
            <w:fldChar w:fldCharType="end"/>
          </w:r>
        </w:p>
      </w:sdtContent>
    </w:sdt>
    <w:p>
      <w:pPr>
        <w:sectPr>
          <w:pgSz w:w="11906" w:h="16839"/>
          <w:pgMar w:top="400" w:right="1531" w:bottom="400" w:left="1534" w:header="0" w:footer="0" w:gutter="0"/>
          <w:cols w:space="720" w:num="1"/>
        </w:sect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94" w:line="228" w:lineRule="auto"/>
        <w:ind w:left="28"/>
        <w:outlineLvl w:val="1"/>
        <w:rPr>
          <w:rFonts w:ascii="黑体" w:hAnsi="黑体" w:eastAsia="黑体" w:cs="黑体"/>
          <w:sz w:val="29"/>
          <w:szCs w:val="29"/>
        </w:rPr>
      </w:pPr>
      <w:bookmarkStart w:id="7" w:name="_bookmark8"/>
      <w:bookmarkEnd w:id="7"/>
      <w:r>
        <w:rPr>
          <w:rFonts w:ascii="Times New Roman" w:hAnsi="Times New Roman" w:eastAsia="Times New Roman" w:cs="Times New Roman"/>
          <w:spacing w:val="7"/>
          <w:sz w:val="29"/>
          <w:szCs w:val="29"/>
        </w:rPr>
        <w:t xml:space="preserve">1   </w:t>
      </w:r>
      <w:r>
        <w:rPr>
          <w:rFonts w:ascii="黑体" w:hAnsi="黑体" w:eastAsia="黑体" w:cs="黑体"/>
          <w:spacing w:val="7"/>
          <w:sz w:val="29"/>
          <w:szCs w:val="29"/>
        </w:rPr>
        <w:t>总则</w:t>
      </w:r>
    </w:p>
    <w:p>
      <w:pPr>
        <w:spacing w:line="427" w:lineRule="auto"/>
        <w:rPr>
          <w:rFonts w:ascii="Arial"/>
          <w:sz w:val="21"/>
        </w:rPr>
      </w:pPr>
    </w:p>
    <w:p>
      <w:pPr>
        <w:spacing w:before="75" w:line="230" w:lineRule="auto"/>
        <w:ind w:left="21"/>
        <w:outlineLvl w:val="2"/>
        <w:rPr>
          <w:rFonts w:ascii="黑体" w:hAnsi="黑体" w:eastAsia="黑体" w:cs="黑体"/>
          <w:sz w:val="23"/>
          <w:szCs w:val="23"/>
        </w:rPr>
      </w:pPr>
      <w:bookmarkStart w:id="8" w:name="_bookmark9"/>
      <w:bookmarkEnd w:id="8"/>
      <w:r>
        <w:rPr>
          <w:rFonts w:ascii="Times New Roman" w:hAnsi="Times New Roman" w:eastAsia="Times New Roman" w:cs="Times New Roman"/>
          <w:spacing w:val="-7"/>
          <w:sz w:val="23"/>
          <w:szCs w:val="23"/>
        </w:rPr>
        <w:t>1</w:t>
      </w:r>
      <w:r>
        <w:rPr>
          <w:rFonts w:ascii="Times New Roman" w:hAnsi="Times New Roman" w:eastAsia="Times New Roman" w:cs="Times New Roman"/>
          <w:spacing w:val="-6"/>
          <w:sz w:val="23"/>
          <w:szCs w:val="23"/>
        </w:rPr>
        <w:t xml:space="preserve">. 1  </w:t>
      </w:r>
      <w:r>
        <w:rPr>
          <w:rFonts w:ascii="黑体" w:hAnsi="黑体" w:eastAsia="黑体" w:cs="黑体"/>
          <w:spacing w:val="-6"/>
          <w:sz w:val="23"/>
          <w:szCs w:val="23"/>
        </w:rPr>
        <w:t>前言</w:t>
      </w:r>
    </w:p>
    <w:p>
      <w:pPr>
        <w:spacing w:before="148" w:line="369" w:lineRule="auto"/>
        <w:ind w:left="1" w:right="54" w:firstLine="419"/>
        <w:rPr>
          <w:rFonts w:ascii="宋体" w:hAnsi="宋体" w:eastAsia="宋体" w:cs="宋体"/>
          <w:sz w:val="20"/>
          <w:szCs w:val="20"/>
        </w:rPr>
      </w:pPr>
      <w:r>
        <w:rPr>
          <w:rFonts w:ascii="宋体" w:hAnsi="宋体" w:eastAsia="宋体" w:cs="宋体"/>
          <w:spacing w:val="16"/>
          <w:sz w:val="20"/>
          <w:szCs w:val="20"/>
        </w:rPr>
        <w:t>达州</w:t>
      </w:r>
      <w:r>
        <w:rPr>
          <w:rFonts w:ascii="宋体" w:hAnsi="宋体" w:eastAsia="宋体" w:cs="宋体"/>
          <w:spacing w:val="12"/>
          <w:sz w:val="20"/>
          <w:szCs w:val="20"/>
        </w:rPr>
        <w:t>市</w:t>
      </w:r>
      <w:r>
        <w:rPr>
          <w:rFonts w:ascii="宋体" w:hAnsi="宋体" w:eastAsia="宋体" w:cs="宋体"/>
          <w:spacing w:val="8"/>
          <w:sz w:val="20"/>
          <w:szCs w:val="20"/>
        </w:rPr>
        <w:t>通川区高家坝城市组团位于达州老城以北的凤凰山脚下，规划用地总面积</w:t>
      </w:r>
      <w:r>
        <w:rPr>
          <w:rFonts w:ascii="Times New Roman" w:hAnsi="Times New Roman" w:eastAsia="Times New Roman" w:cs="Times New Roman"/>
          <w:spacing w:val="8"/>
          <w:sz w:val="20"/>
          <w:szCs w:val="20"/>
        </w:rPr>
        <w:t>78.45</w:t>
      </w:r>
      <w:r>
        <w:rPr>
          <w:rFonts w:ascii="宋体" w:hAnsi="宋体" w:eastAsia="宋体" w:cs="宋体"/>
          <w:spacing w:val="8"/>
          <w:sz w:val="20"/>
          <w:szCs w:val="20"/>
        </w:rPr>
        <w:t>公顷。</w:t>
      </w:r>
      <w:r>
        <w:rPr>
          <w:rFonts w:ascii="宋体" w:hAnsi="宋体" w:eastAsia="宋体" w:cs="宋体"/>
          <w:sz w:val="20"/>
          <w:szCs w:val="20"/>
        </w:rPr>
        <w:t xml:space="preserve"> </w:t>
      </w:r>
      <w:r>
        <w:rPr>
          <w:rFonts w:ascii="宋体" w:hAnsi="宋体" w:eastAsia="宋体" w:cs="宋体"/>
          <w:spacing w:val="20"/>
          <w:sz w:val="20"/>
          <w:szCs w:val="20"/>
        </w:rPr>
        <w:t>该</w:t>
      </w:r>
      <w:r>
        <w:rPr>
          <w:rFonts w:ascii="宋体" w:hAnsi="宋体" w:eastAsia="宋体" w:cs="宋体"/>
          <w:spacing w:val="14"/>
          <w:sz w:val="20"/>
          <w:szCs w:val="20"/>
        </w:rPr>
        <w:t>区</w:t>
      </w:r>
      <w:r>
        <w:rPr>
          <w:rFonts w:ascii="宋体" w:hAnsi="宋体" w:eastAsia="宋体" w:cs="宋体"/>
          <w:spacing w:val="10"/>
          <w:sz w:val="20"/>
          <w:szCs w:val="20"/>
        </w:rPr>
        <w:t>域交通条件优越，</w:t>
      </w:r>
      <w:r>
        <w:rPr>
          <w:rFonts w:ascii="Times New Roman" w:hAnsi="Times New Roman" w:eastAsia="Times New Roman" w:cs="Times New Roman"/>
          <w:sz w:val="20"/>
          <w:szCs w:val="20"/>
        </w:rPr>
        <w:t>G</w:t>
      </w:r>
      <w:r>
        <w:rPr>
          <w:rFonts w:ascii="Times New Roman" w:hAnsi="Times New Roman" w:eastAsia="Times New Roman" w:cs="Times New Roman"/>
          <w:spacing w:val="10"/>
          <w:sz w:val="20"/>
          <w:szCs w:val="20"/>
        </w:rPr>
        <w:t>65</w:t>
      </w:r>
      <w:r>
        <w:rPr>
          <w:rFonts w:ascii="宋体" w:hAnsi="宋体" w:eastAsia="宋体" w:cs="宋体"/>
          <w:spacing w:val="10"/>
          <w:sz w:val="20"/>
          <w:szCs w:val="20"/>
        </w:rPr>
        <w:t>包茂高速和原国道</w:t>
      </w:r>
      <w:r>
        <w:rPr>
          <w:rFonts w:ascii="Times New Roman" w:hAnsi="Times New Roman" w:eastAsia="Times New Roman" w:cs="Times New Roman"/>
          <w:sz w:val="20"/>
          <w:szCs w:val="20"/>
        </w:rPr>
        <w:t>G</w:t>
      </w:r>
      <w:r>
        <w:rPr>
          <w:rFonts w:ascii="Times New Roman" w:hAnsi="Times New Roman" w:eastAsia="Times New Roman" w:cs="Times New Roman"/>
          <w:spacing w:val="10"/>
          <w:sz w:val="20"/>
          <w:szCs w:val="20"/>
        </w:rPr>
        <w:t>210</w:t>
      </w:r>
      <w:r>
        <w:rPr>
          <w:rFonts w:ascii="宋体" w:hAnsi="宋体" w:eastAsia="宋体" w:cs="宋体"/>
          <w:spacing w:val="10"/>
          <w:sz w:val="20"/>
          <w:szCs w:val="20"/>
        </w:rPr>
        <w:t>穿境而过，是达州城市北部的门户，是承南启</w:t>
      </w:r>
      <w:r>
        <w:rPr>
          <w:rFonts w:ascii="宋体" w:hAnsi="宋体" w:eastAsia="宋体" w:cs="宋体"/>
          <w:sz w:val="20"/>
          <w:szCs w:val="20"/>
        </w:rPr>
        <w:t xml:space="preserve"> </w:t>
      </w:r>
      <w:r>
        <w:rPr>
          <w:rFonts w:ascii="宋体" w:hAnsi="宋体" w:eastAsia="宋体" w:cs="宋体"/>
          <w:spacing w:val="18"/>
          <w:sz w:val="20"/>
          <w:szCs w:val="20"/>
        </w:rPr>
        <w:t>北联</w:t>
      </w:r>
      <w:r>
        <w:rPr>
          <w:rFonts w:ascii="宋体" w:hAnsi="宋体" w:eastAsia="宋体" w:cs="宋体"/>
          <w:spacing w:val="10"/>
          <w:sz w:val="20"/>
          <w:szCs w:val="20"/>
        </w:rPr>
        <w:t>系</w:t>
      </w:r>
      <w:r>
        <w:rPr>
          <w:rFonts w:ascii="宋体" w:hAnsi="宋体" w:eastAsia="宋体" w:cs="宋体"/>
          <w:spacing w:val="9"/>
          <w:sz w:val="20"/>
          <w:szCs w:val="20"/>
        </w:rPr>
        <w:t>老城和罗江新区、联东通西紧邻双鱼湖 (凤凰山) 和韩家坝城市组团 (犀牛山) 的区域交</w:t>
      </w:r>
      <w:r>
        <w:rPr>
          <w:rFonts w:ascii="宋体" w:hAnsi="宋体" w:eastAsia="宋体" w:cs="宋体"/>
          <w:sz w:val="20"/>
          <w:szCs w:val="20"/>
        </w:rPr>
        <w:t xml:space="preserve"> </w:t>
      </w:r>
      <w:r>
        <w:rPr>
          <w:rFonts w:ascii="宋体" w:hAnsi="宋体" w:eastAsia="宋体" w:cs="宋体"/>
          <w:spacing w:val="14"/>
          <w:sz w:val="20"/>
          <w:szCs w:val="20"/>
        </w:rPr>
        <w:t>通节点。</w:t>
      </w:r>
      <w:r>
        <w:rPr>
          <w:rFonts w:ascii="宋体" w:hAnsi="宋体" w:eastAsia="宋体" w:cs="宋体"/>
          <w:spacing w:val="11"/>
          <w:sz w:val="20"/>
          <w:szCs w:val="20"/>
        </w:rPr>
        <w:t>高</w:t>
      </w:r>
      <w:r>
        <w:rPr>
          <w:rFonts w:ascii="宋体" w:hAnsi="宋体" w:eastAsia="宋体" w:cs="宋体"/>
          <w:spacing w:val="7"/>
          <w:sz w:val="20"/>
          <w:szCs w:val="20"/>
        </w:rPr>
        <w:t>家坝城市区域组团和张家坝城市区域组团位于州河两侧，是通川区城北片区的</w:t>
      </w:r>
      <w:r>
        <w:rPr>
          <w:rFonts w:ascii="Times New Roman" w:hAnsi="Times New Roman" w:eastAsia="Times New Roman" w:cs="Times New Roman"/>
          <w:spacing w:val="7"/>
          <w:sz w:val="20"/>
          <w:szCs w:val="20"/>
        </w:rPr>
        <w:t>2</w:t>
      </w:r>
      <w:r>
        <w:rPr>
          <w:rFonts w:ascii="宋体" w:hAnsi="宋体" w:eastAsia="宋体" w:cs="宋体"/>
          <w:spacing w:val="7"/>
          <w:sz w:val="20"/>
          <w:szCs w:val="20"/>
        </w:rPr>
        <w:t>个重要</w:t>
      </w:r>
      <w:r>
        <w:rPr>
          <w:rFonts w:ascii="宋体" w:hAnsi="宋体" w:eastAsia="宋体" w:cs="宋体"/>
          <w:sz w:val="20"/>
          <w:szCs w:val="20"/>
        </w:rPr>
        <w:t xml:space="preserve"> </w:t>
      </w:r>
      <w:r>
        <w:rPr>
          <w:rFonts w:ascii="宋体" w:hAnsi="宋体" w:eastAsia="宋体" w:cs="宋体"/>
          <w:spacing w:val="14"/>
          <w:sz w:val="20"/>
          <w:szCs w:val="20"/>
        </w:rPr>
        <w:t>组成</w:t>
      </w:r>
      <w:r>
        <w:rPr>
          <w:rFonts w:ascii="宋体" w:hAnsi="宋体" w:eastAsia="宋体" w:cs="宋体"/>
          <w:spacing w:val="11"/>
          <w:sz w:val="20"/>
          <w:szCs w:val="20"/>
        </w:rPr>
        <w:t>部</w:t>
      </w:r>
      <w:r>
        <w:rPr>
          <w:rFonts w:ascii="宋体" w:hAnsi="宋体" w:eastAsia="宋体" w:cs="宋体"/>
          <w:spacing w:val="7"/>
          <w:sz w:val="20"/>
          <w:szCs w:val="20"/>
        </w:rPr>
        <w:t>分。 目前，片区东西向通道目前仅有张家坝大桥 (主要联系老城和张家坝组团) 和徐家坝</w:t>
      </w:r>
      <w:r>
        <w:rPr>
          <w:rFonts w:ascii="宋体" w:hAnsi="宋体" w:eastAsia="宋体" w:cs="宋体"/>
          <w:sz w:val="20"/>
          <w:szCs w:val="20"/>
        </w:rPr>
        <w:t xml:space="preserve"> </w:t>
      </w:r>
      <w:r>
        <w:rPr>
          <w:rFonts w:ascii="宋体" w:hAnsi="宋体" w:eastAsia="宋体" w:cs="宋体"/>
          <w:spacing w:val="10"/>
          <w:sz w:val="20"/>
          <w:szCs w:val="20"/>
        </w:rPr>
        <w:t>大桥 (联系徐家坝和韩家坝组团) ，张家坝和高家坝片区东西向区域联系较弱，也依靠区域唯</w:t>
      </w:r>
      <w:r>
        <w:rPr>
          <w:rFonts w:ascii="宋体" w:hAnsi="宋体" w:eastAsia="宋体" w:cs="宋体"/>
          <w:spacing w:val="3"/>
          <w:sz w:val="20"/>
          <w:szCs w:val="20"/>
        </w:rPr>
        <w:t>一</w:t>
      </w:r>
      <w:r>
        <w:rPr>
          <w:rFonts w:ascii="宋体" w:hAnsi="宋体" w:eastAsia="宋体" w:cs="宋体"/>
          <w:sz w:val="20"/>
          <w:szCs w:val="20"/>
        </w:rPr>
        <w:t xml:space="preserve"> </w:t>
      </w:r>
      <w:r>
        <w:rPr>
          <w:rFonts w:ascii="宋体" w:hAnsi="宋体" w:eastAsia="宋体" w:cs="宋体"/>
          <w:spacing w:val="14"/>
          <w:sz w:val="20"/>
          <w:szCs w:val="20"/>
        </w:rPr>
        <w:t>东西</w:t>
      </w:r>
      <w:r>
        <w:rPr>
          <w:rFonts w:ascii="宋体" w:hAnsi="宋体" w:eastAsia="宋体" w:cs="宋体"/>
          <w:spacing w:val="10"/>
          <w:sz w:val="20"/>
          <w:szCs w:val="20"/>
        </w:rPr>
        <w:t>向</w:t>
      </w:r>
      <w:r>
        <w:rPr>
          <w:rFonts w:ascii="宋体" w:hAnsi="宋体" w:eastAsia="宋体" w:cs="宋体"/>
          <w:spacing w:val="7"/>
          <w:sz w:val="20"/>
          <w:szCs w:val="20"/>
        </w:rPr>
        <w:t>通道张家坝大桥连通。张家坝大桥在高家坝侧为</w:t>
      </w:r>
      <w:r>
        <w:rPr>
          <w:rFonts w:ascii="Times New Roman" w:hAnsi="Times New Roman" w:eastAsia="Times New Roman" w:cs="Times New Roman"/>
          <w:sz w:val="20"/>
          <w:szCs w:val="20"/>
        </w:rPr>
        <w:t>T</w:t>
      </w:r>
      <w:r>
        <w:rPr>
          <w:rFonts w:ascii="宋体" w:hAnsi="宋体" w:eastAsia="宋体" w:cs="宋体"/>
          <w:spacing w:val="7"/>
          <w:sz w:val="20"/>
          <w:szCs w:val="20"/>
        </w:rPr>
        <w:t>形平交路口，通行高峰期，桥梁通行压力</w:t>
      </w:r>
      <w:r>
        <w:rPr>
          <w:rFonts w:ascii="宋体" w:hAnsi="宋体" w:eastAsia="宋体" w:cs="宋体"/>
          <w:sz w:val="20"/>
          <w:szCs w:val="20"/>
        </w:rPr>
        <w:t xml:space="preserve"> </w:t>
      </w:r>
      <w:r>
        <w:rPr>
          <w:rFonts w:ascii="宋体" w:hAnsi="宋体" w:eastAsia="宋体" w:cs="宋体"/>
          <w:spacing w:val="9"/>
          <w:sz w:val="20"/>
          <w:szCs w:val="20"/>
        </w:rPr>
        <w:t>较大，越来越不能满足区域间的通行要求</w:t>
      </w:r>
      <w:r>
        <w:rPr>
          <w:rFonts w:ascii="宋体" w:hAnsi="宋体" w:eastAsia="宋体" w:cs="宋体"/>
          <w:spacing w:val="7"/>
          <w:sz w:val="20"/>
          <w:szCs w:val="20"/>
        </w:rPr>
        <w:t>。</w:t>
      </w:r>
    </w:p>
    <w:p>
      <w:pPr>
        <w:spacing w:before="1" w:line="369" w:lineRule="auto"/>
        <w:ind w:right="54" w:firstLine="424"/>
        <w:rPr>
          <w:rFonts w:ascii="宋体" w:hAnsi="宋体" w:eastAsia="宋体" w:cs="宋体"/>
          <w:sz w:val="20"/>
          <w:szCs w:val="20"/>
        </w:rPr>
      </w:pPr>
      <w:r>
        <w:rPr>
          <w:rFonts w:ascii="宋体" w:hAnsi="宋体" w:eastAsia="宋体" w:cs="宋体"/>
          <w:spacing w:val="20"/>
          <w:sz w:val="20"/>
          <w:szCs w:val="20"/>
        </w:rPr>
        <w:t>为</w:t>
      </w:r>
      <w:r>
        <w:rPr>
          <w:rFonts w:ascii="宋体" w:hAnsi="宋体" w:eastAsia="宋体" w:cs="宋体"/>
          <w:spacing w:val="10"/>
          <w:sz w:val="20"/>
          <w:szCs w:val="20"/>
        </w:rPr>
        <w:t>减轻城市交通压力，使城市交通更畅通有序，适应城市发展需要，加快城市建设步伐，促</w:t>
      </w:r>
      <w:r>
        <w:rPr>
          <w:rFonts w:ascii="宋体" w:hAnsi="宋体" w:eastAsia="宋体" w:cs="宋体"/>
          <w:sz w:val="20"/>
          <w:szCs w:val="20"/>
        </w:rPr>
        <w:t xml:space="preserve"> </w:t>
      </w:r>
      <w:r>
        <w:rPr>
          <w:rFonts w:ascii="宋体" w:hAnsi="宋体" w:eastAsia="宋体" w:cs="宋体"/>
          <w:spacing w:val="20"/>
          <w:sz w:val="20"/>
          <w:szCs w:val="20"/>
        </w:rPr>
        <w:t>进</w:t>
      </w:r>
      <w:r>
        <w:rPr>
          <w:rFonts w:ascii="宋体" w:hAnsi="宋体" w:eastAsia="宋体" w:cs="宋体"/>
          <w:spacing w:val="14"/>
          <w:sz w:val="20"/>
          <w:szCs w:val="20"/>
        </w:rPr>
        <w:t>地</w:t>
      </w:r>
      <w:r>
        <w:rPr>
          <w:rFonts w:ascii="宋体" w:hAnsi="宋体" w:eastAsia="宋体" w:cs="宋体"/>
          <w:spacing w:val="10"/>
          <w:sz w:val="20"/>
          <w:szCs w:val="20"/>
        </w:rPr>
        <w:t>区经济发展、构建和谐美好的社会环境，当地政府提前谋划，在《达州市高家坝城市组团控</w:t>
      </w:r>
      <w:r>
        <w:rPr>
          <w:rFonts w:ascii="宋体" w:hAnsi="宋体" w:eastAsia="宋体" w:cs="宋体"/>
          <w:sz w:val="20"/>
          <w:szCs w:val="20"/>
        </w:rPr>
        <w:t xml:space="preserve"> </w:t>
      </w:r>
      <w:r>
        <w:rPr>
          <w:rFonts w:ascii="宋体" w:hAnsi="宋体" w:eastAsia="宋体" w:cs="宋体"/>
          <w:spacing w:val="20"/>
          <w:sz w:val="20"/>
          <w:szCs w:val="20"/>
        </w:rPr>
        <w:t>制</w:t>
      </w:r>
      <w:r>
        <w:rPr>
          <w:rFonts w:ascii="宋体" w:hAnsi="宋体" w:eastAsia="宋体" w:cs="宋体"/>
          <w:spacing w:val="14"/>
          <w:sz w:val="20"/>
          <w:szCs w:val="20"/>
        </w:rPr>
        <w:t>性</w:t>
      </w:r>
      <w:r>
        <w:rPr>
          <w:rFonts w:ascii="宋体" w:hAnsi="宋体" w:eastAsia="宋体" w:cs="宋体"/>
          <w:spacing w:val="10"/>
          <w:sz w:val="20"/>
          <w:szCs w:val="20"/>
        </w:rPr>
        <w:t>详细规划》中规划了连通高家坝组团和张家坝组团的高家坝大桥，桥址位于包茂高速州河大</w:t>
      </w:r>
      <w:r>
        <w:rPr>
          <w:rFonts w:ascii="宋体" w:hAnsi="宋体" w:eastAsia="宋体" w:cs="宋体"/>
          <w:sz w:val="20"/>
          <w:szCs w:val="20"/>
        </w:rPr>
        <w:t xml:space="preserve"> </w:t>
      </w:r>
      <w:r>
        <w:rPr>
          <w:rFonts w:ascii="宋体" w:hAnsi="宋体" w:eastAsia="宋体" w:cs="宋体"/>
          <w:spacing w:val="9"/>
          <w:sz w:val="20"/>
          <w:szCs w:val="20"/>
        </w:rPr>
        <w:t>桥下游约</w:t>
      </w:r>
      <w:r>
        <w:rPr>
          <w:rFonts w:ascii="Times New Roman" w:hAnsi="Times New Roman" w:eastAsia="Times New Roman" w:cs="Times New Roman"/>
          <w:spacing w:val="9"/>
          <w:sz w:val="20"/>
          <w:szCs w:val="20"/>
        </w:rPr>
        <w:t>200</w:t>
      </w:r>
      <w:r>
        <w:rPr>
          <w:rFonts w:ascii="Times New Roman" w:hAnsi="Times New Roman" w:eastAsia="Times New Roman" w:cs="Times New Roman"/>
          <w:sz w:val="20"/>
          <w:szCs w:val="20"/>
        </w:rPr>
        <w:t>m</w:t>
      </w:r>
      <w:r>
        <w:rPr>
          <w:rFonts w:ascii="宋体" w:hAnsi="宋体" w:eastAsia="宋体" w:cs="宋体"/>
          <w:spacing w:val="9"/>
          <w:sz w:val="20"/>
          <w:szCs w:val="20"/>
        </w:rPr>
        <w:t>的位置。达州市</w:t>
      </w:r>
      <w:bookmarkStart w:id="32" w:name="_GoBack"/>
      <w:r>
        <w:rPr>
          <w:rFonts w:ascii="宋体" w:hAnsi="宋体" w:eastAsia="宋体" w:cs="宋体"/>
          <w:spacing w:val="9"/>
          <w:sz w:val="20"/>
          <w:szCs w:val="20"/>
        </w:rPr>
        <w:t>城乡</w:t>
      </w:r>
      <w:bookmarkEnd w:id="32"/>
      <w:r>
        <w:rPr>
          <w:rFonts w:ascii="宋体" w:hAnsi="宋体" w:eastAsia="宋体" w:cs="宋体"/>
          <w:spacing w:val="9"/>
          <w:sz w:val="20"/>
          <w:szCs w:val="20"/>
        </w:rPr>
        <w:t>规划委员会组织相关单位对达州市域内交通进行规划设计，</w:t>
      </w:r>
      <w:r>
        <w:rPr>
          <w:rFonts w:ascii="宋体" w:hAnsi="宋体" w:eastAsia="宋体" w:cs="宋体"/>
          <w:spacing w:val="1"/>
          <w:sz w:val="20"/>
          <w:szCs w:val="20"/>
        </w:rPr>
        <w:t>并</w:t>
      </w:r>
      <w:r>
        <w:rPr>
          <w:rFonts w:ascii="宋体" w:hAnsi="宋体" w:eastAsia="宋体" w:cs="宋体"/>
          <w:sz w:val="20"/>
          <w:szCs w:val="20"/>
        </w:rPr>
        <w:t xml:space="preserve"> </w:t>
      </w:r>
      <w:r>
        <w:rPr>
          <w:rFonts w:ascii="宋体" w:hAnsi="宋体" w:eastAsia="宋体" w:cs="宋体"/>
          <w:spacing w:val="18"/>
          <w:sz w:val="20"/>
          <w:szCs w:val="20"/>
        </w:rPr>
        <w:t>于</w:t>
      </w:r>
      <w:r>
        <w:rPr>
          <w:rFonts w:ascii="Times New Roman" w:hAnsi="Times New Roman" w:eastAsia="Times New Roman" w:cs="Times New Roman"/>
          <w:spacing w:val="12"/>
          <w:sz w:val="20"/>
          <w:szCs w:val="20"/>
        </w:rPr>
        <w:t>2</w:t>
      </w:r>
      <w:r>
        <w:rPr>
          <w:rFonts w:ascii="Times New Roman" w:hAnsi="Times New Roman" w:eastAsia="Times New Roman" w:cs="Times New Roman"/>
          <w:spacing w:val="9"/>
          <w:sz w:val="20"/>
          <w:szCs w:val="20"/>
        </w:rPr>
        <w:t>022</w:t>
      </w:r>
      <w:r>
        <w:rPr>
          <w:rFonts w:ascii="宋体" w:hAnsi="宋体" w:eastAsia="宋体" w:cs="宋体"/>
          <w:spacing w:val="9"/>
          <w:sz w:val="20"/>
          <w:szCs w:val="20"/>
        </w:rPr>
        <w:t>年</w:t>
      </w:r>
      <w:r>
        <w:rPr>
          <w:rFonts w:ascii="Times New Roman" w:hAnsi="Times New Roman" w:eastAsia="Times New Roman" w:cs="Times New Roman"/>
          <w:spacing w:val="9"/>
          <w:sz w:val="20"/>
          <w:szCs w:val="20"/>
        </w:rPr>
        <w:t>10</w:t>
      </w:r>
      <w:r>
        <w:rPr>
          <w:rFonts w:ascii="宋体" w:hAnsi="宋体" w:eastAsia="宋体" w:cs="宋体"/>
          <w:spacing w:val="9"/>
          <w:sz w:val="20"/>
          <w:szCs w:val="20"/>
        </w:rPr>
        <w:t>月</w:t>
      </w:r>
      <w:r>
        <w:rPr>
          <w:rFonts w:ascii="Times New Roman" w:hAnsi="Times New Roman" w:eastAsia="Times New Roman" w:cs="Times New Roman"/>
          <w:spacing w:val="9"/>
          <w:sz w:val="20"/>
          <w:szCs w:val="20"/>
        </w:rPr>
        <w:t>26</w:t>
      </w:r>
      <w:r>
        <w:rPr>
          <w:rFonts w:ascii="宋体" w:hAnsi="宋体" w:eastAsia="宋体" w:cs="宋体"/>
          <w:spacing w:val="9"/>
          <w:sz w:val="20"/>
          <w:szCs w:val="20"/>
        </w:rPr>
        <w:t>日在达州市国土空间规划委员会第</w:t>
      </w:r>
      <w:r>
        <w:rPr>
          <w:rFonts w:ascii="Times New Roman" w:hAnsi="Times New Roman" w:eastAsia="Times New Roman" w:cs="Times New Roman"/>
          <w:spacing w:val="9"/>
          <w:sz w:val="20"/>
          <w:szCs w:val="20"/>
        </w:rPr>
        <w:t>10</w:t>
      </w:r>
      <w:r>
        <w:rPr>
          <w:rFonts w:ascii="宋体" w:hAnsi="宋体" w:eastAsia="宋体" w:cs="宋体"/>
          <w:spacing w:val="9"/>
          <w:sz w:val="20"/>
          <w:szCs w:val="20"/>
        </w:rPr>
        <w:t>次常务会会议中通过达州高家坝大桥的设计</w:t>
      </w:r>
      <w:r>
        <w:rPr>
          <w:rFonts w:ascii="宋体" w:hAnsi="宋体" w:eastAsia="宋体" w:cs="宋体"/>
          <w:sz w:val="20"/>
          <w:szCs w:val="20"/>
        </w:rPr>
        <w:t xml:space="preserve"> </w:t>
      </w:r>
      <w:r>
        <w:rPr>
          <w:rFonts w:ascii="宋体" w:hAnsi="宋体" w:eastAsia="宋体" w:cs="宋体"/>
          <w:spacing w:val="5"/>
          <w:sz w:val="20"/>
          <w:szCs w:val="20"/>
        </w:rPr>
        <w:t>方</w:t>
      </w:r>
      <w:r>
        <w:rPr>
          <w:rFonts w:ascii="宋体" w:hAnsi="宋体" w:eastAsia="宋体" w:cs="宋体"/>
          <w:spacing w:val="3"/>
          <w:sz w:val="20"/>
          <w:szCs w:val="20"/>
        </w:rPr>
        <w:t>案。</w:t>
      </w:r>
    </w:p>
    <w:p>
      <w:pPr>
        <w:spacing w:before="1" w:line="369" w:lineRule="auto"/>
        <w:ind w:left="1" w:right="51" w:firstLine="420"/>
        <w:rPr>
          <w:rFonts w:ascii="宋体" w:hAnsi="宋体" w:eastAsia="宋体" w:cs="宋体"/>
          <w:sz w:val="20"/>
          <w:szCs w:val="20"/>
        </w:rPr>
      </w:pPr>
      <w:r>
        <w:rPr>
          <w:rFonts w:ascii="宋体" w:hAnsi="宋体" w:eastAsia="宋体" w:cs="宋体"/>
          <w:spacing w:val="20"/>
          <w:sz w:val="20"/>
          <w:szCs w:val="20"/>
        </w:rPr>
        <w:t>根</w:t>
      </w:r>
      <w:r>
        <w:rPr>
          <w:rFonts w:ascii="宋体" w:hAnsi="宋体" w:eastAsia="宋体" w:cs="宋体"/>
          <w:spacing w:val="13"/>
          <w:sz w:val="20"/>
          <w:szCs w:val="20"/>
        </w:rPr>
        <w:t>据</w:t>
      </w:r>
      <w:r>
        <w:rPr>
          <w:rFonts w:ascii="宋体" w:hAnsi="宋体" w:eastAsia="宋体" w:cs="宋体"/>
          <w:spacing w:val="10"/>
          <w:sz w:val="20"/>
          <w:szCs w:val="20"/>
        </w:rPr>
        <w:t>《达州市高家坝大桥建设项目初步设计》，拟建高家坝大桥位于北城滨江新区，西接高</w:t>
      </w:r>
      <w:r>
        <w:rPr>
          <w:rFonts w:ascii="宋体" w:hAnsi="宋体" w:eastAsia="宋体" w:cs="宋体"/>
          <w:sz w:val="20"/>
          <w:szCs w:val="20"/>
        </w:rPr>
        <w:t xml:space="preserve"> </w:t>
      </w:r>
      <w:r>
        <w:rPr>
          <w:rFonts w:ascii="宋体" w:hAnsi="宋体" w:eastAsia="宋体" w:cs="宋体"/>
          <w:spacing w:val="14"/>
          <w:sz w:val="20"/>
          <w:szCs w:val="20"/>
        </w:rPr>
        <w:t>家坝</w:t>
      </w:r>
      <w:r>
        <w:rPr>
          <w:rFonts w:ascii="宋体" w:hAnsi="宋体" w:eastAsia="宋体" w:cs="宋体"/>
          <w:spacing w:val="8"/>
          <w:sz w:val="20"/>
          <w:szCs w:val="20"/>
        </w:rPr>
        <w:t>片</w:t>
      </w:r>
      <w:r>
        <w:rPr>
          <w:rFonts w:ascii="宋体" w:hAnsi="宋体" w:eastAsia="宋体" w:cs="宋体"/>
          <w:spacing w:val="7"/>
          <w:sz w:val="20"/>
          <w:szCs w:val="20"/>
        </w:rPr>
        <w:t>区滨江次干路，向东跨州河接张家坝现状南北主干道 (犀牛大道) 交叉口，桥梁全长约</w:t>
      </w:r>
      <w:r>
        <w:rPr>
          <w:rFonts w:ascii="Times New Roman" w:hAnsi="Times New Roman" w:eastAsia="Times New Roman" w:cs="Times New Roman"/>
          <w:spacing w:val="7"/>
          <w:sz w:val="20"/>
          <w:szCs w:val="20"/>
        </w:rPr>
        <w:t>240</w:t>
      </w:r>
      <w:r>
        <w:rPr>
          <w:rFonts w:ascii="Times New Roman" w:hAnsi="Times New Roman" w:eastAsia="Times New Roman" w:cs="Times New Roman"/>
          <w:sz w:val="20"/>
          <w:szCs w:val="20"/>
        </w:rPr>
        <w:t xml:space="preserve"> </w:t>
      </w:r>
      <w:r>
        <w:rPr>
          <w:rFonts w:ascii="宋体" w:hAnsi="宋体" w:eastAsia="宋体" w:cs="宋体"/>
          <w:spacing w:val="15"/>
          <w:sz w:val="20"/>
          <w:szCs w:val="20"/>
        </w:rPr>
        <w:t>米</w:t>
      </w:r>
      <w:r>
        <w:rPr>
          <w:rFonts w:ascii="宋体" w:hAnsi="宋体" w:eastAsia="宋体" w:cs="宋体"/>
          <w:spacing w:val="9"/>
          <w:sz w:val="20"/>
          <w:szCs w:val="20"/>
        </w:rPr>
        <w:t>。道路等级为城市次干道，双向六车道，设计速度</w:t>
      </w:r>
      <w:r>
        <w:rPr>
          <w:rFonts w:ascii="Times New Roman" w:hAnsi="Times New Roman" w:eastAsia="Times New Roman" w:cs="Times New Roman"/>
          <w:spacing w:val="9"/>
          <w:sz w:val="20"/>
          <w:szCs w:val="20"/>
        </w:rPr>
        <w:t>40</w:t>
      </w:r>
      <w:r>
        <w:rPr>
          <w:rFonts w:ascii="Times New Roman" w:hAnsi="Times New Roman" w:eastAsia="Times New Roman" w:cs="Times New Roman"/>
          <w:sz w:val="20"/>
          <w:szCs w:val="20"/>
        </w:rPr>
        <w:t>km</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h</w:t>
      </w:r>
      <w:r>
        <w:rPr>
          <w:rFonts w:ascii="宋体" w:hAnsi="宋体" w:eastAsia="宋体" w:cs="宋体"/>
          <w:spacing w:val="9"/>
          <w:sz w:val="20"/>
          <w:szCs w:val="20"/>
        </w:rPr>
        <w:t>。</w:t>
      </w:r>
    </w:p>
    <w:p>
      <w:pPr>
        <w:spacing w:before="8" w:line="369" w:lineRule="auto"/>
        <w:ind w:firstLine="421"/>
        <w:rPr>
          <w:rFonts w:ascii="宋体" w:hAnsi="宋体" w:eastAsia="宋体" w:cs="宋体"/>
          <w:sz w:val="20"/>
          <w:szCs w:val="20"/>
        </w:rPr>
      </w:pPr>
      <w:r>
        <w:rPr>
          <w:rFonts w:ascii="宋体" w:hAnsi="宋体" w:eastAsia="宋体" w:cs="宋体"/>
          <w:spacing w:val="20"/>
          <w:sz w:val="20"/>
          <w:szCs w:val="20"/>
        </w:rPr>
        <w:t>本</w:t>
      </w:r>
      <w:r>
        <w:rPr>
          <w:rFonts w:ascii="宋体" w:hAnsi="宋体" w:eastAsia="宋体" w:cs="宋体"/>
          <w:spacing w:val="12"/>
          <w:sz w:val="20"/>
          <w:szCs w:val="20"/>
        </w:rPr>
        <w:t>项</w:t>
      </w:r>
      <w:r>
        <w:rPr>
          <w:rFonts w:ascii="宋体" w:hAnsi="宋体" w:eastAsia="宋体" w:cs="宋体"/>
          <w:spacing w:val="10"/>
          <w:sz w:val="20"/>
          <w:szCs w:val="20"/>
        </w:rPr>
        <w:t>目建成后，将大大缓解张家坝大桥交通压力；进一步增强高家坝城市组团和张家坝城市</w:t>
      </w:r>
      <w:r>
        <w:rPr>
          <w:rFonts w:ascii="宋体" w:hAnsi="宋体" w:eastAsia="宋体" w:cs="宋体"/>
          <w:sz w:val="20"/>
          <w:szCs w:val="20"/>
        </w:rPr>
        <w:t xml:space="preserve"> </w:t>
      </w:r>
      <w:r>
        <w:rPr>
          <w:rFonts w:ascii="宋体" w:hAnsi="宋体" w:eastAsia="宋体" w:cs="宋体"/>
          <w:spacing w:val="20"/>
          <w:sz w:val="20"/>
          <w:szCs w:val="20"/>
        </w:rPr>
        <w:t>组</w:t>
      </w:r>
      <w:r>
        <w:rPr>
          <w:rFonts w:ascii="宋体" w:hAnsi="宋体" w:eastAsia="宋体" w:cs="宋体"/>
          <w:spacing w:val="14"/>
          <w:sz w:val="20"/>
          <w:szCs w:val="20"/>
        </w:rPr>
        <w:t>团</w:t>
      </w:r>
      <w:r>
        <w:rPr>
          <w:rFonts w:ascii="宋体" w:hAnsi="宋体" w:eastAsia="宋体" w:cs="宋体"/>
          <w:spacing w:val="10"/>
          <w:sz w:val="20"/>
          <w:szCs w:val="20"/>
        </w:rPr>
        <w:t>的区域联系。是城北片区区域路网的重要补充，同时也是主要干道相互联系、集散的重要通</w:t>
      </w:r>
      <w:r>
        <w:rPr>
          <w:rFonts w:ascii="宋体" w:hAnsi="宋体" w:eastAsia="宋体" w:cs="宋体"/>
          <w:sz w:val="20"/>
          <w:szCs w:val="20"/>
        </w:rPr>
        <w:t xml:space="preserve"> </w:t>
      </w:r>
      <w:r>
        <w:rPr>
          <w:rFonts w:ascii="宋体" w:hAnsi="宋体" w:eastAsia="宋体" w:cs="宋体"/>
          <w:spacing w:val="20"/>
          <w:sz w:val="20"/>
          <w:szCs w:val="20"/>
        </w:rPr>
        <w:t>道</w:t>
      </w:r>
      <w:r>
        <w:rPr>
          <w:rFonts w:ascii="宋体" w:hAnsi="宋体" w:eastAsia="宋体" w:cs="宋体"/>
          <w:spacing w:val="14"/>
          <w:sz w:val="20"/>
          <w:szCs w:val="20"/>
        </w:rPr>
        <w:t>，</w:t>
      </w:r>
      <w:r>
        <w:rPr>
          <w:rFonts w:ascii="宋体" w:hAnsi="宋体" w:eastAsia="宋体" w:cs="宋体"/>
          <w:spacing w:val="10"/>
          <w:sz w:val="20"/>
          <w:szCs w:val="20"/>
        </w:rPr>
        <w:t>是完善城北片区区域路网、改善区域对外交通环境的需要。高家坝大桥项目的建设可使区域</w:t>
      </w:r>
      <w:r>
        <w:rPr>
          <w:rFonts w:ascii="宋体" w:hAnsi="宋体" w:eastAsia="宋体" w:cs="宋体"/>
          <w:sz w:val="20"/>
          <w:szCs w:val="20"/>
        </w:rPr>
        <w:t xml:space="preserve"> </w:t>
      </w:r>
      <w:r>
        <w:rPr>
          <w:rFonts w:ascii="宋体" w:hAnsi="宋体" w:eastAsia="宋体" w:cs="宋体"/>
          <w:spacing w:val="12"/>
          <w:sz w:val="20"/>
          <w:szCs w:val="20"/>
        </w:rPr>
        <w:t>内资源得以</w:t>
      </w:r>
      <w:r>
        <w:rPr>
          <w:rFonts w:ascii="宋体" w:hAnsi="宋体" w:eastAsia="宋体" w:cs="宋体"/>
          <w:spacing w:val="6"/>
          <w:sz w:val="20"/>
          <w:szCs w:val="20"/>
        </w:rPr>
        <w:t>更加充分地利用和开发，能有效改善高家坝城市组团和张家坝城市组团交通联络问题，</w:t>
      </w:r>
      <w:r>
        <w:rPr>
          <w:rFonts w:ascii="宋体" w:hAnsi="宋体" w:eastAsia="宋体" w:cs="宋体"/>
          <w:sz w:val="20"/>
          <w:szCs w:val="20"/>
        </w:rPr>
        <w:t xml:space="preserve"> </w:t>
      </w:r>
      <w:r>
        <w:rPr>
          <w:rFonts w:ascii="宋体" w:hAnsi="宋体" w:eastAsia="宋体" w:cs="宋体"/>
          <w:spacing w:val="20"/>
          <w:sz w:val="20"/>
          <w:szCs w:val="20"/>
        </w:rPr>
        <w:t>并</w:t>
      </w:r>
      <w:r>
        <w:rPr>
          <w:rFonts w:ascii="宋体" w:hAnsi="宋体" w:eastAsia="宋体" w:cs="宋体"/>
          <w:spacing w:val="14"/>
          <w:sz w:val="20"/>
          <w:szCs w:val="20"/>
        </w:rPr>
        <w:t>可</w:t>
      </w:r>
      <w:r>
        <w:rPr>
          <w:rFonts w:ascii="宋体" w:hAnsi="宋体" w:eastAsia="宋体" w:cs="宋体"/>
          <w:spacing w:val="10"/>
          <w:sz w:val="20"/>
          <w:szCs w:val="20"/>
        </w:rPr>
        <w:t>大大提高滨河生态休闲景观带的服务水平和服务功能；可以提高该区域土地利用等级，进一</w:t>
      </w:r>
      <w:r>
        <w:rPr>
          <w:rFonts w:ascii="宋体" w:hAnsi="宋体" w:eastAsia="宋体" w:cs="宋体"/>
          <w:sz w:val="20"/>
          <w:szCs w:val="20"/>
        </w:rPr>
        <w:t xml:space="preserve"> </w:t>
      </w:r>
      <w:r>
        <w:rPr>
          <w:rFonts w:ascii="宋体" w:hAnsi="宋体" w:eastAsia="宋体" w:cs="宋体"/>
          <w:spacing w:val="20"/>
          <w:sz w:val="20"/>
          <w:szCs w:val="20"/>
        </w:rPr>
        <w:t>步</w:t>
      </w:r>
      <w:r>
        <w:rPr>
          <w:rFonts w:ascii="宋体" w:hAnsi="宋体" w:eastAsia="宋体" w:cs="宋体"/>
          <w:spacing w:val="14"/>
          <w:sz w:val="20"/>
          <w:szCs w:val="20"/>
        </w:rPr>
        <w:t>提</w:t>
      </w:r>
      <w:r>
        <w:rPr>
          <w:rFonts w:ascii="宋体" w:hAnsi="宋体" w:eastAsia="宋体" w:cs="宋体"/>
          <w:spacing w:val="10"/>
          <w:sz w:val="20"/>
          <w:szCs w:val="20"/>
        </w:rPr>
        <w:t>升土地的开发价值，为土地资源带来巨大的增值效益；对该地区社会经济发展创造了更好的</w:t>
      </w:r>
      <w:r>
        <w:rPr>
          <w:rFonts w:ascii="宋体" w:hAnsi="宋体" w:eastAsia="宋体" w:cs="宋体"/>
          <w:sz w:val="20"/>
          <w:szCs w:val="20"/>
        </w:rPr>
        <w:t xml:space="preserve"> </w:t>
      </w:r>
      <w:r>
        <w:rPr>
          <w:rFonts w:ascii="宋体" w:hAnsi="宋体" w:eastAsia="宋体" w:cs="宋体"/>
          <w:spacing w:val="20"/>
          <w:sz w:val="20"/>
          <w:szCs w:val="20"/>
        </w:rPr>
        <w:t>基</w:t>
      </w:r>
      <w:r>
        <w:rPr>
          <w:rFonts w:ascii="宋体" w:hAnsi="宋体" w:eastAsia="宋体" w:cs="宋体"/>
          <w:spacing w:val="14"/>
          <w:sz w:val="20"/>
          <w:szCs w:val="20"/>
        </w:rPr>
        <w:t>础</w:t>
      </w:r>
      <w:r>
        <w:rPr>
          <w:rFonts w:ascii="宋体" w:hAnsi="宋体" w:eastAsia="宋体" w:cs="宋体"/>
          <w:spacing w:val="10"/>
          <w:sz w:val="20"/>
          <w:szCs w:val="20"/>
        </w:rPr>
        <w:t>设施条件，给沿线区域带来新的发展机遇和更大的社会经济效益。综上所述，本项目对达州</w:t>
      </w:r>
      <w:r>
        <w:rPr>
          <w:rFonts w:ascii="宋体" w:hAnsi="宋体" w:eastAsia="宋体" w:cs="宋体"/>
          <w:sz w:val="20"/>
          <w:szCs w:val="20"/>
        </w:rPr>
        <w:t xml:space="preserve"> </w:t>
      </w:r>
      <w:r>
        <w:rPr>
          <w:rFonts w:ascii="宋体" w:hAnsi="宋体" w:eastAsia="宋体" w:cs="宋体"/>
          <w:spacing w:val="18"/>
          <w:sz w:val="20"/>
          <w:szCs w:val="20"/>
        </w:rPr>
        <w:t>市通</w:t>
      </w:r>
      <w:r>
        <w:rPr>
          <w:rFonts w:ascii="宋体" w:hAnsi="宋体" w:eastAsia="宋体" w:cs="宋体"/>
          <w:spacing w:val="12"/>
          <w:sz w:val="20"/>
          <w:szCs w:val="20"/>
        </w:rPr>
        <w:t>川</w:t>
      </w:r>
      <w:r>
        <w:rPr>
          <w:rFonts w:ascii="宋体" w:hAnsi="宋体" w:eastAsia="宋体" w:cs="宋体"/>
          <w:spacing w:val="9"/>
          <w:sz w:val="20"/>
          <w:szCs w:val="20"/>
        </w:rPr>
        <w:t>区的经济发展有很大的促进作用，同时项目产生的国民经济效益也是巨大和持久的。</w:t>
      </w:r>
    </w:p>
    <w:p>
      <w:pPr>
        <w:spacing w:before="1" w:line="228" w:lineRule="auto"/>
        <w:ind w:left="21"/>
        <w:outlineLvl w:val="2"/>
        <w:rPr>
          <w:rFonts w:ascii="黑体" w:hAnsi="黑体" w:eastAsia="黑体" w:cs="黑体"/>
          <w:sz w:val="23"/>
          <w:szCs w:val="23"/>
        </w:rPr>
      </w:pPr>
      <w:bookmarkStart w:id="9" w:name="_bookmark10"/>
      <w:bookmarkEnd w:id="9"/>
      <w:r>
        <w:rPr>
          <w:rFonts w:ascii="Times New Roman" w:hAnsi="Times New Roman" w:eastAsia="Times New Roman" w:cs="Times New Roman"/>
          <w:spacing w:val="5"/>
          <w:sz w:val="23"/>
          <w:szCs w:val="23"/>
        </w:rPr>
        <w:t>1</w:t>
      </w:r>
      <w:r>
        <w:rPr>
          <w:rFonts w:ascii="Times New Roman" w:hAnsi="Times New Roman" w:eastAsia="Times New Roman" w:cs="Times New Roman"/>
          <w:spacing w:val="3"/>
          <w:sz w:val="23"/>
          <w:szCs w:val="23"/>
        </w:rPr>
        <w:t xml:space="preserve">.2  </w:t>
      </w:r>
      <w:r>
        <w:rPr>
          <w:rFonts w:ascii="黑体" w:hAnsi="黑体" w:eastAsia="黑体" w:cs="黑体"/>
          <w:spacing w:val="3"/>
          <w:sz w:val="23"/>
          <w:szCs w:val="23"/>
        </w:rPr>
        <w:t>编制依据</w:t>
      </w:r>
    </w:p>
    <w:p>
      <w:pPr>
        <w:spacing w:before="140" w:line="222" w:lineRule="auto"/>
        <w:ind w:left="19"/>
        <w:outlineLvl w:val="3"/>
        <w:rPr>
          <w:rFonts w:ascii="黑体" w:hAnsi="黑体" w:eastAsia="黑体" w:cs="黑体"/>
          <w:sz w:val="22"/>
          <w:szCs w:val="22"/>
        </w:rPr>
      </w:pPr>
      <w:r>
        <w:rPr>
          <w:rFonts w:ascii="Times New Roman" w:hAnsi="Times New Roman" w:eastAsia="Times New Roman" w:cs="Times New Roman"/>
          <w:spacing w:val="-8"/>
          <w:sz w:val="22"/>
          <w:szCs w:val="22"/>
        </w:rPr>
        <w:t>1.</w:t>
      </w:r>
      <w:r>
        <w:rPr>
          <w:rFonts w:ascii="Times New Roman" w:hAnsi="Times New Roman" w:eastAsia="Times New Roman" w:cs="Times New Roman"/>
          <w:spacing w:val="-4"/>
          <w:sz w:val="22"/>
          <w:szCs w:val="22"/>
        </w:rPr>
        <w:t xml:space="preserve">2. 1    </w:t>
      </w:r>
      <w:r>
        <w:rPr>
          <w:rFonts w:ascii="黑体" w:hAnsi="黑体" w:eastAsia="黑体" w:cs="黑体"/>
          <w:spacing w:val="-4"/>
          <w:sz w:val="22"/>
          <w:szCs w:val="22"/>
        </w:rPr>
        <w:t>国家相关法律法规</w:t>
      </w:r>
    </w:p>
    <w:p>
      <w:pPr>
        <w:spacing w:before="143" w:line="228" w:lineRule="auto"/>
        <w:ind w:left="431"/>
        <w:rPr>
          <w:rFonts w:ascii="Times New Roman" w:hAnsi="Times New Roman" w:eastAsia="Times New Roman" w:cs="Times New Roman"/>
          <w:sz w:val="20"/>
          <w:szCs w:val="20"/>
        </w:rPr>
      </w:pPr>
      <w:r>
        <w:rPr>
          <w:rFonts w:ascii="宋体" w:hAnsi="宋体" w:eastAsia="宋体" w:cs="宋体"/>
          <w:spacing w:val="8"/>
          <w:sz w:val="20"/>
          <w:szCs w:val="20"/>
        </w:rPr>
        <w:t>(</w:t>
      </w:r>
      <w:r>
        <w:rPr>
          <w:rFonts w:ascii="Times New Roman" w:hAnsi="Times New Roman" w:eastAsia="Times New Roman" w:cs="Times New Roman"/>
          <w:spacing w:val="7"/>
          <w:sz w:val="20"/>
          <w:szCs w:val="20"/>
        </w:rPr>
        <w:t>1</w:t>
      </w:r>
      <w:r>
        <w:rPr>
          <w:rFonts w:ascii="宋体" w:hAnsi="宋体" w:eastAsia="宋体" w:cs="宋体"/>
          <w:spacing w:val="4"/>
          <w:sz w:val="20"/>
          <w:szCs w:val="20"/>
        </w:rPr>
        <w:t>)  《中华人民共和国环境保护法 (修订) 》，</w:t>
      </w:r>
      <w:r>
        <w:rPr>
          <w:rFonts w:ascii="Times New Roman" w:hAnsi="Times New Roman" w:eastAsia="Times New Roman" w:cs="Times New Roman"/>
          <w:spacing w:val="4"/>
          <w:sz w:val="20"/>
          <w:szCs w:val="20"/>
        </w:rPr>
        <w:t>2015. 1. 1</w:t>
      </w:r>
    </w:p>
    <w:p>
      <w:pPr>
        <w:spacing w:before="154" w:line="226" w:lineRule="auto"/>
        <w:ind w:left="431"/>
        <w:rPr>
          <w:rFonts w:ascii="Times New Roman" w:hAnsi="Times New Roman" w:eastAsia="Times New Roman" w:cs="Times New Roman"/>
          <w:sz w:val="20"/>
          <w:szCs w:val="20"/>
        </w:rPr>
      </w:pPr>
      <w:r>
        <w:rPr>
          <w:rFonts w:ascii="宋体" w:hAnsi="宋体" w:eastAsia="宋体" w:cs="宋体"/>
          <w:spacing w:val="10"/>
          <w:sz w:val="20"/>
          <w:szCs w:val="20"/>
        </w:rPr>
        <w:t>(</w:t>
      </w:r>
      <w:r>
        <w:rPr>
          <w:rFonts w:ascii="Times New Roman" w:hAnsi="Times New Roman" w:eastAsia="Times New Roman" w:cs="Times New Roman"/>
          <w:spacing w:val="10"/>
          <w:sz w:val="20"/>
          <w:szCs w:val="20"/>
        </w:rPr>
        <w:t>2</w:t>
      </w:r>
      <w:r>
        <w:rPr>
          <w:rFonts w:ascii="宋体" w:hAnsi="宋体" w:eastAsia="宋体" w:cs="宋体"/>
          <w:spacing w:val="10"/>
          <w:sz w:val="20"/>
          <w:szCs w:val="20"/>
        </w:rPr>
        <w:t>)</w:t>
      </w:r>
      <w:r>
        <w:rPr>
          <w:rFonts w:ascii="宋体" w:hAnsi="宋体" w:eastAsia="宋体" w:cs="宋体"/>
          <w:spacing w:val="5"/>
          <w:sz w:val="20"/>
          <w:szCs w:val="20"/>
        </w:rPr>
        <w:t xml:space="preserve">  《中华人民共和国环境影响评价法 (修订) 》，</w:t>
      </w:r>
      <w:r>
        <w:rPr>
          <w:rFonts w:ascii="Times New Roman" w:hAnsi="Times New Roman" w:eastAsia="Times New Roman" w:cs="Times New Roman"/>
          <w:spacing w:val="5"/>
          <w:sz w:val="20"/>
          <w:szCs w:val="20"/>
        </w:rPr>
        <w:t>2018. 12.29</w:t>
      </w:r>
    </w:p>
    <w:p>
      <w:pPr>
        <w:spacing w:before="153" w:line="228" w:lineRule="auto"/>
        <w:ind w:left="431"/>
        <w:rPr>
          <w:rFonts w:ascii="Times New Roman" w:hAnsi="Times New Roman" w:eastAsia="Times New Roman" w:cs="Times New Roman"/>
          <w:sz w:val="20"/>
          <w:szCs w:val="20"/>
        </w:rPr>
      </w:pPr>
      <w:r>
        <w:rPr>
          <w:rFonts w:ascii="宋体" w:hAnsi="宋体" w:eastAsia="宋体" w:cs="宋体"/>
          <w:spacing w:val="10"/>
          <w:sz w:val="20"/>
          <w:szCs w:val="20"/>
        </w:rPr>
        <w:t>(</w:t>
      </w:r>
      <w:r>
        <w:rPr>
          <w:rFonts w:ascii="Times New Roman" w:hAnsi="Times New Roman" w:eastAsia="Times New Roman" w:cs="Times New Roman"/>
          <w:spacing w:val="10"/>
          <w:sz w:val="20"/>
          <w:szCs w:val="20"/>
        </w:rPr>
        <w:t>3</w:t>
      </w:r>
      <w:r>
        <w:rPr>
          <w:rFonts w:ascii="宋体" w:hAnsi="宋体" w:eastAsia="宋体" w:cs="宋体"/>
          <w:spacing w:val="10"/>
          <w:sz w:val="20"/>
          <w:szCs w:val="20"/>
        </w:rPr>
        <w:t xml:space="preserve">)  </w:t>
      </w:r>
      <w:r>
        <w:rPr>
          <w:rFonts w:ascii="宋体" w:hAnsi="宋体" w:eastAsia="宋体" w:cs="宋体"/>
          <w:spacing w:val="5"/>
          <w:sz w:val="20"/>
          <w:szCs w:val="20"/>
        </w:rPr>
        <w:t>《中华人民共和国环境噪声污染防治法 (修订) 》，</w:t>
      </w:r>
      <w:r>
        <w:rPr>
          <w:rFonts w:ascii="Times New Roman" w:hAnsi="Times New Roman" w:eastAsia="Times New Roman" w:cs="Times New Roman"/>
          <w:spacing w:val="5"/>
          <w:sz w:val="20"/>
          <w:szCs w:val="20"/>
        </w:rPr>
        <w:t>2018. 12.29</w:t>
      </w:r>
    </w:p>
    <w:p>
      <w:pPr>
        <w:sectPr>
          <w:footerReference r:id="rId105" w:type="default"/>
          <w:pgSz w:w="11906" w:h="16839"/>
          <w:pgMar w:top="400" w:right="1478" w:bottom="1027" w:left="1537" w:header="0" w:footer="840" w:gutter="0"/>
          <w:cols w:space="720" w:num="1"/>
        </w:sect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65" w:line="228" w:lineRule="auto"/>
        <w:ind w:left="433"/>
        <w:rPr>
          <w:rFonts w:ascii="Times New Roman" w:hAnsi="Times New Roman" w:eastAsia="Times New Roman" w:cs="Times New Roman"/>
          <w:sz w:val="20"/>
          <w:szCs w:val="20"/>
        </w:rPr>
      </w:pPr>
      <w:r>
        <w:rPr>
          <w:rFonts w:ascii="宋体" w:hAnsi="宋体" w:eastAsia="宋体" w:cs="宋体"/>
          <w:spacing w:val="8"/>
          <w:sz w:val="20"/>
          <w:szCs w:val="20"/>
        </w:rPr>
        <w:t>(</w:t>
      </w:r>
      <w:r>
        <w:rPr>
          <w:rFonts w:ascii="Times New Roman" w:hAnsi="Times New Roman" w:eastAsia="Times New Roman" w:cs="Times New Roman"/>
          <w:spacing w:val="8"/>
          <w:sz w:val="20"/>
          <w:szCs w:val="20"/>
        </w:rPr>
        <w:t>4</w:t>
      </w:r>
      <w:r>
        <w:rPr>
          <w:rFonts w:ascii="宋体" w:hAnsi="宋体" w:eastAsia="宋体" w:cs="宋体"/>
          <w:spacing w:val="8"/>
          <w:sz w:val="20"/>
          <w:szCs w:val="20"/>
        </w:rPr>
        <w:t>)  《</w:t>
      </w:r>
      <w:r>
        <w:rPr>
          <w:rFonts w:ascii="宋体" w:hAnsi="宋体" w:eastAsia="宋体" w:cs="宋体"/>
          <w:spacing w:val="4"/>
          <w:sz w:val="20"/>
          <w:szCs w:val="20"/>
        </w:rPr>
        <w:t>中华人民共和国公路法 (修订) 》，</w:t>
      </w:r>
      <w:r>
        <w:rPr>
          <w:rFonts w:ascii="Times New Roman" w:hAnsi="Times New Roman" w:eastAsia="Times New Roman" w:cs="Times New Roman"/>
          <w:spacing w:val="4"/>
          <w:sz w:val="20"/>
          <w:szCs w:val="20"/>
        </w:rPr>
        <w:t>2017. 11.4</w:t>
      </w:r>
    </w:p>
    <w:p>
      <w:pPr>
        <w:spacing w:before="144" w:line="222" w:lineRule="auto"/>
        <w:ind w:left="21"/>
        <w:outlineLvl w:val="3"/>
        <w:rPr>
          <w:rFonts w:ascii="黑体" w:hAnsi="黑体" w:eastAsia="黑体" w:cs="黑体"/>
          <w:sz w:val="22"/>
          <w:szCs w:val="22"/>
        </w:rPr>
      </w:pPr>
      <w:r>
        <w:rPr>
          <w:rFonts w:ascii="Times New Roman" w:hAnsi="Times New Roman" w:eastAsia="Times New Roman" w:cs="Times New Roman"/>
          <w:spacing w:val="-2"/>
          <w:sz w:val="22"/>
          <w:szCs w:val="22"/>
        </w:rPr>
        <w:t xml:space="preserve">1.2.2 </w:t>
      </w:r>
      <w:r>
        <w:rPr>
          <w:rFonts w:ascii="Times New Roman" w:hAnsi="Times New Roman" w:eastAsia="Times New Roman" w:cs="Times New Roman"/>
          <w:spacing w:val="-1"/>
          <w:sz w:val="22"/>
          <w:szCs w:val="22"/>
        </w:rPr>
        <w:t xml:space="preserve">   </w:t>
      </w:r>
      <w:r>
        <w:rPr>
          <w:rFonts w:ascii="黑体" w:hAnsi="黑体" w:eastAsia="黑体" w:cs="黑体"/>
          <w:spacing w:val="-1"/>
          <w:sz w:val="22"/>
          <w:szCs w:val="22"/>
        </w:rPr>
        <w:t>部门规章及规范性文件</w:t>
      </w:r>
    </w:p>
    <w:p>
      <w:pPr>
        <w:spacing w:before="143" w:line="226" w:lineRule="auto"/>
        <w:ind w:left="433"/>
        <w:rPr>
          <w:rFonts w:ascii="Times New Roman" w:hAnsi="Times New Roman" w:eastAsia="Times New Roman" w:cs="Times New Roman"/>
          <w:sz w:val="20"/>
          <w:szCs w:val="20"/>
        </w:rPr>
      </w:pPr>
      <w:r>
        <w:rPr>
          <w:rFonts w:ascii="宋体" w:hAnsi="宋体" w:eastAsia="宋体" w:cs="宋体"/>
          <w:spacing w:val="8"/>
          <w:sz w:val="20"/>
          <w:szCs w:val="20"/>
        </w:rPr>
        <w:t>(</w:t>
      </w:r>
      <w:r>
        <w:rPr>
          <w:rFonts w:ascii="Times New Roman" w:hAnsi="Times New Roman" w:eastAsia="Times New Roman" w:cs="Times New Roman"/>
          <w:spacing w:val="8"/>
          <w:sz w:val="20"/>
          <w:szCs w:val="20"/>
        </w:rPr>
        <w:t>1</w:t>
      </w:r>
      <w:r>
        <w:rPr>
          <w:rFonts w:ascii="宋体" w:hAnsi="宋体" w:eastAsia="宋体" w:cs="宋体"/>
          <w:spacing w:val="8"/>
          <w:sz w:val="20"/>
          <w:szCs w:val="20"/>
        </w:rPr>
        <w:t>)  《建设</w:t>
      </w:r>
      <w:r>
        <w:rPr>
          <w:rFonts w:ascii="宋体" w:hAnsi="宋体" w:eastAsia="宋体" w:cs="宋体"/>
          <w:spacing w:val="4"/>
          <w:sz w:val="20"/>
          <w:szCs w:val="20"/>
        </w:rPr>
        <w:t>项目环境影响评价分类管理名录 (</w:t>
      </w:r>
      <w:r>
        <w:rPr>
          <w:rFonts w:ascii="Times New Roman" w:hAnsi="Times New Roman" w:eastAsia="Times New Roman" w:cs="Times New Roman"/>
          <w:spacing w:val="4"/>
          <w:sz w:val="20"/>
          <w:szCs w:val="20"/>
        </w:rPr>
        <w:t xml:space="preserve">2021 </w:t>
      </w:r>
      <w:r>
        <w:rPr>
          <w:rFonts w:ascii="宋体" w:hAnsi="宋体" w:eastAsia="宋体" w:cs="宋体"/>
          <w:spacing w:val="4"/>
          <w:sz w:val="20"/>
          <w:szCs w:val="20"/>
        </w:rPr>
        <w:t>年版) 》，</w:t>
      </w:r>
      <w:r>
        <w:rPr>
          <w:rFonts w:ascii="Times New Roman" w:hAnsi="Times New Roman" w:eastAsia="Times New Roman" w:cs="Times New Roman"/>
          <w:spacing w:val="4"/>
          <w:sz w:val="20"/>
          <w:szCs w:val="20"/>
        </w:rPr>
        <w:t>2021. 1. 1</w:t>
      </w:r>
    </w:p>
    <w:p>
      <w:pPr>
        <w:spacing w:before="155" w:line="228" w:lineRule="auto"/>
        <w:ind w:left="433"/>
        <w:rPr>
          <w:rFonts w:ascii="Times New Roman" w:hAnsi="Times New Roman" w:eastAsia="Times New Roman" w:cs="Times New Roman"/>
          <w:sz w:val="20"/>
          <w:szCs w:val="20"/>
        </w:rPr>
      </w:pPr>
      <w:r>
        <w:rPr>
          <w:rFonts w:ascii="宋体" w:hAnsi="宋体" w:eastAsia="宋体" w:cs="宋体"/>
          <w:spacing w:val="8"/>
          <w:sz w:val="20"/>
          <w:szCs w:val="20"/>
        </w:rPr>
        <w:t>(</w:t>
      </w:r>
      <w:r>
        <w:rPr>
          <w:rFonts w:ascii="Times New Roman" w:hAnsi="Times New Roman" w:eastAsia="Times New Roman" w:cs="Times New Roman"/>
          <w:spacing w:val="6"/>
          <w:sz w:val="20"/>
          <w:szCs w:val="20"/>
        </w:rPr>
        <w:t>2</w:t>
      </w:r>
      <w:r>
        <w:rPr>
          <w:rFonts w:ascii="宋体" w:hAnsi="宋体" w:eastAsia="宋体" w:cs="宋体"/>
          <w:spacing w:val="4"/>
          <w:sz w:val="20"/>
          <w:szCs w:val="20"/>
        </w:rPr>
        <w:t>)  《建设项目环境保护管理条例 (修改) 》，</w:t>
      </w:r>
      <w:r>
        <w:rPr>
          <w:rFonts w:ascii="Times New Roman" w:hAnsi="Times New Roman" w:eastAsia="Times New Roman" w:cs="Times New Roman"/>
          <w:spacing w:val="4"/>
          <w:sz w:val="20"/>
          <w:szCs w:val="20"/>
        </w:rPr>
        <w:t>2017. 10. 1</w:t>
      </w:r>
    </w:p>
    <w:p>
      <w:pPr>
        <w:spacing w:before="151" w:line="228" w:lineRule="auto"/>
        <w:ind w:left="433"/>
        <w:rPr>
          <w:rFonts w:ascii="Times New Roman" w:hAnsi="Times New Roman" w:eastAsia="Times New Roman" w:cs="Times New Roman"/>
          <w:sz w:val="20"/>
          <w:szCs w:val="20"/>
        </w:rPr>
      </w:pPr>
      <w:r>
        <w:rPr>
          <w:rFonts w:ascii="宋体" w:hAnsi="宋体" w:eastAsia="宋体" w:cs="宋体"/>
          <w:spacing w:val="4"/>
          <w:sz w:val="20"/>
          <w:szCs w:val="20"/>
        </w:rPr>
        <w:t>(</w:t>
      </w:r>
      <w:r>
        <w:rPr>
          <w:rFonts w:ascii="Times New Roman" w:hAnsi="Times New Roman" w:eastAsia="Times New Roman" w:cs="Times New Roman"/>
          <w:spacing w:val="4"/>
          <w:sz w:val="20"/>
          <w:szCs w:val="20"/>
        </w:rPr>
        <w:t>3</w:t>
      </w:r>
      <w:r>
        <w:rPr>
          <w:rFonts w:ascii="宋体" w:hAnsi="宋体" w:eastAsia="宋体" w:cs="宋体"/>
          <w:spacing w:val="4"/>
          <w:sz w:val="20"/>
          <w:szCs w:val="20"/>
        </w:rPr>
        <w:t xml:space="preserve">)  </w:t>
      </w:r>
      <w:r>
        <w:rPr>
          <w:rFonts w:ascii="宋体" w:hAnsi="宋体" w:eastAsia="宋体" w:cs="宋体"/>
          <w:spacing w:val="3"/>
          <w:sz w:val="20"/>
          <w:szCs w:val="20"/>
        </w:rPr>
        <w:t>《</w:t>
      </w:r>
      <w:r>
        <w:rPr>
          <w:rFonts w:ascii="宋体" w:hAnsi="宋体" w:eastAsia="宋体" w:cs="宋体"/>
          <w:spacing w:val="2"/>
          <w:sz w:val="20"/>
          <w:szCs w:val="20"/>
        </w:rPr>
        <w:t>地面交通噪声污染防治技术政策》  (环发〔</w:t>
      </w:r>
      <w:r>
        <w:rPr>
          <w:rFonts w:ascii="Times New Roman" w:hAnsi="Times New Roman" w:eastAsia="Times New Roman" w:cs="Times New Roman"/>
          <w:spacing w:val="2"/>
          <w:sz w:val="20"/>
          <w:szCs w:val="20"/>
        </w:rPr>
        <w:t>2010</w:t>
      </w:r>
      <w:r>
        <w:rPr>
          <w:rFonts w:ascii="宋体" w:hAnsi="宋体" w:eastAsia="宋体" w:cs="宋体"/>
          <w:spacing w:val="2"/>
          <w:sz w:val="20"/>
          <w:szCs w:val="20"/>
        </w:rPr>
        <w:t>〕</w:t>
      </w:r>
      <w:r>
        <w:rPr>
          <w:rFonts w:ascii="Times New Roman" w:hAnsi="Times New Roman" w:eastAsia="Times New Roman" w:cs="Times New Roman"/>
          <w:spacing w:val="2"/>
          <w:sz w:val="20"/>
          <w:szCs w:val="20"/>
        </w:rPr>
        <w:t xml:space="preserve">7 </w:t>
      </w:r>
      <w:r>
        <w:rPr>
          <w:rFonts w:ascii="宋体" w:hAnsi="宋体" w:eastAsia="宋体" w:cs="宋体"/>
          <w:spacing w:val="2"/>
          <w:sz w:val="20"/>
          <w:szCs w:val="20"/>
        </w:rPr>
        <w:t>号) ，</w:t>
      </w:r>
      <w:r>
        <w:rPr>
          <w:rFonts w:ascii="Times New Roman" w:hAnsi="Times New Roman" w:eastAsia="Times New Roman" w:cs="Times New Roman"/>
          <w:spacing w:val="2"/>
          <w:sz w:val="20"/>
          <w:szCs w:val="20"/>
        </w:rPr>
        <w:t>2010. 1. 11</w:t>
      </w:r>
    </w:p>
    <w:p>
      <w:pPr>
        <w:spacing w:before="154" w:line="369" w:lineRule="auto"/>
        <w:ind w:left="7" w:right="68" w:firstLine="426"/>
        <w:rPr>
          <w:rFonts w:ascii="Times New Roman" w:hAnsi="Times New Roman" w:eastAsia="Times New Roman" w:cs="Times New Roman"/>
          <w:sz w:val="20"/>
          <w:szCs w:val="20"/>
        </w:rPr>
      </w:pPr>
      <w:r>
        <w:rPr>
          <w:rFonts w:ascii="宋体" w:hAnsi="宋体" w:eastAsia="宋体" w:cs="宋体"/>
          <w:spacing w:val="12"/>
          <w:sz w:val="20"/>
          <w:szCs w:val="20"/>
        </w:rPr>
        <w:t>(</w:t>
      </w:r>
      <w:r>
        <w:rPr>
          <w:rFonts w:ascii="Times New Roman" w:hAnsi="Times New Roman" w:eastAsia="Times New Roman" w:cs="Times New Roman"/>
          <w:spacing w:val="12"/>
          <w:sz w:val="20"/>
          <w:szCs w:val="20"/>
        </w:rPr>
        <w:t>4</w:t>
      </w:r>
      <w:r>
        <w:rPr>
          <w:rFonts w:ascii="宋体" w:hAnsi="宋体" w:eastAsia="宋体" w:cs="宋体"/>
          <w:spacing w:val="12"/>
          <w:sz w:val="20"/>
          <w:szCs w:val="20"/>
        </w:rPr>
        <w:t xml:space="preserve">)  </w:t>
      </w:r>
      <w:r>
        <w:rPr>
          <w:rFonts w:ascii="宋体" w:hAnsi="宋体" w:eastAsia="宋体" w:cs="宋体"/>
          <w:spacing w:val="9"/>
          <w:sz w:val="20"/>
          <w:szCs w:val="20"/>
        </w:rPr>
        <w:t>《</w:t>
      </w:r>
      <w:r>
        <w:rPr>
          <w:rFonts w:ascii="宋体" w:hAnsi="宋体" w:eastAsia="宋体" w:cs="宋体"/>
          <w:spacing w:val="6"/>
          <w:sz w:val="20"/>
          <w:szCs w:val="20"/>
        </w:rPr>
        <w:t>关于公路、铁路(含轻轨) 等建设项目环境影响评价中环境噪声有关问题的通知》(环</w:t>
      </w:r>
      <w:r>
        <w:rPr>
          <w:rFonts w:ascii="宋体" w:hAnsi="宋体" w:eastAsia="宋体" w:cs="宋体"/>
          <w:sz w:val="20"/>
          <w:szCs w:val="20"/>
        </w:rPr>
        <w:t xml:space="preserve"> </w:t>
      </w:r>
      <w:r>
        <w:rPr>
          <w:rFonts w:ascii="宋体" w:hAnsi="宋体" w:eastAsia="宋体" w:cs="宋体"/>
          <w:spacing w:val="10"/>
          <w:sz w:val="20"/>
          <w:szCs w:val="20"/>
        </w:rPr>
        <w:t>发</w:t>
      </w:r>
      <w:r>
        <w:rPr>
          <w:rFonts w:ascii="宋体" w:hAnsi="宋体" w:eastAsia="宋体" w:cs="宋体"/>
          <w:spacing w:val="6"/>
          <w:sz w:val="20"/>
          <w:szCs w:val="20"/>
        </w:rPr>
        <w:t>〔</w:t>
      </w:r>
      <w:r>
        <w:rPr>
          <w:rFonts w:ascii="Times New Roman" w:hAnsi="Times New Roman" w:eastAsia="Times New Roman" w:cs="Times New Roman"/>
          <w:spacing w:val="5"/>
          <w:sz w:val="20"/>
          <w:szCs w:val="20"/>
        </w:rPr>
        <w:t>2003</w:t>
      </w:r>
      <w:r>
        <w:rPr>
          <w:rFonts w:ascii="宋体" w:hAnsi="宋体" w:eastAsia="宋体" w:cs="宋体"/>
          <w:spacing w:val="5"/>
          <w:sz w:val="20"/>
          <w:szCs w:val="20"/>
        </w:rPr>
        <w:t>〕</w:t>
      </w:r>
      <w:r>
        <w:rPr>
          <w:rFonts w:ascii="Times New Roman" w:hAnsi="Times New Roman" w:eastAsia="Times New Roman" w:cs="Times New Roman"/>
          <w:spacing w:val="5"/>
          <w:sz w:val="20"/>
          <w:szCs w:val="20"/>
        </w:rPr>
        <w:t xml:space="preserve">94 </w:t>
      </w:r>
      <w:r>
        <w:rPr>
          <w:rFonts w:ascii="宋体" w:hAnsi="宋体" w:eastAsia="宋体" w:cs="宋体"/>
          <w:spacing w:val="5"/>
          <w:sz w:val="20"/>
          <w:szCs w:val="20"/>
        </w:rPr>
        <w:t>号) ，</w:t>
      </w:r>
      <w:r>
        <w:rPr>
          <w:rFonts w:ascii="Times New Roman" w:hAnsi="Times New Roman" w:eastAsia="Times New Roman" w:cs="Times New Roman"/>
          <w:spacing w:val="5"/>
          <w:sz w:val="20"/>
          <w:szCs w:val="20"/>
        </w:rPr>
        <w:t>2003.5.27</w:t>
      </w:r>
    </w:p>
    <w:p>
      <w:pPr>
        <w:spacing w:before="1" w:line="226" w:lineRule="auto"/>
        <w:ind w:left="433"/>
        <w:rPr>
          <w:rFonts w:ascii="Times New Roman" w:hAnsi="Times New Roman" w:eastAsia="Times New Roman" w:cs="Times New Roman"/>
          <w:sz w:val="20"/>
          <w:szCs w:val="20"/>
        </w:rPr>
      </w:pPr>
      <w:r>
        <w:rPr>
          <w:rFonts w:ascii="宋体" w:hAnsi="宋体" w:eastAsia="宋体" w:cs="宋体"/>
          <w:spacing w:val="-1"/>
          <w:sz w:val="20"/>
          <w:szCs w:val="20"/>
        </w:rPr>
        <w:t>(</w:t>
      </w:r>
      <w:r>
        <w:rPr>
          <w:rFonts w:ascii="Times New Roman" w:hAnsi="Times New Roman" w:eastAsia="Times New Roman" w:cs="Times New Roman"/>
          <w:spacing w:val="-1"/>
          <w:sz w:val="20"/>
          <w:szCs w:val="20"/>
        </w:rPr>
        <w:t>5</w:t>
      </w:r>
      <w:r>
        <w:rPr>
          <w:rFonts w:ascii="宋体" w:hAnsi="宋体" w:eastAsia="宋体" w:cs="宋体"/>
          <w:spacing w:val="-1"/>
          <w:sz w:val="20"/>
          <w:szCs w:val="20"/>
        </w:rPr>
        <w:t>)  《关于加强公路规划和建设环境影响评价工</w:t>
      </w:r>
      <w:r>
        <w:rPr>
          <w:rFonts w:ascii="宋体" w:hAnsi="宋体" w:eastAsia="宋体" w:cs="宋体"/>
          <w:sz w:val="20"/>
          <w:szCs w:val="20"/>
        </w:rPr>
        <w:t>作的通知》(环发〔</w:t>
      </w:r>
      <w:r>
        <w:rPr>
          <w:rFonts w:ascii="Times New Roman" w:hAnsi="Times New Roman" w:eastAsia="Times New Roman" w:cs="Times New Roman"/>
          <w:sz w:val="20"/>
          <w:szCs w:val="20"/>
        </w:rPr>
        <w:t>2007</w:t>
      </w:r>
      <w:r>
        <w:rPr>
          <w:rFonts w:ascii="宋体" w:hAnsi="宋体" w:eastAsia="宋体" w:cs="宋体"/>
          <w:sz w:val="20"/>
          <w:szCs w:val="20"/>
        </w:rPr>
        <w:t>〕</w:t>
      </w:r>
      <w:r>
        <w:rPr>
          <w:rFonts w:ascii="Times New Roman" w:hAnsi="Times New Roman" w:eastAsia="Times New Roman" w:cs="Times New Roman"/>
          <w:sz w:val="20"/>
          <w:szCs w:val="20"/>
        </w:rPr>
        <w:t xml:space="preserve">184 </w:t>
      </w:r>
      <w:r>
        <w:rPr>
          <w:rFonts w:ascii="宋体" w:hAnsi="宋体" w:eastAsia="宋体" w:cs="宋体"/>
          <w:sz w:val="20"/>
          <w:szCs w:val="20"/>
        </w:rPr>
        <w:t>号) ，</w:t>
      </w:r>
      <w:r>
        <w:rPr>
          <w:rFonts w:ascii="Times New Roman" w:hAnsi="Times New Roman" w:eastAsia="Times New Roman" w:cs="Times New Roman"/>
          <w:sz w:val="20"/>
          <w:szCs w:val="20"/>
        </w:rPr>
        <w:t>2007. 12. 1</w:t>
      </w:r>
    </w:p>
    <w:p>
      <w:pPr>
        <w:spacing w:before="147" w:line="222" w:lineRule="auto"/>
        <w:ind w:left="21"/>
        <w:outlineLvl w:val="3"/>
        <w:rPr>
          <w:rFonts w:ascii="黑体" w:hAnsi="黑体" w:eastAsia="黑体" w:cs="黑体"/>
          <w:sz w:val="22"/>
          <w:szCs w:val="22"/>
        </w:rPr>
      </w:pPr>
      <w:r>
        <w:rPr>
          <w:rFonts w:ascii="Times New Roman" w:hAnsi="Times New Roman" w:eastAsia="Times New Roman" w:cs="Times New Roman"/>
          <w:spacing w:val="-2"/>
          <w:sz w:val="22"/>
          <w:szCs w:val="22"/>
        </w:rPr>
        <w:t xml:space="preserve">1.2.3   </w:t>
      </w:r>
      <w:r>
        <w:rPr>
          <w:rFonts w:ascii="Times New Roman" w:hAnsi="Times New Roman" w:eastAsia="Times New Roman" w:cs="Times New Roman"/>
          <w:spacing w:val="-1"/>
          <w:sz w:val="22"/>
          <w:szCs w:val="22"/>
        </w:rPr>
        <w:t xml:space="preserve"> </w:t>
      </w:r>
      <w:r>
        <w:rPr>
          <w:rFonts w:ascii="黑体" w:hAnsi="黑体" w:eastAsia="黑体" w:cs="黑体"/>
          <w:spacing w:val="-1"/>
          <w:sz w:val="22"/>
          <w:szCs w:val="22"/>
        </w:rPr>
        <w:t>地方相关法律法规</w:t>
      </w:r>
    </w:p>
    <w:p>
      <w:pPr>
        <w:spacing w:before="144" w:line="228" w:lineRule="auto"/>
        <w:ind w:left="433"/>
        <w:rPr>
          <w:rFonts w:ascii="Times New Roman" w:hAnsi="Times New Roman" w:eastAsia="Times New Roman" w:cs="Times New Roman"/>
          <w:sz w:val="20"/>
          <w:szCs w:val="20"/>
        </w:rPr>
      </w:pPr>
      <w:r>
        <w:rPr>
          <w:rFonts w:ascii="宋体" w:hAnsi="宋体" w:eastAsia="宋体" w:cs="宋体"/>
          <w:spacing w:val="4"/>
          <w:sz w:val="20"/>
          <w:szCs w:val="20"/>
        </w:rPr>
        <w:t>(</w:t>
      </w:r>
      <w:r>
        <w:rPr>
          <w:rFonts w:ascii="Times New Roman" w:hAnsi="Times New Roman" w:eastAsia="Times New Roman" w:cs="Times New Roman"/>
          <w:spacing w:val="3"/>
          <w:sz w:val="20"/>
          <w:szCs w:val="20"/>
        </w:rPr>
        <w:t>1</w:t>
      </w:r>
      <w:r>
        <w:rPr>
          <w:rFonts w:ascii="宋体" w:hAnsi="宋体" w:eastAsia="宋体" w:cs="宋体"/>
          <w:spacing w:val="3"/>
          <w:sz w:val="20"/>
          <w:szCs w:val="20"/>
        </w:rPr>
        <w:t>)  《四川省环境保护条例》，</w:t>
      </w:r>
      <w:r>
        <w:rPr>
          <w:rFonts w:ascii="Times New Roman" w:hAnsi="Times New Roman" w:eastAsia="Times New Roman" w:cs="Times New Roman"/>
          <w:spacing w:val="3"/>
          <w:sz w:val="20"/>
          <w:szCs w:val="20"/>
        </w:rPr>
        <w:t>2018. 1. 1</w:t>
      </w:r>
    </w:p>
    <w:p>
      <w:pPr>
        <w:spacing w:before="152" w:line="227" w:lineRule="auto"/>
        <w:ind w:left="433"/>
        <w:rPr>
          <w:rFonts w:ascii="宋体" w:hAnsi="宋体" w:eastAsia="宋体" w:cs="宋体"/>
          <w:sz w:val="20"/>
          <w:szCs w:val="20"/>
        </w:rPr>
      </w:pPr>
      <w:r>
        <w:rPr>
          <w:rFonts w:ascii="宋体" w:hAnsi="宋体" w:eastAsia="宋体" w:cs="宋体"/>
          <w:spacing w:val="13"/>
          <w:sz w:val="20"/>
          <w:szCs w:val="20"/>
        </w:rPr>
        <w:t>(</w:t>
      </w:r>
      <w:r>
        <w:rPr>
          <w:rFonts w:ascii="Times New Roman" w:hAnsi="Times New Roman" w:eastAsia="Times New Roman" w:cs="Times New Roman"/>
          <w:spacing w:val="7"/>
          <w:sz w:val="20"/>
          <w:szCs w:val="20"/>
        </w:rPr>
        <w:t>2</w:t>
      </w:r>
      <w:r>
        <w:rPr>
          <w:rFonts w:ascii="宋体" w:hAnsi="宋体" w:eastAsia="宋体" w:cs="宋体"/>
          <w:spacing w:val="7"/>
          <w:sz w:val="20"/>
          <w:szCs w:val="20"/>
        </w:rPr>
        <w:t>)  《四川省人民政府关于印发四川省主体功能区规划的通知》  (川府发〔</w:t>
      </w:r>
      <w:r>
        <w:rPr>
          <w:rFonts w:ascii="Times New Roman" w:hAnsi="Times New Roman" w:eastAsia="Times New Roman" w:cs="Times New Roman"/>
          <w:spacing w:val="7"/>
          <w:sz w:val="20"/>
          <w:szCs w:val="20"/>
        </w:rPr>
        <w:t>2013</w:t>
      </w:r>
      <w:r>
        <w:rPr>
          <w:rFonts w:ascii="宋体" w:hAnsi="宋体" w:eastAsia="宋体" w:cs="宋体"/>
          <w:spacing w:val="7"/>
          <w:sz w:val="20"/>
          <w:szCs w:val="20"/>
        </w:rPr>
        <w:t>〕</w:t>
      </w:r>
      <w:r>
        <w:rPr>
          <w:rFonts w:ascii="Times New Roman" w:hAnsi="Times New Roman" w:eastAsia="Times New Roman" w:cs="Times New Roman"/>
          <w:spacing w:val="7"/>
          <w:sz w:val="20"/>
          <w:szCs w:val="20"/>
        </w:rPr>
        <w:t xml:space="preserve">16 </w:t>
      </w:r>
      <w:r>
        <w:rPr>
          <w:rFonts w:ascii="宋体" w:hAnsi="宋体" w:eastAsia="宋体" w:cs="宋体"/>
          <w:spacing w:val="7"/>
          <w:sz w:val="20"/>
          <w:szCs w:val="20"/>
        </w:rPr>
        <w:t>号，</w:t>
      </w:r>
    </w:p>
    <w:p>
      <w:pPr>
        <w:spacing w:before="154" w:line="231" w:lineRule="auto"/>
        <w:rPr>
          <w:rFonts w:ascii="宋体" w:hAnsi="宋体" w:eastAsia="宋体" w:cs="宋体"/>
          <w:sz w:val="20"/>
          <w:szCs w:val="20"/>
        </w:rPr>
      </w:pPr>
      <w:r>
        <w:rPr>
          <w:rFonts w:ascii="Times New Roman" w:hAnsi="Times New Roman" w:eastAsia="Times New Roman" w:cs="Times New Roman"/>
          <w:spacing w:val="-2"/>
          <w:sz w:val="20"/>
          <w:szCs w:val="20"/>
        </w:rPr>
        <w:t>201</w:t>
      </w:r>
      <w:r>
        <w:rPr>
          <w:rFonts w:ascii="Times New Roman" w:hAnsi="Times New Roman" w:eastAsia="Times New Roman" w:cs="Times New Roman"/>
          <w:spacing w:val="-1"/>
          <w:sz w:val="20"/>
          <w:szCs w:val="20"/>
        </w:rPr>
        <w:t>3.4. 16</w:t>
      </w:r>
      <w:r>
        <w:rPr>
          <w:rFonts w:ascii="宋体" w:hAnsi="宋体" w:eastAsia="宋体" w:cs="宋体"/>
          <w:spacing w:val="-1"/>
          <w:sz w:val="20"/>
          <w:szCs w:val="20"/>
        </w:rPr>
        <w:t>)</w:t>
      </w:r>
    </w:p>
    <w:p>
      <w:pPr>
        <w:spacing w:before="151" w:line="228" w:lineRule="auto"/>
        <w:ind w:left="433"/>
        <w:rPr>
          <w:rFonts w:ascii="宋体" w:hAnsi="宋体" w:eastAsia="宋体" w:cs="宋体"/>
          <w:sz w:val="20"/>
          <w:szCs w:val="20"/>
        </w:rPr>
      </w:pPr>
      <w:r>
        <w:rPr>
          <w:rFonts w:ascii="宋体" w:hAnsi="宋体" w:eastAsia="宋体" w:cs="宋体"/>
          <w:spacing w:val="8"/>
          <w:sz w:val="20"/>
          <w:szCs w:val="20"/>
        </w:rPr>
        <w:t>(</w:t>
      </w:r>
      <w:r>
        <w:rPr>
          <w:rFonts w:ascii="Times New Roman" w:hAnsi="Times New Roman" w:eastAsia="Times New Roman" w:cs="Times New Roman"/>
          <w:spacing w:val="8"/>
          <w:sz w:val="20"/>
          <w:szCs w:val="20"/>
        </w:rPr>
        <w:t>3</w:t>
      </w:r>
      <w:r>
        <w:rPr>
          <w:rFonts w:ascii="宋体" w:hAnsi="宋体" w:eastAsia="宋体" w:cs="宋体"/>
          <w:spacing w:val="8"/>
          <w:sz w:val="20"/>
          <w:szCs w:val="20"/>
        </w:rPr>
        <w:t>)  《四川</w:t>
      </w:r>
      <w:r>
        <w:rPr>
          <w:rFonts w:ascii="宋体" w:hAnsi="宋体" w:eastAsia="宋体" w:cs="宋体"/>
          <w:spacing w:val="6"/>
          <w:sz w:val="20"/>
          <w:szCs w:val="20"/>
        </w:rPr>
        <w:t>省</w:t>
      </w:r>
      <w:r>
        <w:rPr>
          <w:rFonts w:ascii="宋体" w:hAnsi="宋体" w:eastAsia="宋体" w:cs="宋体"/>
          <w:spacing w:val="4"/>
          <w:sz w:val="20"/>
          <w:szCs w:val="20"/>
        </w:rPr>
        <w:t>〈中华人民共和国环境影响评价法〉实施办法》  (</w:t>
      </w:r>
      <w:r>
        <w:rPr>
          <w:rFonts w:ascii="Times New Roman" w:hAnsi="Times New Roman" w:eastAsia="Times New Roman" w:cs="Times New Roman"/>
          <w:spacing w:val="4"/>
          <w:sz w:val="20"/>
          <w:szCs w:val="20"/>
        </w:rPr>
        <w:t>2019.9.26</w:t>
      </w:r>
      <w:r>
        <w:rPr>
          <w:rFonts w:ascii="宋体" w:hAnsi="宋体" w:eastAsia="宋体" w:cs="宋体"/>
          <w:spacing w:val="4"/>
          <w:sz w:val="20"/>
          <w:szCs w:val="20"/>
        </w:rPr>
        <w:t>)</w:t>
      </w:r>
    </w:p>
    <w:p>
      <w:pPr>
        <w:spacing w:before="144" w:line="223" w:lineRule="auto"/>
        <w:ind w:left="21"/>
        <w:outlineLvl w:val="3"/>
        <w:rPr>
          <w:rFonts w:ascii="黑体" w:hAnsi="黑体" w:eastAsia="黑体" w:cs="黑体"/>
          <w:sz w:val="22"/>
          <w:szCs w:val="22"/>
        </w:rPr>
      </w:pPr>
      <w:r>
        <w:rPr>
          <w:rFonts w:ascii="Times New Roman" w:hAnsi="Times New Roman" w:eastAsia="Times New Roman" w:cs="Times New Roman"/>
          <w:spacing w:val="-2"/>
          <w:sz w:val="22"/>
          <w:szCs w:val="22"/>
        </w:rPr>
        <w:t xml:space="preserve">1.2.4    </w:t>
      </w:r>
      <w:r>
        <w:rPr>
          <w:rFonts w:ascii="黑体" w:hAnsi="黑体" w:eastAsia="黑体" w:cs="黑体"/>
          <w:spacing w:val="-1"/>
          <w:sz w:val="22"/>
          <w:szCs w:val="22"/>
        </w:rPr>
        <w:t>技术标准和规范</w:t>
      </w:r>
    </w:p>
    <w:p>
      <w:pPr>
        <w:spacing w:before="143" w:line="226" w:lineRule="auto"/>
        <w:ind w:left="433"/>
        <w:rPr>
          <w:rFonts w:ascii="宋体" w:hAnsi="宋体" w:eastAsia="宋体" w:cs="宋体"/>
          <w:sz w:val="20"/>
          <w:szCs w:val="20"/>
        </w:rPr>
      </w:pPr>
      <w:r>
        <w:rPr>
          <w:rFonts w:ascii="宋体" w:hAnsi="宋体" w:eastAsia="宋体" w:cs="宋体"/>
          <w:spacing w:val="2"/>
          <w:sz w:val="20"/>
          <w:szCs w:val="20"/>
        </w:rPr>
        <w:t>(</w:t>
      </w:r>
      <w:r>
        <w:rPr>
          <w:rFonts w:ascii="Times New Roman" w:hAnsi="Times New Roman" w:eastAsia="Times New Roman" w:cs="Times New Roman"/>
          <w:spacing w:val="2"/>
          <w:sz w:val="20"/>
          <w:szCs w:val="20"/>
        </w:rPr>
        <w:t>1</w:t>
      </w:r>
      <w:r>
        <w:rPr>
          <w:rFonts w:ascii="宋体" w:hAnsi="宋体" w:eastAsia="宋体" w:cs="宋体"/>
          <w:spacing w:val="2"/>
          <w:sz w:val="20"/>
          <w:szCs w:val="20"/>
        </w:rPr>
        <w:t>)  《环境影响评价技术导则 总纲》  (</w:t>
      </w:r>
      <w:r>
        <w:rPr>
          <w:rFonts w:ascii="Times New Roman" w:hAnsi="Times New Roman" w:eastAsia="Times New Roman" w:cs="Times New Roman"/>
          <w:sz w:val="20"/>
          <w:szCs w:val="20"/>
        </w:rPr>
        <w:t>HJ</w:t>
      </w:r>
      <w:r>
        <w:rPr>
          <w:rFonts w:ascii="Times New Roman" w:hAnsi="Times New Roman" w:eastAsia="Times New Roman" w:cs="Times New Roman"/>
          <w:spacing w:val="2"/>
          <w:sz w:val="20"/>
          <w:szCs w:val="20"/>
        </w:rPr>
        <w:t xml:space="preserve"> 2.</w:t>
      </w:r>
      <w:r>
        <w:rPr>
          <w:rFonts w:ascii="Times New Roman" w:hAnsi="Times New Roman" w:eastAsia="Times New Roman" w:cs="Times New Roman"/>
          <w:spacing w:val="1"/>
          <w:sz w:val="20"/>
          <w:szCs w:val="20"/>
        </w:rPr>
        <w:t xml:space="preserve"> 1-2016</w:t>
      </w:r>
      <w:r>
        <w:rPr>
          <w:rFonts w:ascii="宋体" w:hAnsi="宋体" w:eastAsia="宋体" w:cs="宋体"/>
          <w:spacing w:val="1"/>
          <w:sz w:val="20"/>
          <w:szCs w:val="20"/>
        </w:rPr>
        <w:t>)</w:t>
      </w:r>
    </w:p>
    <w:p>
      <w:pPr>
        <w:spacing w:before="156" w:line="226" w:lineRule="auto"/>
        <w:ind w:left="433"/>
        <w:rPr>
          <w:rFonts w:ascii="宋体" w:hAnsi="宋体" w:eastAsia="宋体" w:cs="宋体"/>
          <w:sz w:val="20"/>
          <w:szCs w:val="20"/>
        </w:rPr>
      </w:pPr>
      <w:r>
        <w:rPr>
          <w:rFonts w:ascii="宋体" w:hAnsi="宋体" w:eastAsia="宋体" w:cs="宋体"/>
          <w:spacing w:val="6"/>
          <w:sz w:val="20"/>
          <w:szCs w:val="20"/>
        </w:rPr>
        <w:t>(</w:t>
      </w:r>
      <w:r>
        <w:rPr>
          <w:rFonts w:ascii="Times New Roman" w:hAnsi="Times New Roman" w:eastAsia="Times New Roman" w:cs="Times New Roman"/>
          <w:spacing w:val="6"/>
          <w:sz w:val="20"/>
          <w:szCs w:val="20"/>
        </w:rPr>
        <w:t>2</w:t>
      </w:r>
      <w:r>
        <w:rPr>
          <w:rFonts w:ascii="宋体" w:hAnsi="宋体" w:eastAsia="宋体" w:cs="宋体"/>
          <w:spacing w:val="6"/>
          <w:sz w:val="20"/>
          <w:szCs w:val="20"/>
        </w:rPr>
        <w:t xml:space="preserve">)  </w:t>
      </w:r>
      <w:r>
        <w:rPr>
          <w:rFonts w:ascii="宋体" w:hAnsi="宋体" w:eastAsia="宋体" w:cs="宋体"/>
          <w:spacing w:val="5"/>
          <w:sz w:val="20"/>
          <w:szCs w:val="20"/>
        </w:rPr>
        <w:t>《</w:t>
      </w:r>
      <w:r>
        <w:rPr>
          <w:rFonts w:ascii="宋体" w:hAnsi="宋体" w:eastAsia="宋体" w:cs="宋体"/>
          <w:spacing w:val="3"/>
          <w:sz w:val="20"/>
          <w:szCs w:val="20"/>
        </w:rPr>
        <w:t>环境影响评价技术导则 声环境》  (</w:t>
      </w:r>
      <w:r>
        <w:rPr>
          <w:rFonts w:ascii="Times New Roman" w:hAnsi="Times New Roman" w:eastAsia="Times New Roman" w:cs="Times New Roman"/>
          <w:sz w:val="20"/>
          <w:szCs w:val="20"/>
        </w:rPr>
        <w:t>HJ</w:t>
      </w:r>
      <w:r>
        <w:rPr>
          <w:rFonts w:ascii="Times New Roman" w:hAnsi="Times New Roman" w:eastAsia="Times New Roman" w:cs="Times New Roman"/>
          <w:spacing w:val="3"/>
          <w:sz w:val="20"/>
          <w:szCs w:val="20"/>
        </w:rPr>
        <w:t xml:space="preserve"> 2.4-2021</w:t>
      </w:r>
      <w:r>
        <w:rPr>
          <w:rFonts w:ascii="宋体" w:hAnsi="宋体" w:eastAsia="宋体" w:cs="宋体"/>
          <w:spacing w:val="3"/>
          <w:sz w:val="20"/>
          <w:szCs w:val="20"/>
        </w:rPr>
        <w:t>)</w:t>
      </w:r>
    </w:p>
    <w:p>
      <w:pPr>
        <w:spacing w:before="154" w:line="226" w:lineRule="auto"/>
        <w:ind w:left="433"/>
        <w:rPr>
          <w:rFonts w:ascii="宋体" w:hAnsi="宋体" w:eastAsia="宋体" w:cs="宋体"/>
          <w:sz w:val="20"/>
          <w:szCs w:val="20"/>
        </w:rPr>
      </w:pPr>
      <w:r>
        <w:rPr>
          <w:rFonts w:ascii="宋体" w:hAnsi="宋体" w:eastAsia="宋体" w:cs="宋体"/>
          <w:spacing w:val="7"/>
          <w:sz w:val="20"/>
          <w:szCs w:val="20"/>
        </w:rPr>
        <w:t>(</w:t>
      </w:r>
      <w:r>
        <w:rPr>
          <w:rFonts w:ascii="Times New Roman" w:hAnsi="Times New Roman" w:eastAsia="Times New Roman" w:cs="Times New Roman"/>
          <w:spacing w:val="4"/>
          <w:sz w:val="20"/>
          <w:szCs w:val="20"/>
        </w:rPr>
        <w:t>3</w:t>
      </w:r>
      <w:r>
        <w:rPr>
          <w:rFonts w:ascii="宋体" w:hAnsi="宋体" w:eastAsia="宋体" w:cs="宋体"/>
          <w:spacing w:val="4"/>
          <w:sz w:val="20"/>
          <w:szCs w:val="20"/>
        </w:rPr>
        <w:t>)  《公路建设项目环境影响评价规范》  (</w:t>
      </w:r>
      <w:r>
        <w:rPr>
          <w:rFonts w:ascii="Times New Roman" w:hAnsi="Times New Roman" w:eastAsia="Times New Roman" w:cs="Times New Roman"/>
          <w:sz w:val="20"/>
          <w:szCs w:val="20"/>
        </w:rPr>
        <w:t>JTG</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z w:val="20"/>
          <w:szCs w:val="20"/>
        </w:rPr>
        <w:t>B</w:t>
      </w:r>
      <w:r>
        <w:rPr>
          <w:rFonts w:ascii="Times New Roman" w:hAnsi="Times New Roman" w:eastAsia="Times New Roman" w:cs="Times New Roman"/>
          <w:spacing w:val="4"/>
          <w:sz w:val="20"/>
          <w:szCs w:val="20"/>
        </w:rPr>
        <w:t>03-2006</w:t>
      </w:r>
      <w:r>
        <w:rPr>
          <w:rFonts w:ascii="宋体" w:hAnsi="宋体" w:eastAsia="宋体" w:cs="宋体"/>
          <w:spacing w:val="4"/>
          <w:sz w:val="20"/>
          <w:szCs w:val="20"/>
        </w:rPr>
        <w:t>)</w:t>
      </w:r>
    </w:p>
    <w:p>
      <w:pPr>
        <w:spacing w:before="148" w:line="222" w:lineRule="auto"/>
        <w:ind w:left="21"/>
        <w:outlineLvl w:val="3"/>
        <w:rPr>
          <w:rFonts w:ascii="黑体" w:hAnsi="黑体" w:eastAsia="黑体" w:cs="黑体"/>
          <w:sz w:val="22"/>
          <w:szCs w:val="22"/>
        </w:rPr>
      </w:pPr>
      <w:r>
        <w:rPr>
          <w:rFonts w:ascii="Times New Roman" w:hAnsi="Times New Roman" w:eastAsia="Times New Roman" w:cs="Times New Roman"/>
          <w:spacing w:val="-2"/>
          <w:sz w:val="22"/>
          <w:szCs w:val="22"/>
        </w:rPr>
        <w:t xml:space="preserve">1.2.5  </w:t>
      </w:r>
      <w:r>
        <w:rPr>
          <w:rFonts w:ascii="Times New Roman" w:hAnsi="Times New Roman" w:eastAsia="Times New Roman" w:cs="Times New Roman"/>
          <w:spacing w:val="-1"/>
          <w:sz w:val="22"/>
          <w:szCs w:val="22"/>
        </w:rPr>
        <w:t xml:space="preserve">  </w:t>
      </w:r>
      <w:r>
        <w:rPr>
          <w:rFonts w:ascii="黑体" w:hAnsi="黑体" w:eastAsia="黑体" w:cs="黑体"/>
          <w:spacing w:val="-1"/>
          <w:sz w:val="22"/>
          <w:szCs w:val="22"/>
        </w:rPr>
        <w:t>项目技术资料及文件</w:t>
      </w:r>
    </w:p>
    <w:p>
      <w:pPr>
        <w:spacing w:before="143" w:line="369" w:lineRule="auto"/>
        <w:ind w:left="31" w:right="68" w:firstLine="402"/>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22"/>
          <w:sz w:val="20"/>
          <w:szCs w:val="20"/>
        </w:rPr>
        <w:t>1</w:t>
      </w:r>
      <w:r>
        <w:rPr>
          <w:rFonts w:ascii="宋体" w:hAnsi="宋体" w:eastAsia="宋体" w:cs="宋体"/>
          <w:spacing w:val="19"/>
          <w:sz w:val="20"/>
          <w:szCs w:val="20"/>
        </w:rPr>
        <w:t>)</w:t>
      </w:r>
      <w:r>
        <w:rPr>
          <w:rFonts w:ascii="宋体" w:hAnsi="宋体" w:eastAsia="宋体" w:cs="宋体"/>
          <w:spacing w:val="11"/>
          <w:sz w:val="20"/>
          <w:szCs w:val="20"/>
        </w:rPr>
        <w:t xml:space="preserve"> 达州市发展和改革委员会《关于达州市高家坝大桥项目建议书的批复》  (达市发改审</w:t>
      </w:r>
      <w:r>
        <w:rPr>
          <w:rFonts w:ascii="宋体" w:hAnsi="宋体" w:eastAsia="宋体" w:cs="宋体"/>
          <w:sz w:val="20"/>
          <w:szCs w:val="20"/>
        </w:rPr>
        <w:t xml:space="preserve"> </w:t>
      </w:r>
      <w:r>
        <w:rPr>
          <w:rFonts w:ascii="宋体" w:hAnsi="宋体" w:eastAsia="宋体" w:cs="宋体"/>
          <w:spacing w:val="14"/>
          <w:sz w:val="20"/>
          <w:szCs w:val="20"/>
        </w:rPr>
        <w:t>〔</w:t>
      </w:r>
      <w:r>
        <w:rPr>
          <w:rFonts w:ascii="Times New Roman" w:hAnsi="Times New Roman" w:eastAsia="Times New Roman" w:cs="Times New Roman"/>
          <w:spacing w:val="14"/>
          <w:sz w:val="20"/>
          <w:szCs w:val="20"/>
        </w:rPr>
        <w:t>20</w:t>
      </w:r>
      <w:r>
        <w:rPr>
          <w:rFonts w:ascii="Times New Roman" w:hAnsi="Times New Roman" w:eastAsia="Times New Roman" w:cs="Times New Roman"/>
          <w:spacing w:val="12"/>
          <w:sz w:val="20"/>
          <w:szCs w:val="20"/>
        </w:rPr>
        <w:t>2</w:t>
      </w:r>
      <w:r>
        <w:rPr>
          <w:rFonts w:ascii="Times New Roman" w:hAnsi="Times New Roman" w:eastAsia="Times New Roman" w:cs="Times New Roman"/>
          <w:spacing w:val="7"/>
          <w:sz w:val="20"/>
          <w:szCs w:val="20"/>
        </w:rPr>
        <w:t>0</w:t>
      </w:r>
      <w:r>
        <w:rPr>
          <w:rFonts w:ascii="宋体" w:hAnsi="宋体" w:eastAsia="宋体" w:cs="宋体"/>
          <w:spacing w:val="7"/>
          <w:sz w:val="20"/>
          <w:szCs w:val="20"/>
        </w:rPr>
        <w:t>〕</w:t>
      </w:r>
      <w:r>
        <w:rPr>
          <w:rFonts w:ascii="Times New Roman" w:hAnsi="Times New Roman" w:eastAsia="Times New Roman" w:cs="Times New Roman"/>
          <w:spacing w:val="7"/>
          <w:sz w:val="20"/>
          <w:szCs w:val="20"/>
        </w:rPr>
        <w:t xml:space="preserve">64 </w:t>
      </w:r>
      <w:r>
        <w:rPr>
          <w:rFonts w:ascii="宋体" w:hAnsi="宋体" w:eastAsia="宋体" w:cs="宋体"/>
          <w:spacing w:val="7"/>
          <w:sz w:val="20"/>
          <w:szCs w:val="20"/>
        </w:rPr>
        <w:t>号) 、《关于延长高家坝大桥项目建议书批复有效期的函》《关于达州市高家坝大桥</w:t>
      </w:r>
    </w:p>
    <w:p>
      <w:pPr>
        <w:spacing w:line="226" w:lineRule="auto"/>
        <w:ind w:left="6"/>
        <w:rPr>
          <w:rFonts w:ascii="宋体" w:hAnsi="宋体" w:eastAsia="宋体" w:cs="宋体"/>
          <w:sz w:val="20"/>
          <w:szCs w:val="20"/>
        </w:rPr>
      </w:pPr>
      <w:r>
        <w:rPr>
          <w:rFonts w:ascii="宋体" w:hAnsi="宋体" w:eastAsia="宋体" w:cs="宋体"/>
          <w:spacing w:val="8"/>
          <w:sz w:val="20"/>
          <w:szCs w:val="20"/>
        </w:rPr>
        <w:t>建设项</w:t>
      </w:r>
      <w:r>
        <w:rPr>
          <w:rFonts w:ascii="宋体" w:hAnsi="宋体" w:eastAsia="宋体" w:cs="宋体"/>
          <w:spacing w:val="7"/>
          <w:sz w:val="20"/>
          <w:szCs w:val="20"/>
        </w:rPr>
        <w:t>目</w:t>
      </w:r>
      <w:r>
        <w:rPr>
          <w:rFonts w:ascii="宋体" w:hAnsi="宋体" w:eastAsia="宋体" w:cs="宋体"/>
          <w:spacing w:val="4"/>
          <w:sz w:val="20"/>
          <w:szCs w:val="20"/>
        </w:rPr>
        <w:t>可行性研究报告的批复》  (达市发改审〔</w:t>
      </w:r>
      <w:r>
        <w:rPr>
          <w:rFonts w:ascii="Times New Roman" w:hAnsi="Times New Roman" w:eastAsia="Times New Roman" w:cs="Times New Roman"/>
          <w:spacing w:val="4"/>
          <w:sz w:val="20"/>
          <w:szCs w:val="20"/>
        </w:rPr>
        <w:t>2023</w:t>
      </w:r>
      <w:r>
        <w:rPr>
          <w:rFonts w:ascii="宋体" w:hAnsi="宋体" w:eastAsia="宋体" w:cs="宋体"/>
          <w:spacing w:val="4"/>
          <w:sz w:val="20"/>
          <w:szCs w:val="20"/>
        </w:rPr>
        <w:t>〕</w:t>
      </w:r>
      <w:r>
        <w:rPr>
          <w:rFonts w:ascii="Times New Roman" w:hAnsi="Times New Roman" w:eastAsia="Times New Roman" w:cs="Times New Roman"/>
          <w:spacing w:val="4"/>
          <w:sz w:val="20"/>
          <w:szCs w:val="20"/>
        </w:rPr>
        <w:t xml:space="preserve">11 </w:t>
      </w:r>
      <w:r>
        <w:rPr>
          <w:rFonts w:ascii="宋体" w:hAnsi="宋体" w:eastAsia="宋体" w:cs="宋体"/>
          <w:spacing w:val="4"/>
          <w:sz w:val="20"/>
          <w:szCs w:val="20"/>
        </w:rPr>
        <w:t>号)</w:t>
      </w:r>
    </w:p>
    <w:p>
      <w:pPr>
        <w:spacing w:before="119" w:line="281" w:lineRule="exact"/>
        <w:ind w:left="433"/>
        <w:rPr>
          <w:rFonts w:ascii="Times New Roman" w:hAnsi="Times New Roman" w:eastAsia="Times New Roman" w:cs="Times New Roman"/>
          <w:sz w:val="20"/>
          <w:szCs w:val="20"/>
        </w:rPr>
      </w:pPr>
      <w:r>
        <w:rPr>
          <w:rFonts w:ascii="宋体" w:hAnsi="宋体" w:eastAsia="宋体" w:cs="宋体"/>
          <w:spacing w:val="14"/>
          <w:position w:val="2"/>
          <w:sz w:val="20"/>
          <w:szCs w:val="20"/>
        </w:rPr>
        <w:t>(</w:t>
      </w:r>
      <w:r>
        <w:rPr>
          <w:rFonts w:ascii="Times New Roman" w:hAnsi="Times New Roman" w:eastAsia="Times New Roman" w:cs="Times New Roman"/>
          <w:spacing w:val="14"/>
          <w:position w:val="2"/>
          <w:sz w:val="20"/>
          <w:szCs w:val="20"/>
        </w:rPr>
        <w:t>2</w:t>
      </w:r>
      <w:r>
        <w:rPr>
          <w:rFonts w:ascii="宋体" w:hAnsi="宋体" w:eastAsia="宋体" w:cs="宋体"/>
          <w:spacing w:val="14"/>
          <w:position w:val="2"/>
          <w:sz w:val="20"/>
          <w:szCs w:val="20"/>
        </w:rPr>
        <w:t>)</w:t>
      </w:r>
      <w:r>
        <w:rPr>
          <w:rFonts w:ascii="宋体" w:hAnsi="宋体" w:eastAsia="宋体" w:cs="宋体"/>
          <w:spacing w:val="10"/>
          <w:position w:val="2"/>
          <w:sz w:val="20"/>
          <w:szCs w:val="20"/>
        </w:rPr>
        <w:t xml:space="preserve"> </w:t>
      </w:r>
      <w:r>
        <w:rPr>
          <w:rFonts w:ascii="宋体" w:hAnsi="宋体" w:eastAsia="宋体" w:cs="宋体"/>
          <w:spacing w:val="7"/>
          <w:position w:val="2"/>
          <w:sz w:val="20"/>
          <w:szCs w:val="20"/>
        </w:rPr>
        <w:t>达州市人民政府办公室《研究交通运输工作专题会议纪要》</w:t>
      </w:r>
      <w:r>
        <w:rPr>
          <w:rFonts w:ascii="Times New Roman" w:hAnsi="Times New Roman" w:eastAsia="Times New Roman" w:cs="Times New Roman"/>
          <w:spacing w:val="7"/>
          <w:position w:val="2"/>
          <w:sz w:val="20"/>
          <w:szCs w:val="20"/>
        </w:rPr>
        <w:t>(</w:t>
      </w:r>
      <w:r>
        <w:rPr>
          <w:rFonts w:ascii="宋体" w:hAnsi="宋体" w:eastAsia="宋体" w:cs="宋体"/>
          <w:spacing w:val="7"/>
          <w:position w:val="2"/>
          <w:sz w:val="20"/>
          <w:szCs w:val="20"/>
        </w:rPr>
        <w:t xml:space="preserve">第 </w:t>
      </w:r>
      <w:r>
        <w:rPr>
          <w:rFonts w:ascii="Times New Roman" w:hAnsi="Times New Roman" w:eastAsia="Times New Roman" w:cs="Times New Roman"/>
          <w:spacing w:val="7"/>
          <w:position w:val="2"/>
          <w:sz w:val="20"/>
          <w:szCs w:val="20"/>
        </w:rPr>
        <w:t xml:space="preserve">45 </w:t>
      </w:r>
      <w:r>
        <w:rPr>
          <w:rFonts w:ascii="宋体" w:hAnsi="宋体" w:eastAsia="宋体" w:cs="宋体"/>
          <w:spacing w:val="7"/>
          <w:position w:val="2"/>
          <w:sz w:val="20"/>
          <w:szCs w:val="20"/>
        </w:rPr>
        <w:t>号</w:t>
      </w:r>
      <w:r>
        <w:rPr>
          <w:rFonts w:ascii="Times New Roman" w:hAnsi="Times New Roman" w:eastAsia="Times New Roman" w:cs="Times New Roman"/>
          <w:spacing w:val="7"/>
          <w:position w:val="2"/>
          <w:sz w:val="20"/>
          <w:szCs w:val="20"/>
        </w:rPr>
        <w:t xml:space="preserve">) </w:t>
      </w:r>
      <w:r>
        <w:rPr>
          <w:rFonts w:ascii="宋体" w:hAnsi="宋体" w:eastAsia="宋体" w:cs="宋体"/>
          <w:spacing w:val="7"/>
          <w:position w:val="2"/>
          <w:sz w:val="20"/>
          <w:szCs w:val="20"/>
        </w:rPr>
        <w:t>，</w:t>
      </w:r>
      <w:r>
        <w:rPr>
          <w:rFonts w:ascii="Times New Roman" w:hAnsi="Times New Roman" w:eastAsia="Times New Roman" w:cs="Times New Roman"/>
          <w:spacing w:val="7"/>
          <w:position w:val="2"/>
          <w:sz w:val="20"/>
          <w:szCs w:val="20"/>
        </w:rPr>
        <w:t>2022.6.8</w:t>
      </w:r>
    </w:p>
    <w:p>
      <w:pPr>
        <w:spacing w:before="155" w:line="227" w:lineRule="auto"/>
        <w:ind w:left="433"/>
        <w:rPr>
          <w:rFonts w:ascii="Times New Roman" w:hAnsi="Times New Roman" w:eastAsia="Times New Roman" w:cs="Times New Roman"/>
          <w:sz w:val="20"/>
          <w:szCs w:val="20"/>
        </w:rPr>
      </w:pPr>
      <w:r>
        <w:rPr>
          <w:rFonts w:ascii="宋体" w:hAnsi="宋体" w:eastAsia="宋体" w:cs="宋体"/>
          <w:spacing w:val="5"/>
          <w:sz w:val="20"/>
          <w:szCs w:val="20"/>
        </w:rPr>
        <w:t>(</w:t>
      </w:r>
      <w:r>
        <w:rPr>
          <w:rFonts w:ascii="Times New Roman" w:hAnsi="Times New Roman" w:eastAsia="Times New Roman" w:cs="Times New Roman"/>
          <w:spacing w:val="5"/>
          <w:sz w:val="20"/>
          <w:szCs w:val="20"/>
        </w:rPr>
        <w:t>3</w:t>
      </w:r>
      <w:r>
        <w:rPr>
          <w:rFonts w:ascii="宋体" w:hAnsi="宋体" w:eastAsia="宋体" w:cs="宋体"/>
          <w:spacing w:val="5"/>
          <w:sz w:val="20"/>
          <w:szCs w:val="20"/>
        </w:rPr>
        <w:t xml:space="preserve">) 达州市国土空间规划委员会《第十次常务会会议纪要》  (第 </w:t>
      </w:r>
      <w:r>
        <w:rPr>
          <w:rFonts w:ascii="Times New Roman" w:hAnsi="Times New Roman" w:eastAsia="Times New Roman" w:cs="Times New Roman"/>
          <w:spacing w:val="5"/>
          <w:sz w:val="20"/>
          <w:szCs w:val="20"/>
        </w:rPr>
        <w:t xml:space="preserve">33 </w:t>
      </w:r>
      <w:r>
        <w:rPr>
          <w:rFonts w:ascii="宋体" w:hAnsi="宋体" w:eastAsia="宋体" w:cs="宋体"/>
          <w:spacing w:val="5"/>
          <w:sz w:val="20"/>
          <w:szCs w:val="20"/>
        </w:rPr>
        <w:t>期) ，</w:t>
      </w:r>
      <w:r>
        <w:rPr>
          <w:rFonts w:ascii="Times New Roman" w:hAnsi="Times New Roman" w:eastAsia="Times New Roman" w:cs="Times New Roman"/>
          <w:spacing w:val="5"/>
          <w:sz w:val="20"/>
          <w:szCs w:val="20"/>
        </w:rPr>
        <w:t>2022. 10.2</w:t>
      </w:r>
      <w:r>
        <w:rPr>
          <w:rFonts w:ascii="Times New Roman" w:hAnsi="Times New Roman" w:eastAsia="Times New Roman" w:cs="Times New Roman"/>
          <w:spacing w:val="4"/>
          <w:sz w:val="20"/>
          <w:szCs w:val="20"/>
        </w:rPr>
        <w:t>8</w:t>
      </w:r>
    </w:p>
    <w:p>
      <w:pPr>
        <w:spacing w:before="154" w:line="369" w:lineRule="auto"/>
        <w:ind w:left="8" w:right="67" w:firstLine="425"/>
        <w:rPr>
          <w:rFonts w:ascii="宋体" w:hAnsi="宋体" w:eastAsia="宋体" w:cs="宋体"/>
          <w:sz w:val="20"/>
          <w:szCs w:val="20"/>
        </w:rPr>
      </w:pPr>
      <w:r>
        <w:rPr>
          <w:rFonts w:ascii="宋体" w:hAnsi="宋体" w:eastAsia="宋体" w:cs="宋体"/>
          <w:spacing w:val="6"/>
          <w:sz w:val="20"/>
          <w:szCs w:val="20"/>
        </w:rPr>
        <w:t>(</w:t>
      </w:r>
      <w:r>
        <w:rPr>
          <w:rFonts w:ascii="Times New Roman" w:hAnsi="Times New Roman" w:eastAsia="Times New Roman" w:cs="Times New Roman"/>
          <w:spacing w:val="6"/>
          <w:sz w:val="20"/>
          <w:szCs w:val="20"/>
        </w:rPr>
        <w:t>4</w:t>
      </w:r>
      <w:r>
        <w:rPr>
          <w:rFonts w:ascii="宋体" w:hAnsi="宋体" w:eastAsia="宋体" w:cs="宋体"/>
          <w:spacing w:val="6"/>
          <w:sz w:val="20"/>
          <w:szCs w:val="20"/>
        </w:rPr>
        <w:t xml:space="preserve">) 达州市自然资源和规划局《建设项目用地预审与选址意见书》(用字第 </w:t>
      </w:r>
      <w:r>
        <w:rPr>
          <w:rFonts w:ascii="Times New Roman" w:hAnsi="Times New Roman" w:eastAsia="Times New Roman" w:cs="Times New Roman"/>
          <w:spacing w:val="6"/>
          <w:sz w:val="20"/>
          <w:szCs w:val="20"/>
        </w:rPr>
        <w:t>51170020220002</w:t>
      </w:r>
      <w:r>
        <w:rPr>
          <w:rFonts w:ascii="Times New Roman" w:hAnsi="Times New Roman" w:eastAsia="Times New Roman" w:cs="Times New Roman"/>
          <w:spacing w:val="4"/>
          <w:sz w:val="20"/>
          <w:szCs w:val="20"/>
        </w:rPr>
        <w:t>1</w:t>
      </w:r>
      <w:r>
        <w:rPr>
          <w:rFonts w:ascii="Times New Roman" w:hAnsi="Times New Roman" w:eastAsia="Times New Roman" w:cs="Times New Roman"/>
          <w:sz w:val="20"/>
          <w:szCs w:val="20"/>
        </w:rPr>
        <w:t xml:space="preserve"> </w:t>
      </w:r>
      <w:r>
        <w:rPr>
          <w:rFonts w:ascii="宋体" w:hAnsi="宋体" w:eastAsia="宋体" w:cs="宋体"/>
          <w:spacing w:val="9"/>
          <w:sz w:val="20"/>
          <w:szCs w:val="20"/>
        </w:rPr>
        <w:t>号) 、《土地利用项目规划审查图》《达州市高家坝大桥项目用地红线图</w:t>
      </w:r>
      <w:r>
        <w:rPr>
          <w:rFonts w:ascii="宋体" w:hAnsi="宋体" w:eastAsia="宋体" w:cs="宋体"/>
          <w:spacing w:val="7"/>
          <w:sz w:val="20"/>
          <w:szCs w:val="20"/>
        </w:rPr>
        <w:t>》</w:t>
      </w:r>
    </w:p>
    <w:p>
      <w:pPr>
        <w:spacing w:before="2" w:line="369" w:lineRule="auto"/>
        <w:ind w:left="9" w:right="68" w:firstLine="424"/>
        <w:rPr>
          <w:rFonts w:ascii="宋体" w:hAnsi="宋体" w:eastAsia="宋体" w:cs="宋体"/>
          <w:sz w:val="20"/>
          <w:szCs w:val="20"/>
        </w:rPr>
      </w:pPr>
      <w:r>
        <w:rPr>
          <w:rFonts w:ascii="宋体" w:hAnsi="宋体" w:eastAsia="宋体" w:cs="宋体"/>
          <w:spacing w:val="9"/>
          <w:sz w:val="20"/>
          <w:szCs w:val="20"/>
        </w:rPr>
        <w:t>(</w:t>
      </w:r>
      <w:r>
        <w:rPr>
          <w:rFonts w:ascii="Times New Roman" w:hAnsi="Times New Roman" w:eastAsia="Times New Roman" w:cs="Times New Roman"/>
          <w:spacing w:val="7"/>
          <w:sz w:val="20"/>
          <w:szCs w:val="20"/>
        </w:rPr>
        <w:t>5</w:t>
      </w:r>
      <w:r>
        <w:rPr>
          <w:rFonts w:ascii="宋体" w:hAnsi="宋体" w:eastAsia="宋体" w:cs="宋体"/>
          <w:spacing w:val="7"/>
          <w:sz w:val="20"/>
          <w:szCs w:val="20"/>
        </w:rPr>
        <w:t>) 达州市交通运输局《关于高家坝大桥项目航道通航条件影响评价报告审核意见的函》(达</w:t>
      </w:r>
      <w:r>
        <w:rPr>
          <w:rFonts w:ascii="宋体" w:hAnsi="宋体" w:eastAsia="宋体" w:cs="宋体"/>
          <w:sz w:val="20"/>
          <w:szCs w:val="20"/>
        </w:rPr>
        <w:t xml:space="preserve"> </w:t>
      </w:r>
      <w:r>
        <w:rPr>
          <w:rFonts w:ascii="宋体" w:hAnsi="宋体" w:eastAsia="宋体" w:cs="宋体"/>
          <w:spacing w:val="10"/>
          <w:sz w:val="20"/>
          <w:szCs w:val="20"/>
        </w:rPr>
        <w:t>市</w:t>
      </w:r>
      <w:r>
        <w:rPr>
          <w:rFonts w:ascii="宋体" w:hAnsi="宋体" w:eastAsia="宋体" w:cs="宋体"/>
          <w:spacing w:val="8"/>
          <w:sz w:val="20"/>
          <w:szCs w:val="20"/>
        </w:rPr>
        <w:t>交</w:t>
      </w:r>
      <w:r>
        <w:rPr>
          <w:rFonts w:ascii="宋体" w:hAnsi="宋体" w:eastAsia="宋体" w:cs="宋体"/>
          <w:spacing w:val="5"/>
          <w:sz w:val="20"/>
          <w:szCs w:val="20"/>
        </w:rPr>
        <w:t>函〔</w:t>
      </w:r>
      <w:r>
        <w:rPr>
          <w:rFonts w:ascii="Times New Roman" w:hAnsi="Times New Roman" w:eastAsia="Times New Roman" w:cs="Times New Roman"/>
          <w:spacing w:val="5"/>
          <w:sz w:val="20"/>
          <w:szCs w:val="20"/>
        </w:rPr>
        <w:t>2023</w:t>
      </w:r>
      <w:r>
        <w:rPr>
          <w:rFonts w:ascii="宋体" w:hAnsi="宋体" w:eastAsia="宋体" w:cs="宋体"/>
          <w:spacing w:val="5"/>
          <w:sz w:val="20"/>
          <w:szCs w:val="20"/>
        </w:rPr>
        <w:t>〕</w:t>
      </w:r>
      <w:r>
        <w:rPr>
          <w:rFonts w:ascii="Times New Roman" w:hAnsi="Times New Roman" w:eastAsia="Times New Roman" w:cs="Times New Roman"/>
          <w:spacing w:val="5"/>
          <w:sz w:val="20"/>
          <w:szCs w:val="20"/>
        </w:rPr>
        <w:t xml:space="preserve">81 </w:t>
      </w:r>
      <w:r>
        <w:rPr>
          <w:rFonts w:ascii="宋体" w:hAnsi="宋体" w:eastAsia="宋体" w:cs="宋体"/>
          <w:spacing w:val="5"/>
          <w:sz w:val="20"/>
          <w:szCs w:val="20"/>
        </w:rPr>
        <w:t>号)</w:t>
      </w:r>
    </w:p>
    <w:p>
      <w:pPr>
        <w:spacing w:before="2" w:line="368" w:lineRule="auto"/>
        <w:ind w:left="13" w:firstLine="420"/>
        <w:rPr>
          <w:rFonts w:ascii="宋体" w:hAnsi="宋体" w:eastAsia="宋体" w:cs="宋体"/>
          <w:sz w:val="20"/>
          <w:szCs w:val="20"/>
        </w:rPr>
      </w:pPr>
      <w:r>
        <w:rPr>
          <w:rFonts w:ascii="宋体" w:hAnsi="宋体" w:eastAsia="宋体" w:cs="宋体"/>
          <w:spacing w:val="21"/>
          <w:sz w:val="20"/>
          <w:szCs w:val="20"/>
        </w:rPr>
        <w:t>(</w:t>
      </w:r>
      <w:r>
        <w:rPr>
          <w:rFonts w:ascii="Times New Roman" w:hAnsi="Times New Roman" w:eastAsia="Times New Roman" w:cs="Times New Roman"/>
          <w:spacing w:val="11"/>
          <w:sz w:val="20"/>
          <w:szCs w:val="20"/>
        </w:rPr>
        <w:t>6</w:t>
      </w:r>
      <w:r>
        <w:rPr>
          <w:rFonts w:ascii="宋体" w:hAnsi="宋体" w:eastAsia="宋体" w:cs="宋体"/>
          <w:spacing w:val="11"/>
          <w:sz w:val="20"/>
          <w:szCs w:val="20"/>
        </w:rPr>
        <w:t>) 达州市水务局《关于达州市高家坝大桥建设项目行洪论证与河势稳定评价报告的批复》</w:t>
      </w:r>
      <w:r>
        <w:rPr>
          <w:rFonts w:ascii="宋体" w:hAnsi="宋体" w:eastAsia="宋体" w:cs="宋体"/>
          <w:sz w:val="20"/>
          <w:szCs w:val="20"/>
        </w:rPr>
        <w:t xml:space="preserve"> </w:t>
      </w:r>
      <w:r>
        <w:rPr>
          <w:rFonts w:ascii="宋体" w:hAnsi="宋体" w:eastAsia="宋体" w:cs="宋体"/>
          <w:spacing w:val="12"/>
          <w:sz w:val="20"/>
          <w:szCs w:val="20"/>
        </w:rPr>
        <w:t>(达市水审函〔</w:t>
      </w:r>
      <w:r>
        <w:rPr>
          <w:rFonts w:ascii="Times New Roman" w:hAnsi="Times New Roman" w:eastAsia="Times New Roman" w:cs="Times New Roman"/>
          <w:spacing w:val="12"/>
          <w:sz w:val="20"/>
          <w:szCs w:val="20"/>
        </w:rPr>
        <w:t>2023</w:t>
      </w:r>
      <w:r>
        <w:rPr>
          <w:rFonts w:ascii="宋体" w:hAnsi="宋体" w:eastAsia="宋体" w:cs="宋体"/>
          <w:spacing w:val="12"/>
          <w:sz w:val="20"/>
          <w:szCs w:val="20"/>
        </w:rPr>
        <w:t>〕</w:t>
      </w:r>
      <w:r>
        <w:rPr>
          <w:rFonts w:ascii="Times New Roman" w:hAnsi="Times New Roman" w:eastAsia="Times New Roman" w:cs="Times New Roman"/>
          <w:spacing w:val="12"/>
          <w:sz w:val="20"/>
          <w:szCs w:val="20"/>
        </w:rPr>
        <w:t xml:space="preserve">29 </w:t>
      </w:r>
      <w:r>
        <w:rPr>
          <w:rFonts w:ascii="宋体" w:hAnsi="宋体" w:eastAsia="宋体" w:cs="宋体"/>
          <w:spacing w:val="12"/>
          <w:sz w:val="20"/>
          <w:szCs w:val="20"/>
        </w:rPr>
        <w:t>号</w:t>
      </w:r>
      <w:r>
        <w:rPr>
          <w:rFonts w:ascii="宋体" w:hAnsi="宋体" w:eastAsia="宋体" w:cs="宋体"/>
          <w:spacing w:val="10"/>
          <w:sz w:val="20"/>
          <w:szCs w:val="20"/>
        </w:rPr>
        <w:t>)</w:t>
      </w:r>
    </w:p>
    <w:p>
      <w:pPr>
        <w:spacing w:before="1" w:line="226" w:lineRule="auto"/>
        <w:ind w:left="433"/>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4"/>
          <w:sz w:val="20"/>
          <w:szCs w:val="20"/>
        </w:rPr>
        <w:t>7</w:t>
      </w:r>
      <w:r>
        <w:rPr>
          <w:rFonts w:ascii="宋体" w:hAnsi="宋体" w:eastAsia="宋体" w:cs="宋体"/>
          <w:spacing w:val="14"/>
          <w:sz w:val="20"/>
          <w:szCs w:val="20"/>
        </w:rPr>
        <w:t>) 建设单位提供的其他资料</w:t>
      </w:r>
    </w:p>
    <w:p>
      <w:pPr>
        <w:spacing w:before="162" w:line="230" w:lineRule="auto"/>
        <w:ind w:left="23"/>
        <w:outlineLvl w:val="2"/>
        <w:rPr>
          <w:rFonts w:ascii="黑体" w:hAnsi="黑体" w:eastAsia="黑体" w:cs="黑体"/>
          <w:sz w:val="23"/>
          <w:szCs w:val="23"/>
        </w:rPr>
      </w:pPr>
      <w:bookmarkStart w:id="10" w:name="_bookmark11"/>
      <w:bookmarkEnd w:id="10"/>
      <w:r>
        <w:rPr>
          <w:rFonts w:ascii="Times New Roman" w:hAnsi="Times New Roman" w:eastAsia="Times New Roman" w:cs="Times New Roman"/>
          <w:spacing w:val="5"/>
          <w:sz w:val="23"/>
          <w:szCs w:val="23"/>
        </w:rPr>
        <w:t>1</w:t>
      </w:r>
      <w:r>
        <w:rPr>
          <w:rFonts w:ascii="Times New Roman" w:hAnsi="Times New Roman" w:eastAsia="Times New Roman" w:cs="Times New Roman"/>
          <w:spacing w:val="3"/>
          <w:sz w:val="23"/>
          <w:szCs w:val="23"/>
        </w:rPr>
        <w:t xml:space="preserve">.3  </w:t>
      </w:r>
      <w:r>
        <w:rPr>
          <w:rFonts w:ascii="黑体" w:hAnsi="黑体" w:eastAsia="黑体" w:cs="黑体"/>
          <w:spacing w:val="3"/>
          <w:sz w:val="23"/>
          <w:szCs w:val="23"/>
        </w:rPr>
        <w:t>评价因子</w:t>
      </w:r>
    </w:p>
    <w:p>
      <w:pPr>
        <w:spacing w:before="145" w:line="378" w:lineRule="auto"/>
        <w:ind w:left="29" w:right="69" w:firstLine="394"/>
        <w:rPr>
          <w:rFonts w:ascii="宋体" w:hAnsi="宋体" w:eastAsia="宋体" w:cs="宋体"/>
          <w:sz w:val="20"/>
          <w:szCs w:val="20"/>
        </w:rPr>
      </w:pPr>
      <w:r>
        <w:rPr>
          <w:rFonts w:ascii="宋体" w:hAnsi="宋体" w:eastAsia="宋体" w:cs="宋体"/>
          <w:spacing w:val="20"/>
          <w:sz w:val="20"/>
          <w:szCs w:val="20"/>
        </w:rPr>
        <w:t>根</w:t>
      </w:r>
      <w:r>
        <w:rPr>
          <w:rFonts w:ascii="宋体" w:hAnsi="宋体" w:eastAsia="宋体" w:cs="宋体"/>
          <w:spacing w:val="13"/>
          <w:sz w:val="20"/>
          <w:szCs w:val="20"/>
        </w:rPr>
        <w:t>据</w:t>
      </w:r>
      <w:r>
        <w:rPr>
          <w:rFonts w:ascii="宋体" w:hAnsi="宋体" w:eastAsia="宋体" w:cs="宋体"/>
          <w:spacing w:val="10"/>
          <w:sz w:val="20"/>
          <w:szCs w:val="20"/>
        </w:rPr>
        <w:t>环境影响因素识别，并结合《环境影响评价技术导则》要求，确定本次专题评价的主要</w:t>
      </w:r>
      <w:r>
        <w:rPr>
          <w:rFonts w:ascii="宋体" w:hAnsi="宋体" w:eastAsia="宋体" w:cs="宋体"/>
          <w:sz w:val="20"/>
          <w:szCs w:val="20"/>
        </w:rPr>
        <w:t xml:space="preserve"> </w:t>
      </w:r>
      <w:r>
        <w:rPr>
          <w:rFonts w:ascii="宋体" w:hAnsi="宋体" w:eastAsia="宋体" w:cs="宋体"/>
          <w:spacing w:val="6"/>
          <w:sz w:val="20"/>
          <w:szCs w:val="20"/>
        </w:rPr>
        <w:t>内容和评价因子见下表</w:t>
      </w:r>
      <w:r>
        <w:rPr>
          <w:rFonts w:ascii="宋体" w:hAnsi="宋体" w:eastAsia="宋体" w:cs="宋体"/>
          <w:spacing w:val="4"/>
          <w:sz w:val="20"/>
          <w:szCs w:val="20"/>
        </w:rPr>
        <w:t>。</w:t>
      </w:r>
    </w:p>
    <w:p>
      <w:pPr>
        <w:sectPr>
          <w:footerReference r:id="rId106" w:type="default"/>
          <w:pgSz w:w="11906" w:h="16839"/>
          <w:pgMar w:top="400" w:right="1464" w:bottom="1027" w:left="1535" w:header="0" w:footer="840" w:gutter="0"/>
          <w:cols w:space="720" w:num="1"/>
        </w:sect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62" w:line="226" w:lineRule="auto"/>
        <w:ind w:left="2374"/>
        <w:rPr>
          <w:rFonts w:ascii="黑体" w:hAnsi="黑体" w:eastAsia="黑体" w:cs="黑体"/>
          <w:sz w:val="19"/>
          <w:szCs w:val="19"/>
        </w:rPr>
      </w:pPr>
      <w:r>
        <w:rPr>
          <w:rFonts w:ascii="黑体" w:hAnsi="黑体" w:eastAsia="黑体" w:cs="黑体"/>
          <w:spacing w:val="11"/>
          <w:sz w:val="19"/>
          <w:szCs w:val="19"/>
        </w:rPr>
        <w:t>表</w:t>
      </w:r>
      <w:r>
        <w:rPr>
          <w:rFonts w:ascii="Times New Roman" w:hAnsi="Times New Roman" w:eastAsia="Times New Roman" w:cs="Times New Roman"/>
          <w:spacing w:val="8"/>
          <w:sz w:val="19"/>
          <w:szCs w:val="19"/>
        </w:rPr>
        <w:t xml:space="preserve">1    </w:t>
      </w:r>
      <w:r>
        <w:rPr>
          <w:rFonts w:ascii="黑体" w:hAnsi="黑体" w:eastAsia="黑体" w:cs="黑体"/>
          <w:spacing w:val="8"/>
          <w:sz w:val="19"/>
          <w:szCs w:val="19"/>
        </w:rPr>
        <w:t>项目声环境影响评价内容与评价因子筛选</w:t>
      </w:r>
    </w:p>
    <w:tbl>
      <w:tblPr>
        <w:tblStyle w:val="4"/>
        <w:tblW w:w="8603" w:type="dxa"/>
        <w:tblInd w:w="1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5"/>
        <w:gridCol w:w="2372"/>
        <w:gridCol w:w="1823"/>
        <w:gridCol w:w="1619"/>
        <w:gridCol w:w="13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435" w:type="dxa"/>
            <w:vMerge w:val="restart"/>
            <w:tcBorders>
              <w:bottom w:val="nil"/>
            </w:tcBorders>
            <w:vAlign w:val="top"/>
          </w:tcPr>
          <w:p>
            <w:pPr>
              <w:spacing w:before="277" w:line="230" w:lineRule="auto"/>
              <w:ind w:left="360"/>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环境要</w:t>
            </w:r>
            <w:r>
              <w:rPr>
                <w:rFonts w:ascii="宋体" w:hAnsi="宋体" w:eastAsia="宋体" w:cs="宋体"/>
                <w:spacing w:val="8"/>
                <w:sz w:val="17"/>
                <w:szCs w:val="17"/>
                <w14:textOutline w14:w="3268" w14:cap="sq" w14:cmpd="sng">
                  <w14:solidFill>
                    <w14:srgbClr w14:val="000000"/>
                  </w14:solidFill>
                  <w14:prstDash w14:val="solid"/>
                  <w14:bevel/>
                </w14:textOutline>
              </w:rPr>
              <w:t>素</w:t>
            </w:r>
          </w:p>
        </w:tc>
        <w:tc>
          <w:tcPr>
            <w:tcW w:w="2372" w:type="dxa"/>
            <w:vMerge w:val="restart"/>
            <w:tcBorders>
              <w:bottom w:val="nil"/>
            </w:tcBorders>
            <w:vAlign w:val="top"/>
          </w:tcPr>
          <w:p>
            <w:pPr>
              <w:spacing w:before="277" w:line="229" w:lineRule="auto"/>
              <w:ind w:left="649"/>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主要评价内</w:t>
            </w:r>
            <w:r>
              <w:rPr>
                <w:rFonts w:ascii="宋体" w:hAnsi="宋体" w:eastAsia="宋体" w:cs="宋体"/>
                <w:spacing w:val="8"/>
                <w:sz w:val="17"/>
                <w:szCs w:val="17"/>
                <w14:textOutline w14:w="3268" w14:cap="sq" w14:cmpd="sng">
                  <w14:solidFill>
                    <w14:srgbClr w14:val="000000"/>
                  </w14:solidFill>
                  <w14:prstDash w14:val="solid"/>
                  <w14:bevel/>
                </w14:textOutline>
              </w:rPr>
              <w:t>容</w:t>
            </w:r>
          </w:p>
        </w:tc>
        <w:tc>
          <w:tcPr>
            <w:tcW w:w="4796" w:type="dxa"/>
            <w:gridSpan w:val="3"/>
            <w:vAlign w:val="top"/>
          </w:tcPr>
          <w:p>
            <w:pPr>
              <w:spacing w:before="102" w:line="229" w:lineRule="auto"/>
              <w:ind w:left="2038"/>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评价因子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435" w:type="dxa"/>
            <w:vMerge w:val="continue"/>
            <w:tcBorders>
              <w:top w:val="nil"/>
            </w:tcBorders>
            <w:vAlign w:val="top"/>
          </w:tcPr>
          <w:p>
            <w:pPr>
              <w:rPr>
                <w:rFonts w:ascii="Arial"/>
                <w:sz w:val="21"/>
              </w:rPr>
            </w:pPr>
          </w:p>
        </w:tc>
        <w:tc>
          <w:tcPr>
            <w:tcW w:w="2372" w:type="dxa"/>
            <w:vMerge w:val="continue"/>
            <w:tcBorders>
              <w:top w:val="nil"/>
            </w:tcBorders>
            <w:vAlign w:val="top"/>
          </w:tcPr>
          <w:p>
            <w:pPr>
              <w:rPr>
                <w:rFonts w:ascii="Arial"/>
                <w:sz w:val="21"/>
              </w:rPr>
            </w:pPr>
          </w:p>
        </w:tc>
        <w:tc>
          <w:tcPr>
            <w:tcW w:w="1823" w:type="dxa"/>
            <w:vAlign w:val="top"/>
          </w:tcPr>
          <w:p>
            <w:pPr>
              <w:spacing w:before="101" w:line="229" w:lineRule="auto"/>
              <w:ind w:left="284"/>
              <w:rPr>
                <w:rFonts w:ascii="宋体" w:hAnsi="宋体" w:eastAsia="宋体" w:cs="宋体"/>
                <w:sz w:val="17"/>
                <w:szCs w:val="17"/>
              </w:rPr>
            </w:pPr>
            <w:r>
              <w:rPr>
                <w:rFonts w:ascii="宋体" w:hAnsi="宋体" w:eastAsia="宋体" w:cs="宋体"/>
                <w:spacing w:val="12"/>
                <w:sz w:val="17"/>
                <w:szCs w:val="17"/>
                <w14:textOutline w14:w="3268" w14:cap="sq" w14:cmpd="sng">
                  <w14:solidFill>
                    <w14:srgbClr w14:val="000000"/>
                  </w14:solidFill>
                  <w14:prstDash w14:val="solid"/>
                  <w14:bevel/>
                </w14:textOutline>
              </w:rPr>
              <w:t>污</w:t>
            </w:r>
            <w:r>
              <w:rPr>
                <w:rFonts w:ascii="宋体" w:hAnsi="宋体" w:eastAsia="宋体" w:cs="宋体"/>
                <w:spacing w:val="9"/>
                <w:sz w:val="17"/>
                <w:szCs w:val="17"/>
                <w14:textOutline w14:w="3268" w14:cap="sq" w14:cmpd="sng">
                  <w14:solidFill>
                    <w14:srgbClr w14:val="000000"/>
                  </w14:solidFill>
                  <w14:prstDash w14:val="solid"/>
                  <w14:bevel/>
                </w14:textOutline>
              </w:rPr>
              <w:t>染源评价因子</w:t>
            </w:r>
          </w:p>
        </w:tc>
        <w:tc>
          <w:tcPr>
            <w:tcW w:w="1619" w:type="dxa"/>
            <w:vAlign w:val="top"/>
          </w:tcPr>
          <w:p>
            <w:pPr>
              <w:spacing w:before="101" w:line="229" w:lineRule="auto"/>
              <w:ind w:left="275"/>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现状评价因</w:t>
            </w:r>
            <w:r>
              <w:rPr>
                <w:rFonts w:ascii="宋体" w:hAnsi="宋体" w:eastAsia="宋体" w:cs="宋体"/>
                <w:spacing w:val="8"/>
                <w:sz w:val="17"/>
                <w:szCs w:val="17"/>
                <w14:textOutline w14:w="3268" w14:cap="sq" w14:cmpd="sng">
                  <w14:solidFill>
                    <w14:srgbClr w14:val="000000"/>
                  </w14:solidFill>
                  <w14:prstDash w14:val="solid"/>
                  <w14:bevel/>
                </w14:textOutline>
              </w:rPr>
              <w:t>子</w:t>
            </w:r>
          </w:p>
        </w:tc>
        <w:tc>
          <w:tcPr>
            <w:tcW w:w="1354" w:type="dxa"/>
            <w:vAlign w:val="top"/>
          </w:tcPr>
          <w:p>
            <w:pPr>
              <w:spacing w:before="101" w:line="231" w:lineRule="auto"/>
              <w:ind w:left="322"/>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预测因</w:t>
            </w:r>
            <w:r>
              <w:rPr>
                <w:rFonts w:ascii="宋体" w:hAnsi="宋体" w:eastAsia="宋体" w:cs="宋体"/>
                <w:spacing w:val="7"/>
                <w:sz w:val="17"/>
                <w:szCs w:val="17"/>
                <w14:textOutline w14:w="3268" w14:cap="sq" w14:cmpd="sng">
                  <w14:solidFill>
                    <w14:srgbClr w14:val="000000"/>
                  </w14:solidFill>
                  <w14:prstDash w14:val="solid"/>
                  <w14:bevel/>
                </w14:textOutline>
              </w:rPr>
              <w:t>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435" w:type="dxa"/>
            <w:vAlign w:val="top"/>
          </w:tcPr>
          <w:p>
            <w:pPr>
              <w:spacing w:before="214" w:line="231" w:lineRule="auto"/>
              <w:ind w:left="455"/>
              <w:rPr>
                <w:rFonts w:ascii="宋体" w:hAnsi="宋体" w:eastAsia="宋体" w:cs="宋体"/>
                <w:sz w:val="17"/>
                <w:szCs w:val="17"/>
              </w:rPr>
            </w:pPr>
            <w:r>
              <w:rPr>
                <w:rFonts w:ascii="宋体" w:hAnsi="宋体" w:eastAsia="宋体" w:cs="宋体"/>
                <w:spacing w:val="7"/>
                <w:sz w:val="17"/>
                <w:szCs w:val="17"/>
              </w:rPr>
              <w:t>声</w:t>
            </w:r>
            <w:r>
              <w:rPr>
                <w:rFonts w:ascii="宋体" w:hAnsi="宋体" w:eastAsia="宋体" w:cs="宋体"/>
                <w:spacing w:val="6"/>
                <w:sz w:val="17"/>
                <w:szCs w:val="17"/>
              </w:rPr>
              <w:t>环境</w:t>
            </w:r>
          </w:p>
        </w:tc>
        <w:tc>
          <w:tcPr>
            <w:tcW w:w="2372" w:type="dxa"/>
            <w:vAlign w:val="top"/>
          </w:tcPr>
          <w:p>
            <w:pPr>
              <w:spacing w:before="72" w:line="231" w:lineRule="auto"/>
              <w:ind w:left="470"/>
              <w:rPr>
                <w:rFonts w:ascii="宋体" w:hAnsi="宋体" w:eastAsia="宋体" w:cs="宋体"/>
                <w:sz w:val="17"/>
                <w:szCs w:val="17"/>
              </w:rPr>
            </w:pPr>
            <w:r>
              <w:rPr>
                <w:rFonts w:ascii="宋体" w:hAnsi="宋体" w:eastAsia="宋体" w:cs="宋体"/>
                <w:spacing w:val="10"/>
                <w:sz w:val="17"/>
                <w:szCs w:val="17"/>
              </w:rPr>
              <w:t>施</w:t>
            </w:r>
            <w:r>
              <w:rPr>
                <w:rFonts w:ascii="宋体" w:hAnsi="宋体" w:eastAsia="宋体" w:cs="宋体"/>
                <w:spacing w:val="9"/>
                <w:sz w:val="17"/>
                <w:szCs w:val="17"/>
              </w:rPr>
              <w:t>工期：施工噪声</w:t>
            </w:r>
          </w:p>
          <w:p>
            <w:pPr>
              <w:spacing w:before="68" w:line="231" w:lineRule="auto"/>
              <w:ind w:left="476"/>
              <w:rPr>
                <w:rFonts w:ascii="宋体" w:hAnsi="宋体" w:eastAsia="宋体" w:cs="宋体"/>
                <w:sz w:val="17"/>
                <w:szCs w:val="17"/>
              </w:rPr>
            </w:pPr>
            <w:r>
              <w:rPr>
                <w:rFonts w:ascii="宋体" w:hAnsi="宋体" w:eastAsia="宋体" w:cs="宋体"/>
                <w:spacing w:val="11"/>
                <w:sz w:val="17"/>
                <w:szCs w:val="17"/>
              </w:rPr>
              <w:t>营</w:t>
            </w:r>
            <w:r>
              <w:rPr>
                <w:rFonts w:ascii="宋体" w:hAnsi="宋体" w:eastAsia="宋体" w:cs="宋体"/>
                <w:spacing w:val="8"/>
                <w:sz w:val="17"/>
                <w:szCs w:val="17"/>
              </w:rPr>
              <w:t>运期：交通噪声</w:t>
            </w:r>
          </w:p>
        </w:tc>
        <w:tc>
          <w:tcPr>
            <w:tcW w:w="1823" w:type="dxa"/>
            <w:vAlign w:val="top"/>
          </w:tcPr>
          <w:p>
            <w:pPr>
              <w:spacing w:before="243" w:line="199" w:lineRule="auto"/>
              <w:ind w:left="708"/>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L</w:t>
            </w:r>
            <w:r>
              <w:rPr>
                <w:rFonts w:ascii="Times New Roman" w:hAnsi="Times New Roman" w:eastAsia="Times New Roman" w:cs="Times New Roman"/>
                <w:spacing w:val="4"/>
                <w:sz w:val="17"/>
                <w:szCs w:val="17"/>
              </w:rPr>
              <w:t>Aeq</w:t>
            </w:r>
          </w:p>
        </w:tc>
        <w:tc>
          <w:tcPr>
            <w:tcW w:w="1619" w:type="dxa"/>
            <w:vAlign w:val="top"/>
          </w:tcPr>
          <w:p>
            <w:pPr>
              <w:spacing w:before="243" w:line="199" w:lineRule="auto"/>
              <w:ind w:left="60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L</w:t>
            </w:r>
            <w:r>
              <w:rPr>
                <w:rFonts w:ascii="Times New Roman" w:hAnsi="Times New Roman" w:eastAsia="Times New Roman" w:cs="Times New Roman"/>
                <w:spacing w:val="4"/>
                <w:sz w:val="17"/>
                <w:szCs w:val="17"/>
              </w:rPr>
              <w:t>Aeq</w:t>
            </w:r>
          </w:p>
        </w:tc>
        <w:tc>
          <w:tcPr>
            <w:tcW w:w="1354" w:type="dxa"/>
            <w:vAlign w:val="top"/>
          </w:tcPr>
          <w:p>
            <w:pPr>
              <w:spacing w:before="243" w:line="199" w:lineRule="auto"/>
              <w:ind w:left="473"/>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L</w:t>
            </w:r>
            <w:r>
              <w:rPr>
                <w:rFonts w:ascii="Times New Roman" w:hAnsi="Times New Roman" w:eastAsia="Times New Roman" w:cs="Times New Roman"/>
                <w:spacing w:val="4"/>
                <w:sz w:val="17"/>
                <w:szCs w:val="17"/>
              </w:rPr>
              <w:t>Aeq</w:t>
            </w:r>
          </w:p>
        </w:tc>
      </w:tr>
    </w:tbl>
    <w:p>
      <w:pPr>
        <w:spacing w:before="146" w:line="229" w:lineRule="auto"/>
        <w:ind w:left="20"/>
        <w:outlineLvl w:val="2"/>
        <w:rPr>
          <w:rFonts w:ascii="黑体" w:hAnsi="黑体" w:eastAsia="黑体" w:cs="黑体"/>
          <w:sz w:val="23"/>
          <w:szCs w:val="23"/>
        </w:rPr>
      </w:pPr>
      <w:bookmarkStart w:id="11" w:name="_bookmark12"/>
      <w:bookmarkEnd w:id="11"/>
      <w:r>
        <w:rPr>
          <w:rFonts w:ascii="Times New Roman" w:hAnsi="Times New Roman" w:eastAsia="Times New Roman" w:cs="Times New Roman"/>
          <w:spacing w:val="5"/>
          <w:sz w:val="23"/>
          <w:szCs w:val="23"/>
        </w:rPr>
        <w:t>1</w:t>
      </w:r>
      <w:r>
        <w:rPr>
          <w:rFonts w:ascii="Times New Roman" w:hAnsi="Times New Roman" w:eastAsia="Times New Roman" w:cs="Times New Roman"/>
          <w:spacing w:val="3"/>
          <w:sz w:val="23"/>
          <w:szCs w:val="23"/>
        </w:rPr>
        <w:t xml:space="preserve">.4  </w:t>
      </w:r>
      <w:r>
        <w:rPr>
          <w:rFonts w:ascii="黑体" w:hAnsi="黑体" w:eastAsia="黑体" w:cs="黑体"/>
          <w:spacing w:val="3"/>
          <w:sz w:val="23"/>
          <w:szCs w:val="23"/>
        </w:rPr>
        <w:t>评价等级</w:t>
      </w:r>
    </w:p>
    <w:p>
      <w:pPr>
        <w:spacing w:before="149" w:line="369" w:lineRule="auto"/>
        <w:ind w:right="2" w:firstLine="420"/>
        <w:rPr>
          <w:rFonts w:ascii="宋体" w:hAnsi="宋体" w:eastAsia="宋体" w:cs="宋体"/>
          <w:sz w:val="20"/>
          <w:szCs w:val="20"/>
        </w:rPr>
      </w:pPr>
      <w:r>
        <w:rPr>
          <w:rFonts w:ascii="宋体" w:hAnsi="宋体" w:eastAsia="宋体" w:cs="宋体"/>
          <w:spacing w:val="12"/>
          <w:sz w:val="20"/>
          <w:szCs w:val="20"/>
        </w:rPr>
        <w:t>根</w:t>
      </w:r>
      <w:r>
        <w:rPr>
          <w:rFonts w:ascii="宋体" w:hAnsi="宋体" w:eastAsia="宋体" w:cs="宋体"/>
          <w:spacing w:val="9"/>
          <w:sz w:val="20"/>
          <w:szCs w:val="20"/>
        </w:rPr>
        <w:t>据</w:t>
      </w:r>
      <w:r>
        <w:rPr>
          <w:rFonts w:ascii="宋体" w:hAnsi="宋体" w:eastAsia="宋体" w:cs="宋体"/>
          <w:spacing w:val="6"/>
          <w:sz w:val="20"/>
          <w:szCs w:val="20"/>
        </w:rPr>
        <w:t>《环境影响评价技术导则 声环境》  (</w:t>
      </w:r>
      <w:r>
        <w:rPr>
          <w:rFonts w:ascii="Times New Roman" w:hAnsi="Times New Roman" w:eastAsia="Times New Roman" w:cs="Times New Roman"/>
          <w:sz w:val="20"/>
          <w:szCs w:val="20"/>
        </w:rPr>
        <w:t>HJ</w:t>
      </w:r>
      <w:r>
        <w:rPr>
          <w:rFonts w:ascii="Times New Roman" w:hAnsi="Times New Roman" w:eastAsia="Times New Roman" w:cs="Times New Roman"/>
          <w:spacing w:val="6"/>
          <w:sz w:val="20"/>
          <w:szCs w:val="20"/>
        </w:rPr>
        <w:t xml:space="preserve"> 2.4</w:t>
      </w:r>
      <w:r>
        <w:rPr>
          <w:rFonts w:ascii="宋体" w:hAnsi="宋体" w:eastAsia="宋体" w:cs="宋体"/>
          <w:spacing w:val="6"/>
          <w:sz w:val="20"/>
          <w:szCs w:val="20"/>
        </w:rPr>
        <w:t>－</w:t>
      </w:r>
      <w:r>
        <w:rPr>
          <w:rFonts w:ascii="Times New Roman" w:hAnsi="Times New Roman" w:eastAsia="Times New Roman" w:cs="Times New Roman"/>
          <w:spacing w:val="6"/>
          <w:sz w:val="20"/>
          <w:szCs w:val="20"/>
        </w:rPr>
        <w:t>2021</w:t>
      </w:r>
      <w:r>
        <w:rPr>
          <w:rFonts w:ascii="宋体" w:hAnsi="宋体" w:eastAsia="宋体" w:cs="宋体"/>
          <w:spacing w:val="6"/>
          <w:sz w:val="20"/>
          <w:szCs w:val="20"/>
        </w:rPr>
        <w:t>) ，声环境影响评价工作的分级是依</w:t>
      </w:r>
      <w:r>
        <w:rPr>
          <w:rFonts w:ascii="宋体" w:hAnsi="宋体" w:eastAsia="宋体" w:cs="宋体"/>
          <w:sz w:val="20"/>
          <w:szCs w:val="20"/>
        </w:rPr>
        <w:t xml:space="preserve"> </w:t>
      </w:r>
      <w:r>
        <w:rPr>
          <w:rFonts w:ascii="宋体" w:hAnsi="宋体" w:eastAsia="宋体" w:cs="宋体"/>
          <w:spacing w:val="20"/>
          <w:sz w:val="20"/>
          <w:szCs w:val="20"/>
        </w:rPr>
        <w:t>据</w:t>
      </w:r>
      <w:r>
        <w:rPr>
          <w:rFonts w:ascii="宋体" w:hAnsi="宋体" w:eastAsia="宋体" w:cs="宋体"/>
          <w:spacing w:val="14"/>
          <w:sz w:val="20"/>
          <w:szCs w:val="20"/>
        </w:rPr>
        <w:t>建</w:t>
      </w:r>
      <w:r>
        <w:rPr>
          <w:rFonts w:ascii="宋体" w:hAnsi="宋体" w:eastAsia="宋体" w:cs="宋体"/>
          <w:spacing w:val="10"/>
          <w:sz w:val="20"/>
          <w:szCs w:val="20"/>
        </w:rPr>
        <w:t>设项目所在区域的声环境功能区类别、建设项目建设前后所在区域的声环境质量变化程度及</w:t>
      </w:r>
    </w:p>
    <w:p>
      <w:pPr>
        <w:spacing w:line="227" w:lineRule="auto"/>
        <w:ind w:left="5"/>
        <w:rPr>
          <w:rFonts w:ascii="宋体" w:hAnsi="宋体" w:eastAsia="宋体" w:cs="宋体"/>
          <w:sz w:val="20"/>
          <w:szCs w:val="20"/>
        </w:rPr>
      </w:pPr>
      <w:r>
        <w:rPr>
          <w:rFonts w:ascii="宋体" w:hAnsi="宋体" w:eastAsia="宋体" w:cs="宋体"/>
          <w:spacing w:val="9"/>
          <w:sz w:val="20"/>
          <w:szCs w:val="20"/>
        </w:rPr>
        <w:t>受</w:t>
      </w:r>
      <w:r>
        <w:rPr>
          <w:rFonts w:ascii="宋体" w:hAnsi="宋体" w:eastAsia="宋体" w:cs="宋体"/>
          <w:spacing w:val="8"/>
          <w:sz w:val="20"/>
          <w:szCs w:val="20"/>
        </w:rPr>
        <w:t>建设项目影响人口的数量。</w:t>
      </w:r>
    </w:p>
    <w:p>
      <w:pPr>
        <w:spacing w:before="98" w:line="228" w:lineRule="auto"/>
        <w:ind w:left="3075"/>
        <w:rPr>
          <w:rFonts w:ascii="黑体" w:hAnsi="黑体" w:eastAsia="黑体" w:cs="黑体"/>
          <w:sz w:val="19"/>
          <w:szCs w:val="19"/>
        </w:rPr>
      </w:pPr>
      <w:r>
        <w:rPr>
          <w:rFonts w:ascii="黑体" w:hAnsi="黑体" w:eastAsia="黑体" w:cs="黑体"/>
          <w:spacing w:val="9"/>
          <w:sz w:val="19"/>
          <w:szCs w:val="19"/>
        </w:rPr>
        <w:t>表</w:t>
      </w:r>
      <w:r>
        <w:rPr>
          <w:rFonts w:ascii="Times New Roman" w:hAnsi="Times New Roman" w:eastAsia="Times New Roman" w:cs="Times New Roman"/>
          <w:spacing w:val="7"/>
          <w:sz w:val="19"/>
          <w:szCs w:val="19"/>
        </w:rPr>
        <w:t xml:space="preserve">2    </w:t>
      </w:r>
      <w:r>
        <w:rPr>
          <w:rFonts w:ascii="黑体" w:hAnsi="黑体" w:eastAsia="黑体" w:cs="黑体"/>
          <w:spacing w:val="7"/>
          <w:sz w:val="19"/>
          <w:szCs w:val="19"/>
        </w:rPr>
        <w:t>声环境影响评价等级依据</w:t>
      </w:r>
    </w:p>
    <w:tbl>
      <w:tblPr>
        <w:tblStyle w:val="4"/>
        <w:tblW w:w="8761" w:type="dxa"/>
        <w:tblInd w:w="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6"/>
        <w:gridCol w:w="907"/>
        <w:gridCol w:w="5467"/>
        <w:gridCol w:w="18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496" w:type="dxa"/>
            <w:tcBorders>
              <w:right w:val="single" w:color="000000" w:sz="4" w:space="0"/>
            </w:tcBorders>
            <w:vAlign w:val="top"/>
          </w:tcPr>
          <w:p>
            <w:pPr>
              <w:spacing w:before="147" w:line="232" w:lineRule="auto"/>
              <w:ind w:left="71"/>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序</w:t>
            </w:r>
            <w:r>
              <w:rPr>
                <w:rFonts w:ascii="宋体" w:hAnsi="宋体" w:eastAsia="宋体" w:cs="宋体"/>
                <w:spacing w:val="6"/>
                <w:sz w:val="17"/>
                <w:szCs w:val="17"/>
                <w14:textOutline w14:w="3268" w14:cap="sq" w14:cmpd="sng">
                  <w14:solidFill>
                    <w14:srgbClr w14:val="000000"/>
                  </w14:solidFill>
                  <w14:prstDash w14:val="solid"/>
                  <w14:bevel/>
                </w14:textOutline>
              </w:rPr>
              <w:t>号</w:t>
            </w:r>
          </w:p>
        </w:tc>
        <w:tc>
          <w:tcPr>
            <w:tcW w:w="907" w:type="dxa"/>
            <w:tcBorders>
              <w:left w:val="single" w:color="000000" w:sz="4" w:space="0"/>
              <w:right w:val="single" w:color="000000" w:sz="4" w:space="0"/>
            </w:tcBorders>
            <w:vAlign w:val="top"/>
          </w:tcPr>
          <w:p>
            <w:pPr>
              <w:spacing w:before="147" w:line="229" w:lineRule="auto"/>
              <w:ind w:left="91"/>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评价等级</w:t>
            </w:r>
          </w:p>
        </w:tc>
        <w:tc>
          <w:tcPr>
            <w:tcW w:w="5467" w:type="dxa"/>
            <w:tcBorders>
              <w:left w:val="single" w:color="000000" w:sz="4" w:space="0"/>
            </w:tcBorders>
            <w:vAlign w:val="top"/>
          </w:tcPr>
          <w:p>
            <w:pPr>
              <w:spacing w:before="148" w:line="229" w:lineRule="auto"/>
              <w:ind w:left="2374"/>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判定依</w:t>
            </w:r>
            <w:r>
              <w:rPr>
                <w:rFonts w:ascii="宋体" w:hAnsi="宋体" w:eastAsia="宋体" w:cs="宋体"/>
                <w:spacing w:val="8"/>
                <w:sz w:val="17"/>
                <w:szCs w:val="17"/>
                <w14:textOutline w14:w="3268" w14:cap="sq" w14:cmpd="sng">
                  <w14:solidFill>
                    <w14:srgbClr w14:val="000000"/>
                  </w14:solidFill>
                  <w14:prstDash w14:val="solid"/>
                  <w14:bevel/>
                </w14:textOutline>
              </w:rPr>
              <w:t>据</w:t>
            </w:r>
          </w:p>
        </w:tc>
        <w:tc>
          <w:tcPr>
            <w:tcW w:w="1891" w:type="dxa"/>
            <w:vAlign w:val="top"/>
          </w:tcPr>
          <w:p>
            <w:pPr>
              <w:spacing w:before="148" w:line="229" w:lineRule="auto"/>
              <w:ind w:left="678"/>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本项目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496" w:type="dxa"/>
            <w:tcBorders>
              <w:right w:val="single" w:color="000000" w:sz="4" w:space="0"/>
            </w:tcBorders>
            <w:vAlign w:val="top"/>
          </w:tcPr>
          <w:p>
            <w:pPr>
              <w:spacing w:line="298" w:lineRule="auto"/>
              <w:rPr>
                <w:rFonts w:ascii="Arial"/>
                <w:sz w:val="21"/>
              </w:rPr>
            </w:pPr>
          </w:p>
          <w:p>
            <w:pPr>
              <w:spacing w:before="49" w:line="197" w:lineRule="auto"/>
              <w:ind w:left="222"/>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907" w:type="dxa"/>
            <w:tcBorders>
              <w:left w:val="single" w:color="000000" w:sz="4" w:space="0"/>
              <w:right w:val="single" w:color="000000" w:sz="4" w:space="0"/>
            </w:tcBorders>
            <w:vAlign w:val="top"/>
          </w:tcPr>
          <w:p>
            <w:pPr>
              <w:spacing w:line="261" w:lineRule="auto"/>
              <w:rPr>
                <w:rFonts w:ascii="Arial"/>
                <w:sz w:val="21"/>
              </w:rPr>
            </w:pPr>
          </w:p>
          <w:p>
            <w:pPr>
              <w:spacing w:before="55" w:line="232" w:lineRule="auto"/>
              <w:ind w:left="277"/>
              <w:rPr>
                <w:rFonts w:ascii="宋体" w:hAnsi="宋体" w:eastAsia="宋体" w:cs="宋体"/>
                <w:sz w:val="17"/>
                <w:szCs w:val="17"/>
              </w:rPr>
            </w:pPr>
            <w:r>
              <w:rPr>
                <w:rFonts w:ascii="宋体" w:hAnsi="宋体" w:eastAsia="宋体" w:cs="宋体"/>
                <w:spacing w:val="5"/>
                <w:sz w:val="17"/>
                <w:szCs w:val="17"/>
              </w:rPr>
              <w:t>一级</w:t>
            </w:r>
          </w:p>
        </w:tc>
        <w:tc>
          <w:tcPr>
            <w:tcW w:w="5467" w:type="dxa"/>
            <w:tcBorders>
              <w:left w:val="single" w:color="000000" w:sz="4" w:space="0"/>
            </w:tcBorders>
            <w:vAlign w:val="top"/>
          </w:tcPr>
          <w:p>
            <w:pPr>
              <w:spacing w:before="66" w:line="271" w:lineRule="auto"/>
              <w:ind w:left="55" w:right="51"/>
              <w:rPr>
                <w:rFonts w:ascii="宋体" w:hAnsi="宋体" w:eastAsia="宋体" w:cs="宋体"/>
                <w:sz w:val="17"/>
                <w:szCs w:val="17"/>
              </w:rPr>
            </w:pPr>
            <w:r>
              <w:rPr>
                <w:rFonts w:ascii="宋体" w:hAnsi="宋体" w:eastAsia="宋体" w:cs="宋体"/>
                <w:spacing w:val="10"/>
                <w:sz w:val="17"/>
                <w:szCs w:val="17"/>
              </w:rPr>
              <w:t>评价范</w:t>
            </w:r>
            <w:r>
              <w:rPr>
                <w:rFonts w:ascii="宋体" w:hAnsi="宋体" w:eastAsia="宋体" w:cs="宋体"/>
                <w:spacing w:val="6"/>
                <w:sz w:val="17"/>
                <w:szCs w:val="17"/>
              </w:rPr>
              <w:t>围</w:t>
            </w:r>
            <w:r>
              <w:rPr>
                <w:rFonts w:ascii="宋体" w:hAnsi="宋体" w:eastAsia="宋体" w:cs="宋体"/>
                <w:spacing w:val="5"/>
                <w:sz w:val="17"/>
                <w:szCs w:val="17"/>
              </w:rPr>
              <w:t xml:space="preserve">内有适用于 </w:t>
            </w:r>
            <w:r>
              <w:rPr>
                <w:rFonts w:ascii="Times New Roman" w:hAnsi="Times New Roman" w:eastAsia="Times New Roman" w:cs="Times New Roman"/>
                <w:sz w:val="17"/>
                <w:szCs w:val="17"/>
              </w:rPr>
              <w:t>GB</w:t>
            </w:r>
            <w:r>
              <w:rPr>
                <w:rFonts w:ascii="Times New Roman" w:hAnsi="Times New Roman" w:eastAsia="Times New Roman" w:cs="Times New Roman"/>
                <w:spacing w:val="5"/>
                <w:sz w:val="17"/>
                <w:szCs w:val="17"/>
              </w:rPr>
              <w:t xml:space="preserve">3096 </w:t>
            </w:r>
            <w:r>
              <w:rPr>
                <w:rFonts w:ascii="宋体" w:hAnsi="宋体" w:eastAsia="宋体" w:cs="宋体"/>
                <w:spacing w:val="5"/>
                <w:sz w:val="17"/>
                <w:szCs w:val="17"/>
              </w:rPr>
              <w:t xml:space="preserve">规定的 </w:t>
            </w:r>
            <w:r>
              <w:rPr>
                <w:rFonts w:ascii="Times New Roman" w:hAnsi="Times New Roman" w:eastAsia="Times New Roman" w:cs="Times New Roman"/>
                <w:spacing w:val="5"/>
                <w:sz w:val="17"/>
                <w:szCs w:val="17"/>
              </w:rPr>
              <w:t xml:space="preserve">0 </w:t>
            </w:r>
            <w:r>
              <w:rPr>
                <w:rFonts w:ascii="宋体" w:hAnsi="宋体" w:eastAsia="宋体" w:cs="宋体"/>
                <w:spacing w:val="5"/>
                <w:sz w:val="17"/>
                <w:szCs w:val="17"/>
              </w:rPr>
              <w:t>类声环境功能区域，或建设项</w:t>
            </w:r>
            <w:r>
              <w:rPr>
                <w:rFonts w:ascii="宋体" w:hAnsi="宋体" w:eastAsia="宋体" w:cs="宋体"/>
                <w:sz w:val="17"/>
                <w:szCs w:val="17"/>
              </w:rPr>
              <w:t xml:space="preserve"> </w:t>
            </w:r>
            <w:r>
              <w:rPr>
                <w:rFonts w:ascii="宋体" w:hAnsi="宋体" w:eastAsia="宋体" w:cs="宋体"/>
                <w:spacing w:val="8"/>
                <w:sz w:val="17"/>
                <w:szCs w:val="17"/>
              </w:rPr>
              <w:t xml:space="preserve">目建设前后评价范围内声环境保护目标噪声级增量达 </w:t>
            </w:r>
            <w:r>
              <w:rPr>
                <w:rFonts w:ascii="Times New Roman" w:hAnsi="Times New Roman" w:eastAsia="Times New Roman" w:cs="Times New Roman"/>
                <w:spacing w:val="8"/>
                <w:sz w:val="17"/>
                <w:szCs w:val="17"/>
              </w:rPr>
              <w:t>5</w:t>
            </w:r>
            <w:r>
              <w:rPr>
                <w:rFonts w:ascii="Times New Roman" w:hAnsi="Times New Roman" w:eastAsia="Times New Roman" w:cs="Times New Roman"/>
                <w:sz w:val="17"/>
                <w:szCs w:val="17"/>
              </w:rPr>
              <w:t>dB</w:t>
            </w:r>
            <w:r>
              <w:rPr>
                <w:rFonts w:ascii="Times New Roman" w:hAnsi="Times New Roman" w:eastAsia="Times New Roman" w:cs="Times New Roman"/>
                <w:spacing w:val="8"/>
                <w:sz w:val="17"/>
                <w:szCs w:val="17"/>
              </w:rPr>
              <w:t>(</w:t>
            </w:r>
            <w:r>
              <w:rPr>
                <w:rFonts w:ascii="Times New Roman" w:hAnsi="Times New Roman" w:eastAsia="Times New Roman" w:cs="Times New Roman"/>
                <w:sz w:val="17"/>
                <w:szCs w:val="17"/>
              </w:rPr>
              <w:t>A</w:t>
            </w:r>
            <w:r>
              <w:rPr>
                <w:rFonts w:ascii="Times New Roman" w:hAnsi="Times New Roman" w:eastAsia="Times New Roman" w:cs="Times New Roman"/>
                <w:spacing w:val="8"/>
                <w:sz w:val="17"/>
                <w:szCs w:val="17"/>
              </w:rPr>
              <w:t>)</w:t>
            </w:r>
            <w:r>
              <w:rPr>
                <w:rFonts w:ascii="宋体" w:hAnsi="宋体" w:eastAsia="宋体" w:cs="宋体"/>
                <w:spacing w:val="8"/>
                <w:sz w:val="17"/>
                <w:szCs w:val="17"/>
              </w:rPr>
              <w:t>以上(</w:t>
            </w:r>
            <w:r>
              <w:rPr>
                <w:rFonts w:ascii="宋体" w:hAnsi="宋体" w:eastAsia="宋体" w:cs="宋体"/>
                <w:spacing w:val="2"/>
                <w:sz w:val="17"/>
                <w:szCs w:val="17"/>
              </w:rPr>
              <w:t>不</w:t>
            </w:r>
            <w:r>
              <w:rPr>
                <w:rFonts w:ascii="宋体" w:hAnsi="宋体" w:eastAsia="宋体" w:cs="宋体"/>
                <w:sz w:val="17"/>
                <w:szCs w:val="17"/>
              </w:rPr>
              <w:t xml:space="preserve"> </w:t>
            </w:r>
            <w:r>
              <w:rPr>
                <w:rFonts w:ascii="宋体" w:hAnsi="宋体" w:eastAsia="宋体" w:cs="宋体"/>
                <w:spacing w:val="14"/>
                <w:sz w:val="17"/>
                <w:szCs w:val="17"/>
              </w:rPr>
              <w:t>含</w:t>
            </w:r>
            <w:r>
              <w:rPr>
                <w:rFonts w:ascii="宋体" w:hAnsi="宋体" w:eastAsia="宋体" w:cs="宋体"/>
                <w:spacing w:val="7"/>
                <w:sz w:val="17"/>
                <w:szCs w:val="17"/>
              </w:rPr>
              <w:t xml:space="preserve"> </w:t>
            </w:r>
            <w:r>
              <w:rPr>
                <w:rFonts w:ascii="Times New Roman" w:hAnsi="Times New Roman" w:eastAsia="Times New Roman" w:cs="Times New Roman"/>
                <w:spacing w:val="7"/>
                <w:sz w:val="17"/>
                <w:szCs w:val="17"/>
              </w:rPr>
              <w:t>5</w:t>
            </w:r>
            <w:r>
              <w:rPr>
                <w:rFonts w:ascii="Times New Roman" w:hAnsi="Times New Roman" w:eastAsia="Times New Roman" w:cs="Times New Roman"/>
                <w:sz w:val="17"/>
                <w:szCs w:val="17"/>
              </w:rPr>
              <w:t>dB</w:t>
            </w:r>
            <w:r>
              <w:rPr>
                <w:rFonts w:ascii="Times New Roman" w:hAnsi="Times New Roman" w:eastAsia="Times New Roman" w:cs="Times New Roman"/>
                <w:spacing w:val="7"/>
                <w:sz w:val="17"/>
                <w:szCs w:val="17"/>
              </w:rPr>
              <w:t>(</w:t>
            </w:r>
            <w:r>
              <w:rPr>
                <w:rFonts w:ascii="Times New Roman" w:hAnsi="Times New Roman" w:eastAsia="Times New Roman" w:cs="Times New Roman"/>
                <w:sz w:val="17"/>
                <w:szCs w:val="17"/>
              </w:rPr>
              <w:t>A</w:t>
            </w:r>
            <w:r>
              <w:rPr>
                <w:rFonts w:ascii="Times New Roman" w:hAnsi="Times New Roman" w:eastAsia="Times New Roman" w:cs="Times New Roman"/>
                <w:spacing w:val="7"/>
                <w:sz w:val="17"/>
                <w:szCs w:val="17"/>
              </w:rPr>
              <w:t>)</w:t>
            </w:r>
            <w:r>
              <w:rPr>
                <w:rFonts w:ascii="宋体" w:hAnsi="宋体" w:eastAsia="宋体" w:cs="宋体"/>
                <w:spacing w:val="7"/>
                <w:sz w:val="17"/>
                <w:szCs w:val="17"/>
              </w:rPr>
              <w:t>) ，或受影响人口数量显著增加时，按一级评价。</w:t>
            </w:r>
          </w:p>
        </w:tc>
        <w:tc>
          <w:tcPr>
            <w:tcW w:w="1891" w:type="dxa"/>
            <w:vMerge w:val="restart"/>
            <w:tcBorders>
              <w:bottom w:val="nil"/>
            </w:tcBorders>
            <w:vAlign w:val="top"/>
          </w:tcPr>
          <w:p>
            <w:pPr>
              <w:spacing w:before="169" w:line="275" w:lineRule="auto"/>
              <w:ind w:left="61" w:right="53"/>
              <w:rPr>
                <w:rFonts w:ascii="宋体" w:hAnsi="宋体" w:eastAsia="宋体" w:cs="宋体"/>
                <w:sz w:val="17"/>
                <w:szCs w:val="17"/>
              </w:rPr>
            </w:pPr>
            <w:r>
              <w:rPr>
                <w:rFonts w:ascii="宋体" w:hAnsi="宋体" w:eastAsia="宋体" w:cs="宋体"/>
                <w:spacing w:val="30"/>
                <w:sz w:val="17"/>
                <w:szCs w:val="17"/>
              </w:rPr>
              <w:t>所</w:t>
            </w:r>
            <w:r>
              <w:rPr>
                <w:rFonts w:ascii="宋体" w:hAnsi="宋体" w:eastAsia="宋体" w:cs="宋体"/>
                <w:spacing w:val="26"/>
                <w:sz w:val="17"/>
                <w:szCs w:val="17"/>
              </w:rPr>
              <w:t>处的声环境功能区</w:t>
            </w:r>
            <w:r>
              <w:rPr>
                <w:rFonts w:ascii="宋体" w:hAnsi="宋体" w:eastAsia="宋体" w:cs="宋体"/>
                <w:sz w:val="17"/>
                <w:szCs w:val="17"/>
              </w:rPr>
              <w:t xml:space="preserve"> </w:t>
            </w:r>
            <w:r>
              <w:rPr>
                <w:rFonts w:ascii="宋体" w:hAnsi="宋体" w:eastAsia="宋体" w:cs="宋体"/>
                <w:spacing w:val="1"/>
                <w:sz w:val="17"/>
                <w:szCs w:val="17"/>
              </w:rPr>
              <w:t xml:space="preserve">为 </w:t>
            </w:r>
            <w:r>
              <w:rPr>
                <w:rFonts w:ascii="Times New Roman" w:hAnsi="Times New Roman" w:eastAsia="Times New Roman" w:cs="Times New Roman"/>
                <w:sz w:val="17"/>
                <w:szCs w:val="17"/>
              </w:rPr>
              <w:t>GB</w:t>
            </w:r>
            <w:r>
              <w:rPr>
                <w:rFonts w:ascii="Times New Roman" w:hAnsi="Times New Roman" w:eastAsia="Times New Roman" w:cs="Times New Roman"/>
                <w:spacing w:val="1"/>
                <w:sz w:val="17"/>
                <w:szCs w:val="17"/>
              </w:rPr>
              <w:t>309</w:t>
            </w:r>
            <w:r>
              <w:rPr>
                <w:rFonts w:ascii="Times New Roman" w:hAnsi="Times New Roman" w:eastAsia="Times New Roman" w:cs="Times New Roman"/>
                <w:sz w:val="17"/>
                <w:szCs w:val="17"/>
              </w:rPr>
              <w:t xml:space="preserve">6 </w:t>
            </w:r>
            <w:r>
              <w:rPr>
                <w:rFonts w:ascii="宋体" w:hAnsi="宋体" w:eastAsia="宋体" w:cs="宋体"/>
                <w:sz w:val="17"/>
                <w:szCs w:val="17"/>
              </w:rPr>
              <w:t xml:space="preserve">规定的 </w:t>
            </w:r>
            <w:r>
              <w:rPr>
                <w:rFonts w:ascii="Times New Roman" w:hAnsi="Times New Roman" w:eastAsia="Times New Roman" w:cs="Times New Roman"/>
                <w:sz w:val="17"/>
                <w:szCs w:val="17"/>
              </w:rPr>
              <w:t xml:space="preserve">2 </w:t>
            </w:r>
            <w:r>
              <w:rPr>
                <w:rFonts w:ascii="宋体" w:hAnsi="宋体" w:eastAsia="宋体" w:cs="宋体"/>
                <w:sz w:val="17"/>
                <w:szCs w:val="17"/>
              </w:rPr>
              <w:t xml:space="preserve">类 </w:t>
            </w:r>
            <w:r>
              <w:rPr>
                <w:rFonts w:ascii="宋体" w:hAnsi="宋体" w:eastAsia="宋体" w:cs="宋体"/>
                <w:spacing w:val="8"/>
                <w:sz w:val="17"/>
                <w:szCs w:val="17"/>
              </w:rPr>
              <w:t>地</w:t>
            </w:r>
            <w:r>
              <w:rPr>
                <w:rFonts w:ascii="宋体" w:hAnsi="宋体" w:eastAsia="宋体" w:cs="宋体"/>
                <w:spacing w:val="7"/>
                <w:sz w:val="17"/>
                <w:szCs w:val="17"/>
              </w:rPr>
              <w:t>区，项目建设前后评</w:t>
            </w:r>
            <w:r>
              <w:rPr>
                <w:rFonts w:ascii="宋体" w:hAnsi="宋体" w:eastAsia="宋体" w:cs="宋体"/>
                <w:sz w:val="17"/>
                <w:szCs w:val="17"/>
              </w:rPr>
              <w:t xml:space="preserve"> </w:t>
            </w:r>
            <w:r>
              <w:rPr>
                <w:rFonts w:ascii="宋体" w:hAnsi="宋体" w:eastAsia="宋体" w:cs="宋体"/>
                <w:spacing w:val="30"/>
                <w:sz w:val="17"/>
                <w:szCs w:val="17"/>
              </w:rPr>
              <w:t>价</w:t>
            </w:r>
            <w:r>
              <w:rPr>
                <w:rFonts w:ascii="宋体" w:hAnsi="宋体" w:eastAsia="宋体" w:cs="宋体"/>
                <w:spacing w:val="26"/>
                <w:sz w:val="17"/>
                <w:szCs w:val="17"/>
              </w:rPr>
              <w:t>范围内声环境保护</w:t>
            </w:r>
            <w:r>
              <w:rPr>
                <w:rFonts w:ascii="宋体" w:hAnsi="宋体" w:eastAsia="宋体" w:cs="宋体"/>
                <w:sz w:val="17"/>
                <w:szCs w:val="17"/>
              </w:rPr>
              <w:t xml:space="preserve"> </w:t>
            </w:r>
            <w:r>
              <w:rPr>
                <w:rFonts w:ascii="宋体" w:hAnsi="宋体" w:eastAsia="宋体" w:cs="宋体"/>
                <w:spacing w:val="-19"/>
                <w:sz w:val="17"/>
                <w:szCs w:val="17"/>
              </w:rPr>
              <w:t>目</w:t>
            </w:r>
            <w:r>
              <w:rPr>
                <w:rFonts w:ascii="宋体" w:hAnsi="宋体" w:eastAsia="宋体" w:cs="宋体"/>
                <w:spacing w:val="-12"/>
                <w:sz w:val="17"/>
                <w:szCs w:val="17"/>
              </w:rPr>
              <w:t xml:space="preserve"> 标 噪 声 级 增 量 达</w:t>
            </w:r>
            <w:r>
              <w:rPr>
                <w:rFonts w:ascii="宋体" w:hAnsi="宋体" w:eastAsia="宋体" w:cs="宋体"/>
                <w:sz w:val="17"/>
                <w:szCs w:val="17"/>
              </w:rPr>
              <w:t xml:space="preserve"> </w:t>
            </w:r>
            <w:r>
              <w:rPr>
                <w:rFonts w:ascii="Times New Roman" w:hAnsi="Times New Roman" w:eastAsia="Times New Roman" w:cs="Times New Roman"/>
                <w:spacing w:val="8"/>
                <w:sz w:val="17"/>
                <w:szCs w:val="17"/>
              </w:rPr>
              <w:t>3</w:t>
            </w:r>
            <w:r>
              <w:rPr>
                <w:rFonts w:ascii="Times New Roman" w:hAnsi="Times New Roman" w:eastAsia="Times New Roman" w:cs="Times New Roman"/>
                <w:sz w:val="17"/>
                <w:szCs w:val="17"/>
              </w:rPr>
              <w:t>dB</w:t>
            </w:r>
            <w:r>
              <w:rPr>
                <w:rFonts w:ascii="Times New Roman" w:hAnsi="Times New Roman" w:eastAsia="Times New Roman" w:cs="Times New Roman"/>
                <w:spacing w:val="6"/>
                <w:sz w:val="17"/>
                <w:szCs w:val="17"/>
              </w:rPr>
              <w:t>(</w:t>
            </w:r>
            <w:r>
              <w:rPr>
                <w:rFonts w:ascii="Times New Roman" w:hAnsi="Times New Roman" w:eastAsia="Times New Roman" w:cs="Times New Roman"/>
                <w:sz w:val="17"/>
                <w:szCs w:val="17"/>
              </w:rPr>
              <w:t>A</w:t>
            </w:r>
            <w:r>
              <w:rPr>
                <w:rFonts w:ascii="Times New Roman" w:hAnsi="Times New Roman" w:eastAsia="Times New Roman" w:cs="Times New Roman"/>
                <w:spacing w:val="6"/>
                <w:sz w:val="17"/>
                <w:szCs w:val="17"/>
              </w:rPr>
              <w:t>)</w:t>
            </w:r>
            <w:r>
              <w:rPr>
                <w:rFonts w:ascii="宋体" w:hAnsi="宋体" w:eastAsia="宋体" w:cs="宋体"/>
                <w:spacing w:val="6"/>
                <w:sz w:val="17"/>
                <w:szCs w:val="17"/>
              </w:rPr>
              <w:t>以下，但受影响</w:t>
            </w:r>
            <w:r>
              <w:rPr>
                <w:rFonts w:ascii="宋体" w:hAnsi="宋体" w:eastAsia="宋体" w:cs="宋体"/>
                <w:sz w:val="17"/>
                <w:szCs w:val="17"/>
              </w:rPr>
              <w:t xml:space="preserve"> </w:t>
            </w:r>
            <w:r>
              <w:rPr>
                <w:rFonts w:ascii="宋体" w:hAnsi="宋体" w:eastAsia="宋体" w:cs="宋体"/>
                <w:spacing w:val="8"/>
                <w:sz w:val="17"/>
                <w:szCs w:val="17"/>
              </w:rPr>
              <w:t>人</w:t>
            </w:r>
            <w:r>
              <w:rPr>
                <w:rFonts w:ascii="宋体" w:hAnsi="宋体" w:eastAsia="宋体" w:cs="宋体"/>
                <w:spacing w:val="7"/>
                <w:sz w:val="17"/>
                <w:szCs w:val="17"/>
              </w:rPr>
              <w:t>口数量增加较多，故</w:t>
            </w:r>
            <w:r>
              <w:rPr>
                <w:rFonts w:ascii="宋体" w:hAnsi="宋体" w:eastAsia="宋体" w:cs="宋体"/>
                <w:sz w:val="17"/>
                <w:szCs w:val="17"/>
              </w:rPr>
              <w:t xml:space="preserve"> </w:t>
            </w:r>
            <w:r>
              <w:rPr>
                <w:rFonts w:ascii="宋体" w:hAnsi="宋体" w:eastAsia="宋体" w:cs="宋体"/>
                <w:spacing w:val="18"/>
                <w:sz w:val="17"/>
                <w:szCs w:val="17"/>
              </w:rPr>
              <w:t>本</w:t>
            </w:r>
            <w:r>
              <w:rPr>
                <w:rFonts w:ascii="宋体" w:hAnsi="宋体" w:eastAsia="宋体" w:cs="宋体"/>
                <w:spacing w:val="15"/>
                <w:sz w:val="17"/>
                <w:szCs w:val="17"/>
              </w:rPr>
              <w:t>项 目声环境评价等</w:t>
            </w:r>
            <w:r>
              <w:rPr>
                <w:rFonts w:ascii="宋体" w:hAnsi="宋体" w:eastAsia="宋体" w:cs="宋体"/>
                <w:sz w:val="17"/>
                <w:szCs w:val="17"/>
              </w:rPr>
              <w:t xml:space="preserve"> </w:t>
            </w:r>
            <w:r>
              <w:rPr>
                <w:rFonts w:ascii="宋体" w:hAnsi="宋体" w:eastAsia="宋体" w:cs="宋体"/>
                <w:spacing w:val="8"/>
                <w:sz w:val="17"/>
                <w:szCs w:val="17"/>
              </w:rPr>
              <w:t>级为</w:t>
            </w:r>
            <w:r>
              <w:rPr>
                <w:rFonts w:ascii="宋体" w:hAnsi="宋体" w:eastAsia="宋体" w:cs="宋体"/>
                <w:spacing w:val="8"/>
                <w:sz w:val="17"/>
                <w:szCs w:val="17"/>
                <w14:textOutline w14:w="3268" w14:cap="sq" w14:cmpd="sng">
                  <w14:solidFill>
                    <w14:srgbClr w14:val="000000"/>
                  </w14:solidFill>
                  <w14:prstDash w14:val="solid"/>
                  <w14:bevel/>
                </w14:textOutline>
              </w:rPr>
              <w:t>二级</w:t>
            </w:r>
            <w:r>
              <w:rPr>
                <w:rFonts w:ascii="宋体" w:hAnsi="宋体" w:eastAsia="宋体" w:cs="宋体"/>
                <w:spacing w:val="8"/>
                <w:sz w:val="17"/>
                <w:szCs w:val="17"/>
              </w:rPr>
              <w:t>评价</w:t>
            </w:r>
            <w:r>
              <w:rPr>
                <w:rFonts w:ascii="宋体" w:hAnsi="宋体" w:eastAsia="宋体" w:cs="宋体"/>
                <w:spacing w:val="7"/>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trPr>
        <w:tc>
          <w:tcPr>
            <w:tcW w:w="496" w:type="dxa"/>
            <w:tcBorders>
              <w:right w:val="single" w:color="000000" w:sz="4" w:space="0"/>
            </w:tcBorders>
            <w:vAlign w:val="top"/>
          </w:tcPr>
          <w:p>
            <w:pPr>
              <w:spacing w:line="301" w:lineRule="auto"/>
              <w:rPr>
                <w:rFonts w:ascii="Arial"/>
                <w:sz w:val="21"/>
              </w:rPr>
            </w:pPr>
          </w:p>
          <w:p>
            <w:pPr>
              <w:spacing w:before="49" w:line="197" w:lineRule="auto"/>
              <w:ind w:left="20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907" w:type="dxa"/>
            <w:tcBorders>
              <w:left w:val="single" w:color="000000" w:sz="4" w:space="0"/>
              <w:right w:val="single" w:color="000000" w:sz="4" w:space="0"/>
            </w:tcBorders>
            <w:vAlign w:val="top"/>
          </w:tcPr>
          <w:p>
            <w:pPr>
              <w:spacing w:line="264" w:lineRule="auto"/>
              <w:rPr>
                <w:rFonts w:ascii="Arial"/>
                <w:sz w:val="21"/>
              </w:rPr>
            </w:pPr>
          </w:p>
          <w:p>
            <w:pPr>
              <w:spacing w:before="55" w:line="232" w:lineRule="auto"/>
              <w:ind w:left="277"/>
              <w:rPr>
                <w:rFonts w:ascii="宋体" w:hAnsi="宋体" w:eastAsia="宋体" w:cs="宋体"/>
                <w:sz w:val="17"/>
                <w:szCs w:val="17"/>
              </w:rPr>
            </w:pPr>
            <w:r>
              <w:rPr>
                <w:rFonts w:ascii="宋体" w:hAnsi="宋体" w:eastAsia="宋体" w:cs="宋体"/>
                <w:spacing w:val="5"/>
                <w:sz w:val="17"/>
                <w:szCs w:val="17"/>
              </w:rPr>
              <w:t>二级</w:t>
            </w:r>
          </w:p>
        </w:tc>
        <w:tc>
          <w:tcPr>
            <w:tcW w:w="5467" w:type="dxa"/>
            <w:tcBorders>
              <w:left w:val="single" w:color="000000" w:sz="4" w:space="0"/>
            </w:tcBorders>
            <w:vAlign w:val="top"/>
          </w:tcPr>
          <w:p>
            <w:pPr>
              <w:spacing w:before="70" w:line="278" w:lineRule="auto"/>
              <w:ind w:left="56" w:right="22" w:firstLine="1"/>
              <w:rPr>
                <w:rFonts w:ascii="宋体" w:hAnsi="宋体" w:eastAsia="宋体" w:cs="宋体"/>
                <w:sz w:val="17"/>
                <w:szCs w:val="17"/>
              </w:rPr>
            </w:pPr>
            <w:r>
              <w:rPr>
                <w:rFonts w:ascii="宋体" w:hAnsi="宋体" w:eastAsia="宋体" w:cs="宋体"/>
                <w:spacing w:val="8"/>
                <w:sz w:val="17"/>
                <w:szCs w:val="17"/>
              </w:rPr>
              <w:t>建</w:t>
            </w:r>
            <w:r>
              <w:rPr>
                <w:rFonts w:ascii="宋体" w:hAnsi="宋体" w:eastAsia="宋体" w:cs="宋体"/>
                <w:spacing w:val="5"/>
                <w:sz w:val="17"/>
                <w:szCs w:val="17"/>
              </w:rPr>
              <w:t xml:space="preserve">设项目所处的声环境功能区为 </w:t>
            </w:r>
            <w:r>
              <w:rPr>
                <w:rFonts w:ascii="Times New Roman" w:hAnsi="Times New Roman" w:eastAsia="Times New Roman" w:cs="Times New Roman"/>
                <w:sz w:val="17"/>
                <w:szCs w:val="17"/>
              </w:rPr>
              <w:t>GB</w:t>
            </w:r>
            <w:r>
              <w:rPr>
                <w:rFonts w:ascii="Times New Roman" w:hAnsi="Times New Roman" w:eastAsia="Times New Roman" w:cs="Times New Roman"/>
                <w:spacing w:val="5"/>
                <w:sz w:val="17"/>
                <w:szCs w:val="17"/>
              </w:rPr>
              <w:t xml:space="preserve"> 3096 </w:t>
            </w:r>
            <w:r>
              <w:rPr>
                <w:rFonts w:ascii="宋体" w:hAnsi="宋体" w:eastAsia="宋体" w:cs="宋体"/>
                <w:spacing w:val="5"/>
                <w:sz w:val="17"/>
                <w:szCs w:val="17"/>
              </w:rPr>
              <w:t xml:space="preserve">规定的 </w:t>
            </w:r>
            <w:r>
              <w:rPr>
                <w:rFonts w:ascii="Times New Roman" w:hAnsi="Times New Roman" w:eastAsia="Times New Roman" w:cs="Times New Roman"/>
                <w:spacing w:val="5"/>
                <w:sz w:val="17"/>
                <w:szCs w:val="17"/>
              </w:rPr>
              <w:t xml:space="preserve">1 </w:t>
            </w:r>
            <w:r>
              <w:rPr>
                <w:rFonts w:ascii="宋体" w:hAnsi="宋体" w:eastAsia="宋体" w:cs="宋体"/>
                <w:spacing w:val="5"/>
                <w:sz w:val="17"/>
                <w:szCs w:val="17"/>
              </w:rPr>
              <w:t>类、</w:t>
            </w:r>
            <w:r>
              <w:rPr>
                <w:rFonts w:ascii="Times New Roman" w:hAnsi="Times New Roman" w:eastAsia="Times New Roman" w:cs="Times New Roman"/>
                <w:spacing w:val="5"/>
                <w:sz w:val="17"/>
                <w:szCs w:val="17"/>
              </w:rPr>
              <w:t xml:space="preserve">2 </w:t>
            </w:r>
            <w:r>
              <w:rPr>
                <w:rFonts w:ascii="宋体" w:hAnsi="宋体" w:eastAsia="宋体" w:cs="宋体"/>
                <w:spacing w:val="5"/>
                <w:sz w:val="17"/>
                <w:szCs w:val="17"/>
              </w:rPr>
              <w:t>类地区，或</w:t>
            </w:r>
            <w:r>
              <w:rPr>
                <w:rFonts w:ascii="宋体" w:hAnsi="宋体" w:eastAsia="宋体" w:cs="宋体"/>
                <w:sz w:val="17"/>
                <w:szCs w:val="17"/>
              </w:rPr>
              <w:t xml:space="preserve"> </w:t>
            </w:r>
            <w:r>
              <w:rPr>
                <w:rFonts w:ascii="宋体" w:hAnsi="宋体" w:eastAsia="宋体" w:cs="宋体"/>
                <w:spacing w:val="-21"/>
                <w:sz w:val="17"/>
                <w:szCs w:val="17"/>
              </w:rPr>
              <w:t>建 设 项 目 建 设 前 后 评 价 范 围 内 声 环 境 保 护 目 标 噪 声 级 增量</w:t>
            </w:r>
            <w:r>
              <w:rPr>
                <w:rFonts w:ascii="宋体" w:hAnsi="宋体" w:eastAsia="宋体" w:cs="宋体"/>
                <w:spacing w:val="-16"/>
                <w:sz w:val="17"/>
                <w:szCs w:val="17"/>
              </w:rPr>
              <w:t>达</w:t>
            </w:r>
            <w:r>
              <w:rPr>
                <w:rFonts w:ascii="宋体" w:hAnsi="宋体" w:eastAsia="宋体" w:cs="宋体"/>
                <w:sz w:val="17"/>
                <w:szCs w:val="17"/>
              </w:rPr>
              <w:t xml:space="preserve"> </w:t>
            </w:r>
            <w:r>
              <w:rPr>
                <w:rFonts w:ascii="Times New Roman" w:hAnsi="Times New Roman" w:eastAsia="Times New Roman" w:cs="Times New Roman"/>
                <w:spacing w:val="10"/>
                <w:sz w:val="17"/>
                <w:szCs w:val="17"/>
              </w:rPr>
              <w:t>3</w:t>
            </w:r>
            <w:r>
              <w:rPr>
                <w:rFonts w:ascii="Times New Roman" w:hAnsi="Times New Roman" w:eastAsia="Times New Roman" w:cs="Times New Roman"/>
                <w:sz w:val="17"/>
                <w:szCs w:val="17"/>
              </w:rPr>
              <w:t>dB</w:t>
            </w:r>
            <w:r>
              <w:rPr>
                <w:rFonts w:ascii="Times New Roman" w:hAnsi="Times New Roman" w:eastAsia="Times New Roman" w:cs="Times New Roman"/>
                <w:spacing w:val="10"/>
                <w:sz w:val="17"/>
                <w:szCs w:val="17"/>
              </w:rPr>
              <w:t>(</w:t>
            </w:r>
            <w:r>
              <w:rPr>
                <w:rFonts w:ascii="Times New Roman" w:hAnsi="Times New Roman" w:eastAsia="Times New Roman" w:cs="Times New Roman"/>
                <w:sz w:val="17"/>
                <w:szCs w:val="17"/>
              </w:rPr>
              <w:t>A</w:t>
            </w:r>
            <w:r>
              <w:rPr>
                <w:rFonts w:ascii="Times New Roman" w:hAnsi="Times New Roman" w:eastAsia="Times New Roman" w:cs="Times New Roman"/>
                <w:spacing w:val="10"/>
                <w:sz w:val="17"/>
                <w:szCs w:val="17"/>
              </w:rPr>
              <w:t>)</w:t>
            </w:r>
            <w:r>
              <w:rPr>
                <w:rFonts w:ascii="宋体" w:hAnsi="宋体" w:eastAsia="宋体" w:cs="宋体"/>
                <w:spacing w:val="10"/>
                <w:sz w:val="17"/>
                <w:szCs w:val="17"/>
              </w:rPr>
              <w:t>~</w:t>
            </w:r>
            <w:r>
              <w:rPr>
                <w:rFonts w:ascii="Times New Roman" w:hAnsi="Times New Roman" w:eastAsia="Times New Roman" w:cs="Times New Roman"/>
                <w:spacing w:val="10"/>
                <w:sz w:val="17"/>
                <w:szCs w:val="17"/>
              </w:rPr>
              <w:t>5</w:t>
            </w:r>
            <w:r>
              <w:rPr>
                <w:rFonts w:ascii="Times New Roman" w:hAnsi="Times New Roman" w:eastAsia="Times New Roman" w:cs="Times New Roman"/>
                <w:sz w:val="17"/>
                <w:szCs w:val="17"/>
              </w:rPr>
              <w:t>dB</w:t>
            </w:r>
            <w:r>
              <w:rPr>
                <w:rFonts w:ascii="Times New Roman" w:hAnsi="Times New Roman" w:eastAsia="Times New Roman" w:cs="Times New Roman"/>
                <w:spacing w:val="10"/>
                <w:sz w:val="17"/>
                <w:szCs w:val="17"/>
              </w:rPr>
              <w:t>(</w:t>
            </w:r>
            <w:r>
              <w:rPr>
                <w:rFonts w:ascii="Times New Roman" w:hAnsi="Times New Roman" w:eastAsia="Times New Roman" w:cs="Times New Roman"/>
                <w:sz w:val="17"/>
                <w:szCs w:val="17"/>
              </w:rPr>
              <w:t>A</w:t>
            </w:r>
            <w:r>
              <w:rPr>
                <w:rFonts w:ascii="Times New Roman" w:hAnsi="Times New Roman" w:eastAsia="Times New Roman" w:cs="Times New Roman"/>
                <w:spacing w:val="10"/>
                <w:sz w:val="17"/>
                <w:szCs w:val="17"/>
              </w:rPr>
              <w:t xml:space="preserve">) </w:t>
            </w:r>
            <w:r>
              <w:rPr>
                <w:rFonts w:ascii="宋体" w:hAnsi="宋体" w:eastAsia="宋体" w:cs="宋体"/>
                <w:spacing w:val="10"/>
                <w:sz w:val="17"/>
                <w:szCs w:val="17"/>
              </w:rPr>
              <w:t>，或受噪声影响人口数量增加较多时，按二级评价</w:t>
            </w:r>
            <w:r>
              <w:rPr>
                <w:rFonts w:ascii="宋体" w:hAnsi="宋体" w:eastAsia="宋体" w:cs="宋体"/>
                <w:spacing w:val="4"/>
                <w:sz w:val="17"/>
                <w:szCs w:val="17"/>
              </w:rPr>
              <w:t>。</w:t>
            </w:r>
          </w:p>
        </w:tc>
        <w:tc>
          <w:tcPr>
            <w:tcW w:w="189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496" w:type="dxa"/>
            <w:tcBorders>
              <w:right w:val="single" w:color="000000" w:sz="4" w:space="0"/>
            </w:tcBorders>
            <w:vAlign w:val="top"/>
          </w:tcPr>
          <w:p>
            <w:pPr>
              <w:spacing w:line="312" w:lineRule="auto"/>
              <w:rPr>
                <w:rFonts w:ascii="Arial"/>
                <w:sz w:val="21"/>
              </w:rPr>
            </w:pPr>
          </w:p>
          <w:p>
            <w:pPr>
              <w:spacing w:before="49" w:line="197" w:lineRule="auto"/>
              <w:ind w:left="209"/>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tc>
        <w:tc>
          <w:tcPr>
            <w:tcW w:w="907" w:type="dxa"/>
            <w:tcBorders>
              <w:left w:val="single" w:color="000000" w:sz="4" w:space="0"/>
              <w:right w:val="single" w:color="000000" w:sz="4" w:space="0"/>
            </w:tcBorders>
            <w:vAlign w:val="top"/>
          </w:tcPr>
          <w:p>
            <w:pPr>
              <w:spacing w:line="275" w:lineRule="auto"/>
              <w:rPr>
                <w:rFonts w:ascii="Arial"/>
                <w:sz w:val="21"/>
              </w:rPr>
            </w:pPr>
          </w:p>
          <w:p>
            <w:pPr>
              <w:spacing w:before="56" w:line="232" w:lineRule="auto"/>
              <w:ind w:left="274"/>
              <w:rPr>
                <w:rFonts w:ascii="宋体" w:hAnsi="宋体" w:eastAsia="宋体" w:cs="宋体"/>
                <w:sz w:val="17"/>
                <w:szCs w:val="17"/>
              </w:rPr>
            </w:pPr>
            <w:r>
              <w:rPr>
                <w:rFonts w:ascii="宋体" w:hAnsi="宋体" w:eastAsia="宋体" w:cs="宋体"/>
                <w:spacing w:val="6"/>
                <w:sz w:val="17"/>
                <w:szCs w:val="17"/>
              </w:rPr>
              <w:t>三级</w:t>
            </w:r>
          </w:p>
        </w:tc>
        <w:tc>
          <w:tcPr>
            <w:tcW w:w="5467" w:type="dxa"/>
            <w:tcBorders>
              <w:left w:val="single" w:color="000000" w:sz="4" w:space="0"/>
            </w:tcBorders>
            <w:vAlign w:val="top"/>
          </w:tcPr>
          <w:p>
            <w:pPr>
              <w:spacing w:before="80" w:line="271" w:lineRule="auto"/>
              <w:ind w:left="76" w:hanging="18"/>
              <w:rPr>
                <w:rFonts w:ascii="宋体" w:hAnsi="宋体" w:eastAsia="宋体" w:cs="宋体"/>
                <w:sz w:val="17"/>
                <w:szCs w:val="17"/>
              </w:rPr>
            </w:pPr>
            <w:r>
              <w:rPr>
                <w:rFonts w:ascii="宋体" w:hAnsi="宋体" w:eastAsia="宋体" w:cs="宋体"/>
                <w:spacing w:val="5"/>
                <w:sz w:val="17"/>
                <w:szCs w:val="17"/>
              </w:rPr>
              <w:t xml:space="preserve">建设项目所处的声环境功能区为 </w:t>
            </w:r>
            <w:r>
              <w:rPr>
                <w:rFonts w:ascii="Times New Roman" w:hAnsi="Times New Roman" w:eastAsia="Times New Roman" w:cs="Times New Roman"/>
                <w:sz w:val="17"/>
                <w:szCs w:val="17"/>
              </w:rPr>
              <w:t>GB</w:t>
            </w:r>
            <w:r>
              <w:rPr>
                <w:rFonts w:ascii="Times New Roman" w:hAnsi="Times New Roman" w:eastAsia="Times New Roman" w:cs="Times New Roman"/>
                <w:spacing w:val="5"/>
                <w:sz w:val="17"/>
                <w:szCs w:val="17"/>
              </w:rPr>
              <w:t xml:space="preserve"> 3096 </w:t>
            </w:r>
            <w:r>
              <w:rPr>
                <w:rFonts w:ascii="宋体" w:hAnsi="宋体" w:eastAsia="宋体" w:cs="宋体"/>
                <w:spacing w:val="5"/>
                <w:sz w:val="17"/>
                <w:szCs w:val="17"/>
              </w:rPr>
              <w:t xml:space="preserve">规定的 </w:t>
            </w:r>
            <w:r>
              <w:rPr>
                <w:rFonts w:ascii="Times New Roman" w:hAnsi="Times New Roman" w:eastAsia="Times New Roman" w:cs="Times New Roman"/>
                <w:spacing w:val="5"/>
                <w:sz w:val="17"/>
                <w:szCs w:val="17"/>
              </w:rPr>
              <w:t xml:space="preserve">3 </w:t>
            </w:r>
            <w:r>
              <w:rPr>
                <w:rFonts w:ascii="宋体" w:hAnsi="宋体" w:eastAsia="宋体" w:cs="宋体"/>
                <w:spacing w:val="5"/>
                <w:sz w:val="17"/>
                <w:szCs w:val="17"/>
              </w:rPr>
              <w:t>类、</w:t>
            </w:r>
            <w:r>
              <w:rPr>
                <w:rFonts w:ascii="Times New Roman" w:hAnsi="Times New Roman" w:eastAsia="Times New Roman" w:cs="Times New Roman"/>
                <w:spacing w:val="5"/>
                <w:sz w:val="17"/>
                <w:szCs w:val="17"/>
              </w:rPr>
              <w:t xml:space="preserve">4 </w:t>
            </w:r>
            <w:r>
              <w:rPr>
                <w:rFonts w:ascii="宋体" w:hAnsi="宋体" w:eastAsia="宋体" w:cs="宋体"/>
                <w:spacing w:val="5"/>
                <w:sz w:val="17"/>
                <w:szCs w:val="17"/>
              </w:rPr>
              <w:t>类地区，</w:t>
            </w:r>
            <w:r>
              <w:rPr>
                <w:rFonts w:ascii="宋体" w:hAnsi="宋体" w:eastAsia="宋体" w:cs="宋体"/>
                <w:sz w:val="17"/>
                <w:szCs w:val="17"/>
              </w:rPr>
              <w:t xml:space="preserve">或 </w:t>
            </w:r>
            <w:r>
              <w:rPr>
                <w:rFonts w:ascii="宋体" w:hAnsi="宋体" w:eastAsia="宋体" w:cs="宋体"/>
                <w:spacing w:val="16"/>
                <w:sz w:val="17"/>
                <w:szCs w:val="17"/>
              </w:rPr>
              <w:t>建</w:t>
            </w:r>
            <w:r>
              <w:rPr>
                <w:rFonts w:ascii="宋体" w:hAnsi="宋体" w:eastAsia="宋体" w:cs="宋体"/>
                <w:spacing w:val="15"/>
                <w:sz w:val="17"/>
                <w:szCs w:val="17"/>
              </w:rPr>
              <w:t>设</w:t>
            </w:r>
            <w:r>
              <w:rPr>
                <w:rFonts w:ascii="宋体" w:hAnsi="宋体" w:eastAsia="宋体" w:cs="宋体"/>
                <w:spacing w:val="8"/>
                <w:sz w:val="17"/>
                <w:szCs w:val="17"/>
              </w:rPr>
              <w:t xml:space="preserve">项目建设前后评价范围内声环境保护目标噪声级增量在 </w:t>
            </w:r>
            <w:r>
              <w:rPr>
                <w:rFonts w:ascii="Times New Roman" w:hAnsi="Times New Roman" w:eastAsia="Times New Roman" w:cs="Times New Roman"/>
                <w:spacing w:val="8"/>
                <w:sz w:val="17"/>
                <w:szCs w:val="17"/>
              </w:rPr>
              <w:t>3</w:t>
            </w:r>
            <w:r>
              <w:rPr>
                <w:rFonts w:ascii="Times New Roman" w:hAnsi="Times New Roman" w:eastAsia="Times New Roman" w:cs="Times New Roman"/>
                <w:sz w:val="17"/>
                <w:szCs w:val="17"/>
              </w:rPr>
              <w:t>dB</w:t>
            </w:r>
            <w:r>
              <w:rPr>
                <w:rFonts w:ascii="Times New Roman" w:hAnsi="Times New Roman" w:eastAsia="Times New Roman" w:cs="Times New Roman"/>
                <w:spacing w:val="8"/>
                <w:sz w:val="17"/>
                <w:szCs w:val="17"/>
              </w:rPr>
              <w:t>(</w:t>
            </w:r>
            <w:r>
              <w:rPr>
                <w:rFonts w:ascii="Times New Roman" w:hAnsi="Times New Roman" w:eastAsia="Times New Roman" w:cs="Times New Roman"/>
                <w:sz w:val="17"/>
                <w:szCs w:val="17"/>
              </w:rPr>
              <w:t>A</w:t>
            </w:r>
            <w:r>
              <w:rPr>
                <w:rFonts w:ascii="Times New Roman" w:hAnsi="Times New Roman" w:eastAsia="Times New Roman" w:cs="Times New Roman"/>
                <w:spacing w:val="8"/>
                <w:sz w:val="17"/>
                <w:szCs w:val="17"/>
              </w:rPr>
              <w:t>)</w:t>
            </w:r>
            <w:r>
              <w:rPr>
                <w:rFonts w:ascii="Times New Roman" w:hAnsi="Times New Roman" w:eastAsia="Times New Roman" w:cs="Times New Roman"/>
                <w:sz w:val="17"/>
                <w:szCs w:val="17"/>
              </w:rPr>
              <w:t xml:space="preserve">  </w:t>
            </w:r>
            <w:r>
              <w:rPr>
                <w:rFonts w:ascii="宋体" w:hAnsi="宋体" w:eastAsia="宋体" w:cs="宋体"/>
                <w:spacing w:val="10"/>
                <w:sz w:val="17"/>
                <w:szCs w:val="17"/>
              </w:rPr>
              <w:t>以下 (</w:t>
            </w:r>
            <w:r>
              <w:rPr>
                <w:rFonts w:ascii="宋体" w:hAnsi="宋体" w:eastAsia="宋体" w:cs="宋体"/>
                <w:spacing w:val="8"/>
                <w:sz w:val="17"/>
                <w:szCs w:val="17"/>
              </w:rPr>
              <w:t>不</w:t>
            </w:r>
            <w:r>
              <w:rPr>
                <w:rFonts w:ascii="宋体" w:hAnsi="宋体" w:eastAsia="宋体" w:cs="宋体"/>
                <w:spacing w:val="5"/>
                <w:sz w:val="17"/>
                <w:szCs w:val="17"/>
              </w:rPr>
              <w:t xml:space="preserve">含 </w:t>
            </w:r>
            <w:r>
              <w:rPr>
                <w:rFonts w:ascii="Times New Roman" w:hAnsi="Times New Roman" w:eastAsia="Times New Roman" w:cs="Times New Roman"/>
                <w:spacing w:val="5"/>
                <w:sz w:val="17"/>
                <w:szCs w:val="17"/>
              </w:rPr>
              <w:t>3</w:t>
            </w:r>
            <w:r>
              <w:rPr>
                <w:rFonts w:ascii="Times New Roman" w:hAnsi="Times New Roman" w:eastAsia="Times New Roman" w:cs="Times New Roman"/>
                <w:sz w:val="17"/>
                <w:szCs w:val="17"/>
              </w:rPr>
              <w:t>dB</w:t>
            </w:r>
            <w:r>
              <w:rPr>
                <w:rFonts w:ascii="Times New Roman" w:hAnsi="Times New Roman" w:eastAsia="Times New Roman" w:cs="Times New Roman"/>
                <w:spacing w:val="5"/>
                <w:sz w:val="17"/>
                <w:szCs w:val="17"/>
              </w:rPr>
              <w:t>(</w:t>
            </w:r>
            <w:r>
              <w:rPr>
                <w:rFonts w:ascii="Times New Roman" w:hAnsi="Times New Roman" w:eastAsia="Times New Roman" w:cs="Times New Roman"/>
                <w:sz w:val="17"/>
                <w:szCs w:val="17"/>
              </w:rPr>
              <w:t>A</w:t>
            </w:r>
            <w:r>
              <w:rPr>
                <w:rFonts w:ascii="Times New Roman" w:hAnsi="Times New Roman" w:eastAsia="Times New Roman" w:cs="Times New Roman"/>
                <w:spacing w:val="5"/>
                <w:sz w:val="17"/>
                <w:szCs w:val="17"/>
              </w:rPr>
              <w:t>)</w:t>
            </w:r>
            <w:r>
              <w:rPr>
                <w:rFonts w:ascii="宋体" w:hAnsi="宋体" w:eastAsia="宋体" w:cs="宋体"/>
                <w:spacing w:val="5"/>
                <w:sz w:val="17"/>
                <w:szCs w:val="17"/>
              </w:rPr>
              <w:t>) ，且受影响人口数量变化不大时，按三级评价。</w:t>
            </w:r>
          </w:p>
        </w:tc>
        <w:tc>
          <w:tcPr>
            <w:tcW w:w="1891" w:type="dxa"/>
            <w:vMerge w:val="continue"/>
            <w:tcBorders>
              <w:top w:val="nil"/>
            </w:tcBorders>
            <w:vAlign w:val="top"/>
          </w:tcPr>
          <w:p>
            <w:pPr>
              <w:rPr>
                <w:rFonts w:ascii="Arial"/>
                <w:sz w:val="21"/>
              </w:rPr>
            </w:pPr>
          </w:p>
        </w:tc>
      </w:tr>
    </w:tbl>
    <w:p>
      <w:pPr>
        <w:spacing w:before="147" w:line="230" w:lineRule="auto"/>
        <w:ind w:left="20"/>
        <w:outlineLvl w:val="2"/>
        <w:rPr>
          <w:rFonts w:ascii="黑体" w:hAnsi="黑体" w:eastAsia="黑体" w:cs="黑体"/>
          <w:sz w:val="23"/>
          <w:szCs w:val="23"/>
        </w:rPr>
      </w:pPr>
      <w:bookmarkStart w:id="12" w:name="_bookmark13"/>
      <w:bookmarkEnd w:id="12"/>
      <w:r>
        <w:rPr>
          <w:rFonts w:ascii="Times New Roman" w:hAnsi="Times New Roman" w:eastAsia="Times New Roman" w:cs="Times New Roman"/>
          <w:spacing w:val="9"/>
          <w:sz w:val="23"/>
          <w:szCs w:val="23"/>
        </w:rPr>
        <w:t>1</w:t>
      </w:r>
      <w:r>
        <w:rPr>
          <w:rFonts w:ascii="Times New Roman" w:hAnsi="Times New Roman" w:eastAsia="Times New Roman" w:cs="Times New Roman"/>
          <w:spacing w:val="5"/>
          <w:sz w:val="23"/>
          <w:szCs w:val="23"/>
        </w:rPr>
        <w:t xml:space="preserve">.5  </w:t>
      </w:r>
      <w:r>
        <w:rPr>
          <w:rFonts w:ascii="黑体" w:hAnsi="黑体" w:eastAsia="黑体" w:cs="黑体"/>
          <w:spacing w:val="5"/>
          <w:sz w:val="23"/>
          <w:szCs w:val="23"/>
        </w:rPr>
        <w:t>评价标准评价范围</w:t>
      </w:r>
    </w:p>
    <w:p>
      <w:pPr>
        <w:spacing w:before="146" w:line="370" w:lineRule="auto"/>
        <w:ind w:left="17" w:right="2" w:firstLine="404"/>
        <w:rPr>
          <w:rFonts w:ascii="宋体" w:hAnsi="宋体" w:eastAsia="宋体" w:cs="宋体"/>
          <w:sz w:val="20"/>
          <w:szCs w:val="20"/>
        </w:rPr>
      </w:pPr>
      <w:r>
        <w:rPr>
          <w:rFonts w:ascii="宋体" w:hAnsi="宋体" w:eastAsia="宋体" w:cs="宋体"/>
          <w:spacing w:val="10"/>
          <w:sz w:val="20"/>
          <w:szCs w:val="20"/>
        </w:rPr>
        <w:t>按照《环境影响</w:t>
      </w:r>
      <w:r>
        <w:rPr>
          <w:rFonts w:ascii="宋体" w:hAnsi="宋体" w:eastAsia="宋体" w:cs="宋体"/>
          <w:spacing w:val="5"/>
          <w:sz w:val="20"/>
          <w:szCs w:val="20"/>
        </w:rPr>
        <w:t>评价技术导则 声环境》  (</w:t>
      </w:r>
      <w:r>
        <w:rPr>
          <w:rFonts w:ascii="Times New Roman" w:hAnsi="Times New Roman" w:eastAsia="Times New Roman" w:cs="Times New Roman"/>
          <w:sz w:val="20"/>
          <w:szCs w:val="20"/>
        </w:rPr>
        <w:t>HJ</w:t>
      </w:r>
      <w:r>
        <w:rPr>
          <w:rFonts w:ascii="Times New Roman" w:hAnsi="Times New Roman" w:eastAsia="Times New Roman" w:cs="Times New Roman"/>
          <w:spacing w:val="5"/>
          <w:sz w:val="20"/>
          <w:szCs w:val="20"/>
        </w:rPr>
        <w:t>2.4-2021</w:t>
      </w:r>
      <w:r>
        <w:rPr>
          <w:rFonts w:ascii="宋体" w:hAnsi="宋体" w:eastAsia="宋体" w:cs="宋体"/>
          <w:spacing w:val="5"/>
          <w:sz w:val="20"/>
          <w:szCs w:val="20"/>
        </w:rPr>
        <w:t>) 的规定，项目声环境评价等级为一级</w:t>
      </w:r>
      <w:r>
        <w:rPr>
          <w:rFonts w:ascii="宋体" w:hAnsi="宋体" w:eastAsia="宋体" w:cs="宋体"/>
          <w:sz w:val="20"/>
          <w:szCs w:val="20"/>
        </w:rPr>
        <w:t xml:space="preserve"> </w:t>
      </w:r>
      <w:r>
        <w:rPr>
          <w:rFonts w:ascii="宋体" w:hAnsi="宋体" w:eastAsia="宋体" w:cs="宋体"/>
          <w:spacing w:val="16"/>
          <w:sz w:val="20"/>
          <w:szCs w:val="20"/>
        </w:rPr>
        <w:t>的道</w:t>
      </w:r>
      <w:r>
        <w:rPr>
          <w:rFonts w:ascii="宋体" w:hAnsi="宋体" w:eastAsia="宋体" w:cs="宋体"/>
          <w:spacing w:val="8"/>
          <w:sz w:val="20"/>
          <w:szCs w:val="20"/>
        </w:rPr>
        <w:t>路建设项目，一般以道路中心线外两侧</w:t>
      </w:r>
      <w:r>
        <w:rPr>
          <w:rFonts w:ascii="Times New Roman" w:hAnsi="Times New Roman" w:eastAsia="Times New Roman" w:cs="Times New Roman"/>
          <w:spacing w:val="8"/>
          <w:sz w:val="20"/>
          <w:szCs w:val="20"/>
        </w:rPr>
        <w:t>200</w:t>
      </w:r>
      <w:r>
        <w:rPr>
          <w:rFonts w:ascii="Times New Roman" w:hAnsi="Times New Roman" w:eastAsia="Times New Roman" w:cs="Times New Roman"/>
          <w:sz w:val="20"/>
          <w:szCs w:val="20"/>
        </w:rPr>
        <w:t>m</w:t>
      </w:r>
      <w:r>
        <w:rPr>
          <w:rFonts w:ascii="宋体" w:hAnsi="宋体" w:eastAsia="宋体" w:cs="宋体"/>
          <w:spacing w:val="8"/>
          <w:sz w:val="20"/>
          <w:szCs w:val="20"/>
        </w:rPr>
        <w:t>以内为评价范围。因此确定本项目评价范围为道</w:t>
      </w:r>
    </w:p>
    <w:p>
      <w:pPr>
        <w:spacing w:before="1" w:line="227" w:lineRule="auto"/>
        <w:ind w:left="2"/>
        <w:rPr>
          <w:rFonts w:ascii="宋体" w:hAnsi="宋体" w:eastAsia="宋体" w:cs="宋体"/>
          <w:sz w:val="20"/>
          <w:szCs w:val="20"/>
        </w:rPr>
      </w:pPr>
      <w:r>
        <w:rPr>
          <w:rFonts w:ascii="宋体" w:hAnsi="宋体" w:eastAsia="宋体" w:cs="宋体"/>
          <w:spacing w:val="8"/>
          <w:sz w:val="20"/>
          <w:szCs w:val="20"/>
        </w:rPr>
        <w:t>路中心线外两侧</w:t>
      </w:r>
      <w:r>
        <w:rPr>
          <w:rFonts w:ascii="Times New Roman" w:hAnsi="Times New Roman" w:eastAsia="Times New Roman" w:cs="Times New Roman"/>
          <w:spacing w:val="8"/>
          <w:sz w:val="20"/>
          <w:szCs w:val="20"/>
        </w:rPr>
        <w:t>200</w:t>
      </w:r>
      <w:r>
        <w:rPr>
          <w:rFonts w:ascii="Times New Roman" w:hAnsi="Times New Roman" w:eastAsia="Times New Roman" w:cs="Times New Roman"/>
          <w:sz w:val="20"/>
          <w:szCs w:val="20"/>
        </w:rPr>
        <w:t>m</w:t>
      </w:r>
      <w:r>
        <w:rPr>
          <w:rFonts w:ascii="宋体" w:hAnsi="宋体" w:eastAsia="宋体" w:cs="宋体"/>
          <w:spacing w:val="8"/>
          <w:sz w:val="20"/>
          <w:szCs w:val="20"/>
        </w:rPr>
        <w:t>的范围。</w:t>
      </w:r>
    </w:p>
    <w:p>
      <w:pPr>
        <w:spacing w:before="97" w:line="228" w:lineRule="auto"/>
        <w:ind w:left="2374"/>
        <w:rPr>
          <w:rFonts w:ascii="黑体" w:hAnsi="黑体" w:eastAsia="黑体" w:cs="黑体"/>
          <w:sz w:val="19"/>
          <w:szCs w:val="19"/>
        </w:rPr>
      </w:pPr>
      <w:r>
        <w:rPr>
          <w:rFonts w:ascii="黑体" w:hAnsi="黑体" w:eastAsia="黑体" w:cs="黑体"/>
          <w:spacing w:val="11"/>
          <w:sz w:val="19"/>
          <w:szCs w:val="19"/>
        </w:rPr>
        <w:t>表</w:t>
      </w:r>
      <w:r>
        <w:rPr>
          <w:rFonts w:ascii="Times New Roman" w:hAnsi="Times New Roman" w:eastAsia="Times New Roman" w:cs="Times New Roman"/>
          <w:spacing w:val="8"/>
          <w:sz w:val="19"/>
          <w:szCs w:val="19"/>
        </w:rPr>
        <w:t xml:space="preserve">3    </w:t>
      </w:r>
      <w:r>
        <w:rPr>
          <w:rFonts w:ascii="黑体" w:hAnsi="黑体" w:eastAsia="黑体" w:cs="黑体"/>
          <w:spacing w:val="8"/>
          <w:sz w:val="19"/>
          <w:szCs w:val="19"/>
        </w:rPr>
        <w:t>项目声环境影响评价内容与评价因子筛选</w:t>
      </w:r>
    </w:p>
    <w:tbl>
      <w:tblPr>
        <w:tblStyle w:val="4"/>
        <w:tblW w:w="8787"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5"/>
        <w:gridCol w:w="4312"/>
        <w:gridCol w:w="2089"/>
        <w:gridCol w:w="15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885" w:type="dxa"/>
            <w:vAlign w:val="top"/>
          </w:tcPr>
          <w:p>
            <w:pPr>
              <w:spacing w:before="151" w:line="229" w:lineRule="auto"/>
              <w:ind w:left="84"/>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评价要素</w:t>
            </w:r>
          </w:p>
        </w:tc>
        <w:tc>
          <w:tcPr>
            <w:tcW w:w="4312" w:type="dxa"/>
            <w:vAlign w:val="top"/>
          </w:tcPr>
          <w:p>
            <w:pPr>
              <w:spacing w:before="151" w:line="229" w:lineRule="auto"/>
              <w:ind w:left="1796"/>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评价范围</w:t>
            </w:r>
          </w:p>
        </w:tc>
        <w:tc>
          <w:tcPr>
            <w:tcW w:w="2089" w:type="dxa"/>
            <w:vAlign w:val="top"/>
          </w:tcPr>
          <w:p>
            <w:pPr>
              <w:spacing w:before="151" w:line="231" w:lineRule="auto"/>
              <w:ind w:left="687"/>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质</w:t>
            </w:r>
            <w:r>
              <w:rPr>
                <w:rFonts w:ascii="宋体" w:hAnsi="宋体" w:eastAsia="宋体" w:cs="宋体"/>
                <w:spacing w:val="8"/>
                <w:sz w:val="17"/>
                <w:szCs w:val="17"/>
                <w14:textOutline w14:w="3268" w14:cap="sq" w14:cmpd="sng">
                  <w14:solidFill>
                    <w14:srgbClr w14:val="000000"/>
                  </w14:solidFill>
                  <w14:prstDash w14:val="solid"/>
                  <w14:bevel/>
                </w14:textOutline>
              </w:rPr>
              <w:t>量标准</w:t>
            </w:r>
          </w:p>
        </w:tc>
        <w:tc>
          <w:tcPr>
            <w:tcW w:w="1501" w:type="dxa"/>
            <w:vAlign w:val="top"/>
          </w:tcPr>
          <w:p>
            <w:pPr>
              <w:spacing w:before="151" w:line="231" w:lineRule="auto"/>
              <w:ind w:left="390"/>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排放标</w:t>
            </w:r>
            <w:r>
              <w:rPr>
                <w:rFonts w:ascii="宋体" w:hAnsi="宋体" w:eastAsia="宋体" w:cs="宋体"/>
                <w:spacing w:val="8"/>
                <w:sz w:val="17"/>
                <w:szCs w:val="17"/>
                <w14:textOutline w14:w="3268" w14:cap="sq" w14:cmpd="sng">
                  <w14:solidFill>
                    <w14:srgbClr w14:val="000000"/>
                  </w14:solidFill>
                  <w14:prstDash w14:val="solid"/>
                  <w14:bevel/>
                </w14:textOutline>
              </w:rPr>
              <w:t>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6" w:hRule="atLeast"/>
        </w:trPr>
        <w:tc>
          <w:tcPr>
            <w:tcW w:w="885" w:type="dxa"/>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before="55" w:line="231" w:lineRule="auto"/>
              <w:ind w:left="180"/>
              <w:rPr>
                <w:rFonts w:ascii="宋体" w:hAnsi="宋体" w:eastAsia="宋体" w:cs="宋体"/>
                <w:sz w:val="17"/>
                <w:szCs w:val="17"/>
              </w:rPr>
            </w:pPr>
            <w:r>
              <w:rPr>
                <w:rFonts w:ascii="宋体" w:hAnsi="宋体" w:eastAsia="宋体" w:cs="宋体"/>
                <w:spacing w:val="7"/>
                <w:sz w:val="17"/>
                <w:szCs w:val="17"/>
              </w:rPr>
              <w:t>声</w:t>
            </w:r>
            <w:r>
              <w:rPr>
                <w:rFonts w:ascii="宋体" w:hAnsi="宋体" w:eastAsia="宋体" w:cs="宋体"/>
                <w:spacing w:val="6"/>
                <w:sz w:val="17"/>
                <w:szCs w:val="17"/>
              </w:rPr>
              <w:t>环境</w:t>
            </w:r>
          </w:p>
        </w:tc>
        <w:tc>
          <w:tcPr>
            <w:tcW w:w="4312" w:type="dxa"/>
            <w:vAlign w:val="top"/>
          </w:tcPr>
          <w:p>
            <w:pPr>
              <w:spacing w:before="252" w:line="308" w:lineRule="auto"/>
              <w:ind w:left="57" w:firstLine="1"/>
              <w:rPr>
                <w:rFonts w:ascii="宋体" w:hAnsi="宋体" w:eastAsia="宋体" w:cs="宋体"/>
                <w:sz w:val="17"/>
                <w:szCs w:val="17"/>
              </w:rPr>
            </w:pPr>
            <w:r>
              <w:rPr>
                <w:rFonts w:ascii="宋体" w:hAnsi="宋体" w:eastAsia="宋体" w:cs="宋体"/>
                <w:spacing w:val="8"/>
                <w:sz w:val="17"/>
                <w:szCs w:val="17"/>
              </w:rPr>
              <w:t>按照《环</w:t>
            </w:r>
            <w:r>
              <w:rPr>
                <w:rFonts w:ascii="宋体" w:hAnsi="宋体" w:eastAsia="宋体" w:cs="宋体"/>
                <w:spacing w:val="7"/>
                <w:sz w:val="17"/>
                <w:szCs w:val="17"/>
              </w:rPr>
              <w:t>境</w:t>
            </w:r>
            <w:r>
              <w:rPr>
                <w:rFonts w:ascii="宋体" w:hAnsi="宋体" w:eastAsia="宋体" w:cs="宋体"/>
                <w:spacing w:val="4"/>
                <w:sz w:val="17"/>
                <w:szCs w:val="17"/>
              </w:rPr>
              <w:t>影响评价技术导则 声环境》 (</w:t>
            </w:r>
            <w:r>
              <w:rPr>
                <w:rFonts w:ascii="Times New Roman" w:hAnsi="Times New Roman" w:eastAsia="Times New Roman" w:cs="Times New Roman"/>
                <w:sz w:val="17"/>
                <w:szCs w:val="17"/>
              </w:rPr>
              <w:t>HJ</w:t>
            </w:r>
            <w:r>
              <w:rPr>
                <w:rFonts w:ascii="Times New Roman" w:hAnsi="Times New Roman" w:eastAsia="Times New Roman" w:cs="Times New Roman"/>
                <w:spacing w:val="4"/>
                <w:sz w:val="17"/>
                <w:szCs w:val="17"/>
              </w:rPr>
              <w:t>2.4-2021</w:t>
            </w:r>
            <w:r>
              <w:rPr>
                <w:rFonts w:ascii="宋体" w:hAnsi="宋体" w:eastAsia="宋体" w:cs="宋体"/>
                <w:spacing w:val="4"/>
                <w:sz w:val="17"/>
                <w:szCs w:val="17"/>
              </w:rPr>
              <w:t>)</w:t>
            </w:r>
            <w:r>
              <w:rPr>
                <w:rFonts w:ascii="宋体" w:hAnsi="宋体" w:eastAsia="宋体" w:cs="宋体"/>
                <w:sz w:val="17"/>
                <w:szCs w:val="17"/>
              </w:rPr>
              <w:t xml:space="preserve"> </w:t>
            </w:r>
            <w:r>
              <w:rPr>
                <w:rFonts w:ascii="宋体" w:hAnsi="宋体" w:eastAsia="宋体" w:cs="宋体"/>
                <w:spacing w:val="22"/>
                <w:sz w:val="17"/>
                <w:szCs w:val="17"/>
              </w:rPr>
              <w:t>的</w:t>
            </w:r>
            <w:r>
              <w:rPr>
                <w:rFonts w:ascii="宋体" w:hAnsi="宋体" w:eastAsia="宋体" w:cs="宋体"/>
                <w:spacing w:val="14"/>
                <w:sz w:val="17"/>
                <w:szCs w:val="17"/>
              </w:rPr>
              <w:t>规</w:t>
            </w:r>
            <w:r>
              <w:rPr>
                <w:rFonts w:ascii="宋体" w:hAnsi="宋体" w:eastAsia="宋体" w:cs="宋体"/>
                <w:spacing w:val="11"/>
                <w:sz w:val="17"/>
                <w:szCs w:val="17"/>
              </w:rPr>
              <w:t>定，对于以移动声源为主的建设项目 (如公路、</w:t>
            </w:r>
            <w:r>
              <w:rPr>
                <w:rFonts w:ascii="宋体" w:hAnsi="宋体" w:eastAsia="宋体" w:cs="宋体"/>
                <w:sz w:val="17"/>
                <w:szCs w:val="17"/>
              </w:rPr>
              <w:t xml:space="preserve"> </w:t>
            </w:r>
            <w:r>
              <w:rPr>
                <w:rFonts w:ascii="宋体" w:hAnsi="宋体" w:eastAsia="宋体" w:cs="宋体"/>
                <w:spacing w:val="15"/>
                <w:sz w:val="17"/>
                <w:szCs w:val="17"/>
              </w:rPr>
              <w:t>城</w:t>
            </w:r>
            <w:r>
              <w:rPr>
                <w:rFonts w:ascii="宋体" w:hAnsi="宋体" w:eastAsia="宋体" w:cs="宋体"/>
                <w:spacing w:val="11"/>
                <w:sz w:val="17"/>
                <w:szCs w:val="17"/>
              </w:rPr>
              <w:t>市道路、铁路、城市轨道交通等地面交通) ：满足</w:t>
            </w:r>
            <w:r>
              <w:rPr>
                <w:rFonts w:ascii="宋体" w:hAnsi="宋体" w:eastAsia="宋体" w:cs="宋体"/>
                <w:sz w:val="17"/>
                <w:szCs w:val="17"/>
              </w:rPr>
              <w:t xml:space="preserve"> </w:t>
            </w:r>
            <w:r>
              <w:rPr>
                <w:rFonts w:ascii="宋体" w:hAnsi="宋体" w:eastAsia="宋体" w:cs="宋体"/>
                <w:spacing w:val="6"/>
                <w:sz w:val="17"/>
                <w:szCs w:val="17"/>
              </w:rPr>
              <w:t>一级评价的</w:t>
            </w:r>
            <w:r>
              <w:rPr>
                <w:rFonts w:ascii="宋体" w:hAnsi="宋体" w:eastAsia="宋体" w:cs="宋体"/>
                <w:spacing w:val="3"/>
                <w:sz w:val="17"/>
                <w:szCs w:val="17"/>
              </w:rPr>
              <w:t xml:space="preserve">要求，一般以线路中心线外两侧 </w:t>
            </w:r>
            <w:r>
              <w:rPr>
                <w:rFonts w:ascii="Times New Roman" w:hAnsi="Times New Roman" w:eastAsia="Times New Roman" w:cs="Times New Roman"/>
                <w:spacing w:val="3"/>
                <w:sz w:val="17"/>
                <w:szCs w:val="17"/>
              </w:rPr>
              <w:t>200</w:t>
            </w:r>
            <w:r>
              <w:rPr>
                <w:rFonts w:ascii="Times New Roman" w:hAnsi="Times New Roman" w:eastAsia="Times New Roman" w:cs="Times New Roman"/>
                <w:sz w:val="17"/>
                <w:szCs w:val="17"/>
              </w:rPr>
              <w:t>m</w:t>
            </w:r>
            <w:r>
              <w:rPr>
                <w:rFonts w:ascii="Times New Roman" w:hAnsi="Times New Roman" w:eastAsia="Times New Roman" w:cs="Times New Roman"/>
                <w:spacing w:val="3"/>
                <w:sz w:val="17"/>
                <w:szCs w:val="17"/>
              </w:rPr>
              <w:t xml:space="preserve"> </w:t>
            </w:r>
            <w:r>
              <w:rPr>
                <w:rFonts w:ascii="宋体" w:hAnsi="宋体" w:eastAsia="宋体" w:cs="宋体"/>
                <w:spacing w:val="3"/>
                <w:sz w:val="17"/>
                <w:szCs w:val="17"/>
              </w:rPr>
              <w:t>以内</w:t>
            </w:r>
            <w:r>
              <w:rPr>
                <w:rFonts w:ascii="宋体" w:hAnsi="宋体" w:eastAsia="宋体" w:cs="宋体"/>
                <w:sz w:val="17"/>
                <w:szCs w:val="17"/>
              </w:rPr>
              <w:t xml:space="preserve"> </w:t>
            </w:r>
            <w:r>
              <w:rPr>
                <w:rFonts w:ascii="宋体" w:hAnsi="宋体" w:eastAsia="宋体" w:cs="宋体"/>
                <w:spacing w:val="22"/>
                <w:sz w:val="17"/>
                <w:szCs w:val="17"/>
              </w:rPr>
              <w:t>为</w:t>
            </w:r>
            <w:r>
              <w:rPr>
                <w:rFonts w:ascii="宋体" w:hAnsi="宋体" w:eastAsia="宋体" w:cs="宋体"/>
                <w:spacing w:val="15"/>
                <w:sz w:val="17"/>
                <w:szCs w:val="17"/>
              </w:rPr>
              <w:t>评</w:t>
            </w:r>
            <w:r>
              <w:rPr>
                <w:rFonts w:ascii="宋体" w:hAnsi="宋体" w:eastAsia="宋体" w:cs="宋体"/>
                <w:spacing w:val="11"/>
                <w:sz w:val="17"/>
                <w:szCs w:val="17"/>
              </w:rPr>
              <w:t>价范围。因此，确定本项目评价范围为桥梁中心</w:t>
            </w:r>
            <w:r>
              <w:rPr>
                <w:rFonts w:ascii="宋体" w:hAnsi="宋体" w:eastAsia="宋体" w:cs="宋体"/>
                <w:sz w:val="17"/>
                <w:szCs w:val="17"/>
              </w:rPr>
              <w:t xml:space="preserve"> </w:t>
            </w:r>
            <w:r>
              <w:rPr>
                <w:rFonts w:ascii="宋体" w:hAnsi="宋体" w:eastAsia="宋体" w:cs="宋体"/>
                <w:spacing w:val="4"/>
                <w:sz w:val="17"/>
                <w:szCs w:val="17"/>
              </w:rPr>
              <w:t xml:space="preserve">线两侧 </w:t>
            </w:r>
            <w:r>
              <w:rPr>
                <w:rFonts w:ascii="Times New Roman" w:hAnsi="Times New Roman" w:eastAsia="Times New Roman" w:cs="Times New Roman"/>
                <w:spacing w:val="2"/>
                <w:sz w:val="17"/>
                <w:szCs w:val="17"/>
              </w:rPr>
              <w:t>200</w:t>
            </w:r>
            <w:r>
              <w:rPr>
                <w:rFonts w:ascii="Times New Roman" w:hAnsi="Times New Roman" w:eastAsia="Times New Roman" w:cs="Times New Roman"/>
                <w:sz w:val="17"/>
                <w:szCs w:val="17"/>
              </w:rPr>
              <w:t>m</w:t>
            </w:r>
            <w:r>
              <w:rPr>
                <w:rFonts w:ascii="Times New Roman" w:hAnsi="Times New Roman" w:eastAsia="Times New Roman" w:cs="Times New Roman"/>
                <w:spacing w:val="2"/>
                <w:sz w:val="17"/>
                <w:szCs w:val="17"/>
              </w:rPr>
              <w:t xml:space="preserve"> </w:t>
            </w:r>
            <w:r>
              <w:rPr>
                <w:rFonts w:ascii="宋体" w:hAnsi="宋体" w:eastAsia="宋体" w:cs="宋体"/>
                <w:spacing w:val="2"/>
                <w:sz w:val="17"/>
                <w:szCs w:val="17"/>
              </w:rPr>
              <w:t>的范围。</w:t>
            </w:r>
          </w:p>
        </w:tc>
        <w:tc>
          <w:tcPr>
            <w:tcW w:w="2089" w:type="dxa"/>
            <w:vAlign w:val="top"/>
          </w:tcPr>
          <w:p>
            <w:pPr>
              <w:spacing w:line="336" w:lineRule="auto"/>
              <w:rPr>
                <w:rFonts w:ascii="Arial"/>
                <w:sz w:val="21"/>
              </w:rPr>
            </w:pPr>
          </w:p>
          <w:p>
            <w:pPr>
              <w:tabs>
                <w:tab w:val="left" w:pos="153"/>
              </w:tabs>
              <w:spacing w:before="56" w:line="308" w:lineRule="auto"/>
              <w:ind w:left="60" w:hanging="1"/>
              <w:rPr>
                <w:rFonts w:ascii="宋体" w:hAnsi="宋体" w:eastAsia="宋体" w:cs="宋体"/>
                <w:sz w:val="17"/>
                <w:szCs w:val="17"/>
              </w:rPr>
            </w:pPr>
            <w:r>
              <w:rPr>
                <w:rFonts w:ascii="宋体" w:hAnsi="宋体" w:eastAsia="宋体" w:cs="宋体"/>
                <w:spacing w:val="9"/>
                <w:sz w:val="17"/>
                <w:szCs w:val="17"/>
              </w:rPr>
              <w:t xml:space="preserve">距桥梁红线 </w:t>
            </w:r>
            <w:r>
              <w:rPr>
                <w:rFonts w:ascii="Times New Roman" w:hAnsi="Times New Roman" w:eastAsia="Times New Roman" w:cs="Times New Roman"/>
                <w:spacing w:val="9"/>
                <w:sz w:val="17"/>
                <w:szCs w:val="17"/>
              </w:rPr>
              <w:t>35</w:t>
            </w:r>
            <w:r>
              <w:rPr>
                <w:rFonts w:ascii="Times New Roman" w:hAnsi="Times New Roman" w:eastAsia="Times New Roman" w:cs="Times New Roman"/>
                <w:sz w:val="17"/>
                <w:szCs w:val="17"/>
              </w:rPr>
              <w:t>m</w:t>
            </w:r>
            <w:r>
              <w:rPr>
                <w:rFonts w:ascii="Times New Roman" w:hAnsi="Times New Roman" w:eastAsia="Times New Roman" w:cs="Times New Roman"/>
                <w:spacing w:val="9"/>
                <w:sz w:val="17"/>
                <w:szCs w:val="17"/>
              </w:rPr>
              <w:t xml:space="preserve">  </w:t>
            </w:r>
            <w:r>
              <w:rPr>
                <w:rFonts w:ascii="宋体" w:hAnsi="宋体" w:eastAsia="宋体" w:cs="宋体"/>
                <w:spacing w:val="9"/>
                <w:sz w:val="17"/>
                <w:szCs w:val="17"/>
              </w:rPr>
              <w:t>以内</w:t>
            </w:r>
            <w:r>
              <w:rPr>
                <w:rFonts w:ascii="宋体" w:hAnsi="宋体" w:eastAsia="宋体" w:cs="宋体"/>
                <w:spacing w:val="8"/>
                <w:sz w:val="17"/>
                <w:szCs w:val="17"/>
              </w:rPr>
              <w:t>区</w:t>
            </w:r>
            <w:r>
              <w:rPr>
                <w:rFonts w:ascii="宋体" w:hAnsi="宋体" w:eastAsia="宋体" w:cs="宋体"/>
                <w:sz w:val="17"/>
                <w:szCs w:val="17"/>
              </w:rPr>
              <w:t xml:space="preserve"> </w:t>
            </w:r>
            <w:r>
              <w:rPr>
                <w:rFonts w:ascii="宋体" w:hAnsi="宋体" w:eastAsia="宋体" w:cs="宋体"/>
                <w:spacing w:val="-2"/>
                <w:sz w:val="17"/>
                <w:szCs w:val="17"/>
              </w:rPr>
              <w:t>域执行《声环</w:t>
            </w:r>
            <w:r>
              <w:rPr>
                <w:rFonts w:ascii="宋体" w:hAnsi="宋体" w:eastAsia="宋体" w:cs="宋体"/>
                <w:spacing w:val="-1"/>
                <w:sz w:val="17"/>
                <w:szCs w:val="17"/>
              </w:rPr>
              <w:t>境质量标准》</w:t>
            </w:r>
            <w:r>
              <w:rPr>
                <w:rFonts w:ascii="宋体" w:hAnsi="宋体" w:eastAsia="宋体" w:cs="宋体"/>
                <w:sz w:val="17"/>
                <w:szCs w:val="17"/>
              </w:rPr>
              <w:t xml:space="preserve"> </w:t>
            </w:r>
            <w:r>
              <w:rPr>
                <w:rFonts w:ascii="宋体" w:hAnsi="宋体" w:eastAsia="宋体" w:cs="宋体"/>
                <w:sz w:val="17"/>
                <w:szCs w:val="17"/>
              </w:rPr>
              <w:tab/>
            </w:r>
            <w:r>
              <w:rPr>
                <w:rFonts w:ascii="宋体" w:hAnsi="宋体" w:eastAsia="宋体" w:cs="宋体"/>
                <w:spacing w:val="6"/>
                <w:sz w:val="17"/>
                <w:szCs w:val="17"/>
              </w:rPr>
              <w:t>(</w:t>
            </w:r>
            <w:r>
              <w:rPr>
                <w:rFonts w:ascii="Times New Roman" w:hAnsi="Times New Roman" w:eastAsia="Times New Roman" w:cs="Times New Roman"/>
                <w:sz w:val="17"/>
                <w:szCs w:val="17"/>
              </w:rPr>
              <w:t>GB</w:t>
            </w:r>
            <w:r>
              <w:rPr>
                <w:rFonts w:ascii="Times New Roman" w:hAnsi="Times New Roman" w:eastAsia="Times New Roman" w:cs="Times New Roman"/>
                <w:spacing w:val="5"/>
                <w:sz w:val="17"/>
                <w:szCs w:val="17"/>
              </w:rPr>
              <w:t>3096-2008</w:t>
            </w:r>
            <w:r>
              <w:rPr>
                <w:rFonts w:ascii="宋体" w:hAnsi="宋体" w:eastAsia="宋体" w:cs="宋体"/>
                <w:spacing w:val="5"/>
                <w:sz w:val="17"/>
                <w:szCs w:val="17"/>
              </w:rPr>
              <w:t xml:space="preserve">) </w:t>
            </w:r>
            <w:r>
              <w:rPr>
                <w:rFonts w:ascii="Times New Roman" w:hAnsi="Times New Roman" w:eastAsia="Times New Roman" w:cs="Times New Roman"/>
                <w:spacing w:val="5"/>
                <w:sz w:val="17"/>
                <w:szCs w:val="17"/>
              </w:rPr>
              <w:t>4</w:t>
            </w:r>
            <w:r>
              <w:rPr>
                <w:rFonts w:ascii="Times New Roman" w:hAnsi="Times New Roman" w:eastAsia="Times New Roman" w:cs="Times New Roman"/>
                <w:sz w:val="17"/>
                <w:szCs w:val="17"/>
              </w:rPr>
              <w:t>a</w:t>
            </w:r>
            <w:r>
              <w:rPr>
                <w:rFonts w:ascii="Times New Roman" w:hAnsi="Times New Roman" w:eastAsia="Times New Roman" w:cs="Times New Roman"/>
                <w:spacing w:val="5"/>
                <w:sz w:val="17"/>
                <w:szCs w:val="17"/>
              </w:rPr>
              <w:t xml:space="preserve"> </w:t>
            </w:r>
            <w:r>
              <w:rPr>
                <w:rFonts w:ascii="宋体" w:hAnsi="宋体" w:eastAsia="宋体" w:cs="宋体"/>
                <w:spacing w:val="5"/>
                <w:sz w:val="17"/>
                <w:szCs w:val="17"/>
              </w:rPr>
              <w:t>类标</w:t>
            </w:r>
            <w:r>
              <w:rPr>
                <w:rFonts w:ascii="宋体" w:hAnsi="宋体" w:eastAsia="宋体" w:cs="宋体"/>
                <w:sz w:val="17"/>
                <w:szCs w:val="17"/>
              </w:rPr>
              <w:t xml:space="preserve"> </w:t>
            </w:r>
            <w:r>
              <w:rPr>
                <w:rFonts w:ascii="宋体" w:hAnsi="宋体" w:eastAsia="宋体" w:cs="宋体"/>
                <w:spacing w:val="-1"/>
                <w:sz w:val="17"/>
                <w:szCs w:val="17"/>
              </w:rPr>
              <w:t xml:space="preserve">准，距桥梁红线 </w:t>
            </w:r>
            <w:r>
              <w:rPr>
                <w:rFonts w:ascii="Times New Roman" w:hAnsi="Times New Roman" w:eastAsia="Times New Roman" w:cs="Times New Roman"/>
                <w:spacing w:val="-1"/>
                <w:sz w:val="17"/>
                <w:szCs w:val="17"/>
              </w:rPr>
              <w:t>35</w:t>
            </w:r>
            <w:r>
              <w:rPr>
                <w:rFonts w:ascii="Times New Roman" w:hAnsi="Times New Roman" w:eastAsia="Times New Roman" w:cs="Times New Roman"/>
                <w:sz w:val="17"/>
                <w:szCs w:val="17"/>
              </w:rPr>
              <w:t>m</w:t>
            </w:r>
            <w:r>
              <w:rPr>
                <w:rFonts w:ascii="Times New Roman" w:hAnsi="Times New Roman" w:eastAsia="Times New Roman" w:cs="Times New Roman"/>
                <w:spacing w:val="-1"/>
                <w:sz w:val="17"/>
                <w:szCs w:val="17"/>
              </w:rPr>
              <w:t xml:space="preserve"> </w:t>
            </w:r>
            <w:r>
              <w:rPr>
                <w:rFonts w:ascii="宋体" w:hAnsi="宋体" w:eastAsia="宋体" w:cs="宋体"/>
                <w:spacing w:val="-1"/>
                <w:sz w:val="17"/>
                <w:szCs w:val="17"/>
              </w:rPr>
              <w:t>以外</w:t>
            </w:r>
            <w:r>
              <w:rPr>
                <w:rFonts w:ascii="宋体" w:hAnsi="宋体" w:eastAsia="宋体" w:cs="宋体"/>
                <w:sz w:val="17"/>
                <w:szCs w:val="17"/>
              </w:rPr>
              <w:t xml:space="preserve"> </w:t>
            </w:r>
            <w:r>
              <w:rPr>
                <w:rFonts w:ascii="宋体" w:hAnsi="宋体" w:eastAsia="宋体" w:cs="宋体"/>
                <w:spacing w:val="2"/>
                <w:sz w:val="17"/>
                <w:szCs w:val="17"/>
              </w:rPr>
              <w:t>区</w:t>
            </w:r>
            <w:r>
              <w:rPr>
                <w:rFonts w:ascii="宋体" w:hAnsi="宋体" w:eastAsia="宋体" w:cs="宋体"/>
                <w:spacing w:val="1"/>
                <w:sz w:val="17"/>
                <w:szCs w:val="17"/>
              </w:rPr>
              <w:t xml:space="preserve">域执行 </w:t>
            </w:r>
            <w:r>
              <w:rPr>
                <w:rFonts w:ascii="Times New Roman" w:hAnsi="Times New Roman" w:eastAsia="Times New Roman" w:cs="Times New Roman"/>
                <w:spacing w:val="1"/>
                <w:sz w:val="17"/>
                <w:szCs w:val="17"/>
              </w:rPr>
              <w:t xml:space="preserve">2 </w:t>
            </w:r>
            <w:r>
              <w:rPr>
                <w:rFonts w:ascii="宋体" w:hAnsi="宋体" w:eastAsia="宋体" w:cs="宋体"/>
                <w:spacing w:val="1"/>
                <w:sz w:val="17"/>
                <w:szCs w:val="17"/>
              </w:rPr>
              <w:t>类标准</w:t>
            </w:r>
          </w:p>
        </w:tc>
        <w:tc>
          <w:tcPr>
            <w:tcW w:w="1501" w:type="dxa"/>
            <w:vAlign w:val="top"/>
          </w:tcPr>
          <w:p>
            <w:pPr>
              <w:spacing w:line="473" w:lineRule="auto"/>
              <w:rPr>
                <w:rFonts w:ascii="Arial"/>
                <w:sz w:val="21"/>
              </w:rPr>
            </w:pPr>
          </w:p>
          <w:p>
            <w:pPr>
              <w:spacing w:before="55" w:line="230" w:lineRule="auto"/>
              <w:ind w:left="61"/>
              <w:rPr>
                <w:rFonts w:ascii="宋体" w:hAnsi="宋体" w:eastAsia="宋体" w:cs="宋体"/>
                <w:sz w:val="17"/>
                <w:szCs w:val="17"/>
              </w:rPr>
            </w:pPr>
            <w:r>
              <w:rPr>
                <w:rFonts w:ascii="宋体" w:hAnsi="宋体" w:eastAsia="宋体" w:cs="宋体"/>
                <w:spacing w:val="4"/>
                <w:sz w:val="17"/>
                <w:szCs w:val="17"/>
              </w:rPr>
              <w:t>施</w:t>
            </w:r>
            <w:r>
              <w:rPr>
                <w:rFonts w:ascii="宋体" w:hAnsi="宋体" w:eastAsia="宋体" w:cs="宋体"/>
                <w:spacing w:val="2"/>
                <w:sz w:val="17"/>
                <w:szCs w:val="17"/>
              </w:rPr>
              <w:t>工期执行《建筑</w:t>
            </w:r>
          </w:p>
          <w:p>
            <w:pPr>
              <w:spacing w:before="68" w:line="231" w:lineRule="auto"/>
              <w:ind w:left="121"/>
              <w:rPr>
                <w:rFonts w:ascii="宋体" w:hAnsi="宋体" w:eastAsia="宋体" w:cs="宋体"/>
                <w:sz w:val="17"/>
                <w:szCs w:val="17"/>
              </w:rPr>
            </w:pPr>
            <w:r>
              <w:rPr>
                <w:rFonts w:ascii="宋体" w:hAnsi="宋体" w:eastAsia="宋体" w:cs="宋体"/>
                <w:spacing w:val="9"/>
                <w:sz w:val="17"/>
                <w:szCs w:val="17"/>
              </w:rPr>
              <w:t>施工场界环境噪</w:t>
            </w:r>
          </w:p>
          <w:p>
            <w:pPr>
              <w:spacing w:before="65" w:line="337" w:lineRule="auto"/>
              <w:ind w:left="71" w:firstLine="136"/>
              <w:rPr>
                <w:rFonts w:ascii="宋体" w:hAnsi="宋体" w:eastAsia="宋体" w:cs="宋体"/>
                <w:sz w:val="16"/>
                <w:szCs w:val="16"/>
              </w:rPr>
            </w:pPr>
            <w:r>
              <w:rPr>
                <w:rFonts w:ascii="宋体" w:hAnsi="宋体" w:eastAsia="宋体" w:cs="宋体"/>
                <w:spacing w:val="9"/>
                <w:sz w:val="16"/>
                <w:szCs w:val="16"/>
              </w:rPr>
              <w:t>声</w:t>
            </w:r>
            <w:r>
              <w:rPr>
                <w:rFonts w:ascii="宋体" w:hAnsi="宋体" w:eastAsia="宋体" w:cs="宋体"/>
                <w:spacing w:val="5"/>
                <w:sz w:val="16"/>
                <w:szCs w:val="16"/>
              </w:rPr>
              <w:t>排放标准》</w:t>
            </w:r>
            <w:r>
              <w:rPr>
                <w:rFonts w:ascii="宋体" w:hAnsi="宋体" w:eastAsia="宋体" w:cs="宋体"/>
                <w:sz w:val="16"/>
                <w:szCs w:val="16"/>
              </w:rPr>
              <w:t xml:space="preserve">   </w:t>
            </w:r>
            <w:r>
              <w:rPr>
                <w:rFonts w:ascii="宋体" w:hAnsi="宋体" w:eastAsia="宋体" w:cs="宋体"/>
                <w:spacing w:val="12"/>
                <w:sz w:val="16"/>
                <w:szCs w:val="16"/>
              </w:rPr>
              <w:t>(</w:t>
            </w:r>
            <w:r>
              <w:rPr>
                <w:rFonts w:ascii="Times New Roman" w:hAnsi="Times New Roman" w:eastAsia="Times New Roman" w:cs="Times New Roman"/>
                <w:sz w:val="16"/>
                <w:szCs w:val="16"/>
              </w:rPr>
              <w:t>GB</w:t>
            </w:r>
            <w:r>
              <w:rPr>
                <w:rFonts w:ascii="Times New Roman" w:hAnsi="Times New Roman" w:eastAsia="Times New Roman" w:cs="Times New Roman"/>
                <w:spacing w:val="8"/>
                <w:sz w:val="16"/>
                <w:szCs w:val="16"/>
              </w:rPr>
              <w:t>12523-2011</w:t>
            </w:r>
            <w:r>
              <w:rPr>
                <w:rFonts w:ascii="宋体" w:hAnsi="宋体" w:eastAsia="宋体" w:cs="宋体"/>
                <w:spacing w:val="8"/>
                <w:sz w:val="16"/>
                <w:szCs w:val="16"/>
              </w:rPr>
              <w:t>)。</w:t>
            </w:r>
          </w:p>
        </w:tc>
      </w:tr>
    </w:tbl>
    <w:p>
      <w:pPr>
        <w:spacing w:before="147" w:line="230" w:lineRule="auto"/>
        <w:ind w:left="20"/>
        <w:outlineLvl w:val="2"/>
        <w:rPr>
          <w:rFonts w:ascii="黑体" w:hAnsi="黑体" w:eastAsia="黑体" w:cs="黑体"/>
          <w:sz w:val="23"/>
          <w:szCs w:val="23"/>
        </w:rPr>
      </w:pPr>
      <w:bookmarkStart w:id="13" w:name="_bookmark14"/>
      <w:bookmarkEnd w:id="13"/>
      <w:r>
        <w:rPr>
          <w:rFonts w:ascii="Times New Roman" w:hAnsi="Times New Roman" w:eastAsia="Times New Roman" w:cs="Times New Roman"/>
          <w:spacing w:val="5"/>
          <w:sz w:val="23"/>
          <w:szCs w:val="23"/>
        </w:rPr>
        <w:t>1</w:t>
      </w:r>
      <w:r>
        <w:rPr>
          <w:rFonts w:ascii="Times New Roman" w:hAnsi="Times New Roman" w:eastAsia="Times New Roman" w:cs="Times New Roman"/>
          <w:spacing w:val="3"/>
          <w:sz w:val="23"/>
          <w:szCs w:val="23"/>
        </w:rPr>
        <w:t xml:space="preserve">.6  </w:t>
      </w:r>
      <w:r>
        <w:rPr>
          <w:rFonts w:ascii="黑体" w:hAnsi="黑体" w:eastAsia="黑体" w:cs="黑体"/>
          <w:spacing w:val="3"/>
          <w:sz w:val="23"/>
          <w:szCs w:val="23"/>
        </w:rPr>
        <w:t>评价时段</w:t>
      </w:r>
    </w:p>
    <w:p>
      <w:pPr>
        <w:spacing w:before="148" w:line="369" w:lineRule="auto"/>
        <w:ind w:left="3" w:firstLine="417"/>
        <w:rPr>
          <w:rFonts w:ascii="宋体" w:hAnsi="宋体" w:eastAsia="宋体" w:cs="宋体"/>
          <w:sz w:val="20"/>
          <w:szCs w:val="20"/>
        </w:rPr>
      </w:pPr>
      <w:r>
        <w:rPr>
          <w:rFonts w:ascii="宋体" w:hAnsi="宋体" w:eastAsia="宋体" w:cs="宋体"/>
          <w:spacing w:val="9"/>
          <w:sz w:val="20"/>
          <w:szCs w:val="20"/>
        </w:rPr>
        <w:t>根据设计资料，工期初步安排为：</w:t>
      </w:r>
      <w:r>
        <w:rPr>
          <w:rFonts w:ascii="Times New Roman" w:hAnsi="Times New Roman" w:eastAsia="Times New Roman" w:cs="Times New Roman"/>
          <w:spacing w:val="9"/>
          <w:sz w:val="20"/>
          <w:szCs w:val="20"/>
        </w:rPr>
        <w:t>2023</w:t>
      </w:r>
      <w:r>
        <w:rPr>
          <w:rFonts w:ascii="宋体" w:hAnsi="宋体" w:eastAsia="宋体" w:cs="宋体"/>
          <w:spacing w:val="9"/>
          <w:sz w:val="20"/>
          <w:szCs w:val="20"/>
        </w:rPr>
        <w:t>年</w:t>
      </w:r>
      <w:r>
        <w:rPr>
          <w:rFonts w:ascii="Times New Roman" w:hAnsi="Times New Roman" w:eastAsia="Times New Roman" w:cs="Times New Roman"/>
          <w:spacing w:val="9"/>
          <w:sz w:val="20"/>
          <w:szCs w:val="20"/>
        </w:rPr>
        <w:t>3</w:t>
      </w:r>
      <w:r>
        <w:rPr>
          <w:rFonts w:ascii="宋体" w:hAnsi="宋体" w:eastAsia="宋体" w:cs="宋体"/>
          <w:spacing w:val="9"/>
          <w:sz w:val="20"/>
          <w:szCs w:val="20"/>
        </w:rPr>
        <w:t>月开工 (含前期工作) ，</w:t>
      </w:r>
      <w:r>
        <w:rPr>
          <w:rFonts w:ascii="Times New Roman" w:hAnsi="Times New Roman" w:eastAsia="Times New Roman" w:cs="Times New Roman"/>
          <w:spacing w:val="9"/>
          <w:sz w:val="20"/>
          <w:szCs w:val="20"/>
        </w:rPr>
        <w:t>2025</w:t>
      </w:r>
      <w:r>
        <w:rPr>
          <w:rFonts w:ascii="宋体" w:hAnsi="宋体" w:eastAsia="宋体" w:cs="宋体"/>
          <w:spacing w:val="9"/>
          <w:sz w:val="20"/>
          <w:szCs w:val="20"/>
        </w:rPr>
        <w:t>年</w:t>
      </w:r>
      <w:r>
        <w:rPr>
          <w:rFonts w:ascii="Times New Roman" w:hAnsi="Times New Roman" w:eastAsia="Times New Roman" w:cs="Times New Roman"/>
          <w:spacing w:val="9"/>
          <w:sz w:val="20"/>
          <w:szCs w:val="20"/>
        </w:rPr>
        <w:t>9</w:t>
      </w:r>
      <w:r>
        <w:rPr>
          <w:rFonts w:ascii="宋体" w:hAnsi="宋体" w:eastAsia="宋体" w:cs="宋体"/>
          <w:spacing w:val="9"/>
          <w:sz w:val="20"/>
          <w:szCs w:val="20"/>
        </w:rPr>
        <w:t>月底完工，建</w:t>
      </w:r>
      <w:r>
        <w:rPr>
          <w:rFonts w:ascii="宋体" w:hAnsi="宋体" w:eastAsia="宋体" w:cs="宋体"/>
          <w:spacing w:val="2"/>
          <w:sz w:val="20"/>
          <w:szCs w:val="20"/>
        </w:rPr>
        <w:t>设</w:t>
      </w:r>
      <w:r>
        <w:rPr>
          <w:rFonts w:ascii="宋体" w:hAnsi="宋体" w:eastAsia="宋体" w:cs="宋体"/>
          <w:sz w:val="20"/>
          <w:szCs w:val="20"/>
        </w:rPr>
        <w:t xml:space="preserve"> </w:t>
      </w:r>
      <w:r>
        <w:rPr>
          <w:rFonts w:ascii="宋体" w:hAnsi="宋体" w:eastAsia="宋体" w:cs="宋体"/>
          <w:spacing w:val="14"/>
          <w:sz w:val="20"/>
          <w:szCs w:val="20"/>
        </w:rPr>
        <w:t>工</w:t>
      </w:r>
      <w:r>
        <w:rPr>
          <w:rFonts w:ascii="宋体" w:hAnsi="宋体" w:eastAsia="宋体" w:cs="宋体"/>
          <w:spacing w:val="9"/>
          <w:sz w:val="20"/>
          <w:szCs w:val="20"/>
        </w:rPr>
        <w:t>期</w:t>
      </w:r>
      <w:r>
        <w:rPr>
          <w:rFonts w:ascii="Times New Roman" w:hAnsi="Times New Roman" w:eastAsia="Times New Roman" w:cs="Times New Roman"/>
          <w:spacing w:val="7"/>
          <w:sz w:val="20"/>
          <w:szCs w:val="20"/>
        </w:rPr>
        <w:t>24</w:t>
      </w:r>
      <w:r>
        <w:rPr>
          <w:rFonts w:ascii="宋体" w:hAnsi="宋体" w:eastAsia="宋体" w:cs="宋体"/>
          <w:spacing w:val="7"/>
          <w:sz w:val="20"/>
          <w:szCs w:val="20"/>
        </w:rPr>
        <w:t>个月，评价时段分为：</w:t>
      </w:r>
    </w:p>
    <w:p>
      <w:pPr>
        <w:spacing w:line="226" w:lineRule="auto"/>
        <w:ind w:left="430"/>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3"/>
          <w:sz w:val="20"/>
          <w:szCs w:val="20"/>
        </w:rPr>
        <w:t>1</w:t>
      </w:r>
      <w:r>
        <w:rPr>
          <w:rFonts w:ascii="宋体" w:hAnsi="宋体" w:eastAsia="宋体" w:cs="宋体"/>
          <w:spacing w:val="13"/>
          <w:sz w:val="20"/>
          <w:szCs w:val="20"/>
        </w:rPr>
        <w:t>) 现状评价：</w:t>
      </w:r>
      <w:r>
        <w:rPr>
          <w:rFonts w:ascii="Times New Roman" w:hAnsi="Times New Roman" w:eastAsia="Times New Roman" w:cs="Times New Roman"/>
          <w:spacing w:val="13"/>
          <w:sz w:val="20"/>
          <w:szCs w:val="20"/>
        </w:rPr>
        <w:t>2023</w:t>
      </w:r>
      <w:r>
        <w:rPr>
          <w:rFonts w:ascii="宋体" w:hAnsi="宋体" w:eastAsia="宋体" w:cs="宋体"/>
          <w:spacing w:val="13"/>
          <w:sz w:val="20"/>
          <w:szCs w:val="20"/>
        </w:rPr>
        <w:t>年</w:t>
      </w:r>
    </w:p>
    <w:p>
      <w:pPr>
        <w:spacing w:before="156" w:line="226" w:lineRule="auto"/>
        <w:ind w:left="430"/>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5"/>
          <w:sz w:val="20"/>
          <w:szCs w:val="20"/>
        </w:rPr>
        <w:t>2</w:t>
      </w:r>
      <w:r>
        <w:rPr>
          <w:rFonts w:ascii="宋体" w:hAnsi="宋体" w:eastAsia="宋体" w:cs="宋体"/>
          <w:spacing w:val="10"/>
          <w:sz w:val="20"/>
          <w:szCs w:val="20"/>
        </w:rPr>
        <w:t>) 影响评价：①施工期：</w:t>
      </w:r>
      <w:r>
        <w:rPr>
          <w:rFonts w:ascii="Times New Roman" w:hAnsi="Times New Roman" w:eastAsia="Times New Roman" w:cs="Times New Roman"/>
          <w:spacing w:val="10"/>
          <w:sz w:val="20"/>
          <w:szCs w:val="20"/>
        </w:rPr>
        <w:t>2023</w:t>
      </w:r>
      <w:r>
        <w:rPr>
          <w:rFonts w:ascii="宋体" w:hAnsi="宋体" w:eastAsia="宋体" w:cs="宋体"/>
          <w:spacing w:val="10"/>
          <w:sz w:val="20"/>
          <w:szCs w:val="20"/>
        </w:rPr>
        <w:t>年</w:t>
      </w:r>
      <w:r>
        <w:rPr>
          <w:rFonts w:ascii="Times New Roman" w:hAnsi="Times New Roman" w:eastAsia="Times New Roman" w:cs="Times New Roman"/>
          <w:spacing w:val="10"/>
          <w:sz w:val="20"/>
          <w:szCs w:val="20"/>
        </w:rPr>
        <w:t>7</w:t>
      </w:r>
      <w:r>
        <w:rPr>
          <w:rFonts w:ascii="宋体" w:hAnsi="宋体" w:eastAsia="宋体" w:cs="宋体"/>
          <w:spacing w:val="10"/>
          <w:sz w:val="20"/>
          <w:szCs w:val="20"/>
        </w:rPr>
        <w:t>月</w:t>
      </w:r>
      <w:r>
        <w:rPr>
          <w:rFonts w:ascii="Times New Roman" w:hAnsi="Times New Roman" w:eastAsia="Times New Roman" w:cs="Times New Roman"/>
          <w:spacing w:val="10"/>
          <w:sz w:val="20"/>
          <w:szCs w:val="20"/>
        </w:rPr>
        <w:t>—2025</w:t>
      </w:r>
      <w:r>
        <w:rPr>
          <w:rFonts w:ascii="宋体" w:hAnsi="宋体" w:eastAsia="宋体" w:cs="宋体"/>
          <w:spacing w:val="10"/>
          <w:sz w:val="20"/>
          <w:szCs w:val="20"/>
        </w:rPr>
        <w:t>年</w:t>
      </w:r>
      <w:r>
        <w:rPr>
          <w:rFonts w:ascii="Times New Roman" w:hAnsi="Times New Roman" w:eastAsia="Times New Roman" w:cs="Times New Roman"/>
          <w:spacing w:val="10"/>
          <w:sz w:val="20"/>
          <w:szCs w:val="20"/>
        </w:rPr>
        <w:t>9</w:t>
      </w:r>
      <w:r>
        <w:rPr>
          <w:rFonts w:ascii="宋体" w:hAnsi="宋体" w:eastAsia="宋体" w:cs="宋体"/>
          <w:spacing w:val="10"/>
          <w:sz w:val="20"/>
          <w:szCs w:val="20"/>
        </w:rPr>
        <w:t>月</w:t>
      </w:r>
    </w:p>
    <w:p>
      <w:pPr>
        <w:sectPr>
          <w:footerReference r:id="rId107" w:type="default"/>
          <w:pgSz w:w="11906" w:h="16839"/>
          <w:pgMar w:top="400" w:right="1530" w:bottom="1027" w:left="1538" w:header="0" w:footer="840" w:gutter="0"/>
          <w:cols w:space="720" w:num="1"/>
        </w:sect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65" w:line="225" w:lineRule="auto"/>
        <w:ind w:left="2098"/>
        <w:rPr>
          <w:rFonts w:ascii="宋体" w:hAnsi="宋体" w:eastAsia="宋体" w:cs="宋体"/>
          <w:sz w:val="20"/>
          <w:szCs w:val="20"/>
        </w:rPr>
      </w:pPr>
      <w:r>
        <w:rPr>
          <w:rFonts w:ascii="宋体" w:hAnsi="宋体" w:eastAsia="宋体" w:cs="宋体"/>
          <w:spacing w:val="7"/>
          <w:sz w:val="20"/>
          <w:szCs w:val="20"/>
        </w:rPr>
        <w:t>②运营期：</w:t>
      </w:r>
      <w:r>
        <w:rPr>
          <w:rFonts w:ascii="Times New Roman" w:hAnsi="Times New Roman" w:eastAsia="Times New Roman" w:cs="Times New Roman"/>
          <w:spacing w:val="7"/>
          <w:sz w:val="20"/>
          <w:szCs w:val="20"/>
        </w:rPr>
        <w:t>2026</w:t>
      </w:r>
      <w:r>
        <w:rPr>
          <w:rFonts w:ascii="宋体" w:hAnsi="宋体" w:eastAsia="宋体" w:cs="宋体"/>
          <w:spacing w:val="7"/>
          <w:sz w:val="20"/>
          <w:szCs w:val="20"/>
        </w:rPr>
        <w:t>年</w:t>
      </w:r>
      <w:r>
        <w:rPr>
          <w:rFonts w:ascii="Times New Roman" w:hAnsi="Times New Roman" w:eastAsia="Times New Roman" w:cs="Times New Roman"/>
          <w:spacing w:val="7"/>
          <w:sz w:val="20"/>
          <w:szCs w:val="20"/>
        </w:rPr>
        <w:t>—2040</w:t>
      </w:r>
      <w:r>
        <w:rPr>
          <w:rFonts w:ascii="宋体" w:hAnsi="宋体" w:eastAsia="宋体" w:cs="宋体"/>
          <w:spacing w:val="6"/>
          <w:sz w:val="20"/>
          <w:szCs w:val="20"/>
        </w:rPr>
        <w:t>年</w:t>
      </w:r>
    </w:p>
    <w:p>
      <w:pPr>
        <w:spacing w:before="154" w:line="373" w:lineRule="auto"/>
        <w:ind w:firstLine="419"/>
        <w:rPr>
          <w:rFonts w:ascii="宋体" w:hAnsi="宋体" w:eastAsia="宋体" w:cs="宋体"/>
          <w:sz w:val="20"/>
          <w:szCs w:val="20"/>
        </w:rPr>
      </w:pPr>
      <w:r>
        <w:rPr>
          <w:rFonts w:ascii="宋体" w:hAnsi="宋体" w:eastAsia="宋体" w:cs="宋体"/>
          <w:spacing w:val="10"/>
          <w:sz w:val="20"/>
          <w:szCs w:val="20"/>
        </w:rPr>
        <w:t>近期特</w:t>
      </w:r>
      <w:r>
        <w:rPr>
          <w:rFonts w:ascii="宋体" w:hAnsi="宋体" w:eastAsia="宋体" w:cs="宋体"/>
          <w:spacing w:val="6"/>
          <w:sz w:val="20"/>
          <w:szCs w:val="20"/>
        </w:rPr>
        <w:t>征</w:t>
      </w:r>
      <w:r>
        <w:rPr>
          <w:rFonts w:ascii="宋体" w:hAnsi="宋体" w:eastAsia="宋体" w:cs="宋体"/>
          <w:spacing w:val="5"/>
          <w:sz w:val="20"/>
          <w:szCs w:val="20"/>
        </w:rPr>
        <w:t>年 (建成通车后第一年) ：</w:t>
      </w:r>
      <w:r>
        <w:rPr>
          <w:rFonts w:ascii="Times New Roman" w:hAnsi="Times New Roman" w:eastAsia="Times New Roman" w:cs="Times New Roman"/>
          <w:spacing w:val="5"/>
          <w:sz w:val="20"/>
          <w:szCs w:val="20"/>
        </w:rPr>
        <w:t>2026</w:t>
      </w:r>
      <w:r>
        <w:rPr>
          <w:rFonts w:ascii="宋体" w:hAnsi="宋体" w:eastAsia="宋体" w:cs="宋体"/>
          <w:spacing w:val="5"/>
          <w:sz w:val="20"/>
          <w:szCs w:val="20"/>
        </w:rPr>
        <w:t>年； 中期特征年 (建成通车后第七年) ：</w:t>
      </w:r>
      <w:r>
        <w:rPr>
          <w:rFonts w:ascii="Times New Roman" w:hAnsi="Times New Roman" w:eastAsia="Times New Roman" w:cs="Times New Roman"/>
          <w:spacing w:val="5"/>
          <w:sz w:val="20"/>
          <w:szCs w:val="20"/>
        </w:rPr>
        <w:t>2032</w:t>
      </w:r>
      <w:r>
        <w:rPr>
          <w:rFonts w:ascii="宋体" w:hAnsi="宋体" w:eastAsia="宋体" w:cs="宋体"/>
          <w:spacing w:val="5"/>
          <w:sz w:val="20"/>
          <w:szCs w:val="20"/>
        </w:rPr>
        <w:t>年；</w:t>
      </w:r>
      <w:r>
        <w:rPr>
          <w:rFonts w:ascii="宋体" w:hAnsi="宋体" w:eastAsia="宋体" w:cs="宋体"/>
          <w:sz w:val="20"/>
          <w:szCs w:val="20"/>
        </w:rPr>
        <w:t xml:space="preserve"> </w:t>
      </w:r>
      <w:bookmarkStart w:id="14" w:name="_bookmark15"/>
      <w:bookmarkEnd w:id="14"/>
      <w:r>
        <w:rPr>
          <w:rFonts w:ascii="宋体" w:hAnsi="宋体" w:eastAsia="宋体" w:cs="宋体"/>
          <w:spacing w:val="14"/>
          <w:sz w:val="20"/>
          <w:szCs w:val="20"/>
        </w:rPr>
        <w:t>远期</w:t>
      </w:r>
      <w:r>
        <w:rPr>
          <w:rFonts w:ascii="宋体" w:hAnsi="宋体" w:eastAsia="宋体" w:cs="宋体"/>
          <w:spacing w:val="7"/>
          <w:sz w:val="20"/>
          <w:szCs w:val="20"/>
        </w:rPr>
        <w:t>特征年 (建成通车后第十五年) ：</w:t>
      </w:r>
      <w:r>
        <w:rPr>
          <w:rFonts w:ascii="Times New Roman" w:hAnsi="Times New Roman" w:eastAsia="Times New Roman" w:cs="Times New Roman"/>
          <w:spacing w:val="7"/>
          <w:sz w:val="20"/>
          <w:szCs w:val="20"/>
        </w:rPr>
        <w:t>2040</w:t>
      </w:r>
      <w:r>
        <w:rPr>
          <w:rFonts w:ascii="宋体" w:hAnsi="宋体" w:eastAsia="宋体" w:cs="宋体"/>
          <w:spacing w:val="7"/>
          <w:sz w:val="20"/>
          <w:szCs w:val="20"/>
        </w:rPr>
        <w:t>年。</w:t>
      </w:r>
    </w:p>
    <w:p>
      <w:pPr>
        <w:spacing w:line="229" w:lineRule="auto"/>
        <w:ind w:left="19"/>
        <w:outlineLvl w:val="2"/>
        <w:rPr>
          <w:rFonts w:ascii="黑体" w:hAnsi="黑体" w:eastAsia="黑体" w:cs="黑体"/>
          <w:sz w:val="23"/>
          <w:szCs w:val="23"/>
        </w:rPr>
      </w:pPr>
      <w:r>
        <w:rPr>
          <w:rFonts w:ascii="Times New Roman" w:hAnsi="Times New Roman" w:eastAsia="Times New Roman" w:cs="Times New Roman"/>
          <w:spacing w:val="7"/>
          <w:sz w:val="23"/>
          <w:szCs w:val="23"/>
        </w:rPr>
        <w:t xml:space="preserve">1.7  </w:t>
      </w:r>
      <w:r>
        <w:rPr>
          <w:rFonts w:ascii="黑体" w:hAnsi="黑体" w:eastAsia="黑体" w:cs="黑体"/>
          <w:spacing w:val="7"/>
          <w:sz w:val="23"/>
          <w:szCs w:val="23"/>
        </w:rPr>
        <w:t>环境保护目标与环境质量控制目</w:t>
      </w:r>
      <w:r>
        <w:rPr>
          <w:rFonts w:ascii="黑体" w:hAnsi="黑体" w:eastAsia="黑体" w:cs="黑体"/>
          <w:spacing w:val="6"/>
          <w:sz w:val="23"/>
          <w:szCs w:val="23"/>
        </w:rPr>
        <w:t>标</w:t>
      </w:r>
    </w:p>
    <w:p>
      <w:pPr>
        <w:spacing w:before="138" w:line="222" w:lineRule="auto"/>
        <w:ind w:left="17"/>
        <w:outlineLvl w:val="3"/>
        <w:rPr>
          <w:rFonts w:ascii="黑体" w:hAnsi="黑体" w:eastAsia="黑体" w:cs="黑体"/>
          <w:sz w:val="22"/>
          <w:szCs w:val="22"/>
        </w:rPr>
      </w:pPr>
      <w:r>
        <w:rPr>
          <w:rFonts w:ascii="Times New Roman" w:hAnsi="Times New Roman" w:eastAsia="Times New Roman" w:cs="Times New Roman"/>
          <w:spacing w:val="-5"/>
          <w:sz w:val="22"/>
          <w:szCs w:val="22"/>
        </w:rPr>
        <w:t xml:space="preserve">1.7. 1    </w:t>
      </w:r>
      <w:r>
        <w:rPr>
          <w:rFonts w:ascii="黑体" w:hAnsi="黑体" w:eastAsia="黑体" w:cs="黑体"/>
          <w:spacing w:val="-5"/>
          <w:sz w:val="22"/>
          <w:szCs w:val="22"/>
        </w:rPr>
        <w:t>环境保护目标</w:t>
      </w:r>
    </w:p>
    <w:p>
      <w:pPr>
        <w:spacing w:before="144" w:line="398" w:lineRule="exact"/>
        <w:ind w:left="420"/>
        <w:rPr>
          <w:rFonts w:ascii="Times New Roman" w:hAnsi="Times New Roman" w:eastAsia="Times New Roman" w:cs="Times New Roman"/>
          <w:sz w:val="20"/>
          <w:szCs w:val="20"/>
        </w:rPr>
      </w:pPr>
      <w:r>
        <w:rPr>
          <w:rFonts w:ascii="宋体" w:hAnsi="宋体" w:eastAsia="宋体" w:cs="宋体"/>
          <w:spacing w:val="18"/>
          <w:position w:val="14"/>
          <w:sz w:val="20"/>
          <w:szCs w:val="20"/>
        </w:rPr>
        <w:t>根据</w:t>
      </w:r>
      <w:r>
        <w:rPr>
          <w:rFonts w:ascii="宋体" w:hAnsi="宋体" w:eastAsia="宋体" w:cs="宋体"/>
          <w:spacing w:val="16"/>
          <w:position w:val="14"/>
          <w:sz w:val="20"/>
          <w:szCs w:val="20"/>
        </w:rPr>
        <w:t>现</w:t>
      </w:r>
      <w:r>
        <w:rPr>
          <w:rFonts w:ascii="宋体" w:hAnsi="宋体" w:eastAsia="宋体" w:cs="宋体"/>
          <w:spacing w:val="9"/>
          <w:position w:val="14"/>
          <w:sz w:val="20"/>
          <w:szCs w:val="20"/>
        </w:rPr>
        <w:t>场踏勘，本项目营运期声环境保护目标为桥梁两端的住宅小区，该区域属于声环境</w:t>
      </w:r>
      <w:r>
        <w:rPr>
          <w:rFonts w:ascii="Times New Roman" w:hAnsi="Times New Roman" w:eastAsia="Times New Roman" w:cs="Times New Roman"/>
          <w:spacing w:val="9"/>
          <w:position w:val="14"/>
          <w:sz w:val="20"/>
          <w:szCs w:val="20"/>
        </w:rPr>
        <w:t>2</w:t>
      </w:r>
    </w:p>
    <w:p>
      <w:pPr>
        <w:spacing w:before="1" w:line="227" w:lineRule="auto"/>
        <w:rPr>
          <w:rFonts w:ascii="宋体" w:hAnsi="宋体" w:eastAsia="宋体" w:cs="宋体"/>
          <w:sz w:val="20"/>
          <w:szCs w:val="20"/>
        </w:rPr>
      </w:pPr>
      <w:r>
        <w:rPr>
          <w:rFonts w:ascii="宋体" w:hAnsi="宋体" w:eastAsia="宋体" w:cs="宋体"/>
          <w:spacing w:val="11"/>
          <w:sz w:val="20"/>
          <w:szCs w:val="20"/>
        </w:rPr>
        <w:t>类</w:t>
      </w:r>
      <w:r>
        <w:rPr>
          <w:rFonts w:ascii="宋体" w:hAnsi="宋体" w:eastAsia="宋体" w:cs="宋体"/>
          <w:spacing w:val="9"/>
          <w:sz w:val="20"/>
          <w:szCs w:val="20"/>
        </w:rPr>
        <w:t>区。项目评价范围声环境保护目标具体情况见下表。</w:t>
      </w:r>
    </w:p>
    <w:p>
      <w:pPr>
        <w:spacing w:before="132" w:line="230" w:lineRule="auto"/>
        <w:ind w:left="2774"/>
        <w:rPr>
          <w:rFonts w:ascii="黑体" w:hAnsi="黑体" w:eastAsia="黑体" w:cs="黑体"/>
          <w:sz w:val="19"/>
          <w:szCs w:val="19"/>
        </w:rPr>
      </w:pPr>
      <w:r>
        <w:rPr>
          <w:rFonts w:ascii="黑体" w:hAnsi="黑体" w:eastAsia="黑体" w:cs="黑体"/>
          <w:spacing w:val="14"/>
          <w:sz w:val="19"/>
          <w:szCs w:val="19"/>
        </w:rPr>
        <w:t>表</w:t>
      </w:r>
      <w:r>
        <w:rPr>
          <w:rFonts w:ascii="Times New Roman" w:hAnsi="Times New Roman" w:eastAsia="Times New Roman" w:cs="Times New Roman"/>
          <w:spacing w:val="11"/>
          <w:sz w:val="19"/>
          <w:szCs w:val="19"/>
        </w:rPr>
        <w:t>4</w:t>
      </w:r>
      <w:r>
        <w:rPr>
          <w:rFonts w:ascii="Times New Roman" w:hAnsi="Times New Roman" w:eastAsia="Times New Roman" w:cs="Times New Roman"/>
          <w:spacing w:val="7"/>
          <w:sz w:val="19"/>
          <w:szCs w:val="19"/>
        </w:rPr>
        <w:t xml:space="preserve">    </w:t>
      </w:r>
      <w:r>
        <w:rPr>
          <w:rFonts w:ascii="黑体" w:hAnsi="黑体" w:eastAsia="黑体" w:cs="黑体"/>
          <w:spacing w:val="7"/>
          <w:sz w:val="19"/>
          <w:szCs w:val="19"/>
        </w:rPr>
        <w:t>项目声环境主要保护目标一览表</w:t>
      </w:r>
    </w:p>
    <w:p>
      <w:pPr>
        <w:spacing w:line="63" w:lineRule="auto"/>
        <w:rPr>
          <w:rFonts w:ascii="Arial"/>
          <w:sz w:val="2"/>
        </w:rPr>
      </w:pPr>
    </w:p>
    <w:tbl>
      <w:tblPr>
        <w:tblStyle w:val="4"/>
        <w:tblW w:w="8058" w:type="dxa"/>
        <w:tblInd w:w="3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5"/>
        <w:gridCol w:w="592"/>
        <w:gridCol w:w="474"/>
        <w:gridCol w:w="525"/>
        <w:gridCol w:w="621"/>
        <w:gridCol w:w="481"/>
        <w:gridCol w:w="429"/>
        <w:gridCol w:w="784"/>
        <w:gridCol w:w="592"/>
        <w:gridCol w:w="741"/>
        <w:gridCol w:w="783"/>
        <w:gridCol w:w="17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285" w:type="dxa"/>
            <w:vMerge w:val="restart"/>
            <w:tcBorders>
              <w:bottom w:val="nil"/>
            </w:tcBorders>
            <w:textDirection w:val="tbRlV"/>
            <w:vAlign w:val="top"/>
          </w:tcPr>
          <w:p>
            <w:pPr>
              <w:spacing w:before="51" w:line="220" w:lineRule="auto"/>
              <w:ind w:left="555"/>
              <w:rPr>
                <w:rFonts w:ascii="宋体" w:hAnsi="宋体" w:eastAsia="宋体" w:cs="宋体"/>
                <w:sz w:val="17"/>
                <w:szCs w:val="17"/>
              </w:rPr>
            </w:pPr>
            <w:r>
              <w:rPr>
                <w:rFonts w:ascii="宋体" w:hAnsi="宋体" w:eastAsia="宋体" w:cs="宋体"/>
                <w:spacing w:val="12"/>
                <w:sz w:val="17"/>
                <w:szCs w:val="17"/>
                <w14:textOutline w14:w="3268" w14:cap="sq" w14:cmpd="sng">
                  <w14:solidFill>
                    <w14:srgbClr w14:val="000000"/>
                  </w14:solidFill>
                  <w14:prstDash w14:val="solid"/>
                  <w14:bevel/>
                </w14:textOutline>
              </w:rPr>
              <w:t>序</w:t>
            </w:r>
            <w:r>
              <w:rPr>
                <w:rFonts w:ascii="宋体" w:hAnsi="宋体" w:eastAsia="宋体" w:cs="宋体"/>
                <w:spacing w:val="12"/>
                <w:sz w:val="17"/>
                <w:szCs w:val="17"/>
              </w:rPr>
              <w:t xml:space="preserve"> </w:t>
            </w:r>
            <w:r>
              <w:rPr>
                <w:rFonts w:ascii="宋体" w:hAnsi="宋体" w:eastAsia="宋体" w:cs="宋体"/>
                <w:spacing w:val="11"/>
                <w:sz w:val="17"/>
                <w:szCs w:val="17"/>
                <w14:textOutline w14:w="3268" w14:cap="sq" w14:cmpd="sng">
                  <w14:solidFill>
                    <w14:srgbClr w14:val="000000"/>
                  </w14:solidFill>
                  <w14:prstDash w14:val="solid"/>
                  <w14:bevel/>
                </w14:textOutline>
              </w:rPr>
              <w:t>号</w:t>
            </w:r>
          </w:p>
        </w:tc>
        <w:tc>
          <w:tcPr>
            <w:tcW w:w="1066" w:type="dxa"/>
            <w:gridSpan w:val="2"/>
            <w:vMerge w:val="restart"/>
            <w:tcBorders>
              <w:bottom w:val="nil"/>
            </w:tcBorders>
            <w:vAlign w:val="top"/>
          </w:tcPr>
          <w:p>
            <w:pPr>
              <w:spacing w:line="249" w:lineRule="auto"/>
              <w:rPr>
                <w:rFonts w:ascii="Arial"/>
                <w:sz w:val="21"/>
              </w:rPr>
            </w:pPr>
          </w:p>
          <w:p>
            <w:pPr>
              <w:spacing w:line="249" w:lineRule="auto"/>
              <w:rPr>
                <w:rFonts w:ascii="Arial"/>
                <w:sz w:val="21"/>
              </w:rPr>
            </w:pPr>
          </w:p>
          <w:p>
            <w:pPr>
              <w:spacing w:before="55" w:line="317" w:lineRule="auto"/>
              <w:ind w:left="207" w:right="82" w:hanging="121"/>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声</w:t>
            </w:r>
            <w:r>
              <w:rPr>
                <w:rFonts w:ascii="宋体" w:hAnsi="宋体" w:eastAsia="宋体" w:cs="宋体"/>
                <w:spacing w:val="8"/>
                <w:sz w:val="17"/>
                <w:szCs w:val="17"/>
                <w14:textOutline w14:w="3268" w14:cap="sq" w14:cmpd="sng">
                  <w14:solidFill>
                    <w14:srgbClr w14:val="000000"/>
                  </w14:solidFill>
                  <w14:prstDash w14:val="solid"/>
                  <w14:bevel/>
                </w14:textOutline>
              </w:rPr>
              <w:t>环境保护</w:t>
            </w:r>
            <w:r>
              <w:rPr>
                <w:rFonts w:ascii="宋体" w:hAnsi="宋体" w:eastAsia="宋体" w:cs="宋体"/>
                <w:sz w:val="17"/>
                <w:szCs w:val="17"/>
              </w:rPr>
              <w:t xml:space="preserve"> </w:t>
            </w:r>
            <w:r>
              <w:rPr>
                <w:rFonts w:ascii="宋体" w:hAnsi="宋体" w:eastAsia="宋体" w:cs="宋体"/>
                <w:sz w:val="17"/>
                <w:szCs w:val="17"/>
                <w14:textOutline w14:w="3268" w14:cap="sq" w14:cmpd="sng">
                  <w14:solidFill>
                    <w14:srgbClr w14:val="000000"/>
                  </w14:solidFill>
                  <w14:prstDash w14:val="solid"/>
                  <w14:bevel/>
                </w14:textOutline>
              </w:rPr>
              <w:t>目标名称</w:t>
            </w:r>
          </w:p>
        </w:tc>
        <w:tc>
          <w:tcPr>
            <w:tcW w:w="525" w:type="dxa"/>
            <w:vMerge w:val="restart"/>
            <w:tcBorders>
              <w:bottom w:val="nil"/>
            </w:tcBorders>
            <w:vAlign w:val="top"/>
          </w:tcPr>
          <w:p>
            <w:pPr>
              <w:spacing w:line="248" w:lineRule="auto"/>
              <w:rPr>
                <w:rFonts w:ascii="Arial"/>
                <w:sz w:val="21"/>
              </w:rPr>
            </w:pPr>
          </w:p>
          <w:p>
            <w:pPr>
              <w:spacing w:line="249" w:lineRule="auto"/>
              <w:rPr>
                <w:rFonts w:ascii="Arial"/>
                <w:sz w:val="21"/>
              </w:rPr>
            </w:pPr>
          </w:p>
          <w:p>
            <w:pPr>
              <w:spacing w:before="55" w:line="317" w:lineRule="auto"/>
              <w:ind w:left="86" w:right="82" w:hanging="1"/>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所在</w:t>
            </w:r>
            <w:r>
              <w:rPr>
                <w:rFonts w:ascii="宋体" w:hAnsi="宋体" w:eastAsia="宋体" w:cs="宋体"/>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路</w:t>
            </w:r>
            <w:r>
              <w:rPr>
                <w:rFonts w:ascii="宋体" w:hAnsi="宋体" w:eastAsia="宋体" w:cs="宋体"/>
                <w:spacing w:val="5"/>
                <w:sz w:val="17"/>
                <w:szCs w:val="17"/>
                <w14:textOutline w14:w="3268" w14:cap="sq" w14:cmpd="sng">
                  <w14:solidFill>
                    <w14:srgbClr w14:val="000000"/>
                  </w14:solidFill>
                  <w14:prstDash w14:val="solid"/>
                  <w14:bevel/>
                </w14:textOutline>
              </w:rPr>
              <w:t>段</w:t>
            </w:r>
          </w:p>
        </w:tc>
        <w:tc>
          <w:tcPr>
            <w:tcW w:w="621"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before="55" w:line="317" w:lineRule="auto"/>
              <w:ind w:left="238" w:right="38" w:hanging="194"/>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里</w:t>
            </w:r>
            <w:r>
              <w:rPr>
                <w:rFonts w:ascii="宋体" w:hAnsi="宋体" w:eastAsia="宋体" w:cs="宋体"/>
                <w:spacing w:val="7"/>
                <w:sz w:val="17"/>
                <w:szCs w:val="17"/>
                <w14:textOutline w14:w="3268" w14:cap="sq" w14:cmpd="sng">
                  <w14:solidFill>
                    <w14:srgbClr w14:val="000000"/>
                  </w14:solidFill>
                  <w14:prstDash w14:val="solid"/>
                  <w14:bevel/>
                </w14:textOutline>
              </w:rPr>
              <w:t>程范</w:t>
            </w:r>
            <w:r>
              <w:rPr>
                <w:rFonts w:ascii="宋体" w:hAnsi="宋体" w:eastAsia="宋体" w:cs="宋体"/>
                <w:sz w:val="17"/>
                <w:szCs w:val="17"/>
              </w:rPr>
              <w:t xml:space="preserve"> </w:t>
            </w:r>
            <w:r>
              <w:rPr>
                <w:rFonts w:ascii="宋体" w:hAnsi="宋体" w:eastAsia="宋体" w:cs="宋体"/>
                <w:sz w:val="17"/>
                <w:szCs w:val="17"/>
                <w14:textOutline w14:w="3268" w14:cap="sq" w14:cmpd="sng">
                  <w14:solidFill>
                    <w14:srgbClr w14:val="000000"/>
                  </w14:solidFill>
                  <w14:prstDash w14:val="solid"/>
                  <w14:bevel/>
                </w14:textOutline>
              </w:rPr>
              <w:t>围</w:t>
            </w:r>
          </w:p>
        </w:tc>
        <w:tc>
          <w:tcPr>
            <w:tcW w:w="481"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before="56" w:line="318" w:lineRule="auto"/>
              <w:ind w:left="66" w:right="58"/>
              <w:rPr>
                <w:rFonts w:ascii="宋体" w:hAnsi="宋体" w:eastAsia="宋体" w:cs="宋体"/>
                <w:sz w:val="17"/>
                <w:szCs w:val="17"/>
              </w:rPr>
            </w:pPr>
            <w:r>
              <w:rPr>
                <w:rFonts w:ascii="宋体" w:hAnsi="宋体" w:eastAsia="宋体" w:cs="宋体"/>
                <w:spacing w:val="5"/>
                <w:sz w:val="17"/>
                <w:szCs w:val="17"/>
                <w14:textOutline w14:w="3268" w14:cap="sq" w14:cmpd="sng">
                  <w14:solidFill>
                    <w14:srgbClr w14:val="000000"/>
                  </w14:solidFill>
                  <w14:prstDash w14:val="solid"/>
                  <w14:bevel/>
                </w14:textOutline>
              </w:rPr>
              <w:t>线路</w:t>
            </w:r>
            <w:r>
              <w:rPr>
                <w:rFonts w:ascii="宋体" w:hAnsi="宋体" w:eastAsia="宋体" w:cs="宋体"/>
                <w:sz w:val="17"/>
                <w:szCs w:val="17"/>
              </w:rPr>
              <w:t xml:space="preserve"> </w:t>
            </w:r>
            <w:r>
              <w:rPr>
                <w:rFonts w:ascii="宋体" w:hAnsi="宋体" w:eastAsia="宋体" w:cs="宋体"/>
                <w:spacing w:val="5"/>
                <w:sz w:val="17"/>
                <w:szCs w:val="17"/>
                <w14:textOutline w14:w="3268" w14:cap="sq" w14:cmpd="sng">
                  <w14:solidFill>
                    <w14:srgbClr w14:val="000000"/>
                  </w14:solidFill>
                  <w14:prstDash w14:val="solid"/>
                  <w14:bevel/>
                </w14:textOutline>
              </w:rPr>
              <w:t>形式</w:t>
            </w:r>
          </w:p>
        </w:tc>
        <w:tc>
          <w:tcPr>
            <w:tcW w:w="429" w:type="dxa"/>
            <w:vMerge w:val="restart"/>
            <w:tcBorders>
              <w:bottom w:val="nil"/>
            </w:tcBorders>
            <w:vAlign w:val="top"/>
          </w:tcPr>
          <w:p>
            <w:pPr>
              <w:spacing w:line="317" w:lineRule="auto"/>
              <w:rPr>
                <w:rFonts w:ascii="Arial"/>
                <w:sz w:val="21"/>
              </w:rPr>
            </w:pPr>
          </w:p>
          <w:p>
            <w:pPr>
              <w:spacing w:line="318" w:lineRule="auto"/>
              <w:rPr>
                <w:rFonts w:ascii="Arial"/>
                <w:sz w:val="21"/>
              </w:rPr>
            </w:pPr>
          </w:p>
          <w:p>
            <w:pPr>
              <w:spacing w:before="55" w:line="232" w:lineRule="auto"/>
              <w:ind w:left="37"/>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方位</w:t>
            </w:r>
          </w:p>
        </w:tc>
        <w:tc>
          <w:tcPr>
            <w:tcW w:w="784" w:type="dxa"/>
            <w:vMerge w:val="restart"/>
            <w:tcBorders>
              <w:bottom w:val="nil"/>
            </w:tcBorders>
            <w:vAlign w:val="top"/>
          </w:tcPr>
          <w:p>
            <w:pPr>
              <w:spacing w:before="135" w:line="295" w:lineRule="auto"/>
              <w:ind w:left="26" w:right="19" w:firstLine="12"/>
              <w:rPr>
                <w:rFonts w:ascii="Times New Roman" w:hAnsi="Times New Roman" w:eastAsia="Times New Roman" w:cs="Times New Roman"/>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声环境</w:t>
            </w:r>
            <w:r>
              <w:rPr>
                <w:rFonts w:ascii="宋体" w:hAnsi="宋体" w:eastAsia="宋体" w:cs="宋体"/>
                <w:spacing w:val="7"/>
                <w:sz w:val="17"/>
                <w:szCs w:val="17"/>
                <w14:textOutline w14:w="3268" w14:cap="sq" w14:cmpd="sng">
                  <w14:solidFill>
                    <w14:srgbClr w14:val="000000"/>
                  </w14:solidFill>
                  <w14:prstDash w14:val="solid"/>
                  <w14:bevel/>
                </w14:textOutline>
              </w:rPr>
              <w:t>保</w:t>
            </w:r>
            <w:r>
              <w:rPr>
                <w:rFonts w:ascii="宋体" w:hAnsi="宋体" w:eastAsia="宋体" w:cs="宋体"/>
                <w:sz w:val="17"/>
                <w:szCs w:val="17"/>
              </w:rPr>
              <w:t xml:space="preserve"> </w:t>
            </w:r>
            <w:r>
              <w:rPr>
                <w:rFonts w:ascii="宋体" w:hAnsi="宋体" w:eastAsia="宋体" w:cs="宋体"/>
                <w:spacing w:val="11"/>
                <w:sz w:val="17"/>
                <w:szCs w:val="17"/>
                <w14:textOutline w14:w="3268" w14:cap="sq" w14:cmpd="sng">
                  <w14:solidFill>
                    <w14:srgbClr w14:val="000000"/>
                  </w14:solidFill>
                  <w14:prstDash w14:val="solid"/>
                  <w14:bevel/>
                </w14:textOutline>
              </w:rPr>
              <w:t>护目标预</w:t>
            </w:r>
            <w:r>
              <w:rPr>
                <w:rFonts w:ascii="宋体" w:hAnsi="宋体" w:eastAsia="宋体" w:cs="宋体"/>
                <w:sz w:val="17"/>
                <w:szCs w:val="17"/>
              </w:rPr>
              <w:t xml:space="preserve"> </w:t>
            </w:r>
            <w:r>
              <w:rPr>
                <w:rFonts w:ascii="宋体" w:hAnsi="宋体" w:eastAsia="宋体" w:cs="宋体"/>
                <w:spacing w:val="11"/>
                <w:sz w:val="17"/>
                <w:szCs w:val="17"/>
                <w14:textOutline w14:w="3268" w14:cap="sq" w14:cmpd="sng">
                  <w14:solidFill>
                    <w14:srgbClr w14:val="000000"/>
                  </w14:solidFill>
                  <w14:prstDash w14:val="solid"/>
                  <w14:bevel/>
                </w14:textOutline>
              </w:rPr>
              <w:t>测点与路</w:t>
            </w:r>
            <w:r>
              <w:rPr>
                <w:rFonts w:ascii="宋体" w:hAnsi="宋体" w:eastAsia="宋体" w:cs="宋体"/>
                <w:sz w:val="17"/>
                <w:szCs w:val="17"/>
              </w:rPr>
              <w:t xml:space="preserve"> </w:t>
            </w:r>
            <w:r>
              <w:rPr>
                <w:rFonts w:ascii="宋体" w:hAnsi="宋体" w:eastAsia="宋体" w:cs="宋体"/>
                <w:spacing w:val="9"/>
                <w:sz w:val="17"/>
                <w:szCs w:val="17"/>
                <w14:textOutline w14:w="3268" w14:cap="sq" w14:cmpd="sng">
                  <w14:solidFill>
                    <w14:srgbClr w14:val="000000"/>
                  </w14:solidFill>
                  <w14:prstDash w14:val="solid"/>
                  <w14:bevel/>
                </w14:textOutline>
              </w:rPr>
              <w:t>面</w:t>
            </w:r>
            <w:r>
              <w:rPr>
                <w:rFonts w:ascii="宋体" w:hAnsi="宋体" w:eastAsia="宋体" w:cs="宋体"/>
                <w:spacing w:val="8"/>
                <w:sz w:val="17"/>
                <w:szCs w:val="17"/>
                <w14:textOutline w14:w="3268" w14:cap="sq" w14:cmpd="sng">
                  <w14:solidFill>
                    <w14:srgbClr w14:val="000000"/>
                  </w14:solidFill>
                  <w14:prstDash w14:val="solid"/>
                  <w14:bevel/>
                </w14:textOutline>
              </w:rPr>
              <w:t>高差</w:t>
            </w:r>
            <w:r>
              <w:rPr>
                <w:rFonts w:ascii="Times New Roman" w:hAnsi="Times New Roman" w:eastAsia="Times New Roman" w:cs="Times New Roman"/>
                <w:b/>
                <w:bCs/>
                <w:spacing w:val="8"/>
                <w:sz w:val="17"/>
                <w:szCs w:val="17"/>
              </w:rPr>
              <w:t>/</w:t>
            </w:r>
            <w:r>
              <w:rPr>
                <w:rFonts w:ascii="Times New Roman" w:hAnsi="Times New Roman" w:eastAsia="Times New Roman" w:cs="Times New Roman"/>
                <w:b/>
                <w:bCs/>
                <w:sz w:val="17"/>
                <w:szCs w:val="17"/>
              </w:rPr>
              <w:t>m</w:t>
            </w:r>
          </w:p>
        </w:tc>
        <w:tc>
          <w:tcPr>
            <w:tcW w:w="592" w:type="dxa"/>
            <w:vMerge w:val="restart"/>
            <w:tcBorders>
              <w:bottom w:val="nil"/>
            </w:tcBorders>
            <w:vAlign w:val="top"/>
          </w:tcPr>
          <w:p>
            <w:pPr>
              <w:spacing w:before="136" w:line="230" w:lineRule="auto"/>
              <w:ind w:left="28"/>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距</w:t>
            </w:r>
            <w:r>
              <w:rPr>
                <w:rFonts w:ascii="宋体" w:hAnsi="宋体" w:eastAsia="宋体" w:cs="宋体"/>
                <w:spacing w:val="8"/>
                <w:sz w:val="17"/>
                <w:szCs w:val="17"/>
                <w14:textOutline w14:w="3268" w14:cap="sq" w14:cmpd="sng">
                  <w14:solidFill>
                    <w14:srgbClr w14:val="000000"/>
                  </w14:solidFill>
                  <w14:prstDash w14:val="solid"/>
                  <w14:bevel/>
                </w14:textOutline>
              </w:rPr>
              <w:t>道路</w:t>
            </w:r>
          </w:p>
          <w:p>
            <w:pPr>
              <w:spacing w:before="68" w:line="232" w:lineRule="auto"/>
              <w:ind w:left="28"/>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边</w:t>
            </w:r>
            <w:r>
              <w:rPr>
                <w:rFonts w:ascii="宋体" w:hAnsi="宋体" w:eastAsia="宋体" w:cs="宋体"/>
                <w:spacing w:val="8"/>
                <w:sz w:val="17"/>
                <w:szCs w:val="17"/>
                <w14:textOutline w14:w="3268" w14:cap="sq" w14:cmpd="sng">
                  <w14:solidFill>
                    <w14:srgbClr w14:val="000000"/>
                  </w14:solidFill>
                  <w14:prstDash w14:val="solid"/>
                  <w14:bevel/>
                </w14:textOutline>
              </w:rPr>
              <w:t>界红</w:t>
            </w:r>
          </w:p>
          <w:p>
            <w:pPr>
              <w:spacing w:before="65" w:line="231" w:lineRule="auto"/>
              <w:ind w:left="31"/>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线</w:t>
            </w:r>
            <w:r>
              <w:rPr>
                <w:rFonts w:ascii="宋体" w:hAnsi="宋体" w:eastAsia="宋体" w:cs="宋体"/>
                <w:spacing w:val="7"/>
                <w:sz w:val="17"/>
                <w:szCs w:val="17"/>
                <w14:textOutline w14:w="3268" w14:cap="sq" w14:cmpd="sng">
                  <w14:solidFill>
                    <w14:srgbClr w14:val="000000"/>
                  </w14:solidFill>
                  <w14:prstDash w14:val="solid"/>
                  <w14:bevel/>
                </w14:textOutline>
              </w:rPr>
              <w:t>距离</w:t>
            </w:r>
          </w:p>
          <w:p>
            <w:pPr>
              <w:spacing w:before="32" w:line="249" w:lineRule="exact"/>
              <w:ind w:left="194"/>
              <w:rPr>
                <w:rFonts w:ascii="Times New Roman" w:hAnsi="Times New Roman" w:eastAsia="Times New Roman" w:cs="Times New Roman"/>
                <w:sz w:val="17"/>
                <w:szCs w:val="17"/>
              </w:rPr>
            </w:pPr>
            <w:r>
              <w:rPr>
                <w:rFonts w:ascii="Times New Roman" w:hAnsi="Times New Roman" w:eastAsia="Times New Roman" w:cs="Times New Roman"/>
                <w:b/>
                <w:bCs/>
                <w:spacing w:val="11"/>
                <w:position w:val="2"/>
                <w:sz w:val="17"/>
                <w:szCs w:val="17"/>
              </w:rPr>
              <w:t>/</w:t>
            </w:r>
            <w:r>
              <w:rPr>
                <w:rFonts w:ascii="Times New Roman" w:hAnsi="Times New Roman" w:eastAsia="Times New Roman" w:cs="Times New Roman"/>
                <w:b/>
                <w:bCs/>
                <w:position w:val="2"/>
                <w:sz w:val="17"/>
                <w:szCs w:val="17"/>
              </w:rPr>
              <w:t>m</w:t>
            </w:r>
          </w:p>
        </w:tc>
        <w:tc>
          <w:tcPr>
            <w:tcW w:w="741" w:type="dxa"/>
            <w:vMerge w:val="restart"/>
            <w:tcBorders>
              <w:bottom w:val="nil"/>
            </w:tcBorders>
            <w:vAlign w:val="top"/>
          </w:tcPr>
          <w:p>
            <w:pPr>
              <w:spacing w:line="359" w:lineRule="auto"/>
              <w:rPr>
                <w:rFonts w:ascii="Arial"/>
                <w:sz w:val="21"/>
              </w:rPr>
            </w:pPr>
          </w:p>
          <w:p>
            <w:pPr>
              <w:spacing w:before="55" w:line="230" w:lineRule="auto"/>
              <w:ind w:left="12"/>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距道路中</w:t>
            </w:r>
          </w:p>
          <w:p>
            <w:pPr>
              <w:spacing w:before="66" w:line="231" w:lineRule="auto"/>
              <w:ind w:left="19"/>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心</w:t>
            </w:r>
            <w:r>
              <w:rPr>
                <w:rFonts w:ascii="宋体" w:hAnsi="宋体" w:eastAsia="宋体" w:cs="宋体"/>
                <w:spacing w:val="7"/>
                <w:sz w:val="17"/>
                <w:szCs w:val="17"/>
                <w14:textOutline w14:w="3268" w14:cap="sq" w14:cmpd="sng">
                  <w14:solidFill>
                    <w14:srgbClr w14:val="000000"/>
                  </w14:solidFill>
                  <w14:prstDash w14:val="solid"/>
                  <w14:bevel/>
                </w14:textOutline>
              </w:rPr>
              <w:t>线距离</w:t>
            </w:r>
          </w:p>
          <w:p>
            <w:pPr>
              <w:spacing w:before="32" w:line="249" w:lineRule="exact"/>
              <w:ind w:left="267"/>
              <w:rPr>
                <w:rFonts w:ascii="Times New Roman" w:hAnsi="Times New Roman" w:eastAsia="Times New Roman" w:cs="Times New Roman"/>
                <w:sz w:val="17"/>
                <w:szCs w:val="17"/>
              </w:rPr>
            </w:pPr>
            <w:r>
              <w:rPr>
                <w:rFonts w:ascii="Times New Roman" w:hAnsi="Times New Roman" w:eastAsia="Times New Roman" w:cs="Times New Roman"/>
                <w:b/>
                <w:bCs/>
                <w:spacing w:val="11"/>
                <w:position w:val="2"/>
                <w:sz w:val="17"/>
                <w:szCs w:val="17"/>
              </w:rPr>
              <w:t>/</w:t>
            </w:r>
            <w:r>
              <w:rPr>
                <w:rFonts w:ascii="Times New Roman" w:hAnsi="Times New Roman" w:eastAsia="Times New Roman" w:cs="Times New Roman"/>
                <w:b/>
                <w:bCs/>
                <w:position w:val="2"/>
                <w:sz w:val="17"/>
                <w:szCs w:val="17"/>
              </w:rPr>
              <w:t>m</w:t>
            </w:r>
          </w:p>
        </w:tc>
        <w:tc>
          <w:tcPr>
            <w:tcW w:w="783" w:type="dxa"/>
            <w:vAlign w:val="top"/>
          </w:tcPr>
          <w:p>
            <w:pPr>
              <w:spacing w:before="103" w:line="268" w:lineRule="auto"/>
              <w:ind w:left="139" w:right="27" w:hanging="101"/>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不同功能</w:t>
            </w:r>
            <w:r>
              <w:rPr>
                <w:rFonts w:ascii="宋体" w:hAnsi="宋体" w:eastAsia="宋体" w:cs="宋体"/>
                <w:sz w:val="17"/>
                <w:szCs w:val="17"/>
              </w:rPr>
              <w:t xml:space="preserve"> </w:t>
            </w:r>
            <w:r>
              <w:rPr>
                <w:rFonts w:ascii="宋体" w:hAnsi="宋体" w:eastAsia="宋体" w:cs="宋体"/>
                <w:spacing w:val="4"/>
                <w:sz w:val="17"/>
                <w:szCs w:val="17"/>
                <w14:textOutline w14:w="3268" w14:cap="sq" w14:cmpd="sng">
                  <w14:solidFill>
                    <w14:srgbClr w14:val="000000"/>
                  </w14:solidFill>
                  <w14:prstDash w14:val="solid"/>
                  <w14:bevel/>
                </w14:textOutline>
              </w:rPr>
              <w:t>区户数</w:t>
            </w:r>
          </w:p>
        </w:tc>
        <w:tc>
          <w:tcPr>
            <w:tcW w:w="1751" w:type="dxa"/>
            <w:vMerge w:val="restart"/>
            <w:tcBorders>
              <w:bottom w:val="nil"/>
            </w:tcBorders>
            <w:vAlign w:val="top"/>
          </w:tcPr>
          <w:p>
            <w:pPr>
              <w:spacing w:before="134" w:line="303" w:lineRule="auto"/>
              <w:ind w:left="9" w:firstLine="57"/>
              <w:rPr>
                <w:rFonts w:ascii="宋体" w:hAnsi="宋体" w:eastAsia="宋体" w:cs="宋体"/>
                <w:sz w:val="17"/>
                <w:szCs w:val="17"/>
              </w:rPr>
            </w:pPr>
            <w:r>
              <w:rPr>
                <w:rFonts w:ascii="宋体" w:hAnsi="宋体" w:eastAsia="宋体" w:cs="宋体"/>
                <w:spacing w:val="8"/>
                <w:sz w:val="17"/>
                <w:szCs w:val="17"/>
                <w14:textOutline w14:w="3181" w14:cap="sq" w14:cmpd="sng">
                  <w14:solidFill>
                    <w14:srgbClr w14:val="000000"/>
                  </w14:solidFill>
                  <w14:prstDash w14:val="solid"/>
                  <w14:bevel/>
                </w14:textOutline>
              </w:rPr>
              <w:t>声</w:t>
            </w:r>
            <w:r>
              <w:rPr>
                <w:rFonts w:ascii="宋体" w:hAnsi="宋体" w:eastAsia="宋体" w:cs="宋体"/>
                <w:spacing w:val="4"/>
                <w:sz w:val="17"/>
                <w:szCs w:val="17"/>
                <w14:textOutline w14:w="3181" w14:cap="sq" w14:cmpd="sng">
                  <w14:solidFill>
                    <w14:srgbClr w14:val="000000"/>
                  </w14:solidFill>
                  <w14:prstDash w14:val="solid"/>
                  <w14:bevel/>
                </w14:textOutline>
              </w:rPr>
              <w:t>环境保护目标情况</w:t>
            </w:r>
            <w:r>
              <w:rPr>
                <w:rFonts w:ascii="宋体" w:hAnsi="宋体" w:eastAsia="宋体" w:cs="宋体"/>
                <w:sz w:val="17"/>
                <w:szCs w:val="17"/>
              </w:rPr>
              <w:t xml:space="preserve"> </w:t>
            </w:r>
            <w:r>
              <w:rPr>
                <w:rFonts w:ascii="宋体" w:hAnsi="宋体" w:eastAsia="宋体" w:cs="宋体"/>
                <w:spacing w:val="7"/>
                <w:sz w:val="17"/>
                <w:szCs w:val="17"/>
                <w14:textOutline w14:w="3181" w14:cap="sq" w14:cmpd="sng">
                  <w14:solidFill>
                    <w14:srgbClr w14:val="000000"/>
                  </w14:solidFill>
                  <w14:prstDash w14:val="solid"/>
                  <w14:bevel/>
                </w14:textOutline>
              </w:rPr>
              <w:t>说明(介绍声环境保</w:t>
            </w:r>
            <w:r>
              <w:rPr>
                <w:rFonts w:ascii="宋体" w:hAnsi="宋体" w:eastAsia="宋体" w:cs="宋体"/>
                <w:spacing w:val="6"/>
                <w:sz w:val="17"/>
                <w:szCs w:val="17"/>
                <w14:textOutline w14:w="3181" w14:cap="sq" w14:cmpd="sng">
                  <w14:solidFill>
                    <w14:srgbClr w14:val="000000"/>
                  </w14:solidFill>
                  <w14:prstDash w14:val="solid"/>
                  <w14:bevel/>
                </w14:textOutline>
              </w:rPr>
              <w:t>护</w:t>
            </w:r>
            <w:r>
              <w:rPr>
                <w:rFonts w:ascii="宋体" w:hAnsi="宋体" w:eastAsia="宋体" w:cs="宋体"/>
                <w:sz w:val="17"/>
                <w:szCs w:val="17"/>
              </w:rPr>
              <w:t xml:space="preserve"> </w:t>
            </w:r>
            <w:r>
              <w:rPr>
                <w:rFonts w:ascii="宋体" w:hAnsi="宋体" w:eastAsia="宋体" w:cs="宋体"/>
                <w:spacing w:val="6"/>
                <w:sz w:val="17"/>
                <w:szCs w:val="17"/>
                <w14:textOutline w14:w="3181" w14:cap="sq" w14:cmpd="sng">
                  <w14:solidFill>
                    <w14:srgbClr w14:val="000000"/>
                  </w14:solidFill>
                  <w14:prstDash w14:val="solid"/>
                  <w14:bevel/>
                </w14:textOutline>
              </w:rPr>
              <w:t>目标</w:t>
            </w:r>
            <w:r>
              <w:rPr>
                <w:rFonts w:ascii="宋体" w:hAnsi="宋体" w:eastAsia="宋体" w:cs="宋体"/>
                <w:spacing w:val="3"/>
                <w:sz w:val="17"/>
                <w:szCs w:val="17"/>
                <w14:textOutline w14:w="3181" w14:cap="sq" w14:cmpd="sng">
                  <w14:solidFill>
                    <w14:srgbClr w14:val="000000"/>
                  </w14:solidFill>
                  <w14:prstDash w14:val="solid"/>
                  <w14:bevel/>
                </w14:textOutline>
              </w:rPr>
              <w:t>建筑结构、朝向、</w:t>
            </w:r>
            <w:r>
              <w:rPr>
                <w:rFonts w:ascii="宋体" w:hAnsi="宋体" w:eastAsia="宋体" w:cs="宋体"/>
                <w:sz w:val="17"/>
                <w:szCs w:val="17"/>
              </w:rPr>
              <w:t xml:space="preserve"> </w:t>
            </w:r>
            <w:r>
              <w:rPr>
                <w:rFonts w:ascii="宋体" w:hAnsi="宋体" w:eastAsia="宋体" w:cs="宋体"/>
                <w:spacing w:val="4"/>
                <w:sz w:val="17"/>
                <w:szCs w:val="17"/>
                <w14:textOutline w14:w="3181" w14:cap="sq" w14:cmpd="sng">
                  <w14:solidFill>
                    <w14:srgbClr w14:val="000000"/>
                  </w14:solidFill>
                  <w14:prstDash w14:val="solid"/>
                  <w14:bevel/>
                </w14:textOutline>
              </w:rPr>
              <w:t>楼层、周围环境情况</w:t>
            </w:r>
            <w:r>
              <w:rPr>
                <w:rFonts w:ascii="宋体" w:hAnsi="宋体" w:eastAsia="宋体" w:cs="宋体"/>
                <w:spacing w:val="2"/>
                <w:sz w:val="17"/>
                <w:szCs w:val="17"/>
                <w14:textOutline w14:w="3181"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285" w:type="dxa"/>
            <w:vMerge w:val="continue"/>
            <w:tcBorders>
              <w:top w:val="nil"/>
            </w:tcBorders>
            <w:textDirection w:val="tbRlV"/>
            <w:vAlign w:val="top"/>
          </w:tcPr>
          <w:p>
            <w:pPr>
              <w:rPr>
                <w:rFonts w:ascii="Arial"/>
                <w:sz w:val="21"/>
              </w:rPr>
            </w:pPr>
          </w:p>
        </w:tc>
        <w:tc>
          <w:tcPr>
            <w:tcW w:w="1066" w:type="dxa"/>
            <w:gridSpan w:val="2"/>
            <w:vMerge w:val="continue"/>
            <w:tcBorders>
              <w:top w:val="nil"/>
            </w:tcBorders>
            <w:vAlign w:val="top"/>
          </w:tcPr>
          <w:p>
            <w:pPr>
              <w:rPr>
                <w:rFonts w:ascii="Arial"/>
                <w:sz w:val="21"/>
              </w:rPr>
            </w:pPr>
          </w:p>
        </w:tc>
        <w:tc>
          <w:tcPr>
            <w:tcW w:w="525" w:type="dxa"/>
            <w:vMerge w:val="continue"/>
            <w:tcBorders>
              <w:top w:val="nil"/>
            </w:tcBorders>
            <w:vAlign w:val="top"/>
          </w:tcPr>
          <w:p>
            <w:pPr>
              <w:rPr>
                <w:rFonts w:ascii="Arial"/>
                <w:sz w:val="21"/>
              </w:rPr>
            </w:pPr>
          </w:p>
        </w:tc>
        <w:tc>
          <w:tcPr>
            <w:tcW w:w="621" w:type="dxa"/>
            <w:vMerge w:val="continue"/>
            <w:tcBorders>
              <w:top w:val="nil"/>
            </w:tcBorders>
            <w:vAlign w:val="top"/>
          </w:tcPr>
          <w:p>
            <w:pPr>
              <w:rPr>
                <w:rFonts w:ascii="Arial"/>
                <w:sz w:val="21"/>
              </w:rPr>
            </w:pPr>
          </w:p>
        </w:tc>
        <w:tc>
          <w:tcPr>
            <w:tcW w:w="481" w:type="dxa"/>
            <w:vMerge w:val="continue"/>
            <w:tcBorders>
              <w:top w:val="nil"/>
            </w:tcBorders>
            <w:vAlign w:val="top"/>
          </w:tcPr>
          <w:p>
            <w:pPr>
              <w:rPr>
                <w:rFonts w:ascii="Arial"/>
                <w:sz w:val="21"/>
              </w:rPr>
            </w:pPr>
          </w:p>
        </w:tc>
        <w:tc>
          <w:tcPr>
            <w:tcW w:w="429" w:type="dxa"/>
            <w:vMerge w:val="continue"/>
            <w:tcBorders>
              <w:top w:val="nil"/>
            </w:tcBorders>
            <w:vAlign w:val="top"/>
          </w:tcPr>
          <w:p>
            <w:pPr>
              <w:rPr>
                <w:rFonts w:ascii="Arial"/>
                <w:sz w:val="21"/>
              </w:rPr>
            </w:pPr>
          </w:p>
        </w:tc>
        <w:tc>
          <w:tcPr>
            <w:tcW w:w="784" w:type="dxa"/>
            <w:vMerge w:val="continue"/>
            <w:tcBorders>
              <w:top w:val="nil"/>
            </w:tcBorders>
            <w:vAlign w:val="top"/>
          </w:tcPr>
          <w:p>
            <w:pPr>
              <w:rPr>
                <w:rFonts w:ascii="Arial"/>
                <w:sz w:val="21"/>
              </w:rPr>
            </w:pPr>
          </w:p>
        </w:tc>
        <w:tc>
          <w:tcPr>
            <w:tcW w:w="592" w:type="dxa"/>
            <w:vMerge w:val="continue"/>
            <w:tcBorders>
              <w:top w:val="nil"/>
            </w:tcBorders>
            <w:vAlign w:val="top"/>
          </w:tcPr>
          <w:p>
            <w:pPr>
              <w:rPr>
                <w:rFonts w:ascii="Arial"/>
                <w:sz w:val="21"/>
              </w:rPr>
            </w:pPr>
          </w:p>
        </w:tc>
        <w:tc>
          <w:tcPr>
            <w:tcW w:w="741" w:type="dxa"/>
            <w:vMerge w:val="continue"/>
            <w:tcBorders>
              <w:top w:val="nil"/>
            </w:tcBorders>
            <w:vAlign w:val="top"/>
          </w:tcPr>
          <w:p>
            <w:pPr>
              <w:rPr>
                <w:rFonts w:ascii="Arial"/>
                <w:sz w:val="21"/>
              </w:rPr>
            </w:pPr>
          </w:p>
        </w:tc>
        <w:tc>
          <w:tcPr>
            <w:tcW w:w="783" w:type="dxa"/>
            <w:vAlign w:val="top"/>
          </w:tcPr>
          <w:p>
            <w:pPr>
              <w:spacing w:before="237" w:line="230" w:lineRule="auto"/>
              <w:ind w:left="236"/>
              <w:rPr>
                <w:rFonts w:ascii="宋体" w:hAnsi="宋体" w:eastAsia="宋体" w:cs="宋体"/>
                <w:sz w:val="17"/>
                <w:szCs w:val="17"/>
              </w:rPr>
            </w:pPr>
            <w:r>
              <w:rPr>
                <w:rFonts w:ascii="Times New Roman" w:hAnsi="Times New Roman" w:eastAsia="Times New Roman" w:cs="Times New Roman"/>
                <w:b/>
                <w:bCs/>
                <w:spacing w:val="4"/>
                <w:sz w:val="17"/>
                <w:szCs w:val="17"/>
              </w:rPr>
              <w:t>2</w:t>
            </w:r>
            <w:r>
              <w:rPr>
                <w:rFonts w:ascii="Times New Roman" w:hAnsi="Times New Roman" w:eastAsia="Times New Roman" w:cs="Times New Roman"/>
                <w:spacing w:val="4"/>
                <w:sz w:val="17"/>
                <w:szCs w:val="17"/>
              </w:rPr>
              <w:t xml:space="preserve"> </w:t>
            </w:r>
            <w:r>
              <w:rPr>
                <w:rFonts w:ascii="宋体" w:hAnsi="宋体" w:eastAsia="宋体" w:cs="宋体"/>
                <w:spacing w:val="4"/>
                <w:sz w:val="17"/>
                <w:szCs w:val="17"/>
                <w14:textOutline w14:w="3268" w14:cap="sq" w14:cmpd="sng">
                  <w14:solidFill>
                    <w14:srgbClr w14:val="000000"/>
                  </w14:solidFill>
                  <w14:prstDash w14:val="solid"/>
                  <w14:bevel/>
                </w14:textOutline>
              </w:rPr>
              <w:t>类</w:t>
            </w:r>
          </w:p>
        </w:tc>
        <w:tc>
          <w:tcPr>
            <w:tcW w:w="175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85"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49" w:line="197" w:lineRule="auto"/>
              <w:ind w:left="115"/>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592" w:type="dxa"/>
            <w:vMerge w:val="restart"/>
            <w:tcBorders>
              <w:bottom w:val="nil"/>
            </w:tcBorders>
            <w:vAlign w:val="top"/>
          </w:tcPr>
          <w:p>
            <w:pPr>
              <w:spacing w:before="72" w:line="304" w:lineRule="auto"/>
              <w:ind w:left="31" w:right="26" w:hanging="11"/>
              <w:rPr>
                <w:rFonts w:ascii="宋体" w:hAnsi="宋体" w:eastAsia="宋体" w:cs="宋体"/>
                <w:sz w:val="17"/>
                <w:szCs w:val="17"/>
              </w:rPr>
            </w:pPr>
            <w:r>
              <w:drawing>
                <wp:anchor distT="0" distB="0" distL="0" distR="0" simplePos="0" relativeHeight="251765760" behindDoc="1" locked="0" layoutInCell="1" allowOverlap="1">
                  <wp:simplePos x="0" y="0"/>
                  <wp:positionH relativeFrom="column">
                    <wp:posOffset>127635</wp:posOffset>
                  </wp:positionH>
                  <wp:positionV relativeFrom="paragraph">
                    <wp:posOffset>635</wp:posOffset>
                  </wp:positionV>
                  <wp:extent cx="304800" cy="177800"/>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250"/>
                          <a:stretch>
                            <a:fillRect/>
                          </a:stretch>
                        </pic:blipFill>
                        <pic:spPr>
                          <a:xfrm>
                            <a:off x="0" y="0"/>
                            <a:ext cx="304800" cy="177800"/>
                          </a:xfrm>
                          <a:prstGeom prst="rect">
                            <a:avLst/>
                          </a:prstGeom>
                        </pic:spPr>
                      </pic:pic>
                    </a:graphicData>
                  </a:graphic>
                </wp:anchor>
              </w:drawing>
            </w:r>
            <w:r>
              <w:rPr>
                <w:rFonts w:ascii="宋体" w:hAnsi="宋体" w:eastAsia="宋体" w:cs="宋体"/>
                <w:spacing w:val="10"/>
                <w:sz w:val="17"/>
                <w:szCs w:val="17"/>
              </w:rPr>
              <w:t>“绿地</w:t>
            </w:r>
            <w:r>
              <w:rPr>
                <w:rFonts w:ascii="宋体" w:hAnsi="宋体" w:eastAsia="宋体" w:cs="宋体"/>
                <w:sz w:val="17"/>
                <w:szCs w:val="17"/>
              </w:rPr>
              <w:t xml:space="preserve"> </w:t>
            </w:r>
            <w:r>
              <w:rPr>
                <w:rFonts w:ascii="宋体" w:hAnsi="宋体" w:eastAsia="宋体" w:cs="宋体"/>
                <w:spacing w:val="7"/>
                <w:sz w:val="17"/>
                <w:szCs w:val="17"/>
              </w:rPr>
              <w:t>外</w:t>
            </w:r>
            <w:r>
              <w:rPr>
                <w:rFonts w:ascii="宋体" w:hAnsi="宋体" w:eastAsia="宋体" w:cs="宋体"/>
                <w:spacing w:val="6"/>
                <w:sz w:val="17"/>
                <w:szCs w:val="17"/>
              </w:rPr>
              <w:t>滩名</w:t>
            </w:r>
          </w:p>
          <w:p>
            <w:pPr>
              <w:spacing w:line="304" w:lineRule="auto"/>
              <w:ind w:left="29" w:right="26" w:firstLine="110"/>
              <w:rPr>
                <w:rFonts w:ascii="宋体" w:hAnsi="宋体" w:eastAsia="宋体" w:cs="宋体"/>
                <w:sz w:val="17"/>
                <w:szCs w:val="17"/>
              </w:rPr>
            </w:pPr>
            <w:r>
              <w:rPr>
                <w:rFonts w:ascii="宋体" w:hAnsi="宋体" w:eastAsia="宋体" w:cs="宋体"/>
                <w:spacing w:val="39"/>
                <w:sz w:val="17"/>
                <w:szCs w:val="17"/>
              </w:rPr>
              <w:t>门</w:t>
            </w:r>
            <w:r>
              <w:rPr>
                <w:rFonts w:ascii="宋体" w:hAnsi="宋体" w:eastAsia="宋体" w:cs="宋体"/>
                <w:spacing w:val="38"/>
                <w:sz w:val="17"/>
                <w:szCs w:val="17"/>
              </w:rPr>
              <w:t>”</w:t>
            </w:r>
            <w:r>
              <w:rPr>
                <w:rFonts w:ascii="宋体" w:hAnsi="宋体" w:eastAsia="宋体" w:cs="宋体"/>
                <w:sz w:val="17"/>
                <w:szCs w:val="17"/>
              </w:rPr>
              <w:t xml:space="preserve"> </w:t>
            </w:r>
            <w:r>
              <w:rPr>
                <w:rFonts w:ascii="宋体" w:hAnsi="宋体" w:eastAsia="宋体" w:cs="宋体"/>
                <w:spacing w:val="7"/>
                <w:sz w:val="17"/>
                <w:szCs w:val="17"/>
              </w:rPr>
              <w:t>居住小</w:t>
            </w:r>
            <w:r>
              <w:rPr>
                <w:rFonts w:ascii="宋体" w:hAnsi="宋体" w:eastAsia="宋体" w:cs="宋体"/>
                <w:sz w:val="17"/>
                <w:szCs w:val="17"/>
              </w:rPr>
              <w:t xml:space="preserve"> </w:t>
            </w:r>
            <w:r>
              <w:rPr>
                <w:rFonts w:ascii="宋体" w:hAnsi="宋体" w:eastAsia="宋体" w:cs="宋体"/>
                <w:spacing w:val="6"/>
                <w:sz w:val="17"/>
                <w:szCs w:val="17"/>
              </w:rPr>
              <w:t>区</w:t>
            </w:r>
            <w:r>
              <w:rPr>
                <w:rFonts w:ascii="宋体" w:hAnsi="宋体" w:eastAsia="宋体" w:cs="宋体"/>
                <w:spacing w:val="5"/>
                <w:sz w:val="17"/>
                <w:szCs w:val="17"/>
              </w:rPr>
              <w:t xml:space="preserve"> (在</w:t>
            </w:r>
          </w:p>
          <w:p>
            <w:pPr>
              <w:spacing w:line="231" w:lineRule="auto"/>
              <w:ind w:left="121"/>
              <w:rPr>
                <w:rFonts w:ascii="宋体" w:hAnsi="宋体" w:eastAsia="宋体" w:cs="宋体"/>
                <w:sz w:val="17"/>
                <w:szCs w:val="17"/>
              </w:rPr>
            </w:pPr>
            <w:r>
              <w:rPr>
                <w:rFonts w:ascii="宋体" w:hAnsi="宋体" w:eastAsia="宋体" w:cs="宋体"/>
                <w:sz w:val="17"/>
                <w:szCs w:val="17"/>
              </w:rPr>
              <w:t>建)</w:t>
            </w:r>
          </w:p>
        </w:tc>
        <w:tc>
          <w:tcPr>
            <w:tcW w:w="474" w:type="dxa"/>
            <w:vAlign w:val="top"/>
          </w:tcPr>
          <w:p>
            <w:pPr>
              <w:spacing w:before="61" w:line="243" w:lineRule="exact"/>
              <w:ind w:left="60"/>
              <w:rPr>
                <w:rFonts w:ascii="宋体" w:hAnsi="宋体" w:eastAsia="宋体" w:cs="宋体"/>
                <w:sz w:val="17"/>
                <w:szCs w:val="17"/>
              </w:rPr>
            </w:pPr>
            <w:r>
              <w:rPr>
                <w:rFonts w:ascii="Times New Roman" w:hAnsi="Times New Roman" w:eastAsia="Times New Roman" w:cs="Times New Roman"/>
                <w:spacing w:val="4"/>
                <w:position w:val="1"/>
                <w:sz w:val="17"/>
                <w:szCs w:val="17"/>
              </w:rPr>
              <w:t>6#</w:t>
            </w:r>
            <w:r>
              <w:rPr>
                <w:rFonts w:ascii="宋体" w:hAnsi="宋体" w:eastAsia="宋体" w:cs="宋体"/>
                <w:spacing w:val="4"/>
                <w:position w:val="1"/>
                <w:sz w:val="17"/>
                <w:szCs w:val="17"/>
              </w:rPr>
              <w:t>楼</w:t>
            </w:r>
          </w:p>
        </w:tc>
        <w:tc>
          <w:tcPr>
            <w:tcW w:w="525" w:type="dxa"/>
            <w:vMerge w:val="restart"/>
            <w:tcBorders>
              <w:bottom w:val="nil"/>
            </w:tcBorders>
            <w:vAlign w:val="top"/>
          </w:tcPr>
          <w:p>
            <w:pPr>
              <w:spacing w:line="294" w:lineRule="auto"/>
              <w:rPr>
                <w:rFonts w:ascii="Arial"/>
                <w:sz w:val="21"/>
              </w:rPr>
            </w:pPr>
          </w:p>
          <w:p>
            <w:pPr>
              <w:spacing w:before="55" w:line="230" w:lineRule="auto"/>
              <w:ind w:left="89"/>
              <w:rPr>
                <w:rFonts w:ascii="宋体" w:hAnsi="宋体" w:eastAsia="宋体" w:cs="宋体"/>
                <w:sz w:val="17"/>
                <w:szCs w:val="17"/>
              </w:rPr>
            </w:pPr>
            <w:r>
              <w:rPr>
                <w:rFonts w:ascii="宋体" w:hAnsi="宋体" w:eastAsia="宋体" w:cs="宋体"/>
                <w:spacing w:val="4"/>
                <w:sz w:val="17"/>
                <w:szCs w:val="17"/>
              </w:rPr>
              <w:t>高家</w:t>
            </w:r>
          </w:p>
          <w:p>
            <w:pPr>
              <w:spacing w:before="68" w:line="231" w:lineRule="auto"/>
              <w:ind w:left="84"/>
              <w:rPr>
                <w:rFonts w:ascii="宋体" w:hAnsi="宋体" w:eastAsia="宋体" w:cs="宋体"/>
                <w:sz w:val="17"/>
                <w:szCs w:val="17"/>
              </w:rPr>
            </w:pPr>
            <w:r>
              <w:rPr>
                <w:rFonts w:ascii="宋体" w:hAnsi="宋体" w:eastAsia="宋体" w:cs="宋体"/>
                <w:spacing w:val="7"/>
                <w:sz w:val="17"/>
                <w:szCs w:val="17"/>
              </w:rPr>
              <w:t>坝</w:t>
            </w:r>
            <w:r>
              <w:rPr>
                <w:rFonts w:ascii="宋体" w:hAnsi="宋体" w:eastAsia="宋体" w:cs="宋体"/>
                <w:spacing w:val="6"/>
                <w:sz w:val="17"/>
                <w:szCs w:val="17"/>
              </w:rPr>
              <w:t>大</w:t>
            </w:r>
          </w:p>
          <w:p>
            <w:pPr>
              <w:spacing w:before="68" w:line="231" w:lineRule="auto"/>
              <w:ind w:left="85"/>
              <w:rPr>
                <w:rFonts w:ascii="宋体" w:hAnsi="宋体" w:eastAsia="宋体" w:cs="宋体"/>
                <w:sz w:val="17"/>
                <w:szCs w:val="17"/>
              </w:rPr>
            </w:pPr>
            <w:r>
              <w:rPr>
                <w:rFonts w:ascii="宋体" w:hAnsi="宋体" w:eastAsia="宋体" w:cs="宋体"/>
                <w:spacing w:val="6"/>
                <w:sz w:val="17"/>
                <w:szCs w:val="17"/>
              </w:rPr>
              <w:t>桥起</w:t>
            </w:r>
          </w:p>
          <w:p>
            <w:pPr>
              <w:spacing w:before="65" w:line="235" w:lineRule="auto"/>
              <w:ind w:left="182"/>
              <w:rPr>
                <w:rFonts w:ascii="宋体" w:hAnsi="宋体" w:eastAsia="宋体" w:cs="宋体"/>
                <w:sz w:val="17"/>
                <w:szCs w:val="17"/>
              </w:rPr>
            </w:pPr>
            <w:r>
              <w:rPr>
                <w:rFonts w:ascii="宋体" w:hAnsi="宋体" w:eastAsia="宋体" w:cs="宋体"/>
                <w:sz w:val="17"/>
                <w:szCs w:val="17"/>
              </w:rPr>
              <w:t>点</w:t>
            </w:r>
          </w:p>
        </w:tc>
        <w:tc>
          <w:tcPr>
            <w:tcW w:w="621" w:type="dxa"/>
            <w:vAlign w:val="top"/>
          </w:tcPr>
          <w:p>
            <w:pPr>
              <w:spacing w:before="61" w:line="243" w:lineRule="exact"/>
              <w:ind w:left="14"/>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K</w:t>
            </w:r>
            <w:r>
              <w:rPr>
                <w:rFonts w:ascii="Times New Roman" w:hAnsi="Times New Roman" w:eastAsia="Times New Roman" w:cs="Times New Roman"/>
                <w:spacing w:val="6"/>
                <w:position w:val="2"/>
                <w:sz w:val="17"/>
                <w:szCs w:val="17"/>
              </w:rPr>
              <w:t>0+00</w:t>
            </w:r>
            <w:r>
              <w:rPr>
                <w:rFonts w:ascii="Times New Roman" w:hAnsi="Times New Roman" w:eastAsia="Times New Roman" w:cs="Times New Roman"/>
                <w:spacing w:val="5"/>
                <w:position w:val="2"/>
                <w:sz w:val="17"/>
                <w:szCs w:val="17"/>
              </w:rPr>
              <w:t>0</w:t>
            </w:r>
          </w:p>
        </w:tc>
        <w:tc>
          <w:tcPr>
            <w:tcW w:w="481" w:type="dxa"/>
            <w:vAlign w:val="top"/>
          </w:tcPr>
          <w:p>
            <w:pPr>
              <w:spacing w:before="94" w:line="230" w:lineRule="auto"/>
              <w:ind w:left="66"/>
              <w:rPr>
                <w:rFonts w:ascii="宋体" w:hAnsi="宋体" w:eastAsia="宋体" w:cs="宋体"/>
                <w:sz w:val="17"/>
                <w:szCs w:val="17"/>
              </w:rPr>
            </w:pPr>
            <w:r>
              <w:rPr>
                <w:rFonts w:ascii="宋体" w:hAnsi="宋体" w:eastAsia="宋体" w:cs="宋体"/>
                <w:spacing w:val="6"/>
                <w:sz w:val="17"/>
                <w:szCs w:val="17"/>
              </w:rPr>
              <w:t>路</w:t>
            </w:r>
            <w:r>
              <w:rPr>
                <w:rFonts w:ascii="宋体" w:hAnsi="宋体" w:eastAsia="宋体" w:cs="宋体"/>
                <w:spacing w:val="5"/>
                <w:sz w:val="17"/>
                <w:szCs w:val="17"/>
              </w:rPr>
              <w:t>基</w:t>
            </w:r>
          </w:p>
        </w:tc>
        <w:tc>
          <w:tcPr>
            <w:tcW w:w="429" w:type="dxa"/>
            <w:vAlign w:val="top"/>
          </w:tcPr>
          <w:p>
            <w:pPr>
              <w:spacing w:before="94" w:line="230" w:lineRule="auto"/>
              <w:ind w:left="41"/>
              <w:rPr>
                <w:rFonts w:ascii="宋体" w:hAnsi="宋体" w:eastAsia="宋体" w:cs="宋体"/>
                <w:sz w:val="17"/>
                <w:szCs w:val="17"/>
              </w:rPr>
            </w:pPr>
            <w:r>
              <w:rPr>
                <w:rFonts w:ascii="宋体" w:hAnsi="宋体" w:eastAsia="宋体" w:cs="宋体"/>
                <w:spacing w:val="4"/>
                <w:sz w:val="17"/>
                <w:szCs w:val="17"/>
              </w:rPr>
              <w:t>西侧</w:t>
            </w:r>
          </w:p>
        </w:tc>
        <w:tc>
          <w:tcPr>
            <w:tcW w:w="784" w:type="dxa"/>
            <w:vAlign w:val="top"/>
          </w:tcPr>
          <w:p>
            <w:pPr>
              <w:spacing w:before="125" w:line="197" w:lineRule="auto"/>
              <w:ind w:left="349"/>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592" w:type="dxa"/>
            <w:vAlign w:val="top"/>
          </w:tcPr>
          <w:p>
            <w:pPr>
              <w:spacing w:before="125" w:line="197" w:lineRule="auto"/>
              <w:ind w:left="21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5</w:t>
            </w:r>
          </w:p>
        </w:tc>
        <w:tc>
          <w:tcPr>
            <w:tcW w:w="741" w:type="dxa"/>
            <w:vAlign w:val="top"/>
          </w:tcPr>
          <w:p>
            <w:pPr>
              <w:spacing w:before="125" w:line="197" w:lineRule="auto"/>
              <w:ind w:left="28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74</w:t>
            </w:r>
          </w:p>
        </w:tc>
        <w:tc>
          <w:tcPr>
            <w:tcW w:w="783" w:type="dxa"/>
            <w:vAlign w:val="top"/>
          </w:tcPr>
          <w:p>
            <w:pPr>
              <w:spacing w:before="125" w:line="197" w:lineRule="auto"/>
              <w:ind w:left="27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50</w:t>
            </w:r>
          </w:p>
        </w:tc>
        <w:tc>
          <w:tcPr>
            <w:tcW w:w="1751" w:type="dxa"/>
            <w:vMerge w:val="restart"/>
            <w:tcBorders>
              <w:bottom w:val="nil"/>
            </w:tcBorders>
            <w:vAlign w:val="top"/>
          </w:tcPr>
          <w:p>
            <w:pPr>
              <w:spacing w:before="213" w:line="304" w:lineRule="auto"/>
              <w:ind w:left="9"/>
              <w:rPr>
                <w:rFonts w:ascii="宋体" w:hAnsi="宋体" w:eastAsia="宋体" w:cs="宋体"/>
                <w:sz w:val="17"/>
                <w:szCs w:val="17"/>
              </w:rPr>
            </w:pPr>
            <w:r>
              <w:rPr>
                <w:rFonts w:ascii="宋体" w:hAnsi="宋体" w:eastAsia="宋体" w:cs="宋体"/>
                <w:spacing w:val="6"/>
                <w:sz w:val="17"/>
                <w:szCs w:val="17"/>
              </w:rPr>
              <w:t>钢砼</w:t>
            </w:r>
            <w:r>
              <w:rPr>
                <w:rFonts w:ascii="宋体" w:hAnsi="宋体" w:eastAsia="宋体" w:cs="宋体"/>
                <w:spacing w:val="3"/>
                <w:sz w:val="17"/>
                <w:szCs w:val="17"/>
              </w:rPr>
              <w:t>结构，东南朝向，</w:t>
            </w:r>
            <w:r>
              <w:rPr>
                <w:rFonts w:ascii="宋体" w:hAnsi="宋体" w:eastAsia="宋体" w:cs="宋体"/>
                <w:sz w:val="17"/>
                <w:szCs w:val="17"/>
              </w:rPr>
              <w:t xml:space="preserve"> </w:t>
            </w:r>
            <w:r>
              <w:rPr>
                <w:rFonts w:ascii="Times New Roman" w:hAnsi="Times New Roman" w:eastAsia="Times New Roman" w:cs="Times New Roman"/>
                <w:spacing w:val="10"/>
                <w:sz w:val="17"/>
                <w:szCs w:val="17"/>
              </w:rPr>
              <w:t xml:space="preserve">25 </w:t>
            </w:r>
            <w:r>
              <w:rPr>
                <w:rFonts w:ascii="宋体" w:hAnsi="宋体" w:eastAsia="宋体" w:cs="宋体"/>
                <w:spacing w:val="10"/>
                <w:sz w:val="17"/>
                <w:szCs w:val="17"/>
              </w:rPr>
              <w:t>层，东南面为州河</w:t>
            </w:r>
            <w:r>
              <w:rPr>
                <w:rFonts w:ascii="宋体" w:hAnsi="宋体" w:eastAsia="宋体" w:cs="宋体"/>
                <w:sz w:val="17"/>
                <w:szCs w:val="17"/>
              </w:rPr>
              <w:t xml:space="preserve"> </w:t>
            </w:r>
            <w:r>
              <w:rPr>
                <w:rFonts w:ascii="宋体" w:hAnsi="宋体" w:eastAsia="宋体" w:cs="宋体"/>
                <w:spacing w:val="2"/>
                <w:sz w:val="17"/>
                <w:szCs w:val="17"/>
              </w:rPr>
              <w:t>及本项目，西北面为</w:t>
            </w:r>
            <w:r>
              <w:rPr>
                <w:rFonts w:ascii="宋体" w:hAnsi="宋体" w:eastAsia="宋体" w:cs="宋体"/>
                <w:sz w:val="17"/>
                <w:szCs w:val="17"/>
              </w:rPr>
              <w:t xml:space="preserve">高 </w:t>
            </w:r>
            <w:r>
              <w:rPr>
                <w:rFonts w:ascii="宋体" w:hAnsi="宋体" w:eastAsia="宋体" w:cs="宋体"/>
                <w:spacing w:val="2"/>
                <w:sz w:val="17"/>
                <w:szCs w:val="17"/>
              </w:rPr>
              <w:t>家坝路，东北及西南</w:t>
            </w:r>
            <w:r>
              <w:rPr>
                <w:rFonts w:ascii="宋体" w:hAnsi="宋体" w:eastAsia="宋体" w:cs="宋体"/>
                <w:sz w:val="17"/>
                <w:szCs w:val="17"/>
              </w:rPr>
              <w:t>面</w:t>
            </w:r>
          </w:p>
          <w:p>
            <w:pPr>
              <w:spacing w:line="230" w:lineRule="auto"/>
              <w:ind w:left="341"/>
              <w:rPr>
                <w:rFonts w:ascii="宋体" w:hAnsi="宋体" w:eastAsia="宋体" w:cs="宋体"/>
                <w:sz w:val="17"/>
                <w:szCs w:val="17"/>
              </w:rPr>
            </w:pPr>
            <w:r>
              <w:rPr>
                <w:rFonts w:ascii="宋体" w:hAnsi="宋体" w:eastAsia="宋体" w:cs="宋体"/>
                <w:spacing w:val="10"/>
                <w:sz w:val="17"/>
                <w:szCs w:val="17"/>
              </w:rPr>
              <w:t>为</w:t>
            </w:r>
            <w:r>
              <w:rPr>
                <w:rFonts w:ascii="宋体" w:hAnsi="宋体" w:eastAsia="宋体" w:cs="宋体"/>
                <w:spacing w:val="8"/>
                <w:sz w:val="17"/>
                <w:szCs w:val="17"/>
              </w:rPr>
              <w:t>小区住宅楼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85" w:type="dxa"/>
            <w:vMerge w:val="continue"/>
            <w:tcBorders>
              <w:top w:val="nil"/>
              <w:bottom w:val="nil"/>
            </w:tcBorders>
            <w:vAlign w:val="top"/>
          </w:tcPr>
          <w:p>
            <w:pPr>
              <w:rPr>
                <w:rFonts w:ascii="Arial"/>
                <w:sz w:val="21"/>
              </w:rPr>
            </w:pPr>
          </w:p>
        </w:tc>
        <w:tc>
          <w:tcPr>
            <w:tcW w:w="592" w:type="dxa"/>
            <w:vMerge w:val="continue"/>
            <w:tcBorders>
              <w:top w:val="nil"/>
              <w:bottom w:val="nil"/>
            </w:tcBorders>
            <w:vAlign w:val="top"/>
          </w:tcPr>
          <w:p>
            <w:pPr>
              <w:rPr>
                <w:rFonts w:ascii="Arial"/>
                <w:sz w:val="21"/>
              </w:rPr>
            </w:pPr>
          </w:p>
        </w:tc>
        <w:tc>
          <w:tcPr>
            <w:tcW w:w="474" w:type="dxa"/>
            <w:vAlign w:val="top"/>
          </w:tcPr>
          <w:p>
            <w:pPr>
              <w:spacing w:before="60" w:line="242" w:lineRule="exact"/>
              <w:ind w:left="59"/>
              <w:rPr>
                <w:rFonts w:ascii="宋体" w:hAnsi="宋体" w:eastAsia="宋体" w:cs="宋体"/>
                <w:sz w:val="17"/>
                <w:szCs w:val="17"/>
              </w:rPr>
            </w:pPr>
            <w:r>
              <w:rPr>
                <w:rFonts w:ascii="Times New Roman" w:hAnsi="Times New Roman" w:eastAsia="Times New Roman" w:cs="Times New Roman"/>
                <w:spacing w:val="5"/>
                <w:position w:val="1"/>
                <w:sz w:val="17"/>
                <w:szCs w:val="17"/>
              </w:rPr>
              <w:t>7</w:t>
            </w:r>
            <w:r>
              <w:rPr>
                <w:rFonts w:ascii="Times New Roman" w:hAnsi="Times New Roman" w:eastAsia="Times New Roman" w:cs="Times New Roman"/>
                <w:spacing w:val="4"/>
                <w:position w:val="1"/>
                <w:sz w:val="17"/>
                <w:szCs w:val="17"/>
              </w:rPr>
              <w:t>#</w:t>
            </w:r>
            <w:r>
              <w:rPr>
                <w:rFonts w:ascii="宋体" w:hAnsi="宋体" w:eastAsia="宋体" w:cs="宋体"/>
                <w:spacing w:val="4"/>
                <w:position w:val="1"/>
                <w:sz w:val="17"/>
                <w:szCs w:val="17"/>
              </w:rPr>
              <w:t>楼</w:t>
            </w:r>
          </w:p>
        </w:tc>
        <w:tc>
          <w:tcPr>
            <w:tcW w:w="525" w:type="dxa"/>
            <w:vMerge w:val="continue"/>
            <w:tcBorders>
              <w:top w:val="nil"/>
              <w:bottom w:val="nil"/>
            </w:tcBorders>
            <w:vAlign w:val="top"/>
          </w:tcPr>
          <w:p>
            <w:pPr>
              <w:rPr>
                <w:rFonts w:ascii="Arial"/>
                <w:sz w:val="21"/>
              </w:rPr>
            </w:pPr>
          </w:p>
        </w:tc>
        <w:tc>
          <w:tcPr>
            <w:tcW w:w="621" w:type="dxa"/>
            <w:vAlign w:val="top"/>
          </w:tcPr>
          <w:p>
            <w:pPr>
              <w:spacing w:before="60" w:line="242" w:lineRule="exact"/>
              <w:ind w:left="14"/>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K</w:t>
            </w:r>
            <w:r>
              <w:rPr>
                <w:rFonts w:ascii="Times New Roman" w:hAnsi="Times New Roman" w:eastAsia="Times New Roman" w:cs="Times New Roman"/>
                <w:spacing w:val="7"/>
                <w:position w:val="2"/>
                <w:sz w:val="17"/>
                <w:szCs w:val="17"/>
              </w:rPr>
              <w:t>0</w:t>
            </w:r>
            <w:r>
              <w:rPr>
                <w:rFonts w:ascii="Times New Roman" w:hAnsi="Times New Roman" w:eastAsia="Times New Roman" w:cs="Times New Roman"/>
                <w:spacing w:val="5"/>
                <w:position w:val="2"/>
                <w:sz w:val="17"/>
                <w:szCs w:val="17"/>
              </w:rPr>
              <w:t>+000</w:t>
            </w:r>
          </w:p>
        </w:tc>
        <w:tc>
          <w:tcPr>
            <w:tcW w:w="481" w:type="dxa"/>
            <w:vAlign w:val="top"/>
          </w:tcPr>
          <w:p>
            <w:pPr>
              <w:spacing w:before="95" w:line="230" w:lineRule="auto"/>
              <w:ind w:left="66"/>
              <w:rPr>
                <w:rFonts w:ascii="宋体" w:hAnsi="宋体" w:eastAsia="宋体" w:cs="宋体"/>
                <w:sz w:val="17"/>
                <w:szCs w:val="17"/>
              </w:rPr>
            </w:pPr>
            <w:r>
              <w:rPr>
                <w:rFonts w:ascii="宋体" w:hAnsi="宋体" w:eastAsia="宋体" w:cs="宋体"/>
                <w:spacing w:val="6"/>
                <w:sz w:val="17"/>
                <w:szCs w:val="17"/>
              </w:rPr>
              <w:t>路</w:t>
            </w:r>
            <w:r>
              <w:rPr>
                <w:rFonts w:ascii="宋体" w:hAnsi="宋体" w:eastAsia="宋体" w:cs="宋体"/>
                <w:spacing w:val="5"/>
                <w:sz w:val="17"/>
                <w:szCs w:val="17"/>
              </w:rPr>
              <w:t>基</w:t>
            </w:r>
          </w:p>
        </w:tc>
        <w:tc>
          <w:tcPr>
            <w:tcW w:w="429" w:type="dxa"/>
            <w:vAlign w:val="top"/>
          </w:tcPr>
          <w:p>
            <w:pPr>
              <w:spacing w:before="95" w:line="234" w:lineRule="auto"/>
              <w:ind w:left="41"/>
              <w:rPr>
                <w:rFonts w:ascii="宋体" w:hAnsi="宋体" w:eastAsia="宋体" w:cs="宋体"/>
                <w:sz w:val="17"/>
                <w:szCs w:val="17"/>
              </w:rPr>
            </w:pPr>
            <w:r>
              <w:rPr>
                <w:rFonts w:ascii="宋体" w:hAnsi="宋体" w:eastAsia="宋体" w:cs="宋体"/>
                <w:spacing w:val="4"/>
                <w:sz w:val="17"/>
                <w:szCs w:val="17"/>
              </w:rPr>
              <w:t>西北</w:t>
            </w:r>
          </w:p>
        </w:tc>
        <w:tc>
          <w:tcPr>
            <w:tcW w:w="784" w:type="dxa"/>
            <w:vAlign w:val="top"/>
          </w:tcPr>
          <w:p>
            <w:pPr>
              <w:spacing w:before="123" w:line="197" w:lineRule="auto"/>
              <w:ind w:left="349"/>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592" w:type="dxa"/>
            <w:vAlign w:val="top"/>
          </w:tcPr>
          <w:p>
            <w:pPr>
              <w:spacing w:before="123" w:line="197" w:lineRule="auto"/>
              <w:ind w:left="21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0</w:t>
            </w:r>
          </w:p>
        </w:tc>
        <w:tc>
          <w:tcPr>
            <w:tcW w:w="741" w:type="dxa"/>
            <w:vAlign w:val="top"/>
          </w:tcPr>
          <w:p>
            <w:pPr>
              <w:spacing w:before="123" w:line="197" w:lineRule="auto"/>
              <w:ind w:left="28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6</w:t>
            </w:r>
          </w:p>
        </w:tc>
        <w:tc>
          <w:tcPr>
            <w:tcW w:w="783" w:type="dxa"/>
            <w:vAlign w:val="top"/>
          </w:tcPr>
          <w:p>
            <w:pPr>
              <w:spacing w:before="123" w:line="197" w:lineRule="auto"/>
              <w:ind w:left="27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50</w:t>
            </w:r>
          </w:p>
        </w:tc>
        <w:tc>
          <w:tcPr>
            <w:tcW w:w="175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85" w:type="dxa"/>
            <w:vMerge w:val="continue"/>
            <w:tcBorders>
              <w:top w:val="nil"/>
              <w:bottom w:val="nil"/>
            </w:tcBorders>
            <w:vAlign w:val="top"/>
          </w:tcPr>
          <w:p>
            <w:pPr>
              <w:rPr>
                <w:rFonts w:ascii="Arial"/>
                <w:sz w:val="21"/>
              </w:rPr>
            </w:pPr>
          </w:p>
        </w:tc>
        <w:tc>
          <w:tcPr>
            <w:tcW w:w="592" w:type="dxa"/>
            <w:vMerge w:val="continue"/>
            <w:tcBorders>
              <w:top w:val="nil"/>
              <w:bottom w:val="nil"/>
            </w:tcBorders>
            <w:vAlign w:val="top"/>
          </w:tcPr>
          <w:p>
            <w:pPr>
              <w:rPr>
                <w:rFonts w:ascii="Arial"/>
                <w:sz w:val="21"/>
              </w:rPr>
            </w:pPr>
          </w:p>
        </w:tc>
        <w:tc>
          <w:tcPr>
            <w:tcW w:w="474" w:type="dxa"/>
            <w:vAlign w:val="top"/>
          </w:tcPr>
          <w:p>
            <w:pPr>
              <w:spacing w:before="61" w:line="242" w:lineRule="exact"/>
              <w:ind w:left="63"/>
              <w:rPr>
                <w:rFonts w:ascii="宋体" w:hAnsi="宋体" w:eastAsia="宋体" w:cs="宋体"/>
                <w:sz w:val="17"/>
                <w:szCs w:val="17"/>
              </w:rPr>
            </w:pPr>
            <w:r>
              <w:rPr>
                <w:rFonts w:ascii="Times New Roman" w:hAnsi="Times New Roman" w:eastAsia="Times New Roman" w:cs="Times New Roman"/>
                <w:spacing w:val="3"/>
                <w:position w:val="1"/>
                <w:sz w:val="17"/>
                <w:szCs w:val="17"/>
              </w:rPr>
              <w:t>8#</w:t>
            </w:r>
            <w:r>
              <w:rPr>
                <w:rFonts w:ascii="宋体" w:hAnsi="宋体" w:eastAsia="宋体" w:cs="宋体"/>
                <w:spacing w:val="3"/>
                <w:position w:val="1"/>
                <w:sz w:val="17"/>
                <w:szCs w:val="17"/>
              </w:rPr>
              <w:t>楼</w:t>
            </w:r>
          </w:p>
        </w:tc>
        <w:tc>
          <w:tcPr>
            <w:tcW w:w="525" w:type="dxa"/>
            <w:vMerge w:val="continue"/>
            <w:tcBorders>
              <w:top w:val="nil"/>
              <w:bottom w:val="nil"/>
            </w:tcBorders>
            <w:vAlign w:val="top"/>
          </w:tcPr>
          <w:p>
            <w:pPr>
              <w:rPr>
                <w:rFonts w:ascii="Arial"/>
                <w:sz w:val="21"/>
              </w:rPr>
            </w:pPr>
          </w:p>
        </w:tc>
        <w:tc>
          <w:tcPr>
            <w:tcW w:w="621" w:type="dxa"/>
            <w:vAlign w:val="top"/>
          </w:tcPr>
          <w:p>
            <w:pPr>
              <w:spacing w:before="61" w:line="242" w:lineRule="exact"/>
              <w:ind w:left="14"/>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K</w:t>
            </w:r>
            <w:r>
              <w:rPr>
                <w:rFonts w:ascii="Times New Roman" w:hAnsi="Times New Roman" w:eastAsia="Times New Roman" w:cs="Times New Roman"/>
                <w:spacing w:val="7"/>
                <w:position w:val="2"/>
                <w:sz w:val="17"/>
                <w:szCs w:val="17"/>
              </w:rPr>
              <w:t>0</w:t>
            </w:r>
            <w:r>
              <w:rPr>
                <w:rFonts w:ascii="Times New Roman" w:hAnsi="Times New Roman" w:eastAsia="Times New Roman" w:cs="Times New Roman"/>
                <w:spacing w:val="5"/>
                <w:position w:val="2"/>
                <w:sz w:val="17"/>
                <w:szCs w:val="17"/>
              </w:rPr>
              <w:t>+000</w:t>
            </w:r>
          </w:p>
        </w:tc>
        <w:tc>
          <w:tcPr>
            <w:tcW w:w="481" w:type="dxa"/>
            <w:vAlign w:val="top"/>
          </w:tcPr>
          <w:p>
            <w:pPr>
              <w:spacing w:before="94" w:line="230" w:lineRule="auto"/>
              <w:ind w:left="66"/>
              <w:rPr>
                <w:rFonts w:ascii="宋体" w:hAnsi="宋体" w:eastAsia="宋体" w:cs="宋体"/>
                <w:sz w:val="17"/>
                <w:szCs w:val="17"/>
              </w:rPr>
            </w:pPr>
            <w:r>
              <w:rPr>
                <w:rFonts w:ascii="宋体" w:hAnsi="宋体" w:eastAsia="宋体" w:cs="宋体"/>
                <w:spacing w:val="6"/>
                <w:sz w:val="17"/>
                <w:szCs w:val="17"/>
              </w:rPr>
              <w:t>路</w:t>
            </w:r>
            <w:r>
              <w:rPr>
                <w:rFonts w:ascii="宋体" w:hAnsi="宋体" w:eastAsia="宋体" w:cs="宋体"/>
                <w:spacing w:val="5"/>
                <w:sz w:val="17"/>
                <w:szCs w:val="17"/>
              </w:rPr>
              <w:t>基</w:t>
            </w:r>
          </w:p>
        </w:tc>
        <w:tc>
          <w:tcPr>
            <w:tcW w:w="429" w:type="dxa"/>
            <w:vAlign w:val="top"/>
          </w:tcPr>
          <w:p>
            <w:pPr>
              <w:spacing w:before="93" w:line="234" w:lineRule="auto"/>
              <w:ind w:left="131"/>
              <w:rPr>
                <w:rFonts w:ascii="宋体" w:hAnsi="宋体" w:eastAsia="宋体" w:cs="宋体"/>
                <w:sz w:val="17"/>
                <w:szCs w:val="17"/>
              </w:rPr>
            </w:pPr>
            <w:r>
              <w:rPr>
                <w:rFonts w:ascii="宋体" w:hAnsi="宋体" w:eastAsia="宋体" w:cs="宋体"/>
                <w:sz w:val="17"/>
                <w:szCs w:val="17"/>
              </w:rPr>
              <w:t>北</w:t>
            </w:r>
          </w:p>
        </w:tc>
        <w:tc>
          <w:tcPr>
            <w:tcW w:w="784" w:type="dxa"/>
            <w:vAlign w:val="top"/>
          </w:tcPr>
          <w:p>
            <w:pPr>
              <w:spacing w:before="124" w:line="197" w:lineRule="auto"/>
              <w:ind w:left="349"/>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592" w:type="dxa"/>
            <w:vAlign w:val="top"/>
          </w:tcPr>
          <w:p>
            <w:pPr>
              <w:spacing w:before="124" w:line="197" w:lineRule="auto"/>
              <w:ind w:left="20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w:t>
            </w:r>
          </w:p>
        </w:tc>
        <w:tc>
          <w:tcPr>
            <w:tcW w:w="741" w:type="dxa"/>
            <w:vAlign w:val="top"/>
          </w:tcPr>
          <w:p>
            <w:pPr>
              <w:spacing w:before="124" w:line="197" w:lineRule="auto"/>
              <w:ind w:left="28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w:t>
            </w:r>
          </w:p>
        </w:tc>
        <w:tc>
          <w:tcPr>
            <w:tcW w:w="783" w:type="dxa"/>
            <w:vAlign w:val="top"/>
          </w:tcPr>
          <w:p>
            <w:pPr>
              <w:spacing w:before="124" w:line="197" w:lineRule="auto"/>
              <w:ind w:left="27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50</w:t>
            </w:r>
          </w:p>
        </w:tc>
        <w:tc>
          <w:tcPr>
            <w:tcW w:w="175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85" w:type="dxa"/>
            <w:vMerge w:val="continue"/>
            <w:tcBorders>
              <w:top w:val="nil"/>
              <w:bottom w:val="nil"/>
            </w:tcBorders>
            <w:vAlign w:val="top"/>
          </w:tcPr>
          <w:p>
            <w:pPr>
              <w:rPr>
                <w:rFonts w:ascii="Arial"/>
                <w:sz w:val="21"/>
              </w:rPr>
            </w:pPr>
          </w:p>
        </w:tc>
        <w:tc>
          <w:tcPr>
            <w:tcW w:w="592" w:type="dxa"/>
            <w:vMerge w:val="continue"/>
            <w:tcBorders>
              <w:top w:val="nil"/>
              <w:bottom w:val="nil"/>
            </w:tcBorders>
            <w:vAlign w:val="top"/>
          </w:tcPr>
          <w:p>
            <w:pPr>
              <w:rPr>
                <w:rFonts w:ascii="Arial"/>
                <w:sz w:val="21"/>
              </w:rPr>
            </w:pPr>
          </w:p>
        </w:tc>
        <w:tc>
          <w:tcPr>
            <w:tcW w:w="474" w:type="dxa"/>
            <w:vAlign w:val="top"/>
          </w:tcPr>
          <w:p>
            <w:pPr>
              <w:spacing w:before="60" w:line="242" w:lineRule="exact"/>
              <w:ind w:left="60"/>
              <w:rPr>
                <w:rFonts w:ascii="宋体" w:hAnsi="宋体" w:eastAsia="宋体" w:cs="宋体"/>
                <w:sz w:val="17"/>
                <w:szCs w:val="17"/>
              </w:rPr>
            </w:pPr>
            <w:r>
              <w:rPr>
                <w:rFonts w:ascii="Times New Roman" w:hAnsi="Times New Roman" w:eastAsia="Times New Roman" w:cs="Times New Roman"/>
                <w:spacing w:val="4"/>
                <w:position w:val="1"/>
                <w:sz w:val="17"/>
                <w:szCs w:val="17"/>
              </w:rPr>
              <w:t>9#</w:t>
            </w:r>
            <w:r>
              <w:rPr>
                <w:rFonts w:ascii="宋体" w:hAnsi="宋体" w:eastAsia="宋体" w:cs="宋体"/>
                <w:spacing w:val="4"/>
                <w:position w:val="1"/>
                <w:sz w:val="17"/>
                <w:szCs w:val="17"/>
              </w:rPr>
              <w:t>楼</w:t>
            </w:r>
          </w:p>
        </w:tc>
        <w:tc>
          <w:tcPr>
            <w:tcW w:w="525" w:type="dxa"/>
            <w:vMerge w:val="continue"/>
            <w:tcBorders>
              <w:top w:val="nil"/>
              <w:bottom w:val="nil"/>
            </w:tcBorders>
            <w:vAlign w:val="top"/>
          </w:tcPr>
          <w:p>
            <w:pPr>
              <w:rPr>
                <w:rFonts w:ascii="Arial"/>
                <w:sz w:val="21"/>
              </w:rPr>
            </w:pPr>
          </w:p>
        </w:tc>
        <w:tc>
          <w:tcPr>
            <w:tcW w:w="621" w:type="dxa"/>
            <w:vAlign w:val="top"/>
          </w:tcPr>
          <w:p>
            <w:pPr>
              <w:spacing w:before="60" w:line="242" w:lineRule="exact"/>
              <w:ind w:left="14"/>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K</w:t>
            </w:r>
            <w:r>
              <w:rPr>
                <w:rFonts w:ascii="Times New Roman" w:hAnsi="Times New Roman" w:eastAsia="Times New Roman" w:cs="Times New Roman"/>
                <w:spacing w:val="7"/>
                <w:position w:val="2"/>
                <w:sz w:val="17"/>
                <w:szCs w:val="17"/>
              </w:rPr>
              <w:t>0</w:t>
            </w:r>
            <w:r>
              <w:rPr>
                <w:rFonts w:ascii="Times New Roman" w:hAnsi="Times New Roman" w:eastAsia="Times New Roman" w:cs="Times New Roman"/>
                <w:spacing w:val="5"/>
                <w:position w:val="2"/>
                <w:sz w:val="17"/>
                <w:szCs w:val="17"/>
              </w:rPr>
              <w:t>+000</w:t>
            </w:r>
          </w:p>
        </w:tc>
        <w:tc>
          <w:tcPr>
            <w:tcW w:w="481" w:type="dxa"/>
            <w:vAlign w:val="top"/>
          </w:tcPr>
          <w:p>
            <w:pPr>
              <w:spacing w:before="95" w:line="230" w:lineRule="auto"/>
              <w:ind w:left="66"/>
              <w:rPr>
                <w:rFonts w:ascii="宋体" w:hAnsi="宋体" w:eastAsia="宋体" w:cs="宋体"/>
                <w:sz w:val="17"/>
                <w:szCs w:val="17"/>
              </w:rPr>
            </w:pPr>
            <w:r>
              <w:rPr>
                <w:rFonts w:ascii="宋体" w:hAnsi="宋体" w:eastAsia="宋体" w:cs="宋体"/>
                <w:spacing w:val="6"/>
                <w:sz w:val="17"/>
                <w:szCs w:val="17"/>
              </w:rPr>
              <w:t>路</w:t>
            </w:r>
            <w:r>
              <w:rPr>
                <w:rFonts w:ascii="宋体" w:hAnsi="宋体" w:eastAsia="宋体" w:cs="宋体"/>
                <w:spacing w:val="5"/>
                <w:sz w:val="17"/>
                <w:szCs w:val="17"/>
              </w:rPr>
              <w:t>基</w:t>
            </w:r>
          </w:p>
        </w:tc>
        <w:tc>
          <w:tcPr>
            <w:tcW w:w="429" w:type="dxa"/>
            <w:vAlign w:val="top"/>
          </w:tcPr>
          <w:p>
            <w:pPr>
              <w:spacing w:before="95" w:line="230" w:lineRule="auto"/>
              <w:ind w:left="43"/>
              <w:rPr>
                <w:rFonts w:ascii="宋体" w:hAnsi="宋体" w:eastAsia="宋体" w:cs="宋体"/>
                <w:sz w:val="17"/>
                <w:szCs w:val="17"/>
              </w:rPr>
            </w:pPr>
            <w:r>
              <w:rPr>
                <w:rFonts w:ascii="宋体" w:hAnsi="宋体" w:eastAsia="宋体" w:cs="宋体"/>
                <w:spacing w:val="3"/>
                <w:sz w:val="17"/>
                <w:szCs w:val="17"/>
              </w:rPr>
              <w:t>东北</w:t>
            </w:r>
          </w:p>
        </w:tc>
        <w:tc>
          <w:tcPr>
            <w:tcW w:w="784" w:type="dxa"/>
            <w:vAlign w:val="top"/>
          </w:tcPr>
          <w:p>
            <w:pPr>
              <w:spacing w:before="123" w:line="197" w:lineRule="auto"/>
              <w:ind w:left="349"/>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592" w:type="dxa"/>
            <w:vAlign w:val="top"/>
          </w:tcPr>
          <w:p>
            <w:pPr>
              <w:spacing w:before="123" w:line="197" w:lineRule="auto"/>
              <w:ind w:left="21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70</w:t>
            </w:r>
          </w:p>
        </w:tc>
        <w:tc>
          <w:tcPr>
            <w:tcW w:w="741" w:type="dxa"/>
            <w:vAlign w:val="top"/>
          </w:tcPr>
          <w:p>
            <w:pPr>
              <w:spacing w:before="123" w:line="197" w:lineRule="auto"/>
              <w:ind w:left="290"/>
              <w:rPr>
                <w:rFonts w:ascii="Times New Roman" w:hAnsi="Times New Roman" w:eastAsia="Times New Roman" w:cs="Times New Roman"/>
                <w:sz w:val="17"/>
                <w:szCs w:val="17"/>
              </w:rPr>
            </w:pPr>
            <w:r>
              <w:rPr>
                <w:rFonts w:ascii="Times New Roman" w:hAnsi="Times New Roman" w:eastAsia="Times New Roman" w:cs="Times New Roman"/>
                <w:sz w:val="17"/>
                <w:szCs w:val="17"/>
              </w:rPr>
              <w:t>82</w:t>
            </w:r>
          </w:p>
        </w:tc>
        <w:tc>
          <w:tcPr>
            <w:tcW w:w="783" w:type="dxa"/>
            <w:vAlign w:val="top"/>
          </w:tcPr>
          <w:p>
            <w:pPr>
              <w:spacing w:before="123" w:line="197" w:lineRule="auto"/>
              <w:ind w:left="27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50</w:t>
            </w:r>
          </w:p>
        </w:tc>
        <w:tc>
          <w:tcPr>
            <w:tcW w:w="175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85" w:type="dxa"/>
            <w:vMerge w:val="continue"/>
            <w:tcBorders>
              <w:top w:val="nil"/>
              <w:bottom w:val="nil"/>
            </w:tcBorders>
            <w:vAlign w:val="top"/>
          </w:tcPr>
          <w:p>
            <w:pPr>
              <w:rPr>
                <w:rFonts w:ascii="Arial"/>
                <w:sz w:val="21"/>
              </w:rPr>
            </w:pPr>
          </w:p>
        </w:tc>
        <w:tc>
          <w:tcPr>
            <w:tcW w:w="592" w:type="dxa"/>
            <w:vMerge w:val="continue"/>
            <w:tcBorders>
              <w:top w:val="nil"/>
            </w:tcBorders>
            <w:vAlign w:val="top"/>
          </w:tcPr>
          <w:p>
            <w:pPr>
              <w:rPr>
                <w:rFonts w:ascii="Arial"/>
                <w:sz w:val="21"/>
              </w:rPr>
            </w:pPr>
          </w:p>
        </w:tc>
        <w:tc>
          <w:tcPr>
            <w:tcW w:w="474" w:type="dxa"/>
            <w:vAlign w:val="top"/>
          </w:tcPr>
          <w:p>
            <w:pPr>
              <w:spacing w:before="68" w:line="242" w:lineRule="exact"/>
              <w:ind w:left="28"/>
              <w:rPr>
                <w:rFonts w:ascii="宋体" w:hAnsi="宋体" w:eastAsia="宋体" w:cs="宋体"/>
                <w:sz w:val="17"/>
                <w:szCs w:val="17"/>
              </w:rPr>
            </w:pPr>
            <w:r>
              <w:rPr>
                <w:rFonts w:ascii="Times New Roman" w:hAnsi="Times New Roman" w:eastAsia="Times New Roman" w:cs="Times New Roman"/>
                <w:spacing w:val="2"/>
                <w:position w:val="1"/>
                <w:sz w:val="17"/>
                <w:szCs w:val="17"/>
              </w:rPr>
              <w:t>1</w:t>
            </w:r>
            <w:r>
              <w:rPr>
                <w:rFonts w:ascii="Times New Roman" w:hAnsi="Times New Roman" w:eastAsia="Times New Roman" w:cs="Times New Roman"/>
                <w:spacing w:val="1"/>
                <w:position w:val="1"/>
                <w:sz w:val="17"/>
                <w:szCs w:val="17"/>
              </w:rPr>
              <w:t>0#</w:t>
            </w:r>
            <w:r>
              <w:rPr>
                <w:rFonts w:ascii="宋体" w:hAnsi="宋体" w:eastAsia="宋体" w:cs="宋体"/>
                <w:spacing w:val="1"/>
                <w:position w:val="1"/>
                <w:sz w:val="17"/>
                <w:szCs w:val="17"/>
              </w:rPr>
              <w:t>楼</w:t>
            </w:r>
          </w:p>
        </w:tc>
        <w:tc>
          <w:tcPr>
            <w:tcW w:w="525" w:type="dxa"/>
            <w:vMerge w:val="continue"/>
            <w:tcBorders>
              <w:top w:val="nil"/>
            </w:tcBorders>
            <w:vAlign w:val="top"/>
          </w:tcPr>
          <w:p>
            <w:pPr>
              <w:rPr>
                <w:rFonts w:ascii="Arial"/>
                <w:sz w:val="21"/>
              </w:rPr>
            </w:pPr>
          </w:p>
        </w:tc>
        <w:tc>
          <w:tcPr>
            <w:tcW w:w="621" w:type="dxa"/>
            <w:vAlign w:val="top"/>
          </w:tcPr>
          <w:p>
            <w:pPr>
              <w:spacing w:before="68" w:line="242" w:lineRule="exact"/>
              <w:ind w:left="14"/>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K</w:t>
            </w:r>
            <w:r>
              <w:rPr>
                <w:rFonts w:ascii="Times New Roman" w:hAnsi="Times New Roman" w:eastAsia="Times New Roman" w:cs="Times New Roman"/>
                <w:spacing w:val="7"/>
                <w:position w:val="2"/>
                <w:sz w:val="17"/>
                <w:szCs w:val="17"/>
              </w:rPr>
              <w:t>0</w:t>
            </w:r>
            <w:r>
              <w:rPr>
                <w:rFonts w:ascii="Times New Roman" w:hAnsi="Times New Roman" w:eastAsia="Times New Roman" w:cs="Times New Roman"/>
                <w:spacing w:val="5"/>
                <w:position w:val="2"/>
                <w:sz w:val="17"/>
                <w:szCs w:val="17"/>
              </w:rPr>
              <w:t>+000</w:t>
            </w:r>
          </w:p>
        </w:tc>
        <w:tc>
          <w:tcPr>
            <w:tcW w:w="481" w:type="dxa"/>
            <w:vAlign w:val="top"/>
          </w:tcPr>
          <w:p>
            <w:pPr>
              <w:rPr>
                <w:rFonts w:ascii="Arial"/>
                <w:sz w:val="21"/>
              </w:rPr>
            </w:pPr>
          </w:p>
        </w:tc>
        <w:tc>
          <w:tcPr>
            <w:tcW w:w="429" w:type="dxa"/>
            <w:vAlign w:val="top"/>
          </w:tcPr>
          <w:p>
            <w:pPr>
              <w:spacing w:before="103" w:line="230" w:lineRule="auto"/>
              <w:ind w:left="43"/>
              <w:rPr>
                <w:rFonts w:ascii="宋体" w:hAnsi="宋体" w:eastAsia="宋体" w:cs="宋体"/>
                <w:sz w:val="17"/>
                <w:szCs w:val="17"/>
              </w:rPr>
            </w:pPr>
            <w:r>
              <w:rPr>
                <w:rFonts w:ascii="宋体" w:hAnsi="宋体" w:eastAsia="宋体" w:cs="宋体"/>
                <w:spacing w:val="3"/>
                <w:sz w:val="17"/>
                <w:szCs w:val="17"/>
              </w:rPr>
              <w:t>东北</w:t>
            </w:r>
          </w:p>
        </w:tc>
        <w:tc>
          <w:tcPr>
            <w:tcW w:w="784" w:type="dxa"/>
            <w:vAlign w:val="top"/>
          </w:tcPr>
          <w:p>
            <w:pPr>
              <w:spacing w:before="131" w:line="197" w:lineRule="auto"/>
              <w:ind w:left="349"/>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592" w:type="dxa"/>
            <w:vAlign w:val="top"/>
          </w:tcPr>
          <w:p>
            <w:pPr>
              <w:spacing w:before="131" w:line="197" w:lineRule="auto"/>
              <w:ind w:left="17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00</w:t>
            </w:r>
          </w:p>
        </w:tc>
        <w:tc>
          <w:tcPr>
            <w:tcW w:w="741" w:type="dxa"/>
            <w:vAlign w:val="top"/>
          </w:tcPr>
          <w:p>
            <w:pPr>
              <w:spacing w:before="131" w:line="197" w:lineRule="auto"/>
              <w:ind w:left="2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22</w:t>
            </w:r>
          </w:p>
        </w:tc>
        <w:tc>
          <w:tcPr>
            <w:tcW w:w="783" w:type="dxa"/>
            <w:vAlign w:val="top"/>
          </w:tcPr>
          <w:p>
            <w:pPr>
              <w:spacing w:before="131" w:line="197" w:lineRule="auto"/>
              <w:ind w:left="27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50</w:t>
            </w:r>
          </w:p>
        </w:tc>
        <w:tc>
          <w:tcPr>
            <w:tcW w:w="175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6" w:hRule="atLeast"/>
        </w:trPr>
        <w:tc>
          <w:tcPr>
            <w:tcW w:w="285" w:type="dxa"/>
            <w:vMerge w:val="continue"/>
            <w:tcBorders>
              <w:top w:val="nil"/>
            </w:tcBorders>
            <w:vAlign w:val="top"/>
          </w:tcPr>
          <w:p>
            <w:pPr>
              <w:rPr>
                <w:rFonts w:ascii="Arial"/>
                <w:sz w:val="21"/>
              </w:rPr>
            </w:pPr>
          </w:p>
        </w:tc>
        <w:tc>
          <w:tcPr>
            <w:tcW w:w="7773" w:type="dxa"/>
            <w:gridSpan w:val="11"/>
            <w:vAlign w:val="top"/>
          </w:tcPr>
          <w:p>
            <w:pPr>
              <w:spacing w:before="2" w:line="2111" w:lineRule="exact"/>
              <w:ind w:firstLine="126"/>
              <w:textAlignment w:val="center"/>
            </w:pPr>
            <w:r>
              <w:drawing>
                <wp:inline distT="0" distB="0" distL="0" distR="0">
                  <wp:extent cx="4766945" cy="1340485"/>
                  <wp:effectExtent l="0" t="0" r="0" b="0"/>
                  <wp:docPr id="107" name="IM 107"/>
                  <wp:cNvGraphicFramePr/>
                  <a:graphic xmlns:a="http://schemas.openxmlformats.org/drawingml/2006/main">
                    <a:graphicData uri="http://schemas.openxmlformats.org/drawingml/2006/picture">
                      <pic:pic xmlns:pic="http://schemas.openxmlformats.org/drawingml/2006/picture">
                        <pic:nvPicPr>
                          <pic:cNvPr id="107" name="IM 107"/>
                          <pic:cNvPicPr/>
                        </pic:nvPicPr>
                        <pic:blipFill>
                          <a:blip r:embed="rId251"/>
                          <a:stretch>
                            <a:fillRect/>
                          </a:stretch>
                        </pic:blipFill>
                        <pic:spPr>
                          <a:xfrm>
                            <a:off x="0" y="0"/>
                            <a:ext cx="4767071" cy="1340611"/>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285"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49" w:line="197" w:lineRule="auto"/>
              <w:ind w:left="98"/>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1066" w:type="dxa"/>
            <w:gridSpan w:val="2"/>
            <w:vAlign w:val="top"/>
          </w:tcPr>
          <w:p>
            <w:pPr>
              <w:spacing w:line="296" w:lineRule="auto"/>
              <w:rPr>
                <w:rFonts w:ascii="Arial"/>
                <w:sz w:val="21"/>
              </w:rPr>
            </w:pPr>
          </w:p>
          <w:p>
            <w:pPr>
              <w:spacing w:before="55" w:line="231" w:lineRule="auto"/>
              <w:ind w:left="65"/>
              <w:rPr>
                <w:rFonts w:ascii="宋体" w:hAnsi="宋体" w:eastAsia="宋体" w:cs="宋体"/>
                <w:sz w:val="17"/>
                <w:szCs w:val="17"/>
              </w:rPr>
            </w:pPr>
            <w:r>
              <w:rPr>
                <w:rFonts w:ascii="Times New Roman" w:hAnsi="Times New Roman" w:eastAsia="Times New Roman" w:cs="Times New Roman"/>
                <w:spacing w:val="13"/>
                <w:sz w:val="17"/>
                <w:szCs w:val="17"/>
              </w:rPr>
              <w:t>“</w:t>
            </w:r>
            <w:r>
              <w:rPr>
                <w:rFonts w:ascii="宋体" w:hAnsi="宋体" w:eastAsia="宋体" w:cs="宋体"/>
                <w:spacing w:val="13"/>
                <w:sz w:val="17"/>
                <w:szCs w:val="17"/>
              </w:rPr>
              <w:t>宏义</w:t>
            </w:r>
            <w:r>
              <w:rPr>
                <w:rFonts w:ascii="Times New Roman" w:hAnsi="Times New Roman" w:eastAsia="Times New Roman" w:cs="Times New Roman"/>
                <w:spacing w:val="13"/>
                <w:sz w:val="17"/>
                <w:szCs w:val="17"/>
              </w:rPr>
              <w:t>·</w:t>
            </w:r>
            <w:r>
              <w:rPr>
                <w:rFonts w:ascii="宋体" w:hAnsi="宋体" w:eastAsia="宋体" w:cs="宋体"/>
                <w:spacing w:val="13"/>
                <w:sz w:val="17"/>
                <w:szCs w:val="17"/>
              </w:rPr>
              <w:t>江湾</w:t>
            </w:r>
          </w:p>
          <w:p>
            <w:pPr>
              <w:spacing w:before="65" w:line="230" w:lineRule="auto"/>
              <w:ind w:left="224"/>
              <w:rPr>
                <w:rFonts w:ascii="宋体" w:hAnsi="宋体" w:eastAsia="宋体" w:cs="宋体"/>
                <w:sz w:val="17"/>
                <w:szCs w:val="17"/>
              </w:rPr>
            </w:pPr>
            <w:r>
              <w:rPr>
                <w:rFonts w:ascii="宋体" w:hAnsi="宋体" w:eastAsia="宋体" w:cs="宋体"/>
                <w:spacing w:val="8"/>
                <w:sz w:val="17"/>
                <w:szCs w:val="17"/>
              </w:rPr>
              <w:t>城</w:t>
            </w:r>
            <w:r>
              <w:rPr>
                <w:rFonts w:ascii="Times New Roman" w:hAnsi="Times New Roman" w:eastAsia="Times New Roman" w:cs="Times New Roman"/>
                <w:spacing w:val="6"/>
                <w:sz w:val="17"/>
                <w:szCs w:val="17"/>
              </w:rPr>
              <w:t>”</w:t>
            </w:r>
            <w:r>
              <w:rPr>
                <w:rFonts w:ascii="宋体" w:hAnsi="宋体" w:eastAsia="宋体" w:cs="宋体"/>
                <w:spacing w:val="6"/>
                <w:sz w:val="17"/>
                <w:szCs w:val="17"/>
              </w:rPr>
              <w:t>小区</w:t>
            </w:r>
          </w:p>
          <w:p>
            <w:pPr>
              <w:spacing w:before="69" w:line="230" w:lineRule="auto"/>
              <w:ind w:left="65"/>
              <w:rPr>
                <w:rFonts w:ascii="宋体" w:hAnsi="宋体" w:eastAsia="宋体" w:cs="宋体"/>
                <w:sz w:val="17"/>
                <w:szCs w:val="17"/>
              </w:rPr>
            </w:pPr>
            <w:r>
              <w:rPr>
                <w:rFonts w:ascii="Times New Roman" w:hAnsi="Times New Roman" w:eastAsia="Times New Roman" w:cs="Times New Roman"/>
                <w:spacing w:val="-1"/>
                <w:sz w:val="17"/>
                <w:szCs w:val="17"/>
              </w:rPr>
              <w:t>5</w:t>
            </w:r>
            <w:r>
              <w:rPr>
                <w:rFonts w:ascii="Times New Roman" w:hAnsi="Times New Roman" w:eastAsia="Times New Roman" w:cs="Times New Roman"/>
                <w:sz w:val="17"/>
                <w:szCs w:val="17"/>
              </w:rPr>
              <w:t xml:space="preserve"> </w:t>
            </w:r>
            <w:r>
              <w:rPr>
                <w:rFonts w:ascii="宋体" w:hAnsi="宋体" w:eastAsia="宋体" w:cs="宋体"/>
                <w:sz w:val="17"/>
                <w:szCs w:val="17"/>
              </w:rPr>
              <w:t xml:space="preserve">期 </w:t>
            </w:r>
            <w:r>
              <w:rPr>
                <w:rFonts w:ascii="Times New Roman" w:hAnsi="Times New Roman" w:eastAsia="Times New Roman" w:cs="Times New Roman"/>
                <w:sz w:val="17"/>
                <w:szCs w:val="17"/>
              </w:rPr>
              <w:t xml:space="preserve">15 </w:t>
            </w:r>
            <w:r>
              <w:rPr>
                <w:rFonts w:ascii="宋体" w:hAnsi="宋体" w:eastAsia="宋体" w:cs="宋体"/>
                <w:sz w:val="17"/>
                <w:szCs w:val="17"/>
              </w:rPr>
              <w:t>号楼</w:t>
            </w:r>
          </w:p>
        </w:tc>
        <w:tc>
          <w:tcPr>
            <w:tcW w:w="525" w:type="dxa"/>
            <w:vAlign w:val="top"/>
          </w:tcPr>
          <w:p>
            <w:pPr>
              <w:spacing w:before="212" w:line="230" w:lineRule="auto"/>
              <w:ind w:left="89"/>
              <w:rPr>
                <w:rFonts w:ascii="宋体" w:hAnsi="宋体" w:eastAsia="宋体" w:cs="宋体"/>
                <w:sz w:val="17"/>
                <w:szCs w:val="17"/>
              </w:rPr>
            </w:pPr>
            <w:r>
              <w:rPr>
                <w:rFonts w:ascii="宋体" w:hAnsi="宋体" w:eastAsia="宋体" w:cs="宋体"/>
                <w:spacing w:val="4"/>
                <w:sz w:val="17"/>
                <w:szCs w:val="17"/>
              </w:rPr>
              <w:t>高家</w:t>
            </w:r>
          </w:p>
          <w:p>
            <w:pPr>
              <w:spacing w:before="68" w:line="231" w:lineRule="auto"/>
              <w:ind w:left="84"/>
              <w:rPr>
                <w:rFonts w:ascii="宋体" w:hAnsi="宋体" w:eastAsia="宋体" w:cs="宋体"/>
                <w:sz w:val="17"/>
                <w:szCs w:val="17"/>
              </w:rPr>
            </w:pPr>
            <w:r>
              <w:rPr>
                <w:rFonts w:ascii="宋体" w:hAnsi="宋体" w:eastAsia="宋体" w:cs="宋体"/>
                <w:spacing w:val="7"/>
                <w:sz w:val="17"/>
                <w:szCs w:val="17"/>
              </w:rPr>
              <w:t>坝</w:t>
            </w:r>
            <w:r>
              <w:rPr>
                <w:rFonts w:ascii="宋体" w:hAnsi="宋体" w:eastAsia="宋体" w:cs="宋体"/>
                <w:spacing w:val="6"/>
                <w:sz w:val="17"/>
                <w:szCs w:val="17"/>
              </w:rPr>
              <w:t>大</w:t>
            </w:r>
          </w:p>
          <w:p>
            <w:pPr>
              <w:spacing w:before="68" w:line="231" w:lineRule="auto"/>
              <w:ind w:left="85"/>
              <w:rPr>
                <w:rFonts w:ascii="宋体" w:hAnsi="宋体" w:eastAsia="宋体" w:cs="宋体"/>
                <w:sz w:val="17"/>
                <w:szCs w:val="17"/>
              </w:rPr>
            </w:pPr>
            <w:r>
              <w:rPr>
                <w:rFonts w:ascii="宋体" w:hAnsi="宋体" w:eastAsia="宋体" w:cs="宋体"/>
                <w:spacing w:val="6"/>
                <w:sz w:val="17"/>
                <w:szCs w:val="17"/>
              </w:rPr>
              <w:t>桥终</w:t>
            </w:r>
          </w:p>
          <w:p>
            <w:pPr>
              <w:spacing w:before="65" w:line="235" w:lineRule="auto"/>
              <w:ind w:left="182"/>
              <w:rPr>
                <w:rFonts w:ascii="宋体" w:hAnsi="宋体" w:eastAsia="宋体" w:cs="宋体"/>
                <w:sz w:val="17"/>
                <w:szCs w:val="17"/>
              </w:rPr>
            </w:pPr>
            <w:r>
              <w:rPr>
                <w:rFonts w:ascii="宋体" w:hAnsi="宋体" w:eastAsia="宋体" w:cs="宋体"/>
                <w:sz w:val="17"/>
                <w:szCs w:val="17"/>
              </w:rPr>
              <w:t>点</w:t>
            </w:r>
          </w:p>
        </w:tc>
        <w:tc>
          <w:tcPr>
            <w:tcW w:w="621" w:type="dxa"/>
            <w:vAlign w:val="top"/>
          </w:tcPr>
          <w:p>
            <w:pPr>
              <w:spacing w:line="273" w:lineRule="auto"/>
              <w:rPr>
                <w:rFonts w:ascii="Arial"/>
                <w:sz w:val="21"/>
              </w:rPr>
            </w:pPr>
          </w:p>
          <w:p>
            <w:pPr>
              <w:spacing w:line="274" w:lineRule="auto"/>
              <w:rPr>
                <w:rFonts w:ascii="Arial"/>
                <w:sz w:val="21"/>
              </w:rPr>
            </w:pPr>
          </w:p>
          <w:p>
            <w:pPr>
              <w:spacing w:before="49" w:line="242" w:lineRule="exact"/>
              <w:ind w:left="14"/>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K</w:t>
            </w:r>
            <w:r>
              <w:rPr>
                <w:rFonts w:ascii="Times New Roman" w:hAnsi="Times New Roman" w:eastAsia="Times New Roman" w:cs="Times New Roman"/>
                <w:spacing w:val="7"/>
                <w:position w:val="2"/>
                <w:sz w:val="17"/>
                <w:szCs w:val="17"/>
              </w:rPr>
              <w:t>0</w:t>
            </w:r>
            <w:r>
              <w:rPr>
                <w:rFonts w:ascii="Times New Roman" w:hAnsi="Times New Roman" w:eastAsia="Times New Roman" w:cs="Times New Roman"/>
                <w:spacing w:val="5"/>
                <w:position w:val="2"/>
                <w:sz w:val="17"/>
                <w:szCs w:val="17"/>
              </w:rPr>
              <w:t>+280</w:t>
            </w:r>
          </w:p>
        </w:tc>
        <w:tc>
          <w:tcPr>
            <w:tcW w:w="481" w:type="dxa"/>
            <w:vAlign w:val="top"/>
          </w:tcPr>
          <w:p>
            <w:pPr>
              <w:spacing w:line="286" w:lineRule="auto"/>
              <w:rPr>
                <w:rFonts w:ascii="Arial"/>
                <w:sz w:val="21"/>
              </w:rPr>
            </w:pPr>
          </w:p>
          <w:p>
            <w:pPr>
              <w:spacing w:line="287" w:lineRule="auto"/>
              <w:rPr>
                <w:rFonts w:ascii="Arial"/>
                <w:sz w:val="21"/>
              </w:rPr>
            </w:pPr>
          </w:p>
          <w:p>
            <w:pPr>
              <w:spacing w:before="55" w:line="230" w:lineRule="auto"/>
              <w:ind w:left="66"/>
              <w:rPr>
                <w:rFonts w:ascii="宋体" w:hAnsi="宋体" w:eastAsia="宋体" w:cs="宋体"/>
                <w:sz w:val="17"/>
                <w:szCs w:val="17"/>
              </w:rPr>
            </w:pPr>
            <w:r>
              <w:rPr>
                <w:rFonts w:ascii="宋体" w:hAnsi="宋体" w:eastAsia="宋体" w:cs="宋体"/>
                <w:spacing w:val="6"/>
                <w:sz w:val="17"/>
                <w:szCs w:val="17"/>
              </w:rPr>
              <w:t>路</w:t>
            </w:r>
            <w:r>
              <w:rPr>
                <w:rFonts w:ascii="宋体" w:hAnsi="宋体" w:eastAsia="宋体" w:cs="宋体"/>
                <w:spacing w:val="5"/>
                <w:sz w:val="17"/>
                <w:szCs w:val="17"/>
              </w:rPr>
              <w:t>基</w:t>
            </w:r>
          </w:p>
        </w:tc>
        <w:tc>
          <w:tcPr>
            <w:tcW w:w="429" w:type="dxa"/>
            <w:vAlign w:val="top"/>
          </w:tcPr>
          <w:p>
            <w:pPr>
              <w:spacing w:line="286" w:lineRule="auto"/>
              <w:rPr>
                <w:rFonts w:ascii="Arial"/>
                <w:sz w:val="21"/>
              </w:rPr>
            </w:pPr>
          </w:p>
          <w:p>
            <w:pPr>
              <w:spacing w:line="287" w:lineRule="auto"/>
              <w:rPr>
                <w:rFonts w:ascii="Arial"/>
                <w:sz w:val="21"/>
              </w:rPr>
            </w:pPr>
          </w:p>
          <w:p>
            <w:pPr>
              <w:spacing w:before="55" w:line="232" w:lineRule="auto"/>
              <w:ind w:left="41"/>
              <w:rPr>
                <w:rFonts w:ascii="宋体" w:hAnsi="宋体" w:eastAsia="宋体" w:cs="宋体"/>
                <w:sz w:val="17"/>
                <w:szCs w:val="17"/>
              </w:rPr>
            </w:pPr>
            <w:r>
              <w:rPr>
                <w:rFonts w:ascii="宋体" w:hAnsi="宋体" w:eastAsia="宋体" w:cs="宋体"/>
                <w:spacing w:val="4"/>
                <w:sz w:val="17"/>
                <w:szCs w:val="17"/>
              </w:rPr>
              <w:t>西南</w:t>
            </w:r>
          </w:p>
        </w:tc>
        <w:tc>
          <w:tcPr>
            <w:tcW w:w="784" w:type="dxa"/>
            <w:vAlign w:val="top"/>
          </w:tcPr>
          <w:p>
            <w:pPr>
              <w:spacing w:line="305" w:lineRule="auto"/>
              <w:rPr>
                <w:rFonts w:ascii="Arial"/>
                <w:sz w:val="21"/>
              </w:rPr>
            </w:pPr>
          </w:p>
          <w:p>
            <w:pPr>
              <w:spacing w:line="305" w:lineRule="auto"/>
              <w:rPr>
                <w:rFonts w:ascii="Arial"/>
                <w:sz w:val="21"/>
              </w:rPr>
            </w:pPr>
          </w:p>
          <w:p>
            <w:pPr>
              <w:spacing w:before="49" w:line="197" w:lineRule="auto"/>
              <w:ind w:left="349"/>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592" w:type="dxa"/>
            <w:vAlign w:val="top"/>
          </w:tcPr>
          <w:p>
            <w:pPr>
              <w:spacing w:line="305" w:lineRule="auto"/>
              <w:rPr>
                <w:rFonts w:ascii="Arial"/>
                <w:sz w:val="21"/>
              </w:rPr>
            </w:pPr>
          </w:p>
          <w:p>
            <w:pPr>
              <w:spacing w:line="305" w:lineRule="auto"/>
              <w:rPr>
                <w:rFonts w:ascii="Arial"/>
                <w:sz w:val="21"/>
              </w:rPr>
            </w:pPr>
          </w:p>
          <w:p>
            <w:pPr>
              <w:spacing w:before="49" w:line="197" w:lineRule="auto"/>
              <w:ind w:left="21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70</w:t>
            </w:r>
          </w:p>
        </w:tc>
        <w:tc>
          <w:tcPr>
            <w:tcW w:w="741" w:type="dxa"/>
            <w:vAlign w:val="top"/>
          </w:tcPr>
          <w:p>
            <w:pPr>
              <w:spacing w:line="305" w:lineRule="auto"/>
              <w:rPr>
                <w:rFonts w:ascii="Arial"/>
                <w:sz w:val="21"/>
              </w:rPr>
            </w:pPr>
          </w:p>
          <w:p>
            <w:pPr>
              <w:spacing w:line="305" w:lineRule="auto"/>
              <w:rPr>
                <w:rFonts w:ascii="Arial"/>
                <w:sz w:val="21"/>
              </w:rPr>
            </w:pPr>
          </w:p>
          <w:p>
            <w:pPr>
              <w:spacing w:before="49" w:line="197" w:lineRule="auto"/>
              <w:ind w:left="2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50</w:t>
            </w:r>
          </w:p>
        </w:tc>
        <w:tc>
          <w:tcPr>
            <w:tcW w:w="783" w:type="dxa"/>
            <w:vAlign w:val="top"/>
          </w:tcPr>
          <w:p>
            <w:pPr>
              <w:spacing w:line="305" w:lineRule="auto"/>
              <w:rPr>
                <w:rFonts w:ascii="Arial"/>
                <w:sz w:val="21"/>
              </w:rPr>
            </w:pPr>
          </w:p>
          <w:p>
            <w:pPr>
              <w:spacing w:line="305" w:lineRule="auto"/>
              <w:rPr>
                <w:rFonts w:ascii="Arial"/>
                <w:sz w:val="21"/>
              </w:rPr>
            </w:pPr>
          </w:p>
          <w:p>
            <w:pPr>
              <w:spacing w:before="49" w:line="197" w:lineRule="auto"/>
              <w:ind w:left="27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98</w:t>
            </w:r>
          </w:p>
        </w:tc>
        <w:tc>
          <w:tcPr>
            <w:tcW w:w="1751" w:type="dxa"/>
            <w:vAlign w:val="top"/>
          </w:tcPr>
          <w:p>
            <w:pPr>
              <w:spacing w:before="72" w:line="231" w:lineRule="auto"/>
              <w:ind w:left="9"/>
              <w:rPr>
                <w:rFonts w:ascii="宋体" w:hAnsi="宋体" w:eastAsia="宋体" w:cs="宋体"/>
                <w:sz w:val="17"/>
                <w:szCs w:val="17"/>
              </w:rPr>
            </w:pPr>
            <w:r>
              <w:rPr>
                <w:rFonts w:ascii="宋体" w:hAnsi="宋体" w:eastAsia="宋体" w:cs="宋体"/>
                <w:spacing w:val="6"/>
                <w:sz w:val="17"/>
                <w:szCs w:val="17"/>
              </w:rPr>
              <w:t>钢砼</w:t>
            </w:r>
            <w:r>
              <w:rPr>
                <w:rFonts w:ascii="宋体" w:hAnsi="宋体" w:eastAsia="宋体" w:cs="宋体"/>
                <w:spacing w:val="3"/>
                <w:sz w:val="17"/>
                <w:szCs w:val="17"/>
              </w:rPr>
              <w:t>结构，西北朝向，</w:t>
            </w:r>
          </w:p>
          <w:p>
            <w:pPr>
              <w:spacing w:before="68" w:line="230" w:lineRule="auto"/>
              <w:ind w:left="46"/>
              <w:rPr>
                <w:rFonts w:ascii="宋体" w:hAnsi="宋体" w:eastAsia="宋体" w:cs="宋体"/>
                <w:sz w:val="17"/>
                <w:szCs w:val="17"/>
              </w:rPr>
            </w:pPr>
            <w:r>
              <w:rPr>
                <w:rFonts w:ascii="Times New Roman" w:hAnsi="Times New Roman" w:eastAsia="Times New Roman" w:cs="Times New Roman"/>
                <w:spacing w:val="14"/>
                <w:sz w:val="17"/>
                <w:szCs w:val="17"/>
              </w:rPr>
              <w:t>3</w:t>
            </w:r>
            <w:r>
              <w:rPr>
                <w:rFonts w:ascii="Times New Roman" w:hAnsi="Times New Roman" w:eastAsia="Times New Roman" w:cs="Times New Roman"/>
                <w:spacing w:val="8"/>
                <w:sz w:val="17"/>
                <w:szCs w:val="17"/>
              </w:rPr>
              <w:t>3</w:t>
            </w:r>
            <w:r>
              <w:rPr>
                <w:rFonts w:ascii="Times New Roman" w:hAnsi="Times New Roman" w:eastAsia="Times New Roman" w:cs="Times New Roman"/>
                <w:spacing w:val="7"/>
                <w:sz w:val="17"/>
                <w:szCs w:val="17"/>
              </w:rPr>
              <w:t xml:space="preserve"> </w:t>
            </w:r>
            <w:r>
              <w:rPr>
                <w:rFonts w:ascii="宋体" w:hAnsi="宋体" w:eastAsia="宋体" w:cs="宋体"/>
                <w:spacing w:val="7"/>
                <w:sz w:val="17"/>
                <w:szCs w:val="17"/>
              </w:rPr>
              <w:t>层，西北面为江湾</w:t>
            </w:r>
          </w:p>
          <w:p>
            <w:pPr>
              <w:spacing w:before="66" w:line="229" w:lineRule="auto"/>
              <w:ind w:left="12"/>
              <w:rPr>
                <w:rFonts w:ascii="宋体" w:hAnsi="宋体" w:eastAsia="宋体" w:cs="宋体"/>
                <w:sz w:val="17"/>
                <w:szCs w:val="17"/>
              </w:rPr>
            </w:pPr>
            <w:r>
              <w:rPr>
                <w:rFonts w:ascii="宋体" w:hAnsi="宋体" w:eastAsia="宋体" w:cs="宋体"/>
                <w:spacing w:val="3"/>
                <w:sz w:val="17"/>
                <w:szCs w:val="17"/>
              </w:rPr>
              <w:t>路及州河、西北面为</w:t>
            </w:r>
            <w:r>
              <w:rPr>
                <w:rFonts w:ascii="宋体" w:hAnsi="宋体" w:eastAsia="宋体" w:cs="宋体"/>
                <w:spacing w:val="2"/>
                <w:sz w:val="17"/>
                <w:szCs w:val="17"/>
              </w:rPr>
              <w:t>本</w:t>
            </w:r>
          </w:p>
          <w:p>
            <w:pPr>
              <w:spacing w:before="69" w:line="231" w:lineRule="auto"/>
              <w:ind w:left="73"/>
              <w:rPr>
                <w:rFonts w:ascii="宋体" w:hAnsi="宋体" w:eastAsia="宋体" w:cs="宋体"/>
                <w:sz w:val="17"/>
                <w:szCs w:val="17"/>
              </w:rPr>
            </w:pPr>
            <w:r>
              <w:rPr>
                <w:rFonts w:ascii="宋体" w:hAnsi="宋体" w:eastAsia="宋体" w:cs="宋体"/>
                <w:spacing w:val="9"/>
                <w:sz w:val="17"/>
                <w:szCs w:val="17"/>
              </w:rPr>
              <w:t>项目，东面为包茂</w:t>
            </w:r>
            <w:r>
              <w:rPr>
                <w:rFonts w:ascii="宋体" w:hAnsi="宋体" w:eastAsia="宋体" w:cs="宋体"/>
                <w:spacing w:val="8"/>
                <w:sz w:val="17"/>
                <w:szCs w:val="17"/>
              </w:rPr>
              <w:t>高</w:t>
            </w:r>
          </w:p>
          <w:p>
            <w:pPr>
              <w:spacing w:before="68" w:line="228" w:lineRule="auto"/>
              <w:ind w:left="9"/>
              <w:rPr>
                <w:rFonts w:ascii="宋体" w:hAnsi="宋体" w:eastAsia="宋体" w:cs="宋体"/>
                <w:sz w:val="17"/>
                <w:szCs w:val="17"/>
              </w:rPr>
            </w:pPr>
            <w:r>
              <w:rPr>
                <w:rFonts w:ascii="宋体" w:hAnsi="宋体" w:eastAsia="宋体" w:cs="宋体"/>
                <w:spacing w:val="4"/>
                <w:sz w:val="17"/>
                <w:szCs w:val="17"/>
              </w:rPr>
              <w:t>速</w:t>
            </w:r>
            <w:r>
              <w:rPr>
                <w:rFonts w:ascii="宋体" w:hAnsi="宋体" w:eastAsia="宋体" w:cs="宋体"/>
                <w:spacing w:val="3"/>
                <w:sz w:val="17"/>
                <w:szCs w:val="17"/>
              </w:rPr>
              <w:t>、南面为小区住宅楼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0" w:hRule="atLeast"/>
        </w:trPr>
        <w:tc>
          <w:tcPr>
            <w:tcW w:w="285" w:type="dxa"/>
            <w:vMerge w:val="continue"/>
            <w:tcBorders>
              <w:top w:val="nil"/>
            </w:tcBorders>
            <w:vAlign w:val="top"/>
          </w:tcPr>
          <w:p>
            <w:pPr>
              <w:rPr>
                <w:rFonts w:ascii="Arial"/>
                <w:sz w:val="21"/>
              </w:rPr>
            </w:pPr>
          </w:p>
        </w:tc>
        <w:tc>
          <w:tcPr>
            <w:tcW w:w="7773" w:type="dxa"/>
            <w:gridSpan w:val="11"/>
            <w:vAlign w:val="top"/>
          </w:tcPr>
          <w:p>
            <w:pPr>
              <w:spacing w:before="3" w:line="2222" w:lineRule="exact"/>
              <w:ind w:firstLine="78"/>
              <w:textAlignment w:val="center"/>
            </w:pPr>
            <w:r>
              <w:drawing>
                <wp:inline distT="0" distB="0" distL="0" distR="0">
                  <wp:extent cx="4815205" cy="141097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252"/>
                          <a:stretch>
                            <a:fillRect/>
                          </a:stretch>
                        </pic:blipFill>
                        <pic:spPr>
                          <a:xfrm>
                            <a:off x="0" y="0"/>
                            <a:ext cx="4815839" cy="1411224"/>
                          </a:xfrm>
                          <a:prstGeom prst="rect">
                            <a:avLst/>
                          </a:prstGeom>
                        </pic:spPr>
                      </pic:pic>
                    </a:graphicData>
                  </a:graphic>
                </wp:inline>
              </w:drawing>
            </w:r>
          </w:p>
        </w:tc>
      </w:tr>
    </w:tbl>
    <w:p>
      <w:pPr>
        <w:spacing w:before="132" w:line="222" w:lineRule="auto"/>
        <w:ind w:left="17"/>
        <w:outlineLvl w:val="3"/>
        <w:rPr>
          <w:rFonts w:ascii="黑体" w:hAnsi="黑体" w:eastAsia="黑体" w:cs="黑体"/>
          <w:sz w:val="22"/>
          <w:szCs w:val="22"/>
        </w:rPr>
      </w:pPr>
      <w:r>
        <w:rPr>
          <w:rFonts w:ascii="Times New Roman" w:hAnsi="Times New Roman" w:eastAsia="Times New Roman" w:cs="Times New Roman"/>
          <w:spacing w:val="-2"/>
          <w:sz w:val="22"/>
          <w:szCs w:val="22"/>
        </w:rPr>
        <w:t xml:space="preserve">1.7.2   </w:t>
      </w:r>
      <w:r>
        <w:rPr>
          <w:rFonts w:ascii="Times New Roman" w:hAnsi="Times New Roman" w:eastAsia="Times New Roman" w:cs="Times New Roman"/>
          <w:spacing w:val="-1"/>
          <w:sz w:val="22"/>
          <w:szCs w:val="22"/>
        </w:rPr>
        <w:t xml:space="preserve"> </w:t>
      </w:r>
      <w:r>
        <w:rPr>
          <w:rFonts w:ascii="黑体" w:hAnsi="黑体" w:eastAsia="黑体" w:cs="黑体"/>
          <w:spacing w:val="-1"/>
          <w:sz w:val="22"/>
          <w:szCs w:val="22"/>
        </w:rPr>
        <w:t>环境质量控制目标</w:t>
      </w:r>
    </w:p>
    <w:p>
      <w:pPr>
        <w:spacing w:before="144" w:line="333" w:lineRule="auto"/>
        <w:ind w:left="3273" w:right="600" w:hanging="2847"/>
        <w:rPr>
          <w:rFonts w:ascii="黑体" w:hAnsi="黑体" w:eastAsia="黑体" w:cs="黑体"/>
          <w:sz w:val="19"/>
          <w:szCs w:val="19"/>
        </w:rPr>
      </w:pPr>
      <w:r>
        <w:rPr>
          <w:rFonts w:ascii="宋体" w:hAnsi="宋体" w:eastAsia="宋体" w:cs="宋体"/>
          <w:spacing w:val="5"/>
          <w:sz w:val="20"/>
          <w:szCs w:val="20"/>
        </w:rPr>
        <w:t>营运期桥梁红线两侧执行《声环境质量标准》  (</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3096-2008</w:t>
      </w:r>
      <w:r>
        <w:rPr>
          <w:rFonts w:ascii="宋体" w:hAnsi="宋体" w:eastAsia="宋体" w:cs="宋体"/>
          <w:spacing w:val="5"/>
          <w:sz w:val="20"/>
          <w:szCs w:val="20"/>
        </w:rPr>
        <w:t xml:space="preserve">) </w:t>
      </w:r>
      <w:r>
        <w:rPr>
          <w:rFonts w:ascii="Times New Roman" w:hAnsi="Times New Roman" w:eastAsia="Times New Roman" w:cs="Times New Roman"/>
          <w:spacing w:val="5"/>
          <w:sz w:val="20"/>
          <w:szCs w:val="20"/>
        </w:rPr>
        <w:t>4</w:t>
      </w:r>
      <w:r>
        <w:rPr>
          <w:rFonts w:ascii="Times New Roman" w:hAnsi="Times New Roman" w:eastAsia="Times New Roman" w:cs="Times New Roman"/>
          <w:sz w:val="20"/>
          <w:szCs w:val="20"/>
        </w:rPr>
        <w:t>a</w:t>
      </w:r>
      <w:r>
        <w:rPr>
          <w:rFonts w:ascii="宋体" w:hAnsi="宋体" w:eastAsia="宋体" w:cs="宋体"/>
          <w:spacing w:val="5"/>
          <w:sz w:val="20"/>
          <w:szCs w:val="20"/>
        </w:rPr>
        <w:t>类、</w:t>
      </w:r>
      <w:r>
        <w:rPr>
          <w:rFonts w:ascii="Times New Roman" w:hAnsi="Times New Roman" w:eastAsia="Times New Roman" w:cs="Times New Roman"/>
          <w:spacing w:val="5"/>
          <w:sz w:val="20"/>
          <w:szCs w:val="20"/>
        </w:rPr>
        <w:t>2</w:t>
      </w:r>
      <w:r>
        <w:rPr>
          <w:rFonts w:ascii="宋体" w:hAnsi="宋体" w:eastAsia="宋体" w:cs="宋体"/>
          <w:spacing w:val="5"/>
          <w:sz w:val="20"/>
          <w:szCs w:val="20"/>
        </w:rPr>
        <w:t>类标准要求</w:t>
      </w:r>
      <w:r>
        <w:rPr>
          <w:rFonts w:ascii="宋体" w:hAnsi="宋体" w:eastAsia="宋体" w:cs="宋体"/>
          <w:spacing w:val="4"/>
          <w:sz w:val="20"/>
          <w:szCs w:val="20"/>
        </w:rPr>
        <w:t>。</w:t>
      </w:r>
      <w:r>
        <w:rPr>
          <w:rFonts w:ascii="宋体" w:hAnsi="宋体" w:eastAsia="宋体" w:cs="宋体"/>
          <w:sz w:val="20"/>
          <w:szCs w:val="20"/>
        </w:rPr>
        <w:t xml:space="preserve"> </w:t>
      </w: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5    </w:t>
      </w:r>
      <w:r>
        <w:rPr>
          <w:rFonts w:ascii="黑体" w:hAnsi="黑体" w:eastAsia="黑体" w:cs="黑体"/>
          <w:spacing w:val="7"/>
          <w:sz w:val="19"/>
          <w:szCs w:val="19"/>
        </w:rPr>
        <w:t>声环境质量标准限值</w:t>
      </w:r>
    </w:p>
    <w:p>
      <w:pPr>
        <w:sectPr>
          <w:footerReference r:id="rId108" w:type="default"/>
          <w:pgSz w:w="11906" w:h="16839"/>
          <w:pgMar w:top="400" w:right="1586" w:bottom="1027" w:left="1539" w:header="0" w:footer="840" w:gutter="0"/>
          <w:cols w:space="720" w:num="1"/>
        </w:sectPr>
      </w:pPr>
    </w:p>
    <w:p/>
    <w:p/>
    <w:p/>
    <w:p/>
    <w:p/>
    <w:p>
      <w:pPr>
        <w:spacing w:line="115" w:lineRule="exact"/>
      </w:pPr>
    </w:p>
    <w:tbl>
      <w:tblPr>
        <w:tblStyle w:val="4"/>
        <w:tblW w:w="7943" w:type="dxa"/>
        <w:tblInd w:w="4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41"/>
        <w:gridCol w:w="1708"/>
        <w:gridCol w:w="1396"/>
        <w:gridCol w:w="12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3541" w:type="dxa"/>
            <w:vAlign w:val="top"/>
          </w:tcPr>
          <w:p>
            <w:pPr>
              <w:spacing w:before="107" w:line="229" w:lineRule="auto"/>
              <w:ind w:left="1414"/>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评价范围</w:t>
            </w:r>
          </w:p>
        </w:tc>
        <w:tc>
          <w:tcPr>
            <w:tcW w:w="1708" w:type="dxa"/>
            <w:vAlign w:val="top"/>
          </w:tcPr>
          <w:p>
            <w:pPr>
              <w:spacing w:before="108" w:line="230" w:lineRule="auto"/>
              <w:ind w:left="497"/>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标</w:t>
            </w:r>
            <w:r>
              <w:rPr>
                <w:rFonts w:ascii="宋体" w:hAnsi="宋体" w:eastAsia="宋体" w:cs="宋体"/>
                <w:spacing w:val="8"/>
                <w:sz w:val="17"/>
                <w:szCs w:val="17"/>
                <w14:textOutline w14:w="3268" w14:cap="sq" w14:cmpd="sng">
                  <w14:solidFill>
                    <w14:srgbClr w14:val="000000"/>
                  </w14:solidFill>
                  <w14:prstDash w14:val="solid"/>
                  <w14:bevel/>
                </w14:textOutline>
              </w:rPr>
              <w:t>准类别</w:t>
            </w:r>
          </w:p>
        </w:tc>
        <w:tc>
          <w:tcPr>
            <w:tcW w:w="1396" w:type="dxa"/>
            <w:vAlign w:val="top"/>
          </w:tcPr>
          <w:p>
            <w:pPr>
              <w:spacing w:before="108" w:line="233" w:lineRule="auto"/>
              <w:ind w:left="523"/>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昼</w:t>
            </w:r>
            <w:r>
              <w:rPr>
                <w:rFonts w:ascii="宋体" w:hAnsi="宋体" w:eastAsia="宋体" w:cs="宋体"/>
                <w:spacing w:val="6"/>
                <w:sz w:val="17"/>
                <w:szCs w:val="17"/>
                <w14:textOutline w14:w="3268" w14:cap="sq" w14:cmpd="sng">
                  <w14:solidFill>
                    <w14:srgbClr w14:val="000000"/>
                  </w14:solidFill>
                  <w14:prstDash w14:val="solid"/>
                  <w14:bevel/>
                </w14:textOutline>
              </w:rPr>
              <w:t>间</w:t>
            </w:r>
          </w:p>
        </w:tc>
        <w:tc>
          <w:tcPr>
            <w:tcW w:w="1298" w:type="dxa"/>
            <w:vAlign w:val="top"/>
          </w:tcPr>
          <w:p>
            <w:pPr>
              <w:spacing w:before="108" w:line="230" w:lineRule="auto"/>
              <w:ind w:left="475"/>
              <w:rPr>
                <w:rFonts w:ascii="宋体" w:hAnsi="宋体" w:eastAsia="宋体" w:cs="宋体"/>
                <w:sz w:val="17"/>
                <w:szCs w:val="17"/>
              </w:rPr>
            </w:pPr>
            <w:r>
              <w:rPr>
                <w:rFonts w:ascii="宋体" w:hAnsi="宋体" w:eastAsia="宋体" w:cs="宋体"/>
                <w:spacing w:val="5"/>
                <w:sz w:val="17"/>
                <w:szCs w:val="17"/>
                <w14:textOutline w14:w="3268" w14:cap="sq" w14:cmpd="sng">
                  <w14:solidFill>
                    <w14:srgbClr w14:val="000000"/>
                  </w14:solidFill>
                  <w14:prstDash w14:val="solid"/>
                  <w14:bevel/>
                </w14:textOutline>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3541" w:type="dxa"/>
            <w:vAlign w:val="top"/>
          </w:tcPr>
          <w:p>
            <w:pPr>
              <w:spacing w:before="105" w:line="230" w:lineRule="auto"/>
              <w:ind w:left="831"/>
              <w:rPr>
                <w:rFonts w:ascii="宋体" w:hAnsi="宋体" w:eastAsia="宋体" w:cs="宋体"/>
                <w:sz w:val="17"/>
                <w:szCs w:val="17"/>
              </w:rPr>
            </w:pPr>
            <w:r>
              <w:rPr>
                <w:rFonts w:ascii="宋体" w:hAnsi="宋体" w:eastAsia="宋体" w:cs="宋体"/>
                <w:spacing w:val="6"/>
                <w:sz w:val="17"/>
                <w:szCs w:val="17"/>
              </w:rPr>
              <w:t>桥</w:t>
            </w:r>
            <w:r>
              <w:rPr>
                <w:rFonts w:ascii="宋体" w:hAnsi="宋体" w:eastAsia="宋体" w:cs="宋体"/>
                <w:spacing w:val="4"/>
                <w:sz w:val="17"/>
                <w:szCs w:val="17"/>
              </w:rPr>
              <w:t xml:space="preserve">梁两侧 </w:t>
            </w:r>
            <w:r>
              <w:rPr>
                <w:rFonts w:ascii="Times New Roman" w:hAnsi="Times New Roman" w:eastAsia="Times New Roman" w:cs="Times New Roman"/>
                <w:spacing w:val="4"/>
                <w:sz w:val="17"/>
                <w:szCs w:val="17"/>
              </w:rPr>
              <w:t xml:space="preserve">35 </w:t>
            </w:r>
            <w:r>
              <w:rPr>
                <w:rFonts w:ascii="宋体" w:hAnsi="宋体" w:eastAsia="宋体" w:cs="宋体"/>
                <w:spacing w:val="4"/>
                <w:sz w:val="17"/>
                <w:szCs w:val="17"/>
              </w:rPr>
              <w:t>米范围以外</w:t>
            </w:r>
          </w:p>
        </w:tc>
        <w:tc>
          <w:tcPr>
            <w:tcW w:w="1708" w:type="dxa"/>
            <w:vAlign w:val="top"/>
          </w:tcPr>
          <w:p>
            <w:pPr>
              <w:spacing w:before="105" w:line="230" w:lineRule="auto"/>
              <w:ind w:left="697"/>
              <w:rPr>
                <w:rFonts w:ascii="宋体" w:hAnsi="宋体" w:eastAsia="宋体" w:cs="宋体"/>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4"/>
                <w:sz w:val="17"/>
                <w:szCs w:val="17"/>
              </w:rPr>
              <w:t xml:space="preserve"> </w:t>
            </w:r>
            <w:r>
              <w:rPr>
                <w:rFonts w:ascii="宋体" w:hAnsi="宋体" w:eastAsia="宋体" w:cs="宋体"/>
                <w:spacing w:val="4"/>
                <w:sz w:val="17"/>
                <w:szCs w:val="17"/>
              </w:rPr>
              <w:t>类</w:t>
            </w:r>
          </w:p>
        </w:tc>
        <w:tc>
          <w:tcPr>
            <w:tcW w:w="1396" w:type="dxa"/>
            <w:vAlign w:val="top"/>
          </w:tcPr>
          <w:p>
            <w:pPr>
              <w:spacing w:before="70" w:line="242" w:lineRule="exact"/>
              <w:ind w:left="383"/>
              <w:rPr>
                <w:rFonts w:ascii="Times New Roman" w:hAnsi="Times New Roman" w:eastAsia="Times New Roman" w:cs="Times New Roman"/>
                <w:sz w:val="17"/>
                <w:szCs w:val="17"/>
              </w:rPr>
            </w:pPr>
            <w:r>
              <w:rPr>
                <w:rFonts w:ascii="Times New Roman" w:hAnsi="Times New Roman" w:eastAsia="Times New Roman" w:cs="Times New Roman"/>
                <w:spacing w:val="8"/>
                <w:position w:val="3"/>
                <w:sz w:val="17"/>
                <w:szCs w:val="17"/>
              </w:rPr>
              <w:t>6</w:t>
            </w:r>
            <w:r>
              <w:rPr>
                <w:rFonts w:ascii="Times New Roman" w:hAnsi="Times New Roman" w:eastAsia="Times New Roman" w:cs="Times New Roman"/>
                <w:spacing w:val="6"/>
                <w:position w:val="3"/>
                <w:sz w:val="17"/>
                <w:szCs w:val="17"/>
              </w:rPr>
              <w:t>0</w:t>
            </w:r>
            <w:r>
              <w:rPr>
                <w:rFonts w:ascii="Times New Roman" w:hAnsi="Times New Roman" w:eastAsia="Times New Roman" w:cs="Times New Roman"/>
                <w:position w:val="3"/>
                <w:sz w:val="17"/>
                <w:szCs w:val="17"/>
              </w:rPr>
              <w:t>dB</w:t>
            </w:r>
            <w:r>
              <w:rPr>
                <w:rFonts w:ascii="Times New Roman" w:hAnsi="Times New Roman" w:eastAsia="Times New Roman" w:cs="Times New Roman"/>
                <w:spacing w:val="6"/>
                <w:position w:val="3"/>
                <w:sz w:val="17"/>
                <w:szCs w:val="17"/>
              </w:rPr>
              <w:t>(</w:t>
            </w:r>
            <w:r>
              <w:rPr>
                <w:rFonts w:ascii="Times New Roman" w:hAnsi="Times New Roman" w:eastAsia="Times New Roman" w:cs="Times New Roman"/>
                <w:position w:val="3"/>
                <w:sz w:val="17"/>
                <w:szCs w:val="17"/>
              </w:rPr>
              <w:t>A</w:t>
            </w:r>
            <w:r>
              <w:rPr>
                <w:rFonts w:ascii="Times New Roman" w:hAnsi="Times New Roman" w:eastAsia="Times New Roman" w:cs="Times New Roman"/>
                <w:spacing w:val="6"/>
                <w:position w:val="3"/>
                <w:sz w:val="17"/>
                <w:szCs w:val="17"/>
              </w:rPr>
              <w:t>)</w:t>
            </w:r>
          </w:p>
        </w:tc>
        <w:tc>
          <w:tcPr>
            <w:tcW w:w="1298" w:type="dxa"/>
            <w:vAlign w:val="top"/>
          </w:tcPr>
          <w:p>
            <w:pPr>
              <w:spacing w:before="70" w:line="242" w:lineRule="exact"/>
              <w:ind w:left="334"/>
              <w:rPr>
                <w:rFonts w:ascii="Times New Roman" w:hAnsi="Times New Roman" w:eastAsia="Times New Roman" w:cs="Times New Roman"/>
                <w:sz w:val="17"/>
                <w:szCs w:val="17"/>
              </w:rPr>
            </w:pPr>
            <w:r>
              <w:rPr>
                <w:rFonts w:ascii="Times New Roman" w:hAnsi="Times New Roman" w:eastAsia="Times New Roman" w:cs="Times New Roman"/>
                <w:spacing w:val="7"/>
                <w:position w:val="3"/>
                <w:sz w:val="17"/>
                <w:szCs w:val="17"/>
              </w:rPr>
              <w:t>5</w:t>
            </w:r>
            <w:r>
              <w:rPr>
                <w:rFonts w:ascii="Times New Roman" w:hAnsi="Times New Roman" w:eastAsia="Times New Roman" w:cs="Times New Roman"/>
                <w:spacing w:val="6"/>
                <w:position w:val="3"/>
                <w:sz w:val="17"/>
                <w:szCs w:val="17"/>
              </w:rPr>
              <w:t>0</w:t>
            </w:r>
            <w:r>
              <w:rPr>
                <w:rFonts w:ascii="Times New Roman" w:hAnsi="Times New Roman" w:eastAsia="Times New Roman" w:cs="Times New Roman"/>
                <w:position w:val="3"/>
                <w:sz w:val="17"/>
                <w:szCs w:val="17"/>
              </w:rPr>
              <w:t>dB</w:t>
            </w:r>
            <w:r>
              <w:rPr>
                <w:rFonts w:ascii="Times New Roman" w:hAnsi="Times New Roman" w:eastAsia="Times New Roman" w:cs="Times New Roman"/>
                <w:spacing w:val="6"/>
                <w:position w:val="3"/>
                <w:sz w:val="17"/>
                <w:szCs w:val="17"/>
              </w:rPr>
              <w:t>(</w:t>
            </w:r>
            <w:r>
              <w:rPr>
                <w:rFonts w:ascii="Times New Roman" w:hAnsi="Times New Roman" w:eastAsia="Times New Roman" w:cs="Times New Roman"/>
                <w:position w:val="3"/>
                <w:sz w:val="17"/>
                <w:szCs w:val="17"/>
              </w:rPr>
              <w:t>A</w:t>
            </w:r>
            <w:r>
              <w:rPr>
                <w:rFonts w:ascii="Times New Roman" w:hAnsi="Times New Roman" w:eastAsia="Times New Roman" w:cs="Times New Roman"/>
                <w:spacing w:val="6"/>
                <w:position w:val="3"/>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3541" w:type="dxa"/>
            <w:vAlign w:val="top"/>
          </w:tcPr>
          <w:p>
            <w:pPr>
              <w:spacing w:before="122" w:line="230" w:lineRule="auto"/>
              <w:ind w:left="831"/>
              <w:rPr>
                <w:rFonts w:ascii="宋体" w:hAnsi="宋体" w:eastAsia="宋体" w:cs="宋体"/>
                <w:sz w:val="17"/>
                <w:szCs w:val="17"/>
              </w:rPr>
            </w:pPr>
            <w:r>
              <w:rPr>
                <w:rFonts w:ascii="宋体" w:hAnsi="宋体" w:eastAsia="宋体" w:cs="宋体"/>
                <w:spacing w:val="6"/>
                <w:sz w:val="17"/>
                <w:szCs w:val="17"/>
              </w:rPr>
              <w:t>桥</w:t>
            </w:r>
            <w:r>
              <w:rPr>
                <w:rFonts w:ascii="宋体" w:hAnsi="宋体" w:eastAsia="宋体" w:cs="宋体"/>
                <w:spacing w:val="4"/>
                <w:sz w:val="17"/>
                <w:szCs w:val="17"/>
              </w:rPr>
              <w:t xml:space="preserve">梁两侧 </w:t>
            </w:r>
            <w:r>
              <w:rPr>
                <w:rFonts w:ascii="Times New Roman" w:hAnsi="Times New Roman" w:eastAsia="Times New Roman" w:cs="Times New Roman"/>
                <w:spacing w:val="4"/>
                <w:sz w:val="17"/>
                <w:szCs w:val="17"/>
              </w:rPr>
              <w:t xml:space="preserve">35 </w:t>
            </w:r>
            <w:r>
              <w:rPr>
                <w:rFonts w:ascii="宋体" w:hAnsi="宋体" w:eastAsia="宋体" w:cs="宋体"/>
                <w:spacing w:val="4"/>
                <w:sz w:val="17"/>
                <w:szCs w:val="17"/>
              </w:rPr>
              <w:t>米范围以内</w:t>
            </w:r>
          </w:p>
        </w:tc>
        <w:tc>
          <w:tcPr>
            <w:tcW w:w="1708" w:type="dxa"/>
            <w:vAlign w:val="top"/>
          </w:tcPr>
          <w:p>
            <w:pPr>
              <w:spacing w:before="122" w:line="230" w:lineRule="auto"/>
              <w:ind w:left="658"/>
              <w:rPr>
                <w:rFonts w:ascii="宋体" w:hAnsi="宋体" w:eastAsia="宋体" w:cs="宋体"/>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z w:val="17"/>
                <w:szCs w:val="17"/>
              </w:rPr>
              <w:t>a</w:t>
            </w:r>
            <w:r>
              <w:rPr>
                <w:rFonts w:ascii="Times New Roman" w:hAnsi="Times New Roman" w:eastAsia="Times New Roman" w:cs="Times New Roman"/>
                <w:spacing w:val="6"/>
                <w:sz w:val="17"/>
                <w:szCs w:val="17"/>
              </w:rPr>
              <w:t xml:space="preserve"> </w:t>
            </w:r>
            <w:r>
              <w:rPr>
                <w:rFonts w:ascii="宋体" w:hAnsi="宋体" w:eastAsia="宋体" w:cs="宋体"/>
                <w:spacing w:val="5"/>
                <w:sz w:val="17"/>
                <w:szCs w:val="17"/>
              </w:rPr>
              <w:t>类</w:t>
            </w:r>
          </w:p>
        </w:tc>
        <w:tc>
          <w:tcPr>
            <w:tcW w:w="1396" w:type="dxa"/>
            <w:vAlign w:val="top"/>
          </w:tcPr>
          <w:p>
            <w:pPr>
              <w:spacing w:before="87" w:line="242" w:lineRule="exact"/>
              <w:ind w:left="382"/>
              <w:rPr>
                <w:rFonts w:ascii="Times New Roman" w:hAnsi="Times New Roman" w:eastAsia="Times New Roman" w:cs="Times New Roman"/>
                <w:sz w:val="17"/>
                <w:szCs w:val="17"/>
              </w:rPr>
            </w:pPr>
            <w:r>
              <w:rPr>
                <w:rFonts w:ascii="Times New Roman" w:hAnsi="Times New Roman" w:eastAsia="Times New Roman" w:cs="Times New Roman"/>
                <w:spacing w:val="7"/>
                <w:position w:val="3"/>
                <w:sz w:val="17"/>
                <w:szCs w:val="17"/>
              </w:rPr>
              <w:t>70</w:t>
            </w:r>
            <w:r>
              <w:rPr>
                <w:rFonts w:ascii="Times New Roman" w:hAnsi="Times New Roman" w:eastAsia="Times New Roman" w:cs="Times New Roman"/>
                <w:position w:val="3"/>
                <w:sz w:val="17"/>
                <w:szCs w:val="17"/>
              </w:rPr>
              <w:t>dB</w:t>
            </w:r>
            <w:r>
              <w:rPr>
                <w:rFonts w:ascii="Times New Roman" w:hAnsi="Times New Roman" w:eastAsia="Times New Roman" w:cs="Times New Roman"/>
                <w:spacing w:val="7"/>
                <w:position w:val="3"/>
                <w:sz w:val="17"/>
                <w:szCs w:val="17"/>
              </w:rPr>
              <w:t>(</w:t>
            </w:r>
            <w:r>
              <w:rPr>
                <w:rFonts w:ascii="Times New Roman" w:hAnsi="Times New Roman" w:eastAsia="Times New Roman" w:cs="Times New Roman"/>
                <w:position w:val="3"/>
                <w:sz w:val="17"/>
                <w:szCs w:val="17"/>
              </w:rPr>
              <w:t>A</w:t>
            </w:r>
            <w:r>
              <w:rPr>
                <w:rFonts w:ascii="Times New Roman" w:hAnsi="Times New Roman" w:eastAsia="Times New Roman" w:cs="Times New Roman"/>
                <w:spacing w:val="6"/>
                <w:position w:val="3"/>
                <w:sz w:val="17"/>
                <w:szCs w:val="17"/>
              </w:rPr>
              <w:t>)</w:t>
            </w:r>
          </w:p>
        </w:tc>
        <w:tc>
          <w:tcPr>
            <w:tcW w:w="1298" w:type="dxa"/>
            <w:vAlign w:val="top"/>
          </w:tcPr>
          <w:p>
            <w:pPr>
              <w:spacing w:before="87" w:line="242" w:lineRule="exact"/>
              <w:ind w:left="334"/>
              <w:rPr>
                <w:rFonts w:ascii="Times New Roman" w:hAnsi="Times New Roman" w:eastAsia="Times New Roman" w:cs="Times New Roman"/>
                <w:sz w:val="17"/>
                <w:szCs w:val="17"/>
              </w:rPr>
            </w:pPr>
            <w:r>
              <w:rPr>
                <w:rFonts w:ascii="Times New Roman" w:hAnsi="Times New Roman" w:eastAsia="Times New Roman" w:cs="Times New Roman"/>
                <w:spacing w:val="7"/>
                <w:position w:val="3"/>
                <w:sz w:val="17"/>
                <w:szCs w:val="17"/>
              </w:rPr>
              <w:t>5</w:t>
            </w:r>
            <w:r>
              <w:rPr>
                <w:rFonts w:ascii="Times New Roman" w:hAnsi="Times New Roman" w:eastAsia="Times New Roman" w:cs="Times New Roman"/>
                <w:spacing w:val="6"/>
                <w:position w:val="3"/>
                <w:sz w:val="17"/>
                <w:szCs w:val="17"/>
              </w:rPr>
              <w:t>5</w:t>
            </w:r>
            <w:r>
              <w:rPr>
                <w:rFonts w:ascii="Times New Roman" w:hAnsi="Times New Roman" w:eastAsia="Times New Roman" w:cs="Times New Roman"/>
                <w:position w:val="3"/>
                <w:sz w:val="17"/>
                <w:szCs w:val="17"/>
              </w:rPr>
              <w:t>dB</w:t>
            </w:r>
            <w:r>
              <w:rPr>
                <w:rFonts w:ascii="Times New Roman" w:hAnsi="Times New Roman" w:eastAsia="Times New Roman" w:cs="Times New Roman"/>
                <w:spacing w:val="6"/>
                <w:position w:val="3"/>
                <w:sz w:val="17"/>
                <w:szCs w:val="17"/>
              </w:rPr>
              <w:t>(</w:t>
            </w:r>
            <w:r>
              <w:rPr>
                <w:rFonts w:ascii="Times New Roman" w:hAnsi="Times New Roman" w:eastAsia="Times New Roman" w:cs="Times New Roman"/>
                <w:position w:val="3"/>
                <w:sz w:val="17"/>
                <w:szCs w:val="17"/>
              </w:rPr>
              <w:t>A</w:t>
            </w:r>
            <w:r>
              <w:rPr>
                <w:rFonts w:ascii="Times New Roman" w:hAnsi="Times New Roman" w:eastAsia="Times New Roman" w:cs="Times New Roman"/>
                <w:spacing w:val="6"/>
                <w:position w:val="3"/>
                <w:sz w:val="17"/>
                <w:szCs w:val="17"/>
              </w:rPr>
              <w:t>)</w:t>
            </w:r>
          </w:p>
        </w:tc>
      </w:tr>
    </w:tbl>
    <w:p>
      <w:pPr>
        <w:spacing w:before="146" w:line="230" w:lineRule="auto"/>
        <w:ind w:left="19"/>
        <w:outlineLvl w:val="2"/>
        <w:rPr>
          <w:rFonts w:ascii="黑体" w:hAnsi="黑体" w:eastAsia="黑体" w:cs="黑体"/>
          <w:sz w:val="23"/>
          <w:szCs w:val="23"/>
        </w:rPr>
      </w:pPr>
      <w:bookmarkStart w:id="15" w:name="_bookmark16"/>
      <w:bookmarkEnd w:id="15"/>
      <w:r>
        <w:rPr>
          <w:rFonts w:ascii="Times New Roman" w:hAnsi="Times New Roman" w:eastAsia="Times New Roman" w:cs="Times New Roman"/>
          <w:spacing w:val="10"/>
          <w:sz w:val="23"/>
          <w:szCs w:val="23"/>
        </w:rPr>
        <w:t>1</w:t>
      </w:r>
      <w:r>
        <w:rPr>
          <w:rFonts w:ascii="Times New Roman" w:hAnsi="Times New Roman" w:eastAsia="Times New Roman" w:cs="Times New Roman"/>
          <w:spacing w:val="9"/>
          <w:sz w:val="23"/>
          <w:szCs w:val="23"/>
        </w:rPr>
        <w:t>.</w:t>
      </w:r>
      <w:r>
        <w:rPr>
          <w:rFonts w:ascii="Times New Roman" w:hAnsi="Times New Roman" w:eastAsia="Times New Roman" w:cs="Times New Roman"/>
          <w:spacing w:val="5"/>
          <w:sz w:val="23"/>
          <w:szCs w:val="23"/>
        </w:rPr>
        <w:t xml:space="preserve">8  </w:t>
      </w:r>
      <w:r>
        <w:rPr>
          <w:rFonts w:ascii="黑体" w:hAnsi="黑体" w:eastAsia="黑体" w:cs="黑体"/>
          <w:spacing w:val="5"/>
          <w:sz w:val="23"/>
          <w:szCs w:val="23"/>
        </w:rPr>
        <w:t>评价内容与评价重点</w:t>
      </w:r>
    </w:p>
    <w:p>
      <w:pPr>
        <w:spacing w:before="138" w:line="222" w:lineRule="auto"/>
        <w:ind w:left="17"/>
        <w:outlineLvl w:val="3"/>
        <w:rPr>
          <w:rFonts w:ascii="黑体" w:hAnsi="黑体" w:eastAsia="黑体" w:cs="黑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5"/>
          <w:sz w:val="22"/>
          <w:szCs w:val="22"/>
        </w:rPr>
        <w:t xml:space="preserve">8. 1    </w:t>
      </w:r>
      <w:r>
        <w:rPr>
          <w:rFonts w:ascii="黑体" w:hAnsi="黑体" w:eastAsia="黑体" w:cs="黑体"/>
          <w:spacing w:val="-5"/>
          <w:sz w:val="22"/>
          <w:szCs w:val="22"/>
        </w:rPr>
        <w:t>评价内容</w:t>
      </w:r>
    </w:p>
    <w:p>
      <w:pPr>
        <w:spacing w:before="144" w:line="365" w:lineRule="auto"/>
        <w:ind w:right="2" w:firstLine="418"/>
        <w:rPr>
          <w:rFonts w:ascii="宋体" w:hAnsi="宋体" w:eastAsia="宋体" w:cs="宋体"/>
          <w:sz w:val="20"/>
          <w:szCs w:val="20"/>
        </w:rPr>
      </w:pPr>
      <w:r>
        <w:rPr>
          <w:rFonts w:ascii="宋体" w:hAnsi="宋体" w:eastAsia="宋体" w:cs="宋体"/>
          <w:spacing w:val="20"/>
          <w:sz w:val="20"/>
          <w:szCs w:val="20"/>
        </w:rPr>
        <w:t>在</w:t>
      </w:r>
      <w:r>
        <w:rPr>
          <w:rFonts w:ascii="宋体" w:hAnsi="宋体" w:eastAsia="宋体" w:cs="宋体"/>
          <w:spacing w:val="14"/>
          <w:sz w:val="20"/>
          <w:szCs w:val="20"/>
        </w:rPr>
        <w:t>针</w:t>
      </w:r>
      <w:r>
        <w:rPr>
          <w:rFonts w:ascii="宋体" w:hAnsi="宋体" w:eastAsia="宋体" w:cs="宋体"/>
          <w:spacing w:val="10"/>
          <w:sz w:val="20"/>
          <w:szCs w:val="20"/>
        </w:rPr>
        <w:t>对拟建桥梁声环境质量现状监测和评价的基础上，按相应规范和国家声环境质量标准的</w:t>
      </w:r>
      <w:r>
        <w:rPr>
          <w:rFonts w:ascii="宋体" w:hAnsi="宋体" w:eastAsia="宋体" w:cs="宋体"/>
          <w:sz w:val="20"/>
          <w:szCs w:val="20"/>
        </w:rPr>
        <w:t xml:space="preserve"> </w:t>
      </w:r>
      <w:r>
        <w:rPr>
          <w:rFonts w:ascii="宋体" w:hAnsi="宋体" w:eastAsia="宋体" w:cs="宋体"/>
          <w:spacing w:val="18"/>
          <w:sz w:val="20"/>
          <w:szCs w:val="20"/>
        </w:rPr>
        <w:t>要求</w:t>
      </w:r>
      <w:r>
        <w:rPr>
          <w:rFonts w:ascii="宋体" w:hAnsi="宋体" w:eastAsia="宋体" w:cs="宋体"/>
          <w:spacing w:val="10"/>
          <w:sz w:val="20"/>
          <w:szCs w:val="20"/>
        </w:rPr>
        <w:t>进</w:t>
      </w:r>
      <w:r>
        <w:rPr>
          <w:rFonts w:ascii="宋体" w:hAnsi="宋体" w:eastAsia="宋体" w:cs="宋体"/>
          <w:spacing w:val="9"/>
          <w:sz w:val="20"/>
          <w:szCs w:val="20"/>
        </w:rPr>
        <w:t>行环境影响预测评价和对比分析，为施工期和营运期噪声治理和环境管理提供依据。</w:t>
      </w:r>
    </w:p>
    <w:p>
      <w:pPr>
        <w:spacing w:line="222" w:lineRule="auto"/>
        <w:ind w:left="17"/>
        <w:outlineLvl w:val="3"/>
        <w:rPr>
          <w:rFonts w:ascii="黑体" w:hAnsi="黑体" w:eastAsia="黑体" w:cs="黑体"/>
          <w:sz w:val="22"/>
          <w:szCs w:val="22"/>
        </w:rPr>
      </w:pPr>
      <w:r>
        <w:rPr>
          <w:rFonts w:ascii="Times New Roman" w:hAnsi="Times New Roman" w:eastAsia="Times New Roman" w:cs="Times New Roman"/>
          <w:spacing w:val="-2"/>
          <w:sz w:val="22"/>
          <w:szCs w:val="22"/>
        </w:rPr>
        <w:t xml:space="preserve">1.8.2    </w:t>
      </w:r>
      <w:r>
        <w:rPr>
          <w:rFonts w:ascii="黑体" w:hAnsi="黑体" w:eastAsia="黑体" w:cs="黑体"/>
          <w:spacing w:val="-2"/>
          <w:sz w:val="22"/>
          <w:szCs w:val="22"/>
        </w:rPr>
        <w:t>评价重</w:t>
      </w:r>
      <w:r>
        <w:rPr>
          <w:rFonts w:ascii="黑体" w:hAnsi="黑体" w:eastAsia="黑体" w:cs="黑体"/>
          <w:spacing w:val="-1"/>
          <w:sz w:val="22"/>
          <w:szCs w:val="22"/>
        </w:rPr>
        <w:t>点</w:t>
      </w:r>
    </w:p>
    <w:p>
      <w:pPr>
        <w:spacing w:before="144" w:line="379" w:lineRule="auto"/>
        <w:ind w:right="2" w:firstLine="420"/>
        <w:rPr>
          <w:rFonts w:ascii="宋体" w:hAnsi="宋体" w:eastAsia="宋体" w:cs="宋体"/>
          <w:sz w:val="20"/>
          <w:szCs w:val="20"/>
        </w:rPr>
      </w:pPr>
      <w:r>
        <w:rPr>
          <w:rFonts w:ascii="宋体" w:hAnsi="宋体" w:eastAsia="宋体" w:cs="宋体"/>
          <w:spacing w:val="20"/>
          <w:sz w:val="20"/>
          <w:szCs w:val="20"/>
        </w:rPr>
        <w:t>根</w:t>
      </w:r>
      <w:r>
        <w:rPr>
          <w:rFonts w:ascii="宋体" w:hAnsi="宋体" w:eastAsia="宋体" w:cs="宋体"/>
          <w:spacing w:val="13"/>
          <w:sz w:val="20"/>
          <w:szCs w:val="20"/>
        </w:rPr>
        <w:t>据</w:t>
      </w:r>
      <w:r>
        <w:rPr>
          <w:rFonts w:ascii="宋体" w:hAnsi="宋体" w:eastAsia="宋体" w:cs="宋体"/>
          <w:spacing w:val="10"/>
          <w:sz w:val="20"/>
          <w:szCs w:val="20"/>
        </w:rPr>
        <w:t>现场踏勘情况，结合本项目的工程及环境特点，确定本次环境评价工作重点为项目对声</w:t>
      </w:r>
      <w:r>
        <w:rPr>
          <w:rFonts w:ascii="宋体" w:hAnsi="宋体" w:eastAsia="宋体" w:cs="宋体"/>
          <w:sz w:val="20"/>
          <w:szCs w:val="20"/>
        </w:rPr>
        <w:t xml:space="preserve"> </w:t>
      </w:r>
      <w:r>
        <w:rPr>
          <w:rFonts w:ascii="宋体" w:hAnsi="宋体" w:eastAsia="宋体" w:cs="宋体"/>
          <w:spacing w:val="18"/>
          <w:sz w:val="20"/>
          <w:szCs w:val="20"/>
        </w:rPr>
        <w:t>环境</w:t>
      </w:r>
      <w:r>
        <w:rPr>
          <w:rFonts w:ascii="宋体" w:hAnsi="宋体" w:eastAsia="宋体" w:cs="宋体"/>
          <w:spacing w:val="13"/>
          <w:sz w:val="20"/>
          <w:szCs w:val="20"/>
        </w:rPr>
        <w:t>保</w:t>
      </w:r>
      <w:r>
        <w:rPr>
          <w:rFonts w:ascii="宋体" w:hAnsi="宋体" w:eastAsia="宋体" w:cs="宋体"/>
          <w:spacing w:val="9"/>
          <w:sz w:val="20"/>
          <w:szCs w:val="20"/>
        </w:rPr>
        <w:t>护目标的影响，并针对可能产生的影响提出有效、可行的避让、减缓、保护等防护措施。</w:t>
      </w:r>
    </w:p>
    <w:p>
      <w:pPr>
        <w:sectPr>
          <w:footerReference r:id="rId109" w:type="default"/>
          <w:pgSz w:w="11906" w:h="16839"/>
          <w:pgMar w:top="400" w:right="1530" w:bottom="1024" w:left="1539" w:header="0" w:footer="840" w:gutter="0"/>
          <w:cols w:space="720" w:num="1"/>
        </w:sect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94" w:line="228" w:lineRule="auto"/>
        <w:ind w:left="145"/>
        <w:outlineLvl w:val="1"/>
        <w:rPr>
          <w:rFonts w:ascii="黑体" w:hAnsi="黑体" w:eastAsia="黑体" w:cs="黑体"/>
          <w:sz w:val="29"/>
          <w:szCs w:val="29"/>
        </w:rPr>
      </w:pPr>
      <w:bookmarkStart w:id="16" w:name="_bookmark17"/>
      <w:bookmarkEnd w:id="16"/>
      <w:r>
        <w:rPr>
          <w:rFonts w:ascii="Times New Roman" w:hAnsi="Times New Roman" w:eastAsia="Times New Roman" w:cs="Times New Roman"/>
          <w:spacing w:val="14"/>
          <w:sz w:val="29"/>
          <w:szCs w:val="29"/>
        </w:rPr>
        <w:t>2</w:t>
      </w:r>
      <w:r>
        <w:rPr>
          <w:rFonts w:ascii="Times New Roman" w:hAnsi="Times New Roman" w:eastAsia="Times New Roman" w:cs="Times New Roman"/>
          <w:spacing w:val="11"/>
          <w:sz w:val="29"/>
          <w:szCs w:val="29"/>
        </w:rPr>
        <w:t xml:space="preserve">   </w:t>
      </w:r>
      <w:r>
        <w:rPr>
          <w:rFonts w:ascii="黑体" w:hAnsi="黑体" w:eastAsia="黑体" w:cs="黑体"/>
          <w:spacing w:val="11"/>
          <w:sz w:val="29"/>
          <w:szCs w:val="29"/>
        </w:rPr>
        <w:t>工程分析</w:t>
      </w:r>
    </w:p>
    <w:p>
      <w:pPr>
        <w:spacing w:line="427" w:lineRule="auto"/>
        <w:rPr>
          <w:rFonts w:ascii="Arial"/>
          <w:sz w:val="21"/>
        </w:rPr>
      </w:pPr>
    </w:p>
    <w:p>
      <w:pPr>
        <w:spacing w:before="74" w:line="229" w:lineRule="auto"/>
        <w:ind w:left="144"/>
        <w:outlineLvl w:val="2"/>
        <w:rPr>
          <w:rFonts w:ascii="黑体" w:hAnsi="黑体" w:eastAsia="黑体" w:cs="黑体"/>
          <w:sz w:val="23"/>
          <w:szCs w:val="23"/>
        </w:rPr>
      </w:pPr>
      <w:bookmarkStart w:id="17" w:name="_bookmark18"/>
      <w:bookmarkEnd w:id="17"/>
      <w:r>
        <w:rPr>
          <w:rFonts w:ascii="Times New Roman" w:hAnsi="Times New Roman" w:eastAsia="Times New Roman" w:cs="Times New Roman"/>
          <w:spacing w:val="-1"/>
          <w:sz w:val="23"/>
          <w:szCs w:val="23"/>
        </w:rPr>
        <w:t xml:space="preserve">2. 1  </w:t>
      </w:r>
      <w:r>
        <w:rPr>
          <w:rFonts w:ascii="黑体" w:hAnsi="黑体" w:eastAsia="黑体" w:cs="黑体"/>
          <w:sz w:val="23"/>
          <w:szCs w:val="23"/>
        </w:rPr>
        <w:t>项目概况</w:t>
      </w:r>
    </w:p>
    <w:p>
      <w:pPr>
        <w:spacing w:before="146" w:line="401" w:lineRule="exact"/>
        <w:ind w:left="571"/>
        <w:rPr>
          <w:rFonts w:ascii="宋体" w:hAnsi="宋体" w:eastAsia="宋体" w:cs="宋体"/>
          <w:sz w:val="20"/>
          <w:szCs w:val="20"/>
        </w:rPr>
      </w:pPr>
      <w:r>
        <w:rPr>
          <w:rFonts w:ascii="宋体" w:hAnsi="宋体" w:eastAsia="宋体" w:cs="宋体"/>
          <w:spacing w:val="15"/>
          <w:position w:val="14"/>
          <w:sz w:val="20"/>
          <w:szCs w:val="20"/>
          <w14:textOutline w14:w="3795" w14:cap="sq" w14:cmpd="sng">
            <w14:solidFill>
              <w14:srgbClr w14:val="000000"/>
            </w14:solidFill>
            <w14:prstDash w14:val="solid"/>
            <w14:bevel/>
          </w14:textOutline>
        </w:rPr>
        <w:t>项</w:t>
      </w:r>
      <w:r>
        <w:rPr>
          <w:rFonts w:ascii="宋体" w:hAnsi="宋体" w:eastAsia="宋体" w:cs="宋体"/>
          <w:spacing w:val="9"/>
          <w:position w:val="14"/>
          <w:sz w:val="20"/>
          <w:szCs w:val="20"/>
          <w14:textOutline w14:w="3795" w14:cap="sq" w14:cmpd="sng">
            <w14:solidFill>
              <w14:srgbClr w14:val="000000"/>
            </w14:solidFill>
            <w14:prstDash w14:val="solid"/>
            <w14:bevel/>
          </w14:textOutline>
        </w:rPr>
        <w:t>目名称</w:t>
      </w:r>
      <w:r>
        <w:rPr>
          <w:rFonts w:ascii="宋体" w:hAnsi="宋体" w:eastAsia="宋体" w:cs="宋体"/>
          <w:spacing w:val="9"/>
          <w:position w:val="14"/>
          <w:sz w:val="20"/>
          <w:szCs w:val="20"/>
        </w:rPr>
        <w:t>：达州市高家坝大桥建设项目</w:t>
      </w:r>
    </w:p>
    <w:p>
      <w:pPr>
        <w:spacing w:line="228" w:lineRule="auto"/>
        <w:ind w:left="570"/>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建</w:t>
      </w:r>
      <w:r>
        <w:rPr>
          <w:rFonts w:ascii="宋体" w:hAnsi="宋体" w:eastAsia="宋体" w:cs="宋体"/>
          <w:spacing w:val="9"/>
          <w:sz w:val="20"/>
          <w:szCs w:val="20"/>
          <w14:textOutline w14:w="3795" w14:cap="sq" w14:cmpd="sng">
            <w14:solidFill>
              <w14:srgbClr w14:val="000000"/>
            </w14:solidFill>
            <w14:prstDash w14:val="solid"/>
            <w14:bevel/>
          </w14:textOutline>
        </w:rPr>
        <w:t>设单位</w:t>
      </w:r>
      <w:r>
        <w:rPr>
          <w:rFonts w:ascii="宋体" w:hAnsi="宋体" w:eastAsia="宋体" w:cs="宋体"/>
          <w:spacing w:val="9"/>
          <w:sz w:val="20"/>
          <w:szCs w:val="20"/>
        </w:rPr>
        <w:t>：达州市重点工程建设管理中心</w:t>
      </w:r>
    </w:p>
    <w:p>
      <w:pPr>
        <w:spacing w:before="154" w:line="398" w:lineRule="exact"/>
        <w:ind w:left="570"/>
        <w:rPr>
          <w:rFonts w:ascii="宋体" w:hAnsi="宋体" w:eastAsia="宋体" w:cs="宋体"/>
          <w:sz w:val="20"/>
          <w:szCs w:val="20"/>
        </w:rPr>
      </w:pPr>
      <w:r>
        <w:rPr>
          <w:rFonts w:ascii="宋体" w:hAnsi="宋体" w:eastAsia="宋体" w:cs="宋体"/>
          <w:spacing w:val="18"/>
          <w:position w:val="14"/>
          <w:sz w:val="20"/>
          <w:szCs w:val="20"/>
          <w14:textOutline w14:w="3795" w14:cap="sq" w14:cmpd="sng">
            <w14:solidFill>
              <w14:srgbClr w14:val="000000"/>
            </w14:solidFill>
            <w14:prstDash w14:val="solid"/>
            <w14:bevel/>
          </w14:textOutline>
        </w:rPr>
        <w:t>建设</w:t>
      </w:r>
      <w:r>
        <w:rPr>
          <w:rFonts w:ascii="宋体" w:hAnsi="宋体" w:eastAsia="宋体" w:cs="宋体"/>
          <w:spacing w:val="10"/>
          <w:position w:val="14"/>
          <w:sz w:val="20"/>
          <w:szCs w:val="20"/>
          <w14:textOutline w14:w="3795" w14:cap="sq" w14:cmpd="sng">
            <w14:solidFill>
              <w14:srgbClr w14:val="000000"/>
            </w14:solidFill>
            <w14:prstDash w14:val="solid"/>
            <w14:bevel/>
          </w14:textOutline>
        </w:rPr>
        <w:t>地</w:t>
      </w:r>
      <w:r>
        <w:rPr>
          <w:rFonts w:ascii="宋体" w:hAnsi="宋体" w:eastAsia="宋体" w:cs="宋体"/>
          <w:spacing w:val="9"/>
          <w:position w:val="14"/>
          <w:sz w:val="20"/>
          <w:szCs w:val="20"/>
          <w14:textOutline w14:w="3795" w14:cap="sq" w14:cmpd="sng">
            <w14:solidFill>
              <w14:srgbClr w14:val="000000"/>
            </w14:solidFill>
            <w14:prstDash w14:val="solid"/>
            <w14:bevel/>
          </w14:textOutline>
        </w:rPr>
        <w:t>点</w:t>
      </w:r>
      <w:r>
        <w:rPr>
          <w:rFonts w:ascii="宋体" w:hAnsi="宋体" w:eastAsia="宋体" w:cs="宋体"/>
          <w:spacing w:val="9"/>
          <w:position w:val="14"/>
          <w:sz w:val="20"/>
          <w:szCs w:val="20"/>
        </w:rPr>
        <w:t>：达州市通川区北城滨江片区高家坝社区和张家坝社区</w:t>
      </w:r>
    </w:p>
    <w:p>
      <w:pPr>
        <w:spacing w:before="1" w:line="228" w:lineRule="auto"/>
        <w:ind w:left="570"/>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建</w:t>
      </w:r>
      <w:r>
        <w:rPr>
          <w:rFonts w:ascii="宋体" w:hAnsi="宋体" w:eastAsia="宋体" w:cs="宋体"/>
          <w:spacing w:val="8"/>
          <w:sz w:val="20"/>
          <w:szCs w:val="20"/>
          <w14:textOutline w14:w="3795" w14:cap="sq" w14:cmpd="sng">
            <w14:solidFill>
              <w14:srgbClr w14:val="000000"/>
            </w14:solidFill>
            <w14:prstDash w14:val="solid"/>
            <w14:bevel/>
          </w14:textOutline>
        </w:rPr>
        <w:t>设性质</w:t>
      </w:r>
      <w:r>
        <w:rPr>
          <w:rFonts w:ascii="宋体" w:hAnsi="宋体" w:eastAsia="宋体" w:cs="宋体"/>
          <w:spacing w:val="8"/>
          <w:sz w:val="20"/>
          <w:szCs w:val="20"/>
        </w:rPr>
        <w:t>：新建</w:t>
      </w:r>
    </w:p>
    <w:p>
      <w:pPr>
        <w:spacing w:before="153" w:line="401" w:lineRule="exact"/>
        <w:ind w:left="571"/>
        <w:rPr>
          <w:rFonts w:ascii="宋体" w:hAnsi="宋体" w:eastAsia="宋体" w:cs="宋体"/>
          <w:sz w:val="20"/>
          <w:szCs w:val="20"/>
        </w:rPr>
      </w:pPr>
      <w:r>
        <w:rPr>
          <w:rFonts w:ascii="宋体" w:hAnsi="宋体" w:eastAsia="宋体" w:cs="宋体"/>
          <w:spacing w:val="16"/>
          <w:position w:val="14"/>
          <w:sz w:val="20"/>
          <w:szCs w:val="20"/>
          <w14:textOutline w14:w="3795" w14:cap="sq" w14:cmpd="sng">
            <w14:solidFill>
              <w14:srgbClr w14:val="000000"/>
            </w14:solidFill>
            <w14:prstDash w14:val="solid"/>
            <w14:bevel/>
          </w14:textOutline>
        </w:rPr>
        <w:t>行</w:t>
      </w:r>
      <w:r>
        <w:rPr>
          <w:rFonts w:ascii="宋体" w:hAnsi="宋体" w:eastAsia="宋体" w:cs="宋体"/>
          <w:spacing w:val="10"/>
          <w:position w:val="14"/>
          <w:sz w:val="20"/>
          <w:szCs w:val="20"/>
          <w14:textOutline w14:w="3795" w14:cap="sq" w14:cmpd="sng">
            <w14:solidFill>
              <w14:srgbClr w14:val="000000"/>
            </w14:solidFill>
            <w14:prstDash w14:val="solid"/>
            <w14:bevel/>
          </w14:textOutline>
        </w:rPr>
        <w:t>业</w:t>
      </w:r>
      <w:r>
        <w:rPr>
          <w:rFonts w:ascii="宋体" w:hAnsi="宋体" w:eastAsia="宋体" w:cs="宋体"/>
          <w:spacing w:val="8"/>
          <w:position w:val="14"/>
          <w:sz w:val="20"/>
          <w:szCs w:val="20"/>
          <w14:textOutline w14:w="3795" w14:cap="sq" w14:cmpd="sng">
            <w14:solidFill>
              <w14:srgbClr w14:val="000000"/>
            </w14:solidFill>
            <w14:prstDash w14:val="solid"/>
            <w14:bevel/>
          </w14:textOutline>
        </w:rPr>
        <w:t>类别</w:t>
      </w:r>
      <w:r>
        <w:rPr>
          <w:rFonts w:ascii="宋体" w:hAnsi="宋体" w:eastAsia="宋体" w:cs="宋体"/>
          <w:spacing w:val="8"/>
          <w:position w:val="14"/>
          <w:sz w:val="20"/>
          <w:szCs w:val="20"/>
        </w:rPr>
        <w:t>：</w:t>
      </w:r>
      <w:r>
        <w:rPr>
          <w:rFonts w:ascii="Times New Roman" w:hAnsi="Times New Roman" w:eastAsia="Times New Roman" w:cs="Times New Roman"/>
          <w:position w:val="14"/>
          <w:sz w:val="20"/>
          <w:szCs w:val="20"/>
        </w:rPr>
        <w:t>E</w:t>
      </w:r>
      <w:r>
        <w:rPr>
          <w:rFonts w:ascii="Times New Roman" w:hAnsi="Times New Roman" w:eastAsia="Times New Roman" w:cs="Times New Roman"/>
          <w:spacing w:val="8"/>
          <w:position w:val="14"/>
          <w:sz w:val="20"/>
          <w:szCs w:val="20"/>
        </w:rPr>
        <w:t xml:space="preserve">4819  </w:t>
      </w:r>
      <w:r>
        <w:rPr>
          <w:rFonts w:ascii="宋体" w:hAnsi="宋体" w:eastAsia="宋体" w:cs="宋体"/>
          <w:spacing w:val="8"/>
          <w:position w:val="14"/>
          <w:sz w:val="20"/>
          <w:szCs w:val="20"/>
        </w:rPr>
        <w:t>其他道路、隧道和桥梁工程建筑</w:t>
      </w:r>
    </w:p>
    <w:p>
      <w:pPr>
        <w:spacing w:before="1" w:line="227" w:lineRule="auto"/>
        <w:ind w:left="566"/>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道</w:t>
      </w:r>
      <w:r>
        <w:rPr>
          <w:rFonts w:ascii="宋体" w:hAnsi="宋体" w:eastAsia="宋体" w:cs="宋体"/>
          <w:spacing w:val="9"/>
          <w:sz w:val="20"/>
          <w:szCs w:val="20"/>
          <w14:textOutline w14:w="3795" w14:cap="sq" w14:cmpd="sng">
            <w14:solidFill>
              <w14:srgbClr w14:val="000000"/>
            </w14:solidFill>
            <w14:prstDash w14:val="solid"/>
            <w14:bevel/>
          </w14:textOutline>
        </w:rPr>
        <w:t>路等级</w:t>
      </w:r>
      <w:r>
        <w:rPr>
          <w:rFonts w:ascii="宋体" w:hAnsi="宋体" w:eastAsia="宋体" w:cs="宋体"/>
          <w:spacing w:val="9"/>
          <w:sz w:val="20"/>
          <w:szCs w:val="20"/>
        </w:rPr>
        <w:t>：城市次干道</w:t>
      </w:r>
    </w:p>
    <w:p>
      <w:pPr>
        <w:spacing w:before="114" w:line="281" w:lineRule="exact"/>
        <w:ind w:left="571"/>
        <w:rPr>
          <w:rFonts w:ascii="Times New Roman" w:hAnsi="Times New Roman" w:eastAsia="Times New Roman" w:cs="Times New Roman"/>
          <w:sz w:val="20"/>
          <w:szCs w:val="20"/>
        </w:rPr>
      </w:pPr>
      <w:r>
        <w:rPr>
          <w:rFonts w:ascii="宋体" w:hAnsi="宋体" w:eastAsia="宋体" w:cs="宋体"/>
          <w:spacing w:val="9"/>
          <w:position w:val="1"/>
          <w:sz w:val="20"/>
          <w:szCs w:val="20"/>
          <w14:textOutline w14:w="3795" w14:cap="sq" w14:cmpd="sng">
            <w14:solidFill>
              <w14:srgbClr w14:val="000000"/>
            </w14:solidFill>
            <w14:prstDash w14:val="solid"/>
            <w14:bevel/>
          </w14:textOutline>
        </w:rPr>
        <w:t>设计车速</w:t>
      </w:r>
      <w:r>
        <w:rPr>
          <w:rFonts w:ascii="宋体" w:hAnsi="宋体" w:eastAsia="宋体" w:cs="宋体"/>
          <w:spacing w:val="9"/>
          <w:position w:val="1"/>
          <w:sz w:val="20"/>
          <w:szCs w:val="20"/>
        </w:rPr>
        <w:t>：</w:t>
      </w:r>
      <w:r>
        <w:rPr>
          <w:rFonts w:ascii="Times New Roman" w:hAnsi="Times New Roman" w:eastAsia="Times New Roman" w:cs="Times New Roman"/>
          <w:spacing w:val="9"/>
          <w:position w:val="1"/>
          <w:sz w:val="20"/>
          <w:szCs w:val="20"/>
        </w:rPr>
        <w:t>40</w:t>
      </w:r>
      <w:r>
        <w:rPr>
          <w:rFonts w:ascii="Times New Roman" w:hAnsi="Times New Roman" w:eastAsia="Times New Roman" w:cs="Times New Roman"/>
          <w:position w:val="1"/>
          <w:sz w:val="20"/>
          <w:szCs w:val="20"/>
        </w:rPr>
        <w:t>km</w:t>
      </w:r>
      <w:r>
        <w:rPr>
          <w:rFonts w:ascii="Times New Roman" w:hAnsi="Times New Roman" w:eastAsia="Times New Roman" w:cs="Times New Roman"/>
          <w:spacing w:val="7"/>
          <w:position w:val="1"/>
          <w:sz w:val="20"/>
          <w:szCs w:val="20"/>
        </w:rPr>
        <w:t>/</w:t>
      </w:r>
      <w:r>
        <w:rPr>
          <w:rFonts w:ascii="Times New Roman" w:hAnsi="Times New Roman" w:eastAsia="Times New Roman" w:cs="Times New Roman"/>
          <w:position w:val="1"/>
          <w:sz w:val="20"/>
          <w:szCs w:val="20"/>
        </w:rPr>
        <w:t>h</w:t>
      </w:r>
    </w:p>
    <w:p>
      <w:pPr>
        <w:spacing w:before="119" w:line="369" w:lineRule="auto"/>
        <w:ind w:left="143" w:right="141" w:firstLine="424"/>
        <w:rPr>
          <w:rFonts w:ascii="Times New Roman" w:hAnsi="Times New Roman" w:eastAsia="Times New Roman" w:cs="Times New Roman"/>
          <w:sz w:val="20"/>
          <w:szCs w:val="20"/>
        </w:rPr>
      </w:pPr>
      <w:r>
        <w:rPr>
          <w:rFonts w:ascii="宋体" w:hAnsi="宋体" w:eastAsia="宋体" w:cs="宋体"/>
          <w:spacing w:val="13"/>
          <w:sz w:val="20"/>
          <w:szCs w:val="20"/>
          <w14:textOutline w14:w="3795" w14:cap="sq" w14:cmpd="sng">
            <w14:solidFill>
              <w14:srgbClr w14:val="000000"/>
            </w14:solidFill>
            <w14:prstDash w14:val="solid"/>
            <w14:bevel/>
          </w14:textOutline>
        </w:rPr>
        <w:t>桥梁标准横断面：</w:t>
      </w:r>
      <w:r>
        <w:rPr>
          <w:rFonts w:ascii="Times New Roman" w:hAnsi="Times New Roman" w:eastAsia="Times New Roman" w:cs="Times New Roman"/>
          <w:spacing w:val="13"/>
          <w:sz w:val="20"/>
          <w:szCs w:val="20"/>
        </w:rPr>
        <w:t>4.0</w:t>
      </w:r>
      <w:r>
        <w:rPr>
          <w:rFonts w:ascii="Times New Roman" w:hAnsi="Times New Roman" w:eastAsia="Times New Roman" w:cs="Times New Roman"/>
          <w:sz w:val="20"/>
          <w:szCs w:val="20"/>
        </w:rPr>
        <w:t>m</w:t>
      </w:r>
      <w:r>
        <w:rPr>
          <w:rFonts w:ascii="宋体" w:hAnsi="宋体" w:eastAsia="宋体" w:cs="宋体"/>
          <w:spacing w:val="13"/>
          <w:sz w:val="20"/>
          <w:szCs w:val="20"/>
        </w:rPr>
        <w:t>人行道</w:t>
      </w:r>
      <w:r>
        <w:rPr>
          <w:rFonts w:ascii="Times New Roman" w:hAnsi="Times New Roman" w:eastAsia="Times New Roman" w:cs="Times New Roman"/>
          <w:spacing w:val="13"/>
          <w:sz w:val="20"/>
          <w:szCs w:val="20"/>
        </w:rPr>
        <w:t>+2.0</w:t>
      </w:r>
      <w:r>
        <w:rPr>
          <w:rFonts w:ascii="Times New Roman" w:hAnsi="Times New Roman" w:eastAsia="Times New Roman" w:cs="Times New Roman"/>
          <w:sz w:val="20"/>
          <w:szCs w:val="20"/>
        </w:rPr>
        <w:t>m</w:t>
      </w:r>
      <w:r>
        <w:rPr>
          <w:rFonts w:ascii="宋体" w:hAnsi="宋体" w:eastAsia="宋体" w:cs="宋体"/>
          <w:spacing w:val="13"/>
          <w:sz w:val="20"/>
          <w:szCs w:val="20"/>
        </w:rPr>
        <w:t>索区</w:t>
      </w:r>
      <w:r>
        <w:rPr>
          <w:rFonts w:ascii="Times New Roman" w:hAnsi="Times New Roman" w:eastAsia="Times New Roman" w:cs="Times New Roman"/>
          <w:spacing w:val="13"/>
          <w:sz w:val="20"/>
          <w:szCs w:val="20"/>
        </w:rPr>
        <w:t>+0.5</w:t>
      </w:r>
      <w:r>
        <w:rPr>
          <w:rFonts w:ascii="Times New Roman" w:hAnsi="Times New Roman" w:eastAsia="Times New Roman" w:cs="Times New Roman"/>
          <w:sz w:val="20"/>
          <w:szCs w:val="20"/>
        </w:rPr>
        <w:t>m</w:t>
      </w:r>
      <w:r>
        <w:rPr>
          <w:rFonts w:ascii="宋体" w:hAnsi="宋体" w:eastAsia="宋体" w:cs="宋体"/>
          <w:spacing w:val="13"/>
          <w:sz w:val="20"/>
          <w:szCs w:val="20"/>
        </w:rPr>
        <w:t>护栏</w:t>
      </w:r>
      <w:r>
        <w:rPr>
          <w:rFonts w:ascii="Times New Roman" w:hAnsi="Times New Roman" w:eastAsia="Times New Roman" w:cs="Times New Roman"/>
          <w:spacing w:val="13"/>
          <w:sz w:val="20"/>
          <w:szCs w:val="20"/>
        </w:rPr>
        <w:t>+10.5</w:t>
      </w:r>
      <w:r>
        <w:rPr>
          <w:rFonts w:ascii="Times New Roman" w:hAnsi="Times New Roman" w:eastAsia="Times New Roman" w:cs="Times New Roman"/>
          <w:sz w:val="20"/>
          <w:szCs w:val="20"/>
        </w:rPr>
        <w:t>m</w:t>
      </w:r>
      <w:r>
        <w:rPr>
          <w:rFonts w:ascii="宋体" w:hAnsi="宋体" w:eastAsia="宋体" w:cs="宋体"/>
          <w:spacing w:val="13"/>
          <w:sz w:val="20"/>
          <w:szCs w:val="20"/>
        </w:rPr>
        <w:t>车行道</w:t>
      </w:r>
      <w:r>
        <w:rPr>
          <w:rFonts w:ascii="Times New Roman" w:hAnsi="Times New Roman" w:eastAsia="Times New Roman" w:cs="Times New Roman"/>
          <w:spacing w:val="13"/>
          <w:sz w:val="20"/>
          <w:szCs w:val="20"/>
        </w:rPr>
        <w:t>+0.5</w:t>
      </w:r>
      <w:r>
        <w:rPr>
          <w:rFonts w:ascii="Times New Roman" w:hAnsi="Times New Roman" w:eastAsia="Times New Roman" w:cs="Times New Roman"/>
          <w:sz w:val="20"/>
          <w:szCs w:val="20"/>
        </w:rPr>
        <w:t>m</w:t>
      </w:r>
      <w:r>
        <w:rPr>
          <w:rFonts w:ascii="宋体" w:hAnsi="宋体" w:eastAsia="宋体" w:cs="宋体"/>
          <w:spacing w:val="13"/>
          <w:sz w:val="20"/>
          <w:szCs w:val="20"/>
        </w:rPr>
        <w:t>护栏</w:t>
      </w:r>
      <w:r>
        <w:rPr>
          <w:rFonts w:ascii="Times New Roman" w:hAnsi="Times New Roman" w:eastAsia="Times New Roman" w:cs="Times New Roman"/>
          <w:spacing w:val="13"/>
          <w:sz w:val="20"/>
          <w:szCs w:val="20"/>
        </w:rPr>
        <w:t>+10.5</w:t>
      </w:r>
      <w:r>
        <w:rPr>
          <w:rFonts w:ascii="Times New Roman" w:hAnsi="Times New Roman" w:eastAsia="Times New Roman" w:cs="Times New Roman"/>
          <w:sz w:val="20"/>
          <w:szCs w:val="20"/>
        </w:rPr>
        <w:t>m</w:t>
      </w:r>
      <w:r>
        <w:rPr>
          <w:rFonts w:ascii="宋体" w:hAnsi="宋体" w:eastAsia="宋体" w:cs="宋体"/>
          <w:spacing w:val="13"/>
          <w:sz w:val="20"/>
          <w:szCs w:val="20"/>
        </w:rPr>
        <w:t>车行</w:t>
      </w:r>
      <w:r>
        <w:rPr>
          <w:rFonts w:ascii="宋体" w:hAnsi="宋体" w:eastAsia="宋体" w:cs="宋体"/>
          <w:spacing w:val="5"/>
          <w:sz w:val="20"/>
          <w:szCs w:val="20"/>
        </w:rPr>
        <w:t>道</w:t>
      </w:r>
      <w:r>
        <w:rPr>
          <w:rFonts w:ascii="宋体" w:hAnsi="宋体" w:eastAsia="宋体" w:cs="宋体"/>
          <w:sz w:val="20"/>
          <w:szCs w:val="20"/>
        </w:rPr>
        <w:t xml:space="preserve"> </w:t>
      </w:r>
      <w:r>
        <w:rPr>
          <w:rFonts w:ascii="Times New Roman" w:hAnsi="Times New Roman" w:eastAsia="Times New Roman" w:cs="Times New Roman"/>
          <w:spacing w:val="14"/>
          <w:sz w:val="20"/>
          <w:szCs w:val="20"/>
        </w:rPr>
        <w:t>+</w:t>
      </w:r>
      <w:r>
        <w:rPr>
          <w:rFonts w:ascii="Times New Roman" w:hAnsi="Times New Roman" w:eastAsia="Times New Roman" w:cs="Times New Roman"/>
          <w:spacing w:val="13"/>
          <w:sz w:val="20"/>
          <w:szCs w:val="20"/>
        </w:rPr>
        <w:t>0</w:t>
      </w:r>
      <w:r>
        <w:rPr>
          <w:rFonts w:ascii="Times New Roman" w:hAnsi="Times New Roman" w:eastAsia="Times New Roman" w:cs="Times New Roman"/>
          <w:spacing w:val="7"/>
          <w:sz w:val="20"/>
          <w:szCs w:val="20"/>
        </w:rPr>
        <w:t>.5</w:t>
      </w:r>
      <w:r>
        <w:rPr>
          <w:rFonts w:ascii="Times New Roman" w:hAnsi="Times New Roman" w:eastAsia="Times New Roman" w:cs="Times New Roman"/>
          <w:sz w:val="20"/>
          <w:szCs w:val="20"/>
        </w:rPr>
        <w:t>m</w:t>
      </w:r>
      <w:r>
        <w:rPr>
          <w:rFonts w:ascii="宋体" w:hAnsi="宋体" w:eastAsia="宋体" w:cs="宋体"/>
          <w:spacing w:val="7"/>
          <w:sz w:val="20"/>
          <w:szCs w:val="20"/>
        </w:rPr>
        <w:t>护栏</w:t>
      </w:r>
      <w:r>
        <w:rPr>
          <w:rFonts w:ascii="Times New Roman" w:hAnsi="Times New Roman" w:eastAsia="Times New Roman" w:cs="Times New Roman"/>
          <w:spacing w:val="7"/>
          <w:sz w:val="20"/>
          <w:szCs w:val="20"/>
        </w:rPr>
        <w:t>+2</w:t>
      </w:r>
      <w:r>
        <w:rPr>
          <w:rFonts w:ascii="Times New Roman" w:hAnsi="Times New Roman" w:eastAsia="Times New Roman" w:cs="Times New Roman"/>
          <w:sz w:val="20"/>
          <w:szCs w:val="20"/>
        </w:rPr>
        <w:t>m</w:t>
      </w:r>
      <w:r>
        <w:rPr>
          <w:rFonts w:ascii="宋体" w:hAnsi="宋体" w:eastAsia="宋体" w:cs="宋体"/>
          <w:spacing w:val="7"/>
          <w:sz w:val="20"/>
          <w:szCs w:val="20"/>
        </w:rPr>
        <w:t>索区</w:t>
      </w:r>
      <w:r>
        <w:rPr>
          <w:rFonts w:ascii="Times New Roman" w:hAnsi="Times New Roman" w:eastAsia="Times New Roman" w:cs="Times New Roman"/>
          <w:spacing w:val="7"/>
          <w:sz w:val="20"/>
          <w:szCs w:val="20"/>
        </w:rPr>
        <w:t>+4.0</w:t>
      </w:r>
      <w:r>
        <w:rPr>
          <w:rFonts w:ascii="Times New Roman" w:hAnsi="Times New Roman" w:eastAsia="Times New Roman" w:cs="Times New Roman"/>
          <w:sz w:val="20"/>
          <w:szCs w:val="20"/>
        </w:rPr>
        <w:t>m</w:t>
      </w:r>
      <w:r>
        <w:rPr>
          <w:rFonts w:ascii="宋体" w:hAnsi="宋体" w:eastAsia="宋体" w:cs="宋体"/>
          <w:spacing w:val="7"/>
          <w:sz w:val="20"/>
          <w:szCs w:val="20"/>
        </w:rPr>
        <w:t>人行道</w:t>
      </w:r>
      <w:r>
        <w:rPr>
          <w:rFonts w:ascii="Times New Roman" w:hAnsi="Times New Roman" w:eastAsia="Times New Roman" w:cs="Times New Roman"/>
          <w:spacing w:val="7"/>
          <w:sz w:val="20"/>
          <w:szCs w:val="20"/>
        </w:rPr>
        <w:t>=34.5</w:t>
      </w:r>
      <w:r>
        <w:rPr>
          <w:rFonts w:ascii="Times New Roman" w:hAnsi="Times New Roman" w:eastAsia="Times New Roman" w:cs="Times New Roman"/>
          <w:sz w:val="20"/>
          <w:szCs w:val="20"/>
        </w:rPr>
        <w:t>m</w:t>
      </w:r>
    </w:p>
    <w:p>
      <w:pPr>
        <w:spacing w:line="439" w:lineRule="exact"/>
        <w:ind w:left="571"/>
        <w:rPr>
          <w:rFonts w:ascii="Times New Roman" w:hAnsi="Times New Roman" w:eastAsia="Times New Roman" w:cs="Times New Roman"/>
          <w:sz w:val="20"/>
          <w:szCs w:val="20"/>
        </w:rPr>
      </w:pPr>
      <w:r>
        <w:rPr>
          <w:rFonts w:ascii="宋体" w:hAnsi="宋体" w:eastAsia="宋体" w:cs="宋体"/>
          <w:spacing w:val="15"/>
          <w:position w:val="14"/>
          <w:sz w:val="20"/>
          <w:szCs w:val="20"/>
          <w14:textOutline w14:w="3795" w14:cap="sq" w14:cmpd="sng">
            <w14:solidFill>
              <w14:srgbClr w14:val="000000"/>
            </w14:solidFill>
            <w14:prstDash w14:val="solid"/>
            <w14:bevel/>
          </w14:textOutline>
        </w:rPr>
        <w:t>设</w:t>
      </w:r>
      <w:r>
        <w:rPr>
          <w:rFonts w:ascii="宋体" w:hAnsi="宋体" w:eastAsia="宋体" w:cs="宋体"/>
          <w:spacing w:val="9"/>
          <w:position w:val="14"/>
          <w:sz w:val="20"/>
          <w:szCs w:val="20"/>
          <w14:textOutline w14:w="3795" w14:cap="sq" w14:cmpd="sng">
            <w14:solidFill>
              <w14:srgbClr w14:val="000000"/>
            </w14:solidFill>
            <w14:prstDash w14:val="solid"/>
            <w14:bevel/>
          </w14:textOutline>
        </w:rPr>
        <w:t>计荷载</w:t>
      </w:r>
      <w:r>
        <w:rPr>
          <w:rFonts w:ascii="宋体" w:hAnsi="宋体" w:eastAsia="宋体" w:cs="宋体"/>
          <w:spacing w:val="9"/>
          <w:position w:val="14"/>
          <w:sz w:val="20"/>
          <w:szCs w:val="20"/>
        </w:rPr>
        <w:t>：汽车荷载：城</w:t>
      </w:r>
      <w:r>
        <w:rPr>
          <w:rFonts w:ascii="Times New Roman" w:hAnsi="Times New Roman" w:eastAsia="Times New Roman" w:cs="Times New Roman"/>
          <w:spacing w:val="9"/>
          <w:position w:val="14"/>
          <w:sz w:val="20"/>
          <w:szCs w:val="20"/>
        </w:rPr>
        <w:t>-</w:t>
      </w:r>
      <w:r>
        <w:rPr>
          <w:rFonts w:ascii="Times New Roman" w:hAnsi="Times New Roman" w:eastAsia="Times New Roman" w:cs="Times New Roman"/>
          <w:position w:val="14"/>
          <w:sz w:val="20"/>
          <w:szCs w:val="20"/>
        </w:rPr>
        <w:t>A</w:t>
      </w:r>
      <w:r>
        <w:rPr>
          <w:rFonts w:ascii="宋体" w:hAnsi="宋体" w:eastAsia="宋体" w:cs="宋体"/>
          <w:spacing w:val="9"/>
          <w:position w:val="14"/>
          <w:sz w:val="20"/>
          <w:szCs w:val="20"/>
        </w:rPr>
        <w:t>级，人群荷载：</w:t>
      </w:r>
      <w:r>
        <w:rPr>
          <w:rFonts w:ascii="Times New Roman" w:hAnsi="Times New Roman" w:eastAsia="Times New Roman" w:cs="Times New Roman"/>
          <w:spacing w:val="9"/>
          <w:position w:val="14"/>
          <w:sz w:val="20"/>
          <w:szCs w:val="20"/>
        </w:rPr>
        <w:t>3.5</w:t>
      </w:r>
      <w:r>
        <w:rPr>
          <w:rFonts w:ascii="Times New Roman" w:hAnsi="Times New Roman" w:eastAsia="Times New Roman" w:cs="Times New Roman"/>
          <w:position w:val="14"/>
          <w:sz w:val="20"/>
          <w:szCs w:val="20"/>
        </w:rPr>
        <w:t>KN</w:t>
      </w:r>
      <w:r>
        <w:rPr>
          <w:rFonts w:ascii="Times New Roman" w:hAnsi="Times New Roman" w:eastAsia="Times New Roman" w:cs="Times New Roman"/>
          <w:spacing w:val="9"/>
          <w:position w:val="14"/>
          <w:sz w:val="20"/>
          <w:szCs w:val="20"/>
        </w:rPr>
        <w:t>/</w:t>
      </w:r>
      <w:r>
        <w:rPr>
          <w:rFonts w:ascii="Times New Roman" w:hAnsi="Times New Roman" w:eastAsia="Times New Roman" w:cs="Times New Roman"/>
          <w:position w:val="14"/>
          <w:sz w:val="20"/>
          <w:szCs w:val="20"/>
        </w:rPr>
        <w:t>m</w:t>
      </w:r>
      <w:r>
        <w:rPr>
          <w:rFonts w:ascii="Times New Roman" w:hAnsi="Times New Roman" w:eastAsia="Times New Roman" w:cs="Times New Roman"/>
          <w:spacing w:val="9"/>
          <w:position w:val="14"/>
          <w:sz w:val="20"/>
          <w:szCs w:val="20"/>
        </w:rPr>
        <w:t>²</w:t>
      </w:r>
    </w:p>
    <w:p>
      <w:pPr>
        <w:spacing w:line="227" w:lineRule="auto"/>
        <w:ind w:left="567"/>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桥</w:t>
      </w:r>
      <w:r>
        <w:rPr>
          <w:rFonts w:ascii="宋体" w:hAnsi="宋体" w:eastAsia="宋体" w:cs="宋体"/>
          <w:spacing w:val="8"/>
          <w:sz w:val="20"/>
          <w:szCs w:val="20"/>
          <w14:textOutline w14:w="3795" w14:cap="sq" w14:cmpd="sng">
            <w14:solidFill>
              <w14:srgbClr w14:val="000000"/>
            </w14:solidFill>
            <w14:prstDash w14:val="solid"/>
            <w14:bevel/>
          </w14:textOutline>
        </w:rPr>
        <w:t>梁设计工作年限</w:t>
      </w:r>
      <w:r>
        <w:rPr>
          <w:rFonts w:ascii="宋体" w:hAnsi="宋体" w:eastAsia="宋体" w:cs="宋体"/>
          <w:spacing w:val="8"/>
          <w:sz w:val="20"/>
          <w:szCs w:val="20"/>
        </w:rPr>
        <w:t>：</w:t>
      </w:r>
      <w:r>
        <w:rPr>
          <w:rFonts w:ascii="Times New Roman" w:hAnsi="Times New Roman" w:eastAsia="Times New Roman" w:cs="Times New Roman"/>
          <w:spacing w:val="8"/>
          <w:sz w:val="20"/>
          <w:szCs w:val="20"/>
        </w:rPr>
        <w:t>100</w:t>
      </w:r>
      <w:r>
        <w:rPr>
          <w:rFonts w:ascii="宋体" w:hAnsi="宋体" w:eastAsia="宋体" w:cs="宋体"/>
          <w:spacing w:val="8"/>
          <w:sz w:val="20"/>
          <w:szCs w:val="20"/>
        </w:rPr>
        <w:t>年</w:t>
      </w:r>
    </w:p>
    <w:p>
      <w:pPr>
        <w:spacing w:before="155" w:line="228" w:lineRule="auto"/>
        <w:ind w:left="567"/>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通</w:t>
      </w:r>
      <w:r>
        <w:rPr>
          <w:rFonts w:ascii="宋体" w:hAnsi="宋体" w:eastAsia="宋体" w:cs="宋体"/>
          <w:spacing w:val="12"/>
          <w:sz w:val="20"/>
          <w:szCs w:val="20"/>
          <w14:textOutline w14:w="3795" w14:cap="sq" w14:cmpd="sng">
            <w14:solidFill>
              <w14:srgbClr w14:val="000000"/>
            </w14:solidFill>
            <w14:prstDash w14:val="solid"/>
            <w14:bevel/>
          </w14:textOutline>
        </w:rPr>
        <w:t>航</w:t>
      </w:r>
      <w:r>
        <w:rPr>
          <w:rFonts w:ascii="宋体" w:hAnsi="宋体" w:eastAsia="宋体" w:cs="宋体"/>
          <w:spacing w:val="9"/>
          <w:sz w:val="20"/>
          <w:szCs w:val="20"/>
          <w14:textOutline w14:w="3795" w14:cap="sq" w14:cmpd="sng">
            <w14:solidFill>
              <w14:srgbClr w14:val="000000"/>
            </w14:solidFill>
            <w14:prstDash w14:val="solid"/>
            <w14:bevel/>
          </w14:textOutline>
        </w:rPr>
        <w:t>标准</w:t>
      </w:r>
      <w:r>
        <w:rPr>
          <w:rFonts w:ascii="宋体" w:hAnsi="宋体" w:eastAsia="宋体" w:cs="宋体"/>
          <w:spacing w:val="9"/>
          <w:sz w:val="20"/>
          <w:szCs w:val="20"/>
        </w:rPr>
        <w:t>：按</w:t>
      </w:r>
      <w:r>
        <w:rPr>
          <w:rFonts w:ascii="Times New Roman" w:hAnsi="Times New Roman" w:eastAsia="Times New Roman" w:cs="Times New Roman"/>
          <w:spacing w:val="9"/>
          <w:sz w:val="20"/>
          <w:szCs w:val="20"/>
        </w:rPr>
        <w:t>Ⅶ</w:t>
      </w:r>
      <w:r>
        <w:rPr>
          <w:rFonts w:ascii="宋体" w:hAnsi="宋体" w:eastAsia="宋体" w:cs="宋体"/>
          <w:spacing w:val="9"/>
          <w:sz w:val="20"/>
          <w:szCs w:val="20"/>
        </w:rPr>
        <w:t>级航道通航要求设置</w:t>
      </w:r>
    </w:p>
    <w:p>
      <w:pPr>
        <w:spacing w:before="151" w:line="401" w:lineRule="exact"/>
        <w:ind w:left="570"/>
        <w:rPr>
          <w:rFonts w:ascii="宋体" w:hAnsi="宋体" w:eastAsia="宋体" w:cs="宋体"/>
          <w:sz w:val="20"/>
          <w:szCs w:val="20"/>
        </w:rPr>
      </w:pPr>
      <w:r>
        <w:rPr>
          <w:rFonts w:ascii="宋体" w:hAnsi="宋体" w:eastAsia="宋体" w:cs="宋体"/>
          <w:spacing w:val="9"/>
          <w:position w:val="14"/>
          <w:sz w:val="20"/>
          <w:szCs w:val="20"/>
          <w14:textOutline w14:w="3795" w14:cap="sq" w14:cmpd="sng">
            <w14:solidFill>
              <w14:srgbClr w14:val="000000"/>
            </w14:solidFill>
            <w14:prstDash w14:val="solid"/>
            <w14:bevel/>
          </w14:textOutline>
        </w:rPr>
        <w:t>建</w:t>
      </w:r>
      <w:r>
        <w:rPr>
          <w:rFonts w:ascii="宋体" w:hAnsi="宋体" w:eastAsia="宋体" w:cs="宋体"/>
          <w:spacing w:val="7"/>
          <w:position w:val="14"/>
          <w:sz w:val="20"/>
          <w:szCs w:val="20"/>
          <w14:textOutline w14:w="3795" w14:cap="sq" w14:cmpd="sng">
            <w14:solidFill>
              <w14:srgbClr w14:val="000000"/>
            </w14:solidFill>
            <w14:prstDash w14:val="solid"/>
            <w14:bevel/>
          </w14:textOutline>
        </w:rPr>
        <w:t>设投资：</w:t>
      </w:r>
      <w:r>
        <w:rPr>
          <w:rFonts w:ascii="Times New Roman" w:hAnsi="Times New Roman" w:eastAsia="Times New Roman" w:cs="Times New Roman"/>
          <w:spacing w:val="7"/>
          <w:position w:val="14"/>
          <w:sz w:val="20"/>
          <w:szCs w:val="20"/>
        </w:rPr>
        <w:t>23028</w:t>
      </w:r>
      <w:r>
        <w:rPr>
          <w:rFonts w:ascii="宋体" w:hAnsi="宋体" w:eastAsia="宋体" w:cs="宋体"/>
          <w:spacing w:val="7"/>
          <w:position w:val="14"/>
          <w:sz w:val="20"/>
          <w:szCs w:val="20"/>
        </w:rPr>
        <w:t>万元</w:t>
      </w:r>
    </w:p>
    <w:p>
      <w:pPr>
        <w:spacing w:line="227" w:lineRule="auto"/>
        <w:ind w:left="570"/>
        <w:rPr>
          <w:rFonts w:ascii="宋体" w:hAnsi="宋体" w:eastAsia="宋体" w:cs="宋体"/>
          <w:sz w:val="20"/>
          <w:szCs w:val="20"/>
        </w:rPr>
      </w:pPr>
      <w:bookmarkStart w:id="18" w:name="_bookmark19"/>
      <w:bookmarkEnd w:id="18"/>
      <w:r>
        <w:rPr>
          <w:rFonts w:ascii="宋体" w:hAnsi="宋体" w:eastAsia="宋体" w:cs="宋体"/>
          <w:spacing w:val="8"/>
          <w:sz w:val="20"/>
          <w:szCs w:val="20"/>
          <w14:textOutline w14:w="3795" w14:cap="sq" w14:cmpd="sng">
            <w14:solidFill>
              <w14:srgbClr w14:val="000000"/>
            </w14:solidFill>
            <w14:prstDash w14:val="solid"/>
            <w14:bevel/>
          </w14:textOutline>
        </w:rPr>
        <w:t>建设工期：</w:t>
      </w:r>
      <w:r>
        <w:rPr>
          <w:rFonts w:ascii="Times New Roman" w:hAnsi="Times New Roman" w:eastAsia="Times New Roman" w:cs="Times New Roman"/>
          <w:spacing w:val="8"/>
          <w:sz w:val="20"/>
          <w:szCs w:val="20"/>
        </w:rPr>
        <w:t>30</w:t>
      </w:r>
      <w:r>
        <w:rPr>
          <w:rFonts w:ascii="宋体" w:hAnsi="宋体" w:eastAsia="宋体" w:cs="宋体"/>
          <w:spacing w:val="8"/>
          <w:sz w:val="20"/>
          <w:szCs w:val="20"/>
        </w:rPr>
        <w:t>个</w:t>
      </w:r>
      <w:r>
        <w:rPr>
          <w:rFonts w:ascii="宋体" w:hAnsi="宋体" w:eastAsia="宋体" w:cs="宋体"/>
          <w:spacing w:val="7"/>
          <w:sz w:val="20"/>
          <w:szCs w:val="20"/>
        </w:rPr>
        <w:t>月</w:t>
      </w:r>
    </w:p>
    <w:p>
      <w:pPr>
        <w:spacing w:before="161" w:line="230" w:lineRule="auto"/>
        <w:ind w:left="144"/>
        <w:outlineLvl w:val="2"/>
        <w:rPr>
          <w:rFonts w:ascii="黑体" w:hAnsi="黑体" w:eastAsia="黑体" w:cs="黑体"/>
          <w:sz w:val="23"/>
          <w:szCs w:val="23"/>
        </w:rPr>
      </w:pPr>
      <w:r>
        <w:rPr>
          <w:rFonts w:ascii="Times New Roman" w:hAnsi="Times New Roman" w:eastAsia="Times New Roman" w:cs="Times New Roman"/>
          <w:spacing w:val="7"/>
          <w:sz w:val="23"/>
          <w:szCs w:val="23"/>
        </w:rPr>
        <w:t xml:space="preserve">2.2  </w:t>
      </w:r>
      <w:r>
        <w:rPr>
          <w:rFonts w:ascii="黑体" w:hAnsi="黑体" w:eastAsia="黑体" w:cs="黑体"/>
          <w:spacing w:val="7"/>
          <w:sz w:val="23"/>
          <w:szCs w:val="23"/>
        </w:rPr>
        <w:t>建设内容及规</w:t>
      </w:r>
      <w:r>
        <w:rPr>
          <w:rFonts w:ascii="黑体" w:hAnsi="黑体" w:eastAsia="黑体" w:cs="黑体"/>
          <w:spacing w:val="5"/>
          <w:sz w:val="23"/>
          <w:szCs w:val="23"/>
        </w:rPr>
        <w:t>模</w:t>
      </w:r>
    </w:p>
    <w:p>
      <w:pPr>
        <w:spacing w:before="139" w:line="222" w:lineRule="auto"/>
        <w:ind w:left="144"/>
        <w:outlineLvl w:val="3"/>
        <w:rPr>
          <w:rFonts w:ascii="黑体" w:hAnsi="黑体" w:eastAsia="黑体" w:cs="黑体"/>
          <w:sz w:val="22"/>
          <w:szCs w:val="22"/>
        </w:rPr>
      </w:pPr>
      <w:r>
        <w:rPr>
          <w:rFonts w:ascii="Times New Roman" w:hAnsi="Times New Roman" w:eastAsia="Times New Roman" w:cs="Times New Roman"/>
          <w:spacing w:val="-7"/>
          <w:sz w:val="22"/>
          <w:szCs w:val="22"/>
        </w:rPr>
        <w:t>2</w:t>
      </w:r>
      <w:r>
        <w:rPr>
          <w:rFonts w:ascii="Times New Roman" w:hAnsi="Times New Roman" w:eastAsia="Times New Roman" w:cs="Times New Roman"/>
          <w:spacing w:val="-4"/>
          <w:sz w:val="22"/>
          <w:szCs w:val="22"/>
        </w:rPr>
        <w:t xml:space="preserve">.2. 1    </w:t>
      </w:r>
      <w:r>
        <w:rPr>
          <w:rFonts w:ascii="黑体" w:hAnsi="黑体" w:eastAsia="黑体" w:cs="黑体"/>
          <w:spacing w:val="-4"/>
          <w:sz w:val="22"/>
          <w:szCs w:val="22"/>
        </w:rPr>
        <w:t>建设内容</w:t>
      </w:r>
    </w:p>
    <w:p>
      <w:pPr>
        <w:spacing w:before="144" w:line="367" w:lineRule="auto"/>
        <w:ind w:left="150" w:right="70" w:firstLine="418"/>
        <w:rPr>
          <w:rFonts w:ascii="宋体" w:hAnsi="宋体" w:eastAsia="宋体" w:cs="宋体"/>
          <w:sz w:val="20"/>
          <w:szCs w:val="20"/>
        </w:rPr>
      </w:pPr>
      <w:r>
        <w:rPr>
          <w:rFonts w:ascii="宋体" w:hAnsi="宋体" w:eastAsia="宋体" w:cs="宋体"/>
          <w:spacing w:val="10"/>
          <w:sz w:val="20"/>
          <w:szCs w:val="20"/>
        </w:rPr>
        <w:t>本</w:t>
      </w:r>
      <w:r>
        <w:rPr>
          <w:rFonts w:ascii="宋体" w:hAnsi="宋体" w:eastAsia="宋体" w:cs="宋体"/>
          <w:spacing w:val="8"/>
          <w:sz w:val="20"/>
          <w:szCs w:val="20"/>
        </w:rPr>
        <w:t>项目主体工程为高家坝大桥</w:t>
      </w:r>
      <w:r>
        <w:rPr>
          <w:rFonts w:ascii="Times New Roman" w:hAnsi="Times New Roman" w:eastAsia="Times New Roman" w:cs="Times New Roman"/>
          <w:spacing w:val="8"/>
          <w:sz w:val="20"/>
          <w:szCs w:val="20"/>
        </w:rPr>
        <w:t>1</w:t>
      </w:r>
      <w:r>
        <w:rPr>
          <w:rFonts w:ascii="宋体" w:hAnsi="宋体" w:eastAsia="宋体" w:cs="宋体"/>
          <w:spacing w:val="8"/>
          <w:sz w:val="20"/>
          <w:szCs w:val="20"/>
        </w:rPr>
        <w:t>座，桥梁全长约</w:t>
      </w:r>
      <w:r>
        <w:rPr>
          <w:rFonts w:ascii="Times New Roman" w:hAnsi="Times New Roman" w:eastAsia="Times New Roman" w:cs="Times New Roman"/>
          <w:spacing w:val="8"/>
          <w:sz w:val="20"/>
          <w:szCs w:val="20"/>
        </w:rPr>
        <w:t>240</w:t>
      </w:r>
      <w:r>
        <w:rPr>
          <w:rFonts w:ascii="宋体" w:hAnsi="宋体" w:eastAsia="宋体" w:cs="宋体"/>
          <w:spacing w:val="8"/>
          <w:sz w:val="20"/>
          <w:szCs w:val="20"/>
        </w:rPr>
        <w:t>米，宽</w:t>
      </w:r>
      <w:r>
        <w:rPr>
          <w:rFonts w:ascii="Times New Roman" w:hAnsi="Times New Roman" w:eastAsia="Times New Roman" w:cs="Times New Roman"/>
          <w:spacing w:val="8"/>
          <w:sz w:val="20"/>
          <w:szCs w:val="20"/>
        </w:rPr>
        <w:t>34.5</w:t>
      </w:r>
      <w:r>
        <w:rPr>
          <w:rFonts w:ascii="宋体" w:hAnsi="宋体" w:eastAsia="宋体" w:cs="宋体"/>
          <w:spacing w:val="8"/>
          <w:sz w:val="20"/>
          <w:szCs w:val="20"/>
        </w:rPr>
        <w:t>米，双向</w:t>
      </w:r>
      <w:r>
        <w:rPr>
          <w:rFonts w:ascii="Times New Roman" w:hAnsi="Times New Roman" w:eastAsia="Times New Roman" w:cs="Times New Roman"/>
          <w:spacing w:val="8"/>
          <w:sz w:val="20"/>
          <w:szCs w:val="20"/>
        </w:rPr>
        <w:t>6</w:t>
      </w:r>
      <w:r>
        <w:rPr>
          <w:rFonts w:ascii="宋体" w:hAnsi="宋体" w:eastAsia="宋体" w:cs="宋体"/>
          <w:spacing w:val="8"/>
          <w:sz w:val="20"/>
          <w:szCs w:val="20"/>
        </w:rPr>
        <w:t>车道，按城市次干道</w:t>
      </w:r>
      <w:r>
        <w:rPr>
          <w:rFonts w:ascii="宋体" w:hAnsi="宋体" w:eastAsia="宋体" w:cs="宋体"/>
          <w:sz w:val="20"/>
          <w:szCs w:val="20"/>
        </w:rPr>
        <w:t xml:space="preserve"> </w:t>
      </w:r>
      <w:r>
        <w:rPr>
          <w:rFonts w:ascii="宋体" w:hAnsi="宋体" w:eastAsia="宋体" w:cs="宋体"/>
          <w:spacing w:val="12"/>
          <w:sz w:val="20"/>
          <w:szCs w:val="20"/>
        </w:rPr>
        <w:t>设计，车</w:t>
      </w:r>
      <w:r>
        <w:rPr>
          <w:rFonts w:ascii="宋体" w:hAnsi="宋体" w:eastAsia="宋体" w:cs="宋体"/>
          <w:spacing w:val="9"/>
          <w:sz w:val="20"/>
          <w:szCs w:val="20"/>
        </w:rPr>
        <w:t>速</w:t>
      </w:r>
      <w:r>
        <w:rPr>
          <w:rFonts w:ascii="Times New Roman" w:hAnsi="Times New Roman" w:eastAsia="Times New Roman" w:cs="Times New Roman"/>
          <w:spacing w:val="6"/>
          <w:sz w:val="20"/>
          <w:szCs w:val="20"/>
        </w:rPr>
        <w:t>40</w:t>
      </w:r>
      <w:r>
        <w:rPr>
          <w:rFonts w:ascii="Times New Roman" w:hAnsi="Times New Roman" w:eastAsia="Times New Roman" w:cs="Times New Roman"/>
          <w:sz w:val="20"/>
          <w:szCs w:val="20"/>
        </w:rPr>
        <w:t>km</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h</w:t>
      </w:r>
      <w:r>
        <w:rPr>
          <w:rFonts w:ascii="宋体" w:hAnsi="宋体" w:eastAsia="宋体" w:cs="宋体"/>
          <w:spacing w:val="6"/>
          <w:sz w:val="20"/>
          <w:szCs w:val="20"/>
        </w:rPr>
        <w:t>；配套建设桥梁东端路基</w:t>
      </w:r>
      <w:r>
        <w:rPr>
          <w:rFonts w:ascii="Times New Roman" w:hAnsi="Times New Roman" w:eastAsia="Times New Roman" w:cs="Times New Roman"/>
          <w:spacing w:val="6"/>
          <w:sz w:val="20"/>
          <w:szCs w:val="20"/>
        </w:rPr>
        <w:t>35</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、西端路基</w:t>
      </w:r>
      <w:r>
        <w:rPr>
          <w:rFonts w:ascii="Times New Roman" w:hAnsi="Times New Roman" w:eastAsia="Times New Roman" w:cs="Times New Roman"/>
          <w:spacing w:val="6"/>
          <w:sz w:val="20"/>
          <w:szCs w:val="20"/>
        </w:rPr>
        <w:t>20</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，全线长</w:t>
      </w:r>
      <w:r>
        <w:rPr>
          <w:rFonts w:ascii="Times New Roman" w:hAnsi="Times New Roman" w:eastAsia="Times New Roman" w:cs="Times New Roman"/>
          <w:spacing w:val="6"/>
          <w:sz w:val="20"/>
          <w:szCs w:val="20"/>
        </w:rPr>
        <w:t>297</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，沥青路面；另外</w:t>
      </w:r>
      <w:r>
        <w:rPr>
          <w:rFonts w:ascii="宋体" w:hAnsi="宋体" w:eastAsia="宋体" w:cs="宋体"/>
          <w:sz w:val="20"/>
          <w:szCs w:val="20"/>
        </w:rPr>
        <w:t xml:space="preserve"> </w:t>
      </w:r>
      <w:r>
        <w:rPr>
          <w:rFonts w:ascii="宋体" w:hAnsi="宋体" w:eastAsia="宋体" w:cs="宋体"/>
          <w:spacing w:val="11"/>
          <w:sz w:val="20"/>
          <w:szCs w:val="20"/>
        </w:rPr>
        <w:t>改</w:t>
      </w:r>
      <w:r>
        <w:rPr>
          <w:rFonts w:ascii="宋体" w:hAnsi="宋体" w:eastAsia="宋体" w:cs="宋体"/>
          <w:spacing w:val="7"/>
          <w:sz w:val="20"/>
          <w:szCs w:val="20"/>
        </w:rPr>
        <w:t>造东端平交路口道路</w:t>
      </w:r>
      <w:r>
        <w:rPr>
          <w:rFonts w:ascii="Times New Roman" w:hAnsi="Times New Roman" w:eastAsia="Times New Roman" w:cs="Times New Roman"/>
          <w:spacing w:val="7"/>
          <w:sz w:val="20"/>
          <w:szCs w:val="20"/>
        </w:rPr>
        <w:t>245</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、新建西端平交入口</w:t>
      </w:r>
      <w:r>
        <w:rPr>
          <w:rFonts w:ascii="Times New Roman" w:hAnsi="Times New Roman" w:eastAsia="Times New Roman" w:cs="Times New Roman"/>
          <w:spacing w:val="7"/>
          <w:sz w:val="20"/>
          <w:szCs w:val="20"/>
        </w:rPr>
        <w:t>62</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。主要建设内容包括桥梁、道路工程、交通</w:t>
      </w:r>
      <w:r>
        <w:rPr>
          <w:rFonts w:ascii="宋体" w:hAnsi="宋体" w:eastAsia="宋体" w:cs="宋体"/>
          <w:sz w:val="20"/>
          <w:szCs w:val="20"/>
        </w:rPr>
        <w:t xml:space="preserve"> </w:t>
      </w:r>
      <w:r>
        <w:rPr>
          <w:rFonts w:ascii="宋体" w:hAnsi="宋体" w:eastAsia="宋体" w:cs="宋体"/>
          <w:spacing w:val="7"/>
          <w:sz w:val="20"/>
          <w:szCs w:val="20"/>
        </w:rPr>
        <w:t>工程、排水工程、照明工程、绿化、景观工程和连接道路建设工程等，全线不设服务区和收费站。</w:t>
      </w:r>
    </w:p>
    <w:p>
      <w:pPr>
        <w:spacing w:line="222" w:lineRule="auto"/>
        <w:ind w:left="144"/>
        <w:outlineLvl w:val="3"/>
        <w:rPr>
          <w:rFonts w:ascii="黑体" w:hAnsi="黑体" w:eastAsia="黑体" w:cs="黑体"/>
          <w:sz w:val="22"/>
          <w:szCs w:val="22"/>
        </w:rPr>
      </w:pPr>
      <w:r>
        <w:rPr>
          <w:rFonts w:ascii="Times New Roman" w:hAnsi="Times New Roman" w:eastAsia="Times New Roman" w:cs="Times New Roman"/>
          <w:spacing w:val="-1"/>
          <w:sz w:val="22"/>
          <w:szCs w:val="22"/>
        </w:rPr>
        <w:t>2.2.</w:t>
      </w:r>
      <w:r>
        <w:rPr>
          <w:rFonts w:ascii="Times New Roman" w:hAnsi="Times New Roman" w:eastAsia="Times New Roman" w:cs="Times New Roman"/>
          <w:sz w:val="22"/>
          <w:szCs w:val="22"/>
        </w:rPr>
        <w:t xml:space="preserve">2    </w:t>
      </w:r>
      <w:r>
        <w:rPr>
          <w:rFonts w:ascii="黑体" w:hAnsi="黑体" w:eastAsia="黑体" w:cs="黑体"/>
          <w:sz w:val="22"/>
          <w:szCs w:val="22"/>
        </w:rPr>
        <w:t>项目组成</w:t>
      </w:r>
    </w:p>
    <w:p>
      <w:pPr>
        <w:spacing w:before="144" w:line="401" w:lineRule="exact"/>
        <w:ind w:left="622"/>
        <w:rPr>
          <w:rFonts w:ascii="宋体" w:hAnsi="宋体" w:eastAsia="宋体" w:cs="宋体"/>
          <w:sz w:val="20"/>
          <w:szCs w:val="20"/>
        </w:rPr>
      </w:pPr>
      <w:r>
        <w:rPr>
          <w:rFonts w:ascii="宋体" w:hAnsi="宋体" w:eastAsia="宋体" w:cs="宋体"/>
          <w:spacing w:val="14"/>
          <w:position w:val="14"/>
          <w:sz w:val="20"/>
          <w:szCs w:val="20"/>
        </w:rPr>
        <w:t>主要建</w:t>
      </w:r>
      <w:r>
        <w:rPr>
          <w:rFonts w:ascii="宋体" w:hAnsi="宋体" w:eastAsia="宋体" w:cs="宋体"/>
          <w:spacing w:val="12"/>
          <w:position w:val="14"/>
          <w:sz w:val="20"/>
          <w:szCs w:val="20"/>
        </w:rPr>
        <w:t>设</w:t>
      </w:r>
      <w:r>
        <w:rPr>
          <w:rFonts w:ascii="宋体" w:hAnsi="宋体" w:eastAsia="宋体" w:cs="宋体"/>
          <w:spacing w:val="7"/>
          <w:position w:val="14"/>
          <w:sz w:val="20"/>
          <w:szCs w:val="20"/>
        </w:rPr>
        <w:t>内容包括桥梁、道路工程、交通工程、排水工程、照明工程、绿化、景观工程和连</w:t>
      </w:r>
    </w:p>
    <w:p>
      <w:pPr>
        <w:spacing w:line="227" w:lineRule="auto"/>
        <w:ind w:left="199"/>
        <w:rPr>
          <w:rFonts w:ascii="宋体" w:hAnsi="宋体" w:eastAsia="宋体" w:cs="宋体"/>
          <w:sz w:val="20"/>
          <w:szCs w:val="20"/>
        </w:rPr>
      </w:pPr>
      <w:r>
        <w:rPr>
          <w:rFonts w:ascii="宋体" w:hAnsi="宋体" w:eastAsia="宋体" w:cs="宋体"/>
          <w:spacing w:val="9"/>
          <w:sz w:val="20"/>
          <w:szCs w:val="20"/>
        </w:rPr>
        <w:t>接道路建设工程等。项目组成情况见下表</w:t>
      </w:r>
      <w:r>
        <w:rPr>
          <w:rFonts w:ascii="宋体" w:hAnsi="宋体" w:eastAsia="宋体" w:cs="宋体"/>
          <w:spacing w:val="8"/>
          <w:sz w:val="20"/>
          <w:szCs w:val="20"/>
        </w:rPr>
        <w:t>。</w:t>
      </w:r>
    </w:p>
    <w:p>
      <w:pPr>
        <w:spacing w:before="98" w:line="228" w:lineRule="auto"/>
        <w:ind w:left="3623"/>
        <w:rPr>
          <w:rFonts w:ascii="黑体" w:hAnsi="黑体" w:eastAsia="黑体" w:cs="黑体"/>
          <w:sz w:val="19"/>
          <w:szCs w:val="19"/>
        </w:rPr>
      </w:pPr>
      <w:r>
        <w:rPr>
          <w:rFonts w:ascii="黑体" w:hAnsi="黑体" w:eastAsia="黑体" w:cs="黑体"/>
          <w:spacing w:val="10"/>
          <w:sz w:val="19"/>
          <w:szCs w:val="19"/>
        </w:rPr>
        <w:t>表</w:t>
      </w:r>
      <w:r>
        <w:rPr>
          <w:rFonts w:ascii="Times New Roman" w:hAnsi="Times New Roman" w:eastAsia="Times New Roman" w:cs="Times New Roman"/>
          <w:spacing w:val="6"/>
          <w:sz w:val="19"/>
          <w:szCs w:val="19"/>
        </w:rPr>
        <w:t xml:space="preserve">6    </w:t>
      </w:r>
      <w:r>
        <w:rPr>
          <w:rFonts w:ascii="黑体" w:hAnsi="黑体" w:eastAsia="黑体" w:cs="黑体"/>
          <w:spacing w:val="6"/>
          <w:sz w:val="19"/>
          <w:szCs w:val="19"/>
        </w:rPr>
        <w:t>项目组成情况表</w:t>
      </w:r>
    </w:p>
    <w:tbl>
      <w:tblPr>
        <w:tblStyle w:val="4"/>
        <w:tblW w:w="91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8"/>
        <w:gridCol w:w="1041"/>
        <w:gridCol w:w="5543"/>
        <w:gridCol w:w="1168"/>
        <w:gridCol w:w="7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609" w:type="dxa"/>
            <w:gridSpan w:val="2"/>
            <w:vMerge w:val="restart"/>
            <w:tcBorders>
              <w:bottom w:val="nil"/>
            </w:tcBorders>
            <w:vAlign w:val="top"/>
          </w:tcPr>
          <w:p>
            <w:pPr>
              <w:spacing w:before="220" w:line="231" w:lineRule="auto"/>
              <w:ind w:left="449"/>
              <w:rPr>
                <w:rFonts w:ascii="宋体" w:hAnsi="宋体" w:eastAsia="宋体" w:cs="宋体"/>
                <w:sz w:val="17"/>
                <w:szCs w:val="17"/>
              </w:rPr>
            </w:pPr>
            <w:bookmarkStart w:id="19" w:name="_bookmark20"/>
            <w:bookmarkEnd w:id="19"/>
            <w:r>
              <w:rPr>
                <w:rFonts w:ascii="宋体" w:hAnsi="宋体" w:eastAsia="宋体" w:cs="宋体"/>
                <w:spacing w:val="8"/>
                <w:sz w:val="17"/>
                <w:szCs w:val="17"/>
                <w14:textOutline w14:w="3268" w14:cap="sq" w14:cmpd="sng">
                  <w14:solidFill>
                    <w14:srgbClr w14:val="000000"/>
                  </w14:solidFill>
                  <w14:prstDash w14:val="solid"/>
                  <w14:bevel/>
                </w14:textOutline>
              </w:rPr>
              <w:t>项目名称</w:t>
            </w:r>
          </w:p>
        </w:tc>
        <w:tc>
          <w:tcPr>
            <w:tcW w:w="5543" w:type="dxa"/>
            <w:vMerge w:val="restart"/>
            <w:tcBorders>
              <w:bottom w:val="nil"/>
            </w:tcBorders>
            <w:vAlign w:val="top"/>
          </w:tcPr>
          <w:p>
            <w:pPr>
              <w:spacing w:before="220" w:line="230" w:lineRule="auto"/>
              <w:ind w:left="2144"/>
              <w:rPr>
                <w:rFonts w:ascii="宋体" w:hAnsi="宋体" w:eastAsia="宋体" w:cs="宋体"/>
                <w:sz w:val="17"/>
                <w:szCs w:val="17"/>
              </w:rPr>
            </w:pPr>
            <w:r>
              <w:rPr>
                <w:rFonts w:ascii="宋体" w:hAnsi="宋体" w:eastAsia="宋体" w:cs="宋体"/>
                <w:spacing w:val="11"/>
                <w:sz w:val="17"/>
                <w:szCs w:val="17"/>
                <w14:textOutline w14:w="3268" w14:cap="sq" w14:cmpd="sng">
                  <w14:solidFill>
                    <w14:srgbClr w14:val="000000"/>
                  </w14:solidFill>
                  <w14:prstDash w14:val="solid"/>
                  <w14:bevel/>
                </w14:textOutline>
              </w:rPr>
              <w:t>工</w:t>
            </w:r>
            <w:r>
              <w:rPr>
                <w:rFonts w:ascii="宋体" w:hAnsi="宋体" w:eastAsia="宋体" w:cs="宋体"/>
                <w:spacing w:val="9"/>
                <w:sz w:val="17"/>
                <w:szCs w:val="17"/>
                <w14:textOutline w14:w="3268" w14:cap="sq" w14:cmpd="sng">
                  <w14:solidFill>
                    <w14:srgbClr w14:val="000000"/>
                  </w14:solidFill>
                  <w14:prstDash w14:val="solid"/>
                  <w14:bevel/>
                </w14:textOutline>
              </w:rPr>
              <w:t>程内容及规模</w:t>
            </w:r>
          </w:p>
        </w:tc>
        <w:tc>
          <w:tcPr>
            <w:tcW w:w="1965" w:type="dxa"/>
            <w:gridSpan w:val="2"/>
            <w:vAlign w:val="top"/>
          </w:tcPr>
          <w:p>
            <w:pPr>
              <w:spacing w:before="74" w:line="230" w:lineRule="auto"/>
              <w:ind w:left="176"/>
              <w:rPr>
                <w:rFonts w:ascii="宋体" w:hAnsi="宋体" w:eastAsia="宋体" w:cs="宋体"/>
                <w:sz w:val="17"/>
                <w:szCs w:val="17"/>
              </w:rPr>
            </w:pPr>
            <w:r>
              <w:rPr>
                <w:rFonts w:ascii="宋体" w:hAnsi="宋体" w:eastAsia="宋体" w:cs="宋体"/>
                <w:spacing w:val="14"/>
                <w:sz w:val="17"/>
                <w:szCs w:val="17"/>
                <w14:textOutline w14:w="3268" w14:cap="sq" w14:cmpd="sng">
                  <w14:solidFill>
                    <w14:srgbClr w14:val="000000"/>
                  </w14:solidFill>
                  <w14:prstDash w14:val="solid"/>
                  <w14:bevel/>
                </w14:textOutline>
              </w:rPr>
              <w:t>可</w:t>
            </w:r>
            <w:r>
              <w:rPr>
                <w:rFonts w:ascii="宋体" w:hAnsi="宋体" w:eastAsia="宋体" w:cs="宋体"/>
                <w:spacing w:val="9"/>
                <w:sz w:val="17"/>
                <w:szCs w:val="17"/>
                <w14:textOutline w14:w="3268" w14:cap="sq" w14:cmpd="sng">
                  <w14:solidFill>
                    <w14:srgbClr w14:val="000000"/>
                  </w14:solidFill>
                  <w14:prstDash w14:val="solid"/>
                  <w14:bevel/>
                </w14:textOutline>
              </w:rPr>
              <w:t>能产生的环境影响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1609" w:type="dxa"/>
            <w:gridSpan w:val="2"/>
            <w:vMerge w:val="continue"/>
            <w:tcBorders>
              <w:top w:val="nil"/>
            </w:tcBorders>
            <w:vAlign w:val="top"/>
          </w:tcPr>
          <w:p>
            <w:pPr>
              <w:rPr>
                <w:rFonts w:ascii="Arial"/>
                <w:sz w:val="21"/>
              </w:rPr>
            </w:pPr>
          </w:p>
        </w:tc>
        <w:tc>
          <w:tcPr>
            <w:tcW w:w="5543" w:type="dxa"/>
            <w:vMerge w:val="continue"/>
            <w:tcBorders>
              <w:top w:val="nil"/>
            </w:tcBorders>
            <w:vAlign w:val="top"/>
          </w:tcPr>
          <w:p>
            <w:pPr>
              <w:rPr>
                <w:rFonts w:ascii="Arial"/>
                <w:sz w:val="21"/>
              </w:rPr>
            </w:pPr>
          </w:p>
        </w:tc>
        <w:tc>
          <w:tcPr>
            <w:tcW w:w="1168" w:type="dxa"/>
            <w:vAlign w:val="top"/>
          </w:tcPr>
          <w:p>
            <w:pPr>
              <w:spacing w:before="72" w:line="231" w:lineRule="auto"/>
              <w:ind w:left="318"/>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施</w:t>
            </w:r>
            <w:r>
              <w:rPr>
                <w:rFonts w:ascii="宋体" w:hAnsi="宋体" w:eastAsia="宋体" w:cs="宋体"/>
                <w:spacing w:val="8"/>
                <w:sz w:val="17"/>
                <w:szCs w:val="17"/>
                <w14:textOutline w14:w="3268" w14:cap="sq" w14:cmpd="sng">
                  <w14:solidFill>
                    <w14:srgbClr w14:val="000000"/>
                  </w14:solidFill>
                  <w14:prstDash w14:val="solid"/>
                  <w14:bevel/>
                </w14:textOutline>
              </w:rPr>
              <w:t>工期</w:t>
            </w:r>
          </w:p>
        </w:tc>
        <w:tc>
          <w:tcPr>
            <w:tcW w:w="797" w:type="dxa"/>
            <w:vAlign w:val="top"/>
          </w:tcPr>
          <w:p>
            <w:pPr>
              <w:spacing w:before="72" w:line="231" w:lineRule="auto"/>
              <w:ind w:left="138"/>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营</w:t>
            </w:r>
            <w:r>
              <w:rPr>
                <w:rFonts w:ascii="宋体" w:hAnsi="宋体" w:eastAsia="宋体" w:cs="宋体"/>
                <w:spacing w:val="6"/>
                <w:sz w:val="17"/>
                <w:szCs w:val="17"/>
                <w14:textOutline w14:w="3268" w14:cap="sq" w14:cmpd="sng">
                  <w14:solidFill>
                    <w14:srgbClr w14:val="000000"/>
                  </w14:solidFill>
                  <w14:prstDash w14:val="solid"/>
                  <w14:bevel/>
                </w14:textOutline>
              </w:rPr>
              <w:t>运期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568" w:type="dxa"/>
            <w:vMerge w:val="restart"/>
            <w:tcBorders>
              <w:bottom w:val="nil"/>
            </w:tcBorders>
            <w:vAlign w:val="top"/>
          </w:tcPr>
          <w:p>
            <w:pPr>
              <w:spacing w:line="468" w:lineRule="auto"/>
              <w:rPr>
                <w:rFonts w:ascii="Arial"/>
                <w:sz w:val="21"/>
              </w:rPr>
            </w:pPr>
          </w:p>
          <w:p>
            <w:pPr>
              <w:spacing w:before="56" w:line="317" w:lineRule="auto"/>
              <w:ind w:left="110" w:right="101"/>
              <w:rPr>
                <w:rFonts w:ascii="宋体" w:hAnsi="宋体" w:eastAsia="宋体" w:cs="宋体"/>
                <w:sz w:val="17"/>
                <w:szCs w:val="17"/>
              </w:rPr>
            </w:pPr>
            <w:r>
              <w:rPr>
                <w:rFonts w:ascii="宋体" w:hAnsi="宋体" w:eastAsia="宋体" w:cs="宋体"/>
                <w:spacing w:val="5"/>
                <w:sz w:val="17"/>
                <w:szCs w:val="17"/>
              </w:rPr>
              <w:t>前期</w:t>
            </w:r>
            <w:r>
              <w:rPr>
                <w:rFonts w:ascii="宋体" w:hAnsi="宋体" w:eastAsia="宋体" w:cs="宋体"/>
                <w:sz w:val="17"/>
                <w:szCs w:val="17"/>
              </w:rPr>
              <w:t xml:space="preserve"> </w:t>
            </w:r>
            <w:r>
              <w:rPr>
                <w:rFonts w:ascii="宋体" w:hAnsi="宋体" w:eastAsia="宋体" w:cs="宋体"/>
                <w:spacing w:val="5"/>
                <w:sz w:val="17"/>
                <w:szCs w:val="17"/>
              </w:rPr>
              <w:t>工程</w:t>
            </w:r>
          </w:p>
        </w:tc>
        <w:tc>
          <w:tcPr>
            <w:tcW w:w="1041" w:type="dxa"/>
            <w:vAlign w:val="top"/>
          </w:tcPr>
          <w:p>
            <w:pPr>
              <w:spacing w:before="214" w:line="230" w:lineRule="auto"/>
              <w:ind w:left="166"/>
              <w:rPr>
                <w:rFonts w:ascii="宋体" w:hAnsi="宋体" w:eastAsia="宋体" w:cs="宋体"/>
                <w:sz w:val="17"/>
                <w:szCs w:val="17"/>
              </w:rPr>
            </w:pPr>
            <w:r>
              <w:rPr>
                <w:rFonts w:ascii="宋体" w:hAnsi="宋体" w:eastAsia="宋体" w:cs="宋体"/>
                <w:spacing w:val="9"/>
                <w:sz w:val="17"/>
                <w:szCs w:val="17"/>
              </w:rPr>
              <w:t>征</w:t>
            </w:r>
            <w:r>
              <w:rPr>
                <w:rFonts w:ascii="宋体" w:hAnsi="宋体" w:eastAsia="宋体" w:cs="宋体"/>
                <w:spacing w:val="7"/>
                <w:sz w:val="17"/>
                <w:szCs w:val="17"/>
              </w:rPr>
              <w:t>地工程</w:t>
            </w:r>
          </w:p>
        </w:tc>
        <w:tc>
          <w:tcPr>
            <w:tcW w:w="5543" w:type="dxa"/>
            <w:vAlign w:val="top"/>
          </w:tcPr>
          <w:p>
            <w:pPr>
              <w:spacing w:before="40" w:line="281" w:lineRule="auto"/>
              <w:ind w:left="56" w:right="18" w:hanging="26"/>
              <w:rPr>
                <w:rFonts w:ascii="宋体" w:hAnsi="宋体" w:eastAsia="宋体" w:cs="宋体"/>
                <w:sz w:val="17"/>
                <w:szCs w:val="17"/>
              </w:rPr>
            </w:pPr>
            <w:r>
              <w:rPr>
                <w:rFonts w:ascii="宋体" w:hAnsi="宋体" w:eastAsia="宋体" w:cs="宋体"/>
                <w:spacing w:val="6"/>
                <w:sz w:val="17"/>
                <w:szCs w:val="17"/>
              </w:rPr>
              <w:t>项目桥梁</w:t>
            </w:r>
            <w:r>
              <w:rPr>
                <w:rFonts w:ascii="宋体" w:hAnsi="宋体" w:eastAsia="宋体" w:cs="宋体"/>
                <w:spacing w:val="4"/>
                <w:sz w:val="17"/>
                <w:szCs w:val="17"/>
              </w:rPr>
              <w:t>永</w:t>
            </w:r>
            <w:r>
              <w:rPr>
                <w:rFonts w:ascii="宋体" w:hAnsi="宋体" w:eastAsia="宋体" w:cs="宋体"/>
                <w:spacing w:val="3"/>
                <w:sz w:val="17"/>
                <w:szCs w:val="17"/>
              </w:rPr>
              <w:t xml:space="preserve">久占地 </w:t>
            </w:r>
            <w:r>
              <w:rPr>
                <w:rFonts w:ascii="Times New Roman" w:hAnsi="Times New Roman" w:eastAsia="Times New Roman" w:cs="Times New Roman"/>
                <w:spacing w:val="3"/>
                <w:sz w:val="17"/>
                <w:szCs w:val="17"/>
              </w:rPr>
              <w:t>1.4019</w:t>
            </w:r>
            <w:r>
              <w:rPr>
                <w:rFonts w:ascii="Times New Roman" w:hAnsi="Times New Roman" w:eastAsia="Times New Roman" w:cs="Times New Roman"/>
                <w:sz w:val="17"/>
                <w:szCs w:val="17"/>
              </w:rPr>
              <w:t>hm</w:t>
            </w:r>
            <w:r>
              <w:rPr>
                <w:rFonts w:ascii="宋体" w:hAnsi="宋体" w:eastAsia="宋体" w:cs="宋体"/>
                <w:spacing w:val="3"/>
                <w:sz w:val="17"/>
                <w:szCs w:val="17"/>
              </w:rPr>
              <w:t xml:space="preserve">² ；临时占地 </w:t>
            </w:r>
            <w:r>
              <w:rPr>
                <w:rFonts w:ascii="Times New Roman" w:hAnsi="Times New Roman" w:eastAsia="Times New Roman" w:cs="Times New Roman"/>
                <w:spacing w:val="3"/>
                <w:sz w:val="17"/>
                <w:szCs w:val="17"/>
              </w:rPr>
              <w:t>1.84</w:t>
            </w:r>
            <w:r>
              <w:rPr>
                <w:rFonts w:ascii="Times New Roman" w:hAnsi="Times New Roman" w:eastAsia="Times New Roman" w:cs="Times New Roman"/>
                <w:sz w:val="17"/>
                <w:szCs w:val="17"/>
              </w:rPr>
              <w:t>hm</w:t>
            </w:r>
            <w:r>
              <w:rPr>
                <w:rFonts w:ascii="宋体" w:hAnsi="宋体" w:eastAsia="宋体" w:cs="宋体"/>
                <w:spacing w:val="3"/>
                <w:sz w:val="17"/>
                <w:szCs w:val="17"/>
              </w:rPr>
              <w:t>²，其中施工临时场地</w:t>
            </w:r>
            <w:r>
              <w:rPr>
                <w:rFonts w:ascii="宋体" w:hAnsi="宋体" w:eastAsia="宋体" w:cs="宋体"/>
                <w:sz w:val="17"/>
                <w:szCs w:val="17"/>
              </w:rPr>
              <w:t xml:space="preserve"> </w:t>
            </w:r>
            <w:r>
              <w:rPr>
                <w:rFonts w:ascii="宋体" w:hAnsi="宋体" w:eastAsia="宋体" w:cs="宋体"/>
                <w:spacing w:val="3"/>
                <w:sz w:val="17"/>
                <w:szCs w:val="17"/>
              </w:rPr>
              <w:t>占</w:t>
            </w:r>
            <w:r>
              <w:rPr>
                <w:rFonts w:ascii="宋体" w:hAnsi="宋体" w:eastAsia="宋体" w:cs="宋体"/>
                <w:spacing w:val="2"/>
                <w:sz w:val="17"/>
                <w:szCs w:val="17"/>
              </w:rPr>
              <w:t xml:space="preserve">地 </w:t>
            </w:r>
            <w:r>
              <w:rPr>
                <w:rFonts w:ascii="Times New Roman" w:hAnsi="Times New Roman" w:eastAsia="Times New Roman" w:cs="Times New Roman"/>
                <w:spacing w:val="2"/>
                <w:sz w:val="17"/>
                <w:szCs w:val="17"/>
              </w:rPr>
              <w:t>1 35</w:t>
            </w:r>
            <w:r>
              <w:rPr>
                <w:rFonts w:ascii="Times New Roman" w:hAnsi="Times New Roman" w:eastAsia="Times New Roman" w:cs="Times New Roman"/>
                <w:sz w:val="17"/>
                <w:szCs w:val="17"/>
              </w:rPr>
              <w:t>hm</w:t>
            </w:r>
            <w:r>
              <w:rPr>
                <w:rFonts w:ascii="宋体" w:hAnsi="宋体" w:eastAsia="宋体" w:cs="宋体"/>
                <w:spacing w:val="2"/>
                <w:sz w:val="17"/>
                <w:szCs w:val="17"/>
              </w:rPr>
              <w:t xml:space="preserve">²、施工便道占地 </w:t>
            </w:r>
            <w:r>
              <w:rPr>
                <w:rFonts w:ascii="Times New Roman" w:hAnsi="Times New Roman" w:eastAsia="Times New Roman" w:cs="Times New Roman"/>
                <w:spacing w:val="2"/>
                <w:sz w:val="17"/>
                <w:szCs w:val="17"/>
              </w:rPr>
              <w:t>0 49</w:t>
            </w:r>
            <w:r>
              <w:rPr>
                <w:rFonts w:ascii="Times New Roman" w:hAnsi="Times New Roman" w:eastAsia="Times New Roman" w:cs="Times New Roman"/>
                <w:sz w:val="17"/>
                <w:szCs w:val="17"/>
              </w:rPr>
              <w:t>hm</w:t>
            </w:r>
            <w:r>
              <w:rPr>
                <w:rFonts w:ascii="宋体" w:hAnsi="宋体" w:eastAsia="宋体" w:cs="宋体"/>
                <w:spacing w:val="2"/>
                <w:sz w:val="17"/>
                <w:szCs w:val="17"/>
              </w:rPr>
              <w:t>²</w:t>
            </w:r>
          </w:p>
        </w:tc>
        <w:tc>
          <w:tcPr>
            <w:tcW w:w="1168" w:type="dxa"/>
            <w:vAlign w:val="top"/>
          </w:tcPr>
          <w:p>
            <w:pPr>
              <w:spacing w:before="179" w:line="242" w:lineRule="exact"/>
              <w:ind w:left="55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797" w:type="dxa"/>
            <w:vMerge w:val="restart"/>
            <w:tcBorders>
              <w:bottom w:val="nil"/>
            </w:tcBorders>
            <w:vAlign w:val="top"/>
          </w:tcPr>
          <w:p>
            <w:pPr>
              <w:spacing w:line="290" w:lineRule="auto"/>
              <w:rPr>
                <w:rFonts w:ascii="Arial"/>
                <w:sz w:val="21"/>
              </w:rPr>
            </w:pPr>
          </w:p>
          <w:p>
            <w:pPr>
              <w:spacing w:line="290" w:lineRule="auto"/>
              <w:rPr>
                <w:rFonts w:ascii="Arial"/>
                <w:sz w:val="21"/>
              </w:rPr>
            </w:pPr>
          </w:p>
          <w:p>
            <w:pPr>
              <w:spacing w:before="49" w:line="242" w:lineRule="exact"/>
              <w:ind w:left="373"/>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68" w:type="dxa"/>
            <w:vMerge w:val="continue"/>
            <w:tcBorders>
              <w:top w:val="nil"/>
              <w:bottom w:val="nil"/>
            </w:tcBorders>
            <w:vAlign w:val="top"/>
          </w:tcPr>
          <w:p>
            <w:pPr>
              <w:rPr>
                <w:rFonts w:ascii="Arial"/>
                <w:sz w:val="21"/>
              </w:rPr>
            </w:pPr>
          </w:p>
        </w:tc>
        <w:tc>
          <w:tcPr>
            <w:tcW w:w="1041" w:type="dxa"/>
            <w:vAlign w:val="top"/>
          </w:tcPr>
          <w:p>
            <w:pPr>
              <w:spacing w:before="93" w:line="231" w:lineRule="auto"/>
              <w:ind w:left="164"/>
              <w:rPr>
                <w:rFonts w:ascii="宋体" w:hAnsi="宋体" w:eastAsia="宋体" w:cs="宋体"/>
                <w:sz w:val="17"/>
                <w:szCs w:val="17"/>
              </w:rPr>
            </w:pPr>
            <w:r>
              <w:rPr>
                <w:rFonts w:ascii="宋体" w:hAnsi="宋体" w:eastAsia="宋体" w:cs="宋体"/>
                <w:spacing w:val="8"/>
                <w:sz w:val="17"/>
                <w:szCs w:val="17"/>
              </w:rPr>
              <w:t>拆迁工程</w:t>
            </w:r>
          </w:p>
        </w:tc>
        <w:tc>
          <w:tcPr>
            <w:tcW w:w="5543" w:type="dxa"/>
            <w:vAlign w:val="top"/>
          </w:tcPr>
          <w:p>
            <w:pPr>
              <w:spacing w:before="93" w:line="229" w:lineRule="auto"/>
              <w:ind w:left="28"/>
              <w:rPr>
                <w:rFonts w:ascii="宋体" w:hAnsi="宋体" w:eastAsia="宋体" w:cs="宋体"/>
                <w:sz w:val="17"/>
                <w:szCs w:val="17"/>
              </w:rPr>
            </w:pPr>
            <w:r>
              <w:rPr>
                <w:rFonts w:ascii="宋体" w:hAnsi="宋体" w:eastAsia="宋体" w:cs="宋体"/>
                <w:spacing w:val="18"/>
                <w:sz w:val="17"/>
                <w:szCs w:val="17"/>
              </w:rPr>
              <w:t>本</w:t>
            </w:r>
            <w:r>
              <w:rPr>
                <w:rFonts w:ascii="宋体" w:hAnsi="宋体" w:eastAsia="宋体" w:cs="宋体"/>
                <w:spacing w:val="15"/>
                <w:sz w:val="17"/>
                <w:szCs w:val="17"/>
              </w:rPr>
              <w:t>项</w:t>
            </w:r>
            <w:r>
              <w:rPr>
                <w:rFonts w:ascii="宋体" w:hAnsi="宋体" w:eastAsia="宋体" w:cs="宋体"/>
                <w:spacing w:val="9"/>
                <w:sz w:val="17"/>
                <w:szCs w:val="17"/>
              </w:rPr>
              <w:t>目不涉及房屋拆迁，不涉及供电线及通讯线拆迁</w:t>
            </w:r>
          </w:p>
        </w:tc>
        <w:tc>
          <w:tcPr>
            <w:tcW w:w="1168" w:type="dxa"/>
            <w:vAlign w:val="top"/>
          </w:tcPr>
          <w:p>
            <w:pPr>
              <w:spacing w:before="60" w:line="242" w:lineRule="exact"/>
              <w:ind w:left="55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79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68" w:type="dxa"/>
            <w:vMerge w:val="continue"/>
            <w:tcBorders>
              <w:top w:val="nil"/>
            </w:tcBorders>
            <w:vAlign w:val="top"/>
          </w:tcPr>
          <w:p>
            <w:pPr>
              <w:rPr>
                <w:rFonts w:ascii="Arial"/>
                <w:sz w:val="21"/>
              </w:rPr>
            </w:pPr>
          </w:p>
        </w:tc>
        <w:tc>
          <w:tcPr>
            <w:tcW w:w="1041" w:type="dxa"/>
            <w:vAlign w:val="top"/>
          </w:tcPr>
          <w:p>
            <w:pPr>
              <w:spacing w:before="230" w:line="231" w:lineRule="auto"/>
              <w:ind w:left="252"/>
              <w:rPr>
                <w:rFonts w:ascii="宋体" w:hAnsi="宋体" w:eastAsia="宋体" w:cs="宋体"/>
                <w:sz w:val="17"/>
                <w:szCs w:val="17"/>
              </w:rPr>
            </w:pPr>
            <w:r>
              <w:rPr>
                <w:rFonts w:ascii="宋体" w:hAnsi="宋体" w:eastAsia="宋体" w:cs="宋体"/>
                <w:spacing w:val="8"/>
                <w:sz w:val="17"/>
                <w:szCs w:val="17"/>
              </w:rPr>
              <w:t>挖填</w:t>
            </w:r>
            <w:r>
              <w:rPr>
                <w:rFonts w:ascii="宋体" w:hAnsi="宋体" w:eastAsia="宋体" w:cs="宋体"/>
                <w:spacing w:val="7"/>
                <w:sz w:val="17"/>
                <w:szCs w:val="17"/>
              </w:rPr>
              <w:t>方</w:t>
            </w:r>
          </w:p>
        </w:tc>
        <w:tc>
          <w:tcPr>
            <w:tcW w:w="5543" w:type="dxa"/>
            <w:vAlign w:val="top"/>
          </w:tcPr>
          <w:p>
            <w:pPr>
              <w:spacing w:before="90" w:line="262" w:lineRule="auto"/>
              <w:ind w:left="31" w:right="20" w:hanging="2"/>
              <w:rPr>
                <w:rFonts w:ascii="宋体" w:hAnsi="宋体" w:eastAsia="宋体" w:cs="宋体"/>
                <w:sz w:val="17"/>
                <w:szCs w:val="17"/>
              </w:rPr>
            </w:pPr>
            <w:r>
              <w:rPr>
                <w:rFonts w:ascii="宋体" w:hAnsi="宋体" w:eastAsia="宋体" w:cs="宋体"/>
                <w:spacing w:val="-10"/>
                <w:sz w:val="17"/>
                <w:szCs w:val="17"/>
              </w:rPr>
              <w:t>工</w:t>
            </w:r>
            <w:r>
              <w:rPr>
                <w:rFonts w:ascii="宋体" w:hAnsi="宋体" w:eastAsia="宋体" w:cs="宋体"/>
                <w:spacing w:val="-9"/>
                <w:sz w:val="17"/>
                <w:szCs w:val="17"/>
              </w:rPr>
              <w:t>程</w:t>
            </w:r>
            <w:r>
              <w:rPr>
                <w:rFonts w:ascii="宋体" w:hAnsi="宋体" w:eastAsia="宋体" w:cs="宋体"/>
                <w:spacing w:val="-5"/>
                <w:sz w:val="17"/>
                <w:szCs w:val="17"/>
              </w:rPr>
              <w:t xml:space="preserve">挖方总量为 </w:t>
            </w:r>
            <w:r>
              <w:rPr>
                <w:rFonts w:ascii="Times New Roman" w:hAnsi="Times New Roman" w:eastAsia="Times New Roman" w:cs="Times New Roman"/>
                <w:spacing w:val="-5"/>
                <w:sz w:val="17"/>
                <w:szCs w:val="17"/>
              </w:rPr>
              <w:t xml:space="preserve">1. 10 </w:t>
            </w:r>
            <w:r>
              <w:rPr>
                <w:rFonts w:ascii="宋体" w:hAnsi="宋体" w:eastAsia="宋体" w:cs="宋体"/>
                <w:spacing w:val="-5"/>
                <w:sz w:val="17"/>
                <w:szCs w:val="17"/>
              </w:rPr>
              <w:t xml:space="preserve">万 </w:t>
            </w:r>
            <w:r>
              <w:rPr>
                <w:rFonts w:ascii="Times New Roman" w:hAnsi="Times New Roman" w:eastAsia="Times New Roman" w:cs="Times New Roman"/>
                <w:spacing w:val="-5"/>
                <w:sz w:val="17"/>
                <w:szCs w:val="17"/>
              </w:rPr>
              <w:t>m</w:t>
            </w:r>
            <w:r>
              <w:rPr>
                <w:rFonts w:ascii="宋体" w:hAnsi="宋体" w:eastAsia="宋体" w:cs="宋体"/>
                <w:spacing w:val="-5"/>
                <w:sz w:val="17"/>
                <w:szCs w:val="17"/>
              </w:rPr>
              <w:t xml:space="preserve">³ (含表土剥离 </w:t>
            </w:r>
            <w:r>
              <w:rPr>
                <w:rFonts w:ascii="Times New Roman" w:hAnsi="Times New Roman" w:eastAsia="Times New Roman" w:cs="Times New Roman"/>
                <w:spacing w:val="-5"/>
                <w:sz w:val="17"/>
                <w:szCs w:val="17"/>
              </w:rPr>
              <w:t xml:space="preserve">0.09 </w:t>
            </w:r>
            <w:r>
              <w:rPr>
                <w:rFonts w:ascii="宋体" w:hAnsi="宋体" w:eastAsia="宋体" w:cs="宋体"/>
                <w:spacing w:val="-5"/>
                <w:sz w:val="17"/>
                <w:szCs w:val="17"/>
              </w:rPr>
              <w:t xml:space="preserve">万 </w:t>
            </w:r>
            <w:r>
              <w:rPr>
                <w:rFonts w:ascii="Times New Roman" w:hAnsi="Times New Roman" w:eastAsia="Times New Roman" w:cs="Times New Roman"/>
                <w:spacing w:val="-5"/>
                <w:sz w:val="17"/>
                <w:szCs w:val="17"/>
              </w:rPr>
              <w:t>m</w:t>
            </w:r>
            <w:r>
              <w:rPr>
                <w:rFonts w:ascii="宋体" w:hAnsi="宋体" w:eastAsia="宋体" w:cs="宋体"/>
                <w:spacing w:val="-5"/>
                <w:sz w:val="17"/>
                <w:szCs w:val="17"/>
              </w:rPr>
              <w:t xml:space="preserve">³ ) ，填方总量为 </w:t>
            </w:r>
            <w:r>
              <w:rPr>
                <w:rFonts w:ascii="Times New Roman" w:hAnsi="Times New Roman" w:eastAsia="Times New Roman" w:cs="Times New Roman"/>
                <w:spacing w:val="-5"/>
                <w:sz w:val="17"/>
                <w:szCs w:val="17"/>
              </w:rPr>
              <w:t>1. 10</w:t>
            </w:r>
            <w:r>
              <w:rPr>
                <w:rFonts w:ascii="Times New Roman" w:hAnsi="Times New Roman" w:eastAsia="Times New Roman" w:cs="Times New Roman"/>
                <w:sz w:val="17"/>
                <w:szCs w:val="17"/>
              </w:rPr>
              <w:t xml:space="preserve"> </w:t>
            </w:r>
            <w:r>
              <w:rPr>
                <w:rFonts w:ascii="宋体" w:hAnsi="宋体" w:eastAsia="宋体" w:cs="宋体"/>
                <w:spacing w:val="2"/>
                <w:sz w:val="17"/>
                <w:szCs w:val="17"/>
              </w:rPr>
              <w:t xml:space="preserve">万 </w:t>
            </w:r>
            <w:r>
              <w:rPr>
                <w:rFonts w:ascii="Times New Roman" w:hAnsi="Times New Roman" w:eastAsia="Times New Roman" w:cs="Times New Roman"/>
                <w:sz w:val="17"/>
                <w:szCs w:val="17"/>
              </w:rPr>
              <w:t>m</w:t>
            </w:r>
            <w:r>
              <w:rPr>
                <w:rFonts w:ascii="宋体" w:hAnsi="宋体" w:eastAsia="宋体" w:cs="宋体"/>
                <w:spacing w:val="2"/>
                <w:sz w:val="17"/>
                <w:szCs w:val="17"/>
              </w:rPr>
              <w:t>³ (</w:t>
            </w:r>
            <w:r>
              <w:rPr>
                <w:rFonts w:ascii="宋体" w:hAnsi="宋体" w:eastAsia="宋体" w:cs="宋体"/>
                <w:spacing w:val="1"/>
                <w:sz w:val="17"/>
                <w:szCs w:val="17"/>
              </w:rPr>
              <w:t xml:space="preserve">含表土回覆 </w:t>
            </w:r>
            <w:r>
              <w:rPr>
                <w:rFonts w:ascii="Times New Roman" w:hAnsi="Times New Roman" w:eastAsia="Times New Roman" w:cs="Times New Roman"/>
                <w:spacing w:val="1"/>
                <w:sz w:val="17"/>
                <w:szCs w:val="17"/>
              </w:rPr>
              <w:t xml:space="preserve">0.09 </w:t>
            </w:r>
            <w:r>
              <w:rPr>
                <w:rFonts w:ascii="宋体" w:hAnsi="宋体" w:eastAsia="宋体" w:cs="宋体"/>
                <w:spacing w:val="1"/>
                <w:sz w:val="17"/>
                <w:szCs w:val="17"/>
              </w:rPr>
              <w:t xml:space="preserve">万 </w:t>
            </w:r>
            <w:r>
              <w:rPr>
                <w:rFonts w:ascii="Times New Roman" w:hAnsi="Times New Roman" w:eastAsia="Times New Roman" w:cs="Times New Roman"/>
                <w:sz w:val="17"/>
                <w:szCs w:val="17"/>
              </w:rPr>
              <w:t>m</w:t>
            </w:r>
            <w:r>
              <w:rPr>
                <w:rFonts w:ascii="宋体" w:hAnsi="宋体" w:eastAsia="宋体" w:cs="宋体"/>
                <w:spacing w:val="1"/>
                <w:sz w:val="17"/>
                <w:szCs w:val="17"/>
              </w:rPr>
              <w:t>³ ) ，无弃方产生，不设弃土场</w:t>
            </w:r>
          </w:p>
        </w:tc>
        <w:tc>
          <w:tcPr>
            <w:tcW w:w="1168" w:type="dxa"/>
            <w:vMerge w:val="restart"/>
            <w:tcBorders>
              <w:bottom w:val="nil"/>
            </w:tcBorders>
            <w:vAlign w:val="top"/>
          </w:tcPr>
          <w:p>
            <w:pPr>
              <w:spacing w:before="91" w:line="268" w:lineRule="auto"/>
              <w:ind w:left="425" w:right="70" w:hanging="367"/>
              <w:rPr>
                <w:rFonts w:ascii="宋体" w:hAnsi="宋体" w:eastAsia="宋体" w:cs="宋体"/>
                <w:sz w:val="17"/>
                <w:szCs w:val="17"/>
              </w:rPr>
            </w:pPr>
            <w:r>
              <w:rPr>
                <w:rFonts w:ascii="宋体" w:hAnsi="宋体" w:eastAsia="宋体" w:cs="宋体"/>
                <w:spacing w:val="3"/>
                <w:sz w:val="17"/>
                <w:szCs w:val="17"/>
              </w:rPr>
              <w:t>噪</w:t>
            </w:r>
            <w:r>
              <w:rPr>
                <w:rFonts w:ascii="宋体" w:hAnsi="宋体" w:eastAsia="宋体" w:cs="宋体"/>
                <w:spacing w:val="2"/>
                <w:sz w:val="17"/>
                <w:szCs w:val="17"/>
              </w:rPr>
              <w:t>声、扬尘、</w:t>
            </w:r>
            <w:r>
              <w:rPr>
                <w:rFonts w:ascii="宋体" w:hAnsi="宋体" w:eastAsia="宋体" w:cs="宋体"/>
                <w:sz w:val="17"/>
                <w:szCs w:val="17"/>
              </w:rPr>
              <w:t xml:space="preserve"> </w:t>
            </w:r>
            <w:r>
              <w:rPr>
                <w:rFonts w:ascii="宋体" w:hAnsi="宋体" w:eastAsia="宋体" w:cs="宋体"/>
                <w:spacing w:val="-2"/>
                <w:sz w:val="17"/>
                <w:szCs w:val="17"/>
              </w:rPr>
              <w:t>固</w:t>
            </w:r>
            <w:r>
              <w:rPr>
                <w:rFonts w:ascii="宋体" w:hAnsi="宋体" w:eastAsia="宋体" w:cs="宋体"/>
                <w:spacing w:val="-1"/>
                <w:sz w:val="17"/>
                <w:szCs w:val="17"/>
              </w:rPr>
              <w:t>废</w:t>
            </w:r>
          </w:p>
        </w:tc>
        <w:tc>
          <w:tcPr>
            <w:tcW w:w="79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568" w:type="dxa"/>
            <w:tcBorders>
              <w:left w:val="nil"/>
              <w:bottom w:val="nil"/>
              <w:right w:val="nil"/>
            </w:tcBorders>
            <w:vAlign w:val="top"/>
          </w:tcPr>
          <w:p>
            <w:pPr>
              <w:spacing w:line="20" w:lineRule="exact"/>
              <w:rPr>
                <w:rFonts w:ascii="Arial"/>
                <w:sz w:val="2"/>
              </w:rPr>
            </w:pPr>
          </w:p>
        </w:tc>
        <w:tc>
          <w:tcPr>
            <w:tcW w:w="1041" w:type="dxa"/>
            <w:tcBorders>
              <w:left w:val="nil"/>
              <w:bottom w:val="nil"/>
              <w:right w:val="nil"/>
            </w:tcBorders>
            <w:vAlign w:val="top"/>
          </w:tcPr>
          <w:p>
            <w:pPr>
              <w:spacing w:line="20" w:lineRule="exact"/>
              <w:rPr>
                <w:rFonts w:ascii="Arial"/>
                <w:sz w:val="2"/>
              </w:rPr>
            </w:pPr>
          </w:p>
        </w:tc>
        <w:tc>
          <w:tcPr>
            <w:tcW w:w="5543" w:type="dxa"/>
            <w:tcBorders>
              <w:left w:val="nil"/>
              <w:bottom w:val="nil"/>
              <w:right w:val="nil"/>
            </w:tcBorders>
            <w:vAlign w:val="top"/>
          </w:tcPr>
          <w:p>
            <w:pPr>
              <w:spacing w:line="20" w:lineRule="exact"/>
              <w:rPr>
                <w:rFonts w:ascii="Arial"/>
                <w:sz w:val="2"/>
              </w:rPr>
            </w:pPr>
          </w:p>
        </w:tc>
        <w:tc>
          <w:tcPr>
            <w:tcW w:w="1168" w:type="dxa"/>
            <w:vMerge w:val="continue"/>
            <w:tcBorders>
              <w:top w:val="nil"/>
            </w:tcBorders>
            <w:vAlign w:val="top"/>
          </w:tcPr>
          <w:p>
            <w:pPr>
              <w:rPr>
                <w:rFonts w:ascii="Arial"/>
                <w:sz w:val="21"/>
              </w:rPr>
            </w:pPr>
          </w:p>
        </w:tc>
        <w:tc>
          <w:tcPr>
            <w:tcW w:w="797" w:type="dxa"/>
            <w:vMerge w:val="continue"/>
            <w:tcBorders>
              <w:top w:val="nil"/>
            </w:tcBorders>
            <w:vAlign w:val="top"/>
          </w:tcPr>
          <w:p>
            <w:pPr>
              <w:rPr>
                <w:rFonts w:ascii="Arial"/>
                <w:sz w:val="21"/>
              </w:rPr>
            </w:pPr>
          </w:p>
        </w:tc>
      </w:tr>
    </w:tbl>
    <w:p>
      <w:pPr>
        <w:rPr>
          <w:rFonts w:ascii="Arial"/>
          <w:sz w:val="21"/>
        </w:rPr>
      </w:pPr>
    </w:p>
    <w:p>
      <w:pPr>
        <w:sectPr>
          <w:footerReference r:id="rId110" w:type="default"/>
          <w:pgSz w:w="11906" w:h="16839"/>
          <w:pgMar w:top="400" w:right="1391" w:bottom="1027" w:left="1391" w:header="0" w:footer="840" w:gutter="0"/>
          <w:cols w:space="720" w:num="1"/>
        </w:sectPr>
      </w:pPr>
    </w:p>
    <w:p/>
    <w:p/>
    <w:p/>
    <w:p/>
    <w:p/>
    <w:p>
      <w:pPr>
        <w:spacing w:line="115" w:lineRule="exact"/>
      </w:pPr>
    </w:p>
    <w:tbl>
      <w:tblPr>
        <w:tblStyle w:val="4"/>
        <w:tblW w:w="91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8"/>
        <w:gridCol w:w="1041"/>
        <w:gridCol w:w="5543"/>
        <w:gridCol w:w="1168"/>
        <w:gridCol w:w="7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717" w:hRule="atLeast"/>
        </w:trPr>
        <w:tc>
          <w:tcPr>
            <w:tcW w:w="568"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55" w:line="315" w:lineRule="auto"/>
              <w:ind w:left="109" w:right="101"/>
              <w:rPr>
                <w:rFonts w:ascii="宋体" w:hAnsi="宋体" w:eastAsia="宋体" w:cs="宋体"/>
                <w:sz w:val="17"/>
                <w:szCs w:val="17"/>
              </w:rPr>
            </w:pPr>
            <w:r>
              <w:rPr>
                <w:rFonts w:ascii="宋体" w:hAnsi="宋体" w:eastAsia="宋体" w:cs="宋体"/>
                <w:spacing w:val="6"/>
                <w:sz w:val="17"/>
                <w:szCs w:val="17"/>
              </w:rPr>
              <w:t>主</w:t>
            </w:r>
            <w:r>
              <w:rPr>
                <w:rFonts w:ascii="宋体" w:hAnsi="宋体" w:eastAsia="宋体" w:cs="宋体"/>
                <w:spacing w:val="5"/>
                <w:sz w:val="17"/>
                <w:szCs w:val="17"/>
              </w:rPr>
              <w:t>体</w:t>
            </w:r>
            <w:r>
              <w:rPr>
                <w:rFonts w:ascii="宋体" w:hAnsi="宋体" w:eastAsia="宋体" w:cs="宋体"/>
                <w:sz w:val="17"/>
                <w:szCs w:val="17"/>
              </w:rPr>
              <w:t xml:space="preserve"> </w:t>
            </w:r>
            <w:r>
              <w:rPr>
                <w:rFonts w:ascii="宋体" w:hAnsi="宋体" w:eastAsia="宋体" w:cs="宋体"/>
                <w:spacing w:val="5"/>
                <w:sz w:val="17"/>
                <w:szCs w:val="17"/>
              </w:rPr>
              <w:t>工程</w:t>
            </w:r>
          </w:p>
        </w:tc>
        <w:tc>
          <w:tcPr>
            <w:tcW w:w="1041"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5" w:line="231" w:lineRule="auto"/>
              <w:ind w:left="345"/>
              <w:rPr>
                <w:rFonts w:ascii="宋体" w:hAnsi="宋体" w:eastAsia="宋体" w:cs="宋体"/>
                <w:sz w:val="17"/>
                <w:szCs w:val="17"/>
              </w:rPr>
            </w:pPr>
            <w:r>
              <w:rPr>
                <w:rFonts w:ascii="宋体" w:hAnsi="宋体" w:eastAsia="宋体" w:cs="宋体"/>
                <w:spacing w:val="6"/>
                <w:sz w:val="17"/>
                <w:szCs w:val="17"/>
              </w:rPr>
              <w:t>主</w:t>
            </w:r>
            <w:r>
              <w:rPr>
                <w:rFonts w:ascii="宋体" w:hAnsi="宋体" w:eastAsia="宋体" w:cs="宋体"/>
                <w:spacing w:val="5"/>
                <w:sz w:val="17"/>
                <w:szCs w:val="17"/>
              </w:rPr>
              <w:t>桥</w:t>
            </w:r>
          </w:p>
        </w:tc>
        <w:tc>
          <w:tcPr>
            <w:tcW w:w="5543" w:type="dxa"/>
            <w:vAlign w:val="top"/>
          </w:tcPr>
          <w:p>
            <w:pPr>
              <w:spacing w:before="89" w:line="292" w:lineRule="auto"/>
              <w:ind w:left="27"/>
              <w:rPr>
                <w:rFonts w:ascii="宋体" w:hAnsi="宋体" w:eastAsia="宋体" w:cs="宋体"/>
                <w:sz w:val="17"/>
                <w:szCs w:val="17"/>
              </w:rPr>
            </w:pPr>
            <w:r>
              <w:rPr>
                <w:rFonts w:ascii="宋体" w:hAnsi="宋体" w:eastAsia="宋体" w:cs="宋体"/>
                <w:spacing w:val="4"/>
                <w:sz w:val="17"/>
                <w:szCs w:val="17"/>
              </w:rPr>
              <w:t xml:space="preserve">桥梁 </w:t>
            </w:r>
            <w:r>
              <w:rPr>
                <w:rFonts w:ascii="Times New Roman" w:hAnsi="Times New Roman" w:eastAsia="Times New Roman" w:cs="Times New Roman"/>
                <w:spacing w:val="4"/>
                <w:sz w:val="17"/>
                <w:szCs w:val="17"/>
              </w:rPr>
              <w:t xml:space="preserve">1 </w:t>
            </w:r>
            <w:r>
              <w:rPr>
                <w:rFonts w:ascii="宋体" w:hAnsi="宋体" w:eastAsia="宋体" w:cs="宋体"/>
                <w:spacing w:val="4"/>
                <w:sz w:val="17"/>
                <w:szCs w:val="17"/>
              </w:rPr>
              <w:t>座</w:t>
            </w:r>
            <w:r>
              <w:rPr>
                <w:rFonts w:ascii="宋体" w:hAnsi="宋体" w:eastAsia="宋体" w:cs="宋体"/>
                <w:spacing w:val="2"/>
                <w:sz w:val="17"/>
                <w:szCs w:val="17"/>
              </w:rPr>
              <w:t xml:space="preserve">，跨越州河，桥梁全长 </w:t>
            </w:r>
            <w:r>
              <w:rPr>
                <w:rFonts w:ascii="Times New Roman" w:hAnsi="Times New Roman" w:eastAsia="Times New Roman" w:cs="Times New Roman"/>
                <w:spacing w:val="2"/>
                <w:sz w:val="17"/>
                <w:szCs w:val="17"/>
              </w:rPr>
              <w:t>240</w:t>
            </w:r>
            <w:r>
              <w:rPr>
                <w:rFonts w:ascii="Times New Roman" w:hAnsi="Times New Roman" w:eastAsia="Times New Roman" w:cs="Times New Roman"/>
                <w:sz w:val="17"/>
                <w:szCs w:val="17"/>
              </w:rPr>
              <w:t>m</w:t>
            </w:r>
            <w:r>
              <w:rPr>
                <w:rFonts w:ascii="Times New Roman" w:hAnsi="Times New Roman" w:eastAsia="Times New Roman" w:cs="Times New Roman"/>
                <w:spacing w:val="2"/>
                <w:sz w:val="17"/>
                <w:szCs w:val="17"/>
              </w:rPr>
              <w:t xml:space="preserve"> </w:t>
            </w:r>
            <w:r>
              <w:rPr>
                <w:rFonts w:ascii="宋体" w:hAnsi="宋体" w:eastAsia="宋体" w:cs="宋体"/>
                <w:spacing w:val="2"/>
                <w:sz w:val="17"/>
                <w:szCs w:val="17"/>
              </w:rPr>
              <w:t xml:space="preserve">，桥宽 </w:t>
            </w:r>
            <w:r>
              <w:rPr>
                <w:rFonts w:ascii="Times New Roman" w:hAnsi="Times New Roman" w:eastAsia="Times New Roman" w:cs="Times New Roman"/>
                <w:spacing w:val="2"/>
                <w:sz w:val="17"/>
                <w:szCs w:val="17"/>
              </w:rPr>
              <w:t>34.5</w:t>
            </w:r>
            <w:r>
              <w:rPr>
                <w:rFonts w:ascii="Times New Roman" w:hAnsi="Times New Roman" w:eastAsia="Times New Roman" w:cs="Times New Roman"/>
                <w:sz w:val="17"/>
                <w:szCs w:val="17"/>
              </w:rPr>
              <w:t>m</w:t>
            </w:r>
            <w:r>
              <w:rPr>
                <w:rFonts w:ascii="Times New Roman" w:hAnsi="Times New Roman" w:eastAsia="Times New Roman" w:cs="Times New Roman"/>
                <w:spacing w:val="2"/>
                <w:sz w:val="17"/>
                <w:szCs w:val="17"/>
              </w:rPr>
              <w:t xml:space="preserve"> </w:t>
            </w:r>
            <w:r>
              <w:rPr>
                <w:rFonts w:ascii="宋体" w:hAnsi="宋体" w:eastAsia="宋体" w:cs="宋体"/>
                <w:spacing w:val="2"/>
                <w:sz w:val="17"/>
                <w:szCs w:val="17"/>
              </w:rPr>
              <w:t>。桥梁主体结构采</w:t>
            </w:r>
            <w:r>
              <w:rPr>
                <w:rFonts w:ascii="宋体" w:hAnsi="宋体" w:eastAsia="宋体" w:cs="宋体"/>
                <w:sz w:val="17"/>
                <w:szCs w:val="17"/>
              </w:rPr>
              <w:t xml:space="preserve"> </w:t>
            </w:r>
            <w:r>
              <w:rPr>
                <w:rFonts w:ascii="宋体" w:hAnsi="宋体" w:eastAsia="宋体" w:cs="宋体"/>
                <w:spacing w:val="1"/>
                <w:sz w:val="17"/>
                <w:szCs w:val="17"/>
              </w:rPr>
              <w:t>用矮塔</w:t>
            </w:r>
            <w:r>
              <w:rPr>
                <w:rFonts w:ascii="宋体" w:hAnsi="宋体" w:eastAsia="宋体" w:cs="宋体"/>
                <w:sz w:val="17"/>
                <w:szCs w:val="17"/>
              </w:rPr>
              <w:t xml:space="preserve">斜拉桥，主跨跨径 </w:t>
            </w:r>
            <w:r>
              <w:rPr>
                <w:rFonts w:ascii="Times New Roman" w:hAnsi="Times New Roman" w:eastAsia="Times New Roman" w:cs="Times New Roman"/>
                <w:sz w:val="17"/>
                <w:szCs w:val="17"/>
              </w:rPr>
              <w:t xml:space="preserve">110m </w:t>
            </w:r>
            <w:r>
              <w:rPr>
                <w:rFonts w:ascii="宋体" w:hAnsi="宋体" w:eastAsia="宋体" w:cs="宋体"/>
                <w:sz w:val="17"/>
                <w:szCs w:val="17"/>
              </w:rPr>
              <w:t xml:space="preserve">，边孔为 </w:t>
            </w:r>
            <w:r>
              <w:rPr>
                <w:rFonts w:ascii="Times New Roman" w:hAnsi="Times New Roman" w:eastAsia="Times New Roman" w:cs="Times New Roman"/>
                <w:sz w:val="17"/>
                <w:szCs w:val="17"/>
              </w:rPr>
              <w:t xml:space="preserve">60m </w:t>
            </w:r>
            <w:r>
              <w:rPr>
                <w:rFonts w:ascii="宋体" w:hAnsi="宋体" w:eastAsia="宋体" w:cs="宋体"/>
                <w:sz w:val="17"/>
                <w:szCs w:val="17"/>
              </w:rPr>
              <w:t xml:space="preserve">。 吊索采用扇形布置，主 </w:t>
            </w:r>
            <w:r>
              <w:rPr>
                <w:rFonts w:ascii="宋体" w:hAnsi="宋体" w:eastAsia="宋体" w:cs="宋体"/>
                <w:spacing w:val="4"/>
                <w:sz w:val="17"/>
                <w:szCs w:val="17"/>
              </w:rPr>
              <w:t>梁采用</w:t>
            </w:r>
            <w:r>
              <w:rPr>
                <w:rFonts w:ascii="宋体" w:hAnsi="宋体" w:eastAsia="宋体" w:cs="宋体"/>
                <w:spacing w:val="2"/>
                <w:sz w:val="17"/>
                <w:szCs w:val="17"/>
              </w:rPr>
              <w:t>整体钢箱梁结构形式、桥塔采用钢结构桥塔、选用平行钢丝吊索、</w:t>
            </w:r>
            <w:r>
              <w:rPr>
                <w:rFonts w:ascii="宋体" w:hAnsi="宋体" w:eastAsia="宋体" w:cs="宋体"/>
                <w:sz w:val="17"/>
                <w:szCs w:val="17"/>
              </w:rPr>
              <w:t xml:space="preserve"> </w:t>
            </w:r>
            <w:r>
              <w:rPr>
                <w:rFonts w:ascii="宋体" w:hAnsi="宋体" w:eastAsia="宋体" w:cs="宋体"/>
                <w:spacing w:val="8"/>
                <w:sz w:val="17"/>
                <w:szCs w:val="17"/>
              </w:rPr>
              <w:t>主</w:t>
            </w:r>
            <w:r>
              <w:rPr>
                <w:rFonts w:ascii="宋体" w:hAnsi="宋体" w:eastAsia="宋体" w:cs="宋体"/>
                <w:spacing w:val="5"/>
                <w:sz w:val="17"/>
                <w:szCs w:val="17"/>
              </w:rPr>
              <w:t>塔</w:t>
            </w:r>
            <w:r>
              <w:rPr>
                <w:rFonts w:ascii="宋体" w:hAnsi="宋体" w:eastAsia="宋体" w:cs="宋体"/>
                <w:spacing w:val="4"/>
                <w:sz w:val="17"/>
                <w:szCs w:val="17"/>
              </w:rPr>
              <w:t>墩 (</w:t>
            </w:r>
            <w:r>
              <w:rPr>
                <w:rFonts w:ascii="Times New Roman" w:hAnsi="Times New Roman" w:eastAsia="Times New Roman" w:cs="Times New Roman"/>
                <w:spacing w:val="4"/>
                <w:sz w:val="17"/>
                <w:szCs w:val="17"/>
              </w:rPr>
              <w:t xml:space="preserve">2 </w:t>
            </w:r>
            <w:r>
              <w:rPr>
                <w:rFonts w:ascii="宋体" w:hAnsi="宋体" w:eastAsia="宋体" w:cs="宋体"/>
                <w:spacing w:val="4"/>
                <w:sz w:val="17"/>
                <w:szCs w:val="17"/>
              </w:rPr>
              <w:t xml:space="preserve">个) 采用板式墩、桥台采用重力式 </w:t>
            </w:r>
            <w:r>
              <w:rPr>
                <w:rFonts w:ascii="Times New Roman" w:hAnsi="Times New Roman" w:eastAsia="Times New Roman" w:cs="Times New Roman"/>
                <w:sz w:val="17"/>
                <w:szCs w:val="17"/>
              </w:rPr>
              <w:t>U</w:t>
            </w:r>
            <w:r>
              <w:rPr>
                <w:rFonts w:ascii="Times New Roman" w:hAnsi="Times New Roman" w:eastAsia="Times New Roman" w:cs="Times New Roman"/>
                <w:spacing w:val="4"/>
                <w:sz w:val="17"/>
                <w:szCs w:val="17"/>
              </w:rPr>
              <w:t xml:space="preserve"> </w:t>
            </w:r>
            <w:r>
              <w:rPr>
                <w:rFonts w:ascii="宋体" w:hAnsi="宋体" w:eastAsia="宋体" w:cs="宋体"/>
                <w:spacing w:val="4"/>
                <w:sz w:val="17"/>
                <w:szCs w:val="17"/>
              </w:rPr>
              <w:t>形台。桥梁与州河基本</w:t>
            </w:r>
            <w:r>
              <w:rPr>
                <w:rFonts w:ascii="宋体" w:hAnsi="宋体" w:eastAsia="宋体" w:cs="宋体"/>
                <w:sz w:val="17"/>
                <w:szCs w:val="17"/>
              </w:rPr>
              <w:t xml:space="preserve"> </w:t>
            </w:r>
            <w:r>
              <w:rPr>
                <w:rFonts w:ascii="宋体" w:hAnsi="宋体" w:eastAsia="宋体" w:cs="宋体"/>
                <w:spacing w:val="6"/>
                <w:sz w:val="17"/>
                <w:szCs w:val="17"/>
              </w:rPr>
              <w:t xml:space="preserve">正交，偏角约 </w:t>
            </w:r>
            <w:r>
              <w:rPr>
                <w:rFonts w:ascii="Times New Roman" w:hAnsi="Times New Roman" w:eastAsia="Times New Roman" w:cs="Times New Roman"/>
                <w:spacing w:val="6"/>
                <w:sz w:val="17"/>
                <w:szCs w:val="17"/>
              </w:rPr>
              <w:t>5</w:t>
            </w:r>
            <w:r>
              <w:rPr>
                <w:rFonts w:ascii="宋体" w:hAnsi="宋体" w:eastAsia="宋体" w:cs="宋体"/>
                <w:spacing w:val="6"/>
                <w:sz w:val="17"/>
                <w:szCs w:val="17"/>
              </w:rPr>
              <w:t>°</w:t>
            </w:r>
            <w:r>
              <w:rPr>
                <w:rFonts w:ascii="宋体" w:hAnsi="宋体" w:eastAsia="宋体" w:cs="宋体"/>
                <w:spacing w:val="3"/>
                <w:sz w:val="17"/>
                <w:szCs w:val="17"/>
              </w:rPr>
              <w:t xml:space="preserve"> ，线位为一条直线，全长约 </w:t>
            </w:r>
            <w:r>
              <w:rPr>
                <w:rFonts w:ascii="Times New Roman" w:hAnsi="Times New Roman" w:eastAsia="Times New Roman" w:cs="Times New Roman"/>
                <w:spacing w:val="3"/>
                <w:sz w:val="17"/>
                <w:szCs w:val="17"/>
              </w:rPr>
              <w:t>297</w:t>
            </w:r>
            <w:r>
              <w:rPr>
                <w:rFonts w:ascii="Times New Roman" w:hAnsi="Times New Roman" w:eastAsia="Times New Roman" w:cs="Times New Roman"/>
                <w:sz w:val="17"/>
                <w:szCs w:val="17"/>
              </w:rPr>
              <w:t>m</w:t>
            </w:r>
            <w:r>
              <w:rPr>
                <w:rFonts w:ascii="Times New Roman" w:hAnsi="Times New Roman" w:eastAsia="Times New Roman" w:cs="Times New Roman"/>
                <w:spacing w:val="3"/>
                <w:sz w:val="17"/>
                <w:szCs w:val="17"/>
              </w:rPr>
              <w:t xml:space="preserve">  </w:t>
            </w:r>
            <w:r>
              <w:rPr>
                <w:rFonts w:ascii="宋体" w:hAnsi="宋体" w:eastAsia="宋体" w:cs="宋体"/>
                <w:spacing w:val="3"/>
                <w:sz w:val="17"/>
                <w:szCs w:val="17"/>
              </w:rPr>
              <w:t>(包括西端滨河路</w:t>
            </w:r>
            <w:r>
              <w:rPr>
                <w:rFonts w:ascii="宋体" w:hAnsi="宋体" w:eastAsia="宋体" w:cs="宋体"/>
                <w:sz w:val="17"/>
                <w:szCs w:val="17"/>
              </w:rPr>
              <w:t xml:space="preserve"> </w:t>
            </w:r>
            <w:r>
              <w:rPr>
                <w:rFonts w:ascii="宋体" w:hAnsi="宋体" w:eastAsia="宋体" w:cs="宋体"/>
                <w:spacing w:val="4"/>
                <w:sz w:val="17"/>
                <w:szCs w:val="17"/>
              </w:rPr>
              <w:t>中心线至桥台</w:t>
            </w:r>
            <w:r>
              <w:rPr>
                <w:rFonts w:ascii="宋体" w:hAnsi="宋体" w:eastAsia="宋体" w:cs="宋体"/>
                <w:spacing w:val="3"/>
                <w:sz w:val="17"/>
                <w:szCs w:val="17"/>
              </w:rPr>
              <w:t xml:space="preserve"> </w:t>
            </w:r>
            <w:r>
              <w:rPr>
                <w:rFonts w:ascii="Times New Roman" w:hAnsi="Times New Roman" w:eastAsia="Times New Roman" w:cs="Times New Roman"/>
                <w:spacing w:val="2"/>
                <w:sz w:val="17"/>
                <w:szCs w:val="17"/>
              </w:rPr>
              <w:t>20</w:t>
            </w:r>
            <w:r>
              <w:rPr>
                <w:rFonts w:ascii="Times New Roman" w:hAnsi="Times New Roman" w:eastAsia="Times New Roman" w:cs="Times New Roman"/>
                <w:sz w:val="17"/>
                <w:szCs w:val="17"/>
              </w:rPr>
              <w:t>m</w:t>
            </w:r>
            <w:r>
              <w:rPr>
                <w:rFonts w:ascii="Times New Roman" w:hAnsi="Times New Roman" w:eastAsia="Times New Roman" w:cs="Times New Roman"/>
                <w:spacing w:val="2"/>
                <w:sz w:val="17"/>
                <w:szCs w:val="17"/>
              </w:rPr>
              <w:t xml:space="preserve"> </w:t>
            </w:r>
            <w:r>
              <w:rPr>
                <w:rFonts w:ascii="宋体" w:hAnsi="宋体" w:eastAsia="宋体" w:cs="宋体"/>
                <w:spacing w:val="2"/>
                <w:sz w:val="17"/>
                <w:szCs w:val="17"/>
              </w:rPr>
              <w:t xml:space="preserve">，东端犀牛大道中心线至桥台 </w:t>
            </w:r>
            <w:r>
              <w:rPr>
                <w:rFonts w:ascii="Times New Roman" w:hAnsi="Times New Roman" w:eastAsia="Times New Roman" w:cs="Times New Roman"/>
                <w:spacing w:val="2"/>
                <w:sz w:val="17"/>
                <w:szCs w:val="17"/>
              </w:rPr>
              <w:t>37</w:t>
            </w:r>
            <w:r>
              <w:rPr>
                <w:rFonts w:ascii="Times New Roman" w:hAnsi="Times New Roman" w:eastAsia="Times New Roman" w:cs="Times New Roman"/>
                <w:sz w:val="17"/>
                <w:szCs w:val="17"/>
              </w:rPr>
              <w:t>m</w:t>
            </w:r>
            <w:r>
              <w:rPr>
                <w:rFonts w:ascii="宋体" w:hAnsi="宋体" w:eastAsia="宋体" w:cs="宋体"/>
                <w:spacing w:val="2"/>
                <w:sz w:val="17"/>
                <w:szCs w:val="17"/>
              </w:rPr>
              <w:t>)</w:t>
            </w:r>
          </w:p>
        </w:tc>
        <w:tc>
          <w:tcPr>
            <w:tcW w:w="1168" w:type="dxa"/>
            <w:vAlign w:val="top"/>
          </w:tcPr>
          <w:p>
            <w:pPr>
              <w:spacing w:before="230" w:line="231" w:lineRule="auto"/>
              <w:ind w:left="49"/>
              <w:rPr>
                <w:rFonts w:ascii="宋体" w:hAnsi="宋体" w:eastAsia="宋体" w:cs="宋体"/>
                <w:sz w:val="17"/>
                <w:szCs w:val="17"/>
              </w:rPr>
            </w:pPr>
            <w:r>
              <w:rPr>
                <w:rFonts w:ascii="宋体" w:hAnsi="宋体" w:eastAsia="宋体" w:cs="宋体"/>
                <w:spacing w:val="9"/>
                <w:sz w:val="17"/>
                <w:szCs w:val="17"/>
              </w:rPr>
              <w:t>施工噪声、</w:t>
            </w:r>
            <w:r>
              <w:rPr>
                <w:rFonts w:ascii="宋体" w:hAnsi="宋体" w:eastAsia="宋体" w:cs="宋体"/>
                <w:spacing w:val="8"/>
                <w:sz w:val="17"/>
                <w:szCs w:val="17"/>
              </w:rPr>
              <w:t>废</w:t>
            </w:r>
          </w:p>
          <w:p>
            <w:pPr>
              <w:spacing w:before="68" w:line="230" w:lineRule="auto"/>
              <w:ind w:left="33"/>
              <w:rPr>
                <w:rFonts w:ascii="宋体" w:hAnsi="宋体" w:eastAsia="宋体" w:cs="宋体"/>
                <w:sz w:val="17"/>
                <w:szCs w:val="17"/>
              </w:rPr>
            </w:pPr>
            <w:r>
              <w:rPr>
                <w:rFonts w:ascii="宋体" w:hAnsi="宋体" w:eastAsia="宋体" w:cs="宋体"/>
                <w:spacing w:val="-13"/>
                <w:sz w:val="17"/>
                <w:szCs w:val="17"/>
              </w:rPr>
              <w:t>水</w:t>
            </w:r>
            <w:r>
              <w:rPr>
                <w:rFonts w:ascii="宋体" w:hAnsi="宋体" w:eastAsia="宋体" w:cs="宋体"/>
                <w:spacing w:val="-8"/>
                <w:sz w:val="17"/>
                <w:szCs w:val="17"/>
              </w:rPr>
              <w:t>、焊接烟气、</w:t>
            </w:r>
          </w:p>
          <w:p>
            <w:pPr>
              <w:spacing w:before="66" w:line="232" w:lineRule="auto"/>
              <w:ind w:left="49"/>
              <w:rPr>
                <w:rFonts w:ascii="宋体" w:hAnsi="宋体" w:eastAsia="宋体" w:cs="宋体"/>
                <w:sz w:val="17"/>
                <w:szCs w:val="17"/>
              </w:rPr>
            </w:pPr>
            <w:r>
              <w:rPr>
                <w:rFonts w:ascii="宋体" w:hAnsi="宋体" w:eastAsia="宋体" w:cs="宋体"/>
                <w:spacing w:val="9"/>
                <w:sz w:val="17"/>
                <w:szCs w:val="17"/>
              </w:rPr>
              <w:t>施工扬尘、</w:t>
            </w:r>
            <w:r>
              <w:rPr>
                <w:rFonts w:ascii="宋体" w:hAnsi="宋体" w:eastAsia="宋体" w:cs="宋体"/>
                <w:spacing w:val="8"/>
                <w:sz w:val="17"/>
                <w:szCs w:val="17"/>
              </w:rPr>
              <w:t>弃</w:t>
            </w:r>
          </w:p>
          <w:p>
            <w:pPr>
              <w:spacing w:before="66" w:line="232" w:lineRule="auto"/>
              <w:ind w:left="51"/>
              <w:rPr>
                <w:rFonts w:ascii="宋体" w:hAnsi="宋体" w:eastAsia="宋体" w:cs="宋体"/>
                <w:sz w:val="17"/>
                <w:szCs w:val="17"/>
              </w:rPr>
            </w:pPr>
            <w:r>
              <w:rPr>
                <w:rFonts w:ascii="宋体" w:hAnsi="宋体" w:eastAsia="宋体" w:cs="宋体"/>
                <w:spacing w:val="12"/>
                <w:sz w:val="17"/>
                <w:szCs w:val="17"/>
              </w:rPr>
              <w:t>土</w:t>
            </w:r>
            <w:r>
              <w:rPr>
                <w:rFonts w:ascii="宋体" w:hAnsi="宋体" w:eastAsia="宋体" w:cs="宋体"/>
                <w:spacing w:val="8"/>
                <w:sz w:val="17"/>
                <w:szCs w:val="17"/>
              </w:rPr>
              <w:t>建渣、水土</w:t>
            </w:r>
          </w:p>
          <w:p>
            <w:pPr>
              <w:spacing w:before="67" w:line="232" w:lineRule="auto"/>
              <w:ind w:left="411"/>
              <w:rPr>
                <w:rFonts w:ascii="宋体" w:hAnsi="宋体" w:eastAsia="宋体" w:cs="宋体"/>
                <w:sz w:val="17"/>
                <w:szCs w:val="17"/>
              </w:rPr>
            </w:pPr>
            <w:r>
              <w:rPr>
                <w:rFonts w:ascii="宋体" w:hAnsi="宋体" w:eastAsia="宋体" w:cs="宋体"/>
                <w:spacing w:val="6"/>
                <w:sz w:val="17"/>
                <w:szCs w:val="17"/>
              </w:rPr>
              <w:t>流失</w:t>
            </w:r>
          </w:p>
        </w:tc>
        <w:tc>
          <w:tcPr>
            <w:tcW w:w="797"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55" w:line="304" w:lineRule="auto"/>
              <w:ind w:left="44" w:right="35" w:firstLine="94"/>
              <w:rPr>
                <w:rFonts w:ascii="宋体" w:hAnsi="宋体" w:eastAsia="宋体" w:cs="宋体"/>
                <w:sz w:val="17"/>
                <w:szCs w:val="17"/>
              </w:rPr>
            </w:pPr>
            <w:r>
              <w:rPr>
                <w:rFonts w:ascii="宋体" w:hAnsi="宋体" w:eastAsia="宋体" w:cs="宋体"/>
                <w:spacing w:val="7"/>
                <w:sz w:val="17"/>
                <w:szCs w:val="17"/>
              </w:rPr>
              <w:t>交</w:t>
            </w:r>
            <w:r>
              <w:rPr>
                <w:rFonts w:ascii="宋体" w:hAnsi="宋体" w:eastAsia="宋体" w:cs="宋体"/>
                <w:spacing w:val="6"/>
                <w:sz w:val="17"/>
                <w:szCs w:val="17"/>
              </w:rPr>
              <w:t>通噪</w:t>
            </w:r>
            <w:r>
              <w:rPr>
                <w:rFonts w:ascii="宋体" w:hAnsi="宋体" w:eastAsia="宋体" w:cs="宋体"/>
                <w:sz w:val="17"/>
                <w:szCs w:val="17"/>
              </w:rPr>
              <w:t xml:space="preserve"> </w:t>
            </w:r>
            <w:r>
              <w:rPr>
                <w:rFonts w:ascii="宋体" w:hAnsi="宋体" w:eastAsia="宋体" w:cs="宋体"/>
                <w:spacing w:val="8"/>
                <w:sz w:val="17"/>
                <w:szCs w:val="17"/>
              </w:rPr>
              <w:t>声、汽车</w:t>
            </w:r>
            <w:r>
              <w:rPr>
                <w:rFonts w:ascii="宋体" w:hAnsi="宋体" w:eastAsia="宋体" w:cs="宋体"/>
                <w:sz w:val="17"/>
                <w:szCs w:val="17"/>
              </w:rPr>
              <w:t xml:space="preserve"> </w:t>
            </w:r>
            <w:r>
              <w:rPr>
                <w:rFonts w:ascii="宋体" w:hAnsi="宋体" w:eastAsia="宋体" w:cs="宋体"/>
                <w:spacing w:val="8"/>
                <w:sz w:val="17"/>
                <w:szCs w:val="17"/>
              </w:rPr>
              <w:t>尾气、路</w:t>
            </w:r>
            <w:r>
              <w:rPr>
                <w:rFonts w:ascii="宋体" w:hAnsi="宋体" w:eastAsia="宋体" w:cs="宋体"/>
                <w:sz w:val="17"/>
                <w:szCs w:val="17"/>
              </w:rPr>
              <w:t xml:space="preserve"> </w:t>
            </w:r>
            <w:r>
              <w:rPr>
                <w:rFonts w:ascii="宋体" w:hAnsi="宋体" w:eastAsia="宋体" w:cs="宋体"/>
                <w:spacing w:val="7"/>
                <w:sz w:val="17"/>
                <w:szCs w:val="17"/>
              </w:rPr>
              <w:t>面</w:t>
            </w:r>
            <w:r>
              <w:rPr>
                <w:rFonts w:ascii="宋体" w:hAnsi="宋体" w:eastAsia="宋体" w:cs="宋体"/>
                <w:spacing w:val="5"/>
                <w:sz w:val="17"/>
                <w:szCs w:val="17"/>
              </w:rPr>
              <w:t>扬尘、</w:t>
            </w:r>
          </w:p>
          <w:p>
            <w:pPr>
              <w:spacing w:line="304" w:lineRule="auto"/>
              <w:ind w:left="44" w:right="35" w:firstLine="91"/>
              <w:rPr>
                <w:rFonts w:ascii="宋体" w:hAnsi="宋体" w:eastAsia="宋体" w:cs="宋体"/>
                <w:sz w:val="17"/>
                <w:szCs w:val="17"/>
              </w:rPr>
            </w:pPr>
            <w:r>
              <w:rPr>
                <w:rFonts w:ascii="宋体" w:hAnsi="宋体" w:eastAsia="宋体" w:cs="宋体"/>
                <w:spacing w:val="7"/>
                <w:sz w:val="17"/>
                <w:szCs w:val="17"/>
              </w:rPr>
              <w:t>路面径</w:t>
            </w:r>
            <w:r>
              <w:rPr>
                <w:rFonts w:ascii="宋体" w:hAnsi="宋体" w:eastAsia="宋体" w:cs="宋体"/>
                <w:sz w:val="17"/>
                <w:szCs w:val="17"/>
              </w:rPr>
              <w:t xml:space="preserve"> </w:t>
            </w:r>
            <w:r>
              <w:rPr>
                <w:rFonts w:ascii="宋体" w:hAnsi="宋体" w:eastAsia="宋体" w:cs="宋体"/>
                <w:spacing w:val="8"/>
                <w:sz w:val="17"/>
                <w:szCs w:val="17"/>
              </w:rPr>
              <w:t>流、道路</w:t>
            </w:r>
            <w:r>
              <w:rPr>
                <w:rFonts w:ascii="宋体" w:hAnsi="宋体" w:eastAsia="宋体" w:cs="宋体"/>
                <w:sz w:val="17"/>
                <w:szCs w:val="17"/>
              </w:rPr>
              <w:t xml:space="preserve"> </w:t>
            </w:r>
            <w:r>
              <w:rPr>
                <w:rFonts w:ascii="宋体" w:hAnsi="宋体" w:eastAsia="宋体" w:cs="宋体"/>
                <w:spacing w:val="8"/>
                <w:sz w:val="17"/>
                <w:szCs w:val="17"/>
              </w:rPr>
              <w:t>垃圾、事</w:t>
            </w:r>
          </w:p>
          <w:p>
            <w:pPr>
              <w:spacing w:line="230" w:lineRule="auto"/>
              <w:ind w:left="138"/>
              <w:rPr>
                <w:rFonts w:ascii="宋体" w:hAnsi="宋体" w:eastAsia="宋体" w:cs="宋体"/>
                <w:sz w:val="17"/>
                <w:szCs w:val="17"/>
              </w:rPr>
            </w:pPr>
            <w:r>
              <w:rPr>
                <w:rFonts w:ascii="宋体" w:hAnsi="宋体" w:eastAsia="宋体" w:cs="宋体"/>
                <w:spacing w:val="8"/>
                <w:sz w:val="17"/>
                <w:szCs w:val="17"/>
              </w:rPr>
              <w:t>故</w:t>
            </w:r>
            <w:r>
              <w:rPr>
                <w:rFonts w:ascii="宋体" w:hAnsi="宋体" w:eastAsia="宋体" w:cs="宋体"/>
                <w:spacing w:val="6"/>
                <w:sz w:val="17"/>
                <w:szCs w:val="17"/>
              </w:rPr>
              <w:t>风险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48" w:hRule="atLeast"/>
        </w:trPr>
        <w:tc>
          <w:tcPr>
            <w:tcW w:w="568" w:type="dxa"/>
            <w:vMerge w:val="continue"/>
            <w:tcBorders>
              <w:top w:val="nil"/>
              <w:bottom w:val="nil"/>
            </w:tcBorders>
            <w:vAlign w:val="top"/>
          </w:tcPr>
          <w:p>
            <w:pPr>
              <w:rPr>
                <w:rFonts w:ascii="Arial"/>
                <w:sz w:val="21"/>
              </w:rPr>
            </w:pPr>
          </w:p>
        </w:tc>
        <w:tc>
          <w:tcPr>
            <w:tcW w:w="1041" w:type="dxa"/>
            <w:vAlign w:val="top"/>
          </w:tcPr>
          <w:p>
            <w:pPr>
              <w:spacing w:line="447" w:lineRule="auto"/>
              <w:rPr>
                <w:rFonts w:ascii="Arial"/>
                <w:sz w:val="21"/>
              </w:rPr>
            </w:pPr>
          </w:p>
          <w:p>
            <w:pPr>
              <w:spacing w:before="55" w:line="231" w:lineRule="auto"/>
              <w:ind w:left="344"/>
              <w:rPr>
                <w:rFonts w:ascii="宋体" w:hAnsi="宋体" w:eastAsia="宋体" w:cs="宋体"/>
                <w:sz w:val="17"/>
                <w:szCs w:val="17"/>
              </w:rPr>
            </w:pPr>
            <w:r>
              <w:rPr>
                <w:rFonts w:ascii="宋体" w:hAnsi="宋体" w:eastAsia="宋体" w:cs="宋体"/>
                <w:spacing w:val="6"/>
                <w:sz w:val="17"/>
                <w:szCs w:val="17"/>
              </w:rPr>
              <w:t>桥面</w:t>
            </w:r>
          </w:p>
        </w:tc>
        <w:tc>
          <w:tcPr>
            <w:tcW w:w="5543" w:type="dxa"/>
            <w:vAlign w:val="top"/>
          </w:tcPr>
          <w:p>
            <w:pPr>
              <w:spacing w:before="83" w:line="289" w:lineRule="auto"/>
              <w:ind w:left="23" w:right="18" w:firstLine="7"/>
              <w:rPr>
                <w:rFonts w:ascii="Times New Roman" w:hAnsi="Times New Roman" w:eastAsia="Times New Roman" w:cs="Times New Roman"/>
                <w:sz w:val="17"/>
                <w:szCs w:val="17"/>
              </w:rPr>
            </w:pPr>
            <w:r>
              <w:rPr>
                <w:rFonts w:ascii="宋体" w:hAnsi="宋体" w:eastAsia="宋体" w:cs="宋体"/>
                <w:spacing w:val="16"/>
                <w:sz w:val="17"/>
                <w:szCs w:val="17"/>
              </w:rPr>
              <w:t xml:space="preserve">项目桥面宽度 </w:t>
            </w:r>
            <w:r>
              <w:rPr>
                <w:rFonts w:ascii="Times New Roman" w:hAnsi="Times New Roman" w:eastAsia="Times New Roman" w:cs="Times New Roman"/>
                <w:spacing w:val="16"/>
                <w:sz w:val="17"/>
                <w:szCs w:val="17"/>
              </w:rPr>
              <w:t>34.5</w:t>
            </w:r>
            <w:r>
              <w:rPr>
                <w:rFonts w:ascii="Times New Roman" w:hAnsi="Times New Roman" w:eastAsia="Times New Roman" w:cs="Times New Roman"/>
                <w:sz w:val="17"/>
                <w:szCs w:val="17"/>
              </w:rPr>
              <w:t>m</w:t>
            </w:r>
            <w:r>
              <w:rPr>
                <w:rFonts w:ascii="Times New Roman" w:hAnsi="Times New Roman" w:eastAsia="Times New Roman" w:cs="Times New Roman"/>
                <w:spacing w:val="16"/>
                <w:sz w:val="17"/>
                <w:szCs w:val="17"/>
              </w:rPr>
              <w:t xml:space="preserve"> </w:t>
            </w:r>
            <w:r>
              <w:rPr>
                <w:rFonts w:ascii="宋体" w:hAnsi="宋体" w:eastAsia="宋体" w:cs="宋体"/>
                <w:spacing w:val="16"/>
                <w:sz w:val="17"/>
                <w:szCs w:val="17"/>
              </w:rPr>
              <w:t>，设计双向六车道，为城市次干道，设计速</w:t>
            </w:r>
            <w:r>
              <w:rPr>
                <w:rFonts w:ascii="宋体" w:hAnsi="宋体" w:eastAsia="宋体" w:cs="宋体"/>
                <w:spacing w:val="15"/>
                <w:sz w:val="17"/>
                <w:szCs w:val="17"/>
              </w:rPr>
              <w:t>度</w:t>
            </w:r>
            <w:r>
              <w:rPr>
                <w:rFonts w:ascii="宋体" w:hAnsi="宋体" w:eastAsia="宋体" w:cs="宋体"/>
                <w:sz w:val="17"/>
                <w:szCs w:val="17"/>
              </w:rPr>
              <w:t xml:space="preserve"> </w:t>
            </w:r>
            <w:r>
              <w:rPr>
                <w:rFonts w:ascii="Times New Roman" w:hAnsi="Times New Roman" w:eastAsia="Times New Roman" w:cs="Times New Roman"/>
                <w:spacing w:val="20"/>
                <w:sz w:val="17"/>
                <w:szCs w:val="17"/>
              </w:rPr>
              <w:t>40</w:t>
            </w:r>
            <w:r>
              <w:rPr>
                <w:rFonts w:ascii="Times New Roman" w:hAnsi="Times New Roman" w:eastAsia="Times New Roman" w:cs="Times New Roman"/>
                <w:sz w:val="17"/>
                <w:szCs w:val="17"/>
              </w:rPr>
              <w:t>km</w:t>
            </w:r>
            <w:r>
              <w:rPr>
                <w:rFonts w:ascii="Times New Roman" w:hAnsi="Times New Roman" w:eastAsia="Times New Roman" w:cs="Times New Roman"/>
                <w:spacing w:val="13"/>
                <w:sz w:val="17"/>
                <w:szCs w:val="17"/>
              </w:rPr>
              <w:t>/</w:t>
            </w:r>
            <w:r>
              <w:rPr>
                <w:rFonts w:ascii="Times New Roman" w:hAnsi="Times New Roman" w:eastAsia="Times New Roman" w:cs="Times New Roman"/>
                <w:sz w:val="17"/>
                <w:szCs w:val="17"/>
              </w:rPr>
              <w:t>h</w:t>
            </w:r>
            <w:r>
              <w:rPr>
                <w:rFonts w:ascii="宋体" w:hAnsi="宋体" w:eastAsia="宋体" w:cs="宋体"/>
                <w:spacing w:val="10"/>
                <w:sz w:val="17"/>
                <w:szCs w:val="17"/>
              </w:rPr>
              <w:t>；沥青混凝土路面；标准横断面形式为：</w:t>
            </w:r>
            <w:r>
              <w:rPr>
                <w:rFonts w:ascii="Times New Roman" w:hAnsi="Times New Roman" w:eastAsia="Times New Roman" w:cs="Times New Roman"/>
                <w:spacing w:val="10"/>
                <w:sz w:val="17"/>
                <w:szCs w:val="17"/>
              </w:rPr>
              <w:t>4.0</w:t>
            </w:r>
            <w:r>
              <w:rPr>
                <w:rFonts w:ascii="Times New Roman" w:hAnsi="Times New Roman" w:eastAsia="Times New Roman" w:cs="Times New Roman"/>
                <w:sz w:val="17"/>
                <w:szCs w:val="17"/>
              </w:rPr>
              <w:t>m</w:t>
            </w:r>
            <w:r>
              <w:rPr>
                <w:rFonts w:ascii="Times New Roman" w:hAnsi="Times New Roman" w:eastAsia="Times New Roman" w:cs="Times New Roman"/>
                <w:spacing w:val="10"/>
                <w:sz w:val="17"/>
                <w:szCs w:val="17"/>
              </w:rPr>
              <w:t xml:space="preserve"> </w:t>
            </w:r>
            <w:r>
              <w:rPr>
                <w:rFonts w:ascii="宋体" w:hAnsi="宋体" w:eastAsia="宋体" w:cs="宋体"/>
                <w:spacing w:val="10"/>
                <w:sz w:val="17"/>
                <w:szCs w:val="17"/>
              </w:rPr>
              <w:t>人行道</w:t>
            </w:r>
            <w:r>
              <w:rPr>
                <w:rFonts w:ascii="Times New Roman" w:hAnsi="Times New Roman" w:eastAsia="Times New Roman" w:cs="Times New Roman"/>
                <w:spacing w:val="10"/>
                <w:sz w:val="17"/>
                <w:szCs w:val="17"/>
              </w:rPr>
              <w:t>+2.0</w:t>
            </w:r>
            <w:r>
              <w:rPr>
                <w:rFonts w:ascii="Times New Roman" w:hAnsi="Times New Roman" w:eastAsia="Times New Roman" w:cs="Times New Roman"/>
                <w:sz w:val="17"/>
                <w:szCs w:val="17"/>
              </w:rPr>
              <w:t>m</w:t>
            </w:r>
            <w:r>
              <w:rPr>
                <w:rFonts w:ascii="Times New Roman" w:hAnsi="Times New Roman" w:eastAsia="Times New Roman" w:cs="Times New Roman"/>
                <w:spacing w:val="10"/>
                <w:sz w:val="17"/>
                <w:szCs w:val="17"/>
              </w:rPr>
              <w:t xml:space="preserve"> </w:t>
            </w:r>
            <w:r>
              <w:rPr>
                <w:rFonts w:ascii="宋体" w:hAnsi="宋体" w:eastAsia="宋体" w:cs="宋体"/>
                <w:spacing w:val="10"/>
                <w:sz w:val="17"/>
                <w:szCs w:val="17"/>
              </w:rPr>
              <w:t>索</w:t>
            </w:r>
            <w:r>
              <w:rPr>
                <w:rFonts w:ascii="宋体" w:hAnsi="宋体" w:eastAsia="宋体" w:cs="宋体"/>
                <w:sz w:val="17"/>
                <w:szCs w:val="17"/>
              </w:rPr>
              <w:t xml:space="preserve"> </w:t>
            </w:r>
            <w:r>
              <w:rPr>
                <w:rFonts w:ascii="宋体" w:hAnsi="宋体" w:eastAsia="宋体" w:cs="宋体"/>
                <w:spacing w:val="16"/>
                <w:sz w:val="17"/>
                <w:szCs w:val="17"/>
              </w:rPr>
              <w:t>区</w:t>
            </w:r>
            <w:r>
              <w:rPr>
                <w:rFonts w:ascii="Times New Roman" w:hAnsi="Times New Roman" w:eastAsia="Times New Roman" w:cs="Times New Roman"/>
                <w:spacing w:val="9"/>
                <w:sz w:val="17"/>
                <w:szCs w:val="17"/>
              </w:rPr>
              <w:t>+0.5</w:t>
            </w:r>
            <w:r>
              <w:rPr>
                <w:rFonts w:ascii="Times New Roman" w:hAnsi="Times New Roman" w:eastAsia="Times New Roman" w:cs="Times New Roman"/>
                <w:sz w:val="17"/>
                <w:szCs w:val="17"/>
              </w:rPr>
              <w:t>m</w:t>
            </w:r>
            <w:r>
              <w:rPr>
                <w:rFonts w:ascii="Times New Roman" w:hAnsi="Times New Roman" w:eastAsia="Times New Roman" w:cs="Times New Roman"/>
                <w:spacing w:val="9"/>
                <w:sz w:val="17"/>
                <w:szCs w:val="17"/>
              </w:rPr>
              <w:t xml:space="preserve"> </w:t>
            </w:r>
            <w:r>
              <w:rPr>
                <w:rFonts w:ascii="宋体" w:hAnsi="宋体" w:eastAsia="宋体" w:cs="宋体"/>
                <w:spacing w:val="9"/>
                <w:sz w:val="17"/>
                <w:szCs w:val="17"/>
              </w:rPr>
              <w:t>护栏</w:t>
            </w:r>
            <w:r>
              <w:rPr>
                <w:rFonts w:ascii="Times New Roman" w:hAnsi="Times New Roman" w:eastAsia="Times New Roman" w:cs="Times New Roman"/>
                <w:spacing w:val="9"/>
                <w:sz w:val="17"/>
                <w:szCs w:val="17"/>
              </w:rPr>
              <w:t>+10.5</w:t>
            </w:r>
            <w:r>
              <w:rPr>
                <w:rFonts w:ascii="Times New Roman" w:hAnsi="Times New Roman" w:eastAsia="Times New Roman" w:cs="Times New Roman"/>
                <w:sz w:val="17"/>
                <w:szCs w:val="17"/>
              </w:rPr>
              <w:t>m</w:t>
            </w:r>
            <w:r>
              <w:rPr>
                <w:rFonts w:ascii="Times New Roman" w:hAnsi="Times New Roman" w:eastAsia="Times New Roman" w:cs="Times New Roman"/>
                <w:spacing w:val="9"/>
                <w:sz w:val="17"/>
                <w:szCs w:val="17"/>
              </w:rPr>
              <w:t xml:space="preserve"> </w:t>
            </w:r>
            <w:r>
              <w:rPr>
                <w:rFonts w:ascii="宋体" w:hAnsi="宋体" w:eastAsia="宋体" w:cs="宋体"/>
                <w:spacing w:val="9"/>
                <w:sz w:val="17"/>
                <w:szCs w:val="17"/>
              </w:rPr>
              <w:t>车行道</w:t>
            </w:r>
            <w:r>
              <w:rPr>
                <w:rFonts w:ascii="Times New Roman" w:hAnsi="Times New Roman" w:eastAsia="Times New Roman" w:cs="Times New Roman"/>
                <w:spacing w:val="9"/>
                <w:sz w:val="17"/>
                <w:szCs w:val="17"/>
              </w:rPr>
              <w:t>+0.5</w:t>
            </w:r>
            <w:r>
              <w:rPr>
                <w:rFonts w:ascii="Times New Roman" w:hAnsi="Times New Roman" w:eastAsia="Times New Roman" w:cs="Times New Roman"/>
                <w:sz w:val="17"/>
                <w:szCs w:val="17"/>
              </w:rPr>
              <w:t>m</w:t>
            </w:r>
            <w:r>
              <w:rPr>
                <w:rFonts w:ascii="Times New Roman" w:hAnsi="Times New Roman" w:eastAsia="Times New Roman" w:cs="Times New Roman"/>
                <w:spacing w:val="9"/>
                <w:sz w:val="17"/>
                <w:szCs w:val="17"/>
              </w:rPr>
              <w:t xml:space="preserve"> </w:t>
            </w:r>
            <w:r>
              <w:rPr>
                <w:rFonts w:ascii="宋体" w:hAnsi="宋体" w:eastAsia="宋体" w:cs="宋体"/>
                <w:spacing w:val="9"/>
                <w:sz w:val="17"/>
                <w:szCs w:val="17"/>
              </w:rPr>
              <w:t>护栏</w:t>
            </w:r>
            <w:r>
              <w:rPr>
                <w:rFonts w:ascii="Times New Roman" w:hAnsi="Times New Roman" w:eastAsia="Times New Roman" w:cs="Times New Roman"/>
                <w:spacing w:val="9"/>
                <w:sz w:val="17"/>
                <w:szCs w:val="17"/>
              </w:rPr>
              <w:t>+10.5</w:t>
            </w:r>
            <w:r>
              <w:rPr>
                <w:rFonts w:ascii="Times New Roman" w:hAnsi="Times New Roman" w:eastAsia="Times New Roman" w:cs="Times New Roman"/>
                <w:sz w:val="17"/>
                <w:szCs w:val="17"/>
              </w:rPr>
              <w:t>m</w:t>
            </w:r>
            <w:r>
              <w:rPr>
                <w:rFonts w:ascii="Times New Roman" w:hAnsi="Times New Roman" w:eastAsia="Times New Roman" w:cs="Times New Roman"/>
                <w:spacing w:val="9"/>
                <w:sz w:val="17"/>
                <w:szCs w:val="17"/>
              </w:rPr>
              <w:t xml:space="preserve"> </w:t>
            </w:r>
            <w:r>
              <w:rPr>
                <w:rFonts w:ascii="宋体" w:hAnsi="宋体" w:eastAsia="宋体" w:cs="宋体"/>
                <w:spacing w:val="9"/>
                <w:sz w:val="17"/>
                <w:szCs w:val="17"/>
              </w:rPr>
              <w:t>车行道</w:t>
            </w:r>
            <w:r>
              <w:rPr>
                <w:rFonts w:ascii="Times New Roman" w:hAnsi="Times New Roman" w:eastAsia="Times New Roman" w:cs="Times New Roman"/>
                <w:spacing w:val="9"/>
                <w:sz w:val="17"/>
                <w:szCs w:val="17"/>
              </w:rPr>
              <w:t>+0.5</w:t>
            </w:r>
            <w:r>
              <w:rPr>
                <w:rFonts w:ascii="Times New Roman" w:hAnsi="Times New Roman" w:eastAsia="Times New Roman" w:cs="Times New Roman"/>
                <w:sz w:val="17"/>
                <w:szCs w:val="17"/>
              </w:rPr>
              <w:t>m</w:t>
            </w:r>
            <w:r>
              <w:rPr>
                <w:rFonts w:ascii="Times New Roman" w:hAnsi="Times New Roman" w:eastAsia="Times New Roman" w:cs="Times New Roman"/>
                <w:spacing w:val="9"/>
                <w:sz w:val="17"/>
                <w:szCs w:val="17"/>
              </w:rPr>
              <w:t xml:space="preserve"> </w:t>
            </w:r>
            <w:r>
              <w:rPr>
                <w:rFonts w:ascii="宋体" w:hAnsi="宋体" w:eastAsia="宋体" w:cs="宋体"/>
                <w:spacing w:val="9"/>
                <w:sz w:val="17"/>
                <w:szCs w:val="17"/>
              </w:rPr>
              <w:t>护栏</w:t>
            </w:r>
            <w:r>
              <w:rPr>
                <w:rFonts w:ascii="Times New Roman" w:hAnsi="Times New Roman" w:eastAsia="Times New Roman" w:cs="Times New Roman"/>
                <w:spacing w:val="9"/>
                <w:sz w:val="17"/>
                <w:szCs w:val="17"/>
              </w:rPr>
              <w:t>+2</w:t>
            </w:r>
            <w:r>
              <w:rPr>
                <w:rFonts w:ascii="Times New Roman" w:hAnsi="Times New Roman" w:eastAsia="Times New Roman" w:cs="Times New Roman"/>
                <w:sz w:val="17"/>
                <w:szCs w:val="17"/>
              </w:rPr>
              <w:t xml:space="preserve">m </w:t>
            </w:r>
            <w:r>
              <w:rPr>
                <w:rFonts w:ascii="宋体" w:hAnsi="宋体" w:eastAsia="宋体" w:cs="宋体"/>
                <w:spacing w:val="9"/>
                <w:sz w:val="17"/>
                <w:szCs w:val="17"/>
              </w:rPr>
              <w:t>索</w:t>
            </w:r>
            <w:r>
              <w:rPr>
                <w:rFonts w:ascii="宋体" w:hAnsi="宋体" w:eastAsia="宋体" w:cs="宋体"/>
                <w:spacing w:val="7"/>
                <w:sz w:val="17"/>
                <w:szCs w:val="17"/>
              </w:rPr>
              <w:t>区</w:t>
            </w:r>
            <w:r>
              <w:rPr>
                <w:rFonts w:ascii="Times New Roman" w:hAnsi="Times New Roman" w:eastAsia="Times New Roman" w:cs="Times New Roman"/>
                <w:spacing w:val="7"/>
                <w:sz w:val="17"/>
                <w:szCs w:val="17"/>
              </w:rPr>
              <w:t>+4.0</w:t>
            </w:r>
            <w:r>
              <w:rPr>
                <w:rFonts w:ascii="Times New Roman" w:hAnsi="Times New Roman" w:eastAsia="Times New Roman" w:cs="Times New Roman"/>
                <w:sz w:val="17"/>
                <w:szCs w:val="17"/>
              </w:rPr>
              <w:t>m</w:t>
            </w:r>
            <w:r>
              <w:rPr>
                <w:rFonts w:ascii="Times New Roman" w:hAnsi="Times New Roman" w:eastAsia="Times New Roman" w:cs="Times New Roman"/>
                <w:spacing w:val="7"/>
                <w:sz w:val="17"/>
                <w:szCs w:val="17"/>
              </w:rPr>
              <w:t xml:space="preserve"> </w:t>
            </w:r>
            <w:r>
              <w:rPr>
                <w:rFonts w:ascii="宋体" w:hAnsi="宋体" w:eastAsia="宋体" w:cs="宋体"/>
                <w:spacing w:val="7"/>
                <w:sz w:val="17"/>
                <w:szCs w:val="17"/>
              </w:rPr>
              <w:t>人行道</w:t>
            </w:r>
            <w:r>
              <w:rPr>
                <w:rFonts w:ascii="Times New Roman" w:hAnsi="Times New Roman" w:eastAsia="Times New Roman" w:cs="Times New Roman"/>
                <w:spacing w:val="7"/>
                <w:sz w:val="17"/>
                <w:szCs w:val="17"/>
              </w:rPr>
              <w:t>=34.5</w:t>
            </w:r>
            <w:r>
              <w:rPr>
                <w:rFonts w:ascii="Times New Roman" w:hAnsi="Times New Roman" w:eastAsia="Times New Roman" w:cs="Times New Roman"/>
                <w:sz w:val="17"/>
                <w:szCs w:val="17"/>
              </w:rPr>
              <w:t>m</w:t>
            </w:r>
          </w:p>
        </w:tc>
        <w:tc>
          <w:tcPr>
            <w:tcW w:w="1168" w:type="dxa"/>
            <w:vAlign w:val="top"/>
          </w:tcPr>
          <w:p>
            <w:pPr>
              <w:spacing w:before="224" w:line="230" w:lineRule="auto"/>
              <w:ind w:left="49"/>
              <w:rPr>
                <w:rFonts w:ascii="宋体" w:hAnsi="宋体" w:eastAsia="宋体" w:cs="宋体"/>
                <w:sz w:val="17"/>
                <w:szCs w:val="17"/>
              </w:rPr>
            </w:pPr>
            <w:r>
              <w:rPr>
                <w:rFonts w:ascii="宋体" w:hAnsi="宋体" w:eastAsia="宋体" w:cs="宋体"/>
                <w:spacing w:val="9"/>
                <w:sz w:val="17"/>
                <w:szCs w:val="17"/>
              </w:rPr>
              <w:t>废水、扬尘</w:t>
            </w:r>
            <w:r>
              <w:rPr>
                <w:rFonts w:ascii="宋体" w:hAnsi="宋体" w:eastAsia="宋体" w:cs="宋体"/>
                <w:spacing w:val="8"/>
                <w:sz w:val="17"/>
                <w:szCs w:val="17"/>
              </w:rPr>
              <w:t>沥</w:t>
            </w:r>
          </w:p>
          <w:p>
            <w:pPr>
              <w:spacing w:before="68" w:line="315" w:lineRule="auto"/>
              <w:ind w:left="425" w:right="70" w:hanging="375"/>
              <w:rPr>
                <w:rFonts w:ascii="宋体" w:hAnsi="宋体" w:eastAsia="宋体" w:cs="宋体"/>
                <w:sz w:val="17"/>
                <w:szCs w:val="17"/>
              </w:rPr>
            </w:pPr>
            <w:r>
              <w:rPr>
                <w:rFonts w:ascii="宋体" w:hAnsi="宋体" w:eastAsia="宋体" w:cs="宋体"/>
                <w:spacing w:val="6"/>
                <w:sz w:val="17"/>
                <w:szCs w:val="17"/>
              </w:rPr>
              <w:t>青</w:t>
            </w:r>
            <w:r>
              <w:rPr>
                <w:rFonts w:ascii="宋体" w:hAnsi="宋体" w:eastAsia="宋体" w:cs="宋体"/>
                <w:spacing w:val="3"/>
                <w:sz w:val="17"/>
                <w:szCs w:val="17"/>
              </w:rPr>
              <w:t>烟、噪声、</w:t>
            </w:r>
            <w:r>
              <w:rPr>
                <w:rFonts w:ascii="宋体" w:hAnsi="宋体" w:eastAsia="宋体" w:cs="宋体"/>
                <w:sz w:val="17"/>
                <w:szCs w:val="17"/>
              </w:rPr>
              <w:t xml:space="preserve"> </w:t>
            </w:r>
            <w:r>
              <w:rPr>
                <w:rFonts w:ascii="宋体" w:hAnsi="宋体" w:eastAsia="宋体" w:cs="宋体"/>
                <w:spacing w:val="-2"/>
                <w:sz w:val="17"/>
                <w:szCs w:val="17"/>
              </w:rPr>
              <w:t>固</w:t>
            </w:r>
            <w:r>
              <w:rPr>
                <w:rFonts w:ascii="宋体" w:hAnsi="宋体" w:eastAsia="宋体" w:cs="宋体"/>
                <w:spacing w:val="-1"/>
                <w:sz w:val="17"/>
                <w:szCs w:val="17"/>
              </w:rPr>
              <w:t>废</w:t>
            </w:r>
          </w:p>
        </w:tc>
        <w:tc>
          <w:tcPr>
            <w:tcW w:w="79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5" w:hRule="atLeast"/>
        </w:trPr>
        <w:tc>
          <w:tcPr>
            <w:tcW w:w="568" w:type="dxa"/>
            <w:vMerge w:val="continue"/>
            <w:tcBorders>
              <w:top w:val="nil"/>
            </w:tcBorders>
            <w:vAlign w:val="top"/>
          </w:tcPr>
          <w:p>
            <w:pPr>
              <w:rPr>
                <w:rFonts w:ascii="Arial"/>
                <w:sz w:val="21"/>
              </w:rPr>
            </w:pPr>
          </w:p>
        </w:tc>
        <w:tc>
          <w:tcPr>
            <w:tcW w:w="1041" w:type="dxa"/>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before="55" w:line="230" w:lineRule="auto"/>
              <w:ind w:left="164"/>
              <w:rPr>
                <w:rFonts w:ascii="宋体" w:hAnsi="宋体" w:eastAsia="宋体" w:cs="宋体"/>
                <w:sz w:val="17"/>
                <w:szCs w:val="17"/>
              </w:rPr>
            </w:pPr>
            <w:r>
              <w:rPr>
                <w:rFonts w:ascii="宋体" w:hAnsi="宋体" w:eastAsia="宋体" w:cs="宋体"/>
                <w:spacing w:val="8"/>
                <w:sz w:val="17"/>
                <w:szCs w:val="17"/>
              </w:rPr>
              <w:t>连接道路</w:t>
            </w:r>
          </w:p>
        </w:tc>
        <w:tc>
          <w:tcPr>
            <w:tcW w:w="5543" w:type="dxa"/>
            <w:vAlign w:val="top"/>
          </w:tcPr>
          <w:p>
            <w:pPr>
              <w:spacing w:before="57" w:line="311" w:lineRule="auto"/>
              <w:ind w:left="27" w:right="18"/>
              <w:rPr>
                <w:rFonts w:ascii="宋体" w:hAnsi="宋体" w:eastAsia="宋体" w:cs="宋体"/>
                <w:sz w:val="17"/>
                <w:szCs w:val="17"/>
              </w:rPr>
            </w:pPr>
            <w:r>
              <w:rPr>
                <w:rFonts w:ascii="宋体" w:hAnsi="宋体" w:eastAsia="宋体" w:cs="宋体"/>
                <w:spacing w:val="3"/>
                <w:sz w:val="17"/>
                <w:szCs w:val="17"/>
              </w:rPr>
              <w:t xml:space="preserve">桥梁西端 </w:t>
            </w:r>
            <w:r>
              <w:rPr>
                <w:rFonts w:ascii="Times New Roman" w:hAnsi="Times New Roman" w:eastAsia="Times New Roman" w:cs="Times New Roman"/>
                <w:sz w:val="17"/>
                <w:szCs w:val="17"/>
              </w:rPr>
              <w:t>K</w:t>
            </w:r>
            <w:r>
              <w:rPr>
                <w:rFonts w:ascii="Times New Roman" w:hAnsi="Times New Roman" w:eastAsia="Times New Roman" w:cs="Times New Roman"/>
                <w:spacing w:val="3"/>
                <w:sz w:val="17"/>
                <w:szCs w:val="17"/>
              </w:rPr>
              <w:t xml:space="preserve">0+000 </w:t>
            </w:r>
            <w:r>
              <w:rPr>
                <w:rFonts w:ascii="宋体" w:hAnsi="宋体" w:eastAsia="宋体" w:cs="宋体"/>
                <w:spacing w:val="3"/>
                <w:sz w:val="17"/>
                <w:szCs w:val="17"/>
              </w:rPr>
              <w:t>与滨河路平交，形成“</w:t>
            </w:r>
            <w:r>
              <w:rPr>
                <w:rFonts w:ascii="Times New Roman" w:hAnsi="Times New Roman" w:eastAsia="Times New Roman" w:cs="Times New Roman"/>
                <w:sz w:val="17"/>
                <w:szCs w:val="17"/>
              </w:rPr>
              <w:t>T</w:t>
            </w:r>
            <w:r>
              <w:rPr>
                <w:rFonts w:ascii="宋体" w:hAnsi="宋体" w:eastAsia="宋体" w:cs="宋体"/>
                <w:spacing w:val="3"/>
                <w:sz w:val="17"/>
                <w:szCs w:val="17"/>
              </w:rPr>
              <w:t xml:space="preserve">”形路口，滨河路共 </w:t>
            </w:r>
            <w:r>
              <w:rPr>
                <w:rFonts w:ascii="Times New Roman" w:hAnsi="Times New Roman" w:eastAsia="Times New Roman" w:cs="Times New Roman"/>
                <w:spacing w:val="3"/>
                <w:sz w:val="17"/>
                <w:szCs w:val="17"/>
              </w:rPr>
              <w:t>62</w:t>
            </w:r>
            <w:r>
              <w:rPr>
                <w:rFonts w:ascii="Times New Roman" w:hAnsi="Times New Roman" w:eastAsia="Times New Roman" w:cs="Times New Roman"/>
                <w:sz w:val="17"/>
                <w:szCs w:val="17"/>
              </w:rPr>
              <w:t>m</w:t>
            </w:r>
            <w:r>
              <w:rPr>
                <w:rFonts w:ascii="Times New Roman" w:hAnsi="Times New Roman" w:eastAsia="Times New Roman" w:cs="Times New Roman"/>
                <w:spacing w:val="3"/>
                <w:sz w:val="17"/>
                <w:szCs w:val="17"/>
              </w:rPr>
              <w:t xml:space="preserve"> </w:t>
            </w:r>
            <w:r>
              <w:rPr>
                <w:rFonts w:ascii="宋体" w:hAnsi="宋体" w:eastAsia="宋体" w:cs="宋体"/>
                <w:spacing w:val="3"/>
                <w:sz w:val="17"/>
                <w:szCs w:val="17"/>
              </w:rPr>
              <w:t>(</w:t>
            </w:r>
            <w:r>
              <w:rPr>
                <w:rFonts w:ascii="宋体" w:hAnsi="宋体" w:eastAsia="宋体" w:cs="宋体"/>
                <w:spacing w:val="1"/>
                <w:sz w:val="17"/>
                <w:szCs w:val="17"/>
              </w:rPr>
              <w:t>桩</w:t>
            </w:r>
            <w:r>
              <w:rPr>
                <w:rFonts w:ascii="宋体" w:hAnsi="宋体" w:eastAsia="宋体" w:cs="宋体"/>
                <w:sz w:val="17"/>
                <w:szCs w:val="17"/>
              </w:rPr>
              <w:t xml:space="preserve"> </w:t>
            </w:r>
            <w:r>
              <w:rPr>
                <w:rFonts w:ascii="宋体" w:hAnsi="宋体" w:eastAsia="宋体" w:cs="宋体"/>
                <w:spacing w:val="4"/>
                <w:sz w:val="17"/>
                <w:szCs w:val="17"/>
              </w:rPr>
              <w:t xml:space="preserve">号 </w:t>
            </w:r>
            <w:r>
              <w:rPr>
                <w:rFonts w:ascii="Times New Roman" w:hAnsi="Times New Roman" w:eastAsia="Times New Roman" w:cs="Times New Roman"/>
                <w:sz w:val="17"/>
                <w:szCs w:val="17"/>
              </w:rPr>
              <w:t>K</w:t>
            </w:r>
            <w:r>
              <w:rPr>
                <w:rFonts w:ascii="Times New Roman" w:hAnsi="Times New Roman" w:eastAsia="Times New Roman" w:cs="Times New Roman"/>
                <w:spacing w:val="4"/>
                <w:sz w:val="17"/>
                <w:szCs w:val="17"/>
              </w:rPr>
              <w:t>0+506</w:t>
            </w:r>
            <w:r>
              <w:rPr>
                <w:rFonts w:ascii="Times New Roman" w:hAnsi="Times New Roman" w:eastAsia="Times New Roman" w:cs="Times New Roman"/>
                <w:spacing w:val="2"/>
                <w:sz w:val="17"/>
                <w:szCs w:val="17"/>
              </w:rPr>
              <w:t>.363-</w:t>
            </w:r>
            <w:r>
              <w:rPr>
                <w:rFonts w:ascii="Times New Roman" w:hAnsi="Times New Roman" w:eastAsia="Times New Roman" w:cs="Times New Roman"/>
                <w:sz w:val="17"/>
                <w:szCs w:val="17"/>
              </w:rPr>
              <w:t>K</w:t>
            </w:r>
            <w:r>
              <w:rPr>
                <w:rFonts w:ascii="Times New Roman" w:hAnsi="Times New Roman" w:eastAsia="Times New Roman" w:cs="Times New Roman"/>
                <w:spacing w:val="2"/>
                <w:sz w:val="17"/>
                <w:szCs w:val="17"/>
              </w:rPr>
              <w:t>0+568. 183</w:t>
            </w:r>
            <w:r>
              <w:rPr>
                <w:rFonts w:ascii="宋体" w:hAnsi="宋体" w:eastAsia="宋体" w:cs="宋体"/>
                <w:spacing w:val="2"/>
                <w:sz w:val="17"/>
                <w:szCs w:val="17"/>
              </w:rPr>
              <w:t xml:space="preserve">，往南、北方向各偏移 </w:t>
            </w:r>
            <w:r>
              <w:rPr>
                <w:rFonts w:ascii="Times New Roman" w:hAnsi="Times New Roman" w:eastAsia="Times New Roman" w:cs="Times New Roman"/>
                <w:spacing w:val="2"/>
                <w:sz w:val="17"/>
                <w:szCs w:val="17"/>
              </w:rPr>
              <w:t>31</w:t>
            </w:r>
            <w:r>
              <w:rPr>
                <w:rFonts w:ascii="Times New Roman" w:hAnsi="Times New Roman" w:eastAsia="Times New Roman" w:cs="Times New Roman"/>
                <w:sz w:val="17"/>
                <w:szCs w:val="17"/>
              </w:rPr>
              <w:t>m</w:t>
            </w:r>
            <w:r>
              <w:rPr>
                <w:rFonts w:ascii="Times New Roman" w:hAnsi="Times New Roman" w:eastAsia="Times New Roman" w:cs="Times New Roman"/>
                <w:spacing w:val="2"/>
                <w:sz w:val="17"/>
                <w:szCs w:val="17"/>
              </w:rPr>
              <w:t xml:space="preserve"> </w:t>
            </w:r>
            <w:r>
              <w:rPr>
                <w:rFonts w:ascii="宋体" w:hAnsi="宋体" w:eastAsia="宋体" w:cs="宋体"/>
                <w:spacing w:val="2"/>
                <w:sz w:val="17"/>
                <w:szCs w:val="17"/>
              </w:rPr>
              <w:t>范围) 为本项目</w:t>
            </w:r>
            <w:r>
              <w:rPr>
                <w:rFonts w:ascii="宋体" w:hAnsi="宋体" w:eastAsia="宋体" w:cs="宋体"/>
                <w:sz w:val="17"/>
                <w:szCs w:val="17"/>
              </w:rPr>
              <w:t xml:space="preserve"> </w:t>
            </w:r>
            <w:r>
              <w:rPr>
                <w:rFonts w:ascii="宋体" w:hAnsi="宋体" w:eastAsia="宋体" w:cs="宋体"/>
                <w:spacing w:val="9"/>
                <w:sz w:val="17"/>
                <w:szCs w:val="17"/>
              </w:rPr>
              <w:t>连接道路。滨河路横断面：</w:t>
            </w:r>
            <w:r>
              <w:rPr>
                <w:rFonts w:ascii="Times New Roman" w:hAnsi="Times New Roman" w:eastAsia="Times New Roman" w:cs="Times New Roman"/>
                <w:spacing w:val="9"/>
                <w:sz w:val="17"/>
                <w:szCs w:val="17"/>
              </w:rPr>
              <w:t>2</w:t>
            </w:r>
            <w:r>
              <w:rPr>
                <w:rFonts w:ascii="Times New Roman" w:hAnsi="Times New Roman" w:eastAsia="Times New Roman" w:cs="Times New Roman"/>
                <w:sz w:val="17"/>
                <w:szCs w:val="17"/>
              </w:rPr>
              <w:t>m</w:t>
            </w:r>
            <w:r>
              <w:rPr>
                <w:rFonts w:ascii="Times New Roman" w:hAnsi="Times New Roman" w:eastAsia="Times New Roman" w:cs="Times New Roman"/>
                <w:spacing w:val="9"/>
                <w:sz w:val="17"/>
                <w:szCs w:val="17"/>
              </w:rPr>
              <w:t xml:space="preserve">  </w:t>
            </w:r>
            <w:r>
              <w:rPr>
                <w:rFonts w:ascii="宋体" w:hAnsi="宋体" w:eastAsia="宋体" w:cs="宋体"/>
                <w:spacing w:val="9"/>
                <w:sz w:val="17"/>
                <w:szCs w:val="17"/>
              </w:rPr>
              <w:t xml:space="preserve">(人行道) </w:t>
            </w:r>
            <w:r>
              <w:rPr>
                <w:rFonts w:ascii="Times New Roman" w:hAnsi="Times New Roman" w:eastAsia="Times New Roman" w:cs="Times New Roman"/>
                <w:spacing w:val="9"/>
                <w:sz w:val="17"/>
                <w:szCs w:val="17"/>
              </w:rPr>
              <w:t>+0.25</w:t>
            </w:r>
            <w:r>
              <w:rPr>
                <w:rFonts w:ascii="Times New Roman" w:hAnsi="Times New Roman" w:eastAsia="Times New Roman" w:cs="Times New Roman"/>
                <w:sz w:val="17"/>
                <w:szCs w:val="17"/>
              </w:rPr>
              <w:t>m</w:t>
            </w:r>
            <w:r>
              <w:rPr>
                <w:rFonts w:ascii="Times New Roman" w:hAnsi="Times New Roman" w:eastAsia="Times New Roman" w:cs="Times New Roman"/>
                <w:spacing w:val="9"/>
                <w:sz w:val="17"/>
                <w:szCs w:val="17"/>
              </w:rPr>
              <w:t xml:space="preserve">  </w:t>
            </w:r>
            <w:r>
              <w:rPr>
                <w:rFonts w:ascii="宋体" w:hAnsi="宋体" w:eastAsia="宋体" w:cs="宋体"/>
                <w:spacing w:val="9"/>
                <w:sz w:val="17"/>
                <w:szCs w:val="17"/>
              </w:rPr>
              <w:t xml:space="preserve">(路缘带) </w:t>
            </w:r>
            <w:r>
              <w:rPr>
                <w:rFonts w:ascii="Times New Roman" w:hAnsi="Times New Roman" w:eastAsia="Times New Roman" w:cs="Times New Roman"/>
                <w:spacing w:val="9"/>
                <w:sz w:val="17"/>
                <w:szCs w:val="17"/>
              </w:rPr>
              <w:t>+7</w:t>
            </w:r>
            <w:r>
              <w:rPr>
                <w:rFonts w:ascii="Times New Roman" w:hAnsi="Times New Roman" w:eastAsia="Times New Roman" w:cs="Times New Roman"/>
                <w:sz w:val="17"/>
                <w:szCs w:val="17"/>
              </w:rPr>
              <w:t>m</w:t>
            </w:r>
            <w:r>
              <w:rPr>
                <w:rFonts w:ascii="Times New Roman" w:hAnsi="Times New Roman" w:eastAsia="Times New Roman" w:cs="Times New Roman"/>
                <w:spacing w:val="9"/>
                <w:sz w:val="17"/>
                <w:szCs w:val="17"/>
              </w:rPr>
              <w:t xml:space="preserve">  </w:t>
            </w:r>
            <w:r>
              <w:rPr>
                <w:rFonts w:ascii="宋体" w:hAnsi="宋体" w:eastAsia="宋体" w:cs="宋体"/>
                <w:spacing w:val="9"/>
                <w:sz w:val="17"/>
                <w:szCs w:val="17"/>
              </w:rPr>
              <w:t>(</w:t>
            </w:r>
            <w:r>
              <w:rPr>
                <w:rFonts w:ascii="宋体" w:hAnsi="宋体" w:eastAsia="宋体" w:cs="宋体"/>
                <w:spacing w:val="1"/>
                <w:sz w:val="17"/>
                <w:szCs w:val="17"/>
              </w:rPr>
              <w:t>机</w:t>
            </w:r>
            <w:r>
              <w:rPr>
                <w:rFonts w:ascii="宋体" w:hAnsi="宋体" w:eastAsia="宋体" w:cs="宋体"/>
                <w:sz w:val="17"/>
                <w:szCs w:val="17"/>
              </w:rPr>
              <w:t xml:space="preserve"> </w:t>
            </w:r>
            <w:r>
              <w:rPr>
                <w:rFonts w:ascii="宋体" w:hAnsi="宋体" w:eastAsia="宋体" w:cs="宋体"/>
                <w:spacing w:val="12"/>
                <w:sz w:val="17"/>
                <w:szCs w:val="17"/>
              </w:rPr>
              <w:t>动车</w:t>
            </w:r>
            <w:r>
              <w:rPr>
                <w:rFonts w:ascii="宋体" w:hAnsi="宋体" w:eastAsia="宋体" w:cs="宋体"/>
                <w:spacing w:val="9"/>
                <w:sz w:val="17"/>
                <w:szCs w:val="17"/>
              </w:rPr>
              <w:t>道</w:t>
            </w:r>
            <w:r>
              <w:rPr>
                <w:rFonts w:ascii="宋体" w:hAnsi="宋体" w:eastAsia="宋体" w:cs="宋体"/>
                <w:spacing w:val="6"/>
                <w:sz w:val="17"/>
                <w:szCs w:val="17"/>
              </w:rPr>
              <w:t xml:space="preserve">) </w:t>
            </w:r>
            <w:r>
              <w:rPr>
                <w:rFonts w:ascii="Times New Roman" w:hAnsi="Times New Roman" w:eastAsia="Times New Roman" w:cs="Times New Roman"/>
                <w:spacing w:val="6"/>
                <w:sz w:val="17"/>
                <w:szCs w:val="17"/>
              </w:rPr>
              <w:t>+0.5</w:t>
            </w:r>
            <w:r>
              <w:rPr>
                <w:rFonts w:ascii="Times New Roman" w:hAnsi="Times New Roman" w:eastAsia="Times New Roman" w:cs="Times New Roman"/>
                <w:sz w:val="17"/>
                <w:szCs w:val="17"/>
              </w:rPr>
              <w:t>m</w:t>
            </w:r>
            <w:r>
              <w:rPr>
                <w:rFonts w:ascii="Times New Roman" w:hAnsi="Times New Roman" w:eastAsia="Times New Roman" w:cs="Times New Roman"/>
                <w:spacing w:val="6"/>
                <w:sz w:val="17"/>
                <w:szCs w:val="17"/>
              </w:rPr>
              <w:t xml:space="preserve"> </w:t>
            </w:r>
            <w:r>
              <w:rPr>
                <w:rFonts w:ascii="宋体" w:hAnsi="宋体" w:eastAsia="宋体" w:cs="宋体"/>
                <w:spacing w:val="6"/>
                <w:sz w:val="17"/>
                <w:szCs w:val="17"/>
              </w:rPr>
              <w:t xml:space="preserve">(双黄线) </w:t>
            </w:r>
            <w:r>
              <w:rPr>
                <w:rFonts w:ascii="Times New Roman" w:hAnsi="Times New Roman" w:eastAsia="Times New Roman" w:cs="Times New Roman"/>
                <w:spacing w:val="6"/>
                <w:sz w:val="17"/>
                <w:szCs w:val="17"/>
              </w:rPr>
              <w:t>+9.75</w:t>
            </w:r>
            <w:r>
              <w:rPr>
                <w:rFonts w:ascii="Times New Roman" w:hAnsi="Times New Roman" w:eastAsia="Times New Roman" w:cs="Times New Roman"/>
                <w:sz w:val="17"/>
                <w:szCs w:val="17"/>
              </w:rPr>
              <w:t>m</w:t>
            </w:r>
            <w:r>
              <w:rPr>
                <w:rFonts w:ascii="Times New Roman" w:hAnsi="Times New Roman" w:eastAsia="Times New Roman" w:cs="Times New Roman"/>
                <w:spacing w:val="6"/>
                <w:sz w:val="17"/>
                <w:szCs w:val="17"/>
              </w:rPr>
              <w:t xml:space="preserve"> </w:t>
            </w:r>
            <w:r>
              <w:rPr>
                <w:rFonts w:ascii="宋体" w:hAnsi="宋体" w:eastAsia="宋体" w:cs="宋体"/>
                <w:spacing w:val="6"/>
                <w:sz w:val="17"/>
                <w:szCs w:val="17"/>
              </w:rPr>
              <w:t xml:space="preserve">(车行道) </w:t>
            </w:r>
            <w:r>
              <w:rPr>
                <w:rFonts w:ascii="Times New Roman" w:hAnsi="Times New Roman" w:eastAsia="Times New Roman" w:cs="Times New Roman"/>
                <w:spacing w:val="6"/>
                <w:sz w:val="17"/>
                <w:szCs w:val="17"/>
              </w:rPr>
              <w:t>+0.25</w:t>
            </w:r>
            <w:r>
              <w:rPr>
                <w:rFonts w:ascii="Times New Roman" w:hAnsi="Times New Roman" w:eastAsia="Times New Roman" w:cs="Times New Roman"/>
                <w:sz w:val="17"/>
                <w:szCs w:val="17"/>
              </w:rPr>
              <w:t>m</w:t>
            </w:r>
            <w:r>
              <w:rPr>
                <w:rFonts w:ascii="Times New Roman" w:hAnsi="Times New Roman" w:eastAsia="Times New Roman" w:cs="Times New Roman"/>
                <w:spacing w:val="6"/>
                <w:sz w:val="17"/>
                <w:szCs w:val="17"/>
              </w:rPr>
              <w:t xml:space="preserve"> </w:t>
            </w:r>
            <w:r>
              <w:rPr>
                <w:rFonts w:ascii="宋体" w:hAnsi="宋体" w:eastAsia="宋体" w:cs="宋体"/>
                <w:spacing w:val="6"/>
                <w:sz w:val="17"/>
                <w:szCs w:val="17"/>
              </w:rPr>
              <w:t xml:space="preserve">(路缘带) </w:t>
            </w:r>
            <w:r>
              <w:rPr>
                <w:rFonts w:ascii="Times New Roman" w:hAnsi="Times New Roman" w:eastAsia="Times New Roman" w:cs="Times New Roman"/>
                <w:spacing w:val="6"/>
                <w:sz w:val="17"/>
                <w:szCs w:val="17"/>
              </w:rPr>
              <w:t>+2</w:t>
            </w:r>
            <w:r>
              <w:rPr>
                <w:rFonts w:ascii="Times New Roman" w:hAnsi="Times New Roman" w:eastAsia="Times New Roman" w:cs="Times New Roman"/>
                <w:sz w:val="17"/>
                <w:szCs w:val="17"/>
              </w:rPr>
              <w:t>m</w:t>
            </w:r>
            <w:r>
              <w:rPr>
                <w:rFonts w:ascii="Times New Roman" w:hAnsi="Times New Roman" w:eastAsia="Times New Roman" w:cs="Times New Roman"/>
                <w:spacing w:val="6"/>
                <w:sz w:val="17"/>
                <w:szCs w:val="17"/>
              </w:rPr>
              <w:t xml:space="preserve"> </w:t>
            </w:r>
            <w:r>
              <w:rPr>
                <w:rFonts w:ascii="宋体" w:hAnsi="宋体" w:eastAsia="宋体" w:cs="宋体"/>
                <w:spacing w:val="6"/>
                <w:sz w:val="17"/>
                <w:szCs w:val="17"/>
              </w:rPr>
              <w:t>(人</w:t>
            </w:r>
            <w:r>
              <w:rPr>
                <w:rFonts w:ascii="宋体" w:hAnsi="宋体" w:eastAsia="宋体" w:cs="宋体"/>
                <w:sz w:val="17"/>
                <w:szCs w:val="17"/>
              </w:rPr>
              <w:t xml:space="preserve"> </w:t>
            </w:r>
            <w:r>
              <w:rPr>
                <w:rFonts w:ascii="宋体" w:hAnsi="宋体" w:eastAsia="宋体" w:cs="宋体"/>
                <w:spacing w:val="4"/>
                <w:sz w:val="17"/>
                <w:szCs w:val="17"/>
              </w:rPr>
              <w:t xml:space="preserve">行道) </w:t>
            </w:r>
            <w:r>
              <w:rPr>
                <w:rFonts w:ascii="Times New Roman" w:hAnsi="Times New Roman" w:eastAsia="Times New Roman" w:cs="Times New Roman"/>
                <w:spacing w:val="4"/>
                <w:sz w:val="17"/>
                <w:szCs w:val="17"/>
              </w:rPr>
              <w:t>=21.75</w:t>
            </w:r>
            <w:r>
              <w:rPr>
                <w:rFonts w:ascii="Times New Roman" w:hAnsi="Times New Roman" w:eastAsia="Times New Roman" w:cs="Times New Roman"/>
                <w:sz w:val="17"/>
                <w:szCs w:val="17"/>
              </w:rPr>
              <w:t>m</w:t>
            </w:r>
            <w:r>
              <w:rPr>
                <w:rFonts w:ascii="Times New Roman" w:hAnsi="Times New Roman" w:eastAsia="Times New Roman" w:cs="Times New Roman"/>
                <w:spacing w:val="4"/>
                <w:sz w:val="17"/>
                <w:szCs w:val="17"/>
              </w:rPr>
              <w:t xml:space="preserve"> </w:t>
            </w:r>
            <w:r>
              <w:rPr>
                <w:rFonts w:ascii="宋体" w:hAnsi="宋体" w:eastAsia="宋体" w:cs="宋体"/>
                <w:spacing w:val="4"/>
                <w:sz w:val="17"/>
                <w:szCs w:val="17"/>
              </w:rPr>
              <w:t xml:space="preserve">，沥青路面，设计速度 </w:t>
            </w:r>
            <w:r>
              <w:rPr>
                <w:rFonts w:ascii="Times New Roman" w:hAnsi="Times New Roman" w:eastAsia="Times New Roman" w:cs="Times New Roman"/>
                <w:spacing w:val="4"/>
                <w:sz w:val="17"/>
                <w:szCs w:val="17"/>
              </w:rPr>
              <w:t>30</w:t>
            </w:r>
            <w:r>
              <w:rPr>
                <w:rFonts w:ascii="Times New Roman" w:hAnsi="Times New Roman" w:eastAsia="Times New Roman" w:cs="Times New Roman"/>
                <w:sz w:val="17"/>
                <w:szCs w:val="17"/>
              </w:rPr>
              <w:t>km</w:t>
            </w:r>
            <w:r>
              <w:rPr>
                <w:rFonts w:ascii="Times New Roman" w:hAnsi="Times New Roman" w:eastAsia="Times New Roman" w:cs="Times New Roman"/>
                <w:spacing w:val="4"/>
                <w:sz w:val="17"/>
                <w:szCs w:val="17"/>
              </w:rPr>
              <w:t>/</w:t>
            </w:r>
            <w:r>
              <w:rPr>
                <w:rFonts w:ascii="Times New Roman" w:hAnsi="Times New Roman" w:eastAsia="Times New Roman" w:cs="Times New Roman"/>
                <w:sz w:val="17"/>
                <w:szCs w:val="17"/>
              </w:rPr>
              <w:t>h</w:t>
            </w:r>
            <w:r>
              <w:rPr>
                <w:rFonts w:ascii="宋体" w:hAnsi="宋体" w:eastAsia="宋体" w:cs="宋体"/>
                <w:spacing w:val="4"/>
                <w:sz w:val="17"/>
                <w:szCs w:val="17"/>
              </w:rPr>
              <w:t>；</w:t>
            </w:r>
          </w:p>
          <w:p>
            <w:pPr>
              <w:spacing w:before="2" w:line="286" w:lineRule="auto"/>
              <w:ind w:left="27" w:right="18"/>
              <w:rPr>
                <w:rFonts w:ascii="宋体" w:hAnsi="宋体" w:eastAsia="宋体" w:cs="宋体"/>
                <w:sz w:val="17"/>
                <w:szCs w:val="17"/>
              </w:rPr>
            </w:pPr>
            <w:r>
              <w:rPr>
                <w:rFonts w:ascii="宋体" w:hAnsi="宋体" w:eastAsia="宋体" w:cs="宋体"/>
                <w:spacing w:val="14"/>
                <w:sz w:val="17"/>
                <w:szCs w:val="17"/>
              </w:rPr>
              <w:t>桥</w:t>
            </w:r>
            <w:r>
              <w:rPr>
                <w:rFonts w:ascii="宋体" w:hAnsi="宋体" w:eastAsia="宋体" w:cs="宋体"/>
                <w:spacing w:val="8"/>
                <w:sz w:val="17"/>
                <w:szCs w:val="17"/>
              </w:rPr>
              <w:t xml:space="preserve">梁东端与既有的犀牛大道 (宽 </w:t>
            </w:r>
            <w:r>
              <w:rPr>
                <w:rFonts w:ascii="Times New Roman" w:hAnsi="Times New Roman" w:eastAsia="Times New Roman" w:cs="Times New Roman"/>
                <w:spacing w:val="8"/>
                <w:sz w:val="17"/>
                <w:szCs w:val="17"/>
              </w:rPr>
              <w:t>24</w:t>
            </w:r>
            <w:r>
              <w:rPr>
                <w:rFonts w:ascii="Times New Roman" w:hAnsi="Times New Roman" w:eastAsia="Times New Roman" w:cs="Times New Roman"/>
                <w:sz w:val="17"/>
                <w:szCs w:val="17"/>
              </w:rPr>
              <w:t>m</w:t>
            </w:r>
            <w:r>
              <w:rPr>
                <w:rFonts w:ascii="宋体" w:hAnsi="宋体" w:eastAsia="宋体" w:cs="宋体"/>
                <w:spacing w:val="8"/>
                <w:sz w:val="17"/>
                <w:szCs w:val="17"/>
              </w:rPr>
              <w:t xml:space="preserve">) 和江湾路 (宽 </w:t>
            </w:r>
            <w:r>
              <w:rPr>
                <w:rFonts w:ascii="Times New Roman" w:hAnsi="Times New Roman" w:eastAsia="Times New Roman" w:cs="Times New Roman"/>
                <w:spacing w:val="8"/>
                <w:sz w:val="17"/>
                <w:szCs w:val="17"/>
              </w:rPr>
              <w:t>12</w:t>
            </w:r>
            <w:r>
              <w:rPr>
                <w:rFonts w:ascii="Times New Roman" w:hAnsi="Times New Roman" w:eastAsia="Times New Roman" w:cs="Times New Roman"/>
                <w:sz w:val="17"/>
                <w:szCs w:val="17"/>
              </w:rPr>
              <w:t>m</w:t>
            </w:r>
            <w:r>
              <w:rPr>
                <w:rFonts w:ascii="宋体" w:hAnsi="宋体" w:eastAsia="宋体" w:cs="宋体"/>
                <w:spacing w:val="8"/>
                <w:sz w:val="17"/>
                <w:szCs w:val="17"/>
              </w:rPr>
              <w:t>) 平面交叉</w:t>
            </w:r>
            <w:r>
              <w:rPr>
                <w:rFonts w:ascii="宋体" w:hAnsi="宋体" w:eastAsia="宋体" w:cs="宋体"/>
                <w:sz w:val="17"/>
                <w:szCs w:val="17"/>
              </w:rPr>
              <w:t xml:space="preserve"> </w:t>
            </w:r>
            <w:r>
              <w:rPr>
                <w:rFonts w:ascii="宋体" w:hAnsi="宋体" w:eastAsia="宋体" w:cs="宋体"/>
                <w:spacing w:val="9"/>
                <w:sz w:val="17"/>
                <w:szCs w:val="17"/>
              </w:rPr>
              <w:t>形</w:t>
            </w:r>
            <w:r>
              <w:rPr>
                <w:rFonts w:ascii="宋体" w:hAnsi="宋体" w:eastAsia="宋体" w:cs="宋体"/>
                <w:spacing w:val="5"/>
                <w:sz w:val="17"/>
                <w:szCs w:val="17"/>
              </w:rPr>
              <w:t>成“</w:t>
            </w:r>
            <w:r>
              <w:rPr>
                <w:rFonts w:ascii="Times New Roman" w:hAnsi="Times New Roman" w:eastAsia="Times New Roman" w:cs="Times New Roman"/>
                <w:sz w:val="17"/>
                <w:szCs w:val="17"/>
              </w:rPr>
              <w:t>K</w:t>
            </w:r>
            <w:r>
              <w:rPr>
                <w:rFonts w:ascii="宋体" w:hAnsi="宋体" w:eastAsia="宋体" w:cs="宋体"/>
                <w:spacing w:val="5"/>
                <w:sz w:val="17"/>
                <w:szCs w:val="17"/>
              </w:rPr>
              <w:t xml:space="preserve">”字路口。犀牛大道改造长度 </w:t>
            </w:r>
            <w:r>
              <w:rPr>
                <w:rFonts w:ascii="Times New Roman" w:hAnsi="Times New Roman" w:eastAsia="Times New Roman" w:cs="Times New Roman"/>
                <w:spacing w:val="5"/>
                <w:sz w:val="17"/>
                <w:szCs w:val="17"/>
              </w:rPr>
              <w:t>140</w:t>
            </w:r>
            <w:r>
              <w:rPr>
                <w:rFonts w:ascii="Times New Roman" w:hAnsi="Times New Roman" w:eastAsia="Times New Roman" w:cs="Times New Roman"/>
                <w:sz w:val="17"/>
                <w:szCs w:val="17"/>
              </w:rPr>
              <w:t>m</w:t>
            </w:r>
            <w:r>
              <w:rPr>
                <w:rFonts w:ascii="Times New Roman" w:hAnsi="Times New Roman" w:eastAsia="Times New Roman" w:cs="Times New Roman"/>
                <w:spacing w:val="5"/>
                <w:sz w:val="17"/>
                <w:szCs w:val="17"/>
              </w:rPr>
              <w:t xml:space="preserve"> </w:t>
            </w:r>
            <w:r>
              <w:rPr>
                <w:rFonts w:ascii="宋体" w:hAnsi="宋体" w:eastAsia="宋体" w:cs="宋体"/>
                <w:spacing w:val="5"/>
                <w:sz w:val="17"/>
                <w:szCs w:val="17"/>
              </w:rPr>
              <w:t xml:space="preserve">，宽度 </w:t>
            </w:r>
            <w:r>
              <w:rPr>
                <w:rFonts w:ascii="Times New Roman" w:hAnsi="Times New Roman" w:eastAsia="Times New Roman" w:cs="Times New Roman"/>
                <w:spacing w:val="5"/>
                <w:sz w:val="17"/>
                <w:szCs w:val="17"/>
              </w:rPr>
              <w:t>24</w:t>
            </w:r>
            <w:r>
              <w:rPr>
                <w:rFonts w:ascii="Times New Roman" w:hAnsi="Times New Roman" w:eastAsia="Times New Roman" w:cs="Times New Roman"/>
                <w:sz w:val="17"/>
                <w:szCs w:val="17"/>
              </w:rPr>
              <w:t>m</w:t>
            </w:r>
            <w:r>
              <w:rPr>
                <w:rFonts w:ascii="Times New Roman" w:hAnsi="Times New Roman" w:eastAsia="Times New Roman" w:cs="Times New Roman"/>
                <w:spacing w:val="5"/>
                <w:sz w:val="17"/>
                <w:szCs w:val="17"/>
              </w:rPr>
              <w:t xml:space="preserve"> </w:t>
            </w:r>
            <w:r>
              <w:rPr>
                <w:rFonts w:ascii="宋体" w:hAnsi="宋体" w:eastAsia="宋体" w:cs="宋体"/>
                <w:spacing w:val="5"/>
                <w:sz w:val="17"/>
                <w:szCs w:val="17"/>
              </w:rPr>
              <w:t>，其中向南延</w:t>
            </w:r>
            <w:r>
              <w:rPr>
                <w:rFonts w:ascii="宋体" w:hAnsi="宋体" w:eastAsia="宋体" w:cs="宋体"/>
                <w:sz w:val="17"/>
                <w:szCs w:val="17"/>
              </w:rPr>
              <w:t xml:space="preserve"> </w:t>
            </w:r>
            <w:r>
              <w:rPr>
                <w:rFonts w:ascii="宋体" w:hAnsi="宋体" w:eastAsia="宋体" w:cs="宋体"/>
                <w:spacing w:val="4"/>
                <w:sz w:val="17"/>
                <w:szCs w:val="17"/>
              </w:rPr>
              <w:t xml:space="preserve">伸 </w:t>
            </w:r>
            <w:r>
              <w:rPr>
                <w:rFonts w:ascii="Times New Roman" w:hAnsi="Times New Roman" w:eastAsia="Times New Roman" w:cs="Times New Roman"/>
                <w:spacing w:val="4"/>
                <w:sz w:val="17"/>
                <w:szCs w:val="17"/>
              </w:rPr>
              <w:t>80</w:t>
            </w:r>
            <w:r>
              <w:rPr>
                <w:rFonts w:ascii="Times New Roman" w:hAnsi="Times New Roman" w:eastAsia="Times New Roman" w:cs="Times New Roman"/>
                <w:sz w:val="17"/>
                <w:szCs w:val="17"/>
              </w:rPr>
              <w:t>m</w:t>
            </w:r>
            <w:r>
              <w:rPr>
                <w:rFonts w:ascii="Times New Roman" w:hAnsi="Times New Roman" w:eastAsia="Times New Roman" w:cs="Times New Roman"/>
                <w:spacing w:val="2"/>
                <w:sz w:val="17"/>
                <w:szCs w:val="17"/>
              </w:rPr>
              <w:t xml:space="preserve"> </w:t>
            </w:r>
            <w:r>
              <w:rPr>
                <w:rFonts w:ascii="宋体" w:hAnsi="宋体" w:eastAsia="宋体" w:cs="宋体"/>
                <w:spacing w:val="2"/>
                <w:sz w:val="17"/>
                <w:szCs w:val="17"/>
              </w:rPr>
              <w:t xml:space="preserve">、向北延伸 </w:t>
            </w:r>
            <w:r>
              <w:rPr>
                <w:rFonts w:ascii="Times New Roman" w:hAnsi="Times New Roman" w:eastAsia="Times New Roman" w:cs="Times New Roman"/>
                <w:spacing w:val="2"/>
                <w:sz w:val="17"/>
                <w:szCs w:val="17"/>
              </w:rPr>
              <w:t>60</w:t>
            </w:r>
            <w:r>
              <w:rPr>
                <w:rFonts w:ascii="Times New Roman" w:hAnsi="Times New Roman" w:eastAsia="Times New Roman" w:cs="Times New Roman"/>
                <w:sz w:val="17"/>
                <w:szCs w:val="17"/>
              </w:rPr>
              <w:t>m</w:t>
            </w:r>
            <w:r>
              <w:rPr>
                <w:rFonts w:ascii="宋体" w:hAnsi="宋体" w:eastAsia="宋体" w:cs="宋体"/>
                <w:spacing w:val="2"/>
                <w:sz w:val="17"/>
                <w:szCs w:val="17"/>
              </w:rPr>
              <w:t xml:space="preserve">；江湾路改造长度 </w:t>
            </w:r>
            <w:r>
              <w:rPr>
                <w:rFonts w:ascii="Times New Roman" w:hAnsi="Times New Roman" w:eastAsia="Times New Roman" w:cs="Times New Roman"/>
                <w:spacing w:val="2"/>
                <w:sz w:val="17"/>
                <w:szCs w:val="17"/>
              </w:rPr>
              <w:t>105</w:t>
            </w:r>
            <w:r>
              <w:rPr>
                <w:rFonts w:ascii="Times New Roman" w:hAnsi="Times New Roman" w:eastAsia="Times New Roman" w:cs="Times New Roman"/>
                <w:sz w:val="17"/>
                <w:szCs w:val="17"/>
              </w:rPr>
              <w:t>m</w:t>
            </w:r>
            <w:r>
              <w:rPr>
                <w:rFonts w:ascii="Times New Roman" w:hAnsi="Times New Roman" w:eastAsia="Times New Roman" w:cs="Times New Roman"/>
                <w:spacing w:val="2"/>
                <w:sz w:val="17"/>
                <w:szCs w:val="17"/>
              </w:rPr>
              <w:t xml:space="preserve"> </w:t>
            </w:r>
            <w:r>
              <w:rPr>
                <w:rFonts w:ascii="宋体" w:hAnsi="宋体" w:eastAsia="宋体" w:cs="宋体"/>
                <w:spacing w:val="2"/>
                <w:sz w:val="17"/>
                <w:szCs w:val="17"/>
              </w:rPr>
              <w:t>，改造内容主要为车道</w:t>
            </w:r>
            <w:r>
              <w:rPr>
                <w:rFonts w:ascii="宋体" w:hAnsi="宋体" w:eastAsia="宋体" w:cs="宋体"/>
                <w:sz w:val="17"/>
                <w:szCs w:val="17"/>
              </w:rPr>
              <w:t xml:space="preserve"> </w:t>
            </w:r>
            <w:r>
              <w:rPr>
                <w:rFonts w:ascii="宋体" w:hAnsi="宋体" w:eastAsia="宋体" w:cs="宋体"/>
                <w:spacing w:val="11"/>
                <w:sz w:val="17"/>
                <w:szCs w:val="17"/>
              </w:rPr>
              <w:t>拓</w:t>
            </w:r>
            <w:r>
              <w:rPr>
                <w:rFonts w:ascii="宋体" w:hAnsi="宋体" w:eastAsia="宋体" w:cs="宋体"/>
                <w:spacing w:val="9"/>
                <w:sz w:val="17"/>
                <w:szCs w:val="17"/>
              </w:rPr>
              <w:t>宽及交通导流岛、交通标志标线的改造。</w:t>
            </w:r>
          </w:p>
        </w:tc>
        <w:tc>
          <w:tcPr>
            <w:tcW w:w="1168" w:type="dxa"/>
            <w:vAlign w:val="top"/>
          </w:tcPr>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before="55" w:line="230" w:lineRule="auto"/>
              <w:ind w:left="49"/>
              <w:rPr>
                <w:rFonts w:ascii="宋体" w:hAnsi="宋体" w:eastAsia="宋体" w:cs="宋体"/>
                <w:sz w:val="17"/>
                <w:szCs w:val="17"/>
              </w:rPr>
            </w:pPr>
            <w:r>
              <w:rPr>
                <w:rFonts w:ascii="宋体" w:hAnsi="宋体" w:eastAsia="宋体" w:cs="宋体"/>
                <w:spacing w:val="9"/>
                <w:sz w:val="17"/>
                <w:szCs w:val="17"/>
              </w:rPr>
              <w:t>废水、扬尘</w:t>
            </w:r>
            <w:r>
              <w:rPr>
                <w:rFonts w:ascii="宋体" w:hAnsi="宋体" w:eastAsia="宋体" w:cs="宋体"/>
                <w:spacing w:val="8"/>
                <w:sz w:val="17"/>
                <w:szCs w:val="17"/>
              </w:rPr>
              <w:t>沥</w:t>
            </w:r>
          </w:p>
          <w:p>
            <w:pPr>
              <w:spacing w:before="66" w:line="317" w:lineRule="auto"/>
              <w:ind w:left="425" w:right="70" w:hanging="375"/>
              <w:rPr>
                <w:rFonts w:ascii="宋体" w:hAnsi="宋体" w:eastAsia="宋体" w:cs="宋体"/>
                <w:sz w:val="17"/>
                <w:szCs w:val="17"/>
              </w:rPr>
            </w:pPr>
            <w:r>
              <w:rPr>
                <w:rFonts w:ascii="宋体" w:hAnsi="宋体" w:eastAsia="宋体" w:cs="宋体"/>
                <w:spacing w:val="6"/>
                <w:sz w:val="17"/>
                <w:szCs w:val="17"/>
              </w:rPr>
              <w:t>青</w:t>
            </w:r>
            <w:r>
              <w:rPr>
                <w:rFonts w:ascii="宋体" w:hAnsi="宋体" w:eastAsia="宋体" w:cs="宋体"/>
                <w:spacing w:val="3"/>
                <w:sz w:val="17"/>
                <w:szCs w:val="17"/>
              </w:rPr>
              <w:t>烟、噪声、</w:t>
            </w:r>
            <w:r>
              <w:rPr>
                <w:rFonts w:ascii="宋体" w:hAnsi="宋体" w:eastAsia="宋体" w:cs="宋体"/>
                <w:sz w:val="17"/>
                <w:szCs w:val="17"/>
              </w:rPr>
              <w:t xml:space="preserve"> </w:t>
            </w:r>
            <w:r>
              <w:rPr>
                <w:rFonts w:ascii="宋体" w:hAnsi="宋体" w:eastAsia="宋体" w:cs="宋体"/>
                <w:spacing w:val="-2"/>
                <w:sz w:val="17"/>
                <w:szCs w:val="17"/>
              </w:rPr>
              <w:t>固</w:t>
            </w:r>
            <w:r>
              <w:rPr>
                <w:rFonts w:ascii="宋体" w:hAnsi="宋体" w:eastAsia="宋体" w:cs="宋体"/>
                <w:spacing w:val="-1"/>
                <w:sz w:val="17"/>
                <w:szCs w:val="17"/>
              </w:rPr>
              <w:t>废</w:t>
            </w:r>
          </w:p>
        </w:tc>
        <w:tc>
          <w:tcPr>
            <w:tcW w:w="79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568"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6" w:line="315" w:lineRule="auto"/>
              <w:ind w:left="109" w:right="101"/>
              <w:rPr>
                <w:rFonts w:ascii="宋体" w:hAnsi="宋体" w:eastAsia="宋体" w:cs="宋体"/>
                <w:sz w:val="17"/>
                <w:szCs w:val="17"/>
              </w:rPr>
            </w:pPr>
            <w:r>
              <w:rPr>
                <w:rFonts w:ascii="宋体" w:hAnsi="宋体" w:eastAsia="宋体" w:cs="宋体"/>
                <w:spacing w:val="6"/>
                <w:sz w:val="17"/>
                <w:szCs w:val="17"/>
              </w:rPr>
              <w:t>辅</w:t>
            </w:r>
            <w:r>
              <w:rPr>
                <w:rFonts w:ascii="宋体" w:hAnsi="宋体" w:eastAsia="宋体" w:cs="宋体"/>
                <w:spacing w:val="5"/>
                <w:sz w:val="17"/>
                <w:szCs w:val="17"/>
              </w:rPr>
              <w:t>助</w:t>
            </w:r>
            <w:r>
              <w:rPr>
                <w:rFonts w:ascii="宋体" w:hAnsi="宋体" w:eastAsia="宋体" w:cs="宋体"/>
                <w:sz w:val="17"/>
                <w:szCs w:val="17"/>
              </w:rPr>
              <w:t xml:space="preserve"> </w:t>
            </w:r>
            <w:r>
              <w:rPr>
                <w:rFonts w:ascii="宋体" w:hAnsi="宋体" w:eastAsia="宋体" w:cs="宋体"/>
                <w:spacing w:val="5"/>
                <w:sz w:val="17"/>
                <w:szCs w:val="17"/>
              </w:rPr>
              <w:t>工程</w:t>
            </w:r>
          </w:p>
        </w:tc>
        <w:tc>
          <w:tcPr>
            <w:tcW w:w="1041" w:type="dxa"/>
            <w:vAlign w:val="top"/>
          </w:tcPr>
          <w:p>
            <w:pPr>
              <w:spacing w:line="287" w:lineRule="auto"/>
              <w:rPr>
                <w:rFonts w:ascii="Arial"/>
                <w:sz w:val="21"/>
              </w:rPr>
            </w:pPr>
          </w:p>
          <w:p>
            <w:pPr>
              <w:spacing w:line="288" w:lineRule="auto"/>
              <w:rPr>
                <w:rFonts w:ascii="Arial"/>
                <w:sz w:val="21"/>
              </w:rPr>
            </w:pPr>
          </w:p>
          <w:p>
            <w:pPr>
              <w:spacing w:before="55" w:line="230" w:lineRule="auto"/>
              <w:ind w:left="164"/>
              <w:rPr>
                <w:rFonts w:ascii="宋体" w:hAnsi="宋体" w:eastAsia="宋体" w:cs="宋体"/>
                <w:sz w:val="17"/>
                <w:szCs w:val="17"/>
              </w:rPr>
            </w:pPr>
            <w:r>
              <w:rPr>
                <w:rFonts w:ascii="宋体" w:hAnsi="宋体" w:eastAsia="宋体" w:cs="宋体"/>
                <w:spacing w:val="8"/>
                <w:sz w:val="17"/>
                <w:szCs w:val="17"/>
              </w:rPr>
              <w:t>排水工程</w:t>
            </w:r>
          </w:p>
        </w:tc>
        <w:tc>
          <w:tcPr>
            <w:tcW w:w="5543" w:type="dxa"/>
            <w:vAlign w:val="top"/>
          </w:tcPr>
          <w:p>
            <w:pPr>
              <w:spacing w:before="40" w:line="320" w:lineRule="auto"/>
              <w:ind w:left="28" w:firstLine="3"/>
              <w:rPr>
                <w:rFonts w:ascii="宋体" w:hAnsi="宋体" w:eastAsia="宋体" w:cs="宋体"/>
                <w:sz w:val="17"/>
                <w:szCs w:val="17"/>
              </w:rPr>
            </w:pPr>
            <w:r>
              <w:rPr>
                <w:rFonts w:ascii="宋体" w:hAnsi="宋体" w:eastAsia="宋体" w:cs="宋体"/>
                <w:spacing w:val="1"/>
                <w:sz w:val="17"/>
                <w:szCs w:val="17"/>
              </w:rPr>
              <w:t xml:space="preserve">西端：滨河路 </w:t>
            </w:r>
            <w:r>
              <w:rPr>
                <w:rFonts w:ascii="Times New Roman" w:hAnsi="Times New Roman" w:eastAsia="Times New Roman" w:cs="Times New Roman"/>
                <w:sz w:val="17"/>
                <w:szCs w:val="17"/>
              </w:rPr>
              <w:t>K</w:t>
            </w:r>
            <w:r>
              <w:rPr>
                <w:rFonts w:ascii="Times New Roman" w:hAnsi="Times New Roman" w:eastAsia="Times New Roman" w:cs="Times New Roman"/>
                <w:spacing w:val="1"/>
                <w:sz w:val="17"/>
                <w:szCs w:val="17"/>
              </w:rPr>
              <w:t>0+470~</w:t>
            </w:r>
            <w:r>
              <w:rPr>
                <w:rFonts w:ascii="Times New Roman" w:hAnsi="Times New Roman" w:eastAsia="Times New Roman" w:cs="Times New Roman"/>
                <w:sz w:val="17"/>
                <w:szCs w:val="17"/>
              </w:rPr>
              <w:t>K</w:t>
            </w:r>
            <w:r>
              <w:rPr>
                <w:rFonts w:ascii="Times New Roman" w:hAnsi="Times New Roman" w:eastAsia="Times New Roman" w:cs="Times New Roman"/>
                <w:spacing w:val="1"/>
                <w:sz w:val="17"/>
                <w:szCs w:val="17"/>
              </w:rPr>
              <w:t xml:space="preserve">0+602 </w:t>
            </w:r>
            <w:r>
              <w:rPr>
                <w:rFonts w:ascii="宋体" w:hAnsi="宋体" w:eastAsia="宋体" w:cs="宋体"/>
                <w:spacing w:val="1"/>
                <w:sz w:val="17"/>
                <w:szCs w:val="17"/>
              </w:rPr>
              <w:t xml:space="preserve">段新建 </w:t>
            </w:r>
            <w:r>
              <w:rPr>
                <w:rFonts w:ascii="Times New Roman" w:hAnsi="Times New Roman" w:eastAsia="Times New Roman" w:cs="Times New Roman"/>
                <w:sz w:val="17"/>
                <w:szCs w:val="17"/>
              </w:rPr>
              <w:t xml:space="preserve">DN800 </w:t>
            </w:r>
            <w:r>
              <w:rPr>
                <w:rFonts w:ascii="宋体" w:hAnsi="宋体" w:eastAsia="宋体" w:cs="宋体"/>
                <w:sz w:val="17"/>
                <w:szCs w:val="17"/>
              </w:rPr>
              <w:t xml:space="preserve">雨水管和 </w:t>
            </w:r>
            <w:r>
              <w:rPr>
                <w:rFonts w:ascii="Times New Roman" w:hAnsi="Times New Roman" w:eastAsia="Times New Roman" w:cs="Times New Roman"/>
                <w:sz w:val="17"/>
                <w:szCs w:val="17"/>
              </w:rPr>
              <w:t xml:space="preserve">DN400 </w:t>
            </w:r>
            <w:r>
              <w:rPr>
                <w:rFonts w:ascii="宋体" w:hAnsi="宋体" w:eastAsia="宋体" w:cs="宋体"/>
                <w:sz w:val="17"/>
                <w:szCs w:val="17"/>
              </w:rPr>
              <w:t xml:space="preserve">污水管， </w:t>
            </w:r>
            <w:r>
              <w:rPr>
                <w:rFonts w:ascii="宋体" w:hAnsi="宋体" w:eastAsia="宋体" w:cs="宋体"/>
                <w:spacing w:val="8"/>
                <w:sz w:val="17"/>
                <w:szCs w:val="17"/>
              </w:rPr>
              <w:t>衔接滨河路已设计雨、污管道</w:t>
            </w:r>
            <w:r>
              <w:rPr>
                <w:rFonts w:ascii="宋体" w:hAnsi="宋体" w:eastAsia="宋体" w:cs="宋体"/>
                <w:spacing w:val="7"/>
                <w:sz w:val="17"/>
                <w:szCs w:val="17"/>
              </w:rPr>
              <w:t>；</w:t>
            </w:r>
          </w:p>
          <w:p>
            <w:pPr>
              <w:spacing w:before="3" w:line="279" w:lineRule="auto"/>
              <w:ind w:left="27" w:right="18" w:firstLine="6"/>
              <w:rPr>
                <w:rFonts w:ascii="宋体" w:hAnsi="宋体" w:eastAsia="宋体" w:cs="宋体"/>
                <w:sz w:val="17"/>
                <w:szCs w:val="17"/>
              </w:rPr>
            </w:pPr>
            <w:r>
              <w:rPr>
                <w:rFonts w:ascii="宋体" w:hAnsi="宋体" w:eastAsia="宋体" w:cs="宋体"/>
                <w:spacing w:val="12"/>
                <w:sz w:val="17"/>
                <w:szCs w:val="17"/>
              </w:rPr>
              <w:t>东</w:t>
            </w:r>
            <w:r>
              <w:rPr>
                <w:rFonts w:ascii="宋体" w:hAnsi="宋体" w:eastAsia="宋体" w:cs="宋体"/>
                <w:spacing w:val="9"/>
                <w:sz w:val="17"/>
                <w:szCs w:val="17"/>
              </w:rPr>
              <w:t>端：犀牛大道交叉口改造段，新建雨水口及雨水口连接管；</w:t>
            </w:r>
            <w:r>
              <w:rPr>
                <w:rFonts w:ascii="宋体" w:hAnsi="宋体" w:eastAsia="宋体" w:cs="宋体"/>
                <w:sz w:val="17"/>
                <w:szCs w:val="17"/>
              </w:rPr>
              <w:t xml:space="preserve">        </w:t>
            </w:r>
            <w:r>
              <w:rPr>
                <w:rFonts w:ascii="宋体" w:hAnsi="宋体" w:eastAsia="宋体" w:cs="宋体"/>
                <w:spacing w:val="11"/>
                <w:sz w:val="17"/>
                <w:szCs w:val="17"/>
              </w:rPr>
              <w:t>桥</w:t>
            </w:r>
            <w:r>
              <w:rPr>
                <w:rFonts w:ascii="宋体" w:hAnsi="宋体" w:eastAsia="宋体" w:cs="宋体"/>
                <w:spacing w:val="7"/>
                <w:sz w:val="17"/>
                <w:szCs w:val="17"/>
              </w:rPr>
              <w:t>面排水在桥梁两侧外设置排水管；引至桥梁两端接入雨水管排放，不</w:t>
            </w:r>
            <w:r>
              <w:rPr>
                <w:rFonts w:ascii="宋体" w:hAnsi="宋体" w:eastAsia="宋体" w:cs="宋体"/>
                <w:sz w:val="17"/>
                <w:szCs w:val="17"/>
              </w:rPr>
              <w:t xml:space="preserve"> </w:t>
            </w:r>
            <w:r>
              <w:rPr>
                <w:rFonts w:ascii="宋体" w:hAnsi="宋体" w:eastAsia="宋体" w:cs="宋体"/>
                <w:spacing w:val="10"/>
                <w:sz w:val="17"/>
                <w:szCs w:val="17"/>
              </w:rPr>
              <w:t>涉</w:t>
            </w:r>
            <w:r>
              <w:rPr>
                <w:rFonts w:ascii="宋体" w:hAnsi="宋体" w:eastAsia="宋体" w:cs="宋体"/>
                <w:spacing w:val="7"/>
                <w:sz w:val="17"/>
                <w:szCs w:val="17"/>
              </w:rPr>
              <w:t>及污水管线。</w:t>
            </w:r>
          </w:p>
        </w:tc>
        <w:tc>
          <w:tcPr>
            <w:tcW w:w="1168" w:type="dxa"/>
            <w:vAlign w:val="top"/>
          </w:tcPr>
          <w:p>
            <w:pPr>
              <w:spacing w:line="274" w:lineRule="auto"/>
              <w:rPr>
                <w:rFonts w:ascii="Arial"/>
                <w:sz w:val="21"/>
              </w:rPr>
            </w:pPr>
          </w:p>
          <w:p>
            <w:pPr>
              <w:spacing w:line="275" w:lineRule="auto"/>
              <w:rPr>
                <w:rFonts w:ascii="Arial"/>
                <w:sz w:val="21"/>
              </w:rPr>
            </w:pPr>
          </w:p>
          <w:p>
            <w:pPr>
              <w:spacing w:before="49" w:line="242" w:lineRule="exact"/>
              <w:ind w:left="55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797"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49" w:line="242" w:lineRule="exact"/>
              <w:ind w:left="373"/>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0" w:hRule="atLeast"/>
        </w:trPr>
        <w:tc>
          <w:tcPr>
            <w:tcW w:w="568" w:type="dxa"/>
            <w:vMerge w:val="continue"/>
            <w:tcBorders>
              <w:top w:val="nil"/>
              <w:bottom w:val="nil"/>
            </w:tcBorders>
            <w:vAlign w:val="top"/>
          </w:tcPr>
          <w:p>
            <w:pPr>
              <w:rPr>
                <w:rFonts w:ascii="Arial"/>
                <w:sz w:val="21"/>
              </w:rPr>
            </w:pPr>
          </w:p>
        </w:tc>
        <w:tc>
          <w:tcPr>
            <w:tcW w:w="1041" w:type="dxa"/>
            <w:vAlign w:val="top"/>
          </w:tcPr>
          <w:p>
            <w:pPr>
              <w:spacing w:before="82" w:line="230" w:lineRule="auto"/>
              <w:ind w:left="168"/>
              <w:rPr>
                <w:rFonts w:ascii="宋体" w:hAnsi="宋体" w:eastAsia="宋体" w:cs="宋体"/>
                <w:sz w:val="17"/>
                <w:szCs w:val="17"/>
              </w:rPr>
            </w:pPr>
            <w:r>
              <w:rPr>
                <w:rFonts w:ascii="宋体" w:hAnsi="宋体" w:eastAsia="宋体" w:cs="宋体"/>
                <w:spacing w:val="7"/>
                <w:sz w:val="17"/>
                <w:szCs w:val="17"/>
              </w:rPr>
              <w:t>管线工程</w:t>
            </w:r>
          </w:p>
        </w:tc>
        <w:tc>
          <w:tcPr>
            <w:tcW w:w="5543" w:type="dxa"/>
            <w:vAlign w:val="top"/>
          </w:tcPr>
          <w:p>
            <w:pPr>
              <w:spacing w:before="82" w:line="230" w:lineRule="auto"/>
              <w:ind w:left="27"/>
              <w:rPr>
                <w:rFonts w:ascii="宋体" w:hAnsi="宋体" w:eastAsia="宋体" w:cs="宋体"/>
                <w:sz w:val="17"/>
                <w:szCs w:val="17"/>
              </w:rPr>
            </w:pPr>
            <w:r>
              <w:rPr>
                <w:rFonts w:ascii="宋体" w:hAnsi="宋体" w:eastAsia="宋体" w:cs="宋体"/>
                <w:spacing w:val="12"/>
                <w:sz w:val="17"/>
                <w:szCs w:val="17"/>
              </w:rPr>
              <w:t>桥梁</w:t>
            </w:r>
            <w:r>
              <w:rPr>
                <w:rFonts w:ascii="宋体" w:hAnsi="宋体" w:eastAsia="宋体" w:cs="宋体"/>
                <w:spacing w:val="9"/>
                <w:sz w:val="17"/>
                <w:szCs w:val="17"/>
              </w:rPr>
              <w:t>人</w:t>
            </w:r>
            <w:r>
              <w:rPr>
                <w:rFonts w:ascii="宋体" w:hAnsi="宋体" w:eastAsia="宋体" w:cs="宋体"/>
                <w:spacing w:val="6"/>
                <w:sz w:val="17"/>
                <w:szCs w:val="17"/>
              </w:rPr>
              <w:t xml:space="preserve">行道下设置 </w:t>
            </w:r>
            <w:r>
              <w:rPr>
                <w:rFonts w:ascii="Times New Roman" w:hAnsi="Times New Roman" w:eastAsia="Times New Roman" w:cs="Times New Roman"/>
                <w:spacing w:val="6"/>
                <w:sz w:val="17"/>
                <w:szCs w:val="17"/>
              </w:rPr>
              <w:t xml:space="preserve">12 </w:t>
            </w:r>
            <w:r>
              <w:rPr>
                <w:rFonts w:ascii="宋体" w:hAnsi="宋体" w:eastAsia="宋体" w:cs="宋体"/>
                <w:spacing w:val="6"/>
                <w:sz w:val="17"/>
                <w:szCs w:val="17"/>
              </w:rPr>
              <w:t>孔电力排管、</w:t>
            </w:r>
            <w:r>
              <w:rPr>
                <w:rFonts w:ascii="Times New Roman" w:hAnsi="Times New Roman" w:eastAsia="Times New Roman" w:cs="Times New Roman"/>
                <w:spacing w:val="6"/>
                <w:sz w:val="17"/>
                <w:szCs w:val="17"/>
              </w:rPr>
              <w:t xml:space="preserve">12 </w:t>
            </w:r>
            <w:r>
              <w:rPr>
                <w:rFonts w:ascii="宋体" w:hAnsi="宋体" w:eastAsia="宋体" w:cs="宋体"/>
                <w:spacing w:val="6"/>
                <w:sz w:val="17"/>
                <w:szCs w:val="17"/>
              </w:rPr>
              <w:t>孔通信排管等</w:t>
            </w:r>
          </w:p>
        </w:tc>
        <w:tc>
          <w:tcPr>
            <w:tcW w:w="1168" w:type="dxa"/>
            <w:vAlign w:val="top"/>
          </w:tcPr>
          <w:p>
            <w:pPr>
              <w:spacing w:before="47" w:line="242" w:lineRule="exact"/>
              <w:ind w:left="55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79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1" w:hRule="atLeast"/>
        </w:trPr>
        <w:tc>
          <w:tcPr>
            <w:tcW w:w="568" w:type="dxa"/>
            <w:vMerge w:val="continue"/>
            <w:tcBorders>
              <w:top w:val="nil"/>
              <w:bottom w:val="nil"/>
            </w:tcBorders>
            <w:vAlign w:val="top"/>
          </w:tcPr>
          <w:p>
            <w:pPr>
              <w:rPr>
                <w:rFonts w:ascii="Arial"/>
                <w:sz w:val="21"/>
              </w:rPr>
            </w:pPr>
          </w:p>
        </w:tc>
        <w:tc>
          <w:tcPr>
            <w:tcW w:w="1041"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55" w:line="230" w:lineRule="auto"/>
              <w:ind w:left="168"/>
              <w:rPr>
                <w:rFonts w:ascii="宋体" w:hAnsi="宋体" w:eastAsia="宋体" w:cs="宋体"/>
                <w:sz w:val="17"/>
                <w:szCs w:val="17"/>
              </w:rPr>
            </w:pPr>
            <w:r>
              <w:rPr>
                <w:rFonts w:ascii="宋体" w:hAnsi="宋体" w:eastAsia="宋体" w:cs="宋体"/>
                <w:spacing w:val="7"/>
                <w:sz w:val="17"/>
                <w:szCs w:val="17"/>
              </w:rPr>
              <w:t>管线改造</w:t>
            </w:r>
          </w:p>
        </w:tc>
        <w:tc>
          <w:tcPr>
            <w:tcW w:w="5543" w:type="dxa"/>
            <w:vAlign w:val="top"/>
          </w:tcPr>
          <w:p>
            <w:pPr>
              <w:spacing w:before="90" w:line="302" w:lineRule="auto"/>
              <w:ind w:left="23" w:right="18" w:firstLine="8"/>
              <w:rPr>
                <w:rFonts w:ascii="宋体" w:hAnsi="宋体" w:eastAsia="宋体" w:cs="宋体"/>
                <w:sz w:val="17"/>
                <w:szCs w:val="17"/>
              </w:rPr>
            </w:pPr>
            <w:r>
              <w:rPr>
                <w:rFonts w:ascii="宋体" w:hAnsi="宋体" w:eastAsia="宋体" w:cs="宋体"/>
                <w:spacing w:val="19"/>
                <w:sz w:val="17"/>
                <w:szCs w:val="17"/>
              </w:rPr>
              <w:t>西</w:t>
            </w:r>
            <w:r>
              <w:rPr>
                <w:rFonts w:ascii="宋体" w:hAnsi="宋体" w:eastAsia="宋体" w:cs="宋体"/>
                <w:spacing w:val="15"/>
                <w:sz w:val="17"/>
                <w:szCs w:val="17"/>
              </w:rPr>
              <w:t>端： 滨河路起点处桥墩与现状两根给水钢管冲突 ， 管径分别为</w:t>
            </w:r>
            <w:r>
              <w:rPr>
                <w:rFonts w:ascii="宋体" w:hAnsi="宋体" w:eastAsia="宋体" w:cs="宋体"/>
                <w:sz w:val="17"/>
                <w:szCs w:val="17"/>
              </w:rPr>
              <w:t xml:space="preserve"> </w:t>
            </w:r>
            <w:r>
              <w:rPr>
                <w:rFonts w:ascii="Times New Roman" w:hAnsi="Times New Roman" w:eastAsia="Times New Roman" w:cs="Times New Roman"/>
                <w:sz w:val="17"/>
                <w:szCs w:val="17"/>
              </w:rPr>
              <w:t>DN</w:t>
            </w:r>
            <w:r>
              <w:rPr>
                <w:rFonts w:ascii="Times New Roman" w:hAnsi="Times New Roman" w:eastAsia="Times New Roman" w:cs="Times New Roman"/>
                <w:spacing w:val="2"/>
                <w:sz w:val="17"/>
                <w:szCs w:val="17"/>
              </w:rPr>
              <w:t>150\</w:t>
            </w:r>
            <w:r>
              <w:rPr>
                <w:rFonts w:ascii="Times New Roman" w:hAnsi="Times New Roman" w:eastAsia="Times New Roman" w:cs="Times New Roman"/>
                <w:sz w:val="17"/>
                <w:szCs w:val="17"/>
              </w:rPr>
              <w:t>DN</w:t>
            </w:r>
            <w:r>
              <w:rPr>
                <w:rFonts w:ascii="Times New Roman" w:hAnsi="Times New Roman" w:eastAsia="Times New Roman" w:cs="Times New Roman"/>
                <w:spacing w:val="2"/>
                <w:sz w:val="17"/>
                <w:szCs w:val="17"/>
              </w:rPr>
              <w:t xml:space="preserve">100 </w:t>
            </w:r>
            <w:r>
              <w:rPr>
                <w:rFonts w:ascii="宋体" w:hAnsi="宋体" w:eastAsia="宋体" w:cs="宋体"/>
                <w:spacing w:val="2"/>
                <w:sz w:val="17"/>
                <w:szCs w:val="17"/>
              </w:rPr>
              <w:t xml:space="preserve">，长度均为 </w:t>
            </w:r>
            <w:r>
              <w:rPr>
                <w:rFonts w:ascii="Times New Roman" w:hAnsi="Times New Roman" w:eastAsia="Times New Roman" w:cs="Times New Roman"/>
                <w:spacing w:val="2"/>
                <w:sz w:val="17"/>
                <w:szCs w:val="17"/>
              </w:rPr>
              <w:t>23</w:t>
            </w:r>
            <w:r>
              <w:rPr>
                <w:rFonts w:ascii="Times New Roman" w:hAnsi="Times New Roman" w:eastAsia="Times New Roman" w:cs="Times New Roman"/>
                <w:sz w:val="17"/>
                <w:szCs w:val="17"/>
              </w:rPr>
              <w:t>m</w:t>
            </w:r>
            <w:r>
              <w:rPr>
                <w:rFonts w:ascii="Times New Roman" w:hAnsi="Times New Roman" w:eastAsia="Times New Roman" w:cs="Times New Roman"/>
                <w:spacing w:val="2"/>
                <w:sz w:val="17"/>
                <w:szCs w:val="17"/>
              </w:rPr>
              <w:t xml:space="preserve"> </w:t>
            </w:r>
            <w:r>
              <w:rPr>
                <w:rFonts w:ascii="宋体" w:hAnsi="宋体" w:eastAsia="宋体" w:cs="宋体"/>
                <w:spacing w:val="2"/>
                <w:sz w:val="17"/>
                <w:szCs w:val="17"/>
              </w:rPr>
              <w:t xml:space="preserve">，埋深约 </w:t>
            </w:r>
            <w:r>
              <w:rPr>
                <w:rFonts w:ascii="Times New Roman" w:hAnsi="Times New Roman" w:eastAsia="Times New Roman" w:cs="Times New Roman"/>
                <w:spacing w:val="2"/>
                <w:sz w:val="17"/>
                <w:szCs w:val="17"/>
              </w:rPr>
              <w:t>5</w:t>
            </w:r>
            <w:r>
              <w:rPr>
                <w:rFonts w:ascii="Times New Roman" w:hAnsi="Times New Roman" w:eastAsia="Times New Roman" w:cs="Times New Roman"/>
                <w:sz w:val="17"/>
                <w:szCs w:val="17"/>
              </w:rPr>
              <w:t>m</w:t>
            </w:r>
            <w:r>
              <w:rPr>
                <w:rFonts w:ascii="Times New Roman" w:hAnsi="Times New Roman" w:eastAsia="Times New Roman" w:cs="Times New Roman"/>
                <w:spacing w:val="2"/>
                <w:sz w:val="17"/>
                <w:szCs w:val="17"/>
              </w:rPr>
              <w:t xml:space="preserve"> </w:t>
            </w:r>
            <w:r>
              <w:rPr>
                <w:rFonts w:ascii="宋体" w:hAnsi="宋体" w:eastAsia="宋体" w:cs="宋体"/>
                <w:spacing w:val="1"/>
                <w:sz w:val="17"/>
                <w:szCs w:val="17"/>
              </w:rPr>
              <w:t>，为避让桥墩，需将两根给</w:t>
            </w:r>
            <w:r>
              <w:rPr>
                <w:rFonts w:ascii="宋体" w:hAnsi="宋体" w:eastAsia="宋体" w:cs="宋体"/>
                <w:sz w:val="17"/>
                <w:szCs w:val="17"/>
              </w:rPr>
              <w:t xml:space="preserve"> </w:t>
            </w:r>
            <w:r>
              <w:rPr>
                <w:rFonts w:ascii="宋体" w:hAnsi="宋体" w:eastAsia="宋体" w:cs="宋体"/>
                <w:spacing w:val="5"/>
                <w:sz w:val="17"/>
                <w:szCs w:val="17"/>
              </w:rPr>
              <w:t xml:space="preserve">水管向东北方向迁改 </w:t>
            </w:r>
            <w:r>
              <w:rPr>
                <w:rFonts w:ascii="Times New Roman" w:hAnsi="Times New Roman" w:eastAsia="Times New Roman" w:cs="Times New Roman"/>
                <w:spacing w:val="5"/>
                <w:sz w:val="17"/>
                <w:szCs w:val="17"/>
              </w:rPr>
              <w:t>10</w:t>
            </w:r>
            <w:r>
              <w:rPr>
                <w:rFonts w:ascii="Times New Roman" w:hAnsi="Times New Roman" w:eastAsia="Times New Roman" w:cs="Times New Roman"/>
                <w:sz w:val="17"/>
                <w:szCs w:val="17"/>
              </w:rPr>
              <w:t>m</w:t>
            </w:r>
            <w:r>
              <w:rPr>
                <w:rFonts w:ascii="宋体" w:hAnsi="宋体" w:eastAsia="宋体" w:cs="宋体"/>
                <w:spacing w:val="5"/>
                <w:sz w:val="17"/>
                <w:szCs w:val="17"/>
              </w:rPr>
              <w:t>。</w:t>
            </w:r>
          </w:p>
          <w:p>
            <w:pPr>
              <w:spacing w:before="9" w:line="290" w:lineRule="auto"/>
              <w:ind w:left="27" w:firstLine="6"/>
              <w:rPr>
                <w:rFonts w:ascii="宋体" w:hAnsi="宋体" w:eastAsia="宋体" w:cs="宋体"/>
                <w:sz w:val="17"/>
                <w:szCs w:val="17"/>
              </w:rPr>
            </w:pPr>
            <w:r>
              <w:rPr>
                <w:rFonts w:ascii="宋体" w:hAnsi="宋体" w:eastAsia="宋体" w:cs="宋体"/>
                <w:spacing w:val="6"/>
                <w:sz w:val="17"/>
                <w:szCs w:val="17"/>
              </w:rPr>
              <w:t>东端</w:t>
            </w:r>
            <w:r>
              <w:rPr>
                <w:rFonts w:ascii="宋体" w:hAnsi="宋体" w:eastAsia="宋体" w:cs="宋体"/>
                <w:spacing w:val="5"/>
                <w:sz w:val="17"/>
                <w:szCs w:val="17"/>
              </w:rPr>
              <w:t>：</w:t>
            </w:r>
            <w:r>
              <w:rPr>
                <w:rFonts w:ascii="宋体" w:hAnsi="宋体" w:eastAsia="宋体" w:cs="宋体"/>
                <w:spacing w:val="3"/>
                <w:sz w:val="17"/>
                <w:szCs w:val="17"/>
              </w:rPr>
              <w:t xml:space="preserve">桥梁终点处桥墩与现状一道同槽电力 </w:t>
            </w:r>
            <w:r>
              <w:rPr>
                <w:rFonts w:ascii="Times New Roman" w:hAnsi="Times New Roman" w:eastAsia="Times New Roman" w:cs="Times New Roman"/>
                <w:sz w:val="17"/>
                <w:szCs w:val="17"/>
              </w:rPr>
              <w:t>DN</w:t>
            </w:r>
            <w:r>
              <w:rPr>
                <w:rFonts w:ascii="Times New Roman" w:hAnsi="Times New Roman" w:eastAsia="Times New Roman" w:cs="Times New Roman"/>
                <w:spacing w:val="3"/>
                <w:sz w:val="17"/>
                <w:szCs w:val="17"/>
              </w:rPr>
              <w:t xml:space="preserve">100 </w:t>
            </w:r>
            <w:r>
              <w:rPr>
                <w:rFonts w:ascii="宋体" w:hAnsi="宋体" w:eastAsia="宋体" w:cs="宋体"/>
                <w:spacing w:val="3"/>
                <w:sz w:val="17"/>
                <w:szCs w:val="17"/>
              </w:rPr>
              <w:t xml:space="preserve">和给水 </w:t>
            </w:r>
            <w:r>
              <w:rPr>
                <w:rFonts w:ascii="Times New Roman" w:hAnsi="Times New Roman" w:eastAsia="Times New Roman" w:cs="Times New Roman"/>
                <w:sz w:val="17"/>
                <w:szCs w:val="17"/>
              </w:rPr>
              <w:t>DN</w:t>
            </w:r>
            <w:r>
              <w:rPr>
                <w:rFonts w:ascii="Times New Roman" w:hAnsi="Times New Roman" w:eastAsia="Times New Roman" w:cs="Times New Roman"/>
                <w:spacing w:val="3"/>
                <w:sz w:val="17"/>
                <w:szCs w:val="17"/>
              </w:rPr>
              <w:t xml:space="preserve">150 </w:t>
            </w:r>
            <w:r>
              <w:rPr>
                <w:rFonts w:ascii="宋体" w:hAnsi="宋体" w:eastAsia="宋体" w:cs="宋体"/>
                <w:spacing w:val="3"/>
                <w:sz w:val="17"/>
                <w:szCs w:val="17"/>
              </w:rPr>
              <w:t>管道</w:t>
            </w:r>
            <w:r>
              <w:rPr>
                <w:rFonts w:ascii="宋体" w:hAnsi="宋体" w:eastAsia="宋体" w:cs="宋体"/>
                <w:sz w:val="17"/>
                <w:szCs w:val="17"/>
              </w:rPr>
              <w:t xml:space="preserve"> </w:t>
            </w:r>
            <w:r>
              <w:rPr>
                <w:rFonts w:ascii="宋体" w:hAnsi="宋体" w:eastAsia="宋体" w:cs="宋体"/>
                <w:spacing w:val="6"/>
                <w:sz w:val="17"/>
                <w:szCs w:val="17"/>
              </w:rPr>
              <w:t xml:space="preserve">冲突，长度约 </w:t>
            </w:r>
            <w:r>
              <w:rPr>
                <w:rFonts w:ascii="Times New Roman" w:hAnsi="Times New Roman" w:eastAsia="Times New Roman" w:cs="Times New Roman"/>
                <w:spacing w:val="6"/>
                <w:sz w:val="17"/>
                <w:szCs w:val="17"/>
              </w:rPr>
              <w:t>3</w:t>
            </w:r>
            <w:r>
              <w:rPr>
                <w:rFonts w:ascii="Times New Roman" w:hAnsi="Times New Roman" w:eastAsia="Times New Roman" w:cs="Times New Roman"/>
                <w:spacing w:val="4"/>
                <w:sz w:val="17"/>
                <w:szCs w:val="17"/>
              </w:rPr>
              <w:t>0</w:t>
            </w:r>
            <w:r>
              <w:rPr>
                <w:rFonts w:ascii="Times New Roman" w:hAnsi="Times New Roman" w:eastAsia="Times New Roman" w:cs="Times New Roman"/>
                <w:sz w:val="17"/>
                <w:szCs w:val="17"/>
              </w:rPr>
              <w:t>m</w:t>
            </w:r>
            <w:r>
              <w:rPr>
                <w:rFonts w:ascii="Times New Roman" w:hAnsi="Times New Roman" w:eastAsia="Times New Roman" w:cs="Times New Roman"/>
                <w:spacing w:val="3"/>
                <w:sz w:val="17"/>
                <w:szCs w:val="17"/>
              </w:rPr>
              <w:t xml:space="preserve"> </w:t>
            </w:r>
            <w:r>
              <w:rPr>
                <w:rFonts w:ascii="宋体" w:hAnsi="宋体" w:eastAsia="宋体" w:cs="宋体"/>
                <w:spacing w:val="3"/>
                <w:sz w:val="17"/>
                <w:szCs w:val="17"/>
              </w:rPr>
              <w:t xml:space="preserve">，埋深约 </w:t>
            </w:r>
            <w:r>
              <w:rPr>
                <w:rFonts w:ascii="Times New Roman" w:hAnsi="Times New Roman" w:eastAsia="Times New Roman" w:cs="Times New Roman"/>
                <w:spacing w:val="3"/>
                <w:sz w:val="17"/>
                <w:szCs w:val="17"/>
              </w:rPr>
              <w:t>0.8</w:t>
            </w:r>
            <w:r>
              <w:rPr>
                <w:rFonts w:ascii="Times New Roman" w:hAnsi="Times New Roman" w:eastAsia="Times New Roman" w:cs="Times New Roman"/>
                <w:sz w:val="17"/>
                <w:szCs w:val="17"/>
              </w:rPr>
              <w:t>m</w:t>
            </w:r>
            <w:r>
              <w:rPr>
                <w:rFonts w:ascii="Times New Roman" w:hAnsi="Times New Roman" w:eastAsia="Times New Roman" w:cs="Times New Roman"/>
                <w:spacing w:val="3"/>
                <w:sz w:val="17"/>
                <w:szCs w:val="17"/>
              </w:rPr>
              <w:t xml:space="preserve"> </w:t>
            </w:r>
            <w:r>
              <w:rPr>
                <w:rFonts w:ascii="宋体" w:hAnsi="宋体" w:eastAsia="宋体" w:cs="宋体"/>
                <w:spacing w:val="3"/>
                <w:sz w:val="17"/>
                <w:szCs w:val="17"/>
              </w:rPr>
              <w:t>，为避让桥墩，需将两根管道向西北</w:t>
            </w:r>
            <w:r>
              <w:rPr>
                <w:rFonts w:ascii="宋体" w:hAnsi="宋体" w:eastAsia="宋体" w:cs="宋体"/>
                <w:sz w:val="17"/>
                <w:szCs w:val="17"/>
              </w:rPr>
              <w:t xml:space="preserve"> </w:t>
            </w:r>
            <w:r>
              <w:rPr>
                <w:rFonts w:ascii="宋体" w:hAnsi="宋体" w:eastAsia="宋体" w:cs="宋体"/>
                <w:spacing w:val="-2"/>
                <w:sz w:val="17"/>
                <w:szCs w:val="17"/>
              </w:rPr>
              <w:t xml:space="preserve">方向迁改 </w:t>
            </w: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 xml:space="preserve">2m </w:t>
            </w:r>
            <w:r>
              <w:rPr>
                <w:rFonts w:ascii="宋体" w:hAnsi="宋体" w:eastAsia="宋体" w:cs="宋体"/>
                <w:spacing w:val="-1"/>
                <w:sz w:val="17"/>
                <w:szCs w:val="17"/>
              </w:rPr>
              <w:t>。</w:t>
            </w:r>
            <w:r>
              <w:rPr>
                <w:rFonts w:ascii="宋体" w:hAnsi="宋体" w:eastAsia="宋体" w:cs="宋体"/>
                <w:sz w:val="17"/>
                <w:szCs w:val="17"/>
              </w:rPr>
              <w:t xml:space="preserve">                                                  </w:t>
            </w:r>
            <w:r>
              <w:rPr>
                <w:rFonts w:ascii="宋体" w:hAnsi="宋体" w:eastAsia="宋体" w:cs="宋体"/>
                <w:spacing w:val="8"/>
                <w:sz w:val="17"/>
                <w:szCs w:val="17"/>
              </w:rPr>
              <w:t>桥梁东端</w:t>
            </w:r>
            <w:r>
              <w:rPr>
                <w:rFonts w:ascii="宋体" w:hAnsi="宋体" w:eastAsia="宋体" w:cs="宋体"/>
                <w:spacing w:val="5"/>
                <w:sz w:val="17"/>
                <w:szCs w:val="17"/>
              </w:rPr>
              <w:t>终</w:t>
            </w:r>
            <w:r>
              <w:rPr>
                <w:rFonts w:ascii="宋体" w:hAnsi="宋体" w:eastAsia="宋体" w:cs="宋体"/>
                <w:spacing w:val="4"/>
                <w:sz w:val="17"/>
                <w:szCs w:val="17"/>
              </w:rPr>
              <w:t xml:space="preserve">点处桥墩与现状一道 </w:t>
            </w:r>
            <w:r>
              <w:rPr>
                <w:rFonts w:ascii="Times New Roman" w:hAnsi="Times New Roman" w:eastAsia="Times New Roman" w:cs="Times New Roman"/>
                <w:sz w:val="17"/>
                <w:szCs w:val="17"/>
              </w:rPr>
              <w:t>DN</w:t>
            </w:r>
            <w:r>
              <w:rPr>
                <w:rFonts w:ascii="Times New Roman" w:hAnsi="Times New Roman" w:eastAsia="Times New Roman" w:cs="Times New Roman"/>
                <w:spacing w:val="4"/>
                <w:sz w:val="17"/>
                <w:szCs w:val="17"/>
              </w:rPr>
              <w:t xml:space="preserve">1000 </w:t>
            </w:r>
            <w:r>
              <w:rPr>
                <w:rFonts w:ascii="宋体" w:hAnsi="宋体" w:eastAsia="宋体" w:cs="宋体"/>
                <w:spacing w:val="4"/>
                <w:sz w:val="17"/>
                <w:szCs w:val="17"/>
              </w:rPr>
              <w:t>雨水钢筋混凝土管冲突，长度</w:t>
            </w:r>
            <w:r>
              <w:rPr>
                <w:rFonts w:ascii="宋体" w:hAnsi="宋体" w:eastAsia="宋体" w:cs="宋体"/>
                <w:sz w:val="17"/>
                <w:szCs w:val="17"/>
              </w:rPr>
              <w:t xml:space="preserve"> </w:t>
            </w:r>
            <w:r>
              <w:rPr>
                <w:rFonts w:ascii="宋体" w:hAnsi="宋体" w:eastAsia="宋体" w:cs="宋体"/>
                <w:spacing w:val="1"/>
                <w:sz w:val="17"/>
                <w:szCs w:val="17"/>
              </w:rPr>
              <w:t xml:space="preserve">约 </w:t>
            </w:r>
            <w:r>
              <w:rPr>
                <w:rFonts w:ascii="Times New Roman" w:hAnsi="Times New Roman" w:eastAsia="Times New Roman" w:cs="Times New Roman"/>
                <w:spacing w:val="1"/>
                <w:sz w:val="17"/>
                <w:szCs w:val="17"/>
              </w:rPr>
              <w:t>27</w:t>
            </w:r>
            <w:r>
              <w:rPr>
                <w:rFonts w:ascii="Times New Roman" w:hAnsi="Times New Roman" w:eastAsia="Times New Roman" w:cs="Times New Roman"/>
                <w:sz w:val="17"/>
                <w:szCs w:val="17"/>
              </w:rPr>
              <w:t>m</w:t>
            </w:r>
            <w:r>
              <w:rPr>
                <w:rFonts w:ascii="宋体" w:hAnsi="宋体" w:eastAsia="宋体" w:cs="宋体"/>
                <w:spacing w:val="1"/>
                <w:sz w:val="17"/>
                <w:szCs w:val="17"/>
              </w:rPr>
              <w:t>，埋</w:t>
            </w:r>
            <w:r>
              <w:rPr>
                <w:rFonts w:ascii="宋体" w:hAnsi="宋体" w:eastAsia="宋体" w:cs="宋体"/>
                <w:sz w:val="17"/>
                <w:szCs w:val="17"/>
              </w:rPr>
              <w:t xml:space="preserve">深约 </w:t>
            </w:r>
            <w:r>
              <w:rPr>
                <w:rFonts w:ascii="Times New Roman" w:hAnsi="Times New Roman" w:eastAsia="Times New Roman" w:cs="Times New Roman"/>
                <w:sz w:val="17"/>
                <w:szCs w:val="17"/>
              </w:rPr>
              <w:t>4~8m</w:t>
            </w:r>
            <w:r>
              <w:rPr>
                <w:rFonts w:ascii="宋体" w:hAnsi="宋体" w:eastAsia="宋体" w:cs="宋体"/>
                <w:sz w:val="17"/>
                <w:szCs w:val="17"/>
              </w:rPr>
              <w:t xml:space="preserve">，为避让桥墩，需将雨水管向西北方向迁改 </w:t>
            </w:r>
            <w:r>
              <w:rPr>
                <w:rFonts w:ascii="Times New Roman" w:hAnsi="Times New Roman" w:eastAsia="Times New Roman" w:cs="Times New Roman"/>
                <w:sz w:val="17"/>
                <w:szCs w:val="17"/>
              </w:rPr>
              <w:t>29m</w:t>
            </w:r>
            <w:r>
              <w:rPr>
                <w:rFonts w:ascii="宋体" w:hAnsi="宋体" w:eastAsia="宋体" w:cs="宋体"/>
                <w:sz w:val="17"/>
                <w:szCs w:val="17"/>
              </w:rPr>
              <w:t>。</w:t>
            </w:r>
          </w:p>
        </w:tc>
        <w:tc>
          <w:tcPr>
            <w:tcW w:w="1168" w:type="dxa"/>
            <w:vAlign w:val="top"/>
          </w:tcPr>
          <w:p>
            <w:pPr>
              <w:rPr>
                <w:rFonts w:ascii="Arial"/>
                <w:sz w:val="21"/>
              </w:rPr>
            </w:pPr>
          </w:p>
        </w:tc>
        <w:tc>
          <w:tcPr>
            <w:tcW w:w="79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568" w:type="dxa"/>
            <w:vMerge w:val="continue"/>
            <w:tcBorders>
              <w:top w:val="nil"/>
              <w:bottom w:val="nil"/>
            </w:tcBorders>
            <w:vAlign w:val="top"/>
          </w:tcPr>
          <w:p>
            <w:pPr>
              <w:rPr>
                <w:rFonts w:ascii="Arial"/>
                <w:sz w:val="21"/>
              </w:rPr>
            </w:pPr>
          </w:p>
        </w:tc>
        <w:tc>
          <w:tcPr>
            <w:tcW w:w="1041" w:type="dxa"/>
            <w:vAlign w:val="top"/>
          </w:tcPr>
          <w:p>
            <w:pPr>
              <w:spacing w:before="222" w:line="231" w:lineRule="auto"/>
              <w:ind w:left="167"/>
              <w:rPr>
                <w:rFonts w:ascii="宋体" w:hAnsi="宋体" w:eastAsia="宋体" w:cs="宋体"/>
                <w:sz w:val="17"/>
                <w:szCs w:val="17"/>
              </w:rPr>
            </w:pPr>
            <w:r>
              <w:rPr>
                <w:rFonts w:ascii="宋体" w:hAnsi="宋体" w:eastAsia="宋体" w:cs="宋体"/>
                <w:spacing w:val="8"/>
                <w:sz w:val="17"/>
                <w:szCs w:val="17"/>
              </w:rPr>
              <w:t>交</w:t>
            </w:r>
            <w:r>
              <w:rPr>
                <w:rFonts w:ascii="宋体" w:hAnsi="宋体" w:eastAsia="宋体" w:cs="宋体"/>
                <w:spacing w:val="7"/>
                <w:sz w:val="17"/>
                <w:szCs w:val="17"/>
              </w:rPr>
              <w:t>安工程</w:t>
            </w:r>
          </w:p>
        </w:tc>
        <w:tc>
          <w:tcPr>
            <w:tcW w:w="5543" w:type="dxa"/>
            <w:vAlign w:val="top"/>
          </w:tcPr>
          <w:p>
            <w:pPr>
              <w:spacing w:before="82" w:line="267" w:lineRule="auto"/>
              <w:ind w:left="27" w:right="18"/>
              <w:rPr>
                <w:rFonts w:ascii="宋体" w:hAnsi="宋体" w:eastAsia="宋体" w:cs="宋体"/>
                <w:sz w:val="17"/>
                <w:szCs w:val="17"/>
              </w:rPr>
            </w:pPr>
            <w:r>
              <w:rPr>
                <w:rFonts w:ascii="宋体" w:hAnsi="宋体" w:eastAsia="宋体" w:cs="宋体"/>
                <w:spacing w:val="11"/>
                <w:sz w:val="17"/>
                <w:szCs w:val="17"/>
              </w:rPr>
              <w:t>配</w:t>
            </w:r>
            <w:r>
              <w:rPr>
                <w:rFonts w:ascii="宋体" w:hAnsi="宋体" w:eastAsia="宋体" w:cs="宋体"/>
                <w:spacing w:val="7"/>
                <w:sz w:val="17"/>
                <w:szCs w:val="17"/>
              </w:rPr>
              <w:t>套设置标志、标线、轮廓标、视线诱导设施、减速带等；桥梁两侧安</w:t>
            </w:r>
            <w:r>
              <w:rPr>
                <w:rFonts w:ascii="宋体" w:hAnsi="宋体" w:eastAsia="宋体" w:cs="宋体"/>
                <w:sz w:val="17"/>
                <w:szCs w:val="17"/>
              </w:rPr>
              <w:t xml:space="preserve"> </w:t>
            </w:r>
            <w:r>
              <w:rPr>
                <w:rFonts w:ascii="宋体" w:hAnsi="宋体" w:eastAsia="宋体" w:cs="宋体"/>
                <w:spacing w:val="18"/>
                <w:sz w:val="17"/>
                <w:szCs w:val="17"/>
              </w:rPr>
              <w:t>装</w:t>
            </w:r>
            <w:r>
              <w:rPr>
                <w:rFonts w:ascii="宋体" w:hAnsi="宋体" w:eastAsia="宋体" w:cs="宋体"/>
                <w:spacing w:val="9"/>
                <w:sz w:val="17"/>
                <w:szCs w:val="17"/>
              </w:rPr>
              <w:t>防撞栏、防抛网、隔离栅等安防设施</w:t>
            </w:r>
          </w:p>
        </w:tc>
        <w:tc>
          <w:tcPr>
            <w:tcW w:w="1168" w:type="dxa"/>
            <w:vMerge w:val="restart"/>
            <w:tcBorders>
              <w:bottom w:val="nil"/>
            </w:tcBorders>
            <w:vAlign w:val="top"/>
          </w:tcPr>
          <w:p>
            <w:pPr>
              <w:spacing w:line="290" w:lineRule="auto"/>
              <w:rPr>
                <w:rFonts w:ascii="Arial"/>
                <w:sz w:val="21"/>
              </w:rPr>
            </w:pPr>
          </w:p>
          <w:p>
            <w:pPr>
              <w:spacing w:before="49" w:line="242" w:lineRule="exact"/>
              <w:ind w:left="55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79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8" w:hRule="atLeast"/>
        </w:trPr>
        <w:tc>
          <w:tcPr>
            <w:tcW w:w="568" w:type="dxa"/>
            <w:vMerge w:val="continue"/>
            <w:tcBorders>
              <w:top w:val="nil"/>
            </w:tcBorders>
            <w:vAlign w:val="top"/>
          </w:tcPr>
          <w:p>
            <w:pPr>
              <w:rPr>
                <w:rFonts w:ascii="Arial"/>
                <w:sz w:val="21"/>
              </w:rPr>
            </w:pPr>
          </w:p>
        </w:tc>
        <w:tc>
          <w:tcPr>
            <w:tcW w:w="1041" w:type="dxa"/>
            <w:vAlign w:val="top"/>
          </w:tcPr>
          <w:p>
            <w:pPr>
              <w:spacing w:before="82" w:line="230" w:lineRule="auto"/>
              <w:ind w:left="166"/>
              <w:rPr>
                <w:rFonts w:ascii="宋体" w:hAnsi="宋体" w:eastAsia="宋体" w:cs="宋体"/>
                <w:sz w:val="17"/>
                <w:szCs w:val="17"/>
              </w:rPr>
            </w:pPr>
            <w:r>
              <w:rPr>
                <w:rFonts w:ascii="宋体" w:hAnsi="宋体" w:eastAsia="宋体" w:cs="宋体"/>
                <w:spacing w:val="9"/>
                <w:sz w:val="17"/>
                <w:szCs w:val="17"/>
              </w:rPr>
              <w:t>亮</w:t>
            </w:r>
            <w:r>
              <w:rPr>
                <w:rFonts w:ascii="宋体" w:hAnsi="宋体" w:eastAsia="宋体" w:cs="宋体"/>
                <w:spacing w:val="7"/>
                <w:sz w:val="17"/>
                <w:szCs w:val="17"/>
              </w:rPr>
              <w:t>化工程</w:t>
            </w:r>
          </w:p>
        </w:tc>
        <w:tc>
          <w:tcPr>
            <w:tcW w:w="5543" w:type="dxa"/>
            <w:vAlign w:val="top"/>
          </w:tcPr>
          <w:p>
            <w:pPr>
              <w:spacing w:before="82" w:line="230" w:lineRule="auto"/>
              <w:ind w:left="27"/>
              <w:rPr>
                <w:rFonts w:ascii="宋体" w:hAnsi="宋体" w:eastAsia="宋体" w:cs="宋体"/>
                <w:sz w:val="17"/>
                <w:szCs w:val="17"/>
              </w:rPr>
            </w:pPr>
            <w:r>
              <w:rPr>
                <w:rFonts w:ascii="宋体" w:hAnsi="宋体" w:eastAsia="宋体" w:cs="宋体"/>
                <w:spacing w:val="18"/>
                <w:sz w:val="17"/>
                <w:szCs w:val="17"/>
              </w:rPr>
              <w:t>道</w:t>
            </w:r>
            <w:r>
              <w:rPr>
                <w:rFonts w:ascii="宋体" w:hAnsi="宋体" w:eastAsia="宋体" w:cs="宋体"/>
                <w:spacing w:val="12"/>
                <w:sz w:val="17"/>
                <w:szCs w:val="17"/>
              </w:rPr>
              <w:t>路</w:t>
            </w:r>
            <w:r>
              <w:rPr>
                <w:rFonts w:ascii="宋体" w:hAnsi="宋体" w:eastAsia="宋体" w:cs="宋体"/>
                <w:spacing w:val="9"/>
                <w:sz w:val="17"/>
                <w:szCs w:val="17"/>
              </w:rPr>
              <w:t>两侧设置路灯，路灯采用双侧对称布置</w:t>
            </w:r>
          </w:p>
        </w:tc>
        <w:tc>
          <w:tcPr>
            <w:tcW w:w="1168" w:type="dxa"/>
            <w:vMerge w:val="continue"/>
            <w:tcBorders>
              <w:top w:val="nil"/>
            </w:tcBorders>
            <w:vAlign w:val="top"/>
          </w:tcPr>
          <w:p>
            <w:pPr>
              <w:rPr>
                <w:rFonts w:ascii="Arial"/>
                <w:sz w:val="21"/>
              </w:rPr>
            </w:pPr>
          </w:p>
        </w:tc>
        <w:tc>
          <w:tcPr>
            <w:tcW w:w="79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8" w:hRule="atLeast"/>
        </w:trPr>
        <w:tc>
          <w:tcPr>
            <w:tcW w:w="568" w:type="dxa"/>
            <w:vMerge w:val="restart"/>
            <w:tcBorders>
              <w:bottom w:val="nil"/>
            </w:tcBorders>
            <w:vAlign w:val="top"/>
          </w:tcPr>
          <w:p>
            <w:pPr>
              <w:spacing w:before="95" w:line="267" w:lineRule="auto"/>
              <w:ind w:left="110" w:right="101" w:firstLine="3"/>
              <w:rPr>
                <w:rFonts w:ascii="宋体" w:hAnsi="宋体" w:eastAsia="宋体" w:cs="宋体"/>
                <w:sz w:val="17"/>
                <w:szCs w:val="17"/>
              </w:rPr>
            </w:pPr>
            <w:r>
              <w:rPr>
                <w:rFonts w:ascii="宋体" w:hAnsi="宋体" w:eastAsia="宋体" w:cs="宋体"/>
                <w:spacing w:val="4"/>
                <w:sz w:val="17"/>
                <w:szCs w:val="17"/>
              </w:rPr>
              <w:t>公</w:t>
            </w:r>
            <w:r>
              <w:rPr>
                <w:rFonts w:ascii="宋体" w:hAnsi="宋体" w:eastAsia="宋体" w:cs="宋体"/>
                <w:spacing w:val="3"/>
                <w:sz w:val="17"/>
                <w:szCs w:val="17"/>
              </w:rPr>
              <w:t>用</w:t>
            </w:r>
            <w:r>
              <w:rPr>
                <w:rFonts w:ascii="宋体" w:hAnsi="宋体" w:eastAsia="宋体" w:cs="宋体"/>
                <w:sz w:val="17"/>
                <w:szCs w:val="17"/>
              </w:rPr>
              <w:t xml:space="preserve"> </w:t>
            </w:r>
            <w:r>
              <w:rPr>
                <w:rFonts w:ascii="宋体" w:hAnsi="宋体" w:eastAsia="宋体" w:cs="宋体"/>
                <w:spacing w:val="5"/>
                <w:sz w:val="17"/>
                <w:szCs w:val="17"/>
              </w:rPr>
              <w:t>工程</w:t>
            </w:r>
          </w:p>
        </w:tc>
        <w:tc>
          <w:tcPr>
            <w:tcW w:w="1041" w:type="dxa"/>
            <w:vAlign w:val="top"/>
          </w:tcPr>
          <w:p>
            <w:pPr>
              <w:spacing w:before="84" w:line="229" w:lineRule="auto"/>
              <w:ind w:left="344"/>
              <w:rPr>
                <w:rFonts w:ascii="宋体" w:hAnsi="宋体" w:eastAsia="宋体" w:cs="宋体"/>
                <w:sz w:val="17"/>
                <w:szCs w:val="17"/>
              </w:rPr>
            </w:pPr>
            <w:r>
              <w:rPr>
                <w:rFonts w:ascii="宋体" w:hAnsi="宋体" w:eastAsia="宋体" w:cs="宋体"/>
                <w:spacing w:val="6"/>
                <w:sz w:val="17"/>
                <w:szCs w:val="17"/>
              </w:rPr>
              <w:t>供电</w:t>
            </w:r>
          </w:p>
        </w:tc>
        <w:tc>
          <w:tcPr>
            <w:tcW w:w="5543" w:type="dxa"/>
            <w:vAlign w:val="top"/>
          </w:tcPr>
          <w:p>
            <w:pPr>
              <w:spacing w:before="84" w:line="229" w:lineRule="auto"/>
              <w:ind w:left="27"/>
              <w:rPr>
                <w:rFonts w:ascii="宋体" w:hAnsi="宋体" w:eastAsia="宋体" w:cs="宋体"/>
                <w:sz w:val="17"/>
                <w:szCs w:val="17"/>
              </w:rPr>
            </w:pPr>
            <w:r>
              <w:rPr>
                <w:rFonts w:ascii="宋体" w:hAnsi="宋体" w:eastAsia="宋体" w:cs="宋体"/>
                <w:spacing w:val="17"/>
                <w:sz w:val="17"/>
                <w:szCs w:val="17"/>
              </w:rPr>
              <w:t>施</w:t>
            </w:r>
            <w:r>
              <w:rPr>
                <w:rFonts w:ascii="宋体" w:hAnsi="宋体" w:eastAsia="宋体" w:cs="宋体"/>
                <w:spacing w:val="9"/>
                <w:sz w:val="17"/>
                <w:szCs w:val="17"/>
              </w:rPr>
              <w:t>工期间用电从附近已有电网接入</w:t>
            </w:r>
          </w:p>
        </w:tc>
        <w:tc>
          <w:tcPr>
            <w:tcW w:w="1168" w:type="dxa"/>
            <w:vAlign w:val="top"/>
          </w:tcPr>
          <w:p>
            <w:pPr>
              <w:spacing w:before="49" w:line="242" w:lineRule="exact"/>
              <w:ind w:left="55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797" w:type="dxa"/>
            <w:vAlign w:val="top"/>
          </w:tcPr>
          <w:p>
            <w:pPr>
              <w:spacing w:before="49" w:line="242" w:lineRule="exact"/>
              <w:ind w:left="373"/>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8" w:hRule="atLeast"/>
        </w:trPr>
        <w:tc>
          <w:tcPr>
            <w:tcW w:w="568" w:type="dxa"/>
            <w:vMerge w:val="continue"/>
            <w:tcBorders>
              <w:top w:val="nil"/>
            </w:tcBorders>
            <w:vAlign w:val="top"/>
          </w:tcPr>
          <w:p>
            <w:pPr>
              <w:rPr>
                <w:rFonts w:ascii="Arial"/>
                <w:sz w:val="21"/>
              </w:rPr>
            </w:pPr>
          </w:p>
        </w:tc>
        <w:tc>
          <w:tcPr>
            <w:tcW w:w="1041" w:type="dxa"/>
            <w:vAlign w:val="top"/>
          </w:tcPr>
          <w:p>
            <w:pPr>
              <w:spacing w:before="83" w:line="229" w:lineRule="auto"/>
              <w:ind w:left="344"/>
              <w:rPr>
                <w:rFonts w:ascii="宋体" w:hAnsi="宋体" w:eastAsia="宋体" w:cs="宋体"/>
                <w:sz w:val="17"/>
                <w:szCs w:val="17"/>
              </w:rPr>
            </w:pPr>
            <w:r>
              <w:rPr>
                <w:rFonts w:ascii="宋体" w:hAnsi="宋体" w:eastAsia="宋体" w:cs="宋体"/>
                <w:spacing w:val="6"/>
                <w:sz w:val="17"/>
                <w:szCs w:val="17"/>
              </w:rPr>
              <w:t>供水</w:t>
            </w:r>
          </w:p>
        </w:tc>
        <w:tc>
          <w:tcPr>
            <w:tcW w:w="5543" w:type="dxa"/>
            <w:vAlign w:val="top"/>
          </w:tcPr>
          <w:p>
            <w:pPr>
              <w:spacing w:before="83" w:line="229" w:lineRule="auto"/>
              <w:ind w:left="27"/>
              <w:rPr>
                <w:rFonts w:ascii="宋体" w:hAnsi="宋体" w:eastAsia="宋体" w:cs="宋体"/>
                <w:sz w:val="17"/>
                <w:szCs w:val="17"/>
              </w:rPr>
            </w:pPr>
            <w:r>
              <w:rPr>
                <w:rFonts w:ascii="宋体" w:hAnsi="宋体" w:eastAsia="宋体" w:cs="宋体"/>
                <w:spacing w:val="18"/>
                <w:sz w:val="17"/>
                <w:szCs w:val="17"/>
              </w:rPr>
              <w:t>施</w:t>
            </w:r>
            <w:r>
              <w:rPr>
                <w:rFonts w:ascii="宋体" w:hAnsi="宋体" w:eastAsia="宋体" w:cs="宋体"/>
                <w:spacing w:val="17"/>
                <w:sz w:val="17"/>
                <w:szCs w:val="17"/>
              </w:rPr>
              <w:t>工</w:t>
            </w:r>
            <w:r>
              <w:rPr>
                <w:rFonts w:ascii="宋体" w:hAnsi="宋体" w:eastAsia="宋体" w:cs="宋体"/>
                <w:spacing w:val="9"/>
                <w:sz w:val="17"/>
                <w:szCs w:val="17"/>
              </w:rPr>
              <w:t>用水来自附近市政供水管道，生活用水来自自来水</w:t>
            </w:r>
          </w:p>
        </w:tc>
        <w:tc>
          <w:tcPr>
            <w:tcW w:w="1168" w:type="dxa"/>
            <w:vAlign w:val="top"/>
          </w:tcPr>
          <w:p>
            <w:pPr>
              <w:spacing w:before="50" w:line="243" w:lineRule="exact"/>
              <w:ind w:left="55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797" w:type="dxa"/>
            <w:vAlign w:val="top"/>
          </w:tcPr>
          <w:p>
            <w:pPr>
              <w:spacing w:before="50" w:line="243" w:lineRule="exact"/>
              <w:ind w:left="373"/>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64" w:hRule="atLeast"/>
        </w:trPr>
        <w:tc>
          <w:tcPr>
            <w:tcW w:w="568" w:type="dxa"/>
            <w:vMerge w:val="restart"/>
            <w:tcBorders>
              <w:bottom w:val="nil"/>
            </w:tcBorders>
            <w:vAlign w:val="top"/>
          </w:tcPr>
          <w:p>
            <w:pPr>
              <w:spacing w:line="295" w:lineRule="auto"/>
              <w:rPr>
                <w:rFonts w:ascii="Arial"/>
                <w:sz w:val="21"/>
              </w:rPr>
            </w:pPr>
          </w:p>
          <w:p>
            <w:pPr>
              <w:spacing w:line="295" w:lineRule="auto"/>
              <w:rPr>
                <w:rFonts w:ascii="Arial"/>
                <w:sz w:val="21"/>
              </w:rPr>
            </w:pPr>
          </w:p>
          <w:p>
            <w:pPr>
              <w:spacing w:line="296" w:lineRule="auto"/>
              <w:rPr>
                <w:rFonts w:ascii="Arial"/>
                <w:sz w:val="21"/>
              </w:rPr>
            </w:pPr>
          </w:p>
          <w:p>
            <w:pPr>
              <w:spacing w:before="55" w:line="317" w:lineRule="auto"/>
              <w:ind w:left="110" w:right="101" w:firstLine="7"/>
              <w:rPr>
                <w:rFonts w:ascii="宋体" w:hAnsi="宋体" w:eastAsia="宋体" w:cs="宋体"/>
                <w:sz w:val="17"/>
                <w:szCs w:val="17"/>
              </w:rPr>
            </w:pPr>
            <w:r>
              <w:rPr>
                <w:rFonts w:ascii="宋体" w:hAnsi="宋体" w:eastAsia="宋体" w:cs="宋体"/>
                <w:spacing w:val="2"/>
                <w:sz w:val="17"/>
                <w:szCs w:val="17"/>
              </w:rPr>
              <w:t>临</w:t>
            </w:r>
            <w:r>
              <w:rPr>
                <w:rFonts w:ascii="宋体" w:hAnsi="宋体" w:eastAsia="宋体" w:cs="宋体"/>
                <w:spacing w:val="1"/>
                <w:sz w:val="17"/>
                <w:szCs w:val="17"/>
              </w:rPr>
              <w:t>时</w:t>
            </w:r>
            <w:r>
              <w:rPr>
                <w:rFonts w:ascii="宋体" w:hAnsi="宋体" w:eastAsia="宋体" w:cs="宋体"/>
                <w:sz w:val="17"/>
                <w:szCs w:val="17"/>
              </w:rPr>
              <w:t xml:space="preserve"> </w:t>
            </w:r>
            <w:r>
              <w:rPr>
                <w:rFonts w:ascii="宋体" w:hAnsi="宋体" w:eastAsia="宋体" w:cs="宋体"/>
                <w:spacing w:val="5"/>
                <w:sz w:val="17"/>
                <w:szCs w:val="17"/>
              </w:rPr>
              <w:t>工程</w:t>
            </w:r>
          </w:p>
        </w:tc>
        <w:tc>
          <w:tcPr>
            <w:tcW w:w="1041" w:type="dxa"/>
            <w:vAlign w:val="top"/>
          </w:tcPr>
          <w:p>
            <w:pPr>
              <w:spacing w:before="226" w:line="281" w:lineRule="exact"/>
              <w:ind w:left="343"/>
              <w:rPr>
                <w:rFonts w:ascii="宋体" w:hAnsi="宋体" w:eastAsia="宋体" w:cs="宋体"/>
                <w:sz w:val="17"/>
                <w:szCs w:val="17"/>
              </w:rPr>
            </w:pPr>
            <w:r>
              <w:rPr>
                <w:rFonts w:ascii="宋体" w:hAnsi="宋体" w:eastAsia="宋体" w:cs="宋体"/>
                <w:spacing w:val="7"/>
                <w:position w:val="7"/>
                <w:sz w:val="17"/>
                <w:szCs w:val="17"/>
              </w:rPr>
              <w:t>施</w:t>
            </w:r>
            <w:r>
              <w:rPr>
                <w:rFonts w:ascii="宋体" w:hAnsi="宋体" w:eastAsia="宋体" w:cs="宋体"/>
                <w:spacing w:val="6"/>
                <w:position w:val="7"/>
                <w:sz w:val="17"/>
                <w:szCs w:val="17"/>
              </w:rPr>
              <w:t>工</w:t>
            </w:r>
          </w:p>
          <w:p>
            <w:pPr>
              <w:spacing w:line="230" w:lineRule="auto"/>
              <w:ind w:left="343"/>
              <w:rPr>
                <w:rFonts w:ascii="宋体" w:hAnsi="宋体" w:eastAsia="宋体" w:cs="宋体"/>
                <w:sz w:val="17"/>
                <w:szCs w:val="17"/>
              </w:rPr>
            </w:pPr>
            <w:r>
              <w:rPr>
                <w:rFonts w:ascii="宋体" w:hAnsi="宋体" w:eastAsia="宋体" w:cs="宋体"/>
                <w:spacing w:val="7"/>
                <w:sz w:val="17"/>
                <w:szCs w:val="17"/>
              </w:rPr>
              <w:t>场</w:t>
            </w:r>
            <w:r>
              <w:rPr>
                <w:rFonts w:ascii="宋体" w:hAnsi="宋体" w:eastAsia="宋体" w:cs="宋体"/>
                <w:spacing w:val="6"/>
                <w:sz w:val="17"/>
                <w:szCs w:val="17"/>
              </w:rPr>
              <w:t>地</w:t>
            </w:r>
          </w:p>
        </w:tc>
        <w:tc>
          <w:tcPr>
            <w:tcW w:w="5543" w:type="dxa"/>
            <w:vAlign w:val="top"/>
          </w:tcPr>
          <w:p>
            <w:pPr>
              <w:spacing w:before="88" w:line="279" w:lineRule="auto"/>
              <w:ind w:left="26" w:right="6" w:hanging="2"/>
              <w:rPr>
                <w:rFonts w:ascii="宋体" w:hAnsi="宋体" w:eastAsia="宋体" w:cs="宋体"/>
                <w:sz w:val="17"/>
                <w:szCs w:val="17"/>
              </w:rPr>
            </w:pPr>
            <w:r>
              <w:rPr>
                <w:rFonts w:ascii="Times New Roman" w:hAnsi="Times New Roman" w:eastAsia="Times New Roman" w:cs="Times New Roman"/>
                <w:spacing w:val="-6"/>
                <w:sz w:val="17"/>
                <w:szCs w:val="17"/>
              </w:rPr>
              <w:t xml:space="preserve">2 </w:t>
            </w:r>
            <w:r>
              <w:rPr>
                <w:rFonts w:ascii="宋体" w:hAnsi="宋体" w:eastAsia="宋体" w:cs="宋体"/>
                <w:spacing w:val="-6"/>
                <w:sz w:val="17"/>
                <w:szCs w:val="17"/>
              </w:rPr>
              <w:t>个，拟建桥梁东、</w:t>
            </w:r>
            <w:r>
              <w:rPr>
                <w:rFonts w:ascii="宋体" w:hAnsi="宋体" w:eastAsia="宋体" w:cs="宋体"/>
                <w:spacing w:val="-4"/>
                <w:sz w:val="17"/>
                <w:szCs w:val="17"/>
              </w:rPr>
              <w:t>西</w:t>
            </w:r>
            <w:r>
              <w:rPr>
                <w:rFonts w:ascii="宋体" w:hAnsi="宋体" w:eastAsia="宋体" w:cs="宋体"/>
                <w:spacing w:val="-3"/>
                <w:sz w:val="17"/>
                <w:szCs w:val="17"/>
              </w:rPr>
              <w:t xml:space="preserve">端空地各建 </w:t>
            </w:r>
            <w:r>
              <w:rPr>
                <w:rFonts w:ascii="Times New Roman" w:hAnsi="Times New Roman" w:eastAsia="Times New Roman" w:cs="Times New Roman"/>
                <w:spacing w:val="-3"/>
                <w:sz w:val="17"/>
                <w:szCs w:val="17"/>
              </w:rPr>
              <w:t xml:space="preserve">1 </w:t>
            </w:r>
            <w:r>
              <w:rPr>
                <w:rFonts w:ascii="宋体" w:hAnsi="宋体" w:eastAsia="宋体" w:cs="宋体"/>
                <w:spacing w:val="-3"/>
                <w:sz w:val="17"/>
                <w:szCs w:val="17"/>
              </w:rPr>
              <w:t xml:space="preserve">个，面积约 </w:t>
            </w:r>
            <w:r>
              <w:rPr>
                <w:rFonts w:ascii="Times New Roman" w:hAnsi="Times New Roman" w:eastAsia="Times New Roman" w:cs="Times New Roman"/>
                <w:spacing w:val="-3"/>
                <w:sz w:val="17"/>
                <w:szCs w:val="17"/>
              </w:rPr>
              <w:t>1500m</w:t>
            </w:r>
            <w:r>
              <w:rPr>
                <w:rFonts w:ascii="宋体" w:hAnsi="宋体" w:eastAsia="宋体" w:cs="宋体"/>
                <w:spacing w:val="-3"/>
                <w:sz w:val="17"/>
                <w:szCs w:val="17"/>
              </w:rPr>
              <w:t>² ，主要为材料临时</w:t>
            </w:r>
            <w:r>
              <w:rPr>
                <w:rFonts w:ascii="宋体" w:hAnsi="宋体" w:eastAsia="宋体" w:cs="宋体"/>
                <w:sz w:val="17"/>
                <w:szCs w:val="17"/>
              </w:rPr>
              <w:t xml:space="preserve"> </w:t>
            </w:r>
            <w:r>
              <w:rPr>
                <w:rFonts w:ascii="宋体" w:hAnsi="宋体" w:eastAsia="宋体" w:cs="宋体"/>
                <w:spacing w:val="1"/>
                <w:sz w:val="17"/>
                <w:szCs w:val="17"/>
              </w:rPr>
              <w:t>堆放、设备停放、钢筋加工等用地，在进出大门</w:t>
            </w:r>
            <w:r>
              <w:rPr>
                <w:rFonts w:ascii="宋体" w:hAnsi="宋体" w:eastAsia="宋体" w:cs="宋体"/>
                <w:sz w:val="17"/>
                <w:szCs w:val="17"/>
              </w:rPr>
              <w:t xml:space="preserve">口设置车辆冲洗台 </w:t>
            </w:r>
            <w:r>
              <w:rPr>
                <w:rFonts w:ascii="Times New Roman" w:hAnsi="Times New Roman" w:eastAsia="Times New Roman" w:cs="Times New Roman"/>
                <w:sz w:val="17"/>
                <w:szCs w:val="17"/>
              </w:rPr>
              <w:t xml:space="preserve">1 </w:t>
            </w:r>
            <w:r>
              <w:rPr>
                <w:rFonts w:ascii="宋体" w:hAnsi="宋体" w:eastAsia="宋体" w:cs="宋体"/>
                <w:sz w:val="17"/>
                <w:szCs w:val="17"/>
              </w:rPr>
              <w:t xml:space="preserve">个， </w:t>
            </w:r>
            <w:r>
              <w:rPr>
                <w:rFonts w:ascii="宋体" w:hAnsi="宋体" w:eastAsia="宋体" w:cs="宋体"/>
                <w:spacing w:val="2"/>
                <w:sz w:val="17"/>
                <w:szCs w:val="17"/>
              </w:rPr>
              <w:t xml:space="preserve">场地各设置移动式公厕 </w:t>
            </w:r>
            <w:r>
              <w:rPr>
                <w:rFonts w:ascii="Times New Roman" w:hAnsi="Times New Roman" w:eastAsia="Times New Roman" w:cs="Times New Roman"/>
                <w:spacing w:val="2"/>
                <w:sz w:val="17"/>
                <w:szCs w:val="17"/>
              </w:rPr>
              <w:t xml:space="preserve">1 </w:t>
            </w:r>
            <w:r>
              <w:rPr>
                <w:rFonts w:ascii="宋体" w:hAnsi="宋体" w:eastAsia="宋体" w:cs="宋体"/>
                <w:spacing w:val="2"/>
                <w:sz w:val="17"/>
                <w:szCs w:val="17"/>
              </w:rPr>
              <w:t>个；不设置预制</w:t>
            </w:r>
            <w:r>
              <w:rPr>
                <w:rFonts w:ascii="宋体" w:hAnsi="宋体" w:eastAsia="宋体" w:cs="宋体"/>
                <w:spacing w:val="1"/>
                <w:sz w:val="17"/>
                <w:szCs w:val="17"/>
              </w:rPr>
              <w:t>场地、搅拌站、拌和站等</w:t>
            </w:r>
          </w:p>
        </w:tc>
        <w:tc>
          <w:tcPr>
            <w:tcW w:w="1168" w:type="dxa"/>
            <w:vAlign w:val="top"/>
          </w:tcPr>
          <w:p>
            <w:pPr>
              <w:spacing w:before="226" w:line="317" w:lineRule="auto"/>
              <w:ind w:left="255" w:right="5" w:hanging="216"/>
              <w:rPr>
                <w:rFonts w:ascii="宋体" w:hAnsi="宋体" w:eastAsia="宋体" w:cs="宋体"/>
                <w:sz w:val="17"/>
                <w:szCs w:val="17"/>
              </w:rPr>
            </w:pPr>
            <w:r>
              <w:rPr>
                <w:rFonts w:ascii="宋体" w:hAnsi="宋体" w:eastAsia="宋体" w:cs="宋体"/>
                <w:spacing w:val="-13"/>
                <w:sz w:val="17"/>
                <w:szCs w:val="17"/>
              </w:rPr>
              <w:t>噪</w:t>
            </w:r>
            <w:r>
              <w:rPr>
                <w:rFonts w:ascii="宋体" w:hAnsi="宋体" w:eastAsia="宋体" w:cs="宋体"/>
                <w:spacing w:val="-10"/>
                <w:sz w:val="17"/>
                <w:szCs w:val="17"/>
              </w:rPr>
              <w:t>声、固废、废</w:t>
            </w:r>
            <w:r>
              <w:rPr>
                <w:rFonts w:ascii="宋体" w:hAnsi="宋体" w:eastAsia="宋体" w:cs="宋体"/>
                <w:sz w:val="17"/>
                <w:szCs w:val="17"/>
              </w:rPr>
              <w:t xml:space="preserve"> </w:t>
            </w:r>
            <w:r>
              <w:rPr>
                <w:rFonts w:ascii="宋体" w:hAnsi="宋体" w:eastAsia="宋体" w:cs="宋体"/>
                <w:spacing w:val="-1"/>
                <w:sz w:val="17"/>
                <w:szCs w:val="17"/>
              </w:rPr>
              <w:t>水、废气</w:t>
            </w:r>
          </w:p>
        </w:tc>
        <w:tc>
          <w:tcPr>
            <w:tcW w:w="797"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49" w:line="242" w:lineRule="exact"/>
              <w:ind w:left="37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5" w:hRule="atLeast"/>
        </w:trPr>
        <w:tc>
          <w:tcPr>
            <w:tcW w:w="568" w:type="dxa"/>
            <w:vMerge w:val="continue"/>
            <w:tcBorders>
              <w:top w:val="nil"/>
              <w:bottom w:val="nil"/>
            </w:tcBorders>
            <w:vAlign w:val="top"/>
          </w:tcPr>
          <w:p>
            <w:pPr>
              <w:rPr>
                <w:rFonts w:ascii="Arial"/>
                <w:sz w:val="21"/>
              </w:rPr>
            </w:pPr>
          </w:p>
        </w:tc>
        <w:tc>
          <w:tcPr>
            <w:tcW w:w="1041" w:type="dxa"/>
            <w:vAlign w:val="top"/>
          </w:tcPr>
          <w:p>
            <w:pPr>
              <w:spacing w:before="228" w:line="279" w:lineRule="exact"/>
              <w:ind w:left="343"/>
              <w:rPr>
                <w:rFonts w:ascii="宋体" w:hAnsi="宋体" w:eastAsia="宋体" w:cs="宋体"/>
                <w:sz w:val="17"/>
                <w:szCs w:val="17"/>
              </w:rPr>
            </w:pPr>
            <w:r>
              <w:rPr>
                <w:rFonts w:ascii="宋体" w:hAnsi="宋体" w:eastAsia="宋体" w:cs="宋体"/>
                <w:spacing w:val="7"/>
                <w:position w:val="7"/>
                <w:sz w:val="17"/>
                <w:szCs w:val="17"/>
              </w:rPr>
              <w:t>施</w:t>
            </w:r>
            <w:r>
              <w:rPr>
                <w:rFonts w:ascii="宋体" w:hAnsi="宋体" w:eastAsia="宋体" w:cs="宋体"/>
                <w:spacing w:val="6"/>
                <w:position w:val="7"/>
                <w:sz w:val="17"/>
                <w:szCs w:val="17"/>
              </w:rPr>
              <w:t>工</w:t>
            </w:r>
          </w:p>
          <w:p>
            <w:pPr>
              <w:spacing w:line="230" w:lineRule="auto"/>
              <w:ind w:left="349"/>
              <w:rPr>
                <w:rFonts w:ascii="宋体" w:hAnsi="宋体" w:eastAsia="宋体" w:cs="宋体"/>
                <w:sz w:val="17"/>
                <w:szCs w:val="17"/>
              </w:rPr>
            </w:pPr>
            <w:r>
              <w:rPr>
                <w:rFonts w:ascii="宋体" w:hAnsi="宋体" w:eastAsia="宋体" w:cs="宋体"/>
                <w:spacing w:val="4"/>
                <w:sz w:val="17"/>
                <w:szCs w:val="17"/>
              </w:rPr>
              <w:t>营</w:t>
            </w:r>
            <w:r>
              <w:rPr>
                <w:rFonts w:ascii="宋体" w:hAnsi="宋体" w:eastAsia="宋体" w:cs="宋体"/>
                <w:spacing w:val="3"/>
                <w:sz w:val="17"/>
                <w:szCs w:val="17"/>
              </w:rPr>
              <w:t>地</w:t>
            </w:r>
          </w:p>
        </w:tc>
        <w:tc>
          <w:tcPr>
            <w:tcW w:w="5543" w:type="dxa"/>
            <w:vAlign w:val="top"/>
          </w:tcPr>
          <w:p>
            <w:pPr>
              <w:spacing w:before="87" w:line="280" w:lineRule="auto"/>
              <w:ind w:left="26" w:right="18" w:firstLine="15"/>
              <w:rPr>
                <w:rFonts w:ascii="宋体" w:hAnsi="宋体" w:eastAsia="宋体" w:cs="宋体"/>
                <w:sz w:val="17"/>
                <w:szCs w:val="17"/>
              </w:rPr>
            </w:pPr>
            <w:r>
              <w:rPr>
                <w:rFonts w:ascii="Times New Roman" w:hAnsi="Times New Roman" w:eastAsia="Times New Roman" w:cs="Times New Roman"/>
                <w:spacing w:val="8"/>
                <w:sz w:val="17"/>
                <w:szCs w:val="17"/>
              </w:rPr>
              <w:t xml:space="preserve">1 </w:t>
            </w:r>
            <w:r>
              <w:rPr>
                <w:rFonts w:ascii="宋体" w:hAnsi="宋体" w:eastAsia="宋体" w:cs="宋体"/>
                <w:spacing w:val="8"/>
                <w:sz w:val="17"/>
                <w:szCs w:val="17"/>
              </w:rPr>
              <w:t>个，</w:t>
            </w:r>
            <w:r>
              <w:rPr>
                <w:rFonts w:ascii="宋体" w:hAnsi="宋体" w:eastAsia="宋体" w:cs="宋体"/>
                <w:spacing w:val="4"/>
                <w:sz w:val="17"/>
                <w:szCs w:val="17"/>
              </w:rPr>
              <w:t xml:space="preserve">拟建桥梁 </w:t>
            </w:r>
            <w:r>
              <w:rPr>
                <w:rFonts w:ascii="Times New Roman" w:hAnsi="Times New Roman" w:eastAsia="Times New Roman" w:cs="Times New Roman"/>
                <w:spacing w:val="4"/>
                <w:sz w:val="17"/>
                <w:szCs w:val="17"/>
              </w:rPr>
              <w:t xml:space="preserve">1 </w:t>
            </w:r>
            <w:r>
              <w:rPr>
                <w:rFonts w:ascii="宋体" w:hAnsi="宋体" w:eastAsia="宋体" w:cs="宋体"/>
                <w:spacing w:val="4"/>
                <w:sz w:val="17"/>
                <w:szCs w:val="17"/>
              </w:rPr>
              <w:t xml:space="preserve">东端空地，面积约 </w:t>
            </w:r>
            <w:r>
              <w:rPr>
                <w:rFonts w:ascii="Times New Roman" w:hAnsi="Times New Roman" w:eastAsia="Times New Roman" w:cs="Times New Roman"/>
                <w:spacing w:val="4"/>
                <w:sz w:val="17"/>
                <w:szCs w:val="17"/>
              </w:rPr>
              <w:t>500</w:t>
            </w:r>
            <w:r>
              <w:rPr>
                <w:rFonts w:ascii="Times New Roman" w:hAnsi="Times New Roman" w:eastAsia="Times New Roman" w:cs="Times New Roman"/>
                <w:sz w:val="17"/>
                <w:szCs w:val="17"/>
              </w:rPr>
              <w:t>m</w:t>
            </w:r>
            <w:r>
              <w:rPr>
                <w:rFonts w:ascii="宋体" w:hAnsi="宋体" w:eastAsia="宋体" w:cs="宋体"/>
                <w:spacing w:val="4"/>
                <w:sz w:val="17"/>
                <w:szCs w:val="17"/>
              </w:rPr>
              <w:t>²，营地内搭建成套板房，设</w:t>
            </w:r>
            <w:r>
              <w:rPr>
                <w:rFonts w:ascii="宋体" w:hAnsi="宋体" w:eastAsia="宋体" w:cs="宋体"/>
                <w:sz w:val="17"/>
                <w:szCs w:val="17"/>
              </w:rPr>
              <w:t xml:space="preserve"> </w:t>
            </w:r>
            <w:r>
              <w:rPr>
                <w:rFonts w:ascii="宋体" w:hAnsi="宋体" w:eastAsia="宋体" w:cs="宋体"/>
                <w:spacing w:val="10"/>
                <w:sz w:val="17"/>
                <w:szCs w:val="17"/>
              </w:rPr>
              <w:t>置为</w:t>
            </w:r>
            <w:r>
              <w:rPr>
                <w:rFonts w:ascii="宋体" w:hAnsi="宋体" w:eastAsia="宋体" w:cs="宋体"/>
                <w:spacing w:val="7"/>
                <w:sz w:val="17"/>
                <w:szCs w:val="17"/>
              </w:rPr>
              <w:t>办</w:t>
            </w:r>
            <w:r>
              <w:rPr>
                <w:rFonts w:ascii="宋体" w:hAnsi="宋体" w:eastAsia="宋体" w:cs="宋体"/>
                <w:spacing w:val="5"/>
                <w:sz w:val="17"/>
                <w:szCs w:val="17"/>
              </w:rPr>
              <w:t xml:space="preserve">公室和值班室，配套设置移动式公厕 </w:t>
            </w:r>
            <w:r>
              <w:rPr>
                <w:rFonts w:ascii="Times New Roman" w:hAnsi="Times New Roman" w:eastAsia="Times New Roman" w:cs="Times New Roman"/>
                <w:spacing w:val="5"/>
                <w:sz w:val="17"/>
                <w:szCs w:val="17"/>
              </w:rPr>
              <w:t xml:space="preserve">1 </w:t>
            </w:r>
            <w:r>
              <w:rPr>
                <w:rFonts w:ascii="宋体" w:hAnsi="宋体" w:eastAsia="宋体" w:cs="宋体"/>
                <w:spacing w:val="5"/>
                <w:sz w:val="17"/>
                <w:szCs w:val="17"/>
              </w:rPr>
              <w:t>个，收集施工、值班人员</w:t>
            </w:r>
            <w:r>
              <w:rPr>
                <w:rFonts w:ascii="宋体" w:hAnsi="宋体" w:eastAsia="宋体" w:cs="宋体"/>
                <w:sz w:val="17"/>
                <w:szCs w:val="17"/>
              </w:rPr>
              <w:t xml:space="preserve"> </w:t>
            </w:r>
            <w:r>
              <w:rPr>
                <w:rFonts w:ascii="宋体" w:hAnsi="宋体" w:eastAsia="宋体" w:cs="宋体"/>
                <w:spacing w:val="9"/>
                <w:sz w:val="17"/>
                <w:szCs w:val="17"/>
              </w:rPr>
              <w:t>的生活污</w:t>
            </w:r>
            <w:r>
              <w:rPr>
                <w:rFonts w:ascii="宋体" w:hAnsi="宋体" w:eastAsia="宋体" w:cs="宋体"/>
                <w:spacing w:val="8"/>
                <w:sz w:val="17"/>
                <w:szCs w:val="17"/>
              </w:rPr>
              <w:t>水</w:t>
            </w:r>
          </w:p>
        </w:tc>
        <w:tc>
          <w:tcPr>
            <w:tcW w:w="1168" w:type="dxa"/>
            <w:vAlign w:val="top"/>
          </w:tcPr>
          <w:p>
            <w:pPr>
              <w:spacing w:line="310" w:lineRule="auto"/>
              <w:rPr>
                <w:rFonts w:ascii="Arial"/>
                <w:sz w:val="21"/>
              </w:rPr>
            </w:pPr>
          </w:p>
          <w:p>
            <w:pPr>
              <w:spacing w:before="56" w:line="231" w:lineRule="auto"/>
              <w:ind w:left="185"/>
              <w:rPr>
                <w:rFonts w:ascii="宋体" w:hAnsi="宋体" w:eastAsia="宋体" w:cs="宋体"/>
                <w:sz w:val="17"/>
                <w:szCs w:val="17"/>
              </w:rPr>
            </w:pPr>
            <w:r>
              <w:rPr>
                <w:rFonts w:ascii="宋体" w:hAnsi="宋体" w:eastAsia="宋体" w:cs="宋体"/>
                <w:spacing w:val="-6"/>
                <w:sz w:val="17"/>
                <w:szCs w:val="17"/>
              </w:rPr>
              <w:t>固</w:t>
            </w:r>
            <w:r>
              <w:rPr>
                <w:rFonts w:ascii="宋体" w:hAnsi="宋体" w:eastAsia="宋体" w:cs="宋体"/>
                <w:spacing w:val="-4"/>
                <w:sz w:val="17"/>
                <w:szCs w:val="17"/>
              </w:rPr>
              <w:t>废</w:t>
            </w:r>
            <w:r>
              <w:rPr>
                <w:rFonts w:ascii="宋体" w:hAnsi="宋体" w:eastAsia="宋体" w:cs="宋体"/>
                <w:spacing w:val="-3"/>
                <w:sz w:val="17"/>
                <w:szCs w:val="17"/>
              </w:rPr>
              <w:t>、废水</w:t>
            </w:r>
          </w:p>
        </w:tc>
        <w:tc>
          <w:tcPr>
            <w:tcW w:w="79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568" w:type="dxa"/>
            <w:vMerge w:val="continue"/>
            <w:tcBorders>
              <w:top w:val="nil"/>
            </w:tcBorders>
            <w:vAlign w:val="top"/>
          </w:tcPr>
          <w:p>
            <w:pPr>
              <w:rPr>
                <w:rFonts w:ascii="Arial"/>
                <w:sz w:val="21"/>
              </w:rPr>
            </w:pPr>
          </w:p>
        </w:tc>
        <w:tc>
          <w:tcPr>
            <w:tcW w:w="1041" w:type="dxa"/>
            <w:vAlign w:val="top"/>
          </w:tcPr>
          <w:p>
            <w:pPr>
              <w:spacing w:before="78" w:line="279" w:lineRule="exact"/>
              <w:ind w:left="343"/>
              <w:rPr>
                <w:rFonts w:ascii="宋体" w:hAnsi="宋体" w:eastAsia="宋体" w:cs="宋体"/>
                <w:sz w:val="17"/>
                <w:szCs w:val="17"/>
              </w:rPr>
            </w:pPr>
            <w:r>
              <w:rPr>
                <w:rFonts w:ascii="宋体" w:hAnsi="宋体" w:eastAsia="宋体" w:cs="宋体"/>
                <w:spacing w:val="7"/>
                <w:position w:val="7"/>
                <w:sz w:val="17"/>
                <w:szCs w:val="17"/>
              </w:rPr>
              <w:t>施</w:t>
            </w:r>
            <w:r>
              <w:rPr>
                <w:rFonts w:ascii="宋体" w:hAnsi="宋体" w:eastAsia="宋体" w:cs="宋体"/>
                <w:spacing w:val="6"/>
                <w:position w:val="7"/>
                <w:sz w:val="17"/>
                <w:szCs w:val="17"/>
              </w:rPr>
              <w:t>工</w:t>
            </w:r>
          </w:p>
          <w:p>
            <w:pPr>
              <w:spacing w:line="230" w:lineRule="auto"/>
              <w:ind w:left="344"/>
              <w:rPr>
                <w:rFonts w:ascii="宋体" w:hAnsi="宋体" w:eastAsia="宋体" w:cs="宋体"/>
                <w:sz w:val="17"/>
                <w:szCs w:val="17"/>
              </w:rPr>
            </w:pPr>
            <w:r>
              <w:rPr>
                <w:rFonts w:ascii="宋体" w:hAnsi="宋体" w:eastAsia="宋体" w:cs="宋体"/>
                <w:spacing w:val="6"/>
                <w:sz w:val="17"/>
                <w:szCs w:val="17"/>
              </w:rPr>
              <w:t>便道</w:t>
            </w:r>
          </w:p>
        </w:tc>
        <w:tc>
          <w:tcPr>
            <w:tcW w:w="5543" w:type="dxa"/>
            <w:vAlign w:val="top"/>
          </w:tcPr>
          <w:p>
            <w:pPr>
              <w:spacing w:before="79" w:line="230" w:lineRule="auto"/>
              <w:ind w:left="34"/>
              <w:rPr>
                <w:rFonts w:ascii="宋体" w:hAnsi="宋体" w:eastAsia="宋体" w:cs="宋体"/>
                <w:sz w:val="17"/>
                <w:szCs w:val="17"/>
              </w:rPr>
            </w:pPr>
            <w:r>
              <w:rPr>
                <w:rFonts w:ascii="宋体" w:hAnsi="宋体" w:eastAsia="宋体" w:cs="宋体"/>
                <w:spacing w:val="10"/>
                <w:sz w:val="17"/>
                <w:szCs w:val="17"/>
              </w:rPr>
              <w:t>东</w:t>
            </w:r>
            <w:r>
              <w:rPr>
                <w:rFonts w:ascii="宋体" w:hAnsi="宋体" w:eastAsia="宋体" w:cs="宋体"/>
                <w:spacing w:val="9"/>
                <w:sz w:val="17"/>
                <w:szCs w:val="17"/>
              </w:rPr>
              <w:t>端利用已建的江湾路、犀牛大道运输，不设施工便道。</w:t>
            </w:r>
          </w:p>
          <w:p>
            <w:pPr>
              <w:spacing w:before="66" w:line="229" w:lineRule="auto"/>
              <w:ind w:left="32"/>
              <w:rPr>
                <w:rFonts w:ascii="宋体" w:hAnsi="宋体" w:eastAsia="宋体" w:cs="宋体"/>
                <w:sz w:val="17"/>
                <w:szCs w:val="17"/>
              </w:rPr>
            </w:pPr>
            <w:r>
              <w:rPr>
                <w:rFonts w:ascii="宋体" w:hAnsi="宋体" w:eastAsia="宋体" w:cs="宋体"/>
                <w:spacing w:val="7"/>
                <w:sz w:val="17"/>
                <w:szCs w:val="17"/>
              </w:rPr>
              <w:t>西端拟在滨河路的用地内建设施工便道至拟建桥梁西端施工现场，长度</w:t>
            </w:r>
          </w:p>
        </w:tc>
        <w:tc>
          <w:tcPr>
            <w:tcW w:w="1168" w:type="dxa"/>
            <w:vAlign w:val="top"/>
          </w:tcPr>
          <w:p>
            <w:pPr>
              <w:spacing w:before="78" w:line="267" w:lineRule="auto"/>
              <w:ind w:left="425" w:right="70" w:hanging="367"/>
              <w:rPr>
                <w:rFonts w:ascii="宋体" w:hAnsi="宋体" w:eastAsia="宋体" w:cs="宋体"/>
                <w:sz w:val="17"/>
                <w:szCs w:val="17"/>
              </w:rPr>
            </w:pPr>
            <w:r>
              <w:rPr>
                <w:rFonts w:ascii="宋体" w:hAnsi="宋体" w:eastAsia="宋体" w:cs="宋体"/>
                <w:spacing w:val="3"/>
                <w:sz w:val="17"/>
                <w:szCs w:val="17"/>
              </w:rPr>
              <w:t>噪</w:t>
            </w:r>
            <w:r>
              <w:rPr>
                <w:rFonts w:ascii="宋体" w:hAnsi="宋体" w:eastAsia="宋体" w:cs="宋体"/>
                <w:spacing w:val="2"/>
                <w:sz w:val="17"/>
                <w:szCs w:val="17"/>
              </w:rPr>
              <w:t>声、扬尘、</w:t>
            </w:r>
            <w:r>
              <w:rPr>
                <w:rFonts w:ascii="宋体" w:hAnsi="宋体" w:eastAsia="宋体" w:cs="宋体"/>
                <w:sz w:val="17"/>
                <w:szCs w:val="17"/>
              </w:rPr>
              <w:t xml:space="preserve"> </w:t>
            </w:r>
            <w:r>
              <w:rPr>
                <w:rFonts w:ascii="宋体" w:hAnsi="宋体" w:eastAsia="宋体" w:cs="宋体"/>
                <w:spacing w:val="-2"/>
                <w:sz w:val="17"/>
                <w:szCs w:val="17"/>
              </w:rPr>
              <w:t>固</w:t>
            </w:r>
            <w:r>
              <w:rPr>
                <w:rFonts w:ascii="宋体" w:hAnsi="宋体" w:eastAsia="宋体" w:cs="宋体"/>
                <w:spacing w:val="-1"/>
                <w:sz w:val="17"/>
                <w:szCs w:val="17"/>
              </w:rPr>
              <w:t>废</w:t>
            </w:r>
          </w:p>
        </w:tc>
        <w:tc>
          <w:tcPr>
            <w:tcW w:w="797" w:type="dxa"/>
            <w:vMerge w:val="continue"/>
            <w:tcBorders>
              <w:top w:val="nil"/>
            </w:tcBorders>
            <w:vAlign w:val="top"/>
          </w:tcPr>
          <w:p>
            <w:pPr>
              <w:rPr>
                <w:rFonts w:ascii="Arial"/>
                <w:sz w:val="21"/>
              </w:rPr>
            </w:pPr>
          </w:p>
        </w:tc>
      </w:tr>
    </w:tbl>
    <w:p>
      <w:pPr>
        <w:rPr>
          <w:rFonts w:ascii="Arial"/>
          <w:sz w:val="21"/>
        </w:rPr>
      </w:pPr>
    </w:p>
    <w:p>
      <w:pPr>
        <w:sectPr>
          <w:footerReference r:id="rId111" w:type="default"/>
          <w:pgSz w:w="11906" w:h="16839"/>
          <w:pgMar w:top="400" w:right="1391" w:bottom="1024" w:left="1391" w:header="0" w:footer="840" w:gutter="0"/>
          <w:cols w:space="720" w:num="1"/>
        </w:sectPr>
      </w:pPr>
    </w:p>
    <w:p/>
    <w:p/>
    <w:p/>
    <w:p/>
    <w:p/>
    <w:p>
      <w:pPr>
        <w:spacing w:line="115" w:lineRule="exact"/>
      </w:pPr>
    </w:p>
    <w:tbl>
      <w:tblPr>
        <w:tblStyle w:val="4"/>
        <w:tblW w:w="91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8"/>
        <w:gridCol w:w="1041"/>
        <w:gridCol w:w="5543"/>
        <w:gridCol w:w="1168"/>
        <w:gridCol w:w="7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568" w:type="dxa"/>
            <w:vMerge w:val="restart"/>
            <w:tcBorders>
              <w:bottom w:val="nil"/>
            </w:tcBorders>
            <w:vAlign w:val="top"/>
          </w:tcPr>
          <w:p>
            <w:pPr>
              <w:rPr>
                <w:rFonts w:ascii="Arial"/>
                <w:sz w:val="21"/>
              </w:rPr>
            </w:pPr>
          </w:p>
        </w:tc>
        <w:tc>
          <w:tcPr>
            <w:tcW w:w="1041" w:type="dxa"/>
            <w:vAlign w:val="top"/>
          </w:tcPr>
          <w:p>
            <w:pPr>
              <w:rPr>
                <w:rFonts w:ascii="Arial"/>
                <w:sz w:val="21"/>
              </w:rPr>
            </w:pPr>
          </w:p>
        </w:tc>
        <w:tc>
          <w:tcPr>
            <w:tcW w:w="5543" w:type="dxa"/>
            <w:vAlign w:val="top"/>
          </w:tcPr>
          <w:p>
            <w:pPr>
              <w:spacing w:before="74" w:line="232" w:lineRule="auto"/>
              <w:ind w:left="32"/>
              <w:rPr>
                <w:rFonts w:ascii="Times New Roman" w:hAnsi="Times New Roman" w:eastAsia="Times New Roman" w:cs="Times New Roman"/>
                <w:sz w:val="17"/>
                <w:szCs w:val="17"/>
              </w:rPr>
            </w:pPr>
            <w:r>
              <w:rPr>
                <w:rFonts w:ascii="宋体" w:hAnsi="宋体" w:eastAsia="宋体" w:cs="宋体"/>
                <w:spacing w:val="-4"/>
                <w:sz w:val="17"/>
                <w:szCs w:val="17"/>
              </w:rPr>
              <w:t xml:space="preserve">约 </w:t>
            </w:r>
            <w:r>
              <w:rPr>
                <w:rFonts w:ascii="Times New Roman" w:hAnsi="Times New Roman" w:eastAsia="Times New Roman" w:cs="Times New Roman"/>
                <w:spacing w:val="-4"/>
                <w:sz w:val="17"/>
                <w:szCs w:val="17"/>
              </w:rPr>
              <w:t>568</w:t>
            </w:r>
            <w:r>
              <w:rPr>
                <w:rFonts w:ascii="Times New Roman" w:hAnsi="Times New Roman" w:eastAsia="Times New Roman" w:cs="Times New Roman"/>
                <w:spacing w:val="-2"/>
                <w:sz w:val="17"/>
                <w:szCs w:val="17"/>
              </w:rPr>
              <w:t xml:space="preserve">m </w:t>
            </w:r>
            <w:r>
              <w:rPr>
                <w:rFonts w:ascii="宋体" w:hAnsi="宋体" w:eastAsia="宋体" w:cs="宋体"/>
                <w:spacing w:val="-2"/>
                <w:sz w:val="17"/>
                <w:szCs w:val="17"/>
              </w:rPr>
              <w:t xml:space="preserve">，路肩宽 </w:t>
            </w:r>
            <w:r>
              <w:rPr>
                <w:rFonts w:ascii="Times New Roman" w:hAnsi="Times New Roman" w:eastAsia="Times New Roman" w:cs="Times New Roman"/>
                <w:spacing w:val="-2"/>
                <w:sz w:val="17"/>
                <w:szCs w:val="17"/>
              </w:rPr>
              <w:t>8.5m</w:t>
            </w:r>
          </w:p>
        </w:tc>
        <w:tc>
          <w:tcPr>
            <w:tcW w:w="1168" w:type="dxa"/>
            <w:vAlign w:val="top"/>
          </w:tcPr>
          <w:p>
            <w:pPr>
              <w:rPr>
                <w:rFonts w:ascii="Arial"/>
                <w:sz w:val="21"/>
              </w:rPr>
            </w:pPr>
          </w:p>
        </w:tc>
        <w:tc>
          <w:tcPr>
            <w:tcW w:w="797"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5" w:hRule="atLeast"/>
        </w:trPr>
        <w:tc>
          <w:tcPr>
            <w:tcW w:w="568" w:type="dxa"/>
            <w:vMerge w:val="continue"/>
            <w:tcBorders>
              <w:top w:val="nil"/>
              <w:bottom w:val="nil"/>
            </w:tcBorders>
            <w:vAlign w:val="top"/>
          </w:tcPr>
          <w:p>
            <w:pPr>
              <w:rPr>
                <w:rFonts w:ascii="Arial"/>
                <w:sz w:val="21"/>
              </w:rPr>
            </w:pPr>
          </w:p>
        </w:tc>
        <w:tc>
          <w:tcPr>
            <w:tcW w:w="1041" w:type="dxa"/>
            <w:vAlign w:val="top"/>
          </w:tcPr>
          <w:p>
            <w:pPr>
              <w:spacing w:line="305" w:lineRule="auto"/>
              <w:rPr>
                <w:rFonts w:ascii="Arial"/>
                <w:sz w:val="21"/>
              </w:rPr>
            </w:pPr>
          </w:p>
          <w:p>
            <w:pPr>
              <w:spacing w:before="55" w:line="230" w:lineRule="auto"/>
              <w:ind w:left="163"/>
              <w:rPr>
                <w:rFonts w:ascii="宋体" w:hAnsi="宋体" w:eastAsia="宋体" w:cs="宋体"/>
                <w:sz w:val="17"/>
                <w:szCs w:val="17"/>
              </w:rPr>
            </w:pPr>
            <w:r>
              <w:rPr>
                <w:rFonts w:ascii="宋体" w:hAnsi="宋体" w:eastAsia="宋体" w:cs="宋体"/>
                <w:spacing w:val="9"/>
                <w:sz w:val="17"/>
                <w:szCs w:val="17"/>
              </w:rPr>
              <w:t>施</w:t>
            </w:r>
            <w:r>
              <w:rPr>
                <w:rFonts w:ascii="宋体" w:hAnsi="宋体" w:eastAsia="宋体" w:cs="宋体"/>
                <w:spacing w:val="8"/>
                <w:sz w:val="17"/>
                <w:szCs w:val="17"/>
              </w:rPr>
              <w:t>工栈桥</w:t>
            </w:r>
          </w:p>
        </w:tc>
        <w:tc>
          <w:tcPr>
            <w:tcW w:w="5543" w:type="dxa"/>
            <w:vAlign w:val="top"/>
          </w:tcPr>
          <w:p>
            <w:pPr>
              <w:spacing w:before="81" w:line="280" w:lineRule="auto"/>
              <w:ind w:left="26" w:right="21" w:firstLine="1"/>
              <w:rPr>
                <w:rFonts w:ascii="宋体" w:hAnsi="宋体" w:eastAsia="宋体" w:cs="宋体"/>
                <w:sz w:val="17"/>
                <w:szCs w:val="17"/>
              </w:rPr>
            </w:pPr>
            <w:r>
              <w:rPr>
                <w:rFonts w:ascii="宋体" w:hAnsi="宋体" w:eastAsia="宋体" w:cs="宋体"/>
                <w:spacing w:val="14"/>
                <w:sz w:val="17"/>
                <w:szCs w:val="17"/>
              </w:rPr>
              <w:t>栈桥</w:t>
            </w:r>
            <w:r>
              <w:rPr>
                <w:rFonts w:ascii="宋体" w:hAnsi="宋体" w:eastAsia="宋体" w:cs="宋体"/>
                <w:spacing w:val="11"/>
                <w:sz w:val="17"/>
                <w:szCs w:val="17"/>
              </w:rPr>
              <w:t>从</w:t>
            </w:r>
            <w:r>
              <w:rPr>
                <w:rFonts w:ascii="宋体" w:hAnsi="宋体" w:eastAsia="宋体" w:cs="宋体"/>
                <w:spacing w:val="7"/>
                <w:sz w:val="17"/>
                <w:szCs w:val="17"/>
              </w:rPr>
              <w:t xml:space="preserve">两岸陆域连接到涉水桥墩承台位置。栈桥长度约 </w:t>
            </w:r>
            <w:r>
              <w:rPr>
                <w:rFonts w:ascii="Times New Roman" w:hAnsi="Times New Roman" w:eastAsia="Times New Roman" w:cs="Times New Roman"/>
                <w:spacing w:val="7"/>
                <w:sz w:val="17"/>
                <w:szCs w:val="17"/>
              </w:rPr>
              <w:t>620</w:t>
            </w:r>
            <w:r>
              <w:rPr>
                <w:rFonts w:ascii="Times New Roman" w:hAnsi="Times New Roman" w:eastAsia="Times New Roman" w:cs="Times New Roman"/>
                <w:sz w:val="17"/>
                <w:szCs w:val="17"/>
              </w:rPr>
              <w:t>m</w:t>
            </w:r>
            <w:r>
              <w:rPr>
                <w:rFonts w:ascii="Times New Roman" w:hAnsi="Times New Roman" w:eastAsia="Times New Roman" w:cs="Times New Roman"/>
                <w:spacing w:val="7"/>
                <w:sz w:val="17"/>
                <w:szCs w:val="17"/>
              </w:rPr>
              <w:t xml:space="preserve">  </w:t>
            </w:r>
            <w:r>
              <w:rPr>
                <w:rFonts w:ascii="宋体" w:hAnsi="宋体" w:eastAsia="宋体" w:cs="宋体"/>
                <w:spacing w:val="7"/>
                <w:sz w:val="17"/>
                <w:szCs w:val="17"/>
              </w:rPr>
              <w:t>(拟建桥</w:t>
            </w:r>
            <w:r>
              <w:rPr>
                <w:rFonts w:ascii="宋体" w:hAnsi="宋体" w:eastAsia="宋体" w:cs="宋体"/>
                <w:sz w:val="17"/>
                <w:szCs w:val="17"/>
              </w:rPr>
              <w:t xml:space="preserve"> </w:t>
            </w:r>
            <w:r>
              <w:rPr>
                <w:rFonts w:ascii="宋体" w:hAnsi="宋体" w:eastAsia="宋体" w:cs="宋体"/>
                <w:spacing w:val="8"/>
                <w:sz w:val="17"/>
                <w:szCs w:val="17"/>
              </w:rPr>
              <w:t xml:space="preserve">梁两侧各约 </w:t>
            </w:r>
            <w:r>
              <w:rPr>
                <w:rFonts w:ascii="Times New Roman" w:hAnsi="Times New Roman" w:eastAsia="Times New Roman" w:cs="Times New Roman"/>
                <w:spacing w:val="8"/>
                <w:sz w:val="17"/>
                <w:szCs w:val="17"/>
              </w:rPr>
              <w:t>310</w:t>
            </w:r>
            <w:r>
              <w:rPr>
                <w:rFonts w:ascii="Times New Roman" w:hAnsi="Times New Roman" w:eastAsia="Times New Roman" w:cs="Times New Roman"/>
                <w:sz w:val="17"/>
                <w:szCs w:val="17"/>
              </w:rPr>
              <w:t>m</w:t>
            </w:r>
            <w:r>
              <w:rPr>
                <w:rFonts w:ascii="宋体" w:hAnsi="宋体" w:eastAsia="宋体" w:cs="宋体"/>
                <w:spacing w:val="8"/>
                <w:sz w:val="17"/>
                <w:szCs w:val="17"/>
              </w:rPr>
              <w:t>) ，垂直于岸边向河中布设。栈桥采用钢管桩基础</w:t>
            </w:r>
            <w:r>
              <w:rPr>
                <w:rFonts w:ascii="宋体" w:hAnsi="宋体" w:eastAsia="宋体" w:cs="宋体"/>
                <w:spacing w:val="2"/>
                <w:sz w:val="17"/>
                <w:szCs w:val="17"/>
              </w:rPr>
              <w:t>，</w:t>
            </w:r>
            <w:r>
              <w:rPr>
                <w:rFonts w:ascii="宋体" w:hAnsi="宋体" w:eastAsia="宋体" w:cs="宋体"/>
                <w:sz w:val="17"/>
                <w:szCs w:val="17"/>
              </w:rPr>
              <w:t xml:space="preserve"> </w:t>
            </w:r>
            <w:r>
              <w:rPr>
                <w:rFonts w:ascii="宋体" w:hAnsi="宋体" w:eastAsia="宋体" w:cs="宋体"/>
                <w:spacing w:val="18"/>
                <w:sz w:val="17"/>
                <w:szCs w:val="17"/>
              </w:rPr>
              <w:t>钢</w:t>
            </w:r>
            <w:r>
              <w:rPr>
                <w:rFonts w:ascii="宋体" w:hAnsi="宋体" w:eastAsia="宋体" w:cs="宋体"/>
                <w:spacing w:val="13"/>
                <w:sz w:val="17"/>
                <w:szCs w:val="17"/>
              </w:rPr>
              <w:t>管</w:t>
            </w:r>
            <w:r>
              <w:rPr>
                <w:rFonts w:ascii="宋体" w:hAnsi="宋体" w:eastAsia="宋体" w:cs="宋体"/>
                <w:spacing w:val="9"/>
                <w:sz w:val="17"/>
                <w:szCs w:val="17"/>
              </w:rPr>
              <w:t>柱支撑，桥面采用贝雷梁组合架设，宽度根据施工需要确定。</w:t>
            </w:r>
          </w:p>
        </w:tc>
        <w:tc>
          <w:tcPr>
            <w:tcW w:w="1168" w:type="dxa"/>
            <w:vAlign w:val="top"/>
          </w:tcPr>
          <w:p>
            <w:pPr>
              <w:spacing w:line="279" w:lineRule="auto"/>
              <w:rPr>
                <w:rFonts w:ascii="Arial"/>
                <w:sz w:val="21"/>
              </w:rPr>
            </w:pPr>
          </w:p>
          <w:p>
            <w:pPr>
              <w:spacing w:before="49" w:line="242" w:lineRule="exact"/>
              <w:ind w:left="55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79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5" w:hRule="atLeast"/>
        </w:trPr>
        <w:tc>
          <w:tcPr>
            <w:tcW w:w="568" w:type="dxa"/>
            <w:vMerge w:val="continue"/>
            <w:tcBorders>
              <w:top w:val="nil"/>
            </w:tcBorders>
            <w:vAlign w:val="top"/>
          </w:tcPr>
          <w:p>
            <w:pPr>
              <w:rPr>
                <w:rFonts w:ascii="Arial"/>
                <w:sz w:val="21"/>
              </w:rPr>
            </w:pPr>
          </w:p>
        </w:tc>
        <w:tc>
          <w:tcPr>
            <w:tcW w:w="1041" w:type="dxa"/>
            <w:vAlign w:val="top"/>
          </w:tcPr>
          <w:p>
            <w:pPr>
              <w:spacing w:before="222" w:line="317" w:lineRule="auto"/>
              <w:ind w:left="344" w:right="70" w:hanging="271"/>
              <w:rPr>
                <w:rFonts w:ascii="宋体" w:hAnsi="宋体" w:eastAsia="宋体" w:cs="宋体"/>
                <w:sz w:val="17"/>
                <w:szCs w:val="17"/>
              </w:rPr>
            </w:pPr>
            <w:r>
              <w:rPr>
                <w:rFonts w:ascii="宋体" w:hAnsi="宋体" w:eastAsia="宋体" w:cs="宋体"/>
                <w:spacing w:val="10"/>
                <w:sz w:val="17"/>
                <w:szCs w:val="17"/>
              </w:rPr>
              <w:t>土</w:t>
            </w:r>
            <w:r>
              <w:rPr>
                <w:rFonts w:ascii="宋体" w:hAnsi="宋体" w:eastAsia="宋体" w:cs="宋体"/>
                <w:spacing w:val="8"/>
                <w:sz w:val="17"/>
                <w:szCs w:val="17"/>
              </w:rPr>
              <w:t>石方临时</w:t>
            </w:r>
            <w:r>
              <w:rPr>
                <w:rFonts w:ascii="宋体" w:hAnsi="宋体" w:eastAsia="宋体" w:cs="宋体"/>
                <w:sz w:val="17"/>
                <w:szCs w:val="17"/>
              </w:rPr>
              <w:t xml:space="preserve"> </w:t>
            </w:r>
            <w:r>
              <w:rPr>
                <w:rFonts w:ascii="宋体" w:hAnsi="宋体" w:eastAsia="宋体" w:cs="宋体"/>
                <w:spacing w:val="6"/>
                <w:sz w:val="17"/>
                <w:szCs w:val="17"/>
              </w:rPr>
              <w:t>堆场</w:t>
            </w:r>
          </w:p>
        </w:tc>
        <w:tc>
          <w:tcPr>
            <w:tcW w:w="5543" w:type="dxa"/>
            <w:vAlign w:val="top"/>
          </w:tcPr>
          <w:p>
            <w:pPr>
              <w:spacing w:before="83" w:line="279" w:lineRule="auto"/>
              <w:ind w:left="27" w:right="18"/>
              <w:rPr>
                <w:rFonts w:ascii="宋体" w:hAnsi="宋体" w:eastAsia="宋体" w:cs="宋体"/>
                <w:sz w:val="17"/>
                <w:szCs w:val="17"/>
              </w:rPr>
            </w:pPr>
            <w:r>
              <w:rPr>
                <w:rFonts w:ascii="宋体" w:hAnsi="宋体" w:eastAsia="宋体" w:cs="宋体"/>
                <w:spacing w:val="9"/>
                <w:sz w:val="17"/>
                <w:szCs w:val="17"/>
              </w:rPr>
              <w:t>在</w:t>
            </w:r>
            <w:r>
              <w:rPr>
                <w:rFonts w:ascii="宋体" w:hAnsi="宋体" w:eastAsia="宋体" w:cs="宋体"/>
                <w:spacing w:val="5"/>
                <w:sz w:val="17"/>
                <w:szCs w:val="17"/>
              </w:rPr>
              <w:t xml:space="preserve">大桥两端占地范围内远离河道位置各设 </w:t>
            </w:r>
            <w:r>
              <w:rPr>
                <w:rFonts w:ascii="Times New Roman" w:hAnsi="Times New Roman" w:eastAsia="Times New Roman" w:cs="Times New Roman"/>
                <w:spacing w:val="5"/>
                <w:sz w:val="17"/>
                <w:szCs w:val="17"/>
              </w:rPr>
              <w:t xml:space="preserve">1 </w:t>
            </w:r>
            <w:r>
              <w:rPr>
                <w:rFonts w:ascii="宋体" w:hAnsi="宋体" w:eastAsia="宋体" w:cs="宋体"/>
                <w:spacing w:val="5"/>
                <w:sz w:val="17"/>
                <w:szCs w:val="17"/>
              </w:rPr>
              <w:t>个土石方 (含表土) 临时堆</w:t>
            </w:r>
            <w:r>
              <w:rPr>
                <w:rFonts w:ascii="宋体" w:hAnsi="宋体" w:eastAsia="宋体" w:cs="宋体"/>
                <w:sz w:val="17"/>
                <w:szCs w:val="17"/>
              </w:rPr>
              <w:t xml:space="preserve"> </w:t>
            </w:r>
            <w:r>
              <w:rPr>
                <w:rFonts w:ascii="宋体" w:hAnsi="宋体" w:eastAsia="宋体" w:cs="宋体"/>
                <w:spacing w:val="14"/>
                <w:sz w:val="17"/>
                <w:szCs w:val="17"/>
              </w:rPr>
              <w:t>放处面</w:t>
            </w:r>
            <w:r>
              <w:rPr>
                <w:rFonts w:ascii="宋体" w:hAnsi="宋体" w:eastAsia="宋体" w:cs="宋体"/>
                <w:spacing w:val="11"/>
                <w:sz w:val="17"/>
                <w:szCs w:val="17"/>
              </w:rPr>
              <w:t>积</w:t>
            </w:r>
            <w:r>
              <w:rPr>
                <w:rFonts w:ascii="宋体" w:hAnsi="宋体" w:eastAsia="宋体" w:cs="宋体"/>
                <w:spacing w:val="7"/>
                <w:sz w:val="17"/>
                <w:szCs w:val="17"/>
              </w:rPr>
              <w:t xml:space="preserve">约 </w:t>
            </w:r>
            <w:r>
              <w:rPr>
                <w:rFonts w:ascii="Times New Roman" w:hAnsi="Times New Roman" w:eastAsia="Times New Roman" w:cs="Times New Roman"/>
                <w:spacing w:val="7"/>
                <w:sz w:val="17"/>
                <w:szCs w:val="17"/>
              </w:rPr>
              <w:t>3000</w:t>
            </w:r>
            <w:r>
              <w:rPr>
                <w:rFonts w:ascii="Times New Roman" w:hAnsi="Times New Roman" w:eastAsia="Times New Roman" w:cs="Times New Roman"/>
                <w:sz w:val="17"/>
                <w:szCs w:val="17"/>
              </w:rPr>
              <w:t>m</w:t>
            </w:r>
            <w:r>
              <w:rPr>
                <w:rFonts w:ascii="宋体" w:hAnsi="宋体" w:eastAsia="宋体" w:cs="宋体"/>
                <w:spacing w:val="7"/>
                <w:sz w:val="17"/>
                <w:szCs w:val="17"/>
              </w:rPr>
              <w:t>²，用于桥台台背回填和后期植被恢复，不另行设置</w:t>
            </w:r>
            <w:r>
              <w:rPr>
                <w:rFonts w:ascii="宋体" w:hAnsi="宋体" w:eastAsia="宋体" w:cs="宋体"/>
                <w:sz w:val="17"/>
                <w:szCs w:val="17"/>
              </w:rPr>
              <w:t xml:space="preserve"> </w:t>
            </w:r>
            <w:r>
              <w:rPr>
                <w:rFonts w:ascii="宋体" w:hAnsi="宋体" w:eastAsia="宋体" w:cs="宋体"/>
                <w:spacing w:val="8"/>
                <w:sz w:val="17"/>
                <w:szCs w:val="17"/>
              </w:rPr>
              <w:t>弃</w:t>
            </w:r>
            <w:r>
              <w:rPr>
                <w:rFonts w:ascii="宋体" w:hAnsi="宋体" w:eastAsia="宋体" w:cs="宋体"/>
                <w:spacing w:val="7"/>
                <w:sz w:val="17"/>
                <w:szCs w:val="17"/>
              </w:rPr>
              <w:t>土场</w:t>
            </w:r>
          </w:p>
        </w:tc>
        <w:tc>
          <w:tcPr>
            <w:tcW w:w="1168" w:type="dxa"/>
            <w:vAlign w:val="top"/>
          </w:tcPr>
          <w:p>
            <w:pPr>
              <w:spacing w:line="277" w:lineRule="auto"/>
              <w:rPr>
                <w:rFonts w:ascii="Arial"/>
                <w:sz w:val="21"/>
              </w:rPr>
            </w:pPr>
          </w:p>
          <w:p>
            <w:pPr>
              <w:spacing w:before="49" w:line="242" w:lineRule="exact"/>
              <w:ind w:left="55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79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568"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5" w:line="315" w:lineRule="auto"/>
              <w:ind w:left="110" w:right="101" w:hanging="2"/>
              <w:rPr>
                <w:rFonts w:ascii="宋体" w:hAnsi="宋体" w:eastAsia="宋体" w:cs="宋体"/>
                <w:sz w:val="17"/>
                <w:szCs w:val="17"/>
              </w:rPr>
            </w:pPr>
            <w:r>
              <w:rPr>
                <w:rFonts w:ascii="宋体" w:hAnsi="宋体" w:eastAsia="宋体" w:cs="宋体"/>
                <w:spacing w:val="6"/>
                <w:sz w:val="17"/>
                <w:szCs w:val="17"/>
              </w:rPr>
              <w:t>环保</w:t>
            </w:r>
            <w:r>
              <w:rPr>
                <w:rFonts w:ascii="宋体" w:hAnsi="宋体" w:eastAsia="宋体" w:cs="宋体"/>
                <w:sz w:val="17"/>
                <w:szCs w:val="17"/>
              </w:rPr>
              <w:t xml:space="preserve"> </w:t>
            </w:r>
            <w:r>
              <w:rPr>
                <w:rFonts w:ascii="宋体" w:hAnsi="宋体" w:eastAsia="宋体" w:cs="宋体"/>
                <w:spacing w:val="5"/>
                <w:sz w:val="17"/>
                <w:szCs w:val="17"/>
              </w:rPr>
              <w:t>工程</w:t>
            </w:r>
          </w:p>
        </w:tc>
        <w:tc>
          <w:tcPr>
            <w:tcW w:w="1041" w:type="dxa"/>
            <w:vAlign w:val="top"/>
          </w:tcPr>
          <w:p>
            <w:pPr>
              <w:spacing w:before="79" w:line="230" w:lineRule="auto"/>
              <w:ind w:left="163"/>
              <w:rPr>
                <w:rFonts w:ascii="宋体" w:hAnsi="宋体" w:eastAsia="宋体" w:cs="宋体"/>
                <w:sz w:val="17"/>
                <w:szCs w:val="17"/>
              </w:rPr>
            </w:pPr>
            <w:r>
              <w:rPr>
                <w:rFonts w:ascii="宋体" w:hAnsi="宋体" w:eastAsia="宋体" w:cs="宋体"/>
                <w:spacing w:val="9"/>
                <w:sz w:val="17"/>
                <w:szCs w:val="17"/>
              </w:rPr>
              <w:t>施</w:t>
            </w:r>
            <w:r>
              <w:rPr>
                <w:rFonts w:ascii="宋体" w:hAnsi="宋体" w:eastAsia="宋体" w:cs="宋体"/>
                <w:spacing w:val="8"/>
                <w:sz w:val="17"/>
                <w:szCs w:val="17"/>
              </w:rPr>
              <w:t>工围挡</w:t>
            </w:r>
          </w:p>
        </w:tc>
        <w:tc>
          <w:tcPr>
            <w:tcW w:w="5543" w:type="dxa"/>
            <w:vAlign w:val="top"/>
          </w:tcPr>
          <w:p>
            <w:pPr>
              <w:spacing w:before="79" w:line="230" w:lineRule="auto"/>
              <w:ind w:left="24"/>
              <w:rPr>
                <w:rFonts w:ascii="宋体" w:hAnsi="宋体" w:eastAsia="宋体" w:cs="宋体"/>
                <w:sz w:val="17"/>
                <w:szCs w:val="17"/>
              </w:rPr>
            </w:pPr>
            <w:r>
              <w:rPr>
                <w:rFonts w:ascii="Times New Roman" w:hAnsi="Times New Roman" w:eastAsia="Times New Roman" w:cs="Times New Roman"/>
                <w:spacing w:val="9"/>
                <w:sz w:val="17"/>
                <w:szCs w:val="17"/>
              </w:rPr>
              <w:t>2.5</w:t>
            </w:r>
            <w:r>
              <w:rPr>
                <w:rFonts w:ascii="Times New Roman" w:hAnsi="Times New Roman" w:eastAsia="Times New Roman" w:cs="Times New Roman"/>
                <w:sz w:val="17"/>
                <w:szCs w:val="17"/>
              </w:rPr>
              <w:t>m</w:t>
            </w:r>
            <w:r>
              <w:rPr>
                <w:rFonts w:ascii="Times New Roman" w:hAnsi="Times New Roman" w:eastAsia="Times New Roman" w:cs="Times New Roman"/>
                <w:spacing w:val="9"/>
                <w:sz w:val="17"/>
                <w:szCs w:val="17"/>
              </w:rPr>
              <w:t xml:space="preserve"> </w:t>
            </w:r>
            <w:r>
              <w:rPr>
                <w:rFonts w:ascii="宋体" w:hAnsi="宋体" w:eastAsia="宋体" w:cs="宋体"/>
                <w:spacing w:val="9"/>
                <w:sz w:val="17"/>
                <w:szCs w:val="17"/>
              </w:rPr>
              <w:t>硬质施工围挡，安装于全部施工区</w:t>
            </w:r>
            <w:r>
              <w:rPr>
                <w:rFonts w:ascii="宋体" w:hAnsi="宋体" w:eastAsia="宋体" w:cs="宋体"/>
                <w:spacing w:val="8"/>
                <w:sz w:val="17"/>
                <w:szCs w:val="17"/>
              </w:rPr>
              <w:t>域</w:t>
            </w:r>
          </w:p>
        </w:tc>
        <w:tc>
          <w:tcPr>
            <w:tcW w:w="1168" w:type="dxa"/>
            <w:vAlign w:val="top"/>
          </w:tcPr>
          <w:p>
            <w:pPr>
              <w:spacing w:before="44" w:line="242" w:lineRule="exact"/>
              <w:ind w:left="55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797"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49" w:line="242" w:lineRule="exact"/>
              <w:ind w:left="373"/>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568" w:type="dxa"/>
            <w:vMerge w:val="continue"/>
            <w:tcBorders>
              <w:top w:val="nil"/>
              <w:bottom w:val="nil"/>
            </w:tcBorders>
            <w:vAlign w:val="top"/>
          </w:tcPr>
          <w:p>
            <w:pPr>
              <w:rPr>
                <w:rFonts w:ascii="Arial"/>
                <w:sz w:val="21"/>
              </w:rPr>
            </w:pPr>
          </w:p>
        </w:tc>
        <w:tc>
          <w:tcPr>
            <w:tcW w:w="1041" w:type="dxa"/>
            <w:vMerge w:val="restart"/>
            <w:tcBorders>
              <w:bottom w:val="nil"/>
            </w:tcBorders>
            <w:vAlign w:val="top"/>
          </w:tcPr>
          <w:p>
            <w:pPr>
              <w:spacing w:line="467" w:lineRule="auto"/>
              <w:rPr>
                <w:rFonts w:ascii="Arial"/>
                <w:sz w:val="21"/>
              </w:rPr>
            </w:pPr>
          </w:p>
          <w:p>
            <w:pPr>
              <w:spacing w:before="55" w:line="281" w:lineRule="exact"/>
              <w:ind w:left="343"/>
              <w:rPr>
                <w:rFonts w:ascii="宋体" w:hAnsi="宋体" w:eastAsia="宋体" w:cs="宋体"/>
                <w:sz w:val="17"/>
                <w:szCs w:val="17"/>
              </w:rPr>
            </w:pPr>
            <w:r>
              <w:rPr>
                <w:rFonts w:ascii="宋体" w:hAnsi="宋体" w:eastAsia="宋体" w:cs="宋体"/>
                <w:spacing w:val="7"/>
                <w:position w:val="7"/>
                <w:sz w:val="17"/>
                <w:szCs w:val="17"/>
              </w:rPr>
              <w:t>废</w:t>
            </w:r>
            <w:r>
              <w:rPr>
                <w:rFonts w:ascii="宋体" w:hAnsi="宋体" w:eastAsia="宋体" w:cs="宋体"/>
                <w:spacing w:val="6"/>
                <w:position w:val="7"/>
                <w:sz w:val="17"/>
                <w:szCs w:val="17"/>
              </w:rPr>
              <w:t>气</w:t>
            </w:r>
          </w:p>
          <w:p>
            <w:pPr>
              <w:spacing w:line="235" w:lineRule="auto"/>
              <w:ind w:left="348"/>
              <w:rPr>
                <w:rFonts w:ascii="宋体" w:hAnsi="宋体" w:eastAsia="宋体" w:cs="宋体"/>
                <w:sz w:val="17"/>
                <w:szCs w:val="17"/>
              </w:rPr>
            </w:pPr>
            <w:r>
              <w:rPr>
                <w:rFonts w:ascii="宋体" w:hAnsi="宋体" w:eastAsia="宋体" w:cs="宋体"/>
                <w:spacing w:val="4"/>
                <w:sz w:val="17"/>
                <w:szCs w:val="17"/>
              </w:rPr>
              <w:t>治理</w:t>
            </w:r>
          </w:p>
        </w:tc>
        <w:tc>
          <w:tcPr>
            <w:tcW w:w="5543" w:type="dxa"/>
            <w:vAlign w:val="top"/>
          </w:tcPr>
          <w:p>
            <w:pPr>
              <w:spacing w:before="81" w:line="266" w:lineRule="auto"/>
              <w:ind w:left="26" w:right="18"/>
              <w:rPr>
                <w:rFonts w:ascii="宋体" w:hAnsi="宋体" w:eastAsia="宋体" w:cs="宋体"/>
                <w:sz w:val="17"/>
                <w:szCs w:val="17"/>
              </w:rPr>
            </w:pPr>
            <w:r>
              <w:rPr>
                <w:rFonts w:ascii="宋体" w:hAnsi="宋体" w:eastAsia="宋体" w:cs="宋体"/>
                <w:spacing w:val="10"/>
                <w:sz w:val="17"/>
                <w:szCs w:val="17"/>
              </w:rPr>
              <w:t>在桥</w:t>
            </w:r>
            <w:r>
              <w:rPr>
                <w:rFonts w:ascii="宋体" w:hAnsi="宋体" w:eastAsia="宋体" w:cs="宋体"/>
                <w:spacing w:val="9"/>
                <w:sz w:val="17"/>
                <w:szCs w:val="17"/>
              </w:rPr>
              <w:t>梁</w:t>
            </w:r>
            <w:r>
              <w:rPr>
                <w:rFonts w:ascii="宋体" w:hAnsi="宋体" w:eastAsia="宋体" w:cs="宋体"/>
                <w:spacing w:val="5"/>
                <w:sz w:val="17"/>
                <w:szCs w:val="17"/>
              </w:rPr>
              <w:t xml:space="preserve">东、西端施工场地的大门进出口设车辆冲洗台 </w:t>
            </w:r>
            <w:r>
              <w:rPr>
                <w:rFonts w:ascii="Times New Roman" w:hAnsi="Times New Roman" w:eastAsia="Times New Roman" w:cs="Times New Roman"/>
                <w:spacing w:val="5"/>
                <w:sz w:val="17"/>
                <w:szCs w:val="17"/>
              </w:rPr>
              <w:t xml:space="preserve">1 </w:t>
            </w:r>
            <w:r>
              <w:rPr>
                <w:rFonts w:ascii="宋体" w:hAnsi="宋体" w:eastAsia="宋体" w:cs="宋体"/>
                <w:spacing w:val="5"/>
                <w:sz w:val="17"/>
                <w:szCs w:val="17"/>
              </w:rPr>
              <w:t>个；施工场地配</w:t>
            </w:r>
            <w:r>
              <w:rPr>
                <w:rFonts w:ascii="宋体" w:hAnsi="宋体" w:eastAsia="宋体" w:cs="宋体"/>
                <w:sz w:val="17"/>
                <w:szCs w:val="17"/>
              </w:rPr>
              <w:t xml:space="preserve"> </w:t>
            </w:r>
            <w:r>
              <w:rPr>
                <w:rFonts w:ascii="宋体" w:hAnsi="宋体" w:eastAsia="宋体" w:cs="宋体"/>
                <w:spacing w:val="12"/>
                <w:sz w:val="17"/>
                <w:szCs w:val="17"/>
              </w:rPr>
              <w:t>置</w:t>
            </w:r>
            <w:r>
              <w:rPr>
                <w:rFonts w:ascii="宋体" w:hAnsi="宋体" w:eastAsia="宋体" w:cs="宋体"/>
                <w:spacing w:val="8"/>
                <w:sz w:val="17"/>
                <w:szCs w:val="17"/>
              </w:rPr>
              <w:t>雾炮车 (雾炮机) 、洒水车</w:t>
            </w:r>
          </w:p>
        </w:tc>
        <w:tc>
          <w:tcPr>
            <w:tcW w:w="1168" w:type="dxa"/>
            <w:vAlign w:val="top"/>
          </w:tcPr>
          <w:p>
            <w:pPr>
              <w:spacing w:before="220" w:line="231" w:lineRule="auto"/>
              <w:ind w:left="147"/>
              <w:rPr>
                <w:rFonts w:ascii="宋体" w:hAnsi="宋体" w:eastAsia="宋体" w:cs="宋体"/>
                <w:sz w:val="17"/>
                <w:szCs w:val="17"/>
              </w:rPr>
            </w:pPr>
            <w:r>
              <w:rPr>
                <w:rFonts w:ascii="宋体" w:hAnsi="宋体" w:eastAsia="宋体" w:cs="宋体"/>
                <w:spacing w:val="7"/>
                <w:sz w:val="17"/>
                <w:szCs w:val="17"/>
              </w:rPr>
              <w:t>噪声、废</w:t>
            </w:r>
            <w:r>
              <w:rPr>
                <w:rFonts w:ascii="宋体" w:hAnsi="宋体" w:eastAsia="宋体" w:cs="宋体"/>
                <w:spacing w:val="6"/>
                <w:sz w:val="17"/>
                <w:szCs w:val="17"/>
              </w:rPr>
              <w:t>水</w:t>
            </w:r>
          </w:p>
        </w:tc>
        <w:tc>
          <w:tcPr>
            <w:tcW w:w="79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568" w:type="dxa"/>
            <w:vMerge w:val="continue"/>
            <w:tcBorders>
              <w:top w:val="nil"/>
              <w:bottom w:val="nil"/>
            </w:tcBorders>
            <w:vAlign w:val="top"/>
          </w:tcPr>
          <w:p>
            <w:pPr>
              <w:rPr>
                <w:rFonts w:ascii="Arial"/>
                <w:sz w:val="21"/>
              </w:rPr>
            </w:pPr>
          </w:p>
        </w:tc>
        <w:tc>
          <w:tcPr>
            <w:tcW w:w="1041" w:type="dxa"/>
            <w:vMerge w:val="continue"/>
            <w:tcBorders>
              <w:top w:val="nil"/>
              <w:bottom w:val="nil"/>
            </w:tcBorders>
            <w:vAlign w:val="top"/>
          </w:tcPr>
          <w:p>
            <w:pPr>
              <w:rPr>
                <w:rFonts w:ascii="Arial"/>
                <w:sz w:val="21"/>
              </w:rPr>
            </w:pPr>
          </w:p>
        </w:tc>
        <w:tc>
          <w:tcPr>
            <w:tcW w:w="5543" w:type="dxa"/>
            <w:vAlign w:val="top"/>
          </w:tcPr>
          <w:p>
            <w:pPr>
              <w:spacing w:before="79" w:line="230" w:lineRule="auto"/>
              <w:ind w:left="26"/>
              <w:rPr>
                <w:rFonts w:ascii="宋体" w:hAnsi="宋体" w:eastAsia="宋体" w:cs="宋体"/>
                <w:sz w:val="17"/>
                <w:szCs w:val="17"/>
              </w:rPr>
            </w:pPr>
            <w:r>
              <w:rPr>
                <w:rFonts w:ascii="宋体" w:hAnsi="宋体" w:eastAsia="宋体" w:cs="宋体"/>
                <w:spacing w:val="18"/>
                <w:sz w:val="17"/>
                <w:szCs w:val="17"/>
              </w:rPr>
              <w:t>钢</w:t>
            </w:r>
            <w:r>
              <w:rPr>
                <w:rFonts w:ascii="宋体" w:hAnsi="宋体" w:eastAsia="宋体" w:cs="宋体"/>
                <w:spacing w:val="11"/>
                <w:sz w:val="17"/>
                <w:szCs w:val="17"/>
              </w:rPr>
              <w:t>筋</w:t>
            </w:r>
            <w:r>
              <w:rPr>
                <w:rFonts w:ascii="宋体" w:hAnsi="宋体" w:eastAsia="宋体" w:cs="宋体"/>
                <w:spacing w:val="9"/>
                <w:sz w:val="17"/>
                <w:szCs w:val="17"/>
              </w:rPr>
              <w:t>笼制作场地设置移动式旱烟净化器</w:t>
            </w:r>
          </w:p>
        </w:tc>
        <w:tc>
          <w:tcPr>
            <w:tcW w:w="1168" w:type="dxa"/>
            <w:vAlign w:val="top"/>
          </w:tcPr>
          <w:p>
            <w:pPr>
              <w:spacing w:before="79" w:line="231" w:lineRule="auto"/>
              <w:ind w:left="418"/>
              <w:rPr>
                <w:rFonts w:ascii="宋体" w:hAnsi="宋体" w:eastAsia="宋体" w:cs="宋体"/>
                <w:sz w:val="17"/>
                <w:szCs w:val="17"/>
              </w:rPr>
            </w:pPr>
            <w:r>
              <w:rPr>
                <w:rFonts w:ascii="宋体" w:hAnsi="宋体" w:eastAsia="宋体" w:cs="宋体"/>
                <w:spacing w:val="2"/>
                <w:sz w:val="17"/>
                <w:szCs w:val="17"/>
              </w:rPr>
              <w:t>噪声</w:t>
            </w:r>
          </w:p>
        </w:tc>
        <w:tc>
          <w:tcPr>
            <w:tcW w:w="79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568" w:type="dxa"/>
            <w:vMerge w:val="continue"/>
            <w:tcBorders>
              <w:top w:val="nil"/>
              <w:bottom w:val="nil"/>
            </w:tcBorders>
            <w:vAlign w:val="top"/>
          </w:tcPr>
          <w:p>
            <w:pPr>
              <w:rPr>
                <w:rFonts w:ascii="Arial"/>
                <w:sz w:val="21"/>
              </w:rPr>
            </w:pPr>
          </w:p>
        </w:tc>
        <w:tc>
          <w:tcPr>
            <w:tcW w:w="1041" w:type="dxa"/>
            <w:vMerge w:val="continue"/>
            <w:tcBorders>
              <w:top w:val="nil"/>
            </w:tcBorders>
            <w:vAlign w:val="top"/>
          </w:tcPr>
          <w:p>
            <w:pPr>
              <w:rPr>
                <w:rFonts w:ascii="Arial"/>
                <w:sz w:val="21"/>
              </w:rPr>
            </w:pPr>
          </w:p>
        </w:tc>
        <w:tc>
          <w:tcPr>
            <w:tcW w:w="5543" w:type="dxa"/>
            <w:vAlign w:val="top"/>
          </w:tcPr>
          <w:p>
            <w:pPr>
              <w:spacing w:before="80" w:line="267" w:lineRule="auto"/>
              <w:ind w:left="26" w:right="21" w:firstLine="2"/>
              <w:rPr>
                <w:rFonts w:ascii="宋体" w:hAnsi="宋体" w:eastAsia="宋体" w:cs="宋体"/>
                <w:sz w:val="17"/>
                <w:szCs w:val="17"/>
              </w:rPr>
            </w:pPr>
            <w:r>
              <w:rPr>
                <w:rFonts w:ascii="宋体" w:hAnsi="宋体" w:eastAsia="宋体" w:cs="宋体"/>
                <w:spacing w:val="8"/>
                <w:sz w:val="17"/>
                <w:szCs w:val="17"/>
              </w:rPr>
              <w:t>开</w:t>
            </w:r>
            <w:r>
              <w:rPr>
                <w:rFonts w:ascii="宋体" w:hAnsi="宋体" w:eastAsia="宋体" w:cs="宋体"/>
                <w:spacing w:val="7"/>
                <w:sz w:val="17"/>
                <w:szCs w:val="17"/>
              </w:rPr>
              <w:t>挖产生的弃土石方集中堆放，并采取覆盖、喷雾洒水措施；施工场地</w:t>
            </w:r>
            <w:r>
              <w:rPr>
                <w:rFonts w:ascii="宋体" w:hAnsi="宋体" w:eastAsia="宋体" w:cs="宋体"/>
                <w:sz w:val="17"/>
                <w:szCs w:val="17"/>
              </w:rPr>
              <w:t xml:space="preserve"> </w:t>
            </w:r>
            <w:r>
              <w:rPr>
                <w:rFonts w:ascii="宋体" w:hAnsi="宋体" w:eastAsia="宋体" w:cs="宋体"/>
                <w:spacing w:val="18"/>
                <w:sz w:val="17"/>
                <w:szCs w:val="17"/>
              </w:rPr>
              <w:t>进</w:t>
            </w:r>
            <w:r>
              <w:rPr>
                <w:rFonts w:ascii="宋体" w:hAnsi="宋体" w:eastAsia="宋体" w:cs="宋体"/>
                <w:spacing w:val="10"/>
                <w:sz w:val="17"/>
                <w:szCs w:val="17"/>
              </w:rPr>
              <w:t>出</w:t>
            </w:r>
            <w:r>
              <w:rPr>
                <w:rFonts w:ascii="宋体" w:hAnsi="宋体" w:eastAsia="宋体" w:cs="宋体"/>
                <w:spacing w:val="9"/>
                <w:sz w:val="17"/>
                <w:szCs w:val="17"/>
              </w:rPr>
              <w:t>大门口设置颗粒物在线监测系统</w:t>
            </w:r>
          </w:p>
        </w:tc>
        <w:tc>
          <w:tcPr>
            <w:tcW w:w="1168" w:type="dxa"/>
            <w:vAlign w:val="top"/>
          </w:tcPr>
          <w:p>
            <w:pPr>
              <w:spacing w:before="187" w:line="243" w:lineRule="exact"/>
              <w:ind w:left="55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79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568" w:type="dxa"/>
            <w:vMerge w:val="continue"/>
            <w:tcBorders>
              <w:top w:val="nil"/>
              <w:bottom w:val="nil"/>
            </w:tcBorders>
            <w:vAlign w:val="top"/>
          </w:tcPr>
          <w:p>
            <w:pPr>
              <w:rPr>
                <w:rFonts w:ascii="Arial"/>
                <w:sz w:val="21"/>
              </w:rPr>
            </w:pPr>
          </w:p>
        </w:tc>
        <w:tc>
          <w:tcPr>
            <w:tcW w:w="1041" w:type="dxa"/>
            <w:vMerge w:val="restart"/>
            <w:tcBorders>
              <w:bottom w:val="nil"/>
            </w:tcBorders>
            <w:vAlign w:val="top"/>
          </w:tcPr>
          <w:p>
            <w:pPr>
              <w:spacing w:line="312" w:lineRule="auto"/>
              <w:rPr>
                <w:rFonts w:ascii="Arial"/>
                <w:sz w:val="21"/>
              </w:rPr>
            </w:pPr>
          </w:p>
          <w:p>
            <w:pPr>
              <w:spacing w:line="313" w:lineRule="auto"/>
              <w:rPr>
                <w:rFonts w:ascii="Arial"/>
                <w:sz w:val="21"/>
              </w:rPr>
            </w:pPr>
          </w:p>
          <w:p>
            <w:pPr>
              <w:spacing w:before="55" w:line="281" w:lineRule="exact"/>
              <w:ind w:left="343"/>
              <w:rPr>
                <w:rFonts w:ascii="宋体" w:hAnsi="宋体" w:eastAsia="宋体" w:cs="宋体"/>
                <w:sz w:val="17"/>
                <w:szCs w:val="17"/>
              </w:rPr>
            </w:pPr>
            <w:r>
              <w:rPr>
                <w:rFonts w:ascii="宋体" w:hAnsi="宋体" w:eastAsia="宋体" w:cs="宋体"/>
                <w:spacing w:val="7"/>
                <w:position w:val="7"/>
                <w:sz w:val="17"/>
                <w:szCs w:val="17"/>
              </w:rPr>
              <w:t>废</w:t>
            </w:r>
            <w:r>
              <w:rPr>
                <w:rFonts w:ascii="宋体" w:hAnsi="宋体" w:eastAsia="宋体" w:cs="宋体"/>
                <w:spacing w:val="6"/>
                <w:position w:val="7"/>
                <w:sz w:val="17"/>
                <w:szCs w:val="17"/>
              </w:rPr>
              <w:t>水</w:t>
            </w:r>
          </w:p>
          <w:p>
            <w:pPr>
              <w:spacing w:line="235" w:lineRule="auto"/>
              <w:ind w:left="348"/>
              <w:rPr>
                <w:rFonts w:ascii="宋体" w:hAnsi="宋体" w:eastAsia="宋体" w:cs="宋体"/>
                <w:sz w:val="17"/>
                <w:szCs w:val="17"/>
              </w:rPr>
            </w:pPr>
            <w:r>
              <w:rPr>
                <w:rFonts w:ascii="宋体" w:hAnsi="宋体" w:eastAsia="宋体" w:cs="宋体"/>
                <w:spacing w:val="4"/>
                <w:sz w:val="17"/>
                <w:szCs w:val="17"/>
              </w:rPr>
              <w:t>治理</w:t>
            </w:r>
          </w:p>
        </w:tc>
        <w:tc>
          <w:tcPr>
            <w:tcW w:w="5543" w:type="dxa"/>
            <w:vAlign w:val="top"/>
          </w:tcPr>
          <w:p>
            <w:pPr>
              <w:spacing w:before="88" w:line="268" w:lineRule="auto"/>
              <w:ind w:left="27" w:right="18"/>
              <w:rPr>
                <w:rFonts w:ascii="宋体" w:hAnsi="宋体" w:eastAsia="宋体" w:cs="宋体"/>
                <w:sz w:val="17"/>
                <w:szCs w:val="17"/>
              </w:rPr>
            </w:pPr>
            <w:r>
              <w:rPr>
                <w:rFonts w:ascii="宋体" w:hAnsi="宋体" w:eastAsia="宋体" w:cs="宋体"/>
                <w:spacing w:val="12"/>
                <w:sz w:val="17"/>
                <w:szCs w:val="17"/>
              </w:rPr>
              <w:t>施</w:t>
            </w:r>
            <w:r>
              <w:rPr>
                <w:rFonts w:ascii="宋体" w:hAnsi="宋体" w:eastAsia="宋体" w:cs="宋体"/>
                <w:spacing w:val="7"/>
                <w:sz w:val="17"/>
                <w:szCs w:val="17"/>
              </w:rPr>
              <w:t>工作业场地设置临时排水沟，废水收集后回用于场地防尘等；桥梁两</w:t>
            </w:r>
            <w:r>
              <w:rPr>
                <w:rFonts w:ascii="宋体" w:hAnsi="宋体" w:eastAsia="宋体" w:cs="宋体"/>
                <w:sz w:val="17"/>
                <w:szCs w:val="17"/>
              </w:rPr>
              <w:t xml:space="preserve"> </w:t>
            </w:r>
            <w:r>
              <w:rPr>
                <w:rFonts w:ascii="宋体" w:hAnsi="宋体" w:eastAsia="宋体" w:cs="宋体"/>
                <w:spacing w:val="14"/>
                <w:sz w:val="17"/>
                <w:szCs w:val="17"/>
              </w:rPr>
              <w:t>岸施</w:t>
            </w:r>
            <w:r>
              <w:rPr>
                <w:rFonts w:ascii="宋体" w:hAnsi="宋体" w:eastAsia="宋体" w:cs="宋体"/>
                <w:spacing w:val="13"/>
                <w:sz w:val="17"/>
                <w:szCs w:val="17"/>
              </w:rPr>
              <w:t>工</w:t>
            </w:r>
            <w:r>
              <w:rPr>
                <w:rFonts w:ascii="宋体" w:hAnsi="宋体" w:eastAsia="宋体" w:cs="宋体"/>
                <w:spacing w:val="7"/>
                <w:sz w:val="17"/>
                <w:szCs w:val="17"/>
              </w:rPr>
              <w:t xml:space="preserve">场地分别设 </w:t>
            </w:r>
            <w:r>
              <w:rPr>
                <w:rFonts w:ascii="Times New Roman" w:hAnsi="Times New Roman" w:eastAsia="Times New Roman" w:cs="Times New Roman"/>
                <w:spacing w:val="7"/>
                <w:sz w:val="17"/>
                <w:szCs w:val="17"/>
              </w:rPr>
              <w:t xml:space="preserve">1 </w:t>
            </w:r>
            <w:r>
              <w:rPr>
                <w:rFonts w:ascii="宋体" w:hAnsi="宋体" w:eastAsia="宋体" w:cs="宋体"/>
                <w:spacing w:val="7"/>
                <w:sz w:val="17"/>
                <w:szCs w:val="17"/>
              </w:rPr>
              <w:t>个钻渣临时堆放点、钻孔泥浆废水沉淀池等</w:t>
            </w:r>
          </w:p>
        </w:tc>
        <w:tc>
          <w:tcPr>
            <w:tcW w:w="1168" w:type="dxa"/>
            <w:vAlign w:val="top"/>
          </w:tcPr>
          <w:p>
            <w:pPr>
              <w:spacing w:before="228" w:line="231" w:lineRule="auto"/>
              <w:ind w:left="230"/>
              <w:rPr>
                <w:rFonts w:ascii="宋体" w:hAnsi="宋体" w:eastAsia="宋体" w:cs="宋体"/>
                <w:sz w:val="17"/>
                <w:szCs w:val="17"/>
              </w:rPr>
            </w:pPr>
            <w:r>
              <w:rPr>
                <w:rFonts w:ascii="宋体" w:hAnsi="宋体" w:eastAsia="宋体" w:cs="宋体"/>
                <w:spacing w:val="8"/>
                <w:sz w:val="17"/>
                <w:szCs w:val="17"/>
              </w:rPr>
              <w:t>沉淀泥沙</w:t>
            </w:r>
          </w:p>
        </w:tc>
        <w:tc>
          <w:tcPr>
            <w:tcW w:w="79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568" w:type="dxa"/>
            <w:vMerge w:val="continue"/>
            <w:tcBorders>
              <w:top w:val="nil"/>
              <w:bottom w:val="nil"/>
            </w:tcBorders>
            <w:vAlign w:val="top"/>
          </w:tcPr>
          <w:p>
            <w:pPr>
              <w:rPr>
                <w:rFonts w:ascii="Arial"/>
                <w:sz w:val="21"/>
              </w:rPr>
            </w:pPr>
          </w:p>
        </w:tc>
        <w:tc>
          <w:tcPr>
            <w:tcW w:w="1041" w:type="dxa"/>
            <w:vMerge w:val="continue"/>
            <w:tcBorders>
              <w:top w:val="nil"/>
              <w:bottom w:val="nil"/>
            </w:tcBorders>
            <w:vAlign w:val="top"/>
          </w:tcPr>
          <w:p>
            <w:pPr>
              <w:rPr>
                <w:rFonts w:ascii="Arial"/>
                <w:sz w:val="21"/>
              </w:rPr>
            </w:pPr>
          </w:p>
        </w:tc>
        <w:tc>
          <w:tcPr>
            <w:tcW w:w="5543" w:type="dxa"/>
            <w:vAlign w:val="top"/>
          </w:tcPr>
          <w:p>
            <w:pPr>
              <w:spacing w:before="81" w:line="268" w:lineRule="auto"/>
              <w:ind w:left="28" w:right="21" w:hanging="1"/>
              <w:rPr>
                <w:rFonts w:ascii="宋体" w:hAnsi="宋体" w:eastAsia="宋体" w:cs="宋体"/>
                <w:sz w:val="17"/>
                <w:szCs w:val="17"/>
              </w:rPr>
            </w:pPr>
            <w:r>
              <w:rPr>
                <w:rFonts w:ascii="宋体" w:hAnsi="宋体" w:eastAsia="宋体" w:cs="宋体"/>
                <w:spacing w:val="6"/>
                <w:sz w:val="17"/>
                <w:szCs w:val="17"/>
              </w:rPr>
              <w:t>在车辆冲洗台旁建</w:t>
            </w:r>
            <w:r>
              <w:rPr>
                <w:rFonts w:ascii="宋体" w:hAnsi="宋体" w:eastAsia="宋体" w:cs="宋体"/>
                <w:spacing w:val="3"/>
                <w:sz w:val="17"/>
                <w:szCs w:val="17"/>
              </w:rPr>
              <w:t xml:space="preserve">设 </w:t>
            </w:r>
            <w:r>
              <w:rPr>
                <w:rFonts w:ascii="Times New Roman" w:hAnsi="Times New Roman" w:eastAsia="Times New Roman" w:cs="Times New Roman"/>
                <w:spacing w:val="3"/>
                <w:sz w:val="17"/>
                <w:szCs w:val="17"/>
              </w:rPr>
              <w:t xml:space="preserve">1 </w:t>
            </w:r>
            <w:r>
              <w:rPr>
                <w:rFonts w:ascii="宋体" w:hAnsi="宋体" w:eastAsia="宋体" w:cs="宋体"/>
                <w:spacing w:val="3"/>
                <w:sz w:val="17"/>
                <w:szCs w:val="17"/>
              </w:rPr>
              <w:t xml:space="preserve">个沉淀池，容积为 </w:t>
            </w:r>
            <w:r>
              <w:rPr>
                <w:rFonts w:ascii="Times New Roman" w:hAnsi="Times New Roman" w:eastAsia="Times New Roman" w:cs="Times New Roman"/>
                <w:spacing w:val="3"/>
                <w:sz w:val="17"/>
                <w:szCs w:val="17"/>
              </w:rPr>
              <w:t>10</w:t>
            </w:r>
            <w:r>
              <w:rPr>
                <w:rFonts w:ascii="Times New Roman" w:hAnsi="Times New Roman" w:eastAsia="Times New Roman" w:cs="Times New Roman"/>
                <w:sz w:val="17"/>
                <w:szCs w:val="17"/>
              </w:rPr>
              <w:t>m</w:t>
            </w:r>
            <w:r>
              <w:rPr>
                <w:rFonts w:ascii="宋体" w:hAnsi="宋体" w:eastAsia="宋体" w:cs="宋体"/>
                <w:spacing w:val="3"/>
                <w:sz w:val="17"/>
                <w:szCs w:val="17"/>
              </w:rPr>
              <w:t>³ ，冲洗废水沉淀后循环</w:t>
            </w:r>
            <w:r>
              <w:rPr>
                <w:rFonts w:ascii="宋体" w:hAnsi="宋体" w:eastAsia="宋体" w:cs="宋体"/>
                <w:sz w:val="17"/>
                <w:szCs w:val="17"/>
              </w:rPr>
              <w:t xml:space="preserve"> </w:t>
            </w:r>
            <w:r>
              <w:rPr>
                <w:rFonts w:ascii="宋体" w:hAnsi="宋体" w:eastAsia="宋体" w:cs="宋体"/>
                <w:spacing w:val="6"/>
                <w:sz w:val="17"/>
                <w:szCs w:val="17"/>
              </w:rPr>
              <w:t>利用</w:t>
            </w:r>
          </w:p>
        </w:tc>
        <w:tc>
          <w:tcPr>
            <w:tcW w:w="1168" w:type="dxa"/>
            <w:vAlign w:val="top"/>
          </w:tcPr>
          <w:p>
            <w:pPr>
              <w:spacing w:before="222" w:line="231" w:lineRule="auto"/>
              <w:ind w:left="230"/>
              <w:rPr>
                <w:rFonts w:ascii="宋体" w:hAnsi="宋体" w:eastAsia="宋体" w:cs="宋体"/>
                <w:sz w:val="17"/>
                <w:szCs w:val="17"/>
              </w:rPr>
            </w:pPr>
            <w:r>
              <w:rPr>
                <w:rFonts w:ascii="宋体" w:hAnsi="宋体" w:eastAsia="宋体" w:cs="宋体"/>
                <w:spacing w:val="8"/>
                <w:sz w:val="17"/>
                <w:szCs w:val="17"/>
              </w:rPr>
              <w:t>沉淀泥沙</w:t>
            </w:r>
          </w:p>
        </w:tc>
        <w:tc>
          <w:tcPr>
            <w:tcW w:w="79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568" w:type="dxa"/>
            <w:vMerge w:val="continue"/>
            <w:tcBorders>
              <w:top w:val="nil"/>
              <w:bottom w:val="nil"/>
            </w:tcBorders>
            <w:vAlign w:val="top"/>
          </w:tcPr>
          <w:p>
            <w:pPr>
              <w:rPr>
                <w:rFonts w:ascii="Arial"/>
                <w:sz w:val="21"/>
              </w:rPr>
            </w:pPr>
          </w:p>
        </w:tc>
        <w:tc>
          <w:tcPr>
            <w:tcW w:w="1041" w:type="dxa"/>
            <w:vMerge w:val="continue"/>
            <w:tcBorders>
              <w:top w:val="nil"/>
              <w:bottom w:val="nil"/>
            </w:tcBorders>
            <w:vAlign w:val="top"/>
          </w:tcPr>
          <w:p>
            <w:pPr>
              <w:rPr>
                <w:rFonts w:ascii="Arial"/>
                <w:sz w:val="21"/>
              </w:rPr>
            </w:pPr>
          </w:p>
        </w:tc>
        <w:tc>
          <w:tcPr>
            <w:tcW w:w="5543" w:type="dxa"/>
            <w:vAlign w:val="top"/>
          </w:tcPr>
          <w:p>
            <w:pPr>
              <w:spacing w:before="79" w:line="230" w:lineRule="auto"/>
              <w:ind w:left="29"/>
              <w:rPr>
                <w:rFonts w:ascii="宋体" w:hAnsi="宋体" w:eastAsia="宋体" w:cs="宋体"/>
                <w:sz w:val="17"/>
                <w:szCs w:val="17"/>
              </w:rPr>
            </w:pPr>
            <w:r>
              <w:rPr>
                <w:rFonts w:ascii="宋体" w:hAnsi="宋体" w:eastAsia="宋体" w:cs="宋体"/>
                <w:spacing w:val="18"/>
                <w:sz w:val="17"/>
                <w:szCs w:val="17"/>
              </w:rPr>
              <w:t>混</w:t>
            </w:r>
            <w:r>
              <w:rPr>
                <w:rFonts w:ascii="宋体" w:hAnsi="宋体" w:eastAsia="宋体" w:cs="宋体"/>
                <w:spacing w:val="11"/>
                <w:sz w:val="17"/>
                <w:szCs w:val="17"/>
              </w:rPr>
              <w:t>凝</w:t>
            </w:r>
            <w:r>
              <w:rPr>
                <w:rFonts w:ascii="宋体" w:hAnsi="宋体" w:eastAsia="宋体" w:cs="宋体"/>
                <w:spacing w:val="9"/>
                <w:sz w:val="17"/>
                <w:szCs w:val="17"/>
              </w:rPr>
              <w:t>土养护废水通过自然蒸发损失，不产生废水</w:t>
            </w:r>
          </w:p>
        </w:tc>
        <w:tc>
          <w:tcPr>
            <w:tcW w:w="1168" w:type="dxa"/>
            <w:vAlign w:val="top"/>
          </w:tcPr>
          <w:p>
            <w:pPr>
              <w:spacing w:before="46" w:line="243" w:lineRule="exact"/>
              <w:ind w:left="55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79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568" w:type="dxa"/>
            <w:vMerge w:val="continue"/>
            <w:tcBorders>
              <w:top w:val="nil"/>
              <w:bottom w:val="nil"/>
            </w:tcBorders>
            <w:vAlign w:val="top"/>
          </w:tcPr>
          <w:p>
            <w:pPr>
              <w:rPr>
                <w:rFonts w:ascii="Arial"/>
                <w:sz w:val="21"/>
              </w:rPr>
            </w:pPr>
          </w:p>
        </w:tc>
        <w:tc>
          <w:tcPr>
            <w:tcW w:w="1041" w:type="dxa"/>
            <w:vMerge w:val="continue"/>
            <w:tcBorders>
              <w:top w:val="nil"/>
            </w:tcBorders>
            <w:vAlign w:val="top"/>
          </w:tcPr>
          <w:p>
            <w:pPr>
              <w:rPr>
                <w:rFonts w:ascii="Arial"/>
                <w:sz w:val="21"/>
              </w:rPr>
            </w:pPr>
          </w:p>
        </w:tc>
        <w:tc>
          <w:tcPr>
            <w:tcW w:w="5543" w:type="dxa"/>
            <w:vAlign w:val="top"/>
          </w:tcPr>
          <w:p>
            <w:pPr>
              <w:spacing w:before="78" w:line="231" w:lineRule="auto"/>
              <w:ind w:left="27"/>
              <w:rPr>
                <w:rFonts w:ascii="宋体" w:hAnsi="宋体" w:eastAsia="宋体" w:cs="宋体"/>
                <w:sz w:val="17"/>
                <w:szCs w:val="17"/>
              </w:rPr>
            </w:pPr>
            <w:r>
              <w:rPr>
                <w:rFonts w:ascii="宋体" w:hAnsi="宋体" w:eastAsia="宋体" w:cs="宋体"/>
                <w:spacing w:val="9"/>
                <w:sz w:val="17"/>
                <w:szCs w:val="17"/>
              </w:rPr>
              <w:t>施工营地 (场地) 设置移动式旱厕，定期委托环卫清</w:t>
            </w:r>
            <w:r>
              <w:rPr>
                <w:rFonts w:ascii="宋体" w:hAnsi="宋体" w:eastAsia="宋体" w:cs="宋体"/>
                <w:spacing w:val="8"/>
                <w:sz w:val="17"/>
                <w:szCs w:val="17"/>
              </w:rPr>
              <w:t>运</w:t>
            </w:r>
          </w:p>
        </w:tc>
        <w:tc>
          <w:tcPr>
            <w:tcW w:w="1168" w:type="dxa"/>
            <w:vAlign w:val="top"/>
          </w:tcPr>
          <w:p>
            <w:pPr>
              <w:spacing w:before="78" w:line="230" w:lineRule="auto"/>
              <w:ind w:left="411"/>
              <w:rPr>
                <w:rFonts w:ascii="宋体" w:hAnsi="宋体" w:eastAsia="宋体" w:cs="宋体"/>
                <w:sz w:val="17"/>
                <w:szCs w:val="17"/>
              </w:rPr>
            </w:pPr>
            <w:r>
              <w:rPr>
                <w:rFonts w:ascii="宋体" w:hAnsi="宋体" w:eastAsia="宋体" w:cs="宋体"/>
                <w:spacing w:val="6"/>
                <w:sz w:val="17"/>
                <w:szCs w:val="17"/>
              </w:rPr>
              <w:t>恶臭</w:t>
            </w:r>
          </w:p>
        </w:tc>
        <w:tc>
          <w:tcPr>
            <w:tcW w:w="79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568" w:type="dxa"/>
            <w:vMerge w:val="continue"/>
            <w:tcBorders>
              <w:top w:val="nil"/>
              <w:bottom w:val="nil"/>
            </w:tcBorders>
            <w:vAlign w:val="top"/>
          </w:tcPr>
          <w:p>
            <w:pPr>
              <w:rPr>
                <w:rFonts w:ascii="Arial"/>
                <w:sz w:val="21"/>
              </w:rPr>
            </w:pPr>
          </w:p>
        </w:tc>
        <w:tc>
          <w:tcPr>
            <w:tcW w:w="1041" w:type="dxa"/>
            <w:vMerge w:val="restart"/>
            <w:tcBorders>
              <w:bottom w:val="nil"/>
            </w:tcBorders>
            <w:vAlign w:val="top"/>
          </w:tcPr>
          <w:p>
            <w:pPr>
              <w:spacing w:line="319" w:lineRule="auto"/>
              <w:rPr>
                <w:rFonts w:ascii="Arial"/>
                <w:sz w:val="21"/>
              </w:rPr>
            </w:pPr>
          </w:p>
          <w:p>
            <w:pPr>
              <w:spacing w:before="55" w:line="279" w:lineRule="exact"/>
              <w:ind w:left="352"/>
              <w:rPr>
                <w:rFonts w:ascii="宋体" w:hAnsi="宋体" w:eastAsia="宋体" w:cs="宋体"/>
                <w:sz w:val="17"/>
                <w:szCs w:val="17"/>
              </w:rPr>
            </w:pPr>
            <w:r>
              <w:rPr>
                <w:rFonts w:ascii="宋体" w:hAnsi="宋体" w:eastAsia="宋体" w:cs="宋体"/>
                <w:spacing w:val="2"/>
                <w:position w:val="7"/>
                <w:sz w:val="17"/>
                <w:szCs w:val="17"/>
              </w:rPr>
              <w:t>噪声</w:t>
            </w:r>
          </w:p>
          <w:p>
            <w:pPr>
              <w:spacing w:line="235" w:lineRule="auto"/>
              <w:ind w:left="348"/>
              <w:rPr>
                <w:rFonts w:ascii="宋体" w:hAnsi="宋体" w:eastAsia="宋体" w:cs="宋体"/>
                <w:sz w:val="17"/>
                <w:szCs w:val="17"/>
              </w:rPr>
            </w:pPr>
            <w:r>
              <w:rPr>
                <w:rFonts w:ascii="宋体" w:hAnsi="宋体" w:eastAsia="宋体" w:cs="宋体"/>
                <w:spacing w:val="4"/>
                <w:sz w:val="17"/>
                <w:szCs w:val="17"/>
              </w:rPr>
              <w:t>治理</w:t>
            </w:r>
          </w:p>
        </w:tc>
        <w:tc>
          <w:tcPr>
            <w:tcW w:w="5543" w:type="dxa"/>
            <w:vAlign w:val="top"/>
          </w:tcPr>
          <w:p>
            <w:pPr>
              <w:spacing w:before="81" w:line="268" w:lineRule="auto"/>
              <w:ind w:left="30" w:right="21" w:hanging="3"/>
              <w:rPr>
                <w:rFonts w:ascii="宋体" w:hAnsi="宋体" w:eastAsia="宋体" w:cs="宋体"/>
                <w:sz w:val="17"/>
                <w:szCs w:val="17"/>
              </w:rPr>
            </w:pPr>
            <w:r>
              <w:rPr>
                <w:rFonts w:ascii="宋体" w:hAnsi="宋体" w:eastAsia="宋体" w:cs="宋体"/>
                <w:spacing w:val="9"/>
                <w:sz w:val="17"/>
                <w:szCs w:val="17"/>
              </w:rPr>
              <w:t>施</w:t>
            </w:r>
            <w:r>
              <w:rPr>
                <w:rFonts w:ascii="宋体" w:hAnsi="宋体" w:eastAsia="宋体" w:cs="宋体"/>
                <w:spacing w:val="7"/>
                <w:sz w:val="17"/>
                <w:szCs w:val="17"/>
              </w:rPr>
              <w:t>工选用低噪声设备，加强设备保养，规范操作；施工场地进出大门口</w:t>
            </w:r>
            <w:r>
              <w:rPr>
                <w:rFonts w:ascii="宋体" w:hAnsi="宋体" w:eastAsia="宋体" w:cs="宋体"/>
                <w:sz w:val="17"/>
                <w:szCs w:val="17"/>
              </w:rPr>
              <w:t xml:space="preserve"> </w:t>
            </w:r>
            <w:r>
              <w:rPr>
                <w:rFonts w:ascii="宋体" w:hAnsi="宋体" w:eastAsia="宋体" w:cs="宋体"/>
                <w:spacing w:val="9"/>
                <w:sz w:val="17"/>
                <w:szCs w:val="17"/>
              </w:rPr>
              <w:t>设置噪声在线监测系统</w:t>
            </w:r>
          </w:p>
        </w:tc>
        <w:tc>
          <w:tcPr>
            <w:tcW w:w="1168" w:type="dxa"/>
            <w:vAlign w:val="top"/>
          </w:tcPr>
          <w:p>
            <w:pPr>
              <w:rPr>
                <w:rFonts w:ascii="Arial"/>
                <w:sz w:val="21"/>
              </w:rPr>
            </w:pPr>
          </w:p>
        </w:tc>
        <w:tc>
          <w:tcPr>
            <w:tcW w:w="79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568" w:type="dxa"/>
            <w:vMerge w:val="continue"/>
            <w:tcBorders>
              <w:top w:val="nil"/>
              <w:bottom w:val="nil"/>
            </w:tcBorders>
            <w:vAlign w:val="top"/>
          </w:tcPr>
          <w:p>
            <w:pPr>
              <w:rPr>
                <w:rFonts w:ascii="Arial"/>
                <w:sz w:val="21"/>
              </w:rPr>
            </w:pPr>
          </w:p>
        </w:tc>
        <w:tc>
          <w:tcPr>
            <w:tcW w:w="1041" w:type="dxa"/>
            <w:vMerge w:val="continue"/>
            <w:tcBorders>
              <w:top w:val="nil"/>
            </w:tcBorders>
            <w:vAlign w:val="top"/>
          </w:tcPr>
          <w:p>
            <w:pPr>
              <w:rPr>
                <w:rFonts w:ascii="Arial"/>
                <w:sz w:val="21"/>
              </w:rPr>
            </w:pPr>
          </w:p>
        </w:tc>
        <w:tc>
          <w:tcPr>
            <w:tcW w:w="5543" w:type="dxa"/>
            <w:vAlign w:val="top"/>
          </w:tcPr>
          <w:p>
            <w:pPr>
              <w:spacing w:before="81" w:line="268" w:lineRule="auto"/>
              <w:ind w:left="29" w:right="18" w:firstLine="4"/>
              <w:rPr>
                <w:rFonts w:ascii="宋体" w:hAnsi="宋体" w:eastAsia="宋体" w:cs="宋体"/>
                <w:sz w:val="17"/>
                <w:szCs w:val="17"/>
              </w:rPr>
            </w:pPr>
            <w:r>
              <w:rPr>
                <w:rFonts w:ascii="宋体" w:hAnsi="宋体" w:eastAsia="宋体" w:cs="宋体"/>
                <w:spacing w:val="7"/>
                <w:sz w:val="17"/>
                <w:szCs w:val="17"/>
              </w:rPr>
              <w:t>营运期跟踪监测、根据跟踪监测结果合理设置隔声屏；设置限速禁鸣</w:t>
            </w:r>
            <w:r>
              <w:rPr>
                <w:rFonts w:ascii="宋体" w:hAnsi="宋体" w:eastAsia="宋体" w:cs="宋体"/>
                <w:spacing w:val="5"/>
                <w:sz w:val="17"/>
                <w:szCs w:val="17"/>
              </w:rPr>
              <w:t>标</w:t>
            </w:r>
            <w:r>
              <w:rPr>
                <w:rFonts w:ascii="宋体" w:hAnsi="宋体" w:eastAsia="宋体" w:cs="宋体"/>
                <w:sz w:val="17"/>
                <w:szCs w:val="17"/>
              </w:rPr>
              <w:t xml:space="preserve"> </w:t>
            </w:r>
            <w:r>
              <w:rPr>
                <w:rFonts w:ascii="宋体" w:hAnsi="宋体" w:eastAsia="宋体" w:cs="宋体"/>
                <w:spacing w:val="6"/>
                <w:sz w:val="17"/>
                <w:szCs w:val="17"/>
              </w:rPr>
              <w:t>识</w:t>
            </w:r>
            <w:r>
              <w:rPr>
                <w:rFonts w:ascii="宋体" w:hAnsi="宋体" w:eastAsia="宋体" w:cs="宋体"/>
                <w:spacing w:val="5"/>
                <w:sz w:val="17"/>
                <w:szCs w:val="17"/>
              </w:rPr>
              <w:t>等</w:t>
            </w:r>
          </w:p>
        </w:tc>
        <w:tc>
          <w:tcPr>
            <w:tcW w:w="1168" w:type="dxa"/>
            <w:vAlign w:val="top"/>
          </w:tcPr>
          <w:p>
            <w:pPr>
              <w:spacing w:before="189" w:line="242" w:lineRule="exact"/>
              <w:ind w:left="55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79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568" w:type="dxa"/>
            <w:vMerge w:val="continue"/>
            <w:tcBorders>
              <w:top w:val="nil"/>
              <w:bottom w:val="nil"/>
            </w:tcBorders>
            <w:vAlign w:val="top"/>
          </w:tcPr>
          <w:p>
            <w:pPr>
              <w:rPr>
                <w:rFonts w:ascii="Arial"/>
                <w:sz w:val="21"/>
              </w:rPr>
            </w:pPr>
          </w:p>
        </w:tc>
        <w:tc>
          <w:tcPr>
            <w:tcW w:w="1041" w:type="dxa"/>
            <w:vMerge w:val="restart"/>
            <w:tcBorders>
              <w:bottom w:val="nil"/>
            </w:tcBorders>
            <w:vAlign w:val="top"/>
          </w:tcPr>
          <w:p>
            <w:pPr>
              <w:spacing w:line="479" w:lineRule="auto"/>
              <w:rPr>
                <w:rFonts w:ascii="Arial"/>
                <w:sz w:val="21"/>
              </w:rPr>
            </w:pPr>
          </w:p>
          <w:p>
            <w:pPr>
              <w:spacing w:before="56" w:line="281" w:lineRule="exact"/>
              <w:ind w:left="359"/>
              <w:rPr>
                <w:rFonts w:ascii="宋体" w:hAnsi="宋体" w:eastAsia="宋体" w:cs="宋体"/>
                <w:sz w:val="17"/>
                <w:szCs w:val="17"/>
              </w:rPr>
            </w:pPr>
            <w:r>
              <w:rPr>
                <w:rFonts w:ascii="宋体" w:hAnsi="宋体" w:eastAsia="宋体" w:cs="宋体"/>
                <w:spacing w:val="-2"/>
                <w:position w:val="7"/>
                <w:sz w:val="17"/>
                <w:szCs w:val="17"/>
              </w:rPr>
              <w:t>固</w:t>
            </w:r>
            <w:r>
              <w:rPr>
                <w:rFonts w:ascii="宋体" w:hAnsi="宋体" w:eastAsia="宋体" w:cs="宋体"/>
                <w:spacing w:val="-1"/>
                <w:position w:val="7"/>
                <w:sz w:val="17"/>
                <w:szCs w:val="17"/>
              </w:rPr>
              <w:t>废</w:t>
            </w:r>
          </w:p>
          <w:p>
            <w:pPr>
              <w:spacing w:line="234" w:lineRule="auto"/>
              <w:ind w:left="347"/>
              <w:rPr>
                <w:rFonts w:ascii="宋体" w:hAnsi="宋体" w:eastAsia="宋体" w:cs="宋体"/>
                <w:sz w:val="17"/>
                <w:szCs w:val="17"/>
              </w:rPr>
            </w:pPr>
            <w:r>
              <w:rPr>
                <w:rFonts w:ascii="宋体" w:hAnsi="宋体" w:eastAsia="宋体" w:cs="宋体"/>
                <w:spacing w:val="5"/>
                <w:sz w:val="17"/>
                <w:szCs w:val="17"/>
              </w:rPr>
              <w:t>处</w:t>
            </w:r>
            <w:r>
              <w:rPr>
                <w:rFonts w:ascii="宋体" w:hAnsi="宋体" w:eastAsia="宋体" w:cs="宋体"/>
                <w:spacing w:val="4"/>
                <w:sz w:val="17"/>
                <w:szCs w:val="17"/>
              </w:rPr>
              <w:t>置</w:t>
            </w:r>
          </w:p>
        </w:tc>
        <w:tc>
          <w:tcPr>
            <w:tcW w:w="5543" w:type="dxa"/>
            <w:vAlign w:val="top"/>
          </w:tcPr>
          <w:p>
            <w:pPr>
              <w:spacing w:before="81" w:line="268" w:lineRule="auto"/>
              <w:ind w:left="26" w:right="18" w:firstLine="2"/>
              <w:rPr>
                <w:rFonts w:ascii="宋体" w:hAnsi="宋体" w:eastAsia="宋体" w:cs="宋体"/>
                <w:sz w:val="17"/>
                <w:szCs w:val="17"/>
              </w:rPr>
            </w:pPr>
            <w:r>
              <w:rPr>
                <w:rFonts w:ascii="宋体" w:hAnsi="宋体" w:eastAsia="宋体" w:cs="宋体"/>
                <w:spacing w:val="10"/>
                <w:sz w:val="17"/>
                <w:szCs w:val="17"/>
              </w:rPr>
              <w:t>开</w:t>
            </w:r>
            <w:r>
              <w:rPr>
                <w:rFonts w:ascii="宋体" w:hAnsi="宋体" w:eastAsia="宋体" w:cs="宋体"/>
                <w:spacing w:val="7"/>
                <w:sz w:val="17"/>
                <w:szCs w:val="17"/>
              </w:rPr>
              <w:t>挖的土石方集中堆放，用于桥台台背回填和后期植被恢复，不另行设</w:t>
            </w:r>
            <w:r>
              <w:rPr>
                <w:rFonts w:ascii="宋体" w:hAnsi="宋体" w:eastAsia="宋体" w:cs="宋体"/>
                <w:sz w:val="17"/>
                <w:szCs w:val="17"/>
              </w:rPr>
              <w:t xml:space="preserve"> </w:t>
            </w:r>
            <w:r>
              <w:rPr>
                <w:rFonts w:ascii="宋体" w:hAnsi="宋体" w:eastAsia="宋体" w:cs="宋体"/>
                <w:spacing w:val="10"/>
                <w:sz w:val="17"/>
                <w:szCs w:val="17"/>
              </w:rPr>
              <w:t>置</w:t>
            </w:r>
            <w:r>
              <w:rPr>
                <w:rFonts w:ascii="宋体" w:hAnsi="宋体" w:eastAsia="宋体" w:cs="宋体"/>
                <w:spacing w:val="8"/>
                <w:sz w:val="17"/>
                <w:szCs w:val="17"/>
              </w:rPr>
              <w:t>弃土场</w:t>
            </w:r>
          </w:p>
        </w:tc>
        <w:tc>
          <w:tcPr>
            <w:tcW w:w="1168" w:type="dxa"/>
            <w:vAlign w:val="top"/>
          </w:tcPr>
          <w:p>
            <w:pPr>
              <w:spacing w:before="82" w:line="268" w:lineRule="auto"/>
              <w:ind w:left="502" w:right="39" w:hanging="452"/>
              <w:rPr>
                <w:rFonts w:ascii="宋体" w:hAnsi="宋体" w:eastAsia="宋体" w:cs="宋体"/>
                <w:sz w:val="17"/>
                <w:szCs w:val="17"/>
              </w:rPr>
            </w:pPr>
            <w:r>
              <w:rPr>
                <w:rFonts w:ascii="宋体" w:hAnsi="宋体" w:eastAsia="宋体" w:cs="宋体"/>
                <w:spacing w:val="9"/>
                <w:sz w:val="17"/>
                <w:szCs w:val="17"/>
              </w:rPr>
              <w:t>运输扬尘、</w:t>
            </w:r>
            <w:r>
              <w:rPr>
                <w:rFonts w:ascii="宋体" w:hAnsi="宋体" w:eastAsia="宋体" w:cs="宋体"/>
                <w:spacing w:val="7"/>
                <w:sz w:val="17"/>
                <w:szCs w:val="17"/>
              </w:rPr>
              <w:t>噪</w:t>
            </w:r>
            <w:r>
              <w:rPr>
                <w:rFonts w:ascii="宋体" w:hAnsi="宋体" w:eastAsia="宋体" w:cs="宋体"/>
                <w:sz w:val="17"/>
                <w:szCs w:val="17"/>
              </w:rPr>
              <w:t xml:space="preserve"> 声</w:t>
            </w:r>
          </w:p>
        </w:tc>
        <w:tc>
          <w:tcPr>
            <w:tcW w:w="79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568" w:type="dxa"/>
            <w:vMerge w:val="continue"/>
            <w:tcBorders>
              <w:top w:val="nil"/>
              <w:bottom w:val="nil"/>
            </w:tcBorders>
            <w:vAlign w:val="top"/>
          </w:tcPr>
          <w:p>
            <w:pPr>
              <w:rPr>
                <w:rFonts w:ascii="Arial"/>
                <w:sz w:val="21"/>
              </w:rPr>
            </w:pPr>
          </w:p>
        </w:tc>
        <w:tc>
          <w:tcPr>
            <w:tcW w:w="1041" w:type="dxa"/>
            <w:vMerge w:val="continue"/>
            <w:tcBorders>
              <w:top w:val="nil"/>
              <w:bottom w:val="nil"/>
            </w:tcBorders>
            <w:vAlign w:val="top"/>
          </w:tcPr>
          <w:p>
            <w:pPr>
              <w:rPr>
                <w:rFonts w:ascii="Arial"/>
                <w:sz w:val="21"/>
              </w:rPr>
            </w:pPr>
          </w:p>
        </w:tc>
        <w:tc>
          <w:tcPr>
            <w:tcW w:w="5543" w:type="dxa"/>
            <w:vAlign w:val="top"/>
          </w:tcPr>
          <w:p>
            <w:pPr>
              <w:spacing w:before="80" w:line="230" w:lineRule="auto"/>
              <w:ind w:left="27"/>
              <w:rPr>
                <w:rFonts w:ascii="宋体" w:hAnsi="宋体" w:eastAsia="宋体" w:cs="宋体"/>
                <w:sz w:val="17"/>
                <w:szCs w:val="17"/>
              </w:rPr>
            </w:pPr>
            <w:r>
              <w:rPr>
                <w:rFonts w:ascii="宋体" w:hAnsi="宋体" w:eastAsia="宋体" w:cs="宋体"/>
                <w:spacing w:val="14"/>
                <w:sz w:val="17"/>
                <w:szCs w:val="17"/>
              </w:rPr>
              <w:t>废</w:t>
            </w:r>
            <w:r>
              <w:rPr>
                <w:rFonts w:ascii="宋体" w:hAnsi="宋体" w:eastAsia="宋体" w:cs="宋体"/>
                <w:spacing w:val="9"/>
                <w:sz w:val="17"/>
                <w:szCs w:val="17"/>
              </w:rPr>
              <w:t>焊条、钢筋等收集后外卖</w:t>
            </w:r>
          </w:p>
        </w:tc>
        <w:tc>
          <w:tcPr>
            <w:tcW w:w="1168" w:type="dxa"/>
            <w:vAlign w:val="top"/>
          </w:tcPr>
          <w:p>
            <w:pPr>
              <w:spacing w:before="48" w:line="242" w:lineRule="exact"/>
              <w:ind w:left="55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79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568" w:type="dxa"/>
            <w:vMerge w:val="continue"/>
            <w:tcBorders>
              <w:top w:val="nil"/>
              <w:bottom w:val="nil"/>
            </w:tcBorders>
            <w:vAlign w:val="top"/>
          </w:tcPr>
          <w:p>
            <w:pPr>
              <w:rPr>
                <w:rFonts w:ascii="Arial"/>
                <w:sz w:val="21"/>
              </w:rPr>
            </w:pPr>
          </w:p>
        </w:tc>
        <w:tc>
          <w:tcPr>
            <w:tcW w:w="1041" w:type="dxa"/>
            <w:vMerge w:val="continue"/>
            <w:tcBorders>
              <w:top w:val="nil"/>
              <w:bottom w:val="nil"/>
            </w:tcBorders>
            <w:vAlign w:val="top"/>
          </w:tcPr>
          <w:p>
            <w:pPr>
              <w:rPr>
                <w:rFonts w:ascii="Arial"/>
                <w:sz w:val="21"/>
              </w:rPr>
            </w:pPr>
          </w:p>
        </w:tc>
        <w:tc>
          <w:tcPr>
            <w:tcW w:w="5543" w:type="dxa"/>
            <w:vAlign w:val="top"/>
          </w:tcPr>
          <w:p>
            <w:pPr>
              <w:spacing w:before="80" w:line="233" w:lineRule="auto"/>
              <w:ind w:left="27"/>
              <w:rPr>
                <w:rFonts w:ascii="宋体" w:hAnsi="宋体" w:eastAsia="宋体" w:cs="宋体"/>
                <w:sz w:val="17"/>
                <w:szCs w:val="17"/>
              </w:rPr>
            </w:pPr>
            <w:r>
              <w:rPr>
                <w:rFonts w:ascii="宋体" w:hAnsi="宋体" w:eastAsia="宋体" w:cs="宋体"/>
                <w:spacing w:val="18"/>
                <w:sz w:val="17"/>
                <w:szCs w:val="17"/>
              </w:rPr>
              <w:t>钻</w:t>
            </w:r>
            <w:r>
              <w:rPr>
                <w:rFonts w:ascii="宋体" w:hAnsi="宋体" w:eastAsia="宋体" w:cs="宋体"/>
                <w:spacing w:val="11"/>
                <w:sz w:val="17"/>
                <w:szCs w:val="17"/>
              </w:rPr>
              <w:t>渣</w:t>
            </w:r>
            <w:r>
              <w:rPr>
                <w:rFonts w:ascii="宋体" w:hAnsi="宋体" w:eastAsia="宋体" w:cs="宋体"/>
                <w:spacing w:val="9"/>
                <w:sz w:val="17"/>
                <w:szCs w:val="17"/>
              </w:rPr>
              <w:t>、泥浆干化后及时外运指定弃渣场处置</w:t>
            </w:r>
          </w:p>
        </w:tc>
        <w:tc>
          <w:tcPr>
            <w:tcW w:w="1168" w:type="dxa"/>
            <w:vAlign w:val="top"/>
          </w:tcPr>
          <w:p>
            <w:pPr>
              <w:spacing w:before="47" w:line="242" w:lineRule="exact"/>
              <w:ind w:left="55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79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568" w:type="dxa"/>
            <w:vMerge w:val="continue"/>
            <w:tcBorders>
              <w:top w:val="nil"/>
              <w:bottom w:val="nil"/>
            </w:tcBorders>
            <w:vAlign w:val="top"/>
          </w:tcPr>
          <w:p>
            <w:pPr>
              <w:rPr>
                <w:rFonts w:ascii="Arial"/>
                <w:sz w:val="21"/>
              </w:rPr>
            </w:pPr>
          </w:p>
        </w:tc>
        <w:tc>
          <w:tcPr>
            <w:tcW w:w="1041" w:type="dxa"/>
            <w:vMerge w:val="continue"/>
            <w:tcBorders>
              <w:top w:val="nil"/>
            </w:tcBorders>
            <w:vAlign w:val="top"/>
          </w:tcPr>
          <w:p>
            <w:pPr>
              <w:rPr>
                <w:rFonts w:ascii="Arial"/>
                <w:sz w:val="21"/>
              </w:rPr>
            </w:pPr>
          </w:p>
        </w:tc>
        <w:tc>
          <w:tcPr>
            <w:tcW w:w="5543" w:type="dxa"/>
            <w:vAlign w:val="top"/>
          </w:tcPr>
          <w:p>
            <w:pPr>
              <w:spacing w:before="82" w:line="230" w:lineRule="auto"/>
              <w:ind w:left="33"/>
              <w:rPr>
                <w:rFonts w:ascii="宋体" w:hAnsi="宋体" w:eastAsia="宋体" w:cs="宋体"/>
                <w:sz w:val="17"/>
                <w:szCs w:val="17"/>
              </w:rPr>
            </w:pPr>
            <w:r>
              <w:rPr>
                <w:rFonts w:ascii="宋体" w:hAnsi="宋体" w:eastAsia="宋体" w:cs="宋体"/>
                <w:spacing w:val="10"/>
                <w:sz w:val="17"/>
                <w:szCs w:val="17"/>
              </w:rPr>
              <w:t>营</w:t>
            </w:r>
            <w:r>
              <w:rPr>
                <w:rFonts w:ascii="宋体" w:hAnsi="宋体" w:eastAsia="宋体" w:cs="宋体"/>
                <w:spacing w:val="7"/>
                <w:sz w:val="17"/>
                <w:szCs w:val="17"/>
              </w:rPr>
              <w:t>运</w:t>
            </w:r>
            <w:r>
              <w:rPr>
                <w:rFonts w:ascii="宋体" w:hAnsi="宋体" w:eastAsia="宋体" w:cs="宋体"/>
                <w:spacing w:val="5"/>
                <w:sz w:val="17"/>
                <w:szCs w:val="17"/>
              </w:rPr>
              <w:t>期桥梁两侧设置垃圾桶收集， 由环卫清运处理</w:t>
            </w:r>
          </w:p>
        </w:tc>
        <w:tc>
          <w:tcPr>
            <w:tcW w:w="1168" w:type="dxa"/>
            <w:vAlign w:val="top"/>
          </w:tcPr>
          <w:p>
            <w:pPr>
              <w:spacing w:before="47" w:line="242" w:lineRule="exact"/>
              <w:ind w:left="55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79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8" w:hRule="atLeast"/>
        </w:trPr>
        <w:tc>
          <w:tcPr>
            <w:tcW w:w="568" w:type="dxa"/>
            <w:vMerge w:val="continue"/>
            <w:tcBorders>
              <w:top w:val="nil"/>
              <w:bottom w:val="nil"/>
            </w:tcBorders>
            <w:vAlign w:val="top"/>
          </w:tcPr>
          <w:p>
            <w:pPr>
              <w:rPr>
                <w:rFonts w:ascii="Arial"/>
                <w:sz w:val="21"/>
              </w:rPr>
            </w:pPr>
          </w:p>
        </w:tc>
        <w:tc>
          <w:tcPr>
            <w:tcW w:w="1041" w:type="dxa"/>
            <w:vAlign w:val="top"/>
          </w:tcPr>
          <w:p>
            <w:pPr>
              <w:spacing w:line="311" w:lineRule="auto"/>
              <w:rPr>
                <w:rFonts w:ascii="Arial"/>
                <w:sz w:val="21"/>
              </w:rPr>
            </w:pPr>
          </w:p>
          <w:p>
            <w:pPr>
              <w:spacing w:before="56" w:line="278" w:lineRule="exact"/>
              <w:ind w:left="360"/>
              <w:rPr>
                <w:rFonts w:ascii="宋体" w:hAnsi="宋体" w:eastAsia="宋体" w:cs="宋体"/>
                <w:sz w:val="17"/>
                <w:szCs w:val="17"/>
              </w:rPr>
            </w:pPr>
            <w:r>
              <w:rPr>
                <w:rFonts w:ascii="宋体" w:hAnsi="宋体" w:eastAsia="宋体" w:cs="宋体"/>
                <w:position w:val="7"/>
                <w:sz w:val="17"/>
                <w:szCs w:val="17"/>
              </w:rPr>
              <w:t>水土</w:t>
            </w:r>
          </w:p>
          <w:p>
            <w:pPr>
              <w:spacing w:line="230" w:lineRule="auto"/>
              <w:ind w:left="359"/>
              <w:rPr>
                <w:rFonts w:ascii="宋体" w:hAnsi="宋体" w:eastAsia="宋体" w:cs="宋体"/>
                <w:sz w:val="17"/>
                <w:szCs w:val="17"/>
              </w:rPr>
            </w:pPr>
            <w:r>
              <w:rPr>
                <w:rFonts w:ascii="宋体" w:hAnsi="宋体" w:eastAsia="宋体" w:cs="宋体"/>
                <w:spacing w:val="1"/>
                <w:sz w:val="17"/>
                <w:szCs w:val="17"/>
              </w:rPr>
              <w:t>保持</w:t>
            </w:r>
          </w:p>
        </w:tc>
        <w:tc>
          <w:tcPr>
            <w:tcW w:w="5543" w:type="dxa"/>
            <w:vAlign w:val="top"/>
          </w:tcPr>
          <w:p>
            <w:pPr>
              <w:spacing w:before="89" w:line="285" w:lineRule="auto"/>
              <w:ind w:left="27"/>
              <w:rPr>
                <w:rFonts w:ascii="宋体" w:hAnsi="宋体" w:eastAsia="宋体" w:cs="宋体"/>
                <w:sz w:val="17"/>
                <w:szCs w:val="17"/>
              </w:rPr>
            </w:pPr>
            <w:r>
              <w:rPr>
                <w:rFonts w:ascii="宋体" w:hAnsi="宋体" w:eastAsia="宋体" w:cs="宋体"/>
                <w:spacing w:val="6"/>
                <w:sz w:val="17"/>
                <w:szCs w:val="17"/>
              </w:rPr>
              <w:t>施工场地、施工营地四周建设排水沟，施工场地内建沉淀池，防止雨</w:t>
            </w:r>
            <w:r>
              <w:rPr>
                <w:rFonts w:ascii="宋体" w:hAnsi="宋体" w:eastAsia="宋体" w:cs="宋体"/>
                <w:spacing w:val="3"/>
                <w:sz w:val="17"/>
                <w:szCs w:val="17"/>
              </w:rPr>
              <w:t>水</w:t>
            </w:r>
            <w:r>
              <w:rPr>
                <w:rFonts w:ascii="宋体" w:hAnsi="宋体" w:eastAsia="宋体" w:cs="宋体"/>
                <w:sz w:val="17"/>
                <w:szCs w:val="17"/>
              </w:rPr>
              <w:t xml:space="preserve"> </w:t>
            </w:r>
            <w:r>
              <w:rPr>
                <w:rFonts w:ascii="宋体" w:hAnsi="宋体" w:eastAsia="宋体" w:cs="宋体"/>
                <w:spacing w:val="6"/>
                <w:sz w:val="17"/>
                <w:szCs w:val="17"/>
              </w:rPr>
              <w:t>对裸露地表冲刷进入河道；临时堆土场要遮盖且尽量远离河道；施工</w:t>
            </w:r>
            <w:r>
              <w:rPr>
                <w:rFonts w:ascii="宋体" w:hAnsi="宋体" w:eastAsia="宋体" w:cs="宋体"/>
                <w:spacing w:val="3"/>
                <w:sz w:val="17"/>
                <w:szCs w:val="17"/>
              </w:rPr>
              <w:t>堆</w:t>
            </w:r>
            <w:r>
              <w:rPr>
                <w:rFonts w:ascii="宋体" w:hAnsi="宋体" w:eastAsia="宋体" w:cs="宋体"/>
                <w:sz w:val="17"/>
                <w:szCs w:val="17"/>
              </w:rPr>
              <w:t xml:space="preserve"> </w:t>
            </w:r>
            <w:r>
              <w:rPr>
                <w:rFonts w:ascii="宋体" w:hAnsi="宋体" w:eastAsia="宋体" w:cs="宋体"/>
                <w:spacing w:val="4"/>
                <w:sz w:val="17"/>
                <w:szCs w:val="17"/>
              </w:rPr>
              <w:t>料场、</w:t>
            </w:r>
            <w:r>
              <w:rPr>
                <w:rFonts w:ascii="宋体" w:hAnsi="宋体" w:eastAsia="宋体" w:cs="宋体"/>
                <w:spacing w:val="2"/>
                <w:sz w:val="17"/>
                <w:szCs w:val="17"/>
              </w:rPr>
              <w:t>边坡等场地采取覆盖；边坡采用混喷植草等形式防护；临时道路、</w:t>
            </w:r>
            <w:r>
              <w:rPr>
                <w:rFonts w:ascii="宋体" w:hAnsi="宋体" w:eastAsia="宋体" w:cs="宋体"/>
                <w:sz w:val="17"/>
                <w:szCs w:val="17"/>
              </w:rPr>
              <w:t xml:space="preserve"> </w:t>
            </w:r>
            <w:r>
              <w:rPr>
                <w:rFonts w:ascii="宋体" w:hAnsi="宋体" w:eastAsia="宋体" w:cs="宋体"/>
                <w:spacing w:val="13"/>
                <w:sz w:val="17"/>
                <w:szCs w:val="17"/>
              </w:rPr>
              <w:t>施</w:t>
            </w:r>
            <w:r>
              <w:rPr>
                <w:rFonts w:ascii="宋体" w:hAnsi="宋体" w:eastAsia="宋体" w:cs="宋体"/>
                <w:spacing w:val="8"/>
                <w:sz w:val="17"/>
                <w:szCs w:val="17"/>
              </w:rPr>
              <w:t>工营地等采取硬化等水土保持措施</w:t>
            </w:r>
          </w:p>
        </w:tc>
        <w:tc>
          <w:tcPr>
            <w:tcW w:w="1168" w:type="dxa"/>
            <w:vAlign w:val="top"/>
          </w:tcPr>
          <w:p>
            <w:pPr>
              <w:spacing w:line="424" w:lineRule="auto"/>
              <w:rPr>
                <w:rFonts w:ascii="Arial"/>
                <w:sz w:val="21"/>
              </w:rPr>
            </w:pPr>
          </w:p>
          <w:p>
            <w:pPr>
              <w:spacing w:before="49" w:line="242" w:lineRule="exact"/>
              <w:ind w:left="55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79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568" w:type="dxa"/>
            <w:vMerge w:val="continue"/>
            <w:tcBorders>
              <w:top w:val="nil"/>
              <w:bottom w:val="nil"/>
            </w:tcBorders>
            <w:vAlign w:val="top"/>
          </w:tcPr>
          <w:p>
            <w:pPr>
              <w:rPr>
                <w:rFonts w:ascii="Arial"/>
                <w:sz w:val="21"/>
              </w:rPr>
            </w:pPr>
          </w:p>
        </w:tc>
        <w:tc>
          <w:tcPr>
            <w:tcW w:w="1041" w:type="dxa"/>
            <w:vAlign w:val="top"/>
          </w:tcPr>
          <w:p>
            <w:pPr>
              <w:spacing w:before="84" w:line="281" w:lineRule="exact"/>
              <w:ind w:left="277"/>
              <w:rPr>
                <w:rFonts w:ascii="宋体" w:hAnsi="宋体" w:eastAsia="宋体" w:cs="宋体"/>
                <w:sz w:val="17"/>
                <w:szCs w:val="17"/>
              </w:rPr>
            </w:pPr>
            <w:r>
              <w:rPr>
                <w:rFonts w:ascii="宋体" w:hAnsi="宋体" w:eastAsia="宋体" w:cs="宋体"/>
                <w:spacing w:val="-2"/>
                <w:position w:val="7"/>
                <w:sz w:val="17"/>
                <w:szCs w:val="17"/>
              </w:rPr>
              <w:t>风险</w:t>
            </w:r>
            <w:r>
              <w:rPr>
                <w:rFonts w:ascii="宋体" w:hAnsi="宋体" w:eastAsia="宋体" w:cs="宋体"/>
                <w:spacing w:val="-1"/>
                <w:position w:val="7"/>
                <w:sz w:val="17"/>
                <w:szCs w:val="17"/>
              </w:rPr>
              <w:t>防</w:t>
            </w:r>
          </w:p>
          <w:p>
            <w:pPr>
              <w:spacing w:line="230" w:lineRule="auto"/>
              <w:ind w:left="281"/>
              <w:rPr>
                <w:rFonts w:ascii="宋体" w:hAnsi="宋体" w:eastAsia="宋体" w:cs="宋体"/>
                <w:sz w:val="17"/>
                <w:szCs w:val="17"/>
              </w:rPr>
            </w:pPr>
            <w:r>
              <w:rPr>
                <w:rFonts w:ascii="宋体" w:hAnsi="宋体" w:eastAsia="宋体" w:cs="宋体"/>
                <w:spacing w:val="-4"/>
                <w:sz w:val="17"/>
                <w:szCs w:val="17"/>
              </w:rPr>
              <w:t>范</w:t>
            </w:r>
            <w:r>
              <w:rPr>
                <w:rFonts w:ascii="宋体" w:hAnsi="宋体" w:eastAsia="宋体" w:cs="宋体"/>
                <w:spacing w:val="-3"/>
                <w:sz w:val="17"/>
                <w:szCs w:val="17"/>
              </w:rPr>
              <w:t>措</w:t>
            </w:r>
            <w:r>
              <w:rPr>
                <w:rFonts w:ascii="宋体" w:hAnsi="宋体" w:eastAsia="宋体" w:cs="宋体"/>
                <w:spacing w:val="-2"/>
                <w:sz w:val="17"/>
                <w:szCs w:val="17"/>
              </w:rPr>
              <w:t>施</w:t>
            </w:r>
          </w:p>
        </w:tc>
        <w:tc>
          <w:tcPr>
            <w:tcW w:w="5543" w:type="dxa"/>
            <w:vAlign w:val="top"/>
          </w:tcPr>
          <w:p>
            <w:pPr>
              <w:spacing w:before="226" w:line="230" w:lineRule="auto"/>
              <w:ind w:left="27"/>
              <w:rPr>
                <w:rFonts w:ascii="宋体" w:hAnsi="宋体" w:eastAsia="宋体" w:cs="宋体"/>
                <w:sz w:val="17"/>
                <w:szCs w:val="17"/>
              </w:rPr>
            </w:pPr>
            <w:r>
              <w:rPr>
                <w:rFonts w:ascii="宋体" w:hAnsi="宋体" w:eastAsia="宋体" w:cs="宋体"/>
                <w:spacing w:val="18"/>
                <w:sz w:val="17"/>
                <w:szCs w:val="17"/>
              </w:rPr>
              <w:t>桥</w:t>
            </w:r>
            <w:r>
              <w:rPr>
                <w:rFonts w:ascii="宋体" w:hAnsi="宋体" w:eastAsia="宋体" w:cs="宋体"/>
                <w:spacing w:val="15"/>
                <w:sz w:val="17"/>
                <w:szCs w:val="17"/>
              </w:rPr>
              <w:t>梁</w:t>
            </w:r>
            <w:r>
              <w:rPr>
                <w:rFonts w:ascii="宋体" w:hAnsi="宋体" w:eastAsia="宋体" w:cs="宋体"/>
                <w:spacing w:val="9"/>
                <w:sz w:val="17"/>
                <w:szCs w:val="17"/>
              </w:rPr>
              <w:t>两侧设置防撞墙；桥梁的两端设置警示牌、监控</w:t>
            </w:r>
          </w:p>
        </w:tc>
        <w:tc>
          <w:tcPr>
            <w:tcW w:w="1168" w:type="dxa"/>
            <w:vAlign w:val="top"/>
          </w:tcPr>
          <w:p>
            <w:pPr>
              <w:spacing w:before="191" w:line="242" w:lineRule="exact"/>
              <w:ind w:left="55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79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568" w:type="dxa"/>
            <w:vMerge w:val="continue"/>
            <w:tcBorders>
              <w:top w:val="nil"/>
            </w:tcBorders>
            <w:vAlign w:val="top"/>
          </w:tcPr>
          <w:p>
            <w:pPr>
              <w:rPr>
                <w:rFonts w:ascii="Arial"/>
                <w:sz w:val="21"/>
              </w:rPr>
            </w:pPr>
          </w:p>
        </w:tc>
        <w:tc>
          <w:tcPr>
            <w:tcW w:w="1041" w:type="dxa"/>
            <w:vAlign w:val="top"/>
          </w:tcPr>
          <w:p>
            <w:pPr>
              <w:spacing w:before="88" w:line="231" w:lineRule="auto"/>
              <w:ind w:left="359"/>
              <w:rPr>
                <w:rFonts w:ascii="宋体" w:hAnsi="宋体" w:eastAsia="宋体" w:cs="宋体"/>
                <w:sz w:val="17"/>
                <w:szCs w:val="17"/>
              </w:rPr>
            </w:pPr>
            <w:r>
              <w:rPr>
                <w:rFonts w:ascii="宋体" w:hAnsi="宋体" w:eastAsia="宋体" w:cs="宋体"/>
                <w:spacing w:val="1"/>
                <w:sz w:val="17"/>
                <w:szCs w:val="17"/>
              </w:rPr>
              <w:t>其他</w:t>
            </w:r>
          </w:p>
        </w:tc>
        <w:tc>
          <w:tcPr>
            <w:tcW w:w="5543" w:type="dxa"/>
            <w:vAlign w:val="top"/>
          </w:tcPr>
          <w:p>
            <w:pPr>
              <w:spacing w:before="88" w:line="230" w:lineRule="auto"/>
              <w:ind w:left="27"/>
              <w:rPr>
                <w:rFonts w:ascii="宋体" w:hAnsi="宋体" w:eastAsia="宋体" w:cs="宋体"/>
                <w:sz w:val="17"/>
                <w:szCs w:val="17"/>
              </w:rPr>
            </w:pPr>
            <w:r>
              <w:rPr>
                <w:rFonts w:ascii="宋体" w:hAnsi="宋体" w:eastAsia="宋体" w:cs="宋体"/>
                <w:spacing w:val="18"/>
                <w:sz w:val="17"/>
                <w:szCs w:val="17"/>
              </w:rPr>
              <w:t>施</w:t>
            </w:r>
            <w:r>
              <w:rPr>
                <w:rFonts w:ascii="宋体" w:hAnsi="宋体" w:eastAsia="宋体" w:cs="宋体"/>
                <w:spacing w:val="15"/>
                <w:sz w:val="17"/>
                <w:szCs w:val="17"/>
              </w:rPr>
              <w:t>工</w:t>
            </w:r>
            <w:r>
              <w:rPr>
                <w:rFonts w:ascii="宋体" w:hAnsi="宋体" w:eastAsia="宋体" w:cs="宋体"/>
                <w:spacing w:val="9"/>
                <w:sz w:val="17"/>
                <w:szCs w:val="17"/>
              </w:rPr>
              <w:t>结束后对临时占地进行迹地恢复，种植绿化等</w:t>
            </w:r>
          </w:p>
        </w:tc>
        <w:tc>
          <w:tcPr>
            <w:tcW w:w="1168" w:type="dxa"/>
            <w:vAlign w:val="top"/>
          </w:tcPr>
          <w:p>
            <w:pPr>
              <w:spacing w:before="55" w:line="242" w:lineRule="exact"/>
              <w:ind w:left="55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797" w:type="dxa"/>
            <w:vAlign w:val="top"/>
          </w:tcPr>
          <w:p>
            <w:pPr>
              <w:spacing w:before="55" w:line="242" w:lineRule="exact"/>
              <w:ind w:left="373"/>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r>
    </w:tbl>
    <w:p>
      <w:pPr>
        <w:spacing w:before="146" w:line="230" w:lineRule="auto"/>
        <w:ind w:left="144"/>
        <w:outlineLvl w:val="2"/>
        <w:rPr>
          <w:rFonts w:ascii="黑体" w:hAnsi="黑体" w:eastAsia="黑体" w:cs="黑体"/>
          <w:sz w:val="23"/>
          <w:szCs w:val="23"/>
        </w:rPr>
      </w:pPr>
      <w:r>
        <w:rPr>
          <w:rFonts w:ascii="Times New Roman" w:hAnsi="Times New Roman" w:eastAsia="Times New Roman" w:cs="Times New Roman"/>
          <w:spacing w:val="8"/>
          <w:sz w:val="23"/>
          <w:szCs w:val="23"/>
        </w:rPr>
        <w:t>2</w:t>
      </w:r>
      <w:r>
        <w:rPr>
          <w:rFonts w:ascii="Times New Roman" w:hAnsi="Times New Roman" w:eastAsia="Times New Roman" w:cs="Times New Roman"/>
          <w:spacing w:val="6"/>
          <w:sz w:val="23"/>
          <w:szCs w:val="23"/>
        </w:rPr>
        <w:t xml:space="preserve">.3  </w:t>
      </w:r>
      <w:r>
        <w:rPr>
          <w:rFonts w:ascii="黑体" w:hAnsi="黑体" w:eastAsia="黑体" w:cs="黑体"/>
          <w:spacing w:val="6"/>
          <w:sz w:val="23"/>
          <w:szCs w:val="23"/>
        </w:rPr>
        <w:t>交通量预测</w:t>
      </w:r>
    </w:p>
    <w:p>
      <w:pPr>
        <w:spacing w:before="148" w:line="398" w:lineRule="exact"/>
        <w:ind w:left="567"/>
        <w:rPr>
          <w:rFonts w:ascii="宋体" w:hAnsi="宋体" w:eastAsia="宋体" w:cs="宋体"/>
          <w:sz w:val="20"/>
          <w:szCs w:val="20"/>
        </w:rPr>
      </w:pPr>
      <w:r>
        <w:rPr>
          <w:rFonts w:ascii="宋体" w:hAnsi="宋体" w:eastAsia="宋体" w:cs="宋体"/>
          <w:spacing w:val="20"/>
          <w:position w:val="14"/>
          <w:sz w:val="20"/>
          <w:szCs w:val="20"/>
        </w:rPr>
        <w:t>根</w:t>
      </w:r>
      <w:r>
        <w:rPr>
          <w:rFonts w:ascii="宋体" w:hAnsi="宋体" w:eastAsia="宋体" w:cs="宋体"/>
          <w:spacing w:val="13"/>
          <w:position w:val="14"/>
          <w:sz w:val="20"/>
          <w:szCs w:val="20"/>
        </w:rPr>
        <w:t>据</w:t>
      </w:r>
      <w:r>
        <w:rPr>
          <w:rFonts w:ascii="宋体" w:hAnsi="宋体" w:eastAsia="宋体" w:cs="宋体"/>
          <w:spacing w:val="10"/>
          <w:position w:val="14"/>
          <w:sz w:val="20"/>
          <w:szCs w:val="20"/>
        </w:rPr>
        <w:t>《达州市高家坝大桥建设项目初步设计方案》对影响区经济发展和地区公路网布局的分</w:t>
      </w:r>
    </w:p>
    <w:p>
      <w:pPr>
        <w:spacing w:line="226" w:lineRule="auto"/>
        <w:ind w:left="149"/>
        <w:rPr>
          <w:rFonts w:ascii="宋体" w:hAnsi="宋体" w:eastAsia="宋体" w:cs="宋体"/>
          <w:sz w:val="20"/>
          <w:szCs w:val="20"/>
        </w:rPr>
      </w:pPr>
      <w:r>
        <w:rPr>
          <w:rFonts w:ascii="宋体" w:hAnsi="宋体" w:eastAsia="宋体" w:cs="宋体"/>
          <w:spacing w:val="18"/>
          <w:sz w:val="20"/>
          <w:szCs w:val="20"/>
        </w:rPr>
        <w:t>析</w:t>
      </w:r>
      <w:r>
        <w:rPr>
          <w:rFonts w:ascii="宋体" w:hAnsi="宋体" w:eastAsia="宋体" w:cs="宋体"/>
          <w:spacing w:val="12"/>
          <w:sz w:val="20"/>
          <w:szCs w:val="20"/>
        </w:rPr>
        <w:t>研</w:t>
      </w:r>
      <w:r>
        <w:rPr>
          <w:rFonts w:ascii="宋体" w:hAnsi="宋体" w:eastAsia="宋体" w:cs="宋体"/>
          <w:spacing w:val="9"/>
          <w:sz w:val="20"/>
          <w:szCs w:val="20"/>
        </w:rPr>
        <w:t>究，根据区域经济交通发展状况，本项目设计基年组合交通量预测见下表。</w:t>
      </w:r>
    </w:p>
    <w:p>
      <w:pPr>
        <w:spacing w:before="66" w:line="267" w:lineRule="exact"/>
        <w:ind w:left="3200"/>
        <w:rPr>
          <w:rFonts w:ascii="黑体" w:hAnsi="黑体" w:eastAsia="黑体" w:cs="黑体"/>
          <w:sz w:val="19"/>
          <w:szCs w:val="19"/>
        </w:rPr>
      </w:pPr>
      <w:r>
        <w:rPr>
          <w:rFonts w:ascii="黑体" w:hAnsi="黑体" w:eastAsia="黑体" w:cs="黑体"/>
          <w:spacing w:val="12"/>
          <w:position w:val="2"/>
          <w:sz w:val="19"/>
          <w:szCs w:val="19"/>
        </w:rPr>
        <w:t>表</w:t>
      </w:r>
      <w:r>
        <w:rPr>
          <w:rFonts w:ascii="Times New Roman" w:hAnsi="Times New Roman" w:eastAsia="Times New Roman" w:cs="Times New Roman"/>
          <w:spacing w:val="12"/>
          <w:position w:val="2"/>
          <w:sz w:val="19"/>
          <w:szCs w:val="19"/>
        </w:rPr>
        <w:t>7</w:t>
      </w:r>
      <w:r>
        <w:rPr>
          <w:rFonts w:ascii="Times New Roman" w:hAnsi="Times New Roman" w:eastAsia="Times New Roman" w:cs="Times New Roman"/>
          <w:spacing w:val="7"/>
          <w:position w:val="2"/>
          <w:sz w:val="19"/>
          <w:szCs w:val="19"/>
        </w:rPr>
        <w:t xml:space="preserve"> </w:t>
      </w:r>
      <w:r>
        <w:rPr>
          <w:rFonts w:ascii="Times New Roman" w:hAnsi="Times New Roman" w:eastAsia="Times New Roman" w:cs="Times New Roman"/>
          <w:spacing w:val="6"/>
          <w:position w:val="2"/>
          <w:sz w:val="19"/>
          <w:szCs w:val="19"/>
        </w:rPr>
        <w:t xml:space="preserve">   </w:t>
      </w:r>
      <w:r>
        <w:rPr>
          <w:rFonts w:ascii="黑体" w:hAnsi="黑体" w:eastAsia="黑体" w:cs="黑体"/>
          <w:spacing w:val="6"/>
          <w:position w:val="2"/>
          <w:sz w:val="19"/>
          <w:szCs w:val="19"/>
        </w:rPr>
        <w:t>交通量预测结果 (</w:t>
      </w:r>
      <w:r>
        <w:rPr>
          <w:rFonts w:ascii="Times New Roman" w:hAnsi="Times New Roman" w:eastAsia="Times New Roman" w:cs="Times New Roman"/>
          <w:position w:val="2"/>
          <w:sz w:val="19"/>
          <w:szCs w:val="19"/>
        </w:rPr>
        <w:t>pcu</w:t>
      </w:r>
      <w:r>
        <w:rPr>
          <w:rFonts w:ascii="Times New Roman" w:hAnsi="Times New Roman" w:eastAsia="Times New Roman" w:cs="Times New Roman"/>
          <w:spacing w:val="6"/>
          <w:position w:val="2"/>
          <w:sz w:val="19"/>
          <w:szCs w:val="19"/>
        </w:rPr>
        <w:t>/</w:t>
      </w:r>
      <w:r>
        <w:rPr>
          <w:rFonts w:ascii="Times New Roman" w:hAnsi="Times New Roman" w:eastAsia="Times New Roman" w:cs="Times New Roman"/>
          <w:position w:val="2"/>
          <w:sz w:val="19"/>
          <w:szCs w:val="19"/>
        </w:rPr>
        <w:t>d</w:t>
      </w:r>
      <w:r>
        <w:rPr>
          <w:rFonts w:ascii="黑体" w:hAnsi="黑体" w:eastAsia="黑体" w:cs="黑体"/>
          <w:spacing w:val="6"/>
          <w:position w:val="2"/>
          <w:sz w:val="19"/>
          <w:szCs w:val="19"/>
        </w:rPr>
        <w:t>)</w:t>
      </w:r>
    </w:p>
    <w:p>
      <w:pPr>
        <w:spacing w:line="27" w:lineRule="auto"/>
        <w:rPr>
          <w:rFonts w:ascii="Arial"/>
          <w:sz w:val="2"/>
        </w:rPr>
      </w:pPr>
    </w:p>
    <w:tbl>
      <w:tblPr>
        <w:tblStyle w:val="4"/>
        <w:tblW w:w="8842" w:type="dxa"/>
        <w:tblInd w:w="1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84"/>
        <w:gridCol w:w="2493"/>
        <w:gridCol w:w="1554"/>
        <w:gridCol w:w="1552"/>
        <w:gridCol w:w="15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4177" w:type="dxa"/>
            <w:gridSpan w:val="2"/>
            <w:vAlign w:val="top"/>
          </w:tcPr>
          <w:p>
            <w:pPr>
              <w:spacing w:before="108" w:line="230" w:lineRule="auto"/>
              <w:ind w:left="1795"/>
              <w:rPr>
                <w:rFonts w:ascii="宋体" w:hAnsi="宋体" w:eastAsia="宋体" w:cs="宋体"/>
                <w:sz w:val="17"/>
                <w:szCs w:val="17"/>
              </w:rPr>
            </w:pPr>
            <w:r>
              <w:rPr>
                <w:rFonts w:ascii="宋体" w:hAnsi="宋体" w:eastAsia="宋体" w:cs="宋体"/>
                <w:spacing w:val="21"/>
                <w:sz w:val="17"/>
                <w:szCs w:val="17"/>
                <w14:textOutline w14:w="3268" w14:cap="sq" w14:cmpd="sng">
                  <w14:solidFill>
                    <w14:srgbClr w14:val="000000"/>
                  </w14:solidFill>
                  <w14:prstDash w14:val="solid"/>
                  <w14:bevel/>
                </w14:textOutline>
              </w:rPr>
              <w:t>路</w:t>
            </w:r>
            <w:r>
              <w:rPr>
                <w:rFonts w:ascii="宋体" w:hAnsi="宋体" w:eastAsia="宋体" w:cs="宋体"/>
                <w:spacing w:val="20"/>
                <w:sz w:val="17"/>
                <w:szCs w:val="17"/>
              </w:rPr>
              <w:t xml:space="preserve">  </w:t>
            </w:r>
            <w:r>
              <w:rPr>
                <w:rFonts w:ascii="宋体" w:hAnsi="宋体" w:eastAsia="宋体" w:cs="宋体"/>
                <w:spacing w:val="20"/>
                <w:sz w:val="17"/>
                <w:szCs w:val="17"/>
                <w14:textOutline w14:w="3268" w14:cap="sq" w14:cmpd="sng">
                  <w14:solidFill>
                    <w14:srgbClr w14:val="000000"/>
                  </w14:solidFill>
                  <w14:prstDash w14:val="solid"/>
                  <w14:bevel/>
                </w14:textOutline>
              </w:rPr>
              <w:t>段</w:t>
            </w:r>
          </w:p>
        </w:tc>
        <w:tc>
          <w:tcPr>
            <w:tcW w:w="1554" w:type="dxa"/>
            <w:vAlign w:val="top"/>
          </w:tcPr>
          <w:p>
            <w:pPr>
              <w:spacing w:before="108" w:line="230" w:lineRule="auto"/>
              <w:ind w:left="485"/>
              <w:rPr>
                <w:rFonts w:ascii="宋体" w:hAnsi="宋体" w:eastAsia="宋体" w:cs="宋体"/>
                <w:sz w:val="17"/>
                <w:szCs w:val="17"/>
              </w:rPr>
            </w:pPr>
            <w:r>
              <w:rPr>
                <w:rFonts w:ascii="Times New Roman" w:hAnsi="Times New Roman" w:eastAsia="Times New Roman" w:cs="Times New Roman"/>
                <w:b/>
                <w:bCs/>
                <w:spacing w:val="8"/>
                <w:sz w:val="17"/>
                <w:szCs w:val="17"/>
              </w:rPr>
              <w:t>2</w:t>
            </w:r>
            <w:r>
              <w:rPr>
                <w:rFonts w:ascii="Times New Roman" w:hAnsi="Times New Roman" w:eastAsia="Times New Roman" w:cs="Times New Roman"/>
                <w:b/>
                <w:bCs/>
                <w:spacing w:val="4"/>
                <w:sz w:val="17"/>
                <w:szCs w:val="17"/>
              </w:rPr>
              <w:t>026</w:t>
            </w:r>
            <w:r>
              <w:rPr>
                <w:rFonts w:ascii="Times New Roman" w:hAnsi="Times New Roman" w:eastAsia="Times New Roman" w:cs="Times New Roman"/>
                <w:spacing w:val="4"/>
                <w:sz w:val="17"/>
                <w:szCs w:val="17"/>
              </w:rPr>
              <w:t xml:space="preserve"> </w:t>
            </w:r>
            <w:r>
              <w:rPr>
                <w:rFonts w:ascii="宋体" w:hAnsi="宋体" w:eastAsia="宋体" w:cs="宋体"/>
                <w:spacing w:val="4"/>
                <w:sz w:val="17"/>
                <w:szCs w:val="17"/>
                <w14:textOutline w14:w="3268" w14:cap="sq" w14:cmpd="sng">
                  <w14:solidFill>
                    <w14:srgbClr w14:val="000000"/>
                  </w14:solidFill>
                  <w14:prstDash w14:val="solid"/>
                  <w14:bevel/>
                </w14:textOutline>
              </w:rPr>
              <w:t>年</w:t>
            </w:r>
          </w:p>
        </w:tc>
        <w:tc>
          <w:tcPr>
            <w:tcW w:w="1552" w:type="dxa"/>
            <w:vAlign w:val="top"/>
          </w:tcPr>
          <w:p>
            <w:pPr>
              <w:spacing w:before="108" w:line="230" w:lineRule="auto"/>
              <w:ind w:left="486"/>
              <w:rPr>
                <w:rFonts w:ascii="宋体" w:hAnsi="宋体" w:eastAsia="宋体" w:cs="宋体"/>
                <w:sz w:val="17"/>
                <w:szCs w:val="17"/>
              </w:rPr>
            </w:pPr>
            <w:r>
              <w:rPr>
                <w:rFonts w:ascii="Times New Roman" w:hAnsi="Times New Roman" w:eastAsia="Times New Roman" w:cs="Times New Roman"/>
                <w:b/>
                <w:bCs/>
                <w:spacing w:val="5"/>
                <w:sz w:val="17"/>
                <w:szCs w:val="17"/>
              </w:rPr>
              <w:t>2032</w:t>
            </w:r>
            <w:r>
              <w:rPr>
                <w:rFonts w:ascii="Times New Roman" w:hAnsi="Times New Roman" w:eastAsia="Times New Roman" w:cs="Times New Roman"/>
                <w:spacing w:val="5"/>
                <w:sz w:val="17"/>
                <w:szCs w:val="17"/>
              </w:rPr>
              <w:t xml:space="preserve"> </w:t>
            </w:r>
            <w:r>
              <w:rPr>
                <w:rFonts w:ascii="宋体" w:hAnsi="宋体" w:eastAsia="宋体" w:cs="宋体"/>
                <w:spacing w:val="3"/>
                <w:sz w:val="17"/>
                <w:szCs w:val="17"/>
                <w14:textOutline w14:w="3268" w14:cap="sq" w14:cmpd="sng">
                  <w14:solidFill>
                    <w14:srgbClr w14:val="000000"/>
                  </w14:solidFill>
                  <w14:prstDash w14:val="solid"/>
                  <w14:bevel/>
                </w14:textOutline>
              </w:rPr>
              <w:t>年</w:t>
            </w:r>
          </w:p>
        </w:tc>
        <w:tc>
          <w:tcPr>
            <w:tcW w:w="1559" w:type="dxa"/>
            <w:vAlign w:val="top"/>
          </w:tcPr>
          <w:p>
            <w:pPr>
              <w:spacing w:before="108" w:line="230" w:lineRule="auto"/>
              <w:ind w:left="487"/>
              <w:rPr>
                <w:rFonts w:ascii="宋体" w:hAnsi="宋体" w:eastAsia="宋体" w:cs="宋体"/>
                <w:sz w:val="17"/>
                <w:szCs w:val="17"/>
              </w:rPr>
            </w:pPr>
            <w:r>
              <w:rPr>
                <w:rFonts w:ascii="Times New Roman" w:hAnsi="Times New Roman" w:eastAsia="Times New Roman" w:cs="Times New Roman"/>
                <w:b/>
                <w:bCs/>
                <w:spacing w:val="8"/>
                <w:sz w:val="17"/>
                <w:szCs w:val="17"/>
              </w:rPr>
              <w:t>2</w:t>
            </w:r>
            <w:r>
              <w:rPr>
                <w:rFonts w:ascii="Times New Roman" w:hAnsi="Times New Roman" w:eastAsia="Times New Roman" w:cs="Times New Roman"/>
                <w:b/>
                <w:bCs/>
                <w:spacing w:val="4"/>
                <w:sz w:val="17"/>
                <w:szCs w:val="17"/>
              </w:rPr>
              <w:t>040</w:t>
            </w:r>
            <w:r>
              <w:rPr>
                <w:rFonts w:ascii="Times New Roman" w:hAnsi="Times New Roman" w:eastAsia="Times New Roman" w:cs="Times New Roman"/>
                <w:spacing w:val="4"/>
                <w:sz w:val="17"/>
                <w:szCs w:val="17"/>
              </w:rPr>
              <w:t xml:space="preserve"> </w:t>
            </w:r>
            <w:r>
              <w:rPr>
                <w:rFonts w:ascii="宋体" w:hAnsi="宋体" w:eastAsia="宋体" w:cs="宋体"/>
                <w:spacing w:val="4"/>
                <w:sz w:val="17"/>
                <w:szCs w:val="17"/>
                <w14:textOutline w14:w="3268" w14:cap="sq" w14:cmpd="sng">
                  <w14:solidFill>
                    <w14:srgbClr w14:val="000000"/>
                  </w14:solidFill>
                  <w14:prstDash w14:val="solid"/>
                  <w14:bevel/>
                </w14:textOutline>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1684" w:type="dxa"/>
            <w:vMerge w:val="restart"/>
            <w:tcBorders>
              <w:bottom w:val="nil"/>
            </w:tcBorders>
            <w:vAlign w:val="top"/>
          </w:tcPr>
          <w:p>
            <w:pPr>
              <w:spacing w:before="172" w:line="296" w:lineRule="exact"/>
              <w:ind w:left="576"/>
              <w:rPr>
                <w:rFonts w:ascii="宋体" w:hAnsi="宋体" w:eastAsia="宋体" w:cs="宋体"/>
                <w:sz w:val="17"/>
                <w:szCs w:val="17"/>
              </w:rPr>
            </w:pPr>
            <w:r>
              <w:rPr>
                <w:rFonts w:ascii="宋体" w:hAnsi="宋体" w:eastAsia="宋体" w:cs="宋体"/>
                <w:spacing w:val="8"/>
                <w:position w:val="9"/>
                <w:sz w:val="17"/>
                <w:szCs w:val="17"/>
              </w:rPr>
              <w:t>达州</w:t>
            </w:r>
            <w:r>
              <w:rPr>
                <w:rFonts w:ascii="宋体" w:hAnsi="宋体" w:eastAsia="宋体" w:cs="宋体"/>
                <w:spacing w:val="7"/>
                <w:position w:val="9"/>
                <w:sz w:val="17"/>
                <w:szCs w:val="17"/>
              </w:rPr>
              <w:t>市</w:t>
            </w:r>
          </w:p>
          <w:p>
            <w:pPr>
              <w:spacing w:line="230" w:lineRule="auto"/>
              <w:ind w:left="402"/>
              <w:rPr>
                <w:rFonts w:ascii="宋体" w:hAnsi="宋体" w:eastAsia="宋体" w:cs="宋体"/>
                <w:sz w:val="17"/>
                <w:szCs w:val="17"/>
              </w:rPr>
            </w:pPr>
            <w:r>
              <w:rPr>
                <w:rFonts w:ascii="宋体" w:hAnsi="宋体" w:eastAsia="宋体" w:cs="宋体"/>
                <w:spacing w:val="10"/>
                <w:sz w:val="17"/>
                <w:szCs w:val="17"/>
              </w:rPr>
              <w:t>高</w:t>
            </w:r>
            <w:r>
              <w:rPr>
                <w:rFonts w:ascii="宋体" w:hAnsi="宋体" w:eastAsia="宋体" w:cs="宋体"/>
                <w:spacing w:val="7"/>
                <w:sz w:val="17"/>
                <w:szCs w:val="17"/>
              </w:rPr>
              <w:t>家坝大桥</w:t>
            </w:r>
          </w:p>
        </w:tc>
        <w:tc>
          <w:tcPr>
            <w:tcW w:w="2493" w:type="dxa"/>
            <w:vAlign w:val="top"/>
          </w:tcPr>
          <w:p>
            <w:pPr>
              <w:spacing w:before="73" w:line="242" w:lineRule="exact"/>
              <w:ind w:left="688"/>
              <w:rPr>
                <w:rFonts w:ascii="宋体" w:hAnsi="宋体" w:eastAsia="宋体" w:cs="宋体"/>
                <w:sz w:val="17"/>
                <w:szCs w:val="17"/>
              </w:rPr>
            </w:pPr>
            <w:r>
              <w:rPr>
                <w:rFonts w:ascii="宋体" w:hAnsi="宋体" w:eastAsia="宋体" w:cs="宋体"/>
                <w:spacing w:val="8"/>
                <w:position w:val="2"/>
                <w:sz w:val="17"/>
                <w:szCs w:val="17"/>
              </w:rPr>
              <w:t>全天 (</w:t>
            </w:r>
            <w:r>
              <w:rPr>
                <w:rFonts w:ascii="Times New Roman" w:hAnsi="Times New Roman" w:eastAsia="Times New Roman" w:cs="Times New Roman"/>
                <w:position w:val="2"/>
                <w:sz w:val="17"/>
                <w:szCs w:val="17"/>
              </w:rPr>
              <w:t>pcu</w:t>
            </w:r>
            <w:r>
              <w:rPr>
                <w:rFonts w:ascii="Times New Roman" w:hAnsi="Times New Roman" w:eastAsia="Times New Roman" w:cs="Times New Roman"/>
                <w:spacing w:val="8"/>
                <w:position w:val="2"/>
                <w:sz w:val="17"/>
                <w:szCs w:val="17"/>
              </w:rPr>
              <w:t>/</w:t>
            </w:r>
            <w:r>
              <w:rPr>
                <w:rFonts w:ascii="Times New Roman" w:hAnsi="Times New Roman" w:eastAsia="Times New Roman" w:cs="Times New Roman"/>
                <w:position w:val="2"/>
                <w:sz w:val="17"/>
                <w:szCs w:val="17"/>
              </w:rPr>
              <w:t>d</w:t>
            </w:r>
            <w:r>
              <w:rPr>
                <w:rFonts w:ascii="宋体" w:hAnsi="宋体" w:eastAsia="宋体" w:cs="宋体"/>
                <w:spacing w:val="7"/>
                <w:position w:val="2"/>
                <w:sz w:val="17"/>
                <w:szCs w:val="17"/>
              </w:rPr>
              <w:t>)</w:t>
            </w:r>
          </w:p>
        </w:tc>
        <w:tc>
          <w:tcPr>
            <w:tcW w:w="1554" w:type="dxa"/>
            <w:vAlign w:val="top"/>
          </w:tcPr>
          <w:p>
            <w:pPr>
              <w:spacing w:before="136" w:line="197" w:lineRule="auto"/>
              <w:ind w:left="571"/>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102</w:t>
            </w:r>
            <w:r>
              <w:rPr>
                <w:rFonts w:ascii="Times New Roman" w:hAnsi="Times New Roman" w:eastAsia="Times New Roman" w:cs="Times New Roman"/>
                <w:sz w:val="17"/>
                <w:szCs w:val="17"/>
              </w:rPr>
              <w:t>53</w:t>
            </w:r>
          </w:p>
        </w:tc>
        <w:tc>
          <w:tcPr>
            <w:tcW w:w="1552" w:type="dxa"/>
            <w:vAlign w:val="top"/>
          </w:tcPr>
          <w:p>
            <w:pPr>
              <w:spacing w:before="136" w:line="197" w:lineRule="auto"/>
              <w:ind w:left="57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139</w:t>
            </w:r>
            <w:r>
              <w:rPr>
                <w:rFonts w:ascii="Times New Roman" w:hAnsi="Times New Roman" w:eastAsia="Times New Roman" w:cs="Times New Roman"/>
                <w:sz w:val="17"/>
                <w:szCs w:val="17"/>
              </w:rPr>
              <w:t>95</w:t>
            </w:r>
          </w:p>
        </w:tc>
        <w:tc>
          <w:tcPr>
            <w:tcW w:w="1559" w:type="dxa"/>
            <w:vAlign w:val="top"/>
          </w:tcPr>
          <w:p>
            <w:pPr>
              <w:spacing w:before="136" w:line="197" w:lineRule="auto"/>
              <w:ind w:left="57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163</w:t>
            </w:r>
            <w:r>
              <w:rPr>
                <w:rFonts w:ascii="Times New Roman" w:hAnsi="Times New Roman" w:eastAsia="Times New Roman" w:cs="Times New Roman"/>
                <w:sz w:val="17"/>
                <w:szCs w:val="17"/>
              </w:rPr>
              <w:t>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1684" w:type="dxa"/>
            <w:vMerge w:val="continue"/>
            <w:tcBorders>
              <w:top w:val="nil"/>
            </w:tcBorders>
            <w:vAlign w:val="top"/>
          </w:tcPr>
          <w:p>
            <w:pPr>
              <w:rPr>
                <w:rFonts w:ascii="Arial"/>
                <w:sz w:val="21"/>
              </w:rPr>
            </w:pPr>
          </w:p>
        </w:tc>
        <w:tc>
          <w:tcPr>
            <w:tcW w:w="2493" w:type="dxa"/>
            <w:vAlign w:val="top"/>
          </w:tcPr>
          <w:p>
            <w:pPr>
              <w:spacing w:before="89" w:line="242" w:lineRule="exact"/>
              <w:ind w:left="513"/>
              <w:rPr>
                <w:rFonts w:ascii="宋体" w:hAnsi="宋体" w:eastAsia="宋体" w:cs="宋体"/>
                <w:sz w:val="17"/>
                <w:szCs w:val="17"/>
              </w:rPr>
            </w:pPr>
            <w:r>
              <w:rPr>
                <w:rFonts w:ascii="宋体" w:hAnsi="宋体" w:eastAsia="宋体" w:cs="宋体"/>
                <w:spacing w:val="13"/>
                <w:position w:val="2"/>
                <w:sz w:val="17"/>
                <w:szCs w:val="17"/>
              </w:rPr>
              <w:t>高</w:t>
            </w:r>
            <w:r>
              <w:rPr>
                <w:rFonts w:ascii="宋体" w:hAnsi="宋体" w:eastAsia="宋体" w:cs="宋体"/>
                <w:spacing w:val="7"/>
                <w:position w:val="2"/>
                <w:sz w:val="17"/>
                <w:szCs w:val="17"/>
              </w:rPr>
              <w:t>峰小时 (</w:t>
            </w:r>
            <w:r>
              <w:rPr>
                <w:rFonts w:ascii="Times New Roman" w:hAnsi="Times New Roman" w:eastAsia="Times New Roman" w:cs="Times New Roman"/>
                <w:position w:val="2"/>
                <w:sz w:val="17"/>
                <w:szCs w:val="17"/>
              </w:rPr>
              <w:t>pcu</w:t>
            </w:r>
            <w:r>
              <w:rPr>
                <w:rFonts w:ascii="Times New Roman" w:hAnsi="Times New Roman" w:eastAsia="Times New Roman" w:cs="Times New Roman"/>
                <w:spacing w:val="7"/>
                <w:position w:val="2"/>
                <w:sz w:val="17"/>
                <w:szCs w:val="17"/>
              </w:rPr>
              <w:t>/</w:t>
            </w:r>
            <w:r>
              <w:rPr>
                <w:rFonts w:ascii="Times New Roman" w:hAnsi="Times New Roman" w:eastAsia="Times New Roman" w:cs="Times New Roman"/>
                <w:position w:val="2"/>
                <w:sz w:val="17"/>
                <w:szCs w:val="17"/>
              </w:rPr>
              <w:t>h</w:t>
            </w:r>
            <w:r>
              <w:rPr>
                <w:rFonts w:ascii="宋体" w:hAnsi="宋体" w:eastAsia="宋体" w:cs="宋体"/>
                <w:spacing w:val="7"/>
                <w:position w:val="2"/>
                <w:sz w:val="17"/>
                <w:szCs w:val="17"/>
              </w:rPr>
              <w:t>)</w:t>
            </w:r>
          </w:p>
        </w:tc>
        <w:tc>
          <w:tcPr>
            <w:tcW w:w="1554" w:type="dxa"/>
            <w:vAlign w:val="top"/>
          </w:tcPr>
          <w:p>
            <w:pPr>
              <w:spacing w:before="153" w:line="197" w:lineRule="auto"/>
              <w:ind w:left="614"/>
              <w:rPr>
                <w:rFonts w:ascii="Times New Roman" w:hAnsi="Times New Roman" w:eastAsia="Times New Roman" w:cs="Times New Roman"/>
                <w:sz w:val="17"/>
                <w:szCs w:val="17"/>
              </w:rPr>
            </w:pPr>
            <w:r>
              <w:rPr>
                <w:rFonts w:ascii="Times New Roman" w:hAnsi="Times New Roman" w:eastAsia="Times New Roman" w:cs="Times New Roman"/>
                <w:sz w:val="17"/>
                <w:szCs w:val="17"/>
              </w:rPr>
              <w:t>1568</w:t>
            </w:r>
          </w:p>
        </w:tc>
        <w:tc>
          <w:tcPr>
            <w:tcW w:w="1552" w:type="dxa"/>
            <w:vAlign w:val="top"/>
          </w:tcPr>
          <w:p>
            <w:pPr>
              <w:spacing w:before="153" w:line="197" w:lineRule="auto"/>
              <w:ind w:left="59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4"/>
                <w:sz w:val="17"/>
                <w:szCs w:val="17"/>
              </w:rPr>
              <w:t>140</w:t>
            </w:r>
          </w:p>
        </w:tc>
        <w:tc>
          <w:tcPr>
            <w:tcW w:w="1559" w:type="dxa"/>
            <w:vAlign w:val="top"/>
          </w:tcPr>
          <w:p>
            <w:pPr>
              <w:spacing w:before="153" w:line="197" w:lineRule="auto"/>
              <w:ind w:left="59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4"/>
                <w:sz w:val="17"/>
                <w:szCs w:val="17"/>
              </w:rPr>
              <w:t>500</w:t>
            </w:r>
          </w:p>
        </w:tc>
      </w:tr>
    </w:tbl>
    <w:p>
      <w:pPr>
        <w:rPr>
          <w:rFonts w:ascii="Arial"/>
          <w:sz w:val="21"/>
        </w:rPr>
      </w:pPr>
    </w:p>
    <w:p>
      <w:pPr>
        <w:sectPr>
          <w:footerReference r:id="rId112" w:type="default"/>
          <w:pgSz w:w="11906" w:h="16839"/>
          <w:pgMar w:top="400" w:right="1391" w:bottom="1027" w:left="1391" w:header="0" w:footer="840" w:gutter="0"/>
          <w:cols w:space="720" w:num="1"/>
        </w:sect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62" w:line="226" w:lineRule="auto"/>
        <w:ind w:left="2885"/>
        <w:rPr>
          <w:rFonts w:ascii="黑体" w:hAnsi="黑体" w:eastAsia="黑体" w:cs="黑体"/>
          <w:sz w:val="19"/>
          <w:szCs w:val="19"/>
        </w:rPr>
      </w:pPr>
      <w:r>
        <w:rPr>
          <w:rFonts w:ascii="黑体" w:hAnsi="黑体" w:eastAsia="黑体" w:cs="黑体"/>
          <w:spacing w:val="14"/>
          <w:sz w:val="19"/>
          <w:szCs w:val="19"/>
        </w:rPr>
        <w:t>表</w:t>
      </w:r>
      <w:r>
        <w:rPr>
          <w:rFonts w:ascii="Times New Roman" w:hAnsi="Times New Roman" w:eastAsia="Times New Roman" w:cs="Times New Roman"/>
          <w:spacing w:val="9"/>
          <w:sz w:val="19"/>
          <w:szCs w:val="19"/>
        </w:rPr>
        <w:t>8</w:t>
      </w:r>
      <w:r>
        <w:rPr>
          <w:rFonts w:ascii="Times New Roman" w:hAnsi="Times New Roman" w:eastAsia="Times New Roman" w:cs="Times New Roman"/>
          <w:spacing w:val="7"/>
          <w:sz w:val="19"/>
          <w:szCs w:val="19"/>
        </w:rPr>
        <w:t xml:space="preserve">    </w:t>
      </w:r>
      <w:r>
        <w:rPr>
          <w:rFonts w:ascii="黑体" w:hAnsi="黑体" w:eastAsia="黑体" w:cs="黑体"/>
          <w:spacing w:val="7"/>
          <w:sz w:val="19"/>
          <w:szCs w:val="19"/>
        </w:rPr>
        <w:t>预测年交通量车型比和昼夜比</w:t>
      </w:r>
    </w:p>
    <w:tbl>
      <w:tblPr>
        <w:tblStyle w:val="4"/>
        <w:tblW w:w="88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45"/>
        <w:gridCol w:w="1950"/>
        <w:gridCol w:w="1634"/>
        <w:gridCol w:w="1693"/>
        <w:gridCol w:w="15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045" w:type="dxa"/>
            <w:vMerge w:val="restart"/>
            <w:tcBorders>
              <w:bottom w:val="nil"/>
            </w:tcBorders>
            <w:vAlign w:val="top"/>
          </w:tcPr>
          <w:p>
            <w:pPr>
              <w:spacing w:before="234" w:line="230" w:lineRule="auto"/>
              <w:ind w:left="759"/>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预测</w:t>
            </w:r>
            <w:r>
              <w:rPr>
                <w:rFonts w:ascii="宋体" w:hAnsi="宋体" w:eastAsia="宋体" w:cs="宋体"/>
                <w:spacing w:val="7"/>
                <w:sz w:val="17"/>
                <w:szCs w:val="17"/>
                <w14:textOutline w14:w="3268" w14:cap="sq" w14:cmpd="sng">
                  <w14:solidFill>
                    <w14:srgbClr w14:val="000000"/>
                  </w14:solidFill>
                  <w14:prstDash w14:val="solid"/>
                  <w14:bevel/>
                </w14:textOutline>
              </w:rPr>
              <w:t>年</w:t>
            </w:r>
          </w:p>
        </w:tc>
        <w:tc>
          <w:tcPr>
            <w:tcW w:w="5277" w:type="dxa"/>
            <w:gridSpan w:val="3"/>
            <w:vAlign w:val="top"/>
          </w:tcPr>
          <w:p>
            <w:pPr>
              <w:spacing w:before="35" w:line="249" w:lineRule="exact"/>
              <w:ind w:left="2102"/>
              <w:rPr>
                <w:rFonts w:ascii="宋体" w:hAnsi="宋体" w:eastAsia="宋体" w:cs="宋体"/>
                <w:sz w:val="17"/>
                <w:szCs w:val="17"/>
              </w:rPr>
            </w:pPr>
            <w:r>
              <w:rPr>
                <w:rFonts w:ascii="宋体" w:hAnsi="宋体" w:eastAsia="宋体" w:cs="宋体"/>
                <w:spacing w:val="7"/>
                <w:position w:val="1"/>
                <w:sz w:val="17"/>
                <w:szCs w:val="17"/>
                <w14:textOutline w14:w="3268" w14:cap="sq" w14:cmpd="sng">
                  <w14:solidFill>
                    <w14:srgbClr w14:val="000000"/>
                  </w14:solidFill>
                  <w14:prstDash w14:val="solid"/>
                  <w14:bevel/>
                </w14:textOutline>
              </w:rPr>
              <w:t>车</w:t>
            </w:r>
            <w:r>
              <w:rPr>
                <w:rFonts w:ascii="宋体" w:hAnsi="宋体" w:eastAsia="宋体" w:cs="宋体"/>
                <w:spacing w:val="6"/>
                <w:position w:val="1"/>
                <w:sz w:val="17"/>
                <w:szCs w:val="17"/>
                <w14:textOutline w14:w="3268" w14:cap="sq" w14:cmpd="sng">
                  <w14:solidFill>
                    <w14:srgbClr w14:val="000000"/>
                  </w14:solidFill>
                  <w14:prstDash w14:val="solid"/>
                  <w14:bevel/>
                </w14:textOutline>
              </w:rPr>
              <w:t>型比</w:t>
            </w:r>
            <w:r>
              <w:rPr>
                <w:rFonts w:ascii="宋体" w:hAnsi="宋体" w:eastAsia="宋体" w:cs="宋体"/>
                <w:spacing w:val="6"/>
                <w:position w:val="1"/>
                <w:sz w:val="17"/>
                <w:szCs w:val="17"/>
              </w:rPr>
              <w:t xml:space="preserve"> </w:t>
            </w:r>
            <w:r>
              <w:rPr>
                <w:rFonts w:ascii="宋体" w:hAnsi="宋体" w:eastAsia="宋体" w:cs="宋体"/>
                <w:spacing w:val="6"/>
                <w:position w:val="1"/>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spacing w:val="6"/>
                <w:position w:val="1"/>
                <w:sz w:val="17"/>
                <w:szCs w:val="17"/>
              </w:rPr>
              <w:t>%</w:t>
            </w:r>
            <w:r>
              <w:rPr>
                <w:rFonts w:ascii="宋体" w:hAnsi="宋体" w:eastAsia="宋体" w:cs="宋体"/>
                <w:spacing w:val="6"/>
                <w:position w:val="1"/>
                <w:sz w:val="17"/>
                <w:szCs w:val="17"/>
                <w14:textOutline w14:w="3268" w14:cap="sq" w14:cmpd="sng">
                  <w14:solidFill>
                    <w14:srgbClr w14:val="000000"/>
                  </w14:solidFill>
                  <w14:prstDash w14:val="solid"/>
                  <w14:bevel/>
                </w14:textOutline>
              </w:rPr>
              <w:t>)</w:t>
            </w:r>
          </w:p>
        </w:tc>
        <w:tc>
          <w:tcPr>
            <w:tcW w:w="1520" w:type="dxa"/>
            <w:vMerge w:val="restart"/>
            <w:tcBorders>
              <w:bottom w:val="nil"/>
            </w:tcBorders>
            <w:vAlign w:val="top"/>
          </w:tcPr>
          <w:p>
            <w:pPr>
              <w:spacing w:before="234" w:line="230" w:lineRule="auto"/>
              <w:ind w:left="493"/>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昼</w:t>
            </w:r>
            <w:r>
              <w:rPr>
                <w:rFonts w:ascii="宋体" w:hAnsi="宋体" w:eastAsia="宋体" w:cs="宋体"/>
                <w:spacing w:val="8"/>
                <w:sz w:val="17"/>
                <w:szCs w:val="17"/>
                <w14:textOutline w14:w="3268" w14:cap="sq" w14:cmpd="sng">
                  <w14:solidFill>
                    <w14:srgbClr w14:val="000000"/>
                  </w14:solidFill>
                  <w14:prstDash w14:val="solid"/>
                  <w14:bevel/>
                </w14:textOutline>
              </w:rPr>
              <w:t>夜比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2045" w:type="dxa"/>
            <w:vMerge w:val="continue"/>
            <w:tcBorders>
              <w:top w:val="nil"/>
            </w:tcBorders>
            <w:vAlign w:val="top"/>
          </w:tcPr>
          <w:p>
            <w:pPr>
              <w:rPr>
                <w:rFonts w:ascii="Arial"/>
                <w:sz w:val="21"/>
              </w:rPr>
            </w:pPr>
          </w:p>
        </w:tc>
        <w:tc>
          <w:tcPr>
            <w:tcW w:w="1950" w:type="dxa"/>
            <w:vAlign w:val="top"/>
          </w:tcPr>
          <w:p>
            <w:pPr>
              <w:spacing w:before="70" w:line="230" w:lineRule="auto"/>
              <w:ind w:left="711"/>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小型</w:t>
            </w:r>
            <w:r>
              <w:rPr>
                <w:rFonts w:ascii="宋体" w:hAnsi="宋体" w:eastAsia="宋体" w:cs="宋体"/>
                <w:spacing w:val="6"/>
                <w:sz w:val="17"/>
                <w:szCs w:val="17"/>
                <w14:textOutline w14:w="3268" w14:cap="sq" w14:cmpd="sng">
                  <w14:solidFill>
                    <w14:srgbClr w14:val="000000"/>
                  </w14:solidFill>
                  <w14:prstDash w14:val="solid"/>
                  <w14:bevel/>
                </w14:textOutline>
              </w:rPr>
              <w:t>车</w:t>
            </w:r>
          </w:p>
        </w:tc>
        <w:tc>
          <w:tcPr>
            <w:tcW w:w="1634" w:type="dxa"/>
            <w:vAlign w:val="top"/>
          </w:tcPr>
          <w:p>
            <w:pPr>
              <w:spacing w:before="70" w:line="230" w:lineRule="auto"/>
              <w:ind w:left="566"/>
              <w:rPr>
                <w:rFonts w:ascii="宋体" w:hAnsi="宋体" w:eastAsia="宋体" w:cs="宋体"/>
                <w:sz w:val="17"/>
                <w:szCs w:val="17"/>
              </w:rPr>
            </w:pPr>
            <w:r>
              <w:rPr>
                <w:rFonts w:ascii="宋体" w:hAnsi="宋体" w:eastAsia="宋体" w:cs="宋体"/>
                <w:spacing w:val="3"/>
                <w:sz w:val="17"/>
                <w:szCs w:val="17"/>
                <w14:textOutline w14:w="3268" w14:cap="sq" w14:cmpd="sng">
                  <w14:solidFill>
                    <w14:srgbClr w14:val="000000"/>
                  </w14:solidFill>
                  <w14:prstDash w14:val="solid"/>
                  <w14:bevel/>
                </w14:textOutline>
              </w:rPr>
              <w:t>中型</w:t>
            </w:r>
            <w:r>
              <w:rPr>
                <w:rFonts w:ascii="宋体" w:hAnsi="宋体" w:eastAsia="宋体" w:cs="宋体"/>
                <w:spacing w:val="2"/>
                <w:sz w:val="17"/>
                <w:szCs w:val="17"/>
                <w14:textOutline w14:w="3268" w14:cap="sq" w14:cmpd="sng">
                  <w14:solidFill>
                    <w14:srgbClr w14:val="000000"/>
                  </w14:solidFill>
                  <w14:prstDash w14:val="solid"/>
                  <w14:bevel/>
                </w14:textOutline>
              </w:rPr>
              <w:t>车</w:t>
            </w:r>
          </w:p>
        </w:tc>
        <w:tc>
          <w:tcPr>
            <w:tcW w:w="1693" w:type="dxa"/>
            <w:vAlign w:val="top"/>
          </w:tcPr>
          <w:p>
            <w:pPr>
              <w:spacing w:before="70" w:line="230" w:lineRule="auto"/>
              <w:ind w:left="583"/>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大</w:t>
            </w:r>
            <w:r>
              <w:rPr>
                <w:rFonts w:ascii="宋体" w:hAnsi="宋体" w:eastAsia="宋体" w:cs="宋体"/>
                <w:spacing w:val="7"/>
                <w:sz w:val="17"/>
                <w:szCs w:val="17"/>
                <w14:textOutline w14:w="3268" w14:cap="sq" w14:cmpd="sng">
                  <w14:solidFill>
                    <w14:srgbClr w14:val="000000"/>
                  </w14:solidFill>
                  <w14:prstDash w14:val="solid"/>
                  <w14:bevel/>
                </w14:textOutline>
              </w:rPr>
              <w:t>型车</w:t>
            </w:r>
          </w:p>
        </w:tc>
        <w:tc>
          <w:tcPr>
            <w:tcW w:w="152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45" w:type="dxa"/>
            <w:vAlign w:val="top"/>
          </w:tcPr>
          <w:p>
            <w:pPr>
              <w:spacing w:before="69" w:line="230" w:lineRule="auto"/>
              <w:ind w:left="730"/>
              <w:rPr>
                <w:rFonts w:ascii="宋体" w:hAnsi="宋体" w:eastAsia="宋体" w:cs="宋体"/>
                <w:sz w:val="17"/>
                <w:szCs w:val="17"/>
              </w:rPr>
            </w:pPr>
            <w:r>
              <w:rPr>
                <w:rFonts w:ascii="Times New Roman" w:hAnsi="Times New Roman" w:eastAsia="Times New Roman" w:cs="Times New Roman"/>
                <w:spacing w:val="5"/>
                <w:sz w:val="17"/>
                <w:szCs w:val="17"/>
              </w:rPr>
              <w:t xml:space="preserve">2026 </w:t>
            </w:r>
            <w:r>
              <w:rPr>
                <w:rFonts w:ascii="宋体" w:hAnsi="宋体" w:eastAsia="宋体" w:cs="宋体"/>
                <w:spacing w:val="4"/>
                <w:sz w:val="17"/>
                <w:szCs w:val="17"/>
              </w:rPr>
              <w:t>年</w:t>
            </w:r>
          </w:p>
        </w:tc>
        <w:tc>
          <w:tcPr>
            <w:tcW w:w="1950" w:type="dxa"/>
            <w:vAlign w:val="top"/>
          </w:tcPr>
          <w:p>
            <w:pPr>
              <w:spacing w:before="34" w:line="242" w:lineRule="exact"/>
              <w:ind w:left="698"/>
              <w:rPr>
                <w:rFonts w:ascii="Times New Roman" w:hAnsi="Times New Roman" w:eastAsia="Times New Roman" w:cs="Times New Roman"/>
                <w:sz w:val="17"/>
                <w:szCs w:val="17"/>
              </w:rPr>
            </w:pPr>
            <w:r>
              <w:rPr>
                <w:rFonts w:ascii="Times New Roman" w:hAnsi="Times New Roman" w:eastAsia="Times New Roman" w:cs="Times New Roman"/>
                <w:spacing w:val="8"/>
                <w:position w:val="2"/>
                <w:sz w:val="17"/>
                <w:szCs w:val="17"/>
              </w:rPr>
              <w:t>4</w:t>
            </w:r>
            <w:r>
              <w:rPr>
                <w:rFonts w:ascii="Times New Roman" w:hAnsi="Times New Roman" w:eastAsia="Times New Roman" w:cs="Times New Roman"/>
                <w:spacing w:val="4"/>
                <w:position w:val="2"/>
                <w:sz w:val="17"/>
                <w:szCs w:val="17"/>
              </w:rPr>
              <w:t>3.37%</w:t>
            </w:r>
          </w:p>
        </w:tc>
        <w:tc>
          <w:tcPr>
            <w:tcW w:w="1634" w:type="dxa"/>
            <w:vAlign w:val="top"/>
          </w:tcPr>
          <w:p>
            <w:pPr>
              <w:spacing w:before="34" w:line="242" w:lineRule="exact"/>
              <w:ind w:left="545"/>
              <w:rPr>
                <w:rFonts w:ascii="Times New Roman" w:hAnsi="Times New Roman" w:eastAsia="Times New Roman" w:cs="Times New Roman"/>
                <w:sz w:val="17"/>
                <w:szCs w:val="17"/>
              </w:rPr>
            </w:pPr>
            <w:r>
              <w:rPr>
                <w:rFonts w:ascii="Times New Roman" w:hAnsi="Times New Roman" w:eastAsia="Times New Roman" w:cs="Times New Roman"/>
                <w:spacing w:val="4"/>
                <w:position w:val="2"/>
                <w:sz w:val="17"/>
                <w:szCs w:val="17"/>
              </w:rPr>
              <w:t>33.96%</w:t>
            </w:r>
          </w:p>
        </w:tc>
        <w:tc>
          <w:tcPr>
            <w:tcW w:w="1693" w:type="dxa"/>
            <w:vAlign w:val="top"/>
          </w:tcPr>
          <w:p>
            <w:pPr>
              <w:spacing w:before="34" w:line="242" w:lineRule="exact"/>
              <w:ind w:left="570"/>
              <w:rPr>
                <w:rFonts w:ascii="Times New Roman" w:hAnsi="Times New Roman" w:eastAsia="Times New Roman" w:cs="Times New Roman"/>
                <w:sz w:val="17"/>
                <w:szCs w:val="17"/>
              </w:rPr>
            </w:pPr>
            <w:r>
              <w:rPr>
                <w:rFonts w:ascii="Times New Roman" w:hAnsi="Times New Roman" w:eastAsia="Times New Roman" w:cs="Times New Roman"/>
                <w:spacing w:val="7"/>
                <w:position w:val="2"/>
                <w:sz w:val="17"/>
                <w:szCs w:val="17"/>
              </w:rPr>
              <w:t>2</w:t>
            </w:r>
            <w:r>
              <w:rPr>
                <w:rFonts w:ascii="Times New Roman" w:hAnsi="Times New Roman" w:eastAsia="Times New Roman" w:cs="Times New Roman"/>
                <w:spacing w:val="4"/>
                <w:position w:val="2"/>
                <w:sz w:val="17"/>
                <w:szCs w:val="17"/>
              </w:rPr>
              <w:t>2.67%</w:t>
            </w:r>
          </w:p>
        </w:tc>
        <w:tc>
          <w:tcPr>
            <w:tcW w:w="1520" w:type="dxa"/>
            <w:vMerge w:val="restart"/>
            <w:tcBorders>
              <w:bottom w:val="nil"/>
            </w:tcBorders>
            <w:vAlign w:val="top"/>
          </w:tcPr>
          <w:p>
            <w:pPr>
              <w:spacing w:line="387" w:lineRule="auto"/>
              <w:rPr>
                <w:rFonts w:ascii="Arial"/>
                <w:sz w:val="21"/>
              </w:rPr>
            </w:pPr>
          </w:p>
          <w:p>
            <w:pPr>
              <w:spacing w:before="49" w:line="197" w:lineRule="auto"/>
              <w:ind w:left="64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w:t>
            </w:r>
            <w:r>
              <w:rPr>
                <w:rFonts w:ascii="Times New Roman" w:hAnsi="Times New Roman" w:eastAsia="Times New Roman" w:cs="Times New Roman"/>
                <w:spacing w:val="1"/>
                <w:sz w:val="17"/>
                <w:szCs w:val="17"/>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45" w:type="dxa"/>
            <w:vAlign w:val="top"/>
          </w:tcPr>
          <w:p>
            <w:pPr>
              <w:spacing w:before="69" w:line="230" w:lineRule="auto"/>
              <w:ind w:left="730"/>
              <w:rPr>
                <w:rFonts w:ascii="宋体" w:hAnsi="宋体" w:eastAsia="宋体" w:cs="宋体"/>
                <w:sz w:val="17"/>
                <w:szCs w:val="17"/>
              </w:rPr>
            </w:pPr>
            <w:r>
              <w:rPr>
                <w:rFonts w:ascii="Times New Roman" w:hAnsi="Times New Roman" w:eastAsia="Times New Roman" w:cs="Times New Roman"/>
                <w:spacing w:val="5"/>
                <w:sz w:val="17"/>
                <w:szCs w:val="17"/>
              </w:rPr>
              <w:t xml:space="preserve">2032 </w:t>
            </w:r>
            <w:r>
              <w:rPr>
                <w:rFonts w:ascii="宋体" w:hAnsi="宋体" w:eastAsia="宋体" w:cs="宋体"/>
                <w:spacing w:val="4"/>
                <w:sz w:val="17"/>
                <w:szCs w:val="17"/>
              </w:rPr>
              <w:t>年</w:t>
            </w:r>
          </w:p>
        </w:tc>
        <w:tc>
          <w:tcPr>
            <w:tcW w:w="1950" w:type="dxa"/>
            <w:vAlign w:val="top"/>
          </w:tcPr>
          <w:p>
            <w:pPr>
              <w:spacing w:before="36" w:line="242" w:lineRule="exact"/>
              <w:ind w:left="698"/>
              <w:rPr>
                <w:rFonts w:ascii="Times New Roman" w:hAnsi="Times New Roman" w:eastAsia="Times New Roman" w:cs="Times New Roman"/>
                <w:sz w:val="17"/>
                <w:szCs w:val="17"/>
              </w:rPr>
            </w:pPr>
            <w:r>
              <w:rPr>
                <w:rFonts w:ascii="Times New Roman" w:hAnsi="Times New Roman" w:eastAsia="Times New Roman" w:cs="Times New Roman"/>
                <w:spacing w:val="8"/>
                <w:position w:val="2"/>
                <w:sz w:val="17"/>
                <w:szCs w:val="17"/>
              </w:rPr>
              <w:t>4</w:t>
            </w:r>
            <w:r>
              <w:rPr>
                <w:rFonts w:ascii="Times New Roman" w:hAnsi="Times New Roman" w:eastAsia="Times New Roman" w:cs="Times New Roman"/>
                <w:spacing w:val="4"/>
                <w:position w:val="2"/>
                <w:sz w:val="17"/>
                <w:szCs w:val="17"/>
              </w:rPr>
              <w:t>7.62%</w:t>
            </w:r>
          </w:p>
        </w:tc>
        <w:tc>
          <w:tcPr>
            <w:tcW w:w="1634" w:type="dxa"/>
            <w:vAlign w:val="top"/>
          </w:tcPr>
          <w:p>
            <w:pPr>
              <w:spacing w:before="36" w:line="242" w:lineRule="exact"/>
              <w:ind w:left="545"/>
              <w:rPr>
                <w:rFonts w:ascii="Times New Roman" w:hAnsi="Times New Roman" w:eastAsia="Times New Roman" w:cs="Times New Roman"/>
                <w:sz w:val="17"/>
                <w:szCs w:val="17"/>
              </w:rPr>
            </w:pPr>
            <w:r>
              <w:rPr>
                <w:rFonts w:ascii="Times New Roman" w:hAnsi="Times New Roman" w:eastAsia="Times New Roman" w:cs="Times New Roman"/>
                <w:spacing w:val="4"/>
                <w:position w:val="2"/>
                <w:sz w:val="17"/>
                <w:szCs w:val="17"/>
              </w:rPr>
              <w:t>30.82%</w:t>
            </w:r>
          </w:p>
        </w:tc>
        <w:tc>
          <w:tcPr>
            <w:tcW w:w="1693" w:type="dxa"/>
            <w:vAlign w:val="top"/>
          </w:tcPr>
          <w:p>
            <w:pPr>
              <w:spacing w:before="36" w:line="242" w:lineRule="exact"/>
              <w:ind w:left="570"/>
              <w:rPr>
                <w:rFonts w:ascii="Times New Roman" w:hAnsi="Times New Roman" w:eastAsia="Times New Roman" w:cs="Times New Roman"/>
                <w:sz w:val="17"/>
                <w:szCs w:val="17"/>
              </w:rPr>
            </w:pPr>
            <w:r>
              <w:rPr>
                <w:rFonts w:ascii="Times New Roman" w:hAnsi="Times New Roman" w:eastAsia="Times New Roman" w:cs="Times New Roman"/>
                <w:spacing w:val="7"/>
                <w:position w:val="2"/>
                <w:sz w:val="17"/>
                <w:szCs w:val="17"/>
              </w:rPr>
              <w:t>2</w:t>
            </w:r>
            <w:r>
              <w:rPr>
                <w:rFonts w:ascii="Times New Roman" w:hAnsi="Times New Roman" w:eastAsia="Times New Roman" w:cs="Times New Roman"/>
                <w:spacing w:val="4"/>
                <w:position w:val="2"/>
                <w:sz w:val="17"/>
                <w:szCs w:val="17"/>
              </w:rPr>
              <w:t>1.56%</w:t>
            </w:r>
          </w:p>
        </w:tc>
        <w:tc>
          <w:tcPr>
            <w:tcW w:w="152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2045" w:type="dxa"/>
            <w:vAlign w:val="top"/>
          </w:tcPr>
          <w:p>
            <w:pPr>
              <w:spacing w:before="88" w:line="230" w:lineRule="auto"/>
              <w:ind w:left="730"/>
              <w:rPr>
                <w:rFonts w:ascii="宋体" w:hAnsi="宋体" w:eastAsia="宋体" w:cs="宋体"/>
                <w:sz w:val="17"/>
                <w:szCs w:val="17"/>
              </w:rPr>
            </w:pPr>
            <w:r>
              <w:rPr>
                <w:rFonts w:ascii="Times New Roman" w:hAnsi="Times New Roman" w:eastAsia="Times New Roman" w:cs="Times New Roman"/>
                <w:spacing w:val="5"/>
                <w:sz w:val="17"/>
                <w:szCs w:val="17"/>
              </w:rPr>
              <w:t xml:space="preserve">2040 </w:t>
            </w:r>
            <w:r>
              <w:rPr>
                <w:rFonts w:ascii="宋体" w:hAnsi="宋体" w:eastAsia="宋体" w:cs="宋体"/>
                <w:spacing w:val="4"/>
                <w:sz w:val="17"/>
                <w:szCs w:val="17"/>
              </w:rPr>
              <w:t>年</w:t>
            </w:r>
          </w:p>
        </w:tc>
        <w:tc>
          <w:tcPr>
            <w:tcW w:w="1950" w:type="dxa"/>
            <w:vAlign w:val="top"/>
          </w:tcPr>
          <w:p>
            <w:pPr>
              <w:spacing w:before="29" w:line="242" w:lineRule="exact"/>
              <w:ind w:left="703"/>
              <w:rPr>
                <w:rFonts w:ascii="Times New Roman" w:hAnsi="Times New Roman" w:eastAsia="Times New Roman" w:cs="Times New Roman"/>
                <w:sz w:val="17"/>
                <w:szCs w:val="17"/>
              </w:rPr>
            </w:pPr>
            <w:r>
              <w:rPr>
                <w:rFonts w:ascii="Times New Roman" w:hAnsi="Times New Roman" w:eastAsia="Times New Roman" w:cs="Times New Roman"/>
                <w:spacing w:val="6"/>
                <w:position w:val="2"/>
                <w:sz w:val="17"/>
                <w:szCs w:val="17"/>
              </w:rPr>
              <w:t>5</w:t>
            </w:r>
            <w:r>
              <w:rPr>
                <w:rFonts w:ascii="Times New Roman" w:hAnsi="Times New Roman" w:eastAsia="Times New Roman" w:cs="Times New Roman"/>
                <w:spacing w:val="4"/>
                <w:position w:val="2"/>
                <w:sz w:val="17"/>
                <w:szCs w:val="17"/>
              </w:rPr>
              <w:t>4</w:t>
            </w:r>
            <w:r>
              <w:rPr>
                <w:rFonts w:ascii="Times New Roman" w:hAnsi="Times New Roman" w:eastAsia="Times New Roman" w:cs="Times New Roman"/>
                <w:spacing w:val="3"/>
                <w:position w:val="2"/>
                <w:sz w:val="17"/>
                <w:szCs w:val="17"/>
              </w:rPr>
              <w:t>.01%</w:t>
            </w:r>
          </w:p>
        </w:tc>
        <w:tc>
          <w:tcPr>
            <w:tcW w:w="1634" w:type="dxa"/>
            <w:vAlign w:val="top"/>
          </w:tcPr>
          <w:p>
            <w:pPr>
              <w:spacing w:before="29" w:line="242" w:lineRule="exact"/>
              <w:ind w:left="541"/>
              <w:rPr>
                <w:rFonts w:ascii="Times New Roman" w:hAnsi="Times New Roman" w:eastAsia="Times New Roman" w:cs="Times New Roman"/>
                <w:sz w:val="17"/>
                <w:szCs w:val="17"/>
              </w:rPr>
            </w:pPr>
            <w:r>
              <w:rPr>
                <w:rFonts w:ascii="Times New Roman" w:hAnsi="Times New Roman" w:eastAsia="Times New Roman" w:cs="Times New Roman"/>
                <w:spacing w:val="7"/>
                <w:position w:val="2"/>
                <w:sz w:val="17"/>
                <w:szCs w:val="17"/>
              </w:rPr>
              <w:t>2</w:t>
            </w:r>
            <w:r>
              <w:rPr>
                <w:rFonts w:ascii="Times New Roman" w:hAnsi="Times New Roman" w:eastAsia="Times New Roman" w:cs="Times New Roman"/>
                <w:spacing w:val="4"/>
                <w:position w:val="2"/>
                <w:sz w:val="17"/>
                <w:szCs w:val="17"/>
              </w:rPr>
              <w:t>7.98%</w:t>
            </w:r>
          </w:p>
        </w:tc>
        <w:tc>
          <w:tcPr>
            <w:tcW w:w="1693" w:type="dxa"/>
            <w:vAlign w:val="top"/>
          </w:tcPr>
          <w:p>
            <w:pPr>
              <w:spacing w:before="29" w:line="242" w:lineRule="exact"/>
              <w:ind w:left="588"/>
              <w:rPr>
                <w:rFonts w:ascii="Times New Roman" w:hAnsi="Times New Roman" w:eastAsia="Times New Roman" w:cs="Times New Roman"/>
                <w:sz w:val="17"/>
                <w:szCs w:val="17"/>
              </w:rPr>
            </w:pPr>
            <w:r>
              <w:rPr>
                <w:rFonts w:ascii="Times New Roman" w:hAnsi="Times New Roman" w:eastAsia="Times New Roman" w:cs="Times New Roman"/>
                <w:spacing w:val="2"/>
                <w:position w:val="2"/>
                <w:sz w:val="17"/>
                <w:szCs w:val="17"/>
              </w:rPr>
              <w:t>18.0</w:t>
            </w:r>
            <w:r>
              <w:rPr>
                <w:rFonts w:ascii="Times New Roman" w:hAnsi="Times New Roman" w:eastAsia="Times New Roman" w:cs="Times New Roman"/>
                <w:spacing w:val="1"/>
                <w:position w:val="2"/>
                <w:sz w:val="17"/>
                <w:szCs w:val="17"/>
              </w:rPr>
              <w:t>1%</w:t>
            </w:r>
          </w:p>
        </w:tc>
        <w:tc>
          <w:tcPr>
            <w:tcW w:w="1520" w:type="dxa"/>
            <w:vMerge w:val="continue"/>
            <w:tcBorders>
              <w:top w:val="nil"/>
            </w:tcBorders>
            <w:vAlign w:val="top"/>
          </w:tcPr>
          <w:p>
            <w:pPr>
              <w:rPr>
                <w:rFonts w:ascii="Arial"/>
                <w:sz w:val="21"/>
              </w:rPr>
            </w:pPr>
          </w:p>
        </w:tc>
      </w:tr>
    </w:tbl>
    <w:p>
      <w:pPr>
        <w:spacing w:before="145" w:line="230" w:lineRule="auto"/>
        <w:ind w:left="7"/>
        <w:outlineLvl w:val="2"/>
        <w:rPr>
          <w:rFonts w:ascii="黑体" w:hAnsi="黑体" w:eastAsia="黑体" w:cs="黑体"/>
          <w:sz w:val="23"/>
          <w:szCs w:val="23"/>
        </w:rPr>
      </w:pPr>
      <w:bookmarkStart w:id="20" w:name="_bookmark21"/>
      <w:bookmarkEnd w:id="20"/>
      <w:r>
        <w:rPr>
          <w:rFonts w:ascii="Times New Roman" w:hAnsi="Times New Roman" w:eastAsia="Times New Roman" w:cs="Times New Roman"/>
          <w:spacing w:val="6"/>
          <w:sz w:val="23"/>
          <w:szCs w:val="23"/>
        </w:rPr>
        <w:t xml:space="preserve">2.4  </w:t>
      </w:r>
      <w:r>
        <w:rPr>
          <w:rFonts w:ascii="黑体" w:hAnsi="黑体" w:eastAsia="黑体" w:cs="黑体"/>
          <w:spacing w:val="6"/>
          <w:sz w:val="23"/>
          <w:szCs w:val="23"/>
        </w:rPr>
        <w:t>工程设</w:t>
      </w:r>
      <w:r>
        <w:rPr>
          <w:rFonts w:ascii="黑体" w:hAnsi="黑体" w:eastAsia="黑体" w:cs="黑体"/>
          <w:spacing w:val="4"/>
          <w:sz w:val="23"/>
          <w:szCs w:val="23"/>
        </w:rPr>
        <w:t>计</w:t>
      </w:r>
    </w:p>
    <w:p>
      <w:pPr>
        <w:spacing w:before="148" w:line="228" w:lineRule="auto"/>
        <w:ind w:left="440"/>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8"/>
          <w:sz w:val="20"/>
          <w:szCs w:val="20"/>
        </w:rPr>
        <w:t>5</w:t>
      </w: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宋体" w:hAnsi="宋体" w:eastAsia="宋体" w:cs="宋体"/>
          <w:spacing w:val="18"/>
          <w:sz w:val="20"/>
          <w:szCs w:val="20"/>
        </w:rPr>
        <w:t xml:space="preserve"> </w:t>
      </w:r>
      <w:r>
        <w:rPr>
          <w:rFonts w:ascii="宋体" w:hAnsi="宋体" w:eastAsia="宋体" w:cs="宋体"/>
          <w:spacing w:val="18"/>
          <w:sz w:val="20"/>
          <w:szCs w:val="20"/>
          <w14:textOutline w14:w="3795" w14:cap="sq" w14:cmpd="sng">
            <w14:solidFill>
              <w14:srgbClr w14:val="000000"/>
            </w14:solidFill>
            <w14:prstDash w14:val="solid"/>
            <w14:bevel/>
          </w14:textOutline>
        </w:rPr>
        <w:t>桥梁设计</w:t>
      </w:r>
    </w:p>
    <w:p>
      <w:pPr>
        <w:tabs>
          <w:tab w:val="left" w:pos="482"/>
        </w:tabs>
        <w:spacing w:before="154" w:line="228" w:lineRule="auto"/>
        <w:ind w:left="401"/>
        <w:rPr>
          <w:rFonts w:ascii="宋体" w:hAnsi="宋体" w:eastAsia="宋体" w:cs="宋体"/>
          <w:sz w:val="20"/>
          <w:szCs w:val="20"/>
        </w:rPr>
      </w:pPr>
      <w:r>
        <w:rPr>
          <w:rFonts w:ascii="宋体" w:hAnsi="宋体" w:eastAsia="宋体" w:cs="宋体"/>
          <w:sz w:val="17"/>
          <w:szCs w:val="17"/>
        </w:rPr>
        <w:tab/>
      </w:r>
      <w:r>
        <w:rPr>
          <w:rFonts w:ascii="宋体" w:hAnsi="宋体" w:eastAsia="宋体" w:cs="宋体"/>
          <w:spacing w:val="10"/>
          <w:sz w:val="17"/>
          <w:szCs w:val="17"/>
        </w:rPr>
        <w:t>1</w:t>
      </w:r>
      <w:r>
        <w:rPr>
          <w:rFonts w:ascii="宋体" w:hAnsi="宋体" w:eastAsia="宋体" w:cs="宋体"/>
          <w:spacing w:val="7"/>
          <w:sz w:val="17"/>
          <w:szCs w:val="17"/>
        </w:rPr>
        <w:t xml:space="preserve"> </w:t>
      </w:r>
      <w:r>
        <w:rPr>
          <w:rFonts w:ascii="宋体" w:hAnsi="宋体" w:eastAsia="宋体" w:cs="宋体"/>
          <w:spacing w:val="5"/>
          <w:sz w:val="17"/>
          <w:szCs w:val="17"/>
        </w:rPr>
        <w:t xml:space="preserve">  </w:t>
      </w:r>
      <w:r>
        <w:rPr>
          <w:rFonts w:ascii="宋体" w:hAnsi="宋体" w:eastAsia="宋体" w:cs="宋体"/>
          <w:spacing w:val="5"/>
          <w:sz w:val="20"/>
          <w:szCs w:val="20"/>
        </w:rPr>
        <w:t>主桥方案设计</w:t>
      </w:r>
    </w:p>
    <w:p>
      <w:pPr>
        <w:spacing w:before="150" w:line="401" w:lineRule="exact"/>
        <w:ind w:left="430"/>
        <w:rPr>
          <w:rFonts w:ascii="宋体" w:hAnsi="宋体" w:eastAsia="宋体" w:cs="宋体"/>
          <w:sz w:val="20"/>
          <w:szCs w:val="20"/>
        </w:rPr>
      </w:pPr>
      <w:r>
        <w:rPr>
          <w:rFonts w:ascii="宋体" w:hAnsi="宋体" w:eastAsia="宋体" w:cs="宋体"/>
          <w:spacing w:val="6"/>
          <w:position w:val="14"/>
          <w:sz w:val="20"/>
          <w:szCs w:val="20"/>
        </w:rPr>
        <w:t>桥梁主体结构</w:t>
      </w:r>
      <w:r>
        <w:rPr>
          <w:rFonts w:ascii="宋体" w:hAnsi="宋体" w:eastAsia="宋体" w:cs="宋体"/>
          <w:spacing w:val="5"/>
          <w:position w:val="14"/>
          <w:sz w:val="20"/>
          <w:szCs w:val="20"/>
        </w:rPr>
        <w:t>采</w:t>
      </w:r>
      <w:r>
        <w:rPr>
          <w:rFonts w:ascii="宋体" w:hAnsi="宋体" w:eastAsia="宋体" w:cs="宋体"/>
          <w:spacing w:val="3"/>
          <w:position w:val="14"/>
          <w:sz w:val="20"/>
          <w:szCs w:val="20"/>
        </w:rPr>
        <w:t xml:space="preserve">用矮塔斜拉桥，主跨跨径 </w:t>
      </w:r>
      <w:r>
        <w:rPr>
          <w:rFonts w:ascii="Times New Roman" w:hAnsi="Times New Roman" w:eastAsia="Times New Roman" w:cs="Times New Roman"/>
          <w:spacing w:val="3"/>
          <w:position w:val="14"/>
          <w:sz w:val="20"/>
          <w:szCs w:val="20"/>
        </w:rPr>
        <w:t>110</w:t>
      </w:r>
      <w:r>
        <w:rPr>
          <w:rFonts w:ascii="Times New Roman" w:hAnsi="Times New Roman" w:eastAsia="Times New Roman" w:cs="Times New Roman"/>
          <w:position w:val="14"/>
          <w:sz w:val="20"/>
          <w:szCs w:val="20"/>
        </w:rPr>
        <w:t>m</w:t>
      </w:r>
      <w:r>
        <w:rPr>
          <w:rFonts w:ascii="宋体" w:hAnsi="宋体" w:eastAsia="宋体" w:cs="宋体"/>
          <w:spacing w:val="3"/>
          <w:position w:val="14"/>
          <w:sz w:val="20"/>
          <w:szCs w:val="20"/>
        </w:rPr>
        <w:t xml:space="preserve">，边孔为 </w:t>
      </w:r>
      <w:r>
        <w:rPr>
          <w:rFonts w:ascii="Times New Roman" w:hAnsi="Times New Roman" w:eastAsia="Times New Roman" w:cs="Times New Roman"/>
          <w:spacing w:val="3"/>
          <w:position w:val="14"/>
          <w:sz w:val="20"/>
          <w:szCs w:val="20"/>
        </w:rPr>
        <w:t>60</w:t>
      </w:r>
      <w:r>
        <w:rPr>
          <w:rFonts w:ascii="Times New Roman" w:hAnsi="Times New Roman" w:eastAsia="Times New Roman" w:cs="Times New Roman"/>
          <w:position w:val="14"/>
          <w:sz w:val="20"/>
          <w:szCs w:val="20"/>
        </w:rPr>
        <w:t>m</w:t>
      </w:r>
      <w:r>
        <w:rPr>
          <w:rFonts w:ascii="Times New Roman" w:hAnsi="Times New Roman" w:eastAsia="Times New Roman" w:cs="Times New Roman"/>
          <w:spacing w:val="3"/>
          <w:position w:val="14"/>
          <w:sz w:val="20"/>
          <w:szCs w:val="20"/>
        </w:rPr>
        <w:t xml:space="preserve"> </w:t>
      </w:r>
      <w:r>
        <w:rPr>
          <w:rFonts w:ascii="宋体" w:hAnsi="宋体" w:eastAsia="宋体" w:cs="宋体"/>
          <w:spacing w:val="3"/>
          <w:position w:val="14"/>
          <w:sz w:val="20"/>
          <w:szCs w:val="20"/>
        </w:rPr>
        <w:t>。吊索采用扇形布置，主梁采用</w:t>
      </w:r>
    </w:p>
    <w:p>
      <w:pPr>
        <w:spacing w:before="1" w:line="227" w:lineRule="auto"/>
        <w:ind w:left="8"/>
        <w:rPr>
          <w:rFonts w:ascii="宋体" w:hAnsi="宋体" w:eastAsia="宋体" w:cs="宋体"/>
          <w:sz w:val="20"/>
          <w:szCs w:val="20"/>
        </w:rPr>
      </w:pPr>
      <w:r>
        <w:rPr>
          <w:rFonts w:ascii="宋体" w:hAnsi="宋体" w:eastAsia="宋体" w:cs="宋体"/>
          <w:spacing w:val="3"/>
          <w:sz w:val="20"/>
          <w:szCs w:val="20"/>
        </w:rPr>
        <w:t xml:space="preserve">钢箱梁，桥塔采用钢塔。桥宽 </w:t>
      </w:r>
      <w:r>
        <w:rPr>
          <w:rFonts w:ascii="Times New Roman" w:hAnsi="Times New Roman" w:eastAsia="Times New Roman" w:cs="Times New Roman"/>
          <w:spacing w:val="3"/>
          <w:sz w:val="20"/>
          <w:szCs w:val="20"/>
        </w:rPr>
        <w:t>34.5</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，主梁中心梁高 </w:t>
      </w:r>
      <w:r>
        <w:rPr>
          <w:rFonts w:ascii="Times New Roman" w:hAnsi="Times New Roman" w:eastAsia="Times New Roman" w:cs="Times New Roman"/>
          <w:spacing w:val="3"/>
          <w:sz w:val="20"/>
          <w:szCs w:val="20"/>
        </w:rPr>
        <w:t>2.8</w:t>
      </w:r>
      <w:r>
        <w:rPr>
          <w:rFonts w:ascii="Times New Roman" w:hAnsi="Times New Roman" w:eastAsia="Times New Roman" w:cs="Times New Roman"/>
          <w:sz w:val="20"/>
          <w:szCs w:val="20"/>
        </w:rPr>
        <w:t>m</w:t>
      </w:r>
      <w:r>
        <w:rPr>
          <w:rFonts w:ascii="宋体" w:hAnsi="宋体" w:eastAsia="宋体" w:cs="宋体"/>
          <w:spacing w:val="2"/>
          <w:sz w:val="20"/>
          <w:szCs w:val="20"/>
        </w:rPr>
        <w:t>。</w:t>
      </w:r>
    </w:p>
    <w:p>
      <w:pPr>
        <w:spacing w:before="116" w:line="380" w:lineRule="auto"/>
        <w:ind w:left="11" w:right="2" w:firstLine="418"/>
        <w:rPr>
          <w:rFonts w:ascii="宋体" w:hAnsi="宋体" w:eastAsia="宋体" w:cs="宋体"/>
          <w:sz w:val="20"/>
          <w:szCs w:val="20"/>
        </w:rPr>
      </w:pPr>
      <w:r>
        <w:rPr>
          <w:rFonts w:ascii="宋体" w:hAnsi="宋体" w:eastAsia="宋体" w:cs="宋体"/>
          <w:spacing w:val="7"/>
          <w:sz w:val="20"/>
          <w:szCs w:val="20"/>
        </w:rPr>
        <w:t>桥梁横断面具体布置为：</w:t>
      </w:r>
      <w:r>
        <w:rPr>
          <w:rFonts w:ascii="Times New Roman" w:hAnsi="Times New Roman" w:eastAsia="Times New Roman" w:cs="Times New Roman"/>
          <w:spacing w:val="7"/>
          <w:sz w:val="20"/>
          <w:szCs w:val="20"/>
        </w:rPr>
        <w:t>4.0</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人行道</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索区</w:t>
      </w:r>
      <w:r>
        <w:rPr>
          <w:rFonts w:ascii="Times New Roman" w:hAnsi="Times New Roman" w:eastAsia="Times New Roman" w:cs="Times New Roman"/>
          <w:spacing w:val="7"/>
          <w:sz w:val="20"/>
          <w:szCs w:val="20"/>
        </w:rPr>
        <w:t>+0.5</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护栏</w:t>
      </w:r>
      <w:r>
        <w:rPr>
          <w:rFonts w:ascii="Times New Roman" w:hAnsi="Times New Roman" w:eastAsia="Times New Roman" w:cs="Times New Roman"/>
          <w:spacing w:val="7"/>
          <w:sz w:val="20"/>
          <w:szCs w:val="20"/>
        </w:rPr>
        <w:t>+10.5</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车行道</w:t>
      </w:r>
      <w:r>
        <w:rPr>
          <w:rFonts w:ascii="Times New Roman" w:hAnsi="Times New Roman" w:eastAsia="Times New Roman" w:cs="Times New Roman"/>
          <w:spacing w:val="7"/>
          <w:sz w:val="20"/>
          <w:szCs w:val="20"/>
        </w:rPr>
        <w:t>+0.5</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护栏</w:t>
      </w:r>
      <w:r>
        <w:rPr>
          <w:rFonts w:ascii="Times New Roman" w:hAnsi="Times New Roman" w:eastAsia="Times New Roman" w:cs="Times New Roman"/>
          <w:spacing w:val="7"/>
          <w:sz w:val="20"/>
          <w:szCs w:val="20"/>
        </w:rPr>
        <w:t>+10.</w:t>
      </w:r>
      <w:r>
        <w:rPr>
          <w:rFonts w:ascii="Times New Roman" w:hAnsi="Times New Roman" w:eastAsia="Times New Roman" w:cs="Times New Roman"/>
          <w:spacing w:val="3"/>
          <w:sz w:val="20"/>
          <w:szCs w:val="20"/>
        </w:rPr>
        <w:t>5</w:t>
      </w:r>
      <w:r>
        <w:rPr>
          <w:rFonts w:ascii="Times New Roman" w:hAnsi="Times New Roman" w:eastAsia="Times New Roman" w:cs="Times New Roman"/>
          <w:sz w:val="20"/>
          <w:szCs w:val="20"/>
        </w:rPr>
        <w:t xml:space="preserve">m </w:t>
      </w:r>
      <w:r>
        <w:rPr>
          <w:rFonts w:ascii="宋体" w:hAnsi="宋体" w:eastAsia="宋体" w:cs="宋体"/>
          <w:spacing w:val="7"/>
          <w:sz w:val="20"/>
          <w:szCs w:val="20"/>
        </w:rPr>
        <w:t>车行道</w:t>
      </w:r>
      <w:r>
        <w:rPr>
          <w:rFonts w:ascii="Times New Roman" w:hAnsi="Times New Roman" w:eastAsia="Times New Roman" w:cs="Times New Roman"/>
          <w:spacing w:val="7"/>
          <w:sz w:val="20"/>
          <w:szCs w:val="20"/>
        </w:rPr>
        <w:t>+0.5</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护栏</w:t>
      </w:r>
      <w:r>
        <w:rPr>
          <w:rFonts w:ascii="Times New Roman" w:hAnsi="Times New Roman" w:eastAsia="Times New Roman" w:cs="Times New Roman"/>
          <w:spacing w:val="7"/>
          <w:sz w:val="20"/>
          <w:szCs w:val="20"/>
        </w:rPr>
        <w:t>+2</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索区</w:t>
      </w:r>
      <w:r>
        <w:rPr>
          <w:rFonts w:ascii="Times New Roman" w:hAnsi="Times New Roman" w:eastAsia="Times New Roman" w:cs="Times New Roman"/>
          <w:spacing w:val="7"/>
          <w:sz w:val="20"/>
          <w:szCs w:val="20"/>
        </w:rPr>
        <w:t>+4.0</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人行道</w:t>
      </w:r>
      <w:r>
        <w:rPr>
          <w:rFonts w:ascii="Times New Roman" w:hAnsi="Times New Roman" w:eastAsia="Times New Roman" w:cs="Times New Roman"/>
          <w:spacing w:val="7"/>
          <w:sz w:val="20"/>
          <w:szCs w:val="20"/>
        </w:rPr>
        <w:t>=34.5</w:t>
      </w:r>
      <w:r>
        <w:rPr>
          <w:rFonts w:ascii="Times New Roman" w:hAnsi="Times New Roman" w:eastAsia="Times New Roman" w:cs="Times New Roman"/>
          <w:sz w:val="20"/>
          <w:szCs w:val="20"/>
        </w:rPr>
        <w:t>m</w:t>
      </w:r>
      <w:r>
        <w:rPr>
          <w:rFonts w:ascii="宋体" w:hAnsi="宋体" w:eastAsia="宋体" w:cs="宋体"/>
          <w:spacing w:val="2"/>
          <w:sz w:val="20"/>
          <w:szCs w:val="20"/>
        </w:rPr>
        <w:t>。</w:t>
      </w:r>
    </w:p>
    <w:p>
      <w:pPr>
        <w:spacing w:before="14" w:line="227" w:lineRule="auto"/>
        <w:ind w:left="436"/>
        <w:rPr>
          <w:rFonts w:ascii="宋体" w:hAnsi="宋体" w:eastAsia="宋体" w:cs="宋体"/>
          <w:sz w:val="20"/>
          <w:szCs w:val="20"/>
        </w:rPr>
      </w:pPr>
      <w:r>
        <w:rPr>
          <w:rFonts w:ascii="宋体" w:hAnsi="宋体" w:eastAsia="宋体" w:cs="宋体"/>
          <w:spacing w:val="9"/>
          <w:sz w:val="20"/>
          <w:szCs w:val="20"/>
        </w:rPr>
        <w:t>下部结构桥墩采用分离式矩形墩，基础采用钻孔灌注桩基础</w:t>
      </w:r>
      <w:r>
        <w:rPr>
          <w:rFonts w:ascii="宋体" w:hAnsi="宋体" w:eastAsia="宋体" w:cs="宋体"/>
          <w:spacing w:val="8"/>
          <w:sz w:val="20"/>
          <w:szCs w:val="20"/>
        </w:rPr>
        <w:t>。</w:t>
      </w:r>
    </w:p>
    <w:p>
      <w:pPr>
        <w:spacing w:line="144" w:lineRule="auto"/>
        <w:rPr>
          <w:rFonts w:ascii="Arial"/>
          <w:sz w:val="2"/>
        </w:rPr>
      </w:pPr>
    </w:p>
    <w:tbl>
      <w:tblPr>
        <w:tblStyle w:val="4"/>
        <w:tblW w:w="8585" w:type="dxa"/>
        <w:tblInd w:w="126"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8585"/>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3861" w:hRule="atLeast"/>
        </w:trPr>
        <w:tc>
          <w:tcPr>
            <w:tcW w:w="8585" w:type="dxa"/>
            <w:vAlign w:val="top"/>
          </w:tcPr>
          <w:p>
            <w:pPr>
              <w:spacing w:line="3860" w:lineRule="exact"/>
              <w:textAlignment w:val="center"/>
            </w:pPr>
            <w:r>
              <w:drawing>
                <wp:inline distT="0" distB="0" distL="0" distR="0">
                  <wp:extent cx="5438775" cy="2451100"/>
                  <wp:effectExtent l="0" t="0" r="0" b="0"/>
                  <wp:docPr id="109" name="IM 109"/>
                  <wp:cNvGraphicFramePr/>
                  <a:graphic xmlns:a="http://schemas.openxmlformats.org/drawingml/2006/main">
                    <a:graphicData uri="http://schemas.openxmlformats.org/drawingml/2006/picture">
                      <pic:pic xmlns:pic="http://schemas.openxmlformats.org/drawingml/2006/picture">
                        <pic:nvPicPr>
                          <pic:cNvPr id="109" name="IM 109"/>
                          <pic:cNvPicPr/>
                        </pic:nvPicPr>
                        <pic:blipFill>
                          <a:blip r:embed="rId253"/>
                          <a:stretch>
                            <a:fillRect/>
                          </a:stretch>
                        </pic:blipFill>
                        <pic:spPr>
                          <a:xfrm>
                            <a:off x="0" y="0"/>
                            <a:ext cx="5438775" cy="2451734"/>
                          </a:xfrm>
                          <a:prstGeom prst="rect">
                            <a:avLst/>
                          </a:prstGeom>
                        </pic:spPr>
                      </pic:pic>
                    </a:graphicData>
                  </a:graphic>
                </wp:inline>
              </w:drawing>
            </w:r>
          </w:p>
        </w:tc>
      </w:tr>
    </w:tbl>
    <w:p>
      <w:pPr>
        <w:spacing w:before="96" w:line="231" w:lineRule="auto"/>
        <w:ind w:left="3693"/>
        <w:rPr>
          <w:rFonts w:ascii="黑体" w:hAnsi="黑体" w:eastAsia="黑体" w:cs="黑体"/>
          <w:sz w:val="19"/>
          <w:szCs w:val="19"/>
        </w:rPr>
      </w:pPr>
      <w:r>
        <w:rPr>
          <w:rFonts w:ascii="黑体" w:hAnsi="黑体" w:eastAsia="黑体" w:cs="黑体"/>
          <w:spacing w:val="10"/>
          <w:sz w:val="19"/>
          <w:szCs w:val="19"/>
        </w:rPr>
        <w:t>图</w:t>
      </w:r>
      <w:r>
        <w:rPr>
          <w:rFonts w:ascii="Times New Roman" w:hAnsi="Times New Roman" w:eastAsia="Times New Roman" w:cs="Times New Roman"/>
          <w:spacing w:val="6"/>
          <w:sz w:val="19"/>
          <w:szCs w:val="19"/>
        </w:rPr>
        <w:t>1</w:t>
      </w:r>
      <w:r>
        <w:rPr>
          <w:rFonts w:ascii="黑体" w:hAnsi="黑体" w:eastAsia="黑体" w:cs="黑体"/>
          <w:spacing w:val="6"/>
          <w:sz w:val="19"/>
          <w:szCs w:val="19"/>
        </w:rPr>
        <w:t>：桥型立面图</w:t>
      </w:r>
    </w:p>
    <w:p>
      <w:pPr>
        <w:spacing w:before="137" w:line="228" w:lineRule="auto"/>
        <w:ind w:left="435"/>
        <w:rPr>
          <w:rFonts w:ascii="宋体" w:hAnsi="宋体" w:eastAsia="宋体" w:cs="宋体"/>
          <w:sz w:val="20"/>
          <w:szCs w:val="20"/>
        </w:rPr>
      </w:pPr>
      <w:r>
        <w:rPr>
          <w:rFonts w:ascii="宋体" w:hAnsi="宋体" w:eastAsia="宋体" w:cs="宋体"/>
          <w:spacing w:val="12"/>
          <w:sz w:val="20"/>
          <w:szCs w:val="20"/>
        </w:rPr>
        <w:t>结</w:t>
      </w:r>
      <w:r>
        <w:rPr>
          <w:rFonts w:ascii="宋体" w:hAnsi="宋体" w:eastAsia="宋体" w:cs="宋体"/>
          <w:spacing w:val="9"/>
          <w:sz w:val="20"/>
          <w:szCs w:val="20"/>
        </w:rPr>
        <w:t>构体系：桥梁采用塔梁固结，用支座支撑在桥墩上的结构体系。</w:t>
      </w:r>
    </w:p>
    <w:p>
      <w:pPr>
        <w:spacing w:before="116" w:line="379" w:lineRule="auto"/>
        <w:ind w:left="9" w:right="1" w:firstLine="422"/>
        <w:rPr>
          <w:rFonts w:ascii="宋体" w:hAnsi="宋体" w:eastAsia="宋体" w:cs="宋体"/>
          <w:sz w:val="20"/>
          <w:szCs w:val="20"/>
        </w:rPr>
      </w:pPr>
      <w:r>
        <w:rPr>
          <w:rFonts w:ascii="宋体" w:hAnsi="宋体" w:eastAsia="宋体" w:cs="宋体"/>
          <w:spacing w:val="10"/>
          <w:sz w:val="20"/>
          <w:szCs w:val="20"/>
        </w:rPr>
        <w:t>主梁</w:t>
      </w:r>
      <w:r>
        <w:rPr>
          <w:rFonts w:ascii="宋体" w:hAnsi="宋体" w:eastAsia="宋体" w:cs="宋体"/>
          <w:spacing w:val="7"/>
          <w:sz w:val="20"/>
          <w:szCs w:val="20"/>
        </w:rPr>
        <w:t>：</w:t>
      </w:r>
      <w:r>
        <w:rPr>
          <w:rFonts w:ascii="宋体" w:hAnsi="宋体" w:eastAsia="宋体" w:cs="宋体"/>
          <w:spacing w:val="5"/>
          <w:sz w:val="20"/>
          <w:szCs w:val="20"/>
        </w:rPr>
        <w:t xml:space="preserve">主梁采用整体钢箱梁结构形式，桥面总宽 </w:t>
      </w:r>
      <w:r>
        <w:rPr>
          <w:rFonts w:ascii="Times New Roman" w:hAnsi="Times New Roman" w:eastAsia="Times New Roman" w:cs="Times New Roman"/>
          <w:spacing w:val="5"/>
          <w:sz w:val="20"/>
          <w:szCs w:val="20"/>
        </w:rPr>
        <w:t>34.5</w:t>
      </w:r>
      <w:r>
        <w:rPr>
          <w:rFonts w:ascii="Times New Roman" w:hAnsi="Times New Roman" w:eastAsia="Times New Roman" w:cs="Times New Roman"/>
          <w:sz w:val="20"/>
          <w:szCs w:val="20"/>
        </w:rPr>
        <w:t>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，桥梁顶部为双向 </w:t>
      </w:r>
      <w:r>
        <w:rPr>
          <w:rFonts w:ascii="Times New Roman" w:hAnsi="Times New Roman" w:eastAsia="Times New Roman" w:cs="Times New Roman"/>
          <w:spacing w:val="5"/>
          <w:sz w:val="20"/>
          <w:szCs w:val="20"/>
        </w:rPr>
        <w:t>1.5%</w:t>
      </w:r>
      <w:r>
        <w:rPr>
          <w:rFonts w:ascii="宋体" w:hAnsi="宋体" w:eastAsia="宋体" w:cs="宋体"/>
          <w:spacing w:val="5"/>
          <w:sz w:val="20"/>
          <w:szCs w:val="20"/>
        </w:rPr>
        <w:t>的横坡，桥梁</w:t>
      </w:r>
      <w:r>
        <w:rPr>
          <w:rFonts w:ascii="宋体" w:hAnsi="宋体" w:eastAsia="宋体" w:cs="宋体"/>
          <w:sz w:val="20"/>
          <w:szCs w:val="20"/>
        </w:rPr>
        <w:t xml:space="preserve"> </w:t>
      </w:r>
      <w:r>
        <w:rPr>
          <w:rFonts w:ascii="宋体" w:hAnsi="宋体" w:eastAsia="宋体" w:cs="宋体"/>
          <w:spacing w:val="8"/>
          <w:sz w:val="20"/>
          <w:szCs w:val="20"/>
        </w:rPr>
        <w:t>底板</w:t>
      </w:r>
      <w:r>
        <w:rPr>
          <w:rFonts w:ascii="宋体" w:hAnsi="宋体" w:eastAsia="宋体" w:cs="宋体"/>
          <w:spacing w:val="7"/>
          <w:sz w:val="20"/>
          <w:szCs w:val="20"/>
        </w:rPr>
        <w:t>水</w:t>
      </w:r>
      <w:r>
        <w:rPr>
          <w:rFonts w:ascii="宋体" w:hAnsi="宋体" w:eastAsia="宋体" w:cs="宋体"/>
          <w:spacing w:val="4"/>
          <w:sz w:val="20"/>
          <w:szCs w:val="20"/>
        </w:rPr>
        <w:t xml:space="preserve">平，桥梁中心高度 </w:t>
      </w:r>
      <w:r>
        <w:rPr>
          <w:rFonts w:ascii="Times New Roman" w:hAnsi="Times New Roman" w:eastAsia="Times New Roman" w:cs="Times New Roman"/>
          <w:spacing w:val="4"/>
          <w:sz w:val="20"/>
          <w:szCs w:val="20"/>
        </w:rPr>
        <w:t>2.8</w:t>
      </w:r>
      <w:r>
        <w:rPr>
          <w:rFonts w:ascii="Times New Roman" w:hAnsi="Times New Roman" w:eastAsia="Times New Roman" w:cs="Times New Roman"/>
          <w:sz w:val="20"/>
          <w:szCs w:val="20"/>
        </w:rPr>
        <w:t>m</w:t>
      </w:r>
      <w:r>
        <w:rPr>
          <w:rFonts w:ascii="宋体" w:hAnsi="宋体" w:eastAsia="宋体" w:cs="宋体"/>
          <w:spacing w:val="4"/>
          <w:sz w:val="20"/>
          <w:szCs w:val="20"/>
        </w:rPr>
        <w:t>。</w:t>
      </w:r>
    </w:p>
    <w:p>
      <w:pPr>
        <w:spacing w:before="16" w:line="228" w:lineRule="auto"/>
        <w:ind w:left="431"/>
        <w:rPr>
          <w:rFonts w:ascii="宋体" w:hAnsi="宋体" w:eastAsia="宋体" w:cs="宋体"/>
          <w:sz w:val="20"/>
          <w:szCs w:val="20"/>
        </w:rPr>
      </w:pPr>
      <w:r>
        <w:rPr>
          <w:rFonts w:ascii="宋体" w:hAnsi="宋体" w:eastAsia="宋体" w:cs="宋体"/>
          <w:spacing w:val="11"/>
          <w:sz w:val="20"/>
          <w:szCs w:val="20"/>
        </w:rPr>
        <w:t>主塔：本桥桥塔采用</w:t>
      </w:r>
      <w:r>
        <w:rPr>
          <w:rFonts w:ascii="Times New Roman" w:hAnsi="Times New Roman" w:eastAsia="Times New Roman" w:cs="Times New Roman"/>
          <w:sz w:val="20"/>
          <w:szCs w:val="20"/>
        </w:rPr>
        <w:t>Y</w:t>
      </w:r>
      <w:r>
        <w:rPr>
          <w:rFonts w:ascii="Times New Roman" w:hAnsi="Times New Roman" w:eastAsia="Times New Roman" w:cs="Times New Roman"/>
          <w:spacing w:val="11"/>
          <w:sz w:val="20"/>
          <w:szCs w:val="20"/>
        </w:rPr>
        <w:t xml:space="preserve"> </w:t>
      </w:r>
      <w:r>
        <w:rPr>
          <w:rFonts w:ascii="宋体" w:hAnsi="宋体" w:eastAsia="宋体" w:cs="宋体"/>
          <w:spacing w:val="11"/>
          <w:sz w:val="20"/>
          <w:szCs w:val="20"/>
        </w:rPr>
        <w:t>型钢结构桥塔，造型简洁、美观，有较好的视觉效果</w:t>
      </w:r>
      <w:r>
        <w:rPr>
          <w:rFonts w:ascii="宋体" w:hAnsi="宋体" w:eastAsia="宋体" w:cs="宋体"/>
          <w:spacing w:val="7"/>
          <w:sz w:val="20"/>
          <w:szCs w:val="20"/>
        </w:rPr>
        <w:t>。</w:t>
      </w:r>
    </w:p>
    <w:p>
      <w:pPr>
        <w:spacing w:before="154" w:line="369" w:lineRule="auto"/>
        <w:ind w:left="10" w:right="1" w:firstLine="419"/>
        <w:rPr>
          <w:rFonts w:ascii="宋体" w:hAnsi="宋体" w:eastAsia="宋体" w:cs="宋体"/>
          <w:sz w:val="20"/>
          <w:szCs w:val="20"/>
        </w:rPr>
      </w:pPr>
      <w:r>
        <w:rPr>
          <w:rFonts w:ascii="宋体" w:hAnsi="宋体" w:eastAsia="宋体" w:cs="宋体"/>
          <w:spacing w:val="6"/>
          <w:sz w:val="20"/>
          <w:szCs w:val="20"/>
        </w:rPr>
        <w:t xml:space="preserve">斜拉索：采用平行钢丝吊索；斜拉索在塔端锚固于塔内的锚箱中，梁端锚固于主梁 </w:t>
      </w:r>
      <w:r>
        <w:rPr>
          <w:rFonts w:ascii="Times New Roman" w:hAnsi="Times New Roman" w:eastAsia="Times New Roman" w:cs="Times New Roman"/>
          <w:spacing w:val="6"/>
          <w:sz w:val="20"/>
          <w:szCs w:val="20"/>
        </w:rPr>
        <w:t>1.6</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宽的</w:t>
      </w:r>
      <w:r>
        <w:rPr>
          <w:rFonts w:ascii="宋体" w:hAnsi="宋体" w:eastAsia="宋体" w:cs="宋体"/>
          <w:sz w:val="20"/>
          <w:szCs w:val="20"/>
        </w:rPr>
        <w:t xml:space="preserve"> </w:t>
      </w:r>
      <w:r>
        <w:rPr>
          <w:rFonts w:ascii="宋体" w:hAnsi="宋体" w:eastAsia="宋体" w:cs="宋体"/>
          <w:spacing w:val="6"/>
          <w:sz w:val="20"/>
          <w:szCs w:val="20"/>
        </w:rPr>
        <w:t xml:space="preserve">箱室内。斜拉索采用扇形布置，斜拉索梁上锚点间距为 </w:t>
      </w:r>
      <w:r>
        <w:rPr>
          <w:rFonts w:ascii="Times New Roman" w:hAnsi="Times New Roman" w:eastAsia="Times New Roman" w:cs="Times New Roman"/>
          <w:spacing w:val="6"/>
          <w:sz w:val="20"/>
          <w:szCs w:val="20"/>
        </w:rPr>
        <w:t>6</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 xml:space="preserve">，塔上锚点竖向间距为 </w:t>
      </w:r>
      <w:r>
        <w:rPr>
          <w:rFonts w:ascii="Times New Roman" w:hAnsi="Times New Roman" w:eastAsia="Times New Roman" w:cs="Times New Roman"/>
          <w:spacing w:val="6"/>
          <w:sz w:val="20"/>
          <w:szCs w:val="20"/>
        </w:rPr>
        <w:t>1.2</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，每个</w:t>
      </w:r>
      <w:r>
        <w:rPr>
          <w:rFonts w:ascii="宋体" w:hAnsi="宋体" w:eastAsia="宋体" w:cs="宋体"/>
          <w:spacing w:val="4"/>
          <w:sz w:val="20"/>
          <w:szCs w:val="20"/>
        </w:rPr>
        <w:t>桥</w:t>
      </w:r>
      <w:r>
        <w:rPr>
          <w:rFonts w:ascii="宋体" w:hAnsi="宋体" w:eastAsia="宋体" w:cs="宋体"/>
          <w:sz w:val="20"/>
          <w:szCs w:val="20"/>
        </w:rPr>
        <w:t xml:space="preserve"> </w:t>
      </w:r>
      <w:r>
        <w:rPr>
          <w:rFonts w:ascii="宋体" w:hAnsi="宋体" w:eastAsia="宋体" w:cs="宋体"/>
          <w:spacing w:val="2"/>
          <w:sz w:val="20"/>
          <w:szCs w:val="20"/>
        </w:rPr>
        <w:t xml:space="preserve">塔上共 </w:t>
      </w:r>
      <w:r>
        <w:rPr>
          <w:rFonts w:ascii="Times New Roman" w:hAnsi="Times New Roman" w:eastAsia="Times New Roman" w:cs="Times New Roman"/>
          <w:spacing w:val="2"/>
          <w:sz w:val="20"/>
          <w:szCs w:val="20"/>
        </w:rPr>
        <w:t xml:space="preserve">6 </w:t>
      </w:r>
      <w:r>
        <w:rPr>
          <w:rFonts w:ascii="宋体" w:hAnsi="宋体" w:eastAsia="宋体" w:cs="宋体"/>
          <w:spacing w:val="2"/>
          <w:sz w:val="20"/>
          <w:szCs w:val="20"/>
        </w:rPr>
        <w:t>对斜</w:t>
      </w:r>
      <w:r>
        <w:rPr>
          <w:rFonts w:ascii="宋体" w:hAnsi="宋体" w:eastAsia="宋体" w:cs="宋体"/>
          <w:spacing w:val="1"/>
          <w:sz w:val="20"/>
          <w:szCs w:val="20"/>
        </w:rPr>
        <w:t>拉索。</w:t>
      </w:r>
    </w:p>
    <w:p>
      <w:pPr>
        <w:spacing w:before="1" w:line="376" w:lineRule="auto"/>
        <w:ind w:left="10" w:right="3" w:firstLine="420"/>
        <w:rPr>
          <w:rFonts w:ascii="宋体" w:hAnsi="宋体" w:eastAsia="宋体" w:cs="宋体"/>
          <w:sz w:val="20"/>
          <w:szCs w:val="20"/>
        </w:rPr>
      </w:pPr>
      <w:r>
        <w:rPr>
          <w:rFonts w:ascii="宋体" w:hAnsi="宋体" w:eastAsia="宋体" w:cs="宋体"/>
          <w:spacing w:val="8"/>
          <w:sz w:val="20"/>
          <w:szCs w:val="20"/>
        </w:rPr>
        <w:t xml:space="preserve">塔墩：主塔墩采用板式墩，墩底尺寸为 </w:t>
      </w:r>
      <w:r>
        <w:rPr>
          <w:rFonts w:ascii="Times New Roman" w:hAnsi="Times New Roman" w:eastAsia="Times New Roman" w:cs="Times New Roman"/>
          <w:spacing w:val="8"/>
          <w:sz w:val="20"/>
          <w:szCs w:val="20"/>
        </w:rPr>
        <w:t>3.5</w:t>
      </w:r>
      <w:r>
        <w:rPr>
          <w:rFonts w:ascii="Times New Roman" w:hAnsi="Times New Roman" w:eastAsia="Times New Roman" w:cs="Times New Roman"/>
          <w:sz w:val="20"/>
          <w:szCs w:val="20"/>
        </w:rPr>
        <w:t>m</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 xml:space="preserve">(横桥向) </w:t>
      </w:r>
      <w:r>
        <w:rPr>
          <w:rFonts w:ascii="Times New Roman" w:hAnsi="Times New Roman" w:eastAsia="Times New Roman" w:cs="Times New Roman"/>
          <w:spacing w:val="8"/>
          <w:sz w:val="20"/>
          <w:szCs w:val="20"/>
        </w:rPr>
        <w:t>×3.5</w:t>
      </w:r>
      <w:r>
        <w:rPr>
          <w:rFonts w:ascii="Times New Roman" w:hAnsi="Times New Roman" w:eastAsia="Times New Roman" w:cs="Times New Roman"/>
          <w:sz w:val="20"/>
          <w:szCs w:val="20"/>
        </w:rPr>
        <w:t>m</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(顺桥向) 的矩形截面，桥</w:t>
      </w:r>
      <w:r>
        <w:rPr>
          <w:rFonts w:ascii="宋体" w:hAnsi="宋体" w:eastAsia="宋体" w:cs="宋体"/>
          <w:spacing w:val="5"/>
          <w:sz w:val="20"/>
          <w:szCs w:val="20"/>
        </w:rPr>
        <w:t>墩</w:t>
      </w:r>
      <w:r>
        <w:rPr>
          <w:rFonts w:ascii="宋体" w:hAnsi="宋体" w:eastAsia="宋体" w:cs="宋体"/>
          <w:sz w:val="20"/>
          <w:szCs w:val="20"/>
        </w:rPr>
        <w:t xml:space="preserve"> </w:t>
      </w:r>
      <w:r>
        <w:rPr>
          <w:rFonts w:ascii="宋体" w:hAnsi="宋体" w:eastAsia="宋体" w:cs="宋体"/>
          <w:spacing w:val="5"/>
          <w:sz w:val="20"/>
          <w:szCs w:val="20"/>
        </w:rPr>
        <w:t xml:space="preserve">根据景观需要在侧面设置 </w:t>
      </w:r>
      <w:r>
        <w:rPr>
          <w:rFonts w:ascii="Times New Roman" w:hAnsi="Times New Roman" w:eastAsia="Times New Roman" w:cs="Times New Roman"/>
          <w:spacing w:val="5"/>
          <w:sz w:val="20"/>
          <w:szCs w:val="20"/>
        </w:rPr>
        <w:t>5</w:t>
      </w:r>
      <w:r>
        <w:rPr>
          <w:rFonts w:ascii="Times New Roman" w:hAnsi="Times New Roman" w:eastAsia="Times New Roman" w:cs="Times New Roman"/>
          <w:sz w:val="20"/>
          <w:szCs w:val="20"/>
        </w:rPr>
        <w:t>cm</w:t>
      </w:r>
      <w:r>
        <w:rPr>
          <w:rFonts w:ascii="宋体" w:hAnsi="宋体" w:eastAsia="宋体" w:cs="宋体"/>
          <w:spacing w:val="5"/>
          <w:sz w:val="20"/>
          <w:szCs w:val="20"/>
        </w:rPr>
        <w:t xml:space="preserve">深的槽口，槽口宽度为 </w:t>
      </w:r>
      <w:r>
        <w:rPr>
          <w:rFonts w:ascii="Times New Roman" w:hAnsi="Times New Roman" w:eastAsia="Times New Roman" w:cs="Times New Roman"/>
          <w:spacing w:val="5"/>
          <w:sz w:val="20"/>
          <w:szCs w:val="20"/>
        </w:rPr>
        <w:t>2.5</w:t>
      </w:r>
      <w:r>
        <w:rPr>
          <w:rFonts w:ascii="Times New Roman" w:hAnsi="Times New Roman" w:eastAsia="Times New Roman" w:cs="Times New Roman"/>
          <w:sz w:val="20"/>
          <w:szCs w:val="20"/>
        </w:rPr>
        <w:t>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，槽口顶部距离墩顶 </w:t>
      </w:r>
      <w:r>
        <w:rPr>
          <w:rFonts w:ascii="Times New Roman" w:hAnsi="Times New Roman" w:eastAsia="Times New Roman" w:cs="Times New Roman"/>
          <w:spacing w:val="5"/>
          <w:sz w:val="20"/>
          <w:szCs w:val="20"/>
        </w:rPr>
        <w:t>1</w:t>
      </w:r>
      <w:r>
        <w:rPr>
          <w:rFonts w:ascii="Times New Roman" w:hAnsi="Times New Roman" w:eastAsia="Times New Roman" w:cs="Times New Roman"/>
          <w:sz w:val="20"/>
          <w:szCs w:val="20"/>
        </w:rPr>
        <w:t>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。基础采用</w:t>
      </w:r>
      <w:r>
        <w:rPr>
          <w:rFonts w:ascii="宋体" w:hAnsi="宋体" w:eastAsia="宋体" w:cs="宋体"/>
          <w:spacing w:val="3"/>
          <w:sz w:val="20"/>
          <w:szCs w:val="20"/>
        </w:rPr>
        <w:t>分</w:t>
      </w:r>
    </w:p>
    <w:p>
      <w:pPr>
        <w:sectPr>
          <w:footerReference r:id="rId113" w:type="default"/>
          <w:pgSz w:w="11906" w:h="16839"/>
          <w:pgMar w:top="400" w:right="1529" w:bottom="1027" w:left="1529" w:header="0" w:footer="840" w:gutter="0"/>
          <w:cols w:space="720" w:num="1"/>
        </w:sect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65" w:line="369" w:lineRule="auto"/>
        <w:ind w:left="8" w:right="80" w:firstLine="3"/>
        <w:rPr>
          <w:rFonts w:ascii="宋体" w:hAnsi="宋体" w:eastAsia="宋体" w:cs="宋体"/>
          <w:sz w:val="20"/>
          <w:szCs w:val="20"/>
        </w:rPr>
      </w:pPr>
      <w:r>
        <w:rPr>
          <w:rFonts w:ascii="宋体" w:hAnsi="宋体" w:eastAsia="宋体" w:cs="宋体"/>
          <w:spacing w:val="6"/>
          <w:sz w:val="20"/>
          <w:szCs w:val="20"/>
        </w:rPr>
        <w:t>离式基础，单个承台</w:t>
      </w:r>
      <w:r>
        <w:rPr>
          <w:rFonts w:ascii="宋体" w:hAnsi="宋体" w:eastAsia="宋体" w:cs="宋体"/>
          <w:spacing w:val="4"/>
          <w:sz w:val="20"/>
          <w:szCs w:val="20"/>
        </w:rPr>
        <w:t>平</w:t>
      </w:r>
      <w:r>
        <w:rPr>
          <w:rFonts w:ascii="宋体" w:hAnsi="宋体" w:eastAsia="宋体" w:cs="宋体"/>
          <w:spacing w:val="3"/>
          <w:sz w:val="20"/>
          <w:szCs w:val="20"/>
        </w:rPr>
        <w:t xml:space="preserve">面尺寸为 </w:t>
      </w:r>
      <w:r>
        <w:rPr>
          <w:rFonts w:ascii="Times New Roman" w:hAnsi="Times New Roman" w:eastAsia="Times New Roman" w:cs="Times New Roman"/>
          <w:spacing w:val="3"/>
          <w:sz w:val="20"/>
          <w:szCs w:val="20"/>
        </w:rPr>
        <w:t>11.0</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w:t>
      </w:r>
      <w:r>
        <w:rPr>
          <w:rFonts w:ascii="宋体" w:hAnsi="宋体" w:eastAsia="宋体" w:cs="宋体"/>
          <w:spacing w:val="3"/>
          <w:sz w:val="20"/>
          <w:szCs w:val="20"/>
        </w:rPr>
        <w:t>横</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x</w:t>
      </w:r>
      <w:r>
        <w:rPr>
          <w:rFonts w:ascii="Times New Roman" w:hAnsi="Times New Roman" w:eastAsia="Times New Roman" w:cs="Times New Roman"/>
          <w:spacing w:val="3"/>
          <w:sz w:val="20"/>
          <w:szCs w:val="20"/>
        </w:rPr>
        <w:t>11.0</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w:t>
      </w:r>
      <w:r>
        <w:rPr>
          <w:rFonts w:ascii="宋体" w:hAnsi="宋体" w:eastAsia="宋体" w:cs="宋体"/>
          <w:spacing w:val="3"/>
          <w:sz w:val="20"/>
          <w:szCs w:val="20"/>
        </w:rPr>
        <w:t>纵</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，承台厚 </w:t>
      </w:r>
      <w:r>
        <w:rPr>
          <w:rFonts w:ascii="Times New Roman" w:hAnsi="Times New Roman" w:eastAsia="Times New Roman" w:cs="Times New Roman"/>
          <w:spacing w:val="3"/>
          <w:sz w:val="20"/>
          <w:szCs w:val="20"/>
        </w:rPr>
        <w:t>3.5</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。承台下布置 </w:t>
      </w:r>
      <w:r>
        <w:rPr>
          <w:rFonts w:ascii="Times New Roman" w:hAnsi="Times New Roman" w:eastAsia="Times New Roman" w:cs="Times New Roman"/>
          <w:spacing w:val="3"/>
          <w:sz w:val="20"/>
          <w:szCs w:val="20"/>
        </w:rPr>
        <w:t xml:space="preserve">9 </w:t>
      </w:r>
      <w:r>
        <w:rPr>
          <w:rFonts w:ascii="宋体" w:hAnsi="宋体" w:eastAsia="宋体" w:cs="宋体"/>
          <w:spacing w:val="3"/>
          <w:sz w:val="20"/>
          <w:szCs w:val="20"/>
        </w:rPr>
        <w:t xml:space="preserve">根直径 </w:t>
      </w:r>
      <w:r>
        <w:rPr>
          <w:rFonts w:ascii="Times New Roman" w:hAnsi="Times New Roman" w:eastAsia="Times New Roman" w:cs="Times New Roman"/>
          <w:spacing w:val="3"/>
          <w:sz w:val="20"/>
          <w:szCs w:val="20"/>
        </w:rPr>
        <w:t>1.5</w:t>
      </w:r>
      <w:r>
        <w:rPr>
          <w:rFonts w:ascii="Times New Roman" w:hAnsi="Times New Roman" w:eastAsia="Times New Roman" w:cs="Times New Roman"/>
          <w:sz w:val="20"/>
          <w:szCs w:val="20"/>
        </w:rPr>
        <w:t xml:space="preserve">m </w:t>
      </w:r>
      <w:r>
        <w:rPr>
          <w:rFonts w:ascii="宋体" w:hAnsi="宋体" w:eastAsia="宋体" w:cs="宋体"/>
          <w:spacing w:val="7"/>
          <w:sz w:val="20"/>
          <w:szCs w:val="20"/>
        </w:rPr>
        <w:t>钻</w:t>
      </w:r>
      <w:r>
        <w:rPr>
          <w:rFonts w:ascii="宋体" w:hAnsi="宋体" w:eastAsia="宋体" w:cs="宋体"/>
          <w:spacing w:val="5"/>
          <w:sz w:val="20"/>
          <w:szCs w:val="20"/>
        </w:rPr>
        <w:t xml:space="preserve">孔灌注桩，横桥向与顺桥向均设置 </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 xml:space="preserve">排，桩间距均为 </w:t>
      </w:r>
      <w:r>
        <w:rPr>
          <w:rFonts w:ascii="Times New Roman" w:hAnsi="Times New Roman" w:eastAsia="Times New Roman" w:cs="Times New Roman"/>
          <w:spacing w:val="5"/>
          <w:sz w:val="20"/>
          <w:szCs w:val="20"/>
        </w:rPr>
        <w:t>4</w:t>
      </w:r>
      <w:r>
        <w:rPr>
          <w:rFonts w:ascii="Times New Roman" w:hAnsi="Times New Roman" w:eastAsia="Times New Roman" w:cs="Times New Roman"/>
          <w:sz w:val="20"/>
          <w:szCs w:val="20"/>
        </w:rPr>
        <w:t>m</w:t>
      </w:r>
      <w:r>
        <w:rPr>
          <w:rFonts w:ascii="宋体" w:hAnsi="宋体" w:eastAsia="宋体" w:cs="宋体"/>
          <w:spacing w:val="5"/>
          <w:sz w:val="20"/>
          <w:szCs w:val="20"/>
        </w:rPr>
        <w:t>。</w:t>
      </w:r>
    </w:p>
    <w:p>
      <w:pPr>
        <w:spacing w:line="281" w:lineRule="exact"/>
        <w:ind w:left="428"/>
        <w:rPr>
          <w:rFonts w:ascii="宋体" w:hAnsi="宋体" w:eastAsia="宋体" w:cs="宋体"/>
          <w:sz w:val="20"/>
          <w:szCs w:val="20"/>
        </w:rPr>
      </w:pPr>
      <w:r>
        <w:rPr>
          <w:rFonts w:ascii="宋体" w:hAnsi="宋体" w:eastAsia="宋体" w:cs="宋体"/>
          <w:spacing w:val="9"/>
          <w:position w:val="1"/>
          <w:sz w:val="20"/>
          <w:szCs w:val="20"/>
        </w:rPr>
        <w:t>桥面铺装：车行道铺装采用磨耗层</w:t>
      </w:r>
      <w:r>
        <w:rPr>
          <w:rFonts w:ascii="Times New Roman" w:hAnsi="Times New Roman" w:eastAsia="Times New Roman" w:cs="Times New Roman"/>
          <w:spacing w:val="9"/>
          <w:position w:val="1"/>
          <w:sz w:val="20"/>
          <w:szCs w:val="20"/>
        </w:rPr>
        <w:t>+</w:t>
      </w:r>
      <w:r>
        <w:rPr>
          <w:rFonts w:ascii="宋体" w:hAnsi="宋体" w:eastAsia="宋体" w:cs="宋体"/>
          <w:spacing w:val="9"/>
          <w:position w:val="1"/>
          <w:sz w:val="20"/>
          <w:szCs w:val="20"/>
        </w:rPr>
        <w:t>粘层</w:t>
      </w:r>
      <w:r>
        <w:rPr>
          <w:rFonts w:ascii="Times New Roman" w:hAnsi="Times New Roman" w:eastAsia="Times New Roman" w:cs="Times New Roman"/>
          <w:spacing w:val="9"/>
          <w:position w:val="1"/>
          <w:sz w:val="20"/>
          <w:szCs w:val="20"/>
        </w:rPr>
        <w:t>+</w:t>
      </w:r>
      <w:r>
        <w:rPr>
          <w:rFonts w:ascii="宋体" w:hAnsi="宋体" w:eastAsia="宋体" w:cs="宋体"/>
          <w:spacing w:val="9"/>
          <w:position w:val="1"/>
          <w:sz w:val="20"/>
          <w:szCs w:val="20"/>
        </w:rPr>
        <w:t>保护层</w:t>
      </w:r>
      <w:r>
        <w:rPr>
          <w:rFonts w:ascii="Times New Roman" w:hAnsi="Times New Roman" w:eastAsia="Times New Roman" w:cs="Times New Roman"/>
          <w:spacing w:val="9"/>
          <w:position w:val="1"/>
          <w:sz w:val="20"/>
          <w:szCs w:val="20"/>
        </w:rPr>
        <w:t>+</w:t>
      </w:r>
      <w:r>
        <w:rPr>
          <w:rFonts w:ascii="宋体" w:hAnsi="宋体" w:eastAsia="宋体" w:cs="宋体"/>
          <w:spacing w:val="9"/>
          <w:position w:val="1"/>
          <w:sz w:val="20"/>
          <w:szCs w:val="20"/>
        </w:rPr>
        <w:t>防水粘结层</w:t>
      </w:r>
      <w:r>
        <w:rPr>
          <w:rFonts w:ascii="Times New Roman" w:hAnsi="Times New Roman" w:eastAsia="Times New Roman" w:cs="Times New Roman"/>
          <w:spacing w:val="9"/>
          <w:position w:val="1"/>
          <w:sz w:val="20"/>
          <w:szCs w:val="20"/>
        </w:rPr>
        <w:t>+</w:t>
      </w:r>
      <w:r>
        <w:rPr>
          <w:rFonts w:ascii="宋体" w:hAnsi="宋体" w:eastAsia="宋体" w:cs="宋体"/>
          <w:spacing w:val="9"/>
          <w:position w:val="1"/>
          <w:sz w:val="20"/>
          <w:szCs w:val="20"/>
        </w:rPr>
        <w:t>防腐层</w:t>
      </w:r>
      <w:r>
        <w:rPr>
          <w:rFonts w:ascii="Times New Roman" w:hAnsi="Times New Roman" w:eastAsia="Times New Roman" w:cs="Times New Roman"/>
          <w:spacing w:val="9"/>
          <w:position w:val="1"/>
          <w:sz w:val="20"/>
          <w:szCs w:val="20"/>
        </w:rPr>
        <w:t>+</w:t>
      </w:r>
      <w:r>
        <w:rPr>
          <w:rFonts w:ascii="宋体" w:hAnsi="宋体" w:eastAsia="宋体" w:cs="宋体"/>
          <w:spacing w:val="9"/>
          <w:position w:val="1"/>
          <w:sz w:val="20"/>
          <w:szCs w:val="20"/>
        </w:rPr>
        <w:t>钢板组成</w:t>
      </w:r>
      <w:r>
        <w:rPr>
          <w:rFonts w:ascii="宋体" w:hAnsi="宋体" w:eastAsia="宋体" w:cs="宋体"/>
          <w:spacing w:val="5"/>
          <w:position w:val="1"/>
          <w:sz w:val="20"/>
          <w:szCs w:val="20"/>
        </w:rPr>
        <w:t>。</w:t>
      </w:r>
    </w:p>
    <w:p>
      <w:pPr>
        <w:spacing w:line="16" w:lineRule="exact"/>
      </w:pPr>
    </w:p>
    <w:tbl>
      <w:tblPr>
        <w:tblStyle w:val="4"/>
        <w:tblW w:w="8904" w:type="dxa"/>
        <w:tblInd w:w="1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8904"/>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3009" w:hRule="atLeast"/>
        </w:trPr>
        <w:tc>
          <w:tcPr>
            <w:tcW w:w="8904" w:type="dxa"/>
            <w:vAlign w:val="top"/>
          </w:tcPr>
          <w:p>
            <w:pPr>
              <w:spacing w:line="3009" w:lineRule="exact"/>
              <w:textAlignment w:val="center"/>
            </w:pPr>
            <w:r>
              <w:drawing>
                <wp:inline distT="0" distB="0" distL="0" distR="0">
                  <wp:extent cx="5640705" cy="191071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254"/>
                          <a:stretch>
                            <a:fillRect/>
                          </a:stretch>
                        </pic:blipFill>
                        <pic:spPr>
                          <a:xfrm>
                            <a:off x="0" y="0"/>
                            <a:ext cx="5641339" cy="1910715"/>
                          </a:xfrm>
                          <a:prstGeom prst="rect">
                            <a:avLst/>
                          </a:prstGeom>
                        </pic:spPr>
                      </pic:pic>
                    </a:graphicData>
                  </a:graphic>
                </wp:inline>
              </w:drawing>
            </w:r>
          </w:p>
        </w:tc>
      </w:tr>
    </w:tbl>
    <w:p>
      <w:pPr>
        <w:spacing w:before="110" w:line="231" w:lineRule="auto"/>
        <w:ind w:left="3692"/>
        <w:rPr>
          <w:rFonts w:ascii="黑体" w:hAnsi="黑体" w:eastAsia="黑体" w:cs="黑体"/>
          <w:sz w:val="19"/>
          <w:szCs w:val="19"/>
        </w:rPr>
      </w:pPr>
      <w:r>
        <w:rPr>
          <w:rFonts w:ascii="黑体" w:hAnsi="黑体" w:eastAsia="黑体" w:cs="黑体"/>
          <w:spacing w:val="10"/>
          <w:sz w:val="19"/>
          <w:szCs w:val="19"/>
        </w:rPr>
        <w:t>图</w:t>
      </w:r>
      <w:r>
        <w:rPr>
          <w:rFonts w:ascii="Times New Roman" w:hAnsi="Times New Roman" w:eastAsia="Times New Roman" w:cs="Times New Roman"/>
          <w:spacing w:val="6"/>
          <w:sz w:val="19"/>
          <w:szCs w:val="19"/>
        </w:rPr>
        <w:t>2</w:t>
      </w:r>
      <w:r>
        <w:rPr>
          <w:rFonts w:ascii="黑体" w:hAnsi="黑体" w:eastAsia="黑体" w:cs="黑体"/>
          <w:spacing w:val="6"/>
          <w:sz w:val="19"/>
          <w:szCs w:val="19"/>
        </w:rPr>
        <w:t>：断面布置图</w:t>
      </w:r>
    </w:p>
    <w:p>
      <w:pPr>
        <w:spacing w:before="134" w:line="228" w:lineRule="auto"/>
        <w:ind w:left="470"/>
        <w:rPr>
          <w:rFonts w:ascii="宋体" w:hAnsi="宋体" w:eastAsia="宋体" w:cs="宋体"/>
          <w:sz w:val="20"/>
          <w:szCs w:val="20"/>
        </w:rPr>
      </w:pPr>
      <w:r>
        <w:rPr>
          <w:rFonts w:ascii="宋体" w:hAnsi="宋体" w:eastAsia="宋体" w:cs="宋体"/>
          <w:spacing w:val="11"/>
          <w:sz w:val="17"/>
          <w:szCs w:val="17"/>
        </w:rPr>
        <w:t>2</w:t>
      </w:r>
      <w:r>
        <w:rPr>
          <w:rFonts w:ascii="宋体" w:hAnsi="宋体" w:eastAsia="宋体" w:cs="宋体"/>
          <w:spacing w:val="7"/>
          <w:sz w:val="17"/>
          <w:szCs w:val="17"/>
        </w:rPr>
        <w:t xml:space="preserve">   </w:t>
      </w:r>
      <w:r>
        <w:rPr>
          <w:rFonts w:ascii="宋体" w:hAnsi="宋体" w:eastAsia="宋体" w:cs="宋体"/>
          <w:spacing w:val="7"/>
          <w:sz w:val="20"/>
          <w:szCs w:val="20"/>
        </w:rPr>
        <w:t>道路平面设计方案</w:t>
      </w:r>
    </w:p>
    <w:p>
      <w:pPr>
        <w:spacing w:before="154" w:line="227" w:lineRule="auto"/>
        <w:ind w:left="432"/>
        <w:rPr>
          <w:rFonts w:ascii="宋体" w:hAnsi="宋体" w:eastAsia="宋体" w:cs="宋体"/>
          <w:sz w:val="20"/>
          <w:szCs w:val="20"/>
        </w:rPr>
      </w:pPr>
      <w:r>
        <w:rPr>
          <w:rFonts w:ascii="宋体" w:hAnsi="宋体" w:eastAsia="宋体" w:cs="宋体"/>
          <w:spacing w:val="14"/>
          <w:sz w:val="20"/>
          <w:szCs w:val="20"/>
        </w:rPr>
        <w:t>项目桥</w:t>
      </w:r>
      <w:r>
        <w:rPr>
          <w:rFonts w:ascii="宋体" w:hAnsi="宋体" w:eastAsia="宋体" w:cs="宋体"/>
          <w:spacing w:val="8"/>
          <w:sz w:val="20"/>
          <w:szCs w:val="20"/>
        </w:rPr>
        <w:t>梁</w:t>
      </w:r>
      <w:r>
        <w:rPr>
          <w:rFonts w:ascii="宋体" w:hAnsi="宋体" w:eastAsia="宋体" w:cs="宋体"/>
          <w:spacing w:val="7"/>
          <w:sz w:val="20"/>
          <w:szCs w:val="20"/>
        </w:rPr>
        <w:t>连接高家坝和张家坝片区，跨越州河及州河堤防。西起滨河支路， 由西向东跨越州</w:t>
      </w:r>
    </w:p>
    <w:p>
      <w:pPr>
        <w:spacing w:before="152" w:line="230" w:lineRule="auto"/>
        <w:ind w:left="7"/>
        <w:rPr>
          <w:rFonts w:ascii="宋体" w:hAnsi="宋体" w:eastAsia="宋体" w:cs="宋体"/>
          <w:sz w:val="20"/>
          <w:szCs w:val="20"/>
        </w:rPr>
      </w:pPr>
      <w:r>
        <w:rPr>
          <w:rFonts w:ascii="宋体" w:hAnsi="宋体" w:eastAsia="宋体" w:cs="宋体"/>
          <w:spacing w:val="20"/>
          <w:sz w:val="20"/>
          <w:szCs w:val="20"/>
        </w:rPr>
        <w:t>河</w:t>
      </w:r>
      <w:r>
        <w:rPr>
          <w:rFonts w:ascii="宋体" w:hAnsi="宋体" w:eastAsia="宋体" w:cs="宋体"/>
          <w:spacing w:val="14"/>
          <w:sz w:val="20"/>
          <w:szCs w:val="20"/>
        </w:rPr>
        <w:t>，</w:t>
      </w:r>
      <w:r>
        <w:rPr>
          <w:rFonts w:ascii="宋体" w:hAnsi="宋体" w:eastAsia="宋体" w:cs="宋体"/>
          <w:spacing w:val="10"/>
          <w:sz w:val="20"/>
          <w:szCs w:val="20"/>
        </w:rPr>
        <w:t>终止于南北主干道交叉口。项目设计从防洪、通航、管线迁改、交通、桥梁结构设计要求及</w:t>
      </w:r>
    </w:p>
    <w:p>
      <w:pPr>
        <w:spacing w:before="152" w:line="344" w:lineRule="auto"/>
        <w:ind w:left="7" w:right="82" w:firstLine="1"/>
        <w:rPr>
          <w:rFonts w:ascii="宋体" w:hAnsi="宋体" w:eastAsia="宋体" w:cs="宋体"/>
          <w:sz w:val="20"/>
          <w:szCs w:val="20"/>
        </w:rPr>
      </w:pPr>
      <w:r>
        <w:rPr>
          <w:rFonts w:ascii="宋体" w:hAnsi="宋体" w:eastAsia="宋体" w:cs="宋体"/>
          <w:spacing w:val="18"/>
          <w:sz w:val="20"/>
          <w:szCs w:val="20"/>
        </w:rPr>
        <w:t>本桥梁</w:t>
      </w:r>
      <w:r>
        <w:rPr>
          <w:rFonts w:ascii="宋体" w:hAnsi="宋体" w:eastAsia="宋体" w:cs="宋体"/>
          <w:spacing w:val="12"/>
          <w:sz w:val="20"/>
          <w:szCs w:val="20"/>
        </w:rPr>
        <w:t>与</w:t>
      </w:r>
      <w:r>
        <w:rPr>
          <w:rFonts w:ascii="宋体" w:hAnsi="宋体" w:eastAsia="宋体" w:cs="宋体"/>
          <w:spacing w:val="9"/>
          <w:sz w:val="20"/>
          <w:szCs w:val="20"/>
        </w:rPr>
        <w:t>滨河路及绿地楼盘竖向标高的关系等综合考虑，最终桥位桥梁与州河基本正交，偏角约</w:t>
      </w:r>
      <w:r>
        <w:rPr>
          <w:rFonts w:ascii="宋体" w:hAnsi="宋体" w:eastAsia="宋体" w:cs="宋体"/>
          <w:sz w:val="20"/>
          <w:szCs w:val="20"/>
        </w:rPr>
        <w:t xml:space="preserve"> </w:t>
      </w:r>
      <w:r>
        <w:rPr>
          <w:rFonts w:ascii="Times New Roman" w:hAnsi="Times New Roman" w:eastAsia="Times New Roman" w:cs="Times New Roman"/>
          <w:spacing w:val="6"/>
          <w:sz w:val="20"/>
          <w:szCs w:val="20"/>
        </w:rPr>
        <w:t xml:space="preserve">5° </w:t>
      </w:r>
      <w:r>
        <w:rPr>
          <w:rFonts w:ascii="宋体" w:hAnsi="宋体" w:eastAsia="宋体" w:cs="宋体"/>
          <w:spacing w:val="6"/>
          <w:sz w:val="20"/>
          <w:szCs w:val="20"/>
        </w:rPr>
        <w:t>，线位</w:t>
      </w:r>
      <w:r>
        <w:rPr>
          <w:rFonts w:ascii="宋体" w:hAnsi="宋体" w:eastAsia="宋体" w:cs="宋体"/>
          <w:spacing w:val="3"/>
          <w:sz w:val="20"/>
          <w:szCs w:val="20"/>
        </w:rPr>
        <w:t xml:space="preserve">为一条直线，全长约 </w:t>
      </w:r>
      <w:r>
        <w:rPr>
          <w:rFonts w:ascii="Times New Roman" w:hAnsi="Times New Roman" w:eastAsia="Times New Roman" w:cs="Times New Roman"/>
          <w:spacing w:val="3"/>
          <w:sz w:val="20"/>
          <w:szCs w:val="20"/>
        </w:rPr>
        <w:t>297</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，与南北主干道夹角为 </w:t>
      </w:r>
      <w:r>
        <w:rPr>
          <w:rFonts w:ascii="Times New Roman" w:hAnsi="Times New Roman" w:eastAsia="Times New Roman" w:cs="Times New Roman"/>
          <w:spacing w:val="3"/>
          <w:sz w:val="20"/>
          <w:szCs w:val="20"/>
        </w:rPr>
        <w:t xml:space="preserve">49° </w:t>
      </w:r>
      <w:r>
        <w:rPr>
          <w:rFonts w:ascii="宋体" w:hAnsi="宋体" w:eastAsia="宋体" w:cs="宋体"/>
          <w:spacing w:val="3"/>
          <w:sz w:val="20"/>
          <w:szCs w:val="20"/>
        </w:rPr>
        <w:t>，大于相关规范规定的特殊困难时</w:t>
      </w:r>
      <w:r>
        <w:rPr>
          <w:rFonts w:ascii="宋体" w:hAnsi="宋体" w:eastAsia="宋体" w:cs="宋体"/>
          <w:sz w:val="20"/>
          <w:szCs w:val="20"/>
        </w:rPr>
        <w:t xml:space="preserve"> </w:t>
      </w:r>
      <w:r>
        <w:rPr>
          <w:rFonts w:ascii="宋体" w:hAnsi="宋体" w:eastAsia="宋体" w:cs="宋体"/>
          <w:spacing w:val="14"/>
          <w:sz w:val="20"/>
          <w:szCs w:val="20"/>
        </w:rPr>
        <w:t>的最小夹</w:t>
      </w:r>
      <w:r>
        <w:rPr>
          <w:rFonts w:ascii="宋体" w:hAnsi="宋体" w:eastAsia="宋体" w:cs="宋体"/>
          <w:spacing w:val="11"/>
          <w:sz w:val="20"/>
          <w:szCs w:val="20"/>
        </w:rPr>
        <w:t>角</w:t>
      </w:r>
      <w:r>
        <w:rPr>
          <w:rFonts w:ascii="宋体" w:hAnsi="宋体" w:eastAsia="宋体" w:cs="宋体"/>
          <w:spacing w:val="7"/>
          <w:sz w:val="20"/>
          <w:szCs w:val="20"/>
        </w:rPr>
        <w:t xml:space="preserve"> (</w:t>
      </w:r>
      <w:r>
        <w:rPr>
          <w:rFonts w:ascii="Times New Roman" w:hAnsi="Times New Roman" w:eastAsia="Times New Roman" w:cs="Times New Roman"/>
          <w:spacing w:val="7"/>
          <w:sz w:val="20"/>
          <w:szCs w:val="20"/>
        </w:rPr>
        <w:t>45°</w:t>
      </w:r>
      <w:r>
        <w:rPr>
          <w:rFonts w:ascii="宋体" w:hAnsi="宋体" w:eastAsia="宋体" w:cs="宋体"/>
          <w:spacing w:val="7"/>
          <w:sz w:val="20"/>
          <w:szCs w:val="20"/>
        </w:rPr>
        <w:t>) ，与南北干道交叉口的交通组织满足最小转弯半径要求。同时，考虑同步实施</w:t>
      </w:r>
      <w:r>
        <w:rPr>
          <w:rFonts w:ascii="宋体" w:hAnsi="宋体" w:eastAsia="宋体" w:cs="宋体"/>
          <w:sz w:val="20"/>
          <w:szCs w:val="20"/>
        </w:rPr>
        <w:t xml:space="preserve"> </w:t>
      </w:r>
      <w:r>
        <w:rPr>
          <w:rFonts w:ascii="宋体" w:hAnsi="宋体" w:eastAsia="宋体" w:cs="宋体"/>
          <w:spacing w:val="8"/>
          <w:sz w:val="20"/>
          <w:szCs w:val="20"/>
        </w:rPr>
        <w:t>西岸接线滨</w:t>
      </w:r>
      <w:r>
        <w:rPr>
          <w:rFonts w:ascii="宋体" w:hAnsi="宋体" w:eastAsia="宋体" w:cs="宋体"/>
          <w:spacing w:val="7"/>
          <w:sz w:val="20"/>
          <w:szCs w:val="20"/>
        </w:rPr>
        <w:t>河</w:t>
      </w:r>
      <w:r>
        <w:rPr>
          <w:rFonts w:ascii="宋体" w:hAnsi="宋体" w:eastAsia="宋体" w:cs="宋体"/>
          <w:spacing w:val="4"/>
          <w:sz w:val="20"/>
          <w:szCs w:val="20"/>
        </w:rPr>
        <w:t xml:space="preserve">路，即滨河路与高家坝大桥交叉口 </w:t>
      </w:r>
      <w:r>
        <w:rPr>
          <w:rFonts w:ascii="Times New Roman" w:hAnsi="Times New Roman" w:eastAsia="Times New Roman" w:cs="Times New Roman"/>
          <w:spacing w:val="4"/>
          <w:sz w:val="20"/>
          <w:szCs w:val="20"/>
        </w:rPr>
        <w:t>61.82</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范围内，桩号 </w:t>
      </w:r>
      <w:r>
        <w:rPr>
          <w:rFonts w:ascii="Times New Roman" w:hAnsi="Times New Roman" w:eastAsia="Times New Roman" w:cs="Times New Roman"/>
          <w:sz w:val="20"/>
          <w:szCs w:val="20"/>
        </w:rPr>
        <w:t>K</w:t>
      </w:r>
      <w:r>
        <w:rPr>
          <w:rFonts w:ascii="Times New Roman" w:hAnsi="Times New Roman" w:eastAsia="Times New Roman" w:cs="Times New Roman"/>
          <w:spacing w:val="4"/>
          <w:sz w:val="20"/>
          <w:szCs w:val="20"/>
        </w:rPr>
        <w:t>0+506.363-</w:t>
      </w:r>
      <w:r>
        <w:rPr>
          <w:rFonts w:ascii="Times New Roman" w:hAnsi="Times New Roman" w:eastAsia="Times New Roman" w:cs="Times New Roman"/>
          <w:sz w:val="20"/>
          <w:szCs w:val="20"/>
        </w:rPr>
        <w:t>K</w:t>
      </w:r>
      <w:r>
        <w:rPr>
          <w:rFonts w:ascii="Times New Roman" w:hAnsi="Times New Roman" w:eastAsia="Times New Roman" w:cs="Times New Roman"/>
          <w:spacing w:val="4"/>
          <w:sz w:val="20"/>
          <w:szCs w:val="20"/>
        </w:rPr>
        <w:t>0+568. 183</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12"/>
          <w:sz w:val="20"/>
          <w:szCs w:val="20"/>
        </w:rPr>
        <w:t>道路等</w:t>
      </w:r>
      <w:r>
        <w:rPr>
          <w:rFonts w:ascii="宋体" w:hAnsi="宋体" w:eastAsia="宋体" w:cs="宋体"/>
          <w:spacing w:val="6"/>
          <w:sz w:val="20"/>
          <w:szCs w:val="20"/>
        </w:rPr>
        <w:t xml:space="preserve">级为城市次干路，设计车速 </w:t>
      </w:r>
      <w:r>
        <w:rPr>
          <w:rFonts w:ascii="Times New Roman" w:hAnsi="Times New Roman" w:eastAsia="Times New Roman" w:cs="Times New Roman"/>
          <w:spacing w:val="6"/>
          <w:sz w:val="20"/>
          <w:szCs w:val="20"/>
        </w:rPr>
        <w:t>30</w:t>
      </w:r>
      <w:r>
        <w:rPr>
          <w:rFonts w:ascii="Times New Roman" w:hAnsi="Times New Roman" w:eastAsia="Times New Roman" w:cs="Times New Roman"/>
          <w:sz w:val="20"/>
          <w:szCs w:val="20"/>
        </w:rPr>
        <w:t>Km</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h</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，设计范围内平面为一直线，无圆曲线。</w:t>
      </w:r>
    </w:p>
    <w:p>
      <w:pPr>
        <w:spacing w:line="5179" w:lineRule="exact"/>
        <w:ind w:firstLine="526"/>
        <w:textAlignment w:val="center"/>
      </w:pPr>
      <w:r>
        <w:drawing>
          <wp:inline distT="0" distB="0" distL="0" distR="0">
            <wp:extent cx="4949825" cy="3288665"/>
            <wp:effectExtent l="0" t="0" r="0" b="0"/>
            <wp:docPr id="111" name="IM 111"/>
            <wp:cNvGraphicFramePr/>
            <a:graphic xmlns:a="http://schemas.openxmlformats.org/drawingml/2006/main">
              <a:graphicData uri="http://schemas.openxmlformats.org/drawingml/2006/picture">
                <pic:pic xmlns:pic="http://schemas.openxmlformats.org/drawingml/2006/picture">
                  <pic:nvPicPr>
                    <pic:cNvPr id="111" name="IM 111"/>
                    <pic:cNvPicPr/>
                  </pic:nvPicPr>
                  <pic:blipFill>
                    <a:blip r:embed="rId255"/>
                    <a:stretch>
                      <a:fillRect/>
                    </a:stretch>
                  </pic:blipFill>
                  <pic:spPr>
                    <a:xfrm>
                      <a:off x="0" y="0"/>
                      <a:ext cx="4949952" cy="3288792"/>
                    </a:xfrm>
                    <a:prstGeom prst="rect">
                      <a:avLst/>
                    </a:prstGeom>
                  </pic:spPr>
                </pic:pic>
              </a:graphicData>
            </a:graphic>
          </wp:inline>
        </w:drawing>
      </w:r>
    </w:p>
    <w:p>
      <w:pPr>
        <w:spacing w:before="111" w:line="231" w:lineRule="auto"/>
        <w:ind w:left="3692"/>
        <w:rPr>
          <w:rFonts w:ascii="黑体" w:hAnsi="黑体" w:eastAsia="黑体" w:cs="黑体"/>
          <w:sz w:val="19"/>
          <w:szCs w:val="19"/>
        </w:rPr>
      </w:pPr>
      <w:r>
        <w:rPr>
          <w:rFonts w:ascii="黑体" w:hAnsi="黑体" w:eastAsia="黑体" w:cs="黑体"/>
          <w:spacing w:val="7"/>
          <w:sz w:val="19"/>
          <w:szCs w:val="19"/>
        </w:rPr>
        <w:t>图</w:t>
      </w:r>
      <w:r>
        <w:rPr>
          <w:rFonts w:ascii="Times New Roman" w:hAnsi="Times New Roman" w:eastAsia="Times New Roman" w:cs="Times New Roman"/>
          <w:spacing w:val="7"/>
          <w:sz w:val="19"/>
          <w:szCs w:val="19"/>
        </w:rPr>
        <w:t>3</w:t>
      </w:r>
      <w:r>
        <w:rPr>
          <w:rFonts w:ascii="黑体" w:hAnsi="黑体" w:eastAsia="黑体" w:cs="黑体"/>
          <w:spacing w:val="7"/>
          <w:sz w:val="19"/>
          <w:szCs w:val="19"/>
        </w:rPr>
        <w:t>：平面线位</w:t>
      </w:r>
      <w:r>
        <w:rPr>
          <w:rFonts w:ascii="黑体" w:hAnsi="黑体" w:eastAsia="黑体" w:cs="黑体"/>
          <w:spacing w:val="6"/>
          <w:sz w:val="19"/>
          <w:szCs w:val="19"/>
        </w:rPr>
        <w:t>图</w:t>
      </w:r>
    </w:p>
    <w:p>
      <w:pPr>
        <w:sectPr>
          <w:footerReference r:id="rId114" w:type="default"/>
          <w:pgSz w:w="11906" w:h="16839"/>
          <w:pgMar w:top="400" w:right="1450" w:bottom="1027" w:left="1530" w:header="0" w:footer="840" w:gutter="0"/>
          <w:cols w:space="720" w:num="1"/>
        </w:sect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65" w:line="229" w:lineRule="auto"/>
        <w:ind w:left="428"/>
        <w:rPr>
          <w:rFonts w:ascii="宋体" w:hAnsi="宋体" w:eastAsia="宋体" w:cs="宋体"/>
          <w:sz w:val="20"/>
          <w:szCs w:val="20"/>
        </w:rPr>
      </w:pPr>
      <w:r>
        <w:rPr>
          <w:rFonts w:ascii="宋体" w:hAnsi="宋体" w:eastAsia="宋体" w:cs="宋体"/>
          <w:spacing w:val="22"/>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7"/>
          <w:sz w:val="20"/>
          <w:szCs w:val="20"/>
        </w:rPr>
        <w:t>6</w:t>
      </w:r>
      <w:r>
        <w:rPr>
          <w:rFonts w:ascii="宋体" w:hAnsi="宋体" w:eastAsia="宋体" w:cs="宋体"/>
          <w:spacing w:val="17"/>
          <w:sz w:val="20"/>
          <w:szCs w:val="20"/>
          <w14:textOutline w14:w="3795" w14:cap="sq" w14:cmpd="sng">
            <w14:solidFill>
              <w14:srgbClr w14:val="000000"/>
            </w14:solidFill>
            <w14:prstDash w14:val="solid"/>
            <w14:bevel/>
          </w14:textOutline>
        </w:rPr>
        <w:t>)</w:t>
      </w:r>
      <w:r>
        <w:rPr>
          <w:rFonts w:ascii="宋体" w:hAnsi="宋体" w:eastAsia="宋体" w:cs="宋体"/>
          <w:spacing w:val="17"/>
          <w:sz w:val="20"/>
          <w:szCs w:val="20"/>
        </w:rPr>
        <w:t xml:space="preserve"> </w:t>
      </w:r>
      <w:r>
        <w:rPr>
          <w:rFonts w:ascii="宋体" w:hAnsi="宋体" w:eastAsia="宋体" w:cs="宋体"/>
          <w:spacing w:val="17"/>
          <w:sz w:val="20"/>
          <w:szCs w:val="20"/>
          <w14:textOutline w14:w="3795" w14:cap="sq" w14:cmpd="sng">
            <w14:solidFill>
              <w14:srgbClr w14:val="000000"/>
            </w14:solidFill>
            <w14:prstDash w14:val="solid"/>
            <w14:bevel/>
          </w14:textOutline>
        </w:rPr>
        <w:t>交叉口设计</w:t>
      </w:r>
    </w:p>
    <w:p>
      <w:pPr>
        <w:spacing w:before="150" w:line="370" w:lineRule="auto"/>
        <w:ind w:right="52" w:firstLine="419"/>
        <w:rPr>
          <w:rFonts w:ascii="宋体" w:hAnsi="宋体" w:eastAsia="宋体" w:cs="宋体"/>
          <w:sz w:val="20"/>
          <w:szCs w:val="20"/>
        </w:rPr>
      </w:pPr>
      <w:r>
        <w:rPr>
          <w:rFonts w:ascii="宋体" w:hAnsi="宋体" w:eastAsia="宋体" w:cs="宋体"/>
          <w:spacing w:val="20"/>
          <w:sz w:val="20"/>
          <w:szCs w:val="20"/>
        </w:rPr>
        <w:t>本</w:t>
      </w:r>
      <w:r>
        <w:rPr>
          <w:rFonts w:ascii="宋体" w:hAnsi="宋体" w:eastAsia="宋体" w:cs="宋体"/>
          <w:spacing w:val="12"/>
          <w:sz w:val="20"/>
          <w:szCs w:val="20"/>
        </w:rPr>
        <w:t>项</w:t>
      </w:r>
      <w:r>
        <w:rPr>
          <w:rFonts w:ascii="宋体" w:hAnsi="宋体" w:eastAsia="宋体" w:cs="宋体"/>
          <w:spacing w:val="10"/>
          <w:sz w:val="20"/>
          <w:szCs w:val="20"/>
        </w:rPr>
        <w:t>目起于西侧滨河支路，止于东侧南北主干道，故存在两个交叉路口的设计，交叉口均采</w:t>
      </w:r>
      <w:r>
        <w:rPr>
          <w:rFonts w:ascii="宋体" w:hAnsi="宋体" w:eastAsia="宋体" w:cs="宋体"/>
          <w:sz w:val="20"/>
          <w:szCs w:val="20"/>
        </w:rPr>
        <w:t xml:space="preserve"> </w:t>
      </w:r>
      <w:r>
        <w:rPr>
          <w:rFonts w:ascii="宋体" w:hAnsi="宋体" w:eastAsia="宋体" w:cs="宋体"/>
          <w:spacing w:val="11"/>
          <w:sz w:val="20"/>
          <w:szCs w:val="20"/>
        </w:rPr>
        <w:t>用</w:t>
      </w:r>
      <w:r>
        <w:rPr>
          <w:rFonts w:ascii="宋体" w:hAnsi="宋体" w:eastAsia="宋体" w:cs="宋体"/>
          <w:spacing w:val="7"/>
          <w:sz w:val="20"/>
          <w:szCs w:val="20"/>
        </w:rPr>
        <w:t>平交灯控的形式。</w:t>
      </w:r>
    </w:p>
    <w:p>
      <w:pPr>
        <w:tabs>
          <w:tab w:val="left" w:pos="490"/>
        </w:tabs>
        <w:spacing w:line="398" w:lineRule="exact"/>
        <w:ind w:left="409"/>
        <w:rPr>
          <w:rFonts w:ascii="宋体" w:hAnsi="宋体" w:eastAsia="宋体" w:cs="宋体"/>
          <w:sz w:val="20"/>
          <w:szCs w:val="20"/>
        </w:rPr>
      </w:pPr>
      <w:r>
        <w:rPr>
          <w:rFonts w:ascii="宋体" w:hAnsi="宋体" w:eastAsia="宋体" w:cs="宋体"/>
          <w:position w:val="14"/>
          <w:sz w:val="17"/>
          <w:szCs w:val="17"/>
        </w:rPr>
        <w:tab/>
      </w:r>
      <w:r>
        <w:rPr>
          <w:rFonts w:ascii="宋体" w:hAnsi="宋体" w:eastAsia="宋体" w:cs="宋体"/>
          <w:spacing w:val="9"/>
          <w:position w:val="14"/>
          <w:sz w:val="17"/>
          <w:szCs w:val="17"/>
        </w:rPr>
        <w:t>1</w:t>
      </w:r>
      <w:r>
        <w:rPr>
          <w:rFonts w:ascii="宋体" w:hAnsi="宋体" w:eastAsia="宋体" w:cs="宋体"/>
          <w:spacing w:val="6"/>
          <w:position w:val="14"/>
          <w:sz w:val="17"/>
          <w:szCs w:val="17"/>
        </w:rPr>
        <w:t xml:space="preserve">   </w:t>
      </w:r>
      <w:r>
        <w:rPr>
          <w:rFonts w:ascii="宋体" w:hAnsi="宋体" w:eastAsia="宋体" w:cs="宋体"/>
          <w:spacing w:val="6"/>
          <w:position w:val="14"/>
          <w:sz w:val="20"/>
          <w:szCs w:val="20"/>
        </w:rPr>
        <w:t>东岸交叉口设计</w:t>
      </w:r>
    </w:p>
    <w:p>
      <w:pPr>
        <w:spacing w:line="229" w:lineRule="auto"/>
        <w:ind w:left="432"/>
        <w:rPr>
          <w:rFonts w:ascii="宋体" w:hAnsi="宋体" w:eastAsia="宋体" w:cs="宋体"/>
          <w:sz w:val="20"/>
          <w:szCs w:val="20"/>
        </w:rPr>
      </w:pPr>
      <w:r>
        <w:rPr>
          <w:rFonts w:ascii="宋体" w:hAnsi="宋体" w:eastAsia="宋体" w:cs="宋体"/>
          <w:spacing w:val="6"/>
          <w:sz w:val="20"/>
          <w:szCs w:val="20"/>
        </w:rPr>
        <w:t>◆</w:t>
      </w:r>
      <w:r>
        <w:rPr>
          <w:rFonts w:ascii="Times New Roman" w:hAnsi="Times New Roman" w:eastAsia="Times New Roman" w:cs="Times New Roman"/>
          <w:sz w:val="20"/>
          <w:szCs w:val="20"/>
        </w:rPr>
        <w:t>K</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型平面交叉口；</w:t>
      </w:r>
    </w:p>
    <w:p>
      <w:pPr>
        <w:spacing w:before="152" w:line="228" w:lineRule="auto"/>
        <w:ind w:left="432"/>
        <w:rPr>
          <w:rFonts w:ascii="宋体" w:hAnsi="宋体" w:eastAsia="宋体" w:cs="宋体"/>
          <w:sz w:val="20"/>
          <w:szCs w:val="20"/>
        </w:rPr>
      </w:pPr>
      <w:r>
        <w:rPr>
          <w:rFonts w:ascii="宋体" w:hAnsi="宋体" w:eastAsia="宋体" w:cs="宋体"/>
          <w:spacing w:val="12"/>
          <w:sz w:val="20"/>
          <w:szCs w:val="20"/>
        </w:rPr>
        <w:t>◆江</w:t>
      </w:r>
      <w:r>
        <w:rPr>
          <w:rFonts w:ascii="宋体" w:hAnsi="宋体" w:eastAsia="宋体" w:cs="宋体"/>
          <w:spacing w:val="10"/>
          <w:sz w:val="20"/>
          <w:szCs w:val="20"/>
        </w:rPr>
        <w:t>湾</w:t>
      </w:r>
      <w:r>
        <w:rPr>
          <w:rFonts w:ascii="宋体" w:hAnsi="宋体" w:eastAsia="宋体" w:cs="宋体"/>
          <w:spacing w:val="6"/>
          <w:sz w:val="20"/>
          <w:szCs w:val="20"/>
        </w:rPr>
        <w:t xml:space="preserve">路三个车道，进口道 </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个左转，</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个直行；出口道一个直行。</w:t>
      </w:r>
    </w:p>
    <w:p>
      <w:pPr>
        <w:spacing w:before="153" w:line="228" w:lineRule="auto"/>
        <w:ind w:left="432"/>
        <w:rPr>
          <w:rFonts w:ascii="宋体" w:hAnsi="宋体" w:eastAsia="宋体" w:cs="宋体"/>
          <w:sz w:val="20"/>
          <w:szCs w:val="20"/>
        </w:rPr>
      </w:pPr>
      <w:r>
        <w:rPr>
          <w:rFonts w:ascii="宋体" w:hAnsi="宋体" w:eastAsia="宋体" w:cs="宋体"/>
          <w:spacing w:val="10"/>
          <w:sz w:val="20"/>
          <w:szCs w:val="20"/>
        </w:rPr>
        <w:t>◆交叉</w:t>
      </w:r>
      <w:r>
        <w:rPr>
          <w:rFonts w:ascii="宋体" w:hAnsi="宋体" w:eastAsia="宋体" w:cs="宋体"/>
          <w:spacing w:val="7"/>
          <w:sz w:val="20"/>
          <w:szCs w:val="20"/>
        </w:rPr>
        <w:t>口</w:t>
      </w:r>
      <w:r>
        <w:rPr>
          <w:rFonts w:ascii="宋体" w:hAnsi="宋体" w:eastAsia="宋体" w:cs="宋体"/>
          <w:spacing w:val="5"/>
          <w:sz w:val="20"/>
          <w:szCs w:val="20"/>
        </w:rPr>
        <w:t xml:space="preserve">大桥方向进道口 </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车道，</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个左转，</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个右转；</w:t>
      </w:r>
    </w:p>
    <w:p>
      <w:pPr>
        <w:spacing w:before="151" w:line="228" w:lineRule="auto"/>
        <w:ind w:left="432"/>
        <w:rPr>
          <w:rFonts w:ascii="宋体" w:hAnsi="宋体" w:eastAsia="宋体" w:cs="宋体"/>
          <w:sz w:val="20"/>
          <w:szCs w:val="20"/>
        </w:rPr>
      </w:pPr>
      <w:r>
        <w:rPr>
          <w:rFonts w:ascii="宋体" w:hAnsi="宋体" w:eastAsia="宋体" w:cs="宋体"/>
          <w:spacing w:val="8"/>
          <w:sz w:val="20"/>
          <w:szCs w:val="20"/>
        </w:rPr>
        <w:t>◆交</w:t>
      </w:r>
      <w:r>
        <w:rPr>
          <w:rFonts w:ascii="宋体" w:hAnsi="宋体" w:eastAsia="宋体" w:cs="宋体"/>
          <w:spacing w:val="5"/>
          <w:sz w:val="20"/>
          <w:szCs w:val="20"/>
        </w:rPr>
        <w:t>叉</w:t>
      </w:r>
      <w:r>
        <w:rPr>
          <w:rFonts w:ascii="宋体" w:hAnsi="宋体" w:eastAsia="宋体" w:cs="宋体"/>
          <w:spacing w:val="4"/>
          <w:sz w:val="20"/>
          <w:szCs w:val="20"/>
        </w:rPr>
        <w:t xml:space="preserve">口大桥方向出道口保持 </w:t>
      </w: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车道；</w:t>
      </w:r>
    </w:p>
    <w:p>
      <w:pPr>
        <w:spacing w:before="154" w:line="299" w:lineRule="auto"/>
        <w:ind w:left="420" w:right="52" w:firstLine="12"/>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3"/>
          <w:sz w:val="20"/>
          <w:szCs w:val="20"/>
        </w:rPr>
        <w:t>交</w:t>
      </w:r>
      <w:r>
        <w:rPr>
          <w:rFonts w:ascii="宋体" w:hAnsi="宋体" w:eastAsia="宋体" w:cs="宋体"/>
          <w:spacing w:val="8"/>
          <w:sz w:val="20"/>
          <w:szCs w:val="20"/>
        </w:rPr>
        <w:t xml:space="preserve">叉口南北干道进口道通过压缩中分带均展宽为 </w:t>
      </w:r>
      <w:r>
        <w:rPr>
          <w:rFonts w:ascii="Times New Roman" w:hAnsi="Times New Roman" w:eastAsia="Times New Roman" w:cs="Times New Roman"/>
          <w:spacing w:val="8"/>
          <w:sz w:val="20"/>
          <w:szCs w:val="20"/>
        </w:rPr>
        <w:t xml:space="preserve">4 </w:t>
      </w:r>
      <w:r>
        <w:rPr>
          <w:rFonts w:ascii="宋体" w:hAnsi="宋体" w:eastAsia="宋体" w:cs="宋体"/>
          <w:spacing w:val="8"/>
          <w:sz w:val="20"/>
          <w:szCs w:val="20"/>
        </w:rPr>
        <w:t>车道，直行道保持不变，增加一个左转</w:t>
      </w:r>
      <w:r>
        <w:rPr>
          <w:rFonts w:ascii="宋体" w:hAnsi="宋体" w:eastAsia="宋体" w:cs="宋体"/>
          <w:sz w:val="20"/>
          <w:szCs w:val="20"/>
        </w:rPr>
        <w:t xml:space="preserve"> </w:t>
      </w:r>
      <w:r>
        <w:rPr>
          <w:rFonts w:ascii="宋体" w:hAnsi="宋体" w:eastAsia="宋体" w:cs="宋体"/>
          <w:spacing w:val="12"/>
          <w:sz w:val="20"/>
          <w:szCs w:val="20"/>
        </w:rPr>
        <w:t>车</w:t>
      </w:r>
      <w:r>
        <w:rPr>
          <w:rFonts w:ascii="宋体" w:hAnsi="宋体" w:eastAsia="宋体" w:cs="宋体"/>
          <w:spacing w:val="8"/>
          <w:sz w:val="20"/>
          <w:szCs w:val="20"/>
        </w:rPr>
        <w:t>道</w:t>
      </w:r>
      <w:r>
        <w:rPr>
          <w:rFonts w:ascii="宋体" w:hAnsi="宋体" w:eastAsia="宋体" w:cs="宋体"/>
          <w:spacing w:val="6"/>
          <w:sz w:val="20"/>
          <w:szCs w:val="20"/>
        </w:rPr>
        <w:t xml:space="preserve"> (南往北方向) ；</w:t>
      </w:r>
    </w:p>
    <w:p>
      <w:pPr>
        <w:spacing w:before="151" w:line="227" w:lineRule="auto"/>
        <w:ind w:left="432"/>
        <w:rPr>
          <w:rFonts w:ascii="宋体" w:hAnsi="宋体" w:eastAsia="宋体" w:cs="宋体"/>
          <w:sz w:val="20"/>
          <w:szCs w:val="20"/>
        </w:rPr>
      </w:pPr>
      <w:r>
        <w:rPr>
          <w:rFonts w:ascii="宋体" w:hAnsi="宋体" w:eastAsia="宋体" w:cs="宋体"/>
          <w:spacing w:val="6"/>
          <w:sz w:val="20"/>
          <w:szCs w:val="20"/>
        </w:rPr>
        <w:t xml:space="preserve">◆交叉口南北干道进口道直行道保持不变，在最右侧直行道允许右转和直行 (北往南方向) </w:t>
      </w:r>
      <w:r>
        <w:rPr>
          <w:rFonts w:ascii="宋体" w:hAnsi="宋体" w:eastAsia="宋体" w:cs="宋体"/>
          <w:sz w:val="20"/>
          <w:szCs w:val="20"/>
        </w:rPr>
        <w:t>；</w:t>
      </w:r>
    </w:p>
    <w:p>
      <w:pPr>
        <w:spacing w:before="155" w:line="227" w:lineRule="auto"/>
        <w:ind w:left="432"/>
        <w:rPr>
          <w:rFonts w:ascii="宋体" w:hAnsi="宋体" w:eastAsia="宋体" w:cs="宋体"/>
          <w:sz w:val="20"/>
          <w:szCs w:val="20"/>
        </w:rPr>
      </w:pPr>
      <w:r>
        <w:rPr>
          <w:rFonts w:ascii="宋体" w:hAnsi="宋体" w:eastAsia="宋体" w:cs="宋体"/>
          <w:spacing w:val="8"/>
          <w:sz w:val="20"/>
          <w:szCs w:val="20"/>
        </w:rPr>
        <w:t>◆交</w:t>
      </w:r>
      <w:r>
        <w:rPr>
          <w:rFonts w:ascii="宋体" w:hAnsi="宋体" w:eastAsia="宋体" w:cs="宋体"/>
          <w:spacing w:val="5"/>
          <w:sz w:val="20"/>
          <w:szCs w:val="20"/>
        </w:rPr>
        <w:t>叉</w:t>
      </w:r>
      <w:r>
        <w:rPr>
          <w:rFonts w:ascii="宋体" w:hAnsi="宋体" w:eastAsia="宋体" w:cs="宋体"/>
          <w:spacing w:val="4"/>
          <w:sz w:val="20"/>
          <w:szCs w:val="20"/>
        </w:rPr>
        <w:t xml:space="preserve">口南北干道出口道保持 </w:t>
      </w: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车道；</w:t>
      </w:r>
    </w:p>
    <w:p>
      <w:pPr>
        <w:spacing w:line="14" w:lineRule="exact"/>
      </w:pPr>
    </w:p>
    <w:tbl>
      <w:tblPr>
        <w:tblStyle w:val="4"/>
        <w:tblW w:w="8347" w:type="dxa"/>
        <w:tblInd w:w="234"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8347"/>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7274" w:hRule="atLeast"/>
        </w:trPr>
        <w:tc>
          <w:tcPr>
            <w:tcW w:w="8347" w:type="dxa"/>
            <w:vAlign w:val="top"/>
          </w:tcPr>
          <w:p>
            <w:pPr>
              <w:spacing w:line="7274" w:lineRule="exact"/>
              <w:textAlignment w:val="center"/>
            </w:pPr>
            <w:r>
              <w:drawing>
                <wp:inline distT="0" distB="0" distL="0" distR="0">
                  <wp:extent cx="5287010" cy="461899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256"/>
                          <a:stretch>
                            <a:fillRect/>
                          </a:stretch>
                        </pic:blipFill>
                        <pic:spPr>
                          <a:xfrm>
                            <a:off x="0" y="0"/>
                            <a:ext cx="5287644" cy="4618990"/>
                          </a:xfrm>
                          <a:prstGeom prst="rect">
                            <a:avLst/>
                          </a:prstGeom>
                        </pic:spPr>
                      </pic:pic>
                    </a:graphicData>
                  </a:graphic>
                </wp:inline>
              </w:drawing>
            </w:r>
          </w:p>
        </w:tc>
      </w:tr>
    </w:tbl>
    <w:p>
      <w:pPr>
        <w:spacing w:before="94" w:line="231" w:lineRule="auto"/>
        <w:ind w:left="2781"/>
        <w:rPr>
          <w:rFonts w:ascii="黑体" w:hAnsi="黑体" w:eastAsia="黑体" w:cs="黑体"/>
          <w:sz w:val="19"/>
          <w:szCs w:val="19"/>
        </w:rPr>
      </w:pPr>
      <w:r>
        <w:rPr>
          <w:rFonts w:ascii="黑体" w:hAnsi="黑体" w:eastAsia="黑体" w:cs="黑体"/>
          <w:spacing w:val="14"/>
          <w:sz w:val="19"/>
          <w:szCs w:val="19"/>
        </w:rPr>
        <w:t>图</w:t>
      </w:r>
      <w:r>
        <w:rPr>
          <w:rFonts w:ascii="Times New Roman" w:hAnsi="Times New Roman" w:eastAsia="Times New Roman" w:cs="Times New Roman"/>
          <w:spacing w:val="8"/>
          <w:sz w:val="19"/>
          <w:szCs w:val="19"/>
        </w:rPr>
        <w:t>4</w:t>
      </w:r>
      <w:r>
        <w:rPr>
          <w:rFonts w:ascii="黑体" w:hAnsi="黑体" w:eastAsia="黑体" w:cs="黑体"/>
          <w:spacing w:val="8"/>
          <w:sz w:val="19"/>
          <w:szCs w:val="19"/>
        </w:rPr>
        <w:t>：高家坝大桥东岸交叉口节点设计</w:t>
      </w:r>
    </w:p>
    <w:p>
      <w:pPr>
        <w:spacing w:before="135" w:line="401" w:lineRule="exact"/>
        <w:ind w:left="479"/>
        <w:rPr>
          <w:rFonts w:ascii="宋体" w:hAnsi="宋体" w:eastAsia="宋体" w:cs="宋体"/>
          <w:sz w:val="20"/>
          <w:szCs w:val="20"/>
        </w:rPr>
      </w:pPr>
      <w:r>
        <w:rPr>
          <w:rFonts w:ascii="宋体" w:hAnsi="宋体" w:eastAsia="宋体" w:cs="宋体"/>
          <w:spacing w:val="9"/>
          <w:position w:val="14"/>
          <w:sz w:val="17"/>
          <w:szCs w:val="17"/>
        </w:rPr>
        <w:t>2</w:t>
      </w:r>
      <w:r>
        <w:rPr>
          <w:rFonts w:ascii="宋体" w:hAnsi="宋体" w:eastAsia="宋体" w:cs="宋体"/>
          <w:spacing w:val="7"/>
          <w:position w:val="14"/>
          <w:sz w:val="17"/>
          <w:szCs w:val="17"/>
        </w:rPr>
        <w:t xml:space="preserve">   </w:t>
      </w:r>
      <w:r>
        <w:rPr>
          <w:rFonts w:ascii="宋体" w:hAnsi="宋体" w:eastAsia="宋体" w:cs="宋体"/>
          <w:spacing w:val="7"/>
          <w:position w:val="14"/>
          <w:sz w:val="20"/>
          <w:szCs w:val="20"/>
        </w:rPr>
        <w:t>西岸交叉口设计</w:t>
      </w:r>
    </w:p>
    <w:p>
      <w:pPr>
        <w:spacing w:line="229" w:lineRule="auto"/>
        <w:ind w:left="432"/>
        <w:rPr>
          <w:rFonts w:ascii="宋体" w:hAnsi="宋体" w:eastAsia="宋体" w:cs="宋体"/>
          <w:sz w:val="20"/>
          <w:szCs w:val="20"/>
        </w:rPr>
      </w:pPr>
      <w:r>
        <w:rPr>
          <w:rFonts w:ascii="宋体" w:hAnsi="宋体" w:eastAsia="宋体" w:cs="宋体"/>
          <w:spacing w:val="6"/>
          <w:sz w:val="20"/>
          <w:szCs w:val="20"/>
        </w:rPr>
        <w:t>◆</w:t>
      </w:r>
      <w:r>
        <w:rPr>
          <w:rFonts w:ascii="Times New Roman" w:hAnsi="Times New Roman" w:eastAsia="Times New Roman" w:cs="Times New Roman"/>
          <w:sz w:val="20"/>
          <w:szCs w:val="20"/>
        </w:rPr>
        <w:t>T</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型平面交叉口</w:t>
      </w:r>
      <w:r>
        <w:rPr>
          <w:rFonts w:ascii="宋体" w:hAnsi="宋体" w:eastAsia="宋体" w:cs="宋体"/>
          <w:spacing w:val="4"/>
          <w:sz w:val="20"/>
          <w:szCs w:val="20"/>
        </w:rPr>
        <w:t>；</w:t>
      </w:r>
    </w:p>
    <w:p>
      <w:pPr>
        <w:sectPr>
          <w:footerReference r:id="rId115" w:type="default"/>
          <w:pgSz w:w="11906" w:h="16839"/>
          <w:pgMar w:top="400" w:right="1480" w:bottom="1027" w:left="1541" w:header="0" w:footer="840" w:gutter="0"/>
          <w:cols w:space="720" w:num="1"/>
        </w:sectPr>
      </w:pPr>
    </w:p>
    <w:p>
      <w:pPr>
        <w:spacing w:line="277" w:lineRule="auto"/>
        <w:rPr>
          <w:rFonts w:ascii="Arial"/>
          <w:sz w:val="21"/>
        </w:rPr>
      </w:pPr>
      <w:r>
        <w:pict>
          <v:shape id="_x0000_s1106" o:spid="_x0000_s1106" style="position:absolute;left:0pt;margin-left:97.5pt;margin-top:494.6pt;height:10.55pt;width:10.6pt;mso-position-horizontal-relative:page;mso-position-vertical-relative:page;z-index:251766784;mso-width-relative:page;mso-height-relative:page;" filled="f" stroked="t" coordsize="212,211" o:allowincell="f" path="m210,105c210,163,163,210,105,210c47,210,0,163,0,105c0,47,47,0,105,0c163,0,210,47,210,105e">
            <v:fill on="f" focussize="0,0"/>
            <v:stroke weight="0.05pt" color="#000000" miterlimit="2" joinstyle="bevel" endcap="square"/>
            <v:imagedata o:title=""/>
            <o:lock v:ext="edit"/>
          </v:shape>
        </w:pict>
      </w: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65" w:line="228" w:lineRule="auto"/>
        <w:ind w:left="434"/>
        <w:rPr>
          <w:rFonts w:ascii="宋体" w:hAnsi="宋体" w:eastAsia="宋体" w:cs="宋体"/>
          <w:sz w:val="20"/>
          <w:szCs w:val="20"/>
        </w:rPr>
      </w:pPr>
      <w:r>
        <w:rPr>
          <w:rFonts w:ascii="宋体" w:hAnsi="宋体" w:eastAsia="宋体" w:cs="宋体"/>
          <w:spacing w:val="14"/>
          <w:sz w:val="20"/>
          <w:szCs w:val="20"/>
        </w:rPr>
        <w:t>◆交</w:t>
      </w:r>
      <w:r>
        <w:rPr>
          <w:rFonts w:ascii="宋体" w:hAnsi="宋体" w:eastAsia="宋体" w:cs="宋体"/>
          <w:spacing w:val="9"/>
          <w:sz w:val="20"/>
          <w:szCs w:val="20"/>
        </w:rPr>
        <w:t>叉</w:t>
      </w:r>
      <w:r>
        <w:rPr>
          <w:rFonts w:ascii="宋体" w:hAnsi="宋体" w:eastAsia="宋体" w:cs="宋体"/>
          <w:spacing w:val="7"/>
          <w:sz w:val="20"/>
          <w:szCs w:val="20"/>
        </w:rPr>
        <w:t xml:space="preserve">口滨河支路进口道均展宽为 </w:t>
      </w: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车道，直行道保持不变，增加一个左、右转车道；</w:t>
      </w:r>
    </w:p>
    <w:p>
      <w:pPr>
        <w:spacing w:before="151" w:line="228" w:lineRule="auto"/>
        <w:ind w:left="434"/>
        <w:rPr>
          <w:rFonts w:ascii="宋体" w:hAnsi="宋体" w:eastAsia="宋体" w:cs="宋体"/>
          <w:sz w:val="20"/>
          <w:szCs w:val="20"/>
        </w:rPr>
      </w:pPr>
      <w:r>
        <w:rPr>
          <w:rFonts w:ascii="宋体" w:hAnsi="宋体" w:eastAsia="宋体" w:cs="宋体"/>
          <w:spacing w:val="8"/>
          <w:sz w:val="20"/>
          <w:szCs w:val="20"/>
        </w:rPr>
        <w:t>◆交</w:t>
      </w:r>
      <w:r>
        <w:rPr>
          <w:rFonts w:ascii="宋体" w:hAnsi="宋体" w:eastAsia="宋体" w:cs="宋体"/>
          <w:spacing w:val="5"/>
          <w:sz w:val="20"/>
          <w:szCs w:val="20"/>
        </w:rPr>
        <w:t>叉</w:t>
      </w:r>
      <w:r>
        <w:rPr>
          <w:rFonts w:ascii="宋体" w:hAnsi="宋体" w:eastAsia="宋体" w:cs="宋体"/>
          <w:spacing w:val="4"/>
          <w:sz w:val="20"/>
          <w:szCs w:val="20"/>
        </w:rPr>
        <w:t xml:space="preserve">口滨河支路出口道保持 </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车道；</w:t>
      </w:r>
    </w:p>
    <w:p>
      <w:pPr>
        <w:spacing w:before="153" w:line="228" w:lineRule="auto"/>
        <w:ind w:left="434"/>
        <w:rPr>
          <w:rFonts w:ascii="宋体" w:hAnsi="宋体" w:eastAsia="宋体" w:cs="宋体"/>
          <w:sz w:val="20"/>
          <w:szCs w:val="20"/>
        </w:rPr>
      </w:pPr>
      <w:r>
        <w:rPr>
          <w:rFonts w:ascii="宋体" w:hAnsi="宋体" w:eastAsia="宋体" w:cs="宋体"/>
          <w:spacing w:val="10"/>
          <w:sz w:val="20"/>
          <w:szCs w:val="20"/>
        </w:rPr>
        <w:t>◆交叉</w:t>
      </w:r>
      <w:r>
        <w:rPr>
          <w:rFonts w:ascii="宋体" w:hAnsi="宋体" w:eastAsia="宋体" w:cs="宋体"/>
          <w:spacing w:val="7"/>
          <w:sz w:val="20"/>
          <w:szCs w:val="20"/>
        </w:rPr>
        <w:t>口</w:t>
      </w:r>
      <w:r>
        <w:rPr>
          <w:rFonts w:ascii="宋体" w:hAnsi="宋体" w:eastAsia="宋体" w:cs="宋体"/>
          <w:spacing w:val="5"/>
          <w:sz w:val="20"/>
          <w:szCs w:val="20"/>
        </w:rPr>
        <w:t xml:space="preserve">大桥方向进道口 </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车道，</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个左转，</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个右转；</w:t>
      </w:r>
    </w:p>
    <w:p>
      <w:pPr>
        <w:spacing w:before="153" w:line="228" w:lineRule="auto"/>
        <w:ind w:left="434"/>
        <w:rPr>
          <w:rFonts w:ascii="宋体" w:hAnsi="宋体" w:eastAsia="宋体" w:cs="宋体"/>
          <w:sz w:val="20"/>
          <w:szCs w:val="20"/>
        </w:rPr>
      </w:pPr>
      <w:r>
        <w:rPr>
          <w:rFonts w:ascii="宋体" w:hAnsi="宋体" w:eastAsia="宋体" w:cs="宋体"/>
          <w:spacing w:val="8"/>
          <w:sz w:val="20"/>
          <w:szCs w:val="20"/>
        </w:rPr>
        <w:t>◆交</w:t>
      </w:r>
      <w:r>
        <w:rPr>
          <w:rFonts w:ascii="宋体" w:hAnsi="宋体" w:eastAsia="宋体" w:cs="宋体"/>
          <w:spacing w:val="5"/>
          <w:sz w:val="20"/>
          <w:szCs w:val="20"/>
        </w:rPr>
        <w:t>叉</w:t>
      </w:r>
      <w:r>
        <w:rPr>
          <w:rFonts w:ascii="宋体" w:hAnsi="宋体" w:eastAsia="宋体" w:cs="宋体"/>
          <w:spacing w:val="4"/>
          <w:sz w:val="20"/>
          <w:szCs w:val="20"/>
        </w:rPr>
        <w:t xml:space="preserve">口大桥方向出道口保持 </w:t>
      </w: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车道；</w:t>
      </w:r>
    </w:p>
    <w:p>
      <w:pPr>
        <w:spacing w:line="16" w:lineRule="exact"/>
      </w:pPr>
    </w:p>
    <w:tbl>
      <w:tblPr>
        <w:tblStyle w:val="4"/>
        <w:tblW w:w="8356" w:type="dxa"/>
        <w:tblInd w:w="23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356"/>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5687" w:hRule="atLeast"/>
        </w:trPr>
        <w:tc>
          <w:tcPr>
            <w:tcW w:w="8356" w:type="dxa"/>
            <w:vAlign w:val="top"/>
          </w:tcPr>
          <w:p>
            <w:pPr>
              <w:spacing w:before="7" w:line="5673" w:lineRule="exact"/>
              <w:ind w:firstLine="6"/>
              <w:textAlignment w:val="center"/>
            </w:pPr>
            <w:r>
              <w:drawing>
                <wp:inline distT="0" distB="0" distL="0" distR="0">
                  <wp:extent cx="5293995" cy="3602355"/>
                  <wp:effectExtent l="0" t="0" r="0" b="0"/>
                  <wp:docPr id="113" name="IM 113"/>
                  <wp:cNvGraphicFramePr/>
                  <a:graphic xmlns:a="http://schemas.openxmlformats.org/drawingml/2006/main">
                    <a:graphicData uri="http://schemas.openxmlformats.org/drawingml/2006/picture">
                      <pic:pic xmlns:pic="http://schemas.openxmlformats.org/drawingml/2006/picture">
                        <pic:nvPicPr>
                          <pic:cNvPr id="113" name="IM 113"/>
                          <pic:cNvPicPr/>
                        </pic:nvPicPr>
                        <pic:blipFill>
                          <a:blip r:embed="rId257"/>
                          <a:stretch>
                            <a:fillRect/>
                          </a:stretch>
                        </pic:blipFill>
                        <pic:spPr>
                          <a:xfrm>
                            <a:off x="0" y="0"/>
                            <a:ext cx="5294375" cy="3602735"/>
                          </a:xfrm>
                          <a:prstGeom prst="rect">
                            <a:avLst/>
                          </a:prstGeom>
                        </pic:spPr>
                      </pic:pic>
                    </a:graphicData>
                  </a:graphic>
                </wp:inline>
              </w:drawing>
            </w:r>
          </w:p>
        </w:tc>
      </w:tr>
    </w:tbl>
    <w:p>
      <w:pPr>
        <w:spacing w:before="97" w:line="231" w:lineRule="auto"/>
        <w:ind w:left="2784"/>
        <w:rPr>
          <w:rFonts w:ascii="黑体" w:hAnsi="黑体" w:eastAsia="黑体" w:cs="黑体"/>
          <w:sz w:val="19"/>
          <w:szCs w:val="19"/>
        </w:rPr>
      </w:pPr>
      <w:r>
        <w:rPr>
          <w:rFonts w:ascii="黑体" w:hAnsi="黑体" w:eastAsia="黑体" w:cs="黑体"/>
          <w:spacing w:val="14"/>
          <w:sz w:val="19"/>
          <w:szCs w:val="19"/>
        </w:rPr>
        <w:t>图</w:t>
      </w:r>
      <w:r>
        <w:rPr>
          <w:rFonts w:ascii="Times New Roman" w:hAnsi="Times New Roman" w:eastAsia="Times New Roman" w:cs="Times New Roman"/>
          <w:spacing w:val="8"/>
          <w:sz w:val="19"/>
          <w:szCs w:val="19"/>
        </w:rPr>
        <w:t>5</w:t>
      </w:r>
      <w:r>
        <w:rPr>
          <w:rFonts w:ascii="黑体" w:hAnsi="黑体" w:eastAsia="黑体" w:cs="黑体"/>
          <w:spacing w:val="8"/>
          <w:sz w:val="19"/>
          <w:szCs w:val="19"/>
        </w:rPr>
        <w:t>：高家坝大桥西岸交叉口节点设计</w:t>
      </w:r>
    </w:p>
    <w:p>
      <w:pPr>
        <w:spacing w:before="137" w:line="228" w:lineRule="auto"/>
        <w:ind w:left="430"/>
        <w:rPr>
          <w:rFonts w:ascii="宋体" w:hAnsi="宋体" w:eastAsia="宋体" w:cs="宋体"/>
          <w:sz w:val="20"/>
          <w:szCs w:val="20"/>
        </w:rPr>
      </w:pPr>
      <w:r>
        <w:rPr>
          <w:rFonts w:ascii="宋体" w:hAnsi="宋体" w:eastAsia="宋体" w:cs="宋体"/>
          <w:spacing w:val="2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6"/>
          <w:sz w:val="20"/>
          <w:szCs w:val="20"/>
        </w:rPr>
        <w:t>7</w:t>
      </w: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宋体" w:hAnsi="宋体" w:eastAsia="宋体" w:cs="宋体"/>
          <w:spacing w:val="16"/>
          <w:sz w:val="20"/>
          <w:szCs w:val="20"/>
        </w:rPr>
        <w:t xml:space="preserve"> </w:t>
      </w:r>
      <w:r>
        <w:rPr>
          <w:rFonts w:ascii="宋体" w:hAnsi="宋体" w:eastAsia="宋体" w:cs="宋体"/>
          <w:spacing w:val="16"/>
          <w:sz w:val="20"/>
          <w:szCs w:val="20"/>
          <w14:textOutline w14:w="3795" w14:cap="sq" w14:cmpd="sng">
            <w14:solidFill>
              <w14:srgbClr w14:val="000000"/>
            </w14:solidFill>
            <w14:prstDash w14:val="solid"/>
            <w14:bevel/>
          </w14:textOutline>
        </w:rPr>
        <w:t>道路纵断面设计</w:t>
      </w:r>
    </w:p>
    <w:p>
      <w:pPr>
        <w:spacing w:before="151" w:line="228" w:lineRule="auto"/>
        <w:ind w:left="493"/>
        <w:rPr>
          <w:rFonts w:ascii="宋体" w:hAnsi="宋体" w:eastAsia="宋体" w:cs="宋体"/>
          <w:sz w:val="20"/>
          <w:szCs w:val="20"/>
        </w:rPr>
      </w:pPr>
      <w:r>
        <w:rPr>
          <w:rFonts w:ascii="宋体" w:hAnsi="宋体" w:eastAsia="宋体" w:cs="宋体"/>
          <w:spacing w:val="10"/>
          <w:sz w:val="17"/>
          <w:szCs w:val="17"/>
        </w:rPr>
        <w:t>1</w:t>
      </w:r>
      <w:r>
        <w:rPr>
          <w:rFonts w:ascii="宋体" w:hAnsi="宋体" w:eastAsia="宋体" w:cs="宋体"/>
          <w:spacing w:val="6"/>
          <w:sz w:val="17"/>
          <w:szCs w:val="17"/>
        </w:rPr>
        <w:t xml:space="preserve">   </w:t>
      </w:r>
      <w:r>
        <w:rPr>
          <w:rFonts w:ascii="宋体" w:hAnsi="宋体" w:eastAsia="宋体" w:cs="宋体"/>
          <w:spacing w:val="6"/>
          <w:sz w:val="20"/>
          <w:szCs w:val="20"/>
        </w:rPr>
        <w:t>桥梁纵断面方案如下：</w:t>
      </w:r>
    </w:p>
    <w:p>
      <w:pPr>
        <w:spacing w:before="116" w:line="324" w:lineRule="auto"/>
        <w:ind w:firstLine="423"/>
        <w:rPr>
          <w:rFonts w:ascii="宋体" w:hAnsi="宋体" w:eastAsia="宋体" w:cs="宋体"/>
          <w:sz w:val="20"/>
          <w:szCs w:val="20"/>
        </w:rPr>
      </w:pPr>
      <w:r>
        <w:rPr>
          <w:rFonts w:ascii="宋体" w:hAnsi="宋体" w:eastAsia="宋体" w:cs="宋体"/>
          <w:spacing w:val="-4"/>
          <w:sz w:val="20"/>
          <w:szCs w:val="20"/>
        </w:rPr>
        <w:t xml:space="preserve">最大纵坡 </w:t>
      </w:r>
      <w:r>
        <w:rPr>
          <w:rFonts w:ascii="Times New Roman" w:hAnsi="Times New Roman" w:eastAsia="Times New Roman" w:cs="Times New Roman"/>
          <w:spacing w:val="-4"/>
          <w:sz w:val="20"/>
          <w:szCs w:val="20"/>
        </w:rPr>
        <w:t xml:space="preserve">3.0% </w:t>
      </w:r>
      <w:r>
        <w:rPr>
          <w:rFonts w:ascii="宋体" w:hAnsi="宋体" w:eastAsia="宋体" w:cs="宋体"/>
          <w:spacing w:val="-4"/>
          <w:sz w:val="20"/>
          <w:szCs w:val="20"/>
        </w:rPr>
        <w:t xml:space="preserve">，最小纵坡 </w:t>
      </w:r>
      <w:r>
        <w:rPr>
          <w:rFonts w:ascii="Times New Roman" w:hAnsi="Times New Roman" w:eastAsia="Times New Roman" w:cs="Times New Roman"/>
          <w:spacing w:val="-4"/>
          <w:sz w:val="20"/>
          <w:szCs w:val="20"/>
        </w:rPr>
        <w:t xml:space="preserve">0.3% </w:t>
      </w:r>
      <w:r>
        <w:rPr>
          <w:rFonts w:ascii="宋体" w:hAnsi="宋体" w:eastAsia="宋体" w:cs="宋体"/>
          <w:spacing w:val="-4"/>
          <w:sz w:val="20"/>
          <w:szCs w:val="20"/>
        </w:rPr>
        <w:t>，最</w:t>
      </w:r>
      <w:r>
        <w:rPr>
          <w:rFonts w:ascii="宋体" w:hAnsi="宋体" w:eastAsia="宋体" w:cs="宋体"/>
          <w:spacing w:val="-3"/>
          <w:sz w:val="20"/>
          <w:szCs w:val="20"/>
        </w:rPr>
        <w:t>小</w:t>
      </w:r>
      <w:r>
        <w:rPr>
          <w:rFonts w:ascii="宋体" w:hAnsi="宋体" w:eastAsia="宋体" w:cs="宋体"/>
          <w:spacing w:val="-2"/>
          <w:sz w:val="20"/>
          <w:szCs w:val="20"/>
        </w:rPr>
        <w:t xml:space="preserve">坡长 </w:t>
      </w:r>
      <w:r>
        <w:rPr>
          <w:rFonts w:ascii="Times New Roman" w:hAnsi="Times New Roman" w:eastAsia="Times New Roman" w:cs="Times New Roman"/>
          <w:spacing w:val="-2"/>
          <w:sz w:val="20"/>
          <w:szCs w:val="20"/>
        </w:rPr>
        <w:t xml:space="preserve">135m </w:t>
      </w:r>
      <w:r>
        <w:rPr>
          <w:rFonts w:ascii="宋体" w:hAnsi="宋体" w:eastAsia="宋体" w:cs="宋体"/>
          <w:spacing w:val="-2"/>
          <w:sz w:val="20"/>
          <w:szCs w:val="20"/>
        </w:rPr>
        <w:t xml:space="preserve">。凸曲线半径为 </w:t>
      </w:r>
      <w:r>
        <w:rPr>
          <w:rFonts w:ascii="Times New Roman" w:hAnsi="Times New Roman" w:eastAsia="Times New Roman" w:cs="Times New Roman"/>
          <w:spacing w:val="-2"/>
          <w:sz w:val="20"/>
          <w:szCs w:val="20"/>
        </w:rPr>
        <w:t xml:space="preserve">2000 </w:t>
      </w:r>
      <w:r>
        <w:rPr>
          <w:rFonts w:ascii="宋体" w:hAnsi="宋体" w:eastAsia="宋体" w:cs="宋体"/>
          <w:spacing w:val="-2"/>
          <w:sz w:val="20"/>
          <w:szCs w:val="20"/>
        </w:rPr>
        <w:t xml:space="preserve">，竖曲线长度为 </w:t>
      </w:r>
      <w:r>
        <w:rPr>
          <w:rFonts w:ascii="Times New Roman" w:hAnsi="Times New Roman" w:eastAsia="Times New Roman" w:cs="Times New Roman"/>
          <w:spacing w:val="-2"/>
          <w:sz w:val="20"/>
          <w:szCs w:val="20"/>
        </w:rPr>
        <w:t>120m</w:t>
      </w:r>
      <w:r>
        <w:rPr>
          <w:rFonts w:ascii="宋体" w:hAnsi="宋体" w:eastAsia="宋体" w:cs="宋体"/>
          <w:spacing w:val="-2"/>
          <w:sz w:val="20"/>
          <w:szCs w:val="20"/>
        </w:rPr>
        <w:t>。</w:t>
      </w:r>
      <w:r>
        <w:rPr>
          <w:rFonts w:ascii="宋体" w:hAnsi="宋体" w:eastAsia="宋体" w:cs="宋体"/>
          <w:sz w:val="20"/>
          <w:szCs w:val="20"/>
        </w:rPr>
        <w:t xml:space="preserve"> </w:t>
      </w:r>
      <w:r>
        <w:rPr>
          <w:rFonts w:ascii="宋体" w:hAnsi="宋体" w:eastAsia="宋体" w:cs="宋体"/>
          <w:spacing w:val="12"/>
          <w:sz w:val="20"/>
          <w:szCs w:val="20"/>
        </w:rPr>
        <w:t>道路</w:t>
      </w:r>
      <w:r>
        <w:rPr>
          <w:rFonts w:ascii="宋体" w:hAnsi="宋体" w:eastAsia="宋体" w:cs="宋体"/>
          <w:spacing w:val="10"/>
          <w:sz w:val="20"/>
          <w:szCs w:val="20"/>
        </w:rPr>
        <w:t>纵</w:t>
      </w:r>
      <w:r>
        <w:rPr>
          <w:rFonts w:ascii="宋体" w:hAnsi="宋体" w:eastAsia="宋体" w:cs="宋体"/>
          <w:spacing w:val="6"/>
          <w:sz w:val="20"/>
          <w:szCs w:val="20"/>
        </w:rPr>
        <w:t xml:space="preserve">断面线形均满足 </w:t>
      </w:r>
      <w:r>
        <w:rPr>
          <w:rFonts w:ascii="Times New Roman" w:hAnsi="Times New Roman" w:eastAsia="Times New Roman" w:cs="Times New Roman"/>
          <w:spacing w:val="6"/>
          <w:sz w:val="20"/>
          <w:szCs w:val="20"/>
        </w:rPr>
        <w:t>40</w:t>
      </w:r>
      <w:r>
        <w:rPr>
          <w:rFonts w:ascii="Times New Roman" w:hAnsi="Times New Roman" w:eastAsia="Times New Roman" w:cs="Times New Roman"/>
          <w:sz w:val="20"/>
          <w:szCs w:val="20"/>
        </w:rPr>
        <w:t>km</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h</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行车速度的技术要求。</w:t>
      </w:r>
    </w:p>
    <w:p>
      <w:pPr>
        <w:spacing w:line="3566" w:lineRule="exact"/>
        <w:ind w:firstLine="230"/>
        <w:textAlignment w:val="center"/>
      </w:pPr>
      <w:r>
        <w:drawing>
          <wp:inline distT="0" distB="0" distL="0" distR="0">
            <wp:extent cx="5307965" cy="226441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258"/>
                    <a:stretch>
                      <a:fillRect/>
                    </a:stretch>
                  </pic:blipFill>
                  <pic:spPr>
                    <a:xfrm>
                      <a:off x="0" y="0"/>
                      <a:ext cx="5308091" cy="2264663"/>
                    </a:xfrm>
                    <a:prstGeom prst="rect">
                      <a:avLst/>
                    </a:prstGeom>
                  </pic:spPr>
                </pic:pic>
              </a:graphicData>
            </a:graphic>
          </wp:inline>
        </w:drawing>
      </w:r>
    </w:p>
    <w:p>
      <w:pPr>
        <w:spacing w:before="92" w:line="231" w:lineRule="auto"/>
        <w:ind w:left="3283"/>
        <w:rPr>
          <w:rFonts w:ascii="黑体" w:hAnsi="黑体" w:eastAsia="黑体" w:cs="黑体"/>
          <w:sz w:val="19"/>
          <w:szCs w:val="19"/>
        </w:rPr>
      </w:pPr>
      <w:r>
        <w:rPr>
          <w:rFonts w:ascii="黑体" w:hAnsi="黑体" w:eastAsia="黑体" w:cs="黑体"/>
          <w:spacing w:val="8"/>
          <w:sz w:val="19"/>
          <w:szCs w:val="19"/>
        </w:rPr>
        <w:t>图</w:t>
      </w:r>
      <w:r>
        <w:rPr>
          <w:rFonts w:ascii="Times New Roman" w:hAnsi="Times New Roman" w:eastAsia="Times New Roman" w:cs="Times New Roman"/>
          <w:spacing w:val="8"/>
          <w:sz w:val="19"/>
          <w:szCs w:val="19"/>
        </w:rPr>
        <w:t>6</w:t>
      </w:r>
      <w:r>
        <w:rPr>
          <w:rFonts w:ascii="黑体" w:hAnsi="黑体" w:eastAsia="黑体" w:cs="黑体"/>
          <w:spacing w:val="8"/>
          <w:sz w:val="19"/>
          <w:szCs w:val="19"/>
        </w:rPr>
        <w:t>：桥梁纵断面设计面</w:t>
      </w:r>
      <w:r>
        <w:rPr>
          <w:rFonts w:ascii="黑体" w:hAnsi="黑体" w:eastAsia="黑体" w:cs="黑体"/>
          <w:spacing w:val="6"/>
          <w:sz w:val="19"/>
          <w:szCs w:val="19"/>
        </w:rPr>
        <w:t>图</w:t>
      </w:r>
    </w:p>
    <w:p>
      <w:pPr>
        <w:sectPr>
          <w:footerReference r:id="rId116" w:type="default"/>
          <w:pgSz w:w="11906" w:h="16839"/>
          <w:pgMar w:top="400" w:right="1462" w:bottom="1027" w:left="1538" w:header="0" w:footer="840" w:gutter="0"/>
          <w:cols w:space="720" w:num="1"/>
        </w:sect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65" w:line="228" w:lineRule="auto"/>
        <w:ind w:left="481"/>
        <w:rPr>
          <w:rFonts w:ascii="宋体" w:hAnsi="宋体" w:eastAsia="宋体" w:cs="宋体"/>
          <w:sz w:val="20"/>
          <w:szCs w:val="20"/>
        </w:rPr>
      </w:pPr>
      <w:r>
        <w:rPr>
          <w:rFonts w:ascii="宋体" w:hAnsi="宋体" w:eastAsia="宋体" w:cs="宋体"/>
          <w:spacing w:val="14"/>
          <w:sz w:val="17"/>
          <w:szCs w:val="17"/>
        </w:rPr>
        <w:t>2</w:t>
      </w:r>
      <w:r>
        <w:rPr>
          <w:rFonts w:ascii="宋体" w:hAnsi="宋体" w:eastAsia="宋体" w:cs="宋体"/>
          <w:spacing w:val="7"/>
          <w:sz w:val="17"/>
          <w:szCs w:val="17"/>
        </w:rPr>
        <w:t xml:space="preserve">   </w:t>
      </w:r>
      <w:r>
        <w:rPr>
          <w:rFonts w:ascii="宋体" w:hAnsi="宋体" w:eastAsia="宋体" w:cs="宋体"/>
          <w:spacing w:val="7"/>
          <w:sz w:val="20"/>
          <w:szCs w:val="20"/>
        </w:rPr>
        <w:t>同步实施西岸接线滨河路：</w:t>
      </w:r>
    </w:p>
    <w:p>
      <w:pPr>
        <w:spacing w:before="114" w:line="322" w:lineRule="auto"/>
        <w:ind w:left="4" w:right="2" w:firstLine="420"/>
        <w:rPr>
          <w:rFonts w:ascii="宋体" w:hAnsi="宋体" w:eastAsia="宋体" w:cs="宋体"/>
          <w:sz w:val="20"/>
          <w:szCs w:val="20"/>
        </w:rPr>
      </w:pPr>
      <w:r>
        <w:rPr>
          <w:rFonts w:ascii="宋体" w:hAnsi="宋体" w:eastAsia="宋体" w:cs="宋体"/>
          <w:spacing w:val="-2"/>
          <w:sz w:val="20"/>
          <w:szCs w:val="20"/>
        </w:rPr>
        <w:t xml:space="preserve">设计范围内最大纵坡 </w:t>
      </w:r>
      <w:r>
        <w:rPr>
          <w:rFonts w:ascii="Times New Roman" w:hAnsi="Times New Roman" w:eastAsia="Times New Roman" w:cs="Times New Roman"/>
          <w:spacing w:val="-2"/>
          <w:sz w:val="20"/>
          <w:szCs w:val="20"/>
        </w:rPr>
        <w:t xml:space="preserve">1. 13% </w:t>
      </w:r>
      <w:r>
        <w:rPr>
          <w:rFonts w:ascii="宋体" w:hAnsi="宋体" w:eastAsia="宋体" w:cs="宋体"/>
          <w:spacing w:val="-2"/>
          <w:sz w:val="20"/>
          <w:szCs w:val="20"/>
        </w:rPr>
        <w:t xml:space="preserve">，最小纵坡 </w:t>
      </w:r>
      <w:r>
        <w:rPr>
          <w:rFonts w:ascii="Times New Roman" w:hAnsi="Times New Roman" w:eastAsia="Times New Roman" w:cs="Times New Roman"/>
          <w:spacing w:val="-2"/>
          <w:sz w:val="20"/>
          <w:szCs w:val="20"/>
        </w:rPr>
        <w:t xml:space="preserve">0.3% </w:t>
      </w:r>
      <w:r>
        <w:rPr>
          <w:rFonts w:ascii="宋体" w:hAnsi="宋体" w:eastAsia="宋体" w:cs="宋体"/>
          <w:spacing w:val="-2"/>
          <w:sz w:val="20"/>
          <w:szCs w:val="20"/>
        </w:rPr>
        <w:t>，</w:t>
      </w:r>
      <w:r>
        <w:rPr>
          <w:rFonts w:ascii="宋体" w:hAnsi="宋体" w:eastAsia="宋体" w:cs="宋体"/>
          <w:spacing w:val="-1"/>
          <w:sz w:val="20"/>
          <w:szCs w:val="20"/>
        </w:rPr>
        <w:t xml:space="preserve">凸曲线半径为 </w:t>
      </w:r>
      <w:r>
        <w:rPr>
          <w:rFonts w:ascii="Times New Roman" w:hAnsi="Times New Roman" w:eastAsia="Times New Roman" w:cs="Times New Roman"/>
          <w:spacing w:val="-1"/>
          <w:sz w:val="20"/>
          <w:szCs w:val="20"/>
        </w:rPr>
        <w:t xml:space="preserve">6000m </w:t>
      </w:r>
      <w:r>
        <w:rPr>
          <w:rFonts w:ascii="宋体" w:hAnsi="宋体" w:eastAsia="宋体" w:cs="宋体"/>
          <w:spacing w:val="-1"/>
          <w:sz w:val="20"/>
          <w:szCs w:val="20"/>
        </w:rPr>
        <w:t xml:space="preserve">，竖曲线长度 </w:t>
      </w:r>
      <w:r>
        <w:rPr>
          <w:rFonts w:ascii="Times New Roman" w:hAnsi="Times New Roman" w:eastAsia="Times New Roman" w:cs="Times New Roman"/>
          <w:spacing w:val="-1"/>
          <w:sz w:val="20"/>
          <w:szCs w:val="20"/>
        </w:rPr>
        <w:t xml:space="preserve">85m </w:t>
      </w:r>
      <w:r>
        <w:rPr>
          <w:rFonts w:ascii="宋体" w:hAnsi="宋体" w:eastAsia="宋体" w:cs="宋体"/>
          <w:spacing w:val="-1"/>
          <w:sz w:val="20"/>
          <w:szCs w:val="20"/>
        </w:rPr>
        <w:t>。道路</w:t>
      </w:r>
      <w:r>
        <w:rPr>
          <w:rFonts w:ascii="宋体" w:hAnsi="宋体" w:eastAsia="宋体" w:cs="宋体"/>
          <w:sz w:val="20"/>
          <w:szCs w:val="20"/>
        </w:rPr>
        <w:t xml:space="preserve"> </w:t>
      </w:r>
      <w:r>
        <w:rPr>
          <w:rFonts w:ascii="宋体" w:hAnsi="宋体" w:eastAsia="宋体" w:cs="宋体"/>
          <w:spacing w:val="10"/>
          <w:sz w:val="20"/>
          <w:szCs w:val="20"/>
        </w:rPr>
        <w:t>纵</w:t>
      </w:r>
      <w:r>
        <w:rPr>
          <w:rFonts w:ascii="宋体" w:hAnsi="宋体" w:eastAsia="宋体" w:cs="宋体"/>
          <w:spacing w:val="6"/>
          <w:sz w:val="20"/>
          <w:szCs w:val="20"/>
        </w:rPr>
        <w:t xml:space="preserve">断面线形均满足 </w:t>
      </w:r>
      <w:r>
        <w:rPr>
          <w:rFonts w:ascii="Times New Roman" w:hAnsi="Times New Roman" w:eastAsia="Times New Roman" w:cs="Times New Roman"/>
          <w:spacing w:val="6"/>
          <w:sz w:val="20"/>
          <w:szCs w:val="20"/>
        </w:rPr>
        <w:t>30</w:t>
      </w:r>
      <w:r>
        <w:rPr>
          <w:rFonts w:ascii="Times New Roman" w:hAnsi="Times New Roman" w:eastAsia="Times New Roman" w:cs="Times New Roman"/>
          <w:sz w:val="20"/>
          <w:szCs w:val="20"/>
        </w:rPr>
        <w:t>km</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h</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行车速度的技术要求。</w:t>
      </w:r>
    </w:p>
    <w:tbl>
      <w:tblPr>
        <w:tblStyle w:val="4"/>
        <w:tblW w:w="8616" w:type="dxa"/>
        <w:tblInd w:w="105"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8616"/>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041" w:hRule="atLeast"/>
        </w:trPr>
        <w:tc>
          <w:tcPr>
            <w:tcW w:w="8616" w:type="dxa"/>
            <w:vAlign w:val="top"/>
          </w:tcPr>
          <w:p>
            <w:pPr>
              <w:spacing w:line="4040" w:lineRule="exact"/>
              <w:textAlignment w:val="center"/>
            </w:pPr>
            <w:r>
              <w:drawing>
                <wp:inline distT="0" distB="0" distL="0" distR="0">
                  <wp:extent cx="5457825" cy="2565400"/>
                  <wp:effectExtent l="0" t="0" r="0" b="0"/>
                  <wp:docPr id="115" name="IM 115"/>
                  <wp:cNvGraphicFramePr/>
                  <a:graphic xmlns:a="http://schemas.openxmlformats.org/drawingml/2006/main">
                    <a:graphicData uri="http://schemas.openxmlformats.org/drawingml/2006/picture">
                      <pic:pic xmlns:pic="http://schemas.openxmlformats.org/drawingml/2006/picture">
                        <pic:nvPicPr>
                          <pic:cNvPr id="115" name="IM 115"/>
                          <pic:cNvPicPr/>
                        </pic:nvPicPr>
                        <pic:blipFill>
                          <a:blip r:embed="rId259"/>
                          <a:stretch>
                            <a:fillRect/>
                          </a:stretch>
                        </pic:blipFill>
                        <pic:spPr>
                          <a:xfrm>
                            <a:off x="0" y="0"/>
                            <a:ext cx="5458459" cy="2566034"/>
                          </a:xfrm>
                          <a:prstGeom prst="rect">
                            <a:avLst/>
                          </a:prstGeom>
                        </pic:spPr>
                      </pic:pic>
                    </a:graphicData>
                  </a:graphic>
                </wp:inline>
              </w:drawing>
            </w:r>
          </w:p>
        </w:tc>
      </w:tr>
    </w:tbl>
    <w:p>
      <w:pPr>
        <w:spacing w:before="86" w:line="231" w:lineRule="auto"/>
        <w:ind w:left="2784"/>
        <w:rPr>
          <w:rFonts w:ascii="黑体" w:hAnsi="黑体" w:eastAsia="黑体" w:cs="黑体"/>
          <w:sz w:val="19"/>
          <w:szCs w:val="19"/>
        </w:rPr>
      </w:pPr>
      <w:r>
        <w:rPr>
          <w:rFonts w:ascii="黑体" w:hAnsi="黑体" w:eastAsia="黑体" w:cs="黑体"/>
          <w:spacing w:val="16"/>
          <w:sz w:val="19"/>
          <w:szCs w:val="19"/>
        </w:rPr>
        <w:t>图</w:t>
      </w:r>
      <w:r>
        <w:rPr>
          <w:rFonts w:ascii="Times New Roman" w:hAnsi="Times New Roman" w:eastAsia="Times New Roman" w:cs="Times New Roman"/>
          <w:spacing w:val="9"/>
          <w:sz w:val="19"/>
          <w:szCs w:val="19"/>
        </w:rPr>
        <w:t>7</w:t>
      </w:r>
      <w:r>
        <w:rPr>
          <w:rFonts w:ascii="黑体" w:hAnsi="黑体" w:eastAsia="黑体" w:cs="黑体"/>
          <w:spacing w:val="8"/>
          <w:sz w:val="19"/>
          <w:szCs w:val="19"/>
        </w:rPr>
        <w:t>：西岸接线滨河路纵断面设计面图</w:t>
      </w:r>
    </w:p>
    <w:p>
      <w:pPr>
        <w:spacing w:before="134" w:line="228" w:lineRule="auto"/>
        <w:ind w:left="430"/>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8"/>
          <w:sz w:val="20"/>
          <w:szCs w:val="20"/>
        </w:rPr>
        <w:t>8</w:t>
      </w: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宋体" w:hAnsi="宋体" w:eastAsia="宋体" w:cs="宋体"/>
          <w:spacing w:val="18"/>
          <w:sz w:val="20"/>
          <w:szCs w:val="20"/>
        </w:rPr>
        <w:t xml:space="preserve"> </w:t>
      </w:r>
      <w:r>
        <w:rPr>
          <w:rFonts w:ascii="宋体" w:hAnsi="宋体" w:eastAsia="宋体" w:cs="宋体"/>
          <w:spacing w:val="18"/>
          <w:sz w:val="20"/>
          <w:szCs w:val="20"/>
          <w14:textOutline w14:w="3795" w14:cap="sq" w14:cmpd="sng">
            <w14:solidFill>
              <w14:srgbClr w14:val="000000"/>
            </w14:solidFill>
            <w14:prstDash w14:val="solid"/>
            <w14:bevel/>
          </w14:textOutline>
        </w:rPr>
        <w:t>路面工程</w:t>
      </w:r>
    </w:p>
    <w:p>
      <w:pPr>
        <w:spacing w:before="154" w:line="369" w:lineRule="auto"/>
        <w:ind w:right="2" w:firstLine="421"/>
        <w:rPr>
          <w:rFonts w:ascii="宋体" w:hAnsi="宋体" w:eastAsia="宋体" w:cs="宋体"/>
          <w:sz w:val="20"/>
          <w:szCs w:val="20"/>
        </w:rPr>
      </w:pPr>
      <w:r>
        <w:rPr>
          <w:rFonts w:ascii="宋体" w:hAnsi="宋体" w:eastAsia="宋体" w:cs="宋体"/>
          <w:spacing w:val="11"/>
          <w:sz w:val="20"/>
          <w:szCs w:val="20"/>
        </w:rPr>
        <w:t xml:space="preserve">本项目采用沥青混凝土路面作为路面结构。对本道路上面层采用 </w:t>
      </w:r>
      <w:r>
        <w:rPr>
          <w:rFonts w:ascii="Times New Roman" w:hAnsi="Times New Roman" w:eastAsia="Times New Roman" w:cs="Times New Roman"/>
          <w:sz w:val="20"/>
          <w:szCs w:val="20"/>
        </w:rPr>
        <w:t>SMA</w:t>
      </w:r>
      <w:r>
        <w:rPr>
          <w:rFonts w:ascii="Times New Roman" w:hAnsi="Times New Roman" w:eastAsia="Times New Roman" w:cs="Times New Roman"/>
          <w:spacing w:val="11"/>
          <w:sz w:val="20"/>
          <w:szCs w:val="20"/>
        </w:rPr>
        <w:t xml:space="preserve"> </w:t>
      </w:r>
      <w:r>
        <w:rPr>
          <w:rFonts w:ascii="宋体" w:hAnsi="宋体" w:eastAsia="宋体" w:cs="宋体"/>
          <w:spacing w:val="11"/>
          <w:sz w:val="20"/>
          <w:szCs w:val="20"/>
        </w:rPr>
        <w:t>沥青混凝土。下面层</w:t>
      </w:r>
      <w:r>
        <w:rPr>
          <w:rFonts w:ascii="宋体" w:hAnsi="宋体" w:eastAsia="宋体" w:cs="宋体"/>
          <w:sz w:val="20"/>
          <w:szCs w:val="20"/>
        </w:rPr>
        <w:t xml:space="preserve"> </w:t>
      </w:r>
      <w:r>
        <w:rPr>
          <w:rFonts w:ascii="宋体" w:hAnsi="宋体" w:eastAsia="宋体" w:cs="宋体"/>
          <w:spacing w:val="12"/>
          <w:sz w:val="20"/>
          <w:szCs w:val="20"/>
        </w:rPr>
        <w:t>采</w:t>
      </w:r>
      <w:r>
        <w:rPr>
          <w:rFonts w:ascii="宋体" w:hAnsi="宋体" w:eastAsia="宋体" w:cs="宋体"/>
          <w:spacing w:val="7"/>
          <w:sz w:val="20"/>
          <w:szCs w:val="20"/>
        </w:rPr>
        <w:t>用普通沥青砼。</w:t>
      </w:r>
    </w:p>
    <w:p>
      <w:pPr>
        <w:tabs>
          <w:tab w:val="left" w:pos="492"/>
        </w:tabs>
        <w:spacing w:before="1" w:line="226" w:lineRule="auto"/>
        <w:ind w:left="412"/>
        <w:rPr>
          <w:rFonts w:ascii="宋体" w:hAnsi="宋体" w:eastAsia="宋体" w:cs="宋体"/>
          <w:sz w:val="20"/>
          <w:szCs w:val="20"/>
        </w:rPr>
      </w:pPr>
      <w:r>
        <w:rPr>
          <w:rFonts w:ascii="宋体" w:hAnsi="宋体" w:eastAsia="宋体" w:cs="宋体"/>
          <w:sz w:val="17"/>
          <w:szCs w:val="17"/>
        </w:rPr>
        <w:tab/>
      </w:r>
      <w:r>
        <w:rPr>
          <w:rFonts w:ascii="宋体" w:hAnsi="宋体" w:eastAsia="宋体" w:cs="宋体"/>
          <w:spacing w:val="7"/>
          <w:sz w:val="17"/>
          <w:szCs w:val="17"/>
        </w:rPr>
        <w:t xml:space="preserve">1   </w:t>
      </w:r>
      <w:r>
        <w:rPr>
          <w:rFonts w:ascii="宋体" w:hAnsi="宋体" w:eastAsia="宋体" w:cs="宋体"/>
          <w:spacing w:val="7"/>
          <w:sz w:val="20"/>
          <w:szCs w:val="20"/>
        </w:rPr>
        <w:t>机动车道路面结构组合如下</w:t>
      </w:r>
      <w:r>
        <w:rPr>
          <w:rFonts w:ascii="宋体" w:hAnsi="宋体" w:eastAsia="宋体" w:cs="宋体"/>
          <w:spacing w:val="5"/>
          <w:sz w:val="20"/>
          <w:szCs w:val="20"/>
        </w:rPr>
        <w:t>：</w:t>
      </w:r>
    </w:p>
    <w:p>
      <w:pPr>
        <w:spacing w:before="155" w:line="398" w:lineRule="exact"/>
        <w:ind w:left="422"/>
        <w:rPr>
          <w:rFonts w:ascii="宋体" w:hAnsi="宋体" w:eastAsia="宋体" w:cs="宋体"/>
          <w:sz w:val="20"/>
          <w:szCs w:val="20"/>
        </w:rPr>
      </w:pPr>
      <w:r>
        <w:rPr>
          <w:rFonts w:ascii="宋体" w:hAnsi="宋体" w:eastAsia="宋体" w:cs="宋体"/>
          <w:spacing w:val="6"/>
          <w:position w:val="14"/>
          <w:sz w:val="20"/>
          <w:szCs w:val="20"/>
        </w:rPr>
        <w:t>上面层：</w:t>
      </w:r>
      <w:r>
        <w:rPr>
          <w:rFonts w:ascii="Times New Roman" w:hAnsi="Times New Roman" w:eastAsia="Times New Roman" w:cs="Times New Roman"/>
          <w:spacing w:val="6"/>
          <w:position w:val="14"/>
          <w:sz w:val="20"/>
          <w:szCs w:val="20"/>
        </w:rPr>
        <w:t>5</w:t>
      </w:r>
      <w:r>
        <w:rPr>
          <w:rFonts w:ascii="Times New Roman" w:hAnsi="Times New Roman" w:eastAsia="Times New Roman" w:cs="Times New Roman"/>
          <w:position w:val="14"/>
          <w:sz w:val="20"/>
          <w:szCs w:val="20"/>
        </w:rPr>
        <w:t>cm</w:t>
      </w:r>
      <w:r>
        <w:rPr>
          <w:rFonts w:ascii="Times New Roman" w:hAnsi="Times New Roman" w:eastAsia="Times New Roman" w:cs="Times New Roman"/>
          <w:spacing w:val="6"/>
          <w:position w:val="14"/>
          <w:sz w:val="20"/>
          <w:szCs w:val="20"/>
        </w:rPr>
        <w:t xml:space="preserve"> </w:t>
      </w:r>
      <w:r>
        <w:rPr>
          <w:rFonts w:ascii="Times New Roman" w:hAnsi="Times New Roman" w:eastAsia="Times New Roman" w:cs="Times New Roman"/>
          <w:position w:val="14"/>
          <w:sz w:val="20"/>
          <w:szCs w:val="20"/>
        </w:rPr>
        <w:t>SMA</w:t>
      </w:r>
      <w:r>
        <w:rPr>
          <w:rFonts w:ascii="Times New Roman" w:hAnsi="Times New Roman" w:eastAsia="Times New Roman" w:cs="Times New Roman"/>
          <w:spacing w:val="6"/>
          <w:position w:val="14"/>
          <w:sz w:val="20"/>
          <w:szCs w:val="20"/>
        </w:rPr>
        <w:t xml:space="preserve">- 13 </w:t>
      </w:r>
      <w:r>
        <w:rPr>
          <w:rFonts w:ascii="宋体" w:hAnsi="宋体" w:eastAsia="宋体" w:cs="宋体"/>
          <w:spacing w:val="6"/>
          <w:position w:val="14"/>
          <w:sz w:val="20"/>
          <w:szCs w:val="20"/>
        </w:rPr>
        <w:t>改性沥青玛蹄</w:t>
      </w:r>
      <w:r>
        <w:rPr>
          <w:rFonts w:ascii="宋体" w:hAnsi="宋体" w:eastAsia="宋体" w:cs="宋体"/>
          <w:spacing w:val="2"/>
          <w:position w:val="14"/>
          <w:sz w:val="20"/>
          <w:szCs w:val="20"/>
        </w:rPr>
        <w:t>脂</w:t>
      </w:r>
    </w:p>
    <w:p>
      <w:pPr>
        <w:spacing w:before="1" w:line="226" w:lineRule="auto"/>
        <w:ind w:left="427"/>
        <w:rPr>
          <w:rFonts w:ascii="宋体" w:hAnsi="宋体" w:eastAsia="宋体" w:cs="宋体"/>
          <w:sz w:val="20"/>
          <w:szCs w:val="20"/>
        </w:rPr>
      </w:pPr>
      <w:r>
        <w:rPr>
          <w:rFonts w:ascii="宋体" w:hAnsi="宋体" w:eastAsia="宋体" w:cs="宋体"/>
          <w:spacing w:val="11"/>
          <w:sz w:val="20"/>
          <w:szCs w:val="20"/>
        </w:rPr>
        <w:t>下</w:t>
      </w:r>
      <w:r>
        <w:rPr>
          <w:rFonts w:ascii="宋体" w:hAnsi="宋体" w:eastAsia="宋体" w:cs="宋体"/>
          <w:spacing w:val="8"/>
          <w:sz w:val="20"/>
          <w:szCs w:val="20"/>
        </w:rPr>
        <w:t>面层：</w:t>
      </w:r>
      <w:r>
        <w:rPr>
          <w:rFonts w:ascii="Times New Roman" w:hAnsi="Times New Roman" w:eastAsia="Times New Roman" w:cs="Times New Roman"/>
          <w:spacing w:val="8"/>
          <w:sz w:val="20"/>
          <w:szCs w:val="20"/>
        </w:rPr>
        <w:t>7</w:t>
      </w:r>
      <w:r>
        <w:rPr>
          <w:rFonts w:ascii="Times New Roman" w:hAnsi="Times New Roman" w:eastAsia="Times New Roman" w:cs="Times New Roman"/>
          <w:sz w:val="20"/>
          <w:szCs w:val="20"/>
        </w:rPr>
        <w:t>cm</w:t>
      </w:r>
      <w:r>
        <w:rPr>
          <w:rFonts w:ascii="Times New Roman" w:hAnsi="Times New Roman" w:eastAsia="Times New Roman" w:cs="Times New Roman"/>
          <w:spacing w:val="8"/>
          <w:sz w:val="20"/>
          <w:szCs w:val="20"/>
        </w:rPr>
        <w:t xml:space="preserve"> </w:t>
      </w:r>
      <w:r>
        <w:rPr>
          <w:rFonts w:ascii="Times New Roman" w:hAnsi="Times New Roman" w:eastAsia="Times New Roman" w:cs="Times New Roman"/>
          <w:sz w:val="20"/>
          <w:szCs w:val="20"/>
        </w:rPr>
        <w:t>AC</w:t>
      </w:r>
      <w:r>
        <w:rPr>
          <w:rFonts w:ascii="Times New Roman" w:hAnsi="Times New Roman" w:eastAsia="Times New Roman" w:cs="Times New Roman"/>
          <w:spacing w:val="8"/>
          <w:sz w:val="20"/>
          <w:szCs w:val="20"/>
        </w:rPr>
        <w:t>-20</w:t>
      </w:r>
      <w:r>
        <w:rPr>
          <w:rFonts w:ascii="Times New Roman" w:hAnsi="Times New Roman" w:eastAsia="Times New Roman" w:cs="Times New Roman"/>
          <w:sz w:val="20"/>
          <w:szCs w:val="20"/>
        </w:rPr>
        <w:t>C</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中粒式沥青混凝土</w:t>
      </w:r>
    </w:p>
    <w:p>
      <w:pPr>
        <w:spacing w:before="118" w:line="281" w:lineRule="exact"/>
        <w:ind w:left="422"/>
        <w:rPr>
          <w:rFonts w:ascii="宋体" w:hAnsi="宋体" w:eastAsia="宋体" w:cs="宋体"/>
          <w:sz w:val="20"/>
          <w:szCs w:val="20"/>
        </w:rPr>
      </w:pPr>
      <w:r>
        <w:rPr>
          <w:rFonts w:ascii="宋体" w:hAnsi="宋体" w:eastAsia="宋体" w:cs="宋体"/>
          <w:spacing w:val="15"/>
          <w:position w:val="1"/>
          <w:sz w:val="20"/>
          <w:szCs w:val="20"/>
        </w:rPr>
        <w:t>上</w:t>
      </w:r>
      <w:r>
        <w:rPr>
          <w:rFonts w:ascii="宋体" w:hAnsi="宋体" w:eastAsia="宋体" w:cs="宋体"/>
          <w:spacing w:val="8"/>
          <w:position w:val="1"/>
          <w:sz w:val="20"/>
          <w:szCs w:val="20"/>
        </w:rPr>
        <w:t>基层：</w:t>
      </w:r>
      <w:r>
        <w:rPr>
          <w:rFonts w:ascii="Times New Roman" w:hAnsi="Times New Roman" w:eastAsia="Times New Roman" w:cs="Times New Roman"/>
          <w:spacing w:val="8"/>
          <w:position w:val="1"/>
          <w:sz w:val="20"/>
          <w:szCs w:val="20"/>
        </w:rPr>
        <w:t>20</w:t>
      </w:r>
      <w:r>
        <w:rPr>
          <w:rFonts w:ascii="Times New Roman" w:hAnsi="Times New Roman" w:eastAsia="Times New Roman" w:cs="Times New Roman"/>
          <w:position w:val="1"/>
          <w:sz w:val="20"/>
          <w:szCs w:val="20"/>
        </w:rPr>
        <w:t>cm</w:t>
      </w:r>
      <w:r>
        <w:rPr>
          <w:rFonts w:ascii="Times New Roman" w:hAnsi="Times New Roman" w:eastAsia="Times New Roman" w:cs="Times New Roman"/>
          <w:spacing w:val="8"/>
          <w:position w:val="1"/>
          <w:sz w:val="20"/>
          <w:szCs w:val="20"/>
        </w:rPr>
        <w:t xml:space="preserve"> 5%</w:t>
      </w:r>
      <w:r>
        <w:rPr>
          <w:rFonts w:ascii="宋体" w:hAnsi="宋体" w:eastAsia="宋体" w:cs="宋体"/>
          <w:spacing w:val="8"/>
          <w:position w:val="1"/>
          <w:sz w:val="20"/>
          <w:szCs w:val="20"/>
        </w:rPr>
        <w:t>水泥稳定级配碎石</w:t>
      </w:r>
    </w:p>
    <w:p>
      <w:pPr>
        <w:spacing w:before="119" w:line="281" w:lineRule="exact"/>
        <w:ind w:left="427"/>
        <w:rPr>
          <w:rFonts w:ascii="宋体" w:hAnsi="宋体" w:eastAsia="宋体" w:cs="宋体"/>
          <w:sz w:val="20"/>
          <w:szCs w:val="20"/>
        </w:rPr>
      </w:pPr>
      <w:r>
        <w:rPr>
          <w:rFonts w:ascii="宋体" w:hAnsi="宋体" w:eastAsia="宋体" w:cs="宋体"/>
          <w:spacing w:val="14"/>
          <w:position w:val="1"/>
          <w:sz w:val="20"/>
          <w:szCs w:val="20"/>
        </w:rPr>
        <w:t>下基</w:t>
      </w:r>
      <w:r>
        <w:rPr>
          <w:rFonts w:ascii="宋体" w:hAnsi="宋体" w:eastAsia="宋体" w:cs="宋体"/>
          <w:spacing w:val="7"/>
          <w:position w:val="1"/>
          <w:sz w:val="20"/>
          <w:szCs w:val="20"/>
        </w:rPr>
        <w:t>层：</w:t>
      </w:r>
      <w:r>
        <w:rPr>
          <w:rFonts w:ascii="Times New Roman" w:hAnsi="Times New Roman" w:eastAsia="Times New Roman" w:cs="Times New Roman"/>
          <w:spacing w:val="7"/>
          <w:position w:val="1"/>
          <w:sz w:val="20"/>
          <w:szCs w:val="20"/>
        </w:rPr>
        <w:t>20</w:t>
      </w:r>
      <w:r>
        <w:rPr>
          <w:rFonts w:ascii="Times New Roman" w:hAnsi="Times New Roman" w:eastAsia="Times New Roman" w:cs="Times New Roman"/>
          <w:position w:val="1"/>
          <w:sz w:val="20"/>
          <w:szCs w:val="20"/>
        </w:rPr>
        <w:t>cm</w:t>
      </w:r>
      <w:r>
        <w:rPr>
          <w:rFonts w:ascii="Times New Roman" w:hAnsi="Times New Roman" w:eastAsia="Times New Roman" w:cs="Times New Roman"/>
          <w:spacing w:val="7"/>
          <w:position w:val="1"/>
          <w:sz w:val="20"/>
          <w:szCs w:val="20"/>
        </w:rPr>
        <w:t xml:space="preserve"> 4.5%</w:t>
      </w:r>
      <w:r>
        <w:rPr>
          <w:rFonts w:ascii="宋体" w:hAnsi="宋体" w:eastAsia="宋体" w:cs="宋体"/>
          <w:spacing w:val="7"/>
          <w:position w:val="1"/>
          <w:sz w:val="20"/>
          <w:szCs w:val="20"/>
        </w:rPr>
        <w:t>水泥稳定级配碎石</w:t>
      </w:r>
    </w:p>
    <w:p>
      <w:pPr>
        <w:spacing w:before="155" w:line="228" w:lineRule="auto"/>
        <w:ind w:left="420"/>
        <w:rPr>
          <w:rFonts w:ascii="宋体" w:hAnsi="宋体" w:eastAsia="宋体" w:cs="宋体"/>
          <w:sz w:val="20"/>
          <w:szCs w:val="20"/>
        </w:rPr>
      </w:pPr>
      <w:r>
        <w:rPr>
          <w:rFonts w:ascii="宋体" w:hAnsi="宋体" w:eastAsia="宋体" w:cs="宋体"/>
          <w:spacing w:val="9"/>
          <w:sz w:val="20"/>
          <w:szCs w:val="20"/>
        </w:rPr>
        <w:t>底</w:t>
      </w:r>
      <w:r>
        <w:rPr>
          <w:rFonts w:ascii="宋体" w:hAnsi="宋体" w:eastAsia="宋体" w:cs="宋体"/>
          <w:spacing w:val="8"/>
          <w:sz w:val="20"/>
          <w:szCs w:val="20"/>
        </w:rPr>
        <w:t>基层：</w:t>
      </w:r>
      <w:r>
        <w:rPr>
          <w:rFonts w:ascii="Times New Roman" w:hAnsi="Times New Roman" w:eastAsia="Times New Roman" w:cs="Times New Roman"/>
          <w:spacing w:val="8"/>
          <w:sz w:val="20"/>
          <w:szCs w:val="20"/>
        </w:rPr>
        <w:t>20</w:t>
      </w:r>
      <w:r>
        <w:rPr>
          <w:rFonts w:ascii="Times New Roman" w:hAnsi="Times New Roman" w:eastAsia="Times New Roman" w:cs="Times New Roman"/>
          <w:sz w:val="20"/>
          <w:szCs w:val="20"/>
        </w:rPr>
        <w:t>cm</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级配碎石</w:t>
      </w:r>
    </w:p>
    <w:p>
      <w:pPr>
        <w:spacing w:before="154" w:line="401" w:lineRule="exact"/>
        <w:ind w:left="481"/>
        <w:rPr>
          <w:rFonts w:ascii="宋体" w:hAnsi="宋体" w:eastAsia="宋体" w:cs="宋体"/>
          <w:sz w:val="20"/>
          <w:szCs w:val="20"/>
        </w:rPr>
      </w:pPr>
      <w:r>
        <w:rPr>
          <w:rFonts w:ascii="宋体" w:hAnsi="宋体" w:eastAsia="宋体" w:cs="宋体"/>
          <w:spacing w:val="14"/>
          <w:position w:val="14"/>
          <w:sz w:val="17"/>
          <w:szCs w:val="17"/>
        </w:rPr>
        <w:t>2</w:t>
      </w:r>
      <w:r>
        <w:rPr>
          <w:rFonts w:ascii="宋体" w:hAnsi="宋体" w:eastAsia="宋体" w:cs="宋体"/>
          <w:spacing w:val="7"/>
          <w:position w:val="14"/>
          <w:sz w:val="17"/>
          <w:szCs w:val="17"/>
        </w:rPr>
        <w:t xml:space="preserve">   </w:t>
      </w:r>
      <w:r>
        <w:rPr>
          <w:rFonts w:ascii="宋体" w:hAnsi="宋体" w:eastAsia="宋体" w:cs="宋体"/>
          <w:spacing w:val="7"/>
          <w:position w:val="14"/>
          <w:sz w:val="20"/>
          <w:szCs w:val="20"/>
        </w:rPr>
        <w:t>人行道路面结构组合如下：</w:t>
      </w:r>
    </w:p>
    <w:p>
      <w:pPr>
        <w:spacing w:before="1" w:line="227" w:lineRule="auto"/>
        <w:ind w:left="2"/>
        <w:rPr>
          <w:rFonts w:ascii="宋体" w:hAnsi="宋体" w:eastAsia="宋体" w:cs="宋体"/>
          <w:sz w:val="20"/>
          <w:szCs w:val="20"/>
        </w:rPr>
      </w:pPr>
      <w:r>
        <w:rPr>
          <w:rFonts w:ascii="宋体" w:hAnsi="宋体" w:eastAsia="宋体" w:cs="宋体"/>
          <w:spacing w:val="9"/>
          <w:sz w:val="20"/>
          <w:szCs w:val="20"/>
        </w:rPr>
        <w:t>上面层：</w:t>
      </w:r>
      <w:r>
        <w:rPr>
          <w:rFonts w:ascii="Times New Roman" w:hAnsi="Times New Roman" w:eastAsia="Times New Roman" w:cs="Times New Roman"/>
          <w:spacing w:val="9"/>
          <w:sz w:val="20"/>
          <w:szCs w:val="20"/>
        </w:rPr>
        <w:t>5</w:t>
      </w:r>
      <w:r>
        <w:rPr>
          <w:rFonts w:ascii="Times New Roman" w:hAnsi="Times New Roman" w:eastAsia="Times New Roman" w:cs="Times New Roman"/>
          <w:sz w:val="20"/>
          <w:szCs w:val="20"/>
        </w:rPr>
        <w:t>cm</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花岗岩面</w:t>
      </w:r>
      <w:r>
        <w:rPr>
          <w:rFonts w:ascii="宋体" w:hAnsi="宋体" w:eastAsia="宋体" w:cs="宋体"/>
          <w:spacing w:val="7"/>
          <w:sz w:val="20"/>
          <w:szCs w:val="20"/>
        </w:rPr>
        <w:t>砖</w:t>
      </w:r>
    </w:p>
    <w:p>
      <w:pPr>
        <w:spacing w:before="152" w:line="400" w:lineRule="exact"/>
        <w:ind w:left="416"/>
        <w:rPr>
          <w:rFonts w:ascii="Times New Roman" w:hAnsi="Times New Roman" w:eastAsia="Times New Roman" w:cs="Times New Roman"/>
          <w:sz w:val="20"/>
          <w:szCs w:val="20"/>
        </w:rPr>
      </w:pPr>
      <w:r>
        <w:rPr>
          <w:rFonts w:ascii="Times New Roman" w:hAnsi="Times New Roman" w:eastAsia="Times New Roman" w:cs="Times New Roman"/>
          <w:position w:val="14"/>
          <w:sz w:val="20"/>
          <w:szCs w:val="20"/>
        </w:rPr>
        <w:t>M</w:t>
      </w:r>
      <w:r>
        <w:rPr>
          <w:rFonts w:ascii="Times New Roman" w:hAnsi="Times New Roman" w:eastAsia="Times New Roman" w:cs="Times New Roman"/>
          <w:spacing w:val="14"/>
          <w:position w:val="14"/>
          <w:sz w:val="20"/>
          <w:szCs w:val="20"/>
        </w:rPr>
        <w:t>7</w:t>
      </w:r>
      <w:r>
        <w:rPr>
          <w:rFonts w:ascii="Times New Roman" w:hAnsi="Times New Roman" w:eastAsia="Times New Roman" w:cs="Times New Roman"/>
          <w:spacing w:val="8"/>
          <w:position w:val="14"/>
          <w:sz w:val="20"/>
          <w:szCs w:val="20"/>
        </w:rPr>
        <w:t xml:space="preserve">.5 </w:t>
      </w:r>
      <w:r>
        <w:rPr>
          <w:rFonts w:ascii="宋体" w:hAnsi="宋体" w:eastAsia="宋体" w:cs="宋体"/>
          <w:spacing w:val="8"/>
          <w:position w:val="14"/>
          <w:sz w:val="20"/>
          <w:szCs w:val="20"/>
        </w:rPr>
        <w:t>水泥砂浆：</w:t>
      </w:r>
      <w:r>
        <w:rPr>
          <w:rFonts w:ascii="Times New Roman" w:hAnsi="Times New Roman" w:eastAsia="Times New Roman" w:cs="Times New Roman"/>
          <w:spacing w:val="8"/>
          <w:position w:val="14"/>
          <w:sz w:val="20"/>
          <w:szCs w:val="20"/>
        </w:rPr>
        <w:t>3</w:t>
      </w:r>
      <w:r>
        <w:rPr>
          <w:rFonts w:ascii="Times New Roman" w:hAnsi="Times New Roman" w:eastAsia="Times New Roman" w:cs="Times New Roman"/>
          <w:position w:val="14"/>
          <w:sz w:val="20"/>
          <w:szCs w:val="20"/>
        </w:rPr>
        <w:t>cm</w:t>
      </w:r>
    </w:p>
    <w:p>
      <w:pPr>
        <w:spacing w:before="1" w:line="227" w:lineRule="auto"/>
        <w:ind w:left="420"/>
        <w:rPr>
          <w:rFonts w:ascii="宋体" w:hAnsi="宋体" w:eastAsia="宋体" w:cs="宋体"/>
          <w:sz w:val="20"/>
          <w:szCs w:val="20"/>
        </w:rPr>
      </w:pPr>
      <w:r>
        <w:rPr>
          <w:rFonts w:ascii="宋体" w:hAnsi="宋体" w:eastAsia="宋体" w:cs="宋体"/>
          <w:spacing w:val="14"/>
          <w:sz w:val="20"/>
          <w:szCs w:val="20"/>
        </w:rPr>
        <w:t>基</w:t>
      </w:r>
      <w:r>
        <w:rPr>
          <w:rFonts w:ascii="宋体" w:hAnsi="宋体" w:eastAsia="宋体" w:cs="宋体"/>
          <w:spacing w:val="9"/>
          <w:sz w:val="20"/>
          <w:szCs w:val="20"/>
        </w:rPr>
        <w:t>层</w:t>
      </w:r>
      <w:r>
        <w:rPr>
          <w:rFonts w:ascii="宋体" w:hAnsi="宋体" w:eastAsia="宋体" w:cs="宋体"/>
          <w:spacing w:val="7"/>
          <w:sz w:val="20"/>
          <w:szCs w:val="20"/>
        </w:rPr>
        <w:t>：</w:t>
      </w:r>
      <w:r>
        <w:rPr>
          <w:rFonts w:ascii="Times New Roman" w:hAnsi="Times New Roman" w:eastAsia="Times New Roman" w:cs="Times New Roman"/>
          <w:spacing w:val="7"/>
          <w:sz w:val="20"/>
          <w:szCs w:val="20"/>
        </w:rPr>
        <w:t>15</w:t>
      </w:r>
      <w:r>
        <w:rPr>
          <w:rFonts w:ascii="Times New Roman" w:hAnsi="Times New Roman" w:eastAsia="Times New Roman" w:cs="Times New Roman"/>
          <w:sz w:val="20"/>
          <w:szCs w:val="20"/>
        </w:rPr>
        <w:t>cm</w:t>
      </w:r>
      <w:r>
        <w:rPr>
          <w:rFonts w:ascii="Times New Roman" w:hAnsi="Times New Roman" w:eastAsia="Times New Roman" w:cs="Times New Roman"/>
          <w:spacing w:val="7"/>
          <w:sz w:val="20"/>
          <w:szCs w:val="20"/>
        </w:rPr>
        <w:t xml:space="preserve"> </w:t>
      </w:r>
      <w:r>
        <w:rPr>
          <w:rFonts w:ascii="Times New Roman" w:hAnsi="Times New Roman" w:eastAsia="Times New Roman" w:cs="Times New Roman"/>
          <w:sz w:val="20"/>
          <w:szCs w:val="20"/>
        </w:rPr>
        <w:t>C</w:t>
      </w:r>
      <w:r>
        <w:rPr>
          <w:rFonts w:ascii="Times New Roman" w:hAnsi="Times New Roman" w:eastAsia="Times New Roman" w:cs="Times New Roman"/>
          <w:spacing w:val="7"/>
          <w:sz w:val="20"/>
          <w:szCs w:val="20"/>
        </w:rPr>
        <w:t xml:space="preserve">20 </w:t>
      </w:r>
      <w:r>
        <w:rPr>
          <w:rFonts w:ascii="宋体" w:hAnsi="宋体" w:eastAsia="宋体" w:cs="宋体"/>
          <w:spacing w:val="7"/>
          <w:sz w:val="20"/>
          <w:szCs w:val="20"/>
        </w:rPr>
        <w:t>混凝土</w:t>
      </w:r>
    </w:p>
    <w:p>
      <w:pPr>
        <w:spacing w:before="154" w:line="228" w:lineRule="auto"/>
        <w:ind w:left="420"/>
        <w:rPr>
          <w:rFonts w:ascii="宋体" w:hAnsi="宋体" w:eastAsia="宋体" w:cs="宋体"/>
          <w:sz w:val="20"/>
          <w:szCs w:val="20"/>
        </w:rPr>
      </w:pPr>
      <w:r>
        <w:rPr>
          <w:rFonts w:ascii="宋体" w:hAnsi="宋体" w:eastAsia="宋体" w:cs="宋体"/>
          <w:spacing w:val="9"/>
          <w:sz w:val="20"/>
          <w:szCs w:val="20"/>
        </w:rPr>
        <w:t>底</w:t>
      </w:r>
      <w:r>
        <w:rPr>
          <w:rFonts w:ascii="宋体" w:hAnsi="宋体" w:eastAsia="宋体" w:cs="宋体"/>
          <w:spacing w:val="8"/>
          <w:sz w:val="20"/>
          <w:szCs w:val="20"/>
        </w:rPr>
        <w:t>基层：</w:t>
      </w:r>
      <w:r>
        <w:rPr>
          <w:rFonts w:ascii="Times New Roman" w:hAnsi="Times New Roman" w:eastAsia="Times New Roman" w:cs="Times New Roman"/>
          <w:spacing w:val="8"/>
          <w:sz w:val="20"/>
          <w:szCs w:val="20"/>
        </w:rPr>
        <w:t>10</w:t>
      </w:r>
      <w:r>
        <w:rPr>
          <w:rFonts w:ascii="Times New Roman" w:hAnsi="Times New Roman" w:eastAsia="Times New Roman" w:cs="Times New Roman"/>
          <w:sz w:val="20"/>
          <w:szCs w:val="20"/>
        </w:rPr>
        <w:t>cm</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级配碎石</w:t>
      </w:r>
    </w:p>
    <w:p>
      <w:pPr>
        <w:spacing w:before="151" w:line="228" w:lineRule="auto"/>
        <w:ind w:left="422"/>
        <w:rPr>
          <w:rFonts w:ascii="宋体" w:hAnsi="宋体" w:eastAsia="宋体" w:cs="宋体"/>
          <w:sz w:val="20"/>
          <w:szCs w:val="20"/>
        </w:rPr>
      </w:pPr>
      <w:r>
        <w:rPr>
          <w:rFonts w:ascii="宋体" w:hAnsi="宋体" w:eastAsia="宋体" w:cs="宋体"/>
          <w:spacing w:val="16"/>
          <w:sz w:val="20"/>
          <w:szCs w:val="20"/>
        </w:rPr>
        <w:t>路</w:t>
      </w:r>
      <w:r>
        <w:rPr>
          <w:rFonts w:ascii="宋体" w:hAnsi="宋体" w:eastAsia="宋体" w:cs="宋体"/>
          <w:spacing w:val="10"/>
          <w:sz w:val="20"/>
          <w:szCs w:val="20"/>
        </w:rPr>
        <w:t>面</w:t>
      </w:r>
      <w:r>
        <w:rPr>
          <w:rFonts w:ascii="宋体" w:hAnsi="宋体" w:eastAsia="宋体" w:cs="宋体"/>
          <w:spacing w:val="8"/>
          <w:sz w:val="20"/>
          <w:szCs w:val="20"/>
        </w:rPr>
        <w:t xml:space="preserve">弯沉值：路基顶面交工验收弯沉值为 </w:t>
      </w:r>
      <w:r>
        <w:rPr>
          <w:rFonts w:ascii="Times New Roman" w:hAnsi="Times New Roman" w:eastAsia="Times New Roman" w:cs="Times New Roman"/>
          <w:spacing w:val="8"/>
          <w:sz w:val="20"/>
          <w:szCs w:val="20"/>
        </w:rPr>
        <w:t>310.5</w:t>
      </w:r>
      <w:r>
        <w:rPr>
          <w:rFonts w:ascii="Times New Roman" w:hAnsi="Times New Roman" w:eastAsia="Times New Roman" w:cs="Times New Roman"/>
          <w:sz w:val="20"/>
          <w:szCs w:val="20"/>
        </w:rPr>
        <w:t>mm</w:t>
      </w:r>
      <w:r>
        <w:rPr>
          <w:rFonts w:ascii="宋体" w:hAnsi="宋体" w:eastAsia="宋体" w:cs="宋体"/>
          <w:spacing w:val="8"/>
          <w:sz w:val="20"/>
          <w:szCs w:val="20"/>
        </w:rPr>
        <w:t>。</w:t>
      </w:r>
    </w:p>
    <w:p>
      <w:pPr>
        <w:sectPr>
          <w:footerReference r:id="rId117" w:type="default"/>
          <w:pgSz w:w="11906" w:h="16839"/>
          <w:pgMar w:top="400" w:right="1530" w:bottom="1027" w:left="1538" w:header="0" w:footer="840" w:gutter="0"/>
          <w:cols w:space="720" w:num="1"/>
        </w:sect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94" w:line="228" w:lineRule="auto"/>
        <w:ind w:left="3"/>
        <w:outlineLvl w:val="1"/>
        <w:rPr>
          <w:rFonts w:ascii="黑体" w:hAnsi="黑体" w:eastAsia="黑体" w:cs="黑体"/>
          <w:sz w:val="29"/>
          <w:szCs w:val="29"/>
        </w:rPr>
      </w:pPr>
      <w:bookmarkStart w:id="21" w:name="_bookmark22"/>
      <w:bookmarkEnd w:id="21"/>
      <w:r>
        <w:rPr>
          <w:rFonts w:ascii="Times New Roman" w:hAnsi="Times New Roman" w:eastAsia="Times New Roman" w:cs="Times New Roman"/>
          <w:spacing w:val="15"/>
          <w:sz w:val="29"/>
          <w:szCs w:val="29"/>
        </w:rPr>
        <w:t>3</w:t>
      </w:r>
      <w:r>
        <w:rPr>
          <w:rFonts w:ascii="Times New Roman" w:hAnsi="Times New Roman" w:eastAsia="Times New Roman" w:cs="Times New Roman"/>
          <w:spacing w:val="10"/>
          <w:sz w:val="29"/>
          <w:szCs w:val="29"/>
        </w:rPr>
        <w:t xml:space="preserve">   </w:t>
      </w:r>
      <w:r>
        <w:rPr>
          <w:rFonts w:ascii="黑体" w:hAnsi="黑体" w:eastAsia="黑体" w:cs="黑体"/>
          <w:spacing w:val="10"/>
          <w:sz w:val="29"/>
          <w:szCs w:val="29"/>
        </w:rPr>
        <w:t>声环境质量现状</w:t>
      </w: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before="65" w:line="377" w:lineRule="auto"/>
        <w:ind w:left="47" w:firstLine="427"/>
        <w:rPr>
          <w:rFonts w:ascii="宋体" w:hAnsi="宋体" w:eastAsia="宋体" w:cs="宋体"/>
          <w:sz w:val="20"/>
          <w:szCs w:val="20"/>
        </w:rPr>
      </w:pPr>
      <w:r>
        <w:rPr>
          <w:rFonts w:ascii="宋体" w:hAnsi="宋体" w:eastAsia="宋体" w:cs="宋体"/>
          <w:spacing w:val="14"/>
          <w:sz w:val="20"/>
          <w:szCs w:val="20"/>
        </w:rPr>
        <w:t>为了了</w:t>
      </w:r>
      <w:r>
        <w:rPr>
          <w:rFonts w:ascii="宋体" w:hAnsi="宋体" w:eastAsia="宋体" w:cs="宋体"/>
          <w:spacing w:val="11"/>
          <w:sz w:val="20"/>
          <w:szCs w:val="20"/>
        </w:rPr>
        <w:t>解</w:t>
      </w:r>
      <w:r>
        <w:rPr>
          <w:rFonts w:ascii="宋体" w:hAnsi="宋体" w:eastAsia="宋体" w:cs="宋体"/>
          <w:spacing w:val="7"/>
          <w:sz w:val="20"/>
          <w:szCs w:val="20"/>
        </w:rPr>
        <w:t>项目区域声环境质量现状，本次评价委托达州恒福环境监测服务有限公司对项目区</w:t>
      </w:r>
      <w:r>
        <w:rPr>
          <w:rFonts w:ascii="宋体" w:hAnsi="宋体" w:eastAsia="宋体" w:cs="宋体"/>
          <w:sz w:val="20"/>
          <w:szCs w:val="20"/>
        </w:rPr>
        <w:t xml:space="preserve"> </w:t>
      </w:r>
      <w:r>
        <w:rPr>
          <w:rFonts w:ascii="宋体" w:hAnsi="宋体" w:eastAsia="宋体" w:cs="宋体"/>
          <w:spacing w:val="43"/>
          <w:sz w:val="20"/>
          <w:szCs w:val="20"/>
        </w:rPr>
        <w:t>域</w:t>
      </w:r>
      <w:r>
        <w:rPr>
          <w:rFonts w:ascii="宋体" w:hAnsi="宋体" w:eastAsia="宋体" w:cs="宋体"/>
          <w:spacing w:val="24"/>
          <w:sz w:val="20"/>
          <w:szCs w:val="20"/>
        </w:rPr>
        <w:t>噪声现状及周围住户等敏感 目标处的环境噪声现状进行了现场监测 (检测报告编号：</w:t>
      </w:r>
      <w:r>
        <w:rPr>
          <w:rFonts w:ascii="宋体" w:hAnsi="宋体" w:eastAsia="宋体" w:cs="宋体"/>
          <w:sz w:val="20"/>
          <w:szCs w:val="20"/>
        </w:rPr>
        <w:t xml:space="preserve"> </w:t>
      </w:r>
      <w:bookmarkStart w:id="22" w:name="_bookmark23"/>
      <w:bookmarkEnd w:id="22"/>
      <w:r>
        <w:rPr>
          <w:rFonts w:ascii="Times New Roman" w:hAnsi="Times New Roman" w:eastAsia="Times New Roman" w:cs="Times New Roman"/>
          <w:sz w:val="20"/>
          <w:szCs w:val="20"/>
        </w:rPr>
        <w:t>DZHFHJJCFWYXGS</w:t>
      </w:r>
      <w:r>
        <w:rPr>
          <w:rFonts w:ascii="Times New Roman" w:hAnsi="Times New Roman" w:eastAsia="Times New Roman" w:cs="Times New Roman"/>
          <w:spacing w:val="19"/>
          <w:sz w:val="20"/>
          <w:szCs w:val="20"/>
        </w:rPr>
        <w:t>2</w:t>
      </w:r>
      <w:r>
        <w:rPr>
          <w:rFonts w:ascii="Times New Roman" w:hAnsi="Times New Roman" w:eastAsia="Times New Roman" w:cs="Times New Roman"/>
          <w:spacing w:val="11"/>
          <w:sz w:val="20"/>
          <w:szCs w:val="20"/>
        </w:rPr>
        <w:t>965-0001</w:t>
      </w:r>
      <w:r>
        <w:rPr>
          <w:rFonts w:ascii="宋体" w:hAnsi="宋体" w:eastAsia="宋体" w:cs="宋体"/>
          <w:spacing w:val="11"/>
          <w:sz w:val="20"/>
          <w:szCs w:val="20"/>
        </w:rPr>
        <w:t>) 。</w:t>
      </w:r>
    </w:p>
    <w:p>
      <w:pPr>
        <w:spacing w:line="229" w:lineRule="auto"/>
        <w:ind w:left="1"/>
        <w:outlineLvl w:val="2"/>
        <w:rPr>
          <w:rFonts w:ascii="黑体" w:hAnsi="黑体" w:eastAsia="黑体" w:cs="黑体"/>
          <w:sz w:val="23"/>
          <w:szCs w:val="23"/>
        </w:rPr>
      </w:pPr>
      <w:r>
        <w:rPr>
          <w:rFonts w:ascii="Times New Roman" w:hAnsi="Times New Roman" w:eastAsia="Times New Roman" w:cs="Times New Roman"/>
          <w:spacing w:val="1"/>
          <w:sz w:val="23"/>
          <w:szCs w:val="23"/>
        </w:rPr>
        <w:t xml:space="preserve">3. 1  </w:t>
      </w:r>
      <w:r>
        <w:rPr>
          <w:rFonts w:ascii="黑体" w:hAnsi="黑体" w:eastAsia="黑体" w:cs="黑体"/>
          <w:spacing w:val="1"/>
          <w:sz w:val="23"/>
          <w:szCs w:val="23"/>
        </w:rPr>
        <w:t>质量现状</w:t>
      </w:r>
      <w:r>
        <w:rPr>
          <w:rFonts w:ascii="黑体" w:hAnsi="黑体" w:eastAsia="黑体" w:cs="黑体"/>
          <w:sz w:val="23"/>
          <w:szCs w:val="23"/>
        </w:rPr>
        <w:t>监测</w:t>
      </w:r>
    </w:p>
    <w:p>
      <w:pPr>
        <w:spacing w:before="137" w:line="224" w:lineRule="auto"/>
        <w:outlineLvl w:val="3"/>
        <w:rPr>
          <w:rFonts w:ascii="黑体" w:hAnsi="黑体" w:eastAsia="黑体" w:cs="黑体"/>
          <w:sz w:val="22"/>
          <w:szCs w:val="22"/>
        </w:rPr>
      </w:pPr>
      <w:r>
        <w:rPr>
          <w:rFonts w:ascii="Times New Roman" w:hAnsi="Times New Roman" w:eastAsia="Times New Roman" w:cs="Times New Roman"/>
          <w:spacing w:val="-8"/>
          <w:sz w:val="22"/>
          <w:szCs w:val="22"/>
        </w:rPr>
        <w:t xml:space="preserve">3. 1. 1    </w:t>
      </w:r>
      <w:r>
        <w:rPr>
          <w:rFonts w:ascii="黑体" w:hAnsi="黑体" w:eastAsia="黑体" w:cs="黑体"/>
          <w:spacing w:val="-8"/>
          <w:sz w:val="22"/>
          <w:szCs w:val="22"/>
        </w:rPr>
        <w:t>监测布</w:t>
      </w:r>
      <w:r>
        <w:rPr>
          <w:rFonts w:ascii="黑体" w:hAnsi="黑体" w:eastAsia="黑体" w:cs="黑体"/>
          <w:spacing w:val="-7"/>
          <w:sz w:val="22"/>
          <w:szCs w:val="22"/>
        </w:rPr>
        <w:t>点</w:t>
      </w:r>
    </w:p>
    <w:p>
      <w:pPr>
        <w:spacing w:before="149" w:line="227" w:lineRule="auto"/>
        <w:ind w:left="472"/>
        <w:rPr>
          <w:rFonts w:ascii="宋体" w:hAnsi="宋体" w:eastAsia="宋体" w:cs="宋体"/>
          <w:sz w:val="20"/>
          <w:szCs w:val="20"/>
        </w:rPr>
      </w:pPr>
      <w:r>
        <w:rPr>
          <w:rFonts w:ascii="宋体" w:hAnsi="宋体" w:eastAsia="宋体" w:cs="宋体"/>
          <w:spacing w:val="14"/>
          <w:sz w:val="20"/>
          <w:szCs w:val="20"/>
        </w:rPr>
        <w:t>根据导</w:t>
      </w:r>
      <w:r>
        <w:rPr>
          <w:rFonts w:ascii="宋体" w:hAnsi="宋体" w:eastAsia="宋体" w:cs="宋体"/>
          <w:spacing w:val="7"/>
          <w:sz w:val="20"/>
          <w:szCs w:val="20"/>
        </w:rPr>
        <w:t>则要求和本项目拟建区域的环境现状，本次评价在建设项目区域周围共布设</w:t>
      </w:r>
      <w:r>
        <w:rPr>
          <w:rFonts w:ascii="Times New Roman" w:hAnsi="Times New Roman" w:eastAsia="Times New Roman" w:cs="Times New Roman"/>
          <w:spacing w:val="7"/>
          <w:sz w:val="20"/>
          <w:szCs w:val="20"/>
        </w:rPr>
        <w:t>10</w:t>
      </w:r>
      <w:r>
        <w:rPr>
          <w:rFonts w:ascii="宋体" w:hAnsi="宋体" w:eastAsia="宋体" w:cs="宋体"/>
          <w:spacing w:val="7"/>
          <w:sz w:val="20"/>
          <w:szCs w:val="20"/>
        </w:rPr>
        <w:t>个监测</w:t>
      </w:r>
    </w:p>
    <w:p>
      <w:pPr>
        <w:spacing w:before="163" w:line="229" w:lineRule="auto"/>
        <w:ind w:left="63"/>
        <w:rPr>
          <w:rFonts w:ascii="宋体" w:hAnsi="宋体" w:eastAsia="宋体" w:cs="宋体"/>
          <w:sz w:val="20"/>
          <w:szCs w:val="20"/>
        </w:rPr>
      </w:pPr>
      <w:r>
        <w:rPr>
          <w:rFonts w:ascii="宋体" w:hAnsi="宋体" w:eastAsia="宋体" w:cs="宋体"/>
          <w:spacing w:val="8"/>
          <w:sz w:val="20"/>
          <w:szCs w:val="20"/>
        </w:rPr>
        <w:t>点位，监测项目基本信息详见下表</w:t>
      </w:r>
      <w:r>
        <w:rPr>
          <w:rFonts w:ascii="宋体" w:hAnsi="宋体" w:eastAsia="宋体" w:cs="宋体"/>
          <w:spacing w:val="7"/>
          <w:sz w:val="20"/>
          <w:szCs w:val="20"/>
        </w:rPr>
        <w:t>。</w:t>
      </w:r>
    </w:p>
    <w:p>
      <w:pPr>
        <w:spacing w:before="99" w:line="227" w:lineRule="auto"/>
        <w:ind w:left="2423"/>
        <w:rPr>
          <w:rFonts w:ascii="黑体" w:hAnsi="黑体" w:eastAsia="黑体" w:cs="黑体"/>
          <w:sz w:val="19"/>
          <w:szCs w:val="19"/>
        </w:rPr>
      </w:pPr>
      <w:r>
        <w:rPr>
          <w:rFonts w:ascii="黑体" w:hAnsi="黑体" w:eastAsia="黑体" w:cs="黑体"/>
          <w:spacing w:val="14"/>
          <w:sz w:val="19"/>
          <w:szCs w:val="19"/>
        </w:rPr>
        <w:t>表</w:t>
      </w:r>
      <w:r>
        <w:rPr>
          <w:rFonts w:ascii="Times New Roman" w:hAnsi="Times New Roman" w:eastAsia="Times New Roman" w:cs="Times New Roman"/>
          <w:spacing w:val="14"/>
          <w:sz w:val="19"/>
          <w:szCs w:val="19"/>
        </w:rPr>
        <w:t>9</w:t>
      </w:r>
      <w:r>
        <w:rPr>
          <w:rFonts w:ascii="Times New Roman" w:hAnsi="Times New Roman" w:eastAsia="Times New Roman" w:cs="Times New Roman"/>
          <w:spacing w:val="7"/>
          <w:sz w:val="19"/>
          <w:szCs w:val="19"/>
        </w:rPr>
        <w:t xml:space="preserve">      </w:t>
      </w:r>
      <w:r>
        <w:rPr>
          <w:rFonts w:ascii="黑体" w:hAnsi="黑体" w:eastAsia="黑体" w:cs="黑体"/>
          <w:spacing w:val="7"/>
          <w:sz w:val="19"/>
          <w:szCs w:val="19"/>
        </w:rPr>
        <w:t>检测项目、测点布置及检测频率一览表</w:t>
      </w:r>
    </w:p>
    <w:tbl>
      <w:tblPr>
        <w:tblStyle w:val="4"/>
        <w:tblW w:w="8603"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2"/>
        <w:gridCol w:w="75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072" w:type="dxa"/>
            <w:vAlign w:val="top"/>
          </w:tcPr>
          <w:p>
            <w:pPr>
              <w:spacing w:before="159" w:line="230" w:lineRule="auto"/>
              <w:ind w:left="177"/>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检测项</w:t>
            </w:r>
            <w:r>
              <w:rPr>
                <w:rFonts w:ascii="宋体" w:hAnsi="宋体" w:eastAsia="宋体" w:cs="宋体"/>
                <w:spacing w:val="8"/>
                <w:sz w:val="17"/>
                <w:szCs w:val="17"/>
                <w14:textOutline w14:w="3268" w14:cap="sq" w14:cmpd="sng">
                  <w14:solidFill>
                    <w14:srgbClr w14:val="000000"/>
                  </w14:solidFill>
                  <w14:prstDash w14:val="solid"/>
                  <w14:bevel/>
                </w14:textOutline>
              </w:rPr>
              <w:t>目</w:t>
            </w:r>
          </w:p>
        </w:tc>
        <w:tc>
          <w:tcPr>
            <w:tcW w:w="7531" w:type="dxa"/>
            <w:vAlign w:val="top"/>
          </w:tcPr>
          <w:p>
            <w:pPr>
              <w:spacing w:before="159" w:line="230" w:lineRule="auto"/>
              <w:ind w:left="3044"/>
              <w:rPr>
                <w:rFonts w:ascii="宋体" w:hAnsi="宋体" w:eastAsia="宋体" w:cs="宋体"/>
                <w:sz w:val="17"/>
                <w:szCs w:val="17"/>
              </w:rPr>
            </w:pPr>
            <w:r>
              <w:rPr>
                <w:rFonts w:ascii="宋体" w:hAnsi="宋体" w:eastAsia="宋体" w:cs="宋体"/>
                <w:spacing w:val="14"/>
                <w:sz w:val="17"/>
                <w:szCs w:val="17"/>
                <w14:textOutline w14:w="3268" w14:cap="sq" w14:cmpd="sng">
                  <w14:solidFill>
                    <w14:srgbClr w14:val="000000"/>
                  </w14:solidFill>
                  <w14:prstDash w14:val="solid"/>
                  <w14:bevel/>
                </w14:textOutline>
              </w:rPr>
              <w:t>检</w:t>
            </w:r>
            <w:r>
              <w:rPr>
                <w:rFonts w:ascii="宋体" w:hAnsi="宋体" w:eastAsia="宋体" w:cs="宋体"/>
                <w:spacing w:val="9"/>
                <w:sz w:val="17"/>
                <w:szCs w:val="17"/>
                <w14:textOutline w14:w="3268" w14:cap="sq" w14:cmpd="sng">
                  <w14:solidFill>
                    <w14:srgbClr w14:val="000000"/>
                  </w14:solidFill>
                  <w14:prstDash w14:val="solid"/>
                  <w14:bevel/>
                </w14:textOutline>
              </w:rPr>
              <w:t>测点编号及位置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072" w:type="dxa"/>
            <w:vMerge w:val="restart"/>
            <w:tcBorders>
              <w:bottom w:val="nil"/>
            </w:tcBorders>
            <w:vAlign w:val="top"/>
          </w:tcPr>
          <w:p>
            <w:pPr>
              <w:spacing w:line="254" w:lineRule="auto"/>
              <w:rPr>
                <w:rFonts w:ascii="Arial"/>
                <w:sz w:val="21"/>
              </w:rPr>
            </w:pPr>
          </w:p>
          <w:p>
            <w:pPr>
              <w:spacing w:before="55" w:line="231" w:lineRule="auto"/>
              <w:ind w:left="183"/>
              <w:rPr>
                <w:rFonts w:ascii="宋体" w:hAnsi="宋体" w:eastAsia="宋体" w:cs="宋体"/>
                <w:sz w:val="17"/>
                <w:szCs w:val="17"/>
              </w:rPr>
            </w:pPr>
            <w:r>
              <w:rPr>
                <w:rFonts w:ascii="宋体" w:hAnsi="宋体" w:eastAsia="宋体" w:cs="宋体"/>
                <w:spacing w:val="8"/>
                <w:sz w:val="17"/>
                <w:szCs w:val="17"/>
              </w:rPr>
              <w:t>交</w:t>
            </w:r>
            <w:r>
              <w:rPr>
                <w:rFonts w:ascii="宋体" w:hAnsi="宋体" w:eastAsia="宋体" w:cs="宋体"/>
                <w:spacing w:val="7"/>
                <w:sz w:val="17"/>
                <w:szCs w:val="17"/>
              </w:rPr>
              <w:t>通噪声</w:t>
            </w:r>
          </w:p>
        </w:tc>
        <w:tc>
          <w:tcPr>
            <w:tcW w:w="7531" w:type="dxa"/>
            <w:vAlign w:val="top"/>
          </w:tcPr>
          <w:p>
            <w:pPr>
              <w:spacing w:before="84" w:line="242" w:lineRule="exact"/>
              <w:ind w:left="2972"/>
              <w:rPr>
                <w:rFonts w:ascii="宋体" w:hAnsi="宋体" w:eastAsia="宋体" w:cs="宋体"/>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8"/>
                <w:position w:val="2"/>
                <w:sz w:val="17"/>
                <w:szCs w:val="17"/>
              </w:rPr>
              <w:t>1</w:t>
            </w:r>
            <w:r>
              <w:rPr>
                <w:rFonts w:ascii="Times New Roman" w:hAnsi="Times New Roman" w:eastAsia="Times New Roman" w:cs="Times New Roman"/>
                <w:spacing w:val="6"/>
                <w:position w:val="2"/>
                <w:sz w:val="17"/>
                <w:szCs w:val="17"/>
              </w:rPr>
              <w:t>#</w:t>
            </w:r>
            <w:r>
              <w:rPr>
                <w:rFonts w:ascii="Times New Roman" w:hAnsi="Times New Roman" w:eastAsia="Times New Roman" w:cs="Times New Roman"/>
                <w:spacing w:val="4"/>
                <w:position w:val="2"/>
                <w:sz w:val="17"/>
                <w:szCs w:val="17"/>
              </w:rPr>
              <w:t xml:space="preserve"> </w:t>
            </w:r>
            <w:r>
              <w:rPr>
                <w:rFonts w:ascii="宋体" w:hAnsi="宋体" w:eastAsia="宋体" w:cs="宋体"/>
                <w:spacing w:val="4"/>
                <w:position w:val="2"/>
                <w:sz w:val="17"/>
                <w:szCs w:val="17"/>
              </w:rPr>
              <w:t>，拟建大桥西端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072" w:type="dxa"/>
            <w:vMerge w:val="continue"/>
            <w:tcBorders>
              <w:top w:val="nil"/>
            </w:tcBorders>
            <w:vAlign w:val="top"/>
          </w:tcPr>
          <w:p>
            <w:pPr>
              <w:rPr>
                <w:rFonts w:ascii="Arial"/>
                <w:sz w:val="21"/>
              </w:rPr>
            </w:pPr>
          </w:p>
        </w:tc>
        <w:tc>
          <w:tcPr>
            <w:tcW w:w="7531" w:type="dxa"/>
            <w:vAlign w:val="top"/>
          </w:tcPr>
          <w:p>
            <w:pPr>
              <w:spacing w:before="86" w:line="242" w:lineRule="exact"/>
              <w:ind w:left="2972"/>
              <w:rPr>
                <w:rFonts w:ascii="宋体" w:hAnsi="宋体" w:eastAsia="宋体" w:cs="宋体"/>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8"/>
                <w:position w:val="2"/>
                <w:sz w:val="17"/>
                <w:szCs w:val="17"/>
              </w:rPr>
              <w:t>2</w:t>
            </w:r>
            <w:r>
              <w:rPr>
                <w:rFonts w:ascii="Times New Roman" w:hAnsi="Times New Roman" w:eastAsia="Times New Roman" w:cs="Times New Roman"/>
                <w:spacing w:val="6"/>
                <w:position w:val="2"/>
                <w:sz w:val="17"/>
                <w:szCs w:val="17"/>
              </w:rPr>
              <w:t>#</w:t>
            </w:r>
            <w:r>
              <w:rPr>
                <w:rFonts w:ascii="Times New Roman" w:hAnsi="Times New Roman" w:eastAsia="Times New Roman" w:cs="Times New Roman"/>
                <w:spacing w:val="4"/>
                <w:position w:val="2"/>
                <w:sz w:val="17"/>
                <w:szCs w:val="17"/>
              </w:rPr>
              <w:t xml:space="preserve"> </w:t>
            </w:r>
            <w:r>
              <w:rPr>
                <w:rFonts w:ascii="宋体" w:hAnsi="宋体" w:eastAsia="宋体" w:cs="宋体"/>
                <w:spacing w:val="4"/>
                <w:position w:val="2"/>
                <w:sz w:val="17"/>
                <w:szCs w:val="17"/>
              </w:rPr>
              <w:t>，拟建大桥东端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072" w:type="dxa"/>
            <w:vMerge w:val="restart"/>
            <w:tcBorders>
              <w:bottom w:val="nil"/>
            </w:tcBorders>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55" w:line="231" w:lineRule="auto"/>
              <w:ind w:left="95"/>
              <w:rPr>
                <w:rFonts w:ascii="宋体" w:hAnsi="宋体" w:eastAsia="宋体" w:cs="宋体"/>
                <w:sz w:val="17"/>
                <w:szCs w:val="17"/>
              </w:rPr>
            </w:pPr>
            <w:r>
              <w:rPr>
                <w:rFonts w:ascii="宋体" w:hAnsi="宋体" w:eastAsia="宋体" w:cs="宋体"/>
                <w:spacing w:val="8"/>
                <w:sz w:val="17"/>
                <w:szCs w:val="17"/>
              </w:rPr>
              <w:t>声环境噪</w:t>
            </w:r>
            <w:r>
              <w:rPr>
                <w:rFonts w:ascii="宋体" w:hAnsi="宋体" w:eastAsia="宋体" w:cs="宋体"/>
                <w:spacing w:val="7"/>
                <w:sz w:val="17"/>
                <w:szCs w:val="17"/>
              </w:rPr>
              <w:t>声</w:t>
            </w:r>
          </w:p>
        </w:tc>
        <w:tc>
          <w:tcPr>
            <w:tcW w:w="7531" w:type="dxa"/>
            <w:vAlign w:val="top"/>
          </w:tcPr>
          <w:p>
            <w:pPr>
              <w:spacing w:before="86" w:line="242" w:lineRule="exact"/>
              <w:ind w:left="1297"/>
              <w:rPr>
                <w:rFonts w:ascii="Times New Roman" w:hAnsi="Times New Roman" w:eastAsia="Times New Roman" w:cs="Times New Roman"/>
                <w:sz w:val="17"/>
                <w:szCs w:val="17"/>
              </w:rPr>
            </w:pPr>
            <w:r>
              <w:rPr>
                <w:rFonts w:ascii="Times New Roman" w:hAnsi="Times New Roman" w:eastAsia="Times New Roman" w:cs="Times New Roman"/>
                <w:position w:val="1"/>
                <w:sz w:val="17"/>
                <w:szCs w:val="17"/>
              </w:rPr>
              <w:t>N</w:t>
            </w:r>
            <w:r>
              <w:rPr>
                <w:rFonts w:ascii="Times New Roman" w:hAnsi="Times New Roman" w:eastAsia="Times New Roman" w:cs="Times New Roman"/>
                <w:spacing w:val="-1"/>
                <w:position w:val="1"/>
                <w:sz w:val="17"/>
                <w:szCs w:val="17"/>
              </w:rPr>
              <w:t xml:space="preserve">3- 1# </w:t>
            </w:r>
            <w:r>
              <w:rPr>
                <w:rFonts w:ascii="宋体" w:hAnsi="宋体" w:eastAsia="宋体" w:cs="宋体"/>
                <w:spacing w:val="-1"/>
                <w:position w:val="1"/>
                <w:sz w:val="17"/>
                <w:szCs w:val="17"/>
              </w:rPr>
              <w:t xml:space="preserve">，“宏义 ·江湾城”小区 </w:t>
            </w:r>
            <w:r>
              <w:rPr>
                <w:rFonts w:ascii="Times New Roman" w:hAnsi="Times New Roman" w:eastAsia="Times New Roman" w:cs="Times New Roman"/>
                <w:spacing w:val="-1"/>
                <w:position w:val="1"/>
                <w:sz w:val="17"/>
                <w:szCs w:val="17"/>
              </w:rPr>
              <w:t xml:space="preserve">5 </w:t>
            </w:r>
            <w:r>
              <w:rPr>
                <w:rFonts w:ascii="宋体" w:hAnsi="宋体" w:eastAsia="宋体" w:cs="宋体"/>
                <w:spacing w:val="-1"/>
                <w:position w:val="1"/>
                <w:sz w:val="17"/>
                <w:szCs w:val="17"/>
              </w:rPr>
              <w:t xml:space="preserve">期 </w:t>
            </w:r>
            <w:r>
              <w:rPr>
                <w:rFonts w:ascii="Times New Roman" w:hAnsi="Times New Roman" w:eastAsia="Times New Roman" w:cs="Times New Roman"/>
                <w:position w:val="1"/>
                <w:sz w:val="17"/>
                <w:szCs w:val="17"/>
              </w:rPr>
              <w:t xml:space="preserve">15 </w:t>
            </w:r>
            <w:r>
              <w:rPr>
                <w:rFonts w:ascii="宋体" w:hAnsi="宋体" w:eastAsia="宋体" w:cs="宋体"/>
                <w:position w:val="1"/>
                <w:sz w:val="17"/>
                <w:szCs w:val="17"/>
              </w:rPr>
              <w:t xml:space="preserve">号楼临拟建桥梁一侧 </w:t>
            </w:r>
            <w:r>
              <w:rPr>
                <w:rFonts w:ascii="Times New Roman" w:hAnsi="Times New Roman" w:eastAsia="Times New Roman" w:cs="Times New Roman"/>
                <w:position w:val="1"/>
                <w:sz w:val="17"/>
                <w:szCs w:val="17"/>
              </w:rPr>
              <w:t>1F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072" w:type="dxa"/>
            <w:vMerge w:val="continue"/>
            <w:tcBorders>
              <w:top w:val="nil"/>
              <w:bottom w:val="nil"/>
            </w:tcBorders>
            <w:vAlign w:val="top"/>
          </w:tcPr>
          <w:p>
            <w:pPr>
              <w:rPr>
                <w:rFonts w:ascii="Arial"/>
                <w:sz w:val="21"/>
              </w:rPr>
            </w:pPr>
          </w:p>
        </w:tc>
        <w:tc>
          <w:tcPr>
            <w:tcW w:w="7531" w:type="dxa"/>
            <w:vAlign w:val="top"/>
          </w:tcPr>
          <w:p>
            <w:pPr>
              <w:spacing w:before="88" w:line="243" w:lineRule="exact"/>
              <w:ind w:left="1297"/>
              <w:rPr>
                <w:rFonts w:ascii="Times New Roman" w:hAnsi="Times New Roman" w:eastAsia="Times New Roman" w:cs="Times New Roman"/>
                <w:sz w:val="17"/>
                <w:szCs w:val="17"/>
              </w:rPr>
            </w:pPr>
            <w:r>
              <w:rPr>
                <w:rFonts w:ascii="Times New Roman" w:hAnsi="Times New Roman" w:eastAsia="Times New Roman" w:cs="Times New Roman"/>
                <w:position w:val="1"/>
                <w:sz w:val="17"/>
                <w:szCs w:val="17"/>
              </w:rPr>
              <w:t>N</w:t>
            </w:r>
            <w:r>
              <w:rPr>
                <w:rFonts w:ascii="Times New Roman" w:hAnsi="Times New Roman" w:eastAsia="Times New Roman" w:cs="Times New Roman"/>
                <w:spacing w:val="1"/>
                <w:position w:val="1"/>
                <w:sz w:val="17"/>
                <w:szCs w:val="17"/>
              </w:rPr>
              <w:t xml:space="preserve">3-2# </w:t>
            </w:r>
            <w:r>
              <w:rPr>
                <w:rFonts w:ascii="宋体" w:hAnsi="宋体" w:eastAsia="宋体" w:cs="宋体"/>
                <w:spacing w:val="1"/>
                <w:position w:val="1"/>
                <w:sz w:val="17"/>
                <w:szCs w:val="17"/>
              </w:rPr>
              <w:t xml:space="preserve">，“宏义 ·江湾城”小区 </w:t>
            </w:r>
            <w:r>
              <w:rPr>
                <w:rFonts w:ascii="Times New Roman" w:hAnsi="Times New Roman" w:eastAsia="Times New Roman" w:cs="Times New Roman"/>
                <w:spacing w:val="1"/>
                <w:position w:val="1"/>
                <w:sz w:val="17"/>
                <w:szCs w:val="17"/>
              </w:rPr>
              <w:t>5</w:t>
            </w:r>
            <w:r>
              <w:rPr>
                <w:rFonts w:ascii="Times New Roman" w:hAnsi="Times New Roman" w:eastAsia="Times New Roman" w:cs="Times New Roman"/>
                <w:position w:val="1"/>
                <w:sz w:val="17"/>
                <w:szCs w:val="17"/>
              </w:rPr>
              <w:t xml:space="preserve"> </w:t>
            </w:r>
            <w:r>
              <w:rPr>
                <w:rFonts w:ascii="宋体" w:hAnsi="宋体" w:eastAsia="宋体" w:cs="宋体"/>
                <w:position w:val="1"/>
                <w:sz w:val="17"/>
                <w:szCs w:val="17"/>
              </w:rPr>
              <w:t xml:space="preserve">期 </w:t>
            </w:r>
            <w:r>
              <w:rPr>
                <w:rFonts w:ascii="Times New Roman" w:hAnsi="Times New Roman" w:eastAsia="Times New Roman" w:cs="Times New Roman"/>
                <w:position w:val="1"/>
                <w:sz w:val="17"/>
                <w:szCs w:val="17"/>
              </w:rPr>
              <w:t xml:space="preserve">15 </w:t>
            </w:r>
            <w:r>
              <w:rPr>
                <w:rFonts w:ascii="宋体" w:hAnsi="宋体" w:eastAsia="宋体" w:cs="宋体"/>
                <w:position w:val="1"/>
                <w:sz w:val="17"/>
                <w:szCs w:val="17"/>
              </w:rPr>
              <w:t xml:space="preserve">号楼临拟建桥梁一侧 </w:t>
            </w:r>
            <w:r>
              <w:rPr>
                <w:rFonts w:ascii="Times New Roman" w:hAnsi="Times New Roman" w:eastAsia="Times New Roman" w:cs="Times New Roman"/>
                <w:position w:val="1"/>
                <w:sz w:val="17"/>
                <w:szCs w:val="17"/>
              </w:rPr>
              <w:t>4F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1072" w:type="dxa"/>
            <w:vMerge w:val="continue"/>
            <w:tcBorders>
              <w:top w:val="nil"/>
              <w:bottom w:val="nil"/>
            </w:tcBorders>
            <w:vAlign w:val="top"/>
          </w:tcPr>
          <w:p>
            <w:pPr>
              <w:rPr>
                <w:rFonts w:ascii="Arial"/>
                <w:sz w:val="21"/>
              </w:rPr>
            </w:pPr>
          </w:p>
        </w:tc>
        <w:tc>
          <w:tcPr>
            <w:tcW w:w="7531" w:type="dxa"/>
            <w:vAlign w:val="top"/>
          </w:tcPr>
          <w:p>
            <w:pPr>
              <w:spacing w:before="88" w:line="243" w:lineRule="exact"/>
              <w:ind w:left="1297"/>
              <w:rPr>
                <w:rFonts w:ascii="Times New Roman" w:hAnsi="Times New Roman" w:eastAsia="Times New Roman" w:cs="Times New Roman"/>
                <w:sz w:val="17"/>
                <w:szCs w:val="17"/>
              </w:rPr>
            </w:pPr>
            <w:r>
              <w:rPr>
                <w:rFonts w:ascii="Times New Roman" w:hAnsi="Times New Roman" w:eastAsia="Times New Roman" w:cs="Times New Roman"/>
                <w:position w:val="1"/>
                <w:sz w:val="17"/>
                <w:szCs w:val="17"/>
              </w:rPr>
              <w:t>N</w:t>
            </w:r>
            <w:r>
              <w:rPr>
                <w:rFonts w:ascii="Times New Roman" w:hAnsi="Times New Roman" w:eastAsia="Times New Roman" w:cs="Times New Roman"/>
                <w:spacing w:val="1"/>
                <w:position w:val="1"/>
                <w:sz w:val="17"/>
                <w:szCs w:val="17"/>
              </w:rPr>
              <w:t xml:space="preserve">3-3# </w:t>
            </w:r>
            <w:r>
              <w:rPr>
                <w:rFonts w:ascii="宋体" w:hAnsi="宋体" w:eastAsia="宋体" w:cs="宋体"/>
                <w:spacing w:val="1"/>
                <w:position w:val="1"/>
                <w:sz w:val="17"/>
                <w:szCs w:val="17"/>
              </w:rPr>
              <w:t xml:space="preserve">，“宏义 ·江湾城”小区 </w:t>
            </w:r>
            <w:r>
              <w:rPr>
                <w:rFonts w:ascii="Times New Roman" w:hAnsi="Times New Roman" w:eastAsia="Times New Roman" w:cs="Times New Roman"/>
                <w:spacing w:val="1"/>
                <w:position w:val="1"/>
                <w:sz w:val="17"/>
                <w:szCs w:val="17"/>
              </w:rPr>
              <w:t>5</w:t>
            </w:r>
            <w:r>
              <w:rPr>
                <w:rFonts w:ascii="Times New Roman" w:hAnsi="Times New Roman" w:eastAsia="Times New Roman" w:cs="Times New Roman"/>
                <w:position w:val="1"/>
                <w:sz w:val="17"/>
                <w:szCs w:val="17"/>
              </w:rPr>
              <w:t xml:space="preserve"> </w:t>
            </w:r>
            <w:r>
              <w:rPr>
                <w:rFonts w:ascii="宋体" w:hAnsi="宋体" w:eastAsia="宋体" w:cs="宋体"/>
                <w:position w:val="1"/>
                <w:sz w:val="17"/>
                <w:szCs w:val="17"/>
              </w:rPr>
              <w:t xml:space="preserve">期 </w:t>
            </w:r>
            <w:r>
              <w:rPr>
                <w:rFonts w:ascii="Times New Roman" w:hAnsi="Times New Roman" w:eastAsia="Times New Roman" w:cs="Times New Roman"/>
                <w:position w:val="1"/>
                <w:sz w:val="17"/>
                <w:szCs w:val="17"/>
              </w:rPr>
              <w:t xml:space="preserve">15 </w:t>
            </w:r>
            <w:r>
              <w:rPr>
                <w:rFonts w:ascii="宋体" w:hAnsi="宋体" w:eastAsia="宋体" w:cs="宋体"/>
                <w:position w:val="1"/>
                <w:sz w:val="17"/>
                <w:szCs w:val="17"/>
              </w:rPr>
              <w:t xml:space="preserve">号楼临拟建桥梁一侧 </w:t>
            </w:r>
            <w:r>
              <w:rPr>
                <w:rFonts w:ascii="Times New Roman" w:hAnsi="Times New Roman" w:eastAsia="Times New Roman" w:cs="Times New Roman"/>
                <w:position w:val="1"/>
                <w:sz w:val="17"/>
                <w:szCs w:val="17"/>
              </w:rPr>
              <w:t>7F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1072" w:type="dxa"/>
            <w:vMerge w:val="continue"/>
            <w:tcBorders>
              <w:top w:val="nil"/>
              <w:bottom w:val="nil"/>
            </w:tcBorders>
            <w:vAlign w:val="top"/>
          </w:tcPr>
          <w:p>
            <w:pPr>
              <w:rPr>
                <w:rFonts w:ascii="Arial"/>
                <w:sz w:val="21"/>
              </w:rPr>
            </w:pPr>
          </w:p>
        </w:tc>
        <w:tc>
          <w:tcPr>
            <w:tcW w:w="7531" w:type="dxa"/>
            <w:vAlign w:val="top"/>
          </w:tcPr>
          <w:p>
            <w:pPr>
              <w:spacing w:before="87" w:line="243" w:lineRule="exact"/>
              <w:ind w:left="1251"/>
              <w:rPr>
                <w:rFonts w:ascii="Times New Roman" w:hAnsi="Times New Roman" w:eastAsia="Times New Roman" w:cs="Times New Roman"/>
                <w:sz w:val="17"/>
                <w:szCs w:val="17"/>
              </w:rPr>
            </w:pPr>
            <w:r>
              <w:rPr>
                <w:rFonts w:ascii="Times New Roman" w:hAnsi="Times New Roman" w:eastAsia="Times New Roman" w:cs="Times New Roman"/>
                <w:position w:val="1"/>
                <w:sz w:val="17"/>
                <w:szCs w:val="17"/>
              </w:rPr>
              <w:t>N</w:t>
            </w:r>
            <w:r>
              <w:rPr>
                <w:rFonts w:ascii="Times New Roman" w:hAnsi="Times New Roman" w:eastAsia="Times New Roman" w:cs="Times New Roman"/>
                <w:spacing w:val="1"/>
                <w:position w:val="1"/>
                <w:sz w:val="17"/>
                <w:szCs w:val="17"/>
              </w:rPr>
              <w:t xml:space="preserve">3-4# </w:t>
            </w:r>
            <w:r>
              <w:rPr>
                <w:rFonts w:ascii="宋体" w:hAnsi="宋体" w:eastAsia="宋体" w:cs="宋体"/>
                <w:spacing w:val="1"/>
                <w:position w:val="1"/>
                <w:sz w:val="17"/>
                <w:szCs w:val="17"/>
              </w:rPr>
              <w:t xml:space="preserve">，“宏义 ·江湾城”小区 </w:t>
            </w:r>
            <w:r>
              <w:rPr>
                <w:rFonts w:ascii="Times New Roman" w:hAnsi="Times New Roman" w:eastAsia="Times New Roman" w:cs="Times New Roman"/>
                <w:spacing w:val="1"/>
                <w:position w:val="1"/>
                <w:sz w:val="17"/>
                <w:szCs w:val="17"/>
              </w:rPr>
              <w:t xml:space="preserve">5 </w:t>
            </w:r>
            <w:r>
              <w:rPr>
                <w:rFonts w:ascii="宋体" w:hAnsi="宋体" w:eastAsia="宋体" w:cs="宋体"/>
                <w:spacing w:val="1"/>
                <w:position w:val="1"/>
                <w:sz w:val="17"/>
                <w:szCs w:val="17"/>
              </w:rPr>
              <w:t xml:space="preserve">期 </w:t>
            </w:r>
            <w:r>
              <w:rPr>
                <w:rFonts w:ascii="Times New Roman" w:hAnsi="Times New Roman" w:eastAsia="Times New Roman" w:cs="Times New Roman"/>
                <w:spacing w:val="1"/>
                <w:position w:val="1"/>
                <w:sz w:val="17"/>
                <w:szCs w:val="17"/>
              </w:rPr>
              <w:t>1</w:t>
            </w:r>
            <w:r>
              <w:rPr>
                <w:rFonts w:ascii="Times New Roman" w:hAnsi="Times New Roman" w:eastAsia="Times New Roman" w:cs="Times New Roman"/>
                <w:position w:val="1"/>
                <w:sz w:val="17"/>
                <w:szCs w:val="17"/>
              </w:rPr>
              <w:t xml:space="preserve">5 </w:t>
            </w:r>
            <w:r>
              <w:rPr>
                <w:rFonts w:ascii="宋体" w:hAnsi="宋体" w:eastAsia="宋体" w:cs="宋体"/>
                <w:position w:val="1"/>
                <w:sz w:val="17"/>
                <w:szCs w:val="17"/>
              </w:rPr>
              <w:t xml:space="preserve">号楼临拟建桥梁一侧 </w:t>
            </w:r>
            <w:r>
              <w:rPr>
                <w:rFonts w:ascii="Times New Roman" w:hAnsi="Times New Roman" w:eastAsia="Times New Roman" w:cs="Times New Roman"/>
                <w:position w:val="1"/>
                <w:sz w:val="17"/>
                <w:szCs w:val="17"/>
              </w:rPr>
              <w:t>10F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1072" w:type="dxa"/>
            <w:vMerge w:val="continue"/>
            <w:tcBorders>
              <w:top w:val="nil"/>
              <w:bottom w:val="nil"/>
            </w:tcBorders>
            <w:vAlign w:val="top"/>
          </w:tcPr>
          <w:p>
            <w:pPr>
              <w:rPr>
                <w:rFonts w:ascii="Arial"/>
                <w:sz w:val="21"/>
              </w:rPr>
            </w:pPr>
          </w:p>
        </w:tc>
        <w:tc>
          <w:tcPr>
            <w:tcW w:w="7531" w:type="dxa"/>
            <w:vAlign w:val="top"/>
          </w:tcPr>
          <w:p>
            <w:pPr>
              <w:spacing w:before="89" w:line="242" w:lineRule="exact"/>
              <w:ind w:left="1251"/>
              <w:rPr>
                <w:rFonts w:ascii="Times New Roman" w:hAnsi="Times New Roman" w:eastAsia="Times New Roman" w:cs="Times New Roman"/>
                <w:sz w:val="17"/>
                <w:szCs w:val="17"/>
              </w:rPr>
            </w:pPr>
            <w:r>
              <w:rPr>
                <w:rFonts w:ascii="Times New Roman" w:hAnsi="Times New Roman" w:eastAsia="Times New Roman" w:cs="Times New Roman"/>
                <w:position w:val="1"/>
                <w:sz w:val="17"/>
                <w:szCs w:val="17"/>
              </w:rPr>
              <w:t>N</w:t>
            </w:r>
            <w:r>
              <w:rPr>
                <w:rFonts w:ascii="Times New Roman" w:hAnsi="Times New Roman" w:eastAsia="Times New Roman" w:cs="Times New Roman"/>
                <w:spacing w:val="1"/>
                <w:position w:val="1"/>
                <w:sz w:val="17"/>
                <w:szCs w:val="17"/>
              </w:rPr>
              <w:t xml:space="preserve">3-5# </w:t>
            </w:r>
            <w:r>
              <w:rPr>
                <w:rFonts w:ascii="宋体" w:hAnsi="宋体" w:eastAsia="宋体" w:cs="宋体"/>
                <w:spacing w:val="1"/>
                <w:position w:val="1"/>
                <w:sz w:val="17"/>
                <w:szCs w:val="17"/>
              </w:rPr>
              <w:t xml:space="preserve">，“宏义 ·江湾城”小区 </w:t>
            </w:r>
            <w:r>
              <w:rPr>
                <w:rFonts w:ascii="Times New Roman" w:hAnsi="Times New Roman" w:eastAsia="Times New Roman" w:cs="Times New Roman"/>
                <w:spacing w:val="1"/>
                <w:position w:val="1"/>
                <w:sz w:val="17"/>
                <w:szCs w:val="17"/>
              </w:rPr>
              <w:t xml:space="preserve">5 </w:t>
            </w:r>
            <w:r>
              <w:rPr>
                <w:rFonts w:ascii="宋体" w:hAnsi="宋体" w:eastAsia="宋体" w:cs="宋体"/>
                <w:spacing w:val="1"/>
                <w:position w:val="1"/>
                <w:sz w:val="17"/>
                <w:szCs w:val="17"/>
              </w:rPr>
              <w:t xml:space="preserve">期 </w:t>
            </w:r>
            <w:r>
              <w:rPr>
                <w:rFonts w:ascii="Times New Roman" w:hAnsi="Times New Roman" w:eastAsia="Times New Roman" w:cs="Times New Roman"/>
                <w:spacing w:val="1"/>
                <w:position w:val="1"/>
                <w:sz w:val="17"/>
                <w:szCs w:val="17"/>
              </w:rPr>
              <w:t>1</w:t>
            </w:r>
            <w:r>
              <w:rPr>
                <w:rFonts w:ascii="Times New Roman" w:hAnsi="Times New Roman" w:eastAsia="Times New Roman" w:cs="Times New Roman"/>
                <w:position w:val="1"/>
                <w:sz w:val="17"/>
                <w:szCs w:val="17"/>
              </w:rPr>
              <w:t xml:space="preserve">5 </w:t>
            </w:r>
            <w:r>
              <w:rPr>
                <w:rFonts w:ascii="宋体" w:hAnsi="宋体" w:eastAsia="宋体" w:cs="宋体"/>
                <w:position w:val="1"/>
                <w:sz w:val="17"/>
                <w:szCs w:val="17"/>
              </w:rPr>
              <w:t xml:space="preserve">号楼临拟建桥梁一侧 </w:t>
            </w:r>
            <w:r>
              <w:rPr>
                <w:rFonts w:ascii="Times New Roman" w:hAnsi="Times New Roman" w:eastAsia="Times New Roman" w:cs="Times New Roman"/>
                <w:position w:val="1"/>
                <w:sz w:val="17"/>
                <w:szCs w:val="17"/>
              </w:rPr>
              <w:t>15F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1072" w:type="dxa"/>
            <w:vMerge w:val="continue"/>
            <w:tcBorders>
              <w:top w:val="nil"/>
              <w:bottom w:val="nil"/>
            </w:tcBorders>
            <w:vAlign w:val="top"/>
          </w:tcPr>
          <w:p>
            <w:pPr>
              <w:rPr>
                <w:rFonts w:ascii="Arial"/>
                <w:sz w:val="21"/>
              </w:rPr>
            </w:pPr>
          </w:p>
        </w:tc>
        <w:tc>
          <w:tcPr>
            <w:tcW w:w="7531" w:type="dxa"/>
            <w:vAlign w:val="top"/>
          </w:tcPr>
          <w:p>
            <w:pPr>
              <w:spacing w:before="88" w:line="242" w:lineRule="exact"/>
              <w:ind w:left="1251"/>
              <w:rPr>
                <w:rFonts w:ascii="Times New Roman" w:hAnsi="Times New Roman" w:eastAsia="Times New Roman" w:cs="Times New Roman"/>
                <w:sz w:val="17"/>
                <w:szCs w:val="17"/>
              </w:rPr>
            </w:pPr>
            <w:r>
              <w:rPr>
                <w:rFonts w:ascii="Times New Roman" w:hAnsi="Times New Roman" w:eastAsia="Times New Roman" w:cs="Times New Roman"/>
                <w:position w:val="1"/>
                <w:sz w:val="17"/>
                <w:szCs w:val="17"/>
              </w:rPr>
              <w:t>N</w:t>
            </w:r>
            <w:r>
              <w:rPr>
                <w:rFonts w:ascii="Times New Roman" w:hAnsi="Times New Roman" w:eastAsia="Times New Roman" w:cs="Times New Roman"/>
                <w:spacing w:val="1"/>
                <w:position w:val="1"/>
                <w:sz w:val="17"/>
                <w:szCs w:val="17"/>
              </w:rPr>
              <w:t xml:space="preserve">3-6# </w:t>
            </w:r>
            <w:r>
              <w:rPr>
                <w:rFonts w:ascii="宋体" w:hAnsi="宋体" w:eastAsia="宋体" w:cs="宋体"/>
                <w:spacing w:val="1"/>
                <w:position w:val="1"/>
                <w:sz w:val="17"/>
                <w:szCs w:val="17"/>
              </w:rPr>
              <w:t xml:space="preserve">，“宏义 ·江湾城”小区 </w:t>
            </w:r>
            <w:r>
              <w:rPr>
                <w:rFonts w:ascii="Times New Roman" w:hAnsi="Times New Roman" w:eastAsia="Times New Roman" w:cs="Times New Roman"/>
                <w:spacing w:val="1"/>
                <w:position w:val="1"/>
                <w:sz w:val="17"/>
                <w:szCs w:val="17"/>
              </w:rPr>
              <w:t xml:space="preserve">5 </w:t>
            </w:r>
            <w:r>
              <w:rPr>
                <w:rFonts w:ascii="宋体" w:hAnsi="宋体" w:eastAsia="宋体" w:cs="宋体"/>
                <w:spacing w:val="1"/>
                <w:position w:val="1"/>
                <w:sz w:val="17"/>
                <w:szCs w:val="17"/>
              </w:rPr>
              <w:t xml:space="preserve">期 </w:t>
            </w:r>
            <w:r>
              <w:rPr>
                <w:rFonts w:ascii="Times New Roman" w:hAnsi="Times New Roman" w:eastAsia="Times New Roman" w:cs="Times New Roman"/>
                <w:spacing w:val="1"/>
                <w:position w:val="1"/>
                <w:sz w:val="17"/>
                <w:szCs w:val="17"/>
              </w:rPr>
              <w:t>1</w:t>
            </w:r>
            <w:r>
              <w:rPr>
                <w:rFonts w:ascii="Times New Roman" w:hAnsi="Times New Roman" w:eastAsia="Times New Roman" w:cs="Times New Roman"/>
                <w:position w:val="1"/>
                <w:sz w:val="17"/>
                <w:szCs w:val="17"/>
              </w:rPr>
              <w:t xml:space="preserve">5 </w:t>
            </w:r>
            <w:r>
              <w:rPr>
                <w:rFonts w:ascii="宋体" w:hAnsi="宋体" w:eastAsia="宋体" w:cs="宋体"/>
                <w:position w:val="1"/>
                <w:sz w:val="17"/>
                <w:szCs w:val="17"/>
              </w:rPr>
              <w:t xml:space="preserve">号楼临拟建桥梁一侧 </w:t>
            </w:r>
            <w:r>
              <w:rPr>
                <w:rFonts w:ascii="Times New Roman" w:hAnsi="Times New Roman" w:eastAsia="Times New Roman" w:cs="Times New Roman"/>
                <w:position w:val="1"/>
                <w:sz w:val="17"/>
                <w:szCs w:val="17"/>
              </w:rPr>
              <w:t>20F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1072" w:type="dxa"/>
            <w:vMerge w:val="continue"/>
            <w:tcBorders>
              <w:top w:val="nil"/>
              <w:bottom w:val="nil"/>
            </w:tcBorders>
            <w:vAlign w:val="top"/>
          </w:tcPr>
          <w:p>
            <w:pPr>
              <w:rPr>
                <w:rFonts w:ascii="Arial"/>
                <w:sz w:val="21"/>
              </w:rPr>
            </w:pPr>
          </w:p>
        </w:tc>
        <w:tc>
          <w:tcPr>
            <w:tcW w:w="7531" w:type="dxa"/>
            <w:vAlign w:val="top"/>
          </w:tcPr>
          <w:p>
            <w:pPr>
              <w:spacing w:before="89" w:line="242" w:lineRule="exact"/>
              <w:ind w:left="1251"/>
              <w:rPr>
                <w:rFonts w:ascii="Times New Roman" w:hAnsi="Times New Roman" w:eastAsia="Times New Roman" w:cs="Times New Roman"/>
                <w:sz w:val="17"/>
                <w:szCs w:val="17"/>
              </w:rPr>
            </w:pPr>
            <w:r>
              <w:rPr>
                <w:rFonts w:ascii="Times New Roman" w:hAnsi="Times New Roman" w:eastAsia="Times New Roman" w:cs="Times New Roman"/>
                <w:position w:val="1"/>
                <w:sz w:val="17"/>
                <w:szCs w:val="17"/>
              </w:rPr>
              <w:t>N</w:t>
            </w:r>
            <w:r>
              <w:rPr>
                <w:rFonts w:ascii="Times New Roman" w:hAnsi="Times New Roman" w:eastAsia="Times New Roman" w:cs="Times New Roman"/>
                <w:spacing w:val="1"/>
                <w:position w:val="1"/>
                <w:sz w:val="17"/>
                <w:szCs w:val="17"/>
              </w:rPr>
              <w:t xml:space="preserve">3-7# </w:t>
            </w:r>
            <w:r>
              <w:rPr>
                <w:rFonts w:ascii="宋体" w:hAnsi="宋体" w:eastAsia="宋体" w:cs="宋体"/>
                <w:spacing w:val="1"/>
                <w:position w:val="1"/>
                <w:sz w:val="17"/>
                <w:szCs w:val="17"/>
              </w:rPr>
              <w:t xml:space="preserve">，“宏义 ·江湾城”小区 </w:t>
            </w:r>
            <w:r>
              <w:rPr>
                <w:rFonts w:ascii="Times New Roman" w:hAnsi="Times New Roman" w:eastAsia="Times New Roman" w:cs="Times New Roman"/>
                <w:spacing w:val="1"/>
                <w:position w:val="1"/>
                <w:sz w:val="17"/>
                <w:szCs w:val="17"/>
              </w:rPr>
              <w:t xml:space="preserve">5 </w:t>
            </w:r>
            <w:r>
              <w:rPr>
                <w:rFonts w:ascii="宋体" w:hAnsi="宋体" w:eastAsia="宋体" w:cs="宋体"/>
                <w:spacing w:val="1"/>
                <w:position w:val="1"/>
                <w:sz w:val="17"/>
                <w:szCs w:val="17"/>
              </w:rPr>
              <w:t xml:space="preserve">期 </w:t>
            </w:r>
            <w:r>
              <w:rPr>
                <w:rFonts w:ascii="Times New Roman" w:hAnsi="Times New Roman" w:eastAsia="Times New Roman" w:cs="Times New Roman"/>
                <w:spacing w:val="1"/>
                <w:position w:val="1"/>
                <w:sz w:val="17"/>
                <w:szCs w:val="17"/>
              </w:rPr>
              <w:t>1</w:t>
            </w:r>
            <w:r>
              <w:rPr>
                <w:rFonts w:ascii="Times New Roman" w:hAnsi="Times New Roman" w:eastAsia="Times New Roman" w:cs="Times New Roman"/>
                <w:position w:val="1"/>
                <w:sz w:val="17"/>
                <w:szCs w:val="17"/>
              </w:rPr>
              <w:t xml:space="preserve">5 </w:t>
            </w:r>
            <w:r>
              <w:rPr>
                <w:rFonts w:ascii="宋体" w:hAnsi="宋体" w:eastAsia="宋体" w:cs="宋体"/>
                <w:position w:val="1"/>
                <w:sz w:val="17"/>
                <w:szCs w:val="17"/>
              </w:rPr>
              <w:t xml:space="preserve">号楼临拟建桥梁一侧 </w:t>
            </w:r>
            <w:r>
              <w:rPr>
                <w:rFonts w:ascii="Times New Roman" w:hAnsi="Times New Roman" w:eastAsia="Times New Roman" w:cs="Times New Roman"/>
                <w:position w:val="1"/>
                <w:sz w:val="17"/>
                <w:szCs w:val="17"/>
              </w:rPr>
              <w:t>25F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72" w:type="dxa"/>
            <w:vMerge w:val="continue"/>
            <w:tcBorders>
              <w:top w:val="nil"/>
            </w:tcBorders>
            <w:vAlign w:val="top"/>
          </w:tcPr>
          <w:p>
            <w:pPr>
              <w:rPr>
                <w:rFonts w:ascii="Arial"/>
                <w:sz w:val="21"/>
              </w:rPr>
            </w:pPr>
          </w:p>
        </w:tc>
        <w:tc>
          <w:tcPr>
            <w:tcW w:w="7531" w:type="dxa"/>
            <w:vAlign w:val="top"/>
          </w:tcPr>
          <w:p>
            <w:pPr>
              <w:spacing w:before="76" w:line="242" w:lineRule="exact"/>
              <w:ind w:left="1251"/>
              <w:rPr>
                <w:rFonts w:ascii="Times New Roman" w:hAnsi="Times New Roman" w:eastAsia="Times New Roman" w:cs="Times New Roman"/>
                <w:sz w:val="17"/>
                <w:szCs w:val="17"/>
              </w:rPr>
            </w:pPr>
            <w:r>
              <w:rPr>
                <w:rFonts w:ascii="Times New Roman" w:hAnsi="Times New Roman" w:eastAsia="Times New Roman" w:cs="Times New Roman"/>
                <w:position w:val="1"/>
                <w:sz w:val="17"/>
                <w:szCs w:val="17"/>
              </w:rPr>
              <w:t>N</w:t>
            </w:r>
            <w:r>
              <w:rPr>
                <w:rFonts w:ascii="Times New Roman" w:hAnsi="Times New Roman" w:eastAsia="Times New Roman" w:cs="Times New Roman"/>
                <w:spacing w:val="1"/>
                <w:position w:val="1"/>
                <w:sz w:val="17"/>
                <w:szCs w:val="17"/>
              </w:rPr>
              <w:t xml:space="preserve">3-8# </w:t>
            </w:r>
            <w:r>
              <w:rPr>
                <w:rFonts w:ascii="宋体" w:hAnsi="宋体" w:eastAsia="宋体" w:cs="宋体"/>
                <w:spacing w:val="1"/>
                <w:position w:val="1"/>
                <w:sz w:val="17"/>
                <w:szCs w:val="17"/>
              </w:rPr>
              <w:t xml:space="preserve">，“宏义 ·江湾城”小区 </w:t>
            </w:r>
            <w:r>
              <w:rPr>
                <w:rFonts w:ascii="Times New Roman" w:hAnsi="Times New Roman" w:eastAsia="Times New Roman" w:cs="Times New Roman"/>
                <w:spacing w:val="1"/>
                <w:position w:val="1"/>
                <w:sz w:val="17"/>
                <w:szCs w:val="17"/>
              </w:rPr>
              <w:t xml:space="preserve">5 </w:t>
            </w:r>
            <w:r>
              <w:rPr>
                <w:rFonts w:ascii="宋体" w:hAnsi="宋体" w:eastAsia="宋体" w:cs="宋体"/>
                <w:spacing w:val="1"/>
                <w:position w:val="1"/>
                <w:sz w:val="17"/>
                <w:szCs w:val="17"/>
              </w:rPr>
              <w:t xml:space="preserve">期 </w:t>
            </w:r>
            <w:r>
              <w:rPr>
                <w:rFonts w:ascii="Times New Roman" w:hAnsi="Times New Roman" w:eastAsia="Times New Roman" w:cs="Times New Roman"/>
                <w:spacing w:val="1"/>
                <w:position w:val="1"/>
                <w:sz w:val="17"/>
                <w:szCs w:val="17"/>
              </w:rPr>
              <w:t>1</w:t>
            </w:r>
            <w:r>
              <w:rPr>
                <w:rFonts w:ascii="Times New Roman" w:hAnsi="Times New Roman" w:eastAsia="Times New Roman" w:cs="Times New Roman"/>
                <w:position w:val="1"/>
                <w:sz w:val="17"/>
                <w:szCs w:val="17"/>
              </w:rPr>
              <w:t xml:space="preserve">5 </w:t>
            </w:r>
            <w:r>
              <w:rPr>
                <w:rFonts w:ascii="宋体" w:hAnsi="宋体" w:eastAsia="宋体" w:cs="宋体"/>
                <w:position w:val="1"/>
                <w:sz w:val="17"/>
                <w:szCs w:val="17"/>
              </w:rPr>
              <w:t xml:space="preserve">号楼临拟建桥梁一侧 </w:t>
            </w:r>
            <w:r>
              <w:rPr>
                <w:rFonts w:ascii="Times New Roman" w:hAnsi="Times New Roman" w:eastAsia="Times New Roman" w:cs="Times New Roman"/>
                <w:position w:val="1"/>
                <w:sz w:val="17"/>
                <w:szCs w:val="17"/>
              </w:rPr>
              <w:t>30F</w:t>
            </w:r>
          </w:p>
        </w:tc>
      </w:tr>
    </w:tbl>
    <w:p>
      <w:pPr>
        <w:spacing w:before="131" w:line="222" w:lineRule="auto"/>
        <w:outlineLvl w:val="3"/>
        <w:rPr>
          <w:rFonts w:ascii="黑体" w:hAnsi="黑体" w:eastAsia="黑体" w:cs="黑体"/>
          <w:sz w:val="22"/>
          <w:szCs w:val="22"/>
        </w:rPr>
      </w:pPr>
      <w:r>
        <w:rPr>
          <w:rFonts w:ascii="Times New Roman" w:hAnsi="Times New Roman" w:eastAsia="Times New Roman" w:cs="Times New Roman"/>
          <w:spacing w:val="-8"/>
          <w:sz w:val="22"/>
          <w:szCs w:val="22"/>
        </w:rPr>
        <w:t>3.</w:t>
      </w:r>
      <w:r>
        <w:rPr>
          <w:rFonts w:ascii="Times New Roman" w:hAnsi="Times New Roman" w:eastAsia="Times New Roman" w:cs="Times New Roman"/>
          <w:spacing w:val="-4"/>
          <w:sz w:val="22"/>
          <w:szCs w:val="22"/>
        </w:rPr>
        <w:t xml:space="preserve"> 1.2    </w:t>
      </w:r>
      <w:r>
        <w:rPr>
          <w:rFonts w:ascii="黑体" w:hAnsi="黑体" w:eastAsia="黑体" w:cs="黑体"/>
          <w:spacing w:val="-4"/>
          <w:sz w:val="22"/>
          <w:szCs w:val="22"/>
        </w:rPr>
        <w:t>监测项目</w:t>
      </w:r>
    </w:p>
    <w:p>
      <w:pPr>
        <w:spacing w:before="151" w:line="228" w:lineRule="auto"/>
        <w:ind w:left="474"/>
        <w:rPr>
          <w:rFonts w:ascii="宋体" w:hAnsi="宋体" w:eastAsia="宋体" w:cs="宋体"/>
          <w:sz w:val="20"/>
          <w:szCs w:val="20"/>
        </w:rPr>
      </w:pPr>
      <w:r>
        <w:rPr>
          <w:rFonts w:ascii="宋体" w:hAnsi="宋体" w:eastAsia="宋体" w:cs="宋体"/>
          <w:spacing w:val="8"/>
          <w:sz w:val="20"/>
          <w:szCs w:val="20"/>
        </w:rPr>
        <w:t>等效连续</w:t>
      </w:r>
      <w:r>
        <w:rPr>
          <w:rFonts w:ascii="Times New Roman" w:hAnsi="Times New Roman" w:eastAsia="Times New Roman" w:cs="Times New Roman"/>
          <w:sz w:val="20"/>
          <w:szCs w:val="20"/>
        </w:rPr>
        <w:t>A</w:t>
      </w:r>
      <w:r>
        <w:rPr>
          <w:rFonts w:ascii="宋体" w:hAnsi="宋体" w:eastAsia="宋体" w:cs="宋体"/>
          <w:spacing w:val="8"/>
          <w:sz w:val="20"/>
          <w:szCs w:val="20"/>
        </w:rPr>
        <w:t>声级</w:t>
      </w:r>
      <w:r>
        <w:rPr>
          <w:rFonts w:ascii="宋体" w:hAnsi="宋体" w:eastAsia="宋体" w:cs="宋体"/>
          <w:spacing w:val="6"/>
          <w:sz w:val="20"/>
          <w:szCs w:val="20"/>
        </w:rPr>
        <w:t>。</w:t>
      </w:r>
    </w:p>
    <w:p>
      <w:pPr>
        <w:spacing w:before="146" w:line="223" w:lineRule="auto"/>
        <w:outlineLvl w:val="3"/>
        <w:rPr>
          <w:rFonts w:ascii="黑体" w:hAnsi="黑体" w:eastAsia="黑体" w:cs="黑体"/>
          <w:sz w:val="22"/>
          <w:szCs w:val="22"/>
        </w:rPr>
      </w:pPr>
      <w:r>
        <w:rPr>
          <w:rFonts w:ascii="Times New Roman" w:hAnsi="Times New Roman" w:eastAsia="Times New Roman" w:cs="Times New Roman"/>
          <w:spacing w:val="-6"/>
          <w:sz w:val="22"/>
          <w:szCs w:val="22"/>
        </w:rPr>
        <w:t>3. 1</w:t>
      </w:r>
      <w:r>
        <w:rPr>
          <w:rFonts w:ascii="Times New Roman" w:hAnsi="Times New Roman" w:eastAsia="Times New Roman" w:cs="Times New Roman"/>
          <w:spacing w:val="-4"/>
          <w:sz w:val="22"/>
          <w:szCs w:val="22"/>
        </w:rPr>
        <w:t>.</w:t>
      </w:r>
      <w:r>
        <w:rPr>
          <w:rFonts w:ascii="Times New Roman" w:hAnsi="Times New Roman" w:eastAsia="Times New Roman" w:cs="Times New Roman"/>
          <w:spacing w:val="-3"/>
          <w:sz w:val="22"/>
          <w:szCs w:val="22"/>
        </w:rPr>
        <w:t xml:space="preserve">3    </w:t>
      </w:r>
      <w:r>
        <w:rPr>
          <w:rFonts w:ascii="黑体" w:hAnsi="黑体" w:eastAsia="黑体" w:cs="黑体"/>
          <w:spacing w:val="-3"/>
          <w:sz w:val="22"/>
          <w:szCs w:val="22"/>
        </w:rPr>
        <w:t>监测时间及频率</w:t>
      </w:r>
    </w:p>
    <w:p>
      <w:pPr>
        <w:spacing w:before="150" w:line="228" w:lineRule="auto"/>
        <w:ind w:left="473"/>
        <w:rPr>
          <w:rFonts w:ascii="宋体" w:hAnsi="宋体" w:eastAsia="宋体" w:cs="宋体"/>
          <w:sz w:val="20"/>
          <w:szCs w:val="20"/>
        </w:rPr>
      </w:pPr>
      <w:r>
        <w:rPr>
          <w:rFonts w:ascii="宋体" w:hAnsi="宋体" w:eastAsia="宋体" w:cs="宋体"/>
          <w:spacing w:val="8"/>
          <w:sz w:val="20"/>
          <w:szCs w:val="20"/>
        </w:rPr>
        <w:t>监测时间为</w:t>
      </w:r>
      <w:r>
        <w:rPr>
          <w:rFonts w:ascii="Times New Roman" w:hAnsi="Times New Roman" w:eastAsia="Times New Roman" w:cs="Times New Roman"/>
          <w:spacing w:val="8"/>
          <w:sz w:val="20"/>
          <w:szCs w:val="20"/>
        </w:rPr>
        <w:t>2023</w:t>
      </w:r>
      <w:r>
        <w:rPr>
          <w:rFonts w:ascii="宋体" w:hAnsi="宋体" w:eastAsia="宋体" w:cs="宋体"/>
          <w:spacing w:val="8"/>
          <w:sz w:val="20"/>
          <w:szCs w:val="20"/>
        </w:rPr>
        <w:t>年</w:t>
      </w:r>
      <w:r>
        <w:rPr>
          <w:rFonts w:ascii="Times New Roman" w:hAnsi="Times New Roman" w:eastAsia="Times New Roman" w:cs="Times New Roman"/>
          <w:spacing w:val="8"/>
          <w:sz w:val="20"/>
          <w:szCs w:val="20"/>
        </w:rPr>
        <w:t>3</w:t>
      </w:r>
      <w:r>
        <w:rPr>
          <w:rFonts w:ascii="宋体" w:hAnsi="宋体" w:eastAsia="宋体" w:cs="宋体"/>
          <w:spacing w:val="8"/>
          <w:sz w:val="20"/>
          <w:szCs w:val="20"/>
        </w:rPr>
        <w:t>月</w:t>
      </w:r>
      <w:r>
        <w:rPr>
          <w:rFonts w:ascii="Times New Roman" w:hAnsi="Times New Roman" w:eastAsia="Times New Roman" w:cs="Times New Roman"/>
          <w:spacing w:val="8"/>
          <w:sz w:val="20"/>
          <w:szCs w:val="20"/>
        </w:rPr>
        <w:t>30</w:t>
      </w:r>
      <w:r>
        <w:rPr>
          <w:rFonts w:ascii="宋体" w:hAnsi="宋体" w:eastAsia="宋体" w:cs="宋体"/>
          <w:spacing w:val="8"/>
          <w:sz w:val="20"/>
          <w:szCs w:val="20"/>
        </w:rPr>
        <w:t>日至</w:t>
      </w:r>
      <w:r>
        <w:rPr>
          <w:rFonts w:ascii="Times New Roman" w:hAnsi="Times New Roman" w:eastAsia="Times New Roman" w:cs="Times New Roman"/>
          <w:spacing w:val="8"/>
          <w:sz w:val="20"/>
          <w:szCs w:val="20"/>
        </w:rPr>
        <w:t>2023</w:t>
      </w:r>
      <w:r>
        <w:rPr>
          <w:rFonts w:ascii="宋体" w:hAnsi="宋体" w:eastAsia="宋体" w:cs="宋体"/>
          <w:spacing w:val="8"/>
          <w:sz w:val="20"/>
          <w:szCs w:val="20"/>
        </w:rPr>
        <w:t>年</w:t>
      </w:r>
      <w:r>
        <w:rPr>
          <w:rFonts w:ascii="Times New Roman" w:hAnsi="Times New Roman" w:eastAsia="Times New Roman" w:cs="Times New Roman"/>
          <w:spacing w:val="8"/>
          <w:sz w:val="20"/>
          <w:szCs w:val="20"/>
        </w:rPr>
        <w:t>3</w:t>
      </w:r>
      <w:r>
        <w:rPr>
          <w:rFonts w:ascii="宋体" w:hAnsi="宋体" w:eastAsia="宋体" w:cs="宋体"/>
          <w:spacing w:val="8"/>
          <w:sz w:val="20"/>
          <w:szCs w:val="20"/>
        </w:rPr>
        <w:t>月</w:t>
      </w:r>
      <w:r>
        <w:rPr>
          <w:rFonts w:ascii="Times New Roman" w:hAnsi="Times New Roman" w:eastAsia="Times New Roman" w:cs="Times New Roman"/>
          <w:spacing w:val="8"/>
          <w:sz w:val="20"/>
          <w:szCs w:val="20"/>
        </w:rPr>
        <w:t>31</w:t>
      </w:r>
      <w:r>
        <w:rPr>
          <w:rFonts w:ascii="宋体" w:hAnsi="宋体" w:eastAsia="宋体" w:cs="宋体"/>
          <w:spacing w:val="8"/>
          <w:sz w:val="20"/>
          <w:szCs w:val="20"/>
        </w:rPr>
        <w:t>日，连续监测</w:t>
      </w:r>
      <w:r>
        <w:rPr>
          <w:rFonts w:ascii="Times New Roman" w:hAnsi="Times New Roman" w:eastAsia="Times New Roman" w:cs="Times New Roman"/>
          <w:spacing w:val="8"/>
          <w:sz w:val="20"/>
          <w:szCs w:val="20"/>
        </w:rPr>
        <w:t>2</w:t>
      </w:r>
      <w:r>
        <w:rPr>
          <w:rFonts w:ascii="宋体" w:hAnsi="宋体" w:eastAsia="宋体" w:cs="宋体"/>
          <w:spacing w:val="8"/>
          <w:sz w:val="20"/>
          <w:szCs w:val="20"/>
        </w:rPr>
        <w:t>天，每天昼间、夜间各检测</w:t>
      </w:r>
      <w:r>
        <w:rPr>
          <w:rFonts w:ascii="Times New Roman" w:hAnsi="Times New Roman" w:eastAsia="Times New Roman" w:cs="Times New Roman"/>
          <w:spacing w:val="8"/>
          <w:sz w:val="20"/>
          <w:szCs w:val="20"/>
        </w:rPr>
        <w:t>1</w:t>
      </w:r>
      <w:r>
        <w:rPr>
          <w:rFonts w:ascii="宋体" w:hAnsi="宋体" w:eastAsia="宋体" w:cs="宋体"/>
          <w:spacing w:val="8"/>
          <w:sz w:val="20"/>
          <w:szCs w:val="20"/>
        </w:rPr>
        <w:t>次</w:t>
      </w:r>
      <w:r>
        <w:rPr>
          <w:rFonts w:ascii="宋体" w:hAnsi="宋体" w:eastAsia="宋体" w:cs="宋体"/>
          <w:sz w:val="20"/>
          <w:szCs w:val="20"/>
        </w:rPr>
        <w:t>。</w:t>
      </w:r>
    </w:p>
    <w:p>
      <w:pPr>
        <w:spacing w:before="143" w:line="222" w:lineRule="auto"/>
        <w:outlineLvl w:val="3"/>
        <w:rPr>
          <w:rFonts w:ascii="黑体" w:hAnsi="黑体" w:eastAsia="黑体" w:cs="黑体"/>
          <w:sz w:val="22"/>
          <w:szCs w:val="22"/>
        </w:rPr>
      </w:pPr>
      <w:r>
        <w:rPr>
          <w:rFonts w:ascii="Times New Roman" w:hAnsi="Times New Roman" w:eastAsia="Times New Roman" w:cs="Times New Roman"/>
          <w:spacing w:val="-8"/>
          <w:sz w:val="22"/>
          <w:szCs w:val="22"/>
        </w:rPr>
        <w:t>3.</w:t>
      </w:r>
      <w:r>
        <w:rPr>
          <w:rFonts w:ascii="Times New Roman" w:hAnsi="Times New Roman" w:eastAsia="Times New Roman" w:cs="Times New Roman"/>
          <w:spacing w:val="-4"/>
          <w:sz w:val="22"/>
          <w:szCs w:val="22"/>
        </w:rPr>
        <w:t xml:space="preserve"> 1.4    </w:t>
      </w:r>
      <w:r>
        <w:rPr>
          <w:rFonts w:ascii="黑体" w:hAnsi="黑体" w:eastAsia="黑体" w:cs="黑体"/>
          <w:spacing w:val="-4"/>
          <w:sz w:val="22"/>
          <w:szCs w:val="22"/>
        </w:rPr>
        <w:t>监测方法</w:t>
      </w:r>
    </w:p>
    <w:p>
      <w:pPr>
        <w:spacing w:before="152" w:line="228" w:lineRule="auto"/>
        <w:ind w:left="472"/>
        <w:rPr>
          <w:rFonts w:ascii="宋体" w:hAnsi="宋体" w:eastAsia="宋体" w:cs="宋体"/>
          <w:sz w:val="20"/>
          <w:szCs w:val="20"/>
        </w:rPr>
      </w:pPr>
      <w:r>
        <w:rPr>
          <w:rFonts w:ascii="宋体" w:hAnsi="宋体" w:eastAsia="宋体" w:cs="宋体"/>
          <w:spacing w:val="16"/>
          <w:sz w:val="20"/>
          <w:szCs w:val="20"/>
        </w:rPr>
        <w:t>环</w:t>
      </w:r>
      <w:r>
        <w:rPr>
          <w:rFonts w:ascii="宋体" w:hAnsi="宋体" w:eastAsia="宋体" w:cs="宋体"/>
          <w:spacing w:val="13"/>
          <w:sz w:val="20"/>
          <w:szCs w:val="20"/>
        </w:rPr>
        <w:t>境</w:t>
      </w:r>
      <w:r>
        <w:rPr>
          <w:rFonts w:ascii="宋体" w:hAnsi="宋体" w:eastAsia="宋体" w:cs="宋体"/>
          <w:spacing w:val="8"/>
          <w:sz w:val="20"/>
          <w:szCs w:val="20"/>
        </w:rPr>
        <w:t>噪声监测方法及方法来源见下表。</w:t>
      </w:r>
    </w:p>
    <w:p>
      <w:pPr>
        <w:spacing w:before="101" w:line="228" w:lineRule="auto"/>
        <w:ind w:left="1921"/>
        <w:rPr>
          <w:rFonts w:ascii="黑体" w:hAnsi="黑体" w:eastAsia="黑体" w:cs="黑体"/>
          <w:sz w:val="19"/>
          <w:szCs w:val="19"/>
        </w:rPr>
      </w:pPr>
      <w:r>
        <w:rPr>
          <w:rFonts w:ascii="黑体" w:hAnsi="黑体" w:eastAsia="黑体" w:cs="黑体"/>
          <w:spacing w:val="18"/>
          <w:sz w:val="19"/>
          <w:szCs w:val="19"/>
        </w:rPr>
        <w:t>环</w:t>
      </w:r>
      <w:r>
        <w:rPr>
          <w:rFonts w:ascii="黑体" w:hAnsi="黑体" w:eastAsia="黑体" w:cs="黑体"/>
          <w:spacing w:val="15"/>
          <w:sz w:val="19"/>
          <w:szCs w:val="19"/>
        </w:rPr>
        <w:t>境</w:t>
      </w:r>
      <w:r>
        <w:rPr>
          <w:rFonts w:ascii="黑体" w:hAnsi="黑体" w:eastAsia="黑体" w:cs="黑体"/>
          <w:spacing w:val="9"/>
          <w:sz w:val="19"/>
          <w:szCs w:val="19"/>
        </w:rPr>
        <w:t>噪声检测方法、方法来源、使用仪器及检出限一览表</w:t>
      </w:r>
    </w:p>
    <w:tbl>
      <w:tblPr>
        <w:tblStyle w:val="4"/>
        <w:tblW w:w="8722" w:type="dxa"/>
        <w:tblInd w:w="5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58"/>
        <w:gridCol w:w="1514"/>
        <w:gridCol w:w="1354"/>
        <w:gridCol w:w="2913"/>
        <w:gridCol w:w="12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658" w:type="dxa"/>
            <w:vAlign w:val="top"/>
          </w:tcPr>
          <w:p>
            <w:pPr>
              <w:spacing w:before="136" w:line="230" w:lineRule="auto"/>
              <w:ind w:left="472"/>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检测因子</w:t>
            </w:r>
          </w:p>
        </w:tc>
        <w:tc>
          <w:tcPr>
            <w:tcW w:w="1514" w:type="dxa"/>
            <w:vAlign w:val="top"/>
          </w:tcPr>
          <w:p>
            <w:pPr>
              <w:spacing w:before="136" w:line="230" w:lineRule="auto"/>
              <w:ind w:left="398"/>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检测方</w:t>
            </w:r>
            <w:r>
              <w:rPr>
                <w:rFonts w:ascii="宋体" w:hAnsi="宋体" w:eastAsia="宋体" w:cs="宋体"/>
                <w:spacing w:val="8"/>
                <w:sz w:val="17"/>
                <w:szCs w:val="17"/>
                <w14:textOutline w14:w="3268" w14:cap="sq" w14:cmpd="sng">
                  <w14:solidFill>
                    <w14:srgbClr w14:val="000000"/>
                  </w14:solidFill>
                  <w14:prstDash w14:val="solid"/>
                  <w14:bevel/>
                </w14:textOutline>
              </w:rPr>
              <w:t>法</w:t>
            </w:r>
          </w:p>
        </w:tc>
        <w:tc>
          <w:tcPr>
            <w:tcW w:w="1354" w:type="dxa"/>
            <w:vAlign w:val="top"/>
          </w:tcPr>
          <w:p>
            <w:pPr>
              <w:spacing w:before="136" w:line="230" w:lineRule="auto"/>
              <w:ind w:left="319"/>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方</w:t>
            </w:r>
            <w:r>
              <w:rPr>
                <w:rFonts w:ascii="宋体" w:hAnsi="宋体" w:eastAsia="宋体" w:cs="宋体"/>
                <w:spacing w:val="8"/>
                <w:sz w:val="17"/>
                <w:szCs w:val="17"/>
                <w14:textOutline w14:w="3268" w14:cap="sq" w14:cmpd="sng">
                  <w14:solidFill>
                    <w14:srgbClr w14:val="000000"/>
                  </w14:solidFill>
                  <w14:prstDash w14:val="solid"/>
                  <w14:bevel/>
                </w14:textOutline>
              </w:rPr>
              <w:t>法来源</w:t>
            </w:r>
          </w:p>
        </w:tc>
        <w:tc>
          <w:tcPr>
            <w:tcW w:w="2913" w:type="dxa"/>
            <w:vAlign w:val="top"/>
          </w:tcPr>
          <w:p>
            <w:pPr>
              <w:spacing w:before="136" w:line="230" w:lineRule="auto"/>
              <w:ind w:left="830"/>
              <w:rPr>
                <w:rFonts w:ascii="宋体" w:hAnsi="宋体" w:eastAsia="宋体" w:cs="宋体"/>
                <w:sz w:val="17"/>
                <w:szCs w:val="17"/>
              </w:rPr>
            </w:pPr>
            <w:r>
              <w:rPr>
                <w:rFonts w:ascii="宋体" w:hAnsi="宋体" w:eastAsia="宋体" w:cs="宋体"/>
                <w:spacing w:val="13"/>
                <w:sz w:val="17"/>
                <w:szCs w:val="17"/>
                <w14:textOutline w14:w="3268" w14:cap="sq" w14:cmpd="sng">
                  <w14:solidFill>
                    <w14:srgbClr w14:val="000000"/>
                  </w14:solidFill>
                  <w14:prstDash w14:val="solid"/>
                  <w14:bevel/>
                </w14:textOutline>
              </w:rPr>
              <w:t>使</w:t>
            </w:r>
            <w:r>
              <w:rPr>
                <w:rFonts w:ascii="宋体" w:hAnsi="宋体" w:eastAsia="宋体" w:cs="宋体"/>
                <w:spacing w:val="9"/>
                <w:sz w:val="17"/>
                <w:szCs w:val="17"/>
                <w14:textOutline w14:w="3268" w14:cap="sq" w14:cmpd="sng">
                  <w14:solidFill>
                    <w14:srgbClr w14:val="000000"/>
                  </w14:solidFill>
                  <w14:prstDash w14:val="solid"/>
                  <w14:bevel/>
                </w14:textOutline>
              </w:rPr>
              <w:t>用仪器及编号</w:t>
            </w:r>
          </w:p>
        </w:tc>
        <w:tc>
          <w:tcPr>
            <w:tcW w:w="1283" w:type="dxa"/>
            <w:vAlign w:val="top"/>
          </w:tcPr>
          <w:p>
            <w:pPr>
              <w:spacing w:before="136" w:line="230" w:lineRule="auto"/>
              <w:ind w:left="374"/>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检</w:t>
            </w:r>
            <w:r>
              <w:rPr>
                <w:rFonts w:ascii="宋体" w:hAnsi="宋体" w:eastAsia="宋体" w:cs="宋体"/>
                <w:spacing w:val="8"/>
                <w:sz w:val="17"/>
                <w:szCs w:val="17"/>
                <w14:textOutline w14:w="3268" w14:cap="sq" w14:cmpd="sng">
                  <w14:solidFill>
                    <w14:srgbClr w14:val="000000"/>
                  </w14:solidFill>
                  <w14:prstDash w14:val="solid"/>
                  <w14:bevel/>
                </w14:textOutline>
              </w:rPr>
              <w:t>出限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1658" w:type="dxa"/>
            <w:vMerge w:val="restart"/>
            <w:tcBorders>
              <w:bottom w:val="nil"/>
            </w:tcBorders>
            <w:vAlign w:val="top"/>
          </w:tcPr>
          <w:p>
            <w:pPr>
              <w:spacing w:line="410" w:lineRule="auto"/>
              <w:rPr>
                <w:rFonts w:ascii="Arial"/>
                <w:sz w:val="21"/>
              </w:rPr>
            </w:pPr>
          </w:p>
          <w:p>
            <w:pPr>
              <w:spacing w:before="55" w:line="304" w:lineRule="auto"/>
              <w:ind w:left="124" w:right="117" w:firstLine="350"/>
              <w:rPr>
                <w:rFonts w:ascii="Times New Roman" w:hAnsi="Times New Roman" w:eastAsia="Times New Roman" w:cs="Times New Roman"/>
                <w:sz w:val="17"/>
                <w:szCs w:val="17"/>
              </w:rPr>
            </w:pPr>
            <w:r>
              <w:rPr>
                <w:rFonts w:ascii="宋体" w:hAnsi="宋体" w:eastAsia="宋体" w:cs="宋体"/>
                <w:spacing w:val="8"/>
                <w:sz w:val="17"/>
                <w:szCs w:val="17"/>
              </w:rPr>
              <w:t>环境噪声</w:t>
            </w:r>
            <w:r>
              <w:rPr>
                <w:rFonts w:ascii="宋体" w:hAnsi="宋体" w:eastAsia="宋体" w:cs="宋体"/>
                <w:sz w:val="17"/>
                <w:szCs w:val="17"/>
              </w:rPr>
              <w:t xml:space="preserve">    </w:t>
            </w:r>
            <w:r>
              <w:rPr>
                <w:rFonts w:ascii="Times New Roman" w:hAnsi="Times New Roman" w:eastAsia="Times New Roman" w:cs="Times New Roman"/>
                <w:spacing w:val="4"/>
                <w:sz w:val="17"/>
                <w:szCs w:val="17"/>
              </w:rPr>
              <w:t>(</w:t>
            </w:r>
            <w:r>
              <w:rPr>
                <w:rFonts w:ascii="宋体" w:hAnsi="宋体" w:eastAsia="宋体" w:cs="宋体"/>
                <w:spacing w:val="4"/>
                <w:sz w:val="17"/>
                <w:szCs w:val="17"/>
              </w:rPr>
              <w:t>等效</w:t>
            </w:r>
            <w:r>
              <w:rPr>
                <w:rFonts w:ascii="宋体" w:hAnsi="宋体" w:eastAsia="宋体" w:cs="宋体"/>
                <w:spacing w:val="3"/>
                <w:sz w:val="17"/>
                <w:szCs w:val="17"/>
              </w:rPr>
              <w:t>连</w:t>
            </w:r>
            <w:r>
              <w:rPr>
                <w:rFonts w:ascii="宋体" w:hAnsi="宋体" w:eastAsia="宋体" w:cs="宋体"/>
                <w:spacing w:val="2"/>
                <w:sz w:val="17"/>
                <w:szCs w:val="17"/>
              </w:rPr>
              <w:t xml:space="preserve">续 </w:t>
            </w:r>
            <w:r>
              <w:rPr>
                <w:rFonts w:ascii="Times New Roman" w:hAnsi="Times New Roman" w:eastAsia="Times New Roman" w:cs="Times New Roman"/>
                <w:sz w:val="17"/>
                <w:szCs w:val="17"/>
              </w:rPr>
              <w:t>A</w:t>
            </w:r>
            <w:r>
              <w:rPr>
                <w:rFonts w:ascii="Times New Roman" w:hAnsi="Times New Roman" w:eastAsia="Times New Roman" w:cs="Times New Roman"/>
                <w:spacing w:val="2"/>
                <w:sz w:val="17"/>
                <w:szCs w:val="17"/>
              </w:rPr>
              <w:t xml:space="preserve"> </w:t>
            </w:r>
            <w:r>
              <w:rPr>
                <w:rFonts w:ascii="宋体" w:hAnsi="宋体" w:eastAsia="宋体" w:cs="宋体"/>
                <w:spacing w:val="2"/>
                <w:sz w:val="17"/>
                <w:szCs w:val="17"/>
              </w:rPr>
              <w:t>声级</w:t>
            </w:r>
            <w:r>
              <w:rPr>
                <w:rFonts w:ascii="Times New Roman" w:hAnsi="Times New Roman" w:eastAsia="Times New Roman" w:cs="Times New Roman"/>
                <w:spacing w:val="2"/>
                <w:sz w:val="17"/>
                <w:szCs w:val="17"/>
              </w:rPr>
              <w:t>)</w:t>
            </w:r>
          </w:p>
        </w:tc>
        <w:tc>
          <w:tcPr>
            <w:tcW w:w="1514" w:type="dxa"/>
            <w:vMerge w:val="restart"/>
            <w:tcBorders>
              <w:bottom w:val="nil"/>
            </w:tcBorders>
            <w:vAlign w:val="top"/>
          </w:tcPr>
          <w:p>
            <w:pPr>
              <w:spacing w:line="273" w:lineRule="auto"/>
              <w:rPr>
                <w:rFonts w:ascii="Arial"/>
                <w:sz w:val="21"/>
              </w:rPr>
            </w:pPr>
          </w:p>
          <w:p>
            <w:pPr>
              <w:spacing w:line="274" w:lineRule="auto"/>
              <w:rPr>
                <w:rFonts w:ascii="Arial"/>
                <w:sz w:val="21"/>
              </w:rPr>
            </w:pPr>
          </w:p>
          <w:p>
            <w:pPr>
              <w:spacing w:before="55" w:line="231" w:lineRule="auto"/>
              <w:ind w:left="132"/>
              <w:rPr>
                <w:rFonts w:ascii="宋体" w:hAnsi="宋体" w:eastAsia="宋体" w:cs="宋体"/>
                <w:sz w:val="17"/>
                <w:szCs w:val="17"/>
              </w:rPr>
            </w:pPr>
            <w:r>
              <w:rPr>
                <w:rFonts w:ascii="宋体" w:hAnsi="宋体" w:eastAsia="宋体" w:cs="宋体"/>
                <w:spacing w:val="11"/>
                <w:sz w:val="17"/>
                <w:szCs w:val="17"/>
              </w:rPr>
              <w:t>声</w:t>
            </w:r>
            <w:r>
              <w:rPr>
                <w:rFonts w:ascii="宋体" w:hAnsi="宋体" w:eastAsia="宋体" w:cs="宋体"/>
                <w:spacing w:val="8"/>
                <w:sz w:val="17"/>
                <w:szCs w:val="17"/>
              </w:rPr>
              <w:t>环境质量标准</w:t>
            </w:r>
          </w:p>
        </w:tc>
        <w:tc>
          <w:tcPr>
            <w:tcW w:w="1354" w:type="dxa"/>
            <w:vMerge w:val="restart"/>
            <w:tcBorders>
              <w:bottom w:val="nil"/>
            </w:tcBorders>
            <w:vAlign w:val="top"/>
          </w:tcPr>
          <w:p>
            <w:pPr>
              <w:spacing w:line="292" w:lineRule="auto"/>
              <w:rPr>
                <w:rFonts w:ascii="Arial"/>
                <w:sz w:val="21"/>
              </w:rPr>
            </w:pPr>
          </w:p>
          <w:p>
            <w:pPr>
              <w:spacing w:line="292" w:lineRule="auto"/>
              <w:rPr>
                <w:rFonts w:ascii="Arial"/>
                <w:sz w:val="21"/>
              </w:rPr>
            </w:pPr>
          </w:p>
          <w:p>
            <w:pPr>
              <w:spacing w:before="49" w:line="197" w:lineRule="auto"/>
              <w:ind w:left="143"/>
              <w:rPr>
                <w:rFonts w:ascii="Times New Roman" w:hAnsi="Times New Roman" w:eastAsia="Times New Roman" w:cs="Times New Roman"/>
                <w:sz w:val="17"/>
                <w:szCs w:val="17"/>
              </w:rPr>
            </w:pPr>
            <w:r>
              <w:rPr>
                <w:rFonts w:ascii="Times New Roman" w:hAnsi="Times New Roman" w:eastAsia="Times New Roman" w:cs="Times New Roman"/>
                <w:sz w:val="17"/>
                <w:szCs w:val="17"/>
              </w:rPr>
              <w:t>GB</w:t>
            </w:r>
            <w:r>
              <w:rPr>
                <w:rFonts w:ascii="Times New Roman" w:hAnsi="Times New Roman" w:eastAsia="Times New Roman" w:cs="Times New Roman"/>
                <w:spacing w:val="9"/>
                <w:sz w:val="17"/>
                <w:szCs w:val="17"/>
              </w:rPr>
              <w:t xml:space="preserve"> </w:t>
            </w:r>
            <w:r>
              <w:rPr>
                <w:rFonts w:ascii="Times New Roman" w:hAnsi="Times New Roman" w:eastAsia="Times New Roman" w:cs="Times New Roman"/>
                <w:spacing w:val="5"/>
                <w:sz w:val="17"/>
                <w:szCs w:val="17"/>
              </w:rPr>
              <w:t>3096-2008</w:t>
            </w:r>
          </w:p>
        </w:tc>
        <w:tc>
          <w:tcPr>
            <w:tcW w:w="2913" w:type="dxa"/>
            <w:vAlign w:val="top"/>
          </w:tcPr>
          <w:p>
            <w:pPr>
              <w:spacing w:before="121" w:line="230" w:lineRule="auto"/>
              <w:ind w:left="451"/>
              <w:rPr>
                <w:rFonts w:ascii="宋体" w:hAnsi="宋体" w:eastAsia="宋体" w:cs="宋体"/>
                <w:sz w:val="17"/>
                <w:szCs w:val="17"/>
              </w:rPr>
            </w:pPr>
            <w:r>
              <w:rPr>
                <w:rFonts w:ascii="Times New Roman" w:hAnsi="Times New Roman" w:eastAsia="Times New Roman" w:cs="Times New Roman"/>
                <w:sz w:val="17"/>
                <w:szCs w:val="17"/>
              </w:rPr>
              <w:t>HS</w:t>
            </w:r>
            <w:r>
              <w:rPr>
                <w:rFonts w:ascii="Times New Roman" w:hAnsi="Times New Roman" w:eastAsia="Times New Roman" w:cs="Times New Roman"/>
                <w:spacing w:val="9"/>
                <w:sz w:val="17"/>
                <w:szCs w:val="17"/>
              </w:rPr>
              <w:t>5660</w:t>
            </w:r>
            <w:r>
              <w:rPr>
                <w:rFonts w:ascii="Times New Roman" w:hAnsi="Times New Roman" w:eastAsia="Times New Roman" w:cs="Times New Roman"/>
                <w:sz w:val="17"/>
                <w:szCs w:val="17"/>
              </w:rPr>
              <w:t>C</w:t>
            </w:r>
            <w:r>
              <w:rPr>
                <w:rFonts w:ascii="Times New Roman" w:hAnsi="Times New Roman" w:eastAsia="Times New Roman" w:cs="Times New Roman"/>
                <w:spacing w:val="9"/>
                <w:sz w:val="17"/>
                <w:szCs w:val="17"/>
              </w:rPr>
              <w:t xml:space="preserve"> </w:t>
            </w:r>
            <w:r>
              <w:rPr>
                <w:rFonts w:ascii="宋体" w:hAnsi="宋体" w:eastAsia="宋体" w:cs="宋体"/>
                <w:spacing w:val="9"/>
                <w:sz w:val="17"/>
                <w:szCs w:val="17"/>
              </w:rPr>
              <w:t>噪声频谱分析</w:t>
            </w:r>
            <w:r>
              <w:rPr>
                <w:rFonts w:ascii="宋体" w:hAnsi="宋体" w:eastAsia="宋体" w:cs="宋体"/>
                <w:spacing w:val="8"/>
                <w:sz w:val="17"/>
                <w:szCs w:val="17"/>
              </w:rPr>
              <w:t>仪</w:t>
            </w:r>
          </w:p>
          <w:p>
            <w:pPr>
              <w:spacing w:before="34" w:line="242" w:lineRule="exact"/>
              <w:ind w:left="787"/>
              <w:rPr>
                <w:rFonts w:ascii="宋体" w:hAnsi="宋体" w:eastAsia="宋体" w:cs="宋体"/>
                <w:sz w:val="17"/>
                <w:szCs w:val="17"/>
              </w:rPr>
            </w:pPr>
            <w:r>
              <w:rPr>
                <w:rFonts w:ascii="宋体" w:hAnsi="宋体" w:eastAsia="宋体" w:cs="宋体"/>
                <w:spacing w:val="18"/>
                <w:position w:val="1"/>
                <w:sz w:val="17"/>
                <w:szCs w:val="17"/>
              </w:rPr>
              <w:t>(</w:t>
            </w:r>
            <w:r>
              <w:rPr>
                <w:rFonts w:ascii="Times New Roman" w:hAnsi="Times New Roman" w:eastAsia="Times New Roman" w:cs="Times New Roman"/>
                <w:position w:val="1"/>
                <w:sz w:val="17"/>
                <w:szCs w:val="17"/>
              </w:rPr>
              <w:t>HFX</w:t>
            </w:r>
            <w:r>
              <w:rPr>
                <w:rFonts w:ascii="Times New Roman" w:hAnsi="Times New Roman" w:eastAsia="Times New Roman" w:cs="Times New Roman"/>
                <w:spacing w:val="13"/>
                <w:position w:val="1"/>
                <w:sz w:val="17"/>
                <w:szCs w:val="17"/>
              </w:rPr>
              <w:t>-096/098</w:t>
            </w:r>
            <w:r>
              <w:rPr>
                <w:rFonts w:ascii="宋体" w:hAnsi="宋体" w:eastAsia="宋体" w:cs="宋体"/>
                <w:spacing w:val="13"/>
                <w:position w:val="1"/>
                <w:sz w:val="17"/>
                <w:szCs w:val="17"/>
              </w:rPr>
              <w:t>)</w:t>
            </w:r>
          </w:p>
        </w:tc>
        <w:tc>
          <w:tcPr>
            <w:tcW w:w="1283" w:type="dxa"/>
            <w:vAlign w:val="top"/>
          </w:tcPr>
          <w:p>
            <w:pPr>
              <w:spacing w:before="228" w:line="242" w:lineRule="exact"/>
              <w:ind w:left="323"/>
              <w:rPr>
                <w:rFonts w:ascii="Times New Roman" w:hAnsi="Times New Roman" w:eastAsia="Times New Roman" w:cs="Times New Roman"/>
                <w:sz w:val="17"/>
                <w:szCs w:val="17"/>
              </w:rPr>
            </w:pPr>
            <w:r>
              <w:rPr>
                <w:rFonts w:ascii="Times New Roman" w:hAnsi="Times New Roman" w:eastAsia="Times New Roman" w:cs="Times New Roman"/>
                <w:spacing w:val="9"/>
                <w:position w:val="3"/>
                <w:sz w:val="17"/>
                <w:szCs w:val="17"/>
              </w:rPr>
              <w:t>2</w:t>
            </w:r>
            <w:r>
              <w:rPr>
                <w:rFonts w:ascii="Times New Roman" w:hAnsi="Times New Roman" w:eastAsia="Times New Roman" w:cs="Times New Roman"/>
                <w:spacing w:val="7"/>
                <w:position w:val="3"/>
                <w:sz w:val="17"/>
                <w:szCs w:val="17"/>
              </w:rPr>
              <w:t>5</w:t>
            </w:r>
            <w:r>
              <w:rPr>
                <w:rFonts w:ascii="Times New Roman" w:hAnsi="Times New Roman" w:eastAsia="Times New Roman" w:cs="Times New Roman"/>
                <w:position w:val="3"/>
                <w:sz w:val="17"/>
                <w:szCs w:val="17"/>
              </w:rPr>
              <w:t>dB</w:t>
            </w:r>
            <w:r>
              <w:rPr>
                <w:rFonts w:ascii="Times New Roman" w:hAnsi="Times New Roman" w:eastAsia="Times New Roman" w:cs="Times New Roman"/>
                <w:spacing w:val="7"/>
                <w:position w:val="3"/>
                <w:sz w:val="17"/>
                <w:szCs w:val="17"/>
              </w:rPr>
              <w:t>(</w:t>
            </w:r>
            <w:r>
              <w:rPr>
                <w:rFonts w:ascii="Times New Roman" w:hAnsi="Times New Roman" w:eastAsia="Times New Roman" w:cs="Times New Roman"/>
                <w:position w:val="3"/>
                <w:sz w:val="17"/>
                <w:szCs w:val="17"/>
              </w:rPr>
              <w:t>A</w:t>
            </w:r>
            <w:r>
              <w:rPr>
                <w:rFonts w:ascii="Times New Roman" w:hAnsi="Times New Roman" w:eastAsia="Times New Roman" w:cs="Times New Roman"/>
                <w:spacing w:val="7"/>
                <w:position w:val="3"/>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658" w:type="dxa"/>
            <w:vMerge w:val="continue"/>
            <w:tcBorders>
              <w:top w:val="nil"/>
            </w:tcBorders>
            <w:vAlign w:val="top"/>
          </w:tcPr>
          <w:p>
            <w:pPr>
              <w:rPr>
                <w:rFonts w:ascii="Arial"/>
                <w:sz w:val="21"/>
              </w:rPr>
            </w:pPr>
          </w:p>
        </w:tc>
        <w:tc>
          <w:tcPr>
            <w:tcW w:w="1514" w:type="dxa"/>
            <w:vMerge w:val="continue"/>
            <w:tcBorders>
              <w:top w:val="nil"/>
            </w:tcBorders>
            <w:vAlign w:val="top"/>
          </w:tcPr>
          <w:p>
            <w:pPr>
              <w:rPr>
                <w:rFonts w:ascii="Arial"/>
                <w:sz w:val="21"/>
              </w:rPr>
            </w:pPr>
          </w:p>
        </w:tc>
        <w:tc>
          <w:tcPr>
            <w:tcW w:w="1354" w:type="dxa"/>
            <w:vMerge w:val="continue"/>
            <w:tcBorders>
              <w:top w:val="nil"/>
            </w:tcBorders>
            <w:vAlign w:val="top"/>
          </w:tcPr>
          <w:p>
            <w:pPr>
              <w:rPr>
                <w:rFonts w:ascii="Arial"/>
                <w:sz w:val="21"/>
              </w:rPr>
            </w:pPr>
          </w:p>
        </w:tc>
        <w:tc>
          <w:tcPr>
            <w:tcW w:w="2913" w:type="dxa"/>
            <w:vAlign w:val="top"/>
          </w:tcPr>
          <w:p>
            <w:pPr>
              <w:spacing w:before="133" w:line="230" w:lineRule="auto"/>
              <w:ind w:left="451"/>
              <w:rPr>
                <w:rFonts w:ascii="宋体" w:hAnsi="宋体" w:eastAsia="宋体" w:cs="宋体"/>
                <w:sz w:val="17"/>
                <w:szCs w:val="17"/>
              </w:rPr>
            </w:pPr>
            <w:r>
              <w:rPr>
                <w:rFonts w:ascii="Times New Roman" w:hAnsi="Times New Roman" w:eastAsia="Times New Roman" w:cs="Times New Roman"/>
                <w:sz w:val="17"/>
                <w:szCs w:val="17"/>
              </w:rPr>
              <w:t>HS</w:t>
            </w:r>
            <w:r>
              <w:rPr>
                <w:rFonts w:ascii="Times New Roman" w:hAnsi="Times New Roman" w:eastAsia="Times New Roman" w:cs="Times New Roman"/>
                <w:spacing w:val="9"/>
                <w:sz w:val="17"/>
                <w:szCs w:val="17"/>
              </w:rPr>
              <w:t>6288</w:t>
            </w:r>
            <w:r>
              <w:rPr>
                <w:rFonts w:ascii="Times New Roman" w:hAnsi="Times New Roman" w:eastAsia="Times New Roman" w:cs="Times New Roman"/>
                <w:sz w:val="17"/>
                <w:szCs w:val="17"/>
              </w:rPr>
              <w:t>B</w:t>
            </w:r>
            <w:r>
              <w:rPr>
                <w:rFonts w:ascii="Times New Roman" w:hAnsi="Times New Roman" w:eastAsia="Times New Roman" w:cs="Times New Roman"/>
                <w:spacing w:val="9"/>
                <w:sz w:val="17"/>
                <w:szCs w:val="17"/>
              </w:rPr>
              <w:t xml:space="preserve"> </w:t>
            </w:r>
            <w:r>
              <w:rPr>
                <w:rFonts w:ascii="宋体" w:hAnsi="宋体" w:eastAsia="宋体" w:cs="宋体"/>
                <w:spacing w:val="9"/>
                <w:sz w:val="17"/>
                <w:szCs w:val="17"/>
              </w:rPr>
              <w:t>噪声频谱分析</w:t>
            </w:r>
            <w:r>
              <w:rPr>
                <w:rFonts w:ascii="宋体" w:hAnsi="宋体" w:eastAsia="宋体" w:cs="宋体"/>
                <w:spacing w:val="8"/>
                <w:sz w:val="17"/>
                <w:szCs w:val="17"/>
              </w:rPr>
              <w:t>仪</w:t>
            </w:r>
          </w:p>
          <w:p>
            <w:pPr>
              <w:spacing w:before="34" w:line="242" w:lineRule="exact"/>
              <w:ind w:left="787"/>
              <w:rPr>
                <w:rFonts w:ascii="宋体" w:hAnsi="宋体" w:eastAsia="宋体" w:cs="宋体"/>
                <w:sz w:val="17"/>
                <w:szCs w:val="17"/>
              </w:rPr>
            </w:pPr>
            <w:r>
              <w:rPr>
                <w:rFonts w:ascii="宋体" w:hAnsi="宋体" w:eastAsia="宋体" w:cs="宋体"/>
                <w:spacing w:val="6"/>
                <w:position w:val="1"/>
                <w:sz w:val="17"/>
                <w:szCs w:val="17"/>
              </w:rPr>
              <w:t>(</w:t>
            </w:r>
            <w:r>
              <w:rPr>
                <w:rFonts w:ascii="Times New Roman" w:hAnsi="Times New Roman" w:eastAsia="Times New Roman" w:cs="Times New Roman"/>
                <w:position w:val="1"/>
                <w:sz w:val="17"/>
                <w:szCs w:val="17"/>
              </w:rPr>
              <w:t>HFX</w:t>
            </w:r>
            <w:r>
              <w:rPr>
                <w:rFonts w:ascii="Times New Roman" w:hAnsi="Times New Roman" w:eastAsia="Times New Roman" w:cs="Times New Roman"/>
                <w:spacing w:val="4"/>
                <w:position w:val="1"/>
                <w:sz w:val="17"/>
                <w:szCs w:val="17"/>
              </w:rPr>
              <w:t>- 193/ 197</w:t>
            </w:r>
            <w:r>
              <w:rPr>
                <w:rFonts w:ascii="宋体" w:hAnsi="宋体" w:eastAsia="宋体" w:cs="宋体"/>
                <w:spacing w:val="4"/>
                <w:position w:val="1"/>
                <w:sz w:val="17"/>
                <w:szCs w:val="17"/>
              </w:rPr>
              <w:t>)</w:t>
            </w:r>
          </w:p>
        </w:tc>
        <w:tc>
          <w:tcPr>
            <w:tcW w:w="1283" w:type="dxa"/>
            <w:vAlign w:val="top"/>
          </w:tcPr>
          <w:p>
            <w:pPr>
              <w:spacing w:before="240" w:line="242" w:lineRule="exact"/>
              <w:ind w:left="326"/>
              <w:rPr>
                <w:rFonts w:ascii="Times New Roman" w:hAnsi="Times New Roman" w:eastAsia="Times New Roman" w:cs="Times New Roman"/>
                <w:sz w:val="17"/>
                <w:szCs w:val="17"/>
              </w:rPr>
            </w:pPr>
            <w:r>
              <w:rPr>
                <w:rFonts w:ascii="Times New Roman" w:hAnsi="Times New Roman" w:eastAsia="Times New Roman" w:cs="Times New Roman"/>
                <w:spacing w:val="8"/>
                <w:position w:val="3"/>
                <w:sz w:val="17"/>
                <w:szCs w:val="17"/>
              </w:rPr>
              <w:t>3</w:t>
            </w:r>
            <w:r>
              <w:rPr>
                <w:rFonts w:ascii="Times New Roman" w:hAnsi="Times New Roman" w:eastAsia="Times New Roman" w:cs="Times New Roman"/>
                <w:spacing w:val="6"/>
                <w:position w:val="3"/>
                <w:sz w:val="17"/>
                <w:szCs w:val="17"/>
              </w:rPr>
              <w:t>0</w:t>
            </w:r>
            <w:r>
              <w:rPr>
                <w:rFonts w:ascii="Times New Roman" w:hAnsi="Times New Roman" w:eastAsia="Times New Roman" w:cs="Times New Roman"/>
                <w:position w:val="3"/>
                <w:sz w:val="17"/>
                <w:szCs w:val="17"/>
              </w:rPr>
              <w:t>dB</w:t>
            </w:r>
            <w:r>
              <w:rPr>
                <w:rFonts w:ascii="Times New Roman" w:hAnsi="Times New Roman" w:eastAsia="Times New Roman" w:cs="Times New Roman"/>
                <w:spacing w:val="6"/>
                <w:position w:val="3"/>
                <w:sz w:val="17"/>
                <w:szCs w:val="17"/>
              </w:rPr>
              <w:t>(</w:t>
            </w:r>
            <w:r>
              <w:rPr>
                <w:rFonts w:ascii="Times New Roman" w:hAnsi="Times New Roman" w:eastAsia="Times New Roman" w:cs="Times New Roman"/>
                <w:position w:val="3"/>
                <w:sz w:val="17"/>
                <w:szCs w:val="17"/>
              </w:rPr>
              <w:t>A</w:t>
            </w:r>
            <w:r>
              <w:rPr>
                <w:rFonts w:ascii="Times New Roman" w:hAnsi="Times New Roman" w:eastAsia="Times New Roman" w:cs="Times New Roman"/>
                <w:spacing w:val="6"/>
                <w:position w:val="3"/>
                <w:sz w:val="17"/>
                <w:szCs w:val="17"/>
              </w:rPr>
              <w:t>)</w:t>
            </w:r>
          </w:p>
        </w:tc>
      </w:tr>
    </w:tbl>
    <w:p>
      <w:pPr>
        <w:rPr>
          <w:rFonts w:ascii="Arial"/>
          <w:sz w:val="21"/>
        </w:rPr>
      </w:pPr>
    </w:p>
    <w:p>
      <w:pPr>
        <w:sectPr>
          <w:footerReference r:id="rId118" w:type="default"/>
          <w:pgSz w:w="11906" w:h="16839"/>
          <w:pgMar w:top="400" w:right="1585" w:bottom="1027" w:left="1539" w:header="0" w:footer="840" w:gutter="0"/>
          <w:cols w:space="720" w:num="1"/>
        </w:sect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71" w:line="225" w:lineRule="auto"/>
        <w:ind w:left="110"/>
        <w:outlineLvl w:val="3"/>
        <w:rPr>
          <w:rFonts w:ascii="黑体" w:hAnsi="黑体" w:eastAsia="黑体" w:cs="黑体"/>
          <w:sz w:val="22"/>
          <w:szCs w:val="22"/>
        </w:rPr>
      </w:pPr>
      <w:r>
        <w:rPr>
          <w:rFonts w:ascii="Times New Roman" w:hAnsi="Times New Roman" w:eastAsia="Times New Roman" w:cs="Times New Roman"/>
          <w:spacing w:val="-8"/>
          <w:sz w:val="22"/>
          <w:szCs w:val="22"/>
        </w:rPr>
        <w:t>3.</w:t>
      </w:r>
      <w:r>
        <w:rPr>
          <w:rFonts w:ascii="Times New Roman" w:hAnsi="Times New Roman" w:eastAsia="Times New Roman" w:cs="Times New Roman"/>
          <w:spacing w:val="-4"/>
          <w:sz w:val="22"/>
          <w:szCs w:val="22"/>
        </w:rPr>
        <w:t xml:space="preserve"> 1.5    </w:t>
      </w:r>
      <w:r>
        <w:rPr>
          <w:rFonts w:ascii="黑体" w:hAnsi="黑体" w:eastAsia="黑体" w:cs="黑体"/>
          <w:spacing w:val="-4"/>
          <w:sz w:val="22"/>
          <w:szCs w:val="22"/>
        </w:rPr>
        <w:t>监测结果</w:t>
      </w:r>
    </w:p>
    <w:p>
      <w:pPr>
        <w:spacing w:before="148" w:line="227" w:lineRule="auto"/>
        <w:ind w:left="585"/>
        <w:rPr>
          <w:rFonts w:ascii="宋体" w:hAnsi="宋体" w:eastAsia="宋体" w:cs="宋体"/>
          <w:sz w:val="20"/>
          <w:szCs w:val="20"/>
        </w:rPr>
      </w:pPr>
      <w:r>
        <w:rPr>
          <w:rFonts w:ascii="宋体" w:hAnsi="宋体" w:eastAsia="宋体" w:cs="宋体"/>
          <w:spacing w:val="12"/>
          <w:sz w:val="20"/>
          <w:szCs w:val="20"/>
        </w:rPr>
        <w:t>项</w:t>
      </w:r>
      <w:r>
        <w:rPr>
          <w:rFonts w:ascii="宋体" w:hAnsi="宋体" w:eastAsia="宋体" w:cs="宋体"/>
          <w:spacing w:val="9"/>
          <w:sz w:val="20"/>
          <w:szCs w:val="20"/>
        </w:rPr>
        <w:t>目拟建地和附近居民楼声环境质量现状监测结果如下表。</w:t>
      </w:r>
    </w:p>
    <w:p>
      <w:pPr>
        <w:spacing w:before="101" w:line="228" w:lineRule="auto"/>
        <w:ind w:left="2334"/>
        <w:rPr>
          <w:rFonts w:ascii="黑体" w:hAnsi="黑体" w:eastAsia="黑体" w:cs="黑体"/>
          <w:sz w:val="19"/>
          <w:szCs w:val="19"/>
        </w:rPr>
      </w:pPr>
      <w:r>
        <w:rPr>
          <w:rFonts w:ascii="黑体" w:hAnsi="黑体" w:eastAsia="黑体" w:cs="黑体"/>
          <w:spacing w:val="8"/>
          <w:sz w:val="19"/>
          <w:szCs w:val="19"/>
        </w:rPr>
        <w:t>表</w:t>
      </w:r>
      <w:r>
        <w:rPr>
          <w:rFonts w:ascii="Times New Roman" w:hAnsi="Times New Roman" w:eastAsia="Times New Roman" w:cs="Times New Roman"/>
          <w:spacing w:val="8"/>
          <w:sz w:val="19"/>
          <w:szCs w:val="19"/>
        </w:rPr>
        <w:t xml:space="preserve">10    </w:t>
      </w:r>
      <w:r>
        <w:rPr>
          <w:rFonts w:ascii="黑体" w:hAnsi="黑体" w:eastAsia="黑体" w:cs="黑体"/>
          <w:spacing w:val="8"/>
          <w:sz w:val="19"/>
          <w:szCs w:val="19"/>
        </w:rPr>
        <w:t>拟建桥梁附近居民楼处噪声监测结果一览表</w:t>
      </w:r>
    </w:p>
    <w:tbl>
      <w:tblPr>
        <w:tblStyle w:val="4"/>
        <w:tblW w:w="90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8"/>
        <w:gridCol w:w="3654"/>
        <w:gridCol w:w="2574"/>
        <w:gridCol w:w="16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98" w:type="dxa"/>
            <w:vAlign w:val="top"/>
          </w:tcPr>
          <w:p>
            <w:pPr>
              <w:spacing w:before="103" w:line="230" w:lineRule="auto"/>
              <w:ind w:left="242"/>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检测日</w:t>
            </w:r>
            <w:r>
              <w:rPr>
                <w:rFonts w:ascii="宋体" w:hAnsi="宋体" w:eastAsia="宋体" w:cs="宋体"/>
                <w:spacing w:val="8"/>
                <w:sz w:val="17"/>
                <w:szCs w:val="17"/>
                <w14:textOutline w14:w="3268" w14:cap="sq" w14:cmpd="sng">
                  <w14:solidFill>
                    <w14:srgbClr w14:val="000000"/>
                  </w14:solidFill>
                  <w14:prstDash w14:val="solid"/>
                  <w14:bevel/>
                </w14:textOutline>
              </w:rPr>
              <w:t>期</w:t>
            </w:r>
          </w:p>
        </w:tc>
        <w:tc>
          <w:tcPr>
            <w:tcW w:w="3654" w:type="dxa"/>
            <w:vAlign w:val="top"/>
          </w:tcPr>
          <w:p>
            <w:pPr>
              <w:spacing w:before="103" w:line="230" w:lineRule="auto"/>
              <w:ind w:left="1108"/>
              <w:rPr>
                <w:rFonts w:ascii="宋体" w:hAnsi="宋体" w:eastAsia="宋体" w:cs="宋体"/>
                <w:sz w:val="17"/>
                <w:szCs w:val="17"/>
              </w:rPr>
            </w:pPr>
            <w:r>
              <w:rPr>
                <w:rFonts w:ascii="宋体" w:hAnsi="宋体" w:eastAsia="宋体" w:cs="宋体"/>
                <w:spacing w:val="14"/>
                <w:sz w:val="17"/>
                <w:szCs w:val="17"/>
                <w14:textOutline w14:w="3268" w14:cap="sq" w14:cmpd="sng">
                  <w14:solidFill>
                    <w14:srgbClr w14:val="000000"/>
                  </w14:solidFill>
                  <w14:prstDash w14:val="solid"/>
                  <w14:bevel/>
                </w14:textOutline>
              </w:rPr>
              <w:t>检</w:t>
            </w:r>
            <w:r>
              <w:rPr>
                <w:rFonts w:ascii="宋体" w:hAnsi="宋体" w:eastAsia="宋体" w:cs="宋体"/>
                <w:spacing w:val="9"/>
                <w:sz w:val="17"/>
                <w:szCs w:val="17"/>
                <w14:textOutline w14:w="3268" w14:cap="sq" w14:cmpd="sng">
                  <w14:solidFill>
                    <w14:srgbClr w14:val="000000"/>
                  </w14:solidFill>
                  <w14:prstDash w14:val="solid"/>
                  <w14:bevel/>
                </w14:textOutline>
              </w:rPr>
              <w:t>测点编号及位置</w:t>
            </w:r>
          </w:p>
        </w:tc>
        <w:tc>
          <w:tcPr>
            <w:tcW w:w="2574" w:type="dxa"/>
            <w:vAlign w:val="top"/>
          </w:tcPr>
          <w:p>
            <w:pPr>
              <w:spacing w:before="103" w:line="230" w:lineRule="auto"/>
              <w:ind w:left="931"/>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检测时</w:t>
            </w:r>
            <w:r>
              <w:rPr>
                <w:rFonts w:ascii="宋体" w:hAnsi="宋体" w:eastAsia="宋体" w:cs="宋体"/>
                <w:spacing w:val="8"/>
                <w:sz w:val="17"/>
                <w:szCs w:val="17"/>
                <w14:textOutline w14:w="3268" w14:cap="sq" w14:cmpd="sng">
                  <w14:solidFill>
                    <w14:srgbClr w14:val="000000"/>
                  </w14:solidFill>
                  <w14:prstDash w14:val="solid"/>
                  <w14:bevel/>
                </w14:textOutline>
              </w:rPr>
              <w:t>段</w:t>
            </w:r>
          </w:p>
        </w:tc>
        <w:tc>
          <w:tcPr>
            <w:tcW w:w="1613" w:type="dxa"/>
            <w:vAlign w:val="top"/>
          </w:tcPr>
          <w:p>
            <w:pPr>
              <w:spacing w:before="65" w:line="249" w:lineRule="exact"/>
              <w:ind w:left="71"/>
              <w:rPr>
                <w:rFonts w:ascii="宋体" w:hAnsi="宋体" w:eastAsia="宋体" w:cs="宋体"/>
                <w:sz w:val="17"/>
                <w:szCs w:val="17"/>
              </w:rPr>
            </w:pPr>
            <w:r>
              <w:rPr>
                <w:rFonts w:ascii="宋体" w:hAnsi="宋体" w:eastAsia="宋体" w:cs="宋体"/>
                <w:spacing w:val="3"/>
                <w:position w:val="1"/>
                <w:sz w:val="17"/>
                <w:szCs w:val="17"/>
                <w14:textOutline w14:w="3268" w14:cap="sq" w14:cmpd="sng">
                  <w14:solidFill>
                    <w14:srgbClr w14:val="000000"/>
                  </w14:solidFill>
                  <w14:prstDash w14:val="solid"/>
                  <w14:bevel/>
                </w14:textOutline>
              </w:rPr>
              <w:t>检测结果</w:t>
            </w:r>
            <w:r>
              <w:rPr>
                <w:rFonts w:ascii="宋体" w:hAnsi="宋体" w:eastAsia="宋体" w:cs="宋体"/>
                <w:spacing w:val="3"/>
                <w:position w:val="1"/>
                <w:sz w:val="17"/>
                <w:szCs w:val="17"/>
              </w:rPr>
              <w:t xml:space="preserve"> </w:t>
            </w:r>
            <w:r>
              <w:rPr>
                <w:rFonts w:ascii="Times New Roman" w:hAnsi="Times New Roman" w:eastAsia="Times New Roman" w:cs="Times New Roman"/>
                <w:b/>
                <w:bCs/>
                <w:position w:val="1"/>
                <w:sz w:val="17"/>
                <w:szCs w:val="17"/>
              </w:rPr>
              <w:t>dB</w:t>
            </w:r>
            <w:r>
              <w:rPr>
                <w:rFonts w:ascii="Times New Roman" w:hAnsi="Times New Roman" w:eastAsia="Times New Roman" w:cs="Times New Roman"/>
                <w:spacing w:val="3"/>
                <w:position w:val="1"/>
                <w:sz w:val="17"/>
                <w:szCs w:val="17"/>
              </w:rPr>
              <w:t xml:space="preserve">  </w:t>
            </w:r>
            <w:r>
              <w:rPr>
                <w:rFonts w:ascii="宋体" w:hAnsi="宋体" w:eastAsia="宋体" w:cs="宋体"/>
                <w:spacing w:val="3"/>
                <w:position w:val="1"/>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position w:val="1"/>
                <w:sz w:val="17"/>
                <w:szCs w:val="17"/>
              </w:rPr>
              <w:t>A</w:t>
            </w:r>
            <w:r>
              <w:rPr>
                <w:rFonts w:ascii="宋体" w:hAnsi="宋体" w:eastAsia="宋体" w:cs="宋体"/>
                <w:spacing w:val="2"/>
                <w:position w:val="1"/>
                <w:sz w:val="17"/>
                <w:szCs w:val="17"/>
                <w14:textOutline w14:w="3268"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1198"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49"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4"/>
                <w:sz w:val="17"/>
                <w:szCs w:val="17"/>
              </w:rPr>
              <w:t>023.03.30</w:t>
            </w:r>
          </w:p>
        </w:tc>
        <w:tc>
          <w:tcPr>
            <w:tcW w:w="3654" w:type="dxa"/>
            <w:vMerge w:val="restart"/>
            <w:tcBorders>
              <w:bottom w:val="nil"/>
            </w:tcBorders>
            <w:vAlign w:val="top"/>
          </w:tcPr>
          <w:p>
            <w:pPr>
              <w:spacing w:before="98" w:line="320" w:lineRule="auto"/>
              <w:ind w:left="1263" w:right="90" w:hanging="1177"/>
              <w:rPr>
                <w:rFonts w:ascii="Times New Roman" w:hAnsi="Times New Roman" w:eastAsia="Times New Roman" w:cs="Times New Roman"/>
                <w:sz w:val="17"/>
                <w:szCs w:val="17"/>
              </w:rPr>
            </w:pPr>
            <w:r>
              <w:rPr>
                <w:rFonts w:ascii="Times New Roman" w:hAnsi="Times New Roman" w:eastAsia="Times New Roman" w:cs="Times New Roman"/>
                <w:sz w:val="17"/>
                <w:szCs w:val="17"/>
              </w:rPr>
              <w:t>N</w:t>
            </w:r>
            <w:r>
              <w:rPr>
                <w:rFonts w:ascii="Times New Roman" w:hAnsi="Times New Roman" w:eastAsia="Times New Roman" w:cs="Times New Roman"/>
                <w:spacing w:val="1"/>
                <w:sz w:val="17"/>
                <w:szCs w:val="17"/>
              </w:rPr>
              <w:t xml:space="preserve">3- 1# </w:t>
            </w:r>
            <w:r>
              <w:rPr>
                <w:rFonts w:ascii="宋体" w:hAnsi="宋体" w:eastAsia="宋体" w:cs="宋体"/>
                <w:spacing w:val="1"/>
                <w:sz w:val="17"/>
                <w:szCs w:val="17"/>
              </w:rPr>
              <w:t>，</w:t>
            </w:r>
            <w:r>
              <w:rPr>
                <w:rFonts w:ascii="Times New Roman" w:hAnsi="Times New Roman" w:eastAsia="Times New Roman" w:cs="Times New Roman"/>
                <w:spacing w:val="1"/>
                <w:sz w:val="17"/>
                <w:szCs w:val="17"/>
              </w:rPr>
              <w:t>“</w:t>
            </w:r>
            <w:r>
              <w:rPr>
                <w:rFonts w:ascii="宋体" w:hAnsi="宋体" w:eastAsia="宋体" w:cs="宋体"/>
                <w:spacing w:val="1"/>
                <w:sz w:val="17"/>
                <w:szCs w:val="17"/>
              </w:rPr>
              <w:t>宏义</w:t>
            </w:r>
            <w:r>
              <w:rPr>
                <w:rFonts w:ascii="Times New Roman" w:hAnsi="Times New Roman" w:eastAsia="Times New Roman" w:cs="Times New Roman"/>
                <w:spacing w:val="1"/>
                <w:sz w:val="17"/>
                <w:szCs w:val="17"/>
              </w:rPr>
              <w:t>·</w:t>
            </w:r>
            <w:r>
              <w:rPr>
                <w:rFonts w:ascii="宋体" w:hAnsi="宋体" w:eastAsia="宋体" w:cs="宋体"/>
                <w:spacing w:val="1"/>
                <w:sz w:val="17"/>
                <w:szCs w:val="17"/>
              </w:rPr>
              <w:t>江湾城</w:t>
            </w:r>
            <w:r>
              <w:rPr>
                <w:rFonts w:ascii="Times New Roman" w:hAnsi="Times New Roman" w:eastAsia="Times New Roman" w:cs="Times New Roman"/>
                <w:spacing w:val="1"/>
                <w:sz w:val="17"/>
                <w:szCs w:val="17"/>
              </w:rPr>
              <w:t>”</w:t>
            </w:r>
            <w:r>
              <w:rPr>
                <w:rFonts w:ascii="宋体" w:hAnsi="宋体" w:eastAsia="宋体" w:cs="宋体"/>
                <w:spacing w:val="1"/>
                <w:sz w:val="17"/>
                <w:szCs w:val="17"/>
              </w:rPr>
              <w:t xml:space="preserve">小区 </w:t>
            </w:r>
            <w:r>
              <w:rPr>
                <w:rFonts w:ascii="Times New Roman" w:hAnsi="Times New Roman" w:eastAsia="Times New Roman" w:cs="Times New Roman"/>
                <w:spacing w:val="1"/>
                <w:sz w:val="17"/>
                <w:szCs w:val="17"/>
              </w:rPr>
              <w:t xml:space="preserve">5 </w:t>
            </w:r>
            <w:r>
              <w:rPr>
                <w:rFonts w:ascii="宋体" w:hAnsi="宋体" w:eastAsia="宋体" w:cs="宋体"/>
                <w:spacing w:val="1"/>
                <w:sz w:val="17"/>
                <w:szCs w:val="17"/>
              </w:rPr>
              <w:t xml:space="preserve">期 </w:t>
            </w:r>
            <w:r>
              <w:rPr>
                <w:rFonts w:ascii="Times New Roman" w:hAnsi="Times New Roman" w:eastAsia="Times New Roman" w:cs="Times New Roman"/>
                <w:spacing w:val="1"/>
                <w:sz w:val="17"/>
                <w:szCs w:val="17"/>
              </w:rPr>
              <w:t xml:space="preserve">15 </w:t>
            </w:r>
            <w:r>
              <w:rPr>
                <w:rFonts w:ascii="宋体" w:hAnsi="宋体" w:eastAsia="宋体" w:cs="宋体"/>
                <w:sz w:val="17"/>
                <w:szCs w:val="17"/>
              </w:rPr>
              <w:t xml:space="preserve">号楼临拟 </w:t>
            </w:r>
            <w:r>
              <w:rPr>
                <w:rFonts w:ascii="宋体" w:hAnsi="宋体" w:eastAsia="宋体" w:cs="宋体"/>
                <w:spacing w:val="2"/>
                <w:sz w:val="17"/>
                <w:szCs w:val="17"/>
              </w:rPr>
              <w:t xml:space="preserve">建桥梁一侧 </w:t>
            </w:r>
            <w:r>
              <w:rPr>
                <w:rFonts w:ascii="Times New Roman" w:hAnsi="Times New Roman" w:eastAsia="Times New Roman" w:cs="Times New Roman"/>
                <w:spacing w:val="1"/>
                <w:sz w:val="17"/>
                <w:szCs w:val="17"/>
              </w:rPr>
              <w:t>1</w:t>
            </w:r>
            <w:r>
              <w:rPr>
                <w:rFonts w:ascii="Times New Roman" w:hAnsi="Times New Roman" w:eastAsia="Times New Roman" w:cs="Times New Roman"/>
                <w:sz w:val="17"/>
                <w:szCs w:val="17"/>
              </w:rPr>
              <w:t>F</w:t>
            </w:r>
          </w:p>
        </w:tc>
        <w:tc>
          <w:tcPr>
            <w:tcW w:w="2574" w:type="dxa"/>
            <w:vAlign w:val="top"/>
          </w:tcPr>
          <w:p>
            <w:pPr>
              <w:spacing w:before="78" w:line="195" w:lineRule="auto"/>
              <w:ind w:left="78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3"/>
                <w:sz w:val="20"/>
                <w:szCs w:val="20"/>
              </w:rPr>
              <w:t>1:26~ 11:46</w:t>
            </w:r>
          </w:p>
        </w:tc>
        <w:tc>
          <w:tcPr>
            <w:tcW w:w="1613" w:type="dxa"/>
            <w:vAlign w:val="top"/>
          </w:tcPr>
          <w:p>
            <w:pPr>
              <w:spacing w:before="78" w:line="195" w:lineRule="auto"/>
              <w:ind w:left="708"/>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1198" w:type="dxa"/>
            <w:vMerge w:val="continue"/>
            <w:tcBorders>
              <w:top w:val="nil"/>
              <w:bottom w:val="nil"/>
            </w:tcBorders>
            <w:vAlign w:val="top"/>
          </w:tcPr>
          <w:p>
            <w:pPr>
              <w:rPr>
                <w:rFonts w:ascii="Arial"/>
                <w:sz w:val="21"/>
              </w:rPr>
            </w:pPr>
          </w:p>
        </w:tc>
        <w:tc>
          <w:tcPr>
            <w:tcW w:w="3654" w:type="dxa"/>
            <w:vMerge w:val="continue"/>
            <w:tcBorders>
              <w:top w:val="nil"/>
            </w:tcBorders>
            <w:vAlign w:val="top"/>
          </w:tcPr>
          <w:p>
            <w:pPr>
              <w:rPr>
                <w:rFonts w:ascii="Arial"/>
                <w:sz w:val="21"/>
              </w:rPr>
            </w:pPr>
          </w:p>
        </w:tc>
        <w:tc>
          <w:tcPr>
            <w:tcW w:w="2574" w:type="dxa"/>
            <w:vAlign w:val="top"/>
          </w:tcPr>
          <w:p>
            <w:pPr>
              <w:spacing w:before="128" w:line="195" w:lineRule="auto"/>
              <w:ind w:left="75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4"/>
                <w:sz w:val="20"/>
                <w:szCs w:val="20"/>
              </w:rPr>
              <w:t>2:33~22:53</w:t>
            </w:r>
          </w:p>
        </w:tc>
        <w:tc>
          <w:tcPr>
            <w:tcW w:w="1613" w:type="dxa"/>
            <w:vAlign w:val="top"/>
          </w:tcPr>
          <w:p>
            <w:pPr>
              <w:spacing w:before="128" w:line="195" w:lineRule="auto"/>
              <w:ind w:left="7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98" w:type="dxa"/>
            <w:vMerge w:val="continue"/>
            <w:tcBorders>
              <w:top w:val="nil"/>
              <w:bottom w:val="nil"/>
            </w:tcBorders>
            <w:vAlign w:val="top"/>
          </w:tcPr>
          <w:p>
            <w:pPr>
              <w:rPr>
                <w:rFonts w:ascii="Arial"/>
                <w:sz w:val="21"/>
              </w:rPr>
            </w:pPr>
          </w:p>
        </w:tc>
        <w:tc>
          <w:tcPr>
            <w:tcW w:w="3654" w:type="dxa"/>
            <w:vMerge w:val="restart"/>
            <w:tcBorders>
              <w:bottom w:val="nil"/>
            </w:tcBorders>
            <w:vAlign w:val="top"/>
          </w:tcPr>
          <w:p>
            <w:pPr>
              <w:spacing w:before="133" w:line="320" w:lineRule="auto"/>
              <w:ind w:left="1263" w:right="90" w:hanging="1177"/>
              <w:rPr>
                <w:rFonts w:ascii="Times New Roman" w:hAnsi="Times New Roman" w:eastAsia="Times New Roman" w:cs="Times New Roman"/>
                <w:sz w:val="17"/>
                <w:szCs w:val="17"/>
              </w:rPr>
            </w:pPr>
            <w:r>
              <w:rPr>
                <w:rFonts w:ascii="Times New Roman" w:hAnsi="Times New Roman" w:eastAsia="Times New Roman" w:cs="Times New Roman"/>
                <w:sz w:val="17"/>
                <w:szCs w:val="17"/>
              </w:rPr>
              <w:t>N</w:t>
            </w:r>
            <w:r>
              <w:rPr>
                <w:rFonts w:ascii="Times New Roman" w:hAnsi="Times New Roman" w:eastAsia="Times New Roman" w:cs="Times New Roman"/>
                <w:spacing w:val="4"/>
                <w:sz w:val="17"/>
                <w:szCs w:val="17"/>
              </w:rPr>
              <w:t xml:space="preserve">3-2# </w:t>
            </w:r>
            <w:r>
              <w:rPr>
                <w:rFonts w:ascii="宋体" w:hAnsi="宋体" w:eastAsia="宋体" w:cs="宋体"/>
                <w:spacing w:val="4"/>
                <w:sz w:val="17"/>
                <w:szCs w:val="17"/>
              </w:rPr>
              <w:t>，</w:t>
            </w:r>
            <w:r>
              <w:rPr>
                <w:rFonts w:ascii="Times New Roman" w:hAnsi="Times New Roman" w:eastAsia="Times New Roman" w:cs="Times New Roman"/>
                <w:spacing w:val="2"/>
                <w:sz w:val="17"/>
                <w:szCs w:val="17"/>
              </w:rPr>
              <w:t>“</w:t>
            </w:r>
            <w:r>
              <w:rPr>
                <w:rFonts w:ascii="宋体" w:hAnsi="宋体" w:eastAsia="宋体" w:cs="宋体"/>
                <w:spacing w:val="2"/>
                <w:sz w:val="17"/>
                <w:szCs w:val="17"/>
              </w:rPr>
              <w:t>宏义</w:t>
            </w:r>
            <w:r>
              <w:rPr>
                <w:rFonts w:ascii="Times New Roman" w:hAnsi="Times New Roman" w:eastAsia="Times New Roman" w:cs="Times New Roman"/>
                <w:spacing w:val="2"/>
                <w:sz w:val="17"/>
                <w:szCs w:val="17"/>
              </w:rPr>
              <w:t>·</w:t>
            </w:r>
            <w:r>
              <w:rPr>
                <w:rFonts w:ascii="宋体" w:hAnsi="宋体" w:eastAsia="宋体" w:cs="宋体"/>
                <w:spacing w:val="2"/>
                <w:sz w:val="17"/>
                <w:szCs w:val="17"/>
              </w:rPr>
              <w:t>江湾城</w:t>
            </w:r>
            <w:r>
              <w:rPr>
                <w:rFonts w:ascii="Times New Roman" w:hAnsi="Times New Roman" w:eastAsia="Times New Roman" w:cs="Times New Roman"/>
                <w:spacing w:val="2"/>
                <w:sz w:val="17"/>
                <w:szCs w:val="17"/>
              </w:rPr>
              <w:t>”</w:t>
            </w:r>
            <w:r>
              <w:rPr>
                <w:rFonts w:ascii="宋体" w:hAnsi="宋体" w:eastAsia="宋体" w:cs="宋体"/>
                <w:spacing w:val="2"/>
                <w:sz w:val="17"/>
                <w:szCs w:val="17"/>
              </w:rPr>
              <w:t xml:space="preserve">小区 </w:t>
            </w:r>
            <w:r>
              <w:rPr>
                <w:rFonts w:ascii="Times New Roman" w:hAnsi="Times New Roman" w:eastAsia="Times New Roman" w:cs="Times New Roman"/>
                <w:spacing w:val="2"/>
                <w:sz w:val="17"/>
                <w:szCs w:val="17"/>
              </w:rPr>
              <w:t xml:space="preserve">5 </w:t>
            </w:r>
            <w:r>
              <w:rPr>
                <w:rFonts w:ascii="宋体" w:hAnsi="宋体" w:eastAsia="宋体" w:cs="宋体"/>
                <w:spacing w:val="2"/>
                <w:sz w:val="17"/>
                <w:szCs w:val="17"/>
              </w:rPr>
              <w:t xml:space="preserve">期 </w:t>
            </w:r>
            <w:r>
              <w:rPr>
                <w:rFonts w:ascii="Times New Roman" w:hAnsi="Times New Roman" w:eastAsia="Times New Roman" w:cs="Times New Roman"/>
                <w:spacing w:val="2"/>
                <w:sz w:val="17"/>
                <w:szCs w:val="17"/>
              </w:rPr>
              <w:t xml:space="preserve">15 </w:t>
            </w:r>
            <w:r>
              <w:rPr>
                <w:rFonts w:ascii="宋体" w:hAnsi="宋体" w:eastAsia="宋体" w:cs="宋体"/>
                <w:spacing w:val="2"/>
                <w:sz w:val="17"/>
                <w:szCs w:val="17"/>
              </w:rPr>
              <w:t>号楼临拟</w:t>
            </w:r>
            <w:r>
              <w:rPr>
                <w:rFonts w:ascii="宋体" w:hAnsi="宋体" w:eastAsia="宋体" w:cs="宋体"/>
                <w:sz w:val="17"/>
                <w:szCs w:val="17"/>
              </w:rPr>
              <w:t xml:space="preserve"> </w:t>
            </w:r>
            <w:r>
              <w:rPr>
                <w:rFonts w:ascii="宋体" w:hAnsi="宋体" w:eastAsia="宋体" w:cs="宋体"/>
                <w:spacing w:val="2"/>
                <w:sz w:val="17"/>
                <w:szCs w:val="17"/>
              </w:rPr>
              <w:t xml:space="preserve">建桥梁一侧 </w:t>
            </w:r>
            <w:r>
              <w:rPr>
                <w:rFonts w:ascii="Times New Roman" w:hAnsi="Times New Roman" w:eastAsia="Times New Roman" w:cs="Times New Roman"/>
                <w:spacing w:val="1"/>
                <w:sz w:val="17"/>
                <w:szCs w:val="17"/>
              </w:rPr>
              <w:t>4</w:t>
            </w:r>
            <w:r>
              <w:rPr>
                <w:rFonts w:ascii="Times New Roman" w:hAnsi="Times New Roman" w:eastAsia="Times New Roman" w:cs="Times New Roman"/>
                <w:sz w:val="17"/>
                <w:szCs w:val="17"/>
              </w:rPr>
              <w:t>F</w:t>
            </w:r>
          </w:p>
        </w:tc>
        <w:tc>
          <w:tcPr>
            <w:tcW w:w="2574" w:type="dxa"/>
            <w:vAlign w:val="top"/>
          </w:tcPr>
          <w:p>
            <w:pPr>
              <w:spacing w:before="149" w:line="197" w:lineRule="auto"/>
              <w:ind w:left="84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1:30~ 11:50</w:t>
            </w:r>
          </w:p>
        </w:tc>
        <w:tc>
          <w:tcPr>
            <w:tcW w:w="1613" w:type="dxa"/>
            <w:vAlign w:val="top"/>
          </w:tcPr>
          <w:p>
            <w:pPr>
              <w:spacing w:before="149" w:line="197" w:lineRule="auto"/>
              <w:ind w:left="72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198" w:type="dxa"/>
            <w:vMerge w:val="continue"/>
            <w:tcBorders>
              <w:top w:val="nil"/>
              <w:bottom w:val="nil"/>
            </w:tcBorders>
            <w:vAlign w:val="top"/>
          </w:tcPr>
          <w:p>
            <w:pPr>
              <w:rPr>
                <w:rFonts w:ascii="Arial"/>
                <w:sz w:val="21"/>
              </w:rPr>
            </w:pPr>
          </w:p>
        </w:tc>
        <w:tc>
          <w:tcPr>
            <w:tcW w:w="3654" w:type="dxa"/>
            <w:vMerge w:val="continue"/>
            <w:tcBorders>
              <w:top w:val="nil"/>
            </w:tcBorders>
            <w:vAlign w:val="top"/>
          </w:tcPr>
          <w:p>
            <w:pPr>
              <w:rPr>
                <w:rFonts w:ascii="Arial"/>
                <w:sz w:val="21"/>
              </w:rPr>
            </w:pPr>
          </w:p>
        </w:tc>
        <w:tc>
          <w:tcPr>
            <w:tcW w:w="2574" w:type="dxa"/>
            <w:vAlign w:val="top"/>
          </w:tcPr>
          <w:p>
            <w:pPr>
              <w:spacing w:before="149" w:line="197" w:lineRule="auto"/>
              <w:ind w:left="830"/>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2:36~22:56</w:t>
            </w:r>
          </w:p>
        </w:tc>
        <w:tc>
          <w:tcPr>
            <w:tcW w:w="1613" w:type="dxa"/>
            <w:vAlign w:val="top"/>
          </w:tcPr>
          <w:p>
            <w:pPr>
              <w:spacing w:before="149" w:line="197" w:lineRule="auto"/>
              <w:ind w:left="71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98" w:type="dxa"/>
            <w:vMerge w:val="continue"/>
            <w:tcBorders>
              <w:top w:val="nil"/>
              <w:bottom w:val="nil"/>
            </w:tcBorders>
            <w:vAlign w:val="top"/>
          </w:tcPr>
          <w:p>
            <w:pPr>
              <w:rPr>
                <w:rFonts w:ascii="Arial"/>
                <w:sz w:val="21"/>
              </w:rPr>
            </w:pPr>
          </w:p>
        </w:tc>
        <w:tc>
          <w:tcPr>
            <w:tcW w:w="3654" w:type="dxa"/>
            <w:vMerge w:val="restart"/>
            <w:tcBorders>
              <w:bottom w:val="nil"/>
            </w:tcBorders>
            <w:vAlign w:val="top"/>
          </w:tcPr>
          <w:p>
            <w:pPr>
              <w:spacing w:before="135" w:line="320" w:lineRule="auto"/>
              <w:ind w:left="1263" w:right="90" w:hanging="1177"/>
              <w:rPr>
                <w:rFonts w:ascii="Times New Roman" w:hAnsi="Times New Roman" w:eastAsia="Times New Roman" w:cs="Times New Roman"/>
                <w:sz w:val="17"/>
                <w:szCs w:val="17"/>
              </w:rPr>
            </w:pPr>
            <w:r>
              <w:rPr>
                <w:rFonts w:ascii="Times New Roman" w:hAnsi="Times New Roman" w:eastAsia="Times New Roman" w:cs="Times New Roman"/>
                <w:sz w:val="17"/>
                <w:szCs w:val="17"/>
              </w:rPr>
              <w:t>N</w:t>
            </w:r>
            <w:r>
              <w:rPr>
                <w:rFonts w:ascii="Times New Roman" w:hAnsi="Times New Roman" w:eastAsia="Times New Roman" w:cs="Times New Roman"/>
                <w:spacing w:val="4"/>
                <w:sz w:val="17"/>
                <w:szCs w:val="17"/>
              </w:rPr>
              <w:t xml:space="preserve">3-3# </w:t>
            </w:r>
            <w:r>
              <w:rPr>
                <w:rFonts w:ascii="宋体" w:hAnsi="宋体" w:eastAsia="宋体" w:cs="宋体"/>
                <w:spacing w:val="4"/>
                <w:sz w:val="17"/>
                <w:szCs w:val="17"/>
              </w:rPr>
              <w:t>，</w:t>
            </w:r>
            <w:r>
              <w:rPr>
                <w:rFonts w:ascii="Times New Roman" w:hAnsi="Times New Roman" w:eastAsia="Times New Roman" w:cs="Times New Roman"/>
                <w:spacing w:val="2"/>
                <w:sz w:val="17"/>
                <w:szCs w:val="17"/>
              </w:rPr>
              <w:t>“</w:t>
            </w:r>
            <w:r>
              <w:rPr>
                <w:rFonts w:ascii="宋体" w:hAnsi="宋体" w:eastAsia="宋体" w:cs="宋体"/>
                <w:spacing w:val="2"/>
                <w:sz w:val="17"/>
                <w:szCs w:val="17"/>
              </w:rPr>
              <w:t>宏义</w:t>
            </w:r>
            <w:r>
              <w:rPr>
                <w:rFonts w:ascii="Times New Roman" w:hAnsi="Times New Roman" w:eastAsia="Times New Roman" w:cs="Times New Roman"/>
                <w:spacing w:val="2"/>
                <w:sz w:val="17"/>
                <w:szCs w:val="17"/>
              </w:rPr>
              <w:t>·</w:t>
            </w:r>
            <w:r>
              <w:rPr>
                <w:rFonts w:ascii="宋体" w:hAnsi="宋体" w:eastAsia="宋体" w:cs="宋体"/>
                <w:spacing w:val="2"/>
                <w:sz w:val="17"/>
                <w:szCs w:val="17"/>
              </w:rPr>
              <w:t>江湾城</w:t>
            </w:r>
            <w:r>
              <w:rPr>
                <w:rFonts w:ascii="Times New Roman" w:hAnsi="Times New Roman" w:eastAsia="Times New Roman" w:cs="Times New Roman"/>
                <w:spacing w:val="2"/>
                <w:sz w:val="17"/>
                <w:szCs w:val="17"/>
              </w:rPr>
              <w:t>”</w:t>
            </w:r>
            <w:r>
              <w:rPr>
                <w:rFonts w:ascii="宋体" w:hAnsi="宋体" w:eastAsia="宋体" w:cs="宋体"/>
                <w:spacing w:val="2"/>
                <w:sz w:val="17"/>
                <w:szCs w:val="17"/>
              </w:rPr>
              <w:t xml:space="preserve">小区 </w:t>
            </w:r>
            <w:r>
              <w:rPr>
                <w:rFonts w:ascii="Times New Roman" w:hAnsi="Times New Roman" w:eastAsia="Times New Roman" w:cs="Times New Roman"/>
                <w:spacing w:val="2"/>
                <w:sz w:val="17"/>
                <w:szCs w:val="17"/>
              </w:rPr>
              <w:t xml:space="preserve">5 </w:t>
            </w:r>
            <w:r>
              <w:rPr>
                <w:rFonts w:ascii="宋体" w:hAnsi="宋体" w:eastAsia="宋体" w:cs="宋体"/>
                <w:spacing w:val="2"/>
                <w:sz w:val="17"/>
                <w:szCs w:val="17"/>
              </w:rPr>
              <w:t xml:space="preserve">期 </w:t>
            </w:r>
            <w:r>
              <w:rPr>
                <w:rFonts w:ascii="Times New Roman" w:hAnsi="Times New Roman" w:eastAsia="Times New Roman" w:cs="Times New Roman"/>
                <w:spacing w:val="2"/>
                <w:sz w:val="17"/>
                <w:szCs w:val="17"/>
              </w:rPr>
              <w:t xml:space="preserve">15 </w:t>
            </w:r>
            <w:r>
              <w:rPr>
                <w:rFonts w:ascii="宋体" w:hAnsi="宋体" w:eastAsia="宋体" w:cs="宋体"/>
                <w:spacing w:val="2"/>
                <w:sz w:val="17"/>
                <w:szCs w:val="17"/>
              </w:rPr>
              <w:t>号楼临拟</w:t>
            </w:r>
            <w:r>
              <w:rPr>
                <w:rFonts w:ascii="宋体" w:hAnsi="宋体" w:eastAsia="宋体" w:cs="宋体"/>
                <w:sz w:val="17"/>
                <w:szCs w:val="17"/>
              </w:rPr>
              <w:t xml:space="preserve"> </w:t>
            </w:r>
            <w:r>
              <w:rPr>
                <w:rFonts w:ascii="宋体" w:hAnsi="宋体" w:eastAsia="宋体" w:cs="宋体"/>
                <w:spacing w:val="2"/>
                <w:sz w:val="17"/>
                <w:szCs w:val="17"/>
              </w:rPr>
              <w:t xml:space="preserve">建桥梁一侧 </w:t>
            </w:r>
            <w:r>
              <w:rPr>
                <w:rFonts w:ascii="Times New Roman" w:hAnsi="Times New Roman" w:eastAsia="Times New Roman" w:cs="Times New Roman"/>
                <w:spacing w:val="1"/>
                <w:sz w:val="17"/>
                <w:szCs w:val="17"/>
              </w:rPr>
              <w:t>7</w:t>
            </w:r>
            <w:r>
              <w:rPr>
                <w:rFonts w:ascii="Times New Roman" w:hAnsi="Times New Roman" w:eastAsia="Times New Roman" w:cs="Times New Roman"/>
                <w:sz w:val="17"/>
                <w:szCs w:val="17"/>
              </w:rPr>
              <w:t>F</w:t>
            </w:r>
          </w:p>
        </w:tc>
        <w:tc>
          <w:tcPr>
            <w:tcW w:w="2574" w:type="dxa"/>
            <w:vAlign w:val="top"/>
          </w:tcPr>
          <w:p>
            <w:pPr>
              <w:spacing w:before="151" w:line="197" w:lineRule="auto"/>
              <w:ind w:left="84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1:27~ 11:47</w:t>
            </w:r>
          </w:p>
        </w:tc>
        <w:tc>
          <w:tcPr>
            <w:tcW w:w="1613" w:type="dxa"/>
            <w:vAlign w:val="top"/>
          </w:tcPr>
          <w:p>
            <w:pPr>
              <w:spacing w:before="153" w:line="194" w:lineRule="auto"/>
              <w:ind w:left="72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198" w:type="dxa"/>
            <w:vMerge w:val="continue"/>
            <w:tcBorders>
              <w:top w:val="nil"/>
              <w:bottom w:val="nil"/>
            </w:tcBorders>
            <w:vAlign w:val="top"/>
          </w:tcPr>
          <w:p>
            <w:pPr>
              <w:rPr>
                <w:rFonts w:ascii="Arial"/>
                <w:sz w:val="21"/>
              </w:rPr>
            </w:pPr>
          </w:p>
        </w:tc>
        <w:tc>
          <w:tcPr>
            <w:tcW w:w="3654" w:type="dxa"/>
            <w:vMerge w:val="continue"/>
            <w:tcBorders>
              <w:top w:val="nil"/>
            </w:tcBorders>
            <w:vAlign w:val="top"/>
          </w:tcPr>
          <w:p>
            <w:pPr>
              <w:rPr>
                <w:rFonts w:ascii="Arial"/>
                <w:sz w:val="21"/>
              </w:rPr>
            </w:pPr>
          </w:p>
        </w:tc>
        <w:tc>
          <w:tcPr>
            <w:tcW w:w="2574" w:type="dxa"/>
            <w:vAlign w:val="top"/>
          </w:tcPr>
          <w:p>
            <w:pPr>
              <w:spacing w:before="151" w:line="197" w:lineRule="auto"/>
              <w:ind w:left="830"/>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2:34~22:54</w:t>
            </w:r>
          </w:p>
        </w:tc>
        <w:tc>
          <w:tcPr>
            <w:tcW w:w="1613" w:type="dxa"/>
            <w:vAlign w:val="top"/>
          </w:tcPr>
          <w:p>
            <w:pPr>
              <w:spacing w:before="151" w:line="197" w:lineRule="auto"/>
              <w:ind w:left="71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198" w:type="dxa"/>
            <w:vMerge w:val="continue"/>
            <w:tcBorders>
              <w:top w:val="nil"/>
              <w:bottom w:val="nil"/>
            </w:tcBorders>
            <w:vAlign w:val="top"/>
          </w:tcPr>
          <w:p>
            <w:pPr>
              <w:rPr>
                <w:rFonts w:ascii="Arial"/>
                <w:sz w:val="21"/>
              </w:rPr>
            </w:pPr>
          </w:p>
        </w:tc>
        <w:tc>
          <w:tcPr>
            <w:tcW w:w="3654" w:type="dxa"/>
            <w:vMerge w:val="restart"/>
            <w:tcBorders>
              <w:bottom w:val="nil"/>
            </w:tcBorders>
            <w:vAlign w:val="top"/>
          </w:tcPr>
          <w:p>
            <w:pPr>
              <w:spacing w:before="135" w:line="320" w:lineRule="auto"/>
              <w:ind w:left="1220" w:right="90" w:hanging="1134"/>
              <w:rPr>
                <w:rFonts w:ascii="Times New Roman" w:hAnsi="Times New Roman" w:eastAsia="Times New Roman" w:cs="Times New Roman"/>
                <w:sz w:val="17"/>
                <w:szCs w:val="17"/>
              </w:rPr>
            </w:pPr>
            <w:r>
              <w:rPr>
                <w:rFonts w:ascii="Times New Roman" w:hAnsi="Times New Roman" w:eastAsia="Times New Roman" w:cs="Times New Roman"/>
                <w:sz w:val="17"/>
                <w:szCs w:val="17"/>
              </w:rPr>
              <w:t>N</w:t>
            </w:r>
            <w:r>
              <w:rPr>
                <w:rFonts w:ascii="Times New Roman" w:hAnsi="Times New Roman" w:eastAsia="Times New Roman" w:cs="Times New Roman"/>
                <w:spacing w:val="4"/>
                <w:sz w:val="17"/>
                <w:szCs w:val="17"/>
              </w:rPr>
              <w:t xml:space="preserve">3-4# </w:t>
            </w:r>
            <w:r>
              <w:rPr>
                <w:rFonts w:ascii="宋体" w:hAnsi="宋体" w:eastAsia="宋体" w:cs="宋体"/>
                <w:spacing w:val="4"/>
                <w:sz w:val="17"/>
                <w:szCs w:val="17"/>
              </w:rPr>
              <w:t>，</w:t>
            </w:r>
            <w:r>
              <w:rPr>
                <w:rFonts w:ascii="Times New Roman" w:hAnsi="Times New Roman" w:eastAsia="Times New Roman" w:cs="Times New Roman"/>
                <w:spacing w:val="2"/>
                <w:sz w:val="17"/>
                <w:szCs w:val="17"/>
              </w:rPr>
              <w:t>“</w:t>
            </w:r>
            <w:r>
              <w:rPr>
                <w:rFonts w:ascii="宋体" w:hAnsi="宋体" w:eastAsia="宋体" w:cs="宋体"/>
                <w:spacing w:val="2"/>
                <w:sz w:val="17"/>
                <w:szCs w:val="17"/>
              </w:rPr>
              <w:t>宏义</w:t>
            </w:r>
            <w:r>
              <w:rPr>
                <w:rFonts w:ascii="Times New Roman" w:hAnsi="Times New Roman" w:eastAsia="Times New Roman" w:cs="Times New Roman"/>
                <w:spacing w:val="2"/>
                <w:sz w:val="17"/>
                <w:szCs w:val="17"/>
              </w:rPr>
              <w:t>·</w:t>
            </w:r>
            <w:r>
              <w:rPr>
                <w:rFonts w:ascii="宋体" w:hAnsi="宋体" w:eastAsia="宋体" w:cs="宋体"/>
                <w:spacing w:val="2"/>
                <w:sz w:val="17"/>
                <w:szCs w:val="17"/>
              </w:rPr>
              <w:t>江湾城</w:t>
            </w:r>
            <w:r>
              <w:rPr>
                <w:rFonts w:ascii="Times New Roman" w:hAnsi="Times New Roman" w:eastAsia="Times New Roman" w:cs="Times New Roman"/>
                <w:spacing w:val="2"/>
                <w:sz w:val="17"/>
                <w:szCs w:val="17"/>
              </w:rPr>
              <w:t>”</w:t>
            </w:r>
            <w:r>
              <w:rPr>
                <w:rFonts w:ascii="宋体" w:hAnsi="宋体" w:eastAsia="宋体" w:cs="宋体"/>
                <w:spacing w:val="2"/>
                <w:sz w:val="17"/>
                <w:szCs w:val="17"/>
              </w:rPr>
              <w:t xml:space="preserve">小区 </w:t>
            </w:r>
            <w:r>
              <w:rPr>
                <w:rFonts w:ascii="Times New Roman" w:hAnsi="Times New Roman" w:eastAsia="Times New Roman" w:cs="Times New Roman"/>
                <w:spacing w:val="2"/>
                <w:sz w:val="17"/>
                <w:szCs w:val="17"/>
              </w:rPr>
              <w:t xml:space="preserve">5 </w:t>
            </w:r>
            <w:r>
              <w:rPr>
                <w:rFonts w:ascii="宋体" w:hAnsi="宋体" w:eastAsia="宋体" w:cs="宋体"/>
                <w:spacing w:val="2"/>
                <w:sz w:val="17"/>
                <w:szCs w:val="17"/>
              </w:rPr>
              <w:t xml:space="preserve">期 </w:t>
            </w:r>
            <w:r>
              <w:rPr>
                <w:rFonts w:ascii="Times New Roman" w:hAnsi="Times New Roman" w:eastAsia="Times New Roman" w:cs="Times New Roman"/>
                <w:spacing w:val="2"/>
                <w:sz w:val="17"/>
                <w:szCs w:val="17"/>
              </w:rPr>
              <w:t xml:space="preserve">15 </w:t>
            </w:r>
            <w:r>
              <w:rPr>
                <w:rFonts w:ascii="宋体" w:hAnsi="宋体" w:eastAsia="宋体" w:cs="宋体"/>
                <w:spacing w:val="2"/>
                <w:sz w:val="17"/>
                <w:szCs w:val="17"/>
              </w:rPr>
              <w:t>号楼临拟</w:t>
            </w:r>
            <w:r>
              <w:rPr>
                <w:rFonts w:ascii="宋体" w:hAnsi="宋体" w:eastAsia="宋体" w:cs="宋体"/>
                <w:sz w:val="17"/>
                <w:szCs w:val="17"/>
              </w:rPr>
              <w:t xml:space="preserve"> </w:t>
            </w:r>
            <w:r>
              <w:rPr>
                <w:rFonts w:ascii="宋体" w:hAnsi="宋体" w:eastAsia="宋体" w:cs="宋体"/>
                <w:spacing w:val="2"/>
                <w:sz w:val="17"/>
                <w:szCs w:val="17"/>
              </w:rPr>
              <w:t xml:space="preserve">建桥梁一侧 </w:t>
            </w:r>
            <w:r>
              <w:rPr>
                <w:rFonts w:ascii="Times New Roman" w:hAnsi="Times New Roman" w:eastAsia="Times New Roman" w:cs="Times New Roman"/>
                <w:spacing w:val="2"/>
                <w:sz w:val="17"/>
                <w:szCs w:val="17"/>
              </w:rPr>
              <w:t>1</w:t>
            </w:r>
            <w:r>
              <w:rPr>
                <w:rFonts w:ascii="Times New Roman" w:hAnsi="Times New Roman" w:eastAsia="Times New Roman" w:cs="Times New Roman"/>
                <w:sz w:val="17"/>
                <w:szCs w:val="17"/>
              </w:rPr>
              <w:t>0F</w:t>
            </w:r>
          </w:p>
        </w:tc>
        <w:tc>
          <w:tcPr>
            <w:tcW w:w="2574" w:type="dxa"/>
            <w:vAlign w:val="top"/>
          </w:tcPr>
          <w:p>
            <w:pPr>
              <w:spacing w:before="151" w:line="197" w:lineRule="auto"/>
              <w:ind w:left="84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1:27~ 11:47</w:t>
            </w:r>
          </w:p>
        </w:tc>
        <w:tc>
          <w:tcPr>
            <w:tcW w:w="1613" w:type="dxa"/>
            <w:vAlign w:val="top"/>
          </w:tcPr>
          <w:p>
            <w:pPr>
              <w:spacing w:before="153" w:line="194" w:lineRule="auto"/>
              <w:ind w:left="72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198" w:type="dxa"/>
            <w:vMerge w:val="continue"/>
            <w:tcBorders>
              <w:top w:val="nil"/>
              <w:bottom w:val="nil"/>
            </w:tcBorders>
            <w:vAlign w:val="top"/>
          </w:tcPr>
          <w:p>
            <w:pPr>
              <w:rPr>
                <w:rFonts w:ascii="Arial"/>
                <w:sz w:val="21"/>
              </w:rPr>
            </w:pPr>
          </w:p>
        </w:tc>
        <w:tc>
          <w:tcPr>
            <w:tcW w:w="3654" w:type="dxa"/>
            <w:vMerge w:val="continue"/>
            <w:tcBorders>
              <w:top w:val="nil"/>
            </w:tcBorders>
            <w:vAlign w:val="top"/>
          </w:tcPr>
          <w:p>
            <w:pPr>
              <w:rPr>
                <w:rFonts w:ascii="Arial"/>
                <w:sz w:val="21"/>
              </w:rPr>
            </w:pPr>
          </w:p>
        </w:tc>
        <w:tc>
          <w:tcPr>
            <w:tcW w:w="2574" w:type="dxa"/>
            <w:vAlign w:val="top"/>
          </w:tcPr>
          <w:p>
            <w:pPr>
              <w:spacing w:before="150" w:line="197" w:lineRule="auto"/>
              <w:ind w:left="830"/>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2:34~22:54</w:t>
            </w:r>
          </w:p>
        </w:tc>
        <w:tc>
          <w:tcPr>
            <w:tcW w:w="1613" w:type="dxa"/>
            <w:vAlign w:val="top"/>
          </w:tcPr>
          <w:p>
            <w:pPr>
              <w:spacing w:before="150" w:line="197" w:lineRule="auto"/>
              <w:ind w:left="71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198" w:type="dxa"/>
            <w:vMerge w:val="continue"/>
            <w:tcBorders>
              <w:top w:val="nil"/>
              <w:bottom w:val="nil"/>
            </w:tcBorders>
            <w:vAlign w:val="top"/>
          </w:tcPr>
          <w:p>
            <w:pPr>
              <w:rPr>
                <w:rFonts w:ascii="Arial"/>
                <w:sz w:val="21"/>
              </w:rPr>
            </w:pPr>
          </w:p>
        </w:tc>
        <w:tc>
          <w:tcPr>
            <w:tcW w:w="3654" w:type="dxa"/>
            <w:vMerge w:val="restart"/>
            <w:tcBorders>
              <w:bottom w:val="nil"/>
            </w:tcBorders>
            <w:vAlign w:val="top"/>
          </w:tcPr>
          <w:p>
            <w:pPr>
              <w:spacing w:before="136" w:line="320" w:lineRule="auto"/>
              <w:ind w:left="1220" w:right="90" w:hanging="1134"/>
              <w:rPr>
                <w:rFonts w:ascii="Times New Roman" w:hAnsi="Times New Roman" w:eastAsia="Times New Roman" w:cs="Times New Roman"/>
                <w:sz w:val="17"/>
                <w:szCs w:val="17"/>
              </w:rPr>
            </w:pPr>
            <w:r>
              <w:rPr>
                <w:rFonts w:ascii="Times New Roman" w:hAnsi="Times New Roman" w:eastAsia="Times New Roman" w:cs="Times New Roman"/>
                <w:sz w:val="17"/>
                <w:szCs w:val="17"/>
              </w:rPr>
              <w:t>N</w:t>
            </w:r>
            <w:r>
              <w:rPr>
                <w:rFonts w:ascii="Times New Roman" w:hAnsi="Times New Roman" w:eastAsia="Times New Roman" w:cs="Times New Roman"/>
                <w:spacing w:val="4"/>
                <w:sz w:val="17"/>
                <w:szCs w:val="17"/>
              </w:rPr>
              <w:t xml:space="preserve">3-5# </w:t>
            </w:r>
            <w:r>
              <w:rPr>
                <w:rFonts w:ascii="宋体" w:hAnsi="宋体" w:eastAsia="宋体" w:cs="宋体"/>
                <w:spacing w:val="4"/>
                <w:sz w:val="17"/>
                <w:szCs w:val="17"/>
              </w:rPr>
              <w:t>，</w:t>
            </w:r>
            <w:r>
              <w:rPr>
                <w:rFonts w:ascii="Times New Roman" w:hAnsi="Times New Roman" w:eastAsia="Times New Roman" w:cs="Times New Roman"/>
                <w:spacing w:val="2"/>
                <w:sz w:val="17"/>
                <w:szCs w:val="17"/>
              </w:rPr>
              <w:t>“</w:t>
            </w:r>
            <w:r>
              <w:rPr>
                <w:rFonts w:ascii="宋体" w:hAnsi="宋体" w:eastAsia="宋体" w:cs="宋体"/>
                <w:spacing w:val="2"/>
                <w:sz w:val="17"/>
                <w:szCs w:val="17"/>
              </w:rPr>
              <w:t>宏义</w:t>
            </w:r>
            <w:r>
              <w:rPr>
                <w:rFonts w:ascii="Times New Roman" w:hAnsi="Times New Roman" w:eastAsia="Times New Roman" w:cs="Times New Roman"/>
                <w:spacing w:val="2"/>
                <w:sz w:val="17"/>
                <w:szCs w:val="17"/>
              </w:rPr>
              <w:t>·</w:t>
            </w:r>
            <w:r>
              <w:rPr>
                <w:rFonts w:ascii="宋体" w:hAnsi="宋体" w:eastAsia="宋体" w:cs="宋体"/>
                <w:spacing w:val="2"/>
                <w:sz w:val="17"/>
                <w:szCs w:val="17"/>
              </w:rPr>
              <w:t>江湾城</w:t>
            </w:r>
            <w:r>
              <w:rPr>
                <w:rFonts w:ascii="Times New Roman" w:hAnsi="Times New Roman" w:eastAsia="Times New Roman" w:cs="Times New Roman"/>
                <w:spacing w:val="2"/>
                <w:sz w:val="17"/>
                <w:szCs w:val="17"/>
              </w:rPr>
              <w:t>”</w:t>
            </w:r>
            <w:r>
              <w:rPr>
                <w:rFonts w:ascii="宋体" w:hAnsi="宋体" w:eastAsia="宋体" w:cs="宋体"/>
                <w:spacing w:val="2"/>
                <w:sz w:val="17"/>
                <w:szCs w:val="17"/>
              </w:rPr>
              <w:t xml:space="preserve">小区 </w:t>
            </w:r>
            <w:r>
              <w:rPr>
                <w:rFonts w:ascii="Times New Roman" w:hAnsi="Times New Roman" w:eastAsia="Times New Roman" w:cs="Times New Roman"/>
                <w:spacing w:val="2"/>
                <w:sz w:val="17"/>
                <w:szCs w:val="17"/>
              </w:rPr>
              <w:t xml:space="preserve">5 </w:t>
            </w:r>
            <w:r>
              <w:rPr>
                <w:rFonts w:ascii="宋体" w:hAnsi="宋体" w:eastAsia="宋体" w:cs="宋体"/>
                <w:spacing w:val="2"/>
                <w:sz w:val="17"/>
                <w:szCs w:val="17"/>
              </w:rPr>
              <w:t xml:space="preserve">期 </w:t>
            </w:r>
            <w:r>
              <w:rPr>
                <w:rFonts w:ascii="Times New Roman" w:hAnsi="Times New Roman" w:eastAsia="Times New Roman" w:cs="Times New Roman"/>
                <w:spacing w:val="2"/>
                <w:sz w:val="17"/>
                <w:szCs w:val="17"/>
              </w:rPr>
              <w:t xml:space="preserve">15 </w:t>
            </w:r>
            <w:r>
              <w:rPr>
                <w:rFonts w:ascii="宋体" w:hAnsi="宋体" w:eastAsia="宋体" w:cs="宋体"/>
                <w:spacing w:val="2"/>
                <w:sz w:val="17"/>
                <w:szCs w:val="17"/>
              </w:rPr>
              <w:t>号楼临拟</w:t>
            </w:r>
            <w:r>
              <w:rPr>
                <w:rFonts w:ascii="宋体" w:hAnsi="宋体" w:eastAsia="宋体" w:cs="宋体"/>
                <w:sz w:val="17"/>
                <w:szCs w:val="17"/>
              </w:rPr>
              <w:t xml:space="preserve"> </w:t>
            </w:r>
            <w:r>
              <w:rPr>
                <w:rFonts w:ascii="宋体" w:hAnsi="宋体" w:eastAsia="宋体" w:cs="宋体"/>
                <w:spacing w:val="2"/>
                <w:sz w:val="17"/>
                <w:szCs w:val="17"/>
              </w:rPr>
              <w:t xml:space="preserve">建桥梁一侧 </w:t>
            </w:r>
            <w:r>
              <w:rPr>
                <w:rFonts w:ascii="Times New Roman" w:hAnsi="Times New Roman" w:eastAsia="Times New Roman" w:cs="Times New Roman"/>
                <w:spacing w:val="2"/>
                <w:sz w:val="17"/>
                <w:szCs w:val="17"/>
              </w:rPr>
              <w:t>1</w:t>
            </w:r>
            <w:r>
              <w:rPr>
                <w:rFonts w:ascii="Times New Roman" w:hAnsi="Times New Roman" w:eastAsia="Times New Roman" w:cs="Times New Roman"/>
                <w:sz w:val="17"/>
                <w:szCs w:val="17"/>
              </w:rPr>
              <w:t>5F</w:t>
            </w:r>
          </w:p>
        </w:tc>
        <w:tc>
          <w:tcPr>
            <w:tcW w:w="2574" w:type="dxa"/>
            <w:vAlign w:val="top"/>
          </w:tcPr>
          <w:p>
            <w:pPr>
              <w:spacing w:before="152" w:line="197" w:lineRule="auto"/>
              <w:ind w:left="84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1:51~ 12:11</w:t>
            </w:r>
          </w:p>
        </w:tc>
        <w:tc>
          <w:tcPr>
            <w:tcW w:w="1613" w:type="dxa"/>
            <w:vAlign w:val="top"/>
          </w:tcPr>
          <w:p>
            <w:pPr>
              <w:spacing w:before="152" w:line="197" w:lineRule="auto"/>
              <w:ind w:left="72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198" w:type="dxa"/>
            <w:vMerge w:val="continue"/>
            <w:tcBorders>
              <w:top w:val="nil"/>
              <w:bottom w:val="nil"/>
            </w:tcBorders>
            <w:vAlign w:val="top"/>
          </w:tcPr>
          <w:p>
            <w:pPr>
              <w:rPr>
                <w:rFonts w:ascii="Arial"/>
                <w:sz w:val="21"/>
              </w:rPr>
            </w:pPr>
          </w:p>
        </w:tc>
        <w:tc>
          <w:tcPr>
            <w:tcW w:w="3654" w:type="dxa"/>
            <w:vMerge w:val="continue"/>
            <w:tcBorders>
              <w:top w:val="nil"/>
            </w:tcBorders>
            <w:vAlign w:val="top"/>
          </w:tcPr>
          <w:p>
            <w:pPr>
              <w:rPr>
                <w:rFonts w:ascii="Arial"/>
                <w:sz w:val="21"/>
              </w:rPr>
            </w:pPr>
          </w:p>
        </w:tc>
        <w:tc>
          <w:tcPr>
            <w:tcW w:w="2574" w:type="dxa"/>
            <w:vAlign w:val="top"/>
          </w:tcPr>
          <w:p>
            <w:pPr>
              <w:spacing w:before="151" w:line="197" w:lineRule="auto"/>
              <w:ind w:left="830"/>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2:59~23:19</w:t>
            </w:r>
          </w:p>
        </w:tc>
        <w:tc>
          <w:tcPr>
            <w:tcW w:w="1613" w:type="dxa"/>
            <w:vAlign w:val="top"/>
          </w:tcPr>
          <w:p>
            <w:pPr>
              <w:spacing w:before="151" w:line="197" w:lineRule="auto"/>
              <w:ind w:left="71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98" w:type="dxa"/>
            <w:vMerge w:val="continue"/>
            <w:tcBorders>
              <w:top w:val="nil"/>
              <w:bottom w:val="nil"/>
            </w:tcBorders>
            <w:vAlign w:val="top"/>
          </w:tcPr>
          <w:p>
            <w:pPr>
              <w:rPr>
                <w:rFonts w:ascii="Arial"/>
                <w:sz w:val="21"/>
              </w:rPr>
            </w:pPr>
          </w:p>
        </w:tc>
        <w:tc>
          <w:tcPr>
            <w:tcW w:w="3654" w:type="dxa"/>
            <w:vMerge w:val="restart"/>
            <w:tcBorders>
              <w:bottom w:val="nil"/>
            </w:tcBorders>
            <w:vAlign w:val="top"/>
          </w:tcPr>
          <w:p>
            <w:pPr>
              <w:spacing w:before="135" w:line="320" w:lineRule="auto"/>
              <w:ind w:left="1220" w:right="90" w:hanging="1134"/>
              <w:rPr>
                <w:rFonts w:ascii="Times New Roman" w:hAnsi="Times New Roman" w:eastAsia="Times New Roman" w:cs="Times New Roman"/>
                <w:sz w:val="17"/>
                <w:szCs w:val="17"/>
              </w:rPr>
            </w:pPr>
            <w:r>
              <w:rPr>
                <w:rFonts w:ascii="Times New Roman" w:hAnsi="Times New Roman" w:eastAsia="Times New Roman" w:cs="Times New Roman"/>
                <w:sz w:val="17"/>
                <w:szCs w:val="17"/>
              </w:rPr>
              <w:t>N</w:t>
            </w:r>
            <w:r>
              <w:rPr>
                <w:rFonts w:ascii="Times New Roman" w:hAnsi="Times New Roman" w:eastAsia="Times New Roman" w:cs="Times New Roman"/>
                <w:spacing w:val="4"/>
                <w:sz w:val="17"/>
                <w:szCs w:val="17"/>
              </w:rPr>
              <w:t xml:space="preserve">3-6# </w:t>
            </w:r>
            <w:r>
              <w:rPr>
                <w:rFonts w:ascii="宋体" w:hAnsi="宋体" w:eastAsia="宋体" w:cs="宋体"/>
                <w:spacing w:val="4"/>
                <w:sz w:val="17"/>
                <w:szCs w:val="17"/>
              </w:rPr>
              <w:t>，</w:t>
            </w:r>
            <w:r>
              <w:rPr>
                <w:rFonts w:ascii="Times New Roman" w:hAnsi="Times New Roman" w:eastAsia="Times New Roman" w:cs="Times New Roman"/>
                <w:spacing w:val="2"/>
                <w:sz w:val="17"/>
                <w:szCs w:val="17"/>
              </w:rPr>
              <w:t>“</w:t>
            </w:r>
            <w:r>
              <w:rPr>
                <w:rFonts w:ascii="宋体" w:hAnsi="宋体" w:eastAsia="宋体" w:cs="宋体"/>
                <w:spacing w:val="2"/>
                <w:sz w:val="17"/>
                <w:szCs w:val="17"/>
              </w:rPr>
              <w:t>宏义</w:t>
            </w:r>
            <w:r>
              <w:rPr>
                <w:rFonts w:ascii="Times New Roman" w:hAnsi="Times New Roman" w:eastAsia="Times New Roman" w:cs="Times New Roman"/>
                <w:spacing w:val="2"/>
                <w:sz w:val="17"/>
                <w:szCs w:val="17"/>
              </w:rPr>
              <w:t>·</w:t>
            </w:r>
            <w:r>
              <w:rPr>
                <w:rFonts w:ascii="宋体" w:hAnsi="宋体" w:eastAsia="宋体" w:cs="宋体"/>
                <w:spacing w:val="2"/>
                <w:sz w:val="17"/>
                <w:szCs w:val="17"/>
              </w:rPr>
              <w:t>江湾城</w:t>
            </w:r>
            <w:r>
              <w:rPr>
                <w:rFonts w:ascii="Times New Roman" w:hAnsi="Times New Roman" w:eastAsia="Times New Roman" w:cs="Times New Roman"/>
                <w:spacing w:val="2"/>
                <w:sz w:val="17"/>
                <w:szCs w:val="17"/>
              </w:rPr>
              <w:t>”</w:t>
            </w:r>
            <w:r>
              <w:rPr>
                <w:rFonts w:ascii="宋体" w:hAnsi="宋体" w:eastAsia="宋体" w:cs="宋体"/>
                <w:spacing w:val="2"/>
                <w:sz w:val="17"/>
                <w:szCs w:val="17"/>
              </w:rPr>
              <w:t xml:space="preserve">小区 </w:t>
            </w:r>
            <w:r>
              <w:rPr>
                <w:rFonts w:ascii="Times New Roman" w:hAnsi="Times New Roman" w:eastAsia="Times New Roman" w:cs="Times New Roman"/>
                <w:spacing w:val="2"/>
                <w:sz w:val="17"/>
                <w:szCs w:val="17"/>
              </w:rPr>
              <w:t xml:space="preserve">5 </w:t>
            </w:r>
            <w:r>
              <w:rPr>
                <w:rFonts w:ascii="宋体" w:hAnsi="宋体" w:eastAsia="宋体" w:cs="宋体"/>
                <w:spacing w:val="2"/>
                <w:sz w:val="17"/>
                <w:szCs w:val="17"/>
              </w:rPr>
              <w:t xml:space="preserve">期 </w:t>
            </w:r>
            <w:r>
              <w:rPr>
                <w:rFonts w:ascii="Times New Roman" w:hAnsi="Times New Roman" w:eastAsia="Times New Roman" w:cs="Times New Roman"/>
                <w:spacing w:val="2"/>
                <w:sz w:val="17"/>
                <w:szCs w:val="17"/>
              </w:rPr>
              <w:t xml:space="preserve">15 </w:t>
            </w:r>
            <w:r>
              <w:rPr>
                <w:rFonts w:ascii="宋体" w:hAnsi="宋体" w:eastAsia="宋体" w:cs="宋体"/>
                <w:spacing w:val="2"/>
                <w:sz w:val="17"/>
                <w:szCs w:val="17"/>
              </w:rPr>
              <w:t>号楼临拟</w:t>
            </w:r>
            <w:r>
              <w:rPr>
                <w:rFonts w:ascii="宋体" w:hAnsi="宋体" w:eastAsia="宋体" w:cs="宋体"/>
                <w:sz w:val="17"/>
                <w:szCs w:val="17"/>
              </w:rPr>
              <w:t xml:space="preserve"> </w:t>
            </w:r>
            <w:r>
              <w:rPr>
                <w:rFonts w:ascii="宋体" w:hAnsi="宋体" w:eastAsia="宋体" w:cs="宋体"/>
                <w:spacing w:val="2"/>
                <w:sz w:val="17"/>
                <w:szCs w:val="17"/>
              </w:rPr>
              <w:t xml:space="preserve">建桥梁一侧 </w:t>
            </w:r>
            <w:r>
              <w:rPr>
                <w:rFonts w:ascii="Times New Roman" w:hAnsi="Times New Roman" w:eastAsia="Times New Roman" w:cs="Times New Roman"/>
                <w:spacing w:val="2"/>
                <w:sz w:val="17"/>
                <w:szCs w:val="17"/>
              </w:rPr>
              <w:t>2</w:t>
            </w:r>
            <w:r>
              <w:rPr>
                <w:rFonts w:ascii="Times New Roman" w:hAnsi="Times New Roman" w:eastAsia="Times New Roman" w:cs="Times New Roman"/>
                <w:sz w:val="17"/>
                <w:szCs w:val="17"/>
              </w:rPr>
              <w:t>0F</w:t>
            </w:r>
          </w:p>
        </w:tc>
        <w:tc>
          <w:tcPr>
            <w:tcW w:w="2574" w:type="dxa"/>
            <w:vAlign w:val="top"/>
          </w:tcPr>
          <w:p>
            <w:pPr>
              <w:spacing w:before="151" w:line="197" w:lineRule="auto"/>
              <w:ind w:left="84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1:55~ 12:15</w:t>
            </w:r>
          </w:p>
        </w:tc>
        <w:tc>
          <w:tcPr>
            <w:tcW w:w="1613" w:type="dxa"/>
            <w:vAlign w:val="top"/>
          </w:tcPr>
          <w:p>
            <w:pPr>
              <w:spacing w:before="151" w:line="197" w:lineRule="auto"/>
              <w:ind w:left="72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198" w:type="dxa"/>
            <w:vMerge w:val="continue"/>
            <w:tcBorders>
              <w:top w:val="nil"/>
              <w:bottom w:val="nil"/>
            </w:tcBorders>
            <w:vAlign w:val="top"/>
          </w:tcPr>
          <w:p>
            <w:pPr>
              <w:rPr>
                <w:rFonts w:ascii="Arial"/>
                <w:sz w:val="21"/>
              </w:rPr>
            </w:pPr>
          </w:p>
        </w:tc>
        <w:tc>
          <w:tcPr>
            <w:tcW w:w="3654" w:type="dxa"/>
            <w:vMerge w:val="continue"/>
            <w:tcBorders>
              <w:top w:val="nil"/>
            </w:tcBorders>
            <w:vAlign w:val="top"/>
          </w:tcPr>
          <w:p>
            <w:pPr>
              <w:rPr>
                <w:rFonts w:ascii="Arial"/>
                <w:sz w:val="21"/>
              </w:rPr>
            </w:pPr>
          </w:p>
        </w:tc>
        <w:tc>
          <w:tcPr>
            <w:tcW w:w="2574" w:type="dxa"/>
            <w:vAlign w:val="top"/>
          </w:tcPr>
          <w:p>
            <w:pPr>
              <w:spacing w:before="151" w:line="197" w:lineRule="auto"/>
              <w:ind w:left="830"/>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3:02~23:22</w:t>
            </w:r>
          </w:p>
        </w:tc>
        <w:tc>
          <w:tcPr>
            <w:tcW w:w="1613" w:type="dxa"/>
            <w:vAlign w:val="top"/>
          </w:tcPr>
          <w:p>
            <w:pPr>
              <w:spacing w:before="151" w:line="197" w:lineRule="auto"/>
              <w:ind w:left="71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198" w:type="dxa"/>
            <w:vMerge w:val="continue"/>
            <w:tcBorders>
              <w:top w:val="nil"/>
              <w:bottom w:val="nil"/>
            </w:tcBorders>
            <w:vAlign w:val="top"/>
          </w:tcPr>
          <w:p>
            <w:pPr>
              <w:rPr>
                <w:rFonts w:ascii="Arial"/>
                <w:sz w:val="21"/>
              </w:rPr>
            </w:pPr>
          </w:p>
        </w:tc>
        <w:tc>
          <w:tcPr>
            <w:tcW w:w="3654" w:type="dxa"/>
            <w:vMerge w:val="restart"/>
            <w:tcBorders>
              <w:bottom w:val="nil"/>
            </w:tcBorders>
            <w:vAlign w:val="top"/>
          </w:tcPr>
          <w:p>
            <w:pPr>
              <w:spacing w:before="137" w:line="320" w:lineRule="auto"/>
              <w:ind w:left="1220" w:right="90" w:hanging="1134"/>
              <w:rPr>
                <w:rFonts w:ascii="Times New Roman" w:hAnsi="Times New Roman" w:eastAsia="Times New Roman" w:cs="Times New Roman"/>
                <w:sz w:val="17"/>
                <w:szCs w:val="17"/>
              </w:rPr>
            </w:pPr>
            <w:r>
              <w:rPr>
                <w:rFonts w:ascii="Times New Roman" w:hAnsi="Times New Roman" w:eastAsia="Times New Roman" w:cs="Times New Roman"/>
                <w:sz w:val="17"/>
                <w:szCs w:val="17"/>
              </w:rPr>
              <w:t>N</w:t>
            </w:r>
            <w:r>
              <w:rPr>
                <w:rFonts w:ascii="Times New Roman" w:hAnsi="Times New Roman" w:eastAsia="Times New Roman" w:cs="Times New Roman"/>
                <w:spacing w:val="4"/>
                <w:sz w:val="17"/>
                <w:szCs w:val="17"/>
              </w:rPr>
              <w:t xml:space="preserve">3-7# </w:t>
            </w:r>
            <w:r>
              <w:rPr>
                <w:rFonts w:ascii="宋体" w:hAnsi="宋体" w:eastAsia="宋体" w:cs="宋体"/>
                <w:spacing w:val="4"/>
                <w:sz w:val="17"/>
                <w:szCs w:val="17"/>
              </w:rPr>
              <w:t>，</w:t>
            </w:r>
            <w:r>
              <w:rPr>
                <w:rFonts w:ascii="Times New Roman" w:hAnsi="Times New Roman" w:eastAsia="Times New Roman" w:cs="Times New Roman"/>
                <w:spacing w:val="2"/>
                <w:sz w:val="17"/>
                <w:szCs w:val="17"/>
              </w:rPr>
              <w:t>“</w:t>
            </w:r>
            <w:r>
              <w:rPr>
                <w:rFonts w:ascii="宋体" w:hAnsi="宋体" w:eastAsia="宋体" w:cs="宋体"/>
                <w:spacing w:val="2"/>
                <w:sz w:val="17"/>
                <w:szCs w:val="17"/>
              </w:rPr>
              <w:t>宏义</w:t>
            </w:r>
            <w:r>
              <w:rPr>
                <w:rFonts w:ascii="Times New Roman" w:hAnsi="Times New Roman" w:eastAsia="Times New Roman" w:cs="Times New Roman"/>
                <w:spacing w:val="2"/>
                <w:sz w:val="17"/>
                <w:szCs w:val="17"/>
              </w:rPr>
              <w:t>·</w:t>
            </w:r>
            <w:r>
              <w:rPr>
                <w:rFonts w:ascii="宋体" w:hAnsi="宋体" w:eastAsia="宋体" w:cs="宋体"/>
                <w:spacing w:val="2"/>
                <w:sz w:val="17"/>
                <w:szCs w:val="17"/>
              </w:rPr>
              <w:t>江湾城</w:t>
            </w:r>
            <w:r>
              <w:rPr>
                <w:rFonts w:ascii="Times New Roman" w:hAnsi="Times New Roman" w:eastAsia="Times New Roman" w:cs="Times New Roman"/>
                <w:spacing w:val="2"/>
                <w:sz w:val="17"/>
                <w:szCs w:val="17"/>
              </w:rPr>
              <w:t>”</w:t>
            </w:r>
            <w:r>
              <w:rPr>
                <w:rFonts w:ascii="宋体" w:hAnsi="宋体" w:eastAsia="宋体" w:cs="宋体"/>
                <w:spacing w:val="2"/>
                <w:sz w:val="17"/>
                <w:szCs w:val="17"/>
              </w:rPr>
              <w:t xml:space="preserve">小区 </w:t>
            </w:r>
            <w:r>
              <w:rPr>
                <w:rFonts w:ascii="Times New Roman" w:hAnsi="Times New Roman" w:eastAsia="Times New Roman" w:cs="Times New Roman"/>
                <w:spacing w:val="2"/>
                <w:sz w:val="17"/>
                <w:szCs w:val="17"/>
              </w:rPr>
              <w:t xml:space="preserve">5 </w:t>
            </w:r>
            <w:r>
              <w:rPr>
                <w:rFonts w:ascii="宋体" w:hAnsi="宋体" w:eastAsia="宋体" w:cs="宋体"/>
                <w:spacing w:val="2"/>
                <w:sz w:val="17"/>
                <w:szCs w:val="17"/>
              </w:rPr>
              <w:t xml:space="preserve">期 </w:t>
            </w:r>
            <w:r>
              <w:rPr>
                <w:rFonts w:ascii="Times New Roman" w:hAnsi="Times New Roman" w:eastAsia="Times New Roman" w:cs="Times New Roman"/>
                <w:spacing w:val="2"/>
                <w:sz w:val="17"/>
                <w:szCs w:val="17"/>
              </w:rPr>
              <w:t xml:space="preserve">15 </w:t>
            </w:r>
            <w:r>
              <w:rPr>
                <w:rFonts w:ascii="宋体" w:hAnsi="宋体" w:eastAsia="宋体" w:cs="宋体"/>
                <w:spacing w:val="2"/>
                <w:sz w:val="17"/>
                <w:szCs w:val="17"/>
              </w:rPr>
              <w:t>号楼临拟</w:t>
            </w:r>
            <w:r>
              <w:rPr>
                <w:rFonts w:ascii="宋体" w:hAnsi="宋体" w:eastAsia="宋体" w:cs="宋体"/>
                <w:sz w:val="17"/>
                <w:szCs w:val="17"/>
              </w:rPr>
              <w:t xml:space="preserve"> </w:t>
            </w:r>
            <w:r>
              <w:rPr>
                <w:rFonts w:ascii="宋体" w:hAnsi="宋体" w:eastAsia="宋体" w:cs="宋体"/>
                <w:spacing w:val="2"/>
                <w:sz w:val="17"/>
                <w:szCs w:val="17"/>
              </w:rPr>
              <w:t xml:space="preserve">建桥梁一侧 </w:t>
            </w:r>
            <w:r>
              <w:rPr>
                <w:rFonts w:ascii="Times New Roman" w:hAnsi="Times New Roman" w:eastAsia="Times New Roman" w:cs="Times New Roman"/>
                <w:spacing w:val="2"/>
                <w:sz w:val="17"/>
                <w:szCs w:val="17"/>
              </w:rPr>
              <w:t>2</w:t>
            </w:r>
            <w:r>
              <w:rPr>
                <w:rFonts w:ascii="Times New Roman" w:hAnsi="Times New Roman" w:eastAsia="Times New Roman" w:cs="Times New Roman"/>
                <w:sz w:val="17"/>
                <w:szCs w:val="17"/>
              </w:rPr>
              <w:t>5F</w:t>
            </w:r>
          </w:p>
        </w:tc>
        <w:tc>
          <w:tcPr>
            <w:tcW w:w="2574" w:type="dxa"/>
            <w:vAlign w:val="top"/>
          </w:tcPr>
          <w:p>
            <w:pPr>
              <w:spacing w:before="153" w:line="197" w:lineRule="auto"/>
              <w:ind w:left="84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1:52~ 12:12</w:t>
            </w:r>
          </w:p>
        </w:tc>
        <w:tc>
          <w:tcPr>
            <w:tcW w:w="1613" w:type="dxa"/>
            <w:vAlign w:val="top"/>
          </w:tcPr>
          <w:p>
            <w:pPr>
              <w:spacing w:before="153" w:line="197" w:lineRule="auto"/>
              <w:ind w:left="72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198" w:type="dxa"/>
            <w:vMerge w:val="continue"/>
            <w:tcBorders>
              <w:top w:val="nil"/>
              <w:bottom w:val="nil"/>
            </w:tcBorders>
            <w:vAlign w:val="top"/>
          </w:tcPr>
          <w:p>
            <w:pPr>
              <w:rPr>
                <w:rFonts w:ascii="Arial"/>
                <w:sz w:val="21"/>
              </w:rPr>
            </w:pPr>
          </w:p>
        </w:tc>
        <w:tc>
          <w:tcPr>
            <w:tcW w:w="3654" w:type="dxa"/>
            <w:vMerge w:val="continue"/>
            <w:tcBorders>
              <w:top w:val="nil"/>
            </w:tcBorders>
            <w:vAlign w:val="top"/>
          </w:tcPr>
          <w:p>
            <w:pPr>
              <w:rPr>
                <w:rFonts w:ascii="Arial"/>
                <w:sz w:val="21"/>
              </w:rPr>
            </w:pPr>
          </w:p>
        </w:tc>
        <w:tc>
          <w:tcPr>
            <w:tcW w:w="2574" w:type="dxa"/>
            <w:vAlign w:val="top"/>
          </w:tcPr>
          <w:p>
            <w:pPr>
              <w:spacing w:before="152" w:line="197" w:lineRule="auto"/>
              <w:ind w:left="830"/>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2:57~23:17</w:t>
            </w:r>
          </w:p>
        </w:tc>
        <w:tc>
          <w:tcPr>
            <w:tcW w:w="1613" w:type="dxa"/>
            <w:vAlign w:val="top"/>
          </w:tcPr>
          <w:p>
            <w:pPr>
              <w:spacing w:before="152" w:line="197" w:lineRule="auto"/>
              <w:ind w:left="71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198" w:type="dxa"/>
            <w:vMerge w:val="continue"/>
            <w:tcBorders>
              <w:top w:val="nil"/>
              <w:bottom w:val="nil"/>
            </w:tcBorders>
            <w:vAlign w:val="top"/>
          </w:tcPr>
          <w:p>
            <w:pPr>
              <w:rPr>
                <w:rFonts w:ascii="Arial"/>
                <w:sz w:val="21"/>
              </w:rPr>
            </w:pPr>
          </w:p>
        </w:tc>
        <w:tc>
          <w:tcPr>
            <w:tcW w:w="3654" w:type="dxa"/>
            <w:vMerge w:val="restart"/>
            <w:tcBorders>
              <w:bottom w:val="nil"/>
            </w:tcBorders>
            <w:vAlign w:val="top"/>
          </w:tcPr>
          <w:p>
            <w:pPr>
              <w:spacing w:before="136" w:line="320" w:lineRule="auto"/>
              <w:ind w:left="1220" w:right="90" w:hanging="1134"/>
              <w:rPr>
                <w:rFonts w:ascii="Times New Roman" w:hAnsi="Times New Roman" w:eastAsia="Times New Roman" w:cs="Times New Roman"/>
                <w:sz w:val="17"/>
                <w:szCs w:val="17"/>
              </w:rPr>
            </w:pPr>
            <w:r>
              <w:rPr>
                <w:rFonts w:ascii="Times New Roman" w:hAnsi="Times New Roman" w:eastAsia="Times New Roman" w:cs="Times New Roman"/>
                <w:sz w:val="17"/>
                <w:szCs w:val="17"/>
              </w:rPr>
              <w:t>N</w:t>
            </w:r>
            <w:r>
              <w:rPr>
                <w:rFonts w:ascii="Times New Roman" w:hAnsi="Times New Roman" w:eastAsia="Times New Roman" w:cs="Times New Roman"/>
                <w:spacing w:val="4"/>
                <w:sz w:val="17"/>
                <w:szCs w:val="17"/>
              </w:rPr>
              <w:t xml:space="preserve">3-8# </w:t>
            </w:r>
            <w:r>
              <w:rPr>
                <w:rFonts w:ascii="宋体" w:hAnsi="宋体" w:eastAsia="宋体" w:cs="宋体"/>
                <w:spacing w:val="4"/>
                <w:sz w:val="17"/>
                <w:szCs w:val="17"/>
              </w:rPr>
              <w:t>，</w:t>
            </w:r>
            <w:r>
              <w:rPr>
                <w:rFonts w:ascii="Times New Roman" w:hAnsi="Times New Roman" w:eastAsia="Times New Roman" w:cs="Times New Roman"/>
                <w:spacing w:val="2"/>
                <w:sz w:val="17"/>
                <w:szCs w:val="17"/>
              </w:rPr>
              <w:t>“</w:t>
            </w:r>
            <w:r>
              <w:rPr>
                <w:rFonts w:ascii="宋体" w:hAnsi="宋体" w:eastAsia="宋体" w:cs="宋体"/>
                <w:spacing w:val="2"/>
                <w:sz w:val="17"/>
                <w:szCs w:val="17"/>
              </w:rPr>
              <w:t>宏义</w:t>
            </w:r>
            <w:r>
              <w:rPr>
                <w:rFonts w:ascii="Times New Roman" w:hAnsi="Times New Roman" w:eastAsia="Times New Roman" w:cs="Times New Roman"/>
                <w:spacing w:val="2"/>
                <w:sz w:val="17"/>
                <w:szCs w:val="17"/>
              </w:rPr>
              <w:t>·</w:t>
            </w:r>
            <w:r>
              <w:rPr>
                <w:rFonts w:ascii="宋体" w:hAnsi="宋体" w:eastAsia="宋体" w:cs="宋体"/>
                <w:spacing w:val="2"/>
                <w:sz w:val="17"/>
                <w:szCs w:val="17"/>
              </w:rPr>
              <w:t>江湾城</w:t>
            </w:r>
            <w:r>
              <w:rPr>
                <w:rFonts w:ascii="Times New Roman" w:hAnsi="Times New Roman" w:eastAsia="Times New Roman" w:cs="Times New Roman"/>
                <w:spacing w:val="2"/>
                <w:sz w:val="17"/>
                <w:szCs w:val="17"/>
              </w:rPr>
              <w:t>”</w:t>
            </w:r>
            <w:r>
              <w:rPr>
                <w:rFonts w:ascii="宋体" w:hAnsi="宋体" w:eastAsia="宋体" w:cs="宋体"/>
                <w:spacing w:val="2"/>
                <w:sz w:val="17"/>
                <w:szCs w:val="17"/>
              </w:rPr>
              <w:t xml:space="preserve">小区 </w:t>
            </w:r>
            <w:r>
              <w:rPr>
                <w:rFonts w:ascii="Times New Roman" w:hAnsi="Times New Roman" w:eastAsia="Times New Roman" w:cs="Times New Roman"/>
                <w:spacing w:val="2"/>
                <w:sz w:val="17"/>
                <w:szCs w:val="17"/>
              </w:rPr>
              <w:t xml:space="preserve">5 </w:t>
            </w:r>
            <w:r>
              <w:rPr>
                <w:rFonts w:ascii="宋体" w:hAnsi="宋体" w:eastAsia="宋体" w:cs="宋体"/>
                <w:spacing w:val="2"/>
                <w:sz w:val="17"/>
                <w:szCs w:val="17"/>
              </w:rPr>
              <w:t xml:space="preserve">期 </w:t>
            </w:r>
            <w:r>
              <w:rPr>
                <w:rFonts w:ascii="Times New Roman" w:hAnsi="Times New Roman" w:eastAsia="Times New Roman" w:cs="Times New Roman"/>
                <w:spacing w:val="2"/>
                <w:sz w:val="17"/>
                <w:szCs w:val="17"/>
              </w:rPr>
              <w:t xml:space="preserve">15 </w:t>
            </w:r>
            <w:r>
              <w:rPr>
                <w:rFonts w:ascii="宋体" w:hAnsi="宋体" w:eastAsia="宋体" w:cs="宋体"/>
                <w:spacing w:val="2"/>
                <w:sz w:val="17"/>
                <w:szCs w:val="17"/>
              </w:rPr>
              <w:t>号楼临拟</w:t>
            </w:r>
            <w:r>
              <w:rPr>
                <w:rFonts w:ascii="宋体" w:hAnsi="宋体" w:eastAsia="宋体" w:cs="宋体"/>
                <w:sz w:val="17"/>
                <w:szCs w:val="17"/>
              </w:rPr>
              <w:t xml:space="preserve"> </w:t>
            </w:r>
            <w:r>
              <w:rPr>
                <w:rFonts w:ascii="宋体" w:hAnsi="宋体" w:eastAsia="宋体" w:cs="宋体"/>
                <w:spacing w:val="2"/>
                <w:sz w:val="17"/>
                <w:szCs w:val="17"/>
              </w:rPr>
              <w:t xml:space="preserve">建桥梁一侧 </w:t>
            </w:r>
            <w:r>
              <w:rPr>
                <w:rFonts w:ascii="Times New Roman" w:hAnsi="Times New Roman" w:eastAsia="Times New Roman" w:cs="Times New Roman"/>
                <w:spacing w:val="2"/>
                <w:sz w:val="17"/>
                <w:szCs w:val="17"/>
              </w:rPr>
              <w:t>3</w:t>
            </w:r>
            <w:r>
              <w:rPr>
                <w:rFonts w:ascii="Times New Roman" w:hAnsi="Times New Roman" w:eastAsia="Times New Roman" w:cs="Times New Roman"/>
                <w:sz w:val="17"/>
                <w:szCs w:val="17"/>
              </w:rPr>
              <w:t>0F</w:t>
            </w:r>
          </w:p>
        </w:tc>
        <w:tc>
          <w:tcPr>
            <w:tcW w:w="2574" w:type="dxa"/>
            <w:vAlign w:val="top"/>
          </w:tcPr>
          <w:p>
            <w:pPr>
              <w:spacing w:before="152" w:line="197" w:lineRule="auto"/>
              <w:ind w:left="84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1:52~ 12:12</w:t>
            </w:r>
          </w:p>
        </w:tc>
        <w:tc>
          <w:tcPr>
            <w:tcW w:w="1613" w:type="dxa"/>
            <w:vAlign w:val="top"/>
          </w:tcPr>
          <w:p>
            <w:pPr>
              <w:spacing w:before="154" w:line="194" w:lineRule="auto"/>
              <w:ind w:left="72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198" w:type="dxa"/>
            <w:vMerge w:val="continue"/>
            <w:tcBorders>
              <w:top w:val="nil"/>
            </w:tcBorders>
            <w:vAlign w:val="top"/>
          </w:tcPr>
          <w:p>
            <w:pPr>
              <w:rPr>
                <w:rFonts w:ascii="Arial"/>
                <w:sz w:val="21"/>
              </w:rPr>
            </w:pPr>
          </w:p>
        </w:tc>
        <w:tc>
          <w:tcPr>
            <w:tcW w:w="3654" w:type="dxa"/>
            <w:vMerge w:val="continue"/>
            <w:tcBorders>
              <w:top w:val="nil"/>
            </w:tcBorders>
            <w:vAlign w:val="top"/>
          </w:tcPr>
          <w:p>
            <w:pPr>
              <w:rPr>
                <w:rFonts w:ascii="Arial"/>
                <w:sz w:val="21"/>
              </w:rPr>
            </w:pPr>
          </w:p>
        </w:tc>
        <w:tc>
          <w:tcPr>
            <w:tcW w:w="2574" w:type="dxa"/>
            <w:vAlign w:val="top"/>
          </w:tcPr>
          <w:p>
            <w:pPr>
              <w:spacing w:before="151" w:line="197" w:lineRule="auto"/>
              <w:ind w:left="830"/>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2:57~23:17</w:t>
            </w:r>
          </w:p>
        </w:tc>
        <w:tc>
          <w:tcPr>
            <w:tcW w:w="1613" w:type="dxa"/>
            <w:vAlign w:val="top"/>
          </w:tcPr>
          <w:p>
            <w:pPr>
              <w:spacing w:before="151" w:line="197" w:lineRule="auto"/>
              <w:ind w:left="71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98"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49"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4"/>
                <w:sz w:val="17"/>
                <w:szCs w:val="17"/>
              </w:rPr>
              <w:t>023.03.31</w:t>
            </w:r>
          </w:p>
        </w:tc>
        <w:tc>
          <w:tcPr>
            <w:tcW w:w="3654" w:type="dxa"/>
            <w:vMerge w:val="restart"/>
            <w:tcBorders>
              <w:bottom w:val="nil"/>
            </w:tcBorders>
            <w:vAlign w:val="top"/>
          </w:tcPr>
          <w:p>
            <w:pPr>
              <w:spacing w:before="102" w:line="315" w:lineRule="auto"/>
              <w:ind w:left="1263" w:right="90" w:hanging="1177"/>
              <w:rPr>
                <w:rFonts w:ascii="Times New Roman" w:hAnsi="Times New Roman" w:eastAsia="Times New Roman" w:cs="Times New Roman"/>
                <w:sz w:val="17"/>
                <w:szCs w:val="17"/>
              </w:rPr>
            </w:pPr>
            <w:r>
              <w:rPr>
                <w:rFonts w:ascii="Times New Roman" w:hAnsi="Times New Roman" w:eastAsia="Times New Roman" w:cs="Times New Roman"/>
                <w:sz w:val="17"/>
                <w:szCs w:val="17"/>
              </w:rPr>
              <w:t>N</w:t>
            </w:r>
            <w:r>
              <w:rPr>
                <w:rFonts w:ascii="Times New Roman" w:hAnsi="Times New Roman" w:eastAsia="Times New Roman" w:cs="Times New Roman"/>
                <w:spacing w:val="1"/>
                <w:sz w:val="17"/>
                <w:szCs w:val="17"/>
              </w:rPr>
              <w:t xml:space="preserve">3- 1# </w:t>
            </w:r>
            <w:r>
              <w:rPr>
                <w:rFonts w:ascii="宋体" w:hAnsi="宋体" w:eastAsia="宋体" w:cs="宋体"/>
                <w:spacing w:val="1"/>
                <w:sz w:val="17"/>
                <w:szCs w:val="17"/>
              </w:rPr>
              <w:t>，</w:t>
            </w:r>
            <w:r>
              <w:rPr>
                <w:rFonts w:ascii="Times New Roman" w:hAnsi="Times New Roman" w:eastAsia="Times New Roman" w:cs="Times New Roman"/>
                <w:spacing w:val="1"/>
                <w:sz w:val="17"/>
                <w:szCs w:val="17"/>
              </w:rPr>
              <w:t>“</w:t>
            </w:r>
            <w:r>
              <w:rPr>
                <w:rFonts w:ascii="宋体" w:hAnsi="宋体" w:eastAsia="宋体" w:cs="宋体"/>
                <w:spacing w:val="1"/>
                <w:sz w:val="17"/>
                <w:szCs w:val="17"/>
              </w:rPr>
              <w:t>宏义</w:t>
            </w:r>
            <w:r>
              <w:rPr>
                <w:rFonts w:ascii="Times New Roman" w:hAnsi="Times New Roman" w:eastAsia="Times New Roman" w:cs="Times New Roman"/>
                <w:spacing w:val="1"/>
                <w:sz w:val="17"/>
                <w:szCs w:val="17"/>
              </w:rPr>
              <w:t>·</w:t>
            </w:r>
            <w:r>
              <w:rPr>
                <w:rFonts w:ascii="宋体" w:hAnsi="宋体" w:eastAsia="宋体" w:cs="宋体"/>
                <w:spacing w:val="1"/>
                <w:sz w:val="17"/>
                <w:szCs w:val="17"/>
              </w:rPr>
              <w:t>江湾城</w:t>
            </w:r>
            <w:r>
              <w:rPr>
                <w:rFonts w:ascii="Times New Roman" w:hAnsi="Times New Roman" w:eastAsia="Times New Roman" w:cs="Times New Roman"/>
                <w:spacing w:val="1"/>
                <w:sz w:val="17"/>
                <w:szCs w:val="17"/>
              </w:rPr>
              <w:t>”</w:t>
            </w:r>
            <w:r>
              <w:rPr>
                <w:rFonts w:ascii="宋体" w:hAnsi="宋体" w:eastAsia="宋体" w:cs="宋体"/>
                <w:spacing w:val="1"/>
                <w:sz w:val="17"/>
                <w:szCs w:val="17"/>
              </w:rPr>
              <w:t xml:space="preserve">小区 </w:t>
            </w:r>
            <w:r>
              <w:rPr>
                <w:rFonts w:ascii="Times New Roman" w:hAnsi="Times New Roman" w:eastAsia="Times New Roman" w:cs="Times New Roman"/>
                <w:spacing w:val="1"/>
                <w:sz w:val="17"/>
                <w:szCs w:val="17"/>
              </w:rPr>
              <w:t xml:space="preserve">5 </w:t>
            </w:r>
            <w:r>
              <w:rPr>
                <w:rFonts w:ascii="宋体" w:hAnsi="宋体" w:eastAsia="宋体" w:cs="宋体"/>
                <w:spacing w:val="1"/>
                <w:sz w:val="17"/>
                <w:szCs w:val="17"/>
              </w:rPr>
              <w:t xml:space="preserve">期 </w:t>
            </w:r>
            <w:r>
              <w:rPr>
                <w:rFonts w:ascii="Times New Roman" w:hAnsi="Times New Roman" w:eastAsia="Times New Roman" w:cs="Times New Roman"/>
                <w:spacing w:val="1"/>
                <w:sz w:val="17"/>
                <w:szCs w:val="17"/>
              </w:rPr>
              <w:t xml:space="preserve">15 </w:t>
            </w:r>
            <w:r>
              <w:rPr>
                <w:rFonts w:ascii="宋体" w:hAnsi="宋体" w:eastAsia="宋体" w:cs="宋体"/>
                <w:sz w:val="17"/>
                <w:szCs w:val="17"/>
              </w:rPr>
              <w:t xml:space="preserve">号楼临拟 </w:t>
            </w:r>
            <w:r>
              <w:rPr>
                <w:rFonts w:ascii="宋体" w:hAnsi="宋体" w:eastAsia="宋体" w:cs="宋体"/>
                <w:spacing w:val="2"/>
                <w:sz w:val="17"/>
                <w:szCs w:val="17"/>
              </w:rPr>
              <w:t xml:space="preserve">建桥梁一侧 </w:t>
            </w:r>
            <w:r>
              <w:rPr>
                <w:rFonts w:ascii="Times New Roman" w:hAnsi="Times New Roman" w:eastAsia="Times New Roman" w:cs="Times New Roman"/>
                <w:spacing w:val="1"/>
                <w:sz w:val="17"/>
                <w:szCs w:val="17"/>
              </w:rPr>
              <w:t>1</w:t>
            </w:r>
            <w:r>
              <w:rPr>
                <w:rFonts w:ascii="Times New Roman" w:hAnsi="Times New Roman" w:eastAsia="Times New Roman" w:cs="Times New Roman"/>
                <w:sz w:val="17"/>
                <w:szCs w:val="17"/>
              </w:rPr>
              <w:t>F</w:t>
            </w:r>
          </w:p>
        </w:tc>
        <w:tc>
          <w:tcPr>
            <w:tcW w:w="2574" w:type="dxa"/>
            <w:vAlign w:val="top"/>
          </w:tcPr>
          <w:p>
            <w:pPr>
              <w:spacing w:before="131" w:line="197" w:lineRule="auto"/>
              <w:ind w:left="84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4:26~ 14:26</w:t>
            </w:r>
          </w:p>
        </w:tc>
        <w:tc>
          <w:tcPr>
            <w:tcW w:w="1613" w:type="dxa"/>
            <w:vAlign w:val="top"/>
          </w:tcPr>
          <w:p>
            <w:pPr>
              <w:spacing w:before="131" w:line="197" w:lineRule="auto"/>
              <w:ind w:left="72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98" w:type="dxa"/>
            <w:vMerge w:val="continue"/>
            <w:tcBorders>
              <w:top w:val="nil"/>
              <w:bottom w:val="nil"/>
            </w:tcBorders>
            <w:vAlign w:val="top"/>
          </w:tcPr>
          <w:p>
            <w:pPr>
              <w:rPr>
                <w:rFonts w:ascii="Arial"/>
                <w:sz w:val="21"/>
              </w:rPr>
            </w:pPr>
          </w:p>
        </w:tc>
        <w:tc>
          <w:tcPr>
            <w:tcW w:w="3654" w:type="dxa"/>
            <w:vMerge w:val="continue"/>
            <w:tcBorders>
              <w:top w:val="nil"/>
            </w:tcBorders>
            <w:vAlign w:val="top"/>
          </w:tcPr>
          <w:p>
            <w:pPr>
              <w:rPr>
                <w:rFonts w:ascii="Arial"/>
                <w:sz w:val="21"/>
              </w:rPr>
            </w:pPr>
          </w:p>
        </w:tc>
        <w:tc>
          <w:tcPr>
            <w:tcW w:w="2574" w:type="dxa"/>
            <w:vAlign w:val="top"/>
          </w:tcPr>
          <w:p>
            <w:pPr>
              <w:spacing w:before="133" w:line="197" w:lineRule="auto"/>
              <w:ind w:left="830"/>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2:27~22:47</w:t>
            </w:r>
          </w:p>
        </w:tc>
        <w:tc>
          <w:tcPr>
            <w:tcW w:w="1613" w:type="dxa"/>
            <w:vAlign w:val="top"/>
          </w:tcPr>
          <w:p>
            <w:pPr>
              <w:spacing w:before="133" w:line="197" w:lineRule="auto"/>
              <w:ind w:left="71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198" w:type="dxa"/>
            <w:vMerge w:val="continue"/>
            <w:tcBorders>
              <w:top w:val="nil"/>
              <w:bottom w:val="nil"/>
            </w:tcBorders>
            <w:vAlign w:val="top"/>
          </w:tcPr>
          <w:p>
            <w:pPr>
              <w:rPr>
                <w:rFonts w:ascii="Arial"/>
                <w:sz w:val="21"/>
              </w:rPr>
            </w:pPr>
          </w:p>
        </w:tc>
        <w:tc>
          <w:tcPr>
            <w:tcW w:w="3654" w:type="dxa"/>
            <w:vMerge w:val="restart"/>
            <w:tcBorders>
              <w:bottom w:val="nil"/>
            </w:tcBorders>
            <w:vAlign w:val="top"/>
          </w:tcPr>
          <w:p>
            <w:pPr>
              <w:spacing w:before="97" w:line="315" w:lineRule="auto"/>
              <w:ind w:left="1263" w:right="90" w:hanging="1177"/>
              <w:rPr>
                <w:rFonts w:ascii="Times New Roman" w:hAnsi="Times New Roman" w:eastAsia="Times New Roman" w:cs="Times New Roman"/>
                <w:sz w:val="17"/>
                <w:szCs w:val="17"/>
              </w:rPr>
            </w:pPr>
            <w:r>
              <w:rPr>
                <w:rFonts w:ascii="Times New Roman" w:hAnsi="Times New Roman" w:eastAsia="Times New Roman" w:cs="Times New Roman"/>
                <w:sz w:val="17"/>
                <w:szCs w:val="17"/>
              </w:rPr>
              <w:t>N</w:t>
            </w:r>
            <w:r>
              <w:rPr>
                <w:rFonts w:ascii="Times New Roman" w:hAnsi="Times New Roman" w:eastAsia="Times New Roman" w:cs="Times New Roman"/>
                <w:spacing w:val="4"/>
                <w:sz w:val="17"/>
                <w:szCs w:val="17"/>
              </w:rPr>
              <w:t xml:space="preserve">3-2# </w:t>
            </w:r>
            <w:r>
              <w:rPr>
                <w:rFonts w:ascii="宋体" w:hAnsi="宋体" w:eastAsia="宋体" w:cs="宋体"/>
                <w:spacing w:val="4"/>
                <w:sz w:val="17"/>
                <w:szCs w:val="17"/>
              </w:rPr>
              <w:t>，</w:t>
            </w:r>
            <w:r>
              <w:rPr>
                <w:rFonts w:ascii="Times New Roman" w:hAnsi="Times New Roman" w:eastAsia="Times New Roman" w:cs="Times New Roman"/>
                <w:spacing w:val="2"/>
                <w:sz w:val="17"/>
                <w:szCs w:val="17"/>
              </w:rPr>
              <w:t>“</w:t>
            </w:r>
            <w:r>
              <w:rPr>
                <w:rFonts w:ascii="宋体" w:hAnsi="宋体" w:eastAsia="宋体" w:cs="宋体"/>
                <w:spacing w:val="2"/>
                <w:sz w:val="17"/>
                <w:szCs w:val="17"/>
              </w:rPr>
              <w:t>宏义</w:t>
            </w:r>
            <w:r>
              <w:rPr>
                <w:rFonts w:ascii="Times New Roman" w:hAnsi="Times New Roman" w:eastAsia="Times New Roman" w:cs="Times New Roman"/>
                <w:spacing w:val="2"/>
                <w:sz w:val="17"/>
                <w:szCs w:val="17"/>
              </w:rPr>
              <w:t>·</w:t>
            </w:r>
            <w:r>
              <w:rPr>
                <w:rFonts w:ascii="宋体" w:hAnsi="宋体" w:eastAsia="宋体" w:cs="宋体"/>
                <w:spacing w:val="2"/>
                <w:sz w:val="17"/>
                <w:szCs w:val="17"/>
              </w:rPr>
              <w:t>江湾城</w:t>
            </w:r>
            <w:r>
              <w:rPr>
                <w:rFonts w:ascii="Times New Roman" w:hAnsi="Times New Roman" w:eastAsia="Times New Roman" w:cs="Times New Roman"/>
                <w:spacing w:val="2"/>
                <w:sz w:val="17"/>
                <w:szCs w:val="17"/>
              </w:rPr>
              <w:t>”</w:t>
            </w:r>
            <w:r>
              <w:rPr>
                <w:rFonts w:ascii="宋体" w:hAnsi="宋体" w:eastAsia="宋体" w:cs="宋体"/>
                <w:spacing w:val="2"/>
                <w:sz w:val="17"/>
                <w:szCs w:val="17"/>
              </w:rPr>
              <w:t xml:space="preserve">小区 </w:t>
            </w:r>
            <w:r>
              <w:rPr>
                <w:rFonts w:ascii="Times New Roman" w:hAnsi="Times New Roman" w:eastAsia="Times New Roman" w:cs="Times New Roman"/>
                <w:spacing w:val="2"/>
                <w:sz w:val="17"/>
                <w:szCs w:val="17"/>
              </w:rPr>
              <w:t xml:space="preserve">5 </w:t>
            </w:r>
            <w:r>
              <w:rPr>
                <w:rFonts w:ascii="宋体" w:hAnsi="宋体" w:eastAsia="宋体" w:cs="宋体"/>
                <w:spacing w:val="2"/>
                <w:sz w:val="17"/>
                <w:szCs w:val="17"/>
              </w:rPr>
              <w:t xml:space="preserve">期 </w:t>
            </w:r>
            <w:r>
              <w:rPr>
                <w:rFonts w:ascii="Times New Roman" w:hAnsi="Times New Roman" w:eastAsia="Times New Roman" w:cs="Times New Roman"/>
                <w:spacing w:val="2"/>
                <w:sz w:val="17"/>
                <w:szCs w:val="17"/>
              </w:rPr>
              <w:t xml:space="preserve">15 </w:t>
            </w:r>
            <w:r>
              <w:rPr>
                <w:rFonts w:ascii="宋体" w:hAnsi="宋体" w:eastAsia="宋体" w:cs="宋体"/>
                <w:spacing w:val="2"/>
                <w:sz w:val="17"/>
                <w:szCs w:val="17"/>
              </w:rPr>
              <w:t>号楼临拟</w:t>
            </w:r>
            <w:r>
              <w:rPr>
                <w:rFonts w:ascii="宋体" w:hAnsi="宋体" w:eastAsia="宋体" w:cs="宋体"/>
                <w:sz w:val="17"/>
                <w:szCs w:val="17"/>
              </w:rPr>
              <w:t xml:space="preserve"> </w:t>
            </w:r>
            <w:r>
              <w:rPr>
                <w:rFonts w:ascii="宋体" w:hAnsi="宋体" w:eastAsia="宋体" w:cs="宋体"/>
                <w:spacing w:val="2"/>
                <w:sz w:val="17"/>
                <w:szCs w:val="17"/>
              </w:rPr>
              <w:t xml:space="preserve">建桥梁一侧 </w:t>
            </w:r>
            <w:r>
              <w:rPr>
                <w:rFonts w:ascii="Times New Roman" w:hAnsi="Times New Roman" w:eastAsia="Times New Roman" w:cs="Times New Roman"/>
                <w:spacing w:val="1"/>
                <w:sz w:val="17"/>
                <w:szCs w:val="17"/>
              </w:rPr>
              <w:t>4</w:t>
            </w:r>
            <w:r>
              <w:rPr>
                <w:rFonts w:ascii="Times New Roman" w:hAnsi="Times New Roman" w:eastAsia="Times New Roman" w:cs="Times New Roman"/>
                <w:sz w:val="17"/>
                <w:szCs w:val="17"/>
              </w:rPr>
              <w:t>F</w:t>
            </w:r>
          </w:p>
        </w:tc>
        <w:tc>
          <w:tcPr>
            <w:tcW w:w="2574" w:type="dxa"/>
            <w:vAlign w:val="top"/>
          </w:tcPr>
          <w:p>
            <w:pPr>
              <w:spacing w:before="125" w:line="197" w:lineRule="auto"/>
              <w:ind w:left="84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4:28~ 14:48</w:t>
            </w:r>
          </w:p>
        </w:tc>
        <w:tc>
          <w:tcPr>
            <w:tcW w:w="1613" w:type="dxa"/>
            <w:vAlign w:val="top"/>
          </w:tcPr>
          <w:p>
            <w:pPr>
              <w:spacing w:before="125" w:line="197" w:lineRule="auto"/>
              <w:ind w:left="72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198" w:type="dxa"/>
            <w:vMerge w:val="continue"/>
            <w:tcBorders>
              <w:top w:val="nil"/>
              <w:bottom w:val="nil"/>
            </w:tcBorders>
            <w:vAlign w:val="top"/>
          </w:tcPr>
          <w:p>
            <w:pPr>
              <w:rPr>
                <w:rFonts w:ascii="Arial"/>
                <w:sz w:val="21"/>
              </w:rPr>
            </w:pPr>
          </w:p>
        </w:tc>
        <w:tc>
          <w:tcPr>
            <w:tcW w:w="3654" w:type="dxa"/>
            <w:vMerge w:val="continue"/>
            <w:tcBorders>
              <w:top w:val="nil"/>
            </w:tcBorders>
            <w:vAlign w:val="top"/>
          </w:tcPr>
          <w:p>
            <w:pPr>
              <w:rPr>
                <w:rFonts w:ascii="Arial"/>
                <w:sz w:val="21"/>
              </w:rPr>
            </w:pPr>
          </w:p>
        </w:tc>
        <w:tc>
          <w:tcPr>
            <w:tcW w:w="2574" w:type="dxa"/>
            <w:vAlign w:val="top"/>
          </w:tcPr>
          <w:p>
            <w:pPr>
              <w:spacing w:before="141" w:line="197" w:lineRule="auto"/>
              <w:ind w:left="830"/>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2:29~22:49</w:t>
            </w:r>
          </w:p>
        </w:tc>
        <w:tc>
          <w:tcPr>
            <w:tcW w:w="1613" w:type="dxa"/>
            <w:vAlign w:val="top"/>
          </w:tcPr>
          <w:p>
            <w:pPr>
              <w:spacing w:before="141" w:line="197" w:lineRule="auto"/>
              <w:ind w:left="71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98" w:type="dxa"/>
            <w:vMerge w:val="continue"/>
            <w:tcBorders>
              <w:top w:val="nil"/>
              <w:bottom w:val="nil"/>
            </w:tcBorders>
            <w:vAlign w:val="top"/>
          </w:tcPr>
          <w:p>
            <w:pPr>
              <w:rPr>
                <w:rFonts w:ascii="Arial"/>
                <w:sz w:val="21"/>
              </w:rPr>
            </w:pPr>
          </w:p>
        </w:tc>
        <w:tc>
          <w:tcPr>
            <w:tcW w:w="3654" w:type="dxa"/>
            <w:vMerge w:val="restart"/>
            <w:tcBorders>
              <w:bottom w:val="nil"/>
            </w:tcBorders>
            <w:vAlign w:val="top"/>
          </w:tcPr>
          <w:p>
            <w:pPr>
              <w:spacing w:before="101" w:line="316" w:lineRule="auto"/>
              <w:ind w:left="1263" w:right="90" w:hanging="1177"/>
              <w:rPr>
                <w:rFonts w:ascii="Times New Roman" w:hAnsi="Times New Roman" w:eastAsia="Times New Roman" w:cs="Times New Roman"/>
                <w:sz w:val="17"/>
                <w:szCs w:val="17"/>
              </w:rPr>
            </w:pPr>
            <w:r>
              <w:rPr>
                <w:rFonts w:ascii="Times New Roman" w:hAnsi="Times New Roman" w:eastAsia="Times New Roman" w:cs="Times New Roman"/>
                <w:sz w:val="17"/>
                <w:szCs w:val="17"/>
              </w:rPr>
              <w:t>N</w:t>
            </w:r>
            <w:r>
              <w:rPr>
                <w:rFonts w:ascii="Times New Roman" w:hAnsi="Times New Roman" w:eastAsia="Times New Roman" w:cs="Times New Roman"/>
                <w:spacing w:val="4"/>
                <w:sz w:val="17"/>
                <w:szCs w:val="17"/>
              </w:rPr>
              <w:t xml:space="preserve">3-3# </w:t>
            </w:r>
            <w:r>
              <w:rPr>
                <w:rFonts w:ascii="宋体" w:hAnsi="宋体" w:eastAsia="宋体" w:cs="宋体"/>
                <w:spacing w:val="4"/>
                <w:sz w:val="17"/>
                <w:szCs w:val="17"/>
              </w:rPr>
              <w:t>，</w:t>
            </w:r>
            <w:r>
              <w:rPr>
                <w:rFonts w:ascii="Times New Roman" w:hAnsi="Times New Roman" w:eastAsia="Times New Roman" w:cs="Times New Roman"/>
                <w:spacing w:val="2"/>
                <w:sz w:val="17"/>
                <w:szCs w:val="17"/>
              </w:rPr>
              <w:t>“</w:t>
            </w:r>
            <w:r>
              <w:rPr>
                <w:rFonts w:ascii="宋体" w:hAnsi="宋体" w:eastAsia="宋体" w:cs="宋体"/>
                <w:spacing w:val="2"/>
                <w:sz w:val="17"/>
                <w:szCs w:val="17"/>
              </w:rPr>
              <w:t>宏义</w:t>
            </w:r>
            <w:r>
              <w:rPr>
                <w:rFonts w:ascii="Times New Roman" w:hAnsi="Times New Roman" w:eastAsia="Times New Roman" w:cs="Times New Roman"/>
                <w:spacing w:val="2"/>
                <w:sz w:val="17"/>
                <w:szCs w:val="17"/>
              </w:rPr>
              <w:t>·</w:t>
            </w:r>
            <w:r>
              <w:rPr>
                <w:rFonts w:ascii="宋体" w:hAnsi="宋体" w:eastAsia="宋体" w:cs="宋体"/>
                <w:spacing w:val="2"/>
                <w:sz w:val="17"/>
                <w:szCs w:val="17"/>
              </w:rPr>
              <w:t>江湾城</w:t>
            </w:r>
            <w:r>
              <w:rPr>
                <w:rFonts w:ascii="Times New Roman" w:hAnsi="Times New Roman" w:eastAsia="Times New Roman" w:cs="Times New Roman"/>
                <w:spacing w:val="2"/>
                <w:sz w:val="17"/>
                <w:szCs w:val="17"/>
              </w:rPr>
              <w:t>”</w:t>
            </w:r>
            <w:r>
              <w:rPr>
                <w:rFonts w:ascii="宋体" w:hAnsi="宋体" w:eastAsia="宋体" w:cs="宋体"/>
                <w:spacing w:val="2"/>
                <w:sz w:val="17"/>
                <w:szCs w:val="17"/>
              </w:rPr>
              <w:t xml:space="preserve">小区 </w:t>
            </w:r>
            <w:r>
              <w:rPr>
                <w:rFonts w:ascii="Times New Roman" w:hAnsi="Times New Roman" w:eastAsia="Times New Roman" w:cs="Times New Roman"/>
                <w:spacing w:val="2"/>
                <w:sz w:val="17"/>
                <w:szCs w:val="17"/>
              </w:rPr>
              <w:t xml:space="preserve">5 </w:t>
            </w:r>
            <w:r>
              <w:rPr>
                <w:rFonts w:ascii="宋体" w:hAnsi="宋体" w:eastAsia="宋体" w:cs="宋体"/>
                <w:spacing w:val="2"/>
                <w:sz w:val="17"/>
                <w:szCs w:val="17"/>
              </w:rPr>
              <w:t xml:space="preserve">期 </w:t>
            </w:r>
            <w:r>
              <w:rPr>
                <w:rFonts w:ascii="Times New Roman" w:hAnsi="Times New Roman" w:eastAsia="Times New Roman" w:cs="Times New Roman"/>
                <w:spacing w:val="2"/>
                <w:sz w:val="17"/>
                <w:szCs w:val="17"/>
              </w:rPr>
              <w:t xml:space="preserve">15 </w:t>
            </w:r>
            <w:r>
              <w:rPr>
                <w:rFonts w:ascii="宋体" w:hAnsi="宋体" w:eastAsia="宋体" w:cs="宋体"/>
                <w:spacing w:val="2"/>
                <w:sz w:val="17"/>
                <w:szCs w:val="17"/>
              </w:rPr>
              <w:t>号楼临拟</w:t>
            </w:r>
            <w:r>
              <w:rPr>
                <w:rFonts w:ascii="宋体" w:hAnsi="宋体" w:eastAsia="宋体" w:cs="宋体"/>
                <w:sz w:val="17"/>
                <w:szCs w:val="17"/>
              </w:rPr>
              <w:t xml:space="preserve"> </w:t>
            </w:r>
            <w:r>
              <w:rPr>
                <w:rFonts w:ascii="宋体" w:hAnsi="宋体" w:eastAsia="宋体" w:cs="宋体"/>
                <w:spacing w:val="2"/>
                <w:sz w:val="17"/>
                <w:szCs w:val="17"/>
              </w:rPr>
              <w:t xml:space="preserve">建桥梁一侧 </w:t>
            </w:r>
            <w:r>
              <w:rPr>
                <w:rFonts w:ascii="Times New Roman" w:hAnsi="Times New Roman" w:eastAsia="Times New Roman" w:cs="Times New Roman"/>
                <w:spacing w:val="1"/>
                <w:sz w:val="17"/>
                <w:szCs w:val="17"/>
              </w:rPr>
              <w:t>7</w:t>
            </w:r>
            <w:r>
              <w:rPr>
                <w:rFonts w:ascii="Times New Roman" w:hAnsi="Times New Roman" w:eastAsia="Times New Roman" w:cs="Times New Roman"/>
                <w:sz w:val="17"/>
                <w:szCs w:val="17"/>
              </w:rPr>
              <w:t>F</w:t>
            </w:r>
          </w:p>
        </w:tc>
        <w:tc>
          <w:tcPr>
            <w:tcW w:w="2574" w:type="dxa"/>
            <w:vAlign w:val="top"/>
          </w:tcPr>
          <w:p>
            <w:pPr>
              <w:spacing w:before="131" w:line="197" w:lineRule="auto"/>
              <w:ind w:left="84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4:27~ 14:47</w:t>
            </w:r>
          </w:p>
        </w:tc>
        <w:tc>
          <w:tcPr>
            <w:tcW w:w="1613" w:type="dxa"/>
            <w:vAlign w:val="top"/>
          </w:tcPr>
          <w:p>
            <w:pPr>
              <w:spacing w:before="133" w:line="194" w:lineRule="auto"/>
              <w:ind w:left="72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98" w:type="dxa"/>
            <w:vMerge w:val="continue"/>
            <w:tcBorders>
              <w:top w:val="nil"/>
              <w:bottom w:val="nil"/>
            </w:tcBorders>
            <w:vAlign w:val="top"/>
          </w:tcPr>
          <w:p>
            <w:pPr>
              <w:rPr>
                <w:rFonts w:ascii="Arial"/>
                <w:sz w:val="21"/>
              </w:rPr>
            </w:pPr>
          </w:p>
        </w:tc>
        <w:tc>
          <w:tcPr>
            <w:tcW w:w="3654" w:type="dxa"/>
            <w:vMerge w:val="continue"/>
            <w:tcBorders>
              <w:top w:val="nil"/>
            </w:tcBorders>
            <w:vAlign w:val="top"/>
          </w:tcPr>
          <w:p>
            <w:pPr>
              <w:rPr>
                <w:rFonts w:ascii="Arial"/>
                <w:sz w:val="21"/>
              </w:rPr>
            </w:pPr>
          </w:p>
        </w:tc>
        <w:tc>
          <w:tcPr>
            <w:tcW w:w="2574" w:type="dxa"/>
            <w:vAlign w:val="top"/>
          </w:tcPr>
          <w:p>
            <w:pPr>
              <w:spacing w:before="132" w:line="197" w:lineRule="auto"/>
              <w:ind w:left="830"/>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2:27~22:47</w:t>
            </w:r>
          </w:p>
        </w:tc>
        <w:tc>
          <w:tcPr>
            <w:tcW w:w="1613" w:type="dxa"/>
            <w:vAlign w:val="top"/>
          </w:tcPr>
          <w:p>
            <w:pPr>
              <w:spacing w:before="132" w:line="197" w:lineRule="auto"/>
              <w:ind w:left="71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98" w:type="dxa"/>
            <w:vMerge w:val="continue"/>
            <w:tcBorders>
              <w:top w:val="nil"/>
              <w:bottom w:val="nil"/>
            </w:tcBorders>
            <w:vAlign w:val="top"/>
          </w:tcPr>
          <w:p>
            <w:pPr>
              <w:rPr>
                <w:rFonts w:ascii="Arial"/>
                <w:sz w:val="21"/>
              </w:rPr>
            </w:pPr>
          </w:p>
        </w:tc>
        <w:tc>
          <w:tcPr>
            <w:tcW w:w="3654" w:type="dxa"/>
            <w:vMerge w:val="restart"/>
            <w:tcBorders>
              <w:bottom w:val="nil"/>
            </w:tcBorders>
            <w:vAlign w:val="top"/>
          </w:tcPr>
          <w:p>
            <w:pPr>
              <w:spacing w:before="99" w:line="317" w:lineRule="auto"/>
              <w:ind w:left="1220" w:right="90" w:hanging="1134"/>
              <w:rPr>
                <w:rFonts w:ascii="Times New Roman" w:hAnsi="Times New Roman" w:eastAsia="Times New Roman" w:cs="Times New Roman"/>
                <w:sz w:val="17"/>
                <w:szCs w:val="17"/>
              </w:rPr>
            </w:pPr>
            <w:r>
              <w:rPr>
                <w:rFonts w:ascii="Times New Roman" w:hAnsi="Times New Roman" w:eastAsia="Times New Roman" w:cs="Times New Roman"/>
                <w:sz w:val="17"/>
                <w:szCs w:val="17"/>
              </w:rPr>
              <w:t>N</w:t>
            </w:r>
            <w:r>
              <w:rPr>
                <w:rFonts w:ascii="Times New Roman" w:hAnsi="Times New Roman" w:eastAsia="Times New Roman" w:cs="Times New Roman"/>
                <w:spacing w:val="4"/>
                <w:sz w:val="17"/>
                <w:szCs w:val="17"/>
              </w:rPr>
              <w:t xml:space="preserve">3-4# </w:t>
            </w:r>
            <w:r>
              <w:rPr>
                <w:rFonts w:ascii="宋体" w:hAnsi="宋体" w:eastAsia="宋体" w:cs="宋体"/>
                <w:spacing w:val="4"/>
                <w:sz w:val="17"/>
                <w:szCs w:val="17"/>
              </w:rPr>
              <w:t>，</w:t>
            </w:r>
            <w:r>
              <w:rPr>
                <w:rFonts w:ascii="Times New Roman" w:hAnsi="Times New Roman" w:eastAsia="Times New Roman" w:cs="Times New Roman"/>
                <w:spacing w:val="2"/>
                <w:sz w:val="17"/>
                <w:szCs w:val="17"/>
              </w:rPr>
              <w:t>“</w:t>
            </w:r>
            <w:r>
              <w:rPr>
                <w:rFonts w:ascii="宋体" w:hAnsi="宋体" w:eastAsia="宋体" w:cs="宋体"/>
                <w:spacing w:val="2"/>
                <w:sz w:val="17"/>
                <w:szCs w:val="17"/>
              </w:rPr>
              <w:t>宏义</w:t>
            </w:r>
            <w:r>
              <w:rPr>
                <w:rFonts w:ascii="Times New Roman" w:hAnsi="Times New Roman" w:eastAsia="Times New Roman" w:cs="Times New Roman"/>
                <w:spacing w:val="2"/>
                <w:sz w:val="17"/>
                <w:szCs w:val="17"/>
              </w:rPr>
              <w:t>·</w:t>
            </w:r>
            <w:r>
              <w:rPr>
                <w:rFonts w:ascii="宋体" w:hAnsi="宋体" w:eastAsia="宋体" w:cs="宋体"/>
                <w:spacing w:val="2"/>
                <w:sz w:val="17"/>
                <w:szCs w:val="17"/>
              </w:rPr>
              <w:t>江湾城</w:t>
            </w:r>
            <w:r>
              <w:rPr>
                <w:rFonts w:ascii="Times New Roman" w:hAnsi="Times New Roman" w:eastAsia="Times New Roman" w:cs="Times New Roman"/>
                <w:spacing w:val="2"/>
                <w:sz w:val="17"/>
                <w:szCs w:val="17"/>
              </w:rPr>
              <w:t>”</w:t>
            </w:r>
            <w:r>
              <w:rPr>
                <w:rFonts w:ascii="宋体" w:hAnsi="宋体" w:eastAsia="宋体" w:cs="宋体"/>
                <w:spacing w:val="2"/>
                <w:sz w:val="17"/>
                <w:szCs w:val="17"/>
              </w:rPr>
              <w:t xml:space="preserve">小区 </w:t>
            </w:r>
            <w:r>
              <w:rPr>
                <w:rFonts w:ascii="Times New Roman" w:hAnsi="Times New Roman" w:eastAsia="Times New Roman" w:cs="Times New Roman"/>
                <w:spacing w:val="2"/>
                <w:sz w:val="17"/>
                <w:szCs w:val="17"/>
              </w:rPr>
              <w:t xml:space="preserve">5 </w:t>
            </w:r>
            <w:r>
              <w:rPr>
                <w:rFonts w:ascii="宋体" w:hAnsi="宋体" w:eastAsia="宋体" w:cs="宋体"/>
                <w:spacing w:val="2"/>
                <w:sz w:val="17"/>
                <w:szCs w:val="17"/>
              </w:rPr>
              <w:t xml:space="preserve">期 </w:t>
            </w:r>
            <w:r>
              <w:rPr>
                <w:rFonts w:ascii="Times New Roman" w:hAnsi="Times New Roman" w:eastAsia="Times New Roman" w:cs="Times New Roman"/>
                <w:spacing w:val="2"/>
                <w:sz w:val="17"/>
                <w:szCs w:val="17"/>
              </w:rPr>
              <w:t xml:space="preserve">15 </w:t>
            </w:r>
            <w:r>
              <w:rPr>
                <w:rFonts w:ascii="宋体" w:hAnsi="宋体" w:eastAsia="宋体" w:cs="宋体"/>
                <w:spacing w:val="2"/>
                <w:sz w:val="17"/>
                <w:szCs w:val="17"/>
              </w:rPr>
              <w:t>号楼临拟</w:t>
            </w:r>
            <w:r>
              <w:rPr>
                <w:rFonts w:ascii="宋体" w:hAnsi="宋体" w:eastAsia="宋体" w:cs="宋体"/>
                <w:sz w:val="17"/>
                <w:szCs w:val="17"/>
              </w:rPr>
              <w:t xml:space="preserve"> </w:t>
            </w:r>
            <w:r>
              <w:rPr>
                <w:rFonts w:ascii="宋体" w:hAnsi="宋体" w:eastAsia="宋体" w:cs="宋体"/>
                <w:spacing w:val="2"/>
                <w:sz w:val="17"/>
                <w:szCs w:val="17"/>
              </w:rPr>
              <w:t xml:space="preserve">建桥梁一侧 </w:t>
            </w:r>
            <w:r>
              <w:rPr>
                <w:rFonts w:ascii="Times New Roman" w:hAnsi="Times New Roman" w:eastAsia="Times New Roman" w:cs="Times New Roman"/>
                <w:spacing w:val="2"/>
                <w:sz w:val="17"/>
                <w:szCs w:val="17"/>
              </w:rPr>
              <w:t>1</w:t>
            </w:r>
            <w:r>
              <w:rPr>
                <w:rFonts w:ascii="Times New Roman" w:hAnsi="Times New Roman" w:eastAsia="Times New Roman" w:cs="Times New Roman"/>
                <w:sz w:val="17"/>
                <w:szCs w:val="17"/>
              </w:rPr>
              <w:t>0F</w:t>
            </w:r>
          </w:p>
        </w:tc>
        <w:tc>
          <w:tcPr>
            <w:tcW w:w="2574" w:type="dxa"/>
            <w:vAlign w:val="top"/>
          </w:tcPr>
          <w:p>
            <w:pPr>
              <w:spacing w:before="131" w:line="197" w:lineRule="auto"/>
              <w:ind w:left="84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4:27~ 14:47</w:t>
            </w:r>
          </w:p>
        </w:tc>
        <w:tc>
          <w:tcPr>
            <w:tcW w:w="1613" w:type="dxa"/>
            <w:vAlign w:val="top"/>
          </w:tcPr>
          <w:p>
            <w:pPr>
              <w:spacing w:before="131" w:line="197" w:lineRule="auto"/>
              <w:ind w:left="72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98" w:type="dxa"/>
            <w:vMerge w:val="continue"/>
            <w:tcBorders>
              <w:top w:val="nil"/>
              <w:bottom w:val="nil"/>
            </w:tcBorders>
            <w:vAlign w:val="top"/>
          </w:tcPr>
          <w:p>
            <w:pPr>
              <w:rPr>
                <w:rFonts w:ascii="Arial"/>
                <w:sz w:val="21"/>
              </w:rPr>
            </w:pPr>
          </w:p>
        </w:tc>
        <w:tc>
          <w:tcPr>
            <w:tcW w:w="3654" w:type="dxa"/>
            <w:vMerge w:val="continue"/>
            <w:tcBorders>
              <w:top w:val="nil"/>
            </w:tcBorders>
            <w:vAlign w:val="top"/>
          </w:tcPr>
          <w:p>
            <w:pPr>
              <w:rPr>
                <w:rFonts w:ascii="Arial"/>
                <w:sz w:val="21"/>
              </w:rPr>
            </w:pPr>
          </w:p>
        </w:tc>
        <w:tc>
          <w:tcPr>
            <w:tcW w:w="2574" w:type="dxa"/>
            <w:vAlign w:val="top"/>
          </w:tcPr>
          <w:p>
            <w:pPr>
              <w:spacing w:before="131" w:line="197" w:lineRule="auto"/>
              <w:ind w:left="830"/>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2:27~22:47</w:t>
            </w:r>
          </w:p>
        </w:tc>
        <w:tc>
          <w:tcPr>
            <w:tcW w:w="1613" w:type="dxa"/>
            <w:vAlign w:val="top"/>
          </w:tcPr>
          <w:p>
            <w:pPr>
              <w:spacing w:before="131" w:line="197" w:lineRule="auto"/>
              <w:ind w:left="71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98" w:type="dxa"/>
            <w:vMerge w:val="continue"/>
            <w:tcBorders>
              <w:top w:val="nil"/>
              <w:bottom w:val="nil"/>
            </w:tcBorders>
            <w:vAlign w:val="top"/>
          </w:tcPr>
          <w:p>
            <w:pPr>
              <w:rPr>
                <w:rFonts w:ascii="Arial"/>
                <w:sz w:val="21"/>
              </w:rPr>
            </w:pPr>
          </w:p>
        </w:tc>
        <w:tc>
          <w:tcPr>
            <w:tcW w:w="3654" w:type="dxa"/>
            <w:vMerge w:val="restart"/>
            <w:tcBorders>
              <w:bottom w:val="nil"/>
            </w:tcBorders>
            <w:vAlign w:val="top"/>
          </w:tcPr>
          <w:p>
            <w:pPr>
              <w:spacing w:before="101" w:line="316" w:lineRule="auto"/>
              <w:ind w:left="1220" w:right="90" w:hanging="1134"/>
              <w:rPr>
                <w:rFonts w:ascii="Times New Roman" w:hAnsi="Times New Roman" w:eastAsia="Times New Roman" w:cs="Times New Roman"/>
                <w:sz w:val="17"/>
                <w:szCs w:val="17"/>
              </w:rPr>
            </w:pPr>
            <w:r>
              <w:rPr>
                <w:rFonts w:ascii="Times New Roman" w:hAnsi="Times New Roman" w:eastAsia="Times New Roman" w:cs="Times New Roman"/>
                <w:sz w:val="17"/>
                <w:szCs w:val="17"/>
              </w:rPr>
              <w:t>N</w:t>
            </w:r>
            <w:r>
              <w:rPr>
                <w:rFonts w:ascii="Times New Roman" w:hAnsi="Times New Roman" w:eastAsia="Times New Roman" w:cs="Times New Roman"/>
                <w:spacing w:val="4"/>
                <w:sz w:val="17"/>
                <w:szCs w:val="17"/>
              </w:rPr>
              <w:t xml:space="preserve">3-5# </w:t>
            </w:r>
            <w:r>
              <w:rPr>
                <w:rFonts w:ascii="宋体" w:hAnsi="宋体" w:eastAsia="宋体" w:cs="宋体"/>
                <w:spacing w:val="4"/>
                <w:sz w:val="17"/>
                <w:szCs w:val="17"/>
              </w:rPr>
              <w:t>，</w:t>
            </w:r>
            <w:r>
              <w:rPr>
                <w:rFonts w:ascii="Times New Roman" w:hAnsi="Times New Roman" w:eastAsia="Times New Roman" w:cs="Times New Roman"/>
                <w:spacing w:val="2"/>
                <w:sz w:val="17"/>
                <w:szCs w:val="17"/>
              </w:rPr>
              <w:t>“</w:t>
            </w:r>
            <w:r>
              <w:rPr>
                <w:rFonts w:ascii="宋体" w:hAnsi="宋体" w:eastAsia="宋体" w:cs="宋体"/>
                <w:spacing w:val="2"/>
                <w:sz w:val="17"/>
                <w:szCs w:val="17"/>
              </w:rPr>
              <w:t>宏义</w:t>
            </w:r>
            <w:r>
              <w:rPr>
                <w:rFonts w:ascii="Times New Roman" w:hAnsi="Times New Roman" w:eastAsia="Times New Roman" w:cs="Times New Roman"/>
                <w:spacing w:val="2"/>
                <w:sz w:val="17"/>
                <w:szCs w:val="17"/>
              </w:rPr>
              <w:t>·</w:t>
            </w:r>
            <w:r>
              <w:rPr>
                <w:rFonts w:ascii="宋体" w:hAnsi="宋体" w:eastAsia="宋体" w:cs="宋体"/>
                <w:spacing w:val="2"/>
                <w:sz w:val="17"/>
                <w:szCs w:val="17"/>
              </w:rPr>
              <w:t>江湾城</w:t>
            </w:r>
            <w:r>
              <w:rPr>
                <w:rFonts w:ascii="Times New Roman" w:hAnsi="Times New Roman" w:eastAsia="Times New Roman" w:cs="Times New Roman"/>
                <w:spacing w:val="2"/>
                <w:sz w:val="17"/>
                <w:szCs w:val="17"/>
              </w:rPr>
              <w:t>”</w:t>
            </w:r>
            <w:r>
              <w:rPr>
                <w:rFonts w:ascii="宋体" w:hAnsi="宋体" w:eastAsia="宋体" w:cs="宋体"/>
                <w:spacing w:val="2"/>
                <w:sz w:val="17"/>
                <w:szCs w:val="17"/>
              </w:rPr>
              <w:t xml:space="preserve">小区 </w:t>
            </w:r>
            <w:r>
              <w:rPr>
                <w:rFonts w:ascii="Times New Roman" w:hAnsi="Times New Roman" w:eastAsia="Times New Roman" w:cs="Times New Roman"/>
                <w:spacing w:val="2"/>
                <w:sz w:val="17"/>
                <w:szCs w:val="17"/>
              </w:rPr>
              <w:t xml:space="preserve">5 </w:t>
            </w:r>
            <w:r>
              <w:rPr>
                <w:rFonts w:ascii="宋体" w:hAnsi="宋体" w:eastAsia="宋体" w:cs="宋体"/>
                <w:spacing w:val="2"/>
                <w:sz w:val="17"/>
                <w:szCs w:val="17"/>
              </w:rPr>
              <w:t xml:space="preserve">期 </w:t>
            </w:r>
            <w:r>
              <w:rPr>
                <w:rFonts w:ascii="Times New Roman" w:hAnsi="Times New Roman" w:eastAsia="Times New Roman" w:cs="Times New Roman"/>
                <w:spacing w:val="2"/>
                <w:sz w:val="17"/>
                <w:szCs w:val="17"/>
              </w:rPr>
              <w:t xml:space="preserve">15 </w:t>
            </w:r>
            <w:r>
              <w:rPr>
                <w:rFonts w:ascii="宋体" w:hAnsi="宋体" w:eastAsia="宋体" w:cs="宋体"/>
                <w:spacing w:val="2"/>
                <w:sz w:val="17"/>
                <w:szCs w:val="17"/>
              </w:rPr>
              <w:t>号楼临拟</w:t>
            </w:r>
            <w:r>
              <w:rPr>
                <w:rFonts w:ascii="宋体" w:hAnsi="宋体" w:eastAsia="宋体" w:cs="宋体"/>
                <w:sz w:val="17"/>
                <w:szCs w:val="17"/>
              </w:rPr>
              <w:t xml:space="preserve"> </w:t>
            </w:r>
            <w:r>
              <w:rPr>
                <w:rFonts w:ascii="宋体" w:hAnsi="宋体" w:eastAsia="宋体" w:cs="宋体"/>
                <w:spacing w:val="2"/>
                <w:sz w:val="17"/>
                <w:szCs w:val="17"/>
              </w:rPr>
              <w:t xml:space="preserve">建桥梁一侧 </w:t>
            </w:r>
            <w:r>
              <w:rPr>
                <w:rFonts w:ascii="Times New Roman" w:hAnsi="Times New Roman" w:eastAsia="Times New Roman" w:cs="Times New Roman"/>
                <w:spacing w:val="2"/>
                <w:sz w:val="17"/>
                <w:szCs w:val="17"/>
              </w:rPr>
              <w:t>1</w:t>
            </w:r>
            <w:r>
              <w:rPr>
                <w:rFonts w:ascii="Times New Roman" w:hAnsi="Times New Roman" w:eastAsia="Times New Roman" w:cs="Times New Roman"/>
                <w:sz w:val="17"/>
                <w:szCs w:val="17"/>
              </w:rPr>
              <w:t>5F</w:t>
            </w:r>
          </w:p>
        </w:tc>
        <w:tc>
          <w:tcPr>
            <w:tcW w:w="2574" w:type="dxa"/>
            <w:vAlign w:val="top"/>
          </w:tcPr>
          <w:p>
            <w:pPr>
              <w:spacing w:before="132" w:line="197" w:lineRule="auto"/>
              <w:ind w:left="84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4:50~ 15:10</w:t>
            </w:r>
          </w:p>
        </w:tc>
        <w:tc>
          <w:tcPr>
            <w:tcW w:w="1613" w:type="dxa"/>
            <w:vAlign w:val="top"/>
          </w:tcPr>
          <w:p>
            <w:pPr>
              <w:spacing w:before="132" w:line="197" w:lineRule="auto"/>
              <w:ind w:left="72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98" w:type="dxa"/>
            <w:vMerge w:val="continue"/>
            <w:tcBorders>
              <w:top w:val="nil"/>
              <w:bottom w:val="nil"/>
            </w:tcBorders>
            <w:vAlign w:val="top"/>
          </w:tcPr>
          <w:p>
            <w:pPr>
              <w:rPr>
                <w:rFonts w:ascii="Arial"/>
                <w:sz w:val="21"/>
              </w:rPr>
            </w:pPr>
          </w:p>
        </w:tc>
        <w:tc>
          <w:tcPr>
            <w:tcW w:w="3654" w:type="dxa"/>
            <w:vMerge w:val="continue"/>
            <w:tcBorders>
              <w:top w:val="nil"/>
            </w:tcBorders>
            <w:vAlign w:val="top"/>
          </w:tcPr>
          <w:p>
            <w:pPr>
              <w:rPr>
                <w:rFonts w:ascii="Arial"/>
                <w:sz w:val="21"/>
              </w:rPr>
            </w:pPr>
          </w:p>
        </w:tc>
        <w:tc>
          <w:tcPr>
            <w:tcW w:w="2574" w:type="dxa"/>
            <w:vAlign w:val="top"/>
          </w:tcPr>
          <w:p>
            <w:pPr>
              <w:spacing w:before="131" w:line="197" w:lineRule="auto"/>
              <w:ind w:left="830"/>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2:51~23:11</w:t>
            </w:r>
          </w:p>
        </w:tc>
        <w:tc>
          <w:tcPr>
            <w:tcW w:w="1613" w:type="dxa"/>
            <w:vAlign w:val="top"/>
          </w:tcPr>
          <w:p>
            <w:pPr>
              <w:spacing w:before="131" w:line="197" w:lineRule="auto"/>
              <w:ind w:left="71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98" w:type="dxa"/>
            <w:vMerge w:val="continue"/>
            <w:tcBorders>
              <w:top w:val="nil"/>
              <w:bottom w:val="nil"/>
            </w:tcBorders>
            <w:vAlign w:val="top"/>
          </w:tcPr>
          <w:p>
            <w:pPr>
              <w:rPr>
                <w:rFonts w:ascii="Arial"/>
                <w:sz w:val="21"/>
              </w:rPr>
            </w:pPr>
          </w:p>
        </w:tc>
        <w:tc>
          <w:tcPr>
            <w:tcW w:w="3654" w:type="dxa"/>
            <w:vMerge w:val="restart"/>
            <w:tcBorders>
              <w:bottom w:val="nil"/>
            </w:tcBorders>
            <w:vAlign w:val="top"/>
          </w:tcPr>
          <w:p>
            <w:pPr>
              <w:spacing w:before="101" w:line="316" w:lineRule="auto"/>
              <w:ind w:left="1220" w:right="90" w:hanging="1134"/>
              <w:rPr>
                <w:rFonts w:ascii="Times New Roman" w:hAnsi="Times New Roman" w:eastAsia="Times New Roman" w:cs="Times New Roman"/>
                <w:sz w:val="17"/>
                <w:szCs w:val="17"/>
              </w:rPr>
            </w:pPr>
            <w:r>
              <w:rPr>
                <w:rFonts w:ascii="Times New Roman" w:hAnsi="Times New Roman" w:eastAsia="Times New Roman" w:cs="Times New Roman"/>
                <w:sz w:val="17"/>
                <w:szCs w:val="17"/>
              </w:rPr>
              <w:t>N</w:t>
            </w:r>
            <w:r>
              <w:rPr>
                <w:rFonts w:ascii="Times New Roman" w:hAnsi="Times New Roman" w:eastAsia="Times New Roman" w:cs="Times New Roman"/>
                <w:spacing w:val="4"/>
                <w:sz w:val="17"/>
                <w:szCs w:val="17"/>
              </w:rPr>
              <w:t xml:space="preserve">3-6# </w:t>
            </w:r>
            <w:r>
              <w:rPr>
                <w:rFonts w:ascii="宋体" w:hAnsi="宋体" w:eastAsia="宋体" w:cs="宋体"/>
                <w:spacing w:val="4"/>
                <w:sz w:val="17"/>
                <w:szCs w:val="17"/>
              </w:rPr>
              <w:t>，</w:t>
            </w:r>
            <w:r>
              <w:rPr>
                <w:rFonts w:ascii="Times New Roman" w:hAnsi="Times New Roman" w:eastAsia="Times New Roman" w:cs="Times New Roman"/>
                <w:spacing w:val="2"/>
                <w:sz w:val="17"/>
                <w:szCs w:val="17"/>
              </w:rPr>
              <w:t>“</w:t>
            </w:r>
            <w:r>
              <w:rPr>
                <w:rFonts w:ascii="宋体" w:hAnsi="宋体" w:eastAsia="宋体" w:cs="宋体"/>
                <w:spacing w:val="2"/>
                <w:sz w:val="17"/>
                <w:szCs w:val="17"/>
              </w:rPr>
              <w:t>宏义</w:t>
            </w:r>
            <w:r>
              <w:rPr>
                <w:rFonts w:ascii="Times New Roman" w:hAnsi="Times New Roman" w:eastAsia="Times New Roman" w:cs="Times New Roman"/>
                <w:spacing w:val="2"/>
                <w:sz w:val="17"/>
                <w:szCs w:val="17"/>
              </w:rPr>
              <w:t>·</w:t>
            </w:r>
            <w:r>
              <w:rPr>
                <w:rFonts w:ascii="宋体" w:hAnsi="宋体" w:eastAsia="宋体" w:cs="宋体"/>
                <w:spacing w:val="2"/>
                <w:sz w:val="17"/>
                <w:szCs w:val="17"/>
              </w:rPr>
              <w:t>江湾城</w:t>
            </w:r>
            <w:r>
              <w:rPr>
                <w:rFonts w:ascii="Times New Roman" w:hAnsi="Times New Roman" w:eastAsia="Times New Roman" w:cs="Times New Roman"/>
                <w:spacing w:val="2"/>
                <w:sz w:val="17"/>
                <w:szCs w:val="17"/>
              </w:rPr>
              <w:t>”</w:t>
            </w:r>
            <w:r>
              <w:rPr>
                <w:rFonts w:ascii="宋体" w:hAnsi="宋体" w:eastAsia="宋体" w:cs="宋体"/>
                <w:spacing w:val="2"/>
                <w:sz w:val="17"/>
                <w:szCs w:val="17"/>
              </w:rPr>
              <w:t xml:space="preserve">小区 </w:t>
            </w:r>
            <w:r>
              <w:rPr>
                <w:rFonts w:ascii="Times New Roman" w:hAnsi="Times New Roman" w:eastAsia="Times New Roman" w:cs="Times New Roman"/>
                <w:spacing w:val="2"/>
                <w:sz w:val="17"/>
                <w:szCs w:val="17"/>
              </w:rPr>
              <w:t xml:space="preserve">5 </w:t>
            </w:r>
            <w:r>
              <w:rPr>
                <w:rFonts w:ascii="宋体" w:hAnsi="宋体" w:eastAsia="宋体" w:cs="宋体"/>
                <w:spacing w:val="2"/>
                <w:sz w:val="17"/>
                <w:szCs w:val="17"/>
              </w:rPr>
              <w:t xml:space="preserve">期 </w:t>
            </w:r>
            <w:r>
              <w:rPr>
                <w:rFonts w:ascii="Times New Roman" w:hAnsi="Times New Roman" w:eastAsia="Times New Roman" w:cs="Times New Roman"/>
                <w:spacing w:val="2"/>
                <w:sz w:val="17"/>
                <w:szCs w:val="17"/>
              </w:rPr>
              <w:t xml:space="preserve">15 </w:t>
            </w:r>
            <w:r>
              <w:rPr>
                <w:rFonts w:ascii="宋体" w:hAnsi="宋体" w:eastAsia="宋体" w:cs="宋体"/>
                <w:spacing w:val="2"/>
                <w:sz w:val="17"/>
                <w:szCs w:val="17"/>
              </w:rPr>
              <w:t>号楼临拟</w:t>
            </w:r>
            <w:r>
              <w:rPr>
                <w:rFonts w:ascii="宋体" w:hAnsi="宋体" w:eastAsia="宋体" w:cs="宋体"/>
                <w:sz w:val="17"/>
                <w:szCs w:val="17"/>
              </w:rPr>
              <w:t xml:space="preserve"> </w:t>
            </w:r>
            <w:r>
              <w:rPr>
                <w:rFonts w:ascii="宋体" w:hAnsi="宋体" w:eastAsia="宋体" w:cs="宋体"/>
                <w:spacing w:val="2"/>
                <w:sz w:val="17"/>
                <w:szCs w:val="17"/>
              </w:rPr>
              <w:t xml:space="preserve">建桥梁一侧 </w:t>
            </w:r>
            <w:r>
              <w:rPr>
                <w:rFonts w:ascii="Times New Roman" w:hAnsi="Times New Roman" w:eastAsia="Times New Roman" w:cs="Times New Roman"/>
                <w:spacing w:val="2"/>
                <w:sz w:val="17"/>
                <w:szCs w:val="17"/>
              </w:rPr>
              <w:t>2</w:t>
            </w:r>
            <w:r>
              <w:rPr>
                <w:rFonts w:ascii="Times New Roman" w:hAnsi="Times New Roman" w:eastAsia="Times New Roman" w:cs="Times New Roman"/>
                <w:sz w:val="17"/>
                <w:szCs w:val="17"/>
              </w:rPr>
              <w:t>0F</w:t>
            </w:r>
          </w:p>
        </w:tc>
        <w:tc>
          <w:tcPr>
            <w:tcW w:w="2574" w:type="dxa"/>
            <w:vAlign w:val="top"/>
          </w:tcPr>
          <w:p>
            <w:pPr>
              <w:spacing w:before="131" w:line="197" w:lineRule="auto"/>
              <w:ind w:left="84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4:52~ 15:12</w:t>
            </w:r>
          </w:p>
        </w:tc>
        <w:tc>
          <w:tcPr>
            <w:tcW w:w="1613" w:type="dxa"/>
            <w:vAlign w:val="top"/>
          </w:tcPr>
          <w:p>
            <w:pPr>
              <w:spacing w:before="131" w:line="197" w:lineRule="auto"/>
              <w:ind w:left="71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98" w:type="dxa"/>
            <w:vMerge w:val="continue"/>
            <w:tcBorders>
              <w:top w:val="nil"/>
              <w:bottom w:val="nil"/>
            </w:tcBorders>
            <w:vAlign w:val="top"/>
          </w:tcPr>
          <w:p>
            <w:pPr>
              <w:rPr>
                <w:rFonts w:ascii="Arial"/>
                <w:sz w:val="21"/>
              </w:rPr>
            </w:pPr>
          </w:p>
        </w:tc>
        <w:tc>
          <w:tcPr>
            <w:tcW w:w="3654" w:type="dxa"/>
            <w:vMerge w:val="continue"/>
            <w:tcBorders>
              <w:top w:val="nil"/>
            </w:tcBorders>
            <w:vAlign w:val="top"/>
          </w:tcPr>
          <w:p>
            <w:pPr>
              <w:rPr>
                <w:rFonts w:ascii="Arial"/>
                <w:sz w:val="21"/>
              </w:rPr>
            </w:pPr>
          </w:p>
        </w:tc>
        <w:tc>
          <w:tcPr>
            <w:tcW w:w="2574" w:type="dxa"/>
            <w:vAlign w:val="top"/>
          </w:tcPr>
          <w:p>
            <w:pPr>
              <w:spacing w:before="132" w:line="197" w:lineRule="auto"/>
              <w:ind w:left="830"/>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2:53~23:13</w:t>
            </w:r>
          </w:p>
        </w:tc>
        <w:tc>
          <w:tcPr>
            <w:tcW w:w="1613" w:type="dxa"/>
            <w:vAlign w:val="top"/>
          </w:tcPr>
          <w:p>
            <w:pPr>
              <w:spacing w:before="132" w:line="197" w:lineRule="auto"/>
              <w:ind w:left="71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98" w:type="dxa"/>
            <w:vMerge w:val="continue"/>
            <w:tcBorders>
              <w:top w:val="nil"/>
              <w:bottom w:val="nil"/>
            </w:tcBorders>
            <w:vAlign w:val="top"/>
          </w:tcPr>
          <w:p>
            <w:pPr>
              <w:rPr>
                <w:rFonts w:ascii="Arial"/>
                <w:sz w:val="21"/>
              </w:rPr>
            </w:pPr>
          </w:p>
        </w:tc>
        <w:tc>
          <w:tcPr>
            <w:tcW w:w="3654" w:type="dxa"/>
            <w:vMerge w:val="restart"/>
            <w:tcBorders>
              <w:bottom w:val="nil"/>
            </w:tcBorders>
            <w:vAlign w:val="top"/>
          </w:tcPr>
          <w:p>
            <w:pPr>
              <w:spacing w:before="99" w:line="317" w:lineRule="auto"/>
              <w:ind w:left="1220" w:right="90" w:hanging="1134"/>
              <w:rPr>
                <w:rFonts w:ascii="Times New Roman" w:hAnsi="Times New Roman" w:eastAsia="Times New Roman" w:cs="Times New Roman"/>
                <w:sz w:val="17"/>
                <w:szCs w:val="17"/>
              </w:rPr>
            </w:pPr>
            <w:r>
              <w:rPr>
                <w:rFonts w:ascii="Times New Roman" w:hAnsi="Times New Roman" w:eastAsia="Times New Roman" w:cs="Times New Roman"/>
                <w:sz w:val="17"/>
                <w:szCs w:val="17"/>
              </w:rPr>
              <w:t>N</w:t>
            </w:r>
            <w:r>
              <w:rPr>
                <w:rFonts w:ascii="Times New Roman" w:hAnsi="Times New Roman" w:eastAsia="Times New Roman" w:cs="Times New Roman"/>
                <w:spacing w:val="4"/>
                <w:sz w:val="17"/>
                <w:szCs w:val="17"/>
              </w:rPr>
              <w:t xml:space="preserve">3-7# </w:t>
            </w:r>
            <w:r>
              <w:rPr>
                <w:rFonts w:ascii="宋体" w:hAnsi="宋体" w:eastAsia="宋体" w:cs="宋体"/>
                <w:spacing w:val="4"/>
                <w:sz w:val="17"/>
                <w:szCs w:val="17"/>
              </w:rPr>
              <w:t>，</w:t>
            </w:r>
            <w:r>
              <w:rPr>
                <w:rFonts w:ascii="Times New Roman" w:hAnsi="Times New Roman" w:eastAsia="Times New Roman" w:cs="Times New Roman"/>
                <w:spacing w:val="2"/>
                <w:sz w:val="17"/>
                <w:szCs w:val="17"/>
              </w:rPr>
              <w:t>“</w:t>
            </w:r>
            <w:r>
              <w:rPr>
                <w:rFonts w:ascii="宋体" w:hAnsi="宋体" w:eastAsia="宋体" w:cs="宋体"/>
                <w:spacing w:val="2"/>
                <w:sz w:val="17"/>
                <w:szCs w:val="17"/>
              </w:rPr>
              <w:t>宏义</w:t>
            </w:r>
            <w:r>
              <w:rPr>
                <w:rFonts w:ascii="Times New Roman" w:hAnsi="Times New Roman" w:eastAsia="Times New Roman" w:cs="Times New Roman"/>
                <w:spacing w:val="2"/>
                <w:sz w:val="17"/>
                <w:szCs w:val="17"/>
              </w:rPr>
              <w:t>·</w:t>
            </w:r>
            <w:r>
              <w:rPr>
                <w:rFonts w:ascii="宋体" w:hAnsi="宋体" w:eastAsia="宋体" w:cs="宋体"/>
                <w:spacing w:val="2"/>
                <w:sz w:val="17"/>
                <w:szCs w:val="17"/>
              </w:rPr>
              <w:t>江湾城</w:t>
            </w:r>
            <w:r>
              <w:rPr>
                <w:rFonts w:ascii="Times New Roman" w:hAnsi="Times New Roman" w:eastAsia="Times New Roman" w:cs="Times New Roman"/>
                <w:spacing w:val="2"/>
                <w:sz w:val="17"/>
                <w:szCs w:val="17"/>
              </w:rPr>
              <w:t>”</w:t>
            </w:r>
            <w:r>
              <w:rPr>
                <w:rFonts w:ascii="宋体" w:hAnsi="宋体" w:eastAsia="宋体" w:cs="宋体"/>
                <w:spacing w:val="2"/>
                <w:sz w:val="17"/>
                <w:szCs w:val="17"/>
              </w:rPr>
              <w:t xml:space="preserve">小区 </w:t>
            </w:r>
            <w:r>
              <w:rPr>
                <w:rFonts w:ascii="Times New Roman" w:hAnsi="Times New Roman" w:eastAsia="Times New Roman" w:cs="Times New Roman"/>
                <w:spacing w:val="2"/>
                <w:sz w:val="17"/>
                <w:szCs w:val="17"/>
              </w:rPr>
              <w:t xml:space="preserve">5 </w:t>
            </w:r>
            <w:r>
              <w:rPr>
                <w:rFonts w:ascii="宋体" w:hAnsi="宋体" w:eastAsia="宋体" w:cs="宋体"/>
                <w:spacing w:val="2"/>
                <w:sz w:val="17"/>
                <w:szCs w:val="17"/>
              </w:rPr>
              <w:t xml:space="preserve">期 </w:t>
            </w:r>
            <w:r>
              <w:rPr>
                <w:rFonts w:ascii="Times New Roman" w:hAnsi="Times New Roman" w:eastAsia="Times New Roman" w:cs="Times New Roman"/>
                <w:spacing w:val="2"/>
                <w:sz w:val="17"/>
                <w:szCs w:val="17"/>
              </w:rPr>
              <w:t xml:space="preserve">15 </w:t>
            </w:r>
            <w:r>
              <w:rPr>
                <w:rFonts w:ascii="宋体" w:hAnsi="宋体" w:eastAsia="宋体" w:cs="宋体"/>
                <w:spacing w:val="2"/>
                <w:sz w:val="17"/>
                <w:szCs w:val="17"/>
              </w:rPr>
              <w:t>号楼临拟</w:t>
            </w:r>
            <w:r>
              <w:rPr>
                <w:rFonts w:ascii="宋体" w:hAnsi="宋体" w:eastAsia="宋体" w:cs="宋体"/>
                <w:sz w:val="17"/>
                <w:szCs w:val="17"/>
              </w:rPr>
              <w:t xml:space="preserve"> </w:t>
            </w:r>
            <w:r>
              <w:rPr>
                <w:rFonts w:ascii="宋体" w:hAnsi="宋体" w:eastAsia="宋体" w:cs="宋体"/>
                <w:spacing w:val="2"/>
                <w:sz w:val="17"/>
                <w:szCs w:val="17"/>
              </w:rPr>
              <w:t xml:space="preserve">建桥梁一侧 </w:t>
            </w:r>
            <w:r>
              <w:rPr>
                <w:rFonts w:ascii="Times New Roman" w:hAnsi="Times New Roman" w:eastAsia="Times New Roman" w:cs="Times New Roman"/>
                <w:spacing w:val="2"/>
                <w:sz w:val="17"/>
                <w:szCs w:val="17"/>
              </w:rPr>
              <w:t>2</w:t>
            </w:r>
            <w:r>
              <w:rPr>
                <w:rFonts w:ascii="Times New Roman" w:hAnsi="Times New Roman" w:eastAsia="Times New Roman" w:cs="Times New Roman"/>
                <w:sz w:val="17"/>
                <w:szCs w:val="17"/>
              </w:rPr>
              <w:t>5F</w:t>
            </w:r>
          </w:p>
        </w:tc>
        <w:tc>
          <w:tcPr>
            <w:tcW w:w="2574" w:type="dxa"/>
            <w:vAlign w:val="top"/>
          </w:tcPr>
          <w:p>
            <w:pPr>
              <w:spacing w:before="131" w:line="197" w:lineRule="auto"/>
              <w:ind w:left="84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4:49~ 15:09</w:t>
            </w:r>
          </w:p>
        </w:tc>
        <w:tc>
          <w:tcPr>
            <w:tcW w:w="1613" w:type="dxa"/>
            <w:vAlign w:val="top"/>
          </w:tcPr>
          <w:p>
            <w:pPr>
              <w:spacing w:before="134" w:line="194" w:lineRule="auto"/>
              <w:ind w:left="72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98" w:type="dxa"/>
            <w:vMerge w:val="continue"/>
            <w:tcBorders>
              <w:top w:val="nil"/>
              <w:bottom w:val="nil"/>
            </w:tcBorders>
            <w:vAlign w:val="top"/>
          </w:tcPr>
          <w:p>
            <w:pPr>
              <w:rPr>
                <w:rFonts w:ascii="Arial"/>
                <w:sz w:val="21"/>
              </w:rPr>
            </w:pPr>
          </w:p>
        </w:tc>
        <w:tc>
          <w:tcPr>
            <w:tcW w:w="3654" w:type="dxa"/>
            <w:vMerge w:val="continue"/>
            <w:tcBorders>
              <w:top w:val="nil"/>
            </w:tcBorders>
            <w:vAlign w:val="top"/>
          </w:tcPr>
          <w:p>
            <w:pPr>
              <w:rPr>
                <w:rFonts w:ascii="Arial"/>
                <w:sz w:val="21"/>
              </w:rPr>
            </w:pPr>
          </w:p>
        </w:tc>
        <w:tc>
          <w:tcPr>
            <w:tcW w:w="2574" w:type="dxa"/>
            <w:vAlign w:val="top"/>
          </w:tcPr>
          <w:p>
            <w:pPr>
              <w:spacing w:before="131" w:line="197" w:lineRule="auto"/>
              <w:ind w:left="830"/>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2:50~23:10</w:t>
            </w:r>
          </w:p>
        </w:tc>
        <w:tc>
          <w:tcPr>
            <w:tcW w:w="1613" w:type="dxa"/>
            <w:vAlign w:val="top"/>
          </w:tcPr>
          <w:p>
            <w:pPr>
              <w:spacing w:before="131" w:line="197" w:lineRule="auto"/>
              <w:ind w:left="71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98" w:type="dxa"/>
            <w:vMerge w:val="continue"/>
            <w:tcBorders>
              <w:top w:val="nil"/>
              <w:bottom w:val="nil"/>
            </w:tcBorders>
            <w:vAlign w:val="top"/>
          </w:tcPr>
          <w:p>
            <w:pPr>
              <w:rPr>
                <w:rFonts w:ascii="Arial"/>
                <w:sz w:val="21"/>
              </w:rPr>
            </w:pPr>
          </w:p>
        </w:tc>
        <w:tc>
          <w:tcPr>
            <w:tcW w:w="3654" w:type="dxa"/>
            <w:vMerge w:val="restart"/>
            <w:tcBorders>
              <w:bottom w:val="nil"/>
            </w:tcBorders>
            <w:vAlign w:val="top"/>
          </w:tcPr>
          <w:p>
            <w:pPr>
              <w:spacing w:before="110" w:line="320" w:lineRule="auto"/>
              <w:ind w:left="1220" w:right="90" w:hanging="1134"/>
              <w:rPr>
                <w:rFonts w:ascii="Times New Roman" w:hAnsi="Times New Roman" w:eastAsia="Times New Roman" w:cs="Times New Roman"/>
                <w:sz w:val="17"/>
                <w:szCs w:val="17"/>
              </w:rPr>
            </w:pPr>
            <w:r>
              <w:rPr>
                <w:rFonts w:ascii="Times New Roman" w:hAnsi="Times New Roman" w:eastAsia="Times New Roman" w:cs="Times New Roman"/>
                <w:sz w:val="17"/>
                <w:szCs w:val="17"/>
              </w:rPr>
              <w:t>N</w:t>
            </w:r>
            <w:r>
              <w:rPr>
                <w:rFonts w:ascii="Times New Roman" w:hAnsi="Times New Roman" w:eastAsia="Times New Roman" w:cs="Times New Roman"/>
                <w:spacing w:val="4"/>
                <w:sz w:val="17"/>
                <w:szCs w:val="17"/>
              </w:rPr>
              <w:t xml:space="preserve">3-8# </w:t>
            </w:r>
            <w:r>
              <w:rPr>
                <w:rFonts w:ascii="宋体" w:hAnsi="宋体" w:eastAsia="宋体" w:cs="宋体"/>
                <w:spacing w:val="4"/>
                <w:sz w:val="17"/>
                <w:szCs w:val="17"/>
              </w:rPr>
              <w:t>，</w:t>
            </w:r>
            <w:r>
              <w:rPr>
                <w:rFonts w:ascii="Times New Roman" w:hAnsi="Times New Roman" w:eastAsia="Times New Roman" w:cs="Times New Roman"/>
                <w:spacing w:val="2"/>
                <w:sz w:val="17"/>
                <w:szCs w:val="17"/>
              </w:rPr>
              <w:t>“</w:t>
            </w:r>
            <w:r>
              <w:rPr>
                <w:rFonts w:ascii="宋体" w:hAnsi="宋体" w:eastAsia="宋体" w:cs="宋体"/>
                <w:spacing w:val="2"/>
                <w:sz w:val="17"/>
                <w:szCs w:val="17"/>
              </w:rPr>
              <w:t>宏义</w:t>
            </w:r>
            <w:r>
              <w:rPr>
                <w:rFonts w:ascii="Times New Roman" w:hAnsi="Times New Roman" w:eastAsia="Times New Roman" w:cs="Times New Roman"/>
                <w:spacing w:val="2"/>
                <w:sz w:val="17"/>
                <w:szCs w:val="17"/>
              </w:rPr>
              <w:t>·</w:t>
            </w:r>
            <w:r>
              <w:rPr>
                <w:rFonts w:ascii="宋体" w:hAnsi="宋体" w:eastAsia="宋体" w:cs="宋体"/>
                <w:spacing w:val="2"/>
                <w:sz w:val="17"/>
                <w:szCs w:val="17"/>
              </w:rPr>
              <w:t>江湾城</w:t>
            </w:r>
            <w:r>
              <w:rPr>
                <w:rFonts w:ascii="Times New Roman" w:hAnsi="Times New Roman" w:eastAsia="Times New Roman" w:cs="Times New Roman"/>
                <w:spacing w:val="2"/>
                <w:sz w:val="17"/>
                <w:szCs w:val="17"/>
              </w:rPr>
              <w:t>”</w:t>
            </w:r>
            <w:r>
              <w:rPr>
                <w:rFonts w:ascii="宋体" w:hAnsi="宋体" w:eastAsia="宋体" w:cs="宋体"/>
                <w:spacing w:val="2"/>
                <w:sz w:val="17"/>
                <w:szCs w:val="17"/>
              </w:rPr>
              <w:t xml:space="preserve">小区 </w:t>
            </w:r>
            <w:r>
              <w:rPr>
                <w:rFonts w:ascii="Times New Roman" w:hAnsi="Times New Roman" w:eastAsia="Times New Roman" w:cs="Times New Roman"/>
                <w:spacing w:val="2"/>
                <w:sz w:val="17"/>
                <w:szCs w:val="17"/>
              </w:rPr>
              <w:t xml:space="preserve">5 </w:t>
            </w:r>
            <w:r>
              <w:rPr>
                <w:rFonts w:ascii="宋体" w:hAnsi="宋体" w:eastAsia="宋体" w:cs="宋体"/>
                <w:spacing w:val="2"/>
                <w:sz w:val="17"/>
                <w:szCs w:val="17"/>
              </w:rPr>
              <w:t xml:space="preserve">期 </w:t>
            </w:r>
            <w:r>
              <w:rPr>
                <w:rFonts w:ascii="Times New Roman" w:hAnsi="Times New Roman" w:eastAsia="Times New Roman" w:cs="Times New Roman"/>
                <w:spacing w:val="2"/>
                <w:sz w:val="17"/>
                <w:szCs w:val="17"/>
              </w:rPr>
              <w:t xml:space="preserve">15 </w:t>
            </w:r>
            <w:r>
              <w:rPr>
                <w:rFonts w:ascii="宋体" w:hAnsi="宋体" w:eastAsia="宋体" w:cs="宋体"/>
                <w:spacing w:val="2"/>
                <w:sz w:val="17"/>
                <w:szCs w:val="17"/>
              </w:rPr>
              <w:t>号楼临拟</w:t>
            </w:r>
            <w:r>
              <w:rPr>
                <w:rFonts w:ascii="宋体" w:hAnsi="宋体" w:eastAsia="宋体" w:cs="宋体"/>
                <w:sz w:val="17"/>
                <w:szCs w:val="17"/>
              </w:rPr>
              <w:t xml:space="preserve"> </w:t>
            </w:r>
            <w:r>
              <w:rPr>
                <w:rFonts w:ascii="宋体" w:hAnsi="宋体" w:eastAsia="宋体" w:cs="宋体"/>
                <w:spacing w:val="2"/>
                <w:sz w:val="17"/>
                <w:szCs w:val="17"/>
              </w:rPr>
              <w:t xml:space="preserve">建桥梁一侧 </w:t>
            </w:r>
            <w:r>
              <w:rPr>
                <w:rFonts w:ascii="Times New Roman" w:hAnsi="Times New Roman" w:eastAsia="Times New Roman" w:cs="Times New Roman"/>
                <w:spacing w:val="2"/>
                <w:sz w:val="17"/>
                <w:szCs w:val="17"/>
              </w:rPr>
              <w:t>3</w:t>
            </w:r>
            <w:r>
              <w:rPr>
                <w:rFonts w:ascii="Times New Roman" w:hAnsi="Times New Roman" w:eastAsia="Times New Roman" w:cs="Times New Roman"/>
                <w:sz w:val="17"/>
                <w:szCs w:val="17"/>
              </w:rPr>
              <w:t>0F</w:t>
            </w:r>
          </w:p>
        </w:tc>
        <w:tc>
          <w:tcPr>
            <w:tcW w:w="2574" w:type="dxa"/>
            <w:vAlign w:val="top"/>
          </w:tcPr>
          <w:p>
            <w:pPr>
              <w:spacing w:before="132" w:line="197" w:lineRule="auto"/>
              <w:ind w:left="84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4:49~ 15:09</w:t>
            </w:r>
          </w:p>
        </w:tc>
        <w:tc>
          <w:tcPr>
            <w:tcW w:w="1613" w:type="dxa"/>
            <w:vAlign w:val="top"/>
          </w:tcPr>
          <w:p>
            <w:pPr>
              <w:spacing w:before="132" w:line="197" w:lineRule="auto"/>
              <w:ind w:left="72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198" w:type="dxa"/>
            <w:vMerge w:val="continue"/>
            <w:tcBorders>
              <w:top w:val="nil"/>
            </w:tcBorders>
            <w:vAlign w:val="top"/>
          </w:tcPr>
          <w:p>
            <w:pPr>
              <w:rPr>
                <w:rFonts w:ascii="Arial"/>
                <w:sz w:val="21"/>
              </w:rPr>
            </w:pPr>
          </w:p>
        </w:tc>
        <w:tc>
          <w:tcPr>
            <w:tcW w:w="3654" w:type="dxa"/>
            <w:vMerge w:val="continue"/>
            <w:tcBorders>
              <w:top w:val="nil"/>
            </w:tcBorders>
            <w:vAlign w:val="top"/>
          </w:tcPr>
          <w:p>
            <w:pPr>
              <w:rPr>
                <w:rFonts w:ascii="Arial"/>
                <w:sz w:val="21"/>
              </w:rPr>
            </w:pPr>
          </w:p>
        </w:tc>
        <w:tc>
          <w:tcPr>
            <w:tcW w:w="2574" w:type="dxa"/>
            <w:vAlign w:val="top"/>
          </w:tcPr>
          <w:p>
            <w:pPr>
              <w:spacing w:before="141" w:line="197" w:lineRule="auto"/>
              <w:ind w:left="830"/>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2:50~23:10</w:t>
            </w:r>
          </w:p>
        </w:tc>
        <w:tc>
          <w:tcPr>
            <w:tcW w:w="1613" w:type="dxa"/>
            <w:vAlign w:val="top"/>
          </w:tcPr>
          <w:p>
            <w:pPr>
              <w:spacing w:before="141" w:line="197" w:lineRule="auto"/>
              <w:ind w:left="71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w:t>
            </w:r>
          </w:p>
        </w:tc>
      </w:tr>
    </w:tbl>
    <w:p>
      <w:pPr>
        <w:rPr>
          <w:rFonts w:ascii="Arial"/>
          <w:sz w:val="21"/>
        </w:rPr>
      </w:pPr>
    </w:p>
    <w:p>
      <w:pPr>
        <w:sectPr>
          <w:footerReference r:id="rId119" w:type="default"/>
          <w:pgSz w:w="11906" w:h="16839"/>
          <w:pgMar w:top="400" w:right="1431" w:bottom="1027" w:left="1430" w:header="0" w:footer="840" w:gutter="0"/>
          <w:cols w:space="720" w:num="1"/>
        </w:sect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62" w:line="226" w:lineRule="auto"/>
        <w:ind w:left="2607"/>
        <w:rPr>
          <w:rFonts w:ascii="黑体" w:hAnsi="黑体" w:eastAsia="黑体" w:cs="黑体"/>
          <w:sz w:val="19"/>
          <w:szCs w:val="19"/>
        </w:rPr>
      </w:pPr>
      <w:r>
        <w:rPr>
          <w:rFonts w:ascii="黑体" w:hAnsi="黑体" w:eastAsia="黑体" w:cs="黑体"/>
          <w:spacing w:val="14"/>
          <w:sz w:val="19"/>
          <w:szCs w:val="19"/>
        </w:rPr>
        <w:t>表</w:t>
      </w:r>
      <w:r>
        <w:rPr>
          <w:rFonts w:ascii="Times New Roman" w:hAnsi="Times New Roman" w:eastAsia="Times New Roman" w:cs="Times New Roman"/>
          <w:spacing w:val="9"/>
          <w:sz w:val="19"/>
          <w:szCs w:val="19"/>
        </w:rPr>
        <w:t>1</w:t>
      </w:r>
      <w:r>
        <w:rPr>
          <w:rFonts w:ascii="Times New Roman" w:hAnsi="Times New Roman" w:eastAsia="Times New Roman" w:cs="Times New Roman"/>
          <w:spacing w:val="7"/>
          <w:sz w:val="19"/>
          <w:szCs w:val="19"/>
        </w:rPr>
        <w:t xml:space="preserve">1    </w:t>
      </w:r>
      <w:r>
        <w:rPr>
          <w:rFonts w:ascii="黑体" w:hAnsi="黑体" w:eastAsia="黑体" w:cs="黑体"/>
          <w:spacing w:val="7"/>
          <w:sz w:val="19"/>
          <w:szCs w:val="19"/>
        </w:rPr>
        <w:t>拟建桥梁两端声环境现状监测结果表</w:t>
      </w:r>
    </w:p>
    <w:tbl>
      <w:tblPr>
        <w:tblStyle w:val="4"/>
        <w:tblW w:w="89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3"/>
        <w:gridCol w:w="2255"/>
        <w:gridCol w:w="863"/>
        <w:gridCol w:w="821"/>
        <w:gridCol w:w="892"/>
        <w:gridCol w:w="1312"/>
        <w:gridCol w:w="16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203" w:type="dxa"/>
            <w:vMerge w:val="restart"/>
            <w:tcBorders>
              <w:bottom w:val="nil"/>
            </w:tcBorders>
            <w:vAlign w:val="top"/>
          </w:tcPr>
          <w:p>
            <w:pPr>
              <w:spacing w:before="220" w:line="230" w:lineRule="auto"/>
              <w:ind w:left="244"/>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检测日</w:t>
            </w:r>
            <w:r>
              <w:rPr>
                <w:rFonts w:ascii="宋体" w:hAnsi="宋体" w:eastAsia="宋体" w:cs="宋体"/>
                <w:spacing w:val="8"/>
                <w:sz w:val="17"/>
                <w:szCs w:val="17"/>
                <w14:textOutline w14:w="3268" w14:cap="sq" w14:cmpd="sng">
                  <w14:solidFill>
                    <w14:srgbClr w14:val="000000"/>
                  </w14:solidFill>
                  <w14:prstDash w14:val="solid"/>
                  <w14:bevel/>
                </w14:textOutline>
              </w:rPr>
              <w:t>期</w:t>
            </w:r>
          </w:p>
        </w:tc>
        <w:tc>
          <w:tcPr>
            <w:tcW w:w="2255" w:type="dxa"/>
            <w:vMerge w:val="restart"/>
            <w:tcBorders>
              <w:bottom w:val="nil"/>
            </w:tcBorders>
            <w:vAlign w:val="top"/>
          </w:tcPr>
          <w:p>
            <w:pPr>
              <w:spacing w:before="220" w:line="230" w:lineRule="auto"/>
              <w:ind w:left="407"/>
              <w:rPr>
                <w:rFonts w:ascii="宋体" w:hAnsi="宋体" w:eastAsia="宋体" w:cs="宋体"/>
                <w:sz w:val="17"/>
                <w:szCs w:val="17"/>
              </w:rPr>
            </w:pPr>
            <w:r>
              <w:rPr>
                <w:rFonts w:ascii="宋体" w:hAnsi="宋体" w:eastAsia="宋体" w:cs="宋体"/>
                <w:spacing w:val="14"/>
                <w:sz w:val="17"/>
                <w:szCs w:val="17"/>
                <w14:textOutline w14:w="3268" w14:cap="sq" w14:cmpd="sng">
                  <w14:solidFill>
                    <w14:srgbClr w14:val="000000"/>
                  </w14:solidFill>
                  <w14:prstDash w14:val="solid"/>
                  <w14:bevel/>
                </w14:textOutline>
              </w:rPr>
              <w:t>检</w:t>
            </w:r>
            <w:r>
              <w:rPr>
                <w:rFonts w:ascii="宋体" w:hAnsi="宋体" w:eastAsia="宋体" w:cs="宋体"/>
                <w:spacing w:val="9"/>
                <w:sz w:val="17"/>
                <w:szCs w:val="17"/>
                <w14:textOutline w14:w="3268" w14:cap="sq" w14:cmpd="sng">
                  <w14:solidFill>
                    <w14:srgbClr w14:val="000000"/>
                  </w14:solidFill>
                  <w14:prstDash w14:val="solid"/>
                  <w14:bevel/>
                </w14:textOutline>
              </w:rPr>
              <w:t>测点编号及位置</w:t>
            </w:r>
          </w:p>
        </w:tc>
        <w:tc>
          <w:tcPr>
            <w:tcW w:w="2576" w:type="dxa"/>
            <w:gridSpan w:val="3"/>
            <w:vAlign w:val="top"/>
          </w:tcPr>
          <w:p>
            <w:pPr>
              <w:spacing w:before="38" w:line="249" w:lineRule="exact"/>
              <w:ind w:left="678"/>
              <w:rPr>
                <w:rFonts w:ascii="宋体" w:hAnsi="宋体" w:eastAsia="宋体" w:cs="宋体"/>
                <w:sz w:val="17"/>
                <w:szCs w:val="17"/>
              </w:rPr>
            </w:pPr>
            <w:r>
              <w:rPr>
                <w:rFonts w:ascii="宋体" w:hAnsi="宋体" w:eastAsia="宋体" w:cs="宋体"/>
                <w:spacing w:val="10"/>
                <w:position w:val="1"/>
                <w:sz w:val="17"/>
                <w:szCs w:val="17"/>
                <w14:textOutline w14:w="3268" w14:cap="sq" w14:cmpd="sng">
                  <w14:solidFill>
                    <w14:srgbClr w14:val="000000"/>
                  </w14:solidFill>
                  <w14:prstDash w14:val="solid"/>
                  <w14:bevel/>
                </w14:textOutline>
              </w:rPr>
              <w:t>车</w:t>
            </w:r>
            <w:r>
              <w:rPr>
                <w:rFonts w:ascii="宋体" w:hAnsi="宋体" w:eastAsia="宋体" w:cs="宋体"/>
                <w:spacing w:val="6"/>
                <w:position w:val="1"/>
                <w:sz w:val="17"/>
                <w:szCs w:val="17"/>
                <w14:textOutline w14:w="3268" w14:cap="sq" w14:cmpd="sng">
                  <w14:solidFill>
                    <w14:srgbClr w14:val="000000"/>
                  </w14:solidFill>
                  <w14:prstDash w14:val="solid"/>
                  <w14:bevel/>
                </w14:textOutline>
              </w:rPr>
              <w:t>流量</w:t>
            </w:r>
            <w:r>
              <w:rPr>
                <w:rFonts w:ascii="宋体" w:hAnsi="宋体" w:eastAsia="宋体" w:cs="宋体"/>
                <w:spacing w:val="6"/>
                <w:position w:val="1"/>
                <w:sz w:val="17"/>
                <w:szCs w:val="17"/>
              </w:rPr>
              <w:t xml:space="preserve"> </w:t>
            </w:r>
            <w:r>
              <w:rPr>
                <w:rFonts w:ascii="宋体" w:hAnsi="宋体" w:eastAsia="宋体" w:cs="宋体"/>
                <w:spacing w:val="6"/>
                <w:position w:val="1"/>
                <w:sz w:val="17"/>
                <w:szCs w:val="17"/>
                <w14:textOutline w14:w="3268" w14:cap="sq" w14:cmpd="sng">
                  <w14:solidFill>
                    <w14:srgbClr w14:val="000000"/>
                  </w14:solidFill>
                  <w14:prstDash w14:val="solid"/>
                  <w14:bevel/>
                </w14:textOutline>
              </w:rPr>
              <w:t>(辆</w:t>
            </w:r>
            <w:r>
              <w:rPr>
                <w:rFonts w:ascii="Times New Roman" w:hAnsi="Times New Roman" w:eastAsia="Times New Roman" w:cs="Times New Roman"/>
                <w:b/>
                <w:bCs/>
                <w:spacing w:val="6"/>
                <w:position w:val="1"/>
                <w:sz w:val="17"/>
                <w:szCs w:val="17"/>
              </w:rPr>
              <w:t>/</w:t>
            </w:r>
            <w:r>
              <w:rPr>
                <w:rFonts w:ascii="Times New Roman" w:hAnsi="Times New Roman" w:eastAsia="Times New Roman" w:cs="Times New Roman"/>
                <w:b/>
                <w:bCs/>
                <w:position w:val="1"/>
                <w:sz w:val="17"/>
                <w:szCs w:val="17"/>
              </w:rPr>
              <w:t>h</w:t>
            </w:r>
            <w:r>
              <w:rPr>
                <w:rFonts w:ascii="宋体" w:hAnsi="宋体" w:eastAsia="宋体" w:cs="宋体"/>
                <w:spacing w:val="6"/>
                <w:position w:val="1"/>
                <w:sz w:val="17"/>
                <w:szCs w:val="17"/>
                <w14:textOutline w14:w="3268" w14:cap="sq" w14:cmpd="sng">
                  <w14:solidFill>
                    <w14:srgbClr w14:val="000000"/>
                  </w14:solidFill>
                  <w14:prstDash w14:val="solid"/>
                  <w14:bevel/>
                </w14:textOutline>
              </w:rPr>
              <w:t>)</w:t>
            </w:r>
          </w:p>
        </w:tc>
        <w:tc>
          <w:tcPr>
            <w:tcW w:w="1312" w:type="dxa"/>
            <w:vMerge w:val="restart"/>
            <w:tcBorders>
              <w:bottom w:val="nil"/>
            </w:tcBorders>
            <w:vAlign w:val="top"/>
          </w:tcPr>
          <w:p>
            <w:pPr>
              <w:spacing w:before="220" w:line="230" w:lineRule="auto"/>
              <w:ind w:left="301"/>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检测时</w:t>
            </w:r>
            <w:r>
              <w:rPr>
                <w:rFonts w:ascii="宋体" w:hAnsi="宋体" w:eastAsia="宋体" w:cs="宋体"/>
                <w:spacing w:val="8"/>
                <w:sz w:val="17"/>
                <w:szCs w:val="17"/>
                <w14:textOutline w14:w="3268" w14:cap="sq" w14:cmpd="sng">
                  <w14:solidFill>
                    <w14:srgbClr w14:val="000000"/>
                  </w14:solidFill>
                  <w14:prstDash w14:val="solid"/>
                  <w14:bevel/>
                </w14:textOutline>
              </w:rPr>
              <w:t>段</w:t>
            </w:r>
          </w:p>
        </w:tc>
        <w:tc>
          <w:tcPr>
            <w:tcW w:w="1636" w:type="dxa"/>
            <w:vMerge w:val="restart"/>
            <w:tcBorders>
              <w:bottom w:val="nil"/>
            </w:tcBorders>
            <w:vAlign w:val="top"/>
          </w:tcPr>
          <w:p>
            <w:pPr>
              <w:spacing w:before="184" w:line="249" w:lineRule="exact"/>
              <w:ind w:left="81"/>
              <w:rPr>
                <w:rFonts w:ascii="宋体" w:hAnsi="宋体" w:eastAsia="宋体" w:cs="宋体"/>
                <w:sz w:val="17"/>
                <w:szCs w:val="17"/>
              </w:rPr>
            </w:pPr>
            <w:r>
              <w:rPr>
                <w:rFonts w:ascii="宋体" w:hAnsi="宋体" w:eastAsia="宋体" w:cs="宋体"/>
                <w:spacing w:val="3"/>
                <w:position w:val="1"/>
                <w:sz w:val="17"/>
                <w:szCs w:val="17"/>
                <w14:textOutline w14:w="3268" w14:cap="sq" w14:cmpd="sng">
                  <w14:solidFill>
                    <w14:srgbClr w14:val="000000"/>
                  </w14:solidFill>
                  <w14:prstDash w14:val="solid"/>
                  <w14:bevel/>
                </w14:textOutline>
              </w:rPr>
              <w:t>检测结果</w:t>
            </w:r>
            <w:r>
              <w:rPr>
                <w:rFonts w:ascii="宋体" w:hAnsi="宋体" w:eastAsia="宋体" w:cs="宋体"/>
                <w:spacing w:val="3"/>
                <w:position w:val="1"/>
                <w:sz w:val="17"/>
                <w:szCs w:val="17"/>
              </w:rPr>
              <w:t xml:space="preserve"> </w:t>
            </w:r>
            <w:r>
              <w:rPr>
                <w:rFonts w:ascii="Times New Roman" w:hAnsi="Times New Roman" w:eastAsia="Times New Roman" w:cs="Times New Roman"/>
                <w:b/>
                <w:bCs/>
                <w:position w:val="1"/>
                <w:sz w:val="17"/>
                <w:szCs w:val="17"/>
              </w:rPr>
              <w:t>dB</w:t>
            </w:r>
            <w:r>
              <w:rPr>
                <w:rFonts w:ascii="Times New Roman" w:hAnsi="Times New Roman" w:eastAsia="Times New Roman" w:cs="Times New Roman"/>
                <w:spacing w:val="3"/>
                <w:position w:val="1"/>
                <w:sz w:val="17"/>
                <w:szCs w:val="17"/>
              </w:rPr>
              <w:t xml:space="preserve">  </w:t>
            </w:r>
            <w:r>
              <w:rPr>
                <w:rFonts w:ascii="宋体" w:hAnsi="宋体" w:eastAsia="宋体" w:cs="宋体"/>
                <w:spacing w:val="3"/>
                <w:position w:val="1"/>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position w:val="1"/>
                <w:sz w:val="17"/>
                <w:szCs w:val="17"/>
              </w:rPr>
              <w:t>A</w:t>
            </w:r>
            <w:r>
              <w:rPr>
                <w:rFonts w:ascii="宋体" w:hAnsi="宋体" w:eastAsia="宋体" w:cs="宋体"/>
                <w:spacing w:val="2"/>
                <w:position w:val="1"/>
                <w:sz w:val="17"/>
                <w:szCs w:val="17"/>
                <w14:textOutline w14:w="3268"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203" w:type="dxa"/>
            <w:vMerge w:val="continue"/>
            <w:tcBorders>
              <w:top w:val="nil"/>
            </w:tcBorders>
            <w:vAlign w:val="top"/>
          </w:tcPr>
          <w:p>
            <w:pPr>
              <w:rPr>
                <w:rFonts w:ascii="Arial"/>
                <w:sz w:val="21"/>
              </w:rPr>
            </w:pPr>
          </w:p>
        </w:tc>
        <w:tc>
          <w:tcPr>
            <w:tcW w:w="2255" w:type="dxa"/>
            <w:vMerge w:val="continue"/>
            <w:tcBorders>
              <w:top w:val="nil"/>
            </w:tcBorders>
            <w:vAlign w:val="top"/>
          </w:tcPr>
          <w:p>
            <w:pPr>
              <w:rPr>
                <w:rFonts w:ascii="Arial"/>
                <w:sz w:val="21"/>
              </w:rPr>
            </w:pPr>
          </w:p>
        </w:tc>
        <w:tc>
          <w:tcPr>
            <w:tcW w:w="863" w:type="dxa"/>
            <w:vAlign w:val="top"/>
          </w:tcPr>
          <w:p>
            <w:pPr>
              <w:spacing w:before="72" w:line="230" w:lineRule="auto"/>
              <w:ind w:left="170"/>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小型</w:t>
            </w:r>
            <w:r>
              <w:rPr>
                <w:rFonts w:ascii="宋体" w:hAnsi="宋体" w:eastAsia="宋体" w:cs="宋体"/>
                <w:spacing w:val="6"/>
                <w:sz w:val="17"/>
                <w:szCs w:val="17"/>
                <w14:textOutline w14:w="3268" w14:cap="sq" w14:cmpd="sng">
                  <w14:solidFill>
                    <w14:srgbClr w14:val="000000"/>
                  </w14:solidFill>
                  <w14:prstDash w14:val="solid"/>
                  <w14:bevel/>
                </w14:textOutline>
              </w:rPr>
              <w:t>车</w:t>
            </w:r>
          </w:p>
        </w:tc>
        <w:tc>
          <w:tcPr>
            <w:tcW w:w="821" w:type="dxa"/>
            <w:vAlign w:val="top"/>
          </w:tcPr>
          <w:p>
            <w:pPr>
              <w:spacing w:before="72" w:line="230" w:lineRule="auto"/>
              <w:ind w:left="159"/>
              <w:rPr>
                <w:rFonts w:ascii="宋体" w:hAnsi="宋体" w:eastAsia="宋体" w:cs="宋体"/>
                <w:sz w:val="17"/>
                <w:szCs w:val="17"/>
              </w:rPr>
            </w:pPr>
            <w:r>
              <w:rPr>
                <w:rFonts w:ascii="宋体" w:hAnsi="宋体" w:eastAsia="宋体" w:cs="宋体"/>
                <w:spacing w:val="3"/>
                <w:sz w:val="17"/>
                <w:szCs w:val="17"/>
                <w14:textOutline w14:w="3268" w14:cap="sq" w14:cmpd="sng">
                  <w14:solidFill>
                    <w14:srgbClr w14:val="000000"/>
                  </w14:solidFill>
                  <w14:prstDash w14:val="solid"/>
                  <w14:bevel/>
                </w14:textOutline>
              </w:rPr>
              <w:t>中型</w:t>
            </w:r>
            <w:r>
              <w:rPr>
                <w:rFonts w:ascii="宋体" w:hAnsi="宋体" w:eastAsia="宋体" w:cs="宋体"/>
                <w:spacing w:val="2"/>
                <w:sz w:val="17"/>
                <w:szCs w:val="17"/>
                <w14:textOutline w14:w="3268" w14:cap="sq" w14:cmpd="sng">
                  <w14:solidFill>
                    <w14:srgbClr w14:val="000000"/>
                  </w14:solidFill>
                  <w14:prstDash w14:val="solid"/>
                  <w14:bevel/>
                </w14:textOutline>
              </w:rPr>
              <w:t>车</w:t>
            </w:r>
          </w:p>
        </w:tc>
        <w:tc>
          <w:tcPr>
            <w:tcW w:w="892" w:type="dxa"/>
            <w:vAlign w:val="top"/>
          </w:tcPr>
          <w:p>
            <w:pPr>
              <w:spacing w:before="72" w:line="230" w:lineRule="auto"/>
              <w:ind w:left="182"/>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大</w:t>
            </w:r>
            <w:r>
              <w:rPr>
                <w:rFonts w:ascii="宋体" w:hAnsi="宋体" w:eastAsia="宋体" w:cs="宋体"/>
                <w:spacing w:val="7"/>
                <w:sz w:val="17"/>
                <w:szCs w:val="17"/>
                <w14:textOutline w14:w="3268" w14:cap="sq" w14:cmpd="sng">
                  <w14:solidFill>
                    <w14:srgbClr w14:val="000000"/>
                  </w14:solidFill>
                  <w14:prstDash w14:val="solid"/>
                  <w14:bevel/>
                </w14:textOutline>
              </w:rPr>
              <w:t>型车</w:t>
            </w:r>
          </w:p>
        </w:tc>
        <w:tc>
          <w:tcPr>
            <w:tcW w:w="1312" w:type="dxa"/>
            <w:vMerge w:val="continue"/>
            <w:tcBorders>
              <w:top w:val="nil"/>
            </w:tcBorders>
            <w:vAlign w:val="top"/>
          </w:tcPr>
          <w:p>
            <w:pPr>
              <w:rPr>
                <w:rFonts w:ascii="Arial"/>
                <w:sz w:val="21"/>
              </w:rPr>
            </w:pPr>
          </w:p>
        </w:tc>
        <w:tc>
          <w:tcPr>
            <w:tcW w:w="163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203" w:type="dxa"/>
            <w:vMerge w:val="restart"/>
            <w:tcBorders>
              <w:bottom w:val="nil"/>
            </w:tcBorders>
            <w:vAlign w:val="top"/>
          </w:tcPr>
          <w:p>
            <w:pPr>
              <w:spacing w:line="265" w:lineRule="auto"/>
              <w:rPr>
                <w:rFonts w:ascii="Arial"/>
                <w:sz w:val="21"/>
              </w:rPr>
            </w:pPr>
          </w:p>
          <w:p>
            <w:pPr>
              <w:spacing w:line="266" w:lineRule="auto"/>
              <w:rPr>
                <w:rFonts w:ascii="Arial"/>
                <w:sz w:val="21"/>
              </w:rPr>
            </w:pPr>
          </w:p>
          <w:p>
            <w:pPr>
              <w:spacing w:before="49" w:line="197" w:lineRule="auto"/>
              <w:ind w:left="19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4"/>
                <w:sz w:val="17"/>
                <w:szCs w:val="17"/>
              </w:rPr>
              <w:t>023.03.30</w:t>
            </w:r>
          </w:p>
        </w:tc>
        <w:tc>
          <w:tcPr>
            <w:tcW w:w="2255" w:type="dxa"/>
            <w:vMerge w:val="restart"/>
            <w:tcBorders>
              <w:bottom w:val="nil"/>
            </w:tcBorders>
            <w:vAlign w:val="top"/>
          </w:tcPr>
          <w:p>
            <w:pPr>
              <w:spacing w:before="205" w:line="243" w:lineRule="exact"/>
              <w:ind w:left="335"/>
              <w:rPr>
                <w:rFonts w:ascii="宋体" w:hAnsi="宋体" w:eastAsia="宋体" w:cs="宋体"/>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8"/>
                <w:position w:val="2"/>
                <w:sz w:val="17"/>
                <w:szCs w:val="17"/>
              </w:rPr>
              <w:t>1</w:t>
            </w:r>
            <w:r>
              <w:rPr>
                <w:rFonts w:ascii="Times New Roman" w:hAnsi="Times New Roman" w:eastAsia="Times New Roman" w:cs="Times New Roman"/>
                <w:spacing w:val="6"/>
                <w:position w:val="2"/>
                <w:sz w:val="17"/>
                <w:szCs w:val="17"/>
              </w:rPr>
              <w:t>#</w:t>
            </w:r>
            <w:r>
              <w:rPr>
                <w:rFonts w:ascii="Times New Roman" w:hAnsi="Times New Roman" w:eastAsia="Times New Roman" w:cs="Times New Roman"/>
                <w:spacing w:val="4"/>
                <w:position w:val="2"/>
                <w:sz w:val="17"/>
                <w:szCs w:val="17"/>
              </w:rPr>
              <w:t xml:space="preserve"> </w:t>
            </w:r>
            <w:r>
              <w:rPr>
                <w:rFonts w:ascii="宋体" w:hAnsi="宋体" w:eastAsia="宋体" w:cs="宋体"/>
                <w:spacing w:val="4"/>
                <w:position w:val="2"/>
                <w:sz w:val="17"/>
                <w:szCs w:val="17"/>
              </w:rPr>
              <w:t>，拟建大桥西端</w:t>
            </w:r>
          </w:p>
        </w:tc>
        <w:tc>
          <w:tcPr>
            <w:tcW w:w="863" w:type="dxa"/>
            <w:vAlign w:val="top"/>
          </w:tcPr>
          <w:p>
            <w:pPr>
              <w:spacing w:before="115" w:line="194" w:lineRule="auto"/>
              <w:ind w:left="392"/>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821" w:type="dxa"/>
            <w:vAlign w:val="top"/>
          </w:tcPr>
          <w:p>
            <w:pPr>
              <w:spacing w:before="113" w:line="197" w:lineRule="auto"/>
              <w:ind w:left="36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892" w:type="dxa"/>
            <w:vAlign w:val="top"/>
          </w:tcPr>
          <w:p>
            <w:pPr>
              <w:spacing w:before="113" w:line="197" w:lineRule="auto"/>
              <w:ind w:left="405"/>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312" w:type="dxa"/>
            <w:vAlign w:val="top"/>
          </w:tcPr>
          <w:p>
            <w:pPr>
              <w:spacing w:before="113" w:line="197" w:lineRule="auto"/>
              <w:ind w:left="21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0:32~ 10:52</w:t>
            </w:r>
          </w:p>
        </w:tc>
        <w:tc>
          <w:tcPr>
            <w:tcW w:w="1636" w:type="dxa"/>
            <w:vAlign w:val="top"/>
          </w:tcPr>
          <w:p>
            <w:pPr>
              <w:spacing w:before="113" w:line="197" w:lineRule="auto"/>
              <w:ind w:left="73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203" w:type="dxa"/>
            <w:vMerge w:val="continue"/>
            <w:tcBorders>
              <w:top w:val="nil"/>
              <w:bottom w:val="nil"/>
            </w:tcBorders>
            <w:vAlign w:val="top"/>
          </w:tcPr>
          <w:p>
            <w:pPr>
              <w:rPr>
                <w:rFonts w:ascii="Arial"/>
                <w:sz w:val="21"/>
              </w:rPr>
            </w:pPr>
          </w:p>
        </w:tc>
        <w:tc>
          <w:tcPr>
            <w:tcW w:w="2255" w:type="dxa"/>
            <w:vMerge w:val="continue"/>
            <w:tcBorders>
              <w:top w:val="nil"/>
            </w:tcBorders>
            <w:vAlign w:val="top"/>
          </w:tcPr>
          <w:p>
            <w:pPr>
              <w:rPr>
                <w:rFonts w:ascii="Arial"/>
                <w:sz w:val="21"/>
              </w:rPr>
            </w:pPr>
          </w:p>
        </w:tc>
        <w:tc>
          <w:tcPr>
            <w:tcW w:w="863" w:type="dxa"/>
            <w:vAlign w:val="top"/>
          </w:tcPr>
          <w:p>
            <w:pPr>
              <w:spacing w:before="114" w:line="197" w:lineRule="auto"/>
              <w:ind w:left="390"/>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821" w:type="dxa"/>
            <w:vAlign w:val="top"/>
          </w:tcPr>
          <w:p>
            <w:pPr>
              <w:spacing w:before="114" w:line="197" w:lineRule="auto"/>
              <w:ind w:left="370"/>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892" w:type="dxa"/>
            <w:vAlign w:val="top"/>
          </w:tcPr>
          <w:p>
            <w:pPr>
              <w:spacing w:before="114" w:line="197" w:lineRule="auto"/>
              <w:ind w:left="405"/>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312" w:type="dxa"/>
            <w:vAlign w:val="top"/>
          </w:tcPr>
          <w:p>
            <w:pPr>
              <w:spacing w:before="114" w:line="197" w:lineRule="auto"/>
              <w:ind w:left="199"/>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2:00~22:20</w:t>
            </w:r>
          </w:p>
        </w:tc>
        <w:tc>
          <w:tcPr>
            <w:tcW w:w="1636" w:type="dxa"/>
            <w:vAlign w:val="top"/>
          </w:tcPr>
          <w:p>
            <w:pPr>
              <w:spacing w:before="114" w:line="197" w:lineRule="auto"/>
              <w:ind w:left="72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203" w:type="dxa"/>
            <w:vMerge w:val="continue"/>
            <w:tcBorders>
              <w:top w:val="nil"/>
              <w:bottom w:val="nil"/>
            </w:tcBorders>
            <w:vAlign w:val="top"/>
          </w:tcPr>
          <w:p>
            <w:pPr>
              <w:rPr>
                <w:rFonts w:ascii="Arial"/>
                <w:sz w:val="21"/>
              </w:rPr>
            </w:pPr>
          </w:p>
        </w:tc>
        <w:tc>
          <w:tcPr>
            <w:tcW w:w="2255" w:type="dxa"/>
            <w:vMerge w:val="restart"/>
            <w:tcBorders>
              <w:bottom w:val="nil"/>
            </w:tcBorders>
            <w:vAlign w:val="top"/>
          </w:tcPr>
          <w:p>
            <w:pPr>
              <w:spacing w:before="207" w:line="242" w:lineRule="exact"/>
              <w:ind w:left="335"/>
              <w:rPr>
                <w:rFonts w:ascii="宋体" w:hAnsi="宋体" w:eastAsia="宋体" w:cs="宋体"/>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8"/>
                <w:position w:val="2"/>
                <w:sz w:val="17"/>
                <w:szCs w:val="17"/>
              </w:rPr>
              <w:t>2</w:t>
            </w:r>
            <w:r>
              <w:rPr>
                <w:rFonts w:ascii="Times New Roman" w:hAnsi="Times New Roman" w:eastAsia="Times New Roman" w:cs="Times New Roman"/>
                <w:spacing w:val="6"/>
                <w:position w:val="2"/>
                <w:sz w:val="17"/>
                <w:szCs w:val="17"/>
              </w:rPr>
              <w:t>#</w:t>
            </w:r>
            <w:r>
              <w:rPr>
                <w:rFonts w:ascii="Times New Roman" w:hAnsi="Times New Roman" w:eastAsia="Times New Roman" w:cs="Times New Roman"/>
                <w:spacing w:val="4"/>
                <w:position w:val="2"/>
                <w:sz w:val="17"/>
                <w:szCs w:val="17"/>
              </w:rPr>
              <w:t xml:space="preserve"> </w:t>
            </w:r>
            <w:r>
              <w:rPr>
                <w:rFonts w:ascii="宋体" w:hAnsi="宋体" w:eastAsia="宋体" w:cs="宋体"/>
                <w:spacing w:val="4"/>
                <w:position w:val="2"/>
                <w:sz w:val="17"/>
                <w:szCs w:val="17"/>
              </w:rPr>
              <w:t>，拟建大桥东端</w:t>
            </w:r>
          </w:p>
        </w:tc>
        <w:tc>
          <w:tcPr>
            <w:tcW w:w="863" w:type="dxa"/>
            <w:vAlign w:val="top"/>
          </w:tcPr>
          <w:p>
            <w:pPr>
              <w:spacing w:before="115" w:line="197" w:lineRule="auto"/>
              <w:ind w:left="35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11</w:t>
            </w:r>
          </w:p>
        </w:tc>
        <w:tc>
          <w:tcPr>
            <w:tcW w:w="821" w:type="dxa"/>
            <w:vAlign w:val="top"/>
          </w:tcPr>
          <w:p>
            <w:pPr>
              <w:spacing w:before="115" w:line="197" w:lineRule="auto"/>
              <w:ind w:left="29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32</w:t>
            </w:r>
          </w:p>
        </w:tc>
        <w:tc>
          <w:tcPr>
            <w:tcW w:w="892" w:type="dxa"/>
            <w:vAlign w:val="top"/>
          </w:tcPr>
          <w:p>
            <w:pPr>
              <w:spacing w:before="115" w:line="197" w:lineRule="auto"/>
              <w:ind w:left="37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12</w:t>
            </w:r>
          </w:p>
        </w:tc>
        <w:tc>
          <w:tcPr>
            <w:tcW w:w="1312" w:type="dxa"/>
            <w:vAlign w:val="top"/>
          </w:tcPr>
          <w:p>
            <w:pPr>
              <w:spacing w:before="115" w:line="197" w:lineRule="auto"/>
              <w:ind w:left="21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0:32~ 10:52</w:t>
            </w:r>
          </w:p>
        </w:tc>
        <w:tc>
          <w:tcPr>
            <w:tcW w:w="1636" w:type="dxa"/>
            <w:vAlign w:val="top"/>
          </w:tcPr>
          <w:p>
            <w:pPr>
              <w:spacing w:before="115" w:line="197" w:lineRule="auto"/>
              <w:ind w:left="73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203" w:type="dxa"/>
            <w:vMerge w:val="continue"/>
            <w:tcBorders>
              <w:top w:val="nil"/>
            </w:tcBorders>
            <w:vAlign w:val="top"/>
          </w:tcPr>
          <w:p>
            <w:pPr>
              <w:rPr>
                <w:rFonts w:ascii="Arial"/>
                <w:sz w:val="21"/>
              </w:rPr>
            </w:pPr>
          </w:p>
        </w:tc>
        <w:tc>
          <w:tcPr>
            <w:tcW w:w="2255" w:type="dxa"/>
            <w:vMerge w:val="continue"/>
            <w:tcBorders>
              <w:top w:val="nil"/>
            </w:tcBorders>
            <w:vAlign w:val="top"/>
          </w:tcPr>
          <w:p>
            <w:pPr>
              <w:rPr>
                <w:rFonts w:ascii="Arial"/>
                <w:sz w:val="21"/>
              </w:rPr>
            </w:pPr>
          </w:p>
        </w:tc>
        <w:tc>
          <w:tcPr>
            <w:tcW w:w="863" w:type="dxa"/>
            <w:vAlign w:val="top"/>
          </w:tcPr>
          <w:p>
            <w:pPr>
              <w:spacing w:before="114" w:line="197" w:lineRule="auto"/>
              <w:ind w:left="391"/>
              <w:rPr>
                <w:rFonts w:ascii="Times New Roman" w:hAnsi="Times New Roman" w:eastAsia="Times New Roman" w:cs="Times New Roman"/>
                <w:sz w:val="17"/>
                <w:szCs w:val="17"/>
              </w:rPr>
            </w:pPr>
            <w:r>
              <w:rPr>
                <w:rFonts w:ascii="Times New Roman" w:hAnsi="Times New Roman" w:eastAsia="Times New Roman" w:cs="Times New Roman"/>
                <w:sz w:val="17"/>
                <w:szCs w:val="17"/>
              </w:rPr>
              <w:t>9</w:t>
            </w:r>
          </w:p>
        </w:tc>
        <w:tc>
          <w:tcPr>
            <w:tcW w:w="821" w:type="dxa"/>
            <w:vAlign w:val="top"/>
          </w:tcPr>
          <w:p>
            <w:pPr>
              <w:spacing w:before="114" w:line="197" w:lineRule="auto"/>
              <w:ind w:left="32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9</w:t>
            </w:r>
          </w:p>
        </w:tc>
        <w:tc>
          <w:tcPr>
            <w:tcW w:w="892" w:type="dxa"/>
            <w:vAlign w:val="top"/>
          </w:tcPr>
          <w:p>
            <w:pPr>
              <w:spacing w:before="114" w:line="197" w:lineRule="auto"/>
              <w:ind w:left="37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19</w:t>
            </w:r>
          </w:p>
        </w:tc>
        <w:tc>
          <w:tcPr>
            <w:tcW w:w="1312" w:type="dxa"/>
            <w:vAlign w:val="top"/>
          </w:tcPr>
          <w:p>
            <w:pPr>
              <w:spacing w:before="114" w:line="197" w:lineRule="auto"/>
              <w:ind w:left="199"/>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2:00~22:20</w:t>
            </w:r>
          </w:p>
        </w:tc>
        <w:tc>
          <w:tcPr>
            <w:tcW w:w="1636" w:type="dxa"/>
            <w:vAlign w:val="top"/>
          </w:tcPr>
          <w:p>
            <w:pPr>
              <w:spacing w:before="114" w:line="197" w:lineRule="auto"/>
              <w:ind w:left="73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203"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before="49" w:line="197" w:lineRule="auto"/>
              <w:ind w:left="19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4"/>
                <w:sz w:val="17"/>
                <w:szCs w:val="17"/>
              </w:rPr>
              <w:t>023.03.31</w:t>
            </w:r>
          </w:p>
        </w:tc>
        <w:tc>
          <w:tcPr>
            <w:tcW w:w="2255" w:type="dxa"/>
            <w:vMerge w:val="restart"/>
            <w:tcBorders>
              <w:bottom w:val="nil"/>
            </w:tcBorders>
            <w:vAlign w:val="top"/>
          </w:tcPr>
          <w:p>
            <w:pPr>
              <w:spacing w:before="210" w:line="242" w:lineRule="exact"/>
              <w:ind w:left="335"/>
              <w:rPr>
                <w:rFonts w:ascii="宋体" w:hAnsi="宋体" w:eastAsia="宋体" w:cs="宋体"/>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8"/>
                <w:position w:val="2"/>
                <w:sz w:val="17"/>
                <w:szCs w:val="17"/>
              </w:rPr>
              <w:t>1</w:t>
            </w:r>
            <w:r>
              <w:rPr>
                <w:rFonts w:ascii="Times New Roman" w:hAnsi="Times New Roman" w:eastAsia="Times New Roman" w:cs="Times New Roman"/>
                <w:spacing w:val="6"/>
                <w:position w:val="2"/>
                <w:sz w:val="17"/>
                <w:szCs w:val="17"/>
              </w:rPr>
              <w:t>#</w:t>
            </w:r>
            <w:r>
              <w:rPr>
                <w:rFonts w:ascii="Times New Roman" w:hAnsi="Times New Roman" w:eastAsia="Times New Roman" w:cs="Times New Roman"/>
                <w:spacing w:val="4"/>
                <w:position w:val="2"/>
                <w:sz w:val="17"/>
                <w:szCs w:val="17"/>
              </w:rPr>
              <w:t xml:space="preserve"> </w:t>
            </w:r>
            <w:r>
              <w:rPr>
                <w:rFonts w:ascii="宋体" w:hAnsi="宋体" w:eastAsia="宋体" w:cs="宋体"/>
                <w:spacing w:val="4"/>
                <w:position w:val="2"/>
                <w:sz w:val="17"/>
                <w:szCs w:val="17"/>
              </w:rPr>
              <w:t>，拟建大桥西端</w:t>
            </w:r>
          </w:p>
        </w:tc>
        <w:tc>
          <w:tcPr>
            <w:tcW w:w="863" w:type="dxa"/>
            <w:vAlign w:val="top"/>
          </w:tcPr>
          <w:p>
            <w:pPr>
              <w:spacing w:before="115" w:line="197" w:lineRule="auto"/>
              <w:ind w:left="391"/>
              <w:rPr>
                <w:rFonts w:ascii="Times New Roman" w:hAnsi="Times New Roman" w:eastAsia="Times New Roman" w:cs="Times New Roman"/>
                <w:sz w:val="17"/>
                <w:szCs w:val="17"/>
              </w:rPr>
            </w:pPr>
            <w:r>
              <w:rPr>
                <w:rFonts w:ascii="Times New Roman" w:hAnsi="Times New Roman" w:eastAsia="Times New Roman" w:cs="Times New Roman"/>
                <w:sz w:val="17"/>
                <w:szCs w:val="17"/>
              </w:rPr>
              <w:t>6</w:t>
            </w:r>
          </w:p>
        </w:tc>
        <w:tc>
          <w:tcPr>
            <w:tcW w:w="821" w:type="dxa"/>
            <w:vAlign w:val="top"/>
          </w:tcPr>
          <w:p>
            <w:pPr>
              <w:spacing w:before="115" w:line="197" w:lineRule="auto"/>
              <w:ind w:left="384"/>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892" w:type="dxa"/>
            <w:vAlign w:val="top"/>
          </w:tcPr>
          <w:p>
            <w:pPr>
              <w:spacing w:before="115" w:line="197" w:lineRule="auto"/>
              <w:ind w:left="405"/>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312" w:type="dxa"/>
            <w:vAlign w:val="top"/>
          </w:tcPr>
          <w:p>
            <w:pPr>
              <w:spacing w:before="115" w:line="197" w:lineRule="auto"/>
              <w:ind w:left="21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4:00~ 14:20</w:t>
            </w:r>
          </w:p>
        </w:tc>
        <w:tc>
          <w:tcPr>
            <w:tcW w:w="1636" w:type="dxa"/>
            <w:vAlign w:val="top"/>
          </w:tcPr>
          <w:p>
            <w:pPr>
              <w:spacing w:before="115" w:line="197" w:lineRule="auto"/>
              <w:ind w:left="73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203" w:type="dxa"/>
            <w:vMerge w:val="continue"/>
            <w:tcBorders>
              <w:top w:val="nil"/>
              <w:bottom w:val="nil"/>
            </w:tcBorders>
            <w:vAlign w:val="top"/>
          </w:tcPr>
          <w:p>
            <w:pPr>
              <w:rPr>
                <w:rFonts w:ascii="Arial"/>
                <w:sz w:val="21"/>
              </w:rPr>
            </w:pPr>
          </w:p>
        </w:tc>
        <w:tc>
          <w:tcPr>
            <w:tcW w:w="2255" w:type="dxa"/>
            <w:vMerge w:val="continue"/>
            <w:tcBorders>
              <w:top w:val="nil"/>
            </w:tcBorders>
            <w:vAlign w:val="top"/>
          </w:tcPr>
          <w:p>
            <w:pPr>
              <w:rPr>
                <w:rFonts w:ascii="Arial"/>
                <w:sz w:val="21"/>
              </w:rPr>
            </w:pPr>
          </w:p>
        </w:tc>
        <w:tc>
          <w:tcPr>
            <w:tcW w:w="863" w:type="dxa"/>
            <w:vAlign w:val="top"/>
          </w:tcPr>
          <w:p>
            <w:pPr>
              <w:spacing w:before="115" w:line="197" w:lineRule="auto"/>
              <w:ind w:left="390"/>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821" w:type="dxa"/>
            <w:vAlign w:val="top"/>
          </w:tcPr>
          <w:p>
            <w:pPr>
              <w:spacing w:before="115" w:line="197" w:lineRule="auto"/>
              <w:ind w:left="370"/>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892" w:type="dxa"/>
            <w:vAlign w:val="top"/>
          </w:tcPr>
          <w:p>
            <w:pPr>
              <w:spacing w:before="115" w:line="197" w:lineRule="auto"/>
              <w:ind w:left="405"/>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312" w:type="dxa"/>
            <w:vAlign w:val="top"/>
          </w:tcPr>
          <w:p>
            <w:pPr>
              <w:spacing w:before="115" w:line="197" w:lineRule="auto"/>
              <w:ind w:left="199"/>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2:00~22:20</w:t>
            </w:r>
          </w:p>
        </w:tc>
        <w:tc>
          <w:tcPr>
            <w:tcW w:w="1636" w:type="dxa"/>
            <w:vAlign w:val="top"/>
          </w:tcPr>
          <w:p>
            <w:pPr>
              <w:spacing w:before="115" w:line="197" w:lineRule="auto"/>
              <w:ind w:left="72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203" w:type="dxa"/>
            <w:vMerge w:val="continue"/>
            <w:tcBorders>
              <w:top w:val="nil"/>
              <w:bottom w:val="nil"/>
            </w:tcBorders>
            <w:vAlign w:val="top"/>
          </w:tcPr>
          <w:p>
            <w:pPr>
              <w:rPr>
                <w:rFonts w:ascii="Arial"/>
                <w:sz w:val="21"/>
              </w:rPr>
            </w:pPr>
          </w:p>
        </w:tc>
        <w:tc>
          <w:tcPr>
            <w:tcW w:w="2255" w:type="dxa"/>
            <w:vMerge w:val="restart"/>
            <w:tcBorders>
              <w:bottom w:val="nil"/>
            </w:tcBorders>
            <w:vAlign w:val="top"/>
          </w:tcPr>
          <w:p>
            <w:pPr>
              <w:spacing w:before="212" w:line="242" w:lineRule="exact"/>
              <w:ind w:left="335"/>
              <w:rPr>
                <w:rFonts w:ascii="宋体" w:hAnsi="宋体" w:eastAsia="宋体" w:cs="宋体"/>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8"/>
                <w:position w:val="2"/>
                <w:sz w:val="17"/>
                <w:szCs w:val="17"/>
              </w:rPr>
              <w:t>2</w:t>
            </w:r>
            <w:r>
              <w:rPr>
                <w:rFonts w:ascii="Times New Roman" w:hAnsi="Times New Roman" w:eastAsia="Times New Roman" w:cs="Times New Roman"/>
                <w:spacing w:val="6"/>
                <w:position w:val="2"/>
                <w:sz w:val="17"/>
                <w:szCs w:val="17"/>
              </w:rPr>
              <w:t>#</w:t>
            </w:r>
            <w:r>
              <w:rPr>
                <w:rFonts w:ascii="Times New Roman" w:hAnsi="Times New Roman" w:eastAsia="Times New Roman" w:cs="Times New Roman"/>
                <w:spacing w:val="4"/>
                <w:position w:val="2"/>
                <w:sz w:val="17"/>
                <w:szCs w:val="17"/>
              </w:rPr>
              <w:t xml:space="preserve"> </w:t>
            </w:r>
            <w:r>
              <w:rPr>
                <w:rFonts w:ascii="宋体" w:hAnsi="宋体" w:eastAsia="宋体" w:cs="宋体"/>
                <w:spacing w:val="4"/>
                <w:position w:val="2"/>
                <w:sz w:val="17"/>
                <w:szCs w:val="17"/>
              </w:rPr>
              <w:t>，拟建大桥东端</w:t>
            </w:r>
          </w:p>
        </w:tc>
        <w:tc>
          <w:tcPr>
            <w:tcW w:w="863" w:type="dxa"/>
            <w:vAlign w:val="top"/>
          </w:tcPr>
          <w:p>
            <w:pPr>
              <w:spacing w:before="117" w:line="197" w:lineRule="auto"/>
              <w:ind w:left="35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12</w:t>
            </w:r>
          </w:p>
        </w:tc>
        <w:tc>
          <w:tcPr>
            <w:tcW w:w="821" w:type="dxa"/>
            <w:vAlign w:val="top"/>
          </w:tcPr>
          <w:p>
            <w:pPr>
              <w:spacing w:before="117" w:line="197" w:lineRule="auto"/>
              <w:ind w:left="29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95</w:t>
            </w:r>
          </w:p>
        </w:tc>
        <w:tc>
          <w:tcPr>
            <w:tcW w:w="892" w:type="dxa"/>
            <w:vAlign w:val="top"/>
          </w:tcPr>
          <w:p>
            <w:pPr>
              <w:spacing w:before="117" w:line="197" w:lineRule="auto"/>
              <w:ind w:left="37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15</w:t>
            </w:r>
          </w:p>
        </w:tc>
        <w:tc>
          <w:tcPr>
            <w:tcW w:w="1312" w:type="dxa"/>
            <w:vAlign w:val="top"/>
          </w:tcPr>
          <w:p>
            <w:pPr>
              <w:spacing w:before="117" w:line="197" w:lineRule="auto"/>
              <w:ind w:left="21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4:00~ 14:20</w:t>
            </w:r>
          </w:p>
        </w:tc>
        <w:tc>
          <w:tcPr>
            <w:tcW w:w="1636" w:type="dxa"/>
            <w:vAlign w:val="top"/>
          </w:tcPr>
          <w:p>
            <w:pPr>
              <w:spacing w:before="117" w:line="197" w:lineRule="auto"/>
              <w:ind w:left="73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203" w:type="dxa"/>
            <w:vMerge w:val="continue"/>
            <w:tcBorders>
              <w:top w:val="nil"/>
            </w:tcBorders>
            <w:vAlign w:val="top"/>
          </w:tcPr>
          <w:p>
            <w:pPr>
              <w:rPr>
                <w:rFonts w:ascii="Arial"/>
                <w:sz w:val="21"/>
              </w:rPr>
            </w:pPr>
          </w:p>
        </w:tc>
        <w:tc>
          <w:tcPr>
            <w:tcW w:w="2255" w:type="dxa"/>
            <w:vMerge w:val="continue"/>
            <w:tcBorders>
              <w:top w:val="nil"/>
            </w:tcBorders>
            <w:vAlign w:val="top"/>
          </w:tcPr>
          <w:p>
            <w:pPr>
              <w:rPr>
                <w:rFonts w:ascii="Arial"/>
                <w:sz w:val="21"/>
              </w:rPr>
            </w:pPr>
          </w:p>
        </w:tc>
        <w:tc>
          <w:tcPr>
            <w:tcW w:w="863" w:type="dxa"/>
            <w:vAlign w:val="top"/>
          </w:tcPr>
          <w:p>
            <w:pPr>
              <w:spacing w:before="120" w:line="197" w:lineRule="auto"/>
              <w:ind w:left="35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11</w:t>
            </w:r>
          </w:p>
        </w:tc>
        <w:tc>
          <w:tcPr>
            <w:tcW w:w="821" w:type="dxa"/>
            <w:vAlign w:val="top"/>
          </w:tcPr>
          <w:p>
            <w:pPr>
              <w:spacing w:before="120" w:line="197" w:lineRule="auto"/>
              <w:ind w:left="32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76</w:t>
            </w:r>
          </w:p>
        </w:tc>
        <w:tc>
          <w:tcPr>
            <w:tcW w:w="892" w:type="dxa"/>
            <w:vAlign w:val="top"/>
          </w:tcPr>
          <w:p>
            <w:pPr>
              <w:spacing w:before="120" w:line="197" w:lineRule="auto"/>
              <w:ind w:left="37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15</w:t>
            </w:r>
          </w:p>
        </w:tc>
        <w:tc>
          <w:tcPr>
            <w:tcW w:w="1312" w:type="dxa"/>
            <w:vAlign w:val="top"/>
          </w:tcPr>
          <w:p>
            <w:pPr>
              <w:spacing w:before="120" w:line="197" w:lineRule="auto"/>
              <w:ind w:left="199"/>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2:00~22:20</w:t>
            </w:r>
          </w:p>
        </w:tc>
        <w:tc>
          <w:tcPr>
            <w:tcW w:w="1636" w:type="dxa"/>
            <w:vAlign w:val="top"/>
          </w:tcPr>
          <w:p>
            <w:pPr>
              <w:spacing w:before="120" w:line="197" w:lineRule="auto"/>
              <w:ind w:left="73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51</w:t>
            </w:r>
          </w:p>
        </w:tc>
      </w:tr>
    </w:tbl>
    <w:p>
      <w:pPr>
        <w:spacing w:before="145" w:line="230" w:lineRule="auto"/>
        <w:ind w:left="81"/>
        <w:outlineLvl w:val="2"/>
        <w:rPr>
          <w:rFonts w:ascii="黑体" w:hAnsi="黑体" w:eastAsia="黑体" w:cs="黑体"/>
          <w:sz w:val="23"/>
          <w:szCs w:val="23"/>
        </w:rPr>
      </w:pPr>
      <w:bookmarkStart w:id="23" w:name="_bookmark24"/>
      <w:bookmarkEnd w:id="23"/>
      <w:r>
        <w:rPr>
          <w:rFonts w:ascii="Times New Roman" w:hAnsi="Times New Roman" w:eastAsia="Times New Roman" w:cs="Times New Roman"/>
          <w:spacing w:val="7"/>
          <w:sz w:val="23"/>
          <w:szCs w:val="23"/>
        </w:rPr>
        <w:t>3</w:t>
      </w:r>
      <w:r>
        <w:rPr>
          <w:rFonts w:ascii="Times New Roman" w:hAnsi="Times New Roman" w:eastAsia="Times New Roman" w:cs="Times New Roman"/>
          <w:spacing w:val="6"/>
          <w:sz w:val="23"/>
          <w:szCs w:val="23"/>
        </w:rPr>
        <w:t xml:space="preserve">.2  </w:t>
      </w:r>
      <w:r>
        <w:rPr>
          <w:rFonts w:ascii="黑体" w:hAnsi="黑体" w:eastAsia="黑体" w:cs="黑体"/>
          <w:spacing w:val="6"/>
          <w:sz w:val="23"/>
          <w:szCs w:val="23"/>
        </w:rPr>
        <w:t>质量现状评价</w:t>
      </w:r>
    </w:p>
    <w:p>
      <w:pPr>
        <w:spacing w:before="138" w:line="222" w:lineRule="auto"/>
        <w:ind w:left="81"/>
        <w:outlineLvl w:val="3"/>
        <w:rPr>
          <w:rFonts w:ascii="黑体" w:hAnsi="黑体" w:eastAsia="黑体" w:cs="黑体"/>
          <w:sz w:val="22"/>
          <w:szCs w:val="22"/>
        </w:rPr>
      </w:pPr>
      <w:r>
        <w:rPr>
          <w:rFonts w:ascii="Times New Roman" w:hAnsi="Times New Roman" w:eastAsia="Times New Roman" w:cs="Times New Roman"/>
          <w:spacing w:val="-8"/>
          <w:sz w:val="22"/>
          <w:szCs w:val="22"/>
        </w:rPr>
        <w:t>3.</w:t>
      </w:r>
      <w:r>
        <w:rPr>
          <w:rFonts w:ascii="Times New Roman" w:hAnsi="Times New Roman" w:eastAsia="Times New Roman" w:cs="Times New Roman"/>
          <w:spacing w:val="-4"/>
          <w:sz w:val="22"/>
          <w:szCs w:val="22"/>
        </w:rPr>
        <w:t xml:space="preserve">2. 1    </w:t>
      </w:r>
      <w:r>
        <w:rPr>
          <w:rFonts w:ascii="黑体" w:hAnsi="黑体" w:eastAsia="黑体" w:cs="黑体"/>
          <w:spacing w:val="-4"/>
          <w:sz w:val="22"/>
          <w:szCs w:val="22"/>
        </w:rPr>
        <w:t>评价标准</w:t>
      </w:r>
    </w:p>
    <w:p>
      <w:pPr>
        <w:spacing w:before="144" w:line="326" w:lineRule="auto"/>
        <w:ind w:left="80" w:right="73" w:firstLine="420"/>
        <w:rPr>
          <w:rFonts w:ascii="宋体" w:hAnsi="宋体" w:eastAsia="宋体" w:cs="宋体"/>
          <w:sz w:val="20"/>
          <w:szCs w:val="20"/>
        </w:rPr>
      </w:pPr>
      <w:r>
        <w:rPr>
          <w:rFonts w:ascii="宋体" w:hAnsi="宋体" w:eastAsia="宋体" w:cs="宋体"/>
          <w:spacing w:val="20"/>
          <w:sz w:val="20"/>
          <w:szCs w:val="20"/>
        </w:rPr>
        <w:t>本</w:t>
      </w:r>
      <w:r>
        <w:rPr>
          <w:rFonts w:ascii="宋体" w:hAnsi="宋体" w:eastAsia="宋体" w:cs="宋体"/>
          <w:spacing w:val="12"/>
          <w:sz w:val="20"/>
          <w:szCs w:val="20"/>
        </w:rPr>
        <w:t>项</w:t>
      </w:r>
      <w:r>
        <w:rPr>
          <w:rFonts w:ascii="宋体" w:hAnsi="宋体" w:eastAsia="宋体" w:cs="宋体"/>
          <w:spacing w:val="10"/>
          <w:sz w:val="20"/>
          <w:szCs w:val="20"/>
        </w:rPr>
        <w:t>目位于达州市通川区北城滨江片区高家坝社区和张家坝社区，该区域属于《声环境质量</w:t>
      </w:r>
      <w:r>
        <w:rPr>
          <w:rFonts w:ascii="宋体" w:hAnsi="宋体" w:eastAsia="宋体" w:cs="宋体"/>
          <w:sz w:val="20"/>
          <w:szCs w:val="20"/>
        </w:rPr>
        <w:t xml:space="preserve"> </w:t>
      </w:r>
      <w:r>
        <w:rPr>
          <w:rFonts w:ascii="宋体" w:hAnsi="宋体" w:eastAsia="宋体" w:cs="宋体"/>
          <w:spacing w:val="10"/>
          <w:sz w:val="20"/>
          <w:szCs w:val="20"/>
        </w:rPr>
        <w:t>标准》</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0"/>
          <w:sz w:val="20"/>
          <w:szCs w:val="20"/>
        </w:rPr>
        <w:t>3096-2008)</w:t>
      </w:r>
      <w:r>
        <w:rPr>
          <w:rFonts w:ascii="宋体" w:hAnsi="宋体" w:eastAsia="宋体" w:cs="宋体"/>
          <w:spacing w:val="10"/>
          <w:sz w:val="20"/>
          <w:szCs w:val="20"/>
        </w:rPr>
        <w:t>中规定的</w:t>
      </w:r>
      <w:r>
        <w:rPr>
          <w:rFonts w:ascii="Times New Roman" w:hAnsi="Times New Roman" w:eastAsia="Times New Roman" w:cs="Times New Roman"/>
          <w:spacing w:val="10"/>
          <w:sz w:val="20"/>
          <w:szCs w:val="20"/>
        </w:rPr>
        <w:t>2</w:t>
      </w:r>
      <w:r>
        <w:rPr>
          <w:rFonts w:ascii="宋体" w:hAnsi="宋体" w:eastAsia="宋体" w:cs="宋体"/>
          <w:spacing w:val="10"/>
          <w:sz w:val="20"/>
          <w:szCs w:val="20"/>
        </w:rPr>
        <w:t>类区、东端与已建城市主干道相邻，属于</w:t>
      </w:r>
      <w:r>
        <w:rPr>
          <w:rFonts w:ascii="Times New Roman" w:hAnsi="Times New Roman" w:eastAsia="Times New Roman" w:cs="Times New Roman"/>
          <w:spacing w:val="10"/>
          <w:sz w:val="20"/>
          <w:szCs w:val="20"/>
        </w:rPr>
        <w:t>4</w:t>
      </w:r>
      <w:r>
        <w:rPr>
          <w:rFonts w:ascii="Times New Roman" w:hAnsi="Times New Roman" w:eastAsia="Times New Roman" w:cs="Times New Roman"/>
          <w:sz w:val="20"/>
          <w:szCs w:val="20"/>
        </w:rPr>
        <w:t>a</w:t>
      </w:r>
      <w:r>
        <w:rPr>
          <w:rFonts w:ascii="宋体" w:hAnsi="宋体" w:eastAsia="宋体" w:cs="宋体"/>
          <w:spacing w:val="10"/>
          <w:sz w:val="20"/>
          <w:szCs w:val="20"/>
        </w:rPr>
        <w:t>类区域。因此，本</w:t>
      </w:r>
      <w:r>
        <w:rPr>
          <w:rFonts w:ascii="宋体" w:hAnsi="宋体" w:eastAsia="宋体" w:cs="宋体"/>
          <w:spacing w:val="6"/>
          <w:sz w:val="20"/>
          <w:szCs w:val="20"/>
        </w:rPr>
        <w:t>项</w:t>
      </w:r>
      <w:r>
        <w:rPr>
          <w:rFonts w:ascii="宋体" w:hAnsi="宋体" w:eastAsia="宋体" w:cs="宋体"/>
          <w:sz w:val="20"/>
          <w:szCs w:val="20"/>
        </w:rPr>
        <w:t xml:space="preserve"> </w:t>
      </w:r>
      <w:r>
        <w:rPr>
          <w:rFonts w:ascii="宋体" w:hAnsi="宋体" w:eastAsia="宋体" w:cs="宋体"/>
          <w:spacing w:val="14"/>
          <w:sz w:val="20"/>
          <w:szCs w:val="20"/>
        </w:rPr>
        <w:t>目</w:t>
      </w:r>
      <w:r>
        <w:rPr>
          <w:rFonts w:ascii="宋体" w:hAnsi="宋体" w:eastAsia="宋体" w:cs="宋体"/>
          <w:spacing w:val="11"/>
          <w:sz w:val="20"/>
          <w:szCs w:val="20"/>
        </w:rPr>
        <w:t>执</w:t>
      </w:r>
      <w:r>
        <w:rPr>
          <w:rFonts w:ascii="宋体" w:hAnsi="宋体" w:eastAsia="宋体" w:cs="宋体"/>
          <w:spacing w:val="7"/>
          <w:sz w:val="20"/>
          <w:szCs w:val="20"/>
        </w:rPr>
        <w:t>行《声环境质量标准》</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3096-2008)2</w:t>
      </w:r>
      <w:r>
        <w:rPr>
          <w:rFonts w:ascii="宋体" w:hAnsi="宋体" w:eastAsia="宋体" w:cs="宋体"/>
          <w:spacing w:val="7"/>
          <w:sz w:val="20"/>
          <w:szCs w:val="20"/>
        </w:rPr>
        <w:t>类标准。</w:t>
      </w:r>
    </w:p>
    <w:p>
      <w:pPr>
        <w:spacing w:before="86" w:line="228" w:lineRule="auto"/>
        <w:ind w:left="3404"/>
        <w:rPr>
          <w:rFonts w:ascii="黑体" w:hAnsi="黑体" w:eastAsia="黑体" w:cs="黑体"/>
          <w:sz w:val="19"/>
          <w:szCs w:val="19"/>
        </w:rPr>
      </w:pPr>
      <w:r>
        <w:rPr>
          <w:rFonts w:ascii="黑体" w:hAnsi="黑体" w:eastAsia="黑体" w:cs="黑体"/>
          <w:spacing w:val="12"/>
          <w:sz w:val="19"/>
          <w:szCs w:val="19"/>
        </w:rPr>
        <w:t>表</w:t>
      </w:r>
      <w:r>
        <w:rPr>
          <w:rFonts w:ascii="Times New Roman" w:hAnsi="Times New Roman" w:eastAsia="Times New Roman" w:cs="Times New Roman"/>
          <w:spacing w:val="7"/>
          <w:sz w:val="19"/>
          <w:szCs w:val="19"/>
        </w:rPr>
        <w:t>1</w:t>
      </w:r>
      <w:r>
        <w:rPr>
          <w:rFonts w:ascii="Times New Roman" w:hAnsi="Times New Roman" w:eastAsia="Times New Roman" w:cs="Times New Roman"/>
          <w:spacing w:val="6"/>
          <w:sz w:val="19"/>
          <w:szCs w:val="19"/>
        </w:rPr>
        <w:t xml:space="preserve">2    </w:t>
      </w:r>
      <w:r>
        <w:rPr>
          <w:rFonts w:ascii="黑体" w:hAnsi="黑体" w:eastAsia="黑体" w:cs="黑体"/>
          <w:spacing w:val="6"/>
          <w:sz w:val="19"/>
          <w:szCs w:val="19"/>
        </w:rPr>
        <w:t>环境噪声执行标准</w:t>
      </w:r>
    </w:p>
    <w:tbl>
      <w:tblPr>
        <w:tblStyle w:val="4"/>
        <w:tblW w:w="8843" w:type="dxa"/>
        <w:tblInd w:w="7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7"/>
        <w:gridCol w:w="1747"/>
        <w:gridCol w:w="2048"/>
        <w:gridCol w:w="1775"/>
        <w:gridCol w:w="22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77" w:type="dxa"/>
            <w:vMerge w:val="restart"/>
            <w:tcBorders>
              <w:bottom w:val="nil"/>
            </w:tcBorders>
            <w:vAlign w:val="top"/>
          </w:tcPr>
          <w:p>
            <w:pPr>
              <w:spacing w:before="263" w:line="232" w:lineRule="auto"/>
              <w:ind w:left="311"/>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序</w:t>
            </w:r>
            <w:r>
              <w:rPr>
                <w:rFonts w:ascii="宋体" w:hAnsi="宋体" w:eastAsia="宋体" w:cs="宋体"/>
                <w:spacing w:val="6"/>
                <w:sz w:val="17"/>
                <w:szCs w:val="17"/>
                <w14:textOutline w14:w="3268" w14:cap="sq" w14:cmpd="sng">
                  <w14:solidFill>
                    <w14:srgbClr w14:val="000000"/>
                  </w14:solidFill>
                  <w14:prstDash w14:val="solid"/>
                  <w14:bevel/>
                </w14:textOutline>
              </w:rPr>
              <w:t>号</w:t>
            </w:r>
          </w:p>
        </w:tc>
        <w:tc>
          <w:tcPr>
            <w:tcW w:w="1747" w:type="dxa"/>
            <w:vMerge w:val="restart"/>
            <w:tcBorders>
              <w:bottom w:val="nil"/>
            </w:tcBorders>
            <w:vAlign w:val="top"/>
          </w:tcPr>
          <w:p>
            <w:pPr>
              <w:spacing w:before="263" w:line="230" w:lineRule="auto"/>
              <w:ind w:left="514"/>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标</w:t>
            </w:r>
            <w:r>
              <w:rPr>
                <w:rFonts w:ascii="宋体" w:hAnsi="宋体" w:eastAsia="宋体" w:cs="宋体"/>
                <w:spacing w:val="8"/>
                <w:sz w:val="17"/>
                <w:szCs w:val="17"/>
                <w14:textOutline w14:w="3268" w14:cap="sq" w14:cmpd="sng">
                  <w14:solidFill>
                    <w14:srgbClr w14:val="000000"/>
                  </w14:solidFill>
                  <w14:prstDash w14:val="solid"/>
                  <w14:bevel/>
                </w14:textOutline>
              </w:rPr>
              <w:t>准类别</w:t>
            </w:r>
          </w:p>
        </w:tc>
        <w:tc>
          <w:tcPr>
            <w:tcW w:w="3823" w:type="dxa"/>
            <w:gridSpan w:val="2"/>
            <w:vAlign w:val="top"/>
          </w:tcPr>
          <w:p>
            <w:pPr>
              <w:spacing w:before="95" w:line="230" w:lineRule="auto"/>
              <w:ind w:left="1556"/>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标</w:t>
            </w:r>
            <w:r>
              <w:rPr>
                <w:rFonts w:ascii="宋体" w:hAnsi="宋体" w:eastAsia="宋体" w:cs="宋体"/>
                <w:spacing w:val="8"/>
                <w:sz w:val="17"/>
                <w:szCs w:val="17"/>
                <w14:textOutline w14:w="3268" w14:cap="sq" w14:cmpd="sng">
                  <w14:solidFill>
                    <w14:srgbClr w14:val="000000"/>
                  </w14:solidFill>
                  <w14:prstDash w14:val="solid"/>
                  <w14:bevel/>
                </w14:textOutline>
              </w:rPr>
              <w:t>准限值</w:t>
            </w:r>
          </w:p>
        </w:tc>
        <w:tc>
          <w:tcPr>
            <w:tcW w:w="2296" w:type="dxa"/>
            <w:vMerge w:val="restart"/>
            <w:tcBorders>
              <w:bottom w:val="nil"/>
            </w:tcBorders>
            <w:vAlign w:val="top"/>
          </w:tcPr>
          <w:p>
            <w:pPr>
              <w:spacing w:before="263" w:line="230" w:lineRule="auto"/>
              <w:ind w:left="790"/>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执行范</w:t>
            </w:r>
            <w:r>
              <w:rPr>
                <w:rFonts w:ascii="宋体" w:hAnsi="宋体" w:eastAsia="宋体" w:cs="宋体"/>
                <w:spacing w:val="8"/>
                <w:sz w:val="17"/>
                <w:szCs w:val="17"/>
                <w14:textOutline w14:w="3268" w14:cap="sq" w14:cmpd="sng">
                  <w14:solidFill>
                    <w14:srgbClr w14:val="000000"/>
                  </w14:solidFill>
                  <w14:prstDash w14:val="solid"/>
                  <w14:bevel/>
                </w14:textOutline>
              </w:rPr>
              <w:t>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977" w:type="dxa"/>
            <w:vMerge w:val="continue"/>
            <w:tcBorders>
              <w:top w:val="nil"/>
            </w:tcBorders>
            <w:vAlign w:val="top"/>
          </w:tcPr>
          <w:p>
            <w:pPr>
              <w:rPr>
                <w:rFonts w:ascii="Arial"/>
                <w:sz w:val="21"/>
              </w:rPr>
            </w:pPr>
          </w:p>
        </w:tc>
        <w:tc>
          <w:tcPr>
            <w:tcW w:w="1747" w:type="dxa"/>
            <w:vMerge w:val="continue"/>
            <w:tcBorders>
              <w:top w:val="nil"/>
            </w:tcBorders>
            <w:vAlign w:val="top"/>
          </w:tcPr>
          <w:p>
            <w:pPr>
              <w:rPr>
                <w:rFonts w:ascii="Arial"/>
                <w:sz w:val="21"/>
              </w:rPr>
            </w:pPr>
          </w:p>
        </w:tc>
        <w:tc>
          <w:tcPr>
            <w:tcW w:w="2048" w:type="dxa"/>
            <w:vAlign w:val="top"/>
          </w:tcPr>
          <w:p>
            <w:pPr>
              <w:spacing w:before="94" w:line="233" w:lineRule="auto"/>
              <w:ind w:left="846"/>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昼</w:t>
            </w:r>
            <w:r>
              <w:rPr>
                <w:rFonts w:ascii="宋体" w:hAnsi="宋体" w:eastAsia="宋体" w:cs="宋体"/>
                <w:spacing w:val="6"/>
                <w:sz w:val="17"/>
                <w:szCs w:val="17"/>
                <w14:textOutline w14:w="3268" w14:cap="sq" w14:cmpd="sng">
                  <w14:solidFill>
                    <w14:srgbClr w14:val="000000"/>
                  </w14:solidFill>
                  <w14:prstDash w14:val="solid"/>
                  <w14:bevel/>
                </w14:textOutline>
              </w:rPr>
              <w:t>间</w:t>
            </w:r>
          </w:p>
        </w:tc>
        <w:tc>
          <w:tcPr>
            <w:tcW w:w="1775" w:type="dxa"/>
            <w:vAlign w:val="top"/>
          </w:tcPr>
          <w:p>
            <w:pPr>
              <w:spacing w:before="94" w:line="230" w:lineRule="auto"/>
              <w:ind w:left="715"/>
              <w:rPr>
                <w:rFonts w:ascii="宋体" w:hAnsi="宋体" w:eastAsia="宋体" w:cs="宋体"/>
                <w:sz w:val="17"/>
                <w:szCs w:val="17"/>
              </w:rPr>
            </w:pPr>
            <w:r>
              <w:rPr>
                <w:rFonts w:ascii="宋体" w:hAnsi="宋体" w:eastAsia="宋体" w:cs="宋体"/>
                <w:spacing w:val="5"/>
                <w:sz w:val="17"/>
                <w:szCs w:val="17"/>
                <w14:textOutline w14:w="3268" w14:cap="sq" w14:cmpd="sng">
                  <w14:solidFill>
                    <w14:srgbClr w14:val="000000"/>
                  </w14:solidFill>
                  <w14:prstDash w14:val="solid"/>
                  <w14:bevel/>
                </w14:textOutline>
              </w:rPr>
              <w:t>夜间</w:t>
            </w:r>
          </w:p>
        </w:tc>
        <w:tc>
          <w:tcPr>
            <w:tcW w:w="229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977" w:type="dxa"/>
            <w:vAlign w:val="top"/>
          </w:tcPr>
          <w:p>
            <w:pPr>
              <w:spacing w:before="125" w:line="197" w:lineRule="auto"/>
              <w:ind w:left="460"/>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1747" w:type="dxa"/>
            <w:vAlign w:val="top"/>
          </w:tcPr>
          <w:p>
            <w:pPr>
              <w:spacing w:before="94" w:line="230" w:lineRule="auto"/>
              <w:ind w:left="534"/>
              <w:rPr>
                <w:rFonts w:ascii="宋体" w:hAnsi="宋体" w:eastAsia="宋体" w:cs="宋体"/>
                <w:sz w:val="17"/>
                <w:szCs w:val="17"/>
              </w:rPr>
            </w:pPr>
            <w:r>
              <w:rPr>
                <w:rFonts w:ascii="Times New Roman" w:hAnsi="Times New Roman" w:eastAsia="Times New Roman" w:cs="Times New Roman"/>
                <w:spacing w:val="7"/>
                <w:sz w:val="17"/>
                <w:szCs w:val="17"/>
              </w:rPr>
              <w:t xml:space="preserve">2 </w:t>
            </w:r>
            <w:r>
              <w:rPr>
                <w:rFonts w:ascii="宋体" w:hAnsi="宋体" w:eastAsia="宋体" w:cs="宋体"/>
                <w:spacing w:val="7"/>
                <w:sz w:val="17"/>
                <w:szCs w:val="17"/>
              </w:rPr>
              <w:t>类标准</w:t>
            </w:r>
          </w:p>
        </w:tc>
        <w:tc>
          <w:tcPr>
            <w:tcW w:w="2048" w:type="dxa"/>
            <w:vAlign w:val="top"/>
          </w:tcPr>
          <w:p>
            <w:pPr>
              <w:spacing w:before="61" w:line="242" w:lineRule="exact"/>
              <w:ind w:left="708"/>
              <w:rPr>
                <w:rFonts w:ascii="Times New Roman" w:hAnsi="Times New Roman" w:eastAsia="Times New Roman" w:cs="Times New Roman"/>
                <w:sz w:val="17"/>
                <w:szCs w:val="17"/>
              </w:rPr>
            </w:pPr>
            <w:r>
              <w:rPr>
                <w:rFonts w:ascii="Times New Roman" w:hAnsi="Times New Roman" w:eastAsia="Times New Roman" w:cs="Times New Roman"/>
                <w:spacing w:val="8"/>
                <w:position w:val="3"/>
                <w:sz w:val="17"/>
                <w:szCs w:val="17"/>
              </w:rPr>
              <w:t>6</w:t>
            </w:r>
            <w:r>
              <w:rPr>
                <w:rFonts w:ascii="Times New Roman" w:hAnsi="Times New Roman" w:eastAsia="Times New Roman" w:cs="Times New Roman"/>
                <w:spacing w:val="6"/>
                <w:position w:val="3"/>
                <w:sz w:val="17"/>
                <w:szCs w:val="17"/>
              </w:rPr>
              <w:t>0</w:t>
            </w:r>
            <w:r>
              <w:rPr>
                <w:rFonts w:ascii="Times New Roman" w:hAnsi="Times New Roman" w:eastAsia="Times New Roman" w:cs="Times New Roman"/>
                <w:position w:val="3"/>
                <w:sz w:val="17"/>
                <w:szCs w:val="17"/>
              </w:rPr>
              <w:t>dB</w:t>
            </w:r>
            <w:r>
              <w:rPr>
                <w:rFonts w:ascii="Times New Roman" w:hAnsi="Times New Roman" w:eastAsia="Times New Roman" w:cs="Times New Roman"/>
                <w:spacing w:val="6"/>
                <w:position w:val="3"/>
                <w:sz w:val="17"/>
                <w:szCs w:val="17"/>
              </w:rPr>
              <w:t>(</w:t>
            </w:r>
            <w:r>
              <w:rPr>
                <w:rFonts w:ascii="Times New Roman" w:hAnsi="Times New Roman" w:eastAsia="Times New Roman" w:cs="Times New Roman"/>
                <w:position w:val="3"/>
                <w:sz w:val="17"/>
                <w:szCs w:val="17"/>
              </w:rPr>
              <w:t>A</w:t>
            </w:r>
            <w:r>
              <w:rPr>
                <w:rFonts w:ascii="Times New Roman" w:hAnsi="Times New Roman" w:eastAsia="Times New Roman" w:cs="Times New Roman"/>
                <w:spacing w:val="6"/>
                <w:position w:val="3"/>
                <w:sz w:val="17"/>
                <w:szCs w:val="17"/>
              </w:rPr>
              <w:t>)</w:t>
            </w:r>
          </w:p>
        </w:tc>
        <w:tc>
          <w:tcPr>
            <w:tcW w:w="1775" w:type="dxa"/>
            <w:vAlign w:val="top"/>
          </w:tcPr>
          <w:p>
            <w:pPr>
              <w:spacing w:before="61" w:line="242" w:lineRule="exact"/>
              <w:ind w:left="574"/>
              <w:rPr>
                <w:rFonts w:ascii="Times New Roman" w:hAnsi="Times New Roman" w:eastAsia="Times New Roman" w:cs="Times New Roman"/>
                <w:sz w:val="17"/>
                <w:szCs w:val="17"/>
              </w:rPr>
            </w:pPr>
            <w:r>
              <w:rPr>
                <w:rFonts w:ascii="Times New Roman" w:hAnsi="Times New Roman" w:eastAsia="Times New Roman" w:cs="Times New Roman"/>
                <w:spacing w:val="7"/>
                <w:position w:val="3"/>
                <w:sz w:val="17"/>
                <w:szCs w:val="17"/>
              </w:rPr>
              <w:t>5</w:t>
            </w:r>
            <w:r>
              <w:rPr>
                <w:rFonts w:ascii="Times New Roman" w:hAnsi="Times New Roman" w:eastAsia="Times New Roman" w:cs="Times New Roman"/>
                <w:spacing w:val="6"/>
                <w:position w:val="3"/>
                <w:sz w:val="17"/>
                <w:szCs w:val="17"/>
              </w:rPr>
              <w:t>0</w:t>
            </w:r>
            <w:r>
              <w:rPr>
                <w:rFonts w:ascii="Times New Roman" w:hAnsi="Times New Roman" w:eastAsia="Times New Roman" w:cs="Times New Roman"/>
                <w:position w:val="3"/>
                <w:sz w:val="17"/>
                <w:szCs w:val="17"/>
              </w:rPr>
              <w:t>dB</w:t>
            </w:r>
            <w:r>
              <w:rPr>
                <w:rFonts w:ascii="Times New Roman" w:hAnsi="Times New Roman" w:eastAsia="Times New Roman" w:cs="Times New Roman"/>
                <w:spacing w:val="6"/>
                <w:position w:val="3"/>
                <w:sz w:val="17"/>
                <w:szCs w:val="17"/>
              </w:rPr>
              <w:t>(</w:t>
            </w:r>
            <w:r>
              <w:rPr>
                <w:rFonts w:ascii="Times New Roman" w:hAnsi="Times New Roman" w:eastAsia="Times New Roman" w:cs="Times New Roman"/>
                <w:position w:val="3"/>
                <w:sz w:val="17"/>
                <w:szCs w:val="17"/>
              </w:rPr>
              <w:t>A</w:t>
            </w:r>
            <w:r>
              <w:rPr>
                <w:rFonts w:ascii="Times New Roman" w:hAnsi="Times New Roman" w:eastAsia="Times New Roman" w:cs="Times New Roman"/>
                <w:spacing w:val="6"/>
                <w:position w:val="3"/>
                <w:sz w:val="17"/>
                <w:szCs w:val="17"/>
              </w:rPr>
              <w:t>)</w:t>
            </w:r>
          </w:p>
        </w:tc>
        <w:tc>
          <w:tcPr>
            <w:tcW w:w="2296" w:type="dxa"/>
            <w:vAlign w:val="top"/>
          </w:tcPr>
          <w:p>
            <w:pPr>
              <w:spacing w:before="94" w:line="230" w:lineRule="auto"/>
              <w:ind w:left="206"/>
              <w:rPr>
                <w:rFonts w:ascii="宋体" w:hAnsi="宋体" w:eastAsia="宋体" w:cs="宋体"/>
                <w:sz w:val="17"/>
                <w:szCs w:val="17"/>
              </w:rPr>
            </w:pPr>
            <w:r>
              <w:rPr>
                <w:rFonts w:ascii="宋体" w:hAnsi="宋体" w:eastAsia="宋体" w:cs="宋体"/>
                <w:spacing w:val="18"/>
                <w:sz w:val="17"/>
                <w:szCs w:val="17"/>
              </w:rPr>
              <w:t>桥</w:t>
            </w:r>
            <w:r>
              <w:rPr>
                <w:rFonts w:ascii="宋体" w:hAnsi="宋体" w:eastAsia="宋体" w:cs="宋体"/>
                <w:spacing w:val="11"/>
                <w:sz w:val="17"/>
                <w:szCs w:val="17"/>
              </w:rPr>
              <w:t>梁两侧</w:t>
            </w:r>
            <w:r>
              <w:rPr>
                <w:rFonts w:ascii="Times New Roman" w:hAnsi="Times New Roman" w:eastAsia="Times New Roman" w:cs="Times New Roman"/>
                <w:spacing w:val="11"/>
                <w:sz w:val="17"/>
                <w:szCs w:val="17"/>
              </w:rPr>
              <w:t xml:space="preserve">35 </w:t>
            </w:r>
            <w:r>
              <w:rPr>
                <w:rFonts w:ascii="宋体" w:hAnsi="宋体" w:eastAsia="宋体" w:cs="宋体"/>
                <w:spacing w:val="11"/>
                <w:sz w:val="17"/>
                <w:szCs w:val="17"/>
              </w:rPr>
              <w:t>米范围以外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977" w:type="dxa"/>
            <w:vAlign w:val="top"/>
          </w:tcPr>
          <w:p>
            <w:pPr>
              <w:spacing w:before="142" w:line="197" w:lineRule="auto"/>
              <w:ind w:left="44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1747" w:type="dxa"/>
            <w:vAlign w:val="top"/>
          </w:tcPr>
          <w:p>
            <w:pPr>
              <w:spacing w:before="111" w:line="230" w:lineRule="auto"/>
              <w:ind w:left="675"/>
              <w:rPr>
                <w:rFonts w:ascii="宋体" w:hAnsi="宋体" w:eastAsia="宋体" w:cs="宋体"/>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z w:val="17"/>
                <w:szCs w:val="17"/>
              </w:rPr>
              <w:t>a</w:t>
            </w:r>
            <w:r>
              <w:rPr>
                <w:rFonts w:ascii="Times New Roman" w:hAnsi="Times New Roman" w:eastAsia="Times New Roman" w:cs="Times New Roman"/>
                <w:spacing w:val="6"/>
                <w:sz w:val="17"/>
                <w:szCs w:val="17"/>
              </w:rPr>
              <w:t xml:space="preserve"> </w:t>
            </w:r>
            <w:r>
              <w:rPr>
                <w:rFonts w:ascii="宋体" w:hAnsi="宋体" w:eastAsia="宋体" w:cs="宋体"/>
                <w:spacing w:val="5"/>
                <w:sz w:val="17"/>
                <w:szCs w:val="17"/>
              </w:rPr>
              <w:t>类</w:t>
            </w:r>
          </w:p>
        </w:tc>
        <w:tc>
          <w:tcPr>
            <w:tcW w:w="2048" w:type="dxa"/>
            <w:vAlign w:val="top"/>
          </w:tcPr>
          <w:p>
            <w:pPr>
              <w:spacing w:before="85" w:line="243" w:lineRule="exact"/>
              <w:ind w:left="707"/>
              <w:rPr>
                <w:rFonts w:ascii="Times New Roman" w:hAnsi="Times New Roman" w:eastAsia="Times New Roman" w:cs="Times New Roman"/>
                <w:sz w:val="17"/>
                <w:szCs w:val="17"/>
              </w:rPr>
            </w:pPr>
            <w:r>
              <w:rPr>
                <w:rFonts w:ascii="Times New Roman" w:hAnsi="Times New Roman" w:eastAsia="Times New Roman" w:cs="Times New Roman"/>
                <w:spacing w:val="7"/>
                <w:position w:val="3"/>
                <w:sz w:val="17"/>
                <w:szCs w:val="17"/>
              </w:rPr>
              <w:t>70</w:t>
            </w:r>
            <w:r>
              <w:rPr>
                <w:rFonts w:ascii="Times New Roman" w:hAnsi="Times New Roman" w:eastAsia="Times New Roman" w:cs="Times New Roman"/>
                <w:position w:val="3"/>
                <w:sz w:val="17"/>
                <w:szCs w:val="17"/>
              </w:rPr>
              <w:t>dB</w:t>
            </w:r>
            <w:r>
              <w:rPr>
                <w:rFonts w:ascii="Times New Roman" w:hAnsi="Times New Roman" w:eastAsia="Times New Roman" w:cs="Times New Roman"/>
                <w:spacing w:val="7"/>
                <w:position w:val="3"/>
                <w:sz w:val="17"/>
                <w:szCs w:val="17"/>
              </w:rPr>
              <w:t>(</w:t>
            </w:r>
            <w:r>
              <w:rPr>
                <w:rFonts w:ascii="Times New Roman" w:hAnsi="Times New Roman" w:eastAsia="Times New Roman" w:cs="Times New Roman"/>
                <w:position w:val="3"/>
                <w:sz w:val="17"/>
                <w:szCs w:val="17"/>
              </w:rPr>
              <w:t>A</w:t>
            </w:r>
            <w:r>
              <w:rPr>
                <w:rFonts w:ascii="Times New Roman" w:hAnsi="Times New Roman" w:eastAsia="Times New Roman" w:cs="Times New Roman"/>
                <w:spacing w:val="6"/>
                <w:position w:val="3"/>
                <w:sz w:val="17"/>
                <w:szCs w:val="17"/>
              </w:rPr>
              <w:t>)</w:t>
            </w:r>
          </w:p>
        </w:tc>
        <w:tc>
          <w:tcPr>
            <w:tcW w:w="1775" w:type="dxa"/>
            <w:vAlign w:val="top"/>
          </w:tcPr>
          <w:p>
            <w:pPr>
              <w:spacing w:before="85" w:line="243" w:lineRule="exact"/>
              <w:ind w:left="574"/>
              <w:rPr>
                <w:rFonts w:ascii="Times New Roman" w:hAnsi="Times New Roman" w:eastAsia="Times New Roman" w:cs="Times New Roman"/>
                <w:sz w:val="17"/>
                <w:szCs w:val="17"/>
              </w:rPr>
            </w:pPr>
            <w:r>
              <w:rPr>
                <w:rFonts w:ascii="Times New Roman" w:hAnsi="Times New Roman" w:eastAsia="Times New Roman" w:cs="Times New Roman"/>
                <w:spacing w:val="7"/>
                <w:position w:val="3"/>
                <w:sz w:val="17"/>
                <w:szCs w:val="17"/>
              </w:rPr>
              <w:t>5</w:t>
            </w:r>
            <w:r>
              <w:rPr>
                <w:rFonts w:ascii="Times New Roman" w:hAnsi="Times New Roman" w:eastAsia="Times New Roman" w:cs="Times New Roman"/>
                <w:spacing w:val="6"/>
                <w:position w:val="3"/>
                <w:sz w:val="17"/>
                <w:szCs w:val="17"/>
              </w:rPr>
              <w:t>5</w:t>
            </w:r>
            <w:r>
              <w:rPr>
                <w:rFonts w:ascii="Times New Roman" w:hAnsi="Times New Roman" w:eastAsia="Times New Roman" w:cs="Times New Roman"/>
                <w:position w:val="3"/>
                <w:sz w:val="17"/>
                <w:szCs w:val="17"/>
              </w:rPr>
              <w:t>dB</w:t>
            </w:r>
            <w:r>
              <w:rPr>
                <w:rFonts w:ascii="Times New Roman" w:hAnsi="Times New Roman" w:eastAsia="Times New Roman" w:cs="Times New Roman"/>
                <w:spacing w:val="6"/>
                <w:position w:val="3"/>
                <w:sz w:val="17"/>
                <w:szCs w:val="17"/>
              </w:rPr>
              <w:t>(</w:t>
            </w:r>
            <w:r>
              <w:rPr>
                <w:rFonts w:ascii="Times New Roman" w:hAnsi="Times New Roman" w:eastAsia="Times New Roman" w:cs="Times New Roman"/>
                <w:position w:val="3"/>
                <w:sz w:val="17"/>
                <w:szCs w:val="17"/>
              </w:rPr>
              <w:t>A</w:t>
            </w:r>
            <w:r>
              <w:rPr>
                <w:rFonts w:ascii="Times New Roman" w:hAnsi="Times New Roman" w:eastAsia="Times New Roman" w:cs="Times New Roman"/>
                <w:spacing w:val="6"/>
                <w:position w:val="3"/>
                <w:sz w:val="17"/>
                <w:szCs w:val="17"/>
              </w:rPr>
              <w:t>)</w:t>
            </w:r>
          </w:p>
        </w:tc>
        <w:tc>
          <w:tcPr>
            <w:tcW w:w="2296" w:type="dxa"/>
            <w:vAlign w:val="top"/>
          </w:tcPr>
          <w:p>
            <w:pPr>
              <w:spacing w:before="111" w:line="230" w:lineRule="auto"/>
              <w:ind w:left="206"/>
              <w:rPr>
                <w:rFonts w:ascii="宋体" w:hAnsi="宋体" w:eastAsia="宋体" w:cs="宋体"/>
                <w:sz w:val="17"/>
                <w:szCs w:val="17"/>
              </w:rPr>
            </w:pPr>
            <w:r>
              <w:rPr>
                <w:rFonts w:ascii="宋体" w:hAnsi="宋体" w:eastAsia="宋体" w:cs="宋体"/>
                <w:spacing w:val="18"/>
                <w:sz w:val="17"/>
                <w:szCs w:val="17"/>
              </w:rPr>
              <w:t>桥</w:t>
            </w:r>
            <w:r>
              <w:rPr>
                <w:rFonts w:ascii="宋体" w:hAnsi="宋体" w:eastAsia="宋体" w:cs="宋体"/>
                <w:spacing w:val="11"/>
                <w:sz w:val="17"/>
                <w:szCs w:val="17"/>
              </w:rPr>
              <w:t>梁两侧</w:t>
            </w:r>
            <w:r>
              <w:rPr>
                <w:rFonts w:ascii="Times New Roman" w:hAnsi="Times New Roman" w:eastAsia="Times New Roman" w:cs="Times New Roman"/>
                <w:spacing w:val="11"/>
                <w:sz w:val="17"/>
                <w:szCs w:val="17"/>
              </w:rPr>
              <w:t xml:space="preserve">35 </w:t>
            </w:r>
            <w:r>
              <w:rPr>
                <w:rFonts w:ascii="宋体" w:hAnsi="宋体" w:eastAsia="宋体" w:cs="宋体"/>
                <w:spacing w:val="11"/>
                <w:sz w:val="17"/>
                <w:szCs w:val="17"/>
              </w:rPr>
              <w:t>米范围以内</w:t>
            </w:r>
          </w:p>
        </w:tc>
      </w:tr>
    </w:tbl>
    <w:p>
      <w:pPr>
        <w:spacing w:before="131" w:line="222" w:lineRule="auto"/>
        <w:ind w:left="81"/>
        <w:outlineLvl w:val="3"/>
        <w:rPr>
          <w:rFonts w:ascii="黑体" w:hAnsi="黑体" w:eastAsia="黑体" w:cs="黑体"/>
          <w:sz w:val="22"/>
          <w:szCs w:val="22"/>
        </w:rPr>
      </w:pPr>
      <w:r>
        <w:rPr>
          <w:rFonts w:ascii="Times New Roman" w:hAnsi="Times New Roman" w:eastAsia="Times New Roman" w:cs="Times New Roman"/>
          <w:spacing w:val="-1"/>
          <w:sz w:val="22"/>
          <w:szCs w:val="22"/>
        </w:rPr>
        <w:t xml:space="preserve">3.2.2    </w:t>
      </w:r>
      <w:r>
        <w:rPr>
          <w:rFonts w:ascii="黑体" w:hAnsi="黑体" w:eastAsia="黑体" w:cs="黑体"/>
          <w:sz w:val="22"/>
          <w:szCs w:val="22"/>
        </w:rPr>
        <w:t>评价方法</w:t>
      </w:r>
    </w:p>
    <w:p>
      <w:pPr>
        <w:spacing w:before="144" w:line="226" w:lineRule="auto"/>
        <w:ind w:left="523"/>
        <w:rPr>
          <w:rFonts w:ascii="宋体" w:hAnsi="宋体" w:eastAsia="宋体" w:cs="宋体"/>
          <w:sz w:val="20"/>
          <w:szCs w:val="20"/>
        </w:rPr>
      </w:pPr>
      <w:r>
        <w:rPr>
          <w:rFonts w:ascii="宋体" w:hAnsi="宋体" w:eastAsia="宋体" w:cs="宋体"/>
          <w:spacing w:val="16"/>
          <w:sz w:val="20"/>
          <w:szCs w:val="20"/>
        </w:rPr>
        <w:t>以</w:t>
      </w:r>
      <w:r>
        <w:rPr>
          <w:rFonts w:ascii="宋体" w:hAnsi="宋体" w:eastAsia="宋体" w:cs="宋体"/>
          <w:spacing w:val="9"/>
          <w:sz w:val="20"/>
          <w:szCs w:val="20"/>
        </w:rPr>
        <w:t>等</w:t>
      </w:r>
      <w:r>
        <w:rPr>
          <w:rFonts w:ascii="宋体" w:hAnsi="宋体" w:eastAsia="宋体" w:cs="宋体"/>
          <w:spacing w:val="8"/>
          <w:sz w:val="20"/>
          <w:szCs w:val="20"/>
        </w:rPr>
        <w:t>效连续</w:t>
      </w:r>
      <w:r>
        <w:rPr>
          <w:rFonts w:ascii="Times New Roman" w:hAnsi="Times New Roman" w:eastAsia="Times New Roman" w:cs="Times New Roman"/>
          <w:sz w:val="20"/>
          <w:szCs w:val="20"/>
        </w:rPr>
        <w:t>A</w:t>
      </w:r>
      <w:r>
        <w:rPr>
          <w:rFonts w:ascii="宋体" w:hAnsi="宋体" w:eastAsia="宋体" w:cs="宋体"/>
          <w:spacing w:val="8"/>
          <w:sz w:val="20"/>
          <w:szCs w:val="20"/>
        </w:rPr>
        <w:t>声级作为评价量，对照标准进行分析评价。</w:t>
      </w:r>
    </w:p>
    <w:p>
      <w:pPr>
        <w:spacing w:before="146" w:line="222" w:lineRule="auto"/>
        <w:ind w:left="81"/>
        <w:outlineLvl w:val="3"/>
        <w:rPr>
          <w:rFonts w:ascii="黑体" w:hAnsi="黑体" w:eastAsia="黑体" w:cs="黑体"/>
          <w:sz w:val="22"/>
          <w:szCs w:val="22"/>
        </w:rPr>
      </w:pPr>
      <w:r>
        <w:rPr>
          <w:rFonts w:ascii="Times New Roman" w:hAnsi="Times New Roman" w:eastAsia="Times New Roman" w:cs="Times New Roman"/>
          <w:spacing w:val="-1"/>
          <w:sz w:val="22"/>
          <w:szCs w:val="22"/>
        </w:rPr>
        <w:t xml:space="preserve">3.2.3    </w:t>
      </w:r>
      <w:r>
        <w:rPr>
          <w:rFonts w:ascii="黑体" w:hAnsi="黑体" w:eastAsia="黑体" w:cs="黑体"/>
          <w:sz w:val="22"/>
          <w:szCs w:val="22"/>
        </w:rPr>
        <w:t>评价结果</w:t>
      </w:r>
    </w:p>
    <w:p>
      <w:pPr>
        <w:spacing w:before="91" w:line="228" w:lineRule="auto"/>
        <w:ind w:left="3104"/>
        <w:rPr>
          <w:rFonts w:ascii="黑体" w:hAnsi="黑体" w:eastAsia="黑体" w:cs="黑体"/>
          <w:sz w:val="19"/>
          <w:szCs w:val="19"/>
        </w:rPr>
      </w:pPr>
      <w:r>
        <w:rPr>
          <w:rFonts w:ascii="黑体" w:hAnsi="黑体" w:eastAsia="黑体" w:cs="黑体"/>
          <w:spacing w:val="8"/>
          <w:sz w:val="19"/>
          <w:szCs w:val="19"/>
        </w:rPr>
        <w:t>表</w:t>
      </w:r>
      <w:r>
        <w:rPr>
          <w:rFonts w:ascii="Times New Roman" w:hAnsi="Times New Roman" w:eastAsia="Times New Roman" w:cs="Times New Roman"/>
          <w:spacing w:val="7"/>
          <w:sz w:val="19"/>
          <w:szCs w:val="19"/>
        </w:rPr>
        <w:t xml:space="preserve">13    </w:t>
      </w:r>
      <w:r>
        <w:rPr>
          <w:rFonts w:ascii="黑体" w:hAnsi="黑体" w:eastAsia="黑体" w:cs="黑体"/>
          <w:spacing w:val="7"/>
          <w:sz w:val="19"/>
          <w:szCs w:val="19"/>
        </w:rPr>
        <w:t>噪声环境现状评价结果表</w:t>
      </w:r>
    </w:p>
    <w:tbl>
      <w:tblPr>
        <w:tblStyle w:val="4"/>
        <w:tblW w:w="8760" w:type="dxa"/>
        <w:tblInd w:w="1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7"/>
        <w:gridCol w:w="1069"/>
        <w:gridCol w:w="840"/>
        <w:gridCol w:w="1520"/>
        <w:gridCol w:w="1024"/>
        <w:gridCol w:w="1054"/>
        <w:gridCol w:w="999"/>
        <w:gridCol w:w="11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127" w:type="dxa"/>
            <w:vAlign w:val="top"/>
          </w:tcPr>
          <w:p>
            <w:pPr>
              <w:spacing w:before="85" w:line="232" w:lineRule="auto"/>
              <w:ind w:left="208"/>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监</w:t>
            </w:r>
            <w:r>
              <w:rPr>
                <w:rFonts w:ascii="宋体" w:hAnsi="宋体" w:eastAsia="宋体" w:cs="宋体"/>
                <w:spacing w:val="8"/>
                <w:sz w:val="17"/>
                <w:szCs w:val="17"/>
                <w14:textOutline w14:w="3268" w14:cap="sq" w14:cmpd="sng">
                  <w14:solidFill>
                    <w14:srgbClr w14:val="000000"/>
                  </w14:solidFill>
                  <w14:prstDash w14:val="solid"/>
                  <w14:bevel/>
                </w14:textOutline>
              </w:rPr>
              <w:t>测时间</w:t>
            </w:r>
          </w:p>
        </w:tc>
        <w:tc>
          <w:tcPr>
            <w:tcW w:w="1069" w:type="dxa"/>
            <w:vAlign w:val="top"/>
          </w:tcPr>
          <w:p>
            <w:pPr>
              <w:spacing w:before="85" w:line="230" w:lineRule="auto"/>
              <w:ind w:left="184"/>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点</w:t>
            </w:r>
            <w:r>
              <w:rPr>
                <w:rFonts w:ascii="宋体" w:hAnsi="宋体" w:eastAsia="宋体" w:cs="宋体"/>
                <w:spacing w:val="6"/>
                <w:sz w:val="17"/>
                <w:szCs w:val="17"/>
                <w14:textOutline w14:w="3268" w14:cap="sq" w14:cmpd="sng">
                  <w14:solidFill>
                    <w14:srgbClr w14:val="000000"/>
                  </w14:solidFill>
                  <w14:prstDash w14:val="solid"/>
                  <w14:bevel/>
                </w14:textOutline>
              </w:rPr>
              <w:t>位编号</w:t>
            </w:r>
          </w:p>
        </w:tc>
        <w:tc>
          <w:tcPr>
            <w:tcW w:w="840" w:type="dxa"/>
            <w:vAlign w:val="top"/>
          </w:tcPr>
          <w:p>
            <w:pPr>
              <w:spacing w:before="85" w:line="232" w:lineRule="auto"/>
              <w:ind w:left="252"/>
              <w:rPr>
                <w:rFonts w:ascii="宋体" w:hAnsi="宋体" w:eastAsia="宋体" w:cs="宋体"/>
                <w:sz w:val="17"/>
                <w:szCs w:val="17"/>
              </w:rPr>
            </w:pPr>
            <w:r>
              <w:rPr>
                <w:rFonts w:ascii="宋体" w:hAnsi="宋体" w:eastAsia="宋体" w:cs="宋体"/>
                <w:spacing w:val="2"/>
                <w:sz w:val="17"/>
                <w:szCs w:val="17"/>
                <w14:textOutline w14:w="3268" w14:cap="sq" w14:cmpd="sng">
                  <w14:solidFill>
                    <w14:srgbClr w14:val="000000"/>
                  </w14:solidFill>
                  <w14:prstDash w14:val="solid"/>
                  <w14:bevel/>
                </w14:textOutline>
              </w:rPr>
              <w:t>时段</w:t>
            </w:r>
          </w:p>
        </w:tc>
        <w:tc>
          <w:tcPr>
            <w:tcW w:w="1520" w:type="dxa"/>
            <w:vAlign w:val="top"/>
          </w:tcPr>
          <w:p>
            <w:pPr>
              <w:spacing w:before="86" w:line="229" w:lineRule="auto"/>
              <w:ind w:left="401"/>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采样时间</w:t>
            </w:r>
          </w:p>
        </w:tc>
        <w:tc>
          <w:tcPr>
            <w:tcW w:w="1024" w:type="dxa"/>
            <w:vAlign w:val="top"/>
          </w:tcPr>
          <w:p>
            <w:pPr>
              <w:spacing w:before="85" w:line="230" w:lineRule="auto"/>
              <w:ind w:left="156"/>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检测结</w:t>
            </w:r>
            <w:r>
              <w:rPr>
                <w:rFonts w:ascii="宋体" w:hAnsi="宋体" w:eastAsia="宋体" w:cs="宋体"/>
                <w:spacing w:val="8"/>
                <w:sz w:val="17"/>
                <w:szCs w:val="17"/>
                <w14:textOutline w14:w="3268" w14:cap="sq" w14:cmpd="sng">
                  <w14:solidFill>
                    <w14:srgbClr w14:val="000000"/>
                  </w14:solidFill>
                  <w14:prstDash w14:val="solid"/>
                  <w14:bevel/>
                </w14:textOutline>
              </w:rPr>
              <w:t>果</w:t>
            </w:r>
          </w:p>
        </w:tc>
        <w:tc>
          <w:tcPr>
            <w:tcW w:w="1054" w:type="dxa"/>
            <w:vAlign w:val="top"/>
          </w:tcPr>
          <w:p>
            <w:pPr>
              <w:spacing w:before="85" w:line="229" w:lineRule="auto"/>
              <w:ind w:left="171"/>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评价标准</w:t>
            </w:r>
          </w:p>
        </w:tc>
        <w:tc>
          <w:tcPr>
            <w:tcW w:w="999" w:type="dxa"/>
            <w:vAlign w:val="top"/>
          </w:tcPr>
          <w:p>
            <w:pPr>
              <w:spacing w:before="85" w:line="229" w:lineRule="auto"/>
              <w:ind w:left="144"/>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评价结果</w:t>
            </w:r>
          </w:p>
        </w:tc>
        <w:tc>
          <w:tcPr>
            <w:tcW w:w="1127" w:type="dxa"/>
            <w:vAlign w:val="top"/>
          </w:tcPr>
          <w:p>
            <w:pPr>
              <w:spacing w:before="85" w:line="232" w:lineRule="auto"/>
              <w:ind w:left="388"/>
              <w:rPr>
                <w:rFonts w:ascii="宋体" w:hAnsi="宋体" w:eastAsia="宋体" w:cs="宋体"/>
                <w:sz w:val="17"/>
                <w:szCs w:val="17"/>
              </w:rPr>
            </w:pPr>
            <w:r>
              <w:rPr>
                <w:rFonts w:ascii="宋体" w:hAnsi="宋体" w:eastAsia="宋体" w:cs="宋体"/>
                <w:spacing w:val="5"/>
                <w:sz w:val="17"/>
                <w:szCs w:val="17"/>
                <w14:textOutline w14:w="3268" w14:cap="sq" w14:cmpd="sng">
                  <w14:solidFill>
                    <w14:srgbClr w14:val="000000"/>
                  </w14:solidFill>
                  <w14:prstDash w14:val="solid"/>
                  <w14:bevel/>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127" w:type="dxa"/>
            <w:vMerge w:val="restart"/>
            <w:tcBorders>
              <w:bottom w:val="nil"/>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49" w:line="197" w:lineRule="auto"/>
              <w:ind w:left="205"/>
              <w:rPr>
                <w:rFonts w:ascii="Times New Roman" w:hAnsi="Times New Roman" w:eastAsia="Times New Roman" w:cs="Times New Roman"/>
                <w:sz w:val="17"/>
                <w:szCs w:val="17"/>
              </w:rPr>
            </w:pPr>
            <w:r>
              <w:rPr>
                <w:rFonts w:ascii="Times New Roman" w:hAnsi="Times New Roman" w:eastAsia="Times New Roman" w:cs="Times New Roman"/>
                <w:b/>
                <w:bCs/>
                <w:spacing w:val="4"/>
                <w:sz w:val="17"/>
                <w:szCs w:val="17"/>
              </w:rPr>
              <w:t>2023.3.30</w:t>
            </w:r>
          </w:p>
        </w:tc>
        <w:tc>
          <w:tcPr>
            <w:tcW w:w="1069" w:type="dxa"/>
            <w:vMerge w:val="restart"/>
            <w:tcBorders>
              <w:bottom w:val="nil"/>
            </w:tcBorders>
            <w:vAlign w:val="top"/>
          </w:tcPr>
          <w:p>
            <w:pPr>
              <w:spacing w:before="156" w:line="243" w:lineRule="exact"/>
              <w:ind w:left="372"/>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10"/>
                <w:position w:val="2"/>
                <w:sz w:val="17"/>
                <w:szCs w:val="17"/>
              </w:rPr>
              <w:t>1#</w:t>
            </w:r>
          </w:p>
        </w:tc>
        <w:tc>
          <w:tcPr>
            <w:tcW w:w="840" w:type="dxa"/>
            <w:vAlign w:val="top"/>
          </w:tcPr>
          <w:p>
            <w:pPr>
              <w:spacing w:before="55" w:line="228" w:lineRule="auto"/>
              <w:ind w:left="243"/>
              <w:rPr>
                <w:rFonts w:ascii="宋体" w:hAnsi="宋体" w:eastAsia="宋体" w:cs="宋体"/>
                <w:sz w:val="17"/>
                <w:szCs w:val="17"/>
              </w:rPr>
            </w:pPr>
            <w:r>
              <w:rPr>
                <w:rFonts w:ascii="宋体" w:hAnsi="宋体" w:eastAsia="宋体" w:cs="宋体"/>
                <w:spacing w:val="7"/>
                <w:sz w:val="17"/>
                <w:szCs w:val="17"/>
              </w:rPr>
              <w:t>昼</w:t>
            </w:r>
            <w:r>
              <w:rPr>
                <w:rFonts w:ascii="宋体" w:hAnsi="宋体" w:eastAsia="宋体" w:cs="宋体"/>
                <w:spacing w:val="6"/>
                <w:sz w:val="17"/>
                <w:szCs w:val="17"/>
              </w:rPr>
              <w:t>间</w:t>
            </w:r>
          </w:p>
        </w:tc>
        <w:tc>
          <w:tcPr>
            <w:tcW w:w="1520" w:type="dxa"/>
            <w:vAlign w:val="top"/>
          </w:tcPr>
          <w:p>
            <w:pPr>
              <w:spacing w:before="85" w:line="197" w:lineRule="auto"/>
              <w:ind w:left="3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0:32~ 10:52</w:t>
            </w:r>
          </w:p>
        </w:tc>
        <w:tc>
          <w:tcPr>
            <w:tcW w:w="1024" w:type="dxa"/>
            <w:vAlign w:val="top"/>
          </w:tcPr>
          <w:p>
            <w:pPr>
              <w:spacing w:before="85" w:line="197" w:lineRule="auto"/>
              <w:ind w:left="428"/>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1054" w:type="dxa"/>
            <w:vAlign w:val="top"/>
          </w:tcPr>
          <w:p>
            <w:pPr>
              <w:spacing w:before="85" w:line="197" w:lineRule="auto"/>
              <w:ind w:left="44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999" w:type="dxa"/>
            <w:vAlign w:val="top"/>
          </w:tcPr>
          <w:p>
            <w:pPr>
              <w:spacing w:before="55" w:line="228"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127" w:type="dxa"/>
            <w:vMerge w:val="continue"/>
            <w:tcBorders>
              <w:top w:val="nil"/>
              <w:bottom w:val="nil"/>
            </w:tcBorders>
            <w:vAlign w:val="top"/>
          </w:tcPr>
          <w:p>
            <w:pPr>
              <w:rPr>
                <w:rFonts w:ascii="Arial"/>
                <w:sz w:val="21"/>
              </w:rPr>
            </w:pPr>
          </w:p>
        </w:tc>
        <w:tc>
          <w:tcPr>
            <w:tcW w:w="1069" w:type="dxa"/>
            <w:vMerge w:val="continue"/>
            <w:tcBorders>
              <w:top w:val="nil"/>
            </w:tcBorders>
            <w:vAlign w:val="top"/>
          </w:tcPr>
          <w:p>
            <w:pPr>
              <w:rPr>
                <w:rFonts w:ascii="Arial"/>
                <w:sz w:val="21"/>
              </w:rPr>
            </w:pPr>
          </w:p>
        </w:tc>
        <w:tc>
          <w:tcPr>
            <w:tcW w:w="840" w:type="dxa"/>
            <w:vAlign w:val="top"/>
          </w:tcPr>
          <w:p>
            <w:pPr>
              <w:spacing w:before="55" w:line="227" w:lineRule="auto"/>
              <w:ind w:left="246"/>
              <w:rPr>
                <w:rFonts w:ascii="宋体" w:hAnsi="宋体" w:eastAsia="宋体" w:cs="宋体"/>
                <w:sz w:val="17"/>
                <w:szCs w:val="17"/>
              </w:rPr>
            </w:pPr>
            <w:r>
              <w:rPr>
                <w:rFonts w:ascii="宋体" w:hAnsi="宋体" w:eastAsia="宋体" w:cs="宋体"/>
                <w:spacing w:val="5"/>
                <w:sz w:val="17"/>
                <w:szCs w:val="17"/>
              </w:rPr>
              <w:t>夜间</w:t>
            </w:r>
          </w:p>
        </w:tc>
        <w:tc>
          <w:tcPr>
            <w:tcW w:w="1520" w:type="dxa"/>
            <w:vAlign w:val="top"/>
          </w:tcPr>
          <w:p>
            <w:pPr>
              <w:spacing w:before="84" w:line="197" w:lineRule="auto"/>
              <w:ind w:left="302"/>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2:00~22:20</w:t>
            </w:r>
          </w:p>
        </w:tc>
        <w:tc>
          <w:tcPr>
            <w:tcW w:w="1024" w:type="dxa"/>
            <w:vAlign w:val="top"/>
          </w:tcPr>
          <w:p>
            <w:pPr>
              <w:spacing w:before="84" w:line="197" w:lineRule="auto"/>
              <w:ind w:left="42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1054" w:type="dxa"/>
            <w:vAlign w:val="top"/>
          </w:tcPr>
          <w:p>
            <w:pPr>
              <w:spacing w:before="84" w:line="197" w:lineRule="auto"/>
              <w:ind w:left="44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999" w:type="dxa"/>
            <w:vAlign w:val="top"/>
          </w:tcPr>
          <w:p>
            <w:pPr>
              <w:spacing w:before="55" w:line="227"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127" w:type="dxa"/>
            <w:vMerge w:val="continue"/>
            <w:tcBorders>
              <w:top w:val="nil"/>
              <w:bottom w:val="nil"/>
            </w:tcBorders>
            <w:vAlign w:val="top"/>
          </w:tcPr>
          <w:p>
            <w:pPr>
              <w:rPr>
                <w:rFonts w:ascii="Arial"/>
                <w:sz w:val="21"/>
              </w:rPr>
            </w:pPr>
          </w:p>
        </w:tc>
        <w:tc>
          <w:tcPr>
            <w:tcW w:w="1069" w:type="dxa"/>
            <w:vMerge w:val="restart"/>
            <w:tcBorders>
              <w:bottom w:val="nil"/>
            </w:tcBorders>
            <w:vAlign w:val="top"/>
          </w:tcPr>
          <w:p>
            <w:pPr>
              <w:spacing w:before="156" w:line="243" w:lineRule="exact"/>
              <w:ind w:left="329"/>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11"/>
                <w:position w:val="2"/>
                <w:sz w:val="17"/>
                <w:szCs w:val="17"/>
              </w:rPr>
              <w:t>2</w:t>
            </w:r>
            <w:r>
              <w:rPr>
                <w:rFonts w:ascii="Times New Roman" w:hAnsi="Times New Roman" w:eastAsia="Times New Roman" w:cs="Times New Roman"/>
                <w:spacing w:val="10"/>
                <w:position w:val="2"/>
                <w:sz w:val="17"/>
                <w:szCs w:val="17"/>
              </w:rPr>
              <w:t>#*</w:t>
            </w:r>
          </w:p>
        </w:tc>
        <w:tc>
          <w:tcPr>
            <w:tcW w:w="840" w:type="dxa"/>
            <w:vAlign w:val="top"/>
          </w:tcPr>
          <w:p>
            <w:pPr>
              <w:spacing w:before="55" w:line="228" w:lineRule="auto"/>
              <w:ind w:left="243"/>
              <w:rPr>
                <w:rFonts w:ascii="宋体" w:hAnsi="宋体" w:eastAsia="宋体" w:cs="宋体"/>
                <w:sz w:val="17"/>
                <w:szCs w:val="17"/>
              </w:rPr>
            </w:pPr>
            <w:r>
              <w:rPr>
                <w:rFonts w:ascii="宋体" w:hAnsi="宋体" w:eastAsia="宋体" w:cs="宋体"/>
                <w:spacing w:val="7"/>
                <w:sz w:val="17"/>
                <w:szCs w:val="17"/>
              </w:rPr>
              <w:t>昼</w:t>
            </w:r>
            <w:r>
              <w:rPr>
                <w:rFonts w:ascii="宋体" w:hAnsi="宋体" w:eastAsia="宋体" w:cs="宋体"/>
                <w:spacing w:val="6"/>
                <w:sz w:val="17"/>
                <w:szCs w:val="17"/>
              </w:rPr>
              <w:t>间</w:t>
            </w:r>
          </w:p>
        </w:tc>
        <w:tc>
          <w:tcPr>
            <w:tcW w:w="1520" w:type="dxa"/>
            <w:vAlign w:val="top"/>
          </w:tcPr>
          <w:p>
            <w:pPr>
              <w:spacing w:before="85" w:line="197" w:lineRule="auto"/>
              <w:ind w:left="3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0:32~ 10:52</w:t>
            </w:r>
          </w:p>
        </w:tc>
        <w:tc>
          <w:tcPr>
            <w:tcW w:w="1024" w:type="dxa"/>
            <w:vAlign w:val="top"/>
          </w:tcPr>
          <w:p>
            <w:pPr>
              <w:spacing w:before="85" w:line="197" w:lineRule="auto"/>
              <w:ind w:left="428"/>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2</w:t>
            </w:r>
          </w:p>
        </w:tc>
        <w:tc>
          <w:tcPr>
            <w:tcW w:w="1054" w:type="dxa"/>
            <w:vAlign w:val="top"/>
          </w:tcPr>
          <w:p>
            <w:pPr>
              <w:spacing w:before="85" w:line="197" w:lineRule="auto"/>
              <w:ind w:left="44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70</w:t>
            </w:r>
          </w:p>
        </w:tc>
        <w:tc>
          <w:tcPr>
            <w:tcW w:w="999" w:type="dxa"/>
            <w:vAlign w:val="top"/>
          </w:tcPr>
          <w:p>
            <w:pPr>
              <w:spacing w:before="55" w:line="228"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127" w:type="dxa"/>
            <w:vMerge w:val="continue"/>
            <w:tcBorders>
              <w:top w:val="nil"/>
              <w:bottom w:val="nil"/>
            </w:tcBorders>
            <w:vAlign w:val="top"/>
          </w:tcPr>
          <w:p>
            <w:pPr>
              <w:rPr>
                <w:rFonts w:ascii="Arial"/>
                <w:sz w:val="21"/>
              </w:rPr>
            </w:pPr>
          </w:p>
        </w:tc>
        <w:tc>
          <w:tcPr>
            <w:tcW w:w="1069" w:type="dxa"/>
            <w:vMerge w:val="continue"/>
            <w:tcBorders>
              <w:top w:val="nil"/>
            </w:tcBorders>
            <w:vAlign w:val="top"/>
          </w:tcPr>
          <w:p>
            <w:pPr>
              <w:rPr>
                <w:rFonts w:ascii="Arial"/>
                <w:sz w:val="21"/>
              </w:rPr>
            </w:pPr>
          </w:p>
        </w:tc>
        <w:tc>
          <w:tcPr>
            <w:tcW w:w="840" w:type="dxa"/>
            <w:vAlign w:val="top"/>
          </w:tcPr>
          <w:p>
            <w:pPr>
              <w:spacing w:before="55" w:line="227" w:lineRule="auto"/>
              <w:ind w:left="246"/>
              <w:rPr>
                <w:rFonts w:ascii="宋体" w:hAnsi="宋体" w:eastAsia="宋体" w:cs="宋体"/>
                <w:sz w:val="17"/>
                <w:szCs w:val="17"/>
              </w:rPr>
            </w:pPr>
            <w:r>
              <w:rPr>
                <w:rFonts w:ascii="宋体" w:hAnsi="宋体" w:eastAsia="宋体" w:cs="宋体"/>
                <w:spacing w:val="5"/>
                <w:sz w:val="17"/>
                <w:szCs w:val="17"/>
              </w:rPr>
              <w:t>夜间</w:t>
            </w:r>
          </w:p>
        </w:tc>
        <w:tc>
          <w:tcPr>
            <w:tcW w:w="1520" w:type="dxa"/>
            <w:vAlign w:val="top"/>
          </w:tcPr>
          <w:p>
            <w:pPr>
              <w:spacing w:before="84" w:line="197" w:lineRule="auto"/>
              <w:ind w:left="302"/>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2:00~22:20</w:t>
            </w:r>
          </w:p>
        </w:tc>
        <w:tc>
          <w:tcPr>
            <w:tcW w:w="1024" w:type="dxa"/>
            <w:vAlign w:val="top"/>
          </w:tcPr>
          <w:p>
            <w:pPr>
              <w:spacing w:before="84" w:line="197" w:lineRule="auto"/>
              <w:ind w:left="42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1054" w:type="dxa"/>
            <w:vAlign w:val="top"/>
          </w:tcPr>
          <w:p>
            <w:pPr>
              <w:spacing w:before="87" w:line="194" w:lineRule="auto"/>
              <w:ind w:left="44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55</w:t>
            </w:r>
          </w:p>
        </w:tc>
        <w:tc>
          <w:tcPr>
            <w:tcW w:w="999" w:type="dxa"/>
            <w:vAlign w:val="top"/>
          </w:tcPr>
          <w:p>
            <w:pPr>
              <w:spacing w:before="55" w:line="227"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127" w:type="dxa"/>
            <w:vMerge w:val="continue"/>
            <w:tcBorders>
              <w:top w:val="nil"/>
              <w:bottom w:val="nil"/>
            </w:tcBorders>
            <w:vAlign w:val="top"/>
          </w:tcPr>
          <w:p>
            <w:pPr>
              <w:rPr>
                <w:rFonts w:ascii="Arial"/>
                <w:sz w:val="21"/>
              </w:rPr>
            </w:pPr>
          </w:p>
        </w:tc>
        <w:tc>
          <w:tcPr>
            <w:tcW w:w="1069" w:type="dxa"/>
            <w:vMerge w:val="restart"/>
            <w:tcBorders>
              <w:bottom w:val="nil"/>
            </w:tcBorders>
            <w:vAlign w:val="top"/>
          </w:tcPr>
          <w:p>
            <w:pPr>
              <w:spacing w:before="156" w:line="243" w:lineRule="exact"/>
              <w:ind w:left="298"/>
              <w:rPr>
                <w:rFonts w:ascii="Times New Roman" w:hAnsi="Times New Roman" w:eastAsia="Times New Roman" w:cs="Times New Roman"/>
                <w:sz w:val="17"/>
                <w:szCs w:val="17"/>
              </w:rPr>
            </w:pPr>
            <w:r>
              <w:rPr>
                <w:rFonts w:ascii="Times New Roman" w:hAnsi="Times New Roman" w:eastAsia="Times New Roman" w:cs="Times New Roman"/>
                <w:spacing w:val="-2"/>
                <w:position w:val="2"/>
                <w:sz w:val="17"/>
                <w:szCs w:val="17"/>
              </w:rPr>
              <w:t>N</w:t>
            </w:r>
            <w:r>
              <w:rPr>
                <w:rFonts w:ascii="Times New Roman" w:hAnsi="Times New Roman" w:eastAsia="Times New Roman" w:cs="Times New Roman"/>
                <w:spacing w:val="-3"/>
                <w:position w:val="2"/>
                <w:sz w:val="17"/>
                <w:szCs w:val="17"/>
              </w:rPr>
              <w:t>3</w:t>
            </w:r>
            <w:r>
              <w:rPr>
                <w:rFonts w:ascii="Times New Roman" w:hAnsi="Times New Roman" w:eastAsia="Times New Roman" w:cs="Times New Roman"/>
                <w:spacing w:val="-2"/>
                <w:position w:val="2"/>
                <w:sz w:val="17"/>
                <w:szCs w:val="17"/>
              </w:rPr>
              <w:t>- 1#</w:t>
            </w:r>
          </w:p>
        </w:tc>
        <w:tc>
          <w:tcPr>
            <w:tcW w:w="840" w:type="dxa"/>
            <w:vAlign w:val="top"/>
          </w:tcPr>
          <w:p>
            <w:pPr>
              <w:spacing w:before="55" w:line="228" w:lineRule="auto"/>
              <w:ind w:left="243"/>
              <w:rPr>
                <w:rFonts w:ascii="宋体" w:hAnsi="宋体" w:eastAsia="宋体" w:cs="宋体"/>
                <w:sz w:val="17"/>
                <w:szCs w:val="17"/>
              </w:rPr>
            </w:pPr>
            <w:r>
              <w:rPr>
                <w:rFonts w:ascii="宋体" w:hAnsi="宋体" w:eastAsia="宋体" w:cs="宋体"/>
                <w:spacing w:val="7"/>
                <w:sz w:val="17"/>
                <w:szCs w:val="17"/>
              </w:rPr>
              <w:t>昼</w:t>
            </w:r>
            <w:r>
              <w:rPr>
                <w:rFonts w:ascii="宋体" w:hAnsi="宋体" w:eastAsia="宋体" w:cs="宋体"/>
                <w:spacing w:val="6"/>
                <w:sz w:val="17"/>
                <w:szCs w:val="17"/>
              </w:rPr>
              <w:t>间</w:t>
            </w:r>
          </w:p>
        </w:tc>
        <w:tc>
          <w:tcPr>
            <w:tcW w:w="1520" w:type="dxa"/>
            <w:vAlign w:val="top"/>
          </w:tcPr>
          <w:p>
            <w:pPr>
              <w:spacing w:before="85" w:line="197" w:lineRule="auto"/>
              <w:ind w:left="32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1:26~ 11:46</w:t>
            </w:r>
          </w:p>
        </w:tc>
        <w:tc>
          <w:tcPr>
            <w:tcW w:w="1024" w:type="dxa"/>
            <w:vAlign w:val="top"/>
          </w:tcPr>
          <w:p>
            <w:pPr>
              <w:spacing w:before="85" w:line="197" w:lineRule="auto"/>
              <w:ind w:left="42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53</w:t>
            </w:r>
          </w:p>
        </w:tc>
        <w:tc>
          <w:tcPr>
            <w:tcW w:w="1054" w:type="dxa"/>
            <w:vAlign w:val="top"/>
          </w:tcPr>
          <w:p>
            <w:pPr>
              <w:spacing w:before="85" w:line="197" w:lineRule="auto"/>
              <w:ind w:left="44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999" w:type="dxa"/>
            <w:vAlign w:val="top"/>
          </w:tcPr>
          <w:p>
            <w:pPr>
              <w:spacing w:before="55" w:line="228"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127" w:type="dxa"/>
            <w:vMerge w:val="continue"/>
            <w:tcBorders>
              <w:top w:val="nil"/>
              <w:bottom w:val="nil"/>
            </w:tcBorders>
            <w:vAlign w:val="top"/>
          </w:tcPr>
          <w:p>
            <w:pPr>
              <w:rPr>
                <w:rFonts w:ascii="Arial"/>
                <w:sz w:val="21"/>
              </w:rPr>
            </w:pPr>
          </w:p>
        </w:tc>
        <w:tc>
          <w:tcPr>
            <w:tcW w:w="1069" w:type="dxa"/>
            <w:vMerge w:val="continue"/>
            <w:tcBorders>
              <w:top w:val="nil"/>
            </w:tcBorders>
            <w:vAlign w:val="top"/>
          </w:tcPr>
          <w:p>
            <w:pPr>
              <w:rPr>
                <w:rFonts w:ascii="Arial"/>
                <w:sz w:val="21"/>
              </w:rPr>
            </w:pPr>
          </w:p>
        </w:tc>
        <w:tc>
          <w:tcPr>
            <w:tcW w:w="840" w:type="dxa"/>
            <w:vAlign w:val="top"/>
          </w:tcPr>
          <w:p>
            <w:pPr>
              <w:spacing w:before="55" w:line="227" w:lineRule="auto"/>
              <w:ind w:left="246"/>
              <w:rPr>
                <w:rFonts w:ascii="宋体" w:hAnsi="宋体" w:eastAsia="宋体" w:cs="宋体"/>
                <w:sz w:val="17"/>
                <w:szCs w:val="17"/>
              </w:rPr>
            </w:pPr>
            <w:r>
              <w:rPr>
                <w:rFonts w:ascii="宋体" w:hAnsi="宋体" w:eastAsia="宋体" w:cs="宋体"/>
                <w:spacing w:val="5"/>
                <w:sz w:val="17"/>
                <w:szCs w:val="17"/>
              </w:rPr>
              <w:t>夜间</w:t>
            </w:r>
          </w:p>
        </w:tc>
        <w:tc>
          <w:tcPr>
            <w:tcW w:w="1520" w:type="dxa"/>
            <w:vAlign w:val="top"/>
          </w:tcPr>
          <w:p>
            <w:pPr>
              <w:spacing w:before="84" w:line="197" w:lineRule="auto"/>
              <w:ind w:left="302"/>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2:33~22:53</w:t>
            </w:r>
          </w:p>
        </w:tc>
        <w:tc>
          <w:tcPr>
            <w:tcW w:w="1024" w:type="dxa"/>
            <w:vAlign w:val="top"/>
          </w:tcPr>
          <w:p>
            <w:pPr>
              <w:spacing w:before="84" w:line="197" w:lineRule="auto"/>
              <w:ind w:left="42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48</w:t>
            </w:r>
          </w:p>
        </w:tc>
        <w:tc>
          <w:tcPr>
            <w:tcW w:w="1054" w:type="dxa"/>
            <w:vAlign w:val="top"/>
          </w:tcPr>
          <w:p>
            <w:pPr>
              <w:spacing w:before="84" w:line="197" w:lineRule="auto"/>
              <w:ind w:left="44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999" w:type="dxa"/>
            <w:vAlign w:val="top"/>
          </w:tcPr>
          <w:p>
            <w:pPr>
              <w:spacing w:before="55" w:line="227"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127" w:type="dxa"/>
            <w:vMerge w:val="continue"/>
            <w:tcBorders>
              <w:top w:val="nil"/>
              <w:bottom w:val="nil"/>
            </w:tcBorders>
            <w:vAlign w:val="top"/>
          </w:tcPr>
          <w:p>
            <w:pPr>
              <w:rPr>
                <w:rFonts w:ascii="Arial"/>
                <w:sz w:val="21"/>
              </w:rPr>
            </w:pPr>
          </w:p>
        </w:tc>
        <w:tc>
          <w:tcPr>
            <w:tcW w:w="1069" w:type="dxa"/>
            <w:vMerge w:val="restart"/>
            <w:tcBorders>
              <w:bottom w:val="nil"/>
            </w:tcBorders>
            <w:vAlign w:val="top"/>
          </w:tcPr>
          <w:p>
            <w:pPr>
              <w:spacing w:before="156" w:line="243" w:lineRule="exact"/>
              <w:ind w:left="298"/>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8"/>
                <w:position w:val="2"/>
                <w:sz w:val="17"/>
                <w:szCs w:val="17"/>
              </w:rPr>
              <w:t>3</w:t>
            </w:r>
            <w:r>
              <w:rPr>
                <w:rFonts w:ascii="Times New Roman" w:hAnsi="Times New Roman" w:eastAsia="Times New Roman" w:cs="Times New Roman"/>
                <w:spacing w:val="7"/>
                <w:position w:val="2"/>
                <w:sz w:val="17"/>
                <w:szCs w:val="17"/>
              </w:rPr>
              <w:t>-2#</w:t>
            </w:r>
          </w:p>
        </w:tc>
        <w:tc>
          <w:tcPr>
            <w:tcW w:w="840" w:type="dxa"/>
            <w:vAlign w:val="top"/>
          </w:tcPr>
          <w:p>
            <w:pPr>
              <w:spacing w:before="55" w:line="228" w:lineRule="auto"/>
              <w:ind w:left="243"/>
              <w:rPr>
                <w:rFonts w:ascii="宋体" w:hAnsi="宋体" w:eastAsia="宋体" w:cs="宋体"/>
                <w:sz w:val="17"/>
                <w:szCs w:val="17"/>
              </w:rPr>
            </w:pPr>
            <w:r>
              <w:rPr>
                <w:rFonts w:ascii="宋体" w:hAnsi="宋体" w:eastAsia="宋体" w:cs="宋体"/>
                <w:spacing w:val="7"/>
                <w:sz w:val="17"/>
                <w:szCs w:val="17"/>
              </w:rPr>
              <w:t>昼</w:t>
            </w:r>
            <w:r>
              <w:rPr>
                <w:rFonts w:ascii="宋体" w:hAnsi="宋体" w:eastAsia="宋体" w:cs="宋体"/>
                <w:spacing w:val="6"/>
                <w:sz w:val="17"/>
                <w:szCs w:val="17"/>
              </w:rPr>
              <w:t>间</w:t>
            </w:r>
          </w:p>
        </w:tc>
        <w:tc>
          <w:tcPr>
            <w:tcW w:w="1520" w:type="dxa"/>
            <w:vAlign w:val="top"/>
          </w:tcPr>
          <w:p>
            <w:pPr>
              <w:spacing w:before="85" w:line="197" w:lineRule="auto"/>
              <w:ind w:left="32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1:30~ 11:50</w:t>
            </w:r>
          </w:p>
        </w:tc>
        <w:tc>
          <w:tcPr>
            <w:tcW w:w="1024" w:type="dxa"/>
            <w:vAlign w:val="top"/>
          </w:tcPr>
          <w:p>
            <w:pPr>
              <w:spacing w:before="85" w:line="197" w:lineRule="auto"/>
              <w:ind w:left="42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52</w:t>
            </w:r>
          </w:p>
        </w:tc>
        <w:tc>
          <w:tcPr>
            <w:tcW w:w="1054" w:type="dxa"/>
            <w:vAlign w:val="top"/>
          </w:tcPr>
          <w:p>
            <w:pPr>
              <w:spacing w:before="85" w:line="197" w:lineRule="auto"/>
              <w:ind w:left="44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999" w:type="dxa"/>
            <w:vAlign w:val="top"/>
          </w:tcPr>
          <w:p>
            <w:pPr>
              <w:spacing w:before="55" w:line="228"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127" w:type="dxa"/>
            <w:vMerge w:val="continue"/>
            <w:tcBorders>
              <w:top w:val="nil"/>
              <w:bottom w:val="nil"/>
            </w:tcBorders>
            <w:vAlign w:val="top"/>
          </w:tcPr>
          <w:p>
            <w:pPr>
              <w:rPr>
                <w:rFonts w:ascii="Arial"/>
                <w:sz w:val="21"/>
              </w:rPr>
            </w:pPr>
          </w:p>
        </w:tc>
        <w:tc>
          <w:tcPr>
            <w:tcW w:w="1069" w:type="dxa"/>
            <w:vMerge w:val="continue"/>
            <w:tcBorders>
              <w:top w:val="nil"/>
            </w:tcBorders>
            <w:vAlign w:val="top"/>
          </w:tcPr>
          <w:p>
            <w:pPr>
              <w:rPr>
                <w:rFonts w:ascii="Arial"/>
                <w:sz w:val="21"/>
              </w:rPr>
            </w:pPr>
          </w:p>
        </w:tc>
        <w:tc>
          <w:tcPr>
            <w:tcW w:w="840" w:type="dxa"/>
            <w:vAlign w:val="top"/>
          </w:tcPr>
          <w:p>
            <w:pPr>
              <w:spacing w:before="55" w:line="226" w:lineRule="auto"/>
              <w:ind w:left="246"/>
              <w:rPr>
                <w:rFonts w:ascii="宋体" w:hAnsi="宋体" w:eastAsia="宋体" w:cs="宋体"/>
                <w:sz w:val="17"/>
                <w:szCs w:val="17"/>
              </w:rPr>
            </w:pPr>
            <w:r>
              <w:rPr>
                <w:rFonts w:ascii="宋体" w:hAnsi="宋体" w:eastAsia="宋体" w:cs="宋体"/>
                <w:spacing w:val="5"/>
                <w:sz w:val="17"/>
                <w:szCs w:val="17"/>
              </w:rPr>
              <w:t>夜间</w:t>
            </w:r>
          </w:p>
        </w:tc>
        <w:tc>
          <w:tcPr>
            <w:tcW w:w="1520" w:type="dxa"/>
            <w:vAlign w:val="top"/>
          </w:tcPr>
          <w:p>
            <w:pPr>
              <w:spacing w:before="84" w:line="197" w:lineRule="auto"/>
              <w:ind w:left="302"/>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2:36~22:56</w:t>
            </w:r>
          </w:p>
        </w:tc>
        <w:tc>
          <w:tcPr>
            <w:tcW w:w="1024" w:type="dxa"/>
            <w:vAlign w:val="top"/>
          </w:tcPr>
          <w:p>
            <w:pPr>
              <w:spacing w:before="84" w:line="197" w:lineRule="auto"/>
              <w:ind w:left="42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48</w:t>
            </w:r>
          </w:p>
        </w:tc>
        <w:tc>
          <w:tcPr>
            <w:tcW w:w="1054" w:type="dxa"/>
            <w:vAlign w:val="top"/>
          </w:tcPr>
          <w:p>
            <w:pPr>
              <w:spacing w:before="84" w:line="197" w:lineRule="auto"/>
              <w:ind w:left="44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999" w:type="dxa"/>
            <w:vAlign w:val="top"/>
          </w:tcPr>
          <w:p>
            <w:pPr>
              <w:spacing w:before="55" w:line="226"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127" w:type="dxa"/>
            <w:vMerge w:val="continue"/>
            <w:tcBorders>
              <w:top w:val="nil"/>
              <w:bottom w:val="nil"/>
            </w:tcBorders>
            <w:vAlign w:val="top"/>
          </w:tcPr>
          <w:p>
            <w:pPr>
              <w:rPr>
                <w:rFonts w:ascii="Arial"/>
                <w:sz w:val="21"/>
              </w:rPr>
            </w:pPr>
          </w:p>
        </w:tc>
        <w:tc>
          <w:tcPr>
            <w:tcW w:w="1069" w:type="dxa"/>
            <w:vMerge w:val="restart"/>
            <w:tcBorders>
              <w:bottom w:val="nil"/>
            </w:tcBorders>
            <w:vAlign w:val="top"/>
          </w:tcPr>
          <w:p>
            <w:pPr>
              <w:spacing w:before="157" w:line="243" w:lineRule="exact"/>
              <w:ind w:left="298"/>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8"/>
                <w:position w:val="2"/>
                <w:sz w:val="17"/>
                <w:szCs w:val="17"/>
              </w:rPr>
              <w:t>3</w:t>
            </w:r>
            <w:r>
              <w:rPr>
                <w:rFonts w:ascii="Times New Roman" w:hAnsi="Times New Roman" w:eastAsia="Times New Roman" w:cs="Times New Roman"/>
                <w:spacing w:val="7"/>
                <w:position w:val="2"/>
                <w:sz w:val="17"/>
                <w:szCs w:val="17"/>
              </w:rPr>
              <w:t>-3#</w:t>
            </w:r>
          </w:p>
        </w:tc>
        <w:tc>
          <w:tcPr>
            <w:tcW w:w="840" w:type="dxa"/>
            <w:vAlign w:val="top"/>
          </w:tcPr>
          <w:p>
            <w:pPr>
              <w:spacing w:before="55" w:line="226" w:lineRule="auto"/>
              <w:ind w:left="243"/>
              <w:rPr>
                <w:rFonts w:ascii="宋体" w:hAnsi="宋体" w:eastAsia="宋体" w:cs="宋体"/>
                <w:sz w:val="17"/>
                <w:szCs w:val="17"/>
              </w:rPr>
            </w:pPr>
            <w:r>
              <w:rPr>
                <w:rFonts w:ascii="宋体" w:hAnsi="宋体" w:eastAsia="宋体" w:cs="宋体"/>
                <w:spacing w:val="7"/>
                <w:sz w:val="17"/>
                <w:szCs w:val="17"/>
              </w:rPr>
              <w:t>昼</w:t>
            </w:r>
            <w:r>
              <w:rPr>
                <w:rFonts w:ascii="宋体" w:hAnsi="宋体" w:eastAsia="宋体" w:cs="宋体"/>
                <w:spacing w:val="6"/>
                <w:sz w:val="17"/>
                <w:szCs w:val="17"/>
              </w:rPr>
              <w:t>间</w:t>
            </w:r>
          </w:p>
        </w:tc>
        <w:tc>
          <w:tcPr>
            <w:tcW w:w="1520" w:type="dxa"/>
            <w:vAlign w:val="top"/>
          </w:tcPr>
          <w:p>
            <w:pPr>
              <w:spacing w:before="86" w:line="197" w:lineRule="auto"/>
              <w:ind w:left="32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1:27~ 11:47</w:t>
            </w:r>
          </w:p>
        </w:tc>
        <w:tc>
          <w:tcPr>
            <w:tcW w:w="1024" w:type="dxa"/>
            <w:vAlign w:val="top"/>
          </w:tcPr>
          <w:p>
            <w:pPr>
              <w:spacing w:before="89" w:line="194" w:lineRule="auto"/>
              <w:ind w:left="42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55</w:t>
            </w:r>
          </w:p>
        </w:tc>
        <w:tc>
          <w:tcPr>
            <w:tcW w:w="1054" w:type="dxa"/>
            <w:vAlign w:val="top"/>
          </w:tcPr>
          <w:p>
            <w:pPr>
              <w:spacing w:before="86" w:line="197" w:lineRule="auto"/>
              <w:ind w:left="44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999" w:type="dxa"/>
            <w:vAlign w:val="top"/>
          </w:tcPr>
          <w:p>
            <w:pPr>
              <w:spacing w:before="55" w:line="226"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127" w:type="dxa"/>
            <w:vMerge w:val="continue"/>
            <w:tcBorders>
              <w:top w:val="nil"/>
              <w:bottom w:val="nil"/>
            </w:tcBorders>
            <w:vAlign w:val="top"/>
          </w:tcPr>
          <w:p>
            <w:pPr>
              <w:rPr>
                <w:rFonts w:ascii="Arial"/>
                <w:sz w:val="21"/>
              </w:rPr>
            </w:pPr>
          </w:p>
        </w:tc>
        <w:tc>
          <w:tcPr>
            <w:tcW w:w="1069" w:type="dxa"/>
            <w:vMerge w:val="continue"/>
            <w:tcBorders>
              <w:top w:val="nil"/>
            </w:tcBorders>
            <w:vAlign w:val="top"/>
          </w:tcPr>
          <w:p>
            <w:pPr>
              <w:rPr>
                <w:rFonts w:ascii="Arial"/>
                <w:sz w:val="21"/>
              </w:rPr>
            </w:pPr>
          </w:p>
        </w:tc>
        <w:tc>
          <w:tcPr>
            <w:tcW w:w="840" w:type="dxa"/>
            <w:vAlign w:val="top"/>
          </w:tcPr>
          <w:p>
            <w:pPr>
              <w:spacing w:before="57" w:line="225" w:lineRule="auto"/>
              <w:ind w:left="246"/>
              <w:rPr>
                <w:rFonts w:ascii="宋体" w:hAnsi="宋体" w:eastAsia="宋体" w:cs="宋体"/>
                <w:sz w:val="17"/>
                <w:szCs w:val="17"/>
              </w:rPr>
            </w:pPr>
            <w:r>
              <w:rPr>
                <w:rFonts w:ascii="宋体" w:hAnsi="宋体" w:eastAsia="宋体" w:cs="宋体"/>
                <w:spacing w:val="5"/>
                <w:sz w:val="17"/>
                <w:szCs w:val="17"/>
              </w:rPr>
              <w:t>夜间</w:t>
            </w:r>
          </w:p>
        </w:tc>
        <w:tc>
          <w:tcPr>
            <w:tcW w:w="1520" w:type="dxa"/>
            <w:vAlign w:val="top"/>
          </w:tcPr>
          <w:p>
            <w:pPr>
              <w:spacing w:before="86" w:line="197" w:lineRule="auto"/>
              <w:ind w:left="302"/>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2:34~22:54</w:t>
            </w:r>
          </w:p>
        </w:tc>
        <w:tc>
          <w:tcPr>
            <w:tcW w:w="1024" w:type="dxa"/>
            <w:vAlign w:val="top"/>
          </w:tcPr>
          <w:p>
            <w:pPr>
              <w:spacing w:before="86" w:line="197" w:lineRule="auto"/>
              <w:ind w:left="42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42</w:t>
            </w:r>
          </w:p>
        </w:tc>
        <w:tc>
          <w:tcPr>
            <w:tcW w:w="1054" w:type="dxa"/>
            <w:vAlign w:val="top"/>
          </w:tcPr>
          <w:p>
            <w:pPr>
              <w:spacing w:before="86" w:line="197" w:lineRule="auto"/>
              <w:ind w:left="44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999" w:type="dxa"/>
            <w:vAlign w:val="top"/>
          </w:tcPr>
          <w:p>
            <w:pPr>
              <w:spacing w:before="57" w:line="225"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127" w:type="dxa"/>
            <w:vMerge w:val="continue"/>
            <w:tcBorders>
              <w:top w:val="nil"/>
              <w:bottom w:val="nil"/>
            </w:tcBorders>
            <w:vAlign w:val="top"/>
          </w:tcPr>
          <w:p>
            <w:pPr>
              <w:rPr>
                <w:rFonts w:ascii="Arial"/>
                <w:sz w:val="21"/>
              </w:rPr>
            </w:pPr>
          </w:p>
        </w:tc>
        <w:tc>
          <w:tcPr>
            <w:tcW w:w="1069" w:type="dxa"/>
            <w:vMerge w:val="restart"/>
            <w:tcBorders>
              <w:bottom w:val="nil"/>
            </w:tcBorders>
            <w:vAlign w:val="top"/>
          </w:tcPr>
          <w:p>
            <w:pPr>
              <w:spacing w:before="158" w:line="243" w:lineRule="exact"/>
              <w:ind w:left="298"/>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8"/>
                <w:position w:val="2"/>
                <w:sz w:val="17"/>
                <w:szCs w:val="17"/>
              </w:rPr>
              <w:t>3</w:t>
            </w:r>
            <w:r>
              <w:rPr>
                <w:rFonts w:ascii="Times New Roman" w:hAnsi="Times New Roman" w:eastAsia="Times New Roman" w:cs="Times New Roman"/>
                <w:spacing w:val="7"/>
                <w:position w:val="2"/>
                <w:sz w:val="17"/>
                <w:szCs w:val="17"/>
              </w:rPr>
              <w:t>-4#</w:t>
            </w:r>
          </w:p>
        </w:tc>
        <w:tc>
          <w:tcPr>
            <w:tcW w:w="840" w:type="dxa"/>
            <w:vAlign w:val="top"/>
          </w:tcPr>
          <w:p>
            <w:pPr>
              <w:spacing w:before="56" w:line="225" w:lineRule="auto"/>
              <w:ind w:left="243"/>
              <w:rPr>
                <w:rFonts w:ascii="宋体" w:hAnsi="宋体" w:eastAsia="宋体" w:cs="宋体"/>
                <w:sz w:val="17"/>
                <w:szCs w:val="17"/>
              </w:rPr>
            </w:pPr>
            <w:r>
              <w:rPr>
                <w:rFonts w:ascii="宋体" w:hAnsi="宋体" w:eastAsia="宋体" w:cs="宋体"/>
                <w:spacing w:val="7"/>
                <w:sz w:val="17"/>
                <w:szCs w:val="17"/>
              </w:rPr>
              <w:t>昼</w:t>
            </w:r>
            <w:r>
              <w:rPr>
                <w:rFonts w:ascii="宋体" w:hAnsi="宋体" w:eastAsia="宋体" w:cs="宋体"/>
                <w:spacing w:val="6"/>
                <w:sz w:val="17"/>
                <w:szCs w:val="17"/>
              </w:rPr>
              <w:t>间</w:t>
            </w:r>
          </w:p>
        </w:tc>
        <w:tc>
          <w:tcPr>
            <w:tcW w:w="1520" w:type="dxa"/>
            <w:vAlign w:val="top"/>
          </w:tcPr>
          <w:p>
            <w:pPr>
              <w:spacing w:before="87" w:line="197" w:lineRule="auto"/>
              <w:ind w:left="32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1:27~ 11:47</w:t>
            </w:r>
          </w:p>
        </w:tc>
        <w:tc>
          <w:tcPr>
            <w:tcW w:w="1024" w:type="dxa"/>
            <w:vAlign w:val="top"/>
          </w:tcPr>
          <w:p>
            <w:pPr>
              <w:spacing w:before="90" w:line="194" w:lineRule="auto"/>
              <w:ind w:left="42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57</w:t>
            </w:r>
          </w:p>
        </w:tc>
        <w:tc>
          <w:tcPr>
            <w:tcW w:w="1054" w:type="dxa"/>
            <w:vAlign w:val="top"/>
          </w:tcPr>
          <w:p>
            <w:pPr>
              <w:spacing w:before="87" w:line="197" w:lineRule="auto"/>
              <w:ind w:left="44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999" w:type="dxa"/>
            <w:vAlign w:val="top"/>
          </w:tcPr>
          <w:p>
            <w:pPr>
              <w:spacing w:before="56" w:line="225"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127" w:type="dxa"/>
            <w:vMerge w:val="continue"/>
            <w:tcBorders>
              <w:top w:val="nil"/>
              <w:bottom w:val="nil"/>
            </w:tcBorders>
            <w:vAlign w:val="top"/>
          </w:tcPr>
          <w:p>
            <w:pPr>
              <w:rPr>
                <w:rFonts w:ascii="Arial"/>
                <w:sz w:val="21"/>
              </w:rPr>
            </w:pPr>
          </w:p>
        </w:tc>
        <w:tc>
          <w:tcPr>
            <w:tcW w:w="1069" w:type="dxa"/>
            <w:vMerge w:val="continue"/>
            <w:tcBorders>
              <w:top w:val="nil"/>
            </w:tcBorders>
            <w:vAlign w:val="top"/>
          </w:tcPr>
          <w:p>
            <w:pPr>
              <w:rPr>
                <w:rFonts w:ascii="Arial"/>
                <w:sz w:val="21"/>
              </w:rPr>
            </w:pPr>
          </w:p>
        </w:tc>
        <w:tc>
          <w:tcPr>
            <w:tcW w:w="840" w:type="dxa"/>
            <w:vAlign w:val="top"/>
          </w:tcPr>
          <w:p>
            <w:pPr>
              <w:spacing w:before="58" w:line="224" w:lineRule="auto"/>
              <w:ind w:left="246"/>
              <w:rPr>
                <w:rFonts w:ascii="宋体" w:hAnsi="宋体" w:eastAsia="宋体" w:cs="宋体"/>
                <w:sz w:val="17"/>
                <w:szCs w:val="17"/>
              </w:rPr>
            </w:pPr>
            <w:r>
              <w:rPr>
                <w:rFonts w:ascii="宋体" w:hAnsi="宋体" w:eastAsia="宋体" w:cs="宋体"/>
                <w:spacing w:val="5"/>
                <w:sz w:val="17"/>
                <w:szCs w:val="17"/>
              </w:rPr>
              <w:t>夜间</w:t>
            </w:r>
          </w:p>
        </w:tc>
        <w:tc>
          <w:tcPr>
            <w:tcW w:w="1520" w:type="dxa"/>
            <w:vAlign w:val="top"/>
          </w:tcPr>
          <w:p>
            <w:pPr>
              <w:spacing w:before="87" w:line="197" w:lineRule="auto"/>
              <w:ind w:left="302"/>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2:34~22:54</w:t>
            </w:r>
          </w:p>
        </w:tc>
        <w:tc>
          <w:tcPr>
            <w:tcW w:w="1024" w:type="dxa"/>
            <w:vAlign w:val="top"/>
          </w:tcPr>
          <w:p>
            <w:pPr>
              <w:spacing w:before="87" w:line="197" w:lineRule="auto"/>
              <w:ind w:left="42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48</w:t>
            </w:r>
          </w:p>
        </w:tc>
        <w:tc>
          <w:tcPr>
            <w:tcW w:w="1054" w:type="dxa"/>
            <w:vAlign w:val="top"/>
          </w:tcPr>
          <w:p>
            <w:pPr>
              <w:spacing w:before="87" w:line="197" w:lineRule="auto"/>
              <w:ind w:left="44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999" w:type="dxa"/>
            <w:vAlign w:val="top"/>
          </w:tcPr>
          <w:p>
            <w:pPr>
              <w:spacing w:before="58" w:line="224"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127" w:type="dxa"/>
            <w:vMerge w:val="continue"/>
            <w:tcBorders>
              <w:top w:val="nil"/>
              <w:bottom w:val="nil"/>
            </w:tcBorders>
            <w:vAlign w:val="top"/>
          </w:tcPr>
          <w:p>
            <w:pPr>
              <w:rPr>
                <w:rFonts w:ascii="Arial"/>
                <w:sz w:val="21"/>
              </w:rPr>
            </w:pPr>
          </w:p>
        </w:tc>
        <w:tc>
          <w:tcPr>
            <w:tcW w:w="1069" w:type="dxa"/>
            <w:vMerge w:val="restart"/>
            <w:tcBorders>
              <w:bottom w:val="nil"/>
            </w:tcBorders>
            <w:vAlign w:val="top"/>
          </w:tcPr>
          <w:p>
            <w:pPr>
              <w:spacing w:before="159" w:line="243" w:lineRule="exact"/>
              <w:ind w:left="298"/>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8"/>
                <w:position w:val="2"/>
                <w:sz w:val="17"/>
                <w:szCs w:val="17"/>
              </w:rPr>
              <w:t>3</w:t>
            </w:r>
            <w:r>
              <w:rPr>
                <w:rFonts w:ascii="Times New Roman" w:hAnsi="Times New Roman" w:eastAsia="Times New Roman" w:cs="Times New Roman"/>
                <w:spacing w:val="7"/>
                <w:position w:val="2"/>
                <w:sz w:val="17"/>
                <w:szCs w:val="17"/>
              </w:rPr>
              <w:t>-5#</w:t>
            </w:r>
          </w:p>
        </w:tc>
        <w:tc>
          <w:tcPr>
            <w:tcW w:w="840" w:type="dxa"/>
            <w:vAlign w:val="top"/>
          </w:tcPr>
          <w:p>
            <w:pPr>
              <w:spacing w:before="57" w:line="225" w:lineRule="auto"/>
              <w:ind w:left="243"/>
              <w:rPr>
                <w:rFonts w:ascii="宋体" w:hAnsi="宋体" w:eastAsia="宋体" w:cs="宋体"/>
                <w:sz w:val="17"/>
                <w:szCs w:val="17"/>
              </w:rPr>
            </w:pPr>
            <w:r>
              <w:rPr>
                <w:rFonts w:ascii="宋体" w:hAnsi="宋体" w:eastAsia="宋体" w:cs="宋体"/>
                <w:spacing w:val="7"/>
                <w:sz w:val="17"/>
                <w:szCs w:val="17"/>
              </w:rPr>
              <w:t>昼</w:t>
            </w:r>
            <w:r>
              <w:rPr>
                <w:rFonts w:ascii="宋体" w:hAnsi="宋体" w:eastAsia="宋体" w:cs="宋体"/>
                <w:spacing w:val="6"/>
                <w:sz w:val="17"/>
                <w:szCs w:val="17"/>
              </w:rPr>
              <w:t>间</w:t>
            </w:r>
          </w:p>
        </w:tc>
        <w:tc>
          <w:tcPr>
            <w:tcW w:w="1520" w:type="dxa"/>
            <w:vAlign w:val="top"/>
          </w:tcPr>
          <w:p>
            <w:pPr>
              <w:spacing w:before="88" w:line="197" w:lineRule="auto"/>
              <w:ind w:left="32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11:51~ 12:1</w:t>
            </w:r>
            <w:r>
              <w:rPr>
                <w:rFonts w:ascii="Times New Roman" w:hAnsi="Times New Roman" w:eastAsia="Times New Roman" w:cs="Times New Roman"/>
                <w:sz w:val="17"/>
                <w:szCs w:val="17"/>
              </w:rPr>
              <w:t>1</w:t>
            </w:r>
          </w:p>
        </w:tc>
        <w:tc>
          <w:tcPr>
            <w:tcW w:w="1024" w:type="dxa"/>
            <w:vAlign w:val="top"/>
          </w:tcPr>
          <w:p>
            <w:pPr>
              <w:spacing w:before="88" w:line="197" w:lineRule="auto"/>
              <w:ind w:left="42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51</w:t>
            </w:r>
          </w:p>
        </w:tc>
        <w:tc>
          <w:tcPr>
            <w:tcW w:w="1054" w:type="dxa"/>
            <w:vAlign w:val="top"/>
          </w:tcPr>
          <w:p>
            <w:pPr>
              <w:spacing w:before="88" w:line="197" w:lineRule="auto"/>
              <w:ind w:left="44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999" w:type="dxa"/>
            <w:vAlign w:val="top"/>
          </w:tcPr>
          <w:p>
            <w:pPr>
              <w:spacing w:before="57" w:line="225"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127" w:type="dxa"/>
            <w:vMerge w:val="continue"/>
            <w:tcBorders>
              <w:top w:val="nil"/>
              <w:bottom w:val="nil"/>
            </w:tcBorders>
            <w:vAlign w:val="top"/>
          </w:tcPr>
          <w:p>
            <w:pPr>
              <w:rPr>
                <w:rFonts w:ascii="Arial"/>
                <w:sz w:val="21"/>
              </w:rPr>
            </w:pPr>
          </w:p>
        </w:tc>
        <w:tc>
          <w:tcPr>
            <w:tcW w:w="1069" w:type="dxa"/>
            <w:vMerge w:val="continue"/>
            <w:tcBorders>
              <w:top w:val="nil"/>
            </w:tcBorders>
            <w:vAlign w:val="top"/>
          </w:tcPr>
          <w:p>
            <w:pPr>
              <w:rPr>
                <w:rFonts w:ascii="Arial"/>
                <w:sz w:val="21"/>
              </w:rPr>
            </w:pPr>
          </w:p>
        </w:tc>
        <w:tc>
          <w:tcPr>
            <w:tcW w:w="840" w:type="dxa"/>
            <w:vAlign w:val="top"/>
          </w:tcPr>
          <w:p>
            <w:pPr>
              <w:spacing w:before="58" w:line="224" w:lineRule="auto"/>
              <w:ind w:left="246"/>
              <w:rPr>
                <w:rFonts w:ascii="宋体" w:hAnsi="宋体" w:eastAsia="宋体" w:cs="宋体"/>
                <w:sz w:val="17"/>
                <w:szCs w:val="17"/>
              </w:rPr>
            </w:pPr>
            <w:r>
              <w:rPr>
                <w:rFonts w:ascii="宋体" w:hAnsi="宋体" w:eastAsia="宋体" w:cs="宋体"/>
                <w:spacing w:val="5"/>
                <w:sz w:val="17"/>
                <w:szCs w:val="17"/>
              </w:rPr>
              <w:t>夜间</w:t>
            </w:r>
          </w:p>
        </w:tc>
        <w:tc>
          <w:tcPr>
            <w:tcW w:w="1520" w:type="dxa"/>
            <w:vAlign w:val="top"/>
          </w:tcPr>
          <w:p>
            <w:pPr>
              <w:spacing w:before="87" w:line="197" w:lineRule="auto"/>
              <w:ind w:left="302"/>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2:59~23:19</w:t>
            </w:r>
          </w:p>
        </w:tc>
        <w:tc>
          <w:tcPr>
            <w:tcW w:w="1024" w:type="dxa"/>
            <w:vAlign w:val="top"/>
          </w:tcPr>
          <w:p>
            <w:pPr>
              <w:spacing w:before="87" w:line="197" w:lineRule="auto"/>
              <w:ind w:left="42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47</w:t>
            </w:r>
          </w:p>
        </w:tc>
        <w:tc>
          <w:tcPr>
            <w:tcW w:w="1054" w:type="dxa"/>
            <w:vAlign w:val="top"/>
          </w:tcPr>
          <w:p>
            <w:pPr>
              <w:spacing w:before="87" w:line="197" w:lineRule="auto"/>
              <w:ind w:left="44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999" w:type="dxa"/>
            <w:vAlign w:val="top"/>
          </w:tcPr>
          <w:p>
            <w:pPr>
              <w:spacing w:before="58" w:line="224"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127" w:type="dxa"/>
            <w:vMerge w:val="continue"/>
            <w:tcBorders>
              <w:top w:val="nil"/>
              <w:bottom w:val="nil"/>
            </w:tcBorders>
            <w:vAlign w:val="top"/>
          </w:tcPr>
          <w:p>
            <w:pPr>
              <w:rPr>
                <w:rFonts w:ascii="Arial"/>
                <w:sz w:val="21"/>
              </w:rPr>
            </w:pPr>
          </w:p>
        </w:tc>
        <w:tc>
          <w:tcPr>
            <w:tcW w:w="1069" w:type="dxa"/>
            <w:vMerge w:val="restart"/>
            <w:tcBorders>
              <w:bottom w:val="nil"/>
            </w:tcBorders>
            <w:vAlign w:val="top"/>
          </w:tcPr>
          <w:p>
            <w:pPr>
              <w:spacing w:before="159" w:line="243" w:lineRule="exact"/>
              <w:ind w:left="298"/>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8"/>
                <w:position w:val="2"/>
                <w:sz w:val="17"/>
                <w:szCs w:val="17"/>
              </w:rPr>
              <w:t>3</w:t>
            </w:r>
            <w:r>
              <w:rPr>
                <w:rFonts w:ascii="Times New Roman" w:hAnsi="Times New Roman" w:eastAsia="Times New Roman" w:cs="Times New Roman"/>
                <w:spacing w:val="7"/>
                <w:position w:val="2"/>
                <w:sz w:val="17"/>
                <w:szCs w:val="17"/>
              </w:rPr>
              <w:t>-6#</w:t>
            </w:r>
          </w:p>
        </w:tc>
        <w:tc>
          <w:tcPr>
            <w:tcW w:w="840" w:type="dxa"/>
            <w:vAlign w:val="top"/>
          </w:tcPr>
          <w:p>
            <w:pPr>
              <w:spacing w:before="57" w:line="224" w:lineRule="auto"/>
              <w:ind w:left="243"/>
              <w:rPr>
                <w:rFonts w:ascii="宋体" w:hAnsi="宋体" w:eastAsia="宋体" w:cs="宋体"/>
                <w:sz w:val="17"/>
                <w:szCs w:val="17"/>
              </w:rPr>
            </w:pPr>
            <w:r>
              <w:rPr>
                <w:rFonts w:ascii="宋体" w:hAnsi="宋体" w:eastAsia="宋体" w:cs="宋体"/>
                <w:spacing w:val="7"/>
                <w:sz w:val="17"/>
                <w:szCs w:val="17"/>
              </w:rPr>
              <w:t>昼</w:t>
            </w:r>
            <w:r>
              <w:rPr>
                <w:rFonts w:ascii="宋体" w:hAnsi="宋体" w:eastAsia="宋体" w:cs="宋体"/>
                <w:spacing w:val="6"/>
                <w:sz w:val="17"/>
                <w:szCs w:val="17"/>
              </w:rPr>
              <w:t>间</w:t>
            </w:r>
          </w:p>
        </w:tc>
        <w:tc>
          <w:tcPr>
            <w:tcW w:w="1520" w:type="dxa"/>
            <w:vAlign w:val="top"/>
          </w:tcPr>
          <w:p>
            <w:pPr>
              <w:spacing w:before="88" w:line="197" w:lineRule="auto"/>
              <w:ind w:left="32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11:55~ 1</w:t>
            </w:r>
            <w:r>
              <w:rPr>
                <w:rFonts w:ascii="Times New Roman" w:hAnsi="Times New Roman" w:eastAsia="Times New Roman" w:cs="Times New Roman"/>
                <w:spacing w:val="-1"/>
                <w:sz w:val="17"/>
                <w:szCs w:val="17"/>
              </w:rPr>
              <w:t>2:15</w:t>
            </w:r>
          </w:p>
        </w:tc>
        <w:tc>
          <w:tcPr>
            <w:tcW w:w="1024" w:type="dxa"/>
            <w:vAlign w:val="top"/>
          </w:tcPr>
          <w:p>
            <w:pPr>
              <w:spacing w:before="88" w:line="197" w:lineRule="auto"/>
              <w:ind w:left="42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1054" w:type="dxa"/>
            <w:vAlign w:val="top"/>
          </w:tcPr>
          <w:p>
            <w:pPr>
              <w:spacing w:before="88" w:line="197" w:lineRule="auto"/>
              <w:ind w:left="44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999" w:type="dxa"/>
            <w:vAlign w:val="top"/>
          </w:tcPr>
          <w:p>
            <w:pPr>
              <w:spacing w:before="57" w:line="224"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1127" w:type="dxa"/>
            <w:vMerge w:val="continue"/>
            <w:tcBorders>
              <w:top w:val="nil"/>
            </w:tcBorders>
            <w:vAlign w:val="top"/>
          </w:tcPr>
          <w:p>
            <w:pPr>
              <w:rPr>
                <w:rFonts w:ascii="Arial"/>
                <w:sz w:val="21"/>
              </w:rPr>
            </w:pPr>
          </w:p>
        </w:tc>
        <w:tc>
          <w:tcPr>
            <w:tcW w:w="1069" w:type="dxa"/>
            <w:vMerge w:val="continue"/>
            <w:tcBorders>
              <w:top w:val="nil"/>
            </w:tcBorders>
            <w:vAlign w:val="top"/>
          </w:tcPr>
          <w:p>
            <w:pPr>
              <w:rPr>
                <w:rFonts w:ascii="Arial"/>
                <w:sz w:val="21"/>
              </w:rPr>
            </w:pPr>
          </w:p>
        </w:tc>
        <w:tc>
          <w:tcPr>
            <w:tcW w:w="840" w:type="dxa"/>
            <w:vAlign w:val="top"/>
          </w:tcPr>
          <w:p>
            <w:pPr>
              <w:spacing w:before="59" w:line="225" w:lineRule="auto"/>
              <w:ind w:left="246"/>
              <w:rPr>
                <w:rFonts w:ascii="宋体" w:hAnsi="宋体" w:eastAsia="宋体" w:cs="宋体"/>
                <w:sz w:val="17"/>
                <w:szCs w:val="17"/>
              </w:rPr>
            </w:pPr>
            <w:r>
              <w:rPr>
                <w:rFonts w:ascii="宋体" w:hAnsi="宋体" w:eastAsia="宋体" w:cs="宋体"/>
                <w:spacing w:val="5"/>
                <w:sz w:val="17"/>
                <w:szCs w:val="17"/>
              </w:rPr>
              <w:t>夜间</w:t>
            </w:r>
          </w:p>
        </w:tc>
        <w:tc>
          <w:tcPr>
            <w:tcW w:w="1520" w:type="dxa"/>
            <w:vAlign w:val="top"/>
          </w:tcPr>
          <w:p>
            <w:pPr>
              <w:spacing w:before="88" w:line="197" w:lineRule="auto"/>
              <w:ind w:left="302"/>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3:02~23:22</w:t>
            </w:r>
          </w:p>
        </w:tc>
        <w:tc>
          <w:tcPr>
            <w:tcW w:w="1024" w:type="dxa"/>
            <w:vAlign w:val="top"/>
          </w:tcPr>
          <w:p>
            <w:pPr>
              <w:spacing w:before="88" w:line="197" w:lineRule="auto"/>
              <w:ind w:left="42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47</w:t>
            </w:r>
          </w:p>
        </w:tc>
        <w:tc>
          <w:tcPr>
            <w:tcW w:w="1054" w:type="dxa"/>
            <w:vAlign w:val="top"/>
          </w:tcPr>
          <w:p>
            <w:pPr>
              <w:spacing w:before="88" w:line="197" w:lineRule="auto"/>
              <w:ind w:left="44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999" w:type="dxa"/>
            <w:vAlign w:val="top"/>
          </w:tcPr>
          <w:p>
            <w:pPr>
              <w:spacing w:before="59" w:line="225"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bl>
    <w:p>
      <w:pPr>
        <w:rPr>
          <w:rFonts w:ascii="Arial"/>
          <w:sz w:val="21"/>
        </w:rPr>
      </w:pPr>
    </w:p>
    <w:p>
      <w:pPr>
        <w:sectPr>
          <w:footerReference r:id="rId120" w:type="default"/>
          <w:pgSz w:w="11906" w:h="16839"/>
          <w:pgMar w:top="400" w:right="1459" w:bottom="1027" w:left="1459" w:header="0" w:footer="840" w:gutter="0"/>
          <w:cols w:space="720" w:num="1"/>
        </w:sectPr>
      </w:pPr>
    </w:p>
    <w:p/>
    <w:p/>
    <w:p/>
    <w:p/>
    <w:p/>
    <w:p>
      <w:pPr>
        <w:spacing w:line="115" w:lineRule="exact"/>
      </w:pPr>
    </w:p>
    <w:tbl>
      <w:tblPr>
        <w:tblStyle w:val="4"/>
        <w:tblW w:w="8760" w:type="dxa"/>
        <w:tblInd w:w="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7"/>
        <w:gridCol w:w="1069"/>
        <w:gridCol w:w="840"/>
        <w:gridCol w:w="1520"/>
        <w:gridCol w:w="1024"/>
        <w:gridCol w:w="1054"/>
        <w:gridCol w:w="999"/>
        <w:gridCol w:w="11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127" w:type="dxa"/>
            <w:vAlign w:val="top"/>
          </w:tcPr>
          <w:p>
            <w:pPr>
              <w:spacing w:before="86" w:line="232" w:lineRule="auto"/>
              <w:ind w:left="208"/>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监</w:t>
            </w:r>
            <w:r>
              <w:rPr>
                <w:rFonts w:ascii="宋体" w:hAnsi="宋体" w:eastAsia="宋体" w:cs="宋体"/>
                <w:spacing w:val="8"/>
                <w:sz w:val="17"/>
                <w:szCs w:val="17"/>
                <w14:textOutline w14:w="3268" w14:cap="sq" w14:cmpd="sng">
                  <w14:solidFill>
                    <w14:srgbClr w14:val="000000"/>
                  </w14:solidFill>
                  <w14:prstDash w14:val="solid"/>
                  <w14:bevel/>
                </w14:textOutline>
              </w:rPr>
              <w:t>测时间</w:t>
            </w:r>
          </w:p>
        </w:tc>
        <w:tc>
          <w:tcPr>
            <w:tcW w:w="1069" w:type="dxa"/>
            <w:vAlign w:val="top"/>
          </w:tcPr>
          <w:p>
            <w:pPr>
              <w:spacing w:before="86" w:line="230" w:lineRule="auto"/>
              <w:ind w:left="184"/>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点</w:t>
            </w:r>
            <w:r>
              <w:rPr>
                <w:rFonts w:ascii="宋体" w:hAnsi="宋体" w:eastAsia="宋体" w:cs="宋体"/>
                <w:spacing w:val="6"/>
                <w:sz w:val="17"/>
                <w:szCs w:val="17"/>
                <w14:textOutline w14:w="3268" w14:cap="sq" w14:cmpd="sng">
                  <w14:solidFill>
                    <w14:srgbClr w14:val="000000"/>
                  </w14:solidFill>
                  <w14:prstDash w14:val="solid"/>
                  <w14:bevel/>
                </w14:textOutline>
              </w:rPr>
              <w:t>位编号</w:t>
            </w:r>
          </w:p>
        </w:tc>
        <w:tc>
          <w:tcPr>
            <w:tcW w:w="840" w:type="dxa"/>
            <w:vAlign w:val="top"/>
          </w:tcPr>
          <w:p>
            <w:pPr>
              <w:spacing w:before="86" w:line="232" w:lineRule="auto"/>
              <w:ind w:left="252"/>
              <w:rPr>
                <w:rFonts w:ascii="宋体" w:hAnsi="宋体" w:eastAsia="宋体" w:cs="宋体"/>
                <w:sz w:val="17"/>
                <w:szCs w:val="17"/>
              </w:rPr>
            </w:pPr>
            <w:r>
              <w:rPr>
                <w:rFonts w:ascii="宋体" w:hAnsi="宋体" w:eastAsia="宋体" w:cs="宋体"/>
                <w:spacing w:val="2"/>
                <w:sz w:val="17"/>
                <w:szCs w:val="17"/>
                <w14:textOutline w14:w="3268" w14:cap="sq" w14:cmpd="sng">
                  <w14:solidFill>
                    <w14:srgbClr w14:val="000000"/>
                  </w14:solidFill>
                  <w14:prstDash w14:val="solid"/>
                  <w14:bevel/>
                </w14:textOutline>
              </w:rPr>
              <w:t>时段</w:t>
            </w:r>
          </w:p>
        </w:tc>
        <w:tc>
          <w:tcPr>
            <w:tcW w:w="1520" w:type="dxa"/>
            <w:vAlign w:val="top"/>
          </w:tcPr>
          <w:p>
            <w:pPr>
              <w:spacing w:before="86" w:line="229" w:lineRule="auto"/>
              <w:ind w:left="401"/>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采样时间</w:t>
            </w:r>
          </w:p>
        </w:tc>
        <w:tc>
          <w:tcPr>
            <w:tcW w:w="1024" w:type="dxa"/>
            <w:vAlign w:val="top"/>
          </w:tcPr>
          <w:p>
            <w:pPr>
              <w:spacing w:before="86" w:line="230" w:lineRule="auto"/>
              <w:ind w:left="156"/>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检测结</w:t>
            </w:r>
            <w:r>
              <w:rPr>
                <w:rFonts w:ascii="宋体" w:hAnsi="宋体" w:eastAsia="宋体" w:cs="宋体"/>
                <w:spacing w:val="8"/>
                <w:sz w:val="17"/>
                <w:szCs w:val="17"/>
                <w14:textOutline w14:w="3268" w14:cap="sq" w14:cmpd="sng">
                  <w14:solidFill>
                    <w14:srgbClr w14:val="000000"/>
                  </w14:solidFill>
                  <w14:prstDash w14:val="solid"/>
                  <w14:bevel/>
                </w14:textOutline>
              </w:rPr>
              <w:t>果</w:t>
            </w:r>
          </w:p>
        </w:tc>
        <w:tc>
          <w:tcPr>
            <w:tcW w:w="1054" w:type="dxa"/>
            <w:vAlign w:val="top"/>
          </w:tcPr>
          <w:p>
            <w:pPr>
              <w:spacing w:before="86" w:line="229" w:lineRule="auto"/>
              <w:ind w:left="171"/>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评价标准</w:t>
            </w:r>
          </w:p>
        </w:tc>
        <w:tc>
          <w:tcPr>
            <w:tcW w:w="999" w:type="dxa"/>
            <w:vAlign w:val="top"/>
          </w:tcPr>
          <w:p>
            <w:pPr>
              <w:spacing w:before="86" w:line="229" w:lineRule="auto"/>
              <w:ind w:left="144"/>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评价结果</w:t>
            </w:r>
          </w:p>
        </w:tc>
        <w:tc>
          <w:tcPr>
            <w:tcW w:w="1127" w:type="dxa"/>
            <w:vAlign w:val="top"/>
          </w:tcPr>
          <w:p>
            <w:pPr>
              <w:spacing w:before="86" w:line="232" w:lineRule="auto"/>
              <w:ind w:left="388"/>
              <w:rPr>
                <w:rFonts w:ascii="宋体" w:hAnsi="宋体" w:eastAsia="宋体" w:cs="宋体"/>
                <w:sz w:val="17"/>
                <w:szCs w:val="17"/>
              </w:rPr>
            </w:pPr>
            <w:r>
              <w:rPr>
                <w:rFonts w:ascii="宋体" w:hAnsi="宋体" w:eastAsia="宋体" w:cs="宋体"/>
                <w:spacing w:val="5"/>
                <w:sz w:val="17"/>
                <w:szCs w:val="17"/>
                <w14:textOutline w14:w="3268" w14:cap="sq" w14:cmpd="sng">
                  <w14:solidFill>
                    <w14:srgbClr w14:val="000000"/>
                  </w14:solidFill>
                  <w14:prstDash w14:val="solid"/>
                  <w14:bevel/>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127" w:type="dxa"/>
            <w:vMerge w:val="restart"/>
            <w:tcBorders>
              <w:bottom w:val="nil"/>
            </w:tcBorders>
            <w:vAlign w:val="top"/>
          </w:tcPr>
          <w:p>
            <w:pPr>
              <w:rPr>
                <w:rFonts w:ascii="Arial"/>
                <w:sz w:val="21"/>
              </w:rPr>
            </w:pPr>
          </w:p>
        </w:tc>
        <w:tc>
          <w:tcPr>
            <w:tcW w:w="1069" w:type="dxa"/>
            <w:vMerge w:val="restart"/>
            <w:tcBorders>
              <w:bottom w:val="nil"/>
            </w:tcBorders>
            <w:vAlign w:val="top"/>
          </w:tcPr>
          <w:p>
            <w:pPr>
              <w:spacing w:before="157" w:line="242" w:lineRule="exact"/>
              <w:ind w:left="298"/>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8"/>
                <w:position w:val="2"/>
                <w:sz w:val="17"/>
                <w:szCs w:val="17"/>
              </w:rPr>
              <w:t>3</w:t>
            </w:r>
            <w:r>
              <w:rPr>
                <w:rFonts w:ascii="Times New Roman" w:hAnsi="Times New Roman" w:eastAsia="Times New Roman" w:cs="Times New Roman"/>
                <w:spacing w:val="7"/>
                <w:position w:val="2"/>
                <w:sz w:val="17"/>
                <w:szCs w:val="17"/>
              </w:rPr>
              <w:t>-7#</w:t>
            </w:r>
          </w:p>
        </w:tc>
        <w:tc>
          <w:tcPr>
            <w:tcW w:w="840" w:type="dxa"/>
            <w:vAlign w:val="top"/>
          </w:tcPr>
          <w:p>
            <w:pPr>
              <w:spacing w:before="55" w:line="226" w:lineRule="auto"/>
              <w:ind w:left="243"/>
              <w:rPr>
                <w:rFonts w:ascii="宋体" w:hAnsi="宋体" w:eastAsia="宋体" w:cs="宋体"/>
                <w:sz w:val="17"/>
                <w:szCs w:val="17"/>
              </w:rPr>
            </w:pPr>
            <w:r>
              <w:rPr>
                <w:rFonts w:ascii="宋体" w:hAnsi="宋体" w:eastAsia="宋体" w:cs="宋体"/>
                <w:spacing w:val="7"/>
                <w:sz w:val="17"/>
                <w:szCs w:val="17"/>
              </w:rPr>
              <w:t>昼</w:t>
            </w:r>
            <w:r>
              <w:rPr>
                <w:rFonts w:ascii="宋体" w:hAnsi="宋体" w:eastAsia="宋体" w:cs="宋体"/>
                <w:spacing w:val="6"/>
                <w:sz w:val="17"/>
                <w:szCs w:val="17"/>
              </w:rPr>
              <w:t>间</w:t>
            </w:r>
          </w:p>
        </w:tc>
        <w:tc>
          <w:tcPr>
            <w:tcW w:w="1520" w:type="dxa"/>
            <w:vAlign w:val="top"/>
          </w:tcPr>
          <w:p>
            <w:pPr>
              <w:spacing w:before="84" w:line="197" w:lineRule="auto"/>
              <w:ind w:left="32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11:52~ 1</w:t>
            </w:r>
            <w:r>
              <w:rPr>
                <w:rFonts w:ascii="Times New Roman" w:hAnsi="Times New Roman" w:eastAsia="Times New Roman" w:cs="Times New Roman"/>
                <w:spacing w:val="-1"/>
                <w:sz w:val="17"/>
                <w:szCs w:val="17"/>
              </w:rPr>
              <w:t>2:12</w:t>
            </w:r>
          </w:p>
        </w:tc>
        <w:tc>
          <w:tcPr>
            <w:tcW w:w="1024" w:type="dxa"/>
            <w:vAlign w:val="top"/>
          </w:tcPr>
          <w:p>
            <w:pPr>
              <w:spacing w:before="84" w:line="197" w:lineRule="auto"/>
              <w:ind w:left="42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53</w:t>
            </w:r>
          </w:p>
        </w:tc>
        <w:tc>
          <w:tcPr>
            <w:tcW w:w="1054" w:type="dxa"/>
            <w:vAlign w:val="top"/>
          </w:tcPr>
          <w:p>
            <w:pPr>
              <w:spacing w:before="84" w:line="197" w:lineRule="auto"/>
              <w:ind w:left="44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999" w:type="dxa"/>
            <w:vAlign w:val="top"/>
          </w:tcPr>
          <w:p>
            <w:pPr>
              <w:spacing w:before="55" w:line="226"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127" w:type="dxa"/>
            <w:vMerge w:val="continue"/>
            <w:tcBorders>
              <w:top w:val="nil"/>
              <w:bottom w:val="nil"/>
            </w:tcBorders>
            <w:vAlign w:val="top"/>
          </w:tcPr>
          <w:p>
            <w:pPr>
              <w:rPr>
                <w:rFonts w:ascii="Arial"/>
                <w:sz w:val="21"/>
              </w:rPr>
            </w:pPr>
          </w:p>
        </w:tc>
        <w:tc>
          <w:tcPr>
            <w:tcW w:w="1069" w:type="dxa"/>
            <w:vMerge w:val="continue"/>
            <w:tcBorders>
              <w:top w:val="nil"/>
            </w:tcBorders>
            <w:vAlign w:val="top"/>
          </w:tcPr>
          <w:p>
            <w:pPr>
              <w:rPr>
                <w:rFonts w:ascii="Arial"/>
                <w:sz w:val="21"/>
              </w:rPr>
            </w:pPr>
          </w:p>
        </w:tc>
        <w:tc>
          <w:tcPr>
            <w:tcW w:w="840" w:type="dxa"/>
            <w:vAlign w:val="top"/>
          </w:tcPr>
          <w:p>
            <w:pPr>
              <w:spacing w:before="54" w:line="227" w:lineRule="auto"/>
              <w:ind w:left="246"/>
              <w:rPr>
                <w:rFonts w:ascii="宋体" w:hAnsi="宋体" w:eastAsia="宋体" w:cs="宋体"/>
                <w:sz w:val="17"/>
                <w:szCs w:val="17"/>
              </w:rPr>
            </w:pPr>
            <w:r>
              <w:rPr>
                <w:rFonts w:ascii="宋体" w:hAnsi="宋体" w:eastAsia="宋体" w:cs="宋体"/>
                <w:spacing w:val="5"/>
                <w:sz w:val="17"/>
                <w:szCs w:val="17"/>
              </w:rPr>
              <w:t>夜间</w:t>
            </w:r>
          </w:p>
        </w:tc>
        <w:tc>
          <w:tcPr>
            <w:tcW w:w="1520" w:type="dxa"/>
            <w:vAlign w:val="top"/>
          </w:tcPr>
          <w:p>
            <w:pPr>
              <w:spacing w:before="86" w:line="197" w:lineRule="auto"/>
              <w:ind w:left="302"/>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2:57~23:17</w:t>
            </w:r>
          </w:p>
        </w:tc>
        <w:tc>
          <w:tcPr>
            <w:tcW w:w="1024" w:type="dxa"/>
            <w:vAlign w:val="top"/>
          </w:tcPr>
          <w:p>
            <w:pPr>
              <w:spacing w:before="86" w:line="197" w:lineRule="auto"/>
              <w:ind w:left="42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w:t>
            </w:r>
          </w:p>
        </w:tc>
        <w:tc>
          <w:tcPr>
            <w:tcW w:w="1054" w:type="dxa"/>
            <w:vAlign w:val="top"/>
          </w:tcPr>
          <w:p>
            <w:pPr>
              <w:spacing w:before="86" w:line="197" w:lineRule="auto"/>
              <w:ind w:left="44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999" w:type="dxa"/>
            <w:vAlign w:val="top"/>
          </w:tcPr>
          <w:p>
            <w:pPr>
              <w:spacing w:before="54" w:line="227"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127" w:type="dxa"/>
            <w:vMerge w:val="continue"/>
            <w:tcBorders>
              <w:top w:val="nil"/>
              <w:bottom w:val="nil"/>
            </w:tcBorders>
            <w:vAlign w:val="top"/>
          </w:tcPr>
          <w:p>
            <w:pPr>
              <w:rPr>
                <w:rFonts w:ascii="Arial"/>
                <w:sz w:val="21"/>
              </w:rPr>
            </w:pPr>
          </w:p>
        </w:tc>
        <w:tc>
          <w:tcPr>
            <w:tcW w:w="1069" w:type="dxa"/>
            <w:vMerge w:val="restart"/>
            <w:tcBorders>
              <w:bottom w:val="nil"/>
            </w:tcBorders>
            <w:vAlign w:val="top"/>
          </w:tcPr>
          <w:p>
            <w:pPr>
              <w:spacing w:before="159" w:line="242" w:lineRule="exact"/>
              <w:ind w:left="298"/>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8"/>
                <w:position w:val="2"/>
                <w:sz w:val="17"/>
                <w:szCs w:val="17"/>
              </w:rPr>
              <w:t>3</w:t>
            </w:r>
            <w:r>
              <w:rPr>
                <w:rFonts w:ascii="Times New Roman" w:hAnsi="Times New Roman" w:eastAsia="Times New Roman" w:cs="Times New Roman"/>
                <w:spacing w:val="7"/>
                <w:position w:val="2"/>
                <w:sz w:val="17"/>
                <w:szCs w:val="17"/>
              </w:rPr>
              <w:t>-8#</w:t>
            </w:r>
          </w:p>
        </w:tc>
        <w:tc>
          <w:tcPr>
            <w:tcW w:w="840" w:type="dxa"/>
            <w:vAlign w:val="top"/>
          </w:tcPr>
          <w:p>
            <w:pPr>
              <w:spacing w:before="57" w:line="224" w:lineRule="auto"/>
              <w:ind w:left="243"/>
              <w:rPr>
                <w:rFonts w:ascii="宋体" w:hAnsi="宋体" w:eastAsia="宋体" w:cs="宋体"/>
                <w:sz w:val="17"/>
                <w:szCs w:val="17"/>
              </w:rPr>
            </w:pPr>
            <w:r>
              <w:rPr>
                <w:rFonts w:ascii="宋体" w:hAnsi="宋体" w:eastAsia="宋体" w:cs="宋体"/>
                <w:spacing w:val="7"/>
                <w:sz w:val="17"/>
                <w:szCs w:val="17"/>
              </w:rPr>
              <w:t>昼</w:t>
            </w:r>
            <w:r>
              <w:rPr>
                <w:rFonts w:ascii="宋体" w:hAnsi="宋体" w:eastAsia="宋体" w:cs="宋体"/>
                <w:spacing w:val="6"/>
                <w:sz w:val="17"/>
                <w:szCs w:val="17"/>
              </w:rPr>
              <w:t>间</w:t>
            </w:r>
          </w:p>
        </w:tc>
        <w:tc>
          <w:tcPr>
            <w:tcW w:w="1520" w:type="dxa"/>
            <w:vAlign w:val="top"/>
          </w:tcPr>
          <w:p>
            <w:pPr>
              <w:spacing w:before="86" w:line="197" w:lineRule="auto"/>
              <w:ind w:left="32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11:52~ 1</w:t>
            </w:r>
            <w:r>
              <w:rPr>
                <w:rFonts w:ascii="Times New Roman" w:hAnsi="Times New Roman" w:eastAsia="Times New Roman" w:cs="Times New Roman"/>
                <w:spacing w:val="-1"/>
                <w:sz w:val="17"/>
                <w:szCs w:val="17"/>
              </w:rPr>
              <w:t>2:12</w:t>
            </w:r>
          </w:p>
        </w:tc>
        <w:tc>
          <w:tcPr>
            <w:tcW w:w="1024" w:type="dxa"/>
            <w:vAlign w:val="top"/>
          </w:tcPr>
          <w:p>
            <w:pPr>
              <w:spacing w:before="88" w:line="194" w:lineRule="auto"/>
              <w:ind w:left="42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55</w:t>
            </w:r>
          </w:p>
        </w:tc>
        <w:tc>
          <w:tcPr>
            <w:tcW w:w="1054" w:type="dxa"/>
            <w:vAlign w:val="top"/>
          </w:tcPr>
          <w:p>
            <w:pPr>
              <w:spacing w:before="86" w:line="197" w:lineRule="auto"/>
              <w:ind w:left="44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999" w:type="dxa"/>
            <w:vAlign w:val="top"/>
          </w:tcPr>
          <w:p>
            <w:pPr>
              <w:spacing w:before="57" w:line="224"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127" w:type="dxa"/>
            <w:vMerge w:val="continue"/>
            <w:tcBorders>
              <w:top w:val="nil"/>
            </w:tcBorders>
            <w:vAlign w:val="top"/>
          </w:tcPr>
          <w:p>
            <w:pPr>
              <w:rPr>
                <w:rFonts w:ascii="Arial"/>
                <w:sz w:val="21"/>
              </w:rPr>
            </w:pPr>
          </w:p>
        </w:tc>
        <w:tc>
          <w:tcPr>
            <w:tcW w:w="1069" w:type="dxa"/>
            <w:vMerge w:val="continue"/>
            <w:tcBorders>
              <w:top w:val="nil"/>
            </w:tcBorders>
            <w:vAlign w:val="top"/>
          </w:tcPr>
          <w:p>
            <w:pPr>
              <w:rPr>
                <w:rFonts w:ascii="Arial"/>
                <w:sz w:val="21"/>
              </w:rPr>
            </w:pPr>
          </w:p>
        </w:tc>
        <w:tc>
          <w:tcPr>
            <w:tcW w:w="840" w:type="dxa"/>
            <w:vAlign w:val="top"/>
          </w:tcPr>
          <w:p>
            <w:pPr>
              <w:spacing w:before="57" w:line="225" w:lineRule="auto"/>
              <w:ind w:left="246"/>
              <w:rPr>
                <w:rFonts w:ascii="宋体" w:hAnsi="宋体" w:eastAsia="宋体" w:cs="宋体"/>
                <w:sz w:val="17"/>
                <w:szCs w:val="17"/>
              </w:rPr>
            </w:pPr>
            <w:r>
              <w:rPr>
                <w:rFonts w:ascii="宋体" w:hAnsi="宋体" w:eastAsia="宋体" w:cs="宋体"/>
                <w:spacing w:val="5"/>
                <w:sz w:val="17"/>
                <w:szCs w:val="17"/>
              </w:rPr>
              <w:t>夜间</w:t>
            </w:r>
          </w:p>
        </w:tc>
        <w:tc>
          <w:tcPr>
            <w:tcW w:w="1520" w:type="dxa"/>
            <w:vAlign w:val="top"/>
          </w:tcPr>
          <w:p>
            <w:pPr>
              <w:spacing w:before="88" w:line="197" w:lineRule="auto"/>
              <w:ind w:left="302"/>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2:57~23:17</w:t>
            </w:r>
          </w:p>
        </w:tc>
        <w:tc>
          <w:tcPr>
            <w:tcW w:w="1024" w:type="dxa"/>
            <w:vAlign w:val="top"/>
          </w:tcPr>
          <w:p>
            <w:pPr>
              <w:spacing w:before="88" w:line="197" w:lineRule="auto"/>
              <w:ind w:left="42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44</w:t>
            </w:r>
          </w:p>
        </w:tc>
        <w:tc>
          <w:tcPr>
            <w:tcW w:w="1054" w:type="dxa"/>
            <w:vAlign w:val="top"/>
          </w:tcPr>
          <w:p>
            <w:pPr>
              <w:spacing w:before="88" w:line="197" w:lineRule="auto"/>
              <w:ind w:left="44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999" w:type="dxa"/>
            <w:vAlign w:val="top"/>
          </w:tcPr>
          <w:p>
            <w:pPr>
              <w:spacing w:before="57" w:line="225"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127"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49" w:line="197" w:lineRule="auto"/>
              <w:ind w:left="205"/>
              <w:rPr>
                <w:rFonts w:ascii="Times New Roman" w:hAnsi="Times New Roman" w:eastAsia="Times New Roman" w:cs="Times New Roman"/>
                <w:sz w:val="17"/>
                <w:szCs w:val="17"/>
              </w:rPr>
            </w:pPr>
            <w:r>
              <w:rPr>
                <w:rFonts w:ascii="Times New Roman" w:hAnsi="Times New Roman" w:eastAsia="Times New Roman" w:cs="Times New Roman"/>
                <w:b/>
                <w:bCs/>
                <w:spacing w:val="4"/>
                <w:sz w:val="17"/>
                <w:szCs w:val="17"/>
              </w:rPr>
              <w:t>2023.3.31</w:t>
            </w:r>
          </w:p>
        </w:tc>
        <w:tc>
          <w:tcPr>
            <w:tcW w:w="1069" w:type="dxa"/>
            <w:vMerge w:val="restart"/>
            <w:tcBorders>
              <w:bottom w:val="nil"/>
            </w:tcBorders>
            <w:vAlign w:val="top"/>
          </w:tcPr>
          <w:p>
            <w:pPr>
              <w:spacing w:before="160" w:line="242" w:lineRule="exact"/>
              <w:ind w:left="372"/>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10"/>
                <w:position w:val="2"/>
                <w:sz w:val="17"/>
                <w:szCs w:val="17"/>
              </w:rPr>
              <w:t>1#</w:t>
            </w:r>
          </w:p>
        </w:tc>
        <w:tc>
          <w:tcPr>
            <w:tcW w:w="840" w:type="dxa"/>
            <w:vAlign w:val="top"/>
          </w:tcPr>
          <w:p>
            <w:pPr>
              <w:spacing w:before="58" w:line="224" w:lineRule="auto"/>
              <w:ind w:left="243"/>
              <w:rPr>
                <w:rFonts w:ascii="宋体" w:hAnsi="宋体" w:eastAsia="宋体" w:cs="宋体"/>
                <w:sz w:val="17"/>
                <w:szCs w:val="17"/>
              </w:rPr>
            </w:pPr>
            <w:r>
              <w:rPr>
                <w:rFonts w:ascii="宋体" w:hAnsi="宋体" w:eastAsia="宋体" w:cs="宋体"/>
                <w:spacing w:val="7"/>
                <w:sz w:val="17"/>
                <w:szCs w:val="17"/>
              </w:rPr>
              <w:t>昼</w:t>
            </w:r>
            <w:r>
              <w:rPr>
                <w:rFonts w:ascii="宋体" w:hAnsi="宋体" w:eastAsia="宋体" w:cs="宋体"/>
                <w:spacing w:val="6"/>
                <w:sz w:val="17"/>
                <w:szCs w:val="17"/>
              </w:rPr>
              <w:t>间</w:t>
            </w:r>
          </w:p>
        </w:tc>
        <w:tc>
          <w:tcPr>
            <w:tcW w:w="1520" w:type="dxa"/>
            <w:vAlign w:val="top"/>
          </w:tcPr>
          <w:p>
            <w:pPr>
              <w:spacing w:before="87" w:line="197" w:lineRule="auto"/>
              <w:ind w:left="3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4:00~ 14:20</w:t>
            </w:r>
          </w:p>
        </w:tc>
        <w:tc>
          <w:tcPr>
            <w:tcW w:w="1024" w:type="dxa"/>
            <w:vAlign w:val="top"/>
          </w:tcPr>
          <w:p>
            <w:pPr>
              <w:spacing w:before="87" w:line="197" w:lineRule="auto"/>
              <w:ind w:left="42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1054" w:type="dxa"/>
            <w:vAlign w:val="top"/>
          </w:tcPr>
          <w:p>
            <w:pPr>
              <w:spacing w:before="87" w:line="197" w:lineRule="auto"/>
              <w:ind w:left="44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999" w:type="dxa"/>
            <w:vAlign w:val="top"/>
          </w:tcPr>
          <w:p>
            <w:pPr>
              <w:spacing w:before="58" w:line="224"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127" w:type="dxa"/>
            <w:vMerge w:val="continue"/>
            <w:tcBorders>
              <w:top w:val="nil"/>
              <w:bottom w:val="nil"/>
            </w:tcBorders>
            <w:vAlign w:val="top"/>
          </w:tcPr>
          <w:p>
            <w:pPr>
              <w:rPr>
                <w:rFonts w:ascii="Arial"/>
                <w:sz w:val="21"/>
              </w:rPr>
            </w:pPr>
          </w:p>
        </w:tc>
        <w:tc>
          <w:tcPr>
            <w:tcW w:w="1069" w:type="dxa"/>
            <w:vMerge w:val="continue"/>
            <w:tcBorders>
              <w:top w:val="nil"/>
            </w:tcBorders>
            <w:vAlign w:val="top"/>
          </w:tcPr>
          <w:p>
            <w:pPr>
              <w:rPr>
                <w:rFonts w:ascii="Arial"/>
                <w:sz w:val="21"/>
              </w:rPr>
            </w:pPr>
          </w:p>
        </w:tc>
        <w:tc>
          <w:tcPr>
            <w:tcW w:w="840" w:type="dxa"/>
            <w:vAlign w:val="top"/>
          </w:tcPr>
          <w:p>
            <w:pPr>
              <w:spacing w:before="57" w:line="225" w:lineRule="auto"/>
              <w:ind w:left="246"/>
              <w:rPr>
                <w:rFonts w:ascii="宋体" w:hAnsi="宋体" w:eastAsia="宋体" w:cs="宋体"/>
                <w:sz w:val="17"/>
                <w:szCs w:val="17"/>
              </w:rPr>
            </w:pPr>
            <w:r>
              <w:rPr>
                <w:rFonts w:ascii="宋体" w:hAnsi="宋体" w:eastAsia="宋体" w:cs="宋体"/>
                <w:spacing w:val="5"/>
                <w:sz w:val="17"/>
                <w:szCs w:val="17"/>
              </w:rPr>
              <w:t>夜间</w:t>
            </w:r>
          </w:p>
        </w:tc>
        <w:tc>
          <w:tcPr>
            <w:tcW w:w="1520" w:type="dxa"/>
            <w:vAlign w:val="top"/>
          </w:tcPr>
          <w:p>
            <w:pPr>
              <w:spacing w:before="88" w:line="197" w:lineRule="auto"/>
              <w:ind w:left="302"/>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2:00~22:20</w:t>
            </w:r>
          </w:p>
        </w:tc>
        <w:tc>
          <w:tcPr>
            <w:tcW w:w="1024" w:type="dxa"/>
            <w:vAlign w:val="top"/>
          </w:tcPr>
          <w:p>
            <w:pPr>
              <w:spacing w:before="88" w:line="197" w:lineRule="auto"/>
              <w:ind w:left="42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1054" w:type="dxa"/>
            <w:vAlign w:val="top"/>
          </w:tcPr>
          <w:p>
            <w:pPr>
              <w:spacing w:before="88" w:line="197" w:lineRule="auto"/>
              <w:ind w:left="44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999" w:type="dxa"/>
            <w:vAlign w:val="top"/>
          </w:tcPr>
          <w:p>
            <w:pPr>
              <w:spacing w:before="57" w:line="225"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127" w:type="dxa"/>
            <w:vMerge w:val="continue"/>
            <w:tcBorders>
              <w:top w:val="nil"/>
              <w:bottom w:val="nil"/>
            </w:tcBorders>
            <w:vAlign w:val="top"/>
          </w:tcPr>
          <w:p>
            <w:pPr>
              <w:rPr>
                <w:rFonts w:ascii="Arial"/>
                <w:sz w:val="21"/>
              </w:rPr>
            </w:pPr>
          </w:p>
        </w:tc>
        <w:tc>
          <w:tcPr>
            <w:tcW w:w="1069" w:type="dxa"/>
            <w:vMerge w:val="restart"/>
            <w:tcBorders>
              <w:bottom w:val="nil"/>
            </w:tcBorders>
            <w:vAlign w:val="top"/>
          </w:tcPr>
          <w:p>
            <w:pPr>
              <w:spacing w:before="160" w:line="242" w:lineRule="exact"/>
              <w:ind w:left="329"/>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11"/>
                <w:position w:val="2"/>
                <w:sz w:val="17"/>
                <w:szCs w:val="17"/>
              </w:rPr>
              <w:t>2</w:t>
            </w:r>
            <w:r>
              <w:rPr>
                <w:rFonts w:ascii="Times New Roman" w:hAnsi="Times New Roman" w:eastAsia="Times New Roman" w:cs="Times New Roman"/>
                <w:spacing w:val="10"/>
                <w:position w:val="2"/>
                <w:sz w:val="17"/>
                <w:szCs w:val="17"/>
              </w:rPr>
              <w:t>#*</w:t>
            </w:r>
          </w:p>
        </w:tc>
        <w:tc>
          <w:tcPr>
            <w:tcW w:w="840" w:type="dxa"/>
            <w:vAlign w:val="top"/>
          </w:tcPr>
          <w:p>
            <w:pPr>
              <w:spacing w:before="58" w:line="224" w:lineRule="auto"/>
              <w:ind w:left="243"/>
              <w:rPr>
                <w:rFonts w:ascii="宋体" w:hAnsi="宋体" w:eastAsia="宋体" w:cs="宋体"/>
                <w:sz w:val="17"/>
                <w:szCs w:val="17"/>
              </w:rPr>
            </w:pPr>
            <w:r>
              <w:rPr>
                <w:rFonts w:ascii="宋体" w:hAnsi="宋体" w:eastAsia="宋体" w:cs="宋体"/>
                <w:spacing w:val="7"/>
                <w:sz w:val="17"/>
                <w:szCs w:val="17"/>
              </w:rPr>
              <w:t>昼</w:t>
            </w:r>
            <w:r>
              <w:rPr>
                <w:rFonts w:ascii="宋体" w:hAnsi="宋体" w:eastAsia="宋体" w:cs="宋体"/>
                <w:spacing w:val="6"/>
                <w:sz w:val="17"/>
                <w:szCs w:val="17"/>
              </w:rPr>
              <w:t>间</w:t>
            </w:r>
          </w:p>
        </w:tc>
        <w:tc>
          <w:tcPr>
            <w:tcW w:w="1520" w:type="dxa"/>
            <w:vAlign w:val="top"/>
          </w:tcPr>
          <w:p>
            <w:pPr>
              <w:spacing w:before="87" w:line="197" w:lineRule="auto"/>
              <w:ind w:left="3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4:00~ 14:20</w:t>
            </w:r>
          </w:p>
        </w:tc>
        <w:tc>
          <w:tcPr>
            <w:tcW w:w="1024" w:type="dxa"/>
            <w:vAlign w:val="top"/>
          </w:tcPr>
          <w:p>
            <w:pPr>
              <w:spacing w:before="87" w:line="197" w:lineRule="auto"/>
              <w:ind w:left="428"/>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1</w:t>
            </w:r>
          </w:p>
        </w:tc>
        <w:tc>
          <w:tcPr>
            <w:tcW w:w="1054" w:type="dxa"/>
            <w:vAlign w:val="top"/>
          </w:tcPr>
          <w:p>
            <w:pPr>
              <w:spacing w:before="87" w:line="197" w:lineRule="auto"/>
              <w:ind w:left="44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70</w:t>
            </w:r>
          </w:p>
        </w:tc>
        <w:tc>
          <w:tcPr>
            <w:tcW w:w="999" w:type="dxa"/>
            <w:vAlign w:val="top"/>
          </w:tcPr>
          <w:p>
            <w:pPr>
              <w:spacing w:before="58" w:line="224"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127" w:type="dxa"/>
            <w:vMerge w:val="continue"/>
            <w:tcBorders>
              <w:top w:val="nil"/>
              <w:bottom w:val="nil"/>
            </w:tcBorders>
            <w:vAlign w:val="top"/>
          </w:tcPr>
          <w:p>
            <w:pPr>
              <w:rPr>
                <w:rFonts w:ascii="Arial"/>
                <w:sz w:val="21"/>
              </w:rPr>
            </w:pPr>
          </w:p>
        </w:tc>
        <w:tc>
          <w:tcPr>
            <w:tcW w:w="1069" w:type="dxa"/>
            <w:vMerge w:val="continue"/>
            <w:tcBorders>
              <w:top w:val="nil"/>
            </w:tcBorders>
            <w:vAlign w:val="top"/>
          </w:tcPr>
          <w:p>
            <w:pPr>
              <w:rPr>
                <w:rFonts w:ascii="Arial"/>
                <w:sz w:val="21"/>
              </w:rPr>
            </w:pPr>
          </w:p>
        </w:tc>
        <w:tc>
          <w:tcPr>
            <w:tcW w:w="840" w:type="dxa"/>
            <w:vAlign w:val="top"/>
          </w:tcPr>
          <w:p>
            <w:pPr>
              <w:spacing w:before="57" w:line="225" w:lineRule="auto"/>
              <w:ind w:left="246"/>
              <w:rPr>
                <w:rFonts w:ascii="宋体" w:hAnsi="宋体" w:eastAsia="宋体" w:cs="宋体"/>
                <w:sz w:val="17"/>
                <w:szCs w:val="17"/>
              </w:rPr>
            </w:pPr>
            <w:r>
              <w:rPr>
                <w:rFonts w:ascii="宋体" w:hAnsi="宋体" w:eastAsia="宋体" w:cs="宋体"/>
                <w:spacing w:val="5"/>
                <w:sz w:val="17"/>
                <w:szCs w:val="17"/>
              </w:rPr>
              <w:t>夜间</w:t>
            </w:r>
          </w:p>
        </w:tc>
        <w:tc>
          <w:tcPr>
            <w:tcW w:w="1520" w:type="dxa"/>
            <w:vAlign w:val="top"/>
          </w:tcPr>
          <w:p>
            <w:pPr>
              <w:spacing w:before="88" w:line="197" w:lineRule="auto"/>
              <w:ind w:left="302"/>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2:00~22:20</w:t>
            </w:r>
          </w:p>
        </w:tc>
        <w:tc>
          <w:tcPr>
            <w:tcW w:w="1024" w:type="dxa"/>
            <w:vAlign w:val="top"/>
          </w:tcPr>
          <w:p>
            <w:pPr>
              <w:spacing w:before="88" w:line="197" w:lineRule="auto"/>
              <w:ind w:left="42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51</w:t>
            </w:r>
          </w:p>
        </w:tc>
        <w:tc>
          <w:tcPr>
            <w:tcW w:w="1054" w:type="dxa"/>
            <w:vAlign w:val="top"/>
          </w:tcPr>
          <w:p>
            <w:pPr>
              <w:spacing w:before="90" w:line="194" w:lineRule="auto"/>
              <w:ind w:left="44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55</w:t>
            </w:r>
          </w:p>
        </w:tc>
        <w:tc>
          <w:tcPr>
            <w:tcW w:w="999" w:type="dxa"/>
            <w:vAlign w:val="top"/>
          </w:tcPr>
          <w:p>
            <w:pPr>
              <w:spacing w:before="57" w:line="225"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127" w:type="dxa"/>
            <w:vMerge w:val="continue"/>
            <w:tcBorders>
              <w:top w:val="nil"/>
              <w:bottom w:val="nil"/>
            </w:tcBorders>
            <w:vAlign w:val="top"/>
          </w:tcPr>
          <w:p>
            <w:pPr>
              <w:rPr>
                <w:rFonts w:ascii="Arial"/>
                <w:sz w:val="21"/>
              </w:rPr>
            </w:pPr>
          </w:p>
        </w:tc>
        <w:tc>
          <w:tcPr>
            <w:tcW w:w="1069" w:type="dxa"/>
            <w:vMerge w:val="restart"/>
            <w:tcBorders>
              <w:bottom w:val="nil"/>
            </w:tcBorders>
            <w:vAlign w:val="top"/>
          </w:tcPr>
          <w:p>
            <w:pPr>
              <w:spacing w:before="160" w:line="242" w:lineRule="exact"/>
              <w:ind w:left="298"/>
              <w:rPr>
                <w:rFonts w:ascii="Times New Roman" w:hAnsi="Times New Roman" w:eastAsia="Times New Roman" w:cs="Times New Roman"/>
                <w:sz w:val="17"/>
                <w:szCs w:val="17"/>
              </w:rPr>
            </w:pPr>
            <w:r>
              <w:rPr>
                <w:rFonts w:ascii="Times New Roman" w:hAnsi="Times New Roman" w:eastAsia="Times New Roman" w:cs="Times New Roman"/>
                <w:spacing w:val="-2"/>
                <w:position w:val="2"/>
                <w:sz w:val="17"/>
                <w:szCs w:val="17"/>
              </w:rPr>
              <w:t>N</w:t>
            </w:r>
            <w:r>
              <w:rPr>
                <w:rFonts w:ascii="Times New Roman" w:hAnsi="Times New Roman" w:eastAsia="Times New Roman" w:cs="Times New Roman"/>
                <w:spacing w:val="-3"/>
                <w:position w:val="2"/>
                <w:sz w:val="17"/>
                <w:szCs w:val="17"/>
              </w:rPr>
              <w:t>3</w:t>
            </w:r>
            <w:r>
              <w:rPr>
                <w:rFonts w:ascii="Times New Roman" w:hAnsi="Times New Roman" w:eastAsia="Times New Roman" w:cs="Times New Roman"/>
                <w:spacing w:val="-2"/>
                <w:position w:val="2"/>
                <w:sz w:val="17"/>
                <w:szCs w:val="17"/>
              </w:rPr>
              <w:t>- 1#</w:t>
            </w:r>
          </w:p>
        </w:tc>
        <w:tc>
          <w:tcPr>
            <w:tcW w:w="840" w:type="dxa"/>
            <w:vAlign w:val="top"/>
          </w:tcPr>
          <w:p>
            <w:pPr>
              <w:spacing w:before="58" w:line="224" w:lineRule="auto"/>
              <w:ind w:left="243"/>
              <w:rPr>
                <w:rFonts w:ascii="宋体" w:hAnsi="宋体" w:eastAsia="宋体" w:cs="宋体"/>
                <w:sz w:val="17"/>
                <w:szCs w:val="17"/>
              </w:rPr>
            </w:pPr>
            <w:r>
              <w:rPr>
                <w:rFonts w:ascii="宋体" w:hAnsi="宋体" w:eastAsia="宋体" w:cs="宋体"/>
                <w:spacing w:val="7"/>
                <w:sz w:val="17"/>
                <w:szCs w:val="17"/>
              </w:rPr>
              <w:t>昼</w:t>
            </w:r>
            <w:r>
              <w:rPr>
                <w:rFonts w:ascii="宋体" w:hAnsi="宋体" w:eastAsia="宋体" w:cs="宋体"/>
                <w:spacing w:val="6"/>
                <w:sz w:val="17"/>
                <w:szCs w:val="17"/>
              </w:rPr>
              <w:t>间</w:t>
            </w:r>
          </w:p>
        </w:tc>
        <w:tc>
          <w:tcPr>
            <w:tcW w:w="1520" w:type="dxa"/>
            <w:vAlign w:val="top"/>
          </w:tcPr>
          <w:p>
            <w:pPr>
              <w:spacing w:before="87" w:line="197" w:lineRule="auto"/>
              <w:ind w:left="3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4:26~ 14:26</w:t>
            </w:r>
          </w:p>
        </w:tc>
        <w:tc>
          <w:tcPr>
            <w:tcW w:w="1024" w:type="dxa"/>
            <w:vAlign w:val="top"/>
          </w:tcPr>
          <w:p>
            <w:pPr>
              <w:spacing w:before="87" w:line="197" w:lineRule="auto"/>
              <w:ind w:left="42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51</w:t>
            </w:r>
          </w:p>
        </w:tc>
        <w:tc>
          <w:tcPr>
            <w:tcW w:w="1054" w:type="dxa"/>
            <w:vAlign w:val="top"/>
          </w:tcPr>
          <w:p>
            <w:pPr>
              <w:spacing w:before="87" w:line="197" w:lineRule="auto"/>
              <w:ind w:left="44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999" w:type="dxa"/>
            <w:vAlign w:val="top"/>
          </w:tcPr>
          <w:p>
            <w:pPr>
              <w:spacing w:before="58" w:line="224"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127" w:type="dxa"/>
            <w:vMerge w:val="continue"/>
            <w:tcBorders>
              <w:top w:val="nil"/>
              <w:bottom w:val="nil"/>
            </w:tcBorders>
            <w:vAlign w:val="top"/>
          </w:tcPr>
          <w:p>
            <w:pPr>
              <w:rPr>
                <w:rFonts w:ascii="Arial"/>
                <w:sz w:val="21"/>
              </w:rPr>
            </w:pPr>
          </w:p>
        </w:tc>
        <w:tc>
          <w:tcPr>
            <w:tcW w:w="1069" w:type="dxa"/>
            <w:vMerge w:val="continue"/>
            <w:tcBorders>
              <w:top w:val="nil"/>
            </w:tcBorders>
            <w:vAlign w:val="top"/>
          </w:tcPr>
          <w:p>
            <w:pPr>
              <w:rPr>
                <w:rFonts w:ascii="Arial"/>
                <w:sz w:val="21"/>
              </w:rPr>
            </w:pPr>
          </w:p>
        </w:tc>
        <w:tc>
          <w:tcPr>
            <w:tcW w:w="840" w:type="dxa"/>
            <w:vAlign w:val="top"/>
          </w:tcPr>
          <w:p>
            <w:pPr>
              <w:spacing w:before="57" w:line="225" w:lineRule="auto"/>
              <w:ind w:left="246"/>
              <w:rPr>
                <w:rFonts w:ascii="宋体" w:hAnsi="宋体" w:eastAsia="宋体" w:cs="宋体"/>
                <w:sz w:val="17"/>
                <w:szCs w:val="17"/>
              </w:rPr>
            </w:pPr>
            <w:r>
              <w:rPr>
                <w:rFonts w:ascii="宋体" w:hAnsi="宋体" w:eastAsia="宋体" w:cs="宋体"/>
                <w:spacing w:val="5"/>
                <w:sz w:val="17"/>
                <w:szCs w:val="17"/>
              </w:rPr>
              <w:t>夜间</w:t>
            </w:r>
          </w:p>
        </w:tc>
        <w:tc>
          <w:tcPr>
            <w:tcW w:w="1520" w:type="dxa"/>
            <w:vAlign w:val="top"/>
          </w:tcPr>
          <w:p>
            <w:pPr>
              <w:spacing w:before="88" w:line="197" w:lineRule="auto"/>
              <w:ind w:left="302"/>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2:27~22:47</w:t>
            </w:r>
          </w:p>
        </w:tc>
        <w:tc>
          <w:tcPr>
            <w:tcW w:w="1024" w:type="dxa"/>
            <w:vAlign w:val="top"/>
          </w:tcPr>
          <w:p>
            <w:pPr>
              <w:spacing w:before="88" w:line="197" w:lineRule="auto"/>
              <w:ind w:left="42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47</w:t>
            </w:r>
          </w:p>
        </w:tc>
        <w:tc>
          <w:tcPr>
            <w:tcW w:w="1054" w:type="dxa"/>
            <w:vAlign w:val="top"/>
          </w:tcPr>
          <w:p>
            <w:pPr>
              <w:spacing w:before="88" w:line="197" w:lineRule="auto"/>
              <w:ind w:left="44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999" w:type="dxa"/>
            <w:vAlign w:val="top"/>
          </w:tcPr>
          <w:p>
            <w:pPr>
              <w:spacing w:before="57" w:line="225"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127" w:type="dxa"/>
            <w:vMerge w:val="continue"/>
            <w:tcBorders>
              <w:top w:val="nil"/>
              <w:bottom w:val="nil"/>
            </w:tcBorders>
            <w:vAlign w:val="top"/>
          </w:tcPr>
          <w:p>
            <w:pPr>
              <w:rPr>
                <w:rFonts w:ascii="Arial"/>
                <w:sz w:val="21"/>
              </w:rPr>
            </w:pPr>
          </w:p>
        </w:tc>
        <w:tc>
          <w:tcPr>
            <w:tcW w:w="1069" w:type="dxa"/>
            <w:vMerge w:val="restart"/>
            <w:tcBorders>
              <w:bottom w:val="nil"/>
            </w:tcBorders>
            <w:vAlign w:val="top"/>
          </w:tcPr>
          <w:p>
            <w:pPr>
              <w:spacing w:before="160" w:line="242" w:lineRule="exact"/>
              <w:ind w:left="298"/>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8"/>
                <w:position w:val="2"/>
                <w:sz w:val="17"/>
                <w:szCs w:val="17"/>
              </w:rPr>
              <w:t>3</w:t>
            </w:r>
            <w:r>
              <w:rPr>
                <w:rFonts w:ascii="Times New Roman" w:hAnsi="Times New Roman" w:eastAsia="Times New Roman" w:cs="Times New Roman"/>
                <w:spacing w:val="7"/>
                <w:position w:val="2"/>
                <w:sz w:val="17"/>
                <w:szCs w:val="17"/>
              </w:rPr>
              <w:t>-2#</w:t>
            </w:r>
          </w:p>
        </w:tc>
        <w:tc>
          <w:tcPr>
            <w:tcW w:w="840" w:type="dxa"/>
            <w:vAlign w:val="top"/>
          </w:tcPr>
          <w:p>
            <w:pPr>
              <w:spacing w:before="58" w:line="224" w:lineRule="auto"/>
              <w:ind w:left="243"/>
              <w:rPr>
                <w:rFonts w:ascii="宋体" w:hAnsi="宋体" w:eastAsia="宋体" w:cs="宋体"/>
                <w:sz w:val="17"/>
                <w:szCs w:val="17"/>
              </w:rPr>
            </w:pPr>
            <w:r>
              <w:rPr>
                <w:rFonts w:ascii="宋体" w:hAnsi="宋体" w:eastAsia="宋体" w:cs="宋体"/>
                <w:spacing w:val="7"/>
                <w:sz w:val="17"/>
                <w:szCs w:val="17"/>
              </w:rPr>
              <w:t>昼</w:t>
            </w:r>
            <w:r>
              <w:rPr>
                <w:rFonts w:ascii="宋体" w:hAnsi="宋体" w:eastAsia="宋体" w:cs="宋体"/>
                <w:spacing w:val="6"/>
                <w:sz w:val="17"/>
                <w:szCs w:val="17"/>
              </w:rPr>
              <w:t>间</w:t>
            </w:r>
          </w:p>
        </w:tc>
        <w:tc>
          <w:tcPr>
            <w:tcW w:w="1520" w:type="dxa"/>
            <w:vAlign w:val="top"/>
          </w:tcPr>
          <w:p>
            <w:pPr>
              <w:spacing w:before="87" w:line="197" w:lineRule="auto"/>
              <w:ind w:left="3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4:28~ 14:48</w:t>
            </w:r>
          </w:p>
        </w:tc>
        <w:tc>
          <w:tcPr>
            <w:tcW w:w="1024" w:type="dxa"/>
            <w:vAlign w:val="top"/>
          </w:tcPr>
          <w:p>
            <w:pPr>
              <w:spacing w:before="87" w:line="197" w:lineRule="auto"/>
              <w:ind w:left="42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51</w:t>
            </w:r>
          </w:p>
        </w:tc>
        <w:tc>
          <w:tcPr>
            <w:tcW w:w="1054" w:type="dxa"/>
            <w:vAlign w:val="top"/>
          </w:tcPr>
          <w:p>
            <w:pPr>
              <w:spacing w:before="87" w:line="197" w:lineRule="auto"/>
              <w:ind w:left="44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999" w:type="dxa"/>
            <w:vAlign w:val="top"/>
          </w:tcPr>
          <w:p>
            <w:pPr>
              <w:spacing w:before="58" w:line="224"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127" w:type="dxa"/>
            <w:vMerge w:val="continue"/>
            <w:tcBorders>
              <w:top w:val="nil"/>
              <w:bottom w:val="nil"/>
            </w:tcBorders>
            <w:vAlign w:val="top"/>
          </w:tcPr>
          <w:p>
            <w:pPr>
              <w:rPr>
                <w:rFonts w:ascii="Arial"/>
                <w:sz w:val="21"/>
              </w:rPr>
            </w:pPr>
          </w:p>
        </w:tc>
        <w:tc>
          <w:tcPr>
            <w:tcW w:w="1069" w:type="dxa"/>
            <w:vMerge w:val="continue"/>
            <w:tcBorders>
              <w:top w:val="nil"/>
            </w:tcBorders>
            <w:vAlign w:val="top"/>
          </w:tcPr>
          <w:p>
            <w:pPr>
              <w:rPr>
                <w:rFonts w:ascii="Arial"/>
                <w:sz w:val="21"/>
              </w:rPr>
            </w:pPr>
          </w:p>
        </w:tc>
        <w:tc>
          <w:tcPr>
            <w:tcW w:w="840" w:type="dxa"/>
            <w:vAlign w:val="top"/>
          </w:tcPr>
          <w:p>
            <w:pPr>
              <w:spacing w:before="57" w:line="225" w:lineRule="auto"/>
              <w:ind w:left="246"/>
              <w:rPr>
                <w:rFonts w:ascii="宋体" w:hAnsi="宋体" w:eastAsia="宋体" w:cs="宋体"/>
                <w:sz w:val="17"/>
                <w:szCs w:val="17"/>
              </w:rPr>
            </w:pPr>
            <w:r>
              <w:rPr>
                <w:rFonts w:ascii="宋体" w:hAnsi="宋体" w:eastAsia="宋体" w:cs="宋体"/>
                <w:spacing w:val="5"/>
                <w:sz w:val="17"/>
                <w:szCs w:val="17"/>
              </w:rPr>
              <w:t>夜间</w:t>
            </w:r>
          </w:p>
        </w:tc>
        <w:tc>
          <w:tcPr>
            <w:tcW w:w="1520" w:type="dxa"/>
            <w:vAlign w:val="top"/>
          </w:tcPr>
          <w:p>
            <w:pPr>
              <w:spacing w:before="88" w:line="197" w:lineRule="auto"/>
              <w:ind w:left="302"/>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2:29~22:49</w:t>
            </w:r>
          </w:p>
        </w:tc>
        <w:tc>
          <w:tcPr>
            <w:tcW w:w="1024" w:type="dxa"/>
            <w:vAlign w:val="top"/>
          </w:tcPr>
          <w:p>
            <w:pPr>
              <w:spacing w:before="88" w:line="197" w:lineRule="auto"/>
              <w:ind w:left="42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47</w:t>
            </w:r>
          </w:p>
        </w:tc>
        <w:tc>
          <w:tcPr>
            <w:tcW w:w="1054" w:type="dxa"/>
            <w:vAlign w:val="top"/>
          </w:tcPr>
          <w:p>
            <w:pPr>
              <w:spacing w:before="88" w:line="197" w:lineRule="auto"/>
              <w:ind w:left="44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999" w:type="dxa"/>
            <w:vAlign w:val="top"/>
          </w:tcPr>
          <w:p>
            <w:pPr>
              <w:spacing w:before="57" w:line="225"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127" w:type="dxa"/>
            <w:vMerge w:val="continue"/>
            <w:tcBorders>
              <w:top w:val="nil"/>
              <w:bottom w:val="nil"/>
            </w:tcBorders>
            <w:vAlign w:val="top"/>
          </w:tcPr>
          <w:p>
            <w:pPr>
              <w:rPr>
                <w:rFonts w:ascii="Arial"/>
                <w:sz w:val="21"/>
              </w:rPr>
            </w:pPr>
          </w:p>
        </w:tc>
        <w:tc>
          <w:tcPr>
            <w:tcW w:w="1069" w:type="dxa"/>
            <w:vMerge w:val="restart"/>
            <w:tcBorders>
              <w:bottom w:val="nil"/>
            </w:tcBorders>
            <w:vAlign w:val="top"/>
          </w:tcPr>
          <w:p>
            <w:pPr>
              <w:spacing w:before="160" w:line="242" w:lineRule="exact"/>
              <w:ind w:left="298"/>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8"/>
                <w:position w:val="2"/>
                <w:sz w:val="17"/>
                <w:szCs w:val="17"/>
              </w:rPr>
              <w:t>3</w:t>
            </w:r>
            <w:r>
              <w:rPr>
                <w:rFonts w:ascii="Times New Roman" w:hAnsi="Times New Roman" w:eastAsia="Times New Roman" w:cs="Times New Roman"/>
                <w:spacing w:val="7"/>
                <w:position w:val="2"/>
                <w:sz w:val="17"/>
                <w:szCs w:val="17"/>
              </w:rPr>
              <w:t>-3#</w:t>
            </w:r>
          </w:p>
        </w:tc>
        <w:tc>
          <w:tcPr>
            <w:tcW w:w="840" w:type="dxa"/>
            <w:vAlign w:val="top"/>
          </w:tcPr>
          <w:p>
            <w:pPr>
              <w:spacing w:before="58" w:line="224" w:lineRule="auto"/>
              <w:ind w:left="243"/>
              <w:rPr>
                <w:rFonts w:ascii="宋体" w:hAnsi="宋体" w:eastAsia="宋体" w:cs="宋体"/>
                <w:sz w:val="17"/>
                <w:szCs w:val="17"/>
              </w:rPr>
            </w:pPr>
            <w:r>
              <w:rPr>
                <w:rFonts w:ascii="宋体" w:hAnsi="宋体" w:eastAsia="宋体" w:cs="宋体"/>
                <w:spacing w:val="7"/>
                <w:sz w:val="17"/>
                <w:szCs w:val="17"/>
              </w:rPr>
              <w:t>昼</w:t>
            </w:r>
            <w:r>
              <w:rPr>
                <w:rFonts w:ascii="宋体" w:hAnsi="宋体" w:eastAsia="宋体" w:cs="宋体"/>
                <w:spacing w:val="6"/>
                <w:sz w:val="17"/>
                <w:szCs w:val="17"/>
              </w:rPr>
              <w:t>间</w:t>
            </w:r>
          </w:p>
        </w:tc>
        <w:tc>
          <w:tcPr>
            <w:tcW w:w="1520" w:type="dxa"/>
            <w:vAlign w:val="top"/>
          </w:tcPr>
          <w:p>
            <w:pPr>
              <w:spacing w:before="87" w:line="197" w:lineRule="auto"/>
              <w:ind w:left="3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4:27~ 14:47</w:t>
            </w:r>
          </w:p>
        </w:tc>
        <w:tc>
          <w:tcPr>
            <w:tcW w:w="1024" w:type="dxa"/>
            <w:vAlign w:val="top"/>
          </w:tcPr>
          <w:p>
            <w:pPr>
              <w:spacing w:before="89" w:line="194" w:lineRule="auto"/>
              <w:ind w:left="42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55</w:t>
            </w:r>
          </w:p>
        </w:tc>
        <w:tc>
          <w:tcPr>
            <w:tcW w:w="1054" w:type="dxa"/>
            <w:vAlign w:val="top"/>
          </w:tcPr>
          <w:p>
            <w:pPr>
              <w:spacing w:before="87" w:line="197" w:lineRule="auto"/>
              <w:ind w:left="44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999" w:type="dxa"/>
            <w:vAlign w:val="top"/>
          </w:tcPr>
          <w:p>
            <w:pPr>
              <w:spacing w:before="58" w:line="224"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127" w:type="dxa"/>
            <w:vMerge w:val="continue"/>
            <w:tcBorders>
              <w:top w:val="nil"/>
              <w:bottom w:val="nil"/>
            </w:tcBorders>
            <w:vAlign w:val="top"/>
          </w:tcPr>
          <w:p>
            <w:pPr>
              <w:rPr>
                <w:rFonts w:ascii="Arial"/>
                <w:sz w:val="21"/>
              </w:rPr>
            </w:pPr>
          </w:p>
        </w:tc>
        <w:tc>
          <w:tcPr>
            <w:tcW w:w="1069" w:type="dxa"/>
            <w:vMerge w:val="continue"/>
            <w:tcBorders>
              <w:top w:val="nil"/>
            </w:tcBorders>
            <w:vAlign w:val="top"/>
          </w:tcPr>
          <w:p>
            <w:pPr>
              <w:rPr>
                <w:rFonts w:ascii="Arial"/>
                <w:sz w:val="21"/>
              </w:rPr>
            </w:pPr>
          </w:p>
        </w:tc>
        <w:tc>
          <w:tcPr>
            <w:tcW w:w="840" w:type="dxa"/>
            <w:vAlign w:val="top"/>
          </w:tcPr>
          <w:p>
            <w:pPr>
              <w:spacing w:before="57" w:line="225" w:lineRule="auto"/>
              <w:ind w:left="246"/>
              <w:rPr>
                <w:rFonts w:ascii="宋体" w:hAnsi="宋体" w:eastAsia="宋体" w:cs="宋体"/>
                <w:sz w:val="17"/>
                <w:szCs w:val="17"/>
              </w:rPr>
            </w:pPr>
            <w:r>
              <w:rPr>
                <w:rFonts w:ascii="宋体" w:hAnsi="宋体" w:eastAsia="宋体" w:cs="宋体"/>
                <w:spacing w:val="5"/>
                <w:sz w:val="17"/>
                <w:szCs w:val="17"/>
              </w:rPr>
              <w:t>夜间</w:t>
            </w:r>
          </w:p>
        </w:tc>
        <w:tc>
          <w:tcPr>
            <w:tcW w:w="1520" w:type="dxa"/>
            <w:vAlign w:val="top"/>
          </w:tcPr>
          <w:p>
            <w:pPr>
              <w:spacing w:before="88" w:line="197" w:lineRule="auto"/>
              <w:ind w:left="302"/>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2:27~22:47</w:t>
            </w:r>
          </w:p>
        </w:tc>
        <w:tc>
          <w:tcPr>
            <w:tcW w:w="1024" w:type="dxa"/>
            <w:vAlign w:val="top"/>
          </w:tcPr>
          <w:p>
            <w:pPr>
              <w:spacing w:before="88" w:line="197" w:lineRule="auto"/>
              <w:ind w:left="42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w:t>
            </w:r>
          </w:p>
        </w:tc>
        <w:tc>
          <w:tcPr>
            <w:tcW w:w="1054" w:type="dxa"/>
            <w:vAlign w:val="top"/>
          </w:tcPr>
          <w:p>
            <w:pPr>
              <w:spacing w:before="88" w:line="197" w:lineRule="auto"/>
              <w:ind w:left="44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999" w:type="dxa"/>
            <w:vAlign w:val="top"/>
          </w:tcPr>
          <w:p>
            <w:pPr>
              <w:spacing w:before="57" w:line="225"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127" w:type="dxa"/>
            <w:vMerge w:val="continue"/>
            <w:tcBorders>
              <w:top w:val="nil"/>
              <w:bottom w:val="nil"/>
            </w:tcBorders>
            <w:vAlign w:val="top"/>
          </w:tcPr>
          <w:p>
            <w:pPr>
              <w:rPr>
                <w:rFonts w:ascii="Arial"/>
                <w:sz w:val="21"/>
              </w:rPr>
            </w:pPr>
          </w:p>
        </w:tc>
        <w:tc>
          <w:tcPr>
            <w:tcW w:w="1069" w:type="dxa"/>
            <w:vMerge w:val="restart"/>
            <w:tcBorders>
              <w:bottom w:val="nil"/>
            </w:tcBorders>
            <w:vAlign w:val="top"/>
          </w:tcPr>
          <w:p>
            <w:pPr>
              <w:spacing w:before="160" w:line="242" w:lineRule="exact"/>
              <w:ind w:left="298"/>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8"/>
                <w:position w:val="2"/>
                <w:sz w:val="17"/>
                <w:szCs w:val="17"/>
              </w:rPr>
              <w:t>3</w:t>
            </w:r>
            <w:r>
              <w:rPr>
                <w:rFonts w:ascii="Times New Roman" w:hAnsi="Times New Roman" w:eastAsia="Times New Roman" w:cs="Times New Roman"/>
                <w:spacing w:val="7"/>
                <w:position w:val="2"/>
                <w:sz w:val="17"/>
                <w:szCs w:val="17"/>
              </w:rPr>
              <w:t>-4#</w:t>
            </w:r>
          </w:p>
        </w:tc>
        <w:tc>
          <w:tcPr>
            <w:tcW w:w="840" w:type="dxa"/>
            <w:vAlign w:val="top"/>
          </w:tcPr>
          <w:p>
            <w:pPr>
              <w:spacing w:before="58" w:line="224" w:lineRule="auto"/>
              <w:ind w:left="243"/>
              <w:rPr>
                <w:rFonts w:ascii="宋体" w:hAnsi="宋体" w:eastAsia="宋体" w:cs="宋体"/>
                <w:sz w:val="17"/>
                <w:szCs w:val="17"/>
              </w:rPr>
            </w:pPr>
            <w:r>
              <w:rPr>
                <w:rFonts w:ascii="宋体" w:hAnsi="宋体" w:eastAsia="宋体" w:cs="宋体"/>
                <w:spacing w:val="7"/>
                <w:sz w:val="17"/>
                <w:szCs w:val="17"/>
              </w:rPr>
              <w:t>昼</w:t>
            </w:r>
            <w:r>
              <w:rPr>
                <w:rFonts w:ascii="宋体" w:hAnsi="宋体" w:eastAsia="宋体" w:cs="宋体"/>
                <w:spacing w:val="6"/>
                <w:sz w:val="17"/>
                <w:szCs w:val="17"/>
              </w:rPr>
              <w:t>间</w:t>
            </w:r>
          </w:p>
        </w:tc>
        <w:tc>
          <w:tcPr>
            <w:tcW w:w="1520" w:type="dxa"/>
            <w:vAlign w:val="top"/>
          </w:tcPr>
          <w:p>
            <w:pPr>
              <w:spacing w:before="87" w:line="197" w:lineRule="auto"/>
              <w:ind w:left="3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4:27~ 14:47</w:t>
            </w:r>
          </w:p>
        </w:tc>
        <w:tc>
          <w:tcPr>
            <w:tcW w:w="1024" w:type="dxa"/>
            <w:vAlign w:val="top"/>
          </w:tcPr>
          <w:p>
            <w:pPr>
              <w:spacing w:before="87" w:line="197" w:lineRule="auto"/>
              <w:ind w:left="42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53</w:t>
            </w:r>
          </w:p>
        </w:tc>
        <w:tc>
          <w:tcPr>
            <w:tcW w:w="1054" w:type="dxa"/>
            <w:vAlign w:val="top"/>
          </w:tcPr>
          <w:p>
            <w:pPr>
              <w:spacing w:before="87" w:line="197" w:lineRule="auto"/>
              <w:ind w:left="44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999" w:type="dxa"/>
            <w:vAlign w:val="top"/>
          </w:tcPr>
          <w:p>
            <w:pPr>
              <w:spacing w:before="58" w:line="224"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127" w:type="dxa"/>
            <w:vMerge w:val="continue"/>
            <w:tcBorders>
              <w:top w:val="nil"/>
              <w:bottom w:val="nil"/>
            </w:tcBorders>
            <w:vAlign w:val="top"/>
          </w:tcPr>
          <w:p>
            <w:pPr>
              <w:rPr>
                <w:rFonts w:ascii="Arial"/>
                <w:sz w:val="21"/>
              </w:rPr>
            </w:pPr>
          </w:p>
        </w:tc>
        <w:tc>
          <w:tcPr>
            <w:tcW w:w="1069" w:type="dxa"/>
            <w:vMerge w:val="continue"/>
            <w:tcBorders>
              <w:top w:val="nil"/>
            </w:tcBorders>
            <w:vAlign w:val="top"/>
          </w:tcPr>
          <w:p>
            <w:pPr>
              <w:rPr>
                <w:rFonts w:ascii="Arial"/>
                <w:sz w:val="21"/>
              </w:rPr>
            </w:pPr>
          </w:p>
        </w:tc>
        <w:tc>
          <w:tcPr>
            <w:tcW w:w="840" w:type="dxa"/>
            <w:vAlign w:val="top"/>
          </w:tcPr>
          <w:p>
            <w:pPr>
              <w:spacing w:before="57" w:line="225" w:lineRule="auto"/>
              <w:ind w:left="246"/>
              <w:rPr>
                <w:rFonts w:ascii="宋体" w:hAnsi="宋体" w:eastAsia="宋体" w:cs="宋体"/>
                <w:sz w:val="17"/>
                <w:szCs w:val="17"/>
              </w:rPr>
            </w:pPr>
            <w:r>
              <w:rPr>
                <w:rFonts w:ascii="宋体" w:hAnsi="宋体" w:eastAsia="宋体" w:cs="宋体"/>
                <w:spacing w:val="5"/>
                <w:sz w:val="17"/>
                <w:szCs w:val="17"/>
              </w:rPr>
              <w:t>夜间</w:t>
            </w:r>
          </w:p>
        </w:tc>
        <w:tc>
          <w:tcPr>
            <w:tcW w:w="1520" w:type="dxa"/>
            <w:vAlign w:val="top"/>
          </w:tcPr>
          <w:p>
            <w:pPr>
              <w:spacing w:before="88" w:line="197" w:lineRule="auto"/>
              <w:ind w:left="302"/>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2:27~22:47</w:t>
            </w:r>
          </w:p>
        </w:tc>
        <w:tc>
          <w:tcPr>
            <w:tcW w:w="1024" w:type="dxa"/>
            <w:vAlign w:val="top"/>
          </w:tcPr>
          <w:p>
            <w:pPr>
              <w:spacing w:before="88" w:line="197" w:lineRule="auto"/>
              <w:ind w:left="42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48</w:t>
            </w:r>
          </w:p>
        </w:tc>
        <w:tc>
          <w:tcPr>
            <w:tcW w:w="1054" w:type="dxa"/>
            <w:vAlign w:val="top"/>
          </w:tcPr>
          <w:p>
            <w:pPr>
              <w:spacing w:before="88" w:line="197" w:lineRule="auto"/>
              <w:ind w:left="44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999" w:type="dxa"/>
            <w:vAlign w:val="top"/>
          </w:tcPr>
          <w:p>
            <w:pPr>
              <w:spacing w:before="57" w:line="225"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127" w:type="dxa"/>
            <w:vMerge w:val="continue"/>
            <w:tcBorders>
              <w:top w:val="nil"/>
              <w:bottom w:val="nil"/>
            </w:tcBorders>
            <w:vAlign w:val="top"/>
          </w:tcPr>
          <w:p>
            <w:pPr>
              <w:rPr>
                <w:rFonts w:ascii="Arial"/>
                <w:sz w:val="21"/>
              </w:rPr>
            </w:pPr>
          </w:p>
        </w:tc>
        <w:tc>
          <w:tcPr>
            <w:tcW w:w="1069" w:type="dxa"/>
            <w:vMerge w:val="restart"/>
            <w:tcBorders>
              <w:bottom w:val="nil"/>
            </w:tcBorders>
            <w:vAlign w:val="top"/>
          </w:tcPr>
          <w:p>
            <w:pPr>
              <w:spacing w:before="160" w:line="242" w:lineRule="exact"/>
              <w:ind w:left="298"/>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8"/>
                <w:position w:val="2"/>
                <w:sz w:val="17"/>
                <w:szCs w:val="17"/>
              </w:rPr>
              <w:t>3</w:t>
            </w:r>
            <w:r>
              <w:rPr>
                <w:rFonts w:ascii="Times New Roman" w:hAnsi="Times New Roman" w:eastAsia="Times New Roman" w:cs="Times New Roman"/>
                <w:spacing w:val="7"/>
                <w:position w:val="2"/>
                <w:sz w:val="17"/>
                <w:szCs w:val="17"/>
              </w:rPr>
              <w:t>-5#</w:t>
            </w:r>
          </w:p>
        </w:tc>
        <w:tc>
          <w:tcPr>
            <w:tcW w:w="840" w:type="dxa"/>
            <w:vAlign w:val="top"/>
          </w:tcPr>
          <w:p>
            <w:pPr>
              <w:spacing w:before="58" w:line="223" w:lineRule="auto"/>
              <w:ind w:left="243"/>
              <w:rPr>
                <w:rFonts w:ascii="宋体" w:hAnsi="宋体" w:eastAsia="宋体" w:cs="宋体"/>
                <w:sz w:val="17"/>
                <w:szCs w:val="17"/>
              </w:rPr>
            </w:pPr>
            <w:r>
              <w:rPr>
                <w:rFonts w:ascii="宋体" w:hAnsi="宋体" w:eastAsia="宋体" w:cs="宋体"/>
                <w:spacing w:val="7"/>
                <w:sz w:val="17"/>
                <w:szCs w:val="17"/>
              </w:rPr>
              <w:t>昼</w:t>
            </w:r>
            <w:r>
              <w:rPr>
                <w:rFonts w:ascii="宋体" w:hAnsi="宋体" w:eastAsia="宋体" w:cs="宋体"/>
                <w:spacing w:val="6"/>
                <w:sz w:val="17"/>
                <w:szCs w:val="17"/>
              </w:rPr>
              <w:t>间</w:t>
            </w:r>
          </w:p>
        </w:tc>
        <w:tc>
          <w:tcPr>
            <w:tcW w:w="1520" w:type="dxa"/>
            <w:vAlign w:val="top"/>
          </w:tcPr>
          <w:p>
            <w:pPr>
              <w:spacing w:before="87" w:line="197" w:lineRule="auto"/>
              <w:ind w:left="3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4:50~ 15:10</w:t>
            </w:r>
          </w:p>
        </w:tc>
        <w:tc>
          <w:tcPr>
            <w:tcW w:w="1024" w:type="dxa"/>
            <w:vAlign w:val="top"/>
          </w:tcPr>
          <w:p>
            <w:pPr>
              <w:spacing w:before="87" w:line="197" w:lineRule="auto"/>
              <w:ind w:left="42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1054" w:type="dxa"/>
            <w:vAlign w:val="top"/>
          </w:tcPr>
          <w:p>
            <w:pPr>
              <w:spacing w:before="87" w:line="197" w:lineRule="auto"/>
              <w:ind w:left="44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999" w:type="dxa"/>
            <w:vAlign w:val="top"/>
          </w:tcPr>
          <w:p>
            <w:pPr>
              <w:spacing w:before="58" w:line="223"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127" w:type="dxa"/>
            <w:vMerge w:val="continue"/>
            <w:tcBorders>
              <w:top w:val="nil"/>
              <w:bottom w:val="nil"/>
            </w:tcBorders>
            <w:vAlign w:val="top"/>
          </w:tcPr>
          <w:p>
            <w:pPr>
              <w:rPr>
                <w:rFonts w:ascii="Arial"/>
                <w:sz w:val="21"/>
              </w:rPr>
            </w:pPr>
          </w:p>
        </w:tc>
        <w:tc>
          <w:tcPr>
            <w:tcW w:w="1069" w:type="dxa"/>
            <w:vMerge w:val="continue"/>
            <w:tcBorders>
              <w:top w:val="nil"/>
            </w:tcBorders>
            <w:vAlign w:val="top"/>
          </w:tcPr>
          <w:p>
            <w:pPr>
              <w:rPr>
                <w:rFonts w:ascii="Arial"/>
                <w:sz w:val="21"/>
              </w:rPr>
            </w:pPr>
          </w:p>
        </w:tc>
        <w:tc>
          <w:tcPr>
            <w:tcW w:w="840" w:type="dxa"/>
            <w:vAlign w:val="top"/>
          </w:tcPr>
          <w:p>
            <w:pPr>
              <w:spacing w:before="58" w:line="224" w:lineRule="auto"/>
              <w:ind w:left="246"/>
              <w:rPr>
                <w:rFonts w:ascii="宋体" w:hAnsi="宋体" w:eastAsia="宋体" w:cs="宋体"/>
                <w:sz w:val="17"/>
                <w:szCs w:val="17"/>
              </w:rPr>
            </w:pPr>
            <w:r>
              <w:rPr>
                <w:rFonts w:ascii="宋体" w:hAnsi="宋体" w:eastAsia="宋体" w:cs="宋体"/>
                <w:spacing w:val="5"/>
                <w:sz w:val="17"/>
                <w:szCs w:val="17"/>
              </w:rPr>
              <w:t>夜间</w:t>
            </w:r>
          </w:p>
        </w:tc>
        <w:tc>
          <w:tcPr>
            <w:tcW w:w="1520" w:type="dxa"/>
            <w:vAlign w:val="top"/>
          </w:tcPr>
          <w:p>
            <w:pPr>
              <w:spacing w:before="89" w:line="197" w:lineRule="auto"/>
              <w:ind w:left="30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22:51~23:1</w:t>
            </w:r>
            <w:r>
              <w:rPr>
                <w:rFonts w:ascii="Times New Roman" w:hAnsi="Times New Roman" w:eastAsia="Times New Roman" w:cs="Times New Roman"/>
                <w:spacing w:val="3"/>
                <w:sz w:val="17"/>
                <w:szCs w:val="17"/>
              </w:rPr>
              <w:t>1</w:t>
            </w:r>
          </w:p>
        </w:tc>
        <w:tc>
          <w:tcPr>
            <w:tcW w:w="1024" w:type="dxa"/>
            <w:vAlign w:val="top"/>
          </w:tcPr>
          <w:p>
            <w:pPr>
              <w:spacing w:before="89" w:line="197" w:lineRule="auto"/>
              <w:ind w:left="42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w:t>
            </w:r>
          </w:p>
        </w:tc>
        <w:tc>
          <w:tcPr>
            <w:tcW w:w="1054" w:type="dxa"/>
            <w:vAlign w:val="top"/>
          </w:tcPr>
          <w:p>
            <w:pPr>
              <w:spacing w:before="89" w:line="197" w:lineRule="auto"/>
              <w:ind w:left="44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999" w:type="dxa"/>
            <w:vAlign w:val="top"/>
          </w:tcPr>
          <w:p>
            <w:pPr>
              <w:spacing w:before="58" w:line="224"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127" w:type="dxa"/>
            <w:vMerge w:val="continue"/>
            <w:tcBorders>
              <w:top w:val="nil"/>
              <w:bottom w:val="nil"/>
            </w:tcBorders>
            <w:vAlign w:val="top"/>
          </w:tcPr>
          <w:p>
            <w:pPr>
              <w:rPr>
                <w:rFonts w:ascii="Arial"/>
                <w:sz w:val="21"/>
              </w:rPr>
            </w:pPr>
          </w:p>
        </w:tc>
        <w:tc>
          <w:tcPr>
            <w:tcW w:w="1069" w:type="dxa"/>
            <w:vMerge w:val="restart"/>
            <w:tcBorders>
              <w:bottom w:val="nil"/>
            </w:tcBorders>
            <w:vAlign w:val="top"/>
          </w:tcPr>
          <w:p>
            <w:pPr>
              <w:spacing w:before="161" w:line="242" w:lineRule="exact"/>
              <w:ind w:left="298"/>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8"/>
                <w:position w:val="2"/>
                <w:sz w:val="17"/>
                <w:szCs w:val="17"/>
              </w:rPr>
              <w:t>3</w:t>
            </w:r>
            <w:r>
              <w:rPr>
                <w:rFonts w:ascii="Times New Roman" w:hAnsi="Times New Roman" w:eastAsia="Times New Roman" w:cs="Times New Roman"/>
                <w:spacing w:val="7"/>
                <w:position w:val="2"/>
                <w:sz w:val="17"/>
                <w:szCs w:val="17"/>
              </w:rPr>
              <w:t>-6#</w:t>
            </w:r>
          </w:p>
        </w:tc>
        <w:tc>
          <w:tcPr>
            <w:tcW w:w="840" w:type="dxa"/>
            <w:vAlign w:val="top"/>
          </w:tcPr>
          <w:p>
            <w:pPr>
              <w:spacing w:before="59" w:line="223" w:lineRule="auto"/>
              <w:ind w:left="243"/>
              <w:rPr>
                <w:rFonts w:ascii="宋体" w:hAnsi="宋体" w:eastAsia="宋体" w:cs="宋体"/>
                <w:sz w:val="17"/>
                <w:szCs w:val="17"/>
              </w:rPr>
            </w:pPr>
            <w:r>
              <w:rPr>
                <w:rFonts w:ascii="宋体" w:hAnsi="宋体" w:eastAsia="宋体" w:cs="宋体"/>
                <w:spacing w:val="7"/>
                <w:sz w:val="17"/>
                <w:szCs w:val="17"/>
              </w:rPr>
              <w:t>昼</w:t>
            </w:r>
            <w:r>
              <w:rPr>
                <w:rFonts w:ascii="宋体" w:hAnsi="宋体" w:eastAsia="宋体" w:cs="宋体"/>
                <w:spacing w:val="6"/>
                <w:sz w:val="17"/>
                <w:szCs w:val="17"/>
              </w:rPr>
              <w:t>间</w:t>
            </w:r>
          </w:p>
        </w:tc>
        <w:tc>
          <w:tcPr>
            <w:tcW w:w="1520" w:type="dxa"/>
            <w:vAlign w:val="top"/>
          </w:tcPr>
          <w:p>
            <w:pPr>
              <w:spacing w:before="88" w:line="197" w:lineRule="auto"/>
              <w:ind w:left="3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4:52~ 15:12</w:t>
            </w:r>
          </w:p>
        </w:tc>
        <w:tc>
          <w:tcPr>
            <w:tcW w:w="1024" w:type="dxa"/>
            <w:vAlign w:val="top"/>
          </w:tcPr>
          <w:p>
            <w:pPr>
              <w:spacing w:before="88" w:line="197" w:lineRule="auto"/>
              <w:ind w:left="42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1054" w:type="dxa"/>
            <w:vAlign w:val="top"/>
          </w:tcPr>
          <w:p>
            <w:pPr>
              <w:spacing w:before="88" w:line="197" w:lineRule="auto"/>
              <w:ind w:left="44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999" w:type="dxa"/>
            <w:vAlign w:val="top"/>
          </w:tcPr>
          <w:p>
            <w:pPr>
              <w:spacing w:before="59" w:line="223"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127" w:type="dxa"/>
            <w:vMerge w:val="continue"/>
            <w:tcBorders>
              <w:top w:val="nil"/>
              <w:bottom w:val="nil"/>
            </w:tcBorders>
            <w:vAlign w:val="top"/>
          </w:tcPr>
          <w:p>
            <w:pPr>
              <w:rPr>
                <w:rFonts w:ascii="Arial"/>
                <w:sz w:val="21"/>
              </w:rPr>
            </w:pPr>
          </w:p>
        </w:tc>
        <w:tc>
          <w:tcPr>
            <w:tcW w:w="1069" w:type="dxa"/>
            <w:vMerge w:val="continue"/>
            <w:tcBorders>
              <w:top w:val="nil"/>
            </w:tcBorders>
            <w:vAlign w:val="top"/>
          </w:tcPr>
          <w:p>
            <w:pPr>
              <w:rPr>
                <w:rFonts w:ascii="Arial"/>
                <w:sz w:val="21"/>
              </w:rPr>
            </w:pPr>
          </w:p>
        </w:tc>
        <w:tc>
          <w:tcPr>
            <w:tcW w:w="840" w:type="dxa"/>
            <w:vAlign w:val="top"/>
          </w:tcPr>
          <w:p>
            <w:pPr>
              <w:spacing w:before="58" w:line="224" w:lineRule="auto"/>
              <w:ind w:left="246"/>
              <w:rPr>
                <w:rFonts w:ascii="宋体" w:hAnsi="宋体" w:eastAsia="宋体" w:cs="宋体"/>
                <w:sz w:val="17"/>
                <w:szCs w:val="17"/>
              </w:rPr>
            </w:pPr>
            <w:r>
              <w:rPr>
                <w:rFonts w:ascii="宋体" w:hAnsi="宋体" w:eastAsia="宋体" w:cs="宋体"/>
                <w:spacing w:val="5"/>
                <w:sz w:val="17"/>
                <w:szCs w:val="17"/>
              </w:rPr>
              <w:t>夜间</w:t>
            </w:r>
          </w:p>
        </w:tc>
        <w:tc>
          <w:tcPr>
            <w:tcW w:w="1520" w:type="dxa"/>
            <w:vAlign w:val="top"/>
          </w:tcPr>
          <w:p>
            <w:pPr>
              <w:spacing w:before="89" w:line="197" w:lineRule="auto"/>
              <w:ind w:left="302"/>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2:53~23:13</w:t>
            </w:r>
          </w:p>
        </w:tc>
        <w:tc>
          <w:tcPr>
            <w:tcW w:w="1024" w:type="dxa"/>
            <w:vAlign w:val="top"/>
          </w:tcPr>
          <w:p>
            <w:pPr>
              <w:spacing w:before="89" w:line="197" w:lineRule="auto"/>
              <w:ind w:left="42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w:t>
            </w:r>
          </w:p>
        </w:tc>
        <w:tc>
          <w:tcPr>
            <w:tcW w:w="1054" w:type="dxa"/>
            <w:vAlign w:val="top"/>
          </w:tcPr>
          <w:p>
            <w:pPr>
              <w:spacing w:before="89" w:line="197" w:lineRule="auto"/>
              <w:ind w:left="44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999" w:type="dxa"/>
            <w:vAlign w:val="top"/>
          </w:tcPr>
          <w:p>
            <w:pPr>
              <w:spacing w:before="58" w:line="224"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127" w:type="dxa"/>
            <w:vMerge w:val="continue"/>
            <w:tcBorders>
              <w:top w:val="nil"/>
              <w:bottom w:val="nil"/>
            </w:tcBorders>
            <w:vAlign w:val="top"/>
          </w:tcPr>
          <w:p>
            <w:pPr>
              <w:rPr>
                <w:rFonts w:ascii="Arial"/>
                <w:sz w:val="21"/>
              </w:rPr>
            </w:pPr>
          </w:p>
        </w:tc>
        <w:tc>
          <w:tcPr>
            <w:tcW w:w="1069" w:type="dxa"/>
            <w:vMerge w:val="restart"/>
            <w:tcBorders>
              <w:bottom w:val="nil"/>
            </w:tcBorders>
            <w:vAlign w:val="top"/>
          </w:tcPr>
          <w:p>
            <w:pPr>
              <w:spacing w:before="161" w:line="242" w:lineRule="exact"/>
              <w:ind w:left="298"/>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8"/>
                <w:position w:val="2"/>
                <w:sz w:val="17"/>
                <w:szCs w:val="17"/>
              </w:rPr>
              <w:t>3</w:t>
            </w:r>
            <w:r>
              <w:rPr>
                <w:rFonts w:ascii="Times New Roman" w:hAnsi="Times New Roman" w:eastAsia="Times New Roman" w:cs="Times New Roman"/>
                <w:spacing w:val="7"/>
                <w:position w:val="2"/>
                <w:sz w:val="17"/>
                <w:szCs w:val="17"/>
              </w:rPr>
              <w:t>-7#</w:t>
            </w:r>
          </w:p>
        </w:tc>
        <w:tc>
          <w:tcPr>
            <w:tcW w:w="840" w:type="dxa"/>
            <w:vAlign w:val="top"/>
          </w:tcPr>
          <w:p>
            <w:pPr>
              <w:spacing w:before="59" w:line="223" w:lineRule="auto"/>
              <w:ind w:left="243"/>
              <w:rPr>
                <w:rFonts w:ascii="宋体" w:hAnsi="宋体" w:eastAsia="宋体" w:cs="宋体"/>
                <w:sz w:val="17"/>
                <w:szCs w:val="17"/>
              </w:rPr>
            </w:pPr>
            <w:r>
              <w:rPr>
                <w:rFonts w:ascii="宋体" w:hAnsi="宋体" w:eastAsia="宋体" w:cs="宋体"/>
                <w:spacing w:val="7"/>
                <w:sz w:val="17"/>
                <w:szCs w:val="17"/>
              </w:rPr>
              <w:t>昼</w:t>
            </w:r>
            <w:r>
              <w:rPr>
                <w:rFonts w:ascii="宋体" w:hAnsi="宋体" w:eastAsia="宋体" w:cs="宋体"/>
                <w:spacing w:val="6"/>
                <w:sz w:val="17"/>
                <w:szCs w:val="17"/>
              </w:rPr>
              <w:t>间</w:t>
            </w:r>
          </w:p>
        </w:tc>
        <w:tc>
          <w:tcPr>
            <w:tcW w:w="1520" w:type="dxa"/>
            <w:vAlign w:val="top"/>
          </w:tcPr>
          <w:p>
            <w:pPr>
              <w:spacing w:before="88" w:line="197" w:lineRule="auto"/>
              <w:ind w:left="3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4:49~ 15:09</w:t>
            </w:r>
          </w:p>
        </w:tc>
        <w:tc>
          <w:tcPr>
            <w:tcW w:w="1024" w:type="dxa"/>
            <w:vAlign w:val="top"/>
          </w:tcPr>
          <w:p>
            <w:pPr>
              <w:spacing w:before="90" w:line="194" w:lineRule="auto"/>
              <w:ind w:left="42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55</w:t>
            </w:r>
          </w:p>
        </w:tc>
        <w:tc>
          <w:tcPr>
            <w:tcW w:w="1054" w:type="dxa"/>
            <w:vAlign w:val="top"/>
          </w:tcPr>
          <w:p>
            <w:pPr>
              <w:spacing w:before="88" w:line="197" w:lineRule="auto"/>
              <w:ind w:left="44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999" w:type="dxa"/>
            <w:vAlign w:val="top"/>
          </w:tcPr>
          <w:p>
            <w:pPr>
              <w:spacing w:before="59" w:line="223"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127" w:type="dxa"/>
            <w:vMerge w:val="continue"/>
            <w:tcBorders>
              <w:top w:val="nil"/>
              <w:bottom w:val="nil"/>
            </w:tcBorders>
            <w:vAlign w:val="top"/>
          </w:tcPr>
          <w:p>
            <w:pPr>
              <w:rPr>
                <w:rFonts w:ascii="Arial"/>
                <w:sz w:val="21"/>
              </w:rPr>
            </w:pPr>
          </w:p>
        </w:tc>
        <w:tc>
          <w:tcPr>
            <w:tcW w:w="1069" w:type="dxa"/>
            <w:vMerge w:val="continue"/>
            <w:tcBorders>
              <w:top w:val="nil"/>
            </w:tcBorders>
            <w:vAlign w:val="top"/>
          </w:tcPr>
          <w:p>
            <w:pPr>
              <w:rPr>
                <w:rFonts w:ascii="Arial"/>
                <w:sz w:val="21"/>
              </w:rPr>
            </w:pPr>
          </w:p>
        </w:tc>
        <w:tc>
          <w:tcPr>
            <w:tcW w:w="840" w:type="dxa"/>
            <w:vAlign w:val="top"/>
          </w:tcPr>
          <w:p>
            <w:pPr>
              <w:spacing w:before="58" w:line="224" w:lineRule="auto"/>
              <w:ind w:left="246"/>
              <w:rPr>
                <w:rFonts w:ascii="宋体" w:hAnsi="宋体" w:eastAsia="宋体" w:cs="宋体"/>
                <w:sz w:val="17"/>
                <w:szCs w:val="17"/>
              </w:rPr>
            </w:pPr>
            <w:r>
              <w:rPr>
                <w:rFonts w:ascii="宋体" w:hAnsi="宋体" w:eastAsia="宋体" w:cs="宋体"/>
                <w:spacing w:val="5"/>
                <w:sz w:val="17"/>
                <w:szCs w:val="17"/>
              </w:rPr>
              <w:t>夜间</w:t>
            </w:r>
          </w:p>
        </w:tc>
        <w:tc>
          <w:tcPr>
            <w:tcW w:w="1520" w:type="dxa"/>
            <w:vAlign w:val="top"/>
          </w:tcPr>
          <w:p>
            <w:pPr>
              <w:spacing w:before="89" w:line="197" w:lineRule="auto"/>
              <w:ind w:left="302"/>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2:50~23:10</w:t>
            </w:r>
          </w:p>
        </w:tc>
        <w:tc>
          <w:tcPr>
            <w:tcW w:w="1024" w:type="dxa"/>
            <w:vAlign w:val="top"/>
          </w:tcPr>
          <w:p>
            <w:pPr>
              <w:spacing w:before="89" w:line="197" w:lineRule="auto"/>
              <w:ind w:left="42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w:t>
            </w:r>
          </w:p>
        </w:tc>
        <w:tc>
          <w:tcPr>
            <w:tcW w:w="1054" w:type="dxa"/>
            <w:vAlign w:val="top"/>
          </w:tcPr>
          <w:p>
            <w:pPr>
              <w:spacing w:before="89" w:line="197" w:lineRule="auto"/>
              <w:ind w:left="44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999" w:type="dxa"/>
            <w:vAlign w:val="top"/>
          </w:tcPr>
          <w:p>
            <w:pPr>
              <w:spacing w:before="58" w:line="224"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127" w:type="dxa"/>
            <w:vMerge w:val="continue"/>
            <w:tcBorders>
              <w:top w:val="nil"/>
              <w:bottom w:val="nil"/>
            </w:tcBorders>
            <w:vAlign w:val="top"/>
          </w:tcPr>
          <w:p>
            <w:pPr>
              <w:rPr>
                <w:rFonts w:ascii="Arial"/>
                <w:sz w:val="21"/>
              </w:rPr>
            </w:pPr>
          </w:p>
        </w:tc>
        <w:tc>
          <w:tcPr>
            <w:tcW w:w="1069" w:type="dxa"/>
            <w:vMerge w:val="restart"/>
            <w:tcBorders>
              <w:bottom w:val="nil"/>
            </w:tcBorders>
            <w:vAlign w:val="top"/>
          </w:tcPr>
          <w:p>
            <w:pPr>
              <w:spacing w:before="161" w:line="242" w:lineRule="exact"/>
              <w:ind w:left="298"/>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N</w:t>
            </w:r>
            <w:r>
              <w:rPr>
                <w:rFonts w:ascii="Times New Roman" w:hAnsi="Times New Roman" w:eastAsia="Times New Roman" w:cs="Times New Roman"/>
                <w:spacing w:val="8"/>
                <w:position w:val="2"/>
                <w:sz w:val="17"/>
                <w:szCs w:val="17"/>
              </w:rPr>
              <w:t>3</w:t>
            </w:r>
            <w:r>
              <w:rPr>
                <w:rFonts w:ascii="Times New Roman" w:hAnsi="Times New Roman" w:eastAsia="Times New Roman" w:cs="Times New Roman"/>
                <w:spacing w:val="7"/>
                <w:position w:val="2"/>
                <w:sz w:val="17"/>
                <w:szCs w:val="17"/>
              </w:rPr>
              <w:t>-8#</w:t>
            </w:r>
          </w:p>
        </w:tc>
        <w:tc>
          <w:tcPr>
            <w:tcW w:w="840" w:type="dxa"/>
            <w:vAlign w:val="top"/>
          </w:tcPr>
          <w:p>
            <w:pPr>
              <w:spacing w:before="59" w:line="223" w:lineRule="auto"/>
              <w:ind w:left="243"/>
              <w:rPr>
                <w:rFonts w:ascii="宋体" w:hAnsi="宋体" w:eastAsia="宋体" w:cs="宋体"/>
                <w:sz w:val="17"/>
                <w:szCs w:val="17"/>
              </w:rPr>
            </w:pPr>
            <w:r>
              <w:rPr>
                <w:rFonts w:ascii="宋体" w:hAnsi="宋体" w:eastAsia="宋体" w:cs="宋体"/>
                <w:spacing w:val="7"/>
                <w:sz w:val="17"/>
                <w:szCs w:val="17"/>
              </w:rPr>
              <w:t>昼</w:t>
            </w:r>
            <w:r>
              <w:rPr>
                <w:rFonts w:ascii="宋体" w:hAnsi="宋体" w:eastAsia="宋体" w:cs="宋体"/>
                <w:spacing w:val="6"/>
                <w:sz w:val="17"/>
                <w:szCs w:val="17"/>
              </w:rPr>
              <w:t>间</w:t>
            </w:r>
          </w:p>
        </w:tc>
        <w:tc>
          <w:tcPr>
            <w:tcW w:w="1520" w:type="dxa"/>
            <w:vAlign w:val="top"/>
          </w:tcPr>
          <w:p>
            <w:pPr>
              <w:spacing w:before="88" w:line="197" w:lineRule="auto"/>
              <w:ind w:left="3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4:49~ 15:09</w:t>
            </w:r>
          </w:p>
        </w:tc>
        <w:tc>
          <w:tcPr>
            <w:tcW w:w="1024" w:type="dxa"/>
            <w:vAlign w:val="top"/>
          </w:tcPr>
          <w:p>
            <w:pPr>
              <w:spacing w:before="88" w:line="197" w:lineRule="auto"/>
              <w:ind w:left="42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56</w:t>
            </w:r>
          </w:p>
        </w:tc>
        <w:tc>
          <w:tcPr>
            <w:tcW w:w="1054" w:type="dxa"/>
            <w:vAlign w:val="top"/>
          </w:tcPr>
          <w:p>
            <w:pPr>
              <w:spacing w:before="88" w:line="197" w:lineRule="auto"/>
              <w:ind w:left="44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999" w:type="dxa"/>
            <w:vAlign w:val="top"/>
          </w:tcPr>
          <w:p>
            <w:pPr>
              <w:spacing w:before="59" w:line="223"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127" w:type="dxa"/>
            <w:vMerge w:val="continue"/>
            <w:tcBorders>
              <w:top w:val="nil"/>
            </w:tcBorders>
            <w:vAlign w:val="top"/>
          </w:tcPr>
          <w:p>
            <w:pPr>
              <w:rPr>
                <w:rFonts w:ascii="Arial"/>
                <w:sz w:val="21"/>
              </w:rPr>
            </w:pPr>
          </w:p>
        </w:tc>
        <w:tc>
          <w:tcPr>
            <w:tcW w:w="1069" w:type="dxa"/>
            <w:vMerge w:val="continue"/>
            <w:tcBorders>
              <w:top w:val="nil"/>
            </w:tcBorders>
            <w:vAlign w:val="top"/>
          </w:tcPr>
          <w:p>
            <w:pPr>
              <w:rPr>
                <w:rFonts w:ascii="Arial"/>
                <w:sz w:val="21"/>
              </w:rPr>
            </w:pPr>
          </w:p>
        </w:tc>
        <w:tc>
          <w:tcPr>
            <w:tcW w:w="840" w:type="dxa"/>
            <w:vAlign w:val="top"/>
          </w:tcPr>
          <w:p>
            <w:pPr>
              <w:spacing w:before="58" w:line="224" w:lineRule="auto"/>
              <w:ind w:left="246"/>
              <w:rPr>
                <w:rFonts w:ascii="宋体" w:hAnsi="宋体" w:eastAsia="宋体" w:cs="宋体"/>
                <w:sz w:val="17"/>
                <w:szCs w:val="17"/>
              </w:rPr>
            </w:pPr>
            <w:r>
              <w:rPr>
                <w:rFonts w:ascii="宋体" w:hAnsi="宋体" w:eastAsia="宋体" w:cs="宋体"/>
                <w:spacing w:val="5"/>
                <w:sz w:val="17"/>
                <w:szCs w:val="17"/>
              </w:rPr>
              <w:t>夜间</w:t>
            </w:r>
          </w:p>
        </w:tc>
        <w:tc>
          <w:tcPr>
            <w:tcW w:w="1520" w:type="dxa"/>
            <w:vAlign w:val="top"/>
          </w:tcPr>
          <w:p>
            <w:pPr>
              <w:spacing w:before="89" w:line="197" w:lineRule="auto"/>
              <w:ind w:left="302"/>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pacing w:val="4"/>
                <w:sz w:val="17"/>
                <w:szCs w:val="17"/>
              </w:rPr>
              <w:t>2:50~23:10</w:t>
            </w:r>
          </w:p>
        </w:tc>
        <w:tc>
          <w:tcPr>
            <w:tcW w:w="1024" w:type="dxa"/>
            <w:vAlign w:val="top"/>
          </w:tcPr>
          <w:p>
            <w:pPr>
              <w:spacing w:before="89" w:line="197" w:lineRule="auto"/>
              <w:ind w:left="42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w:t>
            </w:r>
          </w:p>
        </w:tc>
        <w:tc>
          <w:tcPr>
            <w:tcW w:w="1054" w:type="dxa"/>
            <w:vAlign w:val="top"/>
          </w:tcPr>
          <w:p>
            <w:pPr>
              <w:spacing w:before="89" w:line="197" w:lineRule="auto"/>
              <w:ind w:left="44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999" w:type="dxa"/>
            <w:vAlign w:val="top"/>
          </w:tcPr>
          <w:p>
            <w:pPr>
              <w:spacing w:before="58" w:line="224" w:lineRule="auto"/>
              <w:ind w:left="324"/>
              <w:rPr>
                <w:rFonts w:ascii="宋体" w:hAnsi="宋体" w:eastAsia="宋体" w:cs="宋体"/>
                <w:sz w:val="17"/>
                <w:szCs w:val="17"/>
              </w:rPr>
            </w:pPr>
            <w:r>
              <w:rPr>
                <w:rFonts w:ascii="宋体" w:hAnsi="宋体" w:eastAsia="宋体" w:cs="宋体"/>
                <w:spacing w:val="7"/>
                <w:sz w:val="17"/>
                <w:szCs w:val="17"/>
              </w:rPr>
              <w:t>达</w:t>
            </w:r>
            <w:r>
              <w:rPr>
                <w:rFonts w:ascii="宋体" w:hAnsi="宋体" w:eastAsia="宋体" w:cs="宋体"/>
                <w:spacing w:val="6"/>
                <w:sz w:val="17"/>
                <w:szCs w:val="17"/>
              </w:rPr>
              <w:t>标</w:t>
            </w:r>
          </w:p>
        </w:tc>
        <w:tc>
          <w:tcPr>
            <w:tcW w:w="112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8760" w:type="dxa"/>
            <w:gridSpan w:val="8"/>
            <w:vAlign w:val="top"/>
          </w:tcPr>
          <w:p>
            <w:pPr>
              <w:spacing w:before="84" w:line="242" w:lineRule="exact"/>
              <w:ind w:left="61"/>
              <w:rPr>
                <w:rFonts w:ascii="宋体" w:hAnsi="宋体" w:eastAsia="宋体" w:cs="宋体"/>
                <w:sz w:val="17"/>
                <w:szCs w:val="17"/>
              </w:rPr>
            </w:pPr>
            <w:r>
              <w:rPr>
                <w:rFonts w:ascii="宋体" w:hAnsi="宋体" w:eastAsia="宋体" w:cs="宋体"/>
                <w:spacing w:val="7"/>
                <w:position w:val="1"/>
                <w:sz w:val="17"/>
                <w:szCs w:val="17"/>
                <w14:textOutline w14:w="3268" w14:cap="sq" w14:cmpd="sng">
                  <w14:solidFill>
                    <w14:srgbClr w14:val="000000"/>
                  </w14:solidFill>
                  <w14:prstDash w14:val="solid"/>
                  <w14:bevel/>
                </w14:textOutline>
              </w:rPr>
              <w:t>注：</w:t>
            </w:r>
            <w:r>
              <w:rPr>
                <w:rFonts w:ascii="Times New Roman" w:hAnsi="Times New Roman" w:eastAsia="Times New Roman" w:cs="Times New Roman"/>
                <w:spacing w:val="7"/>
                <w:position w:val="1"/>
                <w:sz w:val="17"/>
                <w:szCs w:val="17"/>
              </w:rPr>
              <w:t>*</w:t>
            </w:r>
            <w:r>
              <w:rPr>
                <w:rFonts w:ascii="Times New Roman" w:hAnsi="Times New Roman" w:eastAsia="Times New Roman" w:cs="Times New Roman"/>
                <w:position w:val="1"/>
                <w:sz w:val="17"/>
                <w:szCs w:val="17"/>
              </w:rPr>
              <w:t>N</w:t>
            </w:r>
            <w:r>
              <w:rPr>
                <w:rFonts w:ascii="Times New Roman" w:hAnsi="Times New Roman" w:eastAsia="Times New Roman" w:cs="Times New Roman"/>
                <w:spacing w:val="7"/>
                <w:position w:val="1"/>
                <w:sz w:val="17"/>
                <w:szCs w:val="17"/>
              </w:rPr>
              <w:t>2#</w:t>
            </w:r>
            <w:r>
              <w:rPr>
                <w:rFonts w:ascii="宋体" w:hAnsi="宋体" w:eastAsia="宋体" w:cs="宋体"/>
                <w:spacing w:val="7"/>
                <w:position w:val="1"/>
                <w:sz w:val="17"/>
                <w:szCs w:val="17"/>
              </w:rPr>
              <w:t xml:space="preserve">位于犀牛大道 (城市主干道) </w:t>
            </w:r>
            <w:r>
              <w:rPr>
                <w:rFonts w:ascii="Times New Roman" w:hAnsi="Times New Roman" w:eastAsia="Times New Roman" w:cs="Times New Roman"/>
                <w:spacing w:val="7"/>
                <w:position w:val="1"/>
                <w:sz w:val="17"/>
                <w:szCs w:val="17"/>
              </w:rPr>
              <w:t>35</w:t>
            </w:r>
            <w:r>
              <w:rPr>
                <w:rFonts w:ascii="Times New Roman" w:hAnsi="Times New Roman" w:eastAsia="Times New Roman" w:cs="Times New Roman"/>
                <w:position w:val="1"/>
                <w:sz w:val="17"/>
                <w:szCs w:val="17"/>
              </w:rPr>
              <w:t>m</w:t>
            </w:r>
            <w:r>
              <w:rPr>
                <w:rFonts w:ascii="Times New Roman" w:hAnsi="Times New Roman" w:eastAsia="Times New Roman" w:cs="Times New Roman"/>
                <w:spacing w:val="7"/>
                <w:position w:val="1"/>
                <w:sz w:val="17"/>
                <w:szCs w:val="17"/>
              </w:rPr>
              <w:t xml:space="preserve"> </w:t>
            </w:r>
            <w:r>
              <w:rPr>
                <w:rFonts w:ascii="宋体" w:hAnsi="宋体" w:eastAsia="宋体" w:cs="宋体"/>
                <w:spacing w:val="7"/>
                <w:position w:val="1"/>
                <w:sz w:val="17"/>
                <w:szCs w:val="17"/>
              </w:rPr>
              <w:t xml:space="preserve">范围内，属于 </w:t>
            </w:r>
            <w:r>
              <w:rPr>
                <w:rFonts w:ascii="Times New Roman" w:hAnsi="Times New Roman" w:eastAsia="Times New Roman" w:cs="Times New Roman"/>
                <w:spacing w:val="7"/>
                <w:position w:val="1"/>
                <w:sz w:val="17"/>
                <w:szCs w:val="17"/>
              </w:rPr>
              <w:t>4</w:t>
            </w:r>
            <w:r>
              <w:rPr>
                <w:rFonts w:ascii="Times New Roman" w:hAnsi="Times New Roman" w:eastAsia="Times New Roman" w:cs="Times New Roman"/>
                <w:position w:val="1"/>
                <w:sz w:val="17"/>
                <w:szCs w:val="17"/>
              </w:rPr>
              <w:t>a</w:t>
            </w:r>
            <w:r>
              <w:rPr>
                <w:rFonts w:ascii="Times New Roman" w:hAnsi="Times New Roman" w:eastAsia="Times New Roman" w:cs="Times New Roman"/>
                <w:spacing w:val="7"/>
                <w:position w:val="1"/>
                <w:sz w:val="17"/>
                <w:szCs w:val="17"/>
              </w:rPr>
              <w:t xml:space="preserve"> </w:t>
            </w:r>
            <w:r>
              <w:rPr>
                <w:rFonts w:ascii="宋体" w:hAnsi="宋体" w:eastAsia="宋体" w:cs="宋体"/>
                <w:spacing w:val="7"/>
                <w:position w:val="1"/>
                <w:sz w:val="17"/>
                <w:szCs w:val="17"/>
              </w:rPr>
              <w:t>内区域</w:t>
            </w:r>
            <w:r>
              <w:rPr>
                <w:rFonts w:ascii="宋体" w:hAnsi="宋体" w:eastAsia="宋体" w:cs="宋体"/>
                <w:spacing w:val="4"/>
                <w:position w:val="1"/>
                <w:sz w:val="17"/>
                <w:szCs w:val="17"/>
              </w:rPr>
              <w:t>。</w:t>
            </w:r>
          </w:p>
        </w:tc>
      </w:tr>
    </w:tbl>
    <w:p>
      <w:pPr>
        <w:spacing w:before="147" w:line="230" w:lineRule="auto"/>
        <w:ind w:left="1"/>
        <w:outlineLvl w:val="2"/>
        <w:rPr>
          <w:rFonts w:ascii="黑体" w:hAnsi="黑体" w:eastAsia="黑体" w:cs="黑体"/>
          <w:sz w:val="23"/>
          <w:szCs w:val="23"/>
        </w:rPr>
      </w:pPr>
      <w:bookmarkStart w:id="24" w:name="_bookmark25"/>
      <w:bookmarkEnd w:id="24"/>
      <w:r>
        <w:rPr>
          <w:rFonts w:ascii="Times New Roman" w:hAnsi="Times New Roman" w:eastAsia="Times New Roman" w:cs="Times New Roman"/>
          <w:spacing w:val="7"/>
          <w:sz w:val="23"/>
          <w:szCs w:val="23"/>
        </w:rPr>
        <w:t>3</w:t>
      </w:r>
      <w:r>
        <w:rPr>
          <w:rFonts w:ascii="Times New Roman" w:hAnsi="Times New Roman" w:eastAsia="Times New Roman" w:cs="Times New Roman"/>
          <w:spacing w:val="6"/>
          <w:sz w:val="23"/>
          <w:szCs w:val="23"/>
        </w:rPr>
        <w:t xml:space="preserve">.3  </w:t>
      </w:r>
      <w:r>
        <w:rPr>
          <w:rFonts w:ascii="黑体" w:hAnsi="黑体" w:eastAsia="黑体" w:cs="黑体"/>
          <w:spacing w:val="6"/>
          <w:sz w:val="23"/>
          <w:szCs w:val="23"/>
        </w:rPr>
        <w:t>现状评价结论</w:t>
      </w:r>
    </w:p>
    <w:p>
      <w:pPr>
        <w:spacing w:before="128" w:line="228" w:lineRule="auto"/>
        <w:ind w:left="445"/>
        <w:rPr>
          <w:rFonts w:ascii="宋体" w:hAnsi="宋体" w:eastAsia="宋体" w:cs="宋体"/>
          <w:sz w:val="20"/>
          <w:szCs w:val="20"/>
        </w:rPr>
      </w:pPr>
      <w:r>
        <w:rPr>
          <w:rFonts w:ascii="宋体" w:hAnsi="宋体" w:eastAsia="宋体" w:cs="宋体"/>
          <w:spacing w:val="12"/>
          <w:sz w:val="20"/>
          <w:szCs w:val="20"/>
        </w:rPr>
        <w:t>由</w:t>
      </w:r>
      <w:r>
        <w:rPr>
          <w:rFonts w:ascii="宋体" w:hAnsi="宋体" w:eastAsia="宋体" w:cs="宋体"/>
          <w:spacing w:val="7"/>
          <w:sz w:val="20"/>
          <w:szCs w:val="20"/>
        </w:rPr>
        <w:t>上表可得项目区环境噪声现状结果：</w:t>
      </w:r>
    </w:p>
    <w:p>
      <w:pPr>
        <w:spacing w:before="98" w:line="353" w:lineRule="auto"/>
        <w:ind w:right="2" w:firstLine="430"/>
        <w:rPr>
          <w:rFonts w:ascii="宋体" w:hAnsi="宋体" w:eastAsia="宋体" w:cs="宋体"/>
          <w:sz w:val="20"/>
          <w:szCs w:val="20"/>
        </w:rPr>
      </w:pPr>
      <w:r>
        <w:rPr>
          <w:rFonts w:ascii="宋体" w:hAnsi="宋体" w:eastAsia="宋体" w:cs="宋体"/>
          <w:spacing w:val="24"/>
          <w:sz w:val="20"/>
          <w:szCs w:val="20"/>
        </w:rPr>
        <w:t>(</w:t>
      </w:r>
      <w:r>
        <w:rPr>
          <w:rFonts w:ascii="Times New Roman" w:hAnsi="Times New Roman" w:eastAsia="Times New Roman" w:cs="Times New Roman"/>
          <w:spacing w:val="13"/>
          <w:sz w:val="20"/>
          <w:szCs w:val="20"/>
        </w:rPr>
        <w:t>1</w:t>
      </w:r>
      <w:r>
        <w:rPr>
          <w:rFonts w:ascii="宋体" w:hAnsi="宋体" w:eastAsia="宋体" w:cs="宋体"/>
          <w:spacing w:val="12"/>
          <w:sz w:val="20"/>
          <w:szCs w:val="20"/>
        </w:rPr>
        <w:t xml:space="preserve">) </w:t>
      </w:r>
      <w:r>
        <w:rPr>
          <w:rFonts w:ascii="Times New Roman" w:hAnsi="Times New Roman" w:eastAsia="Times New Roman" w:cs="Times New Roman"/>
          <w:spacing w:val="12"/>
          <w:sz w:val="20"/>
          <w:szCs w:val="20"/>
        </w:rPr>
        <w:t>2</w:t>
      </w:r>
      <w:r>
        <w:rPr>
          <w:rFonts w:ascii="宋体" w:hAnsi="宋体" w:eastAsia="宋体" w:cs="宋体"/>
          <w:spacing w:val="12"/>
          <w:sz w:val="20"/>
          <w:szCs w:val="20"/>
        </w:rPr>
        <w:t>类区点位：</w:t>
      </w:r>
      <w:r>
        <w:rPr>
          <w:rFonts w:ascii="Times New Roman" w:hAnsi="Times New Roman" w:eastAsia="Times New Roman" w:cs="Times New Roman"/>
          <w:sz w:val="20"/>
          <w:szCs w:val="20"/>
        </w:rPr>
        <w:t>N</w:t>
      </w:r>
      <w:r>
        <w:rPr>
          <w:rFonts w:ascii="Times New Roman" w:hAnsi="Times New Roman" w:eastAsia="Times New Roman" w:cs="Times New Roman"/>
          <w:spacing w:val="12"/>
          <w:sz w:val="20"/>
          <w:szCs w:val="20"/>
        </w:rPr>
        <w:t xml:space="preserve">1# </w:t>
      </w:r>
      <w:r>
        <w:rPr>
          <w:rFonts w:ascii="宋体" w:hAnsi="宋体" w:eastAsia="宋体" w:cs="宋体"/>
          <w:spacing w:val="12"/>
          <w:sz w:val="20"/>
          <w:szCs w:val="20"/>
        </w:rPr>
        <w:t>、</w:t>
      </w:r>
      <w:r>
        <w:rPr>
          <w:rFonts w:ascii="Times New Roman" w:hAnsi="Times New Roman" w:eastAsia="Times New Roman" w:cs="Times New Roman"/>
          <w:sz w:val="20"/>
          <w:szCs w:val="20"/>
        </w:rPr>
        <w:t>N</w:t>
      </w:r>
      <w:r>
        <w:rPr>
          <w:rFonts w:ascii="Times New Roman" w:hAnsi="Times New Roman" w:eastAsia="Times New Roman" w:cs="Times New Roman"/>
          <w:spacing w:val="12"/>
          <w:sz w:val="20"/>
          <w:szCs w:val="20"/>
        </w:rPr>
        <w:t>3#</w:t>
      </w:r>
      <w:r>
        <w:rPr>
          <w:rFonts w:ascii="宋体" w:hAnsi="宋体" w:eastAsia="宋体" w:cs="宋体"/>
          <w:spacing w:val="12"/>
          <w:sz w:val="20"/>
          <w:szCs w:val="20"/>
        </w:rPr>
        <w:t>现状噪声昼间的环境噪声值在</w:t>
      </w:r>
      <w:r>
        <w:rPr>
          <w:rFonts w:ascii="Times New Roman" w:hAnsi="Times New Roman" w:eastAsia="Times New Roman" w:cs="Times New Roman"/>
          <w:spacing w:val="12"/>
          <w:sz w:val="20"/>
          <w:szCs w:val="20"/>
        </w:rPr>
        <w:t>49</w:t>
      </w:r>
      <w:r>
        <w:rPr>
          <w:rFonts w:ascii="宋体" w:hAnsi="宋体" w:eastAsia="宋体" w:cs="宋体"/>
          <w:spacing w:val="12"/>
          <w:sz w:val="20"/>
          <w:szCs w:val="20"/>
        </w:rPr>
        <w:t>~</w:t>
      </w:r>
      <w:r>
        <w:rPr>
          <w:rFonts w:ascii="Times New Roman" w:hAnsi="Times New Roman" w:eastAsia="Times New Roman" w:cs="Times New Roman"/>
          <w:spacing w:val="12"/>
          <w:sz w:val="20"/>
          <w:szCs w:val="20"/>
        </w:rPr>
        <w:t>60</w:t>
      </w:r>
      <w:r>
        <w:rPr>
          <w:rFonts w:ascii="Times New Roman" w:hAnsi="Times New Roman" w:eastAsia="Times New Roman" w:cs="Times New Roman"/>
          <w:sz w:val="20"/>
          <w:szCs w:val="20"/>
        </w:rPr>
        <w:t>dB</w:t>
      </w:r>
      <w:r>
        <w:rPr>
          <w:rFonts w:ascii="Times New Roman" w:hAnsi="Times New Roman" w:eastAsia="Times New Roman" w:cs="Times New Roman"/>
          <w:spacing w:val="12"/>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12"/>
          <w:sz w:val="20"/>
          <w:szCs w:val="20"/>
        </w:rPr>
        <w:t>)</w:t>
      </w:r>
      <w:r>
        <w:rPr>
          <w:rFonts w:ascii="宋体" w:hAnsi="宋体" w:eastAsia="宋体" w:cs="宋体"/>
          <w:spacing w:val="12"/>
          <w:sz w:val="20"/>
          <w:szCs w:val="20"/>
        </w:rPr>
        <w:t>之间，夜间环境噪声</w:t>
      </w:r>
      <w:r>
        <w:rPr>
          <w:rFonts w:ascii="宋体" w:hAnsi="宋体" w:eastAsia="宋体" w:cs="宋体"/>
          <w:sz w:val="20"/>
          <w:szCs w:val="20"/>
        </w:rPr>
        <w:t xml:space="preserve"> </w:t>
      </w:r>
      <w:r>
        <w:rPr>
          <w:rFonts w:ascii="宋体" w:hAnsi="宋体" w:eastAsia="宋体" w:cs="宋体"/>
          <w:spacing w:val="14"/>
          <w:sz w:val="20"/>
          <w:szCs w:val="20"/>
        </w:rPr>
        <w:t>值在</w:t>
      </w:r>
      <w:r>
        <w:rPr>
          <w:rFonts w:ascii="Times New Roman" w:hAnsi="Times New Roman" w:eastAsia="Times New Roman" w:cs="Times New Roman"/>
          <w:spacing w:val="14"/>
          <w:sz w:val="20"/>
          <w:szCs w:val="20"/>
        </w:rPr>
        <w:t>42</w:t>
      </w:r>
      <w:r>
        <w:rPr>
          <w:rFonts w:ascii="宋体" w:hAnsi="宋体" w:eastAsia="宋体" w:cs="宋体"/>
          <w:spacing w:val="7"/>
          <w:sz w:val="20"/>
          <w:szCs w:val="20"/>
        </w:rPr>
        <w:t>~</w:t>
      </w:r>
      <w:r>
        <w:rPr>
          <w:rFonts w:ascii="Times New Roman" w:hAnsi="Times New Roman" w:eastAsia="Times New Roman" w:cs="Times New Roman"/>
          <w:spacing w:val="7"/>
          <w:sz w:val="20"/>
          <w:szCs w:val="20"/>
        </w:rPr>
        <w:t>49</w:t>
      </w:r>
      <w:r>
        <w:rPr>
          <w:rFonts w:ascii="Times New Roman" w:hAnsi="Times New Roman" w:eastAsia="Times New Roman" w:cs="Times New Roman"/>
          <w:sz w:val="20"/>
          <w:szCs w:val="20"/>
        </w:rPr>
        <w:t>dB</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7"/>
          <w:sz w:val="20"/>
          <w:szCs w:val="20"/>
        </w:rPr>
        <w:t>)</w:t>
      </w:r>
      <w:r>
        <w:rPr>
          <w:rFonts w:ascii="宋体" w:hAnsi="宋体" w:eastAsia="宋体" w:cs="宋体"/>
          <w:spacing w:val="7"/>
          <w:sz w:val="20"/>
          <w:szCs w:val="20"/>
        </w:rPr>
        <w:t>之间。该监测点位昼间噪声值均能满足《声环境质量标准》  (</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3096-2008</w:t>
      </w:r>
      <w:r>
        <w:rPr>
          <w:rFonts w:ascii="宋体" w:hAnsi="宋体" w:eastAsia="宋体" w:cs="宋体"/>
          <w:spacing w:val="7"/>
          <w:sz w:val="20"/>
          <w:szCs w:val="20"/>
        </w:rPr>
        <w:t>) 中</w:t>
      </w:r>
      <w:r>
        <w:rPr>
          <w:rFonts w:ascii="宋体" w:hAnsi="宋体" w:eastAsia="宋体" w:cs="宋体"/>
          <w:sz w:val="20"/>
          <w:szCs w:val="20"/>
        </w:rPr>
        <w:t xml:space="preserve"> </w:t>
      </w:r>
      <w:r>
        <w:rPr>
          <w:rFonts w:ascii="宋体" w:hAnsi="宋体" w:eastAsia="宋体" w:cs="宋体"/>
          <w:spacing w:val="8"/>
          <w:sz w:val="20"/>
          <w:szCs w:val="20"/>
        </w:rPr>
        <w:t>的</w:t>
      </w:r>
      <w:r>
        <w:rPr>
          <w:rFonts w:ascii="Times New Roman" w:hAnsi="Times New Roman" w:eastAsia="Times New Roman" w:cs="Times New Roman"/>
          <w:spacing w:val="7"/>
          <w:sz w:val="20"/>
          <w:szCs w:val="20"/>
        </w:rPr>
        <w:t>2</w:t>
      </w:r>
      <w:r>
        <w:rPr>
          <w:rFonts w:ascii="宋体" w:hAnsi="宋体" w:eastAsia="宋体" w:cs="宋体"/>
          <w:spacing w:val="7"/>
          <w:sz w:val="20"/>
          <w:szCs w:val="20"/>
        </w:rPr>
        <w:t>类区标准要求。</w:t>
      </w:r>
    </w:p>
    <w:p>
      <w:pPr>
        <w:spacing w:before="5" w:line="372" w:lineRule="auto"/>
        <w:ind w:left="4" w:firstLine="425"/>
        <w:rPr>
          <w:rFonts w:ascii="宋体" w:hAnsi="宋体" w:eastAsia="宋体" w:cs="宋体"/>
          <w:sz w:val="20"/>
          <w:szCs w:val="20"/>
        </w:rPr>
      </w:pPr>
      <w:r>
        <w:rPr>
          <w:rFonts w:ascii="宋体" w:hAnsi="宋体" w:eastAsia="宋体" w:cs="宋体"/>
          <w:spacing w:val="30"/>
          <w:sz w:val="20"/>
          <w:szCs w:val="20"/>
        </w:rPr>
        <w:t>(</w:t>
      </w:r>
      <w:r>
        <w:rPr>
          <w:rFonts w:ascii="Times New Roman" w:hAnsi="Times New Roman" w:eastAsia="Times New Roman" w:cs="Times New Roman"/>
          <w:spacing w:val="16"/>
          <w:sz w:val="20"/>
          <w:szCs w:val="20"/>
        </w:rPr>
        <w:t>2</w:t>
      </w:r>
      <w:r>
        <w:rPr>
          <w:rFonts w:ascii="宋体" w:hAnsi="宋体" w:eastAsia="宋体" w:cs="宋体"/>
          <w:spacing w:val="15"/>
          <w:sz w:val="20"/>
          <w:szCs w:val="20"/>
        </w:rPr>
        <w:t xml:space="preserve">) </w:t>
      </w:r>
      <w:r>
        <w:rPr>
          <w:rFonts w:ascii="Times New Roman" w:hAnsi="Times New Roman" w:eastAsia="Times New Roman" w:cs="Times New Roman"/>
          <w:spacing w:val="15"/>
          <w:sz w:val="20"/>
          <w:szCs w:val="20"/>
        </w:rPr>
        <w:t>4</w:t>
      </w:r>
      <w:r>
        <w:rPr>
          <w:rFonts w:ascii="Times New Roman" w:hAnsi="Times New Roman" w:eastAsia="Times New Roman" w:cs="Times New Roman"/>
          <w:sz w:val="20"/>
          <w:szCs w:val="20"/>
        </w:rPr>
        <w:t>a</w:t>
      </w:r>
      <w:r>
        <w:rPr>
          <w:rFonts w:ascii="宋体" w:hAnsi="宋体" w:eastAsia="宋体" w:cs="宋体"/>
          <w:spacing w:val="15"/>
          <w:sz w:val="20"/>
          <w:szCs w:val="20"/>
        </w:rPr>
        <w:t>类区点位：</w:t>
      </w:r>
      <w:r>
        <w:rPr>
          <w:rFonts w:ascii="Times New Roman" w:hAnsi="Times New Roman" w:eastAsia="Times New Roman" w:cs="Times New Roman"/>
          <w:sz w:val="20"/>
          <w:szCs w:val="20"/>
        </w:rPr>
        <w:t>N</w:t>
      </w:r>
      <w:r>
        <w:rPr>
          <w:rFonts w:ascii="Times New Roman" w:hAnsi="Times New Roman" w:eastAsia="Times New Roman" w:cs="Times New Roman"/>
          <w:spacing w:val="15"/>
          <w:sz w:val="20"/>
          <w:szCs w:val="20"/>
        </w:rPr>
        <w:t>2#</w:t>
      </w:r>
      <w:r>
        <w:rPr>
          <w:rFonts w:ascii="宋体" w:hAnsi="宋体" w:eastAsia="宋体" w:cs="宋体"/>
          <w:spacing w:val="15"/>
          <w:sz w:val="20"/>
          <w:szCs w:val="20"/>
        </w:rPr>
        <w:t>监测点现状噪声昼间的环境噪声值在</w:t>
      </w:r>
      <w:r>
        <w:rPr>
          <w:rFonts w:ascii="Times New Roman" w:hAnsi="Times New Roman" w:eastAsia="Times New Roman" w:cs="Times New Roman"/>
          <w:spacing w:val="15"/>
          <w:sz w:val="20"/>
          <w:szCs w:val="20"/>
        </w:rPr>
        <w:t>61</w:t>
      </w:r>
      <w:r>
        <w:rPr>
          <w:rFonts w:ascii="宋体" w:hAnsi="宋体" w:eastAsia="宋体" w:cs="宋体"/>
          <w:spacing w:val="15"/>
          <w:sz w:val="20"/>
          <w:szCs w:val="20"/>
        </w:rPr>
        <w:t>~</w:t>
      </w:r>
      <w:r>
        <w:rPr>
          <w:rFonts w:ascii="Times New Roman" w:hAnsi="Times New Roman" w:eastAsia="Times New Roman" w:cs="Times New Roman"/>
          <w:spacing w:val="15"/>
          <w:sz w:val="20"/>
          <w:szCs w:val="20"/>
        </w:rPr>
        <w:t>62</w:t>
      </w:r>
      <w:r>
        <w:rPr>
          <w:rFonts w:ascii="Times New Roman" w:hAnsi="Times New Roman" w:eastAsia="Times New Roman" w:cs="Times New Roman"/>
          <w:sz w:val="20"/>
          <w:szCs w:val="20"/>
        </w:rPr>
        <w:t>dB</w:t>
      </w:r>
      <w:r>
        <w:rPr>
          <w:rFonts w:ascii="Times New Roman" w:hAnsi="Times New Roman" w:eastAsia="Times New Roman" w:cs="Times New Roman"/>
          <w:spacing w:val="15"/>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15"/>
          <w:sz w:val="20"/>
          <w:szCs w:val="20"/>
        </w:rPr>
        <w:t>)</w:t>
      </w:r>
      <w:r>
        <w:rPr>
          <w:rFonts w:ascii="宋体" w:hAnsi="宋体" w:eastAsia="宋体" w:cs="宋体"/>
          <w:spacing w:val="15"/>
          <w:sz w:val="20"/>
          <w:szCs w:val="20"/>
        </w:rPr>
        <w:t>之间、夜间环境噪</w:t>
      </w:r>
      <w:r>
        <w:rPr>
          <w:rFonts w:ascii="宋体" w:hAnsi="宋体" w:eastAsia="宋体" w:cs="宋体"/>
          <w:sz w:val="20"/>
          <w:szCs w:val="20"/>
        </w:rPr>
        <w:t xml:space="preserve"> </w:t>
      </w:r>
      <w:r>
        <w:rPr>
          <w:rFonts w:ascii="宋体" w:hAnsi="宋体" w:eastAsia="宋体" w:cs="宋体"/>
          <w:spacing w:val="14"/>
          <w:sz w:val="20"/>
          <w:szCs w:val="20"/>
        </w:rPr>
        <w:t>声值在</w:t>
      </w:r>
      <w:r>
        <w:rPr>
          <w:rFonts w:ascii="Times New Roman" w:hAnsi="Times New Roman" w:eastAsia="Times New Roman" w:cs="Times New Roman"/>
          <w:spacing w:val="10"/>
          <w:sz w:val="20"/>
          <w:szCs w:val="20"/>
        </w:rPr>
        <w:t>5</w:t>
      </w:r>
      <w:r>
        <w:rPr>
          <w:rFonts w:ascii="Times New Roman" w:hAnsi="Times New Roman" w:eastAsia="Times New Roman" w:cs="Times New Roman"/>
          <w:spacing w:val="7"/>
          <w:sz w:val="20"/>
          <w:szCs w:val="20"/>
        </w:rPr>
        <w:t>0</w:t>
      </w:r>
      <w:r>
        <w:rPr>
          <w:rFonts w:ascii="宋体" w:hAnsi="宋体" w:eastAsia="宋体" w:cs="宋体"/>
          <w:spacing w:val="7"/>
          <w:sz w:val="20"/>
          <w:szCs w:val="20"/>
        </w:rPr>
        <w:t>~</w:t>
      </w:r>
      <w:r>
        <w:rPr>
          <w:rFonts w:ascii="Times New Roman" w:hAnsi="Times New Roman" w:eastAsia="Times New Roman" w:cs="Times New Roman"/>
          <w:spacing w:val="7"/>
          <w:sz w:val="20"/>
          <w:szCs w:val="20"/>
        </w:rPr>
        <w:t>51</w:t>
      </w:r>
      <w:r>
        <w:rPr>
          <w:rFonts w:ascii="Times New Roman" w:hAnsi="Times New Roman" w:eastAsia="Times New Roman" w:cs="Times New Roman"/>
          <w:sz w:val="20"/>
          <w:szCs w:val="20"/>
        </w:rPr>
        <w:t>dB</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7"/>
          <w:sz w:val="20"/>
          <w:szCs w:val="20"/>
        </w:rPr>
        <w:t>)</w:t>
      </w:r>
      <w:r>
        <w:rPr>
          <w:rFonts w:ascii="宋体" w:hAnsi="宋体" w:eastAsia="宋体" w:cs="宋体"/>
          <w:spacing w:val="7"/>
          <w:sz w:val="20"/>
          <w:szCs w:val="20"/>
        </w:rPr>
        <w:t>之间，均能满足《声环境质量标准》  (</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3096-2008</w:t>
      </w:r>
      <w:r>
        <w:rPr>
          <w:rFonts w:ascii="宋体" w:hAnsi="宋体" w:eastAsia="宋体" w:cs="宋体"/>
          <w:spacing w:val="7"/>
          <w:sz w:val="20"/>
          <w:szCs w:val="20"/>
        </w:rPr>
        <w:t>) 中的</w:t>
      </w:r>
      <w:r>
        <w:rPr>
          <w:rFonts w:ascii="Times New Roman" w:hAnsi="Times New Roman" w:eastAsia="Times New Roman" w:cs="Times New Roman"/>
          <w:spacing w:val="7"/>
          <w:sz w:val="20"/>
          <w:szCs w:val="20"/>
        </w:rPr>
        <w:t>4</w:t>
      </w:r>
      <w:r>
        <w:rPr>
          <w:rFonts w:ascii="Times New Roman" w:hAnsi="Times New Roman" w:eastAsia="Times New Roman" w:cs="Times New Roman"/>
          <w:sz w:val="20"/>
          <w:szCs w:val="20"/>
        </w:rPr>
        <w:t>a</w:t>
      </w:r>
      <w:r>
        <w:rPr>
          <w:rFonts w:ascii="宋体" w:hAnsi="宋体" w:eastAsia="宋体" w:cs="宋体"/>
          <w:spacing w:val="7"/>
          <w:sz w:val="20"/>
          <w:szCs w:val="20"/>
        </w:rPr>
        <w:t>类区标准要求。</w:t>
      </w:r>
    </w:p>
    <w:p>
      <w:pPr>
        <w:sectPr>
          <w:footerReference r:id="rId121" w:type="default"/>
          <w:pgSz w:w="11906" w:h="16839"/>
          <w:pgMar w:top="400" w:right="1530" w:bottom="1027" w:left="1539" w:header="0" w:footer="840" w:gutter="0"/>
          <w:cols w:space="720" w:num="1"/>
        </w:sect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94" w:line="228" w:lineRule="auto"/>
        <w:ind w:left="28"/>
        <w:outlineLvl w:val="1"/>
        <w:rPr>
          <w:rFonts w:ascii="黑体" w:hAnsi="黑体" w:eastAsia="黑体" w:cs="黑体"/>
          <w:sz w:val="29"/>
          <w:szCs w:val="29"/>
        </w:rPr>
      </w:pPr>
      <w:bookmarkStart w:id="25" w:name="_bookmark26"/>
      <w:bookmarkEnd w:id="25"/>
      <w:r>
        <w:rPr>
          <w:rFonts w:ascii="Times New Roman" w:hAnsi="Times New Roman" w:eastAsia="Times New Roman" w:cs="Times New Roman"/>
          <w:spacing w:val="20"/>
          <w:sz w:val="29"/>
          <w:szCs w:val="29"/>
        </w:rPr>
        <w:t>4</w:t>
      </w:r>
      <w:r>
        <w:rPr>
          <w:rFonts w:ascii="Times New Roman" w:hAnsi="Times New Roman" w:eastAsia="Times New Roman" w:cs="Times New Roman"/>
          <w:spacing w:val="12"/>
          <w:sz w:val="29"/>
          <w:szCs w:val="29"/>
        </w:rPr>
        <w:t xml:space="preserve"> </w:t>
      </w:r>
      <w:r>
        <w:rPr>
          <w:rFonts w:ascii="Times New Roman" w:hAnsi="Times New Roman" w:eastAsia="Times New Roman" w:cs="Times New Roman"/>
          <w:spacing w:val="10"/>
          <w:sz w:val="29"/>
          <w:szCs w:val="29"/>
        </w:rPr>
        <w:t xml:space="preserve">  </w:t>
      </w:r>
      <w:r>
        <w:rPr>
          <w:rFonts w:ascii="黑体" w:hAnsi="黑体" w:eastAsia="黑体" w:cs="黑体"/>
          <w:spacing w:val="10"/>
          <w:sz w:val="29"/>
          <w:szCs w:val="29"/>
        </w:rPr>
        <w:t>声环境影响预测、分析及评价</w:t>
      </w:r>
    </w:p>
    <w:p>
      <w:pPr>
        <w:spacing w:line="426" w:lineRule="auto"/>
        <w:rPr>
          <w:rFonts w:ascii="Arial"/>
          <w:sz w:val="21"/>
        </w:rPr>
      </w:pPr>
    </w:p>
    <w:p>
      <w:pPr>
        <w:spacing w:before="75" w:line="230" w:lineRule="auto"/>
        <w:ind w:left="27"/>
        <w:outlineLvl w:val="2"/>
        <w:rPr>
          <w:rFonts w:ascii="黑体" w:hAnsi="黑体" w:eastAsia="黑体" w:cs="黑体"/>
          <w:sz w:val="23"/>
          <w:szCs w:val="23"/>
        </w:rPr>
      </w:pPr>
      <w:bookmarkStart w:id="26" w:name="_bookmark27"/>
      <w:bookmarkEnd w:id="26"/>
      <w:r>
        <w:rPr>
          <w:rFonts w:ascii="Times New Roman" w:hAnsi="Times New Roman" w:eastAsia="Times New Roman" w:cs="Times New Roman"/>
          <w:spacing w:val="5"/>
          <w:sz w:val="23"/>
          <w:szCs w:val="23"/>
        </w:rPr>
        <w:t xml:space="preserve">4. 1  </w:t>
      </w:r>
      <w:r>
        <w:rPr>
          <w:rFonts w:ascii="黑体" w:hAnsi="黑体" w:eastAsia="黑体" w:cs="黑体"/>
          <w:spacing w:val="5"/>
          <w:sz w:val="23"/>
          <w:szCs w:val="23"/>
        </w:rPr>
        <w:t>施工噪声影响预测、分析及评</w:t>
      </w:r>
      <w:r>
        <w:rPr>
          <w:rFonts w:ascii="黑体" w:hAnsi="黑体" w:eastAsia="黑体" w:cs="黑体"/>
          <w:spacing w:val="1"/>
          <w:sz w:val="23"/>
          <w:szCs w:val="23"/>
        </w:rPr>
        <w:t>价</w:t>
      </w:r>
    </w:p>
    <w:p>
      <w:pPr>
        <w:spacing w:before="147" w:line="326" w:lineRule="auto"/>
        <w:ind w:firstLine="419"/>
        <w:rPr>
          <w:rFonts w:ascii="宋体" w:hAnsi="宋体" w:eastAsia="宋体" w:cs="宋体"/>
          <w:sz w:val="20"/>
          <w:szCs w:val="20"/>
        </w:rPr>
      </w:pPr>
      <w:r>
        <w:rPr>
          <w:rFonts w:ascii="宋体" w:hAnsi="宋体" w:eastAsia="宋体" w:cs="宋体"/>
          <w:spacing w:val="18"/>
          <w:sz w:val="20"/>
          <w:szCs w:val="20"/>
        </w:rPr>
        <w:t>施</w:t>
      </w:r>
      <w:r>
        <w:rPr>
          <w:rFonts w:ascii="宋体" w:hAnsi="宋体" w:eastAsia="宋体" w:cs="宋体"/>
          <w:spacing w:val="9"/>
          <w:sz w:val="20"/>
          <w:szCs w:val="20"/>
        </w:rPr>
        <w:t>工噪声主要来源挖掘机、装载机、推土机、 自卸式运输车、沥青摊铺机、压路机、热熔涂</w:t>
      </w:r>
      <w:r>
        <w:rPr>
          <w:rFonts w:ascii="宋体" w:hAnsi="宋体" w:eastAsia="宋体" w:cs="宋体"/>
          <w:sz w:val="20"/>
          <w:szCs w:val="20"/>
        </w:rPr>
        <w:t xml:space="preserve"> </w:t>
      </w:r>
      <w:r>
        <w:rPr>
          <w:rFonts w:ascii="宋体" w:hAnsi="宋体" w:eastAsia="宋体" w:cs="宋体"/>
          <w:spacing w:val="12"/>
          <w:sz w:val="20"/>
          <w:szCs w:val="20"/>
        </w:rPr>
        <w:t>标机等施工机械运行产生的噪声、辅助生产场地生产噪声及物料运输车辆的交通噪声等，其声</w:t>
      </w:r>
      <w:r>
        <w:rPr>
          <w:rFonts w:ascii="宋体" w:hAnsi="宋体" w:eastAsia="宋体" w:cs="宋体"/>
          <w:spacing w:val="3"/>
          <w:sz w:val="20"/>
          <w:szCs w:val="20"/>
        </w:rPr>
        <w:t>级</w:t>
      </w:r>
      <w:r>
        <w:rPr>
          <w:rFonts w:ascii="宋体" w:hAnsi="宋体" w:eastAsia="宋体" w:cs="宋体"/>
          <w:sz w:val="20"/>
          <w:szCs w:val="20"/>
        </w:rPr>
        <w:t xml:space="preserve"> </w:t>
      </w:r>
      <w:r>
        <w:rPr>
          <w:rFonts w:ascii="宋体" w:hAnsi="宋体" w:eastAsia="宋体" w:cs="宋体"/>
          <w:spacing w:val="4"/>
          <w:sz w:val="20"/>
          <w:szCs w:val="20"/>
        </w:rPr>
        <w:t>值一般</w:t>
      </w:r>
      <w:r>
        <w:rPr>
          <w:rFonts w:ascii="宋体" w:hAnsi="宋体" w:eastAsia="宋体" w:cs="宋体"/>
          <w:spacing w:val="3"/>
          <w:sz w:val="20"/>
          <w:szCs w:val="20"/>
        </w:rPr>
        <w:t>在</w:t>
      </w:r>
      <w:r>
        <w:rPr>
          <w:rFonts w:ascii="宋体" w:hAnsi="宋体" w:eastAsia="宋体" w:cs="宋体"/>
          <w:spacing w:val="2"/>
          <w:sz w:val="20"/>
          <w:szCs w:val="20"/>
        </w:rPr>
        <w:t xml:space="preserve"> </w:t>
      </w:r>
      <w:r>
        <w:rPr>
          <w:rFonts w:ascii="Times New Roman" w:hAnsi="Times New Roman" w:eastAsia="Times New Roman" w:cs="Times New Roman"/>
          <w:spacing w:val="2"/>
          <w:sz w:val="20"/>
          <w:szCs w:val="20"/>
        </w:rPr>
        <w:t>75~90</w:t>
      </w:r>
      <w:r>
        <w:rPr>
          <w:rFonts w:ascii="Times New Roman" w:hAnsi="Times New Roman" w:eastAsia="Times New Roman" w:cs="Times New Roman"/>
          <w:sz w:val="20"/>
          <w:szCs w:val="20"/>
        </w:rPr>
        <w:t>dB</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2"/>
          <w:sz w:val="20"/>
          <w:szCs w:val="20"/>
        </w:rPr>
        <w:t>)</w:t>
      </w:r>
      <w:r>
        <w:rPr>
          <w:rFonts w:ascii="宋体" w:hAnsi="宋体" w:eastAsia="宋体" w:cs="宋体"/>
          <w:spacing w:val="2"/>
          <w:sz w:val="20"/>
          <w:szCs w:val="20"/>
        </w:rPr>
        <w:t>。</w:t>
      </w:r>
    </w:p>
    <w:p>
      <w:pPr>
        <w:spacing w:before="139" w:line="401" w:lineRule="exact"/>
        <w:ind w:left="433"/>
        <w:rPr>
          <w:rFonts w:ascii="宋体" w:hAnsi="宋体" w:eastAsia="宋体" w:cs="宋体"/>
          <w:sz w:val="20"/>
          <w:szCs w:val="20"/>
        </w:rPr>
      </w:pPr>
      <w:r>
        <w:rPr>
          <w:rFonts w:ascii="宋体" w:hAnsi="宋体" w:eastAsia="宋体" w:cs="宋体"/>
          <w:spacing w:val="22"/>
          <w:position w:val="14"/>
          <w:sz w:val="20"/>
          <w:szCs w:val="20"/>
        </w:rPr>
        <w:t>除各</w:t>
      </w:r>
      <w:r>
        <w:rPr>
          <w:rFonts w:ascii="宋体" w:hAnsi="宋体" w:eastAsia="宋体" w:cs="宋体"/>
          <w:spacing w:val="14"/>
          <w:position w:val="14"/>
          <w:sz w:val="20"/>
          <w:szCs w:val="20"/>
        </w:rPr>
        <w:t>种</w:t>
      </w:r>
      <w:r>
        <w:rPr>
          <w:rFonts w:ascii="宋体" w:hAnsi="宋体" w:eastAsia="宋体" w:cs="宋体"/>
          <w:spacing w:val="11"/>
          <w:position w:val="14"/>
          <w:sz w:val="20"/>
          <w:szCs w:val="20"/>
        </w:rPr>
        <w:t>运输车辆外，其他机械基本为固定声源。因此，本次环评将施工机械噪声作为点声源</w:t>
      </w:r>
    </w:p>
    <w:p>
      <w:pPr>
        <w:spacing w:before="1" w:line="231" w:lineRule="auto"/>
        <w:ind w:left="5"/>
        <w:rPr>
          <w:rFonts w:ascii="宋体" w:hAnsi="宋体" w:eastAsia="宋体" w:cs="宋体"/>
          <w:sz w:val="20"/>
          <w:szCs w:val="20"/>
        </w:rPr>
      </w:pPr>
      <w:r>
        <w:rPr>
          <w:rFonts w:ascii="宋体" w:hAnsi="宋体" w:eastAsia="宋体" w:cs="宋体"/>
          <w:spacing w:val="13"/>
          <w:sz w:val="20"/>
          <w:szCs w:val="20"/>
        </w:rPr>
        <w:t>处</w:t>
      </w:r>
      <w:r>
        <w:rPr>
          <w:rFonts w:ascii="宋体" w:hAnsi="宋体" w:eastAsia="宋体" w:cs="宋体"/>
          <w:spacing w:val="9"/>
          <w:sz w:val="20"/>
          <w:szCs w:val="20"/>
        </w:rPr>
        <w:t>理，在不考虑其它因素情况下，施工机械噪声预测模式如下：</w:t>
      </w:r>
    </w:p>
    <w:p>
      <w:pPr>
        <w:spacing w:before="111" w:line="399" w:lineRule="exact"/>
        <w:ind w:left="3803"/>
        <w:rPr>
          <w:rFonts w:ascii="Times New Roman" w:hAnsi="Times New Roman" w:eastAsia="Times New Roman" w:cs="Times New Roman"/>
          <w:sz w:val="20"/>
          <w:szCs w:val="20"/>
        </w:rPr>
      </w:pPr>
      <w:r>
        <w:rPr>
          <w:rFonts w:ascii="Times New Roman" w:hAnsi="Times New Roman" w:eastAsia="Times New Roman" w:cs="Times New Roman"/>
          <w:position w:val="13"/>
          <w:sz w:val="20"/>
          <w:szCs w:val="20"/>
        </w:rPr>
        <w:t>L</w:t>
      </w:r>
      <w:r>
        <w:rPr>
          <w:rFonts w:ascii="Times New Roman" w:hAnsi="Times New Roman" w:eastAsia="Times New Roman" w:cs="Times New Roman"/>
          <w:spacing w:val="6"/>
          <w:position w:val="13"/>
          <w:sz w:val="20"/>
          <w:szCs w:val="20"/>
        </w:rPr>
        <w:t>(</w:t>
      </w:r>
      <w:r>
        <w:rPr>
          <w:rFonts w:ascii="Times New Roman" w:hAnsi="Times New Roman" w:eastAsia="Times New Roman" w:cs="Times New Roman"/>
          <w:position w:val="13"/>
          <w:sz w:val="20"/>
          <w:szCs w:val="20"/>
        </w:rPr>
        <w:t>r</w:t>
      </w:r>
      <w:r>
        <w:rPr>
          <w:rFonts w:ascii="Times New Roman" w:hAnsi="Times New Roman" w:eastAsia="Times New Roman" w:cs="Times New Roman"/>
          <w:spacing w:val="6"/>
          <w:position w:val="13"/>
          <w:sz w:val="20"/>
          <w:szCs w:val="20"/>
        </w:rPr>
        <w:t>)=</w:t>
      </w:r>
      <w:r>
        <w:rPr>
          <w:rFonts w:ascii="Times New Roman" w:hAnsi="Times New Roman" w:eastAsia="Times New Roman" w:cs="Times New Roman"/>
          <w:position w:val="13"/>
          <w:sz w:val="20"/>
          <w:szCs w:val="20"/>
        </w:rPr>
        <w:t>L</w:t>
      </w:r>
      <w:r>
        <w:rPr>
          <w:rFonts w:ascii="Times New Roman" w:hAnsi="Times New Roman" w:eastAsia="Times New Roman" w:cs="Times New Roman"/>
          <w:spacing w:val="6"/>
          <w:position w:val="13"/>
          <w:sz w:val="20"/>
          <w:szCs w:val="20"/>
        </w:rPr>
        <w:t>(</w:t>
      </w:r>
      <w:r>
        <w:rPr>
          <w:rFonts w:ascii="Times New Roman" w:hAnsi="Times New Roman" w:eastAsia="Times New Roman" w:cs="Times New Roman"/>
          <w:position w:val="13"/>
          <w:sz w:val="20"/>
          <w:szCs w:val="20"/>
        </w:rPr>
        <w:t>r</w:t>
      </w:r>
      <w:r>
        <w:rPr>
          <w:rFonts w:ascii="Times New Roman" w:hAnsi="Times New Roman" w:eastAsia="Times New Roman" w:cs="Times New Roman"/>
          <w:spacing w:val="6"/>
          <w:position w:val="12"/>
          <w:sz w:val="13"/>
          <w:szCs w:val="13"/>
        </w:rPr>
        <w:t>0</w:t>
      </w:r>
      <w:r>
        <w:rPr>
          <w:rFonts w:ascii="Times New Roman" w:hAnsi="Times New Roman" w:eastAsia="Times New Roman" w:cs="Times New Roman"/>
          <w:spacing w:val="6"/>
          <w:position w:val="13"/>
          <w:sz w:val="20"/>
          <w:szCs w:val="20"/>
        </w:rPr>
        <w:t>)-20</w:t>
      </w:r>
      <w:r>
        <w:rPr>
          <w:rFonts w:ascii="Times New Roman" w:hAnsi="Times New Roman" w:eastAsia="Times New Roman" w:cs="Times New Roman"/>
          <w:position w:val="13"/>
          <w:sz w:val="20"/>
          <w:szCs w:val="20"/>
        </w:rPr>
        <w:t>lg</w:t>
      </w:r>
      <w:r>
        <w:rPr>
          <w:rFonts w:ascii="Times New Roman" w:hAnsi="Times New Roman" w:eastAsia="Times New Roman" w:cs="Times New Roman"/>
          <w:spacing w:val="6"/>
          <w:position w:val="13"/>
          <w:sz w:val="20"/>
          <w:szCs w:val="20"/>
        </w:rPr>
        <w:t>(</w:t>
      </w:r>
      <w:r>
        <w:rPr>
          <w:rFonts w:ascii="Times New Roman" w:hAnsi="Times New Roman" w:eastAsia="Times New Roman" w:cs="Times New Roman"/>
          <w:position w:val="13"/>
          <w:sz w:val="20"/>
          <w:szCs w:val="20"/>
        </w:rPr>
        <w:t>r</w:t>
      </w:r>
      <w:r>
        <w:rPr>
          <w:rFonts w:ascii="Times New Roman" w:hAnsi="Times New Roman" w:eastAsia="Times New Roman" w:cs="Times New Roman"/>
          <w:spacing w:val="6"/>
          <w:position w:val="13"/>
          <w:sz w:val="20"/>
          <w:szCs w:val="20"/>
        </w:rPr>
        <w:t>/</w:t>
      </w:r>
      <w:r>
        <w:rPr>
          <w:rFonts w:ascii="Times New Roman" w:hAnsi="Times New Roman" w:eastAsia="Times New Roman" w:cs="Times New Roman"/>
          <w:position w:val="13"/>
          <w:sz w:val="20"/>
          <w:szCs w:val="20"/>
        </w:rPr>
        <w:t>r</w:t>
      </w:r>
      <w:r>
        <w:rPr>
          <w:rFonts w:ascii="Times New Roman" w:hAnsi="Times New Roman" w:eastAsia="Times New Roman" w:cs="Times New Roman"/>
          <w:spacing w:val="6"/>
          <w:position w:val="12"/>
          <w:sz w:val="13"/>
          <w:szCs w:val="13"/>
        </w:rPr>
        <w:t>0</w:t>
      </w:r>
      <w:r>
        <w:rPr>
          <w:rFonts w:ascii="Times New Roman" w:hAnsi="Times New Roman" w:eastAsia="Times New Roman" w:cs="Times New Roman"/>
          <w:spacing w:val="4"/>
          <w:position w:val="13"/>
          <w:sz w:val="20"/>
          <w:szCs w:val="20"/>
        </w:rPr>
        <w:t>)</w:t>
      </w:r>
    </w:p>
    <w:p>
      <w:pPr>
        <w:spacing w:line="281" w:lineRule="exact"/>
        <w:ind w:left="425"/>
        <w:rPr>
          <w:rFonts w:ascii="宋体" w:hAnsi="宋体" w:eastAsia="宋体" w:cs="宋体"/>
          <w:sz w:val="20"/>
          <w:szCs w:val="20"/>
        </w:rPr>
      </w:pPr>
      <w:r>
        <w:rPr>
          <w:rFonts w:ascii="宋体" w:hAnsi="宋体" w:eastAsia="宋体" w:cs="宋体"/>
          <w:spacing w:val="3"/>
          <w:position w:val="1"/>
          <w:sz w:val="20"/>
          <w:szCs w:val="20"/>
        </w:rPr>
        <w:t>式</w:t>
      </w:r>
      <w:r>
        <w:rPr>
          <w:rFonts w:ascii="宋体" w:hAnsi="宋体" w:eastAsia="宋体" w:cs="宋体"/>
          <w:spacing w:val="2"/>
          <w:position w:val="1"/>
          <w:sz w:val="20"/>
          <w:szCs w:val="20"/>
        </w:rPr>
        <w:t>中：</w:t>
      </w:r>
      <w:r>
        <w:rPr>
          <w:rFonts w:ascii="Times New Roman" w:hAnsi="Times New Roman" w:eastAsia="Times New Roman" w:cs="Times New Roman"/>
          <w:position w:val="1"/>
          <w:sz w:val="20"/>
          <w:szCs w:val="20"/>
        </w:rPr>
        <w:t>L</w:t>
      </w:r>
      <w:r>
        <w:rPr>
          <w:rFonts w:ascii="Times New Roman" w:hAnsi="Times New Roman" w:eastAsia="Times New Roman" w:cs="Times New Roman"/>
          <w:spacing w:val="2"/>
          <w:position w:val="1"/>
          <w:sz w:val="20"/>
          <w:szCs w:val="20"/>
        </w:rPr>
        <w:t xml:space="preserve">  </w:t>
      </w:r>
      <w:r>
        <w:rPr>
          <w:rFonts w:ascii="宋体" w:hAnsi="宋体" w:eastAsia="宋体" w:cs="宋体"/>
          <w:spacing w:val="2"/>
          <w:position w:val="1"/>
          <w:sz w:val="20"/>
          <w:szCs w:val="20"/>
        </w:rPr>
        <w:t>(</w:t>
      </w:r>
      <w:r>
        <w:rPr>
          <w:rFonts w:ascii="Times New Roman" w:hAnsi="Times New Roman" w:eastAsia="Times New Roman" w:cs="Times New Roman"/>
          <w:position w:val="1"/>
          <w:sz w:val="20"/>
          <w:szCs w:val="20"/>
        </w:rPr>
        <w:t>r</w:t>
      </w:r>
      <w:r>
        <w:rPr>
          <w:rFonts w:ascii="Times New Roman" w:hAnsi="Times New Roman" w:eastAsia="Times New Roman" w:cs="Times New Roman"/>
          <w:spacing w:val="2"/>
          <w:position w:val="1"/>
          <w:sz w:val="20"/>
          <w:szCs w:val="20"/>
        </w:rPr>
        <w:t xml:space="preserve"> </w:t>
      </w:r>
      <w:r>
        <w:rPr>
          <w:rFonts w:ascii="宋体" w:hAnsi="宋体" w:eastAsia="宋体" w:cs="宋体"/>
          <w:spacing w:val="2"/>
          <w:position w:val="1"/>
          <w:sz w:val="20"/>
          <w:szCs w:val="20"/>
        </w:rPr>
        <w:t xml:space="preserve">) </w:t>
      </w:r>
      <w:r>
        <w:rPr>
          <w:rFonts w:ascii="Times New Roman" w:hAnsi="Times New Roman" w:eastAsia="Times New Roman" w:cs="Times New Roman"/>
          <w:spacing w:val="2"/>
          <w:position w:val="1"/>
          <w:sz w:val="20"/>
          <w:szCs w:val="20"/>
        </w:rPr>
        <w:t>—</w:t>
      </w:r>
      <w:r>
        <w:rPr>
          <w:rFonts w:ascii="宋体" w:hAnsi="宋体" w:eastAsia="宋体" w:cs="宋体"/>
          <w:spacing w:val="2"/>
          <w:position w:val="1"/>
          <w:sz w:val="20"/>
          <w:szCs w:val="20"/>
        </w:rPr>
        <w:t xml:space="preserve">距点声源 </w:t>
      </w:r>
      <w:r>
        <w:rPr>
          <w:rFonts w:ascii="Times New Roman" w:hAnsi="Times New Roman" w:eastAsia="Times New Roman" w:cs="Times New Roman"/>
          <w:position w:val="1"/>
          <w:sz w:val="20"/>
          <w:szCs w:val="20"/>
        </w:rPr>
        <w:t>r</w:t>
      </w:r>
      <w:r>
        <w:rPr>
          <w:rFonts w:ascii="Times New Roman" w:hAnsi="Times New Roman" w:eastAsia="Times New Roman" w:cs="Times New Roman"/>
          <w:spacing w:val="2"/>
          <w:position w:val="1"/>
          <w:sz w:val="20"/>
          <w:szCs w:val="20"/>
        </w:rPr>
        <w:t xml:space="preserve"> </w:t>
      </w:r>
      <w:r>
        <w:rPr>
          <w:rFonts w:ascii="宋体" w:hAnsi="宋体" w:eastAsia="宋体" w:cs="宋体"/>
          <w:spacing w:val="2"/>
          <w:position w:val="1"/>
          <w:sz w:val="20"/>
          <w:szCs w:val="20"/>
        </w:rPr>
        <w:t xml:space="preserve">处的 </w:t>
      </w:r>
      <w:r>
        <w:rPr>
          <w:rFonts w:ascii="Times New Roman" w:hAnsi="Times New Roman" w:eastAsia="Times New Roman" w:cs="Times New Roman"/>
          <w:position w:val="1"/>
          <w:sz w:val="20"/>
          <w:szCs w:val="20"/>
        </w:rPr>
        <w:t>A</w:t>
      </w:r>
      <w:r>
        <w:rPr>
          <w:rFonts w:ascii="Times New Roman" w:hAnsi="Times New Roman" w:eastAsia="Times New Roman" w:cs="Times New Roman"/>
          <w:spacing w:val="2"/>
          <w:position w:val="1"/>
          <w:sz w:val="20"/>
          <w:szCs w:val="20"/>
        </w:rPr>
        <w:t xml:space="preserve"> </w:t>
      </w:r>
      <w:r>
        <w:rPr>
          <w:rFonts w:ascii="宋体" w:hAnsi="宋体" w:eastAsia="宋体" w:cs="宋体"/>
          <w:spacing w:val="2"/>
          <w:position w:val="1"/>
          <w:sz w:val="20"/>
          <w:szCs w:val="20"/>
        </w:rPr>
        <w:t>声级 (</w:t>
      </w:r>
      <w:r>
        <w:rPr>
          <w:rFonts w:ascii="Times New Roman" w:hAnsi="Times New Roman" w:eastAsia="Times New Roman" w:cs="Times New Roman"/>
          <w:position w:val="1"/>
          <w:sz w:val="20"/>
          <w:szCs w:val="20"/>
        </w:rPr>
        <w:t>dB</w:t>
      </w:r>
      <w:r>
        <w:rPr>
          <w:rFonts w:ascii="Times New Roman" w:hAnsi="Times New Roman" w:eastAsia="Times New Roman" w:cs="Times New Roman"/>
          <w:spacing w:val="2"/>
          <w:position w:val="1"/>
          <w:sz w:val="20"/>
          <w:szCs w:val="20"/>
        </w:rPr>
        <w:t xml:space="preserve">  </w:t>
      </w:r>
      <w:r>
        <w:rPr>
          <w:rFonts w:ascii="宋体" w:hAnsi="宋体" w:eastAsia="宋体" w:cs="宋体"/>
          <w:spacing w:val="2"/>
          <w:position w:val="1"/>
          <w:sz w:val="20"/>
          <w:szCs w:val="20"/>
        </w:rPr>
        <w:t>(</w:t>
      </w:r>
      <w:r>
        <w:rPr>
          <w:rFonts w:ascii="Times New Roman" w:hAnsi="Times New Roman" w:eastAsia="Times New Roman" w:cs="Times New Roman"/>
          <w:position w:val="1"/>
          <w:sz w:val="20"/>
          <w:szCs w:val="20"/>
        </w:rPr>
        <w:t>A</w:t>
      </w:r>
      <w:r>
        <w:rPr>
          <w:rFonts w:ascii="宋体" w:hAnsi="宋体" w:eastAsia="宋体" w:cs="宋体"/>
          <w:spacing w:val="2"/>
          <w:position w:val="1"/>
          <w:sz w:val="20"/>
          <w:szCs w:val="20"/>
        </w:rPr>
        <w:t>) ) ；</w:t>
      </w:r>
    </w:p>
    <w:p>
      <w:pPr>
        <w:spacing w:before="119" w:line="282" w:lineRule="exact"/>
        <w:ind w:left="1045"/>
        <w:rPr>
          <w:rFonts w:ascii="宋体" w:hAnsi="宋体" w:eastAsia="宋体" w:cs="宋体"/>
          <w:sz w:val="20"/>
          <w:szCs w:val="20"/>
        </w:rPr>
      </w:pPr>
      <w:r>
        <w:rPr>
          <w:rFonts w:ascii="Times New Roman" w:hAnsi="Times New Roman" w:eastAsia="Times New Roman" w:cs="Times New Roman"/>
          <w:position w:val="1"/>
          <w:sz w:val="20"/>
          <w:szCs w:val="20"/>
        </w:rPr>
        <w:t>L</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w:t>
      </w:r>
      <w:r>
        <w:rPr>
          <w:rFonts w:ascii="Times New Roman" w:hAnsi="Times New Roman" w:eastAsia="Times New Roman" w:cs="Times New Roman"/>
          <w:position w:val="1"/>
          <w:sz w:val="20"/>
          <w:szCs w:val="20"/>
        </w:rPr>
        <w:t>r</w:t>
      </w:r>
      <w:r>
        <w:rPr>
          <w:rFonts w:ascii="Times New Roman" w:hAnsi="Times New Roman" w:eastAsia="Times New Roman" w:cs="Times New Roman"/>
          <w:spacing w:val="2"/>
          <w:sz w:val="13"/>
          <w:szCs w:val="13"/>
        </w:rPr>
        <w:t xml:space="preserve">0 </w:t>
      </w:r>
      <w:r>
        <w:rPr>
          <w:rFonts w:ascii="宋体" w:hAnsi="宋体" w:eastAsia="宋体" w:cs="宋体"/>
          <w:spacing w:val="2"/>
          <w:position w:val="1"/>
          <w:sz w:val="20"/>
          <w:szCs w:val="20"/>
        </w:rPr>
        <w:t xml:space="preserve">) </w:t>
      </w:r>
      <w:r>
        <w:rPr>
          <w:rFonts w:ascii="Times New Roman" w:hAnsi="Times New Roman" w:eastAsia="Times New Roman" w:cs="Times New Roman"/>
          <w:spacing w:val="2"/>
          <w:position w:val="1"/>
          <w:sz w:val="20"/>
          <w:szCs w:val="20"/>
        </w:rPr>
        <w:t>—</w:t>
      </w:r>
      <w:r>
        <w:rPr>
          <w:rFonts w:ascii="宋体" w:hAnsi="宋体" w:eastAsia="宋体" w:cs="宋体"/>
          <w:spacing w:val="2"/>
          <w:position w:val="1"/>
          <w:sz w:val="20"/>
          <w:szCs w:val="20"/>
        </w:rPr>
        <w:t xml:space="preserve">距点声源 </w:t>
      </w:r>
      <w:r>
        <w:rPr>
          <w:rFonts w:ascii="Times New Roman" w:hAnsi="Times New Roman" w:eastAsia="Times New Roman" w:cs="Times New Roman"/>
          <w:position w:val="1"/>
          <w:sz w:val="20"/>
          <w:szCs w:val="20"/>
        </w:rPr>
        <w:t>r</w:t>
      </w:r>
      <w:r>
        <w:rPr>
          <w:rFonts w:ascii="Times New Roman" w:hAnsi="Times New Roman" w:eastAsia="Times New Roman" w:cs="Times New Roman"/>
          <w:spacing w:val="2"/>
          <w:sz w:val="13"/>
          <w:szCs w:val="13"/>
        </w:rPr>
        <w:t xml:space="preserve">0 </w:t>
      </w:r>
      <w:r>
        <w:rPr>
          <w:rFonts w:ascii="宋体" w:hAnsi="宋体" w:eastAsia="宋体" w:cs="宋体"/>
          <w:spacing w:val="2"/>
          <w:position w:val="1"/>
          <w:sz w:val="20"/>
          <w:szCs w:val="20"/>
        </w:rPr>
        <w:t xml:space="preserve">处的 </w:t>
      </w:r>
      <w:r>
        <w:rPr>
          <w:rFonts w:ascii="Times New Roman" w:hAnsi="Times New Roman" w:eastAsia="Times New Roman" w:cs="Times New Roman"/>
          <w:position w:val="1"/>
          <w:sz w:val="20"/>
          <w:szCs w:val="20"/>
        </w:rPr>
        <w:t>A</w:t>
      </w:r>
      <w:r>
        <w:rPr>
          <w:rFonts w:ascii="Times New Roman" w:hAnsi="Times New Roman" w:eastAsia="Times New Roman" w:cs="Times New Roman"/>
          <w:spacing w:val="2"/>
          <w:position w:val="1"/>
          <w:sz w:val="20"/>
          <w:szCs w:val="20"/>
        </w:rPr>
        <w:t xml:space="preserve"> </w:t>
      </w:r>
      <w:r>
        <w:rPr>
          <w:rFonts w:ascii="宋体" w:hAnsi="宋体" w:eastAsia="宋体" w:cs="宋体"/>
          <w:spacing w:val="2"/>
          <w:position w:val="1"/>
          <w:sz w:val="20"/>
          <w:szCs w:val="20"/>
        </w:rPr>
        <w:t>声级 (</w:t>
      </w:r>
      <w:r>
        <w:rPr>
          <w:rFonts w:ascii="Times New Roman" w:hAnsi="Times New Roman" w:eastAsia="Times New Roman" w:cs="Times New Roman"/>
          <w:position w:val="1"/>
          <w:sz w:val="20"/>
          <w:szCs w:val="20"/>
        </w:rPr>
        <w:t>dB</w:t>
      </w:r>
      <w:r>
        <w:rPr>
          <w:rFonts w:ascii="Times New Roman" w:hAnsi="Times New Roman" w:eastAsia="Times New Roman" w:cs="Times New Roman"/>
          <w:spacing w:val="2"/>
          <w:position w:val="1"/>
          <w:sz w:val="20"/>
          <w:szCs w:val="20"/>
        </w:rPr>
        <w:t xml:space="preserve">  </w:t>
      </w:r>
      <w:r>
        <w:rPr>
          <w:rFonts w:ascii="宋体" w:hAnsi="宋体" w:eastAsia="宋体" w:cs="宋体"/>
          <w:spacing w:val="2"/>
          <w:position w:val="1"/>
          <w:sz w:val="20"/>
          <w:szCs w:val="20"/>
        </w:rPr>
        <w:t>(</w:t>
      </w:r>
      <w:r>
        <w:rPr>
          <w:rFonts w:ascii="Times New Roman" w:hAnsi="Times New Roman" w:eastAsia="Times New Roman" w:cs="Times New Roman"/>
          <w:position w:val="1"/>
          <w:sz w:val="20"/>
          <w:szCs w:val="20"/>
        </w:rPr>
        <w:t>A</w:t>
      </w:r>
      <w:r>
        <w:rPr>
          <w:rFonts w:ascii="宋体" w:hAnsi="宋体" w:eastAsia="宋体" w:cs="宋体"/>
          <w:spacing w:val="2"/>
          <w:position w:val="1"/>
          <w:sz w:val="20"/>
          <w:szCs w:val="20"/>
        </w:rPr>
        <w:t>) ) 。</w:t>
      </w:r>
    </w:p>
    <w:p>
      <w:pPr>
        <w:spacing w:before="157" w:line="369" w:lineRule="auto"/>
        <w:ind w:firstLine="421"/>
        <w:rPr>
          <w:rFonts w:ascii="宋体" w:hAnsi="宋体" w:eastAsia="宋体" w:cs="宋体"/>
          <w:sz w:val="20"/>
          <w:szCs w:val="20"/>
        </w:rPr>
      </w:pPr>
      <w:r>
        <w:rPr>
          <w:rFonts w:ascii="宋体" w:hAnsi="宋体" w:eastAsia="宋体" w:cs="宋体"/>
          <w:spacing w:val="5"/>
          <w:sz w:val="20"/>
          <w:szCs w:val="20"/>
        </w:rPr>
        <w:t>本评价采用反推法，根据《建筑施工场界环境噪声排放标准》  (</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12523-2011</w:t>
      </w:r>
      <w:r>
        <w:rPr>
          <w:rFonts w:ascii="宋体" w:hAnsi="宋体" w:eastAsia="宋体" w:cs="宋体"/>
          <w:spacing w:val="5"/>
          <w:sz w:val="20"/>
          <w:szCs w:val="20"/>
        </w:rPr>
        <w:t>) ， 以各</w:t>
      </w:r>
      <w:r>
        <w:rPr>
          <w:rFonts w:ascii="宋体" w:hAnsi="宋体" w:eastAsia="宋体" w:cs="宋体"/>
          <w:spacing w:val="3"/>
          <w:sz w:val="20"/>
          <w:szCs w:val="20"/>
        </w:rPr>
        <w:t>施</w:t>
      </w:r>
      <w:r>
        <w:rPr>
          <w:rFonts w:ascii="宋体" w:hAnsi="宋体" w:eastAsia="宋体" w:cs="宋体"/>
          <w:sz w:val="20"/>
          <w:szCs w:val="20"/>
        </w:rPr>
        <w:t xml:space="preserve">工 </w:t>
      </w:r>
      <w:r>
        <w:rPr>
          <w:rFonts w:ascii="宋体" w:hAnsi="宋体" w:eastAsia="宋体" w:cs="宋体"/>
          <w:spacing w:val="12"/>
          <w:sz w:val="20"/>
          <w:szCs w:val="20"/>
        </w:rPr>
        <w:t>机械的声功率级为基础，依据噪声预测公式，通过计算得出各施工机械噪声源通过自然衰减达</w:t>
      </w:r>
      <w:r>
        <w:rPr>
          <w:rFonts w:ascii="宋体" w:hAnsi="宋体" w:eastAsia="宋体" w:cs="宋体"/>
          <w:spacing w:val="6"/>
          <w:sz w:val="20"/>
          <w:szCs w:val="20"/>
        </w:rPr>
        <w:t>标</w:t>
      </w:r>
    </w:p>
    <w:p>
      <w:pPr>
        <w:spacing w:line="228" w:lineRule="auto"/>
        <w:ind w:left="10"/>
        <w:rPr>
          <w:rFonts w:ascii="宋体" w:hAnsi="宋体" w:eastAsia="宋体" w:cs="宋体"/>
          <w:sz w:val="20"/>
          <w:szCs w:val="20"/>
        </w:rPr>
      </w:pPr>
      <w:r>
        <w:rPr>
          <w:rFonts w:ascii="宋体" w:hAnsi="宋体" w:eastAsia="宋体" w:cs="宋体"/>
          <w:spacing w:val="8"/>
          <w:sz w:val="20"/>
          <w:szCs w:val="20"/>
        </w:rPr>
        <w:t>时所需的距离，具体数据见下表</w:t>
      </w:r>
      <w:r>
        <w:rPr>
          <w:rFonts w:ascii="宋体" w:hAnsi="宋体" w:eastAsia="宋体" w:cs="宋体"/>
          <w:spacing w:val="7"/>
          <w:sz w:val="20"/>
          <w:szCs w:val="20"/>
        </w:rPr>
        <w:t>。</w:t>
      </w:r>
    </w:p>
    <w:p>
      <w:pPr>
        <w:spacing w:before="100" w:line="226" w:lineRule="auto"/>
        <w:ind w:left="2557"/>
        <w:rPr>
          <w:rFonts w:ascii="黑体" w:hAnsi="黑体" w:eastAsia="黑体" w:cs="黑体"/>
          <w:sz w:val="19"/>
          <w:szCs w:val="19"/>
        </w:rPr>
      </w:pPr>
      <w:r>
        <w:rPr>
          <w:rFonts w:ascii="黑体" w:hAnsi="黑体" w:eastAsia="黑体" w:cs="黑体"/>
          <w:spacing w:val="14"/>
          <w:sz w:val="19"/>
          <w:szCs w:val="19"/>
        </w:rPr>
        <w:t>表</w:t>
      </w:r>
      <w:r>
        <w:rPr>
          <w:rFonts w:ascii="Times New Roman" w:hAnsi="Times New Roman" w:eastAsia="Times New Roman" w:cs="Times New Roman"/>
          <w:spacing w:val="14"/>
          <w:sz w:val="19"/>
          <w:szCs w:val="19"/>
        </w:rPr>
        <w:t>1</w:t>
      </w:r>
      <w:r>
        <w:rPr>
          <w:rFonts w:ascii="Times New Roman" w:hAnsi="Times New Roman" w:eastAsia="Times New Roman" w:cs="Times New Roman"/>
          <w:spacing w:val="9"/>
          <w:sz w:val="19"/>
          <w:szCs w:val="19"/>
        </w:rPr>
        <w:t>4</w:t>
      </w:r>
      <w:r>
        <w:rPr>
          <w:rFonts w:ascii="Times New Roman" w:hAnsi="Times New Roman" w:eastAsia="Times New Roman" w:cs="Times New Roman"/>
          <w:spacing w:val="7"/>
          <w:sz w:val="19"/>
          <w:szCs w:val="19"/>
        </w:rPr>
        <w:t xml:space="preserve">    </w:t>
      </w:r>
      <w:r>
        <w:rPr>
          <w:rFonts w:ascii="黑体" w:hAnsi="黑体" w:eastAsia="黑体" w:cs="黑体"/>
          <w:spacing w:val="7"/>
          <w:sz w:val="19"/>
          <w:szCs w:val="19"/>
        </w:rPr>
        <w:t>施工机械场界噪声达标所需衰减距离</w:t>
      </w:r>
    </w:p>
    <w:tbl>
      <w:tblPr>
        <w:tblStyle w:val="4"/>
        <w:tblW w:w="8740" w:type="dxa"/>
        <w:tblInd w:w="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2148"/>
        <w:gridCol w:w="1003"/>
        <w:gridCol w:w="1373"/>
        <w:gridCol w:w="1769"/>
        <w:gridCol w:w="17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675" w:type="dxa"/>
            <w:vAlign w:val="top"/>
          </w:tcPr>
          <w:p>
            <w:pPr>
              <w:spacing w:before="234" w:line="232" w:lineRule="auto"/>
              <w:ind w:left="161"/>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序</w:t>
            </w:r>
            <w:r>
              <w:rPr>
                <w:rFonts w:ascii="宋体" w:hAnsi="宋体" w:eastAsia="宋体" w:cs="宋体"/>
                <w:spacing w:val="6"/>
                <w:sz w:val="17"/>
                <w:szCs w:val="17"/>
                <w14:textOutline w14:w="3268" w14:cap="sq" w14:cmpd="sng">
                  <w14:solidFill>
                    <w14:srgbClr w14:val="000000"/>
                  </w14:solidFill>
                  <w14:prstDash w14:val="solid"/>
                  <w14:bevel/>
                </w14:textOutline>
              </w:rPr>
              <w:t>号</w:t>
            </w:r>
          </w:p>
        </w:tc>
        <w:tc>
          <w:tcPr>
            <w:tcW w:w="2148" w:type="dxa"/>
            <w:vAlign w:val="top"/>
          </w:tcPr>
          <w:p>
            <w:pPr>
              <w:spacing w:before="234" w:line="229" w:lineRule="auto"/>
              <w:ind w:left="714"/>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机械类型</w:t>
            </w:r>
          </w:p>
        </w:tc>
        <w:tc>
          <w:tcPr>
            <w:tcW w:w="1003" w:type="dxa"/>
            <w:vAlign w:val="top"/>
          </w:tcPr>
          <w:p>
            <w:pPr>
              <w:spacing w:before="199" w:line="248" w:lineRule="exact"/>
              <w:ind w:left="278"/>
              <w:rPr>
                <w:rFonts w:ascii="Times New Roman" w:hAnsi="Times New Roman" w:eastAsia="Times New Roman" w:cs="Times New Roman"/>
                <w:sz w:val="17"/>
                <w:szCs w:val="17"/>
              </w:rPr>
            </w:pPr>
            <w:r>
              <w:rPr>
                <w:rFonts w:ascii="Times New Roman" w:hAnsi="Times New Roman" w:eastAsia="Times New Roman" w:cs="Times New Roman"/>
                <w:b/>
                <w:bCs/>
                <w:position w:val="3"/>
                <w:sz w:val="17"/>
                <w:szCs w:val="17"/>
              </w:rPr>
              <w:t>r</w:t>
            </w:r>
            <w:r>
              <w:rPr>
                <w:rFonts w:ascii="Times New Roman" w:hAnsi="Times New Roman" w:eastAsia="Times New Roman" w:cs="Times New Roman"/>
                <w:b/>
                <w:bCs/>
                <w:spacing w:val="8"/>
                <w:position w:val="2"/>
                <w:sz w:val="11"/>
                <w:szCs w:val="11"/>
              </w:rPr>
              <w:t>0</w:t>
            </w:r>
            <w:r>
              <w:rPr>
                <w:rFonts w:ascii="Times New Roman" w:hAnsi="Times New Roman" w:eastAsia="Times New Roman" w:cs="Times New Roman"/>
                <w:spacing w:val="8"/>
                <w:position w:val="2"/>
                <w:sz w:val="11"/>
                <w:szCs w:val="11"/>
              </w:rPr>
              <w:t xml:space="preserve"> </w:t>
            </w:r>
            <w:r>
              <w:rPr>
                <w:rFonts w:ascii="Times New Roman" w:hAnsi="Times New Roman" w:eastAsia="Times New Roman" w:cs="Times New Roman"/>
                <w:b/>
                <w:bCs/>
                <w:spacing w:val="8"/>
                <w:position w:val="3"/>
                <w:sz w:val="17"/>
                <w:szCs w:val="17"/>
              </w:rPr>
              <w:t>(</w:t>
            </w:r>
            <w:r>
              <w:rPr>
                <w:rFonts w:ascii="Times New Roman" w:hAnsi="Times New Roman" w:eastAsia="Times New Roman" w:cs="Times New Roman"/>
                <w:b/>
                <w:bCs/>
                <w:position w:val="3"/>
                <w:sz w:val="17"/>
                <w:szCs w:val="17"/>
              </w:rPr>
              <w:t>m</w:t>
            </w:r>
            <w:r>
              <w:rPr>
                <w:rFonts w:ascii="Times New Roman" w:hAnsi="Times New Roman" w:eastAsia="Times New Roman" w:cs="Times New Roman"/>
                <w:b/>
                <w:bCs/>
                <w:spacing w:val="7"/>
                <w:position w:val="3"/>
                <w:sz w:val="17"/>
                <w:szCs w:val="17"/>
              </w:rPr>
              <w:t>)</w:t>
            </w:r>
          </w:p>
        </w:tc>
        <w:tc>
          <w:tcPr>
            <w:tcW w:w="1373" w:type="dxa"/>
            <w:vAlign w:val="top"/>
          </w:tcPr>
          <w:p>
            <w:pPr>
              <w:spacing w:before="102" w:line="222" w:lineRule="auto"/>
              <w:ind w:left="331"/>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最</w:t>
            </w:r>
            <w:r>
              <w:rPr>
                <w:rFonts w:ascii="宋体" w:hAnsi="宋体" w:eastAsia="宋体" w:cs="宋体"/>
                <w:spacing w:val="8"/>
                <w:sz w:val="17"/>
                <w:szCs w:val="17"/>
                <w14:textOutline w14:w="3268" w14:cap="sq" w14:cmpd="sng">
                  <w14:solidFill>
                    <w14:srgbClr w14:val="000000"/>
                  </w14:solidFill>
                  <w14:prstDash w14:val="solid"/>
                  <w14:bevel/>
                </w14:textOutline>
              </w:rPr>
              <w:t>大声级</w:t>
            </w:r>
          </w:p>
          <w:p>
            <w:pPr>
              <w:spacing w:line="248" w:lineRule="exact"/>
              <w:ind w:left="456"/>
              <w:rPr>
                <w:rFonts w:ascii="Times New Roman" w:hAnsi="Times New Roman" w:eastAsia="Times New Roman" w:cs="Times New Roman"/>
                <w:sz w:val="17"/>
                <w:szCs w:val="17"/>
              </w:rPr>
            </w:pPr>
            <w:r>
              <w:rPr>
                <w:rFonts w:ascii="Times New Roman" w:hAnsi="Times New Roman" w:eastAsia="Times New Roman" w:cs="Times New Roman"/>
                <w:b/>
                <w:bCs/>
                <w:position w:val="3"/>
                <w:sz w:val="17"/>
                <w:szCs w:val="17"/>
              </w:rPr>
              <w:t>dB</w:t>
            </w:r>
            <w:r>
              <w:rPr>
                <w:rFonts w:ascii="Times New Roman" w:hAnsi="Times New Roman" w:eastAsia="Times New Roman" w:cs="Times New Roman"/>
                <w:b/>
                <w:bCs/>
                <w:spacing w:val="10"/>
                <w:position w:val="3"/>
                <w:sz w:val="17"/>
                <w:szCs w:val="17"/>
              </w:rPr>
              <w:t>(</w:t>
            </w:r>
            <w:r>
              <w:rPr>
                <w:rFonts w:ascii="Times New Roman" w:hAnsi="Times New Roman" w:eastAsia="Times New Roman" w:cs="Times New Roman"/>
                <w:b/>
                <w:bCs/>
                <w:position w:val="3"/>
                <w:sz w:val="17"/>
                <w:szCs w:val="17"/>
              </w:rPr>
              <w:t>A</w:t>
            </w:r>
            <w:r>
              <w:rPr>
                <w:rFonts w:ascii="Times New Roman" w:hAnsi="Times New Roman" w:eastAsia="Times New Roman" w:cs="Times New Roman"/>
                <w:b/>
                <w:bCs/>
                <w:spacing w:val="9"/>
                <w:position w:val="3"/>
                <w:sz w:val="17"/>
                <w:szCs w:val="17"/>
              </w:rPr>
              <w:t>)</w:t>
            </w:r>
          </w:p>
        </w:tc>
        <w:tc>
          <w:tcPr>
            <w:tcW w:w="1769" w:type="dxa"/>
            <w:vAlign w:val="top"/>
          </w:tcPr>
          <w:p>
            <w:pPr>
              <w:spacing w:before="66" w:line="274" w:lineRule="auto"/>
              <w:ind w:left="444" w:right="239" w:hanging="196"/>
              <w:rPr>
                <w:rFonts w:ascii="Times New Roman" w:hAnsi="Times New Roman" w:eastAsia="Times New Roman" w:cs="Times New Roman"/>
                <w:sz w:val="17"/>
                <w:szCs w:val="17"/>
              </w:rPr>
            </w:pPr>
            <w:r>
              <w:rPr>
                <w:rFonts w:ascii="宋体" w:hAnsi="宋体" w:eastAsia="宋体" w:cs="宋体"/>
                <w:spacing w:val="13"/>
                <w:sz w:val="17"/>
                <w:szCs w:val="17"/>
                <w14:textOutline w14:w="3268" w14:cap="sq" w14:cmpd="sng">
                  <w14:solidFill>
                    <w14:srgbClr w14:val="000000"/>
                  </w14:solidFill>
                  <w14:prstDash w14:val="solid"/>
                  <w14:bevel/>
                </w14:textOutline>
              </w:rPr>
              <w:t>标</w:t>
            </w:r>
            <w:r>
              <w:rPr>
                <w:rFonts w:ascii="宋体" w:hAnsi="宋体" w:eastAsia="宋体" w:cs="宋体"/>
                <w:spacing w:val="9"/>
                <w:sz w:val="17"/>
                <w:szCs w:val="17"/>
                <w14:textOutline w14:w="3268" w14:cap="sq" w14:cmpd="sng">
                  <w14:solidFill>
                    <w14:srgbClr w14:val="000000"/>
                  </w14:solidFill>
                  <w14:prstDash w14:val="solid"/>
                  <w14:bevel/>
                </w14:textOutline>
              </w:rPr>
              <w:t>准限值</w:t>
            </w:r>
            <w:r>
              <w:rPr>
                <w:rFonts w:ascii="宋体" w:hAnsi="宋体" w:eastAsia="宋体" w:cs="宋体"/>
                <w:spacing w:val="9"/>
                <w:sz w:val="17"/>
                <w:szCs w:val="17"/>
              </w:rPr>
              <w:t xml:space="preserve"> </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r>
              <w:rPr>
                <w:rFonts w:ascii="Times New Roman" w:hAnsi="Times New Roman" w:eastAsia="Times New Roman" w:cs="Times New Roman"/>
                <w:sz w:val="17"/>
                <w:szCs w:val="17"/>
              </w:rPr>
              <w:t xml:space="preserve"> </w:t>
            </w:r>
            <w:r>
              <w:rPr>
                <w:rFonts w:ascii="Times New Roman" w:hAnsi="Times New Roman" w:eastAsia="Times New Roman" w:cs="Times New Roman"/>
                <w:b/>
                <w:bCs/>
                <w:spacing w:val="6"/>
                <w:sz w:val="17"/>
                <w:szCs w:val="17"/>
              </w:rPr>
              <w:t>(</w:t>
            </w:r>
            <w:r>
              <w:rPr>
                <w:rFonts w:ascii="宋体" w:hAnsi="宋体" w:eastAsia="宋体" w:cs="宋体"/>
                <w:spacing w:val="6"/>
                <w:sz w:val="17"/>
                <w:szCs w:val="17"/>
                <w14:textOutline w14:w="3268" w14:cap="sq" w14:cmpd="sng">
                  <w14:solidFill>
                    <w14:srgbClr w14:val="000000"/>
                  </w14:solidFill>
                  <w14:prstDash w14:val="solid"/>
                  <w14:bevel/>
                </w14:textOutline>
              </w:rPr>
              <w:t>昼间</w:t>
            </w:r>
            <w:r>
              <w:rPr>
                <w:rFonts w:ascii="Times New Roman" w:hAnsi="Times New Roman" w:eastAsia="Times New Roman" w:cs="Times New Roman"/>
                <w:b/>
                <w:bCs/>
                <w:spacing w:val="6"/>
                <w:sz w:val="17"/>
                <w:szCs w:val="17"/>
              </w:rPr>
              <w:t>/</w:t>
            </w:r>
            <w:r>
              <w:rPr>
                <w:rFonts w:ascii="宋体" w:hAnsi="宋体" w:eastAsia="宋体" w:cs="宋体"/>
                <w:spacing w:val="6"/>
                <w:sz w:val="17"/>
                <w:szCs w:val="17"/>
                <w14:textOutline w14:w="3268" w14:cap="sq" w14:cmpd="sng">
                  <w14:solidFill>
                    <w14:srgbClr w14:val="000000"/>
                  </w14:solidFill>
                  <w14:prstDash w14:val="solid"/>
                  <w14:bevel/>
                </w14:textOutline>
              </w:rPr>
              <w:t>夜间</w:t>
            </w:r>
            <w:r>
              <w:rPr>
                <w:rFonts w:ascii="Times New Roman" w:hAnsi="Times New Roman" w:eastAsia="Times New Roman" w:cs="Times New Roman"/>
                <w:b/>
                <w:bCs/>
                <w:spacing w:val="6"/>
                <w:sz w:val="17"/>
                <w:szCs w:val="17"/>
              </w:rPr>
              <w:t>)</w:t>
            </w:r>
          </w:p>
        </w:tc>
        <w:tc>
          <w:tcPr>
            <w:tcW w:w="1772" w:type="dxa"/>
            <w:vAlign w:val="top"/>
          </w:tcPr>
          <w:p>
            <w:pPr>
              <w:spacing w:before="102" w:line="222" w:lineRule="auto"/>
              <w:ind w:left="407"/>
              <w:rPr>
                <w:rFonts w:ascii="Times New Roman" w:hAnsi="Times New Roman" w:eastAsia="Times New Roman" w:cs="Times New Roman"/>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达标距离</w:t>
            </w:r>
            <w:r>
              <w:rPr>
                <w:rFonts w:ascii="宋体" w:hAnsi="宋体" w:eastAsia="宋体" w:cs="宋体"/>
                <w:spacing w:val="10"/>
                <w:sz w:val="17"/>
                <w:szCs w:val="17"/>
              </w:rPr>
              <w:t xml:space="preserve"> </w:t>
            </w:r>
            <w:r>
              <w:rPr>
                <w:rFonts w:ascii="Times New Roman" w:hAnsi="Times New Roman" w:eastAsia="Times New Roman" w:cs="Times New Roman"/>
                <w:b/>
                <w:bCs/>
                <w:sz w:val="17"/>
                <w:szCs w:val="17"/>
              </w:rPr>
              <w:t>m</w:t>
            </w:r>
          </w:p>
          <w:p>
            <w:pPr>
              <w:spacing w:line="248" w:lineRule="exact"/>
              <w:ind w:left="444"/>
              <w:rPr>
                <w:rFonts w:ascii="Times New Roman" w:hAnsi="Times New Roman" w:eastAsia="Times New Roman" w:cs="Times New Roman"/>
                <w:sz w:val="17"/>
                <w:szCs w:val="17"/>
              </w:rPr>
            </w:pPr>
            <w:r>
              <w:rPr>
                <w:rFonts w:ascii="Times New Roman" w:hAnsi="Times New Roman" w:eastAsia="Times New Roman" w:cs="Times New Roman"/>
                <w:b/>
                <w:bCs/>
                <w:spacing w:val="6"/>
                <w:position w:val="2"/>
                <w:sz w:val="17"/>
                <w:szCs w:val="17"/>
              </w:rPr>
              <w:t>(</w:t>
            </w:r>
            <w:r>
              <w:rPr>
                <w:rFonts w:ascii="宋体" w:hAnsi="宋体" w:eastAsia="宋体" w:cs="宋体"/>
                <w:spacing w:val="6"/>
                <w:position w:val="2"/>
                <w:sz w:val="17"/>
                <w:szCs w:val="17"/>
                <w14:textOutline w14:w="3268" w14:cap="sq" w14:cmpd="sng">
                  <w14:solidFill>
                    <w14:srgbClr w14:val="000000"/>
                  </w14:solidFill>
                  <w14:prstDash w14:val="solid"/>
                  <w14:bevel/>
                </w14:textOutline>
              </w:rPr>
              <w:t>昼间</w:t>
            </w:r>
            <w:r>
              <w:rPr>
                <w:rFonts w:ascii="Times New Roman" w:hAnsi="Times New Roman" w:eastAsia="Times New Roman" w:cs="Times New Roman"/>
                <w:b/>
                <w:bCs/>
                <w:spacing w:val="6"/>
                <w:position w:val="2"/>
                <w:sz w:val="17"/>
                <w:szCs w:val="17"/>
              </w:rPr>
              <w:t>/</w:t>
            </w:r>
            <w:r>
              <w:rPr>
                <w:rFonts w:ascii="宋体" w:hAnsi="宋体" w:eastAsia="宋体" w:cs="宋体"/>
                <w:spacing w:val="6"/>
                <w:position w:val="2"/>
                <w:sz w:val="17"/>
                <w:szCs w:val="17"/>
                <w14:textOutline w14:w="3268" w14:cap="sq" w14:cmpd="sng">
                  <w14:solidFill>
                    <w14:srgbClr w14:val="000000"/>
                  </w14:solidFill>
                  <w14:prstDash w14:val="solid"/>
                  <w14:bevel/>
                </w14:textOutline>
              </w:rPr>
              <w:t>夜间</w:t>
            </w:r>
            <w:r>
              <w:rPr>
                <w:rFonts w:ascii="Times New Roman" w:hAnsi="Times New Roman" w:eastAsia="Times New Roman" w:cs="Times New Roman"/>
                <w:b/>
                <w:bCs/>
                <w:spacing w:val="6"/>
                <w:position w:val="2"/>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5" w:type="dxa"/>
            <w:vAlign w:val="top"/>
          </w:tcPr>
          <w:p>
            <w:pPr>
              <w:spacing w:before="123" w:line="197" w:lineRule="auto"/>
              <w:ind w:left="310"/>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2148" w:type="dxa"/>
            <w:vAlign w:val="top"/>
          </w:tcPr>
          <w:p>
            <w:pPr>
              <w:spacing w:before="92" w:line="229" w:lineRule="auto"/>
              <w:ind w:left="806"/>
              <w:rPr>
                <w:rFonts w:ascii="宋体" w:hAnsi="宋体" w:eastAsia="宋体" w:cs="宋体"/>
                <w:sz w:val="17"/>
                <w:szCs w:val="17"/>
              </w:rPr>
            </w:pPr>
            <w:r>
              <w:rPr>
                <w:rFonts w:ascii="宋体" w:hAnsi="宋体" w:eastAsia="宋体" w:cs="宋体"/>
                <w:spacing w:val="8"/>
                <w:sz w:val="17"/>
                <w:szCs w:val="17"/>
              </w:rPr>
              <w:t>装</w:t>
            </w:r>
            <w:r>
              <w:rPr>
                <w:rFonts w:ascii="宋体" w:hAnsi="宋体" w:eastAsia="宋体" w:cs="宋体"/>
                <w:spacing w:val="7"/>
                <w:sz w:val="17"/>
                <w:szCs w:val="17"/>
              </w:rPr>
              <w:t>载机</w:t>
            </w:r>
          </w:p>
        </w:tc>
        <w:tc>
          <w:tcPr>
            <w:tcW w:w="1003" w:type="dxa"/>
            <w:vAlign w:val="top"/>
          </w:tcPr>
          <w:p>
            <w:pPr>
              <w:spacing w:before="125" w:line="194" w:lineRule="auto"/>
              <w:ind w:left="462"/>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1373" w:type="dxa"/>
            <w:vAlign w:val="top"/>
          </w:tcPr>
          <w:p>
            <w:pPr>
              <w:spacing w:before="123" w:line="197" w:lineRule="auto"/>
              <w:ind w:left="60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0</w:t>
            </w:r>
          </w:p>
        </w:tc>
        <w:tc>
          <w:tcPr>
            <w:tcW w:w="1769" w:type="dxa"/>
            <w:vAlign w:val="top"/>
          </w:tcPr>
          <w:p>
            <w:pPr>
              <w:spacing w:before="59" w:line="242" w:lineRule="exact"/>
              <w:ind w:left="686"/>
              <w:rPr>
                <w:rFonts w:ascii="Times New Roman" w:hAnsi="Times New Roman" w:eastAsia="Times New Roman" w:cs="Times New Roman"/>
                <w:sz w:val="17"/>
                <w:szCs w:val="17"/>
              </w:rPr>
            </w:pPr>
            <w:r>
              <w:rPr>
                <w:rFonts w:ascii="Times New Roman" w:hAnsi="Times New Roman" w:eastAsia="Times New Roman" w:cs="Times New Roman"/>
                <w:spacing w:val="3"/>
                <w:position w:val="1"/>
                <w:sz w:val="17"/>
                <w:szCs w:val="17"/>
              </w:rPr>
              <w:t>75/55</w:t>
            </w:r>
          </w:p>
        </w:tc>
        <w:tc>
          <w:tcPr>
            <w:tcW w:w="1772" w:type="dxa"/>
            <w:vAlign w:val="top"/>
          </w:tcPr>
          <w:p>
            <w:pPr>
              <w:spacing w:before="59" w:line="242" w:lineRule="exact"/>
              <w:ind w:left="637"/>
              <w:rPr>
                <w:rFonts w:ascii="Times New Roman" w:hAnsi="Times New Roman" w:eastAsia="Times New Roman" w:cs="Times New Roman"/>
                <w:sz w:val="17"/>
                <w:szCs w:val="17"/>
              </w:rPr>
            </w:pPr>
            <w:r>
              <w:rPr>
                <w:rFonts w:ascii="Times New Roman" w:hAnsi="Times New Roman" w:eastAsia="Times New Roman" w:cs="Times New Roman"/>
                <w:spacing w:val="4"/>
                <w:position w:val="1"/>
                <w:sz w:val="17"/>
                <w:szCs w:val="17"/>
              </w:rPr>
              <w:t>28/281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5" w:type="dxa"/>
            <w:vAlign w:val="top"/>
          </w:tcPr>
          <w:p>
            <w:pPr>
              <w:spacing w:before="123" w:line="197" w:lineRule="auto"/>
              <w:ind w:left="292"/>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2148" w:type="dxa"/>
            <w:vAlign w:val="top"/>
          </w:tcPr>
          <w:p>
            <w:pPr>
              <w:spacing w:before="95" w:line="229" w:lineRule="auto"/>
              <w:ind w:left="806"/>
              <w:rPr>
                <w:rFonts w:ascii="宋体" w:hAnsi="宋体" w:eastAsia="宋体" w:cs="宋体"/>
                <w:sz w:val="17"/>
                <w:szCs w:val="17"/>
              </w:rPr>
            </w:pPr>
            <w:r>
              <w:rPr>
                <w:rFonts w:ascii="宋体" w:hAnsi="宋体" w:eastAsia="宋体" w:cs="宋体"/>
                <w:spacing w:val="8"/>
                <w:sz w:val="17"/>
                <w:szCs w:val="17"/>
              </w:rPr>
              <w:t>搅拌</w:t>
            </w:r>
            <w:r>
              <w:rPr>
                <w:rFonts w:ascii="宋体" w:hAnsi="宋体" w:eastAsia="宋体" w:cs="宋体"/>
                <w:spacing w:val="7"/>
                <w:sz w:val="17"/>
                <w:szCs w:val="17"/>
              </w:rPr>
              <w:t>机</w:t>
            </w:r>
          </w:p>
        </w:tc>
        <w:tc>
          <w:tcPr>
            <w:tcW w:w="1003" w:type="dxa"/>
            <w:vAlign w:val="top"/>
          </w:tcPr>
          <w:p>
            <w:pPr>
              <w:spacing w:before="126" w:line="194" w:lineRule="auto"/>
              <w:ind w:left="462"/>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1373" w:type="dxa"/>
            <w:vAlign w:val="top"/>
          </w:tcPr>
          <w:p>
            <w:pPr>
              <w:spacing w:before="123" w:line="197" w:lineRule="auto"/>
              <w:ind w:left="604"/>
              <w:rPr>
                <w:rFonts w:ascii="Times New Roman" w:hAnsi="Times New Roman" w:eastAsia="Times New Roman" w:cs="Times New Roman"/>
                <w:sz w:val="17"/>
                <w:szCs w:val="17"/>
              </w:rPr>
            </w:pPr>
            <w:r>
              <w:rPr>
                <w:rFonts w:ascii="Times New Roman" w:hAnsi="Times New Roman" w:eastAsia="Times New Roman" w:cs="Times New Roman"/>
                <w:sz w:val="17"/>
                <w:szCs w:val="17"/>
              </w:rPr>
              <w:t>85</w:t>
            </w:r>
          </w:p>
        </w:tc>
        <w:tc>
          <w:tcPr>
            <w:tcW w:w="1769" w:type="dxa"/>
            <w:vAlign w:val="top"/>
          </w:tcPr>
          <w:p>
            <w:pPr>
              <w:spacing w:before="60" w:line="242" w:lineRule="exact"/>
              <w:ind w:left="686"/>
              <w:rPr>
                <w:rFonts w:ascii="Times New Roman" w:hAnsi="Times New Roman" w:eastAsia="Times New Roman" w:cs="Times New Roman"/>
                <w:sz w:val="17"/>
                <w:szCs w:val="17"/>
              </w:rPr>
            </w:pPr>
            <w:r>
              <w:rPr>
                <w:rFonts w:ascii="Times New Roman" w:hAnsi="Times New Roman" w:eastAsia="Times New Roman" w:cs="Times New Roman"/>
                <w:spacing w:val="3"/>
                <w:position w:val="1"/>
                <w:sz w:val="17"/>
                <w:szCs w:val="17"/>
              </w:rPr>
              <w:t>75/55</w:t>
            </w:r>
          </w:p>
        </w:tc>
        <w:tc>
          <w:tcPr>
            <w:tcW w:w="1772" w:type="dxa"/>
            <w:vAlign w:val="top"/>
          </w:tcPr>
          <w:p>
            <w:pPr>
              <w:spacing w:before="60" w:line="242" w:lineRule="exact"/>
              <w:ind w:left="637"/>
              <w:rPr>
                <w:rFonts w:ascii="Times New Roman" w:hAnsi="Times New Roman" w:eastAsia="Times New Roman" w:cs="Times New Roman"/>
                <w:sz w:val="17"/>
                <w:szCs w:val="17"/>
              </w:rPr>
            </w:pPr>
            <w:r>
              <w:rPr>
                <w:rFonts w:ascii="Times New Roman" w:hAnsi="Times New Roman" w:eastAsia="Times New Roman" w:cs="Times New Roman"/>
                <w:spacing w:val="4"/>
                <w:position w:val="1"/>
                <w:sz w:val="17"/>
                <w:szCs w:val="17"/>
              </w:rPr>
              <w:t>28/281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5" w:type="dxa"/>
            <w:vAlign w:val="top"/>
          </w:tcPr>
          <w:p>
            <w:pPr>
              <w:spacing w:before="124" w:line="197" w:lineRule="auto"/>
              <w:ind w:left="296"/>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tc>
        <w:tc>
          <w:tcPr>
            <w:tcW w:w="2148" w:type="dxa"/>
            <w:vAlign w:val="top"/>
          </w:tcPr>
          <w:p>
            <w:pPr>
              <w:spacing w:before="96" w:line="229" w:lineRule="auto"/>
              <w:ind w:left="806"/>
              <w:rPr>
                <w:rFonts w:ascii="宋体" w:hAnsi="宋体" w:eastAsia="宋体" w:cs="宋体"/>
                <w:sz w:val="17"/>
                <w:szCs w:val="17"/>
              </w:rPr>
            </w:pPr>
            <w:r>
              <w:rPr>
                <w:rFonts w:ascii="宋体" w:hAnsi="宋体" w:eastAsia="宋体" w:cs="宋体"/>
                <w:spacing w:val="8"/>
                <w:sz w:val="17"/>
                <w:szCs w:val="17"/>
              </w:rPr>
              <w:t>挖掘</w:t>
            </w:r>
            <w:r>
              <w:rPr>
                <w:rFonts w:ascii="宋体" w:hAnsi="宋体" w:eastAsia="宋体" w:cs="宋体"/>
                <w:spacing w:val="7"/>
                <w:sz w:val="17"/>
                <w:szCs w:val="17"/>
              </w:rPr>
              <w:t>机</w:t>
            </w:r>
          </w:p>
        </w:tc>
        <w:tc>
          <w:tcPr>
            <w:tcW w:w="1003" w:type="dxa"/>
            <w:vAlign w:val="top"/>
          </w:tcPr>
          <w:p>
            <w:pPr>
              <w:spacing w:before="126" w:line="194" w:lineRule="auto"/>
              <w:ind w:left="462"/>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1373" w:type="dxa"/>
            <w:vAlign w:val="top"/>
          </w:tcPr>
          <w:p>
            <w:pPr>
              <w:spacing w:before="124" w:line="197" w:lineRule="auto"/>
              <w:ind w:left="604"/>
              <w:rPr>
                <w:rFonts w:ascii="Times New Roman" w:hAnsi="Times New Roman" w:eastAsia="Times New Roman" w:cs="Times New Roman"/>
                <w:sz w:val="17"/>
                <w:szCs w:val="17"/>
              </w:rPr>
            </w:pPr>
            <w:r>
              <w:rPr>
                <w:rFonts w:ascii="Times New Roman" w:hAnsi="Times New Roman" w:eastAsia="Times New Roman" w:cs="Times New Roman"/>
                <w:sz w:val="17"/>
                <w:szCs w:val="17"/>
              </w:rPr>
              <w:t>85</w:t>
            </w:r>
          </w:p>
        </w:tc>
        <w:tc>
          <w:tcPr>
            <w:tcW w:w="1769" w:type="dxa"/>
            <w:vAlign w:val="top"/>
          </w:tcPr>
          <w:p>
            <w:pPr>
              <w:spacing w:before="60" w:line="243" w:lineRule="exact"/>
              <w:ind w:left="686"/>
              <w:rPr>
                <w:rFonts w:ascii="Times New Roman" w:hAnsi="Times New Roman" w:eastAsia="Times New Roman" w:cs="Times New Roman"/>
                <w:sz w:val="17"/>
                <w:szCs w:val="17"/>
              </w:rPr>
            </w:pPr>
            <w:r>
              <w:rPr>
                <w:rFonts w:ascii="Times New Roman" w:hAnsi="Times New Roman" w:eastAsia="Times New Roman" w:cs="Times New Roman"/>
                <w:spacing w:val="3"/>
                <w:position w:val="1"/>
                <w:sz w:val="17"/>
                <w:szCs w:val="17"/>
              </w:rPr>
              <w:t>75/55</w:t>
            </w:r>
          </w:p>
        </w:tc>
        <w:tc>
          <w:tcPr>
            <w:tcW w:w="1772" w:type="dxa"/>
            <w:vAlign w:val="top"/>
          </w:tcPr>
          <w:p>
            <w:pPr>
              <w:spacing w:before="60" w:line="243" w:lineRule="exact"/>
              <w:ind w:left="637"/>
              <w:rPr>
                <w:rFonts w:ascii="Times New Roman" w:hAnsi="Times New Roman" w:eastAsia="Times New Roman" w:cs="Times New Roman"/>
                <w:sz w:val="17"/>
                <w:szCs w:val="17"/>
              </w:rPr>
            </w:pPr>
            <w:r>
              <w:rPr>
                <w:rFonts w:ascii="Times New Roman" w:hAnsi="Times New Roman" w:eastAsia="Times New Roman" w:cs="Times New Roman"/>
                <w:spacing w:val="4"/>
                <w:position w:val="1"/>
                <w:sz w:val="17"/>
                <w:szCs w:val="17"/>
              </w:rPr>
              <w:t>28/281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675" w:type="dxa"/>
            <w:vAlign w:val="top"/>
          </w:tcPr>
          <w:p>
            <w:pPr>
              <w:spacing w:before="127" w:line="197" w:lineRule="auto"/>
              <w:ind w:left="29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2148" w:type="dxa"/>
            <w:vAlign w:val="top"/>
          </w:tcPr>
          <w:p>
            <w:pPr>
              <w:spacing w:before="96" w:line="229" w:lineRule="auto"/>
              <w:ind w:left="807"/>
              <w:rPr>
                <w:rFonts w:ascii="宋体" w:hAnsi="宋体" w:eastAsia="宋体" w:cs="宋体"/>
                <w:sz w:val="17"/>
                <w:szCs w:val="17"/>
              </w:rPr>
            </w:pPr>
            <w:r>
              <w:rPr>
                <w:rFonts w:ascii="宋体" w:hAnsi="宋体" w:eastAsia="宋体" w:cs="宋体"/>
                <w:spacing w:val="8"/>
                <w:sz w:val="17"/>
                <w:szCs w:val="17"/>
              </w:rPr>
              <w:t>压</w:t>
            </w:r>
            <w:r>
              <w:rPr>
                <w:rFonts w:ascii="宋体" w:hAnsi="宋体" w:eastAsia="宋体" w:cs="宋体"/>
                <w:spacing w:val="7"/>
                <w:sz w:val="17"/>
                <w:szCs w:val="17"/>
              </w:rPr>
              <w:t>路机</w:t>
            </w:r>
          </w:p>
        </w:tc>
        <w:tc>
          <w:tcPr>
            <w:tcW w:w="1003" w:type="dxa"/>
            <w:vAlign w:val="top"/>
          </w:tcPr>
          <w:p>
            <w:pPr>
              <w:spacing w:before="129" w:line="194" w:lineRule="auto"/>
              <w:ind w:left="462"/>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1373" w:type="dxa"/>
            <w:vAlign w:val="top"/>
          </w:tcPr>
          <w:p>
            <w:pPr>
              <w:spacing w:before="127" w:line="197" w:lineRule="auto"/>
              <w:ind w:left="604"/>
              <w:rPr>
                <w:rFonts w:ascii="Times New Roman" w:hAnsi="Times New Roman" w:eastAsia="Times New Roman" w:cs="Times New Roman"/>
                <w:sz w:val="17"/>
                <w:szCs w:val="17"/>
              </w:rPr>
            </w:pPr>
            <w:r>
              <w:rPr>
                <w:rFonts w:ascii="Times New Roman" w:hAnsi="Times New Roman" w:eastAsia="Times New Roman" w:cs="Times New Roman"/>
                <w:sz w:val="17"/>
                <w:szCs w:val="17"/>
              </w:rPr>
              <w:t>86</w:t>
            </w:r>
          </w:p>
        </w:tc>
        <w:tc>
          <w:tcPr>
            <w:tcW w:w="1769" w:type="dxa"/>
            <w:vAlign w:val="top"/>
          </w:tcPr>
          <w:p>
            <w:pPr>
              <w:spacing w:before="63" w:line="243" w:lineRule="exact"/>
              <w:ind w:left="686"/>
              <w:rPr>
                <w:rFonts w:ascii="Times New Roman" w:hAnsi="Times New Roman" w:eastAsia="Times New Roman" w:cs="Times New Roman"/>
                <w:sz w:val="17"/>
                <w:szCs w:val="17"/>
              </w:rPr>
            </w:pPr>
            <w:r>
              <w:rPr>
                <w:rFonts w:ascii="Times New Roman" w:hAnsi="Times New Roman" w:eastAsia="Times New Roman" w:cs="Times New Roman"/>
                <w:spacing w:val="3"/>
                <w:position w:val="1"/>
                <w:sz w:val="17"/>
                <w:szCs w:val="17"/>
              </w:rPr>
              <w:t>75/55</w:t>
            </w:r>
          </w:p>
        </w:tc>
        <w:tc>
          <w:tcPr>
            <w:tcW w:w="1772" w:type="dxa"/>
            <w:vAlign w:val="top"/>
          </w:tcPr>
          <w:p>
            <w:pPr>
              <w:spacing w:before="63" w:line="243" w:lineRule="exact"/>
              <w:ind w:left="655"/>
              <w:rPr>
                <w:rFonts w:ascii="Times New Roman" w:hAnsi="Times New Roman" w:eastAsia="Times New Roman" w:cs="Times New Roman"/>
                <w:sz w:val="17"/>
                <w:szCs w:val="17"/>
              </w:rPr>
            </w:pPr>
            <w:r>
              <w:rPr>
                <w:rFonts w:ascii="Times New Roman" w:hAnsi="Times New Roman" w:eastAsia="Times New Roman" w:cs="Times New Roman"/>
                <w:spacing w:val="-6"/>
                <w:position w:val="1"/>
                <w:sz w:val="17"/>
                <w:szCs w:val="17"/>
              </w:rPr>
              <w:t>1</w:t>
            </w:r>
            <w:r>
              <w:rPr>
                <w:rFonts w:ascii="Times New Roman" w:hAnsi="Times New Roman" w:eastAsia="Times New Roman" w:cs="Times New Roman"/>
                <w:spacing w:val="-5"/>
                <w:position w:val="1"/>
                <w:sz w:val="17"/>
                <w:szCs w:val="17"/>
              </w:rPr>
              <w:t>8/ 177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675" w:type="dxa"/>
            <w:vAlign w:val="top"/>
          </w:tcPr>
          <w:p>
            <w:pPr>
              <w:spacing w:before="129" w:line="194" w:lineRule="auto"/>
              <w:ind w:left="297"/>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2148" w:type="dxa"/>
            <w:vAlign w:val="top"/>
          </w:tcPr>
          <w:p>
            <w:pPr>
              <w:spacing w:before="96" w:line="229" w:lineRule="auto"/>
              <w:ind w:left="806"/>
              <w:rPr>
                <w:rFonts w:ascii="宋体" w:hAnsi="宋体" w:eastAsia="宋体" w:cs="宋体"/>
                <w:sz w:val="17"/>
                <w:szCs w:val="17"/>
              </w:rPr>
            </w:pPr>
            <w:r>
              <w:rPr>
                <w:rFonts w:ascii="宋体" w:hAnsi="宋体" w:eastAsia="宋体" w:cs="宋体"/>
                <w:spacing w:val="8"/>
                <w:sz w:val="17"/>
                <w:szCs w:val="17"/>
              </w:rPr>
              <w:t>平地</w:t>
            </w:r>
            <w:r>
              <w:rPr>
                <w:rFonts w:ascii="宋体" w:hAnsi="宋体" w:eastAsia="宋体" w:cs="宋体"/>
                <w:spacing w:val="7"/>
                <w:sz w:val="17"/>
                <w:szCs w:val="17"/>
              </w:rPr>
              <w:t>机</w:t>
            </w:r>
          </w:p>
        </w:tc>
        <w:tc>
          <w:tcPr>
            <w:tcW w:w="1003" w:type="dxa"/>
            <w:vAlign w:val="top"/>
          </w:tcPr>
          <w:p>
            <w:pPr>
              <w:spacing w:before="129" w:line="194" w:lineRule="auto"/>
              <w:ind w:left="462"/>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1373" w:type="dxa"/>
            <w:vAlign w:val="top"/>
          </w:tcPr>
          <w:p>
            <w:pPr>
              <w:spacing w:before="126" w:line="197" w:lineRule="auto"/>
              <w:ind w:left="604"/>
              <w:rPr>
                <w:rFonts w:ascii="Times New Roman" w:hAnsi="Times New Roman" w:eastAsia="Times New Roman" w:cs="Times New Roman"/>
                <w:sz w:val="17"/>
                <w:szCs w:val="17"/>
              </w:rPr>
            </w:pPr>
            <w:r>
              <w:rPr>
                <w:rFonts w:ascii="Times New Roman" w:hAnsi="Times New Roman" w:eastAsia="Times New Roman" w:cs="Times New Roman"/>
                <w:sz w:val="17"/>
                <w:szCs w:val="17"/>
              </w:rPr>
              <w:t>81</w:t>
            </w:r>
          </w:p>
        </w:tc>
        <w:tc>
          <w:tcPr>
            <w:tcW w:w="1769" w:type="dxa"/>
            <w:vAlign w:val="top"/>
          </w:tcPr>
          <w:p>
            <w:pPr>
              <w:spacing w:before="63" w:line="242" w:lineRule="exact"/>
              <w:ind w:left="686"/>
              <w:rPr>
                <w:rFonts w:ascii="Times New Roman" w:hAnsi="Times New Roman" w:eastAsia="Times New Roman" w:cs="Times New Roman"/>
                <w:sz w:val="17"/>
                <w:szCs w:val="17"/>
              </w:rPr>
            </w:pPr>
            <w:r>
              <w:rPr>
                <w:rFonts w:ascii="Times New Roman" w:hAnsi="Times New Roman" w:eastAsia="Times New Roman" w:cs="Times New Roman"/>
                <w:spacing w:val="3"/>
                <w:position w:val="1"/>
                <w:sz w:val="17"/>
                <w:szCs w:val="17"/>
              </w:rPr>
              <w:t>75/55</w:t>
            </w:r>
          </w:p>
        </w:tc>
        <w:tc>
          <w:tcPr>
            <w:tcW w:w="1772" w:type="dxa"/>
            <w:vAlign w:val="top"/>
          </w:tcPr>
          <w:p>
            <w:pPr>
              <w:spacing w:before="63" w:line="242" w:lineRule="exact"/>
              <w:ind w:left="655"/>
              <w:rPr>
                <w:rFonts w:ascii="Times New Roman" w:hAnsi="Times New Roman" w:eastAsia="Times New Roman" w:cs="Times New Roman"/>
                <w:sz w:val="17"/>
                <w:szCs w:val="17"/>
              </w:rPr>
            </w:pPr>
            <w:r>
              <w:rPr>
                <w:rFonts w:ascii="Times New Roman" w:hAnsi="Times New Roman" w:eastAsia="Times New Roman" w:cs="Times New Roman"/>
                <w:spacing w:val="-6"/>
                <w:position w:val="1"/>
                <w:sz w:val="17"/>
                <w:szCs w:val="17"/>
              </w:rPr>
              <w:t>1</w:t>
            </w:r>
            <w:r>
              <w:rPr>
                <w:rFonts w:ascii="Times New Roman" w:hAnsi="Times New Roman" w:eastAsia="Times New Roman" w:cs="Times New Roman"/>
                <w:spacing w:val="-5"/>
                <w:position w:val="1"/>
                <w:sz w:val="17"/>
                <w:szCs w:val="17"/>
              </w:rPr>
              <w:t>0/ 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5" w:type="dxa"/>
            <w:vAlign w:val="top"/>
          </w:tcPr>
          <w:p>
            <w:pPr>
              <w:spacing w:before="126" w:line="197" w:lineRule="auto"/>
              <w:ind w:left="296"/>
              <w:rPr>
                <w:rFonts w:ascii="Times New Roman" w:hAnsi="Times New Roman" w:eastAsia="Times New Roman" w:cs="Times New Roman"/>
                <w:sz w:val="17"/>
                <w:szCs w:val="17"/>
              </w:rPr>
            </w:pPr>
            <w:r>
              <w:rPr>
                <w:rFonts w:ascii="Times New Roman" w:hAnsi="Times New Roman" w:eastAsia="Times New Roman" w:cs="Times New Roman"/>
                <w:sz w:val="17"/>
                <w:szCs w:val="17"/>
              </w:rPr>
              <w:t>6</w:t>
            </w:r>
          </w:p>
        </w:tc>
        <w:tc>
          <w:tcPr>
            <w:tcW w:w="2148" w:type="dxa"/>
            <w:vAlign w:val="top"/>
          </w:tcPr>
          <w:p>
            <w:pPr>
              <w:spacing w:before="95" w:line="229" w:lineRule="auto"/>
              <w:ind w:left="806"/>
              <w:rPr>
                <w:rFonts w:ascii="宋体" w:hAnsi="宋体" w:eastAsia="宋体" w:cs="宋体"/>
                <w:sz w:val="17"/>
                <w:szCs w:val="17"/>
              </w:rPr>
            </w:pPr>
            <w:r>
              <w:rPr>
                <w:rFonts w:ascii="宋体" w:hAnsi="宋体" w:eastAsia="宋体" w:cs="宋体"/>
                <w:spacing w:val="8"/>
                <w:sz w:val="17"/>
                <w:szCs w:val="17"/>
              </w:rPr>
              <w:t>推</w:t>
            </w:r>
            <w:r>
              <w:rPr>
                <w:rFonts w:ascii="宋体" w:hAnsi="宋体" w:eastAsia="宋体" w:cs="宋体"/>
                <w:spacing w:val="7"/>
                <w:sz w:val="17"/>
                <w:szCs w:val="17"/>
              </w:rPr>
              <w:t>土机</w:t>
            </w:r>
          </w:p>
        </w:tc>
        <w:tc>
          <w:tcPr>
            <w:tcW w:w="1003" w:type="dxa"/>
            <w:vAlign w:val="top"/>
          </w:tcPr>
          <w:p>
            <w:pPr>
              <w:spacing w:before="128" w:line="194" w:lineRule="auto"/>
              <w:ind w:left="462"/>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1373" w:type="dxa"/>
            <w:vAlign w:val="top"/>
          </w:tcPr>
          <w:p>
            <w:pPr>
              <w:spacing w:before="126" w:line="197" w:lineRule="auto"/>
              <w:ind w:left="604"/>
              <w:rPr>
                <w:rFonts w:ascii="Times New Roman" w:hAnsi="Times New Roman" w:eastAsia="Times New Roman" w:cs="Times New Roman"/>
                <w:sz w:val="17"/>
                <w:szCs w:val="17"/>
              </w:rPr>
            </w:pPr>
            <w:r>
              <w:rPr>
                <w:rFonts w:ascii="Times New Roman" w:hAnsi="Times New Roman" w:eastAsia="Times New Roman" w:cs="Times New Roman"/>
                <w:sz w:val="17"/>
                <w:szCs w:val="17"/>
              </w:rPr>
              <w:t>86</w:t>
            </w:r>
          </w:p>
        </w:tc>
        <w:tc>
          <w:tcPr>
            <w:tcW w:w="1769" w:type="dxa"/>
            <w:vAlign w:val="top"/>
          </w:tcPr>
          <w:p>
            <w:pPr>
              <w:spacing w:before="63" w:line="242" w:lineRule="exact"/>
              <w:ind w:left="686"/>
              <w:rPr>
                <w:rFonts w:ascii="Times New Roman" w:hAnsi="Times New Roman" w:eastAsia="Times New Roman" w:cs="Times New Roman"/>
                <w:sz w:val="17"/>
                <w:szCs w:val="17"/>
              </w:rPr>
            </w:pPr>
            <w:r>
              <w:rPr>
                <w:rFonts w:ascii="Times New Roman" w:hAnsi="Times New Roman" w:eastAsia="Times New Roman" w:cs="Times New Roman"/>
                <w:spacing w:val="3"/>
                <w:position w:val="1"/>
                <w:sz w:val="17"/>
                <w:szCs w:val="17"/>
              </w:rPr>
              <w:t>75/55</w:t>
            </w:r>
          </w:p>
        </w:tc>
        <w:tc>
          <w:tcPr>
            <w:tcW w:w="1772" w:type="dxa"/>
            <w:vAlign w:val="top"/>
          </w:tcPr>
          <w:p>
            <w:pPr>
              <w:spacing w:before="63" w:line="242" w:lineRule="exact"/>
              <w:ind w:left="655"/>
              <w:rPr>
                <w:rFonts w:ascii="Times New Roman" w:hAnsi="Times New Roman" w:eastAsia="Times New Roman" w:cs="Times New Roman"/>
                <w:sz w:val="17"/>
                <w:szCs w:val="17"/>
              </w:rPr>
            </w:pPr>
            <w:r>
              <w:rPr>
                <w:rFonts w:ascii="Times New Roman" w:hAnsi="Times New Roman" w:eastAsia="Times New Roman" w:cs="Times New Roman"/>
                <w:spacing w:val="-6"/>
                <w:position w:val="1"/>
                <w:sz w:val="17"/>
                <w:szCs w:val="17"/>
              </w:rPr>
              <w:t>1</w:t>
            </w:r>
            <w:r>
              <w:rPr>
                <w:rFonts w:ascii="Times New Roman" w:hAnsi="Times New Roman" w:eastAsia="Times New Roman" w:cs="Times New Roman"/>
                <w:spacing w:val="-5"/>
                <w:position w:val="1"/>
                <w:sz w:val="17"/>
                <w:szCs w:val="17"/>
              </w:rPr>
              <w:t>8/ 177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675" w:type="dxa"/>
            <w:vAlign w:val="top"/>
          </w:tcPr>
          <w:p>
            <w:pPr>
              <w:spacing w:before="129" w:line="194" w:lineRule="auto"/>
              <w:ind w:left="295"/>
              <w:rPr>
                <w:rFonts w:ascii="Times New Roman" w:hAnsi="Times New Roman" w:eastAsia="Times New Roman" w:cs="Times New Roman"/>
                <w:sz w:val="17"/>
                <w:szCs w:val="17"/>
              </w:rPr>
            </w:pPr>
            <w:r>
              <w:rPr>
                <w:rFonts w:ascii="Times New Roman" w:hAnsi="Times New Roman" w:eastAsia="Times New Roman" w:cs="Times New Roman"/>
                <w:sz w:val="17"/>
                <w:szCs w:val="17"/>
              </w:rPr>
              <w:t>7</w:t>
            </w:r>
          </w:p>
        </w:tc>
        <w:tc>
          <w:tcPr>
            <w:tcW w:w="2148" w:type="dxa"/>
            <w:vAlign w:val="top"/>
          </w:tcPr>
          <w:p>
            <w:pPr>
              <w:spacing w:before="96" w:line="230" w:lineRule="auto"/>
              <w:ind w:left="565"/>
              <w:rPr>
                <w:rFonts w:ascii="宋体" w:hAnsi="宋体" w:eastAsia="宋体" w:cs="宋体"/>
                <w:sz w:val="17"/>
                <w:szCs w:val="17"/>
              </w:rPr>
            </w:pPr>
            <w:r>
              <w:rPr>
                <w:rFonts w:ascii="宋体" w:hAnsi="宋体" w:eastAsia="宋体" w:cs="宋体"/>
                <w:spacing w:val="4"/>
                <w:sz w:val="17"/>
                <w:szCs w:val="17"/>
              </w:rPr>
              <w:t>自卸式运输</w:t>
            </w:r>
            <w:r>
              <w:rPr>
                <w:rFonts w:ascii="宋体" w:hAnsi="宋体" w:eastAsia="宋体" w:cs="宋体"/>
                <w:spacing w:val="3"/>
                <w:sz w:val="17"/>
                <w:szCs w:val="17"/>
              </w:rPr>
              <w:t>车</w:t>
            </w:r>
          </w:p>
        </w:tc>
        <w:tc>
          <w:tcPr>
            <w:tcW w:w="1003" w:type="dxa"/>
            <w:vAlign w:val="top"/>
          </w:tcPr>
          <w:p>
            <w:pPr>
              <w:spacing w:before="129" w:line="194" w:lineRule="auto"/>
              <w:ind w:left="462"/>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1373" w:type="dxa"/>
            <w:vAlign w:val="top"/>
          </w:tcPr>
          <w:p>
            <w:pPr>
              <w:spacing w:before="127" w:line="197" w:lineRule="auto"/>
              <w:ind w:left="604"/>
              <w:rPr>
                <w:rFonts w:ascii="Times New Roman" w:hAnsi="Times New Roman" w:eastAsia="Times New Roman" w:cs="Times New Roman"/>
                <w:sz w:val="17"/>
                <w:szCs w:val="17"/>
              </w:rPr>
            </w:pPr>
            <w:r>
              <w:rPr>
                <w:rFonts w:ascii="Times New Roman" w:hAnsi="Times New Roman" w:eastAsia="Times New Roman" w:cs="Times New Roman"/>
                <w:sz w:val="17"/>
                <w:szCs w:val="17"/>
              </w:rPr>
              <w:t>84</w:t>
            </w:r>
          </w:p>
        </w:tc>
        <w:tc>
          <w:tcPr>
            <w:tcW w:w="1769" w:type="dxa"/>
            <w:vAlign w:val="top"/>
          </w:tcPr>
          <w:p>
            <w:pPr>
              <w:spacing w:before="63" w:line="242" w:lineRule="exact"/>
              <w:ind w:left="686"/>
              <w:rPr>
                <w:rFonts w:ascii="Times New Roman" w:hAnsi="Times New Roman" w:eastAsia="Times New Roman" w:cs="Times New Roman"/>
                <w:sz w:val="17"/>
                <w:szCs w:val="17"/>
              </w:rPr>
            </w:pPr>
            <w:r>
              <w:rPr>
                <w:rFonts w:ascii="Times New Roman" w:hAnsi="Times New Roman" w:eastAsia="Times New Roman" w:cs="Times New Roman"/>
                <w:spacing w:val="3"/>
                <w:position w:val="1"/>
                <w:sz w:val="17"/>
                <w:szCs w:val="17"/>
              </w:rPr>
              <w:t>75/55</w:t>
            </w:r>
          </w:p>
        </w:tc>
        <w:tc>
          <w:tcPr>
            <w:tcW w:w="1772" w:type="dxa"/>
            <w:vAlign w:val="top"/>
          </w:tcPr>
          <w:p>
            <w:pPr>
              <w:spacing w:before="63" w:line="242" w:lineRule="exact"/>
              <w:ind w:left="655"/>
              <w:rPr>
                <w:rFonts w:ascii="Times New Roman" w:hAnsi="Times New Roman" w:eastAsia="Times New Roman" w:cs="Times New Roman"/>
                <w:sz w:val="17"/>
                <w:szCs w:val="17"/>
              </w:rPr>
            </w:pPr>
            <w:r>
              <w:rPr>
                <w:rFonts w:ascii="Times New Roman" w:hAnsi="Times New Roman" w:eastAsia="Times New Roman" w:cs="Times New Roman"/>
                <w:spacing w:val="-6"/>
                <w:position w:val="1"/>
                <w:sz w:val="17"/>
                <w:szCs w:val="17"/>
              </w:rPr>
              <w:t>1</w:t>
            </w:r>
            <w:r>
              <w:rPr>
                <w:rFonts w:ascii="Times New Roman" w:hAnsi="Times New Roman" w:eastAsia="Times New Roman" w:cs="Times New Roman"/>
                <w:spacing w:val="-5"/>
                <w:position w:val="1"/>
                <w:sz w:val="17"/>
                <w:szCs w:val="17"/>
              </w:rPr>
              <w:t>4/ 141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675" w:type="dxa"/>
            <w:vAlign w:val="top"/>
          </w:tcPr>
          <w:p>
            <w:pPr>
              <w:spacing w:before="126" w:line="197" w:lineRule="auto"/>
              <w:ind w:left="300"/>
              <w:rPr>
                <w:rFonts w:ascii="Times New Roman" w:hAnsi="Times New Roman" w:eastAsia="Times New Roman" w:cs="Times New Roman"/>
                <w:sz w:val="17"/>
                <w:szCs w:val="17"/>
              </w:rPr>
            </w:pPr>
            <w:r>
              <w:rPr>
                <w:rFonts w:ascii="Times New Roman" w:hAnsi="Times New Roman" w:eastAsia="Times New Roman" w:cs="Times New Roman"/>
                <w:sz w:val="17"/>
                <w:szCs w:val="17"/>
              </w:rPr>
              <w:t>8</w:t>
            </w:r>
          </w:p>
        </w:tc>
        <w:tc>
          <w:tcPr>
            <w:tcW w:w="2148" w:type="dxa"/>
            <w:vAlign w:val="top"/>
          </w:tcPr>
          <w:p>
            <w:pPr>
              <w:spacing w:before="98" w:line="229" w:lineRule="auto"/>
              <w:ind w:left="626"/>
              <w:rPr>
                <w:rFonts w:ascii="宋体" w:hAnsi="宋体" w:eastAsia="宋体" w:cs="宋体"/>
                <w:sz w:val="17"/>
                <w:szCs w:val="17"/>
              </w:rPr>
            </w:pPr>
            <w:r>
              <w:rPr>
                <w:rFonts w:ascii="宋体" w:hAnsi="宋体" w:eastAsia="宋体" w:cs="宋体"/>
                <w:spacing w:val="10"/>
                <w:sz w:val="17"/>
                <w:szCs w:val="17"/>
              </w:rPr>
              <w:t>沥</w:t>
            </w:r>
            <w:r>
              <w:rPr>
                <w:rFonts w:ascii="宋体" w:hAnsi="宋体" w:eastAsia="宋体" w:cs="宋体"/>
                <w:spacing w:val="8"/>
                <w:sz w:val="17"/>
                <w:szCs w:val="17"/>
              </w:rPr>
              <w:t>青摊铺机</w:t>
            </w:r>
          </w:p>
        </w:tc>
        <w:tc>
          <w:tcPr>
            <w:tcW w:w="1003" w:type="dxa"/>
            <w:vAlign w:val="top"/>
          </w:tcPr>
          <w:p>
            <w:pPr>
              <w:spacing w:before="129" w:line="194" w:lineRule="auto"/>
              <w:ind w:left="462"/>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1373" w:type="dxa"/>
            <w:vAlign w:val="top"/>
          </w:tcPr>
          <w:p>
            <w:pPr>
              <w:spacing w:before="126" w:line="197" w:lineRule="auto"/>
              <w:ind w:left="604"/>
              <w:rPr>
                <w:rFonts w:ascii="Times New Roman" w:hAnsi="Times New Roman" w:eastAsia="Times New Roman" w:cs="Times New Roman"/>
                <w:sz w:val="17"/>
                <w:szCs w:val="17"/>
              </w:rPr>
            </w:pPr>
            <w:r>
              <w:rPr>
                <w:rFonts w:ascii="Times New Roman" w:hAnsi="Times New Roman" w:eastAsia="Times New Roman" w:cs="Times New Roman"/>
                <w:sz w:val="17"/>
                <w:szCs w:val="17"/>
              </w:rPr>
              <w:t>84</w:t>
            </w:r>
          </w:p>
        </w:tc>
        <w:tc>
          <w:tcPr>
            <w:tcW w:w="1769" w:type="dxa"/>
            <w:vAlign w:val="top"/>
          </w:tcPr>
          <w:p>
            <w:pPr>
              <w:spacing w:before="63" w:line="242" w:lineRule="exact"/>
              <w:ind w:left="686"/>
              <w:rPr>
                <w:rFonts w:ascii="Times New Roman" w:hAnsi="Times New Roman" w:eastAsia="Times New Roman" w:cs="Times New Roman"/>
                <w:sz w:val="17"/>
                <w:szCs w:val="17"/>
              </w:rPr>
            </w:pPr>
            <w:r>
              <w:rPr>
                <w:rFonts w:ascii="Times New Roman" w:hAnsi="Times New Roman" w:eastAsia="Times New Roman" w:cs="Times New Roman"/>
                <w:spacing w:val="3"/>
                <w:position w:val="1"/>
                <w:sz w:val="17"/>
                <w:szCs w:val="17"/>
              </w:rPr>
              <w:t>75/55</w:t>
            </w:r>
          </w:p>
        </w:tc>
        <w:tc>
          <w:tcPr>
            <w:tcW w:w="1772" w:type="dxa"/>
            <w:vAlign w:val="top"/>
          </w:tcPr>
          <w:p>
            <w:pPr>
              <w:spacing w:before="63" w:line="242" w:lineRule="exact"/>
              <w:ind w:left="655"/>
              <w:rPr>
                <w:rFonts w:ascii="Times New Roman" w:hAnsi="Times New Roman" w:eastAsia="Times New Roman" w:cs="Times New Roman"/>
                <w:sz w:val="17"/>
                <w:szCs w:val="17"/>
              </w:rPr>
            </w:pPr>
            <w:r>
              <w:rPr>
                <w:rFonts w:ascii="Times New Roman" w:hAnsi="Times New Roman" w:eastAsia="Times New Roman" w:cs="Times New Roman"/>
                <w:spacing w:val="-6"/>
                <w:position w:val="1"/>
                <w:sz w:val="17"/>
                <w:szCs w:val="17"/>
              </w:rPr>
              <w:t>1</w:t>
            </w:r>
            <w:r>
              <w:rPr>
                <w:rFonts w:ascii="Times New Roman" w:hAnsi="Times New Roman" w:eastAsia="Times New Roman" w:cs="Times New Roman"/>
                <w:spacing w:val="-5"/>
                <w:position w:val="1"/>
                <w:sz w:val="17"/>
                <w:szCs w:val="17"/>
              </w:rPr>
              <w:t>4/ 141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675" w:type="dxa"/>
            <w:vAlign w:val="top"/>
          </w:tcPr>
          <w:p>
            <w:pPr>
              <w:spacing w:before="138" w:line="197" w:lineRule="auto"/>
              <w:ind w:left="296"/>
              <w:rPr>
                <w:rFonts w:ascii="Times New Roman" w:hAnsi="Times New Roman" w:eastAsia="Times New Roman" w:cs="Times New Roman"/>
                <w:sz w:val="17"/>
                <w:szCs w:val="17"/>
              </w:rPr>
            </w:pPr>
            <w:r>
              <w:rPr>
                <w:rFonts w:ascii="Times New Roman" w:hAnsi="Times New Roman" w:eastAsia="Times New Roman" w:cs="Times New Roman"/>
                <w:sz w:val="17"/>
                <w:szCs w:val="17"/>
              </w:rPr>
              <w:t>9</w:t>
            </w:r>
          </w:p>
        </w:tc>
        <w:tc>
          <w:tcPr>
            <w:tcW w:w="2148" w:type="dxa"/>
            <w:vAlign w:val="top"/>
          </w:tcPr>
          <w:p>
            <w:pPr>
              <w:spacing w:before="107" w:line="229" w:lineRule="auto"/>
              <w:ind w:left="357"/>
              <w:rPr>
                <w:rFonts w:ascii="宋体" w:hAnsi="宋体" w:eastAsia="宋体" w:cs="宋体"/>
                <w:sz w:val="17"/>
                <w:szCs w:val="17"/>
              </w:rPr>
            </w:pPr>
            <w:r>
              <w:rPr>
                <w:rFonts w:ascii="宋体" w:hAnsi="宋体" w:eastAsia="宋体" w:cs="宋体"/>
                <w:spacing w:val="9"/>
                <w:sz w:val="17"/>
                <w:szCs w:val="17"/>
              </w:rPr>
              <w:t>车载式热熔涂标</w:t>
            </w:r>
            <w:r>
              <w:rPr>
                <w:rFonts w:ascii="宋体" w:hAnsi="宋体" w:eastAsia="宋体" w:cs="宋体"/>
                <w:spacing w:val="8"/>
                <w:sz w:val="17"/>
                <w:szCs w:val="17"/>
              </w:rPr>
              <w:t>机</w:t>
            </w:r>
          </w:p>
        </w:tc>
        <w:tc>
          <w:tcPr>
            <w:tcW w:w="1003" w:type="dxa"/>
            <w:vAlign w:val="top"/>
          </w:tcPr>
          <w:p>
            <w:pPr>
              <w:spacing w:before="140" w:line="194" w:lineRule="auto"/>
              <w:ind w:left="462"/>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1373" w:type="dxa"/>
            <w:vAlign w:val="top"/>
          </w:tcPr>
          <w:p>
            <w:pPr>
              <w:spacing w:before="138" w:line="197" w:lineRule="auto"/>
              <w:ind w:left="604"/>
              <w:rPr>
                <w:rFonts w:ascii="Times New Roman" w:hAnsi="Times New Roman" w:eastAsia="Times New Roman" w:cs="Times New Roman"/>
                <w:sz w:val="17"/>
                <w:szCs w:val="17"/>
              </w:rPr>
            </w:pPr>
            <w:r>
              <w:rPr>
                <w:rFonts w:ascii="Times New Roman" w:hAnsi="Times New Roman" w:eastAsia="Times New Roman" w:cs="Times New Roman"/>
                <w:sz w:val="17"/>
                <w:szCs w:val="17"/>
              </w:rPr>
              <w:t>87</w:t>
            </w:r>
          </w:p>
        </w:tc>
        <w:tc>
          <w:tcPr>
            <w:tcW w:w="1769" w:type="dxa"/>
            <w:vAlign w:val="top"/>
          </w:tcPr>
          <w:p>
            <w:pPr>
              <w:spacing w:before="74" w:line="243" w:lineRule="exact"/>
              <w:ind w:left="686"/>
              <w:rPr>
                <w:rFonts w:ascii="Times New Roman" w:hAnsi="Times New Roman" w:eastAsia="Times New Roman" w:cs="Times New Roman"/>
                <w:sz w:val="17"/>
                <w:szCs w:val="17"/>
              </w:rPr>
            </w:pPr>
            <w:r>
              <w:rPr>
                <w:rFonts w:ascii="Times New Roman" w:hAnsi="Times New Roman" w:eastAsia="Times New Roman" w:cs="Times New Roman"/>
                <w:spacing w:val="3"/>
                <w:position w:val="1"/>
                <w:sz w:val="17"/>
                <w:szCs w:val="17"/>
              </w:rPr>
              <w:t>75/55</w:t>
            </w:r>
          </w:p>
        </w:tc>
        <w:tc>
          <w:tcPr>
            <w:tcW w:w="1772" w:type="dxa"/>
            <w:vAlign w:val="top"/>
          </w:tcPr>
          <w:p>
            <w:pPr>
              <w:spacing w:before="74" w:line="243" w:lineRule="exact"/>
              <w:ind w:left="637"/>
              <w:rPr>
                <w:rFonts w:ascii="Times New Roman" w:hAnsi="Times New Roman" w:eastAsia="Times New Roman" w:cs="Times New Roman"/>
                <w:sz w:val="17"/>
                <w:szCs w:val="17"/>
              </w:rPr>
            </w:pPr>
            <w:r>
              <w:rPr>
                <w:rFonts w:ascii="Times New Roman" w:hAnsi="Times New Roman" w:eastAsia="Times New Roman" w:cs="Times New Roman"/>
                <w:spacing w:val="-4"/>
                <w:position w:val="1"/>
                <w:sz w:val="17"/>
                <w:szCs w:val="17"/>
              </w:rPr>
              <w:t>20</w:t>
            </w:r>
            <w:r>
              <w:rPr>
                <w:rFonts w:ascii="Times New Roman" w:hAnsi="Times New Roman" w:eastAsia="Times New Roman" w:cs="Times New Roman"/>
                <w:spacing w:val="-3"/>
                <w:position w:val="1"/>
                <w:sz w:val="17"/>
                <w:szCs w:val="17"/>
              </w:rPr>
              <w:t>/</w:t>
            </w:r>
            <w:r>
              <w:rPr>
                <w:rFonts w:ascii="Times New Roman" w:hAnsi="Times New Roman" w:eastAsia="Times New Roman" w:cs="Times New Roman"/>
                <w:spacing w:val="-2"/>
                <w:position w:val="1"/>
                <w:sz w:val="17"/>
                <w:szCs w:val="17"/>
              </w:rPr>
              <w:t xml:space="preserve"> 199</w:t>
            </w:r>
          </w:p>
        </w:tc>
      </w:tr>
    </w:tbl>
    <w:p>
      <w:pPr>
        <w:spacing w:before="144" w:line="370" w:lineRule="auto"/>
        <w:ind w:firstLine="445"/>
        <w:rPr>
          <w:rFonts w:ascii="宋体" w:hAnsi="宋体" w:eastAsia="宋体" w:cs="宋体"/>
          <w:sz w:val="20"/>
          <w:szCs w:val="20"/>
        </w:rPr>
      </w:pPr>
      <w:r>
        <w:rPr>
          <w:rFonts w:ascii="宋体" w:hAnsi="宋体" w:eastAsia="宋体" w:cs="宋体"/>
          <w:spacing w:val="22"/>
          <w:sz w:val="20"/>
          <w:szCs w:val="20"/>
        </w:rPr>
        <w:t>由</w:t>
      </w:r>
      <w:r>
        <w:rPr>
          <w:rFonts w:ascii="宋体" w:hAnsi="宋体" w:eastAsia="宋体" w:cs="宋体"/>
          <w:spacing w:val="12"/>
          <w:sz w:val="20"/>
          <w:szCs w:val="20"/>
        </w:rPr>
        <w:t>上</w:t>
      </w:r>
      <w:r>
        <w:rPr>
          <w:rFonts w:ascii="宋体" w:hAnsi="宋体" w:eastAsia="宋体" w:cs="宋体"/>
          <w:spacing w:val="11"/>
          <w:sz w:val="20"/>
          <w:szCs w:val="20"/>
        </w:rPr>
        <w:t>表预测结果可知，在未采取防治措施时，施工机械设备噪声达到《建筑施工场界环境噪</w:t>
      </w:r>
      <w:r>
        <w:rPr>
          <w:rFonts w:ascii="宋体" w:hAnsi="宋体" w:eastAsia="宋体" w:cs="宋体"/>
          <w:sz w:val="20"/>
          <w:szCs w:val="20"/>
        </w:rPr>
        <w:t xml:space="preserve"> </w:t>
      </w:r>
      <w:r>
        <w:rPr>
          <w:rFonts w:ascii="宋体" w:hAnsi="宋体" w:eastAsia="宋体" w:cs="宋体"/>
          <w:spacing w:val="1"/>
          <w:sz w:val="20"/>
          <w:szCs w:val="20"/>
        </w:rPr>
        <w:t>声排放标准》  (</w:t>
      </w:r>
      <w:r>
        <w:rPr>
          <w:rFonts w:ascii="Times New Roman" w:hAnsi="Times New Roman" w:eastAsia="Times New Roman" w:cs="Times New Roman"/>
          <w:sz w:val="20"/>
          <w:szCs w:val="20"/>
        </w:rPr>
        <w:t>GB</w:t>
      </w:r>
      <w:r>
        <w:rPr>
          <w:rFonts w:ascii="Times New Roman" w:hAnsi="Times New Roman" w:eastAsia="Times New Roman" w:cs="Times New Roman"/>
          <w:spacing w:val="1"/>
          <w:sz w:val="20"/>
          <w:szCs w:val="20"/>
        </w:rPr>
        <w:t>12523-2011</w:t>
      </w:r>
      <w:r>
        <w:rPr>
          <w:rFonts w:ascii="宋体" w:hAnsi="宋体" w:eastAsia="宋体" w:cs="宋体"/>
          <w:spacing w:val="1"/>
          <w:sz w:val="20"/>
          <w:szCs w:val="20"/>
        </w:rPr>
        <w:t xml:space="preserve">) 所需的衰减距离昼间最大为 </w:t>
      </w:r>
      <w:r>
        <w:rPr>
          <w:rFonts w:ascii="Times New Roman" w:hAnsi="Times New Roman" w:eastAsia="Times New Roman" w:cs="Times New Roman"/>
          <w:spacing w:val="1"/>
          <w:sz w:val="20"/>
          <w:szCs w:val="20"/>
        </w:rPr>
        <w:t>28</w:t>
      </w:r>
      <w:r>
        <w:rPr>
          <w:rFonts w:ascii="Times New Roman" w:hAnsi="Times New Roman" w:eastAsia="Times New Roman" w:cs="Times New Roman"/>
          <w:sz w:val="20"/>
          <w:szCs w:val="20"/>
        </w:rPr>
        <w:t>m</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，夜间最大</w:t>
      </w:r>
      <w:r>
        <w:rPr>
          <w:rFonts w:ascii="宋体" w:hAnsi="宋体" w:eastAsia="宋体" w:cs="宋体"/>
          <w:sz w:val="20"/>
          <w:szCs w:val="20"/>
        </w:rPr>
        <w:t xml:space="preserve">为 </w:t>
      </w:r>
      <w:r>
        <w:rPr>
          <w:rFonts w:ascii="Times New Roman" w:hAnsi="Times New Roman" w:eastAsia="Times New Roman" w:cs="Times New Roman"/>
          <w:sz w:val="20"/>
          <w:szCs w:val="20"/>
        </w:rPr>
        <w:t xml:space="preserve">281m </w:t>
      </w:r>
      <w:r>
        <w:rPr>
          <w:rFonts w:ascii="宋体" w:hAnsi="宋体" w:eastAsia="宋体" w:cs="宋体"/>
          <w:sz w:val="20"/>
          <w:szCs w:val="20"/>
        </w:rPr>
        <w:t xml:space="preserve">，若将道路的 </w:t>
      </w:r>
      <w:r>
        <w:rPr>
          <w:rFonts w:ascii="宋体" w:hAnsi="宋体" w:eastAsia="宋体" w:cs="宋体"/>
          <w:spacing w:val="12"/>
          <w:sz w:val="20"/>
          <w:szCs w:val="20"/>
        </w:rPr>
        <w:t>红线范围为施工的场界，则其边界距离将不能满足施工噪声达标所需的衰减距离。项目施工沿</w:t>
      </w:r>
      <w:r>
        <w:rPr>
          <w:rFonts w:ascii="宋体" w:hAnsi="宋体" w:eastAsia="宋体" w:cs="宋体"/>
          <w:spacing w:val="6"/>
          <w:sz w:val="20"/>
          <w:szCs w:val="20"/>
        </w:rPr>
        <w:t>线</w:t>
      </w:r>
      <w:r>
        <w:rPr>
          <w:rFonts w:ascii="宋体" w:hAnsi="宋体" w:eastAsia="宋体" w:cs="宋体"/>
          <w:sz w:val="20"/>
          <w:szCs w:val="20"/>
        </w:rPr>
        <w:t xml:space="preserve"> </w:t>
      </w:r>
      <w:r>
        <w:rPr>
          <w:rFonts w:ascii="宋体" w:hAnsi="宋体" w:eastAsia="宋体" w:cs="宋体"/>
          <w:spacing w:val="12"/>
          <w:sz w:val="20"/>
          <w:szCs w:val="20"/>
        </w:rPr>
        <w:t>有居民住宅等敏感目标，项目公路昼间、夜间施工将对上述敏感点的正常生活、工作造成干扰</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18"/>
          <w:sz w:val="20"/>
          <w:szCs w:val="20"/>
        </w:rPr>
        <w:t>特</w:t>
      </w:r>
      <w:r>
        <w:rPr>
          <w:rFonts w:ascii="宋体" w:hAnsi="宋体" w:eastAsia="宋体" w:cs="宋体"/>
          <w:spacing w:val="10"/>
          <w:sz w:val="20"/>
          <w:szCs w:val="20"/>
        </w:rPr>
        <w:t>别</w:t>
      </w:r>
      <w:r>
        <w:rPr>
          <w:rFonts w:ascii="宋体" w:hAnsi="宋体" w:eastAsia="宋体" w:cs="宋体"/>
          <w:spacing w:val="9"/>
          <w:sz w:val="20"/>
          <w:szCs w:val="20"/>
        </w:rPr>
        <w:t>是夜间影响更甚，因此必须采取有效措施对施工噪声加以控制。</w:t>
      </w:r>
    </w:p>
    <w:p>
      <w:pPr>
        <w:spacing w:before="1" w:line="229" w:lineRule="auto"/>
        <w:ind w:left="27"/>
        <w:outlineLvl w:val="2"/>
        <w:rPr>
          <w:rFonts w:ascii="黑体" w:hAnsi="黑体" w:eastAsia="黑体" w:cs="黑体"/>
          <w:sz w:val="23"/>
          <w:szCs w:val="23"/>
        </w:rPr>
      </w:pPr>
      <w:bookmarkStart w:id="27" w:name="_bookmark28"/>
      <w:bookmarkEnd w:id="27"/>
      <w:r>
        <w:rPr>
          <w:rFonts w:ascii="Times New Roman" w:hAnsi="Times New Roman" w:eastAsia="Times New Roman" w:cs="Times New Roman"/>
          <w:spacing w:val="11"/>
          <w:sz w:val="23"/>
          <w:szCs w:val="23"/>
        </w:rPr>
        <w:t>4</w:t>
      </w:r>
      <w:r>
        <w:rPr>
          <w:rFonts w:ascii="Times New Roman" w:hAnsi="Times New Roman" w:eastAsia="Times New Roman" w:cs="Times New Roman"/>
          <w:spacing w:val="8"/>
          <w:sz w:val="23"/>
          <w:szCs w:val="23"/>
        </w:rPr>
        <w:t xml:space="preserve">.2  </w:t>
      </w:r>
      <w:r>
        <w:rPr>
          <w:rFonts w:ascii="黑体" w:hAnsi="黑体" w:eastAsia="黑体" w:cs="黑体"/>
          <w:spacing w:val="8"/>
          <w:sz w:val="23"/>
          <w:szCs w:val="23"/>
        </w:rPr>
        <w:t>营运期噪声影响预测、分析及评价</w:t>
      </w:r>
    </w:p>
    <w:p>
      <w:pPr>
        <w:spacing w:before="138" w:line="223" w:lineRule="auto"/>
        <w:ind w:left="27"/>
        <w:outlineLvl w:val="3"/>
        <w:rPr>
          <w:rFonts w:ascii="黑体" w:hAnsi="黑体" w:eastAsia="黑体" w:cs="黑体"/>
          <w:sz w:val="22"/>
          <w:szCs w:val="22"/>
        </w:rPr>
      </w:pPr>
      <w:r>
        <w:rPr>
          <w:rFonts w:ascii="Times New Roman" w:hAnsi="Times New Roman" w:eastAsia="Times New Roman" w:cs="Times New Roman"/>
          <w:spacing w:val="-6"/>
          <w:sz w:val="22"/>
          <w:szCs w:val="22"/>
        </w:rPr>
        <w:t>4.</w:t>
      </w:r>
      <w:r>
        <w:rPr>
          <w:rFonts w:ascii="Times New Roman" w:hAnsi="Times New Roman" w:eastAsia="Times New Roman" w:cs="Times New Roman"/>
          <w:spacing w:val="-4"/>
          <w:sz w:val="22"/>
          <w:szCs w:val="22"/>
        </w:rPr>
        <w:t>2</w:t>
      </w:r>
      <w:r>
        <w:rPr>
          <w:rFonts w:ascii="Times New Roman" w:hAnsi="Times New Roman" w:eastAsia="Times New Roman" w:cs="Times New Roman"/>
          <w:spacing w:val="-3"/>
          <w:sz w:val="22"/>
          <w:szCs w:val="22"/>
        </w:rPr>
        <w:t xml:space="preserve">. 1    </w:t>
      </w:r>
      <w:r>
        <w:rPr>
          <w:rFonts w:ascii="黑体" w:hAnsi="黑体" w:eastAsia="黑体" w:cs="黑体"/>
          <w:spacing w:val="-3"/>
          <w:sz w:val="22"/>
          <w:szCs w:val="22"/>
        </w:rPr>
        <w:t>营运期噪声影响</w:t>
      </w:r>
    </w:p>
    <w:p>
      <w:pPr>
        <w:spacing w:before="143" w:line="228" w:lineRule="auto"/>
        <w:ind w:left="455"/>
        <w:rPr>
          <w:rFonts w:ascii="宋体" w:hAnsi="宋体" w:eastAsia="宋体" w:cs="宋体"/>
          <w:sz w:val="20"/>
          <w:szCs w:val="20"/>
        </w:rPr>
      </w:pPr>
      <w:r>
        <w:rPr>
          <w:rFonts w:ascii="宋体" w:hAnsi="宋体" w:eastAsia="宋体" w:cs="宋体"/>
          <w:spacing w:val="13"/>
          <w:sz w:val="20"/>
          <w:szCs w:val="20"/>
        </w:rPr>
        <w:t>项</w:t>
      </w:r>
      <w:r>
        <w:rPr>
          <w:rFonts w:ascii="宋体" w:hAnsi="宋体" w:eastAsia="宋体" w:cs="宋体"/>
          <w:spacing w:val="11"/>
          <w:sz w:val="20"/>
          <w:szCs w:val="20"/>
        </w:rPr>
        <w:t>目营运后，噪声源主要是道路上行驶的汽车。机动车噪声为非稳态源，车辆的发动机、冷</w:t>
      </w:r>
    </w:p>
    <w:p>
      <w:pPr>
        <w:sectPr>
          <w:footerReference r:id="rId122" w:type="default"/>
          <w:pgSz w:w="11906" w:h="16839"/>
          <w:pgMar w:top="400" w:right="1499" w:bottom="1027" w:left="1507" w:header="0" w:footer="840" w:gutter="0"/>
          <w:cols w:space="720" w:num="1"/>
        </w:sectPr>
      </w:pPr>
    </w:p>
    <w:p>
      <w:pPr>
        <w:spacing w:line="278" w:lineRule="auto"/>
        <w:rPr>
          <w:rFonts w:ascii="Arial"/>
          <w:sz w:val="21"/>
        </w:rPr>
      </w:pPr>
      <w:r>
        <w:pict>
          <v:shape id="_x0000_s1107" o:spid="_x0000_s1107" style="position:absolute;left:0pt;margin-left:210.7pt;margin-top:620.4pt;height:0.5pt;width:15.9pt;mso-position-horizontal-relative:page;mso-position-vertical-relative:page;z-index:251767808;mso-width-relative:page;mso-height-relative:page;" filled="f" stroked="t" coordsize="317,10" o:allowincell="f" path="m4,4l312,4e">
            <v:fill on="f" focussize="0,0"/>
            <v:stroke weight="0.48pt" color="#000000" miterlimit="2" endcap="round"/>
            <v:imagedata o:title=""/>
            <o:lock v:ext="edit"/>
          </v:shape>
        </w:pict>
      </w: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65" w:line="369" w:lineRule="auto"/>
        <w:ind w:left="101" w:firstLine="5"/>
        <w:rPr>
          <w:rFonts w:ascii="宋体" w:hAnsi="宋体" w:eastAsia="宋体" w:cs="宋体"/>
          <w:sz w:val="20"/>
          <w:szCs w:val="20"/>
        </w:rPr>
      </w:pPr>
      <w:r>
        <w:rPr>
          <w:rFonts w:ascii="宋体" w:hAnsi="宋体" w:eastAsia="宋体" w:cs="宋体"/>
          <w:spacing w:val="11"/>
          <w:sz w:val="20"/>
          <w:szCs w:val="20"/>
        </w:rPr>
        <w:t>却系统、传动系统、排气系统等部件均会产生噪声，车辆行驶引起气流湍动、轮胎与路面的摩</w:t>
      </w:r>
      <w:r>
        <w:rPr>
          <w:rFonts w:ascii="宋体" w:hAnsi="宋体" w:eastAsia="宋体" w:cs="宋体"/>
          <w:spacing w:val="9"/>
          <w:sz w:val="20"/>
          <w:szCs w:val="20"/>
        </w:rPr>
        <w:t>擦</w:t>
      </w:r>
      <w:r>
        <w:rPr>
          <w:rFonts w:ascii="宋体" w:hAnsi="宋体" w:eastAsia="宋体" w:cs="宋体"/>
          <w:sz w:val="20"/>
          <w:szCs w:val="20"/>
        </w:rPr>
        <w:t xml:space="preserve"> </w:t>
      </w:r>
      <w:r>
        <w:rPr>
          <w:rFonts w:ascii="宋体" w:hAnsi="宋体" w:eastAsia="宋体" w:cs="宋体"/>
          <w:spacing w:val="16"/>
          <w:sz w:val="20"/>
          <w:szCs w:val="20"/>
        </w:rPr>
        <w:t>等也</w:t>
      </w:r>
      <w:r>
        <w:rPr>
          <w:rFonts w:ascii="宋体" w:hAnsi="宋体" w:eastAsia="宋体" w:cs="宋体"/>
          <w:spacing w:val="15"/>
          <w:sz w:val="20"/>
          <w:szCs w:val="20"/>
        </w:rPr>
        <w:t>会</w:t>
      </w:r>
      <w:r>
        <w:rPr>
          <w:rFonts w:ascii="宋体" w:hAnsi="宋体" w:eastAsia="宋体" w:cs="宋体"/>
          <w:spacing w:val="8"/>
          <w:sz w:val="20"/>
          <w:szCs w:val="20"/>
        </w:rPr>
        <w:t>产生噪声。 由于车流量的增加，噪声会有所增加，另一方面由于噪声辐射量与汽车运行速</w:t>
      </w:r>
      <w:r>
        <w:rPr>
          <w:rFonts w:ascii="宋体" w:hAnsi="宋体" w:eastAsia="宋体" w:cs="宋体"/>
          <w:sz w:val="20"/>
          <w:szCs w:val="20"/>
        </w:rPr>
        <w:t xml:space="preserve"> </w:t>
      </w:r>
      <w:r>
        <w:rPr>
          <w:rFonts w:ascii="宋体" w:hAnsi="宋体" w:eastAsia="宋体" w:cs="宋体"/>
          <w:spacing w:val="8"/>
          <w:sz w:val="20"/>
          <w:szCs w:val="20"/>
        </w:rPr>
        <w:t>度呈线性关系，车速增加，噪声辐射量也会增大，因此，道路修建后，沿线环境噪声会有所增加</w:t>
      </w:r>
      <w:r>
        <w:rPr>
          <w:rFonts w:ascii="宋体" w:hAnsi="宋体" w:eastAsia="宋体" w:cs="宋体"/>
          <w:sz w:val="20"/>
          <w:szCs w:val="20"/>
        </w:rPr>
        <w:t>。</w:t>
      </w:r>
    </w:p>
    <w:p>
      <w:pPr>
        <w:spacing w:line="366" w:lineRule="auto"/>
        <w:ind w:left="70" w:right="68" w:firstLine="414"/>
        <w:rPr>
          <w:rFonts w:ascii="宋体" w:hAnsi="宋体" w:eastAsia="宋体" w:cs="宋体"/>
          <w:sz w:val="20"/>
          <w:szCs w:val="20"/>
        </w:rPr>
      </w:pPr>
      <w:r>
        <w:rPr>
          <w:rFonts w:ascii="宋体" w:hAnsi="宋体" w:eastAsia="宋体" w:cs="宋体"/>
          <w:spacing w:val="16"/>
          <w:sz w:val="20"/>
          <w:szCs w:val="20"/>
        </w:rPr>
        <w:t>项</w:t>
      </w:r>
      <w:r>
        <w:rPr>
          <w:rFonts w:ascii="宋体" w:hAnsi="宋体" w:eastAsia="宋体" w:cs="宋体"/>
          <w:spacing w:val="12"/>
          <w:sz w:val="20"/>
          <w:szCs w:val="20"/>
        </w:rPr>
        <w:t>目营运期，交通噪声的大小与车速、车流量、机动车类型、道路结构、道路表面覆盖物、</w:t>
      </w:r>
      <w:r>
        <w:rPr>
          <w:rFonts w:ascii="宋体" w:hAnsi="宋体" w:eastAsia="宋体" w:cs="宋体"/>
          <w:sz w:val="20"/>
          <w:szCs w:val="20"/>
        </w:rPr>
        <w:t xml:space="preserve"> </w:t>
      </w:r>
      <w:r>
        <w:rPr>
          <w:rFonts w:ascii="宋体" w:hAnsi="宋体" w:eastAsia="宋体" w:cs="宋体"/>
          <w:spacing w:val="12"/>
          <w:sz w:val="20"/>
          <w:szCs w:val="20"/>
        </w:rPr>
        <w:t>道路两侧建筑物、地形等多因素有关。对两侧居民带来不同程度的噪声干扰，通过采取必要的</w:t>
      </w:r>
      <w:r>
        <w:rPr>
          <w:rFonts w:ascii="宋体" w:hAnsi="宋体" w:eastAsia="宋体" w:cs="宋体"/>
          <w:spacing w:val="6"/>
          <w:sz w:val="20"/>
          <w:szCs w:val="20"/>
        </w:rPr>
        <w:t>防</w:t>
      </w:r>
      <w:r>
        <w:rPr>
          <w:rFonts w:ascii="宋体" w:hAnsi="宋体" w:eastAsia="宋体" w:cs="宋体"/>
          <w:sz w:val="20"/>
          <w:szCs w:val="20"/>
        </w:rPr>
        <w:t xml:space="preserve"> </w:t>
      </w:r>
      <w:r>
        <w:rPr>
          <w:rFonts w:ascii="宋体" w:hAnsi="宋体" w:eastAsia="宋体" w:cs="宋体"/>
          <w:spacing w:val="12"/>
          <w:sz w:val="20"/>
          <w:szCs w:val="20"/>
        </w:rPr>
        <w:t>护</w:t>
      </w:r>
      <w:r>
        <w:rPr>
          <w:rFonts w:ascii="宋体" w:hAnsi="宋体" w:eastAsia="宋体" w:cs="宋体"/>
          <w:spacing w:val="9"/>
          <w:sz w:val="20"/>
          <w:szCs w:val="20"/>
        </w:rPr>
        <w:t>措施，营运期的噪声影响可以得到较好的控制。</w:t>
      </w:r>
    </w:p>
    <w:p>
      <w:pPr>
        <w:spacing w:line="222" w:lineRule="auto"/>
        <w:ind w:left="97"/>
        <w:outlineLvl w:val="3"/>
        <w:rPr>
          <w:rFonts w:ascii="黑体" w:hAnsi="黑体" w:eastAsia="黑体" w:cs="黑体"/>
          <w:sz w:val="22"/>
          <w:szCs w:val="22"/>
        </w:rPr>
      </w:pPr>
      <w:r>
        <w:rPr>
          <w:rFonts w:ascii="Times New Roman" w:hAnsi="Times New Roman" w:eastAsia="Times New Roman" w:cs="Times New Roman"/>
          <w:spacing w:val="-1"/>
          <w:sz w:val="22"/>
          <w:szCs w:val="22"/>
        </w:rPr>
        <w:t>4.2</w:t>
      </w:r>
      <w:r>
        <w:rPr>
          <w:rFonts w:ascii="Times New Roman" w:hAnsi="Times New Roman" w:eastAsia="Times New Roman" w:cs="Times New Roman"/>
          <w:sz w:val="22"/>
          <w:szCs w:val="22"/>
        </w:rPr>
        <w:t xml:space="preserve">.2    </w:t>
      </w:r>
      <w:r>
        <w:rPr>
          <w:rFonts w:ascii="黑体" w:hAnsi="黑体" w:eastAsia="黑体" w:cs="黑体"/>
          <w:sz w:val="22"/>
          <w:szCs w:val="22"/>
        </w:rPr>
        <w:t>噪声预测</w:t>
      </w:r>
    </w:p>
    <w:p>
      <w:pPr>
        <w:spacing w:before="144" w:line="228" w:lineRule="auto"/>
        <w:ind w:left="532"/>
        <w:rPr>
          <w:rFonts w:ascii="宋体" w:hAnsi="宋体" w:eastAsia="宋体" w:cs="宋体"/>
          <w:sz w:val="20"/>
          <w:szCs w:val="20"/>
        </w:rPr>
      </w:pPr>
      <w:r>
        <w:rPr>
          <w:rFonts w:ascii="宋体" w:hAnsi="宋体" w:eastAsia="宋体" w:cs="宋体"/>
          <w:spacing w:val="2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6"/>
          <w:sz w:val="20"/>
          <w:szCs w:val="20"/>
        </w:rPr>
        <w:t>1</w:t>
      </w: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宋体" w:hAnsi="宋体" w:eastAsia="宋体" w:cs="宋体"/>
          <w:spacing w:val="16"/>
          <w:sz w:val="20"/>
          <w:szCs w:val="20"/>
        </w:rPr>
        <w:t xml:space="preserve"> </w:t>
      </w:r>
      <w:r>
        <w:rPr>
          <w:rFonts w:ascii="宋体" w:hAnsi="宋体" w:eastAsia="宋体" w:cs="宋体"/>
          <w:spacing w:val="16"/>
          <w:sz w:val="20"/>
          <w:szCs w:val="20"/>
          <w14:textOutline w14:w="3795" w14:cap="sq" w14:cmpd="sng">
            <w14:solidFill>
              <w14:srgbClr w14:val="000000"/>
            </w14:solidFill>
            <w14:prstDash w14:val="solid"/>
            <w14:bevel/>
          </w14:textOutline>
        </w:rPr>
        <w:t>预测时段及范围</w:t>
      </w:r>
    </w:p>
    <w:p>
      <w:pPr>
        <w:spacing w:before="153" w:line="228" w:lineRule="auto"/>
        <w:ind w:left="524"/>
        <w:rPr>
          <w:rFonts w:ascii="宋体" w:hAnsi="宋体" w:eastAsia="宋体" w:cs="宋体"/>
          <w:sz w:val="20"/>
          <w:szCs w:val="20"/>
        </w:rPr>
      </w:pPr>
      <w:r>
        <w:rPr>
          <w:rFonts w:ascii="宋体" w:hAnsi="宋体" w:eastAsia="宋体" w:cs="宋体"/>
          <w:spacing w:val="12"/>
          <w:sz w:val="20"/>
          <w:szCs w:val="20"/>
        </w:rPr>
        <w:t>预测时</w:t>
      </w:r>
      <w:r>
        <w:rPr>
          <w:rFonts w:ascii="宋体" w:hAnsi="宋体" w:eastAsia="宋体" w:cs="宋体"/>
          <w:spacing w:val="11"/>
          <w:sz w:val="20"/>
          <w:szCs w:val="20"/>
        </w:rPr>
        <w:t>段</w:t>
      </w:r>
      <w:r>
        <w:rPr>
          <w:rFonts w:ascii="宋体" w:hAnsi="宋体" w:eastAsia="宋体" w:cs="宋体"/>
          <w:spacing w:val="6"/>
          <w:sz w:val="20"/>
          <w:szCs w:val="20"/>
        </w:rPr>
        <w:t>：</w:t>
      </w:r>
      <w:r>
        <w:rPr>
          <w:rFonts w:ascii="Times New Roman" w:hAnsi="Times New Roman" w:eastAsia="Times New Roman" w:cs="Times New Roman"/>
          <w:spacing w:val="6"/>
          <w:sz w:val="20"/>
          <w:szCs w:val="20"/>
        </w:rPr>
        <w:t>2026</w:t>
      </w:r>
      <w:r>
        <w:rPr>
          <w:rFonts w:ascii="宋体" w:hAnsi="宋体" w:eastAsia="宋体" w:cs="宋体"/>
          <w:spacing w:val="6"/>
          <w:sz w:val="20"/>
          <w:szCs w:val="20"/>
        </w:rPr>
        <w:t>年 (初期) 、</w:t>
      </w:r>
      <w:r>
        <w:rPr>
          <w:rFonts w:ascii="Times New Roman" w:hAnsi="Times New Roman" w:eastAsia="Times New Roman" w:cs="Times New Roman"/>
          <w:spacing w:val="6"/>
          <w:sz w:val="20"/>
          <w:szCs w:val="20"/>
        </w:rPr>
        <w:t>2032</w:t>
      </w:r>
      <w:r>
        <w:rPr>
          <w:rFonts w:ascii="宋体" w:hAnsi="宋体" w:eastAsia="宋体" w:cs="宋体"/>
          <w:spacing w:val="6"/>
          <w:sz w:val="20"/>
          <w:szCs w:val="20"/>
        </w:rPr>
        <w:t>年 (中期) 、</w:t>
      </w:r>
      <w:r>
        <w:rPr>
          <w:rFonts w:ascii="Times New Roman" w:hAnsi="Times New Roman" w:eastAsia="Times New Roman" w:cs="Times New Roman"/>
          <w:spacing w:val="6"/>
          <w:sz w:val="20"/>
          <w:szCs w:val="20"/>
        </w:rPr>
        <w:t>2040</w:t>
      </w:r>
      <w:r>
        <w:rPr>
          <w:rFonts w:ascii="宋体" w:hAnsi="宋体" w:eastAsia="宋体" w:cs="宋体"/>
          <w:spacing w:val="6"/>
          <w:sz w:val="20"/>
          <w:szCs w:val="20"/>
        </w:rPr>
        <w:t>年 (远期) 。</w:t>
      </w:r>
    </w:p>
    <w:p>
      <w:pPr>
        <w:spacing w:before="153" w:line="369" w:lineRule="auto"/>
        <w:ind w:left="98" w:right="102" w:firstLine="425"/>
        <w:rPr>
          <w:rFonts w:ascii="宋体" w:hAnsi="宋体" w:eastAsia="宋体" w:cs="宋体"/>
          <w:sz w:val="20"/>
          <w:szCs w:val="20"/>
        </w:rPr>
      </w:pPr>
      <w:r>
        <w:rPr>
          <w:rFonts w:ascii="宋体" w:hAnsi="宋体" w:eastAsia="宋体" w:cs="宋体"/>
          <w:spacing w:val="16"/>
          <w:sz w:val="20"/>
          <w:szCs w:val="20"/>
        </w:rPr>
        <w:t>预测范</w:t>
      </w:r>
      <w:r>
        <w:rPr>
          <w:rFonts w:ascii="宋体" w:hAnsi="宋体" w:eastAsia="宋体" w:cs="宋体"/>
          <w:spacing w:val="12"/>
          <w:sz w:val="20"/>
          <w:szCs w:val="20"/>
        </w:rPr>
        <w:t>围</w:t>
      </w:r>
      <w:r>
        <w:rPr>
          <w:rFonts w:ascii="宋体" w:hAnsi="宋体" w:eastAsia="宋体" w:cs="宋体"/>
          <w:spacing w:val="8"/>
          <w:sz w:val="20"/>
          <w:szCs w:val="20"/>
        </w:rPr>
        <w:t>：噪声衰减预测范围为道路路肩外两侧各</w:t>
      </w:r>
      <w:r>
        <w:rPr>
          <w:rFonts w:ascii="Times New Roman" w:hAnsi="Times New Roman" w:eastAsia="Times New Roman" w:cs="Times New Roman"/>
          <w:spacing w:val="8"/>
          <w:sz w:val="20"/>
          <w:szCs w:val="20"/>
        </w:rPr>
        <w:t>200</w:t>
      </w:r>
      <w:r>
        <w:rPr>
          <w:rFonts w:ascii="Times New Roman" w:hAnsi="Times New Roman" w:eastAsia="Times New Roman" w:cs="Times New Roman"/>
          <w:sz w:val="20"/>
          <w:szCs w:val="20"/>
        </w:rPr>
        <w:t>m</w:t>
      </w:r>
      <w:r>
        <w:rPr>
          <w:rFonts w:ascii="宋体" w:hAnsi="宋体" w:eastAsia="宋体" w:cs="宋体"/>
          <w:spacing w:val="8"/>
          <w:sz w:val="20"/>
          <w:szCs w:val="20"/>
        </w:rPr>
        <w:t>范围；敏感路段噪声预测为道路两侧</w:t>
      </w:r>
      <w:r>
        <w:rPr>
          <w:rFonts w:ascii="宋体" w:hAnsi="宋体" w:eastAsia="宋体" w:cs="宋体"/>
          <w:sz w:val="20"/>
          <w:szCs w:val="20"/>
        </w:rPr>
        <w:t xml:space="preserve"> </w:t>
      </w:r>
      <w:r>
        <w:rPr>
          <w:rFonts w:ascii="Times New Roman" w:hAnsi="Times New Roman" w:eastAsia="Times New Roman" w:cs="Times New Roman"/>
          <w:spacing w:val="16"/>
          <w:sz w:val="20"/>
          <w:szCs w:val="20"/>
        </w:rPr>
        <w:t>2</w:t>
      </w:r>
      <w:r>
        <w:rPr>
          <w:rFonts w:ascii="Times New Roman" w:hAnsi="Times New Roman" w:eastAsia="Times New Roman" w:cs="Times New Roman"/>
          <w:spacing w:val="10"/>
          <w:sz w:val="20"/>
          <w:szCs w:val="20"/>
        </w:rPr>
        <w:t>0</w:t>
      </w:r>
      <w:r>
        <w:rPr>
          <w:rFonts w:ascii="Times New Roman" w:hAnsi="Times New Roman" w:eastAsia="Times New Roman" w:cs="Times New Roman"/>
          <w:spacing w:val="8"/>
          <w:sz w:val="20"/>
          <w:szCs w:val="20"/>
        </w:rPr>
        <w:t>0</w:t>
      </w:r>
      <w:r>
        <w:rPr>
          <w:rFonts w:ascii="Times New Roman" w:hAnsi="Times New Roman" w:eastAsia="Times New Roman" w:cs="Times New Roman"/>
          <w:sz w:val="20"/>
          <w:szCs w:val="20"/>
        </w:rPr>
        <w:t>m</w:t>
      </w:r>
      <w:r>
        <w:rPr>
          <w:rFonts w:ascii="宋体" w:hAnsi="宋体" w:eastAsia="宋体" w:cs="宋体"/>
          <w:spacing w:val="8"/>
          <w:sz w:val="20"/>
          <w:szCs w:val="20"/>
        </w:rPr>
        <w:t>范围内最近的有代表性居民楼。</w:t>
      </w:r>
    </w:p>
    <w:p>
      <w:pPr>
        <w:spacing w:line="227" w:lineRule="auto"/>
        <w:ind w:left="532"/>
        <w:rPr>
          <w:rFonts w:ascii="宋体" w:hAnsi="宋体" w:eastAsia="宋体" w:cs="宋体"/>
          <w:sz w:val="20"/>
          <w:szCs w:val="20"/>
        </w:rPr>
      </w:pPr>
      <w:r>
        <w:rPr>
          <w:rFonts w:ascii="宋体" w:hAnsi="宋体" w:eastAsia="宋体" w:cs="宋体"/>
          <w:spacing w:val="19"/>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5"/>
          <w:sz w:val="20"/>
          <w:szCs w:val="20"/>
        </w:rPr>
        <w:t>2</w:t>
      </w:r>
      <w:r>
        <w:rPr>
          <w:rFonts w:ascii="宋体" w:hAnsi="宋体" w:eastAsia="宋体" w:cs="宋体"/>
          <w:spacing w:val="15"/>
          <w:sz w:val="20"/>
          <w:szCs w:val="20"/>
          <w14:textOutline w14:w="3795" w14:cap="sq" w14:cmpd="sng">
            <w14:solidFill>
              <w14:srgbClr w14:val="000000"/>
            </w14:solidFill>
            <w14:prstDash w14:val="solid"/>
            <w14:bevel/>
          </w14:textOutline>
        </w:rPr>
        <w:t>)</w:t>
      </w:r>
      <w:r>
        <w:rPr>
          <w:rFonts w:ascii="宋体" w:hAnsi="宋体" w:eastAsia="宋体" w:cs="宋体"/>
          <w:spacing w:val="15"/>
          <w:sz w:val="20"/>
          <w:szCs w:val="20"/>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交通运输噪声预测模型</w:t>
      </w:r>
    </w:p>
    <w:p>
      <w:pPr>
        <w:spacing w:before="117" w:line="379" w:lineRule="auto"/>
        <w:ind w:left="594" w:right="609" w:hanging="71"/>
        <w:rPr>
          <w:rFonts w:ascii="宋体" w:hAnsi="宋体" w:eastAsia="宋体" w:cs="宋体"/>
          <w:sz w:val="20"/>
          <w:szCs w:val="20"/>
        </w:rPr>
      </w:pPr>
      <w:r>
        <w:rPr>
          <w:rFonts w:ascii="宋体" w:hAnsi="宋体" w:eastAsia="宋体" w:cs="宋体"/>
          <w:spacing w:val="14"/>
          <w:sz w:val="20"/>
          <w:szCs w:val="20"/>
        </w:rPr>
        <w:t>本次评价</w:t>
      </w:r>
      <w:r>
        <w:rPr>
          <w:rFonts w:ascii="宋体" w:hAnsi="宋体" w:eastAsia="宋体" w:cs="宋体"/>
          <w:spacing w:val="11"/>
          <w:sz w:val="20"/>
          <w:szCs w:val="20"/>
        </w:rPr>
        <w:t>采</w:t>
      </w:r>
      <w:r>
        <w:rPr>
          <w:rFonts w:ascii="宋体" w:hAnsi="宋体" w:eastAsia="宋体" w:cs="宋体"/>
          <w:spacing w:val="7"/>
          <w:sz w:val="20"/>
          <w:szCs w:val="20"/>
        </w:rPr>
        <w:t>用《环境影响评价技术导则 声环境》</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7"/>
          <w:sz w:val="20"/>
          <w:szCs w:val="20"/>
        </w:rPr>
        <w:t>2.4-2021)</w:t>
      </w:r>
      <w:r>
        <w:rPr>
          <w:rFonts w:ascii="宋体" w:hAnsi="宋体" w:eastAsia="宋体" w:cs="宋体"/>
          <w:spacing w:val="7"/>
          <w:sz w:val="20"/>
          <w:szCs w:val="20"/>
        </w:rPr>
        <w:t>中推荐的模式进行预测。</w:t>
      </w:r>
      <w:r>
        <w:rPr>
          <w:rFonts w:ascii="宋体" w:hAnsi="宋体" w:eastAsia="宋体" w:cs="宋体"/>
          <w:sz w:val="20"/>
          <w:szCs w:val="20"/>
        </w:rPr>
        <w:t xml:space="preserve"> </w:t>
      </w:r>
      <w:r>
        <w:rPr>
          <w:rFonts w:ascii="宋体" w:hAnsi="宋体" w:eastAsia="宋体" w:cs="宋体"/>
          <w:spacing w:val="7"/>
          <w:sz w:val="17"/>
          <w:szCs w:val="17"/>
        </w:rPr>
        <w:t xml:space="preserve">1   </w:t>
      </w:r>
      <w:r>
        <w:rPr>
          <w:rFonts w:ascii="宋体" w:hAnsi="宋体" w:eastAsia="宋体" w:cs="宋体"/>
          <w:spacing w:val="7"/>
          <w:sz w:val="20"/>
          <w:szCs w:val="20"/>
        </w:rPr>
        <w:t>车型分类及交通量折</w:t>
      </w:r>
      <w:r>
        <w:rPr>
          <w:rFonts w:ascii="宋体" w:hAnsi="宋体" w:eastAsia="宋体" w:cs="宋体"/>
          <w:spacing w:val="6"/>
          <w:sz w:val="20"/>
          <w:szCs w:val="20"/>
        </w:rPr>
        <w:t>算</w:t>
      </w:r>
    </w:p>
    <w:p>
      <w:pPr>
        <w:spacing w:before="15" w:line="369" w:lineRule="auto"/>
        <w:ind w:left="108" w:right="102" w:firstLine="416"/>
        <w:rPr>
          <w:rFonts w:ascii="宋体" w:hAnsi="宋体" w:eastAsia="宋体" w:cs="宋体"/>
          <w:sz w:val="20"/>
          <w:szCs w:val="20"/>
        </w:rPr>
      </w:pPr>
      <w:r>
        <w:rPr>
          <w:rFonts w:ascii="宋体" w:hAnsi="宋体" w:eastAsia="宋体" w:cs="宋体"/>
          <w:spacing w:val="16"/>
          <w:sz w:val="20"/>
          <w:szCs w:val="20"/>
        </w:rPr>
        <w:t>车型</w:t>
      </w:r>
      <w:r>
        <w:rPr>
          <w:rFonts w:ascii="宋体" w:hAnsi="宋体" w:eastAsia="宋体" w:cs="宋体"/>
          <w:spacing w:val="14"/>
          <w:sz w:val="20"/>
          <w:szCs w:val="20"/>
        </w:rPr>
        <w:t>分</w:t>
      </w:r>
      <w:r>
        <w:rPr>
          <w:rFonts w:ascii="宋体" w:hAnsi="宋体" w:eastAsia="宋体" w:cs="宋体"/>
          <w:spacing w:val="8"/>
          <w:sz w:val="20"/>
          <w:szCs w:val="20"/>
        </w:rPr>
        <w:t>类方法按照</w:t>
      </w:r>
      <w:r>
        <w:rPr>
          <w:rFonts w:ascii="Times New Roman" w:hAnsi="Times New Roman" w:eastAsia="Times New Roman" w:cs="Times New Roman"/>
          <w:sz w:val="20"/>
          <w:szCs w:val="20"/>
        </w:rPr>
        <w:t>JTGB</w:t>
      </w:r>
      <w:r>
        <w:rPr>
          <w:rFonts w:ascii="Times New Roman" w:hAnsi="Times New Roman" w:eastAsia="Times New Roman" w:cs="Times New Roman"/>
          <w:spacing w:val="8"/>
          <w:sz w:val="20"/>
          <w:szCs w:val="20"/>
        </w:rPr>
        <w:t>01</w:t>
      </w:r>
      <w:r>
        <w:rPr>
          <w:rFonts w:ascii="宋体" w:hAnsi="宋体" w:eastAsia="宋体" w:cs="宋体"/>
          <w:spacing w:val="8"/>
          <w:sz w:val="20"/>
          <w:szCs w:val="20"/>
        </w:rPr>
        <w:t>中有关车型划分的标准进行，交通量换算根据工程设计文件提供的</w:t>
      </w:r>
      <w:r>
        <w:rPr>
          <w:rFonts w:ascii="宋体" w:hAnsi="宋体" w:eastAsia="宋体" w:cs="宋体"/>
          <w:sz w:val="20"/>
          <w:szCs w:val="20"/>
        </w:rPr>
        <w:t xml:space="preserve"> </w:t>
      </w:r>
      <w:r>
        <w:rPr>
          <w:rFonts w:ascii="宋体" w:hAnsi="宋体" w:eastAsia="宋体" w:cs="宋体"/>
          <w:spacing w:val="11"/>
          <w:sz w:val="20"/>
          <w:szCs w:val="20"/>
        </w:rPr>
        <w:t>小</w:t>
      </w:r>
      <w:r>
        <w:rPr>
          <w:rFonts w:ascii="宋体" w:hAnsi="宋体" w:eastAsia="宋体" w:cs="宋体"/>
          <w:spacing w:val="9"/>
          <w:sz w:val="20"/>
          <w:szCs w:val="20"/>
        </w:rPr>
        <w:t>客车标准车型，按照不同折算系数分别折算成大、中、小型车。</w:t>
      </w:r>
    </w:p>
    <w:p>
      <w:pPr>
        <w:spacing w:line="227" w:lineRule="auto"/>
        <w:ind w:left="524"/>
        <w:rPr>
          <w:rFonts w:ascii="宋体" w:hAnsi="宋体" w:eastAsia="宋体" w:cs="宋体"/>
          <w:sz w:val="20"/>
          <w:szCs w:val="20"/>
        </w:rPr>
      </w:pPr>
      <w:r>
        <w:rPr>
          <w:rFonts w:ascii="宋体" w:hAnsi="宋体" w:eastAsia="宋体" w:cs="宋体"/>
          <w:spacing w:val="8"/>
          <w:sz w:val="20"/>
          <w:szCs w:val="20"/>
        </w:rPr>
        <w:t>车型分类标准见下表</w:t>
      </w:r>
      <w:r>
        <w:rPr>
          <w:rFonts w:ascii="宋体" w:hAnsi="宋体" w:eastAsia="宋体" w:cs="宋体"/>
          <w:spacing w:val="7"/>
          <w:sz w:val="20"/>
          <w:szCs w:val="20"/>
        </w:rPr>
        <w:t>。</w:t>
      </w:r>
    </w:p>
    <w:p>
      <w:pPr>
        <w:spacing w:before="101" w:line="227" w:lineRule="auto"/>
        <w:ind w:left="3726"/>
        <w:rPr>
          <w:rFonts w:ascii="黑体" w:hAnsi="黑体" w:eastAsia="黑体" w:cs="黑体"/>
          <w:sz w:val="19"/>
          <w:szCs w:val="19"/>
        </w:rPr>
      </w:pPr>
      <w:r>
        <w:rPr>
          <w:rFonts w:ascii="黑体" w:hAnsi="黑体" w:eastAsia="黑体" w:cs="黑体"/>
          <w:spacing w:val="10"/>
          <w:sz w:val="19"/>
          <w:szCs w:val="19"/>
        </w:rPr>
        <w:t>表</w:t>
      </w:r>
      <w:r>
        <w:rPr>
          <w:rFonts w:ascii="Times New Roman" w:hAnsi="Times New Roman" w:eastAsia="Times New Roman" w:cs="Times New Roman"/>
          <w:spacing w:val="7"/>
          <w:sz w:val="19"/>
          <w:szCs w:val="19"/>
        </w:rPr>
        <w:t>1</w:t>
      </w:r>
      <w:r>
        <w:rPr>
          <w:rFonts w:ascii="Times New Roman" w:hAnsi="Times New Roman" w:eastAsia="Times New Roman" w:cs="Times New Roman"/>
          <w:spacing w:val="5"/>
          <w:sz w:val="19"/>
          <w:szCs w:val="19"/>
        </w:rPr>
        <w:t xml:space="preserve">5    </w:t>
      </w:r>
      <w:r>
        <w:rPr>
          <w:rFonts w:ascii="黑体" w:hAnsi="黑体" w:eastAsia="黑体" w:cs="黑体"/>
          <w:spacing w:val="5"/>
          <w:sz w:val="19"/>
          <w:szCs w:val="19"/>
        </w:rPr>
        <w:t>车型分类表</w:t>
      </w:r>
    </w:p>
    <w:tbl>
      <w:tblPr>
        <w:tblStyle w:val="4"/>
        <w:tblW w:w="902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4"/>
        <w:gridCol w:w="1578"/>
        <w:gridCol w:w="1517"/>
        <w:gridCol w:w="49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984" w:type="dxa"/>
            <w:tcBorders>
              <w:top w:val="single" w:color="000000" w:sz="2" w:space="0"/>
              <w:bottom w:val="single" w:color="000000" w:sz="2" w:space="0"/>
            </w:tcBorders>
            <w:vAlign w:val="top"/>
          </w:tcPr>
          <w:p>
            <w:pPr>
              <w:spacing w:before="161" w:line="230" w:lineRule="auto"/>
              <w:ind w:left="313"/>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车</w:t>
            </w:r>
            <w:r>
              <w:rPr>
                <w:rFonts w:ascii="宋体" w:hAnsi="宋体" w:eastAsia="宋体" w:cs="宋体"/>
                <w:spacing w:val="5"/>
                <w:sz w:val="17"/>
                <w:szCs w:val="17"/>
                <w14:textOutline w14:w="3268" w14:cap="sq" w14:cmpd="sng">
                  <w14:solidFill>
                    <w14:srgbClr w14:val="000000"/>
                  </w14:solidFill>
                  <w14:prstDash w14:val="solid"/>
                  <w14:bevel/>
                </w14:textOutline>
              </w:rPr>
              <w:t>型</w:t>
            </w:r>
          </w:p>
        </w:tc>
        <w:tc>
          <w:tcPr>
            <w:tcW w:w="1578" w:type="dxa"/>
            <w:tcBorders>
              <w:top w:val="single" w:color="000000" w:sz="2" w:space="0"/>
              <w:bottom w:val="single" w:color="000000" w:sz="2" w:space="0"/>
            </w:tcBorders>
            <w:vAlign w:val="top"/>
          </w:tcPr>
          <w:p>
            <w:pPr>
              <w:spacing w:before="161" w:line="230" w:lineRule="auto"/>
              <w:ind w:left="245"/>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汽</w:t>
            </w:r>
            <w:r>
              <w:rPr>
                <w:rFonts w:ascii="宋体" w:hAnsi="宋体" w:eastAsia="宋体" w:cs="宋体"/>
                <w:spacing w:val="9"/>
                <w:sz w:val="17"/>
                <w:szCs w:val="17"/>
                <w14:textOutline w14:w="3268" w14:cap="sq" w14:cmpd="sng">
                  <w14:solidFill>
                    <w14:srgbClr w14:val="000000"/>
                  </w14:solidFill>
                  <w14:prstDash w14:val="solid"/>
                  <w14:bevel/>
                </w14:textOutline>
              </w:rPr>
              <w:t>车代表车型</w:t>
            </w:r>
          </w:p>
        </w:tc>
        <w:tc>
          <w:tcPr>
            <w:tcW w:w="1517" w:type="dxa"/>
            <w:tcBorders>
              <w:top w:val="single" w:color="000000" w:sz="2" w:space="0"/>
              <w:bottom w:val="single" w:color="000000" w:sz="2" w:space="0"/>
            </w:tcBorders>
            <w:vAlign w:val="top"/>
          </w:tcPr>
          <w:p>
            <w:pPr>
              <w:spacing w:before="161" w:line="230" w:lineRule="auto"/>
              <w:ind w:left="306"/>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汽车总质量</w:t>
            </w:r>
          </w:p>
        </w:tc>
        <w:tc>
          <w:tcPr>
            <w:tcW w:w="4943" w:type="dxa"/>
            <w:tcBorders>
              <w:top w:val="single" w:color="000000" w:sz="2" w:space="0"/>
              <w:bottom w:val="single" w:color="000000" w:sz="2" w:space="0"/>
            </w:tcBorders>
            <w:vAlign w:val="top"/>
          </w:tcPr>
          <w:p>
            <w:pPr>
              <w:spacing w:before="161" w:line="230" w:lineRule="auto"/>
              <w:ind w:left="2295"/>
              <w:rPr>
                <w:rFonts w:ascii="宋体" w:hAnsi="宋体" w:eastAsia="宋体" w:cs="宋体"/>
                <w:sz w:val="17"/>
                <w:szCs w:val="17"/>
              </w:rPr>
            </w:pPr>
            <w:r>
              <w:rPr>
                <w:rFonts w:ascii="宋体" w:hAnsi="宋体" w:eastAsia="宋体" w:cs="宋体"/>
                <w:spacing w:val="5"/>
                <w:sz w:val="17"/>
                <w:szCs w:val="17"/>
                <w14:textOutline w14:w="3268" w14:cap="sq" w14:cmpd="sng">
                  <w14:solidFill>
                    <w14:srgbClr w14:val="000000"/>
                  </w14:solidFill>
                  <w14:prstDash w14:val="solid"/>
                  <w14:bevel/>
                </w14:textOutline>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984" w:type="dxa"/>
            <w:tcBorders>
              <w:top w:val="single" w:color="000000" w:sz="2" w:space="0"/>
              <w:bottom w:val="single" w:color="000000" w:sz="2" w:space="0"/>
            </w:tcBorders>
            <w:vAlign w:val="top"/>
          </w:tcPr>
          <w:p>
            <w:pPr>
              <w:spacing w:before="88" w:line="232" w:lineRule="auto"/>
              <w:ind w:left="408"/>
              <w:rPr>
                <w:rFonts w:ascii="宋体" w:hAnsi="宋体" w:eastAsia="宋体" w:cs="宋体"/>
                <w:sz w:val="17"/>
                <w:szCs w:val="17"/>
              </w:rPr>
            </w:pPr>
            <w:r>
              <w:rPr>
                <w:rFonts w:ascii="宋体" w:hAnsi="宋体" w:eastAsia="宋体" w:cs="宋体"/>
                <w:sz w:val="17"/>
                <w:szCs w:val="17"/>
              </w:rPr>
              <w:t>小</w:t>
            </w:r>
          </w:p>
        </w:tc>
        <w:tc>
          <w:tcPr>
            <w:tcW w:w="1578" w:type="dxa"/>
            <w:tcBorders>
              <w:top w:val="single" w:color="000000" w:sz="2" w:space="0"/>
              <w:bottom w:val="single" w:color="000000" w:sz="2" w:space="0"/>
            </w:tcBorders>
            <w:vAlign w:val="top"/>
          </w:tcPr>
          <w:p>
            <w:pPr>
              <w:spacing w:before="88" w:line="230" w:lineRule="auto"/>
              <w:ind w:left="523"/>
              <w:rPr>
                <w:rFonts w:ascii="宋体" w:hAnsi="宋体" w:eastAsia="宋体" w:cs="宋体"/>
                <w:sz w:val="17"/>
                <w:szCs w:val="17"/>
              </w:rPr>
            </w:pPr>
            <w:r>
              <w:rPr>
                <w:rFonts w:ascii="宋体" w:hAnsi="宋体" w:eastAsia="宋体" w:cs="宋体"/>
                <w:spacing w:val="6"/>
                <w:sz w:val="17"/>
                <w:szCs w:val="17"/>
              </w:rPr>
              <w:t>小客车</w:t>
            </w:r>
          </w:p>
        </w:tc>
        <w:tc>
          <w:tcPr>
            <w:tcW w:w="1517" w:type="dxa"/>
            <w:tcBorders>
              <w:top w:val="single" w:color="000000" w:sz="2" w:space="0"/>
              <w:bottom w:val="single" w:color="000000" w:sz="2" w:space="0"/>
            </w:tcBorders>
            <w:vAlign w:val="top"/>
          </w:tcPr>
          <w:p>
            <w:pPr>
              <w:spacing w:before="119" w:line="200" w:lineRule="auto"/>
              <w:ind w:left="66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1.0</w:t>
            </w:r>
          </w:p>
        </w:tc>
        <w:tc>
          <w:tcPr>
            <w:tcW w:w="4943" w:type="dxa"/>
            <w:tcBorders>
              <w:top w:val="single" w:color="000000" w:sz="2" w:space="0"/>
              <w:bottom w:val="single" w:color="000000" w:sz="2" w:space="0"/>
            </w:tcBorders>
            <w:vAlign w:val="top"/>
          </w:tcPr>
          <w:p>
            <w:pPr>
              <w:spacing w:before="56" w:line="242" w:lineRule="exact"/>
              <w:ind w:left="1044"/>
              <w:rPr>
                <w:rFonts w:ascii="宋体" w:hAnsi="宋体" w:eastAsia="宋体" w:cs="宋体"/>
                <w:sz w:val="17"/>
                <w:szCs w:val="17"/>
              </w:rPr>
            </w:pPr>
            <w:r>
              <w:rPr>
                <w:rFonts w:ascii="宋体" w:hAnsi="宋体" w:eastAsia="宋体" w:cs="宋体"/>
                <w:spacing w:val="11"/>
                <w:position w:val="1"/>
                <w:sz w:val="17"/>
                <w:szCs w:val="17"/>
              </w:rPr>
              <w:t>座</w:t>
            </w:r>
            <w:r>
              <w:rPr>
                <w:rFonts w:ascii="宋体" w:hAnsi="宋体" w:eastAsia="宋体" w:cs="宋体"/>
                <w:spacing w:val="7"/>
                <w:position w:val="1"/>
                <w:sz w:val="17"/>
                <w:szCs w:val="17"/>
              </w:rPr>
              <w:t>位</w:t>
            </w:r>
            <w:r>
              <w:rPr>
                <w:rFonts w:ascii="Times New Roman" w:hAnsi="Times New Roman" w:eastAsia="Times New Roman" w:cs="Times New Roman"/>
                <w:spacing w:val="7"/>
                <w:position w:val="1"/>
                <w:sz w:val="17"/>
                <w:szCs w:val="17"/>
              </w:rPr>
              <w:t xml:space="preserve">≤19 </w:t>
            </w:r>
            <w:r>
              <w:rPr>
                <w:rFonts w:ascii="宋体" w:hAnsi="宋体" w:eastAsia="宋体" w:cs="宋体"/>
                <w:spacing w:val="7"/>
                <w:position w:val="1"/>
                <w:sz w:val="17"/>
                <w:szCs w:val="17"/>
              </w:rPr>
              <w:t>座的客车和载质量</w:t>
            </w:r>
            <w:r>
              <w:rPr>
                <w:rFonts w:ascii="Times New Roman" w:hAnsi="Times New Roman" w:eastAsia="Times New Roman" w:cs="Times New Roman"/>
                <w:spacing w:val="7"/>
                <w:position w:val="1"/>
                <w:sz w:val="17"/>
                <w:szCs w:val="17"/>
              </w:rPr>
              <w:t xml:space="preserve">≤2 </w:t>
            </w:r>
            <w:r>
              <w:rPr>
                <w:rFonts w:ascii="Times New Roman" w:hAnsi="Times New Roman" w:eastAsia="Times New Roman" w:cs="Times New Roman"/>
                <w:position w:val="1"/>
                <w:sz w:val="17"/>
                <w:szCs w:val="17"/>
              </w:rPr>
              <w:t>t</w:t>
            </w:r>
            <w:r>
              <w:rPr>
                <w:rFonts w:ascii="Times New Roman" w:hAnsi="Times New Roman" w:eastAsia="Times New Roman" w:cs="Times New Roman"/>
                <w:spacing w:val="7"/>
                <w:position w:val="1"/>
                <w:sz w:val="17"/>
                <w:szCs w:val="17"/>
              </w:rPr>
              <w:t xml:space="preserve">  </w:t>
            </w:r>
            <w:r>
              <w:rPr>
                <w:rFonts w:ascii="宋体" w:hAnsi="宋体" w:eastAsia="宋体" w:cs="宋体"/>
                <w:spacing w:val="7"/>
                <w:position w:val="1"/>
                <w:sz w:val="17"/>
                <w:szCs w:val="17"/>
              </w:rPr>
              <w:t>货车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984" w:type="dxa"/>
            <w:tcBorders>
              <w:top w:val="single" w:color="000000" w:sz="2" w:space="0"/>
              <w:bottom w:val="single" w:color="000000" w:sz="2" w:space="0"/>
            </w:tcBorders>
            <w:vAlign w:val="top"/>
          </w:tcPr>
          <w:p>
            <w:pPr>
              <w:spacing w:before="160" w:line="231" w:lineRule="auto"/>
              <w:ind w:left="420"/>
              <w:rPr>
                <w:rFonts w:ascii="宋体" w:hAnsi="宋体" w:eastAsia="宋体" w:cs="宋体"/>
                <w:sz w:val="17"/>
                <w:szCs w:val="17"/>
              </w:rPr>
            </w:pPr>
            <w:r>
              <w:rPr>
                <w:rFonts w:ascii="宋体" w:hAnsi="宋体" w:eastAsia="宋体" w:cs="宋体"/>
                <w:sz w:val="17"/>
                <w:szCs w:val="17"/>
              </w:rPr>
              <w:t>中</w:t>
            </w:r>
          </w:p>
        </w:tc>
        <w:tc>
          <w:tcPr>
            <w:tcW w:w="1578" w:type="dxa"/>
            <w:tcBorders>
              <w:top w:val="single" w:color="000000" w:sz="2" w:space="0"/>
              <w:bottom w:val="single" w:color="000000" w:sz="2" w:space="0"/>
            </w:tcBorders>
            <w:vAlign w:val="top"/>
          </w:tcPr>
          <w:p>
            <w:pPr>
              <w:spacing w:before="160" w:line="230" w:lineRule="auto"/>
              <w:ind w:left="535"/>
              <w:rPr>
                <w:rFonts w:ascii="宋体" w:hAnsi="宋体" w:eastAsia="宋体" w:cs="宋体"/>
                <w:sz w:val="17"/>
                <w:szCs w:val="17"/>
              </w:rPr>
            </w:pPr>
            <w:r>
              <w:rPr>
                <w:rFonts w:ascii="宋体" w:hAnsi="宋体" w:eastAsia="宋体" w:cs="宋体"/>
                <w:spacing w:val="2"/>
                <w:sz w:val="17"/>
                <w:szCs w:val="17"/>
              </w:rPr>
              <w:t>中型车</w:t>
            </w:r>
          </w:p>
        </w:tc>
        <w:tc>
          <w:tcPr>
            <w:tcW w:w="1517" w:type="dxa"/>
            <w:tcBorders>
              <w:top w:val="single" w:color="000000" w:sz="2" w:space="0"/>
              <w:bottom w:val="single" w:color="000000" w:sz="2" w:space="0"/>
            </w:tcBorders>
            <w:vAlign w:val="top"/>
          </w:tcPr>
          <w:p>
            <w:pPr>
              <w:spacing w:before="191" w:line="200" w:lineRule="auto"/>
              <w:ind w:left="66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.5</w:t>
            </w:r>
          </w:p>
        </w:tc>
        <w:tc>
          <w:tcPr>
            <w:tcW w:w="4943" w:type="dxa"/>
            <w:tcBorders>
              <w:top w:val="single" w:color="000000" w:sz="2" w:space="0"/>
              <w:bottom w:val="single" w:color="000000" w:sz="2" w:space="0"/>
            </w:tcBorders>
            <w:vAlign w:val="top"/>
          </w:tcPr>
          <w:p>
            <w:pPr>
              <w:spacing w:before="127" w:line="243" w:lineRule="exact"/>
              <w:ind w:left="753"/>
              <w:rPr>
                <w:rFonts w:ascii="宋体" w:hAnsi="宋体" w:eastAsia="宋体" w:cs="宋体"/>
                <w:sz w:val="17"/>
                <w:szCs w:val="17"/>
              </w:rPr>
            </w:pPr>
            <w:r>
              <w:rPr>
                <w:rFonts w:ascii="宋体" w:hAnsi="宋体" w:eastAsia="宋体" w:cs="宋体"/>
                <w:spacing w:val="7"/>
                <w:position w:val="1"/>
                <w:sz w:val="17"/>
                <w:szCs w:val="17"/>
              </w:rPr>
              <w:t>座位＞</w:t>
            </w:r>
            <w:r>
              <w:rPr>
                <w:rFonts w:ascii="Times New Roman" w:hAnsi="Times New Roman" w:eastAsia="Times New Roman" w:cs="Times New Roman"/>
                <w:spacing w:val="7"/>
                <w:position w:val="1"/>
                <w:sz w:val="17"/>
                <w:szCs w:val="17"/>
              </w:rPr>
              <w:t xml:space="preserve">19  </w:t>
            </w:r>
            <w:r>
              <w:rPr>
                <w:rFonts w:ascii="宋体" w:hAnsi="宋体" w:eastAsia="宋体" w:cs="宋体"/>
                <w:spacing w:val="7"/>
                <w:position w:val="1"/>
                <w:sz w:val="17"/>
                <w:szCs w:val="17"/>
              </w:rPr>
              <w:t xml:space="preserve">座的客车和 </w:t>
            </w:r>
            <w:r>
              <w:rPr>
                <w:rFonts w:ascii="Times New Roman" w:hAnsi="Times New Roman" w:eastAsia="Times New Roman" w:cs="Times New Roman"/>
                <w:spacing w:val="7"/>
                <w:position w:val="1"/>
                <w:sz w:val="17"/>
                <w:szCs w:val="17"/>
              </w:rPr>
              <w:t xml:space="preserve">2 </w:t>
            </w:r>
            <w:r>
              <w:rPr>
                <w:rFonts w:ascii="Times New Roman" w:hAnsi="Times New Roman" w:eastAsia="Times New Roman" w:cs="Times New Roman"/>
                <w:position w:val="1"/>
                <w:sz w:val="17"/>
                <w:szCs w:val="17"/>
              </w:rPr>
              <w:t>t</w:t>
            </w:r>
            <w:r>
              <w:rPr>
                <w:rFonts w:ascii="宋体" w:hAnsi="宋体" w:eastAsia="宋体" w:cs="宋体"/>
                <w:spacing w:val="7"/>
                <w:position w:val="1"/>
                <w:sz w:val="17"/>
                <w:szCs w:val="17"/>
              </w:rPr>
              <w:t>＜载质量</w:t>
            </w:r>
            <w:r>
              <w:rPr>
                <w:rFonts w:ascii="Times New Roman" w:hAnsi="Times New Roman" w:eastAsia="Times New Roman" w:cs="Times New Roman"/>
                <w:spacing w:val="7"/>
                <w:position w:val="1"/>
                <w:sz w:val="17"/>
                <w:szCs w:val="17"/>
              </w:rPr>
              <w:t xml:space="preserve">≤7 </w:t>
            </w:r>
            <w:r>
              <w:rPr>
                <w:rFonts w:ascii="Times New Roman" w:hAnsi="Times New Roman" w:eastAsia="Times New Roman" w:cs="Times New Roman"/>
                <w:position w:val="1"/>
                <w:sz w:val="17"/>
                <w:szCs w:val="17"/>
              </w:rPr>
              <w:t>t</w:t>
            </w:r>
            <w:r>
              <w:rPr>
                <w:rFonts w:ascii="Times New Roman" w:hAnsi="Times New Roman" w:eastAsia="Times New Roman" w:cs="Times New Roman"/>
                <w:spacing w:val="7"/>
                <w:position w:val="1"/>
                <w:sz w:val="17"/>
                <w:szCs w:val="17"/>
              </w:rPr>
              <w:t xml:space="preserve">  </w:t>
            </w:r>
            <w:r>
              <w:rPr>
                <w:rFonts w:ascii="宋体" w:hAnsi="宋体" w:eastAsia="宋体" w:cs="宋体"/>
                <w:spacing w:val="7"/>
                <w:position w:val="1"/>
                <w:sz w:val="17"/>
                <w:szCs w:val="17"/>
              </w:rPr>
              <w:t>货车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984" w:type="dxa"/>
            <w:vMerge w:val="restart"/>
            <w:tcBorders>
              <w:top w:val="single" w:color="000000" w:sz="2" w:space="0"/>
              <w:bottom w:val="nil"/>
            </w:tcBorders>
            <w:vAlign w:val="top"/>
          </w:tcPr>
          <w:p>
            <w:pPr>
              <w:spacing w:before="296" w:line="231" w:lineRule="auto"/>
              <w:ind w:left="405"/>
              <w:rPr>
                <w:rFonts w:ascii="宋体" w:hAnsi="宋体" w:eastAsia="宋体" w:cs="宋体"/>
                <w:sz w:val="17"/>
                <w:szCs w:val="17"/>
              </w:rPr>
            </w:pPr>
            <w:r>
              <w:rPr>
                <w:rFonts w:ascii="宋体" w:hAnsi="宋体" w:eastAsia="宋体" w:cs="宋体"/>
                <w:sz w:val="17"/>
                <w:szCs w:val="17"/>
              </w:rPr>
              <w:t>大</w:t>
            </w:r>
          </w:p>
        </w:tc>
        <w:tc>
          <w:tcPr>
            <w:tcW w:w="1578" w:type="dxa"/>
            <w:tcBorders>
              <w:top w:val="single" w:color="000000" w:sz="2" w:space="0"/>
              <w:bottom w:val="single" w:color="000000" w:sz="2" w:space="0"/>
            </w:tcBorders>
            <w:vAlign w:val="top"/>
          </w:tcPr>
          <w:p>
            <w:pPr>
              <w:spacing w:before="159" w:line="230" w:lineRule="auto"/>
              <w:ind w:left="520"/>
              <w:rPr>
                <w:rFonts w:ascii="宋体" w:hAnsi="宋体" w:eastAsia="宋体" w:cs="宋体"/>
                <w:sz w:val="17"/>
                <w:szCs w:val="17"/>
              </w:rPr>
            </w:pPr>
            <w:r>
              <w:rPr>
                <w:rFonts w:ascii="宋体" w:hAnsi="宋体" w:eastAsia="宋体" w:cs="宋体"/>
                <w:spacing w:val="7"/>
                <w:sz w:val="17"/>
                <w:szCs w:val="17"/>
              </w:rPr>
              <w:t>大型</w:t>
            </w:r>
            <w:r>
              <w:rPr>
                <w:rFonts w:ascii="宋体" w:hAnsi="宋体" w:eastAsia="宋体" w:cs="宋体"/>
                <w:spacing w:val="6"/>
                <w:sz w:val="17"/>
                <w:szCs w:val="17"/>
              </w:rPr>
              <w:t>车</w:t>
            </w:r>
          </w:p>
        </w:tc>
        <w:tc>
          <w:tcPr>
            <w:tcW w:w="1517" w:type="dxa"/>
            <w:tcBorders>
              <w:top w:val="single" w:color="000000" w:sz="2" w:space="0"/>
              <w:bottom w:val="single" w:color="000000" w:sz="2" w:space="0"/>
            </w:tcBorders>
            <w:vAlign w:val="top"/>
          </w:tcPr>
          <w:p>
            <w:pPr>
              <w:spacing w:before="187" w:line="200" w:lineRule="auto"/>
              <w:ind w:left="643"/>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4"/>
                <w:sz w:val="17"/>
                <w:szCs w:val="17"/>
              </w:rPr>
              <w:t>.5</w:t>
            </w:r>
          </w:p>
        </w:tc>
        <w:tc>
          <w:tcPr>
            <w:tcW w:w="4943" w:type="dxa"/>
            <w:tcBorders>
              <w:top w:val="single" w:color="000000" w:sz="2" w:space="0"/>
              <w:bottom w:val="single" w:color="000000" w:sz="2" w:space="0"/>
            </w:tcBorders>
            <w:vAlign w:val="top"/>
          </w:tcPr>
          <w:p>
            <w:pPr>
              <w:spacing w:before="124" w:line="242" w:lineRule="exact"/>
              <w:ind w:left="1608"/>
              <w:rPr>
                <w:rFonts w:ascii="宋体" w:hAnsi="宋体" w:eastAsia="宋体" w:cs="宋体"/>
                <w:sz w:val="17"/>
                <w:szCs w:val="17"/>
              </w:rPr>
            </w:pPr>
            <w:r>
              <w:rPr>
                <w:rFonts w:ascii="Times New Roman" w:hAnsi="Times New Roman" w:eastAsia="Times New Roman" w:cs="Times New Roman"/>
                <w:spacing w:val="10"/>
                <w:position w:val="1"/>
                <w:sz w:val="17"/>
                <w:szCs w:val="17"/>
              </w:rPr>
              <w:t>7</w:t>
            </w:r>
            <w:r>
              <w:rPr>
                <w:rFonts w:ascii="Times New Roman" w:hAnsi="Times New Roman" w:eastAsia="Times New Roman" w:cs="Times New Roman"/>
                <w:spacing w:val="6"/>
                <w:position w:val="1"/>
                <w:sz w:val="17"/>
                <w:szCs w:val="17"/>
              </w:rPr>
              <w:t xml:space="preserve"> </w:t>
            </w:r>
            <w:r>
              <w:rPr>
                <w:rFonts w:ascii="Times New Roman" w:hAnsi="Times New Roman" w:eastAsia="Times New Roman" w:cs="Times New Roman"/>
                <w:position w:val="1"/>
                <w:sz w:val="17"/>
                <w:szCs w:val="17"/>
              </w:rPr>
              <w:t>t</w:t>
            </w:r>
            <w:r>
              <w:rPr>
                <w:rFonts w:ascii="宋体" w:hAnsi="宋体" w:eastAsia="宋体" w:cs="宋体"/>
                <w:spacing w:val="6"/>
                <w:position w:val="1"/>
                <w:sz w:val="17"/>
                <w:szCs w:val="17"/>
              </w:rPr>
              <w:t>＜载质量</w:t>
            </w:r>
            <w:r>
              <w:rPr>
                <w:rFonts w:ascii="Times New Roman" w:hAnsi="Times New Roman" w:eastAsia="Times New Roman" w:cs="Times New Roman"/>
                <w:spacing w:val="6"/>
                <w:position w:val="1"/>
                <w:sz w:val="17"/>
                <w:szCs w:val="17"/>
              </w:rPr>
              <w:t xml:space="preserve">≤20 </w:t>
            </w:r>
            <w:r>
              <w:rPr>
                <w:rFonts w:ascii="Times New Roman" w:hAnsi="Times New Roman" w:eastAsia="Times New Roman" w:cs="Times New Roman"/>
                <w:position w:val="1"/>
                <w:sz w:val="17"/>
                <w:szCs w:val="17"/>
              </w:rPr>
              <w:t>t</w:t>
            </w:r>
            <w:r>
              <w:rPr>
                <w:rFonts w:ascii="Times New Roman" w:hAnsi="Times New Roman" w:eastAsia="Times New Roman" w:cs="Times New Roman"/>
                <w:spacing w:val="6"/>
                <w:position w:val="1"/>
                <w:sz w:val="17"/>
                <w:szCs w:val="17"/>
              </w:rPr>
              <w:t xml:space="preserve">  </w:t>
            </w:r>
            <w:r>
              <w:rPr>
                <w:rFonts w:ascii="宋体" w:hAnsi="宋体" w:eastAsia="宋体" w:cs="宋体"/>
                <w:spacing w:val="6"/>
                <w:position w:val="1"/>
                <w:sz w:val="17"/>
                <w:szCs w:val="17"/>
              </w:rPr>
              <w:t>货车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984" w:type="dxa"/>
            <w:vMerge w:val="continue"/>
            <w:tcBorders>
              <w:top w:val="nil"/>
              <w:bottom w:val="single" w:color="000000" w:sz="2" w:space="0"/>
            </w:tcBorders>
            <w:vAlign w:val="top"/>
          </w:tcPr>
          <w:p>
            <w:pPr>
              <w:rPr>
                <w:rFonts w:ascii="Arial"/>
                <w:sz w:val="21"/>
              </w:rPr>
            </w:pPr>
          </w:p>
        </w:tc>
        <w:tc>
          <w:tcPr>
            <w:tcW w:w="1578" w:type="dxa"/>
            <w:tcBorders>
              <w:top w:val="single" w:color="000000" w:sz="2" w:space="0"/>
              <w:bottom w:val="single" w:color="000000" w:sz="2" w:space="0"/>
            </w:tcBorders>
            <w:vAlign w:val="top"/>
          </w:tcPr>
          <w:p>
            <w:pPr>
              <w:spacing w:before="50" w:line="230" w:lineRule="auto"/>
              <w:ind w:left="427"/>
              <w:rPr>
                <w:rFonts w:ascii="宋体" w:hAnsi="宋体" w:eastAsia="宋体" w:cs="宋体"/>
                <w:sz w:val="17"/>
                <w:szCs w:val="17"/>
              </w:rPr>
            </w:pPr>
            <w:r>
              <w:rPr>
                <w:rFonts w:ascii="宋体" w:hAnsi="宋体" w:eastAsia="宋体" w:cs="宋体"/>
                <w:spacing w:val="8"/>
                <w:sz w:val="17"/>
                <w:szCs w:val="17"/>
              </w:rPr>
              <w:t>汽车列车</w:t>
            </w:r>
          </w:p>
        </w:tc>
        <w:tc>
          <w:tcPr>
            <w:tcW w:w="1517" w:type="dxa"/>
            <w:tcBorders>
              <w:top w:val="single" w:color="000000" w:sz="2" w:space="0"/>
              <w:bottom w:val="single" w:color="000000" w:sz="2" w:space="0"/>
            </w:tcBorders>
            <w:vAlign w:val="top"/>
          </w:tcPr>
          <w:p>
            <w:pPr>
              <w:spacing w:before="81" w:line="200" w:lineRule="auto"/>
              <w:ind w:left="64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4.0</w:t>
            </w:r>
          </w:p>
        </w:tc>
        <w:tc>
          <w:tcPr>
            <w:tcW w:w="4943" w:type="dxa"/>
            <w:tcBorders>
              <w:top w:val="single" w:color="000000" w:sz="2" w:space="0"/>
              <w:bottom w:val="single" w:color="000000" w:sz="2" w:space="0"/>
            </w:tcBorders>
            <w:vAlign w:val="top"/>
          </w:tcPr>
          <w:p>
            <w:pPr>
              <w:spacing w:before="18" w:line="242" w:lineRule="exact"/>
              <w:ind w:left="1660"/>
              <w:rPr>
                <w:rFonts w:ascii="宋体" w:hAnsi="宋体" w:eastAsia="宋体" w:cs="宋体"/>
                <w:sz w:val="17"/>
                <w:szCs w:val="17"/>
              </w:rPr>
            </w:pPr>
            <w:r>
              <w:rPr>
                <w:rFonts w:ascii="宋体" w:hAnsi="宋体" w:eastAsia="宋体" w:cs="宋体"/>
                <w:spacing w:val="14"/>
                <w:position w:val="1"/>
                <w:sz w:val="17"/>
                <w:szCs w:val="17"/>
              </w:rPr>
              <w:t>载</w:t>
            </w:r>
            <w:r>
              <w:rPr>
                <w:rFonts w:ascii="宋体" w:hAnsi="宋体" w:eastAsia="宋体" w:cs="宋体"/>
                <w:spacing w:val="11"/>
                <w:position w:val="1"/>
                <w:sz w:val="17"/>
                <w:szCs w:val="17"/>
              </w:rPr>
              <w:t>质量＞</w:t>
            </w:r>
            <w:r>
              <w:rPr>
                <w:rFonts w:ascii="Times New Roman" w:hAnsi="Times New Roman" w:eastAsia="Times New Roman" w:cs="Times New Roman"/>
                <w:spacing w:val="11"/>
                <w:position w:val="1"/>
                <w:sz w:val="17"/>
                <w:szCs w:val="17"/>
              </w:rPr>
              <w:t>20</w:t>
            </w:r>
            <w:r>
              <w:rPr>
                <w:rFonts w:ascii="Times New Roman" w:hAnsi="Times New Roman" w:eastAsia="Times New Roman" w:cs="Times New Roman"/>
                <w:position w:val="1"/>
                <w:sz w:val="17"/>
                <w:szCs w:val="17"/>
              </w:rPr>
              <w:t>t</w:t>
            </w:r>
            <w:r>
              <w:rPr>
                <w:rFonts w:ascii="Times New Roman" w:hAnsi="Times New Roman" w:eastAsia="Times New Roman" w:cs="Times New Roman"/>
                <w:spacing w:val="11"/>
                <w:position w:val="1"/>
                <w:sz w:val="17"/>
                <w:szCs w:val="17"/>
              </w:rPr>
              <w:t xml:space="preserve">  </w:t>
            </w:r>
            <w:r>
              <w:rPr>
                <w:rFonts w:ascii="宋体" w:hAnsi="宋体" w:eastAsia="宋体" w:cs="宋体"/>
                <w:spacing w:val="11"/>
                <w:position w:val="1"/>
                <w:sz w:val="17"/>
                <w:szCs w:val="17"/>
              </w:rPr>
              <w:t>的货车</w:t>
            </w:r>
          </w:p>
        </w:tc>
      </w:tr>
    </w:tbl>
    <w:p>
      <w:pPr>
        <w:spacing w:before="142" w:line="227" w:lineRule="auto"/>
        <w:ind w:left="583"/>
        <w:rPr>
          <w:rFonts w:ascii="宋体" w:hAnsi="宋体" w:eastAsia="宋体" w:cs="宋体"/>
          <w:sz w:val="20"/>
          <w:szCs w:val="20"/>
        </w:rPr>
      </w:pPr>
      <w:r>
        <w:rPr>
          <w:rFonts w:ascii="宋体" w:hAnsi="宋体" w:eastAsia="宋体" w:cs="宋体"/>
          <w:spacing w:val="7"/>
          <w:sz w:val="17"/>
          <w:szCs w:val="17"/>
        </w:rPr>
        <w:t xml:space="preserve">2   </w:t>
      </w:r>
      <w:r>
        <w:rPr>
          <w:rFonts w:ascii="宋体" w:hAnsi="宋体" w:eastAsia="宋体" w:cs="宋体"/>
          <w:spacing w:val="7"/>
          <w:sz w:val="20"/>
          <w:szCs w:val="20"/>
        </w:rPr>
        <w:t>基本预测模</w:t>
      </w:r>
      <w:r>
        <w:rPr>
          <w:rFonts w:ascii="宋体" w:hAnsi="宋体" w:eastAsia="宋体" w:cs="宋体"/>
          <w:spacing w:val="5"/>
          <w:sz w:val="20"/>
          <w:szCs w:val="20"/>
        </w:rPr>
        <w:t>型</w:t>
      </w:r>
    </w:p>
    <w:p>
      <w:pPr>
        <w:spacing w:before="115" w:line="281" w:lineRule="exact"/>
        <w:ind w:left="521"/>
        <w:rPr>
          <w:rFonts w:ascii="宋体" w:hAnsi="宋体" w:eastAsia="宋体" w:cs="宋体"/>
          <w:sz w:val="20"/>
          <w:szCs w:val="20"/>
        </w:rPr>
      </w:pPr>
      <w:r>
        <w:rPr>
          <w:rFonts w:ascii="Times New Roman" w:hAnsi="Times New Roman" w:eastAsia="Times New Roman" w:cs="Times New Roman"/>
          <w:position w:val="1"/>
          <w:sz w:val="20"/>
          <w:szCs w:val="20"/>
        </w:rPr>
        <w:t>a</w:t>
      </w:r>
      <w:r>
        <w:rPr>
          <w:rFonts w:ascii="Times New Roman" w:hAnsi="Times New Roman" w:eastAsia="Times New Roman" w:cs="Times New Roman"/>
          <w:spacing w:val="5"/>
          <w:position w:val="1"/>
          <w:sz w:val="20"/>
          <w:szCs w:val="20"/>
        </w:rPr>
        <w:t xml:space="preserve"> </w:t>
      </w:r>
      <w:r>
        <w:rPr>
          <w:rFonts w:ascii="宋体" w:hAnsi="宋体" w:eastAsia="宋体" w:cs="宋体"/>
          <w:spacing w:val="5"/>
          <w:position w:val="1"/>
          <w:sz w:val="20"/>
          <w:szCs w:val="20"/>
        </w:rPr>
        <w:t xml:space="preserve">) 第 </w:t>
      </w:r>
      <w:r>
        <w:rPr>
          <w:rFonts w:ascii="Times New Roman" w:hAnsi="Times New Roman" w:eastAsia="Times New Roman" w:cs="Times New Roman"/>
          <w:position w:val="1"/>
          <w:sz w:val="20"/>
          <w:szCs w:val="20"/>
        </w:rPr>
        <w:t>i</w:t>
      </w:r>
      <w:r>
        <w:rPr>
          <w:rFonts w:ascii="Times New Roman" w:hAnsi="Times New Roman" w:eastAsia="Times New Roman" w:cs="Times New Roman"/>
          <w:spacing w:val="5"/>
          <w:position w:val="1"/>
          <w:sz w:val="20"/>
          <w:szCs w:val="20"/>
        </w:rPr>
        <w:t xml:space="preserve">  </w:t>
      </w:r>
      <w:r>
        <w:rPr>
          <w:rFonts w:ascii="宋体" w:hAnsi="宋体" w:eastAsia="宋体" w:cs="宋体"/>
          <w:spacing w:val="5"/>
          <w:position w:val="1"/>
          <w:sz w:val="20"/>
          <w:szCs w:val="20"/>
        </w:rPr>
        <w:t>类车等效声级的预测模</w:t>
      </w:r>
      <w:r>
        <w:rPr>
          <w:rFonts w:ascii="宋体" w:hAnsi="宋体" w:eastAsia="宋体" w:cs="宋体"/>
          <w:spacing w:val="2"/>
          <w:position w:val="1"/>
          <w:sz w:val="20"/>
          <w:szCs w:val="20"/>
        </w:rPr>
        <w:t>型</w:t>
      </w:r>
    </w:p>
    <w:p>
      <w:pPr>
        <w:spacing w:before="157" w:line="228" w:lineRule="auto"/>
        <w:ind w:left="520"/>
        <w:rPr>
          <w:rFonts w:ascii="宋体" w:hAnsi="宋体" w:eastAsia="宋体" w:cs="宋体"/>
          <w:sz w:val="20"/>
          <w:szCs w:val="20"/>
        </w:rPr>
      </w:pPr>
      <w:r>
        <w:rPr>
          <w:rFonts w:ascii="宋体" w:hAnsi="宋体" w:eastAsia="宋体" w:cs="宋体"/>
          <w:spacing w:val="11"/>
          <w:sz w:val="20"/>
          <w:szCs w:val="20"/>
        </w:rPr>
        <w:t>将</w:t>
      </w:r>
      <w:r>
        <w:rPr>
          <w:rFonts w:ascii="宋体" w:hAnsi="宋体" w:eastAsia="宋体" w:cs="宋体"/>
          <w:spacing w:val="9"/>
          <w:sz w:val="20"/>
          <w:szCs w:val="20"/>
        </w:rPr>
        <w:t>公路上汽车按照车种分类 (如大、中、小型车) ，先求出某一类车辆的小时等效声级：</w:t>
      </w:r>
    </w:p>
    <w:p>
      <w:pPr>
        <w:spacing w:before="43" w:line="218" w:lineRule="auto"/>
        <w:ind w:left="1837"/>
        <w:rPr>
          <w:rFonts w:ascii="Times New Roman" w:hAnsi="Times New Roman" w:eastAsia="Times New Roman" w:cs="Times New Roman"/>
          <w:sz w:val="23"/>
          <w:szCs w:val="23"/>
        </w:rPr>
      </w:pPr>
      <w:r>
        <w:rPr>
          <w:rFonts w:ascii="Times New Roman" w:hAnsi="Times New Roman" w:eastAsia="Times New Roman" w:cs="Times New Roman"/>
          <w:i/>
          <w:iCs/>
          <w:spacing w:val="-11"/>
          <w:position w:val="1"/>
          <w:sz w:val="23"/>
          <w:szCs w:val="23"/>
        </w:rPr>
        <w:t>L</w:t>
      </w:r>
      <w:r>
        <w:rPr>
          <w:rFonts w:ascii="Times New Roman" w:hAnsi="Times New Roman" w:eastAsia="Times New Roman" w:cs="Times New Roman"/>
          <w:i/>
          <w:iCs/>
          <w:spacing w:val="-11"/>
          <w:position w:val="-3"/>
          <w:sz w:val="13"/>
          <w:szCs w:val="13"/>
        </w:rPr>
        <w:t>eq</w:t>
      </w:r>
      <w:r>
        <w:rPr>
          <w:rFonts w:ascii="Times New Roman" w:hAnsi="Times New Roman" w:eastAsia="Times New Roman" w:cs="Times New Roman"/>
          <w:spacing w:val="-12"/>
          <w:position w:val="-3"/>
          <w:sz w:val="13"/>
          <w:szCs w:val="13"/>
        </w:rPr>
        <w:t xml:space="preserve"> </w:t>
      </w:r>
      <w:r>
        <w:rPr>
          <w:rFonts w:ascii="Times New Roman" w:hAnsi="Times New Roman" w:eastAsia="Times New Roman" w:cs="Times New Roman"/>
          <w:spacing w:val="-22"/>
          <w:position w:val="1"/>
          <w:sz w:val="23"/>
          <w:szCs w:val="23"/>
        </w:rPr>
        <w:t>(</w:t>
      </w:r>
      <w:r>
        <w:rPr>
          <w:rFonts w:ascii="Times New Roman" w:hAnsi="Times New Roman" w:eastAsia="Times New Roman" w:cs="Times New Roman"/>
          <w:i/>
          <w:iCs/>
          <w:spacing w:val="-11"/>
          <w:position w:val="1"/>
          <w:sz w:val="23"/>
          <w:szCs w:val="23"/>
        </w:rPr>
        <w:t>h</w:t>
      </w:r>
      <w:r>
        <w:rPr>
          <w:rFonts w:ascii="Times New Roman" w:hAnsi="Times New Roman" w:eastAsia="Times New Roman" w:cs="Times New Roman"/>
          <w:spacing w:val="-11"/>
          <w:position w:val="1"/>
          <w:sz w:val="23"/>
          <w:szCs w:val="23"/>
        </w:rPr>
        <w:t>)</w:t>
      </w:r>
      <w:r>
        <w:rPr>
          <w:rFonts w:ascii="Times New Roman" w:hAnsi="Times New Roman" w:eastAsia="Times New Roman" w:cs="Times New Roman"/>
          <w:i/>
          <w:iCs/>
          <w:spacing w:val="-11"/>
          <w:position w:val="-3"/>
          <w:sz w:val="13"/>
          <w:szCs w:val="13"/>
        </w:rPr>
        <w:t>i</w:t>
      </w:r>
      <w:r>
        <w:rPr>
          <w:rFonts w:ascii="Times New Roman" w:hAnsi="Times New Roman" w:eastAsia="Times New Roman" w:cs="Times New Roman"/>
          <w:spacing w:val="-11"/>
          <w:position w:val="-3"/>
          <w:sz w:val="13"/>
          <w:szCs w:val="13"/>
        </w:rPr>
        <w:t xml:space="preserve">  </w:t>
      </w:r>
      <w:r>
        <w:rPr>
          <w:rFonts w:ascii="微软雅黑" w:hAnsi="微软雅黑" w:eastAsia="微软雅黑" w:cs="微软雅黑"/>
          <w:spacing w:val="-11"/>
          <w:position w:val="1"/>
          <w:sz w:val="23"/>
          <w:szCs w:val="23"/>
        </w:rPr>
        <w:t xml:space="preserve">= </w:t>
      </w:r>
      <w:r>
        <w:rPr>
          <w:rFonts w:ascii="Times New Roman" w:hAnsi="Times New Roman" w:eastAsia="Times New Roman" w:cs="Times New Roman"/>
          <w:spacing w:val="-11"/>
          <w:position w:val="1"/>
          <w:sz w:val="23"/>
          <w:szCs w:val="23"/>
        </w:rPr>
        <w:t>(</w:t>
      </w:r>
      <w:r>
        <w:rPr>
          <w:rFonts w:ascii="Times New Roman" w:hAnsi="Times New Roman" w:eastAsia="Times New Roman" w:cs="Times New Roman"/>
          <w:i/>
          <w:iCs/>
          <w:spacing w:val="-11"/>
          <w:position w:val="1"/>
          <w:sz w:val="23"/>
          <w:szCs w:val="23"/>
        </w:rPr>
        <w:t>L</w:t>
      </w:r>
      <w:r>
        <w:rPr>
          <w:rFonts w:ascii="Times New Roman" w:hAnsi="Times New Roman" w:eastAsia="Times New Roman" w:cs="Times New Roman"/>
          <w:spacing w:val="-11"/>
          <w:position w:val="-3"/>
          <w:sz w:val="13"/>
          <w:szCs w:val="13"/>
        </w:rPr>
        <w:t>0</w:t>
      </w:r>
      <w:r>
        <w:rPr>
          <w:rFonts w:ascii="Times New Roman" w:hAnsi="Times New Roman" w:eastAsia="Times New Roman" w:cs="Times New Roman"/>
          <w:i/>
          <w:iCs/>
          <w:spacing w:val="-11"/>
          <w:position w:val="-3"/>
          <w:sz w:val="13"/>
          <w:szCs w:val="13"/>
        </w:rPr>
        <w:t>E</w:t>
      </w:r>
      <w:r>
        <w:rPr>
          <w:rFonts w:ascii="Times New Roman" w:hAnsi="Times New Roman" w:eastAsia="Times New Roman" w:cs="Times New Roman"/>
          <w:spacing w:val="-11"/>
          <w:position w:val="-3"/>
          <w:sz w:val="13"/>
          <w:szCs w:val="13"/>
        </w:rPr>
        <w:t xml:space="preserve"> </w:t>
      </w:r>
      <w:r>
        <w:rPr>
          <w:rFonts w:ascii="Times New Roman" w:hAnsi="Times New Roman" w:eastAsia="Times New Roman" w:cs="Times New Roman"/>
          <w:spacing w:val="-11"/>
          <w:position w:val="1"/>
          <w:sz w:val="23"/>
          <w:szCs w:val="23"/>
        </w:rPr>
        <w:t>)</w:t>
      </w:r>
      <w:r>
        <w:rPr>
          <w:rFonts w:ascii="Times New Roman" w:hAnsi="Times New Roman" w:eastAsia="Times New Roman" w:cs="Times New Roman"/>
          <w:i/>
          <w:iCs/>
          <w:spacing w:val="-11"/>
          <w:position w:val="-3"/>
          <w:sz w:val="13"/>
          <w:szCs w:val="13"/>
        </w:rPr>
        <w:t>i</w:t>
      </w:r>
      <w:r>
        <w:rPr>
          <w:rFonts w:ascii="Times New Roman" w:hAnsi="Times New Roman" w:eastAsia="Times New Roman" w:cs="Times New Roman"/>
          <w:spacing w:val="-11"/>
          <w:position w:val="-3"/>
          <w:sz w:val="13"/>
          <w:szCs w:val="13"/>
        </w:rPr>
        <w:t xml:space="preserve">  </w:t>
      </w:r>
      <w:r>
        <w:rPr>
          <w:rFonts w:ascii="微软雅黑" w:hAnsi="微软雅黑" w:eastAsia="微软雅黑" w:cs="微软雅黑"/>
          <w:spacing w:val="-11"/>
          <w:position w:val="1"/>
          <w:sz w:val="23"/>
          <w:szCs w:val="23"/>
        </w:rPr>
        <w:t xml:space="preserve">+ </w:t>
      </w:r>
      <w:r>
        <w:rPr>
          <w:rFonts w:ascii="Times New Roman" w:hAnsi="Times New Roman" w:eastAsia="Times New Roman" w:cs="Times New Roman"/>
          <w:spacing w:val="-11"/>
          <w:position w:val="1"/>
          <w:sz w:val="23"/>
          <w:szCs w:val="23"/>
        </w:rPr>
        <w:t xml:space="preserve">10lg </w:t>
      </w:r>
      <w:r>
        <w:rPr>
          <w:position w:val="-27"/>
          <w:sz w:val="23"/>
          <w:szCs w:val="23"/>
        </w:rPr>
        <w:drawing>
          <wp:inline distT="0" distB="0" distL="0" distR="0">
            <wp:extent cx="57150" cy="43370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260"/>
                    <a:stretch>
                      <a:fillRect/>
                    </a:stretch>
                  </pic:blipFill>
                  <pic:spPr>
                    <a:xfrm>
                      <a:off x="0" y="0"/>
                      <a:ext cx="57176" cy="433788"/>
                    </a:xfrm>
                    <a:prstGeom prst="rect">
                      <a:avLst/>
                    </a:prstGeom>
                  </pic:spPr>
                </pic:pic>
              </a:graphicData>
            </a:graphic>
          </wp:inline>
        </w:drawing>
      </w:r>
      <w:r>
        <w:rPr>
          <w:position w:val="-26"/>
          <w:sz w:val="23"/>
          <w:szCs w:val="23"/>
        </w:rPr>
        <w:drawing>
          <wp:inline distT="0" distB="0" distL="0" distR="0">
            <wp:extent cx="220345" cy="367030"/>
            <wp:effectExtent l="0" t="0" r="0" b="0"/>
            <wp:docPr id="117" name="IM 117"/>
            <wp:cNvGraphicFramePr/>
            <a:graphic xmlns:a="http://schemas.openxmlformats.org/drawingml/2006/main">
              <a:graphicData uri="http://schemas.openxmlformats.org/drawingml/2006/picture">
                <pic:pic xmlns:pic="http://schemas.openxmlformats.org/drawingml/2006/picture">
                  <pic:nvPicPr>
                    <pic:cNvPr id="117" name="IM 117"/>
                    <pic:cNvPicPr/>
                  </pic:nvPicPr>
                  <pic:blipFill>
                    <a:blip r:embed="rId261"/>
                    <a:stretch>
                      <a:fillRect/>
                    </a:stretch>
                  </pic:blipFill>
                  <pic:spPr>
                    <a:xfrm>
                      <a:off x="0" y="0"/>
                      <a:ext cx="220509" cy="367357"/>
                    </a:xfrm>
                    <a:prstGeom prst="rect">
                      <a:avLst/>
                    </a:prstGeom>
                  </pic:spPr>
                </pic:pic>
              </a:graphicData>
            </a:graphic>
          </wp:inline>
        </w:drawing>
      </w:r>
      <w:r>
        <w:rPr>
          <w:position w:val="-27"/>
          <w:sz w:val="23"/>
          <w:szCs w:val="23"/>
        </w:rPr>
        <w:drawing>
          <wp:inline distT="0" distB="0" distL="0" distR="0">
            <wp:extent cx="54610" cy="43370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262"/>
                    <a:stretch>
                      <a:fillRect/>
                    </a:stretch>
                  </pic:blipFill>
                  <pic:spPr>
                    <a:xfrm>
                      <a:off x="0" y="0"/>
                      <a:ext cx="54639" cy="433788"/>
                    </a:xfrm>
                    <a:prstGeom prst="rect">
                      <a:avLst/>
                    </a:prstGeom>
                  </pic:spPr>
                </pic:pic>
              </a:graphicData>
            </a:graphic>
          </wp:inline>
        </w:drawing>
      </w:r>
      <w:r>
        <w:rPr>
          <w:rFonts w:ascii="Times New Roman" w:hAnsi="Times New Roman" w:eastAsia="Times New Roman" w:cs="Times New Roman"/>
          <w:spacing w:val="-11"/>
          <w:position w:val="1"/>
          <w:sz w:val="23"/>
          <w:szCs w:val="23"/>
        </w:rPr>
        <w:t xml:space="preserve"> </w:t>
      </w:r>
      <w:r>
        <w:rPr>
          <w:rFonts w:ascii="微软雅黑" w:hAnsi="微软雅黑" w:eastAsia="微软雅黑" w:cs="微软雅黑"/>
          <w:spacing w:val="-11"/>
          <w:position w:val="1"/>
          <w:sz w:val="23"/>
          <w:szCs w:val="23"/>
        </w:rPr>
        <w:t>+ 编</w:t>
      </w:r>
      <w:r>
        <w:rPr>
          <w:rFonts w:ascii="Times New Roman" w:hAnsi="Times New Roman" w:eastAsia="Times New Roman" w:cs="Times New Roman"/>
          <w:i/>
          <w:iCs/>
          <w:spacing w:val="-11"/>
          <w:position w:val="1"/>
          <w:sz w:val="23"/>
          <w:szCs w:val="23"/>
        </w:rPr>
        <w:t>L</w:t>
      </w:r>
      <w:r>
        <w:rPr>
          <w:rFonts w:ascii="宋体" w:hAnsi="宋体" w:eastAsia="宋体" w:cs="宋体"/>
          <w:spacing w:val="-11"/>
          <w:position w:val="-4"/>
          <w:sz w:val="13"/>
          <w:szCs w:val="13"/>
        </w:rPr>
        <w:t xml:space="preserve">距离 </w:t>
      </w:r>
      <w:r>
        <w:rPr>
          <w:rFonts w:ascii="微软雅黑" w:hAnsi="微软雅黑" w:eastAsia="微软雅黑" w:cs="微软雅黑"/>
          <w:spacing w:val="-11"/>
          <w:position w:val="1"/>
          <w:sz w:val="23"/>
          <w:szCs w:val="23"/>
        </w:rPr>
        <w:t xml:space="preserve">+ </w:t>
      </w:r>
      <w:r>
        <w:rPr>
          <w:rFonts w:ascii="Times New Roman" w:hAnsi="Times New Roman" w:eastAsia="Times New Roman" w:cs="Times New Roman"/>
          <w:spacing w:val="-11"/>
          <w:position w:val="1"/>
          <w:sz w:val="23"/>
          <w:szCs w:val="23"/>
        </w:rPr>
        <w:t xml:space="preserve">10lg </w:t>
      </w:r>
      <w:r>
        <w:rPr>
          <w:position w:val="-23"/>
          <w:sz w:val="23"/>
          <w:szCs w:val="23"/>
        </w:rPr>
        <w:drawing>
          <wp:inline distT="0" distB="0" distL="0" distR="0">
            <wp:extent cx="57150" cy="391795"/>
            <wp:effectExtent l="0" t="0" r="0" b="0"/>
            <wp:docPr id="119" name="IM 119"/>
            <wp:cNvGraphicFramePr/>
            <a:graphic xmlns:a="http://schemas.openxmlformats.org/drawingml/2006/main">
              <a:graphicData uri="http://schemas.openxmlformats.org/drawingml/2006/picture">
                <pic:pic xmlns:pic="http://schemas.openxmlformats.org/drawingml/2006/picture">
                  <pic:nvPicPr>
                    <pic:cNvPr id="119" name="IM 119"/>
                    <pic:cNvPicPr/>
                  </pic:nvPicPr>
                  <pic:blipFill>
                    <a:blip r:embed="rId263"/>
                    <a:stretch>
                      <a:fillRect/>
                    </a:stretch>
                  </pic:blipFill>
                  <pic:spPr>
                    <a:xfrm>
                      <a:off x="0" y="0"/>
                      <a:ext cx="57176" cy="391965"/>
                    </a:xfrm>
                    <a:prstGeom prst="rect">
                      <a:avLst/>
                    </a:prstGeom>
                  </pic:spPr>
                </pic:pic>
              </a:graphicData>
            </a:graphic>
          </wp:inline>
        </w:drawing>
      </w:r>
      <w:r>
        <w:rPr>
          <w:rFonts w:ascii="微软雅黑" w:hAnsi="微软雅黑" w:eastAsia="微软雅黑" w:cs="微软雅黑"/>
          <w:strike/>
          <w:spacing w:val="-11"/>
          <w:position w:val="16"/>
          <w:sz w:val="23"/>
          <w:szCs w:val="23"/>
        </w:rPr>
        <w:t>中</w:t>
      </w:r>
      <w:r>
        <w:rPr>
          <w:rFonts w:ascii="Times New Roman" w:hAnsi="Times New Roman" w:eastAsia="Times New Roman" w:cs="Times New Roman"/>
          <w:strike/>
          <w:spacing w:val="-11"/>
          <w:position w:val="10"/>
          <w:sz w:val="13"/>
          <w:szCs w:val="13"/>
        </w:rPr>
        <w:t xml:space="preserve">1 </w:t>
      </w:r>
      <w:r>
        <w:rPr>
          <w:position w:val="-16"/>
          <w:sz w:val="13"/>
          <w:szCs w:val="13"/>
        </w:rPr>
        <w:drawing>
          <wp:inline distT="0" distB="0" distL="0" distR="0">
            <wp:extent cx="100965" cy="35496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264"/>
                    <a:stretch>
                      <a:fillRect/>
                    </a:stretch>
                  </pic:blipFill>
                  <pic:spPr>
                    <a:xfrm>
                      <a:off x="0" y="0"/>
                      <a:ext cx="101017" cy="355142"/>
                    </a:xfrm>
                    <a:prstGeom prst="rect">
                      <a:avLst/>
                    </a:prstGeom>
                  </pic:spPr>
                </pic:pic>
              </a:graphicData>
            </a:graphic>
          </wp:inline>
        </w:drawing>
      </w:r>
      <w:r>
        <w:rPr>
          <w:rFonts w:ascii="微软雅黑" w:hAnsi="微软雅黑" w:eastAsia="微软雅黑" w:cs="微软雅黑"/>
          <w:strike/>
          <w:spacing w:val="-11"/>
          <w:position w:val="16"/>
          <w:sz w:val="23"/>
          <w:szCs w:val="23"/>
        </w:rPr>
        <w:t>中</w:t>
      </w:r>
      <w:r>
        <w:rPr>
          <w:rFonts w:ascii="Times New Roman" w:hAnsi="Times New Roman" w:eastAsia="Times New Roman" w:cs="Times New Roman"/>
          <w:strike/>
          <w:spacing w:val="-11"/>
          <w:position w:val="10"/>
          <w:sz w:val="13"/>
          <w:szCs w:val="13"/>
        </w:rPr>
        <w:t xml:space="preserve">2 </w:t>
      </w:r>
      <w:r>
        <w:rPr>
          <w:position w:val="-23"/>
          <w:sz w:val="13"/>
          <w:szCs w:val="13"/>
        </w:rPr>
        <w:drawing>
          <wp:inline distT="0" distB="0" distL="0" distR="0">
            <wp:extent cx="54610" cy="391795"/>
            <wp:effectExtent l="0" t="0" r="0" b="0"/>
            <wp:docPr id="121" name="IM 121"/>
            <wp:cNvGraphicFramePr/>
            <a:graphic xmlns:a="http://schemas.openxmlformats.org/drawingml/2006/main">
              <a:graphicData uri="http://schemas.openxmlformats.org/drawingml/2006/picture">
                <pic:pic xmlns:pic="http://schemas.openxmlformats.org/drawingml/2006/picture">
                  <pic:nvPicPr>
                    <pic:cNvPr id="121" name="IM 121"/>
                    <pic:cNvPicPr/>
                  </pic:nvPicPr>
                  <pic:blipFill>
                    <a:blip r:embed="rId265"/>
                    <a:stretch>
                      <a:fillRect/>
                    </a:stretch>
                  </pic:blipFill>
                  <pic:spPr>
                    <a:xfrm>
                      <a:off x="0" y="0"/>
                      <a:ext cx="54639" cy="391965"/>
                    </a:xfrm>
                    <a:prstGeom prst="rect">
                      <a:avLst/>
                    </a:prstGeom>
                  </pic:spPr>
                </pic:pic>
              </a:graphicData>
            </a:graphic>
          </wp:inline>
        </w:drawing>
      </w:r>
      <w:r>
        <w:rPr>
          <w:rFonts w:ascii="Times New Roman" w:hAnsi="Times New Roman" w:eastAsia="Times New Roman" w:cs="Times New Roman"/>
          <w:spacing w:val="-11"/>
          <w:position w:val="10"/>
          <w:sz w:val="13"/>
          <w:szCs w:val="13"/>
        </w:rPr>
        <w:t xml:space="preserve"> </w:t>
      </w:r>
      <w:r>
        <w:rPr>
          <w:rFonts w:ascii="微软雅黑" w:hAnsi="微软雅黑" w:eastAsia="微软雅黑" w:cs="微软雅黑"/>
          <w:spacing w:val="-11"/>
          <w:position w:val="1"/>
          <w:sz w:val="23"/>
          <w:szCs w:val="23"/>
        </w:rPr>
        <w:t>+ 编</w:t>
      </w:r>
      <w:r>
        <w:rPr>
          <w:rFonts w:ascii="Times New Roman" w:hAnsi="Times New Roman" w:eastAsia="Times New Roman" w:cs="Times New Roman"/>
          <w:i/>
          <w:iCs/>
          <w:spacing w:val="-11"/>
          <w:position w:val="1"/>
          <w:sz w:val="23"/>
          <w:szCs w:val="23"/>
        </w:rPr>
        <w:t>L</w:t>
      </w:r>
      <w:r>
        <w:rPr>
          <w:rFonts w:ascii="Times New Roman" w:hAnsi="Times New Roman" w:eastAsia="Times New Roman" w:cs="Times New Roman"/>
          <w:spacing w:val="-11"/>
          <w:position w:val="1"/>
          <w:sz w:val="23"/>
          <w:szCs w:val="23"/>
        </w:rPr>
        <w:t xml:space="preserve"> </w:t>
      </w:r>
      <w:r>
        <w:rPr>
          <w:rFonts w:ascii="微软雅黑" w:hAnsi="微软雅黑" w:eastAsia="微软雅黑" w:cs="微软雅黑"/>
          <w:spacing w:val="-11"/>
          <w:position w:val="1"/>
          <w:sz w:val="23"/>
          <w:szCs w:val="23"/>
        </w:rPr>
        <w:t xml:space="preserve">_ </w:t>
      </w:r>
      <w:r>
        <w:rPr>
          <w:rFonts w:ascii="Times New Roman" w:hAnsi="Times New Roman" w:eastAsia="Times New Roman" w:cs="Times New Roman"/>
          <w:spacing w:val="-11"/>
          <w:position w:val="1"/>
          <w:sz w:val="23"/>
          <w:szCs w:val="23"/>
        </w:rPr>
        <w:t>16</w:t>
      </w:r>
    </w:p>
    <w:p>
      <w:pPr>
        <w:spacing w:before="115" w:line="274" w:lineRule="auto"/>
        <w:ind w:left="526"/>
        <w:rPr>
          <w:rFonts w:ascii="宋体" w:hAnsi="宋体" w:eastAsia="宋体" w:cs="宋体"/>
          <w:sz w:val="20"/>
          <w:szCs w:val="20"/>
        </w:rPr>
      </w:pPr>
      <w:r>
        <w:rPr>
          <w:rFonts w:ascii="宋体" w:hAnsi="宋体" w:eastAsia="宋体" w:cs="宋体"/>
          <w:spacing w:val="11"/>
          <w:sz w:val="20"/>
          <w:szCs w:val="20"/>
        </w:rPr>
        <w:t>式</w:t>
      </w:r>
      <w:r>
        <w:rPr>
          <w:rFonts w:ascii="宋体" w:hAnsi="宋体" w:eastAsia="宋体" w:cs="宋体"/>
          <w:spacing w:val="9"/>
          <w:sz w:val="20"/>
          <w:szCs w:val="20"/>
        </w:rPr>
        <w:t>中：</w:t>
      </w:r>
      <w:r>
        <w:rPr>
          <w:rFonts w:ascii="Times New Roman" w:hAnsi="Times New Roman" w:eastAsia="Times New Roman" w:cs="Times New Roman"/>
          <w:sz w:val="20"/>
          <w:szCs w:val="20"/>
          <w:u w:val="single" w:color="auto"/>
        </w:rPr>
        <w:t>Leq</w:t>
      </w:r>
      <w:r>
        <w:rPr>
          <w:rFonts w:ascii="Times New Roman" w:hAnsi="Times New Roman" w:eastAsia="Times New Roman" w:cs="Times New Roman"/>
          <w:spacing w:val="9"/>
          <w:sz w:val="20"/>
          <w:szCs w:val="20"/>
          <w:u w:val="single" w:color="auto"/>
        </w:rPr>
        <w:t>(</w:t>
      </w:r>
      <w:r>
        <w:rPr>
          <w:rFonts w:ascii="Times New Roman" w:hAnsi="Times New Roman" w:eastAsia="Times New Roman" w:cs="Times New Roman"/>
          <w:sz w:val="20"/>
          <w:szCs w:val="20"/>
        </w:rPr>
        <w:t>h</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i</w:t>
      </w:r>
      <w:r>
        <w:rPr>
          <w:rFonts w:ascii="Times New Roman" w:hAnsi="Times New Roman" w:eastAsia="Times New Roman" w:cs="Times New Roman"/>
          <w:spacing w:val="9"/>
          <w:sz w:val="20"/>
          <w:szCs w:val="20"/>
        </w:rPr>
        <w:t>—</w:t>
      </w:r>
      <w:r>
        <w:rPr>
          <w:rFonts w:ascii="宋体" w:hAnsi="宋体" w:eastAsia="宋体" w:cs="宋体"/>
          <w:spacing w:val="9"/>
          <w:sz w:val="20"/>
          <w:szCs w:val="20"/>
        </w:rPr>
        <w:t>第</w:t>
      </w:r>
      <w:r>
        <w:rPr>
          <w:rFonts w:ascii="Times New Roman" w:hAnsi="Times New Roman" w:eastAsia="Times New Roman" w:cs="Times New Roman"/>
          <w:sz w:val="20"/>
          <w:szCs w:val="20"/>
        </w:rPr>
        <w:t>i</w:t>
      </w:r>
      <w:r>
        <w:rPr>
          <w:rFonts w:ascii="宋体" w:hAnsi="宋体" w:eastAsia="宋体" w:cs="宋体"/>
          <w:spacing w:val="9"/>
          <w:sz w:val="20"/>
          <w:szCs w:val="20"/>
        </w:rPr>
        <w:t>类车的小时等效声级，</w:t>
      </w:r>
      <w:r>
        <w:rPr>
          <w:rFonts w:ascii="Times New Roman" w:hAnsi="Times New Roman" w:eastAsia="Times New Roman" w:cs="Times New Roman"/>
          <w:sz w:val="20"/>
          <w:szCs w:val="20"/>
        </w:rPr>
        <w:t>dB</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w:t>
      </w:r>
      <w:r>
        <w:rPr>
          <w:rFonts w:ascii="Times New Roman" w:hAnsi="Times New Roman" w:eastAsia="Times New Roman" w:cs="Times New Roman"/>
          <w:sz w:val="20"/>
          <w:szCs w:val="20"/>
        </w:rPr>
        <w:t>A</w:t>
      </w:r>
      <w:r>
        <w:rPr>
          <w:rFonts w:ascii="宋体" w:hAnsi="宋体" w:eastAsia="宋体" w:cs="宋体"/>
          <w:spacing w:val="9"/>
          <w:sz w:val="20"/>
          <w:szCs w:val="20"/>
        </w:rPr>
        <w:t>) ；</w:t>
      </w:r>
    </w:p>
    <w:p>
      <w:pPr>
        <w:spacing w:before="102" w:line="333" w:lineRule="auto"/>
        <w:ind w:left="1140" w:right="767" w:firstLine="11"/>
        <w:rPr>
          <w:rFonts w:ascii="宋体" w:hAnsi="宋体" w:eastAsia="宋体" w:cs="宋体"/>
          <w:sz w:val="20"/>
          <w:szCs w:val="20"/>
        </w:rPr>
      </w:pPr>
      <w:r>
        <w:rPr>
          <w:rFonts w:ascii="Times New Roman" w:hAnsi="Times New Roman" w:eastAsia="Times New Roman" w:cs="Times New Roman"/>
          <w:spacing w:val="11"/>
          <w:position w:val="1"/>
          <w:sz w:val="20"/>
          <w:szCs w:val="20"/>
        </w:rPr>
        <w:t>(</w:t>
      </w:r>
      <w:r>
        <w:rPr>
          <w:rFonts w:ascii="Times New Roman" w:hAnsi="Times New Roman" w:eastAsia="Times New Roman" w:cs="Times New Roman"/>
          <w:position w:val="1"/>
          <w:sz w:val="26"/>
          <w:szCs w:val="26"/>
        </w:rPr>
        <w:t>L</w:t>
      </w:r>
      <w:r>
        <w:rPr>
          <w:rFonts w:ascii="Times New Roman" w:hAnsi="Times New Roman" w:eastAsia="Times New Roman" w:cs="Times New Roman"/>
          <w:position w:val="3"/>
          <w:sz w:val="10"/>
          <w:szCs w:val="10"/>
        </w:rPr>
        <w:t>OE</w:t>
      </w:r>
      <w:r>
        <w:rPr>
          <w:rFonts w:ascii="Times New Roman" w:hAnsi="Times New Roman" w:eastAsia="Times New Roman" w:cs="Times New Roman"/>
          <w:spacing w:val="7"/>
          <w:position w:val="3"/>
          <w:sz w:val="10"/>
          <w:szCs w:val="10"/>
        </w:rPr>
        <w:t xml:space="preserve"> </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i</w:t>
      </w:r>
      <w:r>
        <w:rPr>
          <w:rFonts w:ascii="Times New Roman" w:hAnsi="Times New Roman" w:eastAsia="Times New Roman" w:cs="Times New Roman"/>
          <w:spacing w:val="7"/>
          <w:sz w:val="20"/>
          <w:szCs w:val="20"/>
        </w:rPr>
        <w:t>—</w:t>
      </w:r>
      <w:r>
        <w:rPr>
          <w:rFonts w:ascii="宋体" w:hAnsi="宋体" w:eastAsia="宋体" w:cs="宋体"/>
          <w:spacing w:val="7"/>
          <w:sz w:val="20"/>
          <w:szCs w:val="20"/>
        </w:rPr>
        <w:t>第</w:t>
      </w:r>
      <w:r>
        <w:rPr>
          <w:rFonts w:ascii="Times New Roman" w:hAnsi="Times New Roman" w:eastAsia="Times New Roman" w:cs="Times New Roman"/>
          <w:sz w:val="20"/>
          <w:szCs w:val="20"/>
        </w:rPr>
        <w:t>i</w:t>
      </w:r>
      <w:r>
        <w:rPr>
          <w:rFonts w:ascii="宋体" w:hAnsi="宋体" w:eastAsia="宋体" w:cs="宋体"/>
          <w:spacing w:val="7"/>
          <w:sz w:val="20"/>
          <w:szCs w:val="20"/>
        </w:rPr>
        <w:t>类车速度为</w:t>
      </w:r>
      <w:r>
        <w:rPr>
          <w:rFonts w:ascii="Times New Roman" w:hAnsi="Times New Roman" w:eastAsia="Times New Roman" w:cs="Times New Roman"/>
          <w:sz w:val="20"/>
          <w:szCs w:val="20"/>
        </w:rPr>
        <w:t>Vi</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w:t>
      </w:r>
      <w:r>
        <w:rPr>
          <w:rFonts w:ascii="Times New Roman" w:hAnsi="Times New Roman" w:eastAsia="Times New Roman" w:cs="Times New Roman"/>
          <w:sz w:val="20"/>
          <w:szCs w:val="20"/>
        </w:rPr>
        <w:t>km</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h</w:t>
      </w:r>
      <w:r>
        <w:rPr>
          <w:rFonts w:ascii="宋体" w:hAnsi="宋体" w:eastAsia="宋体" w:cs="宋体"/>
          <w:spacing w:val="7"/>
          <w:sz w:val="20"/>
          <w:szCs w:val="20"/>
        </w:rPr>
        <w:t>；水平距离为</w:t>
      </w:r>
      <w:r>
        <w:rPr>
          <w:rFonts w:ascii="Times New Roman" w:hAnsi="Times New Roman" w:eastAsia="Times New Roman" w:cs="Times New Roman"/>
          <w:spacing w:val="7"/>
          <w:sz w:val="20"/>
          <w:szCs w:val="20"/>
        </w:rPr>
        <w:t>7.5</w:t>
      </w:r>
      <w:r>
        <w:rPr>
          <w:rFonts w:ascii="Times New Roman" w:hAnsi="Times New Roman" w:eastAsia="Times New Roman" w:cs="Times New Roman"/>
          <w:sz w:val="20"/>
          <w:szCs w:val="20"/>
        </w:rPr>
        <w:t>m</w:t>
      </w:r>
      <w:r>
        <w:rPr>
          <w:rFonts w:ascii="宋体" w:hAnsi="宋体" w:eastAsia="宋体" w:cs="宋体"/>
          <w:spacing w:val="7"/>
          <w:sz w:val="20"/>
          <w:szCs w:val="20"/>
        </w:rPr>
        <w:t>处能量平均</w:t>
      </w:r>
      <w:r>
        <w:rPr>
          <w:rFonts w:ascii="Times New Roman" w:hAnsi="Times New Roman" w:eastAsia="Times New Roman" w:cs="Times New Roman"/>
          <w:sz w:val="20"/>
          <w:szCs w:val="20"/>
        </w:rPr>
        <w:t>A</w:t>
      </w:r>
      <w:r>
        <w:rPr>
          <w:rFonts w:ascii="宋体" w:hAnsi="宋体" w:eastAsia="宋体" w:cs="宋体"/>
          <w:spacing w:val="7"/>
          <w:sz w:val="20"/>
          <w:szCs w:val="20"/>
        </w:rPr>
        <w:t>声级，</w:t>
      </w:r>
      <w:r>
        <w:rPr>
          <w:rFonts w:ascii="Times New Roman" w:hAnsi="Times New Roman" w:eastAsia="Times New Roman" w:cs="Times New Roman"/>
          <w:sz w:val="20"/>
          <w:szCs w:val="20"/>
        </w:rPr>
        <w:t>dB</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7"/>
          <w:sz w:val="20"/>
          <w:szCs w:val="20"/>
        </w:rPr>
        <w:t>)</w:t>
      </w:r>
      <w:r>
        <w:rPr>
          <w:rFonts w:ascii="宋体" w:hAnsi="宋体" w:eastAsia="宋体" w:cs="宋体"/>
          <w:spacing w:val="7"/>
          <w:sz w:val="20"/>
          <w:szCs w:val="20"/>
        </w:rPr>
        <w:t>；</w:t>
      </w:r>
      <w:r>
        <w:rPr>
          <w:rFonts w:ascii="宋体" w:hAnsi="宋体" w:eastAsia="宋体" w:cs="宋体"/>
          <w:sz w:val="20"/>
          <w:szCs w:val="20"/>
        </w:rPr>
        <w:t xml:space="preserve"> </w:t>
      </w:r>
      <w:r>
        <w:rPr>
          <w:rFonts w:ascii="Times New Roman" w:hAnsi="Times New Roman" w:eastAsia="Times New Roman" w:cs="Times New Roman"/>
          <w:sz w:val="20"/>
          <w:szCs w:val="20"/>
        </w:rPr>
        <w:t>Ni</w:t>
      </w:r>
      <w:r>
        <w:rPr>
          <w:rFonts w:ascii="Times New Roman" w:hAnsi="Times New Roman" w:eastAsia="Times New Roman" w:cs="Times New Roman"/>
          <w:spacing w:val="18"/>
          <w:sz w:val="20"/>
          <w:szCs w:val="20"/>
        </w:rPr>
        <w:t>—</w:t>
      </w:r>
      <w:r>
        <w:rPr>
          <w:rFonts w:ascii="宋体" w:hAnsi="宋体" w:eastAsia="宋体" w:cs="宋体"/>
          <w:spacing w:val="17"/>
          <w:sz w:val="20"/>
          <w:szCs w:val="20"/>
        </w:rPr>
        <w:t>昼</w:t>
      </w:r>
      <w:r>
        <w:rPr>
          <w:rFonts w:ascii="宋体" w:hAnsi="宋体" w:eastAsia="宋体" w:cs="宋体"/>
          <w:spacing w:val="9"/>
          <w:sz w:val="20"/>
          <w:szCs w:val="20"/>
        </w:rPr>
        <w:t>间，夜间通过某个预测点的第</w:t>
      </w:r>
      <w:r>
        <w:rPr>
          <w:rFonts w:ascii="Times New Roman" w:hAnsi="Times New Roman" w:eastAsia="Times New Roman" w:cs="Times New Roman"/>
          <w:sz w:val="20"/>
          <w:szCs w:val="20"/>
        </w:rPr>
        <w:t>i</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类车平均小时车流量，辆</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h</w:t>
      </w:r>
      <w:r>
        <w:rPr>
          <w:rFonts w:ascii="宋体" w:hAnsi="宋体" w:eastAsia="宋体" w:cs="宋体"/>
          <w:spacing w:val="9"/>
          <w:sz w:val="20"/>
          <w:szCs w:val="20"/>
        </w:rPr>
        <w:t>；</w:t>
      </w:r>
    </w:p>
    <w:p>
      <w:pPr>
        <w:spacing w:line="398" w:lineRule="exact"/>
        <w:ind w:left="1145"/>
        <w:rPr>
          <w:rFonts w:ascii="宋体" w:hAnsi="宋体" w:eastAsia="宋体" w:cs="宋体"/>
          <w:sz w:val="20"/>
          <w:szCs w:val="20"/>
        </w:rPr>
      </w:pPr>
      <w:r>
        <w:rPr>
          <w:rFonts w:ascii="Times New Roman" w:hAnsi="Times New Roman" w:eastAsia="Times New Roman" w:cs="Times New Roman"/>
          <w:position w:val="11"/>
          <w:sz w:val="20"/>
          <w:szCs w:val="20"/>
        </w:rPr>
        <w:t>Vi</w:t>
      </w:r>
      <w:r>
        <w:rPr>
          <w:rFonts w:ascii="Times New Roman" w:hAnsi="Times New Roman" w:eastAsia="Times New Roman" w:cs="Times New Roman"/>
          <w:spacing w:val="13"/>
          <w:position w:val="11"/>
          <w:sz w:val="20"/>
          <w:szCs w:val="20"/>
        </w:rPr>
        <w:t xml:space="preserve"> </w:t>
      </w:r>
      <w:r>
        <w:rPr>
          <w:rFonts w:ascii="Times New Roman" w:hAnsi="Times New Roman" w:eastAsia="Times New Roman" w:cs="Times New Roman"/>
          <w:spacing w:val="8"/>
          <w:position w:val="11"/>
          <w:sz w:val="20"/>
          <w:szCs w:val="20"/>
        </w:rPr>
        <w:t>—</w:t>
      </w:r>
      <w:r>
        <w:rPr>
          <w:rFonts w:ascii="宋体" w:hAnsi="宋体" w:eastAsia="宋体" w:cs="宋体"/>
          <w:spacing w:val="8"/>
          <w:position w:val="11"/>
          <w:sz w:val="20"/>
          <w:szCs w:val="20"/>
        </w:rPr>
        <w:t>第</w:t>
      </w:r>
      <w:r>
        <w:rPr>
          <w:rFonts w:ascii="Times New Roman" w:hAnsi="Times New Roman" w:eastAsia="Times New Roman" w:cs="Times New Roman"/>
          <w:position w:val="11"/>
          <w:sz w:val="20"/>
          <w:szCs w:val="20"/>
        </w:rPr>
        <w:t>i</w:t>
      </w:r>
      <w:r>
        <w:rPr>
          <w:rFonts w:ascii="Times New Roman" w:hAnsi="Times New Roman" w:eastAsia="Times New Roman" w:cs="Times New Roman"/>
          <w:spacing w:val="8"/>
          <w:position w:val="11"/>
          <w:sz w:val="20"/>
          <w:szCs w:val="20"/>
        </w:rPr>
        <w:t xml:space="preserve">  </w:t>
      </w:r>
      <w:r>
        <w:rPr>
          <w:rFonts w:ascii="宋体" w:hAnsi="宋体" w:eastAsia="宋体" w:cs="宋体"/>
          <w:spacing w:val="8"/>
          <w:position w:val="11"/>
          <w:sz w:val="20"/>
          <w:szCs w:val="20"/>
        </w:rPr>
        <w:t>类车的平均车速，</w:t>
      </w:r>
      <w:r>
        <w:rPr>
          <w:rFonts w:ascii="Times New Roman" w:hAnsi="Times New Roman" w:eastAsia="Times New Roman" w:cs="Times New Roman"/>
          <w:position w:val="11"/>
          <w:sz w:val="20"/>
          <w:szCs w:val="20"/>
        </w:rPr>
        <w:t>km</w:t>
      </w:r>
      <w:r>
        <w:rPr>
          <w:rFonts w:ascii="Times New Roman" w:hAnsi="Times New Roman" w:eastAsia="Times New Roman" w:cs="Times New Roman"/>
          <w:spacing w:val="8"/>
          <w:position w:val="11"/>
          <w:sz w:val="20"/>
          <w:szCs w:val="20"/>
        </w:rPr>
        <w:t>/</w:t>
      </w:r>
      <w:r>
        <w:rPr>
          <w:rFonts w:ascii="Times New Roman" w:hAnsi="Times New Roman" w:eastAsia="Times New Roman" w:cs="Times New Roman"/>
          <w:position w:val="11"/>
          <w:sz w:val="20"/>
          <w:szCs w:val="20"/>
        </w:rPr>
        <w:t>h</w:t>
      </w:r>
      <w:r>
        <w:rPr>
          <w:rFonts w:ascii="宋体" w:hAnsi="宋体" w:eastAsia="宋体" w:cs="宋体"/>
          <w:spacing w:val="8"/>
          <w:position w:val="11"/>
          <w:sz w:val="20"/>
          <w:szCs w:val="20"/>
        </w:rPr>
        <w:t>；</w:t>
      </w:r>
    </w:p>
    <w:p>
      <w:pPr>
        <w:spacing w:line="281" w:lineRule="exact"/>
        <w:ind w:left="1149"/>
        <w:rPr>
          <w:rFonts w:ascii="宋体" w:hAnsi="宋体" w:eastAsia="宋体" w:cs="宋体"/>
          <w:sz w:val="20"/>
          <w:szCs w:val="20"/>
        </w:rPr>
      </w:pPr>
      <w:r>
        <w:rPr>
          <w:rFonts w:ascii="Times New Roman" w:hAnsi="Times New Roman" w:eastAsia="Times New Roman" w:cs="Times New Roman"/>
          <w:position w:val="1"/>
          <w:sz w:val="20"/>
          <w:szCs w:val="20"/>
        </w:rPr>
        <w:t>T</w:t>
      </w:r>
      <w:r>
        <w:rPr>
          <w:rFonts w:ascii="Times New Roman" w:hAnsi="Times New Roman" w:eastAsia="Times New Roman" w:cs="Times New Roman"/>
          <w:spacing w:val="14"/>
          <w:position w:val="1"/>
          <w:sz w:val="20"/>
          <w:szCs w:val="20"/>
        </w:rPr>
        <w:t xml:space="preserve"> </w:t>
      </w:r>
      <w:r>
        <w:rPr>
          <w:rFonts w:ascii="Times New Roman" w:hAnsi="Times New Roman" w:eastAsia="Times New Roman" w:cs="Times New Roman"/>
          <w:spacing w:val="11"/>
          <w:position w:val="1"/>
          <w:sz w:val="20"/>
          <w:szCs w:val="20"/>
        </w:rPr>
        <w:t>—</w:t>
      </w:r>
      <w:r>
        <w:rPr>
          <w:rFonts w:ascii="Times New Roman" w:hAnsi="Times New Roman" w:eastAsia="Times New Roman" w:cs="Times New Roman"/>
          <w:spacing w:val="7"/>
          <w:position w:val="1"/>
          <w:sz w:val="20"/>
          <w:szCs w:val="20"/>
        </w:rPr>
        <w:t xml:space="preserve">  </w:t>
      </w:r>
      <w:r>
        <w:rPr>
          <w:rFonts w:ascii="宋体" w:hAnsi="宋体" w:eastAsia="宋体" w:cs="宋体"/>
          <w:spacing w:val="7"/>
          <w:position w:val="1"/>
          <w:sz w:val="20"/>
          <w:szCs w:val="20"/>
        </w:rPr>
        <w:t>计算等效声级的时间，</w:t>
      </w:r>
      <w:r>
        <w:rPr>
          <w:rFonts w:ascii="Times New Roman" w:hAnsi="Times New Roman" w:eastAsia="Times New Roman" w:cs="Times New Roman"/>
          <w:spacing w:val="7"/>
          <w:position w:val="1"/>
          <w:sz w:val="20"/>
          <w:szCs w:val="20"/>
        </w:rPr>
        <w:t>1</w:t>
      </w:r>
      <w:r>
        <w:rPr>
          <w:rFonts w:ascii="Times New Roman" w:hAnsi="Times New Roman" w:eastAsia="Times New Roman" w:cs="Times New Roman"/>
          <w:position w:val="1"/>
          <w:sz w:val="20"/>
          <w:szCs w:val="20"/>
        </w:rPr>
        <w:t>h</w:t>
      </w:r>
      <w:r>
        <w:rPr>
          <w:rFonts w:ascii="宋体" w:hAnsi="宋体" w:eastAsia="宋体" w:cs="宋体"/>
          <w:spacing w:val="7"/>
          <w:position w:val="1"/>
          <w:sz w:val="20"/>
          <w:szCs w:val="20"/>
        </w:rPr>
        <w:t>；</w:t>
      </w:r>
    </w:p>
    <w:p>
      <w:pPr>
        <w:sectPr>
          <w:footerReference r:id="rId123" w:type="default"/>
          <w:pgSz w:w="11906" w:h="16839"/>
          <w:pgMar w:top="400" w:right="1431" w:bottom="1027" w:left="1436" w:header="0" w:footer="840" w:gutter="0"/>
          <w:cols w:space="720" w:num="1"/>
        </w:sect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65" w:line="324" w:lineRule="auto"/>
        <w:ind w:left="5" w:firstLine="1018"/>
        <w:rPr>
          <w:rFonts w:ascii="宋体" w:hAnsi="宋体" w:eastAsia="宋体" w:cs="宋体"/>
          <w:sz w:val="20"/>
          <w:szCs w:val="20"/>
        </w:rPr>
      </w:pPr>
      <w:r>
        <w:rPr>
          <w:rFonts w:ascii="Times New Roman" w:hAnsi="Times New Roman" w:eastAsia="Times New Roman" w:cs="Times New Roman"/>
          <w:position w:val="-2"/>
          <w:sz w:val="22"/>
          <w:szCs w:val="22"/>
        </w:rPr>
        <w:drawing>
          <wp:inline distT="0" distB="0" distL="0" distR="0">
            <wp:extent cx="81915" cy="17145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266"/>
                    <a:stretch>
                      <a:fillRect/>
                    </a:stretch>
                  </pic:blipFill>
                  <pic:spPr>
                    <a:xfrm>
                      <a:off x="0" y="0"/>
                      <a:ext cx="82236" cy="171769"/>
                    </a:xfrm>
                    <a:prstGeom prst="rect">
                      <a:avLst/>
                    </a:prstGeom>
                  </pic:spPr>
                </pic:pic>
              </a:graphicData>
            </a:graphic>
          </wp:inline>
        </w:drawing>
      </w:r>
      <w:r>
        <w:rPr>
          <w:rFonts w:ascii="Times New Roman" w:hAnsi="Times New Roman" w:eastAsia="Times New Roman" w:cs="Times New Roman"/>
          <w:i/>
          <w:iCs/>
          <w:position w:val="2"/>
          <w:sz w:val="22"/>
          <w:szCs w:val="22"/>
        </w:rPr>
        <w:t>L</w:t>
      </w:r>
      <w:r>
        <w:rPr>
          <w:rFonts w:ascii="宋体" w:hAnsi="宋体" w:eastAsia="宋体" w:cs="宋体"/>
          <w:spacing w:val="1"/>
          <w:position w:val="-3"/>
          <w:sz w:val="12"/>
          <w:szCs w:val="12"/>
        </w:rPr>
        <w:t xml:space="preserve">距离 </w:t>
      </w:r>
      <w:r>
        <w:rPr>
          <w:rFonts w:ascii="Times New Roman" w:hAnsi="Times New Roman" w:eastAsia="Times New Roman" w:cs="Times New Roman"/>
          <w:spacing w:val="1"/>
          <w:sz w:val="20"/>
          <w:szCs w:val="20"/>
        </w:rPr>
        <w:t>——</w:t>
      </w:r>
      <w:r>
        <w:rPr>
          <w:rFonts w:ascii="宋体" w:hAnsi="宋体" w:eastAsia="宋体" w:cs="宋体"/>
          <w:spacing w:val="1"/>
          <w:sz w:val="20"/>
          <w:szCs w:val="20"/>
        </w:rPr>
        <w:t>距离衰减量，</w:t>
      </w:r>
      <w:r>
        <w:rPr>
          <w:rFonts w:ascii="Times New Roman" w:hAnsi="Times New Roman" w:eastAsia="Times New Roman" w:cs="Times New Roman"/>
          <w:sz w:val="20"/>
          <w:szCs w:val="20"/>
        </w:rPr>
        <w:t>dB</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 xml:space="preserve">A) </w:t>
      </w:r>
      <w:r>
        <w:rPr>
          <w:rFonts w:ascii="宋体" w:hAnsi="宋体" w:eastAsia="宋体" w:cs="宋体"/>
          <w:sz w:val="20"/>
          <w:szCs w:val="20"/>
        </w:rPr>
        <w:t>，小时车流量大于等于</w:t>
      </w:r>
      <w:r>
        <w:rPr>
          <w:rFonts w:ascii="Times New Roman" w:hAnsi="Times New Roman" w:eastAsia="Times New Roman" w:cs="Times New Roman"/>
          <w:sz w:val="20"/>
          <w:szCs w:val="20"/>
        </w:rPr>
        <w:t>300</w:t>
      </w:r>
      <w:r>
        <w:rPr>
          <w:rFonts w:ascii="宋体" w:hAnsi="宋体" w:eastAsia="宋体" w:cs="宋体"/>
          <w:sz w:val="20"/>
          <w:szCs w:val="20"/>
        </w:rPr>
        <w:t>辆</w:t>
      </w:r>
      <w:r>
        <w:rPr>
          <w:rFonts w:ascii="Times New Roman" w:hAnsi="Times New Roman" w:eastAsia="Times New Roman" w:cs="Times New Roman"/>
          <w:sz w:val="20"/>
          <w:szCs w:val="20"/>
        </w:rPr>
        <w:t>/</w:t>
      </w:r>
      <w:r>
        <w:rPr>
          <w:rFonts w:ascii="宋体" w:hAnsi="宋体" w:eastAsia="宋体" w:cs="宋体"/>
          <w:sz w:val="20"/>
          <w:szCs w:val="20"/>
        </w:rPr>
        <w:t>小时：</w:t>
      </w:r>
      <w:r>
        <w:rPr>
          <w:position w:val="-2"/>
          <w:sz w:val="20"/>
          <w:szCs w:val="20"/>
        </w:rPr>
        <w:drawing>
          <wp:inline distT="0" distB="0" distL="0" distR="0">
            <wp:extent cx="81915" cy="171450"/>
            <wp:effectExtent l="0" t="0" r="0" b="0"/>
            <wp:docPr id="123" name="IM 123"/>
            <wp:cNvGraphicFramePr/>
            <a:graphic xmlns:a="http://schemas.openxmlformats.org/drawingml/2006/main">
              <a:graphicData uri="http://schemas.openxmlformats.org/drawingml/2006/picture">
                <pic:pic xmlns:pic="http://schemas.openxmlformats.org/drawingml/2006/picture">
                  <pic:nvPicPr>
                    <pic:cNvPr id="123" name="IM 123"/>
                    <pic:cNvPicPr/>
                  </pic:nvPicPr>
                  <pic:blipFill>
                    <a:blip r:embed="rId267"/>
                    <a:stretch>
                      <a:fillRect/>
                    </a:stretch>
                  </pic:blipFill>
                  <pic:spPr>
                    <a:xfrm>
                      <a:off x="0" y="0"/>
                      <a:ext cx="82236" cy="171769"/>
                    </a:xfrm>
                    <a:prstGeom prst="rect">
                      <a:avLst/>
                    </a:prstGeom>
                  </pic:spPr>
                </pic:pic>
              </a:graphicData>
            </a:graphic>
          </wp:inline>
        </w:drawing>
      </w:r>
      <w:r>
        <w:rPr>
          <w:rFonts w:ascii="Times New Roman" w:hAnsi="Times New Roman" w:eastAsia="Times New Roman" w:cs="Times New Roman"/>
          <w:i/>
          <w:iCs/>
          <w:position w:val="2"/>
          <w:sz w:val="22"/>
          <w:szCs w:val="22"/>
        </w:rPr>
        <w:t>L</w:t>
      </w:r>
      <w:r>
        <w:rPr>
          <w:rFonts w:ascii="宋体" w:hAnsi="宋体" w:eastAsia="宋体" w:cs="宋体"/>
          <w:position w:val="-3"/>
          <w:sz w:val="12"/>
          <w:szCs w:val="12"/>
        </w:rPr>
        <w:t>距离</w:t>
      </w:r>
      <w:r>
        <w:rPr>
          <w:rFonts w:ascii="Times New Roman" w:hAnsi="Times New Roman" w:eastAsia="Times New Roman" w:cs="Times New Roman"/>
          <w:sz w:val="20"/>
          <w:szCs w:val="20"/>
        </w:rPr>
        <w:t xml:space="preserve">= 10lg </w:t>
      </w:r>
      <w:r>
        <w:rPr>
          <w:rFonts w:ascii="宋体" w:hAnsi="宋体" w:eastAsia="宋体" w:cs="宋体"/>
          <w:sz w:val="20"/>
          <w:szCs w:val="20"/>
        </w:rPr>
        <w:t>(</w:t>
      </w:r>
      <w:r>
        <w:rPr>
          <w:rFonts w:ascii="Times New Roman" w:hAnsi="Times New Roman" w:eastAsia="Times New Roman" w:cs="Times New Roman"/>
          <w:sz w:val="20"/>
          <w:szCs w:val="20"/>
        </w:rPr>
        <w:t xml:space="preserve">7.5/r </w:t>
      </w:r>
      <w:r>
        <w:rPr>
          <w:rFonts w:ascii="宋体" w:hAnsi="宋体" w:eastAsia="宋体" w:cs="宋体"/>
          <w:sz w:val="20"/>
          <w:szCs w:val="20"/>
        </w:rPr>
        <w:t xml:space="preserve">) ， </w:t>
      </w:r>
      <w:r>
        <w:rPr>
          <w:rFonts w:ascii="宋体" w:hAnsi="宋体" w:eastAsia="宋体" w:cs="宋体"/>
          <w:spacing w:val="2"/>
          <w:sz w:val="20"/>
          <w:szCs w:val="20"/>
        </w:rPr>
        <w:t>小时车流量小于</w:t>
      </w:r>
      <w:r>
        <w:rPr>
          <w:rFonts w:ascii="Times New Roman" w:hAnsi="Times New Roman" w:eastAsia="Times New Roman" w:cs="Times New Roman"/>
          <w:spacing w:val="2"/>
          <w:sz w:val="20"/>
          <w:szCs w:val="20"/>
        </w:rPr>
        <w:t>300</w:t>
      </w:r>
      <w:r>
        <w:rPr>
          <w:rFonts w:ascii="宋体" w:hAnsi="宋体" w:eastAsia="宋体" w:cs="宋体"/>
          <w:spacing w:val="2"/>
          <w:sz w:val="20"/>
          <w:szCs w:val="20"/>
        </w:rPr>
        <w:t>辆</w:t>
      </w:r>
      <w:r>
        <w:rPr>
          <w:rFonts w:ascii="Times New Roman" w:hAnsi="Times New Roman" w:eastAsia="Times New Roman" w:cs="Times New Roman"/>
          <w:spacing w:val="2"/>
          <w:sz w:val="20"/>
          <w:szCs w:val="20"/>
        </w:rPr>
        <w:t>/</w:t>
      </w:r>
      <w:r>
        <w:rPr>
          <w:rFonts w:ascii="宋体" w:hAnsi="宋体" w:eastAsia="宋体" w:cs="宋体"/>
          <w:spacing w:val="2"/>
          <w:sz w:val="20"/>
          <w:szCs w:val="20"/>
        </w:rPr>
        <w:t>小时：</w:t>
      </w:r>
      <w:r>
        <w:rPr>
          <w:position w:val="-3"/>
          <w:sz w:val="20"/>
          <w:szCs w:val="20"/>
        </w:rPr>
        <w:drawing>
          <wp:inline distT="0" distB="0" distL="0" distR="0">
            <wp:extent cx="81915" cy="17145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268"/>
                    <a:stretch>
                      <a:fillRect/>
                    </a:stretch>
                  </pic:blipFill>
                  <pic:spPr>
                    <a:xfrm>
                      <a:off x="0" y="0"/>
                      <a:ext cx="82236" cy="171769"/>
                    </a:xfrm>
                    <a:prstGeom prst="rect">
                      <a:avLst/>
                    </a:prstGeom>
                  </pic:spPr>
                </pic:pic>
              </a:graphicData>
            </a:graphic>
          </wp:inline>
        </w:drawing>
      </w:r>
      <w:r>
        <w:rPr>
          <w:rFonts w:ascii="Times New Roman" w:hAnsi="Times New Roman" w:eastAsia="Times New Roman" w:cs="Times New Roman"/>
          <w:i/>
          <w:iCs/>
          <w:position w:val="1"/>
          <w:sz w:val="22"/>
          <w:szCs w:val="22"/>
        </w:rPr>
        <w:t>L</w:t>
      </w:r>
      <w:r>
        <w:rPr>
          <w:rFonts w:ascii="宋体" w:hAnsi="宋体" w:eastAsia="宋体" w:cs="宋体"/>
          <w:spacing w:val="2"/>
          <w:position w:val="-4"/>
          <w:sz w:val="12"/>
          <w:szCs w:val="12"/>
        </w:rPr>
        <w:t>距离</w:t>
      </w:r>
      <w:r>
        <w:rPr>
          <w:rFonts w:ascii="Times New Roman" w:hAnsi="Times New Roman" w:eastAsia="Times New Roman" w:cs="Times New Roman"/>
          <w:spacing w:val="2"/>
          <w:sz w:val="20"/>
          <w:szCs w:val="20"/>
        </w:rPr>
        <w:t>= 15</w:t>
      </w:r>
      <w:r>
        <w:rPr>
          <w:rFonts w:ascii="Times New Roman" w:hAnsi="Times New Roman" w:eastAsia="Times New Roman" w:cs="Times New Roman"/>
          <w:sz w:val="20"/>
          <w:szCs w:val="20"/>
        </w:rPr>
        <w:t>lg</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pacing w:val="2"/>
          <w:sz w:val="20"/>
          <w:szCs w:val="20"/>
        </w:rPr>
        <w:t>7.5/</w:t>
      </w:r>
      <w:r>
        <w:rPr>
          <w:rFonts w:ascii="Times New Roman" w:hAnsi="Times New Roman" w:eastAsia="Times New Roman" w:cs="Times New Roman"/>
          <w:sz w:val="20"/>
          <w:szCs w:val="20"/>
        </w:rPr>
        <w:t>r</w:t>
      </w:r>
      <w:r>
        <w:rPr>
          <w:rFonts w:ascii="Times New Roman" w:hAnsi="Times New Roman" w:eastAsia="Times New Roman" w:cs="Times New Roman"/>
          <w:spacing w:val="2"/>
          <w:sz w:val="20"/>
          <w:szCs w:val="20"/>
        </w:rPr>
        <w:t xml:space="preserve"> </w:t>
      </w:r>
      <w:r>
        <w:rPr>
          <w:rFonts w:ascii="宋体" w:hAnsi="宋体" w:eastAsia="宋体" w:cs="宋体"/>
          <w:sz w:val="20"/>
          <w:szCs w:val="20"/>
        </w:rPr>
        <w:t>) ；</w:t>
      </w:r>
    </w:p>
    <w:p>
      <w:pPr>
        <w:spacing w:before="48" w:line="400" w:lineRule="exact"/>
        <w:ind w:left="1041"/>
        <w:rPr>
          <w:rFonts w:ascii="宋体" w:hAnsi="宋体" w:eastAsia="宋体" w:cs="宋体"/>
          <w:sz w:val="20"/>
          <w:szCs w:val="20"/>
        </w:rPr>
      </w:pPr>
      <w:r>
        <w:rPr>
          <w:rFonts w:ascii="Times New Roman" w:hAnsi="Times New Roman" w:eastAsia="Times New Roman" w:cs="Times New Roman"/>
          <w:position w:val="14"/>
          <w:sz w:val="20"/>
          <w:szCs w:val="20"/>
        </w:rPr>
        <w:t>r</w:t>
      </w:r>
      <w:r>
        <w:rPr>
          <w:rFonts w:ascii="Times New Roman" w:hAnsi="Times New Roman" w:eastAsia="Times New Roman" w:cs="Times New Roman"/>
          <w:spacing w:val="8"/>
          <w:position w:val="14"/>
          <w:sz w:val="20"/>
          <w:szCs w:val="20"/>
        </w:rPr>
        <w:t xml:space="preserve"> —</w:t>
      </w:r>
      <w:r>
        <w:rPr>
          <w:rFonts w:ascii="宋体" w:hAnsi="宋体" w:eastAsia="宋体" w:cs="宋体"/>
          <w:spacing w:val="8"/>
          <w:position w:val="14"/>
          <w:sz w:val="20"/>
          <w:szCs w:val="20"/>
        </w:rPr>
        <w:t>从车道中心线到预测点的距离，</w:t>
      </w:r>
      <w:r>
        <w:rPr>
          <w:rFonts w:ascii="Times New Roman" w:hAnsi="Times New Roman" w:eastAsia="Times New Roman" w:cs="Times New Roman"/>
          <w:position w:val="14"/>
          <w:sz w:val="20"/>
          <w:szCs w:val="20"/>
        </w:rPr>
        <w:t>m</w:t>
      </w:r>
      <w:r>
        <w:rPr>
          <w:rFonts w:ascii="Times New Roman" w:hAnsi="Times New Roman" w:eastAsia="Times New Roman" w:cs="Times New Roman"/>
          <w:spacing w:val="8"/>
          <w:position w:val="14"/>
          <w:sz w:val="20"/>
          <w:szCs w:val="20"/>
        </w:rPr>
        <w:t xml:space="preserve"> </w:t>
      </w:r>
      <w:r>
        <w:rPr>
          <w:rFonts w:ascii="宋体" w:hAnsi="宋体" w:eastAsia="宋体" w:cs="宋体"/>
          <w:spacing w:val="8"/>
          <w:position w:val="14"/>
          <w:sz w:val="20"/>
          <w:szCs w:val="20"/>
        </w:rPr>
        <w:t>；上式适用于</w:t>
      </w:r>
      <w:r>
        <w:rPr>
          <w:rFonts w:ascii="Times New Roman" w:hAnsi="Times New Roman" w:eastAsia="Times New Roman" w:cs="Times New Roman"/>
          <w:position w:val="14"/>
          <w:sz w:val="20"/>
          <w:szCs w:val="20"/>
        </w:rPr>
        <w:t>r</w:t>
      </w:r>
      <w:r>
        <w:rPr>
          <w:rFonts w:ascii="宋体" w:hAnsi="宋体" w:eastAsia="宋体" w:cs="宋体"/>
          <w:spacing w:val="8"/>
          <w:position w:val="14"/>
          <w:sz w:val="20"/>
          <w:szCs w:val="20"/>
        </w:rPr>
        <w:t>＞</w:t>
      </w:r>
      <w:r>
        <w:rPr>
          <w:rFonts w:ascii="Times New Roman" w:hAnsi="Times New Roman" w:eastAsia="Times New Roman" w:cs="Times New Roman"/>
          <w:spacing w:val="8"/>
          <w:position w:val="14"/>
          <w:sz w:val="20"/>
          <w:szCs w:val="20"/>
        </w:rPr>
        <w:t>7.5</w:t>
      </w:r>
      <w:r>
        <w:rPr>
          <w:rFonts w:ascii="Times New Roman" w:hAnsi="Times New Roman" w:eastAsia="Times New Roman" w:cs="Times New Roman"/>
          <w:position w:val="14"/>
          <w:sz w:val="20"/>
          <w:szCs w:val="20"/>
        </w:rPr>
        <w:t>m</w:t>
      </w:r>
      <w:r>
        <w:rPr>
          <w:rFonts w:ascii="宋体" w:hAnsi="宋体" w:eastAsia="宋体" w:cs="宋体"/>
          <w:spacing w:val="8"/>
          <w:position w:val="14"/>
          <w:sz w:val="20"/>
          <w:szCs w:val="20"/>
        </w:rPr>
        <w:t>预测点的噪声预测</w:t>
      </w:r>
      <w:r>
        <w:rPr>
          <w:rFonts w:ascii="宋体" w:hAnsi="宋体" w:eastAsia="宋体" w:cs="宋体"/>
          <w:spacing w:val="4"/>
          <w:position w:val="14"/>
          <w:sz w:val="20"/>
          <w:szCs w:val="20"/>
        </w:rPr>
        <w:t>。</w:t>
      </w:r>
    </w:p>
    <w:p>
      <w:pPr>
        <w:spacing w:line="226" w:lineRule="auto"/>
        <w:ind w:left="1042"/>
        <w:rPr>
          <w:rFonts w:ascii="宋体" w:hAnsi="宋体" w:eastAsia="宋体" w:cs="宋体"/>
          <w:sz w:val="20"/>
          <w:szCs w:val="20"/>
        </w:rPr>
      </w:pPr>
      <w:r>
        <w:rPr>
          <w:rFonts w:ascii="Times New Roman" w:hAnsi="Times New Roman" w:eastAsia="Times New Roman" w:cs="Times New Roman"/>
          <w:spacing w:val="6"/>
          <w:sz w:val="20"/>
          <w:szCs w:val="20"/>
        </w:rPr>
        <w:t xml:space="preserve">Ψ </w:t>
      </w:r>
      <w:r>
        <w:rPr>
          <w:rFonts w:ascii="Times New Roman" w:hAnsi="Times New Roman" w:eastAsia="Times New Roman" w:cs="Times New Roman"/>
          <w:spacing w:val="6"/>
          <w:position w:val="-1"/>
          <w:sz w:val="13"/>
          <w:szCs w:val="13"/>
        </w:rPr>
        <w:t xml:space="preserve">1 </w:t>
      </w:r>
      <w:r>
        <w:rPr>
          <w:rFonts w:ascii="宋体" w:hAnsi="宋体" w:eastAsia="宋体" w:cs="宋体"/>
          <w:spacing w:val="6"/>
          <w:sz w:val="20"/>
          <w:szCs w:val="20"/>
        </w:rPr>
        <w:t>、</w:t>
      </w:r>
      <w:r>
        <w:rPr>
          <w:rFonts w:ascii="Times New Roman" w:hAnsi="Times New Roman" w:eastAsia="Times New Roman" w:cs="Times New Roman"/>
          <w:spacing w:val="6"/>
          <w:sz w:val="20"/>
          <w:szCs w:val="20"/>
        </w:rPr>
        <w:t>Ψ</w:t>
      </w:r>
      <w:r>
        <w:rPr>
          <w:rFonts w:ascii="Times New Roman" w:hAnsi="Times New Roman" w:eastAsia="Times New Roman" w:cs="Times New Roman"/>
          <w:spacing w:val="6"/>
          <w:position w:val="-1"/>
          <w:sz w:val="13"/>
          <w:szCs w:val="13"/>
        </w:rPr>
        <w:t>2</w:t>
      </w:r>
      <w:r>
        <w:rPr>
          <w:rFonts w:ascii="Times New Roman" w:hAnsi="Times New Roman" w:eastAsia="Times New Roman" w:cs="Times New Roman"/>
          <w:spacing w:val="6"/>
          <w:sz w:val="20"/>
          <w:szCs w:val="20"/>
        </w:rPr>
        <w:t>——</w:t>
      </w:r>
      <w:r>
        <w:rPr>
          <w:rFonts w:ascii="宋体" w:hAnsi="宋体" w:eastAsia="宋体" w:cs="宋体"/>
          <w:spacing w:val="6"/>
          <w:sz w:val="20"/>
          <w:szCs w:val="20"/>
        </w:rPr>
        <w:t>预测点到有限长路段两端的张角，弧度，如下图所示</w:t>
      </w:r>
      <w:r>
        <w:rPr>
          <w:rFonts w:ascii="宋体" w:hAnsi="宋体" w:eastAsia="宋体" w:cs="宋体"/>
          <w:spacing w:val="1"/>
          <w:sz w:val="20"/>
          <w:szCs w:val="20"/>
        </w:rPr>
        <w:t>。</w:t>
      </w:r>
    </w:p>
    <w:p>
      <w:pPr>
        <w:spacing w:before="15" w:line="1905" w:lineRule="exact"/>
        <w:ind w:firstLine="2619"/>
        <w:textAlignment w:val="center"/>
      </w:pPr>
      <w:r>
        <w:drawing>
          <wp:inline distT="0" distB="0" distL="0" distR="0">
            <wp:extent cx="2543175" cy="1209675"/>
            <wp:effectExtent l="0" t="0" r="0" b="0"/>
            <wp:docPr id="125" name="IM 125"/>
            <wp:cNvGraphicFramePr/>
            <a:graphic xmlns:a="http://schemas.openxmlformats.org/drawingml/2006/main">
              <a:graphicData uri="http://schemas.openxmlformats.org/drawingml/2006/picture">
                <pic:pic xmlns:pic="http://schemas.openxmlformats.org/drawingml/2006/picture">
                  <pic:nvPicPr>
                    <pic:cNvPr id="125" name="IM 125"/>
                    <pic:cNvPicPr/>
                  </pic:nvPicPr>
                  <pic:blipFill>
                    <a:blip r:embed="rId269"/>
                    <a:stretch>
                      <a:fillRect/>
                    </a:stretch>
                  </pic:blipFill>
                  <pic:spPr>
                    <a:xfrm>
                      <a:off x="0" y="0"/>
                      <a:ext cx="2543555" cy="1210056"/>
                    </a:xfrm>
                    <a:prstGeom prst="rect">
                      <a:avLst/>
                    </a:prstGeom>
                  </pic:spPr>
                </pic:pic>
              </a:graphicData>
            </a:graphic>
          </wp:inline>
        </w:drawing>
      </w:r>
    </w:p>
    <w:p>
      <w:pPr>
        <w:spacing w:before="91" w:line="384" w:lineRule="exact"/>
        <w:ind w:left="2056"/>
        <w:rPr>
          <w:rFonts w:ascii="黑体" w:hAnsi="黑体" w:eastAsia="黑体" w:cs="黑体"/>
          <w:sz w:val="20"/>
          <w:szCs w:val="20"/>
        </w:rPr>
      </w:pPr>
      <w:r>
        <w:rPr>
          <w:rFonts w:ascii="黑体" w:hAnsi="黑体" w:eastAsia="黑体" w:cs="黑体"/>
          <w:spacing w:val="20"/>
          <w:position w:val="13"/>
          <w:sz w:val="20"/>
          <w:szCs w:val="20"/>
        </w:rPr>
        <w:t>图</w:t>
      </w:r>
      <w:r>
        <w:rPr>
          <w:rFonts w:ascii="Times New Roman" w:hAnsi="Times New Roman" w:eastAsia="Times New Roman" w:cs="Times New Roman"/>
          <w:spacing w:val="16"/>
          <w:position w:val="13"/>
          <w:sz w:val="20"/>
          <w:szCs w:val="20"/>
        </w:rPr>
        <w:t>8</w:t>
      </w:r>
      <w:r>
        <w:rPr>
          <w:rFonts w:ascii="黑体" w:hAnsi="黑体" w:eastAsia="黑体" w:cs="黑体"/>
          <w:spacing w:val="10"/>
          <w:position w:val="13"/>
          <w:sz w:val="20"/>
          <w:szCs w:val="20"/>
        </w:rPr>
        <w:t>：有限路段的修正函数，</w:t>
      </w:r>
      <w:r>
        <w:rPr>
          <w:rFonts w:ascii="黑体" w:hAnsi="黑体" w:eastAsia="黑体" w:cs="黑体"/>
          <w:position w:val="13"/>
          <w:sz w:val="20"/>
          <w:szCs w:val="20"/>
        </w:rPr>
        <w:t>A</w:t>
      </w:r>
      <w:r>
        <w:rPr>
          <w:rFonts w:ascii="黑体" w:hAnsi="黑体" w:eastAsia="黑体" w:cs="黑体"/>
          <w:spacing w:val="10"/>
          <w:position w:val="13"/>
          <w:sz w:val="20"/>
          <w:szCs w:val="20"/>
        </w:rPr>
        <w:t>~</w:t>
      </w:r>
      <w:r>
        <w:rPr>
          <w:rFonts w:ascii="黑体" w:hAnsi="黑体" w:eastAsia="黑体" w:cs="黑体"/>
          <w:position w:val="13"/>
          <w:sz w:val="20"/>
          <w:szCs w:val="20"/>
        </w:rPr>
        <w:t>B</w:t>
      </w:r>
      <w:r>
        <w:rPr>
          <w:rFonts w:ascii="黑体" w:hAnsi="黑体" w:eastAsia="黑体" w:cs="黑体"/>
          <w:spacing w:val="10"/>
          <w:position w:val="13"/>
          <w:sz w:val="20"/>
          <w:szCs w:val="20"/>
        </w:rPr>
        <w:t>为路段，</w:t>
      </w:r>
      <w:r>
        <w:rPr>
          <w:rFonts w:ascii="黑体" w:hAnsi="黑体" w:eastAsia="黑体" w:cs="黑体"/>
          <w:position w:val="13"/>
          <w:sz w:val="20"/>
          <w:szCs w:val="20"/>
        </w:rPr>
        <w:t>P</w:t>
      </w:r>
      <w:r>
        <w:rPr>
          <w:rFonts w:ascii="黑体" w:hAnsi="黑体" w:eastAsia="黑体" w:cs="黑体"/>
          <w:spacing w:val="10"/>
          <w:position w:val="13"/>
          <w:sz w:val="20"/>
          <w:szCs w:val="20"/>
        </w:rPr>
        <w:t>为预测点</w:t>
      </w:r>
    </w:p>
    <w:p>
      <w:pPr>
        <w:spacing w:line="227" w:lineRule="auto"/>
        <w:ind w:left="444"/>
        <w:rPr>
          <w:rFonts w:ascii="宋体" w:hAnsi="宋体" w:eastAsia="宋体" w:cs="宋体"/>
          <w:sz w:val="20"/>
          <w:szCs w:val="20"/>
        </w:rPr>
      </w:pPr>
      <w:r>
        <w:rPr>
          <w:rFonts w:ascii="宋体" w:hAnsi="宋体" w:eastAsia="宋体" w:cs="宋体"/>
          <w:spacing w:val="10"/>
          <w:sz w:val="20"/>
          <w:szCs w:val="20"/>
        </w:rPr>
        <w:t>由其他</w:t>
      </w:r>
      <w:r>
        <w:rPr>
          <w:rFonts w:ascii="宋体" w:hAnsi="宋体" w:eastAsia="宋体" w:cs="宋体"/>
          <w:spacing w:val="6"/>
          <w:sz w:val="20"/>
          <w:szCs w:val="20"/>
        </w:rPr>
        <w:t>因</w:t>
      </w:r>
      <w:r>
        <w:rPr>
          <w:rFonts w:ascii="宋体" w:hAnsi="宋体" w:eastAsia="宋体" w:cs="宋体"/>
          <w:spacing w:val="5"/>
          <w:sz w:val="20"/>
          <w:szCs w:val="20"/>
        </w:rPr>
        <w:t>素引起的修正量 (△</w:t>
      </w:r>
      <w:r>
        <w:rPr>
          <w:rFonts w:ascii="Times New Roman" w:hAnsi="Times New Roman" w:eastAsia="Times New Roman" w:cs="Times New Roman"/>
          <w:sz w:val="20"/>
          <w:szCs w:val="20"/>
        </w:rPr>
        <w:t>L</w:t>
      </w:r>
      <w:r>
        <w:rPr>
          <w:rFonts w:ascii="Times New Roman" w:hAnsi="Times New Roman" w:eastAsia="Times New Roman" w:cs="Times New Roman"/>
          <w:spacing w:val="5"/>
          <w:position w:val="-1"/>
          <w:sz w:val="13"/>
          <w:szCs w:val="13"/>
        </w:rPr>
        <w:t xml:space="preserve">1 </w:t>
      </w:r>
      <w:r>
        <w:rPr>
          <w:rFonts w:ascii="宋体" w:hAnsi="宋体" w:eastAsia="宋体" w:cs="宋体"/>
          <w:spacing w:val="5"/>
          <w:sz w:val="20"/>
          <w:szCs w:val="20"/>
        </w:rPr>
        <w:t>) 可按下式计算：</w:t>
      </w:r>
    </w:p>
    <w:p>
      <w:pPr>
        <w:spacing w:before="114" w:line="401" w:lineRule="exact"/>
        <w:ind w:left="3846"/>
        <w:rPr>
          <w:rFonts w:ascii="Times New Roman" w:hAnsi="Times New Roman" w:eastAsia="Times New Roman" w:cs="Times New Roman"/>
          <w:sz w:val="13"/>
          <w:szCs w:val="13"/>
        </w:rPr>
      </w:pPr>
      <w:r>
        <w:rPr>
          <w:rFonts w:ascii="Times New Roman" w:hAnsi="Times New Roman" w:eastAsia="Times New Roman" w:cs="Times New Roman"/>
          <w:spacing w:val="7"/>
          <w:position w:val="12"/>
          <w:sz w:val="20"/>
          <w:szCs w:val="20"/>
        </w:rPr>
        <w:t>Δ</w:t>
      </w:r>
      <w:r>
        <w:rPr>
          <w:rFonts w:ascii="Times New Roman" w:hAnsi="Times New Roman" w:eastAsia="Times New Roman" w:cs="Times New Roman"/>
          <w:position w:val="12"/>
          <w:sz w:val="20"/>
          <w:szCs w:val="20"/>
        </w:rPr>
        <w:t>L</w:t>
      </w:r>
      <w:r>
        <w:rPr>
          <w:rFonts w:ascii="Times New Roman" w:hAnsi="Times New Roman" w:eastAsia="Times New Roman" w:cs="Times New Roman"/>
          <w:spacing w:val="7"/>
          <w:position w:val="12"/>
          <w:sz w:val="20"/>
          <w:szCs w:val="20"/>
        </w:rPr>
        <w:t>=Δ</w:t>
      </w:r>
      <w:r>
        <w:rPr>
          <w:rFonts w:ascii="Times New Roman" w:hAnsi="Times New Roman" w:eastAsia="Times New Roman" w:cs="Times New Roman"/>
          <w:position w:val="12"/>
          <w:sz w:val="20"/>
          <w:szCs w:val="20"/>
        </w:rPr>
        <w:t>L</w:t>
      </w:r>
      <w:r>
        <w:rPr>
          <w:rFonts w:ascii="Times New Roman" w:hAnsi="Times New Roman" w:eastAsia="Times New Roman" w:cs="Times New Roman"/>
          <w:spacing w:val="7"/>
          <w:position w:val="11"/>
          <w:sz w:val="13"/>
          <w:szCs w:val="13"/>
        </w:rPr>
        <w:t>1</w:t>
      </w:r>
      <w:r>
        <w:rPr>
          <w:rFonts w:ascii="Times New Roman" w:hAnsi="Times New Roman" w:eastAsia="Times New Roman" w:cs="Times New Roman"/>
          <w:spacing w:val="7"/>
          <w:position w:val="12"/>
          <w:sz w:val="20"/>
          <w:szCs w:val="20"/>
        </w:rPr>
        <w:t>-Δ</w:t>
      </w:r>
      <w:r>
        <w:rPr>
          <w:rFonts w:ascii="Times New Roman" w:hAnsi="Times New Roman" w:eastAsia="Times New Roman" w:cs="Times New Roman"/>
          <w:position w:val="12"/>
          <w:sz w:val="20"/>
          <w:szCs w:val="20"/>
        </w:rPr>
        <w:t>L</w:t>
      </w:r>
      <w:r>
        <w:rPr>
          <w:rFonts w:ascii="Times New Roman" w:hAnsi="Times New Roman" w:eastAsia="Times New Roman" w:cs="Times New Roman"/>
          <w:spacing w:val="7"/>
          <w:position w:val="11"/>
          <w:sz w:val="13"/>
          <w:szCs w:val="13"/>
        </w:rPr>
        <w:t>2</w:t>
      </w:r>
      <w:r>
        <w:rPr>
          <w:rFonts w:ascii="Times New Roman" w:hAnsi="Times New Roman" w:eastAsia="Times New Roman" w:cs="Times New Roman"/>
          <w:spacing w:val="7"/>
          <w:position w:val="12"/>
          <w:sz w:val="20"/>
          <w:szCs w:val="20"/>
        </w:rPr>
        <w:t>+Δ</w:t>
      </w:r>
      <w:r>
        <w:rPr>
          <w:rFonts w:ascii="Times New Roman" w:hAnsi="Times New Roman" w:eastAsia="Times New Roman" w:cs="Times New Roman"/>
          <w:position w:val="12"/>
          <w:sz w:val="20"/>
          <w:szCs w:val="20"/>
        </w:rPr>
        <w:t>L</w:t>
      </w:r>
      <w:r>
        <w:rPr>
          <w:rFonts w:ascii="Times New Roman" w:hAnsi="Times New Roman" w:eastAsia="Times New Roman" w:cs="Times New Roman"/>
          <w:spacing w:val="5"/>
          <w:position w:val="11"/>
          <w:sz w:val="13"/>
          <w:szCs w:val="13"/>
        </w:rPr>
        <w:t>3</w:t>
      </w:r>
    </w:p>
    <w:p>
      <w:pPr>
        <w:spacing w:line="281" w:lineRule="exact"/>
        <w:ind w:left="3870"/>
        <w:rPr>
          <w:rFonts w:ascii="宋体" w:hAnsi="宋体" w:eastAsia="宋体" w:cs="宋体"/>
          <w:sz w:val="10"/>
          <w:szCs w:val="10"/>
        </w:rPr>
      </w:pPr>
      <w:r>
        <w:rPr>
          <w:rFonts w:ascii="Times New Roman" w:hAnsi="Times New Roman" w:eastAsia="Times New Roman" w:cs="Times New Roman"/>
          <w:spacing w:val="12"/>
          <w:position w:val="3"/>
          <w:sz w:val="20"/>
          <w:szCs w:val="20"/>
        </w:rPr>
        <w:t>Δ</w:t>
      </w:r>
      <w:r>
        <w:rPr>
          <w:rFonts w:ascii="Times New Roman" w:hAnsi="Times New Roman" w:eastAsia="Times New Roman" w:cs="Times New Roman"/>
          <w:position w:val="3"/>
          <w:sz w:val="20"/>
          <w:szCs w:val="20"/>
        </w:rPr>
        <w:t>L</w:t>
      </w:r>
      <w:r>
        <w:rPr>
          <w:rFonts w:ascii="Times New Roman" w:hAnsi="Times New Roman" w:eastAsia="Times New Roman" w:cs="Times New Roman"/>
          <w:spacing w:val="6"/>
          <w:position w:val="2"/>
          <w:sz w:val="13"/>
          <w:szCs w:val="13"/>
        </w:rPr>
        <w:t>1</w:t>
      </w:r>
      <w:r>
        <w:rPr>
          <w:rFonts w:ascii="Times New Roman" w:hAnsi="Times New Roman" w:eastAsia="Times New Roman" w:cs="Times New Roman"/>
          <w:spacing w:val="6"/>
          <w:position w:val="3"/>
          <w:sz w:val="20"/>
          <w:szCs w:val="20"/>
        </w:rPr>
        <w:t>=Δ</w:t>
      </w:r>
      <w:r>
        <w:rPr>
          <w:rFonts w:ascii="Times New Roman" w:hAnsi="Times New Roman" w:eastAsia="Times New Roman" w:cs="Times New Roman"/>
          <w:position w:val="3"/>
          <w:sz w:val="20"/>
          <w:szCs w:val="20"/>
        </w:rPr>
        <w:t>L</w:t>
      </w:r>
      <w:r>
        <w:rPr>
          <w:rFonts w:ascii="宋体" w:hAnsi="宋体" w:eastAsia="宋体" w:cs="宋体"/>
          <w:spacing w:val="6"/>
          <w:position w:val="1"/>
          <w:sz w:val="10"/>
          <w:szCs w:val="10"/>
        </w:rPr>
        <w:t>坡度</w:t>
      </w:r>
      <w:r>
        <w:rPr>
          <w:rFonts w:ascii="Times New Roman" w:hAnsi="Times New Roman" w:eastAsia="Times New Roman" w:cs="Times New Roman"/>
          <w:spacing w:val="6"/>
          <w:position w:val="3"/>
          <w:sz w:val="20"/>
          <w:szCs w:val="20"/>
        </w:rPr>
        <w:t>+Δ</w:t>
      </w:r>
      <w:r>
        <w:rPr>
          <w:rFonts w:ascii="Times New Roman" w:hAnsi="Times New Roman" w:eastAsia="Times New Roman" w:cs="Times New Roman"/>
          <w:position w:val="3"/>
          <w:sz w:val="20"/>
          <w:szCs w:val="20"/>
        </w:rPr>
        <w:t>L</w:t>
      </w:r>
      <w:r>
        <w:rPr>
          <w:rFonts w:ascii="宋体" w:hAnsi="宋体" w:eastAsia="宋体" w:cs="宋体"/>
          <w:spacing w:val="6"/>
          <w:position w:val="1"/>
          <w:sz w:val="10"/>
          <w:szCs w:val="10"/>
        </w:rPr>
        <w:t>路面</w:t>
      </w:r>
    </w:p>
    <w:p>
      <w:pPr>
        <w:spacing w:before="120" w:line="398" w:lineRule="exact"/>
        <w:ind w:left="3534"/>
        <w:rPr>
          <w:rFonts w:ascii="Times New Roman" w:hAnsi="Times New Roman" w:eastAsia="Times New Roman" w:cs="Times New Roman"/>
          <w:sz w:val="13"/>
          <w:szCs w:val="13"/>
        </w:rPr>
      </w:pPr>
      <w:r>
        <w:rPr>
          <w:rFonts w:ascii="Times New Roman" w:hAnsi="Times New Roman" w:eastAsia="Times New Roman" w:cs="Times New Roman"/>
          <w:spacing w:val="18"/>
          <w:position w:val="13"/>
          <w:sz w:val="20"/>
          <w:szCs w:val="20"/>
        </w:rPr>
        <w:t>Δ</w:t>
      </w:r>
      <w:r>
        <w:rPr>
          <w:rFonts w:ascii="Times New Roman" w:hAnsi="Times New Roman" w:eastAsia="Times New Roman" w:cs="Times New Roman"/>
          <w:position w:val="13"/>
          <w:sz w:val="20"/>
          <w:szCs w:val="20"/>
        </w:rPr>
        <w:t>L</w:t>
      </w:r>
      <w:r>
        <w:rPr>
          <w:rFonts w:ascii="Times New Roman" w:hAnsi="Times New Roman" w:eastAsia="Times New Roman" w:cs="Times New Roman"/>
          <w:spacing w:val="15"/>
          <w:position w:val="12"/>
          <w:sz w:val="13"/>
          <w:szCs w:val="13"/>
        </w:rPr>
        <w:t>2</w:t>
      </w:r>
      <w:r>
        <w:rPr>
          <w:rFonts w:ascii="Times New Roman" w:hAnsi="Times New Roman" w:eastAsia="Times New Roman" w:cs="Times New Roman"/>
          <w:spacing w:val="15"/>
          <w:position w:val="13"/>
          <w:sz w:val="20"/>
          <w:szCs w:val="20"/>
        </w:rPr>
        <w:t>=</w:t>
      </w:r>
      <w:r>
        <w:rPr>
          <w:rFonts w:ascii="Times New Roman" w:hAnsi="Times New Roman" w:eastAsia="Times New Roman" w:cs="Times New Roman"/>
          <w:position w:val="13"/>
          <w:sz w:val="20"/>
          <w:szCs w:val="20"/>
        </w:rPr>
        <w:t>A</w:t>
      </w:r>
      <w:r>
        <w:rPr>
          <w:rFonts w:ascii="Times New Roman" w:hAnsi="Times New Roman" w:eastAsia="Times New Roman" w:cs="Times New Roman"/>
          <w:position w:val="12"/>
          <w:sz w:val="13"/>
          <w:szCs w:val="13"/>
        </w:rPr>
        <w:t>atm</w:t>
      </w:r>
      <w:r>
        <w:rPr>
          <w:rFonts w:ascii="Times New Roman" w:hAnsi="Times New Roman" w:eastAsia="Times New Roman" w:cs="Times New Roman"/>
          <w:spacing w:val="15"/>
          <w:position w:val="13"/>
          <w:sz w:val="20"/>
          <w:szCs w:val="20"/>
        </w:rPr>
        <w:t>+</w:t>
      </w:r>
      <w:r>
        <w:rPr>
          <w:rFonts w:ascii="Times New Roman" w:hAnsi="Times New Roman" w:eastAsia="Times New Roman" w:cs="Times New Roman"/>
          <w:position w:val="13"/>
          <w:sz w:val="20"/>
          <w:szCs w:val="20"/>
        </w:rPr>
        <w:t>A</w:t>
      </w:r>
      <w:r>
        <w:rPr>
          <w:rFonts w:ascii="Times New Roman" w:hAnsi="Times New Roman" w:eastAsia="Times New Roman" w:cs="Times New Roman"/>
          <w:position w:val="12"/>
          <w:sz w:val="13"/>
          <w:szCs w:val="13"/>
        </w:rPr>
        <w:t>gr</w:t>
      </w:r>
      <w:r>
        <w:rPr>
          <w:rFonts w:ascii="Times New Roman" w:hAnsi="Times New Roman" w:eastAsia="Times New Roman" w:cs="Times New Roman"/>
          <w:spacing w:val="15"/>
          <w:position w:val="13"/>
          <w:sz w:val="20"/>
          <w:szCs w:val="20"/>
        </w:rPr>
        <w:t>+</w:t>
      </w:r>
      <w:r>
        <w:rPr>
          <w:rFonts w:ascii="Times New Roman" w:hAnsi="Times New Roman" w:eastAsia="Times New Roman" w:cs="Times New Roman"/>
          <w:position w:val="13"/>
          <w:sz w:val="20"/>
          <w:szCs w:val="20"/>
        </w:rPr>
        <w:t>A</w:t>
      </w:r>
      <w:r>
        <w:rPr>
          <w:rFonts w:ascii="Times New Roman" w:hAnsi="Times New Roman" w:eastAsia="Times New Roman" w:cs="Times New Roman"/>
          <w:position w:val="12"/>
          <w:sz w:val="13"/>
          <w:szCs w:val="13"/>
        </w:rPr>
        <w:t>bar</w:t>
      </w:r>
      <w:r>
        <w:rPr>
          <w:rFonts w:ascii="Times New Roman" w:hAnsi="Times New Roman" w:eastAsia="Times New Roman" w:cs="Times New Roman"/>
          <w:spacing w:val="15"/>
          <w:position w:val="13"/>
          <w:sz w:val="20"/>
          <w:szCs w:val="20"/>
        </w:rPr>
        <w:t>+</w:t>
      </w:r>
      <w:r>
        <w:rPr>
          <w:rFonts w:ascii="Times New Roman" w:hAnsi="Times New Roman" w:eastAsia="Times New Roman" w:cs="Times New Roman"/>
          <w:position w:val="13"/>
          <w:sz w:val="20"/>
          <w:szCs w:val="20"/>
        </w:rPr>
        <w:t>A</w:t>
      </w:r>
      <w:r>
        <w:rPr>
          <w:rFonts w:ascii="Times New Roman" w:hAnsi="Times New Roman" w:eastAsia="Times New Roman" w:cs="Times New Roman"/>
          <w:position w:val="12"/>
          <w:sz w:val="13"/>
          <w:szCs w:val="13"/>
        </w:rPr>
        <w:t>musc</w:t>
      </w:r>
    </w:p>
    <w:p>
      <w:pPr>
        <w:spacing w:line="282" w:lineRule="exact"/>
        <w:ind w:left="423"/>
        <w:rPr>
          <w:rFonts w:ascii="宋体" w:hAnsi="宋体" w:eastAsia="宋体" w:cs="宋体"/>
          <w:sz w:val="20"/>
          <w:szCs w:val="20"/>
        </w:rPr>
      </w:pPr>
      <w:r>
        <w:rPr>
          <w:rFonts w:ascii="宋体" w:hAnsi="宋体" w:eastAsia="宋体" w:cs="宋体"/>
          <w:spacing w:val="6"/>
          <w:position w:val="2"/>
          <w:sz w:val="20"/>
          <w:szCs w:val="20"/>
        </w:rPr>
        <w:t>式</w:t>
      </w:r>
      <w:r>
        <w:rPr>
          <w:rFonts w:ascii="宋体" w:hAnsi="宋体" w:eastAsia="宋体" w:cs="宋体"/>
          <w:spacing w:val="4"/>
          <w:position w:val="2"/>
          <w:sz w:val="20"/>
          <w:szCs w:val="20"/>
        </w:rPr>
        <w:t>中： △</w:t>
      </w:r>
      <w:r>
        <w:rPr>
          <w:rFonts w:ascii="Times New Roman" w:hAnsi="Times New Roman" w:eastAsia="Times New Roman" w:cs="Times New Roman"/>
          <w:position w:val="2"/>
          <w:sz w:val="20"/>
          <w:szCs w:val="20"/>
        </w:rPr>
        <w:t>L</w:t>
      </w:r>
      <w:r>
        <w:rPr>
          <w:rFonts w:ascii="Times New Roman" w:hAnsi="Times New Roman" w:eastAsia="Times New Roman" w:cs="Times New Roman"/>
          <w:spacing w:val="4"/>
          <w:position w:val="1"/>
          <w:sz w:val="13"/>
          <w:szCs w:val="13"/>
        </w:rPr>
        <w:t>1</w:t>
      </w:r>
      <w:r>
        <w:rPr>
          <w:rFonts w:ascii="Times New Roman" w:hAnsi="Times New Roman" w:eastAsia="Times New Roman" w:cs="Times New Roman"/>
          <w:spacing w:val="4"/>
          <w:position w:val="2"/>
          <w:sz w:val="20"/>
          <w:szCs w:val="20"/>
        </w:rPr>
        <w:t>——</w:t>
      </w:r>
      <w:r>
        <w:rPr>
          <w:rFonts w:ascii="宋体" w:hAnsi="宋体" w:eastAsia="宋体" w:cs="宋体"/>
          <w:spacing w:val="4"/>
          <w:position w:val="2"/>
          <w:sz w:val="20"/>
          <w:szCs w:val="20"/>
        </w:rPr>
        <w:t>线路因素引起的修正量，</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4"/>
          <w:position w:val="2"/>
          <w:sz w:val="20"/>
          <w:szCs w:val="20"/>
        </w:rPr>
        <w:t>)</w:t>
      </w:r>
      <w:r>
        <w:rPr>
          <w:rFonts w:ascii="宋体" w:hAnsi="宋体" w:eastAsia="宋体" w:cs="宋体"/>
          <w:spacing w:val="4"/>
          <w:position w:val="2"/>
          <w:sz w:val="20"/>
          <w:szCs w:val="20"/>
        </w:rPr>
        <w:t>；</w:t>
      </w:r>
    </w:p>
    <w:p>
      <w:pPr>
        <w:spacing w:before="119" w:line="281" w:lineRule="exact"/>
        <w:ind w:left="1054"/>
        <w:rPr>
          <w:rFonts w:ascii="宋体" w:hAnsi="宋体" w:eastAsia="宋体" w:cs="宋体"/>
          <w:sz w:val="20"/>
          <w:szCs w:val="20"/>
        </w:rPr>
      </w:pPr>
      <w:r>
        <w:rPr>
          <w:rFonts w:ascii="宋体" w:hAnsi="宋体" w:eastAsia="宋体" w:cs="宋体"/>
          <w:spacing w:val="16"/>
          <w:position w:val="2"/>
          <w:sz w:val="20"/>
          <w:szCs w:val="20"/>
        </w:rPr>
        <w:t>△</w:t>
      </w:r>
      <w:r>
        <w:rPr>
          <w:rFonts w:ascii="Times New Roman" w:hAnsi="Times New Roman" w:eastAsia="Times New Roman" w:cs="Times New Roman"/>
          <w:position w:val="2"/>
          <w:sz w:val="20"/>
          <w:szCs w:val="20"/>
        </w:rPr>
        <w:t>L</w:t>
      </w:r>
      <w:r>
        <w:rPr>
          <w:rFonts w:ascii="宋体" w:hAnsi="宋体" w:eastAsia="宋体" w:cs="宋体"/>
          <w:spacing w:val="8"/>
          <w:position w:val="-1"/>
          <w:sz w:val="10"/>
          <w:szCs w:val="10"/>
        </w:rPr>
        <w:t>坡度</w:t>
      </w:r>
      <w:r>
        <w:rPr>
          <w:rFonts w:ascii="Times New Roman" w:hAnsi="Times New Roman" w:eastAsia="Times New Roman" w:cs="Times New Roman"/>
          <w:spacing w:val="8"/>
          <w:position w:val="2"/>
          <w:sz w:val="20"/>
          <w:szCs w:val="20"/>
        </w:rPr>
        <w:t>——</w:t>
      </w:r>
      <w:r>
        <w:rPr>
          <w:rFonts w:ascii="宋体" w:hAnsi="宋体" w:eastAsia="宋体" w:cs="宋体"/>
          <w:spacing w:val="8"/>
          <w:position w:val="2"/>
          <w:sz w:val="20"/>
          <w:szCs w:val="20"/>
        </w:rPr>
        <w:t>公路纵坡修正量，</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8"/>
          <w:position w:val="2"/>
          <w:sz w:val="20"/>
          <w:szCs w:val="20"/>
        </w:rPr>
        <w:t>)</w:t>
      </w:r>
      <w:r>
        <w:rPr>
          <w:rFonts w:ascii="宋体" w:hAnsi="宋体" w:eastAsia="宋体" w:cs="宋体"/>
          <w:spacing w:val="8"/>
          <w:position w:val="2"/>
          <w:sz w:val="20"/>
          <w:szCs w:val="20"/>
        </w:rPr>
        <w:t>；</w:t>
      </w:r>
    </w:p>
    <w:p>
      <w:pPr>
        <w:spacing w:before="120" w:line="398" w:lineRule="exact"/>
        <w:ind w:left="1054"/>
        <w:rPr>
          <w:rFonts w:ascii="宋体" w:hAnsi="宋体" w:eastAsia="宋体" w:cs="宋体"/>
          <w:sz w:val="20"/>
          <w:szCs w:val="20"/>
        </w:rPr>
      </w:pPr>
      <w:r>
        <w:rPr>
          <w:rFonts w:ascii="宋体" w:hAnsi="宋体" w:eastAsia="宋体" w:cs="宋体"/>
          <w:spacing w:val="16"/>
          <w:position w:val="12"/>
          <w:sz w:val="20"/>
          <w:szCs w:val="20"/>
        </w:rPr>
        <w:t>△</w:t>
      </w:r>
      <w:r>
        <w:rPr>
          <w:rFonts w:ascii="Times New Roman" w:hAnsi="Times New Roman" w:eastAsia="Times New Roman" w:cs="Times New Roman"/>
          <w:position w:val="12"/>
          <w:sz w:val="20"/>
          <w:szCs w:val="20"/>
        </w:rPr>
        <w:t>L</w:t>
      </w:r>
      <w:r>
        <w:rPr>
          <w:rFonts w:ascii="宋体" w:hAnsi="宋体" w:eastAsia="宋体" w:cs="宋体"/>
          <w:spacing w:val="13"/>
          <w:position w:val="10"/>
          <w:sz w:val="10"/>
          <w:szCs w:val="10"/>
        </w:rPr>
        <w:t>路</w:t>
      </w:r>
      <w:r>
        <w:rPr>
          <w:rFonts w:ascii="宋体" w:hAnsi="宋体" w:eastAsia="宋体" w:cs="宋体"/>
          <w:spacing w:val="8"/>
          <w:position w:val="10"/>
          <w:sz w:val="10"/>
          <w:szCs w:val="10"/>
        </w:rPr>
        <w:t>面</w:t>
      </w:r>
      <w:r>
        <w:rPr>
          <w:rFonts w:ascii="Times New Roman" w:hAnsi="Times New Roman" w:eastAsia="Times New Roman" w:cs="Times New Roman"/>
          <w:spacing w:val="8"/>
          <w:position w:val="12"/>
          <w:sz w:val="20"/>
          <w:szCs w:val="20"/>
        </w:rPr>
        <w:t>——</w:t>
      </w:r>
      <w:r>
        <w:rPr>
          <w:rFonts w:ascii="宋体" w:hAnsi="宋体" w:eastAsia="宋体" w:cs="宋体"/>
          <w:spacing w:val="8"/>
          <w:position w:val="12"/>
          <w:sz w:val="20"/>
          <w:szCs w:val="20"/>
        </w:rPr>
        <w:t>公路路面引起的修正量，</w:t>
      </w:r>
      <w:r>
        <w:rPr>
          <w:rFonts w:ascii="Times New Roman" w:hAnsi="Times New Roman" w:eastAsia="Times New Roman" w:cs="Times New Roman"/>
          <w:position w:val="12"/>
          <w:sz w:val="20"/>
          <w:szCs w:val="20"/>
        </w:rPr>
        <w:t>dB</w:t>
      </w:r>
      <w:r>
        <w:rPr>
          <w:rFonts w:ascii="Times New Roman" w:hAnsi="Times New Roman" w:eastAsia="Times New Roman" w:cs="Times New Roman"/>
          <w:spacing w:val="8"/>
          <w:position w:val="12"/>
          <w:sz w:val="20"/>
          <w:szCs w:val="20"/>
        </w:rPr>
        <w:t>(</w:t>
      </w:r>
      <w:r>
        <w:rPr>
          <w:rFonts w:ascii="Times New Roman" w:hAnsi="Times New Roman" w:eastAsia="Times New Roman" w:cs="Times New Roman"/>
          <w:position w:val="12"/>
          <w:sz w:val="20"/>
          <w:szCs w:val="20"/>
        </w:rPr>
        <w:t>A</w:t>
      </w:r>
      <w:r>
        <w:rPr>
          <w:rFonts w:ascii="Times New Roman" w:hAnsi="Times New Roman" w:eastAsia="Times New Roman" w:cs="Times New Roman"/>
          <w:spacing w:val="8"/>
          <w:position w:val="12"/>
          <w:sz w:val="20"/>
          <w:szCs w:val="20"/>
        </w:rPr>
        <w:t>)</w:t>
      </w:r>
      <w:r>
        <w:rPr>
          <w:rFonts w:ascii="宋体" w:hAnsi="宋体" w:eastAsia="宋体" w:cs="宋体"/>
          <w:spacing w:val="8"/>
          <w:position w:val="12"/>
          <w:sz w:val="20"/>
          <w:szCs w:val="20"/>
        </w:rPr>
        <w:t>；</w:t>
      </w:r>
    </w:p>
    <w:p>
      <w:pPr>
        <w:spacing w:line="282" w:lineRule="exact"/>
        <w:ind w:left="1054"/>
        <w:rPr>
          <w:rFonts w:ascii="宋体" w:hAnsi="宋体" w:eastAsia="宋体" w:cs="宋体"/>
          <w:sz w:val="20"/>
          <w:szCs w:val="20"/>
        </w:rPr>
      </w:pPr>
      <w:r>
        <w:rPr>
          <w:rFonts w:ascii="宋体" w:hAnsi="宋体" w:eastAsia="宋体" w:cs="宋体"/>
          <w:spacing w:val="10"/>
          <w:position w:val="2"/>
          <w:sz w:val="20"/>
          <w:szCs w:val="20"/>
        </w:rPr>
        <w:t>△</w:t>
      </w:r>
      <w:r>
        <w:rPr>
          <w:rFonts w:ascii="Times New Roman" w:hAnsi="Times New Roman" w:eastAsia="Times New Roman" w:cs="Times New Roman"/>
          <w:position w:val="2"/>
          <w:sz w:val="20"/>
          <w:szCs w:val="20"/>
        </w:rPr>
        <w:t>L</w:t>
      </w:r>
      <w:r>
        <w:rPr>
          <w:rFonts w:ascii="Times New Roman" w:hAnsi="Times New Roman" w:eastAsia="Times New Roman" w:cs="Times New Roman"/>
          <w:spacing w:val="9"/>
          <w:position w:val="1"/>
          <w:sz w:val="13"/>
          <w:szCs w:val="13"/>
        </w:rPr>
        <w:t>2</w:t>
      </w:r>
      <w:r>
        <w:rPr>
          <w:rFonts w:ascii="Times New Roman" w:hAnsi="Times New Roman" w:eastAsia="Times New Roman" w:cs="Times New Roman"/>
          <w:spacing w:val="9"/>
          <w:position w:val="2"/>
          <w:sz w:val="20"/>
          <w:szCs w:val="20"/>
        </w:rPr>
        <w:t>——</w:t>
      </w:r>
      <w:r>
        <w:rPr>
          <w:rFonts w:ascii="宋体" w:hAnsi="宋体" w:eastAsia="宋体" w:cs="宋体"/>
          <w:spacing w:val="9"/>
          <w:position w:val="2"/>
          <w:sz w:val="20"/>
          <w:szCs w:val="20"/>
        </w:rPr>
        <w:t>声波传播途径中引起的衰减量，</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9"/>
          <w:position w:val="2"/>
          <w:sz w:val="20"/>
          <w:szCs w:val="20"/>
        </w:rPr>
        <w:t>(</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9"/>
          <w:position w:val="2"/>
          <w:sz w:val="20"/>
          <w:szCs w:val="20"/>
        </w:rPr>
        <w:t>)</w:t>
      </w:r>
      <w:r>
        <w:rPr>
          <w:rFonts w:ascii="宋体" w:hAnsi="宋体" w:eastAsia="宋体" w:cs="宋体"/>
          <w:spacing w:val="9"/>
          <w:position w:val="2"/>
          <w:sz w:val="20"/>
          <w:szCs w:val="20"/>
        </w:rPr>
        <w:t>；</w:t>
      </w:r>
    </w:p>
    <w:p>
      <w:pPr>
        <w:spacing w:before="119" w:line="281" w:lineRule="exact"/>
        <w:ind w:left="1054"/>
        <w:rPr>
          <w:rFonts w:ascii="宋体" w:hAnsi="宋体" w:eastAsia="宋体" w:cs="宋体"/>
          <w:sz w:val="20"/>
          <w:szCs w:val="20"/>
        </w:rPr>
      </w:pPr>
      <w:r>
        <w:rPr>
          <w:rFonts w:ascii="宋体" w:hAnsi="宋体" w:eastAsia="宋体" w:cs="宋体"/>
          <w:spacing w:val="10"/>
          <w:position w:val="2"/>
          <w:sz w:val="20"/>
          <w:szCs w:val="20"/>
        </w:rPr>
        <w:t>△</w:t>
      </w:r>
      <w:r>
        <w:rPr>
          <w:rFonts w:ascii="Times New Roman" w:hAnsi="Times New Roman" w:eastAsia="Times New Roman" w:cs="Times New Roman"/>
          <w:position w:val="2"/>
          <w:sz w:val="20"/>
          <w:szCs w:val="20"/>
        </w:rPr>
        <w:t>L</w:t>
      </w:r>
      <w:r>
        <w:rPr>
          <w:rFonts w:ascii="Times New Roman" w:hAnsi="Times New Roman" w:eastAsia="Times New Roman" w:cs="Times New Roman"/>
          <w:spacing w:val="10"/>
          <w:position w:val="1"/>
          <w:sz w:val="13"/>
          <w:szCs w:val="13"/>
        </w:rPr>
        <w:t>3</w:t>
      </w:r>
      <w:r>
        <w:rPr>
          <w:rFonts w:ascii="Times New Roman" w:hAnsi="Times New Roman" w:eastAsia="Times New Roman" w:cs="Times New Roman"/>
          <w:spacing w:val="9"/>
          <w:position w:val="2"/>
          <w:sz w:val="20"/>
          <w:szCs w:val="20"/>
        </w:rPr>
        <w:t>—</w:t>
      </w:r>
      <w:r>
        <w:rPr>
          <w:rFonts w:ascii="Times New Roman" w:hAnsi="Times New Roman" w:eastAsia="Times New Roman" w:cs="Times New Roman"/>
          <w:spacing w:val="5"/>
          <w:position w:val="2"/>
          <w:sz w:val="20"/>
          <w:szCs w:val="20"/>
        </w:rPr>
        <w:t xml:space="preserve">— </w:t>
      </w:r>
      <w:r>
        <w:rPr>
          <w:rFonts w:ascii="宋体" w:hAnsi="宋体" w:eastAsia="宋体" w:cs="宋体"/>
          <w:spacing w:val="5"/>
          <w:position w:val="2"/>
          <w:sz w:val="20"/>
          <w:szCs w:val="20"/>
        </w:rPr>
        <w:t>由反射等引起的修正量，</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5"/>
          <w:position w:val="2"/>
          <w:sz w:val="20"/>
          <w:szCs w:val="20"/>
        </w:rPr>
        <w:t>)</w:t>
      </w:r>
      <w:r>
        <w:rPr>
          <w:rFonts w:ascii="宋体" w:hAnsi="宋体" w:eastAsia="宋体" w:cs="宋体"/>
          <w:spacing w:val="5"/>
          <w:position w:val="2"/>
          <w:sz w:val="20"/>
          <w:szCs w:val="20"/>
        </w:rPr>
        <w:t>。</w:t>
      </w:r>
    </w:p>
    <w:p>
      <w:pPr>
        <w:spacing w:before="120" w:line="281" w:lineRule="exact"/>
        <w:ind w:left="411"/>
        <w:rPr>
          <w:rFonts w:ascii="宋体" w:hAnsi="宋体" w:eastAsia="宋体" w:cs="宋体"/>
          <w:sz w:val="20"/>
          <w:szCs w:val="20"/>
        </w:rPr>
      </w:pPr>
      <w:r>
        <w:rPr>
          <w:rFonts w:ascii="Times New Roman" w:hAnsi="Times New Roman" w:eastAsia="Times New Roman" w:cs="Times New Roman"/>
          <w:position w:val="1"/>
          <w:sz w:val="20"/>
          <w:szCs w:val="20"/>
        </w:rPr>
        <w:t>b</w:t>
      </w:r>
      <w:r>
        <w:rPr>
          <w:rFonts w:ascii="宋体" w:hAnsi="宋体" w:eastAsia="宋体" w:cs="宋体"/>
          <w:spacing w:val="11"/>
          <w:position w:val="1"/>
          <w:sz w:val="20"/>
          <w:szCs w:val="20"/>
        </w:rPr>
        <w:t>)</w:t>
      </w:r>
      <w:r>
        <w:rPr>
          <w:rFonts w:ascii="宋体" w:hAnsi="宋体" w:eastAsia="宋体" w:cs="宋体"/>
          <w:spacing w:val="9"/>
          <w:position w:val="1"/>
          <w:sz w:val="20"/>
          <w:szCs w:val="20"/>
        </w:rPr>
        <w:t xml:space="preserve"> 总车流等效声级</w:t>
      </w:r>
    </w:p>
    <w:p>
      <w:pPr>
        <w:spacing w:before="242" w:line="604" w:lineRule="exact"/>
        <w:ind w:left="2219"/>
        <w:rPr>
          <w:rFonts w:ascii="Symbol" w:hAnsi="Symbol" w:eastAsia="Symbol" w:cs="Symbol"/>
          <w:sz w:val="48"/>
          <w:szCs w:val="48"/>
        </w:rPr>
      </w:pPr>
      <w:r>
        <w:pict>
          <v:shape id="_x0000_s1108" o:spid="_x0000_s1108" o:spt="202" type="#_x0000_t202" style="position:absolute;left:0pt;margin-left:20.25pt;margin-top:6.7pt;height:14.35pt;width:116.65pt;z-index:251768832;mso-width-relative:page;mso-height-relative:page;" filled="f" stroked="f" coordsize="21600,21600">
            <v:path/>
            <v:fill on="f" focussize="0,0"/>
            <v:stroke on="f"/>
            <v:imagedata o:title=""/>
            <o:lock v:ext="edit" aspectratio="f"/>
            <v:textbox inset="0mm,0mm,0mm,0mm">
              <w:txbxContent>
                <w:p>
                  <w:pPr>
                    <w:spacing w:before="19" w:line="228" w:lineRule="auto"/>
                    <w:ind w:left="20"/>
                    <w:rPr>
                      <w:rFonts w:ascii="宋体" w:hAnsi="宋体" w:eastAsia="宋体" w:cs="宋体"/>
                      <w:sz w:val="20"/>
                      <w:szCs w:val="20"/>
                    </w:rPr>
                  </w:pPr>
                  <w:r>
                    <w:rPr>
                      <w:rFonts w:ascii="宋体" w:hAnsi="宋体" w:eastAsia="宋体" w:cs="宋体"/>
                      <w:spacing w:val="12"/>
                      <w:sz w:val="20"/>
                      <w:szCs w:val="20"/>
                    </w:rPr>
                    <w:t>总</w:t>
                  </w:r>
                  <w:r>
                    <w:rPr>
                      <w:rFonts w:ascii="宋体" w:hAnsi="宋体" w:eastAsia="宋体" w:cs="宋体"/>
                      <w:spacing w:val="8"/>
                      <w:sz w:val="20"/>
                      <w:szCs w:val="20"/>
                    </w:rPr>
                    <w:t>车流等效声级按下计算</w:t>
                  </w:r>
                </w:p>
              </w:txbxContent>
            </v:textbox>
          </v:shape>
        </w:pict>
      </w:r>
      <w:r>
        <w:rPr>
          <w:rFonts w:ascii="Times New Roman" w:hAnsi="Times New Roman" w:eastAsia="Times New Roman" w:cs="Times New Roman"/>
          <w:i/>
          <w:iCs/>
          <w:spacing w:val="-3"/>
          <w:position w:val="7"/>
          <w:sz w:val="24"/>
          <w:szCs w:val="24"/>
        </w:rPr>
        <w:t>L</w:t>
      </w:r>
      <w:r>
        <w:rPr>
          <w:rFonts w:ascii="Times New Roman" w:hAnsi="Times New Roman" w:eastAsia="Times New Roman" w:cs="Times New Roman"/>
          <w:i/>
          <w:iCs/>
          <w:spacing w:val="-3"/>
          <w:position w:val="1"/>
          <w:sz w:val="14"/>
          <w:szCs w:val="14"/>
        </w:rPr>
        <w:t>eq</w:t>
      </w:r>
      <w:r>
        <w:rPr>
          <w:rFonts w:ascii="Times New Roman" w:hAnsi="Times New Roman" w:eastAsia="Times New Roman" w:cs="Times New Roman"/>
          <w:spacing w:val="-6"/>
          <w:position w:val="1"/>
          <w:sz w:val="14"/>
          <w:szCs w:val="14"/>
        </w:rPr>
        <w:t xml:space="preserve"> </w:t>
      </w:r>
      <w:r>
        <w:rPr>
          <w:rFonts w:ascii="Times New Roman" w:hAnsi="Times New Roman" w:eastAsia="Times New Roman" w:cs="Times New Roman"/>
          <w:spacing w:val="-6"/>
          <w:position w:val="7"/>
          <w:sz w:val="24"/>
          <w:szCs w:val="24"/>
        </w:rPr>
        <w:t>(</w:t>
      </w:r>
      <w:r>
        <w:rPr>
          <w:rFonts w:ascii="Times New Roman" w:hAnsi="Times New Roman" w:eastAsia="Times New Roman" w:cs="Times New Roman"/>
          <w:i/>
          <w:iCs/>
          <w:spacing w:val="-3"/>
          <w:position w:val="7"/>
          <w:sz w:val="24"/>
          <w:szCs w:val="24"/>
        </w:rPr>
        <w:t>T</w:t>
      </w:r>
      <w:r>
        <w:rPr>
          <w:rFonts w:ascii="Times New Roman" w:hAnsi="Times New Roman" w:eastAsia="Times New Roman" w:cs="Times New Roman"/>
          <w:spacing w:val="-6"/>
          <w:position w:val="7"/>
          <w:sz w:val="24"/>
          <w:szCs w:val="24"/>
        </w:rPr>
        <w:t xml:space="preserve">) </w:t>
      </w:r>
      <w:r>
        <w:rPr>
          <w:rFonts w:ascii="Symbol" w:hAnsi="Symbol" w:eastAsia="Symbol" w:cs="Symbol"/>
          <w:spacing w:val="-6"/>
          <w:position w:val="7"/>
          <w:sz w:val="24"/>
          <w:szCs w:val="24"/>
        </w:rPr>
        <w:t xml:space="preserve">= </w:t>
      </w:r>
      <w:r>
        <w:rPr>
          <w:rFonts w:ascii="Times New Roman" w:hAnsi="Times New Roman" w:eastAsia="Times New Roman" w:cs="Times New Roman"/>
          <w:spacing w:val="-6"/>
          <w:position w:val="7"/>
          <w:sz w:val="24"/>
          <w:szCs w:val="24"/>
        </w:rPr>
        <w:t xml:space="preserve">10 </w:t>
      </w:r>
      <w:r>
        <w:rPr>
          <w:rFonts w:ascii="Times New Roman" w:hAnsi="Times New Roman" w:eastAsia="Times New Roman" w:cs="Times New Roman"/>
          <w:spacing w:val="-3"/>
          <w:position w:val="7"/>
          <w:sz w:val="24"/>
          <w:szCs w:val="24"/>
        </w:rPr>
        <w:t>lg</w:t>
      </w:r>
      <w:r>
        <w:rPr>
          <w:rFonts w:ascii="Times New Roman" w:hAnsi="Times New Roman" w:eastAsia="Times New Roman" w:cs="Times New Roman"/>
          <w:spacing w:val="-6"/>
          <w:position w:val="7"/>
          <w:sz w:val="24"/>
          <w:szCs w:val="24"/>
        </w:rPr>
        <w:t xml:space="preserve"> </w:t>
      </w:r>
      <w:r>
        <w:rPr>
          <w:rFonts w:ascii="Symbol" w:hAnsi="Symbol" w:eastAsia="Symbol" w:cs="Symbol"/>
          <w:spacing w:val="-6"/>
          <w:position w:val="7"/>
          <w:sz w:val="48"/>
          <w:szCs w:val="48"/>
        </w:rPr>
        <w:t>[</w:t>
      </w:r>
      <w:r>
        <w:rPr>
          <w:rFonts w:ascii="Times New Roman" w:hAnsi="Times New Roman" w:eastAsia="Times New Roman" w:cs="Times New Roman"/>
          <w:spacing w:val="-5"/>
          <w:position w:val="7"/>
          <w:sz w:val="24"/>
          <w:szCs w:val="24"/>
        </w:rPr>
        <w:t>1</w:t>
      </w:r>
      <w:r>
        <w:rPr>
          <w:rFonts w:ascii="Times New Roman" w:hAnsi="Times New Roman" w:eastAsia="Times New Roman" w:cs="Times New Roman"/>
          <w:spacing w:val="-3"/>
          <w:position w:val="7"/>
          <w:sz w:val="24"/>
          <w:szCs w:val="24"/>
        </w:rPr>
        <w:t>0</w:t>
      </w:r>
      <w:r>
        <w:rPr>
          <w:rFonts w:ascii="Times New Roman" w:hAnsi="Times New Roman" w:eastAsia="Times New Roman" w:cs="Times New Roman"/>
          <w:spacing w:val="-3"/>
          <w:position w:val="20"/>
          <w:sz w:val="14"/>
          <w:szCs w:val="14"/>
        </w:rPr>
        <w:t>0. 1</w:t>
      </w:r>
      <w:r>
        <w:rPr>
          <w:rFonts w:ascii="Times New Roman" w:hAnsi="Times New Roman" w:eastAsia="Times New Roman" w:cs="Times New Roman"/>
          <w:i/>
          <w:iCs/>
          <w:spacing w:val="-3"/>
          <w:position w:val="20"/>
          <w:sz w:val="14"/>
          <w:szCs w:val="14"/>
        </w:rPr>
        <w:t>L</w:t>
      </w:r>
      <w:r>
        <w:rPr>
          <w:rFonts w:ascii="Times New Roman" w:hAnsi="Times New Roman" w:eastAsia="Times New Roman" w:cs="Times New Roman"/>
          <w:spacing w:val="-3"/>
          <w:position w:val="16"/>
          <w:sz w:val="10"/>
          <w:szCs w:val="10"/>
        </w:rPr>
        <w:t xml:space="preserve">eq </w:t>
      </w:r>
      <w:r>
        <w:rPr>
          <w:rFonts w:ascii="Times New Roman" w:hAnsi="Times New Roman" w:eastAsia="Times New Roman" w:cs="Times New Roman"/>
          <w:spacing w:val="-3"/>
          <w:position w:val="20"/>
          <w:sz w:val="14"/>
          <w:szCs w:val="14"/>
        </w:rPr>
        <w:t>(</w:t>
      </w:r>
      <w:r>
        <w:rPr>
          <w:rFonts w:ascii="Times New Roman" w:hAnsi="Times New Roman" w:eastAsia="Times New Roman" w:cs="Times New Roman"/>
          <w:i/>
          <w:iCs/>
          <w:spacing w:val="-3"/>
          <w:position w:val="20"/>
          <w:sz w:val="14"/>
          <w:szCs w:val="14"/>
        </w:rPr>
        <w:t>h</w:t>
      </w:r>
      <w:r>
        <w:rPr>
          <w:rFonts w:ascii="Times New Roman" w:hAnsi="Times New Roman" w:eastAsia="Times New Roman" w:cs="Times New Roman"/>
          <w:spacing w:val="-3"/>
          <w:position w:val="20"/>
          <w:sz w:val="14"/>
          <w:szCs w:val="14"/>
        </w:rPr>
        <w:t>)</w:t>
      </w:r>
      <w:r>
        <w:rPr>
          <w:rFonts w:ascii="宋体" w:hAnsi="宋体" w:eastAsia="宋体" w:cs="宋体"/>
          <w:spacing w:val="-3"/>
          <w:position w:val="20"/>
          <w:sz w:val="14"/>
          <w:szCs w:val="14"/>
        </w:rPr>
        <w:t xml:space="preserve">大 </w:t>
      </w:r>
      <w:r>
        <w:rPr>
          <w:rFonts w:ascii="Symbol" w:hAnsi="Symbol" w:eastAsia="Symbol" w:cs="Symbol"/>
          <w:spacing w:val="-3"/>
          <w:position w:val="7"/>
          <w:sz w:val="24"/>
          <w:szCs w:val="24"/>
        </w:rPr>
        <w:t xml:space="preserve">+ </w:t>
      </w:r>
      <w:r>
        <w:rPr>
          <w:rFonts w:ascii="Times New Roman" w:hAnsi="Times New Roman" w:eastAsia="Times New Roman" w:cs="Times New Roman"/>
          <w:spacing w:val="-3"/>
          <w:position w:val="7"/>
          <w:sz w:val="24"/>
          <w:szCs w:val="24"/>
        </w:rPr>
        <w:t>10</w:t>
      </w:r>
      <w:r>
        <w:rPr>
          <w:rFonts w:ascii="Times New Roman" w:hAnsi="Times New Roman" w:eastAsia="Times New Roman" w:cs="Times New Roman"/>
          <w:spacing w:val="-3"/>
          <w:position w:val="20"/>
          <w:sz w:val="14"/>
          <w:szCs w:val="14"/>
        </w:rPr>
        <w:t>0. 1</w:t>
      </w:r>
      <w:r>
        <w:rPr>
          <w:rFonts w:ascii="Times New Roman" w:hAnsi="Times New Roman" w:eastAsia="Times New Roman" w:cs="Times New Roman"/>
          <w:i/>
          <w:iCs/>
          <w:spacing w:val="-3"/>
          <w:position w:val="20"/>
          <w:sz w:val="14"/>
          <w:szCs w:val="14"/>
        </w:rPr>
        <w:t>L</w:t>
      </w:r>
      <w:r>
        <w:rPr>
          <w:rFonts w:ascii="Times New Roman" w:hAnsi="Times New Roman" w:eastAsia="Times New Roman" w:cs="Times New Roman"/>
          <w:spacing w:val="-3"/>
          <w:position w:val="16"/>
          <w:sz w:val="10"/>
          <w:szCs w:val="10"/>
        </w:rPr>
        <w:t xml:space="preserve">eq </w:t>
      </w:r>
      <w:r>
        <w:rPr>
          <w:rFonts w:ascii="Times New Roman" w:hAnsi="Times New Roman" w:eastAsia="Times New Roman" w:cs="Times New Roman"/>
          <w:spacing w:val="-3"/>
          <w:position w:val="20"/>
          <w:sz w:val="14"/>
          <w:szCs w:val="14"/>
        </w:rPr>
        <w:t>(</w:t>
      </w:r>
      <w:r>
        <w:rPr>
          <w:rFonts w:ascii="Times New Roman" w:hAnsi="Times New Roman" w:eastAsia="Times New Roman" w:cs="Times New Roman"/>
          <w:i/>
          <w:iCs/>
          <w:spacing w:val="-3"/>
          <w:position w:val="20"/>
          <w:sz w:val="14"/>
          <w:szCs w:val="14"/>
        </w:rPr>
        <w:t>h</w:t>
      </w:r>
      <w:r>
        <w:rPr>
          <w:rFonts w:ascii="Times New Roman" w:hAnsi="Times New Roman" w:eastAsia="Times New Roman" w:cs="Times New Roman"/>
          <w:spacing w:val="-3"/>
          <w:position w:val="20"/>
          <w:sz w:val="14"/>
          <w:szCs w:val="14"/>
        </w:rPr>
        <w:t>)</w:t>
      </w:r>
      <w:r>
        <w:rPr>
          <w:rFonts w:ascii="宋体" w:hAnsi="宋体" w:eastAsia="宋体" w:cs="宋体"/>
          <w:spacing w:val="-3"/>
          <w:position w:val="20"/>
          <w:sz w:val="14"/>
          <w:szCs w:val="14"/>
        </w:rPr>
        <w:t xml:space="preserve">中 </w:t>
      </w:r>
      <w:r>
        <w:rPr>
          <w:rFonts w:ascii="Symbol" w:hAnsi="Symbol" w:eastAsia="Symbol" w:cs="Symbol"/>
          <w:spacing w:val="-3"/>
          <w:position w:val="7"/>
          <w:sz w:val="24"/>
          <w:szCs w:val="24"/>
        </w:rPr>
        <w:t xml:space="preserve">+ </w:t>
      </w:r>
      <w:r>
        <w:rPr>
          <w:rFonts w:ascii="Times New Roman" w:hAnsi="Times New Roman" w:eastAsia="Times New Roman" w:cs="Times New Roman"/>
          <w:spacing w:val="-3"/>
          <w:position w:val="7"/>
          <w:sz w:val="24"/>
          <w:szCs w:val="24"/>
        </w:rPr>
        <w:t>10</w:t>
      </w:r>
      <w:r>
        <w:rPr>
          <w:rFonts w:ascii="Times New Roman" w:hAnsi="Times New Roman" w:eastAsia="Times New Roman" w:cs="Times New Roman"/>
          <w:spacing w:val="-3"/>
          <w:position w:val="20"/>
          <w:sz w:val="14"/>
          <w:szCs w:val="14"/>
        </w:rPr>
        <w:t>0. 1</w:t>
      </w:r>
      <w:r>
        <w:rPr>
          <w:rFonts w:ascii="Times New Roman" w:hAnsi="Times New Roman" w:eastAsia="Times New Roman" w:cs="Times New Roman"/>
          <w:i/>
          <w:iCs/>
          <w:spacing w:val="-3"/>
          <w:position w:val="20"/>
          <w:sz w:val="14"/>
          <w:szCs w:val="14"/>
        </w:rPr>
        <w:t>L</w:t>
      </w:r>
      <w:r>
        <w:rPr>
          <w:rFonts w:ascii="Times New Roman" w:hAnsi="Times New Roman" w:eastAsia="Times New Roman" w:cs="Times New Roman"/>
          <w:spacing w:val="-3"/>
          <w:position w:val="16"/>
          <w:sz w:val="10"/>
          <w:szCs w:val="10"/>
        </w:rPr>
        <w:t xml:space="preserve">eq </w:t>
      </w:r>
      <w:r>
        <w:rPr>
          <w:rFonts w:ascii="Times New Roman" w:hAnsi="Times New Roman" w:eastAsia="Times New Roman" w:cs="Times New Roman"/>
          <w:spacing w:val="-3"/>
          <w:position w:val="20"/>
          <w:sz w:val="14"/>
          <w:szCs w:val="14"/>
        </w:rPr>
        <w:t>(</w:t>
      </w:r>
      <w:r>
        <w:rPr>
          <w:rFonts w:ascii="Times New Roman" w:hAnsi="Times New Roman" w:eastAsia="Times New Roman" w:cs="Times New Roman"/>
          <w:i/>
          <w:iCs/>
          <w:spacing w:val="-3"/>
          <w:position w:val="20"/>
          <w:sz w:val="14"/>
          <w:szCs w:val="14"/>
        </w:rPr>
        <w:t>h</w:t>
      </w:r>
      <w:r>
        <w:rPr>
          <w:rFonts w:ascii="Times New Roman" w:hAnsi="Times New Roman" w:eastAsia="Times New Roman" w:cs="Times New Roman"/>
          <w:spacing w:val="-3"/>
          <w:position w:val="20"/>
          <w:sz w:val="14"/>
          <w:szCs w:val="14"/>
        </w:rPr>
        <w:t>)</w:t>
      </w:r>
      <w:r>
        <w:rPr>
          <w:rFonts w:ascii="宋体" w:hAnsi="宋体" w:eastAsia="宋体" w:cs="宋体"/>
          <w:spacing w:val="-3"/>
          <w:position w:val="20"/>
          <w:sz w:val="14"/>
          <w:szCs w:val="14"/>
        </w:rPr>
        <w:t xml:space="preserve">小 </w:t>
      </w:r>
      <w:r>
        <w:rPr>
          <w:rFonts w:ascii="Symbol" w:hAnsi="Symbol" w:eastAsia="Symbol" w:cs="Symbol"/>
          <w:spacing w:val="-3"/>
          <w:position w:val="7"/>
          <w:sz w:val="48"/>
          <w:szCs w:val="48"/>
        </w:rPr>
        <w:t>]</w:t>
      </w:r>
    </w:p>
    <w:p>
      <w:pPr>
        <w:spacing w:before="73" w:line="281" w:lineRule="exact"/>
        <w:ind w:left="423"/>
        <w:rPr>
          <w:rFonts w:ascii="宋体" w:hAnsi="宋体" w:eastAsia="宋体" w:cs="宋体"/>
          <w:sz w:val="20"/>
          <w:szCs w:val="20"/>
        </w:rPr>
      </w:pPr>
      <w:r>
        <w:rPr>
          <w:rFonts w:ascii="宋体" w:hAnsi="宋体" w:eastAsia="宋体" w:cs="宋体"/>
          <w:spacing w:val="4"/>
          <w:position w:val="2"/>
          <w:sz w:val="20"/>
          <w:szCs w:val="20"/>
        </w:rPr>
        <w:t xml:space="preserve">式中：  </w:t>
      </w:r>
      <w:r>
        <w:rPr>
          <w:rFonts w:ascii="Times New Roman" w:hAnsi="Times New Roman" w:eastAsia="Times New Roman" w:cs="Times New Roman"/>
          <w:position w:val="2"/>
          <w:sz w:val="20"/>
          <w:szCs w:val="20"/>
        </w:rPr>
        <w:t>L</w:t>
      </w:r>
      <w:r>
        <w:rPr>
          <w:rFonts w:ascii="Times New Roman" w:hAnsi="Times New Roman" w:eastAsia="Times New Roman" w:cs="Times New Roman"/>
          <w:position w:val="1"/>
          <w:sz w:val="13"/>
          <w:szCs w:val="13"/>
        </w:rPr>
        <w:t>eq</w:t>
      </w:r>
      <w:r>
        <w:rPr>
          <w:rFonts w:ascii="Times New Roman" w:hAnsi="Times New Roman" w:eastAsia="Times New Roman" w:cs="Times New Roman"/>
          <w:spacing w:val="4"/>
          <w:position w:val="1"/>
          <w:sz w:val="13"/>
          <w:szCs w:val="13"/>
        </w:rPr>
        <w:t xml:space="preserve"> </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T</w:t>
      </w:r>
      <w:r>
        <w:rPr>
          <w:rFonts w:ascii="Times New Roman" w:hAnsi="Times New Roman" w:eastAsia="Times New Roman" w:cs="Times New Roman"/>
          <w:spacing w:val="4"/>
          <w:position w:val="2"/>
          <w:sz w:val="20"/>
          <w:szCs w:val="20"/>
        </w:rPr>
        <w:t xml:space="preserve"> ) ——</w:t>
      </w:r>
      <w:r>
        <w:rPr>
          <w:rFonts w:ascii="宋体" w:hAnsi="宋体" w:eastAsia="宋体" w:cs="宋体"/>
          <w:spacing w:val="4"/>
          <w:position w:val="2"/>
          <w:sz w:val="20"/>
          <w:szCs w:val="20"/>
        </w:rPr>
        <w:t>总车流等效声级，</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A</w:t>
      </w:r>
      <w:r>
        <w:rPr>
          <w:rFonts w:ascii="Times New Roman" w:hAnsi="Times New Roman" w:eastAsia="Times New Roman" w:cs="Times New Roman"/>
          <w:spacing w:val="4"/>
          <w:position w:val="2"/>
          <w:sz w:val="20"/>
          <w:szCs w:val="20"/>
        </w:rPr>
        <w:t>)</w:t>
      </w:r>
      <w:r>
        <w:rPr>
          <w:rFonts w:ascii="宋体" w:hAnsi="宋体" w:eastAsia="宋体" w:cs="宋体"/>
          <w:spacing w:val="4"/>
          <w:position w:val="2"/>
          <w:sz w:val="20"/>
          <w:szCs w:val="20"/>
        </w:rPr>
        <w:t>；</w:t>
      </w:r>
    </w:p>
    <w:p>
      <w:pPr>
        <w:spacing w:before="117" w:line="381" w:lineRule="auto"/>
        <w:ind w:left="9" w:right="54" w:firstLine="406"/>
        <w:rPr>
          <w:rFonts w:ascii="宋体" w:hAnsi="宋体" w:eastAsia="宋体" w:cs="宋体"/>
          <w:sz w:val="20"/>
          <w:szCs w:val="20"/>
        </w:rPr>
      </w:pPr>
      <w:r>
        <w:rPr>
          <w:rFonts w:ascii="Times New Roman" w:hAnsi="Times New Roman" w:eastAsia="Times New Roman" w:cs="Times New Roman"/>
          <w:sz w:val="20"/>
          <w:szCs w:val="20"/>
        </w:rPr>
        <w:t>L</w:t>
      </w:r>
      <w:r>
        <w:rPr>
          <w:rFonts w:ascii="Times New Roman" w:hAnsi="Times New Roman" w:eastAsia="Times New Roman" w:cs="Times New Roman"/>
          <w:position w:val="-1"/>
          <w:sz w:val="13"/>
          <w:szCs w:val="13"/>
        </w:rPr>
        <w:t>eq</w:t>
      </w:r>
      <w:r>
        <w:rPr>
          <w:rFonts w:ascii="Times New Roman" w:hAnsi="Times New Roman" w:eastAsia="Times New Roman" w:cs="Times New Roman"/>
          <w:spacing w:val="10"/>
          <w:sz w:val="20"/>
          <w:szCs w:val="20"/>
        </w:rPr>
        <w:t>(</w:t>
      </w:r>
      <w:r>
        <w:rPr>
          <w:rFonts w:ascii="Times New Roman" w:hAnsi="Times New Roman" w:eastAsia="Times New Roman" w:cs="Times New Roman"/>
          <w:i/>
          <w:iCs/>
          <w:sz w:val="20"/>
          <w:szCs w:val="20"/>
        </w:rPr>
        <w:t>h</w:t>
      </w:r>
      <w:r>
        <w:rPr>
          <w:rFonts w:ascii="Times New Roman" w:hAnsi="Times New Roman" w:eastAsia="Times New Roman" w:cs="Times New Roman"/>
          <w:spacing w:val="8"/>
          <w:sz w:val="20"/>
          <w:szCs w:val="20"/>
        </w:rPr>
        <w:t>)</w:t>
      </w:r>
      <w:r>
        <w:rPr>
          <w:rFonts w:ascii="宋体" w:hAnsi="宋体" w:eastAsia="宋体" w:cs="宋体"/>
          <w:spacing w:val="8"/>
          <w:sz w:val="20"/>
          <w:szCs w:val="20"/>
        </w:rPr>
        <w:t>大 、</w:t>
      </w:r>
      <w:r>
        <w:rPr>
          <w:rFonts w:ascii="Times New Roman" w:hAnsi="Times New Roman" w:eastAsia="Times New Roman" w:cs="Times New Roman"/>
          <w:sz w:val="20"/>
          <w:szCs w:val="20"/>
        </w:rPr>
        <w:t>L</w:t>
      </w:r>
      <w:r>
        <w:rPr>
          <w:rFonts w:ascii="Times New Roman" w:hAnsi="Times New Roman" w:eastAsia="Times New Roman" w:cs="Times New Roman"/>
          <w:position w:val="-1"/>
          <w:sz w:val="13"/>
          <w:szCs w:val="13"/>
        </w:rPr>
        <w:t>eq</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h</w:t>
      </w:r>
      <w:r>
        <w:rPr>
          <w:rFonts w:ascii="Times New Roman" w:hAnsi="Times New Roman" w:eastAsia="Times New Roman" w:cs="Times New Roman"/>
          <w:spacing w:val="8"/>
          <w:sz w:val="20"/>
          <w:szCs w:val="20"/>
        </w:rPr>
        <w:t>)</w:t>
      </w:r>
      <w:r>
        <w:rPr>
          <w:rFonts w:ascii="宋体" w:hAnsi="宋体" w:eastAsia="宋体" w:cs="宋体"/>
          <w:spacing w:val="8"/>
          <w:sz w:val="20"/>
          <w:szCs w:val="20"/>
        </w:rPr>
        <w:t>中、</w:t>
      </w:r>
      <w:r>
        <w:rPr>
          <w:rFonts w:ascii="Times New Roman" w:hAnsi="Times New Roman" w:eastAsia="Times New Roman" w:cs="Times New Roman"/>
          <w:sz w:val="20"/>
          <w:szCs w:val="20"/>
        </w:rPr>
        <w:t>L</w:t>
      </w:r>
      <w:r>
        <w:rPr>
          <w:rFonts w:ascii="Times New Roman" w:hAnsi="Times New Roman" w:eastAsia="Times New Roman" w:cs="Times New Roman"/>
          <w:position w:val="-1"/>
          <w:sz w:val="13"/>
          <w:szCs w:val="13"/>
        </w:rPr>
        <w:t>eq</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h</w:t>
      </w:r>
      <w:r>
        <w:rPr>
          <w:rFonts w:ascii="Times New Roman" w:hAnsi="Times New Roman" w:eastAsia="Times New Roman" w:cs="Times New Roman"/>
          <w:spacing w:val="8"/>
          <w:sz w:val="20"/>
          <w:szCs w:val="20"/>
        </w:rPr>
        <w:t>)</w:t>
      </w:r>
      <w:r>
        <w:rPr>
          <w:rFonts w:ascii="宋体" w:hAnsi="宋体" w:eastAsia="宋体" w:cs="宋体"/>
          <w:spacing w:val="8"/>
          <w:sz w:val="20"/>
          <w:szCs w:val="20"/>
        </w:rPr>
        <w:t>小</w:t>
      </w:r>
      <w:r>
        <w:rPr>
          <w:rFonts w:ascii="Times New Roman" w:hAnsi="Times New Roman" w:eastAsia="Times New Roman" w:cs="Times New Roman"/>
          <w:spacing w:val="8"/>
          <w:sz w:val="20"/>
          <w:szCs w:val="20"/>
        </w:rPr>
        <w:t>——</w:t>
      </w:r>
      <w:r>
        <w:rPr>
          <w:rFonts w:ascii="宋体" w:hAnsi="宋体" w:eastAsia="宋体" w:cs="宋体"/>
          <w:spacing w:val="8"/>
          <w:sz w:val="20"/>
          <w:szCs w:val="20"/>
        </w:rPr>
        <w:t>大、中、小型车的小时等效声级，</w:t>
      </w:r>
      <w:r>
        <w:rPr>
          <w:rFonts w:ascii="Times New Roman" w:hAnsi="Times New Roman" w:eastAsia="Times New Roman" w:cs="Times New Roman"/>
          <w:sz w:val="20"/>
          <w:szCs w:val="20"/>
        </w:rPr>
        <w:t>dB</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。如某个预测点受</w:t>
      </w:r>
      <w:r>
        <w:rPr>
          <w:rFonts w:ascii="宋体" w:hAnsi="宋体" w:eastAsia="宋体" w:cs="宋体"/>
          <w:sz w:val="20"/>
          <w:szCs w:val="20"/>
        </w:rPr>
        <w:t xml:space="preserve"> </w:t>
      </w:r>
      <w:r>
        <w:rPr>
          <w:rFonts w:ascii="宋体" w:hAnsi="宋体" w:eastAsia="宋体" w:cs="宋体"/>
          <w:spacing w:val="10"/>
          <w:sz w:val="20"/>
          <w:szCs w:val="20"/>
        </w:rPr>
        <w:t>多条线路交通噪声影响 (如高架桥周边预测点受桥上和桥下多条车道的影响，路边高层建筑预</w:t>
      </w:r>
      <w:r>
        <w:rPr>
          <w:rFonts w:ascii="宋体" w:hAnsi="宋体" w:eastAsia="宋体" w:cs="宋体"/>
          <w:spacing w:val="3"/>
          <w:sz w:val="20"/>
          <w:szCs w:val="20"/>
        </w:rPr>
        <w:t>测</w:t>
      </w:r>
      <w:r>
        <w:rPr>
          <w:rFonts w:ascii="宋体" w:hAnsi="宋体" w:eastAsia="宋体" w:cs="宋体"/>
          <w:sz w:val="20"/>
          <w:szCs w:val="20"/>
        </w:rPr>
        <w:t xml:space="preserve"> </w:t>
      </w:r>
      <w:r>
        <w:rPr>
          <w:rFonts w:ascii="宋体" w:hAnsi="宋体" w:eastAsia="宋体" w:cs="宋体"/>
          <w:spacing w:val="12"/>
          <w:sz w:val="20"/>
          <w:szCs w:val="20"/>
        </w:rPr>
        <w:t>点</w:t>
      </w:r>
      <w:r>
        <w:rPr>
          <w:rFonts w:ascii="宋体" w:hAnsi="宋体" w:eastAsia="宋体" w:cs="宋体"/>
          <w:spacing w:val="9"/>
          <w:sz w:val="20"/>
          <w:szCs w:val="20"/>
        </w:rPr>
        <w:t>受地面多条车道的影响) ，应分别计算每条道路对该预测点的声级后，经叠加后得到贡献值。</w:t>
      </w:r>
    </w:p>
    <w:p>
      <w:pPr>
        <w:spacing w:before="1" w:line="227" w:lineRule="auto"/>
        <w:ind w:left="429"/>
        <w:rPr>
          <w:rFonts w:ascii="宋体" w:hAnsi="宋体" w:eastAsia="宋体" w:cs="宋体"/>
          <w:sz w:val="20"/>
          <w:szCs w:val="20"/>
        </w:rPr>
      </w:pPr>
      <w:r>
        <w:rPr>
          <w:rFonts w:ascii="宋体" w:hAnsi="宋体" w:eastAsia="宋体" w:cs="宋体"/>
          <w:spacing w:val="19"/>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5"/>
          <w:sz w:val="20"/>
          <w:szCs w:val="20"/>
        </w:rPr>
        <w:t>3</w:t>
      </w:r>
      <w:r>
        <w:rPr>
          <w:rFonts w:ascii="宋体" w:hAnsi="宋体" w:eastAsia="宋体" w:cs="宋体"/>
          <w:spacing w:val="15"/>
          <w:sz w:val="20"/>
          <w:szCs w:val="20"/>
          <w14:textOutline w14:w="3795" w14:cap="sq" w14:cmpd="sng">
            <w14:solidFill>
              <w14:srgbClr w14:val="000000"/>
            </w14:solidFill>
            <w14:prstDash w14:val="solid"/>
            <w14:bevel/>
          </w14:textOutline>
        </w:rPr>
        <w:t>)</w:t>
      </w:r>
      <w:r>
        <w:rPr>
          <w:rFonts w:ascii="宋体" w:hAnsi="宋体" w:eastAsia="宋体" w:cs="宋体"/>
          <w:spacing w:val="15"/>
          <w:sz w:val="20"/>
          <w:szCs w:val="20"/>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修正量和衰减量的计算</w:t>
      </w:r>
    </w:p>
    <w:p>
      <w:pPr>
        <w:tabs>
          <w:tab w:val="left" w:pos="490"/>
        </w:tabs>
        <w:spacing w:before="154" w:line="400" w:lineRule="exact"/>
        <w:ind w:left="410"/>
        <w:rPr>
          <w:rFonts w:ascii="宋体" w:hAnsi="宋体" w:eastAsia="宋体" w:cs="宋体"/>
          <w:sz w:val="20"/>
          <w:szCs w:val="20"/>
        </w:rPr>
      </w:pPr>
      <w:r>
        <w:rPr>
          <w:rFonts w:ascii="宋体" w:hAnsi="宋体" w:eastAsia="宋体" w:cs="宋体"/>
          <w:position w:val="14"/>
          <w:sz w:val="17"/>
          <w:szCs w:val="17"/>
        </w:rPr>
        <w:tab/>
      </w:r>
      <w:r>
        <w:rPr>
          <w:rFonts w:ascii="宋体" w:hAnsi="宋体" w:eastAsia="宋体" w:cs="宋体"/>
          <w:spacing w:val="8"/>
          <w:position w:val="14"/>
          <w:sz w:val="17"/>
          <w:szCs w:val="17"/>
        </w:rPr>
        <w:t>1</w:t>
      </w:r>
      <w:r>
        <w:rPr>
          <w:rFonts w:ascii="宋体" w:hAnsi="宋体" w:eastAsia="宋体" w:cs="宋体"/>
          <w:spacing w:val="6"/>
          <w:position w:val="14"/>
          <w:sz w:val="17"/>
          <w:szCs w:val="17"/>
        </w:rPr>
        <w:t xml:space="preserve">   </w:t>
      </w:r>
      <w:r>
        <w:rPr>
          <w:rFonts w:ascii="宋体" w:hAnsi="宋体" w:eastAsia="宋体" w:cs="宋体"/>
          <w:spacing w:val="6"/>
          <w:position w:val="14"/>
          <w:sz w:val="20"/>
          <w:szCs w:val="20"/>
        </w:rPr>
        <w:t>线路因素引起的修正量 (</w:t>
      </w:r>
      <w:r>
        <w:rPr>
          <w:rFonts w:ascii="Times New Roman" w:hAnsi="Times New Roman" w:eastAsia="Times New Roman" w:cs="Times New Roman"/>
          <w:spacing w:val="6"/>
          <w:position w:val="14"/>
          <w:sz w:val="20"/>
          <w:szCs w:val="20"/>
        </w:rPr>
        <w:t>Δ</w:t>
      </w:r>
      <w:r>
        <w:rPr>
          <w:rFonts w:ascii="Times New Roman" w:hAnsi="Times New Roman" w:eastAsia="Times New Roman" w:cs="Times New Roman"/>
          <w:position w:val="14"/>
          <w:sz w:val="20"/>
          <w:szCs w:val="20"/>
        </w:rPr>
        <w:t>L</w:t>
      </w:r>
      <w:r>
        <w:rPr>
          <w:rFonts w:ascii="Times New Roman" w:hAnsi="Times New Roman" w:eastAsia="Times New Roman" w:cs="Times New Roman"/>
          <w:spacing w:val="6"/>
          <w:position w:val="13"/>
          <w:sz w:val="13"/>
          <w:szCs w:val="13"/>
        </w:rPr>
        <w:t xml:space="preserve">1 </w:t>
      </w:r>
      <w:r>
        <w:rPr>
          <w:rFonts w:ascii="宋体" w:hAnsi="宋体" w:eastAsia="宋体" w:cs="宋体"/>
          <w:spacing w:val="6"/>
          <w:position w:val="14"/>
          <w:sz w:val="20"/>
          <w:szCs w:val="20"/>
        </w:rPr>
        <w:t>)</w:t>
      </w:r>
    </w:p>
    <w:p>
      <w:pPr>
        <w:spacing w:before="1" w:line="232" w:lineRule="auto"/>
        <w:ind w:left="418"/>
        <w:rPr>
          <w:rFonts w:ascii="宋体" w:hAnsi="宋体" w:eastAsia="宋体" w:cs="宋体"/>
          <w:sz w:val="20"/>
          <w:szCs w:val="20"/>
        </w:rPr>
      </w:pPr>
      <w:r>
        <w:rPr>
          <w:rFonts w:ascii="Times New Roman" w:hAnsi="Times New Roman" w:eastAsia="Times New Roman" w:cs="Times New Roman"/>
          <w:sz w:val="20"/>
          <w:szCs w:val="20"/>
        </w:rPr>
        <w:t>a</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纵坡修正量 (</w:t>
      </w:r>
      <w:r>
        <w:rPr>
          <w:rFonts w:ascii="Times New Roman" w:hAnsi="Times New Roman" w:eastAsia="Times New Roman" w:cs="Times New Roman"/>
          <w:spacing w:val="3"/>
          <w:sz w:val="20"/>
          <w:szCs w:val="20"/>
        </w:rPr>
        <w:t>Δ</w:t>
      </w:r>
      <w:r>
        <w:rPr>
          <w:rFonts w:ascii="Times New Roman" w:hAnsi="Times New Roman" w:eastAsia="Times New Roman" w:cs="Times New Roman"/>
          <w:sz w:val="20"/>
          <w:szCs w:val="20"/>
        </w:rPr>
        <w:t>L</w:t>
      </w:r>
      <w:r>
        <w:rPr>
          <w:rFonts w:ascii="宋体" w:hAnsi="宋体" w:eastAsia="宋体" w:cs="宋体"/>
          <w:spacing w:val="3"/>
          <w:position w:val="-2"/>
          <w:sz w:val="10"/>
          <w:szCs w:val="10"/>
        </w:rPr>
        <w:t>坡度</w:t>
      </w:r>
      <w:r>
        <w:rPr>
          <w:rFonts w:ascii="宋体" w:hAnsi="宋体" w:eastAsia="宋体" w:cs="宋体"/>
          <w:spacing w:val="1"/>
          <w:sz w:val="20"/>
          <w:szCs w:val="20"/>
        </w:rPr>
        <w:t>)</w:t>
      </w:r>
    </w:p>
    <w:p>
      <w:pPr>
        <w:spacing w:before="147" w:line="225" w:lineRule="auto"/>
        <w:ind w:left="426"/>
        <w:rPr>
          <w:rFonts w:ascii="宋体" w:hAnsi="宋体" w:eastAsia="宋体" w:cs="宋体"/>
          <w:sz w:val="20"/>
          <w:szCs w:val="20"/>
        </w:rPr>
      </w:pPr>
      <w:r>
        <w:rPr>
          <w:rFonts w:ascii="宋体" w:hAnsi="宋体" w:eastAsia="宋体" w:cs="宋体"/>
          <w:spacing w:val="14"/>
          <w:sz w:val="20"/>
          <w:szCs w:val="20"/>
        </w:rPr>
        <w:t>公</w:t>
      </w:r>
      <w:r>
        <w:rPr>
          <w:rFonts w:ascii="宋体" w:hAnsi="宋体" w:eastAsia="宋体" w:cs="宋体"/>
          <w:spacing w:val="9"/>
          <w:sz w:val="20"/>
          <w:szCs w:val="20"/>
        </w:rPr>
        <w:t>路</w:t>
      </w:r>
      <w:r>
        <w:rPr>
          <w:rFonts w:ascii="宋体" w:hAnsi="宋体" w:eastAsia="宋体" w:cs="宋体"/>
          <w:spacing w:val="7"/>
          <w:sz w:val="20"/>
          <w:szCs w:val="20"/>
        </w:rPr>
        <w:t>纵坡修正量 (</w:t>
      </w:r>
      <w:r>
        <w:rPr>
          <w:rFonts w:ascii="Times New Roman" w:hAnsi="Times New Roman" w:eastAsia="Times New Roman" w:cs="Times New Roman"/>
          <w:spacing w:val="7"/>
          <w:sz w:val="20"/>
          <w:szCs w:val="20"/>
        </w:rPr>
        <w:t>Δ</w:t>
      </w:r>
      <w:r>
        <w:rPr>
          <w:rFonts w:ascii="Times New Roman" w:hAnsi="Times New Roman" w:eastAsia="Times New Roman" w:cs="Times New Roman"/>
          <w:sz w:val="20"/>
          <w:szCs w:val="20"/>
        </w:rPr>
        <w:t>L</w:t>
      </w:r>
      <w:r>
        <w:rPr>
          <w:rFonts w:ascii="宋体" w:hAnsi="宋体" w:eastAsia="宋体" w:cs="宋体"/>
          <w:spacing w:val="7"/>
          <w:position w:val="-3"/>
          <w:sz w:val="10"/>
          <w:szCs w:val="10"/>
        </w:rPr>
        <w:t>坡度</w:t>
      </w:r>
      <w:r>
        <w:rPr>
          <w:rFonts w:ascii="宋体" w:hAnsi="宋体" w:eastAsia="宋体" w:cs="宋体"/>
          <w:spacing w:val="7"/>
          <w:sz w:val="20"/>
          <w:szCs w:val="20"/>
        </w:rPr>
        <w:t>) 可按下式计算：</w:t>
      </w:r>
    </w:p>
    <w:p>
      <w:pPr>
        <w:spacing w:before="15" w:line="1046" w:lineRule="exact"/>
        <w:ind w:firstLine="2924"/>
        <w:textAlignment w:val="center"/>
      </w:pPr>
      <w:r>
        <w:drawing>
          <wp:inline distT="0" distB="0" distL="0" distR="0">
            <wp:extent cx="1884680" cy="664210"/>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270"/>
                    <a:stretch>
                      <a:fillRect/>
                    </a:stretch>
                  </pic:blipFill>
                  <pic:spPr>
                    <a:xfrm>
                      <a:off x="0" y="0"/>
                      <a:ext cx="1885187" cy="664464"/>
                    </a:xfrm>
                    <a:prstGeom prst="rect">
                      <a:avLst/>
                    </a:prstGeom>
                  </pic:spPr>
                </pic:pic>
              </a:graphicData>
            </a:graphic>
          </wp:inline>
        </w:drawing>
      </w:r>
    </w:p>
    <w:p>
      <w:pPr>
        <w:spacing w:before="151" w:line="234" w:lineRule="auto"/>
        <w:ind w:left="423"/>
        <w:rPr>
          <w:rFonts w:ascii="宋体" w:hAnsi="宋体" w:eastAsia="宋体" w:cs="宋体"/>
          <w:sz w:val="20"/>
          <w:szCs w:val="20"/>
        </w:rPr>
      </w:pPr>
      <w:r>
        <w:rPr>
          <w:rFonts w:ascii="宋体" w:hAnsi="宋体" w:eastAsia="宋体" w:cs="宋体"/>
          <w:spacing w:val="8"/>
          <w:sz w:val="20"/>
          <w:szCs w:val="20"/>
        </w:rPr>
        <w:t>式中：</w:t>
      </w:r>
      <w:r>
        <w:rPr>
          <w:rFonts w:ascii="Times New Roman" w:hAnsi="Times New Roman" w:eastAsia="Times New Roman" w:cs="Times New Roman"/>
          <w:spacing w:val="8"/>
          <w:sz w:val="20"/>
          <w:szCs w:val="20"/>
        </w:rPr>
        <w:t>Δ</w:t>
      </w:r>
      <w:r>
        <w:rPr>
          <w:rFonts w:ascii="Times New Roman" w:hAnsi="Times New Roman" w:eastAsia="Times New Roman" w:cs="Times New Roman"/>
          <w:sz w:val="20"/>
          <w:szCs w:val="20"/>
        </w:rPr>
        <w:t>L</w:t>
      </w:r>
      <w:r>
        <w:rPr>
          <w:rFonts w:ascii="宋体" w:hAnsi="宋体" w:eastAsia="宋体" w:cs="宋体"/>
          <w:spacing w:val="8"/>
          <w:position w:val="-2"/>
          <w:sz w:val="10"/>
          <w:szCs w:val="10"/>
        </w:rPr>
        <w:t>坡度</w:t>
      </w:r>
      <w:r>
        <w:rPr>
          <w:rFonts w:ascii="Times New Roman" w:hAnsi="Times New Roman" w:eastAsia="Times New Roman" w:cs="Times New Roman"/>
          <w:spacing w:val="8"/>
          <w:sz w:val="20"/>
          <w:szCs w:val="20"/>
        </w:rPr>
        <w:t>——</w:t>
      </w:r>
      <w:r>
        <w:rPr>
          <w:rFonts w:ascii="宋体" w:hAnsi="宋体" w:eastAsia="宋体" w:cs="宋体"/>
          <w:spacing w:val="8"/>
          <w:sz w:val="20"/>
          <w:szCs w:val="20"/>
        </w:rPr>
        <w:t>公路纵坡修正量</w:t>
      </w:r>
      <w:r>
        <w:rPr>
          <w:rFonts w:ascii="宋体" w:hAnsi="宋体" w:eastAsia="宋体" w:cs="宋体"/>
          <w:spacing w:val="7"/>
          <w:sz w:val="20"/>
          <w:szCs w:val="20"/>
        </w:rPr>
        <w:t>；</w:t>
      </w:r>
    </w:p>
    <w:p>
      <w:pPr>
        <w:sectPr>
          <w:footerReference r:id="rId124" w:type="default"/>
          <w:pgSz w:w="11906" w:h="16839"/>
          <w:pgMar w:top="400" w:right="1478" w:bottom="1027" w:left="1539" w:header="0" w:footer="840" w:gutter="0"/>
          <w:cols w:space="720" w:num="1"/>
        </w:sect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65" w:line="399" w:lineRule="exact"/>
        <w:ind w:left="1051"/>
        <w:rPr>
          <w:rFonts w:ascii="宋体" w:hAnsi="宋体" w:eastAsia="宋体" w:cs="宋体"/>
          <w:sz w:val="20"/>
          <w:szCs w:val="20"/>
        </w:rPr>
      </w:pPr>
      <w:r>
        <w:rPr>
          <w:rFonts w:ascii="Times New Roman" w:hAnsi="Times New Roman" w:eastAsia="Times New Roman" w:cs="Times New Roman"/>
          <w:spacing w:val="14"/>
          <w:position w:val="12"/>
          <w:sz w:val="20"/>
          <w:szCs w:val="20"/>
        </w:rPr>
        <w:t>β</w:t>
      </w:r>
      <w:r>
        <w:rPr>
          <w:rFonts w:ascii="Times New Roman" w:hAnsi="Times New Roman" w:eastAsia="Times New Roman" w:cs="Times New Roman"/>
          <w:spacing w:val="7"/>
          <w:position w:val="12"/>
          <w:sz w:val="20"/>
          <w:szCs w:val="20"/>
        </w:rPr>
        <w:t>——</w:t>
      </w:r>
      <w:r>
        <w:rPr>
          <w:rFonts w:ascii="宋体" w:hAnsi="宋体" w:eastAsia="宋体" w:cs="宋体"/>
          <w:spacing w:val="7"/>
          <w:position w:val="12"/>
          <w:sz w:val="20"/>
          <w:szCs w:val="20"/>
        </w:rPr>
        <w:t>公路纵坡坡度，</w:t>
      </w:r>
      <w:r>
        <w:rPr>
          <w:rFonts w:ascii="Times New Roman" w:hAnsi="Times New Roman" w:eastAsia="Times New Roman" w:cs="Times New Roman"/>
          <w:spacing w:val="7"/>
          <w:position w:val="12"/>
          <w:sz w:val="20"/>
          <w:szCs w:val="20"/>
        </w:rPr>
        <w:t>%</w:t>
      </w:r>
      <w:r>
        <w:rPr>
          <w:rFonts w:ascii="宋体" w:hAnsi="宋体" w:eastAsia="宋体" w:cs="宋体"/>
          <w:spacing w:val="7"/>
          <w:position w:val="12"/>
          <w:sz w:val="20"/>
          <w:szCs w:val="20"/>
        </w:rPr>
        <w:t>。</w:t>
      </w:r>
    </w:p>
    <w:p>
      <w:pPr>
        <w:spacing w:line="281" w:lineRule="exact"/>
        <w:ind w:left="410"/>
        <w:rPr>
          <w:rFonts w:ascii="宋体" w:hAnsi="宋体" w:eastAsia="宋体" w:cs="宋体"/>
          <w:sz w:val="20"/>
          <w:szCs w:val="20"/>
        </w:rPr>
      </w:pPr>
      <w:r>
        <w:rPr>
          <w:rFonts w:ascii="Times New Roman" w:hAnsi="Times New Roman" w:eastAsia="Times New Roman" w:cs="Times New Roman"/>
          <w:position w:val="2"/>
          <w:sz w:val="20"/>
          <w:szCs w:val="20"/>
        </w:rPr>
        <w:t>b</w:t>
      </w:r>
      <w:r>
        <w:rPr>
          <w:rFonts w:ascii="宋体" w:hAnsi="宋体" w:eastAsia="宋体" w:cs="宋体"/>
          <w:spacing w:val="14"/>
          <w:position w:val="2"/>
          <w:sz w:val="20"/>
          <w:szCs w:val="20"/>
        </w:rPr>
        <w:t>)</w:t>
      </w:r>
      <w:r>
        <w:rPr>
          <w:rFonts w:ascii="宋体" w:hAnsi="宋体" w:eastAsia="宋体" w:cs="宋体"/>
          <w:spacing w:val="8"/>
          <w:position w:val="2"/>
          <w:sz w:val="20"/>
          <w:szCs w:val="20"/>
        </w:rPr>
        <w:t xml:space="preserve"> </w:t>
      </w:r>
      <w:r>
        <w:rPr>
          <w:rFonts w:ascii="宋体" w:hAnsi="宋体" w:eastAsia="宋体" w:cs="宋体"/>
          <w:spacing w:val="7"/>
          <w:position w:val="2"/>
          <w:sz w:val="20"/>
          <w:szCs w:val="20"/>
        </w:rPr>
        <w:t>路面修正量 (</w:t>
      </w:r>
      <w:r>
        <w:rPr>
          <w:rFonts w:ascii="Times New Roman" w:hAnsi="Times New Roman" w:eastAsia="Times New Roman" w:cs="Times New Roman"/>
          <w:spacing w:val="7"/>
          <w:position w:val="2"/>
          <w:sz w:val="20"/>
          <w:szCs w:val="20"/>
        </w:rPr>
        <w:t>Δ</w:t>
      </w:r>
      <w:r>
        <w:rPr>
          <w:rFonts w:ascii="Times New Roman" w:hAnsi="Times New Roman" w:eastAsia="Times New Roman" w:cs="Times New Roman"/>
          <w:position w:val="2"/>
          <w:sz w:val="20"/>
          <w:szCs w:val="20"/>
        </w:rPr>
        <w:t>L</w:t>
      </w:r>
      <w:r>
        <w:rPr>
          <w:rFonts w:ascii="宋体" w:hAnsi="宋体" w:eastAsia="宋体" w:cs="宋体"/>
          <w:spacing w:val="7"/>
          <w:sz w:val="10"/>
          <w:szCs w:val="10"/>
        </w:rPr>
        <w:t>路面</w:t>
      </w:r>
      <w:r>
        <w:rPr>
          <w:rFonts w:ascii="宋体" w:hAnsi="宋体" w:eastAsia="宋体" w:cs="宋体"/>
          <w:spacing w:val="7"/>
          <w:position w:val="2"/>
          <w:sz w:val="20"/>
          <w:szCs w:val="20"/>
        </w:rPr>
        <w:t>)</w:t>
      </w:r>
    </w:p>
    <w:p>
      <w:pPr>
        <w:spacing w:before="156" w:line="228" w:lineRule="auto"/>
        <w:ind w:left="422"/>
        <w:rPr>
          <w:rFonts w:ascii="宋体" w:hAnsi="宋体" w:eastAsia="宋体" w:cs="宋体"/>
          <w:sz w:val="20"/>
          <w:szCs w:val="20"/>
        </w:rPr>
      </w:pPr>
      <w:r>
        <w:rPr>
          <w:rFonts w:ascii="宋体" w:hAnsi="宋体" w:eastAsia="宋体" w:cs="宋体"/>
          <w:spacing w:val="13"/>
          <w:sz w:val="20"/>
          <w:szCs w:val="20"/>
        </w:rPr>
        <w:t>不</w:t>
      </w:r>
      <w:r>
        <w:rPr>
          <w:rFonts w:ascii="宋体" w:hAnsi="宋体" w:eastAsia="宋体" w:cs="宋体"/>
          <w:spacing w:val="8"/>
          <w:sz w:val="20"/>
          <w:szCs w:val="20"/>
        </w:rPr>
        <w:t>同路面的噪声修正量见下表。</w:t>
      </w:r>
    </w:p>
    <w:p>
      <w:pPr>
        <w:spacing w:before="100" w:line="226" w:lineRule="auto"/>
        <w:ind w:left="3222"/>
        <w:rPr>
          <w:rFonts w:ascii="黑体" w:hAnsi="黑体" w:eastAsia="黑体" w:cs="黑体"/>
          <w:sz w:val="19"/>
          <w:szCs w:val="19"/>
        </w:rPr>
      </w:pPr>
      <w:r>
        <w:rPr>
          <w:rFonts w:ascii="黑体" w:hAnsi="黑体" w:eastAsia="黑体" w:cs="黑体"/>
          <w:spacing w:val="12"/>
          <w:sz w:val="19"/>
          <w:szCs w:val="19"/>
        </w:rPr>
        <w:t>表</w:t>
      </w:r>
      <w:r>
        <w:rPr>
          <w:rFonts w:ascii="Times New Roman" w:hAnsi="Times New Roman" w:eastAsia="Times New Roman" w:cs="Times New Roman"/>
          <w:spacing w:val="12"/>
          <w:sz w:val="19"/>
          <w:szCs w:val="19"/>
        </w:rPr>
        <w:t>1</w:t>
      </w:r>
      <w:r>
        <w:rPr>
          <w:rFonts w:ascii="Times New Roman" w:hAnsi="Times New Roman" w:eastAsia="Times New Roman" w:cs="Times New Roman"/>
          <w:spacing w:val="6"/>
          <w:sz w:val="19"/>
          <w:szCs w:val="19"/>
        </w:rPr>
        <w:t xml:space="preserve">6    </w:t>
      </w:r>
      <w:r>
        <w:rPr>
          <w:rFonts w:ascii="黑体" w:hAnsi="黑体" w:eastAsia="黑体" w:cs="黑体"/>
          <w:spacing w:val="6"/>
          <w:sz w:val="19"/>
          <w:szCs w:val="19"/>
        </w:rPr>
        <w:t>常见路面噪声修正量</w:t>
      </w:r>
    </w:p>
    <w:tbl>
      <w:tblPr>
        <w:tblStyle w:val="4"/>
        <w:tblW w:w="8643" w:type="dxa"/>
        <w:tblInd w:w="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08"/>
        <w:gridCol w:w="1499"/>
        <w:gridCol w:w="1581"/>
        <w:gridCol w:w="18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708" w:type="dxa"/>
            <w:vMerge w:val="restart"/>
            <w:tcBorders>
              <w:bottom w:val="nil"/>
            </w:tcBorders>
            <w:vAlign w:val="top"/>
          </w:tcPr>
          <w:p>
            <w:pPr>
              <w:spacing w:before="210" w:line="230" w:lineRule="auto"/>
              <w:ind w:left="1483"/>
              <w:rPr>
                <w:rFonts w:ascii="宋体" w:hAnsi="宋体" w:eastAsia="宋体" w:cs="宋体"/>
                <w:sz w:val="17"/>
                <w:szCs w:val="17"/>
              </w:rPr>
            </w:pPr>
            <w:r>
              <w:rPr>
                <w:rFonts w:ascii="宋体" w:hAnsi="宋体" w:eastAsia="宋体" w:cs="宋体"/>
                <w:spacing w:val="15"/>
                <w:sz w:val="17"/>
                <w:szCs w:val="17"/>
                <w14:textOutline w14:w="3268" w14:cap="sq" w14:cmpd="sng">
                  <w14:solidFill>
                    <w14:srgbClr w14:val="000000"/>
                  </w14:solidFill>
                  <w14:prstDash w14:val="solid"/>
                  <w14:bevel/>
                </w14:textOutline>
              </w:rPr>
              <w:t>路</w:t>
            </w:r>
            <w:r>
              <w:rPr>
                <w:rFonts w:ascii="宋体" w:hAnsi="宋体" w:eastAsia="宋体" w:cs="宋体"/>
                <w:spacing w:val="14"/>
                <w:sz w:val="17"/>
                <w:szCs w:val="17"/>
                <w14:textOutline w14:w="3268" w14:cap="sq" w14:cmpd="sng">
                  <w14:solidFill>
                    <w14:srgbClr w14:val="000000"/>
                  </w14:solidFill>
                  <w14:prstDash w14:val="solid"/>
                  <w14:bevel/>
                </w14:textOutline>
              </w:rPr>
              <w:t>面类型</w:t>
            </w:r>
          </w:p>
        </w:tc>
        <w:tc>
          <w:tcPr>
            <w:tcW w:w="4935" w:type="dxa"/>
            <w:gridSpan w:val="3"/>
            <w:vAlign w:val="top"/>
          </w:tcPr>
          <w:p>
            <w:pPr>
              <w:spacing w:before="33" w:line="249" w:lineRule="exact"/>
              <w:ind w:left="1201"/>
              <w:rPr>
                <w:rFonts w:ascii="宋体" w:hAnsi="宋体" w:eastAsia="宋体" w:cs="宋体"/>
                <w:sz w:val="17"/>
                <w:szCs w:val="17"/>
              </w:rPr>
            </w:pPr>
            <w:r>
              <w:rPr>
                <w:rFonts w:ascii="宋体" w:hAnsi="宋体" w:eastAsia="宋体" w:cs="宋体"/>
                <w:spacing w:val="19"/>
                <w:position w:val="1"/>
                <w:sz w:val="17"/>
                <w:szCs w:val="17"/>
                <w14:textOutline w14:w="3268" w14:cap="sq" w14:cmpd="sng">
                  <w14:solidFill>
                    <w14:srgbClr w14:val="000000"/>
                  </w14:solidFill>
                  <w14:prstDash w14:val="solid"/>
                  <w14:bevel/>
                </w14:textOutline>
              </w:rPr>
              <w:t>不</w:t>
            </w:r>
            <w:r>
              <w:rPr>
                <w:rFonts w:ascii="宋体" w:hAnsi="宋体" w:eastAsia="宋体" w:cs="宋体"/>
                <w:spacing w:val="14"/>
                <w:position w:val="1"/>
                <w:sz w:val="17"/>
                <w:szCs w:val="17"/>
                <w14:textOutline w14:w="3268" w14:cap="sq" w14:cmpd="sng">
                  <w14:solidFill>
                    <w14:srgbClr w14:val="000000"/>
                  </w14:solidFill>
                  <w14:prstDash w14:val="solid"/>
                  <w14:bevel/>
                </w14:textOutline>
              </w:rPr>
              <w:t>同行驶速度修正量</w:t>
            </w:r>
            <w:r>
              <w:rPr>
                <w:rFonts w:ascii="Times New Roman" w:hAnsi="Times New Roman" w:eastAsia="Times New Roman" w:cs="Times New Roman"/>
                <w:b/>
                <w:bCs/>
                <w:spacing w:val="14"/>
                <w:position w:val="1"/>
                <w:sz w:val="17"/>
                <w:szCs w:val="17"/>
              </w:rPr>
              <w:t>/</w:t>
            </w:r>
            <w:r>
              <w:rPr>
                <w:rFonts w:ascii="Times New Roman" w:hAnsi="Times New Roman" w:eastAsia="Times New Roman" w:cs="Times New Roman"/>
                <w:spacing w:val="14"/>
                <w:position w:val="1"/>
                <w:sz w:val="17"/>
                <w:szCs w:val="17"/>
              </w:rPr>
              <w:t xml:space="preserve">  </w:t>
            </w:r>
            <w:r>
              <w:rPr>
                <w:rFonts w:ascii="宋体" w:hAnsi="宋体" w:eastAsia="宋体" w:cs="宋体"/>
                <w:spacing w:val="14"/>
                <w:position w:val="1"/>
                <w:sz w:val="17"/>
                <w:szCs w:val="17"/>
                <w14:textOutline w14:w="3268" w14:cap="sq" w14:cmpd="sng">
                  <w14:solidFill>
                    <w14:srgbClr w14:val="000000"/>
                  </w14:solidFill>
                  <w14:prstDash w14:val="solid"/>
                  <w14:bevel/>
                </w14:textOutline>
              </w:rPr>
              <w:t>(</w:t>
            </w:r>
            <w:r>
              <w:rPr>
                <w:rFonts w:ascii="Times New Roman" w:hAnsi="Times New Roman" w:eastAsia="Times New Roman" w:cs="Times New Roman"/>
                <w:b/>
                <w:bCs/>
                <w:position w:val="1"/>
                <w:sz w:val="17"/>
                <w:szCs w:val="17"/>
              </w:rPr>
              <w:t>km</w:t>
            </w:r>
            <w:r>
              <w:rPr>
                <w:rFonts w:ascii="Times New Roman" w:hAnsi="Times New Roman" w:eastAsia="Times New Roman" w:cs="Times New Roman"/>
                <w:b/>
                <w:bCs/>
                <w:spacing w:val="14"/>
                <w:position w:val="1"/>
                <w:sz w:val="17"/>
                <w:szCs w:val="17"/>
              </w:rPr>
              <w:t>/</w:t>
            </w:r>
            <w:r>
              <w:rPr>
                <w:rFonts w:ascii="Times New Roman" w:hAnsi="Times New Roman" w:eastAsia="Times New Roman" w:cs="Times New Roman"/>
                <w:b/>
                <w:bCs/>
                <w:position w:val="1"/>
                <w:sz w:val="17"/>
                <w:szCs w:val="17"/>
              </w:rPr>
              <w:t>k</w:t>
            </w:r>
            <w:r>
              <w:rPr>
                <w:rFonts w:ascii="宋体" w:hAnsi="宋体" w:eastAsia="宋体" w:cs="宋体"/>
                <w:spacing w:val="14"/>
                <w:position w:val="1"/>
                <w:sz w:val="17"/>
                <w:szCs w:val="17"/>
                <w14:textOutline w14:w="3268"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9" w:hRule="atLeast"/>
        </w:trPr>
        <w:tc>
          <w:tcPr>
            <w:tcW w:w="3708" w:type="dxa"/>
            <w:vMerge w:val="continue"/>
            <w:tcBorders>
              <w:top w:val="nil"/>
            </w:tcBorders>
            <w:vAlign w:val="top"/>
          </w:tcPr>
          <w:p>
            <w:pPr>
              <w:rPr>
                <w:rFonts w:ascii="Arial"/>
                <w:sz w:val="21"/>
              </w:rPr>
            </w:pPr>
          </w:p>
        </w:tc>
        <w:tc>
          <w:tcPr>
            <w:tcW w:w="1499" w:type="dxa"/>
            <w:vAlign w:val="top"/>
          </w:tcPr>
          <w:p>
            <w:pPr>
              <w:spacing w:before="81" w:line="197" w:lineRule="auto"/>
              <w:ind w:left="656"/>
              <w:rPr>
                <w:rFonts w:ascii="Times New Roman" w:hAnsi="Times New Roman" w:eastAsia="Times New Roman" w:cs="Times New Roman"/>
                <w:sz w:val="17"/>
                <w:szCs w:val="17"/>
              </w:rPr>
            </w:pPr>
            <w:r>
              <w:rPr>
                <w:rFonts w:ascii="Times New Roman" w:hAnsi="Times New Roman" w:eastAsia="Times New Roman" w:cs="Times New Roman"/>
                <w:b/>
                <w:bCs/>
                <w:spacing w:val="5"/>
                <w:sz w:val="17"/>
                <w:szCs w:val="17"/>
              </w:rPr>
              <w:t>30</w:t>
            </w:r>
          </w:p>
        </w:tc>
        <w:tc>
          <w:tcPr>
            <w:tcW w:w="1581" w:type="dxa"/>
            <w:vAlign w:val="top"/>
          </w:tcPr>
          <w:p>
            <w:pPr>
              <w:spacing w:before="81" w:line="197" w:lineRule="auto"/>
              <w:ind w:left="700"/>
              <w:rPr>
                <w:rFonts w:ascii="Times New Roman" w:hAnsi="Times New Roman" w:eastAsia="Times New Roman" w:cs="Times New Roman"/>
                <w:sz w:val="17"/>
                <w:szCs w:val="17"/>
              </w:rPr>
            </w:pPr>
            <w:r>
              <w:rPr>
                <w:rFonts w:ascii="Times New Roman" w:hAnsi="Times New Roman" w:eastAsia="Times New Roman" w:cs="Times New Roman"/>
                <w:b/>
                <w:bCs/>
                <w:spacing w:val="5"/>
                <w:sz w:val="17"/>
                <w:szCs w:val="17"/>
              </w:rPr>
              <w:t>4</w:t>
            </w:r>
            <w:r>
              <w:rPr>
                <w:rFonts w:ascii="Times New Roman" w:hAnsi="Times New Roman" w:eastAsia="Times New Roman" w:cs="Times New Roman"/>
                <w:b/>
                <w:bCs/>
                <w:spacing w:val="4"/>
                <w:sz w:val="17"/>
                <w:szCs w:val="17"/>
              </w:rPr>
              <w:t>0</w:t>
            </w:r>
          </w:p>
        </w:tc>
        <w:tc>
          <w:tcPr>
            <w:tcW w:w="1855" w:type="dxa"/>
            <w:vAlign w:val="top"/>
          </w:tcPr>
          <w:p>
            <w:pPr>
              <w:spacing w:before="81" w:line="197" w:lineRule="auto"/>
              <w:ind w:left="836"/>
              <w:rPr>
                <w:rFonts w:ascii="Times New Roman" w:hAnsi="Times New Roman" w:eastAsia="Times New Roman" w:cs="Times New Roman"/>
                <w:sz w:val="17"/>
                <w:szCs w:val="17"/>
              </w:rPr>
            </w:pPr>
            <w:r>
              <w:rPr>
                <w:rFonts w:ascii="Times New Roman" w:hAnsi="Times New Roman" w:eastAsia="Times New Roman" w:cs="Times New Roman"/>
                <w:b/>
                <w:bCs/>
                <w:spacing w:val="4"/>
                <w:sz w:val="17"/>
                <w:szCs w:val="17"/>
              </w:rPr>
              <w:t>5</w:t>
            </w:r>
            <w:r>
              <w:rPr>
                <w:rFonts w:ascii="Times New Roman" w:hAnsi="Times New Roman" w:eastAsia="Times New Roman" w:cs="Times New Roman"/>
                <w:b/>
                <w:bCs/>
                <w:spacing w:val="3"/>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3708" w:type="dxa"/>
            <w:vAlign w:val="top"/>
          </w:tcPr>
          <w:p>
            <w:pPr>
              <w:spacing w:before="33" w:line="242" w:lineRule="exact"/>
              <w:ind w:left="934"/>
              <w:rPr>
                <w:rFonts w:ascii="Times New Roman" w:hAnsi="Times New Roman" w:eastAsia="Times New Roman" w:cs="Times New Roman"/>
                <w:sz w:val="17"/>
                <w:szCs w:val="17"/>
              </w:rPr>
            </w:pPr>
            <w:r>
              <w:rPr>
                <w:rFonts w:ascii="宋体" w:hAnsi="宋体" w:eastAsia="宋体" w:cs="宋体"/>
                <w:spacing w:val="18"/>
                <w:position w:val="2"/>
                <w:sz w:val="17"/>
                <w:szCs w:val="17"/>
              </w:rPr>
              <w:t>沥</w:t>
            </w:r>
            <w:r>
              <w:rPr>
                <w:rFonts w:ascii="宋体" w:hAnsi="宋体" w:eastAsia="宋体" w:cs="宋体"/>
                <w:spacing w:val="16"/>
                <w:position w:val="2"/>
                <w:sz w:val="17"/>
                <w:szCs w:val="17"/>
              </w:rPr>
              <w:t>青混凝土路面</w:t>
            </w:r>
            <w:r>
              <w:rPr>
                <w:rFonts w:ascii="Times New Roman" w:hAnsi="Times New Roman" w:eastAsia="Times New Roman" w:cs="Times New Roman"/>
                <w:spacing w:val="16"/>
                <w:position w:val="2"/>
                <w:sz w:val="17"/>
                <w:szCs w:val="17"/>
              </w:rPr>
              <w:t>/</w:t>
            </w:r>
            <w:r>
              <w:rPr>
                <w:rFonts w:ascii="Times New Roman" w:hAnsi="Times New Roman" w:eastAsia="Times New Roman" w:cs="Times New Roman"/>
                <w:position w:val="2"/>
                <w:sz w:val="17"/>
                <w:szCs w:val="17"/>
              </w:rPr>
              <w:t>dB</w:t>
            </w:r>
            <w:r>
              <w:rPr>
                <w:rFonts w:ascii="Times New Roman" w:hAnsi="Times New Roman" w:eastAsia="Times New Roman" w:cs="Times New Roman"/>
                <w:spacing w:val="16"/>
                <w:position w:val="2"/>
                <w:sz w:val="17"/>
                <w:szCs w:val="17"/>
              </w:rPr>
              <w:t>(</w:t>
            </w:r>
            <w:r>
              <w:rPr>
                <w:rFonts w:ascii="Times New Roman" w:hAnsi="Times New Roman" w:eastAsia="Times New Roman" w:cs="Times New Roman"/>
                <w:position w:val="2"/>
                <w:sz w:val="17"/>
                <w:szCs w:val="17"/>
              </w:rPr>
              <w:t>A</w:t>
            </w:r>
            <w:r>
              <w:rPr>
                <w:rFonts w:ascii="Times New Roman" w:hAnsi="Times New Roman" w:eastAsia="Times New Roman" w:cs="Times New Roman"/>
                <w:spacing w:val="16"/>
                <w:position w:val="2"/>
                <w:sz w:val="17"/>
                <w:szCs w:val="17"/>
              </w:rPr>
              <w:t>)</w:t>
            </w:r>
          </w:p>
        </w:tc>
        <w:tc>
          <w:tcPr>
            <w:tcW w:w="1499" w:type="dxa"/>
            <w:vAlign w:val="top"/>
          </w:tcPr>
          <w:p>
            <w:pPr>
              <w:spacing w:before="97" w:line="197" w:lineRule="auto"/>
              <w:ind w:left="7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581" w:type="dxa"/>
            <w:vAlign w:val="top"/>
          </w:tcPr>
          <w:p>
            <w:pPr>
              <w:spacing w:before="97" w:line="197" w:lineRule="auto"/>
              <w:ind w:left="750"/>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855" w:type="dxa"/>
            <w:vAlign w:val="top"/>
          </w:tcPr>
          <w:p>
            <w:pPr>
              <w:spacing w:before="97" w:line="197" w:lineRule="auto"/>
              <w:ind w:left="885"/>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3708" w:type="dxa"/>
            <w:vAlign w:val="top"/>
          </w:tcPr>
          <w:p>
            <w:pPr>
              <w:spacing w:before="40" w:line="242" w:lineRule="exact"/>
              <w:ind w:left="936"/>
              <w:rPr>
                <w:rFonts w:ascii="Times New Roman" w:hAnsi="Times New Roman" w:eastAsia="Times New Roman" w:cs="Times New Roman"/>
                <w:sz w:val="17"/>
                <w:szCs w:val="17"/>
              </w:rPr>
            </w:pPr>
            <w:r>
              <w:rPr>
                <w:rFonts w:ascii="宋体" w:hAnsi="宋体" w:eastAsia="宋体" w:cs="宋体"/>
                <w:spacing w:val="16"/>
                <w:position w:val="2"/>
                <w:sz w:val="17"/>
                <w:szCs w:val="17"/>
              </w:rPr>
              <w:t>水泥混凝土路面</w:t>
            </w:r>
            <w:r>
              <w:rPr>
                <w:rFonts w:ascii="Times New Roman" w:hAnsi="Times New Roman" w:eastAsia="Times New Roman" w:cs="Times New Roman"/>
                <w:spacing w:val="16"/>
                <w:position w:val="2"/>
                <w:sz w:val="17"/>
                <w:szCs w:val="17"/>
              </w:rPr>
              <w:t>/</w:t>
            </w:r>
            <w:r>
              <w:rPr>
                <w:rFonts w:ascii="Times New Roman" w:hAnsi="Times New Roman" w:eastAsia="Times New Roman" w:cs="Times New Roman"/>
                <w:position w:val="2"/>
                <w:sz w:val="17"/>
                <w:szCs w:val="17"/>
              </w:rPr>
              <w:t>dB</w:t>
            </w:r>
            <w:r>
              <w:rPr>
                <w:rFonts w:ascii="Times New Roman" w:hAnsi="Times New Roman" w:eastAsia="Times New Roman" w:cs="Times New Roman"/>
                <w:spacing w:val="16"/>
                <w:position w:val="2"/>
                <w:sz w:val="17"/>
                <w:szCs w:val="17"/>
              </w:rPr>
              <w:t>(</w:t>
            </w:r>
            <w:r>
              <w:rPr>
                <w:rFonts w:ascii="Times New Roman" w:hAnsi="Times New Roman" w:eastAsia="Times New Roman" w:cs="Times New Roman"/>
                <w:position w:val="2"/>
                <w:sz w:val="17"/>
                <w:szCs w:val="17"/>
              </w:rPr>
              <w:t>A</w:t>
            </w:r>
            <w:r>
              <w:rPr>
                <w:rFonts w:ascii="Times New Roman" w:hAnsi="Times New Roman" w:eastAsia="Times New Roman" w:cs="Times New Roman"/>
                <w:spacing w:val="15"/>
                <w:position w:val="2"/>
                <w:sz w:val="17"/>
                <w:szCs w:val="17"/>
              </w:rPr>
              <w:t>)</w:t>
            </w:r>
          </w:p>
        </w:tc>
        <w:tc>
          <w:tcPr>
            <w:tcW w:w="1499" w:type="dxa"/>
            <w:vAlign w:val="top"/>
          </w:tcPr>
          <w:p>
            <w:pPr>
              <w:spacing w:before="104" w:line="200" w:lineRule="auto"/>
              <w:ind w:left="648"/>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w:t>
            </w:r>
            <w:r>
              <w:rPr>
                <w:rFonts w:ascii="Times New Roman" w:hAnsi="Times New Roman" w:eastAsia="Times New Roman" w:cs="Times New Roman"/>
                <w:sz w:val="17"/>
                <w:szCs w:val="17"/>
              </w:rPr>
              <w:t>.0</w:t>
            </w:r>
          </w:p>
        </w:tc>
        <w:tc>
          <w:tcPr>
            <w:tcW w:w="1581" w:type="dxa"/>
            <w:vAlign w:val="top"/>
          </w:tcPr>
          <w:p>
            <w:pPr>
              <w:spacing w:before="104" w:line="200" w:lineRule="auto"/>
              <w:ind w:left="692"/>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w:t>
            </w:r>
            <w:r>
              <w:rPr>
                <w:rFonts w:ascii="Times New Roman" w:hAnsi="Times New Roman" w:eastAsia="Times New Roman" w:cs="Times New Roman"/>
                <w:sz w:val="17"/>
                <w:szCs w:val="17"/>
              </w:rPr>
              <w:t>.5</w:t>
            </w:r>
          </w:p>
        </w:tc>
        <w:tc>
          <w:tcPr>
            <w:tcW w:w="1855" w:type="dxa"/>
            <w:vAlign w:val="top"/>
          </w:tcPr>
          <w:p>
            <w:pPr>
              <w:spacing w:before="104" w:line="200" w:lineRule="auto"/>
              <w:ind w:left="810"/>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.0</w:t>
            </w:r>
          </w:p>
        </w:tc>
      </w:tr>
    </w:tbl>
    <w:p>
      <w:pPr>
        <w:spacing w:before="140" w:line="227" w:lineRule="auto"/>
        <w:ind w:left="480"/>
        <w:rPr>
          <w:rFonts w:ascii="宋体" w:hAnsi="宋体" w:eastAsia="宋体" w:cs="宋体"/>
          <w:sz w:val="20"/>
          <w:szCs w:val="20"/>
        </w:rPr>
      </w:pPr>
      <w:r>
        <w:rPr>
          <w:rFonts w:ascii="宋体" w:hAnsi="宋体" w:eastAsia="宋体" w:cs="宋体"/>
          <w:spacing w:val="10"/>
          <w:sz w:val="17"/>
          <w:szCs w:val="17"/>
        </w:rPr>
        <w:t>2</w:t>
      </w:r>
      <w:r>
        <w:rPr>
          <w:rFonts w:ascii="宋体" w:hAnsi="宋体" w:eastAsia="宋体" w:cs="宋体"/>
          <w:spacing w:val="7"/>
          <w:sz w:val="17"/>
          <w:szCs w:val="17"/>
        </w:rPr>
        <w:t xml:space="preserve">   </w:t>
      </w:r>
      <w:r>
        <w:rPr>
          <w:rFonts w:ascii="宋体" w:hAnsi="宋体" w:eastAsia="宋体" w:cs="宋体"/>
          <w:spacing w:val="7"/>
          <w:sz w:val="20"/>
          <w:szCs w:val="20"/>
        </w:rPr>
        <w:t>声波传播途径中引起的衰减量 (</w:t>
      </w:r>
      <w:r>
        <w:rPr>
          <w:rFonts w:ascii="Times New Roman" w:hAnsi="Times New Roman" w:eastAsia="Times New Roman" w:cs="Times New Roman"/>
          <w:spacing w:val="7"/>
          <w:sz w:val="20"/>
          <w:szCs w:val="20"/>
        </w:rPr>
        <w:t>Δ</w:t>
      </w:r>
      <w:r>
        <w:rPr>
          <w:rFonts w:ascii="Times New Roman" w:hAnsi="Times New Roman" w:eastAsia="Times New Roman" w:cs="Times New Roman"/>
          <w:sz w:val="20"/>
          <w:szCs w:val="20"/>
        </w:rPr>
        <w:t>L</w:t>
      </w:r>
      <w:r>
        <w:rPr>
          <w:rFonts w:ascii="Times New Roman" w:hAnsi="Times New Roman" w:eastAsia="Times New Roman" w:cs="Times New Roman"/>
          <w:spacing w:val="7"/>
          <w:position w:val="-1"/>
          <w:sz w:val="13"/>
          <w:szCs w:val="13"/>
        </w:rPr>
        <w:t xml:space="preserve">2 </w:t>
      </w:r>
      <w:r>
        <w:rPr>
          <w:rFonts w:ascii="宋体" w:hAnsi="宋体" w:eastAsia="宋体" w:cs="宋体"/>
          <w:spacing w:val="7"/>
          <w:sz w:val="20"/>
          <w:szCs w:val="20"/>
        </w:rPr>
        <w:t>)</w:t>
      </w:r>
    </w:p>
    <w:p>
      <w:pPr>
        <w:spacing w:before="117" w:line="281" w:lineRule="exact"/>
        <w:ind w:left="412"/>
        <w:rPr>
          <w:rFonts w:ascii="宋体" w:hAnsi="宋体" w:eastAsia="宋体" w:cs="宋体"/>
          <w:sz w:val="20"/>
          <w:szCs w:val="20"/>
        </w:rPr>
      </w:pPr>
      <w:r>
        <w:rPr>
          <w:rFonts w:ascii="Times New Roman" w:hAnsi="Times New Roman" w:eastAsia="Times New Roman" w:cs="Times New Roman"/>
          <w:position w:val="1"/>
          <w:sz w:val="20"/>
          <w:szCs w:val="20"/>
        </w:rPr>
        <w:t>A</w:t>
      </w:r>
      <w:r>
        <w:rPr>
          <w:rFonts w:ascii="Times New Roman" w:hAnsi="Times New Roman" w:eastAsia="Times New Roman" w:cs="Times New Roman"/>
          <w:spacing w:val="16"/>
          <w:position w:val="1"/>
          <w:sz w:val="20"/>
          <w:szCs w:val="20"/>
        </w:rPr>
        <w:t>.</w:t>
      </w:r>
      <w:r>
        <w:rPr>
          <w:rFonts w:ascii="Times New Roman" w:hAnsi="Times New Roman" w:eastAsia="Times New Roman" w:cs="Times New Roman"/>
          <w:spacing w:val="10"/>
          <w:position w:val="1"/>
          <w:sz w:val="20"/>
          <w:szCs w:val="20"/>
        </w:rPr>
        <w:t xml:space="preserve"> </w:t>
      </w:r>
      <w:r>
        <w:rPr>
          <w:rFonts w:ascii="Times New Roman" w:hAnsi="Times New Roman" w:eastAsia="Times New Roman" w:cs="Times New Roman"/>
          <w:spacing w:val="8"/>
          <w:position w:val="1"/>
          <w:sz w:val="20"/>
          <w:szCs w:val="20"/>
        </w:rPr>
        <w:t xml:space="preserve">   </w:t>
      </w:r>
      <w:r>
        <w:rPr>
          <w:rFonts w:ascii="宋体" w:hAnsi="宋体" w:eastAsia="宋体" w:cs="宋体"/>
          <w:spacing w:val="8"/>
          <w:position w:val="1"/>
          <w:sz w:val="20"/>
          <w:szCs w:val="20"/>
        </w:rPr>
        <w:t>障碍物屏蔽引起的衰减 (</w:t>
      </w:r>
      <w:r>
        <w:rPr>
          <w:rFonts w:ascii="Times New Roman" w:hAnsi="Times New Roman" w:eastAsia="Times New Roman" w:cs="Times New Roman"/>
          <w:position w:val="1"/>
          <w:sz w:val="20"/>
          <w:szCs w:val="20"/>
        </w:rPr>
        <w:t>Abar</w:t>
      </w:r>
      <w:r>
        <w:rPr>
          <w:rFonts w:ascii="宋体" w:hAnsi="宋体" w:eastAsia="宋体" w:cs="宋体"/>
          <w:spacing w:val="8"/>
          <w:position w:val="1"/>
          <w:sz w:val="20"/>
          <w:szCs w:val="20"/>
        </w:rPr>
        <w:t>)</w:t>
      </w:r>
    </w:p>
    <w:p>
      <w:pPr>
        <w:spacing w:before="155" w:line="401" w:lineRule="exact"/>
        <w:ind w:left="419"/>
        <w:rPr>
          <w:rFonts w:ascii="宋体" w:hAnsi="宋体" w:eastAsia="宋体" w:cs="宋体"/>
          <w:sz w:val="20"/>
          <w:szCs w:val="20"/>
        </w:rPr>
      </w:pPr>
      <w:r>
        <w:rPr>
          <w:rFonts w:ascii="宋体" w:hAnsi="宋体" w:eastAsia="宋体" w:cs="宋体"/>
          <w:spacing w:val="20"/>
          <w:position w:val="14"/>
          <w:sz w:val="20"/>
          <w:szCs w:val="20"/>
        </w:rPr>
        <w:t>位</w:t>
      </w:r>
      <w:r>
        <w:rPr>
          <w:rFonts w:ascii="宋体" w:hAnsi="宋体" w:eastAsia="宋体" w:cs="宋体"/>
          <w:spacing w:val="13"/>
          <w:position w:val="14"/>
          <w:sz w:val="20"/>
          <w:szCs w:val="20"/>
        </w:rPr>
        <w:t>于</w:t>
      </w:r>
      <w:r>
        <w:rPr>
          <w:rFonts w:ascii="宋体" w:hAnsi="宋体" w:eastAsia="宋体" w:cs="宋体"/>
          <w:spacing w:val="10"/>
          <w:position w:val="14"/>
          <w:sz w:val="20"/>
          <w:szCs w:val="20"/>
        </w:rPr>
        <w:t>声源和预测点之间的实体障碍物，如围墙、建筑物、土坡或地堑等起声屏障作用，从而</w:t>
      </w:r>
    </w:p>
    <w:p>
      <w:pPr>
        <w:spacing w:before="1" w:line="228" w:lineRule="auto"/>
        <w:ind w:left="14"/>
        <w:rPr>
          <w:rFonts w:ascii="宋体" w:hAnsi="宋体" w:eastAsia="宋体" w:cs="宋体"/>
          <w:sz w:val="20"/>
          <w:szCs w:val="20"/>
        </w:rPr>
      </w:pPr>
      <w:r>
        <w:rPr>
          <w:rFonts w:ascii="宋体" w:hAnsi="宋体" w:eastAsia="宋体" w:cs="宋体"/>
          <w:spacing w:val="12"/>
          <w:sz w:val="20"/>
          <w:szCs w:val="20"/>
        </w:rPr>
        <w:t>引起声能量</w:t>
      </w:r>
      <w:r>
        <w:rPr>
          <w:rFonts w:ascii="宋体" w:hAnsi="宋体" w:eastAsia="宋体" w:cs="宋体"/>
          <w:spacing w:val="6"/>
          <w:sz w:val="20"/>
          <w:szCs w:val="20"/>
        </w:rPr>
        <w:t>的较大衰减。在环境影响评价中，可将各种形式的屏障简化为具有一定高度的薄屏障。</w:t>
      </w:r>
    </w:p>
    <w:p>
      <w:pPr>
        <w:spacing w:before="12" w:line="2535" w:lineRule="exact"/>
        <w:ind w:firstLine="2191"/>
        <w:textAlignment w:val="center"/>
      </w:pPr>
      <w:r>
        <w:drawing>
          <wp:inline distT="0" distB="0" distL="0" distR="0">
            <wp:extent cx="2819400" cy="1609090"/>
            <wp:effectExtent l="0" t="0" r="0" b="0"/>
            <wp:docPr id="127" name="IM 127"/>
            <wp:cNvGraphicFramePr/>
            <a:graphic xmlns:a="http://schemas.openxmlformats.org/drawingml/2006/main">
              <a:graphicData uri="http://schemas.openxmlformats.org/drawingml/2006/picture">
                <pic:pic xmlns:pic="http://schemas.openxmlformats.org/drawingml/2006/picture">
                  <pic:nvPicPr>
                    <pic:cNvPr id="127" name="IM 127"/>
                    <pic:cNvPicPr/>
                  </pic:nvPicPr>
                  <pic:blipFill>
                    <a:blip r:embed="rId271"/>
                    <a:stretch>
                      <a:fillRect/>
                    </a:stretch>
                  </pic:blipFill>
                  <pic:spPr>
                    <a:xfrm>
                      <a:off x="0" y="0"/>
                      <a:ext cx="2819400" cy="1609344"/>
                    </a:xfrm>
                    <a:prstGeom prst="rect">
                      <a:avLst/>
                    </a:prstGeom>
                  </pic:spPr>
                </pic:pic>
              </a:graphicData>
            </a:graphic>
          </wp:inline>
        </w:drawing>
      </w:r>
    </w:p>
    <w:p>
      <w:pPr>
        <w:spacing w:before="96" w:line="373" w:lineRule="exact"/>
        <w:ind w:left="3281"/>
        <w:rPr>
          <w:rFonts w:ascii="黑体" w:hAnsi="黑体" w:eastAsia="黑体" w:cs="黑体"/>
          <w:sz w:val="19"/>
          <w:szCs w:val="19"/>
        </w:rPr>
      </w:pPr>
      <w:r>
        <w:rPr>
          <w:rFonts w:ascii="黑体" w:hAnsi="黑体" w:eastAsia="黑体" w:cs="黑体"/>
          <w:spacing w:val="8"/>
          <w:position w:val="13"/>
          <w:sz w:val="19"/>
          <w:szCs w:val="19"/>
        </w:rPr>
        <w:t>图</w:t>
      </w:r>
      <w:r>
        <w:rPr>
          <w:rFonts w:ascii="Times New Roman" w:hAnsi="Times New Roman" w:eastAsia="Times New Roman" w:cs="Times New Roman"/>
          <w:spacing w:val="8"/>
          <w:position w:val="13"/>
          <w:sz w:val="19"/>
          <w:szCs w:val="19"/>
        </w:rPr>
        <w:t>9</w:t>
      </w:r>
      <w:r>
        <w:rPr>
          <w:rFonts w:ascii="黑体" w:hAnsi="黑体" w:eastAsia="黑体" w:cs="黑体"/>
          <w:spacing w:val="8"/>
          <w:position w:val="13"/>
          <w:sz w:val="19"/>
          <w:szCs w:val="19"/>
        </w:rPr>
        <w:t>：无限长声屏障示意图</w:t>
      </w:r>
    </w:p>
    <w:p>
      <w:pPr>
        <w:spacing w:before="1" w:line="227" w:lineRule="auto"/>
        <w:ind w:left="422"/>
        <w:rPr>
          <w:rFonts w:ascii="宋体" w:hAnsi="宋体" w:eastAsia="宋体" w:cs="宋体"/>
          <w:sz w:val="20"/>
          <w:szCs w:val="20"/>
        </w:rPr>
      </w:pPr>
      <w:r>
        <w:rPr>
          <w:rFonts w:ascii="宋体" w:hAnsi="宋体" w:eastAsia="宋体" w:cs="宋体"/>
          <w:spacing w:val="5"/>
          <w:sz w:val="20"/>
          <w:szCs w:val="20"/>
        </w:rPr>
        <w:t>如上图所示，</w:t>
      </w:r>
      <w:r>
        <w:rPr>
          <w:rFonts w:ascii="Times New Roman" w:hAnsi="Times New Roman" w:eastAsia="Times New Roman" w:cs="Times New Roman"/>
          <w:sz w:val="20"/>
          <w:szCs w:val="20"/>
        </w:rPr>
        <w:t>S</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w:t>
      </w:r>
      <w:r>
        <w:rPr>
          <w:rFonts w:ascii="Times New Roman" w:hAnsi="Times New Roman" w:eastAsia="Times New Roman" w:cs="Times New Roman"/>
          <w:sz w:val="20"/>
          <w:szCs w:val="20"/>
        </w:rPr>
        <w:t>O</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w:t>
      </w:r>
      <w:r>
        <w:rPr>
          <w:rFonts w:ascii="Times New Roman" w:hAnsi="Times New Roman" w:eastAsia="Times New Roman" w:cs="Times New Roman"/>
          <w:sz w:val="20"/>
          <w:szCs w:val="20"/>
        </w:rPr>
        <w:t>P</w:t>
      </w:r>
      <w:r>
        <w:rPr>
          <w:rFonts w:ascii="宋体" w:hAnsi="宋体" w:eastAsia="宋体" w:cs="宋体"/>
          <w:spacing w:val="5"/>
          <w:sz w:val="20"/>
          <w:szCs w:val="20"/>
        </w:rPr>
        <w:t>三点在同一平面内且垂直于地面</w:t>
      </w:r>
      <w:r>
        <w:rPr>
          <w:rFonts w:ascii="宋体" w:hAnsi="宋体" w:eastAsia="宋体" w:cs="宋体"/>
          <w:spacing w:val="3"/>
          <w:sz w:val="20"/>
          <w:szCs w:val="20"/>
        </w:rPr>
        <w:t>。</w:t>
      </w:r>
    </w:p>
    <w:p>
      <w:pPr>
        <w:spacing w:before="116" w:line="369" w:lineRule="auto"/>
        <w:ind w:left="418" w:right="1598" w:firstLine="5"/>
        <w:rPr>
          <w:rFonts w:ascii="宋体" w:hAnsi="宋体" w:eastAsia="宋体" w:cs="宋体"/>
          <w:sz w:val="20"/>
          <w:szCs w:val="20"/>
        </w:rPr>
      </w:pPr>
      <w:r>
        <w:rPr>
          <w:rFonts w:ascii="宋体" w:hAnsi="宋体" w:eastAsia="宋体" w:cs="宋体"/>
          <w:spacing w:val="20"/>
          <w:sz w:val="20"/>
          <w:szCs w:val="20"/>
        </w:rPr>
        <w:t>定</w:t>
      </w:r>
      <w:r>
        <w:rPr>
          <w:rFonts w:ascii="宋体" w:hAnsi="宋体" w:eastAsia="宋体" w:cs="宋体"/>
          <w:spacing w:val="14"/>
          <w:sz w:val="20"/>
          <w:szCs w:val="20"/>
        </w:rPr>
        <w:t>义</w:t>
      </w:r>
      <w:r>
        <w:rPr>
          <w:rFonts w:ascii="Times New Roman" w:hAnsi="Times New Roman" w:eastAsia="Times New Roman" w:cs="Times New Roman"/>
          <w:spacing w:val="10"/>
          <w:sz w:val="20"/>
          <w:szCs w:val="20"/>
        </w:rPr>
        <w:t>δ</w:t>
      </w:r>
      <w:r>
        <w:rPr>
          <w:rFonts w:ascii="宋体" w:hAnsi="宋体" w:eastAsia="宋体" w:cs="宋体"/>
          <w:spacing w:val="10"/>
          <w:sz w:val="20"/>
          <w:szCs w:val="20"/>
        </w:rPr>
        <w:t>＝</w:t>
      </w:r>
      <w:r>
        <w:rPr>
          <w:rFonts w:ascii="Times New Roman" w:hAnsi="Times New Roman" w:eastAsia="Times New Roman" w:cs="Times New Roman"/>
          <w:sz w:val="20"/>
          <w:szCs w:val="20"/>
        </w:rPr>
        <w:t>SO</w:t>
      </w:r>
      <w:r>
        <w:rPr>
          <w:rFonts w:ascii="宋体" w:hAnsi="宋体" w:eastAsia="宋体" w:cs="宋体"/>
          <w:spacing w:val="10"/>
          <w:sz w:val="20"/>
          <w:szCs w:val="20"/>
        </w:rPr>
        <w:t>＋</w:t>
      </w:r>
      <w:r>
        <w:rPr>
          <w:rFonts w:ascii="Times New Roman" w:hAnsi="Times New Roman" w:eastAsia="Times New Roman" w:cs="Times New Roman"/>
          <w:sz w:val="20"/>
          <w:szCs w:val="20"/>
        </w:rPr>
        <w:t>OP</w:t>
      </w:r>
      <w:r>
        <w:rPr>
          <w:rFonts w:ascii="宋体" w:hAnsi="宋体" w:eastAsia="宋体" w:cs="宋体"/>
          <w:spacing w:val="10"/>
          <w:sz w:val="20"/>
          <w:szCs w:val="20"/>
        </w:rPr>
        <w:t>－</w:t>
      </w:r>
      <w:r>
        <w:rPr>
          <w:rFonts w:ascii="Times New Roman" w:hAnsi="Times New Roman" w:eastAsia="Times New Roman" w:cs="Times New Roman"/>
          <w:sz w:val="20"/>
          <w:szCs w:val="20"/>
        </w:rPr>
        <w:t>SP</w:t>
      </w:r>
      <w:r>
        <w:rPr>
          <w:rFonts w:ascii="宋体" w:hAnsi="宋体" w:eastAsia="宋体" w:cs="宋体"/>
          <w:spacing w:val="10"/>
          <w:sz w:val="20"/>
          <w:szCs w:val="20"/>
        </w:rPr>
        <w:t>为声程差，</w:t>
      </w:r>
      <w:r>
        <w:rPr>
          <w:rFonts w:ascii="Times New Roman" w:hAnsi="Times New Roman" w:eastAsia="Times New Roman" w:cs="Times New Roman"/>
          <w:sz w:val="20"/>
          <w:szCs w:val="20"/>
        </w:rPr>
        <w:t>N</w:t>
      </w:r>
      <w:r>
        <w:rPr>
          <w:rFonts w:ascii="宋体" w:hAnsi="宋体" w:eastAsia="宋体" w:cs="宋体"/>
          <w:spacing w:val="10"/>
          <w:sz w:val="20"/>
          <w:szCs w:val="20"/>
        </w:rPr>
        <w:t>＝</w:t>
      </w:r>
      <w:r>
        <w:rPr>
          <w:rFonts w:ascii="Times New Roman" w:hAnsi="Times New Roman" w:eastAsia="Times New Roman" w:cs="Times New Roman"/>
          <w:spacing w:val="10"/>
          <w:sz w:val="20"/>
          <w:szCs w:val="20"/>
        </w:rPr>
        <w:t>2δ/λ</w:t>
      </w:r>
      <w:r>
        <w:rPr>
          <w:rFonts w:ascii="宋体" w:hAnsi="宋体" w:eastAsia="宋体" w:cs="宋体"/>
          <w:spacing w:val="10"/>
          <w:sz w:val="20"/>
          <w:szCs w:val="20"/>
        </w:rPr>
        <w:t>为菲涅尔数，其中</w:t>
      </w:r>
      <w:r>
        <w:rPr>
          <w:rFonts w:ascii="Times New Roman" w:hAnsi="Times New Roman" w:eastAsia="Times New Roman" w:cs="Times New Roman"/>
          <w:spacing w:val="10"/>
          <w:sz w:val="20"/>
          <w:szCs w:val="20"/>
        </w:rPr>
        <w:t>λ</w:t>
      </w:r>
      <w:r>
        <w:rPr>
          <w:rFonts w:ascii="宋体" w:hAnsi="宋体" w:eastAsia="宋体" w:cs="宋体"/>
          <w:spacing w:val="10"/>
          <w:sz w:val="20"/>
          <w:szCs w:val="20"/>
        </w:rPr>
        <w:t>为声波波长。</w:t>
      </w:r>
      <w:r>
        <w:rPr>
          <w:rFonts w:ascii="宋体" w:hAnsi="宋体" w:eastAsia="宋体" w:cs="宋体"/>
          <w:sz w:val="20"/>
          <w:szCs w:val="20"/>
        </w:rPr>
        <w:t xml:space="preserve">  </w:t>
      </w:r>
      <w:r>
        <w:rPr>
          <w:rFonts w:ascii="宋体" w:hAnsi="宋体" w:eastAsia="宋体" w:cs="宋体"/>
          <w:spacing w:val="16"/>
          <w:sz w:val="20"/>
          <w:szCs w:val="20"/>
        </w:rPr>
        <w:t>在噪</w:t>
      </w:r>
      <w:r>
        <w:rPr>
          <w:rFonts w:ascii="宋体" w:hAnsi="宋体" w:eastAsia="宋体" w:cs="宋体"/>
          <w:spacing w:val="14"/>
          <w:sz w:val="20"/>
          <w:szCs w:val="20"/>
        </w:rPr>
        <w:t>声</w:t>
      </w:r>
      <w:r>
        <w:rPr>
          <w:rFonts w:ascii="宋体" w:hAnsi="宋体" w:eastAsia="宋体" w:cs="宋体"/>
          <w:spacing w:val="8"/>
          <w:sz w:val="20"/>
          <w:szCs w:val="20"/>
        </w:rPr>
        <w:t>预测中，声屏障插入损失的计算方法需要根据实际情况作简化处理。</w:t>
      </w:r>
    </w:p>
    <w:p>
      <w:pPr>
        <w:spacing w:before="2" w:line="381" w:lineRule="auto"/>
        <w:ind w:right="109" w:firstLine="420"/>
        <w:rPr>
          <w:rFonts w:ascii="宋体" w:hAnsi="宋体" w:eastAsia="宋体" w:cs="宋体"/>
          <w:sz w:val="20"/>
          <w:szCs w:val="20"/>
        </w:rPr>
      </w:pPr>
      <w:r>
        <w:rPr>
          <w:rFonts w:ascii="宋体" w:hAnsi="宋体" w:eastAsia="宋体" w:cs="宋体"/>
          <w:spacing w:val="12"/>
          <w:sz w:val="20"/>
          <w:szCs w:val="20"/>
        </w:rPr>
        <w:t>屏障衰减</w:t>
      </w:r>
      <w:r>
        <w:rPr>
          <w:rFonts w:ascii="Times New Roman" w:hAnsi="Times New Roman" w:eastAsia="Times New Roman" w:cs="Times New Roman"/>
          <w:sz w:val="20"/>
          <w:szCs w:val="20"/>
        </w:rPr>
        <w:t>Abar</w:t>
      </w:r>
      <w:r>
        <w:rPr>
          <w:rFonts w:ascii="宋体" w:hAnsi="宋体" w:eastAsia="宋体" w:cs="宋体"/>
          <w:spacing w:val="12"/>
          <w:sz w:val="20"/>
          <w:szCs w:val="20"/>
        </w:rPr>
        <w:t>在</w:t>
      </w:r>
      <w:r>
        <w:rPr>
          <w:rFonts w:ascii="宋体" w:hAnsi="宋体" w:eastAsia="宋体" w:cs="宋体"/>
          <w:spacing w:val="7"/>
          <w:sz w:val="20"/>
          <w:szCs w:val="20"/>
        </w:rPr>
        <w:t>单</w:t>
      </w:r>
      <w:r>
        <w:rPr>
          <w:rFonts w:ascii="宋体" w:hAnsi="宋体" w:eastAsia="宋体" w:cs="宋体"/>
          <w:spacing w:val="6"/>
          <w:sz w:val="20"/>
          <w:szCs w:val="20"/>
        </w:rPr>
        <w:t>绕射 (即薄屏障) 情况，衰减最大取</w:t>
      </w:r>
      <w:r>
        <w:rPr>
          <w:rFonts w:ascii="Times New Roman" w:hAnsi="Times New Roman" w:eastAsia="Times New Roman" w:cs="Times New Roman"/>
          <w:spacing w:val="6"/>
          <w:sz w:val="20"/>
          <w:szCs w:val="20"/>
        </w:rPr>
        <w:t>20</w:t>
      </w:r>
      <w:r>
        <w:rPr>
          <w:rFonts w:ascii="Times New Roman" w:hAnsi="Times New Roman" w:eastAsia="Times New Roman" w:cs="Times New Roman"/>
          <w:sz w:val="20"/>
          <w:szCs w:val="20"/>
        </w:rPr>
        <w:t>dB</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；在双绕射 (即厚屏障) 情况，</w:t>
      </w:r>
      <w:r>
        <w:rPr>
          <w:rFonts w:ascii="宋体" w:hAnsi="宋体" w:eastAsia="宋体" w:cs="宋体"/>
          <w:sz w:val="20"/>
          <w:szCs w:val="20"/>
        </w:rPr>
        <w:t xml:space="preserve"> </w:t>
      </w:r>
      <w:r>
        <w:rPr>
          <w:rFonts w:ascii="宋体" w:hAnsi="宋体" w:eastAsia="宋体" w:cs="宋体"/>
          <w:spacing w:val="8"/>
          <w:sz w:val="20"/>
          <w:szCs w:val="20"/>
        </w:rPr>
        <w:t>衰减最大取</w:t>
      </w:r>
      <w:r>
        <w:rPr>
          <w:rFonts w:ascii="Times New Roman" w:hAnsi="Times New Roman" w:eastAsia="Times New Roman" w:cs="Times New Roman"/>
          <w:spacing w:val="8"/>
          <w:sz w:val="20"/>
          <w:szCs w:val="20"/>
        </w:rPr>
        <w:t>25</w:t>
      </w:r>
      <w:r>
        <w:rPr>
          <w:rFonts w:ascii="Times New Roman" w:hAnsi="Times New Roman" w:eastAsia="Times New Roman" w:cs="Times New Roman"/>
          <w:sz w:val="20"/>
          <w:szCs w:val="20"/>
        </w:rPr>
        <w:t>dB</w:t>
      </w:r>
      <w:r>
        <w:rPr>
          <w:rFonts w:ascii="宋体" w:hAnsi="宋体" w:eastAsia="宋体" w:cs="宋体"/>
          <w:spacing w:val="6"/>
          <w:sz w:val="20"/>
          <w:szCs w:val="20"/>
        </w:rPr>
        <w:t>。</w:t>
      </w:r>
    </w:p>
    <w:p>
      <w:pPr>
        <w:spacing w:before="9" w:line="228" w:lineRule="auto"/>
        <w:ind w:left="418"/>
        <w:rPr>
          <w:rFonts w:ascii="宋体" w:hAnsi="宋体" w:eastAsia="宋体" w:cs="宋体"/>
          <w:sz w:val="20"/>
          <w:szCs w:val="20"/>
        </w:rPr>
      </w:pPr>
      <w:r>
        <w:rPr>
          <w:rFonts w:ascii="Times New Roman" w:hAnsi="Times New Roman" w:eastAsia="Times New Roman" w:cs="Times New Roman"/>
          <w:sz w:val="20"/>
          <w:szCs w:val="20"/>
        </w:rPr>
        <w:t>a</w:t>
      </w:r>
      <w:r>
        <w:rPr>
          <w:rFonts w:ascii="Times New Roman" w:hAnsi="Times New Roman" w:eastAsia="Times New Roman" w:cs="Times New Roman"/>
          <w:spacing w:val="12"/>
          <w:sz w:val="20"/>
          <w:szCs w:val="20"/>
        </w:rPr>
        <w:t xml:space="preserve"> </w:t>
      </w:r>
      <w:r>
        <w:rPr>
          <w:rFonts w:ascii="宋体" w:hAnsi="宋体" w:eastAsia="宋体" w:cs="宋体"/>
          <w:spacing w:val="7"/>
          <w:sz w:val="20"/>
          <w:szCs w:val="20"/>
        </w:rPr>
        <w:t>)</w:t>
      </w:r>
      <w:r>
        <w:rPr>
          <w:rFonts w:ascii="宋体" w:hAnsi="宋体" w:eastAsia="宋体" w:cs="宋体"/>
          <w:spacing w:val="6"/>
          <w:sz w:val="20"/>
          <w:szCs w:val="20"/>
        </w:rPr>
        <w:t xml:space="preserve"> 有限长薄屏障在点声源声场中引起的衰减</w:t>
      </w:r>
    </w:p>
    <w:p>
      <w:pPr>
        <w:spacing w:before="117" w:line="281" w:lineRule="exact"/>
        <w:ind w:left="422"/>
        <w:rPr>
          <w:rFonts w:ascii="宋体" w:hAnsi="宋体" w:eastAsia="宋体" w:cs="宋体"/>
          <w:sz w:val="20"/>
          <w:szCs w:val="20"/>
        </w:rPr>
      </w:pPr>
      <w:r>
        <w:rPr>
          <w:rFonts w:ascii="宋体" w:hAnsi="宋体" w:eastAsia="宋体" w:cs="宋体"/>
          <w:spacing w:val="8"/>
          <w:position w:val="1"/>
          <w:sz w:val="20"/>
          <w:szCs w:val="20"/>
        </w:rPr>
        <w:t>首</w:t>
      </w:r>
      <w:r>
        <w:rPr>
          <w:rFonts w:ascii="宋体" w:hAnsi="宋体" w:eastAsia="宋体" w:cs="宋体"/>
          <w:spacing w:val="7"/>
          <w:position w:val="1"/>
          <w:sz w:val="20"/>
          <w:szCs w:val="20"/>
        </w:rPr>
        <w:t>先</w:t>
      </w:r>
      <w:r>
        <w:rPr>
          <w:rFonts w:ascii="宋体" w:hAnsi="宋体" w:eastAsia="宋体" w:cs="宋体"/>
          <w:spacing w:val="4"/>
          <w:position w:val="1"/>
          <w:sz w:val="20"/>
          <w:szCs w:val="20"/>
        </w:rPr>
        <w:t>计算下图所示三个传播途径的声程差</w:t>
      </w:r>
      <w:r>
        <w:rPr>
          <w:rFonts w:ascii="Times New Roman" w:hAnsi="Times New Roman" w:eastAsia="Times New Roman" w:cs="Times New Roman"/>
          <w:spacing w:val="4"/>
          <w:position w:val="1"/>
          <w:sz w:val="20"/>
          <w:szCs w:val="20"/>
        </w:rPr>
        <w:t xml:space="preserve">δ1 </w:t>
      </w:r>
      <w:r>
        <w:rPr>
          <w:rFonts w:ascii="宋体" w:hAnsi="宋体" w:eastAsia="宋体" w:cs="宋体"/>
          <w:spacing w:val="4"/>
          <w:position w:val="1"/>
          <w:sz w:val="20"/>
          <w:szCs w:val="20"/>
        </w:rPr>
        <w:t>，</w:t>
      </w:r>
      <w:r>
        <w:rPr>
          <w:rFonts w:ascii="Times New Roman" w:hAnsi="Times New Roman" w:eastAsia="Times New Roman" w:cs="Times New Roman"/>
          <w:spacing w:val="4"/>
          <w:position w:val="1"/>
          <w:sz w:val="20"/>
          <w:szCs w:val="20"/>
        </w:rPr>
        <w:t xml:space="preserve">δ2 </w:t>
      </w:r>
      <w:r>
        <w:rPr>
          <w:rFonts w:ascii="宋体" w:hAnsi="宋体" w:eastAsia="宋体" w:cs="宋体"/>
          <w:spacing w:val="4"/>
          <w:position w:val="1"/>
          <w:sz w:val="20"/>
          <w:szCs w:val="20"/>
        </w:rPr>
        <w:t>，</w:t>
      </w:r>
      <w:r>
        <w:rPr>
          <w:rFonts w:ascii="Times New Roman" w:hAnsi="Times New Roman" w:eastAsia="Times New Roman" w:cs="Times New Roman"/>
          <w:spacing w:val="4"/>
          <w:position w:val="1"/>
          <w:sz w:val="20"/>
          <w:szCs w:val="20"/>
        </w:rPr>
        <w:t>δ3</w:t>
      </w:r>
      <w:r>
        <w:rPr>
          <w:rFonts w:ascii="宋体" w:hAnsi="宋体" w:eastAsia="宋体" w:cs="宋体"/>
          <w:spacing w:val="4"/>
          <w:position w:val="1"/>
          <w:sz w:val="20"/>
          <w:szCs w:val="20"/>
        </w:rPr>
        <w:t>和相应的菲涅尔数</w:t>
      </w:r>
      <w:r>
        <w:rPr>
          <w:rFonts w:ascii="Times New Roman" w:hAnsi="Times New Roman" w:eastAsia="Times New Roman" w:cs="Times New Roman"/>
          <w:position w:val="1"/>
          <w:sz w:val="20"/>
          <w:szCs w:val="20"/>
        </w:rPr>
        <w:t>N</w:t>
      </w:r>
      <w:r>
        <w:rPr>
          <w:rFonts w:ascii="Times New Roman" w:hAnsi="Times New Roman" w:eastAsia="Times New Roman" w:cs="Times New Roman"/>
          <w:spacing w:val="4"/>
          <w:sz w:val="13"/>
          <w:szCs w:val="13"/>
        </w:rPr>
        <w:t xml:space="preserve">1 </w:t>
      </w:r>
      <w:r>
        <w:rPr>
          <w:rFonts w:ascii="宋体" w:hAnsi="宋体" w:eastAsia="宋体" w:cs="宋体"/>
          <w:spacing w:val="4"/>
          <w:position w:val="1"/>
          <w:sz w:val="20"/>
          <w:szCs w:val="20"/>
        </w:rPr>
        <w:t>、</w:t>
      </w:r>
      <w:r>
        <w:rPr>
          <w:rFonts w:ascii="Times New Roman" w:hAnsi="Times New Roman" w:eastAsia="Times New Roman" w:cs="Times New Roman"/>
          <w:position w:val="1"/>
          <w:sz w:val="20"/>
          <w:szCs w:val="20"/>
        </w:rPr>
        <w:t>N</w:t>
      </w:r>
      <w:r>
        <w:rPr>
          <w:rFonts w:ascii="Times New Roman" w:hAnsi="Times New Roman" w:eastAsia="Times New Roman" w:cs="Times New Roman"/>
          <w:spacing w:val="4"/>
          <w:sz w:val="13"/>
          <w:szCs w:val="13"/>
        </w:rPr>
        <w:t xml:space="preserve">2 </w:t>
      </w:r>
      <w:r>
        <w:rPr>
          <w:rFonts w:ascii="宋体" w:hAnsi="宋体" w:eastAsia="宋体" w:cs="宋体"/>
          <w:spacing w:val="4"/>
          <w:position w:val="1"/>
          <w:sz w:val="20"/>
          <w:szCs w:val="20"/>
        </w:rPr>
        <w:t>、</w:t>
      </w:r>
      <w:r>
        <w:rPr>
          <w:rFonts w:ascii="Times New Roman" w:hAnsi="Times New Roman" w:eastAsia="Times New Roman" w:cs="Times New Roman"/>
          <w:position w:val="1"/>
          <w:sz w:val="20"/>
          <w:szCs w:val="20"/>
        </w:rPr>
        <w:t>N</w:t>
      </w:r>
      <w:r>
        <w:rPr>
          <w:rFonts w:ascii="Times New Roman" w:hAnsi="Times New Roman" w:eastAsia="Times New Roman" w:cs="Times New Roman"/>
          <w:spacing w:val="4"/>
          <w:sz w:val="13"/>
          <w:szCs w:val="13"/>
        </w:rPr>
        <w:t>3</w:t>
      </w:r>
      <w:r>
        <w:rPr>
          <w:rFonts w:ascii="宋体" w:hAnsi="宋体" w:eastAsia="宋体" w:cs="宋体"/>
          <w:spacing w:val="4"/>
          <w:position w:val="1"/>
          <w:sz w:val="20"/>
          <w:szCs w:val="20"/>
        </w:rPr>
        <w:t>。</w:t>
      </w:r>
    </w:p>
    <w:p>
      <w:pPr>
        <w:spacing w:before="16" w:line="3012" w:lineRule="exact"/>
        <w:ind w:firstLine="2635"/>
        <w:textAlignment w:val="center"/>
      </w:pPr>
      <w:r>
        <w:drawing>
          <wp:inline distT="0" distB="0" distL="0" distR="0">
            <wp:extent cx="2242820" cy="1912620"/>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272"/>
                    <a:stretch>
                      <a:fillRect/>
                    </a:stretch>
                  </pic:blipFill>
                  <pic:spPr>
                    <a:xfrm>
                      <a:off x="0" y="0"/>
                      <a:ext cx="2243327" cy="1912620"/>
                    </a:xfrm>
                    <a:prstGeom prst="rect">
                      <a:avLst/>
                    </a:prstGeom>
                  </pic:spPr>
                </pic:pic>
              </a:graphicData>
            </a:graphic>
          </wp:inline>
        </w:drawing>
      </w:r>
    </w:p>
    <w:p>
      <w:pPr>
        <w:spacing w:before="99" w:line="231" w:lineRule="auto"/>
        <w:ind w:left="3132"/>
        <w:rPr>
          <w:rFonts w:ascii="黑体" w:hAnsi="黑体" w:eastAsia="黑体" w:cs="黑体"/>
          <w:sz w:val="19"/>
          <w:szCs w:val="19"/>
        </w:rPr>
      </w:pPr>
      <w:r>
        <w:rPr>
          <w:rFonts w:ascii="黑体" w:hAnsi="黑体" w:eastAsia="黑体" w:cs="黑体"/>
          <w:spacing w:val="8"/>
          <w:sz w:val="19"/>
          <w:szCs w:val="19"/>
        </w:rPr>
        <w:t>图</w:t>
      </w:r>
      <w:r>
        <w:rPr>
          <w:rFonts w:ascii="Times New Roman" w:hAnsi="Times New Roman" w:eastAsia="Times New Roman" w:cs="Times New Roman"/>
          <w:spacing w:val="8"/>
          <w:sz w:val="19"/>
          <w:szCs w:val="19"/>
        </w:rPr>
        <w:t>10</w:t>
      </w:r>
      <w:r>
        <w:rPr>
          <w:rFonts w:ascii="黑体" w:hAnsi="黑体" w:eastAsia="黑体" w:cs="黑体"/>
          <w:spacing w:val="8"/>
          <w:sz w:val="19"/>
          <w:szCs w:val="19"/>
        </w:rPr>
        <w:t>：有限长声屏障传播路</w:t>
      </w:r>
      <w:r>
        <w:rPr>
          <w:rFonts w:ascii="黑体" w:hAnsi="黑体" w:eastAsia="黑体" w:cs="黑体"/>
          <w:spacing w:val="5"/>
          <w:sz w:val="19"/>
          <w:szCs w:val="19"/>
        </w:rPr>
        <w:t>径</w:t>
      </w:r>
    </w:p>
    <w:p>
      <w:pPr>
        <w:sectPr>
          <w:footerReference r:id="rId125" w:type="default"/>
          <w:pgSz w:w="11906" w:h="16839"/>
          <w:pgMar w:top="400" w:right="1462" w:bottom="1027" w:left="1540" w:header="0" w:footer="840" w:gutter="0"/>
          <w:cols w:space="720" w:num="1"/>
        </w:sect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65" w:line="228" w:lineRule="auto"/>
        <w:ind w:left="423"/>
        <w:rPr>
          <w:rFonts w:ascii="宋体" w:hAnsi="宋体" w:eastAsia="宋体" w:cs="宋体"/>
          <w:sz w:val="20"/>
          <w:szCs w:val="20"/>
        </w:rPr>
      </w:pPr>
      <w:r>
        <w:rPr>
          <w:rFonts w:ascii="宋体" w:hAnsi="宋体" w:eastAsia="宋体" w:cs="宋体"/>
          <w:spacing w:val="10"/>
          <w:sz w:val="20"/>
          <w:szCs w:val="20"/>
        </w:rPr>
        <w:t>声</w:t>
      </w:r>
      <w:r>
        <w:rPr>
          <w:rFonts w:ascii="宋体" w:hAnsi="宋体" w:eastAsia="宋体" w:cs="宋体"/>
          <w:spacing w:val="8"/>
          <w:sz w:val="20"/>
          <w:szCs w:val="20"/>
        </w:rPr>
        <w:t>屏障引起的衰减按下式计算：</w:t>
      </w:r>
    </w:p>
    <w:p>
      <w:pPr>
        <w:spacing w:before="49"/>
        <w:ind w:left="2111"/>
        <w:rPr>
          <w:rFonts w:ascii="微软雅黑" w:hAnsi="微软雅黑" w:eastAsia="微软雅黑" w:cs="微软雅黑"/>
          <w:sz w:val="24"/>
          <w:szCs w:val="24"/>
        </w:rPr>
      </w:pPr>
      <w:r>
        <w:rPr>
          <w:rFonts w:ascii="Times New Roman" w:hAnsi="Times New Roman" w:eastAsia="Times New Roman" w:cs="Times New Roman"/>
          <w:i/>
          <w:iCs/>
          <w:spacing w:val="-10"/>
          <w:position w:val="7"/>
          <w:sz w:val="24"/>
          <w:szCs w:val="24"/>
        </w:rPr>
        <w:t>A</w:t>
      </w:r>
      <w:r>
        <w:rPr>
          <w:rFonts w:ascii="Times New Roman" w:hAnsi="Times New Roman" w:eastAsia="Times New Roman" w:cs="Times New Roman"/>
          <w:spacing w:val="-10"/>
          <w:position w:val="1"/>
          <w:sz w:val="14"/>
          <w:szCs w:val="14"/>
        </w:rPr>
        <w:t>bar</w:t>
      </w:r>
      <w:r>
        <w:rPr>
          <w:rFonts w:ascii="Times New Roman" w:hAnsi="Times New Roman" w:eastAsia="Times New Roman" w:cs="Times New Roman"/>
          <w:spacing w:val="-11"/>
          <w:position w:val="1"/>
          <w:sz w:val="14"/>
          <w:szCs w:val="14"/>
        </w:rPr>
        <w:t xml:space="preserve">  </w:t>
      </w:r>
      <w:r>
        <w:rPr>
          <w:rFonts w:ascii="微软雅黑" w:hAnsi="微软雅黑" w:eastAsia="微软雅黑" w:cs="微软雅黑"/>
          <w:spacing w:val="-11"/>
          <w:position w:val="7"/>
          <w:sz w:val="24"/>
          <w:szCs w:val="24"/>
        </w:rPr>
        <w:t>=</w:t>
      </w:r>
      <w:r>
        <w:rPr>
          <w:rFonts w:ascii="微软雅黑" w:hAnsi="微软雅黑" w:eastAsia="微软雅黑" w:cs="微软雅黑"/>
          <w:spacing w:val="-10"/>
          <w:position w:val="7"/>
          <w:sz w:val="24"/>
          <w:szCs w:val="24"/>
        </w:rPr>
        <w:t xml:space="preserve"> -</w:t>
      </w:r>
      <w:r>
        <w:rPr>
          <w:rFonts w:ascii="Times New Roman" w:hAnsi="Times New Roman" w:eastAsia="Times New Roman" w:cs="Times New Roman"/>
          <w:spacing w:val="-10"/>
          <w:position w:val="7"/>
          <w:sz w:val="24"/>
          <w:szCs w:val="24"/>
        </w:rPr>
        <w:t>10lg</w:t>
      </w:r>
      <w:r>
        <w:rPr>
          <w:position w:val="-23"/>
          <w:sz w:val="24"/>
          <w:szCs w:val="24"/>
        </w:rPr>
        <w:drawing>
          <wp:inline distT="0" distB="0" distL="0" distR="0">
            <wp:extent cx="64135" cy="467360"/>
            <wp:effectExtent l="0" t="0" r="0" b="0"/>
            <wp:docPr id="129" name="IM 129"/>
            <wp:cNvGraphicFramePr/>
            <a:graphic xmlns:a="http://schemas.openxmlformats.org/drawingml/2006/main">
              <a:graphicData uri="http://schemas.openxmlformats.org/drawingml/2006/picture">
                <pic:pic xmlns:pic="http://schemas.openxmlformats.org/drawingml/2006/picture">
                  <pic:nvPicPr>
                    <pic:cNvPr id="129" name="IM 129"/>
                    <pic:cNvPicPr/>
                  </pic:nvPicPr>
                  <pic:blipFill>
                    <a:blip r:embed="rId273"/>
                    <a:stretch>
                      <a:fillRect/>
                    </a:stretch>
                  </pic:blipFill>
                  <pic:spPr>
                    <a:xfrm>
                      <a:off x="0" y="0"/>
                      <a:ext cx="64195" cy="467417"/>
                    </a:xfrm>
                    <a:prstGeom prst="rect">
                      <a:avLst/>
                    </a:prstGeom>
                  </pic:spPr>
                </pic:pic>
              </a:graphicData>
            </a:graphic>
          </wp:inline>
        </w:drawing>
      </w:r>
      <w:r>
        <w:rPr>
          <w:position w:val="-17"/>
          <w:sz w:val="24"/>
          <w:szCs w:val="24"/>
        </w:rPr>
        <w:drawing>
          <wp:inline distT="0" distB="0" distL="0" distR="0">
            <wp:extent cx="565785" cy="370205"/>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274"/>
                    <a:stretch>
                      <a:fillRect/>
                    </a:stretch>
                  </pic:blipFill>
                  <pic:spPr>
                    <a:xfrm>
                      <a:off x="0" y="0"/>
                      <a:ext cx="565991" cy="370250"/>
                    </a:xfrm>
                    <a:prstGeom prst="rect">
                      <a:avLst/>
                    </a:prstGeom>
                  </pic:spPr>
                </pic:pic>
              </a:graphicData>
            </a:graphic>
          </wp:inline>
        </w:drawing>
      </w:r>
      <w:r>
        <w:rPr>
          <w:rFonts w:ascii="Times New Roman" w:hAnsi="Times New Roman" w:eastAsia="Times New Roman" w:cs="Times New Roman"/>
          <w:spacing w:val="-10"/>
          <w:position w:val="7"/>
          <w:sz w:val="24"/>
          <w:szCs w:val="24"/>
        </w:rPr>
        <w:t xml:space="preserve"> </w:t>
      </w:r>
      <w:r>
        <w:rPr>
          <w:rFonts w:ascii="微软雅黑" w:hAnsi="微软雅黑" w:eastAsia="微软雅黑" w:cs="微软雅黑"/>
          <w:spacing w:val="-10"/>
          <w:position w:val="7"/>
          <w:sz w:val="24"/>
          <w:szCs w:val="24"/>
        </w:rPr>
        <w:t xml:space="preserve">+ </w:t>
      </w:r>
      <w:r>
        <w:rPr>
          <w:position w:val="-17"/>
          <w:sz w:val="24"/>
          <w:szCs w:val="24"/>
        </w:rPr>
        <w:drawing>
          <wp:inline distT="0" distB="0" distL="0" distR="0">
            <wp:extent cx="582930" cy="370205"/>
            <wp:effectExtent l="0" t="0" r="0" b="0"/>
            <wp:docPr id="131" name="IM 131"/>
            <wp:cNvGraphicFramePr/>
            <a:graphic xmlns:a="http://schemas.openxmlformats.org/drawingml/2006/main">
              <a:graphicData uri="http://schemas.openxmlformats.org/drawingml/2006/picture">
                <pic:pic xmlns:pic="http://schemas.openxmlformats.org/drawingml/2006/picture">
                  <pic:nvPicPr>
                    <pic:cNvPr id="131" name="IM 131"/>
                    <pic:cNvPicPr/>
                  </pic:nvPicPr>
                  <pic:blipFill>
                    <a:blip r:embed="rId275"/>
                    <a:stretch>
                      <a:fillRect/>
                    </a:stretch>
                  </pic:blipFill>
                  <pic:spPr>
                    <a:xfrm>
                      <a:off x="0" y="0"/>
                      <a:ext cx="583351" cy="370250"/>
                    </a:xfrm>
                    <a:prstGeom prst="rect">
                      <a:avLst/>
                    </a:prstGeom>
                  </pic:spPr>
                </pic:pic>
              </a:graphicData>
            </a:graphic>
          </wp:inline>
        </w:drawing>
      </w:r>
      <w:r>
        <w:rPr>
          <w:rFonts w:ascii="微软雅黑" w:hAnsi="微软雅黑" w:eastAsia="微软雅黑" w:cs="微软雅黑"/>
          <w:spacing w:val="-10"/>
          <w:position w:val="7"/>
          <w:sz w:val="24"/>
          <w:szCs w:val="24"/>
        </w:rPr>
        <w:t xml:space="preserve"> + </w:t>
      </w:r>
      <w:r>
        <w:rPr>
          <w:position w:val="-18"/>
          <w:sz w:val="24"/>
          <w:szCs w:val="24"/>
        </w:rPr>
        <w:drawing>
          <wp:inline distT="0" distB="0" distL="0" distR="0">
            <wp:extent cx="577215" cy="37084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276"/>
                    <a:stretch>
                      <a:fillRect/>
                    </a:stretch>
                  </pic:blipFill>
                  <pic:spPr>
                    <a:xfrm>
                      <a:off x="0" y="0"/>
                      <a:ext cx="577568" cy="371251"/>
                    </a:xfrm>
                    <a:prstGeom prst="rect">
                      <a:avLst/>
                    </a:prstGeom>
                  </pic:spPr>
                </pic:pic>
              </a:graphicData>
            </a:graphic>
          </wp:inline>
        </w:drawing>
      </w:r>
      <w:r>
        <w:rPr>
          <w:rFonts w:ascii="微软雅黑" w:hAnsi="微软雅黑" w:eastAsia="微软雅黑" w:cs="微软雅黑"/>
          <w:spacing w:val="-10"/>
          <w:position w:val="3"/>
          <w:sz w:val="24"/>
          <w:szCs w:val="24"/>
        </w:rPr>
        <w:t>))||</w:t>
      </w:r>
    </w:p>
    <w:p>
      <w:pPr>
        <w:spacing w:before="117" w:line="281" w:lineRule="exact"/>
        <w:ind w:left="423"/>
        <w:rPr>
          <w:rFonts w:ascii="宋体" w:hAnsi="宋体" w:eastAsia="宋体" w:cs="宋体"/>
          <w:sz w:val="20"/>
          <w:szCs w:val="20"/>
        </w:rPr>
      </w:pPr>
      <w:r>
        <w:rPr>
          <w:rFonts w:ascii="宋体" w:hAnsi="宋体" w:eastAsia="宋体" w:cs="宋体"/>
          <w:spacing w:val="14"/>
          <w:position w:val="1"/>
          <w:sz w:val="20"/>
          <w:szCs w:val="20"/>
        </w:rPr>
        <w:t>式</w:t>
      </w:r>
      <w:r>
        <w:rPr>
          <w:rFonts w:ascii="宋体" w:hAnsi="宋体" w:eastAsia="宋体" w:cs="宋体"/>
          <w:spacing w:val="9"/>
          <w:position w:val="1"/>
          <w:sz w:val="20"/>
          <w:szCs w:val="20"/>
        </w:rPr>
        <w:t>中</w:t>
      </w:r>
      <w:r>
        <w:rPr>
          <w:rFonts w:ascii="宋体" w:hAnsi="宋体" w:eastAsia="宋体" w:cs="宋体"/>
          <w:spacing w:val="7"/>
          <w:position w:val="1"/>
          <w:sz w:val="20"/>
          <w:szCs w:val="20"/>
        </w:rPr>
        <w:t>：</w:t>
      </w:r>
      <w:r>
        <w:rPr>
          <w:rFonts w:ascii="Times New Roman" w:hAnsi="Times New Roman" w:eastAsia="Times New Roman" w:cs="Times New Roman"/>
          <w:position w:val="1"/>
          <w:sz w:val="20"/>
          <w:szCs w:val="20"/>
        </w:rPr>
        <w:t>A</w:t>
      </w:r>
      <w:r>
        <w:rPr>
          <w:rFonts w:ascii="Times New Roman" w:hAnsi="Times New Roman" w:eastAsia="Times New Roman" w:cs="Times New Roman"/>
          <w:sz w:val="13"/>
          <w:szCs w:val="13"/>
        </w:rPr>
        <w:t>bar</w:t>
      </w:r>
      <w:r>
        <w:rPr>
          <w:rFonts w:ascii="Times New Roman" w:hAnsi="Times New Roman" w:eastAsia="Times New Roman" w:cs="Times New Roman"/>
          <w:spacing w:val="7"/>
          <w:sz w:val="13"/>
          <w:szCs w:val="13"/>
        </w:rPr>
        <w:t xml:space="preserve"> </w:t>
      </w:r>
      <w:r>
        <w:rPr>
          <w:rFonts w:ascii="Times New Roman" w:hAnsi="Times New Roman" w:eastAsia="Times New Roman" w:cs="Times New Roman"/>
          <w:spacing w:val="7"/>
          <w:position w:val="1"/>
          <w:sz w:val="20"/>
          <w:szCs w:val="20"/>
        </w:rPr>
        <w:t xml:space="preserve">—— </w:t>
      </w:r>
      <w:r>
        <w:rPr>
          <w:rFonts w:ascii="宋体" w:hAnsi="宋体" w:eastAsia="宋体" w:cs="宋体"/>
          <w:spacing w:val="7"/>
          <w:position w:val="1"/>
          <w:sz w:val="20"/>
          <w:szCs w:val="20"/>
        </w:rPr>
        <w:t>障碍物屏蔽引起的衰减，</w:t>
      </w:r>
      <w:r>
        <w:rPr>
          <w:rFonts w:ascii="Times New Roman" w:hAnsi="Times New Roman" w:eastAsia="Times New Roman" w:cs="Times New Roman"/>
          <w:position w:val="1"/>
          <w:sz w:val="20"/>
          <w:szCs w:val="20"/>
        </w:rPr>
        <w:t>dB</w:t>
      </w:r>
      <w:r>
        <w:rPr>
          <w:rFonts w:ascii="宋体" w:hAnsi="宋体" w:eastAsia="宋体" w:cs="宋体"/>
          <w:spacing w:val="7"/>
          <w:position w:val="1"/>
          <w:sz w:val="20"/>
          <w:szCs w:val="20"/>
        </w:rPr>
        <w:t>；</w:t>
      </w:r>
    </w:p>
    <w:p>
      <w:pPr>
        <w:spacing w:before="120" w:line="281" w:lineRule="exact"/>
        <w:ind w:left="1037"/>
        <w:rPr>
          <w:rFonts w:ascii="宋体" w:hAnsi="宋体" w:eastAsia="宋体" w:cs="宋体"/>
          <w:sz w:val="20"/>
          <w:szCs w:val="20"/>
        </w:rPr>
      </w:pPr>
      <w:r>
        <w:rPr>
          <w:rFonts w:ascii="Times New Roman" w:hAnsi="Times New Roman" w:eastAsia="Times New Roman" w:cs="Times New Roman"/>
          <w:position w:val="1"/>
          <w:sz w:val="20"/>
          <w:szCs w:val="20"/>
        </w:rPr>
        <w:t>N</w:t>
      </w:r>
      <w:r>
        <w:rPr>
          <w:rFonts w:ascii="Times New Roman" w:hAnsi="Times New Roman" w:eastAsia="Times New Roman" w:cs="Times New Roman"/>
          <w:spacing w:val="8"/>
          <w:sz w:val="13"/>
          <w:szCs w:val="13"/>
        </w:rPr>
        <w:t xml:space="preserve">1 </w:t>
      </w:r>
      <w:r>
        <w:rPr>
          <w:rFonts w:ascii="宋体" w:hAnsi="宋体" w:eastAsia="宋体" w:cs="宋体"/>
          <w:spacing w:val="8"/>
          <w:position w:val="1"/>
          <w:sz w:val="20"/>
          <w:szCs w:val="20"/>
        </w:rPr>
        <w:t>、</w:t>
      </w:r>
      <w:r>
        <w:rPr>
          <w:rFonts w:ascii="Times New Roman" w:hAnsi="Times New Roman" w:eastAsia="Times New Roman" w:cs="Times New Roman"/>
          <w:position w:val="1"/>
          <w:sz w:val="20"/>
          <w:szCs w:val="20"/>
        </w:rPr>
        <w:t>N</w:t>
      </w:r>
      <w:r>
        <w:rPr>
          <w:rFonts w:ascii="Times New Roman" w:hAnsi="Times New Roman" w:eastAsia="Times New Roman" w:cs="Times New Roman"/>
          <w:spacing w:val="8"/>
          <w:sz w:val="13"/>
          <w:szCs w:val="13"/>
        </w:rPr>
        <w:t xml:space="preserve">2 </w:t>
      </w:r>
      <w:r>
        <w:rPr>
          <w:rFonts w:ascii="宋体" w:hAnsi="宋体" w:eastAsia="宋体" w:cs="宋体"/>
          <w:spacing w:val="8"/>
          <w:position w:val="1"/>
          <w:sz w:val="20"/>
          <w:szCs w:val="20"/>
        </w:rPr>
        <w:t>、</w:t>
      </w:r>
      <w:r>
        <w:rPr>
          <w:rFonts w:ascii="Times New Roman" w:hAnsi="Times New Roman" w:eastAsia="Times New Roman" w:cs="Times New Roman"/>
          <w:position w:val="1"/>
          <w:sz w:val="20"/>
          <w:szCs w:val="20"/>
        </w:rPr>
        <w:t>N</w:t>
      </w:r>
      <w:r>
        <w:rPr>
          <w:rFonts w:ascii="Times New Roman" w:hAnsi="Times New Roman" w:eastAsia="Times New Roman" w:cs="Times New Roman"/>
          <w:spacing w:val="8"/>
          <w:sz w:val="13"/>
          <w:szCs w:val="13"/>
        </w:rPr>
        <w:t>3</w:t>
      </w:r>
      <w:r>
        <w:rPr>
          <w:rFonts w:ascii="Times New Roman" w:hAnsi="Times New Roman" w:eastAsia="Times New Roman" w:cs="Times New Roman"/>
          <w:spacing w:val="6"/>
          <w:position w:val="1"/>
          <w:sz w:val="20"/>
          <w:szCs w:val="20"/>
        </w:rPr>
        <w:t>—</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上图所示三个传播途径的声程差</w:t>
      </w:r>
      <w:r>
        <w:rPr>
          <w:rFonts w:ascii="Times New Roman" w:hAnsi="Times New Roman" w:eastAsia="Times New Roman" w:cs="Times New Roman"/>
          <w:spacing w:val="4"/>
          <w:position w:val="1"/>
          <w:sz w:val="20"/>
          <w:szCs w:val="20"/>
        </w:rPr>
        <w:t>δ</w:t>
      </w:r>
      <w:r>
        <w:rPr>
          <w:rFonts w:ascii="Times New Roman" w:hAnsi="Times New Roman" w:eastAsia="Times New Roman" w:cs="Times New Roman"/>
          <w:spacing w:val="4"/>
          <w:sz w:val="13"/>
          <w:szCs w:val="13"/>
        </w:rPr>
        <w:t xml:space="preserve">1 </w:t>
      </w:r>
      <w:r>
        <w:rPr>
          <w:rFonts w:ascii="宋体" w:hAnsi="宋体" w:eastAsia="宋体" w:cs="宋体"/>
          <w:spacing w:val="4"/>
          <w:position w:val="1"/>
          <w:sz w:val="20"/>
          <w:szCs w:val="20"/>
        </w:rPr>
        <w:t>，</w:t>
      </w:r>
      <w:r>
        <w:rPr>
          <w:rFonts w:ascii="Times New Roman" w:hAnsi="Times New Roman" w:eastAsia="Times New Roman" w:cs="Times New Roman"/>
          <w:spacing w:val="4"/>
          <w:position w:val="1"/>
          <w:sz w:val="20"/>
          <w:szCs w:val="20"/>
        </w:rPr>
        <w:t>δ</w:t>
      </w:r>
      <w:r>
        <w:rPr>
          <w:rFonts w:ascii="Times New Roman" w:hAnsi="Times New Roman" w:eastAsia="Times New Roman" w:cs="Times New Roman"/>
          <w:spacing w:val="4"/>
          <w:sz w:val="13"/>
          <w:szCs w:val="13"/>
        </w:rPr>
        <w:t xml:space="preserve">2 </w:t>
      </w:r>
      <w:r>
        <w:rPr>
          <w:rFonts w:ascii="宋体" w:hAnsi="宋体" w:eastAsia="宋体" w:cs="宋体"/>
          <w:spacing w:val="4"/>
          <w:position w:val="1"/>
          <w:sz w:val="20"/>
          <w:szCs w:val="20"/>
        </w:rPr>
        <w:t>，</w:t>
      </w:r>
      <w:r>
        <w:rPr>
          <w:rFonts w:ascii="Times New Roman" w:hAnsi="Times New Roman" w:eastAsia="Times New Roman" w:cs="Times New Roman"/>
          <w:spacing w:val="4"/>
          <w:position w:val="1"/>
          <w:sz w:val="20"/>
          <w:szCs w:val="20"/>
        </w:rPr>
        <w:t>δ</w:t>
      </w:r>
      <w:r>
        <w:rPr>
          <w:rFonts w:ascii="Times New Roman" w:hAnsi="Times New Roman" w:eastAsia="Times New Roman" w:cs="Times New Roman"/>
          <w:spacing w:val="4"/>
          <w:sz w:val="13"/>
          <w:szCs w:val="13"/>
        </w:rPr>
        <w:t>3</w:t>
      </w:r>
      <w:r>
        <w:rPr>
          <w:rFonts w:ascii="宋体" w:hAnsi="宋体" w:eastAsia="宋体" w:cs="宋体"/>
          <w:spacing w:val="4"/>
          <w:position w:val="1"/>
          <w:sz w:val="20"/>
          <w:szCs w:val="20"/>
        </w:rPr>
        <w:t>相应的菲涅尔数。</w:t>
      </w:r>
    </w:p>
    <w:p>
      <w:pPr>
        <w:spacing w:before="157" w:line="228" w:lineRule="auto"/>
        <w:ind w:left="432"/>
        <w:rPr>
          <w:rFonts w:ascii="宋体" w:hAnsi="宋体" w:eastAsia="宋体" w:cs="宋体"/>
          <w:sz w:val="20"/>
          <w:szCs w:val="20"/>
        </w:rPr>
      </w:pPr>
      <w:r>
        <w:rPr>
          <w:rFonts w:ascii="宋体" w:hAnsi="宋体" w:eastAsia="宋体" w:cs="宋体"/>
          <w:spacing w:val="16"/>
          <w:sz w:val="20"/>
          <w:szCs w:val="20"/>
        </w:rPr>
        <w:t>当屏</w:t>
      </w:r>
      <w:r>
        <w:rPr>
          <w:rFonts w:ascii="宋体" w:hAnsi="宋体" w:eastAsia="宋体" w:cs="宋体"/>
          <w:spacing w:val="11"/>
          <w:sz w:val="20"/>
          <w:szCs w:val="20"/>
        </w:rPr>
        <w:t>障</w:t>
      </w:r>
      <w:r>
        <w:rPr>
          <w:rFonts w:ascii="宋体" w:hAnsi="宋体" w:eastAsia="宋体" w:cs="宋体"/>
          <w:spacing w:val="8"/>
          <w:sz w:val="20"/>
          <w:szCs w:val="20"/>
        </w:rPr>
        <w:t>很长 (作无限长处理) 时，仅可考虑顶端绕射衰减，按下式进行计算。</w:t>
      </w:r>
    </w:p>
    <w:p>
      <w:pPr>
        <w:spacing w:before="49"/>
        <w:ind w:left="3237"/>
        <w:rPr>
          <w:rFonts w:ascii="微软雅黑" w:hAnsi="微软雅黑" w:eastAsia="微软雅黑" w:cs="微软雅黑"/>
          <w:sz w:val="24"/>
          <w:szCs w:val="24"/>
        </w:rPr>
      </w:pPr>
      <w:r>
        <w:rPr>
          <w:rFonts w:ascii="Times New Roman" w:hAnsi="Times New Roman" w:eastAsia="Times New Roman" w:cs="Times New Roman"/>
          <w:i/>
          <w:iCs/>
          <w:spacing w:val="-3"/>
          <w:position w:val="5"/>
          <w:sz w:val="24"/>
          <w:szCs w:val="24"/>
        </w:rPr>
        <w:t>A</w:t>
      </w:r>
      <w:r>
        <w:rPr>
          <w:rFonts w:ascii="Times New Roman" w:hAnsi="Times New Roman" w:eastAsia="Times New Roman" w:cs="Times New Roman"/>
          <w:spacing w:val="-3"/>
          <w:sz w:val="14"/>
          <w:szCs w:val="14"/>
        </w:rPr>
        <w:t>bar</w:t>
      </w:r>
      <w:r>
        <w:rPr>
          <w:rFonts w:ascii="Times New Roman" w:hAnsi="Times New Roman" w:eastAsia="Times New Roman" w:cs="Times New Roman"/>
          <w:spacing w:val="-6"/>
          <w:sz w:val="14"/>
          <w:szCs w:val="14"/>
        </w:rPr>
        <w:t xml:space="preserve"> </w:t>
      </w:r>
      <w:r>
        <w:rPr>
          <w:rFonts w:ascii="Times New Roman" w:hAnsi="Times New Roman" w:eastAsia="Times New Roman" w:cs="Times New Roman"/>
          <w:spacing w:val="-5"/>
          <w:sz w:val="14"/>
          <w:szCs w:val="14"/>
        </w:rPr>
        <w:t xml:space="preserve"> </w:t>
      </w:r>
      <w:r>
        <w:rPr>
          <w:rFonts w:ascii="微软雅黑" w:hAnsi="微软雅黑" w:eastAsia="微软雅黑" w:cs="微软雅黑"/>
          <w:spacing w:val="-3"/>
          <w:position w:val="5"/>
          <w:sz w:val="24"/>
          <w:szCs w:val="24"/>
        </w:rPr>
        <w:t>= -</w:t>
      </w:r>
      <w:r>
        <w:rPr>
          <w:rFonts w:ascii="Times New Roman" w:hAnsi="Times New Roman" w:eastAsia="Times New Roman" w:cs="Times New Roman"/>
          <w:spacing w:val="-3"/>
          <w:position w:val="5"/>
          <w:sz w:val="24"/>
          <w:szCs w:val="24"/>
        </w:rPr>
        <w:t>10lg</w:t>
      </w:r>
      <w:r>
        <w:rPr>
          <w:position w:val="-25"/>
          <w:sz w:val="24"/>
          <w:szCs w:val="24"/>
        </w:rPr>
        <w:drawing>
          <wp:inline distT="0" distB="0" distL="0" distR="0">
            <wp:extent cx="64770" cy="464820"/>
            <wp:effectExtent l="0" t="0" r="0" b="0"/>
            <wp:docPr id="133" name="IM 133"/>
            <wp:cNvGraphicFramePr/>
            <a:graphic xmlns:a="http://schemas.openxmlformats.org/drawingml/2006/main">
              <a:graphicData uri="http://schemas.openxmlformats.org/drawingml/2006/picture">
                <pic:pic xmlns:pic="http://schemas.openxmlformats.org/drawingml/2006/picture">
                  <pic:nvPicPr>
                    <pic:cNvPr id="133" name="IM 133"/>
                    <pic:cNvPicPr/>
                  </pic:nvPicPr>
                  <pic:blipFill>
                    <a:blip r:embed="rId277"/>
                    <a:stretch>
                      <a:fillRect/>
                    </a:stretch>
                  </pic:blipFill>
                  <pic:spPr>
                    <a:xfrm>
                      <a:off x="0" y="0"/>
                      <a:ext cx="65055" cy="464941"/>
                    </a:xfrm>
                    <a:prstGeom prst="rect">
                      <a:avLst/>
                    </a:prstGeom>
                  </pic:spPr>
                </pic:pic>
              </a:graphicData>
            </a:graphic>
          </wp:inline>
        </w:drawing>
      </w:r>
      <w:r>
        <w:rPr>
          <w:position w:val="-19"/>
          <w:sz w:val="24"/>
          <w:szCs w:val="24"/>
        </w:rPr>
        <w:drawing>
          <wp:inline distT="0" distB="0" distL="0" distR="0">
            <wp:extent cx="573405" cy="37020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278"/>
                    <a:stretch>
                      <a:fillRect/>
                    </a:stretch>
                  </pic:blipFill>
                  <pic:spPr>
                    <a:xfrm>
                      <a:off x="0" y="0"/>
                      <a:ext cx="573677" cy="370250"/>
                    </a:xfrm>
                    <a:prstGeom prst="rect">
                      <a:avLst/>
                    </a:prstGeom>
                  </pic:spPr>
                </pic:pic>
              </a:graphicData>
            </a:graphic>
          </wp:inline>
        </w:drawing>
      </w:r>
      <w:r>
        <w:rPr>
          <w:rFonts w:ascii="微软雅黑" w:hAnsi="微软雅黑" w:eastAsia="微软雅黑" w:cs="微软雅黑"/>
          <w:spacing w:val="-3"/>
          <w:position w:val="1"/>
          <w:sz w:val="24"/>
          <w:szCs w:val="24"/>
        </w:rPr>
        <w:t>))||</w:t>
      </w:r>
    </w:p>
    <w:p>
      <w:pPr>
        <w:spacing w:before="123" w:line="281" w:lineRule="exact"/>
        <w:ind w:left="423"/>
        <w:rPr>
          <w:rFonts w:ascii="宋体" w:hAnsi="宋体" w:eastAsia="宋体" w:cs="宋体"/>
          <w:sz w:val="20"/>
          <w:szCs w:val="20"/>
        </w:rPr>
      </w:pPr>
      <w:r>
        <w:rPr>
          <w:rFonts w:ascii="宋体" w:hAnsi="宋体" w:eastAsia="宋体" w:cs="宋体"/>
          <w:spacing w:val="14"/>
          <w:position w:val="1"/>
          <w:sz w:val="20"/>
          <w:szCs w:val="20"/>
        </w:rPr>
        <w:t>式</w:t>
      </w:r>
      <w:r>
        <w:rPr>
          <w:rFonts w:ascii="宋体" w:hAnsi="宋体" w:eastAsia="宋体" w:cs="宋体"/>
          <w:spacing w:val="9"/>
          <w:position w:val="1"/>
          <w:sz w:val="20"/>
          <w:szCs w:val="20"/>
        </w:rPr>
        <w:t>中</w:t>
      </w:r>
      <w:r>
        <w:rPr>
          <w:rFonts w:ascii="宋体" w:hAnsi="宋体" w:eastAsia="宋体" w:cs="宋体"/>
          <w:spacing w:val="7"/>
          <w:position w:val="1"/>
          <w:sz w:val="20"/>
          <w:szCs w:val="20"/>
        </w:rPr>
        <w:t>：</w:t>
      </w:r>
      <w:r>
        <w:rPr>
          <w:rFonts w:ascii="Times New Roman" w:hAnsi="Times New Roman" w:eastAsia="Times New Roman" w:cs="Times New Roman"/>
          <w:position w:val="1"/>
          <w:sz w:val="20"/>
          <w:szCs w:val="20"/>
        </w:rPr>
        <w:t>A</w:t>
      </w:r>
      <w:r>
        <w:rPr>
          <w:rFonts w:ascii="Times New Roman" w:hAnsi="Times New Roman" w:eastAsia="Times New Roman" w:cs="Times New Roman"/>
          <w:sz w:val="13"/>
          <w:szCs w:val="13"/>
        </w:rPr>
        <w:t>bar</w:t>
      </w:r>
      <w:r>
        <w:rPr>
          <w:rFonts w:ascii="Times New Roman" w:hAnsi="Times New Roman" w:eastAsia="Times New Roman" w:cs="Times New Roman"/>
          <w:spacing w:val="7"/>
          <w:sz w:val="13"/>
          <w:szCs w:val="13"/>
        </w:rPr>
        <w:t xml:space="preserve"> </w:t>
      </w:r>
      <w:r>
        <w:rPr>
          <w:rFonts w:ascii="Times New Roman" w:hAnsi="Times New Roman" w:eastAsia="Times New Roman" w:cs="Times New Roman"/>
          <w:spacing w:val="7"/>
          <w:position w:val="1"/>
          <w:sz w:val="20"/>
          <w:szCs w:val="20"/>
        </w:rPr>
        <w:t xml:space="preserve">—— </w:t>
      </w:r>
      <w:r>
        <w:rPr>
          <w:rFonts w:ascii="宋体" w:hAnsi="宋体" w:eastAsia="宋体" w:cs="宋体"/>
          <w:spacing w:val="7"/>
          <w:position w:val="1"/>
          <w:sz w:val="20"/>
          <w:szCs w:val="20"/>
        </w:rPr>
        <w:t>障碍物屏蔽引起的衰减，</w:t>
      </w:r>
      <w:r>
        <w:rPr>
          <w:rFonts w:ascii="Times New Roman" w:hAnsi="Times New Roman" w:eastAsia="Times New Roman" w:cs="Times New Roman"/>
          <w:position w:val="1"/>
          <w:sz w:val="20"/>
          <w:szCs w:val="20"/>
        </w:rPr>
        <w:t>dB</w:t>
      </w:r>
      <w:r>
        <w:rPr>
          <w:rFonts w:ascii="宋体" w:hAnsi="宋体" w:eastAsia="宋体" w:cs="宋体"/>
          <w:spacing w:val="7"/>
          <w:position w:val="1"/>
          <w:sz w:val="20"/>
          <w:szCs w:val="20"/>
        </w:rPr>
        <w:t>；</w:t>
      </w:r>
    </w:p>
    <w:p>
      <w:pPr>
        <w:spacing w:before="119" w:line="399" w:lineRule="exact"/>
        <w:ind w:left="1037"/>
        <w:rPr>
          <w:rFonts w:ascii="宋体" w:hAnsi="宋体" w:eastAsia="宋体" w:cs="宋体"/>
          <w:sz w:val="20"/>
          <w:szCs w:val="20"/>
        </w:rPr>
      </w:pPr>
      <w:r>
        <w:rPr>
          <w:rFonts w:ascii="Times New Roman" w:hAnsi="Times New Roman" w:eastAsia="Times New Roman" w:cs="Times New Roman"/>
          <w:position w:val="11"/>
          <w:sz w:val="20"/>
          <w:szCs w:val="20"/>
        </w:rPr>
        <w:t>N</w:t>
      </w:r>
      <w:r>
        <w:rPr>
          <w:rFonts w:ascii="Times New Roman" w:hAnsi="Times New Roman" w:eastAsia="Times New Roman" w:cs="Times New Roman"/>
          <w:spacing w:val="12"/>
          <w:position w:val="10"/>
          <w:sz w:val="13"/>
          <w:szCs w:val="13"/>
        </w:rPr>
        <w:t>1</w:t>
      </w:r>
      <w:r>
        <w:rPr>
          <w:rFonts w:ascii="Times New Roman" w:hAnsi="Times New Roman" w:eastAsia="Times New Roman" w:cs="Times New Roman"/>
          <w:spacing w:val="9"/>
          <w:position w:val="11"/>
          <w:sz w:val="20"/>
          <w:szCs w:val="20"/>
        </w:rPr>
        <w:t>——</w:t>
      </w:r>
      <w:r>
        <w:rPr>
          <w:rFonts w:ascii="宋体" w:hAnsi="宋体" w:eastAsia="宋体" w:cs="宋体"/>
          <w:spacing w:val="9"/>
          <w:position w:val="11"/>
          <w:sz w:val="20"/>
          <w:szCs w:val="20"/>
        </w:rPr>
        <w:t>顶端绕射的声程差</w:t>
      </w:r>
      <w:r>
        <w:rPr>
          <w:rFonts w:ascii="Times New Roman" w:hAnsi="Times New Roman" w:eastAsia="Times New Roman" w:cs="Times New Roman"/>
          <w:spacing w:val="9"/>
          <w:position w:val="11"/>
          <w:sz w:val="20"/>
          <w:szCs w:val="20"/>
        </w:rPr>
        <w:t>δ1</w:t>
      </w:r>
      <w:r>
        <w:rPr>
          <w:rFonts w:ascii="宋体" w:hAnsi="宋体" w:eastAsia="宋体" w:cs="宋体"/>
          <w:spacing w:val="9"/>
          <w:position w:val="11"/>
          <w:sz w:val="20"/>
          <w:szCs w:val="20"/>
        </w:rPr>
        <w:t>相应的菲涅尔数。</w:t>
      </w:r>
    </w:p>
    <w:p>
      <w:pPr>
        <w:spacing w:line="281" w:lineRule="exact"/>
        <w:ind w:left="411"/>
        <w:rPr>
          <w:rFonts w:ascii="宋体" w:hAnsi="宋体" w:eastAsia="宋体" w:cs="宋体"/>
          <w:sz w:val="20"/>
          <w:szCs w:val="20"/>
        </w:rPr>
      </w:pPr>
      <w:r>
        <w:rPr>
          <w:rFonts w:ascii="Times New Roman" w:hAnsi="Times New Roman" w:eastAsia="Times New Roman" w:cs="Times New Roman"/>
          <w:position w:val="1"/>
          <w:sz w:val="20"/>
          <w:szCs w:val="20"/>
        </w:rPr>
        <w:t>b</w:t>
      </w:r>
      <w:r>
        <w:rPr>
          <w:rFonts w:ascii="宋体" w:hAnsi="宋体" w:eastAsia="宋体" w:cs="宋体"/>
          <w:spacing w:val="9"/>
          <w:position w:val="1"/>
          <w:sz w:val="20"/>
          <w:szCs w:val="20"/>
        </w:rPr>
        <w:t>) 双绕射计算</w:t>
      </w:r>
    </w:p>
    <w:p>
      <w:pPr>
        <w:spacing w:before="16" w:line="2340" w:lineRule="exact"/>
        <w:ind w:firstLine="428"/>
        <w:textAlignment w:val="center"/>
      </w:pPr>
      <w:r>
        <w:drawing>
          <wp:inline distT="0" distB="0" distL="0" distR="0">
            <wp:extent cx="5057775" cy="1485265"/>
            <wp:effectExtent l="0" t="0" r="0" b="0"/>
            <wp:docPr id="135" name="IM 135"/>
            <wp:cNvGraphicFramePr/>
            <a:graphic xmlns:a="http://schemas.openxmlformats.org/drawingml/2006/main">
              <a:graphicData uri="http://schemas.openxmlformats.org/drawingml/2006/picture">
                <pic:pic xmlns:pic="http://schemas.openxmlformats.org/drawingml/2006/picture">
                  <pic:nvPicPr>
                    <pic:cNvPr id="135" name="IM 135"/>
                    <pic:cNvPicPr/>
                  </pic:nvPicPr>
                  <pic:blipFill>
                    <a:blip r:embed="rId279"/>
                    <a:stretch>
                      <a:fillRect/>
                    </a:stretch>
                  </pic:blipFill>
                  <pic:spPr>
                    <a:xfrm>
                      <a:off x="0" y="0"/>
                      <a:ext cx="5058155" cy="1485899"/>
                    </a:xfrm>
                    <a:prstGeom prst="rect">
                      <a:avLst/>
                    </a:prstGeom>
                  </pic:spPr>
                </pic:pic>
              </a:graphicData>
            </a:graphic>
          </wp:inline>
        </w:drawing>
      </w:r>
    </w:p>
    <w:p>
      <w:pPr>
        <w:spacing w:before="99" w:line="231" w:lineRule="auto"/>
        <w:ind w:left="2833"/>
        <w:rPr>
          <w:rFonts w:ascii="黑体" w:hAnsi="黑体" w:eastAsia="黑体" w:cs="黑体"/>
          <w:sz w:val="19"/>
          <w:szCs w:val="19"/>
        </w:rPr>
      </w:pPr>
      <w:r>
        <w:rPr>
          <w:rFonts w:ascii="黑体" w:hAnsi="黑体" w:eastAsia="黑体" w:cs="黑体"/>
          <w:spacing w:val="11"/>
          <w:sz w:val="19"/>
          <w:szCs w:val="19"/>
        </w:rPr>
        <w:t>图</w:t>
      </w:r>
      <w:r>
        <w:rPr>
          <w:rFonts w:ascii="Times New Roman" w:hAnsi="Times New Roman" w:eastAsia="Times New Roman" w:cs="Times New Roman"/>
          <w:spacing w:val="8"/>
          <w:sz w:val="19"/>
          <w:szCs w:val="19"/>
        </w:rPr>
        <w:t>11</w:t>
      </w:r>
      <w:r>
        <w:rPr>
          <w:rFonts w:ascii="黑体" w:hAnsi="黑体" w:eastAsia="黑体" w:cs="黑体"/>
          <w:spacing w:val="8"/>
          <w:sz w:val="19"/>
          <w:szCs w:val="19"/>
        </w:rPr>
        <w:t>：利用建筑物、土堤作为厚屏障</w:t>
      </w:r>
    </w:p>
    <w:p>
      <w:pPr>
        <w:spacing w:before="98" w:line="281" w:lineRule="exact"/>
        <w:ind w:left="418"/>
        <w:rPr>
          <w:rFonts w:ascii="宋体" w:hAnsi="宋体" w:eastAsia="宋体" w:cs="宋体"/>
          <w:sz w:val="20"/>
          <w:szCs w:val="20"/>
        </w:rPr>
      </w:pPr>
      <w:r>
        <w:rPr>
          <w:rFonts w:ascii="宋体" w:hAnsi="宋体" w:eastAsia="宋体" w:cs="宋体"/>
          <w:spacing w:val="18"/>
          <w:position w:val="1"/>
          <w:sz w:val="20"/>
          <w:szCs w:val="20"/>
        </w:rPr>
        <w:t>对</w:t>
      </w:r>
      <w:r>
        <w:rPr>
          <w:rFonts w:ascii="宋体" w:hAnsi="宋体" w:eastAsia="宋体" w:cs="宋体"/>
          <w:spacing w:val="10"/>
          <w:position w:val="1"/>
          <w:sz w:val="20"/>
          <w:szCs w:val="20"/>
        </w:rPr>
        <w:t>于</w:t>
      </w:r>
      <w:r>
        <w:rPr>
          <w:rFonts w:ascii="宋体" w:hAnsi="宋体" w:eastAsia="宋体" w:cs="宋体"/>
          <w:spacing w:val="9"/>
          <w:position w:val="1"/>
          <w:sz w:val="20"/>
          <w:szCs w:val="20"/>
        </w:rPr>
        <w:t>上图所示的双绕射情形，可由下式计算绕射声与直达声之间的声程差</w:t>
      </w:r>
      <w:r>
        <w:rPr>
          <w:rFonts w:ascii="Times New Roman" w:hAnsi="Times New Roman" w:eastAsia="Times New Roman" w:cs="Times New Roman"/>
          <w:spacing w:val="9"/>
          <w:position w:val="1"/>
          <w:sz w:val="20"/>
          <w:szCs w:val="20"/>
        </w:rPr>
        <w:t>δ</w:t>
      </w:r>
      <w:r>
        <w:rPr>
          <w:rFonts w:ascii="宋体" w:hAnsi="宋体" w:eastAsia="宋体" w:cs="宋体"/>
          <w:spacing w:val="9"/>
          <w:position w:val="1"/>
          <w:sz w:val="20"/>
          <w:szCs w:val="20"/>
        </w:rPr>
        <w:t>：</w:t>
      </w:r>
    </w:p>
    <w:p>
      <w:pPr>
        <w:spacing w:before="1" w:line="215" w:lineRule="auto"/>
        <w:ind w:left="3038"/>
        <w:rPr>
          <w:rFonts w:ascii="Times New Roman" w:hAnsi="Times New Roman" w:eastAsia="Times New Roman" w:cs="Times New Roman"/>
          <w:sz w:val="24"/>
          <w:szCs w:val="24"/>
        </w:rPr>
      </w:pPr>
      <w:r>
        <w:rPr>
          <w:rFonts w:ascii="Times New Roman" w:hAnsi="Times New Roman" w:eastAsia="Times New Roman" w:cs="Times New Roman"/>
          <w:spacing w:val="-28"/>
          <w:sz w:val="24"/>
          <w:szCs w:val="24"/>
        </w:rPr>
        <w:t>δ</w:t>
      </w:r>
      <w:r>
        <w:rPr>
          <w:rFonts w:ascii="Times New Roman" w:hAnsi="Times New Roman" w:eastAsia="Times New Roman" w:cs="Times New Roman"/>
          <w:spacing w:val="-26"/>
          <w:sz w:val="24"/>
          <w:szCs w:val="24"/>
        </w:rPr>
        <w:t xml:space="preserve"> </w:t>
      </w:r>
      <w:r>
        <w:rPr>
          <w:rFonts w:ascii="微软雅黑" w:hAnsi="微软雅黑" w:eastAsia="微软雅黑" w:cs="微软雅黑"/>
          <w:spacing w:val="-14"/>
          <w:sz w:val="24"/>
          <w:szCs w:val="24"/>
        </w:rPr>
        <w:t xml:space="preserve">= </w:t>
      </w:r>
      <w:r>
        <w:rPr>
          <w:rFonts w:ascii="微软雅黑" w:hAnsi="微软雅黑" w:eastAsia="微软雅黑" w:cs="微软雅黑"/>
          <w:spacing w:val="-14"/>
          <w:sz w:val="44"/>
          <w:szCs w:val="44"/>
        </w:rPr>
        <w:t>[</w:t>
      </w:r>
      <w:r>
        <w:rPr>
          <w:rFonts w:ascii="微软雅黑" w:hAnsi="微软雅黑" w:eastAsia="微软雅黑" w:cs="微软雅黑"/>
          <w:spacing w:val="-14"/>
          <w:sz w:val="32"/>
          <w:szCs w:val="32"/>
        </w:rPr>
        <w:t>(</w:t>
      </w:r>
      <w:r>
        <w:rPr>
          <w:rFonts w:ascii="Times New Roman" w:hAnsi="Times New Roman" w:eastAsia="Times New Roman" w:cs="Times New Roman"/>
          <w:spacing w:val="-14"/>
          <w:sz w:val="24"/>
          <w:szCs w:val="24"/>
        </w:rPr>
        <w:t>d</w:t>
      </w:r>
      <w:r>
        <w:rPr>
          <w:rFonts w:ascii="Times New Roman" w:hAnsi="Times New Roman" w:eastAsia="Times New Roman" w:cs="Times New Roman"/>
          <w:i/>
          <w:iCs/>
          <w:spacing w:val="-14"/>
          <w:position w:val="-6"/>
          <w:sz w:val="14"/>
          <w:szCs w:val="14"/>
        </w:rPr>
        <w:t>ss</w:t>
      </w:r>
      <w:r>
        <w:rPr>
          <w:rFonts w:ascii="Times New Roman" w:hAnsi="Times New Roman" w:eastAsia="Times New Roman" w:cs="Times New Roman"/>
          <w:spacing w:val="-14"/>
          <w:position w:val="-6"/>
          <w:sz w:val="14"/>
          <w:szCs w:val="14"/>
        </w:rPr>
        <w:t xml:space="preserve">  </w:t>
      </w:r>
      <w:r>
        <w:rPr>
          <w:rFonts w:ascii="微软雅黑" w:hAnsi="微软雅黑" w:eastAsia="微软雅黑" w:cs="微软雅黑"/>
          <w:spacing w:val="-14"/>
          <w:sz w:val="24"/>
          <w:szCs w:val="24"/>
        </w:rPr>
        <w:t xml:space="preserve">+ </w:t>
      </w:r>
      <w:r>
        <w:rPr>
          <w:rFonts w:ascii="Times New Roman" w:hAnsi="Times New Roman" w:eastAsia="Times New Roman" w:cs="Times New Roman"/>
          <w:spacing w:val="-14"/>
          <w:sz w:val="24"/>
          <w:szCs w:val="24"/>
        </w:rPr>
        <w:t>d</w:t>
      </w:r>
      <w:r>
        <w:rPr>
          <w:rFonts w:ascii="Times New Roman" w:hAnsi="Times New Roman" w:eastAsia="Times New Roman" w:cs="Times New Roman"/>
          <w:spacing w:val="-14"/>
          <w:position w:val="-6"/>
          <w:sz w:val="14"/>
          <w:szCs w:val="14"/>
        </w:rPr>
        <w:t xml:space="preserve">sr  </w:t>
      </w:r>
      <w:r>
        <w:rPr>
          <w:rFonts w:ascii="微软雅黑" w:hAnsi="微软雅黑" w:eastAsia="微软雅黑" w:cs="微软雅黑"/>
          <w:spacing w:val="-14"/>
          <w:sz w:val="24"/>
          <w:szCs w:val="24"/>
        </w:rPr>
        <w:t xml:space="preserve">+ </w:t>
      </w:r>
      <w:r>
        <w:rPr>
          <w:rFonts w:ascii="Times New Roman" w:hAnsi="Times New Roman" w:eastAsia="Times New Roman" w:cs="Times New Roman"/>
          <w:spacing w:val="-14"/>
          <w:sz w:val="24"/>
          <w:szCs w:val="24"/>
        </w:rPr>
        <w:t>e</w:t>
      </w:r>
      <w:r>
        <w:rPr>
          <w:rFonts w:ascii="微软雅黑" w:hAnsi="微软雅黑" w:eastAsia="微软雅黑" w:cs="微软雅黑"/>
          <w:spacing w:val="-14"/>
          <w:sz w:val="32"/>
          <w:szCs w:val="32"/>
        </w:rPr>
        <w:t>)</w:t>
      </w:r>
      <w:r>
        <w:rPr>
          <w:rFonts w:ascii="Times New Roman" w:hAnsi="Times New Roman" w:eastAsia="Times New Roman" w:cs="Times New Roman"/>
          <w:spacing w:val="-14"/>
          <w:position w:val="12"/>
          <w:sz w:val="14"/>
          <w:szCs w:val="14"/>
        </w:rPr>
        <w:t xml:space="preserve">2  </w:t>
      </w:r>
      <w:r>
        <w:rPr>
          <w:rFonts w:ascii="微软雅黑" w:hAnsi="微软雅黑" w:eastAsia="微软雅黑" w:cs="微软雅黑"/>
          <w:spacing w:val="-14"/>
          <w:sz w:val="24"/>
          <w:szCs w:val="24"/>
        </w:rPr>
        <w:t xml:space="preserve">+ </w:t>
      </w:r>
      <w:r>
        <w:rPr>
          <w:rFonts w:ascii="Times New Roman" w:hAnsi="Times New Roman" w:eastAsia="Times New Roman" w:cs="Times New Roman"/>
          <w:spacing w:val="-14"/>
          <w:sz w:val="24"/>
          <w:szCs w:val="24"/>
        </w:rPr>
        <w:t xml:space="preserve">a </w:t>
      </w:r>
      <w:r>
        <w:rPr>
          <w:rFonts w:ascii="Times New Roman" w:hAnsi="Times New Roman" w:eastAsia="Times New Roman" w:cs="Times New Roman"/>
          <w:spacing w:val="-14"/>
          <w:position w:val="10"/>
          <w:sz w:val="14"/>
          <w:szCs w:val="14"/>
        </w:rPr>
        <w:t xml:space="preserve">2 </w:t>
      </w:r>
      <w:r>
        <w:rPr>
          <w:rFonts w:ascii="微软雅黑" w:hAnsi="微软雅黑" w:eastAsia="微软雅黑" w:cs="微软雅黑"/>
          <w:spacing w:val="-14"/>
          <w:sz w:val="44"/>
          <w:szCs w:val="44"/>
        </w:rPr>
        <w:t>]</w:t>
      </w:r>
      <w:r>
        <w:rPr>
          <w:position w:val="6"/>
          <w:sz w:val="44"/>
          <w:szCs w:val="44"/>
        </w:rPr>
        <w:drawing>
          <wp:inline distT="0" distB="0" distL="0" distR="0">
            <wp:extent cx="41910" cy="191770"/>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280"/>
                    <a:stretch>
                      <a:fillRect/>
                    </a:stretch>
                  </pic:blipFill>
                  <pic:spPr>
                    <a:xfrm>
                      <a:off x="0" y="0"/>
                      <a:ext cx="42381" cy="191912"/>
                    </a:xfrm>
                    <a:prstGeom prst="rect">
                      <a:avLst/>
                    </a:prstGeom>
                  </pic:spPr>
                </pic:pic>
              </a:graphicData>
            </a:graphic>
          </wp:inline>
        </w:drawing>
      </w:r>
      <w:r>
        <w:rPr>
          <w:rFonts w:ascii="微软雅黑" w:hAnsi="微软雅黑" w:eastAsia="微软雅黑" w:cs="微软雅黑"/>
          <w:spacing w:val="-14"/>
          <w:sz w:val="44"/>
          <w:szCs w:val="44"/>
        </w:rPr>
        <w:t xml:space="preserve"> </w:t>
      </w:r>
      <w:r>
        <w:rPr>
          <w:rFonts w:ascii="微软雅黑" w:hAnsi="微软雅黑" w:eastAsia="微软雅黑" w:cs="微软雅黑"/>
          <w:spacing w:val="-14"/>
          <w:sz w:val="24"/>
          <w:szCs w:val="24"/>
        </w:rPr>
        <w:t xml:space="preserve">- </w:t>
      </w:r>
      <w:r>
        <w:rPr>
          <w:rFonts w:ascii="Times New Roman" w:hAnsi="Times New Roman" w:eastAsia="Times New Roman" w:cs="Times New Roman"/>
          <w:spacing w:val="-14"/>
          <w:sz w:val="24"/>
          <w:szCs w:val="24"/>
        </w:rPr>
        <w:t>d</w:t>
      </w:r>
    </w:p>
    <w:p>
      <w:pPr>
        <w:spacing w:before="4" w:line="281" w:lineRule="exact"/>
        <w:ind w:left="423"/>
        <w:rPr>
          <w:rFonts w:ascii="宋体" w:hAnsi="宋体" w:eastAsia="宋体" w:cs="宋体"/>
          <w:sz w:val="20"/>
          <w:szCs w:val="20"/>
        </w:rPr>
      </w:pPr>
      <w:r>
        <w:rPr>
          <w:rFonts w:ascii="宋体" w:hAnsi="宋体" w:eastAsia="宋体" w:cs="宋体"/>
          <w:spacing w:val="8"/>
          <w:position w:val="1"/>
          <w:sz w:val="20"/>
          <w:szCs w:val="20"/>
        </w:rPr>
        <w:t>式中：</w:t>
      </w:r>
      <w:r>
        <w:rPr>
          <w:rFonts w:ascii="Times New Roman" w:hAnsi="Times New Roman" w:eastAsia="Times New Roman" w:cs="Times New Roman"/>
          <w:spacing w:val="8"/>
          <w:position w:val="1"/>
          <w:sz w:val="20"/>
          <w:szCs w:val="20"/>
        </w:rPr>
        <w:t>δ——</w:t>
      </w:r>
      <w:r>
        <w:rPr>
          <w:rFonts w:ascii="宋体" w:hAnsi="宋体" w:eastAsia="宋体" w:cs="宋体"/>
          <w:spacing w:val="8"/>
          <w:position w:val="1"/>
          <w:sz w:val="20"/>
          <w:szCs w:val="20"/>
        </w:rPr>
        <w:t>声程差，</w:t>
      </w:r>
      <w:r>
        <w:rPr>
          <w:rFonts w:ascii="Times New Roman" w:hAnsi="Times New Roman" w:eastAsia="Times New Roman" w:cs="Times New Roman"/>
          <w:position w:val="1"/>
          <w:sz w:val="20"/>
          <w:szCs w:val="20"/>
        </w:rPr>
        <w:t>m</w:t>
      </w:r>
      <w:r>
        <w:rPr>
          <w:rFonts w:ascii="宋体" w:hAnsi="宋体" w:eastAsia="宋体" w:cs="宋体"/>
          <w:spacing w:val="7"/>
          <w:position w:val="1"/>
          <w:sz w:val="20"/>
          <w:szCs w:val="20"/>
        </w:rPr>
        <w:t>；</w:t>
      </w:r>
    </w:p>
    <w:p>
      <w:pPr>
        <w:spacing w:before="155" w:line="315" w:lineRule="auto"/>
        <w:ind w:left="1047" w:right="1247"/>
        <w:rPr>
          <w:rFonts w:ascii="宋体" w:hAnsi="宋体" w:eastAsia="宋体" w:cs="宋体"/>
          <w:sz w:val="20"/>
          <w:szCs w:val="20"/>
        </w:rPr>
      </w:pPr>
      <w:r>
        <w:rPr>
          <w:rFonts w:ascii="Times New Roman" w:hAnsi="Times New Roman" w:eastAsia="Times New Roman" w:cs="Times New Roman"/>
          <w:sz w:val="20"/>
          <w:szCs w:val="20"/>
        </w:rPr>
        <w:t>a</w:t>
      </w:r>
      <w:r>
        <w:rPr>
          <w:rFonts w:ascii="Times New Roman" w:hAnsi="Times New Roman" w:eastAsia="Times New Roman" w:cs="Times New Roman"/>
          <w:spacing w:val="16"/>
          <w:sz w:val="20"/>
          <w:szCs w:val="20"/>
        </w:rPr>
        <w:t>—</w:t>
      </w:r>
      <w:r>
        <w:rPr>
          <w:rFonts w:ascii="Times New Roman" w:hAnsi="Times New Roman" w:eastAsia="Times New Roman" w:cs="Times New Roman"/>
          <w:spacing w:val="8"/>
          <w:sz w:val="20"/>
          <w:szCs w:val="20"/>
        </w:rPr>
        <w:t>—</w:t>
      </w:r>
      <w:r>
        <w:rPr>
          <w:rFonts w:ascii="宋体" w:hAnsi="宋体" w:eastAsia="宋体" w:cs="宋体"/>
          <w:spacing w:val="8"/>
          <w:sz w:val="20"/>
          <w:szCs w:val="20"/>
        </w:rPr>
        <w:t>声源和接收点之间的距离在平行于屏障上边界的投影长度，</w:t>
      </w:r>
      <w:r>
        <w:rPr>
          <w:rFonts w:ascii="Times New Roman" w:hAnsi="Times New Roman" w:eastAsia="Times New Roman" w:cs="Times New Roman"/>
          <w:sz w:val="20"/>
          <w:szCs w:val="20"/>
        </w:rPr>
        <w:t>m</w:t>
      </w:r>
      <w:r>
        <w:rPr>
          <w:rFonts w:ascii="宋体" w:hAnsi="宋体" w:eastAsia="宋体" w:cs="宋体"/>
          <w:spacing w:val="8"/>
          <w:sz w:val="20"/>
          <w:szCs w:val="20"/>
        </w:rPr>
        <w:t>；</w:t>
      </w:r>
      <w:r>
        <w:rPr>
          <w:rFonts w:ascii="宋体" w:hAnsi="宋体" w:eastAsia="宋体" w:cs="宋体"/>
          <w:sz w:val="20"/>
          <w:szCs w:val="20"/>
        </w:rPr>
        <w:t xml:space="preserve"> </w:t>
      </w:r>
      <w:r>
        <w:rPr>
          <w:rFonts w:ascii="Times New Roman" w:hAnsi="Times New Roman" w:eastAsia="Times New Roman" w:cs="Times New Roman"/>
          <w:sz w:val="20"/>
          <w:szCs w:val="20"/>
        </w:rPr>
        <w:t>d</w:t>
      </w:r>
      <w:r>
        <w:rPr>
          <w:rFonts w:ascii="Times New Roman" w:hAnsi="Times New Roman" w:eastAsia="Times New Roman" w:cs="Times New Roman"/>
          <w:position w:val="-1"/>
          <w:sz w:val="13"/>
          <w:szCs w:val="13"/>
        </w:rPr>
        <w:t>ss</w:t>
      </w:r>
      <w:r>
        <w:rPr>
          <w:rFonts w:ascii="Times New Roman" w:hAnsi="Times New Roman" w:eastAsia="Times New Roman" w:cs="Times New Roman"/>
          <w:spacing w:val="20"/>
          <w:position w:val="-1"/>
          <w:sz w:val="13"/>
          <w:szCs w:val="13"/>
        </w:rPr>
        <w:t xml:space="preserve"> </w:t>
      </w:r>
      <w:r>
        <w:rPr>
          <w:rFonts w:ascii="Times New Roman" w:hAnsi="Times New Roman" w:eastAsia="Times New Roman" w:cs="Times New Roman"/>
          <w:spacing w:val="10"/>
          <w:sz w:val="20"/>
          <w:szCs w:val="20"/>
        </w:rPr>
        <w:t>——</w:t>
      </w:r>
      <w:r>
        <w:rPr>
          <w:rFonts w:ascii="宋体" w:hAnsi="宋体" w:eastAsia="宋体" w:cs="宋体"/>
          <w:spacing w:val="10"/>
          <w:sz w:val="20"/>
          <w:szCs w:val="20"/>
        </w:rPr>
        <w:t>声源到第一绕射边的距离，</w:t>
      </w:r>
      <w:r>
        <w:rPr>
          <w:rFonts w:ascii="Times New Roman" w:hAnsi="Times New Roman" w:eastAsia="Times New Roman" w:cs="Times New Roman"/>
          <w:sz w:val="20"/>
          <w:szCs w:val="20"/>
        </w:rPr>
        <w:t>m</w:t>
      </w:r>
      <w:r>
        <w:rPr>
          <w:rFonts w:ascii="宋体" w:hAnsi="宋体" w:eastAsia="宋体" w:cs="宋体"/>
          <w:spacing w:val="10"/>
          <w:sz w:val="20"/>
          <w:szCs w:val="20"/>
        </w:rPr>
        <w:t>；</w:t>
      </w:r>
    </w:p>
    <w:p>
      <w:pPr>
        <w:spacing w:before="82" w:line="281" w:lineRule="exact"/>
        <w:ind w:left="1047"/>
        <w:rPr>
          <w:rFonts w:ascii="宋体" w:hAnsi="宋体" w:eastAsia="宋体" w:cs="宋体"/>
          <w:sz w:val="20"/>
          <w:szCs w:val="20"/>
        </w:rPr>
      </w:pPr>
      <w:r>
        <w:rPr>
          <w:rFonts w:ascii="Times New Roman" w:hAnsi="Times New Roman" w:eastAsia="Times New Roman" w:cs="Times New Roman"/>
          <w:position w:val="1"/>
          <w:sz w:val="20"/>
          <w:szCs w:val="20"/>
        </w:rPr>
        <w:t>d</w:t>
      </w:r>
      <w:r>
        <w:rPr>
          <w:rFonts w:ascii="Times New Roman" w:hAnsi="Times New Roman" w:eastAsia="Times New Roman" w:cs="Times New Roman"/>
          <w:sz w:val="13"/>
          <w:szCs w:val="13"/>
        </w:rPr>
        <w:t>sr</w:t>
      </w:r>
      <w:r>
        <w:rPr>
          <w:rFonts w:ascii="Times New Roman" w:hAnsi="Times New Roman" w:eastAsia="Times New Roman" w:cs="Times New Roman"/>
          <w:spacing w:val="19"/>
          <w:sz w:val="13"/>
          <w:szCs w:val="13"/>
        </w:rPr>
        <w:t xml:space="preserve"> </w:t>
      </w:r>
      <w:r>
        <w:rPr>
          <w:rFonts w:ascii="Times New Roman" w:hAnsi="Times New Roman" w:eastAsia="Times New Roman" w:cs="Times New Roman"/>
          <w:spacing w:val="10"/>
          <w:position w:val="1"/>
          <w:sz w:val="20"/>
          <w:szCs w:val="20"/>
        </w:rPr>
        <w:t>——</w:t>
      </w:r>
      <w:r>
        <w:rPr>
          <w:rFonts w:ascii="宋体" w:hAnsi="宋体" w:eastAsia="宋体" w:cs="宋体"/>
          <w:spacing w:val="10"/>
          <w:position w:val="1"/>
          <w:sz w:val="20"/>
          <w:szCs w:val="20"/>
        </w:rPr>
        <w:t>第二绕射边到接收点的距离，</w:t>
      </w:r>
      <w:r>
        <w:rPr>
          <w:rFonts w:ascii="Times New Roman" w:hAnsi="Times New Roman" w:eastAsia="Times New Roman" w:cs="Times New Roman"/>
          <w:position w:val="1"/>
          <w:sz w:val="20"/>
          <w:szCs w:val="20"/>
        </w:rPr>
        <w:t>m</w:t>
      </w:r>
      <w:r>
        <w:rPr>
          <w:rFonts w:ascii="宋体" w:hAnsi="宋体" w:eastAsia="宋体" w:cs="宋体"/>
          <w:spacing w:val="10"/>
          <w:position w:val="1"/>
          <w:sz w:val="20"/>
          <w:szCs w:val="20"/>
        </w:rPr>
        <w:t>；</w:t>
      </w:r>
    </w:p>
    <w:p>
      <w:pPr>
        <w:spacing w:before="155" w:line="363" w:lineRule="exact"/>
        <w:ind w:left="1047"/>
        <w:rPr>
          <w:rFonts w:ascii="宋体" w:hAnsi="宋体" w:eastAsia="宋体" w:cs="宋体"/>
          <w:sz w:val="20"/>
          <w:szCs w:val="20"/>
        </w:rPr>
      </w:pPr>
      <w:r>
        <w:rPr>
          <w:rFonts w:ascii="Times New Roman" w:hAnsi="Times New Roman" w:eastAsia="Times New Roman" w:cs="Times New Roman"/>
          <w:position w:val="11"/>
          <w:sz w:val="20"/>
          <w:szCs w:val="20"/>
        </w:rPr>
        <w:t>e</w:t>
      </w:r>
      <w:r>
        <w:rPr>
          <w:rFonts w:ascii="Times New Roman" w:hAnsi="Times New Roman" w:eastAsia="Times New Roman" w:cs="Times New Roman"/>
          <w:spacing w:val="17"/>
          <w:position w:val="11"/>
          <w:sz w:val="20"/>
          <w:szCs w:val="20"/>
        </w:rPr>
        <w:t xml:space="preserve"> </w:t>
      </w:r>
      <w:r>
        <w:rPr>
          <w:rFonts w:ascii="Times New Roman" w:hAnsi="Times New Roman" w:eastAsia="Times New Roman" w:cs="Times New Roman"/>
          <w:spacing w:val="9"/>
          <w:position w:val="11"/>
          <w:sz w:val="20"/>
          <w:szCs w:val="20"/>
        </w:rPr>
        <w:t>——</w:t>
      </w:r>
      <w:r>
        <w:rPr>
          <w:rFonts w:ascii="宋体" w:hAnsi="宋体" w:eastAsia="宋体" w:cs="宋体"/>
          <w:spacing w:val="9"/>
          <w:position w:val="11"/>
          <w:sz w:val="20"/>
          <w:szCs w:val="20"/>
        </w:rPr>
        <w:t>在双绕射情况下两个绕射边界之间的距离，</w:t>
      </w:r>
      <w:r>
        <w:rPr>
          <w:rFonts w:ascii="Times New Roman" w:hAnsi="Times New Roman" w:eastAsia="Times New Roman" w:cs="Times New Roman"/>
          <w:position w:val="11"/>
          <w:sz w:val="20"/>
          <w:szCs w:val="20"/>
        </w:rPr>
        <w:t>m</w:t>
      </w:r>
      <w:r>
        <w:rPr>
          <w:rFonts w:ascii="宋体" w:hAnsi="宋体" w:eastAsia="宋体" w:cs="宋体"/>
          <w:spacing w:val="9"/>
          <w:position w:val="11"/>
          <w:sz w:val="20"/>
          <w:szCs w:val="20"/>
        </w:rPr>
        <w:t>；</w:t>
      </w:r>
    </w:p>
    <w:p>
      <w:pPr>
        <w:spacing w:line="281" w:lineRule="exact"/>
        <w:ind w:left="1047"/>
        <w:rPr>
          <w:rFonts w:ascii="宋体" w:hAnsi="宋体" w:eastAsia="宋体" w:cs="宋体"/>
          <w:sz w:val="20"/>
          <w:szCs w:val="20"/>
        </w:rPr>
      </w:pPr>
      <w:r>
        <w:rPr>
          <w:rFonts w:ascii="Times New Roman" w:hAnsi="Times New Roman" w:eastAsia="Times New Roman" w:cs="Times New Roman"/>
          <w:position w:val="1"/>
          <w:sz w:val="20"/>
          <w:szCs w:val="20"/>
        </w:rPr>
        <w:t>d</w:t>
      </w:r>
      <w:r>
        <w:rPr>
          <w:rFonts w:ascii="Times New Roman" w:hAnsi="Times New Roman" w:eastAsia="Times New Roman" w:cs="Times New Roman"/>
          <w:spacing w:val="18"/>
          <w:position w:val="1"/>
          <w:sz w:val="20"/>
          <w:szCs w:val="20"/>
        </w:rPr>
        <w:t>—</w:t>
      </w:r>
      <w:r>
        <w:rPr>
          <w:rFonts w:ascii="Times New Roman" w:hAnsi="Times New Roman" w:eastAsia="Times New Roman" w:cs="Times New Roman"/>
          <w:spacing w:val="10"/>
          <w:position w:val="1"/>
          <w:sz w:val="20"/>
          <w:szCs w:val="20"/>
        </w:rPr>
        <w:t>—</w:t>
      </w:r>
      <w:r>
        <w:rPr>
          <w:rFonts w:ascii="宋体" w:hAnsi="宋体" w:eastAsia="宋体" w:cs="宋体"/>
          <w:spacing w:val="9"/>
          <w:position w:val="1"/>
          <w:sz w:val="20"/>
          <w:szCs w:val="20"/>
        </w:rPr>
        <w:t>声源到接收点的直线距离，</w:t>
      </w:r>
      <w:r>
        <w:rPr>
          <w:rFonts w:ascii="Times New Roman" w:hAnsi="Times New Roman" w:eastAsia="Times New Roman" w:cs="Times New Roman"/>
          <w:position w:val="1"/>
          <w:sz w:val="20"/>
          <w:szCs w:val="20"/>
        </w:rPr>
        <w:t>m</w:t>
      </w:r>
      <w:r>
        <w:rPr>
          <w:rFonts w:ascii="宋体" w:hAnsi="宋体" w:eastAsia="宋体" w:cs="宋体"/>
          <w:spacing w:val="9"/>
          <w:position w:val="1"/>
          <w:sz w:val="20"/>
          <w:szCs w:val="20"/>
        </w:rPr>
        <w:t>。</w:t>
      </w:r>
    </w:p>
    <w:p>
      <w:pPr>
        <w:spacing w:before="119" w:line="369" w:lineRule="auto"/>
        <w:ind w:left="418" w:right="444" w:firstLine="2"/>
        <w:rPr>
          <w:rFonts w:ascii="宋体" w:hAnsi="宋体" w:eastAsia="宋体" w:cs="宋体"/>
          <w:sz w:val="20"/>
          <w:szCs w:val="20"/>
        </w:rPr>
      </w:pPr>
      <w:r>
        <w:rPr>
          <w:rFonts w:ascii="宋体" w:hAnsi="宋体" w:eastAsia="宋体" w:cs="宋体"/>
          <w:spacing w:val="16"/>
          <w:sz w:val="20"/>
          <w:szCs w:val="20"/>
        </w:rPr>
        <w:t>屏障</w:t>
      </w:r>
      <w:r>
        <w:rPr>
          <w:rFonts w:ascii="宋体" w:hAnsi="宋体" w:eastAsia="宋体" w:cs="宋体"/>
          <w:spacing w:val="8"/>
          <w:sz w:val="20"/>
          <w:szCs w:val="20"/>
        </w:rPr>
        <w:t>衰减</w:t>
      </w:r>
      <w:r>
        <w:rPr>
          <w:rFonts w:ascii="Times New Roman" w:hAnsi="Times New Roman" w:eastAsia="Times New Roman" w:cs="Times New Roman"/>
          <w:i/>
          <w:iCs/>
          <w:sz w:val="20"/>
          <w:szCs w:val="20"/>
        </w:rPr>
        <w:t>A</w:t>
      </w:r>
      <w:r>
        <w:rPr>
          <w:rFonts w:ascii="Times New Roman" w:hAnsi="Times New Roman" w:eastAsia="Times New Roman" w:cs="Times New Roman"/>
          <w:position w:val="-1"/>
          <w:sz w:val="13"/>
          <w:szCs w:val="13"/>
        </w:rPr>
        <w:t>bar</w:t>
      </w:r>
      <w:r>
        <w:rPr>
          <w:rFonts w:ascii="宋体" w:hAnsi="宋体" w:eastAsia="宋体" w:cs="宋体"/>
          <w:spacing w:val="8"/>
          <w:sz w:val="20"/>
          <w:szCs w:val="20"/>
        </w:rPr>
        <w:t>参照</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T</w:t>
      </w:r>
      <w:r>
        <w:rPr>
          <w:rFonts w:ascii="Times New Roman" w:hAnsi="Times New Roman" w:eastAsia="Times New Roman" w:cs="Times New Roman"/>
          <w:spacing w:val="8"/>
          <w:sz w:val="20"/>
          <w:szCs w:val="20"/>
        </w:rPr>
        <w:t>17247.2</w:t>
      </w:r>
      <w:r>
        <w:rPr>
          <w:rFonts w:ascii="宋体" w:hAnsi="宋体" w:eastAsia="宋体" w:cs="宋体"/>
          <w:spacing w:val="8"/>
          <w:sz w:val="20"/>
          <w:szCs w:val="20"/>
        </w:rPr>
        <w:t>进行计算。计算屏障衰减后，不再考虑地面效应衰减。</w:t>
      </w:r>
      <w:r>
        <w:rPr>
          <w:rFonts w:ascii="宋体" w:hAnsi="宋体" w:eastAsia="宋体" w:cs="宋体"/>
          <w:sz w:val="20"/>
          <w:szCs w:val="20"/>
        </w:rPr>
        <w:t xml:space="preserve"> </w:t>
      </w:r>
      <w:r>
        <w:rPr>
          <w:rFonts w:ascii="Times New Roman" w:hAnsi="Times New Roman" w:eastAsia="Times New Roman" w:cs="Times New Roman"/>
          <w:sz w:val="20"/>
          <w:szCs w:val="20"/>
        </w:rPr>
        <w:t>c</w:t>
      </w:r>
      <w:r>
        <w:rPr>
          <w:rFonts w:ascii="Times New Roman" w:hAnsi="Times New Roman" w:eastAsia="Times New Roman" w:cs="Times New Roman"/>
          <w:spacing w:val="10"/>
          <w:sz w:val="20"/>
          <w:szCs w:val="20"/>
        </w:rPr>
        <w:t xml:space="preserve"> </w:t>
      </w:r>
      <w:r>
        <w:rPr>
          <w:rFonts w:ascii="宋体" w:hAnsi="宋体" w:eastAsia="宋体" w:cs="宋体"/>
          <w:spacing w:val="9"/>
          <w:sz w:val="20"/>
          <w:szCs w:val="20"/>
        </w:rPr>
        <w:t>)</w:t>
      </w:r>
      <w:r>
        <w:rPr>
          <w:rFonts w:ascii="宋体" w:hAnsi="宋体" w:eastAsia="宋体" w:cs="宋体"/>
          <w:spacing w:val="5"/>
          <w:sz w:val="20"/>
          <w:szCs w:val="20"/>
        </w:rPr>
        <w:t xml:space="preserve"> 屏障在线声源声场中引起的衰减</w:t>
      </w:r>
    </w:p>
    <w:p>
      <w:pPr>
        <w:spacing w:line="281" w:lineRule="exact"/>
        <w:ind w:left="421"/>
        <w:rPr>
          <w:rFonts w:ascii="宋体" w:hAnsi="宋体" w:eastAsia="宋体" w:cs="宋体"/>
          <w:sz w:val="20"/>
          <w:szCs w:val="20"/>
        </w:rPr>
      </w:pPr>
      <w:r>
        <w:rPr>
          <w:rFonts w:ascii="宋体" w:hAnsi="宋体" w:eastAsia="宋体" w:cs="宋体"/>
          <w:spacing w:val="8"/>
          <w:position w:val="1"/>
          <w:sz w:val="20"/>
          <w:szCs w:val="20"/>
        </w:rPr>
        <w:t>无限长声屏障参照</w:t>
      </w:r>
      <w:r>
        <w:rPr>
          <w:rFonts w:ascii="Times New Roman" w:hAnsi="Times New Roman" w:eastAsia="Times New Roman" w:cs="Times New Roman"/>
          <w:position w:val="1"/>
          <w:sz w:val="20"/>
          <w:szCs w:val="20"/>
        </w:rPr>
        <w:t>HJ</w:t>
      </w:r>
      <w:r>
        <w:rPr>
          <w:rFonts w:ascii="Times New Roman" w:hAnsi="Times New Roman" w:eastAsia="Times New Roman" w:cs="Times New Roman"/>
          <w:spacing w:val="8"/>
          <w:position w:val="1"/>
          <w:sz w:val="20"/>
          <w:szCs w:val="20"/>
        </w:rPr>
        <w:t>/</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8"/>
          <w:position w:val="1"/>
          <w:sz w:val="20"/>
          <w:szCs w:val="20"/>
        </w:rPr>
        <w:t xml:space="preserve"> 90</w:t>
      </w:r>
      <w:r>
        <w:rPr>
          <w:rFonts w:ascii="宋体" w:hAnsi="宋体" w:eastAsia="宋体" w:cs="宋体"/>
          <w:spacing w:val="8"/>
          <w:position w:val="1"/>
          <w:sz w:val="20"/>
          <w:szCs w:val="20"/>
        </w:rPr>
        <w:t>中</w:t>
      </w:r>
      <w:r>
        <w:rPr>
          <w:rFonts w:ascii="Times New Roman" w:hAnsi="Times New Roman" w:eastAsia="Times New Roman" w:cs="Times New Roman"/>
          <w:spacing w:val="8"/>
          <w:position w:val="1"/>
          <w:sz w:val="20"/>
          <w:szCs w:val="20"/>
        </w:rPr>
        <w:t>4.2.1.2</w:t>
      </w:r>
      <w:r>
        <w:rPr>
          <w:rFonts w:ascii="宋体" w:hAnsi="宋体" w:eastAsia="宋体" w:cs="宋体"/>
          <w:spacing w:val="8"/>
          <w:position w:val="1"/>
          <w:sz w:val="20"/>
          <w:szCs w:val="20"/>
        </w:rPr>
        <w:t>规定的方法进行计算，计算公式为</w:t>
      </w:r>
      <w:r>
        <w:rPr>
          <w:rFonts w:ascii="宋体" w:hAnsi="宋体" w:eastAsia="宋体" w:cs="宋体"/>
          <w:spacing w:val="5"/>
          <w:position w:val="1"/>
          <w:sz w:val="20"/>
          <w:szCs w:val="20"/>
        </w:rPr>
        <w:t>：</w:t>
      </w:r>
    </w:p>
    <w:p>
      <w:pPr>
        <w:spacing w:before="17" w:line="1639" w:lineRule="exact"/>
        <w:ind w:firstLine="2696"/>
        <w:textAlignment w:val="center"/>
      </w:pPr>
      <w:r>
        <w:drawing>
          <wp:inline distT="0" distB="0" distL="0" distR="0">
            <wp:extent cx="2177415" cy="1040765"/>
            <wp:effectExtent l="0" t="0" r="0" b="0"/>
            <wp:docPr id="137" name="IM 137"/>
            <wp:cNvGraphicFramePr/>
            <a:graphic xmlns:a="http://schemas.openxmlformats.org/drawingml/2006/main">
              <a:graphicData uri="http://schemas.openxmlformats.org/drawingml/2006/picture">
                <pic:pic xmlns:pic="http://schemas.openxmlformats.org/drawingml/2006/picture">
                  <pic:nvPicPr>
                    <pic:cNvPr id="137" name="IM 137"/>
                    <pic:cNvPicPr/>
                  </pic:nvPicPr>
                  <pic:blipFill>
                    <a:blip r:embed="rId281"/>
                    <a:stretch>
                      <a:fillRect/>
                    </a:stretch>
                  </pic:blipFill>
                  <pic:spPr>
                    <a:xfrm>
                      <a:off x="0" y="0"/>
                      <a:ext cx="2177795" cy="1040891"/>
                    </a:xfrm>
                    <a:prstGeom prst="rect">
                      <a:avLst/>
                    </a:prstGeom>
                  </pic:spPr>
                </pic:pic>
              </a:graphicData>
            </a:graphic>
          </wp:inline>
        </w:drawing>
      </w:r>
    </w:p>
    <w:p>
      <w:pPr>
        <w:sectPr>
          <w:footerReference r:id="rId126" w:type="default"/>
          <w:pgSz w:w="11906" w:h="16839"/>
          <w:pgMar w:top="400" w:right="1785" w:bottom="1027" w:left="1539" w:header="0" w:footer="840" w:gutter="0"/>
          <w:cols w:space="720" w:num="1"/>
        </w:sect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65" w:line="282" w:lineRule="exact"/>
        <w:ind w:left="424"/>
        <w:rPr>
          <w:rFonts w:ascii="宋体" w:hAnsi="宋体" w:eastAsia="宋体" w:cs="宋体"/>
          <w:sz w:val="20"/>
          <w:szCs w:val="20"/>
        </w:rPr>
      </w:pPr>
      <w:r>
        <w:rPr>
          <w:rFonts w:ascii="宋体" w:hAnsi="宋体" w:eastAsia="宋体" w:cs="宋体"/>
          <w:spacing w:val="14"/>
          <w:position w:val="1"/>
          <w:sz w:val="20"/>
          <w:szCs w:val="20"/>
        </w:rPr>
        <w:t>式</w:t>
      </w:r>
      <w:r>
        <w:rPr>
          <w:rFonts w:ascii="宋体" w:hAnsi="宋体" w:eastAsia="宋体" w:cs="宋体"/>
          <w:spacing w:val="8"/>
          <w:position w:val="1"/>
          <w:sz w:val="20"/>
          <w:szCs w:val="20"/>
        </w:rPr>
        <w:t>中</w:t>
      </w:r>
      <w:r>
        <w:rPr>
          <w:rFonts w:ascii="宋体" w:hAnsi="宋体" w:eastAsia="宋体" w:cs="宋体"/>
          <w:spacing w:val="7"/>
          <w:position w:val="1"/>
          <w:sz w:val="20"/>
          <w:szCs w:val="20"/>
        </w:rPr>
        <w:t>：</w:t>
      </w:r>
      <w:r>
        <w:rPr>
          <w:rFonts w:ascii="Times New Roman" w:hAnsi="Times New Roman" w:eastAsia="Times New Roman" w:cs="Times New Roman"/>
          <w:i/>
          <w:iCs/>
          <w:position w:val="1"/>
          <w:sz w:val="20"/>
          <w:szCs w:val="20"/>
        </w:rPr>
        <w:t>A</w:t>
      </w:r>
      <w:r>
        <w:rPr>
          <w:rFonts w:ascii="Times New Roman" w:hAnsi="Times New Roman" w:eastAsia="Times New Roman" w:cs="Times New Roman"/>
          <w:sz w:val="13"/>
          <w:szCs w:val="13"/>
        </w:rPr>
        <w:t>bar</w:t>
      </w:r>
      <w:r>
        <w:rPr>
          <w:rFonts w:ascii="Times New Roman" w:hAnsi="Times New Roman" w:eastAsia="Times New Roman" w:cs="Times New Roman"/>
          <w:spacing w:val="7"/>
          <w:sz w:val="13"/>
          <w:szCs w:val="13"/>
        </w:rPr>
        <w:t xml:space="preserve"> </w:t>
      </w:r>
      <w:r>
        <w:rPr>
          <w:rFonts w:ascii="Times New Roman" w:hAnsi="Times New Roman" w:eastAsia="Times New Roman" w:cs="Times New Roman"/>
          <w:spacing w:val="7"/>
          <w:position w:val="1"/>
          <w:sz w:val="20"/>
          <w:szCs w:val="20"/>
        </w:rPr>
        <w:t xml:space="preserve">—— </w:t>
      </w:r>
      <w:r>
        <w:rPr>
          <w:rFonts w:ascii="宋体" w:hAnsi="宋体" w:eastAsia="宋体" w:cs="宋体"/>
          <w:spacing w:val="7"/>
          <w:position w:val="1"/>
          <w:sz w:val="20"/>
          <w:szCs w:val="20"/>
        </w:rPr>
        <w:t>障碍物屏蔽引起的衰减，</w:t>
      </w:r>
      <w:r>
        <w:rPr>
          <w:rFonts w:ascii="Times New Roman" w:hAnsi="Times New Roman" w:eastAsia="Times New Roman" w:cs="Times New Roman"/>
          <w:position w:val="1"/>
          <w:sz w:val="20"/>
          <w:szCs w:val="20"/>
        </w:rPr>
        <w:t>dB</w:t>
      </w:r>
      <w:r>
        <w:rPr>
          <w:rFonts w:ascii="宋体" w:hAnsi="宋体" w:eastAsia="宋体" w:cs="宋体"/>
          <w:spacing w:val="7"/>
          <w:position w:val="1"/>
          <w:sz w:val="20"/>
          <w:szCs w:val="20"/>
        </w:rPr>
        <w:t>；</w:t>
      </w:r>
    </w:p>
    <w:p>
      <w:pPr>
        <w:spacing w:before="117" w:line="401" w:lineRule="exact"/>
        <w:ind w:left="1040"/>
        <w:rPr>
          <w:rFonts w:ascii="宋体" w:hAnsi="宋体" w:eastAsia="宋体" w:cs="宋体"/>
          <w:sz w:val="20"/>
          <w:szCs w:val="20"/>
        </w:rPr>
      </w:pPr>
      <w:r>
        <w:rPr>
          <w:rFonts w:ascii="Times New Roman" w:hAnsi="Times New Roman" w:eastAsia="Times New Roman" w:cs="Times New Roman"/>
          <w:spacing w:val="15"/>
          <w:position w:val="12"/>
          <w:sz w:val="20"/>
          <w:szCs w:val="20"/>
        </w:rPr>
        <w:t>ƒ</w:t>
      </w:r>
      <w:r>
        <w:rPr>
          <w:rFonts w:ascii="Times New Roman" w:hAnsi="Times New Roman" w:eastAsia="Times New Roman" w:cs="Times New Roman"/>
          <w:spacing w:val="9"/>
          <w:position w:val="12"/>
          <w:sz w:val="20"/>
          <w:szCs w:val="20"/>
        </w:rPr>
        <w:t>——</w:t>
      </w:r>
      <w:r>
        <w:rPr>
          <w:rFonts w:ascii="宋体" w:hAnsi="宋体" w:eastAsia="宋体" w:cs="宋体"/>
          <w:spacing w:val="9"/>
          <w:position w:val="12"/>
          <w:sz w:val="20"/>
          <w:szCs w:val="20"/>
        </w:rPr>
        <w:t>声波频率，</w:t>
      </w:r>
      <w:r>
        <w:rPr>
          <w:rFonts w:ascii="Times New Roman" w:hAnsi="Times New Roman" w:eastAsia="Times New Roman" w:cs="Times New Roman"/>
          <w:position w:val="12"/>
          <w:sz w:val="20"/>
          <w:szCs w:val="20"/>
        </w:rPr>
        <w:t>Hz</w:t>
      </w:r>
      <w:r>
        <w:rPr>
          <w:rFonts w:ascii="宋体" w:hAnsi="宋体" w:eastAsia="宋体" w:cs="宋体"/>
          <w:spacing w:val="9"/>
          <w:position w:val="12"/>
          <w:sz w:val="20"/>
          <w:szCs w:val="20"/>
        </w:rPr>
        <w:t>；</w:t>
      </w:r>
    </w:p>
    <w:p>
      <w:pPr>
        <w:spacing w:line="281" w:lineRule="exact"/>
        <w:ind w:left="1047"/>
        <w:rPr>
          <w:rFonts w:ascii="宋体" w:hAnsi="宋体" w:eastAsia="宋体" w:cs="宋体"/>
          <w:sz w:val="20"/>
          <w:szCs w:val="20"/>
        </w:rPr>
      </w:pPr>
      <w:r>
        <w:rPr>
          <w:rFonts w:ascii="Times New Roman" w:hAnsi="Times New Roman" w:eastAsia="Times New Roman" w:cs="Times New Roman"/>
          <w:spacing w:val="8"/>
          <w:position w:val="1"/>
          <w:sz w:val="20"/>
          <w:szCs w:val="20"/>
        </w:rPr>
        <w:t>δ——</w:t>
      </w:r>
      <w:r>
        <w:rPr>
          <w:rFonts w:ascii="宋体" w:hAnsi="宋体" w:eastAsia="宋体" w:cs="宋体"/>
          <w:spacing w:val="8"/>
          <w:position w:val="1"/>
          <w:sz w:val="20"/>
          <w:szCs w:val="20"/>
        </w:rPr>
        <w:t>声程差，</w:t>
      </w:r>
      <w:r>
        <w:rPr>
          <w:rFonts w:ascii="Times New Roman" w:hAnsi="Times New Roman" w:eastAsia="Times New Roman" w:cs="Times New Roman"/>
          <w:position w:val="1"/>
          <w:sz w:val="20"/>
          <w:szCs w:val="20"/>
        </w:rPr>
        <w:t>m</w:t>
      </w:r>
      <w:r>
        <w:rPr>
          <w:rFonts w:ascii="宋体" w:hAnsi="宋体" w:eastAsia="宋体" w:cs="宋体"/>
          <w:spacing w:val="7"/>
          <w:position w:val="1"/>
          <w:sz w:val="20"/>
          <w:szCs w:val="20"/>
        </w:rPr>
        <w:t>；</w:t>
      </w:r>
    </w:p>
    <w:p>
      <w:pPr>
        <w:spacing w:before="119" w:line="281" w:lineRule="exact"/>
        <w:ind w:left="1047"/>
        <w:rPr>
          <w:rFonts w:ascii="宋体" w:hAnsi="宋体" w:eastAsia="宋体" w:cs="宋体"/>
          <w:sz w:val="20"/>
          <w:szCs w:val="20"/>
        </w:rPr>
      </w:pPr>
      <w:r>
        <w:rPr>
          <w:rFonts w:ascii="Times New Roman" w:hAnsi="Times New Roman" w:eastAsia="Times New Roman" w:cs="Times New Roman"/>
          <w:spacing w:val="13"/>
          <w:position w:val="1"/>
          <w:sz w:val="20"/>
          <w:szCs w:val="20"/>
        </w:rPr>
        <w:t>с</w:t>
      </w:r>
      <w:r>
        <w:rPr>
          <w:rFonts w:ascii="Times New Roman" w:hAnsi="Times New Roman" w:eastAsia="Times New Roman" w:cs="Times New Roman"/>
          <w:spacing w:val="7"/>
          <w:position w:val="1"/>
          <w:sz w:val="20"/>
          <w:szCs w:val="20"/>
        </w:rPr>
        <w:t>——</w:t>
      </w:r>
      <w:r>
        <w:rPr>
          <w:rFonts w:ascii="宋体" w:hAnsi="宋体" w:eastAsia="宋体" w:cs="宋体"/>
          <w:spacing w:val="7"/>
          <w:position w:val="1"/>
          <w:sz w:val="20"/>
          <w:szCs w:val="20"/>
        </w:rPr>
        <w:t>声速，</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7"/>
          <w:position w:val="1"/>
          <w:sz w:val="20"/>
          <w:szCs w:val="20"/>
        </w:rPr>
        <w:t>/</w:t>
      </w:r>
      <w:r>
        <w:rPr>
          <w:rFonts w:ascii="Times New Roman" w:hAnsi="Times New Roman" w:eastAsia="Times New Roman" w:cs="Times New Roman"/>
          <w:position w:val="1"/>
          <w:sz w:val="20"/>
          <w:szCs w:val="20"/>
        </w:rPr>
        <w:t>s</w:t>
      </w:r>
      <w:r>
        <w:rPr>
          <w:rFonts w:ascii="宋体" w:hAnsi="宋体" w:eastAsia="宋体" w:cs="宋体"/>
          <w:spacing w:val="7"/>
          <w:position w:val="1"/>
          <w:sz w:val="20"/>
          <w:szCs w:val="20"/>
        </w:rPr>
        <w:t>。</w:t>
      </w:r>
    </w:p>
    <w:p>
      <w:pPr>
        <w:spacing w:before="154" w:line="370" w:lineRule="auto"/>
        <w:ind w:right="2" w:firstLine="419"/>
        <w:rPr>
          <w:rFonts w:ascii="宋体" w:hAnsi="宋体" w:eastAsia="宋体" w:cs="宋体"/>
          <w:sz w:val="20"/>
          <w:szCs w:val="20"/>
        </w:rPr>
      </w:pPr>
      <w:r>
        <w:rPr>
          <w:rFonts w:ascii="宋体" w:hAnsi="宋体" w:eastAsia="宋体" w:cs="宋体"/>
          <w:spacing w:val="26"/>
          <w:sz w:val="20"/>
          <w:szCs w:val="20"/>
        </w:rPr>
        <w:t>在公</w:t>
      </w:r>
      <w:r>
        <w:rPr>
          <w:rFonts w:ascii="宋体" w:hAnsi="宋体" w:eastAsia="宋体" w:cs="宋体"/>
          <w:spacing w:val="16"/>
          <w:sz w:val="20"/>
          <w:szCs w:val="20"/>
        </w:rPr>
        <w:t>路</w:t>
      </w:r>
      <w:r>
        <w:rPr>
          <w:rFonts w:ascii="宋体" w:hAnsi="宋体" w:eastAsia="宋体" w:cs="宋体"/>
          <w:spacing w:val="13"/>
          <w:sz w:val="20"/>
          <w:szCs w:val="20"/>
        </w:rPr>
        <w:t>建设项目评价中可采用</w:t>
      </w:r>
      <w:r>
        <w:rPr>
          <w:rFonts w:ascii="Times New Roman" w:hAnsi="Times New Roman" w:eastAsia="Times New Roman" w:cs="Times New Roman"/>
          <w:spacing w:val="13"/>
          <w:sz w:val="20"/>
          <w:szCs w:val="20"/>
        </w:rPr>
        <w:t>500</w:t>
      </w:r>
      <w:r>
        <w:rPr>
          <w:rFonts w:ascii="Times New Roman" w:hAnsi="Times New Roman" w:eastAsia="Times New Roman" w:cs="Times New Roman"/>
          <w:sz w:val="20"/>
          <w:szCs w:val="20"/>
        </w:rPr>
        <w:t>Hz</w:t>
      </w:r>
      <w:r>
        <w:rPr>
          <w:rFonts w:ascii="宋体" w:hAnsi="宋体" w:eastAsia="宋体" w:cs="宋体"/>
          <w:spacing w:val="13"/>
          <w:sz w:val="20"/>
          <w:szCs w:val="20"/>
        </w:rPr>
        <w:t>频率的声波计算得到的屏障衰减量近似作为</w:t>
      </w:r>
      <w:r>
        <w:rPr>
          <w:rFonts w:ascii="Times New Roman" w:hAnsi="Times New Roman" w:eastAsia="Times New Roman" w:cs="Times New Roman"/>
          <w:sz w:val="20"/>
          <w:szCs w:val="20"/>
        </w:rPr>
        <w:t>A</w:t>
      </w:r>
      <w:r>
        <w:rPr>
          <w:rFonts w:ascii="宋体" w:hAnsi="宋体" w:eastAsia="宋体" w:cs="宋体"/>
          <w:spacing w:val="13"/>
          <w:sz w:val="20"/>
          <w:szCs w:val="20"/>
        </w:rPr>
        <w:t>声级的衰</w:t>
      </w:r>
      <w:r>
        <w:rPr>
          <w:rFonts w:ascii="宋体" w:hAnsi="宋体" w:eastAsia="宋体" w:cs="宋体"/>
          <w:sz w:val="20"/>
          <w:szCs w:val="20"/>
        </w:rPr>
        <w:t xml:space="preserve"> </w:t>
      </w:r>
      <w:r>
        <w:rPr>
          <w:rFonts w:ascii="宋体" w:hAnsi="宋体" w:eastAsia="宋体" w:cs="宋体"/>
          <w:spacing w:val="3"/>
          <w:sz w:val="20"/>
          <w:szCs w:val="20"/>
        </w:rPr>
        <w:t>减量。</w:t>
      </w:r>
    </w:p>
    <w:p>
      <w:pPr>
        <w:spacing w:before="1" w:line="368" w:lineRule="auto"/>
        <w:ind w:left="2" w:right="2" w:firstLine="416"/>
        <w:rPr>
          <w:rFonts w:ascii="宋体" w:hAnsi="宋体" w:eastAsia="宋体" w:cs="宋体"/>
          <w:sz w:val="20"/>
          <w:szCs w:val="20"/>
        </w:rPr>
      </w:pPr>
      <w:r>
        <w:rPr>
          <w:rFonts w:ascii="宋体" w:hAnsi="宋体" w:eastAsia="宋体" w:cs="宋体"/>
          <w:spacing w:val="20"/>
          <w:sz w:val="20"/>
          <w:szCs w:val="20"/>
        </w:rPr>
        <w:t>在使用</w:t>
      </w:r>
      <w:r>
        <w:rPr>
          <w:rFonts w:ascii="宋体" w:hAnsi="宋体" w:eastAsia="宋体" w:cs="宋体"/>
          <w:spacing w:val="13"/>
          <w:sz w:val="20"/>
          <w:szCs w:val="20"/>
        </w:rPr>
        <w:t>上</w:t>
      </w:r>
      <w:r>
        <w:rPr>
          <w:rFonts w:ascii="宋体" w:hAnsi="宋体" w:eastAsia="宋体" w:cs="宋体"/>
          <w:spacing w:val="10"/>
          <w:sz w:val="20"/>
          <w:szCs w:val="20"/>
        </w:rPr>
        <w:t>式计算声屏障衰减时，当菲涅尔数</w:t>
      </w:r>
      <w:r>
        <w:rPr>
          <w:rFonts w:ascii="Times New Roman" w:hAnsi="Times New Roman" w:eastAsia="Times New Roman" w:cs="Times New Roman"/>
          <w:spacing w:val="10"/>
          <w:sz w:val="20"/>
          <w:szCs w:val="20"/>
        </w:rPr>
        <w:t>0</w:t>
      </w:r>
      <w:r>
        <w:rPr>
          <w:rFonts w:ascii="宋体" w:hAnsi="宋体" w:eastAsia="宋体" w:cs="宋体"/>
          <w:spacing w:val="10"/>
          <w:sz w:val="20"/>
          <w:szCs w:val="20"/>
        </w:rPr>
        <w:t>＞</w:t>
      </w:r>
      <w:r>
        <w:rPr>
          <w:rFonts w:ascii="Times New Roman" w:hAnsi="Times New Roman" w:eastAsia="Times New Roman" w:cs="Times New Roman"/>
          <w:sz w:val="20"/>
          <w:szCs w:val="20"/>
        </w:rPr>
        <w:t>N</w:t>
      </w:r>
      <w:r>
        <w:rPr>
          <w:rFonts w:ascii="宋体" w:hAnsi="宋体" w:eastAsia="宋体" w:cs="宋体"/>
          <w:spacing w:val="10"/>
          <w:sz w:val="20"/>
          <w:szCs w:val="20"/>
        </w:rPr>
        <w:t>＞</w:t>
      </w:r>
      <w:r>
        <w:rPr>
          <w:rFonts w:ascii="Times New Roman" w:hAnsi="Times New Roman" w:eastAsia="Times New Roman" w:cs="Times New Roman"/>
          <w:spacing w:val="10"/>
          <w:sz w:val="20"/>
          <w:szCs w:val="20"/>
        </w:rPr>
        <w:t>-0.2</w:t>
      </w:r>
      <w:r>
        <w:rPr>
          <w:rFonts w:ascii="宋体" w:hAnsi="宋体" w:eastAsia="宋体" w:cs="宋体"/>
          <w:spacing w:val="10"/>
          <w:sz w:val="20"/>
          <w:szCs w:val="20"/>
        </w:rPr>
        <w:t>时也应计算衰减量，同时保证衰减量</w:t>
      </w:r>
      <w:r>
        <w:rPr>
          <w:rFonts w:ascii="宋体" w:hAnsi="宋体" w:eastAsia="宋体" w:cs="宋体"/>
          <w:sz w:val="20"/>
          <w:szCs w:val="20"/>
        </w:rPr>
        <w:t xml:space="preserve"> </w:t>
      </w:r>
      <w:r>
        <w:rPr>
          <w:rFonts w:ascii="宋体" w:hAnsi="宋体" w:eastAsia="宋体" w:cs="宋体"/>
          <w:spacing w:val="8"/>
          <w:sz w:val="20"/>
          <w:szCs w:val="20"/>
        </w:rPr>
        <w:t>为正值，负值时舍弃</w:t>
      </w:r>
      <w:r>
        <w:rPr>
          <w:rFonts w:ascii="宋体" w:hAnsi="宋体" w:eastAsia="宋体" w:cs="宋体"/>
          <w:spacing w:val="6"/>
          <w:sz w:val="20"/>
          <w:szCs w:val="20"/>
        </w:rPr>
        <w:t>。</w:t>
      </w:r>
    </w:p>
    <w:p>
      <w:pPr>
        <w:spacing w:line="265" w:lineRule="exact"/>
        <w:ind w:left="420"/>
        <w:rPr>
          <w:rFonts w:ascii="宋体" w:hAnsi="宋体" w:eastAsia="宋体" w:cs="宋体"/>
          <w:sz w:val="20"/>
          <w:szCs w:val="20"/>
        </w:rPr>
      </w:pPr>
      <w:r>
        <w:rPr>
          <w:rFonts w:ascii="宋体" w:hAnsi="宋体" w:eastAsia="宋体" w:cs="宋体"/>
          <w:spacing w:val="9"/>
          <w:position w:val="1"/>
          <w:sz w:val="20"/>
          <w:szCs w:val="20"/>
        </w:rPr>
        <w:t>有</w:t>
      </w:r>
      <w:r>
        <w:rPr>
          <w:rFonts w:ascii="宋体" w:hAnsi="宋体" w:eastAsia="宋体" w:cs="宋体"/>
          <w:spacing w:val="7"/>
          <w:position w:val="1"/>
          <w:sz w:val="20"/>
          <w:szCs w:val="20"/>
        </w:rPr>
        <w:t>限长声屏障的衰减量 (</w:t>
      </w:r>
      <w:r>
        <w:rPr>
          <w:rFonts w:ascii="Times New Roman" w:hAnsi="Times New Roman" w:eastAsia="Times New Roman" w:cs="Times New Roman"/>
          <w:i/>
          <w:iCs/>
          <w:position w:val="1"/>
          <w:sz w:val="20"/>
          <w:szCs w:val="20"/>
        </w:rPr>
        <w:t>A</w:t>
      </w:r>
      <w:r>
        <w:rPr>
          <w:rFonts w:ascii="Times New Roman" w:hAnsi="Times New Roman" w:eastAsia="Times New Roman" w:cs="Times New Roman"/>
          <w:sz w:val="13"/>
          <w:szCs w:val="13"/>
        </w:rPr>
        <w:t>bar</w:t>
      </w:r>
      <w:r>
        <w:rPr>
          <w:rFonts w:ascii="Times New Roman" w:hAnsi="Times New Roman" w:eastAsia="Times New Roman" w:cs="Times New Roman"/>
          <w:spacing w:val="7"/>
          <w:sz w:val="13"/>
          <w:szCs w:val="13"/>
        </w:rPr>
        <w:t xml:space="preserve"> </w:t>
      </w:r>
      <w:r>
        <w:rPr>
          <w:rFonts w:ascii="宋体" w:hAnsi="宋体" w:eastAsia="宋体" w:cs="宋体"/>
          <w:spacing w:val="7"/>
          <w:position w:val="1"/>
          <w:sz w:val="20"/>
          <w:szCs w:val="20"/>
        </w:rPr>
        <w:t>) 可按下式近似计算：</w:t>
      </w:r>
    </w:p>
    <w:p>
      <w:pPr>
        <w:spacing w:before="1" w:line="235" w:lineRule="auto"/>
        <w:ind w:left="2813"/>
        <w:rPr>
          <w:rFonts w:ascii="微软雅黑" w:hAnsi="微软雅黑" w:eastAsia="微软雅黑" w:cs="微软雅黑"/>
          <w:sz w:val="25"/>
          <w:szCs w:val="25"/>
        </w:rPr>
      </w:pPr>
      <w:r>
        <w:rPr>
          <w:rFonts w:ascii="Times New Roman" w:hAnsi="Times New Roman" w:eastAsia="Times New Roman" w:cs="Times New Roman"/>
          <w:i/>
          <w:iCs/>
          <w:spacing w:val="-5"/>
          <w:sz w:val="25"/>
          <w:szCs w:val="25"/>
        </w:rPr>
        <w:t>A</w:t>
      </w:r>
      <w:r>
        <w:rPr>
          <w:rFonts w:ascii="Times New Roman" w:hAnsi="Times New Roman" w:eastAsia="Times New Roman" w:cs="Times New Roman"/>
          <w:spacing w:val="-5"/>
          <w:position w:val="-6"/>
          <w:sz w:val="14"/>
          <w:szCs w:val="14"/>
        </w:rPr>
        <w:t xml:space="preserve">bar  </w:t>
      </w:r>
      <w:r>
        <w:rPr>
          <w:rFonts w:ascii="微软雅黑" w:hAnsi="微软雅黑" w:eastAsia="微软雅黑" w:cs="微软雅黑"/>
          <w:spacing w:val="-5"/>
          <w:sz w:val="25"/>
          <w:szCs w:val="25"/>
        </w:rPr>
        <w:t>~ -</w:t>
      </w:r>
      <w:r>
        <w:rPr>
          <w:rFonts w:ascii="Times New Roman" w:hAnsi="Times New Roman" w:eastAsia="Times New Roman" w:cs="Times New Roman"/>
          <w:spacing w:val="-5"/>
          <w:sz w:val="25"/>
          <w:szCs w:val="25"/>
        </w:rPr>
        <w:t>10lg</w:t>
      </w:r>
      <w:r>
        <w:rPr>
          <w:position w:val="-28"/>
          <w:sz w:val="25"/>
          <w:szCs w:val="25"/>
        </w:rPr>
        <w:drawing>
          <wp:inline distT="0" distB="0" distL="0" distR="0">
            <wp:extent cx="65405" cy="427990"/>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282"/>
                    <a:stretch>
                      <a:fillRect/>
                    </a:stretch>
                  </pic:blipFill>
                  <pic:spPr>
                    <a:xfrm>
                      <a:off x="0" y="0"/>
                      <a:ext cx="65896" cy="428390"/>
                    </a:xfrm>
                    <a:prstGeom prst="rect">
                      <a:avLst/>
                    </a:prstGeom>
                  </pic:spPr>
                </pic:pic>
              </a:graphicData>
            </a:graphic>
          </wp:inline>
        </w:drawing>
      </w:r>
      <w:r>
        <w:rPr>
          <w:position w:val="-19"/>
          <w:sz w:val="25"/>
          <w:szCs w:val="25"/>
        </w:rPr>
        <w:drawing>
          <wp:inline distT="0" distB="0" distL="0" distR="0">
            <wp:extent cx="163830" cy="387350"/>
            <wp:effectExtent l="0" t="0" r="0" b="0"/>
            <wp:docPr id="139" name="IM 139"/>
            <wp:cNvGraphicFramePr/>
            <a:graphic xmlns:a="http://schemas.openxmlformats.org/drawingml/2006/main">
              <a:graphicData uri="http://schemas.openxmlformats.org/drawingml/2006/picture">
                <pic:pic xmlns:pic="http://schemas.openxmlformats.org/drawingml/2006/picture">
                  <pic:nvPicPr>
                    <pic:cNvPr id="139" name="IM 139"/>
                    <pic:cNvPicPr/>
                  </pic:nvPicPr>
                  <pic:blipFill>
                    <a:blip r:embed="rId283"/>
                    <a:stretch>
                      <a:fillRect/>
                    </a:stretch>
                  </pic:blipFill>
                  <pic:spPr>
                    <a:xfrm>
                      <a:off x="0" y="0"/>
                      <a:ext cx="163922" cy="387956"/>
                    </a:xfrm>
                    <a:prstGeom prst="rect">
                      <a:avLst/>
                    </a:prstGeom>
                  </pic:spPr>
                </pic:pic>
              </a:graphicData>
            </a:graphic>
          </wp:inline>
        </w:drawing>
      </w:r>
      <w:r>
        <w:rPr>
          <w:rFonts w:ascii="Times New Roman" w:hAnsi="Times New Roman" w:eastAsia="Times New Roman" w:cs="Times New Roman"/>
          <w:spacing w:val="-5"/>
          <w:sz w:val="25"/>
          <w:szCs w:val="25"/>
        </w:rPr>
        <w:t>10</w:t>
      </w:r>
      <w:r>
        <w:rPr>
          <w:rFonts w:ascii="微软雅黑" w:hAnsi="微软雅黑" w:eastAsia="微软雅黑" w:cs="微软雅黑"/>
          <w:spacing w:val="-5"/>
          <w:position w:val="11"/>
          <w:sz w:val="14"/>
          <w:szCs w:val="14"/>
        </w:rPr>
        <w:t>-</w:t>
      </w:r>
      <w:r>
        <w:rPr>
          <w:rFonts w:ascii="Times New Roman" w:hAnsi="Times New Roman" w:eastAsia="Times New Roman" w:cs="Times New Roman"/>
          <w:spacing w:val="-5"/>
          <w:position w:val="11"/>
          <w:sz w:val="14"/>
          <w:szCs w:val="14"/>
        </w:rPr>
        <w:t>0. 1</w:t>
      </w:r>
      <w:r>
        <w:rPr>
          <w:rFonts w:ascii="Times New Roman" w:hAnsi="Times New Roman" w:eastAsia="Times New Roman" w:cs="Times New Roman"/>
          <w:i/>
          <w:iCs/>
          <w:spacing w:val="-5"/>
          <w:position w:val="11"/>
          <w:sz w:val="14"/>
          <w:szCs w:val="14"/>
        </w:rPr>
        <w:t>A</w:t>
      </w:r>
      <w:r>
        <w:rPr>
          <w:rFonts w:ascii="Times New Roman" w:hAnsi="Times New Roman" w:eastAsia="Times New Roman" w:cs="Times New Roman"/>
          <w:spacing w:val="-5"/>
          <w:position w:val="7"/>
          <w:sz w:val="10"/>
          <w:szCs w:val="10"/>
        </w:rPr>
        <w:t>ba</w:t>
      </w:r>
      <w:r>
        <w:rPr>
          <w:rFonts w:ascii="Times New Roman" w:hAnsi="Times New Roman" w:eastAsia="Times New Roman" w:cs="Times New Roman"/>
          <w:position w:val="7"/>
          <w:sz w:val="10"/>
          <w:szCs w:val="10"/>
        </w:rPr>
        <w:t>r</w:t>
      </w:r>
      <w:r>
        <w:rPr>
          <w:rFonts w:ascii="Times New Roman" w:hAnsi="Times New Roman" w:eastAsia="Times New Roman" w:cs="Times New Roman"/>
          <w:spacing w:val="-5"/>
          <w:position w:val="7"/>
          <w:sz w:val="10"/>
          <w:szCs w:val="10"/>
        </w:rPr>
        <w:t xml:space="preserve">   </w:t>
      </w:r>
      <w:r>
        <w:rPr>
          <w:rFonts w:ascii="微软雅黑" w:hAnsi="微软雅黑" w:eastAsia="微软雅黑" w:cs="微软雅黑"/>
          <w:spacing w:val="-5"/>
          <w:sz w:val="25"/>
          <w:szCs w:val="25"/>
        </w:rPr>
        <w:t xml:space="preserve">+ </w:t>
      </w:r>
      <w:r>
        <w:rPr>
          <w:rFonts w:ascii="Times New Roman" w:hAnsi="Times New Roman" w:eastAsia="Times New Roman" w:cs="Times New Roman"/>
          <w:spacing w:val="-5"/>
          <w:sz w:val="25"/>
          <w:szCs w:val="25"/>
        </w:rPr>
        <w:t>1</w:t>
      </w:r>
      <w:r>
        <w:rPr>
          <w:rFonts w:ascii="微软雅黑" w:hAnsi="微软雅黑" w:eastAsia="微软雅黑" w:cs="微软雅黑"/>
          <w:spacing w:val="-5"/>
          <w:sz w:val="25"/>
          <w:szCs w:val="25"/>
        </w:rPr>
        <w:t xml:space="preserve">- </w:t>
      </w:r>
      <w:r>
        <w:rPr>
          <w:position w:val="-19"/>
          <w:sz w:val="25"/>
          <w:szCs w:val="25"/>
        </w:rPr>
        <w:drawing>
          <wp:inline distT="0" distB="0" distL="0" distR="0">
            <wp:extent cx="163830" cy="387350"/>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284"/>
                    <a:stretch>
                      <a:fillRect/>
                    </a:stretch>
                  </pic:blipFill>
                  <pic:spPr>
                    <a:xfrm>
                      <a:off x="0" y="0"/>
                      <a:ext cx="163922" cy="387956"/>
                    </a:xfrm>
                    <a:prstGeom prst="rect">
                      <a:avLst/>
                    </a:prstGeom>
                  </pic:spPr>
                </pic:pic>
              </a:graphicData>
            </a:graphic>
          </wp:inline>
        </w:drawing>
      </w:r>
      <w:r>
        <w:rPr>
          <w:rFonts w:ascii="微软雅黑" w:hAnsi="微软雅黑" w:eastAsia="微软雅黑" w:cs="微软雅黑"/>
          <w:spacing w:val="-5"/>
          <w:position w:val="-3"/>
          <w:sz w:val="25"/>
          <w:szCs w:val="25"/>
        </w:rPr>
        <w:t>))|</w:t>
      </w:r>
    </w:p>
    <w:p>
      <w:pPr>
        <w:spacing w:before="111" w:line="281" w:lineRule="exact"/>
        <w:ind w:left="424"/>
        <w:rPr>
          <w:rFonts w:ascii="宋体" w:hAnsi="宋体" w:eastAsia="宋体" w:cs="宋体"/>
          <w:sz w:val="20"/>
          <w:szCs w:val="20"/>
        </w:rPr>
      </w:pPr>
      <w:r>
        <w:rPr>
          <w:rFonts w:ascii="宋体" w:hAnsi="宋体" w:eastAsia="宋体" w:cs="宋体"/>
          <w:spacing w:val="12"/>
          <w:position w:val="1"/>
          <w:sz w:val="20"/>
          <w:szCs w:val="20"/>
        </w:rPr>
        <w:t>式</w:t>
      </w:r>
      <w:r>
        <w:rPr>
          <w:rFonts w:ascii="宋体" w:hAnsi="宋体" w:eastAsia="宋体" w:cs="宋体"/>
          <w:spacing w:val="10"/>
          <w:position w:val="1"/>
          <w:sz w:val="20"/>
          <w:szCs w:val="20"/>
        </w:rPr>
        <w:t>中：</w:t>
      </w:r>
      <w:r>
        <w:rPr>
          <w:rFonts w:ascii="Times New Roman" w:hAnsi="Times New Roman" w:eastAsia="Times New Roman" w:cs="Times New Roman"/>
          <w:i/>
          <w:iCs/>
          <w:position w:val="1"/>
          <w:sz w:val="20"/>
          <w:szCs w:val="20"/>
        </w:rPr>
        <w:t>A</w:t>
      </w:r>
      <w:r>
        <w:rPr>
          <w:rFonts w:ascii="Times New Roman" w:hAnsi="Times New Roman" w:eastAsia="Times New Roman" w:cs="Times New Roman"/>
          <w:sz w:val="13"/>
          <w:szCs w:val="13"/>
        </w:rPr>
        <w:t>bar</w:t>
      </w:r>
      <w:r>
        <w:rPr>
          <w:rFonts w:ascii="Times New Roman" w:hAnsi="Times New Roman" w:eastAsia="Times New Roman" w:cs="Times New Roman"/>
          <w:spacing w:val="10"/>
          <w:position w:val="1"/>
          <w:sz w:val="20"/>
          <w:szCs w:val="20"/>
        </w:rPr>
        <w:t>——</w:t>
      </w:r>
      <w:r>
        <w:rPr>
          <w:rFonts w:ascii="宋体" w:hAnsi="宋体" w:eastAsia="宋体" w:cs="宋体"/>
          <w:spacing w:val="10"/>
          <w:position w:val="1"/>
          <w:sz w:val="20"/>
          <w:szCs w:val="20"/>
        </w:rPr>
        <w:t>有限长声屏障引起的衰减，</w:t>
      </w:r>
      <w:r>
        <w:rPr>
          <w:rFonts w:ascii="Times New Roman" w:hAnsi="Times New Roman" w:eastAsia="Times New Roman" w:cs="Times New Roman"/>
          <w:position w:val="1"/>
          <w:sz w:val="20"/>
          <w:szCs w:val="20"/>
        </w:rPr>
        <w:t>dB</w:t>
      </w:r>
      <w:r>
        <w:rPr>
          <w:rFonts w:ascii="宋体" w:hAnsi="宋体" w:eastAsia="宋体" w:cs="宋体"/>
          <w:spacing w:val="10"/>
          <w:position w:val="1"/>
          <w:sz w:val="20"/>
          <w:szCs w:val="20"/>
        </w:rPr>
        <w:t>；</w:t>
      </w:r>
    </w:p>
    <w:p>
      <w:pPr>
        <w:spacing w:before="120" w:line="401" w:lineRule="exact"/>
        <w:ind w:left="1051"/>
        <w:rPr>
          <w:rFonts w:ascii="宋体" w:hAnsi="宋体" w:eastAsia="宋体" w:cs="宋体"/>
          <w:sz w:val="20"/>
          <w:szCs w:val="20"/>
        </w:rPr>
      </w:pPr>
      <w:r>
        <w:rPr>
          <w:rFonts w:ascii="Times New Roman" w:hAnsi="Times New Roman" w:eastAsia="Times New Roman" w:cs="Times New Roman"/>
          <w:spacing w:val="6"/>
          <w:position w:val="12"/>
          <w:sz w:val="20"/>
          <w:szCs w:val="20"/>
        </w:rPr>
        <w:t>β——</w:t>
      </w:r>
      <w:r>
        <w:rPr>
          <w:rFonts w:ascii="宋体" w:hAnsi="宋体" w:eastAsia="宋体" w:cs="宋体"/>
          <w:spacing w:val="6"/>
          <w:position w:val="12"/>
          <w:sz w:val="20"/>
          <w:szCs w:val="20"/>
        </w:rPr>
        <w:t>受声点</w:t>
      </w:r>
      <w:r>
        <w:rPr>
          <w:rFonts w:ascii="宋体" w:hAnsi="宋体" w:eastAsia="宋体" w:cs="宋体"/>
          <w:spacing w:val="4"/>
          <w:position w:val="12"/>
          <w:sz w:val="20"/>
          <w:szCs w:val="20"/>
        </w:rPr>
        <w:t>与</w:t>
      </w:r>
      <w:r>
        <w:rPr>
          <w:rFonts w:ascii="宋体" w:hAnsi="宋体" w:eastAsia="宋体" w:cs="宋体"/>
          <w:spacing w:val="3"/>
          <w:position w:val="12"/>
          <w:sz w:val="20"/>
          <w:szCs w:val="20"/>
        </w:rPr>
        <w:t>声屏障两端连接线的夹角，  (</w:t>
      </w:r>
      <w:r>
        <w:rPr>
          <w:rFonts w:ascii="Times New Roman" w:hAnsi="Times New Roman" w:eastAsia="Times New Roman" w:cs="Times New Roman"/>
          <w:spacing w:val="3"/>
          <w:position w:val="12"/>
          <w:sz w:val="20"/>
          <w:szCs w:val="20"/>
        </w:rPr>
        <w:t>°</w:t>
      </w:r>
      <w:r>
        <w:rPr>
          <w:rFonts w:ascii="宋体" w:hAnsi="宋体" w:eastAsia="宋体" w:cs="宋体"/>
          <w:spacing w:val="3"/>
          <w:position w:val="12"/>
          <w:sz w:val="20"/>
          <w:szCs w:val="20"/>
        </w:rPr>
        <w:t>) ；</w:t>
      </w:r>
    </w:p>
    <w:p>
      <w:pPr>
        <w:spacing w:line="281" w:lineRule="exact"/>
        <w:ind w:left="1049"/>
        <w:rPr>
          <w:rFonts w:ascii="宋体" w:hAnsi="宋体" w:eastAsia="宋体" w:cs="宋体"/>
          <w:sz w:val="20"/>
          <w:szCs w:val="20"/>
        </w:rPr>
      </w:pPr>
      <w:r>
        <w:rPr>
          <w:rFonts w:ascii="Times New Roman" w:hAnsi="Times New Roman" w:eastAsia="Times New Roman" w:cs="Times New Roman"/>
          <w:spacing w:val="4"/>
          <w:position w:val="1"/>
          <w:sz w:val="20"/>
          <w:szCs w:val="20"/>
        </w:rPr>
        <w:t>θ——</w:t>
      </w:r>
      <w:r>
        <w:rPr>
          <w:rFonts w:ascii="宋体" w:hAnsi="宋体" w:eastAsia="宋体" w:cs="宋体"/>
          <w:spacing w:val="4"/>
          <w:position w:val="1"/>
          <w:sz w:val="20"/>
          <w:szCs w:val="20"/>
        </w:rPr>
        <w:t>受声点与线声源两端连接线的夹角，  (</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 xml:space="preserve">) </w:t>
      </w:r>
      <w:r>
        <w:rPr>
          <w:rFonts w:ascii="宋体" w:hAnsi="宋体" w:eastAsia="宋体" w:cs="宋体"/>
          <w:spacing w:val="1"/>
          <w:position w:val="1"/>
          <w:sz w:val="20"/>
          <w:szCs w:val="20"/>
        </w:rPr>
        <w:t>；</w:t>
      </w:r>
    </w:p>
    <w:p>
      <w:pPr>
        <w:spacing w:before="16" w:line="1966" w:lineRule="exact"/>
        <w:ind w:firstLine="2492"/>
        <w:textAlignment w:val="center"/>
      </w:pPr>
      <w:r>
        <w:drawing>
          <wp:inline distT="0" distB="0" distL="0" distR="0">
            <wp:extent cx="2428875" cy="1247775"/>
            <wp:effectExtent l="0" t="0" r="0" b="0"/>
            <wp:docPr id="141" name="IM 141"/>
            <wp:cNvGraphicFramePr/>
            <a:graphic xmlns:a="http://schemas.openxmlformats.org/drawingml/2006/main">
              <a:graphicData uri="http://schemas.openxmlformats.org/drawingml/2006/picture">
                <pic:pic xmlns:pic="http://schemas.openxmlformats.org/drawingml/2006/picture">
                  <pic:nvPicPr>
                    <pic:cNvPr id="141" name="IM 141"/>
                    <pic:cNvPicPr/>
                  </pic:nvPicPr>
                  <pic:blipFill>
                    <a:blip r:embed="rId285"/>
                    <a:stretch>
                      <a:fillRect/>
                    </a:stretch>
                  </pic:blipFill>
                  <pic:spPr>
                    <a:xfrm>
                      <a:off x="0" y="0"/>
                      <a:ext cx="2429255" cy="1248155"/>
                    </a:xfrm>
                    <a:prstGeom prst="rect">
                      <a:avLst/>
                    </a:prstGeom>
                  </pic:spPr>
                </pic:pic>
              </a:graphicData>
            </a:graphic>
          </wp:inline>
        </w:drawing>
      </w:r>
    </w:p>
    <w:p>
      <w:pPr>
        <w:spacing w:before="87" w:line="338" w:lineRule="exact"/>
        <w:ind w:left="2132"/>
        <w:rPr>
          <w:rFonts w:ascii="黑体" w:hAnsi="黑体" w:eastAsia="黑体" w:cs="黑体"/>
          <w:sz w:val="19"/>
          <w:szCs w:val="19"/>
        </w:rPr>
      </w:pPr>
      <w:r>
        <w:rPr>
          <w:rFonts w:ascii="黑体" w:hAnsi="黑体" w:eastAsia="黑体" w:cs="黑体"/>
          <w:spacing w:val="8"/>
          <w:position w:val="10"/>
          <w:sz w:val="19"/>
          <w:szCs w:val="19"/>
        </w:rPr>
        <w:t>图</w:t>
      </w:r>
      <w:r>
        <w:rPr>
          <w:rFonts w:ascii="Times New Roman" w:hAnsi="Times New Roman" w:eastAsia="Times New Roman" w:cs="Times New Roman"/>
          <w:spacing w:val="8"/>
          <w:position w:val="10"/>
          <w:sz w:val="19"/>
          <w:szCs w:val="19"/>
        </w:rPr>
        <w:t>12</w:t>
      </w:r>
      <w:r>
        <w:rPr>
          <w:rFonts w:ascii="黑体" w:hAnsi="黑体" w:eastAsia="黑体" w:cs="黑体"/>
          <w:spacing w:val="8"/>
          <w:position w:val="10"/>
          <w:sz w:val="19"/>
          <w:szCs w:val="19"/>
        </w:rPr>
        <w:t>：受声点与线声源两端连接线的夹角 (遮蔽角</w:t>
      </w:r>
      <w:r>
        <w:rPr>
          <w:rFonts w:ascii="黑体" w:hAnsi="黑体" w:eastAsia="黑体" w:cs="黑体"/>
          <w:spacing w:val="7"/>
          <w:position w:val="10"/>
          <w:sz w:val="19"/>
          <w:szCs w:val="19"/>
        </w:rPr>
        <w:t>)</w:t>
      </w:r>
    </w:p>
    <w:p>
      <w:pPr>
        <w:spacing w:line="281" w:lineRule="exact"/>
        <w:ind w:left="424"/>
        <w:rPr>
          <w:rFonts w:ascii="宋体" w:hAnsi="宋体" w:eastAsia="宋体" w:cs="宋体"/>
          <w:sz w:val="20"/>
          <w:szCs w:val="20"/>
        </w:rPr>
      </w:pPr>
      <w:r>
        <w:rPr>
          <w:rFonts w:ascii="宋体" w:hAnsi="宋体" w:eastAsia="宋体" w:cs="宋体"/>
          <w:spacing w:val="16"/>
          <w:position w:val="1"/>
          <w:sz w:val="20"/>
          <w:szCs w:val="20"/>
        </w:rPr>
        <w:t>声</w:t>
      </w:r>
      <w:r>
        <w:rPr>
          <w:rFonts w:ascii="宋体" w:hAnsi="宋体" w:eastAsia="宋体" w:cs="宋体"/>
          <w:spacing w:val="14"/>
          <w:position w:val="1"/>
          <w:sz w:val="20"/>
          <w:szCs w:val="20"/>
        </w:rPr>
        <w:t>屏</w:t>
      </w:r>
      <w:r>
        <w:rPr>
          <w:rFonts w:ascii="宋体" w:hAnsi="宋体" w:eastAsia="宋体" w:cs="宋体"/>
          <w:spacing w:val="8"/>
          <w:position w:val="1"/>
          <w:sz w:val="20"/>
          <w:szCs w:val="20"/>
        </w:rPr>
        <w:t>障的透射、反射修正可参照</w:t>
      </w:r>
      <w:r>
        <w:rPr>
          <w:rFonts w:ascii="Times New Roman" w:hAnsi="Times New Roman" w:eastAsia="Times New Roman" w:cs="Times New Roman"/>
          <w:position w:val="1"/>
          <w:sz w:val="20"/>
          <w:szCs w:val="20"/>
        </w:rPr>
        <w:t>HJ</w:t>
      </w:r>
      <w:r>
        <w:rPr>
          <w:rFonts w:ascii="Times New Roman" w:hAnsi="Times New Roman" w:eastAsia="Times New Roman" w:cs="Times New Roman"/>
          <w:spacing w:val="8"/>
          <w:position w:val="1"/>
          <w:sz w:val="20"/>
          <w:szCs w:val="20"/>
        </w:rPr>
        <w:t>/</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8"/>
          <w:position w:val="1"/>
          <w:sz w:val="20"/>
          <w:szCs w:val="20"/>
        </w:rPr>
        <w:t>90</w:t>
      </w:r>
      <w:r>
        <w:rPr>
          <w:rFonts w:ascii="宋体" w:hAnsi="宋体" w:eastAsia="宋体" w:cs="宋体"/>
          <w:spacing w:val="8"/>
          <w:position w:val="1"/>
          <w:sz w:val="20"/>
          <w:szCs w:val="20"/>
        </w:rPr>
        <w:t>计算。</w:t>
      </w:r>
    </w:p>
    <w:p>
      <w:pPr>
        <w:spacing w:before="155" w:line="276" w:lineRule="exact"/>
        <w:ind w:left="415"/>
        <w:rPr>
          <w:rFonts w:ascii="宋体" w:hAnsi="宋体" w:eastAsia="宋体" w:cs="宋体"/>
          <w:sz w:val="20"/>
          <w:szCs w:val="20"/>
        </w:rPr>
      </w:pPr>
      <w:r>
        <w:rPr>
          <w:rFonts w:ascii="Times New Roman" w:hAnsi="Times New Roman" w:eastAsia="Times New Roman" w:cs="Times New Roman"/>
          <w:position w:val="1"/>
          <w:sz w:val="20"/>
          <w:szCs w:val="20"/>
        </w:rPr>
        <w:t>B</w:t>
      </w:r>
      <w:r>
        <w:rPr>
          <w:rFonts w:ascii="Times New Roman" w:hAnsi="Times New Roman" w:eastAsia="Times New Roman" w:cs="Times New Roman"/>
          <w:spacing w:val="8"/>
          <w:position w:val="1"/>
          <w:sz w:val="20"/>
          <w:szCs w:val="20"/>
        </w:rPr>
        <w:t xml:space="preserve">.    </w:t>
      </w:r>
      <w:r>
        <w:rPr>
          <w:rFonts w:ascii="宋体" w:hAnsi="宋体" w:eastAsia="宋体" w:cs="宋体"/>
          <w:spacing w:val="8"/>
          <w:position w:val="1"/>
          <w:sz w:val="20"/>
          <w:szCs w:val="20"/>
        </w:rPr>
        <w:t>大气吸收引起的衰减 (</w:t>
      </w:r>
      <w:r>
        <w:rPr>
          <w:rFonts w:ascii="Times New Roman" w:hAnsi="Times New Roman" w:eastAsia="Times New Roman" w:cs="Times New Roman"/>
          <w:i/>
          <w:iCs/>
          <w:position w:val="1"/>
          <w:sz w:val="20"/>
          <w:szCs w:val="20"/>
        </w:rPr>
        <w:t>A</w:t>
      </w:r>
      <w:r>
        <w:rPr>
          <w:rFonts w:ascii="Times New Roman" w:hAnsi="Times New Roman" w:eastAsia="Times New Roman" w:cs="Times New Roman"/>
          <w:i/>
          <w:iCs/>
          <w:sz w:val="13"/>
          <w:szCs w:val="13"/>
        </w:rPr>
        <w:t>atm</w:t>
      </w:r>
      <w:r>
        <w:rPr>
          <w:rFonts w:ascii="Times New Roman" w:hAnsi="Times New Roman" w:eastAsia="Times New Roman" w:cs="Times New Roman"/>
          <w:spacing w:val="8"/>
          <w:sz w:val="13"/>
          <w:szCs w:val="13"/>
        </w:rPr>
        <w:t xml:space="preserve"> </w:t>
      </w:r>
      <w:r>
        <w:rPr>
          <w:rFonts w:ascii="宋体" w:hAnsi="宋体" w:eastAsia="宋体" w:cs="宋体"/>
          <w:spacing w:val="8"/>
          <w:position w:val="1"/>
          <w:sz w:val="20"/>
          <w:szCs w:val="20"/>
        </w:rPr>
        <w:t>)</w:t>
      </w:r>
    </w:p>
    <w:p>
      <w:pPr>
        <w:spacing w:before="125" w:line="189" w:lineRule="auto"/>
        <w:ind w:left="422"/>
        <w:rPr>
          <w:rFonts w:ascii="宋体" w:hAnsi="宋体" w:eastAsia="宋体" w:cs="宋体"/>
          <w:sz w:val="18"/>
          <w:szCs w:val="18"/>
        </w:rPr>
      </w:pPr>
      <w:r>
        <w:rPr>
          <w:rFonts w:ascii="宋体" w:hAnsi="宋体" w:eastAsia="宋体" w:cs="宋体"/>
          <w:spacing w:val="29"/>
          <w:sz w:val="18"/>
          <w:szCs w:val="18"/>
        </w:rPr>
        <w:t>大</w:t>
      </w:r>
      <w:r>
        <w:rPr>
          <w:rFonts w:ascii="宋体" w:hAnsi="宋体" w:eastAsia="宋体" w:cs="宋体"/>
          <w:spacing w:val="27"/>
          <w:sz w:val="18"/>
          <w:szCs w:val="18"/>
        </w:rPr>
        <w:t>气吸收引起的衰减按下式计算：</w:t>
      </w:r>
    </w:p>
    <w:p>
      <w:pPr>
        <w:spacing w:before="1" w:line="169" w:lineRule="auto"/>
        <w:ind w:left="3703"/>
        <w:rPr>
          <w:rFonts w:ascii="微软雅黑" w:hAnsi="微软雅黑" w:eastAsia="微软雅黑" w:cs="微软雅黑"/>
          <w:sz w:val="31"/>
          <w:szCs w:val="31"/>
        </w:rPr>
      </w:pPr>
      <w:r>
        <w:pict>
          <v:shape id="_x0000_s1109" o:spid="_x0000_s1109" o:spt="202" type="#_x0000_t202" style="position:absolute;left:0pt;margin-left:191.7pt;margin-top:18.05pt;height:11.95pt;width:12.7pt;z-index:251769856;mso-width-relative:page;mso-height-relative:page;" filled="f" stroked="f" coordsize="21600,21600">
            <v:path/>
            <v:fill on="f" focussize="0,0"/>
            <v:stroke on="f"/>
            <v:imagedata o:title=""/>
            <o:lock v:ext="edit" aspectratio="f"/>
            <v:textbox inset="0mm,0mm,0mm,0mm">
              <w:txbxContent>
                <w:p>
                  <w:pPr>
                    <w:spacing w:before="20" w:line="198" w:lineRule="exact"/>
                    <w:ind w:left="20"/>
                    <w:rPr>
                      <w:rFonts w:ascii="Times New Roman" w:hAnsi="Times New Roman" w:eastAsia="Times New Roman" w:cs="Times New Roman"/>
                      <w:sz w:val="14"/>
                      <w:szCs w:val="14"/>
                    </w:rPr>
                  </w:pPr>
                  <w:r>
                    <w:rPr>
                      <w:rFonts w:ascii="Times New Roman" w:hAnsi="Times New Roman" w:eastAsia="Times New Roman" w:cs="Times New Roman"/>
                      <w:spacing w:val="1"/>
                      <w:position w:val="2"/>
                      <w:sz w:val="14"/>
                      <w:szCs w:val="14"/>
                    </w:rPr>
                    <w:t>atm</w:t>
                  </w:r>
                </w:p>
              </w:txbxContent>
            </v:textbox>
          </v:shape>
        </w:pict>
      </w:r>
      <w:r>
        <w:rPr>
          <w:rFonts w:ascii="Times New Roman" w:hAnsi="Times New Roman" w:eastAsia="Times New Roman" w:cs="Times New Roman"/>
          <w:i/>
          <w:iCs/>
          <w:spacing w:val="-1"/>
          <w:position w:val="-9"/>
          <w:sz w:val="24"/>
          <w:szCs w:val="24"/>
        </w:rPr>
        <w:t>A</w:t>
      </w:r>
      <w:r>
        <w:rPr>
          <w:rFonts w:ascii="Times New Roman" w:hAnsi="Times New Roman" w:eastAsia="Times New Roman" w:cs="Times New Roman"/>
          <w:spacing w:val="-2"/>
          <w:position w:val="-9"/>
          <w:sz w:val="24"/>
          <w:szCs w:val="24"/>
        </w:rPr>
        <w:t xml:space="preserve">    </w:t>
      </w:r>
      <w:r>
        <w:rPr>
          <w:rFonts w:ascii="微软雅黑" w:hAnsi="微软雅黑" w:eastAsia="微软雅黑" w:cs="微软雅黑"/>
          <w:spacing w:val="-2"/>
          <w:position w:val="-9"/>
          <w:sz w:val="24"/>
          <w:szCs w:val="24"/>
        </w:rPr>
        <w:t xml:space="preserve">= </w:t>
      </w:r>
      <w:r>
        <w:rPr>
          <w:rFonts w:ascii="Symbol" w:hAnsi="Symbol" w:eastAsia="Symbol" w:cs="Symbol"/>
          <w:spacing w:val="-1"/>
          <w:position w:val="5"/>
          <w:sz w:val="25"/>
          <w:szCs w:val="25"/>
          <w:u w:val="single" w:color="auto"/>
        </w:rPr>
        <w:t>a</w:t>
      </w:r>
      <w:r>
        <w:rPr>
          <w:rFonts w:ascii="微软雅黑" w:hAnsi="微软雅黑" w:eastAsia="微软雅黑" w:cs="微软雅黑"/>
          <w:spacing w:val="-2"/>
          <w:position w:val="6"/>
          <w:sz w:val="31"/>
          <w:szCs w:val="31"/>
          <w:u w:val="single" w:color="auto"/>
        </w:rPr>
        <w:t>(</w:t>
      </w:r>
      <w:r>
        <w:rPr>
          <w:rFonts w:ascii="Times New Roman" w:hAnsi="Times New Roman" w:eastAsia="Times New Roman" w:cs="Times New Roman"/>
          <w:spacing w:val="-1"/>
          <w:position w:val="5"/>
          <w:sz w:val="24"/>
          <w:szCs w:val="24"/>
          <w:u w:val="single" w:color="auto"/>
        </w:rPr>
        <w:t>r</w:t>
      </w:r>
      <w:r>
        <w:rPr>
          <w:rFonts w:ascii="Times New Roman" w:hAnsi="Times New Roman" w:eastAsia="Times New Roman" w:cs="Times New Roman"/>
          <w:spacing w:val="-2"/>
          <w:position w:val="5"/>
          <w:sz w:val="24"/>
          <w:szCs w:val="24"/>
          <w:u w:val="single" w:color="auto"/>
        </w:rPr>
        <w:t xml:space="preserve"> -</w:t>
      </w:r>
      <w:r>
        <w:rPr>
          <w:rFonts w:ascii="Times New Roman" w:hAnsi="Times New Roman" w:eastAsia="Times New Roman" w:cs="Times New Roman"/>
          <w:spacing w:val="-1"/>
          <w:position w:val="5"/>
          <w:sz w:val="24"/>
          <w:szCs w:val="24"/>
          <w:u w:val="single" w:color="auto"/>
        </w:rPr>
        <w:t xml:space="preserve"> r</w:t>
      </w:r>
      <w:r>
        <w:rPr>
          <w:rFonts w:ascii="Times New Roman" w:hAnsi="Times New Roman" w:eastAsia="Times New Roman" w:cs="Times New Roman"/>
          <w:spacing w:val="-1"/>
          <w:sz w:val="14"/>
          <w:szCs w:val="14"/>
          <w:u w:val="single" w:color="auto"/>
        </w:rPr>
        <w:t xml:space="preserve">0 </w:t>
      </w:r>
      <w:r>
        <w:rPr>
          <w:rFonts w:ascii="微软雅黑" w:hAnsi="微软雅黑" w:eastAsia="微软雅黑" w:cs="微软雅黑"/>
          <w:spacing w:val="-1"/>
          <w:position w:val="6"/>
          <w:sz w:val="31"/>
          <w:szCs w:val="31"/>
          <w:u w:val="single" w:color="auto"/>
        </w:rPr>
        <w:t>)</w:t>
      </w:r>
    </w:p>
    <w:p>
      <w:pPr>
        <w:spacing w:line="190" w:lineRule="auto"/>
        <w:ind w:left="4499"/>
        <w:rPr>
          <w:rFonts w:ascii="Times New Roman" w:hAnsi="Times New Roman" w:eastAsia="Times New Roman" w:cs="Times New Roman"/>
          <w:sz w:val="25"/>
          <w:szCs w:val="25"/>
        </w:rPr>
      </w:pPr>
      <w:r>
        <w:rPr>
          <w:rFonts w:ascii="Times New Roman" w:hAnsi="Times New Roman" w:eastAsia="Times New Roman" w:cs="Times New Roman"/>
          <w:spacing w:val="-8"/>
          <w:sz w:val="25"/>
          <w:szCs w:val="25"/>
        </w:rPr>
        <w:t>1</w:t>
      </w:r>
      <w:r>
        <w:rPr>
          <w:rFonts w:ascii="Times New Roman" w:hAnsi="Times New Roman" w:eastAsia="Times New Roman" w:cs="Times New Roman"/>
          <w:spacing w:val="-7"/>
          <w:sz w:val="25"/>
          <w:szCs w:val="25"/>
        </w:rPr>
        <w:t>000</w:t>
      </w:r>
    </w:p>
    <w:p>
      <w:pPr>
        <w:spacing w:before="101" w:line="281" w:lineRule="exact"/>
        <w:ind w:left="424"/>
        <w:rPr>
          <w:rFonts w:ascii="宋体" w:hAnsi="宋体" w:eastAsia="宋体" w:cs="宋体"/>
          <w:sz w:val="20"/>
          <w:szCs w:val="20"/>
        </w:rPr>
      </w:pPr>
      <w:r>
        <w:rPr>
          <w:rFonts w:ascii="宋体" w:hAnsi="宋体" w:eastAsia="宋体" w:cs="宋体"/>
          <w:spacing w:val="14"/>
          <w:position w:val="1"/>
          <w:sz w:val="20"/>
          <w:szCs w:val="20"/>
        </w:rPr>
        <w:t>式</w:t>
      </w:r>
      <w:r>
        <w:rPr>
          <w:rFonts w:ascii="宋体" w:hAnsi="宋体" w:eastAsia="宋体" w:cs="宋体"/>
          <w:spacing w:val="10"/>
          <w:position w:val="1"/>
          <w:sz w:val="20"/>
          <w:szCs w:val="20"/>
        </w:rPr>
        <w:t>中：</w:t>
      </w:r>
      <w:r>
        <w:rPr>
          <w:rFonts w:ascii="Times New Roman" w:hAnsi="Times New Roman" w:eastAsia="Times New Roman" w:cs="Times New Roman"/>
          <w:i/>
          <w:iCs/>
          <w:position w:val="1"/>
          <w:sz w:val="20"/>
          <w:szCs w:val="20"/>
        </w:rPr>
        <w:t>A</w:t>
      </w:r>
      <w:r>
        <w:rPr>
          <w:rFonts w:ascii="Times New Roman" w:hAnsi="Times New Roman" w:eastAsia="Times New Roman" w:cs="Times New Roman"/>
          <w:i/>
          <w:iCs/>
          <w:sz w:val="13"/>
          <w:szCs w:val="13"/>
        </w:rPr>
        <w:t>atm</w:t>
      </w:r>
      <w:r>
        <w:rPr>
          <w:rFonts w:ascii="Times New Roman" w:hAnsi="Times New Roman" w:eastAsia="Times New Roman" w:cs="Times New Roman"/>
          <w:spacing w:val="10"/>
          <w:position w:val="1"/>
          <w:sz w:val="20"/>
          <w:szCs w:val="20"/>
        </w:rPr>
        <w:t>——</w:t>
      </w:r>
      <w:r>
        <w:rPr>
          <w:rFonts w:ascii="宋体" w:hAnsi="宋体" w:eastAsia="宋体" w:cs="宋体"/>
          <w:spacing w:val="10"/>
          <w:position w:val="1"/>
          <w:sz w:val="20"/>
          <w:szCs w:val="20"/>
        </w:rPr>
        <w:t>大气吸收引起的衰减，</w:t>
      </w:r>
      <w:r>
        <w:rPr>
          <w:rFonts w:ascii="Times New Roman" w:hAnsi="Times New Roman" w:eastAsia="Times New Roman" w:cs="Times New Roman"/>
          <w:position w:val="1"/>
          <w:sz w:val="20"/>
          <w:szCs w:val="20"/>
        </w:rPr>
        <w:t>dB</w:t>
      </w:r>
      <w:r>
        <w:rPr>
          <w:rFonts w:ascii="宋体" w:hAnsi="宋体" w:eastAsia="宋体" w:cs="宋体"/>
          <w:spacing w:val="10"/>
          <w:position w:val="1"/>
          <w:sz w:val="20"/>
          <w:szCs w:val="20"/>
        </w:rPr>
        <w:t>；</w:t>
      </w:r>
    </w:p>
    <w:p>
      <w:pPr>
        <w:spacing w:before="157" w:line="369" w:lineRule="auto"/>
        <w:ind w:left="39" w:right="2" w:firstLine="1009"/>
        <w:rPr>
          <w:rFonts w:ascii="宋体" w:hAnsi="宋体" w:eastAsia="宋体" w:cs="宋体"/>
          <w:sz w:val="20"/>
          <w:szCs w:val="20"/>
        </w:rPr>
      </w:pPr>
      <w:r>
        <w:rPr>
          <w:rFonts w:ascii="Times New Roman" w:hAnsi="Times New Roman" w:eastAsia="Times New Roman" w:cs="Times New Roman"/>
          <w:spacing w:val="14"/>
          <w:sz w:val="20"/>
          <w:szCs w:val="20"/>
        </w:rPr>
        <w:t>α</w:t>
      </w:r>
      <w:r>
        <w:rPr>
          <w:rFonts w:ascii="Times New Roman" w:hAnsi="Times New Roman" w:eastAsia="Times New Roman" w:cs="Times New Roman"/>
          <w:spacing w:val="13"/>
          <w:sz w:val="20"/>
          <w:szCs w:val="20"/>
        </w:rPr>
        <w:t>—</w:t>
      </w:r>
      <w:r>
        <w:rPr>
          <w:rFonts w:ascii="Times New Roman" w:hAnsi="Times New Roman" w:eastAsia="Times New Roman" w:cs="Times New Roman"/>
          <w:spacing w:val="7"/>
          <w:sz w:val="20"/>
          <w:szCs w:val="20"/>
        </w:rPr>
        <w:t>—</w:t>
      </w:r>
      <w:r>
        <w:rPr>
          <w:rFonts w:ascii="宋体" w:hAnsi="宋体" w:eastAsia="宋体" w:cs="宋体"/>
          <w:spacing w:val="7"/>
          <w:sz w:val="20"/>
          <w:szCs w:val="20"/>
        </w:rPr>
        <w:t>与温度、湿度和声波频率有关的大气吸收衰减系数，预测计算中一般根据建设项</w:t>
      </w:r>
      <w:r>
        <w:rPr>
          <w:rFonts w:ascii="宋体" w:hAnsi="宋体" w:eastAsia="宋体" w:cs="宋体"/>
          <w:sz w:val="20"/>
          <w:szCs w:val="20"/>
        </w:rPr>
        <w:t xml:space="preserve"> </w:t>
      </w:r>
      <w:r>
        <w:rPr>
          <w:rFonts w:ascii="宋体" w:hAnsi="宋体" w:eastAsia="宋体" w:cs="宋体"/>
          <w:spacing w:val="12"/>
          <w:sz w:val="20"/>
          <w:szCs w:val="20"/>
        </w:rPr>
        <w:t>目</w:t>
      </w:r>
      <w:r>
        <w:rPr>
          <w:rFonts w:ascii="宋体" w:hAnsi="宋体" w:eastAsia="宋体" w:cs="宋体"/>
          <w:spacing w:val="8"/>
          <w:sz w:val="20"/>
          <w:szCs w:val="20"/>
        </w:rPr>
        <w:t>所处区域常年平均气温和湿度选择相应的大气吸收衰减系数，见下表；</w:t>
      </w:r>
    </w:p>
    <w:p>
      <w:pPr>
        <w:spacing w:line="400" w:lineRule="exact"/>
        <w:ind w:left="1045"/>
        <w:rPr>
          <w:rFonts w:ascii="宋体" w:hAnsi="宋体" w:eastAsia="宋体" w:cs="宋体"/>
          <w:sz w:val="20"/>
          <w:szCs w:val="20"/>
        </w:rPr>
      </w:pPr>
      <w:r>
        <w:rPr>
          <w:rFonts w:ascii="Times New Roman" w:hAnsi="Times New Roman" w:eastAsia="Times New Roman" w:cs="Times New Roman"/>
          <w:i/>
          <w:iCs/>
          <w:position w:val="14"/>
          <w:sz w:val="20"/>
          <w:szCs w:val="20"/>
        </w:rPr>
        <w:t>r</w:t>
      </w:r>
      <w:r>
        <w:rPr>
          <w:rFonts w:ascii="Times New Roman" w:hAnsi="Times New Roman" w:eastAsia="Times New Roman" w:cs="Times New Roman"/>
          <w:spacing w:val="9"/>
          <w:position w:val="14"/>
          <w:sz w:val="20"/>
          <w:szCs w:val="20"/>
        </w:rPr>
        <w:t>——</w:t>
      </w:r>
      <w:r>
        <w:rPr>
          <w:rFonts w:ascii="宋体" w:hAnsi="宋体" w:eastAsia="宋体" w:cs="宋体"/>
          <w:spacing w:val="9"/>
          <w:position w:val="14"/>
          <w:sz w:val="20"/>
          <w:szCs w:val="20"/>
        </w:rPr>
        <w:t>预测点距声源的距离；</w:t>
      </w:r>
    </w:p>
    <w:p>
      <w:pPr>
        <w:spacing w:before="1" w:line="227" w:lineRule="auto"/>
        <w:ind w:left="1045"/>
        <w:rPr>
          <w:rFonts w:ascii="宋体" w:hAnsi="宋体" w:eastAsia="宋体" w:cs="宋体"/>
          <w:sz w:val="20"/>
          <w:szCs w:val="20"/>
        </w:rPr>
      </w:pPr>
      <w:r>
        <w:rPr>
          <w:rFonts w:ascii="Times New Roman" w:hAnsi="Times New Roman" w:eastAsia="Times New Roman" w:cs="Times New Roman"/>
          <w:i/>
          <w:iCs/>
          <w:sz w:val="20"/>
          <w:szCs w:val="20"/>
        </w:rPr>
        <w:t>r</w:t>
      </w:r>
      <w:r>
        <w:rPr>
          <w:rFonts w:ascii="Times New Roman" w:hAnsi="Times New Roman" w:eastAsia="Times New Roman" w:cs="Times New Roman"/>
          <w:i/>
          <w:iCs/>
          <w:spacing w:val="15"/>
          <w:position w:val="-1"/>
          <w:sz w:val="13"/>
          <w:szCs w:val="13"/>
        </w:rPr>
        <w:t>0</w:t>
      </w:r>
      <w:r>
        <w:rPr>
          <w:rFonts w:ascii="Times New Roman" w:hAnsi="Times New Roman" w:eastAsia="Times New Roman" w:cs="Times New Roman"/>
          <w:spacing w:val="8"/>
          <w:sz w:val="20"/>
          <w:szCs w:val="20"/>
        </w:rPr>
        <w:t>——</w:t>
      </w:r>
      <w:r>
        <w:rPr>
          <w:rFonts w:ascii="宋体" w:hAnsi="宋体" w:eastAsia="宋体" w:cs="宋体"/>
          <w:spacing w:val="8"/>
          <w:sz w:val="20"/>
          <w:szCs w:val="20"/>
        </w:rPr>
        <w:t>参考位置距声源的距离。</w:t>
      </w:r>
    </w:p>
    <w:p>
      <w:pPr>
        <w:sectPr>
          <w:footerReference r:id="rId127" w:type="default"/>
          <w:pgSz w:w="11906" w:h="16839"/>
          <w:pgMar w:top="400" w:right="1530" w:bottom="1027" w:left="1539" w:header="0" w:footer="840" w:gutter="0"/>
          <w:cols w:space="720" w:num="1"/>
        </w:sect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62" w:line="226" w:lineRule="auto"/>
        <w:ind w:left="2671"/>
        <w:rPr>
          <w:rFonts w:ascii="Times New Roman" w:hAnsi="Times New Roman" w:eastAsia="Times New Roman" w:cs="Times New Roman"/>
          <w:sz w:val="19"/>
          <w:szCs w:val="19"/>
        </w:rPr>
      </w:pPr>
      <w:r>
        <w:rPr>
          <w:rFonts w:ascii="黑体" w:hAnsi="黑体" w:eastAsia="黑体" w:cs="黑体"/>
          <w:spacing w:val="14"/>
          <w:sz w:val="19"/>
          <w:szCs w:val="19"/>
        </w:rPr>
        <w:t>表</w:t>
      </w:r>
      <w:r>
        <w:rPr>
          <w:rFonts w:ascii="Times New Roman" w:hAnsi="Times New Roman" w:eastAsia="Times New Roman" w:cs="Times New Roman"/>
          <w:spacing w:val="10"/>
          <w:sz w:val="19"/>
          <w:szCs w:val="19"/>
        </w:rPr>
        <w:t>1</w:t>
      </w:r>
      <w:r>
        <w:rPr>
          <w:rFonts w:ascii="Times New Roman" w:hAnsi="Times New Roman" w:eastAsia="Times New Roman" w:cs="Times New Roman"/>
          <w:spacing w:val="7"/>
          <w:sz w:val="19"/>
          <w:szCs w:val="19"/>
        </w:rPr>
        <w:t xml:space="preserve">7    </w:t>
      </w:r>
      <w:r>
        <w:rPr>
          <w:rFonts w:ascii="黑体" w:hAnsi="黑体" w:eastAsia="黑体" w:cs="黑体"/>
          <w:spacing w:val="7"/>
          <w:sz w:val="19"/>
          <w:szCs w:val="19"/>
        </w:rPr>
        <w:t>倍频带噪声的大气吸收衰减系数</w:t>
      </w:r>
      <w:r>
        <w:rPr>
          <w:rFonts w:ascii="Times New Roman" w:hAnsi="Times New Roman" w:eastAsia="Times New Roman" w:cs="Times New Roman"/>
          <w:spacing w:val="7"/>
          <w:sz w:val="19"/>
          <w:szCs w:val="19"/>
        </w:rPr>
        <w:t>α</w:t>
      </w:r>
    </w:p>
    <w:tbl>
      <w:tblPr>
        <w:tblStyle w:val="4"/>
        <w:tblW w:w="9416" w:type="dxa"/>
        <w:tblInd w:w="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0"/>
        <w:gridCol w:w="1086"/>
        <w:gridCol w:w="932"/>
        <w:gridCol w:w="930"/>
        <w:gridCol w:w="931"/>
        <w:gridCol w:w="933"/>
        <w:gridCol w:w="931"/>
        <w:gridCol w:w="931"/>
        <w:gridCol w:w="934"/>
        <w:gridCol w:w="9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70" w:type="dxa"/>
            <w:vMerge w:val="restart"/>
            <w:tcBorders>
              <w:bottom w:val="nil"/>
            </w:tcBorders>
            <w:vAlign w:val="top"/>
          </w:tcPr>
          <w:p>
            <w:pPr>
              <w:spacing w:line="307" w:lineRule="auto"/>
              <w:rPr>
                <w:rFonts w:ascii="Arial"/>
                <w:sz w:val="21"/>
              </w:rPr>
            </w:pPr>
          </w:p>
          <w:p>
            <w:pPr>
              <w:spacing w:before="55" w:line="249" w:lineRule="exact"/>
              <w:ind w:left="138"/>
              <w:rPr>
                <w:rFonts w:ascii="Times New Roman" w:hAnsi="Times New Roman" w:eastAsia="Times New Roman" w:cs="Times New Roman"/>
                <w:sz w:val="17"/>
                <w:szCs w:val="17"/>
              </w:rPr>
            </w:pPr>
            <w:r>
              <w:rPr>
                <w:rFonts w:ascii="宋体" w:hAnsi="宋体" w:eastAsia="宋体" w:cs="宋体"/>
                <w:spacing w:val="7"/>
                <w:position w:val="1"/>
                <w:sz w:val="17"/>
                <w:szCs w:val="17"/>
                <w14:textOutline w14:w="3268" w14:cap="sq" w14:cmpd="sng">
                  <w14:solidFill>
                    <w14:srgbClr w14:val="000000"/>
                  </w14:solidFill>
                  <w14:prstDash w14:val="solid"/>
                  <w14:bevel/>
                </w14:textOutline>
              </w:rPr>
              <w:t>温</w:t>
            </w:r>
            <w:r>
              <w:rPr>
                <w:rFonts w:ascii="宋体" w:hAnsi="宋体" w:eastAsia="宋体" w:cs="宋体"/>
                <w:spacing w:val="6"/>
                <w:position w:val="1"/>
                <w:sz w:val="17"/>
                <w:szCs w:val="17"/>
                <w14:textOutline w14:w="3268" w14:cap="sq" w14:cmpd="sng">
                  <w14:solidFill>
                    <w14:srgbClr w14:val="000000"/>
                  </w14:solidFill>
                  <w14:prstDash w14:val="solid"/>
                  <w14:bevel/>
                </w14:textOutline>
              </w:rPr>
              <w:t>度</w:t>
            </w:r>
            <w:r>
              <w:rPr>
                <w:rFonts w:ascii="Times New Roman" w:hAnsi="Times New Roman" w:eastAsia="Times New Roman" w:cs="Times New Roman"/>
                <w:b/>
                <w:bCs/>
                <w:spacing w:val="6"/>
                <w:position w:val="1"/>
                <w:sz w:val="17"/>
                <w:szCs w:val="17"/>
              </w:rPr>
              <w:t>/℃</w:t>
            </w:r>
          </w:p>
        </w:tc>
        <w:tc>
          <w:tcPr>
            <w:tcW w:w="1086" w:type="dxa"/>
            <w:vMerge w:val="restart"/>
            <w:tcBorders>
              <w:bottom w:val="nil"/>
            </w:tcBorders>
            <w:vAlign w:val="top"/>
          </w:tcPr>
          <w:p>
            <w:pPr>
              <w:spacing w:line="307" w:lineRule="auto"/>
              <w:rPr>
                <w:rFonts w:ascii="Arial"/>
                <w:sz w:val="21"/>
              </w:rPr>
            </w:pPr>
          </w:p>
          <w:p>
            <w:pPr>
              <w:spacing w:before="55" w:line="249" w:lineRule="exact"/>
              <w:ind w:left="70"/>
              <w:rPr>
                <w:rFonts w:ascii="Times New Roman" w:hAnsi="Times New Roman" w:eastAsia="Times New Roman" w:cs="Times New Roman"/>
                <w:sz w:val="17"/>
                <w:szCs w:val="17"/>
              </w:rPr>
            </w:pPr>
            <w:r>
              <w:rPr>
                <w:rFonts w:ascii="宋体" w:hAnsi="宋体" w:eastAsia="宋体" w:cs="宋体"/>
                <w:spacing w:val="11"/>
                <w:position w:val="1"/>
                <w:sz w:val="17"/>
                <w:szCs w:val="17"/>
                <w14:textOutline w14:w="3268" w14:cap="sq" w14:cmpd="sng">
                  <w14:solidFill>
                    <w14:srgbClr w14:val="000000"/>
                  </w14:solidFill>
                  <w14:prstDash w14:val="solid"/>
                  <w14:bevel/>
                </w14:textOutline>
              </w:rPr>
              <w:t>相</w:t>
            </w:r>
            <w:r>
              <w:rPr>
                <w:rFonts w:ascii="宋体" w:hAnsi="宋体" w:eastAsia="宋体" w:cs="宋体"/>
                <w:spacing w:val="7"/>
                <w:position w:val="1"/>
                <w:sz w:val="17"/>
                <w:szCs w:val="17"/>
                <w14:textOutline w14:w="3268" w14:cap="sq" w14:cmpd="sng">
                  <w14:solidFill>
                    <w14:srgbClr w14:val="000000"/>
                  </w14:solidFill>
                  <w14:prstDash w14:val="solid"/>
                  <w14:bevel/>
                </w14:textOutline>
              </w:rPr>
              <w:t>对湿度</w:t>
            </w:r>
            <w:r>
              <w:rPr>
                <w:rFonts w:ascii="Times New Roman" w:hAnsi="Times New Roman" w:eastAsia="Times New Roman" w:cs="Times New Roman"/>
                <w:b/>
                <w:bCs/>
                <w:spacing w:val="7"/>
                <w:position w:val="1"/>
                <w:sz w:val="17"/>
                <w:szCs w:val="17"/>
              </w:rPr>
              <w:t>/%</w:t>
            </w:r>
          </w:p>
        </w:tc>
        <w:tc>
          <w:tcPr>
            <w:tcW w:w="7460" w:type="dxa"/>
            <w:gridSpan w:val="8"/>
            <w:vAlign w:val="top"/>
          </w:tcPr>
          <w:p>
            <w:pPr>
              <w:spacing w:before="55" w:line="248" w:lineRule="exact"/>
              <w:ind w:left="2572"/>
              <w:rPr>
                <w:rFonts w:ascii="Times New Roman" w:hAnsi="Times New Roman" w:eastAsia="Times New Roman" w:cs="Times New Roman"/>
                <w:sz w:val="17"/>
                <w:szCs w:val="17"/>
              </w:rPr>
            </w:pPr>
            <w:r>
              <w:rPr>
                <w:rFonts w:ascii="宋体" w:hAnsi="宋体" w:eastAsia="宋体" w:cs="宋体"/>
                <w:spacing w:val="16"/>
                <w:position w:val="2"/>
                <w:sz w:val="17"/>
                <w:szCs w:val="17"/>
                <w14:textOutline w14:w="3268" w14:cap="sq" w14:cmpd="sng">
                  <w14:solidFill>
                    <w14:srgbClr w14:val="000000"/>
                  </w14:solidFill>
                  <w14:prstDash w14:val="solid"/>
                  <w14:bevel/>
                </w14:textOutline>
              </w:rPr>
              <w:t>大</w:t>
            </w:r>
            <w:r>
              <w:rPr>
                <w:rFonts w:ascii="宋体" w:hAnsi="宋体" w:eastAsia="宋体" w:cs="宋体"/>
                <w:spacing w:val="8"/>
                <w:position w:val="2"/>
                <w:sz w:val="17"/>
                <w:szCs w:val="17"/>
                <w14:textOutline w14:w="3268" w14:cap="sq" w14:cmpd="sng">
                  <w14:solidFill>
                    <w14:srgbClr w14:val="000000"/>
                  </w14:solidFill>
                  <w14:prstDash w14:val="solid"/>
                  <w14:bevel/>
                </w14:textOutline>
              </w:rPr>
              <w:t>气吸收衰减系数</w:t>
            </w:r>
            <w:r>
              <w:rPr>
                <w:rFonts w:ascii="宋体" w:hAnsi="宋体" w:eastAsia="宋体" w:cs="宋体"/>
                <w:spacing w:val="8"/>
                <w:position w:val="2"/>
                <w:sz w:val="17"/>
                <w:szCs w:val="17"/>
              </w:rPr>
              <w:t xml:space="preserve"> </w:t>
            </w:r>
            <w:r>
              <w:rPr>
                <w:rFonts w:ascii="Times New Roman" w:hAnsi="Times New Roman" w:eastAsia="Times New Roman" w:cs="Times New Roman"/>
                <w:b/>
                <w:bCs/>
                <w:spacing w:val="8"/>
                <w:position w:val="2"/>
                <w:sz w:val="17"/>
                <w:szCs w:val="17"/>
              </w:rPr>
              <w:t>α/(</w:t>
            </w:r>
            <w:r>
              <w:rPr>
                <w:rFonts w:ascii="Times New Roman" w:hAnsi="Times New Roman" w:eastAsia="Times New Roman" w:cs="Times New Roman"/>
                <w:b/>
                <w:bCs/>
                <w:position w:val="2"/>
                <w:sz w:val="17"/>
                <w:szCs w:val="17"/>
              </w:rPr>
              <w:t>dB</w:t>
            </w:r>
            <w:r>
              <w:rPr>
                <w:rFonts w:ascii="Times New Roman" w:hAnsi="Times New Roman" w:eastAsia="Times New Roman" w:cs="Times New Roman"/>
                <w:b/>
                <w:bCs/>
                <w:spacing w:val="8"/>
                <w:position w:val="2"/>
                <w:sz w:val="17"/>
                <w:szCs w:val="17"/>
              </w:rPr>
              <w:t>/</w:t>
            </w:r>
            <w:r>
              <w:rPr>
                <w:rFonts w:ascii="Times New Roman" w:hAnsi="Times New Roman" w:eastAsia="Times New Roman" w:cs="Times New Roman"/>
                <w:b/>
                <w:bCs/>
                <w:position w:val="2"/>
                <w:sz w:val="17"/>
                <w:szCs w:val="17"/>
              </w:rPr>
              <w:t>km</w:t>
            </w:r>
            <w:r>
              <w:rPr>
                <w:rFonts w:ascii="Times New Roman" w:hAnsi="Times New Roman" w:eastAsia="Times New Roman" w:cs="Times New Roman"/>
                <w:b/>
                <w:bCs/>
                <w:spacing w:val="8"/>
                <w:position w:val="2"/>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4" w:hRule="atLeast"/>
        </w:trPr>
        <w:tc>
          <w:tcPr>
            <w:tcW w:w="870" w:type="dxa"/>
            <w:vMerge w:val="continue"/>
            <w:tcBorders>
              <w:top w:val="nil"/>
              <w:bottom w:val="nil"/>
            </w:tcBorders>
            <w:vAlign w:val="top"/>
          </w:tcPr>
          <w:p>
            <w:pPr>
              <w:rPr>
                <w:rFonts w:ascii="Arial"/>
                <w:sz w:val="21"/>
              </w:rPr>
            </w:pPr>
          </w:p>
        </w:tc>
        <w:tc>
          <w:tcPr>
            <w:tcW w:w="1086" w:type="dxa"/>
            <w:vMerge w:val="continue"/>
            <w:tcBorders>
              <w:top w:val="nil"/>
              <w:bottom w:val="nil"/>
            </w:tcBorders>
            <w:vAlign w:val="top"/>
          </w:tcPr>
          <w:p>
            <w:pPr>
              <w:rPr>
                <w:rFonts w:ascii="Arial"/>
                <w:sz w:val="21"/>
              </w:rPr>
            </w:pPr>
          </w:p>
        </w:tc>
        <w:tc>
          <w:tcPr>
            <w:tcW w:w="7460" w:type="dxa"/>
            <w:gridSpan w:val="8"/>
            <w:vAlign w:val="top"/>
          </w:tcPr>
          <w:p>
            <w:pPr>
              <w:spacing w:before="50" w:line="249" w:lineRule="exact"/>
              <w:ind w:left="2966"/>
              <w:rPr>
                <w:rFonts w:ascii="Times New Roman" w:hAnsi="Times New Roman" w:eastAsia="Times New Roman" w:cs="Times New Roman"/>
                <w:sz w:val="17"/>
                <w:szCs w:val="17"/>
              </w:rPr>
            </w:pPr>
            <w:r>
              <w:rPr>
                <w:rFonts w:ascii="宋体" w:hAnsi="宋体" w:eastAsia="宋体" w:cs="宋体"/>
                <w:spacing w:val="10"/>
                <w:position w:val="1"/>
                <w:sz w:val="17"/>
                <w:szCs w:val="17"/>
                <w14:textOutline w14:w="3268" w14:cap="sq" w14:cmpd="sng">
                  <w14:solidFill>
                    <w14:srgbClr w14:val="000000"/>
                  </w14:solidFill>
                  <w14:prstDash w14:val="solid"/>
                  <w14:bevel/>
                </w14:textOutline>
              </w:rPr>
              <w:t>倍频带中心频率</w:t>
            </w:r>
            <w:r>
              <w:rPr>
                <w:rFonts w:ascii="Times New Roman" w:hAnsi="Times New Roman" w:eastAsia="Times New Roman" w:cs="Times New Roman"/>
                <w:b/>
                <w:bCs/>
                <w:spacing w:val="9"/>
                <w:position w:val="1"/>
                <w:sz w:val="17"/>
                <w:szCs w:val="17"/>
              </w:rPr>
              <w:t>/</w:t>
            </w:r>
            <w:r>
              <w:rPr>
                <w:rFonts w:ascii="Times New Roman" w:hAnsi="Times New Roman" w:eastAsia="Times New Roman" w:cs="Times New Roman"/>
                <w:b/>
                <w:bCs/>
                <w:position w:val="1"/>
                <w:sz w:val="17"/>
                <w:szCs w:val="17"/>
              </w:rPr>
              <w:t>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870" w:type="dxa"/>
            <w:vMerge w:val="continue"/>
            <w:tcBorders>
              <w:top w:val="nil"/>
            </w:tcBorders>
            <w:vAlign w:val="top"/>
          </w:tcPr>
          <w:p>
            <w:pPr>
              <w:rPr>
                <w:rFonts w:ascii="Arial"/>
                <w:sz w:val="21"/>
              </w:rPr>
            </w:pPr>
          </w:p>
        </w:tc>
        <w:tc>
          <w:tcPr>
            <w:tcW w:w="1086" w:type="dxa"/>
            <w:vMerge w:val="continue"/>
            <w:tcBorders>
              <w:top w:val="nil"/>
            </w:tcBorders>
            <w:vAlign w:val="top"/>
          </w:tcPr>
          <w:p>
            <w:pPr>
              <w:rPr>
                <w:rFonts w:ascii="Arial"/>
                <w:sz w:val="21"/>
              </w:rPr>
            </w:pPr>
          </w:p>
        </w:tc>
        <w:tc>
          <w:tcPr>
            <w:tcW w:w="932" w:type="dxa"/>
            <w:vAlign w:val="top"/>
          </w:tcPr>
          <w:p>
            <w:pPr>
              <w:spacing w:before="117" w:line="197" w:lineRule="auto"/>
              <w:ind w:left="378"/>
              <w:rPr>
                <w:rFonts w:ascii="Times New Roman" w:hAnsi="Times New Roman" w:eastAsia="Times New Roman" w:cs="Times New Roman"/>
                <w:sz w:val="17"/>
                <w:szCs w:val="17"/>
              </w:rPr>
            </w:pPr>
            <w:r>
              <w:rPr>
                <w:rFonts w:ascii="Times New Roman" w:hAnsi="Times New Roman" w:eastAsia="Times New Roman" w:cs="Times New Roman"/>
                <w:b/>
                <w:bCs/>
                <w:spacing w:val="2"/>
                <w:sz w:val="17"/>
                <w:szCs w:val="17"/>
              </w:rPr>
              <w:t>63</w:t>
            </w:r>
          </w:p>
        </w:tc>
        <w:tc>
          <w:tcPr>
            <w:tcW w:w="930" w:type="dxa"/>
            <w:vAlign w:val="top"/>
          </w:tcPr>
          <w:p>
            <w:pPr>
              <w:spacing w:before="117" w:line="197" w:lineRule="auto"/>
              <w:ind w:left="337"/>
              <w:rPr>
                <w:rFonts w:ascii="Times New Roman" w:hAnsi="Times New Roman" w:eastAsia="Times New Roman" w:cs="Times New Roman"/>
                <w:sz w:val="17"/>
                <w:szCs w:val="17"/>
              </w:rPr>
            </w:pPr>
            <w:r>
              <w:rPr>
                <w:rFonts w:ascii="Times New Roman" w:hAnsi="Times New Roman" w:eastAsia="Times New Roman" w:cs="Times New Roman"/>
                <w:b/>
                <w:bCs/>
                <w:spacing w:val="1"/>
                <w:sz w:val="17"/>
                <w:szCs w:val="17"/>
              </w:rPr>
              <w:t>125</w:t>
            </w:r>
          </w:p>
        </w:tc>
        <w:tc>
          <w:tcPr>
            <w:tcW w:w="931" w:type="dxa"/>
            <w:vAlign w:val="top"/>
          </w:tcPr>
          <w:p>
            <w:pPr>
              <w:spacing w:before="117" w:line="197" w:lineRule="auto"/>
              <w:ind w:left="331"/>
              <w:rPr>
                <w:rFonts w:ascii="Times New Roman" w:hAnsi="Times New Roman" w:eastAsia="Times New Roman" w:cs="Times New Roman"/>
                <w:sz w:val="17"/>
                <w:szCs w:val="17"/>
              </w:rPr>
            </w:pPr>
            <w:r>
              <w:rPr>
                <w:rFonts w:ascii="Times New Roman" w:hAnsi="Times New Roman" w:eastAsia="Times New Roman" w:cs="Times New Roman"/>
                <w:b/>
                <w:bCs/>
                <w:spacing w:val="4"/>
                <w:sz w:val="17"/>
                <w:szCs w:val="17"/>
              </w:rPr>
              <w:t>2</w:t>
            </w:r>
            <w:r>
              <w:rPr>
                <w:rFonts w:ascii="Times New Roman" w:hAnsi="Times New Roman" w:eastAsia="Times New Roman" w:cs="Times New Roman"/>
                <w:b/>
                <w:bCs/>
                <w:spacing w:val="3"/>
                <w:sz w:val="17"/>
                <w:szCs w:val="17"/>
              </w:rPr>
              <w:t>50</w:t>
            </w:r>
          </w:p>
        </w:tc>
        <w:tc>
          <w:tcPr>
            <w:tcW w:w="933" w:type="dxa"/>
            <w:vAlign w:val="top"/>
          </w:tcPr>
          <w:p>
            <w:pPr>
              <w:spacing w:before="117" w:line="197" w:lineRule="auto"/>
              <w:ind w:left="335"/>
              <w:rPr>
                <w:rFonts w:ascii="Times New Roman" w:hAnsi="Times New Roman" w:eastAsia="Times New Roman" w:cs="Times New Roman"/>
                <w:sz w:val="17"/>
                <w:szCs w:val="17"/>
              </w:rPr>
            </w:pPr>
            <w:r>
              <w:rPr>
                <w:rFonts w:ascii="Times New Roman" w:hAnsi="Times New Roman" w:eastAsia="Times New Roman" w:cs="Times New Roman"/>
                <w:b/>
                <w:bCs/>
                <w:spacing w:val="3"/>
                <w:sz w:val="17"/>
                <w:szCs w:val="17"/>
              </w:rPr>
              <w:t>50</w:t>
            </w:r>
            <w:r>
              <w:rPr>
                <w:rFonts w:ascii="Times New Roman" w:hAnsi="Times New Roman" w:eastAsia="Times New Roman" w:cs="Times New Roman"/>
                <w:b/>
                <w:bCs/>
                <w:spacing w:val="2"/>
                <w:sz w:val="17"/>
                <w:szCs w:val="17"/>
              </w:rPr>
              <w:t>0</w:t>
            </w:r>
          </w:p>
        </w:tc>
        <w:tc>
          <w:tcPr>
            <w:tcW w:w="931" w:type="dxa"/>
            <w:vAlign w:val="top"/>
          </w:tcPr>
          <w:p>
            <w:pPr>
              <w:spacing w:before="117" w:line="197" w:lineRule="auto"/>
              <w:ind w:left="296"/>
              <w:rPr>
                <w:rFonts w:ascii="Times New Roman" w:hAnsi="Times New Roman" w:eastAsia="Times New Roman" w:cs="Times New Roman"/>
                <w:sz w:val="17"/>
                <w:szCs w:val="17"/>
              </w:rPr>
            </w:pPr>
            <w:r>
              <w:rPr>
                <w:rFonts w:ascii="Times New Roman" w:hAnsi="Times New Roman" w:eastAsia="Times New Roman" w:cs="Times New Roman"/>
                <w:b/>
                <w:bCs/>
                <w:spacing w:val="3"/>
                <w:sz w:val="17"/>
                <w:szCs w:val="17"/>
              </w:rPr>
              <w:t>1</w:t>
            </w:r>
            <w:r>
              <w:rPr>
                <w:rFonts w:ascii="Times New Roman" w:hAnsi="Times New Roman" w:eastAsia="Times New Roman" w:cs="Times New Roman"/>
                <w:b/>
                <w:bCs/>
                <w:spacing w:val="2"/>
                <w:sz w:val="17"/>
                <w:szCs w:val="17"/>
              </w:rPr>
              <w:t>000</w:t>
            </w:r>
          </w:p>
        </w:tc>
        <w:tc>
          <w:tcPr>
            <w:tcW w:w="931" w:type="dxa"/>
            <w:vAlign w:val="top"/>
          </w:tcPr>
          <w:p>
            <w:pPr>
              <w:spacing w:before="117" w:line="197" w:lineRule="auto"/>
              <w:ind w:left="289"/>
              <w:rPr>
                <w:rFonts w:ascii="Times New Roman" w:hAnsi="Times New Roman" w:eastAsia="Times New Roman" w:cs="Times New Roman"/>
                <w:sz w:val="17"/>
                <w:szCs w:val="17"/>
              </w:rPr>
            </w:pPr>
            <w:r>
              <w:rPr>
                <w:rFonts w:ascii="Times New Roman" w:hAnsi="Times New Roman" w:eastAsia="Times New Roman" w:cs="Times New Roman"/>
                <w:b/>
                <w:bCs/>
                <w:spacing w:val="4"/>
                <w:sz w:val="17"/>
                <w:szCs w:val="17"/>
              </w:rPr>
              <w:t>2000</w:t>
            </w:r>
          </w:p>
        </w:tc>
        <w:tc>
          <w:tcPr>
            <w:tcW w:w="934" w:type="dxa"/>
            <w:vAlign w:val="top"/>
          </w:tcPr>
          <w:p>
            <w:pPr>
              <w:spacing w:before="117" w:line="197" w:lineRule="auto"/>
              <w:ind w:left="291"/>
              <w:rPr>
                <w:rFonts w:ascii="Times New Roman" w:hAnsi="Times New Roman" w:eastAsia="Times New Roman" w:cs="Times New Roman"/>
                <w:sz w:val="17"/>
                <w:szCs w:val="17"/>
              </w:rPr>
            </w:pPr>
            <w:r>
              <w:rPr>
                <w:rFonts w:ascii="Times New Roman" w:hAnsi="Times New Roman" w:eastAsia="Times New Roman" w:cs="Times New Roman"/>
                <w:b/>
                <w:bCs/>
                <w:spacing w:val="4"/>
                <w:sz w:val="17"/>
                <w:szCs w:val="17"/>
              </w:rPr>
              <w:t>4000</w:t>
            </w:r>
          </w:p>
        </w:tc>
        <w:tc>
          <w:tcPr>
            <w:tcW w:w="938" w:type="dxa"/>
            <w:vAlign w:val="top"/>
          </w:tcPr>
          <w:p>
            <w:pPr>
              <w:spacing w:before="117" w:line="197" w:lineRule="auto"/>
              <w:ind w:left="293"/>
              <w:rPr>
                <w:rFonts w:ascii="Times New Roman" w:hAnsi="Times New Roman" w:eastAsia="Times New Roman" w:cs="Times New Roman"/>
                <w:sz w:val="17"/>
                <w:szCs w:val="17"/>
              </w:rPr>
            </w:pPr>
            <w:r>
              <w:rPr>
                <w:rFonts w:ascii="Times New Roman" w:hAnsi="Times New Roman" w:eastAsia="Times New Roman" w:cs="Times New Roman"/>
                <w:b/>
                <w:bCs/>
                <w:spacing w:val="5"/>
                <w:sz w:val="17"/>
                <w:szCs w:val="17"/>
              </w:rPr>
              <w:t>8</w:t>
            </w:r>
            <w:r>
              <w:rPr>
                <w:rFonts w:ascii="Times New Roman" w:hAnsi="Times New Roman" w:eastAsia="Times New Roman" w:cs="Times New Roman"/>
                <w:b/>
                <w:bCs/>
                <w:spacing w:val="3"/>
                <w:sz w:val="17"/>
                <w:szCs w:val="17"/>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70" w:type="dxa"/>
            <w:vAlign w:val="top"/>
          </w:tcPr>
          <w:p>
            <w:pPr>
              <w:spacing w:before="117" w:line="197" w:lineRule="auto"/>
              <w:ind w:left="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10</w:t>
            </w:r>
          </w:p>
        </w:tc>
        <w:tc>
          <w:tcPr>
            <w:tcW w:w="1086" w:type="dxa"/>
            <w:vAlign w:val="top"/>
          </w:tcPr>
          <w:p>
            <w:pPr>
              <w:spacing w:before="117" w:line="197" w:lineRule="auto"/>
              <w:ind w:left="45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70</w:t>
            </w:r>
          </w:p>
        </w:tc>
        <w:tc>
          <w:tcPr>
            <w:tcW w:w="932" w:type="dxa"/>
            <w:vAlign w:val="top"/>
          </w:tcPr>
          <w:p>
            <w:pPr>
              <w:spacing w:before="117" w:line="197" w:lineRule="auto"/>
              <w:ind w:left="357"/>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0.1</w:t>
            </w:r>
          </w:p>
        </w:tc>
        <w:tc>
          <w:tcPr>
            <w:tcW w:w="930" w:type="dxa"/>
            <w:vAlign w:val="top"/>
          </w:tcPr>
          <w:p>
            <w:pPr>
              <w:spacing w:before="117" w:line="197" w:lineRule="auto"/>
              <w:ind w:left="35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.4</w:t>
            </w:r>
          </w:p>
        </w:tc>
        <w:tc>
          <w:tcPr>
            <w:tcW w:w="931" w:type="dxa"/>
            <w:vAlign w:val="top"/>
          </w:tcPr>
          <w:p>
            <w:pPr>
              <w:spacing w:before="117" w:line="200" w:lineRule="auto"/>
              <w:ind w:left="37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1.0</w:t>
            </w:r>
          </w:p>
        </w:tc>
        <w:tc>
          <w:tcPr>
            <w:tcW w:w="933" w:type="dxa"/>
            <w:vAlign w:val="top"/>
          </w:tcPr>
          <w:p>
            <w:pPr>
              <w:spacing w:before="117" w:line="200" w:lineRule="auto"/>
              <w:ind w:left="37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9</w:t>
            </w:r>
          </w:p>
        </w:tc>
        <w:tc>
          <w:tcPr>
            <w:tcW w:w="931" w:type="dxa"/>
            <w:vAlign w:val="top"/>
          </w:tcPr>
          <w:p>
            <w:pPr>
              <w:spacing w:before="117" w:line="197" w:lineRule="auto"/>
              <w:ind w:left="35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7</w:t>
            </w:r>
          </w:p>
        </w:tc>
        <w:tc>
          <w:tcPr>
            <w:tcW w:w="931" w:type="dxa"/>
            <w:vAlign w:val="top"/>
          </w:tcPr>
          <w:p>
            <w:pPr>
              <w:spacing w:before="117" w:line="197" w:lineRule="auto"/>
              <w:ind w:left="35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9.</w:t>
            </w:r>
            <w:r>
              <w:rPr>
                <w:rFonts w:ascii="Times New Roman" w:hAnsi="Times New Roman" w:eastAsia="Times New Roman" w:cs="Times New Roman"/>
                <w:spacing w:val="2"/>
                <w:sz w:val="17"/>
                <w:szCs w:val="17"/>
              </w:rPr>
              <w:t>7</w:t>
            </w:r>
          </w:p>
        </w:tc>
        <w:tc>
          <w:tcPr>
            <w:tcW w:w="934" w:type="dxa"/>
            <w:vAlign w:val="top"/>
          </w:tcPr>
          <w:p>
            <w:pPr>
              <w:spacing w:before="117" w:line="197" w:lineRule="auto"/>
              <w:ind w:left="31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32.8</w:t>
            </w:r>
          </w:p>
        </w:tc>
        <w:tc>
          <w:tcPr>
            <w:tcW w:w="938" w:type="dxa"/>
            <w:vAlign w:val="top"/>
          </w:tcPr>
          <w:p>
            <w:pPr>
              <w:spacing w:before="117" w:line="197" w:lineRule="auto"/>
              <w:ind w:left="288"/>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117</w:t>
            </w: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70" w:type="dxa"/>
            <w:vAlign w:val="top"/>
          </w:tcPr>
          <w:p>
            <w:pPr>
              <w:spacing w:before="120" w:line="197" w:lineRule="auto"/>
              <w:ind w:left="34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0</w:t>
            </w:r>
          </w:p>
        </w:tc>
        <w:tc>
          <w:tcPr>
            <w:tcW w:w="1086" w:type="dxa"/>
            <w:vAlign w:val="top"/>
          </w:tcPr>
          <w:p>
            <w:pPr>
              <w:spacing w:before="120" w:line="197" w:lineRule="auto"/>
              <w:ind w:left="45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70</w:t>
            </w:r>
          </w:p>
        </w:tc>
        <w:tc>
          <w:tcPr>
            <w:tcW w:w="932" w:type="dxa"/>
            <w:vAlign w:val="top"/>
          </w:tcPr>
          <w:p>
            <w:pPr>
              <w:spacing w:before="120" w:line="197" w:lineRule="auto"/>
              <w:ind w:left="357"/>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0.1</w:t>
            </w:r>
          </w:p>
        </w:tc>
        <w:tc>
          <w:tcPr>
            <w:tcW w:w="930" w:type="dxa"/>
            <w:vAlign w:val="top"/>
          </w:tcPr>
          <w:p>
            <w:pPr>
              <w:spacing w:before="120" w:line="197" w:lineRule="auto"/>
              <w:ind w:left="35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.3</w:t>
            </w:r>
          </w:p>
        </w:tc>
        <w:tc>
          <w:tcPr>
            <w:tcW w:w="931" w:type="dxa"/>
            <w:vAlign w:val="top"/>
          </w:tcPr>
          <w:p>
            <w:pPr>
              <w:spacing w:before="120" w:line="200" w:lineRule="auto"/>
              <w:ind w:left="37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1.1</w:t>
            </w:r>
          </w:p>
        </w:tc>
        <w:tc>
          <w:tcPr>
            <w:tcW w:w="933" w:type="dxa"/>
            <w:vAlign w:val="top"/>
          </w:tcPr>
          <w:p>
            <w:pPr>
              <w:spacing w:before="120" w:line="200" w:lineRule="auto"/>
              <w:ind w:left="354"/>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.8</w:t>
            </w:r>
          </w:p>
        </w:tc>
        <w:tc>
          <w:tcPr>
            <w:tcW w:w="931" w:type="dxa"/>
            <w:vAlign w:val="top"/>
          </w:tcPr>
          <w:p>
            <w:pPr>
              <w:spacing w:before="120" w:line="197" w:lineRule="auto"/>
              <w:ind w:left="36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.0</w:t>
            </w:r>
          </w:p>
        </w:tc>
        <w:tc>
          <w:tcPr>
            <w:tcW w:w="931" w:type="dxa"/>
            <w:vAlign w:val="top"/>
          </w:tcPr>
          <w:p>
            <w:pPr>
              <w:spacing w:before="120" w:line="197" w:lineRule="auto"/>
              <w:ind w:left="35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9.</w:t>
            </w:r>
            <w:r>
              <w:rPr>
                <w:rFonts w:ascii="Times New Roman" w:hAnsi="Times New Roman" w:eastAsia="Times New Roman" w:cs="Times New Roman"/>
                <w:spacing w:val="2"/>
                <w:sz w:val="17"/>
                <w:szCs w:val="17"/>
              </w:rPr>
              <w:t>0</w:t>
            </w:r>
          </w:p>
        </w:tc>
        <w:tc>
          <w:tcPr>
            <w:tcW w:w="934" w:type="dxa"/>
            <w:vAlign w:val="top"/>
          </w:tcPr>
          <w:p>
            <w:pPr>
              <w:spacing w:before="120" w:line="200" w:lineRule="auto"/>
              <w:ind w:left="31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22.9</w:t>
            </w:r>
          </w:p>
        </w:tc>
        <w:tc>
          <w:tcPr>
            <w:tcW w:w="938" w:type="dxa"/>
            <w:vAlign w:val="top"/>
          </w:tcPr>
          <w:p>
            <w:pPr>
              <w:spacing w:before="120" w:line="197" w:lineRule="auto"/>
              <w:ind w:left="31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7</w:t>
            </w:r>
            <w:r>
              <w:rPr>
                <w:rFonts w:ascii="Times New Roman" w:hAnsi="Times New Roman" w:eastAsia="Times New Roman" w:cs="Times New Roman"/>
                <w:spacing w:val="3"/>
                <w:sz w:val="17"/>
                <w:szCs w:val="17"/>
              </w:rPr>
              <w:t>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4" w:hRule="atLeast"/>
        </w:trPr>
        <w:tc>
          <w:tcPr>
            <w:tcW w:w="870" w:type="dxa"/>
            <w:vAlign w:val="top"/>
          </w:tcPr>
          <w:p>
            <w:pPr>
              <w:spacing w:before="120" w:line="197" w:lineRule="auto"/>
              <w:ind w:left="35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0</w:t>
            </w:r>
          </w:p>
        </w:tc>
        <w:tc>
          <w:tcPr>
            <w:tcW w:w="1086" w:type="dxa"/>
            <w:vAlign w:val="top"/>
          </w:tcPr>
          <w:p>
            <w:pPr>
              <w:spacing w:before="120" w:line="197" w:lineRule="auto"/>
              <w:ind w:left="45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70</w:t>
            </w:r>
          </w:p>
        </w:tc>
        <w:tc>
          <w:tcPr>
            <w:tcW w:w="932" w:type="dxa"/>
            <w:vAlign w:val="top"/>
          </w:tcPr>
          <w:p>
            <w:pPr>
              <w:spacing w:before="121" w:line="197" w:lineRule="auto"/>
              <w:ind w:left="357"/>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0.1</w:t>
            </w:r>
          </w:p>
        </w:tc>
        <w:tc>
          <w:tcPr>
            <w:tcW w:w="930" w:type="dxa"/>
            <w:vAlign w:val="top"/>
          </w:tcPr>
          <w:p>
            <w:pPr>
              <w:spacing w:before="121" w:line="197" w:lineRule="auto"/>
              <w:ind w:left="35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.3</w:t>
            </w:r>
          </w:p>
        </w:tc>
        <w:tc>
          <w:tcPr>
            <w:tcW w:w="931" w:type="dxa"/>
            <w:vAlign w:val="top"/>
          </w:tcPr>
          <w:p>
            <w:pPr>
              <w:spacing w:before="120" w:line="200" w:lineRule="auto"/>
              <w:ind w:left="37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1.0</w:t>
            </w:r>
          </w:p>
        </w:tc>
        <w:tc>
          <w:tcPr>
            <w:tcW w:w="933" w:type="dxa"/>
            <w:vAlign w:val="top"/>
          </w:tcPr>
          <w:p>
            <w:pPr>
              <w:spacing w:before="121" w:line="197" w:lineRule="auto"/>
              <w:ind w:left="358"/>
              <w:rPr>
                <w:rFonts w:ascii="Times New Roman" w:hAnsi="Times New Roman" w:eastAsia="Times New Roman" w:cs="Times New Roman"/>
                <w:sz w:val="17"/>
                <w:szCs w:val="17"/>
              </w:rPr>
            </w:pPr>
            <w:r>
              <w:rPr>
                <w:rFonts w:ascii="Times New Roman" w:hAnsi="Times New Roman" w:eastAsia="Times New Roman" w:cs="Times New Roman"/>
                <w:spacing w:val="8"/>
                <w:sz w:val="17"/>
                <w:szCs w:val="17"/>
              </w:rPr>
              <w:t>3</w:t>
            </w:r>
            <w:r>
              <w:rPr>
                <w:rFonts w:ascii="Times New Roman" w:hAnsi="Times New Roman" w:eastAsia="Times New Roman" w:cs="Times New Roman"/>
                <w:spacing w:val="7"/>
                <w:sz w:val="17"/>
                <w:szCs w:val="17"/>
              </w:rPr>
              <w:t>.1</w:t>
            </w:r>
          </w:p>
        </w:tc>
        <w:tc>
          <w:tcPr>
            <w:tcW w:w="931" w:type="dxa"/>
            <w:vAlign w:val="top"/>
          </w:tcPr>
          <w:p>
            <w:pPr>
              <w:spacing w:before="120" w:line="197" w:lineRule="auto"/>
              <w:ind w:left="358"/>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7</w:t>
            </w:r>
            <w:r>
              <w:rPr>
                <w:rFonts w:ascii="Times New Roman" w:hAnsi="Times New Roman" w:eastAsia="Times New Roman" w:cs="Times New Roman"/>
                <w:spacing w:val="2"/>
                <w:sz w:val="17"/>
                <w:szCs w:val="17"/>
              </w:rPr>
              <w:t>.4</w:t>
            </w:r>
          </w:p>
        </w:tc>
        <w:tc>
          <w:tcPr>
            <w:tcW w:w="931" w:type="dxa"/>
            <w:vAlign w:val="top"/>
          </w:tcPr>
          <w:p>
            <w:pPr>
              <w:spacing w:before="120" w:line="200" w:lineRule="auto"/>
              <w:ind w:left="32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12</w:t>
            </w:r>
            <w:r>
              <w:rPr>
                <w:rFonts w:ascii="Times New Roman" w:hAnsi="Times New Roman" w:eastAsia="Times New Roman" w:cs="Times New Roman"/>
                <w:sz w:val="17"/>
                <w:szCs w:val="17"/>
              </w:rPr>
              <w:t>.7</w:t>
            </w:r>
          </w:p>
        </w:tc>
        <w:tc>
          <w:tcPr>
            <w:tcW w:w="934" w:type="dxa"/>
            <w:vAlign w:val="top"/>
          </w:tcPr>
          <w:p>
            <w:pPr>
              <w:spacing w:before="121" w:line="197" w:lineRule="auto"/>
              <w:ind w:left="31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 1</w:t>
            </w:r>
          </w:p>
        </w:tc>
        <w:tc>
          <w:tcPr>
            <w:tcW w:w="938" w:type="dxa"/>
            <w:vAlign w:val="top"/>
          </w:tcPr>
          <w:p>
            <w:pPr>
              <w:spacing w:before="120" w:line="197" w:lineRule="auto"/>
              <w:ind w:left="31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w:t>
            </w:r>
            <w:r>
              <w:rPr>
                <w:rFonts w:ascii="Times New Roman" w:hAnsi="Times New Roman" w:eastAsia="Times New Roman" w:cs="Times New Roman"/>
                <w:spacing w:val="2"/>
                <w:sz w:val="17"/>
                <w:szCs w:val="17"/>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870" w:type="dxa"/>
            <w:vAlign w:val="top"/>
          </w:tcPr>
          <w:p>
            <w:pPr>
              <w:spacing w:before="121" w:line="197" w:lineRule="auto"/>
              <w:ind w:left="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15</w:t>
            </w:r>
          </w:p>
        </w:tc>
        <w:tc>
          <w:tcPr>
            <w:tcW w:w="1086" w:type="dxa"/>
            <w:vAlign w:val="top"/>
          </w:tcPr>
          <w:p>
            <w:pPr>
              <w:spacing w:before="121" w:line="197" w:lineRule="auto"/>
              <w:ind w:left="45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0</w:t>
            </w:r>
          </w:p>
        </w:tc>
        <w:tc>
          <w:tcPr>
            <w:tcW w:w="932" w:type="dxa"/>
            <w:vAlign w:val="top"/>
          </w:tcPr>
          <w:p>
            <w:pPr>
              <w:spacing w:before="121" w:line="197" w:lineRule="auto"/>
              <w:ind w:left="35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w:t>
            </w:r>
            <w:r>
              <w:rPr>
                <w:rFonts w:ascii="Times New Roman" w:hAnsi="Times New Roman" w:eastAsia="Times New Roman" w:cs="Times New Roman"/>
                <w:spacing w:val="1"/>
                <w:sz w:val="17"/>
                <w:szCs w:val="17"/>
              </w:rPr>
              <w:t>3</w:t>
            </w:r>
          </w:p>
        </w:tc>
        <w:tc>
          <w:tcPr>
            <w:tcW w:w="930" w:type="dxa"/>
            <w:vAlign w:val="top"/>
          </w:tcPr>
          <w:p>
            <w:pPr>
              <w:spacing w:before="121" w:line="197" w:lineRule="auto"/>
              <w:ind w:left="35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.6</w:t>
            </w:r>
          </w:p>
        </w:tc>
        <w:tc>
          <w:tcPr>
            <w:tcW w:w="931" w:type="dxa"/>
            <w:vAlign w:val="top"/>
          </w:tcPr>
          <w:p>
            <w:pPr>
              <w:spacing w:before="121" w:line="200" w:lineRule="auto"/>
              <w:ind w:left="37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w:t>
            </w:r>
          </w:p>
        </w:tc>
        <w:tc>
          <w:tcPr>
            <w:tcW w:w="933" w:type="dxa"/>
            <w:vAlign w:val="top"/>
          </w:tcPr>
          <w:p>
            <w:pPr>
              <w:spacing w:before="121" w:line="200" w:lineRule="auto"/>
              <w:ind w:left="35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2.7</w:t>
            </w:r>
          </w:p>
        </w:tc>
        <w:tc>
          <w:tcPr>
            <w:tcW w:w="931" w:type="dxa"/>
            <w:vAlign w:val="top"/>
          </w:tcPr>
          <w:p>
            <w:pPr>
              <w:spacing w:before="121" w:line="197" w:lineRule="auto"/>
              <w:ind w:left="362"/>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8.2</w:t>
            </w:r>
          </w:p>
        </w:tc>
        <w:tc>
          <w:tcPr>
            <w:tcW w:w="931" w:type="dxa"/>
            <w:vAlign w:val="top"/>
          </w:tcPr>
          <w:p>
            <w:pPr>
              <w:spacing w:before="121" w:line="197" w:lineRule="auto"/>
              <w:ind w:left="31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8.2</w:t>
            </w:r>
          </w:p>
        </w:tc>
        <w:tc>
          <w:tcPr>
            <w:tcW w:w="934" w:type="dxa"/>
            <w:vAlign w:val="top"/>
          </w:tcPr>
          <w:p>
            <w:pPr>
              <w:spacing w:before="121" w:line="197" w:lineRule="auto"/>
              <w:ind w:left="312"/>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28.8</w:t>
            </w:r>
          </w:p>
        </w:tc>
        <w:tc>
          <w:tcPr>
            <w:tcW w:w="938" w:type="dxa"/>
            <w:vAlign w:val="top"/>
          </w:tcPr>
          <w:p>
            <w:pPr>
              <w:spacing w:before="121" w:line="197" w:lineRule="auto"/>
              <w:ind w:left="26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4"/>
                <w:sz w:val="17"/>
                <w:szCs w:val="17"/>
              </w:rPr>
              <w:t>02.0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5" w:hRule="atLeast"/>
        </w:trPr>
        <w:tc>
          <w:tcPr>
            <w:tcW w:w="870" w:type="dxa"/>
            <w:vAlign w:val="top"/>
          </w:tcPr>
          <w:p>
            <w:pPr>
              <w:spacing w:before="120" w:line="197" w:lineRule="auto"/>
              <w:ind w:left="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15</w:t>
            </w:r>
          </w:p>
        </w:tc>
        <w:tc>
          <w:tcPr>
            <w:tcW w:w="1086" w:type="dxa"/>
            <w:vAlign w:val="top"/>
          </w:tcPr>
          <w:p>
            <w:pPr>
              <w:spacing w:before="120" w:line="197" w:lineRule="auto"/>
              <w:ind w:left="45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932" w:type="dxa"/>
            <w:vAlign w:val="top"/>
          </w:tcPr>
          <w:p>
            <w:pPr>
              <w:spacing w:before="121" w:line="197" w:lineRule="auto"/>
              <w:ind w:left="357"/>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0.1</w:t>
            </w:r>
          </w:p>
        </w:tc>
        <w:tc>
          <w:tcPr>
            <w:tcW w:w="930" w:type="dxa"/>
            <w:vAlign w:val="top"/>
          </w:tcPr>
          <w:p>
            <w:pPr>
              <w:spacing w:before="121" w:line="197" w:lineRule="auto"/>
              <w:ind w:left="35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931" w:type="dxa"/>
            <w:vAlign w:val="top"/>
          </w:tcPr>
          <w:p>
            <w:pPr>
              <w:spacing w:before="120" w:line="200" w:lineRule="auto"/>
              <w:ind w:left="37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w:t>
            </w:r>
          </w:p>
        </w:tc>
        <w:tc>
          <w:tcPr>
            <w:tcW w:w="933" w:type="dxa"/>
            <w:vAlign w:val="top"/>
          </w:tcPr>
          <w:p>
            <w:pPr>
              <w:spacing w:before="120" w:line="200" w:lineRule="auto"/>
              <w:ind w:left="35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.2</w:t>
            </w:r>
          </w:p>
        </w:tc>
        <w:tc>
          <w:tcPr>
            <w:tcW w:w="931" w:type="dxa"/>
            <w:vAlign w:val="top"/>
          </w:tcPr>
          <w:p>
            <w:pPr>
              <w:spacing w:before="120" w:line="200" w:lineRule="auto"/>
              <w:ind w:left="35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w:t>
            </w:r>
            <w:r>
              <w:rPr>
                <w:rFonts w:ascii="Times New Roman" w:hAnsi="Times New Roman" w:eastAsia="Times New Roman" w:cs="Times New Roman"/>
                <w:spacing w:val="3"/>
                <w:sz w:val="17"/>
                <w:szCs w:val="17"/>
              </w:rPr>
              <w:t>2</w:t>
            </w:r>
          </w:p>
        </w:tc>
        <w:tc>
          <w:tcPr>
            <w:tcW w:w="931" w:type="dxa"/>
            <w:vAlign w:val="top"/>
          </w:tcPr>
          <w:p>
            <w:pPr>
              <w:spacing w:before="121" w:line="197" w:lineRule="auto"/>
              <w:ind w:left="32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10</w:t>
            </w:r>
            <w:r>
              <w:rPr>
                <w:rFonts w:ascii="Times New Roman" w:hAnsi="Times New Roman" w:eastAsia="Times New Roman" w:cs="Times New Roman"/>
                <w:sz w:val="17"/>
                <w:szCs w:val="17"/>
              </w:rPr>
              <w:t>.8</w:t>
            </w:r>
          </w:p>
        </w:tc>
        <w:tc>
          <w:tcPr>
            <w:tcW w:w="934" w:type="dxa"/>
            <w:vAlign w:val="top"/>
          </w:tcPr>
          <w:p>
            <w:pPr>
              <w:spacing w:before="121" w:line="197" w:lineRule="auto"/>
              <w:ind w:left="31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2"/>
                <w:sz w:val="17"/>
                <w:szCs w:val="17"/>
              </w:rPr>
              <w:t>6.2</w:t>
            </w:r>
          </w:p>
        </w:tc>
        <w:tc>
          <w:tcPr>
            <w:tcW w:w="938" w:type="dxa"/>
            <w:vAlign w:val="top"/>
          </w:tcPr>
          <w:p>
            <w:pPr>
              <w:spacing w:before="120" w:line="197" w:lineRule="auto"/>
              <w:ind w:left="28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129.</w:t>
            </w: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70" w:type="dxa"/>
            <w:vAlign w:val="top"/>
          </w:tcPr>
          <w:p>
            <w:pPr>
              <w:spacing w:before="120" w:line="197" w:lineRule="auto"/>
              <w:ind w:left="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15</w:t>
            </w:r>
          </w:p>
        </w:tc>
        <w:tc>
          <w:tcPr>
            <w:tcW w:w="1086" w:type="dxa"/>
            <w:vAlign w:val="top"/>
          </w:tcPr>
          <w:p>
            <w:pPr>
              <w:spacing w:before="120" w:line="197" w:lineRule="auto"/>
              <w:ind w:left="458"/>
              <w:rPr>
                <w:rFonts w:ascii="Times New Roman" w:hAnsi="Times New Roman" w:eastAsia="Times New Roman" w:cs="Times New Roman"/>
                <w:sz w:val="17"/>
                <w:szCs w:val="17"/>
              </w:rPr>
            </w:pPr>
            <w:r>
              <w:rPr>
                <w:rFonts w:ascii="Times New Roman" w:hAnsi="Times New Roman" w:eastAsia="Times New Roman" w:cs="Times New Roman"/>
                <w:sz w:val="17"/>
                <w:szCs w:val="17"/>
              </w:rPr>
              <w:t>80</w:t>
            </w:r>
          </w:p>
        </w:tc>
        <w:tc>
          <w:tcPr>
            <w:tcW w:w="932" w:type="dxa"/>
            <w:vAlign w:val="top"/>
          </w:tcPr>
          <w:p>
            <w:pPr>
              <w:spacing w:before="120" w:line="197" w:lineRule="auto"/>
              <w:ind w:left="357"/>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0.1</w:t>
            </w:r>
          </w:p>
        </w:tc>
        <w:tc>
          <w:tcPr>
            <w:tcW w:w="930" w:type="dxa"/>
            <w:vAlign w:val="top"/>
          </w:tcPr>
          <w:p>
            <w:pPr>
              <w:spacing w:before="120" w:line="197" w:lineRule="auto"/>
              <w:ind w:left="35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.3</w:t>
            </w:r>
          </w:p>
        </w:tc>
        <w:tc>
          <w:tcPr>
            <w:tcW w:w="931" w:type="dxa"/>
            <w:vAlign w:val="top"/>
          </w:tcPr>
          <w:p>
            <w:pPr>
              <w:spacing w:before="120" w:line="200" w:lineRule="auto"/>
              <w:ind w:left="37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1.1</w:t>
            </w:r>
          </w:p>
        </w:tc>
        <w:tc>
          <w:tcPr>
            <w:tcW w:w="933" w:type="dxa"/>
            <w:vAlign w:val="top"/>
          </w:tcPr>
          <w:p>
            <w:pPr>
              <w:spacing w:before="120" w:line="200" w:lineRule="auto"/>
              <w:ind w:left="35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.4</w:t>
            </w:r>
          </w:p>
        </w:tc>
        <w:tc>
          <w:tcPr>
            <w:tcW w:w="931" w:type="dxa"/>
            <w:vAlign w:val="top"/>
          </w:tcPr>
          <w:p>
            <w:pPr>
              <w:spacing w:before="120" w:line="200" w:lineRule="auto"/>
              <w:ind w:left="354"/>
              <w:rPr>
                <w:rFonts w:ascii="Times New Roman" w:hAnsi="Times New Roman" w:eastAsia="Times New Roman" w:cs="Times New Roman"/>
                <w:sz w:val="17"/>
                <w:szCs w:val="17"/>
              </w:rPr>
            </w:pPr>
            <w:r>
              <w:rPr>
                <w:rFonts w:ascii="Times New Roman" w:hAnsi="Times New Roman" w:eastAsia="Times New Roman" w:cs="Times New Roman"/>
                <w:spacing w:val="9"/>
                <w:sz w:val="17"/>
                <w:szCs w:val="17"/>
              </w:rPr>
              <w:t>4.1</w:t>
            </w:r>
          </w:p>
        </w:tc>
        <w:tc>
          <w:tcPr>
            <w:tcW w:w="931" w:type="dxa"/>
            <w:vAlign w:val="top"/>
          </w:tcPr>
          <w:p>
            <w:pPr>
              <w:spacing w:before="120" w:line="197" w:lineRule="auto"/>
              <w:ind w:left="36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8.</w:t>
            </w:r>
            <w:r>
              <w:rPr>
                <w:rFonts w:ascii="Times New Roman" w:hAnsi="Times New Roman" w:eastAsia="Times New Roman" w:cs="Times New Roman"/>
                <w:spacing w:val="1"/>
                <w:sz w:val="17"/>
                <w:szCs w:val="17"/>
              </w:rPr>
              <w:t>3</w:t>
            </w:r>
          </w:p>
        </w:tc>
        <w:tc>
          <w:tcPr>
            <w:tcW w:w="934" w:type="dxa"/>
            <w:vAlign w:val="top"/>
          </w:tcPr>
          <w:p>
            <w:pPr>
              <w:spacing w:before="120" w:line="197" w:lineRule="auto"/>
              <w:ind w:left="31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23.</w:t>
            </w:r>
            <w:r>
              <w:rPr>
                <w:rFonts w:ascii="Times New Roman" w:hAnsi="Times New Roman" w:eastAsia="Times New Roman" w:cs="Times New Roman"/>
                <w:spacing w:val="3"/>
                <w:sz w:val="17"/>
                <w:szCs w:val="17"/>
              </w:rPr>
              <w:t>7</w:t>
            </w:r>
          </w:p>
        </w:tc>
        <w:tc>
          <w:tcPr>
            <w:tcW w:w="938" w:type="dxa"/>
            <w:vAlign w:val="top"/>
          </w:tcPr>
          <w:p>
            <w:pPr>
              <w:spacing w:before="120" w:line="197" w:lineRule="auto"/>
              <w:ind w:left="31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8</w:t>
            </w:r>
            <w:r>
              <w:rPr>
                <w:rFonts w:ascii="Times New Roman" w:hAnsi="Times New Roman" w:eastAsia="Times New Roman" w:cs="Times New Roman"/>
                <w:spacing w:val="3"/>
                <w:sz w:val="17"/>
                <w:szCs w:val="17"/>
              </w:rPr>
              <w:t>2.8</w:t>
            </w:r>
          </w:p>
        </w:tc>
      </w:tr>
    </w:tbl>
    <w:p>
      <w:pPr>
        <w:spacing w:before="141" w:line="398" w:lineRule="exact"/>
        <w:ind w:left="419"/>
        <w:rPr>
          <w:rFonts w:ascii="宋体" w:hAnsi="宋体" w:eastAsia="宋体" w:cs="宋体"/>
          <w:sz w:val="20"/>
          <w:szCs w:val="20"/>
        </w:rPr>
      </w:pPr>
      <w:r>
        <w:rPr>
          <w:rFonts w:ascii="Times New Roman" w:hAnsi="Times New Roman" w:eastAsia="Times New Roman" w:cs="Times New Roman"/>
          <w:position w:val="14"/>
          <w:sz w:val="20"/>
          <w:szCs w:val="20"/>
        </w:rPr>
        <w:t>C</w:t>
      </w:r>
      <w:r>
        <w:rPr>
          <w:rFonts w:ascii="Times New Roman" w:hAnsi="Times New Roman" w:eastAsia="Times New Roman" w:cs="Times New Roman"/>
          <w:spacing w:val="14"/>
          <w:position w:val="14"/>
          <w:sz w:val="20"/>
          <w:szCs w:val="20"/>
        </w:rPr>
        <w:t>.</w:t>
      </w:r>
      <w:r>
        <w:rPr>
          <w:rFonts w:ascii="Times New Roman" w:hAnsi="Times New Roman" w:eastAsia="Times New Roman" w:cs="Times New Roman"/>
          <w:spacing w:val="10"/>
          <w:position w:val="14"/>
          <w:sz w:val="20"/>
          <w:szCs w:val="20"/>
        </w:rPr>
        <w:t xml:space="preserve"> </w:t>
      </w:r>
      <w:r>
        <w:rPr>
          <w:rFonts w:ascii="Times New Roman" w:hAnsi="Times New Roman" w:eastAsia="Times New Roman" w:cs="Times New Roman"/>
          <w:spacing w:val="7"/>
          <w:position w:val="14"/>
          <w:sz w:val="20"/>
          <w:szCs w:val="20"/>
        </w:rPr>
        <w:t xml:space="preserve">   </w:t>
      </w:r>
      <w:r>
        <w:rPr>
          <w:rFonts w:ascii="宋体" w:hAnsi="宋体" w:eastAsia="宋体" w:cs="宋体"/>
          <w:spacing w:val="7"/>
          <w:position w:val="14"/>
          <w:sz w:val="20"/>
          <w:szCs w:val="20"/>
        </w:rPr>
        <w:t>地面效应引起的衰减 (</w:t>
      </w:r>
      <w:r>
        <w:rPr>
          <w:rFonts w:ascii="Times New Roman" w:hAnsi="Times New Roman" w:eastAsia="Times New Roman" w:cs="Times New Roman"/>
          <w:i/>
          <w:iCs/>
          <w:position w:val="14"/>
          <w:sz w:val="20"/>
          <w:szCs w:val="20"/>
        </w:rPr>
        <w:t>A</w:t>
      </w:r>
      <w:r>
        <w:rPr>
          <w:rFonts w:ascii="Times New Roman" w:hAnsi="Times New Roman" w:eastAsia="Times New Roman" w:cs="Times New Roman"/>
          <w:position w:val="13"/>
          <w:sz w:val="13"/>
          <w:szCs w:val="13"/>
        </w:rPr>
        <w:t>gr</w:t>
      </w:r>
      <w:r>
        <w:rPr>
          <w:rFonts w:ascii="Times New Roman" w:hAnsi="Times New Roman" w:eastAsia="Times New Roman" w:cs="Times New Roman"/>
          <w:spacing w:val="7"/>
          <w:position w:val="13"/>
          <w:sz w:val="13"/>
          <w:szCs w:val="13"/>
        </w:rPr>
        <w:t xml:space="preserve"> </w:t>
      </w:r>
      <w:r>
        <w:rPr>
          <w:rFonts w:ascii="宋体" w:hAnsi="宋体" w:eastAsia="宋体" w:cs="宋体"/>
          <w:spacing w:val="7"/>
          <w:position w:val="14"/>
          <w:sz w:val="20"/>
          <w:szCs w:val="20"/>
        </w:rPr>
        <w:t>)</w:t>
      </w:r>
    </w:p>
    <w:p>
      <w:pPr>
        <w:spacing w:line="227" w:lineRule="auto"/>
        <w:ind w:left="420"/>
        <w:rPr>
          <w:rFonts w:ascii="宋体" w:hAnsi="宋体" w:eastAsia="宋体" w:cs="宋体"/>
          <w:sz w:val="20"/>
          <w:szCs w:val="20"/>
        </w:rPr>
      </w:pPr>
      <w:r>
        <w:rPr>
          <w:rFonts w:ascii="宋体" w:hAnsi="宋体" w:eastAsia="宋体" w:cs="宋体"/>
          <w:spacing w:val="11"/>
          <w:sz w:val="20"/>
          <w:szCs w:val="20"/>
        </w:rPr>
        <w:t>地</w:t>
      </w:r>
      <w:r>
        <w:rPr>
          <w:rFonts w:ascii="宋体" w:hAnsi="宋体" w:eastAsia="宋体" w:cs="宋体"/>
          <w:spacing w:val="7"/>
          <w:sz w:val="20"/>
          <w:szCs w:val="20"/>
        </w:rPr>
        <w:t>面类型可分为：</w:t>
      </w:r>
    </w:p>
    <w:p>
      <w:pPr>
        <w:spacing w:before="154" w:line="228" w:lineRule="auto"/>
        <w:ind w:left="419"/>
        <w:rPr>
          <w:rFonts w:ascii="宋体" w:hAnsi="宋体" w:eastAsia="宋体" w:cs="宋体"/>
          <w:sz w:val="20"/>
          <w:szCs w:val="20"/>
        </w:rPr>
      </w:pPr>
      <w:r>
        <w:rPr>
          <w:rFonts w:ascii="Times New Roman" w:hAnsi="Times New Roman" w:eastAsia="Times New Roman" w:cs="Times New Roman"/>
          <w:sz w:val="20"/>
          <w:szCs w:val="20"/>
        </w:rPr>
        <w:t>a</w:t>
      </w:r>
      <w:r>
        <w:rPr>
          <w:rFonts w:ascii="Times New Roman" w:hAnsi="Times New Roman" w:eastAsia="Times New Roman" w:cs="Times New Roman"/>
          <w:spacing w:val="8"/>
          <w:sz w:val="20"/>
          <w:szCs w:val="20"/>
        </w:rPr>
        <w:t xml:space="preserve"> </w:t>
      </w:r>
      <w:r>
        <w:rPr>
          <w:rFonts w:ascii="宋体" w:hAnsi="宋体" w:eastAsia="宋体" w:cs="宋体"/>
          <w:spacing w:val="7"/>
          <w:sz w:val="20"/>
          <w:szCs w:val="20"/>
        </w:rPr>
        <w:t>) 坚实地面，包括铺筑过的路面、水面、冰面以及夯实地面；</w:t>
      </w:r>
    </w:p>
    <w:p>
      <w:pPr>
        <w:spacing w:before="115" w:line="281" w:lineRule="exact"/>
        <w:ind w:left="411"/>
        <w:rPr>
          <w:rFonts w:ascii="宋体" w:hAnsi="宋体" w:eastAsia="宋体" w:cs="宋体"/>
          <w:sz w:val="20"/>
          <w:szCs w:val="20"/>
        </w:rPr>
      </w:pPr>
      <w:r>
        <w:rPr>
          <w:rFonts w:ascii="Times New Roman" w:hAnsi="Times New Roman" w:eastAsia="Times New Roman" w:cs="Times New Roman"/>
          <w:position w:val="1"/>
          <w:sz w:val="20"/>
          <w:szCs w:val="20"/>
        </w:rPr>
        <w:t>b</w:t>
      </w:r>
      <w:r>
        <w:rPr>
          <w:rFonts w:ascii="宋体" w:hAnsi="宋体" w:eastAsia="宋体" w:cs="宋体"/>
          <w:spacing w:val="12"/>
          <w:position w:val="1"/>
          <w:sz w:val="20"/>
          <w:szCs w:val="20"/>
        </w:rPr>
        <w:t>) 疏松</w:t>
      </w:r>
      <w:r>
        <w:rPr>
          <w:rFonts w:ascii="宋体" w:hAnsi="宋体" w:eastAsia="宋体" w:cs="宋体"/>
          <w:spacing w:val="11"/>
          <w:position w:val="1"/>
          <w:sz w:val="20"/>
          <w:szCs w:val="20"/>
        </w:rPr>
        <w:t>地</w:t>
      </w:r>
      <w:r>
        <w:rPr>
          <w:rFonts w:ascii="宋体" w:hAnsi="宋体" w:eastAsia="宋体" w:cs="宋体"/>
          <w:spacing w:val="6"/>
          <w:position w:val="1"/>
          <w:sz w:val="20"/>
          <w:szCs w:val="20"/>
        </w:rPr>
        <w:t>面，包括被草或其他植物覆盖的地面， 以及农田等适合于植物生长的地面；</w:t>
      </w:r>
    </w:p>
    <w:p>
      <w:pPr>
        <w:spacing w:before="155" w:line="229" w:lineRule="auto"/>
        <w:ind w:left="418"/>
        <w:rPr>
          <w:rFonts w:ascii="宋体" w:hAnsi="宋体" w:eastAsia="宋体" w:cs="宋体"/>
          <w:sz w:val="20"/>
          <w:szCs w:val="20"/>
        </w:rPr>
      </w:pPr>
      <w:r>
        <w:rPr>
          <w:rFonts w:ascii="Times New Roman" w:hAnsi="Times New Roman" w:eastAsia="Times New Roman" w:cs="Times New Roman"/>
          <w:sz w:val="20"/>
          <w:szCs w:val="20"/>
        </w:rPr>
        <w:t>c</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 混合地面，由坚实地面和疏松地面组成</w:t>
      </w:r>
      <w:r>
        <w:rPr>
          <w:rFonts w:ascii="宋体" w:hAnsi="宋体" w:eastAsia="宋体" w:cs="宋体"/>
          <w:spacing w:val="5"/>
          <w:sz w:val="20"/>
          <w:szCs w:val="20"/>
        </w:rPr>
        <w:t>。</w:t>
      </w:r>
    </w:p>
    <w:p>
      <w:pPr>
        <w:spacing w:before="153" w:line="227" w:lineRule="auto"/>
        <w:ind w:left="424"/>
        <w:rPr>
          <w:rFonts w:ascii="宋体" w:hAnsi="宋体" w:eastAsia="宋体" w:cs="宋体"/>
          <w:sz w:val="20"/>
          <w:szCs w:val="20"/>
        </w:rPr>
      </w:pPr>
      <w:r>
        <w:rPr>
          <w:rFonts w:ascii="宋体" w:hAnsi="宋体" w:eastAsia="宋体" w:cs="宋体"/>
          <w:spacing w:val="10"/>
          <w:sz w:val="20"/>
          <w:szCs w:val="20"/>
        </w:rPr>
        <w:t>声</w:t>
      </w:r>
      <w:r>
        <w:rPr>
          <w:rFonts w:ascii="宋体" w:hAnsi="宋体" w:eastAsia="宋体" w:cs="宋体"/>
          <w:spacing w:val="9"/>
          <w:sz w:val="20"/>
          <w:szCs w:val="20"/>
        </w:rPr>
        <w:t>波掠过疏松地面传播时，或大部分为疏松地面的混合地面，在预测点仅计算</w:t>
      </w:r>
      <w:r>
        <w:rPr>
          <w:rFonts w:ascii="Times New Roman" w:hAnsi="Times New Roman" w:eastAsia="Times New Roman" w:cs="Times New Roman"/>
          <w:sz w:val="20"/>
          <w:szCs w:val="20"/>
        </w:rPr>
        <w:t>A</w:t>
      </w:r>
      <w:r>
        <w:rPr>
          <w:rFonts w:ascii="宋体" w:hAnsi="宋体" w:eastAsia="宋体" w:cs="宋体"/>
          <w:spacing w:val="9"/>
          <w:sz w:val="20"/>
          <w:szCs w:val="20"/>
        </w:rPr>
        <w:t>声级前提下，</w:t>
      </w:r>
    </w:p>
    <w:p>
      <w:pPr>
        <w:spacing w:before="155" w:line="228" w:lineRule="auto"/>
        <w:rPr>
          <w:rFonts w:ascii="宋体" w:hAnsi="宋体" w:eastAsia="宋体" w:cs="宋体"/>
          <w:sz w:val="20"/>
          <w:szCs w:val="20"/>
        </w:rPr>
      </w:pPr>
      <w:r>
        <w:rPr>
          <w:rFonts w:ascii="宋体" w:hAnsi="宋体" w:eastAsia="宋体" w:cs="宋体"/>
          <w:spacing w:val="9"/>
          <w:sz w:val="20"/>
          <w:szCs w:val="20"/>
        </w:rPr>
        <w:t>地面效应引起的倍频带衰减可用下式计算</w:t>
      </w:r>
      <w:r>
        <w:rPr>
          <w:rFonts w:ascii="宋体" w:hAnsi="宋体" w:eastAsia="宋体" w:cs="宋体"/>
          <w:spacing w:val="7"/>
          <w:sz w:val="20"/>
          <w:szCs w:val="20"/>
        </w:rPr>
        <w:t>。</w:t>
      </w:r>
    </w:p>
    <w:p>
      <w:pPr>
        <w:spacing w:before="9" w:line="516" w:lineRule="exact"/>
        <w:ind w:left="2995"/>
      </w:pPr>
      <w:r>
        <w:pict>
          <v:shape id="_x0000_s1110" o:spid="_x0000_s1110" o:spt="202" type="#_x0000_t202" style="position:absolute;left:0pt;margin-left:202.25pt;margin-top:19.05pt;height:17.6pt;width:90.55pt;z-index:251770880;mso-width-relative:page;mso-height-relative:page;" filled="f" stroked="f" coordsize="21600,21600">
            <v:path/>
            <v:fill on="f" focussize="0,0"/>
            <v:stroke on="f"/>
            <v:imagedata o:title=""/>
            <o:lock v:ext="edit" aspectratio="f"/>
            <v:textbox inset="0mm,0mm,0mm,0mm">
              <w:txbxContent>
                <w:p>
                  <w:pPr>
                    <w:spacing w:before="19" w:line="237" w:lineRule="auto"/>
                    <w:ind w:left="20"/>
                    <w:rPr>
                      <w:rFonts w:ascii="Symbol" w:hAnsi="Symbol" w:eastAsia="Symbol" w:cs="Symbol"/>
                      <w:sz w:val="25"/>
                      <w:szCs w:val="25"/>
                    </w:rPr>
                  </w:pPr>
                  <w:r>
                    <w:rPr>
                      <w:rFonts w:ascii="Times New Roman" w:hAnsi="Times New Roman" w:eastAsia="Times New Roman" w:cs="Times New Roman"/>
                      <w:position w:val="-5"/>
                      <w:sz w:val="25"/>
                      <w:szCs w:val="25"/>
                    </w:rPr>
                    <w:drawing>
                      <wp:inline distT="0" distB="0" distL="0" distR="0">
                        <wp:extent cx="65405" cy="196850"/>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286"/>
                                <a:stretch>
                                  <a:fillRect/>
                                </a:stretch>
                              </pic:blipFill>
                              <pic:spPr>
                                <a:xfrm>
                                  <a:off x="0" y="0"/>
                                  <a:ext cx="65654" cy="196983"/>
                                </a:xfrm>
                                <a:prstGeom prst="rect">
                                  <a:avLst/>
                                </a:prstGeom>
                              </pic:spPr>
                            </pic:pic>
                          </a:graphicData>
                        </a:graphic>
                      </wp:inline>
                    </w:drawing>
                  </w:r>
                  <w:r>
                    <w:rPr>
                      <w:rFonts w:ascii="Times New Roman" w:hAnsi="Times New Roman" w:eastAsia="Times New Roman" w:cs="Times New Roman"/>
                      <w:spacing w:val="9"/>
                      <w:position w:val="2"/>
                      <w:sz w:val="25"/>
                      <w:szCs w:val="25"/>
                    </w:rPr>
                    <w:t xml:space="preserve">   </w:t>
                  </w:r>
                  <w:r>
                    <w:rPr>
                      <w:rFonts w:ascii="Times New Roman" w:hAnsi="Times New Roman" w:eastAsia="Times New Roman" w:cs="Times New Roman"/>
                      <w:position w:val="2"/>
                      <w:sz w:val="25"/>
                      <w:szCs w:val="25"/>
                    </w:rPr>
                    <w:t>r</w:t>
                  </w:r>
                  <w:r>
                    <w:rPr>
                      <w:rFonts w:ascii="Times New Roman" w:hAnsi="Times New Roman" w:eastAsia="Times New Roman" w:cs="Times New Roman"/>
                      <w:spacing w:val="9"/>
                      <w:position w:val="2"/>
                      <w:sz w:val="25"/>
                      <w:szCs w:val="25"/>
                    </w:rPr>
                    <w:t xml:space="preserve">   </w:t>
                  </w:r>
                  <w:r>
                    <w:rPr>
                      <w:rFonts w:ascii="Symbol" w:hAnsi="Symbol" w:eastAsia="Symbol" w:cs="Symbol"/>
                      <w:spacing w:val="9"/>
                      <w:sz w:val="25"/>
                      <w:szCs w:val="25"/>
                    </w:rPr>
                    <w:t>)</w:t>
                  </w:r>
                  <w:r>
                    <w:rPr>
                      <w:position w:val="-5"/>
                      <w:sz w:val="25"/>
                      <w:szCs w:val="25"/>
                    </w:rPr>
                    <w:drawing>
                      <wp:inline distT="0" distB="0" distL="0" distR="0">
                        <wp:extent cx="65405" cy="196850"/>
                        <wp:effectExtent l="0" t="0" r="0" b="0"/>
                        <wp:docPr id="143" name="IM 143"/>
                        <wp:cNvGraphicFramePr/>
                        <a:graphic xmlns:a="http://schemas.openxmlformats.org/drawingml/2006/main">
                          <a:graphicData uri="http://schemas.openxmlformats.org/drawingml/2006/picture">
                            <pic:pic xmlns:pic="http://schemas.openxmlformats.org/drawingml/2006/picture">
                              <pic:nvPicPr>
                                <pic:cNvPr id="143" name="IM 143"/>
                                <pic:cNvPicPr/>
                              </pic:nvPicPr>
                              <pic:blipFill>
                                <a:blip r:embed="rId287"/>
                                <a:stretch>
                                  <a:fillRect/>
                                </a:stretch>
                              </pic:blipFill>
                              <pic:spPr>
                                <a:xfrm>
                                  <a:off x="0" y="0"/>
                                  <a:ext cx="65654" cy="196983"/>
                                </a:xfrm>
                                <a:prstGeom prst="rect">
                                  <a:avLst/>
                                </a:prstGeom>
                              </pic:spPr>
                            </pic:pic>
                          </a:graphicData>
                        </a:graphic>
                      </wp:inline>
                    </w:drawing>
                  </w:r>
                  <w:r>
                    <w:rPr>
                      <w:rFonts w:ascii="Symbol" w:hAnsi="Symbol" w:eastAsia="Symbol" w:cs="Symbol"/>
                      <w:spacing w:val="9"/>
                      <w:sz w:val="25"/>
                      <w:szCs w:val="25"/>
                    </w:rPr>
                    <w:t xml:space="preserve">         </w:t>
                  </w:r>
                  <w:r>
                    <w:rPr>
                      <w:rFonts w:ascii="Times New Roman" w:hAnsi="Times New Roman" w:eastAsia="Times New Roman" w:cs="Times New Roman"/>
                      <w:position w:val="2"/>
                      <w:sz w:val="25"/>
                      <w:szCs w:val="25"/>
                    </w:rPr>
                    <w:t>r</w:t>
                  </w:r>
                  <w:r>
                    <w:rPr>
                      <w:rFonts w:ascii="Times New Roman" w:hAnsi="Times New Roman" w:eastAsia="Times New Roman" w:cs="Times New Roman"/>
                      <w:spacing w:val="9"/>
                      <w:position w:val="2"/>
                      <w:sz w:val="25"/>
                      <w:szCs w:val="25"/>
                    </w:rPr>
                    <w:t xml:space="preserve">  </w:t>
                  </w:r>
                  <w:r>
                    <w:rPr>
                      <w:rFonts w:ascii="Symbol" w:hAnsi="Symbol" w:eastAsia="Symbol" w:cs="Symbol"/>
                      <w:spacing w:val="6"/>
                      <w:sz w:val="25"/>
                      <w:szCs w:val="25"/>
                    </w:rPr>
                    <w:t>)</w:t>
                  </w:r>
                </w:p>
              </w:txbxContent>
            </v:textbox>
          </v:shape>
        </w:pict>
      </w:r>
      <w:r>
        <w:rPr>
          <w:position w:val="-10"/>
        </w:rPr>
        <w:drawing>
          <wp:inline distT="0" distB="0" distL="0" distR="0">
            <wp:extent cx="1803400" cy="32702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288"/>
                    <a:stretch>
                      <a:fillRect/>
                    </a:stretch>
                  </pic:blipFill>
                  <pic:spPr>
                    <a:xfrm>
                      <a:off x="0" y="0"/>
                      <a:ext cx="1803890" cy="327069"/>
                    </a:xfrm>
                    <a:prstGeom prst="rect">
                      <a:avLst/>
                    </a:prstGeom>
                  </pic:spPr>
                </pic:pic>
              </a:graphicData>
            </a:graphic>
          </wp:inline>
        </w:drawing>
      </w:r>
    </w:p>
    <w:p>
      <w:pPr>
        <w:spacing w:before="297" w:line="281" w:lineRule="exact"/>
        <w:ind w:left="424"/>
        <w:rPr>
          <w:rFonts w:ascii="宋体" w:hAnsi="宋体" w:eastAsia="宋体" w:cs="宋体"/>
          <w:sz w:val="20"/>
          <w:szCs w:val="20"/>
        </w:rPr>
      </w:pPr>
      <w:r>
        <w:rPr>
          <w:rFonts w:ascii="宋体" w:hAnsi="宋体" w:eastAsia="宋体" w:cs="宋体"/>
          <w:spacing w:val="20"/>
          <w:position w:val="2"/>
          <w:sz w:val="20"/>
          <w:szCs w:val="20"/>
        </w:rPr>
        <w:t>式</w:t>
      </w:r>
      <w:r>
        <w:rPr>
          <w:rFonts w:ascii="宋体" w:hAnsi="宋体" w:eastAsia="宋体" w:cs="宋体"/>
          <w:spacing w:val="10"/>
          <w:position w:val="2"/>
          <w:sz w:val="20"/>
          <w:szCs w:val="20"/>
        </w:rPr>
        <w:t>中：</w:t>
      </w:r>
      <w:r>
        <w:rPr>
          <w:rFonts w:ascii="Times New Roman" w:hAnsi="Times New Roman" w:eastAsia="Times New Roman" w:cs="Times New Roman"/>
          <w:i/>
          <w:iCs/>
          <w:position w:val="2"/>
          <w:sz w:val="20"/>
          <w:szCs w:val="20"/>
        </w:rPr>
        <w:t>A</w:t>
      </w:r>
      <w:r>
        <w:rPr>
          <w:rFonts w:ascii="Times New Roman" w:hAnsi="Times New Roman" w:eastAsia="Times New Roman" w:cs="Times New Roman"/>
          <w:position w:val="1"/>
          <w:sz w:val="13"/>
          <w:szCs w:val="13"/>
        </w:rPr>
        <w:t>gr</w:t>
      </w:r>
      <w:r>
        <w:rPr>
          <w:rFonts w:ascii="Times New Roman" w:hAnsi="Times New Roman" w:eastAsia="Times New Roman" w:cs="Times New Roman"/>
          <w:spacing w:val="10"/>
          <w:position w:val="1"/>
          <w:sz w:val="13"/>
          <w:szCs w:val="13"/>
        </w:rPr>
        <w:t xml:space="preserve"> </w:t>
      </w:r>
      <w:r>
        <w:rPr>
          <w:rFonts w:ascii="Times New Roman" w:hAnsi="Times New Roman" w:eastAsia="Times New Roman" w:cs="Times New Roman"/>
          <w:spacing w:val="10"/>
          <w:position w:val="2"/>
          <w:sz w:val="20"/>
          <w:szCs w:val="20"/>
        </w:rPr>
        <w:t>——</w:t>
      </w:r>
      <w:r>
        <w:rPr>
          <w:rFonts w:ascii="宋体" w:hAnsi="宋体" w:eastAsia="宋体" w:cs="宋体"/>
          <w:spacing w:val="10"/>
          <w:position w:val="2"/>
          <w:sz w:val="20"/>
          <w:szCs w:val="20"/>
        </w:rPr>
        <w:t>地面效应引起的衰减，</w:t>
      </w:r>
      <w:r>
        <w:rPr>
          <w:rFonts w:ascii="Times New Roman" w:hAnsi="Times New Roman" w:eastAsia="Times New Roman" w:cs="Times New Roman"/>
          <w:position w:val="2"/>
          <w:sz w:val="20"/>
          <w:szCs w:val="20"/>
        </w:rPr>
        <w:t>dB</w:t>
      </w:r>
      <w:r>
        <w:rPr>
          <w:rFonts w:ascii="宋体" w:hAnsi="宋体" w:eastAsia="宋体" w:cs="宋体"/>
          <w:spacing w:val="10"/>
          <w:position w:val="2"/>
          <w:sz w:val="20"/>
          <w:szCs w:val="20"/>
        </w:rPr>
        <w:t>；</w:t>
      </w:r>
    </w:p>
    <w:p>
      <w:pPr>
        <w:spacing w:before="158" w:line="228" w:lineRule="auto"/>
        <w:ind w:left="1045"/>
        <w:rPr>
          <w:rFonts w:ascii="宋体" w:hAnsi="宋体" w:eastAsia="宋体" w:cs="宋体"/>
          <w:sz w:val="20"/>
          <w:szCs w:val="20"/>
        </w:rPr>
      </w:pPr>
      <w:r>
        <w:rPr>
          <w:rFonts w:ascii="Times New Roman" w:hAnsi="Times New Roman" w:eastAsia="Times New Roman" w:cs="Times New Roman"/>
          <w:i/>
          <w:iCs/>
          <w:sz w:val="20"/>
          <w:szCs w:val="20"/>
        </w:rPr>
        <w:t>r</w:t>
      </w:r>
      <w:r>
        <w:rPr>
          <w:rFonts w:ascii="Times New Roman" w:hAnsi="Times New Roman" w:eastAsia="Times New Roman" w:cs="Times New Roman"/>
          <w:spacing w:val="18"/>
          <w:sz w:val="20"/>
          <w:szCs w:val="20"/>
        </w:rPr>
        <w:t>—</w:t>
      </w:r>
      <w:r>
        <w:rPr>
          <w:rFonts w:ascii="Times New Roman" w:hAnsi="Times New Roman" w:eastAsia="Times New Roman" w:cs="Times New Roman"/>
          <w:spacing w:val="9"/>
          <w:sz w:val="20"/>
          <w:szCs w:val="20"/>
        </w:rPr>
        <w:t>—</w:t>
      </w:r>
      <w:r>
        <w:rPr>
          <w:rFonts w:ascii="宋体" w:hAnsi="宋体" w:eastAsia="宋体" w:cs="宋体"/>
          <w:spacing w:val="9"/>
          <w:sz w:val="20"/>
          <w:szCs w:val="20"/>
        </w:rPr>
        <w:t>预测点距声源的距离，</w:t>
      </w:r>
      <w:r>
        <w:rPr>
          <w:rFonts w:ascii="Times New Roman" w:hAnsi="Times New Roman" w:eastAsia="Times New Roman" w:cs="Times New Roman"/>
          <w:sz w:val="20"/>
          <w:szCs w:val="20"/>
        </w:rPr>
        <w:t>m</w:t>
      </w:r>
      <w:r>
        <w:rPr>
          <w:rFonts w:ascii="宋体" w:hAnsi="宋体" w:eastAsia="宋体" w:cs="宋体"/>
          <w:spacing w:val="9"/>
          <w:sz w:val="20"/>
          <w:szCs w:val="20"/>
        </w:rPr>
        <w:t>；</w:t>
      </w:r>
    </w:p>
    <w:p>
      <w:pPr>
        <w:spacing w:before="117" w:line="314" w:lineRule="auto"/>
        <w:ind w:left="17" w:right="665" w:firstLine="398"/>
        <w:rPr>
          <w:rFonts w:ascii="宋体" w:hAnsi="宋体" w:eastAsia="宋体" w:cs="宋体"/>
          <w:sz w:val="20"/>
          <w:szCs w:val="20"/>
        </w:rPr>
      </w:pPr>
      <w:r>
        <w:rPr>
          <w:rFonts w:ascii="Times New Roman" w:hAnsi="Times New Roman" w:eastAsia="Times New Roman" w:cs="Times New Roman"/>
          <w:i/>
          <w:iCs/>
          <w:sz w:val="20"/>
          <w:szCs w:val="20"/>
        </w:rPr>
        <w:t>h</w:t>
      </w:r>
      <w:r>
        <w:rPr>
          <w:rFonts w:ascii="Times New Roman" w:hAnsi="Times New Roman" w:eastAsia="Times New Roman" w:cs="Times New Roman"/>
          <w:i/>
          <w:iCs/>
          <w:position w:val="-1"/>
          <w:sz w:val="13"/>
          <w:szCs w:val="13"/>
        </w:rPr>
        <w:t>m</w:t>
      </w:r>
      <w:r>
        <w:rPr>
          <w:rFonts w:ascii="Times New Roman" w:hAnsi="Times New Roman" w:eastAsia="Times New Roman" w:cs="Times New Roman"/>
          <w:spacing w:val="4"/>
          <w:sz w:val="20"/>
          <w:szCs w:val="20"/>
        </w:rPr>
        <w:t>——</w:t>
      </w:r>
      <w:r>
        <w:rPr>
          <w:rFonts w:ascii="宋体" w:hAnsi="宋体" w:eastAsia="宋体" w:cs="宋体"/>
          <w:spacing w:val="4"/>
          <w:sz w:val="20"/>
          <w:szCs w:val="20"/>
        </w:rPr>
        <w:t>传播路径的平均离地高</w:t>
      </w:r>
      <w:r>
        <w:rPr>
          <w:rFonts w:ascii="宋体" w:hAnsi="宋体" w:eastAsia="宋体" w:cs="宋体"/>
          <w:spacing w:val="2"/>
          <w:sz w:val="20"/>
          <w:szCs w:val="20"/>
        </w:rPr>
        <w:t>度，</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；可按下图进行计算，</w:t>
      </w:r>
      <w:r>
        <w:rPr>
          <w:rFonts w:ascii="Times New Roman" w:hAnsi="Times New Roman" w:eastAsia="Times New Roman" w:cs="Times New Roman"/>
          <w:i/>
          <w:iCs/>
          <w:sz w:val="20"/>
          <w:szCs w:val="20"/>
        </w:rPr>
        <w:t>h</w:t>
      </w:r>
      <w:r>
        <w:rPr>
          <w:rFonts w:ascii="Times New Roman" w:hAnsi="Times New Roman" w:eastAsia="Times New Roman" w:cs="Times New Roman"/>
          <w:i/>
          <w:iCs/>
          <w:position w:val="-1"/>
          <w:sz w:val="13"/>
          <w:szCs w:val="13"/>
        </w:rPr>
        <w:t>m</w:t>
      </w:r>
      <w:r>
        <w:rPr>
          <w:rFonts w:ascii="Times New Roman" w:hAnsi="Times New Roman" w:eastAsia="Times New Roman" w:cs="Times New Roman"/>
          <w:spacing w:val="2"/>
          <w:position w:val="-1"/>
          <w:sz w:val="13"/>
          <w:szCs w:val="13"/>
        </w:rPr>
        <w:t xml:space="preserve"> </w:t>
      </w:r>
      <w:r>
        <w:rPr>
          <w:rFonts w:ascii="Times New Roman" w:hAnsi="Times New Roman" w:eastAsia="Times New Roman" w:cs="Times New Roman"/>
          <w:i/>
          <w:iCs/>
          <w:spacing w:val="2"/>
          <w:sz w:val="20"/>
          <w:szCs w:val="20"/>
        </w:rPr>
        <w:t>=</w:t>
      </w:r>
      <w:r>
        <w:rPr>
          <w:rFonts w:ascii="Times New Roman" w:hAnsi="Times New Roman" w:eastAsia="Times New Roman" w:cs="Times New Roman"/>
          <w:i/>
          <w:iCs/>
          <w:sz w:val="20"/>
          <w:szCs w:val="20"/>
        </w:rPr>
        <w:t>F</w:t>
      </w:r>
      <w:r>
        <w:rPr>
          <w:rFonts w:ascii="Times New Roman" w:hAnsi="Times New Roman" w:eastAsia="Times New Roman" w:cs="Times New Roman"/>
          <w:i/>
          <w:iCs/>
          <w:spacing w:val="2"/>
          <w:sz w:val="20"/>
          <w:szCs w:val="20"/>
        </w:rPr>
        <w:t>/</w:t>
      </w:r>
      <w:r>
        <w:rPr>
          <w:rFonts w:ascii="Times New Roman" w:hAnsi="Times New Roman" w:eastAsia="Times New Roman" w:cs="Times New Roman"/>
          <w:i/>
          <w:iCs/>
          <w:sz w:val="20"/>
          <w:szCs w:val="20"/>
        </w:rPr>
        <w:t>r</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z w:val="20"/>
          <w:szCs w:val="20"/>
        </w:rPr>
        <w:t>F</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：面积，</w:t>
      </w:r>
      <w:r>
        <w:rPr>
          <w:rFonts w:ascii="Times New Roman" w:hAnsi="Times New Roman" w:eastAsia="Times New Roman" w:cs="Times New Roman"/>
          <w:sz w:val="20"/>
          <w:szCs w:val="20"/>
        </w:rPr>
        <w:t>m</w:t>
      </w:r>
      <w:r>
        <w:rPr>
          <w:rFonts w:ascii="Times New Roman" w:hAnsi="Times New Roman" w:eastAsia="Times New Roman" w:cs="Times New Roman"/>
          <w:spacing w:val="2"/>
          <w:position w:val="6"/>
          <w:sz w:val="13"/>
          <w:szCs w:val="13"/>
        </w:rPr>
        <w:t xml:space="preserve">2 </w:t>
      </w:r>
      <w:r>
        <w:rPr>
          <w:rFonts w:ascii="宋体" w:hAnsi="宋体" w:eastAsia="宋体" w:cs="宋体"/>
          <w:spacing w:val="2"/>
          <w:sz w:val="20"/>
          <w:szCs w:val="20"/>
        </w:rPr>
        <w:t>；若</w:t>
      </w:r>
      <w:r>
        <w:rPr>
          <w:rFonts w:ascii="Times New Roman" w:hAnsi="Times New Roman" w:eastAsia="Times New Roman" w:cs="Times New Roman"/>
          <w:i/>
          <w:iCs/>
          <w:sz w:val="20"/>
          <w:szCs w:val="20"/>
        </w:rPr>
        <w:t>A</w:t>
      </w:r>
      <w:r>
        <w:rPr>
          <w:rFonts w:ascii="Times New Roman" w:hAnsi="Times New Roman" w:eastAsia="Times New Roman" w:cs="Times New Roman"/>
          <w:position w:val="-1"/>
          <w:sz w:val="13"/>
          <w:szCs w:val="13"/>
        </w:rPr>
        <w:t>gr</w:t>
      </w:r>
      <w:r>
        <w:rPr>
          <w:rFonts w:ascii="宋体" w:hAnsi="宋体" w:eastAsia="宋体" w:cs="宋体"/>
          <w:spacing w:val="2"/>
          <w:sz w:val="20"/>
          <w:szCs w:val="20"/>
        </w:rPr>
        <w:t>计算</w:t>
      </w:r>
      <w:r>
        <w:rPr>
          <w:rFonts w:ascii="宋体" w:hAnsi="宋体" w:eastAsia="宋体" w:cs="宋体"/>
          <w:sz w:val="20"/>
          <w:szCs w:val="20"/>
        </w:rPr>
        <w:t xml:space="preserve"> </w:t>
      </w:r>
      <w:r>
        <w:rPr>
          <w:rFonts w:ascii="宋体" w:hAnsi="宋体" w:eastAsia="宋体" w:cs="宋体"/>
          <w:spacing w:val="12"/>
          <w:sz w:val="20"/>
          <w:szCs w:val="20"/>
        </w:rPr>
        <w:t>出</w:t>
      </w:r>
      <w:r>
        <w:rPr>
          <w:rFonts w:ascii="宋体" w:hAnsi="宋体" w:eastAsia="宋体" w:cs="宋体"/>
          <w:spacing w:val="7"/>
          <w:sz w:val="20"/>
          <w:szCs w:val="20"/>
        </w:rPr>
        <w:t>负</w:t>
      </w:r>
      <w:r>
        <w:rPr>
          <w:rFonts w:ascii="宋体" w:hAnsi="宋体" w:eastAsia="宋体" w:cs="宋体"/>
          <w:spacing w:val="6"/>
          <w:sz w:val="20"/>
          <w:szCs w:val="20"/>
        </w:rPr>
        <w:t>值，则</w:t>
      </w:r>
      <w:r>
        <w:rPr>
          <w:rFonts w:ascii="Times New Roman" w:hAnsi="Times New Roman" w:eastAsia="Times New Roman" w:cs="Times New Roman"/>
          <w:i/>
          <w:iCs/>
          <w:sz w:val="20"/>
          <w:szCs w:val="20"/>
        </w:rPr>
        <w:t>A</w:t>
      </w:r>
      <w:r>
        <w:rPr>
          <w:rFonts w:ascii="Times New Roman" w:hAnsi="Times New Roman" w:eastAsia="Times New Roman" w:cs="Times New Roman"/>
          <w:position w:val="-1"/>
          <w:sz w:val="13"/>
          <w:szCs w:val="13"/>
        </w:rPr>
        <w:t>gr</w:t>
      </w:r>
      <w:r>
        <w:rPr>
          <w:rFonts w:ascii="宋体" w:hAnsi="宋体" w:eastAsia="宋体" w:cs="宋体"/>
          <w:spacing w:val="6"/>
          <w:sz w:val="20"/>
          <w:szCs w:val="20"/>
        </w:rPr>
        <w:t>可用</w:t>
      </w:r>
      <w:r>
        <w:rPr>
          <w:rFonts w:ascii="Times New Roman" w:hAnsi="Times New Roman" w:eastAsia="Times New Roman" w:cs="Times New Roman"/>
          <w:spacing w:val="6"/>
          <w:sz w:val="20"/>
          <w:szCs w:val="20"/>
        </w:rPr>
        <w:t>“0”</w:t>
      </w:r>
      <w:r>
        <w:rPr>
          <w:rFonts w:ascii="宋体" w:hAnsi="宋体" w:eastAsia="宋体" w:cs="宋体"/>
          <w:spacing w:val="6"/>
          <w:sz w:val="20"/>
          <w:szCs w:val="20"/>
        </w:rPr>
        <w:t>代替。</w:t>
      </w:r>
    </w:p>
    <w:p>
      <w:pPr>
        <w:spacing w:before="117" w:line="281" w:lineRule="exact"/>
        <w:ind w:left="420"/>
        <w:rPr>
          <w:rFonts w:ascii="宋体" w:hAnsi="宋体" w:eastAsia="宋体" w:cs="宋体"/>
          <w:sz w:val="20"/>
          <w:szCs w:val="20"/>
        </w:rPr>
      </w:pPr>
      <w:r>
        <w:rPr>
          <w:rFonts w:ascii="宋体" w:hAnsi="宋体" w:eastAsia="宋体" w:cs="宋体"/>
          <w:spacing w:val="14"/>
          <w:position w:val="1"/>
          <w:sz w:val="20"/>
          <w:szCs w:val="20"/>
        </w:rPr>
        <w:t>其</w:t>
      </w:r>
      <w:r>
        <w:rPr>
          <w:rFonts w:ascii="宋体" w:hAnsi="宋体" w:eastAsia="宋体" w:cs="宋体"/>
          <w:spacing w:val="13"/>
          <w:position w:val="1"/>
          <w:sz w:val="20"/>
          <w:szCs w:val="20"/>
        </w:rPr>
        <w:t>他</w:t>
      </w:r>
      <w:r>
        <w:rPr>
          <w:rFonts w:ascii="宋体" w:hAnsi="宋体" w:eastAsia="宋体" w:cs="宋体"/>
          <w:spacing w:val="7"/>
          <w:position w:val="1"/>
          <w:sz w:val="20"/>
          <w:szCs w:val="20"/>
        </w:rPr>
        <w:t>情况可参照</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7"/>
          <w:position w:val="1"/>
          <w:sz w:val="20"/>
          <w:szCs w:val="20"/>
        </w:rPr>
        <w:t>/</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7"/>
          <w:position w:val="1"/>
          <w:sz w:val="20"/>
          <w:szCs w:val="20"/>
        </w:rPr>
        <w:t>17247.2</w:t>
      </w:r>
      <w:r>
        <w:rPr>
          <w:rFonts w:ascii="宋体" w:hAnsi="宋体" w:eastAsia="宋体" w:cs="宋体"/>
          <w:spacing w:val="7"/>
          <w:position w:val="1"/>
          <w:sz w:val="20"/>
          <w:szCs w:val="20"/>
        </w:rPr>
        <w:t>进行计算。</w:t>
      </w:r>
    </w:p>
    <w:p>
      <w:pPr>
        <w:spacing w:before="17" w:line="3209" w:lineRule="exact"/>
        <w:ind w:firstLine="500"/>
        <w:textAlignment w:val="center"/>
      </w:pPr>
      <w:r>
        <w:drawing>
          <wp:inline distT="0" distB="0" distL="0" distR="0">
            <wp:extent cx="4958715" cy="2037080"/>
            <wp:effectExtent l="0" t="0" r="0" b="0"/>
            <wp:docPr id="145" name="IM 145"/>
            <wp:cNvGraphicFramePr/>
            <a:graphic xmlns:a="http://schemas.openxmlformats.org/drawingml/2006/main">
              <a:graphicData uri="http://schemas.openxmlformats.org/drawingml/2006/picture">
                <pic:pic xmlns:pic="http://schemas.openxmlformats.org/drawingml/2006/picture">
                  <pic:nvPicPr>
                    <pic:cNvPr id="145" name="IM 145"/>
                    <pic:cNvPicPr/>
                  </pic:nvPicPr>
                  <pic:blipFill>
                    <a:blip r:embed="rId289"/>
                    <a:stretch>
                      <a:fillRect/>
                    </a:stretch>
                  </pic:blipFill>
                  <pic:spPr>
                    <a:xfrm>
                      <a:off x="0" y="0"/>
                      <a:ext cx="4959095" cy="2037588"/>
                    </a:xfrm>
                    <a:prstGeom prst="rect">
                      <a:avLst/>
                    </a:prstGeom>
                  </pic:spPr>
                </pic:pic>
              </a:graphicData>
            </a:graphic>
          </wp:inline>
        </w:drawing>
      </w:r>
    </w:p>
    <w:p>
      <w:pPr>
        <w:spacing w:before="59" w:line="408" w:lineRule="exact"/>
        <w:ind w:left="3136"/>
        <w:rPr>
          <w:rFonts w:ascii="黑体" w:hAnsi="黑体" w:eastAsia="黑体" w:cs="黑体"/>
          <w:sz w:val="19"/>
          <w:szCs w:val="19"/>
        </w:rPr>
      </w:pPr>
      <w:r>
        <w:rPr>
          <w:rFonts w:ascii="黑体" w:hAnsi="黑体" w:eastAsia="黑体" w:cs="黑体"/>
          <w:spacing w:val="10"/>
          <w:position w:val="13"/>
          <w:sz w:val="19"/>
          <w:szCs w:val="19"/>
        </w:rPr>
        <w:t>图</w:t>
      </w:r>
      <w:r>
        <w:rPr>
          <w:rFonts w:ascii="Times New Roman" w:hAnsi="Times New Roman" w:eastAsia="Times New Roman" w:cs="Times New Roman"/>
          <w:spacing w:val="10"/>
          <w:position w:val="13"/>
          <w:sz w:val="19"/>
          <w:szCs w:val="19"/>
        </w:rPr>
        <w:t>1</w:t>
      </w:r>
      <w:r>
        <w:rPr>
          <w:rFonts w:ascii="Times New Roman" w:hAnsi="Times New Roman" w:eastAsia="Times New Roman" w:cs="Times New Roman"/>
          <w:spacing w:val="5"/>
          <w:position w:val="13"/>
          <w:sz w:val="19"/>
          <w:szCs w:val="19"/>
        </w:rPr>
        <w:t>3</w:t>
      </w:r>
      <w:r>
        <w:rPr>
          <w:rFonts w:ascii="黑体" w:hAnsi="黑体" w:eastAsia="黑体" w:cs="黑体"/>
          <w:spacing w:val="5"/>
          <w:position w:val="13"/>
          <w:sz w:val="19"/>
          <w:szCs w:val="19"/>
        </w:rPr>
        <w:t>：估计平均高度</w:t>
      </w:r>
      <w:r>
        <w:rPr>
          <w:rFonts w:ascii="Times New Roman" w:hAnsi="Times New Roman" w:eastAsia="Times New Roman" w:cs="Times New Roman"/>
          <w:i/>
          <w:iCs/>
          <w:position w:val="13"/>
          <w:sz w:val="19"/>
          <w:szCs w:val="19"/>
        </w:rPr>
        <w:t>h</w:t>
      </w:r>
      <w:r>
        <w:rPr>
          <w:rFonts w:ascii="Times New Roman" w:hAnsi="Times New Roman" w:eastAsia="Times New Roman" w:cs="Times New Roman"/>
          <w:i/>
          <w:iCs/>
          <w:position w:val="12"/>
          <w:sz w:val="12"/>
          <w:szCs w:val="12"/>
        </w:rPr>
        <w:t>m</w:t>
      </w:r>
      <w:r>
        <w:rPr>
          <w:rFonts w:ascii="Times New Roman" w:hAnsi="Times New Roman" w:eastAsia="Times New Roman" w:cs="Times New Roman"/>
          <w:spacing w:val="5"/>
          <w:position w:val="12"/>
          <w:sz w:val="12"/>
          <w:szCs w:val="12"/>
        </w:rPr>
        <w:t xml:space="preserve"> </w:t>
      </w:r>
      <w:r>
        <w:rPr>
          <w:rFonts w:ascii="黑体" w:hAnsi="黑体" w:eastAsia="黑体" w:cs="黑体"/>
          <w:spacing w:val="5"/>
          <w:position w:val="13"/>
          <w:sz w:val="19"/>
          <w:szCs w:val="19"/>
        </w:rPr>
        <w:t>的方法</w:t>
      </w:r>
    </w:p>
    <w:p>
      <w:pPr>
        <w:spacing w:line="277" w:lineRule="exact"/>
        <w:ind w:left="415"/>
        <w:rPr>
          <w:rFonts w:ascii="宋体" w:hAnsi="宋体" w:eastAsia="宋体" w:cs="宋体"/>
          <w:sz w:val="20"/>
          <w:szCs w:val="20"/>
        </w:rPr>
      </w:pPr>
      <w:r>
        <w:rPr>
          <w:rFonts w:ascii="Times New Roman" w:hAnsi="Times New Roman" w:eastAsia="Times New Roman" w:cs="Times New Roman"/>
          <w:position w:val="1"/>
          <w:sz w:val="20"/>
          <w:szCs w:val="20"/>
        </w:rPr>
        <w:t>D</w:t>
      </w:r>
      <w:r>
        <w:rPr>
          <w:rFonts w:ascii="Times New Roman" w:hAnsi="Times New Roman" w:eastAsia="Times New Roman" w:cs="Times New Roman"/>
          <w:spacing w:val="8"/>
          <w:position w:val="1"/>
          <w:sz w:val="20"/>
          <w:szCs w:val="20"/>
        </w:rPr>
        <w:t xml:space="preserve">.    </w:t>
      </w:r>
      <w:r>
        <w:rPr>
          <w:rFonts w:ascii="宋体" w:hAnsi="宋体" w:eastAsia="宋体" w:cs="宋体"/>
          <w:spacing w:val="8"/>
          <w:position w:val="1"/>
          <w:sz w:val="20"/>
          <w:szCs w:val="20"/>
        </w:rPr>
        <w:t>其他方面效应引起的衰减 (</w:t>
      </w:r>
      <w:r>
        <w:rPr>
          <w:rFonts w:ascii="Times New Roman" w:hAnsi="Times New Roman" w:eastAsia="Times New Roman" w:cs="Times New Roman"/>
          <w:i/>
          <w:iCs/>
          <w:position w:val="1"/>
          <w:sz w:val="20"/>
          <w:szCs w:val="20"/>
        </w:rPr>
        <w:t>A</w:t>
      </w:r>
      <w:r>
        <w:rPr>
          <w:rFonts w:ascii="Times New Roman" w:hAnsi="Times New Roman" w:eastAsia="Times New Roman" w:cs="Times New Roman"/>
          <w:sz w:val="13"/>
          <w:szCs w:val="13"/>
        </w:rPr>
        <w:t>misc</w:t>
      </w:r>
      <w:r>
        <w:rPr>
          <w:rFonts w:ascii="Times New Roman" w:hAnsi="Times New Roman" w:eastAsia="Times New Roman" w:cs="Times New Roman"/>
          <w:spacing w:val="8"/>
          <w:sz w:val="13"/>
          <w:szCs w:val="13"/>
        </w:rPr>
        <w:t xml:space="preserve"> </w:t>
      </w:r>
      <w:r>
        <w:rPr>
          <w:rFonts w:ascii="宋体" w:hAnsi="宋体" w:eastAsia="宋体" w:cs="宋体"/>
          <w:spacing w:val="4"/>
          <w:position w:val="1"/>
          <w:sz w:val="20"/>
          <w:szCs w:val="20"/>
        </w:rPr>
        <w:t>)</w:t>
      </w:r>
    </w:p>
    <w:p>
      <w:pPr>
        <w:spacing w:before="122" w:line="228" w:lineRule="auto"/>
        <w:ind w:left="420"/>
        <w:rPr>
          <w:rFonts w:ascii="宋体" w:hAnsi="宋体" w:eastAsia="宋体" w:cs="宋体"/>
          <w:sz w:val="20"/>
          <w:szCs w:val="20"/>
        </w:rPr>
      </w:pPr>
      <w:r>
        <w:rPr>
          <w:rFonts w:ascii="宋体" w:hAnsi="宋体" w:eastAsia="宋体" w:cs="宋体"/>
          <w:spacing w:val="20"/>
          <w:sz w:val="20"/>
          <w:szCs w:val="20"/>
        </w:rPr>
        <w:t>其</w:t>
      </w:r>
      <w:r>
        <w:rPr>
          <w:rFonts w:ascii="宋体" w:hAnsi="宋体" w:eastAsia="宋体" w:cs="宋体"/>
          <w:spacing w:val="12"/>
          <w:sz w:val="20"/>
          <w:szCs w:val="20"/>
        </w:rPr>
        <w:t>他</w:t>
      </w:r>
      <w:r>
        <w:rPr>
          <w:rFonts w:ascii="宋体" w:hAnsi="宋体" w:eastAsia="宋体" w:cs="宋体"/>
          <w:spacing w:val="10"/>
          <w:sz w:val="20"/>
          <w:szCs w:val="20"/>
        </w:rPr>
        <w:t>衰减包括通过工业场所的衰减；通过建筑群的衰减等。在声环境影响评价中，一般情况</w:t>
      </w:r>
    </w:p>
    <w:p>
      <w:pPr>
        <w:spacing w:before="153" w:line="227" w:lineRule="auto"/>
        <w:ind w:left="6"/>
        <w:rPr>
          <w:rFonts w:ascii="宋体" w:hAnsi="宋体" w:eastAsia="宋体" w:cs="宋体"/>
          <w:sz w:val="20"/>
          <w:szCs w:val="20"/>
        </w:rPr>
      </w:pPr>
      <w:r>
        <w:rPr>
          <w:rFonts w:ascii="宋体" w:hAnsi="宋体" w:eastAsia="宋体" w:cs="宋体"/>
          <w:spacing w:val="16"/>
          <w:sz w:val="20"/>
          <w:szCs w:val="20"/>
        </w:rPr>
        <w:t>下，</w:t>
      </w:r>
      <w:r>
        <w:rPr>
          <w:rFonts w:ascii="宋体" w:hAnsi="宋体" w:eastAsia="宋体" w:cs="宋体"/>
          <w:spacing w:val="10"/>
          <w:sz w:val="20"/>
          <w:szCs w:val="20"/>
        </w:rPr>
        <w:t>不</w:t>
      </w:r>
      <w:r>
        <w:rPr>
          <w:rFonts w:ascii="宋体" w:hAnsi="宋体" w:eastAsia="宋体" w:cs="宋体"/>
          <w:spacing w:val="8"/>
          <w:sz w:val="20"/>
          <w:szCs w:val="20"/>
        </w:rPr>
        <w:t>考虑自然条件 (如风、温度梯度、雾) 变化引起的附加修正。</w:t>
      </w:r>
    </w:p>
    <w:p>
      <w:pPr>
        <w:sectPr>
          <w:footerReference r:id="rId128" w:type="default"/>
          <w:pgSz w:w="11906" w:h="16839"/>
          <w:pgMar w:top="400" w:right="867" w:bottom="1027" w:left="1539" w:header="0" w:footer="840" w:gutter="0"/>
          <w:cols w:space="720" w:num="1"/>
        </w:sect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65" w:line="228" w:lineRule="auto"/>
        <w:ind w:left="487"/>
        <w:rPr>
          <w:rFonts w:ascii="宋体" w:hAnsi="宋体" w:eastAsia="宋体" w:cs="宋体"/>
          <w:sz w:val="20"/>
          <w:szCs w:val="20"/>
        </w:rPr>
      </w:pPr>
      <w:r>
        <w:rPr>
          <w:rFonts w:ascii="宋体" w:hAnsi="宋体" w:eastAsia="宋体" w:cs="宋体"/>
          <w:spacing w:val="7"/>
          <w:sz w:val="17"/>
          <w:szCs w:val="17"/>
        </w:rPr>
        <w:t xml:space="preserve">3   </w:t>
      </w:r>
      <w:r>
        <w:rPr>
          <w:rFonts w:ascii="宋体" w:hAnsi="宋体" w:eastAsia="宋体" w:cs="宋体"/>
          <w:spacing w:val="7"/>
          <w:sz w:val="20"/>
          <w:szCs w:val="20"/>
        </w:rPr>
        <w:t>两侧建筑物的反射声修正量 (</w:t>
      </w:r>
      <w:r>
        <w:rPr>
          <w:rFonts w:ascii="Times New Roman" w:hAnsi="Times New Roman" w:eastAsia="Times New Roman" w:cs="Times New Roman"/>
          <w:spacing w:val="7"/>
          <w:sz w:val="20"/>
          <w:szCs w:val="20"/>
        </w:rPr>
        <w:t>Δ</w:t>
      </w:r>
      <w:r>
        <w:rPr>
          <w:rFonts w:ascii="Times New Roman" w:hAnsi="Times New Roman" w:eastAsia="Times New Roman" w:cs="Times New Roman"/>
          <w:sz w:val="20"/>
          <w:szCs w:val="20"/>
        </w:rPr>
        <w:t>L</w:t>
      </w:r>
      <w:r>
        <w:rPr>
          <w:rFonts w:ascii="Times New Roman" w:hAnsi="Times New Roman" w:eastAsia="Times New Roman" w:cs="Times New Roman"/>
          <w:spacing w:val="7"/>
          <w:position w:val="-1"/>
          <w:sz w:val="13"/>
          <w:szCs w:val="13"/>
        </w:rPr>
        <w:t xml:space="preserve">3 </w:t>
      </w:r>
      <w:r>
        <w:rPr>
          <w:rFonts w:ascii="宋体" w:hAnsi="宋体" w:eastAsia="宋体" w:cs="宋体"/>
          <w:spacing w:val="4"/>
          <w:sz w:val="20"/>
          <w:szCs w:val="20"/>
        </w:rPr>
        <w:t>)</w:t>
      </w:r>
    </w:p>
    <w:p>
      <w:pPr>
        <w:spacing w:before="114" w:line="281" w:lineRule="exact"/>
        <w:ind w:left="431"/>
        <w:rPr>
          <w:rFonts w:ascii="Times New Roman" w:hAnsi="Times New Roman" w:eastAsia="Times New Roman" w:cs="Times New Roman"/>
          <w:sz w:val="20"/>
          <w:szCs w:val="20"/>
        </w:rPr>
      </w:pPr>
      <w:r>
        <w:rPr>
          <w:rFonts w:ascii="宋体" w:hAnsi="宋体" w:eastAsia="宋体" w:cs="宋体"/>
          <w:spacing w:val="14"/>
          <w:position w:val="1"/>
          <w:sz w:val="20"/>
          <w:szCs w:val="20"/>
        </w:rPr>
        <w:t>公路 (</w:t>
      </w:r>
      <w:r>
        <w:rPr>
          <w:rFonts w:ascii="宋体" w:hAnsi="宋体" w:eastAsia="宋体" w:cs="宋体"/>
          <w:spacing w:val="12"/>
          <w:position w:val="1"/>
          <w:sz w:val="20"/>
          <w:szCs w:val="20"/>
        </w:rPr>
        <w:t>道</w:t>
      </w:r>
      <w:r>
        <w:rPr>
          <w:rFonts w:ascii="宋体" w:hAnsi="宋体" w:eastAsia="宋体" w:cs="宋体"/>
          <w:spacing w:val="7"/>
          <w:position w:val="1"/>
          <w:sz w:val="20"/>
          <w:szCs w:val="20"/>
        </w:rPr>
        <w:t xml:space="preserve">路) 两侧建筑物反射影响因素的修正。当线路两侧建筑物间距小于总计算高度 </w:t>
      </w:r>
      <w:r>
        <w:rPr>
          <w:rFonts w:ascii="Times New Roman" w:hAnsi="Times New Roman" w:eastAsia="Times New Roman" w:cs="Times New Roman"/>
          <w:spacing w:val="7"/>
          <w:position w:val="1"/>
          <w:sz w:val="20"/>
          <w:szCs w:val="20"/>
        </w:rPr>
        <w:t>30%</w:t>
      </w:r>
    </w:p>
    <w:p>
      <w:pPr>
        <w:spacing w:before="157" w:line="230" w:lineRule="auto"/>
        <w:ind w:left="14"/>
        <w:rPr>
          <w:rFonts w:ascii="宋体" w:hAnsi="宋体" w:eastAsia="宋体" w:cs="宋体"/>
          <w:sz w:val="20"/>
          <w:szCs w:val="20"/>
        </w:rPr>
      </w:pPr>
      <w:r>
        <w:rPr>
          <w:rFonts w:ascii="宋体" w:hAnsi="宋体" w:eastAsia="宋体" w:cs="宋体"/>
          <w:spacing w:val="9"/>
          <w:sz w:val="20"/>
          <w:szCs w:val="20"/>
        </w:rPr>
        <w:t>时</w:t>
      </w:r>
      <w:r>
        <w:rPr>
          <w:rFonts w:ascii="宋体" w:hAnsi="宋体" w:eastAsia="宋体" w:cs="宋体"/>
          <w:spacing w:val="7"/>
          <w:sz w:val="20"/>
          <w:szCs w:val="20"/>
        </w:rPr>
        <w:t>，其反射声修正量为：</w:t>
      </w:r>
    </w:p>
    <w:p>
      <w:pPr>
        <w:spacing w:before="151" w:line="228" w:lineRule="auto"/>
        <w:ind w:left="425"/>
        <w:rPr>
          <w:rFonts w:ascii="宋体" w:hAnsi="宋体" w:eastAsia="宋体" w:cs="宋体"/>
          <w:sz w:val="20"/>
          <w:szCs w:val="20"/>
        </w:rPr>
      </w:pPr>
      <w:r>
        <w:rPr>
          <w:rFonts w:ascii="宋体" w:hAnsi="宋体" w:eastAsia="宋体" w:cs="宋体"/>
          <w:spacing w:val="8"/>
          <w:sz w:val="20"/>
          <w:szCs w:val="20"/>
        </w:rPr>
        <w:t>两侧建筑物是反射面时：</w:t>
      </w:r>
    </w:p>
    <w:p>
      <w:pPr>
        <w:spacing w:before="114" w:line="438" w:lineRule="exact"/>
        <w:ind w:left="3529"/>
        <w:rPr>
          <w:rFonts w:ascii="Times New Roman" w:hAnsi="Times New Roman" w:eastAsia="Times New Roman" w:cs="Times New Roman"/>
          <w:sz w:val="20"/>
          <w:szCs w:val="20"/>
        </w:rPr>
      </w:pPr>
      <w:r>
        <w:rPr>
          <w:rFonts w:ascii="Times New Roman" w:hAnsi="Times New Roman" w:eastAsia="Times New Roman" w:cs="Times New Roman"/>
          <w:spacing w:val="11"/>
          <w:position w:val="15"/>
          <w:sz w:val="20"/>
          <w:szCs w:val="20"/>
        </w:rPr>
        <w:t>Δ</w:t>
      </w:r>
      <w:r>
        <w:rPr>
          <w:rFonts w:ascii="Times New Roman" w:hAnsi="Times New Roman" w:eastAsia="Times New Roman" w:cs="Times New Roman"/>
          <w:position w:val="15"/>
          <w:sz w:val="20"/>
          <w:szCs w:val="20"/>
        </w:rPr>
        <w:t>L</w:t>
      </w:r>
      <w:r>
        <w:rPr>
          <w:rFonts w:ascii="Times New Roman" w:hAnsi="Times New Roman" w:eastAsia="Times New Roman" w:cs="Times New Roman"/>
          <w:spacing w:val="9"/>
          <w:position w:val="14"/>
          <w:sz w:val="13"/>
          <w:szCs w:val="13"/>
        </w:rPr>
        <w:t>3</w:t>
      </w:r>
      <w:r>
        <w:rPr>
          <w:rFonts w:ascii="Times New Roman" w:hAnsi="Times New Roman" w:eastAsia="Times New Roman" w:cs="Times New Roman"/>
          <w:spacing w:val="9"/>
          <w:position w:val="15"/>
          <w:sz w:val="20"/>
          <w:szCs w:val="20"/>
        </w:rPr>
        <w:t>=4</w:t>
      </w:r>
      <w:r>
        <w:rPr>
          <w:rFonts w:ascii="Times New Roman" w:hAnsi="Times New Roman" w:eastAsia="Times New Roman" w:cs="Times New Roman"/>
          <w:position w:val="15"/>
          <w:sz w:val="20"/>
          <w:szCs w:val="20"/>
        </w:rPr>
        <w:t>H</w:t>
      </w:r>
      <w:r>
        <w:rPr>
          <w:rFonts w:ascii="Times New Roman" w:hAnsi="Times New Roman" w:eastAsia="Times New Roman" w:cs="Times New Roman"/>
          <w:position w:val="14"/>
          <w:sz w:val="13"/>
          <w:szCs w:val="13"/>
        </w:rPr>
        <w:t>b</w:t>
      </w:r>
      <w:r>
        <w:rPr>
          <w:rFonts w:ascii="Times New Roman" w:hAnsi="Times New Roman" w:eastAsia="Times New Roman" w:cs="Times New Roman"/>
          <w:spacing w:val="9"/>
          <w:position w:val="15"/>
          <w:sz w:val="20"/>
          <w:szCs w:val="20"/>
        </w:rPr>
        <w:t>/</w:t>
      </w:r>
      <w:r>
        <w:rPr>
          <w:rFonts w:ascii="Times New Roman" w:hAnsi="Times New Roman" w:eastAsia="Times New Roman" w:cs="Times New Roman"/>
          <w:i/>
          <w:iCs/>
          <w:position w:val="15"/>
          <w:sz w:val="20"/>
          <w:szCs w:val="20"/>
        </w:rPr>
        <w:t>w</w:t>
      </w:r>
      <w:r>
        <w:rPr>
          <w:rFonts w:ascii="Times New Roman" w:hAnsi="Times New Roman" w:eastAsia="Times New Roman" w:cs="Times New Roman"/>
          <w:spacing w:val="9"/>
          <w:position w:val="15"/>
          <w:sz w:val="20"/>
          <w:szCs w:val="20"/>
        </w:rPr>
        <w:t xml:space="preserve">   ≤3.2</w:t>
      </w:r>
      <w:r>
        <w:rPr>
          <w:rFonts w:ascii="Times New Roman" w:hAnsi="Times New Roman" w:eastAsia="Times New Roman" w:cs="Times New Roman"/>
          <w:position w:val="15"/>
          <w:sz w:val="20"/>
          <w:szCs w:val="20"/>
        </w:rPr>
        <w:t>dB</w:t>
      </w:r>
    </w:p>
    <w:p>
      <w:pPr>
        <w:spacing w:before="1" w:line="227" w:lineRule="auto"/>
        <w:ind w:left="425"/>
        <w:rPr>
          <w:rFonts w:ascii="宋体" w:hAnsi="宋体" w:eastAsia="宋体" w:cs="宋体"/>
          <w:sz w:val="20"/>
          <w:szCs w:val="20"/>
        </w:rPr>
      </w:pPr>
      <w:r>
        <w:rPr>
          <w:rFonts w:ascii="宋体" w:hAnsi="宋体" w:eastAsia="宋体" w:cs="宋体"/>
          <w:spacing w:val="16"/>
          <w:sz w:val="20"/>
          <w:szCs w:val="20"/>
        </w:rPr>
        <w:t>两</w:t>
      </w:r>
      <w:r>
        <w:rPr>
          <w:rFonts w:ascii="宋体" w:hAnsi="宋体" w:eastAsia="宋体" w:cs="宋体"/>
          <w:spacing w:val="8"/>
          <w:sz w:val="20"/>
          <w:szCs w:val="20"/>
        </w:rPr>
        <w:t>侧建筑物是一般吸收性表面时：</w:t>
      </w:r>
    </w:p>
    <w:p>
      <w:pPr>
        <w:spacing w:before="116" w:line="436" w:lineRule="exact"/>
        <w:ind w:left="3503"/>
        <w:rPr>
          <w:rFonts w:ascii="Times New Roman" w:hAnsi="Times New Roman" w:eastAsia="Times New Roman" w:cs="Times New Roman"/>
          <w:sz w:val="20"/>
          <w:szCs w:val="20"/>
        </w:rPr>
      </w:pPr>
      <w:r>
        <w:rPr>
          <w:rFonts w:ascii="Times New Roman" w:hAnsi="Times New Roman" w:eastAsia="Times New Roman" w:cs="Times New Roman"/>
          <w:spacing w:val="8"/>
          <w:position w:val="15"/>
          <w:sz w:val="20"/>
          <w:szCs w:val="20"/>
        </w:rPr>
        <w:t>Δ</w:t>
      </w:r>
      <w:r>
        <w:rPr>
          <w:rFonts w:ascii="Times New Roman" w:hAnsi="Times New Roman" w:eastAsia="Times New Roman" w:cs="Times New Roman"/>
          <w:position w:val="15"/>
          <w:sz w:val="20"/>
          <w:szCs w:val="20"/>
        </w:rPr>
        <w:t>L</w:t>
      </w:r>
      <w:r>
        <w:rPr>
          <w:rFonts w:ascii="Times New Roman" w:hAnsi="Times New Roman" w:eastAsia="Times New Roman" w:cs="Times New Roman"/>
          <w:spacing w:val="7"/>
          <w:position w:val="14"/>
          <w:sz w:val="13"/>
          <w:szCs w:val="13"/>
        </w:rPr>
        <w:t>3</w:t>
      </w:r>
      <w:r>
        <w:rPr>
          <w:rFonts w:ascii="Times New Roman" w:hAnsi="Times New Roman" w:eastAsia="Times New Roman" w:cs="Times New Roman"/>
          <w:spacing w:val="4"/>
          <w:position w:val="15"/>
          <w:sz w:val="20"/>
          <w:szCs w:val="20"/>
        </w:rPr>
        <w:t>= 4</w:t>
      </w:r>
      <w:r>
        <w:rPr>
          <w:rFonts w:ascii="Times New Roman" w:hAnsi="Times New Roman" w:eastAsia="Times New Roman" w:cs="Times New Roman"/>
          <w:position w:val="15"/>
          <w:sz w:val="20"/>
          <w:szCs w:val="20"/>
        </w:rPr>
        <w:t>H</w:t>
      </w:r>
      <w:r>
        <w:rPr>
          <w:rFonts w:ascii="Times New Roman" w:hAnsi="Times New Roman" w:eastAsia="Times New Roman" w:cs="Times New Roman"/>
          <w:position w:val="14"/>
          <w:sz w:val="13"/>
          <w:szCs w:val="13"/>
        </w:rPr>
        <w:t>b</w:t>
      </w:r>
      <w:r>
        <w:rPr>
          <w:rFonts w:ascii="Times New Roman" w:hAnsi="Times New Roman" w:eastAsia="Times New Roman" w:cs="Times New Roman"/>
          <w:spacing w:val="4"/>
          <w:position w:val="15"/>
          <w:sz w:val="20"/>
          <w:szCs w:val="20"/>
        </w:rPr>
        <w:t>/</w:t>
      </w:r>
      <w:r>
        <w:rPr>
          <w:rFonts w:ascii="Times New Roman" w:hAnsi="Times New Roman" w:eastAsia="Times New Roman" w:cs="Times New Roman"/>
          <w:i/>
          <w:iCs/>
          <w:position w:val="15"/>
          <w:sz w:val="20"/>
          <w:szCs w:val="20"/>
        </w:rPr>
        <w:t>w</w:t>
      </w:r>
      <w:r>
        <w:rPr>
          <w:rFonts w:ascii="Times New Roman" w:hAnsi="Times New Roman" w:eastAsia="Times New Roman" w:cs="Times New Roman"/>
          <w:spacing w:val="4"/>
          <w:position w:val="15"/>
          <w:sz w:val="20"/>
          <w:szCs w:val="20"/>
        </w:rPr>
        <w:t xml:space="preserve">   ≤ 1.6</w:t>
      </w:r>
      <w:r>
        <w:rPr>
          <w:rFonts w:ascii="Times New Roman" w:hAnsi="Times New Roman" w:eastAsia="Times New Roman" w:cs="Times New Roman"/>
          <w:position w:val="15"/>
          <w:sz w:val="20"/>
          <w:szCs w:val="20"/>
        </w:rPr>
        <w:t>dB</w:t>
      </w:r>
    </w:p>
    <w:p>
      <w:pPr>
        <w:spacing w:before="1" w:line="227" w:lineRule="auto"/>
        <w:ind w:left="425"/>
        <w:rPr>
          <w:rFonts w:ascii="宋体" w:hAnsi="宋体" w:eastAsia="宋体" w:cs="宋体"/>
          <w:sz w:val="20"/>
          <w:szCs w:val="20"/>
        </w:rPr>
      </w:pPr>
      <w:r>
        <w:rPr>
          <w:rFonts w:ascii="宋体" w:hAnsi="宋体" w:eastAsia="宋体" w:cs="宋体"/>
          <w:spacing w:val="15"/>
          <w:sz w:val="20"/>
          <w:szCs w:val="20"/>
        </w:rPr>
        <w:t>两</w:t>
      </w:r>
      <w:r>
        <w:rPr>
          <w:rFonts w:ascii="宋体" w:hAnsi="宋体" w:eastAsia="宋体" w:cs="宋体"/>
          <w:spacing w:val="8"/>
          <w:sz w:val="20"/>
          <w:szCs w:val="20"/>
        </w:rPr>
        <w:t>侧建筑物为全吸收性表面时：</w:t>
      </w:r>
    </w:p>
    <w:p>
      <w:pPr>
        <w:spacing w:before="190" w:line="202" w:lineRule="auto"/>
        <w:ind w:left="4093"/>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Δ</w:t>
      </w:r>
      <w:r>
        <w:rPr>
          <w:rFonts w:ascii="Times New Roman" w:hAnsi="Times New Roman" w:eastAsia="Times New Roman" w:cs="Times New Roman"/>
          <w:sz w:val="20"/>
          <w:szCs w:val="20"/>
        </w:rPr>
        <w:t>L</w:t>
      </w:r>
      <w:r>
        <w:rPr>
          <w:rFonts w:ascii="Times New Roman" w:hAnsi="Times New Roman" w:eastAsia="Times New Roman" w:cs="Times New Roman"/>
          <w:spacing w:val="7"/>
          <w:position w:val="-1"/>
          <w:sz w:val="13"/>
          <w:szCs w:val="13"/>
        </w:rPr>
        <w:t xml:space="preserve">3 </w:t>
      </w:r>
      <w:r>
        <w:rPr>
          <w:rFonts w:ascii="Times New Roman" w:hAnsi="Times New Roman" w:eastAsia="Times New Roman" w:cs="Times New Roman"/>
          <w:spacing w:val="7"/>
          <w:sz w:val="20"/>
          <w:szCs w:val="20"/>
        </w:rPr>
        <w:t>≈ 0</w:t>
      </w:r>
    </w:p>
    <w:p>
      <w:pPr>
        <w:spacing w:before="134" w:line="281" w:lineRule="exact"/>
        <w:ind w:left="428"/>
        <w:rPr>
          <w:rFonts w:ascii="宋体" w:hAnsi="宋体" w:eastAsia="宋体" w:cs="宋体"/>
          <w:sz w:val="20"/>
          <w:szCs w:val="20"/>
        </w:rPr>
      </w:pPr>
      <w:r>
        <w:rPr>
          <w:rFonts w:ascii="宋体" w:hAnsi="宋体" w:eastAsia="宋体" w:cs="宋体"/>
          <w:spacing w:val="14"/>
          <w:position w:val="1"/>
          <w:sz w:val="20"/>
          <w:szCs w:val="20"/>
        </w:rPr>
        <w:t>式</w:t>
      </w:r>
      <w:r>
        <w:rPr>
          <w:rFonts w:ascii="宋体" w:hAnsi="宋体" w:eastAsia="宋体" w:cs="宋体"/>
          <w:spacing w:val="9"/>
          <w:position w:val="1"/>
          <w:sz w:val="20"/>
          <w:szCs w:val="20"/>
        </w:rPr>
        <w:t>中：</w:t>
      </w:r>
      <w:r>
        <w:rPr>
          <w:rFonts w:ascii="Times New Roman" w:hAnsi="Times New Roman" w:eastAsia="Times New Roman" w:cs="Times New Roman"/>
          <w:spacing w:val="9"/>
          <w:position w:val="1"/>
          <w:sz w:val="20"/>
          <w:szCs w:val="20"/>
        </w:rPr>
        <w:t>Δ</w:t>
      </w:r>
      <w:r>
        <w:rPr>
          <w:rFonts w:ascii="Times New Roman" w:hAnsi="Times New Roman" w:eastAsia="Times New Roman" w:cs="Times New Roman"/>
          <w:position w:val="1"/>
          <w:sz w:val="20"/>
          <w:szCs w:val="20"/>
        </w:rPr>
        <w:t>L</w:t>
      </w:r>
      <w:r>
        <w:rPr>
          <w:rFonts w:ascii="Times New Roman" w:hAnsi="Times New Roman" w:eastAsia="Times New Roman" w:cs="Times New Roman"/>
          <w:spacing w:val="9"/>
          <w:sz w:val="13"/>
          <w:szCs w:val="13"/>
        </w:rPr>
        <w:t>3</w:t>
      </w:r>
      <w:r>
        <w:rPr>
          <w:rFonts w:ascii="Times New Roman" w:hAnsi="Times New Roman" w:eastAsia="Times New Roman" w:cs="Times New Roman"/>
          <w:spacing w:val="9"/>
          <w:position w:val="1"/>
          <w:sz w:val="20"/>
          <w:szCs w:val="20"/>
        </w:rPr>
        <w:t>——</w:t>
      </w:r>
      <w:r>
        <w:rPr>
          <w:rFonts w:ascii="宋体" w:hAnsi="宋体" w:eastAsia="宋体" w:cs="宋体"/>
          <w:spacing w:val="9"/>
          <w:position w:val="1"/>
          <w:sz w:val="20"/>
          <w:szCs w:val="20"/>
        </w:rPr>
        <w:t>两侧建筑物的反射声修正量，</w:t>
      </w:r>
      <w:r>
        <w:rPr>
          <w:rFonts w:ascii="Times New Roman" w:hAnsi="Times New Roman" w:eastAsia="Times New Roman" w:cs="Times New Roman"/>
          <w:position w:val="1"/>
          <w:sz w:val="20"/>
          <w:szCs w:val="20"/>
        </w:rPr>
        <w:t>dB</w:t>
      </w:r>
      <w:r>
        <w:rPr>
          <w:rFonts w:ascii="宋体" w:hAnsi="宋体" w:eastAsia="宋体" w:cs="宋体"/>
          <w:spacing w:val="9"/>
          <w:position w:val="1"/>
          <w:sz w:val="20"/>
          <w:szCs w:val="20"/>
        </w:rPr>
        <w:t>；</w:t>
      </w:r>
    </w:p>
    <w:p>
      <w:pPr>
        <w:spacing w:before="154" w:line="228" w:lineRule="auto"/>
        <w:ind w:left="1000"/>
        <w:rPr>
          <w:rFonts w:ascii="宋体" w:hAnsi="宋体" w:eastAsia="宋体" w:cs="宋体"/>
          <w:sz w:val="20"/>
          <w:szCs w:val="20"/>
        </w:rPr>
      </w:pPr>
      <w:r>
        <w:rPr>
          <w:rFonts w:ascii="Times New Roman" w:hAnsi="Times New Roman" w:eastAsia="Times New Roman" w:cs="Times New Roman"/>
          <w:i/>
          <w:iCs/>
          <w:sz w:val="20"/>
          <w:szCs w:val="20"/>
        </w:rPr>
        <w:t>w</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pacing w:val="8"/>
          <w:sz w:val="20"/>
          <w:szCs w:val="20"/>
        </w:rPr>
        <w:t>——</w:t>
      </w:r>
      <w:r>
        <w:rPr>
          <w:rFonts w:ascii="宋体" w:hAnsi="宋体" w:eastAsia="宋体" w:cs="宋体"/>
          <w:spacing w:val="8"/>
          <w:sz w:val="20"/>
          <w:szCs w:val="20"/>
        </w:rPr>
        <w:t>线路两侧建筑物反射面的间距，</w:t>
      </w:r>
      <w:r>
        <w:rPr>
          <w:rFonts w:ascii="Times New Roman" w:hAnsi="Times New Roman" w:eastAsia="Times New Roman" w:cs="Times New Roman"/>
          <w:sz w:val="20"/>
          <w:szCs w:val="20"/>
        </w:rPr>
        <w:t>m</w:t>
      </w:r>
      <w:r>
        <w:rPr>
          <w:rFonts w:ascii="宋体" w:hAnsi="宋体" w:eastAsia="宋体" w:cs="宋体"/>
          <w:spacing w:val="8"/>
          <w:sz w:val="20"/>
          <w:szCs w:val="20"/>
        </w:rPr>
        <w:t>；</w:t>
      </w:r>
    </w:p>
    <w:p>
      <w:pPr>
        <w:spacing w:before="154" w:line="277" w:lineRule="exact"/>
        <w:ind w:left="1040"/>
        <w:rPr>
          <w:rFonts w:ascii="宋体" w:hAnsi="宋体" w:eastAsia="宋体" w:cs="宋体"/>
          <w:sz w:val="20"/>
          <w:szCs w:val="20"/>
        </w:rPr>
      </w:pPr>
      <w:r>
        <w:rPr>
          <w:rFonts w:ascii="Times New Roman" w:hAnsi="Times New Roman" w:eastAsia="Times New Roman" w:cs="Times New Roman"/>
          <w:i/>
          <w:iCs/>
          <w:position w:val="1"/>
          <w:sz w:val="20"/>
          <w:szCs w:val="20"/>
        </w:rPr>
        <w:t>H</w:t>
      </w:r>
      <w:r>
        <w:rPr>
          <w:rFonts w:ascii="Times New Roman" w:hAnsi="Times New Roman" w:eastAsia="Times New Roman" w:cs="Times New Roman"/>
          <w:sz w:val="13"/>
          <w:szCs w:val="13"/>
        </w:rPr>
        <w:t>b</w:t>
      </w:r>
      <w:r>
        <w:rPr>
          <w:rFonts w:ascii="Times New Roman" w:hAnsi="Times New Roman" w:eastAsia="Times New Roman" w:cs="Times New Roman"/>
          <w:spacing w:val="20"/>
          <w:sz w:val="13"/>
          <w:szCs w:val="13"/>
        </w:rPr>
        <w:t xml:space="preserve"> </w:t>
      </w:r>
      <w:r>
        <w:rPr>
          <w:rFonts w:ascii="Times New Roman" w:hAnsi="Times New Roman" w:eastAsia="Times New Roman" w:cs="Times New Roman"/>
          <w:spacing w:val="20"/>
          <w:position w:val="1"/>
          <w:sz w:val="20"/>
          <w:szCs w:val="20"/>
        </w:rPr>
        <w:t>—</w:t>
      </w:r>
      <w:r>
        <w:rPr>
          <w:rFonts w:ascii="Times New Roman" w:hAnsi="Times New Roman" w:eastAsia="Times New Roman" w:cs="Times New Roman"/>
          <w:spacing w:val="13"/>
          <w:position w:val="1"/>
          <w:sz w:val="20"/>
          <w:szCs w:val="20"/>
        </w:rPr>
        <w:t>—</w:t>
      </w:r>
      <w:r>
        <w:rPr>
          <w:rFonts w:ascii="宋体" w:hAnsi="宋体" w:eastAsia="宋体" w:cs="宋体"/>
          <w:spacing w:val="10"/>
          <w:position w:val="1"/>
          <w:sz w:val="20"/>
          <w:szCs w:val="20"/>
        </w:rPr>
        <w:t>建筑物的平均高度，取线路两侧较低一侧高度平均值代入计算，</w:t>
      </w:r>
      <w:r>
        <w:rPr>
          <w:rFonts w:ascii="Times New Roman" w:hAnsi="Times New Roman" w:eastAsia="Times New Roman" w:cs="Times New Roman"/>
          <w:position w:val="1"/>
          <w:sz w:val="20"/>
          <w:szCs w:val="20"/>
        </w:rPr>
        <w:t>m</w:t>
      </w:r>
      <w:r>
        <w:rPr>
          <w:rFonts w:ascii="宋体" w:hAnsi="宋体" w:eastAsia="宋体" w:cs="宋体"/>
          <w:spacing w:val="10"/>
          <w:position w:val="1"/>
          <w:sz w:val="20"/>
          <w:szCs w:val="20"/>
        </w:rPr>
        <w:t>。</w:t>
      </w:r>
    </w:p>
    <w:p>
      <w:pPr>
        <w:spacing w:before="114" w:line="222" w:lineRule="auto"/>
        <w:outlineLvl w:val="3"/>
        <w:rPr>
          <w:rFonts w:ascii="黑体" w:hAnsi="黑体" w:eastAsia="黑体" w:cs="黑体"/>
          <w:sz w:val="22"/>
          <w:szCs w:val="22"/>
        </w:rPr>
      </w:pPr>
      <w:r>
        <w:rPr>
          <w:rFonts w:ascii="Times New Roman" w:hAnsi="Times New Roman" w:eastAsia="Times New Roman" w:cs="Times New Roman"/>
          <w:spacing w:val="-1"/>
          <w:sz w:val="22"/>
          <w:szCs w:val="22"/>
        </w:rPr>
        <w:t>4.2</w:t>
      </w:r>
      <w:r>
        <w:rPr>
          <w:rFonts w:ascii="Times New Roman" w:hAnsi="Times New Roman" w:eastAsia="Times New Roman" w:cs="Times New Roman"/>
          <w:sz w:val="22"/>
          <w:szCs w:val="22"/>
        </w:rPr>
        <w:t xml:space="preserve">.3    </w:t>
      </w:r>
      <w:r>
        <w:rPr>
          <w:rFonts w:ascii="黑体" w:hAnsi="黑体" w:eastAsia="黑体" w:cs="黑体"/>
          <w:sz w:val="22"/>
          <w:szCs w:val="22"/>
        </w:rPr>
        <w:t>预测参数</w:t>
      </w:r>
    </w:p>
    <w:p>
      <w:pPr>
        <w:spacing w:before="144" w:line="228" w:lineRule="auto"/>
        <w:ind w:left="434"/>
        <w:rPr>
          <w:rFonts w:ascii="宋体" w:hAnsi="宋体" w:eastAsia="宋体" w:cs="宋体"/>
          <w:sz w:val="20"/>
          <w:szCs w:val="20"/>
        </w:rPr>
      </w:pPr>
      <w:r>
        <w:rPr>
          <w:rFonts w:ascii="宋体" w:hAnsi="宋体" w:eastAsia="宋体" w:cs="宋体"/>
          <w:spacing w:val="22"/>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7"/>
          <w:sz w:val="20"/>
          <w:szCs w:val="20"/>
        </w:rPr>
        <w:t>1</w:t>
      </w:r>
      <w:r>
        <w:rPr>
          <w:rFonts w:ascii="宋体" w:hAnsi="宋体" w:eastAsia="宋体" w:cs="宋体"/>
          <w:spacing w:val="17"/>
          <w:sz w:val="20"/>
          <w:szCs w:val="20"/>
          <w14:textOutline w14:w="3795" w14:cap="sq" w14:cmpd="sng">
            <w14:solidFill>
              <w14:srgbClr w14:val="000000"/>
            </w14:solidFill>
            <w14:prstDash w14:val="solid"/>
            <w14:bevel/>
          </w14:textOutline>
        </w:rPr>
        <w:t>)</w:t>
      </w:r>
      <w:r>
        <w:rPr>
          <w:rFonts w:ascii="宋体" w:hAnsi="宋体" w:eastAsia="宋体" w:cs="宋体"/>
          <w:spacing w:val="17"/>
          <w:sz w:val="20"/>
          <w:szCs w:val="20"/>
        </w:rPr>
        <w:t xml:space="preserve"> </w:t>
      </w:r>
      <w:r>
        <w:rPr>
          <w:rFonts w:ascii="宋体" w:hAnsi="宋体" w:eastAsia="宋体" w:cs="宋体"/>
          <w:spacing w:val="17"/>
          <w:sz w:val="20"/>
          <w:szCs w:val="20"/>
          <w14:textOutline w14:w="3795" w14:cap="sq" w14:cmpd="sng">
            <w14:solidFill>
              <w14:srgbClr w14:val="000000"/>
            </w14:solidFill>
            <w14:prstDash w14:val="solid"/>
            <w14:bevel/>
          </w14:textOutline>
        </w:rPr>
        <w:t>车流量预测</w:t>
      </w:r>
    </w:p>
    <w:p>
      <w:pPr>
        <w:spacing w:before="152" w:line="326" w:lineRule="auto"/>
        <w:ind w:left="4" w:right="70" w:firstLine="423"/>
        <w:rPr>
          <w:rFonts w:ascii="宋体" w:hAnsi="宋体" w:eastAsia="宋体" w:cs="宋体"/>
          <w:sz w:val="20"/>
          <w:szCs w:val="20"/>
        </w:rPr>
      </w:pPr>
      <w:r>
        <w:rPr>
          <w:rFonts w:ascii="宋体" w:hAnsi="宋体" w:eastAsia="宋体" w:cs="宋体"/>
          <w:spacing w:val="16"/>
          <w:sz w:val="20"/>
          <w:szCs w:val="20"/>
        </w:rPr>
        <w:t>项目建</w:t>
      </w:r>
      <w:r>
        <w:rPr>
          <w:rFonts w:ascii="宋体" w:hAnsi="宋体" w:eastAsia="宋体" w:cs="宋体"/>
          <w:spacing w:val="10"/>
          <w:sz w:val="20"/>
          <w:szCs w:val="20"/>
        </w:rPr>
        <w:t>成</w:t>
      </w:r>
      <w:r>
        <w:rPr>
          <w:rFonts w:ascii="宋体" w:hAnsi="宋体" w:eastAsia="宋体" w:cs="宋体"/>
          <w:spacing w:val="8"/>
          <w:sz w:val="20"/>
          <w:szCs w:val="20"/>
        </w:rPr>
        <w:t>运营年为</w:t>
      </w:r>
      <w:r>
        <w:rPr>
          <w:rFonts w:ascii="Times New Roman" w:hAnsi="Times New Roman" w:eastAsia="Times New Roman" w:cs="Times New Roman"/>
          <w:spacing w:val="8"/>
          <w:sz w:val="20"/>
          <w:szCs w:val="20"/>
        </w:rPr>
        <w:t>2026</w:t>
      </w:r>
      <w:r>
        <w:rPr>
          <w:rFonts w:ascii="宋体" w:hAnsi="宋体" w:eastAsia="宋体" w:cs="宋体"/>
          <w:spacing w:val="8"/>
          <w:sz w:val="20"/>
          <w:szCs w:val="20"/>
        </w:rPr>
        <w:t>年，预测特征年为</w:t>
      </w:r>
      <w:r>
        <w:rPr>
          <w:rFonts w:ascii="Times New Roman" w:hAnsi="Times New Roman" w:eastAsia="Times New Roman" w:cs="Times New Roman"/>
          <w:spacing w:val="8"/>
          <w:sz w:val="20"/>
          <w:szCs w:val="20"/>
        </w:rPr>
        <w:t>2026</w:t>
      </w:r>
      <w:r>
        <w:rPr>
          <w:rFonts w:ascii="宋体" w:hAnsi="宋体" w:eastAsia="宋体" w:cs="宋体"/>
          <w:spacing w:val="8"/>
          <w:sz w:val="20"/>
          <w:szCs w:val="20"/>
        </w:rPr>
        <w:t>年、</w:t>
      </w:r>
      <w:r>
        <w:rPr>
          <w:rFonts w:ascii="Times New Roman" w:hAnsi="Times New Roman" w:eastAsia="Times New Roman" w:cs="Times New Roman"/>
          <w:spacing w:val="8"/>
          <w:sz w:val="20"/>
          <w:szCs w:val="20"/>
        </w:rPr>
        <w:t>2032</w:t>
      </w:r>
      <w:r>
        <w:rPr>
          <w:rFonts w:ascii="宋体" w:hAnsi="宋体" w:eastAsia="宋体" w:cs="宋体"/>
          <w:spacing w:val="8"/>
          <w:sz w:val="20"/>
          <w:szCs w:val="20"/>
        </w:rPr>
        <w:t>年、</w:t>
      </w:r>
      <w:r>
        <w:rPr>
          <w:rFonts w:ascii="Times New Roman" w:hAnsi="Times New Roman" w:eastAsia="Times New Roman" w:cs="Times New Roman"/>
          <w:spacing w:val="8"/>
          <w:sz w:val="20"/>
          <w:szCs w:val="20"/>
        </w:rPr>
        <w:t>2040</w:t>
      </w:r>
      <w:r>
        <w:rPr>
          <w:rFonts w:ascii="宋体" w:hAnsi="宋体" w:eastAsia="宋体" w:cs="宋体"/>
          <w:spacing w:val="8"/>
          <w:sz w:val="20"/>
          <w:szCs w:val="20"/>
        </w:rPr>
        <w:t>年。根据《达州市高家坝大</w:t>
      </w:r>
      <w:r>
        <w:rPr>
          <w:rFonts w:ascii="宋体" w:hAnsi="宋体" w:eastAsia="宋体" w:cs="宋体"/>
          <w:sz w:val="20"/>
          <w:szCs w:val="20"/>
        </w:rPr>
        <w:t xml:space="preserve"> </w:t>
      </w:r>
      <w:r>
        <w:rPr>
          <w:rFonts w:ascii="宋体" w:hAnsi="宋体" w:eastAsia="宋体" w:cs="宋体"/>
          <w:spacing w:val="12"/>
          <w:sz w:val="20"/>
          <w:szCs w:val="20"/>
        </w:rPr>
        <w:t>桥建设</w:t>
      </w:r>
      <w:r>
        <w:rPr>
          <w:rFonts w:ascii="宋体" w:hAnsi="宋体" w:eastAsia="宋体" w:cs="宋体"/>
          <w:spacing w:val="6"/>
          <w:sz w:val="20"/>
          <w:szCs w:val="20"/>
        </w:rPr>
        <w:t>项目初步设计方案》 ，项目预测交通量</w:t>
      </w:r>
      <w:r>
        <w:rPr>
          <w:rFonts w:ascii="Times New Roman" w:hAnsi="Times New Roman" w:eastAsia="Times New Roman" w:cs="Times New Roman"/>
          <w:spacing w:val="6"/>
          <w:sz w:val="20"/>
          <w:szCs w:val="20"/>
        </w:rPr>
        <w:t>2026</w:t>
      </w:r>
      <w:r>
        <w:rPr>
          <w:rFonts w:ascii="宋体" w:hAnsi="宋体" w:eastAsia="宋体" w:cs="宋体"/>
          <w:spacing w:val="6"/>
          <w:sz w:val="20"/>
          <w:szCs w:val="20"/>
        </w:rPr>
        <w:t>年 (近期) 为</w:t>
      </w:r>
      <w:r>
        <w:rPr>
          <w:rFonts w:ascii="Times New Roman" w:hAnsi="Times New Roman" w:eastAsia="Times New Roman" w:cs="Times New Roman"/>
          <w:spacing w:val="6"/>
          <w:sz w:val="20"/>
          <w:szCs w:val="20"/>
        </w:rPr>
        <w:t>10253</w:t>
      </w:r>
      <w:r>
        <w:rPr>
          <w:rFonts w:ascii="Times New Roman" w:hAnsi="Times New Roman" w:eastAsia="Times New Roman" w:cs="Times New Roman"/>
          <w:sz w:val="20"/>
          <w:szCs w:val="20"/>
        </w:rPr>
        <w:t>pcu</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d</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w:t>
      </w:r>
      <w:r>
        <w:rPr>
          <w:rFonts w:ascii="Times New Roman" w:hAnsi="Times New Roman" w:eastAsia="Times New Roman" w:cs="Times New Roman"/>
          <w:spacing w:val="6"/>
          <w:sz w:val="20"/>
          <w:szCs w:val="20"/>
        </w:rPr>
        <w:t>2032</w:t>
      </w:r>
      <w:r>
        <w:rPr>
          <w:rFonts w:ascii="宋体" w:hAnsi="宋体" w:eastAsia="宋体" w:cs="宋体"/>
          <w:spacing w:val="6"/>
          <w:sz w:val="20"/>
          <w:szCs w:val="20"/>
        </w:rPr>
        <w:t>年 (中期) 为</w:t>
      </w:r>
      <w:r>
        <w:rPr>
          <w:rFonts w:ascii="宋体" w:hAnsi="宋体" w:eastAsia="宋体" w:cs="宋体"/>
          <w:sz w:val="20"/>
          <w:szCs w:val="20"/>
        </w:rPr>
        <w:t xml:space="preserve"> </w:t>
      </w:r>
      <w:r>
        <w:rPr>
          <w:rFonts w:ascii="Times New Roman" w:hAnsi="Times New Roman" w:eastAsia="Times New Roman" w:cs="Times New Roman"/>
          <w:spacing w:val="8"/>
          <w:sz w:val="20"/>
          <w:szCs w:val="20"/>
        </w:rPr>
        <w:t>1399</w:t>
      </w:r>
      <w:r>
        <w:rPr>
          <w:rFonts w:ascii="Times New Roman" w:hAnsi="Times New Roman" w:eastAsia="Times New Roman" w:cs="Times New Roman"/>
          <w:spacing w:val="5"/>
          <w:sz w:val="20"/>
          <w:szCs w:val="20"/>
        </w:rPr>
        <w:t>5</w:t>
      </w:r>
      <w:r>
        <w:rPr>
          <w:rFonts w:ascii="Times New Roman" w:hAnsi="Times New Roman" w:eastAsia="Times New Roman" w:cs="Times New Roman"/>
          <w:sz w:val="20"/>
          <w:szCs w:val="20"/>
        </w:rPr>
        <w:t>pcu</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d</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pacing w:val="4"/>
          <w:sz w:val="20"/>
          <w:szCs w:val="20"/>
        </w:rPr>
        <w:t>2040</w:t>
      </w:r>
      <w:r>
        <w:rPr>
          <w:rFonts w:ascii="宋体" w:hAnsi="宋体" w:eastAsia="宋体" w:cs="宋体"/>
          <w:spacing w:val="4"/>
          <w:sz w:val="20"/>
          <w:szCs w:val="20"/>
        </w:rPr>
        <w:t>年 (远期) 为</w:t>
      </w:r>
      <w:r>
        <w:rPr>
          <w:rFonts w:ascii="Times New Roman" w:hAnsi="Times New Roman" w:eastAsia="Times New Roman" w:cs="Times New Roman"/>
          <w:spacing w:val="4"/>
          <w:sz w:val="20"/>
          <w:szCs w:val="20"/>
        </w:rPr>
        <w:t>16346</w:t>
      </w:r>
      <w:r>
        <w:rPr>
          <w:rFonts w:ascii="Times New Roman" w:hAnsi="Times New Roman" w:eastAsia="Times New Roman" w:cs="Times New Roman"/>
          <w:sz w:val="20"/>
          <w:szCs w:val="20"/>
        </w:rPr>
        <w:t>pcud</w:t>
      </w:r>
      <w:r>
        <w:rPr>
          <w:rFonts w:ascii="宋体" w:hAnsi="宋体" w:eastAsia="宋体" w:cs="宋体"/>
          <w:spacing w:val="4"/>
          <w:sz w:val="20"/>
          <w:szCs w:val="20"/>
        </w:rPr>
        <w:t>。</w:t>
      </w:r>
    </w:p>
    <w:p>
      <w:pPr>
        <w:spacing w:before="53" w:line="267" w:lineRule="exact"/>
        <w:ind w:left="2707"/>
        <w:rPr>
          <w:rFonts w:ascii="黑体" w:hAnsi="黑体" w:eastAsia="黑体" w:cs="黑体"/>
          <w:sz w:val="19"/>
          <w:szCs w:val="19"/>
        </w:rPr>
      </w:pPr>
      <w:r>
        <w:rPr>
          <w:rFonts w:ascii="黑体" w:hAnsi="黑体" w:eastAsia="黑体" w:cs="黑体"/>
          <w:spacing w:val="10"/>
          <w:position w:val="2"/>
          <w:sz w:val="19"/>
          <w:szCs w:val="19"/>
        </w:rPr>
        <w:t>表</w:t>
      </w:r>
      <w:r>
        <w:rPr>
          <w:rFonts w:ascii="Times New Roman" w:hAnsi="Times New Roman" w:eastAsia="Times New Roman" w:cs="Times New Roman"/>
          <w:spacing w:val="7"/>
          <w:position w:val="2"/>
          <w:sz w:val="19"/>
          <w:szCs w:val="19"/>
        </w:rPr>
        <w:t xml:space="preserve">18    </w:t>
      </w:r>
      <w:r>
        <w:rPr>
          <w:rFonts w:ascii="黑体" w:hAnsi="黑体" w:eastAsia="黑体" w:cs="黑体"/>
          <w:spacing w:val="7"/>
          <w:position w:val="2"/>
          <w:sz w:val="19"/>
          <w:szCs w:val="19"/>
        </w:rPr>
        <w:t>交通量预测结果 (单位：</w:t>
      </w:r>
      <w:r>
        <w:rPr>
          <w:rFonts w:ascii="Times New Roman" w:hAnsi="Times New Roman" w:eastAsia="Times New Roman" w:cs="Times New Roman"/>
          <w:position w:val="2"/>
          <w:sz w:val="19"/>
          <w:szCs w:val="19"/>
        </w:rPr>
        <w:t>pcu</w:t>
      </w:r>
      <w:r>
        <w:rPr>
          <w:rFonts w:ascii="Times New Roman" w:hAnsi="Times New Roman" w:eastAsia="Times New Roman" w:cs="Times New Roman"/>
          <w:spacing w:val="7"/>
          <w:position w:val="2"/>
          <w:sz w:val="19"/>
          <w:szCs w:val="19"/>
        </w:rPr>
        <w:t>/</w:t>
      </w:r>
      <w:r>
        <w:rPr>
          <w:rFonts w:ascii="Times New Roman" w:hAnsi="Times New Roman" w:eastAsia="Times New Roman" w:cs="Times New Roman"/>
          <w:position w:val="2"/>
          <w:sz w:val="19"/>
          <w:szCs w:val="19"/>
        </w:rPr>
        <w:t>d</w:t>
      </w:r>
      <w:r>
        <w:rPr>
          <w:rFonts w:ascii="黑体" w:hAnsi="黑体" w:eastAsia="黑体" w:cs="黑体"/>
          <w:spacing w:val="7"/>
          <w:position w:val="2"/>
          <w:sz w:val="19"/>
          <w:szCs w:val="19"/>
        </w:rPr>
        <w:t>)</w:t>
      </w:r>
    </w:p>
    <w:p>
      <w:pPr>
        <w:spacing w:line="29" w:lineRule="auto"/>
        <w:rPr>
          <w:rFonts w:ascii="Arial"/>
          <w:sz w:val="2"/>
        </w:rPr>
      </w:pPr>
    </w:p>
    <w:tbl>
      <w:tblPr>
        <w:tblStyle w:val="4"/>
        <w:tblW w:w="8482" w:type="dxa"/>
        <w:tblInd w:w="17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6"/>
        <w:gridCol w:w="2390"/>
        <w:gridCol w:w="1491"/>
        <w:gridCol w:w="1489"/>
        <w:gridCol w:w="14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4006" w:type="dxa"/>
            <w:gridSpan w:val="2"/>
            <w:vAlign w:val="top"/>
          </w:tcPr>
          <w:p>
            <w:pPr>
              <w:spacing w:before="75" w:line="230" w:lineRule="auto"/>
              <w:ind w:left="1709"/>
              <w:rPr>
                <w:rFonts w:ascii="宋体" w:hAnsi="宋体" w:eastAsia="宋体" w:cs="宋体"/>
                <w:sz w:val="17"/>
                <w:szCs w:val="17"/>
              </w:rPr>
            </w:pPr>
            <w:r>
              <w:rPr>
                <w:rFonts w:ascii="宋体" w:hAnsi="宋体" w:eastAsia="宋体" w:cs="宋体"/>
                <w:spacing w:val="21"/>
                <w:sz w:val="17"/>
                <w:szCs w:val="17"/>
                <w14:textOutline w14:w="3268" w14:cap="sq" w14:cmpd="sng">
                  <w14:solidFill>
                    <w14:srgbClr w14:val="000000"/>
                  </w14:solidFill>
                  <w14:prstDash w14:val="solid"/>
                  <w14:bevel/>
                </w14:textOutline>
              </w:rPr>
              <w:t>路</w:t>
            </w:r>
            <w:r>
              <w:rPr>
                <w:rFonts w:ascii="宋体" w:hAnsi="宋体" w:eastAsia="宋体" w:cs="宋体"/>
                <w:spacing w:val="20"/>
                <w:sz w:val="17"/>
                <w:szCs w:val="17"/>
              </w:rPr>
              <w:t xml:space="preserve">  </w:t>
            </w:r>
            <w:r>
              <w:rPr>
                <w:rFonts w:ascii="宋体" w:hAnsi="宋体" w:eastAsia="宋体" w:cs="宋体"/>
                <w:spacing w:val="20"/>
                <w:sz w:val="17"/>
                <w:szCs w:val="17"/>
                <w14:textOutline w14:w="3268" w14:cap="sq" w14:cmpd="sng">
                  <w14:solidFill>
                    <w14:srgbClr w14:val="000000"/>
                  </w14:solidFill>
                  <w14:prstDash w14:val="solid"/>
                  <w14:bevel/>
                </w14:textOutline>
              </w:rPr>
              <w:t>段</w:t>
            </w:r>
          </w:p>
        </w:tc>
        <w:tc>
          <w:tcPr>
            <w:tcW w:w="1491" w:type="dxa"/>
            <w:vAlign w:val="top"/>
          </w:tcPr>
          <w:p>
            <w:pPr>
              <w:spacing w:before="75" w:line="230" w:lineRule="auto"/>
              <w:ind w:left="454"/>
              <w:rPr>
                <w:rFonts w:ascii="宋体" w:hAnsi="宋体" w:eastAsia="宋体" w:cs="宋体"/>
                <w:sz w:val="17"/>
                <w:szCs w:val="17"/>
              </w:rPr>
            </w:pPr>
            <w:r>
              <w:rPr>
                <w:rFonts w:ascii="Times New Roman" w:hAnsi="Times New Roman" w:eastAsia="Times New Roman" w:cs="Times New Roman"/>
                <w:b/>
                <w:bCs/>
                <w:spacing w:val="8"/>
                <w:sz w:val="17"/>
                <w:szCs w:val="17"/>
              </w:rPr>
              <w:t>2</w:t>
            </w:r>
            <w:r>
              <w:rPr>
                <w:rFonts w:ascii="Times New Roman" w:hAnsi="Times New Roman" w:eastAsia="Times New Roman" w:cs="Times New Roman"/>
                <w:b/>
                <w:bCs/>
                <w:spacing w:val="4"/>
                <w:sz w:val="17"/>
                <w:szCs w:val="17"/>
              </w:rPr>
              <w:t>026</w:t>
            </w:r>
            <w:r>
              <w:rPr>
                <w:rFonts w:ascii="Times New Roman" w:hAnsi="Times New Roman" w:eastAsia="Times New Roman" w:cs="Times New Roman"/>
                <w:spacing w:val="4"/>
                <w:sz w:val="17"/>
                <w:szCs w:val="17"/>
              </w:rPr>
              <w:t xml:space="preserve"> </w:t>
            </w:r>
            <w:r>
              <w:rPr>
                <w:rFonts w:ascii="宋体" w:hAnsi="宋体" w:eastAsia="宋体" w:cs="宋体"/>
                <w:spacing w:val="4"/>
                <w:sz w:val="17"/>
                <w:szCs w:val="17"/>
                <w14:textOutline w14:w="3268" w14:cap="sq" w14:cmpd="sng">
                  <w14:solidFill>
                    <w14:srgbClr w14:val="000000"/>
                  </w14:solidFill>
                  <w14:prstDash w14:val="solid"/>
                  <w14:bevel/>
                </w14:textOutline>
              </w:rPr>
              <w:t>年</w:t>
            </w:r>
          </w:p>
        </w:tc>
        <w:tc>
          <w:tcPr>
            <w:tcW w:w="1489" w:type="dxa"/>
            <w:vAlign w:val="top"/>
          </w:tcPr>
          <w:p>
            <w:pPr>
              <w:spacing w:before="75" w:line="230" w:lineRule="auto"/>
              <w:ind w:left="453"/>
              <w:rPr>
                <w:rFonts w:ascii="宋体" w:hAnsi="宋体" w:eastAsia="宋体" w:cs="宋体"/>
                <w:sz w:val="17"/>
                <w:szCs w:val="17"/>
              </w:rPr>
            </w:pPr>
            <w:r>
              <w:rPr>
                <w:rFonts w:ascii="Times New Roman" w:hAnsi="Times New Roman" w:eastAsia="Times New Roman" w:cs="Times New Roman"/>
                <w:b/>
                <w:bCs/>
                <w:spacing w:val="8"/>
                <w:sz w:val="17"/>
                <w:szCs w:val="17"/>
              </w:rPr>
              <w:t>2</w:t>
            </w:r>
            <w:r>
              <w:rPr>
                <w:rFonts w:ascii="Times New Roman" w:hAnsi="Times New Roman" w:eastAsia="Times New Roman" w:cs="Times New Roman"/>
                <w:b/>
                <w:bCs/>
                <w:spacing w:val="4"/>
                <w:sz w:val="17"/>
                <w:szCs w:val="17"/>
              </w:rPr>
              <w:t>032</w:t>
            </w:r>
            <w:r>
              <w:rPr>
                <w:rFonts w:ascii="Times New Roman" w:hAnsi="Times New Roman" w:eastAsia="Times New Roman" w:cs="Times New Roman"/>
                <w:spacing w:val="4"/>
                <w:sz w:val="17"/>
                <w:szCs w:val="17"/>
              </w:rPr>
              <w:t xml:space="preserve"> </w:t>
            </w:r>
            <w:r>
              <w:rPr>
                <w:rFonts w:ascii="宋体" w:hAnsi="宋体" w:eastAsia="宋体" w:cs="宋体"/>
                <w:spacing w:val="4"/>
                <w:sz w:val="17"/>
                <w:szCs w:val="17"/>
                <w14:textOutline w14:w="3268" w14:cap="sq" w14:cmpd="sng">
                  <w14:solidFill>
                    <w14:srgbClr w14:val="000000"/>
                  </w14:solidFill>
                  <w14:prstDash w14:val="solid"/>
                  <w14:bevel/>
                </w14:textOutline>
              </w:rPr>
              <w:t>年</w:t>
            </w:r>
          </w:p>
        </w:tc>
        <w:tc>
          <w:tcPr>
            <w:tcW w:w="1496" w:type="dxa"/>
            <w:vAlign w:val="top"/>
          </w:tcPr>
          <w:p>
            <w:pPr>
              <w:spacing w:before="75" w:line="230" w:lineRule="auto"/>
              <w:ind w:left="457"/>
              <w:rPr>
                <w:rFonts w:ascii="宋体" w:hAnsi="宋体" w:eastAsia="宋体" w:cs="宋体"/>
                <w:sz w:val="17"/>
                <w:szCs w:val="17"/>
              </w:rPr>
            </w:pPr>
            <w:r>
              <w:rPr>
                <w:rFonts w:ascii="Times New Roman" w:hAnsi="Times New Roman" w:eastAsia="Times New Roman" w:cs="Times New Roman"/>
                <w:b/>
                <w:bCs/>
                <w:spacing w:val="6"/>
                <w:sz w:val="17"/>
                <w:szCs w:val="17"/>
              </w:rPr>
              <w:t>2</w:t>
            </w:r>
            <w:r>
              <w:rPr>
                <w:rFonts w:ascii="Times New Roman" w:hAnsi="Times New Roman" w:eastAsia="Times New Roman" w:cs="Times New Roman"/>
                <w:b/>
                <w:bCs/>
                <w:spacing w:val="4"/>
                <w:sz w:val="17"/>
                <w:szCs w:val="17"/>
              </w:rPr>
              <w:t>040</w:t>
            </w:r>
            <w:r>
              <w:rPr>
                <w:rFonts w:ascii="Times New Roman" w:hAnsi="Times New Roman" w:eastAsia="Times New Roman" w:cs="Times New Roman"/>
                <w:spacing w:val="4"/>
                <w:sz w:val="17"/>
                <w:szCs w:val="17"/>
              </w:rPr>
              <w:t xml:space="preserve"> </w:t>
            </w:r>
            <w:r>
              <w:rPr>
                <w:rFonts w:ascii="宋体" w:hAnsi="宋体" w:eastAsia="宋体" w:cs="宋体"/>
                <w:spacing w:val="4"/>
                <w:sz w:val="17"/>
                <w:szCs w:val="17"/>
                <w14:textOutline w14:w="3268" w14:cap="sq" w14:cmpd="sng">
                  <w14:solidFill>
                    <w14:srgbClr w14:val="000000"/>
                  </w14:solidFill>
                  <w14:prstDash w14:val="solid"/>
                  <w14:bevel/>
                </w14:textOutline>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616" w:type="dxa"/>
            <w:vMerge w:val="restart"/>
            <w:tcBorders>
              <w:bottom w:val="nil"/>
            </w:tcBorders>
            <w:vAlign w:val="top"/>
          </w:tcPr>
          <w:p>
            <w:pPr>
              <w:spacing w:before="96" w:line="296" w:lineRule="exact"/>
              <w:ind w:left="540"/>
              <w:rPr>
                <w:rFonts w:ascii="宋体" w:hAnsi="宋体" w:eastAsia="宋体" w:cs="宋体"/>
                <w:sz w:val="17"/>
                <w:szCs w:val="17"/>
              </w:rPr>
            </w:pPr>
            <w:r>
              <w:rPr>
                <w:rFonts w:ascii="宋体" w:hAnsi="宋体" w:eastAsia="宋体" w:cs="宋体"/>
                <w:spacing w:val="8"/>
                <w:position w:val="9"/>
                <w:sz w:val="17"/>
                <w:szCs w:val="17"/>
              </w:rPr>
              <w:t>达州</w:t>
            </w:r>
            <w:r>
              <w:rPr>
                <w:rFonts w:ascii="宋体" w:hAnsi="宋体" w:eastAsia="宋体" w:cs="宋体"/>
                <w:spacing w:val="7"/>
                <w:position w:val="9"/>
                <w:sz w:val="17"/>
                <w:szCs w:val="17"/>
              </w:rPr>
              <w:t>市</w:t>
            </w:r>
          </w:p>
          <w:p>
            <w:pPr>
              <w:spacing w:line="230" w:lineRule="auto"/>
              <w:ind w:left="366"/>
              <w:rPr>
                <w:rFonts w:ascii="宋体" w:hAnsi="宋体" w:eastAsia="宋体" w:cs="宋体"/>
                <w:sz w:val="17"/>
                <w:szCs w:val="17"/>
              </w:rPr>
            </w:pPr>
            <w:r>
              <w:rPr>
                <w:rFonts w:ascii="宋体" w:hAnsi="宋体" w:eastAsia="宋体" w:cs="宋体"/>
                <w:spacing w:val="10"/>
                <w:sz w:val="17"/>
                <w:szCs w:val="17"/>
              </w:rPr>
              <w:t>高</w:t>
            </w:r>
            <w:r>
              <w:rPr>
                <w:rFonts w:ascii="宋体" w:hAnsi="宋体" w:eastAsia="宋体" w:cs="宋体"/>
                <w:spacing w:val="7"/>
                <w:sz w:val="17"/>
                <w:szCs w:val="17"/>
              </w:rPr>
              <w:t>家坝大桥</w:t>
            </w:r>
          </w:p>
        </w:tc>
        <w:tc>
          <w:tcPr>
            <w:tcW w:w="2390" w:type="dxa"/>
            <w:vAlign w:val="top"/>
          </w:tcPr>
          <w:p>
            <w:pPr>
              <w:spacing w:before="38" w:line="242" w:lineRule="exact"/>
              <w:ind w:left="639"/>
              <w:rPr>
                <w:rFonts w:ascii="宋体" w:hAnsi="宋体" w:eastAsia="宋体" w:cs="宋体"/>
                <w:sz w:val="17"/>
                <w:szCs w:val="17"/>
              </w:rPr>
            </w:pPr>
            <w:r>
              <w:rPr>
                <w:rFonts w:ascii="宋体" w:hAnsi="宋体" w:eastAsia="宋体" w:cs="宋体"/>
                <w:spacing w:val="10"/>
                <w:position w:val="2"/>
                <w:sz w:val="17"/>
                <w:szCs w:val="17"/>
              </w:rPr>
              <w:t>全</w:t>
            </w:r>
            <w:r>
              <w:rPr>
                <w:rFonts w:ascii="宋体" w:hAnsi="宋体" w:eastAsia="宋体" w:cs="宋体"/>
                <w:spacing w:val="7"/>
                <w:position w:val="2"/>
                <w:sz w:val="17"/>
                <w:szCs w:val="17"/>
              </w:rPr>
              <w:t>天 (</w:t>
            </w:r>
            <w:r>
              <w:rPr>
                <w:rFonts w:ascii="Times New Roman" w:hAnsi="Times New Roman" w:eastAsia="Times New Roman" w:cs="Times New Roman"/>
                <w:position w:val="2"/>
                <w:sz w:val="17"/>
                <w:szCs w:val="17"/>
              </w:rPr>
              <w:t>pcu</w:t>
            </w:r>
            <w:r>
              <w:rPr>
                <w:rFonts w:ascii="Times New Roman" w:hAnsi="Times New Roman" w:eastAsia="Times New Roman" w:cs="Times New Roman"/>
                <w:spacing w:val="7"/>
                <w:position w:val="2"/>
                <w:sz w:val="17"/>
                <w:szCs w:val="17"/>
              </w:rPr>
              <w:t>/</w:t>
            </w:r>
            <w:r>
              <w:rPr>
                <w:rFonts w:ascii="Times New Roman" w:hAnsi="Times New Roman" w:eastAsia="Times New Roman" w:cs="Times New Roman"/>
                <w:position w:val="2"/>
                <w:sz w:val="17"/>
                <w:szCs w:val="17"/>
              </w:rPr>
              <w:t>d</w:t>
            </w:r>
            <w:r>
              <w:rPr>
                <w:rFonts w:ascii="宋体" w:hAnsi="宋体" w:eastAsia="宋体" w:cs="宋体"/>
                <w:spacing w:val="7"/>
                <w:position w:val="2"/>
                <w:sz w:val="17"/>
                <w:szCs w:val="17"/>
              </w:rPr>
              <w:t>)</w:t>
            </w:r>
          </w:p>
        </w:tc>
        <w:tc>
          <w:tcPr>
            <w:tcW w:w="1491" w:type="dxa"/>
            <w:vAlign w:val="top"/>
          </w:tcPr>
          <w:p>
            <w:pPr>
              <w:spacing w:before="101" w:line="197" w:lineRule="auto"/>
              <w:ind w:left="54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102</w:t>
            </w:r>
            <w:r>
              <w:rPr>
                <w:rFonts w:ascii="Times New Roman" w:hAnsi="Times New Roman" w:eastAsia="Times New Roman" w:cs="Times New Roman"/>
                <w:sz w:val="17"/>
                <w:szCs w:val="17"/>
              </w:rPr>
              <w:t>53</w:t>
            </w:r>
          </w:p>
        </w:tc>
        <w:tc>
          <w:tcPr>
            <w:tcW w:w="1489" w:type="dxa"/>
            <w:vAlign w:val="top"/>
          </w:tcPr>
          <w:p>
            <w:pPr>
              <w:spacing w:before="101" w:line="197" w:lineRule="auto"/>
              <w:ind w:left="54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139</w:t>
            </w:r>
            <w:r>
              <w:rPr>
                <w:rFonts w:ascii="Times New Roman" w:hAnsi="Times New Roman" w:eastAsia="Times New Roman" w:cs="Times New Roman"/>
                <w:sz w:val="17"/>
                <w:szCs w:val="17"/>
              </w:rPr>
              <w:t>95</w:t>
            </w:r>
          </w:p>
        </w:tc>
        <w:tc>
          <w:tcPr>
            <w:tcW w:w="1496" w:type="dxa"/>
            <w:vAlign w:val="top"/>
          </w:tcPr>
          <w:p>
            <w:pPr>
              <w:spacing w:before="101" w:line="197" w:lineRule="auto"/>
              <w:ind w:left="541"/>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163</w:t>
            </w:r>
            <w:r>
              <w:rPr>
                <w:rFonts w:ascii="Times New Roman" w:hAnsi="Times New Roman" w:eastAsia="Times New Roman" w:cs="Times New Roman"/>
                <w:sz w:val="17"/>
                <w:szCs w:val="17"/>
              </w:rPr>
              <w:t>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616" w:type="dxa"/>
            <w:vMerge w:val="continue"/>
            <w:tcBorders>
              <w:top w:val="nil"/>
            </w:tcBorders>
            <w:vAlign w:val="top"/>
          </w:tcPr>
          <w:p>
            <w:pPr>
              <w:rPr>
                <w:rFonts w:ascii="Arial"/>
                <w:sz w:val="21"/>
              </w:rPr>
            </w:pPr>
          </w:p>
        </w:tc>
        <w:tc>
          <w:tcPr>
            <w:tcW w:w="2390" w:type="dxa"/>
            <w:vAlign w:val="top"/>
          </w:tcPr>
          <w:p>
            <w:pPr>
              <w:spacing w:before="50" w:line="242" w:lineRule="exact"/>
              <w:ind w:left="464"/>
              <w:rPr>
                <w:rFonts w:ascii="宋体" w:hAnsi="宋体" w:eastAsia="宋体" w:cs="宋体"/>
                <w:sz w:val="17"/>
                <w:szCs w:val="17"/>
              </w:rPr>
            </w:pPr>
            <w:r>
              <w:rPr>
                <w:rFonts w:ascii="宋体" w:hAnsi="宋体" w:eastAsia="宋体" w:cs="宋体"/>
                <w:spacing w:val="10"/>
                <w:position w:val="2"/>
                <w:sz w:val="17"/>
                <w:szCs w:val="17"/>
              </w:rPr>
              <w:t>高</w:t>
            </w:r>
            <w:r>
              <w:rPr>
                <w:rFonts w:ascii="宋体" w:hAnsi="宋体" w:eastAsia="宋体" w:cs="宋体"/>
                <w:spacing w:val="7"/>
                <w:position w:val="2"/>
                <w:sz w:val="17"/>
                <w:szCs w:val="17"/>
              </w:rPr>
              <w:t>峰小时 (</w:t>
            </w:r>
            <w:r>
              <w:rPr>
                <w:rFonts w:ascii="Times New Roman" w:hAnsi="Times New Roman" w:eastAsia="Times New Roman" w:cs="Times New Roman"/>
                <w:position w:val="2"/>
                <w:sz w:val="17"/>
                <w:szCs w:val="17"/>
              </w:rPr>
              <w:t>pcu</w:t>
            </w:r>
            <w:r>
              <w:rPr>
                <w:rFonts w:ascii="Times New Roman" w:hAnsi="Times New Roman" w:eastAsia="Times New Roman" w:cs="Times New Roman"/>
                <w:spacing w:val="7"/>
                <w:position w:val="2"/>
                <w:sz w:val="17"/>
                <w:szCs w:val="17"/>
              </w:rPr>
              <w:t>/</w:t>
            </w:r>
            <w:r>
              <w:rPr>
                <w:rFonts w:ascii="Times New Roman" w:hAnsi="Times New Roman" w:eastAsia="Times New Roman" w:cs="Times New Roman"/>
                <w:position w:val="2"/>
                <w:sz w:val="17"/>
                <w:szCs w:val="17"/>
              </w:rPr>
              <w:t>h</w:t>
            </w:r>
            <w:r>
              <w:rPr>
                <w:rFonts w:ascii="宋体" w:hAnsi="宋体" w:eastAsia="宋体" w:cs="宋体"/>
                <w:spacing w:val="7"/>
                <w:position w:val="2"/>
                <w:sz w:val="17"/>
                <w:szCs w:val="17"/>
              </w:rPr>
              <w:t>)</w:t>
            </w:r>
          </w:p>
        </w:tc>
        <w:tc>
          <w:tcPr>
            <w:tcW w:w="1491" w:type="dxa"/>
            <w:vAlign w:val="top"/>
          </w:tcPr>
          <w:p>
            <w:pPr>
              <w:spacing w:before="113" w:line="197" w:lineRule="auto"/>
              <w:ind w:left="584"/>
              <w:rPr>
                <w:rFonts w:ascii="Times New Roman" w:hAnsi="Times New Roman" w:eastAsia="Times New Roman" w:cs="Times New Roman"/>
                <w:sz w:val="17"/>
                <w:szCs w:val="17"/>
              </w:rPr>
            </w:pPr>
            <w:r>
              <w:rPr>
                <w:rFonts w:ascii="Times New Roman" w:hAnsi="Times New Roman" w:eastAsia="Times New Roman" w:cs="Times New Roman"/>
                <w:sz w:val="17"/>
                <w:szCs w:val="17"/>
              </w:rPr>
              <w:t>1568</w:t>
            </w:r>
          </w:p>
        </w:tc>
        <w:tc>
          <w:tcPr>
            <w:tcW w:w="1489" w:type="dxa"/>
            <w:vAlign w:val="top"/>
          </w:tcPr>
          <w:p>
            <w:pPr>
              <w:spacing w:before="113" w:line="197" w:lineRule="auto"/>
              <w:ind w:left="56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4"/>
                <w:sz w:val="17"/>
                <w:szCs w:val="17"/>
              </w:rPr>
              <w:t>140</w:t>
            </w:r>
          </w:p>
        </w:tc>
        <w:tc>
          <w:tcPr>
            <w:tcW w:w="1496" w:type="dxa"/>
            <w:vAlign w:val="top"/>
          </w:tcPr>
          <w:p>
            <w:pPr>
              <w:spacing w:before="113" w:line="197" w:lineRule="auto"/>
              <w:ind w:left="56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4"/>
                <w:sz w:val="17"/>
                <w:szCs w:val="17"/>
              </w:rPr>
              <w:t>500</w:t>
            </w:r>
          </w:p>
        </w:tc>
      </w:tr>
    </w:tbl>
    <w:p>
      <w:pPr>
        <w:spacing w:before="141" w:line="228" w:lineRule="auto"/>
        <w:ind w:left="434"/>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5"/>
          <w:sz w:val="20"/>
          <w:szCs w:val="20"/>
        </w:rPr>
        <w:t>2</w:t>
      </w:r>
      <w:r>
        <w:rPr>
          <w:rFonts w:ascii="宋体" w:hAnsi="宋体" w:eastAsia="宋体" w:cs="宋体"/>
          <w:spacing w:val="8"/>
          <w:sz w:val="20"/>
          <w:szCs w:val="20"/>
          <w14:textOutline w14:w="3795" w14:cap="sq" w14:cmpd="sng">
            <w14:solidFill>
              <w14:srgbClr w14:val="000000"/>
            </w14:solidFill>
            <w14:prstDash w14:val="solid"/>
            <w14:bevel/>
          </w14:textOutline>
        </w:rPr>
        <w:t>)</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车型比、</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日昼比及车型与车辆折算系数表</w:t>
      </w:r>
    </w:p>
    <w:p>
      <w:pPr>
        <w:spacing w:before="151" w:line="228" w:lineRule="auto"/>
        <w:ind w:left="424"/>
        <w:rPr>
          <w:rFonts w:ascii="宋体" w:hAnsi="宋体" w:eastAsia="宋体" w:cs="宋体"/>
          <w:sz w:val="20"/>
          <w:szCs w:val="20"/>
        </w:rPr>
      </w:pPr>
      <w:r>
        <w:rPr>
          <w:rFonts w:ascii="宋体" w:hAnsi="宋体" w:eastAsia="宋体" w:cs="宋体"/>
          <w:spacing w:val="7"/>
          <w:sz w:val="20"/>
          <w:szCs w:val="20"/>
        </w:rPr>
        <w:t>根据《达州市高家坝大桥建设项目初步设计方案》，各预测年交通量车型比和昼夜比见下表</w:t>
      </w:r>
      <w:r>
        <w:rPr>
          <w:rFonts w:ascii="宋体" w:hAnsi="宋体" w:eastAsia="宋体" w:cs="宋体"/>
          <w:spacing w:val="4"/>
          <w:sz w:val="20"/>
          <w:szCs w:val="20"/>
        </w:rPr>
        <w:t>。</w:t>
      </w:r>
    </w:p>
    <w:p>
      <w:pPr>
        <w:spacing w:before="100" w:line="227" w:lineRule="auto"/>
        <w:ind w:left="2829"/>
        <w:rPr>
          <w:rFonts w:ascii="黑体" w:hAnsi="黑体" w:eastAsia="黑体" w:cs="黑体"/>
          <w:sz w:val="19"/>
          <w:szCs w:val="19"/>
        </w:rPr>
      </w:pPr>
      <w:r>
        <w:rPr>
          <w:rFonts w:ascii="黑体" w:hAnsi="黑体" w:eastAsia="黑体" w:cs="黑体"/>
          <w:spacing w:val="14"/>
          <w:sz w:val="19"/>
          <w:szCs w:val="19"/>
        </w:rPr>
        <w:t>表</w:t>
      </w:r>
      <w:r>
        <w:rPr>
          <w:rFonts w:ascii="Times New Roman" w:hAnsi="Times New Roman" w:eastAsia="Times New Roman" w:cs="Times New Roman"/>
          <w:spacing w:val="7"/>
          <w:sz w:val="19"/>
          <w:szCs w:val="19"/>
        </w:rPr>
        <w:t xml:space="preserve">19    </w:t>
      </w:r>
      <w:r>
        <w:rPr>
          <w:rFonts w:ascii="黑体" w:hAnsi="黑体" w:eastAsia="黑体" w:cs="黑体"/>
          <w:spacing w:val="7"/>
          <w:sz w:val="19"/>
          <w:szCs w:val="19"/>
        </w:rPr>
        <w:t>预测年交通量车型比和昼夜比</w:t>
      </w:r>
    </w:p>
    <w:tbl>
      <w:tblPr>
        <w:tblStyle w:val="4"/>
        <w:tblW w:w="8563" w:type="dxa"/>
        <w:tblInd w:w="1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40"/>
        <w:gridCol w:w="1728"/>
        <w:gridCol w:w="1338"/>
        <w:gridCol w:w="1384"/>
        <w:gridCol w:w="14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640" w:type="dxa"/>
            <w:vMerge w:val="restart"/>
            <w:tcBorders>
              <w:bottom w:val="nil"/>
              <w:tl2br w:val="single" w:color="000000" w:sz="4" w:space="0"/>
            </w:tcBorders>
            <w:vAlign w:val="top"/>
          </w:tcPr>
          <w:p>
            <w:pPr>
              <w:spacing w:before="109" w:line="231" w:lineRule="auto"/>
              <w:ind w:right="48"/>
              <w:jc w:val="right"/>
              <w:rPr>
                <w:rFonts w:ascii="宋体" w:hAnsi="宋体" w:eastAsia="宋体" w:cs="宋体"/>
                <w:sz w:val="17"/>
                <w:szCs w:val="17"/>
              </w:rPr>
            </w:pPr>
            <w:r>
              <w:rPr>
                <w:rFonts w:ascii="宋体" w:hAnsi="宋体" w:eastAsia="宋体" w:cs="宋体"/>
                <w:spacing w:val="15"/>
                <w:sz w:val="17"/>
                <w:szCs w:val="17"/>
                <w14:textOutline w14:w="3268" w14:cap="sq" w14:cmpd="sng">
                  <w14:solidFill>
                    <w14:srgbClr w14:val="000000"/>
                  </w14:solidFill>
                  <w14:prstDash w14:val="solid"/>
                  <w14:bevel/>
                </w14:textOutline>
              </w:rPr>
              <w:t>项</w:t>
            </w:r>
            <w:r>
              <w:rPr>
                <w:rFonts w:ascii="宋体" w:hAnsi="宋体" w:eastAsia="宋体" w:cs="宋体"/>
                <w:spacing w:val="15"/>
                <w:sz w:val="17"/>
                <w:szCs w:val="17"/>
              </w:rPr>
              <w:t xml:space="preserve"> </w:t>
            </w:r>
            <w:r>
              <w:rPr>
                <w:rFonts w:ascii="宋体" w:hAnsi="宋体" w:eastAsia="宋体" w:cs="宋体"/>
                <w:spacing w:val="15"/>
                <w:sz w:val="17"/>
                <w:szCs w:val="17"/>
                <w14:textOutline w14:w="3268" w14:cap="sq" w14:cmpd="sng">
                  <w14:solidFill>
                    <w14:srgbClr w14:val="000000"/>
                  </w14:solidFill>
                  <w14:prstDash w14:val="solid"/>
                  <w14:bevel/>
                </w14:textOutline>
              </w:rPr>
              <w:t>目</w:t>
            </w:r>
          </w:p>
          <w:p>
            <w:pPr>
              <w:spacing w:before="65" w:line="230" w:lineRule="auto"/>
              <w:ind w:left="87"/>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预测</w:t>
            </w:r>
            <w:r>
              <w:rPr>
                <w:rFonts w:ascii="宋体" w:hAnsi="宋体" w:eastAsia="宋体" w:cs="宋体"/>
                <w:spacing w:val="7"/>
                <w:sz w:val="17"/>
                <w:szCs w:val="17"/>
                <w14:textOutline w14:w="3268" w14:cap="sq" w14:cmpd="sng">
                  <w14:solidFill>
                    <w14:srgbClr w14:val="000000"/>
                  </w14:solidFill>
                  <w14:prstDash w14:val="solid"/>
                  <w14:bevel/>
                </w14:textOutline>
              </w:rPr>
              <w:t>年</w:t>
            </w:r>
          </w:p>
        </w:tc>
        <w:tc>
          <w:tcPr>
            <w:tcW w:w="4450" w:type="dxa"/>
            <w:gridSpan w:val="3"/>
            <w:vAlign w:val="top"/>
          </w:tcPr>
          <w:p>
            <w:pPr>
              <w:spacing w:before="90" w:line="230" w:lineRule="auto"/>
              <w:ind w:left="1959"/>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车型</w:t>
            </w:r>
            <w:r>
              <w:rPr>
                <w:rFonts w:ascii="宋体" w:hAnsi="宋体" w:eastAsia="宋体" w:cs="宋体"/>
                <w:spacing w:val="7"/>
                <w:sz w:val="17"/>
                <w:szCs w:val="17"/>
                <w14:textOutline w14:w="3268" w14:cap="sq" w14:cmpd="sng">
                  <w14:solidFill>
                    <w14:srgbClr w14:val="000000"/>
                  </w14:solidFill>
                  <w14:prstDash w14:val="solid"/>
                  <w14:bevel/>
                </w14:textOutline>
              </w:rPr>
              <w:t>比</w:t>
            </w:r>
          </w:p>
        </w:tc>
        <w:tc>
          <w:tcPr>
            <w:tcW w:w="1473" w:type="dxa"/>
            <w:vMerge w:val="restart"/>
            <w:tcBorders>
              <w:bottom w:val="nil"/>
            </w:tcBorders>
            <w:vAlign w:val="top"/>
          </w:tcPr>
          <w:p>
            <w:pPr>
              <w:spacing w:before="248" w:line="230" w:lineRule="auto"/>
              <w:ind w:left="468"/>
              <w:rPr>
                <w:rFonts w:ascii="宋体" w:hAnsi="宋体" w:eastAsia="宋体" w:cs="宋体"/>
                <w:sz w:val="17"/>
                <w:szCs w:val="17"/>
              </w:rPr>
            </w:pPr>
            <w:r>
              <w:rPr>
                <w:rFonts w:ascii="宋体" w:hAnsi="宋体" w:eastAsia="宋体" w:cs="宋体"/>
                <w:spacing w:val="10"/>
                <w:sz w:val="17"/>
                <w:szCs w:val="17"/>
                <w14:textOutline w14:w="3268" w14:cap="sq" w14:cmpd="sng">
                  <w14:solidFill>
                    <w14:srgbClr w14:val="000000"/>
                  </w14:solidFill>
                  <w14:prstDash w14:val="solid"/>
                  <w14:bevel/>
                </w14:textOutline>
              </w:rPr>
              <w:t>昼</w:t>
            </w:r>
            <w:r>
              <w:rPr>
                <w:rFonts w:ascii="宋体" w:hAnsi="宋体" w:eastAsia="宋体" w:cs="宋体"/>
                <w:spacing w:val="8"/>
                <w:sz w:val="17"/>
                <w:szCs w:val="17"/>
                <w14:textOutline w14:w="3268" w14:cap="sq" w14:cmpd="sng">
                  <w14:solidFill>
                    <w14:srgbClr w14:val="000000"/>
                  </w14:solidFill>
                  <w14:prstDash w14:val="solid"/>
                  <w14:bevel/>
                </w14:textOutline>
              </w:rPr>
              <w:t>夜比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2640" w:type="dxa"/>
            <w:vMerge w:val="continue"/>
            <w:tcBorders>
              <w:top w:val="nil"/>
              <w:tl2br w:val="single" w:color="000000" w:sz="4" w:space="0"/>
            </w:tcBorders>
            <w:vAlign w:val="top"/>
          </w:tcPr>
          <w:p>
            <w:pPr>
              <w:rPr>
                <w:rFonts w:ascii="Arial"/>
                <w:sz w:val="21"/>
              </w:rPr>
            </w:pPr>
          </w:p>
        </w:tc>
        <w:tc>
          <w:tcPr>
            <w:tcW w:w="1728" w:type="dxa"/>
            <w:vAlign w:val="top"/>
          </w:tcPr>
          <w:p>
            <w:pPr>
              <w:spacing w:before="85" w:line="230" w:lineRule="auto"/>
              <w:ind w:left="601"/>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小型</w:t>
            </w:r>
            <w:r>
              <w:rPr>
                <w:rFonts w:ascii="宋体" w:hAnsi="宋体" w:eastAsia="宋体" w:cs="宋体"/>
                <w:spacing w:val="6"/>
                <w:sz w:val="17"/>
                <w:szCs w:val="17"/>
                <w14:textOutline w14:w="3268" w14:cap="sq" w14:cmpd="sng">
                  <w14:solidFill>
                    <w14:srgbClr w14:val="000000"/>
                  </w14:solidFill>
                  <w14:prstDash w14:val="solid"/>
                  <w14:bevel/>
                </w14:textOutline>
              </w:rPr>
              <w:t>车</w:t>
            </w:r>
          </w:p>
        </w:tc>
        <w:tc>
          <w:tcPr>
            <w:tcW w:w="1338" w:type="dxa"/>
            <w:vAlign w:val="top"/>
          </w:tcPr>
          <w:p>
            <w:pPr>
              <w:spacing w:before="85" w:line="230" w:lineRule="auto"/>
              <w:ind w:left="419"/>
              <w:rPr>
                <w:rFonts w:ascii="宋体" w:hAnsi="宋体" w:eastAsia="宋体" w:cs="宋体"/>
                <w:sz w:val="17"/>
                <w:szCs w:val="17"/>
              </w:rPr>
            </w:pPr>
            <w:r>
              <w:rPr>
                <w:rFonts w:ascii="宋体" w:hAnsi="宋体" w:eastAsia="宋体" w:cs="宋体"/>
                <w:spacing w:val="3"/>
                <w:sz w:val="17"/>
                <w:szCs w:val="17"/>
                <w14:textOutline w14:w="3268" w14:cap="sq" w14:cmpd="sng">
                  <w14:solidFill>
                    <w14:srgbClr w14:val="000000"/>
                  </w14:solidFill>
                  <w14:prstDash w14:val="solid"/>
                  <w14:bevel/>
                </w14:textOutline>
              </w:rPr>
              <w:t>中型</w:t>
            </w:r>
            <w:r>
              <w:rPr>
                <w:rFonts w:ascii="宋体" w:hAnsi="宋体" w:eastAsia="宋体" w:cs="宋体"/>
                <w:spacing w:val="2"/>
                <w:sz w:val="17"/>
                <w:szCs w:val="17"/>
                <w14:textOutline w14:w="3268" w14:cap="sq" w14:cmpd="sng">
                  <w14:solidFill>
                    <w14:srgbClr w14:val="000000"/>
                  </w14:solidFill>
                  <w14:prstDash w14:val="solid"/>
                  <w14:bevel/>
                </w14:textOutline>
              </w:rPr>
              <w:t>车</w:t>
            </w:r>
          </w:p>
        </w:tc>
        <w:tc>
          <w:tcPr>
            <w:tcW w:w="1384" w:type="dxa"/>
            <w:vAlign w:val="top"/>
          </w:tcPr>
          <w:p>
            <w:pPr>
              <w:spacing w:before="85" w:line="230" w:lineRule="auto"/>
              <w:ind w:left="429"/>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大</w:t>
            </w:r>
            <w:r>
              <w:rPr>
                <w:rFonts w:ascii="宋体" w:hAnsi="宋体" w:eastAsia="宋体" w:cs="宋体"/>
                <w:spacing w:val="7"/>
                <w:sz w:val="17"/>
                <w:szCs w:val="17"/>
                <w14:textOutline w14:w="3268" w14:cap="sq" w14:cmpd="sng">
                  <w14:solidFill>
                    <w14:srgbClr w14:val="000000"/>
                  </w14:solidFill>
                  <w14:prstDash w14:val="solid"/>
                  <w14:bevel/>
                </w14:textOutline>
              </w:rPr>
              <w:t>型车</w:t>
            </w:r>
          </w:p>
        </w:tc>
        <w:tc>
          <w:tcPr>
            <w:tcW w:w="147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2640" w:type="dxa"/>
            <w:vAlign w:val="top"/>
          </w:tcPr>
          <w:p>
            <w:pPr>
              <w:spacing w:before="87" w:line="230" w:lineRule="auto"/>
              <w:ind w:left="1052"/>
              <w:rPr>
                <w:rFonts w:ascii="宋体" w:hAnsi="宋体" w:eastAsia="宋体" w:cs="宋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026</w:t>
            </w:r>
            <w:r>
              <w:rPr>
                <w:rFonts w:ascii="宋体" w:hAnsi="宋体" w:eastAsia="宋体" w:cs="宋体"/>
                <w:spacing w:val="5"/>
                <w:sz w:val="17"/>
                <w:szCs w:val="17"/>
              </w:rPr>
              <w:t>年</w:t>
            </w:r>
          </w:p>
        </w:tc>
        <w:tc>
          <w:tcPr>
            <w:tcW w:w="1728" w:type="dxa"/>
            <w:vAlign w:val="top"/>
          </w:tcPr>
          <w:p>
            <w:pPr>
              <w:spacing w:before="52" w:line="242" w:lineRule="exact"/>
              <w:ind w:left="585"/>
              <w:rPr>
                <w:rFonts w:ascii="Times New Roman" w:hAnsi="Times New Roman" w:eastAsia="Times New Roman" w:cs="Times New Roman"/>
                <w:sz w:val="17"/>
                <w:szCs w:val="17"/>
              </w:rPr>
            </w:pPr>
            <w:r>
              <w:rPr>
                <w:rFonts w:ascii="Times New Roman" w:hAnsi="Times New Roman" w:eastAsia="Times New Roman" w:cs="Times New Roman"/>
                <w:spacing w:val="8"/>
                <w:position w:val="2"/>
                <w:sz w:val="17"/>
                <w:szCs w:val="17"/>
              </w:rPr>
              <w:t>4</w:t>
            </w:r>
            <w:r>
              <w:rPr>
                <w:rFonts w:ascii="Times New Roman" w:hAnsi="Times New Roman" w:eastAsia="Times New Roman" w:cs="Times New Roman"/>
                <w:spacing w:val="4"/>
                <w:position w:val="2"/>
                <w:sz w:val="17"/>
                <w:szCs w:val="17"/>
              </w:rPr>
              <w:t>3.37%</w:t>
            </w:r>
          </w:p>
        </w:tc>
        <w:tc>
          <w:tcPr>
            <w:tcW w:w="1338" w:type="dxa"/>
            <w:vAlign w:val="top"/>
          </w:tcPr>
          <w:p>
            <w:pPr>
              <w:spacing w:before="52" w:line="242" w:lineRule="exact"/>
              <w:ind w:left="398"/>
              <w:rPr>
                <w:rFonts w:ascii="Times New Roman" w:hAnsi="Times New Roman" w:eastAsia="Times New Roman" w:cs="Times New Roman"/>
                <w:sz w:val="17"/>
                <w:szCs w:val="17"/>
              </w:rPr>
            </w:pPr>
            <w:r>
              <w:rPr>
                <w:rFonts w:ascii="Times New Roman" w:hAnsi="Times New Roman" w:eastAsia="Times New Roman" w:cs="Times New Roman"/>
                <w:spacing w:val="4"/>
                <w:position w:val="2"/>
                <w:sz w:val="17"/>
                <w:szCs w:val="17"/>
              </w:rPr>
              <w:t>33.96%</w:t>
            </w:r>
          </w:p>
        </w:tc>
        <w:tc>
          <w:tcPr>
            <w:tcW w:w="1384" w:type="dxa"/>
            <w:vAlign w:val="top"/>
          </w:tcPr>
          <w:p>
            <w:pPr>
              <w:spacing w:before="52" w:line="242" w:lineRule="exact"/>
              <w:ind w:left="417"/>
              <w:rPr>
                <w:rFonts w:ascii="Times New Roman" w:hAnsi="Times New Roman" w:eastAsia="Times New Roman" w:cs="Times New Roman"/>
                <w:sz w:val="17"/>
                <w:szCs w:val="17"/>
              </w:rPr>
            </w:pPr>
            <w:r>
              <w:rPr>
                <w:rFonts w:ascii="Times New Roman" w:hAnsi="Times New Roman" w:eastAsia="Times New Roman" w:cs="Times New Roman"/>
                <w:spacing w:val="7"/>
                <w:position w:val="2"/>
                <w:sz w:val="17"/>
                <w:szCs w:val="17"/>
              </w:rPr>
              <w:t>2</w:t>
            </w:r>
            <w:r>
              <w:rPr>
                <w:rFonts w:ascii="Times New Roman" w:hAnsi="Times New Roman" w:eastAsia="Times New Roman" w:cs="Times New Roman"/>
                <w:spacing w:val="4"/>
                <w:position w:val="2"/>
                <w:sz w:val="17"/>
                <w:szCs w:val="17"/>
              </w:rPr>
              <w:t>2.67%</w:t>
            </w:r>
          </w:p>
        </w:tc>
        <w:tc>
          <w:tcPr>
            <w:tcW w:w="1473" w:type="dxa"/>
            <w:vMerge w:val="restart"/>
            <w:tcBorders>
              <w:bottom w:val="nil"/>
            </w:tcBorders>
            <w:vAlign w:val="top"/>
          </w:tcPr>
          <w:p>
            <w:pPr>
              <w:spacing w:line="398" w:lineRule="auto"/>
              <w:rPr>
                <w:rFonts w:ascii="Arial"/>
                <w:sz w:val="21"/>
              </w:rPr>
            </w:pPr>
          </w:p>
          <w:p>
            <w:pPr>
              <w:spacing w:before="48" w:line="197" w:lineRule="auto"/>
              <w:ind w:left="62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7</w:t>
            </w:r>
            <w:r>
              <w:rPr>
                <w:rFonts w:ascii="Times New Roman" w:hAnsi="Times New Roman" w:eastAsia="Times New Roman" w:cs="Times New Roman"/>
                <w:spacing w:val="2"/>
                <w:sz w:val="17"/>
                <w:szCs w:val="17"/>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2640" w:type="dxa"/>
            <w:vAlign w:val="top"/>
          </w:tcPr>
          <w:p>
            <w:pPr>
              <w:spacing w:before="87" w:line="230" w:lineRule="auto"/>
              <w:ind w:left="1052"/>
              <w:rPr>
                <w:rFonts w:ascii="宋体" w:hAnsi="宋体" w:eastAsia="宋体" w:cs="宋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032</w:t>
            </w:r>
            <w:r>
              <w:rPr>
                <w:rFonts w:ascii="宋体" w:hAnsi="宋体" w:eastAsia="宋体" w:cs="宋体"/>
                <w:spacing w:val="5"/>
                <w:sz w:val="17"/>
                <w:szCs w:val="17"/>
              </w:rPr>
              <w:t>年</w:t>
            </w:r>
          </w:p>
        </w:tc>
        <w:tc>
          <w:tcPr>
            <w:tcW w:w="1728" w:type="dxa"/>
            <w:vAlign w:val="top"/>
          </w:tcPr>
          <w:p>
            <w:pPr>
              <w:spacing w:before="54" w:line="242" w:lineRule="exact"/>
              <w:ind w:left="585"/>
              <w:rPr>
                <w:rFonts w:ascii="Times New Roman" w:hAnsi="Times New Roman" w:eastAsia="Times New Roman" w:cs="Times New Roman"/>
                <w:sz w:val="17"/>
                <w:szCs w:val="17"/>
              </w:rPr>
            </w:pPr>
            <w:r>
              <w:rPr>
                <w:rFonts w:ascii="Times New Roman" w:hAnsi="Times New Roman" w:eastAsia="Times New Roman" w:cs="Times New Roman"/>
                <w:spacing w:val="8"/>
                <w:position w:val="2"/>
                <w:sz w:val="17"/>
                <w:szCs w:val="17"/>
              </w:rPr>
              <w:t>4</w:t>
            </w:r>
            <w:r>
              <w:rPr>
                <w:rFonts w:ascii="Times New Roman" w:hAnsi="Times New Roman" w:eastAsia="Times New Roman" w:cs="Times New Roman"/>
                <w:spacing w:val="4"/>
                <w:position w:val="2"/>
                <w:sz w:val="17"/>
                <w:szCs w:val="17"/>
              </w:rPr>
              <w:t>7.62%</w:t>
            </w:r>
          </w:p>
        </w:tc>
        <w:tc>
          <w:tcPr>
            <w:tcW w:w="1338" w:type="dxa"/>
            <w:vAlign w:val="top"/>
          </w:tcPr>
          <w:p>
            <w:pPr>
              <w:spacing w:before="54" w:line="242" w:lineRule="exact"/>
              <w:ind w:left="398"/>
              <w:rPr>
                <w:rFonts w:ascii="Times New Roman" w:hAnsi="Times New Roman" w:eastAsia="Times New Roman" w:cs="Times New Roman"/>
                <w:sz w:val="17"/>
                <w:szCs w:val="17"/>
              </w:rPr>
            </w:pPr>
            <w:r>
              <w:rPr>
                <w:rFonts w:ascii="Times New Roman" w:hAnsi="Times New Roman" w:eastAsia="Times New Roman" w:cs="Times New Roman"/>
                <w:spacing w:val="4"/>
                <w:position w:val="2"/>
                <w:sz w:val="17"/>
                <w:szCs w:val="17"/>
              </w:rPr>
              <w:t>30.82%</w:t>
            </w:r>
          </w:p>
        </w:tc>
        <w:tc>
          <w:tcPr>
            <w:tcW w:w="1384" w:type="dxa"/>
            <w:vAlign w:val="top"/>
          </w:tcPr>
          <w:p>
            <w:pPr>
              <w:spacing w:before="54" w:line="242" w:lineRule="exact"/>
              <w:ind w:left="417"/>
              <w:rPr>
                <w:rFonts w:ascii="Times New Roman" w:hAnsi="Times New Roman" w:eastAsia="Times New Roman" w:cs="Times New Roman"/>
                <w:sz w:val="17"/>
                <w:szCs w:val="17"/>
              </w:rPr>
            </w:pPr>
            <w:r>
              <w:rPr>
                <w:rFonts w:ascii="Times New Roman" w:hAnsi="Times New Roman" w:eastAsia="Times New Roman" w:cs="Times New Roman"/>
                <w:spacing w:val="7"/>
                <w:position w:val="2"/>
                <w:sz w:val="17"/>
                <w:szCs w:val="17"/>
              </w:rPr>
              <w:t>2</w:t>
            </w:r>
            <w:r>
              <w:rPr>
                <w:rFonts w:ascii="Times New Roman" w:hAnsi="Times New Roman" w:eastAsia="Times New Roman" w:cs="Times New Roman"/>
                <w:spacing w:val="4"/>
                <w:position w:val="2"/>
                <w:sz w:val="17"/>
                <w:szCs w:val="17"/>
              </w:rPr>
              <w:t>1.56%</w:t>
            </w:r>
          </w:p>
        </w:tc>
        <w:tc>
          <w:tcPr>
            <w:tcW w:w="147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640" w:type="dxa"/>
            <w:vAlign w:val="top"/>
          </w:tcPr>
          <w:p>
            <w:pPr>
              <w:spacing w:before="103" w:line="230" w:lineRule="auto"/>
              <w:ind w:left="1052"/>
              <w:rPr>
                <w:rFonts w:ascii="宋体" w:hAnsi="宋体" w:eastAsia="宋体" w:cs="宋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040</w:t>
            </w:r>
            <w:r>
              <w:rPr>
                <w:rFonts w:ascii="宋体" w:hAnsi="宋体" w:eastAsia="宋体" w:cs="宋体"/>
                <w:spacing w:val="5"/>
                <w:sz w:val="17"/>
                <w:szCs w:val="17"/>
              </w:rPr>
              <w:t>年</w:t>
            </w:r>
          </w:p>
        </w:tc>
        <w:tc>
          <w:tcPr>
            <w:tcW w:w="1728" w:type="dxa"/>
            <w:vAlign w:val="top"/>
          </w:tcPr>
          <w:p>
            <w:pPr>
              <w:spacing w:before="68" w:line="242" w:lineRule="exact"/>
              <w:ind w:left="591"/>
              <w:rPr>
                <w:rFonts w:ascii="Times New Roman" w:hAnsi="Times New Roman" w:eastAsia="Times New Roman" w:cs="Times New Roman"/>
                <w:sz w:val="17"/>
                <w:szCs w:val="17"/>
              </w:rPr>
            </w:pPr>
            <w:r>
              <w:rPr>
                <w:rFonts w:ascii="Times New Roman" w:hAnsi="Times New Roman" w:eastAsia="Times New Roman" w:cs="Times New Roman"/>
                <w:spacing w:val="6"/>
                <w:position w:val="2"/>
                <w:sz w:val="17"/>
                <w:szCs w:val="17"/>
              </w:rPr>
              <w:t>5</w:t>
            </w:r>
            <w:r>
              <w:rPr>
                <w:rFonts w:ascii="Times New Roman" w:hAnsi="Times New Roman" w:eastAsia="Times New Roman" w:cs="Times New Roman"/>
                <w:spacing w:val="4"/>
                <w:position w:val="2"/>
                <w:sz w:val="17"/>
                <w:szCs w:val="17"/>
              </w:rPr>
              <w:t>4</w:t>
            </w:r>
            <w:r>
              <w:rPr>
                <w:rFonts w:ascii="Times New Roman" w:hAnsi="Times New Roman" w:eastAsia="Times New Roman" w:cs="Times New Roman"/>
                <w:spacing w:val="3"/>
                <w:position w:val="2"/>
                <w:sz w:val="17"/>
                <w:szCs w:val="17"/>
              </w:rPr>
              <w:t>.01%</w:t>
            </w:r>
          </w:p>
        </w:tc>
        <w:tc>
          <w:tcPr>
            <w:tcW w:w="1338" w:type="dxa"/>
            <w:vAlign w:val="top"/>
          </w:tcPr>
          <w:p>
            <w:pPr>
              <w:spacing w:before="68" w:line="242" w:lineRule="exact"/>
              <w:ind w:left="394"/>
              <w:rPr>
                <w:rFonts w:ascii="Times New Roman" w:hAnsi="Times New Roman" w:eastAsia="Times New Roman" w:cs="Times New Roman"/>
                <w:sz w:val="17"/>
                <w:szCs w:val="17"/>
              </w:rPr>
            </w:pPr>
            <w:r>
              <w:rPr>
                <w:rFonts w:ascii="Times New Roman" w:hAnsi="Times New Roman" w:eastAsia="Times New Roman" w:cs="Times New Roman"/>
                <w:spacing w:val="7"/>
                <w:position w:val="2"/>
                <w:sz w:val="17"/>
                <w:szCs w:val="17"/>
              </w:rPr>
              <w:t>2</w:t>
            </w:r>
            <w:r>
              <w:rPr>
                <w:rFonts w:ascii="Times New Roman" w:hAnsi="Times New Roman" w:eastAsia="Times New Roman" w:cs="Times New Roman"/>
                <w:spacing w:val="4"/>
                <w:position w:val="2"/>
                <w:sz w:val="17"/>
                <w:szCs w:val="17"/>
              </w:rPr>
              <w:t>7.98%</w:t>
            </w:r>
          </w:p>
        </w:tc>
        <w:tc>
          <w:tcPr>
            <w:tcW w:w="1384" w:type="dxa"/>
            <w:vAlign w:val="top"/>
          </w:tcPr>
          <w:p>
            <w:pPr>
              <w:spacing w:before="68" w:line="242" w:lineRule="exact"/>
              <w:ind w:left="434"/>
              <w:rPr>
                <w:rFonts w:ascii="Times New Roman" w:hAnsi="Times New Roman" w:eastAsia="Times New Roman" w:cs="Times New Roman"/>
                <w:sz w:val="17"/>
                <w:szCs w:val="17"/>
              </w:rPr>
            </w:pPr>
            <w:r>
              <w:rPr>
                <w:rFonts w:ascii="Times New Roman" w:hAnsi="Times New Roman" w:eastAsia="Times New Roman" w:cs="Times New Roman"/>
                <w:spacing w:val="2"/>
                <w:position w:val="2"/>
                <w:sz w:val="17"/>
                <w:szCs w:val="17"/>
              </w:rPr>
              <w:t>18.0</w:t>
            </w:r>
            <w:r>
              <w:rPr>
                <w:rFonts w:ascii="Times New Roman" w:hAnsi="Times New Roman" w:eastAsia="Times New Roman" w:cs="Times New Roman"/>
                <w:spacing w:val="1"/>
                <w:position w:val="2"/>
                <w:sz w:val="17"/>
                <w:szCs w:val="17"/>
              </w:rPr>
              <w:t>1%</w:t>
            </w:r>
          </w:p>
        </w:tc>
        <w:tc>
          <w:tcPr>
            <w:tcW w:w="1473" w:type="dxa"/>
            <w:vMerge w:val="continue"/>
            <w:tcBorders>
              <w:top w:val="nil"/>
            </w:tcBorders>
            <w:vAlign w:val="top"/>
          </w:tcPr>
          <w:p>
            <w:pPr>
              <w:rPr>
                <w:rFonts w:ascii="Arial"/>
                <w:sz w:val="21"/>
              </w:rPr>
            </w:pPr>
          </w:p>
        </w:tc>
      </w:tr>
    </w:tbl>
    <w:p>
      <w:pPr>
        <w:spacing w:before="141" w:line="230" w:lineRule="auto"/>
        <w:ind w:left="434"/>
        <w:rPr>
          <w:rFonts w:ascii="宋体" w:hAnsi="宋体" w:eastAsia="宋体" w:cs="宋体"/>
          <w:sz w:val="20"/>
          <w:szCs w:val="20"/>
        </w:rPr>
      </w:pPr>
      <w:r>
        <w:rPr>
          <w:rFonts w:ascii="宋体" w:hAnsi="宋体" w:eastAsia="宋体" w:cs="宋体"/>
          <w:spacing w:val="2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8"/>
          <w:sz w:val="20"/>
          <w:szCs w:val="20"/>
        </w:rPr>
        <w:t>2</w:t>
      </w: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宋体" w:hAnsi="宋体" w:eastAsia="宋体" w:cs="宋体"/>
          <w:spacing w:val="18"/>
          <w:sz w:val="20"/>
          <w:szCs w:val="20"/>
        </w:rPr>
        <w:t xml:space="preserve"> </w:t>
      </w:r>
      <w:r>
        <w:rPr>
          <w:rFonts w:ascii="宋体" w:hAnsi="宋体" w:eastAsia="宋体" w:cs="宋体"/>
          <w:spacing w:val="18"/>
          <w:sz w:val="20"/>
          <w:szCs w:val="20"/>
          <w14:textOutline w14:w="3795" w14:cap="sq" w14:cmpd="sng">
            <w14:solidFill>
              <w14:srgbClr w14:val="000000"/>
            </w14:solidFill>
            <w14:prstDash w14:val="solid"/>
            <w14:bevel/>
          </w14:textOutline>
        </w:rPr>
        <w:t>源强调查</w:t>
      </w:r>
    </w:p>
    <w:p>
      <w:pPr>
        <w:spacing w:before="149" w:line="228" w:lineRule="auto"/>
        <w:ind w:left="424"/>
        <w:rPr>
          <w:rFonts w:ascii="宋体" w:hAnsi="宋体" w:eastAsia="宋体" w:cs="宋体"/>
          <w:sz w:val="20"/>
          <w:szCs w:val="20"/>
        </w:rPr>
      </w:pPr>
      <w:r>
        <w:rPr>
          <w:rFonts w:ascii="宋体" w:hAnsi="宋体" w:eastAsia="宋体" w:cs="宋体"/>
          <w:spacing w:val="7"/>
          <w:sz w:val="20"/>
          <w:szCs w:val="20"/>
        </w:rPr>
        <w:t>根据《达州市高家坝大桥建设项目初步设计方案》，各预测年交通量车型比和昼夜比见下表</w:t>
      </w:r>
      <w:r>
        <w:rPr>
          <w:rFonts w:ascii="宋体" w:hAnsi="宋体" w:eastAsia="宋体" w:cs="宋体"/>
          <w:spacing w:val="4"/>
          <w:sz w:val="20"/>
          <w:szCs w:val="20"/>
        </w:rPr>
        <w:t>。</w:t>
      </w:r>
    </w:p>
    <w:p>
      <w:pPr>
        <w:sectPr>
          <w:footerReference r:id="rId129" w:type="default"/>
          <w:pgSz w:w="11906" w:h="16839"/>
          <w:pgMar w:top="400" w:right="1462" w:bottom="1027" w:left="1534" w:header="0" w:footer="840" w:gutter="0"/>
          <w:cols w:space="720" w:num="1"/>
        </w:sect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before="62" w:line="226" w:lineRule="auto"/>
        <w:ind w:left="5503"/>
        <w:rPr>
          <w:rFonts w:ascii="黑体" w:hAnsi="黑体" w:eastAsia="黑体" w:cs="黑体"/>
          <w:sz w:val="19"/>
          <w:szCs w:val="19"/>
        </w:rPr>
      </w:pPr>
      <w:r>
        <w:rPr>
          <w:rFonts w:ascii="黑体" w:hAnsi="黑体" w:eastAsia="黑体" w:cs="黑体"/>
          <w:spacing w:val="12"/>
          <w:sz w:val="19"/>
          <w:szCs w:val="19"/>
        </w:rPr>
        <w:t>表</w:t>
      </w:r>
      <w:r>
        <w:rPr>
          <w:rFonts w:ascii="Times New Roman" w:hAnsi="Times New Roman" w:eastAsia="Times New Roman" w:cs="Times New Roman"/>
          <w:spacing w:val="12"/>
          <w:sz w:val="19"/>
          <w:szCs w:val="19"/>
        </w:rPr>
        <w:t>2</w:t>
      </w:r>
      <w:r>
        <w:rPr>
          <w:rFonts w:ascii="Times New Roman" w:hAnsi="Times New Roman" w:eastAsia="Times New Roman" w:cs="Times New Roman"/>
          <w:spacing w:val="6"/>
          <w:sz w:val="19"/>
          <w:szCs w:val="19"/>
        </w:rPr>
        <w:t xml:space="preserve">0    </w:t>
      </w:r>
      <w:r>
        <w:rPr>
          <w:rFonts w:ascii="黑体" w:hAnsi="黑体" w:eastAsia="黑体" w:cs="黑体"/>
          <w:spacing w:val="6"/>
          <w:sz w:val="19"/>
          <w:szCs w:val="19"/>
        </w:rPr>
        <w:t>项目桥梁噪声源强表</w:t>
      </w:r>
    </w:p>
    <w:tbl>
      <w:tblPr>
        <w:tblStyle w:val="4"/>
        <w:tblW w:w="13202" w:type="dxa"/>
        <w:tblInd w:w="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5"/>
        <w:gridCol w:w="775"/>
        <w:gridCol w:w="577"/>
        <w:gridCol w:w="535"/>
        <w:gridCol w:w="577"/>
        <w:gridCol w:w="535"/>
        <w:gridCol w:w="577"/>
        <w:gridCol w:w="535"/>
        <w:gridCol w:w="577"/>
        <w:gridCol w:w="603"/>
        <w:gridCol w:w="528"/>
        <w:gridCol w:w="533"/>
        <w:gridCol w:w="528"/>
        <w:gridCol w:w="533"/>
        <w:gridCol w:w="528"/>
        <w:gridCol w:w="547"/>
        <w:gridCol w:w="681"/>
        <w:gridCol w:w="685"/>
        <w:gridCol w:w="652"/>
        <w:gridCol w:w="636"/>
        <w:gridCol w:w="684"/>
        <w:gridCol w:w="6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735" w:type="dxa"/>
            <w:vMerge w:val="restart"/>
            <w:tcBorders>
              <w:bottom w:val="nil"/>
            </w:tcBorders>
            <w:vAlign w:val="top"/>
          </w:tcPr>
          <w:p>
            <w:pPr>
              <w:spacing w:line="464" w:lineRule="auto"/>
              <w:rPr>
                <w:rFonts w:ascii="Arial"/>
                <w:sz w:val="21"/>
              </w:rPr>
            </w:pPr>
          </w:p>
          <w:p>
            <w:pPr>
              <w:spacing w:before="55" w:line="230" w:lineRule="auto"/>
              <w:ind w:left="192"/>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路</w:t>
            </w:r>
            <w:r>
              <w:rPr>
                <w:rFonts w:ascii="宋体" w:hAnsi="宋体" w:eastAsia="宋体" w:cs="宋体"/>
                <w:spacing w:val="5"/>
                <w:sz w:val="17"/>
                <w:szCs w:val="17"/>
                <w14:textOutline w14:w="3268" w14:cap="sq" w14:cmpd="sng">
                  <w14:solidFill>
                    <w14:srgbClr w14:val="000000"/>
                  </w14:solidFill>
                  <w14:prstDash w14:val="solid"/>
                  <w14:bevel/>
                </w14:textOutline>
              </w:rPr>
              <w:t>段</w:t>
            </w:r>
          </w:p>
        </w:tc>
        <w:tc>
          <w:tcPr>
            <w:tcW w:w="775" w:type="dxa"/>
            <w:vMerge w:val="restart"/>
            <w:tcBorders>
              <w:bottom w:val="nil"/>
            </w:tcBorders>
            <w:vAlign w:val="top"/>
          </w:tcPr>
          <w:p>
            <w:pPr>
              <w:spacing w:line="464" w:lineRule="auto"/>
              <w:rPr>
                <w:rFonts w:ascii="Arial"/>
                <w:sz w:val="21"/>
              </w:rPr>
            </w:pPr>
          </w:p>
          <w:p>
            <w:pPr>
              <w:spacing w:before="55" w:line="231" w:lineRule="auto"/>
              <w:ind w:left="217"/>
              <w:rPr>
                <w:rFonts w:ascii="宋体" w:hAnsi="宋体" w:eastAsia="宋体" w:cs="宋体"/>
                <w:sz w:val="17"/>
                <w:szCs w:val="17"/>
              </w:rPr>
            </w:pPr>
            <w:r>
              <w:rPr>
                <w:rFonts w:ascii="宋体" w:hAnsi="宋体" w:eastAsia="宋体" w:cs="宋体"/>
                <w:spacing w:val="2"/>
                <w:sz w:val="17"/>
                <w:szCs w:val="17"/>
                <w14:textOutline w14:w="3268" w14:cap="sq" w14:cmpd="sng">
                  <w14:solidFill>
                    <w14:srgbClr w14:val="000000"/>
                  </w14:solidFill>
                  <w14:prstDash w14:val="solid"/>
                  <w14:bevel/>
                </w14:textOutline>
              </w:rPr>
              <w:t>时期</w:t>
            </w:r>
          </w:p>
        </w:tc>
        <w:tc>
          <w:tcPr>
            <w:tcW w:w="4516" w:type="dxa"/>
            <w:gridSpan w:val="8"/>
            <w:vAlign w:val="top"/>
          </w:tcPr>
          <w:p>
            <w:pPr>
              <w:spacing w:before="91" w:line="248" w:lineRule="exact"/>
              <w:ind w:left="1742"/>
              <w:rPr>
                <w:rFonts w:ascii="Times New Roman" w:hAnsi="Times New Roman" w:eastAsia="Times New Roman" w:cs="Times New Roman"/>
                <w:sz w:val="17"/>
                <w:szCs w:val="17"/>
              </w:rPr>
            </w:pPr>
            <w:r>
              <w:rPr>
                <w:rFonts w:ascii="宋体" w:hAnsi="宋体" w:eastAsia="宋体" w:cs="宋体"/>
                <w:spacing w:val="6"/>
                <w:position w:val="2"/>
                <w:sz w:val="17"/>
                <w:szCs w:val="17"/>
                <w14:textOutline w14:w="3268" w14:cap="sq" w14:cmpd="sng">
                  <w14:solidFill>
                    <w14:srgbClr w14:val="000000"/>
                  </w14:solidFill>
                  <w14:prstDash w14:val="solid"/>
                  <w14:bevel/>
                </w14:textOutline>
              </w:rPr>
              <w:t>车流量</w:t>
            </w:r>
            <w:r>
              <w:rPr>
                <w:rFonts w:ascii="Times New Roman" w:hAnsi="Times New Roman" w:eastAsia="Times New Roman" w:cs="Times New Roman"/>
                <w:b/>
                <w:bCs/>
                <w:spacing w:val="6"/>
                <w:position w:val="2"/>
                <w:sz w:val="17"/>
                <w:szCs w:val="17"/>
              </w:rPr>
              <w:t>/(</w:t>
            </w:r>
            <w:r>
              <w:rPr>
                <w:rFonts w:ascii="宋体" w:hAnsi="宋体" w:eastAsia="宋体" w:cs="宋体"/>
                <w:spacing w:val="6"/>
                <w:position w:val="2"/>
                <w:sz w:val="17"/>
                <w:szCs w:val="17"/>
                <w14:textOutline w14:w="3268" w14:cap="sq" w14:cmpd="sng">
                  <w14:solidFill>
                    <w14:srgbClr w14:val="000000"/>
                  </w14:solidFill>
                  <w14:prstDash w14:val="solid"/>
                  <w14:bevel/>
                </w14:textOutline>
              </w:rPr>
              <w:t>辆</w:t>
            </w:r>
            <w:r>
              <w:rPr>
                <w:rFonts w:ascii="Times New Roman" w:hAnsi="Times New Roman" w:eastAsia="Times New Roman" w:cs="Times New Roman"/>
                <w:b/>
                <w:bCs/>
                <w:spacing w:val="6"/>
                <w:position w:val="2"/>
                <w:sz w:val="17"/>
                <w:szCs w:val="17"/>
              </w:rPr>
              <w:t>/</w:t>
            </w:r>
            <w:r>
              <w:rPr>
                <w:rFonts w:ascii="Times New Roman" w:hAnsi="Times New Roman" w:eastAsia="Times New Roman" w:cs="Times New Roman"/>
                <w:b/>
                <w:bCs/>
                <w:position w:val="2"/>
                <w:sz w:val="17"/>
                <w:szCs w:val="17"/>
              </w:rPr>
              <w:t>h</w:t>
            </w:r>
            <w:r>
              <w:rPr>
                <w:rFonts w:ascii="Times New Roman" w:hAnsi="Times New Roman" w:eastAsia="Times New Roman" w:cs="Times New Roman"/>
                <w:b/>
                <w:bCs/>
                <w:spacing w:val="6"/>
                <w:position w:val="2"/>
                <w:sz w:val="17"/>
                <w:szCs w:val="17"/>
              </w:rPr>
              <w:t>)</w:t>
            </w:r>
          </w:p>
        </w:tc>
        <w:tc>
          <w:tcPr>
            <w:tcW w:w="3197" w:type="dxa"/>
            <w:gridSpan w:val="6"/>
            <w:vAlign w:val="top"/>
          </w:tcPr>
          <w:p>
            <w:pPr>
              <w:spacing w:before="91" w:line="248" w:lineRule="exact"/>
              <w:ind w:left="1138"/>
              <w:rPr>
                <w:rFonts w:ascii="Times New Roman" w:hAnsi="Times New Roman" w:eastAsia="Times New Roman" w:cs="Times New Roman"/>
                <w:sz w:val="17"/>
                <w:szCs w:val="17"/>
              </w:rPr>
            </w:pPr>
            <w:r>
              <w:rPr>
                <w:rFonts w:ascii="宋体" w:hAnsi="宋体" w:eastAsia="宋体" w:cs="宋体"/>
                <w:spacing w:val="7"/>
                <w:position w:val="2"/>
                <w:sz w:val="17"/>
                <w:szCs w:val="17"/>
                <w14:textOutline w14:w="3268" w14:cap="sq" w14:cmpd="sng">
                  <w14:solidFill>
                    <w14:srgbClr w14:val="000000"/>
                  </w14:solidFill>
                  <w14:prstDash w14:val="solid"/>
                  <w14:bevel/>
                </w14:textOutline>
              </w:rPr>
              <w:t>车速</w:t>
            </w:r>
            <w:r>
              <w:rPr>
                <w:rFonts w:ascii="Times New Roman" w:hAnsi="Times New Roman" w:eastAsia="Times New Roman" w:cs="Times New Roman"/>
                <w:b/>
                <w:bCs/>
                <w:spacing w:val="7"/>
                <w:position w:val="2"/>
                <w:sz w:val="17"/>
                <w:szCs w:val="17"/>
              </w:rPr>
              <w:t>/(</w:t>
            </w:r>
            <w:r>
              <w:rPr>
                <w:rFonts w:ascii="Times New Roman" w:hAnsi="Times New Roman" w:eastAsia="Times New Roman" w:cs="Times New Roman"/>
                <w:b/>
                <w:bCs/>
                <w:position w:val="2"/>
                <w:sz w:val="17"/>
                <w:szCs w:val="17"/>
              </w:rPr>
              <w:t>km</w:t>
            </w:r>
            <w:r>
              <w:rPr>
                <w:rFonts w:ascii="Times New Roman" w:hAnsi="Times New Roman" w:eastAsia="Times New Roman" w:cs="Times New Roman"/>
                <w:b/>
                <w:bCs/>
                <w:spacing w:val="7"/>
                <w:position w:val="2"/>
                <w:sz w:val="17"/>
                <w:szCs w:val="17"/>
              </w:rPr>
              <w:t>/</w:t>
            </w:r>
            <w:r>
              <w:rPr>
                <w:rFonts w:ascii="Times New Roman" w:hAnsi="Times New Roman" w:eastAsia="Times New Roman" w:cs="Times New Roman"/>
                <w:b/>
                <w:bCs/>
                <w:position w:val="2"/>
                <w:sz w:val="17"/>
                <w:szCs w:val="17"/>
              </w:rPr>
              <w:t>h</w:t>
            </w:r>
            <w:r>
              <w:rPr>
                <w:rFonts w:ascii="Times New Roman" w:hAnsi="Times New Roman" w:eastAsia="Times New Roman" w:cs="Times New Roman"/>
                <w:b/>
                <w:bCs/>
                <w:spacing w:val="6"/>
                <w:position w:val="2"/>
                <w:sz w:val="17"/>
                <w:szCs w:val="17"/>
              </w:rPr>
              <w:t>)</w:t>
            </w:r>
          </w:p>
        </w:tc>
        <w:tc>
          <w:tcPr>
            <w:tcW w:w="3979" w:type="dxa"/>
            <w:gridSpan w:val="6"/>
            <w:vAlign w:val="top"/>
          </w:tcPr>
          <w:p>
            <w:pPr>
              <w:spacing w:before="91" w:line="248" w:lineRule="exact"/>
              <w:ind w:left="1675"/>
              <w:rPr>
                <w:rFonts w:ascii="Times New Roman" w:hAnsi="Times New Roman" w:eastAsia="Times New Roman" w:cs="Times New Roman"/>
                <w:sz w:val="17"/>
                <w:szCs w:val="17"/>
              </w:rPr>
            </w:pPr>
            <w:r>
              <w:rPr>
                <w:rFonts w:ascii="宋体" w:hAnsi="宋体" w:eastAsia="宋体" w:cs="宋体"/>
                <w:spacing w:val="9"/>
                <w:position w:val="1"/>
                <w:sz w:val="17"/>
                <w:szCs w:val="17"/>
                <w14:textOutline w14:w="3268" w14:cap="sq" w14:cmpd="sng">
                  <w14:solidFill>
                    <w14:srgbClr w14:val="000000"/>
                  </w14:solidFill>
                  <w14:prstDash w14:val="solid"/>
                  <w14:bevel/>
                </w14:textOutline>
              </w:rPr>
              <w:t>源强</w:t>
            </w:r>
            <w:r>
              <w:rPr>
                <w:rFonts w:ascii="Times New Roman" w:hAnsi="Times New Roman" w:eastAsia="Times New Roman" w:cs="Times New Roman"/>
                <w:b/>
                <w:bCs/>
                <w:spacing w:val="9"/>
                <w:position w:val="1"/>
                <w:sz w:val="17"/>
                <w:szCs w:val="17"/>
              </w:rPr>
              <w:t>/</w:t>
            </w:r>
            <w:r>
              <w:rPr>
                <w:rFonts w:ascii="Times New Roman" w:hAnsi="Times New Roman" w:eastAsia="Times New Roman" w:cs="Times New Roman"/>
                <w:b/>
                <w:bCs/>
                <w:position w:val="1"/>
                <w:sz w:val="17"/>
                <w:szCs w:val="17"/>
              </w:rPr>
              <w:t>dB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735" w:type="dxa"/>
            <w:vMerge w:val="continue"/>
            <w:tcBorders>
              <w:top w:val="nil"/>
              <w:bottom w:val="nil"/>
            </w:tcBorders>
            <w:vAlign w:val="top"/>
          </w:tcPr>
          <w:p>
            <w:pPr>
              <w:rPr>
                <w:rFonts w:ascii="Arial"/>
                <w:sz w:val="21"/>
              </w:rPr>
            </w:pPr>
          </w:p>
        </w:tc>
        <w:tc>
          <w:tcPr>
            <w:tcW w:w="775" w:type="dxa"/>
            <w:vMerge w:val="continue"/>
            <w:tcBorders>
              <w:top w:val="nil"/>
              <w:bottom w:val="nil"/>
            </w:tcBorders>
            <w:vAlign w:val="top"/>
          </w:tcPr>
          <w:p>
            <w:pPr>
              <w:rPr>
                <w:rFonts w:ascii="Arial"/>
                <w:sz w:val="21"/>
              </w:rPr>
            </w:pPr>
          </w:p>
        </w:tc>
        <w:tc>
          <w:tcPr>
            <w:tcW w:w="1112" w:type="dxa"/>
            <w:gridSpan w:val="2"/>
            <w:vAlign w:val="top"/>
          </w:tcPr>
          <w:p>
            <w:pPr>
              <w:spacing w:before="124" w:line="230" w:lineRule="auto"/>
              <w:ind w:left="293"/>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小型</w:t>
            </w:r>
            <w:r>
              <w:rPr>
                <w:rFonts w:ascii="宋体" w:hAnsi="宋体" w:eastAsia="宋体" w:cs="宋体"/>
                <w:spacing w:val="6"/>
                <w:sz w:val="17"/>
                <w:szCs w:val="17"/>
                <w14:textOutline w14:w="3268" w14:cap="sq" w14:cmpd="sng">
                  <w14:solidFill>
                    <w14:srgbClr w14:val="000000"/>
                  </w14:solidFill>
                  <w14:prstDash w14:val="solid"/>
                  <w14:bevel/>
                </w14:textOutline>
              </w:rPr>
              <w:t>车</w:t>
            </w:r>
          </w:p>
        </w:tc>
        <w:tc>
          <w:tcPr>
            <w:tcW w:w="1112" w:type="dxa"/>
            <w:gridSpan w:val="2"/>
            <w:vAlign w:val="top"/>
          </w:tcPr>
          <w:p>
            <w:pPr>
              <w:spacing w:before="124" w:line="230" w:lineRule="auto"/>
              <w:ind w:left="304"/>
              <w:rPr>
                <w:rFonts w:ascii="宋体" w:hAnsi="宋体" w:eastAsia="宋体" w:cs="宋体"/>
                <w:sz w:val="17"/>
                <w:szCs w:val="17"/>
              </w:rPr>
            </w:pPr>
            <w:r>
              <w:rPr>
                <w:rFonts w:ascii="宋体" w:hAnsi="宋体" w:eastAsia="宋体" w:cs="宋体"/>
                <w:spacing w:val="3"/>
                <w:sz w:val="17"/>
                <w:szCs w:val="17"/>
                <w14:textOutline w14:w="3268" w14:cap="sq" w14:cmpd="sng">
                  <w14:solidFill>
                    <w14:srgbClr w14:val="000000"/>
                  </w14:solidFill>
                  <w14:prstDash w14:val="solid"/>
                  <w14:bevel/>
                </w14:textOutline>
              </w:rPr>
              <w:t>中型</w:t>
            </w:r>
            <w:r>
              <w:rPr>
                <w:rFonts w:ascii="宋体" w:hAnsi="宋体" w:eastAsia="宋体" w:cs="宋体"/>
                <w:spacing w:val="2"/>
                <w:sz w:val="17"/>
                <w:szCs w:val="17"/>
                <w14:textOutline w14:w="3268" w14:cap="sq" w14:cmpd="sng">
                  <w14:solidFill>
                    <w14:srgbClr w14:val="000000"/>
                  </w14:solidFill>
                  <w14:prstDash w14:val="solid"/>
                  <w14:bevel/>
                </w14:textOutline>
              </w:rPr>
              <w:t>车</w:t>
            </w:r>
          </w:p>
        </w:tc>
        <w:tc>
          <w:tcPr>
            <w:tcW w:w="1112" w:type="dxa"/>
            <w:gridSpan w:val="2"/>
            <w:vAlign w:val="top"/>
          </w:tcPr>
          <w:p>
            <w:pPr>
              <w:spacing w:before="124" w:line="230" w:lineRule="auto"/>
              <w:ind w:left="291"/>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大</w:t>
            </w:r>
            <w:r>
              <w:rPr>
                <w:rFonts w:ascii="宋体" w:hAnsi="宋体" w:eastAsia="宋体" w:cs="宋体"/>
                <w:spacing w:val="7"/>
                <w:sz w:val="17"/>
                <w:szCs w:val="17"/>
                <w14:textOutline w14:w="3268" w14:cap="sq" w14:cmpd="sng">
                  <w14:solidFill>
                    <w14:srgbClr w14:val="000000"/>
                  </w14:solidFill>
                  <w14:prstDash w14:val="solid"/>
                  <w14:bevel/>
                </w14:textOutline>
              </w:rPr>
              <w:t>型车</w:t>
            </w:r>
          </w:p>
        </w:tc>
        <w:tc>
          <w:tcPr>
            <w:tcW w:w="1180" w:type="dxa"/>
            <w:gridSpan w:val="2"/>
            <w:vAlign w:val="top"/>
          </w:tcPr>
          <w:p>
            <w:pPr>
              <w:spacing w:before="124" w:line="232" w:lineRule="auto"/>
              <w:ind w:left="414"/>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合计</w:t>
            </w:r>
          </w:p>
        </w:tc>
        <w:tc>
          <w:tcPr>
            <w:tcW w:w="1061" w:type="dxa"/>
            <w:gridSpan w:val="2"/>
            <w:vAlign w:val="top"/>
          </w:tcPr>
          <w:p>
            <w:pPr>
              <w:spacing w:before="124" w:line="230" w:lineRule="auto"/>
              <w:ind w:left="268"/>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小型</w:t>
            </w:r>
            <w:r>
              <w:rPr>
                <w:rFonts w:ascii="宋体" w:hAnsi="宋体" w:eastAsia="宋体" w:cs="宋体"/>
                <w:spacing w:val="6"/>
                <w:sz w:val="17"/>
                <w:szCs w:val="17"/>
                <w14:textOutline w14:w="3268" w14:cap="sq" w14:cmpd="sng">
                  <w14:solidFill>
                    <w14:srgbClr w14:val="000000"/>
                  </w14:solidFill>
                  <w14:prstDash w14:val="solid"/>
                  <w14:bevel/>
                </w14:textOutline>
              </w:rPr>
              <w:t>车</w:t>
            </w:r>
          </w:p>
        </w:tc>
        <w:tc>
          <w:tcPr>
            <w:tcW w:w="1061" w:type="dxa"/>
            <w:gridSpan w:val="2"/>
            <w:vAlign w:val="top"/>
          </w:tcPr>
          <w:p>
            <w:pPr>
              <w:spacing w:before="124" w:line="230" w:lineRule="auto"/>
              <w:ind w:left="279"/>
              <w:rPr>
                <w:rFonts w:ascii="宋体" w:hAnsi="宋体" w:eastAsia="宋体" w:cs="宋体"/>
                <w:sz w:val="17"/>
                <w:szCs w:val="17"/>
              </w:rPr>
            </w:pPr>
            <w:r>
              <w:rPr>
                <w:rFonts w:ascii="宋体" w:hAnsi="宋体" w:eastAsia="宋体" w:cs="宋体"/>
                <w:spacing w:val="3"/>
                <w:sz w:val="17"/>
                <w:szCs w:val="17"/>
                <w14:textOutline w14:w="3268" w14:cap="sq" w14:cmpd="sng">
                  <w14:solidFill>
                    <w14:srgbClr w14:val="000000"/>
                  </w14:solidFill>
                  <w14:prstDash w14:val="solid"/>
                  <w14:bevel/>
                </w14:textOutline>
              </w:rPr>
              <w:t>中型</w:t>
            </w:r>
            <w:r>
              <w:rPr>
                <w:rFonts w:ascii="宋体" w:hAnsi="宋体" w:eastAsia="宋体" w:cs="宋体"/>
                <w:spacing w:val="2"/>
                <w:sz w:val="17"/>
                <w:szCs w:val="17"/>
                <w14:textOutline w14:w="3268" w14:cap="sq" w14:cmpd="sng">
                  <w14:solidFill>
                    <w14:srgbClr w14:val="000000"/>
                  </w14:solidFill>
                  <w14:prstDash w14:val="solid"/>
                  <w14:bevel/>
                </w14:textOutline>
              </w:rPr>
              <w:t>车</w:t>
            </w:r>
          </w:p>
        </w:tc>
        <w:tc>
          <w:tcPr>
            <w:tcW w:w="1075" w:type="dxa"/>
            <w:gridSpan w:val="2"/>
            <w:vAlign w:val="top"/>
          </w:tcPr>
          <w:p>
            <w:pPr>
              <w:spacing w:before="124" w:line="230" w:lineRule="auto"/>
              <w:ind w:left="272"/>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大</w:t>
            </w:r>
            <w:r>
              <w:rPr>
                <w:rFonts w:ascii="宋体" w:hAnsi="宋体" w:eastAsia="宋体" w:cs="宋体"/>
                <w:spacing w:val="7"/>
                <w:sz w:val="17"/>
                <w:szCs w:val="17"/>
                <w14:textOutline w14:w="3268" w14:cap="sq" w14:cmpd="sng">
                  <w14:solidFill>
                    <w14:srgbClr w14:val="000000"/>
                  </w14:solidFill>
                  <w14:prstDash w14:val="solid"/>
                  <w14:bevel/>
                </w14:textOutline>
              </w:rPr>
              <w:t>型车</w:t>
            </w:r>
          </w:p>
        </w:tc>
        <w:tc>
          <w:tcPr>
            <w:tcW w:w="1366" w:type="dxa"/>
            <w:gridSpan w:val="2"/>
            <w:vAlign w:val="top"/>
          </w:tcPr>
          <w:p>
            <w:pPr>
              <w:spacing w:before="124" w:line="230" w:lineRule="auto"/>
              <w:ind w:left="421"/>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小型</w:t>
            </w:r>
            <w:r>
              <w:rPr>
                <w:rFonts w:ascii="宋体" w:hAnsi="宋体" w:eastAsia="宋体" w:cs="宋体"/>
                <w:spacing w:val="6"/>
                <w:sz w:val="17"/>
                <w:szCs w:val="17"/>
                <w14:textOutline w14:w="3268" w14:cap="sq" w14:cmpd="sng">
                  <w14:solidFill>
                    <w14:srgbClr w14:val="000000"/>
                  </w14:solidFill>
                  <w14:prstDash w14:val="solid"/>
                  <w14:bevel/>
                </w14:textOutline>
              </w:rPr>
              <w:t>车</w:t>
            </w:r>
          </w:p>
        </w:tc>
        <w:tc>
          <w:tcPr>
            <w:tcW w:w="1288" w:type="dxa"/>
            <w:gridSpan w:val="2"/>
            <w:vAlign w:val="top"/>
          </w:tcPr>
          <w:p>
            <w:pPr>
              <w:spacing w:before="124" w:line="230" w:lineRule="auto"/>
              <w:ind w:left="394"/>
              <w:rPr>
                <w:rFonts w:ascii="宋体" w:hAnsi="宋体" w:eastAsia="宋体" w:cs="宋体"/>
                <w:sz w:val="17"/>
                <w:szCs w:val="17"/>
              </w:rPr>
            </w:pPr>
            <w:r>
              <w:rPr>
                <w:rFonts w:ascii="宋体" w:hAnsi="宋体" w:eastAsia="宋体" w:cs="宋体"/>
                <w:spacing w:val="3"/>
                <w:sz w:val="17"/>
                <w:szCs w:val="17"/>
                <w14:textOutline w14:w="3268" w14:cap="sq" w14:cmpd="sng">
                  <w14:solidFill>
                    <w14:srgbClr w14:val="000000"/>
                  </w14:solidFill>
                  <w14:prstDash w14:val="solid"/>
                  <w14:bevel/>
                </w14:textOutline>
              </w:rPr>
              <w:t>中型</w:t>
            </w:r>
            <w:r>
              <w:rPr>
                <w:rFonts w:ascii="宋体" w:hAnsi="宋体" w:eastAsia="宋体" w:cs="宋体"/>
                <w:spacing w:val="2"/>
                <w:sz w:val="17"/>
                <w:szCs w:val="17"/>
                <w14:textOutline w14:w="3268" w14:cap="sq" w14:cmpd="sng">
                  <w14:solidFill>
                    <w14:srgbClr w14:val="000000"/>
                  </w14:solidFill>
                  <w14:prstDash w14:val="solid"/>
                  <w14:bevel/>
                </w14:textOutline>
              </w:rPr>
              <w:t>车</w:t>
            </w:r>
          </w:p>
        </w:tc>
        <w:tc>
          <w:tcPr>
            <w:tcW w:w="1325" w:type="dxa"/>
            <w:gridSpan w:val="2"/>
            <w:vAlign w:val="top"/>
          </w:tcPr>
          <w:p>
            <w:pPr>
              <w:spacing w:before="124" w:line="230" w:lineRule="auto"/>
              <w:ind w:left="397"/>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大</w:t>
            </w:r>
            <w:r>
              <w:rPr>
                <w:rFonts w:ascii="宋体" w:hAnsi="宋体" w:eastAsia="宋体" w:cs="宋体"/>
                <w:spacing w:val="7"/>
                <w:sz w:val="17"/>
                <w:szCs w:val="17"/>
                <w14:textOutline w14:w="3268" w14:cap="sq" w14:cmpd="sng">
                  <w14:solidFill>
                    <w14:srgbClr w14:val="000000"/>
                  </w14:solidFill>
                  <w14:prstDash w14:val="solid"/>
                  <w14:bevel/>
                </w14:textOutline>
              </w:rPr>
              <w:t>型车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735" w:type="dxa"/>
            <w:vMerge w:val="continue"/>
            <w:tcBorders>
              <w:top w:val="nil"/>
            </w:tcBorders>
            <w:vAlign w:val="top"/>
          </w:tcPr>
          <w:p>
            <w:pPr>
              <w:rPr>
                <w:rFonts w:ascii="Arial"/>
                <w:sz w:val="21"/>
              </w:rPr>
            </w:pPr>
          </w:p>
        </w:tc>
        <w:tc>
          <w:tcPr>
            <w:tcW w:w="775" w:type="dxa"/>
            <w:vMerge w:val="continue"/>
            <w:tcBorders>
              <w:top w:val="nil"/>
            </w:tcBorders>
            <w:vAlign w:val="top"/>
          </w:tcPr>
          <w:p>
            <w:pPr>
              <w:rPr>
                <w:rFonts w:ascii="Arial"/>
                <w:sz w:val="21"/>
              </w:rPr>
            </w:pPr>
          </w:p>
        </w:tc>
        <w:tc>
          <w:tcPr>
            <w:tcW w:w="577" w:type="dxa"/>
            <w:vAlign w:val="top"/>
          </w:tcPr>
          <w:p>
            <w:pPr>
              <w:spacing w:before="124" w:line="242" w:lineRule="auto"/>
              <w:ind w:left="201"/>
              <w:rPr>
                <w:rFonts w:ascii="宋体" w:hAnsi="宋体" w:eastAsia="宋体" w:cs="宋体"/>
                <w:sz w:val="17"/>
                <w:szCs w:val="17"/>
              </w:rPr>
            </w:pPr>
            <w:r>
              <w:rPr>
                <w:rFonts w:ascii="宋体" w:hAnsi="宋体" w:eastAsia="宋体" w:cs="宋体"/>
                <w:spacing w:val="3"/>
                <w:sz w:val="17"/>
                <w:szCs w:val="17"/>
                <w14:textOutline w14:w="3268" w14:cap="sq" w14:cmpd="sng">
                  <w14:solidFill>
                    <w14:srgbClr w14:val="000000"/>
                  </w14:solidFill>
                  <w14:prstDash w14:val="solid"/>
                  <w14:bevel/>
                </w14:textOutline>
              </w:rPr>
              <w:t>昼</w:t>
            </w:r>
          </w:p>
        </w:tc>
        <w:tc>
          <w:tcPr>
            <w:tcW w:w="535" w:type="dxa"/>
            <w:vAlign w:val="top"/>
          </w:tcPr>
          <w:p>
            <w:pPr>
              <w:spacing w:before="125" w:line="230" w:lineRule="auto"/>
              <w:ind w:left="182"/>
              <w:rPr>
                <w:rFonts w:ascii="宋体" w:hAnsi="宋体" w:eastAsia="宋体" w:cs="宋体"/>
                <w:sz w:val="17"/>
                <w:szCs w:val="17"/>
              </w:rPr>
            </w:pPr>
            <w:r>
              <w:rPr>
                <w:rFonts w:ascii="宋体" w:hAnsi="宋体" w:eastAsia="宋体" w:cs="宋体"/>
                <w:sz w:val="17"/>
                <w:szCs w:val="17"/>
                <w14:textOutline w14:w="3268" w14:cap="sq" w14:cmpd="sng">
                  <w14:solidFill>
                    <w14:srgbClr w14:val="000000"/>
                  </w14:solidFill>
                  <w14:prstDash w14:val="solid"/>
                  <w14:bevel/>
                </w14:textOutline>
              </w:rPr>
              <w:t>夜</w:t>
            </w:r>
          </w:p>
        </w:tc>
        <w:tc>
          <w:tcPr>
            <w:tcW w:w="577" w:type="dxa"/>
            <w:vAlign w:val="top"/>
          </w:tcPr>
          <w:p>
            <w:pPr>
              <w:spacing w:before="124" w:line="242" w:lineRule="auto"/>
              <w:ind w:left="200"/>
              <w:rPr>
                <w:rFonts w:ascii="宋体" w:hAnsi="宋体" w:eastAsia="宋体" w:cs="宋体"/>
                <w:sz w:val="17"/>
                <w:szCs w:val="17"/>
              </w:rPr>
            </w:pPr>
            <w:r>
              <w:rPr>
                <w:rFonts w:ascii="宋体" w:hAnsi="宋体" w:eastAsia="宋体" w:cs="宋体"/>
                <w:spacing w:val="3"/>
                <w:sz w:val="17"/>
                <w:szCs w:val="17"/>
                <w14:textOutline w14:w="3268" w14:cap="sq" w14:cmpd="sng">
                  <w14:solidFill>
                    <w14:srgbClr w14:val="000000"/>
                  </w14:solidFill>
                  <w14:prstDash w14:val="solid"/>
                  <w14:bevel/>
                </w14:textOutline>
              </w:rPr>
              <w:t>昼</w:t>
            </w:r>
          </w:p>
        </w:tc>
        <w:tc>
          <w:tcPr>
            <w:tcW w:w="535" w:type="dxa"/>
            <w:vAlign w:val="top"/>
          </w:tcPr>
          <w:p>
            <w:pPr>
              <w:spacing w:before="125" w:line="230" w:lineRule="auto"/>
              <w:ind w:left="184"/>
              <w:rPr>
                <w:rFonts w:ascii="宋体" w:hAnsi="宋体" w:eastAsia="宋体" w:cs="宋体"/>
                <w:sz w:val="17"/>
                <w:szCs w:val="17"/>
              </w:rPr>
            </w:pPr>
            <w:r>
              <w:rPr>
                <w:rFonts w:ascii="宋体" w:hAnsi="宋体" w:eastAsia="宋体" w:cs="宋体"/>
                <w:sz w:val="17"/>
                <w:szCs w:val="17"/>
                <w14:textOutline w14:w="3268" w14:cap="sq" w14:cmpd="sng">
                  <w14:solidFill>
                    <w14:srgbClr w14:val="000000"/>
                  </w14:solidFill>
                  <w14:prstDash w14:val="solid"/>
                  <w14:bevel/>
                </w14:textOutline>
              </w:rPr>
              <w:t>夜</w:t>
            </w:r>
          </w:p>
        </w:tc>
        <w:tc>
          <w:tcPr>
            <w:tcW w:w="577" w:type="dxa"/>
            <w:vAlign w:val="top"/>
          </w:tcPr>
          <w:p>
            <w:pPr>
              <w:spacing w:before="124" w:line="242" w:lineRule="auto"/>
              <w:ind w:left="200"/>
              <w:rPr>
                <w:rFonts w:ascii="宋体" w:hAnsi="宋体" w:eastAsia="宋体" w:cs="宋体"/>
                <w:sz w:val="17"/>
                <w:szCs w:val="17"/>
              </w:rPr>
            </w:pPr>
            <w:r>
              <w:rPr>
                <w:rFonts w:ascii="宋体" w:hAnsi="宋体" w:eastAsia="宋体" w:cs="宋体"/>
                <w:spacing w:val="3"/>
                <w:sz w:val="17"/>
                <w:szCs w:val="17"/>
                <w14:textOutline w14:w="3268" w14:cap="sq" w14:cmpd="sng">
                  <w14:solidFill>
                    <w14:srgbClr w14:val="000000"/>
                  </w14:solidFill>
                  <w14:prstDash w14:val="solid"/>
                  <w14:bevel/>
                </w14:textOutline>
              </w:rPr>
              <w:t>昼</w:t>
            </w:r>
          </w:p>
        </w:tc>
        <w:tc>
          <w:tcPr>
            <w:tcW w:w="535" w:type="dxa"/>
            <w:vAlign w:val="top"/>
          </w:tcPr>
          <w:p>
            <w:pPr>
              <w:spacing w:before="125" w:line="230" w:lineRule="auto"/>
              <w:ind w:left="183"/>
              <w:rPr>
                <w:rFonts w:ascii="宋体" w:hAnsi="宋体" w:eastAsia="宋体" w:cs="宋体"/>
                <w:sz w:val="17"/>
                <w:szCs w:val="17"/>
              </w:rPr>
            </w:pPr>
            <w:r>
              <w:rPr>
                <w:rFonts w:ascii="宋体" w:hAnsi="宋体" w:eastAsia="宋体" w:cs="宋体"/>
                <w:sz w:val="17"/>
                <w:szCs w:val="17"/>
                <w14:textOutline w14:w="3268" w14:cap="sq" w14:cmpd="sng">
                  <w14:solidFill>
                    <w14:srgbClr w14:val="000000"/>
                  </w14:solidFill>
                  <w14:prstDash w14:val="solid"/>
                  <w14:bevel/>
                </w14:textOutline>
              </w:rPr>
              <w:t>夜</w:t>
            </w:r>
          </w:p>
        </w:tc>
        <w:tc>
          <w:tcPr>
            <w:tcW w:w="577" w:type="dxa"/>
            <w:vAlign w:val="top"/>
          </w:tcPr>
          <w:p>
            <w:pPr>
              <w:spacing w:before="124" w:line="242" w:lineRule="auto"/>
              <w:ind w:left="201"/>
              <w:rPr>
                <w:rFonts w:ascii="宋体" w:hAnsi="宋体" w:eastAsia="宋体" w:cs="宋体"/>
                <w:sz w:val="17"/>
                <w:szCs w:val="17"/>
              </w:rPr>
            </w:pPr>
            <w:r>
              <w:rPr>
                <w:rFonts w:ascii="宋体" w:hAnsi="宋体" w:eastAsia="宋体" w:cs="宋体"/>
                <w:spacing w:val="3"/>
                <w:sz w:val="17"/>
                <w:szCs w:val="17"/>
                <w14:textOutline w14:w="3268" w14:cap="sq" w14:cmpd="sng">
                  <w14:solidFill>
                    <w14:srgbClr w14:val="000000"/>
                  </w14:solidFill>
                  <w14:prstDash w14:val="solid"/>
                  <w14:bevel/>
                </w14:textOutline>
              </w:rPr>
              <w:t>昼</w:t>
            </w:r>
          </w:p>
        </w:tc>
        <w:tc>
          <w:tcPr>
            <w:tcW w:w="603" w:type="dxa"/>
            <w:vAlign w:val="top"/>
          </w:tcPr>
          <w:p>
            <w:pPr>
              <w:spacing w:before="125" w:line="230" w:lineRule="auto"/>
              <w:ind w:left="218"/>
              <w:rPr>
                <w:rFonts w:ascii="宋体" w:hAnsi="宋体" w:eastAsia="宋体" w:cs="宋体"/>
                <w:sz w:val="17"/>
                <w:szCs w:val="17"/>
              </w:rPr>
            </w:pPr>
            <w:r>
              <w:rPr>
                <w:rFonts w:ascii="宋体" w:hAnsi="宋体" w:eastAsia="宋体" w:cs="宋体"/>
                <w:sz w:val="17"/>
                <w:szCs w:val="17"/>
                <w14:textOutline w14:w="3268" w14:cap="sq" w14:cmpd="sng">
                  <w14:solidFill>
                    <w14:srgbClr w14:val="000000"/>
                  </w14:solidFill>
                  <w14:prstDash w14:val="solid"/>
                  <w14:bevel/>
                </w14:textOutline>
              </w:rPr>
              <w:t>夜</w:t>
            </w:r>
          </w:p>
        </w:tc>
        <w:tc>
          <w:tcPr>
            <w:tcW w:w="528" w:type="dxa"/>
            <w:vAlign w:val="top"/>
          </w:tcPr>
          <w:p>
            <w:pPr>
              <w:spacing w:before="124" w:line="242" w:lineRule="auto"/>
              <w:ind w:left="176"/>
              <w:rPr>
                <w:rFonts w:ascii="宋体" w:hAnsi="宋体" w:eastAsia="宋体" w:cs="宋体"/>
                <w:sz w:val="17"/>
                <w:szCs w:val="17"/>
              </w:rPr>
            </w:pPr>
            <w:r>
              <w:rPr>
                <w:rFonts w:ascii="宋体" w:hAnsi="宋体" w:eastAsia="宋体" w:cs="宋体"/>
                <w:spacing w:val="3"/>
                <w:sz w:val="17"/>
                <w:szCs w:val="17"/>
                <w14:textOutline w14:w="3268" w14:cap="sq" w14:cmpd="sng">
                  <w14:solidFill>
                    <w14:srgbClr w14:val="000000"/>
                  </w14:solidFill>
                  <w14:prstDash w14:val="solid"/>
                  <w14:bevel/>
                </w14:textOutline>
              </w:rPr>
              <w:t>昼</w:t>
            </w:r>
          </w:p>
        </w:tc>
        <w:tc>
          <w:tcPr>
            <w:tcW w:w="533" w:type="dxa"/>
            <w:vAlign w:val="top"/>
          </w:tcPr>
          <w:p>
            <w:pPr>
              <w:spacing w:before="125" w:line="230" w:lineRule="auto"/>
              <w:ind w:left="182"/>
              <w:rPr>
                <w:rFonts w:ascii="宋体" w:hAnsi="宋体" w:eastAsia="宋体" w:cs="宋体"/>
                <w:sz w:val="17"/>
                <w:szCs w:val="17"/>
              </w:rPr>
            </w:pPr>
            <w:r>
              <w:rPr>
                <w:rFonts w:ascii="宋体" w:hAnsi="宋体" w:eastAsia="宋体" w:cs="宋体"/>
                <w:sz w:val="17"/>
                <w:szCs w:val="17"/>
                <w14:textOutline w14:w="3268" w14:cap="sq" w14:cmpd="sng">
                  <w14:solidFill>
                    <w14:srgbClr w14:val="000000"/>
                  </w14:solidFill>
                  <w14:prstDash w14:val="solid"/>
                  <w14:bevel/>
                </w14:textOutline>
              </w:rPr>
              <w:t>夜</w:t>
            </w:r>
          </w:p>
        </w:tc>
        <w:tc>
          <w:tcPr>
            <w:tcW w:w="528" w:type="dxa"/>
            <w:vAlign w:val="top"/>
          </w:tcPr>
          <w:p>
            <w:pPr>
              <w:spacing w:before="124" w:line="242" w:lineRule="auto"/>
              <w:ind w:left="175"/>
              <w:rPr>
                <w:rFonts w:ascii="宋体" w:hAnsi="宋体" w:eastAsia="宋体" w:cs="宋体"/>
                <w:sz w:val="17"/>
                <w:szCs w:val="17"/>
              </w:rPr>
            </w:pPr>
            <w:r>
              <w:rPr>
                <w:rFonts w:ascii="宋体" w:hAnsi="宋体" w:eastAsia="宋体" w:cs="宋体"/>
                <w:spacing w:val="3"/>
                <w:sz w:val="17"/>
                <w:szCs w:val="17"/>
                <w14:textOutline w14:w="3268" w14:cap="sq" w14:cmpd="sng">
                  <w14:solidFill>
                    <w14:srgbClr w14:val="000000"/>
                  </w14:solidFill>
                  <w14:prstDash w14:val="solid"/>
                  <w14:bevel/>
                </w14:textOutline>
              </w:rPr>
              <w:t>昼</w:t>
            </w:r>
          </w:p>
        </w:tc>
        <w:tc>
          <w:tcPr>
            <w:tcW w:w="533" w:type="dxa"/>
            <w:vAlign w:val="top"/>
          </w:tcPr>
          <w:p>
            <w:pPr>
              <w:spacing w:before="125" w:line="230" w:lineRule="auto"/>
              <w:ind w:left="181"/>
              <w:rPr>
                <w:rFonts w:ascii="宋体" w:hAnsi="宋体" w:eastAsia="宋体" w:cs="宋体"/>
                <w:sz w:val="17"/>
                <w:szCs w:val="17"/>
              </w:rPr>
            </w:pPr>
            <w:r>
              <w:rPr>
                <w:rFonts w:ascii="宋体" w:hAnsi="宋体" w:eastAsia="宋体" w:cs="宋体"/>
                <w:sz w:val="17"/>
                <w:szCs w:val="17"/>
                <w14:textOutline w14:w="3268" w14:cap="sq" w14:cmpd="sng">
                  <w14:solidFill>
                    <w14:srgbClr w14:val="000000"/>
                  </w14:solidFill>
                  <w14:prstDash w14:val="solid"/>
                  <w14:bevel/>
                </w14:textOutline>
              </w:rPr>
              <w:t>夜</w:t>
            </w:r>
          </w:p>
        </w:tc>
        <w:tc>
          <w:tcPr>
            <w:tcW w:w="528" w:type="dxa"/>
            <w:vAlign w:val="top"/>
          </w:tcPr>
          <w:p>
            <w:pPr>
              <w:spacing w:before="124" w:line="242" w:lineRule="auto"/>
              <w:ind w:left="175"/>
              <w:rPr>
                <w:rFonts w:ascii="宋体" w:hAnsi="宋体" w:eastAsia="宋体" w:cs="宋体"/>
                <w:sz w:val="17"/>
                <w:szCs w:val="17"/>
              </w:rPr>
            </w:pPr>
            <w:r>
              <w:rPr>
                <w:rFonts w:ascii="宋体" w:hAnsi="宋体" w:eastAsia="宋体" w:cs="宋体"/>
                <w:spacing w:val="3"/>
                <w:sz w:val="17"/>
                <w:szCs w:val="17"/>
                <w14:textOutline w14:w="3268" w14:cap="sq" w14:cmpd="sng">
                  <w14:solidFill>
                    <w14:srgbClr w14:val="000000"/>
                  </w14:solidFill>
                  <w14:prstDash w14:val="solid"/>
                  <w14:bevel/>
                </w14:textOutline>
              </w:rPr>
              <w:t>昼</w:t>
            </w:r>
          </w:p>
        </w:tc>
        <w:tc>
          <w:tcPr>
            <w:tcW w:w="547" w:type="dxa"/>
            <w:vAlign w:val="top"/>
          </w:tcPr>
          <w:p>
            <w:pPr>
              <w:spacing w:before="125" w:line="230" w:lineRule="auto"/>
              <w:ind w:left="188"/>
              <w:rPr>
                <w:rFonts w:ascii="宋体" w:hAnsi="宋体" w:eastAsia="宋体" w:cs="宋体"/>
                <w:sz w:val="17"/>
                <w:szCs w:val="17"/>
              </w:rPr>
            </w:pPr>
            <w:r>
              <w:rPr>
                <w:rFonts w:ascii="宋体" w:hAnsi="宋体" w:eastAsia="宋体" w:cs="宋体"/>
                <w:sz w:val="17"/>
                <w:szCs w:val="17"/>
                <w14:textOutline w14:w="3268" w14:cap="sq" w14:cmpd="sng">
                  <w14:solidFill>
                    <w14:srgbClr w14:val="000000"/>
                  </w14:solidFill>
                  <w14:prstDash w14:val="solid"/>
                  <w14:bevel/>
                </w14:textOutline>
              </w:rPr>
              <w:t>夜</w:t>
            </w:r>
          </w:p>
        </w:tc>
        <w:tc>
          <w:tcPr>
            <w:tcW w:w="681" w:type="dxa"/>
            <w:vAlign w:val="top"/>
          </w:tcPr>
          <w:p>
            <w:pPr>
              <w:spacing w:before="124" w:line="242" w:lineRule="auto"/>
              <w:ind w:left="252"/>
              <w:rPr>
                <w:rFonts w:ascii="宋体" w:hAnsi="宋体" w:eastAsia="宋体" w:cs="宋体"/>
                <w:sz w:val="17"/>
                <w:szCs w:val="17"/>
              </w:rPr>
            </w:pPr>
            <w:r>
              <w:rPr>
                <w:rFonts w:ascii="宋体" w:hAnsi="宋体" w:eastAsia="宋体" w:cs="宋体"/>
                <w:spacing w:val="3"/>
                <w:sz w:val="17"/>
                <w:szCs w:val="17"/>
                <w14:textOutline w14:w="3268" w14:cap="sq" w14:cmpd="sng">
                  <w14:solidFill>
                    <w14:srgbClr w14:val="000000"/>
                  </w14:solidFill>
                  <w14:prstDash w14:val="solid"/>
                  <w14:bevel/>
                </w14:textOutline>
              </w:rPr>
              <w:t>昼</w:t>
            </w:r>
          </w:p>
        </w:tc>
        <w:tc>
          <w:tcPr>
            <w:tcW w:w="685" w:type="dxa"/>
            <w:vAlign w:val="top"/>
          </w:tcPr>
          <w:p>
            <w:pPr>
              <w:spacing w:before="125" w:line="230" w:lineRule="auto"/>
              <w:ind w:left="259"/>
              <w:rPr>
                <w:rFonts w:ascii="宋体" w:hAnsi="宋体" w:eastAsia="宋体" w:cs="宋体"/>
                <w:sz w:val="17"/>
                <w:szCs w:val="17"/>
              </w:rPr>
            </w:pPr>
            <w:r>
              <w:rPr>
                <w:rFonts w:ascii="宋体" w:hAnsi="宋体" w:eastAsia="宋体" w:cs="宋体"/>
                <w:sz w:val="17"/>
                <w:szCs w:val="17"/>
                <w14:textOutline w14:w="3268" w14:cap="sq" w14:cmpd="sng">
                  <w14:solidFill>
                    <w14:srgbClr w14:val="000000"/>
                  </w14:solidFill>
                  <w14:prstDash w14:val="solid"/>
                  <w14:bevel/>
                </w14:textOutline>
              </w:rPr>
              <w:t>夜</w:t>
            </w:r>
          </w:p>
        </w:tc>
        <w:tc>
          <w:tcPr>
            <w:tcW w:w="652" w:type="dxa"/>
            <w:vAlign w:val="top"/>
          </w:tcPr>
          <w:p>
            <w:pPr>
              <w:spacing w:before="124" w:line="242" w:lineRule="auto"/>
              <w:ind w:left="240"/>
              <w:rPr>
                <w:rFonts w:ascii="宋体" w:hAnsi="宋体" w:eastAsia="宋体" w:cs="宋体"/>
                <w:sz w:val="17"/>
                <w:szCs w:val="17"/>
              </w:rPr>
            </w:pPr>
            <w:r>
              <w:rPr>
                <w:rFonts w:ascii="宋体" w:hAnsi="宋体" w:eastAsia="宋体" w:cs="宋体"/>
                <w:spacing w:val="3"/>
                <w:sz w:val="17"/>
                <w:szCs w:val="17"/>
                <w14:textOutline w14:w="3268" w14:cap="sq" w14:cmpd="sng">
                  <w14:solidFill>
                    <w14:srgbClr w14:val="000000"/>
                  </w14:solidFill>
                  <w14:prstDash w14:val="solid"/>
                  <w14:bevel/>
                </w14:textOutline>
              </w:rPr>
              <w:t>昼</w:t>
            </w:r>
          </w:p>
        </w:tc>
        <w:tc>
          <w:tcPr>
            <w:tcW w:w="636" w:type="dxa"/>
            <w:vAlign w:val="top"/>
          </w:tcPr>
          <w:p>
            <w:pPr>
              <w:spacing w:before="125" w:line="230" w:lineRule="auto"/>
              <w:ind w:left="235"/>
              <w:rPr>
                <w:rFonts w:ascii="宋体" w:hAnsi="宋体" w:eastAsia="宋体" w:cs="宋体"/>
                <w:sz w:val="17"/>
                <w:szCs w:val="17"/>
              </w:rPr>
            </w:pPr>
            <w:r>
              <w:rPr>
                <w:rFonts w:ascii="宋体" w:hAnsi="宋体" w:eastAsia="宋体" w:cs="宋体"/>
                <w:sz w:val="17"/>
                <w:szCs w:val="17"/>
                <w14:textOutline w14:w="3268" w14:cap="sq" w14:cmpd="sng">
                  <w14:solidFill>
                    <w14:srgbClr w14:val="000000"/>
                  </w14:solidFill>
                  <w14:prstDash w14:val="solid"/>
                  <w14:bevel/>
                </w14:textOutline>
              </w:rPr>
              <w:t>夜</w:t>
            </w:r>
          </w:p>
        </w:tc>
        <w:tc>
          <w:tcPr>
            <w:tcW w:w="684" w:type="dxa"/>
            <w:vAlign w:val="top"/>
          </w:tcPr>
          <w:p>
            <w:pPr>
              <w:spacing w:before="124" w:line="242" w:lineRule="auto"/>
              <w:ind w:left="257"/>
              <w:rPr>
                <w:rFonts w:ascii="宋体" w:hAnsi="宋体" w:eastAsia="宋体" w:cs="宋体"/>
                <w:sz w:val="17"/>
                <w:szCs w:val="17"/>
              </w:rPr>
            </w:pPr>
            <w:r>
              <w:rPr>
                <w:rFonts w:ascii="宋体" w:hAnsi="宋体" w:eastAsia="宋体" w:cs="宋体"/>
                <w:spacing w:val="3"/>
                <w:sz w:val="17"/>
                <w:szCs w:val="17"/>
                <w14:textOutline w14:w="3268" w14:cap="sq" w14:cmpd="sng">
                  <w14:solidFill>
                    <w14:srgbClr w14:val="000000"/>
                  </w14:solidFill>
                  <w14:prstDash w14:val="solid"/>
                  <w14:bevel/>
                </w14:textOutline>
              </w:rPr>
              <w:t>昼</w:t>
            </w:r>
          </w:p>
        </w:tc>
        <w:tc>
          <w:tcPr>
            <w:tcW w:w="641" w:type="dxa"/>
            <w:vAlign w:val="top"/>
          </w:tcPr>
          <w:p>
            <w:pPr>
              <w:spacing w:before="125" w:line="230" w:lineRule="auto"/>
              <w:ind w:left="237"/>
              <w:rPr>
                <w:rFonts w:ascii="宋体" w:hAnsi="宋体" w:eastAsia="宋体" w:cs="宋体"/>
                <w:sz w:val="17"/>
                <w:szCs w:val="17"/>
              </w:rPr>
            </w:pPr>
            <w:r>
              <w:rPr>
                <w:rFonts w:ascii="宋体" w:hAnsi="宋体" w:eastAsia="宋体" w:cs="宋体"/>
                <w:sz w:val="17"/>
                <w:szCs w:val="17"/>
                <w14:textOutline w14:w="3268" w14:cap="sq" w14:cmpd="sng">
                  <w14:solidFill>
                    <w14:srgbClr w14:val="000000"/>
                  </w14:solidFill>
                  <w14:prstDash w14:val="solid"/>
                  <w14:bevel/>
                </w14:textOutline>
              </w:rPr>
              <w:t>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735" w:type="dxa"/>
            <w:vMerge w:val="restart"/>
            <w:tcBorders>
              <w:bottom w:val="nil"/>
            </w:tcBorders>
            <w:vAlign w:val="top"/>
          </w:tcPr>
          <w:p>
            <w:pPr>
              <w:spacing w:line="261" w:lineRule="auto"/>
              <w:rPr>
                <w:rFonts w:ascii="Arial"/>
                <w:sz w:val="21"/>
              </w:rPr>
            </w:pPr>
          </w:p>
          <w:p>
            <w:pPr>
              <w:spacing w:line="262" w:lineRule="auto"/>
              <w:rPr>
                <w:rFonts w:ascii="Arial"/>
                <w:sz w:val="21"/>
              </w:rPr>
            </w:pPr>
          </w:p>
          <w:p>
            <w:pPr>
              <w:spacing w:before="55" w:line="317" w:lineRule="auto"/>
              <w:ind w:left="192" w:right="95" w:hanging="86"/>
              <w:rPr>
                <w:rFonts w:ascii="宋体" w:hAnsi="宋体" w:eastAsia="宋体" w:cs="宋体"/>
                <w:sz w:val="17"/>
                <w:szCs w:val="17"/>
              </w:rPr>
            </w:pPr>
            <w:r>
              <w:rPr>
                <w:rFonts w:ascii="宋体" w:hAnsi="宋体" w:eastAsia="宋体" w:cs="宋体"/>
                <w:spacing w:val="6"/>
                <w:sz w:val="17"/>
                <w:szCs w:val="17"/>
              </w:rPr>
              <w:t>高家坝</w:t>
            </w:r>
            <w:r>
              <w:rPr>
                <w:rFonts w:ascii="宋体" w:hAnsi="宋体" w:eastAsia="宋体" w:cs="宋体"/>
                <w:sz w:val="17"/>
                <w:szCs w:val="17"/>
              </w:rPr>
              <w:t xml:space="preserve"> </w:t>
            </w:r>
            <w:r>
              <w:rPr>
                <w:rFonts w:ascii="宋体" w:hAnsi="宋体" w:eastAsia="宋体" w:cs="宋体"/>
                <w:spacing w:val="5"/>
                <w:sz w:val="17"/>
                <w:szCs w:val="17"/>
              </w:rPr>
              <w:t>大桥</w:t>
            </w:r>
          </w:p>
        </w:tc>
        <w:tc>
          <w:tcPr>
            <w:tcW w:w="775" w:type="dxa"/>
            <w:vAlign w:val="top"/>
          </w:tcPr>
          <w:p>
            <w:pPr>
              <w:spacing w:before="183" w:line="231" w:lineRule="auto"/>
              <w:ind w:left="211"/>
              <w:rPr>
                <w:rFonts w:ascii="宋体" w:hAnsi="宋体" w:eastAsia="宋体" w:cs="宋体"/>
                <w:sz w:val="17"/>
                <w:szCs w:val="17"/>
              </w:rPr>
            </w:pPr>
            <w:r>
              <w:rPr>
                <w:rFonts w:ascii="宋体" w:hAnsi="宋体" w:eastAsia="宋体" w:cs="宋体"/>
                <w:spacing w:val="7"/>
                <w:sz w:val="17"/>
                <w:szCs w:val="17"/>
              </w:rPr>
              <w:t>近</w:t>
            </w:r>
            <w:r>
              <w:rPr>
                <w:rFonts w:ascii="宋体" w:hAnsi="宋体" w:eastAsia="宋体" w:cs="宋体"/>
                <w:spacing w:val="6"/>
                <w:sz w:val="17"/>
                <w:szCs w:val="17"/>
              </w:rPr>
              <w:t>期</w:t>
            </w:r>
          </w:p>
        </w:tc>
        <w:tc>
          <w:tcPr>
            <w:tcW w:w="577" w:type="dxa"/>
            <w:vAlign w:val="top"/>
          </w:tcPr>
          <w:p>
            <w:pPr>
              <w:spacing w:before="192" w:line="192" w:lineRule="auto"/>
              <w:ind w:left="158"/>
              <w:rPr>
                <w:rFonts w:ascii="宋体" w:hAnsi="宋体" w:eastAsia="宋体" w:cs="宋体"/>
                <w:sz w:val="17"/>
                <w:szCs w:val="17"/>
              </w:rPr>
            </w:pPr>
            <w:r>
              <w:rPr>
                <w:rFonts w:ascii="宋体" w:hAnsi="宋体" w:eastAsia="宋体" w:cs="宋体"/>
                <w:spacing w:val="2"/>
                <w:sz w:val="17"/>
                <w:szCs w:val="17"/>
              </w:rPr>
              <w:t>23</w:t>
            </w:r>
            <w:r>
              <w:rPr>
                <w:rFonts w:ascii="宋体" w:hAnsi="宋体" w:eastAsia="宋体" w:cs="宋体"/>
                <w:spacing w:val="1"/>
                <w:sz w:val="17"/>
                <w:szCs w:val="17"/>
              </w:rPr>
              <w:t>2</w:t>
            </w:r>
          </w:p>
        </w:tc>
        <w:tc>
          <w:tcPr>
            <w:tcW w:w="535" w:type="dxa"/>
            <w:vAlign w:val="top"/>
          </w:tcPr>
          <w:p>
            <w:pPr>
              <w:spacing w:before="192" w:line="192" w:lineRule="auto"/>
              <w:ind w:left="183"/>
              <w:rPr>
                <w:rFonts w:ascii="宋体" w:hAnsi="宋体" w:eastAsia="宋体" w:cs="宋体"/>
                <w:sz w:val="17"/>
                <w:szCs w:val="17"/>
              </w:rPr>
            </w:pPr>
            <w:r>
              <w:rPr>
                <w:rFonts w:ascii="宋体" w:hAnsi="宋体" w:eastAsia="宋体" w:cs="宋体"/>
                <w:sz w:val="17"/>
                <w:szCs w:val="17"/>
              </w:rPr>
              <w:t>33</w:t>
            </w:r>
          </w:p>
        </w:tc>
        <w:tc>
          <w:tcPr>
            <w:tcW w:w="577" w:type="dxa"/>
            <w:vAlign w:val="top"/>
          </w:tcPr>
          <w:p>
            <w:pPr>
              <w:spacing w:before="191" w:line="193" w:lineRule="auto"/>
              <w:ind w:left="169"/>
              <w:rPr>
                <w:rFonts w:ascii="宋体" w:hAnsi="宋体" w:eastAsia="宋体" w:cs="宋体"/>
                <w:sz w:val="17"/>
                <w:szCs w:val="17"/>
              </w:rPr>
            </w:pPr>
            <w:r>
              <w:rPr>
                <w:rFonts w:ascii="宋体" w:hAnsi="宋体" w:eastAsia="宋体" w:cs="宋体"/>
                <w:spacing w:val="-2"/>
                <w:sz w:val="17"/>
                <w:szCs w:val="17"/>
              </w:rPr>
              <w:t>182</w:t>
            </w:r>
          </w:p>
        </w:tc>
        <w:tc>
          <w:tcPr>
            <w:tcW w:w="535" w:type="dxa"/>
            <w:vAlign w:val="top"/>
          </w:tcPr>
          <w:p>
            <w:pPr>
              <w:spacing w:before="192" w:line="192" w:lineRule="auto"/>
              <w:ind w:left="183"/>
              <w:rPr>
                <w:rFonts w:ascii="宋体" w:hAnsi="宋体" w:eastAsia="宋体" w:cs="宋体"/>
                <w:sz w:val="17"/>
                <w:szCs w:val="17"/>
              </w:rPr>
            </w:pPr>
            <w:r>
              <w:rPr>
                <w:rFonts w:ascii="宋体" w:hAnsi="宋体" w:eastAsia="宋体" w:cs="宋体"/>
                <w:spacing w:val="1"/>
                <w:sz w:val="17"/>
                <w:szCs w:val="17"/>
              </w:rPr>
              <w:t>26</w:t>
            </w:r>
          </w:p>
        </w:tc>
        <w:tc>
          <w:tcPr>
            <w:tcW w:w="577" w:type="dxa"/>
            <w:vAlign w:val="top"/>
          </w:tcPr>
          <w:p>
            <w:pPr>
              <w:spacing w:before="192" w:line="194" w:lineRule="auto"/>
              <w:ind w:left="170"/>
              <w:rPr>
                <w:rFonts w:ascii="宋体" w:hAnsi="宋体" w:eastAsia="宋体" w:cs="宋体"/>
                <w:sz w:val="17"/>
                <w:szCs w:val="17"/>
              </w:rPr>
            </w:pPr>
            <w:r>
              <w:rPr>
                <w:rFonts w:ascii="宋体" w:hAnsi="宋体" w:eastAsia="宋体" w:cs="宋体"/>
                <w:spacing w:val="-2"/>
                <w:sz w:val="17"/>
                <w:szCs w:val="17"/>
              </w:rPr>
              <w:t>121</w:t>
            </w:r>
          </w:p>
        </w:tc>
        <w:tc>
          <w:tcPr>
            <w:tcW w:w="535" w:type="dxa"/>
            <w:vAlign w:val="top"/>
          </w:tcPr>
          <w:p>
            <w:pPr>
              <w:spacing w:before="191" w:line="193" w:lineRule="auto"/>
              <w:ind w:left="193"/>
              <w:rPr>
                <w:rFonts w:ascii="宋体" w:hAnsi="宋体" w:eastAsia="宋体" w:cs="宋体"/>
                <w:sz w:val="17"/>
                <w:szCs w:val="17"/>
              </w:rPr>
            </w:pPr>
            <w:r>
              <w:rPr>
                <w:rFonts w:ascii="宋体" w:hAnsi="宋体" w:eastAsia="宋体" w:cs="宋体"/>
                <w:spacing w:val="-6"/>
                <w:sz w:val="17"/>
                <w:szCs w:val="17"/>
              </w:rPr>
              <w:t>1</w:t>
            </w:r>
            <w:r>
              <w:rPr>
                <w:rFonts w:ascii="宋体" w:hAnsi="宋体" w:eastAsia="宋体" w:cs="宋体"/>
                <w:spacing w:val="-4"/>
                <w:sz w:val="17"/>
                <w:szCs w:val="17"/>
              </w:rPr>
              <w:t>7</w:t>
            </w:r>
          </w:p>
        </w:tc>
        <w:tc>
          <w:tcPr>
            <w:tcW w:w="577" w:type="dxa"/>
            <w:vAlign w:val="top"/>
          </w:tcPr>
          <w:p>
            <w:pPr>
              <w:spacing w:before="192" w:line="192" w:lineRule="auto"/>
              <w:ind w:left="160"/>
              <w:rPr>
                <w:rFonts w:ascii="宋体" w:hAnsi="宋体" w:eastAsia="宋体" w:cs="宋体"/>
                <w:sz w:val="17"/>
                <w:szCs w:val="17"/>
              </w:rPr>
            </w:pPr>
            <w:r>
              <w:rPr>
                <w:rFonts w:ascii="宋体" w:hAnsi="宋体" w:eastAsia="宋体" w:cs="宋体"/>
                <w:spacing w:val="2"/>
                <w:sz w:val="17"/>
                <w:szCs w:val="17"/>
              </w:rPr>
              <w:t>5</w:t>
            </w:r>
            <w:r>
              <w:rPr>
                <w:rFonts w:ascii="宋体" w:hAnsi="宋体" w:eastAsia="宋体" w:cs="宋体"/>
                <w:spacing w:val="1"/>
                <w:sz w:val="17"/>
                <w:szCs w:val="17"/>
              </w:rPr>
              <w:t>35</w:t>
            </w:r>
          </w:p>
        </w:tc>
        <w:tc>
          <w:tcPr>
            <w:tcW w:w="603" w:type="dxa"/>
            <w:vAlign w:val="top"/>
          </w:tcPr>
          <w:p>
            <w:pPr>
              <w:spacing w:before="192" w:line="192" w:lineRule="auto"/>
              <w:ind w:left="220"/>
              <w:rPr>
                <w:rFonts w:ascii="宋体" w:hAnsi="宋体" w:eastAsia="宋体" w:cs="宋体"/>
                <w:sz w:val="17"/>
                <w:szCs w:val="17"/>
              </w:rPr>
            </w:pPr>
            <w:r>
              <w:rPr>
                <w:rFonts w:ascii="宋体" w:hAnsi="宋体" w:eastAsia="宋体" w:cs="宋体"/>
                <w:spacing w:val="-1"/>
                <w:sz w:val="17"/>
                <w:szCs w:val="17"/>
              </w:rPr>
              <w:t>7</w:t>
            </w:r>
            <w:r>
              <w:rPr>
                <w:rFonts w:ascii="宋体" w:hAnsi="宋体" w:eastAsia="宋体" w:cs="宋体"/>
                <w:sz w:val="17"/>
                <w:szCs w:val="17"/>
              </w:rPr>
              <w:t>6</w:t>
            </w:r>
          </w:p>
        </w:tc>
        <w:tc>
          <w:tcPr>
            <w:tcW w:w="528" w:type="dxa"/>
            <w:vAlign w:val="top"/>
          </w:tcPr>
          <w:p>
            <w:pPr>
              <w:spacing w:before="192" w:line="192" w:lineRule="auto"/>
              <w:ind w:left="176"/>
              <w:rPr>
                <w:rFonts w:ascii="宋体" w:hAnsi="宋体" w:eastAsia="宋体" w:cs="宋体"/>
                <w:sz w:val="17"/>
                <w:szCs w:val="17"/>
              </w:rPr>
            </w:pPr>
            <w:r>
              <w:rPr>
                <w:rFonts w:ascii="宋体" w:hAnsi="宋体" w:eastAsia="宋体" w:cs="宋体"/>
                <w:spacing w:val="2"/>
                <w:sz w:val="17"/>
                <w:szCs w:val="17"/>
              </w:rPr>
              <w:t>40</w:t>
            </w:r>
          </w:p>
        </w:tc>
        <w:tc>
          <w:tcPr>
            <w:tcW w:w="533" w:type="dxa"/>
            <w:vAlign w:val="top"/>
          </w:tcPr>
          <w:p>
            <w:pPr>
              <w:spacing w:before="192" w:line="192" w:lineRule="auto"/>
              <w:ind w:left="178"/>
              <w:rPr>
                <w:rFonts w:ascii="宋体" w:hAnsi="宋体" w:eastAsia="宋体" w:cs="宋体"/>
                <w:sz w:val="17"/>
                <w:szCs w:val="17"/>
              </w:rPr>
            </w:pPr>
            <w:r>
              <w:rPr>
                <w:rFonts w:ascii="宋体" w:hAnsi="宋体" w:eastAsia="宋体" w:cs="宋体"/>
                <w:spacing w:val="2"/>
                <w:sz w:val="17"/>
                <w:szCs w:val="17"/>
              </w:rPr>
              <w:t>40</w:t>
            </w:r>
          </w:p>
        </w:tc>
        <w:tc>
          <w:tcPr>
            <w:tcW w:w="528" w:type="dxa"/>
            <w:vAlign w:val="top"/>
          </w:tcPr>
          <w:p>
            <w:pPr>
              <w:spacing w:before="192" w:line="192" w:lineRule="auto"/>
              <w:ind w:left="175"/>
              <w:rPr>
                <w:rFonts w:ascii="宋体" w:hAnsi="宋体" w:eastAsia="宋体" w:cs="宋体"/>
                <w:sz w:val="17"/>
                <w:szCs w:val="17"/>
              </w:rPr>
            </w:pPr>
            <w:r>
              <w:rPr>
                <w:rFonts w:ascii="宋体" w:hAnsi="宋体" w:eastAsia="宋体" w:cs="宋体"/>
                <w:spacing w:val="2"/>
                <w:sz w:val="17"/>
                <w:szCs w:val="17"/>
              </w:rPr>
              <w:t>40</w:t>
            </w:r>
          </w:p>
        </w:tc>
        <w:tc>
          <w:tcPr>
            <w:tcW w:w="533" w:type="dxa"/>
            <w:vAlign w:val="top"/>
          </w:tcPr>
          <w:p>
            <w:pPr>
              <w:spacing w:before="192" w:line="192" w:lineRule="auto"/>
              <w:ind w:left="178"/>
              <w:rPr>
                <w:rFonts w:ascii="宋体" w:hAnsi="宋体" w:eastAsia="宋体" w:cs="宋体"/>
                <w:sz w:val="17"/>
                <w:szCs w:val="17"/>
              </w:rPr>
            </w:pPr>
            <w:r>
              <w:rPr>
                <w:rFonts w:ascii="宋体" w:hAnsi="宋体" w:eastAsia="宋体" w:cs="宋体"/>
                <w:spacing w:val="2"/>
                <w:sz w:val="17"/>
                <w:szCs w:val="17"/>
              </w:rPr>
              <w:t>40</w:t>
            </w:r>
          </w:p>
        </w:tc>
        <w:tc>
          <w:tcPr>
            <w:tcW w:w="528" w:type="dxa"/>
            <w:vAlign w:val="top"/>
          </w:tcPr>
          <w:p>
            <w:pPr>
              <w:spacing w:before="192" w:line="192" w:lineRule="auto"/>
              <w:ind w:left="178"/>
              <w:rPr>
                <w:rFonts w:ascii="宋体" w:hAnsi="宋体" w:eastAsia="宋体" w:cs="宋体"/>
                <w:sz w:val="17"/>
                <w:szCs w:val="17"/>
              </w:rPr>
            </w:pPr>
            <w:r>
              <w:rPr>
                <w:rFonts w:ascii="宋体" w:hAnsi="宋体" w:eastAsia="宋体" w:cs="宋体"/>
                <w:spacing w:val="2"/>
                <w:sz w:val="17"/>
                <w:szCs w:val="17"/>
              </w:rPr>
              <w:t>40</w:t>
            </w:r>
          </w:p>
        </w:tc>
        <w:tc>
          <w:tcPr>
            <w:tcW w:w="547" w:type="dxa"/>
            <w:vAlign w:val="top"/>
          </w:tcPr>
          <w:p>
            <w:pPr>
              <w:spacing w:before="192" w:line="192" w:lineRule="auto"/>
              <w:ind w:left="185"/>
              <w:rPr>
                <w:rFonts w:ascii="宋体" w:hAnsi="宋体" w:eastAsia="宋体" w:cs="宋体"/>
                <w:sz w:val="17"/>
                <w:szCs w:val="17"/>
              </w:rPr>
            </w:pPr>
            <w:r>
              <w:rPr>
                <w:rFonts w:ascii="宋体" w:hAnsi="宋体" w:eastAsia="宋体" w:cs="宋体"/>
                <w:spacing w:val="2"/>
                <w:sz w:val="17"/>
                <w:szCs w:val="17"/>
              </w:rPr>
              <w:t>40</w:t>
            </w:r>
          </w:p>
        </w:tc>
        <w:tc>
          <w:tcPr>
            <w:tcW w:w="681" w:type="dxa"/>
            <w:vAlign w:val="top"/>
          </w:tcPr>
          <w:p>
            <w:pPr>
              <w:spacing w:before="190" w:line="192" w:lineRule="auto"/>
              <w:ind w:left="166"/>
              <w:rPr>
                <w:rFonts w:ascii="宋体" w:hAnsi="宋体" w:eastAsia="宋体" w:cs="宋体"/>
                <w:sz w:val="17"/>
                <w:szCs w:val="17"/>
              </w:rPr>
            </w:pPr>
            <w:r>
              <w:rPr>
                <w:rFonts w:ascii="宋体" w:hAnsi="宋体" w:eastAsia="宋体" w:cs="宋体"/>
                <w:spacing w:val="4"/>
                <w:sz w:val="17"/>
                <w:szCs w:val="17"/>
              </w:rPr>
              <w:t>65.6</w:t>
            </w:r>
          </w:p>
        </w:tc>
        <w:tc>
          <w:tcPr>
            <w:tcW w:w="685" w:type="dxa"/>
            <w:vAlign w:val="top"/>
          </w:tcPr>
          <w:p>
            <w:pPr>
              <w:spacing w:before="190" w:line="192" w:lineRule="auto"/>
              <w:ind w:left="169"/>
              <w:rPr>
                <w:rFonts w:ascii="宋体" w:hAnsi="宋体" w:eastAsia="宋体" w:cs="宋体"/>
                <w:sz w:val="17"/>
                <w:szCs w:val="17"/>
              </w:rPr>
            </w:pPr>
            <w:r>
              <w:rPr>
                <w:rFonts w:ascii="宋体" w:hAnsi="宋体" w:eastAsia="宋体" w:cs="宋体"/>
                <w:spacing w:val="4"/>
                <w:sz w:val="17"/>
                <w:szCs w:val="17"/>
              </w:rPr>
              <w:t>65.</w:t>
            </w:r>
            <w:r>
              <w:rPr>
                <w:rFonts w:ascii="宋体" w:hAnsi="宋体" w:eastAsia="宋体" w:cs="宋体"/>
                <w:spacing w:val="3"/>
                <w:sz w:val="17"/>
                <w:szCs w:val="17"/>
              </w:rPr>
              <w:t>8</w:t>
            </w:r>
          </w:p>
        </w:tc>
        <w:tc>
          <w:tcPr>
            <w:tcW w:w="652" w:type="dxa"/>
            <w:vAlign w:val="top"/>
          </w:tcPr>
          <w:p>
            <w:pPr>
              <w:spacing w:before="190" w:line="192" w:lineRule="auto"/>
              <w:ind w:left="153"/>
              <w:rPr>
                <w:rFonts w:ascii="宋体" w:hAnsi="宋体" w:eastAsia="宋体" w:cs="宋体"/>
                <w:sz w:val="17"/>
                <w:szCs w:val="17"/>
              </w:rPr>
            </w:pPr>
            <w:r>
              <w:rPr>
                <w:rFonts w:ascii="宋体" w:hAnsi="宋体" w:eastAsia="宋体" w:cs="宋体"/>
                <w:spacing w:val="7"/>
                <w:sz w:val="17"/>
                <w:szCs w:val="17"/>
              </w:rPr>
              <w:t>6</w:t>
            </w:r>
            <w:r>
              <w:rPr>
                <w:rFonts w:ascii="宋体" w:hAnsi="宋体" w:eastAsia="宋体" w:cs="宋体"/>
                <w:spacing w:val="4"/>
                <w:sz w:val="17"/>
                <w:szCs w:val="17"/>
              </w:rPr>
              <w:t>4.7</w:t>
            </w:r>
          </w:p>
        </w:tc>
        <w:tc>
          <w:tcPr>
            <w:tcW w:w="636" w:type="dxa"/>
            <w:vAlign w:val="top"/>
          </w:tcPr>
          <w:p>
            <w:pPr>
              <w:spacing w:before="189" w:line="193" w:lineRule="auto"/>
              <w:ind w:left="144"/>
              <w:rPr>
                <w:rFonts w:ascii="宋体" w:hAnsi="宋体" w:eastAsia="宋体" w:cs="宋体"/>
                <w:sz w:val="17"/>
                <w:szCs w:val="17"/>
              </w:rPr>
            </w:pPr>
            <w:r>
              <w:rPr>
                <w:rFonts w:ascii="宋体" w:hAnsi="宋体" w:eastAsia="宋体" w:cs="宋体"/>
                <w:spacing w:val="7"/>
                <w:sz w:val="17"/>
                <w:szCs w:val="17"/>
              </w:rPr>
              <w:t>64.1</w:t>
            </w:r>
          </w:p>
        </w:tc>
        <w:tc>
          <w:tcPr>
            <w:tcW w:w="684" w:type="dxa"/>
            <w:vAlign w:val="top"/>
          </w:tcPr>
          <w:p>
            <w:pPr>
              <w:spacing w:before="189" w:line="193" w:lineRule="auto"/>
              <w:ind w:left="171"/>
              <w:rPr>
                <w:rFonts w:ascii="宋体" w:hAnsi="宋体" w:eastAsia="宋体" w:cs="宋体"/>
                <w:sz w:val="17"/>
                <w:szCs w:val="17"/>
              </w:rPr>
            </w:pPr>
            <w:r>
              <w:rPr>
                <w:rFonts w:ascii="宋体" w:hAnsi="宋体" w:eastAsia="宋体" w:cs="宋体"/>
                <w:spacing w:val="7"/>
                <w:sz w:val="17"/>
                <w:szCs w:val="17"/>
              </w:rPr>
              <w:t>7</w:t>
            </w:r>
            <w:r>
              <w:rPr>
                <w:rFonts w:ascii="宋体" w:hAnsi="宋体" w:eastAsia="宋体" w:cs="宋体"/>
                <w:spacing w:val="6"/>
                <w:sz w:val="17"/>
                <w:szCs w:val="17"/>
              </w:rPr>
              <w:t>2.1</w:t>
            </w:r>
          </w:p>
        </w:tc>
        <w:tc>
          <w:tcPr>
            <w:tcW w:w="641" w:type="dxa"/>
            <w:vAlign w:val="top"/>
          </w:tcPr>
          <w:p>
            <w:pPr>
              <w:spacing w:before="189" w:line="193" w:lineRule="auto"/>
              <w:ind w:left="150"/>
              <w:rPr>
                <w:rFonts w:ascii="宋体" w:hAnsi="宋体" w:eastAsia="宋体" w:cs="宋体"/>
                <w:sz w:val="17"/>
                <w:szCs w:val="17"/>
              </w:rPr>
            </w:pPr>
            <w:r>
              <w:rPr>
                <w:rFonts w:ascii="宋体" w:hAnsi="宋体" w:eastAsia="宋体" w:cs="宋体"/>
                <w:spacing w:val="4"/>
                <w:sz w:val="17"/>
                <w:szCs w:val="17"/>
              </w:rPr>
              <w:t>71.7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735" w:type="dxa"/>
            <w:vMerge w:val="continue"/>
            <w:tcBorders>
              <w:top w:val="nil"/>
              <w:bottom w:val="nil"/>
            </w:tcBorders>
            <w:vAlign w:val="top"/>
          </w:tcPr>
          <w:p>
            <w:pPr>
              <w:rPr>
                <w:rFonts w:ascii="Arial"/>
                <w:sz w:val="21"/>
              </w:rPr>
            </w:pPr>
          </w:p>
        </w:tc>
        <w:tc>
          <w:tcPr>
            <w:tcW w:w="775" w:type="dxa"/>
            <w:vAlign w:val="top"/>
          </w:tcPr>
          <w:p>
            <w:pPr>
              <w:spacing w:before="182" w:line="231" w:lineRule="auto"/>
              <w:ind w:left="228"/>
              <w:rPr>
                <w:rFonts w:ascii="宋体" w:hAnsi="宋体" w:eastAsia="宋体" w:cs="宋体"/>
                <w:sz w:val="17"/>
                <w:szCs w:val="17"/>
              </w:rPr>
            </w:pPr>
            <w:r>
              <w:rPr>
                <w:rFonts w:ascii="宋体" w:hAnsi="宋体" w:eastAsia="宋体" w:cs="宋体"/>
                <w:spacing w:val="-2"/>
                <w:sz w:val="17"/>
                <w:szCs w:val="17"/>
              </w:rPr>
              <w:t>中期</w:t>
            </w:r>
          </w:p>
        </w:tc>
        <w:tc>
          <w:tcPr>
            <w:tcW w:w="577" w:type="dxa"/>
            <w:vAlign w:val="top"/>
          </w:tcPr>
          <w:p>
            <w:pPr>
              <w:spacing w:before="191" w:line="192" w:lineRule="auto"/>
              <w:ind w:left="160"/>
              <w:rPr>
                <w:rFonts w:ascii="宋体" w:hAnsi="宋体" w:eastAsia="宋体" w:cs="宋体"/>
                <w:sz w:val="17"/>
                <w:szCs w:val="17"/>
              </w:rPr>
            </w:pPr>
            <w:r>
              <w:rPr>
                <w:rFonts w:ascii="宋体" w:hAnsi="宋体" w:eastAsia="宋体" w:cs="宋体"/>
                <w:spacing w:val="2"/>
                <w:sz w:val="17"/>
                <w:szCs w:val="17"/>
              </w:rPr>
              <w:t>3</w:t>
            </w:r>
            <w:r>
              <w:rPr>
                <w:rFonts w:ascii="宋体" w:hAnsi="宋体" w:eastAsia="宋体" w:cs="宋体"/>
                <w:spacing w:val="1"/>
                <w:sz w:val="17"/>
                <w:szCs w:val="17"/>
              </w:rPr>
              <w:t>55</w:t>
            </w:r>
          </w:p>
        </w:tc>
        <w:tc>
          <w:tcPr>
            <w:tcW w:w="535" w:type="dxa"/>
            <w:vAlign w:val="top"/>
          </w:tcPr>
          <w:p>
            <w:pPr>
              <w:spacing w:before="191" w:line="193" w:lineRule="auto"/>
              <w:ind w:left="183"/>
              <w:rPr>
                <w:rFonts w:ascii="宋体" w:hAnsi="宋体" w:eastAsia="宋体" w:cs="宋体"/>
                <w:sz w:val="17"/>
                <w:szCs w:val="17"/>
              </w:rPr>
            </w:pPr>
            <w:r>
              <w:rPr>
                <w:rFonts w:ascii="宋体" w:hAnsi="宋体" w:eastAsia="宋体" w:cs="宋体"/>
                <w:sz w:val="17"/>
                <w:szCs w:val="17"/>
              </w:rPr>
              <w:t>51</w:t>
            </w:r>
          </w:p>
        </w:tc>
        <w:tc>
          <w:tcPr>
            <w:tcW w:w="577" w:type="dxa"/>
            <w:vAlign w:val="top"/>
          </w:tcPr>
          <w:p>
            <w:pPr>
              <w:spacing w:before="191" w:line="192" w:lineRule="auto"/>
              <w:ind w:left="158"/>
              <w:rPr>
                <w:rFonts w:ascii="宋体" w:hAnsi="宋体" w:eastAsia="宋体" w:cs="宋体"/>
                <w:sz w:val="17"/>
                <w:szCs w:val="17"/>
              </w:rPr>
            </w:pPr>
            <w:r>
              <w:rPr>
                <w:rFonts w:ascii="宋体" w:hAnsi="宋体" w:eastAsia="宋体" w:cs="宋体"/>
                <w:spacing w:val="2"/>
                <w:sz w:val="17"/>
                <w:szCs w:val="17"/>
              </w:rPr>
              <w:t>23</w:t>
            </w:r>
            <w:r>
              <w:rPr>
                <w:rFonts w:ascii="宋体" w:hAnsi="宋体" w:eastAsia="宋体" w:cs="宋体"/>
                <w:spacing w:val="1"/>
                <w:sz w:val="17"/>
                <w:szCs w:val="17"/>
              </w:rPr>
              <w:t>0</w:t>
            </w:r>
          </w:p>
        </w:tc>
        <w:tc>
          <w:tcPr>
            <w:tcW w:w="535" w:type="dxa"/>
            <w:vAlign w:val="top"/>
          </w:tcPr>
          <w:p>
            <w:pPr>
              <w:spacing w:before="191" w:line="192" w:lineRule="auto"/>
              <w:ind w:left="185"/>
              <w:rPr>
                <w:rFonts w:ascii="宋体" w:hAnsi="宋体" w:eastAsia="宋体" w:cs="宋体"/>
                <w:sz w:val="17"/>
                <w:szCs w:val="17"/>
              </w:rPr>
            </w:pPr>
            <w:r>
              <w:rPr>
                <w:rFonts w:ascii="宋体" w:hAnsi="宋体" w:eastAsia="宋体" w:cs="宋体"/>
                <w:sz w:val="17"/>
                <w:szCs w:val="17"/>
              </w:rPr>
              <w:t>33</w:t>
            </w:r>
          </w:p>
        </w:tc>
        <w:tc>
          <w:tcPr>
            <w:tcW w:w="577" w:type="dxa"/>
            <w:vAlign w:val="top"/>
          </w:tcPr>
          <w:p>
            <w:pPr>
              <w:spacing w:before="191" w:line="193" w:lineRule="auto"/>
              <w:ind w:left="170"/>
              <w:rPr>
                <w:rFonts w:ascii="宋体" w:hAnsi="宋体" w:eastAsia="宋体" w:cs="宋体"/>
                <w:sz w:val="17"/>
                <w:szCs w:val="17"/>
              </w:rPr>
            </w:pPr>
            <w:r>
              <w:rPr>
                <w:rFonts w:ascii="宋体" w:hAnsi="宋体" w:eastAsia="宋体" w:cs="宋体"/>
                <w:spacing w:val="-2"/>
                <w:sz w:val="17"/>
                <w:szCs w:val="17"/>
              </w:rPr>
              <w:t>161</w:t>
            </w:r>
          </w:p>
        </w:tc>
        <w:tc>
          <w:tcPr>
            <w:tcW w:w="535" w:type="dxa"/>
            <w:vAlign w:val="top"/>
          </w:tcPr>
          <w:p>
            <w:pPr>
              <w:spacing w:before="191" w:line="192" w:lineRule="auto"/>
              <w:ind w:left="182"/>
              <w:rPr>
                <w:rFonts w:ascii="宋体" w:hAnsi="宋体" w:eastAsia="宋体" w:cs="宋体"/>
                <w:sz w:val="17"/>
                <w:szCs w:val="17"/>
              </w:rPr>
            </w:pPr>
            <w:r>
              <w:rPr>
                <w:rFonts w:ascii="宋体" w:hAnsi="宋体" w:eastAsia="宋体" w:cs="宋体"/>
                <w:spacing w:val="1"/>
                <w:sz w:val="17"/>
                <w:szCs w:val="17"/>
              </w:rPr>
              <w:t>23</w:t>
            </w:r>
          </w:p>
        </w:tc>
        <w:tc>
          <w:tcPr>
            <w:tcW w:w="577" w:type="dxa"/>
            <w:vAlign w:val="top"/>
          </w:tcPr>
          <w:p>
            <w:pPr>
              <w:spacing w:before="191" w:line="192" w:lineRule="auto"/>
              <w:ind w:left="161"/>
              <w:rPr>
                <w:rFonts w:ascii="宋体" w:hAnsi="宋体" w:eastAsia="宋体" w:cs="宋体"/>
                <w:sz w:val="17"/>
                <w:szCs w:val="17"/>
              </w:rPr>
            </w:pPr>
            <w:r>
              <w:rPr>
                <w:rFonts w:ascii="宋体" w:hAnsi="宋体" w:eastAsia="宋体" w:cs="宋体"/>
                <w:spacing w:val="1"/>
                <w:sz w:val="17"/>
                <w:szCs w:val="17"/>
              </w:rPr>
              <w:t>746</w:t>
            </w:r>
          </w:p>
        </w:tc>
        <w:tc>
          <w:tcPr>
            <w:tcW w:w="603" w:type="dxa"/>
            <w:vAlign w:val="top"/>
          </w:tcPr>
          <w:p>
            <w:pPr>
              <w:spacing w:before="191" w:line="193" w:lineRule="auto"/>
              <w:ind w:left="183"/>
              <w:rPr>
                <w:rFonts w:ascii="宋体" w:hAnsi="宋体" w:eastAsia="宋体" w:cs="宋体"/>
                <w:sz w:val="17"/>
                <w:szCs w:val="17"/>
              </w:rPr>
            </w:pPr>
            <w:r>
              <w:rPr>
                <w:rFonts w:ascii="宋体" w:hAnsi="宋体" w:eastAsia="宋体" w:cs="宋体"/>
                <w:spacing w:val="-2"/>
                <w:sz w:val="17"/>
                <w:szCs w:val="17"/>
              </w:rPr>
              <w:t>107</w:t>
            </w:r>
          </w:p>
        </w:tc>
        <w:tc>
          <w:tcPr>
            <w:tcW w:w="528" w:type="dxa"/>
            <w:vAlign w:val="top"/>
          </w:tcPr>
          <w:p>
            <w:pPr>
              <w:spacing w:before="191" w:line="192" w:lineRule="auto"/>
              <w:ind w:left="176"/>
              <w:rPr>
                <w:rFonts w:ascii="宋体" w:hAnsi="宋体" w:eastAsia="宋体" w:cs="宋体"/>
                <w:sz w:val="17"/>
                <w:szCs w:val="17"/>
              </w:rPr>
            </w:pPr>
            <w:r>
              <w:rPr>
                <w:rFonts w:ascii="宋体" w:hAnsi="宋体" w:eastAsia="宋体" w:cs="宋体"/>
                <w:spacing w:val="2"/>
                <w:sz w:val="17"/>
                <w:szCs w:val="17"/>
              </w:rPr>
              <w:t>40</w:t>
            </w:r>
          </w:p>
        </w:tc>
        <w:tc>
          <w:tcPr>
            <w:tcW w:w="533" w:type="dxa"/>
            <w:vAlign w:val="top"/>
          </w:tcPr>
          <w:p>
            <w:pPr>
              <w:spacing w:before="191" w:line="192" w:lineRule="auto"/>
              <w:ind w:left="178"/>
              <w:rPr>
                <w:rFonts w:ascii="宋体" w:hAnsi="宋体" w:eastAsia="宋体" w:cs="宋体"/>
                <w:sz w:val="17"/>
                <w:szCs w:val="17"/>
              </w:rPr>
            </w:pPr>
            <w:r>
              <w:rPr>
                <w:rFonts w:ascii="宋体" w:hAnsi="宋体" w:eastAsia="宋体" w:cs="宋体"/>
                <w:spacing w:val="2"/>
                <w:sz w:val="17"/>
                <w:szCs w:val="17"/>
              </w:rPr>
              <w:t>40</w:t>
            </w:r>
          </w:p>
        </w:tc>
        <w:tc>
          <w:tcPr>
            <w:tcW w:w="528" w:type="dxa"/>
            <w:vAlign w:val="top"/>
          </w:tcPr>
          <w:p>
            <w:pPr>
              <w:spacing w:before="191" w:line="192" w:lineRule="auto"/>
              <w:ind w:left="175"/>
              <w:rPr>
                <w:rFonts w:ascii="宋体" w:hAnsi="宋体" w:eastAsia="宋体" w:cs="宋体"/>
                <w:sz w:val="17"/>
                <w:szCs w:val="17"/>
              </w:rPr>
            </w:pPr>
            <w:r>
              <w:rPr>
                <w:rFonts w:ascii="宋体" w:hAnsi="宋体" w:eastAsia="宋体" w:cs="宋体"/>
                <w:spacing w:val="2"/>
                <w:sz w:val="17"/>
                <w:szCs w:val="17"/>
              </w:rPr>
              <w:t>40</w:t>
            </w:r>
          </w:p>
        </w:tc>
        <w:tc>
          <w:tcPr>
            <w:tcW w:w="533" w:type="dxa"/>
            <w:vAlign w:val="top"/>
          </w:tcPr>
          <w:p>
            <w:pPr>
              <w:spacing w:before="191" w:line="192" w:lineRule="auto"/>
              <w:ind w:left="178"/>
              <w:rPr>
                <w:rFonts w:ascii="宋体" w:hAnsi="宋体" w:eastAsia="宋体" w:cs="宋体"/>
                <w:sz w:val="17"/>
                <w:szCs w:val="17"/>
              </w:rPr>
            </w:pPr>
            <w:r>
              <w:rPr>
                <w:rFonts w:ascii="宋体" w:hAnsi="宋体" w:eastAsia="宋体" w:cs="宋体"/>
                <w:spacing w:val="2"/>
                <w:sz w:val="17"/>
                <w:szCs w:val="17"/>
              </w:rPr>
              <w:t>40</w:t>
            </w:r>
          </w:p>
        </w:tc>
        <w:tc>
          <w:tcPr>
            <w:tcW w:w="528" w:type="dxa"/>
            <w:vAlign w:val="top"/>
          </w:tcPr>
          <w:p>
            <w:pPr>
              <w:spacing w:before="191" w:line="192" w:lineRule="auto"/>
              <w:ind w:left="178"/>
              <w:rPr>
                <w:rFonts w:ascii="宋体" w:hAnsi="宋体" w:eastAsia="宋体" w:cs="宋体"/>
                <w:sz w:val="17"/>
                <w:szCs w:val="17"/>
              </w:rPr>
            </w:pPr>
            <w:r>
              <w:rPr>
                <w:rFonts w:ascii="宋体" w:hAnsi="宋体" w:eastAsia="宋体" w:cs="宋体"/>
                <w:spacing w:val="2"/>
                <w:sz w:val="17"/>
                <w:szCs w:val="17"/>
              </w:rPr>
              <w:t>40</w:t>
            </w:r>
          </w:p>
        </w:tc>
        <w:tc>
          <w:tcPr>
            <w:tcW w:w="547" w:type="dxa"/>
            <w:vAlign w:val="top"/>
          </w:tcPr>
          <w:p>
            <w:pPr>
              <w:spacing w:before="191" w:line="192" w:lineRule="auto"/>
              <w:ind w:left="185"/>
              <w:rPr>
                <w:rFonts w:ascii="宋体" w:hAnsi="宋体" w:eastAsia="宋体" w:cs="宋体"/>
                <w:sz w:val="17"/>
                <w:szCs w:val="17"/>
              </w:rPr>
            </w:pPr>
            <w:r>
              <w:rPr>
                <w:rFonts w:ascii="宋体" w:hAnsi="宋体" w:eastAsia="宋体" w:cs="宋体"/>
                <w:spacing w:val="2"/>
                <w:sz w:val="17"/>
                <w:szCs w:val="17"/>
              </w:rPr>
              <w:t>40</w:t>
            </w:r>
          </w:p>
        </w:tc>
        <w:tc>
          <w:tcPr>
            <w:tcW w:w="681" w:type="dxa"/>
            <w:vAlign w:val="top"/>
          </w:tcPr>
          <w:p>
            <w:pPr>
              <w:spacing w:before="191" w:line="192" w:lineRule="auto"/>
              <w:ind w:left="166"/>
              <w:rPr>
                <w:rFonts w:ascii="宋体" w:hAnsi="宋体" w:eastAsia="宋体" w:cs="宋体"/>
                <w:sz w:val="17"/>
                <w:szCs w:val="17"/>
              </w:rPr>
            </w:pPr>
            <w:r>
              <w:rPr>
                <w:rFonts w:ascii="宋体" w:hAnsi="宋体" w:eastAsia="宋体" w:cs="宋体"/>
                <w:spacing w:val="6"/>
                <w:sz w:val="17"/>
                <w:szCs w:val="17"/>
              </w:rPr>
              <w:t>6</w:t>
            </w:r>
            <w:r>
              <w:rPr>
                <w:rFonts w:ascii="宋体" w:hAnsi="宋体" w:eastAsia="宋体" w:cs="宋体"/>
                <w:spacing w:val="4"/>
                <w:sz w:val="17"/>
                <w:szCs w:val="17"/>
              </w:rPr>
              <w:t>5.5</w:t>
            </w:r>
          </w:p>
        </w:tc>
        <w:tc>
          <w:tcPr>
            <w:tcW w:w="685" w:type="dxa"/>
            <w:vAlign w:val="top"/>
          </w:tcPr>
          <w:p>
            <w:pPr>
              <w:spacing w:before="191" w:line="192" w:lineRule="auto"/>
              <w:ind w:left="169"/>
              <w:rPr>
                <w:rFonts w:ascii="宋体" w:hAnsi="宋体" w:eastAsia="宋体" w:cs="宋体"/>
                <w:sz w:val="17"/>
                <w:szCs w:val="17"/>
              </w:rPr>
            </w:pPr>
            <w:r>
              <w:rPr>
                <w:rFonts w:ascii="宋体" w:hAnsi="宋体" w:eastAsia="宋体" w:cs="宋体"/>
                <w:spacing w:val="4"/>
                <w:sz w:val="17"/>
                <w:szCs w:val="17"/>
              </w:rPr>
              <w:t>65.</w:t>
            </w:r>
            <w:r>
              <w:rPr>
                <w:rFonts w:ascii="宋体" w:hAnsi="宋体" w:eastAsia="宋体" w:cs="宋体"/>
                <w:spacing w:val="3"/>
                <w:sz w:val="17"/>
                <w:szCs w:val="17"/>
              </w:rPr>
              <w:t>8</w:t>
            </w:r>
          </w:p>
        </w:tc>
        <w:tc>
          <w:tcPr>
            <w:tcW w:w="652" w:type="dxa"/>
            <w:vAlign w:val="top"/>
          </w:tcPr>
          <w:p>
            <w:pPr>
              <w:spacing w:before="191" w:line="192" w:lineRule="auto"/>
              <w:ind w:left="153"/>
              <w:rPr>
                <w:rFonts w:ascii="宋体" w:hAnsi="宋体" w:eastAsia="宋体" w:cs="宋体"/>
                <w:sz w:val="17"/>
                <w:szCs w:val="17"/>
              </w:rPr>
            </w:pPr>
            <w:r>
              <w:rPr>
                <w:rFonts w:ascii="宋体" w:hAnsi="宋体" w:eastAsia="宋体" w:cs="宋体"/>
                <w:spacing w:val="4"/>
                <w:sz w:val="17"/>
                <w:szCs w:val="17"/>
              </w:rPr>
              <w:t>64.</w:t>
            </w:r>
            <w:r>
              <w:rPr>
                <w:rFonts w:ascii="宋体" w:hAnsi="宋体" w:eastAsia="宋体" w:cs="宋体"/>
                <w:spacing w:val="3"/>
                <w:sz w:val="17"/>
                <w:szCs w:val="17"/>
              </w:rPr>
              <w:t>9</w:t>
            </w:r>
          </w:p>
        </w:tc>
        <w:tc>
          <w:tcPr>
            <w:tcW w:w="636" w:type="dxa"/>
            <w:vAlign w:val="top"/>
          </w:tcPr>
          <w:p>
            <w:pPr>
              <w:spacing w:before="191" w:line="193" w:lineRule="auto"/>
              <w:ind w:left="144"/>
              <w:rPr>
                <w:rFonts w:ascii="宋体" w:hAnsi="宋体" w:eastAsia="宋体" w:cs="宋体"/>
                <w:sz w:val="17"/>
                <w:szCs w:val="17"/>
              </w:rPr>
            </w:pPr>
            <w:r>
              <w:rPr>
                <w:rFonts w:ascii="宋体" w:hAnsi="宋体" w:eastAsia="宋体" w:cs="宋体"/>
                <w:spacing w:val="7"/>
                <w:sz w:val="17"/>
                <w:szCs w:val="17"/>
              </w:rPr>
              <w:t>64.1</w:t>
            </w:r>
          </w:p>
        </w:tc>
        <w:tc>
          <w:tcPr>
            <w:tcW w:w="684" w:type="dxa"/>
            <w:vAlign w:val="top"/>
          </w:tcPr>
          <w:p>
            <w:pPr>
              <w:spacing w:before="191" w:line="192" w:lineRule="auto"/>
              <w:ind w:left="171"/>
              <w:rPr>
                <w:rFonts w:ascii="宋体" w:hAnsi="宋体" w:eastAsia="宋体" w:cs="宋体"/>
                <w:sz w:val="17"/>
                <w:szCs w:val="17"/>
              </w:rPr>
            </w:pPr>
            <w:r>
              <w:rPr>
                <w:rFonts w:ascii="宋体" w:hAnsi="宋体" w:eastAsia="宋体" w:cs="宋体"/>
                <w:spacing w:val="5"/>
                <w:sz w:val="17"/>
                <w:szCs w:val="17"/>
              </w:rPr>
              <w:t>7</w:t>
            </w:r>
            <w:r>
              <w:rPr>
                <w:rFonts w:ascii="宋体" w:hAnsi="宋体" w:eastAsia="宋体" w:cs="宋体"/>
                <w:spacing w:val="3"/>
                <w:sz w:val="17"/>
                <w:szCs w:val="17"/>
              </w:rPr>
              <w:t>2.2</w:t>
            </w:r>
          </w:p>
        </w:tc>
        <w:tc>
          <w:tcPr>
            <w:tcW w:w="641" w:type="dxa"/>
            <w:vAlign w:val="top"/>
          </w:tcPr>
          <w:p>
            <w:pPr>
              <w:spacing w:before="191" w:line="193" w:lineRule="auto"/>
              <w:ind w:left="150"/>
              <w:rPr>
                <w:rFonts w:ascii="宋体" w:hAnsi="宋体" w:eastAsia="宋体" w:cs="宋体"/>
                <w:sz w:val="17"/>
                <w:szCs w:val="17"/>
              </w:rPr>
            </w:pPr>
            <w:r>
              <w:rPr>
                <w:rFonts w:ascii="宋体" w:hAnsi="宋体" w:eastAsia="宋体" w:cs="宋体"/>
                <w:spacing w:val="4"/>
                <w:sz w:val="17"/>
                <w:szCs w:val="17"/>
              </w:rPr>
              <w:t>71.7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735" w:type="dxa"/>
            <w:vMerge w:val="continue"/>
            <w:tcBorders>
              <w:top w:val="nil"/>
            </w:tcBorders>
            <w:vAlign w:val="top"/>
          </w:tcPr>
          <w:p>
            <w:pPr>
              <w:rPr>
                <w:rFonts w:ascii="Arial"/>
                <w:sz w:val="21"/>
              </w:rPr>
            </w:pPr>
          </w:p>
        </w:tc>
        <w:tc>
          <w:tcPr>
            <w:tcW w:w="775" w:type="dxa"/>
            <w:vAlign w:val="top"/>
          </w:tcPr>
          <w:p>
            <w:pPr>
              <w:spacing w:before="215" w:line="231" w:lineRule="auto"/>
              <w:ind w:left="211"/>
              <w:rPr>
                <w:rFonts w:ascii="宋体" w:hAnsi="宋体" w:eastAsia="宋体" w:cs="宋体"/>
                <w:sz w:val="17"/>
                <w:szCs w:val="17"/>
              </w:rPr>
            </w:pPr>
            <w:r>
              <w:rPr>
                <w:rFonts w:ascii="宋体" w:hAnsi="宋体" w:eastAsia="宋体" w:cs="宋体"/>
                <w:spacing w:val="6"/>
                <w:sz w:val="17"/>
                <w:szCs w:val="17"/>
              </w:rPr>
              <w:t>远期</w:t>
            </w:r>
          </w:p>
        </w:tc>
        <w:tc>
          <w:tcPr>
            <w:tcW w:w="577" w:type="dxa"/>
            <w:vAlign w:val="top"/>
          </w:tcPr>
          <w:p>
            <w:pPr>
              <w:spacing w:before="224" w:line="192" w:lineRule="auto"/>
              <w:ind w:left="156"/>
              <w:rPr>
                <w:rFonts w:ascii="宋体" w:hAnsi="宋体" w:eastAsia="宋体" w:cs="宋体"/>
                <w:sz w:val="17"/>
                <w:szCs w:val="17"/>
              </w:rPr>
            </w:pPr>
            <w:r>
              <w:rPr>
                <w:rFonts w:ascii="宋体" w:hAnsi="宋体" w:eastAsia="宋体" w:cs="宋体"/>
                <w:spacing w:val="3"/>
                <w:sz w:val="17"/>
                <w:szCs w:val="17"/>
              </w:rPr>
              <w:t>48</w:t>
            </w:r>
            <w:r>
              <w:rPr>
                <w:rFonts w:ascii="宋体" w:hAnsi="宋体" w:eastAsia="宋体" w:cs="宋体"/>
                <w:spacing w:val="2"/>
                <w:sz w:val="17"/>
                <w:szCs w:val="17"/>
              </w:rPr>
              <w:t>8</w:t>
            </w:r>
          </w:p>
        </w:tc>
        <w:tc>
          <w:tcPr>
            <w:tcW w:w="535" w:type="dxa"/>
            <w:vAlign w:val="top"/>
          </w:tcPr>
          <w:p>
            <w:pPr>
              <w:spacing w:before="224" w:line="192" w:lineRule="auto"/>
              <w:ind w:left="184"/>
              <w:rPr>
                <w:rFonts w:ascii="宋体" w:hAnsi="宋体" w:eastAsia="宋体" w:cs="宋体"/>
                <w:sz w:val="17"/>
                <w:szCs w:val="17"/>
              </w:rPr>
            </w:pPr>
            <w:r>
              <w:rPr>
                <w:rFonts w:ascii="宋体" w:hAnsi="宋体" w:eastAsia="宋体" w:cs="宋体"/>
                <w:spacing w:val="-1"/>
                <w:sz w:val="17"/>
                <w:szCs w:val="17"/>
              </w:rPr>
              <w:t>7</w:t>
            </w:r>
            <w:r>
              <w:rPr>
                <w:rFonts w:ascii="宋体" w:hAnsi="宋体" w:eastAsia="宋体" w:cs="宋体"/>
                <w:sz w:val="17"/>
                <w:szCs w:val="17"/>
              </w:rPr>
              <w:t>0</w:t>
            </w:r>
          </w:p>
        </w:tc>
        <w:tc>
          <w:tcPr>
            <w:tcW w:w="577" w:type="dxa"/>
            <w:vAlign w:val="top"/>
          </w:tcPr>
          <w:p>
            <w:pPr>
              <w:spacing w:before="224" w:line="192" w:lineRule="auto"/>
              <w:ind w:left="158"/>
              <w:rPr>
                <w:rFonts w:ascii="宋体" w:hAnsi="宋体" w:eastAsia="宋体" w:cs="宋体"/>
                <w:sz w:val="17"/>
                <w:szCs w:val="17"/>
              </w:rPr>
            </w:pPr>
            <w:r>
              <w:rPr>
                <w:rFonts w:ascii="宋体" w:hAnsi="宋体" w:eastAsia="宋体" w:cs="宋体"/>
                <w:spacing w:val="2"/>
                <w:sz w:val="17"/>
                <w:szCs w:val="17"/>
              </w:rPr>
              <w:t>25</w:t>
            </w:r>
            <w:r>
              <w:rPr>
                <w:rFonts w:ascii="宋体" w:hAnsi="宋体" w:eastAsia="宋体" w:cs="宋体"/>
                <w:spacing w:val="1"/>
                <w:sz w:val="17"/>
                <w:szCs w:val="17"/>
              </w:rPr>
              <w:t>3</w:t>
            </w:r>
          </w:p>
        </w:tc>
        <w:tc>
          <w:tcPr>
            <w:tcW w:w="535" w:type="dxa"/>
            <w:vAlign w:val="top"/>
          </w:tcPr>
          <w:p>
            <w:pPr>
              <w:spacing w:before="224" w:line="192" w:lineRule="auto"/>
              <w:ind w:left="185"/>
              <w:rPr>
                <w:rFonts w:ascii="宋体" w:hAnsi="宋体" w:eastAsia="宋体" w:cs="宋体"/>
                <w:sz w:val="17"/>
                <w:szCs w:val="17"/>
              </w:rPr>
            </w:pPr>
            <w:r>
              <w:rPr>
                <w:rFonts w:ascii="宋体" w:hAnsi="宋体" w:eastAsia="宋体" w:cs="宋体"/>
                <w:sz w:val="17"/>
                <w:szCs w:val="17"/>
              </w:rPr>
              <w:t>36</w:t>
            </w:r>
          </w:p>
        </w:tc>
        <w:tc>
          <w:tcPr>
            <w:tcW w:w="577" w:type="dxa"/>
            <w:vAlign w:val="top"/>
          </w:tcPr>
          <w:p>
            <w:pPr>
              <w:spacing w:before="224" w:line="193" w:lineRule="auto"/>
              <w:ind w:left="170"/>
              <w:rPr>
                <w:rFonts w:ascii="宋体" w:hAnsi="宋体" w:eastAsia="宋体" w:cs="宋体"/>
                <w:sz w:val="17"/>
                <w:szCs w:val="17"/>
              </w:rPr>
            </w:pPr>
            <w:r>
              <w:rPr>
                <w:rFonts w:ascii="宋体" w:hAnsi="宋体" w:eastAsia="宋体" w:cs="宋体"/>
                <w:spacing w:val="-2"/>
                <w:sz w:val="17"/>
                <w:szCs w:val="17"/>
              </w:rPr>
              <w:t>163</w:t>
            </w:r>
          </w:p>
        </w:tc>
        <w:tc>
          <w:tcPr>
            <w:tcW w:w="535" w:type="dxa"/>
            <w:vAlign w:val="top"/>
          </w:tcPr>
          <w:p>
            <w:pPr>
              <w:spacing w:before="224" w:line="192" w:lineRule="auto"/>
              <w:ind w:left="182"/>
              <w:rPr>
                <w:rFonts w:ascii="宋体" w:hAnsi="宋体" w:eastAsia="宋体" w:cs="宋体"/>
                <w:sz w:val="17"/>
                <w:szCs w:val="17"/>
              </w:rPr>
            </w:pPr>
            <w:r>
              <w:rPr>
                <w:rFonts w:ascii="宋体" w:hAnsi="宋体" w:eastAsia="宋体" w:cs="宋体"/>
                <w:spacing w:val="1"/>
                <w:sz w:val="17"/>
                <w:szCs w:val="17"/>
              </w:rPr>
              <w:t>23</w:t>
            </w:r>
          </w:p>
        </w:tc>
        <w:tc>
          <w:tcPr>
            <w:tcW w:w="577" w:type="dxa"/>
            <w:vAlign w:val="top"/>
          </w:tcPr>
          <w:p>
            <w:pPr>
              <w:spacing w:before="224" w:line="192" w:lineRule="auto"/>
              <w:ind w:left="157"/>
              <w:rPr>
                <w:rFonts w:ascii="宋体" w:hAnsi="宋体" w:eastAsia="宋体" w:cs="宋体"/>
                <w:sz w:val="17"/>
                <w:szCs w:val="17"/>
              </w:rPr>
            </w:pPr>
            <w:r>
              <w:rPr>
                <w:rFonts w:ascii="宋体" w:hAnsi="宋体" w:eastAsia="宋体" w:cs="宋体"/>
                <w:spacing w:val="3"/>
                <w:sz w:val="17"/>
                <w:szCs w:val="17"/>
              </w:rPr>
              <w:t>9</w:t>
            </w:r>
            <w:r>
              <w:rPr>
                <w:rFonts w:ascii="宋体" w:hAnsi="宋体" w:eastAsia="宋体" w:cs="宋体"/>
                <w:spacing w:val="2"/>
                <w:sz w:val="17"/>
                <w:szCs w:val="17"/>
              </w:rPr>
              <w:t>04</w:t>
            </w:r>
          </w:p>
        </w:tc>
        <w:tc>
          <w:tcPr>
            <w:tcW w:w="603" w:type="dxa"/>
            <w:vAlign w:val="top"/>
          </w:tcPr>
          <w:p>
            <w:pPr>
              <w:spacing w:before="224" w:line="193" w:lineRule="auto"/>
              <w:ind w:left="183"/>
              <w:rPr>
                <w:rFonts w:ascii="宋体" w:hAnsi="宋体" w:eastAsia="宋体" w:cs="宋体"/>
                <w:sz w:val="17"/>
                <w:szCs w:val="17"/>
              </w:rPr>
            </w:pPr>
            <w:r>
              <w:rPr>
                <w:rFonts w:ascii="宋体" w:hAnsi="宋体" w:eastAsia="宋体" w:cs="宋体"/>
                <w:spacing w:val="-2"/>
                <w:sz w:val="17"/>
                <w:szCs w:val="17"/>
              </w:rPr>
              <w:t>129</w:t>
            </w:r>
          </w:p>
        </w:tc>
        <w:tc>
          <w:tcPr>
            <w:tcW w:w="528" w:type="dxa"/>
            <w:vAlign w:val="top"/>
          </w:tcPr>
          <w:p>
            <w:pPr>
              <w:spacing w:before="224" w:line="192" w:lineRule="auto"/>
              <w:ind w:left="176"/>
              <w:rPr>
                <w:rFonts w:ascii="宋体" w:hAnsi="宋体" w:eastAsia="宋体" w:cs="宋体"/>
                <w:sz w:val="17"/>
                <w:szCs w:val="17"/>
              </w:rPr>
            </w:pPr>
            <w:r>
              <w:rPr>
                <w:rFonts w:ascii="宋体" w:hAnsi="宋体" w:eastAsia="宋体" w:cs="宋体"/>
                <w:spacing w:val="2"/>
                <w:sz w:val="17"/>
                <w:szCs w:val="17"/>
              </w:rPr>
              <w:t>40</w:t>
            </w:r>
          </w:p>
        </w:tc>
        <w:tc>
          <w:tcPr>
            <w:tcW w:w="533" w:type="dxa"/>
            <w:vAlign w:val="top"/>
          </w:tcPr>
          <w:p>
            <w:pPr>
              <w:spacing w:before="224" w:line="192" w:lineRule="auto"/>
              <w:ind w:left="178"/>
              <w:rPr>
                <w:rFonts w:ascii="宋体" w:hAnsi="宋体" w:eastAsia="宋体" w:cs="宋体"/>
                <w:sz w:val="17"/>
                <w:szCs w:val="17"/>
              </w:rPr>
            </w:pPr>
            <w:r>
              <w:rPr>
                <w:rFonts w:ascii="宋体" w:hAnsi="宋体" w:eastAsia="宋体" w:cs="宋体"/>
                <w:spacing w:val="2"/>
                <w:sz w:val="17"/>
                <w:szCs w:val="17"/>
              </w:rPr>
              <w:t>40</w:t>
            </w:r>
          </w:p>
        </w:tc>
        <w:tc>
          <w:tcPr>
            <w:tcW w:w="528" w:type="dxa"/>
            <w:vAlign w:val="top"/>
          </w:tcPr>
          <w:p>
            <w:pPr>
              <w:spacing w:before="224" w:line="192" w:lineRule="auto"/>
              <w:ind w:left="175"/>
              <w:rPr>
                <w:rFonts w:ascii="宋体" w:hAnsi="宋体" w:eastAsia="宋体" w:cs="宋体"/>
                <w:sz w:val="17"/>
                <w:szCs w:val="17"/>
              </w:rPr>
            </w:pPr>
            <w:r>
              <w:rPr>
                <w:rFonts w:ascii="宋体" w:hAnsi="宋体" w:eastAsia="宋体" w:cs="宋体"/>
                <w:spacing w:val="2"/>
                <w:sz w:val="17"/>
                <w:szCs w:val="17"/>
              </w:rPr>
              <w:t>40</w:t>
            </w:r>
          </w:p>
        </w:tc>
        <w:tc>
          <w:tcPr>
            <w:tcW w:w="533" w:type="dxa"/>
            <w:vAlign w:val="top"/>
          </w:tcPr>
          <w:p>
            <w:pPr>
              <w:spacing w:before="224" w:line="192" w:lineRule="auto"/>
              <w:ind w:left="178"/>
              <w:rPr>
                <w:rFonts w:ascii="宋体" w:hAnsi="宋体" w:eastAsia="宋体" w:cs="宋体"/>
                <w:sz w:val="17"/>
                <w:szCs w:val="17"/>
              </w:rPr>
            </w:pPr>
            <w:r>
              <w:rPr>
                <w:rFonts w:ascii="宋体" w:hAnsi="宋体" w:eastAsia="宋体" w:cs="宋体"/>
                <w:spacing w:val="2"/>
                <w:sz w:val="17"/>
                <w:szCs w:val="17"/>
              </w:rPr>
              <w:t>40</w:t>
            </w:r>
          </w:p>
        </w:tc>
        <w:tc>
          <w:tcPr>
            <w:tcW w:w="528" w:type="dxa"/>
            <w:vAlign w:val="top"/>
          </w:tcPr>
          <w:p>
            <w:pPr>
              <w:spacing w:before="224" w:line="192" w:lineRule="auto"/>
              <w:ind w:left="178"/>
              <w:rPr>
                <w:rFonts w:ascii="宋体" w:hAnsi="宋体" w:eastAsia="宋体" w:cs="宋体"/>
                <w:sz w:val="17"/>
                <w:szCs w:val="17"/>
              </w:rPr>
            </w:pPr>
            <w:r>
              <w:rPr>
                <w:rFonts w:ascii="宋体" w:hAnsi="宋体" w:eastAsia="宋体" w:cs="宋体"/>
                <w:spacing w:val="2"/>
                <w:sz w:val="17"/>
                <w:szCs w:val="17"/>
              </w:rPr>
              <w:t>40</w:t>
            </w:r>
          </w:p>
        </w:tc>
        <w:tc>
          <w:tcPr>
            <w:tcW w:w="547" w:type="dxa"/>
            <w:vAlign w:val="top"/>
          </w:tcPr>
          <w:p>
            <w:pPr>
              <w:spacing w:before="224" w:line="192" w:lineRule="auto"/>
              <w:ind w:left="185"/>
              <w:rPr>
                <w:rFonts w:ascii="宋体" w:hAnsi="宋体" w:eastAsia="宋体" w:cs="宋体"/>
                <w:sz w:val="17"/>
                <w:szCs w:val="17"/>
              </w:rPr>
            </w:pPr>
            <w:r>
              <w:rPr>
                <w:rFonts w:ascii="宋体" w:hAnsi="宋体" w:eastAsia="宋体" w:cs="宋体"/>
                <w:spacing w:val="2"/>
                <w:sz w:val="17"/>
                <w:szCs w:val="17"/>
              </w:rPr>
              <w:t>40</w:t>
            </w:r>
          </w:p>
        </w:tc>
        <w:tc>
          <w:tcPr>
            <w:tcW w:w="681" w:type="dxa"/>
            <w:vAlign w:val="top"/>
          </w:tcPr>
          <w:p>
            <w:pPr>
              <w:spacing w:before="224" w:line="192" w:lineRule="auto"/>
              <w:ind w:left="166"/>
              <w:rPr>
                <w:rFonts w:ascii="宋体" w:hAnsi="宋体" w:eastAsia="宋体" w:cs="宋体"/>
                <w:sz w:val="17"/>
                <w:szCs w:val="17"/>
              </w:rPr>
            </w:pPr>
            <w:r>
              <w:rPr>
                <w:rFonts w:ascii="宋体" w:hAnsi="宋体" w:eastAsia="宋体" w:cs="宋体"/>
                <w:spacing w:val="5"/>
                <w:sz w:val="17"/>
                <w:szCs w:val="17"/>
              </w:rPr>
              <w:t>6</w:t>
            </w:r>
            <w:r>
              <w:rPr>
                <w:rFonts w:ascii="宋体" w:hAnsi="宋体" w:eastAsia="宋体" w:cs="宋体"/>
                <w:spacing w:val="3"/>
                <w:sz w:val="17"/>
                <w:szCs w:val="17"/>
              </w:rPr>
              <w:t>5.4</w:t>
            </w:r>
          </w:p>
        </w:tc>
        <w:tc>
          <w:tcPr>
            <w:tcW w:w="685" w:type="dxa"/>
            <w:vAlign w:val="top"/>
          </w:tcPr>
          <w:p>
            <w:pPr>
              <w:spacing w:before="224" w:line="192" w:lineRule="auto"/>
              <w:ind w:left="169"/>
              <w:rPr>
                <w:rFonts w:ascii="宋体" w:hAnsi="宋体" w:eastAsia="宋体" w:cs="宋体"/>
                <w:sz w:val="17"/>
                <w:szCs w:val="17"/>
              </w:rPr>
            </w:pPr>
            <w:r>
              <w:rPr>
                <w:rFonts w:ascii="宋体" w:hAnsi="宋体" w:eastAsia="宋体" w:cs="宋体"/>
                <w:spacing w:val="4"/>
                <w:sz w:val="17"/>
                <w:szCs w:val="17"/>
              </w:rPr>
              <w:t>65.</w:t>
            </w:r>
            <w:r>
              <w:rPr>
                <w:rFonts w:ascii="宋体" w:hAnsi="宋体" w:eastAsia="宋体" w:cs="宋体"/>
                <w:spacing w:val="3"/>
                <w:sz w:val="17"/>
                <w:szCs w:val="17"/>
              </w:rPr>
              <w:t>8</w:t>
            </w:r>
          </w:p>
        </w:tc>
        <w:tc>
          <w:tcPr>
            <w:tcW w:w="652" w:type="dxa"/>
            <w:vAlign w:val="top"/>
          </w:tcPr>
          <w:p>
            <w:pPr>
              <w:spacing w:before="224" w:line="192" w:lineRule="auto"/>
              <w:ind w:left="153"/>
              <w:rPr>
                <w:rFonts w:ascii="宋体" w:hAnsi="宋体" w:eastAsia="宋体" w:cs="宋体"/>
                <w:sz w:val="17"/>
                <w:szCs w:val="17"/>
              </w:rPr>
            </w:pPr>
            <w:r>
              <w:rPr>
                <w:rFonts w:ascii="宋体" w:hAnsi="宋体" w:eastAsia="宋体" w:cs="宋体"/>
                <w:spacing w:val="4"/>
                <w:sz w:val="17"/>
                <w:szCs w:val="17"/>
              </w:rPr>
              <w:t>65.0</w:t>
            </w:r>
          </w:p>
        </w:tc>
        <w:tc>
          <w:tcPr>
            <w:tcW w:w="636" w:type="dxa"/>
            <w:vAlign w:val="top"/>
          </w:tcPr>
          <w:p>
            <w:pPr>
              <w:spacing w:before="224" w:line="192" w:lineRule="auto"/>
              <w:ind w:left="144"/>
              <w:rPr>
                <w:rFonts w:ascii="宋体" w:hAnsi="宋体" w:eastAsia="宋体" w:cs="宋体"/>
                <w:sz w:val="17"/>
                <w:szCs w:val="17"/>
              </w:rPr>
            </w:pPr>
            <w:r>
              <w:rPr>
                <w:rFonts w:ascii="宋体" w:hAnsi="宋体" w:eastAsia="宋体" w:cs="宋体"/>
                <w:spacing w:val="4"/>
                <w:sz w:val="17"/>
                <w:szCs w:val="17"/>
              </w:rPr>
              <w:t>64.2</w:t>
            </w:r>
          </w:p>
        </w:tc>
        <w:tc>
          <w:tcPr>
            <w:tcW w:w="684" w:type="dxa"/>
            <w:vAlign w:val="top"/>
          </w:tcPr>
          <w:p>
            <w:pPr>
              <w:spacing w:before="224" w:line="192" w:lineRule="auto"/>
              <w:ind w:left="171"/>
              <w:rPr>
                <w:rFonts w:ascii="宋体" w:hAnsi="宋体" w:eastAsia="宋体" w:cs="宋体"/>
                <w:sz w:val="17"/>
                <w:szCs w:val="17"/>
              </w:rPr>
            </w:pPr>
            <w:r>
              <w:rPr>
                <w:rFonts w:ascii="宋体" w:hAnsi="宋体" w:eastAsia="宋体" w:cs="宋体"/>
                <w:spacing w:val="4"/>
                <w:sz w:val="17"/>
                <w:szCs w:val="17"/>
              </w:rPr>
              <w:t>72.</w:t>
            </w:r>
            <w:r>
              <w:rPr>
                <w:rFonts w:ascii="宋体" w:hAnsi="宋体" w:eastAsia="宋体" w:cs="宋体"/>
                <w:spacing w:val="3"/>
                <w:sz w:val="17"/>
                <w:szCs w:val="17"/>
              </w:rPr>
              <w:t>3</w:t>
            </w:r>
          </w:p>
        </w:tc>
        <w:tc>
          <w:tcPr>
            <w:tcW w:w="641" w:type="dxa"/>
            <w:vAlign w:val="top"/>
          </w:tcPr>
          <w:p>
            <w:pPr>
              <w:spacing w:before="224" w:line="193" w:lineRule="auto"/>
              <w:ind w:left="150"/>
              <w:rPr>
                <w:rFonts w:ascii="宋体" w:hAnsi="宋体" w:eastAsia="宋体" w:cs="宋体"/>
                <w:sz w:val="17"/>
                <w:szCs w:val="17"/>
              </w:rPr>
            </w:pPr>
            <w:r>
              <w:rPr>
                <w:rFonts w:ascii="宋体" w:hAnsi="宋体" w:eastAsia="宋体" w:cs="宋体"/>
                <w:spacing w:val="4"/>
                <w:sz w:val="17"/>
                <w:szCs w:val="17"/>
              </w:rPr>
              <w:t>71.7</w:t>
            </w:r>
          </w:p>
        </w:tc>
      </w:tr>
    </w:tbl>
    <w:p>
      <w:pPr>
        <w:spacing w:before="131" w:line="222" w:lineRule="auto"/>
        <w:outlineLvl w:val="3"/>
        <w:rPr>
          <w:rFonts w:ascii="黑体" w:hAnsi="黑体" w:eastAsia="黑体" w:cs="黑体"/>
          <w:sz w:val="22"/>
          <w:szCs w:val="22"/>
        </w:rPr>
      </w:pPr>
      <w:r>
        <w:rPr>
          <w:rFonts w:ascii="Times New Roman" w:hAnsi="Times New Roman" w:eastAsia="Times New Roman" w:cs="Times New Roman"/>
          <w:spacing w:val="-1"/>
          <w:sz w:val="22"/>
          <w:szCs w:val="22"/>
        </w:rPr>
        <w:t>4.2</w:t>
      </w:r>
      <w:r>
        <w:rPr>
          <w:rFonts w:ascii="Times New Roman" w:hAnsi="Times New Roman" w:eastAsia="Times New Roman" w:cs="Times New Roman"/>
          <w:sz w:val="22"/>
          <w:szCs w:val="22"/>
        </w:rPr>
        <w:t xml:space="preserve">.4    </w:t>
      </w:r>
      <w:r>
        <w:rPr>
          <w:rFonts w:ascii="黑体" w:hAnsi="黑体" w:eastAsia="黑体" w:cs="黑体"/>
          <w:sz w:val="22"/>
          <w:szCs w:val="22"/>
        </w:rPr>
        <w:t>预测结果</w:t>
      </w:r>
    </w:p>
    <w:p>
      <w:pPr>
        <w:spacing w:before="144" w:line="228" w:lineRule="auto"/>
        <w:ind w:left="434"/>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6"/>
          <w:sz w:val="20"/>
          <w:szCs w:val="20"/>
        </w:rPr>
        <w:t>1</w:t>
      </w: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宋体" w:hAnsi="宋体" w:eastAsia="宋体" w:cs="宋体"/>
          <w:spacing w:val="16"/>
          <w:sz w:val="20"/>
          <w:szCs w:val="20"/>
        </w:rPr>
        <w:t xml:space="preserve"> </w:t>
      </w:r>
      <w:r>
        <w:rPr>
          <w:rFonts w:ascii="宋体" w:hAnsi="宋体" w:eastAsia="宋体" w:cs="宋体"/>
          <w:spacing w:val="16"/>
          <w:sz w:val="20"/>
          <w:szCs w:val="20"/>
          <w14:textOutline w14:w="3795" w14:cap="sq" w14:cmpd="sng">
            <w14:solidFill>
              <w14:srgbClr w14:val="000000"/>
            </w14:solidFill>
            <w14:prstDash w14:val="solid"/>
            <w14:bevel/>
          </w14:textOutline>
        </w:rPr>
        <w:t>噪声衰减变化预测</w:t>
      </w:r>
    </w:p>
    <w:p>
      <w:pPr>
        <w:spacing w:before="153" w:line="345" w:lineRule="exact"/>
        <w:ind w:left="424"/>
        <w:rPr>
          <w:rFonts w:ascii="宋体" w:hAnsi="宋体" w:eastAsia="宋体" w:cs="宋体"/>
          <w:sz w:val="20"/>
          <w:szCs w:val="20"/>
        </w:rPr>
      </w:pPr>
      <w:r>
        <w:rPr>
          <w:rFonts w:ascii="宋体" w:hAnsi="宋体" w:eastAsia="宋体" w:cs="宋体"/>
          <w:spacing w:val="18"/>
          <w:position w:val="10"/>
          <w:sz w:val="20"/>
          <w:szCs w:val="20"/>
        </w:rPr>
        <w:t>根据</w:t>
      </w:r>
      <w:r>
        <w:rPr>
          <w:rFonts w:ascii="宋体" w:hAnsi="宋体" w:eastAsia="宋体" w:cs="宋体"/>
          <w:spacing w:val="17"/>
          <w:position w:val="10"/>
          <w:sz w:val="20"/>
          <w:szCs w:val="20"/>
        </w:rPr>
        <w:t>上</w:t>
      </w:r>
      <w:r>
        <w:rPr>
          <w:rFonts w:ascii="宋体" w:hAnsi="宋体" w:eastAsia="宋体" w:cs="宋体"/>
          <w:spacing w:val="9"/>
          <w:position w:val="10"/>
          <w:sz w:val="20"/>
          <w:szCs w:val="20"/>
        </w:rPr>
        <w:t>述模式及参数，结合项目实际情况，项目营运期路肩外不同水平距离下的交通噪声预测值见下表。</w:t>
      </w:r>
    </w:p>
    <w:p>
      <w:pPr>
        <w:spacing w:line="228" w:lineRule="auto"/>
        <w:ind w:left="5503"/>
        <w:rPr>
          <w:rFonts w:ascii="黑体" w:hAnsi="黑体" w:eastAsia="黑体" w:cs="黑体"/>
          <w:sz w:val="19"/>
          <w:szCs w:val="19"/>
        </w:rPr>
      </w:pPr>
      <w:r>
        <w:rPr>
          <w:rFonts w:ascii="黑体" w:hAnsi="黑体" w:eastAsia="黑体" w:cs="黑体"/>
          <w:spacing w:val="12"/>
          <w:sz w:val="19"/>
          <w:szCs w:val="19"/>
        </w:rPr>
        <w:t>表</w:t>
      </w:r>
      <w:r>
        <w:rPr>
          <w:rFonts w:ascii="Times New Roman" w:hAnsi="Times New Roman" w:eastAsia="Times New Roman" w:cs="Times New Roman"/>
          <w:spacing w:val="12"/>
          <w:sz w:val="19"/>
          <w:szCs w:val="19"/>
        </w:rPr>
        <w:t>2</w:t>
      </w:r>
      <w:r>
        <w:rPr>
          <w:rFonts w:ascii="Times New Roman" w:hAnsi="Times New Roman" w:eastAsia="Times New Roman" w:cs="Times New Roman"/>
          <w:spacing w:val="6"/>
          <w:sz w:val="19"/>
          <w:szCs w:val="19"/>
        </w:rPr>
        <w:t xml:space="preserve">1    </w:t>
      </w:r>
      <w:r>
        <w:rPr>
          <w:rFonts w:ascii="黑体" w:hAnsi="黑体" w:eastAsia="黑体" w:cs="黑体"/>
          <w:spacing w:val="6"/>
          <w:sz w:val="19"/>
          <w:szCs w:val="19"/>
        </w:rPr>
        <w:t>交通噪声预测结果表</w:t>
      </w:r>
    </w:p>
    <w:tbl>
      <w:tblPr>
        <w:tblStyle w:val="4"/>
        <w:tblW w:w="13062" w:type="dxa"/>
        <w:tblInd w:w="1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8"/>
        <w:gridCol w:w="763"/>
        <w:gridCol w:w="662"/>
        <w:gridCol w:w="662"/>
        <w:gridCol w:w="662"/>
        <w:gridCol w:w="662"/>
        <w:gridCol w:w="662"/>
        <w:gridCol w:w="662"/>
        <w:gridCol w:w="662"/>
        <w:gridCol w:w="662"/>
        <w:gridCol w:w="662"/>
        <w:gridCol w:w="662"/>
        <w:gridCol w:w="758"/>
        <w:gridCol w:w="758"/>
        <w:gridCol w:w="759"/>
        <w:gridCol w:w="759"/>
        <w:gridCol w:w="758"/>
        <w:gridCol w:w="8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058" w:type="dxa"/>
            <w:vMerge w:val="restart"/>
            <w:tcBorders>
              <w:bottom w:val="nil"/>
            </w:tcBorders>
            <w:vAlign w:val="top"/>
          </w:tcPr>
          <w:p>
            <w:pPr>
              <w:spacing w:line="280" w:lineRule="auto"/>
              <w:rPr>
                <w:rFonts w:ascii="Arial"/>
                <w:sz w:val="21"/>
              </w:rPr>
            </w:pPr>
          </w:p>
          <w:p>
            <w:pPr>
              <w:spacing w:before="56" w:line="231" w:lineRule="auto"/>
              <w:ind w:left="268"/>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营</w:t>
            </w:r>
            <w:r>
              <w:rPr>
                <w:rFonts w:ascii="宋体" w:hAnsi="宋体" w:eastAsia="宋体" w:cs="宋体"/>
                <w:spacing w:val="6"/>
                <w:sz w:val="17"/>
                <w:szCs w:val="17"/>
                <w14:textOutline w14:w="3268" w14:cap="sq" w14:cmpd="sng">
                  <w14:solidFill>
                    <w14:srgbClr w14:val="000000"/>
                  </w14:solidFill>
                  <w14:prstDash w14:val="solid"/>
                  <w14:bevel/>
                </w14:textOutline>
              </w:rPr>
              <w:t>运期</w:t>
            </w:r>
          </w:p>
        </w:tc>
        <w:tc>
          <w:tcPr>
            <w:tcW w:w="763" w:type="dxa"/>
            <w:vMerge w:val="restart"/>
            <w:tcBorders>
              <w:bottom w:val="nil"/>
            </w:tcBorders>
            <w:vAlign w:val="top"/>
          </w:tcPr>
          <w:p>
            <w:pPr>
              <w:spacing w:line="280" w:lineRule="auto"/>
              <w:rPr>
                <w:rFonts w:ascii="Arial"/>
                <w:sz w:val="21"/>
              </w:rPr>
            </w:pPr>
          </w:p>
          <w:p>
            <w:pPr>
              <w:spacing w:before="55" w:line="232" w:lineRule="auto"/>
              <w:ind w:left="211"/>
              <w:rPr>
                <w:rFonts w:ascii="宋体" w:hAnsi="宋体" w:eastAsia="宋体" w:cs="宋体"/>
                <w:sz w:val="17"/>
                <w:szCs w:val="17"/>
              </w:rPr>
            </w:pPr>
            <w:r>
              <w:rPr>
                <w:rFonts w:ascii="宋体" w:hAnsi="宋体" w:eastAsia="宋体" w:cs="宋体"/>
                <w:spacing w:val="2"/>
                <w:sz w:val="17"/>
                <w:szCs w:val="17"/>
                <w14:textOutline w14:w="3268" w14:cap="sq" w14:cmpd="sng">
                  <w14:solidFill>
                    <w14:srgbClr w14:val="000000"/>
                  </w14:solidFill>
                  <w14:prstDash w14:val="solid"/>
                  <w14:bevel/>
                </w14:textOutline>
              </w:rPr>
              <w:t>时段</w:t>
            </w:r>
          </w:p>
        </w:tc>
        <w:tc>
          <w:tcPr>
            <w:tcW w:w="11241" w:type="dxa"/>
            <w:gridSpan w:val="16"/>
            <w:vAlign w:val="top"/>
          </w:tcPr>
          <w:p>
            <w:pPr>
              <w:spacing w:before="96" w:line="249" w:lineRule="exact"/>
              <w:ind w:left="3672"/>
              <w:rPr>
                <w:rFonts w:ascii="Times New Roman" w:hAnsi="Times New Roman" w:eastAsia="Times New Roman" w:cs="Times New Roman"/>
                <w:sz w:val="17"/>
                <w:szCs w:val="17"/>
              </w:rPr>
            </w:pPr>
            <w:r>
              <w:rPr>
                <w:rFonts w:ascii="宋体" w:hAnsi="宋体" w:eastAsia="宋体" w:cs="宋体"/>
                <w:spacing w:val="20"/>
                <w:position w:val="2"/>
                <w:sz w:val="17"/>
                <w:szCs w:val="17"/>
                <w14:textOutline w14:w="3268" w14:cap="sq" w14:cmpd="sng">
                  <w14:solidFill>
                    <w14:srgbClr w14:val="000000"/>
                  </w14:solidFill>
                  <w14:prstDash w14:val="solid"/>
                  <w14:bevel/>
                </w14:textOutline>
              </w:rPr>
              <w:t>路</w:t>
            </w:r>
            <w:r>
              <w:rPr>
                <w:rFonts w:ascii="宋体" w:hAnsi="宋体" w:eastAsia="宋体" w:cs="宋体"/>
                <w:spacing w:val="12"/>
                <w:position w:val="2"/>
                <w:sz w:val="17"/>
                <w:szCs w:val="17"/>
                <w14:textOutline w14:w="3268" w14:cap="sq" w14:cmpd="sng">
                  <w14:solidFill>
                    <w14:srgbClr w14:val="000000"/>
                  </w14:solidFill>
                  <w14:prstDash w14:val="solid"/>
                  <w14:bevel/>
                </w14:textOutline>
              </w:rPr>
              <w:t>肩</w:t>
            </w:r>
            <w:r>
              <w:rPr>
                <w:rFonts w:ascii="宋体" w:hAnsi="宋体" w:eastAsia="宋体" w:cs="宋体"/>
                <w:spacing w:val="10"/>
                <w:position w:val="2"/>
                <w:sz w:val="17"/>
                <w:szCs w:val="17"/>
                <w14:textOutline w14:w="3268" w14:cap="sq" w14:cmpd="sng">
                  <w14:solidFill>
                    <w14:srgbClr w14:val="000000"/>
                  </w14:solidFill>
                  <w14:prstDash w14:val="solid"/>
                  <w14:bevel/>
                </w14:textOutline>
              </w:rPr>
              <w:t>外不同水平距离下的交通噪声预测值：</w:t>
            </w:r>
            <w:r>
              <w:rPr>
                <w:rFonts w:ascii="Times New Roman" w:hAnsi="Times New Roman" w:eastAsia="Times New Roman" w:cs="Times New Roman"/>
                <w:b/>
                <w:bCs/>
                <w:position w:val="2"/>
                <w:sz w:val="17"/>
                <w:szCs w:val="17"/>
              </w:rPr>
              <w:t>dB</w:t>
            </w:r>
            <w:r>
              <w:rPr>
                <w:rFonts w:ascii="Times New Roman" w:hAnsi="Times New Roman" w:eastAsia="Times New Roman" w:cs="Times New Roman"/>
                <w:b/>
                <w:bCs/>
                <w:spacing w:val="10"/>
                <w:position w:val="2"/>
                <w:sz w:val="17"/>
                <w:szCs w:val="17"/>
              </w:rPr>
              <w:t>(</w:t>
            </w:r>
            <w:r>
              <w:rPr>
                <w:rFonts w:ascii="Times New Roman" w:hAnsi="Times New Roman" w:eastAsia="Times New Roman" w:cs="Times New Roman"/>
                <w:b/>
                <w:bCs/>
                <w:position w:val="2"/>
                <w:sz w:val="17"/>
                <w:szCs w:val="17"/>
              </w:rPr>
              <w:t>A</w:t>
            </w:r>
            <w:r>
              <w:rPr>
                <w:rFonts w:ascii="Times New Roman" w:hAnsi="Times New Roman" w:eastAsia="Times New Roman" w:cs="Times New Roman"/>
                <w:b/>
                <w:bCs/>
                <w:spacing w:val="10"/>
                <w:position w:val="2"/>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58" w:type="dxa"/>
            <w:vMerge w:val="continue"/>
            <w:tcBorders>
              <w:top w:val="nil"/>
            </w:tcBorders>
            <w:vAlign w:val="top"/>
          </w:tcPr>
          <w:p>
            <w:pPr>
              <w:rPr>
                <w:rFonts w:ascii="Arial"/>
                <w:sz w:val="21"/>
              </w:rPr>
            </w:pPr>
          </w:p>
        </w:tc>
        <w:tc>
          <w:tcPr>
            <w:tcW w:w="763" w:type="dxa"/>
            <w:vMerge w:val="continue"/>
            <w:tcBorders>
              <w:top w:val="nil"/>
            </w:tcBorders>
            <w:vAlign w:val="top"/>
          </w:tcPr>
          <w:p>
            <w:pPr>
              <w:rPr>
                <w:rFonts w:ascii="Arial"/>
                <w:sz w:val="21"/>
              </w:rPr>
            </w:pPr>
          </w:p>
        </w:tc>
        <w:tc>
          <w:tcPr>
            <w:tcW w:w="662" w:type="dxa"/>
            <w:vAlign w:val="top"/>
          </w:tcPr>
          <w:p>
            <w:pPr>
              <w:spacing w:before="161" w:line="194" w:lineRule="auto"/>
              <w:ind w:left="214"/>
              <w:rPr>
                <w:rFonts w:ascii="Times New Roman" w:hAnsi="Times New Roman" w:eastAsia="Times New Roman" w:cs="Times New Roman"/>
                <w:sz w:val="17"/>
                <w:szCs w:val="17"/>
              </w:rPr>
            </w:pPr>
            <w:r>
              <w:rPr>
                <w:rFonts w:ascii="Times New Roman" w:hAnsi="Times New Roman" w:eastAsia="Times New Roman" w:cs="Times New Roman"/>
                <w:b/>
                <w:bCs/>
                <w:spacing w:val="6"/>
                <w:sz w:val="17"/>
                <w:szCs w:val="17"/>
              </w:rPr>
              <w:t>5</w:t>
            </w:r>
            <w:r>
              <w:rPr>
                <w:rFonts w:ascii="Times New Roman" w:hAnsi="Times New Roman" w:eastAsia="Times New Roman" w:cs="Times New Roman"/>
                <w:b/>
                <w:bCs/>
                <w:sz w:val="17"/>
                <w:szCs w:val="17"/>
              </w:rPr>
              <w:t>m</w:t>
            </w:r>
          </w:p>
        </w:tc>
        <w:tc>
          <w:tcPr>
            <w:tcW w:w="662" w:type="dxa"/>
            <w:vAlign w:val="top"/>
          </w:tcPr>
          <w:p>
            <w:pPr>
              <w:spacing w:before="159" w:line="197" w:lineRule="auto"/>
              <w:ind w:left="174"/>
              <w:rPr>
                <w:rFonts w:ascii="Times New Roman" w:hAnsi="Times New Roman" w:eastAsia="Times New Roman" w:cs="Times New Roman"/>
                <w:sz w:val="17"/>
                <w:szCs w:val="17"/>
              </w:rPr>
            </w:pPr>
            <w:r>
              <w:rPr>
                <w:rFonts w:ascii="Times New Roman" w:hAnsi="Times New Roman" w:eastAsia="Times New Roman" w:cs="Times New Roman"/>
                <w:b/>
                <w:bCs/>
                <w:spacing w:val="3"/>
                <w:sz w:val="17"/>
                <w:szCs w:val="17"/>
              </w:rPr>
              <w:t>10</w:t>
            </w:r>
            <w:r>
              <w:rPr>
                <w:rFonts w:ascii="Times New Roman" w:hAnsi="Times New Roman" w:eastAsia="Times New Roman" w:cs="Times New Roman"/>
                <w:b/>
                <w:bCs/>
                <w:sz w:val="17"/>
                <w:szCs w:val="17"/>
              </w:rPr>
              <w:t>m</w:t>
            </w:r>
          </w:p>
        </w:tc>
        <w:tc>
          <w:tcPr>
            <w:tcW w:w="662" w:type="dxa"/>
            <w:vAlign w:val="top"/>
          </w:tcPr>
          <w:p>
            <w:pPr>
              <w:spacing w:before="159" w:line="197" w:lineRule="auto"/>
              <w:ind w:left="175"/>
              <w:rPr>
                <w:rFonts w:ascii="Times New Roman" w:hAnsi="Times New Roman" w:eastAsia="Times New Roman" w:cs="Times New Roman"/>
                <w:sz w:val="17"/>
                <w:szCs w:val="17"/>
              </w:rPr>
            </w:pPr>
            <w:r>
              <w:rPr>
                <w:rFonts w:ascii="Times New Roman" w:hAnsi="Times New Roman" w:eastAsia="Times New Roman" w:cs="Times New Roman"/>
                <w:b/>
                <w:bCs/>
                <w:spacing w:val="3"/>
                <w:sz w:val="17"/>
                <w:szCs w:val="17"/>
              </w:rPr>
              <w:t>15</w:t>
            </w:r>
            <w:r>
              <w:rPr>
                <w:rFonts w:ascii="Times New Roman" w:hAnsi="Times New Roman" w:eastAsia="Times New Roman" w:cs="Times New Roman"/>
                <w:b/>
                <w:bCs/>
                <w:sz w:val="17"/>
                <w:szCs w:val="17"/>
              </w:rPr>
              <w:t>m</w:t>
            </w:r>
          </w:p>
        </w:tc>
        <w:tc>
          <w:tcPr>
            <w:tcW w:w="662" w:type="dxa"/>
            <w:vAlign w:val="top"/>
          </w:tcPr>
          <w:p>
            <w:pPr>
              <w:spacing w:before="159" w:line="197" w:lineRule="auto"/>
              <w:ind w:left="167"/>
              <w:rPr>
                <w:rFonts w:ascii="Times New Roman" w:hAnsi="Times New Roman" w:eastAsia="Times New Roman" w:cs="Times New Roman"/>
                <w:sz w:val="17"/>
                <w:szCs w:val="17"/>
              </w:rPr>
            </w:pPr>
            <w:r>
              <w:rPr>
                <w:rFonts w:ascii="Times New Roman" w:hAnsi="Times New Roman" w:eastAsia="Times New Roman" w:cs="Times New Roman"/>
                <w:b/>
                <w:bCs/>
                <w:spacing w:val="7"/>
                <w:sz w:val="17"/>
                <w:szCs w:val="17"/>
              </w:rPr>
              <w:t>20</w:t>
            </w:r>
            <w:r>
              <w:rPr>
                <w:rFonts w:ascii="Times New Roman" w:hAnsi="Times New Roman" w:eastAsia="Times New Roman" w:cs="Times New Roman"/>
                <w:b/>
                <w:bCs/>
                <w:sz w:val="17"/>
                <w:szCs w:val="17"/>
              </w:rPr>
              <w:t>m</w:t>
            </w:r>
          </w:p>
        </w:tc>
        <w:tc>
          <w:tcPr>
            <w:tcW w:w="662" w:type="dxa"/>
            <w:vAlign w:val="top"/>
          </w:tcPr>
          <w:p>
            <w:pPr>
              <w:spacing w:before="159" w:line="197" w:lineRule="auto"/>
              <w:ind w:left="165"/>
              <w:rPr>
                <w:rFonts w:ascii="Times New Roman" w:hAnsi="Times New Roman" w:eastAsia="Times New Roman" w:cs="Times New Roman"/>
                <w:sz w:val="17"/>
                <w:szCs w:val="17"/>
              </w:rPr>
            </w:pPr>
            <w:r>
              <w:rPr>
                <w:rFonts w:ascii="Times New Roman" w:hAnsi="Times New Roman" w:eastAsia="Times New Roman" w:cs="Times New Roman"/>
                <w:b/>
                <w:bCs/>
                <w:spacing w:val="7"/>
                <w:sz w:val="17"/>
                <w:szCs w:val="17"/>
              </w:rPr>
              <w:t>25</w:t>
            </w:r>
            <w:r>
              <w:rPr>
                <w:rFonts w:ascii="Times New Roman" w:hAnsi="Times New Roman" w:eastAsia="Times New Roman" w:cs="Times New Roman"/>
                <w:b/>
                <w:bCs/>
                <w:sz w:val="17"/>
                <w:szCs w:val="17"/>
              </w:rPr>
              <w:t>m</w:t>
            </w:r>
          </w:p>
        </w:tc>
        <w:tc>
          <w:tcPr>
            <w:tcW w:w="662" w:type="dxa"/>
            <w:vAlign w:val="top"/>
          </w:tcPr>
          <w:p>
            <w:pPr>
              <w:spacing w:before="159" w:line="197" w:lineRule="auto"/>
              <w:ind w:left="164"/>
              <w:rPr>
                <w:rFonts w:ascii="Times New Roman" w:hAnsi="Times New Roman" w:eastAsia="Times New Roman" w:cs="Times New Roman"/>
                <w:sz w:val="17"/>
                <w:szCs w:val="17"/>
              </w:rPr>
            </w:pPr>
            <w:r>
              <w:rPr>
                <w:rFonts w:ascii="Times New Roman" w:hAnsi="Times New Roman" w:eastAsia="Times New Roman" w:cs="Times New Roman"/>
                <w:b/>
                <w:bCs/>
                <w:spacing w:val="8"/>
                <w:sz w:val="17"/>
                <w:szCs w:val="17"/>
              </w:rPr>
              <w:t>3</w:t>
            </w:r>
            <w:r>
              <w:rPr>
                <w:rFonts w:ascii="Times New Roman" w:hAnsi="Times New Roman" w:eastAsia="Times New Roman" w:cs="Times New Roman"/>
                <w:b/>
                <w:bCs/>
                <w:spacing w:val="7"/>
                <w:sz w:val="17"/>
                <w:szCs w:val="17"/>
              </w:rPr>
              <w:t>0</w:t>
            </w:r>
            <w:r>
              <w:rPr>
                <w:rFonts w:ascii="Times New Roman" w:hAnsi="Times New Roman" w:eastAsia="Times New Roman" w:cs="Times New Roman"/>
                <w:b/>
                <w:bCs/>
                <w:sz w:val="17"/>
                <w:szCs w:val="17"/>
              </w:rPr>
              <w:t>m</w:t>
            </w:r>
          </w:p>
        </w:tc>
        <w:tc>
          <w:tcPr>
            <w:tcW w:w="662" w:type="dxa"/>
            <w:vAlign w:val="top"/>
          </w:tcPr>
          <w:p>
            <w:pPr>
              <w:spacing w:before="159" w:line="197" w:lineRule="auto"/>
              <w:ind w:left="166"/>
              <w:rPr>
                <w:rFonts w:ascii="Times New Roman" w:hAnsi="Times New Roman" w:eastAsia="Times New Roman" w:cs="Times New Roman"/>
                <w:sz w:val="17"/>
                <w:szCs w:val="17"/>
              </w:rPr>
            </w:pPr>
            <w:r>
              <w:rPr>
                <w:rFonts w:ascii="Times New Roman" w:hAnsi="Times New Roman" w:eastAsia="Times New Roman" w:cs="Times New Roman"/>
                <w:b/>
                <w:bCs/>
                <w:spacing w:val="7"/>
                <w:sz w:val="17"/>
                <w:szCs w:val="17"/>
              </w:rPr>
              <w:t>4</w:t>
            </w:r>
            <w:r>
              <w:rPr>
                <w:rFonts w:ascii="Times New Roman" w:hAnsi="Times New Roman" w:eastAsia="Times New Roman" w:cs="Times New Roman"/>
                <w:b/>
                <w:bCs/>
                <w:spacing w:val="6"/>
                <w:sz w:val="17"/>
                <w:szCs w:val="17"/>
              </w:rPr>
              <w:t>0</w:t>
            </w:r>
            <w:r>
              <w:rPr>
                <w:rFonts w:ascii="Times New Roman" w:hAnsi="Times New Roman" w:eastAsia="Times New Roman" w:cs="Times New Roman"/>
                <w:b/>
                <w:bCs/>
                <w:sz w:val="17"/>
                <w:szCs w:val="17"/>
              </w:rPr>
              <w:t>m</w:t>
            </w:r>
          </w:p>
        </w:tc>
        <w:tc>
          <w:tcPr>
            <w:tcW w:w="662" w:type="dxa"/>
            <w:vAlign w:val="top"/>
          </w:tcPr>
          <w:p>
            <w:pPr>
              <w:spacing w:before="159" w:line="197" w:lineRule="auto"/>
              <w:ind w:left="168"/>
              <w:rPr>
                <w:rFonts w:ascii="Times New Roman" w:hAnsi="Times New Roman" w:eastAsia="Times New Roman" w:cs="Times New Roman"/>
                <w:sz w:val="17"/>
                <w:szCs w:val="17"/>
              </w:rPr>
            </w:pPr>
            <w:r>
              <w:rPr>
                <w:rFonts w:ascii="Times New Roman" w:hAnsi="Times New Roman" w:eastAsia="Times New Roman" w:cs="Times New Roman"/>
                <w:b/>
                <w:bCs/>
                <w:spacing w:val="6"/>
                <w:sz w:val="17"/>
                <w:szCs w:val="17"/>
              </w:rPr>
              <w:t>50</w:t>
            </w:r>
            <w:r>
              <w:rPr>
                <w:rFonts w:ascii="Times New Roman" w:hAnsi="Times New Roman" w:eastAsia="Times New Roman" w:cs="Times New Roman"/>
                <w:b/>
                <w:bCs/>
                <w:sz w:val="17"/>
                <w:szCs w:val="17"/>
              </w:rPr>
              <w:t>m</w:t>
            </w:r>
          </w:p>
        </w:tc>
        <w:tc>
          <w:tcPr>
            <w:tcW w:w="662" w:type="dxa"/>
            <w:vAlign w:val="top"/>
          </w:tcPr>
          <w:p>
            <w:pPr>
              <w:spacing w:before="159" w:line="197" w:lineRule="auto"/>
              <w:ind w:left="169"/>
              <w:rPr>
                <w:rFonts w:ascii="Times New Roman" w:hAnsi="Times New Roman" w:eastAsia="Times New Roman" w:cs="Times New Roman"/>
                <w:sz w:val="17"/>
                <w:szCs w:val="17"/>
              </w:rPr>
            </w:pPr>
            <w:r>
              <w:rPr>
                <w:rFonts w:ascii="Times New Roman" w:hAnsi="Times New Roman" w:eastAsia="Times New Roman" w:cs="Times New Roman"/>
                <w:b/>
                <w:bCs/>
                <w:spacing w:val="6"/>
                <w:sz w:val="17"/>
                <w:szCs w:val="17"/>
              </w:rPr>
              <w:t>6</w:t>
            </w:r>
            <w:r>
              <w:rPr>
                <w:rFonts w:ascii="Times New Roman" w:hAnsi="Times New Roman" w:eastAsia="Times New Roman" w:cs="Times New Roman"/>
                <w:b/>
                <w:bCs/>
                <w:spacing w:val="5"/>
                <w:sz w:val="17"/>
                <w:szCs w:val="17"/>
              </w:rPr>
              <w:t>0</w:t>
            </w:r>
            <w:r>
              <w:rPr>
                <w:rFonts w:ascii="Times New Roman" w:hAnsi="Times New Roman" w:eastAsia="Times New Roman" w:cs="Times New Roman"/>
                <w:b/>
                <w:bCs/>
                <w:sz w:val="17"/>
                <w:szCs w:val="17"/>
              </w:rPr>
              <w:t>m</w:t>
            </w:r>
          </w:p>
        </w:tc>
        <w:tc>
          <w:tcPr>
            <w:tcW w:w="662" w:type="dxa"/>
            <w:vAlign w:val="top"/>
          </w:tcPr>
          <w:p>
            <w:pPr>
              <w:spacing w:before="159" w:line="197" w:lineRule="auto"/>
              <w:ind w:left="169"/>
              <w:rPr>
                <w:rFonts w:ascii="Times New Roman" w:hAnsi="Times New Roman" w:eastAsia="Times New Roman" w:cs="Times New Roman"/>
                <w:sz w:val="17"/>
                <w:szCs w:val="17"/>
              </w:rPr>
            </w:pPr>
            <w:r>
              <w:rPr>
                <w:rFonts w:ascii="Times New Roman" w:hAnsi="Times New Roman" w:eastAsia="Times New Roman" w:cs="Times New Roman"/>
                <w:b/>
                <w:bCs/>
                <w:spacing w:val="6"/>
                <w:sz w:val="17"/>
                <w:szCs w:val="17"/>
              </w:rPr>
              <w:t>80</w:t>
            </w:r>
            <w:r>
              <w:rPr>
                <w:rFonts w:ascii="Times New Roman" w:hAnsi="Times New Roman" w:eastAsia="Times New Roman" w:cs="Times New Roman"/>
                <w:b/>
                <w:bCs/>
                <w:sz w:val="17"/>
                <w:szCs w:val="17"/>
              </w:rPr>
              <w:t>m</w:t>
            </w:r>
          </w:p>
        </w:tc>
        <w:tc>
          <w:tcPr>
            <w:tcW w:w="758" w:type="dxa"/>
            <w:vAlign w:val="top"/>
          </w:tcPr>
          <w:p>
            <w:pPr>
              <w:spacing w:before="159" w:line="197" w:lineRule="auto"/>
              <w:ind w:left="178"/>
              <w:rPr>
                <w:rFonts w:ascii="Times New Roman" w:hAnsi="Times New Roman" w:eastAsia="Times New Roman" w:cs="Times New Roman"/>
                <w:sz w:val="17"/>
                <w:szCs w:val="17"/>
              </w:rPr>
            </w:pPr>
            <w:r>
              <w:rPr>
                <w:rFonts w:ascii="Times New Roman" w:hAnsi="Times New Roman" w:eastAsia="Times New Roman" w:cs="Times New Roman"/>
                <w:b/>
                <w:bCs/>
                <w:spacing w:val="4"/>
                <w:sz w:val="17"/>
                <w:szCs w:val="17"/>
              </w:rPr>
              <w:t>1</w:t>
            </w:r>
            <w:r>
              <w:rPr>
                <w:rFonts w:ascii="Times New Roman" w:hAnsi="Times New Roman" w:eastAsia="Times New Roman" w:cs="Times New Roman"/>
                <w:b/>
                <w:bCs/>
                <w:spacing w:val="3"/>
                <w:sz w:val="17"/>
                <w:szCs w:val="17"/>
              </w:rPr>
              <w:t>00</w:t>
            </w:r>
            <w:r>
              <w:rPr>
                <w:rFonts w:ascii="Times New Roman" w:hAnsi="Times New Roman" w:eastAsia="Times New Roman" w:cs="Times New Roman"/>
                <w:b/>
                <w:bCs/>
                <w:sz w:val="17"/>
                <w:szCs w:val="17"/>
              </w:rPr>
              <w:t>m</w:t>
            </w:r>
          </w:p>
        </w:tc>
        <w:tc>
          <w:tcPr>
            <w:tcW w:w="758" w:type="dxa"/>
            <w:vAlign w:val="top"/>
          </w:tcPr>
          <w:p>
            <w:pPr>
              <w:spacing w:before="159" w:line="197" w:lineRule="auto"/>
              <w:ind w:left="178"/>
              <w:rPr>
                <w:rFonts w:ascii="Times New Roman" w:hAnsi="Times New Roman" w:eastAsia="Times New Roman" w:cs="Times New Roman"/>
                <w:sz w:val="17"/>
                <w:szCs w:val="17"/>
              </w:rPr>
            </w:pPr>
            <w:r>
              <w:rPr>
                <w:rFonts w:ascii="Times New Roman" w:hAnsi="Times New Roman" w:eastAsia="Times New Roman" w:cs="Times New Roman"/>
                <w:b/>
                <w:bCs/>
                <w:spacing w:val="4"/>
                <w:sz w:val="17"/>
                <w:szCs w:val="17"/>
              </w:rPr>
              <w:t>1</w:t>
            </w:r>
            <w:r>
              <w:rPr>
                <w:rFonts w:ascii="Times New Roman" w:hAnsi="Times New Roman" w:eastAsia="Times New Roman" w:cs="Times New Roman"/>
                <w:b/>
                <w:bCs/>
                <w:spacing w:val="3"/>
                <w:sz w:val="17"/>
                <w:szCs w:val="17"/>
              </w:rPr>
              <w:t>20</w:t>
            </w:r>
            <w:r>
              <w:rPr>
                <w:rFonts w:ascii="Times New Roman" w:hAnsi="Times New Roman" w:eastAsia="Times New Roman" w:cs="Times New Roman"/>
                <w:b/>
                <w:bCs/>
                <w:sz w:val="17"/>
                <w:szCs w:val="17"/>
              </w:rPr>
              <w:t>m</w:t>
            </w:r>
          </w:p>
        </w:tc>
        <w:tc>
          <w:tcPr>
            <w:tcW w:w="759" w:type="dxa"/>
            <w:vAlign w:val="top"/>
          </w:tcPr>
          <w:p>
            <w:pPr>
              <w:spacing w:before="159" w:line="197" w:lineRule="auto"/>
              <w:ind w:left="179"/>
              <w:rPr>
                <w:rFonts w:ascii="Times New Roman" w:hAnsi="Times New Roman" w:eastAsia="Times New Roman" w:cs="Times New Roman"/>
                <w:sz w:val="17"/>
                <w:szCs w:val="17"/>
              </w:rPr>
            </w:pPr>
            <w:r>
              <w:rPr>
                <w:rFonts w:ascii="Times New Roman" w:hAnsi="Times New Roman" w:eastAsia="Times New Roman" w:cs="Times New Roman"/>
                <w:b/>
                <w:bCs/>
                <w:spacing w:val="4"/>
                <w:sz w:val="17"/>
                <w:szCs w:val="17"/>
              </w:rPr>
              <w:t>140</w:t>
            </w:r>
            <w:r>
              <w:rPr>
                <w:rFonts w:ascii="Times New Roman" w:hAnsi="Times New Roman" w:eastAsia="Times New Roman" w:cs="Times New Roman"/>
                <w:b/>
                <w:bCs/>
                <w:sz w:val="17"/>
                <w:szCs w:val="17"/>
              </w:rPr>
              <w:t>m</w:t>
            </w:r>
          </w:p>
        </w:tc>
        <w:tc>
          <w:tcPr>
            <w:tcW w:w="759" w:type="dxa"/>
            <w:vAlign w:val="top"/>
          </w:tcPr>
          <w:p>
            <w:pPr>
              <w:spacing w:before="159" w:line="197" w:lineRule="auto"/>
              <w:ind w:left="178"/>
              <w:rPr>
                <w:rFonts w:ascii="Times New Roman" w:hAnsi="Times New Roman" w:eastAsia="Times New Roman" w:cs="Times New Roman"/>
                <w:sz w:val="17"/>
                <w:szCs w:val="17"/>
              </w:rPr>
            </w:pPr>
            <w:r>
              <w:rPr>
                <w:rFonts w:ascii="Times New Roman" w:hAnsi="Times New Roman" w:eastAsia="Times New Roman" w:cs="Times New Roman"/>
                <w:b/>
                <w:bCs/>
                <w:spacing w:val="4"/>
                <w:sz w:val="17"/>
                <w:szCs w:val="17"/>
              </w:rPr>
              <w:t>160</w:t>
            </w:r>
            <w:r>
              <w:rPr>
                <w:rFonts w:ascii="Times New Roman" w:hAnsi="Times New Roman" w:eastAsia="Times New Roman" w:cs="Times New Roman"/>
                <w:b/>
                <w:bCs/>
                <w:sz w:val="17"/>
                <w:szCs w:val="17"/>
              </w:rPr>
              <w:t>m</w:t>
            </w:r>
          </w:p>
        </w:tc>
        <w:tc>
          <w:tcPr>
            <w:tcW w:w="758" w:type="dxa"/>
            <w:vAlign w:val="top"/>
          </w:tcPr>
          <w:p>
            <w:pPr>
              <w:spacing w:before="159" w:line="197" w:lineRule="auto"/>
              <w:ind w:left="180"/>
              <w:rPr>
                <w:rFonts w:ascii="Times New Roman" w:hAnsi="Times New Roman" w:eastAsia="Times New Roman" w:cs="Times New Roman"/>
                <w:sz w:val="17"/>
                <w:szCs w:val="17"/>
              </w:rPr>
            </w:pPr>
            <w:r>
              <w:rPr>
                <w:rFonts w:ascii="Times New Roman" w:hAnsi="Times New Roman" w:eastAsia="Times New Roman" w:cs="Times New Roman"/>
                <w:b/>
                <w:bCs/>
                <w:spacing w:val="4"/>
                <w:sz w:val="17"/>
                <w:szCs w:val="17"/>
              </w:rPr>
              <w:t>1</w:t>
            </w:r>
            <w:r>
              <w:rPr>
                <w:rFonts w:ascii="Times New Roman" w:hAnsi="Times New Roman" w:eastAsia="Times New Roman" w:cs="Times New Roman"/>
                <w:b/>
                <w:bCs/>
                <w:spacing w:val="3"/>
                <w:sz w:val="17"/>
                <w:szCs w:val="17"/>
              </w:rPr>
              <w:t>80</w:t>
            </w:r>
            <w:r>
              <w:rPr>
                <w:rFonts w:ascii="Times New Roman" w:hAnsi="Times New Roman" w:eastAsia="Times New Roman" w:cs="Times New Roman"/>
                <w:b/>
                <w:bCs/>
                <w:sz w:val="17"/>
                <w:szCs w:val="17"/>
              </w:rPr>
              <w:t>m</w:t>
            </w:r>
          </w:p>
        </w:tc>
        <w:tc>
          <w:tcPr>
            <w:tcW w:w="829" w:type="dxa"/>
            <w:vAlign w:val="top"/>
          </w:tcPr>
          <w:p>
            <w:pPr>
              <w:spacing w:before="159" w:line="197" w:lineRule="auto"/>
              <w:ind w:left="206"/>
              <w:rPr>
                <w:rFonts w:ascii="Times New Roman" w:hAnsi="Times New Roman" w:eastAsia="Times New Roman" w:cs="Times New Roman"/>
                <w:sz w:val="17"/>
                <w:szCs w:val="17"/>
              </w:rPr>
            </w:pPr>
            <w:r>
              <w:rPr>
                <w:rFonts w:ascii="Times New Roman" w:hAnsi="Times New Roman" w:eastAsia="Times New Roman" w:cs="Times New Roman"/>
                <w:b/>
                <w:bCs/>
                <w:spacing w:val="6"/>
                <w:sz w:val="17"/>
                <w:szCs w:val="17"/>
              </w:rPr>
              <w:t>20</w:t>
            </w:r>
            <w:r>
              <w:rPr>
                <w:rFonts w:ascii="Times New Roman" w:hAnsi="Times New Roman" w:eastAsia="Times New Roman" w:cs="Times New Roman"/>
                <w:b/>
                <w:bCs/>
                <w:spacing w:val="5"/>
                <w:sz w:val="17"/>
                <w:szCs w:val="17"/>
              </w:rPr>
              <w:t>0</w:t>
            </w:r>
            <w:r>
              <w:rPr>
                <w:rFonts w:ascii="Times New Roman" w:hAnsi="Times New Roman" w:eastAsia="Times New Roman" w:cs="Times New Roman"/>
                <w:b/>
                <w:bCs/>
                <w:sz w:val="17"/>
                <w:szCs w:val="17"/>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058" w:type="dxa"/>
            <w:vMerge w:val="restart"/>
            <w:tcBorders>
              <w:bottom w:val="nil"/>
            </w:tcBorders>
            <w:vAlign w:val="top"/>
          </w:tcPr>
          <w:p>
            <w:pPr>
              <w:spacing w:before="195" w:line="278" w:lineRule="exact"/>
              <w:ind w:left="352"/>
              <w:rPr>
                <w:rFonts w:ascii="宋体" w:hAnsi="宋体" w:eastAsia="宋体" w:cs="宋体"/>
                <w:sz w:val="17"/>
                <w:szCs w:val="17"/>
              </w:rPr>
            </w:pPr>
            <w:r>
              <w:rPr>
                <w:rFonts w:ascii="宋体" w:hAnsi="宋体" w:eastAsia="宋体" w:cs="宋体"/>
                <w:spacing w:val="7"/>
                <w:position w:val="7"/>
                <w:sz w:val="17"/>
                <w:szCs w:val="17"/>
              </w:rPr>
              <w:t>初</w:t>
            </w:r>
            <w:r>
              <w:rPr>
                <w:rFonts w:ascii="宋体" w:hAnsi="宋体" w:eastAsia="宋体" w:cs="宋体"/>
                <w:spacing w:val="6"/>
                <w:position w:val="7"/>
                <w:sz w:val="17"/>
                <w:szCs w:val="17"/>
              </w:rPr>
              <w:t>期</w:t>
            </w:r>
          </w:p>
          <w:p>
            <w:pPr>
              <w:spacing w:line="230" w:lineRule="auto"/>
              <w:ind w:left="237"/>
              <w:rPr>
                <w:rFonts w:ascii="宋体" w:hAnsi="宋体" w:eastAsia="宋体" w:cs="宋体"/>
                <w:sz w:val="17"/>
                <w:szCs w:val="17"/>
              </w:rPr>
            </w:pPr>
            <w:r>
              <w:rPr>
                <w:rFonts w:ascii="Times New Roman" w:hAnsi="Times New Roman" w:eastAsia="Times New Roman" w:cs="Times New Roman"/>
                <w:spacing w:val="5"/>
                <w:sz w:val="17"/>
                <w:szCs w:val="17"/>
              </w:rPr>
              <w:t xml:space="preserve">2026 </w:t>
            </w:r>
            <w:r>
              <w:rPr>
                <w:rFonts w:ascii="宋体" w:hAnsi="宋体" w:eastAsia="宋体" w:cs="宋体"/>
                <w:spacing w:val="4"/>
                <w:sz w:val="17"/>
                <w:szCs w:val="17"/>
              </w:rPr>
              <w:t>年</w:t>
            </w:r>
          </w:p>
        </w:tc>
        <w:tc>
          <w:tcPr>
            <w:tcW w:w="763" w:type="dxa"/>
            <w:vAlign w:val="top"/>
          </w:tcPr>
          <w:p>
            <w:pPr>
              <w:spacing w:before="130" w:line="233" w:lineRule="auto"/>
              <w:ind w:left="204"/>
              <w:rPr>
                <w:rFonts w:ascii="宋体" w:hAnsi="宋体" w:eastAsia="宋体" w:cs="宋体"/>
                <w:sz w:val="17"/>
                <w:szCs w:val="17"/>
              </w:rPr>
            </w:pPr>
            <w:r>
              <w:rPr>
                <w:rFonts w:ascii="宋体" w:hAnsi="宋体" w:eastAsia="宋体" w:cs="宋体"/>
                <w:spacing w:val="7"/>
                <w:sz w:val="17"/>
                <w:szCs w:val="17"/>
              </w:rPr>
              <w:t>昼</w:t>
            </w:r>
            <w:r>
              <w:rPr>
                <w:rFonts w:ascii="宋体" w:hAnsi="宋体" w:eastAsia="宋体" w:cs="宋体"/>
                <w:spacing w:val="6"/>
                <w:sz w:val="17"/>
                <w:szCs w:val="17"/>
              </w:rPr>
              <w:t>间</w:t>
            </w:r>
          </w:p>
        </w:tc>
        <w:tc>
          <w:tcPr>
            <w:tcW w:w="662" w:type="dxa"/>
            <w:vAlign w:val="top"/>
          </w:tcPr>
          <w:p>
            <w:pPr>
              <w:spacing w:before="159" w:line="197" w:lineRule="auto"/>
              <w:ind w:left="17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8.5</w:t>
            </w:r>
          </w:p>
        </w:tc>
        <w:tc>
          <w:tcPr>
            <w:tcW w:w="662" w:type="dxa"/>
            <w:vAlign w:val="top"/>
          </w:tcPr>
          <w:p>
            <w:pPr>
              <w:spacing w:before="159" w:line="197" w:lineRule="auto"/>
              <w:ind w:left="178"/>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57.</w:t>
            </w:r>
            <w:r>
              <w:rPr>
                <w:rFonts w:ascii="Times New Roman" w:hAnsi="Times New Roman" w:eastAsia="Times New Roman" w:cs="Times New Roman"/>
                <w:spacing w:val="2"/>
                <w:sz w:val="17"/>
                <w:szCs w:val="17"/>
              </w:rPr>
              <w:t>3</w:t>
            </w:r>
          </w:p>
        </w:tc>
        <w:tc>
          <w:tcPr>
            <w:tcW w:w="662" w:type="dxa"/>
            <w:vAlign w:val="top"/>
          </w:tcPr>
          <w:p>
            <w:pPr>
              <w:spacing w:before="159" w:line="197" w:lineRule="auto"/>
              <w:ind w:left="17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6.4</w:t>
            </w:r>
          </w:p>
        </w:tc>
        <w:tc>
          <w:tcPr>
            <w:tcW w:w="662" w:type="dxa"/>
            <w:vAlign w:val="top"/>
          </w:tcPr>
          <w:p>
            <w:pPr>
              <w:spacing w:before="161" w:line="194" w:lineRule="auto"/>
              <w:ind w:left="17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.7</w:t>
            </w:r>
          </w:p>
        </w:tc>
        <w:tc>
          <w:tcPr>
            <w:tcW w:w="662" w:type="dxa"/>
            <w:vAlign w:val="top"/>
          </w:tcPr>
          <w:p>
            <w:pPr>
              <w:spacing w:before="159" w:line="197" w:lineRule="auto"/>
              <w:ind w:left="17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2"/>
                <w:sz w:val="17"/>
                <w:szCs w:val="17"/>
              </w:rPr>
              <w:t>5.0</w:t>
            </w:r>
          </w:p>
        </w:tc>
        <w:tc>
          <w:tcPr>
            <w:tcW w:w="662" w:type="dxa"/>
            <w:vAlign w:val="top"/>
          </w:tcPr>
          <w:p>
            <w:pPr>
              <w:spacing w:before="159" w:line="197" w:lineRule="auto"/>
              <w:ind w:left="17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4.5</w:t>
            </w:r>
          </w:p>
        </w:tc>
        <w:tc>
          <w:tcPr>
            <w:tcW w:w="662" w:type="dxa"/>
            <w:vAlign w:val="top"/>
          </w:tcPr>
          <w:p>
            <w:pPr>
              <w:spacing w:before="159" w:line="197" w:lineRule="auto"/>
              <w:ind w:left="17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3.5</w:t>
            </w:r>
          </w:p>
        </w:tc>
        <w:tc>
          <w:tcPr>
            <w:tcW w:w="662" w:type="dxa"/>
            <w:vAlign w:val="top"/>
          </w:tcPr>
          <w:p>
            <w:pPr>
              <w:spacing w:before="159" w:line="197" w:lineRule="auto"/>
              <w:ind w:left="178"/>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52.6</w:t>
            </w:r>
          </w:p>
        </w:tc>
        <w:tc>
          <w:tcPr>
            <w:tcW w:w="662" w:type="dxa"/>
            <w:vAlign w:val="top"/>
          </w:tcPr>
          <w:p>
            <w:pPr>
              <w:spacing w:before="159" w:line="197" w:lineRule="auto"/>
              <w:ind w:left="17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w:t>
            </w:r>
          </w:p>
        </w:tc>
        <w:tc>
          <w:tcPr>
            <w:tcW w:w="662" w:type="dxa"/>
            <w:vAlign w:val="top"/>
          </w:tcPr>
          <w:p>
            <w:pPr>
              <w:spacing w:before="159" w:line="197" w:lineRule="auto"/>
              <w:ind w:left="17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0.2</w:t>
            </w:r>
          </w:p>
        </w:tc>
        <w:tc>
          <w:tcPr>
            <w:tcW w:w="758" w:type="dxa"/>
            <w:vAlign w:val="top"/>
          </w:tcPr>
          <w:p>
            <w:pPr>
              <w:spacing w:before="159" w:line="197" w:lineRule="auto"/>
              <w:ind w:left="222"/>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8.9</w:t>
            </w:r>
          </w:p>
        </w:tc>
        <w:tc>
          <w:tcPr>
            <w:tcW w:w="758" w:type="dxa"/>
            <w:vAlign w:val="top"/>
          </w:tcPr>
          <w:p>
            <w:pPr>
              <w:spacing w:before="159" w:line="197" w:lineRule="auto"/>
              <w:ind w:left="22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47.7</w:t>
            </w:r>
          </w:p>
        </w:tc>
        <w:tc>
          <w:tcPr>
            <w:tcW w:w="759" w:type="dxa"/>
            <w:vAlign w:val="top"/>
          </w:tcPr>
          <w:p>
            <w:pPr>
              <w:spacing w:before="159" w:line="197" w:lineRule="auto"/>
              <w:ind w:left="22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46.7</w:t>
            </w:r>
          </w:p>
        </w:tc>
        <w:tc>
          <w:tcPr>
            <w:tcW w:w="759" w:type="dxa"/>
            <w:vAlign w:val="top"/>
          </w:tcPr>
          <w:p>
            <w:pPr>
              <w:spacing w:before="159" w:line="197" w:lineRule="auto"/>
              <w:ind w:left="22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45.7</w:t>
            </w:r>
          </w:p>
        </w:tc>
        <w:tc>
          <w:tcPr>
            <w:tcW w:w="758" w:type="dxa"/>
            <w:vAlign w:val="top"/>
          </w:tcPr>
          <w:p>
            <w:pPr>
              <w:spacing w:before="159" w:line="200" w:lineRule="auto"/>
              <w:ind w:left="22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44.7</w:t>
            </w:r>
          </w:p>
        </w:tc>
        <w:tc>
          <w:tcPr>
            <w:tcW w:w="829" w:type="dxa"/>
            <w:vAlign w:val="top"/>
          </w:tcPr>
          <w:p>
            <w:pPr>
              <w:spacing w:before="159" w:line="197" w:lineRule="auto"/>
              <w:ind w:left="25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58" w:type="dxa"/>
            <w:vMerge w:val="continue"/>
            <w:tcBorders>
              <w:top w:val="nil"/>
            </w:tcBorders>
            <w:vAlign w:val="top"/>
          </w:tcPr>
          <w:p>
            <w:pPr>
              <w:rPr>
                <w:rFonts w:ascii="Arial"/>
                <w:sz w:val="21"/>
              </w:rPr>
            </w:pPr>
          </w:p>
        </w:tc>
        <w:tc>
          <w:tcPr>
            <w:tcW w:w="763" w:type="dxa"/>
            <w:vAlign w:val="top"/>
          </w:tcPr>
          <w:p>
            <w:pPr>
              <w:spacing w:before="129" w:line="230" w:lineRule="auto"/>
              <w:ind w:left="208"/>
              <w:rPr>
                <w:rFonts w:ascii="宋体" w:hAnsi="宋体" w:eastAsia="宋体" w:cs="宋体"/>
                <w:sz w:val="17"/>
                <w:szCs w:val="17"/>
              </w:rPr>
            </w:pPr>
            <w:r>
              <w:rPr>
                <w:rFonts w:ascii="宋体" w:hAnsi="宋体" w:eastAsia="宋体" w:cs="宋体"/>
                <w:spacing w:val="5"/>
                <w:sz w:val="17"/>
                <w:szCs w:val="17"/>
              </w:rPr>
              <w:t>夜间</w:t>
            </w:r>
          </w:p>
        </w:tc>
        <w:tc>
          <w:tcPr>
            <w:tcW w:w="662" w:type="dxa"/>
            <w:vAlign w:val="top"/>
          </w:tcPr>
          <w:p>
            <w:pPr>
              <w:spacing w:before="160" w:line="197" w:lineRule="auto"/>
              <w:ind w:left="17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49.7</w:t>
            </w:r>
          </w:p>
        </w:tc>
        <w:tc>
          <w:tcPr>
            <w:tcW w:w="662" w:type="dxa"/>
            <w:vAlign w:val="top"/>
          </w:tcPr>
          <w:p>
            <w:pPr>
              <w:spacing w:before="160" w:line="197" w:lineRule="auto"/>
              <w:ind w:left="172"/>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8.6</w:t>
            </w:r>
          </w:p>
        </w:tc>
        <w:tc>
          <w:tcPr>
            <w:tcW w:w="662" w:type="dxa"/>
            <w:vAlign w:val="top"/>
          </w:tcPr>
          <w:p>
            <w:pPr>
              <w:spacing w:before="160" w:line="197" w:lineRule="auto"/>
              <w:ind w:left="173"/>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7.6</w:t>
            </w:r>
          </w:p>
        </w:tc>
        <w:tc>
          <w:tcPr>
            <w:tcW w:w="662" w:type="dxa"/>
            <w:vAlign w:val="top"/>
          </w:tcPr>
          <w:p>
            <w:pPr>
              <w:spacing w:before="160" w:line="197" w:lineRule="auto"/>
              <w:ind w:left="173"/>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6.9</w:t>
            </w:r>
          </w:p>
        </w:tc>
        <w:tc>
          <w:tcPr>
            <w:tcW w:w="662" w:type="dxa"/>
            <w:vAlign w:val="top"/>
          </w:tcPr>
          <w:p>
            <w:pPr>
              <w:spacing w:before="160" w:line="197" w:lineRule="auto"/>
              <w:ind w:left="171"/>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6.3</w:t>
            </w:r>
          </w:p>
        </w:tc>
        <w:tc>
          <w:tcPr>
            <w:tcW w:w="662" w:type="dxa"/>
            <w:vAlign w:val="top"/>
          </w:tcPr>
          <w:p>
            <w:pPr>
              <w:spacing w:before="160" w:line="197" w:lineRule="auto"/>
              <w:ind w:left="17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45.7</w:t>
            </w:r>
          </w:p>
        </w:tc>
        <w:tc>
          <w:tcPr>
            <w:tcW w:w="662" w:type="dxa"/>
            <w:vAlign w:val="top"/>
          </w:tcPr>
          <w:p>
            <w:pPr>
              <w:spacing w:before="160" w:line="200" w:lineRule="auto"/>
              <w:ind w:left="17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44.7</w:t>
            </w:r>
          </w:p>
        </w:tc>
        <w:tc>
          <w:tcPr>
            <w:tcW w:w="662" w:type="dxa"/>
            <w:vAlign w:val="top"/>
          </w:tcPr>
          <w:p>
            <w:pPr>
              <w:spacing w:before="160" w:line="197" w:lineRule="auto"/>
              <w:ind w:left="172"/>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3.9</w:t>
            </w:r>
          </w:p>
        </w:tc>
        <w:tc>
          <w:tcPr>
            <w:tcW w:w="662" w:type="dxa"/>
            <w:vAlign w:val="top"/>
          </w:tcPr>
          <w:p>
            <w:pPr>
              <w:spacing w:before="160" w:line="197" w:lineRule="auto"/>
              <w:ind w:left="17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43.0</w:t>
            </w:r>
          </w:p>
        </w:tc>
        <w:tc>
          <w:tcPr>
            <w:tcW w:w="662" w:type="dxa"/>
            <w:vAlign w:val="top"/>
          </w:tcPr>
          <w:p>
            <w:pPr>
              <w:spacing w:before="160" w:line="200" w:lineRule="auto"/>
              <w:ind w:left="173"/>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1.5</w:t>
            </w:r>
          </w:p>
        </w:tc>
        <w:tc>
          <w:tcPr>
            <w:tcW w:w="758" w:type="dxa"/>
            <w:vAlign w:val="top"/>
          </w:tcPr>
          <w:p>
            <w:pPr>
              <w:spacing w:before="160" w:line="197" w:lineRule="auto"/>
              <w:ind w:left="22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0.2</w:t>
            </w:r>
          </w:p>
        </w:tc>
        <w:tc>
          <w:tcPr>
            <w:tcW w:w="758" w:type="dxa"/>
            <w:vAlign w:val="top"/>
          </w:tcPr>
          <w:p>
            <w:pPr>
              <w:spacing w:before="160" w:line="197" w:lineRule="auto"/>
              <w:ind w:left="22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3"/>
                <w:sz w:val="17"/>
                <w:szCs w:val="17"/>
              </w:rPr>
              <w:t>9. 1</w:t>
            </w:r>
          </w:p>
        </w:tc>
        <w:tc>
          <w:tcPr>
            <w:tcW w:w="759" w:type="dxa"/>
            <w:vAlign w:val="top"/>
          </w:tcPr>
          <w:p>
            <w:pPr>
              <w:spacing w:before="160" w:line="197" w:lineRule="auto"/>
              <w:ind w:left="22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38.0</w:t>
            </w:r>
          </w:p>
        </w:tc>
        <w:tc>
          <w:tcPr>
            <w:tcW w:w="759" w:type="dxa"/>
            <w:vAlign w:val="top"/>
          </w:tcPr>
          <w:p>
            <w:pPr>
              <w:spacing w:before="160" w:line="197" w:lineRule="auto"/>
              <w:ind w:left="22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37.0</w:t>
            </w:r>
          </w:p>
        </w:tc>
        <w:tc>
          <w:tcPr>
            <w:tcW w:w="758" w:type="dxa"/>
            <w:vAlign w:val="top"/>
          </w:tcPr>
          <w:p>
            <w:pPr>
              <w:spacing w:before="160" w:line="197" w:lineRule="auto"/>
              <w:ind w:left="22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3"/>
                <w:sz w:val="17"/>
                <w:szCs w:val="17"/>
              </w:rPr>
              <w:t>6. 1</w:t>
            </w:r>
          </w:p>
        </w:tc>
        <w:tc>
          <w:tcPr>
            <w:tcW w:w="829" w:type="dxa"/>
            <w:vAlign w:val="top"/>
          </w:tcPr>
          <w:p>
            <w:pPr>
              <w:spacing w:before="160" w:line="197" w:lineRule="auto"/>
              <w:ind w:left="26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3"/>
                <w:sz w:val="17"/>
                <w:szCs w:val="17"/>
              </w:rP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058" w:type="dxa"/>
            <w:vMerge w:val="restart"/>
            <w:tcBorders>
              <w:bottom w:val="nil"/>
            </w:tcBorders>
            <w:vAlign w:val="top"/>
          </w:tcPr>
          <w:p>
            <w:pPr>
              <w:spacing w:before="195" w:line="279" w:lineRule="exact"/>
              <w:ind w:left="370"/>
              <w:rPr>
                <w:rFonts w:ascii="宋体" w:hAnsi="宋体" w:eastAsia="宋体" w:cs="宋体"/>
                <w:sz w:val="17"/>
                <w:szCs w:val="17"/>
              </w:rPr>
            </w:pPr>
            <w:r>
              <w:rPr>
                <w:rFonts w:ascii="宋体" w:hAnsi="宋体" w:eastAsia="宋体" w:cs="宋体"/>
                <w:spacing w:val="-2"/>
                <w:position w:val="7"/>
                <w:sz w:val="17"/>
                <w:szCs w:val="17"/>
              </w:rPr>
              <w:t>中期</w:t>
            </w:r>
          </w:p>
          <w:p>
            <w:pPr>
              <w:spacing w:line="230" w:lineRule="auto"/>
              <w:ind w:left="237"/>
              <w:rPr>
                <w:rFonts w:ascii="宋体" w:hAnsi="宋体" w:eastAsia="宋体" w:cs="宋体"/>
                <w:sz w:val="17"/>
                <w:szCs w:val="17"/>
              </w:rPr>
            </w:pPr>
            <w:r>
              <w:rPr>
                <w:rFonts w:ascii="Times New Roman" w:hAnsi="Times New Roman" w:eastAsia="Times New Roman" w:cs="Times New Roman"/>
                <w:spacing w:val="5"/>
                <w:sz w:val="17"/>
                <w:szCs w:val="17"/>
              </w:rPr>
              <w:t xml:space="preserve">2032 </w:t>
            </w:r>
            <w:r>
              <w:rPr>
                <w:rFonts w:ascii="宋体" w:hAnsi="宋体" w:eastAsia="宋体" w:cs="宋体"/>
                <w:spacing w:val="4"/>
                <w:sz w:val="17"/>
                <w:szCs w:val="17"/>
              </w:rPr>
              <w:t>年</w:t>
            </w:r>
          </w:p>
        </w:tc>
        <w:tc>
          <w:tcPr>
            <w:tcW w:w="763" w:type="dxa"/>
            <w:vAlign w:val="top"/>
          </w:tcPr>
          <w:p>
            <w:pPr>
              <w:spacing w:before="131" w:line="233" w:lineRule="auto"/>
              <w:ind w:left="204"/>
              <w:rPr>
                <w:rFonts w:ascii="宋体" w:hAnsi="宋体" w:eastAsia="宋体" w:cs="宋体"/>
                <w:sz w:val="17"/>
                <w:szCs w:val="17"/>
              </w:rPr>
            </w:pPr>
            <w:r>
              <w:rPr>
                <w:rFonts w:ascii="宋体" w:hAnsi="宋体" w:eastAsia="宋体" w:cs="宋体"/>
                <w:spacing w:val="7"/>
                <w:sz w:val="17"/>
                <w:szCs w:val="17"/>
              </w:rPr>
              <w:t>昼</w:t>
            </w:r>
            <w:r>
              <w:rPr>
                <w:rFonts w:ascii="宋体" w:hAnsi="宋体" w:eastAsia="宋体" w:cs="宋体"/>
                <w:spacing w:val="6"/>
                <w:sz w:val="17"/>
                <w:szCs w:val="17"/>
              </w:rPr>
              <w:t>间</w:t>
            </w:r>
          </w:p>
        </w:tc>
        <w:tc>
          <w:tcPr>
            <w:tcW w:w="662" w:type="dxa"/>
            <w:vAlign w:val="top"/>
          </w:tcPr>
          <w:p>
            <w:pPr>
              <w:spacing w:before="162" w:line="197" w:lineRule="auto"/>
              <w:ind w:left="178"/>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w:t>
            </w:r>
            <w:r>
              <w:rPr>
                <w:rFonts w:ascii="Times New Roman" w:hAnsi="Times New Roman" w:eastAsia="Times New Roman" w:cs="Times New Roman"/>
                <w:spacing w:val="2"/>
                <w:sz w:val="17"/>
                <w:szCs w:val="17"/>
              </w:rPr>
              <w:t>9</w:t>
            </w:r>
          </w:p>
        </w:tc>
        <w:tc>
          <w:tcPr>
            <w:tcW w:w="662" w:type="dxa"/>
            <w:vAlign w:val="top"/>
          </w:tcPr>
          <w:p>
            <w:pPr>
              <w:spacing w:before="162" w:line="197" w:lineRule="auto"/>
              <w:ind w:left="17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8</w:t>
            </w:r>
            <w:r>
              <w:rPr>
                <w:rFonts w:ascii="Times New Roman" w:hAnsi="Times New Roman" w:eastAsia="Times New Roman" w:cs="Times New Roman"/>
                <w:spacing w:val="2"/>
                <w:sz w:val="17"/>
                <w:szCs w:val="17"/>
              </w:rPr>
              <w:t>.7</w:t>
            </w:r>
          </w:p>
        </w:tc>
        <w:tc>
          <w:tcPr>
            <w:tcW w:w="662" w:type="dxa"/>
            <w:vAlign w:val="top"/>
          </w:tcPr>
          <w:p>
            <w:pPr>
              <w:spacing w:before="162" w:line="197" w:lineRule="auto"/>
              <w:ind w:left="17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57.</w:t>
            </w:r>
            <w:r>
              <w:rPr>
                <w:rFonts w:ascii="Times New Roman" w:hAnsi="Times New Roman" w:eastAsia="Times New Roman" w:cs="Times New Roman"/>
                <w:spacing w:val="3"/>
                <w:sz w:val="17"/>
                <w:szCs w:val="17"/>
              </w:rPr>
              <w:t>8</w:t>
            </w:r>
          </w:p>
        </w:tc>
        <w:tc>
          <w:tcPr>
            <w:tcW w:w="662" w:type="dxa"/>
            <w:vAlign w:val="top"/>
          </w:tcPr>
          <w:p>
            <w:pPr>
              <w:spacing w:before="162" w:line="197" w:lineRule="auto"/>
              <w:ind w:left="17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2"/>
                <w:sz w:val="17"/>
                <w:szCs w:val="17"/>
              </w:rPr>
              <w:t>7.0</w:t>
            </w:r>
          </w:p>
        </w:tc>
        <w:tc>
          <w:tcPr>
            <w:tcW w:w="662" w:type="dxa"/>
            <w:vAlign w:val="top"/>
          </w:tcPr>
          <w:p>
            <w:pPr>
              <w:spacing w:before="162" w:line="197" w:lineRule="auto"/>
              <w:ind w:left="17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6.4</w:t>
            </w:r>
          </w:p>
        </w:tc>
        <w:tc>
          <w:tcPr>
            <w:tcW w:w="662" w:type="dxa"/>
            <w:vAlign w:val="top"/>
          </w:tcPr>
          <w:p>
            <w:pPr>
              <w:spacing w:before="162" w:line="197" w:lineRule="auto"/>
              <w:ind w:left="17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55.</w:t>
            </w:r>
            <w:r>
              <w:rPr>
                <w:rFonts w:ascii="Times New Roman" w:hAnsi="Times New Roman" w:eastAsia="Times New Roman" w:cs="Times New Roman"/>
                <w:spacing w:val="2"/>
                <w:sz w:val="17"/>
                <w:szCs w:val="17"/>
              </w:rPr>
              <w:t>9</w:t>
            </w:r>
          </w:p>
        </w:tc>
        <w:tc>
          <w:tcPr>
            <w:tcW w:w="662" w:type="dxa"/>
            <w:vAlign w:val="top"/>
          </w:tcPr>
          <w:p>
            <w:pPr>
              <w:spacing w:before="162" w:line="197" w:lineRule="auto"/>
              <w:ind w:left="17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54.</w:t>
            </w:r>
            <w:r>
              <w:rPr>
                <w:rFonts w:ascii="Times New Roman" w:hAnsi="Times New Roman" w:eastAsia="Times New Roman" w:cs="Times New Roman"/>
                <w:spacing w:val="3"/>
                <w:sz w:val="17"/>
                <w:szCs w:val="17"/>
              </w:rPr>
              <w:t>8</w:t>
            </w:r>
          </w:p>
        </w:tc>
        <w:tc>
          <w:tcPr>
            <w:tcW w:w="662" w:type="dxa"/>
            <w:vAlign w:val="top"/>
          </w:tcPr>
          <w:p>
            <w:pPr>
              <w:spacing w:before="162" w:line="197" w:lineRule="auto"/>
              <w:ind w:left="17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2"/>
                <w:sz w:val="17"/>
                <w:szCs w:val="17"/>
              </w:rPr>
              <w:t>4.0</w:t>
            </w:r>
          </w:p>
        </w:tc>
        <w:tc>
          <w:tcPr>
            <w:tcW w:w="662" w:type="dxa"/>
            <w:vAlign w:val="top"/>
          </w:tcPr>
          <w:p>
            <w:pPr>
              <w:spacing w:before="162" w:line="197" w:lineRule="auto"/>
              <w:ind w:left="179"/>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5</w:t>
            </w:r>
            <w:r>
              <w:rPr>
                <w:rFonts w:ascii="Times New Roman" w:hAnsi="Times New Roman" w:eastAsia="Times New Roman" w:cs="Times New Roman"/>
                <w:spacing w:val="-3"/>
                <w:sz w:val="17"/>
                <w:szCs w:val="17"/>
              </w:rPr>
              <w:t>3. 1</w:t>
            </w:r>
          </w:p>
        </w:tc>
        <w:tc>
          <w:tcPr>
            <w:tcW w:w="662" w:type="dxa"/>
            <w:vAlign w:val="top"/>
          </w:tcPr>
          <w:p>
            <w:pPr>
              <w:spacing w:before="162" w:line="197" w:lineRule="auto"/>
              <w:ind w:left="17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51.6</w:t>
            </w:r>
          </w:p>
        </w:tc>
        <w:tc>
          <w:tcPr>
            <w:tcW w:w="758" w:type="dxa"/>
            <w:vAlign w:val="top"/>
          </w:tcPr>
          <w:p>
            <w:pPr>
              <w:spacing w:before="162" w:line="197" w:lineRule="auto"/>
              <w:ind w:left="22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50.</w:t>
            </w:r>
            <w:r>
              <w:rPr>
                <w:rFonts w:ascii="Times New Roman" w:hAnsi="Times New Roman" w:eastAsia="Times New Roman" w:cs="Times New Roman"/>
                <w:spacing w:val="2"/>
                <w:sz w:val="17"/>
                <w:szCs w:val="17"/>
              </w:rPr>
              <w:t>3</w:t>
            </w:r>
          </w:p>
        </w:tc>
        <w:tc>
          <w:tcPr>
            <w:tcW w:w="758" w:type="dxa"/>
            <w:vAlign w:val="top"/>
          </w:tcPr>
          <w:p>
            <w:pPr>
              <w:spacing w:before="162" w:line="197" w:lineRule="auto"/>
              <w:ind w:left="22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w:t>
            </w:r>
            <w:r>
              <w:rPr>
                <w:rFonts w:ascii="Times New Roman" w:hAnsi="Times New Roman" w:eastAsia="Times New Roman" w:cs="Times New Roman"/>
                <w:spacing w:val="-2"/>
                <w:sz w:val="17"/>
                <w:szCs w:val="17"/>
              </w:rPr>
              <w:t>9. 1</w:t>
            </w:r>
          </w:p>
        </w:tc>
        <w:tc>
          <w:tcPr>
            <w:tcW w:w="759" w:type="dxa"/>
            <w:vAlign w:val="top"/>
          </w:tcPr>
          <w:p>
            <w:pPr>
              <w:spacing w:before="162" w:line="197" w:lineRule="auto"/>
              <w:ind w:left="22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48.0</w:t>
            </w:r>
          </w:p>
        </w:tc>
        <w:tc>
          <w:tcPr>
            <w:tcW w:w="759" w:type="dxa"/>
            <w:vAlign w:val="top"/>
          </w:tcPr>
          <w:p>
            <w:pPr>
              <w:spacing w:before="162" w:line="197" w:lineRule="auto"/>
              <w:ind w:left="22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47.0</w:t>
            </w:r>
          </w:p>
        </w:tc>
        <w:tc>
          <w:tcPr>
            <w:tcW w:w="758" w:type="dxa"/>
            <w:vAlign w:val="top"/>
          </w:tcPr>
          <w:p>
            <w:pPr>
              <w:spacing w:before="162" w:line="197" w:lineRule="auto"/>
              <w:ind w:left="22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w:t>
            </w:r>
            <w:r>
              <w:rPr>
                <w:rFonts w:ascii="Times New Roman" w:hAnsi="Times New Roman" w:eastAsia="Times New Roman" w:cs="Times New Roman"/>
                <w:spacing w:val="-2"/>
                <w:sz w:val="17"/>
                <w:szCs w:val="17"/>
              </w:rPr>
              <w:t>6. 1</w:t>
            </w:r>
          </w:p>
        </w:tc>
        <w:tc>
          <w:tcPr>
            <w:tcW w:w="829" w:type="dxa"/>
            <w:vAlign w:val="top"/>
          </w:tcPr>
          <w:p>
            <w:pPr>
              <w:spacing w:before="162" w:line="197" w:lineRule="auto"/>
              <w:ind w:left="258"/>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58" w:type="dxa"/>
            <w:vMerge w:val="continue"/>
            <w:tcBorders>
              <w:top w:val="nil"/>
            </w:tcBorders>
            <w:vAlign w:val="top"/>
          </w:tcPr>
          <w:p>
            <w:pPr>
              <w:rPr>
                <w:rFonts w:ascii="Arial"/>
                <w:sz w:val="21"/>
              </w:rPr>
            </w:pPr>
          </w:p>
        </w:tc>
        <w:tc>
          <w:tcPr>
            <w:tcW w:w="763" w:type="dxa"/>
            <w:vAlign w:val="top"/>
          </w:tcPr>
          <w:p>
            <w:pPr>
              <w:spacing w:before="132" w:line="230" w:lineRule="auto"/>
              <w:ind w:left="208"/>
              <w:rPr>
                <w:rFonts w:ascii="宋体" w:hAnsi="宋体" w:eastAsia="宋体" w:cs="宋体"/>
                <w:sz w:val="17"/>
                <w:szCs w:val="17"/>
              </w:rPr>
            </w:pPr>
            <w:r>
              <w:rPr>
                <w:rFonts w:ascii="宋体" w:hAnsi="宋体" w:eastAsia="宋体" w:cs="宋体"/>
                <w:spacing w:val="5"/>
                <w:sz w:val="17"/>
                <w:szCs w:val="17"/>
              </w:rPr>
              <w:t>夜间</w:t>
            </w:r>
          </w:p>
        </w:tc>
        <w:tc>
          <w:tcPr>
            <w:tcW w:w="662" w:type="dxa"/>
            <w:vAlign w:val="top"/>
          </w:tcPr>
          <w:p>
            <w:pPr>
              <w:spacing w:before="161" w:line="197" w:lineRule="auto"/>
              <w:ind w:left="178"/>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1.2</w:t>
            </w:r>
          </w:p>
        </w:tc>
        <w:tc>
          <w:tcPr>
            <w:tcW w:w="662" w:type="dxa"/>
            <w:vAlign w:val="top"/>
          </w:tcPr>
          <w:p>
            <w:pPr>
              <w:spacing w:before="161" w:line="197" w:lineRule="auto"/>
              <w:ind w:left="17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2"/>
                <w:sz w:val="17"/>
                <w:szCs w:val="17"/>
              </w:rPr>
              <w:t>0.0</w:t>
            </w:r>
          </w:p>
        </w:tc>
        <w:tc>
          <w:tcPr>
            <w:tcW w:w="662" w:type="dxa"/>
            <w:vAlign w:val="top"/>
          </w:tcPr>
          <w:p>
            <w:pPr>
              <w:spacing w:before="160" w:line="197" w:lineRule="auto"/>
              <w:ind w:left="17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w:t>
            </w:r>
            <w:r>
              <w:rPr>
                <w:rFonts w:ascii="Times New Roman" w:hAnsi="Times New Roman" w:eastAsia="Times New Roman" w:cs="Times New Roman"/>
                <w:spacing w:val="-2"/>
                <w:sz w:val="17"/>
                <w:szCs w:val="17"/>
              </w:rPr>
              <w:t>9. 1</w:t>
            </w:r>
          </w:p>
        </w:tc>
        <w:tc>
          <w:tcPr>
            <w:tcW w:w="662" w:type="dxa"/>
            <w:vAlign w:val="top"/>
          </w:tcPr>
          <w:p>
            <w:pPr>
              <w:spacing w:before="161" w:line="197" w:lineRule="auto"/>
              <w:ind w:left="173"/>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8.3</w:t>
            </w:r>
          </w:p>
        </w:tc>
        <w:tc>
          <w:tcPr>
            <w:tcW w:w="662" w:type="dxa"/>
            <w:vAlign w:val="top"/>
          </w:tcPr>
          <w:p>
            <w:pPr>
              <w:spacing w:before="160" w:line="197" w:lineRule="auto"/>
              <w:ind w:left="17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47.7</w:t>
            </w:r>
          </w:p>
        </w:tc>
        <w:tc>
          <w:tcPr>
            <w:tcW w:w="662" w:type="dxa"/>
            <w:vAlign w:val="top"/>
          </w:tcPr>
          <w:p>
            <w:pPr>
              <w:spacing w:before="160" w:line="197" w:lineRule="auto"/>
              <w:ind w:left="17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w:t>
            </w:r>
            <w:r>
              <w:rPr>
                <w:rFonts w:ascii="Times New Roman" w:hAnsi="Times New Roman" w:eastAsia="Times New Roman" w:cs="Times New Roman"/>
                <w:spacing w:val="-2"/>
                <w:sz w:val="17"/>
                <w:szCs w:val="17"/>
              </w:rPr>
              <w:t>7. 1</w:t>
            </w:r>
          </w:p>
        </w:tc>
        <w:tc>
          <w:tcPr>
            <w:tcW w:w="662" w:type="dxa"/>
            <w:vAlign w:val="top"/>
          </w:tcPr>
          <w:p>
            <w:pPr>
              <w:spacing w:before="161" w:line="197" w:lineRule="auto"/>
              <w:ind w:left="17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w:t>
            </w:r>
            <w:r>
              <w:rPr>
                <w:rFonts w:ascii="Times New Roman" w:hAnsi="Times New Roman" w:eastAsia="Times New Roman" w:cs="Times New Roman"/>
                <w:spacing w:val="-2"/>
                <w:sz w:val="17"/>
                <w:szCs w:val="17"/>
              </w:rPr>
              <w:t>6. 1</w:t>
            </w:r>
          </w:p>
        </w:tc>
        <w:tc>
          <w:tcPr>
            <w:tcW w:w="662" w:type="dxa"/>
            <w:vAlign w:val="top"/>
          </w:tcPr>
          <w:p>
            <w:pPr>
              <w:spacing w:before="161" w:line="197" w:lineRule="auto"/>
              <w:ind w:left="172"/>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5.3</w:t>
            </w:r>
          </w:p>
        </w:tc>
        <w:tc>
          <w:tcPr>
            <w:tcW w:w="662" w:type="dxa"/>
            <w:vAlign w:val="top"/>
          </w:tcPr>
          <w:p>
            <w:pPr>
              <w:spacing w:before="160" w:line="200" w:lineRule="auto"/>
              <w:ind w:left="173"/>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4.4</w:t>
            </w:r>
          </w:p>
        </w:tc>
        <w:tc>
          <w:tcPr>
            <w:tcW w:w="662" w:type="dxa"/>
            <w:vAlign w:val="top"/>
          </w:tcPr>
          <w:p>
            <w:pPr>
              <w:spacing w:before="160" w:line="200" w:lineRule="auto"/>
              <w:ind w:left="173"/>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2.9</w:t>
            </w:r>
          </w:p>
        </w:tc>
        <w:tc>
          <w:tcPr>
            <w:tcW w:w="758" w:type="dxa"/>
            <w:vAlign w:val="top"/>
          </w:tcPr>
          <w:p>
            <w:pPr>
              <w:spacing w:before="160" w:line="200" w:lineRule="auto"/>
              <w:ind w:left="222"/>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1.6</w:t>
            </w:r>
          </w:p>
        </w:tc>
        <w:tc>
          <w:tcPr>
            <w:tcW w:w="758" w:type="dxa"/>
            <w:vAlign w:val="top"/>
          </w:tcPr>
          <w:p>
            <w:pPr>
              <w:spacing w:before="161" w:line="197" w:lineRule="auto"/>
              <w:ind w:left="22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0.4</w:t>
            </w:r>
          </w:p>
        </w:tc>
        <w:tc>
          <w:tcPr>
            <w:tcW w:w="759" w:type="dxa"/>
            <w:vAlign w:val="top"/>
          </w:tcPr>
          <w:p>
            <w:pPr>
              <w:spacing w:before="160" w:line="197" w:lineRule="auto"/>
              <w:ind w:left="22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2"/>
                <w:sz w:val="17"/>
                <w:szCs w:val="17"/>
              </w:rPr>
              <w:t>9.4</w:t>
            </w:r>
          </w:p>
        </w:tc>
        <w:tc>
          <w:tcPr>
            <w:tcW w:w="759" w:type="dxa"/>
            <w:vAlign w:val="top"/>
          </w:tcPr>
          <w:p>
            <w:pPr>
              <w:spacing w:before="161" w:line="197" w:lineRule="auto"/>
              <w:ind w:left="22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2"/>
                <w:sz w:val="17"/>
                <w:szCs w:val="17"/>
              </w:rPr>
              <w:t>8.4</w:t>
            </w:r>
          </w:p>
        </w:tc>
        <w:tc>
          <w:tcPr>
            <w:tcW w:w="758" w:type="dxa"/>
            <w:vAlign w:val="top"/>
          </w:tcPr>
          <w:p>
            <w:pPr>
              <w:spacing w:before="160" w:line="197" w:lineRule="auto"/>
              <w:ind w:left="22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3</w:t>
            </w:r>
            <w:r>
              <w:rPr>
                <w:rFonts w:ascii="Times New Roman" w:hAnsi="Times New Roman" w:eastAsia="Times New Roman" w:cs="Times New Roman"/>
                <w:spacing w:val="3"/>
                <w:sz w:val="17"/>
                <w:szCs w:val="17"/>
              </w:rPr>
              <w:t>7.5</w:t>
            </w:r>
          </w:p>
        </w:tc>
        <w:tc>
          <w:tcPr>
            <w:tcW w:w="829" w:type="dxa"/>
            <w:vAlign w:val="top"/>
          </w:tcPr>
          <w:p>
            <w:pPr>
              <w:spacing w:before="161" w:line="197" w:lineRule="auto"/>
              <w:ind w:left="26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3"/>
                <w:sz w:val="17"/>
                <w:szCs w:val="17"/>
              </w:rPr>
              <w:t>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58" w:type="dxa"/>
            <w:vMerge w:val="restart"/>
            <w:tcBorders>
              <w:bottom w:val="nil"/>
            </w:tcBorders>
            <w:vAlign w:val="top"/>
          </w:tcPr>
          <w:p>
            <w:pPr>
              <w:spacing w:before="234" w:line="279" w:lineRule="exact"/>
              <w:ind w:left="353"/>
              <w:rPr>
                <w:rFonts w:ascii="宋体" w:hAnsi="宋体" w:eastAsia="宋体" w:cs="宋体"/>
                <w:sz w:val="17"/>
                <w:szCs w:val="17"/>
              </w:rPr>
            </w:pPr>
            <w:r>
              <w:rPr>
                <w:rFonts w:ascii="宋体" w:hAnsi="宋体" w:eastAsia="宋体" w:cs="宋体"/>
                <w:spacing w:val="6"/>
                <w:position w:val="7"/>
                <w:sz w:val="17"/>
                <w:szCs w:val="17"/>
              </w:rPr>
              <w:t>远期</w:t>
            </w:r>
          </w:p>
          <w:p>
            <w:pPr>
              <w:spacing w:line="230" w:lineRule="auto"/>
              <w:ind w:left="237"/>
              <w:rPr>
                <w:rFonts w:ascii="宋体" w:hAnsi="宋体" w:eastAsia="宋体" w:cs="宋体"/>
                <w:sz w:val="17"/>
                <w:szCs w:val="17"/>
              </w:rPr>
            </w:pPr>
            <w:r>
              <w:rPr>
                <w:rFonts w:ascii="Times New Roman" w:hAnsi="Times New Roman" w:eastAsia="Times New Roman" w:cs="Times New Roman"/>
                <w:spacing w:val="5"/>
                <w:sz w:val="17"/>
                <w:szCs w:val="17"/>
              </w:rPr>
              <w:t xml:space="preserve">2040 </w:t>
            </w:r>
            <w:r>
              <w:rPr>
                <w:rFonts w:ascii="宋体" w:hAnsi="宋体" w:eastAsia="宋体" w:cs="宋体"/>
                <w:spacing w:val="4"/>
                <w:sz w:val="17"/>
                <w:szCs w:val="17"/>
              </w:rPr>
              <w:t>年</w:t>
            </w:r>
          </w:p>
        </w:tc>
        <w:tc>
          <w:tcPr>
            <w:tcW w:w="763" w:type="dxa"/>
            <w:vAlign w:val="top"/>
          </w:tcPr>
          <w:p>
            <w:pPr>
              <w:spacing w:before="131" w:line="233" w:lineRule="auto"/>
              <w:ind w:left="204"/>
              <w:rPr>
                <w:rFonts w:ascii="宋体" w:hAnsi="宋体" w:eastAsia="宋体" w:cs="宋体"/>
                <w:sz w:val="17"/>
                <w:szCs w:val="17"/>
              </w:rPr>
            </w:pPr>
            <w:r>
              <w:rPr>
                <w:rFonts w:ascii="宋体" w:hAnsi="宋体" w:eastAsia="宋体" w:cs="宋体"/>
                <w:spacing w:val="7"/>
                <w:sz w:val="17"/>
                <w:szCs w:val="17"/>
              </w:rPr>
              <w:t>昼</w:t>
            </w:r>
            <w:r>
              <w:rPr>
                <w:rFonts w:ascii="宋体" w:hAnsi="宋体" w:eastAsia="宋体" w:cs="宋体"/>
                <w:spacing w:val="6"/>
                <w:sz w:val="17"/>
                <w:szCs w:val="17"/>
              </w:rPr>
              <w:t>间</w:t>
            </w:r>
          </w:p>
        </w:tc>
        <w:tc>
          <w:tcPr>
            <w:tcW w:w="662" w:type="dxa"/>
            <w:vAlign w:val="top"/>
          </w:tcPr>
          <w:p>
            <w:pPr>
              <w:spacing w:before="163" w:line="197" w:lineRule="auto"/>
              <w:ind w:left="17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60.3</w:t>
            </w:r>
          </w:p>
        </w:tc>
        <w:tc>
          <w:tcPr>
            <w:tcW w:w="662" w:type="dxa"/>
            <w:vAlign w:val="top"/>
          </w:tcPr>
          <w:p>
            <w:pPr>
              <w:spacing w:before="162" w:line="197" w:lineRule="auto"/>
              <w:ind w:left="178"/>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5</w:t>
            </w:r>
            <w:r>
              <w:rPr>
                <w:rFonts w:ascii="Times New Roman" w:hAnsi="Times New Roman" w:eastAsia="Times New Roman" w:cs="Times New Roman"/>
                <w:spacing w:val="-3"/>
                <w:sz w:val="17"/>
                <w:szCs w:val="17"/>
              </w:rPr>
              <w:t>9. 1</w:t>
            </w:r>
          </w:p>
        </w:tc>
        <w:tc>
          <w:tcPr>
            <w:tcW w:w="662" w:type="dxa"/>
            <w:vAlign w:val="top"/>
          </w:tcPr>
          <w:p>
            <w:pPr>
              <w:spacing w:before="163" w:line="197" w:lineRule="auto"/>
              <w:ind w:left="17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8.2</w:t>
            </w:r>
          </w:p>
        </w:tc>
        <w:tc>
          <w:tcPr>
            <w:tcW w:w="662" w:type="dxa"/>
            <w:vAlign w:val="top"/>
          </w:tcPr>
          <w:p>
            <w:pPr>
              <w:spacing w:before="165" w:line="194" w:lineRule="auto"/>
              <w:ind w:left="17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7.5</w:t>
            </w:r>
          </w:p>
        </w:tc>
        <w:tc>
          <w:tcPr>
            <w:tcW w:w="662" w:type="dxa"/>
            <w:vAlign w:val="top"/>
          </w:tcPr>
          <w:p>
            <w:pPr>
              <w:spacing w:before="163" w:line="197" w:lineRule="auto"/>
              <w:ind w:left="17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56.</w:t>
            </w:r>
            <w:r>
              <w:rPr>
                <w:rFonts w:ascii="Times New Roman" w:hAnsi="Times New Roman" w:eastAsia="Times New Roman" w:cs="Times New Roman"/>
                <w:spacing w:val="2"/>
                <w:sz w:val="17"/>
                <w:szCs w:val="17"/>
              </w:rPr>
              <w:t>9</w:t>
            </w:r>
          </w:p>
        </w:tc>
        <w:tc>
          <w:tcPr>
            <w:tcW w:w="662" w:type="dxa"/>
            <w:vAlign w:val="top"/>
          </w:tcPr>
          <w:p>
            <w:pPr>
              <w:spacing w:before="163" w:line="197" w:lineRule="auto"/>
              <w:ind w:left="17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56.</w:t>
            </w:r>
            <w:r>
              <w:rPr>
                <w:rFonts w:ascii="Times New Roman" w:hAnsi="Times New Roman" w:eastAsia="Times New Roman" w:cs="Times New Roman"/>
                <w:spacing w:val="2"/>
                <w:sz w:val="17"/>
                <w:szCs w:val="17"/>
              </w:rPr>
              <w:t>3</w:t>
            </w:r>
          </w:p>
        </w:tc>
        <w:tc>
          <w:tcPr>
            <w:tcW w:w="662" w:type="dxa"/>
            <w:vAlign w:val="top"/>
          </w:tcPr>
          <w:p>
            <w:pPr>
              <w:spacing w:before="163" w:line="197" w:lineRule="auto"/>
              <w:ind w:left="178"/>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55.</w:t>
            </w:r>
            <w:r>
              <w:rPr>
                <w:rFonts w:ascii="Times New Roman" w:hAnsi="Times New Roman" w:eastAsia="Times New Roman" w:cs="Times New Roman"/>
                <w:spacing w:val="2"/>
                <w:sz w:val="17"/>
                <w:szCs w:val="17"/>
              </w:rPr>
              <w:t>3</w:t>
            </w:r>
          </w:p>
        </w:tc>
        <w:tc>
          <w:tcPr>
            <w:tcW w:w="662" w:type="dxa"/>
            <w:vAlign w:val="top"/>
          </w:tcPr>
          <w:p>
            <w:pPr>
              <w:spacing w:before="163" w:line="197" w:lineRule="auto"/>
              <w:ind w:left="178"/>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4.4</w:t>
            </w:r>
          </w:p>
        </w:tc>
        <w:tc>
          <w:tcPr>
            <w:tcW w:w="662" w:type="dxa"/>
            <w:vAlign w:val="top"/>
          </w:tcPr>
          <w:p>
            <w:pPr>
              <w:spacing w:before="163" w:line="197" w:lineRule="auto"/>
              <w:ind w:left="17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3.5</w:t>
            </w:r>
          </w:p>
        </w:tc>
        <w:tc>
          <w:tcPr>
            <w:tcW w:w="662" w:type="dxa"/>
            <w:vAlign w:val="top"/>
          </w:tcPr>
          <w:p>
            <w:pPr>
              <w:spacing w:before="163" w:line="197" w:lineRule="auto"/>
              <w:ind w:left="17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2"/>
                <w:sz w:val="17"/>
                <w:szCs w:val="17"/>
              </w:rPr>
              <w:t>2.0</w:t>
            </w:r>
          </w:p>
        </w:tc>
        <w:tc>
          <w:tcPr>
            <w:tcW w:w="758" w:type="dxa"/>
            <w:vAlign w:val="top"/>
          </w:tcPr>
          <w:p>
            <w:pPr>
              <w:spacing w:before="163" w:line="197" w:lineRule="auto"/>
              <w:ind w:left="22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.7</w:t>
            </w:r>
          </w:p>
        </w:tc>
        <w:tc>
          <w:tcPr>
            <w:tcW w:w="758" w:type="dxa"/>
            <w:vAlign w:val="top"/>
          </w:tcPr>
          <w:p>
            <w:pPr>
              <w:spacing w:before="162" w:line="197" w:lineRule="auto"/>
              <w:ind w:left="22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9.5</w:t>
            </w:r>
          </w:p>
        </w:tc>
        <w:tc>
          <w:tcPr>
            <w:tcW w:w="759" w:type="dxa"/>
            <w:vAlign w:val="top"/>
          </w:tcPr>
          <w:p>
            <w:pPr>
              <w:spacing w:before="163" w:line="197" w:lineRule="auto"/>
              <w:ind w:left="22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8.5</w:t>
            </w:r>
          </w:p>
        </w:tc>
        <w:tc>
          <w:tcPr>
            <w:tcW w:w="759" w:type="dxa"/>
            <w:vAlign w:val="top"/>
          </w:tcPr>
          <w:p>
            <w:pPr>
              <w:spacing w:before="162" w:line="197" w:lineRule="auto"/>
              <w:ind w:left="224"/>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7.5</w:t>
            </w:r>
          </w:p>
        </w:tc>
        <w:tc>
          <w:tcPr>
            <w:tcW w:w="758" w:type="dxa"/>
            <w:vAlign w:val="top"/>
          </w:tcPr>
          <w:p>
            <w:pPr>
              <w:spacing w:before="163" w:line="197" w:lineRule="auto"/>
              <w:ind w:left="224"/>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6.5</w:t>
            </w:r>
          </w:p>
        </w:tc>
        <w:tc>
          <w:tcPr>
            <w:tcW w:w="829" w:type="dxa"/>
            <w:vAlign w:val="top"/>
          </w:tcPr>
          <w:p>
            <w:pPr>
              <w:spacing w:before="163" w:line="197" w:lineRule="auto"/>
              <w:ind w:left="25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058" w:type="dxa"/>
            <w:vMerge w:val="continue"/>
            <w:tcBorders>
              <w:top w:val="nil"/>
            </w:tcBorders>
            <w:vAlign w:val="top"/>
          </w:tcPr>
          <w:p>
            <w:pPr>
              <w:rPr>
                <w:rFonts w:ascii="Arial"/>
                <w:sz w:val="21"/>
              </w:rPr>
            </w:pPr>
          </w:p>
        </w:tc>
        <w:tc>
          <w:tcPr>
            <w:tcW w:w="763" w:type="dxa"/>
            <w:vAlign w:val="top"/>
          </w:tcPr>
          <w:p>
            <w:pPr>
              <w:spacing w:before="172" w:line="230" w:lineRule="auto"/>
              <w:ind w:left="208"/>
              <w:rPr>
                <w:rFonts w:ascii="宋体" w:hAnsi="宋体" w:eastAsia="宋体" w:cs="宋体"/>
                <w:sz w:val="17"/>
                <w:szCs w:val="17"/>
              </w:rPr>
            </w:pPr>
            <w:r>
              <w:rPr>
                <w:rFonts w:ascii="宋体" w:hAnsi="宋体" w:eastAsia="宋体" w:cs="宋体"/>
                <w:spacing w:val="5"/>
                <w:sz w:val="17"/>
                <w:szCs w:val="17"/>
              </w:rPr>
              <w:t>夜间</w:t>
            </w:r>
          </w:p>
        </w:tc>
        <w:tc>
          <w:tcPr>
            <w:tcW w:w="662" w:type="dxa"/>
            <w:vAlign w:val="top"/>
          </w:tcPr>
          <w:p>
            <w:pPr>
              <w:spacing w:before="201" w:line="197" w:lineRule="auto"/>
              <w:ind w:left="178"/>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51.6</w:t>
            </w:r>
          </w:p>
        </w:tc>
        <w:tc>
          <w:tcPr>
            <w:tcW w:w="662" w:type="dxa"/>
            <w:vAlign w:val="top"/>
          </w:tcPr>
          <w:p>
            <w:pPr>
              <w:spacing w:before="201" w:line="197" w:lineRule="auto"/>
              <w:ind w:left="178"/>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0.4</w:t>
            </w:r>
          </w:p>
        </w:tc>
        <w:tc>
          <w:tcPr>
            <w:tcW w:w="662" w:type="dxa"/>
            <w:vAlign w:val="top"/>
          </w:tcPr>
          <w:p>
            <w:pPr>
              <w:spacing w:before="200" w:line="197" w:lineRule="auto"/>
              <w:ind w:left="173"/>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9.4</w:t>
            </w:r>
          </w:p>
        </w:tc>
        <w:tc>
          <w:tcPr>
            <w:tcW w:w="662" w:type="dxa"/>
            <w:vAlign w:val="top"/>
          </w:tcPr>
          <w:p>
            <w:pPr>
              <w:spacing w:before="201" w:line="197" w:lineRule="auto"/>
              <w:ind w:left="17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48.7</w:t>
            </w:r>
          </w:p>
        </w:tc>
        <w:tc>
          <w:tcPr>
            <w:tcW w:w="662" w:type="dxa"/>
            <w:vAlign w:val="top"/>
          </w:tcPr>
          <w:p>
            <w:pPr>
              <w:spacing w:before="201" w:line="197" w:lineRule="auto"/>
              <w:ind w:left="17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w:t>
            </w:r>
            <w:r>
              <w:rPr>
                <w:rFonts w:ascii="Times New Roman" w:hAnsi="Times New Roman" w:eastAsia="Times New Roman" w:cs="Times New Roman"/>
                <w:spacing w:val="-2"/>
                <w:sz w:val="17"/>
                <w:szCs w:val="17"/>
              </w:rPr>
              <w:t>8. 1</w:t>
            </w:r>
          </w:p>
        </w:tc>
        <w:tc>
          <w:tcPr>
            <w:tcW w:w="662" w:type="dxa"/>
            <w:vAlign w:val="top"/>
          </w:tcPr>
          <w:p>
            <w:pPr>
              <w:spacing w:before="200" w:line="197" w:lineRule="auto"/>
              <w:ind w:left="17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7.5</w:t>
            </w:r>
          </w:p>
        </w:tc>
        <w:tc>
          <w:tcPr>
            <w:tcW w:w="662" w:type="dxa"/>
            <w:vAlign w:val="top"/>
          </w:tcPr>
          <w:p>
            <w:pPr>
              <w:spacing w:before="201" w:line="197" w:lineRule="auto"/>
              <w:ind w:left="17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6.5</w:t>
            </w:r>
          </w:p>
        </w:tc>
        <w:tc>
          <w:tcPr>
            <w:tcW w:w="662" w:type="dxa"/>
            <w:vAlign w:val="top"/>
          </w:tcPr>
          <w:p>
            <w:pPr>
              <w:spacing w:before="201" w:line="197" w:lineRule="auto"/>
              <w:ind w:left="172"/>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5.6</w:t>
            </w:r>
          </w:p>
        </w:tc>
        <w:tc>
          <w:tcPr>
            <w:tcW w:w="662" w:type="dxa"/>
            <w:vAlign w:val="top"/>
          </w:tcPr>
          <w:p>
            <w:pPr>
              <w:spacing w:before="200" w:line="200" w:lineRule="auto"/>
              <w:ind w:left="173"/>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4.8</w:t>
            </w:r>
          </w:p>
        </w:tc>
        <w:tc>
          <w:tcPr>
            <w:tcW w:w="662" w:type="dxa"/>
            <w:vAlign w:val="top"/>
          </w:tcPr>
          <w:p>
            <w:pPr>
              <w:spacing w:before="201" w:line="197" w:lineRule="auto"/>
              <w:ind w:left="173"/>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3.3</w:t>
            </w:r>
          </w:p>
        </w:tc>
        <w:tc>
          <w:tcPr>
            <w:tcW w:w="758" w:type="dxa"/>
            <w:vAlign w:val="top"/>
          </w:tcPr>
          <w:p>
            <w:pPr>
              <w:spacing w:before="200" w:line="200" w:lineRule="auto"/>
              <w:ind w:left="22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42.0</w:t>
            </w:r>
          </w:p>
        </w:tc>
        <w:tc>
          <w:tcPr>
            <w:tcW w:w="758" w:type="dxa"/>
            <w:vAlign w:val="top"/>
          </w:tcPr>
          <w:p>
            <w:pPr>
              <w:spacing w:before="201" w:line="197" w:lineRule="auto"/>
              <w:ind w:left="22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0.8</w:t>
            </w:r>
          </w:p>
        </w:tc>
        <w:tc>
          <w:tcPr>
            <w:tcW w:w="759" w:type="dxa"/>
            <w:vAlign w:val="top"/>
          </w:tcPr>
          <w:p>
            <w:pPr>
              <w:spacing w:before="200" w:line="197" w:lineRule="auto"/>
              <w:ind w:left="22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39.7</w:t>
            </w:r>
          </w:p>
        </w:tc>
        <w:tc>
          <w:tcPr>
            <w:tcW w:w="759" w:type="dxa"/>
            <w:vAlign w:val="top"/>
          </w:tcPr>
          <w:p>
            <w:pPr>
              <w:spacing w:before="201" w:line="197" w:lineRule="auto"/>
              <w:ind w:left="22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38.8</w:t>
            </w:r>
          </w:p>
        </w:tc>
        <w:tc>
          <w:tcPr>
            <w:tcW w:w="758" w:type="dxa"/>
            <w:vAlign w:val="top"/>
          </w:tcPr>
          <w:p>
            <w:pPr>
              <w:spacing w:before="200" w:line="197" w:lineRule="auto"/>
              <w:ind w:left="22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37.8</w:t>
            </w:r>
          </w:p>
        </w:tc>
        <w:tc>
          <w:tcPr>
            <w:tcW w:w="829" w:type="dxa"/>
            <w:vAlign w:val="top"/>
          </w:tcPr>
          <w:p>
            <w:pPr>
              <w:spacing w:before="200" w:line="197" w:lineRule="auto"/>
              <w:ind w:left="26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37.0</w:t>
            </w:r>
          </w:p>
        </w:tc>
      </w:tr>
    </w:tbl>
    <w:p>
      <w:pPr>
        <w:spacing w:before="140" w:line="228" w:lineRule="auto"/>
        <w:ind w:left="431"/>
        <w:rPr>
          <w:rFonts w:ascii="宋体" w:hAnsi="宋体" w:eastAsia="宋体" w:cs="宋体"/>
          <w:sz w:val="20"/>
          <w:szCs w:val="20"/>
        </w:rPr>
      </w:pPr>
      <w:r>
        <w:rPr>
          <w:rFonts w:ascii="宋体" w:hAnsi="宋体" w:eastAsia="宋体" w:cs="宋体"/>
          <w:spacing w:val="10"/>
          <w:sz w:val="20"/>
          <w:szCs w:val="20"/>
        </w:rPr>
        <w:t>营</w:t>
      </w:r>
      <w:r>
        <w:rPr>
          <w:rFonts w:ascii="宋体" w:hAnsi="宋体" w:eastAsia="宋体" w:cs="宋体"/>
          <w:spacing w:val="8"/>
          <w:sz w:val="20"/>
          <w:szCs w:val="20"/>
        </w:rPr>
        <w:t>运期交通噪声曲线图如下图。</w:t>
      </w:r>
    </w:p>
    <w:p>
      <w:pPr>
        <w:sectPr>
          <w:footerReference r:id="rId130" w:type="default"/>
          <w:pgSz w:w="16839" w:h="11906"/>
          <w:pgMar w:top="400" w:right="1815" w:bottom="1027" w:left="1726" w:header="0" w:footer="840" w:gutter="0"/>
          <w:cols w:space="720" w:num="1"/>
        </w:sect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7716" w:lineRule="exact"/>
        <w:textAlignment w:val="center"/>
      </w:pPr>
      <w:r>
        <w:drawing>
          <wp:inline distT="0" distB="0" distL="0" distR="0">
            <wp:extent cx="8594090" cy="489966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290"/>
                    <a:stretch>
                      <a:fillRect/>
                    </a:stretch>
                  </pic:blipFill>
                  <pic:spPr>
                    <a:xfrm>
                      <a:off x="0" y="0"/>
                      <a:ext cx="8594090" cy="4899660"/>
                    </a:xfrm>
                    <a:prstGeom prst="rect">
                      <a:avLst/>
                    </a:prstGeom>
                  </pic:spPr>
                </pic:pic>
              </a:graphicData>
            </a:graphic>
          </wp:inline>
        </w:drawing>
      </w:r>
    </w:p>
    <w:p>
      <w:pPr>
        <w:spacing w:before="57" w:line="231" w:lineRule="auto"/>
        <w:ind w:left="5445"/>
        <w:rPr>
          <w:rFonts w:ascii="黑体" w:hAnsi="黑体" w:eastAsia="黑体" w:cs="黑体"/>
          <w:sz w:val="19"/>
          <w:szCs w:val="19"/>
        </w:rPr>
      </w:pPr>
      <w:r>
        <w:rPr>
          <w:rFonts w:ascii="黑体" w:hAnsi="黑体" w:eastAsia="黑体" w:cs="黑体"/>
          <w:spacing w:val="8"/>
          <w:sz w:val="19"/>
          <w:szCs w:val="19"/>
        </w:rPr>
        <w:t>图</w:t>
      </w:r>
      <w:r>
        <w:rPr>
          <w:rFonts w:ascii="Times New Roman" w:hAnsi="Times New Roman" w:eastAsia="Times New Roman" w:cs="Times New Roman"/>
          <w:spacing w:val="8"/>
          <w:sz w:val="19"/>
          <w:szCs w:val="19"/>
        </w:rPr>
        <w:t>14</w:t>
      </w:r>
      <w:r>
        <w:rPr>
          <w:rFonts w:ascii="黑体" w:hAnsi="黑体" w:eastAsia="黑体" w:cs="黑体"/>
          <w:spacing w:val="8"/>
          <w:sz w:val="19"/>
          <w:szCs w:val="19"/>
        </w:rPr>
        <w:t>：营运期交通噪声曲线</w:t>
      </w:r>
      <w:r>
        <w:rPr>
          <w:rFonts w:ascii="黑体" w:hAnsi="黑体" w:eastAsia="黑体" w:cs="黑体"/>
          <w:spacing w:val="5"/>
          <w:sz w:val="19"/>
          <w:szCs w:val="19"/>
        </w:rPr>
        <w:t>图</w:t>
      </w:r>
    </w:p>
    <w:p>
      <w:pPr>
        <w:spacing w:before="134" w:line="228" w:lineRule="auto"/>
        <w:ind w:left="468"/>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6"/>
          <w:sz w:val="20"/>
          <w:szCs w:val="20"/>
        </w:rPr>
        <w:t>2</w:t>
      </w:r>
      <w:r>
        <w:rPr>
          <w:rFonts w:ascii="宋体" w:hAnsi="宋体" w:eastAsia="宋体" w:cs="宋体"/>
          <w:spacing w:val="16"/>
          <w:sz w:val="20"/>
          <w:szCs w:val="20"/>
          <w14:textOutline w14:w="3795" w14:cap="sq" w14:cmpd="sng">
            <w14:solidFill>
              <w14:srgbClr w14:val="000000"/>
            </w14:solidFill>
            <w14:prstDash w14:val="solid"/>
            <w14:bevel/>
          </w14:textOutline>
        </w:rPr>
        <w:t>)</w:t>
      </w:r>
      <w:r>
        <w:rPr>
          <w:rFonts w:ascii="宋体" w:hAnsi="宋体" w:eastAsia="宋体" w:cs="宋体"/>
          <w:spacing w:val="16"/>
          <w:sz w:val="20"/>
          <w:szCs w:val="20"/>
        </w:rPr>
        <w:t xml:space="preserve"> </w:t>
      </w:r>
      <w:r>
        <w:rPr>
          <w:rFonts w:ascii="宋体" w:hAnsi="宋体" w:eastAsia="宋体" w:cs="宋体"/>
          <w:spacing w:val="16"/>
          <w:sz w:val="20"/>
          <w:szCs w:val="20"/>
          <w14:textOutline w14:w="3795" w14:cap="sq" w14:cmpd="sng">
            <w14:solidFill>
              <w14:srgbClr w14:val="000000"/>
            </w14:solidFill>
            <w14:prstDash w14:val="solid"/>
            <w14:bevel/>
          </w14:textOutline>
        </w:rPr>
        <w:t>敏感目标噪声预测</w:t>
      </w:r>
    </w:p>
    <w:p>
      <w:pPr>
        <w:spacing w:before="154" w:line="227" w:lineRule="auto"/>
        <w:ind w:left="459"/>
        <w:rPr>
          <w:rFonts w:ascii="宋体" w:hAnsi="宋体" w:eastAsia="宋体" w:cs="宋体"/>
          <w:sz w:val="20"/>
          <w:szCs w:val="20"/>
        </w:rPr>
      </w:pPr>
      <w:r>
        <w:rPr>
          <w:rFonts w:ascii="宋体" w:hAnsi="宋体" w:eastAsia="宋体" w:cs="宋体"/>
          <w:spacing w:val="9"/>
          <w:sz w:val="20"/>
          <w:szCs w:val="20"/>
        </w:rPr>
        <w:t>本项目主要敏感点交通噪声预测结果详见下表</w:t>
      </w:r>
      <w:r>
        <w:rPr>
          <w:rFonts w:ascii="宋体" w:hAnsi="宋体" w:eastAsia="宋体" w:cs="宋体"/>
          <w:spacing w:val="8"/>
          <w:sz w:val="20"/>
          <w:szCs w:val="20"/>
        </w:rPr>
        <w:t>。</w:t>
      </w:r>
    </w:p>
    <w:p>
      <w:pPr>
        <w:sectPr>
          <w:footerReference r:id="rId131" w:type="default"/>
          <w:pgSz w:w="16839" w:h="11906"/>
          <w:pgMar w:top="400" w:right="1611" w:bottom="1027" w:left="1692" w:header="0" w:footer="840" w:gutter="0"/>
          <w:cols w:space="720" w:num="1"/>
        </w:sect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62" w:line="268" w:lineRule="exact"/>
        <w:ind w:left="4138"/>
        <w:rPr>
          <w:rFonts w:ascii="Times New Roman" w:hAnsi="Times New Roman" w:eastAsia="Times New Roman" w:cs="Times New Roman"/>
          <w:sz w:val="19"/>
          <w:szCs w:val="19"/>
        </w:rPr>
      </w:pPr>
      <w:r>
        <w:rPr>
          <w:rFonts w:ascii="黑体" w:hAnsi="黑体" w:eastAsia="黑体" w:cs="黑体"/>
          <w:spacing w:val="16"/>
          <w:position w:val="2"/>
          <w:sz w:val="19"/>
          <w:szCs w:val="19"/>
        </w:rPr>
        <w:t>表</w:t>
      </w:r>
      <w:r>
        <w:rPr>
          <w:rFonts w:ascii="Times New Roman" w:hAnsi="Times New Roman" w:eastAsia="Times New Roman" w:cs="Times New Roman"/>
          <w:spacing w:val="8"/>
          <w:position w:val="2"/>
          <w:sz w:val="19"/>
          <w:szCs w:val="19"/>
        </w:rPr>
        <w:t xml:space="preserve">22    </w:t>
      </w:r>
      <w:r>
        <w:rPr>
          <w:rFonts w:ascii="黑体" w:hAnsi="黑体" w:eastAsia="黑体" w:cs="黑体"/>
          <w:spacing w:val="8"/>
          <w:position w:val="2"/>
          <w:sz w:val="19"/>
          <w:szCs w:val="19"/>
        </w:rPr>
        <w:t>项目营运期各敏感目标交通噪声预测结果表  单位：</w:t>
      </w:r>
      <w:r>
        <w:rPr>
          <w:rFonts w:ascii="Times New Roman" w:hAnsi="Times New Roman" w:eastAsia="Times New Roman" w:cs="Times New Roman"/>
          <w:position w:val="2"/>
          <w:sz w:val="19"/>
          <w:szCs w:val="19"/>
        </w:rPr>
        <w:t>dB</w:t>
      </w:r>
      <w:r>
        <w:rPr>
          <w:rFonts w:ascii="Times New Roman" w:hAnsi="Times New Roman" w:eastAsia="Times New Roman" w:cs="Times New Roman"/>
          <w:spacing w:val="8"/>
          <w:position w:val="2"/>
          <w:sz w:val="19"/>
          <w:szCs w:val="19"/>
        </w:rPr>
        <w:t>(</w:t>
      </w:r>
      <w:r>
        <w:rPr>
          <w:rFonts w:ascii="Times New Roman" w:hAnsi="Times New Roman" w:eastAsia="Times New Roman" w:cs="Times New Roman"/>
          <w:position w:val="2"/>
          <w:sz w:val="19"/>
          <w:szCs w:val="19"/>
        </w:rPr>
        <w:t>A</w:t>
      </w:r>
      <w:r>
        <w:rPr>
          <w:rFonts w:ascii="Times New Roman" w:hAnsi="Times New Roman" w:eastAsia="Times New Roman" w:cs="Times New Roman"/>
          <w:spacing w:val="8"/>
          <w:position w:val="2"/>
          <w:sz w:val="19"/>
          <w:szCs w:val="19"/>
        </w:rPr>
        <w:t>)</w:t>
      </w:r>
    </w:p>
    <w:tbl>
      <w:tblPr>
        <w:tblStyle w:val="4"/>
        <w:tblW w:w="139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
        <w:gridCol w:w="600"/>
        <w:gridCol w:w="598"/>
        <w:gridCol w:w="675"/>
        <w:gridCol w:w="577"/>
        <w:gridCol w:w="664"/>
        <w:gridCol w:w="664"/>
        <w:gridCol w:w="688"/>
        <w:gridCol w:w="664"/>
        <w:gridCol w:w="689"/>
        <w:gridCol w:w="689"/>
        <w:gridCol w:w="689"/>
        <w:gridCol w:w="690"/>
        <w:gridCol w:w="688"/>
        <w:gridCol w:w="689"/>
        <w:gridCol w:w="688"/>
        <w:gridCol w:w="690"/>
        <w:gridCol w:w="688"/>
        <w:gridCol w:w="689"/>
        <w:gridCol w:w="689"/>
        <w:gridCol w:w="6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559" w:type="dxa"/>
            <w:vMerge w:val="restart"/>
            <w:tcBorders>
              <w:bottom w:val="nil"/>
            </w:tcBorders>
            <w:vAlign w:val="top"/>
          </w:tcPr>
          <w:p>
            <w:pPr>
              <w:spacing w:line="442" w:lineRule="auto"/>
              <w:rPr>
                <w:rFonts w:ascii="Arial"/>
                <w:sz w:val="21"/>
              </w:rPr>
            </w:pPr>
          </w:p>
          <w:p>
            <w:pPr>
              <w:spacing w:before="56" w:line="234" w:lineRule="auto"/>
              <w:ind w:left="102"/>
              <w:rPr>
                <w:rFonts w:ascii="黑体" w:hAnsi="黑体" w:eastAsia="黑体" w:cs="黑体"/>
                <w:sz w:val="17"/>
                <w:szCs w:val="17"/>
              </w:rPr>
            </w:pPr>
            <w:r>
              <w:rPr>
                <w:rFonts w:ascii="黑体" w:hAnsi="黑体" w:eastAsia="黑体" w:cs="黑体"/>
                <w:spacing w:val="6"/>
                <w:sz w:val="17"/>
                <w:szCs w:val="17"/>
                <w14:textOutline w14:w="3268" w14:cap="sq" w14:cmpd="sng">
                  <w14:solidFill>
                    <w14:srgbClr w14:val="000000"/>
                  </w14:solidFill>
                  <w14:prstDash w14:val="solid"/>
                  <w14:bevel/>
                </w14:textOutline>
              </w:rPr>
              <w:t>序号</w:t>
            </w:r>
          </w:p>
        </w:tc>
        <w:tc>
          <w:tcPr>
            <w:tcW w:w="1198" w:type="dxa"/>
            <w:gridSpan w:val="2"/>
            <w:vMerge w:val="restart"/>
            <w:tcBorders>
              <w:bottom w:val="nil"/>
            </w:tcBorders>
            <w:vAlign w:val="top"/>
          </w:tcPr>
          <w:p>
            <w:pPr>
              <w:spacing w:line="301" w:lineRule="auto"/>
              <w:rPr>
                <w:rFonts w:ascii="Arial"/>
                <w:sz w:val="21"/>
              </w:rPr>
            </w:pPr>
          </w:p>
          <w:p>
            <w:pPr>
              <w:spacing w:before="55" w:line="317" w:lineRule="auto"/>
              <w:ind w:left="326" w:right="57" w:hanging="267"/>
              <w:rPr>
                <w:rFonts w:ascii="黑体" w:hAnsi="黑体" w:eastAsia="黑体" w:cs="黑体"/>
                <w:sz w:val="17"/>
                <w:szCs w:val="17"/>
              </w:rPr>
            </w:pPr>
            <w:r>
              <w:rPr>
                <w:rFonts w:ascii="黑体" w:hAnsi="黑体" w:eastAsia="黑体" w:cs="黑体"/>
                <w:spacing w:val="10"/>
                <w:sz w:val="17"/>
                <w:szCs w:val="17"/>
                <w14:textOutline w14:w="3268" w14:cap="sq" w14:cmpd="sng">
                  <w14:solidFill>
                    <w14:srgbClr w14:val="000000"/>
                  </w14:solidFill>
                  <w14:prstDash w14:val="solid"/>
                  <w14:bevel/>
                </w14:textOutline>
              </w:rPr>
              <w:t>声</w:t>
            </w:r>
            <w:r>
              <w:rPr>
                <w:rFonts w:ascii="黑体" w:hAnsi="黑体" w:eastAsia="黑体" w:cs="黑体"/>
                <w:spacing w:val="9"/>
                <w:sz w:val="17"/>
                <w:szCs w:val="17"/>
                <w14:textOutline w14:w="3268" w14:cap="sq" w14:cmpd="sng">
                  <w14:solidFill>
                    <w14:srgbClr w14:val="000000"/>
                  </w14:solidFill>
                  <w14:prstDash w14:val="solid"/>
                  <w14:bevel/>
                </w14:textOutline>
              </w:rPr>
              <w:t>环境保护目</w:t>
            </w:r>
            <w:r>
              <w:rPr>
                <w:rFonts w:ascii="黑体" w:hAnsi="黑体" w:eastAsia="黑体" w:cs="黑体"/>
                <w:sz w:val="17"/>
                <w:szCs w:val="17"/>
              </w:rPr>
              <w:t xml:space="preserve"> </w:t>
            </w:r>
            <w:r>
              <w:rPr>
                <w:rFonts w:ascii="黑体" w:hAnsi="黑体" w:eastAsia="黑体" w:cs="黑体"/>
                <w:spacing w:val="10"/>
                <w:sz w:val="17"/>
                <w:szCs w:val="17"/>
                <w14:textOutline w14:w="3268" w14:cap="sq" w14:cmpd="sng">
                  <w14:solidFill>
                    <w14:srgbClr w14:val="000000"/>
                  </w14:solidFill>
                  <w14:prstDash w14:val="solid"/>
                  <w14:bevel/>
                </w14:textOutline>
              </w:rPr>
              <w:t>标</w:t>
            </w:r>
            <w:r>
              <w:rPr>
                <w:rFonts w:ascii="黑体" w:hAnsi="黑体" w:eastAsia="黑体" w:cs="黑体"/>
                <w:spacing w:val="9"/>
                <w:sz w:val="17"/>
                <w:szCs w:val="17"/>
                <w14:textOutline w14:w="3268" w14:cap="sq" w14:cmpd="sng">
                  <w14:solidFill>
                    <w14:srgbClr w14:val="000000"/>
                  </w14:solidFill>
                  <w14:prstDash w14:val="solid"/>
                  <w14:bevel/>
                </w14:textOutline>
              </w:rPr>
              <w:t>名称</w:t>
            </w:r>
          </w:p>
        </w:tc>
        <w:tc>
          <w:tcPr>
            <w:tcW w:w="675" w:type="dxa"/>
            <w:vMerge w:val="restart"/>
            <w:tcBorders>
              <w:bottom w:val="nil"/>
            </w:tcBorders>
            <w:vAlign w:val="top"/>
          </w:tcPr>
          <w:p>
            <w:pPr>
              <w:spacing w:before="221" w:line="317" w:lineRule="auto"/>
              <w:ind w:left="64" w:right="54" w:firstLine="7"/>
              <w:rPr>
                <w:rFonts w:ascii="Times New Roman" w:hAnsi="Times New Roman" w:eastAsia="Times New Roman" w:cs="Times New Roman"/>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预</w:t>
            </w:r>
            <w:r>
              <w:rPr>
                <w:rFonts w:ascii="黑体" w:hAnsi="黑体" w:eastAsia="黑体" w:cs="黑体"/>
                <w:spacing w:val="7"/>
                <w:sz w:val="17"/>
                <w:szCs w:val="17"/>
                <w14:textOutline w14:w="3268" w14:cap="sq" w14:cmpd="sng">
                  <w14:solidFill>
                    <w14:srgbClr w14:val="000000"/>
                  </w14:solidFill>
                  <w14:prstDash w14:val="solid"/>
                  <w14:bevel/>
                </w14:textOutline>
              </w:rPr>
              <w:t>测点</w:t>
            </w:r>
            <w:r>
              <w:rPr>
                <w:rFonts w:ascii="黑体" w:hAnsi="黑体" w:eastAsia="黑体" w:cs="黑体"/>
                <w:sz w:val="17"/>
                <w:szCs w:val="17"/>
              </w:rPr>
              <w:t xml:space="preserve"> </w:t>
            </w:r>
            <w:r>
              <w:rPr>
                <w:rFonts w:ascii="黑体" w:hAnsi="黑体" w:eastAsia="黑体" w:cs="黑体"/>
                <w:spacing w:val="10"/>
                <w:sz w:val="17"/>
                <w:szCs w:val="17"/>
                <w14:textOutline w14:w="3268" w14:cap="sq" w14:cmpd="sng">
                  <w14:solidFill>
                    <w14:srgbClr w14:val="000000"/>
                  </w14:solidFill>
                  <w14:prstDash w14:val="solid"/>
                  <w14:bevel/>
                </w14:textOutline>
              </w:rPr>
              <w:t>与声源</w:t>
            </w:r>
            <w:r>
              <w:rPr>
                <w:rFonts w:ascii="黑体" w:hAnsi="黑体" w:eastAsia="黑体" w:cs="黑体"/>
                <w:sz w:val="17"/>
                <w:szCs w:val="17"/>
              </w:rPr>
              <w:t xml:space="preserve"> </w:t>
            </w:r>
            <w:r>
              <w:rPr>
                <w:rFonts w:ascii="黑体" w:hAnsi="黑体" w:eastAsia="黑体" w:cs="黑体"/>
                <w:spacing w:val="8"/>
                <w:sz w:val="17"/>
                <w:szCs w:val="17"/>
                <w14:textOutline w14:w="3268" w14:cap="sq" w14:cmpd="sng">
                  <w14:solidFill>
                    <w14:srgbClr w14:val="000000"/>
                  </w14:solidFill>
                  <w14:prstDash w14:val="solid"/>
                  <w14:bevel/>
                </w14:textOutline>
              </w:rPr>
              <w:t>高</w:t>
            </w:r>
            <w:r>
              <w:rPr>
                <w:rFonts w:ascii="黑体" w:hAnsi="黑体" w:eastAsia="黑体" w:cs="黑体"/>
                <w:spacing w:val="7"/>
                <w:sz w:val="17"/>
                <w:szCs w:val="17"/>
                <w14:textOutline w14:w="3268" w14:cap="sq" w14:cmpd="sng">
                  <w14:solidFill>
                    <w14:srgbClr w14:val="000000"/>
                  </w14:solidFill>
                  <w14:prstDash w14:val="solid"/>
                  <w14:bevel/>
                </w14:textOutline>
              </w:rPr>
              <w:t>差</w:t>
            </w:r>
            <w:r>
              <w:rPr>
                <w:rFonts w:ascii="Times New Roman" w:hAnsi="Times New Roman" w:eastAsia="Times New Roman" w:cs="Times New Roman"/>
                <w:b/>
                <w:bCs/>
                <w:spacing w:val="7"/>
                <w:sz w:val="17"/>
                <w:szCs w:val="17"/>
              </w:rPr>
              <w:t>/</w:t>
            </w:r>
            <w:r>
              <w:rPr>
                <w:rFonts w:ascii="Times New Roman" w:hAnsi="Times New Roman" w:eastAsia="Times New Roman" w:cs="Times New Roman"/>
                <w:b/>
                <w:bCs/>
                <w:sz w:val="17"/>
                <w:szCs w:val="17"/>
              </w:rPr>
              <w:t>m</w:t>
            </w:r>
          </w:p>
        </w:tc>
        <w:tc>
          <w:tcPr>
            <w:tcW w:w="577" w:type="dxa"/>
            <w:vMerge w:val="restart"/>
            <w:tcBorders>
              <w:bottom w:val="nil"/>
            </w:tcBorders>
            <w:vAlign w:val="top"/>
          </w:tcPr>
          <w:p>
            <w:pPr>
              <w:spacing w:line="302" w:lineRule="auto"/>
              <w:rPr>
                <w:rFonts w:ascii="Arial"/>
                <w:sz w:val="21"/>
              </w:rPr>
            </w:pPr>
          </w:p>
          <w:p>
            <w:pPr>
              <w:spacing w:before="55" w:line="316" w:lineRule="auto"/>
              <w:ind w:left="117" w:right="16" w:hanging="96"/>
              <w:rPr>
                <w:rFonts w:ascii="黑体" w:hAnsi="黑体" w:eastAsia="黑体" w:cs="黑体"/>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功能</w:t>
            </w:r>
            <w:r>
              <w:rPr>
                <w:rFonts w:ascii="黑体" w:hAnsi="黑体" w:eastAsia="黑体" w:cs="黑体"/>
                <w:spacing w:val="7"/>
                <w:sz w:val="17"/>
                <w:szCs w:val="17"/>
                <w14:textOutline w14:w="3268" w14:cap="sq" w14:cmpd="sng">
                  <w14:solidFill>
                    <w14:srgbClr w14:val="000000"/>
                  </w14:solidFill>
                  <w14:prstDash w14:val="solid"/>
                  <w14:bevel/>
                </w14:textOutline>
              </w:rPr>
              <w:t>区</w:t>
            </w:r>
            <w:r>
              <w:rPr>
                <w:rFonts w:ascii="黑体" w:hAnsi="黑体" w:eastAsia="黑体" w:cs="黑体"/>
                <w:sz w:val="17"/>
                <w:szCs w:val="17"/>
              </w:rPr>
              <w:t xml:space="preserve"> </w:t>
            </w:r>
            <w:r>
              <w:rPr>
                <w:rFonts w:ascii="黑体" w:hAnsi="黑体" w:eastAsia="黑体" w:cs="黑体"/>
                <w:spacing w:val="3"/>
                <w:sz w:val="17"/>
                <w:szCs w:val="17"/>
                <w14:textOutline w14:w="3268" w14:cap="sq" w14:cmpd="sng">
                  <w14:solidFill>
                    <w14:srgbClr w14:val="000000"/>
                  </w14:solidFill>
                  <w14:prstDash w14:val="solid"/>
                  <w14:bevel/>
                </w14:textOutline>
              </w:rPr>
              <w:t>类别</w:t>
            </w:r>
          </w:p>
        </w:tc>
        <w:tc>
          <w:tcPr>
            <w:tcW w:w="664" w:type="dxa"/>
            <w:vMerge w:val="restart"/>
            <w:tcBorders>
              <w:bottom w:val="nil"/>
            </w:tcBorders>
            <w:vAlign w:val="top"/>
          </w:tcPr>
          <w:p>
            <w:pPr>
              <w:spacing w:line="443" w:lineRule="auto"/>
              <w:rPr>
                <w:rFonts w:ascii="Arial"/>
                <w:sz w:val="21"/>
              </w:rPr>
            </w:pPr>
          </w:p>
          <w:p>
            <w:pPr>
              <w:spacing w:before="55" w:line="233" w:lineRule="auto"/>
              <w:ind w:left="160"/>
              <w:rPr>
                <w:rFonts w:ascii="黑体" w:hAnsi="黑体" w:eastAsia="黑体" w:cs="黑体"/>
                <w:sz w:val="17"/>
                <w:szCs w:val="17"/>
              </w:rPr>
            </w:pPr>
            <w:r>
              <w:rPr>
                <w:rFonts w:ascii="黑体" w:hAnsi="黑体" w:eastAsia="黑体" w:cs="黑体"/>
                <w:spacing w:val="3"/>
                <w:sz w:val="17"/>
                <w:szCs w:val="17"/>
                <w14:textOutline w14:w="3268" w14:cap="sq" w14:cmpd="sng">
                  <w14:solidFill>
                    <w14:srgbClr w14:val="000000"/>
                  </w14:solidFill>
                  <w14:prstDash w14:val="solid"/>
                  <w14:bevel/>
                </w14:textOutline>
              </w:rPr>
              <w:t>时段</w:t>
            </w:r>
          </w:p>
        </w:tc>
        <w:tc>
          <w:tcPr>
            <w:tcW w:w="664" w:type="dxa"/>
            <w:vMerge w:val="restart"/>
            <w:tcBorders>
              <w:bottom w:val="nil"/>
            </w:tcBorders>
            <w:vAlign w:val="top"/>
          </w:tcPr>
          <w:p>
            <w:pPr>
              <w:spacing w:line="302" w:lineRule="auto"/>
              <w:rPr>
                <w:rFonts w:ascii="Arial"/>
                <w:sz w:val="21"/>
              </w:rPr>
            </w:pPr>
          </w:p>
          <w:p>
            <w:pPr>
              <w:spacing w:before="55" w:line="319" w:lineRule="auto"/>
              <w:ind w:left="67" w:right="60" w:hanging="8"/>
              <w:rPr>
                <w:rFonts w:ascii="Times New Roman" w:hAnsi="Times New Roman" w:eastAsia="Times New Roman" w:cs="Times New Roman"/>
                <w:sz w:val="17"/>
                <w:szCs w:val="17"/>
              </w:rPr>
            </w:pPr>
            <w:r>
              <w:rPr>
                <w:rFonts w:ascii="黑体" w:hAnsi="黑体" w:eastAsia="黑体" w:cs="黑体"/>
                <w:spacing w:val="10"/>
                <w:sz w:val="17"/>
                <w:szCs w:val="17"/>
                <w14:textOutline w14:w="3268" w14:cap="sq" w14:cmpd="sng">
                  <w14:solidFill>
                    <w14:srgbClr w14:val="000000"/>
                  </w14:solidFill>
                  <w14:prstDash w14:val="solid"/>
                  <w14:bevel/>
                </w14:textOutline>
              </w:rPr>
              <w:t>标</w:t>
            </w:r>
            <w:r>
              <w:rPr>
                <w:rFonts w:ascii="黑体" w:hAnsi="黑体" w:eastAsia="黑体" w:cs="黑体"/>
                <w:spacing w:val="9"/>
                <w:sz w:val="17"/>
                <w:szCs w:val="17"/>
                <w14:textOutline w14:w="3268" w14:cap="sq" w14:cmpd="sng">
                  <w14:solidFill>
                    <w14:srgbClr w14:val="000000"/>
                  </w14:solidFill>
                  <w14:prstDash w14:val="solid"/>
                  <w14:bevel/>
                </w14:textOutline>
              </w:rPr>
              <w:t>准值</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8" w:type="dxa"/>
            <w:vMerge w:val="restart"/>
            <w:tcBorders>
              <w:bottom w:val="nil"/>
            </w:tcBorders>
            <w:vAlign w:val="top"/>
          </w:tcPr>
          <w:p>
            <w:pPr>
              <w:spacing w:line="302" w:lineRule="auto"/>
              <w:rPr>
                <w:rFonts w:ascii="Arial"/>
                <w:sz w:val="21"/>
              </w:rPr>
            </w:pPr>
          </w:p>
          <w:p>
            <w:pPr>
              <w:spacing w:before="55" w:line="319" w:lineRule="auto"/>
              <w:ind w:left="78" w:right="71" w:hanging="1"/>
              <w:rPr>
                <w:rFonts w:ascii="Times New Roman" w:hAnsi="Times New Roman" w:eastAsia="Times New Roman" w:cs="Times New Roman"/>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背景</w:t>
            </w:r>
            <w:r>
              <w:rPr>
                <w:rFonts w:ascii="黑体" w:hAnsi="黑体" w:eastAsia="黑体" w:cs="黑体"/>
                <w:spacing w:val="7"/>
                <w:sz w:val="17"/>
                <w:szCs w:val="17"/>
                <w14:textOutline w14:w="3268" w14:cap="sq" w14:cmpd="sng">
                  <w14:solidFill>
                    <w14:srgbClr w14:val="000000"/>
                  </w14:solidFill>
                  <w14:prstDash w14:val="solid"/>
                  <w14:bevel/>
                </w14:textOutline>
              </w:rPr>
              <w:t>值</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64" w:type="dxa"/>
            <w:vMerge w:val="restart"/>
            <w:tcBorders>
              <w:bottom w:val="nil"/>
            </w:tcBorders>
            <w:vAlign w:val="top"/>
          </w:tcPr>
          <w:p>
            <w:pPr>
              <w:spacing w:line="302" w:lineRule="auto"/>
              <w:rPr>
                <w:rFonts w:ascii="Arial"/>
                <w:sz w:val="21"/>
              </w:rPr>
            </w:pPr>
          </w:p>
          <w:p>
            <w:pPr>
              <w:spacing w:before="55" w:line="319" w:lineRule="auto"/>
              <w:ind w:left="67" w:right="58" w:hanging="2"/>
              <w:rPr>
                <w:rFonts w:ascii="Times New Roman" w:hAnsi="Times New Roman" w:eastAsia="Times New Roman" w:cs="Times New Roman"/>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现</w:t>
            </w:r>
            <w:r>
              <w:rPr>
                <w:rFonts w:ascii="黑体" w:hAnsi="黑体" w:eastAsia="黑体" w:cs="黑体"/>
                <w:spacing w:val="8"/>
                <w:sz w:val="17"/>
                <w:szCs w:val="17"/>
                <w14:textOutline w14:w="3268" w14:cap="sq" w14:cmpd="sng">
                  <w14:solidFill>
                    <w14:srgbClr w14:val="000000"/>
                  </w14:solidFill>
                  <w14:prstDash w14:val="solid"/>
                  <w14:bevel/>
                </w14:textOutline>
              </w:rPr>
              <w:t>状值</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2757" w:type="dxa"/>
            <w:gridSpan w:val="4"/>
            <w:vAlign w:val="top"/>
          </w:tcPr>
          <w:p>
            <w:pPr>
              <w:spacing w:before="76" w:line="231" w:lineRule="auto"/>
              <w:ind w:left="1023"/>
              <w:rPr>
                <w:rFonts w:ascii="黑体" w:hAnsi="黑体" w:eastAsia="黑体" w:cs="黑体"/>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运</w:t>
            </w:r>
            <w:r>
              <w:rPr>
                <w:rFonts w:ascii="黑体" w:hAnsi="黑体" w:eastAsia="黑体" w:cs="黑体"/>
                <w:spacing w:val="8"/>
                <w:sz w:val="17"/>
                <w:szCs w:val="17"/>
                <w14:textOutline w14:w="3268" w14:cap="sq" w14:cmpd="sng">
                  <w14:solidFill>
                    <w14:srgbClr w14:val="000000"/>
                  </w14:solidFill>
                  <w14:prstDash w14:val="solid"/>
                  <w14:bevel/>
                </w14:textOutline>
              </w:rPr>
              <w:t>营近期</w:t>
            </w:r>
          </w:p>
        </w:tc>
        <w:tc>
          <w:tcPr>
            <w:tcW w:w="2755" w:type="dxa"/>
            <w:gridSpan w:val="4"/>
            <w:vAlign w:val="top"/>
          </w:tcPr>
          <w:p>
            <w:pPr>
              <w:spacing w:before="76" w:line="231" w:lineRule="auto"/>
              <w:ind w:left="1023"/>
              <w:rPr>
                <w:rFonts w:ascii="黑体" w:hAnsi="黑体" w:eastAsia="黑体" w:cs="黑体"/>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运</w:t>
            </w:r>
            <w:r>
              <w:rPr>
                <w:rFonts w:ascii="黑体" w:hAnsi="黑体" w:eastAsia="黑体" w:cs="黑体"/>
                <w:spacing w:val="8"/>
                <w:sz w:val="17"/>
                <w:szCs w:val="17"/>
                <w14:textOutline w14:w="3268" w14:cap="sq" w14:cmpd="sng">
                  <w14:solidFill>
                    <w14:srgbClr w14:val="000000"/>
                  </w14:solidFill>
                  <w14:prstDash w14:val="solid"/>
                  <w14:bevel/>
                </w14:textOutline>
              </w:rPr>
              <w:t>营中期</w:t>
            </w:r>
          </w:p>
        </w:tc>
        <w:tc>
          <w:tcPr>
            <w:tcW w:w="2760" w:type="dxa"/>
            <w:gridSpan w:val="4"/>
            <w:vAlign w:val="top"/>
          </w:tcPr>
          <w:p>
            <w:pPr>
              <w:spacing w:before="76" w:line="231" w:lineRule="auto"/>
              <w:ind w:left="1023"/>
              <w:rPr>
                <w:rFonts w:ascii="黑体" w:hAnsi="黑体" w:eastAsia="黑体" w:cs="黑体"/>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运</w:t>
            </w:r>
            <w:r>
              <w:rPr>
                <w:rFonts w:ascii="黑体" w:hAnsi="黑体" w:eastAsia="黑体" w:cs="黑体"/>
                <w:spacing w:val="8"/>
                <w:sz w:val="17"/>
                <w:szCs w:val="17"/>
                <w14:textOutline w14:w="3268" w14:cap="sq" w14:cmpd="sng">
                  <w14:solidFill>
                    <w14:srgbClr w14:val="000000"/>
                  </w14:solidFill>
                  <w14:prstDash w14:val="solid"/>
                  <w14:bevel/>
                </w14:textOutline>
              </w:rPr>
              <w:t>营远期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559" w:type="dxa"/>
            <w:vMerge w:val="continue"/>
            <w:tcBorders>
              <w:top w:val="nil"/>
            </w:tcBorders>
            <w:vAlign w:val="top"/>
          </w:tcPr>
          <w:p>
            <w:pPr>
              <w:rPr>
                <w:rFonts w:ascii="Arial"/>
                <w:sz w:val="21"/>
              </w:rPr>
            </w:pPr>
          </w:p>
        </w:tc>
        <w:tc>
          <w:tcPr>
            <w:tcW w:w="1198" w:type="dxa"/>
            <w:gridSpan w:val="2"/>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Merge w:val="continue"/>
            <w:tcBorders>
              <w:top w:val="nil"/>
            </w:tcBorders>
            <w:vAlign w:val="top"/>
          </w:tcPr>
          <w:p>
            <w:pPr>
              <w:rPr>
                <w:rFonts w:ascii="Arial"/>
                <w:sz w:val="21"/>
              </w:rPr>
            </w:pPr>
          </w:p>
        </w:tc>
        <w:tc>
          <w:tcPr>
            <w:tcW w:w="664"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664" w:type="dxa"/>
            <w:vMerge w:val="continue"/>
            <w:tcBorders>
              <w:top w:val="nil"/>
            </w:tcBorders>
            <w:vAlign w:val="top"/>
          </w:tcPr>
          <w:p>
            <w:pPr>
              <w:rPr>
                <w:rFonts w:ascii="Arial"/>
                <w:sz w:val="21"/>
              </w:rPr>
            </w:pPr>
          </w:p>
        </w:tc>
        <w:tc>
          <w:tcPr>
            <w:tcW w:w="689" w:type="dxa"/>
            <w:vAlign w:val="top"/>
          </w:tcPr>
          <w:p>
            <w:pPr>
              <w:spacing w:before="212" w:line="316" w:lineRule="auto"/>
              <w:ind w:left="113" w:right="73" w:hanging="33"/>
              <w:rPr>
                <w:rFonts w:ascii="Times New Roman" w:hAnsi="Times New Roman" w:eastAsia="Times New Roman" w:cs="Times New Roman"/>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贡</w:t>
            </w:r>
            <w:r>
              <w:rPr>
                <w:rFonts w:ascii="黑体" w:hAnsi="黑体" w:eastAsia="黑体" w:cs="黑体"/>
                <w:spacing w:val="6"/>
                <w:sz w:val="17"/>
                <w:szCs w:val="17"/>
                <w14:textOutline w14:w="3268" w14:cap="sq" w14:cmpd="sng">
                  <w14:solidFill>
                    <w14:srgbClr w14:val="000000"/>
                  </w14:solidFill>
                  <w14:prstDash w14:val="solid"/>
                  <w14:bevel/>
                </w14:textOutline>
              </w:rPr>
              <w:t>献值</w:t>
            </w:r>
            <w:r>
              <w:rPr>
                <w:rFonts w:ascii="黑体" w:hAnsi="黑体" w:eastAsia="黑体" w:cs="黑体"/>
                <w:sz w:val="17"/>
                <w:szCs w:val="17"/>
              </w:rPr>
              <w:t xml:space="preserve"> </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10"/>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9" w:type="dxa"/>
            <w:vAlign w:val="top"/>
          </w:tcPr>
          <w:p>
            <w:pPr>
              <w:spacing w:before="212" w:line="316" w:lineRule="auto"/>
              <w:ind w:left="113" w:right="73" w:hanging="33"/>
              <w:rPr>
                <w:rFonts w:ascii="Times New Roman" w:hAnsi="Times New Roman" w:eastAsia="Times New Roman" w:cs="Times New Roman"/>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预</w:t>
            </w:r>
            <w:r>
              <w:rPr>
                <w:rFonts w:ascii="黑体" w:hAnsi="黑体" w:eastAsia="黑体" w:cs="黑体"/>
                <w:spacing w:val="6"/>
                <w:sz w:val="17"/>
                <w:szCs w:val="17"/>
                <w14:textOutline w14:w="3268" w14:cap="sq" w14:cmpd="sng">
                  <w14:solidFill>
                    <w14:srgbClr w14:val="000000"/>
                  </w14:solidFill>
                  <w14:prstDash w14:val="solid"/>
                  <w14:bevel/>
                </w14:textOutline>
              </w:rPr>
              <w:t>测值</w:t>
            </w:r>
            <w:r>
              <w:rPr>
                <w:rFonts w:ascii="黑体" w:hAnsi="黑体" w:eastAsia="黑体" w:cs="黑体"/>
                <w:sz w:val="17"/>
                <w:szCs w:val="17"/>
              </w:rPr>
              <w:t xml:space="preserve"> </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10"/>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9" w:type="dxa"/>
            <w:vAlign w:val="top"/>
          </w:tcPr>
          <w:p>
            <w:pPr>
              <w:spacing w:before="72" w:line="233" w:lineRule="auto"/>
              <w:ind w:left="75"/>
              <w:rPr>
                <w:rFonts w:ascii="黑体" w:hAnsi="黑体" w:eastAsia="黑体" w:cs="黑体"/>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较现</w:t>
            </w:r>
            <w:r>
              <w:rPr>
                <w:rFonts w:ascii="黑体" w:hAnsi="黑体" w:eastAsia="黑体" w:cs="黑体"/>
                <w:spacing w:val="8"/>
                <w:sz w:val="17"/>
                <w:szCs w:val="17"/>
                <w14:textOutline w14:w="3268" w14:cap="sq" w14:cmpd="sng">
                  <w14:solidFill>
                    <w14:srgbClr w14:val="000000"/>
                  </w14:solidFill>
                  <w14:prstDash w14:val="solid"/>
                  <w14:bevel/>
                </w14:textOutline>
              </w:rPr>
              <w:t>状</w:t>
            </w:r>
          </w:p>
          <w:p>
            <w:pPr>
              <w:spacing w:before="64" w:line="234" w:lineRule="auto"/>
              <w:ind w:left="167"/>
              <w:rPr>
                <w:rFonts w:ascii="黑体" w:hAnsi="黑体" w:eastAsia="黑体" w:cs="黑体"/>
                <w:sz w:val="17"/>
                <w:szCs w:val="17"/>
              </w:rPr>
            </w:pPr>
            <w:r>
              <w:rPr>
                <w:rFonts w:ascii="黑体" w:hAnsi="黑体" w:eastAsia="黑体" w:cs="黑体"/>
                <w:spacing w:val="7"/>
                <w:sz w:val="17"/>
                <w:szCs w:val="17"/>
                <w14:textOutline w14:w="3268" w14:cap="sq" w14:cmpd="sng">
                  <w14:solidFill>
                    <w14:srgbClr w14:val="000000"/>
                  </w14:solidFill>
                  <w14:prstDash w14:val="solid"/>
                  <w14:bevel/>
                </w14:textOutline>
              </w:rPr>
              <w:t>增量</w:t>
            </w:r>
          </w:p>
          <w:p>
            <w:pPr>
              <w:spacing w:before="27" w:line="249" w:lineRule="exact"/>
              <w:ind w:left="80"/>
              <w:rPr>
                <w:rFonts w:ascii="Times New Roman" w:hAnsi="Times New Roman" w:eastAsia="Times New Roman" w:cs="Times New Roman"/>
                <w:sz w:val="17"/>
                <w:szCs w:val="17"/>
              </w:rPr>
            </w:pPr>
            <w:r>
              <w:rPr>
                <w:rFonts w:ascii="Times New Roman" w:hAnsi="Times New Roman" w:eastAsia="Times New Roman" w:cs="Times New Roman"/>
                <w:b/>
                <w:bCs/>
                <w:spacing w:val="11"/>
                <w:position w:val="3"/>
                <w:sz w:val="17"/>
                <w:szCs w:val="17"/>
              </w:rPr>
              <w:t>/</w:t>
            </w:r>
            <w:r>
              <w:rPr>
                <w:rFonts w:ascii="Times New Roman" w:hAnsi="Times New Roman" w:eastAsia="Times New Roman" w:cs="Times New Roman"/>
                <w:b/>
                <w:bCs/>
                <w:position w:val="3"/>
                <w:sz w:val="17"/>
                <w:szCs w:val="17"/>
              </w:rPr>
              <w:t>dB</w:t>
            </w:r>
            <w:r>
              <w:rPr>
                <w:rFonts w:ascii="Times New Roman" w:hAnsi="Times New Roman" w:eastAsia="Times New Roman" w:cs="Times New Roman"/>
                <w:b/>
                <w:bCs/>
                <w:spacing w:val="9"/>
                <w:position w:val="3"/>
                <w:sz w:val="17"/>
                <w:szCs w:val="17"/>
              </w:rPr>
              <w:t>(</w:t>
            </w:r>
            <w:r>
              <w:rPr>
                <w:rFonts w:ascii="Times New Roman" w:hAnsi="Times New Roman" w:eastAsia="Times New Roman" w:cs="Times New Roman"/>
                <w:b/>
                <w:bCs/>
                <w:position w:val="3"/>
                <w:sz w:val="17"/>
                <w:szCs w:val="17"/>
              </w:rPr>
              <w:t>A</w:t>
            </w:r>
            <w:r>
              <w:rPr>
                <w:rFonts w:ascii="Times New Roman" w:hAnsi="Times New Roman" w:eastAsia="Times New Roman" w:cs="Times New Roman"/>
                <w:b/>
                <w:bCs/>
                <w:spacing w:val="9"/>
                <w:position w:val="3"/>
                <w:sz w:val="17"/>
                <w:szCs w:val="17"/>
              </w:rPr>
              <w:t>)</w:t>
            </w:r>
          </w:p>
        </w:tc>
        <w:tc>
          <w:tcPr>
            <w:tcW w:w="690" w:type="dxa"/>
            <w:vAlign w:val="top"/>
          </w:tcPr>
          <w:p>
            <w:pPr>
              <w:spacing w:before="212" w:line="316" w:lineRule="auto"/>
              <w:ind w:left="81" w:right="72" w:hanging="6"/>
              <w:rPr>
                <w:rFonts w:ascii="Times New Roman" w:hAnsi="Times New Roman" w:eastAsia="Times New Roman" w:cs="Times New Roman"/>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超标</w:t>
            </w:r>
            <w:r>
              <w:rPr>
                <w:rFonts w:ascii="黑体" w:hAnsi="黑体" w:eastAsia="黑体" w:cs="黑体"/>
                <w:spacing w:val="8"/>
                <w:sz w:val="17"/>
                <w:szCs w:val="17"/>
                <w14:textOutline w14:w="3268" w14:cap="sq" w14:cmpd="sng">
                  <w14:solidFill>
                    <w14:srgbClr w14:val="000000"/>
                  </w14:solidFill>
                  <w14:prstDash w14:val="solid"/>
                  <w14:bevel/>
                </w14:textOutline>
              </w:rPr>
              <w:t>量</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8" w:type="dxa"/>
            <w:vAlign w:val="top"/>
          </w:tcPr>
          <w:p>
            <w:pPr>
              <w:spacing w:before="212" w:line="316" w:lineRule="auto"/>
              <w:ind w:left="80" w:right="71" w:hanging="2"/>
              <w:rPr>
                <w:rFonts w:ascii="Times New Roman" w:hAnsi="Times New Roman" w:eastAsia="Times New Roman" w:cs="Times New Roman"/>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贡</w:t>
            </w:r>
            <w:r>
              <w:rPr>
                <w:rFonts w:ascii="黑体" w:hAnsi="黑体" w:eastAsia="黑体" w:cs="黑体"/>
                <w:spacing w:val="7"/>
                <w:sz w:val="17"/>
                <w:szCs w:val="17"/>
                <w14:textOutline w14:w="3268" w14:cap="sq" w14:cmpd="sng">
                  <w14:solidFill>
                    <w14:srgbClr w14:val="000000"/>
                  </w14:solidFill>
                  <w14:prstDash w14:val="solid"/>
                  <w14:bevel/>
                </w14:textOutline>
              </w:rPr>
              <w:t>献值</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9" w:type="dxa"/>
            <w:vAlign w:val="top"/>
          </w:tcPr>
          <w:p>
            <w:pPr>
              <w:spacing w:before="212" w:line="316" w:lineRule="auto"/>
              <w:ind w:left="81" w:right="71" w:hanging="2"/>
              <w:rPr>
                <w:rFonts w:ascii="Times New Roman" w:hAnsi="Times New Roman" w:eastAsia="Times New Roman" w:cs="Times New Roman"/>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预</w:t>
            </w:r>
            <w:r>
              <w:rPr>
                <w:rFonts w:ascii="黑体" w:hAnsi="黑体" w:eastAsia="黑体" w:cs="黑体"/>
                <w:spacing w:val="7"/>
                <w:sz w:val="17"/>
                <w:szCs w:val="17"/>
                <w14:textOutline w14:w="3268" w14:cap="sq" w14:cmpd="sng">
                  <w14:solidFill>
                    <w14:srgbClr w14:val="000000"/>
                  </w14:solidFill>
                  <w14:prstDash w14:val="solid"/>
                  <w14:bevel/>
                </w14:textOutline>
              </w:rPr>
              <w:t>测值</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8" w:type="dxa"/>
            <w:vAlign w:val="top"/>
          </w:tcPr>
          <w:p>
            <w:pPr>
              <w:spacing w:before="72" w:line="233" w:lineRule="auto"/>
              <w:ind w:left="75"/>
              <w:rPr>
                <w:rFonts w:ascii="黑体" w:hAnsi="黑体" w:eastAsia="黑体" w:cs="黑体"/>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较现</w:t>
            </w:r>
            <w:r>
              <w:rPr>
                <w:rFonts w:ascii="黑体" w:hAnsi="黑体" w:eastAsia="黑体" w:cs="黑体"/>
                <w:spacing w:val="8"/>
                <w:sz w:val="17"/>
                <w:szCs w:val="17"/>
                <w14:textOutline w14:w="3268" w14:cap="sq" w14:cmpd="sng">
                  <w14:solidFill>
                    <w14:srgbClr w14:val="000000"/>
                  </w14:solidFill>
                  <w14:prstDash w14:val="solid"/>
                  <w14:bevel/>
                </w14:textOutline>
              </w:rPr>
              <w:t>状</w:t>
            </w:r>
          </w:p>
          <w:p>
            <w:pPr>
              <w:spacing w:before="64" w:line="234" w:lineRule="auto"/>
              <w:ind w:left="166"/>
              <w:rPr>
                <w:rFonts w:ascii="黑体" w:hAnsi="黑体" w:eastAsia="黑体" w:cs="黑体"/>
                <w:sz w:val="17"/>
                <w:szCs w:val="17"/>
              </w:rPr>
            </w:pPr>
            <w:r>
              <w:rPr>
                <w:rFonts w:ascii="黑体" w:hAnsi="黑体" w:eastAsia="黑体" w:cs="黑体"/>
                <w:spacing w:val="7"/>
                <w:sz w:val="17"/>
                <w:szCs w:val="17"/>
                <w14:textOutline w14:w="3268" w14:cap="sq" w14:cmpd="sng">
                  <w14:solidFill>
                    <w14:srgbClr w14:val="000000"/>
                  </w14:solidFill>
                  <w14:prstDash w14:val="solid"/>
                  <w14:bevel/>
                </w14:textOutline>
              </w:rPr>
              <w:t>增量</w:t>
            </w:r>
          </w:p>
          <w:p>
            <w:pPr>
              <w:spacing w:before="27" w:line="249" w:lineRule="exact"/>
              <w:ind w:left="81"/>
              <w:rPr>
                <w:rFonts w:ascii="Times New Roman" w:hAnsi="Times New Roman" w:eastAsia="Times New Roman" w:cs="Times New Roman"/>
                <w:sz w:val="17"/>
                <w:szCs w:val="17"/>
              </w:rPr>
            </w:pPr>
            <w:r>
              <w:rPr>
                <w:rFonts w:ascii="Times New Roman" w:hAnsi="Times New Roman" w:eastAsia="Times New Roman" w:cs="Times New Roman"/>
                <w:b/>
                <w:bCs/>
                <w:spacing w:val="11"/>
                <w:position w:val="3"/>
                <w:sz w:val="17"/>
                <w:szCs w:val="17"/>
              </w:rPr>
              <w:t>/</w:t>
            </w:r>
            <w:r>
              <w:rPr>
                <w:rFonts w:ascii="Times New Roman" w:hAnsi="Times New Roman" w:eastAsia="Times New Roman" w:cs="Times New Roman"/>
                <w:b/>
                <w:bCs/>
                <w:position w:val="3"/>
                <w:sz w:val="17"/>
                <w:szCs w:val="17"/>
              </w:rPr>
              <w:t>dB</w:t>
            </w:r>
            <w:r>
              <w:rPr>
                <w:rFonts w:ascii="Times New Roman" w:hAnsi="Times New Roman" w:eastAsia="Times New Roman" w:cs="Times New Roman"/>
                <w:b/>
                <w:bCs/>
                <w:spacing w:val="9"/>
                <w:position w:val="3"/>
                <w:sz w:val="17"/>
                <w:szCs w:val="17"/>
              </w:rPr>
              <w:t>(</w:t>
            </w:r>
            <w:r>
              <w:rPr>
                <w:rFonts w:ascii="Times New Roman" w:hAnsi="Times New Roman" w:eastAsia="Times New Roman" w:cs="Times New Roman"/>
                <w:b/>
                <w:bCs/>
                <w:position w:val="3"/>
                <w:sz w:val="17"/>
                <w:szCs w:val="17"/>
              </w:rPr>
              <w:t>A</w:t>
            </w:r>
            <w:r>
              <w:rPr>
                <w:rFonts w:ascii="Times New Roman" w:hAnsi="Times New Roman" w:eastAsia="Times New Roman" w:cs="Times New Roman"/>
                <w:b/>
                <w:bCs/>
                <w:spacing w:val="9"/>
                <w:position w:val="3"/>
                <w:sz w:val="17"/>
                <w:szCs w:val="17"/>
              </w:rPr>
              <w:t>)</w:t>
            </w:r>
          </w:p>
        </w:tc>
        <w:tc>
          <w:tcPr>
            <w:tcW w:w="690" w:type="dxa"/>
            <w:vAlign w:val="top"/>
          </w:tcPr>
          <w:p>
            <w:pPr>
              <w:spacing w:before="212" w:line="316" w:lineRule="auto"/>
              <w:ind w:left="84" w:right="69" w:hanging="6"/>
              <w:rPr>
                <w:rFonts w:ascii="Times New Roman" w:hAnsi="Times New Roman" w:eastAsia="Times New Roman" w:cs="Times New Roman"/>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超标</w:t>
            </w:r>
            <w:r>
              <w:rPr>
                <w:rFonts w:ascii="黑体" w:hAnsi="黑体" w:eastAsia="黑体" w:cs="黑体"/>
                <w:spacing w:val="8"/>
                <w:sz w:val="17"/>
                <w:szCs w:val="17"/>
                <w14:textOutline w14:w="3268" w14:cap="sq" w14:cmpd="sng">
                  <w14:solidFill>
                    <w14:srgbClr w14:val="000000"/>
                  </w14:solidFill>
                  <w14:prstDash w14:val="solid"/>
                  <w14:bevel/>
                </w14:textOutline>
              </w:rPr>
              <w:t>量</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8" w:type="dxa"/>
            <w:vAlign w:val="top"/>
          </w:tcPr>
          <w:p>
            <w:pPr>
              <w:spacing w:before="212" w:line="316" w:lineRule="auto"/>
              <w:ind w:left="83" w:right="69" w:hanging="2"/>
              <w:rPr>
                <w:rFonts w:ascii="Times New Roman" w:hAnsi="Times New Roman" w:eastAsia="Times New Roman" w:cs="Times New Roman"/>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贡</w:t>
            </w:r>
            <w:r>
              <w:rPr>
                <w:rFonts w:ascii="黑体" w:hAnsi="黑体" w:eastAsia="黑体" w:cs="黑体"/>
                <w:spacing w:val="7"/>
                <w:sz w:val="17"/>
                <w:szCs w:val="17"/>
                <w14:textOutline w14:w="3268" w14:cap="sq" w14:cmpd="sng">
                  <w14:solidFill>
                    <w14:srgbClr w14:val="000000"/>
                  </w14:solidFill>
                  <w14:prstDash w14:val="solid"/>
                  <w14:bevel/>
                </w14:textOutline>
              </w:rPr>
              <w:t>献值</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9" w:type="dxa"/>
            <w:vAlign w:val="top"/>
          </w:tcPr>
          <w:p>
            <w:pPr>
              <w:spacing w:before="212" w:line="316" w:lineRule="auto"/>
              <w:ind w:left="84" w:right="69" w:hanging="2"/>
              <w:rPr>
                <w:rFonts w:ascii="Times New Roman" w:hAnsi="Times New Roman" w:eastAsia="Times New Roman" w:cs="Times New Roman"/>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预</w:t>
            </w:r>
            <w:r>
              <w:rPr>
                <w:rFonts w:ascii="黑体" w:hAnsi="黑体" w:eastAsia="黑体" w:cs="黑体"/>
                <w:spacing w:val="7"/>
                <w:sz w:val="17"/>
                <w:szCs w:val="17"/>
                <w14:textOutline w14:w="3268" w14:cap="sq" w14:cmpd="sng">
                  <w14:solidFill>
                    <w14:srgbClr w14:val="000000"/>
                  </w14:solidFill>
                  <w14:prstDash w14:val="solid"/>
                  <w14:bevel/>
                </w14:textOutline>
              </w:rPr>
              <w:t>测值</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9" w:type="dxa"/>
            <w:vAlign w:val="top"/>
          </w:tcPr>
          <w:p>
            <w:pPr>
              <w:spacing w:before="72" w:line="233" w:lineRule="auto"/>
              <w:ind w:left="77"/>
              <w:rPr>
                <w:rFonts w:ascii="黑体" w:hAnsi="黑体" w:eastAsia="黑体" w:cs="黑体"/>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较现</w:t>
            </w:r>
            <w:r>
              <w:rPr>
                <w:rFonts w:ascii="黑体" w:hAnsi="黑体" w:eastAsia="黑体" w:cs="黑体"/>
                <w:spacing w:val="8"/>
                <w:sz w:val="17"/>
                <w:szCs w:val="17"/>
                <w14:textOutline w14:w="3268" w14:cap="sq" w14:cmpd="sng">
                  <w14:solidFill>
                    <w14:srgbClr w14:val="000000"/>
                  </w14:solidFill>
                  <w14:prstDash w14:val="solid"/>
                  <w14:bevel/>
                </w14:textOutline>
              </w:rPr>
              <w:t>状</w:t>
            </w:r>
          </w:p>
          <w:p>
            <w:pPr>
              <w:spacing w:before="64" w:line="234" w:lineRule="auto"/>
              <w:ind w:left="168"/>
              <w:rPr>
                <w:rFonts w:ascii="黑体" w:hAnsi="黑体" w:eastAsia="黑体" w:cs="黑体"/>
                <w:sz w:val="17"/>
                <w:szCs w:val="17"/>
              </w:rPr>
            </w:pPr>
            <w:r>
              <w:rPr>
                <w:rFonts w:ascii="黑体" w:hAnsi="黑体" w:eastAsia="黑体" w:cs="黑体"/>
                <w:spacing w:val="7"/>
                <w:sz w:val="17"/>
                <w:szCs w:val="17"/>
                <w14:textOutline w14:w="3268" w14:cap="sq" w14:cmpd="sng">
                  <w14:solidFill>
                    <w14:srgbClr w14:val="000000"/>
                  </w14:solidFill>
                  <w14:prstDash w14:val="solid"/>
                  <w14:bevel/>
                </w14:textOutline>
              </w:rPr>
              <w:t>增量</w:t>
            </w:r>
          </w:p>
          <w:p>
            <w:pPr>
              <w:spacing w:before="27" w:line="249" w:lineRule="exact"/>
              <w:ind w:left="84"/>
              <w:rPr>
                <w:rFonts w:ascii="Times New Roman" w:hAnsi="Times New Roman" w:eastAsia="Times New Roman" w:cs="Times New Roman"/>
                <w:sz w:val="17"/>
                <w:szCs w:val="17"/>
              </w:rPr>
            </w:pPr>
            <w:r>
              <w:rPr>
                <w:rFonts w:ascii="Times New Roman" w:hAnsi="Times New Roman" w:eastAsia="Times New Roman" w:cs="Times New Roman"/>
                <w:b/>
                <w:bCs/>
                <w:spacing w:val="11"/>
                <w:position w:val="3"/>
                <w:sz w:val="17"/>
                <w:szCs w:val="17"/>
              </w:rPr>
              <w:t>/</w:t>
            </w:r>
            <w:r>
              <w:rPr>
                <w:rFonts w:ascii="Times New Roman" w:hAnsi="Times New Roman" w:eastAsia="Times New Roman" w:cs="Times New Roman"/>
                <w:b/>
                <w:bCs/>
                <w:position w:val="3"/>
                <w:sz w:val="17"/>
                <w:szCs w:val="17"/>
              </w:rPr>
              <w:t>dB</w:t>
            </w:r>
            <w:r>
              <w:rPr>
                <w:rFonts w:ascii="Times New Roman" w:hAnsi="Times New Roman" w:eastAsia="Times New Roman" w:cs="Times New Roman"/>
                <w:b/>
                <w:bCs/>
                <w:spacing w:val="9"/>
                <w:position w:val="3"/>
                <w:sz w:val="17"/>
                <w:szCs w:val="17"/>
              </w:rPr>
              <w:t>(</w:t>
            </w:r>
            <w:r>
              <w:rPr>
                <w:rFonts w:ascii="Times New Roman" w:hAnsi="Times New Roman" w:eastAsia="Times New Roman" w:cs="Times New Roman"/>
                <w:b/>
                <w:bCs/>
                <w:position w:val="3"/>
                <w:sz w:val="17"/>
                <w:szCs w:val="17"/>
              </w:rPr>
              <w:t>A</w:t>
            </w:r>
            <w:r>
              <w:rPr>
                <w:rFonts w:ascii="Times New Roman" w:hAnsi="Times New Roman" w:eastAsia="Times New Roman" w:cs="Times New Roman"/>
                <w:b/>
                <w:bCs/>
                <w:spacing w:val="9"/>
                <w:position w:val="3"/>
                <w:sz w:val="17"/>
                <w:szCs w:val="17"/>
              </w:rPr>
              <w:t>)</w:t>
            </w:r>
          </w:p>
        </w:tc>
        <w:tc>
          <w:tcPr>
            <w:tcW w:w="694" w:type="dxa"/>
            <w:vAlign w:val="top"/>
          </w:tcPr>
          <w:p>
            <w:pPr>
              <w:spacing w:before="212" w:line="316" w:lineRule="auto"/>
              <w:ind w:left="83" w:right="72" w:hanging="4"/>
              <w:rPr>
                <w:rFonts w:ascii="Times New Roman" w:hAnsi="Times New Roman" w:eastAsia="Times New Roman" w:cs="Times New Roman"/>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超标</w:t>
            </w:r>
            <w:r>
              <w:rPr>
                <w:rFonts w:ascii="黑体" w:hAnsi="黑体" w:eastAsia="黑体" w:cs="黑体"/>
                <w:spacing w:val="8"/>
                <w:sz w:val="17"/>
                <w:szCs w:val="17"/>
                <w14:textOutline w14:w="3268" w14:cap="sq" w14:cmpd="sng">
                  <w14:solidFill>
                    <w14:srgbClr w14:val="000000"/>
                  </w14:solidFill>
                  <w14:prstDash w14:val="solid"/>
                  <w14:bevel/>
                </w14:textOutline>
              </w:rPr>
              <w:t>量</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restart"/>
            <w:tcBorders>
              <w:bottom w:val="nil"/>
            </w:tcBorders>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49" w:line="197" w:lineRule="auto"/>
              <w:ind w:left="253"/>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600"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55" w:line="232" w:lineRule="auto"/>
              <w:ind w:left="45"/>
              <w:rPr>
                <w:rFonts w:ascii="黑体" w:hAnsi="黑体" w:eastAsia="黑体" w:cs="黑体"/>
                <w:sz w:val="17"/>
                <w:szCs w:val="17"/>
              </w:rPr>
            </w:pPr>
            <w:r>
              <w:rPr>
                <w:rFonts w:ascii="Times New Roman" w:hAnsi="Times New Roman" w:eastAsia="Times New Roman" w:cs="Times New Roman"/>
                <w:spacing w:val="19"/>
                <w:sz w:val="17"/>
                <w:szCs w:val="17"/>
              </w:rPr>
              <w:t>“</w:t>
            </w:r>
            <w:r>
              <w:rPr>
                <w:rFonts w:ascii="黑体" w:hAnsi="黑体" w:eastAsia="黑体" w:cs="黑体"/>
                <w:spacing w:val="17"/>
                <w:sz w:val="17"/>
                <w:szCs w:val="17"/>
              </w:rPr>
              <w:t>绿地</w:t>
            </w:r>
          </w:p>
          <w:p>
            <w:pPr>
              <w:spacing w:before="67" w:line="233" w:lineRule="auto"/>
              <w:ind w:left="31"/>
              <w:rPr>
                <w:rFonts w:ascii="黑体" w:hAnsi="黑体" w:eastAsia="黑体" w:cs="黑体"/>
                <w:sz w:val="17"/>
                <w:szCs w:val="17"/>
              </w:rPr>
            </w:pPr>
            <w:r>
              <w:rPr>
                <w:rFonts w:ascii="黑体" w:hAnsi="黑体" w:eastAsia="黑体" w:cs="黑体"/>
                <w:spacing w:val="8"/>
                <w:sz w:val="17"/>
                <w:szCs w:val="17"/>
              </w:rPr>
              <w:t>外滩名</w:t>
            </w:r>
          </w:p>
          <w:p>
            <w:pPr>
              <w:spacing w:before="63" w:line="234" w:lineRule="auto"/>
              <w:ind w:left="28"/>
              <w:rPr>
                <w:rFonts w:ascii="黑体" w:hAnsi="黑体" w:eastAsia="黑体" w:cs="黑体"/>
                <w:sz w:val="17"/>
                <w:szCs w:val="17"/>
              </w:rPr>
            </w:pPr>
            <w:r>
              <w:rPr>
                <w:rFonts w:ascii="黑体" w:hAnsi="黑体" w:eastAsia="黑体" w:cs="黑体"/>
                <w:spacing w:val="2"/>
                <w:sz w:val="17"/>
                <w:szCs w:val="17"/>
              </w:rPr>
              <w:t>门</w:t>
            </w:r>
            <w:r>
              <w:rPr>
                <w:rFonts w:ascii="Times New Roman" w:hAnsi="Times New Roman" w:eastAsia="Times New Roman" w:cs="Times New Roman"/>
                <w:spacing w:val="2"/>
                <w:sz w:val="17"/>
                <w:szCs w:val="17"/>
              </w:rPr>
              <w:t xml:space="preserve">”6 </w:t>
            </w:r>
            <w:r>
              <w:rPr>
                <w:rFonts w:ascii="黑体" w:hAnsi="黑体" w:eastAsia="黑体" w:cs="黑体"/>
                <w:spacing w:val="1"/>
                <w:sz w:val="17"/>
                <w:szCs w:val="17"/>
              </w:rPr>
              <w:t>号</w:t>
            </w:r>
          </w:p>
          <w:p>
            <w:pPr>
              <w:spacing w:before="64" w:line="233" w:lineRule="auto"/>
              <w:ind w:left="212"/>
              <w:rPr>
                <w:rFonts w:ascii="黑体" w:hAnsi="黑体" w:eastAsia="黑体" w:cs="黑体"/>
                <w:sz w:val="17"/>
                <w:szCs w:val="17"/>
              </w:rPr>
            </w:pPr>
            <w:r>
              <w:rPr>
                <w:rFonts w:ascii="黑体" w:hAnsi="黑体" w:eastAsia="黑体" w:cs="黑体"/>
                <w:spacing w:val="3"/>
                <w:sz w:val="17"/>
                <w:szCs w:val="17"/>
              </w:rPr>
              <w:t>楼</w:t>
            </w:r>
          </w:p>
        </w:tc>
        <w:tc>
          <w:tcPr>
            <w:tcW w:w="598" w:type="dxa"/>
            <w:vMerge w:val="restart"/>
            <w:tcBorders>
              <w:bottom w:val="nil"/>
            </w:tcBorders>
            <w:vAlign w:val="top"/>
          </w:tcPr>
          <w:p>
            <w:pPr>
              <w:spacing w:before="247" w:line="197" w:lineRule="auto"/>
              <w:ind w:left="220"/>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1</w:t>
            </w:r>
            <w:r>
              <w:rPr>
                <w:rFonts w:ascii="Times New Roman" w:hAnsi="Times New Roman" w:eastAsia="Times New Roman" w:cs="Times New Roman"/>
                <w:spacing w:val="-4"/>
                <w:sz w:val="17"/>
                <w:szCs w:val="17"/>
              </w:rPr>
              <w:t>F</w:t>
            </w:r>
          </w:p>
        </w:tc>
        <w:tc>
          <w:tcPr>
            <w:tcW w:w="675" w:type="dxa"/>
            <w:vMerge w:val="restart"/>
            <w:tcBorders>
              <w:bottom w:val="nil"/>
            </w:tcBorders>
            <w:vAlign w:val="top"/>
          </w:tcPr>
          <w:p>
            <w:pPr>
              <w:spacing w:before="247" w:line="200" w:lineRule="auto"/>
              <w:ind w:left="24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w:t>
            </w:r>
          </w:p>
        </w:tc>
        <w:tc>
          <w:tcPr>
            <w:tcW w:w="577" w:type="dxa"/>
            <w:vMerge w:val="restart"/>
            <w:tcBorders>
              <w:bottom w:val="nil"/>
            </w:tcBorders>
            <w:vAlign w:val="top"/>
          </w:tcPr>
          <w:p>
            <w:pPr>
              <w:spacing w:before="216"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3" w:line="230"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1"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38"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1"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2"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w:t>
            </w:r>
            <w:r>
              <w:rPr>
                <w:rFonts w:ascii="Times New Roman" w:hAnsi="Times New Roman" w:eastAsia="Times New Roman" w:cs="Times New Roman"/>
                <w:spacing w:val="-2"/>
                <w:sz w:val="17"/>
                <w:szCs w:val="17"/>
              </w:rPr>
              <w:t>9. 1</w:t>
            </w:r>
          </w:p>
        </w:tc>
        <w:tc>
          <w:tcPr>
            <w:tcW w:w="689"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9.4</w:t>
            </w:r>
          </w:p>
        </w:tc>
        <w:tc>
          <w:tcPr>
            <w:tcW w:w="689" w:type="dxa"/>
            <w:vAlign w:val="top"/>
          </w:tcPr>
          <w:p>
            <w:pPr>
              <w:spacing w:before="82"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.4</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0.4</w:t>
            </w:r>
          </w:p>
        </w:tc>
        <w:tc>
          <w:tcPr>
            <w:tcW w:w="689" w:type="dxa"/>
            <w:vAlign w:val="top"/>
          </w:tcPr>
          <w:p>
            <w:pPr>
              <w:spacing w:before="82"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59.6</w:t>
            </w:r>
          </w:p>
        </w:tc>
        <w:tc>
          <w:tcPr>
            <w:tcW w:w="688" w:type="dxa"/>
            <w:vAlign w:val="top"/>
          </w:tcPr>
          <w:p>
            <w:pPr>
              <w:spacing w:before="82"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2"/>
                <w:sz w:val="17"/>
                <w:szCs w:val="17"/>
              </w:rPr>
              <w:t>.6</w:t>
            </w:r>
          </w:p>
        </w:tc>
        <w:tc>
          <w:tcPr>
            <w:tcW w:w="690" w:type="dxa"/>
            <w:vAlign w:val="top"/>
          </w:tcPr>
          <w:p>
            <w:pPr>
              <w:spacing w:before="82"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50.</w:t>
            </w:r>
            <w:r>
              <w:rPr>
                <w:rFonts w:ascii="Times New Roman" w:hAnsi="Times New Roman" w:eastAsia="Times New Roman" w:cs="Times New Roman"/>
                <w:spacing w:val="3"/>
                <w:sz w:val="17"/>
                <w:szCs w:val="17"/>
              </w:rPr>
              <w:t>8</w:t>
            </w:r>
          </w:p>
        </w:tc>
        <w:tc>
          <w:tcPr>
            <w:tcW w:w="689" w:type="dxa"/>
            <w:vAlign w:val="top"/>
          </w:tcPr>
          <w:p>
            <w:pPr>
              <w:spacing w:before="82"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59.6</w:t>
            </w:r>
          </w:p>
        </w:tc>
        <w:tc>
          <w:tcPr>
            <w:tcW w:w="689" w:type="dxa"/>
            <w:vAlign w:val="top"/>
          </w:tcPr>
          <w:p>
            <w:pPr>
              <w:spacing w:before="82"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.6</w:t>
            </w:r>
          </w:p>
        </w:tc>
        <w:tc>
          <w:tcPr>
            <w:tcW w:w="694" w:type="dxa"/>
            <w:vAlign w:val="top"/>
          </w:tcPr>
          <w:p>
            <w:pPr>
              <w:spacing w:before="82"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3" w:line="230"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1"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38"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1"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3"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0.9</w:t>
            </w:r>
          </w:p>
        </w:tc>
        <w:tc>
          <w:tcPr>
            <w:tcW w:w="689" w:type="dxa"/>
            <w:vAlign w:val="top"/>
          </w:tcPr>
          <w:p>
            <w:pPr>
              <w:spacing w:before="82"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9.6</w:t>
            </w:r>
          </w:p>
        </w:tc>
        <w:tc>
          <w:tcPr>
            <w:tcW w:w="689" w:type="dxa"/>
            <w:vAlign w:val="top"/>
          </w:tcPr>
          <w:p>
            <w:pPr>
              <w:spacing w:before="83"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.6</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200"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w:t>
            </w:r>
            <w:r>
              <w:rPr>
                <w:rFonts w:ascii="Times New Roman" w:hAnsi="Times New Roman" w:eastAsia="Times New Roman" w:cs="Times New Roman"/>
                <w:spacing w:val="-2"/>
                <w:sz w:val="17"/>
                <w:szCs w:val="17"/>
              </w:rPr>
              <w:t>2. 1</w:t>
            </w:r>
          </w:p>
        </w:tc>
        <w:tc>
          <w:tcPr>
            <w:tcW w:w="689" w:type="dxa"/>
            <w:vAlign w:val="top"/>
          </w:tcPr>
          <w:p>
            <w:pPr>
              <w:spacing w:before="82"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9.8</w:t>
            </w:r>
          </w:p>
        </w:tc>
        <w:tc>
          <w:tcPr>
            <w:tcW w:w="688" w:type="dxa"/>
            <w:vAlign w:val="top"/>
          </w:tcPr>
          <w:p>
            <w:pPr>
              <w:spacing w:before="83"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3"/>
                <w:sz w:val="17"/>
                <w:szCs w:val="17"/>
              </w:rPr>
              <w:t>.8</w:t>
            </w:r>
          </w:p>
        </w:tc>
        <w:tc>
          <w:tcPr>
            <w:tcW w:w="690" w:type="dxa"/>
            <w:vAlign w:val="top"/>
          </w:tcPr>
          <w:p>
            <w:pPr>
              <w:spacing w:before="82"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200"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2.4</w:t>
            </w:r>
          </w:p>
        </w:tc>
        <w:tc>
          <w:tcPr>
            <w:tcW w:w="689" w:type="dxa"/>
            <w:vAlign w:val="top"/>
          </w:tcPr>
          <w:p>
            <w:pPr>
              <w:spacing w:before="82"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9.9</w:t>
            </w:r>
          </w:p>
        </w:tc>
        <w:tc>
          <w:tcPr>
            <w:tcW w:w="689" w:type="dxa"/>
            <w:vAlign w:val="top"/>
          </w:tcPr>
          <w:p>
            <w:pPr>
              <w:spacing w:before="83"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.9</w:t>
            </w:r>
          </w:p>
        </w:tc>
        <w:tc>
          <w:tcPr>
            <w:tcW w:w="694" w:type="dxa"/>
            <w:vAlign w:val="top"/>
          </w:tcPr>
          <w:p>
            <w:pPr>
              <w:spacing w:before="82"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46" w:line="197" w:lineRule="auto"/>
              <w:ind w:left="202"/>
              <w:rPr>
                <w:rFonts w:ascii="Times New Roman" w:hAnsi="Times New Roman" w:eastAsia="Times New Roman" w:cs="Times New Roman"/>
                <w:sz w:val="17"/>
                <w:szCs w:val="17"/>
              </w:rPr>
            </w:pPr>
            <w:r>
              <w:rPr>
                <w:rFonts w:ascii="Times New Roman" w:hAnsi="Times New Roman" w:eastAsia="Times New Roman" w:cs="Times New Roman"/>
                <w:spacing w:val="8"/>
                <w:sz w:val="17"/>
                <w:szCs w:val="17"/>
              </w:rPr>
              <w:t>4</w:t>
            </w:r>
            <w:r>
              <w:rPr>
                <w:rFonts w:ascii="Times New Roman" w:hAnsi="Times New Roman" w:eastAsia="Times New Roman" w:cs="Times New Roman"/>
                <w:sz w:val="17"/>
                <w:szCs w:val="17"/>
              </w:rPr>
              <w:t>F</w:t>
            </w:r>
          </w:p>
        </w:tc>
        <w:tc>
          <w:tcPr>
            <w:tcW w:w="675" w:type="dxa"/>
            <w:vMerge w:val="restart"/>
            <w:tcBorders>
              <w:bottom w:val="nil"/>
            </w:tcBorders>
            <w:vAlign w:val="top"/>
          </w:tcPr>
          <w:p>
            <w:pPr>
              <w:spacing w:before="246"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10.</w:t>
            </w:r>
            <w:r>
              <w:rPr>
                <w:rFonts w:ascii="Times New Roman" w:hAnsi="Times New Roman" w:eastAsia="Times New Roman" w:cs="Times New Roman"/>
                <w:sz w:val="17"/>
                <w:szCs w:val="17"/>
              </w:rPr>
              <w:t>2</w:t>
            </w:r>
          </w:p>
        </w:tc>
        <w:tc>
          <w:tcPr>
            <w:tcW w:w="577" w:type="dxa"/>
            <w:vMerge w:val="restart"/>
            <w:tcBorders>
              <w:bottom w:val="nil"/>
            </w:tcBorders>
            <w:vAlign w:val="top"/>
          </w:tcPr>
          <w:p>
            <w:pPr>
              <w:spacing w:before="217"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1" w:line="232"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38" w:line="243"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3"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9.3</w:t>
            </w:r>
          </w:p>
        </w:tc>
        <w:tc>
          <w:tcPr>
            <w:tcW w:w="689" w:type="dxa"/>
            <w:vAlign w:val="top"/>
          </w:tcPr>
          <w:p>
            <w:pPr>
              <w:spacing w:before="83"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9.4</w:t>
            </w:r>
          </w:p>
        </w:tc>
        <w:tc>
          <w:tcPr>
            <w:tcW w:w="689" w:type="dxa"/>
            <w:vAlign w:val="top"/>
          </w:tcPr>
          <w:p>
            <w:pPr>
              <w:spacing w:before="83"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.4</w:t>
            </w:r>
          </w:p>
        </w:tc>
        <w:tc>
          <w:tcPr>
            <w:tcW w:w="690" w:type="dxa"/>
            <w:vAlign w:val="top"/>
          </w:tcPr>
          <w:p>
            <w:pPr>
              <w:spacing w:before="83"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.7</w:t>
            </w:r>
          </w:p>
        </w:tc>
        <w:tc>
          <w:tcPr>
            <w:tcW w:w="689" w:type="dxa"/>
            <w:vAlign w:val="top"/>
          </w:tcPr>
          <w:p>
            <w:pPr>
              <w:spacing w:before="83"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59.6</w:t>
            </w:r>
          </w:p>
        </w:tc>
        <w:tc>
          <w:tcPr>
            <w:tcW w:w="688" w:type="dxa"/>
            <w:vAlign w:val="top"/>
          </w:tcPr>
          <w:p>
            <w:pPr>
              <w:spacing w:before="83"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2"/>
                <w:sz w:val="17"/>
                <w:szCs w:val="17"/>
              </w:rPr>
              <w:t>.6</w:t>
            </w:r>
          </w:p>
        </w:tc>
        <w:tc>
          <w:tcPr>
            <w:tcW w:w="690" w:type="dxa"/>
            <w:vAlign w:val="top"/>
          </w:tcPr>
          <w:p>
            <w:pPr>
              <w:spacing w:before="83"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2"/>
                <w:sz w:val="17"/>
                <w:szCs w:val="17"/>
              </w:rPr>
              <w:t>1.0</w:t>
            </w:r>
          </w:p>
        </w:tc>
        <w:tc>
          <w:tcPr>
            <w:tcW w:w="689" w:type="dxa"/>
            <w:vAlign w:val="top"/>
          </w:tcPr>
          <w:p>
            <w:pPr>
              <w:spacing w:before="83"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w:t>
            </w:r>
            <w:r>
              <w:rPr>
                <w:rFonts w:ascii="Times New Roman" w:hAnsi="Times New Roman" w:eastAsia="Times New Roman" w:cs="Times New Roman"/>
                <w:spacing w:val="2"/>
                <w:sz w:val="17"/>
                <w:szCs w:val="17"/>
              </w:rPr>
              <w:t>.7</w:t>
            </w:r>
          </w:p>
        </w:tc>
        <w:tc>
          <w:tcPr>
            <w:tcW w:w="689" w:type="dxa"/>
            <w:vAlign w:val="top"/>
          </w:tcPr>
          <w:p>
            <w:pPr>
              <w:spacing w:before="83"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0.7</w:t>
            </w:r>
          </w:p>
        </w:tc>
        <w:tc>
          <w:tcPr>
            <w:tcW w:w="694" w:type="dxa"/>
            <w:vAlign w:val="top"/>
          </w:tcPr>
          <w:p>
            <w:pPr>
              <w:spacing w:before="83"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1" w:line="232"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2"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39"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1" w:line="200"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41.0</w:t>
            </w:r>
          </w:p>
        </w:tc>
        <w:tc>
          <w:tcPr>
            <w:tcW w:w="689" w:type="dxa"/>
            <w:vAlign w:val="top"/>
          </w:tcPr>
          <w:p>
            <w:pPr>
              <w:spacing w:before="81"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9.6</w:t>
            </w:r>
          </w:p>
        </w:tc>
        <w:tc>
          <w:tcPr>
            <w:tcW w:w="689" w:type="dxa"/>
            <w:vAlign w:val="top"/>
          </w:tcPr>
          <w:p>
            <w:pPr>
              <w:spacing w:before="81"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.6</w:t>
            </w:r>
          </w:p>
        </w:tc>
        <w:tc>
          <w:tcPr>
            <w:tcW w:w="690" w:type="dxa"/>
            <w:vAlign w:val="top"/>
          </w:tcPr>
          <w:p>
            <w:pPr>
              <w:spacing w:before="81"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1" w:line="200"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2.3</w:t>
            </w:r>
          </w:p>
        </w:tc>
        <w:tc>
          <w:tcPr>
            <w:tcW w:w="689" w:type="dxa"/>
            <w:vAlign w:val="top"/>
          </w:tcPr>
          <w:p>
            <w:pPr>
              <w:spacing w:before="81"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9.8</w:t>
            </w:r>
          </w:p>
        </w:tc>
        <w:tc>
          <w:tcPr>
            <w:tcW w:w="688" w:type="dxa"/>
            <w:vAlign w:val="top"/>
          </w:tcPr>
          <w:p>
            <w:pPr>
              <w:spacing w:before="81"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3"/>
                <w:sz w:val="17"/>
                <w:szCs w:val="17"/>
              </w:rPr>
              <w:t>.8</w:t>
            </w:r>
          </w:p>
        </w:tc>
        <w:tc>
          <w:tcPr>
            <w:tcW w:w="690" w:type="dxa"/>
            <w:vAlign w:val="top"/>
          </w:tcPr>
          <w:p>
            <w:pPr>
              <w:spacing w:before="81"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1" w:line="200"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2.6</w:t>
            </w:r>
          </w:p>
        </w:tc>
        <w:tc>
          <w:tcPr>
            <w:tcW w:w="689" w:type="dxa"/>
            <w:vAlign w:val="top"/>
          </w:tcPr>
          <w:p>
            <w:pPr>
              <w:spacing w:before="81"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9.9</w:t>
            </w:r>
          </w:p>
        </w:tc>
        <w:tc>
          <w:tcPr>
            <w:tcW w:w="689" w:type="dxa"/>
            <w:vAlign w:val="top"/>
          </w:tcPr>
          <w:p>
            <w:pPr>
              <w:spacing w:before="81"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.9</w:t>
            </w:r>
          </w:p>
        </w:tc>
        <w:tc>
          <w:tcPr>
            <w:tcW w:w="694" w:type="dxa"/>
            <w:vAlign w:val="top"/>
          </w:tcPr>
          <w:p>
            <w:pPr>
              <w:spacing w:before="81"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49" w:line="194" w:lineRule="auto"/>
              <w:ind w:left="20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7</w:t>
            </w:r>
            <w:r>
              <w:rPr>
                <w:rFonts w:ascii="Times New Roman" w:hAnsi="Times New Roman" w:eastAsia="Times New Roman" w:cs="Times New Roman"/>
                <w:sz w:val="17"/>
                <w:szCs w:val="17"/>
              </w:rPr>
              <w:t>F</w:t>
            </w:r>
          </w:p>
        </w:tc>
        <w:tc>
          <w:tcPr>
            <w:tcW w:w="675" w:type="dxa"/>
            <w:vMerge w:val="restart"/>
            <w:tcBorders>
              <w:bottom w:val="nil"/>
            </w:tcBorders>
            <w:vAlign w:val="top"/>
          </w:tcPr>
          <w:p>
            <w:pPr>
              <w:spacing w:before="247"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19.</w:t>
            </w:r>
            <w:r>
              <w:rPr>
                <w:rFonts w:ascii="Times New Roman" w:hAnsi="Times New Roman" w:eastAsia="Times New Roman" w:cs="Times New Roman"/>
                <w:sz w:val="17"/>
                <w:szCs w:val="17"/>
              </w:rPr>
              <w:t>2</w:t>
            </w:r>
          </w:p>
        </w:tc>
        <w:tc>
          <w:tcPr>
            <w:tcW w:w="577" w:type="dxa"/>
            <w:vMerge w:val="restart"/>
            <w:tcBorders>
              <w:bottom w:val="nil"/>
            </w:tcBorders>
            <w:vAlign w:val="top"/>
          </w:tcPr>
          <w:p>
            <w:pPr>
              <w:spacing w:before="216"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2" w:line="231"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3"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39"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3"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1"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9.2</w:t>
            </w:r>
          </w:p>
        </w:tc>
        <w:tc>
          <w:tcPr>
            <w:tcW w:w="689" w:type="dxa"/>
            <w:vAlign w:val="top"/>
          </w:tcPr>
          <w:p>
            <w:pPr>
              <w:spacing w:before="81"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9.4</w:t>
            </w:r>
          </w:p>
        </w:tc>
        <w:tc>
          <w:tcPr>
            <w:tcW w:w="689" w:type="dxa"/>
            <w:vAlign w:val="top"/>
          </w:tcPr>
          <w:p>
            <w:pPr>
              <w:spacing w:before="81"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.4</w:t>
            </w:r>
          </w:p>
        </w:tc>
        <w:tc>
          <w:tcPr>
            <w:tcW w:w="690" w:type="dxa"/>
            <w:vAlign w:val="top"/>
          </w:tcPr>
          <w:p>
            <w:pPr>
              <w:spacing w:before="81"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1"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50.6</w:t>
            </w:r>
          </w:p>
        </w:tc>
        <w:tc>
          <w:tcPr>
            <w:tcW w:w="689" w:type="dxa"/>
            <w:vAlign w:val="top"/>
          </w:tcPr>
          <w:p>
            <w:pPr>
              <w:spacing w:before="81"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59.6</w:t>
            </w:r>
          </w:p>
        </w:tc>
        <w:tc>
          <w:tcPr>
            <w:tcW w:w="688" w:type="dxa"/>
            <w:vAlign w:val="top"/>
          </w:tcPr>
          <w:p>
            <w:pPr>
              <w:spacing w:before="81"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2"/>
                <w:sz w:val="17"/>
                <w:szCs w:val="17"/>
              </w:rPr>
              <w:t>.6</w:t>
            </w:r>
          </w:p>
        </w:tc>
        <w:tc>
          <w:tcPr>
            <w:tcW w:w="690" w:type="dxa"/>
            <w:vAlign w:val="top"/>
          </w:tcPr>
          <w:p>
            <w:pPr>
              <w:spacing w:before="81"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1"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2"/>
                <w:sz w:val="17"/>
                <w:szCs w:val="17"/>
              </w:rPr>
              <w:t>1.0</w:t>
            </w:r>
          </w:p>
        </w:tc>
        <w:tc>
          <w:tcPr>
            <w:tcW w:w="689" w:type="dxa"/>
            <w:vAlign w:val="top"/>
          </w:tcPr>
          <w:p>
            <w:pPr>
              <w:spacing w:before="81"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59.6</w:t>
            </w:r>
          </w:p>
        </w:tc>
        <w:tc>
          <w:tcPr>
            <w:tcW w:w="689" w:type="dxa"/>
            <w:vAlign w:val="top"/>
          </w:tcPr>
          <w:p>
            <w:pPr>
              <w:spacing w:before="81"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.6</w:t>
            </w:r>
          </w:p>
        </w:tc>
        <w:tc>
          <w:tcPr>
            <w:tcW w:w="694" w:type="dxa"/>
            <w:vAlign w:val="top"/>
          </w:tcPr>
          <w:p>
            <w:pPr>
              <w:spacing w:before="81"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2" w:line="231"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1"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37"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1"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2"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0.8</w:t>
            </w:r>
          </w:p>
        </w:tc>
        <w:tc>
          <w:tcPr>
            <w:tcW w:w="689" w:type="dxa"/>
            <w:vAlign w:val="top"/>
          </w:tcPr>
          <w:p>
            <w:pPr>
              <w:spacing w:before="81"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9.6</w:t>
            </w:r>
          </w:p>
        </w:tc>
        <w:tc>
          <w:tcPr>
            <w:tcW w:w="689" w:type="dxa"/>
            <w:vAlign w:val="top"/>
          </w:tcPr>
          <w:p>
            <w:pPr>
              <w:spacing w:before="82"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.6</w:t>
            </w:r>
          </w:p>
        </w:tc>
        <w:tc>
          <w:tcPr>
            <w:tcW w:w="690" w:type="dxa"/>
            <w:vAlign w:val="top"/>
          </w:tcPr>
          <w:p>
            <w:pPr>
              <w:spacing w:before="81"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1" w:line="200"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w:t>
            </w:r>
            <w:r>
              <w:rPr>
                <w:rFonts w:ascii="Times New Roman" w:hAnsi="Times New Roman" w:eastAsia="Times New Roman" w:cs="Times New Roman"/>
                <w:spacing w:val="-2"/>
                <w:sz w:val="17"/>
                <w:szCs w:val="17"/>
              </w:rPr>
              <w:t>2. 1</w:t>
            </w:r>
          </w:p>
        </w:tc>
        <w:tc>
          <w:tcPr>
            <w:tcW w:w="689" w:type="dxa"/>
            <w:vAlign w:val="top"/>
          </w:tcPr>
          <w:p>
            <w:pPr>
              <w:spacing w:before="81"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9.8</w:t>
            </w:r>
          </w:p>
        </w:tc>
        <w:tc>
          <w:tcPr>
            <w:tcW w:w="688" w:type="dxa"/>
            <w:vAlign w:val="top"/>
          </w:tcPr>
          <w:p>
            <w:pPr>
              <w:spacing w:before="82"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3"/>
                <w:sz w:val="17"/>
                <w:szCs w:val="17"/>
              </w:rPr>
              <w:t>.8</w:t>
            </w:r>
          </w:p>
        </w:tc>
        <w:tc>
          <w:tcPr>
            <w:tcW w:w="690" w:type="dxa"/>
            <w:vAlign w:val="top"/>
          </w:tcPr>
          <w:p>
            <w:pPr>
              <w:spacing w:before="81"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1" w:line="200"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2.4</w:t>
            </w:r>
          </w:p>
        </w:tc>
        <w:tc>
          <w:tcPr>
            <w:tcW w:w="689" w:type="dxa"/>
            <w:vAlign w:val="top"/>
          </w:tcPr>
          <w:p>
            <w:pPr>
              <w:spacing w:before="81"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9.9</w:t>
            </w:r>
          </w:p>
        </w:tc>
        <w:tc>
          <w:tcPr>
            <w:tcW w:w="689" w:type="dxa"/>
            <w:vAlign w:val="top"/>
          </w:tcPr>
          <w:p>
            <w:pPr>
              <w:spacing w:before="82"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.9</w:t>
            </w:r>
          </w:p>
        </w:tc>
        <w:tc>
          <w:tcPr>
            <w:tcW w:w="694" w:type="dxa"/>
            <w:vAlign w:val="top"/>
          </w:tcPr>
          <w:p>
            <w:pPr>
              <w:spacing w:before="81"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47" w:line="197" w:lineRule="auto"/>
              <w:ind w:left="17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10F</w:t>
            </w:r>
          </w:p>
        </w:tc>
        <w:tc>
          <w:tcPr>
            <w:tcW w:w="675" w:type="dxa"/>
            <w:vMerge w:val="restart"/>
            <w:tcBorders>
              <w:bottom w:val="nil"/>
            </w:tcBorders>
            <w:vAlign w:val="top"/>
          </w:tcPr>
          <w:p>
            <w:pPr>
              <w:spacing w:before="248" w:line="197" w:lineRule="auto"/>
              <w:ind w:left="17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8.2</w:t>
            </w:r>
          </w:p>
        </w:tc>
        <w:tc>
          <w:tcPr>
            <w:tcW w:w="577" w:type="dxa"/>
            <w:vMerge w:val="restart"/>
            <w:tcBorders>
              <w:bottom w:val="nil"/>
            </w:tcBorders>
            <w:vAlign w:val="top"/>
          </w:tcPr>
          <w:p>
            <w:pPr>
              <w:spacing w:before="216"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3" w:line="230"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1"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38"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1"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2"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49.0</w:t>
            </w:r>
          </w:p>
        </w:tc>
        <w:tc>
          <w:tcPr>
            <w:tcW w:w="689"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9.4</w:t>
            </w:r>
          </w:p>
        </w:tc>
        <w:tc>
          <w:tcPr>
            <w:tcW w:w="689" w:type="dxa"/>
            <w:vAlign w:val="top"/>
          </w:tcPr>
          <w:p>
            <w:pPr>
              <w:spacing w:before="82"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.4</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0.4</w:t>
            </w:r>
          </w:p>
        </w:tc>
        <w:tc>
          <w:tcPr>
            <w:tcW w:w="689" w:type="dxa"/>
            <w:vAlign w:val="top"/>
          </w:tcPr>
          <w:p>
            <w:pPr>
              <w:spacing w:before="82"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59.6</w:t>
            </w:r>
          </w:p>
        </w:tc>
        <w:tc>
          <w:tcPr>
            <w:tcW w:w="688" w:type="dxa"/>
            <w:vAlign w:val="top"/>
          </w:tcPr>
          <w:p>
            <w:pPr>
              <w:spacing w:before="82"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2"/>
                <w:sz w:val="17"/>
                <w:szCs w:val="17"/>
              </w:rPr>
              <w:t>.6</w:t>
            </w:r>
          </w:p>
        </w:tc>
        <w:tc>
          <w:tcPr>
            <w:tcW w:w="690" w:type="dxa"/>
            <w:vAlign w:val="top"/>
          </w:tcPr>
          <w:p>
            <w:pPr>
              <w:spacing w:before="82"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50.</w:t>
            </w:r>
            <w:r>
              <w:rPr>
                <w:rFonts w:ascii="Times New Roman" w:hAnsi="Times New Roman" w:eastAsia="Times New Roman" w:cs="Times New Roman"/>
                <w:spacing w:val="3"/>
                <w:sz w:val="17"/>
                <w:szCs w:val="17"/>
              </w:rPr>
              <w:t>8</w:t>
            </w:r>
          </w:p>
        </w:tc>
        <w:tc>
          <w:tcPr>
            <w:tcW w:w="689" w:type="dxa"/>
            <w:vAlign w:val="top"/>
          </w:tcPr>
          <w:p>
            <w:pPr>
              <w:spacing w:before="82"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59.6</w:t>
            </w:r>
          </w:p>
        </w:tc>
        <w:tc>
          <w:tcPr>
            <w:tcW w:w="689" w:type="dxa"/>
            <w:vAlign w:val="top"/>
          </w:tcPr>
          <w:p>
            <w:pPr>
              <w:spacing w:before="82"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.6</w:t>
            </w:r>
          </w:p>
        </w:tc>
        <w:tc>
          <w:tcPr>
            <w:tcW w:w="694" w:type="dxa"/>
            <w:vAlign w:val="top"/>
          </w:tcPr>
          <w:p>
            <w:pPr>
              <w:spacing w:before="82"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3" w:line="230"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1"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38"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1"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3"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0.6</w:t>
            </w:r>
          </w:p>
        </w:tc>
        <w:tc>
          <w:tcPr>
            <w:tcW w:w="689" w:type="dxa"/>
            <w:vAlign w:val="top"/>
          </w:tcPr>
          <w:p>
            <w:pPr>
              <w:spacing w:before="82"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9.6</w:t>
            </w:r>
          </w:p>
        </w:tc>
        <w:tc>
          <w:tcPr>
            <w:tcW w:w="689" w:type="dxa"/>
            <w:vAlign w:val="top"/>
          </w:tcPr>
          <w:p>
            <w:pPr>
              <w:spacing w:before="83"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.6</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200"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1.9</w:t>
            </w:r>
          </w:p>
        </w:tc>
        <w:tc>
          <w:tcPr>
            <w:tcW w:w="689" w:type="dxa"/>
            <w:vAlign w:val="top"/>
          </w:tcPr>
          <w:p>
            <w:pPr>
              <w:spacing w:before="82"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9.8</w:t>
            </w:r>
          </w:p>
        </w:tc>
        <w:tc>
          <w:tcPr>
            <w:tcW w:w="688" w:type="dxa"/>
            <w:vAlign w:val="top"/>
          </w:tcPr>
          <w:p>
            <w:pPr>
              <w:spacing w:before="83"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3"/>
                <w:sz w:val="17"/>
                <w:szCs w:val="17"/>
              </w:rPr>
              <w:t>.8</w:t>
            </w:r>
          </w:p>
        </w:tc>
        <w:tc>
          <w:tcPr>
            <w:tcW w:w="690" w:type="dxa"/>
            <w:vAlign w:val="top"/>
          </w:tcPr>
          <w:p>
            <w:pPr>
              <w:spacing w:before="82"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200"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2.2</w:t>
            </w:r>
          </w:p>
        </w:tc>
        <w:tc>
          <w:tcPr>
            <w:tcW w:w="689" w:type="dxa"/>
            <w:vAlign w:val="top"/>
          </w:tcPr>
          <w:p>
            <w:pPr>
              <w:spacing w:before="82"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9.8</w:t>
            </w:r>
          </w:p>
        </w:tc>
        <w:tc>
          <w:tcPr>
            <w:tcW w:w="689" w:type="dxa"/>
            <w:vAlign w:val="top"/>
          </w:tcPr>
          <w:p>
            <w:pPr>
              <w:spacing w:before="83"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4"/>
                <w:sz w:val="17"/>
                <w:szCs w:val="17"/>
              </w:rPr>
              <w:t>.8</w:t>
            </w:r>
          </w:p>
        </w:tc>
        <w:tc>
          <w:tcPr>
            <w:tcW w:w="694" w:type="dxa"/>
            <w:vAlign w:val="top"/>
          </w:tcPr>
          <w:p>
            <w:pPr>
              <w:spacing w:before="82"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46" w:line="197" w:lineRule="auto"/>
              <w:ind w:left="17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15F</w:t>
            </w:r>
          </w:p>
        </w:tc>
        <w:tc>
          <w:tcPr>
            <w:tcW w:w="675" w:type="dxa"/>
            <w:vMerge w:val="restart"/>
            <w:tcBorders>
              <w:bottom w:val="nil"/>
            </w:tcBorders>
            <w:vAlign w:val="top"/>
          </w:tcPr>
          <w:p>
            <w:pPr>
              <w:spacing w:before="246" w:line="197" w:lineRule="auto"/>
              <w:ind w:left="17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3.2</w:t>
            </w:r>
          </w:p>
        </w:tc>
        <w:tc>
          <w:tcPr>
            <w:tcW w:w="577" w:type="dxa"/>
            <w:vMerge w:val="restart"/>
            <w:tcBorders>
              <w:bottom w:val="nil"/>
            </w:tcBorders>
            <w:vAlign w:val="top"/>
          </w:tcPr>
          <w:p>
            <w:pPr>
              <w:spacing w:before="217"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1" w:line="232"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38" w:line="243"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3"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8.6</w:t>
            </w:r>
          </w:p>
        </w:tc>
        <w:tc>
          <w:tcPr>
            <w:tcW w:w="689" w:type="dxa"/>
            <w:vAlign w:val="top"/>
          </w:tcPr>
          <w:p>
            <w:pPr>
              <w:spacing w:before="83"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9.4</w:t>
            </w:r>
          </w:p>
        </w:tc>
        <w:tc>
          <w:tcPr>
            <w:tcW w:w="689" w:type="dxa"/>
            <w:vAlign w:val="top"/>
          </w:tcPr>
          <w:p>
            <w:pPr>
              <w:spacing w:before="83"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.4</w:t>
            </w:r>
          </w:p>
        </w:tc>
        <w:tc>
          <w:tcPr>
            <w:tcW w:w="690" w:type="dxa"/>
            <w:vAlign w:val="top"/>
          </w:tcPr>
          <w:p>
            <w:pPr>
              <w:spacing w:before="83"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2"/>
                <w:sz w:val="17"/>
                <w:szCs w:val="17"/>
              </w:rPr>
              <w:t>0.0</w:t>
            </w:r>
          </w:p>
        </w:tc>
        <w:tc>
          <w:tcPr>
            <w:tcW w:w="689" w:type="dxa"/>
            <w:vAlign w:val="top"/>
          </w:tcPr>
          <w:p>
            <w:pPr>
              <w:spacing w:before="83"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9.5</w:t>
            </w:r>
          </w:p>
        </w:tc>
        <w:tc>
          <w:tcPr>
            <w:tcW w:w="688" w:type="dxa"/>
            <w:vAlign w:val="top"/>
          </w:tcPr>
          <w:p>
            <w:pPr>
              <w:spacing w:before="83"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0.5</w:t>
            </w:r>
          </w:p>
        </w:tc>
        <w:tc>
          <w:tcPr>
            <w:tcW w:w="690" w:type="dxa"/>
            <w:vAlign w:val="top"/>
          </w:tcPr>
          <w:p>
            <w:pPr>
              <w:spacing w:before="83"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0.4</w:t>
            </w:r>
          </w:p>
        </w:tc>
        <w:tc>
          <w:tcPr>
            <w:tcW w:w="689" w:type="dxa"/>
            <w:vAlign w:val="top"/>
          </w:tcPr>
          <w:p>
            <w:pPr>
              <w:spacing w:before="83"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59.6</w:t>
            </w:r>
          </w:p>
        </w:tc>
        <w:tc>
          <w:tcPr>
            <w:tcW w:w="689" w:type="dxa"/>
            <w:vAlign w:val="top"/>
          </w:tcPr>
          <w:p>
            <w:pPr>
              <w:spacing w:before="83"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.6</w:t>
            </w:r>
          </w:p>
        </w:tc>
        <w:tc>
          <w:tcPr>
            <w:tcW w:w="694" w:type="dxa"/>
            <w:vAlign w:val="top"/>
          </w:tcPr>
          <w:p>
            <w:pPr>
              <w:spacing w:before="83"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1" w:line="232"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2"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39"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1"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w:t>
            </w:r>
            <w:r>
              <w:rPr>
                <w:rFonts w:ascii="Times New Roman" w:hAnsi="Times New Roman" w:eastAsia="Times New Roman" w:cs="Times New Roman"/>
                <w:spacing w:val="-2"/>
                <w:sz w:val="17"/>
                <w:szCs w:val="17"/>
              </w:rPr>
              <w:t>0. 1</w:t>
            </w:r>
          </w:p>
        </w:tc>
        <w:tc>
          <w:tcPr>
            <w:tcW w:w="689" w:type="dxa"/>
            <w:vAlign w:val="top"/>
          </w:tcPr>
          <w:p>
            <w:pPr>
              <w:spacing w:before="81"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9.5</w:t>
            </w:r>
          </w:p>
        </w:tc>
        <w:tc>
          <w:tcPr>
            <w:tcW w:w="689" w:type="dxa"/>
            <w:vAlign w:val="top"/>
          </w:tcPr>
          <w:p>
            <w:pPr>
              <w:spacing w:before="81"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0" w:type="dxa"/>
            <w:vAlign w:val="top"/>
          </w:tcPr>
          <w:p>
            <w:pPr>
              <w:spacing w:before="81"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1" w:line="200"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1.4</w:t>
            </w:r>
          </w:p>
        </w:tc>
        <w:tc>
          <w:tcPr>
            <w:tcW w:w="689" w:type="dxa"/>
            <w:vAlign w:val="top"/>
          </w:tcPr>
          <w:p>
            <w:pPr>
              <w:spacing w:before="81"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49.7</w:t>
            </w:r>
          </w:p>
        </w:tc>
        <w:tc>
          <w:tcPr>
            <w:tcW w:w="688" w:type="dxa"/>
            <w:vAlign w:val="top"/>
          </w:tcPr>
          <w:p>
            <w:pPr>
              <w:spacing w:before="81"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w:t>
            </w:r>
            <w:r>
              <w:rPr>
                <w:rFonts w:ascii="Times New Roman" w:hAnsi="Times New Roman" w:eastAsia="Times New Roman" w:cs="Times New Roman"/>
                <w:spacing w:val="1"/>
                <w:sz w:val="17"/>
                <w:szCs w:val="17"/>
              </w:rPr>
              <w:t>7</w:t>
            </w:r>
          </w:p>
        </w:tc>
        <w:tc>
          <w:tcPr>
            <w:tcW w:w="690" w:type="dxa"/>
            <w:vAlign w:val="top"/>
          </w:tcPr>
          <w:p>
            <w:pPr>
              <w:spacing w:before="81"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1" w:line="200"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41.7</w:t>
            </w:r>
          </w:p>
        </w:tc>
        <w:tc>
          <w:tcPr>
            <w:tcW w:w="689" w:type="dxa"/>
            <w:vAlign w:val="top"/>
          </w:tcPr>
          <w:p>
            <w:pPr>
              <w:spacing w:before="81"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9.8</w:t>
            </w:r>
          </w:p>
        </w:tc>
        <w:tc>
          <w:tcPr>
            <w:tcW w:w="689" w:type="dxa"/>
            <w:vAlign w:val="top"/>
          </w:tcPr>
          <w:p>
            <w:pPr>
              <w:spacing w:before="81"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4"/>
                <w:sz w:val="17"/>
                <w:szCs w:val="17"/>
              </w:rPr>
              <w:t>.8</w:t>
            </w:r>
          </w:p>
        </w:tc>
        <w:tc>
          <w:tcPr>
            <w:tcW w:w="694" w:type="dxa"/>
            <w:vAlign w:val="top"/>
          </w:tcPr>
          <w:p>
            <w:pPr>
              <w:spacing w:before="81"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47" w:line="197" w:lineRule="auto"/>
              <w:ind w:left="15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0</w:t>
            </w:r>
            <w:r>
              <w:rPr>
                <w:rFonts w:ascii="Times New Roman" w:hAnsi="Times New Roman" w:eastAsia="Times New Roman" w:cs="Times New Roman"/>
                <w:sz w:val="17"/>
                <w:szCs w:val="17"/>
              </w:rPr>
              <w:t>F</w:t>
            </w:r>
          </w:p>
        </w:tc>
        <w:tc>
          <w:tcPr>
            <w:tcW w:w="675" w:type="dxa"/>
            <w:vMerge w:val="restart"/>
            <w:tcBorders>
              <w:bottom w:val="nil"/>
            </w:tcBorders>
            <w:vAlign w:val="top"/>
          </w:tcPr>
          <w:p>
            <w:pPr>
              <w:spacing w:before="247" w:line="197" w:lineRule="auto"/>
              <w:ind w:left="18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8.2</w:t>
            </w:r>
          </w:p>
        </w:tc>
        <w:tc>
          <w:tcPr>
            <w:tcW w:w="577" w:type="dxa"/>
            <w:vMerge w:val="restart"/>
            <w:tcBorders>
              <w:bottom w:val="nil"/>
            </w:tcBorders>
            <w:vAlign w:val="top"/>
          </w:tcPr>
          <w:p>
            <w:pPr>
              <w:spacing w:before="216"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2" w:line="230"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3"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39"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3"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1"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w:t>
            </w:r>
            <w:r>
              <w:rPr>
                <w:rFonts w:ascii="Times New Roman" w:hAnsi="Times New Roman" w:eastAsia="Times New Roman" w:cs="Times New Roman"/>
                <w:spacing w:val="-2"/>
                <w:sz w:val="17"/>
                <w:szCs w:val="17"/>
              </w:rPr>
              <w:t>8. 1</w:t>
            </w:r>
          </w:p>
        </w:tc>
        <w:tc>
          <w:tcPr>
            <w:tcW w:w="689" w:type="dxa"/>
            <w:vAlign w:val="top"/>
          </w:tcPr>
          <w:p>
            <w:pPr>
              <w:spacing w:before="81"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w:t>
            </w:r>
            <w:r>
              <w:rPr>
                <w:rFonts w:ascii="Times New Roman" w:hAnsi="Times New Roman" w:eastAsia="Times New Roman" w:cs="Times New Roman"/>
                <w:spacing w:val="2"/>
                <w:sz w:val="17"/>
                <w:szCs w:val="17"/>
              </w:rPr>
              <w:t>3</w:t>
            </w:r>
          </w:p>
        </w:tc>
        <w:tc>
          <w:tcPr>
            <w:tcW w:w="689" w:type="dxa"/>
            <w:vAlign w:val="top"/>
          </w:tcPr>
          <w:p>
            <w:pPr>
              <w:spacing w:before="81"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.3</w:t>
            </w:r>
          </w:p>
        </w:tc>
        <w:tc>
          <w:tcPr>
            <w:tcW w:w="690" w:type="dxa"/>
            <w:vAlign w:val="top"/>
          </w:tcPr>
          <w:p>
            <w:pPr>
              <w:spacing w:before="81"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1"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9.5</w:t>
            </w:r>
          </w:p>
        </w:tc>
        <w:tc>
          <w:tcPr>
            <w:tcW w:w="689" w:type="dxa"/>
            <w:vAlign w:val="top"/>
          </w:tcPr>
          <w:p>
            <w:pPr>
              <w:spacing w:before="81"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9.5</w:t>
            </w:r>
          </w:p>
        </w:tc>
        <w:tc>
          <w:tcPr>
            <w:tcW w:w="688" w:type="dxa"/>
            <w:vAlign w:val="top"/>
          </w:tcPr>
          <w:p>
            <w:pPr>
              <w:spacing w:before="81"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0.5</w:t>
            </w:r>
          </w:p>
        </w:tc>
        <w:tc>
          <w:tcPr>
            <w:tcW w:w="690" w:type="dxa"/>
            <w:vAlign w:val="top"/>
          </w:tcPr>
          <w:p>
            <w:pPr>
              <w:spacing w:before="81"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1"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9.9</w:t>
            </w:r>
          </w:p>
        </w:tc>
        <w:tc>
          <w:tcPr>
            <w:tcW w:w="689" w:type="dxa"/>
            <w:vAlign w:val="top"/>
          </w:tcPr>
          <w:p>
            <w:pPr>
              <w:spacing w:before="81"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9.5</w:t>
            </w:r>
          </w:p>
        </w:tc>
        <w:tc>
          <w:tcPr>
            <w:tcW w:w="689" w:type="dxa"/>
            <w:vAlign w:val="top"/>
          </w:tcPr>
          <w:p>
            <w:pPr>
              <w:spacing w:before="81"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4" w:type="dxa"/>
            <w:vAlign w:val="top"/>
          </w:tcPr>
          <w:p>
            <w:pPr>
              <w:spacing w:before="81"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3" w:line="230"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2"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38"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2"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3</w:t>
            </w:r>
            <w:r>
              <w:rPr>
                <w:rFonts w:ascii="Times New Roman" w:hAnsi="Times New Roman" w:eastAsia="Times New Roman" w:cs="Times New Roman"/>
                <w:spacing w:val="3"/>
                <w:sz w:val="17"/>
                <w:szCs w:val="17"/>
              </w:rPr>
              <w:t>9.5</w:t>
            </w:r>
          </w:p>
        </w:tc>
        <w:tc>
          <w:tcPr>
            <w:tcW w:w="689" w:type="dxa"/>
            <w:vAlign w:val="top"/>
          </w:tcPr>
          <w:p>
            <w:pPr>
              <w:spacing w:before="82"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9.5</w:t>
            </w:r>
          </w:p>
        </w:tc>
        <w:tc>
          <w:tcPr>
            <w:tcW w:w="689" w:type="dxa"/>
            <w:vAlign w:val="top"/>
          </w:tcPr>
          <w:p>
            <w:pPr>
              <w:spacing w:before="83"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0.9</w:t>
            </w:r>
          </w:p>
        </w:tc>
        <w:tc>
          <w:tcPr>
            <w:tcW w:w="689" w:type="dxa"/>
            <w:vAlign w:val="top"/>
          </w:tcPr>
          <w:p>
            <w:pPr>
              <w:spacing w:before="82"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9.6</w:t>
            </w:r>
          </w:p>
        </w:tc>
        <w:tc>
          <w:tcPr>
            <w:tcW w:w="688" w:type="dxa"/>
            <w:vAlign w:val="top"/>
          </w:tcPr>
          <w:p>
            <w:pPr>
              <w:spacing w:before="83"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2"/>
                <w:sz w:val="17"/>
                <w:szCs w:val="17"/>
              </w:rPr>
              <w:t>.6</w:t>
            </w:r>
          </w:p>
        </w:tc>
        <w:tc>
          <w:tcPr>
            <w:tcW w:w="690" w:type="dxa"/>
            <w:vAlign w:val="top"/>
          </w:tcPr>
          <w:p>
            <w:pPr>
              <w:spacing w:before="82"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200"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1.2</w:t>
            </w:r>
          </w:p>
        </w:tc>
        <w:tc>
          <w:tcPr>
            <w:tcW w:w="689" w:type="dxa"/>
            <w:vAlign w:val="top"/>
          </w:tcPr>
          <w:p>
            <w:pPr>
              <w:spacing w:before="82"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49.7</w:t>
            </w:r>
          </w:p>
        </w:tc>
        <w:tc>
          <w:tcPr>
            <w:tcW w:w="689" w:type="dxa"/>
            <w:vAlign w:val="top"/>
          </w:tcPr>
          <w:p>
            <w:pPr>
              <w:spacing w:before="83"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0.7</w:t>
            </w:r>
          </w:p>
        </w:tc>
        <w:tc>
          <w:tcPr>
            <w:tcW w:w="694" w:type="dxa"/>
            <w:vAlign w:val="top"/>
          </w:tcPr>
          <w:p>
            <w:pPr>
              <w:spacing w:before="82"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48" w:line="197" w:lineRule="auto"/>
              <w:ind w:left="15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5</w:t>
            </w:r>
            <w:r>
              <w:rPr>
                <w:rFonts w:ascii="Times New Roman" w:hAnsi="Times New Roman" w:eastAsia="Times New Roman" w:cs="Times New Roman"/>
                <w:sz w:val="17"/>
                <w:szCs w:val="17"/>
              </w:rPr>
              <w:t>F</w:t>
            </w:r>
          </w:p>
        </w:tc>
        <w:tc>
          <w:tcPr>
            <w:tcW w:w="675" w:type="dxa"/>
            <w:vMerge w:val="restart"/>
            <w:tcBorders>
              <w:bottom w:val="nil"/>
            </w:tcBorders>
            <w:vAlign w:val="top"/>
          </w:tcPr>
          <w:p>
            <w:pPr>
              <w:spacing w:before="248" w:line="197" w:lineRule="auto"/>
              <w:ind w:left="1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73.</w:t>
            </w:r>
            <w:r>
              <w:rPr>
                <w:rFonts w:ascii="Times New Roman" w:hAnsi="Times New Roman" w:eastAsia="Times New Roman" w:cs="Times New Roman"/>
                <w:spacing w:val="2"/>
                <w:sz w:val="17"/>
                <w:szCs w:val="17"/>
              </w:rPr>
              <w:t>2</w:t>
            </w:r>
          </w:p>
        </w:tc>
        <w:tc>
          <w:tcPr>
            <w:tcW w:w="577" w:type="dxa"/>
            <w:vMerge w:val="restart"/>
            <w:tcBorders>
              <w:bottom w:val="nil"/>
            </w:tcBorders>
            <w:vAlign w:val="top"/>
          </w:tcPr>
          <w:p>
            <w:pPr>
              <w:spacing w:before="217"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4" w:line="229"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39"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3"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7.6</w:t>
            </w:r>
          </w:p>
        </w:tc>
        <w:tc>
          <w:tcPr>
            <w:tcW w:w="689" w:type="dxa"/>
            <w:vAlign w:val="top"/>
          </w:tcPr>
          <w:p>
            <w:pPr>
              <w:spacing w:before="83"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w:t>
            </w:r>
            <w:r>
              <w:rPr>
                <w:rFonts w:ascii="Times New Roman" w:hAnsi="Times New Roman" w:eastAsia="Times New Roman" w:cs="Times New Roman"/>
                <w:spacing w:val="2"/>
                <w:sz w:val="17"/>
                <w:szCs w:val="17"/>
              </w:rPr>
              <w:t>3</w:t>
            </w:r>
          </w:p>
        </w:tc>
        <w:tc>
          <w:tcPr>
            <w:tcW w:w="689" w:type="dxa"/>
            <w:vAlign w:val="top"/>
          </w:tcPr>
          <w:p>
            <w:pPr>
              <w:spacing w:before="83"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.3</w:t>
            </w:r>
          </w:p>
        </w:tc>
        <w:tc>
          <w:tcPr>
            <w:tcW w:w="690" w:type="dxa"/>
            <w:vAlign w:val="top"/>
          </w:tcPr>
          <w:p>
            <w:pPr>
              <w:spacing w:before="83"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8.9</w:t>
            </w:r>
          </w:p>
        </w:tc>
        <w:tc>
          <w:tcPr>
            <w:tcW w:w="689" w:type="dxa"/>
            <w:vAlign w:val="top"/>
          </w:tcPr>
          <w:p>
            <w:pPr>
              <w:spacing w:before="83"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9.4</w:t>
            </w:r>
          </w:p>
        </w:tc>
        <w:tc>
          <w:tcPr>
            <w:tcW w:w="688" w:type="dxa"/>
            <w:vAlign w:val="top"/>
          </w:tcPr>
          <w:p>
            <w:pPr>
              <w:spacing w:before="83"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w:t>
            </w:r>
            <w:r>
              <w:rPr>
                <w:rFonts w:ascii="Times New Roman" w:hAnsi="Times New Roman" w:eastAsia="Times New Roman" w:cs="Times New Roman"/>
                <w:spacing w:val="1"/>
                <w:sz w:val="17"/>
                <w:szCs w:val="17"/>
              </w:rPr>
              <w:t>4</w:t>
            </w:r>
          </w:p>
        </w:tc>
        <w:tc>
          <w:tcPr>
            <w:tcW w:w="690" w:type="dxa"/>
            <w:vAlign w:val="top"/>
          </w:tcPr>
          <w:p>
            <w:pPr>
              <w:spacing w:before="83"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9.3</w:t>
            </w:r>
          </w:p>
        </w:tc>
        <w:tc>
          <w:tcPr>
            <w:tcW w:w="689" w:type="dxa"/>
            <w:vAlign w:val="top"/>
          </w:tcPr>
          <w:p>
            <w:pPr>
              <w:spacing w:before="83"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9.5</w:t>
            </w:r>
          </w:p>
        </w:tc>
        <w:tc>
          <w:tcPr>
            <w:tcW w:w="689" w:type="dxa"/>
            <w:vAlign w:val="top"/>
          </w:tcPr>
          <w:p>
            <w:pPr>
              <w:spacing w:before="83"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4" w:type="dxa"/>
            <w:vAlign w:val="top"/>
          </w:tcPr>
          <w:p>
            <w:pPr>
              <w:spacing w:before="83"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tcBorders>
            <w:vAlign w:val="top"/>
          </w:tcPr>
          <w:p>
            <w:pPr>
              <w:rPr>
                <w:rFonts w:ascii="Arial"/>
                <w:sz w:val="21"/>
              </w:rPr>
            </w:pPr>
          </w:p>
        </w:tc>
        <w:tc>
          <w:tcPr>
            <w:tcW w:w="600" w:type="dxa"/>
            <w:vMerge w:val="continue"/>
            <w:tcBorders>
              <w:top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4" w:line="229"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2"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39"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3"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39.0</w:t>
            </w:r>
          </w:p>
        </w:tc>
        <w:tc>
          <w:tcPr>
            <w:tcW w:w="689" w:type="dxa"/>
            <w:vAlign w:val="top"/>
          </w:tcPr>
          <w:p>
            <w:pPr>
              <w:spacing w:before="83"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9.4</w:t>
            </w:r>
          </w:p>
        </w:tc>
        <w:tc>
          <w:tcPr>
            <w:tcW w:w="689" w:type="dxa"/>
            <w:vAlign w:val="top"/>
          </w:tcPr>
          <w:p>
            <w:pPr>
              <w:spacing w:before="84"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.4</w:t>
            </w:r>
          </w:p>
        </w:tc>
        <w:tc>
          <w:tcPr>
            <w:tcW w:w="690" w:type="dxa"/>
            <w:vAlign w:val="top"/>
          </w:tcPr>
          <w:p>
            <w:pPr>
              <w:spacing w:before="83"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0.3</w:t>
            </w:r>
          </w:p>
        </w:tc>
        <w:tc>
          <w:tcPr>
            <w:tcW w:w="689" w:type="dxa"/>
            <w:vAlign w:val="top"/>
          </w:tcPr>
          <w:p>
            <w:pPr>
              <w:spacing w:before="83"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9.6</w:t>
            </w:r>
          </w:p>
        </w:tc>
        <w:tc>
          <w:tcPr>
            <w:tcW w:w="688" w:type="dxa"/>
            <w:vAlign w:val="top"/>
          </w:tcPr>
          <w:p>
            <w:pPr>
              <w:spacing w:before="84"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2"/>
                <w:sz w:val="17"/>
                <w:szCs w:val="17"/>
              </w:rPr>
              <w:t>.6</w:t>
            </w:r>
          </w:p>
        </w:tc>
        <w:tc>
          <w:tcPr>
            <w:tcW w:w="690" w:type="dxa"/>
            <w:vAlign w:val="top"/>
          </w:tcPr>
          <w:p>
            <w:pPr>
              <w:spacing w:before="83"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40.7</w:t>
            </w:r>
          </w:p>
        </w:tc>
        <w:tc>
          <w:tcPr>
            <w:tcW w:w="689" w:type="dxa"/>
            <w:vAlign w:val="top"/>
          </w:tcPr>
          <w:p>
            <w:pPr>
              <w:spacing w:before="83"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9.6</w:t>
            </w:r>
          </w:p>
        </w:tc>
        <w:tc>
          <w:tcPr>
            <w:tcW w:w="689" w:type="dxa"/>
            <w:vAlign w:val="top"/>
          </w:tcPr>
          <w:p>
            <w:pPr>
              <w:spacing w:before="84"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.6</w:t>
            </w:r>
          </w:p>
        </w:tc>
        <w:tc>
          <w:tcPr>
            <w:tcW w:w="694" w:type="dxa"/>
            <w:vAlign w:val="top"/>
          </w:tcPr>
          <w:p>
            <w:pPr>
              <w:spacing w:before="83"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49"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600"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55" w:line="232" w:lineRule="auto"/>
              <w:ind w:left="45"/>
              <w:rPr>
                <w:rFonts w:ascii="黑体" w:hAnsi="黑体" w:eastAsia="黑体" w:cs="黑体"/>
                <w:sz w:val="17"/>
                <w:szCs w:val="17"/>
              </w:rPr>
            </w:pPr>
            <w:r>
              <w:rPr>
                <w:rFonts w:ascii="Times New Roman" w:hAnsi="Times New Roman" w:eastAsia="Times New Roman" w:cs="Times New Roman"/>
                <w:spacing w:val="19"/>
                <w:sz w:val="17"/>
                <w:szCs w:val="17"/>
              </w:rPr>
              <w:t>“</w:t>
            </w:r>
            <w:r>
              <w:rPr>
                <w:rFonts w:ascii="黑体" w:hAnsi="黑体" w:eastAsia="黑体" w:cs="黑体"/>
                <w:spacing w:val="17"/>
                <w:sz w:val="17"/>
                <w:szCs w:val="17"/>
              </w:rPr>
              <w:t>绿地</w:t>
            </w:r>
          </w:p>
          <w:p>
            <w:pPr>
              <w:spacing w:before="65" w:line="233" w:lineRule="auto"/>
              <w:ind w:left="31"/>
              <w:rPr>
                <w:rFonts w:ascii="黑体" w:hAnsi="黑体" w:eastAsia="黑体" w:cs="黑体"/>
                <w:sz w:val="17"/>
                <w:szCs w:val="17"/>
              </w:rPr>
            </w:pPr>
            <w:r>
              <w:rPr>
                <w:rFonts w:ascii="黑体" w:hAnsi="黑体" w:eastAsia="黑体" w:cs="黑体"/>
                <w:spacing w:val="8"/>
                <w:sz w:val="17"/>
                <w:szCs w:val="17"/>
              </w:rPr>
              <w:t>外滩名</w:t>
            </w:r>
          </w:p>
          <w:p>
            <w:pPr>
              <w:spacing w:before="65" w:line="234" w:lineRule="auto"/>
              <w:ind w:left="28"/>
              <w:rPr>
                <w:rFonts w:ascii="黑体" w:hAnsi="黑体" w:eastAsia="黑体" w:cs="黑体"/>
                <w:sz w:val="17"/>
                <w:szCs w:val="17"/>
              </w:rPr>
            </w:pPr>
            <w:r>
              <w:rPr>
                <w:rFonts w:ascii="黑体" w:hAnsi="黑体" w:eastAsia="黑体" w:cs="黑体"/>
                <w:spacing w:val="2"/>
                <w:sz w:val="17"/>
                <w:szCs w:val="17"/>
              </w:rPr>
              <w:t>门</w:t>
            </w:r>
            <w:r>
              <w:rPr>
                <w:rFonts w:ascii="Times New Roman" w:hAnsi="Times New Roman" w:eastAsia="Times New Roman" w:cs="Times New Roman"/>
                <w:spacing w:val="2"/>
                <w:sz w:val="17"/>
                <w:szCs w:val="17"/>
              </w:rPr>
              <w:t xml:space="preserve">”7 </w:t>
            </w:r>
            <w:r>
              <w:rPr>
                <w:rFonts w:ascii="黑体" w:hAnsi="黑体" w:eastAsia="黑体" w:cs="黑体"/>
                <w:spacing w:val="1"/>
                <w:sz w:val="17"/>
                <w:szCs w:val="17"/>
              </w:rPr>
              <w:t>号</w:t>
            </w:r>
          </w:p>
          <w:p>
            <w:pPr>
              <w:spacing w:before="64" w:line="233" w:lineRule="auto"/>
              <w:ind w:left="212"/>
              <w:rPr>
                <w:rFonts w:ascii="黑体" w:hAnsi="黑体" w:eastAsia="黑体" w:cs="黑体"/>
                <w:sz w:val="17"/>
                <w:szCs w:val="17"/>
              </w:rPr>
            </w:pPr>
            <w:r>
              <w:rPr>
                <w:rFonts w:ascii="黑体" w:hAnsi="黑体" w:eastAsia="黑体" w:cs="黑体"/>
                <w:spacing w:val="3"/>
                <w:sz w:val="17"/>
                <w:szCs w:val="17"/>
              </w:rPr>
              <w:t>楼</w:t>
            </w:r>
          </w:p>
        </w:tc>
        <w:tc>
          <w:tcPr>
            <w:tcW w:w="598" w:type="dxa"/>
            <w:vMerge w:val="restart"/>
            <w:tcBorders>
              <w:bottom w:val="nil"/>
            </w:tcBorders>
            <w:vAlign w:val="top"/>
          </w:tcPr>
          <w:p>
            <w:pPr>
              <w:spacing w:before="247" w:line="197" w:lineRule="auto"/>
              <w:ind w:left="220"/>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1</w:t>
            </w:r>
            <w:r>
              <w:rPr>
                <w:rFonts w:ascii="Times New Roman" w:hAnsi="Times New Roman" w:eastAsia="Times New Roman" w:cs="Times New Roman"/>
                <w:spacing w:val="-4"/>
                <w:sz w:val="17"/>
                <w:szCs w:val="17"/>
              </w:rPr>
              <w:t>F</w:t>
            </w:r>
          </w:p>
        </w:tc>
        <w:tc>
          <w:tcPr>
            <w:tcW w:w="675" w:type="dxa"/>
            <w:vMerge w:val="restart"/>
            <w:tcBorders>
              <w:bottom w:val="nil"/>
            </w:tcBorders>
            <w:vAlign w:val="top"/>
          </w:tcPr>
          <w:p>
            <w:pPr>
              <w:spacing w:before="247" w:line="200" w:lineRule="auto"/>
              <w:ind w:left="24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w:t>
            </w:r>
          </w:p>
        </w:tc>
        <w:tc>
          <w:tcPr>
            <w:tcW w:w="577" w:type="dxa"/>
            <w:vMerge w:val="restart"/>
            <w:tcBorders>
              <w:bottom w:val="nil"/>
            </w:tcBorders>
            <w:vAlign w:val="top"/>
          </w:tcPr>
          <w:p>
            <w:pPr>
              <w:spacing w:before="218" w:line="232" w:lineRule="auto"/>
              <w:ind w:left="90"/>
              <w:rPr>
                <w:rFonts w:ascii="黑体" w:hAnsi="黑体" w:eastAsia="黑体" w:cs="黑体"/>
                <w:sz w:val="17"/>
                <w:szCs w:val="17"/>
              </w:rPr>
            </w:pPr>
            <w:r>
              <w:rPr>
                <w:rFonts w:ascii="Times New Roman" w:hAnsi="Times New Roman" w:eastAsia="Times New Roman" w:cs="Times New Roman"/>
                <w:spacing w:val="7"/>
                <w:sz w:val="17"/>
                <w:szCs w:val="17"/>
              </w:rPr>
              <w:t>4</w:t>
            </w:r>
            <w:r>
              <w:rPr>
                <w:rFonts w:ascii="Times New Roman" w:hAnsi="Times New Roman" w:eastAsia="Times New Roman" w:cs="Times New Roman"/>
                <w:sz w:val="17"/>
                <w:szCs w:val="17"/>
              </w:rPr>
              <w:t>a</w:t>
            </w:r>
            <w:r>
              <w:rPr>
                <w:rFonts w:ascii="Times New Roman" w:hAnsi="Times New Roman" w:eastAsia="Times New Roman" w:cs="Times New Roman"/>
                <w:spacing w:val="7"/>
                <w:sz w:val="17"/>
                <w:szCs w:val="17"/>
              </w:rPr>
              <w:t xml:space="preserve"> </w:t>
            </w:r>
            <w:r>
              <w:rPr>
                <w:rFonts w:ascii="黑体" w:hAnsi="黑体" w:eastAsia="黑体" w:cs="黑体"/>
                <w:spacing w:val="7"/>
                <w:sz w:val="17"/>
                <w:szCs w:val="17"/>
              </w:rPr>
              <w:t>类</w:t>
            </w:r>
          </w:p>
        </w:tc>
        <w:tc>
          <w:tcPr>
            <w:tcW w:w="664" w:type="dxa"/>
            <w:vAlign w:val="top"/>
          </w:tcPr>
          <w:p>
            <w:pPr>
              <w:spacing w:before="72" w:line="231"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3" w:line="197" w:lineRule="auto"/>
              <w:ind w:left="24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70</w:t>
            </w:r>
          </w:p>
        </w:tc>
        <w:tc>
          <w:tcPr>
            <w:tcW w:w="688" w:type="dxa"/>
            <w:vAlign w:val="top"/>
          </w:tcPr>
          <w:p>
            <w:pPr>
              <w:spacing w:before="39" w:line="243"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3"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4"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2.5</w:t>
            </w:r>
          </w:p>
        </w:tc>
        <w:tc>
          <w:tcPr>
            <w:tcW w:w="689" w:type="dxa"/>
            <w:vAlign w:val="top"/>
          </w:tcPr>
          <w:p>
            <w:pPr>
              <w:spacing w:before="84"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w:t>
            </w:r>
            <w:r>
              <w:rPr>
                <w:rFonts w:ascii="Times New Roman" w:hAnsi="Times New Roman" w:eastAsia="Times New Roman" w:cs="Times New Roman"/>
                <w:spacing w:val="2"/>
                <w:sz w:val="17"/>
                <w:szCs w:val="17"/>
              </w:rPr>
              <w:t>9</w:t>
            </w:r>
          </w:p>
        </w:tc>
        <w:tc>
          <w:tcPr>
            <w:tcW w:w="689" w:type="dxa"/>
            <w:vAlign w:val="top"/>
          </w:tcPr>
          <w:p>
            <w:pPr>
              <w:spacing w:before="84"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.9</w:t>
            </w:r>
          </w:p>
        </w:tc>
        <w:tc>
          <w:tcPr>
            <w:tcW w:w="690" w:type="dxa"/>
            <w:vAlign w:val="top"/>
          </w:tcPr>
          <w:p>
            <w:pPr>
              <w:spacing w:before="84"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53.</w:t>
            </w:r>
            <w:r>
              <w:rPr>
                <w:rFonts w:ascii="Times New Roman" w:hAnsi="Times New Roman" w:eastAsia="Times New Roman" w:cs="Times New Roman"/>
                <w:spacing w:val="2"/>
                <w:sz w:val="17"/>
                <w:szCs w:val="17"/>
              </w:rPr>
              <w:t>9</w:t>
            </w:r>
          </w:p>
        </w:tc>
        <w:tc>
          <w:tcPr>
            <w:tcW w:w="689" w:type="dxa"/>
            <w:vAlign w:val="top"/>
          </w:tcPr>
          <w:p>
            <w:pPr>
              <w:spacing w:before="84"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6</w:t>
            </w:r>
            <w:r>
              <w:rPr>
                <w:rFonts w:ascii="Times New Roman" w:hAnsi="Times New Roman" w:eastAsia="Times New Roman" w:cs="Times New Roman"/>
                <w:spacing w:val="2"/>
                <w:sz w:val="17"/>
                <w:szCs w:val="17"/>
              </w:rPr>
              <w:t>0.2</w:t>
            </w:r>
          </w:p>
        </w:tc>
        <w:tc>
          <w:tcPr>
            <w:tcW w:w="688" w:type="dxa"/>
            <w:vAlign w:val="top"/>
          </w:tcPr>
          <w:p>
            <w:pPr>
              <w:spacing w:before="84"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w:t>
            </w:r>
            <w:r>
              <w:rPr>
                <w:rFonts w:ascii="Times New Roman" w:hAnsi="Times New Roman" w:eastAsia="Times New Roman" w:cs="Times New Roman"/>
                <w:spacing w:val="-3"/>
                <w:sz w:val="17"/>
                <w:szCs w:val="17"/>
              </w:rPr>
              <w:t>.2</w:t>
            </w:r>
          </w:p>
        </w:tc>
        <w:tc>
          <w:tcPr>
            <w:tcW w:w="690" w:type="dxa"/>
            <w:vAlign w:val="top"/>
          </w:tcPr>
          <w:p>
            <w:pPr>
              <w:spacing w:before="84"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54.</w:t>
            </w:r>
            <w:r>
              <w:rPr>
                <w:rFonts w:ascii="Times New Roman" w:hAnsi="Times New Roman" w:eastAsia="Times New Roman" w:cs="Times New Roman"/>
                <w:spacing w:val="2"/>
                <w:sz w:val="17"/>
                <w:szCs w:val="17"/>
              </w:rPr>
              <w:t>3</w:t>
            </w:r>
          </w:p>
        </w:tc>
        <w:tc>
          <w:tcPr>
            <w:tcW w:w="689" w:type="dxa"/>
            <w:vAlign w:val="top"/>
          </w:tcPr>
          <w:p>
            <w:pPr>
              <w:spacing w:before="84"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60.3</w:t>
            </w:r>
          </w:p>
        </w:tc>
        <w:tc>
          <w:tcPr>
            <w:tcW w:w="689" w:type="dxa"/>
            <w:vAlign w:val="top"/>
          </w:tcPr>
          <w:p>
            <w:pPr>
              <w:spacing w:before="84"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3</w:t>
            </w:r>
          </w:p>
        </w:tc>
        <w:tc>
          <w:tcPr>
            <w:tcW w:w="694" w:type="dxa"/>
            <w:vAlign w:val="top"/>
          </w:tcPr>
          <w:p>
            <w:pPr>
              <w:spacing w:before="84"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3" w:line="230"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6" w:line="194"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55</w:t>
            </w:r>
          </w:p>
        </w:tc>
        <w:tc>
          <w:tcPr>
            <w:tcW w:w="688" w:type="dxa"/>
            <w:vAlign w:val="top"/>
          </w:tcPr>
          <w:p>
            <w:pPr>
              <w:spacing w:before="40"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3"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2" w:line="200"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44.0</w:t>
            </w:r>
          </w:p>
        </w:tc>
        <w:tc>
          <w:tcPr>
            <w:tcW w:w="689"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0.2</w:t>
            </w:r>
          </w:p>
        </w:tc>
        <w:tc>
          <w:tcPr>
            <w:tcW w:w="689" w:type="dxa"/>
            <w:vAlign w:val="top"/>
          </w:tcPr>
          <w:p>
            <w:pPr>
              <w:spacing w:before="82" w:line="200" w:lineRule="auto"/>
              <w:ind w:left="24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5.3</w:t>
            </w:r>
          </w:p>
        </w:tc>
        <w:tc>
          <w:tcPr>
            <w:tcW w:w="689" w:type="dxa"/>
            <w:vAlign w:val="top"/>
          </w:tcPr>
          <w:p>
            <w:pPr>
              <w:spacing w:before="82"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50.6</w:t>
            </w:r>
          </w:p>
        </w:tc>
        <w:tc>
          <w:tcPr>
            <w:tcW w:w="688" w:type="dxa"/>
            <w:vAlign w:val="top"/>
          </w:tcPr>
          <w:p>
            <w:pPr>
              <w:spacing w:before="82"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w:t>
            </w:r>
          </w:p>
        </w:tc>
        <w:tc>
          <w:tcPr>
            <w:tcW w:w="690" w:type="dxa"/>
            <w:vAlign w:val="top"/>
          </w:tcPr>
          <w:p>
            <w:pPr>
              <w:spacing w:before="82"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45.7</w:t>
            </w:r>
          </w:p>
        </w:tc>
        <w:tc>
          <w:tcPr>
            <w:tcW w:w="689" w:type="dxa"/>
            <w:vAlign w:val="top"/>
          </w:tcPr>
          <w:p>
            <w:pPr>
              <w:spacing w:before="82"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.7</w:t>
            </w:r>
          </w:p>
        </w:tc>
        <w:tc>
          <w:tcPr>
            <w:tcW w:w="689" w:type="dxa"/>
            <w:vAlign w:val="top"/>
          </w:tcPr>
          <w:p>
            <w:pPr>
              <w:spacing w:before="82"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1.7</w:t>
            </w:r>
          </w:p>
        </w:tc>
        <w:tc>
          <w:tcPr>
            <w:tcW w:w="694" w:type="dxa"/>
            <w:vAlign w:val="top"/>
          </w:tcPr>
          <w:p>
            <w:pPr>
              <w:spacing w:before="82"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48" w:line="197" w:lineRule="auto"/>
              <w:ind w:left="202"/>
              <w:rPr>
                <w:rFonts w:ascii="Times New Roman" w:hAnsi="Times New Roman" w:eastAsia="Times New Roman" w:cs="Times New Roman"/>
                <w:sz w:val="17"/>
                <w:szCs w:val="17"/>
              </w:rPr>
            </w:pPr>
            <w:r>
              <w:rPr>
                <w:rFonts w:ascii="Times New Roman" w:hAnsi="Times New Roman" w:eastAsia="Times New Roman" w:cs="Times New Roman"/>
                <w:spacing w:val="8"/>
                <w:sz w:val="17"/>
                <w:szCs w:val="17"/>
              </w:rPr>
              <w:t>4</w:t>
            </w:r>
            <w:r>
              <w:rPr>
                <w:rFonts w:ascii="Times New Roman" w:hAnsi="Times New Roman" w:eastAsia="Times New Roman" w:cs="Times New Roman"/>
                <w:sz w:val="17"/>
                <w:szCs w:val="17"/>
              </w:rPr>
              <w:t>F</w:t>
            </w:r>
          </w:p>
        </w:tc>
        <w:tc>
          <w:tcPr>
            <w:tcW w:w="675" w:type="dxa"/>
            <w:vMerge w:val="restart"/>
            <w:tcBorders>
              <w:bottom w:val="nil"/>
            </w:tcBorders>
            <w:vAlign w:val="top"/>
          </w:tcPr>
          <w:p>
            <w:pPr>
              <w:spacing w:before="248"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10.</w:t>
            </w:r>
            <w:r>
              <w:rPr>
                <w:rFonts w:ascii="Times New Roman" w:hAnsi="Times New Roman" w:eastAsia="Times New Roman" w:cs="Times New Roman"/>
                <w:sz w:val="17"/>
                <w:szCs w:val="17"/>
              </w:rPr>
              <w:t>2</w:t>
            </w:r>
          </w:p>
        </w:tc>
        <w:tc>
          <w:tcPr>
            <w:tcW w:w="577" w:type="dxa"/>
            <w:vMerge w:val="restart"/>
            <w:tcBorders>
              <w:bottom w:val="nil"/>
            </w:tcBorders>
            <w:vAlign w:val="top"/>
          </w:tcPr>
          <w:p>
            <w:pPr>
              <w:spacing w:before="217" w:line="232" w:lineRule="auto"/>
              <w:ind w:left="90"/>
              <w:rPr>
                <w:rFonts w:ascii="黑体" w:hAnsi="黑体" w:eastAsia="黑体" w:cs="黑体"/>
                <w:sz w:val="17"/>
                <w:szCs w:val="17"/>
              </w:rPr>
            </w:pPr>
            <w:r>
              <w:rPr>
                <w:rFonts w:ascii="Times New Roman" w:hAnsi="Times New Roman" w:eastAsia="Times New Roman" w:cs="Times New Roman"/>
                <w:spacing w:val="7"/>
                <w:sz w:val="17"/>
                <w:szCs w:val="17"/>
              </w:rPr>
              <w:t>4</w:t>
            </w:r>
            <w:r>
              <w:rPr>
                <w:rFonts w:ascii="Times New Roman" w:hAnsi="Times New Roman" w:eastAsia="Times New Roman" w:cs="Times New Roman"/>
                <w:sz w:val="17"/>
                <w:szCs w:val="17"/>
              </w:rPr>
              <w:t>a</w:t>
            </w:r>
            <w:r>
              <w:rPr>
                <w:rFonts w:ascii="Times New Roman" w:hAnsi="Times New Roman" w:eastAsia="Times New Roman" w:cs="Times New Roman"/>
                <w:spacing w:val="7"/>
                <w:sz w:val="17"/>
                <w:szCs w:val="17"/>
              </w:rPr>
              <w:t xml:space="preserve"> </w:t>
            </w:r>
            <w:r>
              <w:rPr>
                <w:rFonts w:ascii="黑体" w:hAnsi="黑体" w:eastAsia="黑体" w:cs="黑体"/>
                <w:spacing w:val="7"/>
                <w:sz w:val="17"/>
                <w:szCs w:val="17"/>
              </w:rPr>
              <w:t>类</w:t>
            </w:r>
          </w:p>
        </w:tc>
        <w:tc>
          <w:tcPr>
            <w:tcW w:w="664" w:type="dxa"/>
            <w:vAlign w:val="top"/>
          </w:tcPr>
          <w:p>
            <w:pPr>
              <w:spacing w:before="73" w:line="230"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4" w:line="197" w:lineRule="auto"/>
              <w:ind w:left="24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70</w:t>
            </w:r>
          </w:p>
        </w:tc>
        <w:tc>
          <w:tcPr>
            <w:tcW w:w="688" w:type="dxa"/>
            <w:vAlign w:val="top"/>
          </w:tcPr>
          <w:p>
            <w:pPr>
              <w:spacing w:before="40"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4"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2.5</w:t>
            </w:r>
          </w:p>
        </w:tc>
        <w:tc>
          <w:tcPr>
            <w:tcW w:w="689"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w:t>
            </w:r>
            <w:r>
              <w:rPr>
                <w:rFonts w:ascii="Times New Roman" w:hAnsi="Times New Roman" w:eastAsia="Times New Roman" w:cs="Times New Roman"/>
                <w:spacing w:val="2"/>
                <w:sz w:val="17"/>
                <w:szCs w:val="17"/>
              </w:rPr>
              <w:t>9</w:t>
            </w:r>
          </w:p>
        </w:tc>
        <w:tc>
          <w:tcPr>
            <w:tcW w:w="689" w:type="dxa"/>
            <w:vAlign w:val="top"/>
          </w:tcPr>
          <w:p>
            <w:pPr>
              <w:spacing w:before="82"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.9</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53.</w:t>
            </w:r>
            <w:r>
              <w:rPr>
                <w:rFonts w:ascii="Times New Roman" w:hAnsi="Times New Roman" w:eastAsia="Times New Roman" w:cs="Times New Roman"/>
                <w:spacing w:val="2"/>
                <w:sz w:val="17"/>
                <w:szCs w:val="17"/>
              </w:rPr>
              <w:t>9</w:t>
            </w:r>
          </w:p>
        </w:tc>
        <w:tc>
          <w:tcPr>
            <w:tcW w:w="689"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6</w:t>
            </w:r>
            <w:r>
              <w:rPr>
                <w:rFonts w:ascii="Times New Roman" w:hAnsi="Times New Roman" w:eastAsia="Times New Roman" w:cs="Times New Roman"/>
                <w:spacing w:val="2"/>
                <w:sz w:val="17"/>
                <w:szCs w:val="17"/>
              </w:rPr>
              <w:t>0.2</w:t>
            </w:r>
          </w:p>
        </w:tc>
        <w:tc>
          <w:tcPr>
            <w:tcW w:w="688" w:type="dxa"/>
            <w:vAlign w:val="top"/>
          </w:tcPr>
          <w:p>
            <w:pPr>
              <w:spacing w:before="82"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w:t>
            </w:r>
            <w:r>
              <w:rPr>
                <w:rFonts w:ascii="Times New Roman" w:hAnsi="Times New Roman" w:eastAsia="Times New Roman" w:cs="Times New Roman"/>
                <w:spacing w:val="-3"/>
                <w:sz w:val="17"/>
                <w:szCs w:val="17"/>
              </w:rPr>
              <w:t>.2</w:t>
            </w:r>
          </w:p>
        </w:tc>
        <w:tc>
          <w:tcPr>
            <w:tcW w:w="690" w:type="dxa"/>
            <w:vAlign w:val="top"/>
          </w:tcPr>
          <w:p>
            <w:pPr>
              <w:spacing w:before="82"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54.</w:t>
            </w:r>
            <w:r>
              <w:rPr>
                <w:rFonts w:ascii="Times New Roman" w:hAnsi="Times New Roman" w:eastAsia="Times New Roman" w:cs="Times New Roman"/>
                <w:spacing w:val="2"/>
                <w:sz w:val="17"/>
                <w:szCs w:val="17"/>
              </w:rPr>
              <w:t>3</w:t>
            </w:r>
          </w:p>
        </w:tc>
        <w:tc>
          <w:tcPr>
            <w:tcW w:w="689" w:type="dxa"/>
            <w:vAlign w:val="top"/>
          </w:tcPr>
          <w:p>
            <w:pPr>
              <w:spacing w:before="82"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60.3</w:t>
            </w:r>
          </w:p>
        </w:tc>
        <w:tc>
          <w:tcPr>
            <w:tcW w:w="689" w:type="dxa"/>
            <w:vAlign w:val="top"/>
          </w:tcPr>
          <w:p>
            <w:pPr>
              <w:spacing w:before="82"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3</w:t>
            </w:r>
          </w:p>
        </w:tc>
        <w:tc>
          <w:tcPr>
            <w:tcW w:w="694" w:type="dxa"/>
            <w:vAlign w:val="top"/>
          </w:tcPr>
          <w:p>
            <w:pPr>
              <w:spacing w:before="82"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3" w:line="230"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4" w:line="194"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55</w:t>
            </w:r>
          </w:p>
        </w:tc>
        <w:tc>
          <w:tcPr>
            <w:tcW w:w="688" w:type="dxa"/>
            <w:vAlign w:val="top"/>
          </w:tcPr>
          <w:p>
            <w:pPr>
              <w:spacing w:before="38"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2" w:line="200"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44.0</w:t>
            </w:r>
          </w:p>
        </w:tc>
        <w:tc>
          <w:tcPr>
            <w:tcW w:w="689" w:type="dxa"/>
            <w:vAlign w:val="top"/>
          </w:tcPr>
          <w:p>
            <w:pPr>
              <w:spacing w:before="83"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0.2</w:t>
            </w:r>
          </w:p>
        </w:tc>
        <w:tc>
          <w:tcPr>
            <w:tcW w:w="689" w:type="dxa"/>
            <w:vAlign w:val="top"/>
          </w:tcPr>
          <w:p>
            <w:pPr>
              <w:spacing w:before="82" w:line="200" w:lineRule="auto"/>
              <w:ind w:left="24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5.3</w:t>
            </w:r>
          </w:p>
        </w:tc>
        <w:tc>
          <w:tcPr>
            <w:tcW w:w="689" w:type="dxa"/>
            <w:vAlign w:val="top"/>
          </w:tcPr>
          <w:p>
            <w:pPr>
              <w:spacing w:before="83"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0.5</w:t>
            </w:r>
          </w:p>
        </w:tc>
        <w:tc>
          <w:tcPr>
            <w:tcW w:w="688" w:type="dxa"/>
            <w:vAlign w:val="top"/>
          </w:tcPr>
          <w:p>
            <w:pPr>
              <w:spacing w:before="82"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1.5</w:t>
            </w:r>
          </w:p>
        </w:tc>
        <w:tc>
          <w:tcPr>
            <w:tcW w:w="690" w:type="dxa"/>
            <w:vAlign w:val="top"/>
          </w:tcPr>
          <w:p>
            <w:pPr>
              <w:spacing w:before="82"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5.6</w:t>
            </w:r>
          </w:p>
        </w:tc>
        <w:tc>
          <w:tcPr>
            <w:tcW w:w="689" w:type="dxa"/>
            <w:vAlign w:val="top"/>
          </w:tcPr>
          <w:p>
            <w:pPr>
              <w:spacing w:before="83"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.7</w:t>
            </w:r>
          </w:p>
        </w:tc>
        <w:tc>
          <w:tcPr>
            <w:tcW w:w="689" w:type="dxa"/>
            <w:vAlign w:val="top"/>
          </w:tcPr>
          <w:p>
            <w:pPr>
              <w:spacing w:before="82"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1.7</w:t>
            </w:r>
          </w:p>
        </w:tc>
        <w:tc>
          <w:tcPr>
            <w:tcW w:w="694" w:type="dxa"/>
            <w:vAlign w:val="top"/>
          </w:tcPr>
          <w:p>
            <w:pPr>
              <w:spacing w:before="82"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51" w:line="194" w:lineRule="auto"/>
              <w:ind w:left="20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7</w:t>
            </w:r>
            <w:r>
              <w:rPr>
                <w:rFonts w:ascii="Times New Roman" w:hAnsi="Times New Roman" w:eastAsia="Times New Roman" w:cs="Times New Roman"/>
                <w:sz w:val="17"/>
                <w:szCs w:val="17"/>
              </w:rPr>
              <w:t>F</w:t>
            </w:r>
          </w:p>
        </w:tc>
        <w:tc>
          <w:tcPr>
            <w:tcW w:w="675" w:type="dxa"/>
            <w:vMerge w:val="restart"/>
            <w:tcBorders>
              <w:bottom w:val="nil"/>
            </w:tcBorders>
            <w:vAlign w:val="top"/>
          </w:tcPr>
          <w:p>
            <w:pPr>
              <w:spacing w:before="248"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19.</w:t>
            </w:r>
            <w:r>
              <w:rPr>
                <w:rFonts w:ascii="Times New Roman" w:hAnsi="Times New Roman" w:eastAsia="Times New Roman" w:cs="Times New Roman"/>
                <w:sz w:val="17"/>
                <w:szCs w:val="17"/>
              </w:rPr>
              <w:t>2</w:t>
            </w:r>
          </w:p>
        </w:tc>
        <w:tc>
          <w:tcPr>
            <w:tcW w:w="577" w:type="dxa"/>
            <w:vMerge w:val="restart"/>
            <w:tcBorders>
              <w:bottom w:val="nil"/>
            </w:tcBorders>
            <w:vAlign w:val="top"/>
          </w:tcPr>
          <w:p>
            <w:pPr>
              <w:spacing w:before="217" w:line="232" w:lineRule="auto"/>
              <w:ind w:left="90"/>
              <w:rPr>
                <w:rFonts w:ascii="黑体" w:hAnsi="黑体" w:eastAsia="黑体" w:cs="黑体"/>
                <w:sz w:val="17"/>
                <w:szCs w:val="17"/>
              </w:rPr>
            </w:pPr>
            <w:r>
              <w:rPr>
                <w:rFonts w:ascii="Times New Roman" w:hAnsi="Times New Roman" w:eastAsia="Times New Roman" w:cs="Times New Roman"/>
                <w:spacing w:val="7"/>
                <w:sz w:val="17"/>
                <w:szCs w:val="17"/>
              </w:rPr>
              <w:t>4</w:t>
            </w:r>
            <w:r>
              <w:rPr>
                <w:rFonts w:ascii="Times New Roman" w:hAnsi="Times New Roman" w:eastAsia="Times New Roman" w:cs="Times New Roman"/>
                <w:sz w:val="17"/>
                <w:szCs w:val="17"/>
              </w:rPr>
              <w:t>a</w:t>
            </w:r>
            <w:r>
              <w:rPr>
                <w:rFonts w:ascii="Times New Roman" w:hAnsi="Times New Roman" w:eastAsia="Times New Roman" w:cs="Times New Roman"/>
                <w:spacing w:val="7"/>
                <w:sz w:val="17"/>
                <w:szCs w:val="17"/>
              </w:rPr>
              <w:t xml:space="preserve"> </w:t>
            </w:r>
            <w:r>
              <w:rPr>
                <w:rFonts w:ascii="黑体" w:hAnsi="黑体" w:eastAsia="黑体" w:cs="黑体"/>
                <w:spacing w:val="7"/>
                <w:sz w:val="17"/>
                <w:szCs w:val="17"/>
              </w:rPr>
              <w:t>类</w:t>
            </w:r>
          </w:p>
        </w:tc>
        <w:tc>
          <w:tcPr>
            <w:tcW w:w="664" w:type="dxa"/>
            <w:vAlign w:val="top"/>
          </w:tcPr>
          <w:p>
            <w:pPr>
              <w:spacing w:before="74" w:line="228"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2" w:line="197" w:lineRule="auto"/>
              <w:ind w:left="24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70</w:t>
            </w:r>
          </w:p>
        </w:tc>
        <w:tc>
          <w:tcPr>
            <w:tcW w:w="688" w:type="dxa"/>
            <w:vAlign w:val="top"/>
          </w:tcPr>
          <w:p>
            <w:pPr>
              <w:spacing w:before="39"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3"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5</w:t>
            </w:r>
            <w:r>
              <w:rPr>
                <w:rFonts w:ascii="Times New Roman" w:hAnsi="Times New Roman" w:eastAsia="Times New Roman" w:cs="Times New Roman"/>
                <w:spacing w:val="-3"/>
                <w:sz w:val="17"/>
                <w:szCs w:val="17"/>
              </w:rPr>
              <w:t>2. 1</w:t>
            </w:r>
          </w:p>
        </w:tc>
        <w:tc>
          <w:tcPr>
            <w:tcW w:w="689" w:type="dxa"/>
            <w:vAlign w:val="top"/>
          </w:tcPr>
          <w:p>
            <w:pPr>
              <w:spacing w:before="83"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59.</w:t>
            </w:r>
            <w:r>
              <w:rPr>
                <w:rFonts w:ascii="Times New Roman" w:hAnsi="Times New Roman" w:eastAsia="Times New Roman" w:cs="Times New Roman"/>
                <w:spacing w:val="3"/>
                <w:sz w:val="17"/>
                <w:szCs w:val="17"/>
              </w:rPr>
              <w:t>8</w:t>
            </w:r>
          </w:p>
        </w:tc>
        <w:tc>
          <w:tcPr>
            <w:tcW w:w="689" w:type="dxa"/>
            <w:vAlign w:val="top"/>
          </w:tcPr>
          <w:p>
            <w:pPr>
              <w:spacing w:before="83"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4"/>
                <w:sz w:val="17"/>
                <w:szCs w:val="17"/>
              </w:rPr>
              <w:t>.8</w:t>
            </w:r>
          </w:p>
        </w:tc>
        <w:tc>
          <w:tcPr>
            <w:tcW w:w="690" w:type="dxa"/>
            <w:vAlign w:val="top"/>
          </w:tcPr>
          <w:p>
            <w:pPr>
              <w:spacing w:before="83"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3.5</w:t>
            </w:r>
          </w:p>
        </w:tc>
        <w:tc>
          <w:tcPr>
            <w:tcW w:w="689" w:type="dxa"/>
            <w:vAlign w:val="top"/>
          </w:tcPr>
          <w:p>
            <w:pPr>
              <w:spacing w:before="83"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6</w:t>
            </w:r>
            <w:r>
              <w:rPr>
                <w:rFonts w:ascii="Times New Roman" w:hAnsi="Times New Roman" w:eastAsia="Times New Roman" w:cs="Times New Roman"/>
                <w:spacing w:val="-3"/>
                <w:sz w:val="17"/>
                <w:szCs w:val="17"/>
              </w:rPr>
              <w:t>0. 1</w:t>
            </w:r>
          </w:p>
        </w:tc>
        <w:tc>
          <w:tcPr>
            <w:tcW w:w="688" w:type="dxa"/>
            <w:vAlign w:val="top"/>
          </w:tcPr>
          <w:p>
            <w:pPr>
              <w:spacing w:before="83"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1.1</w:t>
            </w:r>
          </w:p>
        </w:tc>
        <w:tc>
          <w:tcPr>
            <w:tcW w:w="690" w:type="dxa"/>
            <w:vAlign w:val="top"/>
          </w:tcPr>
          <w:p>
            <w:pPr>
              <w:spacing w:before="83"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53.</w:t>
            </w:r>
            <w:r>
              <w:rPr>
                <w:rFonts w:ascii="Times New Roman" w:hAnsi="Times New Roman" w:eastAsia="Times New Roman" w:cs="Times New Roman"/>
                <w:spacing w:val="2"/>
                <w:sz w:val="17"/>
                <w:szCs w:val="17"/>
              </w:rPr>
              <w:t>9</w:t>
            </w:r>
          </w:p>
        </w:tc>
        <w:tc>
          <w:tcPr>
            <w:tcW w:w="689" w:type="dxa"/>
            <w:vAlign w:val="top"/>
          </w:tcPr>
          <w:p>
            <w:pPr>
              <w:spacing w:before="83"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6</w:t>
            </w:r>
            <w:r>
              <w:rPr>
                <w:rFonts w:ascii="Times New Roman" w:hAnsi="Times New Roman" w:eastAsia="Times New Roman" w:cs="Times New Roman"/>
                <w:spacing w:val="2"/>
                <w:sz w:val="17"/>
                <w:szCs w:val="17"/>
              </w:rPr>
              <w:t>0.2</w:t>
            </w:r>
          </w:p>
        </w:tc>
        <w:tc>
          <w:tcPr>
            <w:tcW w:w="689" w:type="dxa"/>
            <w:vAlign w:val="top"/>
          </w:tcPr>
          <w:p>
            <w:pPr>
              <w:spacing w:before="83"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w:t>
            </w:r>
          </w:p>
        </w:tc>
        <w:tc>
          <w:tcPr>
            <w:tcW w:w="694" w:type="dxa"/>
            <w:vAlign w:val="top"/>
          </w:tcPr>
          <w:p>
            <w:pPr>
              <w:spacing w:before="83"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5" w:line="228"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6" w:line="194"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55</w:t>
            </w:r>
          </w:p>
        </w:tc>
        <w:tc>
          <w:tcPr>
            <w:tcW w:w="688" w:type="dxa"/>
            <w:vAlign w:val="top"/>
          </w:tcPr>
          <w:p>
            <w:pPr>
              <w:spacing w:before="40"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3"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5"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3.6</w:t>
            </w:r>
          </w:p>
        </w:tc>
        <w:tc>
          <w:tcPr>
            <w:tcW w:w="689" w:type="dxa"/>
            <w:vAlign w:val="top"/>
          </w:tcPr>
          <w:p>
            <w:pPr>
              <w:spacing w:before="85"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5</w:t>
            </w:r>
            <w:r>
              <w:rPr>
                <w:rFonts w:ascii="Times New Roman" w:hAnsi="Times New Roman" w:eastAsia="Times New Roman" w:cs="Times New Roman"/>
                <w:spacing w:val="-3"/>
                <w:sz w:val="17"/>
                <w:szCs w:val="17"/>
              </w:rPr>
              <w:t>0. 1</w:t>
            </w:r>
          </w:p>
        </w:tc>
        <w:tc>
          <w:tcPr>
            <w:tcW w:w="689" w:type="dxa"/>
            <w:vAlign w:val="top"/>
          </w:tcPr>
          <w:p>
            <w:pPr>
              <w:spacing w:before="84" w:line="200" w:lineRule="auto"/>
              <w:ind w:left="24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1.1</w:t>
            </w:r>
          </w:p>
        </w:tc>
        <w:tc>
          <w:tcPr>
            <w:tcW w:w="690" w:type="dxa"/>
            <w:vAlign w:val="top"/>
          </w:tcPr>
          <w:p>
            <w:pPr>
              <w:spacing w:before="84"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200"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4.9</w:t>
            </w:r>
          </w:p>
        </w:tc>
        <w:tc>
          <w:tcPr>
            <w:tcW w:w="689" w:type="dxa"/>
            <w:vAlign w:val="top"/>
          </w:tcPr>
          <w:p>
            <w:pPr>
              <w:spacing w:before="85"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0.4</w:t>
            </w:r>
          </w:p>
        </w:tc>
        <w:tc>
          <w:tcPr>
            <w:tcW w:w="688" w:type="dxa"/>
            <w:vAlign w:val="top"/>
          </w:tcPr>
          <w:p>
            <w:pPr>
              <w:spacing w:before="84"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w:t>
            </w:r>
            <w:r>
              <w:rPr>
                <w:rFonts w:ascii="Times New Roman" w:hAnsi="Times New Roman" w:eastAsia="Times New Roman" w:cs="Times New Roman"/>
                <w:spacing w:val="-3"/>
                <w:sz w:val="17"/>
                <w:szCs w:val="17"/>
              </w:rPr>
              <w:t>.4</w:t>
            </w:r>
          </w:p>
        </w:tc>
        <w:tc>
          <w:tcPr>
            <w:tcW w:w="690" w:type="dxa"/>
            <w:vAlign w:val="top"/>
          </w:tcPr>
          <w:p>
            <w:pPr>
              <w:spacing w:before="84"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5"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5.2</w:t>
            </w:r>
          </w:p>
        </w:tc>
        <w:tc>
          <w:tcPr>
            <w:tcW w:w="689" w:type="dxa"/>
            <w:vAlign w:val="top"/>
          </w:tcPr>
          <w:p>
            <w:pPr>
              <w:spacing w:before="85"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0.5</w:t>
            </w:r>
          </w:p>
        </w:tc>
        <w:tc>
          <w:tcPr>
            <w:tcW w:w="689" w:type="dxa"/>
            <w:vAlign w:val="top"/>
          </w:tcPr>
          <w:p>
            <w:pPr>
              <w:spacing w:before="84"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.5</w:t>
            </w:r>
          </w:p>
        </w:tc>
        <w:tc>
          <w:tcPr>
            <w:tcW w:w="694" w:type="dxa"/>
            <w:vAlign w:val="top"/>
          </w:tcPr>
          <w:p>
            <w:pPr>
              <w:spacing w:before="84"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48" w:line="197" w:lineRule="auto"/>
              <w:ind w:left="17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10F</w:t>
            </w:r>
          </w:p>
        </w:tc>
        <w:tc>
          <w:tcPr>
            <w:tcW w:w="675" w:type="dxa"/>
            <w:vMerge w:val="restart"/>
            <w:tcBorders>
              <w:bottom w:val="nil"/>
            </w:tcBorders>
            <w:vAlign w:val="top"/>
          </w:tcPr>
          <w:p>
            <w:pPr>
              <w:spacing w:before="248" w:line="197" w:lineRule="auto"/>
              <w:ind w:left="17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8.2</w:t>
            </w:r>
          </w:p>
        </w:tc>
        <w:tc>
          <w:tcPr>
            <w:tcW w:w="577" w:type="dxa"/>
            <w:vMerge w:val="restart"/>
            <w:tcBorders>
              <w:bottom w:val="nil"/>
            </w:tcBorders>
            <w:vAlign w:val="top"/>
          </w:tcPr>
          <w:p>
            <w:pPr>
              <w:spacing w:before="219" w:line="232" w:lineRule="auto"/>
              <w:ind w:left="90"/>
              <w:rPr>
                <w:rFonts w:ascii="黑体" w:hAnsi="黑体" w:eastAsia="黑体" w:cs="黑体"/>
                <w:sz w:val="17"/>
                <w:szCs w:val="17"/>
              </w:rPr>
            </w:pPr>
            <w:r>
              <w:rPr>
                <w:rFonts w:ascii="Times New Roman" w:hAnsi="Times New Roman" w:eastAsia="Times New Roman" w:cs="Times New Roman"/>
                <w:spacing w:val="7"/>
                <w:sz w:val="17"/>
                <w:szCs w:val="17"/>
              </w:rPr>
              <w:t>4</w:t>
            </w:r>
            <w:r>
              <w:rPr>
                <w:rFonts w:ascii="Times New Roman" w:hAnsi="Times New Roman" w:eastAsia="Times New Roman" w:cs="Times New Roman"/>
                <w:sz w:val="17"/>
                <w:szCs w:val="17"/>
              </w:rPr>
              <w:t>a</w:t>
            </w:r>
            <w:r>
              <w:rPr>
                <w:rFonts w:ascii="Times New Roman" w:hAnsi="Times New Roman" w:eastAsia="Times New Roman" w:cs="Times New Roman"/>
                <w:spacing w:val="7"/>
                <w:sz w:val="17"/>
                <w:szCs w:val="17"/>
              </w:rPr>
              <w:t xml:space="preserve"> </w:t>
            </w:r>
            <w:r>
              <w:rPr>
                <w:rFonts w:ascii="黑体" w:hAnsi="黑体" w:eastAsia="黑体" w:cs="黑体"/>
                <w:spacing w:val="7"/>
                <w:sz w:val="17"/>
                <w:szCs w:val="17"/>
              </w:rPr>
              <w:t>类</w:t>
            </w:r>
          </w:p>
        </w:tc>
        <w:tc>
          <w:tcPr>
            <w:tcW w:w="664" w:type="dxa"/>
            <w:vAlign w:val="top"/>
          </w:tcPr>
          <w:p>
            <w:pPr>
              <w:spacing w:before="73" w:line="229"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4" w:line="197" w:lineRule="auto"/>
              <w:ind w:left="24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70</w:t>
            </w:r>
          </w:p>
        </w:tc>
        <w:tc>
          <w:tcPr>
            <w:tcW w:w="688" w:type="dxa"/>
            <w:vAlign w:val="top"/>
          </w:tcPr>
          <w:p>
            <w:pPr>
              <w:spacing w:before="40" w:line="243"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4"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5"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51.6</w:t>
            </w:r>
          </w:p>
        </w:tc>
        <w:tc>
          <w:tcPr>
            <w:tcW w:w="689" w:type="dxa"/>
            <w:vAlign w:val="top"/>
          </w:tcPr>
          <w:p>
            <w:pPr>
              <w:spacing w:before="85"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w:t>
            </w:r>
            <w:r>
              <w:rPr>
                <w:rFonts w:ascii="Times New Roman" w:hAnsi="Times New Roman" w:eastAsia="Times New Roman" w:cs="Times New Roman"/>
                <w:spacing w:val="2"/>
                <w:sz w:val="17"/>
                <w:szCs w:val="17"/>
              </w:rPr>
              <w:t>.7</w:t>
            </w:r>
          </w:p>
        </w:tc>
        <w:tc>
          <w:tcPr>
            <w:tcW w:w="689" w:type="dxa"/>
            <w:vAlign w:val="top"/>
          </w:tcPr>
          <w:p>
            <w:pPr>
              <w:spacing w:before="85"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0.7</w:t>
            </w:r>
          </w:p>
        </w:tc>
        <w:tc>
          <w:tcPr>
            <w:tcW w:w="690" w:type="dxa"/>
            <w:vAlign w:val="top"/>
          </w:tcPr>
          <w:p>
            <w:pPr>
              <w:spacing w:before="85"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5"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52.</w:t>
            </w:r>
            <w:r>
              <w:rPr>
                <w:rFonts w:ascii="Times New Roman" w:hAnsi="Times New Roman" w:eastAsia="Times New Roman" w:cs="Times New Roman"/>
                <w:spacing w:val="2"/>
                <w:sz w:val="17"/>
                <w:szCs w:val="17"/>
              </w:rPr>
              <w:t>9</w:t>
            </w:r>
          </w:p>
        </w:tc>
        <w:tc>
          <w:tcPr>
            <w:tcW w:w="689" w:type="dxa"/>
            <w:vAlign w:val="top"/>
          </w:tcPr>
          <w:p>
            <w:pPr>
              <w:spacing w:before="85"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60.</w:t>
            </w:r>
            <w:r>
              <w:rPr>
                <w:rFonts w:ascii="Times New Roman" w:hAnsi="Times New Roman" w:eastAsia="Times New Roman" w:cs="Times New Roman"/>
                <w:spacing w:val="2"/>
                <w:sz w:val="17"/>
                <w:szCs w:val="17"/>
              </w:rPr>
              <w:t>0</w:t>
            </w:r>
          </w:p>
        </w:tc>
        <w:tc>
          <w:tcPr>
            <w:tcW w:w="688" w:type="dxa"/>
            <w:vAlign w:val="top"/>
          </w:tcPr>
          <w:p>
            <w:pPr>
              <w:spacing w:before="85"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w:t>
            </w:r>
            <w:r>
              <w:rPr>
                <w:rFonts w:ascii="Times New Roman" w:hAnsi="Times New Roman" w:eastAsia="Times New Roman" w:cs="Times New Roman"/>
                <w:spacing w:val="-3"/>
                <w:sz w:val="17"/>
                <w:szCs w:val="17"/>
              </w:rPr>
              <w:t>.0</w:t>
            </w:r>
          </w:p>
        </w:tc>
        <w:tc>
          <w:tcPr>
            <w:tcW w:w="690" w:type="dxa"/>
            <w:vAlign w:val="top"/>
          </w:tcPr>
          <w:p>
            <w:pPr>
              <w:spacing w:before="85"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5"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53.</w:t>
            </w:r>
            <w:r>
              <w:rPr>
                <w:rFonts w:ascii="Times New Roman" w:hAnsi="Times New Roman" w:eastAsia="Times New Roman" w:cs="Times New Roman"/>
                <w:spacing w:val="2"/>
                <w:sz w:val="17"/>
                <w:szCs w:val="17"/>
              </w:rPr>
              <w:t>3</w:t>
            </w:r>
          </w:p>
        </w:tc>
        <w:tc>
          <w:tcPr>
            <w:tcW w:w="689" w:type="dxa"/>
            <w:vAlign w:val="top"/>
          </w:tcPr>
          <w:p>
            <w:pPr>
              <w:spacing w:before="85"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60.</w:t>
            </w:r>
            <w:r>
              <w:rPr>
                <w:rFonts w:ascii="Times New Roman" w:hAnsi="Times New Roman" w:eastAsia="Times New Roman" w:cs="Times New Roman"/>
                <w:spacing w:val="2"/>
                <w:sz w:val="17"/>
                <w:szCs w:val="17"/>
              </w:rPr>
              <w:t>0</w:t>
            </w:r>
          </w:p>
        </w:tc>
        <w:tc>
          <w:tcPr>
            <w:tcW w:w="689" w:type="dxa"/>
            <w:vAlign w:val="top"/>
          </w:tcPr>
          <w:p>
            <w:pPr>
              <w:spacing w:before="85"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1.0</w:t>
            </w:r>
          </w:p>
        </w:tc>
        <w:tc>
          <w:tcPr>
            <w:tcW w:w="694" w:type="dxa"/>
            <w:vAlign w:val="top"/>
          </w:tcPr>
          <w:p>
            <w:pPr>
              <w:spacing w:before="85"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5" w:line="228"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8" w:line="194"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55</w:t>
            </w:r>
          </w:p>
        </w:tc>
        <w:tc>
          <w:tcPr>
            <w:tcW w:w="688" w:type="dxa"/>
            <w:vAlign w:val="top"/>
          </w:tcPr>
          <w:p>
            <w:pPr>
              <w:spacing w:before="42"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5"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4"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43.0</w:t>
            </w:r>
          </w:p>
        </w:tc>
        <w:tc>
          <w:tcPr>
            <w:tcW w:w="689" w:type="dxa"/>
            <w:vAlign w:val="top"/>
          </w:tcPr>
          <w:p>
            <w:pPr>
              <w:spacing w:before="84"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2"/>
                <w:sz w:val="17"/>
                <w:szCs w:val="17"/>
              </w:rPr>
              <w:t>0.0</w:t>
            </w:r>
          </w:p>
        </w:tc>
        <w:tc>
          <w:tcPr>
            <w:tcW w:w="689" w:type="dxa"/>
            <w:vAlign w:val="top"/>
          </w:tcPr>
          <w:p>
            <w:pPr>
              <w:spacing w:before="84" w:line="200" w:lineRule="auto"/>
              <w:ind w:left="24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1.0</w:t>
            </w:r>
          </w:p>
        </w:tc>
        <w:tc>
          <w:tcPr>
            <w:tcW w:w="690" w:type="dxa"/>
            <w:vAlign w:val="top"/>
          </w:tcPr>
          <w:p>
            <w:pPr>
              <w:spacing w:before="84"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200"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4.3</w:t>
            </w:r>
          </w:p>
        </w:tc>
        <w:tc>
          <w:tcPr>
            <w:tcW w:w="689" w:type="dxa"/>
            <w:vAlign w:val="top"/>
          </w:tcPr>
          <w:p>
            <w:pPr>
              <w:spacing w:before="84"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50.</w:t>
            </w:r>
            <w:r>
              <w:rPr>
                <w:rFonts w:ascii="Times New Roman" w:hAnsi="Times New Roman" w:eastAsia="Times New Roman" w:cs="Times New Roman"/>
                <w:spacing w:val="2"/>
                <w:sz w:val="17"/>
                <w:szCs w:val="17"/>
              </w:rPr>
              <w:t>3</w:t>
            </w:r>
          </w:p>
        </w:tc>
        <w:tc>
          <w:tcPr>
            <w:tcW w:w="688" w:type="dxa"/>
            <w:vAlign w:val="top"/>
          </w:tcPr>
          <w:p>
            <w:pPr>
              <w:spacing w:before="84"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w:t>
            </w:r>
            <w:r>
              <w:rPr>
                <w:rFonts w:ascii="Times New Roman" w:hAnsi="Times New Roman" w:eastAsia="Times New Roman" w:cs="Times New Roman"/>
                <w:spacing w:val="-3"/>
                <w:sz w:val="17"/>
                <w:szCs w:val="17"/>
              </w:rPr>
              <w:t>.3</w:t>
            </w:r>
          </w:p>
        </w:tc>
        <w:tc>
          <w:tcPr>
            <w:tcW w:w="690" w:type="dxa"/>
            <w:vAlign w:val="top"/>
          </w:tcPr>
          <w:p>
            <w:pPr>
              <w:spacing w:before="84"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200"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44.7</w:t>
            </w:r>
          </w:p>
        </w:tc>
        <w:tc>
          <w:tcPr>
            <w:tcW w:w="689" w:type="dxa"/>
            <w:vAlign w:val="top"/>
          </w:tcPr>
          <w:p>
            <w:pPr>
              <w:spacing w:before="84"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0.4</w:t>
            </w:r>
          </w:p>
        </w:tc>
        <w:tc>
          <w:tcPr>
            <w:tcW w:w="689" w:type="dxa"/>
            <w:vAlign w:val="top"/>
          </w:tcPr>
          <w:p>
            <w:pPr>
              <w:spacing w:before="84"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w:t>
            </w:r>
          </w:p>
        </w:tc>
        <w:tc>
          <w:tcPr>
            <w:tcW w:w="694" w:type="dxa"/>
            <w:vAlign w:val="top"/>
          </w:tcPr>
          <w:p>
            <w:pPr>
              <w:spacing w:before="84"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50" w:line="197" w:lineRule="auto"/>
              <w:ind w:left="17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15F</w:t>
            </w:r>
          </w:p>
        </w:tc>
        <w:tc>
          <w:tcPr>
            <w:tcW w:w="675" w:type="dxa"/>
            <w:vMerge w:val="restart"/>
            <w:tcBorders>
              <w:bottom w:val="nil"/>
            </w:tcBorders>
            <w:vAlign w:val="top"/>
          </w:tcPr>
          <w:p>
            <w:pPr>
              <w:spacing w:before="250" w:line="197" w:lineRule="auto"/>
              <w:ind w:left="17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3.2</w:t>
            </w:r>
          </w:p>
        </w:tc>
        <w:tc>
          <w:tcPr>
            <w:tcW w:w="577" w:type="dxa"/>
            <w:vMerge w:val="restart"/>
            <w:tcBorders>
              <w:bottom w:val="nil"/>
            </w:tcBorders>
            <w:vAlign w:val="top"/>
          </w:tcPr>
          <w:p>
            <w:pPr>
              <w:spacing w:before="219" w:line="232" w:lineRule="auto"/>
              <w:ind w:left="90"/>
              <w:rPr>
                <w:rFonts w:ascii="黑体" w:hAnsi="黑体" w:eastAsia="黑体" w:cs="黑体"/>
                <w:sz w:val="17"/>
                <w:szCs w:val="17"/>
              </w:rPr>
            </w:pPr>
            <w:r>
              <w:rPr>
                <w:rFonts w:ascii="Times New Roman" w:hAnsi="Times New Roman" w:eastAsia="Times New Roman" w:cs="Times New Roman"/>
                <w:spacing w:val="7"/>
                <w:sz w:val="17"/>
                <w:szCs w:val="17"/>
              </w:rPr>
              <w:t>4</w:t>
            </w:r>
            <w:r>
              <w:rPr>
                <w:rFonts w:ascii="Times New Roman" w:hAnsi="Times New Roman" w:eastAsia="Times New Roman" w:cs="Times New Roman"/>
                <w:sz w:val="17"/>
                <w:szCs w:val="17"/>
              </w:rPr>
              <w:t>a</w:t>
            </w:r>
            <w:r>
              <w:rPr>
                <w:rFonts w:ascii="Times New Roman" w:hAnsi="Times New Roman" w:eastAsia="Times New Roman" w:cs="Times New Roman"/>
                <w:spacing w:val="7"/>
                <w:sz w:val="17"/>
                <w:szCs w:val="17"/>
              </w:rPr>
              <w:t xml:space="preserve"> </w:t>
            </w:r>
            <w:r>
              <w:rPr>
                <w:rFonts w:ascii="黑体" w:hAnsi="黑体" w:eastAsia="黑体" w:cs="黑体"/>
                <w:spacing w:val="7"/>
                <w:sz w:val="17"/>
                <w:szCs w:val="17"/>
              </w:rPr>
              <w:t>类</w:t>
            </w:r>
          </w:p>
        </w:tc>
        <w:tc>
          <w:tcPr>
            <w:tcW w:w="664" w:type="dxa"/>
            <w:vAlign w:val="top"/>
          </w:tcPr>
          <w:p>
            <w:pPr>
              <w:spacing w:before="75" w:line="228"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6" w:line="197" w:lineRule="auto"/>
              <w:ind w:left="24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70</w:t>
            </w:r>
          </w:p>
        </w:tc>
        <w:tc>
          <w:tcPr>
            <w:tcW w:w="688" w:type="dxa"/>
            <w:vAlign w:val="top"/>
          </w:tcPr>
          <w:p>
            <w:pPr>
              <w:spacing w:before="42"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6"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4"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0.5</w:t>
            </w:r>
          </w:p>
        </w:tc>
        <w:tc>
          <w:tcPr>
            <w:tcW w:w="689" w:type="dxa"/>
            <w:vAlign w:val="top"/>
          </w:tcPr>
          <w:p>
            <w:pPr>
              <w:spacing w:before="84"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59.6</w:t>
            </w:r>
          </w:p>
        </w:tc>
        <w:tc>
          <w:tcPr>
            <w:tcW w:w="689" w:type="dxa"/>
            <w:vAlign w:val="top"/>
          </w:tcPr>
          <w:p>
            <w:pPr>
              <w:spacing w:before="84"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.6</w:t>
            </w:r>
          </w:p>
        </w:tc>
        <w:tc>
          <w:tcPr>
            <w:tcW w:w="690" w:type="dxa"/>
            <w:vAlign w:val="top"/>
          </w:tcPr>
          <w:p>
            <w:pPr>
              <w:spacing w:before="84"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51.</w:t>
            </w:r>
            <w:r>
              <w:rPr>
                <w:rFonts w:ascii="Times New Roman" w:hAnsi="Times New Roman" w:eastAsia="Times New Roman" w:cs="Times New Roman"/>
                <w:spacing w:val="2"/>
                <w:sz w:val="17"/>
                <w:szCs w:val="17"/>
              </w:rPr>
              <w:t>9</w:t>
            </w:r>
          </w:p>
        </w:tc>
        <w:tc>
          <w:tcPr>
            <w:tcW w:w="689" w:type="dxa"/>
            <w:vAlign w:val="top"/>
          </w:tcPr>
          <w:p>
            <w:pPr>
              <w:spacing w:before="84"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59.</w:t>
            </w:r>
            <w:r>
              <w:rPr>
                <w:rFonts w:ascii="Times New Roman" w:hAnsi="Times New Roman" w:eastAsia="Times New Roman" w:cs="Times New Roman"/>
                <w:spacing w:val="3"/>
                <w:sz w:val="17"/>
                <w:szCs w:val="17"/>
              </w:rPr>
              <w:t>8</w:t>
            </w:r>
          </w:p>
        </w:tc>
        <w:tc>
          <w:tcPr>
            <w:tcW w:w="688" w:type="dxa"/>
            <w:vAlign w:val="top"/>
          </w:tcPr>
          <w:p>
            <w:pPr>
              <w:spacing w:before="84"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3"/>
                <w:sz w:val="17"/>
                <w:szCs w:val="17"/>
              </w:rPr>
              <w:t>.8</w:t>
            </w:r>
          </w:p>
        </w:tc>
        <w:tc>
          <w:tcPr>
            <w:tcW w:w="690" w:type="dxa"/>
            <w:vAlign w:val="top"/>
          </w:tcPr>
          <w:p>
            <w:pPr>
              <w:spacing w:before="84"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52.</w:t>
            </w:r>
            <w:r>
              <w:rPr>
                <w:rFonts w:ascii="Times New Roman" w:hAnsi="Times New Roman" w:eastAsia="Times New Roman" w:cs="Times New Roman"/>
                <w:spacing w:val="2"/>
                <w:sz w:val="17"/>
                <w:szCs w:val="17"/>
              </w:rPr>
              <w:t>3</w:t>
            </w:r>
          </w:p>
        </w:tc>
        <w:tc>
          <w:tcPr>
            <w:tcW w:w="689" w:type="dxa"/>
            <w:vAlign w:val="top"/>
          </w:tcPr>
          <w:p>
            <w:pPr>
              <w:spacing w:before="84"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59.</w:t>
            </w:r>
            <w:r>
              <w:rPr>
                <w:rFonts w:ascii="Times New Roman" w:hAnsi="Times New Roman" w:eastAsia="Times New Roman" w:cs="Times New Roman"/>
                <w:spacing w:val="3"/>
                <w:sz w:val="17"/>
                <w:szCs w:val="17"/>
              </w:rPr>
              <w:t>8</w:t>
            </w:r>
          </w:p>
        </w:tc>
        <w:tc>
          <w:tcPr>
            <w:tcW w:w="689" w:type="dxa"/>
            <w:vAlign w:val="top"/>
          </w:tcPr>
          <w:p>
            <w:pPr>
              <w:spacing w:before="84"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4"/>
                <w:sz w:val="17"/>
                <w:szCs w:val="17"/>
              </w:rPr>
              <w:t>.8</w:t>
            </w:r>
          </w:p>
        </w:tc>
        <w:tc>
          <w:tcPr>
            <w:tcW w:w="694" w:type="dxa"/>
            <w:vAlign w:val="top"/>
          </w:tcPr>
          <w:p>
            <w:pPr>
              <w:spacing w:before="84"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5" w:line="227"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6" w:line="194"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55</w:t>
            </w:r>
          </w:p>
        </w:tc>
        <w:tc>
          <w:tcPr>
            <w:tcW w:w="688" w:type="dxa"/>
            <w:vAlign w:val="top"/>
          </w:tcPr>
          <w:p>
            <w:pPr>
              <w:spacing w:before="40"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4"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4" w:line="200"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1.9</w:t>
            </w:r>
          </w:p>
        </w:tc>
        <w:tc>
          <w:tcPr>
            <w:tcW w:w="689" w:type="dxa"/>
            <w:vAlign w:val="top"/>
          </w:tcPr>
          <w:p>
            <w:pPr>
              <w:spacing w:before="84"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9.8</w:t>
            </w:r>
          </w:p>
        </w:tc>
        <w:tc>
          <w:tcPr>
            <w:tcW w:w="689" w:type="dxa"/>
            <w:vAlign w:val="top"/>
          </w:tcPr>
          <w:p>
            <w:pPr>
              <w:spacing w:before="85"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4"/>
                <w:sz w:val="17"/>
                <w:szCs w:val="17"/>
              </w:rPr>
              <w:t>.8</w:t>
            </w:r>
          </w:p>
        </w:tc>
        <w:tc>
          <w:tcPr>
            <w:tcW w:w="690" w:type="dxa"/>
            <w:vAlign w:val="top"/>
          </w:tcPr>
          <w:p>
            <w:pPr>
              <w:spacing w:before="84"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5"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3.3</w:t>
            </w:r>
          </w:p>
        </w:tc>
        <w:tc>
          <w:tcPr>
            <w:tcW w:w="689" w:type="dxa"/>
            <w:vAlign w:val="top"/>
          </w:tcPr>
          <w:p>
            <w:pPr>
              <w:spacing w:before="85"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2"/>
                <w:sz w:val="17"/>
                <w:szCs w:val="17"/>
              </w:rPr>
              <w:t>0.0</w:t>
            </w:r>
          </w:p>
        </w:tc>
        <w:tc>
          <w:tcPr>
            <w:tcW w:w="688" w:type="dxa"/>
            <w:vAlign w:val="top"/>
          </w:tcPr>
          <w:p>
            <w:pPr>
              <w:spacing w:before="84"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w:t>
            </w:r>
            <w:r>
              <w:rPr>
                <w:rFonts w:ascii="Times New Roman" w:hAnsi="Times New Roman" w:eastAsia="Times New Roman" w:cs="Times New Roman"/>
                <w:spacing w:val="-3"/>
                <w:sz w:val="17"/>
                <w:szCs w:val="17"/>
              </w:rPr>
              <w:t>.0</w:t>
            </w:r>
          </w:p>
        </w:tc>
        <w:tc>
          <w:tcPr>
            <w:tcW w:w="690" w:type="dxa"/>
            <w:vAlign w:val="top"/>
          </w:tcPr>
          <w:p>
            <w:pPr>
              <w:spacing w:before="84"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5"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3.6</w:t>
            </w:r>
          </w:p>
        </w:tc>
        <w:tc>
          <w:tcPr>
            <w:tcW w:w="689" w:type="dxa"/>
            <w:vAlign w:val="top"/>
          </w:tcPr>
          <w:p>
            <w:pPr>
              <w:spacing w:before="85"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5</w:t>
            </w:r>
            <w:r>
              <w:rPr>
                <w:rFonts w:ascii="Times New Roman" w:hAnsi="Times New Roman" w:eastAsia="Times New Roman" w:cs="Times New Roman"/>
                <w:spacing w:val="-3"/>
                <w:sz w:val="17"/>
                <w:szCs w:val="17"/>
              </w:rPr>
              <w:t>0. 1</w:t>
            </w:r>
          </w:p>
        </w:tc>
        <w:tc>
          <w:tcPr>
            <w:tcW w:w="689" w:type="dxa"/>
            <w:vAlign w:val="top"/>
          </w:tcPr>
          <w:p>
            <w:pPr>
              <w:spacing w:before="84"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1.1</w:t>
            </w:r>
          </w:p>
        </w:tc>
        <w:tc>
          <w:tcPr>
            <w:tcW w:w="694" w:type="dxa"/>
            <w:vAlign w:val="top"/>
          </w:tcPr>
          <w:p>
            <w:pPr>
              <w:spacing w:before="84"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559" w:type="dxa"/>
            <w:vMerge w:val="continue"/>
            <w:tcBorders>
              <w:top w:val="nil"/>
            </w:tcBorders>
            <w:vAlign w:val="top"/>
          </w:tcPr>
          <w:p>
            <w:pPr>
              <w:rPr>
                <w:rFonts w:ascii="Arial"/>
                <w:sz w:val="21"/>
              </w:rPr>
            </w:pPr>
          </w:p>
        </w:tc>
        <w:tc>
          <w:tcPr>
            <w:tcW w:w="600" w:type="dxa"/>
            <w:vMerge w:val="continue"/>
            <w:tcBorders>
              <w:top w:val="nil"/>
            </w:tcBorders>
            <w:vAlign w:val="top"/>
          </w:tcPr>
          <w:p>
            <w:pPr>
              <w:rPr>
                <w:rFonts w:ascii="Arial"/>
                <w:sz w:val="21"/>
              </w:rPr>
            </w:pPr>
          </w:p>
        </w:tc>
        <w:tc>
          <w:tcPr>
            <w:tcW w:w="598" w:type="dxa"/>
            <w:vAlign w:val="top"/>
          </w:tcPr>
          <w:p>
            <w:pPr>
              <w:spacing w:before="104" w:line="197" w:lineRule="auto"/>
              <w:ind w:left="15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0</w:t>
            </w:r>
            <w:r>
              <w:rPr>
                <w:rFonts w:ascii="Times New Roman" w:hAnsi="Times New Roman" w:eastAsia="Times New Roman" w:cs="Times New Roman"/>
                <w:sz w:val="17"/>
                <w:szCs w:val="17"/>
              </w:rPr>
              <w:t>F</w:t>
            </w:r>
          </w:p>
        </w:tc>
        <w:tc>
          <w:tcPr>
            <w:tcW w:w="675" w:type="dxa"/>
            <w:vAlign w:val="top"/>
          </w:tcPr>
          <w:p>
            <w:pPr>
              <w:spacing w:before="104" w:line="197" w:lineRule="auto"/>
              <w:ind w:left="18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8.2</w:t>
            </w:r>
          </w:p>
        </w:tc>
        <w:tc>
          <w:tcPr>
            <w:tcW w:w="577" w:type="dxa"/>
            <w:vAlign w:val="top"/>
          </w:tcPr>
          <w:p>
            <w:pPr>
              <w:spacing w:before="76" w:line="229" w:lineRule="auto"/>
              <w:ind w:left="90"/>
              <w:rPr>
                <w:rFonts w:ascii="黑体" w:hAnsi="黑体" w:eastAsia="黑体" w:cs="黑体"/>
                <w:sz w:val="17"/>
                <w:szCs w:val="17"/>
              </w:rPr>
            </w:pPr>
            <w:r>
              <w:rPr>
                <w:rFonts w:ascii="Times New Roman" w:hAnsi="Times New Roman" w:eastAsia="Times New Roman" w:cs="Times New Roman"/>
                <w:spacing w:val="7"/>
                <w:sz w:val="17"/>
                <w:szCs w:val="17"/>
              </w:rPr>
              <w:t>4</w:t>
            </w:r>
            <w:r>
              <w:rPr>
                <w:rFonts w:ascii="Times New Roman" w:hAnsi="Times New Roman" w:eastAsia="Times New Roman" w:cs="Times New Roman"/>
                <w:sz w:val="17"/>
                <w:szCs w:val="17"/>
              </w:rPr>
              <w:t>a</w:t>
            </w:r>
            <w:r>
              <w:rPr>
                <w:rFonts w:ascii="Times New Roman" w:hAnsi="Times New Roman" w:eastAsia="Times New Roman" w:cs="Times New Roman"/>
                <w:spacing w:val="7"/>
                <w:sz w:val="17"/>
                <w:szCs w:val="17"/>
              </w:rPr>
              <w:t xml:space="preserve"> </w:t>
            </w:r>
            <w:r>
              <w:rPr>
                <w:rFonts w:ascii="黑体" w:hAnsi="黑体" w:eastAsia="黑体" w:cs="黑体"/>
                <w:spacing w:val="7"/>
                <w:sz w:val="17"/>
                <w:szCs w:val="17"/>
              </w:rPr>
              <w:t>类</w:t>
            </w:r>
          </w:p>
        </w:tc>
        <w:tc>
          <w:tcPr>
            <w:tcW w:w="664" w:type="dxa"/>
            <w:vAlign w:val="top"/>
          </w:tcPr>
          <w:p>
            <w:pPr>
              <w:spacing w:before="76" w:line="229"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4" w:line="197" w:lineRule="auto"/>
              <w:ind w:left="24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70</w:t>
            </w:r>
          </w:p>
        </w:tc>
        <w:tc>
          <w:tcPr>
            <w:tcW w:w="688" w:type="dxa"/>
            <w:vAlign w:val="top"/>
          </w:tcPr>
          <w:p>
            <w:pPr>
              <w:spacing w:before="41"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4"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5"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9.5</w:t>
            </w:r>
          </w:p>
        </w:tc>
        <w:tc>
          <w:tcPr>
            <w:tcW w:w="689" w:type="dxa"/>
            <w:vAlign w:val="top"/>
          </w:tcPr>
          <w:p>
            <w:pPr>
              <w:spacing w:before="85"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9.5</w:t>
            </w:r>
          </w:p>
        </w:tc>
        <w:tc>
          <w:tcPr>
            <w:tcW w:w="689" w:type="dxa"/>
            <w:vAlign w:val="top"/>
          </w:tcPr>
          <w:p>
            <w:pPr>
              <w:spacing w:before="85"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0" w:type="dxa"/>
            <w:vAlign w:val="top"/>
          </w:tcPr>
          <w:p>
            <w:pPr>
              <w:spacing w:before="85"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5"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50.</w:t>
            </w:r>
            <w:r>
              <w:rPr>
                <w:rFonts w:ascii="Times New Roman" w:hAnsi="Times New Roman" w:eastAsia="Times New Roman" w:cs="Times New Roman"/>
                <w:spacing w:val="2"/>
                <w:sz w:val="17"/>
                <w:szCs w:val="17"/>
              </w:rPr>
              <w:t>9</w:t>
            </w:r>
          </w:p>
        </w:tc>
        <w:tc>
          <w:tcPr>
            <w:tcW w:w="689" w:type="dxa"/>
            <w:vAlign w:val="top"/>
          </w:tcPr>
          <w:p>
            <w:pPr>
              <w:spacing w:before="85"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59.6</w:t>
            </w:r>
          </w:p>
        </w:tc>
        <w:tc>
          <w:tcPr>
            <w:tcW w:w="688" w:type="dxa"/>
            <w:vAlign w:val="top"/>
          </w:tcPr>
          <w:p>
            <w:pPr>
              <w:spacing w:before="85"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2"/>
                <w:sz w:val="17"/>
                <w:szCs w:val="17"/>
              </w:rPr>
              <w:t>.6</w:t>
            </w:r>
          </w:p>
        </w:tc>
        <w:tc>
          <w:tcPr>
            <w:tcW w:w="690" w:type="dxa"/>
            <w:vAlign w:val="top"/>
          </w:tcPr>
          <w:p>
            <w:pPr>
              <w:spacing w:before="85"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5"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51.</w:t>
            </w:r>
            <w:r>
              <w:rPr>
                <w:rFonts w:ascii="Times New Roman" w:hAnsi="Times New Roman" w:eastAsia="Times New Roman" w:cs="Times New Roman"/>
                <w:spacing w:val="2"/>
                <w:sz w:val="17"/>
                <w:szCs w:val="17"/>
              </w:rPr>
              <w:t>3</w:t>
            </w:r>
          </w:p>
        </w:tc>
        <w:tc>
          <w:tcPr>
            <w:tcW w:w="689" w:type="dxa"/>
            <w:vAlign w:val="top"/>
          </w:tcPr>
          <w:p>
            <w:pPr>
              <w:spacing w:before="85"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w:t>
            </w:r>
            <w:r>
              <w:rPr>
                <w:rFonts w:ascii="Times New Roman" w:hAnsi="Times New Roman" w:eastAsia="Times New Roman" w:cs="Times New Roman"/>
                <w:spacing w:val="2"/>
                <w:sz w:val="17"/>
                <w:szCs w:val="17"/>
              </w:rPr>
              <w:t>.7</w:t>
            </w:r>
          </w:p>
        </w:tc>
        <w:tc>
          <w:tcPr>
            <w:tcW w:w="689" w:type="dxa"/>
            <w:vAlign w:val="top"/>
          </w:tcPr>
          <w:p>
            <w:pPr>
              <w:spacing w:before="85"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0.7</w:t>
            </w:r>
          </w:p>
        </w:tc>
        <w:tc>
          <w:tcPr>
            <w:tcW w:w="694" w:type="dxa"/>
            <w:vAlign w:val="top"/>
          </w:tcPr>
          <w:p>
            <w:pPr>
              <w:spacing w:before="85"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bl>
    <w:p>
      <w:pPr>
        <w:rPr>
          <w:rFonts w:ascii="Arial"/>
          <w:sz w:val="21"/>
        </w:rPr>
      </w:pPr>
    </w:p>
    <w:p>
      <w:pPr>
        <w:sectPr>
          <w:footerReference r:id="rId132" w:type="default"/>
          <w:pgSz w:w="16839" w:h="11906"/>
          <w:pgMar w:top="400" w:right="1436" w:bottom="1027" w:left="1435" w:header="0" w:footer="840" w:gutter="0"/>
          <w:cols w:space="720" w:num="1"/>
        </w:sectPr>
      </w:pPr>
    </w:p>
    <w:p/>
    <w:p/>
    <w:p/>
    <w:p/>
    <w:p>
      <w:pPr>
        <w:spacing w:line="165" w:lineRule="exact"/>
      </w:pPr>
    </w:p>
    <w:tbl>
      <w:tblPr>
        <w:tblStyle w:val="4"/>
        <w:tblW w:w="139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
        <w:gridCol w:w="600"/>
        <w:gridCol w:w="598"/>
        <w:gridCol w:w="675"/>
        <w:gridCol w:w="577"/>
        <w:gridCol w:w="664"/>
        <w:gridCol w:w="664"/>
        <w:gridCol w:w="688"/>
        <w:gridCol w:w="664"/>
        <w:gridCol w:w="689"/>
        <w:gridCol w:w="689"/>
        <w:gridCol w:w="689"/>
        <w:gridCol w:w="690"/>
        <w:gridCol w:w="688"/>
        <w:gridCol w:w="689"/>
        <w:gridCol w:w="688"/>
        <w:gridCol w:w="690"/>
        <w:gridCol w:w="688"/>
        <w:gridCol w:w="689"/>
        <w:gridCol w:w="689"/>
        <w:gridCol w:w="6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559" w:type="dxa"/>
            <w:vMerge w:val="restart"/>
            <w:tcBorders>
              <w:bottom w:val="nil"/>
            </w:tcBorders>
            <w:vAlign w:val="top"/>
          </w:tcPr>
          <w:p>
            <w:pPr>
              <w:spacing w:line="441" w:lineRule="auto"/>
              <w:rPr>
                <w:rFonts w:ascii="Arial"/>
                <w:sz w:val="21"/>
              </w:rPr>
            </w:pPr>
          </w:p>
          <w:p>
            <w:pPr>
              <w:spacing w:before="55" w:line="234" w:lineRule="auto"/>
              <w:ind w:left="102"/>
              <w:rPr>
                <w:rFonts w:ascii="黑体" w:hAnsi="黑体" w:eastAsia="黑体" w:cs="黑体"/>
                <w:sz w:val="17"/>
                <w:szCs w:val="17"/>
              </w:rPr>
            </w:pPr>
            <w:r>
              <w:rPr>
                <w:rFonts w:ascii="黑体" w:hAnsi="黑体" w:eastAsia="黑体" w:cs="黑体"/>
                <w:spacing w:val="6"/>
                <w:sz w:val="17"/>
                <w:szCs w:val="17"/>
                <w14:textOutline w14:w="3268" w14:cap="sq" w14:cmpd="sng">
                  <w14:solidFill>
                    <w14:srgbClr w14:val="000000"/>
                  </w14:solidFill>
                  <w14:prstDash w14:val="solid"/>
                  <w14:bevel/>
                </w14:textOutline>
              </w:rPr>
              <w:t>序号</w:t>
            </w:r>
          </w:p>
        </w:tc>
        <w:tc>
          <w:tcPr>
            <w:tcW w:w="1198" w:type="dxa"/>
            <w:gridSpan w:val="2"/>
            <w:vMerge w:val="restart"/>
            <w:tcBorders>
              <w:bottom w:val="nil"/>
            </w:tcBorders>
            <w:vAlign w:val="top"/>
          </w:tcPr>
          <w:p>
            <w:pPr>
              <w:spacing w:line="302" w:lineRule="auto"/>
              <w:rPr>
                <w:rFonts w:ascii="Arial"/>
                <w:sz w:val="21"/>
              </w:rPr>
            </w:pPr>
          </w:p>
          <w:p>
            <w:pPr>
              <w:spacing w:before="55" w:line="317" w:lineRule="auto"/>
              <w:ind w:left="326" w:right="57" w:hanging="267"/>
              <w:rPr>
                <w:rFonts w:ascii="黑体" w:hAnsi="黑体" w:eastAsia="黑体" w:cs="黑体"/>
                <w:sz w:val="17"/>
                <w:szCs w:val="17"/>
              </w:rPr>
            </w:pPr>
            <w:r>
              <w:rPr>
                <w:rFonts w:ascii="黑体" w:hAnsi="黑体" w:eastAsia="黑体" w:cs="黑体"/>
                <w:spacing w:val="10"/>
                <w:sz w:val="17"/>
                <w:szCs w:val="17"/>
                <w14:textOutline w14:w="3268" w14:cap="sq" w14:cmpd="sng">
                  <w14:solidFill>
                    <w14:srgbClr w14:val="000000"/>
                  </w14:solidFill>
                  <w14:prstDash w14:val="solid"/>
                  <w14:bevel/>
                </w14:textOutline>
              </w:rPr>
              <w:t>声</w:t>
            </w:r>
            <w:r>
              <w:rPr>
                <w:rFonts w:ascii="黑体" w:hAnsi="黑体" w:eastAsia="黑体" w:cs="黑体"/>
                <w:spacing w:val="9"/>
                <w:sz w:val="17"/>
                <w:szCs w:val="17"/>
                <w14:textOutline w14:w="3268" w14:cap="sq" w14:cmpd="sng">
                  <w14:solidFill>
                    <w14:srgbClr w14:val="000000"/>
                  </w14:solidFill>
                  <w14:prstDash w14:val="solid"/>
                  <w14:bevel/>
                </w14:textOutline>
              </w:rPr>
              <w:t>环境保护目</w:t>
            </w:r>
            <w:r>
              <w:rPr>
                <w:rFonts w:ascii="黑体" w:hAnsi="黑体" w:eastAsia="黑体" w:cs="黑体"/>
                <w:sz w:val="17"/>
                <w:szCs w:val="17"/>
              </w:rPr>
              <w:t xml:space="preserve"> </w:t>
            </w:r>
            <w:r>
              <w:rPr>
                <w:rFonts w:ascii="黑体" w:hAnsi="黑体" w:eastAsia="黑体" w:cs="黑体"/>
                <w:spacing w:val="10"/>
                <w:sz w:val="17"/>
                <w:szCs w:val="17"/>
                <w14:textOutline w14:w="3268" w14:cap="sq" w14:cmpd="sng">
                  <w14:solidFill>
                    <w14:srgbClr w14:val="000000"/>
                  </w14:solidFill>
                  <w14:prstDash w14:val="solid"/>
                  <w14:bevel/>
                </w14:textOutline>
              </w:rPr>
              <w:t>标</w:t>
            </w:r>
            <w:r>
              <w:rPr>
                <w:rFonts w:ascii="黑体" w:hAnsi="黑体" w:eastAsia="黑体" w:cs="黑体"/>
                <w:spacing w:val="9"/>
                <w:sz w:val="17"/>
                <w:szCs w:val="17"/>
                <w14:textOutline w14:w="3268" w14:cap="sq" w14:cmpd="sng">
                  <w14:solidFill>
                    <w14:srgbClr w14:val="000000"/>
                  </w14:solidFill>
                  <w14:prstDash w14:val="solid"/>
                  <w14:bevel/>
                </w14:textOutline>
              </w:rPr>
              <w:t>名称</w:t>
            </w:r>
          </w:p>
        </w:tc>
        <w:tc>
          <w:tcPr>
            <w:tcW w:w="675" w:type="dxa"/>
            <w:vMerge w:val="restart"/>
            <w:tcBorders>
              <w:bottom w:val="nil"/>
            </w:tcBorders>
            <w:vAlign w:val="top"/>
          </w:tcPr>
          <w:p>
            <w:pPr>
              <w:spacing w:before="221" w:line="317" w:lineRule="auto"/>
              <w:ind w:left="64" w:right="54" w:firstLine="7"/>
              <w:rPr>
                <w:rFonts w:ascii="Times New Roman" w:hAnsi="Times New Roman" w:eastAsia="Times New Roman" w:cs="Times New Roman"/>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预</w:t>
            </w:r>
            <w:r>
              <w:rPr>
                <w:rFonts w:ascii="黑体" w:hAnsi="黑体" w:eastAsia="黑体" w:cs="黑体"/>
                <w:spacing w:val="7"/>
                <w:sz w:val="17"/>
                <w:szCs w:val="17"/>
                <w14:textOutline w14:w="3268" w14:cap="sq" w14:cmpd="sng">
                  <w14:solidFill>
                    <w14:srgbClr w14:val="000000"/>
                  </w14:solidFill>
                  <w14:prstDash w14:val="solid"/>
                  <w14:bevel/>
                </w14:textOutline>
              </w:rPr>
              <w:t>测点</w:t>
            </w:r>
            <w:r>
              <w:rPr>
                <w:rFonts w:ascii="黑体" w:hAnsi="黑体" w:eastAsia="黑体" w:cs="黑体"/>
                <w:sz w:val="17"/>
                <w:szCs w:val="17"/>
              </w:rPr>
              <w:t xml:space="preserve"> </w:t>
            </w:r>
            <w:r>
              <w:rPr>
                <w:rFonts w:ascii="黑体" w:hAnsi="黑体" w:eastAsia="黑体" w:cs="黑体"/>
                <w:spacing w:val="10"/>
                <w:sz w:val="17"/>
                <w:szCs w:val="17"/>
                <w14:textOutline w14:w="3268" w14:cap="sq" w14:cmpd="sng">
                  <w14:solidFill>
                    <w14:srgbClr w14:val="000000"/>
                  </w14:solidFill>
                  <w14:prstDash w14:val="solid"/>
                  <w14:bevel/>
                </w14:textOutline>
              </w:rPr>
              <w:t>与声源</w:t>
            </w:r>
            <w:r>
              <w:rPr>
                <w:rFonts w:ascii="黑体" w:hAnsi="黑体" w:eastAsia="黑体" w:cs="黑体"/>
                <w:sz w:val="17"/>
                <w:szCs w:val="17"/>
              </w:rPr>
              <w:t xml:space="preserve"> </w:t>
            </w:r>
            <w:r>
              <w:rPr>
                <w:rFonts w:ascii="黑体" w:hAnsi="黑体" w:eastAsia="黑体" w:cs="黑体"/>
                <w:spacing w:val="8"/>
                <w:sz w:val="17"/>
                <w:szCs w:val="17"/>
                <w14:textOutline w14:w="3268" w14:cap="sq" w14:cmpd="sng">
                  <w14:solidFill>
                    <w14:srgbClr w14:val="000000"/>
                  </w14:solidFill>
                  <w14:prstDash w14:val="solid"/>
                  <w14:bevel/>
                </w14:textOutline>
              </w:rPr>
              <w:t>高</w:t>
            </w:r>
            <w:r>
              <w:rPr>
                <w:rFonts w:ascii="黑体" w:hAnsi="黑体" w:eastAsia="黑体" w:cs="黑体"/>
                <w:spacing w:val="7"/>
                <w:sz w:val="17"/>
                <w:szCs w:val="17"/>
                <w14:textOutline w14:w="3268" w14:cap="sq" w14:cmpd="sng">
                  <w14:solidFill>
                    <w14:srgbClr w14:val="000000"/>
                  </w14:solidFill>
                  <w14:prstDash w14:val="solid"/>
                  <w14:bevel/>
                </w14:textOutline>
              </w:rPr>
              <w:t>差</w:t>
            </w:r>
            <w:r>
              <w:rPr>
                <w:rFonts w:ascii="Times New Roman" w:hAnsi="Times New Roman" w:eastAsia="Times New Roman" w:cs="Times New Roman"/>
                <w:b/>
                <w:bCs/>
                <w:spacing w:val="7"/>
                <w:sz w:val="17"/>
                <w:szCs w:val="17"/>
              </w:rPr>
              <w:t>/</w:t>
            </w:r>
            <w:r>
              <w:rPr>
                <w:rFonts w:ascii="Times New Roman" w:hAnsi="Times New Roman" w:eastAsia="Times New Roman" w:cs="Times New Roman"/>
                <w:b/>
                <w:bCs/>
                <w:sz w:val="17"/>
                <w:szCs w:val="17"/>
              </w:rPr>
              <w:t>m</w:t>
            </w:r>
          </w:p>
        </w:tc>
        <w:tc>
          <w:tcPr>
            <w:tcW w:w="577" w:type="dxa"/>
            <w:vMerge w:val="restart"/>
            <w:tcBorders>
              <w:bottom w:val="nil"/>
            </w:tcBorders>
            <w:vAlign w:val="top"/>
          </w:tcPr>
          <w:p>
            <w:pPr>
              <w:spacing w:line="303" w:lineRule="auto"/>
              <w:rPr>
                <w:rFonts w:ascii="Arial"/>
                <w:sz w:val="21"/>
              </w:rPr>
            </w:pPr>
          </w:p>
          <w:p>
            <w:pPr>
              <w:spacing w:before="55" w:line="316" w:lineRule="auto"/>
              <w:ind w:left="117" w:right="16" w:hanging="96"/>
              <w:rPr>
                <w:rFonts w:ascii="黑体" w:hAnsi="黑体" w:eastAsia="黑体" w:cs="黑体"/>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功能</w:t>
            </w:r>
            <w:r>
              <w:rPr>
                <w:rFonts w:ascii="黑体" w:hAnsi="黑体" w:eastAsia="黑体" w:cs="黑体"/>
                <w:spacing w:val="7"/>
                <w:sz w:val="17"/>
                <w:szCs w:val="17"/>
                <w14:textOutline w14:w="3268" w14:cap="sq" w14:cmpd="sng">
                  <w14:solidFill>
                    <w14:srgbClr w14:val="000000"/>
                  </w14:solidFill>
                  <w14:prstDash w14:val="solid"/>
                  <w14:bevel/>
                </w14:textOutline>
              </w:rPr>
              <w:t>区</w:t>
            </w:r>
            <w:r>
              <w:rPr>
                <w:rFonts w:ascii="黑体" w:hAnsi="黑体" w:eastAsia="黑体" w:cs="黑体"/>
                <w:sz w:val="17"/>
                <w:szCs w:val="17"/>
              </w:rPr>
              <w:t xml:space="preserve"> </w:t>
            </w:r>
            <w:r>
              <w:rPr>
                <w:rFonts w:ascii="黑体" w:hAnsi="黑体" w:eastAsia="黑体" w:cs="黑体"/>
                <w:spacing w:val="3"/>
                <w:sz w:val="17"/>
                <w:szCs w:val="17"/>
                <w14:textOutline w14:w="3268" w14:cap="sq" w14:cmpd="sng">
                  <w14:solidFill>
                    <w14:srgbClr w14:val="000000"/>
                  </w14:solidFill>
                  <w14:prstDash w14:val="solid"/>
                  <w14:bevel/>
                </w14:textOutline>
              </w:rPr>
              <w:t>类别</w:t>
            </w:r>
          </w:p>
        </w:tc>
        <w:tc>
          <w:tcPr>
            <w:tcW w:w="664" w:type="dxa"/>
            <w:vMerge w:val="restart"/>
            <w:tcBorders>
              <w:bottom w:val="nil"/>
            </w:tcBorders>
            <w:vAlign w:val="top"/>
          </w:tcPr>
          <w:p>
            <w:pPr>
              <w:spacing w:line="441" w:lineRule="auto"/>
              <w:rPr>
                <w:rFonts w:ascii="Arial"/>
                <w:sz w:val="21"/>
              </w:rPr>
            </w:pPr>
          </w:p>
          <w:p>
            <w:pPr>
              <w:spacing w:before="55" w:line="233" w:lineRule="auto"/>
              <w:ind w:left="160"/>
              <w:rPr>
                <w:rFonts w:ascii="黑体" w:hAnsi="黑体" w:eastAsia="黑体" w:cs="黑体"/>
                <w:sz w:val="17"/>
                <w:szCs w:val="17"/>
              </w:rPr>
            </w:pPr>
            <w:r>
              <w:rPr>
                <w:rFonts w:ascii="黑体" w:hAnsi="黑体" w:eastAsia="黑体" w:cs="黑体"/>
                <w:spacing w:val="3"/>
                <w:sz w:val="17"/>
                <w:szCs w:val="17"/>
                <w14:textOutline w14:w="3268" w14:cap="sq" w14:cmpd="sng">
                  <w14:solidFill>
                    <w14:srgbClr w14:val="000000"/>
                  </w14:solidFill>
                  <w14:prstDash w14:val="solid"/>
                  <w14:bevel/>
                </w14:textOutline>
              </w:rPr>
              <w:t>时段</w:t>
            </w:r>
          </w:p>
        </w:tc>
        <w:tc>
          <w:tcPr>
            <w:tcW w:w="664" w:type="dxa"/>
            <w:vMerge w:val="restart"/>
            <w:tcBorders>
              <w:bottom w:val="nil"/>
            </w:tcBorders>
            <w:vAlign w:val="top"/>
          </w:tcPr>
          <w:p>
            <w:pPr>
              <w:spacing w:line="303" w:lineRule="auto"/>
              <w:rPr>
                <w:rFonts w:ascii="Arial"/>
                <w:sz w:val="21"/>
              </w:rPr>
            </w:pPr>
          </w:p>
          <w:p>
            <w:pPr>
              <w:spacing w:before="55" w:line="316" w:lineRule="auto"/>
              <w:ind w:left="67" w:right="60" w:hanging="8"/>
              <w:rPr>
                <w:rFonts w:ascii="Times New Roman" w:hAnsi="Times New Roman" w:eastAsia="Times New Roman" w:cs="Times New Roman"/>
                <w:sz w:val="17"/>
                <w:szCs w:val="17"/>
              </w:rPr>
            </w:pPr>
            <w:r>
              <w:rPr>
                <w:rFonts w:ascii="黑体" w:hAnsi="黑体" w:eastAsia="黑体" w:cs="黑体"/>
                <w:spacing w:val="10"/>
                <w:sz w:val="17"/>
                <w:szCs w:val="17"/>
                <w14:textOutline w14:w="3268" w14:cap="sq" w14:cmpd="sng">
                  <w14:solidFill>
                    <w14:srgbClr w14:val="000000"/>
                  </w14:solidFill>
                  <w14:prstDash w14:val="solid"/>
                  <w14:bevel/>
                </w14:textOutline>
              </w:rPr>
              <w:t>标</w:t>
            </w:r>
            <w:r>
              <w:rPr>
                <w:rFonts w:ascii="黑体" w:hAnsi="黑体" w:eastAsia="黑体" w:cs="黑体"/>
                <w:spacing w:val="9"/>
                <w:sz w:val="17"/>
                <w:szCs w:val="17"/>
                <w14:textOutline w14:w="3268" w14:cap="sq" w14:cmpd="sng">
                  <w14:solidFill>
                    <w14:srgbClr w14:val="000000"/>
                  </w14:solidFill>
                  <w14:prstDash w14:val="solid"/>
                  <w14:bevel/>
                </w14:textOutline>
              </w:rPr>
              <w:t>准值</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8" w:type="dxa"/>
            <w:vMerge w:val="restart"/>
            <w:tcBorders>
              <w:bottom w:val="nil"/>
            </w:tcBorders>
            <w:vAlign w:val="top"/>
          </w:tcPr>
          <w:p>
            <w:pPr>
              <w:spacing w:line="303" w:lineRule="auto"/>
              <w:rPr>
                <w:rFonts w:ascii="Arial"/>
                <w:sz w:val="21"/>
              </w:rPr>
            </w:pPr>
          </w:p>
          <w:p>
            <w:pPr>
              <w:spacing w:before="55" w:line="316" w:lineRule="auto"/>
              <w:ind w:left="78" w:right="71" w:hanging="1"/>
              <w:rPr>
                <w:rFonts w:ascii="Times New Roman" w:hAnsi="Times New Roman" w:eastAsia="Times New Roman" w:cs="Times New Roman"/>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背景</w:t>
            </w:r>
            <w:r>
              <w:rPr>
                <w:rFonts w:ascii="黑体" w:hAnsi="黑体" w:eastAsia="黑体" w:cs="黑体"/>
                <w:spacing w:val="7"/>
                <w:sz w:val="17"/>
                <w:szCs w:val="17"/>
                <w14:textOutline w14:w="3268" w14:cap="sq" w14:cmpd="sng">
                  <w14:solidFill>
                    <w14:srgbClr w14:val="000000"/>
                  </w14:solidFill>
                  <w14:prstDash w14:val="solid"/>
                  <w14:bevel/>
                </w14:textOutline>
              </w:rPr>
              <w:t>值</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64" w:type="dxa"/>
            <w:vMerge w:val="restart"/>
            <w:tcBorders>
              <w:bottom w:val="nil"/>
            </w:tcBorders>
            <w:vAlign w:val="top"/>
          </w:tcPr>
          <w:p>
            <w:pPr>
              <w:spacing w:line="303" w:lineRule="auto"/>
              <w:rPr>
                <w:rFonts w:ascii="Arial"/>
                <w:sz w:val="21"/>
              </w:rPr>
            </w:pPr>
          </w:p>
          <w:p>
            <w:pPr>
              <w:spacing w:before="55" w:line="316" w:lineRule="auto"/>
              <w:ind w:left="67" w:right="58" w:hanging="2"/>
              <w:rPr>
                <w:rFonts w:ascii="Times New Roman" w:hAnsi="Times New Roman" w:eastAsia="Times New Roman" w:cs="Times New Roman"/>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现</w:t>
            </w:r>
            <w:r>
              <w:rPr>
                <w:rFonts w:ascii="黑体" w:hAnsi="黑体" w:eastAsia="黑体" w:cs="黑体"/>
                <w:spacing w:val="8"/>
                <w:sz w:val="17"/>
                <w:szCs w:val="17"/>
                <w14:textOutline w14:w="3268" w14:cap="sq" w14:cmpd="sng">
                  <w14:solidFill>
                    <w14:srgbClr w14:val="000000"/>
                  </w14:solidFill>
                  <w14:prstDash w14:val="solid"/>
                  <w14:bevel/>
                </w14:textOutline>
              </w:rPr>
              <w:t>状值</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2757" w:type="dxa"/>
            <w:gridSpan w:val="4"/>
            <w:vAlign w:val="top"/>
          </w:tcPr>
          <w:p>
            <w:pPr>
              <w:spacing w:before="74" w:line="233" w:lineRule="auto"/>
              <w:ind w:left="1023"/>
              <w:rPr>
                <w:rFonts w:ascii="黑体" w:hAnsi="黑体" w:eastAsia="黑体" w:cs="黑体"/>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运</w:t>
            </w:r>
            <w:r>
              <w:rPr>
                <w:rFonts w:ascii="黑体" w:hAnsi="黑体" w:eastAsia="黑体" w:cs="黑体"/>
                <w:spacing w:val="8"/>
                <w:sz w:val="17"/>
                <w:szCs w:val="17"/>
                <w14:textOutline w14:w="3268" w14:cap="sq" w14:cmpd="sng">
                  <w14:solidFill>
                    <w14:srgbClr w14:val="000000"/>
                  </w14:solidFill>
                  <w14:prstDash w14:val="solid"/>
                  <w14:bevel/>
                </w14:textOutline>
              </w:rPr>
              <w:t>营近期</w:t>
            </w:r>
          </w:p>
        </w:tc>
        <w:tc>
          <w:tcPr>
            <w:tcW w:w="2755" w:type="dxa"/>
            <w:gridSpan w:val="4"/>
            <w:vAlign w:val="top"/>
          </w:tcPr>
          <w:p>
            <w:pPr>
              <w:spacing w:before="74" w:line="233" w:lineRule="auto"/>
              <w:ind w:left="1023"/>
              <w:rPr>
                <w:rFonts w:ascii="黑体" w:hAnsi="黑体" w:eastAsia="黑体" w:cs="黑体"/>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运</w:t>
            </w:r>
            <w:r>
              <w:rPr>
                <w:rFonts w:ascii="黑体" w:hAnsi="黑体" w:eastAsia="黑体" w:cs="黑体"/>
                <w:spacing w:val="8"/>
                <w:sz w:val="17"/>
                <w:szCs w:val="17"/>
                <w14:textOutline w14:w="3268" w14:cap="sq" w14:cmpd="sng">
                  <w14:solidFill>
                    <w14:srgbClr w14:val="000000"/>
                  </w14:solidFill>
                  <w14:prstDash w14:val="solid"/>
                  <w14:bevel/>
                </w14:textOutline>
              </w:rPr>
              <w:t>营中期</w:t>
            </w:r>
          </w:p>
        </w:tc>
        <w:tc>
          <w:tcPr>
            <w:tcW w:w="2760" w:type="dxa"/>
            <w:gridSpan w:val="4"/>
            <w:vAlign w:val="top"/>
          </w:tcPr>
          <w:p>
            <w:pPr>
              <w:spacing w:before="74" w:line="233" w:lineRule="auto"/>
              <w:ind w:left="1023"/>
              <w:rPr>
                <w:rFonts w:ascii="黑体" w:hAnsi="黑体" w:eastAsia="黑体" w:cs="黑体"/>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运</w:t>
            </w:r>
            <w:r>
              <w:rPr>
                <w:rFonts w:ascii="黑体" w:hAnsi="黑体" w:eastAsia="黑体" w:cs="黑体"/>
                <w:spacing w:val="8"/>
                <w:sz w:val="17"/>
                <w:szCs w:val="17"/>
                <w14:textOutline w14:w="3268" w14:cap="sq" w14:cmpd="sng">
                  <w14:solidFill>
                    <w14:srgbClr w14:val="000000"/>
                  </w14:solidFill>
                  <w14:prstDash w14:val="solid"/>
                  <w14:bevel/>
                </w14:textOutline>
              </w:rPr>
              <w:t>营远期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559" w:type="dxa"/>
            <w:vMerge w:val="continue"/>
            <w:tcBorders>
              <w:top w:val="nil"/>
            </w:tcBorders>
            <w:vAlign w:val="top"/>
          </w:tcPr>
          <w:p>
            <w:pPr>
              <w:rPr>
                <w:rFonts w:ascii="Arial"/>
                <w:sz w:val="21"/>
              </w:rPr>
            </w:pPr>
          </w:p>
        </w:tc>
        <w:tc>
          <w:tcPr>
            <w:tcW w:w="1198" w:type="dxa"/>
            <w:gridSpan w:val="2"/>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Merge w:val="continue"/>
            <w:tcBorders>
              <w:top w:val="nil"/>
            </w:tcBorders>
            <w:vAlign w:val="top"/>
          </w:tcPr>
          <w:p>
            <w:pPr>
              <w:rPr>
                <w:rFonts w:ascii="Arial"/>
                <w:sz w:val="21"/>
              </w:rPr>
            </w:pPr>
          </w:p>
        </w:tc>
        <w:tc>
          <w:tcPr>
            <w:tcW w:w="664"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664" w:type="dxa"/>
            <w:vMerge w:val="continue"/>
            <w:tcBorders>
              <w:top w:val="nil"/>
            </w:tcBorders>
            <w:vAlign w:val="top"/>
          </w:tcPr>
          <w:p>
            <w:pPr>
              <w:rPr>
                <w:rFonts w:ascii="Arial"/>
                <w:sz w:val="21"/>
              </w:rPr>
            </w:pPr>
          </w:p>
        </w:tc>
        <w:tc>
          <w:tcPr>
            <w:tcW w:w="689" w:type="dxa"/>
            <w:vAlign w:val="top"/>
          </w:tcPr>
          <w:p>
            <w:pPr>
              <w:spacing w:before="213" w:line="316" w:lineRule="auto"/>
              <w:ind w:left="113" w:right="73" w:hanging="33"/>
              <w:rPr>
                <w:rFonts w:ascii="Times New Roman" w:hAnsi="Times New Roman" w:eastAsia="Times New Roman" w:cs="Times New Roman"/>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贡</w:t>
            </w:r>
            <w:r>
              <w:rPr>
                <w:rFonts w:ascii="黑体" w:hAnsi="黑体" w:eastAsia="黑体" w:cs="黑体"/>
                <w:spacing w:val="6"/>
                <w:sz w:val="17"/>
                <w:szCs w:val="17"/>
                <w14:textOutline w14:w="3268" w14:cap="sq" w14:cmpd="sng">
                  <w14:solidFill>
                    <w14:srgbClr w14:val="000000"/>
                  </w14:solidFill>
                  <w14:prstDash w14:val="solid"/>
                  <w14:bevel/>
                </w14:textOutline>
              </w:rPr>
              <w:t>献值</w:t>
            </w:r>
            <w:r>
              <w:rPr>
                <w:rFonts w:ascii="黑体" w:hAnsi="黑体" w:eastAsia="黑体" w:cs="黑体"/>
                <w:sz w:val="17"/>
                <w:szCs w:val="17"/>
              </w:rPr>
              <w:t xml:space="preserve"> </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10"/>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9" w:type="dxa"/>
            <w:vAlign w:val="top"/>
          </w:tcPr>
          <w:p>
            <w:pPr>
              <w:spacing w:before="213" w:line="316" w:lineRule="auto"/>
              <w:ind w:left="113" w:right="73" w:hanging="33"/>
              <w:rPr>
                <w:rFonts w:ascii="Times New Roman" w:hAnsi="Times New Roman" w:eastAsia="Times New Roman" w:cs="Times New Roman"/>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预</w:t>
            </w:r>
            <w:r>
              <w:rPr>
                <w:rFonts w:ascii="黑体" w:hAnsi="黑体" w:eastAsia="黑体" w:cs="黑体"/>
                <w:spacing w:val="6"/>
                <w:sz w:val="17"/>
                <w:szCs w:val="17"/>
                <w14:textOutline w14:w="3268" w14:cap="sq" w14:cmpd="sng">
                  <w14:solidFill>
                    <w14:srgbClr w14:val="000000"/>
                  </w14:solidFill>
                  <w14:prstDash w14:val="solid"/>
                  <w14:bevel/>
                </w14:textOutline>
              </w:rPr>
              <w:t>测值</w:t>
            </w:r>
            <w:r>
              <w:rPr>
                <w:rFonts w:ascii="黑体" w:hAnsi="黑体" w:eastAsia="黑体" w:cs="黑体"/>
                <w:sz w:val="17"/>
                <w:szCs w:val="17"/>
              </w:rPr>
              <w:t xml:space="preserve"> </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10"/>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9" w:type="dxa"/>
            <w:vAlign w:val="top"/>
          </w:tcPr>
          <w:p>
            <w:pPr>
              <w:spacing w:before="70" w:line="233" w:lineRule="auto"/>
              <w:ind w:left="75"/>
              <w:rPr>
                <w:rFonts w:ascii="黑体" w:hAnsi="黑体" w:eastAsia="黑体" w:cs="黑体"/>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较现</w:t>
            </w:r>
            <w:r>
              <w:rPr>
                <w:rFonts w:ascii="黑体" w:hAnsi="黑体" w:eastAsia="黑体" w:cs="黑体"/>
                <w:spacing w:val="8"/>
                <w:sz w:val="17"/>
                <w:szCs w:val="17"/>
                <w14:textOutline w14:w="3268" w14:cap="sq" w14:cmpd="sng">
                  <w14:solidFill>
                    <w14:srgbClr w14:val="000000"/>
                  </w14:solidFill>
                  <w14:prstDash w14:val="solid"/>
                  <w14:bevel/>
                </w14:textOutline>
              </w:rPr>
              <w:t>状</w:t>
            </w:r>
          </w:p>
          <w:p>
            <w:pPr>
              <w:spacing w:before="66" w:line="234" w:lineRule="auto"/>
              <w:ind w:left="167"/>
              <w:rPr>
                <w:rFonts w:ascii="黑体" w:hAnsi="黑体" w:eastAsia="黑体" w:cs="黑体"/>
                <w:sz w:val="17"/>
                <w:szCs w:val="17"/>
              </w:rPr>
            </w:pPr>
            <w:r>
              <w:rPr>
                <w:rFonts w:ascii="黑体" w:hAnsi="黑体" w:eastAsia="黑体" w:cs="黑体"/>
                <w:spacing w:val="7"/>
                <w:sz w:val="17"/>
                <w:szCs w:val="17"/>
                <w14:textOutline w14:w="3268" w14:cap="sq" w14:cmpd="sng">
                  <w14:solidFill>
                    <w14:srgbClr w14:val="000000"/>
                  </w14:solidFill>
                  <w14:prstDash w14:val="solid"/>
                  <w14:bevel/>
                </w14:textOutline>
              </w:rPr>
              <w:t>增量</w:t>
            </w:r>
          </w:p>
          <w:p>
            <w:pPr>
              <w:spacing w:before="27" w:line="249" w:lineRule="exact"/>
              <w:ind w:left="80"/>
              <w:rPr>
                <w:rFonts w:ascii="Times New Roman" w:hAnsi="Times New Roman" w:eastAsia="Times New Roman" w:cs="Times New Roman"/>
                <w:sz w:val="17"/>
                <w:szCs w:val="17"/>
              </w:rPr>
            </w:pPr>
            <w:r>
              <w:rPr>
                <w:rFonts w:ascii="Times New Roman" w:hAnsi="Times New Roman" w:eastAsia="Times New Roman" w:cs="Times New Roman"/>
                <w:b/>
                <w:bCs/>
                <w:spacing w:val="11"/>
                <w:position w:val="3"/>
                <w:sz w:val="17"/>
                <w:szCs w:val="17"/>
              </w:rPr>
              <w:t>/</w:t>
            </w:r>
            <w:r>
              <w:rPr>
                <w:rFonts w:ascii="Times New Roman" w:hAnsi="Times New Roman" w:eastAsia="Times New Roman" w:cs="Times New Roman"/>
                <w:b/>
                <w:bCs/>
                <w:position w:val="3"/>
                <w:sz w:val="17"/>
                <w:szCs w:val="17"/>
              </w:rPr>
              <w:t>dB</w:t>
            </w:r>
            <w:r>
              <w:rPr>
                <w:rFonts w:ascii="Times New Roman" w:hAnsi="Times New Roman" w:eastAsia="Times New Roman" w:cs="Times New Roman"/>
                <w:b/>
                <w:bCs/>
                <w:spacing w:val="9"/>
                <w:position w:val="3"/>
                <w:sz w:val="17"/>
                <w:szCs w:val="17"/>
              </w:rPr>
              <w:t>(</w:t>
            </w:r>
            <w:r>
              <w:rPr>
                <w:rFonts w:ascii="Times New Roman" w:hAnsi="Times New Roman" w:eastAsia="Times New Roman" w:cs="Times New Roman"/>
                <w:b/>
                <w:bCs/>
                <w:position w:val="3"/>
                <w:sz w:val="17"/>
                <w:szCs w:val="17"/>
              </w:rPr>
              <w:t>A</w:t>
            </w:r>
            <w:r>
              <w:rPr>
                <w:rFonts w:ascii="Times New Roman" w:hAnsi="Times New Roman" w:eastAsia="Times New Roman" w:cs="Times New Roman"/>
                <w:b/>
                <w:bCs/>
                <w:spacing w:val="9"/>
                <w:position w:val="3"/>
                <w:sz w:val="17"/>
                <w:szCs w:val="17"/>
              </w:rPr>
              <w:t>)</w:t>
            </w:r>
          </w:p>
        </w:tc>
        <w:tc>
          <w:tcPr>
            <w:tcW w:w="690" w:type="dxa"/>
            <w:vAlign w:val="top"/>
          </w:tcPr>
          <w:p>
            <w:pPr>
              <w:spacing w:before="213" w:line="316" w:lineRule="auto"/>
              <w:ind w:left="81" w:right="72" w:hanging="6"/>
              <w:rPr>
                <w:rFonts w:ascii="Times New Roman" w:hAnsi="Times New Roman" w:eastAsia="Times New Roman" w:cs="Times New Roman"/>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超标</w:t>
            </w:r>
            <w:r>
              <w:rPr>
                <w:rFonts w:ascii="黑体" w:hAnsi="黑体" w:eastAsia="黑体" w:cs="黑体"/>
                <w:spacing w:val="8"/>
                <w:sz w:val="17"/>
                <w:szCs w:val="17"/>
                <w14:textOutline w14:w="3268" w14:cap="sq" w14:cmpd="sng">
                  <w14:solidFill>
                    <w14:srgbClr w14:val="000000"/>
                  </w14:solidFill>
                  <w14:prstDash w14:val="solid"/>
                  <w14:bevel/>
                </w14:textOutline>
              </w:rPr>
              <w:t>量</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8" w:type="dxa"/>
            <w:vAlign w:val="top"/>
          </w:tcPr>
          <w:p>
            <w:pPr>
              <w:spacing w:before="213" w:line="316" w:lineRule="auto"/>
              <w:ind w:left="80" w:right="71" w:hanging="2"/>
              <w:rPr>
                <w:rFonts w:ascii="Times New Roman" w:hAnsi="Times New Roman" w:eastAsia="Times New Roman" w:cs="Times New Roman"/>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贡</w:t>
            </w:r>
            <w:r>
              <w:rPr>
                <w:rFonts w:ascii="黑体" w:hAnsi="黑体" w:eastAsia="黑体" w:cs="黑体"/>
                <w:spacing w:val="7"/>
                <w:sz w:val="17"/>
                <w:szCs w:val="17"/>
                <w14:textOutline w14:w="3268" w14:cap="sq" w14:cmpd="sng">
                  <w14:solidFill>
                    <w14:srgbClr w14:val="000000"/>
                  </w14:solidFill>
                  <w14:prstDash w14:val="solid"/>
                  <w14:bevel/>
                </w14:textOutline>
              </w:rPr>
              <w:t>献值</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9" w:type="dxa"/>
            <w:vAlign w:val="top"/>
          </w:tcPr>
          <w:p>
            <w:pPr>
              <w:spacing w:before="213" w:line="316" w:lineRule="auto"/>
              <w:ind w:left="81" w:right="71" w:hanging="2"/>
              <w:rPr>
                <w:rFonts w:ascii="Times New Roman" w:hAnsi="Times New Roman" w:eastAsia="Times New Roman" w:cs="Times New Roman"/>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预</w:t>
            </w:r>
            <w:r>
              <w:rPr>
                <w:rFonts w:ascii="黑体" w:hAnsi="黑体" w:eastAsia="黑体" w:cs="黑体"/>
                <w:spacing w:val="7"/>
                <w:sz w:val="17"/>
                <w:szCs w:val="17"/>
                <w14:textOutline w14:w="3268" w14:cap="sq" w14:cmpd="sng">
                  <w14:solidFill>
                    <w14:srgbClr w14:val="000000"/>
                  </w14:solidFill>
                  <w14:prstDash w14:val="solid"/>
                  <w14:bevel/>
                </w14:textOutline>
              </w:rPr>
              <w:t>测值</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8" w:type="dxa"/>
            <w:vAlign w:val="top"/>
          </w:tcPr>
          <w:p>
            <w:pPr>
              <w:spacing w:before="70" w:line="233" w:lineRule="auto"/>
              <w:ind w:left="75"/>
              <w:rPr>
                <w:rFonts w:ascii="黑体" w:hAnsi="黑体" w:eastAsia="黑体" w:cs="黑体"/>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较现</w:t>
            </w:r>
            <w:r>
              <w:rPr>
                <w:rFonts w:ascii="黑体" w:hAnsi="黑体" w:eastAsia="黑体" w:cs="黑体"/>
                <w:spacing w:val="8"/>
                <w:sz w:val="17"/>
                <w:szCs w:val="17"/>
                <w14:textOutline w14:w="3268" w14:cap="sq" w14:cmpd="sng">
                  <w14:solidFill>
                    <w14:srgbClr w14:val="000000"/>
                  </w14:solidFill>
                  <w14:prstDash w14:val="solid"/>
                  <w14:bevel/>
                </w14:textOutline>
              </w:rPr>
              <w:t>状</w:t>
            </w:r>
          </w:p>
          <w:p>
            <w:pPr>
              <w:spacing w:before="66" w:line="234" w:lineRule="auto"/>
              <w:ind w:left="166"/>
              <w:rPr>
                <w:rFonts w:ascii="黑体" w:hAnsi="黑体" w:eastAsia="黑体" w:cs="黑体"/>
                <w:sz w:val="17"/>
                <w:szCs w:val="17"/>
              </w:rPr>
            </w:pPr>
            <w:r>
              <w:rPr>
                <w:rFonts w:ascii="黑体" w:hAnsi="黑体" w:eastAsia="黑体" w:cs="黑体"/>
                <w:spacing w:val="7"/>
                <w:sz w:val="17"/>
                <w:szCs w:val="17"/>
                <w14:textOutline w14:w="3268" w14:cap="sq" w14:cmpd="sng">
                  <w14:solidFill>
                    <w14:srgbClr w14:val="000000"/>
                  </w14:solidFill>
                  <w14:prstDash w14:val="solid"/>
                  <w14:bevel/>
                </w14:textOutline>
              </w:rPr>
              <w:t>增量</w:t>
            </w:r>
          </w:p>
          <w:p>
            <w:pPr>
              <w:spacing w:before="27" w:line="249" w:lineRule="exact"/>
              <w:ind w:left="81"/>
              <w:rPr>
                <w:rFonts w:ascii="Times New Roman" w:hAnsi="Times New Roman" w:eastAsia="Times New Roman" w:cs="Times New Roman"/>
                <w:sz w:val="17"/>
                <w:szCs w:val="17"/>
              </w:rPr>
            </w:pPr>
            <w:r>
              <w:rPr>
                <w:rFonts w:ascii="Times New Roman" w:hAnsi="Times New Roman" w:eastAsia="Times New Roman" w:cs="Times New Roman"/>
                <w:b/>
                <w:bCs/>
                <w:spacing w:val="11"/>
                <w:position w:val="3"/>
                <w:sz w:val="17"/>
                <w:szCs w:val="17"/>
              </w:rPr>
              <w:t>/</w:t>
            </w:r>
            <w:r>
              <w:rPr>
                <w:rFonts w:ascii="Times New Roman" w:hAnsi="Times New Roman" w:eastAsia="Times New Roman" w:cs="Times New Roman"/>
                <w:b/>
                <w:bCs/>
                <w:position w:val="3"/>
                <w:sz w:val="17"/>
                <w:szCs w:val="17"/>
              </w:rPr>
              <w:t>dB</w:t>
            </w:r>
            <w:r>
              <w:rPr>
                <w:rFonts w:ascii="Times New Roman" w:hAnsi="Times New Roman" w:eastAsia="Times New Roman" w:cs="Times New Roman"/>
                <w:b/>
                <w:bCs/>
                <w:spacing w:val="9"/>
                <w:position w:val="3"/>
                <w:sz w:val="17"/>
                <w:szCs w:val="17"/>
              </w:rPr>
              <w:t>(</w:t>
            </w:r>
            <w:r>
              <w:rPr>
                <w:rFonts w:ascii="Times New Roman" w:hAnsi="Times New Roman" w:eastAsia="Times New Roman" w:cs="Times New Roman"/>
                <w:b/>
                <w:bCs/>
                <w:position w:val="3"/>
                <w:sz w:val="17"/>
                <w:szCs w:val="17"/>
              </w:rPr>
              <w:t>A</w:t>
            </w:r>
            <w:r>
              <w:rPr>
                <w:rFonts w:ascii="Times New Roman" w:hAnsi="Times New Roman" w:eastAsia="Times New Roman" w:cs="Times New Roman"/>
                <w:b/>
                <w:bCs/>
                <w:spacing w:val="9"/>
                <w:position w:val="3"/>
                <w:sz w:val="17"/>
                <w:szCs w:val="17"/>
              </w:rPr>
              <w:t>)</w:t>
            </w:r>
          </w:p>
        </w:tc>
        <w:tc>
          <w:tcPr>
            <w:tcW w:w="690" w:type="dxa"/>
            <w:vAlign w:val="top"/>
          </w:tcPr>
          <w:p>
            <w:pPr>
              <w:spacing w:before="213" w:line="316" w:lineRule="auto"/>
              <w:ind w:left="84" w:right="69" w:hanging="6"/>
              <w:rPr>
                <w:rFonts w:ascii="Times New Roman" w:hAnsi="Times New Roman" w:eastAsia="Times New Roman" w:cs="Times New Roman"/>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超标</w:t>
            </w:r>
            <w:r>
              <w:rPr>
                <w:rFonts w:ascii="黑体" w:hAnsi="黑体" w:eastAsia="黑体" w:cs="黑体"/>
                <w:spacing w:val="8"/>
                <w:sz w:val="17"/>
                <w:szCs w:val="17"/>
                <w14:textOutline w14:w="3268" w14:cap="sq" w14:cmpd="sng">
                  <w14:solidFill>
                    <w14:srgbClr w14:val="000000"/>
                  </w14:solidFill>
                  <w14:prstDash w14:val="solid"/>
                  <w14:bevel/>
                </w14:textOutline>
              </w:rPr>
              <w:t>量</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8" w:type="dxa"/>
            <w:vAlign w:val="top"/>
          </w:tcPr>
          <w:p>
            <w:pPr>
              <w:spacing w:before="213" w:line="316" w:lineRule="auto"/>
              <w:ind w:left="83" w:right="69" w:hanging="2"/>
              <w:rPr>
                <w:rFonts w:ascii="Times New Roman" w:hAnsi="Times New Roman" w:eastAsia="Times New Roman" w:cs="Times New Roman"/>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贡</w:t>
            </w:r>
            <w:r>
              <w:rPr>
                <w:rFonts w:ascii="黑体" w:hAnsi="黑体" w:eastAsia="黑体" w:cs="黑体"/>
                <w:spacing w:val="7"/>
                <w:sz w:val="17"/>
                <w:szCs w:val="17"/>
                <w14:textOutline w14:w="3268" w14:cap="sq" w14:cmpd="sng">
                  <w14:solidFill>
                    <w14:srgbClr w14:val="000000"/>
                  </w14:solidFill>
                  <w14:prstDash w14:val="solid"/>
                  <w14:bevel/>
                </w14:textOutline>
              </w:rPr>
              <w:t>献值</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9" w:type="dxa"/>
            <w:vAlign w:val="top"/>
          </w:tcPr>
          <w:p>
            <w:pPr>
              <w:spacing w:before="213" w:line="316" w:lineRule="auto"/>
              <w:ind w:left="84" w:right="69" w:hanging="2"/>
              <w:rPr>
                <w:rFonts w:ascii="Times New Roman" w:hAnsi="Times New Roman" w:eastAsia="Times New Roman" w:cs="Times New Roman"/>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预</w:t>
            </w:r>
            <w:r>
              <w:rPr>
                <w:rFonts w:ascii="黑体" w:hAnsi="黑体" w:eastAsia="黑体" w:cs="黑体"/>
                <w:spacing w:val="7"/>
                <w:sz w:val="17"/>
                <w:szCs w:val="17"/>
                <w14:textOutline w14:w="3268" w14:cap="sq" w14:cmpd="sng">
                  <w14:solidFill>
                    <w14:srgbClr w14:val="000000"/>
                  </w14:solidFill>
                  <w14:prstDash w14:val="solid"/>
                  <w14:bevel/>
                </w14:textOutline>
              </w:rPr>
              <w:t>测值</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9" w:type="dxa"/>
            <w:vAlign w:val="top"/>
          </w:tcPr>
          <w:p>
            <w:pPr>
              <w:spacing w:before="70" w:line="233" w:lineRule="auto"/>
              <w:ind w:left="77"/>
              <w:rPr>
                <w:rFonts w:ascii="黑体" w:hAnsi="黑体" w:eastAsia="黑体" w:cs="黑体"/>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较现</w:t>
            </w:r>
            <w:r>
              <w:rPr>
                <w:rFonts w:ascii="黑体" w:hAnsi="黑体" w:eastAsia="黑体" w:cs="黑体"/>
                <w:spacing w:val="8"/>
                <w:sz w:val="17"/>
                <w:szCs w:val="17"/>
                <w14:textOutline w14:w="3268" w14:cap="sq" w14:cmpd="sng">
                  <w14:solidFill>
                    <w14:srgbClr w14:val="000000"/>
                  </w14:solidFill>
                  <w14:prstDash w14:val="solid"/>
                  <w14:bevel/>
                </w14:textOutline>
              </w:rPr>
              <w:t>状</w:t>
            </w:r>
          </w:p>
          <w:p>
            <w:pPr>
              <w:spacing w:before="66" w:line="234" w:lineRule="auto"/>
              <w:ind w:left="168"/>
              <w:rPr>
                <w:rFonts w:ascii="黑体" w:hAnsi="黑体" w:eastAsia="黑体" w:cs="黑体"/>
                <w:sz w:val="17"/>
                <w:szCs w:val="17"/>
              </w:rPr>
            </w:pPr>
            <w:r>
              <w:rPr>
                <w:rFonts w:ascii="黑体" w:hAnsi="黑体" w:eastAsia="黑体" w:cs="黑体"/>
                <w:spacing w:val="7"/>
                <w:sz w:val="17"/>
                <w:szCs w:val="17"/>
                <w14:textOutline w14:w="3268" w14:cap="sq" w14:cmpd="sng">
                  <w14:solidFill>
                    <w14:srgbClr w14:val="000000"/>
                  </w14:solidFill>
                  <w14:prstDash w14:val="solid"/>
                  <w14:bevel/>
                </w14:textOutline>
              </w:rPr>
              <w:t>增量</w:t>
            </w:r>
          </w:p>
          <w:p>
            <w:pPr>
              <w:spacing w:before="27" w:line="249" w:lineRule="exact"/>
              <w:ind w:left="84"/>
              <w:rPr>
                <w:rFonts w:ascii="Times New Roman" w:hAnsi="Times New Roman" w:eastAsia="Times New Roman" w:cs="Times New Roman"/>
                <w:sz w:val="17"/>
                <w:szCs w:val="17"/>
              </w:rPr>
            </w:pPr>
            <w:r>
              <w:rPr>
                <w:rFonts w:ascii="Times New Roman" w:hAnsi="Times New Roman" w:eastAsia="Times New Roman" w:cs="Times New Roman"/>
                <w:b/>
                <w:bCs/>
                <w:spacing w:val="11"/>
                <w:position w:val="3"/>
                <w:sz w:val="17"/>
                <w:szCs w:val="17"/>
              </w:rPr>
              <w:t>/</w:t>
            </w:r>
            <w:r>
              <w:rPr>
                <w:rFonts w:ascii="Times New Roman" w:hAnsi="Times New Roman" w:eastAsia="Times New Roman" w:cs="Times New Roman"/>
                <w:b/>
                <w:bCs/>
                <w:position w:val="3"/>
                <w:sz w:val="17"/>
                <w:szCs w:val="17"/>
              </w:rPr>
              <w:t>dB</w:t>
            </w:r>
            <w:r>
              <w:rPr>
                <w:rFonts w:ascii="Times New Roman" w:hAnsi="Times New Roman" w:eastAsia="Times New Roman" w:cs="Times New Roman"/>
                <w:b/>
                <w:bCs/>
                <w:spacing w:val="9"/>
                <w:position w:val="3"/>
                <w:sz w:val="17"/>
                <w:szCs w:val="17"/>
              </w:rPr>
              <w:t>(</w:t>
            </w:r>
            <w:r>
              <w:rPr>
                <w:rFonts w:ascii="Times New Roman" w:hAnsi="Times New Roman" w:eastAsia="Times New Roman" w:cs="Times New Roman"/>
                <w:b/>
                <w:bCs/>
                <w:position w:val="3"/>
                <w:sz w:val="17"/>
                <w:szCs w:val="17"/>
              </w:rPr>
              <w:t>A</w:t>
            </w:r>
            <w:r>
              <w:rPr>
                <w:rFonts w:ascii="Times New Roman" w:hAnsi="Times New Roman" w:eastAsia="Times New Roman" w:cs="Times New Roman"/>
                <w:b/>
                <w:bCs/>
                <w:spacing w:val="9"/>
                <w:position w:val="3"/>
                <w:sz w:val="17"/>
                <w:szCs w:val="17"/>
              </w:rPr>
              <w:t>)</w:t>
            </w:r>
          </w:p>
        </w:tc>
        <w:tc>
          <w:tcPr>
            <w:tcW w:w="694" w:type="dxa"/>
            <w:vAlign w:val="top"/>
          </w:tcPr>
          <w:p>
            <w:pPr>
              <w:spacing w:before="213" w:line="316" w:lineRule="auto"/>
              <w:ind w:left="83" w:right="72" w:hanging="4"/>
              <w:rPr>
                <w:rFonts w:ascii="Times New Roman" w:hAnsi="Times New Roman" w:eastAsia="Times New Roman" w:cs="Times New Roman"/>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超标</w:t>
            </w:r>
            <w:r>
              <w:rPr>
                <w:rFonts w:ascii="黑体" w:hAnsi="黑体" w:eastAsia="黑体" w:cs="黑体"/>
                <w:spacing w:val="8"/>
                <w:sz w:val="17"/>
                <w:szCs w:val="17"/>
                <w14:textOutline w14:w="3268" w14:cap="sq" w14:cmpd="sng">
                  <w14:solidFill>
                    <w14:srgbClr w14:val="000000"/>
                  </w14:solidFill>
                  <w14:prstDash w14:val="solid"/>
                  <w14:bevel/>
                </w14:textOutline>
              </w:rPr>
              <w:t>量</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59" w:type="dxa"/>
            <w:vMerge w:val="restart"/>
            <w:tcBorders>
              <w:bottom w:val="nil"/>
            </w:tcBorders>
            <w:vAlign w:val="top"/>
          </w:tcPr>
          <w:p>
            <w:pPr>
              <w:rPr>
                <w:rFonts w:ascii="Arial"/>
                <w:sz w:val="21"/>
              </w:rPr>
            </w:pPr>
          </w:p>
        </w:tc>
        <w:tc>
          <w:tcPr>
            <w:tcW w:w="600" w:type="dxa"/>
            <w:vMerge w:val="restart"/>
            <w:tcBorders>
              <w:bottom w:val="nil"/>
            </w:tcBorders>
            <w:vAlign w:val="top"/>
          </w:tcPr>
          <w:p>
            <w:pPr>
              <w:rPr>
                <w:rFonts w:ascii="Arial"/>
                <w:sz w:val="21"/>
              </w:rPr>
            </w:pPr>
          </w:p>
        </w:tc>
        <w:tc>
          <w:tcPr>
            <w:tcW w:w="598" w:type="dxa"/>
            <w:vAlign w:val="top"/>
          </w:tcPr>
          <w:p>
            <w:pPr>
              <w:rPr>
                <w:rFonts w:ascii="Arial"/>
                <w:sz w:val="21"/>
              </w:rPr>
            </w:pPr>
          </w:p>
        </w:tc>
        <w:tc>
          <w:tcPr>
            <w:tcW w:w="675" w:type="dxa"/>
            <w:vAlign w:val="top"/>
          </w:tcPr>
          <w:p>
            <w:pPr>
              <w:rPr>
                <w:rFonts w:ascii="Arial"/>
                <w:sz w:val="21"/>
              </w:rPr>
            </w:pPr>
          </w:p>
        </w:tc>
        <w:tc>
          <w:tcPr>
            <w:tcW w:w="577" w:type="dxa"/>
            <w:vAlign w:val="top"/>
          </w:tcPr>
          <w:p>
            <w:pPr>
              <w:rPr>
                <w:rFonts w:ascii="Arial"/>
                <w:sz w:val="21"/>
              </w:rPr>
            </w:pPr>
          </w:p>
        </w:tc>
        <w:tc>
          <w:tcPr>
            <w:tcW w:w="664" w:type="dxa"/>
            <w:vAlign w:val="top"/>
          </w:tcPr>
          <w:p>
            <w:pPr>
              <w:spacing w:before="71" w:line="231"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4" w:line="194"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55</w:t>
            </w:r>
          </w:p>
        </w:tc>
        <w:tc>
          <w:tcPr>
            <w:tcW w:w="688" w:type="dxa"/>
            <w:vAlign w:val="top"/>
          </w:tcPr>
          <w:p>
            <w:pPr>
              <w:spacing w:before="38" w:line="243"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3"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0.9</w:t>
            </w:r>
          </w:p>
        </w:tc>
        <w:tc>
          <w:tcPr>
            <w:tcW w:w="689" w:type="dxa"/>
            <w:vAlign w:val="top"/>
          </w:tcPr>
          <w:p>
            <w:pPr>
              <w:spacing w:before="83"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9.6</w:t>
            </w:r>
          </w:p>
        </w:tc>
        <w:tc>
          <w:tcPr>
            <w:tcW w:w="689" w:type="dxa"/>
            <w:vAlign w:val="top"/>
          </w:tcPr>
          <w:p>
            <w:pPr>
              <w:spacing w:before="83"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.6</w:t>
            </w:r>
          </w:p>
        </w:tc>
        <w:tc>
          <w:tcPr>
            <w:tcW w:w="690" w:type="dxa"/>
            <w:vAlign w:val="top"/>
          </w:tcPr>
          <w:p>
            <w:pPr>
              <w:spacing w:before="83"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200"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2.3</w:t>
            </w:r>
          </w:p>
        </w:tc>
        <w:tc>
          <w:tcPr>
            <w:tcW w:w="689" w:type="dxa"/>
            <w:vAlign w:val="top"/>
          </w:tcPr>
          <w:p>
            <w:pPr>
              <w:spacing w:before="83"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9.8</w:t>
            </w:r>
          </w:p>
        </w:tc>
        <w:tc>
          <w:tcPr>
            <w:tcW w:w="688" w:type="dxa"/>
            <w:vAlign w:val="top"/>
          </w:tcPr>
          <w:p>
            <w:pPr>
              <w:spacing w:before="83"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3"/>
                <w:sz w:val="17"/>
                <w:szCs w:val="17"/>
              </w:rPr>
              <w:t>.8</w:t>
            </w:r>
          </w:p>
        </w:tc>
        <w:tc>
          <w:tcPr>
            <w:tcW w:w="690" w:type="dxa"/>
            <w:vAlign w:val="top"/>
          </w:tcPr>
          <w:p>
            <w:pPr>
              <w:spacing w:before="83"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200"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2.6</w:t>
            </w:r>
          </w:p>
        </w:tc>
        <w:tc>
          <w:tcPr>
            <w:tcW w:w="689" w:type="dxa"/>
            <w:vAlign w:val="top"/>
          </w:tcPr>
          <w:p>
            <w:pPr>
              <w:spacing w:before="83"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9.9</w:t>
            </w:r>
          </w:p>
        </w:tc>
        <w:tc>
          <w:tcPr>
            <w:tcW w:w="689" w:type="dxa"/>
            <w:vAlign w:val="top"/>
          </w:tcPr>
          <w:p>
            <w:pPr>
              <w:spacing w:before="83"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.9</w:t>
            </w:r>
          </w:p>
        </w:tc>
        <w:tc>
          <w:tcPr>
            <w:tcW w:w="694" w:type="dxa"/>
            <w:vAlign w:val="top"/>
          </w:tcPr>
          <w:p>
            <w:pPr>
              <w:spacing w:before="83"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47" w:line="197" w:lineRule="auto"/>
              <w:ind w:left="15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5</w:t>
            </w:r>
            <w:r>
              <w:rPr>
                <w:rFonts w:ascii="Times New Roman" w:hAnsi="Times New Roman" w:eastAsia="Times New Roman" w:cs="Times New Roman"/>
                <w:sz w:val="17"/>
                <w:szCs w:val="17"/>
              </w:rPr>
              <w:t>F</w:t>
            </w:r>
          </w:p>
        </w:tc>
        <w:tc>
          <w:tcPr>
            <w:tcW w:w="675" w:type="dxa"/>
            <w:vMerge w:val="restart"/>
            <w:tcBorders>
              <w:bottom w:val="nil"/>
            </w:tcBorders>
            <w:vAlign w:val="top"/>
          </w:tcPr>
          <w:p>
            <w:pPr>
              <w:spacing w:before="247" w:line="197" w:lineRule="auto"/>
              <w:ind w:left="1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73.</w:t>
            </w:r>
            <w:r>
              <w:rPr>
                <w:rFonts w:ascii="Times New Roman" w:hAnsi="Times New Roman" w:eastAsia="Times New Roman" w:cs="Times New Roman"/>
                <w:spacing w:val="2"/>
                <w:sz w:val="17"/>
                <w:szCs w:val="17"/>
              </w:rPr>
              <w:t>2</w:t>
            </w:r>
          </w:p>
        </w:tc>
        <w:tc>
          <w:tcPr>
            <w:tcW w:w="577" w:type="dxa"/>
            <w:vMerge w:val="restart"/>
            <w:tcBorders>
              <w:bottom w:val="nil"/>
            </w:tcBorders>
            <w:vAlign w:val="top"/>
          </w:tcPr>
          <w:p>
            <w:pPr>
              <w:spacing w:before="219" w:line="232" w:lineRule="auto"/>
              <w:ind w:left="90"/>
              <w:rPr>
                <w:rFonts w:ascii="黑体" w:hAnsi="黑体" w:eastAsia="黑体" w:cs="黑体"/>
                <w:sz w:val="17"/>
                <w:szCs w:val="17"/>
              </w:rPr>
            </w:pPr>
            <w:r>
              <w:rPr>
                <w:rFonts w:ascii="Times New Roman" w:hAnsi="Times New Roman" w:eastAsia="Times New Roman" w:cs="Times New Roman"/>
                <w:spacing w:val="7"/>
                <w:sz w:val="17"/>
                <w:szCs w:val="17"/>
              </w:rPr>
              <w:t>4</w:t>
            </w:r>
            <w:r>
              <w:rPr>
                <w:rFonts w:ascii="Times New Roman" w:hAnsi="Times New Roman" w:eastAsia="Times New Roman" w:cs="Times New Roman"/>
                <w:sz w:val="17"/>
                <w:szCs w:val="17"/>
              </w:rPr>
              <w:t>a</w:t>
            </w:r>
            <w:r>
              <w:rPr>
                <w:rFonts w:ascii="Times New Roman" w:hAnsi="Times New Roman" w:eastAsia="Times New Roman" w:cs="Times New Roman"/>
                <w:spacing w:val="7"/>
                <w:sz w:val="17"/>
                <w:szCs w:val="17"/>
              </w:rPr>
              <w:t xml:space="preserve"> </w:t>
            </w:r>
            <w:r>
              <w:rPr>
                <w:rFonts w:ascii="黑体" w:hAnsi="黑体" w:eastAsia="黑体" w:cs="黑体"/>
                <w:spacing w:val="7"/>
                <w:sz w:val="17"/>
                <w:szCs w:val="17"/>
              </w:rPr>
              <w:t>类</w:t>
            </w:r>
          </w:p>
        </w:tc>
        <w:tc>
          <w:tcPr>
            <w:tcW w:w="664" w:type="dxa"/>
            <w:vAlign w:val="top"/>
          </w:tcPr>
          <w:p>
            <w:pPr>
              <w:spacing w:before="73" w:line="230"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3" w:line="197" w:lineRule="auto"/>
              <w:ind w:left="24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70</w:t>
            </w:r>
          </w:p>
        </w:tc>
        <w:tc>
          <w:tcPr>
            <w:tcW w:w="688" w:type="dxa"/>
            <w:vAlign w:val="top"/>
          </w:tcPr>
          <w:p>
            <w:pPr>
              <w:spacing w:before="40"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3"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2"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8.6</w:t>
            </w:r>
          </w:p>
        </w:tc>
        <w:tc>
          <w:tcPr>
            <w:tcW w:w="689"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9.4</w:t>
            </w:r>
          </w:p>
        </w:tc>
        <w:tc>
          <w:tcPr>
            <w:tcW w:w="689" w:type="dxa"/>
            <w:vAlign w:val="top"/>
          </w:tcPr>
          <w:p>
            <w:pPr>
              <w:spacing w:before="82"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.4</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2"/>
                <w:sz w:val="17"/>
                <w:szCs w:val="17"/>
              </w:rPr>
              <w:t>0.0</w:t>
            </w:r>
          </w:p>
        </w:tc>
        <w:tc>
          <w:tcPr>
            <w:tcW w:w="689" w:type="dxa"/>
            <w:vAlign w:val="top"/>
          </w:tcPr>
          <w:p>
            <w:pPr>
              <w:spacing w:before="82"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9.5</w:t>
            </w:r>
          </w:p>
        </w:tc>
        <w:tc>
          <w:tcPr>
            <w:tcW w:w="688" w:type="dxa"/>
            <w:vAlign w:val="top"/>
          </w:tcPr>
          <w:p>
            <w:pPr>
              <w:spacing w:before="82"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0.5</w:t>
            </w:r>
          </w:p>
        </w:tc>
        <w:tc>
          <w:tcPr>
            <w:tcW w:w="690" w:type="dxa"/>
            <w:vAlign w:val="top"/>
          </w:tcPr>
          <w:p>
            <w:pPr>
              <w:spacing w:before="82"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0.4</w:t>
            </w:r>
          </w:p>
        </w:tc>
        <w:tc>
          <w:tcPr>
            <w:tcW w:w="689" w:type="dxa"/>
            <w:vAlign w:val="top"/>
          </w:tcPr>
          <w:p>
            <w:pPr>
              <w:spacing w:before="82"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59.6</w:t>
            </w:r>
          </w:p>
        </w:tc>
        <w:tc>
          <w:tcPr>
            <w:tcW w:w="689" w:type="dxa"/>
            <w:vAlign w:val="top"/>
          </w:tcPr>
          <w:p>
            <w:pPr>
              <w:spacing w:before="82"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.6</w:t>
            </w:r>
          </w:p>
        </w:tc>
        <w:tc>
          <w:tcPr>
            <w:tcW w:w="694" w:type="dxa"/>
            <w:vAlign w:val="top"/>
          </w:tcPr>
          <w:p>
            <w:pPr>
              <w:spacing w:before="82"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tcBorders>
            <w:vAlign w:val="top"/>
          </w:tcPr>
          <w:p>
            <w:pPr>
              <w:rPr>
                <w:rFonts w:ascii="Arial"/>
                <w:sz w:val="21"/>
              </w:rPr>
            </w:pPr>
          </w:p>
        </w:tc>
        <w:tc>
          <w:tcPr>
            <w:tcW w:w="600" w:type="dxa"/>
            <w:vMerge w:val="continue"/>
            <w:tcBorders>
              <w:top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3" w:line="230"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6" w:line="194"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55</w:t>
            </w:r>
          </w:p>
        </w:tc>
        <w:tc>
          <w:tcPr>
            <w:tcW w:w="688" w:type="dxa"/>
            <w:vAlign w:val="top"/>
          </w:tcPr>
          <w:p>
            <w:pPr>
              <w:spacing w:before="40"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4"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2"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40.0</w:t>
            </w:r>
          </w:p>
        </w:tc>
        <w:tc>
          <w:tcPr>
            <w:tcW w:w="689" w:type="dxa"/>
            <w:vAlign w:val="top"/>
          </w:tcPr>
          <w:p>
            <w:pPr>
              <w:spacing w:before="82"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9.5</w:t>
            </w:r>
          </w:p>
        </w:tc>
        <w:tc>
          <w:tcPr>
            <w:tcW w:w="689" w:type="dxa"/>
            <w:vAlign w:val="top"/>
          </w:tcPr>
          <w:p>
            <w:pPr>
              <w:spacing w:before="82"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200"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1.4</w:t>
            </w:r>
          </w:p>
        </w:tc>
        <w:tc>
          <w:tcPr>
            <w:tcW w:w="689" w:type="dxa"/>
            <w:vAlign w:val="top"/>
          </w:tcPr>
          <w:p>
            <w:pPr>
              <w:spacing w:before="82"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49.7</w:t>
            </w:r>
          </w:p>
        </w:tc>
        <w:tc>
          <w:tcPr>
            <w:tcW w:w="688" w:type="dxa"/>
            <w:vAlign w:val="top"/>
          </w:tcPr>
          <w:p>
            <w:pPr>
              <w:spacing w:before="82"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w:t>
            </w:r>
            <w:r>
              <w:rPr>
                <w:rFonts w:ascii="Times New Roman" w:hAnsi="Times New Roman" w:eastAsia="Times New Roman" w:cs="Times New Roman"/>
                <w:spacing w:val="1"/>
                <w:sz w:val="17"/>
                <w:szCs w:val="17"/>
              </w:rPr>
              <w:t>7</w:t>
            </w:r>
          </w:p>
        </w:tc>
        <w:tc>
          <w:tcPr>
            <w:tcW w:w="690" w:type="dxa"/>
            <w:vAlign w:val="top"/>
          </w:tcPr>
          <w:p>
            <w:pPr>
              <w:spacing w:before="82"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200"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41.7</w:t>
            </w:r>
          </w:p>
        </w:tc>
        <w:tc>
          <w:tcPr>
            <w:tcW w:w="689" w:type="dxa"/>
            <w:vAlign w:val="top"/>
          </w:tcPr>
          <w:p>
            <w:pPr>
              <w:spacing w:before="82"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49.7</w:t>
            </w:r>
          </w:p>
        </w:tc>
        <w:tc>
          <w:tcPr>
            <w:tcW w:w="689" w:type="dxa"/>
            <w:vAlign w:val="top"/>
          </w:tcPr>
          <w:p>
            <w:pPr>
              <w:spacing w:before="82"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0.7</w:t>
            </w:r>
          </w:p>
        </w:tc>
        <w:tc>
          <w:tcPr>
            <w:tcW w:w="694" w:type="dxa"/>
            <w:vAlign w:val="top"/>
          </w:tcPr>
          <w:p>
            <w:pPr>
              <w:spacing w:before="82"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49" w:line="197" w:lineRule="auto"/>
              <w:ind w:left="239"/>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tc>
        <w:tc>
          <w:tcPr>
            <w:tcW w:w="600"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5" w:line="232" w:lineRule="auto"/>
              <w:ind w:left="45"/>
              <w:rPr>
                <w:rFonts w:ascii="黑体" w:hAnsi="黑体" w:eastAsia="黑体" w:cs="黑体"/>
                <w:sz w:val="17"/>
                <w:szCs w:val="17"/>
              </w:rPr>
            </w:pPr>
            <w:r>
              <w:rPr>
                <w:rFonts w:ascii="Times New Roman" w:hAnsi="Times New Roman" w:eastAsia="Times New Roman" w:cs="Times New Roman"/>
                <w:spacing w:val="19"/>
                <w:sz w:val="17"/>
                <w:szCs w:val="17"/>
              </w:rPr>
              <w:t>“</w:t>
            </w:r>
            <w:r>
              <w:rPr>
                <w:rFonts w:ascii="黑体" w:hAnsi="黑体" w:eastAsia="黑体" w:cs="黑体"/>
                <w:spacing w:val="17"/>
                <w:sz w:val="17"/>
                <w:szCs w:val="17"/>
              </w:rPr>
              <w:t>绿地</w:t>
            </w:r>
          </w:p>
          <w:p>
            <w:pPr>
              <w:spacing w:before="67" w:line="233" w:lineRule="auto"/>
              <w:ind w:left="31"/>
              <w:rPr>
                <w:rFonts w:ascii="黑体" w:hAnsi="黑体" w:eastAsia="黑体" w:cs="黑体"/>
                <w:sz w:val="17"/>
                <w:szCs w:val="17"/>
              </w:rPr>
            </w:pPr>
            <w:r>
              <w:rPr>
                <w:rFonts w:ascii="黑体" w:hAnsi="黑体" w:eastAsia="黑体" w:cs="黑体"/>
                <w:spacing w:val="8"/>
                <w:sz w:val="17"/>
                <w:szCs w:val="17"/>
              </w:rPr>
              <w:t>外滩名</w:t>
            </w:r>
          </w:p>
          <w:p>
            <w:pPr>
              <w:spacing w:before="63" w:line="234" w:lineRule="auto"/>
              <w:ind w:left="28"/>
              <w:rPr>
                <w:rFonts w:ascii="黑体" w:hAnsi="黑体" w:eastAsia="黑体" w:cs="黑体"/>
                <w:sz w:val="17"/>
                <w:szCs w:val="17"/>
              </w:rPr>
            </w:pPr>
            <w:r>
              <w:rPr>
                <w:rFonts w:ascii="黑体" w:hAnsi="黑体" w:eastAsia="黑体" w:cs="黑体"/>
                <w:spacing w:val="2"/>
                <w:sz w:val="17"/>
                <w:szCs w:val="17"/>
              </w:rPr>
              <w:t>门</w:t>
            </w:r>
            <w:r>
              <w:rPr>
                <w:rFonts w:ascii="Times New Roman" w:hAnsi="Times New Roman" w:eastAsia="Times New Roman" w:cs="Times New Roman"/>
                <w:spacing w:val="2"/>
                <w:sz w:val="17"/>
                <w:szCs w:val="17"/>
              </w:rPr>
              <w:t xml:space="preserve">”8 </w:t>
            </w:r>
            <w:r>
              <w:rPr>
                <w:rFonts w:ascii="黑体" w:hAnsi="黑体" w:eastAsia="黑体" w:cs="黑体"/>
                <w:spacing w:val="1"/>
                <w:sz w:val="17"/>
                <w:szCs w:val="17"/>
              </w:rPr>
              <w:t>号</w:t>
            </w:r>
          </w:p>
          <w:p>
            <w:pPr>
              <w:spacing w:before="65" w:line="233" w:lineRule="auto"/>
              <w:ind w:left="212"/>
              <w:rPr>
                <w:rFonts w:ascii="黑体" w:hAnsi="黑体" w:eastAsia="黑体" w:cs="黑体"/>
                <w:sz w:val="17"/>
                <w:szCs w:val="17"/>
              </w:rPr>
            </w:pPr>
            <w:r>
              <w:rPr>
                <w:rFonts w:ascii="黑体" w:hAnsi="黑体" w:eastAsia="黑体" w:cs="黑体"/>
                <w:spacing w:val="3"/>
                <w:sz w:val="17"/>
                <w:szCs w:val="17"/>
              </w:rPr>
              <w:t>楼</w:t>
            </w:r>
          </w:p>
        </w:tc>
        <w:tc>
          <w:tcPr>
            <w:tcW w:w="598" w:type="dxa"/>
            <w:vMerge w:val="restart"/>
            <w:tcBorders>
              <w:bottom w:val="nil"/>
            </w:tcBorders>
            <w:vAlign w:val="top"/>
          </w:tcPr>
          <w:p>
            <w:pPr>
              <w:spacing w:before="248" w:line="197" w:lineRule="auto"/>
              <w:ind w:left="220"/>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1</w:t>
            </w:r>
            <w:r>
              <w:rPr>
                <w:rFonts w:ascii="Times New Roman" w:hAnsi="Times New Roman" w:eastAsia="Times New Roman" w:cs="Times New Roman"/>
                <w:spacing w:val="-4"/>
                <w:sz w:val="17"/>
                <w:szCs w:val="17"/>
              </w:rPr>
              <w:t>F</w:t>
            </w:r>
          </w:p>
        </w:tc>
        <w:tc>
          <w:tcPr>
            <w:tcW w:w="675" w:type="dxa"/>
            <w:vMerge w:val="restart"/>
            <w:tcBorders>
              <w:bottom w:val="nil"/>
            </w:tcBorders>
            <w:vAlign w:val="top"/>
          </w:tcPr>
          <w:p>
            <w:pPr>
              <w:spacing w:before="248" w:line="200" w:lineRule="auto"/>
              <w:ind w:left="24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w:t>
            </w:r>
          </w:p>
        </w:tc>
        <w:tc>
          <w:tcPr>
            <w:tcW w:w="577" w:type="dxa"/>
            <w:vMerge w:val="restart"/>
            <w:tcBorders>
              <w:bottom w:val="nil"/>
            </w:tcBorders>
            <w:vAlign w:val="top"/>
          </w:tcPr>
          <w:p>
            <w:pPr>
              <w:spacing w:before="217"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3" w:line="230"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38"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3"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0.4</w:t>
            </w:r>
          </w:p>
        </w:tc>
        <w:tc>
          <w:tcPr>
            <w:tcW w:w="689"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59.6</w:t>
            </w:r>
          </w:p>
        </w:tc>
        <w:tc>
          <w:tcPr>
            <w:tcW w:w="689" w:type="dxa"/>
            <w:vAlign w:val="top"/>
          </w:tcPr>
          <w:p>
            <w:pPr>
              <w:spacing w:before="83"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.6</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51.</w:t>
            </w:r>
            <w:r>
              <w:rPr>
                <w:rFonts w:ascii="Times New Roman" w:hAnsi="Times New Roman" w:eastAsia="Times New Roman" w:cs="Times New Roman"/>
                <w:spacing w:val="3"/>
                <w:sz w:val="17"/>
                <w:szCs w:val="17"/>
              </w:rPr>
              <w:t>8</w:t>
            </w:r>
          </w:p>
        </w:tc>
        <w:tc>
          <w:tcPr>
            <w:tcW w:w="689" w:type="dxa"/>
            <w:vAlign w:val="top"/>
          </w:tcPr>
          <w:p>
            <w:pPr>
              <w:spacing w:before="82"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59.</w:t>
            </w:r>
            <w:r>
              <w:rPr>
                <w:rFonts w:ascii="Times New Roman" w:hAnsi="Times New Roman" w:eastAsia="Times New Roman" w:cs="Times New Roman"/>
                <w:spacing w:val="3"/>
                <w:sz w:val="17"/>
                <w:szCs w:val="17"/>
              </w:rPr>
              <w:t>8</w:t>
            </w:r>
          </w:p>
        </w:tc>
        <w:tc>
          <w:tcPr>
            <w:tcW w:w="688" w:type="dxa"/>
            <w:vAlign w:val="top"/>
          </w:tcPr>
          <w:p>
            <w:pPr>
              <w:spacing w:before="83"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3"/>
                <w:sz w:val="17"/>
                <w:szCs w:val="17"/>
              </w:rPr>
              <w:t>.8</w:t>
            </w:r>
          </w:p>
        </w:tc>
        <w:tc>
          <w:tcPr>
            <w:tcW w:w="690" w:type="dxa"/>
            <w:vAlign w:val="top"/>
          </w:tcPr>
          <w:p>
            <w:pPr>
              <w:spacing w:before="82"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2.2</w:t>
            </w:r>
          </w:p>
        </w:tc>
        <w:tc>
          <w:tcPr>
            <w:tcW w:w="689" w:type="dxa"/>
            <w:vAlign w:val="top"/>
          </w:tcPr>
          <w:p>
            <w:pPr>
              <w:spacing w:before="82"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59.</w:t>
            </w:r>
            <w:r>
              <w:rPr>
                <w:rFonts w:ascii="Times New Roman" w:hAnsi="Times New Roman" w:eastAsia="Times New Roman" w:cs="Times New Roman"/>
                <w:spacing w:val="3"/>
                <w:sz w:val="17"/>
                <w:szCs w:val="17"/>
              </w:rPr>
              <w:t>8</w:t>
            </w:r>
          </w:p>
        </w:tc>
        <w:tc>
          <w:tcPr>
            <w:tcW w:w="689" w:type="dxa"/>
            <w:vAlign w:val="top"/>
          </w:tcPr>
          <w:p>
            <w:pPr>
              <w:spacing w:before="83"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4"/>
                <w:sz w:val="17"/>
                <w:szCs w:val="17"/>
              </w:rPr>
              <w:t>.8</w:t>
            </w:r>
          </w:p>
        </w:tc>
        <w:tc>
          <w:tcPr>
            <w:tcW w:w="694" w:type="dxa"/>
            <w:vAlign w:val="top"/>
          </w:tcPr>
          <w:p>
            <w:pPr>
              <w:spacing w:before="82"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4" w:line="229"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2"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39"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3" w:line="200"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1.9</w:t>
            </w:r>
          </w:p>
        </w:tc>
        <w:tc>
          <w:tcPr>
            <w:tcW w:w="689" w:type="dxa"/>
            <w:vAlign w:val="top"/>
          </w:tcPr>
          <w:p>
            <w:pPr>
              <w:spacing w:before="83"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9.8</w:t>
            </w:r>
          </w:p>
        </w:tc>
        <w:tc>
          <w:tcPr>
            <w:tcW w:w="689" w:type="dxa"/>
            <w:vAlign w:val="top"/>
          </w:tcPr>
          <w:p>
            <w:pPr>
              <w:spacing w:before="83"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4"/>
                <w:sz w:val="17"/>
                <w:szCs w:val="17"/>
              </w:rPr>
              <w:t>.8</w:t>
            </w:r>
          </w:p>
        </w:tc>
        <w:tc>
          <w:tcPr>
            <w:tcW w:w="690" w:type="dxa"/>
            <w:vAlign w:val="top"/>
          </w:tcPr>
          <w:p>
            <w:pPr>
              <w:spacing w:before="83"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3.2</w:t>
            </w:r>
          </w:p>
        </w:tc>
        <w:tc>
          <w:tcPr>
            <w:tcW w:w="689" w:type="dxa"/>
            <w:vAlign w:val="top"/>
          </w:tcPr>
          <w:p>
            <w:pPr>
              <w:spacing w:before="83"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2"/>
                <w:sz w:val="17"/>
                <w:szCs w:val="17"/>
              </w:rPr>
              <w:t>0.0</w:t>
            </w:r>
          </w:p>
        </w:tc>
        <w:tc>
          <w:tcPr>
            <w:tcW w:w="688" w:type="dxa"/>
            <w:vAlign w:val="top"/>
          </w:tcPr>
          <w:p>
            <w:pPr>
              <w:spacing w:before="83"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w:t>
            </w:r>
            <w:r>
              <w:rPr>
                <w:rFonts w:ascii="Times New Roman" w:hAnsi="Times New Roman" w:eastAsia="Times New Roman" w:cs="Times New Roman"/>
                <w:spacing w:val="-3"/>
                <w:sz w:val="17"/>
                <w:szCs w:val="17"/>
              </w:rPr>
              <w:t>.0</w:t>
            </w:r>
          </w:p>
        </w:tc>
        <w:tc>
          <w:tcPr>
            <w:tcW w:w="690" w:type="dxa"/>
            <w:vAlign w:val="top"/>
          </w:tcPr>
          <w:p>
            <w:pPr>
              <w:spacing w:before="83"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3.6</w:t>
            </w:r>
          </w:p>
        </w:tc>
        <w:tc>
          <w:tcPr>
            <w:tcW w:w="689" w:type="dxa"/>
            <w:vAlign w:val="top"/>
          </w:tcPr>
          <w:p>
            <w:pPr>
              <w:spacing w:before="83"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5</w:t>
            </w:r>
            <w:r>
              <w:rPr>
                <w:rFonts w:ascii="Times New Roman" w:hAnsi="Times New Roman" w:eastAsia="Times New Roman" w:cs="Times New Roman"/>
                <w:spacing w:val="-3"/>
                <w:sz w:val="17"/>
                <w:szCs w:val="17"/>
              </w:rPr>
              <w:t>0. 1</w:t>
            </w:r>
          </w:p>
        </w:tc>
        <w:tc>
          <w:tcPr>
            <w:tcW w:w="689" w:type="dxa"/>
            <w:vAlign w:val="top"/>
          </w:tcPr>
          <w:p>
            <w:pPr>
              <w:spacing w:before="83"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1.1</w:t>
            </w:r>
          </w:p>
        </w:tc>
        <w:tc>
          <w:tcPr>
            <w:tcW w:w="694" w:type="dxa"/>
            <w:shd w:val="clear" w:color="auto" w:fill="FFD1E1"/>
            <w:vAlign w:val="top"/>
          </w:tcPr>
          <w:p>
            <w:pPr>
              <w:spacing w:before="83" w:line="197" w:lineRule="auto"/>
              <w:ind w:left="239"/>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49" w:line="197" w:lineRule="auto"/>
              <w:ind w:left="202"/>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z w:val="17"/>
                <w:szCs w:val="17"/>
              </w:rPr>
              <w:t>F</w:t>
            </w:r>
          </w:p>
        </w:tc>
        <w:tc>
          <w:tcPr>
            <w:tcW w:w="675" w:type="dxa"/>
            <w:vMerge w:val="restart"/>
            <w:tcBorders>
              <w:bottom w:val="nil"/>
            </w:tcBorders>
            <w:vAlign w:val="top"/>
          </w:tcPr>
          <w:p>
            <w:pPr>
              <w:spacing w:before="249" w:line="200" w:lineRule="auto"/>
              <w:ind w:left="22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w:t>
            </w:r>
            <w:r>
              <w:rPr>
                <w:rFonts w:ascii="Times New Roman" w:hAnsi="Times New Roman" w:eastAsia="Times New Roman" w:cs="Times New Roman"/>
                <w:spacing w:val="3"/>
                <w:sz w:val="17"/>
                <w:szCs w:val="17"/>
              </w:rPr>
              <w:t>2</w:t>
            </w:r>
          </w:p>
        </w:tc>
        <w:tc>
          <w:tcPr>
            <w:tcW w:w="577" w:type="dxa"/>
            <w:vMerge w:val="restart"/>
            <w:tcBorders>
              <w:bottom w:val="nil"/>
            </w:tcBorders>
            <w:vAlign w:val="top"/>
          </w:tcPr>
          <w:p>
            <w:pPr>
              <w:spacing w:before="218"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4" w:line="229"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39"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4"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50.6</w:t>
            </w:r>
          </w:p>
        </w:tc>
        <w:tc>
          <w:tcPr>
            <w:tcW w:w="689" w:type="dxa"/>
            <w:vAlign w:val="top"/>
          </w:tcPr>
          <w:p>
            <w:pPr>
              <w:spacing w:before="83"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59.6</w:t>
            </w:r>
          </w:p>
        </w:tc>
        <w:tc>
          <w:tcPr>
            <w:tcW w:w="689" w:type="dxa"/>
            <w:vAlign w:val="top"/>
          </w:tcPr>
          <w:p>
            <w:pPr>
              <w:spacing w:before="84"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.6</w:t>
            </w:r>
          </w:p>
        </w:tc>
        <w:tc>
          <w:tcPr>
            <w:tcW w:w="690" w:type="dxa"/>
            <w:vAlign w:val="top"/>
          </w:tcPr>
          <w:p>
            <w:pPr>
              <w:spacing w:before="83"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51.</w:t>
            </w:r>
            <w:r>
              <w:rPr>
                <w:rFonts w:ascii="Times New Roman" w:hAnsi="Times New Roman" w:eastAsia="Times New Roman" w:cs="Times New Roman"/>
                <w:spacing w:val="2"/>
                <w:sz w:val="17"/>
                <w:szCs w:val="17"/>
              </w:rPr>
              <w:t>9</w:t>
            </w:r>
          </w:p>
        </w:tc>
        <w:tc>
          <w:tcPr>
            <w:tcW w:w="689" w:type="dxa"/>
            <w:vAlign w:val="top"/>
          </w:tcPr>
          <w:p>
            <w:pPr>
              <w:spacing w:before="83"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59.</w:t>
            </w:r>
            <w:r>
              <w:rPr>
                <w:rFonts w:ascii="Times New Roman" w:hAnsi="Times New Roman" w:eastAsia="Times New Roman" w:cs="Times New Roman"/>
                <w:spacing w:val="3"/>
                <w:sz w:val="17"/>
                <w:szCs w:val="17"/>
              </w:rPr>
              <w:t>8</w:t>
            </w:r>
          </w:p>
        </w:tc>
        <w:tc>
          <w:tcPr>
            <w:tcW w:w="688" w:type="dxa"/>
            <w:vAlign w:val="top"/>
          </w:tcPr>
          <w:p>
            <w:pPr>
              <w:spacing w:before="84"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3"/>
                <w:sz w:val="17"/>
                <w:szCs w:val="17"/>
              </w:rPr>
              <w:t>.8</w:t>
            </w:r>
          </w:p>
        </w:tc>
        <w:tc>
          <w:tcPr>
            <w:tcW w:w="690" w:type="dxa"/>
            <w:vAlign w:val="top"/>
          </w:tcPr>
          <w:p>
            <w:pPr>
              <w:spacing w:before="83"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52.</w:t>
            </w:r>
            <w:r>
              <w:rPr>
                <w:rFonts w:ascii="Times New Roman" w:hAnsi="Times New Roman" w:eastAsia="Times New Roman" w:cs="Times New Roman"/>
                <w:spacing w:val="2"/>
                <w:sz w:val="17"/>
                <w:szCs w:val="17"/>
              </w:rPr>
              <w:t>3</w:t>
            </w:r>
          </w:p>
        </w:tc>
        <w:tc>
          <w:tcPr>
            <w:tcW w:w="689" w:type="dxa"/>
            <w:vAlign w:val="top"/>
          </w:tcPr>
          <w:p>
            <w:pPr>
              <w:spacing w:before="83"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59.</w:t>
            </w:r>
            <w:r>
              <w:rPr>
                <w:rFonts w:ascii="Times New Roman" w:hAnsi="Times New Roman" w:eastAsia="Times New Roman" w:cs="Times New Roman"/>
                <w:spacing w:val="3"/>
                <w:sz w:val="17"/>
                <w:szCs w:val="17"/>
              </w:rPr>
              <w:t>8</w:t>
            </w:r>
          </w:p>
        </w:tc>
        <w:tc>
          <w:tcPr>
            <w:tcW w:w="689" w:type="dxa"/>
            <w:vAlign w:val="top"/>
          </w:tcPr>
          <w:p>
            <w:pPr>
              <w:spacing w:before="84"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4"/>
                <w:sz w:val="17"/>
                <w:szCs w:val="17"/>
              </w:rPr>
              <w:t>.8</w:t>
            </w:r>
          </w:p>
        </w:tc>
        <w:tc>
          <w:tcPr>
            <w:tcW w:w="694" w:type="dxa"/>
            <w:vAlign w:val="top"/>
          </w:tcPr>
          <w:p>
            <w:pPr>
              <w:spacing w:before="83"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2" w:line="231"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3"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39" w:line="243"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3"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4" w:line="200"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42.0</w:t>
            </w:r>
          </w:p>
        </w:tc>
        <w:tc>
          <w:tcPr>
            <w:tcW w:w="689" w:type="dxa"/>
            <w:vAlign w:val="top"/>
          </w:tcPr>
          <w:p>
            <w:pPr>
              <w:spacing w:before="84"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9.8</w:t>
            </w:r>
          </w:p>
        </w:tc>
        <w:tc>
          <w:tcPr>
            <w:tcW w:w="689" w:type="dxa"/>
            <w:vAlign w:val="top"/>
          </w:tcPr>
          <w:p>
            <w:pPr>
              <w:spacing w:before="84"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4"/>
                <w:sz w:val="17"/>
                <w:szCs w:val="17"/>
              </w:rPr>
              <w:t>.8</w:t>
            </w:r>
          </w:p>
        </w:tc>
        <w:tc>
          <w:tcPr>
            <w:tcW w:w="690" w:type="dxa"/>
            <w:vAlign w:val="top"/>
          </w:tcPr>
          <w:p>
            <w:pPr>
              <w:spacing w:before="84"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3.3</w:t>
            </w:r>
          </w:p>
        </w:tc>
        <w:tc>
          <w:tcPr>
            <w:tcW w:w="689" w:type="dxa"/>
            <w:vAlign w:val="top"/>
          </w:tcPr>
          <w:p>
            <w:pPr>
              <w:spacing w:before="84"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2"/>
                <w:sz w:val="17"/>
                <w:szCs w:val="17"/>
              </w:rPr>
              <w:t>0.0</w:t>
            </w:r>
          </w:p>
        </w:tc>
        <w:tc>
          <w:tcPr>
            <w:tcW w:w="688" w:type="dxa"/>
            <w:vAlign w:val="top"/>
          </w:tcPr>
          <w:p>
            <w:pPr>
              <w:spacing w:before="84"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w:t>
            </w:r>
            <w:r>
              <w:rPr>
                <w:rFonts w:ascii="Times New Roman" w:hAnsi="Times New Roman" w:eastAsia="Times New Roman" w:cs="Times New Roman"/>
                <w:spacing w:val="-3"/>
                <w:sz w:val="17"/>
                <w:szCs w:val="17"/>
              </w:rPr>
              <w:t>.0</w:t>
            </w:r>
          </w:p>
        </w:tc>
        <w:tc>
          <w:tcPr>
            <w:tcW w:w="690" w:type="dxa"/>
            <w:vAlign w:val="top"/>
          </w:tcPr>
          <w:p>
            <w:pPr>
              <w:spacing w:before="84"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43.7</w:t>
            </w:r>
          </w:p>
        </w:tc>
        <w:tc>
          <w:tcPr>
            <w:tcW w:w="689" w:type="dxa"/>
            <w:vAlign w:val="top"/>
          </w:tcPr>
          <w:p>
            <w:pPr>
              <w:spacing w:before="84"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5</w:t>
            </w:r>
            <w:r>
              <w:rPr>
                <w:rFonts w:ascii="Times New Roman" w:hAnsi="Times New Roman" w:eastAsia="Times New Roman" w:cs="Times New Roman"/>
                <w:spacing w:val="-3"/>
                <w:sz w:val="17"/>
                <w:szCs w:val="17"/>
              </w:rPr>
              <w:t>0. 1</w:t>
            </w:r>
          </w:p>
        </w:tc>
        <w:tc>
          <w:tcPr>
            <w:tcW w:w="689" w:type="dxa"/>
            <w:vAlign w:val="top"/>
          </w:tcPr>
          <w:p>
            <w:pPr>
              <w:spacing w:before="84"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1.1</w:t>
            </w:r>
          </w:p>
        </w:tc>
        <w:tc>
          <w:tcPr>
            <w:tcW w:w="694" w:type="dxa"/>
            <w:shd w:val="clear" w:color="auto" w:fill="FFD1E1"/>
            <w:vAlign w:val="top"/>
          </w:tcPr>
          <w:p>
            <w:pPr>
              <w:spacing w:before="84" w:line="197" w:lineRule="auto"/>
              <w:ind w:left="239"/>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47" w:line="197" w:lineRule="auto"/>
              <w:ind w:left="20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z w:val="17"/>
                <w:szCs w:val="17"/>
              </w:rPr>
              <w:t>F</w:t>
            </w:r>
          </w:p>
        </w:tc>
        <w:tc>
          <w:tcPr>
            <w:tcW w:w="675" w:type="dxa"/>
            <w:vMerge w:val="restart"/>
            <w:tcBorders>
              <w:bottom w:val="nil"/>
            </w:tcBorders>
            <w:vAlign w:val="top"/>
          </w:tcPr>
          <w:p>
            <w:pPr>
              <w:spacing w:before="247" w:line="197" w:lineRule="auto"/>
              <w:ind w:left="22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7</w:t>
            </w:r>
            <w:r>
              <w:rPr>
                <w:rFonts w:ascii="Times New Roman" w:hAnsi="Times New Roman" w:eastAsia="Times New Roman" w:cs="Times New Roman"/>
                <w:spacing w:val="2"/>
                <w:sz w:val="17"/>
                <w:szCs w:val="17"/>
              </w:rPr>
              <w:t>.2</w:t>
            </w:r>
          </w:p>
        </w:tc>
        <w:tc>
          <w:tcPr>
            <w:tcW w:w="577" w:type="dxa"/>
            <w:vMerge w:val="restart"/>
            <w:tcBorders>
              <w:bottom w:val="nil"/>
            </w:tcBorders>
            <w:vAlign w:val="top"/>
          </w:tcPr>
          <w:p>
            <w:pPr>
              <w:spacing w:before="219"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3" w:line="230"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3"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40"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3"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50.6</w:t>
            </w:r>
          </w:p>
        </w:tc>
        <w:tc>
          <w:tcPr>
            <w:tcW w:w="689"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59.6</w:t>
            </w:r>
          </w:p>
        </w:tc>
        <w:tc>
          <w:tcPr>
            <w:tcW w:w="689" w:type="dxa"/>
            <w:vAlign w:val="top"/>
          </w:tcPr>
          <w:p>
            <w:pPr>
              <w:spacing w:before="82"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.6</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51.</w:t>
            </w:r>
            <w:r>
              <w:rPr>
                <w:rFonts w:ascii="Times New Roman" w:hAnsi="Times New Roman" w:eastAsia="Times New Roman" w:cs="Times New Roman"/>
                <w:spacing w:val="2"/>
                <w:sz w:val="17"/>
                <w:szCs w:val="17"/>
              </w:rPr>
              <w:t>9</w:t>
            </w:r>
          </w:p>
        </w:tc>
        <w:tc>
          <w:tcPr>
            <w:tcW w:w="689" w:type="dxa"/>
            <w:vAlign w:val="top"/>
          </w:tcPr>
          <w:p>
            <w:pPr>
              <w:spacing w:before="82"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59.</w:t>
            </w:r>
            <w:r>
              <w:rPr>
                <w:rFonts w:ascii="Times New Roman" w:hAnsi="Times New Roman" w:eastAsia="Times New Roman" w:cs="Times New Roman"/>
                <w:spacing w:val="3"/>
                <w:sz w:val="17"/>
                <w:szCs w:val="17"/>
              </w:rPr>
              <w:t>8</w:t>
            </w:r>
          </w:p>
        </w:tc>
        <w:tc>
          <w:tcPr>
            <w:tcW w:w="688" w:type="dxa"/>
            <w:vAlign w:val="top"/>
          </w:tcPr>
          <w:p>
            <w:pPr>
              <w:spacing w:before="82"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3"/>
                <w:sz w:val="17"/>
                <w:szCs w:val="17"/>
              </w:rPr>
              <w:t>.8</w:t>
            </w:r>
          </w:p>
        </w:tc>
        <w:tc>
          <w:tcPr>
            <w:tcW w:w="690" w:type="dxa"/>
            <w:vAlign w:val="top"/>
          </w:tcPr>
          <w:p>
            <w:pPr>
              <w:spacing w:before="82"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52.</w:t>
            </w:r>
            <w:r>
              <w:rPr>
                <w:rFonts w:ascii="Times New Roman" w:hAnsi="Times New Roman" w:eastAsia="Times New Roman" w:cs="Times New Roman"/>
                <w:spacing w:val="2"/>
                <w:sz w:val="17"/>
                <w:szCs w:val="17"/>
              </w:rPr>
              <w:t>3</w:t>
            </w:r>
          </w:p>
        </w:tc>
        <w:tc>
          <w:tcPr>
            <w:tcW w:w="689" w:type="dxa"/>
            <w:vAlign w:val="top"/>
          </w:tcPr>
          <w:p>
            <w:pPr>
              <w:spacing w:before="82"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59.</w:t>
            </w:r>
            <w:r>
              <w:rPr>
                <w:rFonts w:ascii="Times New Roman" w:hAnsi="Times New Roman" w:eastAsia="Times New Roman" w:cs="Times New Roman"/>
                <w:spacing w:val="3"/>
                <w:sz w:val="17"/>
                <w:szCs w:val="17"/>
              </w:rPr>
              <w:t>8</w:t>
            </w:r>
          </w:p>
        </w:tc>
        <w:tc>
          <w:tcPr>
            <w:tcW w:w="689" w:type="dxa"/>
            <w:vAlign w:val="top"/>
          </w:tcPr>
          <w:p>
            <w:pPr>
              <w:spacing w:before="82"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4"/>
                <w:sz w:val="17"/>
                <w:szCs w:val="17"/>
              </w:rPr>
              <w:t>.8</w:t>
            </w:r>
          </w:p>
        </w:tc>
        <w:tc>
          <w:tcPr>
            <w:tcW w:w="694" w:type="dxa"/>
            <w:vAlign w:val="top"/>
          </w:tcPr>
          <w:p>
            <w:pPr>
              <w:spacing w:before="82"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3" w:line="230"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4"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40"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4"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2" w:line="200"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42.0</w:t>
            </w:r>
          </w:p>
        </w:tc>
        <w:tc>
          <w:tcPr>
            <w:tcW w:w="689" w:type="dxa"/>
            <w:vAlign w:val="top"/>
          </w:tcPr>
          <w:p>
            <w:pPr>
              <w:spacing w:before="82"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9.8</w:t>
            </w:r>
          </w:p>
        </w:tc>
        <w:tc>
          <w:tcPr>
            <w:tcW w:w="689" w:type="dxa"/>
            <w:vAlign w:val="top"/>
          </w:tcPr>
          <w:p>
            <w:pPr>
              <w:spacing w:before="82"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4"/>
                <w:sz w:val="17"/>
                <w:szCs w:val="17"/>
              </w:rPr>
              <w:t>.8</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3.3</w:t>
            </w:r>
          </w:p>
        </w:tc>
        <w:tc>
          <w:tcPr>
            <w:tcW w:w="689" w:type="dxa"/>
            <w:vAlign w:val="top"/>
          </w:tcPr>
          <w:p>
            <w:pPr>
              <w:spacing w:before="82"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2"/>
                <w:sz w:val="17"/>
                <w:szCs w:val="17"/>
              </w:rPr>
              <w:t>0.0</w:t>
            </w:r>
          </w:p>
        </w:tc>
        <w:tc>
          <w:tcPr>
            <w:tcW w:w="688" w:type="dxa"/>
            <w:vAlign w:val="top"/>
          </w:tcPr>
          <w:p>
            <w:pPr>
              <w:spacing w:before="82"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w:t>
            </w:r>
            <w:r>
              <w:rPr>
                <w:rFonts w:ascii="Times New Roman" w:hAnsi="Times New Roman" w:eastAsia="Times New Roman" w:cs="Times New Roman"/>
                <w:spacing w:val="-3"/>
                <w:sz w:val="17"/>
                <w:szCs w:val="17"/>
              </w:rPr>
              <w:t>.0</w:t>
            </w:r>
          </w:p>
        </w:tc>
        <w:tc>
          <w:tcPr>
            <w:tcW w:w="690" w:type="dxa"/>
            <w:vAlign w:val="top"/>
          </w:tcPr>
          <w:p>
            <w:pPr>
              <w:spacing w:before="82"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43.7</w:t>
            </w:r>
          </w:p>
        </w:tc>
        <w:tc>
          <w:tcPr>
            <w:tcW w:w="689" w:type="dxa"/>
            <w:vAlign w:val="top"/>
          </w:tcPr>
          <w:p>
            <w:pPr>
              <w:spacing w:before="82"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5</w:t>
            </w:r>
            <w:r>
              <w:rPr>
                <w:rFonts w:ascii="Times New Roman" w:hAnsi="Times New Roman" w:eastAsia="Times New Roman" w:cs="Times New Roman"/>
                <w:spacing w:val="-3"/>
                <w:sz w:val="17"/>
                <w:szCs w:val="17"/>
              </w:rPr>
              <w:t>0. 1</w:t>
            </w:r>
          </w:p>
        </w:tc>
        <w:tc>
          <w:tcPr>
            <w:tcW w:w="689" w:type="dxa"/>
            <w:vAlign w:val="top"/>
          </w:tcPr>
          <w:p>
            <w:pPr>
              <w:spacing w:before="82"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1.1</w:t>
            </w:r>
          </w:p>
        </w:tc>
        <w:tc>
          <w:tcPr>
            <w:tcW w:w="694" w:type="dxa"/>
            <w:shd w:val="clear" w:color="auto" w:fill="FFD1E1"/>
            <w:vAlign w:val="top"/>
          </w:tcPr>
          <w:p>
            <w:pPr>
              <w:spacing w:before="82" w:line="197" w:lineRule="auto"/>
              <w:ind w:left="239"/>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48" w:line="197" w:lineRule="auto"/>
              <w:ind w:left="202"/>
              <w:rPr>
                <w:rFonts w:ascii="Times New Roman" w:hAnsi="Times New Roman" w:eastAsia="Times New Roman" w:cs="Times New Roman"/>
                <w:sz w:val="17"/>
                <w:szCs w:val="17"/>
              </w:rPr>
            </w:pPr>
            <w:r>
              <w:rPr>
                <w:rFonts w:ascii="Times New Roman" w:hAnsi="Times New Roman" w:eastAsia="Times New Roman" w:cs="Times New Roman"/>
                <w:spacing w:val="8"/>
                <w:sz w:val="17"/>
                <w:szCs w:val="17"/>
              </w:rPr>
              <w:t>4</w:t>
            </w:r>
            <w:r>
              <w:rPr>
                <w:rFonts w:ascii="Times New Roman" w:hAnsi="Times New Roman" w:eastAsia="Times New Roman" w:cs="Times New Roman"/>
                <w:sz w:val="17"/>
                <w:szCs w:val="17"/>
              </w:rPr>
              <w:t>F</w:t>
            </w:r>
          </w:p>
        </w:tc>
        <w:tc>
          <w:tcPr>
            <w:tcW w:w="675" w:type="dxa"/>
            <w:vMerge w:val="restart"/>
            <w:tcBorders>
              <w:bottom w:val="nil"/>
            </w:tcBorders>
            <w:vAlign w:val="top"/>
          </w:tcPr>
          <w:p>
            <w:pPr>
              <w:spacing w:before="248"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10.</w:t>
            </w:r>
            <w:r>
              <w:rPr>
                <w:rFonts w:ascii="Times New Roman" w:hAnsi="Times New Roman" w:eastAsia="Times New Roman" w:cs="Times New Roman"/>
                <w:sz w:val="17"/>
                <w:szCs w:val="17"/>
              </w:rPr>
              <w:t>2</w:t>
            </w:r>
          </w:p>
        </w:tc>
        <w:tc>
          <w:tcPr>
            <w:tcW w:w="577" w:type="dxa"/>
            <w:vMerge w:val="restart"/>
            <w:tcBorders>
              <w:bottom w:val="nil"/>
            </w:tcBorders>
            <w:vAlign w:val="top"/>
          </w:tcPr>
          <w:p>
            <w:pPr>
              <w:spacing w:before="217"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3" w:line="230"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38"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3"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0.5</w:t>
            </w:r>
          </w:p>
        </w:tc>
        <w:tc>
          <w:tcPr>
            <w:tcW w:w="689"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59.6</w:t>
            </w:r>
          </w:p>
        </w:tc>
        <w:tc>
          <w:tcPr>
            <w:tcW w:w="689" w:type="dxa"/>
            <w:vAlign w:val="top"/>
          </w:tcPr>
          <w:p>
            <w:pPr>
              <w:spacing w:before="83"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.6</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51.</w:t>
            </w:r>
            <w:r>
              <w:rPr>
                <w:rFonts w:ascii="Times New Roman" w:hAnsi="Times New Roman" w:eastAsia="Times New Roman" w:cs="Times New Roman"/>
                <w:spacing w:val="2"/>
                <w:sz w:val="17"/>
                <w:szCs w:val="17"/>
              </w:rPr>
              <w:t>9</w:t>
            </w:r>
          </w:p>
        </w:tc>
        <w:tc>
          <w:tcPr>
            <w:tcW w:w="689" w:type="dxa"/>
            <w:vAlign w:val="top"/>
          </w:tcPr>
          <w:p>
            <w:pPr>
              <w:spacing w:before="82"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59.</w:t>
            </w:r>
            <w:r>
              <w:rPr>
                <w:rFonts w:ascii="Times New Roman" w:hAnsi="Times New Roman" w:eastAsia="Times New Roman" w:cs="Times New Roman"/>
                <w:spacing w:val="3"/>
                <w:sz w:val="17"/>
                <w:szCs w:val="17"/>
              </w:rPr>
              <w:t>8</w:t>
            </w:r>
          </w:p>
        </w:tc>
        <w:tc>
          <w:tcPr>
            <w:tcW w:w="688" w:type="dxa"/>
            <w:vAlign w:val="top"/>
          </w:tcPr>
          <w:p>
            <w:pPr>
              <w:spacing w:before="83"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3"/>
                <w:sz w:val="17"/>
                <w:szCs w:val="17"/>
              </w:rPr>
              <w:t>.8</w:t>
            </w:r>
          </w:p>
        </w:tc>
        <w:tc>
          <w:tcPr>
            <w:tcW w:w="690" w:type="dxa"/>
            <w:vAlign w:val="top"/>
          </w:tcPr>
          <w:p>
            <w:pPr>
              <w:spacing w:before="82"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52.</w:t>
            </w:r>
            <w:r>
              <w:rPr>
                <w:rFonts w:ascii="Times New Roman" w:hAnsi="Times New Roman" w:eastAsia="Times New Roman" w:cs="Times New Roman"/>
                <w:spacing w:val="2"/>
                <w:sz w:val="17"/>
                <w:szCs w:val="17"/>
              </w:rPr>
              <w:t>3</w:t>
            </w:r>
          </w:p>
        </w:tc>
        <w:tc>
          <w:tcPr>
            <w:tcW w:w="689" w:type="dxa"/>
            <w:vAlign w:val="top"/>
          </w:tcPr>
          <w:p>
            <w:pPr>
              <w:spacing w:before="82"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59.</w:t>
            </w:r>
            <w:r>
              <w:rPr>
                <w:rFonts w:ascii="Times New Roman" w:hAnsi="Times New Roman" w:eastAsia="Times New Roman" w:cs="Times New Roman"/>
                <w:spacing w:val="3"/>
                <w:sz w:val="17"/>
                <w:szCs w:val="17"/>
              </w:rPr>
              <w:t>8</w:t>
            </w:r>
          </w:p>
        </w:tc>
        <w:tc>
          <w:tcPr>
            <w:tcW w:w="689" w:type="dxa"/>
            <w:vAlign w:val="top"/>
          </w:tcPr>
          <w:p>
            <w:pPr>
              <w:spacing w:before="83"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4"/>
                <w:sz w:val="17"/>
                <w:szCs w:val="17"/>
              </w:rPr>
              <w:t>.8</w:t>
            </w:r>
          </w:p>
        </w:tc>
        <w:tc>
          <w:tcPr>
            <w:tcW w:w="694" w:type="dxa"/>
            <w:vAlign w:val="top"/>
          </w:tcPr>
          <w:p>
            <w:pPr>
              <w:spacing w:before="82"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4" w:line="229"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2"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39"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3" w:line="200"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42.0</w:t>
            </w:r>
          </w:p>
        </w:tc>
        <w:tc>
          <w:tcPr>
            <w:tcW w:w="689" w:type="dxa"/>
            <w:vAlign w:val="top"/>
          </w:tcPr>
          <w:p>
            <w:pPr>
              <w:spacing w:before="83"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9.8</w:t>
            </w:r>
          </w:p>
        </w:tc>
        <w:tc>
          <w:tcPr>
            <w:tcW w:w="689" w:type="dxa"/>
            <w:vAlign w:val="top"/>
          </w:tcPr>
          <w:p>
            <w:pPr>
              <w:spacing w:before="83"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4"/>
                <w:sz w:val="17"/>
                <w:szCs w:val="17"/>
              </w:rPr>
              <w:t>.8</w:t>
            </w:r>
          </w:p>
        </w:tc>
        <w:tc>
          <w:tcPr>
            <w:tcW w:w="690" w:type="dxa"/>
            <w:vAlign w:val="top"/>
          </w:tcPr>
          <w:p>
            <w:pPr>
              <w:spacing w:before="83"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3.3</w:t>
            </w:r>
          </w:p>
        </w:tc>
        <w:tc>
          <w:tcPr>
            <w:tcW w:w="689" w:type="dxa"/>
            <w:vAlign w:val="top"/>
          </w:tcPr>
          <w:p>
            <w:pPr>
              <w:spacing w:before="83"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2"/>
                <w:sz w:val="17"/>
                <w:szCs w:val="17"/>
              </w:rPr>
              <w:t>0.0</w:t>
            </w:r>
          </w:p>
        </w:tc>
        <w:tc>
          <w:tcPr>
            <w:tcW w:w="688" w:type="dxa"/>
            <w:vAlign w:val="top"/>
          </w:tcPr>
          <w:p>
            <w:pPr>
              <w:spacing w:before="83"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w:t>
            </w:r>
            <w:r>
              <w:rPr>
                <w:rFonts w:ascii="Times New Roman" w:hAnsi="Times New Roman" w:eastAsia="Times New Roman" w:cs="Times New Roman"/>
                <w:spacing w:val="-3"/>
                <w:sz w:val="17"/>
                <w:szCs w:val="17"/>
              </w:rPr>
              <w:t>.0</w:t>
            </w:r>
          </w:p>
        </w:tc>
        <w:tc>
          <w:tcPr>
            <w:tcW w:w="690" w:type="dxa"/>
            <w:vAlign w:val="top"/>
          </w:tcPr>
          <w:p>
            <w:pPr>
              <w:spacing w:before="83"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3.6</w:t>
            </w:r>
          </w:p>
        </w:tc>
        <w:tc>
          <w:tcPr>
            <w:tcW w:w="689" w:type="dxa"/>
            <w:vAlign w:val="top"/>
          </w:tcPr>
          <w:p>
            <w:pPr>
              <w:spacing w:before="83"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5</w:t>
            </w:r>
            <w:r>
              <w:rPr>
                <w:rFonts w:ascii="Times New Roman" w:hAnsi="Times New Roman" w:eastAsia="Times New Roman" w:cs="Times New Roman"/>
                <w:spacing w:val="-3"/>
                <w:sz w:val="17"/>
                <w:szCs w:val="17"/>
              </w:rPr>
              <w:t>0. 1</w:t>
            </w:r>
          </w:p>
        </w:tc>
        <w:tc>
          <w:tcPr>
            <w:tcW w:w="689" w:type="dxa"/>
            <w:vAlign w:val="top"/>
          </w:tcPr>
          <w:p>
            <w:pPr>
              <w:spacing w:before="83"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1.1</w:t>
            </w:r>
          </w:p>
        </w:tc>
        <w:tc>
          <w:tcPr>
            <w:tcW w:w="694" w:type="dxa"/>
            <w:shd w:val="clear" w:color="auto" w:fill="FFD1E1"/>
            <w:vAlign w:val="top"/>
          </w:tcPr>
          <w:p>
            <w:pPr>
              <w:spacing w:before="83" w:line="197" w:lineRule="auto"/>
              <w:ind w:left="239"/>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51" w:line="194" w:lineRule="auto"/>
              <w:ind w:left="16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55</w:t>
            </w:r>
            <w:r>
              <w:rPr>
                <w:rFonts w:ascii="Times New Roman" w:hAnsi="Times New Roman" w:eastAsia="Times New Roman" w:cs="Times New Roman"/>
                <w:sz w:val="17"/>
                <w:szCs w:val="17"/>
              </w:rPr>
              <w:t>F</w:t>
            </w:r>
          </w:p>
        </w:tc>
        <w:tc>
          <w:tcPr>
            <w:tcW w:w="675" w:type="dxa"/>
            <w:vMerge w:val="restart"/>
            <w:tcBorders>
              <w:bottom w:val="nil"/>
            </w:tcBorders>
            <w:vAlign w:val="top"/>
          </w:tcPr>
          <w:p>
            <w:pPr>
              <w:spacing w:before="249"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13.</w:t>
            </w:r>
            <w:r>
              <w:rPr>
                <w:rFonts w:ascii="Times New Roman" w:hAnsi="Times New Roman" w:eastAsia="Times New Roman" w:cs="Times New Roman"/>
                <w:sz w:val="17"/>
                <w:szCs w:val="17"/>
              </w:rPr>
              <w:t>2</w:t>
            </w:r>
          </w:p>
        </w:tc>
        <w:tc>
          <w:tcPr>
            <w:tcW w:w="577" w:type="dxa"/>
            <w:vMerge w:val="restart"/>
            <w:tcBorders>
              <w:bottom w:val="nil"/>
            </w:tcBorders>
            <w:vAlign w:val="top"/>
          </w:tcPr>
          <w:p>
            <w:pPr>
              <w:spacing w:before="218"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4" w:line="229"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39"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4"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0.5</w:t>
            </w:r>
          </w:p>
        </w:tc>
        <w:tc>
          <w:tcPr>
            <w:tcW w:w="689" w:type="dxa"/>
            <w:vAlign w:val="top"/>
          </w:tcPr>
          <w:p>
            <w:pPr>
              <w:spacing w:before="83"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59.6</w:t>
            </w:r>
          </w:p>
        </w:tc>
        <w:tc>
          <w:tcPr>
            <w:tcW w:w="689" w:type="dxa"/>
            <w:vAlign w:val="top"/>
          </w:tcPr>
          <w:p>
            <w:pPr>
              <w:spacing w:before="84"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.6</w:t>
            </w:r>
          </w:p>
        </w:tc>
        <w:tc>
          <w:tcPr>
            <w:tcW w:w="690" w:type="dxa"/>
            <w:vAlign w:val="top"/>
          </w:tcPr>
          <w:p>
            <w:pPr>
              <w:spacing w:before="83"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51.</w:t>
            </w:r>
            <w:r>
              <w:rPr>
                <w:rFonts w:ascii="Times New Roman" w:hAnsi="Times New Roman" w:eastAsia="Times New Roman" w:cs="Times New Roman"/>
                <w:spacing w:val="3"/>
                <w:sz w:val="17"/>
                <w:szCs w:val="17"/>
              </w:rPr>
              <w:t>8</w:t>
            </w:r>
          </w:p>
        </w:tc>
        <w:tc>
          <w:tcPr>
            <w:tcW w:w="689" w:type="dxa"/>
            <w:vAlign w:val="top"/>
          </w:tcPr>
          <w:p>
            <w:pPr>
              <w:spacing w:before="83"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59.</w:t>
            </w:r>
            <w:r>
              <w:rPr>
                <w:rFonts w:ascii="Times New Roman" w:hAnsi="Times New Roman" w:eastAsia="Times New Roman" w:cs="Times New Roman"/>
                <w:spacing w:val="3"/>
                <w:sz w:val="17"/>
                <w:szCs w:val="17"/>
              </w:rPr>
              <w:t>8</w:t>
            </w:r>
          </w:p>
        </w:tc>
        <w:tc>
          <w:tcPr>
            <w:tcW w:w="688" w:type="dxa"/>
            <w:vAlign w:val="top"/>
          </w:tcPr>
          <w:p>
            <w:pPr>
              <w:spacing w:before="84"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3"/>
                <w:sz w:val="17"/>
                <w:szCs w:val="17"/>
              </w:rPr>
              <w:t>.8</w:t>
            </w:r>
          </w:p>
        </w:tc>
        <w:tc>
          <w:tcPr>
            <w:tcW w:w="690" w:type="dxa"/>
            <w:vAlign w:val="top"/>
          </w:tcPr>
          <w:p>
            <w:pPr>
              <w:spacing w:before="83"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2.2</w:t>
            </w:r>
          </w:p>
        </w:tc>
        <w:tc>
          <w:tcPr>
            <w:tcW w:w="689" w:type="dxa"/>
            <w:vAlign w:val="top"/>
          </w:tcPr>
          <w:p>
            <w:pPr>
              <w:spacing w:before="83"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59.</w:t>
            </w:r>
            <w:r>
              <w:rPr>
                <w:rFonts w:ascii="Times New Roman" w:hAnsi="Times New Roman" w:eastAsia="Times New Roman" w:cs="Times New Roman"/>
                <w:spacing w:val="3"/>
                <w:sz w:val="17"/>
                <w:szCs w:val="17"/>
              </w:rPr>
              <w:t>8</w:t>
            </w:r>
          </w:p>
        </w:tc>
        <w:tc>
          <w:tcPr>
            <w:tcW w:w="689" w:type="dxa"/>
            <w:vAlign w:val="top"/>
          </w:tcPr>
          <w:p>
            <w:pPr>
              <w:spacing w:before="84"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4"/>
                <w:sz w:val="17"/>
                <w:szCs w:val="17"/>
              </w:rPr>
              <w:t>.8</w:t>
            </w:r>
          </w:p>
        </w:tc>
        <w:tc>
          <w:tcPr>
            <w:tcW w:w="694" w:type="dxa"/>
            <w:vAlign w:val="top"/>
          </w:tcPr>
          <w:p>
            <w:pPr>
              <w:spacing w:before="83"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2" w:line="231"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3"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39" w:line="243"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3"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4" w:line="200"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1.9</w:t>
            </w:r>
          </w:p>
        </w:tc>
        <w:tc>
          <w:tcPr>
            <w:tcW w:w="689" w:type="dxa"/>
            <w:vAlign w:val="top"/>
          </w:tcPr>
          <w:p>
            <w:pPr>
              <w:spacing w:before="84"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9.8</w:t>
            </w:r>
          </w:p>
        </w:tc>
        <w:tc>
          <w:tcPr>
            <w:tcW w:w="689" w:type="dxa"/>
            <w:vAlign w:val="top"/>
          </w:tcPr>
          <w:p>
            <w:pPr>
              <w:spacing w:before="84"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4"/>
                <w:sz w:val="17"/>
                <w:szCs w:val="17"/>
              </w:rPr>
              <w:t>.8</w:t>
            </w:r>
          </w:p>
        </w:tc>
        <w:tc>
          <w:tcPr>
            <w:tcW w:w="690" w:type="dxa"/>
            <w:vAlign w:val="top"/>
          </w:tcPr>
          <w:p>
            <w:pPr>
              <w:spacing w:before="84"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3.3</w:t>
            </w:r>
          </w:p>
        </w:tc>
        <w:tc>
          <w:tcPr>
            <w:tcW w:w="689" w:type="dxa"/>
            <w:vAlign w:val="top"/>
          </w:tcPr>
          <w:p>
            <w:pPr>
              <w:spacing w:before="84"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2"/>
                <w:sz w:val="17"/>
                <w:szCs w:val="17"/>
              </w:rPr>
              <w:t>0.0</w:t>
            </w:r>
          </w:p>
        </w:tc>
        <w:tc>
          <w:tcPr>
            <w:tcW w:w="688" w:type="dxa"/>
            <w:vAlign w:val="top"/>
          </w:tcPr>
          <w:p>
            <w:pPr>
              <w:spacing w:before="84"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w:t>
            </w:r>
            <w:r>
              <w:rPr>
                <w:rFonts w:ascii="Times New Roman" w:hAnsi="Times New Roman" w:eastAsia="Times New Roman" w:cs="Times New Roman"/>
                <w:spacing w:val="-3"/>
                <w:sz w:val="17"/>
                <w:szCs w:val="17"/>
              </w:rPr>
              <w:t>.0</w:t>
            </w:r>
          </w:p>
        </w:tc>
        <w:tc>
          <w:tcPr>
            <w:tcW w:w="690" w:type="dxa"/>
            <w:vAlign w:val="top"/>
          </w:tcPr>
          <w:p>
            <w:pPr>
              <w:spacing w:before="84"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3.6</w:t>
            </w:r>
          </w:p>
        </w:tc>
        <w:tc>
          <w:tcPr>
            <w:tcW w:w="689" w:type="dxa"/>
            <w:vAlign w:val="top"/>
          </w:tcPr>
          <w:p>
            <w:pPr>
              <w:spacing w:before="84"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5</w:t>
            </w:r>
            <w:r>
              <w:rPr>
                <w:rFonts w:ascii="Times New Roman" w:hAnsi="Times New Roman" w:eastAsia="Times New Roman" w:cs="Times New Roman"/>
                <w:spacing w:val="-3"/>
                <w:sz w:val="17"/>
                <w:szCs w:val="17"/>
              </w:rPr>
              <w:t>0. 1</w:t>
            </w:r>
          </w:p>
        </w:tc>
        <w:tc>
          <w:tcPr>
            <w:tcW w:w="689" w:type="dxa"/>
            <w:vAlign w:val="top"/>
          </w:tcPr>
          <w:p>
            <w:pPr>
              <w:spacing w:before="84"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1.1</w:t>
            </w:r>
          </w:p>
        </w:tc>
        <w:tc>
          <w:tcPr>
            <w:tcW w:w="694" w:type="dxa"/>
            <w:shd w:val="clear" w:color="auto" w:fill="FFD1E1"/>
            <w:vAlign w:val="top"/>
          </w:tcPr>
          <w:p>
            <w:pPr>
              <w:spacing w:before="84" w:line="197" w:lineRule="auto"/>
              <w:ind w:left="239"/>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47" w:line="197" w:lineRule="auto"/>
              <w:ind w:left="20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6</w:t>
            </w:r>
            <w:r>
              <w:rPr>
                <w:rFonts w:ascii="Times New Roman" w:hAnsi="Times New Roman" w:eastAsia="Times New Roman" w:cs="Times New Roman"/>
                <w:sz w:val="17"/>
                <w:szCs w:val="17"/>
              </w:rPr>
              <w:t>F</w:t>
            </w:r>
          </w:p>
        </w:tc>
        <w:tc>
          <w:tcPr>
            <w:tcW w:w="675" w:type="dxa"/>
            <w:vMerge w:val="restart"/>
            <w:tcBorders>
              <w:bottom w:val="nil"/>
            </w:tcBorders>
            <w:vAlign w:val="top"/>
          </w:tcPr>
          <w:p>
            <w:pPr>
              <w:spacing w:before="248"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16.</w:t>
            </w:r>
            <w:r>
              <w:rPr>
                <w:rFonts w:ascii="Times New Roman" w:hAnsi="Times New Roman" w:eastAsia="Times New Roman" w:cs="Times New Roman"/>
                <w:sz w:val="17"/>
                <w:szCs w:val="17"/>
              </w:rPr>
              <w:t>2</w:t>
            </w:r>
          </w:p>
        </w:tc>
        <w:tc>
          <w:tcPr>
            <w:tcW w:w="577" w:type="dxa"/>
            <w:vMerge w:val="restart"/>
            <w:tcBorders>
              <w:bottom w:val="nil"/>
            </w:tcBorders>
            <w:vAlign w:val="top"/>
          </w:tcPr>
          <w:p>
            <w:pPr>
              <w:spacing w:before="219"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3" w:line="230"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3"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40"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3"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0.4</w:t>
            </w:r>
          </w:p>
        </w:tc>
        <w:tc>
          <w:tcPr>
            <w:tcW w:w="689"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59.6</w:t>
            </w:r>
          </w:p>
        </w:tc>
        <w:tc>
          <w:tcPr>
            <w:tcW w:w="689" w:type="dxa"/>
            <w:vAlign w:val="top"/>
          </w:tcPr>
          <w:p>
            <w:pPr>
              <w:spacing w:before="82"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.6</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51.</w:t>
            </w:r>
            <w:r>
              <w:rPr>
                <w:rFonts w:ascii="Times New Roman" w:hAnsi="Times New Roman" w:eastAsia="Times New Roman" w:cs="Times New Roman"/>
                <w:spacing w:val="3"/>
                <w:sz w:val="17"/>
                <w:szCs w:val="17"/>
              </w:rPr>
              <w:t>8</w:t>
            </w:r>
          </w:p>
        </w:tc>
        <w:tc>
          <w:tcPr>
            <w:tcW w:w="689" w:type="dxa"/>
            <w:vAlign w:val="top"/>
          </w:tcPr>
          <w:p>
            <w:pPr>
              <w:spacing w:before="82"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w:t>
            </w:r>
            <w:r>
              <w:rPr>
                <w:rFonts w:ascii="Times New Roman" w:hAnsi="Times New Roman" w:eastAsia="Times New Roman" w:cs="Times New Roman"/>
                <w:spacing w:val="2"/>
                <w:sz w:val="17"/>
                <w:szCs w:val="17"/>
              </w:rPr>
              <w:t>.7</w:t>
            </w:r>
          </w:p>
        </w:tc>
        <w:tc>
          <w:tcPr>
            <w:tcW w:w="688" w:type="dxa"/>
            <w:vAlign w:val="top"/>
          </w:tcPr>
          <w:p>
            <w:pPr>
              <w:spacing w:before="82"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w:t>
            </w:r>
            <w:r>
              <w:rPr>
                <w:rFonts w:ascii="Times New Roman" w:hAnsi="Times New Roman" w:eastAsia="Times New Roman" w:cs="Times New Roman"/>
                <w:spacing w:val="1"/>
                <w:sz w:val="17"/>
                <w:szCs w:val="17"/>
              </w:rPr>
              <w:t>7</w:t>
            </w:r>
          </w:p>
        </w:tc>
        <w:tc>
          <w:tcPr>
            <w:tcW w:w="690" w:type="dxa"/>
            <w:vAlign w:val="top"/>
          </w:tcPr>
          <w:p>
            <w:pPr>
              <w:spacing w:before="82"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5</w:t>
            </w:r>
            <w:r>
              <w:rPr>
                <w:rFonts w:ascii="Times New Roman" w:hAnsi="Times New Roman" w:eastAsia="Times New Roman" w:cs="Times New Roman"/>
                <w:spacing w:val="-3"/>
                <w:sz w:val="17"/>
                <w:szCs w:val="17"/>
              </w:rPr>
              <w:t>2. 1</w:t>
            </w:r>
          </w:p>
        </w:tc>
        <w:tc>
          <w:tcPr>
            <w:tcW w:w="689" w:type="dxa"/>
            <w:vAlign w:val="top"/>
          </w:tcPr>
          <w:p>
            <w:pPr>
              <w:spacing w:before="82"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59.</w:t>
            </w:r>
            <w:r>
              <w:rPr>
                <w:rFonts w:ascii="Times New Roman" w:hAnsi="Times New Roman" w:eastAsia="Times New Roman" w:cs="Times New Roman"/>
                <w:spacing w:val="3"/>
                <w:sz w:val="17"/>
                <w:szCs w:val="17"/>
              </w:rPr>
              <w:t>8</w:t>
            </w:r>
          </w:p>
        </w:tc>
        <w:tc>
          <w:tcPr>
            <w:tcW w:w="689" w:type="dxa"/>
            <w:vAlign w:val="top"/>
          </w:tcPr>
          <w:p>
            <w:pPr>
              <w:spacing w:before="82"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4"/>
                <w:sz w:val="17"/>
                <w:szCs w:val="17"/>
              </w:rPr>
              <w:t>.8</w:t>
            </w:r>
          </w:p>
        </w:tc>
        <w:tc>
          <w:tcPr>
            <w:tcW w:w="694" w:type="dxa"/>
            <w:vAlign w:val="top"/>
          </w:tcPr>
          <w:p>
            <w:pPr>
              <w:spacing w:before="82"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3" w:line="230"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4"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40"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4"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2" w:line="200"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1.8</w:t>
            </w:r>
          </w:p>
        </w:tc>
        <w:tc>
          <w:tcPr>
            <w:tcW w:w="689" w:type="dxa"/>
            <w:vAlign w:val="top"/>
          </w:tcPr>
          <w:p>
            <w:pPr>
              <w:spacing w:before="82"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9.8</w:t>
            </w:r>
          </w:p>
        </w:tc>
        <w:tc>
          <w:tcPr>
            <w:tcW w:w="689" w:type="dxa"/>
            <w:vAlign w:val="top"/>
          </w:tcPr>
          <w:p>
            <w:pPr>
              <w:spacing w:before="82"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4"/>
                <w:sz w:val="17"/>
                <w:szCs w:val="17"/>
              </w:rPr>
              <w:t>.8</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3.2</w:t>
            </w:r>
          </w:p>
        </w:tc>
        <w:tc>
          <w:tcPr>
            <w:tcW w:w="689" w:type="dxa"/>
            <w:vAlign w:val="top"/>
          </w:tcPr>
          <w:p>
            <w:pPr>
              <w:spacing w:before="82"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2"/>
                <w:sz w:val="17"/>
                <w:szCs w:val="17"/>
              </w:rPr>
              <w:t>0.0</w:t>
            </w:r>
          </w:p>
        </w:tc>
        <w:tc>
          <w:tcPr>
            <w:tcW w:w="688" w:type="dxa"/>
            <w:vAlign w:val="top"/>
          </w:tcPr>
          <w:p>
            <w:pPr>
              <w:spacing w:before="82"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w:t>
            </w:r>
            <w:r>
              <w:rPr>
                <w:rFonts w:ascii="Times New Roman" w:hAnsi="Times New Roman" w:eastAsia="Times New Roman" w:cs="Times New Roman"/>
                <w:spacing w:val="-3"/>
                <w:sz w:val="17"/>
                <w:szCs w:val="17"/>
              </w:rPr>
              <w:t>.0</w:t>
            </w:r>
          </w:p>
        </w:tc>
        <w:tc>
          <w:tcPr>
            <w:tcW w:w="690" w:type="dxa"/>
            <w:vAlign w:val="top"/>
          </w:tcPr>
          <w:p>
            <w:pPr>
              <w:spacing w:before="82"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3.5</w:t>
            </w:r>
          </w:p>
        </w:tc>
        <w:tc>
          <w:tcPr>
            <w:tcW w:w="689" w:type="dxa"/>
            <w:vAlign w:val="top"/>
          </w:tcPr>
          <w:p>
            <w:pPr>
              <w:spacing w:before="82"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5</w:t>
            </w:r>
            <w:r>
              <w:rPr>
                <w:rFonts w:ascii="Times New Roman" w:hAnsi="Times New Roman" w:eastAsia="Times New Roman" w:cs="Times New Roman"/>
                <w:spacing w:val="-3"/>
                <w:sz w:val="17"/>
                <w:szCs w:val="17"/>
              </w:rPr>
              <w:t>0. 1</w:t>
            </w:r>
          </w:p>
        </w:tc>
        <w:tc>
          <w:tcPr>
            <w:tcW w:w="689" w:type="dxa"/>
            <w:vAlign w:val="top"/>
          </w:tcPr>
          <w:p>
            <w:pPr>
              <w:spacing w:before="82"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1.1</w:t>
            </w:r>
          </w:p>
        </w:tc>
        <w:tc>
          <w:tcPr>
            <w:tcW w:w="694" w:type="dxa"/>
            <w:shd w:val="clear" w:color="auto" w:fill="FFD1E1"/>
            <w:vAlign w:val="top"/>
          </w:tcPr>
          <w:p>
            <w:pPr>
              <w:spacing w:before="82" w:line="197" w:lineRule="auto"/>
              <w:ind w:left="239"/>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50" w:line="194" w:lineRule="auto"/>
              <w:ind w:left="20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7</w:t>
            </w:r>
            <w:r>
              <w:rPr>
                <w:rFonts w:ascii="Times New Roman" w:hAnsi="Times New Roman" w:eastAsia="Times New Roman" w:cs="Times New Roman"/>
                <w:sz w:val="17"/>
                <w:szCs w:val="17"/>
              </w:rPr>
              <w:t>F</w:t>
            </w:r>
          </w:p>
        </w:tc>
        <w:tc>
          <w:tcPr>
            <w:tcW w:w="675" w:type="dxa"/>
            <w:vMerge w:val="restart"/>
            <w:tcBorders>
              <w:bottom w:val="nil"/>
            </w:tcBorders>
            <w:vAlign w:val="top"/>
          </w:tcPr>
          <w:p>
            <w:pPr>
              <w:spacing w:before="248"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19.</w:t>
            </w:r>
            <w:r>
              <w:rPr>
                <w:rFonts w:ascii="Times New Roman" w:hAnsi="Times New Roman" w:eastAsia="Times New Roman" w:cs="Times New Roman"/>
                <w:sz w:val="17"/>
                <w:szCs w:val="17"/>
              </w:rPr>
              <w:t>2</w:t>
            </w:r>
          </w:p>
        </w:tc>
        <w:tc>
          <w:tcPr>
            <w:tcW w:w="577" w:type="dxa"/>
            <w:vMerge w:val="restart"/>
            <w:tcBorders>
              <w:bottom w:val="nil"/>
            </w:tcBorders>
            <w:vAlign w:val="top"/>
          </w:tcPr>
          <w:p>
            <w:pPr>
              <w:spacing w:before="217"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3" w:line="230"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38"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3"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50.</w:t>
            </w:r>
            <w:r>
              <w:rPr>
                <w:rFonts w:ascii="Times New Roman" w:hAnsi="Times New Roman" w:eastAsia="Times New Roman" w:cs="Times New Roman"/>
                <w:spacing w:val="2"/>
                <w:sz w:val="17"/>
                <w:szCs w:val="17"/>
              </w:rPr>
              <w:t>3</w:t>
            </w:r>
          </w:p>
        </w:tc>
        <w:tc>
          <w:tcPr>
            <w:tcW w:w="689"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9.5</w:t>
            </w:r>
          </w:p>
        </w:tc>
        <w:tc>
          <w:tcPr>
            <w:tcW w:w="689" w:type="dxa"/>
            <w:vAlign w:val="top"/>
          </w:tcPr>
          <w:p>
            <w:pPr>
              <w:spacing w:before="83"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51.6</w:t>
            </w:r>
          </w:p>
        </w:tc>
        <w:tc>
          <w:tcPr>
            <w:tcW w:w="689" w:type="dxa"/>
            <w:vAlign w:val="top"/>
          </w:tcPr>
          <w:p>
            <w:pPr>
              <w:spacing w:before="82"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w:t>
            </w:r>
            <w:r>
              <w:rPr>
                <w:rFonts w:ascii="Times New Roman" w:hAnsi="Times New Roman" w:eastAsia="Times New Roman" w:cs="Times New Roman"/>
                <w:spacing w:val="2"/>
                <w:sz w:val="17"/>
                <w:szCs w:val="17"/>
              </w:rPr>
              <w:t>.7</w:t>
            </w:r>
          </w:p>
        </w:tc>
        <w:tc>
          <w:tcPr>
            <w:tcW w:w="688" w:type="dxa"/>
            <w:vAlign w:val="top"/>
          </w:tcPr>
          <w:p>
            <w:pPr>
              <w:spacing w:before="83"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w:t>
            </w:r>
            <w:r>
              <w:rPr>
                <w:rFonts w:ascii="Times New Roman" w:hAnsi="Times New Roman" w:eastAsia="Times New Roman" w:cs="Times New Roman"/>
                <w:spacing w:val="1"/>
                <w:sz w:val="17"/>
                <w:szCs w:val="17"/>
              </w:rPr>
              <w:t>7</w:t>
            </w:r>
          </w:p>
        </w:tc>
        <w:tc>
          <w:tcPr>
            <w:tcW w:w="690" w:type="dxa"/>
            <w:vAlign w:val="top"/>
          </w:tcPr>
          <w:p>
            <w:pPr>
              <w:spacing w:before="82"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2"/>
                <w:sz w:val="17"/>
                <w:szCs w:val="17"/>
              </w:rPr>
              <w:t>2.0</w:t>
            </w:r>
          </w:p>
        </w:tc>
        <w:tc>
          <w:tcPr>
            <w:tcW w:w="689" w:type="dxa"/>
            <w:vAlign w:val="top"/>
          </w:tcPr>
          <w:p>
            <w:pPr>
              <w:spacing w:before="82"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59.</w:t>
            </w:r>
            <w:r>
              <w:rPr>
                <w:rFonts w:ascii="Times New Roman" w:hAnsi="Times New Roman" w:eastAsia="Times New Roman" w:cs="Times New Roman"/>
                <w:spacing w:val="3"/>
                <w:sz w:val="17"/>
                <w:szCs w:val="17"/>
              </w:rPr>
              <w:t>8</w:t>
            </w:r>
          </w:p>
        </w:tc>
        <w:tc>
          <w:tcPr>
            <w:tcW w:w="689" w:type="dxa"/>
            <w:vAlign w:val="top"/>
          </w:tcPr>
          <w:p>
            <w:pPr>
              <w:spacing w:before="83"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4"/>
                <w:sz w:val="17"/>
                <w:szCs w:val="17"/>
              </w:rPr>
              <w:t>.8</w:t>
            </w:r>
          </w:p>
        </w:tc>
        <w:tc>
          <w:tcPr>
            <w:tcW w:w="694" w:type="dxa"/>
            <w:vAlign w:val="top"/>
          </w:tcPr>
          <w:p>
            <w:pPr>
              <w:spacing w:before="82"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4" w:line="229"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2"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39"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3" w:line="200"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41.7</w:t>
            </w:r>
          </w:p>
        </w:tc>
        <w:tc>
          <w:tcPr>
            <w:tcW w:w="689" w:type="dxa"/>
            <w:vAlign w:val="top"/>
          </w:tcPr>
          <w:p>
            <w:pPr>
              <w:spacing w:before="83"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49.7</w:t>
            </w:r>
          </w:p>
        </w:tc>
        <w:tc>
          <w:tcPr>
            <w:tcW w:w="689" w:type="dxa"/>
            <w:vAlign w:val="top"/>
          </w:tcPr>
          <w:p>
            <w:pPr>
              <w:spacing w:before="83"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0.7</w:t>
            </w:r>
          </w:p>
        </w:tc>
        <w:tc>
          <w:tcPr>
            <w:tcW w:w="690" w:type="dxa"/>
            <w:vAlign w:val="top"/>
          </w:tcPr>
          <w:p>
            <w:pPr>
              <w:spacing w:before="83"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43.0</w:t>
            </w:r>
          </w:p>
        </w:tc>
        <w:tc>
          <w:tcPr>
            <w:tcW w:w="689" w:type="dxa"/>
            <w:vAlign w:val="top"/>
          </w:tcPr>
          <w:p>
            <w:pPr>
              <w:spacing w:before="83"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2"/>
                <w:sz w:val="17"/>
                <w:szCs w:val="17"/>
              </w:rPr>
              <w:t>0.0</w:t>
            </w:r>
          </w:p>
        </w:tc>
        <w:tc>
          <w:tcPr>
            <w:tcW w:w="688" w:type="dxa"/>
            <w:vAlign w:val="top"/>
          </w:tcPr>
          <w:p>
            <w:pPr>
              <w:spacing w:before="83"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w:t>
            </w:r>
            <w:r>
              <w:rPr>
                <w:rFonts w:ascii="Times New Roman" w:hAnsi="Times New Roman" w:eastAsia="Times New Roman" w:cs="Times New Roman"/>
                <w:spacing w:val="-3"/>
                <w:sz w:val="17"/>
                <w:szCs w:val="17"/>
              </w:rPr>
              <w:t>.0</w:t>
            </w:r>
          </w:p>
        </w:tc>
        <w:tc>
          <w:tcPr>
            <w:tcW w:w="690" w:type="dxa"/>
            <w:vAlign w:val="top"/>
          </w:tcPr>
          <w:p>
            <w:pPr>
              <w:spacing w:before="83"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3.4</w:t>
            </w:r>
          </w:p>
        </w:tc>
        <w:tc>
          <w:tcPr>
            <w:tcW w:w="689" w:type="dxa"/>
            <w:vAlign w:val="top"/>
          </w:tcPr>
          <w:p>
            <w:pPr>
              <w:spacing w:before="83"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5</w:t>
            </w:r>
            <w:r>
              <w:rPr>
                <w:rFonts w:ascii="Times New Roman" w:hAnsi="Times New Roman" w:eastAsia="Times New Roman" w:cs="Times New Roman"/>
                <w:spacing w:val="-3"/>
                <w:sz w:val="17"/>
                <w:szCs w:val="17"/>
              </w:rPr>
              <w:t>0. 1</w:t>
            </w:r>
          </w:p>
        </w:tc>
        <w:tc>
          <w:tcPr>
            <w:tcW w:w="689" w:type="dxa"/>
            <w:vAlign w:val="top"/>
          </w:tcPr>
          <w:p>
            <w:pPr>
              <w:spacing w:before="83"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1.1</w:t>
            </w:r>
          </w:p>
        </w:tc>
        <w:tc>
          <w:tcPr>
            <w:tcW w:w="694" w:type="dxa"/>
            <w:shd w:val="clear" w:color="auto" w:fill="FFD1E1"/>
            <w:vAlign w:val="top"/>
          </w:tcPr>
          <w:p>
            <w:pPr>
              <w:spacing w:before="83" w:line="197" w:lineRule="auto"/>
              <w:ind w:left="239"/>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49" w:line="197" w:lineRule="auto"/>
              <w:ind w:left="210"/>
              <w:rPr>
                <w:rFonts w:ascii="Times New Roman" w:hAnsi="Times New Roman" w:eastAsia="Times New Roman" w:cs="Times New Roman"/>
                <w:sz w:val="17"/>
                <w:szCs w:val="17"/>
              </w:rPr>
            </w:pPr>
            <w:r>
              <w:rPr>
                <w:rFonts w:ascii="Times New Roman" w:hAnsi="Times New Roman" w:eastAsia="Times New Roman" w:cs="Times New Roman"/>
                <w:sz w:val="17"/>
                <w:szCs w:val="17"/>
              </w:rPr>
              <w:t>8F</w:t>
            </w:r>
          </w:p>
        </w:tc>
        <w:tc>
          <w:tcPr>
            <w:tcW w:w="675" w:type="dxa"/>
            <w:vMerge w:val="restart"/>
            <w:tcBorders>
              <w:bottom w:val="nil"/>
            </w:tcBorders>
            <w:vAlign w:val="top"/>
          </w:tcPr>
          <w:p>
            <w:pPr>
              <w:spacing w:before="249" w:line="200" w:lineRule="auto"/>
              <w:ind w:left="17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2.2</w:t>
            </w:r>
          </w:p>
        </w:tc>
        <w:tc>
          <w:tcPr>
            <w:tcW w:w="577" w:type="dxa"/>
            <w:vMerge w:val="restart"/>
            <w:tcBorders>
              <w:bottom w:val="nil"/>
            </w:tcBorders>
            <w:vAlign w:val="top"/>
          </w:tcPr>
          <w:p>
            <w:pPr>
              <w:spacing w:before="218"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4" w:line="229"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39"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4"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0.2</w:t>
            </w:r>
          </w:p>
        </w:tc>
        <w:tc>
          <w:tcPr>
            <w:tcW w:w="689" w:type="dxa"/>
            <w:vAlign w:val="top"/>
          </w:tcPr>
          <w:p>
            <w:pPr>
              <w:spacing w:before="83"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9.5</w:t>
            </w:r>
          </w:p>
        </w:tc>
        <w:tc>
          <w:tcPr>
            <w:tcW w:w="689" w:type="dxa"/>
            <w:vAlign w:val="top"/>
          </w:tcPr>
          <w:p>
            <w:pPr>
              <w:spacing w:before="84"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0" w:type="dxa"/>
            <w:vAlign w:val="top"/>
          </w:tcPr>
          <w:p>
            <w:pPr>
              <w:spacing w:before="83"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1.5</w:t>
            </w:r>
          </w:p>
        </w:tc>
        <w:tc>
          <w:tcPr>
            <w:tcW w:w="689" w:type="dxa"/>
            <w:vAlign w:val="top"/>
          </w:tcPr>
          <w:p>
            <w:pPr>
              <w:spacing w:before="83"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w:t>
            </w:r>
            <w:r>
              <w:rPr>
                <w:rFonts w:ascii="Times New Roman" w:hAnsi="Times New Roman" w:eastAsia="Times New Roman" w:cs="Times New Roman"/>
                <w:spacing w:val="2"/>
                <w:sz w:val="17"/>
                <w:szCs w:val="17"/>
              </w:rPr>
              <w:t>.7</w:t>
            </w:r>
          </w:p>
        </w:tc>
        <w:tc>
          <w:tcPr>
            <w:tcW w:w="688" w:type="dxa"/>
            <w:vAlign w:val="top"/>
          </w:tcPr>
          <w:p>
            <w:pPr>
              <w:spacing w:before="84"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w:t>
            </w:r>
            <w:r>
              <w:rPr>
                <w:rFonts w:ascii="Times New Roman" w:hAnsi="Times New Roman" w:eastAsia="Times New Roman" w:cs="Times New Roman"/>
                <w:spacing w:val="1"/>
                <w:sz w:val="17"/>
                <w:szCs w:val="17"/>
              </w:rPr>
              <w:t>7</w:t>
            </w:r>
          </w:p>
        </w:tc>
        <w:tc>
          <w:tcPr>
            <w:tcW w:w="690" w:type="dxa"/>
            <w:vAlign w:val="top"/>
          </w:tcPr>
          <w:p>
            <w:pPr>
              <w:spacing w:before="83"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51.</w:t>
            </w:r>
            <w:r>
              <w:rPr>
                <w:rFonts w:ascii="Times New Roman" w:hAnsi="Times New Roman" w:eastAsia="Times New Roman" w:cs="Times New Roman"/>
                <w:spacing w:val="2"/>
                <w:sz w:val="17"/>
                <w:szCs w:val="17"/>
              </w:rPr>
              <w:t>9</w:t>
            </w:r>
          </w:p>
        </w:tc>
        <w:tc>
          <w:tcPr>
            <w:tcW w:w="689" w:type="dxa"/>
            <w:vAlign w:val="top"/>
          </w:tcPr>
          <w:p>
            <w:pPr>
              <w:spacing w:before="83"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59.</w:t>
            </w:r>
            <w:r>
              <w:rPr>
                <w:rFonts w:ascii="Times New Roman" w:hAnsi="Times New Roman" w:eastAsia="Times New Roman" w:cs="Times New Roman"/>
                <w:spacing w:val="3"/>
                <w:sz w:val="17"/>
                <w:szCs w:val="17"/>
              </w:rPr>
              <w:t>8</w:t>
            </w:r>
          </w:p>
        </w:tc>
        <w:tc>
          <w:tcPr>
            <w:tcW w:w="689" w:type="dxa"/>
            <w:vAlign w:val="top"/>
          </w:tcPr>
          <w:p>
            <w:pPr>
              <w:spacing w:before="84"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4"/>
                <w:sz w:val="17"/>
                <w:szCs w:val="17"/>
              </w:rPr>
              <w:t>.8</w:t>
            </w:r>
          </w:p>
        </w:tc>
        <w:tc>
          <w:tcPr>
            <w:tcW w:w="694" w:type="dxa"/>
            <w:vAlign w:val="top"/>
          </w:tcPr>
          <w:p>
            <w:pPr>
              <w:spacing w:before="83"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2" w:line="231"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3"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39" w:line="243"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3"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4" w:line="200"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1.6</w:t>
            </w:r>
          </w:p>
        </w:tc>
        <w:tc>
          <w:tcPr>
            <w:tcW w:w="689" w:type="dxa"/>
            <w:vAlign w:val="top"/>
          </w:tcPr>
          <w:p>
            <w:pPr>
              <w:spacing w:before="84"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49.7</w:t>
            </w:r>
          </w:p>
        </w:tc>
        <w:tc>
          <w:tcPr>
            <w:tcW w:w="689" w:type="dxa"/>
            <w:vAlign w:val="top"/>
          </w:tcPr>
          <w:p>
            <w:pPr>
              <w:spacing w:before="84"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0.7</w:t>
            </w:r>
          </w:p>
        </w:tc>
        <w:tc>
          <w:tcPr>
            <w:tcW w:w="690" w:type="dxa"/>
            <w:vAlign w:val="top"/>
          </w:tcPr>
          <w:p>
            <w:pPr>
              <w:spacing w:before="84"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200"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2.9</w:t>
            </w:r>
          </w:p>
        </w:tc>
        <w:tc>
          <w:tcPr>
            <w:tcW w:w="689" w:type="dxa"/>
            <w:vAlign w:val="top"/>
          </w:tcPr>
          <w:p>
            <w:pPr>
              <w:spacing w:before="84"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2"/>
                <w:sz w:val="17"/>
                <w:szCs w:val="17"/>
              </w:rPr>
              <w:t>0.0</w:t>
            </w:r>
          </w:p>
        </w:tc>
        <w:tc>
          <w:tcPr>
            <w:tcW w:w="688" w:type="dxa"/>
            <w:vAlign w:val="top"/>
          </w:tcPr>
          <w:p>
            <w:pPr>
              <w:spacing w:before="84"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w:t>
            </w:r>
            <w:r>
              <w:rPr>
                <w:rFonts w:ascii="Times New Roman" w:hAnsi="Times New Roman" w:eastAsia="Times New Roman" w:cs="Times New Roman"/>
                <w:spacing w:val="-3"/>
                <w:sz w:val="17"/>
                <w:szCs w:val="17"/>
              </w:rPr>
              <w:t>.0</w:t>
            </w:r>
          </w:p>
        </w:tc>
        <w:tc>
          <w:tcPr>
            <w:tcW w:w="690" w:type="dxa"/>
            <w:vAlign w:val="top"/>
          </w:tcPr>
          <w:p>
            <w:pPr>
              <w:spacing w:before="84"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3.3</w:t>
            </w:r>
          </w:p>
        </w:tc>
        <w:tc>
          <w:tcPr>
            <w:tcW w:w="689" w:type="dxa"/>
            <w:vAlign w:val="top"/>
          </w:tcPr>
          <w:p>
            <w:pPr>
              <w:spacing w:before="84"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2"/>
                <w:sz w:val="17"/>
                <w:szCs w:val="17"/>
              </w:rPr>
              <w:t>0.0</w:t>
            </w:r>
          </w:p>
        </w:tc>
        <w:tc>
          <w:tcPr>
            <w:tcW w:w="689" w:type="dxa"/>
            <w:vAlign w:val="top"/>
          </w:tcPr>
          <w:p>
            <w:pPr>
              <w:spacing w:before="84"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1.0</w:t>
            </w:r>
          </w:p>
        </w:tc>
        <w:tc>
          <w:tcPr>
            <w:tcW w:w="694" w:type="dxa"/>
            <w:vAlign w:val="top"/>
          </w:tcPr>
          <w:p>
            <w:pPr>
              <w:spacing w:before="84"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47" w:line="197" w:lineRule="auto"/>
              <w:ind w:left="20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9</w:t>
            </w:r>
            <w:r>
              <w:rPr>
                <w:rFonts w:ascii="Times New Roman" w:hAnsi="Times New Roman" w:eastAsia="Times New Roman" w:cs="Times New Roman"/>
                <w:sz w:val="17"/>
                <w:szCs w:val="17"/>
              </w:rPr>
              <w:t>F</w:t>
            </w:r>
          </w:p>
        </w:tc>
        <w:tc>
          <w:tcPr>
            <w:tcW w:w="675" w:type="dxa"/>
            <w:vMerge w:val="restart"/>
            <w:tcBorders>
              <w:bottom w:val="nil"/>
            </w:tcBorders>
            <w:vAlign w:val="top"/>
          </w:tcPr>
          <w:p>
            <w:pPr>
              <w:spacing w:before="248" w:line="197" w:lineRule="auto"/>
              <w:ind w:left="17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5.2</w:t>
            </w:r>
          </w:p>
        </w:tc>
        <w:tc>
          <w:tcPr>
            <w:tcW w:w="577" w:type="dxa"/>
            <w:vMerge w:val="restart"/>
            <w:tcBorders>
              <w:bottom w:val="nil"/>
            </w:tcBorders>
            <w:vAlign w:val="top"/>
          </w:tcPr>
          <w:p>
            <w:pPr>
              <w:spacing w:before="219"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3" w:line="230"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3"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40"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3"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5</w:t>
            </w:r>
            <w:r>
              <w:rPr>
                <w:rFonts w:ascii="Times New Roman" w:hAnsi="Times New Roman" w:eastAsia="Times New Roman" w:cs="Times New Roman"/>
                <w:spacing w:val="-3"/>
                <w:sz w:val="17"/>
                <w:szCs w:val="17"/>
              </w:rPr>
              <w:t>0. 1</w:t>
            </w:r>
          </w:p>
        </w:tc>
        <w:tc>
          <w:tcPr>
            <w:tcW w:w="689"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9.5</w:t>
            </w:r>
          </w:p>
        </w:tc>
        <w:tc>
          <w:tcPr>
            <w:tcW w:w="689" w:type="dxa"/>
            <w:vAlign w:val="top"/>
          </w:tcPr>
          <w:p>
            <w:pPr>
              <w:spacing w:before="82"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1.5</w:t>
            </w:r>
          </w:p>
        </w:tc>
        <w:tc>
          <w:tcPr>
            <w:tcW w:w="689" w:type="dxa"/>
            <w:vAlign w:val="top"/>
          </w:tcPr>
          <w:p>
            <w:pPr>
              <w:spacing w:before="82"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w:t>
            </w:r>
            <w:r>
              <w:rPr>
                <w:rFonts w:ascii="Times New Roman" w:hAnsi="Times New Roman" w:eastAsia="Times New Roman" w:cs="Times New Roman"/>
                <w:spacing w:val="2"/>
                <w:sz w:val="17"/>
                <w:szCs w:val="17"/>
              </w:rPr>
              <w:t>.7</w:t>
            </w:r>
          </w:p>
        </w:tc>
        <w:tc>
          <w:tcPr>
            <w:tcW w:w="688" w:type="dxa"/>
            <w:vAlign w:val="top"/>
          </w:tcPr>
          <w:p>
            <w:pPr>
              <w:spacing w:before="82"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w:t>
            </w:r>
            <w:r>
              <w:rPr>
                <w:rFonts w:ascii="Times New Roman" w:hAnsi="Times New Roman" w:eastAsia="Times New Roman" w:cs="Times New Roman"/>
                <w:spacing w:val="1"/>
                <w:sz w:val="17"/>
                <w:szCs w:val="17"/>
              </w:rPr>
              <w:t>7</w:t>
            </w:r>
          </w:p>
        </w:tc>
        <w:tc>
          <w:tcPr>
            <w:tcW w:w="690" w:type="dxa"/>
            <w:vAlign w:val="top"/>
          </w:tcPr>
          <w:p>
            <w:pPr>
              <w:spacing w:before="82"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51.</w:t>
            </w:r>
            <w:r>
              <w:rPr>
                <w:rFonts w:ascii="Times New Roman" w:hAnsi="Times New Roman" w:eastAsia="Times New Roman" w:cs="Times New Roman"/>
                <w:spacing w:val="2"/>
                <w:sz w:val="17"/>
                <w:szCs w:val="17"/>
              </w:rPr>
              <w:t>9</w:t>
            </w:r>
          </w:p>
        </w:tc>
        <w:tc>
          <w:tcPr>
            <w:tcW w:w="689" w:type="dxa"/>
            <w:vAlign w:val="top"/>
          </w:tcPr>
          <w:p>
            <w:pPr>
              <w:spacing w:before="82"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59.</w:t>
            </w:r>
            <w:r>
              <w:rPr>
                <w:rFonts w:ascii="Times New Roman" w:hAnsi="Times New Roman" w:eastAsia="Times New Roman" w:cs="Times New Roman"/>
                <w:spacing w:val="3"/>
                <w:sz w:val="17"/>
                <w:szCs w:val="17"/>
              </w:rPr>
              <w:t>8</w:t>
            </w:r>
          </w:p>
        </w:tc>
        <w:tc>
          <w:tcPr>
            <w:tcW w:w="689" w:type="dxa"/>
            <w:vAlign w:val="top"/>
          </w:tcPr>
          <w:p>
            <w:pPr>
              <w:spacing w:before="82"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4"/>
                <w:sz w:val="17"/>
                <w:szCs w:val="17"/>
              </w:rPr>
              <w:t>.8</w:t>
            </w:r>
          </w:p>
        </w:tc>
        <w:tc>
          <w:tcPr>
            <w:tcW w:w="694" w:type="dxa"/>
            <w:vAlign w:val="top"/>
          </w:tcPr>
          <w:p>
            <w:pPr>
              <w:spacing w:before="82"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3" w:line="230"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4"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40"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4"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2" w:line="200"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1.5</w:t>
            </w:r>
          </w:p>
        </w:tc>
        <w:tc>
          <w:tcPr>
            <w:tcW w:w="689" w:type="dxa"/>
            <w:vAlign w:val="top"/>
          </w:tcPr>
          <w:p>
            <w:pPr>
              <w:spacing w:before="82"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49.7</w:t>
            </w:r>
          </w:p>
        </w:tc>
        <w:tc>
          <w:tcPr>
            <w:tcW w:w="689" w:type="dxa"/>
            <w:vAlign w:val="top"/>
          </w:tcPr>
          <w:p>
            <w:pPr>
              <w:spacing w:before="82"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0.7</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200"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2.9</w:t>
            </w:r>
          </w:p>
        </w:tc>
        <w:tc>
          <w:tcPr>
            <w:tcW w:w="689" w:type="dxa"/>
            <w:vAlign w:val="top"/>
          </w:tcPr>
          <w:p>
            <w:pPr>
              <w:spacing w:before="82"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9.9</w:t>
            </w:r>
          </w:p>
        </w:tc>
        <w:tc>
          <w:tcPr>
            <w:tcW w:w="688" w:type="dxa"/>
            <w:vAlign w:val="top"/>
          </w:tcPr>
          <w:p>
            <w:pPr>
              <w:spacing w:before="82"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w:t>
            </w:r>
            <w:r>
              <w:rPr>
                <w:rFonts w:ascii="Times New Roman" w:hAnsi="Times New Roman" w:eastAsia="Times New Roman" w:cs="Times New Roman"/>
                <w:spacing w:val="1"/>
                <w:sz w:val="17"/>
                <w:szCs w:val="17"/>
              </w:rPr>
              <w:t>9</w:t>
            </w:r>
          </w:p>
        </w:tc>
        <w:tc>
          <w:tcPr>
            <w:tcW w:w="690" w:type="dxa"/>
            <w:vAlign w:val="top"/>
          </w:tcPr>
          <w:p>
            <w:pPr>
              <w:spacing w:before="82"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3.2</w:t>
            </w:r>
          </w:p>
        </w:tc>
        <w:tc>
          <w:tcPr>
            <w:tcW w:w="689" w:type="dxa"/>
            <w:vAlign w:val="top"/>
          </w:tcPr>
          <w:p>
            <w:pPr>
              <w:spacing w:before="82"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2"/>
                <w:sz w:val="17"/>
                <w:szCs w:val="17"/>
              </w:rPr>
              <w:t>0.0</w:t>
            </w:r>
          </w:p>
        </w:tc>
        <w:tc>
          <w:tcPr>
            <w:tcW w:w="689" w:type="dxa"/>
            <w:vAlign w:val="top"/>
          </w:tcPr>
          <w:p>
            <w:pPr>
              <w:spacing w:before="82"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1.0</w:t>
            </w:r>
          </w:p>
        </w:tc>
        <w:tc>
          <w:tcPr>
            <w:tcW w:w="694" w:type="dxa"/>
            <w:vAlign w:val="top"/>
          </w:tcPr>
          <w:p>
            <w:pPr>
              <w:spacing w:before="82"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48" w:line="197" w:lineRule="auto"/>
              <w:ind w:left="17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10F</w:t>
            </w:r>
          </w:p>
        </w:tc>
        <w:tc>
          <w:tcPr>
            <w:tcW w:w="675" w:type="dxa"/>
            <w:vMerge w:val="restart"/>
            <w:tcBorders>
              <w:bottom w:val="nil"/>
            </w:tcBorders>
            <w:vAlign w:val="top"/>
          </w:tcPr>
          <w:p>
            <w:pPr>
              <w:spacing w:before="248" w:line="197" w:lineRule="auto"/>
              <w:ind w:left="17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8.2</w:t>
            </w:r>
          </w:p>
        </w:tc>
        <w:tc>
          <w:tcPr>
            <w:tcW w:w="577" w:type="dxa"/>
            <w:vMerge w:val="restart"/>
            <w:tcBorders>
              <w:bottom w:val="nil"/>
            </w:tcBorders>
            <w:vAlign w:val="top"/>
          </w:tcPr>
          <w:p>
            <w:pPr>
              <w:spacing w:before="217"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3" w:line="229"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38"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2"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9.9</w:t>
            </w:r>
          </w:p>
        </w:tc>
        <w:tc>
          <w:tcPr>
            <w:tcW w:w="689"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9.5</w:t>
            </w:r>
          </w:p>
        </w:tc>
        <w:tc>
          <w:tcPr>
            <w:tcW w:w="689" w:type="dxa"/>
            <w:vAlign w:val="top"/>
          </w:tcPr>
          <w:p>
            <w:pPr>
              <w:spacing w:before="83"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51.</w:t>
            </w:r>
            <w:r>
              <w:rPr>
                <w:rFonts w:ascii="Times New Roman" w:hAnsi="Times New Roman" w:eastAsia="Times New Roman" w:cs="Times New Roman"/>
                <w:spacing w:val="2"/>
                <w:sz w:val="17"/>
                <w:szCs w:val="17"/>
              </w:rPr>
              <w:t>3</w:t>
            </w:r>
          </w:p>
        </w:tc>
        <w:tc>
          <w:tcPr>
            <w:tcW w:w="689" w:type="dxa"/>
            <w:vAlign w:val="top"/>
          </w:tcPr>
          <w:p>
            <w:pPr>
              <w:spacing w:before="82"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w:t>
            </w:r>
            <w:r>
              <w:rPr>
                <w:rFonts w:ascii="Times New Roman" w:hAnsi="Times New Roman" w:eastAsia="Times New Roman" w:cs="Times New Roman"/>
                <w:spacing w:val="2"/>
                <w:sz w:val="17"/>
                <w:szCs w:val="17"/>
              </w:rPr>
              <w:t>.7</w:t>
            </w:r>
          </w:p>
        </w:tc>
        <w:tc>
          <w:tcPr>
            <w:tcW w:w="688" w:type="dxa"/>
            <w:vAlign w:val="top"/>
          </w:tcPr>
          <w:p>
            <w:pPr>
              <w:spacing w:before="83"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w:t>
            </w:r>
            <w:r>
              <w:rPr>
                <w:rFonts w:ascii="Times New Roman" w:hAnsi="Times New Roman" w:eastAsia="Times New Roman" w:cs="Times New Roman"/>
                <w:spacing w:val="1"/>
                <w:sz w:val="17"/>
                <w:szCs w:val="17"/>
              </w:rPr>
              <w:t>7</w:t>
            </w:r>
          </w:p>
        </w:tc>
        <w:tc>
          <w:tcPr>
            <w:tcW w:w="690" w:type="dxa"/>
            <w:vAlign w:val="top"/>
          </w:tcPr>
          <w:p>
            <w:pPr>
              <w:spacing w:before="82"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w:t>
            </w:r>
          </w:p>
        </w:tc>
        <w:tc>
          <w:tcPr>
            <w:tcW w:w="689" w:type="dxa"/>
            <w:vAlign w:val="top"/>
          </w:tcPr>
          <w:p>
            <w:pPr>
              <w:spacing w:before="82"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w:t>
            </w:r>
            <w:r>
              <w:rPr>
                <w:rFonts w:ascii="Times New Roman" w:hAnsi="Times New Roman" w:eastAsia="Times New Roman" w:cs="Times New Roman"/>
                <w:spacing w:val="2"/>
                <w:sz w:val="17"/>
                <w:szCs w:val="17"/>
              </w:rPr>
              <w:t>.7</w:t>
            </w:r>
          </w:p>
        </w:tc>
        <w:tc>
          <w:tcPr>
            <w:tcW w:w="689" w:type="dxa"/>
            <w:vAlign w:val="top"/>
          </w:tcPr>
          <w:p>
            <w:pPr>
              <w:spacing w:before="83"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0.7</w:t>
            </w:r>
          </w:p>
        </w:tc>
        <w:tc>
          <w:tcPr>
            <w:tcW w:w="694" w:type="dxa"/>
            <w:vAlign w:val="top"/>
          </w:tcPr>
          <w:p>
            <w:pPr>
              <w:spacing w:before="82"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5" w:line="228"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3"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40"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3"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4" w:line="200"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1.3</w:t>
            </w:r>
          </w:p>
        </w:tc>
        <w:tc>
          <w:tcPr>
            <w:tcW w:w="689" w:type="dxa"/>
            <w:vAlign w:val="top"/>
          </w:tcPr>
          <w:p>
            <w:pPr>
              <w:spacing w:before="84"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49.7</w:t>
            </w:r>
          </w:p>
        </w:tc>
        <w:tc>
          <w:tcPr>
            <w:tcW w:w="689" w:type="dxa"/>
            <w:vAlign w:val="top"/>
          </w:tcPr>
          <w:p>
            <w:pPr>
              <w:spacing w:before="84"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0.7</w:t>
            </w:r>
          </w:p>
        </w:tc>
        <w:tc>
          <w:tcPr>
            <w:tcW w:w="690" w:type="dxa"/>
            <w:vAlign w:val="top"/>
          </w:tcPr>
          <w:p>
            <w:pPr>
              <w:spacing w:before="84"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200"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42.7</w:t>
            </w:r>
          </w:p>
        </w:tc>
        <w:tc>
          <w:tcPr>
            <w:tcW w:w="689" w:type="dxa"/>
            <w:vAlign w:val="top"/>
          </w:tcPr>
          <w:p>
            <w:pPr>
              <w:spacing w:before="84"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9.9</w:t>
            </w:r>
          </w:p>
        </w:tc>
        <w:tc>
          <w:tcPr>
            <w:tcW w:w="688" w:type="dxa"/>
            <w:vAlign w:val="top"/>
          </w:tcPr>
          <w:p>
            <w:pPr>
              <w:spacing w:before="84"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w:t>
            </w:r>
            <w:r>
              <w:rPr>
                <w:rFonts w:ascii="Times New Roman" w:hAnsi="Times New Roman" w:eastAsia="Times New Roman" w:cs="Times New Roman"/>
                <w:spacing w:val="1"/>
                <w:sz w:val="17"/>
                <w:szCs w:val="17"/>
              </w:rPr>
              <w:t>9</w:t>
            </w:r>
          </w:p>
        </w:tc>
        <w:tc>
          <w:tcPr>
            <w:tcW w:w="690" w:type="dxa"/>
            <w:vAlign w:val="top"/>
          </w:tcPr>
          <w:p>
            <w:pPr>
              <w:spacing w:before="84"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43.0</w:t>
            </w:r>
          </w:p>
        </w:tc>
        <w:tc>
          <w:tcPr>
            <w:tcW w:w="689" w:type="dxa"/>
            <w:vAlign w:val="top"/>
          </w:tcPr>
          <w:p>
            <w:pPr>
              <w:spacing w:before="84"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2"/>
                <w:sz w:val="17"/>
                <w:szCs w:val="17"/>
              </w:rPr>
              <w:t>0.0</w:t>
            </w:r>
          </w:p>
        </w:tc>
        <w:tc>
          <w:tcPr>
            <w:tcW w:w="689" w:type="dxa"/>
            <w:vAlign w:val="top"/>
          </w:tcPr>
          <w:p>
            <w:pPr>
              <w:spacing w:before="84"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1.0</w:t>
            </w:r>
          </w:p>
        </w:tc>
        <w:tc>
          <w:tcPr>
            <w:tcW w:w="694" w:type="dxa"/>
            <w:vAlign w:val="top"/>
          </w:tcPr>
          <w:p>
            <w:pPr>
              <w:spacing w:before="84"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50" w:line="197" w:lineRule="auto"/>
              <w:ind w:left="17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15F</w:t>
            </w:r>
          </w:p>
        </w:tc>
        <w:tc>
          <w:tcPr>
            <w:tcW w:w="675" w:type="dxa"/>
            <w:vMerge w:val="restart"/>
            <w:tcBorders>
              <w:bottom w:val="nil"/>
            </w:tcBorders>
            <w:vAlign w:val="top"/>
          </w:tcPr>
          <w:p>
            <w:pPr>
              <w:spacing w:before="250" w:line="197" w:lineRule="auto"/>
              <w:ind w:left="17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3.2</w:t>
            </w:r>
          </w:p>
        </w:tc>
        <w:tc>
          <w:tcPr>
            <w:tcW w:w="577" w:type="dxa"/>
            <w:vMerge w:val="restart"/>
            <w:tcBorders>
              <w:bottom w:val="nil"/>
            </w:tcBorders>
            <w:vAlign w:val="top"/>
          </w:tcPr>
          <w:p>
            <w:pPr>
              <w:spacing w:before="219"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4" w:line="227"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3"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40"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3"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4"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9.2</w:t>
            </w:r>
          </w:p>
        </w:tc>
        <w:tc>
          <w:tcPr>
            <w:tcW w:w="689" w:type="dxa"/>
            <w:vAlign w:val="top"/>
          </w:tcPr>
          <w:p>
            <w:pPr>
              <w:spacing w:before="84"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9.4</w:t>
            </w:r>
          </w:p>
        </w:tc>
        <w:tc>
          <w:tcPr>
            <w:tcW w:w="689" w:type="dxa"/>
            <w:vAlign w:val="top"/>
          </w:tcPr>
          <w:p>
            <w:pPr>
              <w:spacing w:before="85"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.4</w:t>
            </w:r>
          </w:p>
        </w:tc>
        <w:tc>
          <w:tcPr>
            <w:tcW w:w="690" w:type="dxa"/>
            <w:vAlign w:val="top"/>
          </w:tcPr>
          <w:p>
            <w:pPr>
              <w:spacing w:before="84"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5"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50.6</w:t>
            </w:r>
          </w:p>
        </w:tc>
        <w:tc>
          <w:tcPr>
            <w:tcW w:w="689" w:type="dxa"/>
            <w:vAlign w:val="top"/>
          </w:tcPr>
          <w:p>
            <w:pPr>
              <w:spacing w:before="84"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59.6</w:t>
            </w:r>
          </w:p>
        </w:tc>
        <w:tc>
          <w:tcPr>
            <w:tcW w:w="688" w:type="dxa"/>
            <w:vAlign w:val="top"/>
          </w:tcPr>
          <w:p>
            <w:pPr>
              <w:spacing w:before="85"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2"/>
                <w:sz w:val="17"/>
                <w:szCs w:val="17"/>
              </w:rPr>
              <w:t>.6</w:t>
            </w:r>
          </w:p>
        </w:tc>
        <w:tc>
          <w:tcPr>
            <w:tcW w:w="690" w:type="dxa"/>
            <w:vAlign w:val="top"/>
          </w:tcPr>
          <w:p>
            <w:pPr>
              <w:spacing w:before="84"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5"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2"/>
                <w:sz w:val="17"/>
                <w:szCs w:val="17"/>
              </w:rPr>
              <w:t>1.0</w:t>
            </w:r>
          </w:p>
        </w:tc>
        <w:tc>
          <w:tcPr>
            <w:tcW w:w="689" w:type="dxa"/>
            <w:vAlign w:val="top"/>
          </w:tcPr>
          <w:p>
            <w:pPr>
              <w:spacing w:before="84"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59.6</w:t>
            </w:r>
          </w:p>
        </w:tc>
        <w:tc>
          <w:tcPr>
            <w:tcW w:w="689" w:type="dxa"/>
            <w:vAlign w:val="top"/>
          </w:tcPr>
          <w:p>
            <w:pPr>
              <w:spacing w:before="85"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.6</w:t>
            </w:r>
          </w:p>
        </w:tc>
        <w:tc>
          <w:tcPr>
            <w:tcW w:w="694" w:type="dxa"/>
            <w:vAlign w:val="top"/>
          </w:tcPr>
          <w:p>
            <w:pPr>
              <w:spacing w:before="84"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4" w:line="229"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5"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41" w:line="243"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5"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6"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0.6</w:t>
            </w:r>
          </w:p>
        </w:tc>
        <w:tc>
          <w:tcPr>
            <w:tcW w:w="689" w:type="dxa"/>
            <w:vAlign w:val="top"/>
          </w:tcPr>
          <w:p>
            <w:pPr>
              <w:spacing w:before="86"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9.6</w:t>
            </w:r>
          </w:p>
        </w:tc>
        <w:tc>
          <w:tcPr>
            <w:tcW w:w="689" w:type="dxa"/>
            <w:vAlign w:val="top"/>
          </w:tcPr>
          <w:p>
            <w:pPr>
              <w:spacing w:before="86"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.6</w:t>
            </w:r>
          </w:p>
        </w:tc>
        <w:tc>
          <w:tcPr>
            <w:tcW w:w="690" w:type="dxa"/>
            <w:vAlign w:val="top"/>
          </w:tcPr>
          <w:p>
            <w:pPr>
              <w:spacing w:before="86"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6" w:line="200"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1.9</w:t>
            </w:r>
          </w:p>
        </w:tc>
        <w:tc>
          <w:tcPr>
            <w:tcW w:w="689" w:type="dxa"/>
            <w:vAlign w:val="top"/>
          </w:tcPr>
          <w:p>
            <w:pPr>
              <w:spacing w:before="86"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9.8</w:t>
            </w:r>
          </w:p>
        </w:tc>
        <w:tc>
          <w:tcPr>
            <w:tcW w:w="688" w:type="dxa"/>
            <w:vAlign w:val="top"/>
          </w:tcPr>
          <w:p>
            <w:pPr>
              <w:spacing w:before="86"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3"/>
                <w:sz w:val="17"/>
                <w:szCs w:val="17"/>
              </w:rPr>
              <w:t>.8</w:t>
            </w:r>
          </w:p>
        </w:tc>
        <w:tc>
          <w:tcPr>
            <w:tcW w:w="690" w:type="dxa"/>
            <w:vAlign w:val="top"/>
          </w:tcPr>
          <w:p>
            <w:pPr>
              <w:spacing w:before="86"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6" w:line="200"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2.3</w:t>
            </w:r>
          </w:p>
        </w:tc>
        <w:tc>
          <w:tcPr>
            <w:tcW w:w="689" w:type="dxa"/>
            <w:vAlign w:val="top"/>
          </w:tcPr>
          <w:p>
            <w:pPr>
              <w:spacing w:before="86"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9.8</w:t>
            </w:r>
          </w:p>
        </w:tc>
        <w:tc>
          <w:tcPr>
            <w:tcW w:w="689" w:type="dxa"/>
            <w:vAlign w:val="top"/>
          </w:tcPr>
          <w:p>
            <w:pPr>
              <w:spacing w:before="86"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4"/>
                <w:sz w:val="17"/>
                <w:szCs w:val="17"/>
              </w:rPr>
              <w:t>.8</w:t>
            </w:r>
          </w:p>
        </w:tc>
        <w:tc>
          <w:tcPr>
            <w:tcW w:w="694" w:type="dxa"/>
            <w:vAlign w:val="top"/>
          </w:tcPr>
          <w:p>
            <w:pPr>
              <w:spacing w:before="86"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559" w:type="dxa"/>
            <w:vMerge w:val="continue"/>
            <w:tcBorders>
              <w:top w:val="nil"/>
            </w:tcBorders>
            <w:vAlign w:val="top"/>
          </w:tcPr>
          <w:p>
            <w:pPr>
              <w:rPr>
                <w:rFonts w:ascii="Arial"/>
                <w:sz w:val="21"/>
              </w:rPr>
            </w:pPr>
          </w:p>
        </w:tc>
        <w:tc>
          <w:tcPr>
            <w:tcW w:w="600" w:type="dxa"/>
            <w:vMerge w:val="continue"/>
            <w:tcBorders>
              <w:top w:val="nil"/>
            </w:tcBorders>
            <w:vAlign w:val="top"/>
          </w:tcPr>
          <w:p>
            <w:pPr>
              <w:rPr>
                <w:rFonts w:ascii="Arial"/>
                <w:sz w:val="21"/>
              </w:rPr>
            </w:pPr>
          </w:p>
        </w:tc>
        <w:tc>
          <w:tcPr>
            <w:tcW w:w="598" w:type="dxa"/>
            <w:vAlign w:val="top"/>
          </w:tcPr>
          <w:p>
            <w:pPr>
              <w:spacing w:before="105" w:line="197" w:lineRule="auto"/>
              <w:ind w:left="15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0</w:t>
            </w:r>
            <w:r>
              <w:rPr>
                <w:rFonts w:ascii="Times New Roman" w:hAnsi="Times New Roman" w:eastAsia="Times New Roman" w:cs="Times New Roman"/>
                <w:sz w:val="17"/>
                <w:szCs w:val="17"/>
              </w:rPr>
              <w:t>F</w:t>
            </w:r>
          </w:p>
        </w:tc>
        <w:tc>
          <w:tcPr>
            <w:tcW w:w="675" w:type="dxa"/>
            <w:vAlign w:val="top"/>
          </w:tcPr>
          <w:p>
            <w:pPr>
              <w:spacing w:before="106" w:line="197" w:lineRule="auto"/>
              <w:ind w:left="18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8.2</w:t>
            </w:r>
          </w:p>
        </w:tc>
        <w:tc>
          <w:tcPr>
            <w:tcW w:w="577" w:type="dxa"/>
            <w:vAlign w:val="top"/>
          </w:tcPr>
          <w:p>
            <w:pPr>
              <w:spacing w:before="75" w:line="230"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5" w:line="230"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5"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42"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5"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4"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8.5</w:t>
            </w:r>
          </w:p>
        </w:tc>
        <w:tc>
          <w:tcPr>
            <w:tcW w:w="689" w:type="dxa"/>
            <w:vAlign w:val="top"/>
          </w:tcPr>
          <w:p>
            <w:pPr>
              <w:spacing w:before="84"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9.4</w:t>
            </w:r>
          </w:p>
        </w:tc>
        <w:tc>
          <w:tcPr>
            <w:tcW w:w="689" w:type="dxa"/>
            <w:vAlign w:val="top"/>
          </w:tcPr>
          <w:p>
            <w:pPr>
              <w:spacing w:before="84"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.4</w:t>
            </w:r>
          </w:p>
        </w:tc>
        <w:tc>
          <w:tcPr>
            <w:tcW w:w="690" w:type="dxa"/>
            <w:vAlign w:val="top"/>
          </w:tcPr>
          <w:p>
            <w:pPr>
              <w:spacing w:before="84"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9.9</w:t>
            </w:r>
          </w:p>
        </w:tc>
        <w:tc>
          <w:tcPr>
            <w:tcW w:w="689" w:type="dxa"/>
            <w:vAlign w:val="top"/>
          </w:tcPr>
          <w:p>
            <w:pPr>
              <w:spacing w:before="84"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9.5</w:t>
            </w:r>
          </w:p>
        </w:tc>
        <w:tc>
          <w:tcPr>
            <w:tcW w:w="688" w:type="dxa"/>
            <w:vAlign w:val="top"/>
          </w:tcPr>
          <w:p>
            <w:pPr>
              <w:spacing w:before="84"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0.5</w:t>
            </w:r>
          </w:p>
        </w:tc>
        <w:tc>
          <w:tcPr>
            <w:tcW w:w="690" w:type="dxa"/>
            <w:vAlign w:val="top"/>
          </w:tcPr>
          <w:p>
            <w:pPr>
              <w:spacing w:before="84"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0.2</w:t>
            </w:r>
          </w:p>
        </w:tc>
        <w:tc>
          <w:tcPr>
            <w:tcW w:w="689" w:type="dxa"/>
            <w:vAlign w:val="top"/>
          </w:tcPr>
          <w:p>
            <w:pPr>
              <w:spacing w:before="84"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9.5</w:t>
            </w:r>
          </w:p>
        </w:tc>
        <w:tc>
          <w:tcPr>
            <w:tcW w:w="689" w:type="dxa"/>
            <w:vAlign w:val="top"/>
          </w:tcPr>
          <w:p>
            <w:pPr>
              <w:spacing w:before="84"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4" w:type="dxa"/>
            <w:vAlign w:val="top"/>
          </w:tcPr>
          <w:p>
            <w:pPr>
              <w:spacing w:before="84"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bl>
    <w:p>
      <w:pPr>
        <w:rPr>
          <w:rFonts w:ascii="Arial"/>
          <w:sz w:val="21"/>
        </w:rPr>
      </w:pPr>
    </w:p>
    <w:p>
      <w:pPr>
        <w:sectPr>
          <w:footerReference r:id="rId133" w:type="default"/>
          <w:pgSz w:w="16839" w:h="11906"/>
          <w:pgMar w:top="400" w:right="1436" w:bottom="1027" w:left="1435" w:header="0" w:footer="840" w:gutter="0"/>
          <w:cols w:space="720" w:num="1"/>
        </w:sectPr>
      </w:pPr>
    </w:p>
    <w:p/>
    <w:p/>
    <w:p/>
    <w:p/>
    <w:p>
      <w:pPr>
        <w:spacing w:line="165" w:lineRule="exact"/>
      </w:pPr>
    </w:p>
    <w:tbl>
      <w:tblPr>
        <w:tblStyle w:val="4"/>
        <w:tblW w:w="139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
        <w:gridCol w:w="600"/>
        <w:gridCol w:w="598"/>
        <w:gridCol w:w="675"/>
        <w:gridCol w:w="577"/>
        <w:gridCol w:w="664"/>
        <w:gridCol w:w="664"/>
        <w:gridCol w:w="688"/>
        <w:gridCol w:w="664"/>
        <w:gridCol w:w="689"/>
        <w:gridCol w:w="689"/>
        <w:gridCol w:w="689"/>
        <w:gridCol w:w="690"/>
        <w:gridCol w:w="688"/>
        <w:gridCol w:w="689"/>
        <w:gridCol w:w="688"/>
        <w:gridCol w:w="690"/>
        <w:gridCol w:w="688"/>
        <w:gridCol w:w="689"/>
        <w:gridCol w:w="689"/>
        <w:gridCol w:w="6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559" w:type="dxa"/>
            <w:vMerge w:val="restart"/>
            <w:tcBorders>
              <w:bottom w:val="nil"/>
            </w:tcBorders>
            <w:vAlign w:val="top"/>
          </w:tcPr>
          <w:p>
            <w:pPr>
              <w:spacing w:line="441" w:lineRule="auto"/>
              <w:rPr>
                <w:rFonts w:ascii="Arial"/>
                <w:sz w:val="21"/>
              </w:rPr>
            </w:pPr>
          </w:p>
          <w:p>
            <w:pPr>
              <w:spacing w:before="55" w:line="234" w:lineRule="auto"/>
              <w:ind w:left="102"/>
              <w:rPr>
                <w:rFonts w:ascii="黑体" w:hAnsi="黑体" w:eastAsia="黑体" w:cs="黑体"/>
                <w:sz w:val="17"/>
                <w:szCs w:val="17"/>
              </w:rPr>
            </w:pPr>
            <w:r>
              <w:rPr>
                <w:rFonts w:ascii="黑体" w:hAnsi="黑体" w:eastAsia="黑体" w:cs="黑体"/>
                <w:spacing w:val="6"/>
                <w:sz w:val="17"/>
                <w:szCs w:val="17"/>
                <w14:textOutline w14:w="3268" w14:cap="sq" w14:cmpd="sng">
                  <w14:solidFill>
                    <w14:srgbClr w14:val="000000"/>
                  </w14:solidFill>
                  <w14:prstDash w14:val="solid"/>
                  <w14:bevel/>
                </w14:textOutline>
              </w:rPr>
              <w:t>序号</w:t>
            </w:r>
          </w:p>
        </w:tc>
        <w:tc>
          <w:tcPr>
            <w:tcW w:w="1198" w:type="dxa"/>
            <w:gridSpan w:val="2"/>
            <w:vMerge w:val="restart"/>
            <w:tcBorders>
              <w:bottom w:val="nil"/>
            </w:tcBorders>
            <w:vAlign w:val="top"/>
          </w:tcPr>
          <w:p>
            <w:pPr>
              <w:spacing w:line="302" w:lineRule="auto"/>
              <w:rPr>
                <w:rFonts w:ascii="Arial"/>
                <w:sz w:val="21"/>
              </w:rPr>
            </w:pPr>
          </w:p>
          <w:p>
            <w:pPr>
              <w:spacing w:before="55" w:line="317" w:lineRule="auto"/>
              <w:ind w:left="326" w:right="57" w:hanging="267"/>
              <w:rPr>
                <w:rFonts w:ascii="黑体" w:hAnsi="黑体" w:eastAsia="黑体" w:cs="黑体"/>
                <w:sz w:val="17"/>
                <w:szCs w:val="17"/>
              </w:rPr>
            </w:pPr>
            <w:r>
              <w:rPr>
                <w:rFonts w:ascii="黑体" w:hAnsi="黑体" w:eastAsia="黑体" w:cs="黑体"/>
                <w:spacing w:val="10"/>
                <w:sz w:val="17"/>
                <w:szCs w:val="17"/>
                <w14:textOutline w14:w="3268" w14:cap="sq" w14:cmpd="sng">
                  <w14:solidFill>
                    <w14:srgbClr w14:val="000000"/>
                  </w14:solidFill>
                  <w14:prstDash w14:val="solid"/>
                  <w14:bevel/>
                </w14:textOutline>
              </w:rPr>
              <w:t>声</w:t>
            </w:r>
            <w:r>
              <w:rPr>
                <w:rFonts w:ascii="黑体" w:hAnsi="黑体" w:eastAsia="黑体" w:cs="黑体"/>
                <w:spacing w:val="9"/>
                <w:sz w:val="17"/>
                <w:szCs w:val="17"/>
                <w14:textOutline w14:w="3268" w14:cap="sq" w14:cmpd="sng">
                  <w14:solidFill>
                    <w14:srgbClr w14:val="000000"/>
                  </w14:solidFill>
                  <w14:prstDash w14:val="solid"/>
                  <w14:bevel/>
                </w14:textOutline>
              </w:rPr>
              <w:t>环境保护目</w:t>
            </w:r>
            <w:r>
              <w:rPr>
                <w:rFonts w:ascii="黑体" w:hAnsi="黑体" w:eastAsia="黑体" w:cs="黑体"/>
                <w:sz w:val="17"/>
                <w:szCs w:val="17"/>
              </w:rPr>
              <w:t xml:space="preserve"> </w:t>
            </w:r>
            <w:r>
              <w:rPr>
                <w:rFonts w:ascii="黑体" w:hAnsi="黑体" w:eastAsia="黑体" w:cs="黑体"/>
                <w:spacing w:val="10"/>
                <w:sz w:val="17"/>
                <w:szCs w:val="17"/>
                <w14:textOutline w14:w="3268" w14:cap="sq" w14:cmpd="sng">
                  <w14:solidFill>
                    <w14:srgbClr w14:val="000000"/>
                  </w14:solidFill>
                  <w14:prstDash w14:val="solid"/>
                  <w14:bevel/>
                </w14:textOutline>
              </w:rPr>
              <w:t>标</w:t>
            </w:r>
            <w:r>
              <w:rPr>
                <w:rFonts w:ascii="黑体" w:hAnsi="黑体" w:eastAsia="黑体" w:cs="黑体"/>
                <w:spacing w:val="9"/>
                <w:sz w:val="17"/>
                <w:szCs w:val="17"/>
                <w14:textOutline w14:w="3268" w14:cap="sq" w14:cmpd="sng">
                  <w14:solidFill>
                    <w14:srgbClr w14:val="000000"/>
                  </w14:solidFill>
                  <w14:prstDash w14:val="solid"/>
                  <w14:bevel/>
                </w14:textOutline>
              </w:rPr>
              <w:t>名称</w:t>
            </w:r>
          </w:p>
        </w:tc>
        <w:tc>
          <w:tcPr>
            <w:tcW w:w="675" w:type="dxa"/>
            <w:vMerge w:val="restart"/>
            <w:tcBorders>
              <w:bottom w:val="nil"/>
            </w:tcBorders>
            <w:vAlign w:val="top"/>
          </w:tcPr>
          <w:p>
            <w:pPr>
              <w:spacing w:before="221" w:line="317" w:lineRule="auto"/>
              <w:ind w:left="64" w:right="54" w:firstLine="7"/>
              <w:rPr>
                <w:rFonts w:ascii="Times New Roman" w:hAnsi="Times New Roman" w:eastAsia="Times New Roman" w:cs="Times New Roman"/>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预</w:t>
            </w:r>
            <w:r>
              <w:rPr>
                <w:rFonts w:ascii="黑体" w:hAnsi="黑体" w:eastAsia="黑体" w:cs="黑体"/>
                <w:spacing w:val="7"/>
                <w:sz w:val="17"/>
                <w:szCs w:val="17"/>
                <w14:textOutline w14:w="3268" w14:cap="sq" w14:cmpd="sng">
                  <w14:solidFill>
                    <w14:srgbClr w14:val="000000"/>
                  </w14:solidFill>
                  <w14:prstDash w14:val="solid"/>
                  <w14:bevel/>
                </w14:textOutline>
              </w:rPr>
              <w:t>测点</w:t>
            </w:r>
            <w:r>
              <w:rPr>
                <w:rFonts w:ascii="黑体" w:hAnsi="黑体" w:eastAsia="黑体" w:cs="黑体"/>
                <w:sz w:val="17"/>
                <w:szCs w:val="17"/>
              </w:rPr>
              <w:t xml:space="preserve"> </w:t>
            </w:r>
            <w:r>
              <w:rPr>
                <w:rFonts w:ascii="黑体" w:hAnsi="黑体" w:eastAsia="黑体" w:cs="黑体"/>
                <w:spacing w:val="10"/>
                <w:sz w:val="17"/>
                <w:szCs w:val="17"/>
                <w14:textOutline w14:w="3268" w14:cap="sq" w14:cmpd="sng">
                  <w14:solidFill>
                    <w14:srgbClr w14:val="000000"/>
                  </w14:solidFill>
                  <w14:prstDash w14:val="solid"/>
                  <w14:bevel/>
                </w14:textOutline>
              </w:rPr>
              <w:t>与声源</w:t>
            </w:r>
            <w:r>
              <w:rPr>
                <w:rFonts w:ascii="黑体" w:hAnsi="黑体" w:eastAsia="黑体" w:cs="黑体"/>
                <w:sz w:val="17"/>
                <w:szCs w:val="17"/>
              </w:rPr>
              <w:t xml:space="preserve"> </w:t>
            </w:r>
            <w:r>
              <w:rPr>
                <w:rFonts w:ascii="黑体" w:hAnsi="黑体" w:eastAsia="黑体" w:cs="黑体"/>
                <w:spacing w:val="8"/>
                <w:sz w:val="17"/>
                <w:szCs w:val="17"/>
                <w14:textOutline w14:w="3268" w14:cap="sq" w14:cmpd="sng">
                  <w14:solidFill>
                    <w14:srgbClr w14:val="000000"/>
                  </w14:solidFill>
                  <w14:prstDash w14:val="solid"/>
                  <w14:bevel/>
                </w14:textOutline>
              </w:rPr>
              <w:t>高</w:t>
            </w:r>
            <w:r>
              <w:rPr>
                <w:rFonts w:ascii="黑体" w:hAnsi="黑体" w:eastAsia="黑体" w:cs="黑体"/>
                <w:spacing w:val="7"/>
                <w:sz w:val="17"/>
                <w:szCs w:val="17"/>
                <w14:textOutline w14:w="3268" w14:cap="sq" w14:cmpd="sng">
                  <w14:solidFill>
                    <w14:srgbClr w14:val="000000"/>
                  </w14:solidFill>
                  <w14:prstDash w14:val="solid"/>
                  <w14:bevel/>
                </w14:textOutline>
              </w:rPr>
              <w:t>差</w:t>
            </w:r>
            <w:r>
              <w:rPr>
                <w:rFonts w:ascii="Times New Roman" w:hAnsi="Times New Roman" w:eastAsia="Times New Roman" w:cs="Times New Roman"/>
                <w:b/>
                <w:bCs/>
                <w:spacing w:val="7"/>
                <w:sz w:val="17"/>
                <w:szCs w:val="17"/>
              </w:rPr>
              <w:t>/</w:t>
            </w:r>
            <w:r>
              <w:rPr>
                <w:rFonts w:ascii="Times New Roman" w:hAnsi="Times New Roman" w:eastAsia="Times New Roman" w:cs="Times New Roman"/>
                <w:b/>
                <w:bCs/>
                <w:sz w:val="17"/>
                <w:szCs w:val="17"/>
              </w:rPr>
              <w:t>m</w:t>
            </w:r>
          </w:p>
        </w:tc>
        <w:tc>
          <w:tcPr>
            <w:tcW w:w="577" w:type="dxa"/>
            <w:vMerge w:val="restart"/>
            <w:tcBorders>
              <w:bottom w:val="nil"/>
            </w:tcBorders>
            <w:vAlign w:val="top"/>
          </w:tcPr>
          <w:p>
            <w:pPr>
              <w:spacing w:line="303" w:lineRule="auto"/>
              <w:rPr>
                <w:rFonts w:ascii="Arial"/>
                <w:sz w:val="21"/>
              </w:rPr>
            </w:pPr>
          </w:p>
          <w:p>
            <w:pPr>
              <w:spacing w:before="55" w:line="316" w:lineRule="auto"/>
              <w:ind w:left="117" w:right="16" w:hanging="96"/>
              <w:rPr>
                <w:rFonts w:ascii="黑体" w:hAnsi="黑体" w:eastAsia="黑体" w:cs="黑体"/>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功能</w:t>
            </w:r>
            <w:r>
              <w:rPr>
                <w:rFonts w:ascii="黑体" w:hAnsi="黑体" w:eastAsia="黑体" w:cs="黑体"/>
                <w:spacing w:val="7"/>
                <w:sz w:val="17"/>
                <w:szCs w:val="17"/>
                <w14:textOutline w14:w="3268" w14:cap="sq" w14:cmpd="sng">
                  <w14:solidFill>
                    <w14:srgbClr w14:val="000000"/>
                  </w14:solidFill>
                  <w14:prstDash w14:val="solid"/>
                  <w14:bevel/>
                </w14:textOutline>
              </w:rPr>
              <w:t>区</w:t>
            </w:r>
            <w:r>
              <w:rPr>
                <w:rFonts w:ascii="黑体" w:hAnsi="黑体" w:eastAsia="黑体" w:cs="黑体"/>
                <w:sz w:val="17"/>
                <w:szCs w:val="17"/>
              </w:rPr>
              <w:t xml:space="preserve"> </w:t>
            </w:r>
            <w:r>
              <w:rPr>
                <w:rFonts w:ascii="黑体" w:hAnsi="黑体" w:eastAsia="黑体" w:cs="黑体"/>
                <w:spacing w:val="3"/>
                <w:sz w:val="17"/>
                <w:szCs w:val="17"/>
                <w14:textOutline w14:w="3268" w14:cap="sq" w14:cmpd="sng">
                  <w14:solidFill>
                    <w14:srgbClr w14:val="000000"/>
                  </w14:solidFill>
                  <w14:prstDash w14:val="solid"/>
                  <w14:bevel/>
                </w14:textOutline>
              </w:rPr>
              <w:t>类别</w:t>
            </w:r>
          </w:p>
        </w:tc>
        <w:tc>
          <w:tcPr>
            <w:tcW w:w="664" w:type="dxa"/>
            <w:vMerge w:val="restart"/>
            <w:tcBorders>
              <w:bottom w:val="nil"/>
            </w:tcBorders>
            <w:vAlign w:val="top"/>
          </w:tcPr>
          <w:p>
            <w:pPr>
              <w:spacing w:line="441" w:lineRule="auto"/>
              <w:rPr>
                <w:rFonts w:ascii="Arial"/>
                <w:sz w:val="21"/>
              </w:rPr>
            </w:pPr>
          </w:p>
          <w:p>
            <w:pPr>
              <w:spacing w:before="55" w:line="233" w:lineRule="auto"/>
              <w:ind w:left="160"/>
              <w:rPr>
                <w:rFonts w:ascii="黑体" w:hAnsi="黑体" w:eastAsia="黑体" w:cs="黑体"/>
                <w:sz w:val="17"/>
                <w:szCs w:val="17"/>
              </w:rPr>
            </w:pPr>
            <w:r>
              <w:rPr>
                <w:rFonts w:ascii="黑体" w:hAnsi="黑体" w:eastAsia="黑体" w:cs="黑体"/>
                <w:spacing w:val="3"/>
                <w:sz w:val="17"/>
                <w:szCs w:val="17"/>
                <w14:textOutline w14:w="3268" w14:cap="sq" w14:cmpd="sng">
                  <w14:solidFill>
                    <w14:srgbClr w14:val="000000"/>
                  </w14:solidFill>
                  <w14:prstDash w14:val="solid"/>
                  <w14:bevel/>
                </w14:textOutline>
              </w:rPr>
              <w:t>时段</w:t>
            </w:r>
          </w:p>
        </w:tc>
        <w:tc>
          <w:tcPr>
            <w:tcW w:w="664" w:type="dxa"/>
            <w:vMerge w:val="restart"/>
            <w:tcBorders>
              <w:bottom w:val="nil"/>
            </w:tcBorders>
            <w:vAlign w:val="top"/>
          </w:tcPr>
          <w:p>
            <w:pPr>
              <w:spacing w:line="303" w:lineRule="auto"/>
              <w:rPr>
                <w:rFonts w:ascii="Arial"/>
                <w:sz w:val="21"/>
              </w:rPr>
            </w:pPr>
          </w:p>
          <w:p>
            <w:pPr>
              <w:spacing w:before="55" w:line="316" w:lineRule="auto"/>
              <w:ind w:left="67" w:right="60" w:hanging="8"/>
              <w:rPr>
                <w:rFonts w:ascii="Times New Roman" w:hAnsi="Times New Roman" w:eastAsia="Times New Roman" w:cs="Times New Roman"/>
                <w:sz w:val="17"/>
                <w:szCs w:val="17"/>
              </w:rPr>
            </w:pPr>
            <w:r>
              <w:rPr>
                <w:rFonts w:ascii="黑体" w:hAnsi="黑体" w:eastAsia="黑体" w:cs="黑体"/>
                <w:spacing w:val="10"/>
                <w:sz w:val="17"/>
                <w:szCs w:val="17"/>
                <w14:textOutline w14:w="3268" w14:cap="sq" w14:cmpd="sng">
                  <w14:solidFill>
                    <w14:srgbClr w14:val="000000"/>
                  </w14:solidFill>
                  <w14:prstDash w14:val="solid"/>
                  <w14:bevel/>
                </w14:textOutline>
              </w:rPr>
              <w:t>标</w:t>
            </w:r>
            <w:r>
              <w:rPr>
                <w:rFonts w:ascii="黑体" w:hAnsi="黑体" w:eastAsia="黑体" w:cs="黑体"/>
                <w:spacing w:val="9"/>
                <w:sz w:val="17"/>
                <w:szCs w:val="17"/>
                <w14:textOutline w14:w="3268" w14:cap="sq" w14:cmpd="sng">
                  <w14:solidFill>
                    <w14:srgbClr w14:val="000000"/>
                  </w14:solidFill>
                  <w14:prstDash w14:val="solid"/>
                  <w14:bevel/>
                </w14:textOutline>
              </w:rPr>
              <w:t>准值</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8" w:type="dxa"/>
            <w:vMerge w:val="restart"/>
            <w:tcBorders>
              <w:bottom w:val="nil"/>
            </w:tcBorders>
            <w:vAlign w:val="top"/>
          </w:tcPr>
          <w:p>
            <w:pPr>
              <w:spacing w:line="303" w:lineRule="auto"/>
              <w:rPr>
                <w:rFonts w:ascii="Arial"/>
                <w:sz w:val="21"/>
              </w:rPr>
            </w:pPr>
          </w:p>
          <w:p>
            <w:pPr>
              <w:spacing w:before="55" w:line="316" w:lineRule="auto"/>
              <w:ind w:left="78" w:right="71" w:hanging="1"/>
              <w:rPr>
                <w:rFonts w:ascii="Times New Roman" w:hAnsi="Times New Roman" w:eastAsia="Times New Roman" w:cs="Times New Roman"/>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背景</w:t>
            </w:r>
            <w:r>
              <w:rPr>
                <w:rFonts w:ascii="黑体" w:hAnsi="黑体" w:eastAsia="黑体" w:cs="黑体"/>
                <w:spacing w:val="7"/>
                <w:sz w:val="17"/>
                <w:szCs w:val="17"/>
                <w14:textOutline w14:w="3268" w14:cap="sq" w14:cmpd="sng">
                  <w14:solidFill>
                    <w14:srgbClr w14:val="000000"/>
                  </w14:solidFill>
                  <w14:prstDash w14:val="solid"/>
                  <w14:bevel/>
                </w14:textOutline>
              </w:rPr>
              <w:t>值</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64" w:type="dxa"/>
            <w:vMerge w:val="restart"/>
            <w:tcBorders>
              <w:bottom w:val="nil"/>
            </w:tcBorders>
            <w:vAlign w:val="top"/>
          </w:tcPr>
          <w:p>
            <w:pPr>
              <w:spacing w:line="303" w:lineRule="auto"/>
              <w:rPr>
                <w:rFonts w:ascii="Arial"/>
                <w:sz w:val="21"/>
              </w:rPr>
            </w:pPr>
          </w:p>
          <w:p>
            <w:pPr>
              <w:spacing w:before="55" w:line="316" w:lineRule="auto"/>
              <w:ind w:left="67" w:right="58" w:hanging="2"/>
              <w:rPr>
                <w:rFonts w:ascii="Times New Roman" w:hAnsi="Times New Roman" w:eastAsia="Times New Roman" w:cs="Times New Roman"/>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现</w:t>
            </w:r>
            <w:r>
              <w:rPr>
                <w:rFonts w:ascii="黑体" w:hAnsi="黑体" w:eastAsia="黑体" w:cs="黑体"/>
                <w:spacing w:val="8"/>
                <w:sz w:val="17"/>
                <w:szCs w:val="17"/>
                <w14:textOutline w14:w="3268" w14:cap="sq" w14:cmpd="sng">
                  <w14:solidFill>
                    <w14:srgbClr w14:val="000000"/>
                  </w14:solidFill>
                  <w14:prstDash w14:val="solid"/>
                  <w14:bevel/>
                </w14:textOutline>
              </w:rPr>
              <w:t>状值</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2757" w:type="dxa"/>
            <w:gridSpan w:val="4"/>
            <w:vAlign w:val="top"/>
          </w:tcPr>
          <w:p>
            <w:pPr>
              <w:spacing w:before="74" w:line="233" w:lineRule="auto"/>
              <w:ind w:left="1023"/>
              <w:rPr>
                <w:rFonts w:ascii="黑体" w:hAnsi="黑体" w:eastAsia="黑体" w:cs="黑体"/>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运</w:t>
            </w:r>
            <w:r>
              <w:rPr>
                <w:rFonts w:ascii="黑体" w:hAnsi="黑体" w:eastAsia="黑体" w:cs="黑体"/>
                <w:spacing w:val="8"/>
                <w:sz w:val="17"/>
                <w:szCs w:val="17"/>
                <w14:textOutline w14:w="3268" w14:cap="sq" w14:cmpd="sng">
                  <w14:solidFill>
                    <w14:srgbClr w14:val="000000"/>
                  </w14:solidFill>
                  <w14:prstDash w14:val="solid"/>
                  <w14:bevel/>
                </w14:textOutline>
              </w:rPr>
              <w:t>营近期</w:t>
            </w:r>
          </w:p>
        </w:tc>
        <w:tc>
          <w:tcPr>
            <w:tcW w:w="2755" w:type="dxa"/>
            <w:gridSpan w:val="4"/>
            <w:vAlign w:val="top"/>
          </w:tcPr>
          <w:p>
            <w:pPr>
              <w:spacing w:before="74" w:line="233" w:lineRule="auto"/>
              <w:ind w:left="1023"/>
              <w:rPr>
                <w:rFonts w:ascii="黑体" w:hAnsi="黑体" w:eastAsia="黑体" w:cs="黑体"/>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运</w:t>
            </w:r>
            <w:r>
              <w:rPr>
                <w:rFonts w:ascii="黑体" w:hAnsi="黑体" w:eastAsia="黑体" w:cs="黑体"/>
                <w:spacing w:val="8"/>
                <w:sz w:val="17"/>
                <w:szCs w:val="17"/>
                <w14:textOutline w14:w="3268" w14:cap="sq" w14:cmpd="sng">
                  <w14:solidFill>
                    <w14:srgbClr w14:val="000000"/>
                  </w14:solidFill>
                  <w14:prstDash w14:val="solid"/>
                  <w14:bevel/>
                </w14:textOutline>
              </w:rPr>
              <w:t>营中期</w:t>
            </w:r>
          </w:p>
        </w:tc>
        <w:tc>
          <w:tcPr>
            <w:tcW w:w="2760" w:type="dxa"/>
            <w:gridSpan w:val="4"/>
            <w:vAlign w:val="top"/>
          </w:tcPr>
          <w:p>
            <w:pPr>
              <w:spacing w:before="74" w:line="233" w:lineRule="auto"/>
              <w:ind w:left="1023"/>
              <w:rPr>
                <w:rFonts w:ascii="黑体" w:hAnsi="黑体" w:eastAsia="黑体" w:cs="黑体"/>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运</w:t>
            </w:r>
            <w:r>
              <w:rPr>
                <w:rFonts w:ascii="黑体" w:hAnsi="黑体" w:eastAsia="黑体" w:cs="黑体"/>
                <w:spacing w:val="8"/>
                <w:sz w:val="17"/>
                <w:szCs w:val="17"/>
                <w14:textOutline w14:w="3268" w14:cap="sq" w14:cmpd="sng">
                  <w14:solidFill>
                    <w14:srgbClr w14:val="000000"/>
                  </w14:solidFill>
                  <w14:prstDash w14:val="solid"/>
                  <w14:bevel/>
                </w14:textOutline>
              </w:rPr>
              <w:t>营远期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559" w:type="dxa"/>
            <w:vMerge w:val="continue"/>
            <w:tcBorders>
              <w:top w:val="nil"/>
            </w:tcBorders>
            <w:vAlign w:val="top"/>
          </w:tcPr>
          <w:p>
            <w:pPr>
              <w:rPr>
                <w:rFonts w:ascii="Arial"/>
                <w:sz w:val="21"/>
              </w:rPr>
            </w:pPr>
          </w:p>
        </w:tc>
        <w:tc>
          <w:tcPr>
            <w:tcW w:w="1198" w:type="dxa"/>
            <w:gridSpan w:val="2"/>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Merge w:val="continue"/>
            <w:tcBorders>
              <w:top w:val="nil"/>
            </w:tcBorders>
            <w:vAlign w:val="top"/>
          </w:tcPr>
          <w:p>
            <w:pPr>
              <w:rPr>
                <w:rFonts w:ascii="Arial"/>
                <w:sz w:val="21"/>
              </w:rPr>
            </w:pPr>
          </w:p>
        </w:tc>
        <w:tc>
          <w:tcPr>
            <w:tcW w:w="664"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664" w:type="dxa"/>
            <w:vMerge w:val="continue"/>
            <w:tcBorders>
              <w:top w:val="nil"/>
            </w:tcBorders>
            <w:vAlign w:val="top"/>
          </w:tcPr>
          <w:p>
            <w:pPr>
              <w:rPr>
                <w:rFonts w:ascii="Arial"/>
                <w:sz w:val="21"/>
              </w:rPr>
            </w:pPr>
          </w:p>
        </w:tc>
        <w:tc>
          <w:tcPr>
            <w:tcW w:w="689" w:type="dxa"/>
            <w:vAlign w:val="top"/>
          </w:tcPr>
          <w:p>
            <w:pPr>
              <w:spacing w:before="213" w:line="316" w:lineRule="auto"/>
              <w:ind w:left="113" w:right="73" w:hanging="33"/>
              <w:rPr>
                <w:rFonts w:ascii="Times New Roman" w:hAnsi="Times New Roman" w:eastAsia="Times New Roman" w:cs="Times New Roman"/>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贡</w:t>
            </w:r>
            <w:r>
              <w:rPr>
                <w:rFonts w:ascii="黑体" w:hAnsi="黑体" w:eastAsia="黑体" w:cs="黑体"/>
                <w:spacing w:val="6"/>
                <w:sz w:val="17"/>
                <w:szCs w:val="17"/>
                <w14:textOutline w14:w="3268" w14:cap="sq" w14:cmpd="sng">
                  <w14:solidFill>
                    <w14:srgbClr w14:val="000000"/>
                  </w14:solidFill>
                  <w14:prstDash w14:val="solid"/>
                  <w14:bevel/>
                </w14:textOutline>
              </w:rPr>
              <w:t>献值</w:t>
            </w:r>
            <w:r>
              <w:rPr>
                <w:rFonts w:ascii="黑体" w:hAnsi="黑体" w:eastAsia="黑体" w:cs="黑体"/>
                <w:sz w:val="17"/>
                <w:szCs w:val="17"/>
              </w:rPr>
              <w:t xml:space="preserve"> </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10"/>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9" w:type="dxa"/>
            <w:vAlign w:val="top"/>
          </w:tcPr>
          <w:p>
            <w:pPr>
              <w:spacing w:before="213" w:line="316" w:lineRule="auto"/>
              <w:ind w:left="113" w:right="73" w:hanging="33"/>
              <w:rPr>
                <w:rFonts w:ascii="Times New Roman" w:hAnsi="Times New Roman" w:eastAsia="Times New Roman" w:cs="Times New Roman"/>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预</w:t>
            </w:r>
            <w:r>
              <w:rPr>
                <w:rFonts w:ascii="黑体" w:hAnsi="黑体" w:eastAsia="黑体" w:cs="黑体"/>
                <w:spacing w:val="6"/>
                <w:sz w:val="17"/>
                <w:szCs w:val="17"/>
                <w14:textOutline w14:w="3268" w14:cap="sq" w14:cmpd="sng">
                  <w14:solidFill>
                    <w14:srgbClr w14:val="000000"/>
                  </w14:solidFill>
                  <w14:prstDash w14:val="solid"/>
                  <w14:bevel/>
                </w14:textOutline>
              </w:rPr>
              <w:t>测值</w:t>
            </w:r>
            <w:r>
              <w:rPr>
                <w:rFonts w:ascii="黑体" w:hAnsi="黑体" w:eastAsia="黑体" w:cs="黑体"/>
                <w:sz w:val="17"/>
                <w:szCs w:val="17"/>
              </w:rPr>
              <w:t xml:space="preserve"> </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10"/>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9" w:type="dxa"/>
            <w:vAlign w:val="top"/>
          </w:tcPr>
          <w:p>
            <w:pPr>
              <w:spacing w:before="70" w:line="233" w:lineRule="auto"/>
              <w:ind w:left="75"/>
              <w:rPr>
                <w:rFonts w:ascii="黑体" w:hAnsi="黑体" w:eastAsia="黑体" w:cs="黑体"/>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较现</w:t>
            </w:r>
            <w:r>
              <w:rPr>
                <w:rFonts w:ascii="黑体" w:hAnsi="黑体" w:eastAsia="黑体" w:cs="黑体"/>
                <w:spacing w:val="8"/>
                <w:sz w:val="17"/>
                <w:szCs w:val="17"/>
                <w14:textOutline w14:w="3268" w14:cap="sq" w14:cmpd="sng">
                  <w14:solidFill>
                    <w14:srgbClr w14:val="000000"/>
                  </w14:solidFill>
                  <w14:prstDash w14:val="solid"/>
                  <w14:bevel/>
                </w14:textOutline>
              </w:rPr>
              <w:t>状</w:t>
            </w:r>
          </w:p>
          <w:p>
            <w:pPr>
              <w:spacing w:before="66" w:line="234" w:lineRule="auto"/>
              <w:ind w:left="167"/>
              <w:rPr>
                <w:rFonts w:ascii="黑体" w:hAnsi="黑体" w:eastAsia="黑体" w:cs="黑体"/>
                <w:sz w:val="17"/>
                <w:szCs w:val="17"/>
              </w:rPr>
            </w:pPr>
            <w:r>
              <w:rPr>
                <w:rFonts w:ascii="黑体" w:hAnsi="黑体" w:eastAsia="黑体" w:cs="黑体"/>
                <w:spacing w:val="7"/>
                <w:sz w:val="17"/>
                <w:szCs w:val="17"/>
                <w14:textOutline w14:w="3268" w14:cap="sq" w14:cmpd="sng">
                  <w14:solidFill>
                    <w14:srgbClr w14:val="000000"/>
                  </w14:solidFill>
                  <w14:prstDash w14:val="solid"/>
                  <w14:bevel/>
                </w14:textOutline>
              </w:rPr>
              <w:t>增量</w:t>
            </w:r>
          </w:p>
          <w:p>
            <w:pPr>
              <w:spacing w:before="27" w:line="249" w:lineRule="exact"/>
              <w:ind w:left="80"/>
              <w:rPr>
                <w:rFonts w:ascii="Times New Roman" w:hAnsi="Times New Roman" w:eastAsia="Times New Roman" w:cs="Times New Roman"/>
                <w:sz w:val="17"/>
                <w:szCs w:val="17"/>
              </w:rPr>
            </w:pPr>
            <w:r>
              <w:rPr>
                <w:rFonts w:ascii="Times New Roman" w:hAnsi="Times New Roman" w:eastAsia="Times New Roman" w:cs="Times New Roman"/>
                <w:b/>
                <w:bCs/>
                <w:spacing w:val="11"/>
                <w:position w:val="3"/>
                <w:sz w:val="17"/>
                <w:szCs w:val="17"/>
              </w:rPr>
              <w:t>/</w:t>
            </w:r>
            <w:r>
              <w:rPr>
                <w:rFonts w:ascii="Times New Roman" w:hAnsi="Times New Roman" w:eastAsia="Times New Roman" w:cs="Times New Roman"/>
                <w:b/>
                <w:bCs/>
                <w:position w:val="3"/>
                <w:sz w:val="17"/>
                <w:szCs w:val="17"/>
              </w:rPr>
              <w:t>dB</w:t>
            </w:r>
            <w:r>
              <w:rPr>
                <w:rFonts w:ascii="Times New Roman" w:hAnsi="Times New Roman" w:eastAsia="Times New Roman" w:cs="Times New Roman"/>
                <w:b/>
                <w:bCs/>
                <w:spacing w:val="9"/>
                <w:position w:val="3"/>
                <w:sz w:val="17"/>
                <w:szCs w:val="17"/>
              </w:rPr>
              <w:t>(</w:t>
            </w:r>
            <w:r>
              <w:rPr>
                <w:rFonts w:ascii="Times New Roman" w:hAnsi="Times New Roman" w:eastAsia="Times New Roman" w:cs="Times New Roman"/>
                <w:b/>
                <w:bCs/>
                <w:position w:val="3"/>
                <w:sz w:val="17"/>
                <w:szCs w:val="17"/>
              </w:rPr>
              <w:t>A</w:t>
            </w:r>
            <w:r>
              <w:rPr>
                <w:rFonts w:ascii="Times New Roman" w:hAnsi="Times New Roman" w:eastAsia="Times New Roman" w:cs="Times New Roman"/>
                <w:b/>
                <w:bCs/>
                <w:spacing w:val="9"/>
                <w:position w:val="3"/>
                <w:sz w:val="17"/>
                <w:szCs w:val="17"/>
              </w:rPr>
              <w:t>)</w:t>
            </w:r>
          </w:p>
        </w:tc>
        <w:tc>
          <w:tcPr>
            <w:tcW w:w="690" w:type="dxa"/>
            <w:vAlign w:val="top"/>
          </w:tcPr>
          <w:p>
            <w:pPr>
              <w:spacing w:before="213" w:line="316" w:lineRule="auto"/>
              <w:ind w:left="81" w:right="72" w:hanging="6"/>
              <w:rPr>
                <w:rFonts w:ascii="Times New Roman" w:hAnsi="Times New Roman" w:eastAsia="Times New Roman" w:cs="Times New Roman"/>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超标</w:t>
            </w:r>
            <w:r>
              <w:rPr>
                <w:rFonts w:ascii="黑体" w:hAnsi="黑体" w:eastAsia="黑体" w:cs="黑体"/>
                <w:spacing w:val="8"/>
                <w:sz w:val="17"/>
                <w:szCs w:val="17"/>
                <w14:textOutline w14:w="3268" w14:cap="sq" w14:cmpd="sng">
                  <w14:solidFill>
                    <w14:srgbClr w14:val="000000"/>
                  </w14:solidFill>
                  <w14:prstDash w14:val="solid"/>
                  <w14:bevel/>
                </w14:textOutline>
              </w:rPr>
              <w:t>量</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8" w:type="dxa"/>
            <w:vAlign w:val="top"/>
          </w:tcPr>
          <w:p>
            <w:pPr>
              <w:spacing w:before="213" w:line="316" w:lineRule="auto"/>
              <w:ind w:left="80" w:right="71" w:hanging="2"/>
              <w:rPr>
                <w:rFonts w:ascii="Times New Roman" w:hAnsi="Times New Roman" w:eastAsia="Times New Roman" w:cs="Times New Roman"/>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贡</w:t>
            </w:r>
            <w:r>
              <w:rPr>
                <w:rFonts w:ascii="黑体" w:hAnsi="黑体" w:eastAsia="黑体" w:cs="黑体"/>
                <w:spacing w:val="7"/>
                <w:sz w:val="17"/>
                <w:szCs w:val="17"/>
                <w14:textOutline w14:w="3268" w14:cap="sq" w14:cmpd="sng">
                  <w14:solidFill>
                    <w14:srgbClr w14:val="000000"/>
                  </w14:solidFill>
                  <w14:prstDash w14:val="solid"/>
                  <w14:bevel/>
                </w14:textOutline>
              </w:rPr>
              <w:t>献值</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9" w:type="dxa"/>
            <w:vAlign w:val="top"/>
          </w:tcPr>
          <w:p>
            <w:pPr>
              <w:spacing w:before="213" w:line="316" w:lineRule="auto"/>
              <w:ind w:left="81" w:right="71" w:hanging="2"/>
              <w:rPr>
                <w:rFonts w:ascii="Times New Roman" w:hAnsi="Times New Roman" w:eastAsia="Times New Roman" w:cs="Times New Roman"/>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预</w:t>
            </w:r>
            <w:r>
              <w:rPr>
                <w:rFonts w:ascii="黑体" w:hAnsi="黑体" w:eastAsia="黑体" w:cs="黑体"/>
                <w:spacing w:val="7"/>
                <w:sz w:val="17"/>
                <w:szCs w:val="17"/>
                <w14:textOutline w14:w="3268" w14:cap="sq" w14:cmpd="sng">
                  <w14:solidFill>
                    <w14:srgbClr w14:val="000000"/>
                  </w14:solidFill>
                  <w14:prstDash w14:val="solid"/>
                  <w14:bevel/>
                </w14:textOutline>
              </w:rPr>
              <w:t>测值</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8" w:type="dxa"/>
            <w:vAlign w:val="top"/>
          </w:tcPr>
          <w:p>
            <w:pPr>
              <w:spacing w:before="70" w:line="233" w:lineRule="auto"/>
              <w:ind w:left="75"/>
              <w:rPr>
                <w:rFonts w:ascii="黑体" w:hAnsi="黑体" w:eastAsia="黑体" w:cs="黑体"/>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较现</w:t>
            </w:r>
            <w:r>
              <w:rPr>
                <w:rFonts w:ascii="黑体" w:hAnsi="黑体" w:eastAsia="黑体" w:cs="黑体"/>
                <w:spacing w:val="8"/>
                <w:sz w:val="17"/>
                <w:szCs w:val="17"/>
                <w14:textOutline w14:w="3268" w14:cap="sq" w14:cmpd="sng">
                  <w14:solidFill>
                    <w14:srgbClr w14:val="000000"/>
                  </w14:solidFill>
                  <w14:prstDash w14:val="solid"/>
                  <w14:bevel/>
                </w14:textOutline>
              </w:rPr>
              <w:t>状</w:t>
            </w:r>
          </w:p>
          <w:p>
            <w:pPr>
              <w:spacing w:before="66" w:line="234" w:lineRule="auto"/>
              <w:ind w:left="166"/>
              <w:rPr>
                <w:rFonts w:ascii="黑体" w:hAnsi="黑体" w:eastAsia="黑体" w:cs="黑体"/>
                <w:sz w:val="17"/>
                <w:szCs w:val="17"/>
              </w:rPr>
            </w:pPr>
            <w:r>
              <w:rPr>
                <w:rFonts w:ascii="黑体" w:hAnsi="黑体" w:eastAsia="黑体" w:cs="黑体"/>
                <w:spacing w:val="7"/>
                <w:sz w:val="17"/>
                <w:szCs w:val="17"/>
                <w14:textOutline w14:w="3268" w14:cap="sq" w14:cmpd="sng">
                  <w14:solidFill>
                    <w14:srgbClr w14:val="000000"/>
                  </w14:solidFill>
                  <w14:prstDash w14:val="solid"/>
                  <w14:bevel/>
                </w14:textOutline>
              </w:rPr>
              <w:t>增量</w:t>
            </w:r>
          </w:p>
          <w:p>
            <w:pPr>
              <w:spacing w:before="27" w:line="249" w:lineRule="exact"/>
              <w:ind w:left="81"/>
              <w:rPr>
                <w:rFonts w:ascii="Times New Roman" w:hAnsi="Times New Roman" w:eastAsia="Times New Roman" w:cs="Times New Roman"/>
                <w:sz w:val="17"/>
                <w:szCs w:val="17"/>
              </w:rPr>
            </w:pPr>
            <w:r>
              <w:rPr>
                <w:rFonts w:ascii="Times New Roman" w:hAnsi="Times New Roman" w:eastAsia="Times New Roman" w:cs="Times New Roman"/>
                <w:b/>
                <w:bCs/>
                <w:spacing w:val="11"/>
                <w:position w:val="3"/>
                <w:sz w:val="17"/>
                <w:szCs w:val="17"/>
              </w:rPr>
              <w:t>/</w:t>
            </w:r>
            <w:r>
              <w:rPr>
                <w:rFonts w:ascii="Times New Roman" w:hAnsi="Times New Roman" w:eastAsia="Times New Roman" w:cs="Times New Roman"/>
                <w:b/>
                <w:bCs/>
                <w:position w:val="3"/>
                <w:sz w:val="17"/>
                <w:szCs w:val="17"/>
              </w:rPr>
              <w:t>dB</w:t>
            </w:r>
            <w:r>
              <w:rPr>
                <w:rFonts w:ascii="Times New Roman" w:hAnsi="Times New Roman" w:eastAsia="Times New Roman" w:cs="Times New Roman"/>
                <w:b/>
                <w:bCs/>
                <w:spacing w:val="9"/>
                <w:position w:val="3"/>
                <w:sz w:val="17"/>
                <w:szCs w:val="17"/>
              </w:rPr>
              <w:t>(</w:t>
            </w:r>
            <w:r>
              <w:rPr>
                <w:rFonts w:ascii="Times New Roman" w:hAnsi="Times New Roman" w:eastAsia="Times New Roman" w:cs="Times New Roman"/>
                <w:b/>
                <w:bCs/>
                <w:position w:val="3"/>
                <w:sz w:val="17"/>
                <w:szCs w:val="17"/>
              </w:rPr>
              <w:t>A</w:t>
            </w:r>
            <w:r>
              <w:rPr>
                <w:rFonts w:ascii="Times New Roman" w:hAnsi="Times New Roman" w:eastAsia="Times New Roman" w:cs="Times New Roman"/>
                <w:b/>
                <w:bCs/>
                <w:spacing w:val="9"/>
                <w:position w:val="3"/>
                <w:sz w:val="17"/>
                <w:szCs w:val="17"/>
              </w:rPr>
              <w:t>)</w:t>
            </w:r>
          </w:p>
        </w:tc>
        <w:tc>
          <w:tcPr>
            <w:tcW w:w="690" w:type="dxa"/>
            <w:vAlign w:val="top"/>
          </w:tcPr>
          <w:p>
            <w:pPr>
              <w:spacing w:before="213" w:line="316" w:lineRule="auto"/>
              <w:ind w:left="84" w:right="69" w:hanging="6"/>
              <w:rPr>
                <w:rFonts w:ascii="Times New Roman" w:hAnsi="Times New Roman" w:eastAsia="Times New Roman" w:cs="Times New Roman"/>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超标</w:t>
            </w:r>
            <w:r>
              <w:rPr>
                <w:rFonts w:ascii="黑体" w:hAnsi="黑体" w:eastAsia="黑体" w:cs="黑体"/>
                <w:spacing w:val="8"/>
                <w:sz w:val="17"/>
                <w:szCs w:val="17"/>
                <w14:textOutline w14:w="3268" w14:cap="sq" w14:cmpd="sng">
                  <w14:solidFill>
                    <w14:srgbClr w14:val="000000"/>
                  </w14:solidFill>
                  <w14:prstDash w14:val="solid"/>
                  <w14:bevel/>
                </w14:textOutline>
              </w:rPr>
              <w:t>量</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8" w:type="dxa"/>
            <w:vAlign w:val="top"/>
          </w:tcPr>
          <w:p>
            <w:pPr>
              <w:spacing w:before="213" w:line="316" w:lineRule="auto"/>
              <w:ind w:left="83" w:right="69" w:hanging="2"/>
              <w:rPr>
                <w:rFonts w:ascii="Times New Roman" w:hAnsi="Times New Roman" w:eastAsia="Times New Roman" w:cs="Times New Roman"/>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贡</w:t>
            </w:r>
            <w:r>
              <w:rPr>
                <w:rFonts w:ascii="黑体" w:hAnsi="黑体" w:eastAsia="黑体" w:cs="黑体"/>
                <w:spacing w:val="7"/>
                <w:sz w:val="17"/>
                <w:szCs w:val="17"/>
                <w14:textOutline w14:w="3268" w14:cap="sq" w14:cmpd="sng">
                  <w14:solidFill>
                    <w14:srgbClr w14:val="000000"/>
                  </w14:solidFill>
                  <w14:prstDash w14:val="solid"/>
                  <w14:bevel/>
                </w14:textOutline>
              </w:rPr>
              <w:t>献值</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9" w:type="dxa"/>
            <w:vAlign w:val="top"/>
          </w:tcPr>
          <w:p>
            <w:pPr>
              <w:spacing w:before="213" w:line="316" w:lineRule="auto"/>
              <w:ind w:left="84" w:right="69" w:hanging="2"/>
              <w:rPr>
                <w:rFonts w:ascii="Times New Roman" w:hAnsi="Times New Roman" w:eastAsia="Times New Roman" w:cs="Times New Roman"/>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预</w:t>
            </w:r>
            <w:r>
              <w:rPr>
                <w:rFonts w:ascii="黑体" w:hAnsi="黑体" w:eastAsia="黑体" w:cs="黑体"/>
                <w:spacing w:val="7"/>
                <w:sz w:val="17"/>
                <w:szCs w:val="17"/>
                <w14:textOutline w14:w="3268" w14:cap="sq" w14:cmpd="sng">
                  <w14:solidFill>
                    <w14:srgbClr w14:val="000000"/>
                  </w14:solidFill>
                  <w14:prstDash w14:val="solid"/>
                  <w14:bevel/>
                </w14:textOutline>
              </w:rPr>
              <w:t>测值</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9" w:type="dxa"/>
            <w:vAlign w:val="top"/>
          </w:tcPr>
          <w:p>
            <w:pPr>
              <w:spacing w:before="70" w:line="233" w:lineRule="auto"/>
              <w:ind w:left="77"/>
              <w:rPr>
                <w:rFonts w:ascii="黑体" w:hAnsi="黑体" w:eastAsia="黑体" w:cs="黑体"/>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较现</w:t>
            </w:r>
            <w:r>
              <w:rPr>
                <w:rFonts w:ascii="黑体" w:hAnsi="黑体" w:eastAsia="黑体" w:cs="黑体"/>
                <w:spacing w:val="8"/>
                <w:sz w:val="17"/>
                <w:szCs w:val="17"/>
                <w14:textOutline w14:w="3268" w14:cap="sq" w14:cmpd="sng">
                  <w14:solidFill>
                    <w14:srgbClr w14:val="000000"/>
                  </w14:solidFill>
                  <w14:prstDash w14:val="solid"/>
                  <w14:bevel/>
                </w14:textOutline>
              </w:rPr>
              <w:t>状</w:t>
            </w:r>
          </w:p>
          <w:p>
            <w:pPr>
              <w:spacing w:before="66" w:line="234" w:lineRule="auto"/>
              <w:ind w:left="168"/>
              <w:rPr>
                <w:rFonts w:ascii="黑体" w:hAnsi="黑体" w:eastAsia="黑体" w:cs="黑体"/>
                <w:sz w:val="17"/>
                <w:szCs w:val="17"/>
              </w:rPr>
            </w:pPr>
            <w:r>
              <w:rPr>
                <w:rFonts w:ascii="黑体" w:hAnsi="黑体" w:eastAsia="黑体" w:cs="黑体"/>
                <w:spacing w:val="7"/>
                <w:sz w:val="17"/>
                <w:szCs w:val="17"/>
                <w14:textOutline w14:w="3268" w14:cap="sq" w14:cmpd="sng">
                  <w14:solidFill>
                    <w14:srgbClr w14:val="000000"/>
                  </w14:solidFill>
                  <w14:prstDash w14:val="solid"/>
                  <w14:bevel/>
                </w14:textOutline>
              </w:rPr>
              <w:t>增量</w:t>
            </w:r>
          </w:p>
          <w:p>
            <w:pPr>
              <w:spacing w:before="27" w:line="249" w:lineRule="exact"/>
              <w:ind w:left="84"/>
              <w:rPr>
                <w:rFonts w:ascii="Times New Roman" w:hAnsi="Times New Roman" w:eastAsia="Times New Roman" w:cs="Times New Roman"/>
                <w:sz w:val="17"/>
                <w:szCs w:val="17"/>
              </w:rPr>
            </w:pPr>
            <w:r>
              <w:rPr>
                <w:rFonts w:ascii="Times New Roman" w:hAnsi="Times New Roman" w:eastAsia="Times New Roman" w:cs="Times New Roman"/>
                <w:b/>
                <w:bCs/>
                <w:spacing w:val="11"/>
                <w:position w:val="3"/>
                <w:sz w:val="17"/>
                <w:szCs w:val="17"/>
              </w:rPr>
              <w:t>/</w:t>
            </w:r>
            <w:r>
              <w:rPr>
                <w:rFonts w:ascii="Times New Roman" w:hAnsi="Times New Roman" w:eastAsia="Times New Roman" w:cs="Times New Roman"/>
                <w:b/>
                <w:bCs/>
                <w:position w:val="3"/>
                <w:sz w:val="17"/>
                <w:szCs w:val="17"/>
              </w:rPr>
              <w:t>dB</w:t>
            </w:r>
            <w:r>
              <w:rPr>
                <w:rFonts w:ascii="Times New Roman" w:hAnsi="Times New Roman" w:eastAsia="Times New Roman" w:cs="Times New Roman"/>
                <w:b/>
                <w:bCs/>
                <w:spacing w:val="9"/>
                <w:position w:val="3"/>
                <w:sz w:val="17"/>
                <w:szCs w:val="17"/>
              </w:rPr>
              <w:t>(</w:t>
            </w:r>
            <w:r>
              <w:rPr>
                <w:rFonts w:ascii="Times New Roman" w:hAnsi="Times New Roman" w:eastAsia="Times New Roman" w:cs="Times New Roman"/>
                <w:b/>
                <w:bCs/>
                <w:position w:val="3"/>
                <w:sz w:val="17"/>
                <w:szCs w:val="17"/>
              </w:rPr>
              <w:t>A</w:t>
            </w:r>
            <w:r>
              <w:rPr>
                <w:rFonts w:ascii="Times New Roman" w:hAnsi="Times New Roman" w:eastAsia="Times New Roman" w:cs="Times New Roman"/>
                <w:b/>
                <w:bCs/>
                <w:spacing w:val="9"/>
                <w:position w:val="3"/>
                <w:sz w:val="17"/>
                <w:szCs w:val="17"/>
              </w:rPr>
              <w:t>)</w:t>
            </w:r>
          </w:p>
        </w:tc>
        <w:tc>
          <w:tcPr>
            <w:tcW w:w="694" w:type="dxa"/>
            <w:vAlign w:val="top"/>
          </w:tcPr>
          <w:p>
            <w:pPr>
              <w:spacing w:before="213" w:line="316" w:lineRule="auto"/>
              <w:ind w:left="83" w:right="72" w:hanging="4"/>
              <w:rPr>
                <w:rFonts w:ascii="Times New Roman" w:hAnsi="Times New Roman" w:eastAsia="Times New Roman" w:cs="Times New Roman"/>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超标</w:t>
            </w:r>
            <w:r>
              <w:rPr>
                <w:rFonts w:ascii="黑体" w:hAnsi="黑体" w:eastAsia="黑体" w:cs="黑体"/>
                <w:spacing w:val="8"/>
                <w:sz w:val="17"/>
                <w:szCs w:val="17"/>
                <w14:textOutline w14:w="3268" w14:cap="sq" w14:cmpd="sng">
                  <w14:solidFill>
                    <w14:srgbClr w14:val="000000"/>
                  </w14:solidFill>
                  <w14:prstDash w14:val="solid"/>
                  <w14:bevel/>
                </w14:textOutline>
              </w:rPr>
              <w:t>量</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59" w:type="dxa"/>
            <w:vMerge w:val="restart"/>
            <w:tcBorders>
              <w:bottom w:val="nil"/>
            </w:tcBorders>
            <w:vAlign w:val="top"/>
          </w:tcPr>
          <w:p>
            <w:pPr>
              <w:rPr>
                <w:rFonts w:ascii="Arial"/>
                <w:sz w:val="21"/>
              </w:rPr>
            </w:pPr>
          </w:p>
        </w:tc>
        <w:tc>
          <w:tcPr>
            <w:tcW w:w="600" w:type="dxa"/>
            <w:vMerge w:val="restart"/>
            <w:tcBorders>
              <w:bottom w:val="nil"/>
            </w:tcBorders>
            <w:vAlign w:val="top"/>
          </w:tcPr>
          <w:p>
            <w:pPr>
              <w:rPr>
                <w:rFonts w:ascii="Arial"/>
                <w:sz w:val="21"/>
              </w:rPr>
            </w:pPr>
          </w:p>
        </w:tc>
        <w:tc>
          <w:tcPr>
            <w:tcW w:w="598" w:type="dxa"/>
            <w:vAlign w:val="top"/>
          </w:tcPr>
          <w:p>
            <w:pPr>
              <w:rPr>
                <w:rFonts w:ascii="Arial"/>
                <w:sz w:val="21"/>
              </w:rPr>
            </w:pPr>
          </w:p>
        </w:tc>
        <w:tc>
          <w:tcPr>
            <w:tcW w:w="675" w:type="dxa"/>
            <w:vAlign w:val="top"/>
          </w:tcPr>
          <w:p>
            <w:pPr>
              <w:rPr>
                <w:rFonts w:ascii="Arial"/>
                <w:sz w:val="21"/>
              </w:rPr>
            </w:pPr>
          </w:p>
        </w:tc>
        <w:tc>
          <w:tcPr>
            <w:tcW w:w="577" w:type="dxa"/>
            <w:vAlign w:val="top"/>
          </w:tcPr>
          <w:p>
            <w:pPr>
              <w:rPr>
                <w:rFonts w:ascii="Arial"/>
                <w:sz w:val="21"/>
              </w:rPr>
            </w:pPr>
          </w:p>
        </w:tc>
        <w:tc>
          <w:tcPr>
            <w:tcW w:w="664" w:type="dxa"/>
            <w:vAlign w:val="top"/>
          </w:tcPr>
          <w:p>
            <w:pPr>
              <w:spacing w:before="71" w:line="231"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2"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38" w:line="243"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3"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39.9</w:t>
            </w:r>
          </w:p>
        </w:tc>
        <w:tc>
          <w:tcPr>
            <w:tcW w:w="689" w:type="dxa"/>
            <w:vAlign w:val="top"/>
          </w:tcPr>
          <w:p>
            <w:pPr>
              <w:spacing w:before="83"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9.5</w:t>
            </w:r>
          </w:p>
        </w:tc>
        <w:tc>
          <w:tcPr>
            <w:tcW w:w="689" w:type="dxa"/>
            <w:vAlign w:val="top"/>
          </w:tcPr>
          <w:p>
            <w:pPr>
              <w:spacing w:before="83"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0" w:type="dxa"/>
            <w:vAlign w:val="top"/>
          </w:tcPr>
          <w:p>
            <w:pPr>
              <w:spacing w:before="83"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200"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1.2</w:t>
            </w:r>
          </w:p>
        </w:tc>
        <w:tc>
          <w:tcPr>
            <w:tcW w:w="689" w:type="dxa"/>
            <w:vAlign w:val="top"/>
          </w:tcPr>
          <w:p>
            <w:pPr>
              <w:spacing w:before="83"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49.7</w:t>
            </w:r>
          </w:p>
        </w:tc>
        <w:tc>
          <w:tcPr>
            <w:tcW w:w="688" w:type="dxa"/>
            <w:vAlign w:val="top"/>
          </w:tcPr>
          <w:p>
            <w:pPr>
              <w:spacing w:before="83"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w:t>
            </w:r>
            <w:r>
              <w:rPr>
                <w:rFonts w:ascii="Times New Roman" w:hAnsi="Times New Roman" w:eastAsia="Times New Roman" w:cs="Times New Roman"/>
                <w:spacing w:val="1"/>
                <w:sz w:val="17"/>
                <w:szCs w:val="17"/>
              </w:rPr>
              <w:t>7</w:t>
            </w:r>
          </w:p>
        </w:tc>
        <w:tc>
          <w:tcPr>
            <w:tcW w:w="690" w:type="dxa"/>
            <w:vAlign w:val="top"/>
          </w:tcPr>
          <w:p>
            <w:pPr>
              <w:spacing w:before="83"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200"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1.6</w:t>
            </w:r>
          </w:p>
        </w:tc>
        <w:tc>
          <w:tcPr>
            <w:tcW w:w="689" w:type="dxa"/>
            <w:vAlign w:val="top"/>
          </w:tcPr>
          <w:p>
            <w:pPr>
              <w:spacing w:before="83"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49.7</w:t>
            </w:r>
          </w:p>
        </w:tc>
        <w:tc>
          <w:tcPr>
            <w:tcW w:w="689" w:type="dxa"/>
            <w:vAlign w:val="top"/>
          </w:tcPr>
          <w:p>
            <w:pPr>
              <w:spacing w:before="83"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0.7</w:t>
            </w:r>
          </w:p>
        </w:tc>
        <w:tc>
          <w:tcPr>
            <w:tcW w:w="694" w:type="dxa"/>
            <w:vAlign w:val="top"/>
          </w:tcPr>
          <w:p>
            <w:pPr>
              <w:spacing w:before="83"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47" w:line="197" w:lineRule="auto"/>
              <w:ind w:left="15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5</w:t>
            </w:r>
            <w:r>
              <w:rPr>
                <w:rFonts w:ascii="Times New Roman" w:hAnsi="Times New Roman" w:eastAsia="Times New Roman" w:cs="Times New Roman"/>
                <w:sz w:val="17"/>
                <w:szCs w:val="17"/>
              </w:rPr>
              <w:t>F</w:t>
            </w:r>
          </w:p>
        </w:tc>
        <w:tc>
          <w:tcPr>
            <w:tcW w:w="675" w:type="dxa"/>
            <w:vMerge w:val="restart"/>
            <w:tcBorders>
              <w:bottom w:val="nil"/>
            </w:tcBorders>
            <w:vAlign w:val="top"/>
          </w:tcPr>
          <w:p>
            <w:pPr>
              <w:spacing w:before="247" w:line="197" w:lineRule="auto"/>
              <w:ind w:left="1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73.</w:t>
            </w:r>
            <w:r>
              <w:rPr>
                <w:rFonts w:ascii="Times New Roman" w:hAnsi="Times New Roman" w:eastAsia="Times New Roman" w:cs="Times New Roman"/>
                <w:spacing w:val="2"/>
                <w:sz w:val="17"/>
                <w:szCs w:val="17"/>
              </w:rPr>
              <w:t>2</w:t>
            </w:r>
          </w:p>
        </w:tc>
        <w:tc>
          <w:tcPr>
            <w:tcW w:w="577" w:type="dxa"/>
            <w:vMerge w:val="restart"/>
            <w:tcBorders>
              <w:bottom w:val="nil"/>
            </w:tcBorders>
            <w:vAlign w:val="top"/>
          </w:tcPr>
          <w:p>
            <w:pPr>
              <w:spacing w:before="219"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3" w:line="230"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3"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40"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3"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2"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7.8</w:t>
            </w:r>
          </w:p>
        </w:tc>
        <w:tc>
          <w:tcPr>
            <w:tcW w:w="689"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w:t>
            </w:r>
            <w:r>
              <w:rPr>
                <w:rFonts w:ascii="Times New Roman" w:hAnsi="Times New Roman" w:eastAsia="Times New Roman" w:cs="Times New Roman"/>
                <w:spacing w:val="2"/>
                <w:sz w:val="17"/>
                <w:szCs w:val="17"/>
              </w:rPr>
              <w:t>3</w:t>
            </w:r>
          </w:p>
        </w:tc>
        <w:tc>
          <w:tcPr>
            <w:tcW w:w="689" w:type="dxa"/>
            <w:vAlign w:val="top"/>
          </w:tcPr>
          <w:p>
            <w:pPr>
              <w:spacing w:before="82"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.3</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9.2</w:t>
            </w:r>
          </w:p>
        </w:tc>
        <w:tc>
          <w:tcPr>
            <w:tcW w:w="689" w:type="dxa"/>
            <w:vAlign w:val="top"/>
          </w:tcPr>
          <w:p>
            <w:pPr>
              <w:spacing w:before="82"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9.4</w:t>
            </w:r>
          </w:p>
        </w:tc>
        <w:tc>
          <w:tcPr>
            <w:tcW w:w="688" w:type="dxa"/>
            <w:vAlign w:val="top"/>
          </w:tcPr>
          <w:p>
            <w:pPr>
              <w:spacing w:before="82"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w:t>
            </w:r>
            <w:r>
              <w:rPr>
                <w:rFonts w:ascii="Times New Roman" w:hAnsi="Times New Roman" w:eastAsia="Times New Roman" w:cs="Times New Roman"/>
                <w:spacing w:val="1"/>
                <w:sz w:val="17"/>
                <w:szCs w:val="17"/>
              </w:rPr>
              <w:t>4</w:t>
            </w:r>
          </w:p>
        </w:tc>
        <w:tc>
          <w:tcPr>
            <w:tcW w:w="690" w:type="dxa"/>
            <w:vAlign w:val="top"/>
          </w:tcPr>
          <w:p>
            <w:pPr>
              <w:spacing w:before="82"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9.6</w:t>
            </w:r>
          </w:p>
        </w:tc>
        <w:tc>
          <w:tcPr>
            <w:tcW w:w="689" w:type="dxa"/>
            <w:vAlign w:val="top"/>
          </w:tcPr>
          <w:p>
            <w:pPr>
              <w:spacing w:before="82"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9.5</w:t>
            </w:r>
          </w:p>
        </w:tc>
        <w:tc>
          <w:tcPr>
            <w:tcW w:w="689" w:type="dxa"/>
            <w:vAlign w:val="top"/>
          </w:tcPr>
          <w:p>
            <w:pPr>
              <w:spacing w:before="82"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4" w:type="dxa"/>
            <w:vAlign w:val="top"/>
          </w:tcPr>
          <w:p>
            <w:pPr>
              <w:spacing w:before="82"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tcBorders>
            <w:vAlign w:val="top"/>
          </w:tcPr>
          <w:p>
            <w:pPr>
              <w:rPr>
                <w:rFonts w:ascii="Arial"/>
                <w:sz w:val="21"/>
              </w:rPr>
            </w:pPr>
          </w:p>
        </w:tc>
        <w:tc>
          <w:tcPr>
            <w:tcW w:w="600" w:type="dxa"/>
            <w:vMerge w:val="continue"/>
            <w:tcBorders>
              <w:top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3" w:line="230"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4"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40"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4"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2"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2"/>
                <w:sz w:val="17"/>
                <w:szCs w:val="17"/>
              </w:rPr>
              <w:t>9.2</w:t>
            </w:r>
          </w:p>
        </w:tc>
        <w:tc>
          <w:tcPr>
            <w:tcW w:w="689" w:type="dxa"/>
            <w:vAlign w:val="top"/>
          </w:tcPr>
          <w:p>
            <w:pPr>
              <w:spacing w:before="82"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9.4</w:t>
            </w:r>
          </w:p>
        </w:tc>
        <w:tc>
          <w:tcPr>
            <w:tcW w:w="689" w:type="dxa"/>
            <w:vAlign w:val="top"/>
          </w:tcPr>
          <w:p>
            <w:pPr>
              <w:spacing w:before="82"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.4</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0.6</w:t>
            </w:r>
          </w:p>
        </w:tc>
        <w:tc>
          <w:tcPr>
            <w:tcW w:w="689" w:type="dxa"/>
            <w:vAlign w:val="top"/>
          </w:tcPr>
          <w:p>
            <w:pPr>
              <w:spacing w:before="82"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9.6</w:t>
            </w:r>
          </w:p>
        </w:tc>
        <w:tc>
          <w:tcPr>
            <w:tcW w:w="688" w:type="dxa"/>
            <w:vAlign w:val="top"/>
          </w:tcPr>
          <w:p>
            <w:pPr>
              <w:spacing w:before="82"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2"/>
                <w:sz w:val="17"/>
                <w:szCs w:val="17"/>
              </w:rPr>
              <w:t>.6</w:t>
            </w:r>
          </w:p>
        </w:tc>
        <w:tc>
          <w:tcPr>
            <w:tcW w:w="690" w:type="dxa"/>
            <w:vAlign w:val="top"/>
          </w:tcPr>
          <w:p>
            <w:pPr>
              <w:spacing w:before="82"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0.9</w:t>
            </w:r>
          </w:p>
        </w:tc>
        <w:tc>
          <w:tcPr>
            <w:tcW w:w="689" w:type="dxa"/>
            <w:vAlign w:val="top"/>
          </w:tcPr>
          <w:p>
            <w:pPr>
              <w:spacing w:before="82"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9.6</w:t>
            </w:r>
          </w:p>
        </w:tc>
        <w:tc>
          <w:tcPr>
            <w:tcW w:w="689" w:type="dxa"/>
            <w:vAlign w:val="top"/>
          </w:tcPr>
          <w:p>
            <w:pPr>
              <w:spacing w:before="82"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.6</w:t>
            </w:r>
          </w:p>
        </w:tc>
        <w:tc>
          <w:tcPr>
            <w:tcW w:w="694" w:type="dxa"/>
            <w:vAlign w:val="top"/>
          </w:tcPr>
          <w:p>
            <w:pPr>
              <w:spacing w:before="82"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restart"/>
            <w:tcBorders>
              <w:bottom w:val="nil"/>
            </w:tcBorders>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49"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600"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55" w:line="232" w:lineRule="auto"/>
              <w:ind w:left="45"/>
              <w:rPr>
                <w:rFonts w:ascii="黑体" w:hAnsi="黑体" w:eastAsia="黑体" w:cs="黑体"/>
                <w:sz w:val="17"/>
                <w:szCs w:val="17"/>
              </w:rPr>
            </w:pPr>
            <w:r>
              <w:rPr>
                <w:rFonts w:ascii="Times New Roman" w:hAnsi="Times New Roman" w:eastAsia="Times New Roman" w:cs="Times New Roman"/>
                <w:spacing w:val="19"/>
                <w:sz w:val="17"/>
                <w:szCs w:val="17"/>
              </w:rPr>
              <w:t>“</w:t>
            </w:r>
            <w:r>
              <w:rPr>
                <w:rFonts w:ascii="黑体" w:hAnsi="黑体" w:eastAsia="黑体" w:cs="黑体"/>
                <w:spacing w:val="17"/>
                <w:sz w:val="17"/>
                <w:szCs w:val="17"/>
              </w:rPr>
              <w:t>绿地</w:t>
            </w:r>
          </w:p>
          <w:p>
            <w:pPr>
              <w:spacing w:before="67" w:line="233" w:lineRule="auto"/>
              <w:ind w:left="31"/>
              <w:rPr>
                <w:rFonts w:ascii="黑体" w:hAnsi="黑体" w:eastAsia="黑体" w:cs="黑体"/>
                <w:sz w:val="17"/>
                <w:szCs w:val="17"/>
              </w:rPr>
            </w:pPr>
            <w:r>
              <w:rPr>
                <w:rFonts w:ascii="黑体" w:hAnsi="黑体" w:eastAsia="黑体" w:cs="黑体"/>
                <w:spacing w:val="8"/>
                <w:sz w:val="17"/>
                <w:szCs w:val="17"/>
              </w:rPr>
              <w:t>外滩名</w:t>
            </w:r>
          </w:p>
          <w:p>
            <w:pPr>
              <w:spacing w:before="65" w:line="234" w:lineRule="auto"/>
              <w:ind w:left="28"/>
              <w:rPr>
                <w:rFonts w:ascii="黑体" w:hAnsi="黑体" w:eastAsia="黑体" w:cs="黑体"/>
                <w:sz w:val="17"/>
                <w:szCs w:val="17"/>
              </w:rPr>
            </w:pPr>
            <w:r>
              <w:rPr>
                <w:rFonts w:ascii="黑体" w:hAnsi="黑体" w:eastAsia="黑体" w:cs="黑体"/>
                <w:spacing w:val="2"/>
                <w:sz w:val="17"/>
                <w:szCs w:val="17"/>
              </w:rPr>
              <w:t>门</w:t>
            </w:r>
            <w:r>
              <w:rPr>
                <w:rFonts w:ascii="Times New Roman" w:hAnsi="Times New Roman" w:eastAsia="Times New Roman" w:cs="Times New Roman"/>
                <w:spacing w:val="2"/>
                <w:sz w:val="17"/>
                <w:szCs w:val="17"/>
              </w:rPr>
              <w:t xml:space="preserve">”9 </w:t>
            </w:r>
            <w:r>
              <w:rPr>
                <w:rFonts w:ascii="黑体" w:hAnsi="黑体" w:eastAsia="黑体" w:cs="黑体"/>
                <w:spacing w:val="1"/>
                <w:sz w:val="17"/>
                <w:szCs w:val="17"/>
              </w:rPr>
              <w:t>号</w:t>
            </w:r>
          </w:p>
          <w:p>
            <w:pPr>
              <w:spacing w:before="62" w:line="233" w:lineRule="auto"/>
              <w:ind w:left="212"/>
              <w:rPr>
                <w:rFonts w:ascii="黑体" w:hAnsi="黑体" w:eastAsia="黑体" w:cs="黑体"/>
                <w:sz w:val="17"/>
                <w:szCs w:val="17"/>
              </w:rPr>
            </w:pPr>
            <w:r>
              <w:rPr>
                <w:rFonts w:ascii="黑体" w:hAnsi="黑体" w:eastAsia="黑体" w:cs="黑体"/>
                <w:spacing w:val="3"/>
                <w:sz w:val="17"/>
                <w:szCs w:val="17"/>
              </w:rPr>
              <w:t>楼</w:t>
            </w:r>
          </w:p>
        </w:tc>
        <w:tc>
          <w:tcPr>
            <w:tcW w:w="598" w:type="dxa"/>
            <w:vMerge w:val="restart"/>
            <w:tcBorders>
              <w:bottom w:val="nil"/>
            </w:tcBorders>
            <w:vAlign w:val="top"/>
          </w:tcPr>
          <w:p>
            <w:pPr>
              <w:spacing w:before="248" w:line="197" w:lineRule="auto"/>
              <w:ind w:left="220"/>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1</w:t>
            </w:r>
            <w:r>
              <w:rPr>
                <w:rFonts w:ascii="Times New Roman" w:hAnsi="Times New Roman" w:eastAsia="Times New Roman" w:cs="Times New Roman"/>
                <w:spacing w:val="-4"/>
                <w:sz w:val="17"/>
                <w:szCs w:val="17"/>
              </w:rPr>
              <w:t>F</w:t>
            </w:r>
          </w:p>
        </w:tc>
        <w:tc>
          <w:tcPr>
            <w:tcW w:w="675" w:type="dxa"/>
            <w:vMerge w:val="restart"/>
            <w:tcBorders>
              <w:bottom w:val="nil"/>
            </w:tcBorders>
            <w:vAlign w:val="top"/>
          </w:tcPr>
          <w:p>
            <w:pPr>
              <w:spacing w:before="248" w:line="200" w:lineRule="auto"/>
              <w:ind w:left="24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w:t>
            </w:r>
          </w:p>
        </w:tc>
        <w:tc>
          <w:tcPr>
            <w:tcW w:w="577" w:type="dxa"/>
            <w:vMerge w:val="restart"/>
            <w:tcBorders>
              <w:bottom w:val="nil"/>
            </w:tcBorders>
            <w:vAlign w:val="top"/>
          </w:tcPr>
          <w:p>
            <w:pPr>
              <w:spacing w:before="217"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3" w:line="230"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38"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3"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w:t>
            </w:r>
            <w:r>
              <w:rPr>
                <w:rFonts w:ascii="Times New Roman" w:hAnsi="Times New Roman" w:eastAsia="Times New Roman" w:cs="Times New Roman"/>
                <w:spacing w:val="-2"/>
                <w:sz w:val="17"/>
                <w:szCs w:val="17"/>
              </w:rPr>
              <w:t>8. 1</w:t>
            </w:r>
          </w:p>
        </w:tc>
        <w:tc>
          <w:tcPr>
            <w:tcW w:w="689"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w:t>
            </w:r>
            <w:r>
              <w:rPr>
                <w:rFonts w:ascii="Times New Roman" w:hAnsi="Times New Roman" w:eastAsia="Times New Roman" w:cs="Times New Roman"/>
                <w:spacing w:val="2"/>
                <w:sz w:val="17"/>
                <w:szCs w:val="17"/>
              </w:rPr>
              <w:t>3</w:t>
            </w:r>
          </w:p>
        </w:tc>
        <w:tc>
          <w:tcPr>
            <w:tcW w:w="689" w:type="dxa"/>
            <w:vAlign w:val="top"/>
          </w:tcPr>
          <w:p>
            <w:pPr>
              <w:spacing w:before="83"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.3</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9.4</w:t>
            </w:r>
          </w:p>
        </w:tc>
        <w:tc>
          <w:tcPr>
            <w:tcW w:w="689" w:type="dxa"/>
            <w:vAlign w:val="top"/>
          </w:tcPr>
          <w:p>
            <w:pPr>
              <w:spacing w:before="82"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9.5</w:t>
            </w:r>
          </w:p>
        </w:tc>
        <w:tc>
          <w:tcPr>
            <w:tcW w:w="688" w:type="dxa"/>
            <w:vAlign w:val="top"/>
          </w:tcPr>
          <w:p>
            <w:pPr>
              <w:spacing w:before="83"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0.5</w:t>
            </w:r>
          </w:p>
        </w:tc>
        <w:tc>
          <w:tcPr>
            <w:tcW w:w="690" w:type="dxa"/>
            <w:vAlign w:val="top"/>
          </w:tcPr>
          <w:p>
            <w:pPr>
              <w:spacing w:before="82"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9.8</w:t>
            </w:r>
          </w:p>
        </w:tc>
        <w:tc>
          <w:tcPr>
            <w:tcW w:w="689" w:type="dxa"/>
            <w:vAlign w:val="top"/>
          </w:tcPr>
          <w:p>
            <w:pPr>
              <w:spacing w:before="82"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9.5</w:t>
            </w:r>
          </w:p>
        </w:tc>
        <w:tc>
          <w:tcPr>
            <w:tcW w:w="689" w:type="dxa"/>
            <w:vAlign w:val="top"/>
          </w:tcPr>
          <w:p>
            <w:pPr>
              <w:spacing w:before="83"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4" w:type="dxa"/>
            <w:vAlign w:val="top"/>
          </w:tcPr>
          <w:p>
            <w:pPr>
              <w:spacing w:before="82"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4" w:line="229"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2"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39"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3"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39.7</w:t>
            </w:r>
          </w:p>
        </w:tc>
        <w:tc>
          <w:tcPr>
            <w:tcW w:w="689" w:type="dxa"/>
            <w:vAlign w:val="top"/>
          </w:tcPr>
          <w:p>
            <w:pPr>
              <w:spacing w:before="83"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9.5</w:t>
            </w:r>
          </w:p>
        </w:tc>
        <w:tc>
          <w:tcPr>
            <w:tcW w:w="689" w:type="dxa"/>
            <w:vAlign w:val="top"/>
          </w:tcPr>
          <w:p>
            <w:pPr>
              <w:spacing w:before="83"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0" w:type="dxa"/>
            <w:vAlign w:val="top"/>
          </w:tcPr>
          <w:p>
            <w:pPr>
              <w:spacing w:before="83"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200"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41.0</w:t>
            </w:r>
          </w:p>
        </w:tc>
        <w:tc>
          <w:tcPr>
            <w:tcW w:w="689" w:type="dxa"/>
            <w:vAlign w:val="top"/>
          </w:tcPr>
          <w:p>
            <w:pPr>
              <w:spacing w:before="83"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9.6</w:t>
            </w:r>
          </w:p>
        </w:tc>
        <w:tc>
          <w:tcPr>
            <w:tcW w:w="688" w:type="dxa"/>
            <w:vAlign w:val="top"/>
          </w:tcPr>
          <w:p>
            <w:pPr>
              <w:spacing w:before="83"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2"/>
                <w:sz w:val="17"/>
                <w:szCs w:val="17"/>
              </w:rPr>
              <w:t>.6</w:t>
            </w:r>
          </w:p>
        </w:tc>
        <w:tc>
          <w:tcPr>
            <w:tcW w:w="690" w:type="dxa"/>
            <w:vAlign w:val="top"/>
          </w:tcPr>
          <w:p>
            <w:pPr>
              <w:spacing w:before="83"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200"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1.3</w:t>
            </w:r>
          </w:p>
        </w:tc>
        <w:tc>
          <w:tcPr>
            <w:tcW w:w="689" w:type="dxa"/>
            <w:vAlign w:val="top"/>
          </w:tcPr>
          <w:p>
            <w:pPr>
              <w:spacing w:before="83"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49.7</w:t>
            </w:r>
          </w:p>
        </w:tc>
        <w:tc>
          <w:tcPr>
            <w:tcW w:w="689" w:type="dxa"/>
            <w:vAlign w:val="top"/>
          </w:tcPr>
          <w:p>
            <w:pPr>
              <w:spacing w:before="83"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0.7</w:t>
            </w:r>
          </w:p>
        </w:tc>
        <w:tc>
          <w:tcPr>
            <w:tcW w:w="694" w:type="dxa"/>
            <w:vAlign w:val="top"/>
          </w:tcPr>
          <w:p>
            <w:pPr>
              <w:spacing w:before="83"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49" w:line="197" w:lineRule="auto"/>
              <w:ind w:left="202"/>
              <w:rPr>
                <w:rFonts w:ascii="Times New Roman" w:hAnsi="Times New Roman" w:eastAsia="Times New Roman" w:cs="Times New Roman"/>
                <w:sz w:val="17"/>
                <w:szCs w:val="17"/>
              </w:rPr>
            </w:pPr>
            <w:r>
              <w:rPr>
                <w:rFonts w:ascii="Times New Roman" w:hAnsi="Times New Roman" w:eastAsia="Times New Roman" w:cs="Times New Roman"/>
                <w:spacing w:val="8"/>
                <w:sz w:val="17"/>
                <w:szCs w:val="17"/>
              </w:rPr>
              <w:t>4</w:t>
            </w:r>
            <w:r>
              <w:rPr>
                <w:rFonts w:ascii="Times New Roman" w:hAnsi="Times New Roman" w:eastAsia="Times New Roman" w:cs="Times New Roman"/>
                <w:sz w:val="17"/>
                <w:szCs w:val="17"/>
              </w:rPr>
              <w:t>F</w:t>
            </w:r>
          </w:p>
        </w:tc>
        <w:tc>
          <w:tcPr>
            <w:tcW w:w="675" w:type="dxa"/>
            <w:vMerge w:val="restart"/>
            <w:tcBorders>
              <w:bottom w:val="nil"/>
            </w:tcBorders>
            <w:vAlign w:val="top"/>
          </w:tcPr>
          <w:p>
            <w:pPr>
              <w:spacing w:before="249"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10.</w:t>
            </w:r>
            <w:r>
              <w:rPr>
                <w:rFonts w:ascii="Times New Roman" w:hAnsi="Times New Roman" w:eastAsia="Times New Roman" w:cs="Times New Roman"/>
                <w:sz w:val="17"/>
                <w:szCs w:val="17"/>
              </w:rPr>
              <w:t>2</w:t>
            </w:r>
          </w:p>
        </w:tc>
        <w:tc>
          <w:tcPr>
            <w:tcW w:w="577" w:type="dxa"/>
            <w:vMerge w:val="restart"/>
            <w:tcBorders>
              <w:bottom w:val="nil"/>
            </w:tcBorders>
            <w:vAlign w:val="top"/>
          </w:tcPr>
          <w:p>
            <w:pPr>
              <w:spacing w:before="218"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4" w:line="229"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39"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4"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8.5</w:t>
            </w:r>
          </w:p>
        </w:tc>
        <w:tc>
          <w:tcPr>
            <w:tcW w:w="689" w:type="dxa"/>
            <w:vAlign w:val="top"/>
          </w:tcPr>
          <w:p>
            <w:pPr>
              <w:spacing w:before="83"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9.4</w:t>
            </w:r>
          </w:p>
        </w:tc>
        <w:tc>
          <w:tcPr>
            <w:tcW w:w="689" w:type="dxa"/>
            <w:vAlign w:val="top"/>
          </w:tcPr>
          <w:p>
            <w:pPr>
              <w:spacing w:before="84"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.4</w:t>
            </w:r>
          </w:p>
        </w:tc>
        <w:tc>
          <w:tcPr>
            <w:tcW w:w="690" w:type="dxa"/>
            <w:vAlign w:val="top"/>
          </w:tcPr>
          <w:p>
            <w:pPr>
              <w:spacing w:before="83"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9.9</w:t>
            </w:r>
          </w:p>
        </w:tc>
        <w:tc>
          <w:tcPr>
            <w:tcW w:w="689" w:type="dxa"/>
            <w:vAlign w:val="top"/>
          </w:tcPr>
          <w:p>
            <w:pPr>
              <w:spacing w:before="83"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9.5</w:t>
            </w:r>
          </w:p>
        </w:tc>
        <w:tc>
          <w:tcPr>
            <w:tcW w:w="688" w:type="dxa"/>
            <w:vAlign w:val="top"/>
          </w:tcPr>
          <w:p>
            <w:pPr>
              <w:spacing w:before="84"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0.5</w:t>
            </w:r>
          </w:p>
        </w:tc>
        <w:tc>
          <w:tcPr>
            <w:tcW w:w="690" w:type="dxa"/>
            <w:vAlign w:val="top"/>
          </w:tcPr>
          <w:p>
            <w:pPr>
              <w:spacing w:before="83"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50.</w:t>
            </w:r>
            <w:r>
              <w:rPr>
                <w:rFonts w:ascii="Times New Roman" w:hAnsi="Times New Roman" w:eastAsia="Times New Roman" w:cs="Times New Roman"/>
                <w:spacing w:val="2"/>
                <w:sz w:val="17"/>
                <w:szCs w:val="17"/>
              </w:rPr>
              <w:t>3</w:t>
            </w:r>
          </w:p>
        </w:tc>
        <w:tc>
          <w:tcPr>
            <w:tcW w:w="689" w:type="dxa"/>
            <w:vAlign w:val="top"/>
          </w:tcPr>
          <w:p>
            <w:pPr>
              <w:spacing w:before="83"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9.5</w:t>
            </w:r>
          </w:p>
        </w:tc>
        <w:tc>
          <w:tcPr>
            <w:tcW w:w="689" w:type="dxa"/>
            <w:vAlign w:val="top"/>
          </w:tcPr>
          <w:p>
            <w:pPr>
              <w:spacing w:before="84"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4" w:type="dxa"/>
            <w:vAlign w:val="top"/>
          </w:tcPr>
          <w:p>
            <w:pPr>
              <w:spacing w:before="83"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2" w:line="231"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3"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39" w:line="243"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3"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4"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w:t>
            </w:r>
            <w:r>
              <w:rPr>
                <w:rFonts w:ascii="Times New Roman" w:hAnsi="Times New Roman" w:eastAsia="Times New Roman" w:cs="Times New Roman"/>
                <w:spacing w:val="-2"/>
                <w:sz w:val="17"/>
                <w:szCs w:val="17"/>
              </w:rPr>
              <w:t>0. 1</w:t>
            </w:r>
          </w:p>
        </w:tc>
        <w:tc>
          <w:tcPr>
            <w:tcW w:w="689" w:type="dxa"/>
            <w:vAlign w:val="top"/>
          </w:tcPr>
          <w:p>
            <w:pPr>
              <w:spacing w:before="84"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9.5</w:t>
            </w:r>
          </w:p>
        </w:tc>
        <w:tc>
          <w:tcPr>
            <w:tcW w:w="689" w:type="dxa"/>
            <w:vAlign w:val="top"/>
          </w:tcPr>
          <w:p>
            <w:pPr>
              <w:spacing w:before="84"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0" w:type="dxa"/>
            <w:vAlign w:val="top"/>
          </w:tcPr>
          <w:p>
            <w:pPr>
              <w:spacing w:before="84"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200"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1.4</w:t>
            </w:r>
          </w:p>
        </w:tc>
        <w:tc>
          <w:tcPr>
            <w:tcW w:w="689" w:type="dxa"/>
            <w:vAlign w:val="top"/>
          </w:tcPr>
          <w:p>
            <w:pPr>
              <w:spacing w:before="84"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49.7</w:t>
            </w:r>
          </w:p>
        </w:tc>
        <w:tc>
          <w:tcPr>
            <w:tcW w:w="688" w:type="dxa"/>
            <w:vAlign w:val="top"/>
          </w:tcPr>
          <w:p>
            <w:pPr>
              <w:spacing w:before="84"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w:t>
            </w:r>
            <w:r>
              <w:rPr>
                <w:rFonts w:ascii="Times New Roman" w:hAnsi="Times New Roman" w:eastAsia="Times New Roman" w:cs="Times New Roman"/>
                <w:spacing w:val="1"/>
                <w:sz w:val="17"/>
                <w:szCs w:val="17"/>
              </w:rPr>
              <w:t>7</w:t>
            </w:r>
          </w:p>
        </w:tc>
        <w:tc>
          <w:tcPr>
            <w:tcW w:w="690" w:type="dxa"/>
            <w:vAlign w:val="top"/>
          </w:tcPr>
          <w:p>
            <w:pPr>
              <w:spacing w:before="84"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200"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41.7</w:t>
            </w:r>
          </w:p>
        </w:tc>
        <w:tc>
          <w:tcPr>
            <w:tcW w:w="689" w:type="dxa"/>
            <w:vAlign w:val="top"/>
          </w:tcPr>
          <w:p>
            <w:pPr>
              <w:spacing w:before="84"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49.7</w:t>
            </w:r>
          </w:p>
        </w:tc>
        <w:tc>
          <w:tcPr>
            <w:tcW w:w="689" w:type="dxa"/>
            <w:vAlign w:val="top"/>
          </w:tcPr>
          <w:p>
            <w:pPr>
              <w:spacing w:before="84"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0.7</w:t>
            </w:r>
          </w:p>
        </w:tc>
        <w:tc>
          <w:tcPr>
            <w:tcW w:w="694" w:type="dxa"/>
            <w:vAlign w:val="top"/>
          </w:tcPr>
          <w:p>
            <w:pPr>
              <w:spacing w:before="84"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50" w:line="194" w:lineRule="auto"/>
              <w:ind w:left="20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7</w:t>
            </w:r>
            <w:r>
              <w:rPr>
                <w:rFonts w:ascii="Times New Roman" w:hAnsi="Times New Roman" w:eastAsia="Times New Roman" w:cs="Times New Roman"/>
                <w:sz w:val="17"/>
                <w:szCs w:val="17"/>
              </w:rPr>
              <w:t>F</w:t>
            </w:r>
          </w:p>
        </w:tc>
        <w:tc>
          <w:tcPr>
            <w:tcW w:w="675" w:type="dxa"/>
            <w:vMerge w:val="restart"/>
            <w:tcBorders>
              <w:bottom w:val="nil"/>
            </w:tcBorders>
            <w:vAlign w:val="top"/>
          </w:tcPr>
          <w:p>
            <w:pPr>
              <w:spacing w:before="247"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19.</w:t>
            </w:r>
            <w:r>
              <w:rPr>
                <w:rFonts w:ascii="Times New Roman" w:hAnsi="Times New Roman" w:eastAsia="Times New Roman" w:cs="Times New Roman"/>
                <w:sz w:val="17"/>
                <w:szCs w:val="17"/>
              </w:rPr>
              <w:t>2</w:t>
            </w:r>
          </w:p>
        </w:tc>
        <w:tc>
          <w:tcPr>
            <w:tcW w:w="577" w:type="dxa"/>
            <w:vMerge w:val="restart"/>
            <w:tcBorders>
              <w:bottom w:val="nil"/>
            </w:tcBorders>
            <w:vAlign w:val="top"/>
          </w:tcPr>
          <w:p>
            <w:pPr>
              <w:spacing w:before="219"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3" w:line="230"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3"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40"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3"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2"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8.5</w:t>
            </w:r>
          </w:p>
        </w:tc>
        <w:tc>
          <w:tcPr>
            <w:tcW w:w="689"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9.4</w:t>
            </w:r>
          </w:p>
        </w:tc>
        <w:tc>
          <w:tcPr>
            <w:tcW w:w="689" w:type="dxa"/>
            <w:vAlign w:val="top"/>
          </w:tcPr>
          <w:p>
            <w:pPr>
              <w:spacing w:before="82"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.4</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9.8</w:t>
            </w:r>
          </w:p>
        </w:tc>
        <w:tc>
          <w:tcPr>
            <w:tcW w:w="689" w:type="dxa"/>
            <w:vAlign w:val="top"/>
          </w:tcPr>
          <w:p>
            <w:pPr>
              <w:spacing w:before="82"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9.5</w:t>
            </w:r>
          </w:p>
        </w:tc>
        <w:tc>
          <w:tcPr>
            <w:tcW w:w="688" w:type="dxa"/>
            <w:vAlign w:val="top"/>
          </w:tcPr>
          <w:p>
            <w:pPr>
              <w:spacing w:before="82"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0.5</w:t>
            </w:r>
          </w:p>
        </w:tc>
        <w:tc>
          <w:tcPr>
            <w:tcW w:w="690" w:type="dxa"/>
            <w:vAlign w:val="top"/>
          </w:tcPr>
          <w:p>
            <w:pPr>
              <w:spacing w:before="82"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0.2</w:t>
            </w:r>
          </w:p>
        </w:tc>
        <w:tc>
          <w:tcPr>
            <w:tcW w:w="689" w:type="dxa"/>
            <w:vAlign w:val="top"/>
          </w:tcPr>
          <w:p>
            <w:pPr>
              <w:spacing w:before="82"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9.5</w:t>
            </w:r>
          </w:p>
        </w:tc>
        <w:tc>
          <w:tcPr>
            <w:tcW w:w="689" w:type="dxa"/>
            <w:vAlign w:val="top"/>
          </w:tcPr>
          <w:p>
            <w:pPr>
              <w:spacing w:before="82"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4" w:type="dxa"/>
            <w:vAlign w:val="top"/>
          </w:tcPr>
          <w:p>
            <w:pPr>
              <w:spacing w:before="82"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3" w:line="230"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4"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40"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4"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2"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40.0</w:t>
            </w:r>
          </w:p>
        </w:tc>
        <w:tc>
          <w:tcPr>
            <w:tcW w:w="689" w:type="dxa"/>
            <w:vAlign w:val="top"/>
          </w:tcPr>
          <w:p>
            <w:pPr>
              <w:spacing w:before="82"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9.5</w:t>
            </w:r>
          </w:p>
        </w:tc>
        <w:tc>
          <w:tcPr>
            <w:tcW w:w="689" w:type="dxa"/>
            <w:vAlign w:val="top"/>
          </w:tcPr>
          <w:p>
            <w:pPr>
              <w:spacing w:before="82"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200"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1.3</w:t>
            </w:r>
          </w:p>
        </w:tc>
        <w:tc>
          <w:tcPr>
            <w:tcW w:w="689" w:type="dxa"/>
            <w:vAlign w:val="top"/>
          </w:tcPr>
          <w:p>
            <w:pPr>
              <w:spacing w:before="82"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49.7</w:t>
            </w:r>
          </w:p>
        </w:tc>
        <w:tc>
          <w:tcPr>
            <w:tcW w:w="688" w:type="dxa"/>
            <w:vAlign w:val="top"/>
          </w:tcPr>
          <w:p>
            <w:pPr>
              <w:spacing w:before="82"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w:t>
            </w:r>
            <w:r>
              <w:rPr>
                <w:rFonts w:ascii="Times New Roman" w:hAnsi="Times New Roman" w:eastAsia="Times New Roman" w:cs="Times New Roman"/>
                <w:spacing w:val="1"/>
                <w:sz w:val="17"/>
                <w:szCs w:val="17"/>
              </w:rPr>
              <w:t>7</w:t>
            </w:r>
          </w:p>
        </w:tc>
        <w:tc>
          <w:tcPr>
            <w:tcW w:w="690" w:type="dxa"/>
            <w:vAlign w:val="top"/>
          </w:tcPr>
          <w:p>
            <w:pPr>
              <w:spacing w:before="82"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200"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41.7</w:t>
            </w:r>
          </w:p>
        </w:tc>
        <w:tc>
          <w:tcPr>
            <w:tcW w:w="689" w:type="dxa"/>
            <w:vAlign w:val="top"/>
          </w:tcPr>
          <w:p>
            <w:pPr>
              <w:spacing w:before="82"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49.7</w:t>
            </w:r>
          </w:p>
        </w:tc>
        <w:tc>
          <w:tcPr>
            <w:tcW w:w="689" w:type="dxa"/>
            <w:vAlign w:val="top"/>
          </w:tcPr>
          <w:p>
            <w:pPr>
              <w:spacing w:before="82"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0.7</w:t>
            </w:r>
          </w:p>
        </w:tc>
        <w:tc>
          <w:tcPr>
            <w:tcW w:w="694" w:type="dxa"/>
            <w:vAlign w:val="top"/>
          </w:tcPr>
          <w:p>
            <w:pPr>
              <w:spacing w:before="82"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48" w:line="197" w:lineRule="auto"/>
              <w:ind w:left="17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10F</w:t>
            </w:r>
          </w:p>
        </w:tc>
        <w:tc>
          <w:tcPr>
            <w:tcW w:w="675" w:type="dxa"/>
            <w:vMerge w:val="restart"/>
            <w:tcBorders>
              <w:bottom w:val="nil"/>
            </w:tcBorders>
            <w:vAlign w:val="top"/>
          </w:tcPr>
          <w:p>
            <w:pPr>
              <w:spacing w:before="248" w:line="197" w:lineRule="auto"/>
              <w:ind w:left="17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8.2</w:t>
            </w:r>
          </w:p>
        </w:tc>
        <w:tc>
          <w:tcPr>
            <w:tcW w:w="577" w:type="dxa"/>
            <w:vMerge w:val="restart"/>
            <w:tcBorders>
              <w:bottom w:val="nil"/>
            </w:tcBorders>
            <w:vAlign w:val="top"/>
          </w:tcPr>
          <w:p>
            <w:pPr>
              <w:spacing w:before="217"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3" w:line="230"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38"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3"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8.3</w:t>
            </w:r>
          </w:p>
        </w:tc>
        <w:tc>
          <w:tcPr>
            <w:tcW w:w="689"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9.4</w:t>
            </w:r>
          </w:p>
        </w:tc>
        <w:tc>
          <w:tcPr>
            <w:tcW w:w="689" w:type="dxa"/>
            <w:vAlign w:val="top"/>
          </w:tcPr>
          <w:p>
            <w:pPr>
              <w:spacing w:before="83"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.4</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49.7</w:t>
            </w:r>
          </w:p>
        </w:tc>
        <w:tc>
          <w:tcPr>
            <w:tcW w:w="689" w:type="dxa"/>
            <w:vAlign w:val="top"/>
          </w:tcPr>
          <w:p>
            <w:pPr>
              <w:spacing w:before="82"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9.5</w:t>
            </w:r>
          </w:p>
        </w:tc>
        <w:tc>
          <w:tcPr>
            <w:tcW w:w="688" w:type="dxa"/>
            <w:vAlign w:val="top"/>
          </w:tcPr>
          <w:p>
            <w:pPr>
              <w:spacing w:before="83"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0.5</w:t>
            </w:r>
          </w:p>
        </w:tc>
        <w:tc>
          <w:tcPr>
            <w:tcW w:w="690" w:type="dxa"/>
            <w:vAlign w:val="top"/>
          </w:tcPr>
          <w:p>
            <w:pPr>
              <w:spacing w:before="82"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5</w:t>
            </w:r>
            <w:r>
              <w:rPr>
                <w:rFonts w:ascii="Times New Roman" w:hAnsi="Times New Roman" w:eastAsia="Times New Roman" w:cs="Times New Roman"/>
                <w:spacing w:val="-3"/>
                <w:sz w:val="17"/>
                <w:szCs w:val="17"/>
              </w:rPr>
              <w:t>0. 1</w:t>
            </w:r>
          </w:p>
        </w:tc>
        <w:tc>
          <w:tcPr>
            <w:tcW w:w="689" w:type="dxa"/>
            <w:vAlign w:val="top"/>
          </w:tcPr>
          <w:p>
            <w:pPr>
              <w:spacing w:before="82"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9.5</w:t>
            </w:r>
          </w:p>
        </w:tc>
        <w:tc>
          <w:tcPr>
            <w:tcW w:w="689" w:type="dxa"/>
            <w:vAlign w:val="top"/>
          </w:tcPr>
          <w:p>
            <w:pPr>
              <w:spacing w:before="83"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4" w:type="dxa"/>
            <w:vAlign w:val="top"/>
          </w:tcPr>
          <w:p>
            <w:pPr>
              <w:spacing w:before="82"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4" w:line="229"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2"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39"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3"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39.9</w:t>
            </w:r>
          </w:p>
        </w:tc>
        <w:tc>
          <w:tcPr>
            <w:tcW w:w="689" w:type="dxa"/>
            <w:vAlign w:val="top"/>
          </w:tcPr>
          <w:p>
            <w:pPr>
              <w:spacing w:before="83"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9.5</w:t>
            </w:r>
          </w:p>
        </w:tc>
        <w:tc>
          <w:tcPr>
            <w:tcW w:w="689" w:type="dxa"/>
            <w:vAlign w:val="top"/>
          </w:tcPr>
          <w:p>
            <w:pPr>
              <w:spacing w:before="83"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0" w:type="dxa"/>
            <w:vAlign w:val="top"/>
          </w:tcPr>
          <w:p>
            <w:pPr>
              <w:spacing w:before="83"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200"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1.2</w:t>
            </w:r>
          </w:p>
        </w:tc>
        <w:tc>
          <w:tcPr>
            <w:tcW w:w="689" w:type="dxa"/>
            <w:vAlign w:val="top"/>
          </w:tcPr>
          <w:p>
            <w:pPr>
              <w:spacing w:before="83"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49.7</w:t>
            </w:r>
          </w:p>
        </w:tc>
        <w:tc>
          <w:tcPr>
            <w:tcW w:w="688" w:type="dxa"/>
            <w:vAlign w:val="top"/>
          </w:tcPr>
          <w:p>
            <w:pPr>
              <w:spacing w:before="83"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w:t>
            </w:r>
            <w:r>
              <w:rPr>
                <w:rFonts w:ascii="Times New Roman" w:hAnsi="Times New Roman" w:eastAsia="Times New Roman" w:cs="Times New Roman"/>
                <w:spacing w:val="1"/>
                <w:sz w:val="17"/>
                <w:szCs w:val="17"/>
              </w:rPr>
              <w:t>7</w:t>
            </w:r>
          </w:p>
        </w:tc>
        <w:tc>
          <w:tcPr>
            <w:tcW w:w="690" w:type="dxa"/>
            <w:vAlign w:val="top"/>
          </w:tcPr>
          <w:p>
            <w:pPr>
              <w:spacing w:before="83"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200"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1.5</w:t>
            </w:r>
          </w:p>
        </w:tc>
        <w:tc>
          <w:tcPr>
            <w:tcW w:w="689" w:type="dxa"/>
            <w:vAlign w:val="top"/>
          </w:tcPr>
          <w:p>
            <w:pPr>
              <w:spacing w:before="83"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49.7</w:t>
            </w:r>
          </w:p>
        </w:tc>
        <w:tc>
          <w:tcPr>
            <w:tcW w:w="689" w:type="dxa"/>
            <w:vAlign w:val="top"/>
          </w:tcPr>
          <w:p>
            <w:pPr>
              <w:spacing w:before="83"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0.7</w:t>
            </w:r>
          </w:p>
        </w:tc>
        <w:tc>
          <w:tcPr>
            <w:tcW w:w="694" w:type="dxa"/>
            <w:vAlign w:val="top"/>
          </w:tcPr>
          <w:p>
            <w:pPr>
              <w:spacing w:before="83"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49" w:line="197" w:lineRule="auto"/>
              <w:ind w:left="17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15F</w:t>
            </w:r>
          </w:p>
        </w:tc>
        <w:tc>
          <w:tcPr>
            <w:tcW w:w="675" w:type="dxa"/>
            <w:vMerge w:val="restart"/>
            <w:tcBorders>
              <w:bottom w:val="nil"/>
            </w:tcBorders>
            <w:vAlign w:val="top"/>
          </w:tcPr>
          <w:p>
            <w:pPr>
              <w:spacing w:before="249" w:line="197" w:lineRule="auto"/>
              <w:ind w:left="17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3.2</w:t>
            </w:r>
          </w:p>
        </w:tc>
        <w:tc>
          <w:tcPr>
            <w:tcW w:w="577" w:type="dxa"/>
            <w:vMerge w:val="restart"/>
            <w:tcBorders>
              <w:bottom w:val="nil"/>
            </w:tcBorders>
            <w:vAlign w:val="top"/>
          </w:tcPr>
          <w:p>
            <w:pPr>
              <w:spacing w:before="218"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4" w:line="229"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39"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4"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48.0</w:t>
            </w:r>
          </w:p>
        </w:tc>
        <w:tc>
          <w:tcPr>
            <w:tcW w:w="689" w:type="dxa"/>
            <w:vAlign w:val="top"/>
          </w:tcPr>
          <w:p>
            <w:pPr>
              <w:spacing w:before="83"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w:t>
            </w:r>
            <w:r>
              <w:rPr>
                <w:rFonts w:ascii="Times New Roman" w:hAnsi="Times New Roman" w:eastAsia="Times New Roman" w:cs="Times New Roman"/>
                <w:spacing w:val="2"/>
                <w:sz w:val="17"/>
                <w:szCs w:val="17"/>
              </w:rPr>
              <w:t>3</w:t>
            </w:r>
          </w:p>
        </w:tc>
        <w:tc>
          <w:tcPr>
            <w:tcW w:w="689" w:type="dxa"/>
            <w:vAlign w:val="top"/>
          </w:tcPr>
          <w:p>
            <w:pPr>
              <w:spacing w:before="84"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.3</w:t>
            </w:r>
          </w:p>
        </w:tc>
        <w:tc>
          <w:tcPr>
            <w:tcW w:w="690" w:type="dxa"/>
            <w:vAlign w:val="top"/>
          </w:tcPr>
          <w:p>
            <w:pPr>
              <w:spacing w:before="83"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9.4</w:t>
            </w:r>
          </w:p>
        </w:tc>
        <w:tc>
          <w:tcPr>
            <w:tcW w:w="689" w:type="dxa"/>
            <w:vAlign w:val="top"/>
          </w:tcPr>
          <w:p>
            <w:pPr>
              <w:spacing w:before="83"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9.5</w:t>
            </w:r>
          </w:p>
        </w:tc>
        <w:tc>
          <w:tcPr>
            <w:tcW w:w="688" w:type="dxa"/>
            <w:vAlign w:val="top"/>
          </w:tcPr>
          <w:p>
            <w:pPr>
              <w:spacing w:before="84"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0.5</w:t>
            </w:r>
          </w:p>
        </w:tc>
        <w:tc>
          <w:tcPr>
            <w:tcW w:w="690" w:type="dxa"/>
            <w:vAlign w:val="top"/>
          </w:tcPr>
          <w:p>
            <w:pPr>
              <w:spacing w:before="83"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9.8</w:t>
            </w:r>
          </w:p>
        </w:tc>
        <w:tc>
          <w:tcPr>
            <w:tcW w:w="689" w:type="dxa"/>
            <w:vAlign w:val="top"/>
          </w:tcPr>
          <w:p>
            <w:pPr>
              <w:spacing w:before="83"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9.5</w:t>
            </w:r>
          </w:p>
        </w:tc>
        <w:tc>
          <w:tcPr>
            <w:tcW w:w="689" w:type="dxa"/>
            <w:vAlign w:val="top"/>
          </w:tcPr>
          <w:p>
            <w:pPr>
              <w:spacing w:before="84"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4" w:type="dxa"/>
            <w:vAlign w:val="top"/>
          </w:tcPr>
          <w:p>
            <w:pPr>
              <w:spacing w:before="83"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2" w:line="231"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3"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39" w:line="243"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3"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4"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3</w:t>
            </w:r>
            <w:r>
              <w:rPr>
                <w:rFonts w:ascii="Times New Roman" w:hAnsi="Times New Roman" w:eastAsia="Times New Roman" w:cs="Times New Roman"/>
                <w:spacing w:val="3"/>
                <w:sz w:val="17"/>
                <w:szCs w:val="17"/>
              </w:rPr>
              <w:t>9.5</w:t>
            </w:r>
          </w:p>
        </w:tc>
        <w:tc>
          <w:tcPr>
            <w:tcW w:w="689" w:type="dxa"/>
            <w:vAlign w:val="top"/>
          </w:tcPr>
          <w:p>
            <w:pPr>
              <w:spacing w:before="84"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9.5</w:t>
            </w:r>
          </w:p>
        </w:tc>
        <w:tc>
          <w:tcPr>
            <w:tcW w:w="689" w:type="dxa"/>
            <w:vAlign w:val="top"/>
          </w:tcPr>
          <w:p>
            <w:pPr>
              <w:spacing w:before="84"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0" w:type="dxa"/>
            <w:vAlign w:val="top"/>
          </w:tcPr>
          <w:p>
            <w:pPr>
              <w:spacing w:before="84"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0.8</w:t>
            </w:r>
          </w:p>
        </w:tc>
        <w:tc>
          <w:tcPr>
            <w:tcW w:w="689" w:type="dxa"/>
            <w:vAlign w:val="top"/>
          </w:tcPr>
          <w:p>
            <w:pPr>
              <w:spacing w:before="84"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9.6</w:t>
            </w:r>
          </w:p>
        </w:tc>
        <w:tc>
          <w:tcPr>
            <w:tcW w:w="688" w:type="dxa"/>
            <w:vAlign w:val="top"/>
          </w:tcPr>
          <w:p>
            <w:pPr>
              <w:spacing w:before="84"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2"/>
                <w:sz w:val="17"/>
                <w:szCs w:val="17"/>
              </w:rPr>
              <w:t>.6</w:t>
            </w:r>
          </w:p>
        </w:tc>
        <w:tc>
          <w:tcPr>
            <w:tcW w:w="690" w:type="dxa"/>
            <w:vAlign w:val="top"/>
          </w:tcPr>
          <w:p>
            <w:pPr>
              <w:spacing w:before="84"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200"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1.2</w:t>
            </w:r>
          </w:p>
        </w:tc>
        <w:tc>
          <w:tcPr>
            <w:tcW w:w="689" w:type="dxa"/>
            <w:vAlign w:val="top"/>
          </w:tcPr>
          <w:p>
            <w:pPr>
              <w:spacing w:before="84"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49.7</w:t>
            </w:r>
          </w:p>
        </w:tc>
        <w:tc>
          <w:tcPr>
            <w:tcW w:w="689" w:type="dxa"/>
            <w:vAlign w:val="top"/>
          </w:tcPr>
          <w:p>
            <w:pPr>
              <w:spacing w:before="84"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0.7</w:t>
            </w:r>
          </w:p>
        </w:tc>
        <w:tc>
          <w:tcPr>
            <w:tcW w:w="694" w:type="dxa"/>
            <w:vAlign w:val="top"/>
          </w:tcPr>
          <w:p>
            <w:pPr>
              <w:spacing w:before="84"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47" w:line="197" w:lineRule="auto"/>
              <w:ind w:left="15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0</w:t>
            </w:r>
            <w:r>
              <w:rPr>
                <w:rFonts w:ascii="Times New Roman" w:hAnsi="Times New Roman" w:eastAsia="Times New Roman" w:cs="Times New Roman"/>
                <w:sz w:val="17"/>
                <w:szCs w:val="17"/>
              </w:rPr>
              <w:t>F</w:t>
            </w:r>
          </w:p>
        </w:tc>
        <w:tc>
          <w:tcPr>
            <w:tcW w:w="675" w:type="dxa"/>
            <w:vMerge w:val="restart"/>
            <w:tcBorders>
              <w:bottom w:val="nil"/>
            </w:tcBorders>
            <w:vAlign w:val="top"/>
          </w:tcPr>
          <w:p>
            <w:pPr>
              <w:spacing w:before="248" w:line="197" w:lineRule="auto"/>
              <w:ind w:left="18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8.2</w:t>
            </w:r>
          </w:p>
        </w:tc>
        <w:tc>
          <w:tcPr>
            <w:tcW w:w="577" w:type="dxa"/>
            <w:vMerge w:val="restart"/>
            <w:tcBorders>
              <w:bottom w:val="nil"/>
            </w:tcBorders>
            <w:vAlign w:val="top"/>
          </w:tcPr>
          <w:p>
            <w:pPr>
              <w:spacing w:before="219"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3" w:line="230"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3"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40"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3"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2"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7.6</w:t>
            </w:r>
          </w:p>
        </w:tc>
        <w:tc>
          <w:tcPr>
            <w:tcW w:w="689"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w:t>
            </w:r>
            <w:r>
              <w:rPr>
                <w:rFonts w:ascii="Times New Roman" w:hAnsi="Times New Roman" w:eastAsia="Times New Roman" w:cs="Times New Roman"/>
                <w:spacing w:val="2"/>
                <w:sz w:val="17"/>
                <w:szCs w:val="17"/>
              </w:rPr>
              <w:t>3</w:t>
            </w:r>
          </w:p>
        </w:tc>
        <w:tc>
          <w:tcPr>
            <w:tcW w:w="689" w:type="dxa"/>
            <w:vAlign w:val="top"/>
          </w:tcPr>
          <w:p>
            <w:pPr>
              <w:spacing w:before="82"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.3</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49.0</w:t>
            </w:r>
          </w:p>
        </w:tc>
        <w:tc>
          <w:tcPr>
            <w:tcW w:w="689" w:type="dxa"/>
            <w:vAlign w:val="top"/>
          </w:tcPr>
          <w:p>
            <w:pPr>
              <w:spacing w:before="82"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9.4</w:t>
            </w:r>
          </w:p>
        </w:tc>
        <w:tc>
          <w:tcPr>
            <w:tcW w:w="688" w:type="dxa"/>
            <w:vAlign w:val="top"/>
          </w:tcPr>
          <w:p>
            <w:pPr>
              <w:spacing w:before="82"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w:t>
            </w:r>
            <w:r>
              <w:rPr>
                <w:rFonts w:ascii="Times New Roman" w:hAnsi="Times New Roman" w:eastAsia="Times New Roman" w:cs="Times New Roman"/>
                <w:spacing w:val="1"/>
                <w:sz w:val="17"/>
                <w:szCs w:val="17"/>
              </w:rPr>
              <w:t>4</w:t>
            </w:r>
          </w:p>
        </w:tc>
        <w:tc>
          <w:tcPr>
            <w:tcW w:w="690" w:type="dxa"/>
            <w:vAlign w:val="top"/>
          </w:tcPr>
          <w:p>
            <w:pPr>
              <w:spacing w:before="82"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9.4</w:t>
            </w:r>
          </w:p>
        </w:tc>
        <w:tc>
          <w:tcPr>
            <w:tcW w:w="689" w:type="dxa"/>
            <w:vAlign w:val="top"/>
          </w:tcPr>
          <w:p>
            <w:pPr>
              <w:spacing w:before="82"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9.5</w:t>
            </w:r>
          </w:p>
        </w:tc>
        <w:tc>
          <w:tcPr>
            <w:tcW w:w="689" w:type="dxa"/>
            <w:vAlign w:val="top"/>
          </w:tcPr>
          <w:p>
            <w:pPr>
              <w:spacing w:before="82"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4" w:type="dxa"/>
            <w:vAlign w:val="top"/>
          </w:tcPr>
          <w:p>
            <w:pPr>
              <w:spacing w:before="82"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3" w:line="230"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4"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40"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4"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2"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3"/>
                <w:sz w:val="17"/>
                <w:szCs w:val="17"/>
              </w:rPr>
              <w:t>9. 1</w:t>
            </w:r>
          </w:p>
        </w:tc>
        <w:tc>
          <w:tcPr>
            <w:tcW w:w="689" w:type="dxa"/>
            <w:vAlign w:val="top"/>
          </w:tcPr>
          <w:p>
            <w:pPr>
              <w:spacing w:before="82"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9.4</w:t>
            </w:r>
          </w:p>
        </w:tc>
        <w:tc>
          <w:tcPr>
            <w:tcW w:w="689" w:type="dxa"/>
            <w:vAlign w:val="top"/>
          </w:tcPr>
          <w:p>
            <w:pPr>
              <w:spacing w:before="82"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.4</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0.4</w:t>
            </w:r>
          </w:p>
        </w:tc>
        <w:tc>
          <w:tcPr>
            <w:tcW w:w="689" w:type="dxa"/>
            <w:vAlign w:val="top"/>
          </w:tcPr>
          <w:p>
            <w:pPr>
              <w:spacing w:before="82"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9.6</w:t>
            </w:r>
          </w:p>
        </w:tc>
        <w:tc>
          <w:tcPr>
            <w:tcW w:w="688" w:type="dxa"/>
            <w:vAlign w:val="top"/>
          </w:tcPr>
          <w:p>
            <w:pPr>
              <w:spacing w:before="82"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2"/>
                <w:sz w:val="17"/>
                <w:szCs w:val="17"/>
              </w:rPr>
              <w:t>.6</w:t>
            </w:r>
          </w:p>
        </w:tc>
        <w:tc>
          <w:tcPr>
            <w:tcW w:w="690" w:type="dxa"/>
            <w:vAlign w:val="top"/>
          </w:tcPr>
          <w:p>
            <w:pPr>
              <w:spacing w:before="82"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40.7</w:t>
            </w:r>
          </w:p>
        </w:tc>
        <w:tc>
          <w:tcPr>
            <w:tcW w:w="689" w:type="dxa"/>
            <w:vAlign w:val="top"/>
          </w:tcPr>
          <w:p>
            <w:pPr>
              <w:spacing w:before="82"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9.6</w:t>
            </w:r>
          </w:p>
        </w:tc>
        <w:tc>
          <w:tcPr>
            <w:tcW w:w="689" w:type="dxa"/>
            <w:vAlign w:val="top"/>
          </w:tcPr>
          <w:p>
            <w:pPr>
              <w:spacing w:before="82"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.6</w:t>
            </w:r>
          </w:p>
        </w:tc>
        <w:tc>
          <w:tcPr>
            <w:tcW w:w="694" w:type="dxa"/>
            <w:vAlign w:val="top"/>
          </w:tcPr>
          <w:p>
            <w:pPr>
              <w:spacing w:before="82"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48" w:line="197" w:lineRule="auto"/>
              <w:ind w:left="15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5</w:t>
            </w:r>
            <w:r>
              <w:rPr>
                <w:rFonts w:ascii="Times New Roman" w:hAnsi="Times New Roman" w:eastAsia="Times New Roman" w:cs="Times New Roman"/>
                <w:sz w:val="17"/>
                <w:szCs w:val="17"/>
              </w:rPr>
              <w:t>F</w:t>
            </w:r>
          </w:p>
        </w:tc>
        <w:tc>
          <w:tcPr>
            <w:tcW w:w="675" w:type="dxa"/>
            <w:vMerge w:val="restart"/>
            <w:tcBorders>
              <w:bottom w:val="nil"/>
            </w:tcBorders>
            <w:vAlign w:val="top"/>
          </w:tcPr>
          <w:p>
            <w:pPr>
              <w:spacing w:before="248" w:line="197" w:lineRule="auto"/>
              <w:ind w:left="1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73.</w:t>
            </w:r>
            <w:r>
              <w:rPr>
                <w:rFonts w:ascii="Times New Roman" w:hAnsi="Times New Roman" w:eastAsia="Times New Roman" w:cs="Times New Roman"/>
                <w:spacing w:val="2"/>
                <w:sz w:val="17"/>
                <w:szCs w:val="17"/>
              </w:rPr>
              <w:t>2</w:t>
            </w:r>
          </w:p>
        </w:tc>
        <w:tc>
          <w:tcPr>
            <w:tcW w:w="577" w:type="dxa"/>
            <w:vMerge w:val="restart"/>
            <w:tcBorders>
              <w:bottom w:val="nil"/>
            </w:tcBorders>
            <w:vAlign w:val="top"/>
          </w:tcPr>
          <w:p>
            <w:pPr>
              <w:spacing w:before="217"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3" w:line="230"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38"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2"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w:t>
            </w:r>
            <w:r>
              <w:rPr>
                <w:rFonts w:ascii="Times New Roman" w:hAnsi="Times New Roman" w:eastAsia="Times New Roman" w:cs="Times New Roman"/>
                <w:spacing w:val="-2"/>
                <w:sz w:val="17"/>
                <w:szCs w:val="17"/>
              </w:rPr>
              <w:t>7. 1</w:t>
            </w:r>
          </w:p>
        </w:tc>
        <w:tc>
          <w:tcPr>
            <w:tcW w:w="689"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w:t>
            </w:r>
            <w:r>
              <w:rPr>
                <w:rFonts w:ascii="Times New Roman" w:hAnsi="Times New Roman" w:eastAsia="Times New Roman" w:cs="Times New Roman"/>
                <w:spacing w:val="2"/>
                <w:sz w:val="17"/>
                <w:szCs w:val="17"/>
              </w:rPr>
              <w:t>3</w:t>
            </w:r>
          </w:p>
        </w:tc>
        <w:tc>
          <w:tcPr>
            <w:tcW w:w="689" w:type="dxa"/>
            <w:vAlign w:val="top"/>
          </w:tcPr>
          <w:p>
            <w:pPr>
              <w:spacing w:before="83"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.3</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8.4</w:t>
            </w:r>
          </w:p>
        </w:tc>
        <w:tc>
          <w:tcPr>
            <w:tcW w:w="689" w:type="dxa"/>
            <w:vAlign w:val="top"/>
          </w:tcPr>
          <w:p>
            <w:pPr>
              <w:spacing w:before="82"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9.4</w:t>
            </w:r>
          </w:p>
        </w:tc>
        <w:tc>
          <w:tcPr>
            <w:tcW w:w="688" w:type="dxa"/>
            <w:vAlign w:val="top"/>
          </w:tcPr>
          <w:p>
            <w:pPr>
              <w:spacing w:before="83"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w:t>
            </w:r>
            <w:r>
              <w:rPr>
                <w:rFonts w:ascii="Times New Roman" w:hAnsi="Times New Roman" w:eastAsia="Times New Roman" w:cs="Times New Roman"/>
                <w:spacing w:val="1"/>
                <w:sz w:val="17"/>
                <w:szCs w:val="17"/>
              </w:rPr>
              <w:t>4</w:t>
            </w:r>
          </w:p>
        </w:tc>
        <w:tc>
          <w:tcPr>
            <w:tcW w:w="690" w:type="dxa"/>
            <w:vAlign w:val="top"/>
          </w:tcPr>
          <w:p>
            <w:pPr>
              <w:spacing w:before="82"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8.8</w:t>
            </w:r>
          </w:p>
        </w:tc>
        <w:tc>
          <w:tcPr>
            <w:tcW w:w="689" w:type="dxa"/>
            <w:vAlign w:val="top"/>
          </w:tcPr>
          <w:p>
            <w:pPr>
              <w:spacing w:before="82"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9.4</w:t>
            </w:r>
          </w:p>
        </w:tc>
        <w:tc>
          <w:tcPr>
            <w:tcW w:w="689" w:type="dxa"/>
            <w:vAlign w:val="top"/>
          </w:tcPr>
          <w:p>
            <w:pPr>
              <w:spacing w:before="83"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.4</w:t>
            </w:r>
          </w:p>
        </w:tc>
        <w:tc>
          <w:tcPr>
            <w:tcW w:w="694" w:type="dxa"/>
            <w:vAlign w:val="top"/>
          </w:tcPr>
          <w:p>
            <w:pPr>
              <w:spacing w:before="82"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tcBorders>
            <w:vAlign w:val="top"/>
          </w:tcPr>
          <w:p>
            <w:pPr>
              <w:rPr>
                <w:rFonts w:ascii="Arial"/>
                <w:sz w:val="21"/>
              </w:rPr>
            </w:pPr>
          </w:p>
        </w:tc>
        <w:tc>
          <w:tcPr>
            <w:tcW w:w="600" w:type="dxa"/>
            <w:vMerge w:val="continue"/>
            <w:tcBorders>
              <w:top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4" w:line="229"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2"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39"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3"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3</w:t>
            </w:r>
            <w:r>
              <w:rPr>
                <w:rFonts w:ascii="Times New Roman" w:hAnsi="Times New Roman" w:eastAsia="Times New Roman" w:cs="Times New Roman"/>
                <w:spacing w:val="3"/>
                <w:sz w:val="17"/>
                <w:szCs w:val="17"/>
              </w:rPr>
              <w:t>8.5</w:t>
            </w:r>
          </w:p>
        </w:tc>
        <w:tc>
          <w:tcPr>
            <w:tcW w:w="689" w:type="dxa"/>
            <w:vAlign w:val="top"/>
          </w:tcPr>
          <w:p>
            <w:pPr>
              <w:spacing w:before="83"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9.4</w:t>
            </w:r>
          </w:p>
        </w:tc>
        <w:tc>
          <w:tcPr>
            <w:tcW w:w="689" w:type="dxa"/>
            <w:vAlign w:val="top"/>
          </w:tcPr>
          <w:p>
            <w:pPr>
              <w:spacing w:before="83"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.4</w:t>
            </w:r>
          </w:p>
        </w:tc>
        <w:tc>
          <w:tcPr>
            <w:tcW w:w="690" w:type="dxa"/>
            <w:vAlign w:val="top"/>
          </w:tcPr>
          <w:p>
            <w:pPr>
              <w:spacing w:before="83"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9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39.8</w:t>
            </w:r>
          </w:p>
        </w:tc>
        <w:tc>
          <w:tcPr>
            <w:tcW w:w="689" w:type="dxa"/>
            <w:vAlign w:val="top"/>
          </w:tcPr>
          <w:p>
            <w:pPr>
              <w:spacing w:before="83"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9.5</w:t>
            </w:r>
          </w:p>
        </w:tc>
        <w:tc>
          <w:tcPr>
            <w:tcW w:w="688" w:type="dxa"/>
            <w:vAlign w:val="top"/>
          </w:tcPr>
          <w:p>
            <w:pPr>
              <w:spacing w:before="83"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0.5</w:t>
            </w:r>
          </w:p>
        </w:tc>
        <w:tc>
          <w:tcPr>
            <w:tcW w:w="690" w:type="dxa"/>
            <w:vAlign w:val="top"/>
          </w:tcPr>
          <w:p>
            <w:pPr>
              <w:spacing w:before="83"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0.2</w:t>
            </w:r>
          </w:p>
        </w:tc>
        <w:tc>
          <w:tcPr>
            <w:tcW w:w="689" w:type="dxa"/>
            <w:vAlign w:val="top"/>
          </w:tcPr>
          <w:p>
            <w:pPr>
              <w:spacing w:before="83"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9.5</w:t>
            </w:r>
          </w:p>
        </w:tc>
        <w:tc>
          <w:tcPr>
            <w:tcW w:w="689" w:type="dxa"/>
            <w:vAlign w:val="top"/>
          </w:tcPr>
          <w:p>
            <w:pPr>
              <w:spacing w:before="83"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4" w:type="dxa"/>
            <w:vAlign w:val="top"/>
          </w:tcPr>
          <w:p>
            <w:pPr>
              <w:spacing w:before="83"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49" w:line="194" w:lineRule="auto"/>
              <w:ind w:left="241"/>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600"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55" w:line="232" w:lineRule="auto"/>
              <w:ind w:left="45"/>
              <w:rPr>
                <w:rFonts w:ascii="黑体" w:hAnsi="黑体" w:eastAsia="黑体" w:cs="黑体"/>
                <w:sz w:val="17"/>
                <w:szCs w:val="17"/>
              </w:rPr>
            </w:pPr>
            <w:r>
              <w:rPr>
                <w:rFonts w:ascii="Times New Roman" w:hAnsi="Times New Roman" w:eastAsia="Times New Roman" w:cs="Times New Roman"/>
                <w:spacing w:val="19"/>
                <w:sz w:val="17"/>
                <w:szCs w:val="17"/>
              </w:rPr>
              <w:t>“</w:t>
            </w:r>
            <w:r>
              <w:rPr>
                <w:rFonts w:ascii="黑体" w:hAnsi="黑体" w:eastAsia="黑体" w:cs="黑体"/>
                <w:spacing w:val="17"/>
                <w:sz w:val="17"/>
                <w:szCs w:val="17"/>
              </w:rPr>
              <w:t>绿地</w:t>
            </w:r>
          </w:p>
          <w:p>
            <w:pPr>
              <w:spacing w:before="67" w:line="233" w:lineRule="auto"/>
              <w:ind w:left="31"/>
              <w:rPr>
                <w:rFonts w:ascii="黑体" w:hAnsi="黑体" w:eastAsia="黑体" w:cs="黑体"/>
                <w:sz w:val="17"/>
                <w:szCs w:val="17"/>
              </w:rPr>
            </w:pPr>
            <w:r>
              <w:rPr>
                <w:rFonts w:ascii="黑体" w:hAnsi="黑体" w:eastAsia="黑体" w:cs="黑体"/>
                <w:spacing w:val="8"/>
                <w:sz w:val="17"/>
                <w:szCs w:val="17"/>
              </w:rPr>
              <w:t>外滩名</w:t>
            </w:r>
          </w:p>
          <w:p>
            <w:pPr>
              <w:spacing w:before="63" w:line="238" w:lineRule="auto"/>
              <w:ind w:left="93"/>
              <w:rPr>
                <w:rFonts w:ascii="Times New Roman" w:hAnsi="Times New Roman" w:eastAsia="Times New Roman" w:cs="Times New Roman"/>
                <w:sz w:val="17"/>
                <w:szCs w:val="17"/>
              </w:rPr>
            </w:pPr>
            <w:r>
              <w:rPr>
                <w:rFonts w:ascii="黑体" w:hAnsi="黑体" w:eastAsia="黑体" w:cs="黑体"/>
                <w:spacing w:val="2"/>
                <w:sz w:val="17"/>
                <w:szCs w:val="17"/>
              </w:rPr>
              <w:t>门</w:t>
            </w:r>
            <w:r>
              <w:rPr>
                <w:rFonts w:ascii="Times New Roman" w:hAnsi="Times New Roman" w:eastAsia="Times New Roman" w:cs="Times New Roman"/>
                <w:spacing w:val="1"/>
                <w:sz w:val="17"/>
                <w:szCs w:val="17"/>
              </w:rPr>
              <w:t>”10</w:t>
            </w:r>
          </w:p>
          <w:p>
            <w:pPr>
              <w:spacing w:before="61" w:line="233" w:lineRule="auto"/>
              <w:ind w:left="125"/>
              <w:rPr>
                <w:rFonts w:ascii="黑体" w:hAnsi="黑体" w:eastAsia="黑体" w:cs="黑体"/>
                <w:sz w:val="17"/>
                <w:szCs w:val="17"/>
              </w:rPr>
            </w:pPr>
            <w:r>
              <w:rPr>
                <w:rFonts w:ascii="黑体" w:hAnsi="黑体" w:eastAsia="黑体" w:cs="黑体"/>
                <w:spacing w:val="5"/>
                <w:sz w:val="17"/>
                <w:szCs w:val="17"/>
              </w:rPr>
              <w:t>号</w:t>
            </w:r>
            <w:r>
              <w:rPr>
                <w:rFonts w:ascii="黑体" w:hAnsi="黑体" w:eastAsia="黑体" w:cs="黑体"/>
                <w:spacing w:val="4"/>
                <w:sz w:val="17"/>
                <w:szCs w:val="17"/>
              </w:rPr>
              <w:t>楼</w:t>
            </w:r>
          </w:p>
        </w:tc>
        <w:tc>
          <w:tcPr>
            <w:tcW w:w="598" w:type="dxa"/>
            <w:vMerge w:val="restart"/>
            <w:tcBorders>
              <w:bottom w:val="nil"/>
            </w:tcBorders>
            <w:vAlign w:val="top"/>
          </w:tcPr>
          <w:p>
            <w:pPr>
              <w:spacing w:before="249" w:line="197" w:lineRule="auto"/>
              <w:ind w:left="220"/>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1</w:t>
            </w:r>
            <w:r>
              <w:rPr>
                <w:rFonts w:ascii="Times New Roman" w:hAnsi="Times New Roman" w:eastAsia="Times New Roman" w:cs="Times New Roman"/>
                <w:spacing w:val="-4"/>
                <w:sz w:val="17"/>
                <w:szCs w:val="17"/>
              </w:rPr>
              <w:t>F</w:t>
            </w:r>
          </w:p>
        </w:tc>
        <w:tc>
          <w:tcPr>
            <w:tcW w:w="675" w:type="dxa"/>
            <w:vMerge w:val="restart"/>
            <w:tcBorders>
              <w:bottom w:val="nil"/>
            </w:tcBorders>
            <w:vAlign w:val="top"/>
          </w:tcPr>
          <w:p>
            <w:pPr>
              <w:spacing w:before="249" w:line="200" w:lineRule="auto"/>
              <w:ind w:left="24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w:t>
            </w:r>
          </w:p>
        </w:tc>
        <w:tc>
          <w:tcPr>
            <w:tcW w:w="577" w:type="dxa"/>
            <w:vMerge w:val="restart"/>
            <w:tcBorders>
              <w:bottom w:val="nil"/>
            </w:tcBorders>
            <w:vAlign w:val="top"/>
          </w:tcPr>
          <w:p>
            <w:pPr>
              <w:spacing w:before="218"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4" w:line="229"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39"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4"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w:t>
            </w:r>
            <w:r>
              <w:rPr>
                <w:rFonts w:ascii="Times New Roman" w:hAnsi="Times New Roman" w:eastAsia="Times New Roman" w:cs="Times New Roman"/>
                <w:spacing w:val="-2"/>
                <w:sz w:val="17"/>
                <w:szCs w:val="17"/>
              </w:rPr>
              <w:t>6. 1</w:t>
            </w:r>
          </w:p>
        </w:tc>
        <w:tc>
          <w:tcPr>
            <w:tcW w:w="689" w:type="dxa"/>
            <w:vAlign w:val="top"/>
          </w:tcPr>
          <w:p>
            <w:pPr>
              <w:spacing w:before="83"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9.2</w:t>
            </w:r>
          </w:p>
        </w:tc>
        <w:tc>
          <w:tcPr>
            <w:tcW w:w="689" w:type="dxa"/>
            <w:vAlign w:val="top"/>
          </w:tcPr>
          <w:p>
            <w:pPr>
              <w:spacing w:before="84"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.2</w:t>
            </w:r>
          </w:p>
        </w:tc>
        <w:tc>
          <w:tcPr>
            <w:tcW w:w="690" w:type="dxa"/>
            <w:vAlign w:val="top"/>
          </w:tcPr>
          <w:p>
            <w:pPr>
              <w:spacing w:before="83"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7.4</w:t>
            </w:r>
          </w:p>
        </w:tc>
        <w:tc>
          <w:tcPr>
            <w:tcW w:w="689" w:type="dxa"/>
            <w:vAlign w:val="top"/>
          </w:tcPr>
          <w:p>
            <w:pPr>
              <w:spacing w:before="83"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w:t>
            </w:r>
            <w:r>
              <w:rPr>
                <w:rFonts w:ascii="Times New Roman" w:hAnsi="Times New Roman" w:eastAsia="Times New Roman" w:cs="Times New Roman"/>
                <w:spacing w:val="2"/>
                <w:sz w:val="17"/>
                <w:szCs w:val="17"/>
              </w:rPr>
              <w:t>3</w:t>
            </w:r>
          </w:p>
        </w:tc>
        <w:tc>
          <w:tcPr>
            <w:tcW w:w="688" w:type="dxa"/>
            <w:vAlign w:val="top"/>
          </w:tcPr>
          <w:p>
            <w:pPr>
              <w:spacing w:before="84"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w:t>
            </w:r>
            <w:r>
              <w:rPr>
                <w:rFonts w:ascii="Times New Roman" w:hAnsi="Times New Roman" w:eastAsia="Times New Roman" w:cs="Times New Roman"/>
                <w:spacing w:val="1"/>
                <w:sz w:val="17"/>
                <w:szCs w:val="17"/>
              </w:rPr>
              <w:t>3</w:t>
            </w:r>
          </w:p>
        </w:tc>
        <w:tc>
          <w:tcPr>
            <w:tcW w:w="690" w:type="dxa"/>
            <w:vAlign w:val="top"/>
          </w:tcPr>
          <w:p>
            <w:pPr>
              <w:spacing w:before="83"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7.8</w:t>
            </w:r>
          </w:p>
        </w:tc>
        <w:tc>
          <w:tcPr>
            <w:tcW w:w="689" w:type="dxa"/>
            <w:vAlign w:val="top"/>
          </w:tcPr>
          <w:p>
            <w:pPr>
              <w:spacing w:before="83"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w:t>
            </w:r>
            <w:r>
              <w:rPr>
                <w:rFonts w:ascii="Times New Roman" w:hAnsi="Times New Roman" w:eastAsia="Times New Roman" w:cs="Times New Roman"/>
                <w:spacing w:val="2"/>
                <w:sz w:val="17"/>
                <w:szCs w:val="17"/>
              </w:rPr>
              <w:t>3</w:t>
            </w:r>
          </w:p>
        </w:tc>
        <w:tc>
          <w:tcPr>
            <w:tcW w:w="689" w:type="dxa"/>
            <w:vAlign w:val="top"/>
          </w:tcPr>
          <w:p>
            <w:pPr>
              <w:spacing w:before="84"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.3</w:t>
            </w:r>
          </w:p>
        </w:tc>
        <w:tc>
          <w:tcPr>
            <w:tcW w:w="694" w:type="dxa"/>
            <w:vAlign w:val="top"/>
          </w:tcPr>
          <w:p>
            <w:pPr>
              <w:spacing w:before="83"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2" w:line="231"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3"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39" w:line="243"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3"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4"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2"/>
                <w:sz w:val="17"/>
                <w:szCs w:val="17"/>
              </w:rPr>
              <w:t>8.2</w:t>
            </w:r>
          </w:p>
        </w:tc>
        <w:tc>
          <w:tcPr>
            <w:tcW w:w="689" w:type="dxa"/>
            <w:vAlign w:val="top"/>
          </w:tcPr>
          <w:p>
            <w:pPr>
              <w:spacing w:before="84"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9.3</w:t>
            </w:r>
          </w:p>
        </w:tc>
        <w:tc>
          <w:tcPr>
            <w:tcW w:w="689" w:type="dxa"/>
            <w:vAlign w:val="top"/>
          </w:tcPr>
          <w:p>
            <w:pPr>
              <w:spacing w:before="84"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.3</w:t>
            </w:r>
          </w:p>
        </w:tc>
        <w:tc>
          <w:tcPr>
            <w:tcW w:w="690" w:type="dxa"/>
            <w:vAlign w:val="top"/>
          </w:tcPr>
          <w:p>
            <w:pPr>
              <w:spacing w:before="84"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9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3"/>
                <w:sz w:val="17"/>
                <w:szCs w:val="17"/>
              </w:rPr>
              <w:t>9.3</w:t>
            </w:r>
          </w:p>
        </w:tc>
        <w:tc>
          <w:tcPr>
            <w:tcW w:w="689" w:type="dxa"/>
            <w:vAlign w:val="top"/>
          </w:tcPr>
          <w:p>
            <w:pPr>
              <w:spacing w:before="84"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9.4</w:t>
            </w:r>
          </w:p>
        </w:tc>
        <w:tc>
          <w:tcPr>
            <w:tcW w:w="688" w:type="dxa"/>
            <w:vAlign w:val="top"/>
          </w:tcPr>
          <w:p>
            <w:pPr>
              <w:spacing w:before="84"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w:t>
            </w:r>
            <w:r>
              <w:rPr>
                <w:rFonts w:ascii="Times New Roman" w:hAnsi="Times New Roman" w:eastAsia="Times New Roman" w:cs="Times New Roman"/>
                <w:spacing w:val="1"/>
                <w:sz w:val="17"/>
                <w:szCs w:val="17"/>
              </w:rPr>
              <w:t>4</w:t>
            </w:r>
          </w:p>
        </w:tc>
        <w:tc>
          <w:tcPr>
            <w:tcW w:w="690" w:type="dxa"/>
            <w:vAlign w:val="top"/>
          </w:tcPr>
          <w:p>
            <w:pPr>
              <w:spacing w:before="84"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9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3"/>
                <w:sz w:val="17"/>
                <w:szCs w:val="17"/>
              </w:rPr>
              <w:t>9.6</w:t>
            </w:r>
          </w:p>
        </w:tc>
        <w:tc>
          <w:tcPr>
            <w:tcW w:w="689" w:type="dxa"/>
            <w:vAlign w:val="top"/>
          </w:tcPr>
          <w:p>
            <w:pPr>
              <w:spacing w:before="84"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9.5</w:t>
            </w:r>
          </w:p>
        </w:tc>
        <w:tc>
          <w:tcPr>
            <w:tcW w:w="689" w:type="dxa"/>
            <w:vAlign w:val="top"/>
          </w:tcPr>
          <w:p>
            <w:pPr>
              <w:spacing w:before="84"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4" w:type="dxa"/>
            <w:vAlign w:val="top"/>
          </w:tcPr>
          <w:p>
            <w:pPr>
              <w:spacing w:before="84"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47" w:line="197" w:lineRule="auto"/>
              <w:ind w:left="202"/>
              <w:rPr>
                <w:rFonts w:ascii="Times New Roman" w:hAnsi="Times New Roman" w:eastAsia="Times New Roman" w:cs="Times New Roman"/>
                <w:sz w:val="17"/>
                <w:szCs w:val="17"/>
              </w:rPr>
            </w:pPr>
            <w:r>
              <w:rPr>
                <w:rFonts w:ascii="Times New Roman" w:hAnsi="Times New Roman" w:eastAsia="Times New Roman" w:cs="Times New Roman"/>
                <w:spacing w:val="8"/>
                <w:sz w:val="17"/>
                <w:szCs w:val="17"/>
              </w:rPr>
              <w:t>4</w:t>
            </w:r>
            <w:r>
              <w:rPr>
                <w:rFonts w:ascii="Times New Roman" w:hAnsi="Times New Roman" w:eastAsia="Times New Roman" w:cs="Times New Roman"/>
                <w:sz w:val="17"/>
                <w:szCs w:val="17"/>
              </w:rPr>
              <w:t>F</w:t>
            </w:r>
          </w:p>
        </w:tc>
        <w:tc>
          <w:tcPr>
            <w:tcW w:w="675" w:type="dxa"/>
            <w:vMerge w:val="restart"/>
            <w:tcBorders>
              <w:bottom w:val="nil"/>
            </w:tcBorders>
            <w:vAlign w:val="top"/>
          </w:tcPr>
          <w:p>
            <w:pPr>
              <w:spacing w:before="248"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10.</w:t>
            </w:r>
            <w:r>
              <w:rPr>
                <w:rFonts w:ascii="Times New Roman" w:hAnsi="Times New Roman" w:eastAsia="Times New Roman" w:cs="Times New Roman"/>
                <w:sz w:val="17"/>
                <w:szCs w:val="17"/>
              </w:rPr>
              <w:t>2</w:t>
            </w:r>
          </w:p>
        </w:tc>
        <w:tc>
          <w:tcPr>
            <w:tcW w:w="577" w:type="dxa"/>
            <w:vMerge w:val="restart"/>
            <w:tcBorders>
              <w:bottom w:val="nil"/>
            </w:tcBorders>
            <w:vAlign w:val="top"/>
          </w:tcPr>
          <w:p>
            <w:pPr>
              <w:spacing w:before="219"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3" w:line="230"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3"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40"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3"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2"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6.9</w:t>
            </w:r>
          </w:p>
        </w:tc>
        <w:tc>
          <w:tcPr>
            <w:tcW w:w="689"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w:t>
            </w:r>
            <w:r>
              <w:rPr>
                <w:rFonts w:ascii="Times New Roman" w:hAnsi="Times New Roman" w:eastAsia="Times New Roman" w:cs="Times New Roman"/>
                <w:spacing w:val="2"/>
                <w:sz w:val="17"/>
                <w:szCs w:val="17"/>
              </w:rPr>
              <w:t>3</w:t>
            </w:r>
          </w:p>
        </w:tc>
        <w:tc>
          <w:tcPr>
            <w:tcW w:w="689" w:type="dxa"/>
            <w:vAlign w:val="top"/>
          </w:tcPr>
          <w:p>
            <w:pPr>
              <w:spacing w:before="82"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.3</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8.2</w:t>
            </w:r>
          </w:p>
        </w:tc>
        <w:tc>
          <w:tcPr>
            <w:tcW w:w="689" w:type="dxa"/>
            <w:vAlign w:val="top"/>
          </w:tcPr>
          <w:p>
            <w:pPr>
              <w:spacing w:before="82"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9.4</w:t>
            </w:r>
          </w:p>
        </w:tc>
        <w:tc>
          <w:tcPr>
            <w:tcW w:w="688" w:type="dxa"/>
            <w:vAlign w:val="top"/>
          </w:tcPr>
          <w:p>
            <w:pPr>
              <w:spacing w:before="82"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w:t>
            </w:r>
            <w:r>
              <w:rPr>
                <w:rFonts w:ascii="Times New Roman" w:hAnsi="Times New Roman" w:eastAsia="Times New Roman" w:cs="Times New Roman"/>
                <w:spacing w:val="1"/>
                <w:sz w:val="17"/>
                <w:szCs w:val="17"/>
              </w:rPr>
              <w:t>4</w:t>
            </w:r>
          </w:p>
        </w:tc>
        <w:tc>
          <w:tcPr>
            <w:tcW w:w="690" w:type="dxa"/>
            <w:vAlign w:val="top"/>
          </w:tcPr>
          <w:p>
            <w:pPr>
              <w:spacing w:before="82"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8.6</w:t>
            </w:r>
          </w:p>
        </w:tc>
        <w:tc>
          <w:tcPr>
            <w:tcW w:w="689" w:type="dxa"/>
            <w:vAlign w:val="top"/>
          </w:tcPr>
          <w:p>
            <w:pPr>
              <w:spacing w:before="82"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9.4</w:t>
            </w:r>
          </w:p>
        </w:tc>
        <w:tc>
          <w:tcPr>
            <w:tcW w:w="689" w:type="dxa"/>
            <w:vAlign w:val="top"/>
          </w:tcPr>
          <w:p>
            <w:pPr>
              <w:spacing w:before="82"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.4</w:t>
            </w:r>
          </w:p>
        </w:tc>
        <w:tc>
          <w:tcPr>
            <w:tcW w:w="694" w:type="dxa"/>
            <w:vAlign w:val="top"/>
          </w:tcPr>
          <w:p>
            <w:pPr>
              <w:spacing w:before="82"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3" w:line="230"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4"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40"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4"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2"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38.8</w:t>
            </w:r>
          </w:p>
        </w:tc>
        <w:tc>
          <w:tcPr>
            <w:tcW w:w="689" w:type="dxa"/>
            <w:vAlign w:val="top"/>
          </w:tcPr>
          <w:p>
            <w:pPr>
              <w:spacing w:before="82"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9.4</w:t>
            </w:r>
          </w:p>
        </w:tc>
        <w:tc>
          <w:tcPr>
            <w:tcW w:w="689" w:type="dxa"/>
            <w:vAlign w:val="top"/>
          </w:tcPr>
          <w:p>
            <w:pPr>
              <w:spacing w:before="82"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.4</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40.0</w:t>
            </w:r>
          </w:p>
        </w:tc>
        <w:tc>
          <w:tcPr>
            <w:tcW w:w="689" w:type="dxa"/>
            <w:vAlign w:val="top"/>
          </w:tcPr>
          <w:p>
            <w:pPr>
              <w:spacing w:before="82"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9.5</w:t>
            </w:r>
          </w:p>
        </w:tc>
        <w:tc>
          <w:tcPr>
            <w:tcW w:w="688" w:type="dxa"/>
            <w:vAlign w:val="top"/>
          </w:tcPr>
          <w:p>
            <w:pPr>
              <w:spacing w:before="82"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0.5</w:t>
            </w:r>
          </w:p>
        </w:tc>
        <w:tc>
          <w:tcPr>
            <w:tcW w:w="690" w:type="dxa"/>
            <w:vAlign w:val="top"/>
          </w:tcPr>
          <w:p>
            <w:pPr>
              <w:spacing w:before="82"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0.3</w:t>
            </w:r>
          </w:p>
        </w:tc>
        <w:tc>
          <w:tcPr>
            <w:tcW w:w="689" w:type="dxa"/>
            <w:vAlign w:val="top"/>
          </w:tcPr>
          <w:p>
            <w:pPr>
              <w:spacing w:before="82"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9.6</w:t>
            </w:r>
          </w:p>
        </w:tc>
        <w:tc>
          <w:tcPr>
            <w:tcW w:w="689" w:type="dxa"/>
            <w:vAlign w:val="top"/>
          </w:tcPr>
          <w:p>
            <w:pPr>
              <w:spacing w:before="82"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.6</w:t>
            </w:r>
          </w:p>
        </w:tc>
        <w:tc>
          <w:tcPr>
            <w:tcW w:w="694" w:type="dxa"/>
            <w:vAlign w:val="top"/>
          </w:tcPr>
          <w:p>
            <w:pPr>
              <w:spacing w:before="82"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50" w:line="194" w:lineRule="auto"/>
              <w:ind w:left="20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7</w:t>
            </w:r>
            <w:r>
              <w:rPr>
                <w:rFonts w:ascii="Times New Roman" w:hAnsi="Times New Roman" w:eastAsia="Times New Roman" w:cs="Times New Roman"/>
                <w:sz w:val="17"/>
                <w:szCs w:val="17"/>
              </w:rPr>
              <w:t>F</w:t>
            </w:r>
          </w:p>
        </w:tc>
        <w:tc>
          <w:tcPr>
            <w:tcW w:w="675" w:type="dxa"/>
            <w:vMerge w:val="restart"/>
            <w:tcBorders>
              <w:bottom w:val="nil"/>
            </w:tcBorders>
            <w:vAlign w:val="top"/>
          </w:tcPr>
          <w:p>
            <w:pPr>
              <w:spacing w:before="248"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19.</w:t>
            </w:r>
            <w:r>
              <w:rPr>
                <w:rFonts w:ascii="Times New Roman" w:hAnsi="Times New Roman" w:eastAsia="Times New Roman" w:cs="Times New Roman"/>
                <w:sz w:val="17"/>
                <w:szCs w:val="17"/>
              </w:rPr>
              <w:t>2</w:t>
            </w:r>
          </w:p>
        </w:tc>
        <w:tc>
          <w:tcPr>
            <w:tcW w:w="577" w:type="dxa"/>
            <w:vMerge w:val="restart"/>
            <w:tcBorders>
              <w:bottom w:val="nil"/>
            </w:tcBorders>
            <w:vAlign w:val="top"/>
          </w:tcPr>
          <w:p>
            <w:pPr>
              <w:spacing w:before="217"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3" w:line="229"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38"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3"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6.8</w:t>
            </w:r>
          </w:p>
        </w:tc>
        <w:tc>
          <w:tcPr>
            <w:tcW w:w="689"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w:t>
            </w:r>
            <w:r>
              <w:rPr>
                <w:rFonts w:ascii="Times New Roman" w:hAnsi="Times New Roman" w:eastAsia="Times New Roman" w:cs="Times New Roman"/>
                <w:spacing w:val="2"/>
                <w:sz w:val="17"/>
                <w:szCs w:val="17"/>
              </w:rPr>
              <w:t>3</w:t>
            </w:r>
          </w:p>
        </w:tc>
        <w:tc>
          <w:tcPr>
            <w:tcW w:w="689" w:type="dxa"/>
            <w:vAlign w:val="top"/>
          </w:tcPr>
          <w:p>
            <w:pPr>
              <w:spacing w:before="83"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.3</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8.2</w:t>
            </w:r>
          </w:p>
        </w:tc>
        <w:tc>
          <w:tcPr>
            <w:tcW w:w="689" w:type="dxa"/>
            <w:vAlign w:val="top"/>
          </w:tcPr>
          <w:p>
            <w:pPr>
              <w:spacing w:before="82"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9.4</w:t>
            </w:r>
          </w:p>
        </w:tc>
        <w:tc>
          <w:tcPr>
            <w:tcW w:w="688" w:type="dxa"/>
            <w:vAlign w:val="top"/>
          </w:tcPr>
          <w:p>
            <w:pPr>
              <w:spacing w:before="83"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w:t>
            </w:r>
            <w:r>
              <w:rPr>
                <w:rFonts w:ascii="Times New Roman" w:hAnsi="Times New Roman" w:eastAsia="Times New Roman" w:cs="Times New Roman"/>
                <w:spacing w:val="1"/>
                <w:sz w:val="17"/>
                <w:szCs w:val="17"/>
              </w:rPr>
              <w:t>4</w:t>
            </w:r>
          </w:p>
        </w:tc>
        <w:tc>
          <w:tcPr>
            <w:tcW w:w="690" w:type="dxa"/>
            <w:vAlign w:val="top"/>
          </w:tcPr>
          <w:p>
            <w:pPr>
              <w:spacing w:before="82"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8.6</w:t>
            </w:r>
          </w:p>
        </w:tc>
        <w:tc>
          <w:tcPr>
            <w:tcW w:w="689" w:type="dxa"/>
            <w:vAlign w:val="top"/>
          </w:tcPr>
          <w:p>
            <w:pPr>
              <w:spacing w:before="82"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9.4</w:t>
            </w:r>
          </w:p>
        </w:tc>
        <w:tc>
          <w:tcPr>
            <w:tcW w:w="689" w:type="dxa"/>
            <w:vAlign w:val="top"/>
          </w:tcPr>
          <w:p>
            <w:pPr>
              <w:spacing w:before="83"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.4</w:t>
            </w:r>
          </w:p>
        </w:tc>
        <w:tc>
          <w:tcPr>
            <w:tcW w:w="694" w:type="dxa"/>
            <w:vAlign w:val="top"/>
          </w:tcPr>
          <w:p>
            <w:pPr>
              <w:spacing w:before="82"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5" w:line="228"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3"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40"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3"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4"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38.7</w:t>
            </w:r>
          </w:p>
        </w:tc>
        <w:tc>
          <w:tcPr>
            <w:tcW w:w="689" w:type="dxa"/>
            <w:vAlign w:val="top"/>
          </w:tcPr>
          <w:p>
            <w:pPr>
              <w:spacing w:before="84"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9.4</w:t>
            </w:r>
          </w:p>
        </w:tc>
        <w:tc>
          <w:tcPr>
            <w:tcW w:w="689" w:type="dxa"/>
            <w:vAlign w:val="top"/>
          </w:tcPr>
          <w:p>
            <w:pPr>
              <w:spacing w:before="84"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.4</w:t>
            </w:r>
          </w:p>
        </w:tc>
        <w:tc>
          <w:tcPr>
            <w:tcW w:w="690" w:type="dxa"/>
            <w:vAlign w:val="top"/>
          </w:tcPr>
          <w:p>
            <w:pPr>
              <w:spacing w:before="84"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9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39.9</w:t>
            </w:r>
          </w:p>
        </w:tc>
        <w:tc>
          <w:tcPr>
            <w:tcW w:w="689" w:type="dxa"/>
            <w:vAlign w:val="top"/>
          </w:tcPr>
          <w:p>
            <w:pPr>
              <w:spacing w:before="84"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9.5</w:t>
            </w:r>
          </w:p>
        </w:tc>
        <w:tc>
          <w:tcPr>
            <w:tcW w:w="688" w:type="dxa"/>
            <w:vAlign w:val="top"/>
          </w:tcPr>
          <w:p>
            <w:pPr>
              <w:spacing w:before="84"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0.5</w:t>
            </w:r>
          </w:p>
        </w:tc>
        <w:tc>
          <w:tcPr>
            <w:tcW w:w="690" w:type="dxa"/>
            <w:vAlign w:val="top"/>
          </w:tcPr>
          <w:p>
            <w:pPr>
              <w:spacing w:before="84"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0.2</w:t>
            </w:r>
          </w:p>
        </w:tc>
        <w:tc>
          <w:tcPr>
            <w:tcW w:w="689" w:type="dxa"/>
            <w:vAlign w:val="top"/>
          </w:tcPr>
          <w:p>
            <w:pPr>
              <w:spacing w:before="84"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9.5</w:t>
            </w:r>
          </w:p>
        </w:tc>
        <w:tc>
          <w:tcPr>
            <w:tcW w:w="689" w:type="dxa"/>
            <w:vAlign w:val="top"/>
          </w:tcPr>
          <w:p>
            <w:pPr>
              <w:spacing w:before="84"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4" w:type="dxa"/>
            <w:vAlign w:val="top"/>
          </w:tcPr>
          <w:p>
            <w:pPr>
              <w:spacing w:before="84"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50" w:line="197" w:lineRule="auto"/>
              <w:ind w:left="17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10F</w:t>
            </w:r>
          </w:p>
        </w:tc>
        <w:tc>
          <w:tcPr>
            <w:tcW w:w="675" w:type="dxa"/>
            <w:vMerge w:val="restart"/>
            <w:tcBorders>
              <w:bottom w:val="nil"/>
            </w:tcBorders>
            <w:vAlign w:val="top"/>
          </w:tcPr>
          <w:p>
            <w:pPr>
              <w:spacing w:before="250" w:line="197" w:lineRule="auto"/>
              <w:ind w:left="17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8.2</w:t>
            </w:r>
          </w:p>
        </w:tc>
        <w:tc>
          <w:tcPr>
            <w:tcW w:w="577" w:type="dxa"/>
            <w:vMerge w:val="restart"/>
            <w:tcBorders>
              <w:bottom w:val="nil"/>
            </w:tcBorders>
            <w:vAlign w:val="top"/>
          </w:tcPr>
          <w:p>
            <w:pPr>
              <w:spacing w:before="219"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4" w:line="227"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3"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40"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3"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5"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6.8</w:t>
            </w:r>
          </w:p>
        </w:tc>
        <w:tc>
          <w:tcPr>
            <w:tcW w:w="689" w:type="dxa"/>
            <w:vAlign w:val="top"/>
          </w:tcPr>
          <w:p>
            <w:pPr>
              <w:spacing w:before="84"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w:t>
            </w:r>
            <w:r>
              <w:rPr>
                <w:rFonts w:ascii="Times New Roman" w:hAnsi="Times New Roman" w:eastAsia="Times New Roman" w:cs="Times New Roman"/>
                <w:spacing w:val="2"/>
                <w:sz w:val="17"/>
                <w:szCs w:val="17"/>
              </w:rPr>
              <w:t>3</w:t>
            </w:r>
          </w:p>
        </w:tc>
        <w:tc>
          <w:tcPr>
            <w:tcW w:w="689" w:type="dxa"/>
            <w:vAlign w:val="top"/>
          </w:tcPr>
          <w:p>
            <w:pPr>
              <w:spacing w:before="85"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.3</w:t>
            </w:r>
          </w:p>
        </w:tc>
        <w:tc>
          <w:tcPr>
            <w:tcW w:w="690" w:type="dxa"/>
            <w:vAlign w:val="top"/>
          </w:tcPr>
          <w:p>
            <w:pPr>
              <w:spacing w:before="84"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5"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w:t>
            </w:r>
            <w:r>
              <w:rPr>
                <w:rFonts w:ascii="Times New Roman" w:hAnsi="Times New Roman" w:eastAsia="Times New Roman" w:cs="Times New Roman"/>
                <w:spacing w:val="-2"/>
                <w:sz w:val="17"/>
                <w:szCs w:val="17"/>
              </w:rPr>
              <w:t>8. 1</w:t>
            </w:r>
          </w:p>
        </w:tc>
        <w:tc>
          <w:tcPr>
            <w:tcW w:w="689" w:type="dxa"/>
            <w:vAlign w:val="top"/>
          </w:tcPr>
          <w:p>
            <w:pPr>
              <w:spacing w:before="84"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w:t>
            </w:r>
            <w:r>
              <w:rPr>
                <w:rFonts w:ascii="Times New Roman" w:hAnsi="Times New Roman" w:eastAsia="Times New Roman" w:cs="Times New Roman"/>
                <w:spacing w:val="2"/>
                <w:sz w:val="17"/>
                <w:szCs w:val="17"/>
              </w:rPr>
              <w:t>3</w:t>
            </w:r>
          </w:p>
        </w:tc>
        <w:tc>
          <w:tcPr>
            <w:tcW w:w="688" w:type="dxa"/>
            <w:vAlign w:val="top"/>
          </w:tcPr>
          <w:p>
            <w:pPr>
              <w:spacing w:before="85"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w:t>
            </w:r>
            <w:r>
              <w:rPr>
                <w:rFonts w:ascii="Times New Roman" w:hAnsi="Times New Roman" w:eastAsia="Times New Roman" w:cs="Times New Roman"/>
                <w:spacing w:val="1"/>
                <w:sz w:val="17"/>
                <w:szCs w:val="17"/>
              </w:rPr>
              <w:t>3</w:t>
            </w:r>
          </w:p>
        </w:tc>
        <w:tc>
          <w:tcPr>
            <w:tcW w:w="690" w:type="dxa"/>
            <w:vAlign w:val="top"/>
          </w:tcPr>
          <w:p>
            <w:pPr>
              <w:spacing w:before="84"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5"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8.5</w:t>
            </w:r>
          </w:p>
        </w:tc>
        <w:tc>
          <w:tcPr>
            <w:tcW w:w="689" w:type="dxa"/>
            <w:vAlign w:val="top"/>
          </w:tcPr>
          <w:p>
            <w:pPr>
              <w:spacing w:before="84"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9.4</w:t>
            </w:r>
          </w:p>
        </w:tc>
        <w:tc>
          <w:tcPr>
            <w:tcW w:w="689" w:type="dxa"/>
            <w:vAlign w:val="top"/>
          </w:tcPr>
          <w:p>
            <w:pPr>
              <w:spacing w:before="85"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.4</w:t>
            </w:r>
          </w:p>
        </w:tc>
        <w:tc>
          <w:tcPr>
            <w:tcW w:w="694" w:type="dxa"/>
            <w:vAlign w:val="top"/>
          </w:tcPr>
          <w:p>
            <w:pPr>
              <w:spacing w:before="84"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4" w:line="229"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5"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41" w:line="243"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5"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6"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3</w:t>
            </w:r>
            <w:r>
              <w:rPr>
                <w:rFonts w:ascii="Times New Roman" w:hAnsi="Times New Roman" w:eastAsia="Times New Roman" w:cs="Times New Roman"/>
                <w:spacing w:val="3"/>
                <w:sz w:val="17"/>
                <w:szCs w:val="17"/>
              </w:rPr>
              <w:t>8.5</w:t>
            </w:r>
          </w:p>
        </w:tc>
        <w:tc>
          <w:tcPr>
            <w:tcW w:w="689" w:type="dxa"/>
            <w:vAlign w:val="top"/>
          </w:tcPr>
          <w:p>
            <w:pPr>
              <w:spacing w:before="86"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9.4</w:t>
            </w:r>
          </w:p>
        </w:tc>
        <w:tc>
          <w:tcPr>
            <w:tcW w:w="689" w:type="dxa"/>
            <w:vAlign w:val="top"/>
          </w:tcPr>
          <w:p>
            <w:pPr>
              <w:spacing w:before="86"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.4</w:t>
            </w:r>
          </w:p>
        </w:tc>
        <w:tc>
          <w:tcPr>
            <w:tcW w:w="690" w:type="dxa"/>
            <w:vAlign w:val="top"/>
          </w:tcPr>
          <w:p>
            <w:pPr>
              <w:spacing w:before="86"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6" w:line="197" w:lineRule="auto"/>
              <w:ind w:left="19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39.7</w:t>
            </w:r>
          </w:p>
        </w:tc>
        <w:tc>
          <w:tcPr>
            <w:tcW w:w="689" w:type="dxa"/>
            <w:vAlign w:val="top"/>
          </w:tcPr>
          <w:p>
            <w:pPr>
              <w:spacing w:before="86"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9.5</w:t>
            </w:r>
          </w:p>
        </w:tc>
        <w:tc>
          <w:tcPr>
            <w:tcW w:w="688" w:type="dxa"/>
            <w:vAlign w:val="top"/>
          </w:tcPr>
          <w:p>
            <w:pPr>
              <w:spacing w:before="86"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0.5</w:t>
            </w:r>
          </w:p>
        </w:tc>
        <w:tc>
          <w:tcPr>
            <w:tcW w:w="690" w:type="dxa"/>
            <w:vAlign w:val="top"/>
          </w:tcPr>
          <w:p>
            <w:pPr>
              <w:spacing w:before="86"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6"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w:t>
            </w:r>
            <w:r>
              <w:rPr>
                <w:rFonts w:ascii="Times New Roman" w:hAnsi="Times New Roman" w:eastAsia="Times New Roman" w:cs="Times New Roman"/>
                <w:spacing w:val="-2"/>
                <w:sz w:val="17"/>
                <w:szCs w:val="17"/>
              </w:rPr>
              <w:t>0. 1</w:t>
            </w:r>
          </w:p>
        </w:tc>
        <w:tc>
          <w:tcPr>
            <w:tcW w:w="689" w:type="dxa"/>
            <w:vAlign w:val="top"/>
          </w:tcPr>
          <w:p>
            <w:pPr>
              <w:spacing w:before="86"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9.5</w:t>
            </w:r>
          </w:p>
        </w:tc>
        <w:tc>
          <w:tcPr>
            <w:tcW w:w="689" w:type="dxa"/>
            <w:vAlign w:val="top"/>
          </w:tcPr>
          <w:p>
            <w:pPr>
              <w:spacing w:before="86"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4" w:type="dxa"/>
            <w:vAlign w:val="top"/>
          </w:tcPr>
          <w:p>
            <w:pPr>
              <w:spacing w:before="86"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559" w:type="dxa"/>
            <w:vMerge w:val="continue"/>
            <w:tcBorders>
              <w:top w:val="nil"/>
            </w:tcBorders>
            <w:vAlign w:val="top"/>
          </w:tcPr>
          <w:p>
            <w:pPr>
              <w:rPr>
                <w:rFonts w:ascii="Arial"/>
                <w:sz w:val="21"/>
              </w:rPr>
            </w:pPr>
          </w:p>
        </w:tc>
        <w:tc>
          <w:tcPr>
            <w:tcW w:w="600" w:type="dxa"/>
            <w:vMerge w:val="continue"/>
            <w:tcBorders>
              <w:top w:val="nil"/>
            </w:tcBorders>
            <w:vAlign w:val="top"/>
          </w:tcPr>
          <w:p>
            <w:pPr>
              <w:rPr>
                <w:rFonts w:ascii="Arial"/>
                <w:sz w:val="21"/>
              </w:rPr>
            </w:pPr>
          </w:p>
        </w:tc>
        <w:tc>
          <w:tcPr>
            <w:tcW w:w="598" w:type="dxa"/>
            <w:vAlign w:val="top"/>
          </w:tcPr>
          <w:p>
            <w:pPr>
              <w:spacing w:before="105" w:line="197" w:lineRule="auto"/>
              <w:ind w:left="17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15F</w:t>
            </w:r>
          </w:p>
        </w:tc>
        <w:tc>
          <w:tcPr>
            <w:tcW w:w="675" w:type="dxa"/>
            <w:vAlign w:val="top"/>
          </w:tcPr>
          <w:p>
            <w:pPr>
              <w:spacing w:before="106" w:line="197" w:lineRule="auto"/>
              <w:ind w:left="17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3.2</w:t>
            </w:r>
          </w:p>
        </w:tc>
        <w:tc>
          <w:tcPr>
            <w:tcW w:w="577" w:type="dxa"/>
            <w:vAlign w:val="top"/>
          </w:tcPr>
          <w:p>
            <w:pPr>
              <w:spacing w:before="75" w:line="230"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5" w:line="230"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5"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42"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5"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4"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6.5</w:t>
            </w:r>
          </w:p>
        </w:tc>
        <w:tc>
          <w:tcPr>
            <w:tcW w:w="689" w:type="dxa"/>
            <w:vAlign w:val="top"/>
          </w:tcPr>
          <w:p>
            <w:pPr>
              <w:spacing w:before="84"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9.2</w:t>
            </w:r>
          </w:p>
        </w:tc>
        <w:tc>
          <w:tcPr>
            <w:tcW w:w="689" w:type="dxa"/>
            <w:vAlign w:val="top"/>
          </w:tcPr>
          <w:p>
            <w:pPr>
              <w:spacing w:before="84"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.2</w:t>
            </w:r>
          </w:p>
        </w:tc>
        <w:tc>
          <w:tcPr>
            <w:tcW w:w="690" w:type="dxa"/>
            <w:vAlign w:val="top"/>
          </w:tcPr>
          <w:p>
            <w:pPr>
              <w:spacing w:before="84"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7.9</w:t>
            </w:r>
          </w:p>
        </w:tc>
        <w:tc>
          <w:tcPr>
            <w:tcW w:w="689" w:type="dxa"/>
            <w:vAlign w:val="top"/>
          </w:tcPr>
          <w:p>
            <w:pPr>
              <w:spacing w:before="84"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w:t>
            </w:r>
            <w:r>
              <w:rPr>
                <w:rFonts w:ascii="Times New Roman" w:hAnsi="Times New Roman" w:eastAsia="Times New Roman" w:cs="Times New Roman"/>
                <w:spacing w:val="2"/>
                <w:sz w:val="17"/>
                <w:szCs w:val="17"/>
              </w:rPr>
              <w:t>3</w:t>
            </w:r>
          </w:p>
        </w:tc>
        <w:tc>
          <w:tcPr>
            <w:tcW w:w="688" w:type="dxa"/>
            <w:vAlign w:val="top"/>
          </w:tcPr>
          <w:p>
            <w:pPr>
              <w:spacing w:before="84"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w:t>
            </w:r>
            <w:r>
              <w:rPr>
                <w:rFonts w:ascii="Times New Roman" w:hAnsi="Times New Roman" w:eastAsia="Times New Roman" w:cs="Times New Roman"/>
                <w:spacing w:val="1"/>
                <w:sz w:val="17"/>
                <w:szCs w:val="17"/>
              </w:rPr>
              <w:t>3</w:t>
            </w:r>
          </w:p>
        </w:tc>
        <w:tc>
          <w:tcPr>
            <w:tcW w:w="690" w:type="dxa"/>
            <w:vAlign w:val="top"/>
          </w:tcPr>
          <w:p>
            <w:pPr>
              <w:spacing w:before="84" w:line="197" w:lineRule="auto"/>
              <w:ind w:left="304"/>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8.3</w:t>
            </w:r>
          </w:p>
        </w:tc>
        <w:tc>
          <w:tcPr>
            <w:tcW w:w="689" w:type="dxa"/>
            <w:vAlign w:val="top"/>
          </w:tcPr>
          <w:p>
            <w:pPr>
              <w:spacing w:before="84"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9.4</w:t>
            </w:r>
          </w:p>
        </w:tc>
        <w:tc>
          <w:tcPr>
            <w:tcW w:w="689" w:type="dxa"/>
            <w:vAlign w:val="top"/>
          </w:tcPr>
          <w:p>
            <w:pPr>
              <w:spacing w:before="84" w:line="197" w:lineRule="auto"/>
              <w:ind w:left="23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.4</w:t>
            </w:r>
          </w:p>
        </w:tc>
        <w:tc>
          <w:tcPr>
            <w:tcW w:w="694" w:type="dxa"/>
            <w:vAlign w:val="top"/>
          </w:tcPr>
          <w:p>
            <w:pPr>
              <w:spacing w:before="84"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bl>
    <w:p>
      <w:pPr>
        <w:rPr>
          <w:rFonts w:ascii="Arial"/>
          <w:sz w:val="21"/>
        </w:rPr>
      </w:pPr>
    </w:p>
    <w:p>
      <w:pPr>
        <w:sectPr>
          <w:footerReference r:id="rId134" w:type="default"/>
          <w:pgSz w:w="16839" w:h="11906"/>
          <w:pgMar w:top="400" w:right="1436" w:bottom="1027" w:left="1435" w:header="0" w:footer="840" w:gutter="0"/>
          <w:cols w:space="720" w:num="1"/>
        </w:sectPr>
      </w:pPr>
    </w:p>
    <w:p/>
    <w:p/>
    <w:p/>
    <w:p/>
    <w:p>
      <w:pPr>
        <w:spacing w:line="165" w:lineRule="exact"/>
      </w:pPr>
    </w:p>
    <w:tbl>
      <w:tblPr>
        <w:tblStyle w:val="4"/>
        <w:tblW w:w="139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
        <w:gridCol w:w="600"/>
        <w:gridCol w:w="598"/>
        <w:gridCol w:w="675"/>
        <w:gridCol w:w="577"/>
        <w:gridCol w:w="664"/>
        <w:gridCol w:w="664"/>
        <w:gridCol w:w="688"/>
        <w:gridCol w:w="664"/>
        <w:gridCol w:w="689"/>
        <w:gridCol w:w="689"/>
        <w:gridCol w:w="689"/>
        <w:gridCol w:w="690"/>
        <w:gridCol w:w="688"/>
        <w:gridCol w:w="689"/>
        <w:gridCol w:w="689"/>
        <w:gridCol w:w="690"/>
        <w:gridCol w:w="688"/>
        <w:gridCol w:w="689"/>
        <w:gridCol w:w="688"/>
        <w:gridCol w:w="6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559" w:type="dxa"/>
            <w:vMerge w:val="restart"/>
            <w:tcBorders>
              <w:bottom w:val="nil"/>
            </w:tcBorders>
            <w:vAlign w:val="top"/>
          </w:tcPr>
          <w:p>
            <w:pPr>
              <w:spacing w:line="441" w:lineRule="auto"/>
              <w:rPr>
                <w:rFonts w:ascii="Arial"/>
                <w:sz w:val="21"/>
              </w:rPr>
            </w:pPr>
          </w:p>
          <w:p>
            <w:pPr>
              <w:spacing w:before="55" w:line="234" w:lineRule="auto"/>
              <w:ind w:left="102"/>
              <w:rPr>
                <w:rFonts w:ascii="黑体" w:hAnsi="黑体" w:eastAsia="黑体" w:cs="黑体"/>
                <w:sz w:val="17"/>
                <w:szCs w:val="17"/>
              </w:rPr>
            </w:pPr>
            <w:r>
              <w:rPr>
                <w:rFonts w:ascii="黑体" w:hAnsi="黑体" w:eastAsia="黑体" w:cs="黑体"/>
                <w:spacing w:val="6"/>
                <w:sz w:val="17"/>
                <w:szCs w:val="17"/>
                <w14:textOutline w14:w="3268" w14:cap="sq" w14:cmpd="sng">
                  <w14:solidFill>
                    <w14:srgbClr w14:val="000000"/>
                  </w14:solidFill>
                  <w14:prstDash w14:val="solid"/>
                  <w14:bevel/>
                </w14:textOutline>
              </w:rPr>
              <w:t>序号</w:t>
            </w:r>
          </w:p>
        </w:tc>
        <w:tc>
          <w:tcPr>
            <w:tcW w:w="1198" w:type="dxa"/>
            <w:gridSpan w:val="2"/>
            <w:vMerge w:val="restart"/>
            <w:tcBorders>
              <w:bottom w:val="nil"/>
            </w:tcBorders>
            <w:vAlign w:val="top"/>
          </w:tcPr>
          <w:p>
            <w:pPr>
              <w:spacing w:line="302" w:lineRule="auto"/>
              <w:rPr>
                <w:rFonts w:ascii="Arial"/>
                <w:sz w:val="21"/>
              </w:rPr>
            </w:pPr>
          </w:p>
          <w:p>
            <w:pPr>
              <w:spacing w:before="55" w:line="317" w:lineRule="auto"/>
              <w:ind w:left="326" w:right="57" w:hanging="267"/>
              <w:rPr>
                <w:rFonts w:ascii="黑体" w:hAnsi="黑体" w:eastAsia="黑体" w:cs="黑体"/>
                <w:sz w:val="17"/>
                <w:szCs w:val="17"/>
              </w:rPr>
            </w:pPr>
            <w:r>
              <w:rPr>
                <w:rFonts w:ascii="黑体" w:hAnsi="黑体" w:eastAsia="黑体" w:cs="黑体"/>
                <w:spacing w:val="10"/>
                <w:sz w:val="17"/>
                <w:szCs w:val="17"/>
                <w14:textOutline w14:w="3268" w14:cap="sq" w14:cmpd="sng">
                  <w14:solidFill>
                    <w14:srgbClr w14:val="000000"/>
                  </w14:solidFill>
                  <w14:prstDash w14:val="solid"/>
                  <w14:bevel/>
                </w14:textOutline>
              </w:rPr>
              <w:t>声</w:t>
            </w:r>
            <w:r>
              <w:rPr>
                <w:rFonts w:ascii="黑体" w:hAnsi="黑体" w:eastAsia="黑体" w:cs="黑体"/>
                <w:spacing w:val="9"/>
                <w:sz w:val="17"/>
                <w:szCs w:val="17"/>
                <w14:textOutline w14:w="3268" w14:cap="sq" w14:cmpd="sng">
                  <w14:solidFill>
                    <w14:srgbClr w14:val="000000"/>
                  </w14:solidFill>
                  <w14:prstDash w14:val="solid"/>
                  <w14:bevel/>
                </w14:textOutline>
              </w:rPr>
              <w:t>环境保护目</w:t>
            </w:r>
            <w:r>
              <w:rPr>
                <w:rFonts w:ascii="黑体" w:hAnsi="黑体" w:eastAsia="黑体" w:cs="黑体"/>
                <w:sz w:val="17"/>
                <w:szCs w:val="17"/>
              </w:rPr>
              <w:t xml:space="preserve"> </w:t>
            </w:r>
            <w:r>
              <w:rPr>
                <w:rFonts w:ascii="黑体" w:hAnsi="黑体" w:eastAsia="黑体" w:cs="黑体"/>
                <w:spacing w:val="10"/>
                <w:sz w:val="17"/>
                <w:szCs w:val="17"/>
                <w14:textOutline w14:w="3268" w14:cap="sq" w14:cmpd="sng">
                  <w14:solidFill>
                    <w14:srgbClr w14:val="000000"/>
                  </w14:solidFill>
                  <w14:prstDash w14:val="solid"/>
                  <w14:bevel/>
                </w14:textOutline>
              </w:rPr>
              <w:t>标</w:t>
            </w:r>
            <w:r>
              <w:rPr>
                <w:rFonts w:ascii="黑体" w:hAnsi="黑体" w:eastAsia="黑体" w:cs="黑体"/>
                <w:spacing w:val="9"/>
                <w:sz w:val="17"/>
                <w:szCs w:val="17"/>
                <w14:textOutline w14:w="3268" w14:cap="sq" w14:cmpd="sng">
                  <w14:solidFill>
                    <w14:srgbClr w14:val="000000"/>
                  </w14:solidFill>
                  <w14:prstDash w14:val="solid"/>
                  <w14:bevel/>
                </w14:textOutline>
              </w:rPr>
              <w:t>名称</w:t>
            </w:r>
          </w:p>
        </w:tc>
        <w:tc>
          <w:tcPr>
            <w:tcW w:w="675" w:type="dxa"/>
            <w:vMerge w:val="restart"/>
            <w:tcBorders>
              <w:bottom w:val="nil"/>
            </w:tcBorders>
            <w:vAlign w:val="top"/>
          </w:tcPr>
          <w:p>
            <w:pPr>
              <w:spacing w:before="221" w:line="317" w:lineRule="auto"/>
              <w:ind w:left="64" w:right="54" w:firstLine="7"/>
              <w:rPr>
                <w:rFonts w:ascii="Times New Roman" w:hAnsi="Times New Roman" w:eastAsia="Times New Roman" w:cs="Times New Roman"/>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预</w:t>
            </w:r>
            <w:r>
              <w:rPr>
                <w:rFonts w:ascii="黑体" w:hAnsi="黑体" w:eastAsia="黑体" w:cs="黑体"/>
                <w:spacing w:val="7"/>
                <w:sz w:val="17"/>
                <w:szCs w:val="17"/>
                <w14:textOutline w14:w="3268" w14:cap="sq" w14:cmpd="sng">
                  <w14:solidFill>
                    <w14:srgbClr w14:val="000000"/>
                  </w14:solidFill>
                  <w14:prstDash w14:val="solid"/>
                  <w14:bevel/>
                </w14:textOutline>
              </w:rPr>
              <w:t>测点</w:t>
            </w:r>
            <w:r>
              <w:rPr>
                <w:rFonts w:ascii="黑体" w:hAnsi="黑体" w:eastAsia="黑体" w:cs="黑体"/>
                <w:sz w:val="17"/>
                <w:szCs w:val="17"/>
              </w:rPr>
              <w:t xml:space="preserve"> </w:t>
            </w:r>
            <w:r>
              <w:rPr>
                <w:rFonts w:ascii="黑体" w:hAnsi="黑体" w:eastAsia="黑体" w:cs="黑体"/>
                <w:spacing w:val="10"/>
                <w:sz w:val="17"/>
                <w:szCs w:val="17"/>
                <w14:textOutline w14:w="3268" w14:cap="sq" w14:cmpd="sng">
                  <w14:solidFill>
                    <w14:srgbClr w14:val="000000"/>
                  </w14:solidFill>
                  <w14:prstDash w14:val="solid"/>
                  <w14:bevel/>
                </w14:textOutline>
              </w:rPr>
              <w:t>与声源</w:t>
            </w:r>
            <w:r>
              <w:rPr>
                <w:rFonts w:ascii="黑体" w:hAnsi="黑体" w:eastAsia="黑体" w:cs="黑体"/>
                <w:sz w:val="17"/>
                <w:szCs w:val="17"/>
              </w:rPr>
              <w:t xml:space="preserve"> </w:t>
            </w:r>
            <w:r>
              <w:rPr>
                <w:rFonts w:ascii="黑体" w:hAnsi="黑体" w:eastAsia="黑体" w:cs="黑体"/>
                <w:spacing w:val="8"/>
                <w:sz w:val="17"/>
                <w:szCs w:val="17"/>
                <w14:textOutline w14:w="3268" w14:cap="sq" w14:cmpd="sng">
                  <w14:solidFill>
                    <w14:srgbClr w14:val="000000"/>
                  </w14:solidFill>
                  <w14:prstDash w14:val="solid"/>
                  <w14:bevel/>
                </w14:textOutline>
              </w:rPr>
              <w:t>高</w:t>
            </w:r>
            <w:r>
              <w:rPr>
                <w:rFonts w:ascii="黑体" w:hAnsi="黑体" w:eastAsia="黑体" w:cs="黑体"/>
                <w:spacing w:val="7"/>
                <w:sz w:val="17"/>
                <w:szCs w:val="17"/>
                <w14:textOutline w14:w="3268" w14:cap="sq" w14:cmpd="sng">
                  <w14:solidFill>
                    <w14:srgbClr w14:val="000000"/>
                  </w14:solidFill>
                  <w14:prstDash w14:val="solid"/>
                  <w14:bevel/>
                </w14:textOutline>
              </w:rPr>
              <w:t>差</w:t>
            </w:r>
            <w:r>
              <w:rPr>
                <w:rFonts w:ascii="Times New Roman" w:hAnsi="Times New Roman" w:eastAsia="Times New Roman" w:cs="Times New Roman"/>
                <w:b/>
                <w:bCs/>
                <w:spacing w:val="7"/>
                <w:sz w:val="17"/>
                <w:szCs w:val="17"/>
              </w:rPr>
              <w:t>/</w:t>
            </w:r>
            <w:r>
              <w:rPr>
                <w:rFonts w:ascii="Times New Roman" w:hAnsi="Times New Roman" w:eastAsia="Times New Roman" w:cs="Times New Roman"/>
                <w:b/>
                <w:bCs/>
                <w:sz w:val="17"/>
                <w:szCs w:val="17"/>
              </w:rPr>
              <w:t>m</w:t>
            </w:r>
          </w:p>
        </w:tc>
        <w:tc>
          <w:tcPr>
            <w:tcW w:w="577" w:type="dxa"/>
            <w:vMerge w:val="restart"/>
            <w:tcBorders>
              <w:bottom w:val="nil"/>
            </w:tcBorders>
            <w:vAlign w:val="top"/>
          </w:tcPr>
          <w:p>
            <w:pPr>
              <w:spacing w:line="303" w:lineRule="auto"/>
              <w:rPr>
                <w:rFonts w:ascii="Arial"/>
                <w:sz w:val="21"/>
              </w:rPr>
            </w:pPr>
          </w:p>
          <w:p>
            <w:pPr>
              <w:spacing w:before="55" w:line="316" w:lineRule="auto"/>
              <w:ind w:left="117" w:right="16" w:hanging="96"/>
              <w:rPr>
                <w:rFonts w:ascii="黑体" w:hAnsi="黑体" w:eastAsia="黑体" w:cs="黑体"/>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功能</w:t>
            </w:r>
            <w:r>
              <w:rPr>
                <w:rFonts w:ascii="黑体" w:hAnsi="黑体" w:eastAsia="黑体" w:cs="黑体"/>
                <w:spacing w:val="7"/>
                <w:sz w:val="17"/>
                <w:szCs w:val="17"/>
                <w14:textOutline w14:w="3268" w14:cap="sq" w14:cmpd="sng">
                  <w14:solidFill>
                    <w14:srgbClr w14:val="000000"/>
                  </w14:solidFill>
                  <w14:prstDash w14:val="solid"/>
                  <w14:bevel/>
                </w14:textOutline>
              </w:rPr>
              <w:t>区</w:t>
            </w:r>
            <w:r>
              <w:rPr>
                <w:rFonts w:ascii="黑体" w:hAnsi="黑体" w:eastAsia="黑体" w:cs="黑体"/>
                <w:sz w:val="17"/>
                <w:szCs w:val="17"/>
              </w:rPr>
              <w:t xml:space="preserve"> </w:t>
            </w:r>
            <w:r>
              <w:rPr>
                <w:rFonts w:ascii="黑体" w:hAnsi="黑体" w:eastAsia="黑体" w:cs="黑体"/>
                <w:spacing w:val="3"/>
                <w:sz w:val="17"/>
                <w:szCs w:val="17"/>
                <w14:textOutline w14:w="3268" w14:cap="sq" w14:cmpd="sng">
                  <w14:solidFill>
                    <w14:srgbClr w14:val="000000"/>
                  </w14:solidFill>
                  <w14:prstDash w14:val="solid"/>
                  <w14:bevel/>
                </w14:textOutline>
              </w:rPr>
              <w:t>类别</w:t>
            </w:r>
          </w:p>
        </w:tc>
        <w:tc>
          <w:tcPr>
            <w:tcW w:w="664" w:type="dxa"/>
            <w:vMerge w:val="restart"/>
            <w:tcBorders>
              <w:bottom w:val="nil"/>
            </w:tcBorders>
            <w:vAlign w:val="top"/>
          </w:tcPr>
          <w:p>
            <w:pPr>
              <w:spacing w:line="441" w:lineRule="auto"/>
              <w:rPr>
                <w:rFonts w:ascii="Arial"/>
                <w:sz w:val="21"/>
              </w:rPr>
            </w:pPr>
          </w:p>
          <w:p>
            <w:pPr>
              <w:spacing w:before="55" w:line="233" w:lineRule="auto"/>
              <w:ind w:left="160"/>
              <w:rPr>
                <w:rFonts w:ascii="黑体" w:hAnsi="黑体" w:eastAsia="黑体" w:cs="黑体"/>
                <w:sz w:val="17"/>
                <w:szCs w:val="17"/>
              </w:rPr>
            </w:pPr>
            <w:r>
              <w:rPr>
                <w:rFonts w:ascii="黑体" w:hAnsi="黑体" w:eastAsia="黑体" w:cs="黑体"/>
                <w:spacing w:val="3"/>
                <w:sz w:val="17"/>
                <w:szCs w:val="17"/>
                <w14:textOutline w14:w="3268" w14:cap="sq" w14:cmpd="sng">
                  <w14:solidFill>
                    <w14:srgbClr w14:val="000000"/>
                  </w14:solidFill>
                  <w14:prstDash w14:val="solid"/>
                  <w14:bevel/>
                </w14:textOutline>
              </w:rPr>
              <w:t>时段</w:t>
            </w:r>
          </w:p>
        </w:tc>
        <w:tc>
          <w:tcPr>
            <w:tcW w:w="664" w:type="dxa"/>
            <w:vMerge w:val="restart"/>
            <w:tcBorders>
              <w:bottom w:val="nil"/>
            </w:tcBorders>
            <w:vAlign w:val="top"/>
          </w:tcPr>
          <w:p>
            <w:pPr>
              <w:spacing w:line="303" w:lineRule="auto"/>
              <w:rPr>
                <w:rFonts w:ascii="Arial"/>
                <w:sz w:val="21"/>
              </w:rPr>
            </w:pPr>
          </w:p>
          <w:p>
            <w:pPr>
              <w:spacing w:before="55" w:line="316" w:lineRule="auto"/>
              <w:ind w:left="67" w:right="60" w:hanging="8"/>
              <w:rPr>
                <w:rFonts w:ascii="Times New Roman" w:hAnsi="Times New Roman" w:eastAsia="Times New Roman" w:cs="Times New Roman"/>
                <w:sz w:val="17"/>
                <w:szCs w:val="17"/>
              </w:rPr>
            </w:pPr>
            <w:r>
              <w:rPr>
                <w:rFonts w:ascii="黑体" w:hAnsi="黑体" w:eastAsia="黑体" w:cs="黑体"/>
                <w:spacing w:val="10"/>
                <w:sz w:val="17"/>
                <w:szCs w:val="17"/>
                <w14:textOutline w14:w="3268" w14:cap="sq" w14:cmpd="sng">
                  <w14:solidFill>
                    <w14:srgbClr w14:val="000000"/>
                  </w14:solidFill>
                  <w14:prstDash w14:val="solid"/>
                  <w14:bevel/>
                </w14:textOutline>
              </w:rPr>
              <w:t>标</w:t>
            </w:r>
            <w:r>
              <w:rPr>
                <w:rFonts w:ascii="黑体" w:hAnsi="黑体" w:eastAsia="黑体" w:cs="黑体"/>
                <w:spacing w:val="9"/>
                <w:sz w:val="17"/>
                <w:szCs w:val="17"/>
                <w14:textOutline w14:w="3268" w14:cap="sq" w14:cmpd="sng">
                  <w14:solidFill>
                    <w14:srgbClr w14:val="000000"/>
                  </w14:solidFill>
                  <w14:prstDash w14:val="solid"/>
                  <w14:bevel/>
                </w14:textOutline>
              </w:rPr>
              <w:t>准值</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8" w:type="dxa"/>
            <w:vMerge w:val="restart"/>
            <w:tcBorders>
              <w:bottom w:val="nil"/>
            </w:tcBorders>
            <w:vAlign w:val="top"/>
          </w:tcPr>
          <w:p>
            <w:pPr>
              <w:spacing w:line="303" w:lineRule="auto"/>
              <w:rPr>
                <w:rFonts w:ascii="Arial"/>
                <w:sz w:val="21"/>
              </w:rPr>
            </w:pPr>
          </w:p>
          <w:p>
            <w:pPr>
              <w:spacing w:before="55" w:line="316" w:lineRule="auto"/>
              <w:ind w:left="78" w:right="71" w:hanging="1"/>
              <w:rPr>
                <w:rFonts w:ascii="Times New Roman" w:hAnsi="Times New Roman" w:eastAsia="Times New Roman" w:cs="Times New Roman"/>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背景</w:t>
            </w:r>
            <w:r>
              <w:rPr>
                <w:rFonts w:ascii="黑体" w:hAnsi="黑体" w:eastAsia="黑体" w:cs="黑体"/>
                <w:spacing w:val="7"/>
                <w:sz w:val="17"/>
                <w:szCs w:val="17"/>
                <w14:textOutline w14:w="3268" w14:cap="sq" w14:cmpd="sng">
                  <w14:solidFill>
                    <w14:srgbClr w14:val="000000"/>
                  </w14:solidFill>
                  <w14:prstDash w14:val="solid"/>
                  <w14:bevel/>
                </w14:textOutline>
              </w:rPr>
              <w:t>值</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64" w:type="dxa"/>
            <w:vMerge w:val="restart"/>
            <w:tcBorders>
              <w:bottom w:val="nil"/>
            </w:tcBorders>
            <w:vAlign w:val="top"/>
          </w:tcPr>
          <w:p>
            <w:pPr>
              <w:spacing w:line="303" w:lineRule="auto"/>
              <w:rPr>
                <w:rFonts w:ascii="Arial"/>
                <w:sz w:val="21"/>
              </w:rPr>
            </w:pPr>
          </w:p>
          <w:p>
            <w:pPr>
              <w:spacing w:before="55" w:line="316" w:lineRule="auto"/>
              <w:ind w:left="67" w:right="58" w:hanging="2"/>
              <w:rPr>
                <w:rFonts w:ascii="Times New Roman" w:hAnsi="Times New Roman" w:eastAsia="Times New Roman" w:cs="Times New Roman"/>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现</w:t>
            </w:r>
            <w:r>
              <w:rPr>
                <w:rFonts w:ascii="黑体" w:hAnsi="黑体" w:eastAsia="黑体" w:cs="黑体"/>
                <w:spacing w:val="8"/>
                <w:sz w:val="17"/>
                <w:szCs w:val="17"/>
                <w14:textOutline w14:w="3268" w14:cap="sq" w14:cmpd="sng">
                  <w14:solidFill>
                    <w14:srgbClr w14:val="000000"/>
                  </w14:solidFill>
                  <w14:prstDash w14:val="solid"/>
                  <w14:bevel/>
                </w14:textOutline>
              </w:rPr>
              <w:t>状值</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2757" w:type="dxa"/>
            <w:gridSpan w:val="4"/>
            <w:vAlign w:val="top"/>
          </w:tcPr>
          <w:p>
            <w:pPr>
              <w:spacing w:before="74" w:line="233" w:lineRule="auto"/>
              <w:ind w:left="1023"/>
              <w:rPr>
                <w:rFonts w:ascii="黑体" w:hAnsi="黑体" w:eastAsia="黑体" w:cs="黑体"/>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运</w:t>
            </w:r>
            <w:r>
              <w:rPr>
                <w:rFonts w:ascii="黑体" w:hAnsi="黑体" w:eastAsia="黑体" w:cs="黑体"/>
                <w:spacing w:val="8"/>
                <w:sz w:val="17"/>
                <w:szCs w:val="17"/>
                <w14:textOutline w14:w="3268" w14:cap="sq" w14:cmpd="sng">
                  <w14:solidFill>
                    <w14:srgbClr w14:val="000000"/>
                  </w14:solidFill>
                  <w14:prstDash w14:val="solid"/>
                  <w14:bevel/>
                </w14:textOutline>
              </w:rPr>
              <w:t>营近期</w:t>
            </w:r>
          </w:p>
        </w:tc>
        <w:tc>
          <w:tcPr>
            <w:tcW w:w="2756" w:type="dxa"/>
            <w:gridSpan w:val="4"/>
            <w:vAlign w:val="top"/>
          </w:tcPr>
          <w:p>
            <w:pPr>
              <w:spacing w:before="74" w:line="233" w:lineRule="auto"/>
              <w:ind w:left="1023"/>
              <w:rPr>
                <w:rFonts w:ascii="黑体" w:hAnsi="黑体" w:eastAsia="黑体" w:cs="黑体"/>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运</w:t>
            </w:r>
            <w:r>
              <w:rPr>
                <w:rFonts w:ascii="黑体" w:hAnsi="黑体" w:eastAsia="黑体" w:cs="黑体"/>
                <w:spacing w:val="8"/>
                <w:sz w:val="17"/>
                <w:szCs w:val="17"/>
                <w14:textOutline w14:w="3268" w14:cap="sq" w14:cmpd="sng">
                  <w14:solidFill>
                    <w14:srgbClr w14:val="000000"/>
                  </w14:solidFill>
                  <w14:prstDash w14:val="solid"/>
                  <w14:bevel/>
                </w14:textOutline>
              </w:rPr>
              <w:t>营中期</w:t>
            </w:r>
          </w:p>
        </w:tc>
        <w:tc>
          <w:tcPr>
            <w:tcW w:w="2759" w:type="dxa"/>
            <w:gridSpan w:val="4"/>
            <w:vAlign w:val="top"/>
          </w:tcPr>
          <w:p>
            <w:pPr>
              <w:spacing w:before="74" w:line="233" w:lineRule="auto"/>
              <w:ind w:left="1022"/>
              <w:rPr>
                <w:rFonts w:ascii="黑体" w:hAnsi="黑体" w:eastAsia="黑体" w:cs="黑体"/>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运</w:t>
            </w:r>
            <w:r>
              <w:rPr>
                <w:rFonts w:ascii="黑体" w:hAnsi="黑体" w:eastAsia="黑体" w:cs="黑体"/>
                <w:spacing w:val="8"/>
                <w:sz w:val="17"/>
                <w:szCs w:val="17"/>
                <w14:textOutline w14:w="3268" w14:cap="sq" w14:cmpd="sng">
                  <w14:solidFill>
                    <w14:srgbClr w14:val="000000"/>
                  </w14:solidFill>
                  <w14:prstDash w14:val="solid"/>
                  <w14:bevel/>
                </w14:textOutline>
              </w:rPr>
              <w:t>营远期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559" w:type="dxa"/>
            <w:vMerge w:val="continue"/>
            <w:tcBorders>
              <w:top w:val="nil"/>
            </w:tcBorders>
            <w:vAlign w:val="top"/>
          </w:tcPr>
          <w:p>
            <w:pPr>
              <w:rPr>
                <w:rFonts w:ascii="Arial"/>
                <w:sz w:val="21"/>
              </w:rPr>
            </w:pPr>
          </w:p>
        </w:tc>
        <w:tc>
          <w:tcPr>
            <w:tcW w:w="1198" w:type="dxa"/>
            <w:gridSpan w:val="2"/>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Merge w:val="continue"/>
            <w:tcBorders>
              <w:top w:val="nil"/>
            </w:tcBorders>
            <w:vAlign w:val="top"/>
          </w:tcPr>
          <w:p>
            <w:pPr>
              <w:rPr>
                <w:rFonts w:ascii="Arial"/>
                <w:sz w:val="21"/>
              </w:rPr>
            </w:pPr>
          </w:p>
        </w:tc>
        <w:tc>
          <w:tcPr>
            <w:tcW w:w="664" w:type="dxa"/>
            <w:vMerge w:val="continue"/>
            <w:tcBorders>
              <w:top w:val="nil"/>
            </w:tcBorders>
            <w:vAlign w:val="top"/>
          </w:tcPr>
          <w:p>
            <w:pPr>
              <w:rPr>
                <w:rFonts w:ascii="Arial"/>
                <w:sz w:val="21"/>
              </w:rPr>
            </w:pPr>
          </w:p>
        </w:tc>
        <w:tc>
          <w:tcPr>
            <w:tcW w:w="688" w:type="dxa"/>
            <w:vMerge w:val="continue"/>
            <w:tcBorders>
              <w:top w:val="nil"/>
            </w:tcBorders>
            <w:vAlign w:val="top"/>
          </w:tcPr>
          <w:p>
            <w:pPr>
              <w:rPr>
                <w:rFonts w:ascii="Arial"/>
                <w:sz w:val="21"/>
              </w:rPr>
            </w:pPr>
          </w:p>
        </w:tc>
        <w:tc>
          <w:tcPr>
            <w:tcW w:w="664" w:type="dxa"/>
            <w:vMerge w:val="continue"/>
            <w:tcBorders>
              <w:top w:val="nil"/>
            </w:tcBorders>
            <w:vAlign w:val="top"/>
          </w:tcPr>
          <w:p>
            <w:pPr>
              <w:rPr>
                <w:rFonts w:ascii="Arial"/>
                <w:sz w:val="21"/>
              </w:rPr>
            </w:pPr>
          </w:p>
        </w:tc>
        <w:tc>
          <w:tcPr>
            <w:tcW w:w="689" w:type="dxa"/>
            <w:vAlign w:val="top"/>
          </w:tcPr>
          <w:p>
            <w:pPr>
              <w:spacing w:before="213" w:line="316" w:lineRule="auto"/>
              <w:ind w:left="113" w:right="73" w:hanging="33"/>
              <w:rPr>
                <w:rFonts w:ascii="Times New Roman" w:hAnsi="Times New Roman" w:eastAsia="Times New Roman" w:cs="Times New Roman"/>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贡</w:t>
            </w:r>
            <w:r>
              <w:rPr>
                <w:rFonts w:ascii="黑体" w:hAnsi="黑体" w:eastAsia="黑体" w:cs="黑体"/>
                <w:spacing w:val="6"/>
                <w:sz w:val="17"/>
                <w:szCs w:val="17"/>
                <w14:textOutline w14:w="3268" w14:cap="sq" w14:cmpd="sng">
                  <w14:solidFill>
                    <w14:srgbClr w14:val="000000"/>
                  </w14:solidFill>
                  <w14:prstDash w14:val="solid"/>
                  <w14:bevel/>
                </w14:textOutline>
              </w:rPr>
              <w:t>献值</w:t>
            </w:r>
            <w:r>
              <w:rPr>
                <w:rFonts w:ascii="黑体" w:hAnsi="黑体" w:eastAsia="黑体" w:cs="黑体"/>
                <w:sz w:val="17"/>
                <w:szCs w:val="17"/>
              </w:rPr>
              <w:t xml:space="preserve"> </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10"/>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9" w:type="dxa"/>
            <w:vAlign w:val="top"/>
          </w:tcPr>
          <w:p>
            <w:pPr>
              <w:spacing w:before="213" w:line="316" w:lineRule="auto"/>
              <w:ind w:left="113" w:right="73" w:hanging="33"/>
              <w:rPr>
                <w:rFonts w:ascii="Times New Roman" w:hAnsi="Times New Roman" w:eastAsia="Times New Roman" w:cs="Times New Roman"/>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预</w:t>
            </w:r>
            <w:r>
              <w:rPr>
                <w:rFonts w:ascii="黑体" w:hAnsi="黑体" w:eastAsia="黑体" w:cs="黑体"/>
                <w:spacing w:val="6"/>
                <w:sz w:val="17"/>
                <w:szCs w:val="17"/>
                <w14:textOutline w14:w="3268" w14:cap="sq" w14:cmpd="sng">
                  <w14:solidFill>
                    <w14:srgbClr w14:val="000000"/>
                  </w14:solidFill>
                  <w14:prstDash w14:val="solid"/>
                  <w14:bevel/>
                </w14:textOutline>
              </w:rPr>
              <w:t>测值</w:t>
            </w:r>
            <w:r>
              <w:rPr>
                <w:rFonts w:ascii="黑体" w:hAnsi="黑体" w:eastAsia="黑体" w:cs="黑体"/>
                <w:sz w:val="17"/>
                <w:szCs w:val="17"/>
              </w:rPr>
              <w:t xml:space="preserve"> </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10"/>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9" w:type="dxa"/>
            <w:vAlign w:val="top"/>
          </w:tcPr>
          <w:p>
            <w:pPr>
              <w:spacing w:before="70" w:line="233" w:lineRule="auto"/>
              <w:ind w:left="75"/>
              <w:rPr>
                <w:rFonts w:ascii="黑体" w:hAnsi="黑体" w:eastAsia="黑体" w:cs="黑体"/>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较现</w:t>
            </w:r>
            <w:r>
              <w:rPr>
                <w:rFonts w:ascii="黑体" w:hAnsi="黑体" w:eastAsia="黑体" w:cs="黑体"/>
                <w:spacing w:val="8"/>
                <w:sz w:val="17"/>
                <w:szCs w:val="17"/>
                <w14:textOutline w14:w="3268" w14:cap="sq" w14:cmpd="sng">
                  <w14:solidFill>
                    <w14:srgbClr w14:val="000000"/>
                  </w14:solidFill>
                  <w14:prstDash w14:val="solid"/>
                  <w14:bevel/>
                </w14:textOutline>
              </w:rPr>
              <w:t>状</w:t>
            </w:r>
          </w:p>
          <w:p>
            <w:pPr>
              <w:spacing w:before="66" w:line="234" w:lineRule="auto"/>
              <w:ind w:left="167"/>
              <w:rPr>
                <w:rFonts w:ascii="黑体" w:hAnsi="黑体" w:eastAsia="黑体" w:cs="黑体"/>
                <w:sz w:val="17"/>
                <w:szCs w:val="17"/>
              </w:rPr>
            </w:pPr>
            <w:r>
              <w:rPr>
                <w:rFonts w:ascii="黑体" w:hAnsi="黑体" w:eastAsia="黑体" w:cs="黑体"/>
                <w:spacing w:val="7"/>
                <w:sz w:val="17"/>
                <w:szCs w:val="17"/>
                <w14:textOutline w14:w="3268" w14:cap="sq" w14:cmpd="sng">
                  <w14:solidFill>
                    <w14:srgbClr w14:val="000000"/>
                  </w14:solidFill>
                  <w14:prstDash w14:val="solid"/>
                  <w14:bevel/>
                </w14:textOutline>
              </w:rPr>
              <w:t>增量</w:t>
            </w:r>
          </w:p>
          <w:p>
            <w:pPr>
              <w:spacing w:before="27" w:line="249" w:lineRule="exact"/>
              <w:ind w:left="80"/>
              <w:rPr>
                <w:rFonts w:ascii="Times New Roman" w:hAnsi="Times New Roman" w:eastAsia="Times New Roman" w:cs="Times New Roman"/>
                <w:sz w:val="17"/>
                <w:szCs w:val="17"/>
              </w:rPr>
            </w:pPr>
            <w:r>
              <w:rPr>
                <w:rFonts w:ascii="Times New Roman" w:hAnsi="Times New Roman" w:eastAsia="Times New Roman" w:cs="Times New Roman"/>
                <w:b/>
                <w:bCs/>
                <w:spacing w:val="11"/>
                <w:position w:val="3"/>
                <w:sz w:val="17"/>
                <w:szCs w:val="17"/>
              </w:rPr>
              <w:t>/</w:t>
            </w:r>
            <w:r>
              <w:rPr>
                <w:rFonts w:ascii="Times New Roman" w:hAnsi="Times New Roman" w:eastAsia="Times New Roman" w:cs="Times New Roman"/>
                <w:b/>
                <w:bCs/>
                <w:position w:val="3"/>
                <w:sz w:val="17"/>
                <w:szCs w:val="17"/>
              </w:rPr>
              <w:t>dB</w:t>
            </w:r>
            <w:r>
              <w:rPr>
                <w:rFonts w:ascii="Times New Roman" w:hAnsi="Times New Roman" w:eastAsia="Times New Roman" w:cs="Times New Roman"/>
                <w:b/>
                <w:bCs/>
                <w:spacing w:val="9"/>
                <w:position w:val="3"/>
                <w:sz w:val="17"/>
                <w:szCs w:val="17"/>
              </w:rPr>
              <w:t>(</w:t>
            </w:r>
            <w:r>
              <w:rPr>
                <w:rFonts w:ascii="Times New Roman" w:hAnsi="Times New Roman" w:eastAsia="Times New Roman" w:cs="Times New Roman"/>
                <w:b/>
                <w:bCs/>
                <w:position w:val="3"/>
                <w:sz w:val="17"/>
                <w:szCs w:val="17"/>
              </w:rPr>
              <w:t>A</w:t>
            </w:r>
            <w:r>
              <w:rPr>
                <w:rFonts w:ascii="Times New Roman" w:hAnsi="Times New Roman" w:eastAsia="Times New Roman" w:cs="Times New Roman"/>
                <w:b/>
                <w:bCs/>
                <w:spacing w:val="9"/>
                <w:position w:val="3"/>
                <w:sz w:val="17"/>
                <w:szCs w:val="17"/>
              </w:rPr>
              <w:t>)</w:t>
            </w:r>
          </w:p>
        </w:tc>
        <w:tc>
          <w:tcPr>
            <w:tcW w:w="690" w:type="dxa"/>
            <w:vAlign w:val="top"/>
          </w:tcPr>
          <w:p>
            <w:pPr>
              <w:spacing w:before="213" w:line="316" w:lineRule="auto"/>
              <w:ind w:left="81" w:right="72" w:hanging="6"/>
              <w:rPr>
                <w:rFonts w:ascii="Times New Roman" w:hAnsi="Times New Roman" w:eastAsia="Times New Roman" w:cs="Times New Roman"/>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超标</w:t>
            </w:r>
            <w:r>
              <w:rPr>
                <w:rFonts w:ascii="黑体" w:hAnsi="黑体" w:eastAsia="黑体" w:cs="黑体"/>
                <w:spacing w:val="8"/>
                <w:sz w:val="17"/>
                <w:szCs w:val="17"/>
                <w14:textOutline w14:w="3268" w14:cap="sq" w14:cmpd="sng">
                  <w14:solidFill>
                    <w14:srgbClr w14:val="000000"/>
                  </w14:solidFill>
                  <w14:prstDash w14:val="solid"/>
                  <w14:bevel/>
                </w14:textOutline>
              </w:rPr>
              <w:t>量</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8" w:type="dxa"/>
            <w:vAlign w:val="top"/>
          </w:tcPr>
          <w:p>
            <w:pPr>
              <w:spacing w:before="213" w:line="316" w:lineRule="auto"/>
              <w:ind w:left="80" w:right="71" w:hanging="2"/>
              <w:rPr>
                <w:rFonts w:ascii="Times New Roman" w:hAnsi="Times New Roman" w:eastAsia="Times New Roman" w:cs="Times New Roman"/>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贡</w:t>
            </w:r>
            <w:r>
              <w:rPr>
                <w:rFonts w:ascii="黑体" w:hAnsi="黑体" w:eastAsia="黑体" w:cs="黑体"/>
                <w:spacing w:val="7"/>
                <w:sz w:val="17"/>
                <w:szCs w:val="17"/>
                <w14:textOutline w14:w="3268" w14:cap="sq" w14:cmpd="sng">
                  <w14:solidFill>
                    <w14:srgbClr w14:val="000000"/>
                  </w14:solidFill>
                  <w14:prstDash w14:val="solid"/>
                  <w14:bevel/>
                </w14:textOutline>
              </w:rPr>
              <w:t>献值</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9" w:type="dxa"/>
            <w:vAlign w:val="top"/>
          </w:tcPr>
          <w:p>
            <w:pPr>
              <w:spacing w:before="213" w:line="316" w:lineRule="auto"/>
              <w:ind w:left="81" w:right="71" w:hanging="2"/>
              <w:rPr>
                <w:rFonts w:ascii="Times New Roman" w:hAnsi="Times New Roman" w:eastAsia="Times New Roman" w:cs="Times New Roman"/>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预</w:t>
            </w:r>
            <w:r>
              <w:rPr>
                <w:rFonts w:ascii="黑体" w:hAnsi="黑体" w:eastAsia="黑体" w:cs="黑体"/>
                <w:spacing w:val="7"/>
                <w:sz w:val="17"/>
                <w:szCs w:val="17"/>
                <w14:textOutline w14:w="3268" w14:cap="sq" w14:cmpd="sng">
                  <w14:solidFill>
                    <w14:srgbClr w14:val="000000"/>
                  </w14:solidFill>
                  <w14:prstDash w14:val="solid"/>
                  <w14:bevel/>
                </w14:textOutline>
              </w:rPr>
              <w:t>测值</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9" w:type="dxa"/>
            <w:vAlign w:val="top"/>
          </w:tcPr>
          <w:p>
            <w:pPr>
              <w:spacing w:before="70" w:line="233" w:lineRule="auto"/>
              <w:ind w:left="75"/>
              <w:rPr>
                <w:rFonts w:ascii="黑体" w:hAnsi="黑体" w:eastAsia="黑体" w:cs="黑体"/>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较现</w:t>
            </w:r>
            <w:r>
              <w:rPr>
                <w:rFonts w:ascii="黑体" w:hAnsi="黑体" w:eastAsia="黑体" w:cs="黑体"/>
                <w:spacing w:val="8"/>
                <w:sz w:val="17"/>
                <w:szCs w:val="17"/>
                <w14:textOutline w14:w="3268" w14:cap="sq" w14:cmpd="sng">
                  <w14:solidFill>
                    <w14:srgbClr w14:val="000000"/>
                  </w14:solidFill>
                  <w14:prstDash w14:val="solid"/>
                  <w14:bevel/>
                </w14:textOutline>
              </w:rPr>
              <w:t>状</w:t>
            </w:r>
          </w:p>
          <w:p>
            <w:pPr>
              <w:spacing w:before="66" w:line="234" w:lineRule="auto"/>
              <w:ind w:left="166"/>
              <w:rPr>
                <w:rFonts w:ascii="黑体" w:hAnsi="黑体" w:eastAsia="黑体" w:cs="黑体"/>
                <w:sz w:val="17"/>
                <w:szCs w:val="17"/>
              </w:rPr>
            </w:pPr>
            <w:r>
              <w:rPr>
                <w:rFonts w:ascii="黑体" w:hAnsi="黑体" w:eastAsia="黑体" w:cs="黑体"/>
                <w:spacing w:val="7"/>
                <w:sz w:val="17"/>
                <w:szCs w:val="17"/>
                <w14:textOutline w14:w="3268" w14:cap="sq" w14:cmpd="sng">
                  <w14:solidFill>
                    <w14:srgbClr w14:val="000000"/>
                  </w14:solidFill>
                  <w14:prstDash w14:val="solid"/>
                  <w14:bevel/>
                </w14:textOutline>
              </w:rPr>
              <w:t>增量</w:t>
            </w:r>
          </w:p>
          <w:p>
            <w:pPr>
              <w:spacing w:before="27" w:line="249" w:lineRule="exact"/>
              <w:ind w:left="81"/>
              <w:rPr>
                <w:rFonts w:ascii="Times New Roman" w:hAnsi="Times New Roman" w:eastAsia="Times New Roman" w:cs="Times New Roman"/>
                <w:sz w:val="17"/>
                <w:szCs w:val="17"/>
              </w:rPr>
            </w:pPr>
            <w:r>
              <w:rPr>
                <w:rFonts w:ascii="Times New Roman" w:hAnsi="Times New Roman" w:eastAsia="Times New Roman" w:cs="Times New Roman"/>
                <w:b/>
                <w:bCs/>
                <w:spacing w:val="11"/>
                <w:position w:val="3"/>
                <w:sz w:val="17"/>
                <w:szCs w:val="17"/>
              </w:rPr>
              <w:t>/</w:t>
            </w:r>
            <w:r>
              <w:rPr>
                <w:rFonts w:ascii="Times New Roman" w:hAnsi="Times New Roman" w:eastAsia="Times New Roman" w:cs="Times New Roman"/>
                <w:b/>
                <w:bCs/>
                <w:position w:val="3"/>
                <w:sz w:val="17"/>
                <w:szCs w:val="17"/>
              </w:rPr>
              <w:t>dB</w:t>
            </w:r>
            <w:r>
              <w:rPr>
                <w:rFonts w:ascii="Times New Roman" w:hAnsi="Times New Roman" w:eastAsia="Times New Roman" w:cs="Times New Roman"/>
                <w:b/>
                <w:bCs/>
                <w:spacing w:val="9"/>
                <w:position w:val="3"/>
                <w:sz w:val="17"/>
                <w:szCs w:val="17"/>
              </w:rPr>
              <w:t>(</w:t>
            </w:r>
            <w:r>
              <w:rPr>
                <w:rFonts w:ascii="Times New Roman" w:hAnsi="Times New Roman" w:eastAsia="Times New Roman" w:cs="Times New Roman"/>
                <w:b/>
                <w:bCs/>
                <w:position w:val="3"/>
                <w:sz w:val="17"/>
                <w:szCs w:val="17"/>
              </w:rPr>
              <w:t>A</w:t>
            </w:r>
            <w:r>
              <w:rPr>
                <w:rFonts w:ascii="Times New Roman" w:hAnsi="Times New Roman" w:eastAsia="Times New Roman" w:cs="Times New Roman"/>
                <w:b/>
                <w:bCs/>
                <w:spacing w:val="9"/>
                <w:position w:val="3"/>
                <w:sz w:val="17"/>
                <w:szCs w:val="17"/>
              </w:rPr>
              <w:t>)</w:t>
            </w:r>
          </w:p>
        </w:tc>
        <w:tc>
          <w:tcPr>
            <w:tcW w:w="690" w:type="dxa"/>
            <w:vAlign w:val="top"/>
          </w:tcPr>
          <w:p>
            <w:pPr>
              <w:spacing w:before="213" w:line="316" w:lineRule="auto"/>
              <w:ind w:left="83" w:right="70" w:hanging="6"/>
              <w:rPr>
                <w:rFonts w:ascii="Times New Roman" w:hAnsi="Times New Roman" w:eastAsia="Times New Roman" w:cs="Times New Roman"/>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超标</w:t>
            </w:r>
            <w:r>
              <w:rPr>
                <w:rFonts w:ascii="黑体" w:hAnsi="黑体" w:eastAsia="黑体" w:cs="黑体"/>
                <w:spacing w:val="8"/>
                <w:sz w:val="17"/>
                <w:szCs w:val="17"/>
                <w14:textOutline w14:w="3268" w14:cap="sq" w14:cmpd="sng">
                  <w14:solidFill>
                    <w14:srgbClr w14:val="000000"/>
                  </w14:solidFill>
                  <w14:prstDash w14:val="solid"/>
                  <w14:bevel/>
                </w14:textOutline>
              </w:rPr>
              <w:t>量</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8" w:type="dxa"/>
            <w:vAlign w:val="top"/>
          </w:tcPr>
          <w:p>
            <w:pPr>
              <w:spacing w:before="213" w:line="316" w:lineRule="auto"/>
              <w:ind w:left="82" w:right="70" w:hanging="2"/>
              <w:rPr>
                <w:rFonts w:ascii="Times New Roman" w:hAnsi="Times New Roman" w:eastAsia="Times New Roman" w:cs="Times New Roman"/>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贡</w:t>
            </w:r>
            <w:r>
              <w:rPr>
                <w:rFonts w:ascii="黑体" w:hAnsi="黑体" w:eastAsia="黑体" w:cs="黑体"/>
                <w:spacing w:val="7"/>
                <w:sz w:val="17"/>
                <w:szCs w:val="17"/>
                <w14:textOutline w14:w="3268" w14:cap="sq" w14:cmpd="sng">
                  <w14:solidFill>
                    <w14:srgbClr w14:val="000000"/>
                  </w14:solidFill>
                  <w14:prstDash w14:val="solid"/>
                  <w14:bevel/>
                </w14:textOutline>
              </w:rPr>
              <w:t>献值</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9" w:type="dxa"/>
            <w:vAlign w:val="top"/>
          </w:tcPr>
          <w:p>
            <w:pPr>
              <w:spacing w:before="213" w:line="316" w:lineRule="auto"/>
              <w:ind w:left="83" w:right="70" w:hanging="2"/>
              <w:rPr>
                <w:rFonts w:ascii="Times New Roman" w:hAnsi="Times New Roman" w:eastAsia="Times New Roman" w:cs="Times New Roman"/>
                <w:sz w:val="17"/>
                <w:szCs w:val="17"/>
              </w:rPr>
            </w:pPr>
            <w:r>
              <w:rPr>
                <w:rFonts w:ascii="黑体" w:hAnsi="黑体" w:eastAsia="黑体" w:cs="黑体"/>
                <w:spacing w:val="8"/>
                <w:sz w:val="17"/>
                <w:szCs w:val="17"/>
                <w14:textOutline w14:w="3268" w14:cap="sq" w14:cmpd="sng">
                  <w14:solidFill>
                    <w14:srgbClr w14:val="000000"/>
                  </w14:solidFill>
                  <w14:prstDash w14:val="solid"/>
                  <w14:bevel/>
                </w14:textOutline>
              </w:rPr>
              <w:t>预</w:t>
            </w:r>
            <w:r>
              <w:rPr>
                <w:rFonts w:ascii="黑体" w:hAnsi="黑体" w:eastAsia="黑体" w:cs="黑体"/>
                <w:spacing w:val="7"/>
                <w:sz w:val="17"/>
                <w:szCs w:val="17"/>
                <w14:textOutline w14:w="3268" w14:cap="sq" w14:cmpd="sng">
                  <w14:solidFill>
                    <w14:srgbClr w14:val="000000"/>
                  </w14:solidFill>
                  <w14:prstDash w14:val="solid"/>
                  <w14:bevel/>
                </w14:textOutline>
              </w:rPr>
              <w:t>测值</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c>
          <w:tcPr>
            <w:tcW w:w="688" w:type="dxa"/>
            <w:vAlign w:val="top"/>
          </w:tcPr>
          <w:p>
            <w:pPr>
              <w:spacing w:before="70" w:line="233" w:lineRule="auto"/>
              <w:ind w:left="76"/>
              <w:rPr>
                <w:rFonts w:ascii="黑体" w:hAnsi="黑体" w:eastAsia="黑体" w:cs="黑体"/>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较现</w:t>
            </w:r>
            <w:r>
              <w:rPr>
                <w:rFonts w:ascii="黑体" w:hAnsi="黑体" w:eastAsia="黑体" w:cs="黑体"/>
                <w:spacing w:val="8"/>
                <w:sz w:val="17"/>
                <w:szCs w:val="17"/>
                <w14:textOutline w14:w="3268" w14:cap="sq" w14:cmpd="sng">
                  <w14:solidFill>
                    <w14:srgbClr w14:val="000000"/>
                  </w14:solidFill>
                  <w14:prstDash w14:val="solid"/>
                  <w14:bevel/>
                </w14:textOutline>
              </w:rPr>
              <w:t>状</w:t>
            </w:r>
          </w:p>
          <w:p>
            <w:pPr>
              <w:spacing w:before="66" w:line="234" w:lineRule="auto"/>
              <w:ind w:left="167"/>
              <w:rPr>
                <w:rFonts w:ascii="黑体" w:hAnsi="黑体" w:eastAsia="黑体" w:cs="黑体"/>
                <w:sz w:val="17"/>
                <w:szCs w:val="17"/>
              </w:rPr>
            </w:pPr>
            <w:r>
              <w:rPr>
                <w:rFonts w:ascii="黑体" w:hAnsi="黑体" w:eastAsia="黑体" w:cs="黑体"/>
                <w:spacing w:val="7"/>
                <w:sz w:val="17"/>
                <w:szCs w:val="17"/>
                <w14:textOutline w14:w="3268" w14:cap="sq" w14:cmpd="sng">
                  <w14:solidFill>
                    <w14:srgbClr w14:val="000000"/>
                  </w14:solidFill>
                  <w14:prstDash w14:val="solid"/>
                  <w14:bevel/>
                </w14:textOutline>
              </w:rPr>
              <w:t>增量</w:t>
            </w:r>
          </w:p>
          <w:p>
            <w:pPr>
              <w:spacing w:before="27" w:line="249" w:lineRule="exact"/>
              <w:ind w:left="83"/>
              <w:rPr>
                <w:rFonts w:ascii="Times New Roman" w:hAnsi="Times New Roman" w:eastAsia="Times New Roman" w:cs="Times New Roman"/>
                <w:sz w:val="17"/>
                <w:szCs w:val="17"/>
              </w:rPr>
            </w:pPr>
            <w:r>
              <w:rPr>
                <w:rFonts w:ascii="Times New Roman" w:hAnsi="Times New Roman" w:eastAsia="Times New Roman" w:cs="Times New Roman"/>
                <w:b/>
                <w:bCs/>
                <w:spacing w:val="11"/>
                <w:position w:val="3"/>
                <w:sz w:val="17"/>
                <w:szCs w:val="17"/>
              </w:rPr>
              <w:t>/</w:t>
            </w:r>
            <w:r>
              <w:rPr>
                <w:rFonts w:ascii="Times New Roman" w:hAnsi="Times New Roman" w:eastAsia="Times New Roman" w:cs="Times New Roman"/>
                <w:b/>
                <w:bCs/>
                <w:position w:val="3"/>
                <w:sz w:val="17"/>
                <w:szCs w:val="17"/>
              </w:rPr>
              <w:t>dB</w:t>
            </w:r>
            <w:r>
              <w:rPr>
                <w:rFonts w:ascii="Times New Roman" w:hAnsi="Times New Roman" w:eastAsia="Times New Roman" w:cs="Times New Roman"/>
                <w:b/>
                <w:bCs/>
                <w:spacing w:val="9"/>
                <w:position w:val="3"/>
                <w:sz w:val="17"/>
                <w:szCs w:val="17"/>
              </w:rPr>
              <w:t>(</w:t>
            </w:r>
            <w:r>
              <w:rPr>
                <w:rFonts w:ascii="Times New Roman" w:hAnsi="Times New Roman" w:eastAsia="Times New Roman" w:cs="Times New Roman"/>
                <w:b/>
                <w:bCs/>
                <w:position w:val="3"/>
                <w:sz w:val="17"/>
                <w:szCs w:val="17"/>
              </w:rPr>
              <w:t>A</w:t>
            </w:r>
            <w:r>
              <w:rPr>
                <w:rFonts w:ascii="Times New Roman" w:hAnsi="Times New Roman" w:eastAsia="Times New Roman" w:cs="Times New Roman"/>
                <w:b/>
                <w:bCs/>
                <w:spacing w:val="9"/>
                <w:position w:val="3"/>
                <w:sz w:val="17"/>
                <w:szCs w:val="17"/>
              </w:rPr>
              <w:t>)</w:t>
            </w:r>
          </w:p>
        </w:tc>
        <w:tc>
          <w:tcPr>
            <w:tcW w:w="694" w:type="dxa"/>
            <w:vAlign w:val="top"/>
          </w:tcPr>
          <w:p>
            <w:pPr>
              <w:spacing w:before="213" w:line="316" w:lineRule="auto"/>
              <w:ind w:left="83" w:right="72" w:hanging="4"/>
              <w:rPr>
                <w:rFonts w:ascii="Times New Roman" w:hAnsi="Times New Roman" w:eastAsia="Times New Roman" w:cs="Times New Roman"/>
                <w:sz w:val="17"/>
                <w:szCs w:val="17"/>
              </w:rPr>
            </w:pPr>
            <w:r>
              <w:rPr>
                <w:rFonts w:ascii="黑体" w:hAnsi="黑体" w:eastAsia="黑体" w:cs="黑体"/>
                <w:spacing w:val="9"/>
                <w:sz w:val="17"/>
                <w:szCs w:val="17"/>
                <w14:textOutline w14:w="3268" w14:cap="sq" w14:cmpd="sng">
                  <w14:solidFill>
                    <w14:srgbClr w14:val="000000"/>
                  </w14:solidFill>
                  <w14:prstDash w14:val="solid"/>
                  <w14:bevel/>
                </w14:textOutline>
              </w:rPr>
              <w:t>超标</w:t>
            </w:r>
            <w:r>
              <w:rPr>
                <w:rFonts w:ascii="黑体" w:hAnsi="黑体" w:eastAsia="黑体" w:cs="黑体"/>
                <w:spacing w:val="8"/>
                <w:sz w:val="17"/>
                <w:szCs w:val="17"/>
                <w14:textOutline w14:w="3268" w14:cap="sq" w14:cmpd="sng">
                  <w14:solidFill>
                    <w14:srgbClr w14:val="000000"/>
                  </w14:solidFill>
                  <w14:prstDash w14:val="solid"/>
                  <w14:bevel/>
                </w14:textOutline>
              </w:rPr>
              <w:t>量</w:t>
            </w:r>
            <w:r>
              <w:rPr>
                <w:rFonts w:ascii="黑体" w:hAnsi="黑体" w:eastAsia="黑体" w:cs="黑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dB</w:t>
            </w:r>
            <w:r>
              <w:rPr>
                <w:rFonts w:ascii="Times New Roman" w:hAnsi="Times New Roman" w:eastAsia="Times New Roman" w:cs="Times New Roman"/>
                <w:b/>
                <w:bCs/>
                <w:spacing w:val="9"/>
                <w:sz w:val="17"/>
                <w:szCs w:val="17"/>
              </w:rPr>
              <w:t>(</w:t>
            </w:r>
            <w:r>
              <w:rPr>
                <w:rFonts w:ascii="Times New Roman" w:hAnsi="Times New Roman" w:eastAsia="Times New Roman" w:cs="Times New Roman"/>
                <w:b/>
                <w:bCs/>
                <w:sz w:val="17"/>
                <w:szCs w:val="17"/>
              </w:rPr>
              <w:t>A</w:t>
            </w:r>
            <w:r>
              <w:rPr>
                <w:rFonts w:ascii="Times New Roman" w:hAnsi="Times New Roman" w:eastAsia="Times New Roman" w:cs="Times New Roman"/>
                <w:b/>
                <w:bCs/>
                <w:spacing w:val="9"/>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59" w:type="dxa"/>
            <w:vMerge w:val="restart"/>
            <w:tcBorders>
              <w:bottom w:val="nil"/>
            </w:tcBorders>
            <w:vAlign w:val="top"/>
          </w:tcPr>
          <w:p>
            <w:pPr>
              <w:rPr>
                <w:rFonts w:ascii="Arial"/>
                <w:sz w:val="21"/>
              </w:rPr>
            </w:pPr>
          </w:p>
        </w:tc>
        <w:tc>
          <w:tcPr>
            <w:tcW w:w="600" w:type="dxa"/>
            <w:vMerge w:val="restart"/>
            <w:tcBorders>
              <w:bottom w:val="nil"/>
            </w:tcBorders>
            <w:vAlign w:val="top"/>
          </w:tcPr>
          <w:p>
            <w:pPr>
              <w:rPr>
                <w:rFonts w:ascii="Arial"/>
                <w:sz w:val="21"/>
              </w:rPr>
            </w:pPr>
          </w:p>
        </w:tc>
        <w:tc>
          <w:tcPr>
            <w:tcW w:w="598" w:type="dxa"/>
            <w:vAlign w:val="top"/>
          </w:tcPr>
          <w:p>
            <w:pPr>
              <w:rPr>
                <w:rFonts w:ascii="Arial"/>
                <w:sz w:val="21"/>
              </w:rPr>
            </w:pPr>
          </w:p>
        </w:tc>
        <w:tc>
          <w:tcPr>
            <w:tcW w:w="675" w:type="dxa"/>
            <w:vAlign w:val="top"/>
          </w:tcPr>
          <w:p>
            <w:pPr>
              <w:rPr>
                <w:rFonts w:ascii="Arial"/>
                <w:sz w:val="21"/>
              </w:rPr>
            </w:pPr>
          </w:p>
        </w:tc>
        <w:tc>
          <w:tcPr>
            <w:tcW w:w="577" w:type="dxa"/>
            <w:vAlign w:val="top"/>
          </w:tcPr>
          <w:p>
            <w:pPr>
              <w:rPr>
                <w:rFonts w:ascii="Arial"/>
                <w:sz w:val="21"/>
              </w:rPr>
            </w:pPr>
          </w:p>
        </w:tc>
        <w:tc>
          <w:tcPr>
            <w:tcW w:w="664" w:type="dxa"/>
            <w:vAlign w:val="top"/>
          </w:tcPr>
          <w:p>
            <w:pPr>
              <w:spacing w:before="71" w:line="231"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2"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38" w:line="243"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3"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2"/>
                <w:sz w:val="17"/>
                <w:szCs w:val="17"/>
              </w:rPr>
              <w:t>8.2</w:t>
            </w:r>
          </w:p>
        </w:tc>
        <w:tc>
          <w:tcPr>
            <w:tcW w:w="689" w:type="dxa"/>
            <w:vAlign w:val="top"/>
          </w:tcPr>
          <w:p>
            <w:pPr>
              <w:spacing w:before="83"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9.3</w:t>
            </w:r>
          </w:p>
        </w:tc>
        <w:tc>
          <w:tcPr>
            <w:tcW w:w="689" w:type="dxa"/>
            <w:vAlign w:val="top"/>
          </w:tcPr>
          <w:p>
            <w:pPr>
              <w:spacing w:before="83"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.3</w:t>
            </w:r>
          </w:p>
        </w:tc>
        <w:tc>
          <w:tcPr>
            <w:tcW w:w="690" w:type="dxa"/>
            <w:vAlign w:val="top"/>
          </w:tcPr>
          <w:p>
            <w:pPr>
              <w:spacing w:before="83"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9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2"/>
                <w:sz w:val="17"/>
                <w:szCs w:val="17"/>
              </w:rPr>
              <w:t>9.4</w:t>
            </w:r>
          </w:p>
        </w:tc>
        <w:tc>
          <w:tcPr>
            <w:tcW w:w="689" w:type="dxa"/>
            <w:vAlign w:val="top"/>
          </w:tcPr>
          <w:p>
            <w:pPr>
              <w:spacing w:before="83"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9.5</w:t>
            </w:r>
          </w:p>
        </w:tc>
        <w:tc>
          <w:tcPr>
            <w:tcW w:w="689" w:type="dxa"/>
            <w:vAlign w:val="top"/>
          </w:tcPr>
          <w:p>
            <w:pPr>
              <w:spacing w:before="83"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0.5</w:t>
            </w:r>
          </w:p>
        </w:tc>
        <w:tc>
          <w:tcPr>
            <w:tcW w:w="690" w:type="dxa"/>
            <w:vAlign w:val="top"/>
          </w:tcPr>
          <w:p>
            <w:pPr>
              <w:spacing w:before="83" w:line="197" w:lineRule="auto"/>
              <w:ind w:left="303"/>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39.8</w:t>
            </w:r>
          </w:p>
        </w:tc>
        <w:tc>
          <w:tcPr>
            <w:tcW w:w="689" w:type="dxa"/>
            <w:vAlign w:val="top"/>
          </w:tcPr>
          <w:p>
            <w:pPr>
              <w:spacing w:before="83"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9.5</w:t>
            </w:r>
          </w:p>
        </w:tc>
        <w:tc>
          <w:tcPr>
            <w:tcW w:w="688" w:type="dxa"/>
            <w:vAlign w:val="top"/>
          </w:tcPr>
          <w:p>
            <w:pPr>
              <w:spacing w:before="83"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4" w:type="dxa"/>
            <w:vAlign w:val="top"/>
          </w:tcPr>
          <w:p>
            <w:pPr>
              <w:spacing w:before="83"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47" w:line="197" w:lineRule="auto"/>
              <w:ind w:left="15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0</w:t>
            </w:r>
            <w:r>
              <w:rPr>
                <w:rFonts w:ascii="Times New Roman" w:hAnsi="Times New Roman" w:eastAsia="Times New Roman" w:cs="Times New Roman"/>
                <w:sz w:val="17"/>
                <w:szCs w:val="17"/>
              </w:rPr>
              <w:t>F</w:t>
            </w:r>
          </w:p>
        </w:tc>
        <w:tc>
          <w:tcPr>
            <w:tcW w:w="675" w:type="dxa"/>
            <w:vMerge w:val="restart"/>
            <w:tcBorders>
              <w:bottom w:val="nil"/>
            </w:tcBorders>
            <w:vAlign w:val="top"/>
          </w:tcPr>
          <w:p>
            <w:pPr>
              <w:spacing w:before="248" w:line="197" w:lineRule="auto"/>
              <w:ind w:left="18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8.2</w:t>
            </w:r>
          </w:p>
        </w:tc>
        <w:tc>
          <w:tcPr>
            <w:tcW w:w="577" w:type="dxa"/>
            <w:vMerge w:val="restart"/>
            <w:tcBorders>
              <w:bottom w:val="nil"/>
            </w:tcBorders>
            <w:vAlign w:val="top"/>
          </w:tcPr>
          <w:p>
            <w:pPr>
              <w:spacing w:before="219"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3" w:line="230"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3"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40"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3"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2"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6.3</w:t>
            </w:r>
          </w:p>
        </w:tc>
        <w:tc>
          <w:tcPr>
            <w:tcW w:w="689"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9.2</w:t>
            </w:r>
          </w:p>
        </w:tc>
        <w:tc>
          <w:tcPr>
            <w:tcW w:w="689" w:type="dxa"/>
            <w:vAlign w:val="top"/>
          </w:tcPr>
          <w:p>
            <w:pPr>
              <w:spacing w:before="82"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.2</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7.6</w:t>
            </w:r>
          </w:p>
        </w:tc>
        <w:tc>
          <w:tcPr>
            <w:tcW w:w="689" w:type="dxa"/>
            <w:vAlign w:val="top"/>
          </w:tcPr>
          <w:p>
            <w:pPr>
              <w:spacing w:before="82"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w:t>
            </w:r>
            <w:r>
              <w:rPr>
                <w:rFonts w:ascii="Times New Roman" w:hAnsi="Times New Roman" w:eastAsia="Times New Roman" w:cs="Times New Roman"/>
                <w:spacing w:val="2"/>
                <w:sz w:val="17"/>
                <w:szCs w:val="17"/>
              </w:rPr>
              <w:t>3</w:t>
            </w:r>
          </w:p>
        </w:tc>
        <w:tc>
          <w:tcPr>
            <w:tcW w:w="689" w:type="dxa"/>
            <w:vAlign w:val="top"/>
          </w:tcPr>
          <w:p>
            <w:pPr>
              <w:spacing w:before="82"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w:t>
            </w:r>
            <w:r>
              <w:rPr>
                <w:rFonts w:ascii="Times New Roman" w:hAnsi="Times New Roman" w:eastAsia="Times New Roman" w:cs="Times New Roman"/>
                <w:spacing w:val="1"/>
                <w:sz w:val="17"/>
                <w:szCs w:val="17"/>
              </w:rPr>
              <w:t>3</w:t>
            </w:r>
          </w:p>
        </w:tc>
        <w:tc>
          <w:tcPr>
            <w:tcW w:w="690" w:type="dxa"/>
            <w:vAlign w:val="top"/>
          </w:tcPr>
          <w:p>
            <w:pPr>
              <w:spacing w:before="82" w:line="197" w:lineRule="auto"/>
              <w:ind w:left="303"/>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8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48.0</w:t>
            </w:r>
          </w:p>
        </w:tc>
        <w:tc>
          <w:tcPr>
            <w:tcW w:w="689" w:type="dxa"/>
            <w:vAlign w:val="top"/>
          </w:tcPr>
          <w:p>
            <w:pPr>
              <w:spacing w:before="82"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w:t>
            </w:r>
            <w:r>
              <w:rPr>
                <w:rFonts w:ascii="Times New Roman" w:hAnsi="Times New Roman" w:eastAsia="Times New Roman" w:cs="Times New Roman"/>
                <w:spacing w:val="2"/>
                <w:sz w:val="17"/>
                <w:szCs w:val="17"/>
              </w:rPr>
              <w:t>3</w:t>
            </w:r>
          </w:p>
        </w:tc>
        <w:tc>
          <w:tcPr>
            <w:tcW w:w="688" w:type="dxa"/>
            <w:vAlign w:val="top"/>
          </w:tcPr>
          <w:p>
            <w:pPr>
              <w:spacing w:before="82"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.3</w:t>
            </w:r>
          </w:p>
        </w:tc>
        <w:tc>
          <w:tcPr>
            <w:tcW w:w="694" w:type="dxa"/>
            <w:vAlign w:val="top"/>
          </w:tcPr>
          <w:p>
            <w:pPr>
              <w:spacing w:before="82"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3" w:line="230"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4"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40"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4"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2"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37.8</w:t>
            </w:r>
          </w:p>
        </w:tc>
        <w:tc>
          <w:tcPr>
            <w:tcW w:w="689" w:type="dxa"/>
            <w:vAlign w:val="top"/>
          </w:tcPr>
          <w:p>
            <w:pPr>
              <w:spacing w:before="82"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9.3</w:t>
            </w:r>
          </w:p>
        </w:tc>
        <w:tc>
          <w:tcPr>
            <w:tcW w:w="689" w:type="dxa"/>
            <w:vAlign w:val="top"/>
          </w:tcPr>
          <w:p>
            <w:pPr>
              <w:spacing w:before="82"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.3</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9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3"/>
                <w:sz w:val="17"/>
                <w:szCs w:val="17"/>
              </w:rPr>
              <w:t>9. 1</w:t>
            </w:r>
          </w:p>
        </w:tc>
        <w:tc>
          <w:tcPr>
            <w:tcW w:w="689" w:type="dxa"/>
            <w:vAlign w:val="top"/>
          </w:tcPr>
          <w:p>
            <w:pPr>
              <w:spacing w:before="82"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9.4</w:t>
            </w:r>
          </w:p>
        </w:tc>
        <w:tc>
          <w:tcPr>
            <w:tcW w:w="689" w:type="dxa"/>
            <w:vAlign w:val="top"/>
          </w:tcPr>
          <w:p>
            <w:pPr>
              <w:spacing w:before="82"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w:t>
            </w:r>
            <w:r>
              <w:rPr>
                <w:rFonts w:ascii="Times New Roman" w:hAnsi="Times New Roman" w:eastAsia="Times New Roman" w:cs="Times New Roman"/>
                <w:spacing w:val="1"/>
                <w:sz w:val="17"/>
                <w:szCs w:val="17"/>
              </w:rPr>
              <w:t>4</w:t>
            </w:r>
          </w:p>
        </w:tc>
        <w:tc>
          <w:tcPr>
            <w:tcW w:w="690" w:type="dxa"/>
            <w:vAlign w:val="top"/>
          </w:tcPr>
          <w:p>
            <w:pPr>
              <w:spacing w:before="82" w:line="197" w:lineRule="auto"/>
              <w:ind w:left="303"/>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3</w:t>
            </w:r>
            <w:r>
              <w:rPr>
                <w:rFonts w:ascii="Times New Roman" w:hAnsi="Times New Roman" w:eastAsia="Times New Roman" w:cs="Times New Roman"/>
                <w:spacing w:val="3"/>
                <w:sz w:val="17"/>
                <w:szCs w:val="17"/>
              </w:rPr>
              <w:t>9.5</w:t>
            </w:r>
          </w:p>
        </w:tc>
        <w:tc>
          <w:tcPr>
            <w:tcW w:w="689" w:type="dxa"/>
            <w:vAlign w:val="top"/>
          </w:tcPr>
          <w:p>
            <w:pPr>
              <w:spacing w:before="82"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9.5</w:t>
            </w:r>
          </w:p>
        </w:tc>
        <w:tc>
          <w:tcPr>
            <w:tcW w:w="688" w:type="dxa"/>
            <w:vAlign w:val="top"/>
          </w:tcPr>
          <w:p>
            <w:pPr>
              <w:spacing w:before="82"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4" w:type="dxa"/>
            <w:vAlign w:val="top"/>
          </w:tcPr>
          <w:p>
            <w:pPr>
              <w:spacing w:before="82"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48" w:line="197" w:lineRule="auto"/>
              <w:ind w:left="15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5</w:t>
            </w:r>
            <w:r>
              <w:rPr>
                <w:rFonts w:ascii="Times New Roman" w:hAnsi="Times New Roman" w:eastAsia="Times New Roman" w:cs="Times New Roman"/>
                <w:sz w:val="17"/>
                <w:szCs w:val="17"/>
              </w:rPr>
              <w:t>F</w:t>
            </w:r>
          </w:p>
        </w:tc>
        <w:tc>
          <w:tcPr>
            <w:tcW w:w="675" w:type="dxa"/>
            <w:vMerge w:val="restart"/>
            <w:tcBorders>
              <w:bottom w:val="nil"/>
            </w:tcBorders>
            <w:vAlign w:val="top"/>
          </w:tcPr>
          <w:p>
            <w:pPr>
              <w:spacing w:before="248" w:line="197" w:lineRule="auto"/>
              <w:ind w:left="1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73.</w:t>
            </w:r>
            <w:r>
              <w:rPr>
                <w:rFonts w:ascii="Times New Roman" w:hAnsi="Times New Roman" w:eastAsia="Times New Roman" w:cs="Times New Roman"/>
                <w:spacing w:val="2"/>
                <w:sz w:val="17"/>
                <w:szCs w:val="17"/>
              </w:rPr>
              <w:t>2</w:t>
            </w:r>
          </w:p>
        </w:tc>
        <w:tc>
          <w:tcPr>
            <w:tcW w:w="577" w:type="dxa"/>
            <w:vMerge w:val="restart"/>
            <w:tcBorders>
              <w:bottom w:val="nil"/>
            </w:tcBorders>
            <w:vAlign w:val="top"/>
          </w:tcPr>
          <w:p>
            <w:pPr>
              <w:spacing w:before="217"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3" w:line="230"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38"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c>
        <w:tc>
          <w:tcPr>
            <w:tcW w:w="689" w:type="dxa"/>
            <w:vAlign w:val="top"/>
          </w:tcPr>
          <w:p>
            <w:pPr>
              <w:spacing w:before="83"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46.0</w:t>
            </w:r>
          </w:p>
        </w:tc>
        <w:tc>
          <w:tcPr>
            <w:tcW w:w="689" w:type="dxa"/>
            <w:vAlign w:val="top"/>
          </w:tcPr>
          <w:p>
            <w:pPr>
              <w:spacing w:before="82"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9.2</w:t>
            </w:r>
          </w:p>
        </w:tc>
        <w:tc>
          <w:tcPr>
            <w:tcW w:w="689" w:type="dxa"/>
            <w:vAlign w:val="top"/>
          </w:tcPr>
          <w:p>
            <w:pPr>
              <w:spacing w:before="83"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.2</w:t>
            </w:r>
          </w:p>
        </w:tc>
        <w:tc>
          <w:tcPr>
            <w:tcW w:w="690" w:type="dxa"/>
            <w:vAlign w:val="top"/>
          </w:tcPr>
          <w:p>
            <w:pPr>
              <w:spacing w:before="82"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7.3</w:t>
            </w:r>
          </w:p>
        </w:tc>
        <w:tc>
          <w:tcPr>
            <w:tcW w:w="689" w:type="dxa"/>
            <w:vAlign w:val="top"/>
          </w:tcPr>
          <w:p>
            <w:pPr>
              <w:spacing w:before="82"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w:t>
            </w:r>
            <w:r>
              <w:rPr>
                <w:rFonts w:ascii="Times New Roman" w:hAnsi="Times New Roman" w:eastAsia="Times New Roman" w:cs="Times New Roman"/>
                <w:spacing w:val="2"/>
                <w:sz w:val="17"/>
                <w:szCs w:val="17"/>
              </w:rPr>
              <w:t>3</w:t>
            </w:r>
          </w:p>
        </w:tc>
        <w:tc>
          <w:tcPr>
            <w:tcW w:w="689" w:type="dxa"/>
            <w:vAlign w:val="top"/>
          </w:tcPr>
          <w:p>
            <w:pPr>
              <w:spacing w:before="83"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w:t>
            </w:r>
            <w:r>
              <w:rPr>
                <w:rFonts w:ascii="Times New Roman" w:hAnsi="Times New Roman" w:eastAsia="Times New Roman" w:cs="Times New Roman"/>
                <w:spacing w:val="1"/>
                <w:sz w:val="17"/>
                <w:szCs w:val="17"/>
              </w:rPr>
              <w:t>3</w:t>
            </w:r>
          </w:p>
        </w:tc>
        <w:tc>
          <w:tcPr>
            <w:tcW w:w="690" w:type="dxa"/>
            <w:vAlign w:val="top"/>
          </w:tcPr>
          <w:p>
            <w:pPr>
              <w:spacing w:before="82" w:line="197" w:lineRule="auto"/>
              <w:ind w:left="303"/>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2" w:line="197" w:lineRule="auto"/>
              <w:ind w:left="18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47.7</w:t>
            </w:r>
          </w:p>
        </w:tc>
        <w:tc>
          <w:tcPr>
            <w:tcW w:w="689" w:type="dxa"/>
            <w:vAlign w:val="top"/>
          </w:tcPr>
          <w:p>
            <w:pPr>
              <w:spacing w:before="82"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w:t>
            </w:r>
            <w:r>
              <w:rPr>
                <w:rFonts w:ascii="Times New Roman" w:hAnsi="Times New Roman" w:eastAsia="Times New Roman" w:cs="Times New Roman"/>
                <w:spacing w:val="2"/>
                <w:sz w:val="17"/>
                <w:szCs w:val="17"/>
              </w:rPr>
              <w:t>3</w:t>
            </w:r>
          </w:p>
        </w:tc>
        <w:tc>
          <w:tcPr>
            <w:tcW w:w="688" w:type="dxa"/>
            <w:vAlign w:val="top"/>
          </w:tcPr>
          <w:p>
            <w:pPr>
              <w:spacing w:before="83"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.3</w:t>
            </w:r>
          </w:p>
        </w:tc>
        <w:tc>
          <w:tcPr>
            <w:tcW w:w="694" w:type="dxa"/>
            <w:vAlign w:val="top"/>
          </w:tcPr>
          <w:p>
            <w:pPr>
              <w:spacing w:before="82"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tcBorders>
            <w:vAlign w:val="top"/>
          </w:tcPr>
          <w:p>
            <w:pPr>
              <w:rPr>
                <w:rFonts w:ascii="Arial"/>
                <w:sz w:val="21"/>
              </w:rPr>
            </w:pPr>
          </w:p>
        </w:tc>
        <w:tc>
          <w:tcPr>
            <w:tcW w:w="600" w:type="dxa"/>
            <w:vMerge w:val="continue"/>
            <w:tcBorders>
              <w:top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4" w:line="229"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2"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39"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3"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3</w:t>
            </w:r>
            <w:r>
              <w:rPr>
                <w:rFonts w:ascii="Times New Roman" w:hAnsi="Times New Roman" w:eastAsia="Times New Roman" w:cs="Times New Roman"/>
                <w:spacing w:val="3"/>
                <w:sz w:val="17"/>
                <w:szCs w:val="17"/>
              </w:rPr>
              <w:t>7.5</w:t>
            </w:r>
          </w:p>
        </w:tc>
        <w:tc>
          <w:tcPr>
            <w:tcW w:w="689" w:type="dxa"/>
            <w:vAlign w:val="top"/>
          </w:tcPr>
          <w:p>
            <w:pPr>
              <w:spacing w:before="83"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9.3</w:t>
            </w:r>
          </w:p>
        </w:tc>
        <w:tc>
          <w:tcPr>
            <w:tcW w:w="689" w:type="dxa"/>
            <w:vAlign w:val="top"/>
          </w:tcPr>
          <w:p>
            <w:pPr>
              <w:spacing w:before="83"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.3</w:t>
            </w:r>
          </w:p>
        </w:tc>
        <w:tc>
          <w:tcPr>
            <w:tcW w:w="690" w:type="dxa"/>
            <w:vAlign w:val="top"/>
          </w:tcPr>
          <w:p>
            <w:pPr>
              <w:spacing w:before="83"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9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38.8</w:t>
            </w:r>
          </w:p>
        </w:tc>
        <w:tc>
          <w:tcPr>
            <w:tcW w:w="689" w:type="dxa"/>
            <w:vAlign w:val="top"/>
          </w:tcPr>
          <w:p>
            <w:pPr>
              <w:spacing w:before="83"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9.4</w:t>
            </w:r>
          </w:p>
        </w:tc>
        <w:tc>
          <w:tcPr>
            <w:tcW w:w="689" w:type="dxa"/>
            <w:vAlign w:val="top"/>
          </w:tcPr>
          <w:p>
            <w:pPr>
              <w:spacing w:before="83"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w:t>
            </w:r>
            <w:r>
              <w:rPr>
                <w:rFonts w:ascii="Times New Roman" w:hAnsi="Times New Roman" w:eastAsia="Times New Roman" w:cs="Times New Roman"/>
                <w:spacing w:val="1"/>
                <w:sz w:val="17"/>
                <w:szCs w:val="17"/>
              </w:rPr>
              <w:t>4</w:t>
            </w:r>
          </w:p>
        </w:tc>
        <w:tc>
          <w:tcPr>
            <w:tcW w:w="690" w:type="dxa"/>
            <w:vAlign w:val="top"/>
          </w:tcPr>
          <w:p>
            <w:pPr>
              <w:spacing w:before="83" w:line="197" w:lineRule="auto"/>
              <w:ind w:left="303"/>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2"/>
                <w:sz w:val="17"/>
                <w:szCs w:val="17"/>
              </w:rPr>
              <w:t>9.2</w:t>
            </w:r>
          </w:p>
        </w:tc>
        <w:tc>
          <w:tcPr>
            <w:tcW w:w="689" w:type="dxa"/>
            <w:vAlign w:val="top"/>
          </w:tcPr>
          <w:p>
            <w:pPr>
              <w:spacing w:before="83"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9.4</w:t>
            </w:r>
          </w:p>
        </w:tc>
        <w:tc>
          <w:tcPr>
            <w:tcW w:w="688" w:type="dxa"/>
            <w:vAlign w:val="top"/>
          </w:tcPr>
          <w:p>
            <w:pPr>
              <w:spacing w:before="83"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.4</w:t>
            </w:r>
          </w:p>
        </w:tc>
        <w:tc>
          <w:tcPr>
            <w:tcW w:w="694" w:type="dxa"/>
            <w:vAlign w:val="top"/>
          </w:tcPr>
          <w:p>
            <w:pPr>
              <w:spacing w:before="83"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59"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49" w:line="197" w:lineRule="auto"/>
              <w:ind w:left="240"/>
              <w:rPr>
                <w:rFonts w:ascii="Times New Roman" w:hAnsi="Times New Roman" w:eastAsia="Times New Roman" w:cs="Times New Roman"/>
                <w:sz w:val="17"/>
                <w:szCs w:val="17"/>
              </w:rPr>
            </w:pPr>
            <w:r>
              <w:rPr>
                <w:rFonts w:ascii="Times New Roman" w:hAnsi="Times New Roman" w:eastAsia="Times New Roman" w:cs="Times New Roman"/>
                <w:sz w:val="17"/>
                <w:szCs w:val="17"/>
              </w:rPr>
              <w:t>6</w:t>
            </w:r>
          </w:p>
        </w:tc>
        <w:tc>
          <w:tcPr>
            <w:tcW w:w="600"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55" w:line="233" w:lineRule="auto"/>
              <w:ind w:left="133"/>
              <w:rPr>
                <w:rFonts w:ascii="黑体" w:hAnsi="黑体" w:eastAsia="黑体" w:cs="黑体"/>
                <w:sz w:val="17"/>
                <w:szCs w:val="17"/>
              </w:rPr>
            </w:pPr>
            <w:r>
              <w:rPr>
                <w:rFonts w:ascii="Times New Roman" w:hAnsi="Times New Roman" w:eastAsia="Times New Roman" w:cs="Times New Roman"/>
                <w:spacing w:val="23"/>
                <w:sz w:val="17"/>
                <w:szCs w:val="17"/>
              </w:rPr>
              <w:t>“</w:t>
            </w:r>
            <w:r>
              <w:rPr>
                <w:rFonts w:ascii="黑体" w:hAnsi="黑体" w:eastAsia="黑体" w:cs="黑体"/>
                <w:spacing w:val="22"/>
                <w:sz w:val="17"/>
                <w:szCs w:val="17"/>
              </w:rPr>
              <w:t>宏</w:t>
            </w:r>
          </w:p>
          <w:p>
            <w:pPr>
              <w:spacing w:before="66" w:line="234" w:lineRule="auto"/>
              <w:ind w:left="96"/>
              <w:rPr>
                <w:rFonts w:ascii="黑体" w:hAnsi="黑体" w:eastAsia="黑体" w:cs="黑体"/>
                <w:sz w:val="17"/>
                <w:szCs w:val="17"/>
              </w:rPr>
            </w:pPr>
            <w:r>
              <w:rPr>
                <w:rFonts w:ascii="黑体" w:hAnsi="黑体" w:eastAsia="黑体" w:cs="黑体"/>
                <w:spacing w:val="-20"/>
                <w:sz w:val="17"/>
                <w:szCs w:val="17"/>
              </w:rPr>
              <w:t>义</w:t>
            </w:r>
            <w:r>
              <w:rPr>
                <w:rFonts w:ascii="黑体" w:hAnsi="黑体" w:eastAsia="黑体" w:cs="黑体"/>
                <w:spacing w:val="-18"/>
                <w:sz w:val="17"/>
                <w:szCs w:val="17"/>
              </w:rPr>
              <w:t xml:space="preserve"> </w:t>
            </w:r>
            <w:r>
              <w:rPr>
                <w:rFonts w:ascii="Times New Roman" w:hAnsi="Times New Roman" w:eastAsia="Times New Roman" w:cs="Times New Roman"/>
                <w:spacing w:val="-18"/>
                <w:sz w:val="17"/>
                <w:szCs w:val="17"/>
              </w:rPr>
              <w:t>·</w:t>
            </w:r>
            <w:r>
              <w:rPr>
                <w:rFonts w:ascii="黑体" w:hAnsi="黑体" w:eastAsia="黑体" w:cs="黑体"/>
                <w:spacing w:val="-18"/>
                <w:sz w:val="17"/>
                <w:szCs w:val="17"/>
              </w:rPr>
              <w:t>江</w:t>
            </w:r>
          </w:p>
          <w:p>
            <w:pPr>
              <w:spacing w:before="62" w:line="232" w:lineRule="auto"/>
              <w:ind w:left="83"/>
              <w:rPr>
                <w:rFonts w:ascii="Times New Roman" w:hAnsi="Times New Roman" w:eastAsia="Times New Roman" w:cs="Times New Roman"/>
                <w:sz w:val="17"/>
                <w:szCs w:val="17"/>
              </w:rPr>
            </w:pPr>
            <w:r>
              <w:rPr>
                <w:rFonts w:ascii="黑体" w:hAnsi="黑体" w:eastAsia="黑体" w:cs="黑体"/>
                <w:spacing w:val="19"/>
                <w:sz w:val="17"/>
                <w:szCs w:val="17"/>
              </w:rPr>
              <w:t>湾</w:t>
            </w:r>
            <w:r>
              <w:rPr>
                <w:rFonts w:ascii="黑体" w:hAnsi="黑体" w:eastAsia="黑体" w:cs="黑体"/>
                <w:spacing w:val="18"/>
                <w:sz w:val="17"/>
                <w:szCs w:val="17"/>
              </w:rPr>
              <w:t>城</w:t>
            </w:r>
            <w:r>
              <w:rPr>
                <w:rFonts w:ascii="Times New Roman" w:hAnsi="Times New Roman" w:eastAsia="Times New Roman" w:cs="Times New Roman"/>
                <w:spacing w:val="18"/>
                <w:sz w:val="17"/>
                <w:szCs w:val="17"/>
              </w:rPr>
              <w:t>”</w:t>
            </w:r>
          </w:p>
          <w:p>
            <w:pPr>
              <w:spacing w:before="67" w:line="235" w:lineRule="auto"/>
              <w:ind w:left="62"/>
              <w:rPr>
                <w:rFonts w:ascii="Times New Roman" w:hAnsi="Times New Roman" w:eastAsia="Times New Roman" w:cs="Times New Roman"/>
                <w:sz w:val="17"/>
                <w:szCs w:val="17"/>
              </w:rPr>
            </w:pPr>
            <w:r>
              <w:rPr>
                <w:rFonts w:ascii="黑体" w:hAnsi="黑体" w:eastAsia="黑体" w:cs="黑体"/>
                <w:spacing w:val="-7"/>
                <w:sz w:val="17"/>
                <w:szCs w:val="17"/>
              </w:rPr>
              <w:t>小</w:t>
            </w:r>
            <w:r>
              <w:rPr>
                <w:rFonts w:ascii="黑体" w:hAnsi="黑体" w:eastAsia="黑体" w:cs="黑体"/>
                <w:spacing w:val="-6"/>
                <w:sz w:val="17"/>
                <w:szCs w:val="17"/>
              </w:rPr>
              <w:t xml:space="preserve">区 </w:t>
            </w:r>
            <w:r>
              <w:rPr>
                <w:rFonts w:ascii="Times New Roman" w:hAnsi="Times New Roman" w:eastAsia="Times New Roman" w:cs="Times New Roman"/>
                <w:spacing w:val="-6"/>
                <w:sz w:val="17"/>
                <w:szCs w:val="17"/>
              </w:rPr>
              <w:t>5</w:t>
            </w:r>
          </w:p>
          <w:p>
            <w:pPr>
              <w:spacing w:before="64" w:line="235" w:lineRule="auto"/>
              <w:ind w:left="99"/>
              <w:rPr>
                <w:rFonts w:ascii="Times New Roman" w:hAnsi="Times New Roman" w:eastAsia="Times New Roman" w:cs="Times New Roman"/>
                <w:sz w:val="17"/>
                <w:szCs w:val="17"/>
              </w:rPr>
            </w:pPr>
            <w:r>
              <w:rPr>
                <w:rFonts w:ascii="黑体" w:hAnsi="黑体" w:eastAsia="黑体" w:cs="黑体"/>
                <w:spacing w:val="-9"/>
                <w:sz w:val="17"/>
                <w:szCs w:val="17"/>
              </w:rPr>
              <w:t>期</w:t>
            </w:r>
            <w:r>
              <w:rPr>
                <w:rFonts w:ascii="黑体" w:hAnsi="黑体" w:eastAsia="黑体" w:cs="黑体"/>
                <w:spacing w:val="-6"/>
                <w:sz w:val="17"/>
                <w:szCs w:val="17"/>
              </w:rPr>
              <w:t xml:space="preserve"> </w:t>
            </w:r>
            <w:r>
              <w:rPr>
                <w:rFonts w:ascii="Times New Roman" w:hAnsi="Times New Roman" w:eastAsia="Times New Roman" w:cs="Times New Roman"/>
                <w:spacing w:val="-6"/>
                <w:sz w:val="17"/>
                <w:szCs w:val="17"/>
              </w:rPr>
              <w:t>15</w:t>
            </w:r>
          </w:p>
          <w:p>
            <w:pPr>
              <w:spacing w:before="62" w:line="233" w:lineRule="auto"/>
              <w:ind w:left="125"/>
              <w:rPr>
                <w:rFonts w:ascii="黑体" w:hAnsi="黑体" w:eastAsia="黑体" w:cs="黑体"/>
                <w:sz w:val="17"/>
                <w:szCs w:val="17"/>
              </w:rPr>
            </w:pPr>
            <w:r>
              <w:rPr>
                <w:rFonts w:ascii="黑体" w:hAnsi="黑体" w:eastAsia="黑体" w:cs="黑体"/>
                <w:spacing w:val="5"/>
                <w:sz w:val="17"/>
                <w:szCs w:val="17"/>
              </w:rPr>
              <w:t>号</w:t>
            </w:r>
            <w:r>
              <w:rPr>
                <w:rFonts w:ascii="黑体" w:hAnsi="黑体" w:eastAsia="黑体" w:cs="黑体"/>
                <w:spacing w:val="4"/>
                <w:sz w:val="17"/>
                <w:szCs w:val="17"/>
              </w:rPr>
              <w:t>楼</w:t>
            </w:r>
          </w:p>
        </w:tc>
        <w:tc>
          <w:tcPr>
            <w:tcW w:w="598" w:type="dxa"/>
            <w:vMerge w:val="restart"/>
            <w:tcBorders>
              <w:bottom w:val="nil"/>
            </w:tcBorders>
            <w:vAlign w:val="top"/>
          </w:tcPr>
          <w:p>
            <w:pPr>
              <w:spacing w:before="249" w:line="197" w:lineRule="auto"/>
              <w:ind w:left="220"/>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1</w:t>
            </w:r>
            <w:r>
              <w:rPr>
                <w:rFonts w:ascii="Times New Roman" w:hAnsi="Times New Roman" w:eastAsia="Times New Roman" w:cs="Times New Roman"/>
                <w:spacing w:val="-4"/>
                <w:sz w:val="17"/>
                <w:szCs w:val="17"/>
              </w:rPr>
              <w:t>F</w:t>
            </w:r>
          </w:p>
        </w:tc>
        <w:tc>
          <w:tcPr>
            <w:tcW w:w="675" w:type="dxa"/>
            <w:vMerge w:val="restart"/>
            <w:tcBorders>
              <w:bottom w:val="nil"/>
            </w:tcBorders>
            <w:vAlign w:val="top"/>
          </w:tcPr>
          <w:p>
            <w:pPr>
              <w:spacing w:before="249" w:line="200" w:lineRule="auto"/>
              <w:ind w:left="24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w:t>
            </w:r>
          </w:p>
        </w:tc>
        <w:tc>
          <w:tcPr>
            <w:tcW w:w="577" w:type="dxa"/>
            <w:vMerge w:val="restart"/>
            <w:tcBorders>
              <w:bottom w:val="nil"/>
            </w:tcBorders>
            <w:vAlign w:val="top"/>
          </w:tcPr>
          <w:p>
            <w:pPr>
              <w:spacing w:before="218"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4" w:line="228"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39"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2"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51</w:t>
            </w:r>
          </w:p>
        </w:tc>
        <w:tc>
          <w:tcPr>
            <w:tcW w:w="689" w:type="dxa"/>
            <w:vAlign w:val="top"/>
          </w:tcPr>
          <w:p>
            <w:pPr>
              <w:spacing w:before="83" w:line="200"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44.0</w:t>
            </w:r>
          </w:p>
        </w:tc>
        <w:tc>
          <w:tcPr>
            <w:tcW w:w="689" w:type="dxa"/>
            <w:vAlign w:val="top"/>
          </w:tcPr>
          <w:p>
            <w:pPr>
              <w:spacing w:before="84"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51.</w:t>
            </w:r>
            <w:r>
              <w:rPr>
                <w:rFonts w:ascii="Times New Roman" w:hAnsi="Times New Roman" w:eastAsia="Times New Roman" w:cs="Times New Roman"/>
                <w:spacing w:val="3"/>
                <w:sz w:val="17"/>
                <w:szCs w:val="17"/>
              </w:rPr>
              <w:t>8</w:t>
            </w:r>
          </w:p>
        </w:tc>
        <w:tc>
          <w:tcPr>
            <w:tcW w:w="689" w:type="dxa"/>
            <w:vAlign w:val="top"/>
          </w:tcPr>
          <w:p>
            <w:pPr>
              <w:spacing w:before="84"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4"/>
                <w:sz w:val="17"/>
                <w:szCs w:val="17"/>
              </w:rPr>
              <w:t>.8</w:t>
            </w:r>
          </w:p>
        </w:tc>
        <w:tc>
          <w:tcPr>
            <w:tcW w:w="690" w:type="dxa"/>
            <w:vAlign w:val="top"/>
          </w:tcPr>
          <w:p>
            <w:pPr>
              <w:spacing w:before="83"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5.3</w:t>
            </w:r>
          </w:p>
        </w:tc>
        <w:tc>
          <w:tcPr>
            <w:tcW w:w="689" w:type="dxa"/>
            <w:vAlign w:val="top"/>
          </w:tcPr>
          <w:p>
            <w:pPr>
              <w:spacing w:before="84"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2"/>
                <w:sz w:val="17"/>
                <w:szCs w:val="17"/>
              </w:rPr>
              <w:t>2.0</w:t>
            </w:r>
          </w:p>
        </w:tc>
        <w:tc>
          <w:tcPr>
            <w:tcW w:w="689" w:type="dxa"/>
            <w:vAlign w:val="top"/>
          </w:tcPr>
          <w:p>
            <w:pPr>
              <w:spacing w:before="83"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w:t>
            </w:r>
            <w:r>
              <w:rPr>
                <w:rFonts w:ascii="Times New Roman" w:hAnsi="Times New Roman" w:eastAsia="Times New Roman" w:cs="Times New Roman"/>
                <w:spacing w:val="-3"/>
                <w:sz w:val="17"/>
                <w:szCs w:val="17"/>
              </w:rPr>
              <w:t>.0</w:t>
            </w:r>
          </w:p>
        </w:tc>
        <w:tc>
          <w:tcPr>
            <w:tcW w:w="690" w:type="dxa"/>
            <w:vAlign w:val="top"/>
          </w:tcPr>
          <w:p>
            <w:pPr>
              <w:spacing w:before="83" w:line="197" w:lineRule="auto"/>
              <w:ind w:left="303"/>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8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45.7</w:t>
            </w:r>
          </w:p>
        </w:tc>
        <w:tc>
          <w:tcPr>
            <w:tcW w:w="689" w:type="dxa"/>
            <w:vAlign w:val="top"/>
          </w:tcPr>
          <w:p>
            <w:pPr>
              <w:spacing w:before="84"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5</w:t>
            </w:r>
            <w:r>
              <w:rPr>
                <w:rFonts w:ascii="Times New Roman" w:hAnsi="Times New Roman" w:eastAsia="Times New Roman" w:cs="Times New Roman"/>
                <w:spacing w:val="-3"/>
                <w:sz w:val="17"/>
                <w:szCs w:val="17"/>
              </w:rPr>
              <w:t>2. 1</w:t>
            </w:r>
          </w:p>
        </w:tc>
        <w:tc>
          <w:tcPr>
            <w:tcW w:w="688" w:type="dxa"/>
            <w:vAlign w:val="top"/>
          </w:tcPr>
          <w:p>
            <w:pPr>
              <w:spacing w:before="83" w:line="200" w:lineRule="auto"/>
              <w:ind w:left="25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1.1</w:t>
            </w:r>
          </w:p>
        </w:tc>
        <w:tc>
          <w:tcPr>
            <w:tcW w:w="694" w:type="dxa"/>
            <w:vAlign w:val="top"/>
          </w:tcPr>
          <w:p>
            <w:pPr>
              <w:spacing w:before="83"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3" w:line="230"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4"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40" w:line="243"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4"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47</w:t>
            </w:r>
          </w:p>
        </w:tc>
        <w:tc>
          <w:tcPr>
            <w:tcW w:w="689" w:type="dxa"/>
            <w:vAlign w:val="top"/>
          </w:tcPr>
          <w:p>
            <w:pPr>
              <w:spacing w:before="85"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2"/>
                <w:sz w:val="17"/>
                <w:szCs w:val="17"/>
              </w:rPr>
              <w:t>6.2</w:t>
            </w:r>
          </w:p>
        </w:tc>
        <w:tc>
          <w:tcPr>
            <w:tcW w:w="689" w:type="dxa"/>
            <w:vAlign w:val="top"/>
          </w:tcPr>
          <w:p>
            <w:pPr>
              <w:spacing w:before="85"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7.4</w:t>
            </w:r>
          </w:p>
        </w:tc>
        <w:tc>
          <w:tcPr>
            <w:tcW w:w="689" w:type="dxa"/>
            <w:vAlign w:val="top"/>
          </w:tcPr>
          <w:p>
            <w:pPr>
              <w:spacing w:before="85"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.4</w:t>
            </w:r>
          </w:p>
        </w:tc>
        <w:tc>
          <w:tcPr>
            <w:tcW w:w="690" w:type="dxa"/>
            <w:vAlign w:val="top"/>
          </w:tcPr>
          <w:p>
            <w:pPr>
              <w:spacing w:before="85"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5" w:line="197" w:lineRule="auto"/>
              <w:ind w:left="19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3"/>
                <w:sz w:val="17"/>
                <w:szCs w:val="17"/>
              </w:rPr>
              <w:t>7.3</w:t>
            </w:r>
          </w:p>
        </w:tc>
        <w:tc>
          <w:tcPr>
            <w:tcW w:w="689" w:type="dxa"/>
            <w:vAlign w:val="top"/>
          </w:tcPr>
          <w:p>
            <w:pPr>
              <w:spacing w:before="85"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7.4</w:t>
            </w:r>
          </w:p>
        </w:tc>
        <w:tc>
          <w:tcPr>
            <w:tcW w:w="689" w:type="dxa"/>
            <w:vAlign w:val="top"/>
          </w:tcPr>
          <w:p>
            <w:pPr>
              <w:spacing w:before="85"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w:t>
            </w:r>
            <w:r>
              <w:rPr>
                <w:rFonts w:ascii="Times New Roman" w:hAnsi="Times New Roman" w:eastAsia="Times New Roman" w:cs="Times New Roman"/>
                <w:spacing w:val="1"/>
                <w:sz w:val="17"/>
                <w:szCs w:val="17"/>
              </w:rPr>
              <w:t>4</w:t>
            </w:r>
          </w:p>
        </w:tc>
        <w:tc>
          <w:tcPr>
            <w:tcW w:w="690" w:type="dxa"/>
            <w:vAlign w:val="top"/>
          </w:tcPr>
          <w:p>
            <w:pPr>
              <w:spacing w:before="85" w:line="197" w:lineRule="auto"/>
              <w:ind w:left="303"/>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5"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3"/>
                <w:sz w:val="17"/>
                <w:szCs w:val="17"/>
              </w:rPr>
              <w:t>7.6</w:t>
            </w:r>
          </w:p>
        </w:tc>
        <w:tc>
          <w:tcPr>
            <w:tcW w:w="689" w:type="dxa"/>
            <w:vAlign w:val="top"/>
          </w:tcPr>
          <w:p>
            <w:pPr>
              <w:spacing w:before="85"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7.5</w:t>
            </w:r>
          </w:p>
        </w:tc>
        <w:tc>
          <w:tcPr>
            <w:tcW w:w="688" w:type="dxa"/>
            <w:vAlign w:val="top"/>
          </w:tcPr>
          <w:p>
            <w:pPr>
              <w:spacing w:before="85"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4" w:type="dxa"/>
            <w:vAlign w:val="top"/>
          </w:tcPr>
          <w:p>
            <w:pPr>
              <w:spacing w:before="85"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48" w:line="197" w:lineRule="auto"/>
              <w:ind w:left="202"/>
              <w:rPr>
                <w:rFonts w:ascii="Times New Roman" w:hAnsi="Times New Roman" w:eastAsia="Times New Roman" w:cs="Times New Roman"/>
                <w:sz w:val="17"/>
                <w:szCs w:val="17"/>
              </w:rPr>
            </w:pPr>
            <w:r>
              <w:rPr>
                <w:rFonts w:ascii="Times New Roman" w:hAnsi="Times New Roman" w:eastAsia="Times New Roman" w:cs="Times New Roman"/>
                <w:spacing w:val="8"/>
                <w:sz w:val="17"/>
                <w:szCs w:val="17"/>
              </w:rPr>
              <w:t>4</w:t>
            </w:r>
            <w:r>
              <w:rPr>
                <w:rFonts w:ascii="Times New Roman" w:hAnsi="Times New Roman" w:eastAsia="Times New Roman" w:cs="Times New Roman"/>
                <w:sz w:val="17"/>
                <w:szCs w:val="17"/>
              </w:rPr>
              <w:t>F</w:t>
            </w:r>
          </w:p>
        </w:tc>
        <w:tc>
          <w:tcPr>
            <w:tcW w:w="675" w:type="dxa"/>
            <w:vMerge w:val="restart"/>
            <w:tcBorders>
              <w:bottom w:val="nil"/>
            </w:tcBorders>
            <w:vAlign w:val="top"/>
          </w:tcPr>
          <w:p>
            <w:pPr>
              <w:spacing w:before="249"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10.</w:t>
            </w:r>
            <w:r>
              <w:rPr>
                <w:rFonts w:ascii="Times New Roman" w:hAnsi="Times New Roman" w:eastAsia="Times New Roman" w:cs="Times New Roman"/>
                <w:sz w:val="17"/>
                <w:szCs w:val="17"/>
              </w:rPr>
              <w:t>2</w:t>
            </w:r>
          </w:p>
        </w:tc>
        <w:tc>
          <w:tcPr>
            <w:tcW w:w="577" w:type="dxa"/>
            <w:vMerge w:val="restart"/>
            <w:tcBorders>
              <w:bottom w:val="nil"/>
            </w:tcBorders>
            <w:vAlign w:val="top"/>
          </w:tcPr>
          <w:p>
            <w:pPr>
              <w:spacing w:before="220"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4" w:line="229"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4"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41"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4"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51</w:t>
            </w:r>
          </w:p>
        </w:tc>
        <w:tc>
          <w:tcPr>
            <w:tcW w:w="689" w:type="dxa"/>
            <w:vAlign w:val="top"/>
          </w:tcPr>
          <w:p>
            <w:pPr>
              <w:spacing w:before="83" w:line="200"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44.7</w:t>
            </w:r>
          </w:p>
        </w:tc>
        <w:tc>
          <w:tcPr>
            <w:tcW w:w="689" w:type="dxa"/>
            <w:vAlign w:val="top"/>
          </w:tcPr>
          <w:p>
            <w:pPr>
              <w:spacing w:before="83"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51.</w:t>
            </w:r>
            <w:r>
              <w:rPr>
                <w:rFonts w:ascii="Times New Roman" w:hAnsi="Times New Roman" w:eastAsia="Times New Roman" w:cs="Times New Roman"/>
                <w:spacing w:val="2"/>
                <w:sz w:val="17"/>
                <w:szCs w:val="17"/>
              </w:rPr>
              <w:t>9</w:t>
            </w:r>
          </w:p>
        </w:tc>
        <w:tc>
          <w:tcPr>
            <w:tcW w:w="689" w:type="dxa"/>
            <w:vAlign w:val="top"/>
          </w:tcPr>
          <w:p>
            <w:pPr>
              <w:spacing w:before="83"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.9</w:t>
            </w:r>
          </w:p>
        </w:tc>
        <w:tc>
          <w:tcPr>
            <w:tcW w:w="690" w:type="dxa"/>
            <w:vAlign w:val="top"/>
          </w:tcPr>
          <w:p>
            <w:pPr>
              <w:spacing w:before="83"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46.0</w:t>
            </w:r>
          </w:p>
        </w:tc>
        <w:tc>
          <w:tcPr>
            <w:tcW w:w="689" w:type="dxa"/>
            <w:vAlign w:val="top"/>
          </w:tcPr>
          <w:p>
            <w:pPr>
              <w:spacing w:before="83"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2.2</w:t>
            </w:r>
          </w:p>
        </w:tc>
        <w:tc>
          <w:tcPr>
            <w:tcW w:w="689" w:type="dxa"/>
            <w:vAlign w:val="top"/>
          </w:tcPr>
          <w:p>
            <w:pPr>
              <w:spacing w:before="83"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w:t>
            </w:r>
            <w:r>
              <w:rPr>
                <w:rFonts w:ascii="Times New Roman" w:hAnsi="Times New Roman" w:eastAsia="Times New Roman" w:cs="Times New Roman"/>
                <w:spacing w:val="-3"/>
                <w:sz w:val="17"/>
                <w:szCs w:val="17"/>
              </w:rPr>
              <w:t>.2</w:t>
            </w:r>
          </w:p>
        </w:tc>
        <w:tc>
          <w:tcPr>
            <w:tcW w:w="690" w:type="dxa"/>
            <w:vAlign w:val="top"/>
          </w:tcPr>
          <w:p>
            <w:pPr>
              <w:spacing w:before="83" w:line="197" w:lineRule="auto"/>
              <w:ind w:left="303"/>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88"/>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6.4</w:t>
            </w:r>
          </w:p>
        </w:tc>
        <w:tc>
          <w:tcPr>
            <w:tcW w:w="689" w:type="dxa"/>
            <w:vAlign w:val="top"/>
          </w:tcPr>
          <w:p>
            <w:pPr>
              <w:spacing w:before="83"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52.</w:t>
            </w:r>
            <w:r>
              <w:rPr>
                <w:rFonts w:ascii="Times New Roman" w:hAnsi="Times New Roman" w:eastAsia="Times New Roman" w:cs="Times New Roman"/>
                <w:spacing w:val="2"/>
                <w:sz w:val="17"/>
                <w:szCs w:val="17"/>
              </w:rPr>
              <w:t>3</w:t>
            </w:r>
          </w:p>
        </w:tc>
        <w:tc>
          <w:tcPr>
            <w:tcW w:w="688" w:type="dxa"/>
            <w:vAlign w:val="top"/>
          </w:tcPr>
          <w:p>
            <w:pPr>
              <w:spacing w:before="83" w:line="200" w:lineRule="auto"/>
              <w:ind w:left="25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3</w:t>
            </w:r>
          </w:p>
        </w:tc>
        <w:tc>
          <w:tcPr>
            <w:tcW w:w="694" w:type="dxa"/>
            <w:vAlign w:val="top"/>
          </w:tcPr>
          <w:p>
            <w:pPr>
              <w:spacing w:before="83"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4" w:line="229"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5"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41"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5"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47</w:t>
            </w:r>
          </w:p>
        </w:tc>
        <w:tc>
          <w:tcPr>
            <w:tcW w:w="689" w:type="dxa"/>
            <w:vAlign w:val="top"/>
          </w:tcPr>
          <w:p>
            <w:pPr>
              <w:spacing w:before="83"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3"/>
                <w:sz w:val="17"/>
                <w:szCs w:val="17"/>
              </w:rPr>
              <w:t>6.6</w:t>
            </w:r>
          </w:p>
        </w:tc>
        <w:tc>
          <w:tcPr>
            <w:tcW w:w="689" w:type="dxa"/>
            <w:vAlign w:val="top"/>
          </w:tcPr>
          <w:p>
            <w:pPr>
              <w:spacing w:before="83"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7.4</w:t>
            </w:r>
          </w:p>
        </w:tc>
        <w:tc>
          <w:tcPr>
            <w:tcW w:w="689" w:type="dxa"/>
            <w:vAlign w:val="top"/>
          </w:tcPr>
          <w:p>
            <w:pPr>
              <w:spacing w:before="83"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.4</w:t>
            </w:r>
          </w:p>
        </w:tc>
        <w:tc>
          <w:tcPr>
            <w:tcW w:w="690" w:type="dxa"/>
            <w:vAlign w:val="top"/>
          </w:tcPr>
          <w:p>
            <w:pPr>
              <w:spacing w:before="83"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9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37.8</w:t>
            </w:r>
          </w:p>
        </w:tc>
        <w:tc>
          <w:tcPr>
            <w:tcW w:w="689" w:type="dxa"/>
            <w:vAlign w:val="top"/>
          </w:tcPr>
          <w:p>
            <w:pPr>
              <w:spacing w:before="83"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7.5</w:t>
            </w:r>
          </w:p>
        </w:tc>
        <w:tc>
          <w:tcPr>
            <w:tcW w:w="689" w:type="dxa"/>
            <w:vAlign w:val="top"/>
          </w:tcPr>
          <w:p>
            <w:pPr>
              <w:spacing w:before="83"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0.5</w:t>
            </w:r>
          </w:p>
        </w:tc>
        <w:tc>
          <w:tcPr>
            <w:tcW w:w="690" w:type="dxa"/>
            <w:vAlign w:val="top"/>
          </w:tcPr>
          <w:p>
            <w:pPr>
              <w:spacing w:before="83" w:line="197" w:lineRule="auto"/>
              <w:ind w:left="303"/>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3"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3"/>
                <w:sz w:val="17"/>
                <w:szCs w:val="17"/>
              </w:rPr>
              <w:t>8. 1</w:t>
            </w:r>
          </w:p>
        </w:tc>
        <w:tc>
          <w:tcPr>
            <w:tcW w:w="689" w:type="dxa"/>
            <w:vAlign w:val="top"/>
          </w:tcPr>
          <w:p>
            <w:pPr>
              <w:spacing w:before="83"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7.5</w:t>
            </w:r>
          </w:p>
        </w:tc>
        <w:tc>
          <w:tcPr>
            <w:tcW w:w="688" w:type="dxa"/>
            <w:vAlign w:val="top"/>
          </w:tcPr>
          <w:p>
            <w:pPr>
              <w:spacing w:before="83"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4" w:type="dxa"/>
            <w:vAlign w:val="top"/>
          </w:tcPr>
          <w:p>
            <w:pPr>
              <w:spacing w:before="83"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51" w:line="194" w:lineRule="auto"/>
              <w:ind w:left="20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7</w:t>
            </w:r>
            <w:r>
              <w:rPr>
                <w:rFonts w:ascii="Times New Roman" w:hAnsi="Times New Roman" w:eastAsia="Times New Roman" w:cs="Times New Roman"/>
                <w:sz w:val="17"/>
                <w:szCs w:val="17"/>
              </w:rPr>
              <w:t>F</w:t>
            </w:r>
          </w:p>
        </w:tc>
        <w:tc>
          <w:tcPr>
            <w:tcW w:w="675" w:type="dxa"/>
            <w:vMerge w:val="restart"/>
            <w:tcBorders>
              <w:bottom w:val="nil"/>
            </w:tcBorders>
            <w:vAlign w:val="top"/>
          </w:tcPr>
          <w:p>
            <w:pPr>
              <w:spacing w:before="249"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19.</w:t>
            </w:r>
            <w:r>
              <w:rPr>
                <w:rFonts w:ascii="Times New Roman" w:hAnsi="Times New Roman" w:eastAsia="Times New Roman" w:cs="Times New Roman"/>
                <w:sz w:val="17"/>
                <w:szCs w:val="17"/>
              </w:rPr>
              <w:t>2</w:t>
            </w:r>
          </w:p>
        </w:tc>
        <w:tc>
          <w:tcPr>
            <w:tcW w:w="577" w:type="dxa"/>
            <w:vMerge w:val="restart"/>
            <w:tcBorders>
              <w:bottom w:val="nil"/>
            </w:tcBorders>
            <w:vAlign w:val="top"/>
          </w:tcPr>
          <w:p>
            <w:pPr>
              <w:spacing w:before="218"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4" w:line="229"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3"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39"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5" w:line="194"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55</w:t>
            </w:r>
          </w:p>
        </w:tc>
        <w:tc>
          <w:tcPr>
            <w:tcW w:w="689" w:type="dxa"/>
            <w:vAlign w:val="top"/>
          </w:tcPr>
          <w:p>
            <w:pPr>
              <w:spacing w:before="83" w:line="200"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44.7</w:t>
            </w:r>
          </w:p>
        </w:tc>
        <w:tc>
          <w:tcPr>
            <w:tcW w:w="689" w:type="dxa"/>
            <w:vAlign w:val="top"/>
          </w:tcPr>
          <w:p>
            <w:pPr>
              <w:spacing w:before="84"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5.4</w:t>
            </w:r>
          </w:p>
        </w:tc>
        <w:tc>
          <w:tcPr>
            <w:tcW w:w="689" w:type="dxa"/>
            <w:vAlign w:val="top"/>
          </w:tcPr>
          <w:p>
            <w:pPr>
              <w:spacing w:before="84"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.4</w:t>
            </w:r>
          </w:p>
        </w:tc>
        <w:tc>
          <w:tcPr>
            <w:tcW w:w="690" w:type="dxa"/>
            <w:vAlign w:val="top"/>
          </w:tcPr>
          <w:p>
            <w:pPr>
              <w:spacing w:before="83"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46.0</w:t>
            </w:r>
          </w:p>
        </w:tc>
        <w:tc>
          <w:tcPr>
            <w:tcW w:w="689" w:type="dxa"/>
            <w:vAlign w:val="top"/>
          </w:tcPr>
          <w:p>
            <w:pPr>
              <w:spacing w:before="86" w:line="194"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5.5</w:t>
            </w:r>
          </w:p>
        </w:tc>
        <w:tc>
          <w:tcPr>
            <w:tcW w:w="689" w:type="dxa"/>
            <w:vAlign w:val="top"/>
          </w:tcPr>
          <w:p>
            <w:pPr>
              <w:spacing w:before="84"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0.5</w:t>
            </w:r>
          </w:p>
        </w:tc>
        <w:tc>
          <w:tcPr>
            <w:tcW w:w="690" w:type="dxa"/>
            <w:vAlign w:val="top"/>
          </w:tcPr>
          <w:p>
            <w:pPr>
              <w:spacing w:before="83" w:line="197" w:lineRule="auto"/>
              <w:ind w:left="303"/>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88"/>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6.4</w:t>
            </w:r>
          </w:p>
        </w:tc>
        <w:tc>
          <w:tcPr>
            <w:tcW w:w="689" w:type="dxa"/>
            <w:vAlign w:val="top"/>
          </w:tcPr>
          <w:p>
            <w:pPr>
              <w:spacing w:before="84"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55.6</w:t>
            </w:r>
          </w:p>
        </w:tc>
        <w:tc>
          <w:tcPr>
            <w:tcW w:w="688" w:type="dxa"/>
            <w:vAlign w:val="top"/>
          </w:tcPr>
          <w:p>
            <w:pPr>
              <w:spacing w:before="84"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.6</w:t>
            </w:r>
          </w:p>
        </w:tc>
        <w:tc>
          <w:tcPr>
            <w:tcW w:w="694" w:type="dxa"/>
            <w:vAlign w:val="top"/>
          </w:tcPr>
          <w:p>
            <w:pPr>
              <w:spacing w:before="83"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5" w:line="228"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3"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40"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3"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w:t>
            </w:r>
          </w:p>
        </w:tc>
        <w:tc>
          <w:tcPr>
            <w:tcW w:w="689" w:type="dxa"/>
            <w:vAlign w:val="top"/>
          </w:tcPr>
          <w:p>
            <w:pPr>
              <w:spacing w:before="84"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3</w:t>
            </w:r>
            <w:r>
              <w:rPr>
                <w:rFonts w:ascii="Times New Roman" w:hAnsi="Times New Roman" w:eastAsia="Times New Roman" w:cs="Times New Roman"/>
                <w:spacing w:val="3"/>
                <w:sz w:val="17"/>
                <w:szCs w:val="17"/>
              </w:rPr>
              <w:t>6.5</w:t>
            </w:r>
          </w:p>
        </w:tc>
        <w:tc>
          <w:tcPr>
            <w:tcW w:w="689" w:type="dxa"/>
            <w:vAlign w:val="top"/>
          </w:tcPr>
          <w:p>
            <w:pPr>
              <w:spacing w:before="84"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6.5</w:t>
            </w:r>
          </w:p>
        </w:tc>
        <w:tc>
          <w:tcPr>
            <w:tcW w:w="689" w:type="dxa"/>
            <w:vAlign w:val="top"/>
          </w:tcPr>
          <w:p>
            <w:pPr>
              <w:spacing w:before="84"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0" w:type="dxa"/>
            <w:vAlign w:val="top"/>
          </w:tcPr>
          <w:p>
            <w:pPr>
              <w:spacing w:before="84"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9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37.7</w:t>
            </w:r>
          </w:p>
        </w:tc>
        <w:tc>
          <w:tcPr>
            <w:tcW w:w="689" w:type="dxa"/>
            <w:vAlign w:val="top"/>
          </w:tcPr>
          <w:p>
            <w:pPr>
              <w:spacing w:before="84"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6.6</w:t>
            </w:r>
          </w:p>
        </w:tc>
        <w:tc>
          <w:tcPr>
            <w:tcW w:w="689" w:type="dxa"/>
            <w:vAlign w:val="top"/>
          </w:tcPr>
          <w:p>
            <w:pPr>
              <w:spacing w:before="84"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2"/>
                <w:sz w:val="17"/>
                <w:szCs w:val="17"/>
              </w:rPr>
              <w:t>.6</w:t>
            </w:r>
          </w:p>
        </w:tc>
        <w:tc>
          <w:tcPr>
            <w:tcW w:w="690" w:type="dxa"/>
            <w:vAlign w:val="top"/>
          </w:tcPr>
          <w:p>
            <w:pPr>
              <w:spacing w:before="84" w:line="197" w:lineRule="auto"/>
              <w:ind w:left="303"/>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3"/>
                <w:sz w:val="17"/>
                <w:szCs w:val="17"/>
              </w:rPr>
              <w:t>8. 1</w:t>
            </w:r>
          </w:p>
        </w:tc>
        <w:tc>
          <w:tcPr>
            <w:tcW w:w="689" w:type="dxa"/>
            <w:vAlign w:val="top"/>
          </w:tcPr>
          <w:p>
            <w:pPr>
              <w:spacing w:before="84"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46.7</w:t>
            </w:r>
          </w:p>
        </w:tc>
        <w:tc>
          <w:tcPr>
            <w:tcW w:w="688" w:type="dxa"/>
            <w:vAlign w:val="top"/>
          </w:tcPr>
          <w:p>
            <w:pPr>
              <w:spacing w:before="84"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0.7</w:t>
            </w:r>
          </w:p>
        </w:tc>
        <w:tc>
          <w:tcPr>
            <w:tcW w:w="694" w:type="dxa"/>
            <w:vAlign w:val="top"/>
          </w:tcPr>
          <w:p>
            <w:pPr>
              <w:spacing w:before="84"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50" w:line="197" w:lineRule="auto"/>
              <w:ind w:left="17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10F</w:t>
            </w:r>
          </w:p>
        </w:tc>
        <w:tc>
          <w:tcPr>
            <w:tcW w:w="675" w:type="dxa"/>
            <w:vMerge w:val="restart"/>
            <w:tcBorders>
              <w:bottom w:val="nil"/>
            </w:tcBorders>
            <w:vAlign w:val="top"/>
          </w:tcPr>
          <w:p>
            <w:pPr>
              <w:spacing w:before="250" w:line="197" w:lineRule="auto"/>
              <w:ind w:left="17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8.2</w:t>
            </w:r>
          </w:p>
        </w:tc>
        <w:tc>
          <w:tcPr>
            <w:tcW w:w="577" w:type="dxa"/>
            <w:vMerge w:val="restart"/>
            <w:tcBorders>
              <w:bottom w:val="nil"/>
            </w:tcBorders>
            <w:vAlign w:val="top"/>
          </w:tcPr>
          <w:p>
            <w:pPr>
              <w:spacing w:before="219"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4" w:line="227"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3"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40"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3"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53</w:t>
            </w:r>
          </w:p>
        </w:tc>
        <w:tc>
          <w:tcPr>
            <w:tcW w:w="689" w:type="dxa"/>
            <w:vAlign w:val="top"/>
          </w:tcPr>
          <w:p>
            <w:pPr>
              <w:spacing w:before="84" w:line="200"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4.6</w:t>
            </w:r>
          </w:p>
        </w:tc>
        <w:tc>
          <w:tcPr>
            <w:tcW w:w="689" w:type="dxa"/>
            <w:vAlign w:val="top"/>
          </w:tcPr>
          <w:p>
            <w:pPr>
              <w:spacing w:before="85"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53.6</w:t>
            </w:r>
          </w:p>
        </w:tc>
        <w:tc>
          <w:tcPr>
            <w:tcW w:w="689" w:type="dxa"/>
            <w:vAlign w:val="top"/>
          </w:tcPr>
          <w:p>
            <w:pPr>
              <w:spacing w:before="85"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.6</w:t>
            </w:r>
          </w:p>
        </w:tc>
        <w:tc>
          <w:tcPr>
            <w:tcW w:w="690" w:type="dxa"/>
            <w:vAlign w:val="top"/>
          </w:tcPr>
          <w:p>
            <w:pPr>
              <w:spacing w:before="84"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5"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46.0</w:t>
            </w:r>
          </w:p>
        </w:tc>
        <w:tc>
          <w:tcPr>
            <w:tcW w:w="689" w:type="dxa"/>
            <w:vAlign w:val="top"/>
          </w:tcPr>
          <w:p>
            <w:pPr>
              <w:spacing w:before="85"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53.</w:t>
            </w:r>
            <w:r>
              <w:rPr>
                <w:rFonts w:ascii="Times New Roman" w:hAnsi="Times New Roman" w:eastAsia="Times New Roman" w:cs="Times New Roman"/>
                <w:spacing w:val="3"/>
                <w:sz w:val="17"/>
                <w:szCs w:val="17"/>
              </w:rPr>
              <w:t>8</w:t>
            </w:r>
          </w:p>
        </w:tc>
        <w:tc>
          <w:tcPr>
            <w:tcW w:w="689" w:type="dxa"/>
            <w:vAlign w:val="top"/>
          </w:tcPr>
          <w:p>
            <w:pPr>
              <w:spacing w:before="85"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3"/>
                <w:sz w:val="17"/>
                <w:szCs w:val="17"/>
              </w:rPr>
              <w:t>.8</w:t>
            </w:r>
          </w:p>
        </w:tc>
        <w:tc>
          <w:tcPr>
            <w:tcW w:w="690" w:type="dxa"/>
            <w:vAlign w:val="top"/>
          </w:tcPr>
          <w:p>
            <w:pPr>
              <w:spacing w:before="84" w:line="197" w:lineRule="auto"/>
              <w:ind w:left="303"/>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5" w:line="197" w:lineRule="auto"/>
              <w:ind w:left="188"/>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6.4</w:t>
            </w:r>
          </w:p>
        </w:tc>
        <w:tc>
          <w:tcPr>
            <w:tcW w:w="689" w:type="dxa"/>
            <w:vAlign w:val="top"/>
          </w:tcPr>
          <w:p>
            <w:pPr>
              <w:spacing w:before="85"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53.</w:t>
            </w:r>
            <w:r>
              <w:rPr>
                <w:rFonts w:ascii="Times New Roman" w:hAnsi="Times New Roman" w:eastAsia="Times New Roman" w:cs="Times New Roman"/>
                <w:spacing w:val="2"/>
                <w:sz w:val="17"/>
                <w:szCs w:val="17"/>
              </w:rPr>
              <w:t>9</w:t>
            </w:r>
          </w:p>
        </w:tc>
        <w:tc>
          <w:tcPr>
            <w:tcW w:w="688" w:type="dxa"/>
            <w:vAlign w:val="top"/>
          </w:tcPr>
          <w:p>
            <w:pPr>
              <w:spacing w:before="85"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.9</w:t>
            </w:r>
          </w:p>
        </w:tc>
        <w:tc>
          <w:tcPr>
            <w:tcW w:w="694" w:type="dxa"/>
            <w:vAlign w:val="top"/>
          </w:tcPr>
          <w:p>
            <w:pPr>
              <w:spacing w:before="84"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4" w:line="229"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5"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41" w:line="243"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5"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48</w:t>
            </w:r>
          </w:p>
        </w:tc>
        <w:tc>
          <w:tcPr>
            <w:tcW w:w="689" w:type="dxa"/>
            <w:vAlign w:val="top"/>
          </w:tcPr>
          <w:p>
            <w:pPr>
              <w:spacing w:before="86"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3"/>
                <w:sz w:val="17"/>
                <w:szCs w:val="17"/>
              </w:rPr>
              <w:t>6.3</w:t>
            </w:r>
          </w:p>
        </w:tc>
        <w:tc>
          <w:tcPr>
            <w:tcW w:w="689" w:type="dxa"/>
            <w:vAlign w:val="top"/>
          </w:tcPr>
          <w:p>
            <w:pPr>
              <w:spacing w:before="86"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8.3</w:t>
            </w:r>
          </w:p>
        </w:tc>
        <w:tc>
          <w:tcPr>
            <w:tcW w:w="689" w:type="dxa"/>
            <w:vAlign w:val="top"/>
          </w:tcPr>
          <w:p>
            <w:pPr>
              <w:spacing w:before="86"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.3</w:t>
            </w:r>
          </w:p>
        </w:tc>
        <w:tc>
          <w:tcPr>
            <w:tcW w:w="690" w:type="dxa"/>
            <w:vAlign w:val="top"/>
          </w:tcPr>
          <w:p>
            <w:pPr>
              <w:spacing w:before="86"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6" w:line="197" w:lineRule="auto"/>
              <w:ind w:left="19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3"/>
                <w:sz w:val="17"/>
                <w:szCs w:val="17"/>
              </w:rPr>
              <w:t>7.6</w:t>
            </w:r>
          </w:p>
        </w:tc>
        <w:tc>
          <w:tcPr>
            <w:tcW w:w="689" w:type="dxa"/>
            <w:vAlign w:val="top"/>
          </w:tcPr>
          <w:p>
            <w:pPr>
              <w:spacing w:before="86"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8.4</w:t>
            </w:r>
          </w:p>
        </w:tc>
        <w:tc>
          <w:tcPr>
            <w:tcW w:w="689" w:type="dxa"/>
            <w:vAlign w:val="top"/>
          </w:tcPr>
          <w:p>
            <w:pPr>
              <w:spacing w:before="86"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w:t>
            </w:r>
            <w:r>
              <w:rPr>
                <w:rFonts w:ascii="Times New Roman" w:hAnsi="Times New Roman" w:eastAsia="Times New Roman" w:cs="Times New Roman"/>
                <w:spacing w:val="1"/>
                <w:sz w:val="17"/>
                <w:szCs w:val="17"/>
              </w:rPr>
              <w:t>4</w:t>
            </w:r>
          </w:p>
        </w:tc>
        <w:tc>
          <w:tcPr>
            <w:tcW w:w="690" w:type="dxa"/>
            <w:vAlign w:val="top"/>
          </w:tcPr>
          <w:p>
            <w:pPr>
              <w:spacing w:before="86" w:line="197" w:lineRule="auto"/>
              <w:ind w:left="303"/>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6"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37.9</w:t>
            </w:r>
          </w:p>
        </w:tc>
        <w:tc>
          <w:tcPr>
            <w:tcW w:w="689" w:type="dxa"/>
            <w:vAlign w:val="top"/>
          </w:tcPr>
          <w:p>
            <w:pPr>
              <w:spacing w:before="86"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8.4</w:t>
            </w:r>
          </w:p>
        </w:tc>
        <w:tc>
          <w:tcPr>
            <w:tcW w:w="688" w:type="dxa"/>
            <w:vAlign w:val="top"/>
          </w:tcPr>
          <w:p>
            <w:pPr>
              <w:spacing w:before="86"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.4</w:t>
            </w:r>
          </w:p>
        </w:tc>
        <w:tc>
          <w:tcPr>
            <w:tcW w:w="694" w:type="dxa"/>
            <w:vAlign w:val="top"/>
          </w:tcPr>
          <w:p>
            <w:pPr>
              <w:spacing w:before="86"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49" w:line="197" w:lineRule="auto"/>
              <w:ind w:left="17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15F</w:t>
            </w:r>
          </w:p>
        </w:tc>
        <w:tc>
          <w:tcPr>
            <w:tcW w:w="675" w:type="dxa"/>
            <w:vMerge w:val="restart"/>
            <w:tcBorders>
              <w:bottom w:val="nil"/>
            </w:tcBorders>
            <w:vAlign w:val="top"/>
          </w:tcPr>
          <w:p>
            <w:pPr>
              <w:spacing w:before="250" w:line="197" w:lineRule="auto"/>
              <w:ind w:left="17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3.2</w:t>
            </w:r>
          </w:p>
        </w:tc>
        <w:tc>
          <w:tcPr>
            <w:tcW w:w="577" w:type="dxa"/>
            <w:vMerge w:val="restart"/>
            <w:tcBorders>
              <w:bottom w:val="nil"/>
            </w:tcBorders>
            <w:vAlign w:val="top"/>
          </w:tcPr>
          <w:p>
            <w:pPr>
              <w:spacing w:before="221"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5" w:line="228"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5"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42"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5"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9" w:type="dxa"/>
            <w:vAlign w:val="top"/>
          </w:tcPr>
          <w:p>
            <w:pPr>
              <w:spacing w:before="84" w:line="200"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4.5</w:t>
            </w:r>
          </w:p>
        </w:tc>
        <w:tc>
          <w:tcPr>
            <w:tcW w:w="689" w:type="dxa"/>
            <w:vAlign w:val="top"/>
          </w:tcPr>
          <w:p>
            <w:pPr>
              <w:spacing w:before="84"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5</w:t>
            </w:r>
            <w:r>
              <w:rPr>
                <w:rFonts w:ascii="Times New Roman" w:hAnsi="Times New Roman" w:eastAsia="Times New Roman" w:cs="Times New Roman"/>
                <w:spacing w:val="-3"/>
                <w:sz w:val="17"/>
                <w:szCs w:val="17"/>
              </w:rPr>
              <w:t>1. 1</w:t>
            </w:r>
          </w:p>
        </w:tc>
        <w:tc>
          <w:tcPr>
            <w:tcW w:w="689" w:type="dxa"/>
            <w:vAlign w:val="top"/>
          </w:tcPr>
          <w:p>
            <w:pPr>
              <w:spacing w:before="84" w:line="200" w:lineRule="auto"/>
              <w:ind w:left="24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1.1</w:t>
            </w:r>
          </w:p>
        </w:tc>
        <w:tc>
          <w:tcPr>
            <w:tcW w:w="690" w:type="dxa"/>
            <w:vAlign w:val="top"/>
          </w:tcPr>
          <w:p>
            <w:pPr>
              <w:spacing w:before="84"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5.9</w:t>
            </w:r>
          </w:p>
        </w:tc>
        <w:tc>
          <w:tcPr>
            <w:tcW w:w="689" w:type="dxa"/>
            <w:vAlign w:val="top"/>
          </w:tcPr>
          <w:p>
            <w:pPr>
              <w:spacing w:before="84"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1.4</w:t>
            </w:r>
          </w:p>
        </w:tc>
        <w:tc>
          <w:tcPr>
            <w:tcW w:w="689" w:type="dxa"/>
            <w:vAlign w:val="top"/>
          </w:tcPr>
          <w:p>
            <w:pPr>
              <w:spacing w:before="84"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w:t>
            </w:r>
            <w:r>
              <w:rPr>
                <w:rFonts w:ascii="Times New Roman" w:hAnsi="Times New Roman" w:eastAsia="Times New Roman" w:cs="Times New Roman"/>
                <w:spacing w:val="-3"/>
                <w:sz w:val="17"/>
                <w:szCs w:val="17"/>
              </w:rPr>
              <w:t>.4</w:t>
            </w:r>
          </w:p>
        </w:tc>
        <w:tc>
          <w:tcPr>
            <w:tcW w:w="690" w:type="dxa"/>
            <w:vAlign w:val="top"/>
          </w:tcPr>
          <w:p>
            <w:pPr>
              <w:spacing w:before="84" w:line="197" w:lineRule="auto"/>
              <w:ind w:left="303"/>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8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6.3</w:t>
            </w:r>
          </w:p>
        </w:tc>
        <w:tc>
          <w:tcPr>
            <w:tcW w:w="689" w:type="dxa"/>
            <w:vAlign w:val="top"/>
          </w:tcPr>
          <w:p>
            <w:pPr>
              <w:spacing w:before="84"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1.5</w:t>
            </w:r>
          </w:p>
        </w:tc>
        <w:tc>
          <w:tcPr>
            <w:tcW w:w="688" w:type="dxa"/>
            <w:vAlign w:val="top"/>
          </w:tcPr>
          <w:p>
            <w:pPr>
              <w:spacing w:before="84" w:line="200" w:lineRule="auto"/>
              <w:ind w:left="25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.5</w:t>
            </w:r>
          </w:p>
        </w:tc>
        <w:tc>
          <w:tcPr>
            <w:tcW w:w="694" w:type="dxa"/>
            <w:vAlign w:val="top"/>
          </w:tcPr>
          <w:p>
            <w:pPr>
              <w:spacing w:before="84"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5" w:line="228"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6"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42"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6"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w:t>
            </w:r>
          </w:p>
        </w:tc>
        <w:tc>
          <w:tcPr>
            <w:tcW w:w="689" w:type="dxa"/>
            <w:vAlign w:val="top"/>
          </w:tcPr>
          <w:p>
            <w:pPr>
              <w:spacing w:before="84"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3"/>
                <w:sz w:val="17"/>
                <w:szCs w:val="17"/>
              </w:rPr>
              <w:t>6. 1</w:t>
            </w:r>
          </w:p>
        </w:tc>
        <w:tc>
          <w:tcPr>
            <w:tcW w:w="689" w:type="dxa"/>
            <w:vAlign w:val="top"/>
          </w:tcPr>
          <w:p>
            <w:pPr>
              <w:spacing w:before="84"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6.4</w:t>
            </w:r>
          </w:p>
        </w:tc>
        <w:tc>
          <w:tcPr>
            <w:tcW w:w="689" w:type="dxa"/>
            <w:vAlign w:val="top"/>
          </w:tcPr>
          <w:p>
            <w:pPr>
              <w:spacing w:before="84"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.4</w:t>
            </w:r>
          </w:p>
        </w:tc>
        <w:tc>
          <w:tcPr>
            <w:tcW w:w="690" w:type="dxa"/>
            <w:vAlign w:val="top"/>
          </w:tcPr>
          <w:p>
            <w:pPr>
              <w:spacing w:before="84"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9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2"/>
                <w:sz w:val="17"/>
                <w:szCs w:val="17"/>
              </w:rPr>
              <w:t>7.4</w:t>
            </w:r>
          </w:p>
        </w:tc>
        <w:tc>
          <w:tcPr>
            <w:tcW w:w="689" w:type="dxa"/>
            <w:vAlign w:val="top"/>
          </w:tcPr>
          <w:p>
            <w:pPr>
              <w:spacing w:before="84"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6.6</w:t>
            </w:r>
          </w:p>
        </w:tc>
        <w:tc>
          <w:tcPr>
            <w:tcW w:w="689" w:type="dxa"/>
            <w:vAlign w:val="top"/>
          </w:tcPr>
          <w:p>
            <w:pPr>
              <w:spacing w:before="84"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2"/>
                <w:sz w:val="17"/>
                <w:szCs w:val="17"/>
              </w:rPr>
              <w:t>.6</w:t>
            </w:r>
          </w:p>
        </w:tc>
        <w:tc>
          <w:tcPr>
            <w:tcW w:w="690" w:type="dxa"/>
            <w:vAlign w:val="top"/>
          </w:tcPr>
          <w:p>
            <w:pPr>
              <w:spacing w:before="84" w:line="197" w:lineRule="auto"/>
              <w:ind w:left="303"/>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37.7</w:t>
            </w:r>
          </w:p>
        </w:tc>
        <w:tc>
          <w:tcPr>
            <w:tcW w:w="689" w:type="dxa"/>
            <w:vAlign w:val="top"/>
          </w:tcPr>
          <w:p>
            <w:pPr>
              <w:spacing w:before="84"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6.6</w:t>
            </w:r>
          </w:p>
        </w:tc>
        <w:tc>
          <w:tcPr>
            <w:tcW w:w="688" w:type="dxa"/>
            <w:vAlign w:val="top"/>
          </w:tcPr>
          <w:p>
            <w:pPr>
              <w:spacing w:before="84"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.6</w:t>
            </w:r>
          </w:p>
        </w:tc>
        <w:tc>
          <w:tcPr>
            <w:tcW w:w="694" w:type="dxa"/>
            <w:vAlign w:val="top"/>
          </w:tcPr>
          <w:p>
            <w:pPr>
              <w:spacing w:before="84"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50" w:line="197" w:lineRule="auto"/>
              <w:ind w:left="15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0</w:t>
            </w:r>
            <w:r>
              <w:rPr>
                <w:rFonts w:ascii="Times New Roman" w:hAnsi="Times New Roman" w:eastAsia="Times New Roman" w:cs="Times New Roman"/>
                <w:sz w:val="17"/>
                <w:szCs w:val="17"/>
              </w:rPr>
              <w:t>F</w:t>
            </w:r>
          </w:p>
        </w:tc>
        <w:tc>
          <w:tcPr>
            <w:tcW w:w="675" w:type="dxa"/>
            <w:vMerge w:val="restart"/>
            <w:tcBorders>
              <w:bottom w:val="nil"/>
            </w:tcBorders>
            <w:vAlign w:val="top"/>
          </w:tcPr>
          <w:p>
            <w:pPr>
              <w:spacing w:before="250" w:line="197" w:lineRule="auto"/>
              <w:ind w:left="18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pacing w:val="2"/>
                <w:sz w:val="17"/>
                <w:szCs w:val="17"/>
              </w:rPr>
              <w:t>8.2</w:t>
            </w:r>
          </w:p>
        </w:tc>
        <w:tc>
          <w:tcPr>
            <w:tcW w:w="577" w:type="dxa"/>
            <w:vMerge w:val="restart"/>
            <w:tcBorders>
              <w:bottom w:val="nil"/>
            </w:tcBorders>
            <w:vAlign w:val="top"/>
          </w:tcPr>
          <w:p>
            <w:pPr>
              <w:spacing w:before="219"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5" w:line="227"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4"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40"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4"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4" w:line="200"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4.3</w:t>
            </w:r>
          </w:p>
        </w:tc>
        <w:tc>
          <w:tcPr>
            <w:tcW w:w="689" w:type="dxa"/>
            <w:vAlign w:val="top"/>
          </w:tcPr>
          <w:p>
            <w:pPr>
              <w:spacing w:before="85"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50.</w:t>
            </w:r>
            <w:r>
              <w:rPr>
                <w:rFonts w:ascii="Times New Roman" w:hAnsi="Times New Roman" w:eastAsia="Times New Roman" w:cs="Times New Roman"/>
                <w:spacing w:val="2"/>
                <w:sz w:val="17"/>
                <w:szCs w:val="17"/>
              </w:rPr>
              <w:t>3</w:t>
            </w:r>
          </w:p>
        </w:tc>
        <w:tc>
          <w:tcPr>
            <w:tcW w:w="689" w:type="dxa"/>
            <w:vAlign w:val="top"/>
          </w:tcPr>
          <w:p>
            <w:pPr>
              <w:spacing w:before="84" w:line="200" w:lineRule="auto"/>
              <w:ind w:left="24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3</w:t>
            </w:r>
          </w:p>
        </w:tc>
        <w:tc>
          <w:tcPr>
            <w:tcW w:w="690" w:type="dxa"/>
            <w:vAlign w:val="top"/>
          </w:tcPr>
          <w:p>
            <w:pPr>
              <w:spacing w:before="84"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5"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45.7</w:t>
            </w:r>
          </w:p>
        </w:tc>
        <w:tc>
          <w:tcPr>
            <w:tcW w:w="689" w:type="dxa"/>
            <w:vAlign w:val="top"/>
          </w:tcPr>
          <w:p>
            <w:pPr>
              <w:spacing w:before="85"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.7</w:t>
            </w:r>
          </w:p>
        </w:tc>
        <w:tc>
          <w:tcPr>
            <w:tcW w:w="689" w:type="dxa"/>
            <w:vAlign w:val="top"/>
          </w:tcPr>
          <w:p>
            <w:pPr>
              <w:spacing w:before="84"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w:t>
            </w:r>
            <w:r>
              <w:rPr>
                <w:rFonts w:ascii="Times New Roman" w:hAnsi="Times New Roman" w:eastAsia="Times New Roman" w:cs="Times New Roman"/>
                <w:spacing w:val="-3"/>
                <w:sz w:val="17"/>
                <w:szCs w:val="17"/>
              </w:rPr>
              <w:t>.7</w:t>
            </w:r>
          </w:p>
        </w:tc>
        <w:tc>
          <w:tcPr>
            <w:tcW w:w="690" w:type="dxa"/>
            <w:vAlign w:val="top"/>
          </w:tcPr>
          <w:p>
            <w:pPr>
              <w:spacing w:before="84" w:line="197" w:lineRule="auto"/>
              <w:ind w:left="303"/>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5" w:line="197" w:lineRule="auto"/>
              <w:ind w:left="18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w:t>
            </w:r>
            <w:r>
              <w:rPr>
                <w:rFonts w:ascii="Times New Roman" w:hAnsi="Times New Roman" w:eastAsia="Times New Roman" w:cs="Times New Roman"/>
                <w:spacing w:val="-2"/>
                <w:sz w:val="17"/>
                <w:szCs w:val="17"/>
              </w:rPr>
              <w:t>6. 1</w:t>
            </w:r>
          </w:p>
        </w:tc>
        <w:tc>
          <w:tcPr>
            <w:tcW w:w="689" w:type="dxa"/>
            <w:vAlign w:val="top"/>
          </w:tcPr>
          <w:p>
            <w:pPr>
              <w:spacing w:before="85"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50.</w:t>
            </w:r>
            <w:r>
              <w:rPr>
                <w:rFonts w:ascii="Times New Roman" w:hAnsi="Times New Roman" w:eastAsia="Times New Roman" w:cs="Times New Roman"/>
                <w:spacing w:val="3"/>
                <w:sz w:val="17"/>
                <w:szCs w:val="17"/>
              </w:rPr>
              <w:t>8</w:t>
            </w:r>
          </w:p>
        </w:tc>
        <w:tc>
          <w:tcPr>
            <w:tcW w:w="688" w:type="dxa"/>
            <w:vAlign w:val="top"/>
          </w:tcPr>
          <w:p>
            <w:pPr>
              <w:spacing w:before="84" w:line="200" w:lineRule="auto"/>
              <w:ind w:left="25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w:t>
            </w:r>
            <w:r>
              <w:rPr>
                <w:rFonts w:ascii="Times New Roman" w:hAnsi="Times New Roman" w:eastAsia="Times New Roman" w:cs="Times New Roman"/>
                <w:sz w:val="17"/>
                <w:szCs w:val="17"/>
              </w:rPr>
              <w:t>.8</w:t>
            </w:r>
          </w:p>
        </w:tc>
        <w:tc>
          <w:tcPr>
            <w:tcW w:w="694" w:type="dxa"/>
            <w:vAlign w:val="top"/>
          </w:tcPr>
          <w:p>
            <w:pPr>
              <w:spacing w:before="84"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5" w:line="227"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4"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41"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4"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w:t>
            </w:r>
          </w:p>
        </w:tc>
        <w:tc>
          <w:tcPr>
            <w:tcW w:w="689" w:type="dxa"/>
            <w:vAlign w:val="top"/>
          </w:tcPr>
          <w:p>
            <w:pPr>
              <w:spacing w:before="85"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35.9</w:t>
            </w:r>
          </w:p>
        </w:tc>
        <w:tc>
          <w:tcPr>
            <w:tcW w:w="689" w:type="dxa"/>
            <w:vAlign w:val="top"/>
          </w:tcPr>
          <w:p>
            <w:pPr>
              <w:spacing w:before="85"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5.5</w:t>
            </w:r>
          </w:p>
        </w:tc>
        <w:tc>
          <w:tcPr>
            <w:tcW w:w="689" w:type="dxa"/>
            <w:vAlign w:val="top"/>
          </w:tcPr>
          <w:p>
            <w:pPr>
              <w:spacing w:before="85"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0" w:type="dxa"/>
            <w:vAlign w:val="top"/>
          </w:tcPr>
          <w:p>
            <w:pPr>
              <w:spacing w:before="85"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5" w:line="197" w:lineRule="auto"/>
              <w:ind w:left="19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2"/>
                <w:sz w:val="17"/>
                <w:szCs w:val="17"/>
              </w:rPr>
              <w:t>7.2</w:t>
            </w:r>
          </w:p>
        </w:tc>
        <w:tc>
          <w:tcPr>
            <w:tcW w:w="689" w:type="dxa"/>
            <w:vAlign w:val="top"/>
          </w:tcPr>
          <w:p>
            <w:pPr>
              <w:spacing w:before="85"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45.7</w:t>
            </w:r>
          </w:p>
        </w:tc>
        <w:tc>
          <w:tcPr>
            <w:tcW w:w="689" w:type="dxa"/>
            <w:vAlign w:val="top"/>
          </w:tcPr>
          <w:p>
            <w:pPr>
              <w:spacing w:before="85"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w:t>
            </w:r>
            <w:r>
              <w:rPr>
                <w:rFonts w:ascii="Times New Roman" w:hAnsi="Times New Roman" w:eastAsia="Times New Roman" w:cs="Times New Roman"/>
                <w:spacing w:val="1"/>
                <w:sz w:val="17"/>
                <w:szCs w:val="17"/>
              </w:rPr>
              <w:t>7</w:t>
            </w:r>
          </w:p>
        </w:tc>
        <w:tc>
          <w:tcPr>
            <w:tcW w:w="690" w:type="dxa"/>
            <w:vAlign w:val="top"/>
          </w:tcPr>
          <w:p>
            <w:pPr>
              <w:spacing w:before="85" w:line="197" w:lineRule="auto"/>
              <w:ind w:left="303"/>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5"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3</w:t>
            </w:r>
            <w:r>
              <w:rPr>
                <w:rFonts w:ascii="Times New Roman" w:hAnsi="Times New Roman" w:eastAsia="Times New Roman" w:cs="Times New Roman"/>
                <w:spacing w:val="3"/>
                <w:sz w:val="17"/>
                <w:szCs w:val="17"/>
              </w:rPr>
              <w:t>7.5</w:t>
            </w:r>
          </w:p>
        </w:tc>
        <w:tc>
          <w:tcPr>
            <w:tcW w:w="689" w:type="dxa"/>
            <w:vAlign w:val="top"/>
          </w:tcPr>
          <w:p>
            <w:pPr>
              <w:spacing w:before="85"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45.7</w:t>
            </w:r>
          </w:p>
        </w:tc>
        <w:tc>
          <w:tcPr>
            <w:tcW w:w="688" w:type="dxa"/>
            <w:vAlign w:val="top"/>
          </w:tcPr>
          <w:p>
            <w:pPr>
              <w:spacing w:before="85"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0.7</w:t>
            </w:r>
          </w:p>
        </w:tc>
        <w:tc>
          <w:tcPr>
            <w:tcW w:w="694" w:type="dxa"/>
            <w:vAlign w:val="top"/>
          </w:tcPr>
          <w:p>
            <w:pPr>
              <w:spacing w:before="85"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51" w:line="197" w:lineRule="auto"/>
              <w:ind w:left="15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5</w:t>
            </w:r>
            <w:r>
              <w:rPr>
                <w:rFonts w:ascii="Times New Roman" w:hAnsi="Times New Roman" w:eastAsia="Times New Roman" w:cs="Times New Roman"/>
                <w:sz w:val="17"/>
                <w:szCs w:val="17"/>
              </w:rPr>
              <w:t>F</w:t>
            </w:r>
          </w:p>
        </w:tc>
        <w:tc>
          <w:tcPr>
            <w:tcW w:w="675" w:type="dxa"/>
            <w:vMerge w:val="restart"/>
            <w:tcBorders>
              <w:bottom w:val="nil"/>
            </w:tcBorders>
            <w:vAlign w:val="top"/>
          </w:tcPr>
          <w:p>
            <w:pPr>
              <w:spacing w:before="251" w:line="197" w:lineRule="auto"/>
              <w:ind w:left="1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73.</w:t>
            </w:r>
            <w:r>
              <w:rPr>
                <w:rFonts w:ascii="Times New Roman" w:hAnsi="Times New Roman" w:eastAsia="Times New Roman" w:cs="Times New Roman"/>
                <w:spacing w:val="2"/>
                <w:sz w:val="17"/>
                <w:szCs w:val="17"/>
              </w:rPr>
              <w:t>2</w:t>
            </w:r>
          </w:p>
        </w:tc>
        <w:tc>
          <w:tcPr>
            <w:tcW w:w="577" w:type="dxa"/>
            <w:vMerge w:val="restart"/>
            <w:tcBorders>
              <w:bottom w:val="nil"/>
            </w:tcBorders>
            <w:vAlign w:val="top"/>
          </w:tcPr>
          <w:p>
            <w:pPr>
              <w:spacing w:before="220"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5" w:line="227"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4"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41"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4"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53</w:t>
            </w:r>
          </w:p>
        </w:tc>
        <w:tc>
          <w:tcPr>
            <w:tcW w:w="689" w:type="dxa"/>
            <w:vAlign w:val="top"/>
          </w:tcPr>
          <w:p>
            <w:pPr>
              <w:spacing w:before="85" w:line="200"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w:t>
            </w:r>
            <w:r>
              <w:rPr>
                <w:rFonts w:ascii="Times New Roman" w:hAnsi="Times New Roman" w:eastAsia="Times New Roman" w:cs="Times New Roman"/>
                <w:spacing w:val="-2"/>
                <w:sz w:val="17"/>
                <w:szCs w:val="17"/>
              </w:rPr>
              <w:t>4. 1</w:t>
            </w:r>
          </w:p>
        </w:tc>
        <w:tc>
          <w:tcPr>
            <w:tcW w:w="689" w:type="dxa"/>
            <w:vAlign w:val="top"/>
          </w:tcPr>
          <w:p>
            <w:pPr>
              <w:spacing w:before="86"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3.5</w:t>
            </w:r>
          </w:p>
        </w:tc>
        <w:tc>
          <w:tcPr>
            <w:tcW w:w="689" w:type="dxa"/>
            <w:vAlign w:val="top"/>
          </w:tcPr>
          <w:p>
            <w:pPr>
              <w:spacing w:before="86"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0" w:type="dxa"/>
            <w:vAlign w:val="top"/>
          </w:tcPr>
          <w:p>
            <w:pPr>
              <w:spacing w:before="85"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6"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5.5</w:t>
            </w:r>
          </w:p>
        </w:tc>
        <w:tc>
          <w:tcPr>
            <w:tcW w:w="689" w:type="dxa"/>
            <w:vAlign w:val="top"/>
          </w:tcPr>
          <w:p>
            <w:pPr>
              <w:spacing w:before="86"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.7</w:t>
            </w:r>
          </w:p>
        </w:tc>
        <w:tc>
          <w:tcPr>
            <w:tcW w:w="689" w:type="dxa"/>
            <w:vAlign w:val="top"/>
          </w:tcPr>
          <w:p>
            <w:pPr>
              <w:spacing w:before="86"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w:t>
            </w:r>
            <w:r>
              <w:rPr>
                <w:rFonts w:ascii="Times New Roman" w:hAnsi="Times New Roman" w:eastAsia="Times New Roman" w:cs="Times New Roman"/>
                <w:spacing w:val="1"/>
                <w:sz w:val="17"/>
                <w:szCs w:val="17"/>
              </w:rPr>
              <w:t>7</w:t>
            </w:r>
          </w:p>
        </w:tc>
        <w:tc>
          <w:tcPr>
            <w:tcW w:w="690" w:type="dxa"/>
            <w:vAlign w:val="top"/>
          </w:tcPr>
          <w:p>
            <w:pPr>
              <w:spacing w:before="85" w:line="197" w:lineRule="auto"/>
              <w:ind w:left="303"/>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6" w:line="197" w:lineRule="auto"/>
              <w:ind w:left="18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5.9</w:t>
            </w:r>
          </w:p>
        </w:tc>
        <w:tc>
          <w:tcPr>
            <w:tcW w:w="689" w:type="dxa"/>
            <w:vAlign w:val="top"/>
          </w:tcPr>
          <w:p>
            <w:pPr>
              <w:spacing w:before="86"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53.</w:t>
            </w:r>
            <w:r>
              <w:rPr>
                <w:rFonts w:ascii="Times New Roman" w:hAnsi="Times New Roman" w:eastAsia="Times New Roman" w:cs="Times New Roman"/>
                <w:spacing w:val="3"/>
                <w:sz w:val="17"/>
                <w:szCs w:val="17"/>
              </w:rPr>
              <w:t>8</w:t>
            </w:r>
          </w:p>
        </w:tc>
        <w:tc>
          <w:tcPr>
            <w:tcW w:w="688" w:type="dxa"/>
            <w:vAlign w:val="top"/>
          </w:tcPr>
          <w:p>
            <w:pPr>
              <w:spacing w:before="86"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4"/>
                <w:sz w:val="17"/>
                <w:szCs w:val="17"/>
              </w:rPr>
              <w:t>.8</w:t>
            </w:r>
          </w:p>
        </w:tc>
        <w:tc>
          <w:tcPr>
            <w:tcW w:w="694" w:type="dxa"/>
            <w:vAlign w:val="top"/>
          </w:tcPr>
          <w:p>
            <w:pPr>
              <w:spacing w:before="85"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4" w:line="229"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5"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41" w:line="243"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5"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w:t>
            </w:r>
          </w:p>
        </w:tc>
        <w:tc>
          <w:tcPr>
            <w:tcW w:w="689" w:type="dxa"/>
            <w:vAlign w:val="top"/>
          </w:tcPr>
          <w:p>
            <w:pPr>
              <w:spacing w:before="86"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3"/>
                <w:sz w:val="17"/>
                <w:szCs w:val="17"/>
              </w:rPr>
              <w:t>5.6</w:t>
            </w:r>
          </w:p>
        </w:tc>
        <w:tc>
          <w:tcPr>
            <w:tcW w:w="689" w:type="dxa"/>
            <w:vAlign w:val="top"/>
          </w:tcPr>
          <w:p>
            <w:pPr>
              <w:spacing w:before="86"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5.5</w:t>
            </w:r>
          </w:p>
        </w:tc>
        <w:tc>
          <w:tcPr>
            <w:tcW w:w="689" w:type="dxa"/>
            <w:vAlign w:val="top"/>
          </w:tcPr>
          <w:p>
            <w:pPr>
              <w:spacing w:before="86"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0" w:type="dxa"/>
            <w:vAlign w:val="top"/>
          </w:tcPr>
          <w:p>
            <w:pPr>
              <w:spacing w:before="86"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6" w:line="197" w:lineRule="auto"/>
              <w:ind w:left="19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37.0</w:t>
            </w:r>
          </w:p>
        </w:tc>
        <w:tc>
          <w:tcPr>
            <w:tcW w:w="689" w:type="dxa"/>
            <w:vAlign w:val="top"/>
          </w:tcPr>
          <w:p>
            <w:pPr>
              <w:spacing w:before="86"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5.6</w:t>
            </w:r>
          </w:p>
        </w:tc>
        <w:tc>
          <w:tcPr>
            <w:tcW w:w="689" w:type="dxa"/>
            <w:vAlign w:val="top"/>
          </w:tcPr>
          <w:p>
            <w:pPr>
              <w:spacing w:before="86"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2"/>
                <w:sz w:val="17"/>
                <w:szCs w:val="17"/>
              </w:rPr>
              <w:t>.6</w:t>
            </w:r>
          </w:p>
        </w:tc>
        <w:tc>
          <w:tcPr>
            <w:tcW w:w="690" w:type="dxa"/>
            <w:vAlign w:val="top"/>
          </w:tcPr>
          <w:p>
            <w:pPr>
              <w:spacing w:before="86" w:line="197" w:lineRule="auto"/>
              <w:ind w:left="303"/>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6"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3"/>
                <w:sz w:val="17"/>
                <w:szCs w:val="17"/>
              </w:rPr>
              <w:t>7.3</w:t>
            </w:r>
          </w:p>
        </w:tc>
        <w:tc>
          <w:tcPr>
            <w:tcW w:w="689" w:type="dxa"/>
            <w:vAlign w:val="top"/>
          </w:tcPr>
          <w:p>
            <w:pPr>
              <w:spacing w:before="86"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45.7</w:t>
            </w:r>
          </w:p>
        </w:tc>
        <w:tc>
          <w:tcPr>
            <w:tcW w:w="688" w:type="dxa"/>
            <w:vAlign w:val="top"/>
          </w:tcPr>
          <w:p>
            <w:pPr>
              <w:spacing w:before="86"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0.7</w:t>
            </w:r>
          </w:p>
        </w:tc>
        <w:tc>
          <w:tcPr>
            <w:tcW w:w="694" w:type="dxa"/>
            <w:vAlign w:val="top"/>
          </w:tcPr>
          <w:p>
            <w:pPr>
              <w:spacing w:before="86"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59"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98" w:type="dxa"/>
            <w:vMerge w:val="restart"/>
            <w:tcBorders>
              <w:bottom w:val="nil"/>
            </w:tcBorders>
            <w:vAlign w:val="top"/>
          </w:tcPr>
          <w:p>
            <w:pPr>
              <w:spacing w:before="249" w:line="197" w:lineRule="auto"/>
              <w:ind w:left="16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30</w:t>
            </w:r>
            <w:r>
              <w:rPr>
                <w:rFonts w:ascii="Times New Roman" w:hAnsi="Times New Roman" w:eastAsia="Times New Roman" w:cs="Times New Roman"/>
                <w:sz w:val="17"/>
                <w:szCs w:val="17"/>
              </w:rPr>
              <w:t>F</w:t>
            </w:r>
          </w:p>
        </w:tc>
        <w:tc>
          <w:tcPr>
            <w:tcW w:w="675" w:type="dxa"/>
            <w:vMerge w:val="restart"/>
            <w:tcBorders>
              <w:bottom w:val="nil"/>
            </w:tcBorders>
            <w:vAlign w:val="top"/>
          </w:tcPr>
          <w:p>
            <w:pPr>
              <w:spacing w:before="250" w:line="197" w:lineRule="auto"/>
              <w:ind w:left="18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88.</w:t>
            </w:r>
            <w:r>
              <w:rPr>
                <w:rFonts w:ascii="Times New Roman" w:hAnsi="Times New Roman" w:eastAsia="Times New Roman" w:cs="Times New Roman"/>
                <w:spacing w:val="1"/>
                <w:sz w:val="17"/>
                <w:szCs w:val="17"/>
              </w:rPr>
              <w:t>2</w:t>
            </w:r>
          </w:p>
        </w:tc>
        <w:tc>
          <w:tcPr>
            <w:tcW w:w="577" w:type="dxa"/>
            <w:vMerge w:val="restart"/>
            <w:tcBorders>
              <w:bottom w:val="nil"/>
            </w:tcBorders>
            <w:vAlign w:val="top"/>
          </w:tcPr>
          <w:p>
            <w:pPr>
              <w:spacing w:before="221" w:line="232" w:lineRule="auto"/>
              <w:ind w:left="129"/>
              <w:rPr>
                <w:rFonts w:ascii="黑体" w:hAnsi="黑体" w:eastAsia="黑体" w:cs="黑体"/>
                <w:sz w:val="17"/>
                <w:szCs w:val="17"/>
              </w:rPr>
            </w:pPr>
            <w:r>
              <w:rPr>
                <w:rFonts w:ascii="Times New Roman" w:hAnsi="Times New Roman" w:eastAsia="Times New Roman" w:cs="Times New Roman"/>
                <w:spacing w:val="6"/>
                <w:sz w:val="17"/>
                <w:szCs w:val="17"/>
              </w:rPr>
              <w:t>2</w:t>
            </w:r>
            <w:r>
              <w:rPr>
                <w:rFonts w:ascii="Times New Roman" w:hAnsi="Times New Roman" w:eastAsia="Times New Roman" w:cs="Times New Roman"/>
                <w:spacing w:val="5"/>
                <w:sz w:val="17"/>
                <w:szCs w:val="17"/>
              </w:rPr>
              <w:t xml:space="preserve"> </w:t>
            </w:r>
            <w:r>
              <w:rPr>
                <w:rFonts w:ascii="黑体" w:hAnsi="黑体" w:eastAsia="黑体" w:cs="黑体"/>
                <w:spacing w:val="5"/>
                <w:sz w:val="17"/>
                <w:szCs w:val="17"/>
              </w:rPr>
              <w:t>类</w:t>
            </w:r>
          </w:p>
        </w:tc>
        <w:tc>
          <w:tcPr>
            <w:tcW w:w="664" w:type="dxa"/>
            <w:vAlign w:val="top"/>
          </w:tcPr>
          <w:p>
            <w:pPr>
              <w:spacing w:before="75" w:line="228" w:lineRule="auto"/>
              <w:ind w:left="154"/>
              <w:rPr>
                <w:rFonts w:ascii="黑体" w:hAnsi="黑体" w:eastAsia="黑体" w:cs="黑体"/>
                <w:sz w:val="17"/>
                <w:szCs w:val="17"/>
              </w:rPr>
            </w:pPr>
            <w:r>
              <w:rPr>
                <w:rFonts w:ascii="黑体" w:hAnsi="黑体" w:eastAsia="黑体" w:cs="黑体"/>
                <w:spacing w:val="6"/>
                <w:sz w:val="17"/>
                <w:szCs w:val="17"/>
              </w:rPr>
              <w:t>昼间</w:t>
            </w:r>
          </w:p>
        </w:tc>
        <w:tc>
          <w:tcPr>
            <w:tcW w:w="664" w:type="dxa"/>
            <w:vAlign w:val="top"/>
          </w:tcPr>
          <w:p>
            <w:pPr>
              <w:spacing w:before="105" w:line="197" w:lineRule="auto"/>
              <w:ind w:left="24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c>
        <w:tc>
          <w:tcPr>
            <w:tcW w:w="688" w:type="dxa"/>
            <w:vAlign w:val="top"/>
          </w:tcPr>
          <w:p>
            <w:pPr>
              <w:spacing w:before="42"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5"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689" w:type="dxa"/>
            <w:vAlign w:val="top"/>
          </w:tcPr>
          <w:p>
            <w:pPr>
              <w:spacing w:before="84" w:line="200"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4</w:t>
            </w:r>
            <w:r>
              <w:rPr>
                <w:rFonts w:ascii="Times New Roman" w:hAnsi="Times New Roman" w:eastAsia="Times New Roman" w:cs="Times New Roman"/>
                <w:spacing w:val="4"/>
                <w:sz w:val="17"/>
                <w:szCs w:val="17"/>
              </w:rPr>
              <w:t>4.3</w:t>
            </w:r>
          </w:p>
        </w:tc>
        <w:tc>
          <w:tcPr>
            <w:tcW w:w="689" w:type="dxa"/>
            <w:vAlign w:val="top"/>
          </w:tcPr>
          <w:p>
            <w:pPr>
              <w:spacing w:before="84" w:line="197" w:lineRule="auto"/>
              <w:ind w:left="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50.</w:t>
            </w:r>
            <w:r>
              <w:rPr>
                <w:rFonts w:ascii="Times New Roman" w:hAnsi="Times New Roman" w:eastAsia="Times New Roman" w:cs="Times New Roman"/>
                <w:spacing w:val="2"/>
                <w:sz w:val="17"/>
                <w:szCs w:val="17"/>
              </w:rPr>
              <w:t>3</w:t>
            </w:r>
          </w:p>
        </w:tc>
        <w:tc>
          <w:tcPr>
            <w:tcW w:w="689" w:type="dxa"/>
            <w:vAlign w:val="top"/>
          </w:tcPr>
          <w:p>
            <w:pPr>
              <w:spacing w:before="84" w:line="200" w:lineRule="auto"/>
              <w:ind w:left="24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3</w:t>
            </w:r>
          </w:p>
        </w:tc>
        <w:tc>
          <w:tcPr>
            <w:tcW w:w="690" w:type="dxa"/>
            <w:vAlign w:val="top"/>
          </w:tcPr>
          <w:p>
            <w:pPr>
              <w:spacing w:before="84"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45.7</w:t>
            </w:r>
          </w:p>
        </w:tc>
        <w:tc>
          <w:tcPr>
            <w:tcW w:w="689" w:type="dxa"/>
            <w:vAlign w:val="top"/>
          </w:tcPr>
          <w:p>
            <w:pPr>
              <w:spacing w:before="84"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.7</w:t>
            </w:r>
          </w:p>
        </w:tc>
        <w:tc>
          <w:tcPr>
            <w:tcW w:w="689" w:type="dxa"/>
            <w:vAlign w:val="top"/>
          </w:tcPr>
          <w:p>
            <w:pPr>
              <w:spacing w:before="84" w:line="200" w:lineRule="auto"/>
              <w:ind w:left="25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1</w:t>
            </w:r>
            <w:r>
              <w:rPr>
                <w:rFonts w:ascii="Times New Roman" w:hAnsi="Times New Roman" w:eastAsia="Times New Roman" w:cs="Times New Roman"/>
                <w:spacing w:val="-3"/>
                <w:sz w:val="17"/>
                <w:szCs w:val="17"/>
              </w:rPr>
              <w:t>.7</w:t>
            </w:r>
          </w:p>
        </w:tc>
        <w:tc>
          <w:tcPr>
            <w:tcW w:w="690" w:type="dxa"/>
            <w:vAlign w:val="top"/>
          </w:tcPr>
          <w:p>
            <w:pPr>
              <w:spacing w:before="84" w:line="197" w:lineRule="auto"/>
              <w:ind w:left="303"/>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8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w:t>
            </w:r>
            <w:r>
              <w:rPr>
                <w:rFonts w:ascii="Times New Roman" w:hAnsi="Times New Roman" w:eastAsia="Times New Roman" w:cs="Times New Roman"/>
                <w:spacing w:val="-2"/>
                <w:sz w:val="17"/>
                <w:szCs w:val="17"/>
              </w:rPr>
              <w:t>6. 1</w:t>
            </w:r>
          </w:p>
        </w:tc>
        <w:tc>
          <w:tcPr>
            <w:tcW w:w="689" w:type="dxa"/>
            <w:vAlign w:val="top"/>
          </w:tcPr>
          <w:p>
            <w:pPr>
              <w:spacing w:before="84" w:line="197" w:lineRule="auto"/>
              <w:ind w:left="19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50.</w:t>
            </w:r>
            <w:r>
              <w:rPr>
                <w:rFonts w:ascii="Times New Roman" w:hAnsi="Times New Roman" w:eastAsia="Times New Roman" w:cs="Times New Roman"/>
                <w:spacing w:val="3"/>
                <w:sz w:val="17"/>
                <w:szCs w:val="17"/>
              </w:rPr>
              <w:t>8</w:t>
            </w:r>
          </w:p>
        </w:tc>
        <w:tc>
          <w:tcPr>
            <w:tcW w:w="688" w:type="dxa"/>
            <w:vAlign w:val="top"/>
          </w:tcPr>
          <w:p>
            <w:pPr>
              <w:spacing w:before="84" w:line="200" w:lineRule="auto"/>
              <w:ind w:left="25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w:t>
            </w:r>
            <w:r>
              <w:rPr>
                <w:rFonts w:ascii="Times New Roman" w:hAnsi="Times New Roman" w:eastAsia="Times New Roman" w:cs="Times New Roman"/>
                <w:sz w:val="17"/>
                <w:szCs w:val="17"/>
              </w:rPr>
              <w:t>.8</w:t>
            </w:r>
          </w:p>
        </w:tc>
        <w:tc>
          <w:tcPr>
            <w:tcW w:w="694" w:type="dxa"/>
            <w:vAlign w:val="top"/>
          </w:tcPr>
          <w:p>
            <w:pPr>
              <w:spacing w:before="84"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559" w:type="dxa"/>
            <w:vMerge w:val="continue"/>
            <w:tcBorders>
              <w:top w:val="nil"/>
            </w:tcBorders>
            <w:vAlign w:val="top"/>
          </w:tcPr>
          <w:p>
            <w:pPr>
              <w:rPr>
                <w:rFonts w:ascii="Arial"/>
                <w:sz w:val="21"/>
              </w:rPr>
            </w:pPr>
          </w:p>
        </w:tc>
        <w:tc>
          <w:tcPr>
            <w:tcW w:w="600" w:type="dxa"/>
            <w:vMerge w:val="continue"/>
            <w:tcBorders>
              <w:top w:val="nil"/>
            </w:tcBorders>
            <w:vAlign w:val="top"/>
          </w:tcPr>
          <w:p>
            <w:pPr>
              <w:rPr>
                <w:rFonts w:ascii="Arial"/>
                <w:sz w:val="21"/>
              </w:rPr>
            </w:pPr>
          </w:p>
        </w:tc>
        <w:tc>
          <w:tcPr>
            <w:tcW w:w="598" w:type="dxa"/>
            <w:vMerge w:val="continue"/>
            <w:tcBorders>
              <w:top w:val="nil"/>
            </w:tcBorders>
            <w:vAlign w:val="top"/>
          </w:tcPr>
          <w:p>
            <w:pPr>
              <w:rPr>
                <w:rFonts w:ascii="Arial"/>
                <w:sz w:val="21"/>
              </w:rPr>
            </w:pPr>
          </w:p>
        </w:tc>
        <w:tc>
          <w:tcPr>
            <w:tcW w:w="675" w:type="dxa"/>
            <w:vMerge w:val="continue"/>
            <w:tcBorders>
              <w:top w:val="nil"/>
            </w:tcBorders>
            <w:vAlign w:val="top"/>
          </w:tcPr>
          <w:p>
            <w:pPr>
              <w:rPr>
                <w:rFonts w:ascii="Arial"/>
                <w:sz w:val="21"/>
              </w:rPr>
            </w:pPr>
          </w:p>
        </w:tc>
        <w:tc>
          <w:tcPr>
            <w:tcW w:w="577" w:type="dxa"/>
            <w:vMerge w:val="continue"/>
            <w:tcBorders>
              <w:top w:val="nil"/>
            </w:tcBorders>
            <w:vAlign w:val="top"/>
          </w:tcPr>
          <w:p>
            <w:pPr>
              <w:rPr>
                <w:rFonts w:ascii="Arial"/>
                <w:sz w:val="21"/>
              </w:rPr>
            </w:pPr>
          </w:p>
        </w:tc>
        <w:tc>
          <w:tcPr>
            <w:tcW w:w="664" w:type="dxa"/>
            <w:vAlign w:val="top"/>
          </w:tcPr>
          <w:p>
            <w:pPr>
              <w:spacing w:before="75" w:line="232" w:lineRule="auto"/>
              <w:ind w:left="152"/>
              <w:rPr>
                <w:rFonts w:ascii="黑体" w:hAnsi="黑体" w:eastAsia="黑体" w:cs="黑体"/>
                <w:sz w:val="17"/>
                <w:szCs w:val="17"/>
              </w:rPr>
            </w:pPr>
            <w:r>
              <w:rPr>
                <w:rFonts w:ascii="黑体" w:hAnsi="黑体" w:eastAsia="黑体" w:cs="黑体"/>
                <w:spacing w:val="7"/>
                <w:sz w:val="17"/>
                <w:szCs w:val="17"/>
              </w:rPr>
              <w:t>夜间</w:t>
            </w:r>
          </w:p>
        </w:tc>
        <w:tc>
          <w:tcPr>
            <w:tcW w:w="664" w:type="dxa"/>
            <w:vAlign w:val="top"/>
          </w:tcPr>
          <w:p>
            <w:pPr>
              <w:spacing w:before="106" w:line="197" w:lineRule="auto"/>
              <w:ind w:left="24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c>
        <w:tc>
          <w:tcPr>
            <w:tcW w:w="688" w:type="dxa"/>
            <w:vAlign w:val="top"/>
          </w:tcPr>
          <w:p>
            <w:pPr>
              <w:spacing w:before="42" w:line="242" w:lineRule="exact"/>
              <w:ind w:left="31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64" w:type="dxa"/>
            <w:vAlign w:val="top"/>
          </w:tcPr>
          <w:p>
            <w:pPr>
              <w:spacing w:before="106" w:line="197" w:lineRule="auto"/>
              <w:ind w:left="24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w:t>
            </w:r>
          </w:p>
        </w:tc>
        <w:tc>
          <w:tcPr>
            <w:tcW w:w="689" w:type="dxa"/>
            <w:vAlign w:val="top"/>
          </w:tcPr>
          <w:p>
            <w:pPr>
              <w:spacing w:before="84" w:line="197" w:lineRule="auto"/>
              <w:ind w:left="19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35.9</w:t>
            </w:r>
          </w:p>
        </w:tc>
        <w:tc>
          <w:tcPr>
            <w:tcW w:w="689" w:type="dxa"/>
            <w:vAlign w:val="top"/>
          </w:tcPr>
          <w:p>
            <w:pPr>
              <w:spacing w:before="84" w:line="197" w:lineRule="auto"/>
              <w:ind w:left="186"/>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4"/>
                <w:sz w:val="17"/>
                <w:szCs w:val="17"/>
              </w:rPr>
              <w:t>5.5</w:t>
            </w:r>
          </w:p>
        </w:tc>
        <w:tc>
          <w:tcPr>
            <w:tcW w:w="689" w:type="dxa"/>
            <w:vAlign w:val="top"/>
          </w:tcPr>
          <w:p>
            <w:pPr>
              <w:spacing w:before="84" w:line="197" w:lineRule="auto"/>
              <w:ind w:left="23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0.</w:t>
            </w:r>
            <w:r>
              <w:rPr>
                <w:rFonts w:ascii="Times New Roman" w:hAnsi="Times New Roman" w:eastAsia="Times New Roman" w:cs="Times New Roman"/>
                <w:spacing w:val="3"/>
                <w:sz w:val="17"/>
                <w:szCs w:val="17"/>
              </w:rPr>
              <w:t>5</w:t>
            </w:r>
          </w:p>
        </w:tc>
        <w:tc>
          <w:tcPr>
            <w:tcW w:w="690" w:type="dxa"/>
            <w:vAlign w:val="top"/>
          </w:tcPr>
          <w:p>
            <w:pPr>
              <w:spacing w:before="84" w:line="197" w:lineRule="auto"/>
              <w:ind w:left="302"/>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9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2"/>
                <w:sz w:val="17"/>
                <w:szCs w:val="17"/>
              </w:rPr>
              <w:t>7.2</w:t>
            </w:r>
          </w:p>
        </w:tc>
        <w:tc>
          <w:tcPr>
            <w:tcW w:w="689" w:type="dxa"/>
            <w:vAlign w:val="top"/>
          </w:tcPr>
          <w:p>
            <w:pPr>
              <w:spacing w:before="84" w:line="197" w:lineRule="auto"/>
              <w:ind w:left="18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45.7</w:t>
            </w:r>
          </w:p>
        </w:tc>
        <w:tc>
          <w:tcPr>
            <w:tcW w:w="689" w:type="dxa"/>
            <w:vAlign w:val="top"/>
          </w:tcPr>
          <w:p>
            <w:pPr>
              <w:spacing w:before="84"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0.</w:t>
            </w:r>
            <w:r>
              <w:rPr>
                <w:rFonts w:ascii="Times New Roman" w:hAnsi="Times New Roman" w:eastAsia="Times New Roman" w:cs="Times New Roman"/>
                <w:spacing w:val="1"/>
                <w:sz w:val="17"/>
                <w:szCs w:val="17"/>
              </w:rPr>
              <w:t>7</w:t>
            </w:r>
          </w:p>
        </w:tc>
        <w:tc>
          <w:tcPr>
            <w:tcW w:w="690" w:type="dxa"/>
            <w:vAlign w:val="top"/>
          </w:tcPr>
          <w:p>
            <w:pPr>
              <w:spacing w:before="84" w:line="197" w:lineRule="auto"/>
              <w:ind w:left="303"/>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688" w:type="dxa"/>
            <w:vAlign w:val="top"/>
          </w:tcPr>
          <w:p>
            <w:pPr>
              <w:spacing w:before="84" w:line="197" w:lineRule="auto"/>
              <w:ind w:left="193"/>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3</w:t>
            </w:r>
            <w:r>
              <w:rPr>
                <w:rFonts w:ascii="Times New Roman" w:hAnsi="Times New Roman" w:eastAsia="Times New Roman" w:cs="Times New Roman"/>
                <w:spacing w:val="3"/>
                <w:sz w:val="17"/>
                <w:szCs w:val="17"/>
              </w:rPr>
              <w:t>7.5</w:t>
            </w:r>
          </w:p>
        </w:tc>
        <w:tc>
          <w:tcPr>
            <w:tcW w:w="689" w:type="dxa"/>
            <w:vAlign w:val="top"/>
          </w:tcPr>
          <w:p>
            <w:pPr>
              <w:spacing w:before="84"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45.7</w:t>
            </w:r>
          </w:p>
        </w:tc>
        <w:tc>
          <w:tcPr>
            <w:tcW w:w="688" w:type="dxa"/>
            <w:vAlign w:val="top"/>
          </w:tcPr>
          <w:p>
            <w:pPr>
              <w:spacing w:before="84"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0.7</w:t>
            </w:r>
          </w:p>
        </w:tc>
        <w:tc>
          <w:tcPr>
            <w:tcW w:w="694" w:type="dxa"/>
            <w:vAlign w:val="top"/>
          </w:tcPr>
          <w:p>
            <w:pPr>
              <w:spacing w:before="84" w:line="197" w:lineRule="auto"/>
              <w:ind w:left="306"/>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r>
    </w:tbl>
    <w:p>
      <w:pPr>
        <w:spacing w:before="139" w:line="228" w:lineRule="auto"/>
        <w:ind w:left="302"/>
        <w:rPr>
          <w:rFonts w:ascii="宋体" w:hAnsi="宋体" w:eastAsia="宋体" w:cs="宋体"/>
          <w:sz w:val="20"/>
          <w:szCs w:val="20"/>
        </w:rPr>
      </w:pPr>
      <w:r>
        <w:rPr>
          <w:rFonts w:ascii="宋体" w:hAnsi="宋体" w:eastAsia="宋体" w:cs="宋体"/>
          <w:spacing w:val="8"/>
          <w:sz w:val="20"/>
          <w:szCs w:val="20"/>
        </w:rPr>
        <w:t>营运期间等声值线图详见下图</w:t>
      </w:r>
      <w:r>
        <w:rPr>
          <w:rFonts w:ascii="宋体" w:hAnsi="宋体" w:eastAsia="宋体" w:cs="宋体"/>
          <w:spacing w:val="7"/>
          <w:sz w:val="20"/>
          <w:szCs w:val="20"/>
        </w:rPr>
        <w:t>。</w:t>
      </w:r>
    </w:p>
    <w:p>
      <w:pPr>
        <w:sectPr>
          <w:footerReference r:id="rId135" w:type="default"/>
          <w:pgSz w:w="16839" w:h="11906"/>
          <w:pgMar w:top="400" w:right="1436" w:bottom="1027" w:left="1435" w:header="0" w:footer="840" w:gutter="0"/>
          <w:cols w:space="720" w:num="1"/>
        </w:sect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6268" w:lineRule="exact"/>
        <w:ind w:firstLine="200"/>
        <w:textAlignment w:val="center"/>
      </w:pPr>
      <w:r>
        <w:drawing>
          <wp:inline distT="0" distB="0" distL="0" distR="0">
            <wp:extent cx="5341620" cy="3980180"/>
            <wp:effectExtent l="0" t="0" r="0" b="0"/>
            <wp:docPr id="147" name="IM 147"/>
            <wp:cNvGraphicFramePr/>
            <a:graphic xmlns:a="http://schemas.openxmlformats.org/drawingml/2006/main">
              <a:graphicData uri="http://schemas.openxmlformats.org/drawingml/2006/picture">
                <pic:pic xmlns:pic="http://schemas.openxmlformats.org/drawingml/2006/picture">
                  <pic:nvPicPr>
                    <pic:cNvPr id="147" name="IM 147"/>
                    <pic:cNvPicPr/>
                  </pic:nvPicPr>
                  <pic:blipFill>
                    <a:blip r:embed="rId291"/>
                    <a:stretch>
                      <a:fillRect/>
                    </a:stretch>
                  </pic:blipFill>
                  <pic:spPr>
                    <a:xfrm>
                      <a:off x="0" y="0"/>
                      <a:ext cx="5341620" cy="3980688"/>
                    </a:xfrm>
                    <a:prstGeom prst="rect">
                      <a:avLst/>
                    </a:prstGeom>
                  </pic:spPr>
                </pic:pic>
              </a:graphicData>
            </a:graphic>
          </wp:inline>
        </w:drawing>
      </w:r>
    </w:p>
    <w:p>
      <w:pPr>
        <w:spacing w:before="106" w:line="231" w:lineRule="auto"/>
        <w:ind w:left="2833"/>
        <w:rPr>
          <w:rFonts w:ascii="黑体" w:hAnsi="黑体" w:eastAsia="黑体" w:cs="黑体"/>
          <w:sz w:val="19"/>
          <w:szCs w:val="19"/>
        </w:rPr>
      </w:pPr>
      <w:r>
        <w:rPr>
          <w:rFonts w:ascii="黑体" w:hAnsi="黑体" w:eastAsia="黑体" w:cs="黑体"/>
          <w:spacing w:val="11"/>
          <w:sz w:val="19"/>
          <w:szCs w:val="19"/>
        </w:rPr>
        <w:t>图</w:t>
      </w:r>
      <w:r>
        <w:rPr>
          <w:rFonts w:ascii="Times New Roman" w:hAnsi="Times New Roman" w:eastAsia="Times New Roman" w:cs="Times New Roman"/>
          <w:spacing w:val="8"/>
          <w:sz w:val="19"/>
          <w:szCs w:val="19"/>
        </w:rPr>
        <w:t>15</w:t>
      </w:r>
      <w:r>
        <w:rPr>
          <w:rFonts w:ascii="黑体" w:hAnsi="黑体" w:eastAsia="黑体" w:cs="黑体"/>
          <w:spacing w:val="8"/>
          <w:sz w:val="19"/>
          <w:szCs w:val="19"/>
        </w:rPr>
        <w:t>：营运近期昼间噪声等声值线图</w:t>
      </w:r>
    </w:p>
    <w:p>
      <w:pPr>
        <w:spacing w:before="224" w:line="6672" w:lineRule="exact"/>
        <w:ind w:firstLine="176"/>
        <w:textAlignment w:val="center"/>
      </w:pPr>
      <w:r>
        <w:drawing>
          <wp:inline distT="0" distB="0" distL="0" distR="0">
            <wp:extent cx="5365750" cy="423672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292"/>
                    <a:stretch>
                      <a:fillRect/>
                    </a:stretch>
                  </pic:blipFill>
                  <pic:spPr>
                    <a:xfrm>
                      <a:off x="0" y="0"/>
                      <a:ext cx="5366004" cy="4236720"/>
                    </a:xfrm>
                    <a:prstGeom prst="rect">
                      <a:avLst/>
                    </a:prstGeom>
                  </pic:spPr>
                </pic:pic>
              </a:graphicData>
            </a:graphic>
          </wp:inline>
        </w:drawing>
      </w:r>
    </w:p>
    <w:p>
      <w:pPr>
        <w:spacing w:before="87" w:line="231" w:lineRule="auto"/>
        <w:ind w:left="2432"/>
        <w:rPr>
          <w:rFonts w:ascii="黑体" w:hAnsi="黑体" w:eastAsia="黑体" w:cs="黑体"/>
          <w:sz w:val="19"/>
          <w:szCs w:val="19"/>
        </w:rPr>
      </w:pPr>
      <w:r>
        <w:rPr>
          <w:rFonts w:ascii="黑体" w:hAnsi="黑体" w:eastAsia="黑体" w:cs="黑体"/>
          <w:spacing w:val="16"/>
          <w:sz w:val="19"/>
          <w:szCs w:val="19"/>
        </w:rPr>
        <w:t>图</w:t>
      </w:r>
      <w:r>
        <w:rPr>
          <w:rFonts w:ascii="Times New Roman" w:hAnsi="Times New Roman" w:eastAsia="Times New Roman" w:cs="Times New Roman"/>
          <w:spacing w:val="10"/>
          <w:sz w:val="19"/>
          <w:szCs w:val="19"/>
        </w:rPr>
        <w:t>1</w:t>
      </w:r>
      <w:r>
        <w:rPr>
          <w:rFonts w:ascii="Times New Roman" w:hAnsi="Times New Roman" w:eastAsia="Times New Roman" w:cs="Times New Roman"/>
          <w:spacing w:val="8"/>
          <w:sz w:val="19"/>
          <w:szCs w:val="19"/>
        </w:rPr>
        <w:t>6</w:t>
      </w:r>
      <w:r>
        <w:rPr>
          <w:rFonts w:ascii="黑体" w:hAnsi="黑体" w:eastAsia="黑体" w:cs="黑体"/>
          <w:spacing w:val="8"/>
          <w:sz w:val="19"/>
          <w:szCs w:val="19"/>
        </w:rPr>
        <w:t>：营运近期昼间噪声垂直方向等声值线图</w:t>
      </w:r>
    </w:p>
    <w:p>
      <w:pPr>
        <w:sectPr>
          <w:footerReference r:id="rId136" w:type="default"/>
          <w:pgSz w:w="11906" w:h="16839"/>
          <w:pgMar w:top="400" w:right="1739" w:bottom="1027" w:left="1539" w:header="0" w:footer="840" w:gutter="0"/>
          <w:cols w:space="720" w:num="1"/>
        </w:sect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6415" w:lineRule="exact"/>
        <w:textAlignment w:val="center"/>
      </w:pPr>
      <w:r>
        <w:drawing>
          <wp:inline distT="0" distB="0" distL="0" distR="0">
            <wp:extent cx="5440045" cy="4073525"/>
            <wp:effectExtent l="0" t="0" r="0" b="0"/>
            <wp:docPr id="149" name="IM 149"/>
            <wp:cNvGraphicFramePr/>
            <a:graphic xmlns:a="http://schemas.openxmlformats.org/drawingml/2006/main">
              <a:graphicData uri="http://schemas.openxmlformats.org/drawingml/2006/picture">
                <pic:pic xmlns:pic="http://schemas.openxmlformats.org/drawingml/2006/picture">
                  <pic:nvPicPr>
                    <pic:cNvPr id="149" name="IM 149"/>
                    <pic:cNvPicPr/>
                  </pic:nvPicPr>
                  <pic:blipFill>
                    <a:blip r:embed="rId293"/>
                    <a:stretch>
                      <a:fillRect/>
                    </a:stretch>
                  </pic:blipFill>
                  <pic:spPr>
                    <a:xfrm>
                      <a:off x="0" y="0"/>
                      <a:ext cx="5440679" cy="4073652"/>
                    </a:xfrm>
                    <a:prstGeom prst="rect">
                      <a:avLst/>
                    </a:prstGeom>
                  </pic:spPr>
                </pic:pic>
              </a:graphicData>
            </a:graphic>
          </wp:inline>
        </w:drawing>
      </w:r>
    </w:p>
    <w:p>
      <w:pPr>
        <w:spacing w:before="103" w:line="231" w:lineRule="auto"/>
        <w:ind w:left="2705"/>
        <w:rPr>
          <w:rFonts w:ascii="黑体" w:hAnsi="黑体" w:eastAsia="黑体" w:cs="黑体"/>
          <w:sz w:val="19"/>
          <w:szCs w:val="19"/>
        </w:rPr>
      </w:pPr>
      <w:r>
        <w:rPr>
          <w:rFonts w:ascii="黑体" w:hAnsi="黑体" w:eastAsia="黑体" w:cs="黑体"/>
          <w:spacing w:val="11"/>
          <w:sz w:val="19"/>
          <w:szCs w:val="19"/>
        </w:rPr>
        <w:t>图</w:t>
      </w:r>
      <w:r>
        <w:rPr>
          <w:rFonts w:ascii="Times New Roman" w:hAnsi="Times New Roman" w:eastAsia="Times New Roman" w:cs="Times New Roman"/>
          <w:spacing w:val="8"/>
          <w:sz w:val="19"/>
          <w:szCs w:val="19"/>
        </w:rPr>
        <w:t>17</w:t>
      </w:r>
      <w:r>
        <w:rPr>
          <w:rFonts w:ascii="黑体" w:hAnsi="黑体" w:eastAsia="黑体" w:cs="黑体"/>
          <w:spacing w:val="8"/>
          <w:sz w:val="19"/>
          <w:szCs w:val="19"/>
        </w:rPr>
        <w:t>：营运近期夜间噪声等声值线图</w:t>
      </w:r>
    </w:p>
    <w:p>
      <w:pPr>
        <w:spacing w:before="236" w:line="6572" w:lineRule="exact"/>
        <w:ind w:firstLine="11"/>
        <w:textAlignment w:val="center"/>
      </w:pPr>
      <w:r>
        <w:drawing>
          <wp:inline distT="0" distB="0" distL="0" distR="0">
            <wp:extent cx="5420360" cy="4172585"/>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294"/>
                    <a:stretch>
                      <a:fillRect/>
                    </a:stretch>
                  </pic:blipFill>
                  <pic:spPr>
                    <a:xfrm>
                      <a:off x="0" y="0"/>
                      <a:ext cx="5420867" cy="4172711"/>
                    </a:xfrm>
                    <a:prstGeom prst="rect">
                      <a:avLst/>
                    </a:prstGeom>
                  </pic:spPr>
                </pic:pic>
              </a:graphicData>
            </a:graphic>
          </wp:inline>
        </w:drawing>
      </w:r>
    </w:p>
    <w:p>
      <w:pPr>
        <w:spacing w:before="91" w:line="231" w:lineRule="auto"/>
        <w:ind w:left="2304"/>
        <w:rPr>
          <w:rFonts w:ascii="黑体" w:hAnsi="黑体" w:eastAsia="黑体" w:cs="黑体"/>
          <w:sz w:val="19"/>
          <w:szCs w:val="19"/>
        </w:rPr>
      </w:pPr>
      <w:r>
        <w:rPr>
          <w:rFonts w:ascii="黑体" w:hAnsi="黑体" w:eastAsia="黑体" w:cs="黑体"/>
          <w:spacing w:val="16"/>
          <w:sz w:val="19"/>
          <w:szCs w:val="19"/>
        </w:rPr>
        <w:t>图</w:t>
      </w:r>
      <w:r>
        <w:rPr>
          <w:rFonts w:ascii="Times New Roman" w:hAnsi="Times New Roman" w:eastAsia="Times New Roman" w:cs="Times New Roman"/>
          <w:spacing w:val="10"/>
          <w:sz w:val="19"/>
          <w:szCs w:val="19"/>
        </w:rPr>
        <w:t>1</w:t>
      </w:r>
      <w:r>
        <w:rPr>
          <w:rFonts w:ascii="Times New Roman" w:hAnsi="Times New Roman" w:eastAsia="Times New Roman" w:cs="Times New Roman"/>
          <w:spacing w:val="8"/>
          <w:sz w:val="19"/>
          <w:szCs w:val="19"/>
        </w:rPr>
        <w:t>8</w:t>
      </w:r>
      <w:r>
        <w:rPr>
          <w:rFonts w:ascii="黑体" w:hAnsi="黑体" w:eastAsia="黑体" w:cs="黑体"/>
          <w:spacing w:val="8"/>
          <w:sz w:val="19"/>
          <w:szCs w:val="19"/>
        </w:rPr>
        <w:t>：营运近期夜间噪声垂直方向等声值线图</w:t>
      </w:r>
    </w:p>
    <w:p>
      <w:pPr>
        <w:sectPr>
          <w:footerReference r:id="rId137" w:type="default"/>
          <w:pgSz w:w="11906" w:h="16839"/>
          <w:pgMar w:top="400" w:right="1530" w:bottom="1027" w:left="1668" w:header="0" w:footer="840" w:gutter="0"/>
          <w:cols w:space="720" w:num="1"/>
        </w:sect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6324" w:lineRule="exact"/>
        <w:ind w:firstLine="140"/>
        <w:textAlignment w:val="center"/>
      </w:pPr>
      <w:r>
        <w:drawing>
          <wp:inline distT="0" distB="0" distL="0" distR="0">
            <wp:extent cx="5422265" cy="4015740"/>
            <wp:effectExtent l="0" t="0" r="0" b="0"/>
            <wp:docPr id="151" name="IM 151"/>
            <wp:cNvGraphicFramePr/>
            <a:graphic xmlns:a="http://schemas.openxmlformats.org/drawingml/2006/main">
              <a:graphicData uri="http://schemas.openxmlformats.org/drawingml/2006/picture">
                <pic:pic xmlns:pic="http://schemas.openxmlformats.org/drawingml/2006/picture">
                  <pic:nvPicPr>
                    <pic:cNvPr id="151" name="IM 151"/>
                    <pic:cNvPicPr/>
                  </pic:nvPicPr>
                  <pic:blipFill>
                    <a:blip r:embed="rId295"/>
                    <a:stretch>
                      <a:fillRect/>
                    </a:stretch>
                  </pic:blipFill>
                  <pic:spPr>
                    <a:xfrm>
                      <a:off x="0" y="0"/>
                      <a:ext cx="5422391" cy="4015740"/>
                    </a:xfrm>
                    <a:prstGeom prst="rect">
                      <a:avLst/>
                    </a:prstGeom>
                  </pic:spPr>
                </pic:pic>
              </a:graphicData>
            </a:graphic>
          </wp:inline>
        </w:drawing>
      </w:r>
    </w:p>
    <w:p>
      <w:pPr>
        <w:spacing w:before="99" w:line="231" w:lineRule="auto"/>
        <w:ind w:left="2833"/>
        <w:rPr>
          <w:rFonts w:ascii="黑体" w:hAnsi="黑体" w:eastAsia="黑体" w:cs="黑体"/>
          <w:sz w:val="19"/>
          <w:szCs w:val="19"/>
        </w:rPr>
      </w:pPr>
      <w:r>
        <w:rPr>
          <w:rFonts w:ascii="黑体" w:hAnsi="黑体" w:eastAsia="黑体" w:cs="黑体"/>
          <w:spacing w:val="11"/>
          <w:sz w:val="19"/>
          <w:szCs w:val="19"/>
        </w:rPr>
        <w:t>图</w:t>
      </w:r>
      <w:r>
        <w:rPr>
          <w:rFonts w:ascii="Times New Roman" w:hAnsi="Times New Roman" w:eastAsia="Times New Roman" w:cs="Times New Roman"/>
          <w:spacing w:val="8"/>
          <w:sz w:val="19"/>
          <w:szCs w:val="19"/>
        </w:rPr>
        <w:t>19</w:t>
      </w:r>
      <w:r>
        <w:rPr>
          <w:rFonts w:ascii="黑体" w:hAnsi="黑体" w:eastAsia="黑体" w:cs="黑体"/>
          <w:spacing w:val="8"/>
          <w:sz w:val="19"/>
          <w:szCs w:val="19"/>
        </w:rPr>
        <w:t>：营运中期昼间噪声等声值线图</w:t>
      </w:r>
    </w:p>
    <w:p>
      <w:pPr>
        <w:spacing w:before="236" w:line="6231" w:lineRule="exact"/>
        <w:ind w:firstLine="92"/>
        <w:textAlignment w:val="center"/>
      </w:pPr>
      <w:r>
        <w:drawing>
          <wp:inline distT="0" distB="0" distL="0" distR="0">
            <wp:extent cx="5478145" cy="395605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296"/>
                    <a:stretch>
                      <a:fillRect/>
                    </a:stretch>
                  </pic:blipFill>
                  <pic:spPr>
                    <a:xfrm>
                      <a:off x="0" y="0"/>
                      <a:ext cx="5478779" cy="3956303"/>
                    </a:xfrm>
                    <a:prstGeom prst="rect">
                      <a:avLst/>
                    </a:prstGeom>
                  </pic:spPr>
                </pic:pic>
              </a:graphicData>
            </a:graphic>
          </wp:inline>
        </w:drawing>
      </w:r>
    </w:p>
    <w:p>
      <w:pPr>
        <w:spacing w:before="96" w:line="231" w:lineRule="auto"/>
        <w:ind w:left="2432"/>
        <w:rPr>
          <w:rFonts w:ascii="黑体" w:hAnsi="黑体" w:eastAsia="黑体" w:cs="黑体"/>
          <w:sz w:val="19"/>
          <w:szCs w:val="19"/>
        </w:rPr>
      </w:pPr>
      <w:r>
        <w:rPr>
          <w:rFonts w:ascii="黑体" w:hAnsi="黑体" w:eastAsia="黑体" w:cs="黑体"/>
          <w:spacing w:val="16"/>
          <w:sz w:val="19"/>
          <w:szCs w:val="19"/>
        </w:rPr>
        <w:t>图</w:t>
      </w:r>
      <w:r>
        <w:rPr>
          <w:rFonts w:ascii="Times New Roman" w:hAnsi="Times New Roman" w:eastAsia="Times New Roman" w:cs="Times New Roman"/>
          <w:spacing w:val="10"/>
          <w:sz w:val="19"/>
          <w:szCs w:val="19"/>
        </w:rPr>
        <w:t>2</w:t>
      </w:r>
      <w:r>
        <w:rPr>
          <w:rFonts w:ascii="Times New Roman" w:hAnsi="Times New Roman" w:eastAsia="Times New Roman" w:cs="Times New Roman"/>
          <w:spacing w:val="8"/>
          <w:sz w:val="19"/>
          <w:szCs w:val="19"/>
        </w:rPr>
        <w:t>0</w:t>
      </w:r>
      <w:r>
        <w:rPr>
          <w:rFonts w:ascii="黑体" w:hAnsi="黑体" w:eastAsia="黑体" w:cs="黑体"/>
          <w:spacing w:val="8"/>
          <w:sz w:val="19"/>
          <w:szCs w:val="19"/>
        </w:rPr>
        <w:t>：营运中期昼间噪声垂直方向等声值线图</w:t>
      </w:r>
    </w:p>
    <w:p>
      <w:pPr>
        <w:sectPr>
          <w:footerReference r:id="rId138" w:type="default"/>
          <w:pgSz w:w="11906" w:h="16839"/>
          <w:pgMar w:top="400" w:right="1645" w:bottom="1027" w:left="1539" w:header="0" w:footer="840" w:gutter="0"/>
          <w:cols w:space="720" w:num="1"/>
        </w:sect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6520" w:lineRule="exact"/>
        <w:textAlignment w:val="center"/>
      </w:pPr>
      <w:r>
        <w:drawing>
          <wp:inline distT="0" distB="0" distL="0" distR="0">
            <wp:extent cx="5629275" cy="4140200"/>
            <wp:effectExtent l="0" t="0" r="0" b="0"/>
            <wp:docPr id="153" name="IM 153"/>
            <wp:cNvGraphicFramePr/>
            <a:graphic xmlns:a="http://schemas.openxmlformats.org/drawingml/2006/main">
              <a:graphicData uri="http://schemas.openxmlformats.org/drawingml/2006/picture">
                <pic:pic xmlns:pic="http://schemas.openxmlformats.org/drawingml/2006/picture">
                  <pic:nvPicPr>
                    <pic:cNvPr id="153" name="IM 153"/>
                    <pic:cNvPicPr/>
                  </pic:nvPicPr>
                  <pic:blipFill>
                    <a:blip r:embed="rId297"/>
                    <a:stretch>
                      <a:fillRect/>
                    </a:stretch>
                  </pic:blipFill>
                  <pic:spPr>
                    <a:xfrm>
                      <a:off x="0" y="0"/>
                      <a:ext cx="5629655" cy="4140708"/>
                    </a:xfrm>
                    <a:prstGeom prst="rect">
                      <a:avLst/>
                    </a:prstGeom>
                  </pic:spPr>
                </pic:pic>
              </a:graphicData>
            </a:graphic>
          </wp:inline>
        </w:drawing>
      </w:r>
    </w:p>
    <w:p>
      <w:pPr>
        <w:spacing w:before="94" w:line="231" w:lineRule="auto"/>
        <w:ind w:left="2841"/>
        <w:rPr>
          <w:rFonts w:ascii="黑体" w:hAnsi="黑体" w:eastAsia="黑体" w:cs="黑体"/>
          <w:sz w:val="19"/>
          <w:szCs w:val="19"/>
        </w:rPr>
      </w:pPr>
      <w:r>
        <w:rPr>
          <w:rFonts w:ascii="黑体" w:hAnsi="黑体" w:eastAsia="黑体" w:cs="黑体"/>
          <w:spacing w:val="11"/>
          <w:sz w:val="19"/>
          <w:szCs w:val="19"/>
        </w:rPr>
        <w:t>图</w:t>
      </w:r>
      <w:r>
        <w:rPr>
          <w:rFonts w:ascii="Times New Roman" w:hAnsi="Times New Roman" w:eastAsia="Times New Roman" w:cs="Times New Roman"/>
          <w:spacing w:val="8"/>
          <w:sz w:val="19"/>
          <w:szCs w:val="19"/>
        </w:rPr>
        <w:t>21</w:t>
      </w:r>
      <w:r>
        <w:rPr>
          <w:rFonts w:ascii="黑体" w:hAnsi="黑体" w:eastAsia="黑体" w:cs="黑体"/>
          <w:spacing w:val="8"/>
          <w:sz w:val="19"/>
          <w:szCs w:val="19"/>
        </w:rPr>
        <w:t>：营运中期夜间噪声等声值线图</w:t>
      </w:r>
    </w:p>
    <w:p>
      <w:pPr>
        <w:spacing w:before="236" w:line="6430" w:lineRule="exact"/>
        <w:textAlignment w:val="center"/>
      </w:pPr>
      <w:r>
        <w:drawing>
          <wp:inline distT="0" distB="0" distL="0" distR="0">
            <wp:extent cx="5670550" cy="4082415"/>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298"/>
                    <a:stretch>
                      <a:fillRect/>
                    </a:stretch>
                  </pic:blipFill>
                  <pic:spPr>
                    <a:xfrm>
                      <a:off x="0" y="0"/>
                      <a:ext cx="5670803" cy="4082795"/>
                    </a:xfrm>
                    <a:prstGeom prst="rect">
                      <a:avLst/>
                    </a:prstGeom>
                  </pic:spPr>
                </pic:pic>
              </a:graphicData>
            </a:graphic>
          </wp:inline>
        </w:drawing>
      </w:r>
    </w:p>
    <w:p>
      <w:pPr>
        <w:spacing w:before="89" w:line="231" w:lineRule="auto"/>
        <w:ind w:left="2441"/>
        <w:rPr>
          <w:rFonts w:ascii="黑体" w:hAnsi="黑体" w:eastAsia="黑体" w:cs="黑体"/>
          <w:sz w:val="19"/>
          <w:szCs w:val="19"/>
        </w:rPr>
      </w:pPr>
      <w:r>
        <w:rPr>
          <w:rFonts w:ascii="黑体" w:hAnsi="黑体" w:eastAsia="黑体" w:cs="黑体"/>
          <w:spacing w:val="16"/>
          <w:sz w:val="19"/>
          <w:szCs w:val="19"/>
        </w:rPr>
        <w:t>图</w:t>
      </w:r>
      <w:r>
        <w:rPr>
          <w:rFonts w:ascii="Times New Roman" w:hAnsi="Times New Roman" w:eastAsia="Times New Roman" w:cs="Times New Roman"/>
          <w:spacing w:val="10"/>
          <w:sz w:val="19"/>
          <w:szCs w:val="19"/>
        </w:rPr>
        <w:t>2</w:t>
      </w:r>
      <w:r>
        <w:rPr>
          <w:rFonts w:ascii="Times New Roman" w:hAnsi="Times New Roman" w:eastAsia="Times New Roman" w:cs="Times New Roman"/>
          <w:spacing w:val="8"/>
          <w:sz w:val="19"/>
          <w:szCs w:val="19"/>
        </w:rPr>
        <w:t>2</w:t>
      </w:r>
      <w:r>
        <w:rPr>
          <w:rFonts w:ascii="黑体" w:hAnsi="黑体" w:eastAsia="黑体" w:cs="黑体"/>
          <w:spacing w:val="8"/>
          <w:sz w:val="19"/>
          <w:szCs w:val="19"/>
        </w:rPr>
        <w:t>：营运中期夜间噪声垂直方向等声值线图</w:t>
      </w:r>
    </w:p>
    <w:p>
      <w:pPr>
        <w:sectPr>
          <w:footerReference r:id="rId139" w:type="default"/>
          <w:pgSz w:w="11906" w:h="16839"/>
          <w:pgMar w:top="400" w:right="1444" w:bottom="1027" w:left="1531" w:header="0" w:footer="840" w:gutter="0"/>
          <w:cols w:space="720" w:num="1"/>
        </w:sect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6590" w:lineRule="exact"/>
        <w:ind w:firstLine="16"/>
        <w:textAlignment w:val="center"/>
      </w:pPr>
      <w:r>
        <w:drawing>
          <wp:inline distT="0" distB="0" distL="0" distR="0">
            <wp:extent cx="5589905" cy="4184650"/>
            <wp:effectExtent l="0" t="0" r="0" b="0"/>
            <wp:docPr id="155" name="IM 155"/>
            <wp:cNvGraphicFramePr/>
            <a:graphic xmlns:a="http://schemas.openxmlformats.org/drawingml/2006/main">
              <a:graphicData uri="http://schemas.openxmlformats.org/drawingml/2006/picture">
                <pic:pic xmlns:pic="http://schemas.openxmlformats.org/drawingml/2006/picture">
                  <pic:nvPicPr>
                    <pic:cNvPr id="155" name="IM 155"/>
                    <pic:cNvPicPr/>
                  </pic:nvPicPr>
                  <pic:blipFill>
                    <a:blip r:embed="rId299"/>
                    <a:stretch>
                      <a:fillRect/>
                    </a:stretch>
                  </pic:blipFill>
                  <pic:spPr>
                    <a:xfrm>
                      <a:off x="0" y="0"/>
                      <a:ext cx="5590032" cy="4184903"/>
                    </a:xfrm>
                    <a:prstGeom prst="rect">
                      <a:avLst/>
                    </a:prstGeom>
                  </pic:spPr>
                </pic:pic>
              </a:graphicData>
            </a:graphic>
          </wp:inline>
        </w:drawing>
      </w:r>
    </w:p>
    <w:p>
      <w:pPr>
        <w:spacing w:before="96" w:line="231" w:lineRule="auto"/>
        <w:ind w:left="2841"/>
        <w:rPr>
          <w:rFonts w:ascii="黑体" w:hAnsi="黑体" w:eastAsia="黑体" w:cs="黑体"/>
          <w:sz w:val="19"/>
          <w:szCs w:val="19"/>
        </w:rPr>
      </w:pPr>
      <w:r>
        <w:rPr>
          <w:rFonts w:ascii="黑体" w:hAnsi="黑体" w:eastAsia="黑体" w:cs="黑体"/>
          <w:spacing w:val="11"/>
          <w:sz w:val="19"/>
          <w:szCs w:val="19"/>
        </w:rPr>
        <w:t>图</w:t>
      </w:r>
      <w:r>
        <w:rPr>
          <w:rFonts w:ascii="Times New Roman" w:hAnsi="Times New Roman" w:eastAsia="Times New Roman" w:cs="Times New Roman"/>
          <w:spacing w:val="8"/>
          <w:sz w:val="19"/>
          <w:szCs w:val="19"/>
        </w:rPr>
        <w:t>23</w:t>
      </w:r>
      <w:r>
        <w:rPr>
          <w:rFonts w:ascii="黑体" w:hAnsi="黑体" w:eastAsia="黑体" w:cs="黑体"/>
          <w:spacing w:val="8"/>
          <w:sz w:val="19"/>
          <w:szCs w:val="19"/>
        </w:rPr>
        <w:t>：营运远期昼间噪声等声值线图</w:t>
      </w:r>
    </w:p>
    <w:p>
      <w:pPr>
        <w:spacing w:before="236" w:line="6399" w:lineRule="exact"/>
        <w:textAlignment w:val="center"/>
      </w:pPr>
      <w:r>
        <w:drawing>
          <wp:inline distT="0" distB="0" distL="0" distR="0">
            <wp:extent cx="5615940" cy="406273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300"/>
                    <a:stretch>
                      <a:fillRect/>
                    </a:stretch>
                  </pic:blipFill>
                  <pic:spPr>
                    <a:xfrm>
                      <a:off x="0" y="0"/>
                      <a:ext cx="5615940" cy="4062983"/>
                    </a:xfrm>
                    <a:prstGeom prst="rect">
                      <a:avLst/>
                    </a:prstGeom>
                  </pic:spPr>
                </pic:pic>
              </a:graphicData>
            </a:graphic>
          </wp:inline>
        </w:drawing>
      </w:r>
    </w:p>
    <w:p>
      <w:pPr>
        <w:spacing w:before="96" w:line="231" w:lineRule="auto"/>
        <w:ind w:left="2441"/>
        <w:rPr>
          <w:rFonts w:ascii="黑体" w:hAnsi="黑体" w:eastAsia="黑体" w:cs="黑体"/>
          <w:sz w:val="19"/>
          <w:szCs w:val="19"/>
        </w:rPr>
      </w:pPr>
      <w:r>
        <w:rPr>
          <w:rFonts w:ascii="黑体" w:hAnsi="黑体" w:eastAsia="黑体" w:cs="黑体"/>
          <w:spacing w:val="16"/>
          <w:sz w:val="19"/>
          <w:szCs w:val="19"/>
        </w:rPr>
        <w:t>图</w:t>
      </w:r>
      <w:r>
        <w:rPr>
          <w:rFonts w:ascii="Times New Roman" w:hAnsi="Times New Roman" w:eastAsia="Times New Roman" w:cs="Times New Roman"/>
          <w:spacing w:val="10"/>
          <w:sz w:val="19"/>
          <w:szCs w:val="19"/>
        </w:rPr>
        <w:t>2</w:t>
      </w:r>
      <w:r>
        <w:rPr>
          <w:rFonts w:ascii="Times New Roman" w:hAnsi="Times New Roman" w:eastAsia="Times New Roman" w:cs="Times New Roman"/>
          <w:spacing w:val="8"/>
          <w:sz w:val="19"/>
          <w:szCs w:val="19"/>
        </w:rPr>
        <w:t>4</w:t>
      </w:r>
      <w:r>
        <w:rPr>
          <w:rFonts w:ascii="黑体" w:hAnsi="黑体" w:eastAsia="黑体" w:cs="黑体"/>
          <w:spacing w:val="8"/>
          <w:sz w:val="19"/>
          <w:szCs w:val="19"/>
        </w:rPr>
        <w:t>：营运远期昼间噪声垂直方向等声值线图</w:t>
      </w:r>
    </w:p>
    <w:p>
      <w:pPr>
        <w:sectPr>
          <w:footerReference r:id="rId140" w:type="default"/>
          <w:pgSz w:w="11906" w:h="16839"/>
          <w:pgMar w:top="400" w:right="1530" w:bottom="1027" w:left="1531" w:header="0" w:footer="840" w:gutter="0"/>
          <w:cols w:space="720" w:num="1"/>
        </w:sect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6576" w:lineRule="exact"/>
        <w:ind w:firstLine="16"/>
        <w:textAlignment w:val="center"/>
      </w:pPr>
      <w:r>
        <w:drawing>
          <wp:inline distT="0" distB="0" distL="0" distR="0">
            <wp:extent cx="5583555" cy="4175125"/>
            <wp:effectExtent l="0" t="0" r="0" b="0"/>
            <wp:docPr id="157" name="IM 157"/>
            <wp:cNvGraphicFramePr/>
            <a:graphic xmlns:a="http://schemas.openxmlformats.org/drawingml/2006/main">
              <a:graphicData uri="http://schemas.openxmlformats.org/drawingml/2006/picture">
                <pic:pic xmlns:pic="http://schemas.openxmlformats.org/drawingml/2006/picture">
                  <pic:nvPicPr>
                    <pic:cNvPr id="157" name="IM 157"/>
                    <pic:cNvPicPr/>
                  </pic:nvPicPr>
                  <pic:blipFill>
                    <a:blip r:embed="rId301"/>
                    <a:stretch>
                      <a:fillRect/>
                    </a:stretch>
                  </pic:blipFill>
                  <pic:spPr>
                    <a:xfrm>
                      <a:off x="0" y="0"/>
                      <a:ext cx="5583936" cy="4175759"/>
                    </a:xfrm>
                    <a:prstGeom prst="rect">
                      <a:avLst/>
                    </a:prstGeom>
                  </pic:spPr>
                </pic:pic>
              </a:graphicData>
            </a:graphic>
          </wp:inline>
        </w:drawing>
      </w:r>
    </w:p>
    <w:p>
      <w:pPr>
        <w:spacing w:before="111" w:line="231" w:lineRule="auto"/>
        <w:ind w:left="2841"/>
        <w:rPr>
          <w:rFonts w:ascii="黑体" w:hAnsi="黑体" w:eastAsia="黑体" w:cs="黑体"/>
          <w:sz w:val="19"/>
          <w:szCs w:val="19"/>
        </w:rPr>
      </w:pPr>
      <w:r>
        <w:rPr>
          <w:rFonts w:ascii="黑体" w:hAnsi="黑体" w:eastAsia="黑体" w:cs="黑体"/>
          <w:spacing w:val="11"/>
          <w:sz w:val="19"/>
          <w:szCs w:val="19"/>
        </w:rPr>
        <w:t>图</w:t>
      </w:r>
      <w:r>
        <w:rPr>
          <w:rFonts w:ascii="Times New Roman" w:hAnsi="Times New Roman" w:eastAsia="Times New Roman" w:cs="Times New Roman"/>
          <w:spacing w:val="8"/>
          <w:sz w:val="19"/>
          <w:szCs w:val="19"/>
        </w:rPr>
        <w:t>25</w:t>
      </w:r>
      <w:r>
        <w:rPr>
          <w:rFonts w:ascii="黑体" w:hAnsi="黑体" w:eastAsia="黑体" w:cs="黑体"/>
          <w:spacing w:val="8"/>
          <w:sz w:val="19"/>
          <w:szCs w:val="19"/>
        </w:rPr>
        <w:t>：营运远期夜间噪声等声值线图</w:t>
      </w:r>
    </w:p>
    <w:p>
      <w:pPr>
        <w:spacing w:before="202" w:line="6298" w:lineRule="exact"/>
        <w:textAlignment w:val="center"/>
      </w:pPr>
      <w:r>
        <w:drawing>
          <wp:inline distT="0" distB="0" distL="0" distR="0">
            <wp:extent cx="5620385" cy="3999230"/>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302"/>
                    <a:stretch>
                      <a:fillRect/>
                    </a:stretch>
                  </pic:blipFill>
                  <pic:spPr>
                    <a:xfrm>
                      <a:off x="0" y="0"/>
                      <a:ext cx="5620511" cy="3999268"/>
                    </a:xfrm>
                    <a:prstGeom prst="rect">
                      <a:avLst/>
                    </a:prstGeom>
                  </pic:spPr>
                </pic:pic>
              </a:graphicData>
            </a:graphic>
          </wp:inline>
        </w:drawing>
      </w:r>
    </w:p>
    <w:p>
      <w:pPr>
        <w:spacing w:before="87" w:line="231" w:lineRule="auto"/>
        <w:ind w:left="2441"/>
        <w:rPr>
          <w:rFonts w:ascii="黑体" w:hAnsi="黑体" w:eastAsia="黑体" w:cs="黑体"/>
          <w:sz w:val="19"/>
          <w:szCs w:val="19"/>
        </w:rPr>
      </w:pPr>
      <w:r>
        <w:rPr>
          <w:rFonts w:ascii="黑体" w:hAnsi="黑体" w:eastAsia="黑体" w:cs="黑体"/>
          <w:spacing w:val="16"/>
          <w:sz w:val="19"/>
          <w:szCs w:val="19"/>
        </w:rPr>
        <w:t>图</w:t>
      </w:r>
      <w:r>
        <w:rPr>
          <w:rFonts w:ascii="Times New Roman" w:hAnsi="Times New Roman" w:eastAsia="Times New Roman" w:cs="Times New Roman"/>
          <w:spacing w:val="10"/>
          <w:sz w:val="19"/>
          <w:szCs w:val="19"/>
        </w:rPr>
        <w:t>2</w:t>
      </w:r>
      <w:r>
        <w:rPr>
          <w:rFonts w:ascii="Times New Roman" w:hAnsi="Times New Roman" w:eastAsia="Times New Roman" w:cs="Times New Roman"/>
          <w:spacing w:val="8"/>
          <w:sz w:val="19"/>
          <w:szCs w:val="19"/>
        </w:rPr>
        <w:t>6</w:t>
      </w:r>
      <w:r>
        <w:rPr>
          <w:rFonts w:ascii="黑体" w:hAnsi="黑体" w:eastAsia="黑体" w:cs="黑体"/>
          <w:spacing w:val="8"/>
          <w:sz w:val="19"/>
          <w:szCs w:val="19"/>
        </w:rPr>
        <w:t>：营运远期夜间噪声垂直方向等声值线图</w:t>
      </w:r>
    </w:p>
    <w:p>
      <w:pPr>
        <w:sectPr>
          <w:footerReference r:id="rId141" w:type="default"/>
          <w:pgSz w:w="11906" w:h="16839"/>
          <w:pgMar w:top="400" w:right="1523" w:bottom="1027" w:left="1531" w:header="0" w:footer="840" w:gutter="0"/>
          <w:cols w:space="720" w:num="1"/>
        </w:sect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72" w:line="222" w:lineRule="auto"/>
        <w:outlineLvl w:val="3"/>
        <w:rPr>
          <w:rFonts w:ascii="黑体" w:hAnsi="黑体" w:eastAsia="黑体" w:cs="黑体"/>
          <w:sz w:val="22"/>
          <w:szCs w:val="22"/>
        </w:rPr>
      </w:pPr>
      <w:r>
        <w:rPr>
          <w:rFonts w:ascii="Times New Roman" w:hAnsi="Times New Roman" w:eastAsia="Times New Roman" w:cs="Times New Roman"/>
          <w:spacing w:val="-1"/>
          <w:sz w:val="22"/>
          <w:szCs w:val="22"/>
        </w:rPr>
        <w:t>4.</w:t>
      </w:r>
      <w:r>
        <w:rPr>
          <w:rFonts w:ascii="Times New Roman" w:hAnsi="Times New Roman" w:eastAsia="Times New Roman" w:cs="Times New Roman"/>
          <w:sz w:val="22"/>
          <w:szCs w:val="22"/>
        </w:rPr>
        <w:t xml:space="preserve">2.5    </w:t>
      </w:r>
      <w:r>
        <w:rPr>
          <w:rFonts w:ascii="黑体" w:hAnsi="黑体" w:eastAsia="黑体" w:cs="黑体"/>
          <w:sz w:val="22"/>
          <w:szCs w:val="22"/>
        </w:rPr>
        <w:t>预测结果评价</w:t>
      </w:r>
    </w:p>
    <w:p>
      <w:pPr>
        <w:spacing w:before="144" w:line="369" w:lineRule="auto"/>
        <w:ind w:left="4" w:right="70" w:firstLine="420"/>
        <w:rPr>
          <w:rFonts w:ascii="宋体" w:hAnsi="宋体" w:eastAsia="宋体" w:cs="宋体"/>
          <w:sz w:val="20"/>
          <w:szCs w:val="20"/>
        </w:rPr>
      </w:pPr>
      <w:r>
        <w:rPr>
          <w:rFonts w:ascii="宋体" w:hAnsi="宋体" w:eastAsia="宋体" w:cs="宋体"/>
          <w:spacing w:val="11"/>
          <w:sz w:val="20"/>
          <w:szCs w:val="20"/>
        </w:rPr>
        <w:t>根</w:t>
      </w:r>
      <w:r>
        <w:rPr>
          <w:rFonts w:ascii="宋体" w:hAnsi="宋体" w:eastAsia="宋体" w:cs="宋体"/>
          <w:spacing w:val="6"/>
          <w:sz w:val="20"/>
          <w:szCs w:val="20"/>
        </w:rPr>
        <w:t xml:space="preserve">据项目所在地声环境质量功能分区及周边的环境敏感目标情况等，拟建桥梁两侧 </w:t>
      </w:r>
      <w:r>
        <w:rPr>
          <w:rFonts w:ascii="Times New Roman" w:hAnsi="Times New Roman" w:eastAsia="Times New Roman" w:cs="Times New Roman"/>
          <w:spacing w:val="6"/>
          <w:sz w:val="20"/>
          <w:szCs w:val="20"/>
        </w:rPr>
        <w:t xml:space="preserve">35 </w:t>
      </w:r>
      <w:r>
        <w:rPr>
          <w:rFonts w:ascii="宋体" w:hAnsi="宋体" w:eastAsia="宋体" w:cs="宋体"/>
          <w:spacing w:val="6"/>
          <w:sz w:val="20"/>
          <w:szCs w:val="20"/>
        </w:rPr>
        <w:t>米范围</w:t>
      </w:r>
      <w:r>
        <w:rPr>
          <w:rFonts w:ascii="宋体" w:hAnsi="宋体" w:eastAsia="宋体" w:cs="宋体"/>
          <w:sz w:val="20"/>
          <w:szCs w:val="20"/>
        </w:rPr>
        <w:t xml:space="preserve"> </w:t>
      </w:r>
      <w:r>
        <w:rPr>
          <w:rFonts w:ascii="宋体" w:hAnsi="宋体" w:eastAsia="宋体" w:cs="宋体"/>
          <w:spacing w:val="4"/>
          <w:sz w:val="20"/>
          <w:szCs w:val="20"/>
        </w:rPr>
        <w:t>内执行《声环境质量标准》  (</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3096-2008</w:t>
      </w:r>
      <w:r>
        <w:rPr>
          <w:rFonts w:ascii="宋体" w:hAnsi="宋体" w:eastAsia="宋体" w:cs="宋体"/>
          <w:spacing w:val="4"/>
          <w:sz w:val="20"/>
          <w:szCs w:val="20"/>
        </w:rPr>
        <w:t xml:space="preserve">) </w:t>
      </w:r>
      <w:r>
        <w:rPr>
          <w:rFonts w:ascii="Times New Roman" w:hAnsi="Times New Roman" w:eastAsia="Times New Roman" w:cs="Times New Roman"/>
          <w:spacing w:val="4"/>
          <w:sz w:val="20"/>
          <w:szCs w:val="20"/>
        </w:rPr>
        <w:t>4</w:t>
      </w:r>
      <w:r>
        <w:rPr>
          <w:rFonts w:ascii="Times New Roman" w:hAnsi="Times New Roman" w:eastAsia="Times New Roman" w:cs="Times New Roman"/>
          <w:sz w:val="20"/>
          <w:szCs w:val="20"/>
        </w:rPr>
        <w:t>a</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类标准；拟建桥梁两侧 </w:t>
      </w:r>
      <w:r>
        <w:rPr>
          <w:rFonts w:ascii="Times New Roman" w:hAnsi="Times New Roman" w:eastAsia="Times New Roman" w:cs="Times New Roman"/>
          <w:spacing w:val="4"/>
          <w:sz w:val="20"/>
          <w:szCs w:val="20"/>
        </w:rPr>
        <w:t xml:space="preserve">35 </w:t>
      </w:r>
      <w:r>
        <w:rPr>
          <w:rFonts w:ascii="宋体" w:hAnsi="宋体" w:eastAsia="宋体" w:cs="宋体"/>
          <w:spacing w:val="4"/>
          <w:sz w:val="20"/>
          <w:szCs w:val="20"/>
        </w:rPr>
        <w:t>米以外执行《声环</w:t>
      </w:r>
      <w:r>
        <w:rPr>
          <w:rFonts w:ascii="宋体" w:hAnsi="宋体" w:eastAsia="宋体" w:cs="宋体"/>
          <w:sz w:val="20"/>
          <w:szCs w:val="20"/>
        </w:rPr>
        <w:t xml:space="preserve">境质 </w:t>
      </w:r>
      <w:r>
        <w:rPr>
          <w:rFonts w:ascii="宋体" w:hAnsi="宋体" w:eastAsia="宋体" w:cs="宋体"/>
          <w:spacing w:val="1"/>
          <w:sz w:val="20"/>
          <w:szCs w:val="20"/>
        </w:rPr>
        <w:t>量标准》  (</w:t>
      </w:r>
      <w:r>
        <w:rPr>
          <w:rFonts w:ascii="Times New Roman" w:hAnsi="Times New Roman" w:eastAsia="Times New Roman" w:cs="Times New Roman"/>
          <w:sz w:val="20"/>
          <w:szCs w:val="20"/>
        </w:rPr>
        <w:t>GB</w:t>
      </w:r>
      <w:r>
        <w:rPr>
          <w:rFonts w:ascii="Times New Roman" w:hAnsi="Times New Roman" w:eastAsia="Times New Roman" w:cs="Times New Roman"/>
          <w:spacing w:val="1"/>
          <w:sz w:val="20"/>
          <w:szCs w:val="20"/>
        </w:rPr>
        <w:t>3096-2008</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 xml:space="preserve">2 </w:t>
      </w:r>
      <w:r>
        <w:rPr>
          <w:rFonts w:ascii="宋体" w:hAnsi="宋体" w:eastAsia="宋体" w:cs="宋体"/>
          <w:spacing w:val="1"/>
          <w:sz w:val="20"/>
          <w:szCs w:val="20"/>
        </w:rPr>
        <w:t>类标准。</w:t>
      </w:r>
      <w:r>
        <w:rPr>
          <w:rFonts w:ascii="宋体" w:hAnsi="宋体" w:eastAsia="宋体" w:cs="宋体"/>
          <w:sz w:val="20"/>
          <w:szCs w:val="20"/>
        </w:rPr>
        <w:t xml:space="preserve"> 由预测结果可知：</w:t>
      </w:r>
    </w:p>
    <w:p>
      <w:pPr>
        <w:spacing w:before="3" w:line="363" w:lineRule="auto"/>
        <w:ind w:left="4" w:firstLine="430"/>
        <w:rPr>
          <w:rFonts w:ascii="宋体" w:hAnsi="宋体" w:eastAsia="宋体" w:cs="宋体"/>
          <w:sz w:val="20"/>
          <w:szCs w:val="20"/>
        </w:rPr>
      </w:pPr>
      <w:r>
        <w:rPr>
          <w:rFonts w:ascii="宋体" w:hAnsi="宋体" w:eastAsia="宋体" w:cs="宋体"/>
          <w:spacing w:val="13"/>
          <w:sz w:val="20"/>
          <w:szCs w:val="20"/>
        </w:rPr>
        <w:t>(</w:t>
      </w:r>
      <w:r>
        <w:rPr>
          <w:rFonts w:ascii="Times New Roman" w:hAnsi="Times New Roman" w:eastAsia="Times New Roman" w:cs="Times New Roman"/>
          <w:spacing w:val="12"/>
          <w:sz w:val="20"/>
          <w:szCs w:val="20"/>
        </w:rPr>
        <w:t>1</w:t>
      </w:r>
      <w:r>
        <w:rPr>
          <w:rFonts w:ascii="宋体" w:hAnsi="宋体" w:eastAsia="宋体" w:cs="宋体"/>
          <w:spacing w:val="12"/>
          <w:sz w:val="20"/>
          <w:szCs w:val="20"/>
        </w:rPr>
        <w:t>) 营运期近期 (</w:t>
      </w:r>
      <w:r>
        <w:rPr>
          <w:rFonts w:ascii="Times New Roman" w:hAnsi="Times New Roman" w:eastAsia="Times New Roman" w:cs="Times New Roman"/>
          <w:spacing w:val="12"/>
          <w:sz w:val="20"/>
          <w:szCs w:val="20"/>
        </w:rPr>
        <w:t xml:space="preserve">2026 </w:t>
      </w:r>
      <w:r>
        <w:rPr>
          <w:rFonts w:ascii="宋体" w:hAnsi="宋体" w:eastAsia="宋体" w:cs="宋体"/>
          <w:spacing w:val="12"/>
          <w:sz w:val="20"/>
          <w:szCs w:val="20"/>
        </w:rPr>
        <w:t>年) ：桥梁两端敏感点噪声贡献值中，昼间、夜间均无超标点。叠</w:t>
      </w:r>
      <w:r>
        <w:rPr>
          <w:rFonts w:ascii="宋体" w:hAnsi="宋体" w:eastAsia="宋体" w:cs="宋体"/>
          <w:sz w:val="20"/>
          <w:szCs w:val="20"/>
        </w:rPr>
        <w:t xml:space="preserve"> </w:t>
      </w:r>
      <w:r>
        <w:rPr>
          <w:rFonts w:ascii="宋体" w:hAnsi="宋体" w:eastAsia="宋体" w:cs="宋体"/>
          <w:spacing w:val="4"/>
          <w:sz w:val="20"/>
          <w:szCs w:val="20"/>
        </w:rPr>
        <w:t>加背景值后的预测值中，</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类区噪</w:t>
      </w:r>
      <w:r>
        <w:rPr>
          <w:rFonts w:ascii="宋体" w:hAnsi="宋体" w:eastAsia="宋体" w:cs="宋体"/>
          <w:spacing w:val="2"/>
          <w:sz w:val="20"/>
          <w:szCs w:val="20"/>
        </w:rPr>
        <w:t xml:space="preserve">声昼间增量最大为 </w:t>
      </w:r>
      <w:r>
        <w:rPr>
          <w:rFonts w:ascii="Times New Roman" w:hAnsi="Times New Roman" w:eastAsia="Times New Roman" w:cs="Times New Roman"/>
          <w:spacing w:val="2"/>
          <w:sz w:val="20"/>
          <w:szCs w:val="20"/>
        </w:rPr>
        <w:t>1.3</w:t>
      </w:r>
      <w:r>
        <w:rPr>
          <w:rFonts w:ascii="Times New Roman" w:hAnsi="Times New Roman" w:eastAsia="Times New Roman" w:cs="Times New Roman"/>
          <w:sz w:val="20"/>
          <w:szCs w:val="20"/>
        </w:rPr>
        <w:t>dB</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、夜间增量最大为 </w:t>
      </w:r>
      <w:r>
        <w:rPr>
          <w:rFonts w:ascii="Times New Roman" w:hAnsi="Times New Roman" w:eastAsia="Times New Roman" w:cs="Times New Roman"/>
          <w:spacing w:val="2"/>
          <w:sz w:val="20"/>
          <w:szCs w:val="20"/>
        </w:rPr>
        <w:t>0.8</w:t>
      </w:r>
      <w:r>
        <w:rPr>
          <w:rFonts w:ascii="Times New Roman" w:hAnsi="Times New Roman" w:eastAsia="Times New Roman" w:cs="Times New Roman"/>
          <w:sz w:val="20"/>
          <w:szCs w:val="20"/>
        </w:rPr>
        <w:t>dB</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，昼间、</w:t>
      </w:r>
      <w:r>
        <w:rPr>
          <w:rFonts w:ascii="宋体" w:hAnsi="宋体" w:eastAsia="宋体" w:cs="宋体"/>
          <w:sz w:val="20"/>
          <w:szCs w:val="20"/>
        </w:rPr>
        <w:t xml:space="preserve"> </w:t>
      </w:r>
      <w:r>
        <w:rPr>
          <w:rFonts w:ascii="宋体" w:hAnsi="宋体" w:eastAsia="宋体" w:cs="宋体"/>
          <w:spacing w:val="6"/>
          <w:sz w:val="20"/>
          <w:szCs w:val="20"/>
        </w:rPr>
        <w:t>夜间均无超标点</w:t>
      </w:r>
      <w:r>
        <w:rPr>
          <w:rFonts w:ascii="宋体" w:hAnsi="宋体" w:eastAsia="宋体" w:cs="宋体"/>
          <w:spacing w:val="5"/>
          <w:sz w:val="20"/>
          <w:szCs w:val="20"/>
        </w:rPr>
        <w:t>。</w:t>
      </w:r>
      <w:r>
        <w:rPr>
          <w:rFonts w:ascii="Times New Roman" w:hAnsi="Times New Roman" w:eastAsia="Times New Roman" w:cs="Times New Roman"/>
          <w:spacing w:val="3"/>
          <w:sz w:val="20"/>
          <w:szCs w:val="20"/>
        </w:rPr>
        <w:t>4</w:t>
      </w:r>
      <w:r>
        <w:rPr>
          <w:rFonts w:ascii="Times New Roman" w:hAnsi="Times New Roman" w:eastAsia="Times New Roman" w:cs="Times New Roman"/>
          <w:sz w:val="20"/>
          <w:szCs w:val="20"/>
        </w:rPr>
        <w:t>a</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类区噪声昼间增量最大为 </w:t>
      </w:r>
      <w:r>
        <w:rPr>
          <w:rFonts w:ascii="Times New Roman" w:hAnsi="Times New Roman" w:eastAsia="Times New Roman" w:cs="Times New Roman"/>
          <w:spacing w:val="3"/>
          <w:sz w:val="20"/>
          <w:szCs w:val="20"/>
        </w:rPr>
        <w:t>0.9</w:t>
      </w:r>
      <w:r>
        <w:rPr>
          <w:rFonts w:ascii="Times New Roman" w:hAnsi="Times New Roman" w:eastAsia="Times New Roman" w:cs="Times New Roman"/>
          <w:sz w:val="20"/>
          <w:szCs w:val="20"/>
        </w:rPr>
        <w:t>dB</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、夜间增量最大为 </w:t>
      </w:r>
      <w:r>
        <w:rPr>
          <w:rFonts w:ascii="Times New Roman" w:hAnsi="Times New Roman" w:eastAsia="Times New Roman" w:cs="Times New Roman"/>
          <w:spacing w:val="3"/>
          <w:sz w:val="20"/>
          <w:szCs w:val="20"/>
        </w:rPr>
        <w:t>1.2</w:t>
      </w:r>
      <w:r>
        <w:rPr>
          <w:rFonts w:ascii="Times New Roman" w:hAnsi="Times New Roman" w:eastAsia="Times New Roman" w:cs="Times New Roman"/>
          <w:sz w:val="20"/>
          <w:szCs w:val="20"/>
        </w:rPr>
        <w:t>dB</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，昼间、夜间</w:t>
      </w:r>
      <w:r>
        <w:rPr>
          <w:rFonts w:ascii="宋体" w:hAnsi="宋体" w:eastAsia="宋体" w:cs="宋体"/>
          <w:sz w:val="20"/>
          <w:szCs w:val="20"/>
        </w:rPr>
        <w:t xml:space="preserve"> </w:t>
      </w:r>
      <w:r>
        <w:rPr>
          <w:rFonts w:ascii="宋体" w:hAnsi="宋体" w:eastAsia="宋体" w:cs="宋体"/>
          <w:spacing w:val="13"/>
          <w:sz w:val="20"/>
          <w:szCs w:val="20"/>
        </w:rPr>
        <w:t>均</w:t>
      </w:r>
      <w:r>
        <w:rPr>
          <w:rFonts w:ascii="宋体" w:hAnsi="宋体" w:eastAsia="宋体" w:cs="宋体"/>
          <w:spacing w:val="9"/>
          <w:sz w:val="20"/>
          <w:szCs w:val="20"/>
        </w:rPr>
        <w:t>无超标点。营运期近期桥梁交通噪声对敏感点影响很小。</w:t>
      </w:r>
    </w:p>
    <w:p>
      <w:pPr>
        <w:spacing w:before="23" w:line="364" w:lineRule="auto"/>
        <w:ind w:left="3" w:right="68" w:firstLine="427"/>
        <w:rPr>
          <w:rFonts w:ascii="宋体" w:hAnsi="宋体" w:eastAsia="宋体" w:cs="宋体"/>
          <w:sz w:val="20"/>
          <w:szCs w:val="20"/>
        </w:rPr>
      </w:pPr>
      <w:r>
        <w:rPr>
          <w:rFonts w:ascii="宋体" w:hAnsi="宋体" w:eastAsia="宋体" w:cs="宋体"/>
          <w:spacing w:val="8"/>
          <w:sz w:val="20"/>
          <w:szCs w:val="20"/>
        </w:rPr>
        <w:t>营运期中期 (</w:t>
      </w:r>
      <w:r>
        <w:rPr>
          <w:rFonts w:ascii="Times New Roman" w:hAnsi="Times New Roman" w:eastAsia="Times New Roman" w:cs="Times New Roman"/>
          <w:spacing w:val="8"/>
          <w:sz w:val="20"/>
          <w:szCs w:val="20"/>
        </w:rPr>
        <w:t xml:space="preserve">2032 </w:t>
      </w:r>
      <w:r>
        <w:rPr>
          <w:rFonts w:ascii="宋体" w:hAnsi="宋体" w:eastAsia="宋体" w:cs="宋体"/>
          <w:spacing w:val="8"/>
          <w:sz w:val="20"/>
          <w:szCs w:val="20"/>
        </w:rPr>
        <w:t>年) ：桥梁两端敏感点噪声贡献值中，昼间、夜间均无超标点。叠加背</w:t>
      </w:r>
      <w:r>
        <w:rPr>
          <w:rFonts w:ascii="宋体" w:hAnsi="宋体" w:eastAsia="宋体" w:cs="宋体"/>
          <w:spacing w:val="5"/>
          <w:sz w:val="20"/>
          <w:szCs w:val="20"/>
        </w:rPr>
        <w:t>景</w:t>
      </w:r>
      <w:r>
        <w:rPr>
          <w:rFonts w:ascii="宋体" w:hAnsi="宋体" w:eastAsia="宋体" w:cs="宋体"/>
          <w:sz w:val="20"/>
          <w:szCs w:val="20"/>
        </w:rPr>
        <w:t xml:space="preserve"> </w:t>
      </w:r>
      <w:r>
        <w:rPr>
          <w:rFonts w:ascii="宋体" w:hAnsi="宋体" w:eastAsia="宋体" w:cs="宋体"/>
          <w:spacing w:val="10"/>
          <w:sz w:val="20"/>
          <w:szCs w:val="20"/>
        </w:rPr>
        <w:t>值后的</w:t>
      </w:r>
      <w:r>
        <w:rPr>
          <w:rFonts w:ascii="宋体" w:hAnsi="宋体" w:eastAsia="宋体" w:cs="宋体"/>
          <w:spacing w:val="9"/>
          <w:sz w:val="20"/>
          <w:szCs w:val="20"/>
        </w:rPr>
        <w:t>预</w:t>
      </w:r>
      <w:r>
        <w:rPr>
          <w:rFonts w:ascii="宋体" w:hAnsi="宋体" w:eastAsia="宋体" w:cs="宋体"/>
          <w:spacing w:val="5"/>
          <w:sz w:val="20"/>
          <w:szCs w:val="20"/>
        </w:rPr>
        <w:t>测值中，</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 xml:space="preserve">类区噪声昼间增量最大为 </w:t>
      </w:r>
      <w:r>
        <w:rPr>
          <w:rFonts w:ascii="Times New Roman" w:hAnsi="Times New Roman" w:eastAsia="Times New Roman" w:cs="Times New Roman"/>
          <w:spacing w:val="5"/>
          <w:sz w:val="20"/>
          <w:szCs w:val="20"/>
        </w:rPr>
        <w:t>1.7</w:t>
      </w:r>
      <w:r>
        <w:rPr>
          <w:rFonts w:ascii="Times New Roman" w:hAnsi="Times New Roman" w:eastAsia="Times New Roman" w:cs="Times New Roman"/>
          <w:sz w:val="20"/>
          <w:szCs w:val="20"/>
        </w:rPr>
        <w:t>dB</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、夜间增量最大为 </w:t>
      </w:r>
      <w:r>
        <w:rPr>
          <w:rFonts w:ascii="Times New Roman" w:hAnsi="Times New Roman" w:eastAsia="Times New Roman" w:cs="Times New Roman"/>
          <w:spacing w:val="5"/>
          <w:sz w:val="20"/>
          <w:szCs w:val="20"/>
        </w:rPr>
        <w:t>1.0</w:t>
      </w:r>
      <w:r>
        <w:rPr>
          <w:rFonts w:ascii="Times New Roman" w:hAnsi="Times New Roman" w:eastAsia="Times New Roman" w:cs="Times New Roman"/>
          <w:sz w:val="20"/>
          <w:szCs w:val="20"/>
        </w:rPr>
        <w:t>dB</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，昼间、夜间</w:t>
      </w:r>
      <w:r>
        <w:rPr>
          <w:rFonts w:ascii="宋体" w:hAnsi="宋体" w:eastAsia="宋体" w:cs="宋体"/>
          <w:sz w:val="20"/>
          <w:szCs w:val="20"/>
        </w:rPr>
        <w:t xml:space="preserve"> </w:t>
      </w:r>
      <w:r>
        <w:rPr>
          <w:rFonts w:ascii="宋体" w:hAnsi="宋体" w:eastAsia="宋体" w:cs="宋体"/>
          <w:spacing w:val="6"/>
          <w:sz w:val="20"/>
          <w:szCs w:val="20"/>
        </w:rPr>
        <w:t>均无超标点。</w:t>
      </w:r>
      <w:r>
        <w:rPr>
          <w:rFonts w:ascii="Times New Roman" w:hAnsi="Times New Roman" w:eastAsia="Times New Roman" w:cs="Times New Roman"/>
          <w:spacing w:val="6"/>
          <w:sz w:val="20"/>
          <w:szCs w:val="20"/>
        </w:rPr>
        <w:t>4</w:t>
      </w:r>
      <w:r>
        <w:rPr>
          <w:rFonts w:ascii="Times New Roman" w:hAnsi="Times New Roman" w:eastAsia="Times New Roman" w:cs="Times New Roman"/>
          <w:sz w:val="20"/>
          <w:szCs w:val="20"/>
        </w:rPr>
        <w:t>a</w:t>
      </w:r>
      <w:r>
        <w:rPr>
          <w:rFonts w:ascii="Times New Roman" w:hAnsi="Times New Roman" w:eastAsia="Times New Roman" w:cs="Times New Roman"/>
          <w:spacing w:val="6"/>
          <w:sz w:val="20"/>
          <w:szCs w:val="20"/>
        </w:rPr>
        <w:t xml:space="preserve"> </w:t>
      </w:r>
      <w:r>
        <w:rPr>
          <w:rFonts w:ascii="宋体" w:hAnsi="宋体" w:eastAsia="宋体" w:cs="宋体"/>
          <w:spacing w:val="3"/>
          <w:sz w:val="20"/>
          <w:szCs w:val="20"/>
        </w:rPr>
        <w:t xml:space="preserve">类区噪声昼间增量最大为 </w:t>
      </w:r>
      <w:r>
        <w:rPr>
          <w:rFonts w:ascii="Times New Roman" w:hAnsi="Times New Roman" w:eastAsia="Times New Roman" w:cs="Times New Roman"/>
          <w:spacing w:val="3"/>
          <w:sz w:val="20"/>
          <w:szCs w:val="20"/>
        </w:rPr>
        <w:t>1.2</w:t>
      </w:r>
      <w:r>
        <w:rPr>
          <w:rFonts w:ascii="Times New Roman" w:hAnsi="Times New Roman" w:eastAsia="Times New Roman" w:cs="Times New Roman"/>
          <w:sz w:val="20"/>
          <w:szCs w:val="20"/>
        </w:rPr>
        <w:t>dB</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、夜间增量最大为 </w:t>
      </w:r>
      <w:r>
        <w:rPr>
          <w:rFonts w:ascii="Times New Roman" w:hAnsi="Times New Roman" w:eastAsia="Times New Roman" w:cs="Times New Roman"/>
          <w:spacing w:val="3"/>
          <w:sz w:val="20"/>
          <w:szCs w:val="20"/>
        </w:rPr>
        <w:t>1.6</w:t>
      </w:r>
      <w:r>
        <w:rPr>
          <w:rFonts w:ascii="Times New Roman" w:hAnsi="Times New Roman" w:eastAsia="Times New Roman" w:cs="Times New Roman"/>
          <w:sz w:val="20"/>
          <w:szCs w:val="20"/>
        </w:rPr>
        <w:t>dB</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，昼间、夜间均无</w:t>
      </w:r>
      <w:r>
        <w:rPr>
          <w:rFonts w:ascii="宋体" w:hAnsi="宋体" w:eastAsia="宋体" w:cs="宋体"/>
          <w:sz w:val="20"/>
          <w:szCs w:val="20"/>
        </w:rPr>
        <w:t xml:space="preserve"> </w:t>
      </w:r>
      <w:r>
        <w:rPr>
          <w:rFonts w:ascii="宋体" w:hAnsi="宋体" w:eastAsia="宋体" w:cs="宋体"/>
          <w:spacing w:val="12"/>
          <w:sz w:val="20"/>
          <w:szCs w:val="20"/>
        </w:rPr>
        <w:t>超</w:t>
      </w:r>
      <w:r>
        <w:rPr>
          <w:rFonts w:ascii="宋体" w:hAnsi="宋体" w:eastAsia="宋体" w:cs="宋体"/>
          <w:spacing w:val="9"/>
          <w:sz w:val="20"/>
          <w:szCs w:val="20"/>
        </w:rPr>
        <w:t>标点。营运期中期交通噪声对敏感点影响很小。</w:t>
      </w:r>
    </w:p>
    <w:p>
      <w:pPr>
        <w:spacing w:before="21" w:line="228" w:lineRule="auto"/>
        <w:ind w:left="431"/>
        <w:rPr>
          <w:rFonts w:ascii="宋体" w:hAnsi="宋体" w:eastAsia="宋体" w:cs="宋体"/>
          <w:sz w:val="20"/>
          <w:szCs w:val="20"/>
        </w:rPr>
      </w:pPr>
      <w:r>
        <w:rPr>
          <w:rFonts w:ascii="宋体" w:hAnsi="宋体" w:eastAsia="宋体" w:cs="宋体"/>
          <w:spacing w:val="8"/>
          <w:sz w:val="20"/>
          <w:szCs w:val="20"/>
        </w:rPr>
        <w:t>营运期远期 (</w:t>
      </w:r>
      <w:r>
        <w:rPr>
          <w:rFonts w:ascii="Times New Roman" w:hAnsi="Times New Roman" w:eastAsia="Times New Roman" w:cs="Times New Roman"/>
          <w:spacing w:val="8"/>
          <w:sz w:val="20"/>
          <w:szCs w:val="20"/>
        </w:rPr>
        <w:t xml:space="preserve">2040 </w:t>
      </w:r>
      <w:r>
        <w:rPr>
          <w:rFonts w:ascii="宋体" w:hAnsi="宋体" w:eastAsia="宋体" w:cs="宋体"/>
          <w:spacing w:val="8"/>
          <w:sz w:val="20"/>
          <w:szCs w:val="20"/>
        </w:rPr>
        <w:t>年) ：桥梁两端敏感点噪声预测值中，昼间、夜间均无超标点。叠加背</w:t>
      </w:r>
      <w:r>
        <w:rPr>
          <w:rFonts w:ascii="宋体" w:hAnsi="宋体" w:eastAsia="宋体" w:cs="宋体"/>
          <w:spacing w:val="5"/>
          <w:sz w:val="20"/>
          <w:szCs w:val="20"/>
        </w:rPr>
        <w:t>景</w:t>
      </w:r>
    </w:p>
    <w:p>
      <w:pPr>
        <w:spacing w:before="116" w:line="369" w:lineRule="auto"/>
        <w:ind w:left="14" w:hanging="10"/>
        <w:rPr>
          <w:rFonts w:ascii="宋体" w:hAnsi="宋体" w:eastAsia="宋体" w:cs="宋体"/>
          <w:sz w:val="20"/>
          <w:szCs w:val="20"/>
        </w:rPr>
      </w:pPr>
      <w:r>
        <w:rPr>
          <w:rFonts w:ascii="宋体" w:hAnsi="宋体" w:eastAsia="宋体" w:cs="宋体"/>
          <w:spacing w:val="8"/>
          <w:sz w:val="20"/>
          <w:szCs w:val="20"/>
        </w:rPr>
        <w:t>值后的</w:t>
      </w:r>
      <w:r>
        <w:rPr>
          <w:rFonts w:ascii="宋体" w:hAnsi="宋体" w:eastAsia="宋体" w:cs="宋体"/>
          <w:spacing w:val="5"/>
          <w:sz w:val="20"/>
          <w:szCs w:val="20"/>
        </w:rPr>
        <w:t>预</w:t>
      </w:r>
      <w:r>
        <w:rPr>
          <w:rFonts w:ascii="宋体" w:hAnsi="宋体" w:eastAsia="宋体" w:cs="宋体"/>
          <w:spacing w:val="4"/>
          <w:sz w:val="20"/>
          <w:szCs w:val="20"/>
        </w:rPr>
        <w:t>测值中，</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 xml:space="preserve">类区噪声昼间增量最大为 </w:t>
      </w:r>
      <w:r>
        <w:rPr>
          <w:rFonts w:ascii="Times New Roman" w:hAnsi="Times New Roman" w:eastAsia="Times New Roman" w:cs="Times New Roman"/>
          <w:spacing w:val="4"/>
          <w:sz w:val="20"/>
          <w:szCs w:val="20"/>
        </w:rPr>
        <w:t>1.8</w:t>
      </w:r>
      <w:r>
        <w:rPr>
          <w:rFonts w:ascii="Times New Roman" w:hAnsi="Times New Roman" w:eastAsia="Times New Roman" w:cs="Times New Roman"/>
          <w:sz w:val="20"/>
          <w:szCs w:val="20"/>
        </w:rPr>
        <w:t>dB</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、夜间增量最大为 </w:t>
      </w:r>
      <w:r>
        <w:rPr>
          <w:rFonts w:ascii="Times New Roman" w:hAnsi="Times New Roman" w:eastAsia="Times New Roman" w:cs="Times New Roman"/>
          <w:spacing w:val="4"/>
          <w:sz w:val="20"/>
          <w:szCs w:val="20"/>
        </w:rPr>
        <w:t>1. 1</w:t>
      </w:r>
      <w:r>
        <w:rPr>
          <w:rFonts w:ascii="Times New Roman" w:hAnsi="Times New Roman" w:eastAsia="Times New Roman" w:cs="Times New Roman"/>
          <w:sz w:val="20"/>
          <w:szCs w:val="20"/>
        </w:rPr>
        <w:t>dB</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，昼间无超标</w:t>
      </w:r>
      <w:r>
        <w:rPr>
          <w:rFonts w:ascii="宋体" w:hAnsi="宋体" w:eastAsia="宋体" w:cs="宋体"/>
          <w:sz w:val="20"/>
          <w:szCs w:val="20"/>
        </w:rPr>
        <w:t xml:space="preserve"> </w:t>
      </w:r>
      <w:r>
        <w:rPr>
          <w:rFonts w:ascii="宋体" w:hAnsi="宋体" w:eastAsia="宋体" w:cs="宋体"/>
          <w:spacing w:val="-12"/>
          <w:sz w:val="20"/>
          <w:szCs w:val="20"/>
        </w:rPr>
        <w:t>点；夜间出</w:t>
      </w:r>
      <w:r>
        <w:rPr>
          <w:rFonts w:ascii="宋体" w:hAnsi="宋体" w:eastAsia="宋体" w:cs="宋体"/>
          <w:spacing w:val="-10"/>
          <w:sz w:val="20"/>
          <w:szCs w:val="20"/>
        </w:rPr>
        <w:t>现</w:t>
      </w:r>
      <w:r>
        <w:rPr>
          <w:rFonts w:ascii="宋体" w:hAnsi="宋体" w:eastAsia="宋体" w:cs="宋体"/>
          <w:spacing w:val="-6"/>
          <w:sz w:val="20"/>
          <w:szCs w:val="20"/>
        </w:rPr>
        <w:t>超标，超标点为“</w:t>
      </w:r>
      <w:r>
        <w:fldChar w:fldCharType="begin"/>
      </w:r>
      <w:r>
        <w:instrText xml:space="preserve"> HYPERLINK "https://dazhou.news.fang.com/house/3228151310_24099596.htm" </w:instrText>
      </w:r>
      <w:r>
        <w:fldChar w:fldCharType="separate"/>
      </w:r>
      <w:r>
        <w:rPr>
          <w:rFonts w:ascii="宋体" w:hAnsi="宋体" w:eastAsia="宋体" w:cs="宋体"/>
          <w:spacing w:val="-6"/>
          <w:sz w:val="20"/>
          <w:szCs w:val="20"/>
        </w:rPr>
        <w:t>绿地·外滩名门</w:t>
      </w:r>
      <w:r>
        <w:rPr>
          <w:rFonts w:ascii="宋体" w:hAnsi="宋体" w:eastAsia="宋体" w:cs="宋体"/>
          <w:spacing w:val="-6"/>
          <w:sz w:val="20"/>
          <w:szCs w:val="20"/>
        </w:rPr>
        <w:fldChar w:fldCharType="end"/>
      </w:r>
      <w:r>
        <w:rPr>
          <w:rFonts w:ascii="宋体" w:hAnsi="宋体" w:eastAsia="宋体" w:cs="宋体"/>
          <w:spacing w:val="-6"/>
          <w:sz w:val="20"/>
          <w:szCs w:val="20"/>
        </w:rPr>
        <w:t xml:space="preserve">”居住小区 </w:t>
      </w:r>
      <w:r>
        <w:rPr>
          <w:rFonts w:ascii="Times New Roman" w:hAnsi="Times New Roman" w:eastAsia="Times New Roman" w:cs="Times New Roman"/>
          <w:spacing w:val="-6"/>
          <w:sz w:val="20"/>
          <w:szCs w:val="20"/>
        </w:rPr>
        <w:t>8#</w:t>
      </w:r>
      <w:r>
        <w:rPr>
          <w:rFonts w:ascii="宋体" w:hAnsi="宋体" w:eastAsia="宋体" w:cs="宋体"/>
          <w:spacing w:val="-6"/>
          <w:sz w:val="20"/>
          <w:szCs w:val="20"/>
        </w:rPr>
        <w:t xml:space="preserve">楼(在建)的 </w:t>
      </w:r>
      <w:r>
        <w:rPr>
          <w:rFonts w:ascii="Times New Roman" w:hAnsi="Times New Roman" w:eastAsia="Times New Roman" w:cs="Times New Roman"/>
          <w:spacing w:val="-6"/>
          <w:sz w:val="20"/>
          <w:szCs w:val="20"/>
        </w:rPr>
        <w:t xml:space="preserve">1~7 </w:t>
      </w:r>
      <w:r>
        <w:rPr>
          <w:rFonts w:ascii="宋体" w:hAnsi="宋体" w:eastAsia="宋体" w:cs="宋体"/>
          <w:spacing w:val="-6"/>
          <w:sz w:val="20"/>
          <w:szCs w:val="20"/>
        </w:rPr>
        <w:t xml:space="preserve">层，最大超标 </w:t>
      </w:r>
      <w:r>
        <w:rPr>
          <w:rFonts w:ascii="Times New Roman" w:hAnsi="Times New Roman" w:eastAsia="Times New Roman" w:cs="Times New Roman"/>
          <w:spacing w:val="-6"/>
          <w:sz w:val="20"/>
          <w:szCs w:val="20"/>
        </w:rPr>
        <w:t>0. 1dB(A)</w:t>
      </w:r>
      <w:r>
        <w:rPr>
          <w:rFonts w:ascii="宋体" w:hAnsi="宋体" w:eastAsia="宋体" w:cs="宋体"/>
          <w:spacing w:val="-6"/>
          <w:sz w:val="20"/>
          <w:szCs w:val="20"/>
        </w:rPr>
        <w:t>。</w:t>
      </w:r>
    </w:p>
    <w:p>
      <w:pPr>
        <w:spacing w:before="1" w:line="381" w:lineRule="auto"/>
        <w:ind w:left="6" w:right="73" w:hanging="7"/>
        <w:rPr>
          <w:rFonts w:ascii="宋体" w:hAnsi="宋体" w:eastAsia="宋体" w:cs="宋体"/>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z w:val="20"/>
          <w:szCs w:val="20"/>
        </w:rPr>
        <w:t>a</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类区噪声昼间增</w:t>
      </w:r>
      <w:r>
        <w:rPr>
          <w:rFonts w:ascii="宋体" w:hAnsi="宋体" w:eastAsia="宋体" w:cs="宋体"/>
          <w:spacing w:val="4"/>
          <w:sz w:val="20"/>
          <w:szCs w:val="20"/>
        </w:rPr>
        <w:t>量</w:t>
      </w:r>
      <w:r>
        <w:rPr>
          <w:rFonts w:ascii="宋体" w:hAnsi="宋体" w:eastAsia="宋体" w:cs="宋体"/>
          <w:spacing w:val="3"/>
          <w:sz w:val="20"/>
          <w:szCs w:val="20"/>
        </w:rPr>
        <w:t xml:space="preserve">最大为 </w:t>
      </w:r>
      <w:r>
        <w:rPr>
          <w:rFonts w:ascii="Times New Roman" w:hAnsi="Times New Roman" w:eastAsia="Times New Roman" w:cs="Times New Roman"/>
          <w:spacing w:val="3"/>
          <w:sz w:val="20"/>
          <w:szCs w:val="20"/>
        </w:rPr>
        <w:t>1.3</w:t>
      </w:r>
      <w:r>
        <w:rPr>
          <w:rFonts w:ascii="Times New Roman" w:hAnsi="Times New Roman" w:eastAsia="Times New Roman" w:cs="Times New Roman"/>
          <w:sz w:val="20"/>
          <w:szCs w:val="20"/>
        </w:rPr>
        <w:t>dB</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、夜间增量最大为 </w:t>
      </w:r>
      <w:r>
        <w:rPr>
          <w:rFonts w:ascii="Times New Roman" w:hAnsi="Times New Roman" w:eastAsia="Times New Roman" w:cs="Times New Roman"/>
          <w:spacing w:val="3"/>
          <w:sz w:val="20"/>
          <w:szCs w:val="20"/>
        </w:rPr>
        <w:t>1.7</w:t>
      </w:r>
      <w:r>
        <w:rPr>
          <w:rFonts w:ascii="Times New Roman" w:hAnsi="Times New Roman" w:eastAsia="Times New Roman" w:cs="Times New Roman"/>
          <w:sz w:val="20"/>
          <w:szCs w:val="20"/>
        </w:rPr>
        <w:t>dB</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，昼间、夜间均无超标点。营运</w:t>
      </w:r>
      <w:r>
        <w:rPr>
          <w:rFonts w:ascii="宋体" w:hAnsi="宋体" w:eastAsia="宋体" w:cs="宋体"/>
          <w:sz w:val="20"/>
          <w:szCs w:val="20"/>
        </w:rPr>
        <w:t xml:space="preserve"> </w:t>
      </w:r>
      <w:r>
        <w:rPr>
          <w:rFonts w:ascii="宋体" w:hAnsi="宋体" w:eastAsia="宋体" w:cs="宋体"/>
          <w:spacing w:val="16"/>
          <w:sz w:val="20"/>
          <w:szCs w:val="20"/>
        </w:rPr>
        <w:t>期</w:t>
      </w:r>
      <w:r>
        <w:rPr>
          <w:rFonts w:ascii="宋体" w:hAnsi="宋体" w:eastAsia="宋体" w:cs="宋体"/>
          <w:spacing w:val="10"/>
          <w:sz w:val="20"/>
          <w:szCs w:val="20"/>
        </w:rPr>
        <w:t>远</w:t>
      </w:r>
      <w:r>
        <w:rPr>
          <w:rFonts w:ascii="宋体" w:hAnsi="宋体" w:eastAsia="宋体" w:cs="宋体"/>
          <w:spacing w:val="8"/>
          <w:sz w:val="20"/>
          <w:szCs w:val="20"/>
        </w:rPr>
        <w:t>期交通噪声对敏感点影响很小。</w:t>
      </w:r>
    </w:p>
    <w:p>
      <w:pPr>
        <w:spacing w:before="12" w:line="228" w:lineRule="auto"/>
        <w:ind w:left="434"/>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8"/>
          <w:sz w:val="20"/>
          <w:szCs w:val="20"/>
        </w:rPr>
        <w:t>2</w:t>
      </w:r>
      <w:r>
        <w:rPr>
          <w:rFonts w:ascii="宋体" w:hAnsi="宋体" w:eastAsia="宋体" w:cs="宋体"/>
          <w:spacing w:val="16"/>
          <w:sz w:val="20"/>
          <w:szCs w:val="20"/>
        </w:rPr>
        <w:t>)</w:t>
      </w:r>
      <w:r>
        <w:rPr>
          <w:rFonts w:ascii="宋体" w:hAnsi="宋体" w:eastAsia="宋体" w:cs="宋体"/>
          <w:spacing w:val="9"/>
          <w:sz w:val="20"/>
          <w:szCs w:val="20"/>
        </w:rPr>
        <w:t xml:space="preserve"> 项目道路营运近期、中期、远期，桥梁噪声对两端居民楼处的贡献值均不超过《声环境</w:t>
      </w:r>
    </w:p>
    <w:p>
      <w:pPr>
        <w:spacing w:before="152" w:line="228" w:lineRule="auto"/>
        <w:ind w:left="5"/>
        <w:rPr>
          <w:rFonts w:ascii="宋体" w:hAnsi="宋体" w:eastAsia="宋体" w:cs="宋体"/>
          <w:sz w:val="20"/>
          <w:szCs w:val="20"/>
        </w:rPr>
      </w:pPr>
      <w:r>
        <w:rPr>
          <w:rFonts w:ascii="宋体" w:hAnsi="宋体" w:eastAsia="宋体" w:cs="宋体"/>
          <w:spacing w:val="8"/>
          <w:sz w:val="20"/>
          <w:szCs w:val="20"/>
        </w:rPr>
        <w:t>质量标准》  (</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3096-2008</w:t>
      </w:r>
      <w:r>
        <w:rPr>
          <w:rFonts w:ascii="宋体" w:hAnsi="宋体" w:eastAsia="宋体" w:cs="宋体"/>
          <w:spacing w:val="8"/>
          <w:sz w:val="20"/>
          <w:szCs w:val="20"/>
        </w:rPr>
        <w:t xml:space="preserve">) </w:t>
      </w: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类、</w:t>
      </w:r>
      <w:r>
        <w:rPr>
          <w:rFonts w:ascii="Times New Roman" w:hAnsi="Times New Roman" w:eastAsia="Times New Roman" w:cs="Times New Roman"/>
          <w:spacing w:val="8"/>
          <w:sz w:val="20"/>
          <w:szCs w:val="20"/>
        </w:rPr>
        <w:t>4</w:t>
      </w:r>
      <w:r>
        <w:rPr>
          <w:rFonts w:ascii="Times New Roman" w:hAnsi="Times New Roman" w:eastAsia="Times New Roman" w:cs="Times New Roman"/>
          <w:sz w:val="20"/>
          <w:szCs w:val="20"/>
        </w:rPr>
        <w:t>a</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类标准。预测中远期夜间出现超标，主要是因为区域背</w:t>
      </w:r>
      <w:r>
        <w:rPr>
          <w:rFonts w:ascii="宋体" w:hAnsi="宋体" w:eastAsia="宋体" w:cs="宋体"/>
          <w:spacing w:val="7"/>
          <w:sz w:val="20"/>
          <w:szCs w:val="20"/>
        </w:rPr>
        <w:t>景</w:t>
      </w:r>
    </w:p>
    <w:p>
      <w:pPr>
        <w:spacing w:before="154" w:line="228" w:lineRule="auto"/>
        <w:ind w:left="4"/>
        <w:rPr>
          <w:rFonts w:ascii="宋体" w:hAnsi="宋体" w:eastAsia="宋体" w:cs="宋体"/>
          <w:sz w:val="20"/>
          <w:szCs w:val="20"/>
        </w:rPr>
      </w:pPr>
      <w:r>
        <w:rPr>
          <w:rFonts w:ascii="宋体" w:hAnsi="宋体" w:eastAsia="宋体" w:cs="宋体"/>
          <w:spacing w:val="20"/>
          <w:sz w:val="20"/>
          <w:szCs w:val="20"/>
        </w:rPr>
        <w:t>值</w:t>
      </w:r>
      <w:r>
        <w:rPr>
          <w:rFonts w:ascii="宋体" w:hAnsi="宋体" w:eastAsia="宋体" w:cs="宋体"/>
          <w:spacing w:val="13"/>
          <w:sz w:val="20"/>
          <w:szCs w:val="20"/>
        </w:rPr>
        <w:t>较</w:t>
      </w:r>
      <w:r>
        <w:rPr>
          <w:rFonts w:ascii="宋体" w:hAnsi="宋体" w:eastAsia="宋体" w:cs="宋体"/>
          <w:spacing w:val="10"/>
          <w:sz w:val="20"/>
          <w:szCs w:val="20"/>
        </w:rPr>
        <w:t>高，受到西北面高家坝路交通噪声影响，待“</w:t>
      </w:r>
      <w:r>
        <w:fldChar w:fldCharType="begin"/>
      </w:r>
      <w:r>
        <w:instrText xml:space="preserve"> HYPERLINK "https://dazhou.news.fang.com/house/3228151310_24099596.htm" </w:instrText>
      </w:r>
      <w:r>
        <w:fldChar w:fldCharType="separate"/>
      </w:r>
      <w:r>
        <w:rPr>
          <w:rFonts w:ascii="宋体" w:hAnsi="宋体" w:eastAsia="宋体" w:cs="宋体"/>
          <w:spacing w:val="10"/>
          <w:sz w:val="20"/>
          <w:szCs w:val="20"/>
        </w:rPr>
        <w:t>绿地·外滩名门</w:t>
      </w:r>
      <w:r>
        <w:rPr>
          <w:rFonts w:ascii="宋体" w:hAnsi="宋体" w:eastAsia="宋体" w:cs="宋体"/>
          <w:spacing w:val="10"/>
          <w:sz w:val="20"/>
          <w:szCs w:val="20"/>
        </w:rPr>
        <w:fldChar w:fldCharType="end"/>
      </w:r>
      <w:r>
        <w:rPr>
          <w:rFonts w:ascii="宋体" w:hAnsi="宋体" w:eastAsia="宋体" w:cs="宋体"/>
          <w:spacing w:val="10"/>
          <w:sz w:val="20"/>
          <w:szCs w:val="20"/>
        </w:rPr>
        <w:t>”居住小区建成后，面向项目</w:t>
      </w:r>
    </w:p>
    <w:p>
      <w:pPr>
        <w:spacing w:before="154" w:line="369" w:lineRule="auto"/>
        <w:ind w:left="14" w:right="83" w:hanging="10"/>
        <w:rPr>
          <w:rFonts w:ascii="宋体" w:hAnsi="宋体" w:eastAsia="宋体" w:cs="宋体"/>
          <w:sz w:val="20"/>
          <w:szCs w:val="20"/>
        </w:rPr>
      </w:pPr>
      <w:r>
        <w:rPr>
          <w:rFonts w:ascii="宋体" w:hAnsi="宋体" w:eastAsia="宋体" w:cs="宋体"/>
          <w:spacing w:val="10"/>
          <w:sz w:val="20"/>
          <w:szCs w:val="20"/>
        </w:rPr>
        <w:t>桥梁一侧的住户受到高家坝路交通噪声影响将大大减小，预测值将不会超过《声环境质量标准》</w:t>
      </w:r>
      <w:r>
        <w:rPr>
          <w:rFonts w:ascii="宋体" w:hAnsi="宋体" w:eastAsia="宋体" w:cs="宋体"/>
          <w:sz w:val="20"/>
          <w:szCs w:val="20"/>
        </w:rPr>
        <w:t xml:space="preserve"> </w:t>
      </w:r>
      <w:r>
        <w:rPr>
          <w:rFonts w:ascii="宋体" w:hAnsi="宋体" w:eastAsia="宋体" w:cs="宋体"/>
          <w:spacing w:val="11"/>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1"/>
          <w:sz w:val="20"/>
          <w:szCs w:val="20"/>
        </w:rPr>
        <w:t>3096-2008</w:t>
      </w:r>
      <w:r>
        <w:rPr>
          <w:rFonts w:ascii="宋体" w:hAnsi="宋体" w:eastAsia="宋体" w:cs="宋体"/>
          <w:spacing w:val="11"/>
          <w:sz w:val="20"/>
          <w:szCs w:val="20"/>
        </w:rPr>
        <w:t xml:space="preserve">) </w:t>
      </w:r>
      <w:r>
        <w:rPr>
          <w:rFonts w:ascii="Times New Roman" w:hAnsi="Times New Roman" w:eastAsia="Times New Roman" w:cs="Times New Roman"/>
          <w:spacing w:val="11"/>
          <w:sz w:val="20"/>
          <w:szCs w:val="20"/>
        </w:rPr>
        <w:t xml:space="preserve">2 </w:t>
      </w:r>
      <w:r>
        <w:rPr>
          <w:rFonts w:ascii="宋体" w:hAnsi="宋体" w:eastAsia="宋体" w:cs="宋体"/>
          <w:spacing w:val="11"/>
          <w:sz w:val="20"/>
          <w:szCs w:val="20"/>
        </w:rPr>
        <w:t>类标准</w:t>
      </w:r>
      <w:r>
        <w:rPr>
          <w:rFonts w:ascii="宋体" w:hAnsi="宋体" w:eastAsia="宋体" w:cs="宋体"/>
          <w:spacing w:val="7"/>
          <w:sz w:val="20"/>
          <w:szCs w:val="20"/>
        </w:rPr>
        <w:t>。</w:t>
      </w:r>
    </w:p>
    <w:p>
      <w:pPr>
        <w:spacing w:before="1" w:line="368" w:lineRule="auto"/>
        <w:ind w:left="5" w:right="70" w:firstLine="429"/>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8"/>
          <w:sz w:val="20"/>
          <w:szCs w:val="20"/>
        </w:rPr>
        <w:t>3</w:t>
      </w:r>
      <w:r>
        <w:rPr>
          <w:rFonts w:ascii="宋体" w:hAnsi="宋体" w:eastAsia="宋体" w:cs="宋体"/>
          <w:spacing w:val="16"/>
          <w:sz w:val="20"/>
          <w:szCs w:val="20"/>
        </w:rPr>
        <w:t>)</w:t>
      </w:r>
      <w:r>
        <w:rPr>
          <w:rFonts w:ascii="宋体" w:hAnsi="宋体" w:eastAsia="宋体" w:cs="宋体"/>
          <w:spacing w:val="9"/>
          <w:sz w:val="20"/>
          <w:szCs w:val="20"/>
        </w:rPr>
        <w:t xml:space="preserve"> 本项目实施后，随着道路交通流量的增加，桥梁两端居住小区的昼间、夜间噪声贡献值</w:t>
      </w:r>
      <w:r>
        <w:rPr>
          <w:rFonts w:ascii="宋体" w:hAnsi="宋体" w:eastAsia="宋体" w:cs="宋体"/>
          <w:sz w:val="20"/>
          <w:szCs w:val="20"/>
        </w:rPr>
        <w:t xml:space="preserve"> </w:t>
      </w:r>
      <w:r>
        <w:rPr>
          <w:rFonts w:ascii="宋体" w:hAnsi="宋体" w:eastAsia="宋体" w:cs="宋体"/>
          <w:spacing w:val="18"/>
          <w:sz w:val="20"/>
          <w:szCs w:val="20"/>
        </w:rPr>
        <w:t>均</w:t>
      </w:r>
      <w:r>
        <w:rPr>
          <w:rFonts w:ascii="宋体" w:hAnsi="宋体" w:eastAsia="宋体" w:cs="宋体"/>
          <w:spacing w:val="17"/>
          <w:sz w:val="20"/>
          <w:szCs w:val="20"/>
        </w:rPr>
        <w:t>会</w:t>
      </w:r>
      <w:r>
        <w:rPr>
          <w:rFonts w:ascii="宋体" w:hAnsi="宋体" w:eastAsia="宋体" w:cs="宋体"/>
          <w:spacing w:val="9"/>
          <w:sz w:val="20"/>
          <w:szCs w:val="20"/>
        </w:rPr>
        <w:t>有所增加，尤其是项目营运中期、远期的噪声增量相对较大，因此对其影响随之增大。</w:t>
      </w:r>
    </w:p>
    <w:p>
      <w:pPr>
        <w:spacing w:before="4" w:line="373" w:lineRule="auto"/>
        <w:ind w:left="3" w:right="68" w:firstLine="423"/>
        <w:rPr>
          <w:rFonts w:ascii="宋体" w:hAnsi="宋体" w:eastAsia="宋体" w:cs="宋体"/>
          <w:sz w:val="20"/>
          <w:szCs w:val="20"/>
        </w:rPr>
      </w:pPr>
      <w:r>
        <w:rPr>
          <w:rFonts w:ascii="宋体" w:hAnsi="宋体" w:eastAsia="宋体" w:cs="宋体"/>
          <w:spacing w:val="14"/>
          <w:sz w:val="20"/>
          <w:szCs w:val="20"/>
        </w:rPr>
        <w:t>综上，</w:t>
      </w:r>
      <w:r>
        <w:rPr>
          <w:rFonts w:ascii="宋体" w:hAnsi="宋体" w:eastAsia="宋体" w:cs="宋体"/>
          <w:spacing w:val="10"/>
          <w:sz w:val="20"/>
          <w:szCs w:val="20"/>
        </w:rPr>
        <w:t>工</w:t>
      </w:r>
      <w:r>
        <w:rPr>
          <w:rFonts w:ascii="宋体" w:hAnsi="宋体" w:eastAsia="宋体" w:cs="宋体"/>
          <w:spacing w:val="7"/>
          <w:sz w:val="20"/>
          <w:szCs w:val="20"/>
        </w:rPr>
        <w:t>程主要是连接高家坝片区和张家坝片区的跨河大桥，桥梁东端接现状城市主干道(犀</w:t>
      </w:r>
      <w:r>
        <w:rPr>
          <w:rFonts w:ascii="宋体" w:hAnsi="宋体" w:eastAsia="宋体" w:cs="宋体"/>
          <w:sz w:val="20"/>
          <w:szCs w:val="20"/>
        </w:rPr>
        <w:t xml:space="preserve"> </w:t>
      </w:r>
      <w:r>
        <w:rPr>
          <w:rFonts w:ascii="宋体" w:hAnsi="宋体" w:eastAsia="宋体" w:cs="宋体"/>
          <w:spacing w:val="14"/>
          <w:sz w:val="20"/>
          <w:szCs w:val="20"/>
        </w:rPr>
        <w:t>牛</w:t>
      </w:r>
      <w:r>
        <w:rPr>
          <w:rFonts w:ascii="宋体" w:hAnsi="宋体" w:eastAsia="宋体" w:cs="宋体"/>
          <w:spacing w:val="10"/>
          <w:sz w:val="20"/>
          <w:szCs w:val="20"/>
        </w:rPr>
        <w:t>大道) ，距离居民楼较远；桥梁西端接规划道路，距离在建居民楼较近。拟建桥梁两端的居民</w:t>
      </w:r>
      <w:r>
        <w:rPr>
          <w:rFonts w:ascii="宋体" w:hAnsi="宋体" w:eastAsia="宋体" w:cs="宋体"/>
          <w:sz w:val="20"/>
          <w:szCs w:val="20"/>
        </w:rPr>
        <w:t xml:space="preserve"> </w:t>
      </w:r>
      <w:r>
        <w:rPr>
          <w:rFonts w:ascii="宋体" w:hAnsi="宋体" w:eastAsia="宋体" w:cs="宋体"/>
          <w:spacing w:val="20"/>
          <w:sz w:val="20"/>
          <w:szCs w:val="20"/>
        </w:rPr>
        <w:t>楼</w:t>
      </w:r>
      <w:r>
        <w:rPr>
          <w:rFonts w:ascii="宋体" w:hAnsi="宋体" w:eastAsia="宋体" w:cs="宋体"/>
          <w:spacing w:val="16"/>
          <w:sz w:val="20"/>
          <w:szCs w:val="20"/>
        </w:rPr>
        <w:t>处</w:t>
      </w:r>
      <w:r>
        <w:rPr>
          <w:rFonts w:ascii="宋体" w:hAnsi="宋体" w:eastAsia="宋体" w:cs="宋体"/>
          <w:spacing w:val="10"/>
          <w:sz w:val="20"/>
          <w:szCs w:val="20"/>
        </w:rPr>
        <w:t>现状主要声源为现有道路噪声、生产生活噪声，总体来看，项目桥梁建设前后对区域声环境</w:t>
      </w:r>
      <w:r>
        <w:rPr>
          <w:rFonts w:ascii="宋体" w:hAnsi="宋体" w:eastAsia="宋体" w:cs="宋体"/>
          <w:sz w:val="20"/>
          <w:szCs w:val="20"/>
        </w:rPr>
        <w:t xml:space="preserve"> </w:t>
      </w:r>
      <w:r>
        <w:rPr>
          <w:rFonts w:ascii="宋体" w:hAnsi="宋体" w:eastAsia="宋体" w:cs="宋体"/>
          <w:spacing w:val="12"/>
          <w:sz w:val="20"/>
          <w:szCs w:val="20"/>
        </w:rPr>
        <w:t>影</w:t>
      </w:r>
      <w:r>
        <w:rPr>
          <w:rFonts w:ascii="宋体" w:hAnsi="宋体" w:eastAsia="宋体" w:cs="宋体"/>
          <w:spacing w:val="9"/>
          <w:sz w:val="20"/>
          <w:szCs w:val="20"/>
        </w:rPr>
        <w:t>响不大，道路交通噪声的夜间影响显著高于昼间。</w:t>
      </w:r>
    </w:p>
    <w:p>
      <w:pPr>
        <w:sectPr>
          <w:footerReference r:id="rId142" w:type="default"/>
          <w:pgSz w:w="11906" w:h="16839"/>
          <w:pgMar w:top="400" w:right="1462" w:bottom="1027" w:left="1534" w:header="0" w:footer="840" w:gutter="0"/>
          <w:cols w:space="720" w:num="1"/>
        </w:sect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94" w:line="227" w:lineRule="auto"/>
        <w:ind w:left="7"/>
        <w:outlineLvl w:val="1"/>
        <w:rPr>
          <w:rFonts w:ascii="黑体" w:hAnsi="黑体" w:eastAsia="黑体" w:cs="黑体"/>
          <w:sz w:val="29"/>
          <w:szCs w:val="29"/>
        </w:rPr>
      </w:pPr>
      <w:bookmarkStart w:id="28" w:name="_bookmark29"/>
      <w:bookmarkEnd w:id="28"/>
      <w:r>
        <w:rPr>
          <w:rFonts w:ascii="Times New Roman" w:hAnsi="Times New Roman" w:eastAsia="Times New Roman" w:cs="Times New Roman"/>
          <w:spacing w:val="13"/>
          <w:sz w:val="29"/>
          <w:szCs w:val="29"/>
        </w:rPr>
        <w:t>5</w:t>
      </w:r>
      <w:r>
        <w:rPr>
          <w:rFonts w:ascii="Times New Roman" w:hAnsi="Times New Roman" w:eastAsia="Times New Roman" w:cs="Times New Roman"/>
          <w:spacing w:val="10"/>
          <w:sz w:val="29"/>
          <w:szCs w:val="29"/>
        </w:rPr>
        <w:t xml:space="preserve">   </w:t>
      </w:r>
      <w:r>
        <w:rPr>
          <w:rFonts w:ascii="黑体" w:hAnsi="黑体" w:eastAsia="黑体" w:cs="黑体"/>
          <w:spacing w:val="10"/>
          <w:sz w:val="29"/>
          <w:szCs w:val="29"/>
        </w:rPr>
        <w:t>噪声防治措施</w:t>
      </w: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before="74" w:line="229" w:lineRule="auto"/>
        <w:ind w:left="5"/>
        <w:outlineLvl w:val="2"/>
        <w:rPr>
          <w:rFonts w:ascii="黑体" w:hAnsi="黑体" w:eastAsia="黑体" w:cs="黑体"/>
          <w:sz w:val="23"/>
          <w:szCs w:val="23"/>
        </w:rPr>
      </w:pPr>
      <w:bookmarkStart w:id="29" w:name="_bookmark30"/>
      <w:bookmarkEnd w:id="29"/>
      <w:r>
        <w:rPr>
          <w:rFonts w:ascii="Times New Roman" w:hAnsi="Times New Roman" w:eastAsia="Times New Roman" w:cs="Times New Roman"/>
          <w:spacing w:val="2"/>
          <w:sz w:val="23"/>
          <w:szCs w:val="23"/>
        </w:rPr>
        <w:t xml:space="preserve">5. 1  </w:t>
      </w:r>
      <w:r>
        <w:rPr>
          <w:rFonts w:ascii="黑体" w:hAnsi="黑体" w:eastAsia="黑体" w:cs="黑体"/>
          <w:spacing w:val="2"/>
          <w:sz w:val="23"/>
          <w:szCs w:val="23"/>
        </w:rPr>
        <w:t>施工噪声防治措施</w:t>
      </w:r>
    </w:p>
    <w:p>
      <w:pPr>
        <w:spacing w:before="151" w:line="227" w:lineRule="auto"/>
        <w:ind w:left="476"/>
        <w:rPr>
          <w:rFonts w:ascii="宋体" w:hAnsi="宋体" w:eastAsia="宋体" w:cs="宋体"/>
          <w:sz w:val="20"/>
          <w:szCs w:val="20"/>
        </w:rPr>
      </w:pPr>
      <w:r>
        <w:rPr>
          <w:rFonts w:ascii="宋体" w:hAnsi="宋体" w:eastAsia="宋体" w:cs="宋体"/>
          <w:spacing w:val="9"/>
          <w:sz w:val="20"/>
          <w:szCs w:val="20"/>
        </w:rPr>
        <w:t>工程施工承包方在施工期须采取以下噪声控制措施</w:t>
      </w:r>
      <w:r>
        <w:rPr>
          <w:rFonts w:ascii="宋体" w:hAnsi="宋体" w:eastAsia="宋体" w:cs="宋体"/>
          <w:spacing w:val="8"/>
          <w:sz w:val="20"/>
          <w:szCs w:val="20"/>
        </w:rPr>
        <w:t>：</w:t>
      </w:r>
    </w:p>
    <w:p>
      <w:pPr>
        <w:tabs>
          <w:tab w:val="left" w:pos="492"/>
        </w:tabs>
        <w:spacing w:before="155" w:line="369" w:lineRule="auto"/>
        <w:ind w:firstLine="412"/>
        <w:rPr>
          <w:rFonts w:ascii="宋体" w:hAnsi="宋体" w:eastAsia="宋体" w:cs="宋体"/>
          <w:sz w:val="20"/>
          <w:szCs w:val="20"/>
        </w:rPr>
      </w:pPr>
      <w:r>
        <w:rPr>
          <w:rFonts w:ascii="宋体" w:hAnsi="宋体" w:eastAsia="宋体" w:cs="宋体"/>
          <w:sz w:val="17"/>
          <w:szCs w:val="17"/>
        </w:rPr>
        <w:tab/>
      </w:r>
      <w:r>
        <w:rPr>
          <w:rFonts w:ascii="宋体" w:hAnsi="宋体" w:eastAsia="宋体" w:cs="宋体"/>
          <w:spacing w:val="4"/>
          <w:sz w:val="17"/>
          <w:szCs w:val="17"/>
        </w:rPr>
        <w:t xml:space="preserve">1   </w:t>
      </w:r>
      <w:r>
        <w:rPr>
          <w:rFonts w:ascii="宋体" w:hAnsi="宋体" w:eastAsia="宋体" w:cs="宋体"/>
          <w:spacing w:val="4"/>
          <w:sz w:val="20"/>
          <w:szCs w:val="20"/>
        </w:rPr>
        <w:t xml:space="preserve">施工单位必须在开工 </w:t>
      </w:r>
      <w:r>
        <w:rPr>
          <w:rFonts w:ascii="Times New Roman" w:hAnsi="Times New Roman" w:eastAsia="Times New Roman" w:cs="Times New Roman"/>
          <w:spacing w:val="4"/>
          <w:sz w:val="20"/>
          <w:szCs w:val="20"/>
        </w:rPr>
        <w:t xml:space="preserve">15 </w:t>
      </w:r>
      <w:r>
        <w:rPr>
          <w:rFonts w:ascii="宋体" w:hAnsi="宋体" w:eastAsia="宋体" w:cs="宋体"/>
          <w:spacing w:val="4"/>
          <w:sz w:val="20"/>
          <w:szCs w:val="20"/>
        </w:rPr>
        <w:t>日以前向当地主管部门申报该工程的项目名称、施工场所和</w:t>
      </w:r>
      <w:r>
        <w:rPr>
          <w:rFonts w:ascii="宋体" w:hAnsi="宋体" w:eastAsia="宋体" w:cs="宋体"/>
          <w:spacing w:val="3"/>
          <w:sz w:val="20"/>
          <w:szCs w:val="20"/>
        </w:rPr>
        <w:t>期</w:t>
      </w:r>
      <w:r>
        <w:rPr>
          <w:rFonts w:ascii="宋体" w:hAnsi="宋体" w:eastAsia="宋体" w:cs="宋体"/>
          <w:sz w:val="20"/>
          <w:szCs w:val="20"/>
        </w:rPr>
        <w:t xml:space="preserve">限、 </w:t>
      </w:r>
      <w:r>
        <w:rPr>
          <w:rFonts w:ascii="宋体" w:hAnsi="宋体" w:eastAsia="宋体" w:cs="宋体"/>
          <w:spacing w:val="22"/>
          <w:sz w:val="20"/>
          <w:szCs w:val="20"/>
        </w:rPr>
        <w:t>可能</w:t>
      </w:r>
      <w:r>
        <w:rPr>
          <w:rFonts w:ascii="宋体" w:hAnsi="宋体" w:eastAsia="宋体" w:cs="宋体"/>
          <w:spacing w:val="16"/>
          <w:sz w:val="20"/>
          <w:szCs w:val="20"/>
        </w:rPr>
        <w:t>产</w:t>
      </w:r>
      <w:r>
        <w:rPr>
          <w:rFonts w:ascii="宋体" w:hAnsi="宋体" w:eastAsia="宋体" w:cs="宋体"/>
          <w:spacing w:val="11"/>
          <w:sz w:val="20"/>
          <w:szCs w:val="20"/>
        </w:rPr>
        <w:t>生的环境噪声值以及所采取的噪声防治措施的情况。在施工工地围墙外张贴告示，告知附</w:t>
      </w:r>
      <w:r>
        <w:rPr>
          <w:rFonts w:ascii="宋体" w:hAnsi="宋体" w:eastAsia="宋体" w:cs="宋体"/>
          <w:sz w:val="20"/>
          <w:szCs w:val="20"/>
        </w:rPr>
        <w:t xml:space="preserve"> </w:t>
      </w:r>
      <w:r>
        <w:rPr>
          <w:rFonts w:ascii="宋体" w:hAnsi="宋体" w:eastAsia="宋体" w:cs="宋体"/>
          <w:spacing w:val="9"/>
          <w:sz w:val="20"/>
          <w:szCs w:val="20"/>
        </w:rPr>
        <w:t>近群众项目作业时间、噪声防治措施等</w:t>
      </w:r>
      <w:r>
        <w:rPr>
          <w:rFonts w:ascii="宋体" w:hAnsi="宋体" w:eastAsia="宋体" w:cs="宋体"/>
          <w:spacing w:val="8"/>
          <w:sz w:val="20"/>
          <w:szCs w:val="20"/>
        </w:rPr>
        <w:t>。</w:t>
      </w:r>
    </w:p>
    <w:p>
      <w:pPr>
        <w:spacing w:before="2" w:line="368" w:lineRule="auto"/>
        <w:ind w:left="2" w:right="68" w:firstLine="480"/>
        <w:rPr>
          <w:rFonts w:ascii="宋体" w:hAnsi="宋体" w:eastAsia="宋体" w:cs="宋体"/>
          <w:sz w:val="20"/>
          <w:szCs w:val="20"/>
        </w:rPr>
      </w:pPr>
      <w:r>
        <w:rPr>
          <w:rFonts w:ascii="宋体" w:hAnsi="宋体" w:eastAsia="宋体" w:cs="宋体"/>
          <w:spacing w:val="16"/>
          <w:sz w:val="17"/>
          <w:szCs w:val="17"/>
        </w:rPr>
        <w:t>2</w:t>
      </w:r>
      <w:r>
        <w:rPr>
          <w:rFonts w:ascii="宋体" w:hAnsi="宋体" w:eastAsia="宋体" w:cs="宋体"/>
          <w:spacing w:val="11"/>
          <w:sz w:val="17"/>
          <w:szCs w:val="17"/>
        </w:rPr>
        <w:t xml:space="preserve">   </w:t>
      </w:r>
      <w:r>
        <w:rPr>
          <w:rFonts w:ascii="宋体" w:hAnsi="宋体" w:eastAsia="宋体" w:cs="宋体"/>
          <w:spacing w:val="11"/>
          <w:sz w:val="20"/>
          <w:szCs w:val="20"/>
        </w:rPr>
        <w:t>降低设备噪声。尽量选用先进、噪声低的设备；加强机械设备的保养维修，严格按操作</w:t>
      </w:r>
      <w:r>
        <w:rPr>
          <w:rFonts w:ascii="宋体" w:hAnsi="宋体" w:eastAsia="宋体" w:cs="宋体"/>
          <w:sz w:val="20"/>
          <w:szCs w:val="20"/>
        </w:rPr>
        <w:t xml:space="preserve"> </w:t>
      </w:r>
      <w:r>
        <w:rPr>
          <w:rFonts w:ascii="宋体" w:hAnsi="宋体" w:eastAsia="宋体" w:cs="宋体"/>
          <w:spacing w:val="10"/>
          <w:sz w:val="20"/>
          <w:szCs w:val="20"/>
        </w:rPr>
        <w:t>规</w:t>
      </w:r>
      <w:r>
        <w:rPr>
          <w:rFonts w:ascii="宋体" w:hAnsi="宋体" w:eastAsia="宋体" w:cs="宋体"/>
          <w:spacing w:val="9"/>
          <w:sz w:val="20"/>
          <w:szCs w:val="20"/>
        </w:rPr>
        <w:t>程使用各类机械，使它们处于良好的工作状态。</w:t>
      </w:r>
    </w:p>
    <w:p>
      <w:pPr>
        <w:spacing w:before="2" w:line="369" w:lineRule="auto"/>
        <w:ind w:left="2" w:right="68" w:firstLine="481"/>
        <w:rPr>
          <w:rFonts w:ascii="宋体" w:hAnsi="宋体" w:eastAsia="宋体" w:cs="宋体"/>
          <w:sz w:val="20"/>
          <w:szCs w:val="20"/>
        </w:rPr>
      </w:pPr>
      <w:r>
        <w:rPr>
          <w:rFonts w:ascii="宋体" w:hAnsi="宋体" w:eastAsia="宋体" w:cs="宋体"/>
          <w:spacing w:val="7"/>
          <w:sz w:val="17"/>
          <w:szCs w:val="17"/>
        </w:rPr>
        <w:t xml:space="preserve">3   </w:t>
      </w:r>
      <w:r>
        <w:rPr>
          <w:rFonts w:ascii="宋体" w:hAnsi="宋体" w:eastAsia="宋体" w:cs="宋体"/>
          <w:spacing w:val="7"/>
          <w:sz w:val="20"/>
          <w:szCs w:val="20"/>
        </w:rPr>
        <w:t>合理安排工期，在噪声敏感建筑物集中区域内 (居民聚居区等) ，禁止夜间 (</w:t>
      </w:r>
      <w:r>
        <w:rPr>
          <w:rFonts w:ascii="Times New Roman" w:hAnsi="Times New Roman" w:eastAsia="Times New Roman" w:cs="Times New Roman"/>
          <w:spacing w:val="7"/>
          <w:sz w:val="20"/>
          <w:szCs w:val="20"/>
        </w:rPr>
        <w:t>22:00-</w:t>
      </w:r>
      <w:r>
        <w:rPr>
          <w:rFonts w:ascii="宋体" w:hAnsi="宋体" w:eastAsia="宋体" w:cs="宋体"/>
          <w:spacing w:val="7"/>
          <w:sz w:val="20"/>
          <w:szCs w:val="20"/>
        </w:rPr>
        <w:t>次</w:t>
      </w:r>
      <w:r>
        <w:rPr>
          <w:rFonts w:ascii="宋体" w:hAnsi="宋体" w:eastAsia="宋体" w:cs="宋体"/>
          <w:spacing w:val="5"/>
          <w:sz w:val="20"/>
          <w:szCs w:val="20"/>
        </w:rPr>
        <w:t>日</w:t>
      </w:r>
      <w:r>
        <w:rPr>
          <w:rFonts w:ascii="宋体" w:hAnsi="宋体" w:eastAsia="宋体" w:cs="宋体"/>
          <w:sz w:val="20"/>
          <w:szCs w:val="20"/>
        </w:rPr>
        <w:t xml:space="preserve"> </w:t>
      </w:r>
      <w:r>
        <w:rPr>
          <w:rFonts w:ascii="Times New Roman" w:hAnsi="Times New Roman" w:eastAsia="Times New Roman" w:cs="Times New Roman"/>
          <w:spacing w:val="14"/>
          <w:sz w:val="20"/>
          <w:szCs w:val="20"/>
        </w:rPr>
        <w:t>6</w:t>
      </w:r>
      <w:r>
        <w:rPr>
          <w:rFonts w:ascii="Times New Roman" w:hAnsi="Times New Roman" w:eastAsia="Times New Roman" w:cs="Times New Roman"/>
          <w:spacing w:val="7"/>
          <w:sz w:val="20"/>
          <w:szCs w:val="20"/>
        </w:rPr>
        <w:t>:00</w:t>
      </w:r>
      <w:r>
        <w:rPr>
          <w:rFonts w:ascii="宋体" w:hAnsi="宋体" w:eastAsia="宋体" w:cs="宋体"/>
          <w:spacing w:val="7"/>
          <w:sz w:val="20"/>
          <w:szCs w:val="20"/>
        </w:rPr>
        <w:t>) 进行产生环境噪声污染的建筑施工作业，但抢修、抢险作业和因生产工艺上要求或者特殊需</w:t>
      </w:r>
      <w:r>
        <w:rPr>
          <w:rFonts w:ascii="宋体" w:hAnsi="宋体" w:eastAsia="宋体" w:cs="宋体"/>
          <w:sz w:val="20"/>
          <w:szCs w:val="20"/>
        </w:rPr>
        <w:t xml:space="preserve"> </w:t>
      </w:r>
      <w:r>
        <w:rPr>
          <w:rFonts w:ascii="宋体" w:hAnsi="宋体" w:eastAsia="宋体" w:cs="宋体"/>
          <w:spacing w:val="22"/>
          <w:sz w:val="20"/>
          <w:szCs w:val="20"/>
        </w:rPr>
        <w:t>要必</w:t>
      </w:r>
      <w:r>
        <w:rPr>
          <w:rFonts w:ascii="宋体" w:hAnsi="宋体" w:eastAsia="宋体" w:cs="宋体"/>
          <w:spacing w:val="14"/>
          <w:sz w:val="20"/>
          <w:szCs w:val="20"/>
        </w:rPr>
        <w:t>须</w:t>
      </w:r>
      <w:r>
        <w:rPr>
          <w:rFonts w:ascii="宋体" w:hAnsi="宋体" w:eastAsia="宋体" w:cs="宋体"/>
          <w:spacing w:val="11"/>
          <w:sz w:val="20"/>
          <w:szCs w:val="20"/>
        </w:rPr>
        <w:t>连续作业的除外。因特殊需要必须连续作业的，必须有县级以上人民政府或者其有关主管</w:t>
      </w:r>
      <w:r>
        <w:rPr>
          <w:rFonts w:ascii="宋体" w:hAnsi="宋体" w:eastAsia="宋体" w:cs="宋体"/>
          <w:sz w:val="20"/>
          <w:szCs w:val="20"/>
        </w:rPr>
        <w:t xml:space="preserve"> </w:t>
      </w:r>
      <w:r>
        <w:rPr>
          <w:rFonts w:ascii="宋体" w:hAnsi="宋体" w:eastAsia="宋体" w:cs="宋体"/>
          <w:spacing w:val="18"/>
          <w:sz w:val="20"/>
          <w:szCs w:val="20"/>
        </w:rPr>
        <w:t>部</w:t>
      </w:r>
      <w:r>
        <w:rPr>
          <w:rFonts w:ascii="宋体" w:hAnsi="宋体" w:eastAsia="宋体" w:cs="宋体"/>
          <w:spacing w:val="15"/>
          <w:sz w:val="20"/>
          <w:szCs w:val="20"/>
        </w:rPr>
        <w:t>门</w:t>
      </w:r>
      <w:r>
        <w:rPr>
          <w:rFonts w:ascii="宋体" w:hAnsi="宋体" w:eastAsia="宋体" w:cs="宋体"/>
          <w:spacing w:val="9"/>
          <w:sz w:val="20"/>
          <w:szCs w:val="20"/>
        </w:rPr>
        <w:t>的证明，夜间作业必须公告附近居民。应尽可能避免大量高噪声设备同时施工。</w:t>
      </w:r>
    </w:p>
    <w:p>
      <w:pPr>
        <w:spacing w:before="2" w:line="368" w:lineRule="auto"/>
        <w:ind w:right="68" w:firstLine="478"/>
        <w:rPr>
          <w:rFonts w:ascii="宋体" w:hAnsi="宋体" w:eastAsia="宋体" w:cs="宋体"/>
          <w:sz w:val="20"/>
          <w:szCs w:val="20"/>
        </w:rPr>
      </w:pPr>
      <w:r>
        <w:rPr>
          <w:rFonts w:ascii="宋体" w:hAnsi="宋体" w:eastAsia="宋体" w:cs="宋体"/>
          <w:spacing w:val="19"/>
          <w:sz w:val="17"/>
          <w:szCs w:val="17"/>
        </w:rPr>
        <w:t>4</w:t>
      </w:r>
      <w:r>
        <w:rPr>
          <w:rFonts w:ascii="宋体" w:hAnsi="宋体" w:eastAsia="宋体" w:cs="宋体"/>
          <w:spacing w:val="11"/>
          <w:sz w:val="17"/>
          <w:szCs w:val="17"/>
        </w:rPr>
        <w:t xml:space="preserve">   </w:t>
      </w:r>
      <w:r>
        <w:rPr>
          <w:rFonts w:ascii="宋体" w:hAnsi="宋体" w:eastAsia="宋体" w:cs="宋体"/>
          <w:spacing w:val="11"/>
          <w:sz w:val="20"/>
          <w:szCs w:val="20"/>
        </w:rPr>
        <w:t>合理布局施工机械位置，避免在同一地点安排大量动力机械设备；辅助生产场地的设备</w:t>
      </w:r>
      <w:r>
        <w:rPr>
          <w:rFonts w:ascii="宋体" w:hAnsi="宋体" w:eastAsia="宋体" w:cs="宋体"/>
          <w:sz w:val="20"/>
          <w:szCs w:val="20"/>
        </w:rPr>
        <w:t xml:space="preserve"> </w:t>
      </w:r>
      <w:r>
        <w:rPr>
          <w:rFonts w:ascii="宋体" w:hAnsi="宋体" w:eastAsia="宋体" w:cs="宋体"/>
          <w:spacing w:val="18"/>
          <w:sz w:val="20"/>
          <w:szCs w:val="20"/>
        </w:rPr>
        <w:t>在</w:t>
      </w:r>
      <w:r>
        <w:rPr>
          <w:rFonts w:ascii="宋体" w:hAnsi="宋体" w:eastAsia="宋体" w:cs="宋体"/>
          <w:spacing w:val="15"/>
          <w:sz w:val="20"/>
          <w:szCs w:val="20"/>
        </w:rPr>
        <w:t>平</w:t>
      </w:r>
      <w:r>
        <w:rPr>
          <w:rFonts w:ascii="宋体" w:hAnsi="宋体" w:eastAsia="宋体" w:cs="宋体"/>
          <w:spacing w:val="9"/>
          <w:sz w:val="20"/>
          <w:szCs w:val="20"/>
        </w:rPr>
        <w:t>面布置时，尽量将高噪声设备布置在场地中央，尽量远离周围敏感目标。</w:t>
      </w:r>
    </w:p>
    <w:p>
      <w:pPr>
        <w:spacing w:before="2" w:line="369" w:lineRule="auto"/>
        <w:ind w:left="1" w:right="68" w:firstLine="482"/>
        <w:rPr>
          <w:rFonts w:ascii="宋体" w:hAnsi="宋体" w:eastAsia="宋体" w:cs="宋体"/>
          <w:sz w:val="20"/>
          <w:szCs w:val="20"/>
        </w:rPr>
      </w:pPr>
      <w:r>
        <w:rPr>
          <w:rFonts w:ascii="宋体" w:hAnsi="宋体" w:eastAsia="宋体" w:cs="宋体"/>
          <w:spacing w:val="15"/>
          <w:sz w:val="17"/>
          <w:szCs w:val="17"/>
        </w:rPr>
        <w:t>5</w:t>
      </w:r>
      <w:r>
        <w:rPr>
          <w:rFonts w:ascii="宋体" w:hAnsi="宋体" w:eastAsia="宋体" w:cs="宋体"/>
          <w:spacing w:val="11"/>
          <w:sz w:val="17"/>
          <w:szCs w:val="17"/>
        </w:rPr>
        <w:t xml:space="preserve">   </w:t>
      </w:r>
      <w:r>
        <w:rPr>
          <w:rFonts w:ascii="宋体" w:hAnsi="宋体" w:eastAsia="宋体" w:cs="宋体"/>
          <w:spacing w:val="11"/>
          <w:sz w:val="20"/>
          <w:szCs w:val="20"/>
        </w:rPr>
        <w:t>拟建的路面材料拌合场地，在施工期间更应严格控制其生产噪声对住户的影响。在场地</w:t>
      </w:r>
      <w:r>
        <w:rPr>
          <w:rFonts w:ascii="宋体" w:hAnsi="宋体" w:eastAsia="宋体" w:cs="宋体"/>
          <w:sz w:val="20"/>
          <w:szCs w:val="20"/>
        </w:rPr>
        <w:t xml:space="preserve"> </w:t>
      </w:r>
      <w:r>
        <w:rPr>
          <w:rFonts w:ascii="宋体" w:hAnsi="宋体" w:eastAsia="宋体" w:cs="宋体"/>
          <w:spacing w:val="14"/>
          <w:sz w:val="20"/>
          <w:szCs w:val="20"/>
        </w:rPr>
        <w:t>四周</w:t>
      </w:r>
      <w:r>
        <w:rPr>
          <w:rFonts w:ascii="宋体" w:hAnsi="宋体" w:eastAsia="宋体" w:cs="宋体"/>
          <w:spacing w:val="8"/>
          <w:sz w:val="20"/>
          <w:szCs w:val="20"/>
        </w:rPr>
        <w:t>修</w:t>
      </w:r>
      <w:r>
        <w:rPr>
          <w:rFonts w:ascii="宋体" w:hAnsi="宋体" w:eastAsia="宋体" w:cs="宋体"/>
          <w:spacing w:val="7"/>
          <w:sz w:val="20"/>
          <w:szCs w:val="20"/>
        </w:rPr>
        <w:t xml:space="preserve">建不低于 </w:t>
      </w:r>
      <w:r>
        <w:rPr>
          <w:rFonts w:ascii="Times New Roman" w:hAnsi="Times New Roman" w:eastAsia="Times New Roman" w:cs="Times New Roman"/>
          <w:spacing w:val="7"/>
          <w:sz w:val="20"/>
          <w:szCs w:val="20"/>
        </w:rPr>
        <w:t>2.5</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高围墙；生产区域尽量布置在场地中部或远离周围敏感目标的方向，管理用</w:t>
      </w:r>
      <w:r>
        <w:rPr>
          <w:rFonts w:ascii="宋体" w:hAnsi="宋体" w:eastAsia="宋体" w:cs="宋体"/>
          <w:sz w:val="20"/>
          <w:szCs w:val="20"/>
        </w:rPr>
        <w:t xml:space="preserve"> </w:t>
      </w:r>
      <w:r>
        <w:rPr>
          <w:rFonts w:ascii="宋体" w:hAnsi="宋体" w:eastAsia="宋体" w:cs="宋体"/>
          <w:spacing w:val="12"/>
          <w:sz w:val="20"/>
          <w:szCs w:val="20"/>
        </w:rPr>
        <w:t>房、工具</w:t>
      </w:r>
      <w:r>
        <w:rPr>
          <w:rFonts w:ascii="宋体" w:hAnsi="宋体" w:eastAsia="宋体" w:cs="宋体"/>
          <w:spacing w:val="6"/>
          <w:sz w:val="20"/>
          <w:szCs w:val="20"/>
        </w:rPr>
        <w:t>房等不产噪或产噪底的功能区尽量靠周围敏感目标的方向设置， 以形成隔声屏障； 同时</w:t>
      </w:r>
      <w:r>
        <w:rPr>
          <w:rFonts w:ascii="宋体" w:hAnsi="宋体" w:eastAsia="宋体" w:cs="宋体"/>
          <w:sz w:val="20"/>
          <w:szCs w:val="20"/>
        </w:rPr>
        <w:t xml:space="preserve"> </w:t>
      </w:r>
      <w:r>
        <w:rPr>
          <w:rFonts w:ascii="宋体" w:hAnsi="宋体" w:eastAsia="宋体" w:cs="宋体"/>
          <w:spacing w:val="22"/>
          <w:sz w:val="20"/>
          <w:szCs w:val="20"/>
        </w:rPr>
        <w:t>应</w:t>
      </w:r>
      <w:r>
        <w:rPr>
          <w:rFonts w:ascii="宋体" w:hAnsi="宋体" w:eastAsia="宋体" w:cs="宋体"/>
          <w:spacing w:val="13"/>
          <w:sz w:val="20"/>
          <w:szCs w:val="20"/>
        </w:rPr>
        <w:t>尽</w:t>
      </w:r>
      <w:r>
        <w:rPr>
          <w:rFonts w:ascii="宋体" w:hAnsi="宋体" w:eastAsia="宋体" w:cs="宋体"/>
          <w:spacing w:val="11"/>
          <w:sz w:val="20"/>
          <w:szCs w:val="20"/>
        </w:rPr>
        <w:t>量安排在昼间生产、文明生产，确保场地边界噪声满足《建筑施工场界环境噪声排放标准》</w:t>
      </w:r>
      <w:r>
        <w:rPr>
          <w:rFonts w:ascii="宋体" w:hAnsi="宋体" w:eastAsia="宋体" w:cs="宋体"/>
          <w:sz w:val="20"/>
          <w:szCs w:val="20"/>
        </w:rPr>
        <w:t xml:space="preserve"> </w:t>
      </w:r>
      <w:r>
        <w:rPr>
          <w:rFonts w:ascii="宋体" w:hAnsi="宋体" w:eastAsia="宋体" w:cs="宋体"/>
          <w:spacing w:val="8"/>
          <w:sz w:val="20"/>
          <w:szCs w:val="20"/>
        </w:rPr>
        <w:t>要求，避免噪声扰民。</w:t>
      </w:r>
    </w:p>
    <w:p>
      <w:pPr>
        <w:spacing w:before="1" w:line="227" w:lineRule="auto"/>
        <w:ind w:left="481"/>
        <w:rPr>
          <w:rFonts w:ascii="宋体" w:hAnsi="宋体" w:eastAsia="宋体" w:cs="宋体"/>
          <w:sz w:val="20"/>
          <w:szCs w:val="20"/>
        </w:rPr>
      </w:pPr>
      <w:r>
        <w:rPr>
          <w:rFonts w:ascii="宋体" w:hAnsi="宋体" w:eastAsia="宋体" w:cs="宋体"/>
          <w:spacing w:val="14"/>
          <w:sz w:val="17"/>
          <w:szCs w:val="17"/>
        </w:rPr>
        <w:t xml:space="preserve">6 </w:t>
      </w:r>
      <w:r>
        <w:rPr>
          <w:rFonts w:ascii="宋体" w:hAnsi="宋体" w:eastAsia="宋体" w:cs="宋体"/>
          <w:spacing w:val="7"/>
          <w:sz w:val="17"/>
          <w:szCs w:val="17"/>
        </w:rPr>
        <w:t xml:space="preserve">  </w:t>
      </w:r>
      <w:r>
        <w:rPr>
          <w:rFonts w:ascii="宋体" w:hAnsi="宋体" w:eastAsia="宋体" w:cs="宋体"/>
          <w:spacing w:val="7"/>
          <w:sz w:val="20"/>
          <w:szCs w:val="20"/>
        </w:rPr>
        <w:t xml:space="preserve">施工场界设置围挡设施，施工路段四周均设置 </w:t>
      </w:r>
      <w:r>
        <w:rPr>
          <w:rFonts w:ascii="Times New Roman" w:hAnsi="Times New Roman" w:eastAsia="Times New Roman" w:cs="Times New Roman"/>
          <w:spacing w:val="7"/>
          <w:sz w:val="20"/>
          <w:szCs w:val="20"/>
        </w:rPr>
        <w:t>2.5</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高的施工围挡，实行封闭施工。</w:t>
      </w:r>
    </w:p>
    <w:p>
      <w:pPr>
        <w:spacing w:before="152" w:line="371" w:lineRule="auto"/>
        <w:ind w:right="68" w:firstLine="484"/>
        <w:rPr>
          <w:rFonts w:ascii="宋体" w:hAnsi="宋体" w:eastAsia="宋体" w:cs="宋体"/>
          <w:sz w:val="20"/>
          <w:szCs w:val="20"/>
        </w:rPr>
      </w:pPr>
      <w:r>
        <w:rPr>
          <w:rFonts w:ascii="宋体" w:hAnsi="宋体" w:eastAsia="宋体" w:cs="宋体"/>
          <w:spacing w:val="14"/>
          <w:sz w:val="17"/>
          <w:szCs w:val="17"/>
        </w:rPr>
        <w:t>7</w:t>
      </w:r>
      <w:r>
        <w:rPr>
          <w:rFonts w:ascii="宋体" w:hAnsi="宋体" w:eastAsia="宋体" w:cs="宋体"/>
          <w:spacing w:val="11"/>
          <w:sz w:val="17"/>
          <w:szCs w:val="17"/>
        </w:rPr>
        <w:t xml:space="preserve">   </w:t>
      </w:r>
      <w:r>
        <w:rPr>
          <w:rFonts w:ascii="宋体" w:hAnsi="宋体" w:eastAsia="宋体" w:cs="宋体"/>
          <w:spacing w:val="11"/>
          <w:sz w:val="20"/>
          <w:szCs w:val="20"/>
        </w:rPr>
        <w:t>在操作中尽量避免敲打砼导管；搬卸物品应轻放，施工工具不要乱扔、远扔；运输车辆</w:t>
      </w:r>
      <w:r>
        <w:rPr>
          <w:rFonts w:ascii="宋体" w:hAnsi="宋体" w:eastAsia="宋体" w:cs="宋体"/>
          <w:sz w:val="20"/>
          <w:szCs w:val="20"/>
        </w:rPr>
        <w:t xml:space="preserve"> </w:t>
      </w:r>
      <w:r>
        <w:rPr>
          <w:rFonts w:ascii="宋体" w:hAnsi="宋体" w:eastAsia="宋体" w:cs="宋体"/>
          <w:spacing w:val="16"/>
          <w:sz w:val="20"/>
          <w:szCs w:val="20"/>
        </w:rPr>
        <w:t>进</w:t>
      </w:r>
      <w:r>
        <w:rPr>
          <w:rFonts w:ascii="宋体" w:hAnsi="宋体" w:eastAsia="宋体" w:cs="宋体"/>
          <w:spacing w:val="11"/>
          <w:sz w:val="20"/>
          <w:szCs w:val="20"/>
        </w:rPr>
        <w:t>入</w:t>
      </w:r>
      <w:r>
        <w:rPr>
          <w:rFonts w:ascii="宋体" w:hAnsi="宋体" w:eastAsia="宋体" w:cs="宋体"/>
          <w:spacing w:val="8"/>
          <w:sz w:val="20"/>
          <w:szCs w:val="20"/>
        </w:rPr>
        <w:t>现场应减速、并减少鸣笛等。</w:t>
      </w:r>
    </w:p>
    <w:p>
      <w:pPr>
        <w:spacing w:before="1" w:line="374" w:lineRule="auto"/>
        <w:ind w:left="56" w:right="145" w:firstLine="417"/>
        <w:rPr>
          <w:rFonts w:ascii="宋体" w:hAnsi="宋体" w:eastAsia="宋体" w:cs="宋体"/>
          <w:sz w:val="20"/>
          <w:szCs w:val="20"/>
        </w:rPr>
      </w:pPr>
      <w:r>
        <w:rPr>
          <w:rFonts w:ascii="宋体" w:hAnsi="宋体" w:eastAsia="宋体" w:cs="宋体"/>
          <w:spacing w:val="16"/>
          <w:sz w:val="20"/>
          <w:szCs w:val="20"/>
        </w:rPr>
        <w:t>通过</w:t>
      </w:r>
      <w:r>
        <w:rPr>
          <w:rFonts w:ascii="宋体" w:hAnsi="宋体" w:eastAsia="宋体" w:cs="宋体"/>
          <w:spacing w:val="10"/>
          <w:sz w:val="20"/>
          <w:szCs w:val="20"/>
        </w:rPr>
        <w:t>严</w:t>
      </w:r>
      <w:r>
        <w:rPr>
          <w:rFonts w:ascii="宋体" w:hAnsi="宋体" w:eastAsia="宋体" w:cs="宋体"/>
          <w:spacing w:val="8"/>
          <w:sz w:val="20"/>
          <w:szCs w:val="20"/>
        </w:rPr>
        <w:t>格的施工管理和采取以上措施后，能够最大限度地减轻施工噪声对周围环境的影响，</w:t>
      </w:r>
      <w:r>
        <w:rPr>
          <w:rFonts w:ascii="宋体" w:hAnsi="宋体" w:eastAsia="宋体" w:cs="宋体"/>
          <w:sz w:val="20"/>
          <w:szCs w:val="20"/>
        </w:rPr>
        <w:t xml:space="preserve"> </w:t>
      </w:r>
      <w:bookmarkStart w:id="30" w:name="_bookmark31"/>
      <w:bookmarkEnd w:id="30"/>
      <w:r>
        <w:rPr>
          <w:rFonts w:ascii="宋体" w:hAnsi="宋体" w:eastAsia="宋体" w:cs="宋体"/>
          <w:spacing w:val="9"/>
          <w:sz w:val="20"/>
          <w:szCs w:val="20"/>
        </w:rPr>
        <w:t>建设期间施工噪声不会产生明显的扰民影响</w:t>
      </w:r>
      <w:r>
        <w:rPr>
          <w:rFonts w:ascii="宋体" w:hAnsi="宋体" w:eastAsia="宋体" w:cs="宋体"/>
          <w:spacing w:val="7"/>
          <w:sz w:val="20"/>
          <w:szCs w:val="20"/>
        </w:rPr>
        <w:t>。</w:t>
      </w:r>
    </w:p>
    <w:p>
      <w:pPr>
        <w:spacing w:before="1" w:line="228" w:lineRule="auto"/>
        <w:ind w:left="5"/>
        <w:outlineLvl w:val="2"/>
        <w:rPr>
          <w:rFonts w:ascii="黑体" w:hAnsi="黑体" w:eastAsia="黑体" w:cs="黑体"/>
          <w:sz w:val="23"/>
          <w:szCs w:val="23"/>
        </w:rPr>
      </w:pPr>
      <w:r>
        <w:rPr>
          <w:rFonts w:ascii="Times New Roman" w:hAnsi="Times New Roman" w:eastAsia="Times New Roman" w:cs="Times New Roman"/>
          <w:spacing w:val="10"/>
          <w:sz w:val="23"/>
          <w:szCs w:val="23"/>
        </w:rPr>
        <w:t>5</w:t>
      </w:r>
      <w:r>
        <w:rPr>
          <w:rFonts w:ascii="Times New Roman" w:hAnsi="Times New Roman" w:eastAsia="Times New Roman" w:cs="Times New Roman"/>
          <w:spacing w:val="7"/>
          <w:sz w:val="23"/>
          <w:szCs w:val="23"/>
        </w:rPr>
        <w:t xml:space="preserve">.2  </w:t>
      </w:r>
      <w:r>
        <w:rPr>
          <w:rFonts w:ascii="黑体" w:hAnsi="黑体" w:eastAsia="黑体" w:cs="黑体"/>
          <w:spacing w:val="7"/>
          <w:sz w:val="23"/>
          <w:szCs w:val="23"/>
        </w:rPr>
        <w:t>营运期交通噪声防治措施</w:t>
      </w:r>
    </w:p>
    <w:p>
      <w:pPr>
        <w:spacing w:before="153" w:line="367" w:lineRule="auto"/>
        <w:ind w:left="54" w:right="176" w:firstLine="422"/>
        <w:rPr>
          <w:rFonts w:ascii="宋体" w:hAnsi="宋体" w:eastAsia="宋体" w:cs="宋体"/>
          <w:sz w:val="20"/>
          <w:szCs w:val="20"/>
        </w:rPr>
      </w:pPr>
      <w:r>
        <w:rPr>
          <w:rFonts w:ascii="宋体" w:hAnsi="宋体" w:eastAsia="宋体" w:cs="宋体"/>
          <w:spacing w:val="14"/>
          <w:sz w:val="20"/>
          <w:szCs w:val="20"/>
        </w:rPr>
        <w:t>为减缓</w:t>
      </w:r>
      <w:r>
        <w:rPr>
          <w:rFonts w:ascii="宋体" w:hAnsi="宋体" w:eastAsia="宋体" w:cs="宋体"/>
          <w:spacing w:val="11"/>
          <w:sz w:val="20"/>
          <w:szCs w:val="20"/>
        </w:rPr>
        <w:t>桥</w:t>
      </w:r>
      <w:r>
        <w:rPr>
          <w:rFonts w:ascii="宋体" w:hAnsi="宋体" w:eastAsia="宋体" w:cs="宋体"/>
          <w:spacing w:val="7"/>
          <w:sz w:val="20"/>
          <w:szCs w:val="20"/>
        </w:rPr>
        <w:t>梁通车后交通噪声对声环境及两端居民楼造成的不利影响，需采取必要的噪声防治</w:t>
      </w:r>
      <w:r>
        <w:rPr>
          <w:rFonts w:ascii="宋体" w:hAnsi="宋体" w:eastAsia="宋体" w:cs="宋体"/>
          <w:sz w:val="20"/>
          <w:szCs w:val="20"/>
        </w:rPr>
        <w:t xml:space="preserve"> </w:t>
      </w:r>
      <w:r>
        <w:rPr>
          <w:rFonts w:ascii="宋体" w:hAnsi="宋体" w:eastAsia="宋体" w:cs="宋体"/>
          <w:spacing w:val="17"/>
          <w:sz w:val="20"/>
          <w:szCs w:val="20"/>
        </w:rPr>
        <w:t>措</w:t>
      </w:r>
      <w:r>
        <w:rPr>
          <w:rFonts w:ascii="宋体" w:hAnsi="宋体" w:eastAsia="宋体" w:cs="宋体"/>
          <w:spacing w:val="9"/>
          <w:sz w:val="20"/>
          <w:szCs w:val="20"/>
        </w:rPr>
        <w:t>施，将拟建项目对沿环境保护目标的影响降低到允许范围内。</w:t>
      </w:r>
    </w:p>
    <w:p>
      <w:pPr>
        <w:spacing w:before="1" w:line="223" w:lineRule="auto"/>
        <w:ind w:left="4"/>
        <w:outlineLvl w:val="3"/>
        <w:rPr>
          <w:rFonts w:ascii="黑体" w:hAnsi="黑体" w:eastAsia="黑体" w:cs="黑体"/>
          <w:sz w:val="22"/>
          <w:szCs w:val="22"/>
        </w:rPr>
      </w:pPr>
      <w:r>
        <w:rPr>
          <w:rFonts w:ascii="Times New Roman" w:hAnsi="Times New Roman" w:eastAsia="Times New Roman" w:cs="Times New Roman"/>
          <w:spacing w:val="-4"/>
          <w:sz w:val="22"/>
          <w:szCs w:val="22"/>
        </w:rPr>
        <w:t>5.2. 1</w:t>
      </w:r>
      <w:r>
        <w:rPr>
          <w:rFonts w:ascii="Times New Roman" w:hAnsi="Times New Roman" w:eastAsia="Times New Roman" w:cs="Times New Roman"/>
          <w:spacing w:val="-3"/>
          <w:sz w:val="22"/>
          <w:szCs w:val="22"/>
        </w:rPr>
        <w:t xml:space="preserve"> </w:t>
      </w:r>
      <w:r>
        <w:rPr>
          <w:rFonts w:ascii="Times New Roman" w:hAnsi="Times New Roman" w:eastAsia="Times New Roman" w:cs="Times New Roman"/>
          <w:spacing w:val="-2"/>
          <w:sz w:val="22"/>
          <w:szCs w:val="22"/>
        </w:rPr>
        <w:t xml:space="preserve">   </w:t>
      </w:r>
      <w:r>
        <w:rPr>
          <w:rFonts w:ascii="黑体" w:hAnsi="黑体" w:eastAsia="黑体" w:cs="黑体"/>
          <w:spacing w:val="-2"/>
          <w:sz w:val="22"/>
          <w:szCs w:val="22"/>
        </w:rPr>
        <w:t>合理规划、布局及控制公路两侧用地</w:t>
      </w:r>
    </w:p>
    <w:p>
      <w:pPr>
        <w:spacing w:before="143" w:line="374" w:lineRule="auto"/>
        <w:ind w:right="123" w:firstLine="420"/>
        <w:rPr>
          <w:rFonts w:ascii="宋体" w:hAnsi="宋体" w:eastAsia="宋体" w:cs="宋体"/>
          <w:sz w:val="20"/>
          <w:szCs w:val="20"/>
        </w:rPr>
      </w:pPr>
      <w:r>
        <w:rPr>
          <w:rFonts w:ascii="宋体" w:hAnsi="宋体" w:eastAsia="宋体" w:cs="宋体"/>
          <w:spacing w:val="16"/>
          <w:sz w:val="20"/>
          <w:szCs w:val="20"/>
        </w:rPr>
        <w:t>根</w:t>
      </w:r>
      <w:r>
        <w:rPr>
          <w:rFonts w:ascii="宋体" w:hAnsi="宋体" w:eastAsia="宋体" w:cs="宋体"/>
          <w:spacing w:val="11"/>
          <w:sz w:val="20"/>
          <w:szCs w:val="20"/>
        </w:rPr>
        <w:t>据</w:t>
      </w:r>
      <w:r>
        <w:rPr>
          <w:rFonts w:ascii="宋体" w:hAnsi="宋体" w:eastAsia="宋体" w:cs="宋体"/>
          <w:spacing w:val="8"/>
          <w:sz w:val="20"/>
          <w:szCs w:val="20"/>
        </w:rPr>
        <w:t>《中华人民共和国环境噪声污染防治法》</w:t>
      </w:r>
      <w:r>
        <w:rPr>
          <w:rFonts w:ascii="Times New Roman" w:hAnsi="Times New Roman" w:eastAsia="Times New Roman" w:cs="Times New Roman"/>
          <w:spacing w:val="8"/>
          <w:sz w:val="20"/>
          <w:szCs w:val="20"/>
        </w:rPr>
        <w:t>“</w:t>
      </w:r>
      <w:r>
        <w:rPr>
          <w:rFonts w:ascii="宋体" w:hAnsi="宋体" w:eastAsia="宋体" w:cs="宋体"/>
          <w:spacing w:val="8"/>
          <w:sz w:val="20"/>
          <w:szCs w:val="20"/>
        </w:rPr>
        <w:t>第二章第十一条</w:t>
      </w:r>
      <w:r>
        <w:rPr>
          <w:rFonts w:ascii="Times New Roman" w:hAnsi="Times New Roman" w:eastAsia="Times New Roman" w:cs="Times New Roman"/>
          <w:spacing w:val="8"/>
          <w:sz w:val="20"/>
          <w:szCs w:val="20"/>
        </w:rPr>
        <w:t>”</w:t>
      </w:r>
      <w:r>
        <w:rPr>
          <w:rFonts w:ascii="宋体" w:hAnsi="宋体" w:eastAsia="宋体" w:cs="宋体"/>
          <w:spacing w:val="8"/>
          <w:sz w:val="20"/>
          <w:szCs w:val="20"/>
        </w:rPr>
        <w:t>的规定：</w:t>
      </w:r>
      <w:r>
        <w:rPr>
          <w:rFonts w:ascii="Times New Roman" w:hAnsi="Times New Roman" w:eastAsia="Times New Roman" w:cs="Times New Roman"/>
          <w:spacing w:val="8"/>
          <w:sz w:val="20"/>
          <w:szCs w:val="20"/>
        </w:rPr>
        <w:t>“</w:t>
      </w:r>
      <w:r>
        <w:rPr>
          <w:rFonts w:ascii="宋体" w:hAnsi="宋体" w:eastAsia="宋体" w:cs="宋体"/>
          <w:spacing w:val="8"/>
          <w:sz w:val="20"/>
          <w:szCs w:val="20"/>
        </w:rPr>
        <w:t>城市规划部门在确</w:t>
      </w:r>
      <w:r>
        <w:rPr>
          <w:rFonts w:ascii="宋体" w:hAnsi="宋体" w:eastAsia="宋体" w:cs="宋体"/>
          <w:sz w:val="20"/>
          <w:szCs w:val="20"/>
        </w:rPr>
        <w:t xml:space="preserve"> </w:t>
      </w:r>
      <w:r>
        <w:rPr>
          <w:rFonts w:ascii="宋体" w:hAnsi="宋体" w:eastAsia="宋体" w:cs="宋体"/>
          <w:spacing w:val="20"/>
          <w:sz w:val="20"/>
          <w:szCs w:val="20"/>
        </w:rPr>
        <w:t>定</w:t>
      </w:r>
      <w:r>
        <w:rPr>
          <w:rFonts w:ascii="宋体" w:hAnsi="宋体" w:eastAsia="宋体" w:cs="宋体"/>
          <w:spacing w:val="14"/>
          <w:sz w:val="20"/>
          <w:szCs w:val="20"/>
        </w:rPr>
        <w:t>建</w:t>
      </w:r>
      <w:r>
        <w:rPr>
          <w:rFonts w:ascii="宋体" w:hAnsi="宋体" w:eastAsia="宋体" w:cs="宋体"/>
          <w:spacing w:val="10"/>
          <w:sz w:val="20"/>
          <w:szCs w:val="20"/>
        </w:rPr>
        <w:t>筑物布局时，应当依据国家声环境质量标准和民用建筑设计规范，合理规定建筑物与交通干</w:t>
      </w:r>
      <w:r>
        <w:rPr>
          <w:rFonts w:ascii="宋体" w:hAnsi="宋体" w:eastAsia="宋体" w:cs="宋体"/>
          <w:sz w:val="20"/>
          <w:szCs w:val="20"/>
        </w:rPr>
        <w:t xml:space="preserve"> </w:t>
      </w:r>
      <w:r>
        <w:rPr>
          <w:rFonts w:ascii="宋体" w:hAnsi="宋体" w:eastAsia="宋体" w:cs="宋体"/>
          <w:spacing w:val="9"/>
          <w:sz w:val="20"/>
          <w:szCs w:val="20"/>
        </w:rPr>
        <w:t>道</w:t>
      </w:r>
      <w:r>
        <w:rPr>
          <w:rFonts w:ascii="宋体" w:hAnsi="宋体" w:eastAsia="宋体" w:cs="宋体"/>
          <w:spacing w:val="8"/>
          <w:sz w:val="20"/>
          <w:szCs w:val="20"/>
        </w:rPr>
        <w:t>的防噪声距离，并提出相应的规划设计要求</w:t>
      </w:r>
      <w:r>
        <w:rPr>
          <w:rFonts w:ascii="Times New Roman" w:hAnsi="Times New Roman" w:eastAsia="Times New Roman" w:cs="Times New Roman"/>
          <w:spacing w:val="8"/>
          <w:sz w:val="20"/>
          <w:szCs w:val="20"/>
        </w:rPr>
        <w:t>”</w:t>
      </w:r>
      <w:r>
        <w:rPr>
          <w:rFonts w:ascii="宋体" w:hAnsi="宋体" w:eastAsia="宋体" w:cs="宋体"/>
          <w:spacing w:val="8"/>
          <w:sz w:val="20"/>
          <w:szCs w:val="20"/>
        </w:rPr>
        <w:t>的精神，相关部门在本项目沿线进行规划时需参照</w:t>
      </w:r>
    </w:p>
    <w:p>
      <w:pPr>
        <w:sectPr>
          <w:footerReference r:id="rId143" w:type="default"/>
          <w:pgSz w:w="11906" w:h="16839"/>
          <w:pgMar w:top="400" w:right="1409" w:bottom="1253" w:left="1537" w:header="0" w:footer="1066" w:gutter="0"/>
          <w:cols w:space="720" w:num="1"/>
        </w:sect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65" w:line="369" w:lineRule="auto"/>
        <w:ind w:left="1" w:right="2" w:hanging="1"/>
        <w:rPr>
          <w:rFonts w:ascii="宋体" w:hAnsi="宋体" w:eastAsia="宋体" w:cs="宋体"/>
          <w:sz w:val="20"/>
          <w:szCs w:val="20"/>
        </w:rPr>
      </w:pPr>
      <w:r>
        <w:rPr>
          <w:rFonts w:ascii="宋体" w:hAnsi="宋体" w:eastAsia="宋体" w:cs="宋体"/>
          <w:spacing w:val="20"/>
          <w:sz w:val="20"/>
          <w:szCs w:val="20"/>
        </w:rPr>
        <w:t>本</w:t>
      </w:r>
      <w:r>
        <w:rPr>
          <w:rFonts w:ascii="宋体" w:hAnsi="宋体" w:eastAsia="宋体" w:cs="宋体"/>
          <w:spacing w:val="12"/>
          <w:sz w:val="20"/>
          <w:szCs w:val="20"/>
        </w:rPr>
        <w:t>工</w:t>
      </w:r>
      <w:r>
        <w:rPr>
          <w:rFonts w:ascii="宋体" w:hAnsi="宋体" w:eastAsia="宋体" w:cs="宋体"/>
          <w:spacing w:val="10"/>
          <w:sz w:val="20"/>
          <w:szCs w:val="20"/>
        </w:rPr>
        <w:t>程噪声预测结果及达标距离表，对沿线所经土地进行合理规划，严格控制土地的使用功能。</w:t>
      </w:r>
      <w:r>
        <w:rPr>
          <w:rFonts w:ascii="宋体" w:hAnsi="宋体" w:eastAsia="宋体" w:cs="宋体"/>
          <w:sz w:val="20"/>
          <w:szCs w:val="20"/>
        </w:rPr>
        <w:t xml:space="preserve"> </w:t>
      </w:r>
      <w:r>
        <w:rPr>
          <w:rFonts w:ascii="宋体" w:hAnsi="宋体" w:eastAsia="宋体" w:cs="宋体"/>
          <w:spacing w:val="20"/>
          <w:sz w:val="20"/>
          <w:szCs w:val="20"/>
        </w:rPr>
        <w:t>原</w:t>
      </w:r>
      <w:r>
        <w:rPr>
          <w:rFonts w:ascii="宋体" w:hAnsi="宋体" w:eastAsia="宋体" w:cs="宋体"/>
          <w:spacing w:val="10"/>
          <w:sz w:val="20"/>
          <w:szCs w:val="20"/>
        </w:rPr>
        <w:t>则上噪声达标距离以内区域不宜新建、扩建学校、医院和集中居民住宅区等敏感建筑。建议合</w:t>
      </w:r>
      <w:r>
        <w:rPr>
          <w:rFonts w:ascii="宋体" w:hAnsi="宋体" w:eastAsia="宋体" w:cs="宋体"/>
          <w:sz w:val="20"/>
          <w:szCs w:val="20"/>
        </w:rPr>
        <w:t xml:space="preserve"> </w:t>
      </w:r>
      <w:r>
        <w:rPr>
          <w:rFonts w:ascii="宋体" w:hAnsi="宋体" w:eastAsia="宋体" w:cs="宋体"/>
          <w:spacing w:val="20"/>
          <w:sz w:val="20"/>
          <w:szCs w:val="20"/>
        </w:rPr>
        <w:t>理</w:t>
      </w:r>
      <w:r>
        <w:rPr>
          <w:rFonts w:ascii="宋体" w:hAnsi="宋体" w:eastAsia="宋体" w:cs="宋体"/>
          <w:spacing w:val="10"/>
          <w:sz w:val="20"/>
          <w:szCs w:val="20"/>
        </w:rPr>
        <w:t>规划拟建桥梁两侧土地使用功能的同时，应加强建筑布局和隔声设计，保证敏感建筑室内环境</w:t>
      </w:r>
      <w:r>
        <w:rPr>
          <w:rFonts w:ascii="宋体" w:hAnsi="宋体" w:eastAsia="宋体" w:cs="宋体"/>
          <w:sz w:val="20"/>
          <w:szCs w:val="20"/>
        </w:rPr>
        <w:t xml:space="preserve"> </w:t>
      </w:r>
      <w:r>
        <w:rPr>
          <w:rFonts w:ascii="宋体" w:hAnsi="宋体" w:eastAsia="宋体" w:cs="宋体"/>
          <w:spacing w:val="8"/>
          <w:sz w:val="20"/>
          <w:szCs w:val="20"/>
        </w:rPr>
        <w:t>能满足使用功能的要求</w:t>
      </w:r>
      <w:r>
        <w:rPr>
          <w:rFonts w:ascii="宋体" w:hAnsi="宋体" w:eastAsia="宋体" w:cs="宋体"/>
          <w:spacing w:val="7"/>
          <w:sz w:val="20"/>
          <w:szCs w:val="20"/>
        </w:rPr>
        <w:t>。</w:t>
      </w:r>
    </w:p>
    <w:p>
      <w:pPr>
        <w:spacing w:line="226" w:lineRule="auto"/>
        <w:ind w:left="420"/>
        <w:rPr>
          <w:rFonts w:ascii="宋体" w:hAnsi="宋体" w:eastAsia="宋体" w:cs="宋体"/>
          <w:sz w:val="20"/>
          <w:szCs w:val="20"/>
        </w:rPr>
      </w:pPr>
      <w:r>
        <w:rPr>
          <w:rFonts w:ascii="宋体" w:hAnsi="宋体" w:eastAsia="宋体" w:cs="宋体"/>
          <w:spacing w:val="18"/>
          <w:sz w:val="20"/>
          <w:szCs w:val="20"/>
        </w:rPr>
        <w:t>环</w:t>
      </w:r>
      <w:r>
        <w:rPr>
          <w:rFonts w:ascii="宋体" w:hAnsi="宋体" w:eastAsia="宋体" w:cs="宋体"/>
          <w:spacing w:val="10"/>
          <w:sz w:val="20"/>
          <w:szCs w:val="20"/>
        </w:rPr>
        <w:t>评</w:t>
      </w:r>
      <w:r>
        <w:rPr>
          <w:rFonts w:ascii="宋体" w:hAnsi="宋体" w:eastAsia="宋体" w:cs="宋体"/>
          <w:spacing w:val="9"/>
          <w:sz w:val="20"/>
          <w:szCs w:val="20"/>
        </w:rPr>
        <w:t>根据本项目的噪声预测结果对今后区域控制规划提出以下建议：</w:t>
      </w:r>
    </w:p>
    <w:p>
      <w:pPr>
        <w:spacing w:before="154" w:line="369" w:lineRule="auto"/>
        <w:ind w:right="2" w:firstLine="418"/>
        <w:rPr>
          <w:rFonts w:ascii="宋体" w:hAnsi="宋体" w:eastAsia="宋体" w:cs="宋体"/>
          <w:sz w:val="20"/>
          <w:szCs w:val="20"/>
        </w:rPr>
      </w:pPr>
      <w:r>
        <w:rPr>
          <w:rFonts w:ascii="宋体" w:hAnsi="宋体" w:eastAsia="宋体" w:cs="宋体"/>
          <w:spacing w:val="20"/>
          <w:sz w:val="20"/>
          <w:szCs w:val="20"/>
        </w:rPr>
        <w:t>①</w:t>
      </w:r>
      <w:r>
        <w:rPr>
          <w:rFonts w:ascii="宋体" w:hAnsi="宋体" w:eastAsia="宋体" w:cs="宋体"/>
          <w:spacing w:val="14"/>
          <w:sz w:val="20"/>
          <w:szCs w:val="20"/>
        </w:rPr>
        <w:t>应</w:t>
      </w:r>
      <w:r>
        <w:rPr>
          <w:rFonts w:ascii="宋体" w:hAnsi="宋体" w:eastAsia="宋体" w:cs="宋体"/>
          <w:spacing w:val="10"/>
          <w:sz w:val="20"/>
          <w:szCs w:val="20"/>
        </w:rPr>
        <w:t>充分考虑桥梁西端两端第一排建筑物离道路红线的规划控制距离，通过距离衰减作用，</w:t>
      </w:r>
      <w:r>
        <w:rPr>
          <w:rFonts w:ascii="宋体" w:hAnsi="宋体" w:eastAsia="宋体" w:cs="宋体"/>
          <w:sz w:val="20"/>
          <w:szCs w:val="20"/>
        </w:rPr>
        <w:t xml:space="preserve"> </w:t>
      </w:r>
      <w:r>
        <w:rPr>
          <w:rFonts w:ascii="宋体" w:hAnsi="宋体" w:eastAsia="宋体" w:cs="宋体"/>
          <w:spacing w:val="20"/>
          <w:sz w:val="20"/>
          <w:szCs w:val="20"/>
        </w:rPr>
        <w:t>尽</w:t>
      </w:r>
      <w:r>
        <w:rPr>
          <w:rFonts w:ascii="宋体" w:hAnsi="宋体" w:eastAsia="宋体" w:cs="宋体"/>
          <w:spacing w:val="12"/>
          <w:sz w:val="20"/>
          <w:szCs w:val="20"/>
        </w:rPr>
        <w:t>量</w:t>
      </w:r>
      <w:r>
        <w:rPr>
          <w:rFonts w:ascii="宋体" w:hAnsi="宋体" w:eastAsia="宋体" w:cs="宋体"/>
          <w:spacing w:val="10"/>
          <w:sz w:val="20"/>
          <w:szCs w:val="20"/>
        </w:rPr>
        <w:t>减小交通噪声对沿线建筑的影响。公路两侧第一排建筑物的朝向宜平行于道路，这样可减弱</w:t>
      </w:r>
    </w:p>
    <w:p>
      <w:pPr>
        <w:spacing w:before="1" w:line="227" w:lineRule="auto"/>
        <w:ind w:left="4"/>
        <w:rPr>
          <w:rFonts w:ascii="宋体" w:hAnsi="宋体" w:eastAsia="宋体" w:cs="宋体"/>
          <w:sz w:val="20"/>
          <w:szCs w:val="20"/>
        </w:rPr>
      </w:pPr>
      <w:r>
        <w:rPr>
          <w:rFonts w:ascii="宋体" w:hAnsi="宋体" w:eastAsia="宋体" w:cs="宋体"/>
          <w:spacing w:val="13"/>
          <w:sz w:val="20"/>
          <w:szCs w:val="20"/>
        </w:rPr>
        <w:t>交</w:t>
      </w:r>
      <w:r>
        <w:rPr>
          <w:rFonts w:ascii="宋体" w:hAnsi="宋体" w:eastAsia="宋体" w:cs="宋体"/>
          <w:spacing w:val="8"/>
          <w:sz w:val="20"/>
          <w:szCs w:val="20"/>
        </w:rPr>
        <w:t>通噪声对其背后建筑物的影响。</w:t>
      </w:r>
    </w:p>
    <w:p>
      <w:pPr>
        <w:spacing w:before="153" w:line="369" w:lineRule="auto"/>
        <w:ind w:firstLine="418"/>
        <w:rPr>
          <w:rFonts w:ascii="宋体" w:hAnsi="宋体" w:eastAsia="宋体" w:cs="宋体"/>
          <w:sz w:val="20"/>
          <w:szCs w:val="20"/>
        </w:rPr>
      </w:pPr>
      <w:r>
        <w:rPr>
          <w:rFonts w:ascii="宋体" w:hAnsi="宋体" w:eastAsia="宋体" w:cs="宋体"/>
          <w:spacing w:val="10"/>
          <w:sz w:val="20"/>
          <w:szCs w:val="20"/>
        </w:rPr>
        <w:t>②</w:t>
      </w:r>
      <w:r>
        <w:rPr>
          <w:rFonts w:ascii="宋体" w:hAnsi="宋体" w:eastAsia="宋体" w:cs="宋体"/>
          <w:spacing w:val="7"/>
          <w:sz w:val="20"/>
          <w:szCs w:val="20"/>
        </w:rPr>
        <w:t>根</w:t>
      </w:r>
      <w:r>
        <w:rPr>
          <w:rFonts w:ascii="宋体" w:hAnsi="宋体" w:eastAsia="宋体" w:cs="宋体"/>
          <w:spacing w:val="5"/>
          <w:sz w:val="20"/>
          <w:szCs w:val="20"/>
        </w:rPr>
        <w:t>据规划，项目桥梁西端连接的滨河路规划为城市次干道，后期建成后，  “</w:t>
      </w:r>
      <w:r>
        <w:fldChar w:fldCharType="begin"/>
      </w:r>
      <w:r>
        <w:instrText xml:space="preserve"> HYPERLINK "https://dazhou.news.fang.com/house/3228151310_24099596.htm" </w:instrText>
      </w:r>
      <w:r>
        <w:fldChar w:fldCharType="separate"/>
      </w:r>
      <w:r>
        <w:rPr>
          <w:rFonts w:ascii="宋体" w:hAnsi="宋体" w:eastAsia="宋体" w:cs="宋体"/>
          <w:spacing w:val="5"/>
          <w:sz w:val="20"/>
          <w:szCs w:val="20"/>
        </w:rPr>
        <w:t>绿地·外滩名</w:t>
      </w:r>
      <w:r>
        <w:rPr>
          <w:rFonts w:ascii="宋体" w:hAnsi="宋体" w:eastAsia="宋体" w:cs="宋体"/>
          <w:spacing w:val="5"/>
          <w:sz w:val="20"/>
          <w:szCs w:val="20"/>
        </w:rPr>
        <w:fldChar w:fldCharType="end"/>
      </w:r>
      <w:r>
        <w:rPr>
          <w:rFonts w:ascii="宋体" w:hAnsi="宋体" w:eastAsia="宋体" w:cs="宋体"/>
          <w:sz w:val="20"/>
          <w:szCs w:val="20"/>
        </w:rPr>
        <w:t xml:space="preserve"> </w:t>
      </w:r>
      <w:r>
        <w:rPr>
          <w:rFonts w:ascii="宋体" w:hAnsi="宋体" w:eastAsia="宋体" w:cs="宋体"/>
          <w:spacing w:val="10"/>
          <w:sz w:val="20"/>
          <w:szCs w:val="20"/>
        </w:rPr>
        <w:t xml:space="preserve">门”居住小区 </w:t>
      </w:r>
      <w:r>
        <w:rPr>
          <w:rFonts w:ascii="Times New Roman" w:hAnsi="Times New Roman" w:eastAsia="Times New Roman" w:cs="Times New Roman"/>
          <w:spacing w:val="6"/>
          <w:sz w:val="20"/>
          <w:szCs w:val="20"/>
        </w:rPr>
        <w:t>6</w:t>
      </w:r>
      <w:r>
        <w:rPr>
          <w:rFonts w:ascii="Times New Roman" w:hAnsi="Times New Roman" w:eastAsia="Times New Roman" w:cs="Times New Roman"/>
          <w:spacing w:val="5"/>
          <w:sz w:val="20"/>
          <w:szCs w:val="20"/>
        </w:rPr>
        <w:t>#~ 10#</w:t>
      </w:r>
      <w:r>
        <w:rPr>
          <w:rFonts w:ascii="宋体" w:hAnsi="宋体" w:eastAsia="宋体" w:cs="宋体"/>
          <w:spacing w:val="5"/>
          <w:sz w:val="20"/>
          <w:szCs w:val="20"/>
        </w:rPr>
        <w:t xml:space="preserve">楼均临滨河路，距离约 </w:t>
      </w:r>
      <w:r>
        <w:rPr>
          <w:rFonts w:ascii="Times New Roman" w:hAnsi="Times New Roman" w:eastAsia="Times New Roman" w:cs="Times New Roman"/>
          <w:spacing w:val="5"/>
          <w:sz w:val="20"/>
          <w:szCs w:val="20"/>
        </w:rPr>
        <w:t>10</w:t>
      </w:r>
      <w:r>
        <w:rPr>
          <w:rFonts w:ascii="Times New Roman" w:hAnsi="Times New Roman" w:eastAsia="Times New Roman" w:cs="Times New Roman"/>
          <w:sz w:val="20"/>
          <w:szCs w:val="20"/>
        </w:rPr>
        <w:t>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，临道路一排的居民楼的噪声值应满足 </w:t>
      </w:r>
      <w:r>
        <w:rPr>
          <w:rFonts w:ascii="Times New Roman" w:hAnsi="Times New Roman" w:eastAsia="Times New Roman" w:cs="Times New Roman"/>
          <w:spacing w:val="5"/>
          <w:sz w:val="20"/>
          <w:szCs w:val="20"/>
        </w:rPr>
        <w:t>4</w:t>
      </w:r>
      <w:r>
        <w:rPr>
          <w:rFonts w:ascii="Times New Roman" w:hAnsi="Times New Roman" w:eastAsia="Times New Roman" w:cs="Times New Roman"/>
          <w:sz w:val="20"/>
          <w:szCs w:val="20"/>
        </w:rPr>
        <w:t>a</w:t>
      </w:r>
      <w:r>
        <w:rPr>
          <w:rFonts w:ascii="宋体" w:hAnsi="宋体" w:eastAsia="宋体" w:cs="宋体"/>
          <w:spacing w:val="5"/>
          <w:sz w:val="20"/>
          <w:szCs w:val="20"/>
        </w:rPr>
        <w:t>类区</w:t>
      </w:r>
      <w:r>
        <w:rPr>
          <w:rFonts w:ascii="宋体" w:hAnsi="宋体" w:eastAsia="宋体" w:cs="宋体"/>
          <w:sz w:val="20"/>
          <w:szCs w:val="20"/>
        </w:rPr>
        <w:t xml:space="preserve"> </w:t>
      </w:r>
      <w:r>
        <w:rPr>
          <w:rFonts w:ascii="宋体" w:hAnsi="宋体" w:eastAsia="宋体" w:cs="宋体"/>
          <w:spacing w:val="1"/>
          <w:sz w:val="20"/>
          <w:szCs w:val="20"/>
        </w:rPr>
        <w:t xml:space="preserve">域的标准。本项目桥梁西端与滨河路平交，最近的为 </w:t>
      </w:r>
      <w:r>
        <w:rPr>
          <w:rFonts w:ascii="Times New Roman" w:hAnsi="Times New Roman" w:eastAsia="Times New Roman" w:cs="Times New Roman"/>
          <w:spacing w:val="1"/>
          <w:sz w:val="20"/>
          <w:szCs w:val="20"/>
        </w:rPr>
        <w:t>7#</w:t>
      </w:r>
      <w:r>
        <w:rPr>
          <w:rFonts w:ascii="宋体" w:hAnsi="宋体" w:eastAsia="宋体" w:cs="宋体"/>
          <w:spacing w:val="1"/>
          <w:sz w:val="20"/>
          <w:szCs w:val="20"/>
        </w:rPr>
        <w:t>楼，</w:t>
      </w:r>
      <w:r>
        <w:rPr>
          <w:rFonts w:ascii="宋体" w:hAnsi="宋体" w:eastAsia="宋体" w:cs="宋体"/>
          <w:sz w:val="20"/>
          <w:szCs w:val="20"/>
        </w:rPr>
        <w:t xml:space="preserve">距离道路红线约 </w:t>
      </w:r>
      <w:r>
        <w:rPr>
          <w:rFonts w:ascii="Times New Roman" w:hAnsi="Times New Roman" w:eastAsia="Times New Roman" w:cs="Times New Roman"/>
          <w:sz w:val="20"/>
          <w:szCs w:val="20"/>
        </w:rPr>
        <w:t xml:space="preserve">30m </w:t>
      </w:r>
      <w:r>
        <w:rPr>
          <w:rFonts w:ascii="宋体" w:hAnsi="宋体" w:eastAsia="宋体" w:cs="宋体"/>
          <w:sz w:val="20"/>
          <w:szCs w:val="20"/>
        </w:rPr>
        <w:t>。由于“</w:t>
      </w:r>
      <w:r>
        <w:fldChar w:fldCharType="begin"/>
      </w:r>
      <w:r>
        <w:instrText xml:space="preserve"> HYPERLINK "https://dazhou.news.fang.com/house/3228151310_24099596.htm" </w:instrText>
      </w:r>
      <w:r>
        <w:fldChar w:fldCharType="separate"/>
      </w:r>
      <w:r>
        <w:rPr>
          <w:rFonts w:ascii="宋体" w:hAnsi="宋体" w:eastAsia="宋体" w:cs="宋体"/>
          <w:sz w:val="20"/>
          <w:szCs w:val="20"/>
        </w:rPr>
        <w:t>绿地·外</w:t>
      </w:r>
      <w:r>
        <w:rPr>
          <w:rFonts w:ascii="宋体" w:hAnsi="宋体" w:eastAsia="宋体" w:cs="宋体"/>
          <w:sz w:val="20"/>
          <w:szCs w:val="20"/>
        </w:rPr>
        <w:fldChar w:fldCharType="end"/>
      </w:r>
      <w:r>
        <w:rPr>
          <w:rFonts w:ascii="宋体" w:hAnsi="宋体" w:eastAsia="宋体" w:cs="宋体"/>
          <w:sz w:val="20"/>
          <w:szCs w:val="20"/>
        </w:rPr>
        <w:t xml:space="preserve"> </w:t>
      </w:r>
      <w:r>
        <w:rPr>
          <w:rFonts w:ascii="宋体" w:hAnsi="宋体" w:eastAsia="宋体" w:cs="宋体"/>
          <w:spacing w:val="6"/>
          <w:sz w:val="20"/>
          <w:szCs w:val="20"/>
        </w:rPr>
        <w:t xml:space="preserve">滩名门”居住小区 </w:t>
      </w:r>
      <w:r>
        <w:rPr>
          <w:rFonts w:ascii="Times New Roman" w:hAnsi="Times New Roman" w:eastAsia="Times New Roman" w:cs="Times New Roman"/>
          <w:spacing w:val="6"/>
          <w:sz w:val="20"/>
          <w:szCs w:val="20"/>
        </w:rPr>
        <w:t>6#~ 10#</w:t>
      </w:r>
      <w:r>
        <w:rPr>
          <w:rFonts w:ascii="宋体" w:hAnsi="宋体" w:eastAsia="宋体" w:cs="宋体"/>
          <w:spacing w:val="6"/>
          <w:sz w:val="20"/>
          <w:szCs w:val="20"/>
        </w:rPr>
        <w:t>楼、滨河路建成时间不确定，且滨河路后期的建设等级是否发生变</w:t>
      </w:r>
      <w:r>
        <w:rPr>
          <w:rFonts w:ascii="宋体" w:hAnsi="宋体" w:eastAsia="宋体" w:cs="宋体"/>
          <w:spacing w:val="5"/>
          <w:sz w:val="20"/>
          <w:szCs w:val="20"/>
        </w:rPr>
        <w:t>化</w:t>
      </w:r>
      <w:r>
        <w:rPr>
          <w:rFonts w:ascii="宋体" w:hAnsi="宋体" w:eastAsia="宋体" w:cs="宋体"/>
          <w:sz w:val="20"/>
          <w:szCs w:val="20"/>
        </w:rPr>
        <w:t>等</w:t>
      </w:r>
    </w:p>
    <w:p>
      <w:pPr>
        <w:spacing w:before="2" w:line="369" w:lineRule="auto"/>
        <w:ind w:right="2"/>
        <w:rPr>
          <w:rFonts w:ascii="宋体" w:hAnsi="宋体" w:eastAsia="宋体" w:cs="宋体"/>
          <w:sz w:val="20"/>
          <w:szCs w:val="20"/>
        </w:rPr>
      </w:pPr>
      <w:r>
        <w:rPr>
          <w:rFonts w:ascii="宋体" w:hAnsi="宋体" w:eastAsia="宋体" w:cs="宋体"/>
          <w:spacing w:val="20"/>
          <w:sz w:val="20"/>
          <w:szCs w:val="20"/>
        </w:rPr>
        <w:t>均</w:t>
      </w:r>
      <w:r>
        <w:rPr>
          <w:rFonts w:ascii="宋体" w:hAnsi="宋体" w:eastAsia="宋体" w:cs="宋体"/>
          <w:spacing w:val="12"/>
          <w:sz w:val="20"/>
          <w:szCs w:val="20"/>
        </w:rPr>
        <w:t>不</w:t>
      </w:r>
      <w:r>
        <w:rPr>
          <w:rFonts w:ascii="宋体" w:hAnsi="宋体" w:eastAsia="宋体" w:cs="宋体"/>
          <w:spacing w:val="10"/>
          <w:sz w:val="20"/>
          <w:szCs w:val="20"/>
        </w:rPr>
        <w:t>确定。因此，在本项目投入使用后，再根据实际情况合理确定项目临近居民楼等区域的声环</w:t>
      </w:r>
      <w:r>
        <w:rPr>
          <w:rFonts w:ascii="宋体" w:hAnsi="宋体" w:eastAsia="宋体" w:cs="宋体"/>
          <w:sz w:val="20"/>
          <w:szCs w:val="20"/>
        </w:rPr>
        <w:t xml:space="preserve"> </w:t>
      </w:r>
      <w:r>
        <w:rPr>
          <w:rFonts w:ascii="宋体" w:hAnsi="宋体" w:eastAsia="宋体" w:cs="宋体"/>
          <w:spacing w:val="12"/>
          <w:sz w:val="20"/>
          <w:szCs w:val="20"/>
        </w:rPr>
        <w:t>境</w:t>
      </w:r>
      <w:r>
        <w:rPr>
          <w:rFonts w:ascii="宋体" w:hAnsi="宋体" w:eastAsia="宋体" w:cs="宋体"/>
          <w:spacing w:val="8"/>
          <w:sz w:val="20"/>
          <w:szCs w:val="20"/>
        </w:rPr>
        <w:t>类别以及执行的标准类别。</w:t>
      </w:r>
    </w:p>
    <w:p>
      <w:pPr>
        <w:spacing w:before="2" w:line="369" w:lineRule="auto"/>
        <w:ind w:right="2" w:firstLine="417"/>
        <w:rPr>
          <w:rFonts w:ascii="宋体" w:hAnsi="宋体" w:eastAsia="宋体" w:cs="宋体"/>
          <w:sz w:val="20"/>
          <w:szCs w:val="20"/>
        </w:rPr>
      </w:pPr>
      <w:r>
        <w:rPr>
          <w:rFonts w:ascii="宋体" w:hAnsi="宋体" w:eastAsia="宋体" w:cs="宋体"/>
          <w:spacing w:val="10"/>
          <w:sz w:val="20"/>
          <w:szCs w:val="20"/>
        </w:rPr>
        <w:t>③若</w:t>
      </w:r>
      <w:r>
        <w:rPr>
          <w:rFonts w:ascii="宋体" w:hAnsi="宋体" w:eastAsia="宋体" w:cs="宋体"/>
          <w:spacing w:val="5"/>
          <w:sz w:val="20"/>
          <w:szCs w:val="20"/>
        </w:rPr>
        <w:t>必须在噪声控制规划距离内新建居民住宅、学校、医院、居民区等敏感点时，应按照《中</w:t>
      </w:r>
      <w:r>
        <w:rPr>
          <w:rFonts w:ascii="宋体" w:hAnsi="宋体" w:eastAsia="宋体" w:cs="宋体"/>
          <w:sz w:val="20"/>
          <w:szCs w:val="20"/>
        </w:rPr>
        <w:t xml:space="preserve"> </w:t>
      </w:r>
      <w:r>
        <w:rPr>
          <w:rFonts w:ascii="宋体" w:hAnsi="宋体" w:eastAsia="宋体" w:cs="宋体"/>
          <w:spacing w:val="14"/>
          <w:sz w:val="20"/>
          <w:szCs w:val="20"/>
        </w:rPr>
        <w:t>华人民共</w:t>
      </w:r>
      <w:r>
        <w:rPr>
          <w:rFonts w:ascii="宋体" w:hAnsi="宋体" w:eastAsia="宋体" w:cs="宋体"/>
          <w:spacing w:val="10"/>
          <w:sz w:val="20"/>
          <w:szCs w:val="20"/>
        </w:rPr>
        <w:t>和</w:t>
      </w:r>
      <w:r>
        <w:rPr>
          <w:rFonts w:ascii="宋体" w:hAnsi="宋体" w:eastAsia="宋体" w:cs="宋体"/>
          <w:spacing w:val="7"/>
          <w:sz w:val="20"/>
          <w:szCs w:val="20"/>
        </w:rPr>
        <w:t>国环境噪声污染防治法》的规定， 由建设单位考虑优化建筑布局或合理规划临近道路</w:t>
      </w:r>
      <w:r>
        <w:rPr>
          <w:rFonts w:ascii="宋体" w:hAnsi="宋体" w:eastAsia="宋体" w:cs="宋体"/>
          <w:sz w:val="20"/>
          <w:szCs w:val="20"/>
        </w:rPr>
        <w:t xml:space="preserve"> </w:t>
      </w:r>
      <w:r>
        <w:rPr>
          <w:rFonts w:ascii="宋体" w:hAnsi="宋体" w:eastAsia="宋体" w:cs="宋体"/>
          <w:spacing w:val="20"/>
          <w:sz w:val="20"/>
          <w:szCs w:val="20"/>
        </w:rPr>
        <w:t>的</w:t>
      </w:r>
      <w:r>
        <w:rPr>
          <w:rFonts w:ascii="宋体" w:hAnsi="宋体" w:eastAsia="宋体" w:cs="宋体"/>
          <w:spacing w:val="12"/>
          <w:sz w:val="20"/>
          <w:szCs w:val="20"/>
        </w:rPr>
        <w:t>第</w:t>
      </w:r>
      <w:r>
        <w:rPr>
          <w:rFonts w:ascii="宋体" w:hAnsi="宋体" w:eastAsia="宋体" w:cs="宋体"/>
          <w:spacing w:val="10"/>
          <w:sz w:val="20"/>
          <w:szCs w:val="20"/>
        </w:rPr>
        <w:t>一排房屋的建筑使用功能，同时采取隔声、降噪治理措施，使室内环境能够达到相应的使用</w:t>
      </w:r>
      <w:r>
        <w:rPr>
          <w:rFonts w:ascii="宋体" w:hAnsi="宋体" w:eastAsia="宋体" w:cs="宋体"/>
          <w:sz w:val="20"/>
          <w:szCs w:val="20"/>
        </w:rPr>
        <w:t xml:space="preserve"> </w:t>
      </w:r>
      <w:r>
        <w:rPr>
          <w:rFonts w:ascii="宋体" w:hAnsi="宋体" w:eastAsia="宋体" w:cs="宋体"/>
          <w:spacing w:val="12"/>
          <w:sz w:val="20"/>
          <w:szCs w:val="20"/>
        </w:rPr>
        <w:t>功</w:t>
      </w:r>
      <w:r>
        <w:rPr>
          <w:rFonts w:ascii="宋体" w:hAnsi="宋体" w:eastAsia="宋体" w:cs="宋体"/>
          <w:spacing w:val="7"/>
          <w:sz w:val="20"/>
          <w:szCs w:val="20"/>
        </w:rPr>
        <w:t>能噪声标准要求。</w:t>
      </w:r>
    </w:p>
    <w:p>
      <w:pPr>
        <w:spacing w:before="2" w:line="368" w:lineRule="auto"/>
        <w:ind w:right="2" w:firstLine="418"/>
        <w:rPr>
          <w:rFonts w:ascii="宋体" w:hAnsi="宋体" w:eastAsia="宋体" w:cs="宋体"/>
          <w:sz w:val="20"/>
          <w:szCs w:val="20"/>
        </w:rPr>
      </w:pPr>
      <w:r>
        <w:rPr>
          <w:rFonts w:ascii="宋体" w:hAnsi="宋体" w:eastAsia="宋体" w:cs="宋体"/>
          <w:spacing w:val="14"/>
          <w:sz w:val="20"/>
          <w:szCs w:val="20"/>
        </w:rPr>
        <w:t>④在设</w:t>
      </w:r>
      <w:r>
        <w:rPr>
          <w:rFonts w:ascii="宋体" w:hAnsi="宋体" w:eastAsia="宋体" w:cs="宋体"/>
          <w:spacing w:val="13"/>
          <w:sz w:val="20"/>
          <w:szCs w:val="20"/>
        </w:rPr>
        <w:t>计</w:t>
      </w:r>
      <w:r>
        <w:rPr>
          <w:rFonts w:ascii="宋体" w:hAnsi="宋体" w:eastAsia="宋体" w:cs="宋体"/>
          <w:spacing w:val="7"/>
          <w:sz w:val="20"/>
          <w:szCs w:val="20"/>
        </w:rPr>
        <w:t>住宅楼功能布局时，可将浴室、厨房和电梯间等辅助建筑布置在面向道路一侧， 以</w:t>
      </w:r>
      <w:r>
        <w:rPr>
          <w:rFonts w:ascii="宋体" w:hAnsi="宋体" w:eastAsia="宋体" w:cs="宋体"/>
          <w:sz w:val="20"/>
          <w:szCs w:val="20"/>
        </w:rPr>
        <w:t xml:space="preserve"> </w:t>
      </w:r>
      <w:r>
        <w:rPr>
          <w:rFonts w:ascii="宋体" w:hAnsi="宋体" w:eastAsia="宋体" w:cs="宋体"/>
          <w:spacing w:val="9"/>
          <w:sz w:val="20"/>
          <w:szCs w:val="20"/>
        </w:rPr>
        <w:t>减弱噪声对卧室、书房等敏感功能区的影响。</w:t>
      </w:r>
    </w:p>
    <w:p>
      <w:pPr>
        <w:spacing w:line="365" w:lineRule="auto"/>
        <w:ind w:left="1" w:right="2" w:firstLine="416"/>
        <w:rPr>
          <w:rFonts w:ascii="宋体" w:hAnsi="宋体" w:eastAsia="宋体" w:cs="宋体"/>
          <w:sz w:val="20"/>
          <w:szCs w:val="20"/>
        </w:rPr>
      </w:pPr>
      <w:r>
        <w:rPr>
          <w:rFonts w:ascii="宋体" w:hAnsi="宋体" w:eastAsia="宋体" w:cs="宋体"/>
          <w:spacing w:val="20"/>
          <w:sz w:val="20"/>
          <w:szCs w:val="20"/>
        </w:rPr>
        <w:t>⑤</w:t>
      </w:r>
      <w:r>
        <w:rPr>
          <w:rFonts w:ascii="宋体" w:hAnsi="宋体" w:eastAsia="宋体" w:cs="宋体"/>
          <w:spacing w:val="14"/>
          <w:sz w:val="20"/>
          <w:szCs w:val="20"/>
        </w:rPr>
        <w:t>在</w:t>
      </w:r>
      <w:r>
        <w:rPr>
          <w:rFonts w:ascii="宋体" w:hAnsi="宋体" w:eastAsia="宋体" w:cs="宋体"/>
          <w:spacing w:val="10"/>
          <w:sz w:val="20"/>
          <w:szCs w:val="20"/>
        </w:rPr>
        <w:t>设计学校时，将教学楼、宿舍楼、行政楼原理道路建设，将风雨操场、食堂等对噪声要</w:t>
      </w:r>
      <w:r>
        <w:rPr>
          <w:rFonts w:ascii="宋体" w:hAnsi="宋体" w:eastAsia="宋体" w:cs="宋体"/>
          <w:sz w:val="20"/>
          <w:szCs w:val="20"/>
        </w:rPr>
        <w:t xml:space="preserve"> </w:t>
      </w:r>
      <w:r>
        <w:rPr>
          <w:rFonts w:ascii="宋体" w:hAnsi="宋体" w:eastAsia="宋体" w:cs="宋体"/>
          <w:spacing w:val="15"/>
          <w:sz w:val="20"/>
          <w:szCs w:val="20"/>
        </w:rPr>
        <w:t>求</w:t>
      </w:r>
      <w:r>
        <w:rPr>
          <w:rFonts w:ascii="宋体" w:hAnsi="宋体" w:eastAsia="宋体" w:cs="宋体"/>
          <w:spacing w:val="8"/>
          <w:sz w:val="20"/>
          <w:szCs w:val="20"/>
        </w:rPr>
        <w:t>不高的建筑建于靠近道路一侧。</w:t>
      </w:r>
    </w:p>
    <w:p>
      <w:pPr>
        <w:spacing w:before="1" w:line="221" w:lineRule="auto"/>
        <w:ind w:left="2"/>
        <w:outlineLvl w:val="3"/>
        <w:rPr>
          <w:rFonts w:ascii="黑体" w:hAnsi="黑体" w:eastAsia="黑体" w:cs="黑体"/>
          <w:sz w:val="22"/>
          <w:szCs w:val="22"/>
        </w:rPr>
      </w:pPr>
      <w:r>
        <w:rPr>
          <w:rFonts w:ascii="Times New Roman" w:hAnsi="Times New Roman" w:eastAsia="Times New Roman" w:cs="Times New Roman"/>
          <w:spacing w:val="-1"/>
          <w:sz w:val="22"/>
          <w:szCs w:val="22"/>
        </w:rPr>
        <w:t xml:space="preserve">5.2.2    </w:t>
      </w:r>
      <w:r>
        <w:rPr>
          <w:rFonts w:ascii="黑体" w:hAnsi="黑体" w:eastAsia="黑体" w:cs="黑体"/>
          <w:sz w:val="22"/>
          <w:szCs w:val="22"/>
        </w:rPr>
        <w:t>营造绿化带</w:t>
      </w:r>
    </w:p>
    <w:p>
      <w:pPr>
        <w:spacing w:before="145" w:line="367" w:lineRule="auto"/>
        <w:ind w:right="2" w:firstLine="420"/>
        <w:rPr>
          <w:rFonts w:ascii="宋体" w:hAnsi="宋体" w:eastAsia="宋体" w:cs="宋体"/>
          <w:sz w:val="20"/>
          <w:szCs w:val="20"/>
        </w:rPr>
      </w:pPr>
      <w:r>
        <w:rPr>
          <w:rFonts w:ascii="宋体" w:hAnsi="宋体" w:eastAsia="宋体" w:cs="宋体"/>
          <w:spacing w:val="20"/>
          <w:sz w:val="20"/>
          <w:szCs w:val="20"/>
        </w:rPr>
        <w:t>种</w:t>
      </w:r>
      <w:r>
        <w:rPr>
          <w:rFonts w:ascii="宋体" w:hAnsi="宋体" w:eastAsia="宋体" w:cs="宋体"/>
          <w:spacing w:val="13"/>
          <w:sz w:val="20"/>
          <w:szCs w:val="20"/>
        </w:rPr>
        <w:t>植</w:t>
      </w:r>
      <w:r>
        <w:rPr>
          <w:rFonts w:ascii="宋体" w:hAnsi="宋体" w:eastAsia="宋体" w:cs="宋体"/>
          <w:spacing w:val="10"/>
          <w:sz w:val="20"/>
          <w:szCs w:val="20"/>
        </w:rPr>
        <w:t>绿化带不仅给乘车者和路线两侧的民众带来良好的视觉感受和心理作用，还具有一定的</w:t>
      </w:r>
      <w:r>
        <w:rPr>
          <w:rFonts w:ascii="宋体" w:hAnsi="宋体" w:eastAsia="宋体" w:cs="宋体"/>
          <w:sz w:val="20"/>
          <w:szCs w:val="20"/>
        </w:rPr>
        <w:t xml:space="preserve"> </w:t>
      </w:r>
      <w:r>
        <w:rPr>
          <w:rFonts w:ascii="宋体" w:hAnsi="宋体" w:eastAsia="宋体" w:cs="宋体"/>
          <w:spacing w:val="22"/>
          <w:sz w:val="20"/>
          <w:szCs w:val="20"/>
        </w:rPr>
        <w:t>降噪作</w:t>
      </w:r>
      <w:r>
        <w:rPr>
          <w:rFonts w:ascii="宋体" w:hAnsi="宋体" w:eastAsia="宋体" w:cs="宋体"/>
          <w:spacing w:val="11"/>
          <w:sz w:val="20"/>
          <w:szCs w:val="20"/>
        </w:rPr>
        <w:t>用。根据既有的测试结果，</w:t>
      </w:r>
      <w:r>
        <w:rPr>
          <w:rFonts w:ascii="Times New Roman" w:hAnsi="Times New Roman" w:eastAsia="Times New Roman" w:cs="Times New Roman"/>
          <w:spacing w:val="11"/>
          <w:sz w:val="20"/>
          <w:szCs w:val="20"/>
        </w:rPr>
        <w:t>10</w:t>
      </w:r>
      <w:r>
        <w:rPr>
          <w:rFonts w:ascii="宋体" w:hAnsi="宋体" w:eastAsia="宋体" w:cs="宋体"/>
          <w:spacing w:val="11"/>
          <w:sz w:val="20"/>
          <w:szCs w:val="20"/>
        </w:rPr>
        <w:t>~</w:t>
      </w:r>
      <w:r>
        <w:rPr>
          <w:rFonts w:ascii="Times New Roman" w:hAnsi="Times New Roman" w:eastAsia="Times New Roman" w:cs="Times New Roman"/>
          <w:spacing w:val="11"/>
          <w:sz w:val="20"/>
          <w:szCs w:val="20"/>
        </w:rPr>
        <w:t>30</w:t>
      </w:r>
      <w:r>
        <w:rPr>
          <w:rFonts w:ascii="Times New Roman" w:hAnsi="Times New Roman" w:eastAsia="Times New Roman" w:cs="Times New Roman"/>
          <w:sz w:val="20"/>
          <w:szCs w:val="20"/>
        </w:rPr>
        <w:t>m</w:t>
      </w:r>
      <w:r>
        <w:rPr>
          <w:rFonts w:ascii="Times New Roman" w:hAnsi="Times New Roman" w:eastAsia="Times New Roman" w:cs="Times New Roman"/>
          <w:spacing w:val="11"/>
          <w:sz w:val="20"/>
          <w:szCs w:val="20"/>
        </w:rPr>
        <w:t xml:space="preserve"> </w:t>
      </w:r>
      <w:r>
        <w:rPr>
          <w:rFonts w:ascii="宋体" w:hAnsi="宋体" w:eastAsia="宋体" w:cs="宋体"/>
          <w:spacing w:val="11"/>
          <w:sz w:val="20"/>
          <w:szCs w:val="20"/>
        </w:rPr>
        <w:t xml:space="preserve">的绿化林带可降噪 </w:t>
      </w:r>
      <w:r>
        <w:rPr>
          <w:rFonts w:ascii="Times New Roman" w:hAnsi="Times New Roman" w:eastAsia="Times New Roman" w:cs="Times New Roman"/>
          <w:spacing w:val="11"/>
          <w:sz w:val="20"/>
          <w:szCs w:val="20"/>
        </w:rPr>
        <w:t>1</w:t>
      </w:r>
      <w:r>
        <w:rPr>
          <w:rFonts w:ascii="宋体" w:hAnsi="宋体" w:eastAsia="宋体" w:cs="宋体"/>
          <w:spacing w:val="11"/>
          <w:sz w:val="20"/>
          <w:szCs w:val="20"/>
        </w:rPr>
        <w:t>~</w:t>
      </w:r>
      <w:r>
        <w:rPr>
          <w:rFonts w:ascii="Times New Roman" w:hAnsi="Times New Roman" w:eastAsia="Times New Roman" w:cs="Times New Roman"/>
          <w:spacing w:val="11"/>
          <w:sz w:val="20"/>
          <w:szCs w:val="20"/>
        </w:rPr>
        <w:t>3</w:t>
      </w:r>
      <w:r>
        <w:rPr>
          <w:rFonts w:ascii="Times New Roman" w:hAnsi="Times New Roman" w:eastAsia="Times New Roman" w:cs="Times New Roman"/>
          <w:sz w:val="20"/>
          <w:szCs w:val="20"/>
        </w:rPr>
        <w:t>dB</w:t>
      </w:r>
      <w:r>
        <w:rPr>
          <w:rFonts w:ascii="Times New Roman" w:hAnsi="Times New Roman" w:eastAsia="Times New Roman" w:cs="Times New Roman"/>
          <w:spacing w:val="11"/>
          <w:sz w:val="20"/>
          <w:szCs w:val="20"/>
        </w:rPr>
        <w:t xml:space="preserve">  </w:t>
      </w:r>
      <w:r>
        <w:rPr>
          <w:rFonts w:ascii="宋体" w:hAnsi="宋体" w:eastAsia="宋体" w:cs="宋体"/>
          <w:spacing w:val="11"/>
          <w:sz w:val="20"/>
          <w:szCs w:val="20"/>
        </w:rPr>
        <w:t>(</w:t>
      </w:r>
      <w:r>
        <w:rPr>
          <w:rFonts w:ascii="Times New Roman" w:hAnsi="Times New Roman" w:eastAsia="Times New Roman" w:cs="Times New Roman"/>
          <w:sz w:val="20"/>
          <w:szCs w:val="20"/>
        </w:rPr>
        <w:t>A</w:t>
      </w:r>
      <w:r>
        <w:rPr>
          <w:rFonts w:ascii="宋体" w:hAnsi="宋体" w:eastAsia="宋体" w:cs="宋体"/>
          <w:spacing w:val="11"/>
          <w:sz w:val="20"/>
          <w:szCs w:val="20"/>
        </w:rPr>
        <w:t>) 。如果有可能，在桥</w:t>
      </w:r>
      <w:r>
        <w:rPr>
          <w:rFonts w:ascii="宋体" w:hAnsi="宋体" w:eastAsia="宋体" w:cs="宋体"/>
          <w:sz w:val="20"/>
          <w:szCs w:val="20"/>
        </w:rPr>
        <w:t xml:space="preserve"> </w:t>
      </w:r>
      <w:r>
        <w:rPr>
          <w:rFonts w:ascii="宋体" w:hAnsi="宋体" w:eastAsia="宋体" w:cs="宋体"/>
          <w:spacing w:val="20"/>
          <w:sz w:val="20"/>
          <w:szCs w:val="20"/>
        </w:rPr>
        <w:t>梁</w:t>
      </w:r>
      <w:r>
        <w:rPr>
          <w:rFonts w:ascii="宋体" w:hAnsi="宋体" w:eastAsia="宋体" w:cs="宋体"/>
          <w:spacing w:val="13"/>
          <w:sz w:val="20"/>
          <w:szCs w:val="20"/>
        </w:rPr>
        <w:t>两</w:t>
      </w:r>
      <w:r>
        <w:rPr>
          <w:rFonts w:ascii="宋体" w:hAnsi="宋体" w:eastAsia="宋体" w:cs="宋体"/>
          <w:spacing w:val="10"/>
          <w:sz w:val="20"/>
          <w:szCs w:val="20"/>
        </w:rPr>
        <w:t>端与居民小区之间尽可能地营造绿化带。栽种行道树，种植常绿、密集的林带，这样既可美</w:t>
      </w:r>
      <w:r>
        <w:rPr>
          <w:rFonts w:ascii="宋体" w:hAnsi="宋体" w:eastAsia="宋体" w:cs="宋体"/>
          <w:sz w:val="20"/>
          <w:szCs w:val="20"/>
        </w:rPr>
        <w:t xml:space="preserve"> </w:t>
      </w:r>
      <w:r>
        <w:rPr>
          <w:rFonts w:ascii="宋体" w:hAnsi="宋体" w:eastAsia="宋体" w:cs="宋体"/>
          <w:spacing w:val="16"/>
          <w:sz w:val="20"/>
          <w:szCs w:val="20"/>
        </w:rPr>
        <w:t>化</w:t>
      </w:r>
      <w:r>
        <w:rPr>
          <w:rFonts w:ascii="宋体" w:hAnsi="宋体" w:eastAsia="宋体" w:cs="宋体"/>
          <w:spacing w:val="12"/>
          <w:sz w:val="20"/>
          <w:szCs w:val="20"/>
        </w:rPr>
        <w:t>环</w:t>
      </w:r>
      <w:r>
        <w:rPr>
          <w:rFonts w:ascii="宋体" w:hAnsi="宋体" w:eastAsia="宋体" w:cs="宋体"/>
          <w:spacing w:val="8"/>
          <w:sz w:val="20"/>
          <w:szCs w:val="20"/>
        </w:rPr>
        <w:t>境，又可产生一定的降噪效果。</w:t>
      </w:r>
    </w:p>
    <w:p>
      <w:pPr>
        <w:spacing w:line="222" w:lineRule="auto"/>
        <w:ind w:left="2"/>
        <w:outlineLvl w:val="3"/>
        <w:rPr>
          <w:rFonts w:ascii="黑体" w:hAnsi="黑体" w:eastAsia="黑体" w:cs="黑体"/>
          <w:sz w:val="22"/>
          <w:szCs w:val="22"/>
        </w:rPr>
      </w:pPr>
      <w:r>
        <w:rPr>
          <w:rFonts w:ascii="Times New Roman" w:hAnsi="Times New Roman" w:eastAsia="Times New Roman" w:cs="Times New Roman"/>
          <w:spacing w:val="-1"/>
          <w:sz w:val="22"/>
          <w:szCs w:val="22"/>
        </w:rPr>
        <w:t xml:space="preserve">5.2.3    </w:t>
      </w:r>
      <w:r>
        <w:rPr>
          <w:rFonts w:ascii="黑体" w:hAnsi="黑体" w:eastAsia="黑体" w:cs="黑体"/>
          <w:sz w:val="22"/>
          <w:szCs w:val="22"/>
        </w:rPr>
        <w:t>噪声污染治理措施</w:t>
      </w:r>
    </w:p>
    <w:p>
      <w:pPr>
        <w:spacing w:before="144" w:line="373" w:lineRule="auto"/>
        <w:ind w:right="2" w:firstLine="419"/>
        <w:rPr>
          <w:rFonts w:ascii="宋体" w:hAnsi="宋体" w:eastAsia="宋体" w:cs="宋体"/>
          <w:sz w:val="20"/>
          <w:szCs w:val="20"/>
        </w:rPr>
      </w:pPr>
      <w:r>
        <w:rPr>
          <w:rFonts w:ascii="宋体" w:hAnsi="宋体" w:eastAsia="宋体" w:cs="宋体"/>
          <w:spacing w:val="11"/>
          <w:sz w:val="20"/>
          <w:szCs w:val="20"/>
        </w:rPr>
        <w:t>根据我国环境保护贯彻</w:t>
      </w:r>
      <w:r>
        <w:rPr>
          <w:rFonts w:ascii="Times New Roman" w:hAnsi="Times New Roman" w:eastAsia="Times New Roman" w:cs="Times New Roman"/>
          <w:spacing w:val="11"/>
          <w:sz w:val="20"/>
          <w:szCs w:val="20"/>
        </w:rPr>
        <w:t>“</w:t>
      </w:r>
      <w:r>
        <w:rPr>
          <w:rFonts w:ascii="宋体" w:hAnsi="宋体" w:eastAsia="宋体" w:cs="宋体"/>
          <w:spacing w:val="11"/>
          <w:sz w:val="20"/>
          <w:szCs w:val="20"/>
        </w:rPr>
        <w:t>预防为主、防治结合、综合治理</w:t>
      </w:r>
      <w:r>
        <w:rPr>
          <w:rFonts w:ascii="Times New Roman" w:hAnsi="Times New Roman" w:eastAsia="Times New Roman" w:cs="Times New Roman"/>
          <w:spacing w:val="11"/>
          <w:sz w:val="20"/>
          <w:szCs w:val="20"/>
        </w:rPr>
        <w:t>”</w:t>
      </w:r>
      <w:r>
        <w:rPr>
          <w:rFonts w:ascii="宋体" w:hAnsi="宋体" w:eastAsia="宋体" w:cs="宋体"/>
          <w:spacing w:val="11"/>
          <w:sz w:val="20"/>
          <w:szCs w:val="20"/>
        </w:rPr>
        <w:t>和</w:t>
      </w:r>
      <w:r>
        <w:rPr>
          <w:rFonts w:ascii="Times New Roman" w:hAnsi="Times New Roman" w:eastAsia="Times New Roman" w:cs="Times New Roman"/>
          <w:spacing w:val="11"/>
          <w:sz w:val="20"/>
          <w:szCs w:val="20"/>
        </w:rPr>
        <w:t>“</w:t>
      </w:r>
      <w:r>
        <w:rPr>
          <w:rFonts w:ascii="宋体" w:hAnsi="宋体" w:eastAsia="宋体" w:cs="宋体"/>
          <w:spacing w:val="11"/>
          <w:sz w:val="20"/>
          <w:szCs w:val="20"/>
        </w:rPr>
        <w:t>谁污染谁治理</w:t>
      </w:r>
      <w:r>
        <w:rPr>
          <w:rFonts w:ascii="Times New Roman" w:hAnsi="Times New Roman" w:eastAsia="Times New Roman" w:cs="Times New Roman"/>
          <w:spacing w:val="11"/>
          <w:sz w:val="20"/>
          <w:szCs w:val="20"/>
        </w:rPr>
        <w:t>”</w:t>
      </w:r>
      <w:r>
        <w:rPr>
          <w:rFonts w:ascii="宋体" w:hAnsi="宋体" w:eastAsia="宋体" w:cs="宋体"/>
          <w:spacing w:val="11"/>
          <w:sz w:val="20"/>
          <w:szCs w:val="20"/>
        </w:rPr>
        <w:t>的基本原则，</w:t>
      </w:r>
      <w:r>
        <w:rPr>
          <w:rFonts w:ascii="宋体" w:hAnsi="宋体" w:eastAsia="宋体" w:cs="宋体"/>
          <w:spacing w:val="7"/>
          <w:sz w:val="20"/>
          <w:szCs w:val="20"/>
        </w:rPr>
        <w:t>同</w:t>
      </w:r>
      <w:r>
        <w:rPr>
          <w:rFonts w:ascii="宋体" w:hAnsi="宋体" w:eastAsia="宋体" w:cs="宋体"/>
          <w:sz w:val="20"/>
          <w:szCs w:val="20"/>
        </w:rPr>
        <w:t xml:space="preserve"> </w:t>
      </w:r>
      <w:r>
        <w:rPr>
          <w:rFonts w:ascii="宋体" w:hAnsi="宋体" w:eastAsia="宋体" w:cs="宋体"/>
          <w:spacing w:val="20"/>
          <w:sz w:val="20"/>
          <w:szCs w:val="20"/>
        </w:rPr>
        <w:t>时</w:t>
      </w:r>
      <w:r>
        <w:rPr>
          <w:rFonts w:ascii="宋体" w:hAnsi="宋体" w:eastAsia="宋体" w:cs="宋体"/>
          <w:spacing w:val="12"/>
          <w:sz w:val="20"/>
          <w:szCs w:val="20"/>
        </w:rPr>
        <w:t>结</w:t>
      </w:r>
      <w:r>
        <w:rPr>
          <w:rFonts w:ascii="宋体" w:hAnsi="宋体" w:eastAsia="宋体" w:cs="宋体"/>
          <w:spacing w:val="10"/>
          <w:sz w:val="20"/>
          <w:szCs w:val="20"/>
        </w:rPr>
        <w:t>合本工程区域的特点，以本项目满足沿线声环境功能区划为噪声污染治理的原则。噪声控制</w:t>
      </w:r>
      <w:r>
        <w:rPr>
          <w:rFonts w:ascii="宋体" w:hAnsi="宋体" w:eastAsia="宋体" w:cs="宋体"/>
          <w:sz w:val="20"/>
          <w:szCs w:val="20"/>
        </w:rPr>
        <w:t xml:space="preserve"> </w:t>
      </w:r>
      <w:r>
        <w:rPr>
          <w:rFonts w:ascii="宋体" w:hAnsi="宋体" w:eastAsia="宋体" w:cs="宋体"/>
          <w:spacing w:val="20"/>
          <w:sz w:val="20"/>
          <w:szCs w:val="20"/>
        </w:rPr>
        <w:t>以</w:t>
      </w:r>
      <w:r>
        <w:rPr>
          <w:rFonts w:ascii="宋体" w:hAnsi="宋体" w:eastAsia="宋体" w:cs="宋体"/>
          <w:spacing w:val="12"/>
          <w:sz w:val="20"/>
          <w:szCs w:val="20"/>
        </w:rPr>
        <w:t>中</w:t>
      </w:r>
      <w:r>
        <w:rPr>
          <w:rFonts w:ascii="宋体" w:hAnsi="宋体" w:eastAsia="宋体" w:cs="宋体"/>
          <w:spacing w:val="10"/>
          <w:sz w:val="20"/>
          <w:szCs w:val="20"/>
        </w:rPr>
        <w:t>期预测结果为依据。根据高家坝片区发展规划，在考虑西端拟建滨河路已规划建筑物的实际</w:t>
      </w:r>
      <w:r>
        <w:rPr>
          <w:rFonts w:ascii="宋体" w:hAnsi="宋体" w:eastAsia="宋体" w:cs="宋体"/>
          <w:sz w:val="20"/>
          <w:szCs w:val="20"/>
        </w:rPr>
        <w:t xml:space="preserve"> </w:t>
      </w:r>
      <w:r>
        <w:rPr>
          <w:rFonts w:ascii="宋体" w:hAnsi="宋体" w:eastAsia="宋体" w:cs="宋体"/>
          <w:spacing w:val="18"/>
          <w:sz w:val="20"/>
          <w:szCs w:val="20"/>
        </w:rPr>
        <w:t>情况，</w:t>
      </w:r>
      <w:r>
        <w:rPr>
          <w:rFonts w:ascii="宋体" w:hAnsi="宋体" w:eastAsia="宋体" w:cs="宋体"/>
          <w:spacing w:val="12"/>
          <w:sz w:val="20"/>
          <w:szCs w:val="20"/>
        </w:rPr>
        <w:t>对</w:t>
      </w:r>
      <w:r>
        <w:rPr>
          <w:rFonts w:ascii="宋体" w:hAnsi="宋体" w:eastAsia="宋体" w:cs="宋体"/>
          <w:spacing w:val="9"/>
          <w:sz w:val="20"/>
          <w:szCs w:val="20"/>
        </w:rPr>
        <w:t xml:space="preserve">桥梁两端 </w:t>
      </w:r>
      <w:r>
        <w:rPr>
          <w:rFonts w:ascii="Times New Roman" w:hAnsi="Times New Roman" w:eastAsia="Times New Roman" w:cs="Times New Roman"/>
          <w:spacing w:val="9"/>
          <w:sz w:val="20"/>
          <w:szCs w:val="20"/>
        </w:rPr>
        <w:t>200</w:t>
      </w:r>
      <w:r>
        <w:rPr>
          <w:rFonts w:ascii="Times New Roman" w:hAnsi="Times New Roman" w:eastAsia="Times New Roman" w:cs="Times New Roman"/>
          <w:sz w:val="20"/>
          <w:szCs w:val="20"/>
        </w:rPr>
        <w:t>m</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内的所有环境敏感保护目标进行了噪声预测。根据噪声预测结果：桥梁</w:t>
      </w:r>
      <w:r>
        <w:rPr>
          <w:rFonts w:ascii="宋体" w:hAnsi="宋体" w:eastAsia="宋体" w:cs="宋体"/>
          <w:sz w:val="20"/>
          <w:szCs w:val="20"/>
        </w:rPr>
        <w:t xml:space="preserve"> </w:t>
      </w:r>
      <w:r>
        <w:rPr>
          <w:rFonts w:ascii="宋体" w:hAnsi="宋体" w:eastAsia="宋体" w:cs="宋体"/>
          <w:spacing w:val="20"/>
          <w:sz w:val="20"/>
          <w:szCs w:val="20"/>
        </w:rPr>
        <w:t>中</w:t>
      </w:r>
      <w:r>
        <w:rPr>
          <w:rFonts w:ascii="宋体" w:hAnsi="宋体" w:eastAsia="宋体" w:cs="宋体"/>
          <w:spacing w:val="12"/>
          <w:sz w:val="20"/>
          <w:szCs w:val="20"/>
        </w:rPr>
        <w:t>后</w:t>
      </w:r>
      <w:r>
        <w:rPr>
          <w:rFonts w:ascii="宋体" w:hAnsi="宋体" w:eastAsia="宋体" w:cs="宋体"/>
          <w:spacing w:val="10"/>
          <w:sz w:val="20"/>
          <w:szCs w:val="20"/>
        </w:rPr>
        <w:t>期在达到设计预测的交通量时，环境敏感点噪声预测值较现状值有一定的增加，会出现“绿</w:t>
      </w:r>
    </w:p>
    <w:p>
      <w:pPr>
        <w:sectPr>
          <w:footerReference r:id="rId144" w:type="default"/>
          <w:pgSz w:w="11906" w:h="16839"/>
          <w:pgMar w:top="400" w:right="1530" w:bottom="1253" w:left="1539" w:header="0" w:footer="1066" w:gutter="0"/>
          <w:cols w:space="720" w:num="1"/>
        </w:sect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65" w:line="371" w:lineRule="auto"/>
        <w:ind w:left="1" w:right="68" w:hanging="1"/>
        <w:rPr>
          <w:rFonts w:ascii="宋体" w:hAnsi="宋体" w:eastAsia="宋体" w:cs="宋体"/>
          <w:sz w:val="20"/>
          <w:szCs w:val="20"/>
        </w:rPr>
      </w:pPr>
      <w:r>
        <w:rPr>
          <w:rFonts w:ascii="宋体" w:hAnsi="宋体" w:eastAsia="宋体" w:cs="宋体"/>
          <w:spacing w:val="12"/>
          <w:sz w:val="20"/>
          <w:szCs w:val="20"/>
        </w:rPr>
        <w:t>地</w:t>
      </w:r>
      <w:r>
        <w:rPr>
          <w:rFonts w:ascii="宋体" w:hAnsi="宋体" w:eastAsia="宋体" w:cs="宋体"/>
          <w:spacing w:val="10"/>
          <w:sz w:val="20"/>
          <w:szCs w:val="20"/>
        </w:rPr>
        <w:t xml:space="preserve"> </w:t>
      </w:r>
      <w:r>
        <w:rPr>
          <w:rFonts w:ascii="宋体" w:hAnsi="宋体" w:eastAsia="宋体" w:cs="宋体"/>
          <w:spacing w:val="6"/>
          <w:sz w:val="20"/>
          <w:szCs w:val="20"/>
        </w:rPr>
        <w:t xml:space="preserve">·外滩名门”小区 </w:t>
      </w:r>
      <w:r>
        <w:rPr>
          <w:rFonts w:ascii="Times New Roman" w:hAnsi="Times New Roman" w:eastAsia="Times New Roman" w:cs="Times New Roman"/>
          <w:spacing w:val="6"/>
          <w:sz w:val="20"/>
          <w:szCs w:val="20"/>
        </w:rPr>
        <w:t>8#</w:t>
      </w:r>
      <w:r>
        <w:rPr>
          <w:rFonts w:ascii="宋体" w:hAnsi="宋体" w:eastAsia="宋体" w:cs="宋体"/>
          <w:spacing w:val="6"/>
          <w:sz w:val="20"/>
          <w:szCs w:val="20"/>
        </w:rPr>
        <w:t>楼部分楼层处室外夜间噪声值不满足《声环境质量标准》</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类标准限值，</w:t>
      </w:r>
      <w:r>
        <w:rPr>
          <w:rFonts w:ascii="宋体" w:hAnsi="宋体" w:eastAsia="宋体" w:cs="宋体"/>
          <w:sz w:val="20"/>
          <w:szCs w:val="20"/>
        </w:rPr>
        <w:t xml:space="preserve"> </w:t>
      </w:r>
      <w:r>
        <w:rPr>
          <w:rFonts w:ascii="宋体" w:hAnsi="宋体" w:eastAsia="宋体" w:cs="宋体"/>
          <w:spacing w:val="16"/>
          <w:sz w:val="20"/>
          <w:szCs w:val="20"/>
        </w:rPr>
        <w:t>最大</w:t>
      </w:r>
      <w:r>
        <w:rPr>
          <w:rFonts w:ascii="宋体" w:hAnsi="宋体" w:eastAsia="宋体" w:cs="宋体"/>
          <w:spacing w:val="14"/>
          <w:sz w:val="20"/>
          <w:szCs w:val="20"/>
        </w:rPr>
        <w:t>超</w:t>
      </w:r>
      <w:r>
        <w:rPr>
          <w:rFonts w:ascii="宋体" w:hAnsi="宋体" w:eastAsia="宋体" w:cs="宋体"/>
          <w:spacing w:val="8"/>
          <w:sz w:val="20"/>
          <w:szCs w:val="20"/>
        </w:rPr>
        <w:t xml:space="preserve">标 </w:t>
      </w:r>
      <w:r>
        <w:rPr>
          <w:rFonts w:ascii="Times New Roman" w:hAnsi="Times New Roman" w:eastAsia="Times New Roman" w:cs="Times New Roman"/>
          <w:spacing w:val="8"/>
          <w:sz w:val="20"/>
          <w:szCs w:val="20"/>
        </w:rPr>
        <w:t>0. 12</w:t>
      </w:r>
      <w:r>
        <w:rPr>
          <w:rFonts w:ascii="Times New Roman" w:hAnsi="Times New Roman" w:eastAsia="Times New Roman" w:cs="Times New Roman"/>
          <w:sz w:val="20"/>
          <w:szCs w:val="20"/>
        </w:rPr>
        <w:t>dB</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w:t>
      </w:r>
      <w:r>
        <w:rPr>
          <w:rFonts w:ascii="Times New Roman" w:hAnsi="Times New Roman" w:eastAsia="Times New Roman" w:cs="Times New Roman"/>
          <w:sz w:val="20"/>
          <w:szCs w:val="20"/>
        </w:rPr>
        <w:t>A</w:t>
      </w:r>
      <w:r>
        <w:rPr>
          <w:rFonts w:ascii="宋体" w:hAnsi="宋体" w:eastAsia="宋体" w:cs="宋体"/>
          <w:spacing w:val="8"/>
          <w:sz w:val="20"/>
          <w:szCs w:val="20"/>
        </w:rPr>
        <w:t>) ，通过楼栋墙体隔声后，在建筑物内可以满足《声环境质量标准》</w:t>
      </w: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类标</w:t>
      </w:r>
      <w:r>
        <w:rPr>
          <w:rFonts w:ascii="宋体" w:hAnsi="宋体" w:eastAsia="宋体" w:cs="宋体"/>
          <w:sz w:val="20"/>
          <w:szCs w:val="20"/>
        </w:rPr>
        <w:t xml:space="preserve"> </w:t>
      </w:r>
      <w:r>
        <w:rPr>
          <w:rFonts w:ascii="宋体" w:hAnsi="宋体" w:eastAsia="宋体" w:cs="宋体"/>
          <w:spacing w:val="18"/>
          <w:sz w:val="20"/>
          <w:szCs w:val="20"/>
        </w:rPr>
        <w:t>准限</w:t>
      </w:r>
      <w:r>
        <w:rPr>
          <w:rFonts w:ascii="宋体" w:hAnsi="宋体" w:eastAsia="宋体" w:cs="宋体"/>
          <w:spacing w:val="9"/>
          <w:sz w:val="20"/>
          <w:szCs w:val="20"/>
        </w:rPr>
        <w:t>值，因此不考虑设置隔声屏障或隔声窗等措施。针对项目的实际情况，要求采取以下措施：</w:t>
      </w:r>
    </w:p>
    <w:p>
      <w:pPr>
        <w:spacing w:before="29" w:line="365" w:lineRule="auto"/>
        <w:ind w:firstLine="493"/>
        <w:rPr>
          <w:rFonts w:ascii="宋体" w:hAnsi="宋体" w:eastAsia="宋体" w:cs="宋体"/>
          <w:sz w:val="20"/>
          <w:szCs w:val="20"/>
        </w:rPr>
      </w:pPr>
      <w:r>
        <w:rPr>
          <w:rFonts w:ascii="宋体" w:hAnsi="宋体" w:eastAsia="宋体" w:cs="宋体"/>
          <w:spacing w:val="18"/>
          <w:sz w:val="17"/>
          <w:szCs w:val="17"/>
        </w:rPr>
        <w:t xml:space="preserve">1 </w:t>
      </w:r>
      <w:r>
        <w:rPr>
          <w:rFonts w:ascii="宋体" w:hAnsi="宋体" w:eastAsia="宋体" w:cs="宋体"/>
          <w:spacing w:val="14"/>
          <w:sz w:val="17"/>
          <w:szCs w:val="17"/>
        </w:rPr>
        <w:t xml:space="preserve"> </w:t>
      </w:r>
      <w:r>
        <w:rPr>
          <w:rFonts w:ascii="宋体" w:hAnsi="宋体" w:eastAsia="宋体" w:cs="宋体"/>
          <w:spacing w:val="9"/>
          <w:sz w:val="17"/>
          <w:szCs w:val="17"/>
        </w:rPr>
        <w:t xml:space="preserve"> </w:t>
      </w:r>
      <w:r>
        <w:rPr>
          <w:rFonts w:ascii="宋体" w:hAnsi="宋体" w:eastAsia="宋体" w:cs="宋体"/>
          <w:spacing w:val="9"/>
          <w:sz w:val="20"/>
          <w:szCs w:val="20"/>
        </w:rPr>
        <w:t>声源控制。优先采用主动方式控制噪声，推荐采用低噪声的改性沥青混凝土路面等工程</w:t>
      </w:r>
      <w:r>
        <w:rPr>
          <w:rFonts w:ascii="宋体" w:hAnsi="宋体" w:eastAsia="宋体" w:cs="宋体"/>
          <w:sz w:val="20"/>
          <w:szCs w:val="20"/>
        </w:rPr>
        <w:t xml:space="preserve"> </w:t>
      </w:r>
      <w:r>
        <w:rPr>
          <w:rFonts w:ascii="宋体" w:hAnsi="宋体" w:eastAsia="宋体" w:cs="宋体"/>
          <w:spacing w:val="5"/>
          <w:sz w:val="20"/>
          <w:szCs w:val="20"/>
        </w:rPr>
        <w:t>控制措施。根据相关试验结果表明，铺设这种吸声路面，可以使单车的噪声暴露级降低</w:t>
      </w:r>
      <w:r>
        <w:rPr>
          <w:rFonts w:ascii="Times New Roman" w:hAnsi="Times New Roman" w:eastAsia="Times New Roman" w:cs="Times New Roman"/>
          <w:spacing w:val="5"/>
          <w:sz w:val="20"/>
          <w:szCs w:val="20"/>
        </w:rPr>
        <w:t>3~5</w:t>
      </w:r>
      <w:r>
        <w:rPr>
          <w:rFonts w:ascii="Times New Roman" w:hAnsi="Times New Roman" w:eastAsia="Times New Roman" w:cs="Times New Roman"/>
          <w:sz w:val="20"/>
          <w:szCs w:val="20"/>
        </w:rPr>
        <w:t>dB</w:t>
      </w:r>
      <w:r>
        <w:rPr>
          <w:rFonts w:ascii="宋体" w:hAnsi="宋体" w:eastAsia="宋体" w:cs="宋体"/>
          <w:spacing w:val="5"/>
          <w:sz w:val="20"/>
          <w:szCs w:val="20"/>
        </w:rPr>
        <w:t>(</w:t>
      </w:r>
      <w:r>
        <w:rPr>
          <w:rFonts w:ascii="Times New Roman" w:hAnsi="Times New Roman" w:eastAsia="Times New Roman" w:cs="Times New Roman"/>
          <w:sz w:val="20"/>
          <w:szCs w:val="20"/>
        </w:rPr>
        <w:t>A</w:t>
      </w:r>
      <w:r>
        <w:rPr>
          <w:rFonts w:ascii="宋体" w:hAnsi="宋体" w:eastAsia="宋体" w:cs="宋体"/>
          <w:spacing w:val="5"/>
          <w:sz w:val="20"/>
          <w:szCs w:val="20"/>
        </w:rPr>
        <w:t>)</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14"/>
          <w:sz w:val="20"/>
          <w:szCs w:val="20"/>
        </w:rPr>
        <w:t>营</w:t>
      </w:r>
      <w:r>
        <w:rPr>
          <w:rFonts w:ascii="宋体" w:hAnsi="宋体" w:eastAsia="宋体" w:cs="宋体"/>
          <w:spacing w:val="9"/>
          <w:sz w:val="20"/>
          <w:szCs w:val="20"/>
        </w:rPr>
        <w:t>运过程中做好路面的维修保养，对受损路面应及时修复。</w:t>
      </w:r>
    </w:p>
    <w:p>
      <w:pPr>
        <w:spacing w:before="16" w:line="364" w:lineRule="auto"/>
        <w:ind w:left="2" w:right="68" w:firstLine="479"/>
        <w:rPr>
          <w:rFonts w:ascii="宋体" w:hAnsi="宋体" w:eastAsia="宋体" w:cs="宋体"/>
          <w:sz w:val="20"/>
          <w:szCs w:val="20"/>
        </w:rPr>
      </w:pPr>
      <w:r>
        <w:rPr>
          <w:rFonts w:ascii="宋体" w:hAnsi="宋体" w:eastAsia="宋体" w:cs="宋体"/>
          <w:spacing w:val="10"/>
          <w:sz w:val="17"/>
          <w:szCs w:val="17"/>
        </w:rPr>
        <w:t xml:space="preserve">2   </w:t>
      </w:r>
      <w:r>
        <w:rPr>
          <w:rFonts w:ascii="宋体" w:hAnsi="宋体" w:eastAsia="宋体" w:cs="宋体"/>
          <w:spacing w:val="10"/>
          <w:sz w:val="20"/>
          <w:szCs w:val="20"/>
        </w:rPr>
        <w:t>声传播途径控制。在桥梁两侧设防撞墙；大桥两端种植绿化带等措施。桥梁伸缩装置</w:t>
      </w:r>
      <w:r>
        <w:rPr>
          <w:rFonts w:ascii="宋体" w:hAnsi="宋体" w:eastAsia="宋体" w:cs="宋体"/>
          <w:spacing w:val="4"/>
          <w:sz w:val="20"/>
          <w:szCs w:val="20"/>
        </w:rPr>
        <w:t>建</w:t>
      </w:r>
      <w:r>
        <w:rPr>
          <w:rFonts w:ascii="宋体" w:hAnsi="宋体" w:eastAsia="宋体" w:cs="宋体"/>
          <w:sz w:val="20"/>
          <w:szCs w:val="20"/>
        </w:rPr>
        <w:t xml:space="preserve"> </w:t>
      </w:r>
      <w:r>
        <w:rPr>
          <w:rFonts w:ascii="宋体" w:hAnsi="宋体" w:eastAsia="宋体" w:cs="宋体"/>
          <w:spacing w:val="11"/>
          <w:sz w:val="20"/>
          <w:szCs w:val="20"/>
        </w:rPr>
        <w:t>议</w:t>
      </w:r>
      <w:r>
        <w:rPr>
          <w:rFonts w:ascii="宋体" w:hAnsi="宋体" w:eastAsia="宋体" w:cs="宋体"/>
          <w:spacing w:val="8"/>
          <w:sz w:val="20"/>
          <w:szCs w:val="20"/>
        </w:rPr>
        <w:t>采用《公路桥梁伸缩装置通用技术条件》  (</w:t>
      </w:r>
      <w:r>
        <w:rPr>
          <w:rFonts w:ascii="Times New Roman" w:hAnsi="Times New Roman" w:eastAsia="Times New Roman" w:cs="Times New Roman"/>
          <w:sz w:val="20"/>
          <w:szCs w:val="20"/>
        </w:rPr>
        <w:t>JT</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T</w:t>
      </w:r>
      <w:r>
        <w:rPr>
          <w:rFonts w:ascii="Times New Roman" w:hAnsi="Times New Roman" w:eastAsia="Times New Roman" w:cs="Times New Roman"/>
          <w:spacing w:val="8"/>
          <w:sz w:val="20"/>
          <w:szCs w:val="20"/>
        </w:rPr>
        <w:t>327-2016</w:t>
      </w:r>
      <w:r>
        <w:rPr>
          <w:rFonts w:ascii="宋体" w:hAnsi="宋体" w:eastAsia="宋体" w:cs="宋体"/>
          <w:spacing w:val="8"/>
          <w:sz w:val="20"/>
          <w:szCs w:val="20"/>
        </w:rPr>
        <w:t>) 中的无缝式伸缩装置，可最大程度</w:t>
      </w:r>
      <w:r>
        <w:rPr>
          <w:rFonts w:ascii="宋体" w:hAnsi="宋体" w:eastAsia="宋体" w:cs="宋体"/>
          <w:sz w:val="20"/>
          <w:szCs w:val="20"/>
        </w:rPr>
        <w:t xml:space="preserve"> </w:t>
      </w:r>
      <w:r>
        <w:rPr>
          <w:rFonts w:ascii="宋体" w:hAnsi="宋体" w:eastAsia="宋体" w:cs="宋体"/>
          <w:spacing w:val="11"/>
          <w:sz w:val="20"/>
          <w:szCs w:val="20"/>
        </w:rPr>
        <w:t>降</w:t>
      </w:r>
      <w:r>
        <w:rPr>
          <w:rFonts w:ascii="宋体" w:hAnsi="宋体" w:eastAsia="宋体" w:cs="宋体"/>
          <w:spacing w:val="8"/>
          <w:sz w:val="20"/>
          <w:szCs w:val="20"/>
        </w:rPr>
        <w:t>低桥梁接头处伸缩缝噪音。</w:t>
      </w:r>
    </w:p>
    <w:p>
      <w:pPr>
        <w:spacing w:before="15" w:line="369" w:lineRule="auto"/>
        <w:ind w:left="5" w:right="70" w:firstLine="477"/>
        <w:rPr>
          <w:rFonts w:ascii="宋体" w:hAnsi="宋体" w:eastAsia="宋体" w:cs="宋体"/>
          <w:sz w:val="20"/>
          <w:szCs w:val="20"/>
        </w:rPr>
      </w:pPr>
      <w:r>
        <w:rPr>
          <w:rFonts w:ascii="宋体" w:hAnsi="宋体" w:eastAsia="宋体" w:cs="宋体"/>
          <w:spacing w:val="18"/>
          <w:sz w:val="17"/>
          <w:szCs w:val="17"/>
        </w:rPr>
        <w:t xml:space="preserve">3  </w:t>
      </w:r>
      <w:r>
        <w:rPr>
          <w:rFonts w:ascii="宋体" w:hAnsi="宋体" w:eastAsia="宋体" w:cs="宋体"/>
          <w:spacing w:val="15"/>
          <w:sz w:val="17"/>
          <w:szCs w:val="17"/>
        </w:rPr>
        <w:t xml:space="preserve"> </w:t>
      </w:r>
      <w:r>
        <w:rPr>
          <w:rFonts w:ascii="宋体" w:hAnsi="宋体" w:eastAsia="宋体" w:cs="宋体"/>
          <w:spacing w:val="9"/>
          <w:sz w:val="20"/>
          <w:szCs w:val="20"/>
        </w:rPr>
        <w:t>强化管理。在桥梁两端入口处，设置减速带、限速、限载及禁止鸣笛的标志；加强交通</w:t>
      </w:r>
      <w:r>
        <w:rPr>
          <w:rFonts w:ascii="宋体" w:hAnsi="宋体" w:eastAsia="宋体" w:cs="宋体"/>
          <w:sz w:val="20"/>
          <w:szCs w:val="20"/>
        </w:rPr>
        <w:t xml:space="preserve"> </w:t>
      </w:r>
      <w:r>
        <w:rPr>
          <w:rFonts w:ascii="宋体" w:hAnsi="宋体" w:eastAsia="宋体" w:cs="宋体"/>
          <w:spacing w:val="16"/>
          <w:sz w:val="20"/>
          <w:szCs w:val="20"/>
        </w:rPr>
        <w:t>管</w:t>
      </w:r>
      <w:r>
        <w:rPr>
          <w:rFonts w:ascii="宋体" w:hAnsi="宋体" w:eastAsia="宋体" w:cs="宋体"/>
          <w:spacing w:val="11"/>
          <w:sz w:val="20"/>
          <w:szCs w:val="20"/>
        </w:rPr>
        <w:t>理</w:t>
      </w:r>
      <w:r>
        <w:rPr>
          <w:rFonts w:ascii="宋体" w:hAnsi="宋体" w:eastAsia="宋体" w:cs="宋体"/>
          <w:spacing w:val="8"/>
          <w:sz w:val="20"/>
          <w:szCs w:val="20"/>
        </w:rPr>
        <w:t>，避免因交通拥堵而造成噪声超标。</w:t>
      </w:r>
    </w:p>
    <w:p>
      <w:pPr>
        <w:spacing w:before="1" w:line="368" w:lineRule="auto"/>
        <w:ind w:left="1" w:right="70" w:firstLine="477"/>
        <w:rPr>
          <w:rFonts w:ascii="宋体" w:hAnsi="宋体" w:eastAsia="宋体" w:cs="宋体"/>
          <w:sz w:val="20"/>
          <w:szCs w:val="20"/>
        </w:rPr>
      </w:pPr>
      <w:r>
        <w:rPr>
          <w:rFonts w:ascii="宋体" w:hAnsi="宋体" w:eastAsia="宋体" w:cs="宋体"/>
          <w:spacing w:val="10"/>
          <w:sz w:val="17"/>
          <w:szCs w:val="17"/>
        </w:rPr>
        <w:t xml:space="preserve">4   </w:t>
      </w:r>
      <w:r>
        <w:rPr>
          <w:rFonts w:ascii="宋体" w:hAnsi="宋体" w:eastAsia="宋体" w:cs="宋体"/>
          <w:spacing w:val="10"/>
          <w:sz w:val="20"/>
          <w:szCs w:val="20"/>
        </w:rPr>
        <w:t>对项目影响区的声环境敏感点进行跟踪监测，根据监测的实际情况，采取相应的噪声</w:t>
      </w:r>
      <w:r>
        <w:rPr>
          <w:rFonts w:ascii="宋体" w:hAnsi="宋体" w:eastAsia="宋体" w:cs="宋体"/>
          <w:spacing w:val="5"/>
          <w:sz w:val="20"/>
          <w:szCs w:val="20"/>
        </w:rPr>
        <w:t>控</w:t>
      </w:r>
      <w:r>
        <w:rPr>
          <w:rFonts w:ascii="宋体" w:hAnsi="宋体" w:eastAsia="宋体" w:cs="宋体"/>
          <w:sz w:val="20"/>
          <w:szCs w:val="20"/>
        </w:rPr>
        <w:t xml:space="preserve"> </w:t>
      </w:r>
      <w:r>
        <w:rPr>
          <w:rFonts w:ascii="宋体" w:hAnsi="宋体" w:eastAsia="宋体" w:cs="宋体"/>
          <w:spacing w:val="9"/>
          <w:sz w:val="20"/>
          <w:szCs w:val="20"/>
        </w:rPr>
        <w:t>制</w:t>
      </w:r>
      <w:r>
        <w:rPr>
          <w:rFonts w:ascii="宋体" w:hAnsi="宋体" w:eastAsia="宋体" w:cs="宋体"/>
          <w:spacing w:val="8"/>
          <w:sz w:val="20"/>
          <w:szCs w:val="20"/>
        </w:rPr>
        <w:t>措施 (设置隔声墙、安装隔声窗等) 。</w:t>
      </w:r>
    </w:p>
    <w:p>
      <w:pPr>
        <w:spacing w:line="227" w:lineRule="auto"/>
        <w:ind w:left="483"/>
        <w:rPr>
          <w:rFonts w:ascii="宋体" w:hAnsi="宋体" w:eastAsia="宋体" w:cs="宋体"/>
          <w:sz w:val="20"/>
          <w:szCs w:val="20"/>
        </w:rPr>
      </w:pPr>
      <w:r>
        <w:rPr>
          <w:rFonts w:ascii="宋体" w:hAnsi="宋体" w:eastAsia="宋体" w:cs="宋体"/>
          <w:spacing w:val="16"/>
          <w:sz w:val="17"/>
          <w:szCs w:val="17"/>
        </w:rPr>
        <w:t>5</w:t>
      </w:r>
      <w:r>
        <w:rPr>
          <w:rFonts w:ascii="宋体" w:hAnsi="宋体" w:eastAsia="宋体" w:cs="宋体"/>
          <w:spacing w:val="11"/>
          <w:sz w:val="17"/>
          <w:szCs w:val="17"/>
        </w:rPr>
        <w:t xml:space="preserve"> </w:t>
      </w:r>
      <w:r>
        <w:rPr>
          <w:rFonts w:ascii="宋体" w:hAnsi="宋体" w:eastAsia="宋体" w:cs="宋体"/>
          <w:spacing w:val="8"/>
          <w:sz w:val="17"/>
          <w:szCs w:val="17"/>
        </w:rPr>
        <w:t xml:space="preserve">  </w:t>
      </w:r>
      <w:r>
        <w:rPr>
          <w:rFonts w:ascii="宋体" w:hAnsi="宋体" w:eastAsia="宋体" w:cs="宋体"/>
          <w:spacing w:val="8"/>
          <w:sz w:val="20"/>
          <w:szCs w:val="20"/>
        </w:rPr>
        <w:t>加强对车辆噪声监测，严格控制噪声超标车辆上路。</w:t>
      </w:r>
    </w:p>
    <w:p>
      <w:pPr>
        <w:sectPr>
          <w:footerReference r:id="rId145" w:type="default"/>
          <w:pgSz w:w="11906" w:h="16839"/>
          <w:pgMar w:top="400" w:right="1462" w:bottom="1253" w:left="1538" w:header="0" w:footer="1066" w:gutter="0"/>
          <w:cols w:space="720" w:num="1"/>
        </w:sect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62" w:line="230" w:lineRule="auto"/>
        <w:ind w:left="5354"/>
        <w:rPr>
          <w:rFonts w:ascii="黑体" w:hAnsi="黑体" w:eastAsia="黑体" w:cs="黑体"/>
          <w:sz w:val="19"/>
          <w:szCs w:val="19"/>
        </w:rPr>
      </w:pPr>
      <w:r>
        <w:rPr>
          <w:rFonts w:ascii="黑体" w:hAnsi="黑体" w:eastAsia="黑体" w:cs="黑体"/>
          <w:spacing w:val="14"/>
          <w:sz w:val="19"/>
          <w:szCs w:val="19"/>
        </w:rPr>
        <w:t>表</w:t>
      </w:r>
      <w:r>
        <w:rPr>
          <w:rFonts w:ascii="Times New Roman" w:hAnsi="Times New Roman" w:eastAsia="Times New Roman" w:cs="Times New Roman"/>
          <w:spacing w:val="10"/>
          <w:sz w:val="19"/>
          <w:szCs w:val="19"/>
        </w:rPr>
        <w:t>2</w:t>
      </w:r>
      <w:r>
        <w:rPr>
          <w:rFonts w:ascii="Times New Roman" w:hAnsi="Times New Roman" w:eastAsia="Times New Roman" w:cs="Times New Roman"/>
          <w:spacing w:val="7"/>
          <w:sz w:val="19"/>
          <w:szCs w:val="19"/>
        </w:rPr>
        <w:t xml:space="preserve">3    </w:t>
      </w:r>
      <w:r>
        <w:rPr>
          <w:rFonts w:ascii="黑体" w:hAnsi="黑体" w:eastAsia="黑体" w:cs="黑体"/>
          <w:spacing w:val="7"/>
          <w:sz w:val="19"/>
          <w:szCs w:val="19"/>
        </w:rPr>
        <w:t>项目交通噪声控制措施及投资表</w:t>
      </w:r>
    </w:p>
    <w:p>
      <w:pPr>
        <w:spacing w:line="47" w:lineRule="auto"/>
        <w:rPr>
          <w:rFonts w:ascii="Arial"/>
          <w:sz w:val="2"/>
        </w:rPr>
      </w:pPr>
    </w:p>
    <w:tbl>
      <w:tblPr>
        <w:tblStyle w:val="4"/>
        <w:tblW w:w="140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4"/>
        <w:gridCol w:w="659"/>
        <w:gridCol w:w="384"/>
        <w:gridCol w:w="730"/>
        <w:gridCol w:w="559"/>
        <w:gridCol w:w="470"/>
        <w:gridCol w:w="557"/>
        <w:gridCol w:w="561"/>
        <w:gridCol w:w="551"/>
        <w:gridCol w:w="567"/>
        <w:gridCol w:w="569"/>
        <w:gridCol w:w="553"/>
        <w:gridCol w:w="569"/>
        <w:gridCol w:w="548"/>
        <w:gridCol w:w="584"/>
        <w:gridCol w:w="591"/>
        <w:gridCol w:w="558"/>
        <w:gridCol w:w="612"/>
        <w:gridCol w:w="730"/>
        <w:gridCol w:w="1287"/>
        <w:gridCol w:w="982"/>
        <w:gridCol w:w="10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404" w:type="dxa"/>
            <w:vMerge w:val="restart"/>
            <w:tcBorders>
              <w:bottom w:val="nil"/>
            </w:tcBorders>
            <w:textDirection w:val="tbRlV"/>
            <w:vAlign w:val="top"/>
          </w:tcPr>
          <w:p>
            <w:pPr>
              <w:spacing w:before="109" w:line="220" w:lineRule="auto"/>
              <w:ind w:left="441"/>
              <w:rPr>
                <w:rFonts w:ascii="宋体" w:hAnsi="宋体" w:eastAsia="宋体" w:cs="宋体"/>
                <w:sz w:val="17"/>
                <w:szCs w:val="17"/>
              </w:rPr>
            </w:pPr>
            <w:r>
              <w:rPr>
                <w:rFonts w:ascii="宋体" w:hAnsi="宋体" w:eastAsia="宋体" w:cs="宋体"/>
                <w:spacing w:val="12"/>
                <w:sz w:val="17"/>
                <w:szCs w:val="17"/>
                <w14:textOutline w14:w="3268" w14:cap="sq" w14:cmpd="sng">
                  <w14:solidFill>
                    <w14:srgbClr w14:val="000000"/>
                  </w14:solidFill>
                  <w14:prstDash w14:val="solid"/>
                  <w14:bevel/>
                </w14:textOutline>
              </w:rPr>
              <w:t>序</w:t>
            </w:r>
            <w:r>
              <w:rPr>
                <w:rFonts w:ascii="宋体" w:hAnsi="宋体" w:eastAsia="宋体" w:cs="宋体"/>
                <w:spacing w:val="12"/>
                <w:sz w:val="17"/>
                <w:szCs w:val="17"/>
              </w:rPr>
              <w:t xml:space="preserve"> </w:t>
            </w:r>
            <w:r>
              <w:rPr>
                <w:rFonts w:ascii="宋体" w:hAnsi="宋体" w:eastAsia="宋体" w:cs="宋体"/>
                <w:spacing w:val="11"/>
                <w:sz w:val="17"/>
                <w:szCs w:val="17"/>
                <w14:textOutline w14:w="3268" w14:cap="sq" w14:cmpd="sng">
                  <w14:solidFill>
                    <w14:srgbClr w14:val="000000"/>
                  </w14:solidFill>
                  <w14:prstDash w14:val="solid"/>
                  <w14:bevel/>
                </w14:textOutline>
              </w:rPr>
              <w:t>号</w:t>
            </w:r>
          </w:p>
        </w:tc>
        <w:tc>
          <w:tcPr>
            <w:tcW w:w="1043" w:type="dxa"/>
            <w:gridSpan w:val="2"/>
            <w:vMerge w:val="restart"/>
            <w:tcBorders>
              <w:bottom w:val="nil"/>
            </w:tcBorders>
            <w:vAlign w:val="top"/>
          </w:tcPr>
          <w:p>
            <w:pPr>
              <w:spacing w:line="384" w:lineRule="auto"/>
              <w:rPr>
                <w:rFonts w:ascii="Arial"/>
                <w:sz w:val="21"/>
              </w:rPr>
            </w:pPr>
          </w:p>
          <w:p>
            <w:pPr>
              <w:spacing w:before="55" w:line="317" w:lineRule="auto"/>
              <w:ind w:left="196" w:right="70" w:hanging="121"/>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声</w:t>
            </w:r>
            <w:r>
              <w:rPr>
                <w:rFonts w:ascii="宋体" w:hAnsi="宋体" w:eastAsia="宋体" w:cs="宋体"/>
                <w:spacing w:val="8"/>
                <w:sz w:val="17"/>
                <w:szCs w:val="17"/>
                <w14:textOutline w14:w="3268" w14:cap="sq" w14:cmpd="sng">
                  <w14:solidFill>
                    <w14:srgbClr w14:val="000000"/>
                  </w14:solidFill>
                  <w14:prstDash w14:val="solid"/>
                  <w14:bevel/>
                </w14:textOutline>
              </w:rPr>
              <w:t>环境保护</w:t>
            </w:r>
            <w:r>
              <w:rPr>
                <w:rFonts w:ascii="宋体" w:hAnsi="宋体" w:eastAsia="宋体" w:cs="宋体"/>
                <w:sz w:val="17"/>
                <w:szCs w:val="17"/>
              </w:rPr>
              <w:t xml:space="preserve"> </w:t>
            </w:r>
            <w:r>
              <w:rPr>
                <w:rFonts w:ascii="宋体" w:hAnsi="宋体" w:eastAsia="宋体" w:cs="宋体"/>
                <w:sz w:val="17"/>
                <w:szCs w:val="17"/>
                <w14:textOutline w14:w="3268" w14:cap="sq" w14:cmpd="sng">
                  <w14:solidFill>
                    <w14:srgbClr w14:val="000000"/>
                  </w14:solidFill>
                  <w14:prstDash w14:val="solid"/>
                  <w14:bevel/>
                </w14:textOutline>
              </w:rPr>
              <w:t>目标名称</w:t>
            </w:r>
          </w:p>
        </w:tc>
        <w:tc>
          <w:tcPr>
            <w:tcW w:w="730" w:type="dxa"/>
            <w:vMerge w:val="restart"/>
            <w:tcBorders>
              <w:bottom w:val="nil"/>
            </w:tcBorders>
            <w:vAlign w:val="top"/>
          </w:tcPr>
          <w:p>
            <w:pPr>
              <w:spacing w:line="384" w:lineRule="auto"/>
              <w:rPr>
                <w:rFonts w:ascii="Arial"/>
                <w:sz w:val="21"/>
              </w:rPr>
            </w:pPr>
          </w:p>
          <w:p>
            <w:pPr>
              <w:spacing w:before="55" w:line="317" w:lineRule="auto"/>
              <w:ind w:left="293" w:right="92" w:hanging="194"/>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里</w:t>
            </w:r>
            <w:r>
              <w:rPr>
                <w:rFonts w:ascii="宋体" w:hAnsi="宋体" w:eastAsia="宋体" w:cs="宋体"/>
                <w:spacing w:val="7"/>
                <w:sz w:val="17"/>
                <w:szCs w:val="17"/>
                <w14:textOutline w14:w="3268" w14:cap="sq" w14:cmpd="sng">
                  <w14:solidFill>
                    <w14:srgbClr w14:val="000000"/>
                  </w14:solidFill>
                  <w14:prstDash w14:val="solid"/>
                  <w14:bevel/>
                </w14:textOutline>
              </w:rPr>
              <w:t>程范</w:t>
            </w:r>
            <w:r>
              <w:rPr>
                <w:rFonts w:ascii="宋体" w:hAnsi="宋体" w:eastAsia="宋体" w:cs="宋体"/>
                <w:sz w:val="17"/>
                <w:szCs w:val="17"/>
              </w:rPr>
              <w:t xml:space="preserve"> </w:t>
            </w:r>
            <w:r>
              <w:rPr>
                <w:rFonts w:ascii="宋体" w:hAnsi="宋体" w:eastAsia="宋体" w:cs="宋体"/>
                <w:sz w:val="17"/>
                <w:szCs w:val="17"/>
                <w14:textOutline w14:w="3268" w14:cap="sq" w14:cmpd="sng">
                  <w14:solidFill>
                    <w14:srgbClr w14:val="000000"/>
                  </w14:solidFill>
                  <w14:prstDash w14:val="solid"/>
                  <w14:bevel/>
                </w14:textOutline>
              </w:rPr>
              <w:t>围</w:t>
            </w:r>
          </w:p>
        </w:tc>
        <w:tc>
          <w:tcPr>
            <w:tcW w:w="559" w:type="dxa"/>
            <w:vMerge w:val="restart"/>
            <w:tcBorders>
              <w:bottom w:val="nil"/>
            </w:tcBorders>
            <w:vAlign w:val="top"/>
          </w:tcPr>
          <w:p>
            <w:pPr>
              <w:spacing w:before="163" w:line="231" w:lineRule="auto"/>
              <w:ind w:left="100"/>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距</w:t>
            </w:r>
            <w:r>
              <w:rPr>
                <w:rFonts w:ascii="宋体" w:hAnsi="宋体" w:eastAsia="宋体" w:cs="宋体"/>
                <w:spacing w:val="6"/>
                <w:sz w:val="17"/>
                <w:szCs w:val="17"/>
                <w14:textOutline w14:w="3268" w14:cap="sq" w14:cmpd="sng">
                  <w14:solidFill>
                    <w14:srgbClr w14:val="000000"/>
                  </w14:solidFill>
                  <w14:prstDash w14:val="solid"/>
                  <w14:bevel/>
                </w14:textOutline>
              </w:rPr>
              <w:t>离</w:t>
            </w:r>
          </w:p>
          <w:p>
            <w:pPr>
              <w:spacing w:before="65" w:line="230" w:lineRule="auto"/>
              <w:ind w:left="103"/>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路</w:t>
            </w:r>
            <w:r>
              <w:rPr>
                <w:rFonts w:ascii="宋体" w:hAnsi="宋体" w:eastAsia="宋体" w:cs="宋体"/>
                <w:spacing w:val="5"/>
                <w:sz w:val="17"/>
                <w:szCs w:val="17"/>
                <w14:textOutline w14:w="3268" w14:cap="sq" w14:cmpd="sng">
                  <w14:solidFill>
                    <w14:srgbClr w14:val="000000"/>
                  </w14:solidFill>
                  <w14:prstDash w14:val="solid"/>
                  <w14:bevel/>
                </w14:textOutline>
              </w:rPr>
              <w:t>中</w:t>
            </w:r>
          </w:p>
          <w:p>
            <w:pPr>
              <w:spacing w:before="68" w:line="231" w:lineRule="auto"/>
              <w:ind w:left="107"/>
              <w:rPr>
                <w:rFonts w:ascii="宋体" w:hAnsi="宋体" w:eastAsia="宋体" w:cs="宋体"/>
                <w:sz w:val="17"/>
                <w:szCs w:val="17"/>
              </w:rPr>
            </w:pPr>
            <w:r>
              <w:rPr>
                <w:rFonts w:ascii="宋体" w:hAnsi="宋体" w:eastAsia="宋体" w:cs="宋体"/>
                <w:spacing w:val="3"/>
                <w:sz w:val="17"/>
                <w:szCs w:val="17"/>
                <w14:textOutline w14:w="3268" w14:cap="sq" w14:cmpd="sng">
                  <w14:solidFill>
                    <w14:srgbClr w14:val="000000"/>
                  </w14:solidFill>
                  <w14:prstDash w14:val="solid"/>
                  <w14:bevel/>
                </w14:textOutline>
              </w:rPr>
              <w:t>心线</w:t>
            </w:r>
          </w:p>
          <w:p>
            <w:pPr>
              <w:spacing w:before="30" w:line="249" w:lineRule="exact"/>
              <w:ind w:left="176"/>
              <w:rPr>
                <w:rFonts w:ascii="Times New Roman" w:hAnsi="Times New Roman" w:eastAsia="Times New Roman" w:cs="Times New Roman"/>
                <w:sz w:val="17"/>
                <w:szCs w:val="17"/>
              </w:rPr>
            </w:pPr>
            <w:r>
              <w:rPr>
                <w:rFonts w:ascii="Times New Roman" w:hAnsi="Times New Roman" w:eastAsia="Times New Roman" w:cs="Times New Roman"/>
                <w:b/>
                <w:bCs/>
                <w:spacing w:val="11"/>
                <w:position w:val="2"/>
                <w:sz w:val="17"/>
                <w:szCs w:val="17"/>
              </w:rPr>
              <w:t>/</w:t>
            </w:r>
            <w:r>
              <w:rPr>
                <w:rFonts w:ascii="Times New Roman" w:hAnsi="Times New Roman" w:eastAsia="Times New Roman" w:cs="Times New Roman"/>
                <w:b/>
                <w:bCs/>
                <w:position w:val="2"/>
                <w:sz w:val="17"/>
                <w:szCs w:val="17"/>
              </w:rPr>
              <w:t>m</w:t>
            </w:r>
          </w:p>
        </w:tc>
        <w:tc>
          <w:tcPr>
            <w:tcW w:w="470" w:type="dxa"/>
            <w:vMerge w:val="restart"/>
            <w:tcBorders>
              <w:bottom w:val="nil"/>
            </w:tcBorders>
            <w:vAlign w:val="top"/>
          </w:tcPr>
          <w:p>
            <w:pPr>
              <w:spacing w:line="383" w:lineRule="auto"/>
              <w:rPr>
                <w:rFonts w:ascii="Arial"/>
                <w:sz w:val="21"/>
              </w:rPr>
            </w:pPr>
          </w:p>
          <w:p>
            <w:pPr>
              <w:spacing w:before="55" w:line="339" w:lineRule="auto"/>
              <w:ind w:left="130" w:right="53" w:hanging="67"/>
              <w:rPr>
                <w:rFonts w:ascii="Times New Roman" w:hAnsi="Times New Roman" w:eastAsia="Times New Roman" w:cs="Times New Roman"/>
                <w:sz w:val="17"/>
                <w:szCs w:val="17"/>
              </w:rPr>
            </w:pPr>
            <w:r>
              <w:rPr>
                <w:rFonts w:ascii="宋体" w:hAnsi="宋体" w:eastAsia="宋体" w:cs="宋体"/>
                <w:spacing w:val="4"/>
                <w:sz w:val="17"/>
                <w:szCs w:val="17"/>
                <w14:textOutline w14:w="3268" w14:cap="sq" w14:cmpd="sng">
                  <w14:solidFill>
                    <w14:srgbClr w14:val="000000"/>
                  </w14:solidFill>
                  <w14:prstDash w14:val="solid"/>
                  <w14:bevel/>
                </w14:textOutline>
              </w:rPr>
              <w:t>高差</w:t>
            </w:r>
            <w:r>
              <w:rPr>
                <w:rFonts w:ascii="宋体" w:hAnsi="宋体" w:eastAsia="宋体" w:cs="宋体"/>
                <w:sz w:val="17"/>
                <w:szCs w:val="17"/>
              </w:rPr>
              <w:t xml:space="preserve"> </w:t>
            </w:r>
            <w:r>
              <w:rPr>
                <w:rFonts w:ascii="Times New Roman" w:hAnsi="Times New Roman" w:eastAsia="Times New Roman" w:cs="Times New Roman"/>
                <w:b/>
                <w:bCs/>
                <w:spacing w:val="11"/>
                <w:sz w:val="17"/>
                <w:szCs w:val="17"/>
              </w:rPr>
              <w:t>/</w:t>
            </w:r>
            <w:r>
              <w:rPr>
                <w:rFonts w:ascii="Times New Roman" w:hAnsi="Times New Roman" w:eastAsia="Times New Roman" w:cs="Times New Roman"/>
                <w:b/>
                <w:bCs/>
                <w:sz w:val="17"/>
                <w:szCs w:val="17"/>
              </w:rPr>
              <w:t>m</w:t>
            </w:r>
          </w:p>
        </w:tc>
        <w:tc>
          <w:tcPr>
            <w:tcW w:w="3358" w:type="dxa"/>
            <w:gridSpan w:val="6"/>
            <w:vAlign w:val="top"/>
          </w:tcPr>
          <w:p>
            <w:pPr>
              <w:spacing w:before="48" w:line="249" w:lineRule="exact"/>
              <w:ind w:left="1104"/>
              <w:rPr>
                <w:rFonts w:ascii="Times New Roman" w:hAnsi="Times New Roman" w:eastAsia="Times New Roman" w:cs="Times New Roman"/>
                <w:sz w:val="17"/>
                <w:szCs w:val="17"/>
              </w:rPr>
            </w:pPr>
            <w:r>
              <w:rPr>
                <w:rFonts w:ascii="宋体" w:hAnsi="宋体" w:eastAsia="宋体" w:cs="宋体"/>
                <w:spacing w:val="10"/>
                <w:position w:val="1"/>
                <w:sz w:val="17"/>
                <w:szCs w:val="17"/>
                <w14:textOutline w14:w="3268" w14:cap="sq" w14:cmpd="sng">
                  <w14:solidFill>
                    <w14:srgbClr w14:val="000000"/>
                  </w14:solidFill>
                  <w14:prstDash w14:val="solid"/>
                  <w14:bevel/>
                </w14:textOutline>
              </w:rPr>
              <w:t>噪</w:t>
            </w:r>
            <w:r>
              <w:rPr>
                <w:rFonts w:ascii="宋体" w:hAnsi="宋体" w:eastAsia="宋体" w:cs="宋体"/>
                <w:spacing w:val="8"/>
                <w:position w:val="1"/>
                <w:sz w:val="17"/>
                <w:szCs w:val="17"/>
                <w14:textOutline w14:w="3268" w14:cap="sq" w14:cmpd="sng">
                  <w14:solidFill>
                    <w14:srgbClr w14:val="000000"/>
                  </w14:solidFill>
                  <w14:prstDash w14:val="solid"/>
                  <w14:bevel/>
                </w14:textOutline>
              </w:rPr>
              <w:t>声预测值</w:t>
            </w:r>
            <w:r>
              <w:rPr>
                <w:rFonts w:ascii="Times New Roman" w:hAnsi="Times New Roman" w:eastAsia="Times New Roman" w:cs="Times New Roman"/>
                <w:b/>
                <w:bCs/>
                <w:spacing w:val="8"/>
                <w:position w:val="1"/>
                <w:sz w:val="17"/>
                <w:szCs w:val="17"/>
              </w:rPr>
              <w:t>/</w:t>
            </w:r>
            <w:r>
              <w:rPr>
                <w:rFonts w:ascii="Times New Roman" w:hAnsi="Times New Roman" w:eastAsia="Times New Roman" w:cs="Times New Roman"/>
                <w:b/>
                <w:bCs/>
                <w:position w:val="1"/>
                <w:sz w:val="17"/>
                <w:szCs w:val="17"/>
              </w:rPr>
              <w:t>dB</w:t>
            </w:r>
          </w:p>
        </w:tc>
        <w:tc>
          <w:tcPr>
            <w:tcW w:w="1701" w:type="dxa"/>
            <w:gridSpan w:val="3"/>
            <w:vAlign w:val="top"/>
          </w:tcPr>
          <w:p>
            <w:pPr>
              <w:spacing w:before="48" w:line="249" w:lineRule="exact"/>
              <w:ind w:left="181"/>
              <w:rPr>
                <w:rFonts w:ascii="Times New Roman" w:hAnsi="Times New Roman" w:eastAsia="Times New Roman" w:cs="Times New Roman"/>
                <w:sz w:val="17"/>
                <w:szCs w:val="17"/>
              </w:rPr>
            </w:pPr>
            <w:r>
              <w:rPr>
                <w:rFonts w:ascii="宋体" w:hAnsi="宋体" w:eastAsia="宋体" w:cs="宋体"/>
                <w:spacing w:val="11"/>
                <w:position w:val="1"/>
                <w:sz w:val="17"/>
                <w:szCs w:val="17"/>
                <w14:textOutline w14:w="3268" w14:cap="sq" w14:cmpd="sng">
                  <w14:solidFill>
                    <w14:srgbClr w14:val="000000"/>
                  </w14:solidFill>
                  <w14:prstDash w14:val="solid"/>
                  <w14:bevel/>
                </w14:textOutline>
              </w:rPr>
              <w:t>营</w:t>
            </w:r>
            <w:r>
              <w:rPr>
                <w:rFonts w:ascii="宋体" w:hAnsi="宋体" w:eastAsia="宋体" w:cs="宋体"/>
                <w:spacing w:val="9"/>
                <w:position w:val="1"/>
                <w:sz w:val="17"/>
                <w:szCs w:val="17"/>
                <w14:textOutline w14:w="3268" w14:cap="sq" w14:cmpd="sng">
                  <w14:solidFill>
                    <w14:srgbClr w14:val="000000"/>
                  </w14:solidFill>
                  <w14:prstDash w14:val="solid"/>
                  <w14:bevel/>
                </w14:textOutline>
              </w:rPr>
              <w:t>运期超标量</w:t>
            </w:r>
            <w:r>
              <w:rPr>
                <w:rFonts w:ascii="Times New Roman" w:hAnsi="Times New Roman" w:eastAsia="Times New Roman" w:cs="Times New Roman"/>
                <w:b/>
                <w:bCs/>
                <w:spacing w:val="9"/>
                <w:position w:val="1"/>
                <w:sz w:val="17"/>
                <w:szCs w:val="17"/>
              </w:rPr>
              <w:t>/</w:t>
            </w:r>
            <w:r>
              <w:rPr>
                <w:rFonts w:ascii="Times New Roman" w:hAnsi="Times New Roman" w:eastAsia="Times New Roman" w:cs="Times New Roman"/>
                <w:b/>
                <w:bCs/>
                <w:position w:val="1"/>
                <w:sz w:val="17"/>
                <w:szCs w:val="17"/>
              </w:rPr>
              <w:t>dB</w:t>
            </w:r>
          </w:p>
        </w:tc>
        <w:tc>
          <w:tcPr>
            <w:tcW w:w="1761" w:type="dxa"/>
            <w:gridSpan w:val="3"/>
            <w:vAlign w:val="top"/>
          </w:tcPr>
          <w:p>
            <w:pPr>
              <w:spacing w:before="48" w:line="249" w:lineRule="exact"/>
              <w:ind w:left="319"/>
              <w:rPr>
                <w:rFonts w:ascii="宋体" w:hAnsi="宋体" w:eastAsia="宋体" w:cs="宋体"/>
                <w:sz w:val="17"/>
                <w:szCs w:val="17"/>
              </w:rPr>
            </w:pPr>
            <w:r>
              <w:rPr>
                <w:rFonts w:ascii="宋体" w:hAnsi="宋体" w:eastAsia="宋体" w:cs="宋体"/>
                <w:spacing w:val="8"/>
                <w:position w:val="1"/>
                <w:sz w:val="17"/>
                <w:szCs w:val="17"/>
                <w14:textOutline w14:w="3268" w14:cap="sq" w14:cmpd="sng">
                  <w14:solidFill>
                    <w14:srgbClr w14:val="000000"/>
                  </w14:solidFill>
                  <w14:prstDash w14:val="solid"/>
                  <w14:bevel/>
                </w14:textOutline>
              </w:rPr>
              <w:t>受影响户数</w:t>
            </w:r>
            <w:r>
              <w:rPr>
                <w:rFonts w:ascii="Times New Roman" w:hAnsi="Times New Roman" w:eastAsia="Times New Roman" w:cs="Times New Roman"/>
                <w:b/>
                <w:bCs/>
                <w:spacing w:val="8"/>
                <w:position w:val="1"/>
                <w:sz w:val="17"/>
                <w:szCs w:val="17"/>
              </w:rPr>
              <w:t>/</w:t>
            </w:r>
            <w:r>
              <w:rPr>
                <w:rFonts w:ascii="宋体" w:hAnsi="宋体" w:eastAsia="宋体" w:cs="宋体"/>
                <w:spacing w:val="6"/>
                <w:position w:val="1"/>
                <w:sz w:val="17"/>
                <w:szCs w:val="17"/>
                <w14:textOutline w14:w="3268" w14:cap="sq" w14:cmpd="sng">
                  <w14:solidFill>
                    <w14:srgbClr w14:val="000000"/>
                  </w14:solidFill>
                  <w14:prstDash w14:val="solid"/>
                  <w14:bevel/>
                </w14:textOutline>
              </w:rPr>
              <w:t>户</w:t>
            </w:r>
          </w:p>
        </w:tc>
        <w:tc>
          <w:tcPr>
            <w:tcW w:w="4054" w:type="dxa"/>
            <w:gridSpan w:val="4"/>
            <w:vMerge w:val="restart"/>
            <w:tcBorders>
              <w:bottom w:val="nil"/>
            </w:tcBorders>
            <w:vAlign w:val="top"/>
          </w:tcPr>
          <w:p>
            <w:pPr>
              <w:spacing w:before="242" w:line="231" w:lineRule="auto"/>
              <w:ind w:left="1225"/>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噪声防治措施及投</w:t>
            </w:r>
            <w:r>
              <w:rPr>
                <w:rFonts w:ascii="宋体" w:hAnsi="宋体" w:eastAsia="宋体" w:cs="宋体"/>
                <w:spacing w:val="7"/>
                <w:sz w:val="17"/>
                <w:szCs w:val="17"/>
                <w14:textOutline w14:w="3268" w14:cap="sq" w14:cmpd="sng">
                  <w14:solidFill>
                    <w14:srgbClr w14:val="000000"/>
                  </w14:solidFill>
                  <w14:prstDash w14:val="solid"/>
                  <w14:bevel/>
                </w14:textOutline>
              </w:rPr>
              <w:t>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04" w:type="dxa"/>
            <w:vMerge w:val="continue"/>
            <w:tcBorders>
              <w:top w:val="nil"/>
              <w:bottom w:val="nil"/>
            </w:tcBorders>
            <w:textDirection w:val="tbRlV"/>
            <w:vAlign w:val="top"/>
          </w:tcPr>
          <w:p>
            <w:pPr>
              <w:rPr>
                <w:rFonts w:ascii="Arial"/>
                <w:sz w:val="21"/>
              </w:rPr>
            </w:pPr>
          </w:p>
        </w:tc>
        <w:tc>
          <w:tcPr>
            <w:tcW w:w="1043" w:type="dxa"/>
            <w:gridSpan w:val="2"/>
            <w:vMerge w:val="continue"/>
            <w:tcBorders>
              <w:top w:val="nil"/>
              <w:bottom w:val="nil"/>
            </w:tcBorders>
            <w:vAlign w:val="top"/>
          </w:tcPr>
          <w:p>
            <w:pPr>
              <w:rPr>
                <w:rFonts w:ascii="Arial"/>
                <w:sz w:val="21"/>
              </w:rPr>
            </w:pPr>
          </w:p>
        </w:tc>
        <w:tc>
          <w:tcPr>
            <w:tcW w:w="730" w:type="dxa"/>
            <w:vMerge w:val="continue"/>
            <w:tcBorders>
              <w:top w:val="nil"/>
              <w:bottom w:val="nil"/>
            </w:tcBorders>
            <w:vAlign w:val="top"/>
          </w:tcPr>
          <w:p>
            <w:pPr>
              <w:rPr>
                <w:rFonts w:ascii="Arial"/>
                <w:sz w:val="21"/>
              </w:rPr>
            </w:pPr>
          </w:p>
        </w:tc>
        <w:tc>
          <w:tcPr>
            <w:tcW w:w="559" w:type="dxa"/>
            <w:vMerge w:val="continue"/>
            <w:tcBorders>
              <w:top w:val="nil"/>
              <w:bottom w:val="nil"/>
            </w:tcBorders>
            <w:vAlign w:val="top"/>
          </w:tcPr>
          <w:p>
            <w:pPr>
              <w:rPr>
                <w:rFonts w:ascii="Arial"/>
                <w:sz w:val="21"/>
              </w:rPr>
            </w:pPr>
          </w:p>
        </w:tc>
        <w:tc>
          <w:tcPr>
            <w:tcW w:w="470" w:type="dxa"/>
            <w:vMerge w:val="continue"/>
            <w:tcBorders>
              <w:top w:val="nil"/>
              <w:bottom w:val="nil"/>
            </w:tcBorders>
            <w:vAlign w:val="top"/>
          </w:tcPr>
          <w:p>
            <w:pPr>
              <w:rPr>
                <w:rFonts w:ascii="Arial"/>
                <w:sz w:val="21"/>
              </w:rPr>
            </w:pPr>
          </w:p>
        </w:tc>
        <w:tc>
          <w:tcPr>
            <w:tcW w:w="1118" w:type="dxa"/>
            <w:gridSpan w:val="2"/>
            <w:vAlign w:val="top"/>
          </w:tcPr>
          <w:p>
            <w:pPr>
              <w:spacing w:before="80" w:line="231" w:lineRule="auto"/>
              <w:ind w:left="379"/>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近</w:t>
            </w:r>
            <w:r>
              <w:rPr>
                <w:rFonts w:ascii="宋体" w:hAnsi="宋体" w:eastAsia="宋体" w:cs="宋体"/>
                <w:spacing w:val="6"/>
                <w:sz w:val="17"/>
                <w:szCs w:val="17"/>
                <w14:textOutline w14:w="3268" w14:cap="sq" w14:cmpd="sng">
                  <w14:solidFill>
                    <w14:srgbClr w14:val="000000"/>
                  </w14:solidFill>
                  <w14:prstDash w14:val="solid"/>
                  <w14:bevel/>
                </w14:textOutline>
              </w:rPr>
              <w:t>期</w:t>
            </w:r>
          </w:p>
        </w:tc>
        <w:tc>
          <w:tcPr>
            <w:tcW w:w="1118" w:type="dxa"/>
            <w:gridSpan w:val="2"/>
            <w:vAlign w:val="top"/>
          </w:tcPr>
          <w:p>
            <w:pPr>
              <w:spacing w:before="80" w:line="231" w:lineRule="auto"/>
              <w:ind w:left="397"/>
              <w:rPr>
                <w:rFonts w:ascii="宋体" w:hAnsi="宋体" w:eastAsia="宋体" w:cs="宋体"/>
                <w:sz w:val="17"/>
                <w:szCs w:val="17"/>
              </w:rPr>
            </w:pPr>
            <w:r>
              <w:rPr>
                <w:rFonts w:ascii="宋体" w:hAnsi="宋体" w:eastAsia="宋体" w:cs="宋体"/>
                <w:spacing w:val="-2"/>
                <w:sz w:val="17"/>
                <w:szCs w:val="17"/>
                <w14:textOutline w14:w="3268" w14:cap="sq" w14:cmpd="sng">
                  <w14:solidFill>
                    <w14:srgbClr w14:val="000000"/>
                  </w14:solidFill>
                  <w14:prstDash w14:val="solid"/>
                  <w14:bevel/>
                </w14:textOutline>
              </w:rPr>
              <w:t>中期</w:t>
            </w:r>
          </w:p>
        </w:tc>
        <w:tc>
          <w:tcPr>
            <w:tcW w:w="1122" w:type="dxa"/>
            <w:gridSpan w:val="2"/>
            <w:vAlign w:val="top"/>
          </w:tcPr>
          <w:p>
            <w:pPr>
              <w:spacing w:before="80" w:line="231" w:lineRule="auto"/>
              <w:ind w:left="383"/>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远期</w:t>
            </w:r>
          </w:p>
        </w:tc>
        <w:tc>
          <w:tcPr>
            <w:tcW w:w="569" w:type="dxa"/>
            <w:vAlign w:val="top"/>
          </w:tcPr>
          <w:p>
            <w:pPr>
              <w:spacing w:before="80" w:line="231" w:lineRule="auto"/>
              <w:ind w:left="105"/>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近</w:t>
            </w:r>
            <w:r>
              <w:rPr>
                <w:rFonts w:ascii="宋体" w:hAnsi="宋体" w:eastAsia="宋体" w:cs="宋体"/>
                <w:spacing w:val="6"/>
                <w:sz w:val="17"/>
                <w:szCs w:val="17"/>
                <w14:textOutline w14:w="3268" w14:cap="sq" w14:cmpd="sng">
                  <w14:solidFill>
                    <w14:srgbClr w14:val="000000"/>
                  </w14:solidFill>
                  <w14:prstDash w14:val="solid"/>
                  <w14:bevel/>
                </w14:textOutline>
              </w:rPr>
              <w:t>期</w:t>
            </w:r>
          </w:p>
        </w:tc>
        <w:tc>
          <w:tcPr>
            <w:tcW w:w="548" w:type="dxa"/>
            <w:vAlign w:val="top"/>
          </w:tcPr>
          <w:p>
            <w:pPr>
              <w:spacing w:before="80" w:line="231" w:lineRule="auto"/>
              <w:ind w:left="113"/>
              <w:rPr>
                <w:rFonts w:ascii="宋体" w:hAnsi="宋体" w:eastAsia="宋体" w:cs="宋体"/>
                <w:sz w:val="17"/>
                <w:szCs w:val="17"/>
              </w:rPr>
            </w:pPr>
            <w:r>
              <w:rPr>
                <w:rFonts w:ascii="宋体" w:hAnsi="宋体" w:eastAsia="宋体" w:cs="宋体"/>
                <w:spacing w:val="-2"/>
                <w:sz w:val="17"/>
                <w:szCs w:val="17"/>
                <w14:textOutline w14:w="3268" w14:cap="sq" w14:cmpd="sng">
                  <w14:solidFill>
                    <w14:srgbClr w14:val="000000"/>
                  </w14:solidFill>
                  <w14:prstDash w14:val="solid"/>
                  <w14:bevel/>
                </w14:textOutline>
              </w:rPr>
              <w:t>中期</w:t>
            </w:r>
          </w:p>
        </w:tc>
        <w:tc>
          <w:tcPr>
            <w:tcW w:w="584" w:type="dxa"/>
            <w:vAlign w:val="top"/>
          </w:tcPr>
          <w:p>
            <w:pPr>
              <w:spacing w:before="80" w:line="231" w:lineRule="auto"/>
              <w:ind w:left="115"/>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远期</w:t>
            </w:r>
          </w:p>
        </w:tc>
        <w:tc>
          <w:tcPr>
            <w:tcW w:w="591" w:type="dxa"/>
            <w:vAlign w:val="top"/>
          </w:tcPr>
          <w:p>
            <w:pPr>
              <w:spacing w:before="80" w:line="231" w:lineRule="auto"/>
              <w:ind w:left="118"/>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近</w:t>
            </w:r>
            <w:r>
              <w:rPr>
                <w:rFonts w:ascii="宋体" w:hAnsi="宋体" w:eastAsia="宋体" w:cs="宋体"/>
                <w:spacing w:val="6"/>
                <w:sz w:val="17"/>
                <w:szCs w:val="17"/>
                <w14:textOutline w14:w="3268" w14:cap="sq" w14:cmpd="sng">
                  <w14:solidFill>
                    <w14:srgbClr w14:val="000000"/>
                  </w14:solidFill>
                  <w14:prstDash w14:val="solid"/>
                  <w14:bevel/>
                </w14:textOutline>
              </w:rPr>
              <w:t>期</w:t>
            </w:r>
          </w:p>
        </w:tc>
        <w:tc>
          <w:tcPr>
            <w:tcW w:w="558" w:type="dxa"/>
            <w:vAlign w:val="top"/>
          </w:tcPr>
          <w:p>
            <w:pPr>
              <w:spacing w:before="80" w:line="231" w:lineRule="auto"/>
              <w:ind w:left="118"/>
              <w:rPr>
                <w:rFonts w:ascii="宋体" w:hAnsi="宋体" w:eastAsia="宋体" w:cs="宋体"/>
                <w:sz w:val="17"/>
                <w:szCs w:val="17"/>
              </w:rPr>
            </w:pPr>
            <w:r>
              <w:rPr>
                <w:rFonts w:ascii="宋体" w:hAnsi="宋体" w:eastAsia="宋体" w:cs="宋体"/>
                <w:spacing w:val="-2"/>
                <w:sz w:val="17"/>
                <w:szCs w:val="17"/>
                <w14:textOutline w14:w="3268" w14:cap="sq" w14:cmpd="sng">
                  <w14:solidFill>
                    <w14:srgbClr w14:val="000000"/>
                  </w14:solidFill>
                  <w14:prstDash w14:val="solid"/>
                  <w14:bevel/>
                </w14:textOutline>
              </w:rPr>
              <w:t>中期</w:t>
            </w:r>
          </w:p>
        </w:tc>
        <w:tc>
          <w:tcPr>
            <w:tcW w:w="612" w:type="dxa"/>
            <w:vAlign w:val="top"/>
          </w:tcPr>
          <w:p>
            <w:pPr>
              <w:spacing w:before="80" w:line="231" w:lineRule="auto"/>
              <w:ind w:left="129"/>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远期</w:t>
            </w:r>
          </w:p>
        </w:tc>
        <w:tc>
          <w:tcPr>
            <w:tcW w:w="4054" w:type="dxa"/>
            <w:gridSpan w:val="4"/>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404" w:type="dxa"/>
            <w:vMerge w:val="continue"/>
            <w:tcBorders>
              <w:top w:val="nil"/>
            </w:tcBorders>
            <w:textDirection w:val="tbRlV"/>
            <w:vAlign w:val="top"/>
          </w:tcPr>
          <w:p>
            <w:pPr>
              <w:rPr>
                <w:rFonts w:ascii="Arial"/>
                <w:sz w:val="21"/>
              </w:rPr>
            </w:pPr>
          </w:p>
        </w:tc>
        <w:tc>
          <w:tcPr>
            <w:tcW w:w="1043" w:type="dxa"/>
            <w:gridSpan w:val="2"/>
            <w:vMerge w:val="continue"/>
            <w:tcBorders>
              <w:top w:val="nil"/>
            </w:tcBorders>
            <w:vAlign w:val="top"/>
          </w:tcPr>
          <w:p>
            <w:pPr>
              <w:rPr>
                <w:rFonts w:ascii="Arial"/>
                <w:sz w:val="21"/>
              </w:rPr>
            </w:pPr>
          </w:p>
        </w:tc>
        <w:tc>
          <w:tcPr>
            <w:tcW w:w="730" w:type="dxa"/>
            <w:vMerge w:val="continue"/>
            <w:tcBorders>
              <w:top w:val="nil"/>
            </w:tcBorders>
            <w:vAlign w:val="top"/>
          </w:tcPr>
          <w:p>
            <w:pPr>
              <w:rPr>
                <w:rFonts w:ascii="Arial"/>
                <w:sz w:val="21"/>
              </w:rPr>
            </w:pPr>
          </w:p>
        </w:tc>
        <w:tc>
          <w:tcPr>
            <w:tcW w:w="559" w:type="dxa"/>
            <w:vMerge w:val="continue"/>
            <w:tcBorders>
              <w:top w:val="nil"/>
            </w:tcBorders>
            <w:vAlign w:val="top"/>
          </w:tcPr>
          <w:p>
            <w:pPr>
              <w:rPr>
                <w:rFonts w:ascii="Arial"/>
                <w:sz w:val="21"/>
              </w:rPr>
            </w:pPr>
          </w:p>
        </w:tc>
        <w:tc>
          <w:tcPr>
            <w:tcW w:w="470" w:type="dxa"/>
            <w:vMerge w:val="continue"/>
            <w:tcBorders>
              <w:top w:val="nil"/>
            </w:tcBorders>
            <w:vAlign w:val="top"/>
          </w:tcPr>
          <w:p>
            <w:pPr>
              <w:rPr>
                <w:rFonts w:ascii="Arial"/>
                <w:sz w:val="21"/>
              </w:rPr>
            </w:pPr>
          </w:p>
        </w:tc>
        <w:tc>
          <w:tcPr>
            <w:tcW w:w="557" w:type="dxa"/>
            <w:vAlign w:val="top"/>
          </w:tcPr>
          <w:p>
            <w:pPr>
              <w:spacing w:before="267" w:line="233" w:lineRule="auto"/>
              <w:ind w:left="101"/>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昼</w:t>
            </w:r>
            <w:r>
              <w:rPr>
                <w:rFonts w:ascii="宋体" w:hAnsi="宋体" w:eastAsia="宋体" w:cs="宋体"/>
                <w:spacing w:val="6"/>
                <w:sz w:val="17"/>
                <w:szCs w:val="17"/>
                <w14:textOutline w14:w="3268" w14:cap="sq" w14:cmpd="sng">
                  <w14:solidFill>
                    <w14:srgbClr w14:val="000000"/>
                  </w14:solidFill>
                  <w14:prstDash w14:val="solid"/>
                  <w14:bevel/>
                </w14:textOutline>
              </w:rPr>
              <w:t>间</w:t>
            </w:r>
          </w:p>
        </w:tc>
        <w:tc>
          <w:tcPr>
            <w:tcW w:w="561" w:type="dxa"/>
            <w:vAlign w:val="top"/>
          </w:tcPr>
          <w:p>
            <w:pPr>
              <w:spacing w:before="267" w:line="230" w:lineRule="auto"/>
              <w:ind w:left="107"/>
              <w:rPr>
                <w:rFonts w:ascii="宋体" w:hAnsi="宋体" w:eastAsia="宋体" w:cs="宋体"/>
                <w:sz w:val="17"/>
                <w:szCs w:val="17"/>
              </w:rPr>
            </w:pPr>
            <w:r>
              <w:rPr>
                <w:rFonts w:ascii="宋体" w:hAnsi="宋体" w:eastAsia="宋体" w:cs="宋体"/>
                <w:spacing w:val="5"/>
                <w:sz w:val="17"/>
                <w:szCs w:val="17"/>
                <w14:textOutline w14:w="3268" w14:cap="sq" w14:cmpd="sng">
                  <w14:solidFill>
                    <w14:srgbClr w14:val="000000"/>
                  </w14:solidFill>
                  <w14:prstDash w14:val="solid"/>
                  <w14:bevel/>
                </w14:textOutline>
              </w:rPr>
              <w:t>夜间</w:t>
            </w:r>
          </w:p>
        </w:tc>
        <w:tc>
          <w:tcPr>
            <w:tcW w:w="551" w:type="dxa"/>
            <w:vAlign w:val="top"/>
          </w:tcPr>
          <w:p>
            <w:pPr>
              <w:spacing w:before="267" w:line="233" w:lineRule="auto"/>
              <w:ind w:left="97"/>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昼</w:t>
            </w:r>
            <w:r>
              <w:rPr>
                <w:rFonts w:ascii="宋体" w:hAnsi="宋体" w:eastAsia="宋体" w:cs="宋体"/>
                <w:spacing w:val="6"/>
                <w:sz w:val="17"/>
                <w:szCs w:val="17"/>
                <w14:textOutline w14:w="3268" w14:cap="sq" w14:cmpd="sng">
                  <w14:solidFill>
                    <w14:srgbClr w14:val="000000"/>
                  </w14:solidFill>
                  <w14:prstDash w14:val="solid"/>
                  <w14:bevel/>
                </w14:textOutline>
              </w:rPr>
              <w:t>间</w:t>
            </w:r>
          </w:p>
        </w:tc>
        <w:tc>
          <w:tcPr>
            <w:tcW w:w="567" w:type="dxa"/>
            <w:vAlign w:val="top"/>
          </w:tcPr>
          <w:p>
            <w:pPr>
              <w:spacing w:before="267" w:line="230" w:lineRule="auto"/>
              <w:ind w:left="108"/>
              <w:rPr>
                <w:rFonts w:ascii="宋体" w:hAnsi="宋体" w:eastAsia="宋体" w:cs="宋体"/>
                <w:sz w:val="17"/>
                <w:szCs w:val="17"/>
              </w:rPr>
            </w:pPr>
            <w:r>
              <w:rPr>
                <w:rFonts w:ascii="宋体" w:hAnsi="宋体" w:eastAsia="宋体" w:cs="宋体"/>
                <w:spacing w:val="5"/>
                <w:sz w:val="17"/>
                <w:szCs w:val="17"/>
                <w14:textOutline w14:w="3268" w14:cap="sq" w14:cmpd="sng">
                  <w14:solidFill>
                    <w14:srgbClr w14:val="000000"/>
                  </w14:solidFill>
                  <w14:prstDash w14:val="solid"/>
                  <w14:bevel/>
                </w14:textOutline>
              </w:rPr>
              <w:t>夜间</w:t>
            </w:r>
          </w:p>
        </w:tc>
        <w:tc>
          <w:tcPr>
            <w:tcW w:w="569" w:type="dxa"/>
            <w:vAlign w:val="top"/>
          </w:tcPr>
          <w:p>
            <w:pPr>
              <w:spacing w:before="267" w:line="233" w:lineRule="auto"/>
              <w:ind w:left="107"/>
              <w:rPr>
                <w:rFonts w:ascii="宋体" w:hAnsi="宋体" w:eastAsia="宋体" w:cs="宋体"/>
                <w:sz w:val="17"/>
                <w:szCs w:val="17"/>
              </w:rPr>
            </w:pPr>
            <w:r>
              <w:rPr>
                <w:rFonts w:ascii="宋体" w:hAnsi="宋体" w:eastAsia="宋体" w:cs="宋体"/>
                <w:spacing w:val="7"/>
                <w:sz w:val="17"/>
                <w:szCs w:val="17"/>
                <w14:textOutline w14:w="3268" w14:cap="sq" w14:cmpd="sng">
                  <w14:solidFill>
                    <w14:srgbClr w14:val="000000"/>
                  </w14:solidFill>
                  <w14:prstDash w14:val="solid"/>
                  <w14:bevel/>
                </w14:textOutline>
              </w:rPr>
              <w:t>昼</w:t>
            </w:r>
            <w:r>
              <w:rPr>
                <w:rFonts w:ascii="宋体" w:hAnsi="宋体" w:eastAsia="宋体" w:cs="宋体"/>
                <w:spacing w:val="6"/>
                <w:sz w:val="17"/>
                <w:szCs w:val="17"/>
                <w14:textOutline w14:w="3268" w14:cap="sq" w14:cmpd="sng">
                  <w14:solidFill>
                    <w14:srgbClr w14:val="000000"/>
                  </w14:solidFill>
                  <w14:prstDash w14:val="solid"/>
                  <w14:bevel/>
                </w14:textOutline>
              </w:rPr>
              <w:t>间</w:t>
            </w:r>
          </w:p>
        </w:tc>
        <w:tc>
          <w:tcPr>
            <w:tcW w:w="553" w:type="dxa"/>
            <w:vAlign w:val="top"/>
          </w:tcPr>
          <w:p>
            <w:pPr>
              <w:spacing w:before="267" w:line="230" w:lineRule="auto"/>
              <w:ind w:left="103"/>
              <w:rPr>
                <w:rFonts w:ascii="宋体" w:hAnsi="宋体" w:eastAsia="宋体" w:cs="宋体"/>
                <w:sz w:val="17"/>
                <w:szCs w:val="17"/>
              </w:rPr>
            </w:pPr>
            <w:r>
              <w:rPr>
                <w:rFonts w:ascii="宋体" w:hAnsi="宋体" w:eastAsia="宋体" w:cs="宋体"/>
                <w:spacing w:val="5"/>
                <w:sz w:val="17"/>
                <w:szCs w:val="17"/>
                <w14:textOutline w14:w="3268" w14:cap="sq" w14:cmpd="sng">
                  <w14:solidFill>
                    <w14:srgbClr w14:val="000000"/>
                  </w14:solidFill>
                  <w14:prstDash w14:val="solid"/>
                  <w14:bevel/>
                </w14:textOutline>
              </w:rPr>
              <w:t>夜间</w:t>
            </w:r>
          </w:p>
        </w:tc>
        <w:tc>
          <w:tcPr>
            <w:tcW w:w="569" w:type="dxa"/>
            <w:vAlign w:val="top"/>
          </w:tcPr>
          <w:p>
            <w:pPr>
              <w:spacing w:before="267" w:line="230" w:lineRule="auto"/>
              <w:ind w:left="36"/>
              <w:rPr>
                <w:rFonts w:ascii="宋体" w:hAnsi="宋体" w:eastAsia="宋体" w:cs="宋体"/>
                <w:sz w:val="17"/>
                <w:szCs w:val="17"/>
              </w:rPr>
            </w:pPr>
            <w:r>
              <w:rPr>
                <w:rFonts w:ascii="Times New Roman" w:hAnsi="Times New Roman" w:eastAsia="Times New Roman" w:cs="Times New Roman"/>
                <w:b/>
                <w:bCs/>
                <w:spacing w:val="7"/>
                <w:sz w:val="17"/>
                <w:szCs w:val="17"/>
              </w:rPr>
              <w:t>2</w:t>
            </w:r>
            <w:r>
              <w:rPr>
                <w:rFonts w:ascii="Times New Roman" w:hAnsi="Times New Roman" w:eastAsia="Times New Roman" w:cs="Times New Roman"/>
                <w:spacing w:val="5"/>
                <w:sz w:val="17"/>
                <w:szCs w:val="17"/>
              </w:rPr>
              <w:t xml:space="preserve"> </w:t>
            </w:r>
            <w:r>
              <w:rPr>
                <w:rFonts w:ascii="宋体" w:hAnsi="宋体" w:eastAsia="宋体" w:cs="宋体"/>
                <w:spacing w:val="5"/>
                <w:sz w:val="17"/>
                <w:szCs w:val="17"/>
                <w14:textOutline w14:w="3268" w14:cap="sq" w14:cmpd="sng">
                  <w14:solidFill>
                    <w14:srgbClr w14:val="000000"/>
                  </w14:solidFill>
                  <w14:prstDash w14:val="solid"/>
                  <w14:bevel/>
                </w14:textOutline>
              </w:rPr>
              <w:t>类区</w:t>
            </w:r>
          </w:p>
        </w:tc>
        <w:tc>
          <w:tcPr>
            <w:tcW w:w="548" w:type="dxa"/>
            <w:vAlign w:val="top"/>
          </w:tcPr>
          <w:p>
            <w:pPr>
              <w:spacing w:before="267" w:line="230" w:lineRule="auto"/>
              <w:ind w:left="26"/>
              <w:rPr>
                <w:rFonts w:ascii="宋体" w:hAnsi="宋体" w:eastAsia="宋体" w:cs="宋体"/>
                <w:sz w:val="17"/>
                <w:szCs w:val="17"/>
              </w:rPr>
            </w:pPr>
            <w:r>
              <w:rPr>
                <w:rFonts w:ascii="Times New Roman" w:hAnsi="Times New Roman" w:eastAsia="Times New Roman" w:cs="Times New Roman"/>
                <w:b/>
                <w:bCs/>
                <w:spacing w:val="7"/>
                <w:sz w:val="17"/>
                <w:szCs w:val="17"/>
              </w:rPr>
              <w:t>2</w:t>
            </w:r>
            <w:r>
              <w:rPr>
                <w:rFonts w:ascii="Times New Roman" w:hAnsi="Times New Roman" w:eastAsia="Times New Roman" w:cs="Times New Roman"/>
                <w:spacing w:val="5"/>
                <w:sz w:val="17"/>
                <w:szCs w:val="17"/>
              </w:rPr>
              <w:t xml:space="preserve"> </w:t>
            </w:r>
            <w:r>
              <w:rPr>
                <w:rFonts w:ascii="宋体" w:hAnsi="宋体" w:eastAsia="宋体" w:cs="宋体"/>
                <w:spacing w:val="5"/>
                <w:sz w:val="17"/>
                <w:szCs w:val="17"/>
                <w14:textOutline w14:w="3268" w14:cap="sq" w14:cmpd="sng">
                  <w14:solidFill>
                    <w14:srgbClr w14:val="000000"/>
                  </w14:solidFill>
                  <w14:prstDash w14:val="solid"/>
                  <w14:bevel/>
                </w14:textOutline>
              </w:rPr>
              <w:t>类区</w:t>
            </w:r>
          </w:p>
        </w:tc>
        <w:tc>
          <w:tcPr>
            <w:tcW w:w="584" w:type="dxa"/>
            <w:vAlign w:val="top"/>
          </w:tcPr>
          <w:p>
            <w:pPr>
              <w:spacing w:before="267" w:line="230" w:lineRule="auto"/>
              <w:ind w:left="45"/>
              <w:rPr>
                <w:rFonts w:ascii="宋体" w:hAnsi="宋体" w:eastAsia="宋体" w:cs="宋体"/>
                <w:sz w:val="17"/>
                <w:szCs w:val="17"/>
              </w:rPr>
            </w:pPr>
            <w:r>
              <w:rPr>
                <w:rFonts w:ascii="Times New Roman" w:hAnsi="Times New Roman" w:eastAsia="Times New Roman" w:cs="Times New Roman"/>
                <w:b/>
                <w:bCs/>
                <w:spacing w:val="7"/>
                <w:sz w:val="17"/>
                <w:szCs w:val="17"/>
              </w:rPr>
              <w:t>2</w:t>
            </w:r>
            <w:r>
              <w:rPr>
                <w:rFonts w:ascii="Times New Roman" w:hAnsi="Times New Roman" w:eastAsia="Times New Roman" w:cs="Times New Roman"/>
                <w:spacing w:val="5"/>
                <w:sz w:val="17"/>
                <w:szCs w:val="17"/>
              </w:rPr>
              <w:t xml:space="preserve"> </w:t>
            </w:r>
            <w:r>
              <w:rPr>
                <w:rFonts w:ascii="宋体" w:hAnsi="宋体" w:eastAsia="宋体" w:cs="宋体"/>
                <w:spacing w:val="5"/>
                <w:sz w:val="17"/>
                <w:szCs w:val="17"/>
                <w14:textOutline w14:w="3268" w14:cap="sq" w14:cmpd="sng">
                  <w14:solidFill>
                    <w14:srgbClr w14:val="000000"/>
                  </w14:solidFill>
                  <w14:prstDash w14:val="solid"/>
                  <w14:bevel/>
                </w14:textOutline>
              </w:rPr>
              <w:t>类区</w:t>
            </w:r>
          </w:p>
        </w:tc>
        <w:tc>
          <w:tcPr>
            <w:tcW w:w="591" w:type="dxa"/>
            <w:vAlign w:val="top"/>
          </w:tcPr>
          <w:p>
            <w:pPr>
              <w:spacing w:before="267" w:line="230" w:lineRule="auto"/>
              <w:ind w:left="46"/>
              <w:rPr>
                <w:rFonts w:ascii="宋体" w:hAnsi="宋体" w:eastAsia="宋体" w:cs="宋体"/>
                <w:sz w:val="17"/>
                <w:szCs w:val="17"/>
              </w:rPr>
            </w:pPr>
            <w:r>
              <w:rPr>
                <w:rFonts w:ascii="Times New Roman" w:hAnsi="Times New Roman" w:eastAsia="Times New Roman" w:cs="Times New Roman"/>
                <w:b/>
                <w:bCs/>
                <w:spacing w:val="6"/>
                <w:sz w:val="17"/>
                <w:szCs w:val="17"/>
              </w:rPr>
              <w:t>2</w:t>
            </w:r>
            <w:r>
              <w:rPr>
                <w:rFonts w:ascii="Times New Roman" w:hAnsi="Times New Roman" w:eastAsia="Times New Roman" w:cs="Times New Roman"/>
                <w:spacing w:val="6"/>
                <w:sz w:val="17"/>
                <w:szCs w:val="17"/>
              </w:rPr>
              <w:t xml:space="preserve"> </w:t>
            </w:r>
            <w:r>
              <w:rPr>
                <w:rFonts w:ascii="宋体" w:hAnsi="宋体" w:eastAsia="宋体" w:cs="宋体"/>
                <w:spacing w:val="6"/>
                <w:sz w:val="17"/>
                <w:szCs w:val="17"/>
                <w14:textOutline w14:w="3268" w14:cap="sq" w14:cmpd="sng">
                  <w14:solidFill>
                    <w14:srgbClr w14:val="000000"/>
                  </w14:solidFill>
                  <w14:prstDash w14:val="solid"/>
                  <w14:bevel/>
                </w14:textOutline>
              </w:rPr>
              <w:t>类区</w:t>
            </w:r>
          </w:p>
        </w:tc>
        <w:tc>
          <w:tcPr>
            <w:tcW w:w="558" w:type="dxa"/>
            <w:vAlign w:val="top"/>
          </w:tcPr>
          <w:p>
            <w:pPr>
              <w:spacing w:before="267" w:line="230" w:lineRule="auto"/>
              <w:ind w:left="31"/>
              <w:rPr>
                <w:rFonts w:ascii="宋体" w:hAnsi="宋体" w:eastAsia="宋体" w:cs="宋体"/>
                <w:sz w:val="17"/>
                <w:szCs w:val="17"/>
              </w:rPr>
            </w:pPr>
            <w:r>
              <w:rPr>
                <w:rFonts w:ascii="Times New Roman" w:hAnsi="Times New Roman" w:eastAsia="Times New Roman" w:cs="Times New Roman"/>
                <w:b/>
                <w:bCs/>
                <w:spacing w:val="7"/>
                <w:sz w:val="17"/>
                <w:szCs w:val="17"/>
              </w:rPr>
              <w:t>2</w:t>
            </w:r>
            <w:r>
              <w:rPr>
                <w:rFonts w:ascii="Times New Roman" w:hAnsi="Times New Roman" w:eastAsia="Times New Roman" w:cs="Times New Roman"/>
                <w:spacing w:val="5"/>
                <w:sz w:val="17"/>
                <w:szCs w:val="17"/>
              </w:rPr>
              <w:t xml:space="preserve"> </w:t>
            </w:r>
            <w:r>
              <w:rPr>
                <w:rFonts w:ascii="宋体" w:hAnsi="宋体" w:eastAsia="宋体" w:cs="宋体"/>
                <w:spacing w:val="5"/>
                <w:sz w:val="17"/>
                <w:szCs w:val="17"/>
                <w14:textOutline w14:w="3268" w14:cap="sq" w14:cmpd="sng">
                  <w14:solidFill>
                    <w14:srgbClr w14:val="000000"/>
                  </w14:solidFill>
                  <w14:prstDash w14:val="solid"/>
                  <w14:bevel/>
                </w14:textOutline>
              </w:rPr>
              <w:t>类区</w:t>
            </w:r>
          </w:p>
        </w:tc>
        <w:tc>
          <w:tcPr>
            <w:tcW w:w="612" w:type="dxa"/>
            <w:vAlign w:val="top"/>
          </w:tcPr>
          <w:p>
            <w:pPr>
              <w:spacing w:before="267" w:line="230" w:lineRule="auto"/>
              <w:ind w:left="59"/>
              <w:rPr>
                <w:rFonts w:ascii="宋体" w:hAnsi="宋体" w:eastAsia="宋体" w:cs="宋体"/>
                <w:sz w:val="17"/>
                <w:szCs w:val="17"/>
              </w:rPr>
            </w:pPr>
            <w:r>
              <w:rPr>
                <w:rFonts w:ascii="Times New Roman" w:hAnsi="Times New Roman" w:eastAsia="Times New Roman" w:cs="Times New Roman"/>
                <w:b/>
                <w:bCs/>
                <w:spacing w:val="7"/>
                <w:sz w:val="17"/>
                <w:szCs w:val="17"/>
              </w:rPr>
              <w:t>2</w:t>
            </w:r>
            <w:r>
              <w:rPr>
                <w:rFonts w:ascii="Times New Roman" w:hAnsi="Times New Roman" w:eastAsia="Times New Roman" w:cs="Times New Roman"/>
                <w:spacing w:val="5"/>
                <w:sz w:val="17"/>
                <w:szCs w:val="17"/>
              </w:rPr>
              <w:t xml:space="preserve"> </w:t>
            </w:r>
            <w:r>
              <w:rPr>
                <w:rFonts w:ascii="宋体" w:hAnsi="宋体" w:eastAsia="宋体" w:cs="宋体"/>
                <w:spacing w:val="5"/>
                <w:sz w:val="17"/>
                <w:szCs w:val="17"/>
                <w14:textOutline w14:w="3268" w14:cap="sq" w14:cmpd="sng">
                  <w14:solidFill>
                    <w14:srgbClr w14:val="000000"/>
                  </w14:solidFill>
                  <w14:prstDash w14:val="solid"/>
                  <w14:bevel/>
                </w14:textOutline>
              </w:rPr>
              <w:t>类区</w:t>
            </w:r>
          </w:p>
        </w:tc>
        <w:tc>
          <w:tcPr>
            <w:tcW w:w="730" w:type="dxa"/>
            <w:vAlign w:val="top"/>
          </w:tcPr>
          <w:p>
            <w:pPr>
              <w:spacing w:before="267" w:line="230" w:lineRule="auto"/>
              <w:ind w:left="189"/>
              <w:rPr>
                <w:rFonts w:ascii="宋体" w:hAnsi="宋体" w:eastAsia="宋体" w:cs="宋体"/>
                <w:sz w:val="17"/>
                <w:szCs w:val="17"/>
              </w:rPr>
            </w:pPr>
            <w:r>
              <w:rPr>
                <w:rFonts w:ascii="宋体" w:hAnsi="宋体" w:eastAsia="宋体" w:cs="宋体"/>
                <w:spacing w:val="6"/>
                <w:sz w:val="17"/>
                <w:szCs w:val="17"/>
                <w14:textOutline w14:w="3268" w14:cap="sq" w14:cmpd="sng">
                  <w14:solidFill>
                    <w14:srgbClr w14:val="000000"/>
                  </w14:solidFill>
                  <w14:prstDash w14:val="solid"/>
                  <w14:bevel/>
                </w14:textOutline>
              </w:rPr>
              <w:t>类型</w:t>
            </w:r>
          </w:p>
        </w:tc>
        <w:tc>
          <w:tcPr>
            <w:tcW w:w="1287" w:type="dxa"/>
            <w:vAlign w:val="top"/>
          </w:tcPr>
          <w:p>
            <w:pPr>
              <w:spacing w:before="267" w:line="230" w:lineRule="auto"/>
              <w:ind w:left="196"/>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措施及规模</w:t>
            </w:r>
          </w:p>
        </w:tc>
        <w:tc>
          <w:tcPr>
            <w:tcW w:w="982" w:type="dxa"/>
            <w:vAlign w:val="top"/>
          </w:tcPr>
          <w:p>
            <w:pPr>
              <w:spacing w:before="128" w:line="268" w:lineRule="auto"/>
              <w:ind w:left="225" w:right="37" w:hanging="173"/>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噪</w:t>
            </w:r>
            <w:r>
              <w:rPr>
                <w:rFonts w:ascii="宋体" w:hAnsi="宋体" w:eastAsia="宋体" w:cs="宋体"/>
                <w:spacing w:val="7"/>
                <w:sz w:val="17"/>
                <w:szCs w:val="17"/>
                <w14:textOutline w14:w="3268" w14:cap="sq" w14:cmpd="sng">
                  <w14:solidFill>
                    <w14:srgbClr w14:val="000000"/>
                  </w14:solidFill>
                  <w14:prstDash w14:val="solid"/>
                  <w14:bevel/>
                </w14:textOutline>
              </w:rPr>
              <w:t>声控制措</w:t>
            </w:r>
            <w:r>
              <w:rPr>
                <w:rFonts w:ascii="宋体" w:hAnsi="宋体" w:eastAsia="宋体" w:cs="宋体"/>
                <w:sz w:val="17"/>
                <w:szCs w:val="17"/>
              </w:rPr>
              <w:t xml:space="preserve"> </w:t>
            </w:r>
            <w:r>
              <w:rPr>
                <w:rFonts w:ascii="宋体" w:hAnsi="宋体" w:eastAsia="宋体" w:cs="宋体"/>
                <w:spacing w:val="10"/>
                <w:sz w:val="17"/>
                <w:szCs w:val="17"/>
                <w14:textOutline w14:w="3268" w14:cap="sq" w14:cmpd="sng">
                  <w14:solidFill>
                    <w14:srgbClr w14:val="000000"/>
                  </w14:solidFill>
                  <w14:prstDash w14:val="solid"/>
                  <w14:bevel/>
                </w14:textOutline>
              </w:rPr>
              <w:t>施</w:t>
            </w:r>
            <w:r>
              <w:rPr>
                <w:rFonts w:ascii="宋体" w:hAnsi="宋体" w:eastAsia="宋体" w:cs="宋体"/>
                <w:spacing w:val="8"/>
                <w:sz w:val="17"/>
                <w:szCs w:val="17"/>
                <w14:textOutline w14:w="3268" w14:cap="sq" w14:cmpd="sng">
                  <w14:solidFill>
                    <w14:srgbClr w14:val="000000"/>
                  </w14:solidFill>
                  <w14:prstDash w14:val="solid"/>
                  <w14:bevel/>
                </w14:textOutline>
              </w:rPr>
              <w:t>效果</w:t>
            </w:r>
          </w:p>
        </w:tc>
        <w:tc>
          <w:tcPr>
            <w:tcW w:w="1055" w:type="dxa"/>
            <w:vAlign w:val="top"/>
          </w:tcPr>
          <w:p>
            <w:pPr>
              <w:spacing w:before="128" w:line="285" w:lineRule="auto"/>
              <w:ind w:left="52" w:right="50" w:firstLine="35"/>
              <w:rPr>
                <w:rFonts w:ascii="宋体" w:hAnsi="宋体" w:eastAsia="宋体" w:cs="宋体"/>
                <w:sz w:val="17"/>
                <w:szCs w:val="17"/>
              </w:rPr>
            </w:pPr>
            <w:r>
              <w:rPr>
                <w:rFonts w:ascii="宋体" w:hAnsi="宋体" w:eastAsia="宋体" w:cs="宋体"/>
                <w:spacing w:val="8"/>
                <w:sz w:val="17"/>
                <w:szCs w:val="17"/>
                <w14:textOutline w14:w="3268" w14:cap="sq" w14:cmpd="sng">
                  <w14:solidFill>
                    <w14:srgbClr w14:val="000000"/>
                  </w14:solidFill>
                  <w14:prstDash w14:val="solid"/>
                  <w14:bevel/>
                </w14:textOutline>
              </w:rPr>
              <w:t>噪</w:t>
            </w:r>
            <w:r>
              <w:rPr>
                <w:rFonts w:ascii="宋体" w:hAnsi="宋体" w:eastAsia="宋体" w:cs="宋体"/>
                <w:spacing w:val="7"/>
                <w:sz w:val="17"/>
                <w:szCs w:val="17"/>
                <w14:textOutline w14:w="3268" w14:cap="sq" w14:cmpd="sng">
                  <w14:solidFill>
                    <w14:srgbClr w14:val="000000"/>
                  </w14:solidFill>
                  <w14:prstDash w14:val="solid"/>
                  <w14:bevel/>
                </w14:textOutline>
              </w:rPr>
              <w:t>声控制措</w:t>
            </w:r>
            <w:r>
              <w:rPr>
                <w:rFonts w:ascii="宋体" w:hAnsi="宋体" w:eastAsia="宋体" w:cs="宋体"/>
                <w:sz w:val="17"/>
                <w:szCs w:val="17"/>
              </w:rPr>
              <w:t xml:space="preserve"> </w:t>
            </w:r>
            <w:r>
              <w:rPr>
                <w:rFonts w:ascii="宋体" w:hAnsi="宋体" w:eastAsia="宋体" w:cs="宋体"/>
                <w:spacing w:val="9"/>
                <w:sz w:val="17"/>
                <w:szCs w:val="17"/>
                <w14:textOutline w14:w="3268" w14:cap="sq" w14:cmpd="sng">
                  <w14:solidFill>
                    <w14:srgbClr w14:val="000000"/>
                  </w14:solidFill>
                  <w14:prstDash w14:val="solid"/>
                  <w14:bevel/>
                </w14:textOutline>
              </w:rPr>
              <w:t>施</w:t>
            </w:r>
            <w:r>
              <w:rPr>
                <w:rFonts w:ascii="宋体" w:hAnsi="宋体" w:eastAsia="宋体" w:cs="宋体"/>
                <w:spacing w:val="8"/>
                <w:sz w:val="17"/>
                <w:szCs w:val="17"/>
                <w14:textOutline w14:w="3268" w14:cap="sq" w14:cmpd="sng">
                  <w14:solidFill>
                    <w14:srgbClr w14:val="000000"/>
                  </w14:solidFill>
                  <w14:prstDash w14:val="solid"/>
                  <w14:bevel/>
                </w14:textOutline>
              </w:rPr>
              <w:t>投资</w:t>
            </w:r>
            <w:r>
              <w:rPr>
                <w:rFonts w:ascii="Times New Roman" w:hAnsi="Times New Roman" w:eastAsia="Times New Roman" w:cs="Times New Roman"/>
                <w:b/>
                <w:bCs/>
                <w:spacing w:val="8"/>
                <w:sz w:val="17"/>
                <w:szCs w:val="17"/>
              </w:rPr>
              <w:t>/</w:t>
            </w:r>
            <w:r>
              <w:rPr>
                <w:rFonts w:ascii="宋体" w:hAnsi="宋体" w:eastAsia="宋体" w:cs="宋体"/>
                <w:spacing w:val="8"/>
                <w:sz w:val="17"/>
                <w:szCs w:val="17"/>
                <w14:textOutline w14:w="3268" w14:cap="sq" w14:cmpd="sng">
                  <w14:solidFill>
                    <w14:srgbClr w14:val="000000"/>
                  </w14:solidFill>
                  <w14:prstDash w14:val="solid"/>
                  <w14:bevel/>
                </w14:textOutline>
              </w:rPr>
              <w:t>万元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404" w:type="dxa"/>
            <w:vAlign w:val="top"/>
          </w:tcPr>
          <w:p>
            <w:pPr>
              <w:spacing w:before="112" w:line="197" w:lineRule="auto"/>
              <w:ind w:left="216"/>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659" w:type="dxa"/>
            <w:vMerge w:val="restart"/>
            <w:tcBorders>
              <w:bottom w:val="nil"/>
            </w:tcBorders>
            <w:vAlign w:val="top"/>
          </w:tcPr>
          <w:p>
            <w:pPr>
              <w:spacing w:line="397" w:lineRule="auto"/>
              <w:rPr>
                <w:rFonts w:ascii="Arial"/>
                <w:sz w:val="21"/>
              </w:rPr>
            </w:pPr>
          </w:p>
          <w:p>
            <w:pPr>
              <w:spacing w:before="56" w:line="305" w:lineRule="auto"/>
              <w:ind w:left="66" w:right="58" w:hanging="11"/>
              <w:rPr>
                <w:rFonts w:ascii="宋体" w:hAnsi="宋体" w:eastAsia="宋体" w:cs="宋体"/>
                <w:sz w:val="17"/>
                <w:szCs w:val="17"/>
              </w:rPr>
            </w:pPr>
            <w:r>
              <w:rPr>
                <w:rFonts w:ascii="宋体" w:hAnsi="宋体" w:eastAsia="宋体" w:cs="宋体"/>
                <w:spacing w:val="10"/>
                <w:sz w:val="17"/>
                <w:szCs w:val="17"/>
              </w:rPr>
              <w:t>“</w:t>
            </w:r>
            <w:r>
              <w:fldChar w:fldCharType="begin"/>
            </w:r>
            <w:r>
              <w:instrText xml:space="preserve"> HYPERLINK "https://dazhou.news.fang.com/house/3228151310_24099596.htm" </w:instrText>
            </w:r>
            <w:r>
              <w:fldChar w:fldCharType="separate"/>
            </w:r>
            <w:r>
              <w:rPr>
                <w:rFonts w:ascii="宋体" w:hAnsi="宋体" w:eastAsia="宋体" w:cs="宋体"/>
                <w:spacing w:val="10"/>
                <w:sz w:val="17"/>
                <w:szCs w:val="17"/>
              </w:rPr>
              <w:t>绿地</w:t>
            </w:r>
            <w:r>
              <w:rPr>
                <w:rFonts w:ascii="宋体" w:hAnsi="宋体" w:eastAsia="宋体" w:cs="宋体"/>
                <w:spacing w:val="10"/>
                <w:sz w:val="17"/>
                <w:szCs w:val="17"/>
              </w:rPr>
              <w:fldChar w:fldCharType="end"/>
            </w:r>
            <w:r>
              <w:rPr>
                <w:rFonts w:ascii="宋体" w:hAnsi="宋体" w:eastAsia="宋体" w:cs="宋体"/>
                <w:sz w:val="17"/>
                <w:szCs w:val="17"/>
              </w:rPr>
              <w:t xml:space="preserve"> </w:t>
            </w:r>
            <w:r>
              <w:rPr>
                <w:rFonts w:ascii="宋体" w:hAnsi="宋体" w:eastAsia="宋体" w:cs="宋体"/>
                <w:spacing w:val="7"/>
                <w:sz w:val="17"/>
                <w:szCs w:val="17"/>
              </w:rPr>
              <w:t>外</w:t>
            </w:r>
            <w:r>
              <w:rPr>
                <w:rFonts w:ascii="宋体" w:hAnsi="宋体" w:eastAsia="宋体" w:cs="宋体"/>
                <w:spacing w:val="6"/>
                <w:sz w:val="17"/>
                <w:szCs w:val="17"/>
              </w:rPr>
              <w:t>滩名</w:t>
            </w:r>
          </w:p>
          <w:p>
            <w:pPr>
              <w:spacing w:line="317" w:lineRule="auto"/>
              <w:ind w:left="51" w:right="36" w:firstLine="119"/>
              <w:rPr>
                <w:rFonts w:ascii="宋体" w:hAnsi="宋体" w:eastAsia="宋体" w:cs="宋体"/>
                <w:sz w:val="17"/>
                <w:szCs w:val="17"/>
              </w:rPr>
            </w:pPr>
            <w:r>
              <w:rPr>
                <w:rFonts w:ascii="宋体" w:hAnsi="宋体" w:eastAsia="宋体" w:cs="宋体"/>
                <w:spacing w:val="39"/>
                <w:sz w:val="17"/>
                <w:szCs w:val="17"/>
              </w:rPr>
              <w:t>门</w:t>
            </w:r>
            <w:r>
              <w:rPr>
                <w:rFonts w:ascii="宋体" w:hAnsi="宋体" w:eastAsia="宋体" w:cs="宋体"/>
                <w:spacing w:val="38"/>
                <w:sz w:val="17"/>
                <w:szCs w:val="17"/>
              </w:rPr>
              <w:t>”</w:t>
            </w:r>
            <w:r>
              <w:rPr>
                <w:rFonts w:ascii="宋体" w:hAnsi="宋体" w:eastAsia="宋体" w:cs="宋体"/>
                <w:sz w:val="17"/>
                <w:szCs w:val="17"/>
              </w:rPr>
              <w:t xml:space="preserve"> </w:t>
            </w:r>
            <w:r>
              <w:rPr>
                <w:rFonts w:ascii="宋体" w:hAnsi="宋体" w:eastAsia="宋体" w:cs="宋体"/>
                <w:spacing w:val="11"/>
                <w:sz w:val="17"/>
                <w:szCs w:val="17"/>
              </w:rPr>
              <w:t>居住小</w:t>
            </w:r>
            <w:r>
              <w:rPr>
                <w:rFonts w:ascii="宋体" w:hAnsi="宋体" w:eastAsia="宋体" w:cs="宋体"/>
                <w:sz w:val="17"/>
                <w:szCs w:val="17"/>
              </w:rPr>
              <w:t xml:space="preserve"> </w:t>
            </w:r>
            <w:r>
              <w:rPr>
                <w:rFonts w:ascii="宋体" w:hAnsi="宋体" w:eastAsia="宋体" w:cs="宋体"/>
                <w:spacing w:val="-6"/>
                <w:sz w:val="17"/>
                <w:szCs w:val="17"/>
              </w:rPr>
              <w:t xml:space="preserve">区 </w:t>
            </w:r>
            <w:r>
              <w:rPr>
                <w:rFonts w:ascii="Times New Roman" w:hAnsi="Times New Roman" w:eastAsia="Times New Roman" w:cs="Times New Roman"/>
                <w:spacing w:val="-6"/>
                <w:sz w:val="17"/>
                <w:szCs w:val="17"/>
              </w:rPr>
              <w:t>8#</w:t>
            </w:r>
            <w:r>
              <w:rPr>
                <w:rFonts w:ascii="宋体" w:hAnsi="宋体" w:eastAsia="宋体" w:cs="宋体"/>
                <w:spacing w:val="-6"/>
                <w:sz w:val="17"/>
                <w:szCs w:val="17"/>
              </w:rPr>
              <w:t>楼</w:t>
            </w:r>
          </w:p>
        </w:tc>
        <w:tc>
          <w:tcPr>
            <w:tcW w:w="384" w:type="dxa"/>
            <w:vAlign w:val="top"/>
          </w:tcPr>
          <w:p>
            <w:pPr>
              <w:spacing w:before="112" w:line="197" w:lineRule="auto"/>
              <w:ind w:left="113"/>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1</w:t>
            </w:r>
            <w:r>
              <w:rPr>
                <w:rFonts w:ascii="Times New Roman" w:hAnsi="Times New Roman" w:eastAsia="Times New Roman" w:cs="Times New Roman"/>
                <w:spacing w:val="-4"/>
                <w:sz w:val="17"/>
                <w:szCs w:val="17"/>
              </w:rPr>
              <w:t>F</w:t>
            </w:r>
          </w:p>
        </w:tc>
        <w:tc>
          <w:tcPr>
            <w:tcW w:w="730" w:type="dxa"/>
            <w:vMerge w:val="restart"/>
            <w:tcBorders>
              <w:bottom w:val="nil"/>
            </w:tcBorders>
            <w:vAlign w:val="top"/>
          </w:tcPr>
          <w:p>
            <w:pPr>
              <w:spacing w:line="309" w:lineRule="auto"/>
              <w:rPr>
                <w:rFonts w:ascii="Arial"/>
                <w:sz w:val="21"/>
              </w:rPr>
            </w:pPr>
          </w:p>
          <w:p>
            <w:pPr>
              <w:spacing w:line="309" w:lineRule="auto"/>
              <w:rPr>
                <w:rFonts w:ascii="Arial"/>
                <w:sz w:val="21"/>
              </w:rPr>
            </w:pPr>
          </w:p>
          <w:p>
            <w:pPr>
              <w:spacing w:line="309" w:lineRule="auto"/>
              <w:rPr>
                <w:rFonts w:ascii="Arial"/>
                <w:sz w:val="21"/>
              </w:rPr>
            </w:pPr>
          </w:p>
          <w:p>
            <w:pPr>
              <w:spacing w:before="49" w:line="242" w:lineRule="exact"/>
              <w:ind w:left="66"/>
              <w:rPr>
                <w:rFonts w:ascii="Times New Roman" w:hAnsi="Times New Roman" w:eastAsia="Times New Roman" w:cs="Times New Roman"/>
                <w:sz w:val="17"/>
                <w:szCs w:val="17"/>
              </w:rPr>
            </w:pPr>
            <w:r>
              <w:rPr>
                <w:rFonts w:ascii="Times New Roman" w:hAnsi="Times New Roman" w:eastAsia="Times New Roman" w:cs="Times New Roman"/>
                <w:position w:val="2"/>
                <w:sz w:val="17"/>
                <w:szCs w:val="17"/>
              </w:rPr>
              <w:t>K</w:t>
            </w:r>
            <w:r>
              <w:rPr>
                <w:rFonts w:ascii="Times New Roman" w:hAnsi="Times New Roman" w:eastAsia="Times New Roman" w:cs="Times New Roman"/>
                <w:spacing w:val="6"/>
                <w:position w:val="2"/>
                <w:sz w:val="17"/>
                <w:szCs w:val="17"/>
              </w:rPr>
              <w:t>0+00</w:t>
            </w:r>
            <w:r>
              <w:rPr>
                <w:rFonts w:ascii="Times New Roman" w:hAnsi="Times New Roman" w:eastAsia="Times New Roman" w:cs="Times New Roman"/>
                <w:spacing w:val="5"/>
                <w:position w:val="2"/>
                <w:sz w:val="17"/>
                <w:szCs w:val="17"/>
              </w:rPr>
              <w:t>0</w:t>
            </w:r>
          </w:p>
        </w:tc>
        <w:tc>
          <w:tcPr>
            <w:tcW w:w="559"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49" w:line="197" w:lineRule="auto"/>
              <w:ind w:left="18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w:t>
            </w:r>
          </w:p>
        </w:tc>
        <w:tc>
          <w:tcPr>
            <w:tcW w:w="470" w:type="dxa"/>
            <w:vAlign w:val="top"/>
          </w:tcPr>
          <w:p>
            <w:pPr>
              <w:spacing w:before="112" w:line="200" w:lineRule="auto"/>
              <w:ind w:left="13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w:t>
            </w:r>
          </w:p>
        </w:tc>
        <w:tc>
          <w:tcPr>
            <w:tcW w:w="557" w:type="dxa"/>
            <w:vAlign w:val="top"/>
          </w:tcPr>
          <w:p>
            <w:pPr>
              <w:spacing w:before="95" w:line="197" w:lineRule="auto"/>
              <w:ind w:left="12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59.6</w:t>
            </w:r>
          </w:p>
        </w:tc>
        <w:tc>
          <w:tcPr>
            <w:tcW w:w="561" w:type="dxa"/>
            <w:vAlign w:val="top"/>
          </w:tcPr>
          <w:p>
            <w:pPr>
              <w:spacing w:before="95" w:line="197" w:lineRule="auto"/>
              <w:ind w:left="121"/>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9.8</w:t>
            </w:r>
          </w:p>
        </w:tc>
        <w:tc>
          <w:tcPr>
            <w:tcW w:w="551" w:type="dxa"/>
            <w:vAlign w:val="top"/>
          </w:tcPr>
          <w:p>
            <w:pPr>
              <w:spacing w:before="95" w:line="197" w:lineRule="auto"/>
              <w:ind w:left="12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w:t>
            </w:r>
            <w:r>
              <w:rPr>
                <w:rFonts w:ascii="Times New Roman" w:hAnsi="Times New Roman" w:eastAsia="Times New Roman" w:cs="Times New Roman"/>
                <w:spacing w:val="2"/>
                <w:sz w:val="17"/>
                <w:szCs w:val="17"/>
              </w:rPr>
              <w:t>.7</w:t>
            </w:r>
          </w:p>
        </w:tc>
        <w:tc>
          <w:tcPr>
            <w:tcW w:w="567" w:type="dxa"/>
            <w:vAlign w:val="top"/>
          </w:tcPr>
          <w:p>
            <w:pPr>
              <w:spacing w:before="95" w:line="197" w:lineRule="auto"/>
              <w:ind w:left="13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2"/>
                <w:sz w:val="17"/>
                <w:szCs w:val="17"/>
              </w:rPr>
              <w:t>0.0</w:t>
            </w:r>
          </w:p>
        </w:tc>
        <w:tc>
          <w:tcPr>
            <w:tcW w:w="569" w:type="dxa"/>
            <w:vAlign w:val="top"/>
          </w:tcPr>
          <w:p>
            <w:pPr>
              <w:spacing w:before="95" w:line="197" w:lineRule="auto"/>
              <w:ind w:left="13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59.</w:t>
            </w:r>
            <w:r>
              <w:rPr>
                <w:rFonts w:ascii="Times New Roman" w:hAnsi="Times New Roman" w:eastAsia="Times New Roman" w:cs="Times New Roman"/>
                <w:spacing w:val="3"/>
                <w:sz w:val="17"/>
                <w:szCs w:val="17"/>
              </w:rPr>
              <w:t>8</w:t>
            </w:r>
          </w:p>
        </w:tc>
        <w:tc>
          <w:tcPr>
            <w:tcW w:w="553" w:type="dxa"/>
            <w:vAlign w:val="top"/>
          </w:tcPr>
          <w:p>
            <w:pPr>
              <w:spacing w:before="95" w:line="197" w:lineRule="auto"/>
              <w:ind w:left="123"/>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5</w:t>
            </w:r>
            <w:r>
              <w:rPr>
                <w:rFonts w:ascii="Times New Roman" w:hAnsi="Times New Roman" w:eastAsia="Times New Roman" w:cs="Times New Roman"/>
                <w:spacing w:val="-3"/>
                <w:sz w:val="17"/>
                <w:szCs w:val="17"/>
              </w:rPr>
              <w:t>0. 1</w:t>
            </w:r>
          </w:p>
        </w:tc>
        <w:tc>
          <w:tcPr>
            <w:tcW w:w="569" w:type="dxa"/>
            <w:vAlign w:val="top"/>
          </w:tcPr>
          <w:p>
            <w:pPr>
              <w:spacing w:before="31" w:line="243" w:lineRule="exact"/>
              <w:ind w:left="25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548" w:type="dxa"/>
            <w:vAlign w:val="top"/>
          </w:tcPr>
          <w:p>
            <w:pPr>
              <w:spacing w:before="31" w:line="243" w:lineRule="exact"/>
              <w:ind w:left="24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584" w:type="dxa"/>
            <w:vAlign w:val="top"/>
          </w:tcPr>
          <w:p>
            <w:pPr>
              <w:spacing w:before="95" w:line="197" w:lineRule="auto"/>
              <w:ind w:left="181"/>
              <w:rPr>
                <w:rFonts w:ascii="Times New Roman" w:hAnsi="Times New Roman" w:eastAsia="Times New Roman" w:cs="Times New Roman"/>
                <w:sz w:val="17"/>
                <w:szCs w:val="17"/>
              </w:rPr>
            </w:pPr>
            <w:r>
              <w:rPr>
                <w:rFonts w:ascii="Times New Roman" w:hAnsi="Times New Roman" w:eastAsia="Times New Roman" w:cs="Times New Roman"/>
                <w:spacing w:val="8"/>
                <w:sz w:val="17"/>
                <w:szCs w:val="17"/>
              </w:rPr>
              <w:t>0.</w:t>
            </w:r>
            <w:r>
              <w:rPr>
                <w:rFonts w:ascii="Times New Roman" w:hAnsi="Times New Roman" w:eastAsia="Times New Roman" w:cs="Times New Roman"/>
                <w:spacing w:val="7"/>
                <w:sz w:val="17"/>
                <w:szCs w:val="17"/>
              </w:rPr>
              <w:t>1</w:t>
            </w:r>
          </w:p>
        </w:tc>
        <w:tc>
          <w:tcPr>
            <w:tcW w:w="591" w:type="dxa"/>
            <w:vAlign w:val="top"/>
          </w:tcPr>
          <w:p>
            <w:pPr>
              <w:spacing w:before="48" w:line="242" w:lineRule="exact"/>
              <w:ind w:left="26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558" w:type="dxa"/>
            <w:vAlign w:val="top"/>
          </w:tcPr>
          <w:p>
            <w:pPr>
              <w:spacing w:before="48" w:line="242" w:lineRule="exact"/>
              <w:ind w:left="250"/>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12" w:type="dxa"/>
            <w:vAlign w:val="top"/>
          </w:tcPr>
          <w:p>
            <w:pPr>
              <w:spacing w:before="112" w:line="197" w:lineRule="auto"/>
              <w:ind w:left="26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730" w:type="dxa"/>
            <w:vMerge w:val="restart"/>
            <w:tcBorders>
              <w:bottom w:val="nil"/>
            </w:tcBorders>
            <w:vAlign w:val="top"/>
          </w:tcPr>
          <w:p>
            <w:pPr>
              <w:spacing w:line="398" w:lineRule="auto"/>
              <w:rPr>
                <w:rFonts w:ascii="Arial"/>
                <w:sz w:val="21"/>
              </w:rPr>
            </w:pPr>
          </w:p>
          <w:p>
            <w:pPr>
              <w:spacing w:before="55" w:line="230" w:lineRule="auto"/>
              <w:ind w:left="97"/>
              <w:rPr>
                <w:rFonts w:ascii="宋体" w:hAnsi="宋体" w:eastAsia="宋体" w:cs="宋体"/>
                <w:sz w:val="17"/>
                <w:szCs w:val="17"/>
              </w:rPr>
            </w:pPr>
            <w:r>
              <w:rPr>
                <w:rFonts w:ascii="宋体" w:hAnsi="宋体" w:eastAsia="宋体" w:cs="宋体"/>
                <w:spacing w:val="8"/>
                <w:sz w:val="17"/>
                <w:szCs w:val="17"/>
              </w:rPr>
              <w:t>源头</w:t>
            </w:r>
            <w:r>
              <w:rPr>
                <w:rFonts w:ascii="宋体" w:hAnsi="宋体" w:eastAsia="宋体" w:cs="宋体"/>
                <w:spacing w:val="7"/>
                <w:sz w:val="17"/>
                <w:szCs w:val="17"/>
              </w:rPr>
              <w:t>控</w:t>
            </w:r>
          </w:p>
          <w:p>
            <w:pPr>
              <w:spacing w:before="68" w:line="231" w:lineRule="auto"/>
              <w:ind w:left="29"/>
              <w:rPr>
                <w:rFonts w:ascii="宋体" w:hAnsi="宋体" w:eastAsia="宋体" w:cs="宋体"/>
                <w:sz w:val="17"/>
                <w:szCs w:val="17"/>
              </w:rPr>
            </w:pPr>
            <w:r>
              <w:rPr>
                <w:rFonts w:ascii="宋体" w:hAnsi="宋体" w:eastAsia="宋体" w:cs="宋体"/>
                <w:spacing w:val="-2"/>
                <w:sz w:val="17"/>
                <w:szCs w:val="17"/>
              </w:rPr>
              <w:t>制、传</w:t>
            </w:r>
            <w:r>
              <w:rPr>
                <w:rFonts w:ascii="宋体" w:hAnsi="宋体" w:eastAsia="宋体" w:cs="宋体"/>
                <w:spacing w:val="-1"/>
                <w:sz w:val="17"/>
                <w:szCs w:val="17"/>
              </w:rPr>
              <w:t>播</w:t>
            </w:r>
          </w:p>
          <w:p>
            <w:pPr>
              <w:spacing w:before="68" w:line="230" w:lineRule="auto"/>
              <w:ind w:left="99"/>
              <w:rPr>
                <w:rFonts w:ascii="宋体" w:hAnsi="宋体" w:eastAsia="宋体" w:cs="宋体"/>
                <w:sz w:val="17"/>
                <w:szCs w:val="17"/>
              </w:rPr>
            </w:pPr>
            <w:r>
              <w:rPr>
                <w:rFonts w:ascii="宋体" w:hAnsi="宋体" w:eastAsia="宋体" w:cs="宋体"/>
                <w:spacing w:val="7"/>
                <w:sz w:val="17"/>
                <w:szCs w:val="17"/>
              </w:rPr>
              <w:t>路径控</w:t>
            </w:r>
          </w:p>
          <w:p>
            <w:pPr>
              <w:spacing w:before="66" w:line="231" w:lineRule="auto"/>
              <w:ind w:left="29"/>
              <w:rPr>
                <w:rFonts w:ascii="宋体" w:hAnsi="宋体" w:eastAsia="宋体" w:cs="宋体"/>
                <w:sz w:val="17"/>
                <w:szCs w:val="17"/>
              </w:rPr>
            </w:pPr>
            <w:r>
              <w:rPr>
                <w:rFonts w:ascii="宋体" w:hAnsi="宋体" w:eastAsia="宋体" w:cs="宋体"/>
                <w:spacing w:val="-2"/>
                <w:sz w:val="17"/>
                <w:szCs w:val="17"/>
              </w:rPr>
              <w:t>制、跟</w:t>
            </w:r>
            <w:r>
              <w:rPr>
                <w:rFonts w:ascii="宋体" w:hAnsi="宋体" w:eastAsia="宋体" w:cs="宋体"/>
                <w:spacing w:val="-1"/>
                <w:sz w:val="17"/>
                <w:szCs w:val="17"/>
              </w:rPr>
              <w:t>踪</w:t>
            </w:r>
          </w:p>
          <w:p>
            <w:pPr>
              <w:spacing w:before="67" w:line="232" w:lineRule="auto"/>
              <w:ind w:left="190"/>
              <w:rPr>
                <w:rFonts w:ascii="宋体" w:hAnsi="宋体" w:eastAsia="宋体" w:cs="宋体"/>
                <w:sz w:val="17"/>
                <w:szCs w:val="17"/>
              </w:rPr>
            </w:pPr>
            <w:r>
              <w:rPr>
                <w:rFonts w:ascii="宋体" w:hAnsi="宋体" w:eastAsia="宋体" w:cs="宋体"/>
                <w:spacing w:val="6"/>
                <w:sz w:val="17"/>
                <w:szCs w:val="17"/>
              </w:rPr>
              <w:t>监测</w:t>
            </w:r>
          </w:p>
        </w:tc>
        <w:tc>
          <w:tcPr>
            <w:tcW w:w="1287" w:type="dxa"/>
            <w:vMerge w:val="restart"/>
            <w:tcBorders>
              <w:bottom w:val="nil"/>
            </w:tcBorders>
            <w:vAlign w:val="top"/>
          </w:tcPr>
          <w:p>
            <w:pPr>
              <w:spacing w:before="177" w:line="229" w:lineRule="auto"/>
              <w:ind w:left="109"/>
              <w:rPr>
                <w:rFonts w:ascii="宋体" w:hAnsi="宋体" w:eastAsia="宋体" w:cs="宋体"/>
                <w:sz w:val="17"/>
                <w:szCs w:val="17"/>
              </w:rPr>
            </w:pPr>
            <w:r>
              <w:rPr>
                <w:rFonts w:ascii="宋体" w:hAnsi="宋体" w:eastAsia="宋体" w:cs="宋体"/>
                <w:spacing w:val="9"/>
                <w:sz w:val="17"/>
                <w:szCs w:val="17"/>
              </w:rPr>
              <w:t>采用低噪声</w:t>
            </w:r>
            <w:r>
              <w:rPr>
                <w:rFonts w:ascii="宋体" w:hAnsi="宋体" w:eastAsia="宋体" w:cs="宋体"/>
                <w:spacing w:val="8"/>
                <w:sz w:val="17"/>
                <w:szCs w:val="17"/>
              </w:rPr>
              <w:t>的</w:t>
            </w:r>
          </w:p>
          <w:p>
            <w:pPr>
              <w:spacing w:before="68" w:line="304" w:lineRule="auto"/>
              <w:ind w:left="26" w:right="20" w:firstLine="89"/>
              <w:rPr>
                <w:rFonts w:ascii="宋体" w:hAnsi="宋体" w:eastAsia="宋体" w:cs="宋体"/>
                <w:sz w:val="17"/>
                <w:szCs w:val="17"/>
              </w:rPr>
            </w:pPr>
            <w:r>
              <w:rPr>
                <w:rFonts w:ascii="宋体" w:hAnsi="宋体" w:eastAsia="宋体" w:cs="宋体"/>
                <w:spacing w:val="11"/>
                <w:sz w:val="17"/>
                <w:szCs w:val="17"/>
              </w:rPr>
              <w:t>改</w:t>
            </w:r>
            <w:r>
              <w:rPr>
                <w:rFonts w:ascii="宋体" w:hAnsi="宋体" w:eastAsia="宋体" w:cs="宋体"/>
                <w:spacing w:val="7"/>
                <w:sz w:val="17"/>
                <w:szCs w:val="17"/>
              </w:rPr>
              <w:t>性沥青混凝</w:t>
            </w:r>
            <w:r>
              <w:rPr>
                <w:rFonts w:ascii="宋体" w:hAnsi="宋体" w:eastAsia="宋体" w:cs="宋体"/>
                <w:sz w:val="17"/>
                <w:szCs w:val="17"/>
              </w:rPr>
              <w:t xml:space="preserve"> </w:t>
            </w:r>
            <w:r>
              <w:rPr>
                <w:rFonts w:ascii="宋体" w:hAnsi="宋体" w:eastAsia="宋体" w:cs="宋体"/>
                <w:spacing w:val="9"/>
                <w:sz w:val="17"/>
                <w:szCs w:val="17"/>
              </w:rPr>
              <w:t>土</w:t>
            </w:r>
            <w:r>
              <w:rPr>
                <w:rFonts w:ascii="宋体" w:hAnsi="宋体" w:eastAsia="宋体" w:cs="宋体"/>
                <w:spacing w:val="6"/>
                <w:sz w:val="17"/>
                <w:szCs w:val="17"/>
              </w:rPr>
              <w:t>路面；桥梁两</w:t>
            </w:r>
            <w:r>
              <w:rPr>
                <w:rFonts w:ascii="宋体" w:hAnsi="宋体" w:eastAsia="宋体" w:cs="宋体"/>
                <w:sz w:val="17"/>
                <w:szCs w:val="17"/>
              </w:rPr>
              <w:t xml:space="preserve"> </w:t>
            </w:r>
            <w:r>
              <w:rPr>
                <w:rFonts w:ascii="宋体" w:hAnsi="宋体" w:eastAsia="宋体" w:cs="宋体"/>
                <w:spacing w:val="9"/>
                <w:sz w:val="17"/>
                <w:szCs w:val="17"/>
              </w:rPr>
              <w:t>侧</w:t>
            </w:r>
            <w:r>
              <w:rPr>
                <w:rFonts w:ascii="宋体" w:hAnsi="宋体" w:eastAsia="宋体" w:cs="宋体"/>
                <w:spacing w:val="6"/>
                <w:sz w:val="17"/>
                <w:szCs w:val="17"/>
              </w:rPr>
              <w:t>设防撞墙、两</w:t>
            </w:r>
            <w:r>
              <w:rPr>
                <w:rFonts w:ascii="宋体" w:hAnsi="宋体" w:eastAsia="宋体" w:cs="宋体"/>
                <w:sz w:val="17"/>
                <w:szCs w:val="17"/>
              </w:rPr>
              <w:t xml:space="preserve"> </w:t>
            </w:r>
            <w:r>
              <w:rPr>
                <w:rFonts w:ascii="宋体" w:hAnsi="宋体" w:eastAsia="宋体" w:cs="宋体"/>
                <w:spacing w:val="4"/>
                <w:sz w:val="17"/>
                <w:szCs w:val="17"/>
              </w:rPr>
              <w:t>端</w:t>
            </w:r>
            <w:r>
              <w:rPr>
                <w:rFonts w:ascii="宋体" w:hAnsi="宋体" w:eastAsia="宋体" w:cs="宋体"/>
                <w:spacing w:val="3"/>
                <w:sz w:val="17"/>
                <w:szCs w:val="17"/>
              </w:rPr>
              <w:t>种</w:t>
            </w:r>
            <w:r>
              <w:rPr>
                <w:rFonts w:ascii="宋体" w:hAnsi="宋体" w:eastAsia="宋体" w:cs="宋体"/>
                <w:spacing w:val="2"/>
                <w:sz w:val="17"/>
                <w:szCs w:val="17"/>
              </w:rPr>
              <w:t>植绿化带；</w:t>
            </w:r>
          </w:p>
          <w:p>
            <w:pPr>
              <w:spacing w:before="1" w:line="316" w:lineRule="auto"/>
              <w:ind w:left="289" w:right="99" w:hanging="180"/>
              <w:rPr>
                <w:rFonts w:ascii="宋体" w:hAnsi="宋体" w:eastAsia="宋体" w:cs="宋体"/>
                <w:sz w:val="17"/>
                <w:szCs w:val="17"/>
              </w:rPr>
            </w:pPr>
            <w:r>
              <w:rPr>
                <w:rFonts w:ascii="宋体" w:hAnsi="宋体" w:eastAsia="宋体" w:cs="宋体"/>
                <w:spacing w:val="9"/>
                <w:sz w:val="17"/>
                <w:szCs w:val="17"/>
              </w:rPr>
              <w:t>接缝处无缝</w:t>
            </w:r>
            <w:r>
              <w:rPr>
                <w:rFonts w:ascii="宋体" w:hAnsi="宋体" w:eastAsia="宋体" w:cs="宋体"/>
                <w:spacing w:val="8"/>
                <w:sz w:val="17"/>
                <w:szCs w:val="17"/>
              </w:rPr>
              <w:t>式</w:t>
            </w:r>
            <w:r>
              <w:rPr>
                <w:rFonts w:ascii="宋体" w:hAnsi="宋体" w:eastAsia="宋体" w:cs="宋体"/>
                <w:sz w:val="17"/>
                <w:szCs w:val="17"/>
              </w:rPr>
              <w:t xml:space="preserve"> </w:t>
            </w:r>
            <w:r>
              <w:rPr>
                <w:rFonts w:ascii="宋体" w:hAnsi="宋体" w:eastAsia="宋体" w:cs="宋体"/>
                <w:spacing w:val="9"/>
                <w:sz w:val="17"/>
                <w:szCs w:val="17"/>
              </w:rPr>
              <w:t>伸</w:t>
            </w:r>
            <w:r>
              <w:rPr>
                <w:rFonts w:ascii="宋体" w:hAnsi="宋体" w:eastAsia="宋体" w:cs="宋体"/>
                <w:spacing w:val="8"/>
                <w:sz w:val="17"/>
                <w:szCs w:val="17"/>
              </w:rPr>
              <w:t>缩装置</w:t>
            </w:r>
          </w:p>
        </w:tc>
        <w:tc>
          <w:tcPr>
            <w:tcW w:w="982"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52" w:line="339" w:lineRule="auto"/>
              <w:ind w:left="131" w:hanging="101"/>
              <w:rPr>
                <w:rFonts w:ascii="宋体" w:hAnsi="宋体" w:eastAsia="宋体" w:cs="宋体"/>
                <w:sz w:val="16"/>
                <w:szCs w:val="16"/>
              </w:rPr>
            </w:pPr>
            <w:r>
              <w:rPr>
                <w:rFonts w:ascii="Times New Roman" w:hAnsi="Times New Roman" w:eastAsia="Times New Roman" w:cs="Times New Roman"/>
                <w:spacing w:val="-4"/>
                <w:sz w:val="16"/>
                <w:szCs w:val="16"/>
              </w:rPr>
              <w:t xml:space="preserve">3~5dB </w:t>
            </w:r>
            <w:r>
              <w:rPr>
                <w:rFonts w:ascii="宋体" w:hAnsi="宋体" w:eastAsia="宋体" w:cs="宋体"/>
                <w:spacing w:val="-4"/>
                <w:sz w:val="16"/>
                <w:szCs w:val="16"/>
              </w:rPr>
              <w:t>(</w:t>
            </w:r>
            <w:r>
              <w:rPr>
                <w:rFonts w:ascii="Times New Roman" w:hAnsi="Times New Roman" w:eastAsia="Times New Roman" w:cs="Times New Roman"/>
                <w:spacing w:val="-3"/>
                <w:sz w:val="16"/>
                <w:szCs w:val="16"/>
              </w:rPr>
              <w:t>A</w:t>
            </w:r>
            <w:r>
              <w:rPr>
                <w:rFonts w:ascii="宋体" w:hAnsi="宋体" w:eastAsia="宋体" w:cs="宋体"/>
                <w:spacing w:val="-4"/>
                <w:sz w:val="16"/>
                <w:szCs w:val="16"/>
              </w:rPr>
              <w:t>) ，</w:t>
            </w:r>
            <w:r>
              <w:rPr>
                <w:rFonts w:ascii="宋体" w:hAnsi="宋体" w:eastAsia="宋体" w:cs="宋体"/>
                <w:sz w:val="16"/>
                <w:szCs w:val="16"/>
              </w:rPr>
              <w:t xml:space="preserve"> </w:t>
            </w:r>
            <w:r>
              <w:rPr>
                <w:rFonts w:ascii="宋体" w:hAnsi="宋体" w:eastAsia="宋体" w:cs="宋体"/>
                <w:spacing w:val="6"/>
                <w:sz w:val="16"/>
                <w:szCs w:val="16"/>
              </w:rPr>
              <w:t>室内达</w:t>
            </w:r>
            <w:r>
              <w:rPr>
                <w:rFonts w:ascii="宋体" w:hAnsi="宋体" w:eastAsia="宋体" w:cs="宋体"/>
                <w:spacing w:val="5"/>
                <w:sz w:val="16"/>
                <w:szCs w:val="16"/>
              </w:rPr>
              <w:t>标</w:t>
            </w:r>
          </w:p>
        </w:tc>
        <w:tc>
          <w:tcPr>
            <w:tcW w:w="1055"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04" w:type="dxa"/>
            <w:vAlign w:val="top"/>
          </w:tcPr>
          <w:p>
            <w:pPr>
              <w:spacing w:before="103" w:line="197" w:lineRule="auto"/>
              <w:ind w:left="19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659" w:type="dxa"/>
            <w:vMerge w:val="continue"/>
            <w:tcBorders>
              <w:top w:val="nil"/>
              <w:bottom w:val="nil"/>
            </w:tcBorders>
            <w:vAlign w:val="top"/>
          </w:tcPr>
          <w:p>
            <w:pPr>
              <w:rPr>
                <w:rFonts w:ascii="Arial"/>
                <w:sz w:val="21"/>
              </w:rPr>
            </w:pPr>
          </w:p>
        </w:tc>
        <w:tc>
          <w:tcPr>
            <w:tcW w:w="384" w:type="dxa"/>
            <w:vAlign w:val="top"/>
          </w:tcPr>
          <w:p>
            <w:pPr>
              <w:spacing w:before="113" w:line="197" w:lineRule="auto"/>
              <w:ind w:left="96"/>
              <w:rPr>
                <w:rFonts w:ascii="Times New Roman" w:hAnsi="Times New Roman" w:eastAsia="Times New Roman" w:cs="Times New Roman"/>
                <w:sz w:val="17"/>
                <w:szCs w:val="17"/>
              </w:rPr>
            </w:pPr>
            <w:r>
              <w:rPr>
                <w:rFonts w:ascii="Times New Roman" w:hAnsi="Times New Roman" w:eastAsia="Times New Roman" w:cs="Times New Roman"/>
                <w:spacing w:val="7"/>
                <w:sz w:val="17"/>
                <w:szCs w:val="17"/>
              </w:rPr>
              <w:t>2</w:t>
            </w:r>
            <w:r>
              <w:rPr>
                <w:rFonts w:ascii="Times New Roman" w:hAnsi="Times New Roman" w:eastAsia="Times New Roman" w:cs="Times New Roman"/>
                <w:sz w:val="17"/>
                <w:szCs w:val="17"/>
              </w:rPr>
              <w:t>F</w:t>
            </w:r>
          </w:p>
        </w:tc>
        <w:tc>
          <w:tcPr>
            <w:tcW w:w="730" w:type="dxa"/>
            <w:vMerge w:val="continue"/>
            <w:tcBorders>
              <w:top w:val="nil"/>
              <w:bottom w:val="nil"/>
            </w:tcBorders>
            <w:vAlign w:val="top"/>
          </w:tcPr>
          <w:p>
            <w:pPr>
              <w:rPr>
                <w:rFonts w:ascii="Arial"/>
                <w:sz w:val="21"/>
              </w:rPr>
            </w:pPr>
          </w:p>
        </w:tc>
        <w:tc>
          <w:tcPr>
            <w:tcW w:w="559" w:type="dxa"/>
            <w:vMerge w:val="continue"/>
            <w:tcBorders>
              <w:top w:val="nil"/>
              <w:bottom w:val="nil"/>
            </w:tcBorders>
            <w:vAlign w:val="top"/>
          </w:tcPr>
          <w:p>
            <w:pPr>
              <w:rPr>
                <w:rFonts w:ascii="Arial"/>
                <w:sz w:val="21"/>
              </w:rPr>
            </w:pPr>
          </w:p>
        </w:tc>
        <w:tc>
          <w:tcPr>
            <w:tcW w:w="470" w:type="dxa"/>
            <w:vAlign w:val="top"/>
          </w:tcPr>
          <w:p>
            <w:pPr>
              <w:spacing w:before="103" w:line="200" w:lineRule="auto"/>
              <w:ind w:left="12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w:t>
            </w:r>
            <w:r>
              <w:rPr>
                <w:rFonts w:ascii="Times New Roman" w:hAnsi="Times New Roman" w:eastAsia="Times New Roman" w:cs="Times New Roman"/>
                <w:spacing w:val="3"/>
                <w:sz w:val="17"/>
                <w:szCs w:val="17"/>
              </w:rPr>
              <w:t>2</w:t>
            </w:r>
          </w:p>
        </w:tc>
        <w:tc>
          <w:tcPr>
            <w:tcW w:w="557" w:type="dxa"/>
            <w:vAlign w:val="top"/>
          </w:tcPr>
          <w:p>
            <w:pPr>
              <w:spacing w:before="93" w:line="197" w:lineRule="auto"/>
              <w:ind w:left="12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59.6</w:t>
            </w:r>
          </w:p>
        </w:tc>
        <w:tc>
          <w:tcPr>
            <w:tcW w:w="561" w:type="dxa"/>
            <w:vAlign w:val="top"/>
          </w:tcPr>
          <w:p>
            <w:pPr>
              <w:spacing w:before="93" w:line="197" w:lineRule="auto"/>
              <w:ind w:left="121"/>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9.8</w:t>
            </w:r>
          </w:p>
        </w:tc>
        <w:tc>
          <w:tcPr>
            <w:tcW w:w="551" w:type="dxa"/>
            <w:vAlign w:val="top"/>
          </w:tcPr>
          <w:p>
            <w:pPr>
              <w:spacing w:before="93" w:line="197" w:lineRule="auto"/>
              <w:ind w:left="12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59.</w:t>
            </w:r>
            <w:r>
              <w:rPr>
                <w:rFonts w:ascii="Times New Roman" w:hAnsi="Times New Roman" w:eastAsia="Times New Roman" w:cs="Times New Roman"/>
                <w:spacing w:val="3"/>
                <w:sz w:val="17"/>
                <w:szCs w:val="17"/>
              </w:rPr>
              <w:t>8</w:t>
            </w:r>
          </w:p>
        </w:tc>
        <w:tc>
          <w:tcPr>
            <w:tcW w:w="567" w:type="dxa"/>
            <w:vAlign w:val="top"/>
          </w:tcPr>
          <w:p>
            <w:pPr>
              <w:spacing w:before="94" w:line="197" w:lineRule="auto"/>
              <w:ind w:left="13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2"/>
                <w:sz w:val="17"/>
                <w:szCs w:val="17"/>
              </w:rPr>
              <w:t>0.0</w:t>
            </w:r>
          </w:p>
        </w:tc>
        <w:tc>
          <w:tcPr>
            <w:tcW w:w="569" w:type="dxa"/>
            <w:vAlign w:val="top"/>
          </w:tcPr>
          <w:p>
            <w:pPr>
              <w:spacing w:before="93" w:line="197" w:lineRule="auto"/>
              <w:ind w:left="13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59.</w:t>
            </w:r>
            <w:r>
              <w:rPr>
                <w:rFonts w:ascii="Times New Roman" w:hAnsi="Times New Roman" w:eastAsia="Times New Roman" w:cs="Times New Roman"/>
                <w:spacing w:val="3"/>
                <w:sz w:val="17"/>
                <w:szCs w:val="17"/>
              </w:rPr>
              <w:t>8</w:t>
            </w:r>
          </w:p>
        </w:tc>
        <w:tc>
          <w:tcPr>
            <w:tcW w:w="553" w:type="dxa"/>
            <w:vAlign w:val="top"/>
          </w:tcPr>
          <w:p>
            <w:pPr>
              <w:spacing w:before="94" w:line="197" w:lineRule="auto"/>
              <w:ind w:left="123"/>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5</w:t>
            </w:r>
            <w:r>
              <w:rPr>
                <w:rFonts w:ascii="Times New Roman" w:hAnsi="Times New Roman" w:eastAsia="Times New Roman" w:cs="Times New Roman"/>
                <w:spacing w:val="-3"/>
                <w:sz w:val="17"/>
                <w:szCs w:val="17"/>
              </w:rPr>
              <w:t>0. 1</w:t>
            </w:r>
          </w:p>
        </w:tc>
        <w:tc>
          <w:tcPr>
            <w:tcW w:w="569" w:type="dxa"/>
            <w:vAlign w:val="top"/>
          </w:tcPr>
          <w:p>
            <w:pPr>
              <w:spacing w:before="30" w:line="242" w:lineRule="exact"/>
              <w:ind w:left="25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548" w:type="dxa"/>
            <w:vAlign w:val="top"/>
          </w:tcPr>
          <w:p>
            <w:pPr>
              <w:spacing w:before="30" w:line="242" w:lineRule="exact"/>
              <w:ind w:left="24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584" w:type="dxa"/>
            <w:vAlign w:val="top"/>
          </w:tcPr>
          <w:p>
            <w:pPr>
              <w:spacing w:before="94" w:line="197" w:lineRule="auto"/>
              <w:ind w:left="181"/>
              <w:rPr>
                <w:rFonts w:ascii="Times New Roman" w:hAnsi="Times New Roman" w:eastAsia="Times New Roman" w:cs="Times New Roman"/>
                <w:sz w:val="17"/>
                <w:szCs w:val="17"/>
              </w:rPr>
            </w:pPr>
            <w:r>
              <w:rPr>
                <w:rFonts w:ascii="Times New Roman" w:hAnsi="Times New Roman" w:eastAsia="Times New Roman" w:cs="Times New Roman"/>
                <w:spacing w:val="8"/>
                <w:sz w:val="17"/>
                <w:szCs w:val="17"/>
              </w:rPr>
              <w:t>0.</w:t>
            </w:r>
            <w:r>
              <w:rPr>
                <w:rFonts w:ascii="Times New Roman" w:hAnsi="Times New Roman" w:eastAsia="Times New Roman" w:cs="Times New Roman"/>
                <w:spacing w:val="7"/>
                <w:sz w:val="17"/>
                <w:szCs w:val="17"/>
              </w:rPr>
              <w:t>1</w:t>
            </w:r>
          </w:p>
        </w:tc>
        <w:tc>
          <w:tcPr>
            <w:tcW w:w="591" w:type="dxa"/>
            <w:vAlign w:val="top"/>
          </w:tcPr>
          <w:p>
            <w:pPr>
              <w:spacing w:before="49" w:line="242" w:lineRule="exact"/>
              <w:ind w:left="26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558" w:type="dxa"/>
            <w:vAlign w:val="top"/>
          </w:tcPr>
          <w:p>
            <w:pPr>
              <w:spacing w:before="49" w:line="242" w:lineRule="exact"/>
              <w:ind w:left="250"/>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12" w:type="dxa"/>
            <w:vAlign w:val="top"/>
          </w:tcPr>
          <w:p>
            <w:pPr>
              <w:spacing w:before="113" w:line="197" w:lineRule="auto"/>
              <w:ind w:left="26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730" w:type="dxa"/>
            <w:vMerge w:val="continue"/>
            <w:tcBorders>
              <w:top w:val="nil"/>
              <w:bottom w:val="nil"/>
            </w:tcBorders>
            <w:vAlign w:val="top"/>
          </w:tcPr>
          <w:p>
            <w:pPr>
              <w:rPr>
                <w:rFonts w:ascii="Arial"/>
                <w:sz w:val="21"/>
              </w:rPr>
            </w:pPr>
          </w:p>
        </w:tc>
        <w:tc>
          <w:tcPr>
            <w:tcW w:w="1287" w:type="dxa"/>
            <w:vMerge w:val="continue"/>
            <w:tcBorders>
              <w:top w:val="nil"/>
              <w:bottom w:val="nil"/>
            </w:tcBorders>
            <w:vAlign w:val="top"/>
          </w:tcPr>
          <w:p>
            <w:pPr>
              <w:rPr>
                <w:rFonts w:ascii="Arial"/>
                <w:sz w:val="21"/>
              </w:rPr>
            </w:pPr>
          </w:p>
        </w:tc>
        <w:tc>
          <w:tcPr>
            <w:tcW w:w="982" w:type="dxa"/>
            <w:vMerge w:val="continue"/>
            <w:tcBorders>
              <w:top w:val="nil"/>
              <w:bottom w:val="nil"/>
            </w:tcBorders>
            <w:vAlign w:val="top"/>
          </w:tcPr>
          <w:p>
            <w:pPr>
              <w:rPr>
                <w:rFonts w:ascii="Arial"/>
                <w:sz w:val="21"/>
              </w:rPr>
            </w:pPr>
          </w:p>
        </w:tc>
        <w:tc>
          <w:tcPr>
            <w:tcW w:w="105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404" w:type="dxa"/>
            <w:vAlign w:val="top"/>
          </w:tcPr>
          <w:p>
            <w:pPr>
              <w:spacing w:before="103" w:line="197" w:lineRule="auto"/>
              <w:ind w:left="202"/>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tc>
        <w:tc>
          <w:tcPr>
            <w:tcW w:w="659" w:type="dxa"/>
            <w:vMerge w:val="continue"/>
            <w:tcBorders>
              <w:top w:val="nil"/>
              <w:bottom w:val="nil"/>
            </w:tcBorders>
            <w:vAlign w:val="top"/>
          </w:tcPr>
          <w:p>
            <w:pPr>
              <w:rPr>
                <w:rFonts w:ascii="Arial"/>
                <w:sz w:val="21"/>
              </w:rPr>
            </w:pPr>
          </w:p>
        </w:tc>
        <w:tc>
          <w:tcPr>
            <w:tcW w:w="384" w:type="dxa"/>
            <w:vAlign w:val="top"/>
          </w:tcPr>
          <w:p>
            <w:pPr>
              <w:spacing w:before="115" w:line="197" w:lineRule="auto"/>
              <w:ind w:left="9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z w:val="17"/>
                <w:szCs w:val="17"/>
              </w:rPr>
              <w:t>F</w:t>
            </w:r>
          </w:p>
        </w:tc>
        <w:tc>
          <w:tcPr>
            <w:tcW w:w="730" w:type="dxa"/>
            <w:vMerge w:val="continue"/>
            <w:tcBorders>
              <w:top w:val="nil"/>
              <w:bottom w:val="nil"/>
            </w:tcBorders>
            <w:vAlign w:val="top"/>
          </w:tcPr>
          <w:p>
            <w:pPr>
              <w:rPr>
                <w:rFonts w:ascii="Arial"/>
                <w:sz w:val="21"/>
              </w:rPr>
            </w:pPr>
          </w:p>
        </w:tc>
        <w:tc>
          <w:tcPr>
            <w:tcW w:w="559" w:type="dxa"/>
            <w:vMerge w:val="continue"/>
            <w:tcBorders>
              <w:top w:val="nil"/>
              <w:bottom w:val="nil"/>
            </w:tcBorders>
            <w:vAlign w:val="top"/>
          </w:tcPr>
          <w:p>
            <w:pPr>
              <w:rPr>
                <w:rFonts w:ascii="Arial"/>
                <w:sz w:val="21"/>
              </w:rPr>
            </w:pPr>
          </w:p>
        </w:tc>
        <w:tc>
          <w:tcPr>
            <w:tcW w:w="470" w:type="dxa"/>
            <w:vAlign w:val="top"/>
          </w:tcPr>
          <w:p>
            <w:pPr>
              <w:spacing w:before="103" w:line="197" w:lineRule="auto"/>
              <w:ind w:left="12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7</w:t>
            </w:r>
            <w:r>
              <w:rPr>
                <w:rFonts w:ascii="Times New Roman" w:hAnsi="Times New Roman" w:eastAsia="Times New Roman" w:cs="Times New Roman"/>
                <w:spacing w:val="2"/>
                <w:sz w:val="17"/>
                <w:szCs w:val="17"/>
              </w:rPr>
              <w:t>.2</w:t>
            </w:r>
          </w:p>
        </w:tc>
        <w:tc>
          <w:tcPr>
            <w:tcW w:w="557" w:type="dxa"/>
            <w:vAlign w:val="top"/>
          </w:tcPr>
          <w:p>
            <w:pPr>
              <w:spacing w:before="95" w:line="197" w:lineRule="auto"/>
              <w:ind w:left="12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59.6</w:t>
            </w:r>
          </w:p>
        </w:tc>
        <w:tc>
          <w:tcPr>
            <w:tcW w:w="561" w:type="dxa"/>
            <w:vAlign w:val="top"/>
          </w:tcPr>
          <w:p>
            <w:pPr>
              <w:spacing w:before="95" w:line="197" w:lineRule="auto"/>
              <w:ind w:left="121"/>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9.8</w:t>
            </w:r>
          </w:p>
        </w:tc>
        <w:tc>
          <w:tcPr>
            <w:tcW w:w="551" w:type="dxa"/>
            <w:vAlign w:val="top"/>
          </w:tcPr>
          <w:p>
            <w:pPr>
              <w:spacing w:before="95" w:line="197" w:lineRule="auto"/>
              <w:ind w:left="12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59.</w:t>
            </w:r>
            <w:r>
              <w:rPr>
                <w:rFonts w:ascii="Times New Roman" w:hAnsi="Times New Roman" w:eastAsia="Times New Roman" w:cs="Times New Roman"/>
                <w:spacing w:val="3"/>
                <w:sz w:val="17"/>
                <w:szCs w:val="17"/>
              </w:rPr>
              <w:t>8</w:t>
            </w:r>
          </w:p>
        </w:tc>
        <w:tc>
          <w:tcPr>
            <w:tcW w:w="567" w:type="dxa"/>
            <w:vAlign w:val="top"/>
          </w:tcPr>
          <w:p>
            <w:pPr>
              <w:spacing w:before="96" w:line="197" w:lineRule="auto"/>
              <w:ind w:left="13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2"/>
                <w:sz w:val="17"/>
                <w:szCs w:val="17"/>
              </w:rPr>
              <w:t>0.0</w:t>
            </w:r>
          </w:p>
        </w:tc>
        <w:tc>
          <w:tcPr>
            <w:tcW w:w="569" w:type="dxa"/>
            <w:vAlign w:val="top"/>
          </w:tcPr>
          <w:p>
            <w:pPr>
              <w:spacing w:before="95" w:line="197" w:lineRule="auto"/>
              <w:ind w:left="13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59.</w:t>
            </w:r>
            <w:r>
              <w:rPr>
                <w:rFonts w:ascii="Times New Roman" w:hAnsi="Times New Roman" w:eastAsia="Times New Roman" w:cs="Times New Roman"/>
                <w:spacing w:val="3"/>
                <w:sz w:val="17"/>
                <w:szCs w:val="17"/>
              </w:rPr>
              <w:t>8</w:t>
            </w:r>
          </w:p>
        </w:tc>
        <w:tc>
          <w:tcPr>
            <w:tcW w:w="553" w:type="dxa"/>
            <w:vAlign w:val="top"/>
          </w:tcPr>
          <w:p>
            <w:pPr>
              <w:spacing w:before="96" w:line="197" w:lineRule="auto"/>
              <w:ind w:left="123"/>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5</w:t>
            </w:r>
            <w:r>
              <w:rPr>
                <w:rFonts w:ascii="Times New Roman" w:hAnsi="Times New Roman" w:eastAsia="Times New Roman" w:cs="Times New Roman"/>
                <w:spacing w:val="-3"/>
                <w:sz w:val="17"/>
                <w:szCs w:val="17"/>
              </w:rPr>
              <w:t>0. 1</w:t>
            </w:r>
          </w:p>
        </w:tc>
        <w:tc>
          <w:tcPr>
            <w:tcW w:w="569" w:type="dxa"/>
            <w:vAlign w:val="top"/>
          </w:tcPr>
          <w:p>
            <w:pPr>
              <w:spacing w:before="32" w:line="242" w:lineRule="exact"/>
              <w:ind w:left="25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548" w:type="dxa"/>
            <w:vAlign w:val="top"/>
          </w:tcPr>
          <w:p>
            <w:pPr>
              <w:spacing w:before="32" w:line="242" w:lineRule="exact"/>
              <w:ind w:left="24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584" w:type="dxa"/>
            <w:vAlign w:val="top"/>
          </w:tcPr>
          <w:p>
            <w:pPr>
              <w:spacing w:before="96" w:line="197" w:lineRule="auto"/>
              <w:ind w:left="181"/>
              <w:rPr>
                <w:rFonts w:ascii="Times New Roman" w:hAnsi="Times New Roman" w:eastAsia="Times New Roman" w:cs="Times New Roman"/>
                <w:sz w:val="17"/>
                <w:szCs w:val="17"/>
              </w:rPr>
            </w:pPr>
            <w:r>
              <w:rPr>
                <w:rFonts w:ascii="Times New Roman" w:hAnsi="Times New Roman" w:eastAsia="Times New Roman" w:cs="Times New Roman"/>
                <w:spacing w:val="8"/>
                <w:sz w:val="17"/>
                <w:szCs w:val="17"/>
              </w:rPr>
              <w:t>0.</w:t>
            </w:r>
            <w:r>
              <w:rPr>
                <w:rFonts w:ascii="Times New Roman" w:hAnsi="Times New Roman" w:eastAsia="Times New Roman" w:cs="Times New Roman"/>
                <w:spacing w:val="7"/>
                <w:sz w:val="17"/>
                <w:szCs w:val="17"/>
              </w:rPr>
              <w:t>1</w:t>
            </w:r>
          </w:p>
        </w:tc>
        <w:tc>
          <w:tcPr>
            <w:tcW w:w="591" w:type="dxa"/>
            <w:vAlign w:val="top"/>
          </w:tcPr>
          <w:p>
            <w:pPr>
              <w:spacing w:before="51" w:line="242" w:lineRule="exact"/>
              <w:ind w:left="26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558" w:type="dxa"/>
            <w:vAlign w:val="top"/>
          </w:tcPr>
          <w:p>
            <w:pPr>
              <w:spacing w:before="51" w:line="242" w:lineRule="exact"/>
              <w:ind w:left="250"/>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12" w:type="dxa"/>
            <w:vAlign w:val="top"/>
          </w:tcPr>
          <w:p>
            <w:pPr>
              <w:spacing w:before="115" w:line="197" w:lineRule="auto"/>
              <w:ind w:left="26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730" w:type="dxa"/>
            <w:vMerge w:val="continue"/>
            <w:tcBorders>
              <w:top w:val="nil"/>
              <w:bottom w:val="nil"/>
            </w:tcBorders>
            <w:vAlign w:val="top"/>
          </w:tcPr>
          <w:p>
            <w:pPr>
              <w:rPr>
                <w:rFonts w:ascii="Arial"/>
                <w:sz w:val="21"/>
              </w:rPr>
            </w:pPr>
          </w:p>
        </w:tc>
        <w:tc>
          <w:tcPr>
            <w:tcW w:w="1287" w:type="dxa"/>
            <w:vMerge w:val="continue"/>
            <w:tcBorders>
              <w:top w:val="nil"/>
              <w:bottom w:val="nil"/>
            </w:tcBorders>
            <w:vAlign w:val="top"/>
          </w:tcPr>
          <w:p>
            <w:pPr>
              <w:rPr>
                <w:rFonts w:ascii="Arial"/>
                <w:sz w:val="21"/>
              </w:rPr>
            </w:pPr>
          </w:p>
        </w:tc>
        <w:tc>
          <w:tcPr>
            <w:tcW w:w="982" w:type="dxa"/>
            <w:vMerge w:val="continue"/>
            <w:tcBorders>
              <w:top w:val="nil"/>
              <w:bottom w:val="nil"/>
            </w:tcBorders>
            <w:vAlign w:val="top"/>
          </w:tcPr>
          <w:p>
            <w:pPr>
              <w:rPr>
                <w:rFonts w:ascii="Arial"/>
                <w:sz w:val="21"/>
              </w:rPr>
            </w:pPr>
          </w:p>
        </w:tc>
        <w:tc>
          <w:tcPr>
            <w:tcW w:w="105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404" w:type="dxa"/>
            <w:vAlign w:val="top"/>
          </w:tcPr>
          <w:p>
            <w:pPr>
              <w:spacing w:before="104" w:line="197" w:lineRule="auto"/>
              <w:ind w:left="198"/>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659" w:type="dxa"/>
            <w:vMerge w:val="continue"/>
            <w:tcBorders>
              <w:top w:val="nil"/>
              <w:bottom w:val="nil"/>
            </w:tcBorders>
            <w:vAlign w:val="top"/>
          </w:tcPr>
          <w:p>
            <w:pPr>
              <w:rPr>
                <w:rFonts w:ascii="Arial"/>
                <w:sz w:val="21"/>
              </w:rPr>
            </w:pPr>
          </w:p>
        </w:tc>
        <w:tc>
          <w:tcPr>
            <w:tcW w:w="384" w:type="dxa"/>
            <w:vAlign w:val="top"/>
          </w:tcPr>
          <w:p>
            <w:pPr>
              <w:spacing w:before="113" w:line="197" w:lineRule="auto"/>
              <w:ind w:left="95"/>
              <w:rPr>
                <w:rFonts w:ascii="Times New Roman" w:hAnsi="Times New Roman" w:eastAsia="Times New Roman" w:cs="Times New Roman"/>
                <w:sz w:val="17"/>
                <w:szCs w:val="17"/>
              </w:rPr>
            </w:pPr>
            <w:r>
              <w:rPr>
                <w:rFonts w:ascii="Times New Roman" w:hAnsi="Times New Roman" w:eastAsia="Times New Roman" w:cs="Times New Roman"/>
                <w:spacing w:val="8"/>
                <w:sz w:val="17"/>
                <w:szCs w:val="17"/>
              </w:rPr>
              <w:t>4</w:t>
            </w:r>
            <w:r>
              <w:rPr>
                <w:rFonts w:ascii="Times New Roman" w:hAnsi="Times New Roman" w:eastAsia="Times New Roman" w:cs="Times New Roman"/>
                <w:sz w:val="17"/>
                <w:szCs w:val="17"/>
              </w:rPr>
              <w:t>F</w:t>
            </w:r>
          </w:p>
        </w:tc>
        <w:tc>
          <w:tcPr>
            <w:tcW w:w="730" w:type="dxa"/>
            <w:vMerge w:val="continue"/>
            <w:tcBorders>
              <w:top w:val="nil"/>
              <w:bottom w:val="nil"/>
            </w:tcBorders>
            <w:vAlign w:val="top"/>
          </w:tcPr>
          <w:p>
            <w:pPr>
              <w:rPr>
                <w:rFonts w:ascii="Arial"/>
                <w:sz w:val="21"/>
              </w:rPr>
            </w:pPr>
          </w:p>
        </w:tc>
        <w:tc>
          <w:tcPr>
            <w:tcW w:w="559" w:type="dxa"/>
            <w:vMerge w:val="continue"/>
            <w:tcBorders>
              <w:top w:val="nil"/>
              <w:bottom w:val="nil"/>
            </w:tcBorders>
            <w:vAlign w:val="top"/>
          </w:tcPr>
          <w:p>
            <w:pPr>
              <w:rPr>
                <w:rFonts w:ascii="Arial"/>
                <w:sz w:val="21"/>
              </w:rPr>
            </w:pPr>
          </w:p>
        </w:tc>
        <w:tc>
          <w:tcPr>
            <w:tcW w:w="470" w:type="dxa"/>
            <w:vAlign w:val="top"/>
          </w:tcPr>
          <w:p>
            <w:pPr>
              <w:spacing w:before="104" w:line="197" w:lineRule="auto"/>
              <w:ind w:left="9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10.</w:t>
            </w:r>
            <w:r>
              <w:rPr>
                <w:rFonts w:ascii="Times New Roman" w:hAnsi="Times New Roman" w:eastAsia="Times New Roman" w:cs="Times New Roman"/>
                <w:sz w:val="17"/>
                <w:szCs w:val="17"/>
              </w:rPr>
              <w:t>2</w:t>
            </w:r>
          </w:p>
        </w:tc>
        <w:tc>
          <w:tcPr>
            <w:tcW w:w="557" w:type="dxa"/>
            <w:vAlign w:val="top"/>
          </w:tcPr>
          <w:p>
            <w:pPr>
              <w:spacing w:before="94" w:line="197" w:lineRule="auto"/>
              <w:ind w:left="12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59.6</w:t>
            </w:r>
          </w:p>
        </w:tc>
        <w:tc>
          <w:tcPr>
            <w:tcW w:w="561" w:type="dxa"/>
            <w:vAlign w:val="top"/>
          </w:tcPr>
          <w:p>
            <w:pPr>
              <w:spacing w:before="94" w:line="197" w:lineRule="auto"/>
              <w:ind w:left="121"/>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9.8</w:t>
            </w:r>
          </w:p>
        </w:tc>
        <w:tc>
          <w:tcPr>
            <w:tcW w:w="551" w:type="dxa"/>
            <w:vAlign w:val="top"/>
          </w:tcPr>
          <w:p>
            <w:pPr>
              <w:spacing w:before="94" w:line="197" w:lineRule="auto"/>
              <w:ind w:left="12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59.</w:t>
            </w:r>
            <w:r>
              <w:rPr>
                <w:rFonts w:ascii="Times New Roman" w:hAnsi="Times New Roman" w:eastAsia="Times New Roman" w:cs="Times New Roman"/>
                <w:spacing w:val="3"/>
                <w:sz w:val="17"/>
                <w:szCs w:val="17"/>
              </w:rPr>
              <w:t>8</w:t>
            </w:r>
          </w:p>
        </w:tc>
        <w:tc>
          <w:tcPr>
            <w:tcW w:w="567" w:type="dxa"/>
            <w:vAlign w:val="top"/>
          </w:tcPr>
          <w:p>
            <w:pPr>
              <w:spacing w:before="94" w:line="197" w:lineRule="auto"/>
              <w:ind w:left="13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2"/>
                <w:sz w:val="17"/>
                <w:szCs w:val="17"/>
              </w:rPr>
              <w:t>0.0</w:t>
            </w:r>
          </w:p>
        </w:tc>
        <w:tc>
          <w:tcPr>
            <w:tcW w:w="569" w:type="dxa"/>
            <w:vAlign w:val="top"/>
          </w:tcPr>
          <w:p>
            <w:pPr>
              <w:spacing w:before="94" w:line="197" w:lineRule="auto"/>
              <w:ind w:left="13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59.</w:t>
            </w:r>
            <w:r>
              <w:rPr>
                <w:rFonts w:ascii="Times New Roman" w:hAnsi="Times New Roman" w:eastAsia="Times New Roman" w:cs="Times New Roman"/>
                <w:spacing w:val="3"/>
                <w:sz w:val="17"/>
                <w:szCs w:val="17"/>
              </w:rPr>
              <w:t>8</w:t>
            </w:r>
          </w:p>
        </w:tc>
        <w:tc>
          <w:tcPr>
            <w:tcW w:w="553" w:type="dxa"/>
            <w:vAlign w:val="top"/>
          </w:tcPr>
          <w:p>
            <w:pPr>
              <w:spacing w:before="94" w:line="197" w:lineRule="auto"/>
              <w:ind w:left="123"/>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5</w:t>
            </w:r>
            <w:r>
              <w:rPr>
                <w:rFonts w:ascii="Times New Roman" w:hAnsi="Times New Roman" w:eastAsia="Times New Roman" w:cs="Times New Roman"/>
                <w:spacing w:val="-3"/>
                <w:sz w:val="17"/>
                <w:szCs w:val="17"/>
              </w:rPr>
              <w:t>0. 1</w:t>
            </w:r>
          </w:p>
        </w:tc>
        <w:tc>
          <w:tcPr>
            <w:tcW w:w="569" w:type="dxa"/>
            <w:vAlign w:val="top"/>
          </w:tcPr>
          <w:p>
            <w:pPr>
              <w:spacing w:before="31" w:line="242" w:lineRule="exact"/>
              <w:ind w:left="25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548" w:type="dxa"/>
            <w:vAlign w:val="top"/>
          </w:tcPr>
          <w:p>
            <w:pPr>
              <w:spacing w:before="31" w:line="242" w:lineRule="exact"/>
              <w:ind w:left="24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584" w:type="dxa"/>
            <w:vAlign w:val="top"/>
          </w:tcPr>
          <w:p>
            <w:pPr>
              <w:spacing w:before="94" w:line="197" w:lineRule="auto"/>
              <w:ind w:left="181"/>
              <w:rPr>
                <w:rFonts w:ascii="Times New Roman" w:hAnsi="Times New Roman" w:eastAsia="Times New Roman" w:cs="Times New Roman"/>
                <w:sz w:val="17"/>
                <w:szCs w:val="17"/>
              </w:rPr>
            </w:pPr>
            <w:r>
              <w:rPr>
                <w:rFonts w:ascii="Times New Roman" w:hAnsi="Times New Roman" w:eastAsia="Times New Roman" w:cs="Times New Roman"/>
                <w:spacing w:val="8"/>
                <w:sz w:val="17"/>
                <w:szCs w:val="17"/>
              </w:rPr>
              <w:t>0.</w:t>
            </w:r>
            <w:r>
              <w:rPr>
                <w:rFonts w:ascii="Times New Roman" w:hAnsi="Times New Roman" w:eastAsia="Times New Roman" w:cs="Times New Roman"/>
                <w:spacing w:val="7"/>
                <w:sz w:val="17"/>
                <w:szCs w:val="17"/>
              </w:rPr>
              <w:t>1</w:t>
            </w:r>
          </w:p>
        </w:tc>
        <w:tc>
          <w:tcPr>
            <w:tcW w:w="591" w:type="dxa"/>
            <w:vAlign w:val="top"/>
          </w:tcPr>
          <w:p>
            <w:pPr>
              <w:spacing w:before="50" w:line="242" w:lineRule="exact"/>
              <w:ind w:left="26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558" w:type="dxa"/>
            <w:vAlign w:val="top"/>
          </w:tcPr>
          <w:p>
            <w:pPr>
              <w:spacing w:before="50" w:line="242" w:lineRule="exact"/>
              <w:ind w:left="250"/>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12" w:type="dxa"/>
            <w:vAlign w:val="top"/>
          </w:tcPr>
          <w:p>
            <w:pPr>
              <w:spacing w:before="113" w:line="197" w:lineRule="auto"/>
              <w:ind w:left="26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730" w:type="dxa"/>
            <w:vMerge w:val="continue"/>
            <w:tcBorders>
              <w:top w:val="nil"/>
              <w:bottom w:val="nil"/>
            </w:tcBorders>
            <w:vAlign w:val="top"/>
          </w:tcPr>
          <w:p>
            <w:pPr>
              <w:rPr>
                <w:rFonts w:ascii="Arial"/>
                <w:sz w:val="21"/>
              </w:rPr>
            </w:pPr>
          </w:p>
        </w:tc>
        <w:tc>
          <w:tcPr>
            <w:tcW w:w="1287" w:type="dxa"/>
            <w:vMerge w:val="continue"/>
            <w:tcBorders>
              <w:top w:val="nil"/>
              <w:bottom w:val="nil"/>
            </w:tcBorders>
            <w:vAlign w:val="top"/>
          </w:tcPr>
          <w:p>
            <w:pPr>
              <w:rPr>
                <w:rFonts w:ascii="Arial"/>
                <w:sz w:val="21"/>
              </w:rPr>
            </w:pPr>
          </w:p>
        </w:tc>
        <w:tc>
          <w:tcPr>
            <w:tcW w:w="982" w:type="dxa"/>
            <w:vMerge w:val="continue"/>
            <w:tcBorders>
              <w:top w:val="nil"/>
              <w:bottom w:val="nil"/>
            </w:tcBorders>
            <w:vAlign w:val="top"/>
          </w:tcPr>
          <w:p>
            <w:pPr>
              <w:rPr>
                <w:rFonts w:ascii="Arial"/>
                <w:sz w:val="21"/>
              </w:rPr>
            </w:pPr>
          </w:p>
        </w:tc>
        <w:tc>
          <w:tcPr>
            <w:tcW w:w="105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404" w:type="dxa"/>
            <w:vAlign w:val="top"/>
          </w:tcPr>
          <w:p>
            <w:pPr>
              <w:spacing w:before="107" w:line="194" w:lineRule="auto"/>
              <w:ind w:left="204"/>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659" w:type="dxa"/>
            <w:vMerge w:val="continue"/>
            <w:tcBorders>
              <w:top w:val="nil"/>
              <w:bottom w:val="nil"/>
            </w:tcBorders>
            <w:vAlign w:val="top"/>
          </w:tcPr>
          <w:p>
            <w:pPr>
              <w:rPr>
                <w:rFonts w:ascii="Arial"/>
                <w:sz w:val="21"/>
              </w:rPr>
            </w:pPr>
          </w:p>
        </w:tc>
        <w:tc>
          <w:tcPr>
            <w:tcW w:w="384" w:type="dxa"/>
            <w:vAlign w:val="top"/>
          </w:tcPr>
          <w:p>
            <w:pPr>
              <w:spacing w:before="117" w:line="194" w:lineRule="auto"/>
              <w:ind w:left="10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w:t>
            </w:r>
            <w:r>
              <w:rPr>
                <w:rFonts w:ascii="Times New Roman" w:hAnsi="Times New Roman" w:eastAsia="Times New Roman" w:cs="Times New Roman"/>
                <w:sz w:val="17"/>
                <w:szCs w:val="17"/>
              </w:rPr>
              <w:t>F</w:t>
            </w:r>
          </w:p>
        </w:tc>
        <w:tc>
          <w:tcPr>
            <w:tcW w:w="730" w:type="dxa"/>
            <w:vMerge w:val="continue"/>
            <w:tcBorders>
              <w:top w:val="nil"/>
              <w:bottom w:val="nil"/>
            </w:tcBorders>
            <w:vAlign w:val="top"/>
          </w:tcPr>
          <w:p>
            <w:pPr>
              <w:rPr>
                <w:rFonts w:ascii="Arial"/>
                <w:sz w:val="21"/>
              </w:rPr>
            </w:pPr>
          </w:p>
        </w:tc>
        <w:tc>
          <w:tcPr>
            <w:tcW w:w="559" w:type="dxa"/>
            <w:vMerge w:val="continue"/>
            <w:tcBorders>
              <w:top w:val="nil"/>
              <w:bottom w:val="nil"/>
            </w:tcBorders>
            <w:vAlign w:val="top"/>
          </w:tcPr>
          <w:p>
            <w:pPr>
              <w:rPr>
                <w:rFonts w:ascii="Arial"/>
                <w:sz w:val="21"/>
              </w:rPr>
            </w:pPr>
          </w:p>
        </w:tc>
        <w:tc>
          <w:tcPr>
            <w:tcW w:w="470" w:type="dxa"/>
            <w:vAlign w:val="top"/>
          </w:tcPr>
          <w:p>
            <w:pPr>
              <w:spacing w:before="105" w:line="197" w:lineRule="auto"/>
              <w:ind w:left="9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13.</w:t>
            </w:r>
            <w:r>
              <w:rPr>
                <w:rFonts w:ascii="Times New Roman" w:hAnsi="Times New Roman" w:eastAsia="Times New Roman" w:cs="Times New Roman"/>
                <w:sz w:val="17"/>
                <w:szCs w:val="17"/>
              </w:rPr>
              <w:t>2</w:t>
            </w:r>
          </w:p>
        </w:tc>
        <w:tc>
          <w:tcPr>
            <w:tcW w:w="557" w:type="dxa"/>
            <w:vAlign w:val="top"/>
          </w:tcPr>
          <w:p>
            <w:pPr>
              <w:spacing w:before="95" w:line="197" w:lineRule="auto"/>
              <w:ind w:left="12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59.6</w:t>
            </w:r>
          </w:p>
        </w:tc>
        <w:tc>
          <w:tcPr>
            <w:tcW w:w="561" w:type="dxa"/>
            <w:vAlign w:val="top"/>
          </w:tcPr>
          <w:p>
            <w:pPr>
              <w:spacing w:before="95" w:line="197" w:lineRule="auto"/>
              <w:ind w:left="121"/>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9.8</w:t>
            </w:r>
          </w:p>
        </w:tc>
        <w:tc>
          <w:tcPr>
            <w:tcW w:w="551" w:type="dxa"/>
            <w:vAlign w:val="top"/>
          </w:tcPr>
          <w:p>
            <w:pPr>
              <w:spacing w:before="95" w:line="197" w:lineRule="auto"/>
              <w:ind w:left="12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59.</w:t>
            </w:r>
            <w:r>
              <w:rPr>
                <w:rFonts w:ascii="Times New Roman" w:hAnsi="Times New Roman" w:eastAsia="Times New Roman" w:cs="Times New Roman"/>
                <w:spacing w:val="3"/>
                <w:sz w:val="17"/>
                <w:szCs w:val="17"/>
              </w:rPr>
              <w:t>8</w:t>
            </w:r>
          </w:p>
        </w:tc>
        <w:tc>
          <w:tcPr>
            <w:tcW w:w="567" w:type="dxa"/>
            <w:vAlign w:val="top"/>
          </w:tcPr>
          <w:p>
            <w:pPr>
              <w:spacing w:before="95" w:line="197" w:lineRule="auto"/>
              <w:ind w:left="13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2"/>
                <w:sz w:val="17"/>
                <w:szCs w:val="17"/>
              </w:rPr>
              <w:t>0.0</w:t>
            </w:r>
          </w:p>
        </w:tc>
        <w:tc>
          <w:tcPr>
            <w:tcW w:w="569" w:type="dxa"/>
            <w:vAlign w:val="top"/>
          </w:tcPr>
          <w:p>
            <w:pPr>
              <w:spacing w:before="95" w:line="197" w:lineRule="auto"/>
              <w:ind w:left="13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59.</w:t>
            </w:r>
            <w:r>
              <w:rPr>
                <w:rFonts w:ascii="Times New Roman" w:hAnsi="Times New Roman" w:eastAsia="Times New Roman" w:cs="Times New Roman"/>
                <w:spacing w:val="3"/>
                <w:sz w:val="17"/>
                <w:szCs w:val="17"/>
              </w:rPr>
              <w:t>8</w:t>
            </w:r>
          </w:p>
        </w:tc>
        <w:tc>
          <w:tcPr>
            <w:tcW w:w="553" w:type="dxa"/>
            <w:vAlign w:val="top"/>
          </w:tcPr>
          <w:p>
            <w:pPr>
              <w:spacing w:before="95" w:line="197" w:lineRule="auto"/>
              <w:ind w:left="123"/>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5</w:t>
            </w:r>
            <w:r>
              <w:rPr>
                <w:rFonts w:ascii="Times New Roman" w:hAnsi="Times New Roman" w:eastAsia="Times New Roman" w:cs="Times New Roman"/>
                <w:spacing w:val="-3"/>
                <w:sz w:val="17"/>
                <w:szCs w:val="17"/>
              </w:rPr>
              <w:t>0. 1</w:t>
            </w:r>
          </w:p>
        </w:tc>
        <w:tc>
          <w:tcPr>
            <w:tcW w:w="569" w:type="dxa"/>
            <w:vAlign w:val="top"/>
          </w:tcPr>
          <w:p>
            <w:pPr>
              <w:spacing w:before="32" w:line="242" w:lineRule="exact"/>
              <w:ind w:left="25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548" w:type="dxa"/>
            <w:vAlign w:val="top"/>
          </w:tcPr>
          <w:p>
            <w:pPr>
              <w:spacing w:before="32" w:line="242" w:lineRule="exact"/>
              <w:ind w:left="24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584" w:type="dxa"/>
            <w:vAlign w:val="top"/>
          </w:tcPr>
          <w:p>
            <w:pPr>
              <w:spacing w:before="95" w:line="197" w:lineRule="auto"/>
              <w:ind w:left="181"/>
              <w:rPr>
                <w:rFonts w:ascii="Times New Roman" w:hAnsi="Times New Roman" w:eastAsia="Times New Roman" w:cs="Times New Roman"/>
                <w:sz w:val="17"/>
                <w:szCs w:val="17"/>
              </w:rPr>
            </w:pPr>
            <w:r>
              <w:rPr>
                <w:rFonts w:ascii="Times New Roman" w:hAnsi="Times New Roman" w:eastAsia="Times New Roman" w:cs="Times New Roman"/>
                <w:spacing w:val="8"/>
                <w:sz w:val="17"/>
                <w:szCs w:val="17"/>
              </w:rPr>
              <w:t>0.</w:t>
            </w:r>
            <w:r>
              <w:rPr>
                <w:rFonts w:ascii="Times New Roman" w:hAnsi="Times New Roman" w:eastAsia="Times New Roman" w:cs="Times New Roman"/>
                <w:spacing w:val="7"/>
                <w:sz w:val="17"/>
                <w:szCs w:val="17"/>
              </w:rPr>
              <w:t>1</w:t>
            </w:r>
          </w:p>
        </w:tc>
        <w:tc>
          <w:tcPr>
            <w:tcW w:w="591" w:type="dxa"/>
            <w:vAlign w:val="top"/>
          </w:tcPr>
          <w:p>
            <w:pPr>
              <w:spacing w:before="51" w:line="242" w:lineRule="exact"/>
              <w:ind w:left="26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558" w:type="dxa"/>
            <w:vAlign w:val="top"/>
          </w:tcPr>
          <w:p>
            <w:pPr>
              <w:spacing w:before="51" w:line="242" w:lineRule="exact"/>
              <w:ind w:left="250"/>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12" w:type="dxa"/>
            <w:vAlign w:val="top"/>
          </w:tcPr>
          <w:p>
            <w:pPr>
              <w:spacing w:before="114" w:line="197" w:lineRule="auto"/>
              <w:ind w:left="26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730" w:type="dxa"/>
            <w:vMerge w:val="continue"/>
            <w:tcBorders>
              <w:top w:val="nil"/>
              <w:bottom w:val="nil"/>
            </w:tcBorders>
            <w:vAlign w:val="top"/>
          </w:tcPr>
          <w:p>
            <w:pPr>
              <w:rPr>
                <w:rFonts w:ascii="Arial"/>
                <w:sz w:val="21"/>
              </w:rPr>
            </w:pPr>
          </w:p>
        </w:tc>
        <w:tc>
          <w:tcPr>
            <w:tcW w:w="1287" w:type="dxa"/>
            <w:vMerge w:val="continue"/>
            <w:tcBorders>
              <w:top w:val="nil"/>
              <w:bottom w:val="nil"/>
            </w:tcBorders>
            <w:vAlign w:val="top"/>
          </w:tcPr>
          <w:p>
            <w:pPr>
              <w:rPr>
                <w:rFonts w:ascii="Arial"/>
                <w:sz w:val="21"/>
              </w:rPr>
            </w:pPr>
          </w:p>
        </w:tc>
        <w:tc>
          <w:tcPr>
            <w:tcW w:w="982" w:type="dxa"/>
            <w:vMerge w:val="continue"/>
            <w:tcBorders>
              <w:top w:val="nil"/>
              <w:bottom w:val="nil"/>
            </w:tcBorders>
            <w:vAlign w:val="top"/>
          </w:tcPr>
          <w:p>
            <w:pPr>
              <w:rPr>
                <w:rFonts w:ascii="Arial"/>
                <w:sz w:val="21"/>
              </w:rPr>
            </w:pPr>
          </w:p>
        </w:tc>
        <w:tc>
          <w:tcPr>
            <w:tcW w:w="105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404" w:type="dxa"/>
            <w:vAlign w:val="top"/>
          </w:tcPr>
          <w:p>
            <w:pPr>
              <w:spacing w:before="103" w:line="197" w:lineRule="auto"/>
              <w:ind w:left="203"/>
              <w:rPr>
                <w:rFonts w:ascii="Times New Roman" w:hAnsi="Times New Roman" w:eastAsia="Times New Roman" w:cs="Times New Roman"/>
                <w:sz w:val="17"/>
                <w:szCs w:val="17"/>
              </w:rPr>
            </w:pPr>
            <w:r>
              <w:rPr>
                <w:rFonts w:ascii="Times New Roman" w:hAnsi="Times New Roman" w:eastAsia="Times New Roman" w:cs="Times New Roman"/>
                <w:sz w:val="17"/>
                <w:szCs w:val="17"/>
              </w:rPr>
              <w:t>6</w:t>
            </w:r>
          </w:p>
        </w:tc>
        <w:tc>
          <w:tcPr>
            <w:tcW w:w="659" w:type="dxa"/>
            <w:vMerge w:val="continue"/>
            <w:tcBorders>
              <w:top w:val="nil"/>
              <w:bottom w:val="nil"/>
            </w:tcBorders>
            <w:vAlign w:val="top"/>
          </w:tcPr>
          <w:p>
            <w:pPr>
              <w:rPr>
                <w:rFonts w:ascii="Arial"/>
                <w:sz w:val="21"/>
              </w:rPr>
            </w:pPr>
          </w:p>
        </w:tc>
        <w:tc>
          <w:tcPr>
            <w:tcW w:w="384" w:type="dxa"/>
            <w:vAlign w:val="top"/>
          </w:tcPr>
          <w:p>
            <w:pPr>
              <w:spacing w:before="113" w:line="197" w:lineRule="auto"/>
              <w:ind w:left="10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6</w:t>
            </w:r>
            <w:r>
              <w:rPr>
                <w:rFonts w:ascii="Times New Roman" w:hAnsi="Times New Roman" w:eastAsia="Times New Roman" w:cs="Times New Roman"/>
                <w:sz w:val="17"/>
                <w:szCs w:val="17"/>
              </w:rPr>
              <w:t>F</w:t>
            </w:r>
          </w:p>
        </w:tc>
        <w:tc>
          <w:tcPr>
            <w:tcW w:w="730" w:type="dxa"/>
            <w:vMerge w:val="continue"/>
            <w:tcBorders>
              <w:top w:val="nil"/>
              <w:bottom w:val="nil"/>
            </w:tcBorders>
            <w:vAlign w:val="top"/>
          </w:tcPr>
          <w:p>
            <w:pPr>
              <w:rPr>
                <w:rFonts w:ascii="Arial"/>
                <w:sz w:val="21"/>
              </w:rPr>
            </w:pPr>
          </w:p>
        </w:tc>
        <w:tc>
          <w:tcPr>
            <w:tcW w:w="559" w:type="dxa"/>
            <w:vMerge w:val="continue"/>
            <w:tcBorders>
              <w:top w:val="nil"/>
              <w:bottom w:val="nil"/>
            </w:tcBorders>
            <w:vAlign w:val="top"/>
          </w:tcPr>
          <w:p>
            <w:pPr>
              <w:rPr>
                <w:rFonts w:ascii="Arial"/>
                <w:sz w:val="21"/>
              </w:rPr>
            </w:pPr>
          </w:p>
        </w:tc>
        <w:tc>
          <w:tcPr>
            <w:tcW w:w="470" w:type="dxa"/>
            <w:vAlign w:val="top"/>
          </w:tcPr>
          <w:p>
            <w:pPr>
              <w:spacing w:before="104" w:line="197" w:lineRule="auto"/>
              <w:ind w:left="9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16.</w:t>
            </w:r>
            <w:r>
              <w:rPr>
                <w:rFonts w:ascii="Times New Roman" w:hAnsi="Times New Roman" w:eastAsia="Times New Roman" w:cs="Times New Roman"/>
                <w:sz w:val="17"/>
                <w:szCs w:val="17"/>
              </w:rPr>
              <w:t>2</w:t>
            </w:r>
          </w:p>
        </w:tc>
        <w:tc>
          <w:tcPr>
            <w:tcW w:w="557" w:type="dxa"/>
            <w:vAlign w:val="top"/>
          </w:tcPr>
          <w:p>
            <w:pPr>
              <w:spacing w:before="94" w:line="197" w:lineRule="auto"/>
              <w:ind w:left="12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59.6</w:t>
            </w:r>
          </w:p>
        </w:tc>
        <w:tc>
          <w:tcPr>
            <w:tcW w:w="561" w:type="dxa"/>
            <w:vAlign w:val="top"/>
          </w:tcPr>
          <w:p>
            <w:pPr>
              <w:spacing w:before="94" w:line="197" w:lineRule="auto"/>
              <w:ind w:left="121"/>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5"/>
                <w:sz w:val="17"/>
                <w:szCs w:val="17"/>
              </w:rPr>
              <w:t>9.8</w:t>
            </w:r>
          </w:p>
        </w:tc>
        <w:tc>
          <w:tcPr>
            <w:tcW w:w="551" w:type="dxa"/>
            <w:vAlign w:val="top"/>
          </w:tcPr>
          <w:p>
            <w:pPr>
              <w:spacing w:before="94" w:line="197" w:lineRule="auto"/>
              <w:ind w:left="12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w:t>
            </w:r>
            <w:r>
              <w:rPr>
                <w:rFonts w:ascii="Times New Roman" w:hAnsi="Times New Roman" w:eastAsia="Times New Roman" w:cs="Times New Roman"/>
                <w:spacing w:val="2"/>
                <w:sz w:val="17"/>
                <w:szCs w:val="17"/>
              </w:rPr>
              <w:t>.7</w:t>
            </w:r>
          </w:p>
        </w:tc>
        <w:tc>
          <w:tcPr>
            <w:tcW w:w="567" w:type="dxa"/>
            <w:vAlign w:val="top"/>
          </w:tcPr>
          <w:p>
            <w:pPr>
              <w:spacing w:before="94" w:line="197" w:lineRule="auto"/>
              <w:ind w:left="13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2"/>
                <w:sz w:val="17"/>
                <w:szCs w:val="17"/>
              </w:rPr>
              <w:t>0.0</w:t>
            </w:r>
          </w:p>
        </w:tc>
        <w:tc>
          <w:tcPr>
            <w:tcW w:w="569" w:type="dxa"/>
            <w:vAlign w:val="top"/>
          </w:tcPr>
          <w:p>
            <w:pPr>
              <w:spacing w:before="94" w:line="197" w:lineRule="auto"/>
              <w:ind w:left="13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59.</w:t>
            </w:r>
            <w:r>
              <w:rPr>
                <w:rFonts w:ascii="Times New Roman" w:hAnsi="Times New Roman" w:eastAsia="Times New Roman" w:cs="Times New Roman"/>
                <w:spacing w:val="3"/>
                <w:sz w:val="17"/>
                <w:szCs w:val="17"/>
              </w:rPr>
              <w:t>8</w:t>
            </w:r>
          </w:p>
        </w:tc>
        <w:tc>
          <w:tcPr>
            <w:tcW w:w="553" w:type="dxa"/>
            <w:vAlign w:val="top"/>
          </w:tcPr>
          <w:p>
            <w:pPr>
              <w:spacing w:before="94" w:line="197" w:lineRule="auto"/>
              <w:ind w:left="123"/>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5</w:t>
            </w:r>
            <w:r>
              <w:rPr>
                <w:rFonts w:ascii="Times New Roman" w:hAnsi="Times New Roman" w:eastAsia="Times New Roman" w:cs="Times New Roman"/>
                <w:spacing w:val="-3"/>
                <w:sz w:val="17"/>
                <w:szCs w:val="17"/>
              </w:rPr>
              <w:t>0. 1</w:t>
            </w:r>
          </w:p>
        </w:tc>
        <w:tc>
          <w:tcPr>
            <w:tcW w:w="569" w:type="dxa"/>
            <w:vAlign w:val="top"/>
          </w:tcPr>
          <w:p>
            <w:pPr>
              <w:spacing w:before="30" w:line="242" w:lineRule="exact"/>
              <w:ind w:left="25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548" w:type="dxa"/>
            <w:vAlign w:val="top"/>
          </w:tcPr>
          <w:p>
            <w:pPr>
              <w:spacing w:before="30" w:line="242" w:lineRule="exact"/>
              <w:ind w:left="24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584" w:type="dxa"/>
            <w:vAlign w:val="top"/>
          </w:tcPr>
          <w:p>
            <w:pPr>
              <w:spacing w:before="94" w:line="197" w:lineRule="auto"/>
              <w:ind w:left="181"/>
              <w:rPr>
                <w:rFonts w:ascii="Times New Roman" w:hAnsi="Times New Roman" w:eastAsia="Times New Roman" w:cs="Times New Roman"/>
                <w:sz w:val="17"/>
                <w:szCs w:val="17"/>
              </w:rPr>
            </w:pPr>
            <w:r>
              <w:rPr>
                <w:rFonts w:ascii="Times New Roman" w:hAnsi="Times New Roman" w:eastAsia="Times New Roman" w:cs="Times New Roman"/>
                <w:spacing w:val="8"/>
                <w:sz w:val="17"/>
                <w:szCs w:val="17"/>
              </w:rPr>
              <w:t>0.</w:t>
            </w:r>
            <w:r>
              <w:rPr>
                <w:rFonts w:ascii="Times New Roman" w:hAnsi="Times New Roman" w:eastAsia="Times New Roman" w:cs="Times New Roman"/>
                <w:spacing w:val="7"/>
                <w:sz w:val="17"/>
                <w:szCs w:val="17"/>
              </w:rPr>
              <w:t>1</w:t>
            </w:r>
          </w:p>
        </w:tc>
        <w:tc>
          <w:tcPr>
            <w:tcW w:w="591" w:type="dxa"/>
            <w:vAlign w:val="top"/>
          </w:tcPr>
          <w:p>
            <w:pPr>
              <w:spacing w:before="49" w:line="243" w:lineRule="exact"/>
              <w:ind w:left="26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558" w:type="dxa"/>
            <w:vAlign w:val="top"/>
          </w:tcPr>
          <w:p>
            <w:pPr>
              <w:spacing w:before="49" w:line="243" w:lineRule="exact"/>
              <w:ind w:left="250"/>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12" w:type="dxa"/>
            <w:vAlign w:val="top"/>
          </w:tcPr>
          <w:p>
            <w:pPr>
              <w:spacing w:before="113" w:line="197" w:lineRule="auto"/>
              <w:ind w:left="26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730" w:type="dxa"/>
            <w:vMerge w:val="continue"/>
            <w:tcBorders>
              <w:top w:val="nil"/>
              <w:bottom w:val="nil"/>
            </w:tcBorders>
            <w:vAlign w:val="top"/>
          </w:tcPr>
          <w:p>
            <w:pPr>
              <w:rPr>
                <w:rFonts w:ascii="Arial"/>
                <w:sz w:val="21"/>
              </w:rPr>
            </w:pPr>
          </w:p>
        </w:tc>
        <w:tc>
          <w:tcPr>
            <w:tcW w:w="1287" w:type="dxa"/>
            <w:vMerge w:val="continue"/>
            <w:tcBorders>
              <w:top w:val="nil"/>
              <w:bottom w:val="nil"/>
            </w:tcBorders>
            <w:vAlign w:val="top"/>
          </w:tcPr>
          <w:p>
            <w:pPr>
              <w:rPr>
                <w:rFonts w:ascii="Arial"/>
                <w:sz w:val="21"/>
              </w:rPr>
            </w:pPr>
          </w:p>
        </w:tc>
        <w:tc>
          <w:tcPr>
            <w:tcW w:w="982" w:type="dxa"/>
            <w:vMerge w:val="continue"/>
            <w:tcBorders>
              <w:top w:val="nil"/>
              <w:bottom w:val="nil"/>
            </w:tcBorders>
            <w:vAlign w:val="top"/>
          </w:tcPr>
          <w:p>
            <w:pPr>
              <w:rPr>
                <w:rFonts w:ascii="Arial"/>
                <w:sz w:val="21"/>
              </w:rPr>
            </w:pPr>
          </w:p>
        </w:tc>
        <w:tc>
          <w:tcPr>
            <w:tcW w:w="105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04" w:type="dxa"/>
            <w:vAlign w:val="top"/>
          </w:tcPr>
          <w:p>
            <w:pPr>
              <w:spacing w:before="107" w:line="194" w:lineRule="auto"/>
              <w:ind w:left="202"/>
              <w:rPr>
                <w:rFonts w:ascii="Times New Roman" w:hAnsi="Times New Roman" w:eastAsia="Times New Roman" w:cs="Times New Roman"/>
                <w:sz w:val="17"/>
                <w:szCs w:val="17"/>
              </w:rPr>
            </w:pPr>
            <w:r>
              <w:rPr>
                <w:rFonts w:ascii="Times New Roman" w:hAnsi="Times New Roman" w:eastAsia="Times New Roman" w:cs="Times New Roman"/>
                <w:sz w:val="17"/>
                <w:szCs w:val="17"/>
              </w:rPr>
              <w:t>7</w:t>
            </w:r>
          </w:p>
        </w:tc>
        <w:tc>
          <w:tcPr>
            <w:tcW w:w="659" w:type="dxa"/>
            <w:vMerge w:val="continue"/>
            <w:tcBorders>
              <w:top w:val="nil"/>
            </w:tcBorders>
            <w:vAlign w:val="top"/>
          </w:tcPr>
          <w:p>
            <w:pPr>
              <w:rPr>
                <w:rFonts w:ascii="Arial"/>
                <w:sz w:val="21"/>
              </w:rPr>
            </w:pPr>
          </w:p>
        </w:tc>
        <w:tc>
          <w:tcPr>
            <w:tcW w:w="384" w:type="dxa"/>
            <w:vAlign w:val="top"/>
          </w:tcPr>
          <w:p>
            <w:pPr>
              <w:spacing w:before="116" w:line="194" w:lineRule="auto"/>
              <w:ind w:left="9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7</w:t>
            </w:r>
            <w:r>
              <w:rPr>
                <w:rFonts w:ascii="Times New Roman" w:hAnsi="Times New Roman" w:eastAsia="Times New Roman" w:cs="Times New Roman"/>
                <w:sz w:val="17"/>
                <w:szCs w:val="17"/>
              </w:rPr>
              <w:t>F</w:t>
            </w:r>
          </w:p>
        </w:tc>
        <w:tc>
          <w:tcPr>
            <w:tcW w:w="730" w:type="dxa"/>
            <w:vMerge w:val="continue"/>
            <w:tcBorders>
              <w:top w:val="nil"/>
            </w:tcBorders>
            <w:vAlign w:val="top"/>
          </w:tcPr>
          <w:p>
            <w:pPr>
              <w:rPr>
                <w:rFonts w:ascii="Arial"/>
                <w:sz w:val="21"/>
              </w:rPr>
            </w:pPr>
          </w:p>
        </w:tc>
        <w:tc>
          <w:tcPr>
            <w:tcW w:w="559" w:type="dxa"/>
            <w:vMerge w:val="continue"/>
            <w:tcBorders>
              <w:top w:val="nil"/>
            </w:tcBorders>
            <w:vAlign w:val="top"/>
          </w:tcPr>
          <w:p>
            <w:pPr>
              <w:rPr>
                <w:rFonts w:ascii="Arial"/>
                <w:sz w:val="21"/>
              </w:rPr>
            </w:pPr>
          </w:p>
        </w:tc>
        <w:tc>
          <w:tcPr>
            <w:tcW w:w="470" w:type="dxa"/>
            <w:vAlign w:val="top"/>
          </w:tcPr>
          <w:p>
            <w:pPr>
              <w:spacing w:before="104" w:line="197" w:lineRule="auto"/>
              <w:ind w:left="9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19.</w:t>
            </w:r>
            <w:r>
              <w:rPr>
                <w:rFonts w:ascii="Times New Roman" w:hAnsi="Times New Roman" w:eastAsia="Times New Roman" w:cs="Times New Roman"/>
                <w:sz w:val="17"/>
                <w:szCs w:val="17"/>
              </w:rPr>
              <w:t>2</w:t>
            </w:r>
          </w:p>
        </w:tc>
        <w:tc>
          <w:tcPr>
            <w:tcW w:w="557" w:type="dxa"/>
            <w:vAlign w:val="top"/>
          </w:tcPr>
          <w:p>
            <w:pPr>
              <w:spacing w:before="95" w:line="197" w:lineRule="auto"/>
              <w:ind w:left="12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9.5</w:t>
            </w:r>
          </w:p>
        </w:tc>
        <w:tc>
          <w:tcPr>
            <w:tcW w:w="561" w:type="dxa"/>
            <w:vAlign w:val="top"/>
          </w:tcPr>
          <w:p>
            <w:pPr>
              <w:spacing w:before="95" w:line="197" w:lineRule="auto"/>
              <w:ind w:left="12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49.7</w:t>
            </w:r>
          </w:p>
        </w:tc>
        <w:tc>
          <w:tcPr>
            <w:tcW w:w="551" w:type="dxa"/>
            <w:vAlign w:val="top"/>
          </w:tcPr>
          <w:p>
            <w:pPr>
              <w:spacing w:before="95" w:line="197" w:lineRule="auto"/>
              <w:ind w:left="12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3"/>
                <w:sz w:val="17"/>
                <w:szCs w:val="17"/>
              </w:rPr>
              <w:t>9</w:t>
            </w:r>
            <w:r>
              <w:rPr>
                <w:rFonts w:ascii="Times New Roman" w:hAnsi="Times New Roman" w:eastAsia="Times New Roman" w:cs="Times New Roman"/>
                <w:spacing w:val="2"/>
                <w:sz w:val="17"/>
                <w:szCs w:val="17"/>
              </w:rPr>
              <w:t>.7</w:t>
            </w:r>
          </w:p>
        </w:tc>
        <w:tc>
          <w:tcPr>
            <w:tcW w:w="567" w:type="dxa"/>
            <w:vAlign w:val="top"/>
          </w:tcPr>
          <w:p>
            <w:pPr>
              <w:spacing w:before="95" w:line="197" w:lineRule="auto"/>
              <w:ind w:left="13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w:t>
            </w:r>
            <w:r>
              <w:rPr>
                <w:rFonts w:ascii="Times New Roman" w:hAnsi="Times New Roman" w:eastAsia="Times New Roman" w:cs="Times New Roman"/>
                <w:spacing w:val="2"/>
                <w:sz w:val="17"/>
                <w:szCs w:val="17"/>
              </w:rPr>
              <w:t>0.0</w:t>
            </w:r>
          </w:p>
        </w:tc>
        <w:tc>
          <w:tcPr>
            <w:tcW w:w="569" w:type="dxa"/>
            <w:vAlign w:val="top"/>
          </w:tcPr>
          <w:p>
            <w:pPr>
              <w:spacing w:before="95" w:line="197" w:lineRule="auto"/>
              <w:ind w:left="13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59.</w:t>
            </w:r>
            <w:r>
              <w:rPr>
                <w:rFonts w:ascii="Times New Roman" w:hAnsi="Times New Roman" w:eastAsia="Times New Roman" w:cs="Times New Roman"/>
                <w:spacing w:val="3"/>
                <w:sz w:val="17"/>
                <w:szCs w:val="17"/>
              </w:rPr>
              <w:t>8</w:t>
            </w:r>
          </w:p>
        </w:tc>
        <w:tc>
          <w:tcPr>
            <w:tcW w:w="553" w:type="dxa"/>
            <w:vAlign w:val="top"/>
          </w:tcPr>
          <w:p>
            <w:pPr>
              <w:spacing w:before="95" w:line="197" w:lineRule="auto"/>
              <w:ind w:left="123"/>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5</w:t>
            </w:r>
            <w:r>
              <w:rPr>
                <w:rFonts w:ascii="Times New Roman" w:hAnsi="Times New Roman" w:eastAsia="Times New Roman" w:cs="Times New Roman"/>
                <w:spacing w:val="-3"/>
                <w:sz w:val="17"/>
                <w:szCs w:val="17"/>
              </w:rPr>
              <w:t>0. 1</w:t>
            </w:r>
          </w:p>
        </w:tc>
        <w:tc>
          <w:tcPr>
            <w:tcW w:w="569" w:type="dxa"/>
            <w:vAlign w:val="top"/>
          </w:tcPr>
          <w:p>
            <w:pPr>
              <w:spacing w:before="31" w:line="242" w:lineRule="exact"/>
              <w:ind w:left="25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548" w:type="dxa"/>
            <w:vAlign w:val="top"/>
          </w:tcPr>
          <w:p>
            <w:pPr>
              <w:spacing w:before="31" w:line="242" w:lineRule="exact"/>
              <w:ind w:left="24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584" w:type="dxa"/>
            <w:vAlign w:val="top"/>
          </w:tcPr>
          <w:p>
            <w:pPr>
              <w:spacing w:before="95" w:line="197" w:lineRule="auto"/>
              <w:ind w:left="181"/>
              <w:rPr>
                <w:rFonts w:ascii="Times New Roman" w:hAnsi="Times New Roman" w:eastAsia="Times New Roman" w:cs="Times New Roman"/>
                <w:sz w:val="17"/>
                <w:szCs w:val="17"/>
              </w:rPr>
            </w:pPr>
            <w:r>
              <w:rPr>
                <w:rFonts w:ascii="Times New Roman" w:hAnsi="Times New Roman" w:eastAsia="Times New Roman" w:cs="Times New Roman"/>
                <w:spacing w:val="8"/>
                <w:sz w:val="17"/>
                <w:szCs w:val="17"/>
              </w:rPr>
              <w:t>0.</w:t>
            </w:r>
            <w:r>
              <w:rPr>
                <w:rFonts w:ascii="Times New Roman" w:hAnsi="Times New Roman" w:eastAsia="Times New Roman" w:cs="Times New Roman"/>
                <w:spacing w:val="7"/>
                <w:sz w:val="17"/>
                <w:szCs w:val="17"/>
              </w:rPr>
              <w:t>1</w:t>
            </w:r>
          </w:p>
        </w:tc>
        <w:tc>
          <w:tcPr>
            <w:tcW w:w="591" w:type="dxa"/>
            <w:vAlign w:val="top"/>
          </w:tcPr>
          <w:p>
            <w:pPr>
              <w:spacing w:before="50" w:line="243" w:lineRule="exact"/>
              <w:ind w:left="26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558" w:type="dxa"/>
            <w:vAlign w:val="top"/>
          </w:tcPr>
          <w:p>
            <w:pPr>
              <w:spacing w:before="50" w:line="243" w:lineRule="exact"/>
              <w:ind w:left="250"/>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612" w:type="dxa"/>
            <w:vAlign w:val="top"/>
          </w:tcPr>
          <w:p>
            <w:pPr>
              <w:spacing w:before="114" w:line="197" w:lineRule="auto"/>
              <w:ind w:left="26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730" w:type="dxa"/>
            <w:vMerge w:val="continue"/>
            <w:tcBorders>
              <w:top w:val="nil"/>
            </w:tcBorders>
            <w:vAlign w:val="top"/>
          </w:tcPr>
          <w:p>
            <w:pPr>
              <w:rPr>
                <w:rFonts w:ascii="Arial"/>
                <w:sz w:val="21"/>
              </w:rPr>
            </w:pPr>
          </w:p>
        </w:tc>
        <w:tc>
          <w:tcPr>
            <w:tcW w:w="1287" w:type="dxa"/>
            <w:vMerge w:val="continue"/>
            <w:tcBorders>
              <w:top w:val="nil"/>
            </w:tcBorders>
            <w:vAlign w:val="top"/>
          </w:tcPr>
          <w:p>
            <w:pPr>
              <w:rPr>
                <w:rFonts w:ascii="Arial"/>
                <w:sz w:val="21"/>
              </w:rPr>
            </w:pPr>
          </w:p>
        </w:tc>
        <w:tc>
          <w:tcPr>
            <w:tcW w:w="982" w:type="dxa"/>
            <w:vMerge w:val="continue"/>
            <w:tcBorders>
              <w:top w:val="nil"/>
            </w:tcBorders>
            <w:vAlign w:val="top"/>
          </w:tcPr>
          <w:p>
            <w:pPr>
              <w:rPr>
                <w:rFonts w:ascii="Arial"/>
                <w:sz w:val="21"/>
              </w:rPr>
            </w:pPr>
          </w:p>
        </w:tc>
        <w:tc>
          <w:tcPr>
            <w:tcW w:w="1055"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4080" w:type="dxa"/>
            <w:gridSpan w:val="22"/>
            <w:vAlign w:val="top"/>
          </w:tcPr>
          <w:p>
            <w:pPr>
              <w:spacing w:before="75" w:line="230" w:lineRule="auto"/>
              <w:ind w:left="31"/>
              <w:rPr>
                <w:rFonts w:ascii="宋体" w:hAnsi="宋体" w:eastAsia="宋体" w:cs="宋体"/>
                <w:sz w:val="17"/>
                <w:szCs w:val="17"/>
              </w:rPr>
            </w:pPr>
            <w:r>
              <w:rPr>
                <w:rFonts w:ascii="宋体" w:hAnsi="宋体" w:eastAsia="宋体" w:cs="宋体"/>
                <w:spacing w:val="16"/>
                <w:sz w:val="17"/>
                <w:szCs w:val="17"/>
                <w14:textOutline w14:w="3268" w14:cap="sq" w14:cmpd="sng">
                  <w14:solidFill>
                    <w14:srgbClr w14:val="000000"/>
                  </w14:solidFill>
                  <w14:prstDash w14:val="solid"/>
                  <w14:bevel/>
                </w14:textOutline>
              </w:rPr>
              <w:t>说</w:t>
            </w:r>
            <w:r>
              <w:rPr>
                <w:rFonts w:ascii="宋体" w:hAnsi="宋体" w:eastAsia="宋体" w:cs="宋体"/>
                <w:spacing w:val="10"/>
                <w:sz w:val="17"/>
                <w:szCs w:val="17"/>
                <w14:textOutline w14:w="3268" w14:cap="sq" w14:cmpd="sng">
                  <w14:solidFill>
                    <w14:srgbClr w14:val="000000"/>
                  </w14:solidFill>
                  <w14:prstDash w14:val="solid"/>
                  <w14:bevel/>
                </w14:textOutline>
              </w:rPr>
              <w:t>明</w:t>
            </w:r>
            <w:r>
              <w:rPr>
                <w:rFonts w:ascii="宋体" w:hAnsi="宋体" w:eastAsia="宋体" w:cs="宋体"/>
                <w:spacing w:val="8"/>
                <w:sz w:val="17"/>
                <w:szCs w:val="17"/>
              </w:rPr>
              <w:t xml:space="preserve">：受影响住户仅考虑面向项目桥梁一侧的住户，根据调查户型图，面向该方向的户型为 </w:t>
            </w:r>
            <w:r>
              <w:rPr>
                <w:rFonts w:ascii="Times New Roman" w:hAnsi="Times New Roman" w:eastAsia="Times New Roman" w:cs="Times New Roman"/>
                <w:spacing w:val="8"/>
                <w:sz w:val="17"/>
                <w:szCs w:val="17"/>
              </w:rPr>
              <w:t xml:space="preserve">2 </w:t>
            </w:r>
            <w:r>
              <w:rPr>
                <w:rFonts w:ascii="宋体" w:hAnsi="宋体" w:eastAsia="宋体" w:cs="宋体"/>
                <w:spacing w:val="8"/>
                <w:sz w:val="17"/>
                <w:szCs w:val="17"/>
              </w:rPr>
              <w:t>户。</w:t>
            </w:r>
          </w:p>
        </w:tc>
      </w:tr>
    </w:tbl>
    <w:p>
      <w:pPr>
        <w:spacing w:before="140" w:line="227" w:lineRule="auto"/>
        <w:ind w:left="774"/>
        <w:rPr>
          <w:rFonts w:ascii="宋体" w:hAnsi="宋体" w:eastAsia="宋体" w:cs="宋体"/>
          <w:sz w:val="20"/>
          <w:szCs w:val="20"/>
        </w:rPr>
      </w:pPr>
      <w:r>
        <w:rPr>
          <w:rFonts w:ascii="宋体" w:hAnsi="宋体" w:eastAsia="宋体" w:cs="宋体"/>
          <w:spacing w:val="18"/>
          <w:sz w:val="20"/>
          <w:szCs w:val="20"/>
        </w:rPr>
        <w:t>采</w:t>
      </w:r>
      <w:r>
        <w:rPr>
          <w:rFonts w:ascii="宋体" w:hAnsi="宋体" w:eastAsia="宋体" w:cs="宋体"/>
          <w:spacing w:val="11"/>
          <w:sz w:val="20"/>
          <w:szCs w:val="20"/>
        </w:rPr>
        <w:t>取</w:t>
      </w:r>
      <w:r>
        <w:rPr>
          <w:rFonts w:ascii="宋体" w:hAnsi="宋体" w:eastAsia="宋体" w:cs="宋体"/>
          <w:spacing w:val="9"/>
          <w:sz w:val="20"/>
          <w:szCs w:val="20"/>
        </w:rPr>
        <w:t>以上的环保措施治理后，不会因本项目建设产生噪声扰民现象。</w:t>
      </w:r>
    </w:p>
    <w:p>
      <w:pPr>
        <w:sectPr>
          <w:footerReference r:id="rId146" w:type="default"/>
          <w:pgSz w:w="16839" w:h="11906"/>
          <w:pgMar w:top="400" w:right="1376" w:bottom="1253" w:left="1376" w:header="0" w:footer="1066" w:gutter="0"/>
          <w:cols w:space="720" w:num="1"/>
        </w:sect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94" w:line="232" w:lineRule="auto"/>
        <w:ind w:left="5"/>
        <w:outlineLvl w:val="1"/>
        <w:rPr>
          <w:rFonts w:ascii="黑体" w:hAnsi="黑体" w:eastAsia="黑体" w:cs="黑体"/>
          <w:sz w:val="29"/>
          <w:szCs w:val="29"/>
        </w:rPr>
      </w:pPr>
      <w:bookmarkStart w:id="31" w:name="_bookmark32"/>
      <w:bookmarkEnd w:id="31"/>
      <w:r>
        <w:rPr>
          <w:rFonts w:ascii="Times New Roman" w:hAnsi="Times New Roman" w:eastAsia="Times New Roman" w:cs="Times New Roman"/>
          <w:spacing w:val="14"/>
          <w:sz w:val="29"/>
          <w:szCs w:val="29"/>
        </w:rPr>
        <w:t>6</w:t>
      </w:r>
      <w:r>
        <w:rPr>
          <w:rFonts w:ascii="Times New Roman" w:hAnsi="Times New Roman" w:eastAsia="Times New Roman" w:cs="Times New Roman"/>
          <w:spacing w:val="10"/>
          <w:sz w:val="29"/>
          <w:szCs w:val="29"/>
        </w:rPr>
        <w:t xml:space="preserve">   </w:t>
      </w:r>
      <w:r>
        <w:rPr>
          <w:rFonts w:ascii="黑体" w:hAnsi="黑体" w:eastAsia="黑体" w:cs="黑体"/>
          <w:spacing w:val="10"/>
          <w:sz w:val="29"/>
          <w:szCs w:val="29"/>
        </w:rPr>
        <w:t>结论</w:t>
      </w: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before="65" w:line="372" w:lineRule="auto"/>
        <w:ind w:right="2" w:firstLine="420"/>
        <w:rPr>
          <w:rFonts w:ascii="宋体" w:hAnsi="宋体" w:eastAsia="宋体" w:cs="宋体"/>
          <w:sz w:val="20"/>
          <w:szCs w:val="20"/>
        </w:rPr>
      </w:pPr>
      <w:r>
        <w:rPr>
          <w:rFonts w:ascii="宋体" w:hAnsi="宋体" w:eastAsia="宋体" w:cs="宋体"/>
          <w:spacing w:val="20"/>
          <w:sz w:val="20"/>
          <w:szCs w:val="20"/>
        </w:rPr>
        <w:t>根</w:t>
      </w:r>
      <w:r>
        <w:rPr>
          <w:rFonts w:ascii="宋体" w:hAnsi="宋体" w:eastAsia="宋体" w:cs="宋体"/>
          <w:spacing w:val="13"/>
          <w:sz w:val="20"/>
          <w:szCs w:val="20"/>
        </w:rPr>
        <w:t>据</w:t>
      </w:r>
      <w:r>
        <w:rPr>
          <w:rFonts w:ascii="宋体" w:hAnsi="宋体" w:eastAsia="宋体" w:cs="宋体"/>
          <w:spacing w:val="10"/>
          <w:sz w:val="20"/>
          <w:szCs w:val="20"/>
        </w:rPr>
        <w:t>本报告对拟建桥梁的施工期、营运期噪声影响分析，项目施工噪声对附近敏感点到声环</w:t>
      </w:r>
      <w:r>
        <w:rPr>
          <w:rFonts w:ascii="宋体" w:hAnsi="宋体" w:eastAsia="宋体" w:cs="宋体"/>
          <w:sz w:val="20"/>
          <w:szCs w:val="20"/>
        </w:rPr>
        <w:t xml:space="preserve"> </w:t>
      </w:r>
      <w:r>
        <w:rPr>
          <w:rFonts w:ascii="宋体" w:hAnsi="宋体" w:eastAsia="宋体" w:cs="宋体"/>
          <w:spacing w:val="20"/>
          <w:sz w:val="20"/>
          <w:szCs w:val="20"/>
        </w:rPr>
        <w:t>境</w:t>
      </w:r>
      <w:r>
        <w:rPr>
          <w:rFonts w:ascii="宋体" w:hAnsi="宋体" w:eastAsia="宋体" w:cs="宋体"/>
          <w:spacing w:val="14"/>
          <w:sz w:val="20"/>
          <w:szCs w:val="20"/>
        </w:rPr>
        <w:t>影</w:t>
      </w:r>
      <w:r>
        <w:rPr>
          <w:rFonts w:ascii="宋体" w:hAnsi="宋体" w:eastAsia="宋体" w:cs="宋体"/>
          <w:spacing w:val="10"/>
          <w:sz w:val="20"/>
          <w:szCs w:val="20"/>
        </w:rPr>
        <w:t>响较小，不会造成扰民影响，施工期的噪声影响随施工结束而消失，属可接受程度。营运期</w:t>
      </w:r>
      <w:r>
        <w:rPr>
          <w:rFonts w:ascii="宋体" w:hAnsi="宋体" w:eastAsia="宋体" w:cs="宋体"/>
          <w:sz w:val="20"/>
          <w:szCs w:val="20"/>
        </w:rPr>
        <w:t xml:space="preserve"> </w:t>
      </w:r>
      <w:r>
        <w:rPr>
          <w:rFonts w:ascii="宋体" w:hAnsi="宋体" w:eastAsia="宋体" w:cs="宋体"/>
          <w:spacing w:val="20"/>
          <w:sz w:val="20"/>
          <w:szCs w:val="20"/>
        </w:rPr>
        <w:t>间</w:t>
      </w:r>
      <w:r>
        <w:rPr>
          <w:rFonts w:ascii="宋体" w:hAnsi="宋体" w:eastAsia="宋体" w:cs="宋体"/>
          <w:spacing w:val="14"/>
          <w:sz w:val="20"/>
          <w:szCs w:val="20"/>
        </w:rPr>
        <w:t>的</w:t>
      </w:r>
      <w:r>
        <w:rPr>
          <w:rFonts w:ascii="宋体" w:hAnsi="宋体" w:eastAsia="宋体" w:cs="宋体"/>
          <w:spacing w:val="10"/>
          <w:sz w:val="20"/>
          <w:szCs w:val="20"/>
        </w:rPr>
        <w:t>车辆交通噪声随着后期车流量的增加而逐渐增大，对附近敏感点到贡献值也逐渐增大。通过</w:t>
      </w:r>
      <w:r>
        <w:rPr>
          <w:rFonts w:ascii="宋体" w:hAnsi="宋体" w:eastAsia="宋体" w:cs="宋体"/>
          <w:sz w:val="20"/>
          <w:szCs w:val="20"/>
        </w:rPr>
        <w:t xml:space="preserve"> </w:t>
      </w:r>
      <w:r>
        <w:rPr>
          <w:rFonts w:ascii="宋体" w:hAnsi="宋体" w:eastAsia="宋体" w:cs="宋体"/>
          <w:spacing w:val="20"/>
          <w:sz w:val="20"/>
          <w:szCs w:val="20"/>
        </w:rPr>
        <w:t>采</w:t>
      </w:r>
      <w:r>
        <w:rPr>
          <w:rFonts w:ascii="宋体" w:hAnsi="宋体" w:eastAsia="宋体" w:cs="宋体"/>
          <w:spacing w:val="14"/>
          <w:sz w:val="20"/>
          <w:szCs w:val="20"/>
        </w:rPr>
        <w:t>用</w:t>
      </w:r>
      <w:r>
        <w:rPr>
          <w:rFonts w:ascii="宋体" w:hAnsi="宋体" w:eastAsia="宋体" w:cs="宋体"/>
          <w:spacing w:val="10"/>
          <w:sz w:val="20"/>
          <w:szCs w:val="20"/>
        </w:rPr>
        <w:t>噪声更低到沥青路面、限制车速、对路面及时维护等措施后，经预测，在营运中远期，达到</w:t>
      </w:r>
      <w:r>
        <w:rPr>
          <w:rFonts w:ascii="宋体" w:hAnsi="宋体" w:eastAsia="宋体" w:cs="宋体"/>
          <w:sz w:val="20"/>
          <w:szCs w:val="20"/>
        </w:rPr>
        <w:t xml:space="preserve"> </w:t>
      </w:r>
      <w:r>
        <w:rPr>
          <w:rFonts w:ascii="宋体" w:hAnsi="宋体" w:eastAsia="宋体" w:cs="宋体"/>
          <w:spacing w:val="20"/>
          <w:sz w:val="20"/>
          <w:szCs w:val="20"/>
        </w:rPr>
        <w:t>设</w:t>
      </w:r>
      <w:r>
        <w:rPr>
          <w:rFonts w:ascii="宋体" w:hAnsi="宋体" w:eastAsia="宋体" w:cs="宋体"/>
          <w:spacing w:val="14"/>
          <w:sz w:val="20"/>
          <w:szCs w:val="20"/>
        </w:rPr>
        <w:t>计</w:t>
      </w:r>
      <w:r>
        <w:rPr>
          <w:rFonts w:ascii="宋体" w:hAnsi="宋体" w:eastAsia="宋体" w:cs="宋体"/>
          <w:spacing w:val="10"/>
          <w:sz w:val="20"/>
          <w:szCs w:val="20"/>
        </w:rPr>
        <w:t>到车流量后，道路两侧的住户等敏感点处的噪声叠加值是能够满足《声环境质量标准》相应</w:t>
      </w:r>
      <w:r>
        <w:rPr>
          <w:rFonts w:ascii="宋体" w:hAnsi="宋体" w:eastAsia="宋体" w:cs="宋体"/>
          <w:sz w:val="20"/>
          <w:szCs w:val="20"/>
        </w:rPr>
        <w:t xml:space="preserve"> </w:t>
      </w:r>
      <w:r>
        <w:rPr>
          <w:rFonts w:ascii="宋体" w:hAnsi="宋体" w:eastAsia="宋体" w:cs="宋体"/>
          <w:spacing w:val="14"/>
          <w:sz w:val="20"/>
          <w:szCs w:val="20"/>
        </w:rPr>
        <w:t>要</w:t>
      </w:r>
      <w:r>
        <w:rPr>
          <w:rFonts w:ascii="宋体" w:hAnsi="宋体" w:eastAsia="宋体" w:cs="宋体"/>
          <w:spacing w:val="9"/>
          <w:sz w:val="20"/>
          <w:szCs w:val="20"/>
        </w:rPr>
        <w:t>求的，项目道路交通对敏感点的影响是可以接受的。</w:t>
      </w:r>
    </w:p>
    <w:p>
      <w:pPr>
        <w:sectPr>
          <w:footerReference r:id="rId147" w:type="default"/>
          <w:pgSz w:w="11906" w:h="16839"/>
          <w:pgMar w:top="400" w:right="1530" w:bottom="1253" w:left="1538" w:header="0" w:footer="1066" w:gutter="0"/>
          <w:cols w:space="720" w:num="1"/>
        </w:sectPr>
      </w:pPr>
    </w:p>
    <w:p>
      <w:pPr>
        <w:spacing w:line="262" w:lineRule="auto"/>
        <w:rPr>
          <w:rFonts w:hint="eastAsia" w:ascii="Arial" w:eastAsia="宋体"/>
          <w:sz w:val="21"/>
          <w:lang w:val="en-US" w:eastAsia="zh-CN"/>
        </w:rPr>
      </w:pPr>
    </w:p>
    <w:sectPr>
      <w:headerReference r:id="rId148" w:type="default"/>
      <w:footerReference r:id="rId149" w:type="default"/>
      <w:pgSz w:w="11905" w:h="16836"/>
      <w:pgMar w:top="15" w:right="5" w:bottom="2"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97"/>
      <w:jc w:val="right"/>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w:t>
    </w:r>
    <w:r>
      <w:rPr>
        <w:rFonts w:ascii="Times New Roman" w:hAnsi="Times New Roman" w:eastAsia="Times New Roman" w:cs="Times New Roman"/>
        <w:spacing w:val="3"/>
        <w:sz w:val="17"/>
        <w:szCs w:val="17"/>
      </w:rPr>
      <w:t xml:space="preserve"> </w:t>
    </w:r>
    <w:r>
      <w:rPr>
        <w:rFonts w:ascii="Times New Roman" w:hAnsi="Times New Roman" w:eastAsia="Times New Roman" w:cs="Times New Roman"/>
        <w:spacing w:val="2"/>
        <w:sz w:val="17"/>
        <w:szCs w:val="17"/>
      </w:rPr>
      <w:t>1 -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2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- 10 </w:t>
    </w:r>
    <w:r>
      <w:rPr>
        <w:rFonts w:ascii="Times New Roman" w:hAnsi="Times New Roman" w:eastAsia="Times New Roman" w:cs="Times New Roman"/>
        <w:spacing w:val="2"/>
        <w:sz w:val="17"/>
        <w:szCs w:val="17"/>
      </w:rPr>
      <w:t>-</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right="46"/>
      <w:jc w:val="right"/>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- 1 </w:t>
    </w:r>
    <w:r>
      <w:rPr>
        <w:rFonts w:ascii="Times New Roman" w:hAnsi="Times New Roman" w:eastAsia="Times New Roman" w:cs="Times New Roman"/>
        <w:spacing w:val="2"/>
        <w:sz w:val="20"/>
        <w:szCs w:val="20"/>
      </w:rPr>
      <w:t>-</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 xml:space="preserve"> 2 -</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jc w:val="right"/>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- 3</w:t>
    </w:r>
    <w:r>
      <w:rPr>
        <w:rFonts w:ascii="Times New Roman" w:hAnsi="Times New Roman" w:eastAsia="Times New Roman" w:cs="Times New Roman"/>
        <w:spacing w:val="1"/>
        <w:sz w:val="20"/>
        <w:szCs w:val="20"/>
      </w:rPr>
      <w:t xml:space="preserve"> -</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 xml:space="preserve"> 4 -</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1" w:lineRule="auto"/>
      <w:jc w:val="right"/>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- 5</w:t>
    </w:r>
    <w:r>
      <w:rPr>
        <w:rFonts w:ascii="Times New Roman" w:hAnsi="Times New Roman" w:eastAsia="Times New Roman" w:cs="Times New Roman"/>
        <w:spacing w:val="1"/>
        <w:sz w:val="20"/>
        <w:szCs w:val="20"/>
      </w:rPr>
      <w:t xml:space="preserve"> -</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 xml:space="preserve"> 6 -</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1" w:lineRule="auto"/>
      <w:ind w:right="133"/>
      <w:jc w:val="right"/>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- 7 </w:t>
    </w:r>
    <w:r>
      <w:rPr>
        <w:rFonts w:ascii="Times New Roman" w:hAnsi="Times New Roman" w:eastAsia="Times New Roman" w:cs="Times New Roman"/>
        <w:spacing w:val="2"/>
        <w:sz w:val="20"/>
        <w:szCs w:val="20"/>
      </w:rPr>
      <w:t>-</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 xml:space="preserve"> 8 -</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jc w:val="right"/>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- 9</w:t>
    </w:r>
    <w:r>
      <w:rPr>
        <w:rFonts w:ascii="Times New Roman" w:hAnsi="Times New Roman" w:eastAsia="Times New Roman" w:cs="Times New Roman"/>
        <w:spacing w:val="1"/>
        <w:sz w:val="20"/>
        <w:szCs w:val="20"/>
      </w:rPr>
      <w:t xml:space="preserve"> -</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- 10 </w:t>
    </w:r>
    <w:r>
      <w:rPr>
        <w:rFonts w:ascii="Times New Roman" w:hAnsi="Times New Roman" w:eastAsia="Times New Roman" w:cs="Times New Roman"/>
        <w:spacing w:val="2"/>
        <w:sz w:val="20"/>
        <w:szCs w:val="20"/>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97"/>
      <w:jc w:val="righ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- 11 -</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right="44"/>
      <w:jc w:val="right"/>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- 11</w:t>
    </w:r>
    <w:r>
      <w:rPr>
        <w:rFonts w:ascii="Times New Roman" w:hAnsi="Times New Roman" w:eastAsia="Times New Roman" w:cs="Times New Roman"/>
        <w:spacing w:val="1"/>
        <w:sz w:val="20"/>
        <w:szCs w:val="20"/>
      </w:rPr>
      <w:t xml:space="preserve"> -</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- 12 </w:t>
    </w:r>
    <w:r>
      <w:rPr>
        <w:rFonts w:ascii="Times New Roman" w:hAnsi="Times New Roman" w:eastAsia="Times New Roman" w:cs="Times New Roman"/>
        <w:spacing w:val="2"/>
        <w:sz w:val="20"/>
        <w:szCs w:val="20"/>
      </w:rPr>
      <w:t>-</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jc w:val="right"/>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 xml:space="preserve">- 13 </w:t>
    </w:r>
    <w:r>
      <w:rPr>
        <w:rFonts w:ascii="Times New Roman" w:hAnsi="Times New Roman" w:eastAsia="Times New Roman" w:cs="Times New Roman"/>
        <w:spacing w:val="1"/>
        <w:sz w:val="20"/>
        <w:szCs w:val="20"/>
      </w:rPr>
      <w:t>-</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- 14 </w:t>
    </w:r>
    <w:r>
      <w:rPr>
        <w:rFonts w:ascii="Times New Roman" w:hAnsi="Times New Roman" w:eastAsia="Times New Roman" w:cs="Times New Roman"/>
        <w:spacing w:val="2"/>
        <w:sz w:val="20"/>
        <w:szCs w:val="20"/>
      </w:rPr>
      <w:t>-</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right="94"/>
      <w:jc w:val="right"/>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- 15 </w:t>
    </w:r>
    <w:r>
      <w:rPr>
        <w:rFonts w:ascii="Times New Roman" w:hAnsi="Times New Roman" w:eastAsia="Times New Roman" w:cs="Times New Roman"/>
        <w:spacing w:val="2"/>
        <w:sz w:val="20"/>
        <w:szCs w:val="20"/>
      </w:rPr>
      <w:t>-</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- 16 </w:t>
    </w:r>
    <w:r>
      <w:rPr>
        <w:rFonts w:ascii="Times New Roman" w:hAnsi="Times New Roman" w:eastAsia="Times New Roman" w:cs="Times New Roman"/>
        <w:spacing w:val="2"/>
        <w:sz w:val="20"/>
        <w:szCs w:val="20"/>
      </w:rPr>
      <w:t>-</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jc w:val="right"/>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 xml:space="preserve">- 17 </w:t>
    </w:r>
    <w:r>
      <w:rPr>
        <w:rFonts w:ascii="Times New Roman" w:hAnsi="Times New Roman" w:eastAsia="Times New Roman" w:cs="Times New Roman"/>
        <w:spacing w:val="1"/>
        <w:sz w:val="20"/>
        <w:szCs w:val="20"/>
      </w:rPr>
      <w:t>-</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- 18 </w:t>
    </w:r>
    <w:r>
      <w:rPr>
        <w:rFonts w:ascii="Times New Roman" w:hAnsi="Times New Roman" w:eastAsia="Times New Roman" w:cs="Times New Roman"/>
        <w:spacing w:val="2"/>
        <w:sz w:val="20"/>
        <w:szCs w:val="20"/>
      </w:rPr>
      <w:t>-</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right="94"/>
      <w:jc w:val="right"/>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- 19 </w:t>
    </w:r>
    <w:r>
      <w:rPr>
        <w:rFonts w:ascii="Times New Roman" w:hAnsi="Times New Roman" w:eastAsia="Times New Roman" w:cs="Times New Roman"/>
        <w:spacing w:val="2"/>
        <w:sz w:val="20"/>
        <w:szCs w:val="20"/>
      </w:rPr>
      <w:t>-</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- 20 </w:t>
    </w:r>
    <w:r>
      <w:rPr>
        <w:rFonts w:ascii="Times New Roman" w:hAnsi="Times New Roman" w:eastAsia="Times New Roman" w:cs="Times New Roman"/>
        <w:spacing w:val="2"/>
        <w:sz w:val="20"/>
        <w:szCs w:val="20"/>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2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- 12 </w:t>
    </w:r>
    <w:r>
      <w:rPr>
        <w:rFonts w:ascii="Times New Roman" w:hAnsi="Times New Roman" w:eastAsia="Times New Roman" w:cs="Times New Roman"/>
        <w:spacing w:val="2"/>
        <w:sz w:val="17"/>
        <w:szCs w:val="17"/>
      </w:rPr>
      <w:t>-</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right="63"/>
      <w:jc w:val="right"/>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- 21 </w:t>
    </w:r>
    <w:r>
      <w:rPr>
        <w:rFonts w:ascii="Times New Roman" w:hAnsi="Times New Roman" w:eastAsia="Times New Roman" w:cs="Times New Roman"/>
        <w:spacing w:val="2"/>
        <w:sz w:val="20"/>
        <w:szCs w:val="20"/>
      </w:rPr>
      <w:t>-</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- 22 </w:t>
    </w:r>
    <w:r>
      <w:rPr>
        <w:rFonts w:ascii="Times New Roman" w:hAnsi="Times New Roman" w:eastAsia="Times New Roman" w:cs="Times New Roman"/>
        <w:spacing w:val="2"/>
        <w:sz w:val="20"/>
        <w:szCs w:val="20"/>
      </w:rPr>
      <w:t>-</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jc w:val="right"/>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 xml:space="preserve">- 23 </w:t>
    </w:r>
    <w:r>
      <w:rPr>
        <w:rFonts w:ascii="Times New Roman" w:hAnsi="Times New Roman" w:eastAsia="Times New Roman" w:cs="Times New Roman"/>
        <w:spacing w:val="1"/>
        <w:sz w:val="20"/>
        <w:szCs w:val="20"/>
      </w:rPr>
      <w:t>-</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- 24 </w:t>
    </w:r>
    <w:r>
      <w:rPr>
        <w:rFonts w:ascii="Times New Roman" w:hAnsi="Times New Roman" w:eastAsia="Times New Roman" w:cs="Times New Roman"/>
        <w:spacing w:val="2"/>
        <w:sz w:val="20"/>
        <w:szCs w:val="20"/>
      </w:rPr>
      <w:t>-</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right="63"/>
      <w:jc w:val="right"/>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- 25 </w:t>
    </w:r>
    <w:r>
      <w:rPr>
        <w:rFonts w:ascii="Times New Roman" w:hAnsi="Times New Roman" w:eastAsia="Times New Roman" w:cs="Times New Roman"/>
        <w:spacing w:val="2"/>
        <w:sz w:val="20"/>
        <w:szCs w:val="20"/>
      </w:rPr>
      <w:t>-</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- 26 </w:t>
    </w:r>
    <w:r>
      <w:rPr>
        <w:rFonts w:ascii="Times New Roman" w:hAnsi="Times New Roman" w:eastAsia="Times New Roman" w:cs="Times New Roman"/>
        <w:spacing w:val="2"/>
        <w:sz w:val="20"/>
        <w:szCs w:val="20"/>
      </w:rPr>
      <w:t>-</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right="105"/>
      <w:jc w:val="right"/>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- 27 </w:t>
    </w:r>
    <w:r>
      <w:rPr>
        <w:rFonts w:ascii="Times New Roman" w:hAnsi="Times New Roman" w:eastAsia="Times New Roman" w:cs="Times New Roman"/>
        <w:spacing w:val="2"/>
        <w:sz w:val="20"/>
        <w:szCs w:val="20"/>
      </w:rPr>
      <w:t>-</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- 28 </w:t>
    </w:r>
    <w:r>
      <w:rPr>
        <w:rFonts w:ascii="Times New Roman" w:hAnsi="Times New Roman" w:eastAsia="Times New Roman" w:cs="Times New Roman"/>
        <w:spacing w:val="2"/>
        <w:sz w:val="20"/>
        <w:szCs w:val="20"/>
      </w:rPr>
      <w:t>-</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right="281"/>
      <w:jc w:val="right"/>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- 29 </w:t>
    </w:r>
    <w:r>
      <w:rPr>
        <w:rFonts w:ascii="Times New Roman" w:hAnsi="Times New Roman" w:eastAsia="Times New Roman" w:cs="Times New Roman"/>
        <w:spacing w:val="2"/>
        <w:sz w:val="20"/>
        <w:szCs w:val="20"/>
      </w:rPr>
      <w:t>-</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- 30 </w:t>
    </w:r>
    <w:r>
      <w:rPr>
        <w:rFonts w:ascii="Times New Roman" w:hAnsi="Times New Roman" w:eastAsia="Times New Roman" w:cs="Times New Roman"/>
        <w:spacing w:val="2"/>
        <w:sz w:val="20"/>
        <w:szCs w:val="20"/>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97"/>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- 13 </w:t>
    </w:r>
    <w:r>
      <w:rPr>
        <w:rFonts w:ascii="Times New Roman" w:hAnsi="Times New Roman" w:eastAsia="Times New Roman" w:cs="Times New Roman"/>
        <w:spacing w:val="2"/>
        <w:sz w:val="17"/>
        <w:szCs w:val="17"/>
      </w:rPr>
      <w:t>-</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right="281"/>
      <w:jc w:val="right"/>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- 31 </w:t>
    </w:r>
    <w:r>
      <w:rPr>
        <w:rFonts w:ascii="Times New Roman" w:hAnsi="Times New Roman" w:eastAsia="Times New Roman" w:cs="Times New Roman"/>
        <w:spacing w:val="2"/>
        <w:sz w:val="20"/>
        <w:szCs w:val="20"/>
      </w:rPr>
      <w:t>-</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- 32 </w:t>
    </w:r>
    <w:r>
      <w:rPr>
        <w:rFonts w:ascii="Times New Roman" w:hAnsi="Times New Roman" w:eastAsia="Times New Roman" w:cs="Times New Roman"/>
        <w:spacing w:val="2"/>
        <w:sz w:val="20"/>
        <w:szCs w:val="20"/>
      </w:rPr>
      <w:t>-</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jc w:val="right"/>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 xml:space="preserve">- 33 </w:t>
    </w:r>
    <w:r>
      <w:rPr>
        <w:rFonts w:ascii="Times New Roman" w:hAnsi="Times New Roman" w:eastAsia="Times New Roman" w:cs="Times New Roman"/>
        <w:spacing w:val="1"/>
        <w:sz w:val="20"/>
        <w:szCs w:val="20"/>
      </w:rPr>
      <w:t>-</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- 34 </w:t>
    </w:r>
    <w:r>
      <w:rPr>
        <w:rFonts w:ascii="Times New Roman" w:hAnsi="Times New Roman" w:eastAsia="Times New Roman" w:cs="Times New Roman"/>
        <w:spacing w:val="2"/>
        <w:sz w:val="20"/>
        <w:szCs w:val="20"/>
      </w:rPr>
      <w:t>-</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right="80"/>
      <w:jc w:val="right"/>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- 35 </w:t>
    </w:r>
    <w:r>
      <w:rPr>
        <w:rFonts w:ascii="Times New Roman" w:hAnsi="Times New Roman" w:eastAsia="Times New Roman" w:cs="Times New Roman"/>
        <w:spacing w:val="2"/>
        <w:sz w:val="20"/>
        <w:szCs w:val="20"/>
      </w:rPr>
      <w:t>-</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- 36 </w:t>
    </w:r>
    <w:r>
      <w:rPr>
        <w:rFonts w:ascii="Times New Roman" w:hAnsi="Times New Roman" w:eastAsia="Times New Roman" w:cs="Times New Roman"/>
        <w:spacing w:val="2"/>
        <w:sz w:val="20"/>
        <w:szCs w:val="20"/>
      </w:rPr>
      <w:t>-</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right="1"/>
      <w:jc w:val="right"/>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- 37 </w:t>
    </w:r>
    <w:r>
      <w:rPr>
        <w:rFonts w:ascii="Times New Roman" w:hAnsi="Times New Roman" w:eastAsia="Times New Roman" w:cs="Times New Roman"/>
        <w:spacing w:val="2"/>
        <w:sz w:val="20"/>
        <w:szCs w:val="20"/>
      </w:rPr>
      <w:t>-</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- 38 </w:t>
    </w:r>
    <w:r>
      <w:rPr>
        <w:rFonts w:ascii="Times New Roman" w:hAnsi="Times New Roman" w:eastAsia="Times New Roman" w:cs="Times New Roman"/>
        <w:spacing w:val="2"/>
        <w:sz w:val="20"/>
        <w:szCs w:val="20"/>
      </w:rPr>
      <w:t>-</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right="115"/>
      <w:jc w:val="right"/>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- 39 </w:t>
    </w:r>
    <w:r>
      <w:rPr>
        <w:rFonts w:ascii="Times New Roman" w:hAnsi="Times New Roman" w:eastAsia="Times New Roman" w:cs="Times New Roman"/>
        <w:spacing w:val="2"/>
        <w:sz w:val="20"/>
        <w:szCs w:val="20"/>
      </w:rPr>
      <w:t>-</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- 40 </w:t>
    </w:r>
    <w:r>
      <w:rPr>
        <w:rFonts w:ascii="Times New Roman" w:hAnsi="Times New Roman" w:eastAsia="Times New Roman" w:cs="Times New Roman"/>
        <w:spacing w:val="2"/>
        <w:sz w:val="20"/>
        <w:szCs w:val="20"/>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2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- 14 </w:t>
    </w:r>
    <w:r>
      <w:rPr>
        <w:rFonts w:ascii="Times New Roman" w:hAnsi="Times New Roman" w:eastAsia="Times New Roman" w:cs="Times New Roman"/>
        <w:spacing w:val="2"/>
        <w:sz w:val="17"/>
        <w:szCs w:val="17"/>
      </w:rPr>
      <w:t>-</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right="63"/>
      <w:jc w:val="right"/>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- 41 </w:t>
    </w:r>
    <w:r>
      <w:rPr>
        <w:rFonts w:ascii="Times New Roman" w:hAnsi="Times New Roman" w:eastAsia="Times New Roman" w:cs="Times New Roman"/>
        <w:spacing w:val="2"/>
        <w:sz w:val="20"/>
        <w:szCs w:val="20"/>
      </w:rPr>
      <w:t>-</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- 42 </w:t>
    </w:r>
    <w:r>
      <w:rPr>
        <w:rFonts w:ascii="Times New Roman" w:hAnsi="Times New Roman" w:eastAsia="Times New Roman" w:cs="Times New Roman"/>
        <w:spacing w:val="2"/>
        <w:sz w:val="20"/>
        <w:szCs w:val="20"/>
      </w:rPr>
      <w:t>-</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jc w:val="right"/>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 xml:space="preserve">- 43 </w:t>
    </w:r>
    <w:r>
      <w:rPr>
        <w:rFonts w:ascii="Times New Roman" w:hAnsi="Times New Roman" w:eastAsia="Times New Roman" w:cs="Times New Roman"/>
        <w:spacing w:val="1"/>
        <w:sz w:val="20"/>
        <w:szCs w:val="20"/>
      </w:rPr>
      <w:t>-</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97"/>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- 15 </w:t>
    </w:r>
    <w:r>
      <w:rPr>
        <w:rFonts w:ascii="Times New Roman" w:hAnsi="Times New Roman" w:eastAsia="Times New Roman" w:cs="Times New Roman"/>
        <w:spacing w:val="2"/>
        <w:sz w:val="17"/>
        <w:szCs w:val="17"/>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2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- 16 </w:t>
    </w:r>
    <w:r>
      <w:rPr>
        <w:rFonts w:ascii="Times New Roman" w:hAnsi="Times New Roman" w:eastAsia="Times New Roman" w:cs="Times New Roman"/>
        <w:spacing w:val="2"/>
        <w:sz w:val="17"/>
        <w:szCs w:val="17"/>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97"/>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- 17 </w:t>
    </w:r>
    <w:r>
      <w:rPr>
        <w:rFonts w:ascii="Times New Roman" w:hAnsi="Times New Roman" w:eastAsia="Times New Roman" w:cs="Times New Roman"/>
        <w:spacing w:val="2"/>
        <w:sz w:val="17"/>
        <w:szCs w:val="17"/>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- 18 </w:t>
    </w:r>
    <w:r>
      <w:rPr>
        <w:rFonts w:ascii="Times New Roman" w:hAnsi="Times New Roman" w:eastAsia="Times New Roman" w:cs="Times New Roman"/>
        <w:spacing w:val="2"/>
        <w:sz w:val="17"/>
        <w:szCs w:val="17"/>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44"/>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- 19 </w:t>
    </w:r>
    <w:r>
      <w:rPr>
        <w:rFonts w:ascii="Times New Roman" w:hAnsi="Times New Roman" w:eastAsia="Times New Roman" w:cs="Times New Roman"/>
        <w:spacing w:val="2"/>
        <w:sz w:val="17"/>
        <w:szCs w:val="17"/>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2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w:t>
    </w:r>
    <w:r>
      <w:rPr>
        <w:rFonts w:ascii="Times New Roman" w:hAnsi="Times New Roman" w:eastAsia="Times New Roman" w:cs="Times New Roman"/>
        <w:spacing w:val="3"/>
        <w:sz w:val="17"/>
        <w:szCs w:val="17"/>
      </w:rPr>
      <w:t xml:space="preserve"> </w:t>
    </w:r>
    <w:r>
      <w:rPr>
        <w:rFonts w:ascii="Times New Roman" w:hAnsi="Times New Roman" w:eastAsia="Times New Roman" w:cs="Times New Roman"/>
        <w:spacing w:val="2"/>
        <w:sz w:val="17"/>
        <w:szCs w:val="17"/>
      </w:rPr>
      <w:t>2 -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- 20 </w:t>
    </w:r>
    <w:r>
      <w:rPr>
        <w:rFonts w:ascii="Times New Roman" w:hAnsi="Times New Roman" w:eastAsia="Times New Roman" w:cs="Times New Roman"/>
        <w:spacing w:val="2"/>
        <w:sz w:val="17"/>
        <w:szCs w:val="17"/>
      </w:rP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44"/>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- 21 </w:t>
    </w:r>
    <w:r>
      <w:rPr>
        <w:rFonts w:ascii="Times New Roman" w:hAnsi="Times New Roman" w:eastAsia="Times New Roman" w:cs="Times New Roman"/>
        <w:spacing w:val="2"/>
        <w:sz w:val="17"/>
        <w:szCs w:val="17"/>
      </w:rPr>
      <w: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- 22 </w:t>
    </w:r>
    <w:r>
      <w:rPr>
        <w:rFonts w:ascii="Times New Roman" w:hAnsi="Times New Roman" w:eastAsia="Times New Roman" w:cs="Times New Roman"/>
        <w:spacing w:val="2"/>
        <w:sz w:val="17"/>
        <w:szCs w:val="17"/>
      </w:rPr>
      <w: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44"/>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- 23 </w:t>
    </w:r>
    <w:r>
      <w:rPr>
        <w:rFonts w:ascii="Times New Roman" w:hAnsi="Times New Roman" w:eastAsia="Times New Roman" w:cs="Times New Roman"/>
        <w:spacing w:val="2"/>
        <w:sz w:val="17"/>
        <w:szCs w:val="17"/>
      </w:rPr>
      <w: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- 24 </w:t>
    </w:r>
    <w:r>
      <w:rPr>
        <w:rFonts w:ascii="Times New Roman" w:hAnsi="Times New Roman" w:eastAsia="Times New Roman" w:cs="Times New Roman"/>
        <w:spacing w:val="2"/>
        <w:sz w:val="17"/>
        <w:szCs w:val="17"/>
      </w:rPr>
      <w:t>-</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44"/>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- 25 </w:t>
    </w:r>
    <w:r>
      <w:rPr>
        <w:rFonts w:ascii="Times New Roman" w:hAnsi="Times New Roman" w:eastAsia="Times New Roman" w:cs="Times New Roman"/>
        <w:spacing w:val="2"/>
        <w:sz w:val="17"/>
        <w:szCs w:val="17"/>
      </w:rPr>
      <w:t>-</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- 26 </w:t>
    </w:r>
    <w:r>
      <w:rPr>
        <w:rFonts w:ascii="Times New Roman" w:hAnsi="Times New Roman" w:eastAsia="Times New Roman" w:cs="Times New Roman"/>
        <w:spacing w:val="2"/>
        <w:sz w:val="17"/>
        <w:szCs w:val="17"/>
      </w:rPr>
      <w:t>-</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44"/>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- 27 </w:t>
    </w:r>
    <w:r>
      <w:rPr>
        <w:rFonts w:ascii="Times New Roman" w:hAnsi="Times New Roman" w:eastAsia="Times New Roman" w:cs="Times New Roman"/>
        <w:spacing w:val="2"/>
        <w:sz w:val="17"/>
        <w:szCs w:val="17"/>
      </w:rPr>
      <w:t>-</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- 28 </w:t>
    </w:r>
    <w:r>
      <w:rPr>
        <w:rFonts w:ascii="Times New Roman" w:hAnsi="Times New Roman" w:eastAsia="Times New Roman" w:cs="Times New Roman"/>
        <w:spacing w:val="2"/>
        <w:sz w:val="17"/>
        <w:szCs w:val="17"/>
      </w:rPr>
      <w:t>-</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44"/>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- 29 </w:t>
    </w:r>
    <w:r>
      <w:rPr>
        <w:rFonts w:ascii="Times New Roman" w:hAnsi="Times New Roman" w:eastAsia="Times New Roman" w:cs="Times New Roman"/>
        <w:spacing w:val="2"/>
        <w:sz w:val="17"/>
        <w:szCs w:val="17"/>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97"/>
      <w:jc w:val="right"/>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w:t>
    </w:r>
    <w:r>
      <w:rPr>
        <w:rFonts w:ascii="Times New Roman" w:hAnsi="Times New Roman" w:eastAsia="Times New Roman" w:cs="Times New Roman"/>
        <w:spacing w:val="3"/>
        <w:sz w:val="17"/>
        <w:szCs w:val="17"/>
      </w:rPr>
      <w:t xml:space="preserve"> </w:t>
    </w:r>
    <w:r>
      <w:rPr>
        <w:rFonts w:ascii="Times New Roman" w:hAnsi="Times New Roman" w:eastAsia="Times New Roman" w:cs="Times New Roman"/>
        <w:spacing w:val="2"/>
        <w:sz w:val="17"/>
        <w:szCs w:val="17"/>
      </w:rPr>
      <w:t>3 -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- 30 </w:t>
    </w:r>
    <w:r>
      <w:rPr>
        <w:rFonts w:ascii="Times New Roman" w:hAnsi="Times New Roman" w:eastAsia="Times New Roman" w:cs="Times New Roman"/>
        <w:spacing w:val="2"/>
        <w:sz w:val="17"/>
        <w:szCs w:val="17"/>
      </w:rPr>
      <w: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44"/>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- 31 </w:t>
    </w:r>
    <w:r>
      <w:rPr>
        <w:rFonts w:ascii="Times New Roman" w:hAnsi="Times New Roman" w:eastAsia="Times New Roman" w:cs="Times New Roman"/>
        <w:spacing w:val="2"/>
        <w:sz w:val="17"/>
        <w:szCs w:val="17"/>
      </w:rPr>
      <w:t>-</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- 32 </w:t>
    </w:r>
    <w:r>
      <w:rPr>
        <w:rFonts w:ascii="Times New Roman" w:hAnsi="Times New Roman" w:eastAsia="Times New Roman" w:cs="Times New Roman"/>
        <w:spacing w:val="2"/>
        <w:sz w:val="17"/>
        <w:szCs w:val="17"/>
      </w:rPr>
      <w:t>-</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44"/>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- 33 </w:t>
    </w:r>
    <w:r>
      <w:rPr>
        <w:rFonts w:ascii="Times New Roman" w:hAnsi="Times New Roman" w:eastAsia="Times New Roman" w:cs="Times New Roman"/>
        <w:spacing w:val="2"/>
        <w:sz w:val="17"/>
        <w:szCs w:val="17"/>
      </w:rPr>
      <w:t>-</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- 34 </w:t>
    </w:r>
    <w:r>
      <w:rPr>
        <w:rFonts w:ascii="Times New Roman" w:hAnsi="Times New Roman" w:eastAsia="Times New Roman" w:cs="Times New Roman"/>
        <w:spacing w:val="2"/>
        <w:sz w:val="17"/>
        <w:szCs w:val="17"/>
      </w:rPr>
      <w:t>-</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44"/>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- 35 </w:t>
    </w:r>
    <w:r>
      <w:rPr>
        <w:rFonts w:ascii="Times New Roman" w:hAnsi="Times New Roman" w:eastAsia="Times New Roman" w:cs="Times New Roman"/>
        <w:spacing w:val="2"/>
        <w:sz w:val="17"/>
        <w:szCs w:val="17"/>
      </w:rPr>
      <w:t>-</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- 36 </w:t>
    </w:r>
    <w:r>
      <w:rPr>
        <w:rFonts w:ascii="Times New Roman" w:hAnsi="Times New Roman" w:eastAsia="Times New Roman" w:cs="Times New Roman"/>
        <w:spacing w:val="2"/>
        <w:sz w:val="17"/>
        <w:szCs w:val="17"/>
      </w:rPr>
      <w:t>-</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44"/>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- 37 </w:t>
    </w:r>
    <w:r>
      <w:rPr>
        <w:rFonts w:ascii="Times New Roman" w:hAnsi="Times New Roman" w:eastAsia="Times New Roman" w:cs="Times New Roman"/>
        <w:spacing w:val="2"/>
        <w:sz w:val="17"/>
        <w:szCs w:val="17"/>
      </w:rPr>
      <w:t>-</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- 38 </w:t>
    </w:r>
    <w:r>
      <w:rPr>
        <w:rFonts w:ascii="Times New Roman" w:hAnsi="Times New Roman" w:eastAsia="Times New Roman" w:cs="Times New Roman"/>
        <w:spacing w:val="2"/>
        <w:sz w:val="17"/>
        <w:szCs w:val="17"/>
      </w:rPr>
      <w:t>-</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44"/>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- 39 </w:t>
    </w:r>
    <w:r>
      <w:rPr>
        <w:rFonts w:ascii="Times New Roman" w:hAnsi="Times New Roman" w:eastAsia="Times New Roman" w:cs="Times New Roman"/>
        <w:spacing w:val="2"/>
        <w:sz w:val="17"/>
        <w:szCs w:val="17"/>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2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w:t>
    </w:r>
    <w:r>
      <w:rPr>
        <w:rFonts w:ascii="Times New Roman" w:hAnsi="Times New Roman" w:eastAsia="Times New Roman" w:cs="Times New Roman"/>
        <w:spacing w:val="3"/>
        <w:sz w:val="17"/>
        <w:szCs w:val="17"/>
      </w:rPr>
      <w:t xml:space="preserve"> </w:t>
    </w:r>
    <w:r>
      <w:rPr>
        <w:rFonts w:ascii="Times New Roman" w:hAnsi="Times New Roman" w:eastAsia="Times New Roman" w:cs="Times New Roman"/>
        <w:spacing w:val="2"/>
        <w:sz w:val="17"/>
        <w:szCs w:val="17"/>
      </w:rPr>
      <w:t>4 -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- 40 </w:t>
    </w:r>
    <w:r>
      <w:rPr>
        <w:rFonts w:ascii="Times New Roman" w:hAnsi="Times New Roman" w:eastAsia="Times New Roman" w:cs="Times New Roman"/>
        <w:spacing w:val="2"/>
        <w:sz w:val="17"/>
        <w:szCs w:val="17"/>
      </w:rPr>
      <w:t>-</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44"/>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- 41 </w:t>
    </w:r>
    <w:r>
      <w:rPr>
        <w:rFonts w:ascii="Times New Roman" w:hAnsi="Times New Roman" w:eastAsia="Times New Roman" w:cs="Times New Roman"/>
        <w:spacing w:val="2"/>
        <w:sz w:val="17"/>
        <w:szCs w:val="17"/>
      </w:rPr>
      <w:t>-</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- 42 </w:t>
    </w:r>
    <w:r>
      <w:rPr>
        <w:rFonts w:ascii="Times New Roman" w:hAnsi="Times New Roman" w:eastAsia="Times New Roman" w:cs="Times New Roman"/>
        <w:spacing w:val="2"/>
        <w:sz w:val="17"/>
        <w:szCs w:val="17"/>
      </w:rPr>
      <w:t>-</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44"/>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- 43 </w:t>
    </w:r>
    <w:r>
      <w:rPr>
        <w:rFonts w:ascii="Times New Roman" w:hAnsi="Times New Roman" w:eastAsia="Times New Roman" w:cs="Times New Roman"/>
        <w:spacing w:val="2"/>
        <w:sz w:val="17"/>
        <w:szCs w:val="17"/>
      </w:rPr>
      <w:t>-</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- 44 </w:t>
    </w:r>
    <w:r>
      <w:rPr>
        <w:rFonts w:ascii="Times New Roman" w:hAnsi="Times New Roman" w:eastAsia="Times New Roman" w:cs="Times New Roman"/>
        <w:spacing w:val="2"/>
        <w:sz w:val="17"/>
        <w:szCs w:val="17"/>
      </w:rPr>
      <w:t>-</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44"/>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- 45 </w:t>
    </w:r>
    <w:r>
      <w:rPr>
        <w:rFonts w:ascii="Times New Roman" w:hAnsi="Times New Roman" w:eastAsia="Times New Roman" w:cs="Times New Roman"/>
        <w:spacing w:val="2"/>
        <w:sz w:val="17"/>
        <w:szCs w:val="17"/>
      </w:rPr>
      <w:t>-</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- 46 </w:t>
    </w:r>
    <w:r>
      <w:rPr>
        <w:rFonts w:ascii="Times New Roman" w:hAnsi="Times New Roman" w:eastAsia="Times New Roman" w:cs="Times New Roman"/>
        <w:spacing w:val="2"/>
        <w:sz w:val="17"/>
        <w:szCs w:val="17"/>
      </w:rPr>
      <w:t>-</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44"/>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- 47 </w:t>
    </w:r>
    <w:r>
      <w:rPr>
        <w:rFonts w:ascii="Times New Roman" w:hAnsi="Times New Roman" w:eastAsia="Times New Roman" w:cs="Times New Roman"/>
        <w:spacing w:val="2"/>
        <w:sz w:val="17"/>
        <w:szCs w:val="17"/>
      </w:rPr>
      <w:t>-</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- 48 </w:t>
    </w:r>
    <w:r>
      <w:rPr>
        <w:rFonts w:ascii="Times New Roman" w:hAnsi="Times New Roman" w:eastAsia="Times New Roman" w:cs="Times New Roman"/>
        <w:spacing w:val="2"/>
        <w:sz w:val="17"/>
        <w:szCs w:val="17"/>
      </w:rPr>
      <w:t>-</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44"/>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- 49 </w:t>
    </w:r>
    <w:r>
      <w:rPr>
        <w:rFonts w:ascii="Times New Roman" w:hAnsi="Times New Roman" w:eastAsia="Times New Roman" w:cs="Times New Roman"/>
        <w:spacing w:val="2"/>
        <w:sz w:val="17"/>
        <w:szCs w:val="17"/>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right="97"/>
      <w:jc w:val="right"/>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w:t>
    </w:r>
    <w:r>
      <w:rPr>
        <w:rFonts w:ascii="Times New Roman" w:hAnsi="Times New Roman" w:eastAsia="Times New Roman" w:cs="Times New Roman"/>
        <w:spacing w:val="3"/>
        <w:sz w:val="17"/>
        <w:szCs w:val="17"/>
      </w:rPr>
      <w:t xml:space="preserve"> </w:t>
    </w:r>
    <w:r>
      <w:rPr>
        <w:rFonts w:ascii="Times New Roman" w:hAnsi="Times New Roman" w:eastAsia="Times New Roman" w:cs="Times New Roman"/>
        <w:spacing w:val="2"/>
        <w:sz w:val="17"/>
        <w:szCs w:val="17"/>
      </w:rPr>
      <w:t>5 -</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- 50 </w:t>
    </w:r>
    <w:r>
      <w:rPr>
        <w:rFonts w:ascii="Times New Roman" w:hAnsi="Times New Roman" w:eastAsia="Times New Roman" w:cs="Times New Roman"/>
        <w:spacing w:val="2"/>
        <w:sz w:val="17"/>
        <w:szCs w:val="17"/>
      </w:rPr>
      <w:t>-</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44"/>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- 51 </w:t>
    </w:r>
    <w:r>
      <w:rPr>
        <w:rFonts w:ascii="Times New Roman" w:hAnsi="Times New Roman" w:eastAsia="Times New Roman" w:cs="Times New Roman"/>
        <w:spacing w:val="2"/>
        <w:sz w:val="17"/>
        <w:szCs w:val="17"/>
      </w:rPr>
      <w:t>-</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- 52 </w:t>
    </w:r>
    <w:r>
      <w:rPr>
        <w:rFonts w:ascii="Times New Roman" w:hAnsi="Times New Roman" w:eastAsia="Times New Roman" w:cs="Times New Roman"/>
        <w:spacing w:val="2"/>
        <w:sz w:val="17"/>
        <w:szCs w:val="17"/>
      </w:rPr>
      <w:t>-</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49"/>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- 53 </w:t>
    </w:r>
    <w:r>
      <w:rPr>
        <w:rFonts w:ascii="Times New Roman" w:hAnsi="Times New Roman" w:eastAsia="Times New Roman" w:cs="Times New Roman"/>
        <w:spacing w:val="2"/>
        <w:sz w:val="17"/>
        <w:szCs w:val="17"/>
      </w:rPr>
      <w:t>-</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- 54 </w:t>
    </w:r>
    <w:r>
      <w:rPr>
        <w:rFonts w:ascii="Times New Roman" w:hAnsi="Times New Roman" w:eastAsia="Times New Roman" w:cs="Times New Roman"/>
        <w:spacing w:val="2"/>
        <w:sz w:val="17"/>
        <w:szCs w:val="17"/>
      </w:rPr>
      <w:t>-</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- 56 </w:t>
    </w:r>
    <w:r>
      <w:rPr>
        <w:rFonts w:ascii="Times New Roman" w:hAnsi="Times New Roman" w:eastAsia="Times New Roman" w:cs="Times New Roman"/>
        <w:spacing w:val="2"/>
        <w:sz w:val="17"/>
        <w:szCs w:val="17"/>
      </w:rPr>
      <w:t>-</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right="49"/>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- 57 </w:t>
    </w:r>
    <w:r>
      <w:rPr>
        <w:rFonts w:ascii="Times New Roman" w:hAnsi="Times New Roman" w:eastAsia="Times New Roman" w:cs="Times New Roman"/>
        <w:spacing w:val="2"/>
        <w:sz w:val="17"/>
        <w:szCs w:val="17"/>
      </w:rPr>
      <w:t>-</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- 58 </w:t>
    </w:r>
    <w:r>
      <w:rPr>
        <w:rFonts w:ascii="Times New Roman" w:hAnsi="Times New Roman" w:eastAsia="Times New Roman" w:cs="Times New Roman"/>
        <w:spacing w:val="2"/>
        <w:sz w:val="17"/>
        <w:szCs w:val="17"/>
      </w:rPr>
      <w:t>-</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49"/>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- 59 </w:t>
    </w:r>
    <w:r>
      <w:rPr>
        <w:rFonts w:ascii="Times New Roman" w:hAnsi="Times New Roman" w:eastAsia="Times New Roman" w:cs="Times New Roman"/>
        <w:spacing w:val="2"/>
        <w:sz w:val="17"/>
        <w:szCs w:val="17"/>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2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w:t>
    </w:r>
    <w:r>
      <w:rPr>
        <w:rFonts w:ascii="Times New Roman" w:hAnsi="Times New Roman" w:eastAsia="Times New Roman" w:cs="Times New Roman"/>
        <w:spacing w:val="3"/>
        <w:sz w:val="17"/>
        <w:szCs w:val="17"/>
      </w:rPr>
      <w:t xml:space="preserve"> </w:t>
    </w:r>
    <w:r>
      <w:rPr>
        <w:rFonts w:ascii="Times New Roman" w:hAnsi="Times New Roman" w:eastAsia="Times New Roman" w:cs="Times New Roman"/>
        <w:spacing w:val="2"/>
        <w:sz w:val="17"/>
        <w:szCs w:val="17"/>
      </w:rPr>
      <w:t>6 -</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- 60 </w:t>
    </w:r>
    <w:r>
      <w:rPr>
        <w:rFonts w:ascii="Times New Roman" w:hAnsi="Times New Roman" w:eastAsia="Times New Roman" w:cs="Times New Roman"/>
        <w:spacing w:val="2"/>
        <w:sz w:val="17"/>
        <w:szCs w:val="17"/>
      </w:rPr>
      <w:t>-</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49"/>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- 61 </w:t>
    </w:r>
    <w:r>
      <w:rPr>
        <w:rFonts w:ascii="Times New Roman" w:hAnsi="Times New Roman" w:eastAsia="Times New Roman" w:cs="Times New Roman"/>
        <w:spacing w:val="2"/>
        <w:sz w:val="17"/>
        <w:szCs w:val="17"/>
      </w:rPr>
      <w:t>-</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- 62 </w:t>
    </w:r>
    <w:r>
      <w:rPr>
        <w:rFonts w:ascii="Times New Roman" w:hAnsi="Times New Roman" w:eastAsia="Times New Roman" w:cs="Times New Roman"/>
        <w:spacing w:val="2"/>
        <w:sz w:val="17"/>
        <w:szCs w:val="17"/>
      </w:rPr>
      <w:t>-</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49"/>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- 63 </w:t>
    </w:r>
    <w:r>
      <w:rPr>
        <w:rFonts w:ascii="Times New Roman" w:hAnsi="Times New Roman" w:eastAsia="Times New Roman" w:cs="Times New Roman"/>
        <w:spacing w:val="2"/>
        <w:sz w:val="17"/>
        <w:szCs w:val="17"/>
      </w:rPr>
      <w:t>-</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- 64 </w:t>
    </w:r>
    <w:r>
      <w:rPr>
        <w:rFonts w:ascii="Times New Roman" w:hAnsi="Times New Roman" w:eastAsia="Times New Roman" w:cs="Times New Roman"/>
        <w:spacing w:val="2"/>
        <w:sz w:val="17"/>
        <w:szCs w:val="17"/>
      </w:rPr>
      <w:t>-</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49"/>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- 65 </w:t>
    </w:r>
    <w:r>
      <w:rPr>
        <w:rFonts w:ascii="Times New Roman" w:hAnsi="Times New Roman" w:eastAsia="Times New Roman" w:cs="Times New Roman"/>
        <w:spacing w:val="2"/>
        <w:sz w:val="17"/>
        <w:szCs w:val="17"/>
      </w:rPr>
      <w:t>-</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- 66 </w:t>
    </w:r>
    <w:r>
      <w:rPr>
        <w:rFonts w:ascii="Times New Roman" w:hAnsi="Times New Roman" w:eastAsia="Times New Roman" w:cs="Times New Roman"/>
        <w:spacing w:val="2"/>
        <w:sz w:val="17"/>
        <w:szCs w:val="17"/>
      </w:rPr>
      <w:t>-</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59"/>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- 67 </w:t>
    </w:r>
    <w:r>
      <w:rPr>
        <w:rFonts w:ascii="Times New Roman" w:hAnsi="Times New Roman" w:eastAsia="Times New Roman" w:cs="Times New Roman"/>
        <w:spacing w:val="2"/>
        <w:sz w:val="17"/>
        <w:szCs w:val="17"/>
      </w:rPr>
      <w:t>-</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7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- 68 </w:t>
    </w:r>
    <w:r>
      <w:rPr>
        <w:rFonts w:ascii="Times New Roman" w:hAnsi="Times New Roman" w:eastAsia="Times New Roman" w:cs="Times New Roman"/>
        <w:spacing w:val="2"/>
        <w:sz w:val="17"/>
        <w:szCs w:val="17"/>
      </w:rPr>
      <w:t>-</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59"/>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- 69 </w:t>
    </w:r>
    <w:r>
      <w:rPr>
        <w:rFonts w:ascii="Times New Roman" w:hAnsi="Times New Roman" w:eastAsia="Times New Roman" w:cs="Times New Roman"/>
        <w:spacing w:val="2"/>
        <w:sz w:val="17"/>
        <w:szCs w:val="17"/>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right="97"/>
      <w:jc w:val="right"/>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w:t>
    </w:r>
    <w:r>
      <w:rPr>
        <w:rFonts w:ascii="Times New Roman" w:hAnsi="Times New Roman" w:eastAsia="Times New Roman" w:cs="Times New Roman"/>
        <w:spacing w:val="3"/>
        <w:sz w:val="17"/>
        <w:szCs w:val="17"/>
      </w:rPr>
      <w:t xml:space="preserve"> </w:t>
    </w:r>
    <w:r>
      <w:rPr>
        <w:rFonts w:ascii="Times New Roman" w:hAnsi="Times New Roman" w:eastAsia="Times New Roman" w:cs="Times New Roman"/>
        <w:spacing w:val="2"/>
        <w:sz w:val="17"/>
        <w:szCs w:val="17"/>
      </w:rPr>
      <w:t>7 -</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7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- 70 </w:t>
    </w:r>
    <w:r>
      <w:rPr>
        <w:rFonts w:ascii="Times New Roman" w:hAnsi="Times New Roman" w:eastAsia="Times New Roman" w:cs="Times New Roman"/>
        <w:spacing w:val="2"/>
        <w:sz w:val="17"/>
        <w:szCs w:val="17"/>
      </w:rPr>
      <w:t>-</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59"/>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- 71 </w:t>
    </w:r>
    <w:r>
      <w:rPr>
        <w:rFonts w:ascii="Times New Roman" w:hAnsi="Times New Roman" w:eastAsia="Times New Roman" w:cs="Times New Roman"/>
        <w:spacing w:val="2"/>
        <w:sz w:val="17"/>
        <w:szCs w:val="17"/>
      </w:rPr>
      <w:t>-</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7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- 72 </w:t>
    </w:r>
    <w:r>
      <w:rPr>
        <w:rFonts w:ascii="Times New Roman" w:hAnsi="Times New Roman" w:eastAsia="Times New Roman" w:cs="Times New Roman"/>
        <w:spacing w:val="2"/>
        <w:sz w:val="17"/>
        <w:szCs w:val="17"/>
      </w:rPr>
      <w:t>-</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59"/>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- 73 </w:t>
    </w:r>
    <w:r>
      <w:rPr>
        <w:rFonts w:ascii="Times New Roman" w:hAnsi="Times New Roman" w:eastAsia="Times New Roman" w:cs="Times New Roman"/>
        <w:spacing w:val="2"/>
        <w:sz w:val="17"/>
        <w:szCs w:val="17"/>
      </w:rPr>
      <w:t>-</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7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- 74 </w:t>
    </w:r>
    <w:r>
      <w:rPr>
        <w:rFonts w:ascii="Times New Roman" w:hAnsi="Times New Roman" w:eastAsia="Times New Roman" w:cs="Times New Roman"/>
        <w:spacing w:val="2"/>
        <w:sz w:val="17"/>
        <w:szCs w:val="17"/>
      </w:rPr>
      <w:t>-</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right="59"/>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- 75 </w:t>
    </w:r>
    <w:r>
      <w:rPr>
        <w:rFonts w:ascii="Times New Roman" w:hAnsi="Times New Roman" w:eastAsia="Times New Roman" w:cs="Times New Roman"/>
        <w:spacing w:val="2"/>
        <w:sz w:val="17"/>
        <w:szCs w:val="17"/>
      </w:rPr>
      <w:t>-</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7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- 76 </w:t>
    </w:r>
    <w:r>
      <w:rPr>
        <w:rFonts w:ascii="Times New Roman" w:hAnsi="Times New Roman" w:eastAsia="Times New Roman" w:cs="Times New Roman"/>
        <w:spacing w:val="2"/>
        <w:sz w:val="17"/>
        <w:szCs w:val="17"/>
      </w:rPr>
      <w:t>-</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right="59"/>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- 77 </w:t>
    </w:r>
    <w:r>
      <w:rPr>
        <w:rFonts w:ascii="Times New Roman" w:hAnsi="Times New Roman" w:eastAsia="Times New Roman" w:cs="Times New Roman"/>
        <w:spacing w:val="2"/>
        <w:sz w:val="17"/>
        <w:szCs w:val="17"/>
      </w:rPr>
      <w:t>-</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7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- 78 </w:t>
    </w:r>
    <w:r>
      <w:rPr>
        <w:rFonts w:ascii="Times New Roman" w:hAnsi="Times New Roman" w:eastAsia="Times New Roman" w:cs="Times New Roman"/>
        <w:spacing w:val="2"/>
        <w:sz w:val="17"/>
        <w:szCs w:val="17"/>
      </w:rPr>
      <w:t>-</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59"/>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- 79 </w:t>
    </w:r>
    <w:r>
      <w:rPr>
        <w:rFonts w:ascii="Times New Roman" w:hAnsi="Times New Roman" w:eastAsia="Times New Roman" w:cs="Times New Roman"/>
        <w:spacing w:val="2"/>
        <w:sz w:val="17"/>
        <w:szCs w:val="17"/>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2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w:t>
    </w:r>
    <w:r>
      <w:rPr>
        <w:rFonts w:ascii="Times New Roman" w:hAnsi="Times New Roman" w:eastAsia="Times New Roman" w:cs="Times New Roman"/>
        <w:spacing w:val="3"/>
        <w:sz w:val="17"/>
        <w:szCs w:val="17"/>
      </w:rPr>
      <w:t xml:space="preserve"> </w:t>
    </w:r>
    <w:r>
      <w:rPr>
        <w:rFonts w:ascii="Times New Roman" w:hAnsi="Times New Roman" w:eastAsia="Times New Roman" w:cs="Times New Roman"/>
        <w:spacing w:val="2"/>
        <w:sz w:val="17"/>
        <w:szCs w:val="17"/>
      </w:rPr>
      <w:t>8 -</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7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- 80 </w:t>
    </w:r>
    <w:r>
      <w:rPr>
        <w:rFonts w:ascii="Times New Roman" w:hAnsi="Times New Roman" w:eastAsia="Times New Roman" w:cs="Times New Roman"/>
        <w:spacing w:val="2"/>
        <w:sz w:val="17"/>
        <w:szCs w:val="17"/>
      </w:rPr>
      <w:t>-</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56"/>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- 81 </w:t>
    </w:r>
    <w:r>
      <w:rPr>
        <w:rFonts w:ascii="Times New Roman" w:hAnsi="Times New Roman" w:eastAsia="Times New Roman" w:cs="Times New Roman"/>
        <w:spacing w:val="2"/>
        <w:sz w:val="17"/>
        <w:szCs w:val="17"/>
      </w:rPr>
      <w:t>-</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- 82 </w:t>
    </w:r>
    <w:r>
      <w:rPr>
        <w:rFonts w:ascii="Times New Roman" w:hAnsi="Times New Roman" w:eastAsia="Times New Roman" w:cs="Times New Roman"/>
        <w:spacing w:val="2"/>
        <w:sz w:val="17"/>
        <w:szCs w:val="17"/>
      </w:rPr>
      <w:t>-</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56"/>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- 83 </w:t>
    </w:r>
    <w:r>
      <w:rPr>
        <w:rFonts w:ascii="Times New Roman" w:hAnsi="Times New Roman" w:eastAsia="Times New Roman" w:cs="Times New Roman"/>
        <w:spacing w:val="2"/>
        <w:sz w:val="17"/>
        <w:szCs w:val="17"/>
      </w:rPr>
      <w:t>-</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- 84 </w:t>
    </w:r>
    <w:r>
      <w:rPr>
        <w:rFonts w:ascii="Times New Roman" w:hAnsi="Times New Roman" w:eastAsia="Times New Roman" w:cs="Times New Roman"/>
        <w:spacing w:val="2"/>
        <w:sz w:val="17"/>
        <w:szCs w:val="17"/>
      </w:rPr>
      <w:t>-</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56"/>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- 85 </w:t>
    </w:r>
    <w:r>
      <w:rPr>
        <w:rFonts w:ascii="Times New Roman" w:hAnsi="Times New Roman" w:eastAsia="Times New Roman" w:cs="Times New Roman"/>
        <w:spacing w:val="2"/>
        <w:sz w:val="17"/>
        <w:szCs w:val="17"/>
      </w:rPr>
      <w:t>-</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- 86 </w:t>
    </w:r>
    <w:r>
      <w:rPr>
        <w:rFonts w:ascii="Times New Roman" w:hAnsi="Times New Roman" w:eastAsia="Times New Roman" w:cs="Times New Roman"/>
        <w:spacing w:val="2"/>
        <w:sz w:val="17"/>
        <w:szCs w:val="17"/>
      </w:rPr>
      <w:t>-</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56"/>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- 87 </w:t>
    </w:r>
    <w:r>
      <w:rPr>
        <w:rFonts w:ascii="Times New Roman" w:hAnsi="Times New Roman" w:eastAsia="Times New Roman" w:cs="Times New Roman"/>
        <w:spacing w:val="2"/>
        <w:sz w:val="17"/>
        <w:szCs w:val="17"/>
      </w:rPr>
      <w:t>-</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- 88 </w:t>
    </w:r>
    <w:r>
      <w:rPr>
        <w:rFonts w:ascii="Times New Roman" w:hAnsi="Times New Roman" w:eastAsia="Times New Roman" w:cs="Times New Roman"/>
        <w:spacing w:val="2"/>
        <w:sz w:val="17"/>
        <w:szCs w:val="17"/>
      </w:rPr>
      <w:t>-</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56"/>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- 89 </w:t>
    </w:r>
    <w:r>
      <w:rPr>
        <w:rFonts w:ascii="Times New Roman" w:hAnsi="Times New Roman" w:eastAsia="Times New Roman" w:cs="Times New Roman"/>
        <w:spacing w:val="2"/>
        <w:sz w:val="17"/>
        <w:szCs w:val="17"/>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97"/>
      <w:jc w:val="right"/>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w:t>
    </w:r>
    <w:r>
      <w:rPr>
        <w:rFonts w:ascii="Times New Roman" w:hAnsi="Times New Roman" w:eastAsia="Times New Roman" w:cs="Times New Roman"/>
        <w:spacing w:val="3"/>
        <w:sz w:val="17"/>
        <w:szCs w:val="17"/>
      </w:rPr>
      <w:t xml:space="preserve"> </w:t>
    </w:r>
    <w:r>
      <w:rPr>
        <w:rFonts w:ascii="Times New Roman" w:hAnsi="Times New Roman" w:eastAsia="Times New Roman" w:cs="Times New Roman"/>
        <w:spacing w:val="2"/>
        <w:sz w:val="17"/>
        <w:szCs w:val="17"/>
      </w:rPr>
      <w:t>9 -</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- 90 </w:t>
    </w:r>
    <w:r>
      <w:rPr>
        <w:rFonts w:ascii="Times New Roman" w:hAnsi="Times New Roman" w:eastAsia="Times New Roman" w:cs="Times New Roman"/>
        <w:spacing w:val="2"/>
        <w:sz w:val="17"/>
        <w:szCs w:val="17"/>
      </w:rPr>
      <w:t>-</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56"/>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- 91 </w:t>
    </w:r>
    <w:r>
      <w:rPr>
        <w:rFonts w:ascii="Times New Roman" w:hAnsi="Times New Roman" w:eastAsia="Times New Roman" w:cs="Times New Roman"/>
        <w:spacing w:val="2"/>
        <w:sz w:val="17"/>
        <w:szCs w:val="17"/>
      </w:rPr>
      <w:t>-</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- 92 </w:t>
    </w:r>
    <w:r>
      <w:rPr>
        <w:rFonts w:ascii="Times New Roman" w:hAnsi="Times New Roman" w:eastAsia="Times New Roman" w:cs="Times New Roman"/>
        <w:spacing w:val="2"/>
        <w:sz w:val="17"/>
        <w:szCs w:val="17"/>
      </w:rPr>
      <w:t>-</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56"/>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- 93 </w:t>
    </w:r>
    <w:r>
      <w:rPr>
        <w:rFonts w:ascii="Times New Roman" w:hAnsi="Times New Roman" w:eastAsia="Times New Roman" w:cs="Times New Roman"/>
        <w:spacing w:val="2"/>
        <w:sz w:val="17"/>
        <w:szCs w:val="17"/>
      </w:rPr>
      <w:t>-</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- 94 </w:t>
    </w:r>
    <w:r>
      <w:rPr>
        <w:rFonts w:ascii="Times New Roman" w:hAnsi="Times New Roman" w:eastAsia="Times New Roman" w:cs="Times New Roman"/>
        <w:spacing w:val="2"/>
        <w:sz w:val="17"/>
        <w:szCs w:val="17"/>
      </w:rPr>
      <w:t>-</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56"/>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- 95 </w:t>
    </w:r>
    <w:r>
      <w:rPr>
        <w:rFonts w:ascii="Times New Roman" w:hAnsi="Times New Roman" w:eastAsia="Times New Roman" w:cs="Times New Roman"/>
        <w:spacing w:val="2"/>
        <w:sz w:val="17"/>
        <w:szCs w:val="17"/>
      </w:rPr>
      <w:t>-</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14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- 96 </w:t>
    </w:r>
    <w:r>
      <w:rPr>
        <w:rFonts w:ascii="Times New Roman" w:hAnsi="Times New Roman" w:eastAsia="Times New Roman" w:cs="Times New Roman"/>
        <w:spacing w:val="2"/>
        <w:sz w:val="17"/>
        <w:szCs w:val="17"/>
      </w:rPr>
      <w:t>-</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right="129"/>
      <w:jc w:val="right"/>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- 97 </w:t>
    </w:r>
    <w:r>
      <w:rPr>
        <w:rFonts w:ascii="Times New Roman" w:hAnsi="Times New Roman" w:eastAsia="Times New Roman" w:cs="Times New Roman"/>
        <w:spacing w:val="2"/>
        <w:sz w:val="17"/>
        <w:szCs w:val="17"/>
      </w:rPr>
      <w:t>-</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3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 xml:space="preserve">- 98 </w:t>
    </w:r>
    <w:r>
      <w:rPr>
        <w:rFonts w:ascii="Times New Roman" w:hAnsi="Times New Roman" w:eastAsia="Times New Roman" w:cs="Times New Roman"/>
        <w:spacing w:val="2"/>
        <w:sz w:val="17"/>
        <w:szCs w:val="17"/>
      </w:rPr>
      <w:t>-</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9"/>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MmUzY2E4Mzg5YmZjMzcxNGU1NzY5YmQ2NDA1YTE1MzIifQ=="/>
  </w:docVars>
  <w:rsids>
    <w:rsidRoot w:val="00000000"/>
    <w:rsid w:val="0FF52AA9"/>
    <w:rsid w:val="13B01C0F"/>
    <w:rsid w:val="1C611D38"/>
    <w:rsid w:val="25370B28"/>
    <w:rsid w:val="2E201671"/>
    <w:rsid w:val="52632BDB"/>
    <w:rsid w:val="58E94F62"/>
    <w:rsid w:val="628B6F16"/>
    <w:rsid w:val="724524D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footer" Target="footer94.xml"/><Relationship Id="rId98" Type="http://schemas.openxmlformats.org/officeDocument/2006/relationships/footer" Target="footer93.xml"/><Relationship Id="rId97" Type="http://schemas.openxmlformats.org/officeDocument/2006/relationships/footer" Target="footer92.xml"/><Relationship Id="rId96" Type="http://schemas.openxmlformats.org/officeDocument/2006/relationships/footer" Target="footer91.xml"/><Relationship Id="rId95" Type="http://schemas.openxmlformats.org/officeDocument/2006/relationships/footer" Target="footer90.xml"/><Relationship Id="rId94" Type="http://schemas.openxmlformats.org/officeDocument/2006/relationships/footer" Target="footer89.xml"/><Relationship Id="rId93" Type="http://schemas.openxmlformats.org/officeDocument/2006/relationships/footer" Target="footer88.xml"/><Relationship Id="rId92" Type="http://schemas.openxmlformats.org/officeDocument/2006/relationships/footer" Target="footer87.xml"/><Relationship Id="rId91" Type="http://schemas.openxmlformats.org/officeDocument/2006/relationships/footer" Target="footer86.xml"/><Relationship Id="rId90" Type="http://schemas.openxmlformats.org/officeDocument/2006/relationships/footer" Target="footer85.xml"/><Relationship Id="rId9" Type="http://schemas.openxmlformats.org/officeDocument/2006/relationships/footer" Target="footer4.xml"/><Relationship Id="rId89" Type="http://schemas.openxmlformats.org/officeDocument/2006/relationships/footer" Target="footer84.xml"/><Relationship Id="rId88" Type="http://schemas.openxmlformats.org/officeDocument/2006/relationships/footer" Target="footer83.xml"/><Relationship Id="rId87" Type="http://schemas.openxmlformats.org/officeDocument/2006/relationships/footer" Target="footer82.xml"/><Relationship Id="rId86" Type="http://schemas.openxmlformats.org/officeDocument/2006/relationships/footer" Target="footer81.xml"/><Relationship Id="rId85" Type="http://schemas.openxmlformats.org/officeDocument/2006/relationships/footer" Target="footer80.xml"/><Relationship Id="rId84" Type="http://schemas.openxmlformats.org/officeDocument/2006/relationships/footer" Target="footer79.xml"/><Relationship Id="rId83" Type="http://schemas.openxmlformats.org/officeDocument/2006/relationships/footer" Target="footer78.xml"/><Relationship Id="rId82" Type="http://schemas.openxmlformats.org/officeDocument/2006/relationships/footer" Target="footer77.xml"/><Relationship Id="rId81" Type="http://schemas.openxmlformats.org/officeDocument/2006/relationships/footer" Target="footer76.xml"/><Relationship Id="rId80" Type="http://schemas.openxmlformats.org/officeDocument/2006/relationships/footer" Target="footer75.xml"/><Relationship Id="rId8" Type="http://schemas.openxmlformats.org/officeDocument/2006/relationships/footer" Target="footer3.xml"/><Relationship Id="rId79" Type="http://schemas.openxmlformats.org/officeDocument/2006/relationships/footer" Target="footer74.xml"/><Relationship Id="rId78" Type="http://schemas.openxmlformats.org/officeDocument/2006/relationships/footer" Target="footer73.xml"/><Relationship Id="rId77" Type="http://schemas.openxmlformats.org/officeDocument/2006/relationships/footer" Target="footer72.xml"/><Relationship Id="rId76" Type="http://schemas.openxmlformats.org/officeDocument/2006/relationships/footer" Target="footer71.xml"/><Relationship Id="rId75" Type="http://schemas.openxmlformats.org/officeDocument/2006/relationships/footer" Target="footer70.xml"/><Relationship Id="rId74" Type="http://schemas.openxmlformats.org/officeDocument/2006/relationships/footer" Target="footer69.xml"/><Relationship Id="rId73" Type="http://schemas.openxmlformats.org/officeDocument/2006/relationships/footer" Target="footer68.xml"/><Relationship Id="rId72" Type="http://schemas.openxmlformats.org/officeDocument/2006/relationships/footer" Target="footer67.xml"/><Relationship Id="rId71" Type="http://schemas.openxmlformats.org/officeDocument/2006/relationships/footer" Target="footer66.xml"/><Relationship Id="rId70" Type="http://schemas.openxmlformats.org/officeDocument/2006/relationships/footer" Target="footer65.xml"/><Relationship Id="rId7" Type="http://schemas.openxmlformats.org/officeDocument/2006/relationships/footer" Target="footer2.xml"/><Relationship Id="rId69" Type="http://schemas.openxmlformats.org/officeDocument/2006/relationships/footer" Target="footer64.xml"/><Relationship Id="rId68" Type="http://schemas.openxmlformats.org/officeDocument/2006/relationships/footer" Target="footer63.xml"/><Relationship Id="rId67" Type="http://schemas.openxmlformats.org/officeDocument/2006/relationships/footer" Target="footer62.xml"/><Relationship Id="rId66" Type="http://schemas.openxmlformats.org/officeDocument/2006/relationships/footer" Target="footer61.xml"/><Relationship Id="rId65" Type="http://schemas.openxmlformats.org/officeDocument/2006/relationships/footer" Target="footer60.xml"/><Relationship Id="rId64" Type="http://schemas.openxmlformats.org/officeDocument/2006/relationships/footer" Target="footer59.xml"/><Relationship Id="rId63" Type="http://schemas.openxmlformats.org/officeDocument/2006/relationships/footer" Target="footer58.xml"/><Relationship Id="rId62" Type="http://schemas.openxmlformats.org/officeDocument/2006/relationships/footer" Target="footer57.xml"/><Relationship Id="rId61" Type="http://schemas.openxmlformats.org/officeDocument/2006/relationships/footer" Target="footer56.xml"/><Relationship Id="rId60" Type="http://schemas.openxmlformats.org/officeDocument/2006/relationships/footer" Target="footer55.xml"/><Relationship Id="rId6" Type="http://schemas.openxmlformats.org/officeDocument/2006/relationships/footer" Target="footer1.xml"/><Relationship Id="rId59" Type="http://schemas.openxmlformats.org/officeDocument/2006/relationships/footer" Target="footer54.xml"/><Relationship Id="rId58" Type="http://schemas.openxmlformats.org/officeDocument/2006/relationships/footer" Target="footer53.xml"/><Relationship Id="rId57" Type="http://schemas.openxmlformats.org/officeDocument/2006/relationships/footer" Target="footer52.xml"/><Relationship Id="rId56" Type="http://schemas.openxmlformats.org/officeDocument/2006/relationships/footer" Target="footer51.xml"/><Relationship Id="rId55" Type="http://schemas.openxmlformats.org/officeDocument/2006/relationships/footer" Target="footer50.xml"/><Relationship Id="rId54" Type="http://schemas.openxmlformats.org/officeDocument/2006/relationships/footer" Target="footer49.xml"/><Relationship Id="rId53" Type="http://schemas.openxmlformats.org/officeDocument/2006/relationships/footer" Target="footer48.xml"/><Relationship Id="rId52" Type="http://schemas.openxmlformats.org/officeDocument/2006/relationships/footer" Target="footer47.xml"/><Relationship Id="rId51" Type="http://schemas.openxmlformats.org/officeDocument/2006/relationships/footer" Target="footer46.xml"/><Relationship Id="rId50" Type="http://schemas.openxmlformats.org/officeDocument/2006/relationships/footer" Target="footer45.xml"/><Relationship Id="rId5" Type="http://schemas.openxmlformats.org/officeDocument/2006/relationships/header" Target="header1.xml"/><Relationship Id="rId49" Type="http://schemas.openxmlformats.org/officeDocument/2006/relationships/footer" Target="footer44.xml"/><Relationship Id="rId48" Type="http://schemas.openxmlformats.org/officeDocument/2006/relationships/footer" Target="footer43.xml"/><Relationship Id="rId47" Type="http://schemas.openxmlformats.org/officeDocument/2006/relationships/footer" Target="footer42.xml"/><Relationship Id="rId46" Type="http://schemas.openxmlformats.org/officeDocument/2006/relationships/footer" Target="footer41.xml"/><Relationship Id="rId45" Type="http://schemas.openxmlformats.org/officeDocument/2006/relationships/footer" Target="footer40.xml"/><Relationship Id="rId44" Type="http://schemas.openxmlformats.org/officeDocument/2006/relationships/footer" Target="footer39.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4" Type="http://schemas.openxmlformats.org/officeDocument/2006/relationships/fontTable" Target="fontTable.xml"/><Relationship Id="rId303" Type="http://schemas.openxmlformats.org/officeDocument/2006/relationships/customXml" Target="../customXml/item1.xml"/><Relationship Id="rId302" Type="http://schemas.openxmlformats.org/officeDocument/2006/relationships/image" Target="media/image152.png"/><Relationship Id="rId301" Type="http://schemas.openxmlformats.org/officeDocument/2006/relationships/image" Target="media/image151.jpeg"/><Relationship Id="rId300" Type="http://schemas.openxmlformats.org/officeDocument/2006/relationships/image" Target="media/image150.png"/><Relationship Id="rId30" Type="http://schemas.openxmlformats.org/officeDocument/2006/relationships/footer" Target="footer25.xml"/><Relationship Id="rId3" Type="http://schemas.openxmlformats.org/officeDocument/2006/relationships/footnotes" Target="footnotes.xml"/><Relationship Id="rId299" Type="http://schemas.openxmlformats.org/officeDocument/2006/relationships/image" Target="media/image149.jpeg"/><Relationship Id="rId298" Type="http://schemas.openxmlformats.org/officeDocument/2006/relationships/image" Target="media/image148.png"/><Relationship Id="rId297" Type="http://schemas.openxmlformats.org/officeDocument/2006/relationships/image" Target="media/image147.jpeg"/><Relationship Id="rId296" Type="http://schemas.openxmlformats.org/officeDocument/2006/relationships/image" Target="media/image146.png"/><Relationship Id="rId295" Type="http://schemas.openxmlformats.org/officeDocument/2006/relationships/image" Target="media/image145.jpeg"/><Relationship Id="rId294" Type="http://schemas.openxmlformats.org/officeDocument/2006/relationships/image" Target="media/image144.png"/><Relationship Id="rId293" Type="http://schemas.openxmlformats.org/officeDocument/2006/relationships/image" Target="media/image143.jpeg"/><Relationship Id="rId292" Type="http://schemas.openxmlformats.org/officeDocument/2006/relationships/image" Target="media/image142.png"/><Relationship Id="rId291" Type="http://schemas.openxmlformats.org/officeDocument/2006/relationships/image" Target="media/image141.jpeg"/><Relationship Id="rId290" Type="http://schemas.openxmlformats.org/officeDocument/2006/relationships/image" Target="media/image140.jpeg"/><Relationship Id="rId29" Type="http://schemas.openxmlformats.org/officeDocument/2006/relationships/footer" Target="footer24.xml"/><Relationship Id="rId289" Type="http://schemas.openxmlformats.org/officeDocument/2006/relationships/image" Target="media/image139.jpeg"/><Relationship Id="rId288" Type="http://schemas.openxmlformats.org/officeDocument/2006/relationships/image" Target="media/image138.png"/><Relationship Id="rId287" Type="http://schemas.openxmlformats.org/officeDocument/2006/relationships/image" Target="media/image137.png"/><Relationship Id="rId286" Type="http://schemas.openxmlformats.org/officeDocument/2006/relationships/image" Target="media/image136.png"/><Relationship Id="rId285" Type="http://schemas.openxmlformats.org/officeDocument/2006/relationships/image" Target="media/image135.jpeg"/><Relationship Id="rId284" Type="http://schemas.openxmlformats.org/officeDocument/2006/relationships/image" Target="media/image134.png"/><Relationship Id="rId283" Type="http://schemas.openxmlformats.org/officeDocument/2006/relationships/image" Target="media/image133.png"/><Relationship Id="rId282" Type="http://schemas.openxmlformats.org/officeDocument/2006/relationships/image" Target="media/image132.png"/><Relationship Id="rId281" Type="http://schemas.openxmlformats.org/officeDocument/2006/relationships/image" Target="media/image131.jpeg"/><Relationship Id="rId280" Type="http://schemas.openxmlformats.org/officeDocument/2006/relationships/image" Target="media/image130.png"/><Relationship Id="rId28" Type="http://schemas.openxmlformats.org/officeDocument/2006/relationships/footer" Target="footer23.xml"/><Relationship Id="rId279" Type="http://schemas.openxmlformats.org/officeDocument/2006/relationships/image" Target="media/image129.png"/><Relationship Id="rId278" Type="http://schemas.openxmlformats.org/officeDocument/2006/relationships/image" Target="media/image128.png"/><Relationship Id="rId277" Type="http://schemas.openxmlformats.org/officeDocument/2006/relationships/image" Target="media/image127.png"/><Relationship Id="rId276" Type="http://schemas.openxmlformats.org/officeDocument/2006/relationships/image" Target="media/image126.png"/><Relationship Id="rId275" Type="http://schemas.openxmlformats.org/officeDocument/2006/relationships/image" Target="media/image125.png"/><Relationship Id="rId274" Type="http://schemas.openxmlformats.org/officeDocument/2006/relationships/image" Target="media/image124.png"/><Relationship Id="rId273" Type="http://schemas.openxmlformats.org/officeDocument/2006/relationships/image" Target="media/image123.png"/><Relationship Id="rId272" Type="http://schemas.openxmlformats.org/officeDocument/2006/relationships/image" Target="media/image122.jpeg"/><Relationship Id="rId271" Type="http://schemas.openxmlformats.org/officeDocument/2006/relationships/image" Target="media/image121.jpeg"/><Relationship Id="rId270" Type="http://schemas.openxmlformats.org/officeDocument/2006/relationships/image" Target="media/image120.jpeg"/><Relationship Id="rId27" Type="http://schemas.openxmlformats.org/officeDocument/2006/relationships/footer" Target="footer22.xml"/><Relationship Id="rId269" Type="http://schemas.openxmlformats.org/officeDocument/2006/relationships/image" Target="media/image119.jpeg"/><Relationship Id="rId268" Type="http://schemas.openxmlformats.org/officeDocument/2006/relationships/image" Target="media/image118.png"/><Relationship Id="rId267" Type="http://schemas.openxmlformats.org/officeDocument/2006/relationships/image" Target="media/image117.png"/><Relationship Id="rId266" Type="http://schemas.openxmlformats.org/officeDocument/2006/relationships/image" Target="media/image116.png"/><Relationship Id="rId265" Type="http://schemas.openxmlformats.org/officeDocument/2006/relationships/image" Target="media/image115.png"/><Relationship Id="rId264" Type="http://schemas.openxmlformats.org/officeDocument/2006/relationships/image" Target="media/image114.png"/><Relationship Id="rId263" Type="http://schemas.openxmlformats.org/officeDocument/2006/relationships/image" Target="media/image113.png"/><Relationship Id="rId262" Type="http://schemas.openxmlformats.org/officeDocument/2006/relationships/image" Target="media/image112.png"/><Relationship Id="rId261" Type="http://schemas.openxmlformats.org/officeDocument/2006/relationships/image" Target="media/image111.png"/><Relationship Id="rId260" Type="http://schemas.openxmlformats.org/officeDocument/2006/relationships/image" Target="media/image110.png"/><Relationship Id="rId26" Type="http://schemas.openxmlformats.org/officeDocument/2006/relationships/footer" Target="footer21.xml"/><Relationship Id="rId259" Type="http://schemas.openxmlformats.org/officeDocument/2006/relationships/image" Target="media/image109.jpeg"/><Relationship Id="rId258" Type="http://schemas.openxmlformats.org/officeDocument/2006/relationships/image" Target="media/image108.png"/><Relationship Id="rId257" Type="http://schemas.openxmlformats.org/officeDocument/2006/relationships/image" Target="media/image107.jpeg"/><Relationship Id="rId256" Type="http://schemas.openxmlformats.org/officeDocument/2006/relationships/image" Target="media/image106.jpeg"/><Relationship Id="rId255" Type="http://schemas.openxmlformats.org/officeDocument/2006/relationships/image" Target="media/image105.png"/><Relationship Id="rId254" Type="http://schemas.openxmlformats.org/officeDocument/2006/relationships/image" Target="media/image104.jpeg"/><Relationship Id="rId253" Type="http://schemas.openxmlformats.org/officeDocument/2006/relationships/image" Target="media/image103.jpeg"/><Relationship Id="rId252" Type="http://schemas.openxmlformats.org/officeDocument/2006/relationships/image" Target="media/image102.png"/><Relationship Id="rId251" Type="http://schemas.openxmlformats.org/officeDocument/2006/relationships/image" Target="media/image101.png"/><Relationship Id="rId250" Type="http://schemas.openxmlformats.org/officeDocument/2006/relationships/image" Target="media/image100.png"/><Relationship Id="rId25" Type="http://schemas.openxmlformats.org/officeDocument/2006/relationships/footer" Target="footer20.xml"/><Relationship Id="rId249" Type="http://schemas.openxmlformats.org/officeDocument/2006/relationships/image" Target="media/image99.jpeg"/><Relationship Id="rId248" Type="http://schemas.openxmlformats.org/officeDocument/2006/relationships/image" Target="media/image98.png"/><Relationship Id="rId247" Type="http://schemas.openxmlformats.org/officeDocument/2006/relationships/image" Target="media/image97.png"/><Relationship Id="rId246" Type="http://schemas.openxmlformats.org/officeDocument/2006/relationships/image" Target="media/image96.png"/><Relationship Id="rId245" Type="http://schemas.openxmlformats.org/officeDocument/2006/relationships/image" Target="media/image95.png"/><Relationship Id="rId244" Type="http://schemas.openxmlformats.org/officeDocument/2006/relationships/image" Target="media/image94.jpeg"/><Relationship Id="rId243" Type="http://schemas.openxmlformats.org/officeDocument/2006/relationships/image" Target="media/image93.png"/><Relationship Id="rId242" Type="http://schemas.openxmlformats.org/officeDocument/2006/relationships/image" Target="media/image92.png"/><Relationship Id="rId241" Type="http://schemas.openxmlformats.org/officeDocument/2006/relationships/image" Target="media/image91.png"/><Relationship Id="rId240" Type="http://schemas.openxmlformats.org/officeDocument/2006/relationships/image" Target="media/image90.png"/><Relationship Id="rId24" Type="http://schemas.openxmlformats.org/officeDocument/2006/relationships/footer" Target="footer19.xml"/><Relationship Id="rId239" Type="http://schemas.openxmlformats.org/officeDocument/2006/relationships/image" Target="media/image89.png"/><Relationship Id="rId238" Type="http://schemas.openxmlformats.org/officeDocument/2006/relationships/image" Target="media/image88.png"/><Relationship Id="rId237" Type="http://schemas.openxmlformats.org/officeDocument/2006/relationships/image" Target="media/image87.png"/><Relationship Id="rId236" Type="http://schemas.openxmlformats.org/officeDocument/2006/relationships/image" Target="media/image86.png"/><Relationship Id="rId235" Type="http://schemas.openxmlformats.org/officeDocument/2006/relationships/image" Target="media/image85.png"/><Relationship Id="rId234" Type="http://schemas.openxmlformats.org/officeDocument/2006/relationships/image" Target="media/image84.png"/><Relationship Id="rId233" Type="http://schemas.openxmlformats.org/officeDocument/2006/relationships/image" Target="media/image83.png"/><Relationship Id="rId232" Type="http://schemas.openxmlformats.org/officeDocument/2006/relationships/image" Target="media/image82.png"/><Relationship Id="rId231" Type="http://schemas.openxmlformats.org/officeDocument/2006/relationships/image" Target="media/image81.png"/><Relationship Id="rId230" Type="http://schemas.openxmlformats.org/officeDocument/2006/relationships/image" Target="media/image80.png"/><Relationship Id="rId23" Type="http://schemas.openxmlformats.org/officeDocument/2006/relationships/footer" Target="footer18.xml"/><Relationship Id="rId229" Type="http://schemas.openxmlformats.org/officeDocument/2006/relationships/image" Target="media/image79.png"/><Relationship Id="rId228" Type="http://schemas.openxmlformats.org/officeDocument/2006/relationships/image" Target="media/image78.png"/><Relationship Id="rId227" Type="http://schemas.openxmlformats.org/officeDocument/2006/relationships/image" Target="media/image77.png"/><Relationship Id="rId226" Type="http://schemas.openxmlformats.org/officeDocument/2006/relationships/image" Target="media/image76.png"/><Relationship Id="rId225" Type="http://schemas.openxmlformats.org/officeDocument/2006/relationships/image" Target="media/image75.png"/><Relationship Id="rId224" Type="http://schemas.openxmlformats.org/officeDocument/2006/relationships/image" Target="media/image74.png"/><Relationship Id="rId223" Type="http://schemas.openxmlformats.org/officeDocument/2006/relationships/image" Target="media/image73.png"/><Relationship Id="rId222" Type="http://schemas.openxmlformats.org/officeDocument/2006/relationships/image" Target="media/image72.png"/><Relationship Id="rId221" Type="http://schemas.openxmlformats.org/officeDocument/2006/relationships/image" Target="media/image71.png"/><Relationship Id="rId220" Type="http://schemas.openxmlformats.org/officeDocument/2006/relationships/image" Target="media/image70.png"/><Relationship Id="rId22" Type="http://schemas.openxmlformats.org/officeDocument/2006/relationships/footer" Target="footer17.xml"/><Relationship Id="rId219" Type="http://schemas.openxmlformats.org/officeDocument/2006/relationships/image" Target="media/image69.png"/><Relationship Id="rId218" Type="http://schemas.openxmlformats.org/officeDocument/2006/relationships/image" Target="media/image68.jpeg"/><Relationship Id="rId217" Type="http://schemas.openxmlformats.org/officeDocument/2006/relationships/image" Target="media/image67.jpeg"/><Relationship Id="rId216" Type="http://schemas.openxmlformats.org/officeDocument/2006/relationships/image" Target="media/image66.jpeg"/><Relationship Id="rId215" Type="http://schemas.openxmlformats.org/officeDocument/2006/relationships/image" Target="media/image65.png"/><Relationship Id="rId214" Type="http://schemas.openxmlformats.org/officeDocument/2006/relationships/image" Target="media/image64.png"/><Relationship Id="rId213" Type="http://schemas.openxmlformats.org/officeDocument/2006/relationships/image" Target="media/image63.png"/><Relationship Id="rId212" Type="http://schemas.openxmlformats.org/officeDocument/2006/relationships/image" Target="media/image62.png"/><Relationship Id="rId211" Type="http://schemas.openxmlformats.org/officeDocument/2006/relationships/image" Target="media/image61.png"/><Relationship Id="rId210" Type="http://schemas.openxmlformats.org/officeDocument/2006/relationships/image" Target="media/image60.png"/><Relationship Id="rId21" Type="http://schemas.openxmlformats.org/officeDocument/2006/relationships/footer" Target="footer16.xml"/><Relationship Id="rId209" Type="http://schemas.openxmlformats.org/officeDocument/2006/relationships/image" Target="media/image59.png"/><Relationship Id="rId208" Type="http://schemas.openxmlformats.org/officeDocument/2006/relationships/image" Target="media/image58.png"/><Relationship Id="rId207" Type="http://schemas.openxmlformats.org/officeDocument/2006/relationships/image" Target="media/image57.png"/><Relationship Id="rId206" Type="http://schemas.openxmlformats.org/officeDocument/2006/relationships/image" Target="media/image56.png"/><Relationship Id="rId205" Type="http://schemas.openxmlformats.org/officeDocument/2006/relationships/image" Target="media/image55.png"/><Relationship Id="rId204" Type="http://schemas.openxmlformats.org/officeDocument/2006/relationships/image" Target="media/image54.png"/><Relationship Id="rId203" Type="http://schemas.openxmlformats.org/officeDocument/2006/relationships/image" Target="media/image53.png"/><Relationship Id="rId202" Type="http://schemas.openxmlformats.org/officeDocument/2006/relationships/image" Target="media/image52.png"/><Relationship Id="rId201" Type="http://schemas.openxmlformats.org/officeDocument/2006/relationships/image" Target="media/image51.png"/><Relationship Id="rId200" Type="http://schemas.openxmlformats.org/officeDocument/2006/relationships/image" Target="media/image50.png"/><Relationship Id="rId20" Type="http://schemas.openxmlformats.org/officeDocument/2006/relationships/footer" Target="footer15.xml"/><Relationship Id="rId2" Type="http://schemas.openxmlformats.org/officeDocument/2006/relationships/settings" Target="settings.xml"/><Relationship Id="rId199" Type="http://schemas.openxmlformats.org/officeDocument/2006/relationships/image" Target="media/image49.png"/><Relationship Id="rId198" Type="http://schemas.openxmlformats.org/officeDocument/2006/relationships/image" Target="media/image48.png"/><Relationship Id="rId197" Type="http://schemas.openxmlformats.org/officeDocument/2006/relationships/image" Target="media/image47.png"/><Relationship Id="rId196" Type="http://schemas.openxmlformats.org/officeDocument/2006/relationships/image" Target="media/image46.png"/><Relationship Id="rId195" Type="http://schemas.openxmlformats.org/officeDocument/2006/relationships/image" Target="media/image45.png"/><Relationship Id="rId194" Type="http://schemas.openxmlformats.org/officeDocument/2006/relationships/image" Target="media/image44.png"/><Relationship Id="rId193" Type="http://schemas.openxmlformats.org/officeDocument/2006/relationships/image" Target="media/image43.png"/><Relationship Id="rId192" Type="http://schemas.openxmlformats.org/officeDocument/2006/relationships/image" Target="media/image42.png"/><Relationship Id="rId191" Type="http://schemas.openxmlformats.org/officeDocument/2006/relationships/image" Target="media/image41.png"/><Relationship Id="rId190" Type="http://schemas.openxmlformats.org/officeDocument/2006/relationships/image" Target="media/image40.png"/><Relationship Id="rId19" Type="http://schemas.openxmlformats.org/officeDocument/2006/relationships/footer" Target="footer14.xml"/><Relationship Id="rId189" Type="http://schemas.openxmlformats.org/officeDocument/2006/relationships/image" Target="media/image39.png"/><Relationship Id="rId188" Type="http://schemas.openxmlformats.org/officeDocument/2006/relationships/image" Target="media/image38.png"/><Relationship Id="rId187" Type="http://schemas.openxmlformats.org/officeDocument/2006/relationships/image" Target="media/image37.png"/><Relationship Id="rId186" Type="http://schemas.openxmlformats.org/officeDocument/2006/relationships/image" Target="media/image36.png"/><Relationship Id="rId185" Type="http://schemas.openxmlformats.org/officeDocument/2006/relationships/image" Target="media/image35.png"/><Relationship Id="rId184" Type="http://schemas.openxmlformats.org/officeDocument/2006/relationships/image" Target="media/image34.png"/><Relationship Id="rId183" Type="http://schemas.openxmlformats.org/officeDocument/2006/relationships/image" Target="media/image33.png"/><Relationship Id="rId182" Type="http://schemas.openxmlformats.org/officeDocument/2006/relationships/image" Target="media/image32.jpeg"/><Relationship Id="rId181" Type="http://schemas.openxmlformats.org/officeDocument/2006/relationships/image" Target="media/image31.png"/><Relationship Id="rId180" Type="http://schemas.openxmlformats.org/officeDocument/2006/relationships/image" Target="media/image30.jpeg"/><Relationship Id="rId18" Type="http://schemas.openxmlformats.org/officeDocument/2006/relationships/footer" Target="footer13.xml"/><Relationship Id="rId179" Type="http://schemas.openxmlformats.org/officeDocument/2006/relationships/image" Target="media/image29.jpeg"/><Relationship Id="rId178" Type="http://schemas.openxmlformats.org/officeDocument/2006/relationships/image" Target="media/image28.jpeg"/><Relationship Id="rId177" Type="http://schemas.openxmlformats.org/officeDocument/2006/relationships/image" Target="media/image27.jpeg"/><Relationship Id="rId176" Type="http://schemas.openxmlformats.org/officeDocument/2006/relationships/image" Target="media/image26.jpeg"/><Relationship Id="rId175" Type="http://schemas.openxmlformats.org/officeDocument/2006/relationships/image" Target="media/image25.jpeg"/><Relationship Id="rId174" Type="http://schemas.openxmlformats.org/officeDocument/2006/relationships/image" Target="media/image24.jpeg"/><Relationship Id="rId173" Type="http://schemas.openxmlformats.org/officeDocument/2006/relationships/image" Target="media/image23.jpeg"/><Relationship Id="rId172" Type="http://schemas.openxmlformats.org/officeDocument/2006/relationships/image" Target="media/image22.jpeg"/><Relationship Id="rId171" Type="http://schemas.openxmlformats.org/officeDocument/2006/relationships/image" Target="media/image21.jpeg"/><Relationship Id="rId170" Type="http://schemas.openxmlformats.org/officeDocument/2006/relationships/image" Target="media/image20.jpeg"/><Relationship Id="rId17" Type="http://schemas.openxmlformats.org/officeDocument/2006/relationships/footer" Target="footer12.xml"/><Relationship Id="rId169" Type="http://schemas.openxmlformats.org/officeDocument/2006/relationships/image" Target="media/image19.jpeg"/><Relationship Id="rId168" Type="http://schemas.openxmlformats.org/officeDocument/2006/relationships/image" Target="media/image18.png"/><Relationship Id="rId167" Type="http://schemas.openxmlformats.org/officeDocument/2006/relationships/image" Target="media/image17.jpeg"/><Relationship Id="rId166" Type="http://schemas.openxmlformats.org/officeDocument/2006/relationships/image" Target="media/image16.jpeg"/><Relationship Id="rId165" Type="http://schemas.openxmlformats.org/officeDocument/2006/relationships/image" Target="media/image15.jpeg"/><Relationship Id="rId164" Type="http://schemas.openxmlformats.org/officeDocument/2006/relationships/image" Target="media/image14.jpeg"/><Relationship Id="rId163" Type="http://schemas.openxmlformats.org/officeDocument/2006/relationships/image" Target="media/image13.jpeg"/><Relationship Id="rId162" Type="http://schemas.openxmlformats.org/officeDocument/2006/relationships/image" Target="media/image12.png"/><Relationship Id="rId161" Type="http://schemas.openxmlformats.org/officeDocument/2006/relationships/image" Target="media/image11.jpeg"/><Relationship Id="rId160" Type="http://schemas.openxmlformats.org/officeDocument/2006/relationships/image" Target="media/image10.png"/><Relationship Id="rId16" Type="http://schemas.openxmlformats.org/officeDocument/2006/relationships/footer" Target="footer11.xml"/><Relationship Id="rId159" Type="http://schemas.openxmlformats.org/officeDocument/2006/relationships/image" Target="media/image9.png"/><Relationship Id="rId158" Type="http://schemas.openxmlformats.org/officeDocument/2006/relationships/image" Target="media/image8.jpeg"/><Relationship Id="rId157" Type="http://schemas.openxmlformats.org/officeDocument/2006/relationships/image" Target="media/image7.png"/><Relationship Id="rId156" Type="http://schemas.openxmlformats.org/officeDocument/2006/relationships/image" Target="media/image6.png"/><Relationship Id="rId155" Type="http://schemas.openxmlformats.org/officeDocument/2006/relationships/image" Target="media/image5.jpeg"/><Relationship Id="rId154" Type="http://schemas.openxmlformats.org/officeDocument/2006/relationships/image" Target="media/image4.jpeg"/><Relationship Id="rId153" Type="http://schemas.openxmlformats.org/officeDocument/2006/relationships/image" Target="media/image3.png"/><Relationship Id="rId152" Type="http://schemas.openxmlformats.org/officeDocument/2006/relationships/image" Target="media/image2.png"/><Relationship Id="rId151" Type="http://schemas.openxmlformats.org/officeDocument/2006/relationships/image" Target="media/image1.png"/><Relationship Id="rId150" Type="http://schemas.openxmlformats.org/officeDocument/2006/relationships/theme" Target="theme/theme1.xml"/><Relationship Id="rId15" Type="http://schemas.openxmlformats.org/officeDocument/2006/relationships/footer" Target="footer10.xml"/><Relationship Id="rId149" Type="http://schemas.openxmlformats.org/officeDocument/2006/relationships/footer" Target="footer143.xml"/><Relationship Id="rId148" Type="http://schemas.openxmlformats.org/officeDocument/2006/relationships/header" Target="header2.xml"/><Relationship Id="rId147" Type="http://schemas.openxmlformats.org/officeDocument/2006/relationships/footer" Target="footer142.xml"/><Relationship Id="rId146" Type="http://schemas.openxmlformats.org/officeDocument/2006/relationships/footer" Target="footer141.xml"/><Relationship Id="rId145" Type="http://schemas.openxmlformats.org/officeDocument/2006/relationships/footer" Target="footer140.xml"/><Relationship Id="rId144" Type="http://schemas.openxmlformats.org/officeDocument/2006/relationships/footer" Target="footer139.xml"/><Relationship Id="rId143" Type="http://schemas.openxmlformats.org/officeDocument/2006/relationships/footer" Target="footer138.xml"/><Relationship Id="rId142" Type="http://schemas.openxmlformats.org/officeDocument/2006/relationships/footer" Target="footer137.xml"/><Relationship Id="rId141" Type="http://schemas.openxmlformats.org/officeDocument/2006/relationships/footer" Target="footer136.xml"/><Relationship Id="rId140" Type="http://schemas.openxmlformats.org/officeDocument/2006/relationships/footer" Target="footer135.xml"/><Relationship Id="rId14" Type="http://schemas.openxmlformats.org/officeDocument/2006/relationships/footer" Target="footer9.xml"/><Relationship Id="rId139" Type="http://schemas.openxmlformats.org/officeDocument/2006/relationships/footer" Target="footer134.xml"/><Relationship Id="rId138" Type="http://schemas.openxmlformats.org/officeDocument/2006/relationships/footer" Target="footer133.xml"/><Relationship Id="rId137" Type="http://schemas.openxmlformats.org/officeDocument/2006/relationships/footer" Target="footer132.xml"/><Relationship Id="rId136" Type="http://schemas.openxmlformats.org/officeDocument/2006/relationships/footer" Target="footer131.xml"/><Relationship Id="rId135" Type="http://schemas.openxmlformats.org/officeDocument/2006/relationships/footer" Target="footer130.xml"/><Relationship Id="rId134" Type="http://schemas.openxmlformats.org/officeDocument/2006/relationships/footer" Target="footer129.xml"/><Relationship Id="rId133" Type="http://schemas.openxmlformats.org/officeDocument/2006/relationships/footer" Target="footer128.xml"/><Relationship Id="rId132" Type="http://schemas.openxmlformats.org/officeDocument/2006/relationships/footer" Target="footer127.xml"/><Relationship Id="rId131" Type="http://schemas.openxmlformats.org/officeDocument/2006/relationships/footer" Target="footer126.xml"/><Relationship Id="rId130" Type="http://schemas.openxmlformats.org/officeDocument/2006/relationships/footer" Target="footer125.xml"/><Relationship Id="rId13" Type="http://schemas.openxmlformats.org/officeDocument/2006/relationships/footer" Target="footer8.xml"/><Relationship Id="rId129" Type="http://schemas.openxmlformats.org/officeDocument/2006/relationships/footer" Target="footer124.xml"/><Relationship Id="rId128" Type="http://schemas.openxmlformats.org/officeDocument/2006/relationships/footer" Target="footer123.xml"/><Relationship Id="rId127" Type="http://schemas.openxmlformats.org/officeDocument/2006/relationships/footer" Target="footer122.xml"/><Relationship Id="rId126" Type="http://schemas.openxmlformats.org/officeDocument/2006/relationships/footer" Target="footer121.xml"/><Relationship Id="rId125" Type="http://schemas.openxmlformats.org/officeDocument/2006/relationships/footer" Target="footer120.xml"/><Relationship Id="rId124" Type="http://schemas.openxmlformats.org/officeDocument/2006/relationships/footer" Target="footer119.xml"/><Relationship Id="rId123" Type="http://schemas.openxmlformats.org/officeDocument/2006/relationships/footer" Target="footer118.xml"/><Relationship Id="rId122" Type="http://schemas.openxmlformats.org/officeDocument/2006/relationships/footer" Target="footer117.xml"/><Relationship Id="rId121" Type="http://schemas.openxmlformats.org/officeDocument/2006/relationships/footer" Target="footer116.xml"/><Relationship Id="rId120" Type="http://schemas.openxmlformats.org/officeDocument/2006/relationships/footer" Target="footer115.xml"/><Relationship Id="rId12" Type="http://schemas.openxmlformats.org/officeDocument/2006/relationships/footer" Target="footer7.xml"/><Relationship Id="rId119" Type="http://schemas.openxmlformats.org/officeDocument/2006/relationships/footer" Target="footer114.xml"/><Relationship Id="rId118" Type="http://schemas.openxmlformats.org/officeDocument/2006/relationships/footer" Target="footer113.xml"/><Relationship Id="rId117" Type="http://schemas.openxmlformats.org/officeDocument/2006/relationships/footer" Target="footer112.xml"/><Relationship Id="rId116" Type="http://schemas.openxmlformats.org/officeDocument/2006/relationships/footer" Target="footer111.xml"/><Relationship Id="rId115" Type="http://schemas.openxmlformats.org/officeDocument/2006/relationships/footer" Target="footer110.xml"/><Relationship Id="rId114" Type="http://schemas.openxmlformats.org/officeDocument/2006/relationships/footer" Target="footer109.xml"/><Relationship Id="rId113" Type="http://schemas.openxmlformats.org/officeDocument/2006/relationships/footer" Target="footer108.xml"/><Relationship Id="rId112" Type="http://schemas.openxmlformats.org/officeDocument/2006/relationships/footer" Target="footer107.xml"/><Relationship Id="rId111" Type="http://schemas.openxmlformats.org/officeDocument/2006/relationships/footer" Target="footer106.xml"/><Relationship Id="rId110" Type="http://schemas.openxmlformats.org/officeDocument/2006/relationships/footer" Target="footer105.xml"/><Relationship Id="rId11" Type="http://schemas.openxmlformats.org/officeDocument/2006/relationships/footer" Target="footer6.xml"/><Relationship Id="rId109" Type="http://schemas.openxmlformats.org/officeDocument/2006/relationships/footer" Target="footer104.xml"/><Relationship Id="rId108" Type="http://schemas.openxmlformats.org/officeDocument/2006/relationships/footer" Target="footer103.xml"/><Relationship Id="rId107" Type="http://schemas.openxmlformats.org/officeDocument/2006/relationships/footer" Target="footer102.xml"/><Relationship Id="rId106" Type="http://schemas.openxmlformats.org/officeDocument/2006/relationships/footer" Target="footer101.xml"/><Relationship Id="rId105" Type="http://schemas.openxmlformats.org/officeDocument/2006/relationships/footer" Target="footer100.xml"/><Relationship Id="rId104" Type="http://schemas.openxmlformats.org/officeDocument/2006/relationships/footer" Target="footer99.xml"/><Relationship Id="rId103" Type="http://schemas.openxmlformats.org/officeDocument/2006/relationships/footer" Target="footer98.xml"/><Relationship Id="rId102" Type="http://schemas.openxmlformats.org/officeDocument/2006/relationships/footer" Target="footer97.xml"/><Relationship Id="rId101" Type="http://schemas.openxmlformats.org/officeDocument/2006/relationships/footer" Target="footer96.xml"/><Relationship Id="rId100" Type="http://schemas.openxmlformats.org/officeDocument/2006/relationships/footer" Target="footer95.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9"/>
    <customShpInfo spid="_x0000_s1030"/>
    <customShpInfo spid="_x0000_s1031"/>
    <customShpInfo spid="_x0000_s1033"/>
    <customShpInfo spid="_x0000_s1034"/>
    <customShpInfo spid="_x0000_s1035"/>
    <customShpInfo spid="_x0000_s1032"/>
    <customShpInfo spid="_x0000_s1037"/>
    <customShpInfo spid="_x0000_s1038"/>
    <customShpInfo spid="_x0000_s1039"/>
    <customShpInfo spid="_x0000_s1036"/>
    <customShpInfo spid="_x0000_s1040"/>
    <customShpInfo spid="_x0000_s1041"/>
    <customShpInfo spid="_x0000_s1042"/>
    <customShpInfo spid="_x0000_s1043"/>
    <customShpInfo spid="_x0000_s1044"/>
    <customShpInfo spid="_x0000_s1045"/>
    <customShpInfo spid="_x0000_s1047"/>
    <customShpInfo spid="_x0000_s1048"/>
    <customShpInfo spid="_x0000_s1049"/>
    <customShpInfo spid="_x0000_s1046"/>
    <customShpInfo spid="_x0000_s1050"/>
    <customShpInfo spid="_x0000_s1051"/>
    <customShpInfo spid="_x0000_s1052"/>
    <customShpInfo spid="_x0000_s1053"/>
    <customShpInfo spid="_x0000_s1054"/>
    <customShpInfo spid="_x0000_s1055"/>
    <customShpInfo spid="_x0000_s1056"/>
    <customShpInfo spid="_x0000_s1057"/>
    <customShpInfo spid="_x0000_s1059"/>
    <customShpInfo spid="_x0000_s1060"/>
    <customShpInfo spid="_x0000_s1061"/>
    <customShpInfo spid="_x0000_s1062"/>
    <customShpInfo spid="_x0000_s1063"/>
    <customShpInfo spid="_x0000_s1058"/>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146</Pages>
  <Words>101404</Words>
  <Characters>117075</Characters>
  <TotalTime>101</TotalTime>
  <ScaleCrop>false</ScaleCrop>
  <LinksUpToDate>false</LinksUpToDate>
  <CharactersWithSpaces>125201</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2023-05-10T22:02:00Z</dcterms:created>
  <dc:creator>China</dc:creator>
  <cp:lastModifiedBy>idiot</cp:lastModifiedBy>
  <dcterms:modified xsi:type="dcterms:W3CDTF">2023-05-16T07:06:20Z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2023-05-11T09:29:28Z</vt:filetime>
  </property>
  <property fmtid="{D5CDD505-2E9C-101B-9397-08002B2CF9AE}" pid="4" name="KSOProductBuildVer">
    <vt:lpwstr>2052-11.1.0.14309</vt:lpwstr>
  </property>
  <property fmtid="{D5CDD505-2E9C-101B-9397-08002B2CF9AE}" pid="5" name="ICV">
    <vt:lpwstr>25BC12DC68C949C0A9D274E0EC5B8866_13</vt:lpwstr>
  </property>
</Properties>
</file>